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png" ContentType="image/png"/>
  <Default Extension="wmf" ContentType="image/x-wmf"/>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mbeddings/Microsoft_Visio_2003-2010___1.vsd" ContentType="application/vnd.visio"/>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3B2DEAF8">
      <w:pPr>
        <w:adjustRightInd w:val="0"/>
        <w:snapToGrid w:val="0"/>
        <w:spacing w:line="360" w:lineRule="auto"/>
        <w:jc w:val="center"/>
        <w:rPr>
          <w:rFonts w:hint="eastAsia" w:ascii="黑体" w:hAnsi="黑体" w:eastAsia="黑体" w:cs="宋体"/>
          <w:b/>
          <w:color w:val="000000" w:themeColor="text1"/>
          <w:spacing w:val="30"/>
          <w:w w:val="90"/>
          <w:sz w:val="36"/>
          <w:szCs w:val="36"/>
          <w14:textFill>
            <w14:solidFill>
              <w14:schemeClr w14:val="tx1"/>
            </w14:solidFill>
          </w14:textFill>
        </w:rPr>
      </w:pPr>
      <w:bookmarkStart w:id="0" w:name="_Hlk151054696"/>
      <w:bookmarkEnd w:id="0"/>
      <w:bookmarkStart w:id="1" w:name="_Hlk92223081"/>
      <w:r>
        <w:rPr>
          <w:rFonts w:hint="eastAsia" w:ascii="黑体" w:hAnsi="黑体" w:eastAsia="黑体" w:cs="宋体"/>
          <w:b/>
          <w:color w:val="000000" w:themeColor="text1"/>
          <w:spacing w:val="30"/>
          <w:w w:val="90"/>
          <w:sz w:val="36"/>
          <w:szCs w:val="36"/>
          <w14:textFill>
            <w14:solidFill>
              <w14:schemeClr w14:val="tx1"/>
            </w14:solidFill>
          </w14:textFill>
        </w:rPr>
        <w:t xml:space="preserve">         </w:t>
      </w:r>
    </w:p>
    <w:p w14:paraId="6B9C0E66">
      <w:pPr>
        <w:adjustRightInd w:val="0"/>
        <w:snapToGrid w:val="0"/>
        <w:spacing w:line="360" w:lineRule="auto"/>
        <w:jc w:val="center"/>
        <w:rPr>
          <w:rFonts w:hint="eastAsia" w:ascii="黑体" w:hAnsi="黑体" w:eastAsia="黑体" w:cs="宋体"/>
          <w:b/>
          <w:snapToGrid w:val="0"/>
          <w:color w:val="000000" w:themeColor="text1"/>
          <w:kern w:val="0"/>
          <w:sz w:val="36"/>
          <w:szCs w:val="36"/>
          <w14:textFill>
            <w14:solidFill>
              <w14:schemeClr w14:val="tx1"/>
            </w14:solidFill>
          </w14:textFill>
        </w:rPr>
      </w:pPr>
      <w:bookmarkStart w:id="2" w:name="_Hlk147580299"/>
      <w:bookmarkStart w:id="3" w:name="OLE_LINK100"/>
    </w:p>
    <w:p w14:paraId="5CE144E1">
      <w:pPr>
        <w:adjustRightInd w:val="0"/>
        <w:snapToGrid w:val="0"/>
        <w:spacing w:line="360" w:lineRule="auto"/>
        <w:jc w:val="center"/>
        <w:rPr>
          <w:rFonts w:hint="eastAsia" w:ascii="黑体" w:hAnsi="黑体" w:eastAsia="黑体" w:cs="宋体"/>
          <w:b/>
          <w:snapToGrid w:val="0"/>
          <w:color w:val="000000" w:themeColor="text1"/>
          <w:kern w:val="0"/>
          <w:sz w:val="36"/>
          <w:szCs w:val="36"/>
          <w14:textFill>
            <w14:solidFill>
              <w14:schemeClr w14:val="tx1"/>
            </w14:solidFill>
          </w14:textFill>
        </w:rPr>
      </w:pPr>
      <w:r>
        <w:rPr>
          <w:rFonts w:hint="eastAsia" w:ascii="黑体" w:hAnsi="黑体" w:eastAsia="黑体" w:cs="宋体"/>
          <w:b/>
          <w:snapToGrid w:val="0"/>
          <w:color w:val="000000" w:themeColor="text1"/>
          <w:kern w:val="0"/>
          <w:sz w:val="36"/>
          <w:szCs w:val="36"/>
          <w14:textFill>
            <w14:solidFill>
              <w14:schemeClr w14:val="tx1"/>
            </w14:solidFill>
          </w14:textFill>
        </w:rPr>
        <w:t>新疆吉木萨尔页岩油注CO</w:t>
      </w:r>
      <w:r>
        <w:rPr>
          <w:rFonts w:hint="eastAsia" w:ascii="黑体" w:hAnsi="黑体" w:eastAsia="黑体" w:cs="宋体"/>
          <w:b/>
          <w:snapToGrid w:val="0"/>
          <w:color w:val="000000" w:themeColor="text1"/>
          <w:kern w:val="0"/>
          <w:sz w:val="36"/>
          <w:szCs w:val="36"/>
          <w:vertAlign w:val="subscript"/>
          <w14:textFill>
            <w14:solidFill>
              <w14:schemeClr w14:val="tx1"/>
            </w14:solidFill>
          </w14:textFill>
        </w:rPr>
        <w:t>2</w:t>
      </w:r>
      <w:r>
        <w:rPr>
          <w:rFonts w:hint="eastAsia" w:ascii="黑体" w:hAnsi="黑体" w:eastAsia="黑体" w:cs="宋体"/>
          <w:b/>
          <w:snapToGrid w:val="0"/>
          <w:color w:val="000000" w:themeColor="text1"/>
          <w:kern w:val="0"/>
          <w:sz w:val="36"/>
          <w:szCs w:val="36"/>
          <w14:textFill>
            <w14:solidFill>
              <w14:schemeClr w14:val="tx1"/>
            </w14:solidFill>
          </w14:textFill>
        </w:rPr>
        <w:t>提高采收率先导试验项目</w:t>
      </w:r>
    </w:p>
    <w:p w14:paraId="491C663F">
      <w:pPr>
        <w:adjustRightInd w:val="0"/>
        <w:snapToGrid w:val="0"/>
        <w:spacing w:line="360" w:lineRule="auto"/>
        <w:jc w:val="center"/>
        <w:rPr>
          <w:rFonts w:hint="eastAsia" w:ascii="黑体" w:hAnsi="黑体" w:eastAsia="黑体" w:cs="宋体"/>
          <w:b/>
          <w:color w:val="000000" w:themeColor="text1"/>
          <w:sz w:val="84"/>
          <w:szCs w:val="84"/>
          <w14:textFill>
            <w14:solidFill>
              <w14:schemeClr w14:val="tx1"/>
            </w14:solidFill>
          </w14:textFill>
        </w:rPr>
      </w:pPr>
      <w:r>
        <w:rPr>
          <w:rFonts w:hint="eastAsia" w:ascii="黑体" w:hAnsi="黑体" w:eastAsia="黑体" w:cs="宋体"/>
          <w:b/>
          <w:color w:val="000000" w:themeColor="text1"/>
          <w:sz w:val="84"/>
          <w:szCs w:val="84"/>
          <w14:textFill>
            <w14:solidFill>
              <w14:schemeClr w14:val="tx1"/>
            </w14:solidFill>
          </w14:textFill>
        </w:rPr>
        <w:t>环 境 影 响 报 告 书</w:t>
      </w:r>
    </w:p>
    <w:p w14:paraId="618B580D">
      <w:pPr>
        <w:jc w:val="center"/>
        <w:rPr>
          <w:rFonts w:hint="eastAsia" w:ascii="黑体" w:hAnsi="黑体" w:eastAsia="黑体"/>
          <w:bCs/>
          <w:color w:val="000000" w:themeColor="text1"/>
          <w:sz w:val="32"/>
          <w:szCs w:val="32"/>
          <w14:textFill>
            <w14:solidFill>
              <w14:schemeClr w14:val="tx1"/>
            </w14:solidFill>
          </w14:textFill>
        </w:rPr>
      </w:pPr>
      <w:bookmarkStart w:id="4" w:name="_Toc11157"/>
      <w:bookmarkStart w:id="5" w:name="_Toc445996317"/>
      <w:bookmarkStart w:id="6" w:name="_Toc375844778"/>
      <w:bookmarkStart w:id="7" w:name="_Toc31221"/>
      <w:bookmarkStart w:id="8" w:name="_Toc445996549"/>
      <w:bookmarkStart w:id="9" w:name="_Toc456813558"/>
      <w:bookmarkStart w:id="10" w:name="_Toc12438"/>
      <w:bookmarkStart w:id="11" w:name="_Toc450909029"/>
      <w:r>
        <w:rPr>
          <w:rFonts w:hint="eastAsia" w:ascii="黑体" w:hAnsi="黑体" w:eastAsia="黑体"/>
          <w:bCs/>
          <w:color w:val="000000" w:themeColor="text1"/>
          <w:sz w:val="32"/>
          <w:szCs w:val="32"/>
          <w14:textFill>
            <w14:solidFill>
              <w14:schemeClr w14:val="tx1"/>
            </w14:solidFill>
          </w14:textFill>
        </w:rPr>
        <w:t>（公示版）</w:t>
      </w:r>
      <w:bookmarkEnd w:id="4"/>
      <w:bookmarkEnd w:id="5"/>
      <w:bookmarkEnd w:id="6"/>
      <w:bookmarkEnd w:id="7"/>
      <w:bookmarkEnd w:id="8"/>
      <w:bookmarkEnd w:id="9"/>
      <w:bookmarkEnd w:id="10"/>
      <w:bookmarkEnd w:id="11"/>
    </w:p>
    <w:p w14:paraId="39BDCA68">
      <w:pPr>
        <w:spacing w:line="520" w:lineRule="exact"/>
        <w:jc w:val="center"/>
        <w:rPr>
          <w:rFonts w:hint="eastAsia" w:ascii="黑体" w:hAnsi="黑体" w:eastAsia="黑体" w:cs="Chiller"/>
          <w:b/>
          <w:color w:val="000000" w:themeColor="text1"/>
          <w:sz w:val="24"/>
          <w14:textFill>
            <w14:solidFill>
              <w14:schemeClr w14:val="tx1"/>
            </w14:solidFill>
          </w14:textFill>
        </w:rPr>
      </w:pPr>
    </w:p>
    <w:p w14:paraId="410ACFE6">
      <w:pPr>
        <w:spacing w:line="520" w:lineRule="exact"/>
        <w:jc w:val="center"/>
        <w:rPr>
          <w:rFonts w:hint="eastAsia" w:ascii="黑体" w:hAnsi="黑体" w:eastAsia="黑体" w:cs="Chiller"/>
          <w:b/>
          <w:color w:val="000000" w:themeColor="text1"/>
          <w:sz w:val="24"/>
          <w14:textFill>
            <w14:solidFill>
              <w14:schemeClr w14:val="tx1"/>
            </w14:solidFill>
          </w14:textFill>
        </w:rPr>
      </w:pPr>
    </w:p>
    <w:p w14:paraId="56D67568">
      <w:pPr>
        <w:spacing w:line="520" w:lineRule="exact"/>
        <w:jc w:val="center"/>
        <w:rPr>
          <w:rFonts w:hint="eastAsia" w:ascii="黑体" w:hAnsi="黑体" w:eastAsia="黑体" w:cs="Chiller"/>
          <w:b/>
          <w:color w:val="000000" w:themeColor="text1"/>
          <w:sz w:val="24"/>
          <w14:textFill>
            <w14:solidFill>
              <w14:schemeClr w14:val="tx1"/>
            </w14:solidFill>
          </w14:textFill>
        </w:rPr>
      </w:pPr>
    </w:p>
    <w:p w14:paraId="7C63023A">
      <w:pPr>
        <w:spacing w:line="520" w:lineRule="exact"/>
        <w:jc w:val="center"/>
        <w:rPr>
          <w:rFonts w:hint="eastAsia" w:ascii="黑体" w:hAnsi="黑体" w:eastAsia="黑体" w:cs="Chiller"/>
          <w:b/>
          <w:color w:val="000000" w:themeColor="text1"/>
          <w:sz w:val="24"/>
          <w14:textFill>
            <w14:solidFill>
              <w14:schemeClr w14:val="tx1"/>
            </w14:solidFill>
          </w14:textFill>
        </w:rPr>
      </w:pPr>
    </w:p>
    <w:p w14:paraId="7D59570A">
      <w:pPr>
        <w:spacing w:line="520" w:lineRule="exact"/>
        <w:jc w:val="center"/>
        <w:rPr>
          <w:rFonts w:hint="eastAsia" w:ascii="黑体" w:hAnsi="黑体" w:eastAsia="黑体" w:cs="Chiller"/>
          <w:b/>
          <w:color w:val="000000" w:themeColor="text1"/>
          <w:sz w:val="24"/>
          <w14:textFill>
            <w14:solidFill>
              <w14:schemeClr w14:val="tx1"/>
            </w14:solidFill>
          </w14:textFill>
        </w:rPr>
      </w:pPr>
    </w:p>
    <w:p w14:paraId="676D1118">
      <w:pPr>
        <w:spacing w:line="520" w:lineRule="exact"/>
        <w:jc w:val="center"/>
        <w:rPr>
          <w:rFonts w:hint="eastAsia" w:ascii="黑体" w:hAnsi="黑体" w:eastAsia="黑体" w:cs="Chiller"/>
          <w:b/>
          <w:color w:val="000000" w:themeColor="text1"/>
          <w:sz w:val="24"/>
          <w14:textFill>
            <w14:solidFill>
              <w14:schemeClr w14:val="tx1"/>
            </w14:solidFill>
          </w14:textFill>
        </w:rPr>
      </w:pPr>
    </w:p>
    <w:p w14:paraId="5E35A64D">
      <w:pPr>
        <w:spacing w:line="520" w:lineRule="exact"/>
        <w:jc w:val="center"/>
        <w:rPr>
          <w:rFonts w:hint="eastAsia" w:ascii="黑体" w:hAnsi="黑体" w:eastAsia="黑体" w:cs="Chiller"/>
          <w:b/>
          <w:color w:val="000000" w:themeColor="text1"/>
          <w:sz w:val="24"/>
          <w14:textFill>
            <w14:solidFill>
              <w14:schemeClr w14:val="tx1"/>
            </w14:solidFill>
          </w14:textFill>
        </w:rPr>
      </w:pPr>
    </w:p>
    <w:p w14:paraId="4B39B6FB">
      <w:pPr>
        <w:spacing w:line="520" w:lineRule="exact"/>
        <w:jc w:val="center"/>
        <w:rPr>
          <w:rFonts w:hint="eastAsia" w:ascii="黑体" w:hAnsi="黑体" w:eastAsia="黑体" w:cs="Chiller"/>
          <w:b/>
          <w:color w:val="000000" w:themeColor="text1"/>
          <w:sz w:val="24"/>
          <w14:textFill>
            <w14:solidFill>
              <w14:schemeClr w14:val="tx1"/>
            </w14:solidFill>
          </w14:textFill>
        </w:rPr>
      </w:pPr>
    </w:p>
    <w:p w14:paraId="002DA151">
      <w:pPr>
        <w:spacing w:line="520" w:lineRule="exact"/>
        <w:jc w:val="center"/>
        <w:rPr>
          <w:rFonts w:hint="eastAsia" w:ascii="黑体" w:hAnsi="黑体" w:eastAsia="黑体" w:cs="Chiller"/>
          <w:b/>
          <w:color w:val="000000" w:themeColor="text1"/>
          <w:sz w:val="24"/>
          <w14:textFill>
            <w14:solidFill>
              <w14:schemeClr w14:val="tx1"/>
            </w14:solidFill>
          </w14:textFill>
        </w:rPr>
      </w:pPr>
    </w:p>
    <w:p w14:paraId="719243A4">
      <w:pPr>
        <w:spacing w:line="520" w:lineRule="exact"/>
        <w:jc w:val="center"/>
        <w:rPr>
          <w:rFonts w:hint="eastAsia" w:ascii="黑体" w:hAnsi="黑体" w:eastAsia="黑体" w:cs="Chiller"/>
          <w:b/>
          <w:color w:val="000000" w:themeColor="text1"/>
          <w:sz w:val="24"/>
          <w14:textFill>
            <w14:solidFill>
              <w14:schemeClr w14:val="tx1"/>
            </w14:solidFill>
          </w14:textFill>
        </w:rPr>
      </w:pPr>
    </w:p>
    <w:p w14:paraId="1339D2A8">
      <w:pPr>
        <w:spacing w:line="520" w:lineRule="exact"/>
        <w:jc w:val="center"/>
        <w:rPr>
          <w:rFonts w:hint="eastAsia" w:ascii="黑体" w:hAnsi="黑体" w:eastAsia="黑体" w:cs="Chiller"/>
          <w:b/>
          <w:color w:val="000000" w:themeColor="text1"/>
          <w:sz w:val="24"/>
          <w14:textFill>
            <w14:solidFill>
              <w14:schemeClr w14:val="tx1"/>
            </w14:solidFill>
          </w14:textFill>
        </w:rPr>
      </w:pPr>
    </w:p>
    <w:p w14:paraId="2C53446F">
      <w:pPr>
        <w:spacing w:line="520" w:lineRule="exact"/>
        <w:jc w:val="center"/>
        <w:rPr>
          <w:rFonts w:hint="eastAsia" w:ascii="黑体" w:hAnsi="黑体" w:eastAsia="黑体" w:cs="Chiller"/>
          <w:b/>
          <w:color w:val="000000" w:themeColor="text1"/>
          <w:sz w:val="24"/>
          <w14:textFill>
            <w14:solidFill>
              <w14:schemeClr w14:val="tx1"/>
            </w14:solidFill>
          </w14:textFill>
        </w:rPr>
      </w:pPr>
    </w:p>
    <w:p w14:paraId="11752228">
      <w:pPr>
        <w:spacing w:line="520" w:lineRule="exact"/>
        <w:jc w:val="center"/>
        <w:rPr>
          <w:rFonts w:hint="eastAsia" w:ascii="黑体" w:hAnsi="黑体" w:eastAsia="黑体" w:cs="Chiller"/>
          <w:b/>
          <w:color w:val="000000" w:themeColor="text1"/>
          <w:sz w:val="24"/>
          <w14:textFill>
            <w14:solidFill>
              <w14:schemeClr w14:val="tx1"/>
            </w14:solidFill>
          </w14:textFill>
        </w:rPr>
      </w:pPr>
    </w:p>
    <w:p w14:paraId="55AC051D">
      <w:pPr>
        <w:ind w:firstLine="1273" w:firstLineChars="398"/>
        <w:rPr>
          <w:rFonts w:hint="eastAsia" w:ascii="黑体" w:hAnsi="黑体" w:eastAsia="黑体"/>
          <w:bCs/>
          <w:color w:val="000000" w:themeColor="text1"/>
          <w:sz w:val="32"/>
          <w:szCs w:val="32"/>
          <w14:textFill>
            <w14:solidFill>
              <w14:schemeClr w14:val="tx1"/>
            </w14:solidFill>
          </w14:textFill>
        </w:rPr>
      </w:pPr>
      <w:r>
        <w:rPr>
          <w:rFonts w:hint="eastAsia" w:ascii="黑体" w:hAnsi="黑体" w:eastAsia="黑体"/>
          <w:bCs/>
          <w:color w:val="000000" w:themeColor="text1"/>
          <w:sz w:val="32"/>
          <w:szCs w:val="32"/>
          <w14:textFill>
            <w14:solidFill>
              <w14:schemeClr w14:val="tx1"/>
            </w14:solidFill>
          </w14:textFill>
        </w:rPr>
        <w:t>建设单位：中国石油新疆油田分公司吉庆油田作业区</w:t>
      </w:r>
    </w:p>
    <w:p w14:paraId="434D064C">
      <w:pPr>
        <w:ind w:firstLine="1273" w:firstLineChars="398"/>
        <w:rPr>
          <w:rFonts w:hint="eastAsia" w:ascii="黑体" w:hAnsi="黑体" w:eastAsia="黑体"/>
          <w:bCs/>
          <w:color w:val="000000" w:themeColor="text1"/>
          <w:sz w:val="32"/>
          <w:szCs w:val="32"/>
          <w14:textFill>
            <w14:solidFill>
              <w14:schemeClr w14:val="tx1"/>
            </w14:solidFill>
          </w14:textFill>
        </w:rPr>
      </w:pPr>
      <w:r>
        <w:rPr>
          <w:rFonts w:hint="eastAsia" w:ascii="黑体" w:hAnsi="黑体" w:eastAsia="黑体"/>
          <w:bCs/>
          <w:color w:val="000000" w:themeColor="text1"/>
          <w:sz w:val="32"/>
          <w:szCs w:val="32"/>
          <w14:textFill>
            <w14:solidFill>
              <w14:schemeClr w14:val="tx1"/>
            </w14:solidFill>
          </w14:textFill>
        </w:rPr>
        <w:t>编制单位：</w:t>
      </w:r>
      <w:bookmarkStart w:id="12" w:name="OLE_LINK27"/>
      <w:r>
        <w:rPr>
          <w:rFonts w:hint="eastAsia" w:ascii="黑体" w:hAnsi="黑体" w:eastAsia="黑体"/>
          <w:bCs/>
          <w:color w:val="000000" w:themeColor="text1"/>
          <w:sz w:val="32"/>
          <w:szCs w:val="32"/>
          <w14:textFill>
            <w14:solidFill>
              <w14:schemeClr w14:val="tx1"/>
            </w14:solidFill>
          </w14:textFill>
        </w:rPr>
        <w:t>中勘冶金勘察设计研究院有限责任公司</w:t>
      </w:r>
      <w:bookmarkEnd w:id="12"/>
    </w:p>
    <w:p w14:paraId="7CF76680">
      <w:pPr>
        <w:ind w:firstLine="1273" w:firstLineChars="398"/>
        <w:rPr>
          <w:rFonts w:hint="eastAsia" w:ascii="黑体" w:hAnsi="黑体" w:eastAsia="黑体" w:cs="Chiller"/>
          <w:b/>
          <w:color w:val="000000" w:themeColor="text1"/>
          <w:sz w:val="24"/>
          <w14:textFill>
            <w14:solidFill>
              <w14:schemeClr w14:val="tx1"/>
            </w14:solidFill>
          </w14:textFill>
        </w:rPr>
      </w:pPr>
      <w:r>
        <w:rPr>
          <w:rFonts w:hint="eastAsia" w:ascii="黑体" w:hAnsi="黑体" w:eastAsia="黑体"/>
          <w:color w:val="000000" w:themeColor="text1"/>
          <w:sz w:val="32"/>
          <w:szCs w:val="32"/>
          <w14:textFill>
            <w14:solidFill>
              <w14:schemeClr w14:val="tx1"/>
            </w14:solidFill>
          </w14:textFill>
        </w:rPr>
        <w:t>编制时间：二</w:t>
      </w:r>
      <w:r>
        <w:rPr>
          <w:rFonts w:hint="eastAsia" w:ascii="黑体" w:hAnsi="黑体" w:eastAsia="黑体" w:cs="宋体"/>
          <w:color w:val="000000" w:themeColor="text1"/>
          <w:sz w:val="32"/>
          <w:szCs w:val="32"/>
          <w14:textFill>
            <w14:solidFill>
              <w14:schemeClr w14:val="tx1"/>
            </w14:solidFill>
          </w14:textFill>
        </w:rPr>
        <w:t>〇</w:t>
      </w:r>
      <w:r>
        <w:rPr>
          <w:rFonts w:hint="eastAsia" w:ascii="黑体" w:hAnsi="黑体" w:eastAsia="黑体"/>
          <w:color w:val="000000" w:themeColor="text1"/>
          <w:sz w:val="32"/>
          <w:szCs w:val="32"/>
          <w14:textFill>
            <w14:solidFill>
              <w14:schemeClr w14:val="tx1"/>
            </w14:solidFill>
          </w14:textFill>
        </w:rPr>
        <w:t>二</w:t>
      </w:r>
      <w:r>
        <w:rPr>
          <w:rFonts w:hint="eastAsia" w:ascii="黑体" w:hAnsi="黑体" w:eastAsia="黑体" w:cs="宋体"/>
          <w:color w:val="000000" w:themeColor="text1"/>
          <w:sz w:val="32"/>
          <w:szCs w:val="32"/>
          <w14:textFill>
            <w14:solidFill>
              <w14:schemeClr w14:val="tx1"/>
            </w14:solidFill>
          </w14:textFill>
        </w:rPr>
        <w:t>五年十一月</w:t>
      </w:r>
      <w:bookmarkEnd w:id="2"/>
    </w:p>
    <w:bookmarkEnd w:id="3"/>
    <w:p w14:paraId="3A2434FC">
      <w:pPr>
        <w:spacing w:line="520" w:lineRule="exact"/>
        <w:jc w:val="center"/>
        <w:rPr>
          <w:color w:val="000000" w:themeColor="text1"/>
          <w14:textFill>
            <w14:solidFill>
              <w14:schemeClr w14:val="tx1"/>
            </w14:solidFill>
          </w14:textFill>
        </w:rPr>
        <w:sectPr>
          <w:headerReference r:id="rId3" w:type="default"/>
          <w:type w:val="continuous"/>
          <w:pgSz w:w="11906" w:h="16838"/>
          <w:pgMar w:top="1418" w:right="1304" w:bottom="1418" w:left="1304" w:header="1021" w:footer="1021" w:gutter="0"/>
          <w:cols w:space="720" w:num="1"/>
          <w:docGrid w:type="lines" w:linePitch="312" w:charSpace="0"/>
        </w:sectPr>
      </w:pPr>
    </w:p>
    <w:bookmarkEnd w:id="1"/>
    <w:p w14:paraId="2B405C74">
      <w:pPr>
        <w:spacing w:line="360" w:lineRule="auto"/>
        <w:jc w:val="center"/>
        <w:rPr>
          <w:rFonts w:hint="eastAsia" w:ascii="黑体" w:hAnsi="黑体" w:eastAsia="黑体"/>
          <w:b/>
          <w:color w:val="000000" w:themeColor="text1"/>
          <w:sz w:val="28"/>
          <w14:textFill>
            <w14:solidFill>
              <w14:schemeClr w14:val="tx1"/>
            </w14:solidFill>
          </w14:textFill>
        </w:rPr>
      </w:pPr>
      <w:r>
        <w:rPr>
          <w:rFonts w:hint="eastAsia" w:ascii="黑体" w:hAnsi="黑体" w:eastAsia="黑体"/>
          <w:b/>
          <w:color w:val="000000" w:themeColor="text1"/>
          <w:sz w:val="28"/>
          <w14:textFill>
            <w14:solidFill>
              <w14:schemeClr w14:val="tx1"/>
            </w14:solidFill>
          </w14:textFill>
        </w:rPr>
        <w:t xml:space="preserve">目 </w:t>
      </w:r>
      <w:r>
        <w:rPr>
          <w:rFonts w:ascii="黑体" w:hAnsi="黑体" w:eastAsia="黑体"/>
          <w:b/>
          <w:color w:val="000000" w:themeColor="text1"/>
          <w:sz w:val="28"/>
          <w14:textFill>
            <w14:solidFill>
              <w14:schemeClr w14:val="tx1"/>
            </w14:solidFill>
          </w14:textFill>
        </w:rPr>
        <w:t xml:space="preserve"> </w:t>
      </w:r>
      <w:r>
        <w:rPr>
          <w:rFonts w:hint="eastAsia" w:ascii="黑体" w:hAnsi="黑体" w:eastAsia="黑体"/>
          <w:b/>
          <w:color w:val="000000" w:themeColor="text1"/>
          <w:sz w:val="28"/>
          <w14:textFill>
            <w14:solidFill>
              <w14:schemeClr w14:val="tx1"/>
            </w14:solidFill>
          </w14:textFill>
        </w:rPr>
        <w:t>录</w:t>
      </w:r>
    </w:p>
    <w:p w14:paraId="78D0E12D">
      <w:pPr>
        <w:pStyle w:val="31"/>
        <w:tabs>
          <w:tab w:val="right" w:leader="dot" w:pos="8720"/>
        </w:tabs>
        <w:rPr>
          <w:rFonts w:hint="eastAsia" w:asciiTheme="minorHAnsi" w:hAnsiTheme="minorHAnsi" w:eastAsiaTheme="minorEastAsia" w:cstheme="minorBidi"/>
          <w:b w:val="0"/>
          <w:bCs w:val="0"/>
          <w:caps w:val="0"/>
          <w:sz w:val="22"/>
          <w:szCs w:val="24"/>
          <w14:ligatures w14:val="standardContextual"/>
        </w:rPr>
      </w:pPr>
      <w:r>
        <w:rPr>
          <w:rFonts w:hint="eastAsia" w:cs="宋体"/>
          <w:b w:val="0"/>
          <w:color w:val="000000" w:themeColor="text1"/>
          <w:szCs w:val="24"/>
          <w14:textFill>
            <w14:solidFill>
              <w14:schemeClr w14:val="tx1"/>
            </w14:solidFill>
          </w14:textFill>
        </w:rPr>
        <w:fldChar w:fldCharType="begin"/>
      </w:r>
      <w:r>
        <w:rPr>
          <w:rFonts w:hint="eastAsia" w:cs="宋体"/>
          <w:b w:val="0"/>
          <w:color w:val="000000" w:themeColor="text1"/>
          <w:szCs w:val="24"/>
          <w14:textFill>
            <w14:solidFill>
              <w14:schemeClr w14:val="tx1"/>
            </w14:solidFill>
          </w14:textFill>
        </w:rPr>
        <w:instrText xml:space="preserve"> TOC \o "1-2" \h \z \u </w:instrText>
      </w:r>
      <w:r>
        <w:rPr>
          <w:rFonts w:hint="eastAsia" w:cs="宋体"/>
          <w:b w:val="0"/>
          <w:color w:val="000000" w:themeColor="text1"/>
          <w:szCs w:val="24"/>
          <w14:textFill>
            <w14:solidFill>
              <w14:schemeClr w14:val="tx1"/>
            </w14:solidFill>
          </w14:textFill>
        </w:rPr>
        <w:fldChar w:fldCharType="separate"/>
      </w:r>
      <w:r>
        <w:fldChar w:fldCharType="begin"/>
      </w:r>
      <w:r>
        <w:instrText xml:space="preserve"> HYPERLINK \l "_Toc216260224" </w:instrText>
      </w:r>
      <w:r>
        <w:fldChar w:fldCharType="separate"/>
      </w:r>
      <w:r>
        <w:rPr>
          <w:rStyle w:val="59"/>
          <w:rFonts w:hint="eastAsia"/>
        </w:rPr>
        <w:t>1 概述</w:t>
      </w:r>
      <w:r>
        <w:rPr>
          <w:rFonts w:hint="eastAsia"/>
        </w:rPr>
        <w:tab/>
      </w:r>
      <w:r>
        <w:rPr>
          <w:rFonts w:hint="eastAsia"/>
        </w:rPr>
        <w:fldChar w:fldCharType="begin"/>
      </w:r>
      <w:r>
        <w:rPr>
          <w:rFonts w:hint="eastAsia"/>
        </w:rPr>
        <w:instrText xml:space="preserve"> </w:instrText>
      </w:r>
      <w:r>
        <w:instrText xml:space="preserve">PAGEREF _Toc216260224 \h</w:instrText>
      </w:r>
      <w:r>
        <w:rPr>
          <w:rFonts w:hint="eastAsia"/>
        </w:rPr>
        <w:instrText xml:space="preserve"> </w:instrText>
      </w:r>
      <w:r>
        <w:rPr>
          <w:rFonts w:hint="eastAsia"/>
        </w:rPr>
        <w:fldChar w:fldCharType="separate"/>
      </w:r>
      <w:r>
        <w:rPr>
          <w:rFonts w:hint="eastAsia"/>
        </w:rPr>
        <w:t>6</w:t>
      </w:r>
      <w:r>
        <w:rPr>
          <w:rFonts w:hint="eastAsia"/>
        </w:rPr>
        <w:fldChar w:fldCharType="end"/>
      </w:r>
      <w:r>
        <w:rPr>
          <w:rFonts w:hint="eastAsia"/>
        </w:rPr>
        <w:fldChar w:fldCharType="end"/>
      </w:r>
    </w:p>
    <w:p w14:paraId="005B85BF">
      <w:pPr>
        <w:pStyle w:val="41"/>
        <w:tabs>
          <w:tab w:val="right" w:leader="dot" w:pos="8720"/>
        </w:tabs>
        <w:rPr>
          <w:rFonts w:hint="eastAsia" w:asciiTheme="minorHAnsi" w:hAnsiTheme="minorHAnsi" w:eastAsiaTheme="minorEastAsia" w:cstheme="minorBidi"/>
          <w:smallCaps w:val="0"/>
          <w:sz w:val="22"/>
          <w:szCs w:val="24"/>
          <w14:ligatures w14:val="standardContextual"/>
        </w:rPr>
      </w:pPr>
      <w:r>
        <w:fldChar w:fldCharType="begin"/>
      </w:r>
      <w:r>
        <w:instrText xml:space="preserve"> HYPERLINK \l "_Toc216260225" </w:instrText>
      </w:r>
      <w:r>
        <w:fldChar w:fldCharType="separate"/>
      </w:r>
      <w:r>
        <w:rPr>
          <w:rStyle w:val="59"/>
          <w:rFonts w:hint="eastAsia"/>
        </w:rPr>
        <w:t>1.1 项目背景</w:t>
      </w:r>
      <w:r>
        <w:rPr>
          <w:rFonts w:hint="eastAsia"/>
        </w:rPr>
        <w:tab/>
      </w:r>
      <w:r>
        <w:rPr>
          <w:rFonts w:hint="eastAsia"/>
        </w:rPr>
        <w:fldChar w:fldCharType="begin"/>
      </w:r>
      <w:r>
        <w:rPr>
          <w:rFonts w:hint="eastAsia"/>
        </w:rPr>
        <w:instrText xml:space="preserve"> </w:instrText>
      </w:r>
      <w:r>
        <w:instrText xml:space="preserve">PAGEREF _Toc216260225 \h</w:instrText>
      </w:r>
      <w:r>
        <w:rPr>
          <w:rFonts w:hint="eastAsia"/>
        </w:rPr>
        <w:instrText xml:space="preserve"> </w:instrText>
      </w:r>
      <w:r>
        <w:rPr>
          <w:rFonts w:hint="eastAsia"/>
        </w:rPr>
        <w:fldChar w:fldCharType="separate"/>
      </w:r>
      <w:r>
        <w:rPr>
          <w:rFonts w:hint="eastAsia"/>
        </w:rPr>
        <w:t>6</w:t>
      </w:r>
      <w:r>
        <w:rPr>
          <w:rFonts w:hint="eastAsia"/>
        </w:rPr>
        <w:fldChar w:fldCharType="end"/>
      </w:r>
      <w:r>
        <w:rPr>
          <w:rFonts w:hint="eastAsia"/>
        </w:rPr>
        <w:fldChar w:fldCharType="end"/>
      </w:r>
    </w:p>
    <w:p w14:paraId="52269061">
      <w:pPr>
        <w:pStyle w:val="41"/>
        <w:tabs>
          <w:tab w:val="right" w:leader="dot" w:pos="8720"/>
        </w:tabs>
        <w:rPr>
          <w:rFonts w:hint="eastAsia" w:asciiTheme="minorHAnsi" w:hAnsiTheme="minorHAnsi" w:eastAsiaTheme="minorEastAsia" w:cstheme="minorBidi"/>
          <w:smallCaps w:val="0"/>
          <w:sz w:val="22"/>
          <w:szCs w:val="24"/>
          <w14:ligatures w14:val="standardContextual"/>
        </w:rPr>
      </w:pPr>
      <w:r>
        <w:fldChar w:fldCharType="begin"/>
      </w:r>
      <w:r>
        <w:instrText xml:space="preserve"> HYPERLINK \l "_Toc216260226" </w:instrText>
      </w:r>
      <w:r>
        <w:fldChar w:fldCharType="separate"/>
      </w:r>
      <w:r>
        <w:rPr>
          <w:rStyle w:val="59"/>
          <w:rFonts w:hint="eastAsia"/>
        </w:rPr>
        <w:t>1.2 建设项目主要特点</w:t>
      </w:r>
      <w:r>
        <w:rPr>
          <w:rFonts w:hint="eastAsia"/>
        </w:rPr>
        <w:tab/>
      </w:r>
      <w:r>
        <w:rPr>
          <w:rFonts w:hint="eastAsia"/>
        </w:rPr>
        <w:fldChar w:fldCharType="begin"/>
      </w:r>
      <w:r>
        <w:rPr>
          <w:rFonts w:hint="eastAsia"/>
        </w:rPr>
        <w:instrText xml:space="preserve"> </w:instrText>
      </w:r>
      <w:r>
        <w:instrText xml:space="preserve">PAGEREF _Toc216260226 \h</w:instrText>
      </w:r>
      <w:r>
        <w:rPr>
          <w:rFonts w:hint="eastAsia"/>
        </w:rPr>
        <w:instrText xml:space="preserve"> </w:instrText>
      </w:r>
      <w:r>
        <w:rPr>
          <w:rFonts w:hint="eastAsia"/>
        </w:rPr>
        <w:fldChar w:fldCharType="separate"/>
      </w:r>
      <w:r>
        <w:rPr>
          <w:rFonts w:hint="eastAsia"/>
        </w:rPr>
        <w:t>6</w:t>
      </w:r>
      <w:r>
        <w:rPr>
          <w:rFonts w:hint="eastAsia"/>
        </w:rPr>
        <w:fldChar w:fldCharType="end"/>
      </w:r>
      <w:r>
        <w:rPr>
          <w:rFonts w:hint="eastAsia"/>
        </w:rPr>
        <w:fldChar w:fldCharType="end"/>
      </w:r>
    </w:p>
    <w:p w14:paraId="2C7DC896">
      <w:pPr>
        <w:pStyle w:val="41"/>
        <w:tabs>
          <w:tab w:val="right" w:leader="dot" w:pos="8720"/>
        </w:tabs>
        <w:rPr>
          <w:rFonts w:hint="eastAsia" w:asciiTheme="minorHAnsi" w:hAnsiTheme="minorHAnsi" w:eastAsiaTheme="minorEastAsia" w:cstheme="minorBidi"/>
          <w:smallCaps w:val="0"/>
          <w:sz w:val="22"/>
          <w:szCs w:val="24"/>
          <w14:ligatures w14:val="standardContextual"/>
        </w:rPr>
      </w:pPr>
      <w:r>
        <w:fldChar w:fldCharType="begin"/>
      </w:r>
      <w:r>
        <w:instrText xml:space="preserve"> HYPERLINK \l "_Toc216260227" </w:instrText>
      </w:r>
      <w:r>
        <w:fldChar w:fldCharType="separate"/>
      </w:r>
      <w:r>
        <w:rPr>
          <w:rStyle w:val="59"/>
          <w:rFonts w:hint="eastAsia"/>
        </w:rPr>
        <w:t>1.3 环境影响评价的工作过程</w:t>
      </w:r>
      <w:r>
        <w:rPr>
          <w:rFonts w:hint="eastAsia"/>
        </w:rPr>
        <w:tab/>
      </w:r>
      <w:r>
        <w:rPr>
          <w:rFonts w:hint="eastAsia"/>
        </w:rPr>
        <w:fldChar w:fldCharType="begin"/>
      </w:r>
      <w:r>
        <w:rPr>
          <w:rFonts w:hint="eastAsia"/>
        </w:rPr>
        <w:instrText xml:space="preserve"> </w:instrText>
      </w:r>
      <w:r>
        <w:instrText xml:space="preserve">PAGEREF _Toc216260227 \h</w:instrText>
      </w:r>
      <w:r>
        <w:rPr>
          <w:rFonts w:hint="eastAsia"/>
        </w:rPr>
        <w:instrText xml:space="preserve"> </w:instrText>
      </w:r>
      <w:r>
        <w:rPr>
          <w:rFonts w:hint="eastAsia"/>
        </w:rPr>
        <w:fldChar w:fldCharType="separate"/>
      </w:r>
      <w:r>
        <w:rPr>
          <w:rFonts w:hint="eastAsia"/>
        </w:rPr>
        <w:t>7</w:t>
      </w:r>
      <w:r>
        <w:rPr>
          <w:rFonts w:hint="eastAsia"/>
        </w:rPr>
        <w:fldChar w:fldCharType="end"/>
      </w:r>
      <w:r>
        <w:rPr>
          <w:rFonts w:hint="eastAsia"/>
        </w:rPr>
        <w:fldChar w:fldCharType="end"/>
      </w:r>
    </w:p>
    <w:p w14:paraId="7084E134">
      <w:pPr>
        <w:pStyle w:val="41"/>
        <w:tabs>
          <w:tab w:val="right" w:leader="dot" w:pos="8720"/>
        </w:tabs>
        <w:rPr>
          <w:rFonts w:hint="eastAsia" w:asciiTheme="minorHAnsi" w:hAnsiTheme="minorHAnsi" w:eastAsiaTheme="minorEastAsia" w:cstheme="minorBidi"/>
          <w:smallCaps w:val="0"/>
          <w:sz w:val="22"/>
          <w:szCs w:val="24"/>
          <w14:ligatures w14:val="standardContextual"/>
        </w:rPr>
      </w:pPr>
      <w:r>
        <w:fldChar w:fldCharType="begin"/>
      </w:r>
      <w:r>
        <w:instrText xml:space="preserve"> HYPERLINK \l "_Toc216260228" </w:instrText>
      </w:r>
      <w:r>
        <w:fldChar w:fldCharType="separate"/>
      </w:r>
      <w:r>
        <w:rPr>
          <w:rStyle w:val="59"/>
          <w:rFonts w:hint="eastAsia"/>
          <w:lang w:val="zh-CN"/>
        </w:rPr>
        <w:t>1.4 关注的主要环境问题及环境影响</w:t>
      </w:r>
      <w:r>
        <w:rPr>
          <w:rFonts w:hint="eastAsia"/>
        </w:rPr>
        <w:tab/>
      </w:r>
      <w:r>
        <w:rPr>
          <w:rFonts w:hint="eastAsia"/>
        </w:rPr>
        <w:fldChar w:fldCharType="begin"/>
      </w:r>
      <w:r>
        <w:rPr>
          <w:rFonts w:hint="eastAsia"/>
        </w:rPr>
        <w:instrText xml:space="preserve"> </w:instrText>
      </w:r>
      <w:r>
        <w:instrText xml:space="preserve">PAGEREF _Toc216260228 \h</w:instrText>
      </w:r>
      <w:r>
        <w:rPr>
          <w:rFonts w:hint="eastAsia"/>
        </w:rPr>
        <w:instrText xml:space="preserve"> </w:instrText>
      </w:r>
      <w:r>
        <w:rPr>
          <w:rFonts w:hint="eastAsia"/>
        </w:rPr>
        <w:fldChar w:fldCharType="separate"/>
      </w:r>
      <w:r>
        <w:rPr>
          <w:rFonts w:hint="eastAsia"/>
        </w:rPr>
        <w:t>7</w:t>
      </w:r>
      <w:r>
        <w:rPr>
          <w:rFonts w:hint="eastAsia"/>
        </w:rPr>
        <w:fldChar w:fldCharType="end"/>
      </w:r>
      <w:r>
        <w:rPr>
          <w:rFonts w:hint="eastAsia"/>
        </w:rPr>
        <w:fldChar w:fldCharType="end"/>
      </w:r>
    </w:p>
    <w:p w14:paraId="34C0895E">
      <w:pPr>
        <w:pStyle w:val="41"/>
        <w:tabs>
          <w:tab w:val="right" w:leader="dot" w:pos="8720"/>
        </w:tabs>
        <w:rPr>
          <w:rFonts w:hint="eastAsia" w:asciiTheme="minorHAnsi" w:hAnsiTheme="minorHAnsi" w:eastAsiaTheme="minorEastAsia" w:cstheme="minorBidi"/>
          <w:smallCaps w:val="0"/>
          <w:sz w:val="22"/>
          <w:szCs w:val="24"/>
          <w14:ligatures w14:val="standardContextual"/>
        </w:rPr>
      </w:pPr>
      <w:r>
        <w:fldChar w:fldCharType="begin"/>
      </w:r>
      <w:r>
        <w:instrText xml:space="preserve"> HYPERLINK \l "_Toc216260229" </w:instrText>
      </w:r>
      <w:r>
        <w:fldChar w:fldCharType="separate"/>
      </w:r>
      <w:r>
        <w:rPr>
          <w:rStyle w:val="59"/>
          <w:rFonts w:hint="eastAsia"/>
          <w:lang w:val="zh-CN"/>
        </w:rPr>
        <w:t>1.5 分析判定相关情况</w:t>
      </w:r>
      <w:r>
        <w:rPr>
          <w:rFonts w:hint="eastAsia"/>
        </w:rPr>
        <w:tab/>
      </w:r>
      <w:r>
        <w:rPr>
          <w:rFonts w:hint="eastAsia"/>
        </w:rPr>
        <w:fldChar w:fldCharType="begin"/>
      </w:r>
      <w:r>
        <w:rPr>
          <w:rFonts w:hint="eastAsia"/>
        </w:rPr>
        <w:instrText xml:space="preserve"> </w:instrText>
      </w:r>
      <w:r>
        <w:instrText xml:space="preserve">PAGEREF _Toc216260229 \h</w:instrText>
      </w:r>
      <w:r>
        <w:rPr>
          <w:rFonts w:hint="eastAsia"/>
        </w:rPr>
        <w:instrText xml:space="preserve"> </w:instrText>
      </w:r>
      <w:r>
        <w:rPr>
          <w:rFonts w:hint="eastAsia"/>
        </w:rPr>
        <w:fldChar w:fldCharType="separate"/>
      </w:r>
      <w:r>
        <w:rPr>
          <w:rFonts w:hint="eastAsia"/>
        </w:rPr>
        <w:t>8</w:t>
      </w:r>
      <w:r>
        <w:rPr>
          <w:rFonts w:hint="eastAsia"/>
        </w:rPr>
        <w:fldChar w:fldCharType="end"/>
      </w:r>
      <w:r>
        <w:rPr>
          <w:rFonts w:hint="eastAsia"/>
        </w:rPr>
        <w:fldChar w:fldCharType="end"/>
      </w:r>
    </w:p>
    <w:p w14:paraId="5962B031">
      <w:pPr>
        <w:pStyle w:val="41"/>
        <w:tabs>
          <w:tab w:val="right" w:leader="dot" w:pos="8720"/>
        </w:tabs>
        <w:rPr>
          <w:rFonts w:hint="eastAsia" w:asciiTheme="minorHAnsi" w:hAnsiTheme="minorHAnsi" w:eastAsiaTheme="minorEastAsia" w:cstheme="minorBidi"/>
          <w:smallCaps w:val="0"/>
          <w:sz w:val="22"/>
          <w:szCs w:val="24"/>
          <w14:ligatures w14:val="standardContextual"/>
        </w:rPr>
      </w:pPr>
      <w:r>
        <w:fldChar w:fldCharType="begin"/>
      </w:r>
      <w:r>
        <w:instrText xml:space="preserve"> HYPERLINK \l "_Toc216260230" </w:instrText>
      </w:r>
      <w:r>
        <w:fldChar w:fldCharType="separate"/>
      </w:r>
      <w:r>
        <w:rPr>
          <w:rStyle w:val="59"/>
          <w:rFonts w:hint="eastAsia"/>
        </w:rPr>
        <w:t>1.6 环境影响评价的主要结论</w:t>
      </w:r>
      <w:r>
        <w:rPr>
          <w:rFonts w:hint="eastAsia"/>
        </w:rPr>
        <w:tab/>
      </w:r>
      <w:r>
        <w:rPr>
          <w:rFonts w:hint="eastAsia"/>
        </w:rPr>
        <w:fldChar w:fldCharType="begin"/>
      </w:r>
      <w:r>
        <w:rPr>
          <w:rFonts w:hint="eastAsia"/>
        </w:rPr>
        <w:instrText xml:space="preserve"> </w:instrText>
      </w:r>
      <w:r>
        <w:instrText xml:space="preserve">PAGEREF _Toc216260230 \h</w:instrText>
      </w:r>
      <w:r>
        <w:rPr>
          <w:rFonts w:hint="eastAsia"/>
        </w:rPr>
        <w:instrText xml:space="preserve"> </w:instrText>
      </w:r>
      <w:r>
        <w:rPr>
          <w:rFonts w:hint="eastAsia"/>
        </w:rPr>
        <w:fldChar w:fldCharType="separate"/>
      </w:r>
      <w:r>
        <w:rPr>
          <w:rFonts w:hint="eastAsia"/>
        </w:rPr>
        <w:t>9</w:t>
      </w:r>
      <w:r>
        <w:rPr>
          <w:rFonts w:hint="eastAsia"/>
        </w:rPr>
        <w:fldChar w:fldCharType="end"/>
      </w:r>
      <w:r>
        <w:rPr>
          <w:rFonts w:hint="eastAsia"/>
        </w:rPr>
        <w:fldChar w:fldCharType="end"/>
      </w:r>
    </w:p>
    <w:p w14:paraId="3A0E27DC">
      <w:pPr>
        <w:pStyle w:val="31"/>
        <w:tabs>
          <w:tab w:val="right" w:leader="dot" w:pos="8720"/>
        </w:tabs>
        <w:rPr>
          <w:rFonts w:hint="eastAsia" w:asciiTheme="minorHAnsi" w:hAnsiTheme="minorHAnsi" w:eastAsiaTheme="minorEastAsia" w:cstheme="minorBidi"/>
          <w:b w:val="0"/>
          <w:bCs w:val="0"/>
          <w:caps w:val="0"/>
          <w:sz w:val="22"/>
          <w:szCs w:val="24"/>
          <w14:ligatures w14:val="standardContextual"/>
        </w:rPr>
      </w:pPr>
      <w:r>
        <w:fldChar w:fldCharType="begin"/>
      </w:r>
      <w:r>
        <w:instrText xml:space="preserve"> HYPERLINK \l "_Toc216260231" </w:instrText>
      </w:r>
      <w:r>
        <w:fldChar w:fldCharType="separate"/>
      </w:r>
      <w:r>
        <w:rPr>
          <w:rStyle w:val="59"/>
          <w:rFonts w:hint="eastAsia"/>
        </w:rPr>
        <w:t>2 总则</w:t>
      </w:r>
      <w:r>
        <w:rPr>
          <w:rFonts w:hint="eastAsia"/>
        </w:rPr>
        <w:tab/>
      </w:r>
      <w:r>
        <w:rPr>
          <w:rFonts w:hint="eastAsia"/>
        </w:rPr>
        <w:fldChar w:fldCharType="begin"/>
      </w:r>
      <w:r>
        <w:rPr>
          <w:rFonts w:hint="eastAsia"/>
        </w:rPr>
        <w:instrText xml:space="preserve"> </w:instrText>
      </w:r>
      <w:r>
        <w:instrText xml:space="preserve">PAGEREF _Toc216260231 \h</w:instrText>
      </w:r>
      <w:r>
        <w:rPr>
          <w:rFonts w:hint="eastAsia"/>
        </w:rPr>
        <w:instrText xml:space="preserve"> </w:instrText>
      </w:r>
      <w:r>
        <w:rPr>
          <w:rFonts w:hint="eastAsia"/>
        </w:rPr>
        <w:fldChar w:fldCharType="separate"/>
      </w:r>
      <w:r>
        <w:rPr>
          <w:rFonts w:hint="eastAsia"/>
        </w:rPr>
        <w:t>10</w:t>
      </w:r>
      <w:r>
        <w:rPr>
          <w:rFonts w:hint="eastAsia"/>
        </w:rPr>
        <w:fldChar w:fldCharType="end"/>
      </w:r>
      <w:r>
        <w:rPr>
          <w:rFonts w:hint="eastAsia"/>
        </w:rPr>
        <w:fldChar w:fldCharType="end"/>
      </w:r>
    </w:p>
    <w:p w14:paraId="4C1BF784">
      <w:pPr>
        <w:pStyle w:val="41"/>
        <w:tabs>
          <w:tab w:val="right" w:leader="dot" w:pos="8720"/>
        </w:tabs>
        <w:rPr>
          <w:rFonts w:hint="eastAsia" w:asciiTheme="minorHAnsi" w:hAnsiTheme="minorHAnsi" w:eastAsiaTheme="minorEastAsia" w:cstheme="minorBidi"/>
          <w:smallCaps w:val="0"/>
          <w:sz w:val="22"/>
          <w:szCs w:val="24"/>
          <w14:ligatures w14:val="standardContextual"/>
        </w:rPr>
      </w:pPr>
      <w:r>
        <w:fldChar w:fldCharType="begin"/>
      </w:r>
      <w:r>
        <w:instrText xml:space="preserve"> HYPERLINK \l "_Toc216260232" </w:instrText>
      </w:r>
      <w:r>
        <w:fldChar w:fldCharType="separate"/>
      </w:r>
      <w:r>
        <w:rPr>
          <w:rStyle w:val="59"/>
          <w:rFonts w:hint="eastAsia"/>
          <w:lang w:val="zh-CN"/>
        </w:rPr>
        <w:t>2.1 编制依据</w:t>
      </w:r>
      <w:r>
        <w:rPr>
          <w:rFonts w:hint="eastAsia"/>
        </w:rPr>
        <w:tab/>
      </w:r>
      <w:r>
        <w:rPr>
          <w:rFonts w:hint="eastAsia"/>
        </w:rPr>
        <w:fldChar w:fldCharType="begin"/>
      </w:r>
      <w:r>
        <w:rPr>
          <w:rFonts w:hint="eastAsia"/>
        </w:rPr>
        <w:instrText xml:space="preserve"> </w:instrText>
      </w:r>
      <w:r>
        <w:instrText xml:space="preserve">PAGEREF _Toc216260232 \h</w:instrText>
      </w:r>
      <w:r>
        <w:rPr>
          <w:rFonts w:hint="eastAsia"/>
        </w:rPr>
        <w:instrText xml:space="preserve"> </w:instrText>
      </w:r>
      <w:r>
        <w:rPr>
          <w:rFonts w:hint="eastAsia"/>
        </w:rPr>
        <w:fldChar w:fldCharType="separate"/>
      </w:r>
      <w:r>
        <w:rPr>
          <w:rFonts w:hint="eastAsia"/>
        </w:rPr>
        <w:t>10</w:t>
      </w:r>
      <w:r>
        <w:rPr>
          <w:rFonts w:hint="eastAsia"/>
        </w:rPr>
        <w:fldChar w:fldCharType="end"/>
      </w:r>
      <w:r>
        <w:rPr>
          <w:rFonts w:hint="eastAsia"/>
        </w:rPr>
        <w:fldChar w:fldCharType="end"/>
      </w:r>
    </w:p>
    <w:p w14:paraId="67F35F90">
      <w:pPr>
        <w:pStyle w:val="41"/>
        <w:tabs>
          <w:tab w:val="right" w:leader="dot" w:pos="8720"/>
        </w:tabs>
        <w:rPr>
          <w:rFonts w:hint="eastAsia" w:asciiTheme="minorHAnsi" w:hAnsiTheme="minorHAnsi" w:eastAsiaTheme="minorEastAsia" w:cstheme="minorBidi"/>
          <w:smallCaps w:val="0"/>
          <w:sz w:val="22"/>
          <w:szCs w:val="24"/>
          <w14:ligatures w14:val="standardContextual"/>
        </w:rPr>
      </w:pPr>
      <w:r>
        <w:fldChar w:fldCharType="begin"/>
      </w:r>
      <w:r>
        <w:instrText xml:space="preserve"> HYPERLINK \l "_Toc216260233" </w:instrText>
      </w:r>
      <w:r>
        <w:fldChar w:fldCharType="separate"/>
      </w:r>
      <w:r>
        <w:rPr>
          <w:rStyle w:val="59"/>
          <w:rFonts w:hint="eastAsia"/>
          <w:lang w:val="zh-CN"/>
        </w:rPr>
        <w:t>2.2 评价目的与原则</w:t>
      </w:r>
      <w:r>
        <w:rPr>
          <w:rFonts w:hint="eastAsia"/>
        </w:rPr>
        <w:tab/>
      </w:r>
      <w:r>
        <w:rPr>
          <w:rFonts w:hint="eastAsia"/>
        </w:rPr>
        <w:fldChar w:fldCharType="begin"/>
      </w:r>
      <w:r>
        <w:rPr>
          <w:rFonts w:hint="eastAsia"/>
        </w:rPr>
        <w:instrText xml:space="preserve"> </w:instrText>
      </w:r>
      <w:r>
        <w:instrText xml:space="preserve">PAGEREF _Toc216260233 \h</w:instrText>
      </w:r>
      <w:r>
        <w:rPr>
          <w:rFonts w:hint="eastAsia"/>
        </w:rPr>
        <w:instrText xml:space="preserve"> </w:instrText>
      </w:r>
      <w:r>
        <w:rPr>
          <w:rFonts w:hint="eastAsia"/>
        </w:rPr>
        <w:fldChar w:fldCharType="separate"/>
      </w:r>
      <w:r>
        <w:rPr>
          <w:rFonts w:hint="eastAsia"/>
        </w:rPr>
        <w:t>14</w:t>
      </w:r>
      <w:r>
        <w:rPr>
          <w:rFonts w:hint="eastAsia"/>
        </w:rPr>
        <w:fldChar w:fldCharType="end"/>
      </w:r>
      <w:r>
        <w:rPr>
          <w:rFonts w:hint="eastAsia"/>
        </w:rPr>
        <w:fldChar w:fldCharType="end"/>
      </w:r>
    </w:p>
    <w:p w14:paraId="7EA604A1">
      <w:pPr>
        <w:pStyle w:val="41"/>
        <w:tabs>
          <w:tab w:val="right" w:leader="dot" w:pos="8720"/>
        </w:tabs>
        <w:rPr>
          <w:rFonts w:hint="eastAsia" w:asciiTheme="minorHAnsi" w:hAnsiTheme="minorHAnsi" w:eastAsiaTheme="minorEastAsia" w:cstheme="minorBidi"/>
          <w:smallCaps w:val="0"/>
          <w:sz w:val="22"/>
          <w:szCs w:val="24"/>
          <w14:ligatures w14:val="standardContextual"/>
        </w:rPr>
      </w:pPr>
      <w:r>
        <w:fldChar w:fldCharType="begin"/>
      </w:r>
      <w:r>
        <w:instrText xml:space="preserve"> HYPERLINK \l "_Toc216260234" </w:instrText>
      </w:r>
      <w:r>
        <w:fldChar w:fldCharType="separate"/>
      </w:r>
      <w:r>
        <w:rPr>
          <w:rStyle w:val="59"/>
          <w:rFonts w:hint="eastAsia"/>
          <w:lang w:val="zh-CN"/>
        </w:rPr>
        <w:t>2.3 评价时段</w:t>
      </w:r>
      <w:r>
        <w:rPr>
          <w:rFonts w:hint="eastAsia"/>
        </w:rPr>
        <w:tab/>
      </w:r>
      <w:r>
        <w:rPr>
          <w:rFonts w:hint="eastAsia"/>
        </w:rPr>
        <w:fldChar w:fldCharType="begin"/>
      </w:r>
      <w:r>
        <w:rPr>
          <w:rFonts w:hint="eastAsia"/>
        </w:rPr>
        <w:instrText xml:space="preserve"> </w:instrText>
      </w:r>
      <w:r>
        <w:instrText xml:space="preserve">PAGEREF _Toc216260234 \h</w:instrText>
      </w:r>
      <w:r>
        <w:rPr>
          <w:rFonts w:hint="eastAsia"/>
        </w:rPr>
        <w:instrText xml:space="preserve"> </w:instrText>
      </w:r>
      <w:r>
        <w:rPr>
          <w:rFonts w:hint="eastAsia"/>
        </w:rPr>
        <w:fldChar w:fldCharType="separate"/>
      </w:r>
      <w:r>
        <w:rPr>
          <w:rFonts w:hint="eastAsia"/>
        </w:rPr>
        <w:t>15</w:t>
      </w:r>
      <w:r>
        <w:rPr>
          <w:rFonts w:hint="eastAsia"/>
        </w:rPr>
        <w:fldChar w:fldCharType="end"/>
      </w:r>
      <w:r>
        <w:rPr>
          <w:rFonts w:hint="eastAsia"/>
        </w:rPr>
        <w:fldChar w:fldCharType="end"/>
      </w:r>
    </w:p>
    <w:p w14:paraId="420C9537">
      <w:pPr>
        <w:pStyle w:val="41"/>
        <w:tabs>
          <w:tab w:val="right" w:leader="dot" w:pos="8720"/>
        </w:tabs>
        <w:rPr>
          <w:rFonts w:hint="eastAsia" w:asciiTheme="minorHAnsi" w:hAnsiTheme="minorHAnsi" w:eastAsiaTheme="minorEastAsia" w:cstheme="minorBidi"/>
          <w:smallCaps w:val="0"/>
          <w:sz w:val="22"/>
          <w:szCs w:val="24"/>
          <w14:ligatures w14:val="standardContextual"/>
        </w:rPr>
      </w:pPr>
      <w:r>
        <w:fldChar w:fldCharType="begin"/>
      </w:r>
      <w:r>
        <w:instrText xml:space="preserve"> HYPERLINK \l "_Toc216260235" </w:instrText>
      </w:r>
      <w:r>
        <w:fldChar w:fldCharType="separate"/>
      </w:r>
      <w:r>
        <w:rPr>
          <w:rStyle w:val="59"/>
          <w:rFonts w:hint="eastAsia"/>
          <w:lang w:val="zh-CN"/>
        </w:rPr>
        <w:t>2.4 环境影响因素识别与评价因子确定</w:t>
      </w:r>
      <w:r>
        <w:rPr>
          <w:rFonts w:hint="eastAsia"/>
        </w:rPr>
        <w:tab/>
      </w:r>
      <w:r>
        <w:rPr>
          <w:rFonts w:hint="eastAsia"/>
        </w:rPr>
        <w:fldChar w:fldCharType="begin"/>
      </w:r>
      <w:r>
        <w:rPr>
          <w:rFonts w:hint="eastAsia"/>
        </w:rPr>
        <w:instrText xml:space="preserve"> </w:instrText>
      </w:r>
      <w:r>
        <w:instrText xml:space="preserve">PAGEREF _Toc216260235 \h</w:instrText>
      </w:r>
      <w:r>
        <w:rPr>
          <w:rFonts w:hint="eastAsia"/>
        </w:rPr>
        <w:instrText xml:space="preserve"> </w:instrText>
      </w:r>
      <w:r>
        <w:rPr>
          <w:rFonts w:hint="eastAsia"/>
        </w:rPr>
        <w:fldChar w:fldCharType="separate"/>
      </w:r>
      <w:r>
        <w:rPr>
          <w:rFonts w:hint="eastAsia"/>
        </w:rPr>
        <w:t>15</w:t>
      </w:r>
      <w:r>
        <w:rPr>
          <w:rFonts w:hint="eastAsia"/>
        </w:rPr>
        <w:fldChar w:fldCharType="end"/>
      </w:r>
      <w:r>
        <w:rPr>
          <w:rFonts w:hint="eastAsia"/>
        </w:rPr>
        <w:fldChar w:fldCharType="end"/>
      </w:r>
    </w:p>
    <w:p w14:paraId="77C53B37">
      <w:pPr>
        <w:pStyle w:val="41"/>
        <w:tabs>
          <w:tab w:val="right" w:leader="dot" w:pos="8720"/>
        </w:tabs>
        <w:rPr>
          <w:rFonts w:hint="eastAsia" w:asciiTheme="minorHAnsi" w:hAnsiTheme="minorHAnsi" w:eastAsiaTheme="minorEastAsia" w:cstheme="minorBidi"/>
          <w:smallCaps w:val="0"/>
          <w:sz w:val="22"/>
          <w:szCs w:val="24"/>
          <w14:ligatures w14:val="standardContextual"/>
        </w:rPr>
      </w:pPr>
      <w:r>
        <w:fldChar w:fldCharType="begin"/>
      </w:r>
      <w:r>
        <w:instrText xml:space="preserve"> HYPERLINK \l "_Toc216260236" </w:instrText>
      </w:r>
      <w:r>
        <w:fldChar w:fldCharType="separate"/>
      </w:r>
      <w:r>
        <w:rPr>
          <w:rStyle w:val="59"/>
          <w:rFonts w:hint="eastAsia"/>
          <w:lang w:val="zh-CN"/>
        </w:rPr>
        <w:t>2.5 环境功能区划与评价标准</w:t>
      </w:r>
      <w:r>
        <w:rPr>
          <w:rFonts w:hint="eastAsia"/>
        </w:rPr>
        <w:tab/>
      </w:r>
      <w:r>
        <w:rPr>
          <w:rFonts w:hint="eastAsia"/>
        </w:rPr>
        <w:fldChar w:fldCharType="begin"/>
      </w:r>
      <w:r>
        <w:rPr>
          <w:rFonts w:hint="eastAsia"/>
        </w:rPr>
        <w:instrText xml:space="preserve"> </w:instrText>
      </w:r>
      <w:r>
        <w:instrText xml:space="preserve">PAGEREF _Toc216260236 \h</w:instrText>
      </w:r>
      <w:r>
        <w:rPr>
          <w:rFonts w:hint="eastAsia"/>
        </w:rPr>
        <w:instrText xml:space="preserve"> </w:instrText>
      </w:r>
      <w:r>
        <w:rPr>
          <w:rFonts w:hint="eastAsia"/>
        </w:rPr>
        <w:fldChar w:fldCharType="separate"/>
      </w:r>
      <w:r>
        <w:rPr>
          <w:rFonts w:hint="eastAsia"/>
        </w:rPr>
        <w:t>17</w:t>
      </w:r>
      <w:r>
        <w:rPr>
          <w:rFonts w:hint="eastAsia"/>
        </w:rPr>
        <w:fldChar w:fldCharType="end"/>
      </w:r>
      <w:r>
        <w:rPr>
          <w:rFonts w:hint="eastAsia"/>
        </w:rPr>
        <w:fldChar w:fldCharType="end"/>
      </w:r>
    </w:p>
    <w:p w14:paraId="647D9DD2">
      <w:pPr>
        <w:pStyle w:val="41"/>
        <w:tabs>
          <w:tab w:val="right" w:leader="dot" w:pos="8720"/>
        </w:tabs>
        <w:rPr>
          <w:rFonts w:hint="eastAsia" w:asciiTheme="minorHAnsi" w:hAnsiTheme="minorHAnsi" w:eastAsiaTheme="minorEastAsia" w:cstheme="minorBidi"/>
          <w:smallCaps w:val="0"/>
          <w:sz w:val="22"/>
          <w:szCs w:val="24"/>
          <w14:ligatures w14:val="standardContextual"/>
        </w:rPr>
      </w:pPr>
      <w:r>
        <w:fldChar w:fldCharType="begin"/>
      </w:r>
      <w:r>
        <w:instrText xml:space="preserve"> HYPERLINK \l "_Toc216260237" </w:instrText>
      </w:r>
      <w:r>
        <w:fldChar w:fldCharType="separate"/>
      </w:r>
      <w:r>
        <w:rPr>
          <w:rStyle w:val="59"/>
          <w:rFonts w:hint="eastAsia"/>
          <w:lang w:val="zh-CN"/>
        </w:rPr>
        <w:t>2.6 评价等级与</w:t>
      </w:r>
      <w:r>
        <w:rPr>
          <w:rStyle w:val="59"/>
          <w:rFonts w:hint="eastAsia"/>
        </w:rPr>
        <w:t>评价范围</w:t>
      </w:r>
      <w:r>
        <w:rPr>
          <w:rFonts w:hint="eastAsia"/>
        </w:rPr>
        <w:tab/>
      </w:r>
      <w:r>
        <w:rPr>
          <w:rFonts w:hint="eastAsia"/>
        </w:rPr>
        <w:fldChar w:fldCharType="begin"/>
      </w:r>
      <w:r>
        <w:rPr>
          <w:rFonts w:hint="eastAsia"/>
        </w:rPr>
        <w:instrText xml:space="preserve"> </w:instrText>
      </w:r>
      <w:r>
        <w:instrText xml:space="preserve">PAGEREF _Toc216260237 \h</w:instrText>
      </w:r>
      <w:r>
        <w:rPr>
          <w:rFonts w:hint="eastAsia"/>
        </w:rPr>
        <w:instrText xml:space="preserve"> </w:instrText>
      </w:r>
      <w:r>
        <w:rPr>
          <w:rFonts w:hint="eastAsia"/>
        </w:rPr>
        <w:fldChar w:fldCharType="separate"/>
      </w:r>
      <w:r>
        <w:rPr>
          <w:rFonts w:hint="eastAsia"/>
        </w:rPr>
        <w:t>21</w:t>
      </w:r>
      <w:r>
        <w:rPr>
          <w:rFonts w:hint="eastAsia"/>
        </w:rPr>
        <w:fldChar w:fldCharType="end"/>
      </w:r>
      <w:r>
        <w:rPr>
          <w:rFonts w:hint="eastAsia"/>
        </w:rPr>
        <w:fldChar w:fldCharType="end"/>
      </w:r>
    </w:p>
    <w:p w14:paraId="421C7068">
      <w:pPr>
        <w:pStyle w:val="41"/>
        <w:tabs>
          <w:tab w:val="right" w:leader="dot" w:pos="8720"/>
        </w:tabs>
        <w:rPr>
          <w:rFonts w:hint="eastAsia" w:asciiTheme="minorHAnsi" w:hAnsiTheme="minorHAnsi" w:eastAsiaTheme="minorEastAsia" w:cstheme="minorBidi"/>
          <w:smallCaps w:val="0"/>
          <w:sz w:val="22"/>
          <w:szCs w:val="24"/>
          <w14:ligatures w14:val="standardContextual"/>
        </w:rPr>
      </w:pPr>
      <w:r>
        <w:fldChar w:fldCharType="begin"/>
      </w:r>
      <w:r>
        <w:instrText xml:space="preserve"> HYPERLINK \l "_Toc216260238" </w:instrText>
      </w:r>
      <w:r>
        <w:fldChar w:fldCharType="separate"/>
      </w:r>
      <w:r>
        <w:rPr>
          <w:rStyle w:val="59"/>
          <w:rFonts w:hint="eastAsia"/>
          <w:lang w:val="zh-CN"/>
        </w:rPr>
        <w:t>2.7 环境保护目标</w:t>
      </w:r>
      <w:r>
        <w:rPr>
          <w:rFonts w:hint="eastAsia"/>
        </w:rPr>
        <w:tab/>
      </w:r>
      <w:r>
        <w:rPr>
          <w:rFonts w:hint="eastAsia"/>
        </w:rPr>
        <w:fldChar w:fldCharType="begin"/>
      </w:r>
      <w:r>
        <w:rPr>
          <w:rFonts w:hint="eastAsia"/>
        </w:rPr>
        <w:instrText xml:space="preserve"> </w:instrText>
      </w:r>
      <w:r>
        <w:instrText xml:space="preserve">PAGEREF _Toc216260238 \h</w:instrText>
      </w:r>
      <w:r>
        <w:rPr>
          <w:rFonts w:hint="eastAsia"/>
        </w:rPr>
        <w:instrText xml:space="preserve"> </w:instrText>
      </w:r>
      <w:r>
        <w:rPr>
          <w:rFonts w:hint="eastAsia"/>
        </w:rPr>
        <w:fldChar w:fldCharType="separate"/>
      </w:r>
      <w:r>
        <w:rPr>
          <w:rFonts w:hint="eastAsia"/>
        </w:rPr>
        <w:t>29</w:t>
      </w:r>
      <w:r>
        <w:rPr>
          <w:rFonts w:hint="eastAsia"/>
        </w:rPr>
        <w:fldChar w:fldCharType="end"/>
      </w:r>
      <w:r>
        <w:rPr>
          <w:rFonts w:hint="eastAsia"/>
        </w:rPr>
        <w:fldChar w:fldCharType="end"/>
      </w:r>
    </w:p>
    <w:p w14:paraId="58112DEE">
      <w:pPr>
        <w:pStyle w:val="41"/>
        <w:tabs>
          <w:tab w:val="right" w:leader="dot" w:pos="8720"/>
        </w:tabs>
        <w:rPr>
          <w:rFonts w:hint="eastAsia" w:asciiTheme="minorHAnsi" w:hAnsiTheme="minorHAnsi" w:eastAsiaTheme="minorEastAsia" w:cstheme="minorBidi"/>
          <w:smallCaps w:val="0"/>
          <w:sz w:val="22"/>
          <w:szCs w:val="24"/>
          <w14:ligatures w14:val="standardContextual"/>
        </w:rPr>
      </w:pPr>
      <w:r>
        <w:fldChar w:fldCharType="begin"/>
      </w:r>
      <w:r>
        <w:instrText xml:space="preserve"> HYPERLINK \l "_Toc216260239" </w:instrText>
      </w:r>
      <w:r>
        <w:fldChar w:fldCharType="separate"/>
      </w:r>
      <w:r>
        <w:rPr>
          <w:rStyle w:val="59"/>
          <w:rFonts w:hint="eastAsia"/>
        </w:rPr>
        <w:t>2.8 评价内容和评价重点</w:t>
      </w:r>
      <w:r>
        <w:rPr>
          <w:rFonts w:hint="eastAsia"/>
        </w:rPr>
        <w:tab/>
      </w:r>
      <w:r>
        <w:rPr>
          <w:rFonts w:hint="eastAsia"/>
        </w:rPr>
        <w:fldChar w:fldCharType="begin"/>
      </w:r>
      <w:r>
        <w:rPr>
          <w:rFonts w:hint="eastAsia"/>
        </w:rPr>
        <w:instrText xml:space="preserve"> </w:instrText>
      </w:r>
      <w:r>
        <w:instrText xml:space="preserve">PAGEREF _Toc216260239 \h</w:instrText>
      </w:r>
      <w:r>
        <w:rPr>
          <w:rFonts w:hint="eastAsia"/>
        </w:rPr>
        <w:instrText xml:space="preserve"> </w:instrText>
      </w:r>
      <w:r>
        <w:rPr>
          <w:rFonts w:hint="eastAsia"/>
        </w:rPr>
        <w:fldChar w:fldCharType="separate"/>
      </w:r>
      <w:r>
        <w:rPr>
          <w:rFonts w:hint="eastAsia"/>
        </w:rPr>
        <w:t>30</w:t>
      </w:r>
      <w:r>
        <w:rPr>
          <w:rFonts w:hint="eastAsia"/>
        </w:rPr>
        <w:fldChar w:fldCharType="end"/>
      </w:r>
      <w:r>
        <w:rPr>
          <w:rFonts w:hint="eastAsia"/>
        </w:rPr>
        <w:fldChar w:fldCharType="end"/>
      </w:r>
    </w:p>
    <w:p w14:paraId="261BEFBC">
      <w:pPr>
        <w:pStyle w:val="41"/>
        <w:tabs>
          <w:tab w:val="right" w:leader="dot" w:pos="8720"/>
        </w:tabs>
        <w:rPr>
          <w:rFonts w:hint="eastAsia" w:asciiTheme="minorHAnsi" w:hAnsiTheme="minorHAnsi" w:eastAsiaTheme="minorEastAsia" w:cstheme="minorBidi"/>
          <w:smallCaps w:val="0"/>
          <w:sz w:val="22"/>
          <w:szCs w:val="24"/>
          <w14:ligatures w14:val="standardContextual"/>
        </w:rPr>
      </w:pPr>
      <w:r>
        <w:fldChar w:fldCharType="begin"/>
      </w:r>
      <w:r>
        <w:instrText xml:space="preserve"> HYPERLINK \l "_Toc216260240" </w:instrText>
      </w:r>
      <w:r>
        <w:fldChar w:fldCharType="separate"/>
      </w:r>
      <w:r>
        <w:rPr>
          <w:rStyle w:val="59"/>
          <w:rFonts w:hint="eastAsia"/>
          <w:lang w:val="zh-CN"/>
        </w:rPr>
        <w:t>2.9 相关规划</w:t>
      </w:r>
      <w:r>
        <w:rPr>
          <w:rStyle w:val="59"/>
          <w:rFonts w:hint="eastAsia"/>
        </w:rPr>
        <w:t>及政策符合性分析</w:t>
      </w:r>
      <w:r>
        <w:rPr>
          <w:rFonts w:hint="eastAsia"/>
        </w:rPr>
        <w:tab/>
      </w:r>
      <w:r>
        <w:rPr>
          <w:rFonts w:hint="eastAsia"/>
        </w:rPr>
        <w:fldChar w:fldCharType="begin"/>
      </w:r>
      <w:r>
        <w:rPr>
          <w:rFonts w:hint="eastAsia"/>
        </w:rPr>
        <w:instrText xml:space="preserve"> </w:instrText>
      </w:r>
      <w:r>
        <w:instrText xml:space="preserve">PAGEREF _Toc216260240 \h</w:instrText>
      </w:r>
      <w:r>
        <w:rPr>
          <w:rFonts w:hint="eastAsia"/>
        </w:rPr>
        <w:instrText xml:space="preserve"> </w:instrText>
      </w:r>
      <w:r>
        <w:rPr>
          <w:rFonts w:hint="eastAsia"/>
        </w:rPr>
        <w:fldChar w:fldCharType="separate"/>
      </w:r>
      <w:r>
        <w:rPr>
          <w:rFonts w:hint="eastAsia"/>
        </w:rPr>
        <w:t>31</w:t>
      </w:r>
      <w:r>
        <w:rPr>
          <w:rFonts w:hint="eastAsia"/>
        </w:rPr>
        <w:fldChar w:fldCharType="end"/>
      </w:r>
      <w:r>
        <w:rPr>
          <w:rFonts w:hint="eastAsia"/>
        </w:rPr>
        <w:fldChar w:fldCharType="end"/>
      </w:r>
    </w:p>
    <w:p w14:paraId="18C8C4D5">
      <w:pPr>
        <w:pStyle w:val="31"/>
        <w:tabs>
          <w:tab w:val="right" w:leader="dot" w:pos="8720"/>
        </w:tabs>
        <w:rPr>
          <w:rFonts w:hint="eastAsia" w:asciiTheme="minorHAnsi" w:hAnsiTheme="minorHAnsi" w:eastAsiaTheme="minorEastAsia" w:cstheme="minorBidi"/>
          <w:b w:val="0"/>
          <w:bCs w:val="0"/>
          <w:caps w:val="0"/>
          <w:sz w:val="22"/>
          <w:szCs w:val="24"/>
          <w14:ligatures w14:val="standardContextual"/>
        </w:rPr>
      </w:pPr>
      <w:r>
        <w:fldChar w:fldCharType="begin"/>
      </w:r>
      <w:r>
        <w:instrText xml:space="preserve"> HYPERLINK \l "_Toc216260241" </w:instrText>
      </w:r>
      <w:r>
        <w:fldChar w:fldCharType="separate"/>
      </w:r>
      <w:r>
        <w:rPr>
          <w:rStyle w:val="59"/>
          <w:rFonts w:hint="eastAsia"/>
        </w:rPr>
        <w:t>3 建设项目工程分析</w:t>
      </w:r>
      <w:r>
        <w:rPr>
          <w:rFonts w:hint="eastAsia"/>
        </w:rPr>
        <w:tab/>
      </w:r>
      <w:r>
        <w:rPr>
          <w:rFonts w:hint="eastAsia"/>
        </w:rPr>
        <w:fldChar w:fldCharType="begin"/>
      </w:r>
      <w:r>
        <w:rPr>
          <w:rFonts w:hint="eastAsia"/>
        </w:rPr>
        <w:instrText xml:space="preserve"> </w:instrText>
      </w:r>
      <w:r>
        <w:instrText xml:space="preserve">PAGEREF _Toc216260241 \h</w:instrText>
      </w:r>
      <w:r>
        <w:rPr>
          <w:rFonts w:hint="eastAsia"/>
        </w:rPr>
        <w:instrText xml:space="preserve"> </w:instrText>
      </w:r>
      <w:r>
        <w:rPr>
          <w:rFonts w:hint="eastAsia"/>
        </w:rPr>
        <w:fldChar w:fldCharType="separate"/>
      </w:r>
      <w:r>
        <w:rPr>
          <w:rFonts w:hint="eastAsia"/>
        </w:rPr>
        <w:t>49</w:t>
      </w:r>
      <w:r>
        <w:rPr>
          <w:rFonts w:hint="eastAsia"/>
        </w:rPr>
        <w:fldChar w:fldCharType="end"/>
      </w:r>
      <w:r>
        <w:rPr>
          <w:rFonts w:hint="eastAsia"/>
        </w:rPr>
        <w:fldChar w:fldCharType="end"/>
      </w:r>
    </w:p>
    <w:p w14:paraId="6933E86F">
      <w:pPr>
        <w:pStyle w:val="41"/>
        <w:tabs>
          <w:tab w:val="right" w:leader="dot" w:pos="8720"/>
        </w:tabs>
        <w:rPr>
          <w:rFonts w:hint="eastAsia" w:asciiTheme="minorHAnsi" w:hAnsiTheme="minorHAnsi" w:eastAsiaTheme="minorEastAsia" w:cstheme="minorBidi"/>
          <w:smallCaps w:val="0"/>
          <w:sz w:val="22"/>
          <w:szCs w:val="24"/>
          <w14:ligatures w14:val="standardContextual"/>
        </w:rPr>
      </w:pPr>
      <w:r>
        <w:fldChar w:fldCharType="begin"/>
      </w:r>
      <w:r>
        <w:instrText xml:space="preserve"> HYPERLINK \l "_Toc216260242" </w:instrText>
      </w:r>
      <w:r>
        <w:fldChar w:fldCharType="separate"/>
      </w:r>
      <w:r>
        <w:rPr>
          <w:rStyle w:val="59"/>
          <w:rFonts w:hint="eastAsia"/>
        </w:rPr>
        <w:t>3.1 现有工程概况及环境影响回顾</w:t>
      </w:r>
      <w:r>
        <w:rPr>
          <w:rFonts w:hint="eastAsia"/>
        </w:rPr>
        <w:tab/>
      </w:r>
      <w:r>
        <w:rPr>
          <w:rFonts w:hint="eastAsia"/>
        </w:rPr>
        <w:fldChar w:fldCharType="begin"/>
      </w:r>
      <w:r>
        <w:rPr>
          <w:rFonts w:hint="eastAsia"/>
        </w:rPr>
        <w:instrText xml:space="preserve"> </w:instrText>
      </w:r>
      <w:r>
        <w:instrText xml:space="preserve">PAGEREF _Toc216260242 \h</w:instrText>
      </w:r>
      <w:r>
        <w:rPr>
          <w:rFonts w:hint="eastAsia"/>
        </w:rPr>
        <w:instrText xml:space="preserve"> </w:instrText>
      </w:r>
      <w:r>
        <w:rPr>
          <w:rFonts w:hint="eastAsia"/>
        </w:rPr>
        <w:fldChar w:fldCharType="separate"/>
      </w:r>
      <w:r>
        <w:rPr>
          <w:rFonts w:hint="eastAsia"/>
        </w:rPr>
        <w:t>49</w:t>
      </w:r>
      <w:r>
        <w:rPr>
          <w:rFonts w:hint="eastAsia"/>
        </w:rPr>
        <w:fldChar w:fldCharType="end"/>
      </w:r>
      <w:r>
        <w:rPr>
          <w:rFonts w:hint="eastAsia"/>
        </w:rPr>
        <w:fldChar w:fldCharType="end"/>
      </w:r>
    </w:p>
    <w:p w14:paraId="2546AC47">
      <w:pPr>
        <w:pStyle w:val="41"/>
        <w:tabs>
          <w:tab w:val="right" w:leader="dot" w:pos="8720"/>
        </w:tabs>
        <w:rPr>
          <w:rFonts w:hint="eastAsia" w:asciiTheme="minorHAnsi" w:hAnsiTheme="minorHAnsi" w:eastAsiaTheme="minorEastAsia" w:cstheme="minorBidi"/>
          <w:smallCaps w:val="0"/>
          <w:sz w:val="22"/>
          <w:szCs w:val="24"/>
          <w14:ligatures w14:val="standardContextual"/>
        </w:rPr>
      </w:pPr>
      <w:r>
        <w:fldChar w:fldCharType="begin"/>
      </w:r>
      <w:r>
        <w:instrText xml:space="preserve"> HYPERLINK \l "_Toc216260245" </w:instrText>
      </w:r>
      <w:r>
        <w:fldChar w:fldCharType="separate"/>
      </w:r>
      <w:r>
        <w:rPr>
          <w:rStyle w:val="59"/>
          <w:rFonts w:hint="eastAsia"/>
        </w:rPr>
        <w:t>3.2 改扩建项目工程概况</w:t>
      </w:r>
      <w:r>
        <w:rPr>
          <w:rFonts w:hint="eastAsia"/>
        </w:rPr>
        <w:tab/>
      </w:r>
      <w:r>
        <w:rPr>
          <w:rFonts w:hint="eastAsia"/>
        </w:rPr>
        <w:fldChar w:fldCharType="begin"/>
      </w:r>
      <w:r>
        <w:rPr>
          <w:rFonts w:hint="eastAsia"/>
        </w:rPr>
        <w:instrText xml:space="preserve"> </w:instrText>
      </w:r>
      <w:r>
        <w:instrText xml:space="preserve">PAGEREF _Toc216260245 \h</w:instrText>
      </w:r>
      <w:r>
        <w:rPr>
          <w:rFonts w:hint="eastAsia"/>
        </w:rPr>
        <w:instrText xml:space="preserve"> </w:instrText>
      </w:r>
      <w:r>
        <w:rPr>
          <w:rFonts w:hint="eastAsia"/>
        </w:rPr>
        <w:fldChar w:fldCharType="separate"/>
      </w:r>
      <w:r>
        <w:rPr>
          <w:rFonts w:hint="eastAsia"/>
        </w:rPr>
        <w:t>62</w:t>
      </w:r>
      <w:r>
        <w:rPr>
          <w:rFonts w:hint="eastAsia"/>
        </w:rPr>
        <w:fldChar w:fldCharType="end"/>
      </w:r>
      <w:r>
        <w:rPr>
          <w:rFonts w:hint="eastAsia"/>
        </w:rPr>
        <w:fldChar w:fldCharType="end"/>
      </w:r>
    </w:p>
    <w:p w14:paraId="234BDAC3">
      <w:pPr>
        <w:pStyle w:val="41"/>
        <w:tabs>
          <w:tab w:val="right" w:leader="dot" w:pos="8720"/>
        </w:tabs>
        <w:rPr>
          <w:rFonts w:hint="eastAsia" w:asciiTheme="minorHAnsi" w:hAnsiTheme="minorHAnsi" w:eastAsiaTheme="minorEastAsia" w:cstheme="minorBidi"/>
          <w:smallCaps w:val="0"/>
          <w:sz w:val="22"/>
          <w:szCs w:val="24"/>
          <w14:ligatures w14:val="standardContextual"/>
        </w:rPr>
      </w:pPr>
      <w:r>
        <w:fldChar w:fldCharType="begin"/>
      </w:r>
      <w:r>
        <w:instrText xml:space="preserve"> HYPERLINK \l "_Toc216260246" </w:instrText>
      </w:r>
      <w:r>
        <w:fldChar w:fldCharType="separate"/>
      </w:r>
      <w:r>
        <w:rPr>
          <w:rStyle w:val="59"/>
          <w:rFonts w:hint="eastAsia"/>
        </w:rPr>
        <w:t>3.3 污染源源强核算</w:t>
      </w:r>
      <w:r>
        <w:rPr>
          <w:rFonts w:hint="eastAsia"/>
        </w:rPr>
        <w:tab/>
      </w:r>
      <w:r>
        <w:rPr>
          <w:rFonts w:hint="eastAsia"/>
        </w:rPr>
        <w:fldChar w:fldCharType="begin"/>
      </w:r>
      <w:r>
        <w:rPr>
          <w:rFonts w:hint="eastAsia"/>
        </w:rPr>
        <w:instrText xml:space="preserve"> </w:instrText>
      </w:r>
      <w:r>
        <w:instrText xml:space="preserve">PAGEREF _Toc216260246 \h</w:instrText>
      </w:r>
      <w:r>
        <w:rPr>
          <w:rFonts w:hint="eastAsia"/>
        </w:rPr>
        <w:instrText xml:space="preserve"> </w:instrText>
      </w:r>
      <w:r>
        <w:rPr>
          <w:rFonts w:hint="eastAsia"/>
        </w:rPr>
        <w:fldChar w:fldCharType="separate"/>
      </w:r>
      <w:r>
        <w:rPr>
          <w:rFonts w:hint="eastAsia"/>
        </w:rPr>
        <w:t>86</w:t>
      </w:r>
      <w:r>
        <w:rPr>
          <w:rFonts w:hint="eastAsia"/>
        </w:rPr>
        <w:fldChar w:fldCharType="end"/>
      </w:r>
      <w:r>
        <w:rPr>
          <w:rFonts w:hint="eastAsia"/>
        </w:rPr>
        <w:fldChar w:fldCharType="end"/>
      </w:r>
    </w:p>
    <w:p w14:paraId="301442CF">
      <w:pPr>
        <w:pStyle w:val="41"/>
        <w:tabs>
          <w:tab w:val="right" w:leader="dot" w:pos="8720"/>
        </w:tabs>
        <w:rPr>
          <w:rFonts w:hint="eastAsia" w:asciiTheme="minorHAnsi" w:hAnsiTheme="minorHAnsi" w:eastAsiaTheme="minorEastAsia" w:cstheme="minorBidi"/>
          <w:smallCaps w:val="0"/>
          <w:sz w:val="22"/>
          <w:szCs w:val="24"/>
          <w14:ligatures w14:val="standardContextual"/>
        </w:rPr>
      </w:pPr>
      <w:r>
        <w:fldChar w:fldCharType="begin"/>
      </w:r>
      <w:r>
        <w:instrText xml:space="preserve"> HYPERLINK \l "_Toc216260247" </w:instrText>
      </w:r>
      <w:r>
        <w:fldChar w:fldCharType="separate"/>
      </w:r>
      <w:r>
        <w:rPr>
          <w:rStyle w:val="59"/>
          <w:rFonts w:hint="eastAsia"/>
        </w:rPr>
        <w:t>3.4 总量控制指标</w:t>
      </w:r>
      <w:r>
        <w:rPr>
          <w:rFonts w:hint="eastAsia"/>
        </w:rPr>
        <w:tab/>
      </w:r>
      <w:r>
        <w:rPr>
          <w:rFonts w:hint="eastAsia"/>
        </w:rPr>
        <w:fldChar w:fldCharType="begin"/>
      </w:r>
      <w:r>
        <w:rPr>
          <w:rFonts w:hint="eastAsia"/>
        </w:rPr>
        <w:instrText xml:space="preserve"> </w:instrText>
      </w:r>
      <w:r>
        <w:instrText xml:space="preserve">PAGEREF _Toc216260247 \h</w:instrText>
      </w:r>
      <w:r>
        <w:rPr>
          <w:rFonts w:hint="eastAsia"/>
        </w:rPr>
        <w:instrText xml:space="preserve"> </w:instrText>
      </w:r>
      <w:r>
        <w:rPr>
          <w:rFonts w:hint="eastAsia"/>
        </w:rPr>
        <w:fldChar w:fldCharType="separate"/>
      </w:r>
      <w:r>
        <w:rPr>
          <w:rFonts w:hint="eastAsia"/>
        </w:rPr>
        <w:t>101</w:t>
      </w:r>
      <w:r>
        <w:rPr>
          <w:rFonts w:hint="eastAsia"/>
        </w:rPr>
        <w:fldChar w:fldCharType="end"/>
      </w:r>
      <w:r>
        <w:rPr>
          <w:rFonts w:hint="eastAsia"/>
        </w:rPr>
        <w:fldChar w:fldCharType="end"/>
      </w:r>
    </w:p>
    <w:p w14:paraId="1453BC1E">
      <w:pPr>
        <w:pStyle w:val="41"/>
        <w:tabs>
          <w:tab w:val="right" w:leader="dot" w:pos="8720"/>
        </w:tabs>
        <w:rPr>
          <w:rFonts w:hint="eastAsia" w:asciiTheme="minorHAnsi" w:hAnsiTheme="minorHAnsi" w:eastAsiaTheme="minorEastAsia" w:cstheme="minorBidi"/>
          <w:smallCaps w:val="0"/>
          <w:sz w:val="22"/>
          <w:szCs w:val="24"/>
          <w14:ligatures w14:val="standardContextual"/>
        </w:rPr>
      </w:pPr>
      <w:r>
        <w:fldChar w:fldCharType="begin"/>
      </w:r>
      <w:r>
        <w:instrText xml:space="preserve"> HYPERLINK \l "_Toc216260248" </w:instrText>
      </w:r>
      <w:r>
        <w:fldChar w:fldCharType="separate"/>
      </w:r>
      <w:r>
        <w:rPr>
          <w:rStyle w:val="59"/>
          <w:rFonts w:hint="eastAsia"/>
        </w:rPr>
        <w:t>3.5 清洁生产分析</w:t>
      </w:r>
      <w:r>
        <w:rPr>
          <w:rFonts w:hint="eastAsia"/>
        </w:rPr>
        <w:tab/>
      </w:r>
      <w:r>
        <w:rPr>
          <w:rFonts w:hint="eastAsia"/>
        </w:rPr>
        <w:fldChar w:fldCharType="begin"/>
      </w:r>
      <w:r>
        <w:rPr>
          <w:rFonts w:hint="eastAsia"/>
        </w:rPr>
        <w:instrText xml:space="preserve"> </w:instrText>
      </w:r>
      <w:r>
        <w:instrText xml:space="preserve">PAGEREF _Toc216260248 \h</w:instrText>
      </w:r>
      <w:r>
        <w:rPr>
          <w:rFonts w:hint="eastAsia"/>
        </w:rPr>
        <w:instrText xml:space="preserve"> </w:instrText>
      </w:r>
      <w:r>
        <w:rPr>
          <w:rFonts w:hint="eastAsia"/>
        </w:rPr>
        <w:fldChar w:fldCharType="separate"/>
      </w:r>
      <w:r>
        <w:rPr>
          <w:rFonts w:hint="eastAsia"/>
        </w:rPr>
        <w:t>101</w:t>
      </w:r>
      <w:r>
        <w:rPr>
          <w:rFonts w:hint="eastAsia"/>
        </w:rPr>
        <w:fldChar w:fldCharType="end"/>
      </w:r>
      <w:r>
        <w:rPr>
          <w:rFonts w:hint="eastAsia"/>
        </w:rPr>
        <w:fldChar w:fldCharType="end"/>
      </w:r>
    </w:p>
    <w:p w14:paraId="6B649839">
      <w:pPr>
        <w:pStyle w:val="31"/>
        <w:tabs>
          <w:tab w:val="right" w:leader="dot" w:pos="8720"/>
        </w:tabs>
        <w:rPr>
          <w:rFonts w:hint="eastAsia" w:asciiTheme="minorHAnsi" w:hAnsiTheme="minorHAnsi" w:eastAsiaTheme="minorEastAsia" w:cstheme="minorBidi"/>
          <w:b w:val="0"/>
          <w:bCs w:val="0"/>
          <w:caps w:val="0"/>
          <w:sz w:val="22"/>
          <w:szCs w:val="24"/>
          <w14:ligatures w14:val="standardContextual"/>
        </w:rPr>
      </w:pPr>
      <w:r>
        <w:fldChar w:fldCharType="begin"/>
      </w:r>
      <w:r>
        <w:instrText xml:space="preserve"> HYPERLINK \l "_Toc216260249" </w:instrText>
      </w:r>
      <w:r>
        <w:fldChar w:fldCharType="separate"/>
      </w:r>
      <w:r>
        <w:rPr>
          <w:rStyle w:val="59"/>
          <w:rFonts w:hint="eastAsia"/>
        </w:rPr>
        <w:t>4 环境质量现状调查与评价</w:t>
      </w:r>
      <w:r>
        <w:rPr>
          <w:rFonts w:hint="eastAsia"/>
        </w:rPr>
        <w:tab/>
      </w:r>
      <w:r>
        <w:rPr>
          <w:rFonts w:hint="eastAsia"/>
        </w:rPr>
        <w:fldChar w:fldCharType="begin"/>
      </w:r>
      <w:r>
        <w:rPr>
          <w:rFonts w:hint="eastAsia"/>
        </w:rPr>
        <w:instrText xml:space="preserve"> </w:instrText>
      </w:r>
      <w:r>
        <w:instrText xml:space="preserve">PAGEREF _Toc216260249 \h</w:instrText>
      </w:r>
      <w:r>
        <w:rPr>
          <w:rFonts w:hint="eastAsia"/>
        </w:rPr>
        <w:instrText xml:space="preserve"> </w:instrText>
      </w:r>
      <w:r>
        <w:rPr>
          <w:rFonts w:hint="eastAsia"/>
        </w:rPr>
        <w:fldChar w:fldCharType="separate"/>
      </w:r>
      <w:r>
        <w:rPr>
          <w:rFonts w:hint="eastAsia"/>
        </w:rPr>
        <w:t>105</w:t>
      </w:r>
      <w:r>
        <w:rPr>
          <w:rFonts w:hint="eastAsia"/>
        </w:rPr>
        <w:fldChar w:fldCharType="end"/>
      </w:r>
      <w:r>
        <w:rPr>
          <w:rFonts w:hint="eastAsia"/>
        </w:rPr>
        <w:fldChar w:fldCharType="end"/>
      </w:r>
    </w:p>
    <w:p w14:paraId="0D30ADEF">
      <w:pPr>
        <w:pStyle w:val="41"/>
        <w:tabs>
          <w:tab w:val="right" w:leader="dot" w:pos="8720"/>
        </w:tabs>
        <w:rPr>
          <w:rFonts w:hint="eastAsia" w:asciiTheme="minorHAnsi" w:hAnsiTheme="minorHAnsi" w:eastAsiaTheme="minorEastAsia" w:cstheme="minorBidi"/>
          <w:smallCaps w:val="0"/>
          <w:sz w:val="22"/>
          <w:szCs w:val="24"/>
          <w14:ligatures w14:val="standardContextual"/>
        </w:rPr>
      </w:pPr>
      <w:r>
        <w:fldChar w:fldCharType="begin"/>
      </w:r>
      <w:r>
        <w:instrText xml:space="preserve"> HYPERLINK \l "_Toc216260250" </w:instrText>
      </w:r>
      <w:r>
        <w:fldChar w:fldCharType="separate"/>
      </w:r>
      <w:r>
        <w:rPr>
          <w:rStyle w:val="59"/>
          <w:rFonts w:hint="eastAsia"/>
        </w:rPr>
        <w:t>4.1 自然环境现状调查与评价</w:t>
      </w:r>
      <w:r>
        <w:rPr>
          <w:rFonts w:hint="eastAsia"/>
        </w:rPr>
        <w:tab/>
      </w:r>
      <w:r>
        <w:rPr>
          <w:rFonts w:hint="eastAsia"/>
        </w:rPr>
        <w:fldChar w:fldCharType="begin"/>
      </w:r>
      <w:r>
        <w:rPr>
          <w:rFonts w:hint="eastAsia"/>
        </w:rPr>
        <w:instrText xml:space="preserve"> </w:instrText>
      </w:r>
      <w:r>
        <w:instrText xml:space="preserve">PAGEREF _Toc216260250 \h</w:instrText>
      </w:r>
      <w:r>
        <w:rPr>
          <w:rFonts w:hint="eastAsia"/>
        </w:rPr>
        <w:instrText xml:space="preserve"> </w:instrText>
      </w:r>
      <w:r>
        <w:rPr>
          <w:rFonts w:hint="eastAsia"/>
        </w:rPr>
        <w:fldChar w:fldCharType="separate"/>
      </w:r>
      <w:r>
        <w:rPr>
          <w:rFonts w:hint="eastAsia"/>
        </w:rPr>
        <w:t>105</w:t>
      </w:r>
      <w:r>
        <w:rPr>
          <w:rFonts w:hint="eastAsia"/>
        </w:rPr>
        <w:fldChar w:fldCharType="end"/>
      </w:r>
      <w:r>
        <w:rPr>
          <w:rFonts w:hint="eastAsia"/>
        </w:rPr>
        <w:fldChar w:fldCharType="end"/>
      </w:r>
    </w:p>
    <w:p w14:paraId="1F8D5A9B">
      <w:pPr>
        <w:pStyle w:val="41"/>
        <w:tabs>
          <w:tab w:val="right" w:leader="dot" w:pos="8720"/>
        </w:tabs>
        <w:rPr>
          <w:rFonts w:hint="eastAsia" w:asciiTheme="minorHAnsi" w:hAnsiTheme="minorHAnsi" w:eastAsiaTheme="minorEastAsia" w:cstheme="minorBidi"/>
          <w:smallCaps w:val="0"/>
          <w:sz w:val="22"/>
          <w:szCs w:val="24"/>
          <w14:ligatures w14:val="standardContextual"/>
        </w:rPr>
      </w:pPr>
      <w:r>
        <w:fldChar w:fldCharType="begin"/>
      </w:r>
      <w:r>
        <w:instrText xml:space="preserve"> HYPERLINK \l "_Toc216260251" </w:instrText>
      </w:r>
      <w:r>
        <w:fldChar w:fldCharType="separate"/>
      </w:r>
      <w:r>
        <w:rPr>
          <w:rStyle w:val="59"/>
          <w:rFonts w:hint="eastAsia"/>
        </w:rPr>
        <w:t>4.2 环境保护目标调查</w:t>
      </w:r>
      <w:r>
        <w:rPr>
          <w:rFonts w:hint="eastAsia"/>
        </w:rPr>
        <w:tab/>
      </w:r>
      <w:r>
        <w:rPr>
          <w:rFonts w:hint="eastAsia"/>
        </w:rPr>
        <w:fldChar w:fldCharType="begin"/>
      </w:r>
      <w:r>
        <w:rPr>
          <w:rFonts w:hint="eastAsia"/>
        </w:rPr>
        <w:instrText xml:space="preserve"> </w:instrText>
      </w:r>
      <w:r>
        <w:instrText xml:space="preserve">PAGEREF _Toc216260251 \h</w:instrText>
      </w:r>
      <w:r>
        <w:rPr>
          <w:rFonts w:hint="eastAsia"/>
        </w:rPr>
        <w:instrText xml:space="preserve"> </w:instrText>
      </w:r>
      <w:r>
        <w:rPr>
          <w:rFonts w:hint="eastAsia"/>
        </w:rPr>
        <w:fldChar w:fldCharType="separate"/>
      </w:r>
      <w:r>
        <w:rPr>
          <w:rFonts w:hint="eastAsia"/>
        </w:rPr>
        <w:t>108</w:t>
      </w:r>
      <w:r>
        <w:rPr>
          <w:rFonts w:hint="eastAsia"/>
        </w:rPr>
        <w:fldChar w:fldCharType="end"/>
      </w:r>
      <w:r>
        <w:rPr>
          <w:rFonts w:hint="eastAsia"/>
        </w:rPr>
        <w:fldChar w:fldCharType="end"/>
      </w:r>
    </w:p>
    <w:p w14:paraId="0CD9A94E">
      <w:pPr>
        <w:pStyle w:val="41"/>
        <w:tabs>
          <w:tab w:val="right" w:leader="dot" w:pos="8720"/>
        </w:tabs>
        <w:rPr>
          <w:rFonts w:hint="eastAsia" w:asciiTheme="minorHAnsi" w:hAnsiTheme="minorHAnsi" w:eastAsiaTheme="minorEastAsia" w:cstheme="minorBidi"/>
          <w:smallCaps w:val="0"/>
          <w:sz w:val="22"/>
          <w:szCs w:val="24"/>
          <w14:ligatures w14:val="standardContextual"/>
        </w:rPr>
      </w:pPr>
      <w:r>
        <w:fldChar w:fldCharType="begin"/>
      </w:r>
      <w:r>
        <w:instrText xml:space="preserve"> HYPERLINK \l "_Toc216260252" </w:instrText>
      </w:r>
      <w:r>
        <w:fldChar w:fldCharType="separate"/>
      </w:r>
      <w:r>
        <w:rPr>
          <w:rStyle w:val="59"/>
          <w:rFonts w:hint="eastAsia"/>
        </w:rPr>
        <w:t>4.3 环境质量现状调查与评价</w:t>
      </w:r>
      <w:r>
        <w:rPr>
          <w:rFonts w:hint="eastAsia"/>
        </w:rPr>
        <w:tab/>
      </w:r>
      <w:r>
        <w:rPr>
          <w:rFonts w:hint="eastAsia"/>
        </w:rPr>
        <w:fldChar w:fldCharType="begin"/>
      </w:r>
      <w:r>
        <w:rPr>
          <w:rFonts w:hint="eastAsia"/>
        </w:rPr>
        <w:instrText xml:space="preserve"> </w:instrText>
      </w:r>
      <w:r>
        <w:instrText xml:space="preserve">PAGEREF _Toc216260252 \h</w:instrText>
      </w:r>
      <w:r>
        <w:rPr>
          <w:rFonts w:hint="eastAsia"/>
        </w:rPr>
        <w:instrText xml:space="preserve"> </w:instrText>
      </w:r>
      <w:r>
        <w:rPr>
          <w:rFonts w:hint="eastAsia"/>
        </w:rPr>
        <w:fldChar w:fldCharType="separate"/>
      </w:r>
      <w:r>
        <w:rPr>
          <w:rFonts w:hint="eastAsia"/>
        </w:rPr>
        <w:t>108</w:t>
      </w:r>
      <w:r>
        <w:rPr>
          <w:rFonts w:hint="eastAsia"/>
        </w:rPr>
        <w:fldChar w:fldCharType="end"/>
      </w:r>
      <w:r>
        <w:rPr>
          <w:rFonts w:hint="eastAsia"/>
        </w:rPr>
        <w:fldChar w:fldCharType="end"/>
      </w:r>
    </w:p>
    <w:p w14:paraId="5FC2A33F">
      <w:pPr>
        <w:pStyle w:val="31"/>
        <w:tabs>
          <w:tab w:val="right" w:leader="dot" w:pos="8720"/>
        </w:tabs>
        <w:rPr>
          <w:rFonts w:hint="eastAsia" w:asciiTheme="minorHAnsi" w:hAnsiTheme="minorHAnsi" w:eastAsiaTheme="minorEastAsia" w:cstheme="minorBidi"/>
          <w:b w:val="0"/>
          <w:bCs w:val="0"/>
          <w:caps w:val="0"/>
          <w:sz w:val="22"/>
          <w:szCs w:val="24"/>
          <w14:ligatures w14:val="standardContextual"/>
        </w:rPr>
      </w:pPr>
      <w:r>
        <w:fldChar w:fldCharType="begin"/>
      </w:r>
      <w:r>
        <w:instrText xml:space="preserve"> HYPERLINK \l "_Toc216260308" </w:instrText>
      </w:r>
      <w:r>
        <w:fldChar w:fldCharType="separate"/>
      </w:r>
      <w:r>
        <w:rPr>
          <w:rStyle w:val="59"/>
          <w:rFonts w:hint="eastAsia"/>
        </w:rPr>
        <w:t>5 环境影响预测与评价</w:t>
      </w:r>
      <w:r>
        <w:rPr>
          <w:rFonts w:hint="eastAsia"/>
        </w:rPr>
        <w:tab/>
      </w:r>
      <w:r>
        <w:rPr>
          <w:rFonts w:hint="eastAsia"/>
        </w:rPr>
        <w:fldChar w:fldCharType="begin"/>
      </w:r>
      <w:r>
        <w:rPr>
          <w:rFonts w:hint="eastAsia"/>
        </w:rPr>
        <w:instrText xml:space="preserve"> </w:instrText>
      </w:r>
      <w:r>
        <w:instrText xml:space="preserve">PAGEREF _Toc216260308 \h</w:instrText>
      </w:r>
      <w:r>
        <w:rPr>
          <w:rFonts w:hint="eastAsia"/>
        </w:rPr>
        <w:instrText xml:space="preserve"> </w:instrText>
      </w:r>
      <w:r>
        <w:rPr>
          <w:rFonts w:hint="eastAsia"/>
        </w:rPr>
        <w:fldChar w:fldCharType="separate"/>
      </w:r>
      <w:r>
        <w:rPr>
          <w:rFonts w:hint="eastAsia"/>
        </w:rPr>
        <w:t>134</w:t>
      </w:r>
      <w:r>
        <w:rPr>
          <w:rFonts w:hint="eastAsia"/>
        </w:rPr>
        <w:fldChar w:fldCharType="end"/>
      </w:r>
      <w:r>
        <w:rPr>
          <w:rFonts w:hint="eastAsia"/>
        </w:rPr>
        <w:fldChar w:fldCharType="end"/>
      </w:r>
    </w:p>
    <w:p w14:paraId="48FD8120">
      <w:pPr>
        <w:pStyle w:val="41"/>
        <w:tabs>
          <w:tab w:val="right" w:leader="dot" w:pos="8720"/>
        </w:tabs>
        <w:rPr>
          <w:rFonts w:hint="eastAsia" w:asciiTheme="minorHAnsi" w:hAnsiTheme="minorHAnsi" w:eastAsiaTheme="minorEastAsia" w:cstheme="minorBidi"/>
          <w:smallCaps w:val="0"/>
          <w:sz w:val="22"/>
          <w:szCs w:val="24"/>
          <w14:ligatures w14:val="standardContextual"/>
        </w:rPr>
      </w:pPr>
      <w:r>
        <w:fldChar w:fldCharType="begin"/>
      </w:r>
      <w:r>
        <w:instrText xml:space="preserve"> HYPERLINK \l "_Toc216260309" </w:instrText>
      </w:r>
      <w:r>
        <w:fldChar w:fldCharType="separate"/>
      </w:r>
      <w:r>
        <w:rPr>
          <w:rStyle w:val="59"/>
          <w:rFonts w:hint="eastAsia"/>
        </w:rPr>
        <w:t>5.1 施工期环境影响预测与评价</w:t>
      </w:r>
      <w:r>
        <w:rPr>
          <w:rFonts w:hint="eastAsia"/>
        </w:rPr>
        <w:tab/>
      </w:r>
      <w:r>
        <w:rPr>
          <w:rFonts w:hint="eastAsia"/>
        </w:rPr>
        <w:fldChar w:fldCharType="begin"/>
      </w:r>
      <w:r>
        <w:rPr>
          <w:rFonts w:hint="eastAsia"/>
        </w:rPr>
        <w:instrText xml:space="preserve"> </w:instrText>
      </w:r>
      <w:r>
        <w:instrText xml:space="preserve">PAGEREF _Toc216260309 \h</w:instrText>
      </w:r>
      <w:r>
        <w:rPr>
          <w:rFonts w:hint="eastAsia"/>
        </w:rPr>
        <w:instrText xml:space="preserve"> </w:instrText>
      </w:r>
      <w:r>
        <w:rPr>
          <w:rFonts w:hint="eastAsia"/>
        </w:rPr>
        <w:fldChar w:fldCharType="separate"/>
      </w:r>
      <w:r>
        <w:rPr>
          <w:rFonts w:hint="eastAsia"/>
        </w:rPr>
        <w:t>134</w:t>
      </w:r>
      <w:r>
        <w:rPr>
          <w:rFonts w:hint="eastAsia"/>
        </w:rPr>
        <w:fldChar w:fldCharType="end"/>
      </w:r>
      <w:r>
        <w:rPr>
          <w:rFonts w:hint="eastAsia"/>
        </w:rPr>
        <w:fldChar w:fldCharType="end"/>
      </w:r>
    </w:p>
    <w:p w14:paraId="404F8F47">
      <w:pPr>
        <w:pStyle w:val="41"/>
        <w:tabs>
          <w:tab w:val="right" w:leader="dot" w:pos="8720"/>
        </w:tabs>
        <w:rPr>
          <w:rFonts w:hint="eastAsia" w:asciiTheme="minorHAnsi" w:hAnsiTheme="minorHAnsi" w:eastAsiaTheme="minorEastAsia" w:cstheme="minorBidi"/>
          <w:smallCaps w:val="0"/>
          <w:sz w:val="22"/>
          <w:szCs w:val="24"/>
          <w14:ligatures w14:val="standardContextual"/>
        </w:rPr>
      </w:pPr>
      <w:r>
        <w:fldChar w:fldCharType="begin"/>
      </w:r>
      <w:r>
        <w:instrText xml:space="preserve"> HYPERLINK \l "_Toc216260310" </w:instrText>
      </w:r>
      <w:r>
        <w:fldChar w:fldCharType="separate"/>
      </w:r>
      <w:r>
        <w:rPr>
          <w:rStyle w:val="59"/>
          <w:rFonts w:hint="eastAsia"/>
        </w:rPr>
        <w:t>5.2 运营期环境影响预测与评价</w:t>
      </w:r>
      <w:r>
        <w:rPr>
          <w:rFonts w:hint="eastAsia"/>
        </w:rPr>
        <w:tab/>
      </w:r>
      <w:r>
        <w:rPr>
          <w:rFonts w:hint="eastAsia"/>
        </w:rPr>
        <w:fldChar w:fldCharType="begin"/>
      </w:r>
      <w:r>
        <w:rPr>
          <w:rFonts w:hint="eastAsia"/>
        </w:rPr>
        <w:instrText xml:space="preserve"> </w:instrText>
      </w:r>
      <w:r>
        <w:instrText xml:space="preserve">PAGEREF _Toc216260310 \h</w:instrText>
      </w:r>
      <w:r>
        <w:rPr>
          <w:rFonts w:hint="eastAsia"/>
        </w:rPr>
        <w:instrText xml:space="preserve"> </w:instrText>
      </w:r>
      <w:r>
        <w:rPr>
          <w:rFonts w:hint="eastAsia"/>
        </w:rPr>
        <w:fldChar w:fldCharType="separate"/>
      </w:r>
      <w:r>
        <w:rPr>
          <w:rFonts w:hint="eastAsia"/>
        </w:rPr>
        <w:t>141</w:t>
      </w:r>
      <w:r>
        <w:rPr>
          <w:rFonts w:hint="eastAsia"/>
        </w:rPr>
        <w:fldChar w:fldCharType="end"/>
      </w:r>
      <w:r>
        <w:rPr>
          <w:rFonts w:hint="eastAsia"/>
        </w:rPr>
        <w:fldChar w:fldCharType="end"/>
      </w:r>
    </w:p>
    <w:p w14:paraId="47386ACA">
      <w:pPr>
        <w:pStyle w:val="41"/>
        <w:tabs>
          <w:tab w:val="right" w:leader="dot" w:pos="8720"/>
        </w:tabs>
        <w:rPr>
          <w:rFonts w:hint="eastAsia" w:asciiTheme="minorHAnsi" w:hAnsiTheme="minorHAnsi" w:eastAsiaTheme="minorEastAsia" w:cstheme="minorBidi"/>
          <w:smallCaps w:val="0"/>
          <w:sz w:val="22"/>
          <w:szCs w:val="24"/>
          <w14:ligatures w14:val="standardContextual"/>
        </w:rPr>
      </w:pPr>
      <w:r>
        <w:fldChar w:fldCharType="begin"/>
      </w:r>
      <w:r>
        <w:instrText xml:space="preserve"> HYPERLINK \l "_Toc216260311" </w:instrText>
      </w:r>
      <w:r>
        <w:fldChar w:fldCharType="separate"/>
      </w:r>
      <w:r>
        <w:rPr>
          <w:rStyle w:val="59"/>
          <w:rFonts w:hint="eastAsia"/>
        </w:rPr>
        <w:t>5.3 退役期影响分析</w:t>
      </w:r>
      <w:r>
        <w:rPr>
          <w:rFonts w:hint="eastAsia"/>
        </w:rPr>
        <w:tab/>
      </w:r>
      <w:r>
        <w:rPr>
          <w:rFonts w:hint="eastAsia"/>
        </w:rPr>
        <w:fldChar w:fldCharType="begin"/>
      </w:r>
      <w:r>
        <w:rPr>
          <w:rFonts w:hint="eastAsia"/>
        </w:rPr>
        <w:instrText xml:space="preserve"> </w:instrText>
      </w:r>
      <w:r>
        <w:instrText xml:space="preserve">PAGEREF _Toc216260311 \h</w:instrText>
      </w:r>
      <w:r>
        <w:rPr>
          <w:rFonts w:hint="eastAsia"/>
        </w:rPr>
        <w:instrText xml:space="preserve"> </w:instrText>
      </w:r>
      <w:r>
        <w:rPr>
          <w:rFonts w:hint="eastAsia"/>
        </w:rPr>
        <w:fldChar w:fldCharType="separate"/>
      </w:r>
      <w:r>
        <w:rPr>
          <w:rFonts w:hint="eastAsia"/>
        </w:rPr>
        <w:t>159</w:t>
      </w:r>
      <w:r>
        <w:rPr>
          <w:rFonts w:hint="eastAsia"/>
        </w:rPr>
        <w:fldChar w:fldCharType="end"/>
      </w:r>
      <w:r>
        <w:rPr>
          <w:rFonts w:hint="eastAsia"/>
        </w:rPr>
        <w:fldChar w:fldCharType="end"/>
      </w:r>
    </w:p>
    <w:p w14:paraId="5A65929C">
      <w:pPr>
        <w:pStyle w:val="41"/>
        <w:tabs>
          <w:tab w:val="right" w:leader="dot" w:pos="8720"/>
        </w:tabs>
        <w:rPr>
          <w:rFonts w:hint="eastAsia" w:asciiTheme="minorHAnsi" w:hAnsiTheme="minorHAnsi" w:eastAsiaTheme="minorEastAsia" w:cstheme="minorBidi"/>
          <w:smallCaps w:val="0"/>
          <w:sz w:val="22"/>
          <w:szCs w:val="24"/>
          <w14:ligatures w14:val="standardContextual"/>
        </w:rPr>
      </w:pPr>
      <w:r>
        <w:fldChar w:fldCharType="begin"/>
      </w:r>
      <w:r>
        <w:instrText xml:space="preserve"> HYPERLINK \l "_Toc216260312" </w:instrText>
      </w:r>
      <w:r>
        <w:fldChar w:fldCharType="separate"/>
      </w:r>
      <w:r>
        <w:rPr>
          <w:rStyle w:val="59"/>
          <w:rFonts w:hint="eastAsia"/>
        </w:rPr>
        <w:t>5.4 环境风险分析</w:t>
      </w:r>
      <w:r>
        <w:rPr>
          <w:rFonts w:hint="eastAsia"/>
        </w:rPr>
        <w:tab/>
      </w:r>
      <w:r>
        <w:rPr>
          <w:rFonts w:hint="eastAsia"/>
        </w:rPr>
        <w:fldChar w:fldCharType="begin"/>
      </w:r>
      <w:r>
        <w:rPr>
          <w:rFonts w:hint="eastAsia"/>
        </w:rPr>
        <w:instrText xml:space="preserve"> </w:instrText>
      </w:r>
      <w:r>
        <w:instrText xml:space="preserve">PAGEREF _Toc216260312 \h</w:instrText>
      </w:r>
      <w:r>
        <w:rPr>
          <w:rFonts w:hint="eastAsia"/>
        </w:rPr>
        <w:instrText xml:space="preserve"> </w:instrText>
      </w:r>
      <w:r>
        <w:rPr>
          <w:rFonts w:hint="eastAsia"/>
        </w:rPr>
        <w:fldChar w:fldCharType="separate"/>
      </w:r>
      <w:r>
        <w:rPr>
          <w:rFonts w:hint="eastAsia"/>
        </w:rPr>
        <w:t>159</w:t>
      </w:r>
      <w:r>
        <w:rPr>
          <w:rFonts w:hint="eastAsia"/>
        </w:rPr>
        <w:fldChar w:fldCharType="end"/>
      </w:r>
      <w:r>
        <w:rPr>
          <w:rFonts w:hint="eastAsia"/>
        </w:rPr>
        <w:fldChar w:fldCharType="end"/>
      </w:r>
    </w:p>
    <w:p w14:paraId="05B6529A">
      <w:pPr>
        <w:pStyle w:val="31"/>
        <w:tabs>
          <w:tab w:val="right" w:leader="dot" w:pos="8720"/>
        </w:tabs>
        <w:rPr>
          <w:rFonts w:hint="eastAsia" w:asciiTheme="minorHAnsi" w:hAnsiTheme="minorHAnsi" w:eastAsiaTheme="minorEastAsia" w:cstheme="minorBidi"/>
          <w:b w:val="0"/>
          <w:bCs w:val="0"/>
          <w:caps w:val="0"/>
          <w:sz w:val="22"/>
          <w:szCs w:val="24"/>
          <w14:ligatures w14:val="standardContextual"/>
        </w:rPr>
      </w:pPr>
      <w:r>
        <w:fldChar w:fldCharType="begin"/>
      </w:r>
      <w:r>
        <w:instrText xml:space="preserve"> HYPERLINK \l "_Toc216260313" </w:instrText>
      </w:r>
      <w:r>
        <w:fldChar w:fldCharType="separate"/>
      </w:r>
      <w:r>
        <w:rPr>
          <w:rStyle w:val="59"/>
          <w:rFonts w:hint="eastAsia"/>
          <w:lang w:val="zh-CN"/>
        </w:rPr>
        <w:t>6</w:t>
      </w:r>
      <w:r>
        <w:rPr>
          <w:rStyle w:val="59"/>
          <w:rFonts w:hint="eastAsia"/>
        </w:rPr>
        <w:t xml:space="preserve"> 环境保护措施及其可行性论证</w:t>
      </w:r>
      <w:r>
        <w:rPr>
          <w:rFonts w:hint="eastAsia"/>
        </w:rPr>
        <w:tab/>
      </w:r>
      <w:r>
        <w:rPr>
          <w:rFonts w:hint="eastAsia"/>
        </w:rPr>
        <w:fldChar w:fldCharType="begin"/>
      </w:r>
      <w:r>
        <w:rPr>
          <w:rFonts w:hint="eastAsia"/>
        </w:rPr>
        <w:instrText xml:space="preserve"> </w:instrText>
      </w:r>
      <w:r>
        <w:instrText xml:space="preserve">PAGEREF _Toc216260313 \h</w:instrText>
      </w:r>
      <w:r>
        <w:rPr>
          <w:rFonts w:hint="eastAsia"/>
        </w:rPr>
        <w:instrText xml:space="preserve"> </w:instrText>
      </w:r>
      <w:r>
        <w:rPr>
          <w:rFonts w:hint="eastAsia"/>
        </w:rPr>
        <w:fldChar w:fldCharType="separate"/>
      </w:r>
      <w:r>
        <w:rPr>
          <w:rFonts w:hint="eastAsia"/>
        </w:rPr>
        <w:t>167</w:t>
      </w:r>
      <w:r>
        <w:rPr>
          <w:rFonts w:hint="eastAsia"/>
        </w:rPr>
        <w:fldChar w:fldCharType="end"/>
      </w:r>
      <w:r>
        <w:rPr>
          <w:rFonts w:hint="eastAsia"/>
        </w:rPr>
        <w:fldChar w:fldCharType="end"/>
      </w:r>
    </w:p>
    <w:p w14:paraId="3E8B8EF3">
      <w:pPr>
        <w:pStyle w:val="41"/>
        <w:tabs>
          <w:tab w:val="right" w:leader="dot" w:pos="8720"/>
        </w:tabs>
        <w:rPr>
          <w:rFonts w:hint="eastAsia" w:asciiTheme="minorHAnsi" w:hAnsiTheme="minorHAnsi" w:eastAsiaTheme="minorEastAsia" w:cstheme="minorBidi"/>
          <w:smallCaps w:val="0"/>
          <w:sz w:val="22"/>
          <w:szCs w:val="24"/>
          <w14:ligatures w14:val="standardContextual"/>
        </w:rPr>
      </w:pPr>
      <w:r>
        <w:fldChar w:fldCharType="begin"/>
      </w:r>
      <w:r>
        <w:instrText xml:space="preserve"> HYPERLINK \l "_Toc216260314" </w:instrText>
      </w:r>
      <w:r>
        <w:fldChar w:fldCharType="separate"/>
      </w:r>
      <w:r>
        <w:rPr>
          <w:rStyle w:val="59"/>
          <w:rFonts w:hint="eastAsia"/>
          <w:lang w:val="zh-CN"/>
        </w:rPr>
        <w:t>6.1 施工期环境保护措施及其可行性论证</w:t>
      </w:r>
      <w:r>
        <w:rPr>
          <w:rFonts w:hint="eastAsia"/>
        </w:rPr>
        <w:tab/>
      </w:r>
      <w:r>
        <w:rPr>
          <w:rFonts w:hint="eastAsia"/>
        </w:rPr>
        <w:fldChar w:fldCharType="begin"/>
      </w:r>
      <w:r>
        <w:rPr>
          <w:rFonts w:hint="eastAsia"/>
        </w:rPr>
        <w:instrText xml:space="preserve"> </w:instrText>
      </w:r>
      <w:r>
        <w:instrText xml:space="preserve">PAGEREF _Toc216260314 \h</w:instrText>
      </w:r>
      <w:r>
        <w:rPr>
          <w:rFonts w:hint="eastAsia"/>
        </w:rPr>
        <w:instrText xml:space="preserve"> </w:instrText>
      </w:r>
      <w:r>
        <w:rPr>
          <w:rFonts w:hint="eastAsia"/>
        </w:rPr>
        <w:fldChar w:fldCharType="separate"/>
      </w:r>
      <w:r>
        <w:rPr>
          <w:rFonts w:hint="eastAsia"/>
        </w:rPr>
        <w:t>167</w:t>
      </w:r>
      <w:r>
        <w:rPr>
          <w:rFonts w:hint="eastAsia"/>
        </w:rPr>
        <w:fldChar w:fldCharType="end"/>
      </w:r>
      <w:r>
        <w:rPr>
          <w:rFonts w:hint="eastAsia"/>
        </w:rPr>
        <w:fldChar w:fldCharType="end"/>
      </w:r>
    </w:p>
    <w:p w14:paraId="0AF7D22D">
      <w:pPr>
        <w:pStyle w:val="41"/>
        <w:tabs>
          <w:tab w:val="right" w:leader="dot" w:pos="8720"/>
        </w:tabs>
        <w:rPr>
          <w:rFonts w:hint="eastAsia" w:asciiTheme="minorHAnsi" w:hAnsiTheme="minorHAnsi" w:eastAsiaTheme="minorEastAsia" w:cstheme="minorBidi"/>
          <w:smallCaps w:val="0"/>
          <w:sz w:val="22"/>
          <w:szCs w:val="24"/>
          <w14:ligatures w14:val="standardContextual"/>
        </w:rPr>
      </w:pPr>
      <w:r>
        <w:fldChar w:fldCharType="begin"/>
      </w:r>
      <w:r>
        <w:instrText xml:space="preserve"> HYPERLINK \l "_Toc216260315" </w:instrText>
      </w:r>
      <w:r>
        <w:fldChar w:fldCharType="separate"/>
      </w:r>
      <w:r>
        <w:rPr>
          <w:rStyle w:val="59"/>
          <w:rFonts w:hint="eastAsia"/>
          <w:lang w:val="zh-CN"/>
        </w:rPr>
        <w:t>6.2 运营期环境保护措施</w:t>
      </w:r>
      <w:r>
        <w:rPr>
          <w:rFonts w:hint="eastAsia"/>
        </w:rPr>
        <w:tab/>
      </w:r>
      <w:r>
        <w:rPr>
          <w:rFonts w:hint="eastAsia"/>
        </w:rPr>
        <w:fldChar w:fldCharType="begin"/>
      </w:r>
      <w:r>
        <w:rPr>
          <w:rFonts w:hint="eastAsia"/>
        </w:rPr>
        <w:instrText xml:space="preserve"> </w:instrText>
      </w:r>
      <w:r>
        <w:instrText xml:space="preserve">PAGEREF _Toc216260315 \h</w:instrText>
      </w:r>
      <w:r>
        <w:rPr>
          <w:rFonts w:hint="eastAsia"/>
        </w:rPr>
        <w:instrText xml:space="preserve"> </w:instrText>
      </w:r>
      <w:r>
        <w:rPr>
          <w:rFonts w:hint="eastAsia"/>
        </w:rPr>
        <w:fldChar w:fldCharType="separate"/>
      </w:r>
      <w:r>
        <w:rPr>
          <w:rFonts w:hint="eastAsia"/>
        </w:rPr>
        <w:t>170</w:t>
      </w:r>
      <w:r>
        <w:rPr>
          <w:rFonts w:hint="eastAsia"/>
        </w:rPr>
        <w:fldChar w:fldCharType="end"/>
      </w:r>
      <w:r>
        <w:rPr>
          <w:rFonts w:hint="eastAsia"/>
        </w:rPr>
        <w:fldChar w:fldCharType="end"/>
      </w:r>
    </w:p>
    <w:p w14:paraId="6046D047">
      <w:pPr>
        <w:pStyle w:val="41"/>
        <w:tabs>
          <w:tab w:val="right" w:leader="dot" w:pos="8720"/>
        </w:tabs>
        <w:rPr>
          <w:rFonts w:hint="eastAsia" w:asciiTheme="minorHAnsi" w:hAnsiTheme="minorHAnsi" w:eastAsiaTheme="minorEastAsia" w:cstheme="minorBidi"/>
          <w:smallCaps w:val="0"/>
          <w:sz w:val="22"/>
          <w:szCs w:val="24"/>
          <w14:ligatures w14:val="standardContextual"/>
        </w:rPr>
      </w:pPr>
      <w:r>
        <w:fldChar w:fldCharType="begin"/>
      </w:r>
      <w:r>
        <w:instrText xml:space="preserve"> HYPERLINK \l "_Toc216260316" </w:instrText>
      </w:r>
      <w:r>
        <w:fldChar w:fldCharType="separate"/>
      </w:r>
      <w:r>
        <w:rPr>
          <w:rStyle w:val="59"/>
          <w:rFonts w:hint="eastAsia"/>
          <w:lang w:val="zh-CN"/>
        </w:rPr>
        <w:t>6.3</w:t>
      </w:r>
      <w:r>
        <w:rPr>
          <w:rStyle w:val="59"/>
          <w:rFonts w:hint="eastAsia"/>
        </w:rPr>
        <w:t xml:space="preserve"> 温室气体管控措施</w:t>
      </w:r>
      <w:r>
        <w:rPr>
          <w:rFonts w:hint="eastAsia"/>
        </w:rPr>
        <w:tab/>
      </w:r>
      <w:r>
        <w:rPr>
          <w:rFonts w:hint="eastAsia"/>
        </w:rPr>
        <w:fldChar w:fldCharType="begin"/>
      </w:r>
      <w:r>
        <w:rPr>
          <w:rFonts w:hint="eastAsia"/>
        </w:rPr>
        <w:instrText xml:space="preserve"> </w:instrText>
      </w:r>
      <w:r>
        <w:instrText xml:space="preserve">PAGEREF _Toc216260316 \h</w:instrText>
      </w:r>
      <w:r>
        <w:rPr>
          <w:rFonts w:hint="eastAsia"/>
        </w:rPr>
        <w:instrText xml:space="preserve"> </w:instrText>
      </w:r>
      <w:r>
        <w:rPr>
          <w:rFonts w:hint="eastAsia"/>
        </w:rPr>
        <w:fldChar w:fldCharType="separate"/>
      </w:r>
      <w:r>
        <w:rPr>
          <w:rFonts w:hint="eastAsia"/>
        </w:rPr>
        <w:t>177</w:t>
      </w:r>
      <w:r>
        <w:rPr>
          <w:rFonts w:hint="eastAsia"/>
        </w:rPr>
        <w:fldChar w:fldCharType="end"/>
      </w:r>
      <w:r>
        <w:rPr>
          <w:rFonts w:hint="eastAsia"/>
        </w:rPr>
        <w:fldChar w:fldCharType="end"/>
      </w:r>
    </w:p>
    <w:p w14:paraId="17B11C05">
      <w:pPr>
        <w:pStyle w:val="41"/>
        <w:tabs>
          <w:tab w:val="right" w:leader="dot" w:pos="8720"/>
        </w:tabs>
        <w:rPr>
          <w:rFonts w:hint="eastAsia" w:asciiTheme="minorHAnsi" w:hAnsiTheme="minorHAnsi" w:eastAsiaTheme="minorEastAsia" w:cstheme="minorBidi"/>
          <w:smallCaps w:val="0"/>
          <w:sz w:val="22"/>
          <w:szCs w:val="24"/>
          <w14:ligatures w14:val="standardContextual"/>
        </w:rPr>
      </w:pPr>
      <w:r>
        <w:fldChar w:fldCharType="begin"/>
      </w:r>
      <w:r>
        <w:instrText xml:space="preserve"> HYPERLINK \l "_Toc216260317" </w:instrText>
      </w:r>
      <w:r>
        <w:fldChar w:fldCharType="separate"/>
      </w:r>
      <w:r>
        <w:rPr>
          <w:rStyle w:val="59"/>
          <w:rFonts w:hint="eastAsia"/>
          <w:lang w:val="zh-CN"/>
        </w:rPr>
        <w:t>6.4 环境风险事故防范措施</w:t>
      </w:r>
      <w:r>
        <w:rPr>
          <w:rFonts w:hint="eastAsia"/>
        </w:rPr>
        <w:tab/>
      </w:r>
      <w:r>
        <w:rPr>
          <w:rFonts w:hint="eastAsia"/>
        </w:rPr>
        <w:fldChar w:fldCharType="begin"/>
      </w:r>
      <w:r>
        <w:rPr>
          <w:rFonts w:hint="eastAsia"/>
        </w:rPr>
        <w:instrText xml:space="preserve"> </w:instrText>
      </w:r>
      <w:r>
        <w:instrText xml:space="preserve">PAGEREF _Toc216260317 \h</w:instrText>
      </w:r>
      <w:r>
        <w:rPr>
          <w:rFonts w:hint="eastAsia"/>
        </w:rPr>
        <w:instrText xml:space="preserve"> </w:instrText>
      </w:r>
      <w:r>
        <w:rPr>
          <w:rFonts w:hint="eastAsia"/>
        </w:rPr>
        <w:fldChar w:fldCharType="separate"/>
      </w:r>
      <w:r>
        <w:rPr>
          <w:rFonts w:hint="eastAsia"/>
        </w:rPr>
        <w:t>178</w:t>
      </w:r>
      <w:r>
        <w:rPr>
          <w:rFonts w:hint="eastAsia"/>
        </w:rPr>
        <w:fldChar w:fldCharType="end"/>
      </w:r>
      <w:r>
        <w:rPr>
          <w:rFonts w:hint="eastAsia"/>
        </w:rPr>
        <w:fldChar w:fldCharType="end"/>
      </w:r>
    </w:p>
    <w:p w14:paraId="008CB8B2">
      <w:pPr>
        <w:pStyle w:val="41"/>
        <w:tabs>
          <w:tab w:val="right" w:leader="dot" w:pos="8720"/>
        </w:tabs>
        <w:rPr>
          <w:rFonts w:hint="eastAsia" w:asciiTheme="minorHAnsi" w:hAnsiTheme="minorHAnsi" w:eastAsiaTheme="minorEastAsia" w:cstheme="minorBidi"/>
          <w:smallCaps w:val="0"/>
          <w:sz w:val="22"/>
          <w:szCs w:val="24"/>
          <w14:ligatures w14:val="standardContextual"/>
        </w:rPr>
      </w:pPr>
      <w:r>
        <w:fldChar w:fldCharType="begin"/>
      </w:r>
      <w:r>
        <w:instrText xml:space="preserve"> HYPERLINK \l "_Toc216260318" </w:instrText>
      </w:r>
      <w:r>
        <w:fldChar w:fldCharType="separate"/>
      </w:r>
      <w:r>
        <w:rPr>
          <w:rStyle w:val="59"/>
          <w:rFonts w:hint="eastAsia"/>
          <w:lang w:val="zh-CN"/>
        </w:rPr>
        <w:t>6.5 退役期环境保护措施</w:t>
      </w:r>
      <w:r>
        <w:rPr>
          <w:rFonts w:hint="eastAsia"/>
        </w:rPr>
        <w:tab/>
      </w:r>
      <w:r>
        <w:rPr>
          <w:rFonts w:hint="eastAsia"/>
        </w:rPr>
        <w:fldChar w:fldCharType="begin"/>
      </w:r>
      <w:r>
        <w:rPr>
          <w:rFonts w:hint="eastAsia"/>
        </w:rPr>
        <w:instrText xml:space="preserve"> </w:instrText>
      </w:r>
      <w:r>
        <w:instrText xml:space="preserve">PAGEREF _Toc216260318 \h</w:instrText>
      </w:r>
      <w:r>
        <w:rPr>
          <w:rFonts w:hint="eastAsia"/>
        </w:rPr>
        <w:instrText xml:space="preserve"> </w:instrText>
      </w:r>
      <w:r>
        <w:rPr>
          <w:rFonts w:hint="eastAsia"/>
        </w:rPr>
        <w:fldChar w:fldCharType="separate"/>
      </w:r>
      <w:r>
        <w:rPr>
          <w:rFonts w:hint="eastAsia"/>
        </w:rPr>
        <w:t>182</w:t>
      </w:r>
      <w:r>
        <w:rPr>
          <w:rFonts w:hint="eastAsia"/>
        </w:rPr>
        <w:fldChar w:fldCharType="end"/>
      </w:r>
      <w:r>
        <w:rPr>
          <w:rFonts w:hint="eastAsia"/>
        </w:rPr>
        <w:fldChar w:fldCharType="end"/>
      </w:r>
    </w:p>
    <w:p w14:paraId="31964614">
      <w:pPr>
        <w:pStyle w:val="41"/>
        <w:tabs>
          <w:tab w:val="right" w:leader="dot" w:pos="8720"/>
        </w:tabs>
        <w:rPr>
          <w:rFonts w:hint="eastAsia" w:asciiTheme="minorHAnsi" w:hAnsiTheme="minorHAnsi" w:eastAsiaTheme="minorEastAsia" w:cstheme="minorBidi"/>
          <w:smallCaps w:val="0"/>
          <w:sz w:val="22"/>
          <w:szCs w:val="24"/>
          <w14:ligatures w14:val="standardContextual"/>
        </w:rPr>
      </w:pPr>
      <w:r>
        <w:fldChar w:fldCharType="begin"/>
      </w:r>
      <w:r>
        <w:instrText xml:space="preserve"> HYPERLINK \l "_Toc216260319" </w:instrText>
      </w:r>
      <w:r>
        <w:fldChar w:fldCharType="separate"/>
      </w:r>
      <w:r>
        <w:rPr>
          <w:rStyle w:val="59"/>
          <w:rFonts w:hint="eastAsia"/>
        </w:rPr>
        <w:t>6.6 环境保护措施可行性分析</w:t>
      </w:r>
      <w:r>
        <w:rPr>
          <w:rFonts w:hint="eastAsia"/>
        </w:rPr>
        <w:tab/>
      </w:r>
      <w:r>
        <w:rPr>
          <w:rFonts w:hint="eastAsia"/>
        </w:rPr>
        <w:fldChar w:fldCharType="begin"/>
      </w:r>
      <w:r>
        <w:rPr>
          <w:rFonts w:hint="eastAsia"/>
        </w:rPr>
        <w:instrText xml:space="preserve"> </w:instrText>
      </w:r>
      <w:r>
        <w:instrText xml:space="preserve">PAGEREF _Toc216260319 \h</w:instrText>
      </w:r>
      <w:r>
        <w:rPr>
          <w:rFonts w:hint="eastAsia"/>
        </w:rPr>
        <w:instrText xml:space="preserve"> </w:instrText>
      </w:r>
      <w:r>
        <w:rPr>
          <w:rFonts w:hint="eastAsia"/>
        </w:rPr>
        <w:fldChar w:fldCharType="separate"/>
      </w:r>
      <w:r>
        <w:rPr>
          <w:rFonts w:hint="eastAsia"/>
        </w:rPr>
        <w:t>185</w:t>
      </w:r>
      <w:r>
        <w:rPr>
          <w:rFonts w:hint="eastAsia"/>
        </w:rPr>
        <w:fldChar w:fldCharType="end"/>
      </w:r>
      <w:r>
        <w:rPr>
          <w:rFonts w:hint="eastAsia"/>
        </w:rPr>
        <w:fldChar w:fldCharType="end"/>
      </w:r>
    </w:p>
    <w:p w14:paraId="6D0B36B2">
      <w:pPr>
        <w:pStyle w:val="41"/>
        <w:tabs>
          <w:tab w:val="right" w:leader="dot" w:pos="8720"/>
        </w:tabs>
        <w:rPr>
          <w:rFonts w:hint="eastAsia" w:asciiTheme="minorHAnsi" w:hAnsiTheme="minorHAnsi" w:eastAsiaTheme="minorEastAsia" w:cstheme="minorBidi"/>
          <w:smallCaps w:val="0"/>
          <w:sz w:val="22"/>
          <w:szCs w:val="24"/>
          <w14:ligatures w14:val="standardContextual"/>
        </w:rPr>
      </w:pPr>
      <w:r>
        <w:fldChar w:fldCharType="begin"/>
      </w:r>
      <w:r>
        <w:instrText xml:space="preserve"> HYPERLINK \l "_Toc216260320" </w:instrText>
      </w:r>
      <w:r>
        <w:fldChar w:fldCharType="separate"/>
      </w:r>
      <w:r>
        <w:rPr>
          <w:rStyle w:val="59"/>
          <w:rFonts w:hint="eastAsia"/>
        </w:rPr>
        <w:t>6.7 环保投资分析</w:t>
      </w:r>
      <w:r>
        <w:rPr>
          <w:rFonts w:hint="eastAsia"/>
        </w:rPr>
        <w:tab/>
      </w:r>
      <w:r>
        <w:rPr>
          <w:rFonts w:hint="eastAsia"/>
        </w:rPr>
        <w:fldChar w:fldCharType="begin"/>
      </w:r>
      <w:r>
        <w:rPr>
          <w:rFonts w:hint="eastAsia"/>
        </w:rPr>
        <w:instrText xml:space="preserve"> </w:instrText>
      </w:r>
      <w:r>
        <w:instrText xml:space="preserve">PAGEREF _Toc216260320 \h</w:instrText>
      </w:r>
      <w:r>
        <w:rPr>
          <w:rFonts w:hint="eastAsia"/>
        </w:rPr>
        <w:instrText xml:space="preserve"> </w:instrText>
      </w:r>
      <w:r>
        <w:rPr>
          <w:rFonts w:hint="eastAsia"/>
        </w:rPr>
        <w:fldChar w:fldCharType="separate"/>
      </w:r>
      <w:r>
        <w:rPr>
          <w:rFonts w:hint="eastAsia"/>
        </w:rPr>
        <w:t>185</w:t>
      </w:r>
      <w:r>
        <w:rPr>
          <w:rFonts w:hint="eastAsia"/>
        </w:rPr>
        <w:fldChar w:fldCharType="end"/>
      </w:r>
      <w:r>
        <w:rPr>
          <w:rFonts w:hint="eastAsia"/>
        </w:rPr>
        <w:fldChar w:fldCharType="end"/>
      </w:r>
    </w:p>
    <w:p w14:paraId="623E304D">
      <w:pPr>
        <w:pStyle w:val="31"/>
        <w:tabs>
          <w:tab w:val="right" w:leader="dot" w:pos="8720"/>
        </w:tabs>
        <w:rPr>
          <w:rFonts w:hint="eastAsia" w:asciiTheme="minorHAnsi" w:hAnsiTheme="minorHAnsi" w:eastAsiaTheme="minorEastAsia" w:cstheme="minorBidi"/>
          <w:b w:val="0"/>
          <w:bCs w:val="0"/>
          <w:caps w:val="0"/>
          <w:sz w:val="22"/>
          <w:szCs w:val="24"/>
          <w14:ligatures w14:val="standardContextual"/>
        </w:rPr>
      </w:pPr>
      <w:r>
        <w:fldChar w:fldCharType="begin"/>
      </w:r>
      <w:r>
        <w:instrText xml:space="preserve"> HYPERLINK \l "_Toc216260321" </w:instrText>
      </w:r>
      <w:r>
        <w:fldChar w:fldCharType="separate"/>
      </w:r>
      <w:r>
        <w:rPr>
          <w:rStyle w:val="59"/>
          <w:rFonts w:hint="eastAsia"/>
        </w:rPr>
        <w:t>7 环境管理与监测计划</w:t>
      </w:r>
      <w:r>
        <w:rPr>
          <w:rFonts w:hint="eastAsia"/>
        </w:rPr>
        <w:tab/>
      </w:r>
      <w:r>
        <w:rPr>
          <w:rFonts w:hint="eastAsia"/>
        </w:rPr>
        <w:fldChar w:fldCharType="begin"/>
      </w:r>
      <w:r>
        <w:rPr>
          <w:rFonts w:hint="eastAsia"/>
        </w:rPr>
        <w:instrText xml:space="preserve"> </w:instrText>
      </w:r>
      <w:r>
        <w:instrText xml:space="preserve">PAGEREF _Toc216260321 \h</w:instrText>
      </w:r>
      <w:r>
        <w:rPr>
          <w:rFonts w:hint="eastAsia"/>
        </w:rPr>
        <w:instrText xml:space="preserve"> </w:instrText>
      </w:r>
      <w:r>
        <w:rPr>
          <w:rFonts w:hint="eastAsia"/>
        </w:rPr>
        <w:fldChar w:fldCharType="separate"/>
      </w:r>
      <w:r>
        <w:rPr>
          <w:rFonts w:hint="eastAsia"/>
        </w:rPr>
        <w:t>187</w:t>
      </w:r>
      <w:r>
        <w:rPr>
          <w:rFonts w:hint="eastAsia"/>
        </w:rPr>
        <w:fldChar w:fldCharType="end"/>
      </w:r>
      <w:r>
        <w:rPr>
          <w:rFonts w:hint="eastAsia"/>
        </w:rPr>
        <w:fldChar w:fldCharType="end"/>
      </w:r>
    </w:p>
    <w:p w14:paraId="06CFF648">
      <w:pPr>
        <w:pStyle w:val="41"/>
        <w:tabs>
          <w:tab w:val="right" w:leader="dot" w:pos="8720"/>
        </w:tabs>
        <w:rPr>
          <w:rFonts w:hint="eastAsia" w:asciiTheme="minorHAnsi" w:hAnsiTheme="minorHAnsi" w:eastAsiaTheme="minorEastAsia" w:cstheme="minorBidi"/>
          <w:smallCaps w:val="0"/>
          <w:sz w:val="22"/>
          <w:szCs w:val="24"/>
          <w14:ligatures w14:val="standardContextual"/>
        </w:rPr>
      </w:pPr>
      <w:r>
        <w:fldChar w:fldCharType="begin"/>
      </w:r>
      <w:r>
        <w:instrText xml:space="preserve"> HYPERLINK \l "_Toc216260322" </w:instrText>
      </w:r>
      <w:r>
        <w:fldChar w:fldCharType="separate"/>
      </w:r>
      <w:r>
        <w:rPr>
          <w:rStyle w:val="59"/>
          <w:rFonts w:hint="eastAsia"/>
        </w:rPr>
        <w:t>7.1 环境管理机构</w:t>
      </w:r>
      <w:r>
        <w:rPr>
          <w:rFonts w:hint="eastAsia"/>
        </w:rPr>
        <w:tab/>
      </w:r>
      <w:r>
        <w:rPr>
          <w:rFonts w:hint="eastAsia"/>
        </w:rPr>
        <w:fldChar w:fldCharType="begin"/>
      </w:r>
      <w:r>
        <w:rPr>
          <w:rFonts w:hint="eastAsia"/>
        </w:rPr>
        <w:instrText xml:space="preserve"> </w:instrText>
      </w:r>
      <w:r>
        <w:instrText xml:space="preserve">PAGEREF _Toc216260322 \h</w:instrText>
      </w:r>
      <w:r>
        <w:rPr>
          <w:rFonts w:hint="eastAsia"/>
        </w:rPr>
        <w:instrText xml:space="preserve"> </w:instrText>
      </w:r>
      <w:r>
        <w:rPr>
          <w:rFonts w:hint="eastAsia"/>
        </w:rPr>
        <w:fldChar w:fldCharType="separate"/>
      </w:r>
      <w:r>
        <w:rPr>
          <w:rFonts w:hint="eastAsia"/>
        </w:rPr>
        <w:t>187</w:t>
      </w:r>
      <w:r>
        <w:rPr>
          <w:rFonts w:hint="eastAsia"/>
        </w:rPr>
        <w:fldChar w:fldCharType="end"/>
      </w:r>
      <w:r>
        <w:rPr>
          <w:rFonts w:hint="eastAsia"/>
        </w:rPr>
        <w:fldChar w:fldCharType="end"/>
      </w:r>
    </w:p>
    <w:p w14:paraId="7327E8BE">
      <w:pPr>
        <w:pStyle w:val="41"/>
        <w:tabs>
          <w:tab w:val="right" w:leader="dot" w:pos="8720"/>
        </w:tabs>
        <w:rPr>
          <w:rFonts w:hint="eastAsia" w:asciiTheme="minorHAnsi" w:hAnsiTheme="minorHAnsi" w:eastAsiaTheme="minorEastAsia" w:cstheme="minorBidi"/>
          <w:smallCaps w:val="0"/>
          <w:sz w:val="22"/>
          <w:szCs w:val="24"/>
          <w14:ligatures w14:val="standardContextual"/>
        </w:rPr>
      </w:pPr>
      <w:r>
        <w:fldChar w:fldCharType="begin"/>
      </w:r>
      <w:r>
        <w:instrText xml:space="preserve"> HYPERLINK \l "_Toc216260323" </w:instrText>
      </w:r>
      <w:r>
        <w:fldChar w:fldCharType="separate"/>
      </w:r>
      <w:r>
        <w:rPr>
          <w:rStyle w:val="59"/>
          <w:rFonts w:hint="eastAsia"/>
        </w:rPr>
        <w:t>7.2 生产区环境管理</w:t>
      </w:r>
      <w:r>
        <w:rPr>
          <w:rFonts w:hint="eastAsia"/>
        </w:rPr>
        <w:tab/>
      </w:r>
      <w:r>
        <w:rPr>
          <w:rFonts w:hint="eastAsia"/>
        </w:rPr>
        <w:fldChar w:fldCharType="begin"/>
      </w:r>
      <w:r>
        <w:rPr>
          <w:rFonts w:hint="eastAsia"/>
        </w:rPr>
        <w:instrText xml:space="preserve"> </w:instrText>
      </w:r>
      <w:r>
        <w:instrText xml:space="preserve">PAGEREF _Toc216260323 \h</w:instrText>
      </w:r>
      <w:r>
        <w:rPr>
          <w:rFonts w:hint="eastAsia"/>
        </w:rPr>
        <w:instrText xml:space="preserve"> </w:instrText>
      </w:r>
      <w:r>
        <w:rPr>
          <w:rFonts w:hint="eastAsia"/>
        </w:rPr>
        <w:fldChar w:fldCharType="separate"/>
      </w:r>
      <w:r>
        <w:rPr>
          <w:rFonts w:hint="eastAsia"/>
        </w:rPr>
        <w:t>187</w:t>
      </w:r>
      <w:r>
        <w:rPr>
          <w:rFonts w:hint="eastAsia"/>
        </w:rPr>
        <w:fldChar w:fldCharType="end"/>
      </w:r>
      <w:r>
        <w:rPr>
          <w:rFonts w:hint="eastAsia"/>
        </w:rPr>
        <w:fldChar w:fldCharType="end"/>
      </w:r>
    </w:p>
    <w:p w14:paraId="5D18B0E4">
      <w:pPr>
        <w:pStyle w:val="41"/>
        <w:tabs>
          <w:tab w:val="right" w:leader="dot" w:pos="8720"/>
        </w:tabs>
        <w:rPr>
          <w:rFonts w:hint="eastAsia" w:asciiTheme="minorHAnsi" w:hAnsiTheme="minorHAnsi" w:eastAsiaTheme="minorEastAsia" w:cstheme="minorBidi"/>
          <w:smallCaps w:val="0"/>
          <w:sz w:val="22"/>
          <w:szCs w:val="24"/>
          <w14:ligatures w14:val="standardContextual"/>
        </w:rPr>
      </w:pPr>
      <w:r>
        <w:fldChar w:fldCharType="begin"/>
      </w:r>
      <w:r>
        <w:instrText xml:space="preserve"> HYPERLINK \l "_Toc216260324" </w:instrText>
      </w:r>
      <w:r>
        <w:fldChar w:fldCharType="separate"/>
      </w:r>
      <w:r>
        <w:rPr>
          <w:rStyle w:val="59"/>
          <w:rFonts w:hint="eastAsia"/>
        </w:rPr>
        <w:t>7.3 污染物排放的管理要求</w:t>
      </w:r>
      <w:r>
        <w:rPr>
          <w:rFonts w:hint="eastAsia"/>
        </w:rPr>
        <w:tab/>
      </w:r>
      <w:r>
        <w:rPr>
          <w:rFonts w:hint="eastAsia"/>
        </w:rPr>
        <w:fldChar w:fldCharType="begin"/>
      </w:r>
      <w:r>
        <w:rPr>
          <w:rFonts w:hint="eastAsia"/>
        </w:rPr>
        <w:instrText xml:space="preserve"> </w:instrText>
      </w:r>
      <w:r>
        <w:instrText xml:space="preserve">PAGEREF _Toc216260324 \h</w:instrText>
      </w:r>
      <w:r>
        <w:rPr>
          <w:rFonts w:hint="eastAsia"/>
        </w:rPr>
        <w:instrText xml:space="preserve"> </w:instrText>
      </w:r>
      <w:r>
        <w:rPr>
          <w:rFonts w:hint="eastAsia"/>
        </w:rPr>
        <w:fldChar w:fldCharType="separate"/>
      </w:r>
      <w:r>
        <w:rPr>
          <w:rFonts w:hint="eastAsia"/>
        </w:rPr>
        <w:t>190</w:t>
      </w:r>
      <w:r>
        <w:rPr>
          <w:rFonts w:hint="eastAsia"/>
        </w:rPr>
        <w:fldChar w:fldCharType="end"/>
      </w:r>
      <w:r>
        <w:rPr>
          <w:rFonts w:hint="eastAsia"/>
        </w:rPr>
        <w:fldChar w:fldCharType="end"/>
      </w:r>
    </w:p>
    <w:p w14:paraId="1746FC03">
      <w:pPr>
        <w:pStyle w:val="41"/>
        <w:tabs>
          <w:tab w:val="right" w:leader="dot" w:pos="8720"/>
        </w:tabs>
        <w:rPr>
          <w:rFonts w:hint="eastAsia" w:asciiTheme="minorHAnsi" w:hAnsiTheme="minorHAnsi" w:eastAsiaTheme="minorEastAsia" w:cstheme="minorBidi"/>
          <w:smallCaps w:val="0"/>
          <w:sz w:val="22"/>
          <w:szCs w:val="24"/>
          <w14:ligatures w14:val="standardContextual"/>
        </w:rPr>
      </w:pPr>
      <w:r>
        <w:fldChar w:fldCharType="begin"/>
      </w:r>
      <w:r>
        <w:instrText xml:space="preserve"> HYPERLINK \l "_Toc216260325" </w:instrText>
      </w:r>
      <w:r>
        <w:fldChar w:fldCharType="separate"/>
      </w:r>
      <w:r>
        <w:rPr>
          <w:rStyle w:val="59"/>
          <w:rFonts w:hint="eastAsia"/>
        </w:rPr>
        <w:t>7.4 企业环境信息公开</w:t>
      </w:r>
      <w:r>
        <w:rPr>
          <w:rFonts w:hint="eastAsia"/>
        </w:rPr>
        <w:tab/>
      </w:r>
      <w:r>
        <w:rPr>
          <w:rFonts w:hint="eastAsia"/>
        </w:rPr>
        <w:fldChar w:fldCharType="begin"/>
      </w:r>
      <w:r>
        <w:rPr>
          <w:rFonts w:hint="eastAsia"/>
        </w:rPr>
        <w:instrText xml:space="preserve"> </w:instrText>
      </w:r>
      <w:r>
        <w:instrText xml:space="preserve">PAGEREF _Toc216260325 \h</w:instrText>
      </w:r>
      <w:r>
        <w:rPr>
          <w:rFonts w:hint="eastAsia"/>
        </w:rPr>
        <w:instrText xml:space="preserve"> </w:instrText>
      </w:r>
      <w:r>
        <w:rPr>
          <w:rFonts w:hint="eastAsia"/>
        </w:rPr>
        <w:fldChar w:fldCharType="separate"/>
      </w:r>
      <w:r>
        <w:rPr>
          <w:rFonts w:hint="eastAsia"/>
        </w:rPr>
        <w:t>190</w:t>
      </w:r>
      <w:r>
        <w:rPr>
          <w:rFonts w:hint="eastAsia"/>
        </w:rPr>
        <w:fldChar w:fldCharType="end"/>
      </w:r>
      <w:r>
        <w:rPr>
          <w:rFonts w:hint="eastAsia"/>
        </w:rPr>
        <w:fldChar w:fldCharType="end"/>
      </w:r>
    </w:p>
    <w:p w14:paraId="193EC91F">
      <w:pPr>
        <w:pStyle w:val="41"/>
        <w:tabs>
          <w:tab w:val="right" w:leader="dot" w:pos="8720"/>
        </w:tabs>
        <w:rPr>
          <w:rFonts w:hint="eastAsia" w:asciiTheme="minorHAnsi" w:hAnsiTheme="minorHAnsi" w:eastAsiaTheme="minorEastAsia" w:cstheme="minorBidi"/>
          <w:smallCaps w:val="0"/>
          <w:sz w:val="22"/>
          <w:szCs w:val="24"/>
          <w14:ligatures w14:val="standardContextual"/>
        </w:rPr>
      </w:pPr>
      <w:r>
        <w:fldChar w:fldCharType="begin"/>
      </w:r>
      <w:r>
        <w:instrText xml:space="preserve"> HYPERLINK \l "_Toc216260326" </w:instrText>
      </w:r>
      <w:r>
        <w:fldChar w:fldCharType="separate"/>
      </w:r>
      <w:r>
        <w:rPr>
          <w:rStyle w:val="59"/>
          <w:rFonts w:hint="eastAsia"/>
        </w:rPr>
        <w:t>7.5 环境监测与监控</w:t>
      </w:r>
      <w:r>
        <w:rPr>
          <w:rFonts w:hint="eastAsia"/>
        </w:rPr>
        <w:tab/>
      </w:r>
      <w:r>
        <w:rPr>
          <w:rFonts w:hint="eastAsia"/>
        </w:rPr>
        <w:fldChar w:fldCharType="begin"/>
      </w:r>
      <w:r>
        <w:rPr>
          <w:rFonts w:hint="eastAsia"/>
        </w:rPr>
        <w:instrText xml:space="preserve"> </w:instrText>
      </w:r>
      <w:r>
        <w:instrText xml:space="preserve">PAGEREF _Toc216260326 \h</w:instrText>
      </w:r>
      <w:r>
        <w:rPr>
          <w:rFonts w:hint="eastAsia"/>
        </w:rPr>
        <w:instrText xml:space="preserve"> </w:instrText>
      </w:r>
      <w:r>
        <w:rPr>
          <w:rFonts w:hint="eastAsia"/>
        </w:rPr>
        <w:fldChar w:fldCharType="separate"/>
      </w:r>
      <w:r>
        <w:rPr>
          <w:rFonts w:hint="eastAsia"/>
        </w:rPr>
        <w:t>192</w:t>
      </w:r>
      <w:r>
        <w:rPr>
          <w:rFonts w:hint="eastAsia"/>
        </w:rPr>
        <w:fldChar w:fldCharType="end"/>
      </w:r>
      <w:r>
        <w:rPr>
          <w:rFonts w:hint="eastAsia"/>
        </w:rPr>
        <w:fldChar w:fldCharType="end"/>
      </w:r>
    </w:p>
    <w:p w14:paraId="18B66F6C">
      <w:pPr>
        <w:pStyle w:val="31"/>
        <w:tabs>
          <w:tab w:val="right" w:leader="dot" w:pos="8720"/>
        </w:tabs>
        <w:rPr>
          <w:rFonts w:hint="eastAsia" w:asciiTheme="minorHAnsi" w:hAnsiTheme="minorHAnsi" w:eastAsiaTheme="minorEastAsia" w:cstheme="minorBidi"/>
          <w:b w:val="0"/>
          <w:bCs w:val="0"/>
          <w:caps w:val="0"/>
          <w:sz w:val="22"/>
          <w:szCs w:val="24"/>
          <w14:ligatures w14:val="standardContextual"/>
        </w:rPr>
      </w:pPr>
      <w:r>
        <w:fldChar w:fldCharType="begin"/>
      </w:r>
      <w:r>
        <w:instrText xml:space="preserve"> HYPERLINK \l "_Toc216260327" </w:instrText>
      </w:r>
      <w:r>
        <w:fldChar w:fldCharType="separate"/>
      </w:r>
      <w:r>
        <w:rPr>
          <w:rStyle w:val="59"/>
          <w:rFonts w:hint="eastAsia"/>
        </w:rPr>
        <w:t>8 环境影响经济损益分析</w:t>
      </w:r>
      <w:r>
        <w:rPr>
          <w:rFonts w:hint="eastAsia"/>
        </w:rPr>
        <w:tab/>
      </w:r>
      <w:r>
        <w:rPr>
          <w:rFonts w:hint="eastAsia"/>
        </w:rPr>
        <w:fldChar w:fldCharType="begin"/>
      </w:r>
      <w:r>
        <w:rPr>
          <w:rFonts w:hint="eastAsia"/>
        </w:rPr>
        <w:instrText xml:space="preserve"> </w:instrText>
      </w:r>
      <w:r>
        <w:instrText xml:space="preserve">PAGEREF _Toc216260327 \h</w:instrText>
      </w:r>
      <w:r>
        <w:rPr>
          <w:rFonts w:hint="eastAsia"/>
        </w:rPr>
        <w:instrText xml:space="preserve"> </w:instrText>
      </w:r>
      <w:r>
        <w:rPr>
          <w:rFonts w:hint="eastAsia"/>
        </w:rPr>
        <w:fldChar w:fldCharType="separate"/>
      </w:r>
      <w:r>
        <w:rPr>
          <w:rFonts w:hint="eastAsia"/>
        </w:rPr>
        <w:t>196</w:t>
      </w:r>
      <w:r>
        <w:rPr>
          <w:rFonts w:hint="eastAsia"/>
        </w:rPr>
        <w:fldChar w:fldCharType="end"/>
      </w:r>
      <w:r>
        <w:rPr>
          <w:rFonts w:hint="eastAsia"/>
        </w:rPr>
        <w:fldChar w:fldCharType="end"/>
      </w:r>
    </w:p>
    <w:p w14:paraId="29DD4ED0">
      <w:pPr>
        <w:pStyle w:val="41"/>
        <w:tabs>
          <w:tab w:val="right" w:leader="dot" w:pos="8720"/>
        </w:tabs>
        <w:rPr>
          <w:rFonts w:hint="eastAsia" w:asciiTheme="minorHAnsi" w:hAnsiTheme="minorHAnsi" w:eastAsiaTheme="minorEastAsia" w:cstheme="minorBidi"/>
          <w:smallCaps w:val="0"/>
          <w:sz w:val="22"/>
          <w:szCs w:val="24"/>
          <w14:ligatures w14:val="standardContextual"/>
        </w:rPr>
      </w:pPr>
      <w:r>
        <w:fldChar w:fldCharType="begin"/>
      </w:r>
      <w:r>
        <w:instrText xml:space="preserve"> HYPERLINK \l "_Toc216260328" </w:instrText>
      </w:r>
      <w:r>
        <w:fldChar w:fldCharType="separate"/>
      </w:r>
      <w:r>
        <w:rPr>
          <w:rStyle w:val="59"/>
          <w:rFonts w:hint="eastAsia"/>
        </w:rPr>
        <w:t>8.1 环境社会效益分析</w:t>
      </w:r>
      <w:r>
        <w:rPr>
          <w:rFonts w:hint="eastAsia"/>
        </w:rPr>
        <w:tab/>
      </w:r>
      <w:r>
        <w:rPr>
          <w:rFonts w:hint="eastAsia"/>
        </w:rPr>
        <w:fldChar w:fldCharType="begin"/>
      </w:r>
      <w:r>
        <w:rPr>
          <w:rFonts w:hint="eastAsia"/>
        </w:rPr>
        <w:instrText xml:space="preserve"> </w:instrText>
      </w:r>
      <w:r>
        <w:instrText xml:space="preserve">PAGEREF _Toc216260328 \h</w:instrText>
      </w:r>
      <w:r>
        <w:rPr>
          <w:rFonts w:hint="eastAsia"/>
        </w:rPr>
        <w:instrText xml:space="preserve"> </w:instrText>
      </w:r>
      <w:r>
        <w:rPr>
          <w:rFonts w:hint="eastAsia"/>
        </w:rPr>
        <w:fldChar w:fldCharType="separate"/>
      </w:r>
      <w:r>
        <w:rPr>
          <w:rFonts w:hint="eastAsia"/>
        </w:rPr>
        <w:t>196</w:t>
      </w:r>
      <w:r>
        <w:rPr>
          <w:rFonts w:hint="eastAsia"/>
        </w:rPr>
        <w:fldChar w:fldCharType="end"/>
      </w:r>
      <w:r>
        <w:rPr>
          <w:rFonts w:hint="eastAsia"/>
        </w:rPr>
        <w:fldChar w:fldCharType="end"/>
      </w:r>
    </w:p>
    <w:p w14:paraId="2A254D77">
      <w:pPr>
        <w:pStyle w:val="41"/>
        <w:tabs>
          <w:tab w:val="right" w:leader="dot" w:pos="8720"/>
        </w:tabs>
        <w:rPr>
          <w:rFonts w:hint="eastAsia" w:asciiTheme="minorHAnsi" w:hAnsiTheme="minorHAnsi" w:eastAsiaTheme="minorEastAsia" w:cstheme="minorBidi"/>
          <w:smallCaps w:val="0"/>
          <w:sz w:val="22"/>
          <w:szCs w:val="24"/>
          <w14:ligatures w14:val="standardContextual"/>
        </w:rPr>
      </w:pPr>
      <w:r>
        <w:fldChar w:fldCharType="begin"/>
      </w:r>
      <w:r>
        <w:instrText xml:space="preserve"> HYPERLINK \l "_Toc216260329" </w:instrText>
      </w:r>
      <w:r>
        <w:fldChar w:fldCharType="separate"/>
      </w:r>
      <w:r>
        <w:rPr>
          <w:rStyle w:val="59"/>
          <w:rFonts w:hint="eastAsia"/>
        </w:rPr>
        <w:t>8.2 环境经济损益分析结论</w:t>
      </w:r>
      <w:r>
        <w:rPr>
          <w:rFonts w:hint="eastAsia"/>
        </w:rPr>
        <w:tab/>
      </w:r>
      <w:r>
        <w:rPr>
          <w:rFonts w:hint="eastAsia"/>
        </w:rPr>
        <w:fldChar w:fldCharType="begin"/>
      </w:r>
      <w:r>
        <w:rPr>
          <w:rFonts w:hint="eastAsia"/>
        </w:rPr>
        <w:instrText xml:space="preserve"> </w:instrText>
      </w:r>
      <w:r>
        <w:instrText xml:space="preserve">PAGEREF _Toc216260329 \h</w:instrText>
      </w:r>
      <w:r>
        <w:rPr>
          <w:rFonts w:hint="eastAsia"/>
        </w:rPr>
        <w:instrText xml:space="preserve"> </w:instrText>
      </w:r>
      <w:r>
        <w:rPr>
          <w:rFonts w:hint="eastAsia"/>
        </w:rPr>
        <w:fldChar w:fldCharType="separate"/>
      </w:r>
      <w:r>
        <w:rPr>
          <w:rFonts w:hint="eastAsia"/>
        </w:rPr>
        <w:t>196</w:t>
      </w:r>
      <w:r>
        <w:rPr>
          <w:rFonts w:hint="eastAsia"/>
        </w:rPr>
        <w:fldChar w:fldCharType="end"/>
      </w:r>
      <w:r>
        <w:rPr>
          <w:rFonts w:hint="eastAsia"/>
        </w:rPr>
        <w:fldChar w:fldCharType="end"/>
      </w:r>
    </w:p>
    <w:p w14:paraId="7419A824">
      <w:pPr>
        <w:pStyle w:val="31"/>
        <w:tabs>
          <w:tab w:val="right" w:leader="dot" w:pos="8720"/>
        </w:tabs>
        <w:rPr>
          <w:rFonts w:hint="eastAsia" w:asciiTheme="minorHAnsi" w:hAnsiTheme="minorHAnsi" w:eastAsiaTheme="minorEastAsia" w:cstheme="minorBidi"/>
          <w:b w:val="0"/>
          <w:bCs w:val="0"/>
          <w:caps w:val="0"/>
          <w:sz w:val="22"/>
          <w:szCs w:val="24"/>
          <w14:ligatures w14:val="standardContextual"/>
        </w:rPr>
      </w:pPr>
      <w:r>
        <w:fldChar w:fldCharType="begin"/>
      </w:r>
      <w:r>
        <w:instrText xml:space="preserve"> HYPERLINK \l "_Toc216260330" </w:instrText>
      </w:r>
      <w:r>
        <w:fldChar w:fldCharType="separate"/>
      </w:r>
      <w:r>
        <w:rPr>
          <w:rStyle w:val="59"/>
          <w:rFonts w:hint="eastAsia"/>
        </w:rPr>
        <w:t>9 环境影响评价结论</w:t>
      </w:r>
      <w:r>
        <w:rPr>
          <w:rFonts w:hint="eastAsia"/>
        </w:rPr>
        <w:tab/>
      </w:r>
      <w:r>
        <w:rPr>
          <w:rFonts w:hint="eastAsia"/>
        </w:rPr>
        <w:fldChar w:fldCharType="begin"/>
      </w:r>
      <w:r>
        <w:rPr>
          <w:rFonts w:hint="eastAsia"/>
        </w:rPr>
        <w:instrText xml:space="preserve"> </w:instrText>
      </w:r>
      <w:r>
        <w:instrText xml:space="preserve">PAGEREF _Toc216260330 \h</w:instrText>
      </w:r>
      <w:r>
        <w:rPr>
          <w:rFonts w:hint="eastAsia"/>
        </w:rPr>
        <w:instrText xml:space="preserve"> </w:instrText>
      </w:r>
      <w:r>
        <w:rPr>
          <w:rFonts w:hint="eastAsia"/>
        </w:rPr>
        <w:fldChar w:fldCharType="separate"/>
      </w:r>
      <w:r>
        <w:rPr>
          <w:rFonts w:hint="eastAsia"/>
        </w:rPr>
        <w:t>198</w:t>
      </w:r>
      <w:r>
        <w:rPr>
          <w:rFonts w:hint="eastAsia"/>
        </w:rPr>
        <w:fldChar w:fldCharType="end"/>
      </w:r>
      <w:r>
        <w:rPr>
          <w:rFonts w:hint="eastAsia"/>
        </w:rPr>
        <w:fldChar w:fldCharType="end"/>
      </w:r>
    </w:p>
    <w:p w14:paraId="17546C16">
      <w:pPr>
        <w:pStyle w:val="41"/>
        <w:tabs>
          <w:tab w:val="right" w:leader="dot" w:pos="8720"/>
        </w:tabs>
        <w:rPr>
          <w:rFonts w:hint="eastAsia" w:asciiTheme="minorHAnsi" w:hAnsiTheme="minorHAnsi" w:eastAsiaTheme="minorEastAsia" w:cstheme="minorBidi"/>
          <w:smallCaps w:val="0"/>
          <w:sz w:val="22"/>
          <w:szCs w:val="24"/>
          <w14:ligatures w14:val="standardContextual"/>
        </w:rPr>
      </w:pPr>
      <w:r>
        <w:fldChar w:fldCharType="begin"/>
      </w:r>
      <w:r>
        <w:instrText xml:space="preserve"> HYPERLINK \l "_Toc216260331" </w:instrText>
      </w:r>
      <w:r>
        <w:fldChar w:fldCharType="separate"/>
      </w:r>
      <w:r>
        <w:rPr>
          <w:rStyle w:val="59"/>
          <w:rFonts w:hint="eastAsia"/>
        </w:rPr>
        <w:t>9.1 建设项目概况</w:t>
      </w:r>
      <w:r>
        <w:rPr>
          <w:rFonts w:hint="eastAsia"/>
        </w:rPr>
        <w:tab/>
      </w:r>
      <w:r>
        <w:rPr>
          <w:rFonts w:hint="eastAsia"/>
        </w:rPr>
        <w:fldChar w:fldCharType="begin"/>
      </w:r>
      <w:r>
        <w:rPr>
          <w:rFonts w:hint="eastAsia"/>
        </w:rPr>
        <w:instrText xml:space="preserve"> </w:instrText>
      </w:r>
      <w:r>
        <w:instrText xml:space="preserve">PAGEREF _Toc216260331 \h</w:instrText>
      </w:r>
      <w:r>
        <w:rPr>
          <w:rFonts w:hint="eastAsia"/>
        </w:rPr>
        <w:instrText xml:space="preserve"> </w:instrText>
      </w:r>
      <w:r>
        <w:rPr>
          <w:rFonts w:hint="eastAsia"/>
        </w:rPr>
        <w:fldChar w:fldCharType="separate"/>
      </w:r>
      <w:r>
        <w:rPr>
          <w:rFonts w:hint="eastAsia"/>
        </w:rPr>
        <w:t>198</w:t>
      </w:r>
      <w:r>
        <w:rPr>
          <w:rFonts w:hint="eastAsia"/>
        </w:rPr>
        <w:fldChar w:fldCharType="end"/>
      </w:r>
      <w:r>
        <w:rPr>
          <w:rFonts w:hint="eastAsia"/>
        </w:rPr>
        <w:fldChar w:fldCharType="end"/>
      </w:r>
    </w:p>
    <w:p w14:paraId="1CC336FA">
      <w:pPr>
        <w:pStyle w:val="41"/>
        <w:tabs>
          <w:tab w:val="right" w:leader="dot" w:pos="8720"/>
        </w:tabs>
        <w:rPr>
          <w:rFonts w:hint="eastAsia" w:asciiTheme="minorHAnsi" w:hAnsiTheme="minorHAnsi" w:eastAsiaTheme="minorEastAsia" w:cstheme="minorBidi"/>
          <w:smallCaps w:val="0"/>
          <w:sz w:val="22"/>
          <w:szCs w:val="24"/>
          <w14:ligatures w14:val="standardContextual"/>
        </w:rPr>
      </w:pPr>
      <w:r>
        <w:fldChar w:fldCharType="begin"/>
      </w:r>
      <w:r>
        <w:instrText xml:space="preserve"> HYPERLINK \l "_Toc216260332" </w:instrText>
      </w:r>
      <w:r>
        <w:fldChar w:fldCharType="separate"/>
      </w:r>
      <w:r>
        <w:rPr>
          <w:rStyle w:val="59"/>
          <w:rFonts w:hint="eastAsia"/>
        </w:rPr>
        <w:t>9.2 环境质量现状</w:t>
      </w:r>
      <w:r>
        <w:rPr>
          <w:rFonts w:hint="eastAsia"/>
        </w:rPr>
        <w:tab/>
      </w:r>
      <w:r>
        <w:rPr>
          <w:rFonts w:hint="eastAsia"/>
        </w:rPr>
        <w:fldChar w:fldCharType="begin"/>
      </w:r>
      <w:r>
        <w:rPr>
          <w:rFonts w:hint="eastAsia"/>
        </w:rPr>
        <w:instrText xml:space="preserve"> </w:instrText>
      </w:r>
      <w:r>
        <w:instrText xml:space="preserve">PAGEREF _Toc216260332 \h</w:instrText>
      </w:r>
      <w:r>
        <w:rPr>
          <w:rFonts w:hint="eastAsia"/>
        </w:rPr>
        <w:instrText xml:space="preserve"> </w:instrText>
      </w:r>
      <w:r>
        <w:rPr>
          <w:rFonts w:hint="eastAsia"/>
        </w:rPr>
        <w:fldChar w:fldCharType="separate"/>
      </w:r>
      <w:r>
        <w:rPr>
          <w:rFonts w:hint="eastAsia"/>
        </w:rPr>
        <w:t>198</w:t>
      </w:r>
      <w:r>
        <w:rPr>
          <w:rFonts w:hint="eastAsia"/>
        </w:rPr>
        <w:fldChar w:fldCharType="end"/>
      </w:r>
      <w:r>
        <w:rPr>
          <w:rFonts w:hint="eastAsia"/>
        </w:rPr>
        <w:fldChar w:fldCharType="end"/>
      </w:r>
    </w:p>
    <w:p w14:paraId="0820C407">
      <w:pPr>
        <w:pStyle w:val="41"/>
        <w:tabs>
          <w:tab w:val="right" w:leader="dot" w:pos="8720"/>
        </w:tabs>
        <w:rPr>
          <w:rFonts w:hint="eastAsia" w:asciiTheme="minorHAnsi" w:hAnsiTheme="minorHAnsi" w:eastAsiaTheme="minorEastAsia" w:cstheme="minorBidi"/>
          <w:smallCaps w:val="0"/>
          <w:sz w:val="22"/>
          <w:szCs w:val="24"/>
          <w14:ligatures w14:val="standardContextual"/>
        </w:rPr>
      </w:pPr>
      <w:r>
        <w:fldChar w:fldCharType="begin"/>
      </w:r>
      <w:r>
        <w:instrText xml:space="preserve"> HYPERLINK \l "_Toc216260333" </w:instrText>
      </w:r>
      <w:r>
        <w:fldChar w:fldCharType="separate"/>
      </w:r>
      <w:r>
        <w:rPr>
          <w:rStyle w:val="59"/>
          <w:rFonts w:hint="eastAsia"/>
        </w:rPr>
        <w:t>9.3 主要环境影响及环保措施</w:t>
      </w:r>
      <w:r>
        <w:rPr>
          <w:rFonts w:hint="eastAsia"/>
        </w:rPr>
        <w:tab/>
      </w:r>
      <w:r>
        <w:rPr>
          <w:rFonts w:hint="eastAsia"/>
        </w:rPr>
        <w:fldChar w:fldCharType="begin"/>
      </w:r>
      <w:r>
        <w:rPr>
          <w:rFonts w:hint="eastAsia"/>
        </w:rPr>
        <w:instrText xml:space="preserve"> </w:instrText>
      </w:r>
      <w:r>
        <w:instrText xml:space="preserve">PAGEREF _Toc216260333 \h</w:instrText>
      </w:r>
      <w:r>
        <w:rPr>
          <w:rFonts w:hint="eastAsia"/>
        </w:rPr>
        <w:instrText xml:space="preserve"> </w:instrText>
      </w:r>
      <w:r>
        <w:rPr>
          <w:rFonts w:hint="eastAsia"/>
        </w:rPr>
        <w:fldChar w:fldCharType="separate"/>
      </w:r>
      <w:r>
        <w:rPr>
          <w:rFonts w:hint="eastAsia"/>
        </w:rPr>
        <w:t>199</w:t>
      </w:r>
      <w:r>
        <w:rPr>
          <w:rFonts w:hint="eastAsia"/>
        </w:rPr>
        <w:fldChar w:fldCharType="end"/>
      </w:r>
      <w:r>
        <w:rPr>
          <w:rFonts w:hint="eastAsia"/>
        </w:rPr>
        <w:fldChar w:fldCharType="end"/>
      </w:r>
    </w:p>
    <w:p w14:paraId="6C0D04A7">
      <w:pPr>
        <w:pStyle w:val="41"/>
        <w:tabs>
          <w:tab w:val="right" w:leader="dot" w:pos="8720"/>
        </w:tabs>
        <w:rPr>
          <w:rFonts w:hint="eastAsia" w:asciiTheme="minorHAnsi" w:hAnsiTheme="minorHAnsi" w:eastAsiaTheme="minorEastAsia" w:cstheme="minorBidi"/>
          <w:smallCaps w:val="0"/>
          <w:sz w:val="22"/>
          <w:szCs w:val="24"/>
          <w14:ligatures w14:val="standardContextual"/>
        </w:rPr>
      </w:pPr>
      <w:r>
        <w:fldChar w:fldCharType="begin"/>
      </w:r>
      <w:r>
        <w:instrText xml:space="preserve"> HYPERLINK \l "_Toc216260334" </w:instrText>
      </w:r>
      <w:r>
        <w:fldChar w:fldCharType="separate"/>
      </w:r>
      <w:r>
        <w:rPr>
          <w:rStyle w:val="59"/>
          <w:rFonts w:hint="eastAsia"/>
        </w:rPr>
        <w:t>9.4 经济损益性分析</w:t>
      </w:r>
      <w:r>
        <w:rPr>
          <w:rStyle w:val="59"/>
          <w:rFonts w:hint="eastAsia"/>
          <w:lang w:eastAsia="zh-Hans"/>
        </w:rPr>
        <w:t>结论</w:t>
      </w:r>
      <w:r>
        <w:rPr>
          <w:rFonts w:hint="eastAsia"/>
        </w:rPr>
        <w:tab/>
      </w:r>
      <w:r>
        <w:rPr>
          <w:rFonts w:hint="eastAsia"/>
        </w:rPr>
        <w:fldChar w:fldCharType="begin"/>
      </w:r>
      <w:r>
        <w:rPr>
          <w:rFonts w:hint="eastAsia"/>
        </w:rPr>
        <w:instrText xml:space="preserve"> </w:instrText>
      </w:r>
      <w:r>
        <w:instrText xml:space="preserve">PAGEREF _Toc216260334 \h</w:instrText>
      </w:r>
      <w:r>
        <w:rPr>
          <w:rFonts w:hint="eastAsia"/>
        </w:rPr>
        <w:instrText xml:space="preserve"> </w:instrText>
      </w:r>
      <w:r>
        <w:rPr>
          <w:rFonts w:hint="eastAsia"/>
        </w:rPr>
        <w:fldChar w:fldCharType="separate"/>
      </w:r>
      <w:r>
        <w:rPr>
          <w:rFonts w:hint="eastAsia"/>
        </w:rPr>
        <w:t>203</w:t>
      </w:r>
      <w:r>
        <w:rPr>
          <w:rFonts w:hint="eastAsia"/>
        </w:rPr>
        <w:fldChar w:fldCharType="end"/>
      </w:r>
      <w:r>
        <w:rPr>
          <w:rFonts w:hint="eastAsia"/>
        </w:rPr>
        <w:fldChar w:fldCharType="end"/>
      </w:r>
    </w:p>
    <w:p w14:paraId="4A7858C7">
      <w:pPr>
        <w:pStyle w:val="41"/>
        <w:tabs>
          <w:tab w:val="right" w:leader="dot" w:pos="8720"/>
        </w:tabs>
        <w:rPr>
          <w:rFonts w:hint="eastAsia" w:asciiTheme="minorHAnsi" w:hAnsiTheme="minorHAnsi" w:eastAsiaTheme="minorEastAsia" w:cstheme="minorBidi"/>
          <w:smallCaps w:val="0"/>
          <w:sz w:val="22"/>
          <w:szCs w:val="24"/>
          <w14:ligatures w14:val="standardContextual"/>
        </w:rPr>
      </w:pPr>
      <w:r>
        <w:fldChar w:fldCharType="begin"/>
      </w:r>
      <w:r>
        <w:instrText xml:space="preserve"> HYPERLINK \l "_Toc216260335" </w:instrText>
      </w:r>
      <w:r>
        <w:fldChar w:fldCharType="separate"/>
      </w:r>
      <w:r>
        <w:rPr>
          <w:rStyle w:val="59"/>
          <w:rFonts w:hint="eastAsia"/>
        </w:rPr>
        <w:t>9.5 环境管理与监测计划</w:t>
      </w:r>
      <w:r>
        <w:rPr>
          <w:rStyle w:val="59"/>
          <w:rFonts w:hint="eastAsia"/>
          <w:lang w:eastAsia="zh-Hans"/>
        </w:rPr>
        <w:t>结论</w:t>
      </w:r>
      <w:r>
        <w:rPr>
          <w:rFonts w:hint="eastAsia"/>
        </w:rPr>
        <w:tab/>
      </w:r>
      <w:r>
        <w:rPr>
          <w:rFonts w:hint="eastAsia"/>
        </w:rPr>
        <w:fldChar w:fldCharType="begin"/>
      </w:r>
      <w:r>
        <w:rPr>
          <w:rFonts w:hint="eastAsia"/>
        </w:rPr>
        <w:instrText xml:space="preserve"> </w:instrText>
      </w:r>
      <w:r>
        <w:instrText xml:space="preserve">PAGEREF _Toc216260335 \h</w:instrText>
      </w:r>
      <w:r>
        <w:rPr>
          <w:rFonts w:hint="eastAsia"/>
        </w:rPr>
        <w:instrText xml:space="preserve"> </w:instrText>
      </w:r>
      <w:r>
        <w:rPr>
          <w:rFonts w:hint="eastAsia"/>
        </w:rPr>
        <w:fldChar w:fldCharType="separate"/>
      </w:r>
      <w:r>
        <w:rPr>
          <w:rFonts w:hint="eastAsia"/>
        </w:rPr>
        <w:t>203</w:t>
      </w:r>
      <w:r>
        <w:rPr>
          <w:rFonts w:hint="eastAsia"/>
        </w:rPr>
        <w:fldChar w:fldCharType="end"/>
      </w:r>
      <w:r>
        <w:rPr>
          <w:rFonts w:hint="eastAsia"/>
        </w:rPr>
        <w:fldChar w:fldCharType="end"/>
      </w:r>
    </w:p>
    <w:p w14:paraId="05F2A988">
      <w:pPr>
        <w:pStyle w:val="41"/>
        <w:tabs>
          <w:tab w:val="right" w:leader="dot" w:pos="8720"/>
        </w:tabs>
        <w:rPr>
          <w:rFonts w:hint="eastAsia" w:asciiTheme="minorHAnsi" w:hAnsiTheme="minorHAnsi" w:eastAsiaTheme="minorEastAsia" w:cstheme="minorBidi"/>
          <w:smallCaps w:val="0"/>
          <w:sz w:val="22"/>
          <w:szCs w:val="24"/>
          <w14:ligatures w14:val="standardContextual"/>
        </w:rPr>
      </w:pPr>
      <w:r>
        <w:fldChar w:fldCharType="begin"/>
      </w:r>
      <w:r>
        <w:instrText xml:space="preserve"> HYPERLINK \l "_Toc216260336" </w:instrText>
      </w:r>
      <w:r>
        <w:fldChar w:fldCharType="separate"/>
      </w:r>
      <w:r>
        <w:rPr>
          <w:rStyle w:val="59"/>
          <w:rFonts w:hint="eastAsia"/>
        </w:rPr>
        <w:t>9.6 公众参与</w:t>
      </w:r>
      <w:r>
        <w:rPr>
          <w:rFonts w:hint="eastAsia"/>
        </w:rPr>
        <w:tab/>
      </w:r>
      <w:r>
        <w:rPr>
          <w:rFonts w:hint="eastAsia"/>
        </w:rPr>
        <w:fldChar w:fldCharType="begin"/>
      </w:r>
      <w:r>
        <w:rPr>
          <w:rFonts w:hint="eastAsia"/>
        </w:rPr>
        <w:instrText xml:space="preserve"> </w:instrText>
      </w:r>
      <w:r>
        <w:instrText xml:space="preserve">PAGEREF _Toc216260336 \h</w:instrText>
      </w:r>
      <w:r>
        <w:rPr>
          <w:rFonts w:hint="eastAsia"/>
        </w:rPr>
        <w:instrText xml:space="preserve"> </w:instrText>
      </w:r>
      <w:r>
        <w:rPr>
          <w:rFonts w:hint="eastAsia"/>
        </w:rPr>
        <w:fldChar w:fldCharType="separate"/>
      </w:r>
      <w:r>
        <w:rPr>
          <w:rFonts w:hint="eastAsia"/>
        </w:rPr>
        <w:t>203</w:t>
      </w:r>
      <w:r>
        <w:rPr>
          <w:rFonts w:hint="eastAsia"/>
        </w:rPr>
        <w:fldChar w:fldCharType="end"/>
      </w:r>
      <w:r>
        <w:rPr>
          <w:rFonts w:hint="eastAsia"/>
        </w:rPr>
        <w:fldChar w:fldCharType="end"/>
      </w:r>
    </w:p>
    <w:p w14:paraId="495E74B6">
      <w:pPr>
        <w:pStyle w:val="41"/>
        <w:tabs>
          <w:tab w:val="right" w:leader="dot" w:pos="8720"/>
        </w:tabs>
        <w:rPr>
          <w:rFonts w:hint="eastAsia" w:asciiTheme="minorHAnsi" w:hAnsiTheme="minorHAnsi" w:eastAsiaTheme="minorEastAsia" w:cstheme="minorBidi"/>
          <w:smallCaps w:val="0"/>
          <w:sz w:val="22"/>
          <w:szCs w:val="24"/>
          <w14:ligatures w14:val="standardContextual"/>
        </w:rPr>
      </w:pPr>
      <w:r>
        <w:fldChar w:fldCharType="begin"/>
      </w:r>
      <w:r>
        <w:instrText xml:space="preserve"> HYPERLINK \l "_Toc216260337" </w:instrText>
      </w:r>
      <w:r>
        <w:fldChar w:fldCharType="separate"/>
      </w:r>
      <w:r>
        <w:rPr>
          <w:rStyle w:val="59"/>
          <w:rFonts w:hint="eastAsia"/>
        </w:rPr>
        <w:t>9.7 总结论</w:t>
      </w:r>
      <w:r>
        <w:rPr>
          <w:rFonts w:hint="eastAsia"/>
        </w:rPr>
        <w:tab/>
      </w:r>
      <w:r>
        <w:rPr>
          <w:rFonts w:hint="eastAsia"/>
        </w:rPr>
        <w:fldChar w:fldCharType="begin"/>
      </w:r>
      <w:r>
        <w:rPr>
          <w:rFonts w:hint="eastAsia"/>
        </w:rPr>
        <w:instrText xml:space="preserve"> </w:instrText>
      </w:r>
      <w:r>
        <w:instrText xml:space="preserve">PAGEREF _Toc216260337 \h</w:instrText>
      </w:r>
      <w:r>
        <w:rPr>
          <w:rFonts w:hint="eastAsia"/>
        </w:rPr>
        <w:instrText xml:space="preserve"> </w:instrText>
      </w:r>
      <w:r>
        <w:rPr>
          <w:rFonts w:hint="eastAsia"/>
        </w:rPr>
        <w:fldChar w:fldCharType="separate"/>
      </w:r>
      <w:r>
        <w:rPr>
          <w:rFonts w:hint="eastAsia"/>
        </w:rPr>
        <w:t>204</w:t>
      </w:r>
      <w:r>
        <w:rPr>
          <w:rFonts w:hint="eastAsia"/>
        </w:rPr>
        <w:fldChar w:fldCharType="end"/>
      </w:r>
      <w:r>
        <w:rPr>
          <w:rFonts w:hint="eastAsia"/>
        </w:rPr>
        <w:fldChar w:fldCharType="end"/>
      </w:r>
    </w:p>
    <w:p w14:paraId="37A64BAB">
      <w:pPr>
        <w:pStyle w:val="117"/>
        <w:ind w:firstLine="480"/>
        <w:jc w:val="center"/>
        <w:rPr>
          <w:rFonts w:hint="eastAsia"/>
          <w:b/>
          <w:color w:val="000000" w:themeColor="text1"/>
          <w:sz w:val="28"/>
          <w14:textFill>
            <w14:solidFill>
              <w14:schemeClr w14:val="tx1"/>
            </w14:solidFill>
          </w14:textFill>
        </w:rPr>
      </w:pPr>
      <w:r>
        <w:rPr>
          <w:rFonts w:hint="eastAsia" w:cs="宋体"/>
          <w:color w:val="000000" w:themeColor="text1"/>
          <w14:textFill>
            <w14:solidFill>
              <w14:schemeClr w14:val="tx1"/>
            </w14:solidFill>
          </w14:textFill>
        </w:rPr>
        <w:fldChar w:fldCharType="end"/>
      </w:r>
    </w:p>
    <w:p w14:paraId="01B1A290">
      <w:pPr>
        <w:pStyle w:val="117"/>
        <w:ind w:firstLine="0" w:firstLineChars="0"/>
        <w:rPr>
          <w:rFonts w:hint="eastAsia"/>
          <w:b/>
          <w:color w:val="000000" w:themeColor="text1"/>
          <w:sz w:val="28"/>
          <w14:textFill>
            <w14:solidFill>
              <w14:schemeClr w14:val="tx1"/>
            </w14:solidFill>
          </w14:textFill>
        </w:rPr>
        <w:sectPr>
          <w:headerReference r:id="rId4" w:type="default"/>
          <w:footerReference r:id="rId5" w:type="default"/>
          <w:pgSz w:w="11906" w:h="16838"/>
          <w:pgMar w:top="1418" w:right="1588" w:bottom="1418" w:left="1588" w:header="1020" w:footer="1020" w:gutter="0"/>
          <w:pgNumType w:fmt="upperRoman" w:start="1"/>
          <w:cols w:space="720" w:num="1"/>
          <w:docGrid w:type="lines" w:linePitch="312" w:charSpace="0"/>
        </w:sectPr>
      </w:pPr>
    </w:p>
    <w:p w14:paraId="16B60DB6">
      <w:pPr>
        <w:pStyle w:val="3"/>
        <w:rPr>
          <w:rFonts w:hint="eastAsia"/>
          <w:color w:val="000000" w:themeColor="text1"/>
          <w14:textFill>
            <w14:solidFill>
              <w14:schemeClr w14:val="tx1"/>
            </w14:solidFill>
          </w14:textFill>
        </w:rPr>
      </w:pPr>
      <w:bookmarkStart w:id="13" w:name="_Toc216260224"/>
      <w:r>
        <w:rPr>
          <w:rFonts w:hint="eastAsia"/>
          <w:color w:val="000000" w:themeColor="text1"/>
          <w14:textFill>
            <w14:solidFill>
              <w14:schemeClr w14:val="tx1"/>
            </w14:solidFill>
          </w14:textFill>
        </w:rPr>
        <w:t>概述</w:t>
      </w:r>
      <w:bookmarkEnd w:id="13"/>
    </w:p>
    <w:p w14:paraId="6138B6B7">
      <w:pPr>
        <w:pStyle w:val="2"/>
        <w:rPr>
          <w:rFonts w:hint="eastAsia"/>
          <w:color w:val="000000" w:themeColor="text1"/>
          <w14:textFill>
            <w14:solidFill>
              <w14:schemeClr w14:val="tx1"/>
            </w14:solidFill>
          </w14:textFill>
        </w:rPr>
      </w:pPr>
      <w:bookmarkStart w:id="14" w:name="_Toc216260225"/>
      <w:r>
        <w:rPr>
          <w:rFonts w:hint="eastAsia"/>
          <w:color w:val="000000" w:themeColor="text1"/>
          <w14:textFill>
            <w14:solidFill>
              <w14:schemeClr w14:val="tx1"/>
            </w14:solidFill>
          </w14:textFill>
        </w:rPr>
        <w:t>项目</w:t>
      </w:r>
      <w:r>
        <w:rPr>
          <w:color w:val="000000" w:themeColor="text1"/>
          <w14:textFill>
            <w14:solidFill>
              <w14:schemeClr w14:val="tx1"/>
            </w14:solidFill>
          </w14:textFill>
        </w:rPr>
        <w:t>背景</w:t>
      </w:r>
      <w:bookmarkEnd w:id="14"/>
    </w:p>
    <w:p w14:paraId="57C672C8">
      <w:pPr>
        <w:pStyle w:val="117"/>
        <w:ind w:firstLine="480"/>
        <w:rPr>
          <w:rFonts w:hint="eastAsia"/>
          <w:color w:val="000000" w:themeColor="text1"/>
          <w14:textFill>
            <w14:solidFill>
              <w14:schemeClr w14:val="tx1"/>
            </w14:solidFill>
          </w14:textFill>
        </w:rPr>
      </w:pPr>
      <w:bookmarkStart w:id="15" w:name="_Hlk78995800"/>
      <w:r>
        <w:rPr>
          <w:rFonts w:hint="eastAsia"/>
          <w:color w:val="000000" w:themeColor="text1"/>
          <w14:textFill>
            <w14:solidFill>
              <w14:schemeClr w14:val="tx1"/>
            </w14:solidFill>
          </w14:textFill>
        </w:rPr>
        <w:t>吉木萨尔凹陷页岩油层富集区位于新疆准噶尔盆地东部，行政隶属新疆维吾尔自治区吉木萨尔县和新疆生产建设兵团第六师红旗农场管辖。油区有多条公路穿过，交通较为便利。</w:t>
      </w:r>
    </w:p>
    <w:p w14:paraId="732E3680">
      <w:pPr>
        <w:pStyle w:val="117"/>
        <w:ind w:firstLine="480"/>
        <w:rPr>
          <w:rFonts w:hint="eastAsia"/>
          <w:color w:val="000000" w:themeColor="text1"/>
          <w14:textFill>
            <w14:solidFill>
              <w14:schemeClr w14:val="tx1"/>
            </w14:solidFill>
          </w14:textFill>
        </w:rPr>
      </w:pPr>
      <w:r>
        <w:rPr>
          <w:color w:val="000000" w:themeColor="text1"/>
          <w14:textFill>
            <w14:solidFill>
              <w14:schemeClr w14:val="tx1"/>
            </w14:solidFill>
          </w14:textFill>
        </w:rPr>
        <w:t>为探索吉木萨尔页岩油藏有效补充能量、大幅度提高采收率的技术可行性，</w:t>
      </w:r>
      <w:r>
        <w:rPr>
          <w:rFonts w:hint="eastAsia"/>
          <w:color w:val="000000" w:themeColor="text1"/>
          <w14:textFill>
            <w14:solidFill>
              <w14:schemeClr w14:val="tx1"/>
            </w14:solidFill>
          </w14:textFill>
        </w:rPr>
        <w:t>2018年至今，吉木萨尔芦草沟组页岩油已经开展了矿场注返排液吞吐、注表面活性剂吞吐、</w:t>
      </w:r>
      <w:bookmarkStart w:id="16" w:name="OLE_LINK23"/>
      <w:r>
        <w:rPr>
          <w:rFonts w:hint="eastAsia"/>
          <w:color w:val="000000" w:themeColor="text1"/>
          <w14:textFill>
            <w14:solidFill>
              <w14:schemeClr w14:val="tx1"/>
            </w14:solidFill>
          </w14:textFill>
        </w:rPr>
        <w:t>注CO</w:t>
      </w:r>
      <w:r>
        <w:rPr>
          <w:rFonts w:hint="eastAsia"/>
          <w:color w:val="000000" w:themeColor="text1"/>
          <w:vertAlign w:val="subscript"/>
          <w14:textFill>
            <w14:solidFill>
              <w14:schemeClr w14:val="tx1"/>
            </w14:solidFill>
          </w14:textFill>
        </w:rPr>
        <w:t>2</w:t>
      </w:r>
      <w:r>
        <w:rPr>
          <w:rFonts w:hint="eastAsia"/>
          <w:color w:val="000000" w:themeColor="text1"/>
          <w14:textFill>
            <w14:solidFill>
              <w14:schemeClr w14:val="tx1"/>
            </w14:solidFill>
          </w14:textFill>
        </w:rPr>
        <w:t>吞吐</w:t>
      </w:r>
      <w:bookmarkEnd w:id="16"/>
      <w:r>
        <w:rPr>
          <w:rFonts w:hint="eastAsia"/>
          <w:color w:val="000000" w:themeColor="text1"/>
          <w14:textFill>
            <w14:solidFill>
              <w14:schemeClr w14:val="tx1"/>
            </w14:solidFill>
          </w14:textFill>
        </w:rPr>
        <w:t>三种介质的吞吐提产、提采试验。根据试验效果可知，返排液吞吐未达到提产效果，反而影响井的正常生产；注表面活性剂吞吐虽然在提高采收率方面有一定的效果，但存在纳米驱油剂被吸附后产生水锁的风险。此外，纳米增渗驱油剂提高页岩油采收率的机理尚不明确，因此，仍需进一步攻关纳米增渗驱油剂的选材、吸附规律、吸附影响因素和增油机理，待机理认识清楚后，建立配套应用技术，才能进行现场试验和推广，降低实施风险。注</w:t>
      </w:r>
      <w:bookmarkStart w:id="17" w:name="OLE_LINK17"/>
      <w:r>
        <w:rPr>
          <w:rFonts w:hint="eastAsia"/>
          <w:color w:val="000000" w:themeColor="text1"/>
          <w14:textFill>
            <w14:solidFill>
              <w14:schemeClr w14:val="tx1"/>
            </w14:solidFill>
          </w14:textFill>
        </w:rPr>
        <w:t>CO</w:t>
      </w:r>
      <w:r>
        <w:rPr>
          <w:rFonts w:hint="eastAsia"/>
          <w:color w:val="000000" w:themeColor="text1"/>
          <w:vertAlign w:val="subscript"/>
          <w14:textFill>
            <w14:solidFill>
              <w14:schemeClr w14:val="tx1"/>
            </w14:solidFill>
          </w14:textFill>
        </w:rPr>
        <w:t>2</w:t>
      </w:r>
      <w:r>
        <w:rPr>
          <w:rFonts w:hint="eastAsia"/>
          <w:color w:val="000000" w:themeColor="text1"/>
          <w14:textFill>
            <w14:solidFill>
              <w14:schemeClr w14:val="tx1"/>
            </w14:solidFill>
          </w14:textFill>
        </w:rPr>
        <w:t>吞吐</w:t>
      </w:r>
      <w:bookmarkEnd w:id="17"/>
      <w:r>
        <w:rPr>
          <w:rFonts w:hint="eastAsia"/>
          <w:color w:val="000000" w:themeColor="text1"/>
          <w14:textFill>
            <w14:solidFill>
              <w14:schemeClr w14:val="tx1"/>
            </w14:solidFill>
          </w14:textFill>
        </w:rPr>
        <w:t>提产效果好，且注CO</w:t>
      </w:r>
      <w:r>
        <w:rPr>
          <w:rFonts w:hint="eastAsia"/>
          <w:color w:val="000000" w:themeColor="text1"/>
          <w:vertAlign w:val="subscript"/>
          <w14:textFill>
            <w14:solidFill>
              <w14:schemeClr w14:val="tx1"/>
            </w14:solidFill>
          </w14:textFill>
        </w:rPr>
        <w:t>2</w:t>
      </w:r>
      <w:r>
        <w:rPr>
          <w:rFonts w:hint="eastAsia"/>
          <w:color w:val="000000" w:themeColor="text1"/>
          <w14:textFill>
            <w14:solidFill>
              <w14:schemeClr w14:val="tx1"/>
            </w14:solidFill>
          </w14:textFill>
        </w:rPr>
        <w:t>吞吐已在中国石油新疆油田分公司其他作业区投入生产。</w:t>
      </w:r>
    </w:p>
    <w:p w14:paraId="4EEDB027">
      <w:pPr>
        <w:pStyle w:val="117"/>
        <w:ind w:firstLine="480"/>
        <w:rPr>
          <w:rFonts w:hint="eastAsia"/>
          <w:color w:val="000000" w:themeColor="text1"/>
          <w:kern w:val="0"/>
          <w14:textFill>
            <w14:solidFill>
              <w14:schemeClr w14:val="tx1"/>
            </w14:solidFill>
          </w14:textFill>
        </w:rPr>
      </w:pPr>
      <w:r>
        <w:rPr>
          <w:rFonts w:hint="eastAsia"/>
          <w:color w:val="000000" w:themeColor="text1"/>
          <w:szCs w:val="22"/>
          <w14:textFill>
            <w14:solidFill>
              <w14:schemeClr w14:val="tx1"/>
            </w14:solidFill>
          </w14:textFill>
        </w:rPr>
        <w:t>为进一步研究</w:t>
      </w:r>
      <w:r>
        <w:rPr>
          <w:rFonts w:hint="eastAsia"/>
          <w:color w:val="000000" w:themeColor="text1"/>
          <w14:textFill>
            <w14:solidFill>
              <w14:schemeClr w14:val="tx1"/>
            </w14:solidFill>
          </w14:textFill>
        </w:rPr>
        <w:t>注CO</w:t>
      </w:r>
      <w:r>
        <w:rPr>
          <w:rFonts w:hint="eastAsia"/>
          <w:color w:val="000000" w:themeColor="text1"/>
          <w:vertAlign w:val="subscript"/>
          <w14:textFill>
            <w14:solidFill>
              <w14:schemeClr w14:val="tx1"/>
            </w14:solidFill>
          </w14:textFill>
        </w:rPr>
        <w:t>2</w:t>
      </w:r>
      <w:r>
        <w:rPr>
          <w:rFonts w:hint="eastAsia"/>
          <w:color w:val="000000" w:themeColor="text1"/>
          <w14:textFill>
            <w14:solidFill>
              <w14:schemeClr w14:val="tx1"/>
            </w14:solidFill>
          </w14:textFill>
        </w:rPr>
        <w:t>吞吐提高页岩油采收率的情况，中国石油新疆油田分公司吉庆油田作业区</w:t>
      </w:r>
      <w:r>
        <w:rPr>
          <w:rFonts w:hint="eastAsia" w:cs="宋体"/>
          <w:color w:val="000000" w:themeColor="text1"/>
          <w:kern w:val="0"/>
          <w14:textFill>
            <w14:solidFill>
              <w14:schemeClr w14:val="tx1"/>
            </w14:solidFill>
          </w14:textFill>
        </w:rPr>
        <w:t>拟对页岩油井区现有12口生产井进行改造，将其中9口井改造为注采井、1口改造为采出气回注井、2口改造为注水井；新建注采井场9座、采出气回注井场1座，注水井场2座，新建预处理注入站1座、计量站2座、单井采油管线4.64km、集油干线2.3km、注气管线1.2km、转液管线1.2km；并配套建设供配电、仪表自动化、消防等公用工程。</w:t>
      </w:r>
      <w:bookmarkStart w:id="18" w:name="OLE_LINK26"/>
      <w:bookmarkStart w:id="19" w:name="OLE_LINK31"/>
      <w:r>
        <w:rPr>
          <w:rFonts w:hint="eastAsia" w:cs="宋体"/>
          <w:color w:val="000000" w:themeColor="text1"/>
          <w:kern w:val="0"/>
          <w14:textFill>
            <w14:solidFill>
              <w14:schemeClr w14:val="tx1"/>
            </w14:solidFill>
          </w14:textFill>
        </w:rPr>
        <w:t>拟改造井全部位于新疆维吾尔自治区昌吉回族自治州吉木萨尔县，</w:t>
      </w:r>
      <w:r>
        <w:rPr>
          <w:rFonts w:hint="eastAsia"/>
          <w:color w:val="000000" w:themeColor="text1"/>
          <w:kern w:val="0"/>
          <w14:textFill>
            <w14:solidFill>
              <w14:schemeClr w14:val="tx1"/>
            </w14:solidFill>
          </w14:textFill>
        </w:rPr>
        <w:t>项目属于陆地石油开采业，其建设将提高区域整体开发效益，带动地区经济的发展和人民生活水平的提高，具有明显的社会经济效益。</w:t>
      </w:r>
      <w:bookmarkEnd w:id="18"/>
    </w:p>
    <w:bookmarkEnd w:id="15"/>
    <w:bookmarkEnd w:id="19"/>
    <w:p w14:paraId="0F8BB87D">
      <w:pPr>
        <w:pStyle w:val="2"/>
        <w:rPr>
          <w:rFonts w:hint="eastAsia"/>
          <w:color w:val="000000" w:themeColor="text1"/>
          <w14:textFill>
            <w14:solidFill>
              <w14:schemeClr w14:val="tx1"/>
            </w14:solidFill>
          </w14:textFill>
        </w:rPr>
      </w:pPr>
      <w:bookmarkStart w:id="20" w:name="_Toc216260226"/>
      <w:r>
        <w:rPr>
          <w:rFonts w:hint="eastAsia"/>
          <w:color w:val="000000" w:themeColor="text1"/>
          <w14:textFill>
            <w14:solidFill>
              <w14:schemeClr w14:val="tx1"/>
            </w14:solidFill>
          </w14:textFill>
        </w:rPr>
        <w:t>建设项目主要特点</w:t>
      </w:r>
      <w:bookmarkEnd w:id="20"/>
    </w:p>
    <w:p w14:paraId="7E315199">
      <w:pPr>
        <w:pStyle w:val="117"/>
        <w:ind w:firstLine="480"/>
        <w:rPr>
          <w:rFonts w:hint="eastAsia"/>
          <w:color w:val="000000" w:themeColor="text1"/>
          <w14:textFill>
            <w14:solidFill>
              <w14:schemeClr w14:val="tx1"/>
            </w14:solidFill>
          </w14:textFill>
        </w:rPr>
      </w:pPr>
      <w:bookmarkStart w:id="21" w:name="_Toc475624453"/>
      <w:bookmarkStart w:id="22" w:name="_Toc469048934"/>
      <w:bookmarkStart w:id="23" w:name="_Toc469749398"/>
      <w:bookmarkStart w:id="24" w:name="_Hlk73979272"/>
      <w:r>
        <w:rPr>
          <w:rFonts w:hint="eastAsia"/>
          <w:color w:val="000000" w:themeColor="text1"/>
          <w14:textFill>
            <w14:solidFill>
              <w14:schemeClr w14:val="tx1"/>
            </w14:solidFill>
          </w14:textFill>
        </w:rPr>
        <w:t>本项目具有如下特点：</w:t>
      </w:r>
    </w:p>
    <w:p w14:paraId="451451A5">
      <w:pPr>
        <w:pStyle w:val="117"/>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（1）项目为页岩油开采，油气集输采用管线密闭集输工艺，减少了油气集输过程中的废气产生；伴生气中含有硫化氢，井口设有除硫加药装置。</w:t>
      </w:r>
    </w:p>
    <w:p w14:paraId="378CF28B">
      <w:pPr>
        <w:pStyle w:val="117"/>
        <w:ind w:firstLine="480"/>
        <w:rPr>
          <w:rFonts w:hint="eastAsia" w:cs="宋体"/>
          <w:color w:val="000000" w:themeColor="text1"/>
          <w:kern w:val="0"/>
          <w14:textFill>
            <w14:solidFill>
              <w14:schemeClr w14:val="tx1"/>
            </w14:solidFill>
          </w14:textFill>
        </w:rPr>
      </w:pPr>
      <w:r>
        <w:rPr>
          <w:rFonts w:hint="eastAsia"/>
          <w:color w:val="000000" w:themeColor="text1"/>
          <w14:textFill>
            <w14:solidFill>
              <w14:schemeClr w14:val="tx1"/>
            </w14:solidFill>
          </w14:textFill>
        </w:rPr>
        <w:t>（2）页岩油开发项目是典型</w:t>
      </w:r>
      <w:r>
        <w:rPr>
          <w:rFonts w:hint="eastAsia" w:cs="宋体"/>
          <w:color w:val="000000" w:themeColor="text1"/>
          <w:kern w:val="0"/>
          <w14:textFill>
            <w14:solidFill>
              <w14:schemeClr w14:val="tx1"/>
            </w14:solidFill>
          </w14:textFill>
        </w:rPr>
        <w:t>的兼具生态影响型和污染影响型项目。</w:t>
      </w:r>
    </w:p>
    <w:p w14:paraId="3541A2E7">
      <w:pPr>
        <w:pStyle w:val="117"/>
        <w:ind w:firstLine="480"/>
        <w:rPr>
          <w:rFonts w:hint="eastAsia"/>
          <w:color w:val="000000" w:themeColor="text1"/>
          <w14:textFill>
            <w14:solidFill>
              <w14:schemeClr w14:val="tx1"/>
            </w14:solidFill>
          </w14:textFill>
        </w:rPr>
      </w:pPr>
      <w:r>
        <w:rPr>
          <w:rFonts w:hint="eastAsia" w:cs="宋体"/>
          <w:color w:val="000000" w:themeColor="text1"/>
          <w:kern w:val="0"/>
          <w14:textFill>
            <w14:solidFill>
              <w14:schemeClr w14:val="tx1"/>
            </w14:solidFill>
          </w14:textFill>
        </w:rPr>
        <w:t>（3）本项目</w:t>
      </w:r>
      <w:r>
        <w:rPr>
          <w:rFonts w:hint="eastAsia"/>
          <w:color w:val="000000" w:themeColor="text1"/>
          <w14:textFill>
            <w14:solidFill>
              <w14:schemeClr w14:val="tx1"/>
            </w14:solidFill>
          </w14:textFill>
        </w:rPr>
        <w:t>采用注CO</w:t>
      </w:r>
      <w:r>
        <w:rPr>
          <w:rFonts w:hint="eastAsia"/>
          <w:color w:val="000000" w:themeColor="text1"/>
          <w:vertAlign w:val="subscript"/>
          <w14:textFill>
            <w14:solidFill>
              <w14:schemeClr w14:val="tx1"/>
            </w14:solidFill>
          </w14:textFill>
        </w:rPr>
        <w:t>2</w:t>
      </w:r>
      <w:r>
        <w:rPr>
          <w:rFonts w:hint="eastAsia"/>
          <w:color w:val="000000" w:themeColor="text1"/>
          <w14:textFill>
            <w14:solidFill>
              <w14:schemeClr w14:val="tx1"/>
            </w14:solidFill>
          </w14:textFill>
        </w:rPr>
        <w:t>开采，不仅可以提高油田采收率，而且可以将二氧化碳永远封存于地下，有效减少了温室气体二氧化碳的排放量，为区域实现“碳达峰”目标和“碳中和”愿景贡献力量，对改善区域大气环境具有积极作用。为保证注气区内能有效封堵，本次拟部署2口注水井进行注水封堵防窜。</w:t>
      </w:r>
    </w:p>
    <w:p w14:paraId="32133AAE">
      <w:pPr>
        <w:pStyle w:val="117"/>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（4）采出物伴生气中二氧化碳含量较高，不具备回收价值，经脱水处理后回注地层。</w:t>
      </w:r>
    </w:p>
    <w:p w14:paraId="26BEF8FC">
      <w:pPr>
        <w:pStyle w:val="2"/>
        <w:rPr>
          <w:rFonts w:hint="eastAsia"/>
          <w:color w:val="000000" w:themeColor="text1"/>
          <w14:textFill>
            <w14:solidFill>
              <w14:schemeClr w14:val="tx1"/>
            </w14:solidFill>
          </w14:textFill>
        </w:rPr>
      </w:pPr>
      <w:bookmarkStart w:id="25" w:name="_Toc216260227"/>
      <w:r>
        <w:rPr>
          <w:color w:val="000000" w:themeColor="text1"/>
          <w14:textFill>
            <w14:solidFill>
              <w14:schemeClr w14:val="tx1"/>
            </w14:solidFill>
          </w14:textFill>
        </w:rPr>
        <w:t>环境影响评价</w:t>
      </w:r>
      <w:r>
        <w:rPr>
          <w:rFonts w:hint="eastAsia"/>
          <w:color w:val="000000" w:themeColor="text1"/>
          <w14:textFill>
            <w14:solidFill>
              <w14:schemeClr w14:val="tx1"/>
            </w14:solidFill>
          </w14:textFill>
        </w:rPr>
        <w:t>的工作</w:t>
      </w:r>
      <w:r>
        <w:rPr>
          <w:color w:val="000000" w:themeColor="text1"/>
          <w14:textFill>
            <w14:solidFill>
              <w14:schemeClr w14:val="tx1"/>
            </w14:solidFill>
          </w14:textFill>
        </w:rPr>
        <w:t>过程</w:t>
      </w:r>
      <w:bookmarkEnd w:id="21"/>
      <w:bookmarkEnd w:id="22"/>
      <w:bookmarkEnd w:id="23"/>
      <w:bookmarkEnd w:id="25"/>
    </w:p>
    <w:bookmarkEnd w:id="24"/>
    <w:p w14:paraId="076291E0">
      <w:pPr>
        <w:pStyle w:val="117"/>
        <w:ind w:firstLine="480"/>
        <w:rPr>
          <w:rFonts w:hint="eastAsia"/>
          <w:color w:val="000000" w:themeColor="text1"/>
          <w14:textFill>
            <w14:solidFill>
              <w14:schemeClr w14:val="tx1"/>
            </w14:solidFill>
          </w14:textFill>
        </w:rPr>
      </w:pPr>
      <w:bookmarkStart w:id="26" w:name="_Hlk33006390"/>
      <w:r>
        <w:rPr>
          <w:rFonts w:hint="eastAsia"/>
          <w:color w:val="000000" w:themeColor="text1"/>
          <w14:textFill>
            <w14:solidFill>
              <w14:schemeClr w14:val="tx1"/>
            </w14:solidFill>
          </w14:textFill>
        </w:rPr>
        <w:t>本项目为页岩油开采，属于《建设项目环境影响评价分类管理名录（2021年版）》“五、石油和天然气开采业—</w:t>
      </w:r>
      <w:r>
        <w:rPr>
          <w:color w:val="000000" w:themeColor="text1"/>
          <w14:textFill>
            <w14:solidFill>
              <w14:schemeClr w14:val="tx1"/>
            </w14:solidFill>
          </w14:textFill>
        </w:rPr>
        <w:t>7</w:t>
      </w:r>
      <w:r>
        <w:rPr>
          <w:rFonts w:hint="eastAsia"/>
          <w:color w:val="000000" w:themeColor="text1"/>
          <w14:textFill>
            <w14:solidFill>
              <w14:schemeClr w14:val="tx1"/>
            </w14:solidFill>
          </w14:textFill>
        </w:rPr>
        <w:t>、陆地石油开采—石油开采新区块、页岩油开采、涉及环境敏感区的（含内部集输管线建设）”类别</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应编制环境影响报告书。</w:t>
      </w:r>
    </w:p>
    <w:p w14:paraId="6B82E5EF">
      <w:pPr>
        <w:pStyle w:val="117"/>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环境影响评价工作分为三个阶段，第一阶段包括资料收集、工程分析和影响识别等工作，第二阶段包括生态环境现状监测、现状调查与评价、环境影响预测与评价等工作，第三阶段包括提出预防或减缓不利影响的环境保护措施、制定环境监测计划、从生态环境影响的角度给出工程建设项目是否可行的结论等工作，具体流程见图</w:t>
      </w:r>
      <w:r>
        <w:rPr>
          <w:color w:val="000000" w:themeColor="text1"/>
          <w14:textFill>
            <w14:solidFill>
              <w14:schemeClr w14:val="tx1"/>
            </w14:solidFill>
          </w14:textFill>
        </w:rPr>
        <w:t>1.3</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1</w:t>
      </w:r>
      <w:r>
        <w:rPr>
          <w:rFonts w:hint="eastAsia"/>
          <w:color w:val="000000" w:themeColor="text1"/>
          <w14:textFill>
            <w14:solidFill>
              <w14:schemeClr w14:val="tx1"/>
            </w14:solidFill>
          </w14:textFill>
        </w:rPr>
        <w:t>。中国石油新疆油田分公司吉庆油田作业区于</w:t>
      </w:r>
      <w:r>
        <w:rPr>
          <w:color w:val="000000" w:themeColor="text1"/>
          <w14:textFill>
            <w14:solidFill>
              <w14:schemeClr w14:val="tx1"/>
            </w14:solidFill>
          </w14:textFill>
        </w:rPr>
        <w:t>202</w:t>
      </w:r>
      <w:r>
        <w:rPr>
          <w:rFonts w:hint="eastAsia"/>
          <w:color w:val="000000" w:themeColor="text1"/>
          <w14:textFill>
            <w14:solidFill>
              <w14:schemeClr w14:val="tx1"/>
            </w14:solidFill>
          </w14:textFill>
        </w:rPr>
        <w:t>5</w:t>
      </w:r>
      <w:r>
        <w:rPr>
          <w:color w:val="000000" w:themeColor="text1"/>
          <w14:textFill>
            <w14:solidFill>
              <w14:schemeClr w14:val="tx1"/>
            </w14:solidFill>
          </w14:textFill>
        </w:rPr>
        <w:t>年</w:t>
      </w:r>
      <w:r>
        <w:rPr>
          <w:rFonts w:hint="eastAsia"/>
          <w:color w:val="000000" w:themeColor="text1"/>
          <w14:textFill>
            <w14:solidFill>
              <w14:schemeClr w14:val="tx1"/>
            </w14:solidFill>
          </w14:textFill>
        </w:rPr>
        <w:t>7</w:t>
      </w:r>
      <w:r>
        <w:rPr>
          <w:color w:val="000000" w:themeColor="text1"/>
          <w14:textFill>
            <w14:solidFill>
              <w14:schemeClr w14:val="tx1"/>
            </w14:solidFill>
          </w14:textFill>
        </w:rPr>
        <w:t>月委托中勘冶金勘察设计研究院有限责任公司承担本项目的环境影响评价工作</w:t>
      </w:r>
      <w:r>
        <w:rPr>
          <w:rFonts w:hint="eastAsia"/>
          <w:color w:val="000000" w:themeColor="text1"/>
          <w14:textFill>
            <w14:solidFill>
              <w14:schemeClr w14:val="tx1"/>
            </w14:solidFill>
          </w14:textFill>
        </w:rPr>
        <w:t>（附件1）</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环评单位接受委托后进行了现场踏勘并收集了有关资料，在此基础上严格按照环境影响评价相关技术导则、规范要求编制完成了《新疆吉木萨尔页岩油注CO</w:t>
      </w:r>
      <w:r>
        <w:rPr>
          <w:rFonts w:hint="eastAsia"/>
          <w:color w:val="000000" w:themeColor="text1"/>
          <w:vertAlign w:val="subscript"/>
          <w14:textFill>
            <w14:solidFill>
              <w14:schemeClr w14:val="tx1"/>
            </w14:solidFill>
          </w14:textFill>
        </w:rPr>
        <w:t>2</w:t>
      </w:r>
      <w:r>
        <w:rPr>
          <w:rFonts w:hint="eastAsia"/>
          <w:color w:val="000000" w:themeColor="text1"/>
          <w14:textFill>
            <w14:solidFill>
              <w14:schemeClr w14:val="tx1"/>
            </w14:solidFill>
          </w14:textFill>
        </w:rPr>
        <w:t>提高采收率先导试验项目环境影响报告书》。</w:t>
      </w:r>
    </w:p>
    <w:p w14:paraId="17BBFE6F">
      <w:pPr>
        <w:pStyle w:val="2"/>
        <w:rPr>
          <w:rFonts w:hint="eastAsia"/>
          <w:color w:val="000000" w:themeColor="text1"/>
          <w:lang w:val="zh-CN"/>
          <w14:textFill>
            <w14:solidFill>
              <w14:schemeClr w14:val="tx1"/>
            </w14:solidFill>
          </w14:textFill>
        </w:rPr>
      </w:pPr>
      <w:bookmarkStart w:id="27" w:name="_Toc469749399"/>
      <w:bookmarkStart w:id="28" w:name="_Toc469048935"/>
      <w:bookmarkStart w:id="29" w:name="_Toc475624454"/>
      <w:bookmarkStart w:id="30" w:name="_Toc216260228"/>
      <w:r>
        <w:rPr>
          <w:rFonts w:hint="eastAsia"/>
          <w:color w:val="000000" w:themeColor="text1"/>
          <w:lang w:val="zh-CN"/>
          <w14:textFill>
            <w14:solidFill>
              <w14:schemeClr w14:val="tx1"/>
            </w14:solidFill>
          </w14:textFill>
        </w:rPr>
        <w:t>关注的主要环境问题</w:t>
      </w:r>
      <w:bookmarkEnd w:id="27"/>
      <w:bookmarkEnd w:id="28"/>
      <w:bookmarkEnd w:id="29"/>
      <w:r>
        <w:rPr>
          <w:rFonts w:hint="eastAsia"/>
          <w:color w:val="000000" w:themeColor="text1"/>
          <w:lang w:val="zh-CN"/>
          <w14:textFill>
            <w14:solidFill>
              <w14:schemeClr w14:val="tx1"/>
            </w14:solidFill>
          </w14:textFill>
        </w:rPr>
        <w:t>及环境影响</w:t>
      </w:r>
      <w:bookmarkEnd w:id="30"/>
    </w:p>
    <w:p w14:paraId="221C9E80">
      <w:pPr>
        <w:pStyle w:val="117"/>
        <w:spacing w:line="480" w:lineRule="exact"/>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本次</w:t>
      </w:r>
      <w:r>
        <w:rPr>
          <w:color w:val="000000" w:themeColor="text1"/>
          <w14:textFill>
            <w14:solidFill>
              <w14:schemeClr w14:val="tx1"/>
            </w14:solidFill>
          </w14:textFill>
        </w:rPr>
        <w:t>评价针对</w:t>
      </w:r>
      <w:r>
        <w:rPr>
          <w:rFonts w:hint="eastAsia"/>
          <w:color w:val="000000" w:themeColor="text1"/>
          <w14:textFill>
            <w14:solidFill>
              <w14:schemeClr w14:val="tx1"/>
            </w14:solidFill>
          </w14:textFill>
        </w:rPr>
        <w:t>施工期和运营期产生的废气、废水、噪声的达标排放情况，固体废物的妥善处置情况以及提出的生态减缓措施是否将生态影响降至最低进行分析和论述，并针对以上环境影响所采取的污染防治措施、环境保护措施及风险防范措施的可行性进行分析。</w:t>
      </w:r>
    </w:p>
    <w:p w14:paraId="3EF9547D">
      <w:pPr>
        <w:pStyle w:val="117"/>
        <w:spacing w:line="480" w:lineRule="exact"/>
        <w:ind w:firstLine="480"/>
        <w:rPr>
          <w:rFonts w:hint="eastAsia" w:ascii="黑体" w:hAnsi="黑体" w:eastAsia="黑体"/>
          <w:color w:val="000000" w:themeColor="text1"/>
          <w:sz w:val="21"/>
          <w:szCs w:val="21"/>
          <w14:textFill>
            <w14:solidFill>
              <w14:schemeClr w14:val="tx1"/>
            </w14:solidFill>
          </w14:textFill>
        </w:rPr>
      </w:pPr>
      <w:r>
        <w:rPr>
          <w:color w:val="000000" w:themeColor="text1"/>
          <w14:textFill>
            <w14:solidFill>
              <w14:schemeClr w14:val="tx1"/>
            </w14:solidFill>
          </w14:textFill>
        </w:rPr>
        <w:t>关注的主要环境问题有：施工期产生</w:t>
      </w:r>
      <w:r>
        <w:rPr>
          <w:rFonts w:hint="eastAsia"/>
          <w:color w:val="000000" w:themeColor="text1"/>
          <w14:textFill>
            <w14:solidFill>
              <w14:schemeClr w14:val="tx1"/>
            </w14:solidFill>
          </w14:textFill>
        </w:rPr>
        <w:t>的</w:t>
      </w:r>
      <w:r>
        <w:rPr>
          <w:color w:val="000000" w:themeColor="text1"/>
          <w14:textFill>
            <w14:solidFill>
              <w14:schemeClr w14:val="tx1"/>
            </w14:solidFill>
          </w14:textFill>
        </w:rPr>
        <w:t>废气、</w:t>
      </w:r>
      <w:r>
        <w:rPr>
          <w:rFonts w:hint="eastAsia"/>
          <w:color w:val="000000" w:themeColor="text1"/>
          <w14:textFill>
            <w14:solidFill>
              <w14:schemeClr w14:val="tx1"/>
            </w14:solidFill>
          </w14:textFill>
        </w:rPr>
        <w:t>废水、噪声、固体废物以及工程</w:t>
      </w:r>
      <w:r>
        <w:rPr>
          <w:color w:val="000000" w:themeColor="text1"/>
          <w14:textFill>
            <w14:solidFill>
              <w14:schemeClr w14:val="tx1"/>
            </w14:solidFill>
          </w14:textFill>
        </w:rPr>
        <w:t>占地带来的生态影响</w:t>
      </w:r>
      <w:r>
        <w:rPr>
          <w:rFonts w:hint="eastAsia"/>
          <w:color w:val="000000" w:themeColor="text1"/>
          <w14:textFill>
            <w14:solidFill>
              <w14:schemeClr w14:val="tx1"/>
            </w14:solidFill>
          </w14:textFill>
        </w:rPr>
        <w:t>；运营期</w:t>
      </w:r>
      <w:bookmarkStart w:id="31" w:name="_Hlk35961104"/>
      <w:r>
        <w:rPr>
          <w:rFonts w:hint="eastAsia"/>
          <w:color w:val="000000" w:themeColor="text1"/>
          <w14:textFill>
            <w14:solidFill>
              <w14:schemeClr w14:val="tx1"/>
            </w14:solidFill>
          </w14:textFill>
        </w:rPr>
        <w:t>无组织挥发性有机物、硫化氢、</w:t>
      </w:r>
      <w:bookmarkEnd w:id="31"/>
      <w:r>
        <w:rPr>
          <w:rFonts w:hint="eastAsia"/>
          <w:color w:val="000000" w:themeColor="text1"/>
          <w14:textFill>
            <w14:solidFill>
              <w14:schemeClr w14:val="tx1"/>
            </w14:solidFill>
          </w14:textFill>
        </w:rPr>
        <w:t>噪声、废水、固体废物等环境影响及事故状态对周围环境的影响分析</w:t>
      </w:r>
      <w:r>
        <w:rPr>
          <w:color w:val="000000" w:themeColor="text1"/>
          <w14:textFill>
            <w14:solidFill>
              <w14:schemeClr w14:val="tx1"/>
            </w14:solidFill>
          </w14:textFill>
        </w:rPr>
        <w:t>。</w:t>
      </w:r>
    </w:p>
    <w:p w14:paraId="031D4559">
      <w:pPr>
        <w:pStyle w:val="2"/>
        <w:rPr>
          <w:rFonts w:hint="eastAsia"/>
          <w:color w:val="000000" w:themeColor="text1"/>
          <w:lang w:val="zh-CN"/>
          <w14:textFill>
            <w14:solidFill>
              <w14:schemeClr w14:val="tx1"/>
            </w14:solidFill>
          </w14:textFill>
        </w:rPr>
      </w:pPr>
      <w:bookmarkStart w:id="32" w:name="_Toc216260229"/>
      <w:r>
        <w:rPr>
          <w:rFonts w:hint="eastAsia"/>
          <w:color w:val="000000" w:themeColor="text1"/>
          <w:lang w:val="zh-CN"/>
          <w14:textFill>
            <w14:solidFill>
              <w14:schemeClr w14:val="tx1"/>
            </w14:solidFill>
          </w14:textFill>
        </w:rPr>
        <w:t>分析判定相关情况</w:t>
      </w:r>
      <w:bookmarkEnd w:id="32"/>
    </w:p>
    <w:p w14:paraId="14FA266D">
      <w:pPr>
        <w:pStyle w:val="4"/>
        <w:rPr>
          <w:rFonts w:hint="eastAsia"/>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产业政策相符性分析</w:t>
      </w:r>
    </w:p>
    <w:p w14:paraId="5BA0D4D4">
      <w:pPr>
        <w:pStyle w:val="117"/>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本项目属于</w:t>
      </w:r>
      <w:r>
        <w:rPr>
          <w:color w:val="000000" w:themeColor="text1"/>
          <w14:textFill>
            <w14:solidFill>
              <w14:schemeClr w14:val="tx1"/>
            </w14:solidFill>
          </w14:textFill>
        </w:rPr>
        <w:t>《产业结构调整指导目录（2024</w:t>
      </w:r>
      <w:r>
        <w:rPr>
          <w:rFonts w:hint="eastAsia"/>
          <w:color w:val="000000" w:themeColor="text1"/>
          <w14:textFill>
            <w14:solidFill>
              <w14:schemeClr w14:val="tx1"/>
            </w14:solidFill>
          </w14:textFill>
        </w:rPr>
        <w:t>年</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鼓励类中的</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七、石油、天然气——</w:t>
      </w:r>
      <w:r>
        <w:rPr>
          <w:color w:val="000000" w:themeColor="text1"/>
          <w14:textFill>
            <w14:solidFill>
              <w14:schemeClr w14:val="tx1"/>
            </w14:solidFill>
          </w14:textFill>
        </w:rPr>
        <w:t>1</w:t>
      </w:r>
      <w:r>
        <w:rPr>
          <w:rFonts w:hint="eastAsia"/>
          <w:color w:val="000000" w:themeColor="text1"/>
          <w14:textFill>
            <w14:solidFill>
              <w14:schemeClr w14:val="tx1"/>
            </w14:solidFill>
          </w14:textFill>
        </w:rPr>
        <w:t>.石油天然气开采：常规石油、天然气勘探与开采，页岩气、页岩油、致密油（气）、油砂、天然气水合物等非常规资源勘探开发</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符合国家产业政策。</w:t>
      </w:r>
    </w:p>
    <w:bookmarkEnd w:id="26"/>
    <w:p w14:paraId="4411A075">
      <w:pPr>
        <w:pStyle w:val="4"/>
        <w:rPr>
          <w:rFonts w:hint="eastAsia"/>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选址选线合理性分析</w:t>
      </w:r>
    </w:p>
    <w:p w14:paraId="7345815E">
      <w:pPr>
        <w:pStyle w:val="117"/>
        <w:ind w:firstLine="480"/>
        <w:rPr>
          <w:rFonts w:hint="eastAsia"/>
          <w:color w:val="000000" w:themeColor="text1"/>
          <w14:textFill>
            <w14:solidFill>
              <w14:schemeClr w14:val="tx1"/>
            </w14:solidFill>
          </w14:textFill>
        </w:rPr>
      </w:pPr>
      <w:bookmarkStart w:id="33" w:name="OLE_LINK132"/>
      <w:bookmarkStart w:id="34" w:name="_Hlk80207063"/>
      <w:r>
        <w:rPr>
          <w:rFonts w:hint="eastAsia"/>
          <w:color w:val="000000" w:themeColor="text1"/>
          <w14:textFill>
            <w14:solidFill>
              <w14:schemeClr w14:val="tx1"/>
            </w14:solidFill>
          </w14:textFill>
        </w:rPr>
        <w:t>拟部署井均为老井，井场选址、巡检道路选线时已在钻试工程环评进行了论证，即选址选线合理；预处理注入站选址时考虑距离各井的距离，选址处距各井井口装置处距离最短，尽量减少单井采油管线的长度，单井采油管线和单井注气管线尽量趋直；集油支线沿油区已建道路敷设，</w:t>
      </w:r>
      <w:r>
        <w:rPr>
          <w:rFonts w:hint="eastAsia" w:cs="宋体"/>
          <w:color w:val="000000" w:themeColor="text1"/>
          <w14:textFill>
            <w14:solidFill>
              <w14:schemeClr w14:val="tx1"/>
            </w14:solidFill>
          </w14:textFill>
        </w:rPr>
        <w:t>尽量避开植被茂密区域，严格控制集油干支线施工作业带宽度，减少管线施工作业占地，减少对周围生态环境影响；评价范围内野生动物较少，</w:t>
      </w:r>
      <w:r>
        <w:rPr>
          <w:rFonts w:hint="eastAsia"/>
          <w:color w:val="000000" w:themeColor="text1"/>
          <w14:textFill>
            <w14:solidFill>
              <w14:schemeClr w14:val="tx1"/>
            </w14:solidFill>
          </w14:textFill>
        </w:rPr>
        <w:t>对周围生态环境影响较小；无组织废气和噪声均可实现达标排放，废水和固体废物均可得到妥善处置；项目区周围</w:t>
      </w:r>
      <w:r>
        <w:rPr>
          <w:rFonts w:hint="eastAsia"/>
          <w:color w:val="000000" w:themeColor="text1"/>
          <w:kern w:val="0"/>
          <w14:textFill>
            <w14:solidFill>
              <w14:schemeClr w14:val="tx1"/>
            </w14:solidFill>
          </w14:textFill>
        </w:rPr>
        <w:t>无自然保护区、风景名胜区、居民区、医院、学校等环境保护目标，</w:t>
      </w:r>
      <w:r>
        <w:rPr>
          <w:rFonts w:hint="eastAsia"/>
          <w:color w:val="000000" w:themeColor="text1"/>
          <w14:textFill>
            <w14:solidFill>
              <w14:schemeClr w14:val="tx1"/>
            </w14:solidFill>
          </w14:textFill>
        </w:rPr>
        <w:t>不涉及生态保护红线</w:t>
      </w:r>
      <w:r>
        <w:rPr>
          <w:rFonts w:hint="eastAsia"/>
          <w:color w:val="000000" w:themeColor="text1"/>
          <w:kern w:val="0"/>
          <w14:textFill>
            <w14:solidFill>
              <w14:schemeClr w14:val="tx1"/>
            </w14:solidFill>
          </w14:textFill>
        </w:rPr>
        <w:t>。</w:t>
      </w:r>
      <w:r>
        <w:rPr>
          <w:rFonts w:hint="eastAsia"/>
          <w:color w:val="000000" w:themeColor="text1"/>
          <w:lang w:val="zh-CN"/>
          <w14:textFill>
            <w14:solidFill>
              <w14:schemeClr w14:val="tx1"/>
            </w14:solidFill>
          </w14:textFill>
        </w:rPr>
        <w:t>综上所述，</w:t>
      </w:r>
      <w:r>
        <w:rPr>
          <w:rFonts w:hint="eastAsia"/>
          <w:color w:val="000000" w:themeColor="text1"/>
          <w14:textFill>
            <w14:solidFill>
              <w14:schemeClr w14:val="tx1"/>
            </w14:solidFill>
          </w14:textFill>
        </w:rPr>
        <w:t>项目选址选线合理</w:t>
      </w:r>
      <w:r>
        <w:rPr>
          <w:rFonts w:hint="eastAsia"/>
          <w:color w:val="000000" w:themeColor="text1"/>
          <w:kern w:val="0"/>
          <w14:textFill>
            <w14:solidFill>
              <w14:schemeClr w14:val="tx1"/>
            </w14:solidFill>
          </w14:textFill>
        </w:rPr>
        <w:t>。</w:t>
      </w:r>
    </w:p>
    <w:bookmarkEnd w:id="33"/>
    <w:p w14:paraId="4C80DD52">
      <w:pPr>
        <w:pStyle w:val="4"/>
        <w:rPr>
          <w:rFonts w:hint="eastAsia"/>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相关规划及政策符合性分析</w:t>
      </w:r>
    </w:p>
    <w:p w14:paraId="06B77B78">
      <w:pPr>
        <w:pStyle w:val="117"/>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项目建设符合</w:t>
      </w:r>
      <w:bookmarkStart w:id="35" w:name="_Hlk148005706"/>
      <w:bookmarkStart w:id="36" w:name="_Hlk129099377"/>
      <w:r>
        <w:rPr>
          <w:rFonts w:hint="eastAsia"/>
          <w:color w:val="000000" w:themeColor="text1"/>
          <w14:textFill>
            <w14:solidFill>
              <w14:schemeClr w14:val="tx1"/>
            </w14:solidFill>
          </w14:textFill>
        </w:rPr>
        <w:t>《新疆维吾尔自治区国民经济和社会发展第十四个五年规划和2035年远景目标纲要》《昌吉州国民经济和社会发展第十四个五年规划和2035年远景目标纲要》《新疆维吾尔自治区主体功能区规划》《新疆油田公司“十四五”发展规划》</w:t>
      </w:r>
      <w:r>
        <w:rPr>
          <w:rFonts w:hint="eastAsia"/>
          <w:color w:val="000000" w:themeColor="text1"/>
          <w:lang w:bidi="ar"/>
          <w14:textFill>
            <w14:solidFill>
              <w14:schemeClr w14:val="tx1"/>
            </w14:solidFill>
          </w14:textFill>
        </w:rPr>
        <w:t>《</w:t>
      </w:r>
      <w:r>
        <w:rPr>
          <w:color w:val="000000" w:themeColor="text1"/>
          <w:lang w:bidi="ar"/>
          <w14:textFill>
            <w14:solidFill>
              <w14:schemeClr w14:val="tx1"/>
            </w14:solidFill>
          </w14:textFill>
        </w:rPr>
        <w:t>新疆生态环境保护“十四五”规划</w:t>
      </w:r>
      <w:r>
        <w:rPr>
          <w:rFonts w:hint="eastAsia"/>
          <w:color w:val="000000" w:themeColor="text1"/>
          <w:lang w:bidi="ar"/>
          <w14:textFill>
            <w14:solidFill>
              <w14:schemeClr w14:val="tx1"/>
            </w14:solidFill>
          </w14:textFill>
        </w:rPr>
        <w:t>》《石油天然气开采业污染防治技术政策》《陆上石油天然气开采业绿色矿山建设规范》</w:t>
      </w:r>
      <w:r>
        <w:rPr>
          <w:rFonts w:hint="eastAsia"/>
          <w:color w:val="000000" w:themeColor="text1"/>
          <w14:textFill>
            <w14:solidFill>
              <w14:schemeClr w14:val="tx1"/>
            </w14:solidFill>
          </w14:textFill>
        </w:rPr>
        <w:t>《关于进一步加强石油天然气行业环境影响评价管理的通知》</w:t>
      </w:r>
      <w:bookmarkStart w:id="37" w:name="OLE_LINK12"/>
      <w:r>
        <w:rPr>
          <w:rFonts w:hint="eastAsia"/>
          <w:color w:val="000000" w:themeColor="text1"/>
          <w14:textFill>
            <w14:solidFill>
              <w14:schemeClr w14:val="tx1"/>
            </w14:solidFill>
          </w14:textFill>
        </w:rPr>
        <w:t>《</w:t>
      </w:r>
      <w:r>
        <w:rPr>
          <w:rFonts w:hint="eastAsia"/>
          <w:color w:val="000000" w:themeColor="text1"/>
          <w:lang w:bidi="ar"/>
          <w14:textFill>
            <w14:solidFill>
              <w14:schemeClr w14:val="tx1"/>
            </w14:solidFill>
          </w14:textFill>
        </w:rPr>
        <w:t>昌吉回族自治州生态环境准入清单</w:t>
      </w:r>
      <w:r>
        <w:rPr>
          <w:rFonts w:hint="eastAsia"/>
          <w:color w:val="000000" w:themeColor="text1"/>
          <w14:textFill>
            <w14:solidFill>
              <w14:schemeClr w14:val="tx1"/>
            </w14:solidFill>
          </w14:textFill>
        </w:rPr>
        <w:t>》</w:t>
      </w:r>
      <w:bookmarkEnd w:id="37"/>
      <w:r>
        <w:rPr>
          <w:rFonts w:hint="eastAsia"/>
          <w:color w:val="000000" w:themeColor="text1"/>
          <w:lang w:bidi="ar"/>
          <w14:textFill>
            <w14:solidFill>
              <w14:schemeClr w14:val="tx1"/>
            </w14:solidFill>
          </w14:textFill>
        </w:rPr>
        <w:t>中的相关要求。</w:t>
      </w:r>
    </w:p>
    <w:bookmarkEnd w:id="34"/>
    <w:bookmarkEnd w:id="35"/>
    <w:bookmarkEnd w:id="36"/>
    <w:p w14:paraId="4808548E">
      <w:pPr>
        <w:pStyle w:val="2"/>
        <w:rPr>
          <w:rFonts w:hint="eastAsia"/>
          <w:color w:val="000000" w:themeColor="text1"/>
          <w14:textFill>
            <w14:solidFill>
              <w14:schemeClr w14:val="tx1"/>
            </w14:solidFill>
          </w14:textFill>
        </w:rPr>
      </w:pPr>
      <w:bookmarkStart w:id="38" w:name="_Toc216260230"/>
      <w:r>
        <w:rPr>
          <w:rFonts w:hint="eastAsia"/>
          <w:color w:val="000000" w:themeColor="text1"/>
          <w14:textFill>
            <w14:solidFill>
              <w14:schemeClr w14:val="tx1"/>
            </w14:solidFill>
          </w14:textFill>
        </w:rPr>
        <w:t>环境影响评价的</w:t>
      </w:r>
      <w:r>
        <w:rPr>
          <w:color w:val="000000" w:themeColor="text1"/>
          <w14:textFill>
            <w14:solidFill>
              <w14:schemeClr w14:val="tx1"/>
            </w14:solidFill>
          </w14:textFill>
        </w:rPr>
        <w:t>主要结论</w:t>
      </w:r>
      <w:bookmarkEnd w:id="38"/>
    </w:p>
    <w:p w14:paraId="02A09AA4">
      <w:pPr>
        <w:pStyle w:val="117"/>
        <w:ind w:firstLine="480"/>
        <w:rPr>
          <w:rFonts w:hint="eastAsia"/>
          <w:color w:val="000000" w:themeColor="text1"/>
          <w14:textFill>
            <w14:solidFill>
              <w14:schemeClr w14:val="tx1"/>
            </w14:solidFill>
          </w14:textFill>
        </w:rPr>
      </w:pPr>
      <w:bookmarkStart w:id="39" w:name="_Hlk17801527"/>
      <w:r>
        <w:rPr>
          <w:rFonts w:hint="eastAsia"/>
          <w:color w:val="000000" w:themeColor="text1"/>
          <w14:textFill>
            <w14:solidFill>
              <w14:schemeClr w14:val="tx1"/>
            </w14:solidFill>
          </w14:textFill>
        </w:rPr>
        <w:t>项目符合国家相关规划、环保政策及“三线一单”的要求，项目选址选线合理。运营期废气、噪声能实现达标排放，废水和固体废物均可实现妥善处置，建成后区域环境质量仍可以满足相应功能区要求；开发活动对生态环境的影响较小，不会对区域生态系统或生物多样性产生较大影响；运行过程中存在一定的环境风险，但采取相应的环境风险防范措施后，其影响是可防可控的；项目进行了三次网上公示、1次张贴公告、2次报纸公示，公示期间均未收到公众反馈意见。从生态环境保护角度论证建设可行。</w:t>
      </w:r>
    </w:p>
    <w:bookmarkEnd w:id="39"/>
    <w:p w14:paraId="66592AE4">
      <w:pPr>
        <w:pStyle w:val="3"/>
        <w:rPr>
          <w:rFonts w:hint="eastAsia"/>
          <w:color w:val="000000" w:themeColor="text1"/>
          <w14:textFill>
            <w14:solidFill>
              <w14:schemeClr w14:val="tx1"/>
            </w14:solidFill>
          </w14:textFill>
        </w:rPr>
      </w:pPr>
      <w:r>
        <w:rPr>
          <w:color w:val="000000" w:themeColor="text1"/>
          <w14:textFill>
            <w14:solidFill>
              <w14:schemeClr w14:val="tx1"/>
            </w14:solidFill>
          </w14:textFill>
        </w:rPr>
        <w:br w:type="page"/>
      </w:r>
      <w:bookmarkStart w:id="40" w:name="_Toc216260231"/>
      <w:r>
        <w:rPr>
          <w:rFonts w:hint="eastAsia"/>
          <w:color w:val="000000" w:themeColor="text1"/>
          <w14:textFill>
            <w14:solidFill>
              <w14:schemeClr w14:val="tx1"/>
            </w14:solidFill>
          </w14:textFill>
        </w:rPr>
        <w:t>总则</w:t>
      </w:r>
      <w:bookmarkEnd w:id="40"/>
    </w:p>
    <w:p w14:paraId="05CF5835">
      <w:pPr>
        <w:pStyle w:val="2"/>
        <w:rPr>
          <w:rFonts w:hint="eastAsia"/>
          <w:color w:val="000000" w:themeColor="text1"/>
          <w:lang w:val="zh-CN"/>
          <w14:textFill>
            <w14:solidFill>
              <w14:schemeClr w14:val="tx1"/>
            </w14:solidFill>
          </w14:textFill>
        </w:rPr>
      </w:pPr>
      <w:bookmarkStart w:id="41" w:name="_Toc475624459"/>
      <w:bookmarkStart w:id="42" w:name="_Toc445996320"/>
      <w:bookmarkStart w:id="43" w:name="_Toc445841957"/>
      <w:bookmarkStart w:id="44" w:name="_Toc17814"/>
      <w:bookmarkStart w:id="45" w:name="_Toc445840369"/>
      <w:bookmarkStart w:id="46" w:name="_Toc216260232"/>
      <w:bookmarkStart w:id="47" w:name="_Toc459026553"/>
      <w:r>
        <w:rPr>
          <w:rFonts w:hint="eastAsia"/>
          <w:color w:val="000000" w:themeColor="text1"/>
          <w:lang w:val="zh-CN"/>
          <w14:textFill>
            <w14:solidFill>
              <w14:schemeClr w14:val="tx1"/>
            </w14:solidFill>
          </w14:textFill>
        </w:rPr>
        <w:t>编制</w:t>
      </w:r>
      <w:r>
        <w:rPr>
          <w:color w:val="000000" w:themeColor="text1"/>
          <w:lang w:val="zh-CN"/>
          <w14:textFill>
            <w14:solidFill>
              <w14:schemeClr w14:val="tx1"/>
            </w14:solidFill>
          </w14:textFill>
        </w:rPr>
        <w:t>依据</w:t>
      </w:r>
      <w:bookmarkEnd w:id="41"/>
      <w:bookmarkEnd w:id="42"/>
      <w:bookmarkEnd w:id="43"/>
      <w:bookmarkEnd w:id="44"/>
      <w:bookmarkEnd w:id="45"/>
      <w:bookmarkEnd w:id="46"/>
      <w:bookmarkEnd w:id="47"/>
    </w:p>
    <w:p w14:paraId="7E779888">
      <w:pPr>
        <w:pStyle w:val="4"/>
        <w:rPr>
          <w:rFonts w:hint="eastAsia"/>
          <w:color w:val="000000" w:themeColor="text1"/>
          <w14:textFill>
            <w14:solidFill>
              <w14:schemeClr w14:val="tx1"/>
            </w14:solidFill>
          </w14:textFill>
        </w:rPr>
      </w:pPr>
      <w:bookmarkStart w:id="48" w:name="_Hlk33041053"/>
      <w:r>
        <w:rPr>
          <w:rFonts w:hint="eastAsia"/>
          <w:color w:val="000000" w:themeColor="text1"/>
          <w14:textFill>
            <w14:solidFill>
              <w14:schemeClr w14:val="tx1"/>
            </w14:solidFill>
          </w14:textFill>
        </w:rPr>
        <w:t>国家环保法律</w:t>
      </w:r>
    </w:p>
    <w:p w14:paraId="4D238AD9">
      <w:pPr>
        <w:pStyle w:val="117"/>
        <w:ind w:firstLine="480"/>
        <w:rPr>
          <w:rFonts w:hint="eastAsia"/>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w:t>
      </w:r>
      <w:r>
        <w:rPr>
          <w:rFonts w:hint="eastAsia"/>
          <w:color w:val="000000" w:themeColor="text1"/>
          <w14:textFill>
            <w14:solidFill>
              <w14:schemeClr w14:val="tx1"/>
            </w14:solidFill>
          </w14:textFill>
        </w:rPr>
        <w:t>1</w:t>
      </w:r>
      <w:r>
        <w:rPr>
          <w:rFonts w:hint="eastAsia"/>
          <w:color w:val="000000" w:themeColor="text1"/>
          <w:lang w:val="zh-CN"/>
          <w14:textFill>
            <w14:solidFill>
              <w14:schemeClr w14:val="tx1"/>
            </w14:solidFill>
          </w14:textFill>
        </w:rPr>
        <w:t>）《中华人民共和国环境保护法》，2015年01月01日；</w:t>
      </w:r>
    </w:p>
    <w:p w14:paraId="679280F8">
      <w:pPr>
        <w:pStyle w:val="117"/>
        <w:ind w:firstLine="480"/>
        <w:rPr>
          <w:rFonts w:hint="eastAsia"/>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w:t>
      </w:r>
      <w:r>
        <w:rPr>
          <w:rFonts w:hint="eastAsia"/>
          <w:color w:val="000000" w:themeColor="text1"/>
          <w14:textFill>
            <w14:solidFill>
              <w14:schemeClr w14:val="tx1"/>
            </w14:solidFill>
          </w14:textFill>
        </w:rPr>
        <w:t>2</w:t>
      </w:r>
      <w:r>
        <w:rPr>
          <w:rFonts w:hint="eastAsia"/>
          <w:color w:val="000000" w:themeColor="text1"/>
          <w:lang w:val="zh-CN"/>
          <w14:textFill>
            <w14:solidFill>
              <w14:schemeClr w14:val="tx1"/>
            </w14:solidFill>
          </w14:textFill>
        </w:rPr>
        <w:t>）《中华人民共和国环境影响评价法》，2018年12月29日；</w:t>
      </w:r>
    </w:p>
    <w:p w14:paraId="7A6A97A3">
      <w:pPr>
        <w:pStyle w:val="117"/>
        <w:ind w:firstLine="480"/>
        <w:rPr>
          <w:rFonts w:hint="eastAsia"/>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w:t>
      </w:r>
      <w:r>
        <w:rPr>
          <w:rFonts w:hint="eastAsia"/>
          <w:color w:val="000000" w:themeColor="text1"/>
          <w14:textFill>
            <w14:solidFill>
              <w14:schemeClr w14:val="tx1"/>
            </w14:solidFill>
          </w14:textFill>
        </w:rPr>
        <w:t>3</w:t>
      </w:r>
      <w:r>
        <w:rPr>
          <w:rFonts w:hint="eastAsia"/>
          <w:color w:val="000000" w:themeColor="text1"/>
          <w:lang w:val="zh-CN"/>
          <w14:textFill>
            <w14:solidFill>
              <w14:schemeClr w14:val="tx1"/>
            </w14:solidFill>
          </w14:textFill>
        </w:rPr>
        <w:t>）《中华人民共和国大气污染防治法》，2018年10月26日；</w:t>
      </w:r>
    </w:p>
    <w:p w14:paraId="6648377B">
      <w:pPr>
        <w:pStyle w:val="117"/>
        <w:ind w:firstLine="480"/>
        <w:rPr>
          <w:rFonts w:hint="eastAsia"/>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w:t>
      </w:r>
      <w:r>
        <w:rPr>
          <w:rFonts w:hint="eastAsia"/>
          <w:color w:val="000000" w:themeColor="text1"/>
          <w14:textFill>
            <w14:solidFill>
              <w14:schemeClr w14:val="tx1"/>
            </w14:solidFill>
          </w14:textFill>
        </w:rPr>
        <w:t>4</w:t>
      </w:r>
      <w:r>
        <w:rPr>
          <w:rFonts w:hint="eastAsia"/>
          <w:color w:val="000000" w:themeColor="text1"/>
          <w:lang w:val="zh-CN"/>
          <w14:textFill>
            <w14:solidFill>
              <w14:schemeClr w14:val="tx1"/>
            </w14:solidFill>
          </w14:textFill>
        </w:rPr>
        <w:t>）《中华人民共和国水污染防治法》，2018年01月01日；</w:t>
      </w:r>
    </w:p>
    <w:p w14:paraId="7B855FD8">
      <w:pPr>
        <w:pStyle w:val="117"/>
        <w:ind w:firstLine="480"/>
        <w:rPr>
          <w:rFonts w:hint="eastAsia"/>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w:t>
      </w:r>
      <w:r>
        <w:rPr>
          <w:rFonts w:hint="eastAsia"/>
          <w:color w:val="000000" w:themeColor="text1"/>
          <w14:textFill>
            <w14:solidFill>
              <w14:schemeClr w14:val="tx1"/>
            </w14:solidFill>
          </w14:textFill>
        </w:rPr>
        <w:t>5</w:t>
      </w:r>
      <w:r>
        <w:rPr>
          <w:rFonts w:hint="eastAsia"/>
          <w:color w:val="000000" w:themeColor="text1"/>
          <w:lang w:val="zh-CN"/>
          <w14:textFill>
            <w14:solidFill>
              <w14:schemeClr w14:val="tx1"/>
            </w14:solidFill>
          </w14:textFill>
        </w:rPr>
        <w:t>）《中华人民共和国土壤污染防治法》，2019年01月01日；</w:t>
      </w:r>
    </w:p>
    <w:p w14:paraId="46BACC77">
      <w:pPr>
        <w:pStyle w:val="117"/>
        <w:ind w:firstLine="480"/>
        <w:rPr>
          <w:rFonts w:hint="eastAsia"/>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w:t>
      </w:r>
      <w:r>
        <w:rPr>
          <w:rFonts w:hint="eastAsia"/>
          <w:color w:val="000000" w:themeColor="text1"/>
          <w14:textFill>
            <w14:solidFill>
              <w14:schemeClr w14:val="tx1"/>
            </w14:solidFill>
          </w14:textFill>
        </w:rPr>
        <w:t>6</w:t>
      </w:r>
      <w:r>
        <w:rPr>
          <w:rFonts w:hint="eastAsia"/>
          <w:color w:val="000000" w:themeColor="text1"/>
          <w:lang w:val="zh-CN"/>
          <w14:textFill>
            <w14:solidFill>
              <w14:schemeClr w14:val="tx1"/>
            </w14:solidFill>
          </w14:textFill>
        </w:rPr>
        <w:t>）《中华人民共和国噪声污染防治法》，20</w:t>
      </w:r>
      <w:r>
        <w:rPr>
          <w:color w:val="000000" w:themeColor="text1"/>
          <w:lang w:val="zh-CN"/>
          <w14:textFill>
            <w14:solidFill>
              <w14:schemeClr w14:val="tx1"/>
            </w14:solidFill>
          </w14:textFill>
        </w:rPr>
        <w:t>22</w:t>
      </w:r>
      <w:r>
        <w:rPr>
          <w:rFonts w:hint="eastAsia"/>
          <w:color w:val="000000" w:themeColor="text1"/>
          <w:lang w:val="zh-CN"/>
          <w14:textFill>
            <w14:solidFill>
              <w14:schemeClr w14:val="tx1"/>
            </w14:solidFill>
          </w14:textFill>
        </w:rPr>
        <w:t>年0</w:t>
      </w:r>
      <w:r>
        <w:rPr>
          <w:color w:val="000000" w:themeColor="text1"/>
          <w:lang w:val="zh-CN"/>
          <w14:textFill>
            <w14:solidFill>
              <w14:schemeClr w14:val="tx1"/>
            </w14:solidFill>
          </w14:textFill>
        </w:rPr>
        <w:t>6</w:t>
      </w:r>
      <w:r>
        <w:rPr>
          <w:rFonts w:hint="eastAsia"/>
          <w:color w:val="000000" w:themeColor="text1"/>
          <w:lang w:val="zh-CN"/>
          <w14:textFill>
            <w14:solidFill>
              <w14:schemeClr w14:val="tx1"/>
            </w14:solidFill>
          </w14:textFill>
        </w:rPr>
        <w:t>月0</w:t>
      </w:r>
      <w:r>
        <w:rPr>
          <w:color w:val="000000" w:themeColor="text1"/>
          <w:lang w:val="zh-CN"/>
          <w14:textFill>
            <w14:solidFill>
              <w14:schemeClr w14:val="tx1"/>
            </w14:solidFill>
          </w14:textFill>
        </w:rPr>
        <w:t>5</w:t>
      </w:r>
      <w:r>
        <w:rPr>
          <w:rFonts w:hint="eastAsia"/>
          <w:color w:val="000000" w:themeColor="text1"/>
          <w:lang w:val="zh-CN"/>
          <w14:textFill>
            <w14:solidFill>
              <w14:schemeClr w14:val="tx1"/>
            </w14:solidFill>
          </w14:textFill>
        </w:rPr>
        <w:t>日；</w:t>
      </w:r>
    </w:p>
    <w:p w14:paraId="0742D9C2">
      <w:pPr>
        <w:pStyle w:val="117"/>
        <w:ind w:firstLine="480"/>
        <w:rPr>
          <w:rFonts w:hint="eastAsia"/>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w:t>
      </w:r>
      <w:r>
        <w:rPr>
          <w:rFonts w:hint="eastAsia"/>
          <w:color w:val="000000" w:themeColor="text1"/>
          <w14:textFill>
            <w14:solidFill>
              <w14:schemeClr w14:val="tx1"/>
            </w14:solidFill>
          </w14:textFill>
        </w:rPr>
        <w:t>7</w:t>
      </w:r>
      <w:r>
        <w:rPr>
          <w:rFonts w:hint="eastAsia"/>
          <w:color w:val="000000" w:themeColor="text1"/>
          <w:lang w:val="zh-CN"/>
          <w14:textFill>
            <w14:solidFill>
              <w14:schemeClr w14:val="tx1"/>
            </w14:solidFill>
          </w14:textFill>
        </w:rPr>
        <w:t>）《中华人民共和国固体废物污染环境防治法》，2020年09月01日；</w:t>
      </w:r>
    </w:p>
    <w:p w14:paraId="2AA8A9DD">
      <w:pPr>
        <w:pStyle w:val="117"/>
        <w:ind w:firstLine="480"/>
        <w:rPr>
          <w:rFonts w:hint="eastAsia"/>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w:t>
      </w:r>
      <w:r>
        <w:rPr>
          <w:rFonts w:hint="eastAsia"/>
          <w:color w:val="000000" w:themeColor="text1"/>
          <w14:textFill>
            <w14:solidFill>
              <w14:schemeClr w14:val="tx1"/>
            </w14:solidFill>
          </w14:textFill>
        </w:rPr>
        <w:t>8</w:t>
      </w:r>
      <w:r>
        <w:rPr>
          <w:rFonts w:hint="eastAsia"/>
          <w:color w:val="000000" w:themeColor="text1"/>
          <w:lang w:val="zh-CN"/>
          <w14:textFill>
            <w14:solidFill>
              <w14:schemeClr w14:val="tx1"/>
            </w14:solidFill>
          </w14:textFill>
        </w:rPr>
        <w:t>）《中华人民共和国环境保护</w:t>
      </w:r>
      <w:r>
        <w:rPr>
          <w:rFonts w:hint="eastAsia"/>
          <w:color w:val="000000" w:themeColor="text1"/>
          <w14:textFill>
            <w14:solidFill>
              <w14:schemeClr w14:val="tx1"/>
            </w14:solidFill>
          </w14:textFill>
        </w:rPr>
        <w:t>税</w:t>
      </w:r>
      <w:r>
        <w:rPr>
          <w:rFonts w:hint="eastAsia"/>
          <w:color w:val="000000" w:themeColor="text1"/>
          <w:lang w:val="zh-CN"/>
          <w14:textFill>
            <w14:solidFill>
              <w14:schemeClr w14:val="tx1"/>
            </w14:solidFill>
          </w14:textFill>
        </w:rPr>
        <w:t>法》，2018年01月01日；</w:t>
      </w:r>
    </w:p>
    <w:p w14:paraId="23895A94">
      <w:pPr>
        <w:pStyle w:val="117"/>
        <w:ind w:firstLine="480"/>
        <w:rPr>
          <w:rFonts w:hint="eastAsia"/>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w:t>
      </w:r>
      <w:r>
        <w:rPr>
          <w:rFonts w:hint="eastAsia"/>
          <w:color w:val="000000" w:themeColor="text1"/>
          <w14:textFill>
            <w14:solidFill>
              <w14:schemeClr w14:val="tx1"/>
            </w14:solidFill>
          </w14:textFill>
        </w:rPr>
        <w:t>9</w:t>
      </w:r>
      <w:r>
        <w:rPr>
          <w:rFonts w:hint="eastAsia"/>
          <w:color w:val="000000" w:themeColor="text1"/>
          <w:lang w:val="zh-CN"/>
          <w14:textFill>
            <w14:solidFill>
              <w14:schemeClr w14:val="tx1"/>
            </w14:solidFill>
          </w14:textFill>
        </w:rPr>
        <w:t>）《中华人民共和国野生动物保护法》（2</w:t>
      </w:r>
      <w:r>
        <w:rPr>
          <w:color w:val="000000" w:themeColor="text1"/>
          <w:lang w:val="zh-CN"/>
          <w14:textFill>
            <w14:solidFill>
              <w14:schemeClr w14:val="tx1"/>
            </w14:solidFill>
          </w14:textFill>
        </w:rPr>
        <w:t>022</w:t>
      </w:r>
      <w:r>
        <w:rPr>
          <w:rFonts w:hint="eastAsia"/>
          <w:color w:val="000000" w:themeColor="text1"/>
          <w:lang w:val="zh-CN"/>
          <w14:textFill>
            <w14:solidFill>
              <w14:schemeClr w14:val="tx1"/>
            </w14:solidFill>
          </w14:textFill>
        </w:rPr>
        <w:t>年修正），20</w:t>
      </w:r>
      <w:r>
        <w:rPr>
          <w:color w:val="000000" w:themeColor="text1"/>
          <w:lang w:val="zh-CN"/>
          <w14:textFill>
            <w14:solidFill>
              <w14:schemeClr w14:val="tx1"/>
            </w14:solidFill>
          </w14:textFill>
        </w:rPr>
        <w:t>23</w:t>
      </w:r>
      <w:r>
        <w:rPr>
          <w:rFonts w:hint="eastAsia"/>
          <w:color w:val="000000" w:themeColor="text1"/>
          <w:lang w:val="zh-CN"/>
          <w14:textFill>
            <w14:solidFill>
              <w14:schemeClr w14:val="tx1"/>
            </w14:solidFill>
          </w14:textFill>
        </w:rPr>
        <w:t>年</w:t>
      </w:r>
      <w:r>
        <w:rPr>
          <w:color w:val="000000" w:themeColor="text1"/>
          <w:lang w:val="zh-CN"/>
          <w14:textFill>
            <w14:solidFill>
              <w14:schemeClr w14:val="tx1"/>
            </w14:solidFill>
          </w14:textFill>
        </w:rPr>
        <w:t>05</w:t>
      </w:r>
      <w:r>
        <w:rPr>
          <w:rFonts w:hint="eastAsia"/>
          <w:color w:val="000000" w:themeColor="text1"/>
          <w:lang w:val="zh-CN"/>
          <w14:textFill>
            <w14:solidFill>
              <w14:schemeClr w14:val="tx1"/>
            </w14:solidFill>
          </w14:textFill>
        </w:rPr>
        <w:t>月</w:t>
      </w:r>
      <w:r>
        <w:rPr>
          <w:color w:val="000000" w:themeColor="text1"/>
          <w:lang w:val="zh-CN"/>
          <w14:textFill>
            <w14:solidFill>
              <w14:schemeClr w14:val="tx1"/>
            </w14:solidFill>
          </w14:textFill>
        </w:rPr>
        <w:t>01</w:t>
      </w:r>
      <w:r>
        <w:rPr>
          <w:rFonts w:hint="eastAsia"/>
          <w:color w:val="000000" w:themeColor="text1"/>
          <w:lang w:val="zh-CN"/>
          <w14:textFill>
            <w14:solidFill>
              <w14:schemeClr w14:val="tx1"/>
            </w14:solidFill>
          </w14:textFill>
        </w:rPr>
        <w:t>日；</w:t>
      </w:r>
    </w:p>
    <w:p w14:paraId="6764AAB1">
      <w:pPr>
        <w:pStyle w:val="117"/>
        <w:ind w:firstLine="480"/>
        <w:rPr>
          <w:rFonts w:hint="eastAsia"/>
          <w:color w:val="000000" w:themeColor="text1"/>
          <w14:textFill>
            <w14:solidFill>
              <w14:schemeClr w14:val="tx1"/>
            </w14:solidFill>
          </w14:textFill>
        </w:rPr>
      </w:pPr>
      <w:r>
        <w:rPr>
          <w:rFonts w:hint="eastAsia"/>
          <w:color w:val="000000" w:themeColor="text1"/>
          <w:lang w:val="zh-CN"/>
          <w14:textFill>
            <w14:solidFill>
              <w14:schemeClr w14:val="tx1"/>
            </w14:solidFill>
          </w14:textFill>
        </w:rPr>
        <w:t>（</w:t>
      </w:r>
      <w:r>
        <w:rPr>
          <w:rFonts w:hint="eastAsia"/>
          <w:color w:val="000000" w:themeColor="text1"/>
          <w14:textFill>
            <w14:solidFill>
              <w14:schemeClr w14:val="tx1"/>
            </w14:solidFill>
          </w14:textFill>
        </w:rPr>
        <w:t>10</w:t>
      </w:r>
      <w:r>
        <w:rPr>
          <w:rFonts w:hint="eastAsia"/>
          <w:color w:val="000000" w:themeColor="text1"/>
          <w:lang w:val="zh-CN"/>
          <w14:textFill>
            <w14:solidFill>
              <w14:schemeClr w14:val="tx1"/>
            </w14:solidFill>
          </w14:textFill>
        </w:rPr>
        <w:t>）《中华人民共和国防沙治沙法》，</w:t>
      </w:r>
      <w:r>
        <w:rPr>
          <w:rFonts w:hint="eastAsia"/>
          <w:color w:val="000000" w:themeColor="text1"/>
          <w14:textFill>
            <w14:solidFill>
              <w14:schemeClr w14:val="tx1"/>
            </w14:solidFill>
          </w14:textFill>
        </w:rPr>
        <w:t>2018年10月26日；</w:t>
      </w:r>
    </w:p>
    <w:p w14:paraId="1BF53AB8">
      <w:pPr>
        <w:pStyle w:val="117"/>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（11）《中华人民共和国水土保持法》</w:t>
      </w:r>
      <w:r>
        <w:rPr>
          <w:color w:val="000000" w:themeColor="text1"/>
          <w:lang w:val="zh-CN"/>
          <w14:textFill>
            <w14:solidFill>
              <w14:schemeClr w14:val="tx1"/>
            </w14:solidFill>
          </w14:textFill>
        </w:rPr>
        <w:t>（2010年修订）</w:t>
      </w:r>
      <w:r>
        <w:rPr>
          <w:rFonts w:hint="eastAsia"/>
          <w:color w:val="000000" w:themeColor="text1"/>
          <w:lang w:val="zh-CN"/>
          <w14:textFill>
            <w14:solidFill>
              <w14:schemeClr w14:val="tx1"/>
            </w14:solidFill>
          </w14:textFill>
        </w:rPr>
        <w:t>，</w:t>
      </w:r>
      <w:r>
        <w:rPr>
          <w:rFonts w:hint="eastAsia"/>
          <w:color w:val="000000" w:themeColor="text1"/>
          <w14:textFill>
            <w14:solidFill>
              <w14:schemeClr w14:val="tx1"/>
            </w14:solidFill>
          </w14:textFill>
        </w:rPr>
        <w:t>2011年03月01日；</w:t>
      </w:r>
    </w:p>
    <w:p w14:paraId="29DA6655">
      <w:pPr>
        <w:pStyle w:val="117"/>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（12）</w:t>
      </w:r>
      <w:bookmarkStart w:id="49" w:name="OLE_LINK25"/>
      <w:r>
        <w:rPr>
          <w:rFonts w:hint="eastAsia"/>
          <w:color w:val="000000" w:themeColor="text1"/>
          <w14:textFill>
            <w14:solidFill>
              <w14:schemeClr w14:val="tx1"/>
            </w14:solidFill>
          </w14:textFill>
        </w:rPr>
        <w:t>《</w:t>
      </w:r>
      <w:r>
        <w:rPr>
          <w:color w:val="000000" w:themeColor="text1"/>
          <w:lang w:val="zh-CN"/>
          <w14:textFill>
            <w14:solidFill>
              <w14:schemeClr w14:val="tx1"/>
            </w14:solidFill>
          </w14:textFill>
        </w:rPr>
        <w:t>中华人民共和国清洁生产促进法</w:t>
      </w:r>
      <w:r>
        <w:rPr>
          <w:rFonts w:hint="eastAsia"/>
          <w:color w:val="000000" w:themeColor="text1"/>
          <w:lang w:val="zh-CN"/>
          <w14:textFill>
            <w14:solidFill>
              <w14:schemeClr w14:val="tx1"/>
            </w14:solidFill>
          </w14:textFill>
        </w:rPr>
        <w:t>》（</w:t>
      </w:r>
      <w:r>
        <w:rPr>
          <w:color w:val="000000" w:themeColor="text1"/>
          <w:lang w:val="zh-CN"/>
          <w14:textFill>
            <w14:solidFill>
              <w14:schemeClr w14:val="tx1"/>
            </w14:solidFill>
          </w14:textFill>
        </w:rPr>
        <w:t>2012年修订）</w:t>
      </w:r>
      <w:r>
        <w:rPr>
          <w:rFonts w:hint="eastAsia"/>
          <w:color w:val="000000" w:themeColor="text1"/>
          <w14:textFill>
            <w14:solidFill>
              <w14:schemeClr w14:val="tx1"/>
            </w14:solidFill>
          </w14:textFill>
        </w:rPr>
        <w:t>》</w:t>
      </w:r>
      <w:bookmarkEnd w:id="49"/>
      <w:r>
        <w:rPr>
          <w:rFonts w:hint="eastAsia"/>
          <w:color w:val="000000" w:themeColor="text1"/>
          <w14:textFill>
            <w14:solidFill>
              <w14:schemeClr w14:val="tx1"/>
            </w14:solidFill>
          </w14:textFill>
        </w:rPr>
        <w:t>，2012年07月01日。</w:t>
      </w:r>
    </w:p>
    <w:p w14:paraId="3A949B47">
      <w:pPr>
        <w:pStyle w:val="4"/>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环境保护规章</w:t>
      </w:r>
    </w:p>
    <w:p w14:paraId="7215C8CF">
      <w:pPr>
        <w:pStyle w:val="117"/>
        <w:ind w:firstLine="480"/>
        <w:rPr>
          <w:rFonts w:hint="eastAsia"/>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w:t>
      </w:r>
      <w:r>
        <w:rPr>
          <w:color w:val="000000" w:themeColor="text1"/>
          <w14:textFill>
            <w14:solidFill>
              <w14:schemeClr w14:val="tx1"/>
            </w14:solidFill>
          </w14:textFill>
        </w:rPr>
        <w:t>1</w:t>
      </w:r>
      <w:r>
        <w:rPr>
          <w:rFonts w:hint="eastAsia"/>
          <w:color w:val="000000" w:themeColor="text1"/>
          <w:lang w:val="zh-CN"/>
          <w14:textFill>
            <w14:solidFill>
              <w14:schemeClr w14:val="tx1"/>
            </w14:solidFill>
          </w14:textFill>
        </w:rPr>
        <w:t>）《建设项目环境保护管理条例》，国务院令</w:t>
      </w:r>
      <w:r>
        <w:rPr>
          <w:rFonts w:hint="eastAsia"/>
          <w:color w:val="000000" w:themeColor="text1"/>
          <w14:textFill>
            <w14:solidFill>
              <w14:schemeClr w14:val="tx1"/>
            </w14:solidFill>
          </w14:textFill>
        </w:rPr>
        <w:t>第</w:t>
      </w:r>
      <w:r>
        <w:rPr>
          <w:rFonts w:hint="eastAsia"/>
          <w:color w:val="000000" w:themeColor="text1"/>
          <w:lang w:val="zh-CN"/>
          <w14:textFill>
            <w14:solidFill>
              <w14:schemeClr w14:val="tx1"/>
            </w14:solidFill>
          </w14:textFill>
        </w:rPr>
        <w:t>682号，2017年10月01日；</w:t>
      </w:r>
    </w:p>
    <w:p w14:paraId="48C59B1E">
      <w:pPr>
        <w:pStyle w:val="117"/>
        <w:ind w:firstLine="480"/>
        <w:rPr>
          <w:rFonts w:hint="eastAsia"/>
          <w:color w:val="000000" w:themeColor="text1"/>
          <w:lang w:val="zh-CN"/>
          <w14:textFill>
            <w14:solidFill>
              <w14:schemeClr w14:val="tx1"/>
            </w14:solidFill>
          </w14:textFill>
        </w:rPr>
      </w:pPr>
      <w:bookmarkStart w:id="50" w:name="OLE_LINK121"/>
      <w:r>
        <w:rPr>
          <w:rFonts w:hint="eastAsia"/>
          <w:color w:val="000000" w:themeColor="text1"/>
          <w:lang w:val="zh-CN"/>
          <w14:textFill>
            <w14:solidFill>
              <w14:schemeClr w14:val="tx1"/>
            </w14:solidFill>
          </w14:textFill>
        </w:rPr>
        <w:t>（</w:t>
      </w:r>
      <w:r>
        <w:rPr>
          <w:color w:val="000000" w:themeColor="text1"/>
          <w14:textFill>
            <w14:solidFill>
              <w14:schemeClr w14:val="tx1"/>
            </w14:solidFill>
          </w14:textFill>
        </w:rPr>
        <w:t>2</w:t>
      </w:r>
      <w:r>
        <w:rPr>
          <w:rFonts w:hint="eastAsia"/>
          <w:color w:val="000000" w:themeColor="text1"/>
          <w:lang w:val="zh-CN"/>
          <w14:textFill>
            <w14:solidFill>
              <w14:schemeClr w14:val="tx1"/>
            </w14:solidFill>
          </w14:textFill>
        </w:rPr>
        <w:t>）</w:t>
      </w:r>
      <w:bookmarkStart w:id="51" w:name="_Hlk173401679"/>
      <w:r>
        <w:rPr>
          <w:rFonts w:hint="eastAsia"/>
          <w:color w:val="000000" w:themeColor="text1"/>
          <w:lang w:val="zh-CN"/>
          <w14:textFill>
            <w14:solidFill>
              <w14:schemeClr w14:val="tx1"/>
            </w14:solidFill>
          </w14:textFill>
        </w:rPr>
        <w:t>《排污许可管理办法》</w:t>
      </w:r>
      <w:bookmarkEnd w:id="51"/>
      <w:r>
        <w:rPr>
          <w:rFonts w:hint="eastAsia"/>
          <w:color w:val="000000" w:themeColor="text1"/>
          <w:lang w:val="zh-CN"/>
          <w14:textFill>
            <w14:solidFill>
              <w14:schemeClr w14:val="tx1"/>
            </w14:solidFill>
          </w14:textFill>
        </w:rPr>
        <w:t>，生态环境部</w:t>
      </w:r>
      <w:r>
        <w:rPr>
          <w:rFonts w:hint="eastAsia"/>
          <w:color w:val="000000" w:themeColor="text1"/>
          <w14:textFill>
            <w14:solidFill>
              <w14:schemeClr w14:val="tx1"/>
            </w14:solidFill>
          </w14:textFill>
        </w:rPr>
        <w:t xml:space="preserve"> </w:t>
      </w:r>
      <w:r>
        <w:rPr>
          <w:rFonts w:hint="eastAsia"/>
          <w:color w:val="000000" w:themeColor="text1"/>
          <w:lang w:val="zh-CN"/>
          <w14:textFill>
            <w14:solidFill>
              <w14:schemeClr w14:val="tx1"/>
            </w14:solidFill>
          </w14:textFill>
        </w:rPr>
        <w:t>部令第32号，2024年04月01日；</w:t>
      </w:r>
      <w:bookmarkEnd w:id="50"/>
    </w:p>
    <w:p w14:paraId="5FDCB9B8">
      <w:pPr>
        <w:pStyle w:val="117"/>
        <w:ind w:firstLine="480"/>
        <w:rPr>
          <w:rFonts w:hint="eastAsia"/>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w:t>
      </w:r>
      <w:r>
        <w:rPr>
          <w:color w:val="000000" w:themeColor="text1"/>
          <w14:textFill>
            <w14:solidFill>
              <w14:schemeClr w14:val="tx1"/>
            </w14:solidFill>
          </w14:textFill>
        </w:rPr>
        <w:t>3</w:t>
      </w:r>
      <w:r>
        <w:rPr>
          <w:rFonts w:hint="eastAsia"/>
          <w:color w:val="000000" w:themeColor="text1"/>
          <w:lang w:val="zh-CN"/>
          <w14:textFill>
            <w14:solidFill>
              <w14:schemeClr w14:val="tx1"/>
            </w14:solidFill>
          </w14:textFill>
        </w:rPr>
        <w:t>）《</w:t>
      </w:r>
      <w:bookmarkStart w:id="52" w:name="_Hlk33005871"/>
      <w:r>
        <w:rPr>
          <w:rFonts w:hint="eastAsia"/>
          <w:color w:val="000000" w:themeColor="text1"/>
          <w:lang w:val="zh-CN"/>
          <w14:textFill>
            <w14:solidFill>
              <w14:schemeClr w14:val="tx1"/>
            </w14:solidFill>
          </w14:textFill>
        </w:rPr>
        <w:t>建设项目环境影响评价分类管理名录</w:t>
      </w:r>
      <w:bookmarkEnd w:id="52"/>
      <w:r>
        <w:rPr>
          <w:rFonts w:hint="eastAsia"/>
          <w:color w:val="000000" w:themeColor="text1"/>
          <w:lang w:val="zh-CN"/>
          <w14:textFill>
            <w14:solidFill>
              <w14:schemeClr w14:val="tx1"/>
            </w14:solidFill>
          </w14:textFill>
        </w:rPr>
        <w:t>（</w:t>
      </w:r>
      <w:r>
        <w:rPr>
          <w:rFonts w:hint="eastAsia"/>
          <w:color w:val="000000" w:themeColor="text1"/>
          <w14:textFill>
            <w14:solidFill>
              <w14:schemeClr w14:val="tx1"/>
            </w14:solidFill>
          </w14:textFill>
        </w:rPr>
        <w:t>2021年版</w:t>
      </w:r>
      <w:r>
        <w:rPr>
          <w:rFonts w:hint="eastAsia"/>
          <w:color w:val="000000" w:themeColor="text1"/>
          <w:lang w:val="zh-CN"/>
          <w14:textFill>
            <w14:solidFill>
              <w14:schemeClr w14:val="tx1"/>
            </w14:solidFill>
          </w14:textFill>
        </w:rPr>
        <w:t>）》，生态环境部令第1</w:t>
      </w:r>
      <w:r>
        <w:rPr>
          <w:rFonts w:hint="eastAsia"/>
          <w:color w:val="000000" w:themeColor="text1"/>
          <w14:textFill>
            <w14:solidFill>
              <w14:schemeClr w14:val="tx1"/>
            </w14:solidFill>
          </w14:textFill>
        </w:rPr>
        <w:t>6</w:t>
      </w:r>
      <w:r>
        <w:rPr>
          <w:rFonts w:hint="eastAsia"/>
          <w:color w:val="000000" w:themeColor="text1"/>
          <w:lang w:val="zh-CN"/>
          <w14:textFill>
            <w14:solidFill>
              <w14:schemeClr w14:val="tx1"/>
            </w14:solidFill>
          </w14:textFill>
        </w:rPr>
        <w:t>号，20</w:t>
      </w:r>
      <w:r>
        <w:rPr>
          <w:rFonts w:hint="eastAsia"/>
          <w:color w:val="000000" w:themeColor="text1"/>
          <w14:textFill>
            <w14:solidFill>
              <w14:schemeClr w14:val="tx1"/>
            </w14:solidFill>
          </w14:textFill>
        </w:rPr>
        <w:t>21</w:t>
      </w:r>
      <w:r>
        <w:rPr>
          <w:rFonts w:hint="eastAsia"/>
          <w:color w:val="000000" w:themeColor="text1"/>
          <w:lang w:val="zh-CN"/>
          <w14:textFill>
            <w14:solidFill>
              <w14:schemeClr w14:val="tx1"/>
            </w14:solidFill>
          </w14:textFill>
        </w:rPr>
        <w:t>年0</w:t>
      </w:r>
      <w:r>
        <w:rPr>
          <w:rFonts w:hint="eastAsia"/>
          <w:color w:val="000000" w:themeColor="text1"/>
          <w14:textFill>
            <w14:solidFill>
              <w14:schemeClr w14:val="tx1"/>
            </w14:solidFill>
          </w14:textFill>
        </w:rPr>
        <w:t>1</w:t>
      </w:r>
      <w:r>
        <w:rPr>
          <w:rFonts w:hint="eastAsia"/>
          <w:color w:val="000000" w:themeColor="text1"/>
          <w:lang w:val="zh-CN"/>
          <w14:textFill>
            <w14:solidFill>
              <w14:schemeClr w14:val="tx1"/>
            </w14:solidFill>
          </w14:textFill>
        </w:rPr>
        <w:t>月0</w:t>
      </w:r>
      <w:r>
        <w:rPr>
          <w:rFonts w:hint="eastAsia"/>
          <w:color w:val="000000" w:themeColor="text1"/>
          <w14:textFill>
            <w14:solidFill>
              <w14:schemeClr w14:val="tx1"/>
            </w14:solidFill>
          </w14:textFill>
        </w:rPr>
        <w:t>1</w:t>
      </w:r>
      <w:r>
        <w:rPr>
          <w:rFonts w:hint="eastAsia"/>
          <w:color w:val="000000" w:themeColor="text1"/>
          <w:lang w:val="zh-CN"/>
          <w14:textFill>
            <w14:solidFill>
              <w14:schemeClr w14:val="tx1"/>
            </w14:solidFill>
          </w14:textFill>
        </w:rPr>
        <w:t>日；</w:t>
      </w:r>
    </w:p>
    <w:p w14:paraId="31CDB04C">
      <w:pPr>
        <w:pStyle w:val="117"/>
        <w:ind w:firstLine="480"/>
        <w:rPr>
          <w:rFonts w:hint="eastAsia"/>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w:t>
      </w:r>
      <w:r>
        <w:rPr>
          <w:color w:val="000000" w:themeColor="text1"/>
          <w14:textFill>
            <w14:solidFill>
              <w14:schemeClr w14:val="tx1"/>
            </w14:solidFill>
          </w14:textFill>
        </w:rPr>
        <w:t>4</w:t>
      </w:r>
      <w:r>
        <w:rPr>
          <w:rFonts w:hint="eastAsia"/>
          <w:color w:val="000000" w:themeColor="text1"/>
          <w:lang w:val="zh-CN"/>
          <w14:textFill>
            <w14:solidFill>
              <w14:schemeClr w14:val="tx1"/>
            </w14:solidFill>
          </w14:textFill>
        </w:rPr>
        <w:t>）《环境影响评价公众参与办法》，生态环境部令第4号，2019年01月01日；</w:t>
      </w:r>
    </w:p>
    <w:p w14:paraId="3AF10F07">
      <w:pPr>
        <w:pStyle w:val="117"/>
        <w:ind w:firstLine="480"/>
        <w:rPr>
          <w:rFonts w:hint="eastAsia"/>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w:t>
      </w:r>
      <w:r>
        <w:rPr>
          <w:color w:val="000000" w:themeColor="text1"/>
          <w14:textFill>
            <w14:solidFill>
              <w14:schemeClr w14:val="tx1"/>
            </w14:solidFill>
          </w14:textFill>
        </w:rPr>
        <w:t>5</w:t>
      </w:r>
      <w:r>
        <w:rPr>
          <w:rFonts w:hint="eastAsia"/>
          <w:color w:val="000000" w:themeColor="text1"/>
          <w:lang w:val="zh-CN"/>
          <w14:textFill>
            <w14:solidFill>
              <w14:schemeClr w14:val="tx1"/>
            </w14:solidFill>
          </w14:textFill>
        </w:rPr>
        <w:t>）《国家危险废物名录</w:t>
      </w:r>
      <w:bookmarkStart w:id="53" w:name="_Hlk40358188"/>
      <w:r>
        <w:rPr>
          <w:rFonts w:hint="eastAsia"/>
          <w:color w:val="000000" w:themeColor="text1"/>
          <w:lang w:val="zh-CN"/>
          <w14:textFill>
            <w14:solidFill>
              <w14:schemeClr w14:val="tx1"/>
            </w14:solidFill>
          </w14:textFill>
        </w:rPr>
        <w:t>（</w:t>
      </w:r>
      <w:r>
        <w:rPr>
          <w:rFonts w:hint="eastAsia"/>
          <w:color w:val="000000" w:themeColor="text1"/>
          <w14:textFill>
            <w14:solidFill>
              <w14:schemeClr w14:val="tx1"/>
            </w14:solidFill>
          </w14:textFill>
        </w:rPr>
        <w:t>2025</w:t>
      </w:r>
      <w:r>
        <w:rPr>
          <w:rFonts w:hint="eastAsia"/>
          <w:color w:val="000000" w:themeColor="text1"/>
          <w:lang w:val="zh-CN"/>
          <w14:textFill>
            <w14:solidFill>
              <w14:schemeClr w14:val="tx1"/>
            </w14:solidFill>
          </w14:textFill>
        </w:rPr>
        <w:t>年</w:t>
      </w:r>
      <w:r>
        <w:rPr>
          <w:rFonts w:hint="eastAsia"/>
          <w:color w:val="000000" w:themeColor="text1"/>
          <w14:textFill>
            <w14:solidFill>
              <w14:schemeClr w14:val="tx1"/>
            </w14:solidFill>
          </w14:textFill>
        </w:rPr>
        <w:t>版</w:t>
      </w:r>
      <w:r>
        <w:rPr>
          <w:rFonts w:hint="eastAsia"/>
          <w:color w:val="000000" w:themeColor="text1"/>
          <w:lang w:val="zh-CN"/>
          <w14:textFill>
            <w14:solidFill>
              <w14:schemeClr w14:val="tx1"/>
            </w14:solidFill>
          </w14:textFill>
        </w:rPr>
        <w:t>）</w:t>
      </w:r>
      <w:bookmarkEnd w:id="53"/>
      <w:r>
        <w:rPr>
          <w:rFonts w:hint="eastAsia"/>
          <w:color w:val="000000" w:themeColor="text1"/>
          <w:lang w:val="zh-CN"/>
          <w14:textFill>
            <w14:solidFill>
              <w14:schemeClr w14:val="tx1"/>
            </w14:solidFill>
          </w14:textFill>
        </w:rPr>
        <w:t>》，</w:t>
      </w:r>
      <w:r>
        <w:rPr>
          <w:rFonts w:hint="eastAsia"/>
          <w:color w:val="000000" w:themeColor="text1"/>
          <w:lang w:val="en"/>
          <w14:textFill>
            <w14:solidFill>
              <w14:schemeClr w14:val="tx1"/>
            </w14:solidFill>
          </w14:textFill>
        </w:rPr>
        <w:t>生态环境部、国家发展和改革委员会、公安部、交通运输部、国家卫生健康委员会</w:t>
      </w:r>
      <w:r>
        <w:rPr>
          <w:rFonts w:hint="eastAsia"/>
          <w:color w:val="000000" w:themeColor="text1"/>
          <w14:textFill>
            <w14:solidFill>
              <w14:schemeClr w14:val="tx1"/>
            </w14:solidFill>
          </w14:textFill>
        </w:rPr>
        <w:t>，部</w:t>
      </w:r>
      <w:r>
        <w:rPr>
          <w:rFonts w:hint="eastAsia"/>
          <w:color w:val="000000" w:themeColor="text1"/>
          <w:lang w:val="zh-CN"/>
          <w14:textFill>
            <w14:solidFill>
              <w14:schemeClr w14:val="tx1"/>
            </w14:solidFill>
          </w14:textFill>
        </w:rPr>
        <w:t>令第36号，20</w:t>
      </w:r>
      <w:r>
        <w:rPr>
          <w:rFonts w:hint="eastAsia"/>
          <w:color w:val="000000" w:themeColor="text1"/>
          <w14:textFill>
            <w14:solidFill>
              <w14:schemeClr w14:val="tx1"/>
            </w14:solidFill>
          </w14:textFill>
        </w:rPr>
        <w:t>25</w:t>
      </w:r>
      <w:r>
        <w:rPr>
          <w:rFonts w:hint="eastAsia"/>
          <w:color w:val="000000" w:themeColor="text1"/>
          <w:lang w:val="zh-CN"/>
          <w14:textFill>
            <w14:solidFill>
              <w14:schemeClr w14:val="tx1"/>
            </w14:solidFill>
          </w14:textFill>
        </w:rPr>
        <w:t>年0</w:t>
      </w:r>
      <w:r>
        <w:rPr>
          <w:rFonts w:hint="eastAsia"/>
          <w:color w:val="000000" w:themeColor="text1"/>
          <w14:textFill>
            <w14:solidFill>
              <w14:schemeClr w14:val="tx1"/>
            </w14:solidFill>
          </w14:textFill>
        </w:rPr>
        <w:t>1</w:t>
      </w:r>
      <w:r>
        <w:rPr>
          <w:rFonts w:hint="eastAsia"/>
          <w:color w:val="000000" w:themeColor="text1"/>
          <w:lang w:val="zh-CN"/>
          <w14:textFill>
            <w14:solidFill>
              <w14:schemeClr w14:val="tx1"/>
            </w14:solidFill>
          </w14:textFill>
        </w:rPr>
        <w:t>月01日；</w:t>
      </w:r>
    </w:p>
    <w:p w14:paraId="4CDA5AF4">
      <w:pPr>
        <w:pStyle w:val="117"/>
        <w:ind w:firstLine="480"/>
        <w:rPr>
          <w:rFonts w:hint="eastAsia"/>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w:t>
      </w:r>
      <w:r>
        <w:rPr>
          <w:color w:val="000000" w:themeColor="text1"/>
          <w14:textFill>
            <w14:solidFill>
              <w14:schemeClr w14:val="tx1"/>
            </w14:solidFill>
          </w14:textFill>
        </w:rPr>
        <w:t>6</w:t>
      </w:r>
      <w:r>
        <w:rPr>
          <w:rFonts w:hint="eastAsia"/>
          <w:color w:val="000000" w:themeColor="text1"/>
          <w:lang w:val="zh-CN"/>
          <w14:textFill>
            <w14:solidFill>
              <w14:schemeClr w14:val="tx1"/>
            </w14:solidFill>
          </w14:textFill>
        </w:rPr>
        <w:t>）《产业结构调整指导目录（2024年本）》，中华人民共和国国家发展和改革委员会令第7号，2024年02月01日；</w:t>
      </w:r>
    </w:p>
    <w:p w14:paraId="6FE0338E">
      <w:pPr>
        <w:pStyle w:val="117"/>
        <w:ind w:firstLine="480"/>
        <w:rPr>
          <w:rFonts w:hint="eastAsia"/>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w:t>
      </w:r>
      <w:r>
        <w:rPr>
          <w:color w:val="000000" w:themeColor="text1"/>
          <w14:textFill>
            <w14:solidFill>
              <w14:schemeClr w14:val="tx1"/>
            </w14:solidFill>
          </w14:textFill>
        </w:rPr>
        <w:t>7</w:t>
      </w:r>
      <w:r>
        <w:rPr>
          <w:rFonts w:hint="eastAsia"/>
          <w:color w:val="000000" w:themeColor="text1"/>
          <w:lang w:val="zh-CN"/>
          <w14:textFill>
            <w14:solidFill>
              <w14:schemeClr w14:val="tx1"/>
            </w14:solidFill>
          </w14:textFill>
        </w:rPr>
        <w:t>）《石油天然气开采业污染防治技术政策》，2012年03月07日；</w:t>
      </w:r>
    </w:p>
    <w:p w14:paraId="0726C487">
      <w:pPr>
        <w:pStyle w:val="117"/>
        <w:ind w:firstLine="480"/>
        <w:rPr>
          <w:rFonts w:hint="eastAsia"/>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w:t>
      </w:r>
      <w:r>
        <w:rPr>
          <w:color w:val="000000" w:themeColor="text1"/>
          <w14:textFill>
            <w14:solidFill>
              <w14:schemeClr w14:val="tx1"/>
            </w14:solidFill>
          </w14:textFill>
        </w:rPr>
        <w:t>8</w:t>
      </w:r>
      <w:r>
        <w:rPr>
          <w:rFonts w:hint="eastAsia"/>
          <w:color w:val="000000" w:themeColor="text1"/>
          <w:lang w:val="zh-CN"/>
          <w14:textFill>
            <w14:solidFill>
              <w14:schemeClr w14:val="tx1"/>
            </w14:solidFill>
          </w14:textFill>
        </w:rPr>
        <w:t>）《陆上石油天然气开采业绿色矿山建设规范》，2018年10月01日；</w:t>
      </w:r>
    </w:p>
    <w:p w14:paraId="754E1EEB">
      <w:pPr>
        <w:pStyle w:val="117"/>
        <w:ind w:firstLine="480"/>
        <w:rPr>
          <w:rFonts w:hint="eastAsia"/>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w:t>
      </w:r>
      <w:r>
        <w:rPr>
          <w:color w:val="000000" w:themeColor="text1"/>
          <w14:textFill>
            <w14:solidFill>
              <w14:schemeClr w14:val="tx1"/>
            </w14:solidFill>
          </w14:textFill>
        </w:rPr>
        <w:t>9</w:t>
      </w:r>
      <w:r>
        <w:rPr>
          <w:rFonts w:hint="eastAsia"/>
          <w:color w:val="000000" w:themeColor="text1"/>
          <w:lang w:val="zh-CN"/>
          <w14:textFill>
            <w14:solidFill>
              <w14:schemeClr w14:val="tx1"/>
            </w14:solidFill>
          </w14:textFill>
        </w:rPr>
        <w:t>）《关于进一步加强石油天然气行业环境影响评价管理的通知》，环办环评函</w:t>
      </w:r>
      <w:r>
        <w:rPr>
          <w:rFonts w:hint="eastAsia"/>
          <w:color w:val="000000" w:themeColor="text1"/>
          <w14:textFill>
            <w14:solidFill>
              <w14:schemeClr w14:val="tx1"/>
            </w14:solidFill>
          </w14:textFill>
        </w:rPr>
        <w:t>〔2019〕</w:t>
      </w:r>
      <w:r>
        <w:rPr>
          <w:rFonts w:hint="eastAsia"/>
          <w:color w:val="000000" w:themeColor="text1"/>
          <w:lang w:val="zh-CN"/>
          <w14:textFill>
            <w14:solidFill>
              <w14:schemeClr w14:val="tx1"/>
            </w14:solidFill>
          </w14:textFill>
        </w:rPr>
        <w:t>910号，2019年12月13日；</w:t>
      </w:r>
    </w:p>
    <w:p w14:paraId="51052032">
      <w:pPr>
        <w:pStyle w:val="117"/>
        <w:ind w:firstLine="480"/>
        <w:rPr>
          <w:rFonts w:hint="eastAsia"/>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w:t>
      </w:r>
      <w:r>
        <w:rPr>
          <w:rFonts w:hint="eastAsia"/>
          <w:color w:val="000000" w:themeColor="text1"/>
          <w14:textFill>
            <w14:solidFill>
              <w14:schemeClr w14:val="tx1"/>
            </w14:solidFill>
          </w14:textFill>
        </w:rPr>
        <w:t>1</w:t>
      </w:r>
      <w:r>
        <w:rPr>
          <w:color w:val="000000" w:themeColor="text1"/>
          <w14:textFill>
            <w14:solidFill>
              <w14:schemeClr w14:val="tx1"/>
            </w14:solidFill>
          </w14:textFill>
        </w:rPr>
        <w:t>0</w:t>
      </w:r>
      <w:r>
        <w:rPr>
          <w:rFonts w:hint="eastAsia"/>
          <w:color w:val="000000" w:themeColor="text1"/>
          <w:lang w:val="zh-CN"/>
          <w14:textFill>
            <w14:solidFill>
              <w14:schemeClr w14:val="tx1"/>
            </w14:solidFill>
          </w14:textFill>
        </w:rPr>
        <w:t>）《国家重点保护野生植物名录》，国家林业和草原局、农业农村部公告2021年第15号，2021年09月07日；</w:t>
      </w:r>
    </w:p>
    <w:p w14:paraId="4CB0FDB2">
      <w:pPr>
        <w:pStyle w:val="117"/>
        <w:ind w:firstLine="480"/>
        <w:rPr>
          <w:rFonts w:hint="eastAsia"/>
          <w:color w:val="000000" w:themeColor="text1"/>
          <w14:textFill>
            <w14:solidFill>
              <w14:schemeClr w14:val="tx1"/>
            </w14:solidFill>
          </w14:textFill>
        </w:rPr>
      </w:pPr>
      <w:r>
        <w:rPr>
          <w:rFonts w:hint="eastAsia"/>
          <w:color w:val="000000" w:themeColor="text1"/>
          <w:lang w:val="zh-CN"/>
          <w14:textFill>
            <w14:solidFill>
              <w14:schemeClr w14:val="tx1"/>
            </w14:solidFill>
          </w14:textFill>
        </w:rPr>
        <w:t>（1</w:t>
      </w:r>
      <w:r>
        <w:rPr>
          <w:color w:val="000000" w:themeColor="text1"/>
          <w:lang w:val="zh-CN"/>
          <w14:textFill>
            <w14:solidFill>
              <w14:schemeClr w14:val="tx1"/>
            </w14:solidFill>
          </w14:textFill>
        </w:rPr>
        <w:t>1</w:t>
      </w:r>
      <w:r>
        <w:rPr>
          <w:rFonts w:hint="eastAsia"/>
          <w:color w:val="000000" w:themeColor="text1"/>
          <w:lang w:val="zh-CN"/>
          <w14:textFill>
            <w14:solidFill>
              <w14:schemeClr w14:val="tx1"/>
            </w14:solidFill>
          </w14:textFill>
        </w:rPr>
        <w:t>）</w:t>
      </w:r>
      <w:r>
        <w:rPr>
          <w:rFonts w:hint="eastAsia"/>
          <w:color w:val="000000" w:themeColor="text1"/>
          <w14:textFill>
            <w14:solidFill>
              <w14:schemeClr w14:val="tx1"/>
            </w14:solidFill>
          </w14:textFill>
        </w:rPr>
        <w:t>《国家重点保护野生动物名录》，国家林业和草原局、农业农村部公告2021年第3号，2021年02月01日；</w:t>
      </w:r>
    </w:p>
    <w:p w14:paraId="3D018635">
      <w:pPr>
        <w:pStyle w:val="117"/>
        <w:ind w:firstLine="480"/>
        <w:rPr>
          <w:rFonts w:hint="eastAsia"/>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w:t>
      </w:r>
      <w:r>
        <w:rPr>
          <w:rFonts w:hint="eastAsia"/>
          <w:color w:val="000000" w:themeColor="text1"/>
          <w14:textFill>
            <w14:solidFill>
              <w14:schemeClr w14:val="tx1"/>
            </w14:solidFill>
          </w14:textFill>
        </w:rPr>
        <w:t>1</w:t>
      </w:r>
      <w:r>
        <w:rPr>
          <w:color w:val="000000" w:themeColor="text1"/>
          <w14:textFill>
            <w14:solidFill>
              <w14:schemeClr w14:val="tx1"/>
            </w14:solidFill>
          </w14:textFill>
        </w:rPr>
        <w:t>2</w:t>
      </w:r>
      <w:r>
        <w:rPr>
          <w:rFonts w:hint="eastAsia"/>
          <w:color w:val="000000" w:themeColor="text1"/>
          <w:lang w:val="zh-CN"/>
          <w14:textFill>
            <w14:solidFill>
              <w14:schemeClr w14:val="tx1"/>
            </w14:solidFill>
          </w14:textFill>
        </w:rPr>
        <w:t>）《中华人民共和国野生植物保护条例》，国务院令第204号，2017年10月07日；</w:t>
      </w:r>
    </w:p>
    <w:p w14:paraId="7E867259">
      <w:pPr>
        <w:pStyle w:val="117"/>
        <w:ind w:firstLine="480"/>
        <w:rPr>
          <w:rFonts w:hint="eastAsia"/>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（1</w:t>
      </w:r>
      <w:r>
        <w:rPr>
          <w:color w:val="000000" w:themeColor="text1"/>
          <w:lang w:val="zh-CN"/>
          <w14:textFill>
            <w14:solidFill>
              <w14:schemeClr w14:val="tx1"/>
            </w14:solidFill>
          </w14:textFill>
        </w:rPr>
        <w:t>3</w:t>
      </w:r>
      <w:r>
        <w:rPr>
          <w:rFonts w:hint="eastAsia"/>
          <w:color w:val="000000" w:themeColor="text1"/>
          <w:lang w:val="zh-CN"/>
          <w14:textFill>
            <w14:solidFill>
              <w14:schemeClr w14:val="tx1"/>
            </w14:solidFill>
          </w14:textFill>
        </w:rPr>
        <w:t>）《排污许可管理条例》，国务院令第7</w:t>
      </w:r>
      <w:r>
        <w:rPr>
          <w:color w:val="000000" w:themeColor="text1"/>
          <w:lang w:val="zh-CN"/>
          <w14:textFill>
            <w14:solidFill>
              <w14:schemeClr w14:val="tx1"/>
            </w14:solidFill>
          </w14:textFill>
        </w:rPr>
        <w:t>36</w:t>
      </w:r>
      <w:r>
        <w:rPr>
          <w:rFonts w:hint="eastAsia"/>
          <w:color w:val="000000" w:themeColor="text1"/>
          <w:lang w:val="zh-CN"/>
          <w14:textFill>
            <w14:solidFill>
              <w14:schemeClr w14:val="tx1"/>
            </w14:solidFill>
          </w14:textFill>
        </w:rPr>
        <w:t>号，2</w:t>
      </w:r>
      <w:r>
        <w:rPr>
          <w:color w:val="000000" w:themeColor="text1"/>
          <w:lang w:val="zh-CN"/>
          <w14:textFill>
            <w14:solidFill>
              <w14:schemeClr w14:val="tx1"/>
            </w14:solidFill>
          </w14:textFill>
        </w:rPr>
        <w:t>021</w:t>
      </w:r>
      <w:r>
        <w:rPr>
          <w:rFonts w:hint="eastAsia"/>
          <w:color w:val="000000" w:themeColor="text1"/>
          <w:lang w:val="zh-CN"/>
          <w14:textFill>
            <w14:solidFill>
              <w14:schemeClr w14:val="tx1"/>
            </w14:solidFill>
          </w14:textFill>
        </w:rPr>
        <w:t>年03月01日；</w:t>
      </w:r>
    </w:p>
    <w:p w14:paraId="06DDAB09">
      <w:pPr>
        <w:pStyle w:val="117"/>
        <w:ind w:firstLine="480"/>
        <w:rPr>
          <w:rFonts w:hint="eastAsia" w:cs="宋体"/>
          <w:color w:val="000000" w:themeColor="text1"/>
          <w:kern w:val="0"/>
          <w:szCs w:val="21"/>
          <w14:textFill>
            <w14:solidFill>
              <w14:schemeClr w14:val="tx1"/>
            </w14:solidFill>
          </w14:textFill>
        </w:rPr>
      </w:pPr>
      <w:r>
        <w:rPr>
          <w:rFonts w:hint="eastAsia"/>
          <w:color w:val="000000" w:themeColor="text1"/>
          <w14:textFill>
            <w14:solidFill>
              <w14:schemeClr w14:val="tx1"/>
            </w14:solidFill>
          </w14:textFill>
        </w:rPr>
        <w:t>（1</w:t>
      </w:r>
      <w:r>
        <w:rPr>
          <w:color w:val="000000" w:themeColor="text1"/>
          <w14:textFill>
            <w14:solidFill>
              <w14:schemeClr w14:val="tx1"/>
            </w14:solidFill>
          </w14:textFill>
        </w:rPr>
        <w:t>4</w:t>
      </w:r>
      <w:r>
        <w:rPr>
          <w:rFonts w:hint="eastAsia"/>
          <w:color w:val="000000" w:themeColor="text1"/>
          <w14:textFill>
            <w14:solidFill>
              <w14:schemeClr w14:val="tx1"/>
            </w14:solidFill>
          </w14:textFill>
        </w:rPr>
        <w:t>）</w:t>
      </w:r>
      <w:r>
        <w:rPr>
          <w:rFonts w:hint="eastAsia" w:cs="宋体"/>
          <w:color w:val="000000" w:themeColor="text1"/>
          <w:kern w:val="0"/>
          <w:szCs w:val="21"/>
          <w14:textFill>
            <w14:solidFill>
              <w14:schemeClr w14:val="tx1"/>
            </w14:solidFill>
          </w14:textFill>
        </w:rPr>
        <w:t>《关于做好环境影响评价制度与排污许可制衔接相关工作的通知》（环办环评〔2017〕84号），2017年11月14日；</w:t>
      </w:r>
    </w:p>
    <w:p w14:paraId="00F71E90">
      <w:pPr>
        <w:pStyle w:val="117"/>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color w:val="000000" w:themeColor="text1"/>
          <w14:textFill>
            <w14:solidFill>
              <w14:schemeClr w14:val="tx1"/>
            </w14:solidFill>
          </w14:textFill>
        </w:rPr>
        <w:t>5</w:t>
      </w:r>
      <w:r>
        <w:rPr>
          <w:rFonts w:hint="eastAsia"/>
          <w:color w:val="000000" w:themeColor="text1"/>
          <w14:textFill>
            <w14:solidFill>
              <w14:schemeClr w14:val="tx1"/>
            </w14:solidFill>
          </w14:textFill>
        </w:rPr>
        <w:t>）《建设项目危险废物环境影响评价指南》（原环境保护部公告2017年第43号），2017年10月01日；</w:t>
      </w:r>
    </w:p>
    <w:p w14:paraId="235C26D2">
      <w:pPr>
        <w:pStyle w:val="117"/>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color w:val="000000" w:themeColor="text1"/>
          <w14:textFill>
            <w14:solidFill>
              <w14:schemeClr w14:val="tx1"/>
            </w14:solidFill>
          </w14:textFill>
        </w:rPr>
        <w:t>6</w:t>
      </w:r>
      <w:r>
        <w:rPr>
          <w:rFonts w:hint="eastAsia"/>
          <w:color w:val="000000" w:themeColor="text1"/>
          <w14:textFill>
            <w14:solidFill>
              <w14:schemeClr w14:val="tx1"/>
            </w14:solidFill>
          </w14:textFill>
        </w:rPr>
        <w:t>）《关于以改善环境质量为核心加强环境影响评价管理的通知》（环环评〔2016〕150号），2016年10月26日；</w:t>
      </w:r>
    </w:p>
    <w:p w14:paraId="214A1C16">
      <w:pPr>
        <w:spacing w:line="500" w:lineRule="exact"/>
        <w:ind w:firstLine="480" w:firstLineChars="200"/>
        <w:rPr>
          <w:rFonts w:hint="eastAsia" w:ascii="宋体" w:hAnsi="宋体" w:cs="宋体"/>
          <w:color w:val="000000" w:themeColor="text1"/>
          <w:sz w:val="24"/>
          <w:szCs w:val="24"/>
          <w14:textFill>
            <w14:solidFill>
              <w14:schemeClr w14:val="tx1"/>
            </w14:solidFill>
          </w14:textFill>
        </w:rPr>
      </w:pPr>
      <w:bookmarkStart w:id="54" w:name="OLE_LINK122"/>
      <w:bookmarkStart w:id="55" w:name="OLE_LINK123"/>
      <w:bookmarkStart w:id="56" w:name="_Hlk92217233"/>
      <w:r>
        <w:rPr>
          <w:rFonts w:hint="eastAsia" w:ascii="宋体" w:hAnsi="宋体" w:cs="宋体"/>
          <w:color w:val="000000" w:themeColor="text1"/>
          <w:sz w:val="24"/>
          <w:szCs w:val="24"/>
          <w14:textFill>
            <w14:solidFill>
              <w14:schemeClr w14:val="tx1"/>
            </w14:solidFill>
          </w14:textFill>
        </w:rPr>
        <w:t>（</w:t>
      </w:r>
      <w:r>
        <w:rPr>
          <w:rFonts w:ascii="宋体" w:hAnsi="宋体" w:cs="宋体"/>
          <w:color w:val="000000" w:themeColor="text1"/>
          <w:sz w:val="24"/>
          <w:szCs w:val="24"/>
          <w14:textFill>
            <w14:solidFill>
              <w14:schemeClr w14:val="tx1"/>
            </w14:solidFill>
          </w14:textFill>
        </w:rPr>
        <w:t>17</w:t>
      </w:r>
      <w:r>
        <w:rPr>
          <w:rFonts w:hint="eastAsia" w:ascii="宋体" w:hAnsi="宋体" w:cs="宋体"/>
          <w:color w:val="000000" w:themeColor="text1"/>
          <w:sz w:val="24"/>
          <w:szCs w:val="24"/>
          <w14:textFill>
            <w14:solidFill>
              <w14:schemeClr w14:val="tx1"/>
            </w14:solidFill>
          </w14:textFill>
        </w:rPr>
        <w:t>）</w:t>
      </w:r>
      <w:bookmarkStart w:id="57" w:name="OLE_LINK112"/>
      <w:r>
        <w:rPr>
          <w:rFonts w:hint="eastAsia" w:ascii="宋体" w:hAnsi="宋体" w:cs="宋体"/>
          <w:color w:val="000000" w:themeColor="text1"/>
          <w:sz w:val="24"/>
          <w:szCs w:val="24"/>
          <w14:textFill>
            <w14:solidFill>
              <w14:schemeClr w14:val="tx1"/>
            </w14:solidFill>
          </w14:textFill>
        </w:rPr>
        <w:t>《危险废物转移管理办法》</w:t>
      </w:r>
      <w:bookmarkEnd w:id="57"/>
      <w:r>
        <w:rPr>
          <w:rFonts w:hint="eastAsia" w:ascii="宋体" w:hAnsi="宋体" w:cs="宋体"/>
          <w:color w:val="000000" w:themeColor="text1"/>
          <w:sz w:val="24"/>
          <w:szCs w:val="24"/>
          <w14:textFill>
            <w14:solidFill>
              <w14:schemeClr w14:val="tx1"/>
            </w14:solidFill>
          </w14:textFill>
        </w:rPr>
        <w:t>（生态环境部、公安部、交通运输部 部令第2</w:t>
      </w:r>
      <w:r>
        <w:rPr>
          <w:rFonts w:ascii="宋体" w:hAnsi="宋体" w:cs="宋体"/>
          <w:color w:val="000000" w:themeColor="text1"/>
          <w:sz w:val="24"/>
          <w:szCs w:val="24"/>
          <w14:textFill>
            <w14:solidFill>
              <w14:schemeClr w14:val="tx1"/>
            </w14:solidFill>
          </w14:textFill>
        </w:rPr>
        <w:t>3</w:t>
      </w:r>
      <w:r>
        <w:rPr>
          <w:rFonts w:hint="eastAsia" w:ascii="宋体" w:hAnsi="宋体" w:cs="宋体"/>
          <w:color w:val="000000" w:themeColor="text1"/>
          <w:sz w:val="24"/>
          <w:szCs w:val="24"/>
          <w14:textFill>
            <w14:solidFill>
              <w14:schemeClr w14:val="tx1"/>
            </w14:solidFill>
          </w14:textFill>
        </w:rPr>
        <w:t>号），2</w:t>
      </w:r>
      <w:r>
        <w:rPr>
          <w:rFonts w:ascii="宋体" w:hAnsi="宋体" w:cs="宋体"/>
          <w:color w:val="000000" w:themeColor="text1"/>
          <w:sz w:val="24"/>
          <w:szCs w:val="24"/>
          <w14:textFill>
            <w14:solidFill>
              <w14:schemeClr w14:val="tx1"/>
            </w14:solidFill>
          </w14:textFill>
        </w:rPr>
        <w:t>021</w:t>
      </w:r>
      <w:r>
        <w:rPr>
          <w:rFonts w:hint="eastAsia" w:ascii="宋体" w:hAnsi="宋体" w:cs="宋体"/>
          <w:color w:val="000000" w:themeColor="text1"/>
          <w:sz w:val="24"/>
          <w:szCs w:val="24"/>
          <w14:textFill>
            <w14:solidFill>
              <w14:schemeClr w14:val="tx1"/>
            </w14:solidFill>
          </w14:textFill>
        </w:rPr>
        <w:t>年1</w:t>
      </w:r>
      <w:r>
        <w:rPr>
          <w:rFonts w:ascii="宋体" w:hAnsi="宋体" w:cs="宋体"/>
          <w:color w:val="000000" w:themeColor="text1"/>
          <w:sz w:val="24"/>
          <w:szCs w:val="24"/>
          <w14:textFill>
            <w14:solidFill>
              <w14:schemeClr w14:val="tx1"/>
            </w14:solidFill>
          </w14:textFill>
        </w:rPr>
        <w:t>1</w:t>
      </w:r>
      <w:r>
        <w:rPr>
          <w:rFonts w:hint="eastAsia" w:ascii="宋体" w:hAnsi="宋体" w:cs="宋体"/>
          <w:color w:val="000000" w:themeColor="text1"/>
          <w:sz w:val="24"/>
          <w:szCs w:val="24"/>
          <w14:textFill>
            <w14:solidFill>
              <w14:schemeClr w14:val="tx1"/>
            </w14:solidFill>
          </w14:textFill>
        </w:rPr>
        <w:t>月3</w:t>
      </w:r>
      <w:r>
        <w:rPr>
          <w:rFonts w:ascii="宋体" w:hAnsi="宋体" w:cs="宋体"/>
          <w:color w:val="000000" w:themeColor="text1"/>
          <w:sz w:val="24"/>
          <w:szCs w:val="24"/>
          <w14:textFill>
            <w14:solidFill>
              <w14:schemeClr w14:val="tx1"/>
            </w14:solidFill>
          </w14:textFill>
        </w:rPr>
        <w:t>0</w:t>
      </w:r>
      <w:r>
        <w:rPr>
          <w:rFonts w:hint="eastAsia" w:ascii="宋体" w:hAnsi="宋体" w:cs="宋体"/>
          <w:color w:val="000000" w:themeColor="text1"/>
          <w:sz w:val="24"/>
          <w:szCs w:val="24"/>
          <w14:textFill>
            <w14:solidFill>
              <w14:schemeClr w14:val="tx1"/>
            </w14:solidFill>
          </w14:textFill>
        </w:rPr>
        <w:t>日</w:t>
      </w:r>
      <w:bookmarkEnd w:id="54"/>
      <w:r>
        <w:rPr>
          <w:rFonts w:hint="eastAsia" w:ascii="宋体" w:hAnsi="宋体" w:cs="宋体"/>
          <w:color w:val="000000" w:themeColor="text1"/>
          <w:sz w:val="24"/>
          <w:szCs w:val="24"/>
          <w14:textFill>
            <w14:solidFill>
              <w14:schemeClr w14:val="tx1"/>
            </w14:solidFill>
          </w14:textFill>
        </w:rPr>
        <w:t>；</w:t>
      </w:r>
    </w:p>
    <w:bookmarkEnd w:id="55"/>
    <w:p w14:paraId="33243625">
      <w:pPr>
        <w:spacing w:line="500" w:lineRule="exact"/>
        <w:ind w:firstLine="480" w:firstLineChars="200"/>
        <w:rPr>
          <w:rFonts w:hint="eastAsia"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w:t>
      </w:r>
      <w:r>
        <w:rPr>
          <w:rFonts w:ascii="宋体" w:hAnsi="宋体" w:cs="宋体"/>
          <w:color w:val="000000" w:themeColor="text1"/>
          <w:sz w:val="24"/>
          <w:szCs w:val="24"/>
          <w14:textFill>
            <w14:solidFill>
              <w14:schemeClr w14:val="tx1"/>
            </w14:solidFill>
          </w14:textFill>
        </w:rPr>
        <w:t>18</w:t>
      </w:r>
      <w:r>
        <w:rPr>
          <w:rFonts w:hint="eastAsia" w:ascii="宋体" w:hAnsi="宋体" w:cs="宋体"/>
          <w:color w:val="000000" w:themeColor="text1"/>
          <w:sz w:val="24"/>
          <w:szCs w:val="24"/>
          <w14:textFill>
            <w14:solidFill>
              <w14:schemeClr w14:val="tx1"/>
            </w14:solidFill>
          </w14:textFill>
        </w:rPr>
        <w:t>）《关于印发〈企业环境信息依法披露格式准则〉的通知》（环办综合〔2021〕32号），2</w:t>
      </w:r>
      <w:r>
        <w:rPr>
          <w:rFonts w:ascii="宋体" w:hAnsi="宋体" w:cs="宋体"/>
          <w:color w:val="000000" w:themeColor="text1"/>
          <w:sz w:val="24"/>
          <w:szCs w:val="24"/>
          <w14:textFill>
            <w14:solidFill>
              <w14:schemeClr w14:val="tx1"/>
            </w14:solidFill>
          </w14:textFill>
        </w:rPr>
        <w:t>021</w:t>
      </w:r>
      <w:r>
        <w:rPr>
          <w:rFonts w:hint="eastAsia" w:ascii="宋体" w:hAnsi="宋体" w:cs="宋体"/>
          <w:color w:val="000000" w:themeColor="text1"/>
          <w:sz w:val="24"/>
          <w:szCs w:val="24"/>
          <w14:textFill>
            <w14:solidFill>
              <w14:schemeClr w14:val="tx1"/>
            </w14:solidFill>
          </w14:textFill>
        </w:rPr>
        <w:t>年1</w:t>
      </w:r>
      <w:r>
        <w:rPr>
          <w:rFonts w:ascii="宋体" w:hAnsi="宋体" w:cs="宋体"/>
          <w:color w:val="000000" w:themeColor="text1"/>
          <w:sz w:val="24"/>
          <w:szCs w:val="24"/>
          <w14:textFill>
            <w14:solidFill>
              <w14:schemeClr w14:val="tx1"/>
            </w14:solidFill>
          </w14:textFill>
        </w:rPr>
        <w:t>2</w:t>
      </w:r>
      <w:r>
        <w:rPr>
          <w:rFonts w:hint="eastAsia" w:ascii="宋体" w:hAnsi="宋体" w:cs="宋体"/>
          <w:color w:val="000000" w:themeColor="text1"/>
          <w:sz w:val="24"/>
          <w:szCs w:val="24"/>
          <w14:textFill>
            <w14:solidFill>
              <w14:schemeClr w14:val="tx1"/>
            </w14:solidFill>
          </w14:textFill>
        </w:rPr>
        <w:t>月3</w:t>
      </w:r>
      <w:r>
        <w:rPr>
          <w:rFonts w:ascii="宋体" w:hAnsi="宋体" w:cs="宋体"/>
          <w:color w:val="000000" w:themeColor="text1"/>
          <w:sz w:val="24"/>
          <w:szCs w:val="24"/>
          <w14:textFill>
            <w14:solidFill>
              <w14:schemeClr w14:val="tx1"/>
            </w14:solidFill>
          </w14:textFill>
        </w:rPr>
        <w:t>1</w:t>
      </w:r>
      <w:r>
        <w:rPr>
          <w:rFonts w:hint="eastAsia" w:ascii="宋体" w:hAnsi="宋体" w:cs="宋体"/>
          <w:color w:val="000000" w:themeColor="text1"/>
          <w:sz w:val="24"/>
          <w:szCs w:val="24"/>
          <w14:textFill>
            <w14:solidFill>
              <w14:schemeClr w14:val="tx1"/>
            </w14:solidFill>
          </w14:textFill>
        </w:rPr>
        <w:t>日；</w:t>
      </w:r>
    </w:p>
    <w:p w14:paraId="0F3E09D7">
      <w:pPr>
        <w:spacing w:line="500" w:lineRule="exact"/>
        <w:ind w:firstLine="480" w:firstLineChars="200"/>
        <w:rPr>
          <w:rFonts w:hint="eastAsia"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（1</w:t>
      </w:r>
      <w:r>
        <w:rPr>
          <w:rFonts w:ascii="宋体" w:hAnsi="宋体" w:cs="宋体"/>
          <w:color w:val="000000" w:themeColor="text1"/>
          <w:sz w:val="24"/>
          <w:szCs w:val="24"/>
          <w14:textFill>
            <w14:solidFill>
              <w14:schemeClr w14:val="tx1"/>
            </w14:solidFill>
          </w14:textFill>
        </w:rPr>
        <w:t>9</w:t>
      </w:r>
      <w:r>
        <w:rPr>
          <w:rFonts w:hint="eastAsia" w:ascii="宋体" w:hAnsi="宋体" w:cs="宋体"/>
          <w:color w:val="000000" w:themeColor="text1"/>
          <w:sz w:val="24"/>
          <w:szCs w:val="24"/>
          <w14:textFill>
            <w14:solidFill>
              <w14:schemeClr w14:val="tx1"/>
            </w14:solidFill>
          </w14:textFill>
        </w:rPr>
        <w:t>）《企业环境信息依法披露管理办法》（生态环境部 部令第2</w:t>
      </w:r>
      <w:r>
        <w:rPr>
          <w:rFonts w:ascii="宋体" w:hAnsi="宋体" w:cs="宋体"/>
          <w:color w:val="000000" w:themeColor="text1"/>
          <w:sz w:val="24"/>
          <w:szCs w:val="24"/>
          <w14:textFill>
            <w14:solidFill>
              <w14:schemeClr w14:val="tx1"/>
            </w14:solidFill>
          </w14:textFill>
        </w:rPr>
        <w:t>4</w:t>
      </w:r>
      <w:r>
        <w:rPr>
          <w:rFonts w:hint="eastAsia" w:ascii="宋体" w:hAnsi="宋体" w:cs="宋体"/>
          <w:color w:val="000000" w:themeColor="text1"/>
          <w:sz w:val="24"/>
          <w:szCs w:val="24"/>
          <w14:textFill>
            <w14:solidFill>
              <w14:schemeClr w14:val="tx1"/>
            </w14:solidFill>
          </w14:textFill>
        </w:rPr>
        <w:t>号），2</w:t>
      </w:r>
      <w:r>
        <w:rPr>
          <w:rFonts w:ascii="宋体" w:hAnsi="宋体" w:cs="宋体"/>
          <w:color w:val="000000" w:themeColor="text1"/>
          <w:sz w:val="24"/>
          <w:szCs w:val="24"/>
          <w14:textFill>
            <w14:solidFill>
              <w14:schemeClr w14:val="tx1"/>
            </w14:solidFill>
          </w14:textFill>
        </w:rPr>
        <w:t>021</w:t>
      </w:r>
      <w:r>
        <w:rPr>
          <w:rFonts w:hint="eastAsia" w:ascii="宋体" w:hAnsi="宋体" w:cs="宋体"/>
          <w:color w:val="000000" w:themeColor="text1"/>
          <w:sz w:val="24"/>
          <w:szCs w:val="24"/>
          <w14:textFill>
            <w14:solidFill>
              <w14:schemeClr w14:val="tx1"/>
            </w14:solidFill>
          </w14:textFill>
        </w:rPr>
        <w:t>年1</w:t>
      </w:r>
      <w:r>
        <w:rPr>
          <w:rFonts w:ascii="宋体" w:hAnsi="宋体" w:cs="宋体"/>
          <w:color w:val="000000" w:themeColor="text1"/>
          <w:sz w:val="24"/>
          <w:szCs w:val="24"/>
          <w14:textFill>
            <w14:solidFill>
              <w14:schemeClr w14:val="tx1"/>
            </w14:solidFill>
          </w14:textFill>
        </w:rPr>
        <w:t>2</w:t>
      </w:r>
      <w:r>
        <w:rPr>
          <w:rFonts w:hint="eastAsia" w:ascii="宋体" w:hAnsi="宋体" w:cs="宋体"/>
          <w:color w:val="000000" w:themeColor="text1"/>
          <w:sz w:val="24"/>
          <w:szCs w:val="24"/>
          <w14:textFill>
            <w14:solidFill>
              <w14:schemeClr w14:val="tx1"/>
            </w14:solidFill>
          </w14:textFill>
        </w:rPr>
        <w:t>月2</w:t>
      </w:r>
      <w:r>
        <w:rPr>
          <w:rFonts w:ascii="宋体" w:hAnsi="宋体" w:cs="宋体"/>
          <w:color w:val="000000" w:themeColor="text1"/>
          <w:sz w:val="24"/>
          <w:szCs w:val="24"/>
          <w14:textFill>
            <w14:solidFill>
              <w14:schemeClr w14:val="tx1"/>
            </w14:solidFill>
          </w14:textFill>
        </w:rPr>
        <w:t>1</w:t>
      </w:r>
      <w:r>
        <w:rPr>
          <w:rFonts w:hint="eastAsia" w:ascii="宋体" w:hAnsi="宋体" w:cs="宋体"/>
          <w:color w:val="000000" w:themeColor="text1"/>
          <w:sz w:val="24"/>
          <w:szCs w:val="24"/>
          <w14:textFill>
            <w14:solidFill>
              <w14:schemeClr w14:val="tx1"/>
            </w14:solidFill>
          </w14:textFill>
        </w:rPr>
        <w:t>日；</w:t>
      </w:r>
    </w:p>
    <w:p w14:paraId="5A0C3783">
      <w:pPr>
        <w:spacing w:line="500" w:lineRule="exact"/>
        <w:ind w:firstLine="480" w:firstLineChars="200"/>
        <w:rPr>
          <w:rFonts w:hint="eastAsia"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w:t>
      </w:r>
      <w:r>
        <w:rPr>
          <w:rFonts w:ascii="宋体" w:hAnsi="宋体" w:cs="宋体"/>
          <w:color w:val="000000" w:themeColor="text1"/>
          <w:sz w:val="24"/>
          <w:szCs w:val="24"/>
          <w14:textFill>
            <w14:solidFill>
              <w14:schemeClr w14:val="tx1"/>
            </w14:solidFill>
          </w14:textFill>
        </w:rPr>
        <w:t>20</w:t>
      </w:r>
      <w:r>
        <w:rPr>
          <w:rFonts w:hint="eastAsia" w:ascii="宋体" w:hAnsi="宋体" w:cs="宋体"/>
          <w:color w:val="000000" w:themeColor="text1"/>
          <w:sz w:val="24"/>
          <w:szCs w:val="24"/>
          <w14:textFill>
            <w14:solidFill>
              <w14:schemeClr w14:val="tx1"/>
            </w14:solidFill>
          </w14:textFill>
        </w:rPr>
        <w:t>）《关于印发〈“十四五”噪声污染防治行动计划〉的通知》，（环大气〔202</w:t>
      </w:r>
      <w:r>
        <w:rPr>
          <w:rFonts w:ascii="宋体" w:hAnsi="宋体" w:cs="宋体"/>
          <w:color w:val="000000" w:themeColor="text1"/>
          <w:sz w:val="24"/>
          <w:szCs w:val="24"/>
          <w14:textFill>
            <w14:solidFill>
              <w14:schemeClr w14:val="tx1"/>
            </w14:solidFill>
          </w14:textFill>
        </w:rPr>
        <w:t>3</w:t>
      </w:r>
      <w:r>
        <w:rPr>
          <w:rFonts w:hint="eastAsia" w:ascii="宋体" w:hAnsi="宋体" w:cs="宋体"/>
          <w:color w:val="000000" w:themeColor="text1"/>
          <w:sz w:val="24"/>
          <w:szCs w:val="24"/>
          <w14:textFill>
            <w14:solidFill>
              <w14:schemeClr w14:val="tx1"/>
            </w14:solidFill>
          </w14:textFill>
        </w:rPr>
        <w:t>〕</w:t>
      </w:r>
      <w:r>
        <w:rPr>
          <w:rFonts w:ascii="宋体" w:hAnsi="宋体" w:cs="宋体"/>
          <w:color w:val="000000" w:themeColor="text1"/>
          <w:sz w:val="24"/>
          <w:szCs w:val="24"/>
          <w14:textFill>
            <w14:solidFill>
              <w14:schemeClr w14:val="tx1"/>
            </w14:solidFill>
          </w14:textFill>
        </w:rPr>
        <w:t>1</w:t>
      </w:r>
      <w:r>
        <w:rPr>
          <w:rFonts w:hint="eastAsia" w:ascii="宋体" w:hAnsi="宋体" w:cs="宋体"/>
          <w:color w:val="000000" w:themeColor="text1"/>
          <w:sz w:val="24"/>
          <w:szCs w:val="24"/>
          <w14:textFill>
            <w14:solidFill>
              <w14:schemeClr w14:val="tx1"/>
            </w14:solidFill>
          </w14:textFill>
        </w:rPr>
        <w:t>号），</w:t>
      </w:r>
      <w:r>
        <w:rPr>
          <w:rFonts w:ascii="宋体" w:hAnsi="宋体" w:cs="宋体"/>
          <w:color w:val="000000" w:themeColor="text1"/>
          <w:sz w:val="24"/>
          <w:szCs w:val="24"/>
          <w14:textFill>
            <w14:solidFill>
              <w14:schemeClr w14:val="tx1"/>
            </w14:solidFill>
          </w14:textFill>
        </w:rPr>
        <w:t>2023</w:t>
      </w:r>
      <w:r>
        <w:rPr>
          <w:rFonts w:hint="eastAsia" w:ascii="宋体" w:hAnsi="宋体" w:cs="宋体"/>
          <w:color w:val="000000" w:themeColor="text1"/>
          <w:sz w:val="24"/>
          <w:szCs w:val="24"/>
          <w14:textFill>
            <w14:solidFill>
              <w14:schemeClr w14:val="tx1"/>
            </w14:solidFill>
          </w14:textFill>
        </w:rPr>
        <w:t>年0</w:t>
      </w:r>
      <w:r>
        <w:rPr>
          <w:rFonts w:ascii="宋体" w:hAnsi="宋体" w:cs="宋体"/>
          <w:color w:val="000000" w:themeColor="text1"/>
          <w:sz w:val="24"/>
          <w:szCs w:val="24"/>
          <w14:textFill>
            <w14:solidFill>
              <w14:schemeClr w14:val="tx1"/>
            </w14:solidFill>
          </w14:textFill>
        </w:rPr>
        <w:t>1</w:t>
      </w:r>
      <w:r>
        <w:rPr>
          <w:rFonts w:hint="eastAsia" w:ascii="宋体" w:hAnsi="宋体" w:cs="宋体"/>
          <w:color w:val="000000" w:themeColor="text1"/>
          <w:sz w:val="24"/>
          <w:szCs w:val="24"/>
          <w14:textFill>
            <w14:solidFill>
              <w14:schemeClr w14:val="tx1"/>
            </w14:solidFill>
          </w14:textFill>
        </w:rPr>
        <w:t>月0</w:t>
      </w:r>
      <w:r>
        <w:rPr>
          <w:rFonts w:ascii="宋体" w:hAnsi="宋体" w:cs="宋体"/>
          <w:color w:val="000000" w:themeColor="text1"/>
          <w:sz w:val="24"/>
          <w:szCs w:val="24"/>
          <w14:textFill>
            <w14:solidFill>
              <w14:schemeClr w14:val="tx1"/>
            </w14:solidFill>
          </w14:textFill>
        </w:rPr>
        <w:t>3</w:t>
      </w:r>
      <w:r>
        <w:rPr>
          <w:rFonts w:hint="eastAsia" w:ascii="宋体" w:hAnsi="宋体" w:cs="宋体"/>
          <w:color w:val="000000" w:themeColor="text1"/>
          <w:sz w:val="24"/>
          <w:szCs w:val="24"/>
          <w14:textFill>
            <w14:solidFill>
              <w14:schemeClr w14:val="tx1"/>
            </w14:solidFill>
          </w14:textFill>
        </w:rPr>
        <w:t>日；</w:t>
      </w:r>
    </w:p>
    <w:p w14:paraId="21BA79D7">
      <w:pPr>
        <w:spacing w:line="500" w:lineRule="exact"/>
        <w:ind w:firstLine="480" w:firstLineChars="200"/>
        <w:rPr>
          <w:rFonts w:hint="eastAsia"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（2</w:t>
      </w:r>
      <w:r>
        <w:rPr>
          <w:rFonts w:ascii="宋体" w:hAnsi="宋体" w:cs="宋体"/>
          <w:color w:val="000000" w:themeColor="text1"/>
          <w:sz w:val="24"/>
          <w:szCs w:val="24"/>
          <w14:textFill>
            <w14:solidFill>
              <w14:schemeClr w14:val="tx1"/>
            </w14:solidFill>
          </w14:textFill>
        </w:rPr>
        <w:t>1</w:t>
      </w:r>
      <w:r>
        <w:rPr>
          <w:rFonts w:hint="eastAsia" w:ascii="宋体" w:hAnsi="宋体" w:cs="宋体"/>
          <w:color w:val="000000" w:themeColor="text1"/>
          <w:sz w:val="24"/>
          <w:szCs w:val="24"/>
          <w14:textFill>
            <w14:solidFill>
              <w14:schemeClr w14:val="tx1"/>
            </w14:solidFill>
          </w14:textFill>
        </w:rPr>
        <w:t>）《地下水管理条例》（国务院令第7</w:t>
      </w:r>
      <w:r>
        <w:rPr>
          <w:rFonts w:ascii="宋体" w:hAnsi="宋体" w:cs="宋体"/>
          <w:color w:val="000000" w:themeColor="text1"/>
          <w:sz w:val="24"/>
          <w:szCs w:val="24"/>
          <w14:textFill>
            <w14:solidFill>
              <w14:schemeClr w14:val="tx1"/>
            </w14:solidFill>
          </w14:textFill>
        </w:rPr>
        <w:t>48</w:t>
      </w:r>
      <w:r>
        <w:rPr>
          <w:rFonts w:hint="eastAsia" w:ascii="宋体" w:hAnsi="宋体" w:cs="宋体"/>
          <w:color w:val="000000" w:themeColor="text1"/>
          <w:sz w:val="24"/>
          <w:szCs w:val="24"/>
          <w14:textFill>
            <w14:solidFill>
              <w14:schemeClr w14:val="tx1"/>
            </w14:solidFill>
          </w14:textFill>
        </w:rPr>
        <w:t>号），2</w:t>
      </w:r>
      <w:r>
        <w:rPr>
          <w:rFonts w:ascii="宋体" w:hAnsi="宋体" w:cs="宋体"/>
          <w:color w:val="000000" w:themeColor="text1"/>
          <w:sz w:val="24"/>
          <w:szCs w:val="24"/>
          <w14:textFill>
            <w14:solidFill>
              <w14:schemeClr w14:val="tx1"/>
            </w14:solidFill>
          </w14:textFill>
        </w:rPr>
        <w:t>021</w:t>
      </w:r>
      <w:r>
        <w:rPr>
          <w:rFonts w:hint="eastAsia" w:ascii="宋体" w:hAnsi="宋体" w:cs="宋体"/>
          <w:color w:val="000000" w:themeColor="text1"/>
          <w:sz w:val="24"/>
          <w:szCs w:val="24"/>
          <w14:textFill>
            <w14:solidFill>
              <w14:schemeClr w14:val="tx1"/>
            </w14:solidFill>
          </w14:textFill>
        </w:rPr>
        <w:t>年1</w:t>
      </w:r>
      <w:r>
        <w:rPr>
          <w:rFonts w:ascii="宋体" w:hAnsi="宋体" w:cs="宋体"/>
          <w:color w:val="000000" w:themeColor="text1"/>
          <w:sz w:val="24"/>
          <w:szCs w:val="24"/>
          <w14:textFill>
            <w14:solidFill>
              <w14:schemeClr w14:val="tx1"/>
            </w14:solidFill>
          </w14:textFill>
        </w:rPr>
        <w:t>0</w:t>
      </w:r>
      <w:r>
        <w:rPr>
          <w:rFonts w:hint="eastAsia" w:ascii="宋体" w:hAnsi="宋体" w:cs="宋体"/>
          <w:color w:val="000000" w:themeColor="text1"/>
          <w:sz w:val="24"/>
          <w:szCs w:val="24"/>
          <w14:textFill>
            <w14:solidFill>
              <w14:schemeClr w14:val="tx1"/>
            </w14:solidFill>
          </w14:textFill>
        </w:rPr>
        <w:t>月2</w:t>
      </w:r>
      <w:r>
        <w:rPr>
          <w:rFonts w:ascii="宋体" w:hAnsi="宋体" w:cs="宋体"/>
          <w:color w:val="000000" w:themeColor="text1"/>
          <w:sz w:val="24"/>
          <w:szCs w:val="24"/>
          <w14:textFill>
            <w14:solidFill>
              <w14:schemeClr w14:val="tx1"/>
            </w14:solidFill>
          </w14:textFill>
        </w:rPr>
        <w:t>1</w:t>
      </w:r>
      <w:r>
        <w:rPr>
          <w:rFonts w:hint="eastAsia" w:ascii="宋体" w:hAnsi="宋体" w:cs="宋体"/>
          <w:color w:val="000000" w:themeColor="text1"/>
          <w:sz w:val="24"/>
          <w:szCs w:val="24"/>
          <w14:textFill>
            <w14:solidFill>
              <w14:schemeClr w14:val="tx1"/>
            </w14:solidFill>
          </w14:textFill>
        </w:rPr>
        <w:t>日；</w:t>
      </w:r>
    </w:p>
    <w:p w14:paraId="09E0F5CA">
      <w:pPr>
        <w:spacing w:line="500" w:lineRule="exact"/>
        <w:ind w:firstLine="480" w:firstLineChars="200"/>
        <w:rPr>
          <w:rFonts w:hint="eastAsia"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（22）《关于发布〈一般工业固体废物管理台账制定指南（试行）〉的公告》（生态环境部公告</w:t>
      </w:r>
      <w:r>
        <w:rPr>
          <w:rFonts w:ascii="宋体" w:hAnsi="宋体" w:cs="宋体"/>
          <w:color w:val="000000" w:themeColor="text1"/>
          <w:sz w:val="24"/>
          <w:szCs w:val="24"/>
          <w14:textFill>
            <w14:solidFill>
              <w14:schemeClr w14:val="tx1"/>
            </w14:solidFill>
          </w14:textFill>
        </w:rPr>
        <w:t>2021</w:t>
      </w:r>
      <w:r>
        <w:rPr>
          <w:rFonts w:hint="eastAsia" w:ascii="宋体" w:hAnsi="宋体" w:cs="宋体"/>
          <w:color w:val="000000" w:themeColor="text1"/>
          <w:sz w:val="24"/>
          <w:szCs w:val="24"/>
          <w14:textFill>
            <w14:solidFill>
              <w14:schemeClr w14:val="tx1"/>
            </w14:solidFill>
          </w14:textFill>
        </w:rPr>
        <w:t>年第8</w:t>
      </w:r>
      <w:r>
        <w:rPr>
          <w:rFonts w:ascii="宋体" w:hAnsi="宋体" w:cs="宋体"/>
          <w:color w:val="000000" w:themeColor="text1"/>
          <w:sz w:val="24"/>
          <w:szCs w:val="24"/>
          <w14:textFill>
            <w14:solidFill>
              <w14:schemeClr w14:val="tx1"/>
            </w14:solidFill>
          </w14:textFill>
        </w:rPr>
        <w:t>2</w:t>
      </w:r>
      <w:r>
        <w:rPr>
          <w:rFonts w:hint="eastAsia" w:ascii="宋体" w:hAnsi="宋体" w:cs="宋体"/>
          <w:color w:val="000000" w:themeColor="text1"/>
          <w:sz w:val="24"/>
          <w:szCs w:val="24"/>
          <w14:textFill>
            <w14:solidFill>
              <w14:schemeClr w14:val="tx1"/>
            </w14:solidFill>
          </w14:textFill>
        </w:rPr>
        <w:t>号），2</w:t>
      </w:r>
      <w:r>
        <w:rPr>
          <w:rFonts w:ascii="宋体" w:hAnsi="宋体" w:cs="宋体"/>
          <w:color w:val="000000" w:themeColor="text1"/>
          <w:sz w:val="24"/>
          <w:szCs w:val="24"/>
          <w14:textFill>
            <w14:solidFill>
              <w14:schemeClr w14:val="tx1"/>
            </w14:solidFill>
          </w14:textFill>
        </w:rPr>
        <w:t>021</w:t>
      </w:r>
      <w:r>
        <w:rPr>
          <w:rFonts w:hint="eastAsia" w:ascii="宋体" w:hAnsi="宋体" w:cs="宋体"/>
          <w:color w:val="000000" w:themeColor="text1"/>
          <w:sz w:val="24"/>
          <w:szCs w:val="24"/>
          <w14:textFill>
            <w14:solidFill>
              <w14:schemeClr w14:val="tx1"/>
            </w14:solidFill>
          </w14:textFill>
        </w:rPr>
        <w:t>年1</w:t>
      </w:r>
      <w:r>
        <w:rPr>
          <w:rFonts w:ascii="宋体" w:hAnsi="宋体" w:cs="宋体"/>
          <w:color w:val="000000" w:themeColor="text1"/>
          <w:sz w:val="24"/>
          <w:szCs w:val="24"/>
          <w14:textFill>
            <w14:solidFill>
              <w14:schemeClr w14:val="tx1"/>
            </w14:solidFill>
          </w14:textFill>
        </w:rPr>
        <w:t>2</w:t>
      </w:r>
      <w:r>
        <w:rPr>
          <w:rFonts w:hint="eastAsia" w:ascii="宋体" w:hAnsi="宋体" w:cs="宋体"/>
          <w:color w:val="000000" w:themeColor="text1"/>
          <w:sz w:val="24"/>
          <w:szCs w:val="24"/>
          <w14:textFill>
            <w14:solidFill>
              <w14:schemeClr w14:val="tx1"/>
            </w14:solidFill>
          </w14:textFill>
        </w:rPr>
        <w:t>月3</w:t>
      </w:r>
      <w:r>
        <w:rPr>
          <w:rFonts w:ascii="宋体" w:hAnsi="宋体" w:cs="宋体"/>
          <w:color w:val="000000" w:themeColor="text1"/>
          <w:sz w:val="24"/>
          <w:szCs w:val="24"/>
          <w14:textFill>
            <w14:solidFill>
              <w14:schemeClr w14:val="tx1"/>
            </w14:solidFill>
          </w14:textFill>
        </w:rPr>
        <w:t>1</w:t>
      </w:r>
      <w:r>
        <w:rPr>
          <w:rFonts w:hint="eastAsia" w:ascii="宋体" w:hAnsi="宋体" w:cs="宋体"/>
          <w:color w:val="000000" w:themeColor="text1"/>
          <w:sz w:val="24"/>
          <w:szCs w:val="24"/>
          <w14:textFill>
            <w14:solidFill>
              <w14:schemeClr w14:val="tx1"/>
            </w14:solidFill>
          </w14:textFill>
        </w:rPr>
        <w:t>日；</w:t>
      </w:r>
    </w:p>
    <w:p w14:paraId="16420134">
      <w:pPr>
        <w:spacing w:line="500" w:lineRule="exact"/>
        <w:ind w:firstLine="480" w:firstLineChars="200"/>
        <w:rPr>
          <w:rFonts w:hint="eastAsia"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（23）《危险废物环境管理指南 陆上石油天然气开采》，生态环境部公告，2</w:t>
      </w:r>
      <w:r>
        <w:rPr>
          <w:rFonts w:ascii="宋体" w:hAnsi="宋体" w:cs="宋体"/>
          <w:color w:val="000000" w:themeColor="text1"/>
          <w:sz w:val="24"/>
          <w:szCs w:val="24"/>
          <w14:textFill>
            <w14:solidFill>
              <w14:schemeClr w14:val="tx1"/>
            </w14:solidFill>
          </w14:textFill>
        </w:rPr>
        <w:t>021</w:t>
      </w:r>
      <w:r>
        <w:rPr>
          <w:rFonts w:hint="eastAsia" w:ascii="宋体" w:hAnsi="宋体" w:cs="宋体"/>
          <w:color w:val="000000" w:themeColor="text1"/>
          <w:sz w:val="24"/>
          <w:szCs w:val="24"/>
          <w14:textFill>
            <w14:solidFill>
              <w14:schemeClr w14:val="tx1"/>
            </w14:solidFill>
          </w14:textFill>
        </w:rPr>
        <w:t>年第7</w:t>
      </w:r>
      <w:r>
        <w:rPr>
          <w:rFonts w:ascii="宋体" w:hAnsi="宋体" w:cs="宋体"/>
          <w:color w:val="000000" w:themeColor="text1"/>
          <w:sz w:val="24"/>
          <w:szCs w:val="24"/>
          <w14:textFill>
            <w14:solidFill>
              <w14:schemeClr w14:val="tx1"/>
            </w14:solidFill>
          </w14:textFill>
        </w:rPr>
        <w:t>4</w:t>
      </w:r>
      <w:r>
        <w:rPr>
          <w:rFonts w:hint="eastAsia" w:ascii="宋体" w:hAnsi="宋体" w:cs="宋体"/>
          <w:color w:val="000000" w:themeColor="text1"/>
          <w:sz w:val="24"/>
          <w:szCs w:val="24"/>
          <w14:textFill>
            <w14:solidFill>
              <w14:schemeClr w14:val="tx1"/>
            </w14:solidFill>
          </w14:textFill>
        </w:rPr>
        <w:t>号，2</w:t>
      </w:r>
      <w:r>
        <w:rPr>
          <w:rFonts w:ascii="宋体" w:hAnsi="宋体" w:cs="宋体"/>
          <w:color w:val="000000" w:themeColor="text1"/>
          <w:sz w:val="24"/>
          <w:szCs w:val="24"/>
          <w14:textFill>
            <w14:solidFill>
              <w14:schemeClr w14:val="tx1"/>
            </w14:solidFill>
          </w14:textFill>
        </w:rPr>
        <w:t>021</w:t>
      </w:r>
      <w:r>
        <w:rPr>
          <w:rFonts w:hint="eastAsia" w:ascii="宋体" w:hAnsi="宋体" w:cs="宋体"/>
          <w:color w:val="000000" w:themeColor="text1"/>
          <w:sz w:val="24"/>
          <w:szCs w:val="24"/>
          <w14:textFill>
            <w14:solidFill>
              <w14:schemeClr w14:val="tx1"/>
            </w14:solidFill>
          </w14:textFill>
        </w:rPr>
        <w:t>年1</w:t>
      </w:r>
      <w:r>
        <w:rPr>
          <w:rFonts w:ascii="宋体" w:hAnsi="宋体" w:cs="宋体"/>
          <w:color w:val="000000" w:themeColor="text1"/>
          <w:sz w:val="24"/>
          <w:szCs w:val="24"/>
          <w14:textFill>
            <w14:solidFill>
              <w14:schemeClr w14:val="tx1"/>
            </w14:solidFill>
          </w14:textFill>
        </w:rPr>
        <w:t>2</w:t>
      </w:r>
      <w:r>
        <w:rPr>
          <w:rFonts w:hint="eastAsia" w:ascii="宋体" w:hAnsi="宋体" w:cs="宋体"/>
          <w:color w:val="000000" w:themeColor="text1"/>
          <w:sz w:val="24"/>
          <w:szCs w:val="24"/>
          <w14:textFill>
            <w14:solidFill>
              <w14:schemeClr w14:val="tx1"/>
            </w14:solidFill>
          </w14:textFill>
        </w:rPr>
        <w:t>月2</w:t>
      </w:r>
      <w:r>
        <w:rPr>
          <w:rFonts w:ascii="宋体" w:hAnsi="宋体" w:cs="宋体"/>
          <w:color w:val="000000" w:themeColor="text1"/>
          <w:sz w:val="24"/>
          <w:szCs w:val="24"/>
          <w14:textFill>
            <w14:solidFill>
              <w14:schemeClr w14:val="tx1"/>
            </w14:solidFill>
          </w14:textFill>
        </w:rPr>
        <w:t>2</w:t>
      </w:r>
      <w:r>
        <w:rPr>
          <w:rFonts w:hint="eastAsia" w:ascii="宋体" w:hAnsi="宋体" w:cs="宋体"/>
          <w:color w:val="000000" w:themeColor="text1"/>
          <w:sz w:val="24"/>
          <w:szCs w:val="24"/>
          <w14:textFill>
            <w14:solidFill>
              <w14:schemeClr w14:val="tx1"/>
            </w14:solidFill>
          </w14:textFill>
        </w:rPr>
        <w:t>日；</w:t>
      </w:r>
    </w:p>
    <w:p w14:paraId="7D34F1EB">
      <w:pPr>
        <w:spacing w:line="500" w:lineRule="exact"/>
        <w:ind w:firstLine="480" w:firstLineChars="200"/>
        <w:rPr>
          <w:rFonts w:hint="eastAsia"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（24）《中国石油天然气生产企业温室气体排放核算方法与报告指南（试行）》，发改办气候〔2014〕2920号，2014年12月03日；</w:t>
      </w:r>
    </w:p>
    <w:p w14:paraId="7331AFE4">
      <w:pPr>
        <w:spacing w:line="500" w:lineRule="exact"/>
        <w:ind w:firstLine="480" w:firstLineChars="200"/>
        <w:rPr>
          <w:rFonts w:hint="eastAsia"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（25）《石油天然气开采企业二氧化碳排放计算方法》，2017年05月01日；</w:t>
      </w:r>
    </w:p>
    <w:p w14:paraId="5435B0D8">
      <w:pPr>
        <w:spacing w:line="500" w:lineRule="exact"/>
        <w:ind w:firstLine="480" w:firstLineChars="200"/>
        <w:rPr>
          <w:rFonts w:hint="eastAsia" w:ascii="宋体" w:hAnsi="宋体" w:cs="宋体"/>
          <w:color w:val="000000" w:themeColor="text1"/>
          <w:sz w:val="24"/>
          <w:szCs w:val="24"/>
          <w14:textFill>
            <w14:solidFill>
              <w14:schemeClr w14:val="tx1"/>
            </w14:solidFill>
          </w14:textFill>
        </w:rPr>
      </w:pPr>
      <w:bookmarkStart w:id="58" w:name="OLE_LINK124"/>
      <w:r>
        <w:rPr>
          <w:rFonts w:hint="eastAsia" w:ascii="宋体" w:hAnsi="宋体" w:cs="宋体"/>
          <w:color w:val="000000" w:themeColor="text1"/>
          <w:sz w:val="24"/>
          <w:szCs w:val="24"/>
          <w14:textFill>
            <w14:solidFill>
              <w14:schemeClr w14:val="tx1"/>
            </w14:solidFill>
          </w14:textFill>
        </w:rPr>
        <w:t>（26）</w:t>
      </w:r>
      <w:bookmarkStart w:id="59" w:name="_Hlk173401710"/>
      <w:r>
        <w:rPr>
          <w:rFonts w:hint="eastAsia" w:ascii="宋体" w:hAnsi="宋体" w:cs="宋体"/>
          <w:color w:val="000000" w:themeColor="text1"/>
          <w:sz w:val="24"/>
          <w:szCs w:val="24"/>
          <w14:textFill>
            <w14:solidFill>
              <w14:schemeClr w14:val="tx1"/>
            </w14:solidFill>
          </w14:textFill>
        </w:rPr>
        <w:t>《关于发布〈固体废物分类与代码目录〉的公告》</w:t>
      </w:r>
      <w:bookmarkEnd w:id="59"/>
      <w:r>
        <w:rPr>
          <w:rFonts w:hint="eastAsia" w:ascii="宋体" w:hAnsi="宋体" w:cs="宋体"/>
          <w:color w:val="000000" w:themeColor="text1"/>
          <w:sz w:val="24"/>
          <w:szCs w:val="24"/>
          <w14:textFill>
            <w14:solidFill>
              <w14:schemeClr w14:val="tx1"/>
            </w14:solidFill>
          </w14:textFill>
        </w:rPr>
        <w:t>，生态环境部公告2024年第4号，2024年01月22日；</w:t>
      </w:r>
    </w:p>
    <w:p w14:paraId="2ACE216A">
      <w:pPr>
        <w:spacing w:line="500" w:lineRule="exact"/>
        <w:ind w:firstLine="480" w:firstLineChars="200"/>
        <w:rPr>
          <w:rFonts w:hint="eastAsia"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kern w:val="0"/>
          <w:sz w:val="24"/>
          <w:szCs w:val="24"/>
          <w14:textFill>
            <w14:solidFill>
              <w14:schemeClr w14:val="tx1"/>
            </w14:solidFill>
          </w14:textFill>
        </w:rPr>
        <w:t>（27）《关于印发〈固体废物污染环境防治信息发布指南〉的通知》（环办固体</w:t>
      </w:r>
      <w:r>
        <w:rPr>
          <w:rFonts w:hint="eastAsia" w:ascii="宋体" w:hAnsi="宋体" w:cs="宋体"/>
          <w:color w:val="000000" w:themeColor="text1"/>
          <w:sz w:val="24"/>
          <w:szCs w:val="24"/>
          <w14:textFill>
            <w14:solidFill>
              <w14:schemeClr w14:val="tx1"/>
            </w14:solidFill>
          </w14:textFill>
        </w:rPr>
        <w:t>函〔2024〕37号），2024年02月04日；</w:t>
      </w:r>
    </w:p>
    <w:p w14:paraId="40E4BC45">
      <w:pPr>
        <w:spacing w:line="500" w:lineRule="exact"/>
        <w:ind w:firstLine="480" w:firstLineChars="200"/>
        <w:rPr>
          <w:color w:val="000000" w:themeColor="text1"/>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（28）</w:t>
      </w:r>
      <w:bookmarkStart w:id="60" w:name="_Hlk173401873"/>
      <w:r>
        <w:rPr>
          <w:rFonts w:hint="eastAsia" w:ascii="宋体" w:hAnsi="宋体" w:cs="宋体"/>
          <w:color w:val="000000" w:themeColor="text1"/>
          <w:sz w:val="24"/>
          <w:szCs w:val="24"/>
          <w14:textFill>
            <w14:solidFill>
              <w14:schemeClr w14:val="tx1"/>
            </w14:solidFill>
          </w14:textFill>
        </w:rPr>
        <w:t>《空气质量持续改善行动计划》</w:t>
      </w:r>
      <w:bookmarkEnd w:id="60"/>
      <w:r>
        <w:rPr>
          <w:rFonts w:hint="eastAsia" w:ascii="宋体" w:hAnsi="宋体" w:cs="宋体"/>
          <w:color w:val="000000" w:themeColor="text1"/>
          <w:sz w:val="24"/>
          <w:szCs w:val="24"/>
          <w14:textFill>
            <w14:solidFill>
              <w14:schemeClr w14:val="tx1"/>
            </w14:solidFill>
          </w14:textFill>
        </w:rPr>
        <w:t>，国发〔2023〕24号，2023年12月07日。</w:t>
      </w:r>
    </w:p>
    <w:bookmarkEnd w:id="56"/>
    <w:bookmarkEnd w:id="58"/>
    <w:p w14:paraId="221777F6">
      <w:pPr>
        <w:pStyle w:val="4"/>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地方有关</w:t>
      </w:r>
      <w:bookmarkStart w:id="61" w:name="_Hlk40731711"/>
      <w:r>
        <w:rPr>
          <w:rFonts w:hint="eastAsia"/>
          <w:color w:val="000000" w:themeColor="text1"/>
          <w14:textFill>
            <w14:solidFill>
              <w14:schemeClr w14:val="tx1"/>
            </w14:solidFill>
          </w14:textFill>
        </w:rPr>
        <w:t>环保法规</w:t>
      </w:r>
    </w:p>
    <w:bookmarkEnd w:id="48"/>
    <w:bookmarkEnd w:id="61"/>
    <w:p w14:paraId="7961EA7C">
      <w:pPr>
        <w:pStyle w:val="117"/>
        <w:ind w:firstLine="480"/>
        <w:rPr>
          <w:rFonts w:hint="eastAsia"/>
          <w:color w:val="000000" w:themeColor="text1"/>
          <w:lang w:val="zh-CN"/>
          <w14:textFill>
            <w14:solidFill>
              <w14:schemeClr w14:val="tx1"/>
            </w14:solidFill>
          </w14:textFill>
        </w:rPr>
      </w:pPr>
      <w:bookmarkStart w:id="62" w:name="_Toc445841959"/>
      <w:bookmarkStart w:id="63" w:name="_Toc445996322"/>
      <w:bookmarkStart w:id="64" w:name="_Toc10413"/>
      <w:r>
        <w:rPr>
          <w:rFonts w:hint="eastAsia"/>
          <w:color w:val="000000" w:themeColor="text1"/>
          <w:lang w:val="zh-CN"/>
          <w14:textFill>
            <w14:solidFill>
              <w14:schemeClr w14:val="tx1"/>
            </w14:solidFill>
          </w14:textFill>
        </w:rPr>
        <w:t>（</w:t>
      </w:r>
      <w:r>
        <w:rPr>
          <w:rFonts w:hint="eastAsia"/>
          <w:color w:val="000000" w:themeColor="text1"/>
          <w14:textFill>
            <w14:solidFill>
              <w14:schemeClr w14:val="tx1"/>
            </w14:solidFill>
          </w14:textFill>
        </w:rPr>
        <w:t>1</w:t>
      </w:r>
      <w:r>
        <w:rPr>
          <w:rFonts w:hint="eastAsia"/>
          <w:color w:val="000000" w:themeColor="text1"/>
          <w:lang w:val="zh-CN"/>
          <w14:textFill>
            <w14:solidFill>
              <w14:schemeClr w14:val="tx1"/>
            </w14:solidFill>
          </w14:textFill>
        </w:rPr>
        <w:t>）《新疆维吾尔自治区环境保护条例》（修订），2018年9月21日；</w:t>
      </w:r>
    </w:p>
    <w:p w14:paraId="3C6D9A3F">
      <w:pPr>
        <w:pStyle w:val="117"/>
        <w:ind w:firstLine="480"/>
        <w:rPr>
          <w:rFonts w:hint="eastAsia"/>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w:t>
      </w:r>
      <w:r>
        <w:rPr>
          <w:rFonts w:hint="eastAsia"/>
          <w:color w:val="000000" w:themeColor="text1"/>
          <w14:textFill>
            <w14:solidFill>
              <w14:schemeClr w14:val="tx1"/>
            </w14:solidFill>
          </w14:textFill>
        </w:rPr>
        <w:t>2</w:t>
      </w:r>
      <w:r>
        <w:rPr>
          <w:rFonts w:hint="eastAsia"/>
          <w:color w:val="000000" w:themeColor="text1"/>
          <w:lang w:val="zh-CN"/>
          <w14:textFill>
            <w14:solidFill>
              <w14:schemeClr w14:val="tx1"/>
            </w14:solidFill>
          </w14:textFill>
        </w:rPr>
        <w:t>）《新疆维吾尔自治区大气污染防治条例》，2019年01月01日；</w:t>
      </w:r>
    </w:p>
    <w:p w14:paraId="53C33ED3">
      <w:pPr>
        <w:pStyle w:val="117"/>
        <w:ind w:firstLine="480"/>
        <w:rPr>
          <w:rFonts w:hint="eastAsia"/>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（3）《新疆生态功能区划》，2005年07月14日；</w:t>
      </w:r>
    </w:p>
    <w:p w14:paraId="044DF9A0">
      <w:pPr>
        <w:pStyle w:val="117"/>
        <w:ind w:firstLine="480"/>
        <w:rPr>
          <w:rFonts w:hint="eastAsia"/>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w:t>
      </w:r>
      <w:r>
        <w:rPr>
          <w:rFonts w:hint="eastAsia"/>
          <w:color w:val="000000" w:themeColor="text1"/>
          <w14:textFill>
            <w14:solidFill>
              <w14:schemeClr w14:val="tx1"/>
            </w14:solidFill>
          </w14:textFill>
        </w:rPr>
        <w:t>4</w:t>
      </w:r>
      <w:r>
        <w:rPr>
          <w:rFonts w:hint="eastAsia"/>
          <w:color w:val="000000" w:themeColor="text1"/>
          <w:lang w:val="zh-CN"/>
          <w14:textFill>
            <w14:solidFill>
              <w14:schemeClr w14:val="tx1"/>
            </w14:solidFill>
          </w14:textFill>
        </w:rPr>
        <w:t>）《新疆维吾尔自治区水环境功能区划》，2002年12月。</w:t>
      </w:r>
    </w:p>
    <w:p w14:paraId="3E6E21DA">
      <w:pPr>
        <w:pStyle w:val="117"/>
        <w:ind w:firstLine="480"/>
        <w:rPr>
          <w:rFonts w:hint="eastAsia"/>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w:t>
      </w:r>
      <w:r>
        <w:rPr>
          <w:rFonts w:hint="eastAsia"/>
          <w:color w:val="000000" w:themeColor="text1"/>
          <w14:textFill>
            <w14:solidFill>
              <w14:schemeClr w14:val="tx1"/>
            </w14:solidFill>
          </w14:textFill>
        </w:rPr>
        <w:t>5</w:t>
      </w:r>
      <w:r>
        <w:rPr>
          <w:rFonts w:hint="eastAsia"/>
          <w:color w:val="000000" w:themeColor="text1"/>
          <w:lang w:val="zh-CN"/>
          <w14:textFill>
            <w14:solidFill>
              <w14:schemeClr w14:val="tx1"/>
            </w14:solidFill>
          </w14:textFill>
        </w:rPr>
        <w:t>）《新疆维吾尔自治区野生植物保护条例（2018年修正）》，2018年9月21日；</w:t>
      </w:r>
    </w:p>
    <w:p w14:paraId="221580EA">
      <w:pPr>
        <w:pStyle w:val="117"/>
        <w:ind w:firstLine="480"/>
        <w:rPr>
          <w:rFonts w:hint="eastAsia"/>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w:t>
      </w:r>
      <w:r>
        <w:rPr>
          <w:rFonts w:hint="eastAsia"/>
          <w:color w:val="000000" w:themeColor="text1"/>
          <w14:textFill>
            <w14:solidFill>
              <w14:schemeClr w14:val="tx1"/>
            </w14:solidFill>
          </w14:textFill>
        </w:rPr>
        <w:t>6</w:t>
      </w:r>
      <w:r>
        <w:rPr>
          <w:rFonts w:hint="eastAsia"/>
          <w:color w:val="000000" w:themeColor="text1"/>
          <w:lang w:val="zh-CN"/>
          <w14:textFill>
            <w14:solidFill>
              <w14:schemeClr w14:val="tx1"/>
            </w14:solidFill>
          </w14:textFill>
        </w:rPr>
        <w:t>）</w:t>
      </w:r>
      <w:bookmarkStart w:id="65" w:name="_Hlk92217239"/>
      <w:r>
        <w:rPr>
          <w:rFonts w:hint="eastAsia"/>
          <w:color w:val="000000" w:themeColor="text1"/>
          <w:lang w:val="zh-CN"/>
          <w14:textFill>
            <w14:solidFill>
              <w14:schemeClr w14:val="tx1"/>
            </w14:solidFill>
          </w14:textFill>
        </w:rPr>
        <w:t>《</w:t>
      </w:r>
      <w:r>
        <w:rPr>
          <w:color w:val="000000" w:themeColor="text1"/>
          <w:lang w:val="zh-CN"/>
          <w14:textFill>
            <w14:solidFill>
              <w14:schemeClr w14:val="tx1"/>
            </w14:solidFill>
          </w14:textFill>
        </w:rPr>
        <w:t>转发</w:t>
      </w:r>
      <w:r>
        <w:rPr>
          <w:rFonts w:hint="eastAsia"/>
          <w:color w:val="000000" w:themeColor="text1"/>
          <w:lang w:val="zh-CN"/>
          <w14:textFill>
            <w14:solidFill>
              <w14:schemeClr w14:val="tx1"/>
            </w14:solidFill>
          </w14:textFill>
        </w:rPr>
        <w:t>〈</w:t>
      </w:r>
      <w:r>
        <w:rPr>
          <w:color w:val="000000" w:themeColor="text1"/>
          <w:lang w:val="zh-CN"/>
          <w14:textFill>
            <w14:solidFill>
              <w14:schemeClr w14:val="tx1"/>
            </w14:solidFill>
          </w14:textFill>
        </w:rPr>
        <w:t>关于进一步加强石油天然气行业环境影响评价的通知</w:t>
      </w:r>
      <w:r>
        <w:rPr>
          <w:rFonts w:hint="eastAsia"/>
          <w:color w:val="000000" w:themeColor="text1"/>
          <w:lang w:val="zh-CN"/>
          <w14:textFill>
            <w14:solidFill>
              <w14:schemeClr w14:val="tx1"/>
            </w14:solidFill>
          </w14:textFill>
        </w:rPr>
        <w:t>〉</w:t>
      </w:r>
      <w:r>
        <w:rPr>
          <w:color w:val="000000" w:themeColor="text1"/>
          <w:lang w:val="zh-CN"/>
          <w14:textFill>
            <w14:solidFill>
              <w14:schemeClr w14:val="tx1"/>
            </w14:solidFill>
          </w14:textFill>
        </w:rPr>
        <w:t>的通知</w:t>
      </w:r>
      <w:r>
        <w:rPr>
          <w:rFonts w:hint="eastAsia"/>
          <w:color w:val="000000" w:themeColor="text1"/>
          <w:lang w:val="zh-CN"/>
          <w14:textFill>
            <w14:solidFill>
              <w14:schemeClr w14:val="tx1"/>
            </w14:solidFill>
          </w14:textFill>
        </w:rPr>
        <w:t>》（</w:t>
      </w:r>
      <w:r>
        <w:rPr>
          <w:color w:val="000000" w:themeColor="text1"/>
          <w:lang w:val="zh-CN"/>
          <w14:textFill>
            <w14:solidFill>
              <w14:schemeClr w14:val="tx1"/>
            </w14:solidFill>
          </w14:textFill>
        </w:rPr>
        <w:t>新环环评发〔2020〕142号</w:t>
      </w:r>
      <w:r>
        <w:rPr>
          <w:rFonts w:hint="eastAsia"/>
          <w:color w:val="000000" w:themeColor="text1"/>
          <w:lang w:val="zh-CN"/>
          <w14:textFill>
            <w14:solidFill>
              <w14:schemeClr w14:val="tx1"/>
            </w14:solidFill>
          </w14:textFill>
        </w:rPr>
        <w:t>），2020年07月30日；</w:t>
      </w:r>
    </w:p>
    <w:bookmarkEnd w:id="65"/>
    <w:p w14:paraId="2DFF46E2">
      <w:pPr>
        <w:pStyle w:val="117"/>
        <w:ind w:firstLine="480"/>
        <w:rPr>
          <w:rFonts w:hint="eastAsia"/>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w:t>
      </w:r>
      <w:r>
        <w:rPr>
          <w:rFonts w:hint="eastAsia"/>
          <w:color w:val="000000" w:themeColor="text1"/>
          <w14:textFill>
            <w14:solidFill>
              <w14:schemeClr w14:val="tx1"/>
            </w14:solidFill>
          </w14:textFill>
        </w:rPr>
        <w:t>7</w:t>
      </w:r>
      <w:r>
        <w:rPr>
          <w:rFonts w:hint="eastAsia"/>
          <w:color w:val="000000" w:themeColor="text1"/>
          <w:lang w:val="zh-CN"/>
          <w14:textFill>
            <w14:solidFill>
              <w14:schemeClr w14:val="tx1"/>
            </w14:solidFill>
          </w14:textFill>
        </w:rPr>
        <w:t>）</w:t>
      </w:r>
      <w:r>
        <w:rPr>
          <w:color w:val="000000" w:themeColor="text1"/>
          <w:lang w:val="zh-CN"/>
          <w14:textFill>
            <w14:solidFill>
              <w14:schemeClr w14:val="tx1"/>
            </w14:solidFill>
          </w14:textFill>
        </w:rPr>
        <w:t>《新疆维吾尔自治区水土保持规划（2018-2030年）》，2018年</w:t>
      </w:r>
      <w:r>
        <w:rPr>
          <w:rFonts w:hint="eastAsia"/>
          <w:color w:val="000000" w:themeColor="text1"/>
          <w:lang w:val="zh-CN"/>
          <w14:textFill>
            <w14:solidFill>
              <w14:schemeClr w14:val="tx1"/>
            </w14:solidFill>
          </w14:textFill>
        </w:rPr>
        <w:t>0</w:t>
      </w:r>
      <w:r>
        <w:rPr>
          <w:color w:val="000000" w:themeColor="text1"/>
          <w:lang w:val="zh-CN"/>
          <w14:textFill>
            <w14:solidFill>
              <w14:schemeClr w14:val="tx1"/>
            </w14:solidFill>
          </w14:textFill>
        </w:rPr>
        <w:t>8月；</w:t>
      </w:r>
      <w:r>
        <w:rPr>
          <w:rFonts w:hint="eastAsia"/>
          <w:color w:val="000000" w:themeColor="text1"/>
          <w:lang w:val="zh-CN"/>
          <w14:textFill>
            <w14:solidFill>
              <w14:schemeClr w14:val="tx1"/>
            </w14:solidFill>
          </w14:textFill>
        </w:rPr>
        <w:t xml:space="preserve"> </w:t>
      </w:r>
    </w:p>
    <w:p w14:paraId="354F1695">
      <w:pPr>
        <w:pStyle w:val="117"/>
        <w:ind w:firstLine="480"/>
        <w:rPr>
          <w:rFonts w:hint="eastAsia"/>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w:t>
      </w:r>
      <w:r>
        <w:rPr>
          <w:rFonts w:hint="eastAsia"/>
          <w:color w:val="000000" w:themeColor="text1"/>
          <w14:textFill>
            <w14:solidFill>
              <w14:schemeClr w14:val="tx1"/>
            </w14:solidFill>
          </w14:textFill>
        </w:rPr>
        <w:t>8</w:t>
      </w:r>
      <w:r>
        <w:rPr>
          <w:rFonts w:hint="eastAsia"/>
          <w:color w:val="000000" w:themeColor="text1"/>
          <w:lang w:val="zh-CN"/>
          <w14:textFill>
            <w14:solidFill>
              <w14:schemeClr w14:val="tx1"/>
            </w14:solidFill>
          </w14:textFill>
        </w:rPr>
        <w:t>）《关于加强沙区建设项目环境影响评价工作的通知》（新环环评发〔2</w:t>
      </w:r>
      <w:r>
        <w:rPr>
          <w:color w:val="000000" w:themeColor="text1"/>
          <w:lang w:val="zh-CN"/>
          <w14:textFill>
            <w14:solidFill>
              <w14:schemeClr w14:val="tx1"/>
            </w14:solidFill>
          </w14:textFill>
        </w:rPr>
        <w:t>020</w:t>
      </w:r>
      <w:r>
        <w:rPr>
          <w:rFonts w:hint="eastAsia"/>
          <w:color w:val="000000" w:themeColor="text1"/>
          <w:lang w:val="zh-CN"/>
          <w14:textFill>
            <w14:solidFill>
              <w14:schemeClr w14:val="tx1"/>
            </w14:solidFill>
          </w14:textFill>
        </w:rPr>
        <w:t>〕1</w:t>
      </w:r>
      <w:r>
        <w:rPr>
          <w:color w:val="000000" w:themeColor="text1"/>
          <w:lang w:val="zh-CN"/>
          <w14:textFill>
            <w14:solidFill>
              <w14:schemeClr w14:val="tx1"/>
            </w14:solidFill>
          </w14:textFill>
        </w:rPr>
        <w:t>38</w:t>
      </w:r>
      <w:r>
        <w:rPr>
          <w:rFonts w:hint="eastAsia"/>
          <w:color w:val="000000" w:themeColor="text1"/>
          <w:lang w:val="zh-CN"/>
          <w14:textFill>
            <w14:solidFill>
              <w14:schemeClr w14:val="tx1"/>
            </w14:solidFill>
          </w14:textFill>
        </w:rPr>
        <w:t>号），2020年09月04日；</w:t>
      </w:r>
    </w:p>
    <w:p w14:paraId="36221ABC">
      <w:pPr>
        <w:pStyle w:val="117"/>
        <w:ind w:firstLine="480"/>
        <w:rPr>
          <w:rFonts w:hint="eastAsia"/>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w:t>
      </w:r>
      <w:r>
        <w:rPr>
          <w:rFonts w:hint="eastAsia"/>
          <w:color w:val="000000" w:themeColor="text1"/>
          <w14:textFill>
            <w14:solidFill>
              <w14:schemeClr w14:val="tx1"/>
            </w14:solidFill>
          </w14:textFill>
        </w:rPr>
        <w:t>9</w:t>
      </w:r>
      <w:r>
        <w:rPr>
          <w:rFonts w:hint="eastAsia"/>
          <w:color w:val="000000" w:themeColor="text1"/>
          <w:lang w:val="zh-CN"/>
          <w14:textFill>
            <w14:solidFill>
              <w14:schemeClr w14:val="tx1"/>
            </w14:solidFill>
          </w14:textFill>
        </w:rPr>
        <w:t>）</w:t>
      </w:r>
      <w:r>
        <w:rPr>
          <w:color w:val="000000" w:themeColor="text1"/>
          <w:lang w:val="zh-CN"/>
          <w14:textFill>
            <w14:solidFill>
              <w14:schemeClr w14:val="tx1"/>
            </w14:solidFill>
          </w14:textFill>
        </w:rPr>
        <w:t>《新疆</w:t>
      </w:r>
      <w:r>
        <w:rPr>
          <w:rFonts w:hint="eastAsia"/>
          <w:color w:val="000000" w:themeColor="text1"/>
          <w:lang w:val="zh-CN"/>
          <w14:textFill>
            <w14:solidFill>
              <w14:schemeClr w14:val="tx1"/>
            </w14:solidFill>
          </w14:textFill>
        </w:rPr>
        <w:t>维吾尔自治区</w:t>
      </w:r>
      <w:r>
        <w:rPr>
          <w:color w:val="000000" w:themeColor="text1"/>
          <w:lang w:val="zh-CN"/>
          <w14:textFill>
            <w14:solidFill>
              <w14:schemeClr w14:val="tx1"/>
            </w14:solidFill>
          </w14:textFill>
        </w:rPr>
        <w:t>国家重点保护野生动物名录</w:t>
      </w:r>
      <w:r>
        <w:rPr>
          <w:rFonts w:hint="eastAsia"/>
          <w:color w:val="000000" w:themeColor="text1"/>
          <w:lang w:val="zh-CN"/>
          <w14:textFill>
            <w14:solidFill>
              <w14:schemeClr w14:val="tx1"/>
            </w14:solidFill>
          </w14:textFill>
        </w:rPr>
        <w:t>（修订）</w:t>
      </w:r>
      <w:r>
        <w:rPr>
          <w:color w:val="000000" w:themeColor="text1"/>
          <w:lang w:val="zh-CN"/>
          <w14:textFill>
            <w14:solidFill>
              <w14:schemeClr w14:val="tx1"/>
            </w14:solidFill>
          </w14:textFill>
        </w:rPr>
        <w:t>》，2022年</w:t>
      </w:r>
      <w:r>
        <w:rPr>
          <w:rFonts w:hint="eastAsia"/>
          <w:color w:val="000000" w:themeColor="text1"/>
          <w:lang w:val="zh-CN"/>
          <w14:textFill>
            <w14:solidFill>
              <w14:schemeClr w14:val="tx1"/>
            </w14:solidFill>
          </w14:textFill>
        </w:rPr>
        <w:t>0</w:t>
      </w:r>
      <w:r>
        <w:rPr>
          <w:color w:val="000000" w:themeColor="text1"/>
          <w:lang w:val="zh-CN"/>
          <w14:textFill>
            <w14:solidFill>
              <w14:schemeClr w14:val="tx1"/>
            </w14:solidFill>
          </w14:textFill>
        </w:rPr>
        <w:t>9月21日</w:t>
      </w:r>
      <w:r>
        <w:rPr>
          <w:rFonts w:hint="eastAsia"/>
          <w:color w:val="000000" w:themeColor="text1"/>
          <w:lang w:val="zh-CN"/>
          <w14:textFill>
            <w14:solidFill>
              <w14:schemeClr w14:val="tx1"/>
            </w14:solidFill>
          </w14:textFill>
        </w:rPr>
        <w:t>；</w:t>
      </w:r>
    </w:p>
    <w:p w14:paraId="55687882">
      <w:pPr>
        <w:pStyle w:val="117"/>
        <w:ind w:firstLine="480"/>
        <w:rPr>
          <w:rFonts w:hint="eastAsia"/>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（1</w:t>
      </w:r>
      <w:r>
        <w:rPr>
          <w:rFonts w:hint="eastAsia"/>
          <w:color w:val="000000" w:themeColor="text1"/>
          <w14:textFill>
            <w14:solidFill>
              <w14:schemeClr w14:val="tx1"/>
            </w14:solidFill>
          </w14:textFill>
        </w:rPr>
        <w:t>0</w:t>
      </w:r>
      <w:r>
        <w:rPr>
          <w:rFonts w:hint="eastAsia"/>
          <w:color w:val="000000" w:themeColor="text1"/>
          <w:lang w:val="zh-CN"/>
          <w14:textFill>
            <w14:solidFill>
              <w14:schemeClr w14:val="tx1"/>
            </w14:solidFill>
          </w14:textFill>
        </w:rPr>
        <w:t>）《新疆维吾尔自治区重点保护野生植物名录》，2024年01月18日；</w:t>
      </w:r>
    </w:p>
    <w:p w14:paraId="23E407BE">
      <w:pPr>
        <w:pStyle w:val="117"/>
        <w:ind w:firstLine="480"/>
        <w:rPr>
          <w:rFonts w:hint="eastAsia"/>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（1</w:t>
      </w:r>
      <w:r>
        <w:rPr>
          <w:rFonts w:hint="eastAsia"/>
          <w:color w:val="000000" w:themeColor="text1"/>
          <w14:textFill>
            <w14:solidFill>
              <w14:schemeClr w14:val="tx1"/>
            </w14:solidFill>
          </w14:textFill>
        </w:rPr>
        <w:t>1</w:t>
      </w:r>
      <w:r>
        <w:rPr>
          <w:rFonts w:hint="eastAsia"/>
          <w:color w:val="000000" w:themeColor="text1"/>
          <w:lang w:val="zh-CN"/>
          <w14:textFill>
            <w14:solidFill>
              <w14:schemeClr w14:val="tx1"/>
            </w14:solidFill>
          </w14:textFill>
        </w:rPr>
        <w:t>）《新疆国家重点保护野生植物名录》，2</w:t>
      </w:r>
      <w:r>
        <w:rPr>
          <w:color w:val="000000" w:themeColor="text1"/>
          <w:lang w:val="zh-CN"/>
          <w14:textFill>
            <w14:solidFill>
              <w14:schemeClr w14:val="tx1"/>
            </w14:solidFill>
          </w14:textFill>
        </w:rPr>
        <w:t>022</w:t>
      </w:r>
      <w:r>
        <w:rPr>
          <w:rFonts w:hint="eastAsia"/>
          <w:color w:val="000000" w:themeColor="text1"/>
          <w:lang w:val="zh-CN"/>
          <w14:textFill>
            <w14:solidFill>
              <w14:schemeClr w14:val="tx1"/>
            </w14:solidFill>
          </w14:textFill>
        </w:rPr>
        <w:t>年0</w:t>
      </w:r>
      <w:r>
        <w:rPr>
          <w:color w:val="000000" w:themeColor="text1"/>
          <w:lang w:val="zh-CN"/>
          <w14:textFill>
            <w14:solidFill>
              <w14:schemeClr w14:val="tx1"/>
            </w14:solidFill>
          </w14:textFill>
        </w:rPr>
        <w:t>3</w:t>
      </w:r>
      <w:r>
        <w:rPr>
          <w:rFonts w:hint="eastAsia"/>
          <w:color w:val="000000" w:themeColor="text1"/>
          <w:lang w:val="zh-CN"/>
          <w14:textFill>
            <w14:solidFill>
              <w14:schemeClr w14:val="tx1"/>
            </w14:solidFill>
          </w14:textFill>
        </w:rPr>
        <w:t>月0</w:t>
      </w:r>
      <w:r>
        <w:rPr>
          <w:color w:val="000000" w:themeColor="text1"/>
          <w:lang w:val="zh-CN"/>
          <w14:textFill>
            <w14:solidFill>
              <w14:schemeClr w14:val="tx1"/>
            </w14:solidFill>
          </w14:textFill>
        </w:rPr>
        <w:t>8</w:t>
      </w:r>
      <w:r>
        <w:rPr>
          <w:rFonts w:hint="eastAsia"/>
          <w:color w:val="000000" w:themeColor="text1"/>
          <w:lang w:val="zh-CN"/>
          <w14:textFill>
            <w14:solidFill>
              <w14:schemeClr w14:val="tx1"/>
            </w14:solidFill>
          </w14:textFill>
        </w:rPr>
        <w:t>日；</w:t>
      </w:r>
    </w:p>
    <w:p w14:paraId="7E09C8CE">
      <w:pPr>
        <w:pStyle w:val="117"/>
        <w:ind w:firstLine="480"/>
        <w:rPr>
          <w:rFonts w:hint="eastAsia"/>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（1</w:t>
      </w:r>
      <w:r>
        <w:rPr>
          <w:rFonts w:hint="eastAsia"/>
          <w:color w:val="000000" w:themeColor="text1"/>
          <w14:textFill>
            <w14:solidFill>
              <w14:schemeClr w14:val="tx1"/>
            </w14:solidFill>
          </w14:textFill>
        </w:rPr>
        <w:t>2</w:t>
      </w:r>
      <w:r>
        <w:rPr>
          <w:rFonts w:hint="eastAsia"/>
          <w:color w:val="000000" w:themeColor="text1"/>
          <w:lang w:val="zh-CN"/>
          <w14:textFill>
            <w14:solidFill>
              <w14:schemeClr w14:val="tx1"/>
            </w14:solidFill>
          </w14:textFill>
        </w:rPr>
        <w:t>）《关于印发自治区级水土流失重点预防区和重点治理区复核划分成果的通知》（新水〔2</w:t>
      </w:r>
      <w:r>
        <w:rPr>
          <w:color w:val="000000" w:themeColor="text1"/>
          <w:lang w:val="zh-CN"/>
          <w14:textFill>
            <w14:solidFill>
              <w14:schemeClr w14:val="tx1"/>
            </w14:solidFill>
          </w14:textFill>
        </w:rPr>
        <w:t>019</w:t>
      </w:r>
      <w:r>
        <w:rPr>
          <w:rFonts w:hint="eastAsia"/>
          <w:color w:val="000000" w:themeColor="text1"/>
          <w:lang w:val="zh-CN"/>
          <w14:textFill>
            <w14:solidFill>
              <w14:schemeClr w14:val="tx1"/>
            </w14:solidFill>
          </w14:textFill>
        </w:rPr>
        <w:t>〕</w:t>
      </w:r>
      <w:r>
        <w:rPr>
          <w:color w:val="000000" w:themeColor="text1"/>
          <w:lang w:val="zh-CN"/>
          <w14:textFill>
            <w14:solidFill>
              <w14:schemeClr w14:val="tx1"/>
            </w14:solidFill>
          </w14:textFill>
        </w:rPr>
        <w:t>4</w:t>
      </w:r>
      <w:r>
        <w:rPr>
          <w:rFonts w:hint="eastAsia"/>
          <w:color w:val="000000" w:themeColor="text1"/>
          <w:lang w:val="zh-CN"/>
          <w14:textFill>
            <w14:solidFill>
              <w14:schemeClr w14:val="tx1"/>
            </w14:solidFill>
          </w14:textFill>
        </w:rPr>
        <w:t>号）；</w:t>
      </w:r>
    </w:p>
    <w:p w14:paraId="58697D4C">
      <w:pPr>
        <w:pStyle w:val="117"/>
        <w:ind w:firstLine="480"/>
        <w:rPr>
          <w:rFonts w:hint="eastAsia"/>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（1</w:t>
      </w:r>
      <w:r>
        <w:rPr>
          <w:rFonts w:hint="eastAsia"/>
          <w:color w:val="000000" w:themeColor="text1"/>
          <w14:textFill>
            <w14:solidFill>
              <w14:schemeClr w14:val="tx1"/>
            </w14:solidFill>
          </w14:textFill>
        </w:rPr>
        <w:t>3</w:t>
      </w:r>
      <w:r>
        <w:rPr>
          <w:rFonts w:hint="eastAsia"/>
          <w:color w:val="000000" w:themeColor="text1"/>
          <w:lang w:val="zh-CN"/>
          <w14:textFill>
            <w14:solidFill>
              <w14:schemeClr w14:val="tx1"/>
            </w14:solidFill>
          </w14:textFill>
        </w:rPr>
        <w:t>）《新疆维吾尔自治区国民经济和社会发展第十四个五年规划和2035年远景目标纲要》，2021年02月05日；</w:t>
      </w:r>
    </w:p>
    <w:p w14:paraId="61F8AD31">
      <w:pPr>
        <w:pStyle w:val="117"/>
        <w:ind w:firstLine="480"/>
        <w:rPr>
          <w:rFonts w:hint="eastAsia"/>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（1</w:t>
      </w:r>
      <w:r>
        <w:rPr>
          <w:rFonts w:hint="eastAsia"/>
          <w:color w:val="000000" w:themeColor="text1"/>
          <w14:textFill>
            <w14:solidFill>
              <w14:schemeClr w14:val="tx1"/>
            </w14:solidFill>
          </w14:textFill>
        </w:rPr>
        <w:t>4</w:t>
      </w:r>
      <w:r>
        <w:rPr>
          <w:rFonts w:hint="eastAsia"/>
          <w:color w:val="000000" w:themeColor="text1"/>
          <w:lang w:val="zh-CN"/>
          <w14:textFill>
            <w14:solidFill>
              <w14:schemeClr w14:val="tx1"/>
            </w14:solidFill>
          </w14:textFill>
        </w:rPr>
        <w:t>）《</w:t>
      </w:r>
      <w:r>
        <w:rPr>
          <w:color w:val="000000" w:themeColor="text1"/>
          <w:lang w:val="zh-CN"/>
          <w14:textFill>
            <w14:solidFill>
              <w14:schemeClr w14:val="tx1"/>
            </w14:solidFill>
          </w14:textFill>
        </w:rPr>
        <w:t>新疆生态环境保护“十四五”规划</w:t>
      </w:r>
      <w:r>
        <w:rPr>
          <w:rFonts w:hint="eastAsia"/>
          <w:color w:val="000000" w:themeColor="text1"/>
          <w:lang w:val="zh-CN"/>
          <w14:textFill>
            <w14:solidFill>
              <w14:schemeClr w14:val="tx1"/>
            </w14:solidFill>
          </w14:textFill>
        </w:rPr>
        <w:t>》，20</w:t>
      </w:r>
      <w:r>
        <w:rPr>
          <w:color w:val="000000" w:themeColor="text1"/>
          <w:lang w:val="zh-CN"/>
          <w14:textFill>
            <w14:solidFill>
              <w14:schemeClr w14:val="tx1"/>
            </w14:solidFill>
          </w14:textFill>
        </w:rPr>
        <w:t>21</w:t>
      </w:r>
      <w:r>
        <w:rPr>
          <w:rFonts w:hint="eastAsia"/>
          <w:color w:val="000000" w:themeColor="text1"/>
          <w:lang w:val="zh-CN"/>
          <w14:textFill>
            <w14:solidFill>
              <w14:schemeClr w14:val="tx1"/>
            </w14:solidFill>
          </w14:textFill>
        </w:rPr>
        <w:t>年</w:t>
      </w:r>
      <w:r>
        <w:rPr>
          <w:color w:val="000000" w:themeColor="text1"/>
          <w:lang w:val="zh-CN"/>
          <w14:textFill>
            <w14:solidFill>
              <w14:schemeClr w14:val="tx1"/>
            </w14:solidFill>
          </w14:textFill>
        </w:rPr>
        <w:t>12</w:t>
      </w:r>
      <w:r>
        <w:rPr>
          <w:rFonts w:hint="eastAsia"/>
          <w:color w:val="000000" w:themeColor="text1"/>
          <w:lang w:val="zh-CN"/>
          <w14:textFill>
            <w14:solidFill>
              <w14:schemeClr w14:val="tx1"/>
            </w14:solidFill>
          </w14:textFill>
        </w:rPr>
        <w:t>月2</w:t>
      </w:r>
      <w:r>
        <w:rPr>
          <w:color w:val="000000" w:themeColor="text1"/>
          <w:lang w:val="zh-CN"/>
          <w14:textFill>
            <w14:solidFill>
              <w14:schemeClr w14:val="tx1"/>
            </w14:solidFill>
          </w14:textFill>
        </w:rPr>
        <w:t>4</w:t>
      </w:r>
      <w:r>
        <w:rPr>
          <w:rFonts w:hint="eastAsia"/>
          <w:color w:val="000000" w:themeColor="text1"/>
          <w:lang w:val="zh-CN"/>
          <w14:textFill>
            <w14:solidFill>
              <w14:schemeClr w14:val="tx1"/>
            </w14:solidFill>
          </w14:textFill>
        </w:rPr>
        <w:t>日；</w:t>
      </w:r>
    </w:p>
    <w:p w14:paraId="1C190FD0">
      <w:pPr>
        <w:pStyle w:val="117"/>
        <w:ind w:firstLine="480"/>
        <w:rPr>
          <w:rFonts w:hint="eastAsia"/>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（1</w:t>
      </w:r>
      <w:r>
        <w:rPr>
          <w:rFonts w:hint="eastAsia"/>
          <w:color w:val="000000" w:themeColor="text1"/>
          <w14:textFill>
            <w14:solidFill>
              <w14:schemeClr w14:val="tx1"/>
            </w14:solidFill>
          </w14:textFill>
        </w:rPr>
        <w:t>5</w:t>
      </w:r>
      <w:r>
        <w:rPr>
          <w:rFonts w:hint="eastAsia"/>
          <w:color w:val="000000" w:themeColor="text1"/>
          <w:lang w:val="zh-CN"/>
          <w14:textFill>
            <w14:solidFill>
              <w14:schemeClr w14:val="tx1"/>
            </w14:solidFill>
          </w14:textFill>
        </w:rPr>
        <w:t>）《关于印发〈新疆维吾尔自治区生态环境分区管控动态更新成果〉的通知》，2024年11月15日；</w:t>
      </w:r>
    </w:p>
    <w:p w14:paraId="08805E55">
      <w:pPr>
        <w:pStyle w:val="117"/>
        <w:ind w:firstLine="480"/>
        <w:rPr>
          <w:rFonts w:hint="eastAsia"/>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（1</w:t>
      </w:r>
      <w:r>
        <w:rPr>
          <w:rFonts w:hint="eastAsia"/>
          <w:color w:val="000000" w:themeColor="text1"/>
          <w14:textFill>
            <w14:solidFill>
              <w14:schemeClr w14:val="tx1"/>
            </w14:solidFill>
          </w14:textFill>
        </w:rPr>
        <w:t>6</w:t>
      </w:r>
      <w:r>
        <w:rPr>
          <w:rFonts w:hint="eastAsia"/>
          <w:color w:val="000000" w:themeColor="text1"/>
          <w:lang w:val="zh-CN"/>
          <w14:textFill>
            <w14:solidFill>
              <w14:schemeClr w14:val="tx1"/>
            </w14:solidFill>
          </w14:textFill>
        </w:rPr>
        <w:t>）《</w:t>
      </w:r>
      <w:r>
        <w:rPr>
          <w:rFonts w:hint="eastAsia"/>
          <w:color w:val="000000" w:themeColor="text1"/>
          <w14:textFill>
            <w14:solidFill>
              <w14:schemeClr w14:val="tx1"/>
            </w14:solidFill>
          </w14:textFill>
        </w:rPr>
        <w:t>关于发布昌吉回族自治州生态环境分区管控动态更新成果的公告</w:t>
      </w:r>
      <w:r>
        <w:rPr>
          <w:rFonts w:hint="eastAsia"/>
          <w:color w:val="000000" w:themeColor="text1"/>
          <w:lang w:val="zh-CN"/>
          <w14:textFill>
            <w14:solidFill>
              <w14:schemeClr w14:val="tx1"/>
            </w14:solidFill>
          </w14:textFill>
        </w:rPr>
        <w:t>》2</w:t>
      </w:r>
      <w:r>
        <w:rPr>
          <w:color w:val="000000" w:themeColor="text1"/>
          <w:lang w:val="zh-CN"/>
          <w14:textFill>
            <w14:solidFill>
              <w14:schemeClr w14:val="tx1"/>
            </w14:solidFill>
          </w14:textFill>
        </w:rPr>
        <w:t>02</w:t>
      </w:r>
      <w:r>
        <w:rPr>
          <w:rFonts w:hint="eastAsia"/>
          <w:color w:val="000000" w:themeColor="text1"/>
          <w:lang w:val="zh-CN"/>
          <w14:textFill>
            <w14:solidFill>
              <w14:schemeClr w14:val="tx1"/>
            </w14:solidFill>
          </w14:textFill>
        </w:rPr>
        <w:t>5年01月10日；</w:t>
      </w:r>
    </w:p>
    <w:p w14:paraId="3FAF8618">
      <w:pPr>
        <w:pStyle w:val="117"/>
        <w:ind w:firstLine="480"/>
        <w:rPr>
          <w:rFonts w:hint="eastAsia"/>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（1</w:t>
      </w:r>
      <w:r>
        <w:rPr>
          <w:rFonts w:hint="eastAsia"/>
          <w:color w:val="000000" w:themeColor="text1"/>
          <w14:textFill>
            <w14:solidFill>
              <w14:schemeClr w14:val="tx1"/>
            </w14:solidFill>
          </w14:textFill>
        </w:rPr>
        <w:t>7</w:t>
      </w:r>
      <w:r>
        <w:rPr>
          <w:rFonts w:hint="eastAsia"/>
          <w:color w:val="000000" w:themeColor="text1"/>
          <w:lang w:val="zh-CN"/>
          <w14:textFill>
            <w14:solidFill>
              <w14:schemeClr w14:val="tx1"/>
            </w14:solidFill>
          </w14:textFill>
        </w:rPr>
        <w:t>）《吉木萨尔县国土空间总体规划》，2024年10月。</w:t>
      </w:r>
    </w:p>
    <w:bookmarkEnd w:id="62"/>
    <w:bookmarkEnd w:id="63"/>
    <w:bookmarkEnd w:id="64"/>
    <w:p w14:paraId="4BB82ECB">
      <w:pPr>
        <w:pStyle w:val="4"/>
        <w:rPr>
          <w:rFonts w:hint="eastAsia"/>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相关导则及指南</w:t>
      </w:r>
    </w:p>
    <w:p w14:paraId="73E8070C">
      <w:pPr>
        <w:pStyle w:val="117"/>
        <w:ind w:firstLine="480"/>
        <w:rPr>
          <w:rFonts w:hint="eastAsia"/>
          <w:color w:val="000000" w:themeColor="text1"/>
          <w:lang w:val="zh-CN"/>
          <w14:textFill>
            <w14:solidFill>
              <w14:schemeClr w14:val="tx1"/>
            </w14:solidFill>
          </w14:textFill>
        </w:rPr>
      </w:pPr>
      <w:bookmarkStart w:id="66" w:name="_Toc445841960"/>
      <w:bookmarkStart w:id="67" w:name="_Toc445996323"/>
      <w:bookmarkStart w:id="68" w:name="_Toc7963"/>
      <w:r>
        <w:rPr>
          <w:rFonts w:hint="eastAsia"/>
          <w:color w:val="000000" w:themeColor="text1"/>
          <w:lang w:val="zh-CN"/>
          <w14:textFill>
            <w14:solidFill>
              <w14:schemeClr w14:val="tx1"/>
            </w14:solidFill>
          </w14:textFill>
        </w:rPr>
        <w:t>（</w:t>
      </w:r>
      <w:r>
        <w:rPr>
          <w:rFonts w:hint="eastAsia"/>
          <w:color w:val="000000" w:themeColor="text1"/>
          <w14:textFill>
            <w14:solidFill>
              <w14:schemeClr w14:val="tx1"/>
            </w14:solidFill>
          </w14:textFill>
        </w:rPr>
        <w:t>1</w:t>
      </w:r>
      <w:r>
        <w:rPr>
          <w:rFonts w:hint="eastAsia"/>
          <w:color w:val="000000" w:themeColor="text1"/>
          <w:lang w:val="zh-CN"/>
          <w14:textFill>
            <w14:solidFill>
              <w14:schemeClr w14:val="tx1"/>
            </w14:solidFill>
          </w14:textFill>
        </w:rPr>
        <w:t>）《建设项目环境影响评价技术导则 总纲》（HJ2.1-2016），2017年01月01日；</w:t>
      </w:r>
    </w:p>
    <w:p w14:paraId="27634761">
      <w:pPr>
        <w:pStyle w:val="117"/>
        <w:ind w:firstLine="480"/>
        <w:rPr>
          <w:rFonts w:hint="eastAsia"/>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w:t>
      </w:r>
      <w:r>
        <w:rPr>
          <w:rFonts w:hint="eastAsia"/>
          <w:color w:val="000000" w:themeColor="text1"/>
          <w14:textFill>
            <w14:solidFill>
              <w14:schemeClr w14:val="tx1"/>
            </w14:solidFill>
          </w14:textFill>
        </w:rPr>
        <w:t>2</w:t>
      </w:r>
      <w:r>
        <w:rPr>
          <w:rFonts w:hint="eastAsia"/>
          <w:color w:val="000000" w:themeColor="text1"/>
          <w:lang w:val="zh-CN"/>
          <w14:textFill>
            <w14:solidFill>
              <w14:schemeClr w14:val="tx1"/>
            </w14:solidFill>
          </w14:textFill>
        </w:rPr>
        <w:t>）《环境影响评价技术导则 大气环境》（HJ2.2-2018），2018年12月01日；</w:t>
      </w:r>
    </w:p>
    <w:p w14:paraId="26B61CFF">
      <w:pPr>
        <w:pStyle w:val="117"/>
        <w:ind w:firstLine="480"/>
        <w:rPr>
          <w:rFonts w:hint="eastAsia"/>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w:t>
      </w:r>
      <w:r>
        <w:rPr>
          <w:rFonts w:hint="eastAsia"/>
          <w:color w:val="000000" w:themeColor="text1"/>
          <w14:textFill>
            <w14:solidFill>
              <w14:schemeClr w14:val="tx1"/>
            </w14:solidFill>
          </w14:textFill>
        </w:rPr>
        <w:t>3</w:t>
      </w:r>
      <w:r>
        <w:rPr>
          <w:rFonts w:hint="eastAsia"/>
          <w:color w:val="000000" w:themeColor="text1"/>
          <w:lang w:val="zh-CN"/>
          <w14:textFill>
            <w14:solidFill>
              <w14:schemeClr w14:val="tx1"/>
            </w14:solidFill>
          </w14:textFill>
        </w:rPr>
        <w:t>）《环境影响评价技术导则 声环境》（HJ2.4-20</w:t>
      </w:r>
      <w:r>
        <w:rPr>
          <w:color w:val="000000" w:themeColor="text1"/>
          <w:lang w:val="zh-CN"/>
          <w14:textFill>
            <w14:solidFill>
              <w14:schemeClr w14:val="tx1"/>
            </w14:solidFill>
          </w14:textFill>
        </w:rPr>
        <w:t>21</w:t>
      </w:r>
      <w:r>
        <w:rPr>
          <w:rFonts w:hint="eastAsia"/>
          <w:color w:val="000000" w:themeColor="text1"/>
          <w:lang w:val="zh-CN"/>
          <w14:textFill>
            <w14:solidFill>
              <w14:schemeClr w14:val="tx1"/>
            </w14:solidFill>
          </w14:textFill>
        </w:rPr>
        <w:t>），20</w:t>
      </w:r>
      <w:r>
        <w:rPr>
          <w:color w:val="000000" w:themeColor="text1"/>
          <w:lang w:val="zh-CN"/>
          <w14:textFill>
            <w14:solidFill>
              <w14:schemeClr w14:val="tx1"/>
            </w14:solidFill>
          </w14:textFill>
        </w:rPr>
        <w:t>22</w:t>
      </w:r>
      <w:r>
        <w:rPr>
          <w:rFonts w:hint="eastAsia"/>
          <w:color w:val="000000" w:themeColor="text1"/>
          <w:lang w:val="zh-CN"/>
          <w14:textFill>
            <w14:solidFill>
              <w14:schemeClr w14:val="tx1"/>
            </w14:solidFill>
          </w14:textFill>
        </w:rPr>
        <w:t>年</w:t>
      </w:r>
      <w:r>
        <w:rPr>
          <w:color w:val="000000" w:themeColor="text1"/>
          <w:lang w:val="zh-CN"/>
          <w14:textFill>
            <w14:solidFill>
              <w14:schemeClr w14:val="tx1"/>
            </w14:solidFill>
          </w14:textFill>
        </w:rPr>
        <w:t>07</w:t>
      </w:r>
      <w:r>
        <w:rPr>
          <w:rFonts w:hint="eastAsia"/>
          <w:color w:val="000000" w:themeColor="text1"/>
          <w:lang w:val="zh-CN"/>
          <w14:textFill>
            <w14:solidFill>
              <w14:schemeClr w14:val="tx1"/>
            </w14:solidFill>
          </w14:textFill>
        </w:rPr>
        <w:t>月01日；</w:t>
      </w:r>
    </w:p>
    <w:p w14:paraId="3383246D">
      <w:pPr>
        <w:pStyle w:val="117"/>
        <w:ind w:firstLine="480"/>
        <w:rPr>
          <w:rFonts w:hint="eastAsia"/>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w:t>
      </w:r>
      <w:r>
        <w:rPr>
          <w:rFonts w:hint="eastAsia"/>
          <w:color w:val="000000" w:themeColor="text1"/>
          <w14:textFill>
            <w14:solidFill>
              <w14:schemeClr w14:val="tx1"/>
            </w14:solidFill>
          </w14:textFill>
        </w:rPr>
        <w:t>4</w:t>
      </w:r>
      <w:r>
        <w:rPr>
          <w:rFonts w:hint="eastAsia"/>
          <w:color w:val="000000" w:themeColor="text1"/>
          <w:lang w:val="zh-CN"/>
          <w14:textFill>
            <w14:solidFill>
              <w14:schemeClr w14:val="tx1"/>
            </w14:solidFill>
          </w14:textFill>
        </w:rPr>
        <w:t>）《环境影响评价技术导则 土壤环境（试行）》（HJ964-2018），2019年07月01日；</w:t>
      </w:r>
    </w:p>
    <w:p w14:paraId="49192F81">
      <w:pPr>
        <w:pStyle w:val="117"/>
        <w:ind w:firstLine="480"/>
        <w:rPr>
          <w:rFonts w:hint="eastAsia"/>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w:t>
      </w:r>
      <w:r>
        <w:rPr>
          <w:rFonts w:hint="eastAsia"/>
          <w:color w:val="000000" w:themeColor="text1"/>
          <w14:textFill>
            <w14:solidFill>
              <w14:schemeClr w14:val="tx1"/>
            </w14:solidFill>
          </w14:textFill>
        </w:rPr>
        <w:t>5</w:t>
      </w:r>
      <w:r>
        <w:rPr>
          <w:rFonts w:hint="eastAsia"/>
          <w:color w:val="000000" w:themeColor="text1"/>
          <w:lang w:val="zh-CN"/>
          <w14:textFill>
            <w14:solidFill>
              <w14:schemeClr w14:val="tx1"/>
            </w14:solidFill>
          </w14:textFill>
        </w:rPr>
        <w:t>）《环境影响评价技术导则 生态影响》（HJ19-20</w:t>
      </w:r>
      <w:r>
        <w:rPr>
          <w:color w:val="000000" w:themeColor="text1"/>
          <w:lang w:val="zh-CN"/>
          <w14:textFill>
            <w14:solidFill>
              <w14:schemeClr w14:val="tx1"/>
            </w14:solidFill>
          </w14:textFill>
        </w:rPr>
        <w:t>22</w:t>
      </w:r>
      <w:r>
        <w:rPr>
          <w:rFonts w:hint="eastAsia"/>
          <w:color w:val="000000" w:themeColor="text1"/>
          <w:lang w:val="zh-CN"/>
          <w14:textFill>
            <w14:solidFill>
              <w14:schemeClr w14:val="tx1"/>
            </w14:solidFill>
          </w14:textFill>
        </w:rPr>
        <w:t>），20</w:t>
      </w:r>
      <w:r>
        <w:rPr>
          <w:color w:val="000000" w:themeColor="text1"/>
          <w:lang w:val="zh-CN"/>
          <w14:textFill>
            <w14:solidFill>
              <w14:schemeClr w14:val="tx1"/>
            </w14:solidFill>
          </w14:textFill>
        </w:rPr>
        <w:t>22</w:t>
      </w:r>
      <w:r>
        <w:rPr>
          <w:rFonts w:hint="eastAsia"/>
          <w:color w:val="000000" w:themeColor="text1"/>
          <w:lang w:val="zh-CN"/>
          <w14:textFill>
            <w14:solidFill>
              <w14:schemeClr w14:val="tx1"/>
            </w14:solidFill>
          </w14:textFill>
        </w:rPr>
        <w:t>年</w:t>
      </w:r>
      <w:r>
        <w:rPr>
          <w:color w:val="000000" w:themeColor="text1"/>
          <w:lang w:val="zh-CN"/>
          <w14:textFill>
            <w14:solidFill>
              <w14:schemeClr w14:val="tx1"/>
            </w14:solidFill>
          </w14:textFill>
        </w:rPr>
        <w:t>07</w:t>
      </w:r>
      <w:r>
        <w:rPr>
          <w:rFonts w:hint="eastAsia"/>
          <w:color w:val="000000" w:themeColor="text1"/>
          <w:lang w:val="zh-CN"/>
          <w14:textFill>
            <w14:solidFill>
              <w14:schemeClr w14:val="tx1"/>
            </w14:solidFill>
          </w14:textFill>
        </w:rPr>
        <w:t>月01日；</w:t>
      </w:r>
    </w:p>
    <w:p w14:paraId="664053C2">
      <w:pPr>
        <w:pStyle w:val="117"/>
        <w:ind w:firstLine="480"/>
        <w:rPr>
          <w:rFonts w:hint="eastAsia"/>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w:t>
      </w:r>
      <w:r>
        <w:rPr>
          <w:rFonts w:hint="eastAsia"/>
          <w:color w:val="000000" w:themeColor="text1"/>
          <w14:textFill>
            <w14:solidFill>
              <w14:schemeClr w14:val="tx1"/>
            </w14:solidFill>
          </w14:textFill>
        </w:rPr>
        <w:t>6</w:t>
      </w:r>
      <w:r>
        <w:rPr>
          <w:rFonts w:hint="eastAsia"/>
          <w:color w:val="000000" w:themeColor="text1"/>
          <w:lang w:val="zh-CN"/>
          <w14:textFill>
            <w14:solidFill>
              <w14:schemeClr w14:val="tx1"/>
            </w14:solidFill>
          </w14:textFill>
        </w:rPr>
        <w:t>）《环境影响评价技术导则 地表水环境》（HJ2.3-2018），2019年03月01日；</w:t>
      </w:r>
    </w:p>
    <w:p w14:paraId="4CDA28E5">
      <w:pPr>
        <w:pStyle w:val="117"/>
        <w:ind w:firstLine="480"/>
        <w:rPr>
          <w:rFonts w:hint="eastAsia"/>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w:t>
      </w:r>
      <w:r>
        <w:rPr>
          <w:rFonts w:hint="eastAsia"/>
          <w:color w:val="000000" w:themeColor="text1"/>
          <w14:textFill>
            <w14:solidFill>
              <w14:schemeClr w14:val="tx1"/>
            </w14:solidFill>
          </w14:textFill>
        </w:rPr>
        <w:t>7</w:t>
      </w:r>
      <w:r>
        <w:rPr>
          <w:rFonts w:hint="eastAsia"/>
          <w:color w:val="000000" w:themeColor="text1"/>
          <w:lang w:val="zh-CN"/>
          <w14:textFill>
            <w14:solidFill>
              <w14:schemeClr w14:val="tx1"/>
            </w14:solidFill>
          </w14:textFill>
        </w:rPr>
        <w:t>）《环境影响评价技术导则 地下水环境》（HJ610-2016），2016年01月07日；</w:t>
      </w:r>
    </w:p>
    <w:p w14:paraId="685FB6DA">
      <w:pPr>
        <w:pStyle w:val="117"/>
        <w:ind w:firstLine="480"/>
        <w:rPr>
          <w:rFonts w:hint="eastAsia"/>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w:t>
      </w:r>
      <w:r>
        <w:rPr>
          <w:rFonts w:hint="eastAsia"/>
          <w:color w:val="000000" w:themeColor="text1"/>
          <w14:textFill>
            <w14:solidFill>
              <w14:schemeClr w14:val="tx1"/>
            </w14:solidFill>
          </w14:textFill>
        </w:rPr>
        <w:t>8</w:t>
      </w:r>
      <w:r>
        <w:rPr>
          <w:rFonts w:hint="eastAsia"/>
          <w:color w:val="000000" w:themeColor="text1"/>
          <w:lang w:val="zh-CN"/>
          <w14:textFill>
            <w14:solidFill>
              <w14:schemeClr w14:val="tx1"/>
            </w14:solidFill>
          </w14:textFill>
        </w:rPr>
        <w:t>）《建设项目环境风险评价技术导则》（HJ169-2018），2019年03月01日；</w:t>
      </w:r>
    </w:p>
    <w:p w14:paraId="3AF6A4FC">
      <w:pPr>
        <w:pStyle w:val="117"/>
        <w:ind w:firstLine="480"/>
        <w:rPr>
          <w:rFonts w:hint="eastAsia"/>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w:t>
      </w:r>
      <w:r>
        <w:rPr>
          <w:rFonts w:hint="eastAsia"/>
          <w:color w:val="000000" w:themeColor="text1"/>
          <w14:textFill>
            <w14:solidFill>
              <w14:schemeClr w14:val="tx1"/>
            </w14:solidFill>
          </w14:textFill>
        </w:rPr>
        <w:t>9</w:t>
      </w:r>
      <w:r>
        <w:rPr>
          <w:rFonts w:hint="eastAsia"/>
          <w:color w:val="000000" w:themeColor="text1"/>
          <w:lang w:val="zh-CN"/>
          <w14:textFill>
            <w14:solidFill>
              <w14:schemeClr w14:val="tx1"/>
            </w14:solidFill>
          </w14:textFill>
        </w:rPr>
        <w:t>）《环境影响评价技术导则 陆地石油天然气开发建设项目》（HJ349-20</w:t>
      </w:r>
      <w:r>
        <w:rPr>
          <w:color w:val="000000" w:themeColor="text1"/>
          <w:lang w:val="zh-CN"/>
          <w14:textFill>
            <w14:solidFill>
              <w14:schemeClr w14:val="tx1"/>
            </w14:solidFill>
          </w14:textFill>
        </w:rPr>
        <w:t>23</w:t>
      </w:r>
      <w:r>
        <w:rPr>
          <w:rFonts w:hint="eastAsia"/>
          <w:color w:val="000000" w:themeColor="text1"/>
          <w:lang w:val="zh-CN"/>
          <w14:textFill>
            <w14:solidFill>
              <w14:schemeClr w14:val="tx1"/>
            </w14:solidFill>
          </w14:textFill>
        </w:rPr>
        <w:t>），20</w:t>
      </w:r>
      <w:r>
        <w:rPr>
          <w:color w:val="000000" w:themeColor="text1"/>
          <w:lang w:val="zh-CN"/>
          <w14:textFill>
            <w14:solidFill>
              <w14:schemeClr w14:val="tx1"/>
            </w14:solidFill>
          </w14:textFill>
        </w:rPr>
        <w:t>24</w:t>
      </w:r>
      <w:r>
        <w:rPr>
          <w:rFonts w:hint="eastAsia"/>
          <w:color w:val="000000" w:themeColor="text1"/>
          <w:lang w:val="zh-CN"/>
          <w14:textFill>
            <w14:solidFill>
              <w14:schemeClr w14:val="tx1"/>
            </w14:solidFill>
          </w14:textFill>
        </w:rPr>
        <w:t>年0</w:t>
      </w:r>
      <w:r>
        <w:rPr>
          <w:color w:val="000000" w:themeColor="text1"/>
          <w:lang w:val="zh-CN"/>
          <w14:textFill>
            <w14:solidFill>
              <w14:schemeClr w14:val="tx1"/>
            </w14:solidFill>
          </w14:textFill>
        </w:rPr>
        <w:t>1</w:t>
      </w:r>
      <w:r>
        <w:rPr>
          <w:rFonts w:hint="eastAsia"/>
          <w:color w:val="000000" w:themeColor="text1"/>
          <w:lang w:val="zh-CN"/>
          <w14:textFill>
            <w14:solidFill>
              <w14:schemeClr w14:val="tx1"/>
            </w14:solidFill>
          </w14:textFill>
        </w:rPr>
        <w:t>月01日；</w:t>
      </w:r>
    </w:p>
    <w:p w14:paraId="23241E95">
      <w:pPr>
        <w:pStyle w:val="117"/>
        <w:ind w:firstLine="480"/>
        <w:rPr>
          <w:rFonts w:hint="eastAsia"/>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（1</w:t>
      </w:r>
      <w:r>
        <w:rPr>
          <w:color w:val="000000" w:themeColor="text1"/>
          <w:lang w:val="zh-CN"/>
          <w14:textFill>
            <w14:solidFill>
              <w14:schemeClr w14:val="tx1"/>
            </w14:solidFill>
          </w14:textFill>
        </w:rPr>
        <w:t>0</w:t>
      </w:r>
      <w:r>
        <w:rPr>
          <w:rFonts w:hint="eastAsia"/>
          <w:color w:val="000000" w:themeColor="text1"/>
          <w:lang w:val="zh-CN"/>
          <w14:textFill>
            <w14:solidFill>
              <w14:schemeClr w14:val="tx1"/>
            </w14:solidFill>
          </w14:textFill>
        </w:rPr>
        <w:t>）《危险废物管理计划和管理台账制定技术导则》（H</w:t>
      </w:r>
      <w:r>
        <w:rPr>
          <w:color w:val="000000" w:themeColor="text1"/>
          <w:lang w:val="zh-CN"/>
          <w14:textFill>
            <w14:solidFill>
              <w14:schemeClr w14:val="tx1"/>
            </w14:solidFill>
          </w14:textFill>
        </w:rPr>
        <w:t>J1259-2022</w:t>
      </w:r>
      <w:r>
        <w:rPr>
          <w:rFonts w:hint="eastAsia"/>
          <w:color w:val="000000" w:themeColor="text1"/>
          <w:lang w:val="zh-CN"/>
          <w14:textFill>
            <w14:solidFill>
              <w14:schemeClr w14:val="tx1"/>
            </w14:solidFill>
          </w14:textFill>
        </w:rPr>
        <w:t>），</w:t>
      </w:r>
      <w:r>
        <w:rPr>
          <w:color w:val="000000" w:themeColor="text1"/>
          <w:lang w:val="zh-CN"/>
          <w14:textFill>
            <w14:solidFill>
              <w14:schemeClr w14:val="tx1"/>
            </w14:solidFill>
          </w14:textFill>
        </w:rPr>
        <w:t>2022</w:t>
      </w:r>
      <w:r>
        <w:rPr>
          <w:rFonts w:hint="eastAsia"/>
          <w:color w:val="000000" w:themeColor="text1"/>
          <w:lang w:val="zh-CN"/>
          <w14:textFill>
            <w14:solidFill>
              <w14:schemeClr w14:val="tx1"/>
            </w14:solidFill>
          </w14:textFill>
        </w:rPr>
        <w:t>年1</w:t>
      </w:r>
      <w:r>
        <w:rPr>
          <w:color w:val="000000" w:themeColor="text1"/>
          <w:lang w:val="zh-CN"/>
          <w14:textFill>
            <w14:solidFill>
              <w14:schemeClr w14:val="tx1"/>
            </w14:solidFill>
          </w14:textFill>
        </w:rPr>
        <w:t>0</w:t>
      </w:r>
      <w:r>
        <w:rPr>
          <w:rFonts w:hint="eastAsia"/>
          <w:color w:val="000000" w:themeColor="text1"/>
          <w:lang w:val="zh-CN"/>
          <w14:textFill>
            <w14:solidFill>
              <w14:schemeClr w14:val="tx1"/>
            </w14:solidFill>
          </w14:textFill>
        </w:rPr>
        <w:t>月0</w:t>
      </w:r>
      <w:r>
        <w:rPr>
          <w:color w:val="000000" w:themeColor="text1"/>
          <w:lang w:val="zh-CN"/>
          <w14:textFill>
            <w14:solidFill>
              <w14:schemeClr w14:val="tx1"/>
            </w14:solidFill>
          </w14:textFill>
        </w:rPr>
        <w:t>1</w:t>
      </w:r>
      <w:r>
        <w:rPr>
          <w:rFonts w:hint="eastAsia"/>
          <w:color w:val="000000" w:themeColor="text1"/>
          <w:lang w:val="zh-CN"/>
          <w14:textFill>
            <w14:solidFill>
              <w14:schemeClr w14:val="tx1"/>
            </w14:solidFill>
          </w14:textFill>
        </w:rPr>
        <w:t>日。</w:t>
      </w:r>
    </w:p>
    <w:p w14:paraId="3BB5F519">
      <w:pPr>
        <w:pStyle w:val="117"/>
        <w:ind w:firstLine="480"/>
        <w:rPr>
          <w:rFonts w:hint="eastAsia"/>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w:t>
      </w:r>
      <w:r>
        <w:rPr>
          <w:rFonts w:hint="eastAsia"/>
          <w:color w:val="000000" w:themeColor="text1"/>
          <w14:textFill>
            <w14:solidFill>
              <w14:schemeClr w14:val="tx1"/>
            </w14:solidFill>
          </w14:textFill>
        </w:rPr>
        <w:t>1</w:t>
      </w:r>
      <w:r>
        <w:rPr>
          <w:color w:val="000000" w:themeColor="text1"/>
          <w14:textFill>
            <w14:solidFill>
              <w14:schemeClr w14:val="tx1"/>
            </w14:solidFill>
          </w14:textFill>
        </w:rPr>
        <w:t>1</w:t>
      </w:r>
      <w:r>
        <w:rPr>
          <w:rFonts w:hint="eastAsia"/>
          <w:color w:val="000000" w:themeColor="text1"/>
          <w:lang w:val="zh-CN"/>
          <w14:textFill>
            <w14:solidFill>
              <w14:schemeClr w14:val="tx1"/>
            </w14:solidFill>
          </w14:textFill>
        </w:rPr>
        <w:t>）《排污单位自行监测技术指南 总则》（HJ819-2017），2017年06月01日；</w:t>
      </w:r>
    </w:p>
    <w:p w14:paraId="4E88980C">
      <w:pPr>
        <w:pStyle w:val="117"/>
        <w:ind w:firstLine="480"/>
        <w:rPr>
          <w:rFonts w:hint="eastAsia"/>
          <w:color w:val="000000" w:themeColor="text1"/>
          <w14:textFill>
            <w14:solidFill>
              <w14:schemeClr w14:val="tx1"/>
            </w14:solidFill>
          </w14:textFill>
        </w:rPr>
      </w:pPr>
      <w:bookmarkStart w:id="69" w:name="_Hlk78381581"/>
      <w:bookmarkStart w:id="70" w:name="_Hlk33041429"/>
      <w:r>
        <w:rPr>
          <w:rFonts w:hint="eastAsia"/>
          <w:color w:val="000000" w:themeColor="text1"/>
          <w14:textFill>
            <w14:solidFill>
              <w14:schemeClr w14:val="tx1"/>
            </w14:solidFill>
          </w14:textFill>
        </w:rPr>
        <w:t>（1</w:t>
      </w:r>
      <w:r>
        <w:rPr>
          <w:color w:val="000000" w:themeColor="text1"/>
          <w14:textFill>
            <w14:solidFill>
              <w14:schemeClr w14:val="tx1"/>
            </w14:solidFill>
          </w14:textFill>
        </w:rPr>
        <w:t>2</w:t>
      </w:r>
      <w:r>
        <w:rPr>
          <w:rFonts w:hint="eastAsia"/>
          <w:color w:val="000000" w:themeColor="text1"/>
          <w14:textFill>
            <w14:solidFill>
              <w14:schemeClr w14:val="tx1"/>
            </w14:solidFill>
          </w14:textFill>
        </w:rPr>
        <w:t>）《污染源源强核算技术指南</w:t>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石油炼制工业》（H</w:t>
      </w:r>
      <w:r>
        <w:rPr>
          <w:color w:val="000000" w:themeColor="text1"/>
          <w14:textFill>
            <w14:solidFill>
              <w14:schemeClr w14:val="tx1"/>
            </w14:solidFill>
          </w14:textFill>
        </w:rPr>
        <w:t>J982-2018</w:t>
      </w:r>
      <w:r>
        <w:rPr>
          <w:rFonts w:hint="eastAsia"/>
          <w:color w:val="000000" w:themeColor="text1"/>
          <w14:textFill>
            <w14:solidFill>
              <w14:schemeClr w14:val="tx1"/>
            </w14:solidFill>
          </w14:textFill>
        </w:rPr>
        <w:t>），2</w:t>
      </w:r>
      <w:r>
        <w:rPr>
          <w:color w:val="000000" w:themeColor="text1"/>
          <w14:textFill>
            <w14:solidFill>
              <w14:schemeClr w14:val="tx1"/>
            </w14:solidFill>
          </w14:textFill>
        </w:rPr>
        <w:t>019</w:t>
      </w:r>
      <w:r>
        <w:rPr>
          <w:rFonts w:hint="eastAsia"/>
          <w:color w:val="000000" w:themeColor="text1"/>
          <w14:textFill>
            <w14:solidFill>
              <w14:schemeClr w14:val="tx1"/>
            </w14:solidFill>
          </w14:textFill>
        </w:rPr>
        <w:t>年01月01日；</w:t>
      </w:r>
    </w:p>
    <w:p w14:paraId="693DE7A3">
      <w:pPr>
        <w:pStyle w:val="117"/>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color w:val="000000" w:themeColor="text1"/>
          <w14:textFill>
            <w14:solidFill>
              <w14:schemeClr w14:val="tx1"/>
            </w14:solidFill>
          </w14:textFill>
        </w:rPr>
        <w:t>3</w:t>
      </w:r>
      <w:r>
        <w:rPr>
          <w:rFonts w:hint="eastAsia"/>
          <w:color w:val="000000" w:themeColor="text1"/>
          <w14:textFill>
            <w14:solidFill>
              <w14:schemeClr w14:val="tx1"/>
            </w14:solidFill>
          </w14:textFill>
        </w:rPr>
        <w:t>）《石油和天然气开采行业清洁生产评价指标体系（试行）》，2</w:t>
      </w:r>
      <w:r>
        <w:rPr>
          <w:color w:val="000000" w:themeColor="text1"/>
          <w14:textFill>
            <w14:solidFill>
              <w14:schemeClr w14:val="tx1"/>
            </w14:solidFill>
          </w14:textFill>
        </w:rPr>
        <w:t>009</w:t>
      </w:r>
      <w:r>
        <w:rPr>
          <w:rFonts w:hint="eastAsia"/>
          <w:color w:val="000000" w:themeColor="text1"/>
          <w14:textFill>
            <w14:solidFill>
              <w14:schemeClr w14:val="tx1"/>
            </w14:solidFill>
          </w14:textFill>
        </w:rPr>
        <w:t>年02月；</w:t>
      </w:r>
    </w:p>
    <w:p w14:paraId="06EC4BE8">
      <w:pPr>
        <w:pStyle w:val="117"/>
        <w:ind w:firstLine="480"/>
        <w:rPr>
          <w:rFonts w:hint="eastAsia"/>
          <w:color w:val="000000" w:themeColor="text1"/>
          <w14:textFill>
            <w14:solidFill>
              <w14:schemeClr w14:val="tx1"/>
            </w14:solidFill>
          </w14:textFill>
        </w:rPr>
      </w:pPr>
      <w:bookmarkStart w:id="71" w:name="_Hlk92217251"/>
      <w:r>
        <w:rPr>
          <w:rFonts w:hint="eastAsia"/>
          <w:color w:val="000000" w:themeColor="text1"/>
          <w14:textFill>
            <w14:solidFill>
              <w14:schemeClr w14:val="tx1"/>
            </w14:solidFill>
          </w14:textFill>
        </w:rPr>
        <w:t>（1</w:t>
      </w:r>
      <w:r>
        <w:rPr>
          <w:color w:val="000000" w:themeColor="text1"/>
          <w14:textFill>
            <w14:solidFill>
              <w14:schemeClr w14:val="tx1"/>
            </w14:solidFill>
          </w14:textFill>
        </w:rPr>
        <w:t>4</w:t>
      </w:r>
      <w:r>
        <w:rPr>
          <w:rFonts w:hint="eastAsia"/>
          <w:color w:val="000000" w:themeColor="text1"/>
          <w14:textFill>
            <w14:solidFill>
              <w14:schemeClr w14:val="tx1"/>
            </w14:solidFill>
          </w14:textFill>
        </w:rPr>
        <w:t>）《危险废物环境管理指南</w:t>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陆上石油天然气开采》，2</w:t>
      </w:r>
      <w:r>
        <w:rPr>
          <w:color w:val="000000" w:themeColor="text1"/>
          <w14:textFill>
            <w14:solidFill>
              <w14:schemeClr w14:val="tx1"/>
            </w14:solidFill>
          </w14:textFill>
        </w:rPr>
        <w:t>021</w:t>
      </w:r>
      <w:r>
        <w:rPr>
          <w:rFonts w:hint="eastAsia"/>
          <w:color w:val="000000" w:themeColor="text1"/>
          <w14:textFill>
            <w14:solidFill>
              <w14:schemeClr w14:val="tx1"/>
            </w14:solidFill>
          </w14:textFill>
        </w:rPr>
        <w:t>年1</w:t>
      </w:r>
      <w:r>
        <w:rPr>
          <w:color w:val="000000" w:themeColor="text1"/>
          <w14:textFill>
            <w14:solidFill>
              <w14:schemeClr w14:val="tx1"/>
            </w14:solidFill>
          </w14:textFill>
        </w:rPr>
        <w:t>2</w:t>
      </w:r>
      <w:r>
        <w:rPr>
          <w:rFonts w:hint="eastAsia"/>
          <w:color w:val="000000" w:themeColor="text1"/>
          <w14:textFill>
            <w14:solidFill>
              <w14:schemeClr w14:val="tx1"/>
            </w14:solidFill>
          </w14:textFill>
        </w:rPr>
        <w:t>月2</w:t>
      </w:r>
      <w:r>
        <w:rPr>
          <w:color w:val="000000" w:themeColor="text1"/>
          <w14:textFill>
            <w14:solidFill>
              <w14:schemeClr w14:val="tx1"/>
            </w14:solidFill>
          </w14:textFill>
        </w:rPr>
        <w:t>1</w:t>
      </w:r>
      <w:r>
        <w:rPr>
          <w:rFonts w:hint="eastAsia"/>
          <w:color w:val="000000" w:themeColor="text1"/>
          <w14:textFill>
            <w14:solidFill>
              <w14:schemeClr w14:val="tx1"/>
            </w14:solidFill>
          </w14:textFill>
        </w:rPr>
        <w:t>日；</w:t>
      </w:r>
    </w:p>
    <w:p w14:paraId="3228C824">
      <w:pPr>
        <w:pStyle w:val="117"/>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color w:val="000000" w:themeColor="text1"/>
          <w14:textFill>
            <w14:solidFill>
              <w14:schemeClr w14:val="tx1"/>
            </w14:solidFill>
          </w14:textFill>
        </w:rPr>
        <w:t>5</w:t>
      </w:r>
      <w:r>
        <w:rPr>
          <w:rFonts w:hint="eastAsia"/>
          <w:color w:val="000000" w:themeColor="text1"/>
          <w14:textFill>
            <w14:solidFill>
              <w14:schemeClr w14:val="tx1"/>
            </w14:solidFill>
          </w14:textFill>
        </w:rPr>
        <w:t>）《排污单位自行监测技术指南</w:t>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陆上石油天然气开采</w:t>
      </w:r>
      <w:r>
        <w:rPr>
          <w:rFonts w:hint="eastAsia"/>
          <w:color w:val="000000" w:themeColor="text1"/>
          <w:lang w:val="en-US" w:eastAsia="zh-CN"/>
          <w14:textFill>
            <w14:solidFill>
              <w14:schemeClr w14:val="tx1"/>
            </w14:solidFill>
          </w14:textFill>
        </w:rPr>
        <w:t>工</w:t>
      </w:r>
      <w:r>
        <w:rPr>
          <w:rFonts w:hint="eastAsia"/>
          <w:color w:val="000000" w:themeColor="text1"/>
          <w14:textFill>
            <w14:solidFill>
              <w14:schemeClr w14:val="tx1"/>
            </w14:solidFill>
          </w14:textFill>
        </w:rPr>
        <w:t>业》（</w:t>
      </w:r>
      <w:bookmarkStart w:id="914" w:name="_GoBack"/>
      <w:r>
        <w:rPr>
          <w:rFonts w:hint="eastAsia"/>
          <w:color w:val="000000" w:themeColor="text1"/>
          <w14:textFill>
            <w14:solidFill>
              <w14:schemeClr w14:val="tx1"/>
            </w14:solidFill>
          </w14:textFill>
        </w:rPr>
        <w:t>H</w:t>
      </w:r>
      <w:r>
        <w:rPr>
          <w:color w:val="000000" w:themeColor="text1"/>
          <w14:textFill>
            <w14:solidFill>
              <w14:schemeClr w14:val="tx1"/>
            </w14:solidFill>
          </w14:textFill>
        </w:rPr>
        <w:t>J1248</w:t>
      </w:r>
      <w:bookmarkEnd w:id="914"/>
      <w:r>
        <w:rPr>
          <w:color w:val="000000" w:themeColor="text1"/>
          <w14:textFill>
            <w14:solidFill>
              <w14:schemeClr w14:val="tx1"/>
            </w14:solidFill>
          </w14:textFill>
        </w:rPr>
        <w:t>-2022</w:t>
      </w:r>
      <w:r>
        <w:rPr>
          <w:rFonts w:hint="eastAsia"/>
          <w:color w:val="000000" w:themeColor="text1"/>
          <w14:textFill>
            <w14:solidFill>
              <w14:schemeClr w14:val="tx1"/>
            </w14:solidFill>
          </w14:textFill>
        </w:rPr>
        <w:t>），2</w:t>
      </w:r>
      <w:r>
        <w:rPr>
          <w:color w:val="000000" w:themeColor="text1"/>
          <w14:textFill>
            <w14:solidFill>
              <w14:schemeClr w14:val="tx1"/>
            </w14:solidFill>
          </w14:textFill>
        </w:rPr>
        <w:t>022</w:t>
      </w:r>
      <w:r>
        <w:rPr>
          <w:rFonts w:hint="eastAsia"/>
          <w:color w:val="000000" w:themeColor="text1"/>
          <w14:textFill>
            <w14:solidFill>
              <w14:schemeClr w14:val="tx1"/>
            </w14:solidFill>
          </w14:textFill>
        </w:rPr>
        <w:t>年07月01日。</w:t>
      </w:r>
    </w:p>
    <w:p w14:paraId="6192E425">
      <w:pPr>
        <w:pStyle w:val="117"/>
        <w:ind w:firstLine="480"/>
        <w:rPr>
          <w:rFonts w:hint="eastAsia" w:cs="宋体"/>
          <w:color w:val="000000" w:themeColor="text1"/>
          <w14:textFill>
            <w14:solidFill>
              <w14:schemeClr w14:val="tx1"/>
            </w14:solidFill>
          </w14:textFill>
        </w:rPr>
      </w:pPr>
      <w:r>
        <w:rPr>
          <w:rFonts w:hint="eastAsia"/>
          <w:color w:val="000000" w:themeColor="text1"/>
          <w14:textFill>
            <w14:solidFill>
              <w14:schemeClr w14:val="tx1"/>
            </w14:solidFill>
          </w14:textFill>
        </w:rPr>
        <w:t>（</w:t>
      </w:r>
      <w:r>
        <w:rPr>
          <w:color w:val="000000" w:themeColor="text1"/>
          <w14:textFill>
            <w14:solidFill>
              <w14:schemeClr w14:val="tx1"/>
            </w14:solidFill>
          </w14:textFill>
        </w:rPr>
        <w:t>16</w:t>
      </w:r>
      <w:r>
        <w:rPr>
          <w:rFonts w:hint="eastAsia"/>
          <w:color w:val="000000" w:themeColor="text1"/>
          <w14:textFill>
            <w14:solidFill>
              <w14:schemeClr w14:val="tx1"/>
            </w14:solidFill>
          </w14:textFill>
        </w:rPr>
        <w:t>）</w:t>
      </w:r>
      <w:r>
        <w:rPr>
          <w:rFonts w:hint="eastAsia" w:cs="宋体"/>
          <w:color w:val="000000" w:themeColor="text1"/>
          <w14:textFill>
            <w14:solidFill>
              <w14:schemeClr w14:val="tx1"/>
            </w14:solidFill>
          </w14:textFill>
        </w:rPr>
        <w:t>《危险废物收集 贮存 运输技术规范》（HJ2025-2012），2013年03月01日。</w:t>
      </w:r>
    </w:p>
    <w:bookmarkEnd w:id="69"/>
    <w:bookmarkEnd w:id="70"/>
    <w:bookmarkEnd w:id="71"/>
    <w:p w14:paraId="5B473BD4">
      <w:pPr>
        <w:pStyle w:val="4"/>
        <w:rPr>
          <w:rFonts w:hint="eastAsia"/>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相关文件和技术资料</w:t>
      </w:r>
      <w:bookmarkEnd w:id="66"/>
      <w:bookmarkEnd w:id="67"/>
      <w:bookmarkEnd w:id="68"/>
    </w:p>
    <w:p w14:paraId="56CF0C6E">
      <w:pPr>
        <w:pStyle w:val="117"/>
        <w:ind w:firstLine="480"/>
        <w:rPr>
          <w:rFonts w:hint="eastAsia"/>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（1）《新疆吉木萨尔页岩油注CO</w:t>
      </w:r>
      <w:r>
        <w:rPr>
          <w:rFonts w:hint="eastAsia"/>
          <w:color w:val="000000" w:themeColor="text1"/>
          <w:vertAlign w:val="subscript"/>
          <w:lang w:val="zh-CN"/>
          <w14:textFill>
            <w14:solidFill>
              <w14:schemeClr w14:val="tx1"/>
            </w14:solidFill>
          </w14:textFill>
        </w:rPr>
        <w:t>2</w:t>
      </w:r>
      <w:r>
        <w:rPr>
          <w:rFonts w:hint="eastAsia"/>
          <w:color w:val="000000" w:themeColor="text1"/>
          <w:lang w:val="zh-CN"/>
          <w14:textFill>
            <w14:solidFill>
              <w14:schemeClr w14:val="tx1"/>
            </w14:solidFill>
          </w14:textFill>
        </w:rPr>
        <w:t>提高采收率先导试验项目</w:t>
      </w:r>
      <w:r>
        <w:rPr>
          <w:rFonts w:hint="eastAsia"/>
          <w:color w:val="000000" w:themeColor="text1"/>
          <w14:textFill>
            <w14:solidFill>
              <w14:schemeClr w14:val="tx1"/>
            </w14:solidFill>
          </w14:textFill>
        </w:rPr>
        <w:t>环评委托书》，2025</w:t>
      </w:r>
      <w:r>
        <w:rPr>
          <w:rFonts w:hint="eastAsia"/>
          <w:color w:val="000000" w:themeColor="text1"/>
          <w:lang w:val="zh-CN"/>
          <w14:textFill>
            <w14:solidFill>
              <w14:schemeClr w14:val="tx1"/>
            </w14:solidFill>
          </w14:textFill>
        </w:rPr>
        <w:t>年0</w:t>
      </w:r>
      <w:r>
        <w:rPr>
          <w:rFonts w:hint="eastAsia"/>
          <w:color w:val="000000" w:themeColor="text1"/>
          <w14:textFill>
            <w14:solidFill>
              <w14:schemeClr w14:val="tx1"/>
            </w14:solidFill>
          </w14:textFill>
        </w:rPr>
        <w:t>7</w:t>
      </w:r>
      <w:r>
        <w:rPr>
          <w:rFonts w:hint="eastAsia"/>
          <w:color w:val="000000" w:themeColor="text1"/>
          <w:lang w:val="zh-CN"/>
          <w14:textFill>
            <w14:solidFill>
              <w14:schemeClr w14:val="tx1"/>
            </w14:solidFill>
          </w14:textFill>
        </w:rPr>
        <w:t>月；</w:t>
      </w:r>
    </w:p>
    <w:p w14:paraId="601CBEB0">
      <w:pPr>
        <w:pStyle w:val="117"/>
        <w:ind w:firstLine="480"/>
        <w:rPr>
          <w:rFonts w:hint="eastAsia"/>
          <w:color w:val="000000" w:themeColor="text1"/>
          <w:lang w:val="zh-CN"/>
          <w14:textFill>
            <w14:solidFill>
              <w14:schemeClr w14:val="tx1"/>
            </w14:solidFill>
          </w14:textFill>
        </w:rPr>
      </w:pPr>
      <w:bookmarkStart w:id="72" w:name="_Hlk173402592"/>
      <w:r>
        <w:rPr>
          <w:rFonts w:hint="eastAsia"/>
          <w:color w:val="000000" w:themeColor="text1"/>
          <w:lang w:val="zh-CN"/>
          <w14:textFill>
            <w14:solidFill>
              <w14:schemeClr w14:val="tx1"/>
            </w14:solidFill>
          </w14:textFill>
        </w:rPr>
        <w:t>（2）</w:t>
      </w:r>
      <w:bookmarkStart w:id="73" w:name="_Hlk173401888"/>
      <w:r>
        <w:rPr>
          <w:rFonts w:hint="eastAsia"/>
          <w:color w:val="000000" w:themeColor="text1"/>
          <w:lang w:val="zh-CN"/>
          <w14:textFill>
            <w14:solidFill>
              <w14:schemeClr w14:val="tx1"/>
            </w14:solidFill>
          </w14:textFill>
        </w:rPr>
        <w:t>《新疆吉木萨尔页岩油注CO</w:t>
      </w:r>
      <w:r>
        <w:rPr>
          <w:rFonts w:hint="eastAsia"/>
          <w:color w:val="000000" w:themeColor="text1"/>
          <w:vertAlign w:val="subscript"/>
          <w:lang w:val="zh-CN"/>
          <w14:textFill>
            <w14:solidFill>
              <w14:schemeClr w14:val="tx1"/>
            </w14:solidFill>
          </w14:textFill>
        </w:rPr>
        <w:t>2</w:t>
      </w:r>
      <w:r>
        <w:rPr>
          <w:rFonts w:hint="eastAsia"/>
          <w:color w:val="000000" w:themeColor="text1"/>
          <w:lang w:val="zh-CN"/>
          <w14:textFill>
            <w14:solidFill>
              <w14:schemeClr w14:val="tx1"/>
            </w14:solidFill>
          </w14:textFill>
        </w:rPr>
        <w:t>提高采收率先导试验方案（地面工程）》</w:t>
      </w:r>
      <w:bookmarkEnd w:id="73"/>
      <w:r>
        <w:rPr>
          <w:rFonts w:hint="eastAsia"/>
          <w:color w:val="000000" w:themeColor="text1"/>
          <w:lang w:val="zh-CN"/>
          <w14:textFill>
            <w14:solidFill>
              <w14:schemeClr w14:val="tx1"/>
            </w14:solidFill>
          </w14:textFill>
        </w:rPr>
        <w:t>，2025年04月；</w:t>
      </w:r>
    </w:p>
    <w:p w14:paraId="49CC40E6">
      <w:pPr>
        <w:pStyle w:val="117"/>
        <w:ind w:firstLine="480"/>
        <w:rPr>
          <w:rFonts w:hint="eastAsia"/>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（3）《新疆吉木萨尔页岩油注CO</w:t>
      </w:r>
      <w:r>
        <w:rPr>
          <w:rFonts w:hint="eastAsia"/>
          <w:color w:val="000000" w:themeColor="text1"/>
          <w:vertAlign w:val="subscript"/>
          <w:lang w:val="zh-CN"/>
          <w14:textFill>
            <w14:solidFill>
              <w14:schemeClr w14:val="tx1"/>
            </w14:solidFill>
          </w14:textFill>
        </w:rPr>
        <w:t>2</w:t>
      </w:r>
      <w:r>
        <w:rPr>
          <w:rFonts w:hint="eastAsia"/>
          <w:color w:val="000000" w:themeColor="text1"/>
          <w:lang w:val="zh-CN"/>
          <w14:textFill>
            <w14:solidFill>
              <w14:schemeClr w14:val="tx1"/>
            </w14:solidFill>
          </w14:textFill>
        </w:rPr>
        <w:t>提高采收率先导试验方案（采油工程方案）》，2025年06月；</w:t>
      </w:r>
    </w:p>
    <w:p w14:paraId="3BE2A507">
      <w:pPr>
        <w:pStyle w:val="117"/>
        <w:ind w:firstLine="480"/>
        <w:rPr>
          <w:rFonts w:hint="eastAsia"/>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（4）《新疆吉木萨尔页岩油注CO</w:t>
      </w:r>
      <w:r>
        <w:rPr>
          <w:rFonts w:hint="eastAsia"/>
          <w:color w:val="000000" w:themeColor="text1"/>
          <w:vertAlign w:val="subscript"/>
          <w:lang w:val="zh-CN"/>
          <w14:textFill>
            <w14:solidFill>
              <w14:schemeClr w14:val="tx1"/>
            </w14:solidFill>
          </w14:textFill>
        </w:rPr>
        <w:t>2</w:t>
      </w:r>
      <w:r>
        <w:rPr>
          <w:rFonts w:hint="eastAsia"/>
          <w:color w:val="000000" w:themeColor="text1"/>
          <w:lang w:val="zh-CN"/>
          <w14:textFill>
            <w14:solidFill>
              <w14:schemeClr w14:val="tx1"/>
            </w14:solidFill>
          </w14:textFill>
        </w:rPr>
        <w:t>提高采收率先导试验方案（地质油藏工程方案）》，2025年03月。</w:t>
      </w:r>
    </w:p>
    <w:bookmarkEnd w:id="72"/>
    <w:p w14:paraId="00E1BF7C">
      <w:pPr>
        <w:pStyle w:val="2"/>
        <w:rPr>
          <w:rFonts w:hint="eastAsia"/>
          <w:color w:val="000000" w:themeColor="text1"/>
          <w:lang w:val="zh-CN"/>
          <w14:textFill>
            <w14:solidFill>
              <w14:schemeClr w14:val="tx1"/>
            </w14:solidFill>
          </w14:textFill>
        </w:rPr>
      </w:pPr>
      <w:bookmarkStart w:id="74" w:name="_Toc475624460"/>
      <w:bookmarkStart w:id="75" w:name="_Toc216260233"/>
      <w:r>
        <w:rPr>
          <w:rFonts w:hint="eastAsia"/>
          <w:color w:val="000000" w:themeColor="text1"/>
          <w:lang w:val="zh-CN"/>
          <w14:textFill>
            <w14:solidFill>
              <w14:schemeClr w14:val="tx1"/>
            </w14:solidFill>
          </w14:textFill>
        </w:rPr>
        <w:t>评价目的与原则</w:t>
      </w:r>
      <w:bookmarkEnd w:id="74"/>
      <w:bookmarkEnd w:id="75"/>
    </w:p>
    <w:p w14:paraId="6F7BA587">
      <w:pPr>
        <w:pStyle w:val="4"/>
        <w:rPr>
          <w:rFonts w:hint="eastAsia"/>
          <w:color w:val="000000" w:themeColor="text1"/>
          <w:lang w:val="zh-CN"/>
          <w14:textFill>
            <w14:solidFill>
              <w14:schemeClr w14:val="tx1"/>
            </w14:solidFill>
          </w14:textFill>
        </w:rPr>
      </w:pPr>
      <w:bookmarkStart w:id="76" w:name="_Toc445841963"/>
      <w:bookmarkStart w:id="77" w:name="_Toc19120"/>
      <w:bookmarkStart w:id="78" w:name="_Toc445996325"/>
      <w:r>
        <w:rPr>
          <w:rFonts w:hint="eastAsia"/>
          <w:color w:val="000000" w:themeColor="text1"/>
          <w:lang w:val="zh-CN"/>
          <w14:textFill>
            <w14:solidFill>
              <w14:schemeClr w14:val="tx1"/>
            </w14:solidFill>
          </w14:textFill>
        </w:rPr>
        <w:t>评价目的</w:t>
      </w:r>
      <w:bookmarkEnd w:id="76"/>
      <w:bookmarkEnd w:id="77"/>
      <w:bookmarkEnd w:id="78"/>
    </w:p>
    <w:p w14:paraId="758A0FB2">
      <w:pPr>
        <w:pStyle w:val="117"/>
        <w:ind w:firstLine="480"/>
        <w:rPr>
          <w:rFonts w:hint="eastAsia"/>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w:t>
      </w:r>
      <w:r>
        <w:rPr>
          <w:color w:val="000000" w:themeColor="text1"/>
          <w:lang w:val="zh-CN"/>
          <w14:textFill>
            <w14:solidFill>
              <w14:schemeClr w14:val="tx1"/>
            </w14:solidFill>
          </w14:textFill>
        </w:rPr>
        <w:t>1）通过</w:t>
      </w:r>
      <w:r>
        <w:rPr>
          <w:rFonts w:hint="eastAsia"/>
          <w:color w:val="000000" w:themeColor="text1"/>
          <w:lang w:val="zh-CN"/>
          <w14:textFill>
            <w14:solidFill>
              <w14:schemeClr w14:val="tx1"/>
            </w14:solidFill>
          </w14:textFill>
        </w:rPr>
        <w:t>现场</w:t>
      </w:r>
      <w:r>
        <w:rPr>
          <w:color w:val="000000" w:themeColor="text1"/>
          <w:lang w:val="zh-CN"/>
          <w14:textFill>
            <w14:solidFill>
              <w14:schemeClr w14:val="tx1"/>
            </w14:solidFill>
          </w14:textFill>
        </w:rPr>
        <w:t>调查</w:t>
      </w:r>
      <w:r>
        <w:rPr>
          <w:rFonts w:hint="eastAsia"/>
          <w:color w:val="000000" w:themeColor="text1"/>
          <w:lang w:val="zh-CN"/>
          <w14:textFill>
            <w14:solidFill>
              <w14:schemeClr w14:val="tx1"/>
            </w14:solidFill>
          </w14:textFill>
        </w:rPr>
        <w:t>和环境质量</w:t>
      </w:r>
      <w:r>
        <w:rPr>
          <w:color w:val="000000" w:themeColor="text1"/>
          <w:lang w:val="zh-CN"/>
          <w14:textFill>
            <w14:solidFill>
              <w14:schemeClr w14:val="tx1"/>
            </w14:solidFill>
          </w14:textFill>
        </w:rPr>
        <w:t>现状监测</w:t>
      </w:r>
      <w:r>
        <w:rPr>
          <w:rFonts w:hint="eastAsia"/>
          <w:color w:val="000000" w:themeColor="text1"/>
          <w:lang w:val="zh-CN"/>
          <w14:textFill>
            <w14:solidFill>
              <w14:schemeClr w14:val="tx1"/>
            </w14:solidFill>
          </w14:textFill>
        </w:rPr>
        <w:t>，</w:t>
      </w:r>
      <w:r>
        <w:rPr>
          <w:color w:val="000000" w:themeColor="text1"/>
          <w:lang w:val="zh-CN"/>
          <w14:textFill>
            <w14:solidFill>
              <w14:schemeClr w14:val="tx1"/>
            </w14:solidFill>
          </w14:textFill>
        </w:rPr>
        <w:t>了解</w:t>
      </w:r>
      <w:r>
        <w:rPr>
          <w:rFonts w:hint="eastAsia"/>
          <w:color w:val="000000" w:themeColor="text1"/>
          <w:lang w:val="zh-CN"/>
          <w14:textFill>
            <w14:solidFill>
              <w14:schemeClr w14:val="tx1"/>
            </w14:solidFill>
          </w14:textFill>
        </w:rPr>
        <w:t>建设项目</w:t>
      </w:r>
      <w:r>
        <w:rPr>
          <w:color w:val="000000" w:themeColor="text1"/>
          <w:lang w:val="zh-CN"/>
          <w14:textFill>
            <w14:solidFill>
              <w14:schemeClr w14:val="tx1"/>
            </w14:solidFill>
          </w14:textFill>
        </w:rPr>
        <w:t>所在地的自然环境</w:t>
      </w:r>
      <w:r>
        <w:rPr>
          <w:rFonts w:hint="eastAsia"/>
          <w:color w:val="000000" w:themeColor="text1"/>
          <w:lang w:val="zh-CN"/>
          <w14:textFill>
            <w14:solidFill>
              <w14:schemeClr w14:val="tx1"/>
            </w14:solidFill>
          </w14:textFill>
        </w:rPr>
        <w:t>、大气环境、水环境、声环境、土壤环境及生态环境情况，掌握区域的环境质量现状。</w:t>
      </w:r>
    </w:p>
    <w:p w14:paraId="4C891B5F">
      <w:pPr>
        <w:pStyle w:val="117"/>
        <w:ind w:firstLine="480"/>
        <w:rPr>
          <w:rFonts w:hint="eastAsia"/>
          <w:color w:val="000000" w:themeColor="text1"/>
          <w14:textFill>
            <w14:solidFill>
              <w14:schemeClr w14:val="tx1"/>
            </w14:solidFill>
          </w14:textFill>
        </w:rPr>
      </w:pPr>
      <w:r>
        <w:rPr>
          <w:color w:val="000000" w:themeColor="text1"/>
          <w14:textFill>
            <w14:solidFill>
              <w14:schemeClr w14:val="tx1"/>
            </w14:solidFill>
          </w14:textFill>
        </w:rPr>
        <w:t>（2）通过工程分析，明确施工期、运营期和</w:t>
      </w:r>
      <w:r>
        <w:rPr>
          <w:rFonts w:hint="eastAsia"/>
          <w:color w:val="000000" w:themeColor="text1"/>
          <w14:textFill>
            <w14:solidFill>
              <w14:schemeClr w14:val="tx1"/>
            </w14:solidFill>
          </w14:textFill>
        </w:rPr>
        <w:t>退役期</w:t>
      </w:r>
      <w:r>
        <w:rPr>
          <w:color w:val="000000" w:themeColor="text1"/>
          <w14:textFill>
            <w14:solidFill>
              <w14:schemeClr w14:val="tx1"/>
            </w14:solidFill>
          </w14:textFill>
        </w:rPr>
        <w:t>主要污染源、污染物种类、</w:t>
      </w:r>
      <w:r>
        <w:rPr>
          <w:rFonts w:hint="eastAsia"/>
          <w:color w:val="000000" w:themeColor="text1"/>
          <w14:textFill>
            <w14:solidFill>
              <w14:schemeClr w14:val="tx1"/>
            </w14:solidFill>
          </w14:textFill>
        </w:rPr>
        <w:t>源强、</w:t>
      </w:r>
      <w:r>
        <w:rPr>
          <w:color w:val="000000" w:themeColor="text1"/>
          <w14:textFill>
            <w14:solidFill>
              <w14:schemeClr w14:val="tx1"/>
            </w14:solidFill>
          </w14:textFill>
        </w:rPr>
        <w:t>排放强度</w:t>
      </w:r>
      <w:r>
        <w:rPr>
          <w:rFonts w:hint="eastAsia"/>
          <w:color w:val="000000" w:themeColor="text1"/>
          <w14:textFill>
            <w14:solidFill>
              <w14:schemeClr w14:val="tx1"/>
            </w14:solidFill>
          </w14:textFill>
        </w:rPr>
        <w:t>、排放方式及排放去向</w:t>
      </w:r>
      <w:r>
        <w:rPr>
          <w:color w:val="000000" w:themeColor="text1"/>
          <w14:textFill>
            <w14:solidFill>
              <w14:schemeClr w14:val="tx1"/>
            </w14:solidFill>
          </w14:textFill>
        </w:rPr>
        <w:t>，分析环境污染的影响特征，预测和评价施工期、运营期及</w:t>
      </w:r>
      <w:r>
        <w:rPr>
          <w:rFonts w:hint="eastAsia"/>
          <w:color w:val="000000" w:themeColor="text1"/>
          <w14:textFill>
            <w14:solidFill>
              <w14:schemeClr w14:val="tx1"/>
            </w14:solidFill>
          </w14:textFill>
        </w:rPr>
        <w:t>退役期</w:t>
      </w:r>
      <w:r>
        <w:rPr>
          <w:color w:val="000000" w:themeColor="text1"/>
          <w14:textFill>
            <w14:solidFill>
              <w14:schemeClr w14:val="tx1"/>
            </w14:solidFill>
          </w14:textFill>
        </w:rPr>
        <w:t>对环境的影响程度，</w:t>
      </w:r>
      <w:r>
        <w:rPr>
          <w:rFonts w:hint="eastAsia"/>
          <w:color w:val="000000" w:themeColor="text1"/>
          <w14:textFill>
            <w14:solidFill>
              <w14:schemeClr w14:val="tx1"/>
            </w14:solidFill>
          </w14:textFill>
        </w:rPr>
        <w:t>并对污染物达标排放进行分析</w:t>
      </w:r>
      <w:r>
        <w:rPr>
          <w:color w:val="000000" w:themeColor="text1"/>
          <w14:textFill>
            <w14:solidFill>
              <w14:schemeClr w14:val="tx1"/>
            </w14:solidFill>
          </w14:textFill>
        </w:rPr>
        <w:t>。</w:t>
      </w:r>
    </w:p>
    <w:p w14:paraId="42EBE128">
      <w:pPr>
        <w:pStyle w:val="117"/>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（3）</w:t>
      </w:r>
      <w:bookmarkStart w:id="79" w:name="_Hlk33042281"/>
      <w:r>
        <w:rPr>
          <w:rFonts w:hint="eastAsia"/>
          <w:color w:val="000000" w:themeColor="text1"/>
          <w14:textFill>
            <w14:solidFill>
              <w14:schemeClr w14:val="tx1"/>
            </w14:solidFill>
          </w14:textFill>
        </w:rPr>
        <w:t>提出预防或者减轻不良环境影响的对策和措施，并论述拟采取的环境保护措施的可行性和合理性。</w:t>
      </w:r>
    </w:p>
    <w:bookmarkEnd w:id="79"/>
    <w:p w14:paraId="6E29869B">
      <w:pPr>
        <w:pStyle w:val="117"/>
        <w:ind w:firstLine="480"/>
        <w:rPr>
          <w:rFonts w:hint="eastAsia"/>
          <w:color w:val="000000" w:themeColor="text1"/>
          <w14:textFill>
            <w14:solidFill>
              <w14:schemeClr w14:val="tx1"/>
            </w14:solidFill>
          </w14:textFill>
        </w:rPr>
      </w:pPr>
      <w:r>
        <w:rPr>
          <w:color w:val="000000" w:themeColor="text1"/>
          <w14:textFill>
            <w14:solidFill>
              <w14:schemeClr w14:val="tx1"/>
            </w14:solidFill>
          </w14:textFill>
        </w:rPr>
        <w:t>（4）分析可能存在的</w:t>
      </w:r>
      <w:r>
        <w:rPr>
          <w:rFonts w:hint="eastAsia"/>
          <w:color w:val="000000" w:themeColor="text1"/>
          <w14:textFill>
            <w14:solidFill>
              <w14:schemeClr w14:val="tx1"/>
            </w14:solidFill>
          </w14:textFill>
        </w:rPr>
        <w:t>环境风险</w:t>
      </w:r>
      <w:r>
        <w:rPr>
          <w:color w:val="000000" w:themeColor="text1"/>
          <w14:textFill>
            <w14:solidFill>
              <w14:schemeClr w14:val="tx1"/>
            </w14:solidFill>
          </w14:textFill>
        </w:rPr>
        <w:t>事故隐患，</w:t>
      </w:r>
      <w:r>
        <w:rPr>
          <w:rFonts w:hint="eastAsia"/>
          <w:color w:val="000000" w:themeColor="text1"/>
          <w14:textFill>
            <w14:solidFill>
              <w14:schemeClr w14:val="tx1"/>
            </w14:solidFill>
          </w14:textFill>
        </w:rPr>
        <w:t>分析环境</w:t>
      </w:r>
      <w:r>
        <w:rPr>
          <w:color w:val="000000" w:themeColor="text1"/>
          <w14:textFill>
            <w14:solidFill>
              <w14:schemeClr w14:val="tx1"/>
            </w14:solidFill>
          </w14:textFill>
        </w:rPr>
        <w:t>风险事故可能产生的环境影响程度，提出环境风险防范措施。</w:t>
      </w:r>
    </w:p>
    <w:p w14:paraId="4A1DE8A9">
      <w:pPr>
        <w:pStyle w:val="117"/>
        <w:ind w:firstLine="480"/>
        <w:rPr>
          <w:rFonts w:hint="eastAsia"/>
          <w:color w:val="000000" w:themeColor="text1"/>
          <w14:textFill>
            <w14:solidFill>
              <w14:schemeClr w14:val="tx1"/>
            </w14:solidFill>
          </w14:textFill>
        </w:rPr>
      </w:pPr>
      <w:bookmarkStart w:id="80" w:name="_Hlk33042290"/>
      <w:r>
        <w:rPr>
          <w:rFonts w:hint="eastAsia"/>
          <w:color w:val="000000" w:themeColor="text1"/>
          <w:kern w:val="0"/>
          <w:szCs w:val="20"/>
          <w:lang w:bidi="ar"/>
          <w14:textFill>
            <w14:solidFill>
              <w14:schemeClr w14:val="tx1"/>
            </w14:solidFill>
          </w14:textFill>
        </w:rPr>
        <w:t>（5）通过上述评价，论证项目在环境方面的可行性，给出环境影响评价结论，为生态环境主管部门提供决策依据。</w:t>
      </w:r>
    </w:p>
    <w:bookmarkEnd w:id="80"/>
    <w:p w14:paraId="78737B13">
      <w:pPr>
        <w:pStyle w:val="4"/>
        <w:rPr>
          <w:rFonts w:hint="eastAsia"/>
          <w:color w:val="000000" w:themeColor="text1"/>
          <w:lang w:val="zh-CN"/>
          <w14:textFill>
            <w14:solidFill>
              <w14:schemeClr w14:val="tx1"/>
            </w14:solidFill>
          </w14:textFill>
        </w:rPr>
      </w:pPr>
      <w:bookmarkStart w:id="81" w:name="_Toc445841964"/>
      <w:bookmarkStart w:id="82" w:name="_Toc27929"/>
      <w:bookmarkStart w:id="83" w:name="_Toc445996326"/>
      <w:r>
        <w:rPr>
          <w:rFonts w:hint="eastAsia"/>
          <w:color w:val="000000" w:themeColor="text1"/>
          <w:lang w:val="zh-CN"/>
          <w14:textFill>
            <w14:solidFill>
              <w14:schemeClr w14:val="tx1"/>
            </w14:solidFill>
          </w14:textFill>
        </w:rPr>
        <w:t>评价原则</w:t>
      </w:r>
      <w:bookmarkEnd w:id="81"/>
      <w:bookmarkEnd w:id="82"/>
      <w:bookmarkEnd w:id="83"/>
    </w:p>
    <w:p w14:paraId="01458663">
      <w:pPr>
        <w:pStyle w:val="117"/>
        <w:ind w:firstLine="480"/>
        <w:rPr>
          <w:rFonts w:hint="eastAsia"/>
          <w:color w:val="000000" w:themeColor="text1"/>
          <w14:textFill>
            <w14:solidFill>
              <w14:schemeClr w14:val="tx1"/>
            </w14:solidFill>
          </w14:textFill>
        </w:rPr>
      </w:pPr>
      <w:bookmarkStart w:id="84" w:name="_Hlk33042321"/>
      <w:r>
        <w:rPr>
          <w:rFonts w:hint="eastAsia"/>
          <w:color w:val="000000" w:themeColor="text1"/>
          <w14:textFill>
            <w14:solidFill>
              <w14:schemeClr w14:val="tx1"/>
            </w14:solidFill>
          </w14:textFill>
        </w:rPr>
        <w:t>突出环境影响评价的源头预防作用，坚持保护和改善环境质量。</w:t>
      </w:r>
    </w:p>
    <w:bookmarkEnd w:id="84"/>
    <w:p w14:paraId="63412874">
      <w:pPr>
        <w:pStyle w:val="117"/>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（1）依法评价</w:t>
      </w:r>
    </w:p>
    <w:p w14:paraId="55B9D597">
      <w:pPr>
        <w:pStyle w:val="117"/>
        <w:spacing w:line="480" w:lineRule="exact"/>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贯彻执行国家和地方环境保护相关法律法规、标准、政策和规划等，优化项目建设、服务环境管理。</w:t>
      </w:r>
    </w:p>
    <w:p w14:paraId="5543D2ED">
      <w:pPr>
        <w:pStyle w:val="117"/>
        <w:spacing w:line="480" w:lineRule="exact"/>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（2）科学评价</w:t>
      </w:r>
    </w:p>
    <w:p w14:paraId="25FFBC78">
      <w:pPr>
        <w:pStyle w:val="117"/>
        <w:adjustRightInd w:val="0"/>
        <w:snapToGrid w:val="0"/>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采用规范的环境影响评价方法，科学分析项目建设对环境质量的影响。</w:t>
      </w:r>
    </w:p>
    <w:p w14:paraId="5EEE106C">
      <w:pPr>
        <w:pStyle w:val="117"/>
        <w:spacing w:line="480" w:lineRule="exact"/>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（3）突出重点</w:t>
      </w:r>
    </w:p>
    <w:p w14:paraId="6DF8EE5A">
      <w:pPr>
        <w:pStyle w:val="117"/>
        <w:spacing w:line="480" w:lineRule="exact"/>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根据建设项目的工程内容及其特点，明确与环境要素间的作用效应关系，充分利用符合时效的数据资料及成果，对主要环境影响予以重点分析和评价。</w:t>
      </w:r>
    </w:p>
    <w:p w14:paraId="01DCDADA">
      <w:pPr>
        <w:pStyle w:val="2"/>
        <w:spacing w:line="480" w:lineRule="exact"/>
        <w:rPr>
          <w:rFonts w:hint="eastAsia"/>
          <w:color w:val="000000" w:themeColor="text1"/>
          <w:lang w:val="zh-CN"/>
          <w14:textFill>
            <w14:solidFill>
              <w14:schemeClr w14:val="tx1"/>
            </w14:solidFill>
          </w14:textFill>
        </w:rPr>
      </w:pPr>
      <w:bookmarkStart w:id="85" w:name="_Toc216260234"/>
      <w:r>
        <w:rPr>
          <w:rFonts w:hint="eastAsia"/>
          <w:color w:val="000000" w:themeColor="text1"/>
          <w:lang w:val="zh-CN"/>
          <w14:textFill>
            <w14:solidFill>
              <w14:schemeClr w14:val="tx1"/>
            </w14:solidFill>
          </w14:textFill>
        </w:rPr>
        <w:t>评价时段</w:t>
      </w:r>
      <w:bookmarkEnd w:id="85"/>
    </w:p>
    <w:p w14:paraId="10C47CE5">
      <w:pPr>
        <w:pStyle w:val="117"/>
        <w:spacing w:line="480" w:lineRule="exact"/>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根据项目特点，确定评价时段为施工期、运营期和退役期，其中以施工期和运营期为主。</w:t>
      </w:r>
    </w:p>
    <w:p w14:paraId="5CF80A4D">
      <w:pPr>
        <w:pStyle w:val="2"/>
        <w:rPr>
          <w:rFonts w:hint="eastAsia"/>
          <w:color w:val="000000" w:themeColor="text1"/>
          <w:lang w:val="zh-CN"/>
          <w14:textFill>
            <w14:solidFill>
              <w14:schemeClr w14:val="tx1"/>
            </w14:solidFill>
          </w14:textFill>
        </w:rPr>
      </w:pPr>
      <w:bookmarkStart w:id="86" w:name="_Toc216260235"/>
      <w:r>
        <w:rPr>
          <w:rFonts w:hint="eastAsia"/>
          <w:color w:val="000000" w:themeColor="text1"/>
          <w:lang w:val="zh-CN"/>
          <w14:textFill>
            <w14:solidFill>
              <w14:schemeClr w14:val="tx1"/>
            </w14:solidFill>
          </w14:textFill>
        </w:rPr>
        <w:t>环境影响因素识别与评价因子确定</w:t>
      </w:r>
      <w:bookmarkEnd w:id="86"/>
    </w:p>
    <w:p w14:paraId="32B003CA">
      <w:pPr>
        <w:pStyle w:val="117"/>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环境影响因素包括：施工期——对环境的影响主要为施工扬尘、施工机械及车辆尾气、管道试压废水、混凝土养护废水、洗井废水、噪声、建筑垃圾及工程占地对生态环境的影响；</w:t>
      </w:r>
    </w:p>
    <w:p w14:paraId="258E31BA">
      <w:pPr>
        <w:pStyle w:val="117"/>
        <w:ind w:firstLine="480"/>
        <w:rPr>
          <w:rFonts w:hint="eastAsia"/>
          <w:color w:val="000000" w:themeColor="text1"/>
          <w14:textFill>
            <w14:solidFill>
              <w14:schemeClr w14:val="tx1"/>
            </w14:solidFill>
          </w14:textFill>
        </w:rPr>
      </w:pPr>
      <w:bookmarkStart w:id="87" w:name="OLE_LINK133"/>
      <w:r>
        <w:rPr>
          <w:rFonts w:hint="eastAsia"/>
          <w:color w:val="000000" w:themeColor="text1"/>
          <w14:textFill>
            <w14:solidFill>
              <w14:schemeClr w14:val="tx1"/>
            </w14:solidFill>
          </w14:textFill>
        </w:rPr>
        <w:t>运营期——对环境的影响主要为无组织挥发性有机物和无组织硫化氢、洗井废水、井下作业废液、危险废物（废润滑油、废油桶、废含油抹布及劳保用品、废分子筛、沾油废防渗材料）和一般工业固体废物（废包装物）等，各要素的影响程度见表2.4-1。</w:t>
      </w:r>
    </w:p>
    <w:p w14:paraId="5B168223">
      <w:pPr>
        <w:pStyle w:val="15"/>
        <w:rPr>
          <w:rFonts w:hint="eastAsia"/>
          <w:color w:val="000000" w:themeColor="text1"/>
          <w14:textFill>
            <w14:solidFill>
              <w14:schemeClr w14:val="tx1"/>
            </w14:solidFill>
          </w14:textFill>
        </w:rPr>
      </w:pPr>
    </w:p>
    <w:p w14:paraId="098B6331">
      <w:pPr>
        <w:pStyle w:val="15"/>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表2.4-1  环境</w:t>
      </w:r>
      <w:r>
        <w:rPr>
          <w:color w:val="000000" w:themeColor="text1"/>
          <w14:textFill>
            <w14:solidFill>
              <w14:schemeClr w14:val="tx1"/>
            </w14:solidFill>
          </w14:textFill>
        </w:rPr>
        <w:t>影响因素识别一览表</w:t>
      </w:r>
    </w:p>
    <w:tbl>
      <w:tblPr>
        <w:tblStyle w:val="51"/>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518"/>
        <w:gridCol w:w="753"/>
        <w:gridCol w:w="2416"/>
        <w:gridCol w:w="992"/>
        <w:gridCol w:w="705"/>
        <w:gridCol w:w="849"/>
        <w:gridCol w:w="1135"/>
        <w:gridCol w:w="711"/>
        <w:gridCol w:w="651"/>
      </w:tblGrid>
      <w:tr w14:paraId="21849A8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2" w:hRule="atLeast"/>
          <w:tblHeader/>
        </w:trPr>
        <w:tc>
          <w:tcPr>
            <w:tcW w:w="297" w:type="pct"/>
            <w:vMerge w:val="restart"/>
            <w:vAlign w:val="center"/>
          </w:tcPr>
          <w:p w14:paraId="4369068C">
            <w:pPr>
              <w:widowControl/>
              <w:adjustRightInd w:val="0"/>
              <w:snapToGrid w:val="0"/>
              <w:spacing w:line="300" w:lineRule="exact"/>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时段</w:t>
            </w:r>
          </w:p>
        </w:tc>
        <w:tc>
          <w:tcPr>
            <w:tcW w:w="1815" w:type="pct"/>
            <w:gridSpan w:val="2"/>
            <w:vMerge w:val="restart"/>
            <w:vAlign w:val="center"/>
          </w:tcPr>
          <w:p w14:paraId="2F2D0818">
            <w:pPr>
              <w:widowControl/>
              <w:adjustRightInd w:val="0"/>
              <w:snapToGrid w:val="0"/>
              <w:spacing w:line="300" w:lineRule="exact"/>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影响因素</w:t>
            </w:r>
          </w:p>
        </w:tc>
        <w:tc>
          <w:tcPr>
            <w:tcW w:w="2888" w:type="pct"/>
            <w:gridSpan w:val="6"/>
            <w:vAlign w:val="center"/>
          </w:tcPr>
          <w:p w14:paraId="6D9C5563">
            <w:pPr>
              <w:widowControl/>
              <w:adjustRightInd w:val="0"/>
              <w:snapToGrid w:val="0"/>
              <w:spacing w:line="300" w:lineRule="exact"/>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环境要素</w:t>
            </w:r>
          </w:p>
        </w:tc>
      </w:tr>
      <w:tr w14:paraId="412814D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2" w:hRule="atLeast"/>
          <w:tblHeader/>
        </w:trPr>
        <w:tc>
          <w:tcPr>
            <w:tcW w:w="297" w:type="pct"/>
            <w:vMerge w:val="continue"/>
            <w:vAlign w:val="center"/>
          </w:tcPr>
          <w:p w14:paraId="7729AFC4">
            <w:pPr>
              <w:widowControl/>
              <w:adjustRightInd w:val="0"/>
              <w:snapToGrid w:val="0"/>
              <w:spacing w:line="300" w:lineRule="exact"/>
              <w:jc w:val="center"/>
              <w:rPr>
                <w:rFonts w:hint="eastAsia" w:ascii="宋体" w:hAnsi="宋体" w:cs="宋体"/>
                <w:color w:val="000000" w:themeColor="text1"/>
                <w:kern w:val="0"/>
                <w:szCs w:val="21"/>
                <w14:textFill>
                  <w14:solidFill>
                    <w14:schemeClr w14:val="tx1"/>
                  </w14:solidFill>
                </w14:textFill>
              </w:rPr>
            </w:pPr>
          </w:p>
        </w:tc>
        <w:tc>
          <w:tcPr>
            <w:tcW w:w="1815" w:type="pct"/>
            <w:gridSpan w:val="2"/>
            <w:vMerge w:val="continue"/>
            <w:vAlign w:val="center"/>
          </w:tcPr>
          <w:p w14:paraId="1548FA47">
            <w:pPr>
              <w:widowControl/>
              <w:adjustRightInd w:val="0"/>
              <w:snapToGrid w:val="0"/>
              <w:spacing w:line="300" w:lineRule="exact"/>
              <w:jc w:val="center"/>
              <w:rPr>
                <w:rFonts w:hint="eastAsia" w:ascii="宋体" w:hAnsi="宋体" w:cs="宋体"/>
                <w:color w:val="000000" w:themeColor="text1"/>
                <w:kern w:val="0"/>
                <w:szCs w:val="21"/>
                <w14:textFill>
                  <w14:solidFill>
                    <w14:schemeClr w14:val="tx1"/>
                  </w14:solidFill>
                </w14:textFill>
              </w:rPr>
            </w:pPr>
          </w:p>
        </w:tc>
        <w:tc>
          <w:tcPr>
            <w:tcW w:w="568" w:type="pct"/>
            <w:vAlign w:val="center"/>
          </w:tcPr>
          <w:p w14:paraId="2BB623E0">
            <w:pPr>
              <w:widowControl/>
              <w:adjustRightInd w:val="0"/>
              <w:snapToGrid w:val="0"/>
              <w:spacing w:line="300" w:lineRule="exact"/>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环境空气</w:t>
            </w:r>
          </w:p>
        </w:tc>
        <w:tc>
          <w:tcPr>
            <w:tcW w:w="404" w:type="pct"/>
            <w:vAlign w:val="center"/>
          </w:tcPr>
          <w:p w14:paraId="058B170E">
            <w:pPr>
              <w:widowControl/>
              <w:adjustRightInd w:val="0"/>
              <w:snapToGrid w:val="0"/>
              <w:spacing w:line="300" w:lineRule="exact"/>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地下水</w:t>
            </w:r>
          </w:p>
        </w:tc>
        <w:tc>
          <w:tcPr>
            <w:tcW w:w="486" w:type="pct"/>
            <w:vAlign w:val="center"/>
          </w:tcPr>
          <w:p w14:paraId="44001CEC">
            <w:pPr>
              <w:widowControl/>
              <w:adjustRightInd w:val="0"/>
              <w:snapToGrid w:val="0"/>
              <w:spacing w:line="300" w:lineRule="exact"/>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声环境</w:t>
            </w:r>
          </w:p>
        </w:tc>
        <w:tc>
          <w:tcPr>
            <w:tcW w:w="650" w:type="pct"/>
            <w:vAlign w:val="center"/>
          </w:tcPr>
          <w:p w14:paraId="53626359">
            <w:pPr>
              <w:widowControl/>
              <w:adjustRightInd w:val="0"/>
              <w:snapToGrid w:val="0"/>
              <w:spacing w:line="300" w:lineRule="exact"/>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土壤环境</w:t>
            </w:r>
          </w:p>
        </w:tc>
        <w:tc>
          <w:tcPr>
            <w:tcW w:w="407" w:type="pct"/>
            <w:vAlign w:val="center"/>
          </w:tcPr>
          <w:p w14:paraId="008A3077">
            <w:pPr>
              <w:widowControl/>
              <w:adjustRightInd w:val="0"/>
              <w:snapToGrid w:val="0"/>
              <w:spacing w:line="300" w:lineRule="exact"/>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植被</w:t>
            </w:r>
          </w:p>
        </w:tc>
        <w:tc>
          <w:tcPr>
            <w:tcW w:w="373" w:type="pct"/>
            <w:vAlign w:val="center"/>
          </w:tcPr>
          <w:p w14:paraId="5072049E">
            <w:pPr>
              <w:widowControl/>
              <w:adjustRightInd w:val="0"/>
              <w:snapToGrid w:val="0"/>
              <w:spacing w:line="300" w:lineRule="exact"/>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动物</w:t>
            </w:r>
          </w:p>
        </w:tc>
      </w:tr>
      <w:tr w14:paraId="295519C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2" w:hRule="atLeast"/>
        </w:trPr>
        <w:tc>
          <w:tcPr>
            <w:tcW w:w="297" w:type="pct"/>
            <w:vMerge w:val="restart"/>
            <w:vAlign w:val="center"/>
          </w:tcPr>
          <w:p w14:paraId="39B54411">
            <w:pPr>
              <w:widowControl/>
              <w:adjustRightInd w:val="0"/>
              <w:snapToGrid w:val="0"/>
              <w:spacing w:line="300" w:lineRule="exact"/>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施工期</w:t>
            </w:r>
          </w:p>
        </w:tc>
        <w:tc>
          <w:tcPr>
            <w:tcW w:w="431" w:type="pct"/>
            <w:vAlign w:val="center"/>
          </w:tcPr>
          <w:p w14:paraId="7A011B96">
            <w:pPr>
              <w:widowControl/>
              <w:adjustRightInd w:val="0"/>
              <w:snapToGrid w:val="0"/>
              <w:spacing w:line="300" w:lineRule="exact"/>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生态</w:t>
            </w:r>
          </w:p>
        </w:tc>
        <w:tc>
          <w:tcPr>
            <w:tcW w:w="1384" w:type="pct"/>
            <w:vAlign w:val="center"/>
          </w:tcPr>
          <w:p w14:paraId="178C3A69">
            <w:pPr>
              <w:widowControl/>
              <w:adjustRightInd w:val="0"/>
              <w:snapToGrid w:val="0"/>
              <w:spacing w:line="300" w:lineRule="exact"/>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工程占地</w:t>
            </w:r>
          </w:p>
        </w:tc>
        <w:tc>
          <w:tcPr>
            <w:tcW w:w="568" w:type="pct"/>
            <w:vAlign w:val="center"/>
          </w:tcPr>
          <w:p w14:paraId="79A99DCA">
            <w:pPr>
              <w:widowControl/>
              <w:adjustRightInd w:val="0"/>
              <w:snapToGrid w:val="0"/>
              <w:spacing w:line="300" w:lineRule="exact"/>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O</w:t>
            </w:r>
          </w:p>
        </w:tc>
        <w:tc>
          <w:tcPr>
            <w:tcW w:w="404" w:type="pct"/>
            <w:vAlign w:val="center"/>
          </w:tcPr>
          <w:p w14:paraId="7B1751CE">
            <w:pPr>
              <w:widowControl/>
              <w:adjustRightInd w:val="0"/>
              <w:snapToGrid w:val="0"/>
              <w:spacing w:line="300" w:lineRule="exact"/>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O</w:t>
            </w:r>
          </w:p>
        </w:tc>
        <w:tc>
          <w:tcPr>
            <w:tcW w:w="486" w:type="pct"/>
            <w:vAlign w:val="center"/>
          </w:tcPr>
          <w:p w14:paraId="48AA3CC1">
            <w:pPr>
              <w:widowControl/>
              <w:adjustRightInd w:val="0"/>
              <w:snapToGrid w:val="0"/>
              <w:spacing w:line="300" w:lineRule="exact"/>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O</w:t>
            </w:r>
          </w:p>
        </w:tc>
        <w:tc>
          <w:tcPr>
            <w:tcW w:w="650" w:type="pct"/>
            <w:vAlign w:val="center"/>
          </w:tcPr>
          <w:p w14:paraId="45E987C3">
            <w:pPr>
              <w:widowControl/>
              <w:adjustRightInd w:val="0"/>
              <w:snapToGrid w:val="0"/>
              <w:spacing w:line="300" w:lineRule="exact"/>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w:t>
            </w:r>
          </w:p>
        </w:tc>
        <w:tc>
          <w:tcPr>
            <w:tcW w:w="407" w:type="pct"/>
            <w:vAlign w:val="center"/>
          </w:tcPr>
          <w:p w14:paraId="2B0A20E7">
            <w:pPr>
              <w:widowControl/>
              <w:adjustRightInd w:val="0"/>
              <w:snapToGrid w:val="0"/>
              <w:spacing w:line="300" w:lineRule="exact"/>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w:t>
            </w:r>
          </w:p>
        </w:tc>
        <w:tc>
          <w:tcPr>
            <w:tcW w:w="373" w:type="pct"/>
            <w:vAlign w:val="center"/>
          </w:tcPr>
          <w:p w14:paraId="3E9D0852">
            <w:pPr>
              <w:widowControl/>
              <w:adjustRightInd w:val="0"/>
              <w:snapToGrid w:val="0"/>
              <w:spacing w:line="300" w:lineRule="exact"/>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w:t>
            </w:r>
          </w:p>
        </w:tc>
      </w:tr>
      <w:tr w14:paraId="7A0FA48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2" w:hRule="atLeast"/>
        </w:trPr>
        <w:tc>
          <w:tcPr>
            <w:tcW w:w="297" w:type="pct"/>
            <w:vMerge w:val="continue"/>
            <w:vAlign w:val="center"/>
          </w:tcPr>
          <w:p w14:paraId="40CB38B8">
            <w:pPr>
              <w:widowControl/>
              <w:adjustRightInd w:val="0"/>
              <w:snapToGrid w:val="0"/>
              <w:spacing w:line="300" w:lineRule="exact"/>
              <w:jc w:val="center"/>
              <w:rPr>
                <w:rFonts w:hint="eastAsia" w:ascii="宋体" w:hAnsi="宋体" w:cs="宋体"/>
                <w:color w:val="000000" w:themeColor="text1"/>
                <w:kern w:val="0"/>
                <w:szCs w:val="21"/>
                <w14:textFill>
                  <w14:solidFill>
                    <w14:schemeClr w14:val="tx1"/>
                  </w14:solidFill>
                </w14:textFill>
              </w:rPr>
            </w:pPr>
          </w:p>
        </w:tc>
        <w:tc>
          <w:tcPr>
            <w:tcW w:w="431" w:type="pct"/>
            <w:vAlign w:val="center"/>
          </w:tcPr>
          <w:p w14:paraId="4F4BB89E">
            <w:pPr>
              <w:widowControl/>
              <w:adjustRightInd w:val="0"/>
              <w:snapToGrid w:val="0"/>
              <w:spacing w:line="300" w:lineRule="exact"/>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废气</w:t>
            </w:r>
          </w:p>
        </w:tc>
        <w:tc>
          <w:tcPr>
            <w:tcW w:w="1384" w:type="pct"/>
            <w:vAlign w:val="center"/>
          </w:tcPr>
          <w:p w14:paraId="26F67412">
            <w:pPr>
              <w:widowControl/>
              <w:adjustRightInd w:val="0"/>
              <w:snapToGrid w:val="0"/>
              <w:spacing w:line="300" w:lineRule="exact"/>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施工机械及车辆尾气、施工扬尘、焊接烟气</w:t>
            </w:r>
          </w:p>
        </w:tc>
        <w:tc>
          <w:tcPr>
            <w:tcW w:w="568" w:type="pct"/>
            <w:vAlign w:val="center"/>
          </w:tcPr>
          <w:p w14:paraId="57CF94E1">
            <w:pPr>
              <w:widowControl/>
              <w:adjustRightInd w:val="0"/>
              <w:snapToGrid w:val="0"/>
              <w:spacing w:line="300" w:lineRule="exact"/>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w:t>
            </w:r>
          </w:p>
        </w:tc>
        <w:tc>
          <w:tcPr>
            <w:tcW w:w="404" w:type="pct"/>
            <w:vAlign w:val="center"/>
          </w:tcPr>
          <w:p w14:paraId="518F5A5F">
            <w:pPr>
              <w:widowControl/>
              <w:adjustRightInd w:val="0"/>
              <w:snapToGrid w:val="0"/>
              <w:spacing w:line="300" w:lineRule="exact"/>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O</w:t>
            </w:r>
          </w:p>
        </w:tc>
        <w:tc>
          <w:tcPr>
            <w:tcW w:w="486" w:type="pct"/>
            <w:vAlign w:val="center"/>
          </w:tcPr>
          <w:p w14:paraId="038AD82A">
            <w:pPr>
              <w:widowControl/>
              <w:adjustRightInd w:val="0"/>
              <w:snapToGrid w:val="0"/>
              <w:spacing w:line="300" w:lineRule="exact"/>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O</w:t>
            </w:r>
          </w:p>
        </w:tc>
        <w:tc>
          <w:tcPr>
            <w:tcW w:w="650" w:type="pct"/>
            <w:vAlign w:val="center"/>
          </w:tcPr>
          <w:p w14:paraId="00937B15">
            <w:pPr>
              <w:widowControl/>
              <w:adjustRightInd w:val="0"/>
              <w:snapToGrid w:val="0"/>
              <w:spacing w:line="300" w:lineRule="exact"/>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O</w:t>
            </w:r>
          </w:p>
        </w:tc>
        <w:tc>
          <w:tcPr>
            <w:tcW w:w="407" w:type="pct"/>
            <w:vAlign w:val="center"/>
          </w:tcPr>
          <w:p w14:paraId="34E59478">
            <w:pPr>
              <w:widowControl/>
              <w:adjustRightInd w:val="0"/>
              <w:snapToGrid w:val="0"/>
              <w:spacing w:line="300" w:lineRule="exact"/>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w:t>
            </w:r>
          </w:p>
        </w:tc>
        <w:tc>
          <w:tcPr>
            <w:tcW w:w="373" w:type="pct"/>
            <w:vAlign w:val="center"/>
          </w:tcPr>
          <w:p w14:paraId="667D9024">
            <w:pPr>
              <w:widowControl/>
              <w:adjustRightInd w:val="0"/>
              <w:snapToGrid w:val="0"/>
              <w:spacing w:line="300" w:lineRule="exact"/>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w:t>
            </w:r>
          </w:p>
        </w:tc>
      </w:tr>
      <w:tr w14:paraId="2E0C252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2" w:hRule="atLeast"/>
        </w:trPr>
        <w:tc>
          <w:tcPr>
            <w:tcW w:w="297" w:type="pct"/>
            <w:vMerge w:val="continue"/>
            <w:vAlign w:val="center"/>
          </w:tcPr>
          <w:p w14:paraId="4527E9B2">
            <w:pPr>
              <w:widowControl/>
              <w:adjustRightInd w:val="0"/>
              <w:snapToGrid w:val="0"/>
              <w:spacing w:line="300" w:lineRule="exact"/>
              <w:jc w:val="center"/>
              <w:rPr>
                <w:rFonts w:hint="eastAsia" w:ascii="宋体" w:hAnsi="宋体" w:cs="宋体"/>
                <w:color w:val="000000" w:themeColor="text1"/>
                <w:kern w:val="0"/>
                <w:szCs w:val="21"/>
                <w14:textFill>
                  <w14:solidFill>
                    <w14:schemeClr w14:val="tx1"/>
                  </w14:solidFill>
                </w14:textFill>
              </w:rPr>
            </w:pPr>
          </w:p>
        </w:tc>
        <w:tc>
          <w:tcPr>
            <w:tcW w:w="431" w:type="pct"/>
            <w:vAlign w:val="center"/>
          </w:tcPr>
          <w:p w14:paraId="273D27E9">
            <w:pPr>
              <w:widowControl/>
              <w:adjustRightInd w:val="0"/>
              <w:snapToGrid w:val="0"/>
              <w:spacing w:line="300" w:lineRule="exact"/>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废水</w:t>
            </w:r>
          </w:p>
        </w:tc>
        <w:tc>
          <w:tcPr>
            <w:tcW w:w="1384" w:type="pct"/>
            <w:vAlign w:val="center"/>
          </w:tcPr>
          <w:p w14:paraId="7030CBBD">
            <w:pPr>
              <w:widowControl/>
              <w:adjustRightInd w:val="0"/>
              <w:snapToGrid w:val="0"/>
              <w:spacing w:line="300" w:lineRule="exact"/>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管道试压废水、混凝土养护废水、洗井废水</w:t>
            </w:r>
          </w:p>
        </w:tc>
        <w:tc>
          <w:tcPr>
            <w:tcW w:w="568" w:type="pct"/>
            <w:vAlign w:val="center"/>
          </w:tcPr>
          <w:p w14:paraId="1B051769">
            <w:pPr>
              <w:widowControl/>
              <w:adjustRightInd w:val="0"/>
              <w:snapToGrid w:val="0"/>
              <w:spacing w:line="300" w:lineRule="exact"/>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0</w:t>
            </w:r>
          </w:p>
        </w:tc>
        <w:tc>
          <w:tcPr>
            <w:tcW w:w="404" w:type="pct"/>
            <w:vAlign w:val="center"/>
          </w:tcPr>
          <w:p w14:paraId="2D5FD377">
            <w:pPr>
              <w:widowControl/>
              <w:adjustRightInd w:val="0"/>
              <w:snapToGrid w:val="0"/>
              <w:spacing w:line="300" w:lineRule="exact"/>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0</w:t>
            </w:r>
          </w:p>
        </w:tc>
        <w:tc>
          <w:tcPr>
            <w:tcW w:w="486" w:type="pct"/>
            <w:vAlign w:val="center"/>
          </w:tcPr>
          <w:p w14:paraId="5040382C">
            <w:pPr>
              <w:widowControl/>
              <w:adjustRightInd w:val="0"/>
              <w:snapToGrid w:val="0"/>
              <w:spacing w:line="300" w:lineRule="exact"/>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0</w:t>
            </w:r>
          </w:p>
        </w:tc>
        <w:tc>
          <w:tcPr>
            <w:tcW w:w="650" w:type="pct"/>
            <w:vAlign w:val="center"/>
          </w:tcPr>
          <w:p w14:paraId="4AB7D5D0">
            <w:pPr>
              <w:widowControl/>
              <w:adjustRightInd w:val="0"/>
              <w:snapToGrid w:val="0"/>
              <w:spacing w:line="300" w:lineRule="exact"/>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0</w:t>
            </w:r>
          </w:p>
        </w:tc>
        <w:tc>
          <w:tcPr>
            <w:tcW w:w="407" w:type="pct"/>
            <w:vAlign w:val="center"/>
          </w:tcPr>
          <w:p w14:paraId="099260A3">
            <w:pPr>
              <w:widowControl/>
              <w:adjustRightInd w:val="0"/>
              <w:snapToGrid w:val="0"/>
              <w:spacing w:line="300" w:lineRule="exact"/>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0</w:t>
            </w:r>
          </w:p>
        </w:tc>
        <w:tc>
          <w:tcPr>
            <w:tcW w:w="373" w:type="pct"/>
            <w:vAlign w:val="center"/>
          </w:tcPr>
          <w:p w14:paraId="4F91F90C">
            <w:pPr>
              <w:widowControl/>
              <w:adjustRightInd w:val="0"/>
              <w:snapToGrid w:val="0"/>
              <w:spacing w:line="300" w:lineRule="exact"/>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0</w:t>
            </w:r>
          </w:p>
        </w:tc>
      </w:tr>
      <w:tr w14:paraId="0C4FA60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2" w:hRule="atLeast"/>
        </w:trPr>
        <w:tc>
          <w:tcPr>
            <w:tcW w:w="297" w:type="pct"/>
            <w:vMerge w:val="continue"/>
            <w:vAlign w:val="center"/>
          </w:tcPr>
          <w:p w14:paraId="22FA9400">
            <w:pPr>
              <w:widowControl/>
              <w:adjustRightInd w:val="0"/>
              <w:snapToGrid w:val="0"/>
              <w:spacing w:line="300" w:lineRule="exact"/>
              <w:jc w:val="center"/>
              <w:rPr>
                <w:rFonts w:hint="eastAsia" w:ascii="宋体" w:hAnsi="宋体" w:cs="宋体"/>
                <w:color w:val="000000" w:themeColor="text1"/>
                <w:kern w:val="0"/>
                <w:szCs w:val="21"/>
                <w14:textFill>
                  <w14:solidFill>
                    <w14:schemeClr w14:val="tx1"/>
                  </w14:solidFill>
                </w14:textFill>
              </w:rPr>
            </w:pPr>
          </w:p>
        </w:tc>
        <w:tc>
          <w:tcPr>
            <w:tcW w:w="431" w:type="pct"/>
            <w:vAlign w:val="center"/>
          </w:tcPr>
          <w:p w14:paraId="020C9261">
            <w:pPr>
              <w:widowControl/>
              <w:adjustRightInd w:val="0"/>
              <w:snapToGrid w:val="0"/>
              <w:spacing w:line="300" w:lineRule="exact"/>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固废</w:t>
            </w:r>
          </w:p>
        </w:tc>
        <w:tc>
          <w:tcPr>
            <w:tcW w:w="1384" w:type="pct"/>
            <w:vAlign w:val="center"/>
          </w:tcPr>
          <w:p w14:paraId="37584691">
            <w:pPr>
              <w:widowControl/>
              <w:adjustRightInd w:val="0"/>
              <w:snapToGrid w:val="0"/>
              <w:spacing w:line="300" w:lineRule="exact"/>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建筑垃圾</w:t>
            </w:r>
          </w:p>
        </w:tc>
        <w:tc>
          <w:tcPr>
            <w:tcW w:w="568" w:type="pct"/>
            <w:vAlign w:val="center"/>
          </w:tcPr>
          <w:p w14:paraId="5097EC6A">
            <w:pPr>
              <w:widowControl/>
              <w:adjustRightInd w:val="0"/>
              <w:snapToGrid w:val="0"/>
              <w:spacing w:line="300" w:lineRule="exact"/>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O</w:t>
            </w:r>
          </w:p>
        </w:tc>
        <w:tc>
          <w:tcPr>
            <w:tcW w:w="404" w:type="pct"/>
            <w:vAlign w:val="center"/>
          </w:tcPr>
          <w:p w14:paraId="6F5570C7">
            <w:pPr>
              <w:widowControl/>
              <w:adjustRightInd w:val="0"/>
              <w:snapToGrid w:val="0"/>
              <w:spacing w:line="300" w:lineRule="exact"/>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O</w:t>
            </w:r>
          </w:p>
        </w:tc>
        <w:tc>
          <w:tcPr>
            <w:tcW w:w="486" w:type="pct"/>
            <w:vAlign w:val="center"/>
          </w:tcPr>
          <w:p w14:paraId="3BD46D11">
            <w:pPr>
              <w:widowControl/>
              <w:adjustRightInd w:val="0"/>
              <w:snapToGrid w:val="0"/>
              <w:spacing w:line="300" w:lineRule="exact"/>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O</w:t>
            </w:r>
          </w:p>
        </w:tc>
        <w:tc>
          <w:tcPr>
            <w:tcW w:w="650" w:type="pct"/>
            <w:vAlign w:val="center"/>
          </w:tcPr>
          <w:p w14:paraId="5F68F8DE">
            <w:pPr>
              <w:widowControl/>
              <w:adjustRightInd w:val="0"/>
              <w:snapToGrid w:val="0"/>
              <w:spacing w:line="300" w:lineRule="exact"/>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w:t>
            </w:r>
          </w:p>
        </w:tc>
        <w:tc>
          <w:tcPr>
            <w:tcW w:w="407" w:type="pct"/>
            <w:vAlign w:val="center"/>
          </w:tcPr>
          <w:p w14:paraId="592058BA">
            <w:pPr>
              <w:widowControl/>
              <w:adjustRightInd w:val="0"/>
              <w:snapToGrid w:val="0"/>
              <w:spacing w:line="300" w:lineRule="exact"/>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w:t>
            </w:r>
          </w:p>
        </w:tc>
        <w:tc>
          <w:tcPr>
            <w:tcW w:w="373" w:type="pct"/>
            <w:vAlign w:val="center"/>
          </w:tcPr>
          <w:p w14:paraId="48F8CFFB">
            <w:pPr>
              <w:widowControl/>
              <w:adjustRightInd w:val="0"/>
              <w:snapToGrid w:val="0"/>
              <w:spacing w:line="300" w:lineRule="exact"/>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w:t>
            </w:r>
          </w:p>
        </w:tc>
      </w:tr>
      <w:tr w14:paraId="22B70C2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2" w:hRule="atLeast"/>
        </w:trPr>
        <w:tc>
          <w:tcPr>
            <w:tcW w:w="297" w:type="pct"/>
            <w:vMerge w:val="continue"/>
            <w:vAlign w:val="center"/>
          </w:tcPr>
          <w:p w14:paraId="66A220B4">
            <w:pPr>
              <w:widowControl/>
              <w:adjustRightInd w:val="0"/>
              <w:snapToGrid w:val="0"/>
              <w:spacing w:line="300" w:lineRule="exact"/>
              <w:jc w:val="center"/>
              <w:rPr>
                <w:rFonts w:hint="eastAsia" w:ascii="宋体" w:hAnsi="宋体" w:cs="宋体"/>
                <w:color w:val="000000" w:themeColor="text1"/>
                <w:kern w:val="0"/>
                <w:szCs w:val="21"/>
                <w14:textFill>
                  <w14:solidFill>
                    <w14:schemeClr w14:val="tx1"/>
                  </w14:solidFill>
                </w14:textFill>
              </w:rPr>
            </w:pPr>
          </w:p>
        </w:tc>
        <w:tc>
          <w:tcPr>
            <w:tcW w:w="431" w:type="pct"/>
            <w:vAlign w:val="center"/>
          </w:tcPr>
          <w:p w14:paraId="74CD8D60">
            <w:pPr>
              <w:widowControl/>
              <w:adjustRightInd w:val="0"/>
              <w:snapToGrid w:val="0"/>
              <w:spacing w:line="300" w:lineRule="exact"/>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噪声</w:t>
            </w:r>
          </w:p>
        </w:tc>
        <w:tc>
          <w:tcPr>
            <w:tcW w:w="1384" w:type="pct"/>
            <w:vAlign w:val="center"/>
          </w:tcPr>
          <w:p w14:paraId="0CB5A2F9">
            <w:pPr>
              <w:widowControl/>
              <w:adjustRightInd w:val="0"/>
              <w:snapToGrid w:val="0"/>
              <w:spacing w:line="300" w:lineRule="exact"/>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施工车辆、施工设备</w:t>
            </w:r>
          </w:p>
        </w:tc>
        <w:tc>
          <w:tcPr>
            <w:tcW w:w="568" w:type="pct"/>
            <w:vAlign w:val="center"/>
          </w:tcPr>
          <w:p w14:paraId="2F39F11E">
            <w:pPr>
              <w:widowControl/>
              <w:adjustRightInd w:val="0"/>
              <w:snapToGrid w:val="0"/>
              <w:spacing w:line="300" w:lineRule="exact"/>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O</w:t>
            </w:r>
          </w:p>
        </w:tc>
        <w:tc>
          <w:tcPr>
            <w:tcW w:w="404" w:type="pct"/>
            <w:vAlign w:val="center"/>
          </w:tcPr>
          <w:p w14:paraId="5CE3CA63">
            <w:pPr>
              <w:widowControl/>
              <w:adjustRightInd w:val="0"/>
              <w:snapToGrid w:val="0"/>
              <w:spacing w:line="300" w:lineRule="exact"/>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O</w:t>
            </w:r>
          </w:p>
        </w:tc>
        <w:tc>
          <w:tcPr>
            <w:tcW w:w="486" w:type="pct"/>
            <w:vAlign w:val="center"/>
          </w:tcPr>
          <w:p w14:paraId="29D8248A">
            <w:pPr>
              <w:widowControl/>
              <w:adjustRightInd w:val="0"/>
              <w:snapToGrid w:val="0"/>
              <w:spacing w:line="300" w:lineRule="exact"/>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w:t>
            </w:r>
          </w:p>
        </w:tc>
        <w:tc>
          <w:tcPr>
            <w:tcW w:w="650" w:type="pct"/>
            <w:vAlign w:val="center"/>
          </w:tcPr>
          <w:p w14:paraId="63FE7D2D">
            <w:pPr>
              <w:widowControl/>
              <w:adjustRightInd w:val="0"/>
              <w:snapToGrid w:val="0"/>
              <w:spacing w:line="300" w:lineRule="exact"/>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O</w:t>
            </w:r>
          </w:p>
        </w:tc>
        <w:tc>
          <w:tcPr>
            <w:tcW w:w="407" w:type="pct"/>
            <w:vAlign w:val="center"/>
          </w:tcPr>
          <w:p w14:paraId="35150648">
            <w:pPr>
              <w:widowControl/>
              <w:adjustRightInd w:val="0"/>
              <w:snapToGrid w:val="0"/>
              <w:spacing w:line="300" w:lineRule="exact"/>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O</w:t>
            </w:r>
          </w:p>
        </w:tc>
        <w:tc>
          <w:tcPr>
            <w:tcW w:w="373" w:type="pct"/>
            <w:vAlign w:val="center"/>
          </w:tcPr>
          <w:p w14:paraId="029ED752">
            <w:pPr>
              <w:widowControl/>
              <w:adjustRightInd w:val="0"/>
              <w:snapToGrid w:val="0"/>
              <w:spacing w:line="300" w:lineRule="exact"/>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w:t>
            </w:r>
          </w:p>
        </w:tc>
      </w:tr>
      <w:tr w14:paraId="530E0BA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2" w:hRule="atLeast"/>
        </w:trPr>
        <w:tc>
          <w:tcPr>
            <w:tcW w:w="297" w:type="pct"/>
            <w:vMerge w:val="restart"/>
            <w:vAlign w:val="center"/>
          </w:tcPr>
          <w:p w14:paraId="63590F54">
            <w:pPr>
              <w:widowControl/>
              <w:adjustRightInd w:val="0"/>
              <w:snapToGrid w:val="0"/>
              <w:spacing w:line="300" w:lineRule="exact"/>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运营期</w:t>
            </w:r>
          </w:p>
        </w:tc>
        <w:tc>
          <w:tcPr>
            <w:tcW w:w="431" w:type="pct"/>
            <w:vAlign w:val="center"/>
          </w:tcPr>
          <w:p w14:paraId="6AADE2FA">
            <w:pPr>
              <w:widowControl/>
              <w:adjustRightInd w:val="0"/>
              <w:snapToGrid w:val="0"/>
              <w:spacing w:line="300" w:lineRule="exact"/>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废气</w:t>
            </w:r>
          </w:p>
        </w:tc>
        <w:tc>
          <w:tcPr>
            <w:tcW w:w="1384" w:type="pct"/>
            <w:vAlign w:val="center"/>
          </w:tcPr>
          <w:p w14:paraId="2BE98C61">
            <w:pPr>
              <w:widowControl/>
              <w:adjustRightInd w:val="0"/>
              <w:snapToGrid w:val="0"/>
              <w:spacing w:line="300" w:lineRule="exact"/>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无组织挥发烃类、硫化氢</w:t>
            </w:r>
          </w:p>
        </w:tc>
        <w:tc>
          <w:tcPr>
            <w:tcW w:w="568" w:type="pct"/>
            <w:vAlign w:val="center"/>
          </w:tcPr>
          <w:p w14:paraId="39BB2CDF">
            <w:pPr>
              <w:widowControl/>
              <w:adjustRightInd w:val="0"/>
              <w:snapToGrid w:val="0"/>
              <w:spacing w:line="300" w:lineRule="exact"/>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w:t>
            </w:r>
          </w:p>
        </w:tc>
        <w:tc>
          <w:tcPr>
            <w:tcW w:w="404" w:type="pct"/>
            <w:vAlign w:val="center"/>
          </w:tcPr>
          <w:p w14:paraId="5CB5335D">
            <w:pPr>
              <w:widowControl/>
              <w:adjustRightInd w:val="0"/>
              <w:snapToGrid w:val="0"/>
              <w:spacing w:line="300" w:lineRule="exact"/>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O</w:t>
            </w:r>
          </w:p>
        </w:tc>
        <w:tc>
          <w:tcPr>
            <w:tcW w:w="486" w:type="pct"/>
            <w:vAlign w:val="center"/>
          </w:tcPr>
          <w:p w14:paraId="2E805426">
            <w:pPr>
              <w:widowControl/>
              <w:adjustRightInd w:val="0"/>
              <w:snapToGrid w:val="0"/>
              <w:spacing w:line="300" w:lineRule="exact"/>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O</w:t>
            </w:r>
          </w:p>
        </w:tc>
        <w:tc>
          <w:tcPr>
            <w:tcW w:w="650" w:type="pct"/>
            <w:vAlign w:val="center"/>
          </w:tcPr>
          <w:p w14:paraId="0C28F5B9">
            <w:pPr>
              <w:widowControl/>
              <w:adjustRightInd w:val="0"/>
              <w:snapToGrid w:val="0"/>
              <w:spacing w:line="300" w:lineRule="exact"/>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O</w:t>
            </w:r>
          </w:p>
        </w:tc>
        <w:tc>
          <w:tcPr>
            <w:tcW w:w="407" w:type="pct"/>
            <w:vAlign w:val="center"/>
          </w:tcPr>
          <w:p w14:paraId="1A676B5D">
            <w:pPr>
              <w:widowControl/>
              <w:adjustRightInd w:val="0"/>
              <w:snapToGrid w:val="0"/>
              <w:spacing w:line="300" w:lineRule="exact"/>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w:t>
            </w:r>
          </w:p>
        </w:tc>
        <w:tc>
          <w:tcPr>
            <w:tcW w:w="373" w:type="pct"/>
            <w:vAlign w:val="center"/>
          </w:tcPr>
          <w:p w14:paraId="0C8E8842">
            <w:pPr>
              <w:widowControl/>
              <w:adjustRightInd w:val="0"/>
              <w:snapToGrid w:val="0"/>
              <w:spacing w:line="300" w:lineRule="exact"/>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w:t>
            </w:r>
          </w:p>
        </w:tc>
      </w:tr>
      <w:tr w14:paraId="08E8DC7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2" w:hRule="atLeast"/>
        </w:trPr>
        <w:tc>
          <w:tcPr>
            <w:tcW w:w="297" w:type="pct"/>
            <w:vMerge w:val="continue"/>
            <w:vAlign w:val="center"/>
          </w:tcPr>
          <w:p w14:paraId="5CE261BB">
            <w:pPr>
              <w:widowControl/>
              <w:adjustRightInd w:val="0"/>
              <w:snapToGrid w:val="0"/>
              <w:spacing w:line="300" w:lineRule="exact"/>
              <w:jc w:val="center"/>
              <w:rPr>
                <w:rFonts w:hint="eastAsia" w:ascii="宋体" w:hAnsi="宋体" w:cs="宋体"/>
                <w:color w:val="000000" w:themeColor="text1"/>
                <w:kern w:val="0"/>
                <w:szCs w:val="21"/>
                <w14:textFill>
                  <w14:solidFill>
                    <w14:schemeClr w14:val="tx1"/>
                  </w14:solidFill>
                </w14:textFill>
              </w:rPr>
            </w:pPr>
          </w:p>
        </w:tc>
        <w:tc>
          <w:tcPr>
            <w:tcW w:w="431" w:type="pct"/>
            <w:vAlign w:val="center"/>
          </w:tcPr>
          <w:p w14:paraId="73CC2F21">
            <w:pPr>
              <w:widowControl/>
              <w:adjustRightInd w:val="0"/>
              <w:snapToGrid w:val="0"/>
              <w:spacing w:line="300" w:lineRule="exact"/>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废水</w:t>
            </w:r>
          </w:p>
        </w:tc>
        <w:tc>
          <w:tcPr>
            <w:tcW w:w="1384" w:type="pct"/>
            <w:vAlign w:val="center"/>
          </w:tcPr>
          <w:p w14:paraId="7B38E9EA">
            <w:pPr>
              <w:widowControl/>
              <w:adjustRightInd w:val="0"/>
              <w:snapToGrid w:val="0"/>
              <w:spacing w:line="300" w:lineRule="exact"/>
              <w:jc w:val="center"/>
              <w:rPr>
                <w:rFonts w:hint="eastAsia" w:ascii="宋体" w:hAnsi="宋体" w:cs="宋体"/>
                <w:color w:val="000000" w:themeColor="text1"/>
                <w:kern w:val="0"/>
                <w:szCs w:val="21"/>
                <w14:textFill>
                  <w14:solidFill>
                    <w14:schemeClr w14:val="tx1"/>
                  </w14:solidFill>
                </w14:textFill>
              </w:rPr>
            </w:pPr>
            <w:r>
              <w:rPr>
                <w:rFonts w:hint="eastAsia"/>
                <w:color w:val="000000" w:themeColor="text1"/>
                <w14:textFill>
                  <w14:solidFill>
                    <w14:schemeClr w14:val="tx1"/>
                  </w14:solidFill>
                </w14:textFill>
              </w:rPr>
              <w:t>洗井废水、井下作业废液</w:t>
            </w:r>
          </w:p>
        </w:tc>
        <w:tc>
          <w:tcPr>
            <w:tcW w:w="568" w:type="pct"/>
            <w:vAlign w:val="center"/>
          </w:tcPr>
          <w:p w14:paraId="5172A99F">
            <w:pPr>
              <w:widowControl/>
              <w:adjustRightInd w:val="0"/>
              <w:snapToGrid w:val="0"/>
              <w:spacing w:line="300" w:lineRule="exact"/>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O</w:t>
            </w:r>
          </w:p>
        </w:tc>
        <w:tc>
          <w:tcPr>
            <w:tcW w:w="404" w:type="pct"/>
            <w:vAlign w:val="center"/>
          </w:tcPr>
          <w:p w14:paraId="36E21D17">
            <w:pPr>
              <w:widowControl/>
              <w:adjustRightInd w:val="0"/>
              <w:snapToGrid w:val="0"/>
              <w:spacing w:line="300" w:lineRule="exact"/>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w:t>
            </w:r>
          </w:p>
        </w:tc>
        <w:tc>
          <w:tcPr>
            <w:tcW w:w="486" w:type="pct"/>
            <w:vAlign w:val="center"/>
          </w:tcPr>
          <w:p w14:paraId="1B82DD84">
            <w:pPr>
              <w:widowControl/>
              <w:adjustRightInd w:val="0"/>
              <w:snapToGrid w:val="0"/>
              <w:spacing w:line="300" w:lineRule="exact"/>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O</w:t>
            </w:r>
          </w:p>
        </w:tc>
        <w:tc>
          <w:tcPr>
            <w:tcW w:w="650" w:type="pct"/>
            <w:vAlign w:val="center"/>
          </w:tcPr>
          <w:p w14:paraId="0678C27C">
            <w:pPr>
              <w:widowControl/>
              <w:adjustRightInd w:val="0"/>
              <w:snapToGrid w:val="0"/>
              <w:spacing w:line="300" w:lineRule="exact"/>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w:t>
            </w:r>
          </w:p>
        </w:tc>
        <w:tc>
          <w:tcPr>
            <w:tcW w:w="407" w:type="pct"/>
            <w:vAlign w:val="center"/>
          </w:tcPr>
          <w:p w14:paraId="61C9C4FE">
            <w:pPr>
              <w:widowControl/>
              <w:adjustRightInd w:val="0"/>
              <w:snapToGrid w:val="0"/>
              <w:spacing w:line="300" w:lineRule="exact"/>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w:t>
            </w:r>
          </w:p>
        </w:tc>
        <w:tc>
          <w:tcPr>
            <w:tcW w:w="373" w:type="pct"/>
            <w:vAlign w:val="center"/>
          </w:tcPr>
          <w:p w14:paraId="14973C16">
            <w:pPr>
              <w:widowControl/>
              <w:adjustRightInd w:val="0"/>
              <w:snapToGrid w:val="0"/>
              <w:spacing w:line="300" w:lineRule="exact"/>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w:t>
            </w:r>
          </w:p>
        </w:tc>
      </w:tr>
      <w:tr w14:paraId="570F533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2" w:hRule="atLeast"/>
        </w:trPr>
        <w:tc>
          <w:tcPr>
            <w:tcW w:w="297" w:type="pct"/>
            <w:vMerge w:val="continue"/>
            <w:vAlign w:val="center"/>
          </w:tcPr>
          <w:p w14:paraId="685F0EE8">
            <w:pPr>
              <w:widowControl/>
              <w:adjustRightInd w:val="0"/>
              <w:snapToGrid w:val="0"/>
              <w:spacing w:line="300" w:lineRule="exact"/>
              <w:jc w:val="center"/>
              <w:rPr>
                <w:rFonts w:hint="eastAsia" w:ascii="宋体" w:hAnsi="宋体" w:cs="宋体"/>
                <w:color w:val="000000" w:themeColor="text1"/>
                <w:kern w:val="0"/>
                <w:szCs w:val="21"/>
                <w14:textFill>
                  <w14:solidFill>
                    <w14:schemeClr w14:val="tx1"/>
                  </w14:solidFill>
                </w14:textFill>
              </w:rPr>
            </w:pPr>
          </w:p>
        </w:tc>
        <w:tc>
          <w:tcPr>
            <w:tcW w:w="431" w:type="pct"/>
            <w:vAlign w:val="center"/>
          </w:tcPr>
          <w:p w14:paraId="21CBCB46">
            <w:pPr>
              <w:widowControl/>
              <w:adjustRightInd w:val="0"/>
              <w:snapToGrid w:val="0"/>
              <w:spacing w:line="300" w:lineRule="exact"/>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固废</w:t>
            </w:r>
          </w:p>
        </w:tc>
        <w:tc>
          <w:tcPr>
            <w:tcW w:w="1384" w:type="pct"/>
            <w:vAlign w:val="center"/>
          </w:tcPr>
          <w:p w14:paraId="224212F9">
            <w:pPr>
              <w:widowControl/>
              <w:adjustRightInd w:val="0"/>
              <w:snapToGrid w:val="0"/>
              <w:spacing w:line="300" w:lineRule="exact"/>
              <w:jc w:val="center"/>
              <w:rPr>
                <w:rFonts w:hint="eastAsia" w:ascii="宋体" w:hAnsi="宋体" w:cs="宋体"/>
                <w:color w:val="000000" w:themeColor="text1"/>
                <w:kern w:val="0"/>
                <w:szCs w:val="21"/>
                <w14:textFill>
                  <w14:solidFill>
                    <w14:schemeClr w14:val="tx1"/>
                  </w14:solidFill>
                </w14:textFill>
              </w:rPr>
            </w:pPr>
            <w:r>
              <w:rPr>
                <w:rFonts w:hint="eastAsia"/>
                <w:color w:val="000000" w:themeColor="text1"/>
                <w14:textFill>
                  <w14:solidFill>
                    <w14:schemeClr w14:val="tx1"/>
                  </w14:solidFill>
                </w14:textFill>
              </w:rPr>
              <w:t>危险废物和一般工业固体废物</w:t>
            </w:r>
          </w:p>
        </w:tc>
        <w:tc>
          <w:tcPr>
            <w:tcW w:w="568" w:type="pct"/>
            <w:vAlign w:val="center"/>
          </w:tcPr>
          <w:p w14:paraId="5BDEAC6D">
            <w:pPr>
              <w:widowControl/>
              <w:adjustRightInd w:val="0"/>
              <w:snapToGrid w:val="0"/>
              <w:spacing w:line="300" w:lineRule="exact"/>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O</w:t>
            </w:r>
          </w:p>
        </w:tc>
        <w:tc>
          <w:tcPr>
            <w:tcW w:w="404" w:type="pct"/>
            <w:vAlign w:val="center"/>
          </w:tcPr>
          <w:p w14:paraId="0889C6DD">
            <w:pPr>
              <w:widowControl/>
              <w:adjustRightInd w:val="0"/>
              <w:snapToGrid w:val="0"/>
              <w:spacing w:line="300" w:lineRule="exact"/>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w:t>
            </w:r>
          </w:p>
        </w:tc>
        <w:tc>
          <w:tcPr>
            <w:tcW w:w="486" w:type="pct"/>
            <w:vAlign w:val="center"/>
          </w:tcPr>
          <w:p w14:paraId="289ECA07">
            <w:pPr>
              <w:widowControl/>
              <w:adjustRightInd w:val="0"/>
              <w:snapToGrid w:val="0"/>
              <w:spacing w:line="300" w:lineRule="exact"/>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O</w:t>
            </w:r>
          </w:p>
        </w:tc>
        <w:tc>
          <w:tcPr>
            <w:tcW w:w="650" w:type="pct"/>
            <w:vAlign w:val="center"/>
          </w:tcPr>
          <w:p w14:paraId="6EB93BCB">
            <w:pPr>
              <w:widowControl/>
              <w:adjustRightInd w:val="0"/>
              <w:snapToGrid w:val="0"/>
              <w:spacing w:line="300" w:lineRule="exact"/>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w:t>
            </w:r>
          </w:p>
        </w:tc>
        <w:tc>
          <w:tcPr>
            <w:tcW w:w="407" w:type="pct"/>
            <w:vAlign w:val="center"/>
          </w:tcPr>
          <w:p w14:paraId="5337BF00">
            <w:pPr>
              <w:widowControl/>
              <w:adjustRightInd w:val="0"/>
              <w:snapToGrid w:val="0"/>
              <w:spacing w:line="300" w:lineRule="exact"/>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w:t>
            </w:r>
          </w:p>
        </w:tc>
        <w:tc>
          <w:tcPr>
            <w:tcW w:w="373" w:type="pct"/>
            <w:vAlign w:val="center"/>
          </w:tcPr>
          <w:p w14:paraId="1CA73E57">
            <w:pPr>
              <w:widowControl/>
              <w:adjustRightInd w:val="0"/>
              <w:snapToGrid w:val="0"/>
              <w:spacing w:line="300" w:lineRule="exact"/>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w:t>
            </w:r>
          </w:p>
        </w:tc>
      </w:tr>
      <w:tr w14:paraId="739F278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2" w:hRule="atLeast"/>
        </w:trPr>
        <w:tc>
          <w:tcPr>
            <w:tcW w:w="297" w:type="pct"/>
            <w:vMerge w:val="continue"/>
            <w:vAlign w:val="center"/>
          </w:tcPr>
          <w:p w14:paraId="01F75280">
            <w:pPr>
              <w:widowControl/>
              <w:adjustRightInd w:val="0"/>
              <w:snapToGrid w:val="0"/>
              <w:spacing w:line="300" w:lineRule="exact"/>
              <w:jc w:val="center"/>
              <w:rPr>
                <w:rFonts w:hint="eastAsia" w:ascii="宋体" w:hAnsi="宋体" w:cs="宋体"/>
                <w:color w:val="000000" w:themeColor="text1"/>
                <w:kern w:val="0"/>
                <w:szCs w:val="21"/>
                <w14:textFill>
                  <w14:solidFill>
                    <w14:schemeClr w14:val="tx1"/>
                  </w14:solidFill>
                </w14:textFill>
              </w:rPr>
            </w:pPr>
          </w:p>
        </w:tc>
        <w:tc>
          <w:tcPr>
            <w:tcW w:w="431" w:type="pct"/>
            <w:vAlign w:val="center"/>
          </w:tcPr>
          <w:p w14:paraId="0824A7DC">
            <w:pPr>
              <w:widowControl/>
              <w:adjustRightInd w:val="0"/>
              <w:snapToGrid w:val="0"/>
              <w:spacing w:line="300" w:lineRule="exact"/>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噪声</w:t>
            </w:r>
          </w:p>
        </w:tc>
        <w:tc>
          <w:tcPr>
            <w:tcW w:w="1384" w:type="pct"/>
            <w:vAlign w:val="center"/>
          </w:tcPr>
          <w:p w14:paraId="01484E9D">
            <w:pPr>
              <w:widowControl/>
              <w:adjustRightInd w:val="0"/>
              <w:snapToGrid w:val="0"/>
              <w:spacing w:line="300" w:lineRule="exact"/>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各类机泵、巡检车辆</w:t>
            </w:r>
          </w:p>
        </w:tc>
        <w:tc>
          <w:tcPr>
            <w:tcW w:w="568" w:type="pct"/>
            <w:vAlign w:val="center"/>
          </w:tcPr>
          <w:p w14:paraId="4DFC7D2B">
            <w:pPr>
              <w:widowControl/>
              <w:adjustRightInd w:val="0"/>
              <w:snapToGrid w:val="0"/>
              <w:spacing w:line="300" w:lineRule="exact"/>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O</w:t>
            </w:r>
          </w:p>
        </w:tc>
        <w:tc>
          <w:tcPr>
            <w:tcW w:w="404" w:type="pct"/>
            <w:vAlign w:val="center"/>
          </w:tcPr>
          <w:p w14:paraId="6A5AC8A5">
            <w:pPr>
              <w:widowControl/>
              <w:adjustRightInd w:val="0"/>
              <w:snapToGrid w:val="0"/>
              <w:spacing w:line="300" w:lineRule="exact"/>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0</w:t>
            </w:r>
          </w:p>
        </w:tc>
        <w:tc>
          <w:tcPr>
            <w:tcW w:w="486" w:type="pct"/>
            <w:vAlign w:val="center"/>
          </w:tcPr>
          <w:p w14:paraId="37D0412D">
            <w:pPr>
              <w:widowControl/>
              <w:adjustRightInd w:val="0"/>
              <w:snapToGrid w:val="0"/>
              <w:spacing w:line="300" w:lineRule="exact"/>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w:t>
            </w:r>
          </w:p>
        </w:tc>
        <w:tc>
          <w:tcPr>
            <w:tcW w:w="650" w:type="pct"/>
            <w:vAlign w:val="center"/>
          </w:tcPr>
          <w:p w14:paraId="4B613004">
            <w:pPr>
              <w:widowControl/>
              <w:adjustRightInd w:val="0"/>
              <w:snapToGrid w:val="0"/>
              <w:spacing w:line="300" w:lineRule="exact"/>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0</w:t>
            </w:r>
          </w:p>
        </w:tc>
        <w:tc>
          <w:tcPr>
            <w:tcW w:w="407" w:type="pct"/>
            <w:vAlign w:val="center"/>
          </w:tcPr>
          <w:p w14:paraId="6A7BED08">
            <w:pPr>
              <w:widowControl/>
              <w:adjustRightInd w:val="0"/>
              <w:snapToGrid w:val="0"/>
              <w:spacing w:line="300" w:lineRule="exact"/>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0</w:t>
            </w:r>
          </w:p>
        </w:tc>
        <w:tc>
          <w:tcPr>
            <w:tcW w:w="373" w:type="pct"/>
            <w:vAlign w:val="center"/>
          </w:tcPr>
          <w:p w14:paraId="2F41351B">
            <w:pPr>
              <w:widowControl/>
              <w:adjustRightInd w:val="0"/>
              <w:snapToGrid w:val="0"/>
              <w:spacing w:line="300" w:lineRule="exact"/>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O</w:t>
            </w:r>
          </w:p>
        </w:tc>
      </w:tr>
      <w:tr w14:paraId="5ADB623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2" w:hRule="atLeast"/>
        </w:trPr>
        <w:tc>
          <w:tcPr>
            <w:tcW w:w="297" w:type="pct"/>
            <w:vMerge w:val="continue"/>
            <w:vAlign w:val="center"/>
          </w:tcPr>
          <w:p w14:paraId="3BBCFE6D">
            <w:pPr>
              <w:widowControl/>
              <w:adjustRightInd w:val="0"/>
              <w:snapToGrid w:val="0"/>
              <w:spacing w:line="300" w:lineRule="exact"/>
              <w:jc w:val="center"/>
              <w:rPr>
                <w:rFonts w:hint="eastAsia" w:ascii="宋体" w:hAnsi="宋体" w:cs="宋体"/>
                <w:color w:val="000000" w:themeColor="text1"/>
                <w:kern w:val="0"/>
                <w:szCs w:val="21"/>
                <w14:textFill>
                  <w14:solidFill>
                    <w14:schemeClr w14:val="tx1"/>
                  </w14:solidFill>
                </w14:textFill>
              </w:rPr>
            </w:pPr>
          </w:p>
        </w:tc>
        <w:tc>
          <w:tcPr>
            <w:tcW w:w="431" w:type="pct"/>
            <w:vAlign w:val="center"/>
          </w:tcPr>
          <w:p w14:paraId="5C796A0C">
            <w:pPr>
              <w:widowControl/>
              <w:adjustRightInd w:val="0"/>
              <w:snapToGrid w:val="0"/>
              <w:spacing w:line="300" w:lineRule="exact"/>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环境风险</w:t>
            </w:r>
          </w:p>
        </w:tc>
        <w:tc>
          <w:tcPr>
            <w:tcW w:w="1384" w:type="pct"/>
            <w:vAlign w:val="center"/>
          </w:tcPr>
          <w:p w14:paraId="38E62F05">
            <w:pPr>
              <w:widowControl/>
              <w:adjustRightInd w:val="0"/>
              <w:snapToGrid w:val="0"/>
              <w:spacing w:line="300" w:lineRule="exact"/>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管线泄漏、套管破损、井喷</w:t>
            </w:r>
          </w:p>
        </w:tc>
        <w:tc>
          <w:tcPr>
            <w:tcW w:w="568" w:type="pct"/>
            <w:vAlign w:val="center"/>
          </w:tcPr>
          <w:p w14:paraId="71A6926E">
            <w:pPr>
              <w:widowControl/>
              <w:adjustRightInd w:val="0"/>
              <w:snapToGrid w:val="0"/>
              <w:spacing w:line="300" w:lineRule="exact"/>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w:t>
            </w:r>
          </w:p>
        </w:tc>
        <w:tc>
          <w:tcPr>
            <w:tcW w:w="404" w:type="pct"/>
            <w:vAlign w:val="center"/>
          </w:tcPr>
          <w:p w14:paraId="1E4C67F8">
            <w:pPr>
              <w:widowControl/>
              <w:adjustRightInd w:val="0"/>
              <w:snapToGrid w:val="0"/>
              <w:spacing w:line="300" w:lineRule="exact"/>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w:t>
            </w:r>
          </w:p>
        </w:tc>
        <w:tc>
          <w:tcPr>
            <w:tcW w:w="486" w:type="pct"/>
            <w:vAlign w:val="center"/>
          </w:tcPr>
          <w:p w14:paraId="743D5F0C">
            <w:pPr>
              <w:widowControl/>
              <w:adjustRightInd w:val="0"/>
              <w:snapToGrid w:val="0"/>
              <w:spacing w:line="300" w:lineRule="exact"/>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O</w:t>
            </w:r>
          </w:p>
        </w:tc>
        <w:tc>
          <w:tcPr>
            <w:tcW w:w="650" w:type="pct"/>
            <w:vAlign w:val="center"/>
          </w:tcPr>
          <w:p w14:paraId="717433E9">
            <w:pPr>
              <w:widowControl/>
              <w:adjustRightInd w:val="0"/>
              <w:snapToGrid w:val="0"/>
              <w:spacing w:line="300" w:lineRule="exact"/>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w:t>
            </w:r>
          </w:p>
        </w:tc>
        <w:tc>
          <w:tcPr>
            <w:tcW w:w="407" w:type="pct"/>
            <w:vAlign w:val="center"/>
          </w:tcPr>
          <w:p w14:paraId="11F868DC">
            <w:pPr>
              <w:widowControl/>
              <w:adjustRightInd w:val="0"/>
              <w:snapToGrid w:val="0"/>
              <w:spacing w:line="300" w:lineRule="exact"/>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w:t>
            </w:r>
          </w:p>
        </w:tc>
        <w:tc>
          <w:tcPr>
            <w:tcW w:w="373" w:type="pct"/>
            <w:vAlign w:val="center"/>
          </w:tcPr>
          <w:p w14:paraId="01DB731A">
            <w:pPr>
              <w:widowControl/>
              <w:adjustRightInd w:val="0"/>
              <w:snapToGrid w:val="0"/>
              <w:spacing w:line="300" w:lineRule="exact"/>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w:t>
            </w:r>
          </w:p>
        </w:tc>
      </w:tr>
      <w:tr w14:paraId="7EB651F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2" w:hRule="atLeast"/>
        </w:trPr>
        <w:tc>
          <w:tcPr>
            <w:tcW w:w="297" w:type="pct"/>
            <w:vMerge w:val="restart"/>
            <w:vAlign w:val="center"/>
          </w:tcPr>
          <w:p w14:paraId="2D54CE67">
            <w:pPr>
              <w:widowControl/>
              <w:adjustRightInd w:val="0"/>
              <w:snapToGrid w:val="0"/>
              <w:spacing w:line="300" w:lineRule="exact"/>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退役期</w:t>
            </w:r>
          </w:p>
        </w:tc>
        <w:tc>
          <w:tcPr>
            <w:tcW w:w="431" w:type="pct"/>
            <w:vAlign w:val="center"/>
          </w:tcPr>
          <w:p w14:paraId="297F02C9">
            <w:pPr>
              <w:widowControl/>
              <w:adjustRightInd w:val="0"/>
              <w:snapToGrid w:val="0"/>
              <w:spacing w:line="300" w:lineRule="exact"/>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废气</w:t>
            </w:r>
          </w:p>
        </w:tc>
        <w:tc>
          <w:tcPr>
            <w:tcW w:w="1384" w:type="pct"/>
            <w:vAlign w:val="center"/>
          </w:tcPr>
          <w:p w14:paraId="089AA9CC">
            <w:pPr>
              <w:widowControl/>
              <w:adjustRightInd w:val="0"/>
              <w:snapToGrid w:val="0"/>
              <w:spacing w:line="300" w:lineRule="exact"/>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施工扬尘、汽车尾气</w:t>
            </w:r>
          </w:p>
        </w:tc>
        <w:tc>
          <w:tcPr>
            <w:tcW w:w="568" w:type="pct"/>
            <w:vAlign w:val="center"/>
          </w:tcPr>
          <w:p w14:paraId="3070A33E">
            <w:pPr>
              <w:widowControl/>
              <w:adjustRightInd w:val="0"/>
              <w:snapToGrid w:val="0"/>
              <w:spacing w:line="300" w:lineRule="exact"/>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w:t>
            </w:r>
          </w:p>
        </w:tc>
        <w:tc>
          <w:tcPr>
            <w:tcW w:w="404" w:type="pct"/>
            <w:vAlign w:val="center"/>
          </w:tcPr>
          <w:p w14:paraId="6C335AD6">
            <w:pPr>
              <w:widowControl/>
              <w:adjustRightInd w:val="0"/>
              <w:snapToGrid w:val="0"/>
              <w:spacing w:line="300" w:lineRule="exact"/>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0</w:t>
            </w:r>
          </w:p>
        </w:tc>
        <w:tc>
          <w:tcPr>
            <w:tcW w:w="486" w:type="pct"/>
            <w:vAlign w:val="center"/>
          </w:tcPr>
          <w:p w14:paraId="0930B15E">
            <w:pPr>
              <w:widowControl/>
              <w:adjustRightInd w:val="0"/>
              <w:snapToGrid w:val="0"/>
              <w:spacing w:line="300" w:lineRule="exact"/>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0</w:t>
            </w:r>
          </w:p>
        </w:tc>
        <w:tc>
          <w:tcPr>
            <w:tcW w:w="650" w:type="pct"/>
            <w:vAlign w:val="center"/>
          </w:tcPr>
          <w:p w14:paraId="2C110CBC">
            <w:pPr>
              <w:widowControl/>
              <w:adjustRightInd w:val="0"/>
              <w:snapToGrid w:val="0"/>
              <w:spacing w:line="300" w:lineRule="exact"/>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w:t>
            </w:r>
          </w:p>
        </w:tc>
        <w:tc>
          <w:tcPr>
            <w:tcW w:w="407" w:type="pct"/>
            <w:vAlign w:val="center"/>
          </w:tcPr>
          <w:p w14:paraId="25225ADF">
            <w:pPr>
              <w:widowControl/>
              <w:adjustRightInd w:val="0"/>
              <w:snapToGrid w:val="0"/>
              <w:spacing w:line="300" w:lineRule="exact"/>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w:t>
            </w:r>
          </w:p>
        </w:tc>
        <w:tc>
          <w:tcPr>
            <w:tcW w:w="373" w:type="pct"/>
            <w:vAlign w:val="center"/>
          </w:tcPr>
          <w:p w14:paraId="3204D6EF">
            <w:pPr>
              <w:widowControl/>
              <w:adjustRightInd w:val="0"/>
              <w:snapToGrid w:val="0"/>
              <w:spacing w:line="300" w:lineRule="exact"/>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w:t>
            </w:r>
          </w:p>
        </w:tc>
      </w:tr>
      <w:tr w14:paraId="34E0F74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2" w:hRule="atLeast"/>
        </w:trPr>
        <w:tc>
          <w:tcPr>
            <w:tcW w:w="297" w:type="pct"/>
            <w:vMerge w:val="continue"/>
            <w:vAlign w:val="center"/>
          </w:tcPr>
          <w:p w14:paraId="33731A9E">
            <w:pPr>
              <w:widowControl/>
              <w:adjustRightInd w:val="0"/>
              <w:snapToGrid w:val="0"/>
              <w:spacing w:line="300" w:lineRule="exact"/>
              <w:jc w:val="center"/>
              <w:rPr>
                <w:rFonts w:hint="eastAsia" w:ascii="宋体" w:hAnsi="宋体" w:cs="宋体"/>
                <w:color w:val="000000" w:themeColor="text1"/>
                <w:kern w:val="0"/>
                <w:szCs w:val="21"/>
                <w14:textFill>
                  <w14:solidFill>
                    <w14:schemeClr w14:val="tx1"/>
                  </w14:solidFill>
                </w14:textFill>
              </w:rPr>
            </w:pPr>
          </w:p>
        </w:tc>
        <w:tc>
          <w:tcPr>
            <w:tcW w:w="431" w:type="pct"/>
            <w:vAlign w:val="center"/>
          </w:tcPr>
          <w:p w14:paraId="61D0E78D">
            <w:pPr>
              <w:widowControl/>
              <w:adjustRightInd w:val="0"/>
              <w:snapToGrid w:val="0"/>
              <w:spacing w:line="300" w:lineRule="exact"/>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噪声</w:t>
            </w:r>
          </w:p>
        </w:tc>
        <w:tc>
          <w:tcPr>
            <w:tcW w:w="1384" w:type="pct"/>
            <w:vAlign w:val="center"/>
          </w:tcPr>
          <w:p w14:paraId="2650095B">
            <w:pPr>
              <w:widowControl/>
              <w:adjustRightInd w:val="0"/>
              <w:snapToGrid w:val="0"/>
              <w:spacing w:line="300" w:lineRule="exact"/>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施工车辆及机械</w:t>
            </w:r>
          </w:p>
        </w:tc>
        <w:tc>
          <w:tcPr>
            <w:tcW w:w="568" w:type="pct"/>
            <w:vAlign w:val="center"/>
          </w:tcPr>
          <w:p w14:paraId="6783A892">
            <w:pPr>
              <w:widowControl/>
              <w:adjustRightInd w:val="0"/>
              <w:snapToGrid w:val="0"/>
              <w:spacing w:line="300" w:lineRule="exact"/>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0</w:t>
            </w:r>
          </w:p>
        </w:tc>
        <w:tc>
          <w:tcPr>
            <w:tcW w:w="404" w:type="pct"/>
            <w:vAlign w:val="center"/>
          </w:tcPr>
          <w:p w14:paraId="40E6D1F0">
            <w:pPr>
              <w:widowControl/>
              <w:adjustRightInd w:val="0"/>
              <w:snapToGrid w:val="0"/>
              <w:spacing w:line="300" w:lineRule="exact"/>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0</w:t>
            </w:r>
          </w:p>
        </w:tc>
        <w:tc>
          <w:tcPr>
            <w:tcW w:w="486" w:type="pct"/>
            <w:vAlign w:val="center"/>
          </w:tcPr>
          <w:p w14:paraId="7210C96A">
            <w:pPr>
              <w:widowControl/>
              <w:adjustRightInd w:val="0"/>
              <w:snapToGrid w:val="0"/>
              <w:spacing w:line="300" w:lineRule="exact"/>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w:t>
            </w:r>
          </w:p>
        </w:tc>
        <w:tc>
          <w:tcPr>
            <w:tcW w:w="650" w:type="pct"/>
            <w:vAlign w:val="center"/>
          </w:tcPr>
          <w:p w14:paraId="090BD090">
            <w:pPr>
              <w:widowControl/>
              <w:adjustRightInd w:val="0"/>
              <w:snapToGrid w:val="0"/>
              <w:spacing w:line="300" w:lineRule="exact"/>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0</w:t>
            </w:r>
          </w:p>
        </w:tc>
        <w:tc>
          <w:tcPr>
            <w:tcW w:w="407" w:type="pct"/>
            <w:vAlign w:val="center"/>
          </w:tcPr>
          <w:p w14:paraId="254CCAE7">
            <w:pPr>
              <w:widowControl/>
              <w:adjustRightInd w:val="0"/>
              <w:snapToGrid w:val="0"/>
              <w:spacing w:line="300" w:lineRule="exact"/>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0</w:t>
            </w:r>
          </w:p>
        </w:tc>
        <w:tc>
          <w:tcPr>
            <w:tcW w:w="373" w:type="pct"/>
            <w:vAlign w:val="center"/>
          </w:tcPr>
          <w:p w14:paraId="0E10C84D">
            <w:pPr>
              <w:widowControl/>
              <w:adjustRightInd w:val="0"/>
              <w:snapToGrid w:val="0"/>
              <w:spacing w:line="300" w:lineRule="exact"/>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w:t>
            </w:r>
          </w:p>
        </w:tc>
      </w:tr>
      <w:tr w14:paraId="6CFE9FA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2" w:hRule="atLeast"/>
        </w:trPr>
        <w:tc>
          <w:tcPr>
            <w:tcW w:w="297" w:type="pct"/>
            <w:vMerge w:val="continue"/>
            <w:vAlign w:val="center"/>
          </w:tcPr>
          <w:p w14:paraId="357B5FAC">
            <w:pPr>
              <w:widowControl/>
              <w:adjustRightInd w:val="0"/>
              <w:snapToGrid w:val="0"/>
              <w:spacing w:line="300" w:lineRule="exact"/>
              <w:jc w:val="center"/>
              <w:rPr>
                <w:rFonts w:hint="eastAsia" w:ascii="宋体" w:hAnsi="宋体" w:cs="宋体"/>
                <w:color w:val="000000" w:themeColor="text1"/>
                <w:kern w:val="0"/>
                <w:szCs w:val="21"/>
                <w14:textFill>
                  <w14:solidFill>
                    <w14:schemeClr w14:val="tx1"/>
                  </w14:solidFill>
                </w14:textFill>
              </w:rPr>
            </w:pPr>
          </w:p>
        </w:tc>
        <w:tc>
          <w:tcPr>
            <w:tcW w:w="431" w:type="pct"/>
            <w:vAlign w:val="center"/>
          </w:tcPr>
          <w:p w14:paraId="59120D25">
            <w:pPr>
              <w:widowControl/>
              <w:adjustRightInd w:val="0"/>
              <w:snapToGrid w:val="0"/>
              <w:spacing w:line="300" w:lineRule="exact"/>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废水</w:t>
            </w:r>
          </w:p>
        </w:tc>
        <w:tc>
          <w:tcPr>
            <w:tcW w:w="1384" w:type="pct"/>
            <w:vAlign w:val="center"/>
          </w:tcPr>
          <w:p w14:paraId="248F1F1B">
            <w:pPr>
              <w:widowControl/>
              <w:adjustRightInd w:val="0"/>
              <w:snapToGrid w:val="0"/>
              <w:spacing w:line="300" w:lineRule="exact"/>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管道吹扫废水</w:t>
            </w:r>
          </w:p>
        </w:tc>
        <w:tc>
          <w:tcPr>
            <w:tcW w:w="568" w:type="pct"/>
            <w:vAlign w:val="center"/>
          </w:tcPr>
          <w:p w14:paraId="21A92068">
            <w:pPr>
              <w:widowControl/>
              <w:adjustRightInd w:val="0"/>
              <w:snapToGrid w:val="0"/>
              <w:spacing w:line="300" w:lineRule="exact"/>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O</w:t>
            </w:r>
          </w:p>
        </w:tc>
        <w:tc>
          <w:tcPr>
            <w:tcW w:w="404" w:type="pct"/>
            <w:vAlign w:val="center"/>
          </w:tcPr>
          <w:p w14:paraId="704D0833">
            <w:pPr>
              <w:widowControl/>
              <w:adjustRightInd w:val="0"/>
              <w:snapToGrid w:val="0"/>
              <w:spacing w:line="300" w:lineRule="exact"/>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w:t>
            </w:r>
          </w:p>
        </w:tc>
        <w:tc>
          <w:tcPr>
            <w:tcW w:w="486" w:type="pct"/>
            <w:vAlign w:val="center"/>
          </w:tcPr>
          <w:p w14:paraId="5640853C">
            <w:pPr>
              <w:widowControl/>
              <w:adjustRightInd w:val="0"/>
              <w:snapToGrid w:val="0"/>
              <w:spacing w:line="300" w:lineRule="exact"/>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O</w:t>
            </w:r>
          </w:p>
        </w:tc>
        <w:tc>
          <w:tcPr>
            <w:tcW w:w="650" w:type="pct"/>
            <w:vAlign w:val="center"/>
          </w:tcPr>
          <w:p w14:paraId="0444409E">
            <w:pPr>
              <w:widowControl/>
              <w:adjustRightInd w:val="0"/>
              <w:snapToGrid w:val="0"/>
              <w:spacing w:line="300" w:lineRule="exact"/>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w:t>
            </w:r>
          </w:p>
        </w:tc>
        <w:tc>
          <w:tcPr>
            <w:tcW w:w="407" w:type="pct"/>
            <w:vAlign w:val="center"/>
          </w:tcPr>
          <w:p w14:paraId="496F9D81">
            <w:pPr>
              <w:widowControl/>
              <w:adjustRightInd w:val="0"/>
              <w:snapToGrid w:val="0"/>
              <w:spacing w:line="300" w:lineRule="exact"/>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w:t>
            </w:r>
          </w:p>
        </w:tc>
        <w:tc>
          <w:tcPr>
            <w:tcW w:w="373" w:type="pct"/>
            <w:vAlign w:val="center"/>
          </w:tcPr>
          <w:p w14:paraId="59FA28DE">
            <w:pPr>
              <w:widowControl/>
              <w:adjustRightInd w:val="0"/>
              <w:snapToGrid w:val="0"/>
              <w:spacing w:line="300" w:lineRule="exact"/>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w:t>
            </w:r>
          </w:p>
        </w:tc>
      </w:tr>
      <w:tr w14:paraId="72822A5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2" w:hRule="atLeast"/>
        </w:trPr>
        <w:tc>
          <w:tcPr>
            <w:tcW w:w="297" w:type="pct"/>
            <w:vMerge w:val="continue"/>
            <w:vAlign w:val="center"/>
          </w:tcPr>
          <w:p w14:paraId="7F4046D9">
            <w:pPr>
              <w:widowControl/>
              <w:adjustRightInd w:val="0"/>
              <w:snapToGrid w:val="0"/>
              <w:spacing w:line="300" w:lineRule="exact"/>
              <w:jc w:val="center"/>
              <w:rPr>
                <w:rFonts w:hint="eastAsia" w:ascii="宋体" w:hAnsi="宋体" w:cs="宋体"/>
                <w:color w:val="000000" w:themeColor="text1"/>
                <w:kern w:val="0"/>
                <w:szCs w:val="21"/>
                <w14:textFill>
                  <w14:solidFill>
                    <w14:schemeClr w14:val="tx1"/>
                  </w14:solidFill>
                </w14:textFill>
              </w:rPr>
            </w:pPr>
          </w:p>
        </w:tc>
        <w:tc>
          <w:tcPr>
            <w:tcW w:w="431" w:type="pct"/>
            <w:vAlign w:val="center"/>
          </w:tcPr>
          <w:p w14:paraId="5FEAEA0B">
            <w:pPr>
              <w:widowControl/>
              <w:adjustRightInd w:val="0"/>
              <w:snapToGrid w:val="0"/>
              <w:spacing w:line="300" w:lineRule="exact"/>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固废</w:t>
            </w:r>
          </w:p>
        </w:tc>
        <w:tc>
          <w:tcPr>
            <w:tcW w:w="1384" w:type="pct"/>
            <w:vAlign w:val="center"/>
          </w:tcPr>
          <w:p w14:paraId="52218189">
            <w:pPr>
              <w:widowControl/>
              <w:adjustRightInd w:val="0"/>
              <w:snapToGrid w:val="0"/>
              <w:spacing w:line="300" w:lineRule="exact"/>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拆卸后的建筑垃圾、废弃管线</w:t>
            </w:r>
          </w:p>
        </w:tc>
        <w:tc>
          <w:tcPr>
            <w:tcW w:w="568" w:type="pct"/>
            <w:vAlign w:val="center"/>
          </w:tcPr>
          <w:p w14:paraId="6A7340EE">
            <w:pPr>
              <w:widowControl/>
              <w:adjustRightInd w:val="0"/>
              <w:snapToGrid w:val="0"/>
              <w:spacing w:line="300" w:lineRule="exact"/>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0</w:t>
            </w:r>
          </w:p>
        </w:tc>
        <w:tc>
          <w:tcPr>
            <w:tcW w:w="404" w:type="pct"/>
            <w:vAlign w:val="center"/>
          </w:tcPr>
          <w:p w14:paraId="628ED455">
            <w:pPr>
              <w:widowControl/>
              <w:adjustRightInd w:val="0"/>
              <w:snapToGrid w:val="0"/>
              <w:spacing w:line="300" w:lineRule="exact"/>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0</w:t>
            </w:r>
          </w:p>
        </w:tc>
        <w:tc>
          <w:tcPr>
            <w:tcW w:w="486" w:type="pct"/>
            <w:vAlign w:val="center"/>
          </w:tcPr>
          <w:p w14:paraId="1C74B3F9">
            <w:pPr>
              <w:widowControl/>
              <w:adjustRightInd w:val="0"/>
              <w:snapToGrid w:val="0"/>
              <w:spacing w:line="300" w:lineRule="exact"/>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0</w:t>
            </w:r>
          </w:p>
        </w:tc>
        <w:tc>
          <w:tcPr>
            <w:tcW w:w="650" w:type="pct"/>
            <w:vAlign w:val="center"/>
          </w:tcPr>
          <w:p w14:paraId="44290AEF">
            <w:pPr>
              <w:widowControl/>
              <w:adjustRightInd w:val="0"/>
              <w:snapToGrid w:val="0"/>
              <w:spacing w:line="300" w:lineRule="exact"/>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w:t>
            </w:r>
          </w:p>
        </w:tc>
        <w:tc>
          <w:tcPr>
            <w:tcW w:w="407" w:type="pct"/>
            <w:vAlign w:val="center"/>
          </w:tcPr>
          <w:p w14:paraId="7595447E">
            <w:pPr>
              <w:widowControl/>
              <w:adjustRightInd w:val="0"/>
              <w:snapToGrid w:val="0"/>
              <w:spacing w:line="300" w:lineRule="exact"/>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w:t>
            </w:r>
          </w:p>
        </w:tc>
        <w:tc>
          <w:tcPr>
            <w:tcW w:w="373" w:type="pct"/>
            <w:vAlign w:val="center"/>
          </w:tcPr>
          <w:p w14:paraId="7A719586">
            <w:pPr>
              <w:widowControl/>
              <w:adjustRightInd w:val="0"/>
              <w:snapToGrid w:val="0"/>
              <w:spacing w:line="300" w:lineRule="exact"/>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w:t>
            </w:r>
          </w:p>
        </w:tc>
      </w:tr>
      <w:bookmarkEnd w:id="87"/>
    </w:tbl>
    <w:p w14:paraId="069F44C5">
      <w:pPr>
        <w:spacing w:line="240" w:lineRule="exact"/>
        <w:rPr>
          <w:rFonts w:hint="eastAsia" w:ascii="宋体" w:hAnsi="宋体"/>
          <w:b/>
          <w:color w:val="000000" w:themeColor="text1"/>
          <w:sz w:val="18"/>
          <w:szCs w:val="18"/>
          <w14:textFill>
            <w14:solidFill>
              <w14:schemeClr w14:val="tx1"/>
            </w14:solidFill>
          </w14:textFill>
        </w:rPr>
      </w:pPr>
      <w:r>
        <w:rPr>
          <w:rFonts w:hint="eastAsia" w:ascii="宋体" w:hAnsi="宋体"/>
          <w:b/>
          <w:color w:val="000000" w:themeColor="text1"/>
          <w:sz w:val="18"/>
          <w:szCs w:val="18"/>
          <w14:textFill>
            <w14:solidFill>
              <w14:schemeClr w14:val="tx1"/>
            </w14:solidFill>
          </w14:textFill>
        </w:rPr>
        <w:t>注：</w:t>
      </w:r>
      <w:r>
        <w:rPr>
          <w:rFonts w:ascii="宋体" w:hAnsi="宋体"/>
          <w:b/>
          <w:color w:val="000000" w:themeColor="text1"/>
          <w:sz w:val="18"/>
          <w:szCs w:val="18"/>
          <w14:textFill>
            <w14:solidFill>
              <w14:schemeClr w14:val="tx1"/>
            </w14:solidFill>
          </w14:textFill>
        </w:rPr>
        <w:t>O</w:t>
      </w:r>
      <w:r>
        <w:rPr>
          <w:rFonts w:hint="eastAsia" w:ascii="宋体" w:hAnsi="宋体"/>
          <w:b/>
          <w:color w:val="000000" w:themeColor="text1"/>
          <w:sz w:val="18"/>
          <w:szCs w:val="18"/>
          <w14:textFill>
            <w14:solidFill>
              <w14:schemeClr w14:val="tx1"/>
            </w14:solidFill>
          </w14:textFill>
        </w:rPr>
        <w:t>：无影响；+：短期不利影响；++：长期不利影响。</w:t>
      </w:r>
    </w:p>
    <w:p w14:paraId="271DE21B">
      <w:pPr>
        <w:pStyle w:val="191"/>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根据环境影响因素和特征污染因子识别结果，结合本区环境质量状况，筛选本次评价因子，详见表2.4-2。</w:t>
      </w:r>
    </w:p>
    <w:p w14:paraId="4077E38D">
      <w:pPr>
        <w:pStyle w:val="15"/>
        <w:rPr>
          <w:rFonts w:hint="eastAsia"/>
          <w:color w:val="000000" w:themeColor="text1"/>
          <w14:textFill>
            <w14:solidFill>
              <w14:schemeClr w14:val="tx1"/>
            </w14:solidFill>
          </w14:textFill>
        </w:rPr>
      </w:pPr>
      <w:bookmarkStart w:id="88" w:name="_Hlk147580851"/>
      <w:r>
        <w:rPr>
          <w:rFonts w:hint="eastAsia"/>
          <w:color w:val="000000" w:themeColor="text1"/>
          <w14:textFill>
            <w14:solidFill>
              <w14:schemeClr w14:val="tx1"/>
            </w14:solidFill>
          </w14:textFill>
        </w:rPr>
        <w:t>表2.4-2  环境影响评价因子筛选一览表</w:t>
      </w:r>
    </w:p>
    <w:tbl>
      <w:tblPr>
        <w:tblStyle w:val="51"/>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994"/>
        <w:gridCol w:w="708"/>
        <w:gridCol w:w="851"/>
        <w:gridCol w:w="1703"/>
        <w:gridCol w:w="1132"/>
        <w:gridCol w:w="1985"/>
        <w:gridCol w:w="1357"/>
      </w:tblGrid>
      <w:tr w14:paraId="12D28C7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69" w:type="pct"/>
            <w:tcBorders>
              <w:tl2br w:val="single" w:color="auto" w:sz="4" w:space="0"/>
            </w:tcBorders>
            <w:vAlign w:val="center"/>
          </w:tcPr>
          <w:p w14:paraId="52616579">
            <w:pPr>
              <w:pStyle w:val="527"/>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环境要素</w:t>
            </w:r>
          </w:p>
          <w:p w14:paraId="7D7EB735">
            <w:pPr>
              <w:pStyle w:val="527"/>
              <w:jc w:val="both"/>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单项工程</w:t>
            </w:r>
          </w:p>
        </w:tc>
        <w:tc>
          <w:tcPr>
            <w:tcW w:w="405" w:type="pct"/>
            <w:vAlign w:val="center"/>
          </w:tcPr>
          <w:p w14:paraId="01476DCF">
            <w:pPr>
              <w:pStyle w:val="527"/>
              <w:rPr>
                <w:rFonts w:hint="eastAsia"/>
                <w:color w:val="000000" w:themeColor="text1"/>
                <w:spacing w:val="-5"/>
                <w14:textFill>
                  <w14:solidFill>
                    <w14:schemeClr w14:val="tx1"/>
                  </w14:solidFill>
                </w14:textFill>
              </w:rPr>
            </w:pPr>
            <w:r>
              <w:rPr>
                <w:rFonts w:hint="eastAsia"/>
                <w:color w:val="000000" w:themeColor="text1"/>
                <w:spacing w:val="-5"/>
                <w14:textFill>
                  <w14:solidFill>
                    <w14:schemeClr w14:val="tx1"/>
                  </w14:solidFill>
                </w14:textFill>
              </w:rPr>
              <w:t>时期</w:t>
            </w:r>
          </w:p>
        </w:tc>
        <w:tc>
          <w:tcPr>
            <w:tcW w:w="487" w:type="pct"/>
            <w:vAlign w:val="center"/>
          </w:tcPr>
          <w:p w14:paraId="2C4C53ED">
            <w:pPr>
              <w:pStyle w:val="527"/>
              <w:rPr>
                <w:rFonts w:hint="eastAsia"/>
                <w:color w:val="000000" w:themeColor="text1"/>
                <w:spacing w:val="-5"/>
                <w14:textFill>
                  <w14:solidFill>
                    <w14:schemeClr w14:val="tx1"/>
                  </w14:solidFill>
                </w14:textFill>
              </w:rPr>
            </w:pPr>
            <w:r>
              <w:rPr>
                <w:rFonts w:hint="eastAsia"/>
                <w:color w:val="000000" w:themeColor="text1"/>
                <w:spacing w:val="-5"/>
                <w14:textFill>
                  <w14:solidFill>
                    <w14:schemeClr w14:val="tx1"/>
                  </w14:solidFill>
                </w14:textFill>
              </w:rPr>
              <w:t>大气</w:t>
            </w:r>
          </w:p>
        </w:tc>
        <w:tc>
          <w:tcPr>
            <w:tcW w:w="975" w:type="pct"/>
            <w:vAlign w:val="center"/>
          </w:tcPr>
          <w:p w14:paraId="073C67A5">
            <w:pPr>
              <w:pStyle w:val="527"/>
              <w:rPr>
                <w:rFonts w:hint="eastAsia"/>
                <w:color w:val="000000" w:themeColor="text1"/>
                <w:spacing w:val="-4"/>
                <w14:textFill>
                  <w14:solidFill>
                    <w14:schemeClr w14:val="tx1"/>
                  </w14:solidFill>
                </w14:textFill>
              </w:rPr>
            </w:pPr>
            <w:r>
              <w:rPr>
                <w:rFonts w:hint="eastAsia"/>
                <w:color w:val="000000" w:themeColor="text1"/>
                <w:spacing w:val="-4"/>
                <w14:textFill>
                  <w14:solidFill>
                    <w14:schemeClr w14:val="tx1"/>
                  </w14:solidFill>
                </w14:textFill>
              </w:rPr>
              <w:t>地下水</w:t>
            </w:r>
          </w:p>
        </w:tc>
        <w:tc>
          <w:tcPr>
            <w:tcW w:w="648" w:type="pct"/>
            <w:vAlign w:val="center"/>
          </w:tcPr>
          <w:p w14:paraId="3360DAEE">
            <w:pPr>
              <w:pStyle w:val="527"/>
              <w:rPr>
                <w:rFonts w:hint="eastAsia"/>
                <w:color w:val="000000" w:themeColor="text1"/>
                <w:spacing w:val="-5"/>
                <w14:textFill>
                  <w14:solidFill>
                    <w14:schemeClr w14:val="tx1"/>
                  </w14:solidFill>
                </w14:textFill>
              </w:rPr>
            </w:pPr>
            <w:r>
              <w:rPr>
                <w:rFonts w:hint="eastAsia"/>
                <w:color w:val="000000" w:themeColor="text1"/>
                <w:spacing w:val="-5"/>
                <w14:textFill>
                  <w14:solidFill>
                    <w14:schemeClr w14:val="tx1"/>
                  </w14:solidFill>
                </w14:textFill>
              </w:rPr>
              <w:t>土壤</w:t>
            </w:r>
          </w:p>
        </w:tc>
        <w:tc>
          <w:tcPr>
            <w:tcW w:w="1137" w:type="pct"/>
            <w:vAlign w:val="center"/>
          </w:tcPr>
          <w:p w14:paraId="25BB9E36">
            <w:pPr>
              <w:pStyle w:val="527"/>
              <w:rPr>
                <w:rFonts w:hint="eastAsia"/>
                <w:color w:val="000000" w:themeColor="text1"/>
                <w:spacing w:val="-5"/>
                <w14:textFill>
                  <w14:solidFill>
                    <w14:schemeClr w14:val="tx1"/>
                  </w14:solidFill>
                </w14:textFill>
              </w:rPr>
            </w:pPr>
            <w:r>
              <w:rPr>
                <w:rFonts w:hint="eastAsia"/>
                <w:color w:val="000000" w:themeColor="text1"/>
                <w:spacing w:val="-5"/>
                <w14:textFill>
                  <w14:solidFill>
                    <w14:schemeClr w14:val="tx1"/>
                  </w14:solidFill>
                </w14:textFill>
              </w:rPr>
              <w:t>生态</w:t>
            </w:r>
          </w:p>
        </w:tc>
        <w:tc>
          <w:tcPr>
            <w:tcW w:w="777" w:type="pct"/>
            <w:vAlign w:val="center"/>
          </w:tcPr>
          <w:p w14:paraId="29B15339">
            <w:pPr>
              <w:pStyle w:val="527"/>
              <w:rPr>
                <w:rFonts w:hint="eastAsia"/>
                <w:color w:val="000000" w:themeColor="text1"/>
                <w:spacing w:val="-5"/>
                <w14:textFill>
                  <w14:solidFill>
                    <w14:schemeClr w14:val="tx1"/>
                  </w14:solidFill>
                </w14:textFill>
              </w:rPr>
            </w:pPr>
            <w:r>
              <w:rPr>
                <w:rFonts w:hint="eastAsia"/>
                <w:color w:val="000000" w:themeColor="text1"/>
                <w:spacing w:val="-5"/>
                <w14:textFill>
                  <w14:solidFill>
                    <w14:schemeClr w14:val="tx1"/>
                  </w14:solidFill>
                </w14:textFill>
              </w:rPr>
              <w:t>噪声</w:t>
            </w:r>
          </w:p>
        </w:tc>
      </w:tr>
      <w:tr w14:paraId="15B84BA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69" w:type="pct"/>
            <w:vMerge w:val="restart"/>
            <w:vAlign w:val="center"/>
          </w:tcPr>
          <w:p w14:paraId="326439EA">
            <w:pPr>
              <w:pStyle w:val="527"/>
              <w:rPr>
                <w:rFonts w:hint="eastAsia"/>
                <w:color w:val="000000" w:themeColor="text1"/>
                <w:spacing w:val="-2"/>
                <w14:textFill>
                  <w14:solidFill>
                    <w14:schemeClr w14:val="tx1"/>
                  </w14:solidFill>
                </w14:textFill>
              </w:rPr>
            </w:pPr>
            <w:r>
              <w:rPr>
                <w:rFonts w:hint="eastAsia"/>
                <w:color w:val="000000" w:themeColor="text1"/>
                <w:spacing w:val="-2"/>
                <w14:textFill>
                  <w14:solidFill>
                    <w14:schemeClr w14:val="tx1"/>
                  </w14:solidFill>
                </w14:textFill>
              </w:rPr>
              <w:t>油气集输工程</w:t>
            </w:r>
          </w:p>
        </w:tc>
        <w:tc>
          <w:tcPr>
            <w:tcW w:w="405" w:type="pct"/>
            <w:vAlign w:val="center"/>
          </w:tcPr>
          <w:p w14:paraId="4A0EA56E">
            <w:pPr>
              <w:pStyle w:val="527"/>
              <w:rPr>
                <w:rFonts w:hint="eastAsia"/>
                <w:color w:val="000000" w:themeColor="text1"/>
                <w:spacing w:val="-4"/>
                <w14:textFill>
                  <w14:solidFill>
                    <w14:schemeClr w14:val="tx1"/>
                  </w14:solidFill>
                </w14:textFill>
              </w:rPr>
            </w:pPr>
            <w:r>
              <w:rPr>
                <w:rFonts w:hint="eastAsia"/>
                <w:color w:val="000000" w:themeColor="text1"/>
                <w:spacing w:val="-4"/>
                <w14:textFill>
                  <w14:solidFill>
                    <w14:schemeClr w14:val="tx1"/>
                  </w14:solidFill>
                </w14:textFill>
              </w:rPr>
              <w:t>施工期</w:t>
            </w:r>
          </w:p>
        </w:tc>
        <w:tc>
          <w:tcPr>
            <w:tcW w:w="487" w:type="pct"/>
            <w:vAlign w:val="center"/>
          </w:tcPr>
          <w:p w14:paraId="2EED3FDF">
            <w:pPr>
              <w:pStyle w:val="527"/>
              <w:rPr>
                <w:rFonts w:hint="eastAsia"/>
                <w:color w:val="000000" w:themeColor="text1"/>
                <w:spacing w:val="-4"/>
                <w14:textFill>
                  <w14:solidFill>
                    <w14:schemeClr w14:val="tx1"/>
                  </w14:solidFill>
                </w14:textFill>
              </w:rPr>
            </w:pPr>
            <w:r>
              <w:rPr>
                <w:rFonts w:hint="eastAsia"/>
                <w:color w:val="000000" w:themeColor="text1"/>
                <w:spacing w:val="-4"/>
                <w14:textFill>
                  <w14:solidFill>
                    <w14:schemeClr w14:val="tx1"/>
                  </w14:solidFill>
                </w14:textFill>
              </w:rPr>
              <w:t>颗粒物</w:t>
            </w:r>
          </w:p>
        </w:tc>
        <w:tc>
          <w:tcPr>
            <w:tcW w:w="975" w:type="pct"/>
            <w:vAlign w:val="center"/>
          </w:tcPr>
          <w:p w14:paraId="5EB81425">
            <w:pPr>
              <w:pStyle w:val="527"/>
              <w:rPr>
                <w:rFonts w:hint="eastAsia"/>
                <w:color w:val="000000" w:themeColor="text1"/>
                <w:spacing w:val="-5"/>
                <w14:textFill>
                  <w14:solidFill>
                    <w14:schemeClr w14:val="tx1"/>
                  </w14:solidFill>
                </w14:textFill>
              </w:rPr>
            </w:pPr>
            <w:r>
              <w:rPr>
                <w:rFonts w:hint="eastAsia"/>
                <w:color w:val="000000" w:themeColor="text1"/>
                <w:spacing w:val="-5"/>
                <w14:textFill>
                  <w14:solidFill>
                    <w14:schemeClr w14:val="tx1"/>
                  </w14:solidFill>
                </w14:textFill>
              </w:rPr>
              <w:t>耗氧量、氨氮、石油类等</w:t>
            </w:r>
          </w:p>
        </w:tc>
        <w:tc>
          <w:tcPr>
            <w:tcW w:w="648" w:type="pct"/>
            <w:vAlign w:val="center"/>
          </w:tcPr>
          <w:p w14:paraId="56E9A9E1">
            <w:pPr>
              <w:pStyle w:val="527"/>
              <w:rPr>
                <w:rFonts w:hint="eastAsia"/>
                <w:color w:val="000000" w:themeColor="text1"/>
                <w14:textFill>
                  <w14:solidFill>
                    <w14:schemeClr w14:val="tx1"/>
                  </w14:solidFill>
                </w14:textFill>
              </w:rPr>
            </w:pPr>
            <w:r>
              <w:rPr>
                <w:color w:val="000000" w:themeColor="text1"/>
                <w14:textFill>
                  <w14:solidFill>
                    <w14:schemeClr w14:val="tx1"/>
                  </w14:solidFill>
                </w14:textFill>
              </w:rPr>
              <w:t>/</w:t>
            </w:r>
          </w:p>
        </w:tc>
        <w:tc>
          <w:tcPr>
            <w:tcW w:w="1137" w:type="pct"/>
            <w:vAlign w:val="center"/>
          </w:tcPr>
          <w:p w14:paraId="5D26FFCB">
            <w:pPr>
              <w:pStyle w:val="527"/>
              <w:rPr>
                <w:rFonts w:hint="eastAsia"/>
                <w:color w:val="000000" w:themeColor="text1"/>
                <w:spacing w:val="-2"/>
                <w14:textFill>
                  <w14:solidFill>
                    <w14:schemeClr w14:val="tx1"/>
                  </w14:solidFill>
                </w14:textFill>
              </w:rPr>
            </w:pPr>
            <w:r>
              <w:rPr>
                <w:rFonts w:hint="eastAsia"/>
                <w:color w:val="000000" w:themeColor="text1"/>
                <w:spacing w:val="-2"/>
                <w14:textFill>
                  <w14:solidFill>
                    <w14:schemeClr w14:val="tx1"/>
                  </w14:solidFill>
                </w14:textFill>
              </w:rPr>
              <w:t>地表扰动面积及类型、植被覆盖度、生物量损失、</w:t>
            </w:r>
            <w:r>
              <w:rPr>
                <w:rFonts w:hint="eastAsia"/>
                <w:color w:val="000000" w:themeColor="text1"/>
                <w:spacing w:val="-9"/>
                <w14:textFill>
                  <w14:solidFill>
                    <w14:schemeClr w14:val="tx1"/>
                  </w14:solidFill>
                </w14:textFill>
              </w:rPr>
              <w:t>物种多样性、生态</w:t>
            </w:r>
            <w:r>
              <w:rPr>
                <w:rFonts w:hint="eastAsia"/>
                <w:color w:val="000000" w:themeColor="text1"/>
                <w:spacing w:val="-2"/>
                <w14:textFill>
                  <w14:solidFill>
                    <w14:schemeClr w14:val="tx1"/>
                  </w14:solidFill>
                </w14:textFill>
              </w:rPr>
              <w:t>系统完整性等</w:t>
            </w:r>
          </w:p>
        </w:tc>
        <w:tc>
          <w:tcPr>
            <w:tcW w:w="777" w:type="pct"/>
            <w:vAlign w:val="center"/>
          </w:tcPr>
          <w:p w14:paraId="3C2FED88">
            <w:pPr>
              <w:pStyle w:val="527"/>
              <w:rPr>
                <w:rFonts w:hint="eastAsia"/>
                <w:color w:val="000000" w:themeColor="text1"/>
                <w14:textFill>
                  <w14:solidFill>
                    <w14:schemeClr w14:val="tx1"/>
                  </w14:solidFill>
                </w14:textFill>
              </w:rPr>
            </w:pPr>
            <w:r>
              <w:rPr>
                <w:color w:val="000000" w:themeColor="text1"/>
                <w14:textFill>
                  <w14:solidFill>
                    <w14:schemeClr w14:val="tx1"/>
                  </w14:solidFill>
                </w14:textFill>
              </w:rPr>
              <w:t>/</w:t>
            </w:r>
          </w:p>
        </w:tc>
      </w:tr>
      <w:tr w14:paraId="1738AD4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69" w:type="pct"/>
            <w:vMerge w:val="continue"/>
            <w:vAlign w:val="center"/>
          </w:tcPr>
          <w:p w14:paraId="5A3A356E">
            <w:pPr>
              <w:pStyle w:val="527"/>
              <w:jc w:val="both"/>
              <w:rPr>
                <w:rFonts w:hint="eastAsia" w:cs="黑体"/>
                <w:color w:val="000000" w:themeColor="text1"/>
                <w14:textFill>
                  <w14:solidFill>
                    <w14:schemeClr w14:val="tx1"/>
                  </w14:solidFill>
                </w14:textFill>
              </w:rPr>
            </w:pPr>
          </w:p>
        </w:tc>
        <w:tc>
          <w:tcPr>
            <w:tcW w:w="405" w:type="pct"/>
            <w:vAlign w:val="center"/>
          </w:tcPr>
          <w:p w14:paraId="0620A3EB">
            <w:pPr>
              <w:pStyle w:val="527"/>
              <w:rPr>
                <w:rFonts w:hint="eastAsia" w:cs="黑体"/>
                <w:color w:val="000000" w:themeColor="text1"/>
                <w14:textFill>
                  <w14:solidFill>
                    <w14:schemeClr w14:val="tx1"/>
                  </w14:solidFill>
                </w14:textFill>
              </w:rPr>
            </w:pPr>
            <w:r>
              <w:rPr>
                <w:rFonts w:hint="eastAsia"/>
                <w:color w:val="000000" w:themeColor="text1"/>
                <w:spacing w:val="-4"/>
                <w14:textFill>
                  <w14:solidFill>
                    <w14:schemeClr w14:val="tx1"/>
                  </w14:solidFill>
                </w14:textFill>
              </w:rPr>
              <w:t>运营期</w:t>
            </w:r>
          </w:p>
        </w:tc>
        <w:tc>
          <w:tcPr>
            <w:tcW w:w="487" w:type="pct"/>
            <w:vAlign w:val="center"/>
          </w:tcPr>
          <w:p w14:paraId="2D3D1184">
            <w:pPr>
              <w:pStyle w:val="527"/>
              <w:rPr>
                <w:rFonts w:hint="eastAsia"/>
                <w:color w:val="000000" w:themeColor="text1"/>
                <w:spacing w:val="-10"/>
                <w:position w:val="1"/>
                <w14:textFill>
                  <w14:solidFill>
                    <w14:schemeClr w14:val="tx1"/>
                  </w14:solidFill>
                </w14:textFill>
              </w:rPr>
            </w:pPr>
            <w:r>
              <w:rPr>
                <w:rFonts w:hint="eastAsia"/>
                <w:color w:val="000000" w:themeColor="text1"/>
                <w:spacing w:val="-2"/>
                <w14:textFill>
                  <w14:solidFill>
                    <w14:schemeClr w14:val="tx1"/>
                  </w14:solidFill>
                </w14:textFill>
              </w:rPr>
              <w:t>硫化氢、非</w:t>
            </w:r>
            <w:r>
              <w:rPr>
                <w:rFonts w:hint="eastAsia"/>
                <w:color w:val="000000" w:themeColor="text1"/>
                <w:spacing w:val="-4"/>
                <w14:textFill>
                  <w14:solidFill>
                    <w14:schemeClr w14:val="tx1"/>
                  </w14:solidFill>
                </w14:textFill>
              </w:rPr>
              <w:t>甲烷总烃</w:t>
            </w:r>
          </w:p>
        </w:tc>
        <w:tc>
          <w:tcPr>
            <w:tcW w:w="975" w:type="pct"/>
            <w:vAlign w:val="center"/>
          </w:tcPr>
          <w:p w14:paraId="1AD5AFB3">
            <w:pPr>
              <w:pStyle w:val="527"/>
              <w:rPr>
                <w:rFonts w:hint="eastAsia" w:cs="黑体"/>
                <w:color w:val="000000" w:themeColor="text1"/>
                <w14:textFill>
                  <w14:solidFill>
                    <w14:schemeClr w14:val="tx1"/>
                  </w14:solidFill>
                </w14:textFill>
              </w:rPr>
            </w:pPr>
            <w:r>
              <w:rPr>
                <w:rFonts w:hint="eastAsia"/>
                <w:color w:val="000000" w:themeColor="text1"/>
                <w:spacing w:val="-5"/>
                <w14:textFill>
                  <w14:solidFill>
                    <w14:schemeClr w14:val="tx1"/>
                  </w14:solidFill>
                </w14:textFill>
              </w:rPr>
              <w:t>耗氧量、氨氮、石油类等</w:t>
            </w:r>
          </w:p>
        </w:tc>
        <w:tc>
          <w:tcPr>
            <w:tcW w:w="648" w:type="pct"/>
            <w:vAlign w:val="center"/>
          </w:tcPr>
          <w:p w14:paraId="12C22917">
            <w:pPr>
              <w:pStyle w:val="527"/>
              <w:rPr>
                <w:rFonts w:hint="eastAsia" w:cs="黑体"/>
                <w:color w:val="000000" w:themeColor="text1"/>
                <w14:textFill>
                  <w14:solidFill>
                    <w14:schemeClr w14:val="tx1"/>
                  </w14:solidFill>
                </w14:textFill>
              </w:rPr>
            </w:pPr>
            <w:r>
              <w:rPr>
                <w:color w:val="000000" w:themeColor="text1"/>
                <w14:textFill>
                  <w14:solidFill>
                    <w14:schemeClr w14:val="tx1"/>
                  </w14:solidFill>
                </w14:textFill>
              </w:rPr>
              <w:t>/</w:t>
            </w:r>
          </w:p>
        </w:tc>
        <w:tc>
          <w:tcPr>
            <w:tcW w:w="1137" w:type="pct"/>
            <w:vAlign w:val="center"/>
          </w:tcPr>
          <w:p w14:paraId="3DAF20A3">
            <w:pPr>
              <w:pStyle w:val="527"/>
              <w:rPr>
                <w:rFonts w:hint="eastAsia" w:cs="黑体"/>
                <w:color w:val="000000" w:themeColor="text1"/>
                <w14:textFill>
                  <w14:solidFill>
                    <w14:schemeClr w14:val="tx1"/>
                  </w14:solidFill>
                </w14:textFill>
              </w:rPr>
            </w:pPr>
            <w:r>
              <w:rPr>
                <w:rFonts w:hint="eastAsia"/>
                <w:color w:val="000000" w:themeColor="text1"/>
                <w:spacing w:val="-2"/>
                <w14:textFill>
                  <w14:solidFill>
                    <w14:schemeClr w14:val="tx1"/>
                  </w14:solidFill>
                </w14:textFill>
              </w:rPr>
              <w:t>土壤肥力</w:t>
            </w:r>
            <w:r>
              <w:rPr>
                <w:rFonts w:hint="eastAsia"/>
                <w:color w:val="000000" w:themeColor="text1"/>
                <w:spacing w:val="-9"/>
                <w14:textFill>
                  <w14:solidFill>
                    <w14:schemeClr w14:val="tx1"/>
                  </w14:solidFill>
                </w14:textFill>
              </w:rPr>
              <w:t>、生物多</w:t>
            </w:r>
            <w:r>
              <w:rPr>
                <w:rFonts w:hint="eastAsia"/>
                <w:color w:val="000000" w:themeColor="text1"/>
                <w:spacing w:val="-10"/>
                <w14:textFill>
                  <w14:solidFill>
                    <w14:schemeClr w14:val="tx1"/>
                  </w14:solidFill>
                </w14:textFill>
              </w:rPr>
              <w:t>样性、生态系统完</w:t>
            </w:r>
            <w:r>
              <w:rPr>
                <w:rFonts w:hint="eastAsia"/>
                <w:color w:val="000000" w:themeColor="text1"/>
                <w:spacing w:val="-4"/>
                <w14:textFill>
                  <w14:solidFill>
                    <w14:schemeClr w14:val="tx1"/>
                  </w14:solidFill>
                </w14:textFill>
              </w:rPr>
              <w:t>整性等</w:t>
            </w:r>
          </w:p>
        </w:tc>
        <w:tc>
          <w:tcPr>
            <w:tcW w:w="777" w:type="pct"/>
            <w:vAlign w:val="center"/>
          </w:tcPr>
          <w:p w14:paraId="0283D96C">
            <w:pPr>
              <w:pStyle w:val="527"/>
              <w:rPr>
                <w:rFonts w:hint="eastAsia"/>
                <w:color w:val="000000" w:themeColor="text1"/>
                <w:spacing w:val="-2"/>
                <w14:textFill>
                  <w14:solidFill>
                    <w14:schemeClr w14:val="tx1"/>
                  </w14:solidFill>
                </w14:textFill>
              </w:rPr>
            </w:pPr>
            <w:r>
              <w:rPr>
                <w:rFonts w:hint="eastAsia"/>
                <w:color w:val="000000" w:themeColor="text1"/>
                <w:spacing w:val="-2"/>
                <w14:textFill>
                  <w14:solidFill>
                    <w14:schemeClr w14:val="tx1"/>
                  </w14:solidFill>
                </w14:textFill>
              </w:rPr>
              <w:t>昼间等效声级</w:t>
            </w:r>
            <w:r>
              <w:rPr>
                <w:rFonts w:hint="eastAsia"/>
                <w:color w:val="000000" w:themeColor="text1"/>
                <w:spacing w:val="-2"/>
                <w:position w:val="1"/>
                <w14:textFill>
                  <w14:solidFill>
                    <w14:schemeClr w14:val="tx1"/>
                  </w14:solidFill>
                </w14:textFill>
              </w:rPr>
              <w:t>（</w:t>
            </w:r>
            <w:r>
              <w:rPr>
                <w:i/>
                <w:iCs/>
                <w:color w:val="000000" w:themeColor="text1"/>
                <w:spacing w:val="-2"/>
                <w:position w:val="1"/>
                <w14:textFill>
                  <w14:solidFill>
                    <w14:schemeClr w14:val="tx1"/>
                  </w14:solidFill>
                </w14:textFill>
              </w:rPr>
              <w:t>L</w:t>
            </w:r>
            <w:r>
              <w:rPr>
                <w:color w:val="000000" w:themeColor="text1"/>
                <w:spacing w:val="-2"/>
                <w14:textFill>
                  <w14:solidFill>
                    <w14:schemeClr w14:val="tx1"/>
                  </w14:solidFill>
                </w14:textFill>
              </w:rPr>
              <w:t>d</w:t>
            </w:r>
            <w:r>
              <w:rPr>
                <w:rFonts w:hint="eastAsia"/>
                <w:color w:val="000000" w:themeColor="text1"/>
                <w:spacing w:val="-2"/>
                <w:position w:val="1"/>
                <w14:textFill>
                  <w14:solidFill>
                    <w14:schemeClr w14:val="tx1"/>
                  </w14:solidFill>
                </w14:textFill>
              </w:rPr>
              <w:t>）、夜间</w:t>
            </w:r>
            <w:r>
              <w:rPr>
                <w:rFonts w:hint="eastAsia"/>
                <w:color w:val="000000" w:themeColor="text1"/>
                <w:spacing w:val="-4"/>
                <w:position w:val="1"/>
                <w14:textFill>
                  <w14:solidFill>
                    <w14:schemeClr w14:val="tx1"/>
                  </w14:solidFill>
                </w14:textFill>
              </w:rPr>
              <w:t>等效声级（</w:t>
            </w:r>
            <w:r>
              <w:rPr>
                <w:i/>
                <w:iCs/>
                <w:color w:val="000000" w:themeColor="text1"/>
                <w:spacing w:val="-4"/>
                <w:position w:val="1"/>
                <w14:textFill>
                  <w14:solidFill>
                    <w14:schemeClr w14:val="tx1"/>
                  </w14:solidFill>
                </w14:textFill>
              </w:rPr>
              <w:t>L</w:t>
            </w:r>
            <w:r>
              <w:rPr>
                <w:color w:val="000000" w:themeColor="text1"/>
                <w:spacing w:val="-4"/>
                <w14:textFill>
                  <w14:solidFill>
                    <w14:schemeClr w14:val="tx1"/>
                  </w14:solidFill>
                </w14:textFill>
              </w:rPr>
              <w:t>n</w:t>
            </w:r>
            <w:r>
              <w:rPr>
                <w:rFonts w:hint="eastAsia"/>
                <w:color w:val="000000" w:themeColor="text1"/>
                <w:spacing w:val="-4"/>
                <w:position w:val="1"/>
                <w14:textFill>
                  <w14:solidFill>
                    <w14:schemeClr w14:val="tx1"/>
                  </w14:solidFill>
                </w14:textFill>
              </w:rPr>
              <w:t>）</w:t>
            </w:r>
          </w:p>
        </w:tc>
      </w:tr>
      <w:tr w14:paraId="5B6D9D7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69" w:type="pct"/>
            <w:vMerge w:val="restart"/>
            <w:vAlign w:val="center"/>
          </w:tcPr>
          <w:p w14:paraId="745D04C4">
            <w:pPr>
              <w:pStyle w:val="527"/>
              <w:jc w:val="both"/>
              <w:rPr>
                <w:rFonts w:hint="eastAsia" w:cs="黑体"/>
                <w:color w:val="000000" w:themeColor="text1"/>
                <w14:textFill>
                  <w14:solidFill>
                    <w14:schemeClr w14:val="tx1"/>
                  </w14:solidFill>
                </w14:textFill>
              </w:rPr>
            </w:pPr>
            <w:r>
              <w:rPr>
                <w:rFonts w:hint="eastAsia" w:cs="黑体"/>
                <w:color w:val="000000" w:themeColor="text1"/>
                <w14:textFill>
                  <w14:solidFill>
                    <w14:schemeClr w14:val="tx1"/>
                  </w14:solidFill>
                </w14:textFill>
              </w:rPr>
              <w:t>油气处理工程</w:t>
            </w:r>
          </w:p>
        </w:tc>
        <w:tc>
          <w:tcPr>
            <w:tcW w:w="405" w:type="pct"/>
            <w:vAlign w:val="center"/>
          </w:tcPr>
          <w:p w14:paraId="2F8CC0F9">
            <w:pPr>
              <w:pStyle w:val="527"/>
              <w:rPr>
                <w:rFonts w:hint="eastAsia"/>
                <w:color w:val="000000" w:themeColor="text1"/>
                <w:spacing w:val="-4"/>
                <w14:textFill>
                  <w14:solidFill>
                    <w14:schemeClr w14:val="tx1"/>
                  </w14:solidFill>
                </w14:textFill>
              </w:rPr>
            </w:pPr>
            <w:r>
              <w:rPr>
                <w:rFonts w:hint="eastAsia"/>
                <w:color w:val="000000" w:themeColor="text1"/>
                <w:spacing w:val="-4"/>
                <w14:textFill>
                  <w14:solidFill>
                    <w14:schemeClr w14:val="tx1"/>
                  </w14:solidFill>
                </w14:textFill>
              </w:rPr>
              <w:t>施工期</w:t>
            </w:r>
          </w:p>
        </w:tc>
        <w:tc>
          <w:tcPr>
            <w:tcW w:w="487" w:type="pct"/>
            <w:vAlign w:val="center"/>
          </w:tcPr>
          <w:p w14:paraId="45D3EE58">
            <w:pPr>
              <w:pStyle w:val="527"/>
              <w:rPr>
                <w:rFonts w:hint="eastAsia"/>
                <w:color w:val="000000" w:themeColor="text1"/>
                <w:spacing w:val="-2"/>
                <w14:textFill>
                  <w14:solidFill>
                    <w14:schemeClr w14:val="tx1"/>
                  </w14:solidFill>
                </w14:textFill>
              </w:rPr>
            </w:pPr>
            <w:r>
              <w:rPr>
                <w:rFonts w:hint="eastAsia"/>
                <w:color w:val="000000" w:themeColor="text1"/>
                <w:spacing w:val="-2"/>
                <w14:textFill>
                  <w14:solidFill>
                    <w14:schemeClr w14:val="tx1"/>
                  </w14:solidFill>
                </w14:textFill>
              </w:rPr>
              <w:t>颗粒物</w:t>
            </w:r>
          </w:p>
        </w:tc>
        <w:tc>
          <w:tcPr>
            <w:tcW w:w="975" w:type="pct"/>
            <w:vAlign w:val="center"/>
          </w:tcPr>
          <w:p w14:paraId="6E6B704C">
            <w:pPr>
              <w:pStyle w:val="527"/>
              <w:rPr>
                <w:rFonts w:hint="eastAsia"/>
                <w:color w:val="000000" w:themeColor="text1"/>
                <w:spacing w:val="-5"/>
                <w14:textFill>
                  <w14:solidFill>
                    <w14:schemeClr w14:val="tx1"/>
                  </w14:solidFill>
                </w14:textFill>
              </w:rPr>
            </w:pPr>
            <w:r>
              <w:rPr>
                <w:rFonts w:hint="eastAsia"/>
                <w:color w:val="000000" w:themeColor="text1"/>
                <w:spacing w:val="-5"/>
                <w14:textFill>
                  <w14:solidFill>
                    <w14:schemeClr w14:val="tx1"/>
                  </w14:solidFill>
                </w14:textFill>
              </w:rPr>
              <w:t>耗氧量、氨氮、石油类</w:t>
            </w:r>
          </w:p>
        </w:tc>
        <w:tc>
          <w:tcPr>
            <w:tcW w:w="648" w:type="pct"/>
            <w:vAlign w:val="center"/>
          </w:tcPr>
          <w:p w14:paraId="2ABFF4A5">
            <w:pPr>
              <w:pStyle w:val="527"/>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1137" w:type="pct"/>
            <w:vAlign w:val="center"/>
          </w:tcPr>
          <w:p w14:paraId="21191A1C">
            <w:pPr>
              <w:pStyle w:val="527"/>
              <w:rPr>
                <w:rFonts w:hint="eastAsia"/>
                <w:color w:val="000000" w:themeColor="text1"/>
                <w:spacing w:val="-2"/>
                <w14:textFill>
                  <w14:solidFill>
                    <w14:schemeClr w14:val="tx1"/>
                  </w14:solidFill>
                </w14:textFill>
              </w:rPr>
            </w:pPr>
            <w:r>
              <w:rPr>
                <w:rFonts w:hint="eastAsia"/>
                <w:color w:val="000000" w:themeColor="text1"/>
                <w:spacing w:val="-2"/>
                <w14:textFill>
                  <w14:solidFill>
                    <w14:schemeClr w14:val="tx1"/>
                  </w14:solidFill>
                </w14:textFill>
              </w:rPr>
              <w:t>地表扰动面积及</w:t>
            </w:r>
          </w:p>
          <w:p w14:paraId="5B0B788A">
            <w:pPr>
              <w:pStyle w:val="527"/>
              <w:rPr>
                <w:rFonts w:hint="eastAsia"/>
                <w:color w:val="000000" w:themeColor="text1"/>
                <w:spacing w:val="-2"/>
                <w14:textFill>
                  <w14:solidFill>
                    <w14:schemeClr w14:val="tx1"/>
                  </w14:solidFill>
                </w14:textFill>
              </w:rPr>
            </w:pPr>
            <w:r>
              <w:rPr>
                <w:rFonts w:hint="eastAsia"/>
                <w:color w:val="000000" w:themeColor="text1"/>
                <w:spacing w:val="-2"/>
                <w14:textFill>
                  <w14:solidFill>
                    <w14:schemeClr w14:val="tx1"/>
                  </w14:solidFill>
                </w14:textFill>
              </w:rPr>
              <w:t>类型、生物量损</w:t>
            </w:r>
          </w:p>
          <w:p w14:paraId="621C3433">
            <w:pPr>
              <w:pStyle w:val="527"/>
              <w:rPr>
                <w:rFonts w:hint="eastAsia"/>
                <w:color w:val="000000" w:themeColor="text1"/>
                <w:spacing w:val="-2"/>
                <w14:textFill>
                  <w14:solidFill>
                    <w14:schemeClr w14:val="tx1"/>
                  </w14:solidFill>
                </w14:textFill>
              </w:rPr>
            </w:pPr>
            <w:r>
              <w:rPr>
                <w:rFonts w:hint="eastAsia"/>
                <w:color w:val="000000" w:themeColor="text1"/>
                <w:spacing w:val="-2"/>
                <w14:textFill>
                  <w14:solidFill>
                    <w14:schemeClr w14:val="tx1"/>
                  </w14:solidFill>
                </w14:textFill>
              </w:rPr>
              <w:t>失、物种多样性、</w:t>
            </w:r>
          </w:p>
          <w:p w14:paraId="6F0B8235">
            <w:pPr>
              <w:pStyle w:val="527"/>
              <w:rPr>
                <w:rFonts w:hint="eastAsia"/>
                <w:color w:val="000000" w:themeColor="text1"/>
                <w:spacing w:val="-2"/>
                <w14:textFill>
                  <w14:solidFill>
                    <w14:schemeClr w14:val="tx1"/>
                  </w14:solidFill>
                </w14:textFill>
              </w:rPr>
            </w:pPr>
            <w:r>
              <w:rPr>
                <w:rFonts w:hint="eastAsia"/>
                <w:color w:val="000000" w:themeColor="text1"/>
                <w:spacing w:val="-2"/>
                <w14:textFill>
                  <w14:solidFill>
                    <w14:schemeClr w14:val="tx1"/>
                  </w14:solidFill>
                </w14:textFill>
              </w:rPr>
              <w:t>生态系统完整性</w:t>
            </w:r>
          </w:p>
          <w:p w14:paraId="278F2ADC">
            <w:pPr>
              <w:pStyle w:val="527"/>
              <w:rPr>
                <w:rFonts w:hint="eastAsia"/>
                <w:color w:val="000000" w:themeColor="text1"/>
                <w:spacing w:val="-2"/>
                <w14:textFill>
                  <w14:solidFill>
                    <w14:schemeClr w14:val="tx1"/>
                  </w14:solidFill>
                </w14:textFill>
              </w:rPr>
            </w:pPr>
            <w:r>
              <w:rPr>
                <w:rFonts w:hint="eastAsia"/>
                <w:color w:val="000000" w:themeColor="text1"/>
                <w:spacing w:val="-2"/>
                <w14:textFill>
                  <w14:solidFill>
                    <w14:schemeClr w14:val="tx1"/>
                  </w14:solidFill>
                </w14:textFill>
              </w:rPr>
              <w:t>等</w:t>
            </w:r>
          </w:p>
        </w:tc>
        <w:tc>
          <w:tcPr>
            <w:tcW w:w="777" w:type="pct"/>
            <w:vAlign w:val="center"/>
          </w:tcPr>
          <w:p w14:paraId="3A6BFA49">
            <w:pPr>
              <w:pStyle w:val="527"/>
              <w:rPr>
                <w:rFonts w:hint="eastAsia"/>
                <w:color w:val="000000" w:themeColor="text1"/>
                <w:spacing w:val="-2"/>
                <w14:textFill>
                  <w14:solidFill>
                    <w14:schemeClr w14:val="tx1"/>
                  </w14:solidFill>
                </w14:textFill>
              </w:rPr>
            </w:pPr>
            <w:r>
              <w:rPr>
                <w:rFonts w:hint="eastAsia"/>
                <w:color w:val="000000" w:themeColor="text1"/>
                <w:spacing w:val="-2"/>
                <w14:textFill>
                  <w14:solidFill>
                    <w14:schemeClr w14:val="tx1"/>
                  </w14:solidFill>
                </w14:textFill>
              </w:rPr>
              <w:t>/</w:t>
            </w:r>
          </w:p>
        </w:tc>
      </w:tr>
      <w:tr w14:paraId="42B58BA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69" w:type="pct"/>
            <w:vMerge w:val="continue"/>
            <w:vAlign w:val="center"/>
          </w:tcPr>
          <w:p w14:paraId="173F6528">
            <w:pPr>
              <w:pStyle w:val="527"/>
              <w:jc w:val="both"/>
              <w:rPr>
                <w:rFonts w:hint="eastAsia" w:cs="黑体"/>
                <w:color w:val="000000" w:themeColor="text1"/>
                <w14:textFill>
                  <w14:solidFill>
                    <w14:schemeClr w14:val="tx1"/>
                  </w14:solidFill>
                </w14:textFill>
              </w:rPr>
            </w:pPr>
          </w:p>
        </w:tc>
        <w:tc>
          <w:tcPr>
            <w:tcW w:w="405" w:type="pct"/>
            <w:vAlign w:val="center"/>
          </w:tcPr>
          <w:p w14:paraId="76187177">
            <w:pPr>
              <w:pStyle w:val="527"/>
              <w:rPr>
                <w:rFonts w:hint="eastAsia"/>
                <w:color w:val="000000" w:themeColor="text1"/>
                <w:spacing w:val="-4"/>
                <w14:textFill>
                  <w14:solidFill>
                    <w14:schemeClr w14:val="tx1"/>
                  </w14:solidFill>
                </w14:textFill>
              </w:rPr>
            </w:pPr>
            <w:r>
              <w:rPr>
                <w:rFonts w:hint="eastAsia"/>
                <w:color w:val="000000" w:themeColor="text1"/>
                <w:spacing w:val="-4"/>
                <w14:textFill>
                  <w14:solidFill>
                    <w14:schemeClr w14:val="tx1"/>
                  </w14:solidFill>
                </w14:textFill>
              </w:rPr>
              <w:t>运营期</w:t>
            </w:r>
          </w:p>
        </w:tc>
        <w:tc>
          <w:tcPr>
            <w:tcW w:w="487" w:type="pct"/>
            <w:vAlign w:val="center"/>
          </w:tcPr>
          <w:p w14:paraId="22C5DC71">
            <w:pPr>
              <w:pStyle w:val="527"/>
              <w:rPr>
                <w:rFonts w:hint="eastAsia"/>
                <w:color w:val="000000" w:themeColor="text1"/>
                <w:spacing w:val="-2"/>
                <w14:textFill>
                  <w14:solidFill>
                    <w14:schemeClr w14:val="tx1"/>
                  </w14:solidFill>
                </w14:textFill>
              </w:rPr>
            </w:pPr>
            <w:r>
              <w:rPr>
                <w:rFonts w:hint="eastAsia"/>
                <w:color w:val="000000" w:themeColor="text1"/>
                <w:spacing w:val="-2"/>
                <w14:textFill>
                  <w14:solidFill>
                    <w14:schemeClr w14:val="tx1"/>
                  </w14:solidFill>
                </w14:textFill>
              </w:rPr>
              <w:t>非甲烷总烃、硫化氢</w:t>
            </w:r>
          </w:p>
        </w:tc>
        <w:tc>
          <w:tcPr>
            <w:tcW w:w="975" w:type="pct"/>
            <w:vAlign w:val="center"/>
          </w:tcPr>
          <w:p w14:paraId="1BA6986B">
            <w:pPr>
              <w:pStyle w:val="527"/>
              <w:rPr>
                <w:rFonts w:hint="eastAsia"/>
                <w:color w:val="000000" w:themeColor="text1"/>
                <w:spacing w:val="-5"/>
                <w14:textFill>
                  <w14:solidFill>
                    <w14:schemeClr w14:val="tx1"/>
                  </w14:solidFill>
                </w14:textFill>
              </w:rPr>
            </w:pPr>
            <w:r>
              <w:rPr>
                <w:color w:val="000000" w:themeColor="text1"/>
                <w:spacing w:val="-5"/>
                <w14:textFill>
                  <w14:solidFill>
                    <w14:schemeClr w14:val="tx1"/>
                  </w14:solidFill>
                </w14:textFill>
              </w:rPr>
              <w:t xml:space="preserve">pH </w:t>
            </w:r>
            <w:r>
              <w:rPr>
                <w:rFonts w:hint="eastAsia"/>
                <w:color w:val="000000" w:themeColor="text1"/>
                <w:spacing w:val="-5"/>
                <w14:textFill>
                  <w14:solidFill>
                    <w14:schemeClr w14:val="tx1"/>
                  </w14:solidFill>
                </w14:textFill>
              </w:rPr>
              <w:t>值、挥发酚、耗氧量、氨氮、硫化物、氯化物、石油类、总硬度、溶解性总固体、钡、汞、砷、六价铬等</w:t>
            </w:r>
          </w:p>
        </w:tc>
        <w:tc>
          <w:tcPr>
            <w:tcW w:w="648" w:type="pct"/>
            <w:vAlign w:val="center"/>
          </w:tcPr>
          <w:p w14:paraId="613211A4">
            <w:pPr>
              <w:pStyle w:val="527"/>
              <w:rPr>
                <w:rFonts w:hint="eastAsia"/>
                <w:color w:val="000000" w:themeColor="text1"/>
                <w14:textFill>
                  <w14:solidFill>
                    <w14:schemeClr w14:val="tx1"/>
                  </w14:solidFill>
                </w14:textFill>
              </w:rPr>
            </w:pPr>
            <w:r>
              <w:rPr>
                <w:color w:val="000000" w:themeColor="text1"/>
                <w14:textFill>
                  <w14:solidFill>
                    <w14:schemeClr w14:val="tx1"/>
                  </w14:solidFill>
                </w14:textFill>
              </w:rPr>
              <w:t>pH</w:t>
            </w:r>
            <w:r>
              <w:rPr>
                <w:rFonts w:hint="eastAsia"/>
                <w:color w:val="000000" w:themeColor="text1"/>
                <w14:textFill>
                  <w14:solidFill>
                    <w14:schemeClr w14:val="tx1"/>
                  </w14:solidFill>
                </w14:textFill>
              </w:rPr>
              <w:t>值、石油类、石油烃</w:t>
            </w:r>
          </w:p>
          <w:p w14:paraId="58DBB970">
            <w:pPr>
              <w:pStyle w:val="527"/>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w:t>
            </w:r>
            <w:r>
              <w:rPr>
                <w:color w:val="000000" w:themeColor="text1"/>
                <w14:textFill>
                  <w14:solidFill>
                    <w14:schemeClr w14:val="tx1"/>
                  </w14:solidFill>
                </w14:textFill>
              </w:rPr>
              <w:t>C</w:t>
            </w:r>
            <w:r>
              <w:rPr>
                <w:color w:val="000000" w:themeColor="text1"/>
                <w:vertAlign w:val="subscript"/>
                <w14:textFill>
                  <w14:solidFill>
                    <w14:schemeClr w14:val="tx1"/>
                  </w14:solidFill>
                </w14:textFill>
              </w:rPr>
              <w:t>10</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C</w:t>
            </w:r>
            <w:r>
              <w:rPr>
                <w:color w:val="000000" w:themeColor="text1"/>
                <w:vertAlign w:val="subscript"/>
                <w14:textFill>
                  <w14:solidFill>
                    <w14:schemeClr w14:val="tx1"/>
                  </w14:solidFill>
                </w14:textFill>
              </w:rPr>
              <w:t>40</w:t>
            </w:r>
            <w:r>
              <w:rPr>
                <w:rFonts w:hint="eastAsia"/>
                <w:color w:val="000000" w:themeColor="text1"/>
                <w14:textFill>
                  <w14:solidFill>
                    <w14:schemeClr w14:val="tx1"/>
                  </w14:solidFill>
                </w14:textFill>
              </w:rPr>
              <w:t>）、汞、砷、六价铬、土壤盐分含量等</w:t>
            </w:r>
          </w:p>
        </w:tc>
        <w:tc>
          <w:tcPr>
            <w:tcW w:w="1137" w:type="pct"/>
            <w:vAlign w:val="center"/>
          </w:tcPr>
          <w:p w14:paraId="0065D702">
            <w:pPr>
              <w:pStyle w:val="527"/>
              <w:rPr>
                <w:rFonts w:hint="eastAsia"/>
                <w:color w:val="000000" w:themeColor="text1"/>
                <w:spacing w:val="-2"/>
                <w14:textFill>
                  <w14:solidFill>
                    <w14:schemeClr w14:val="tx1"/>
                  </w14:solidFill>
                </w14:textFill>
              </w:rPr>
            </w:pPr>
            <w:r>
              <w:rPr>
                <w:rFonts w:hint="eastAsia"/>
                <w:color w:val="000000" w:themeColor="text1"/>
                <w:spacing w:val="-2"/>
                <w14:textFill>
                  <w14:solidFill>
                    <w14:schemeClr w14:val="tx1"/>
                  </w14:solidFill>
                </w14:textFill>
              </w:rPr>
              <w:t>/</w:t>
            </w:r>
          </w:p>
        </w:tc>
        <w:tc>
          <w:tcPr>
            <w:tcW w:w="777" w:type="pct"/>
            <w:vAlign w:val="center"/>
          </w:tcPr>
          <w:p w14:paraId="5DF6089E">
            <w:pPr>
              <w:pStyle w:val="527"/>
              <w:rPr>
                <w:rFonts w:hint="eastAsia"/>
                <w:color w:val="000000" w:themeColor="text1"/>
                <w:spacing w:val="-2"/>
                <w14:textFill>
                  <w14:solidFill>
                    <w14:schemeClr w14:val="tx1"/>
                  </w14:solidFill>
                </w14:textFill>
              </w:rPr>
            </w:pPr>
            <w:r>
              <w:rPr>
                <w:rFonts w:hint="eastAsia"/>
                <w:color w:val="000000" w:themeColor="text1"/>
                <w:spacing w:val="-2"/>
                <w14:textFill>
                  <w14:solidFill>
                    <w14:schemeClr w14:val="tx1"/>
                  </w14:solidFill>
                </w14:textFill>
              </w:rPr>
              <w:t>昼间等效声级</w:t>
            </w:r>
            <w:r>
              <w:rPr>
                <w:rFonts w:hint="eastAsia"/>
                <w:color w:val="000000" w:themeColor="text1"/>
                <w:spacing w:val="-2"/>
                <w:position w:val="1"/>
                <w14:textFill>
                  <w14:solidFill>
                    <w14:schemeClr w14:val="tx1"/>
                  </w14:solidFill>
                </w14:textFill>
              </w:rPr>
              <w:t>（</w:t>
            </w:r>
            <w:r>
              <w:rPr>
                <w:i/>
                <w:iCs/>
                <w:color w:val="000000" w:themeColor="text1"/>
                <w:spacing w:val="-2"/>
                <w:position w:val="1"/>
                <w14:textFill>
                  <w14:solidFill>
                    <w14:schemeClr w14:val="tx1"/>
                  </w14:solidFill>
                </w14:textFill>
              </w:rPr>
              <w:t>L</w:t>
            </w:r>
            <w:r>
              <w:rPr>
                <w:color w:val="000000" w:themeColor="text1"/>
                <w:spacing w:val="-2"/>
                <w14:textFill>
                  <w14:solidFill>
                    <w14:schemeClr w14:val="tx1"/>
                  </w14:solidFill>
                </w14:textFill>
              </w:rPr>
              <w:t>d</w:t>
            </w:r>
            <w:r>
              <w:rPr>
                <w:rFonts w:hint="eastAsia"/>
                <w:color w:val="000000" w:themeColor="text1"/>
                <w:spacing w:val="-2"/>
                <w:position w:val="1"/>
                <w14:textFill>
                  <w14:solidFill>
                    <w14:schemeClr w14:val="tx1"/>
                  </w14:solidFill>
                </w14:textFill>
              </w:rPr>
              <w:t>）、夜间</w:t>
            </w:r>
            <w:r>
              <w:rPr>
                <w:rFonts w:hint="eastAsia"/>
                <w:color w:val="000000" w:themeColor="text1"/>
                <w:spacing w:val="-4"/>
                <w:position w:val="1"/>
                <w14:textFill>
                  <w14:solidFill>
                    <w14:schemeClr w14:val="tx1"/>
                  </w14:solidFill>
                </w14:textFill>
              </w:rPr>
              <w:t>等效声级（</w:t>
            </w:r>
            <w:r>
              <w:rPr>
                <w:i/>
                <w:iCs/>
                <w:color w:val="000000" w:themeColor="text1"/>
                <w:spacing w:val="-4"/>
                <w:position w:val="1"/>
                <w14:textFill>
                  <w14:solidFill>
                    <w14:schemeClr w14:val="tx1"/>
                  </w14:solidFill>
                </w14:textFill>
              </w:rPr>
              <w:t>L</w:t>
            </w:r>
            <w:r>
              <w:rPr>
                <w:color w:val="000000" w:themeColor="text1"/>
                <w:spacing w:val="-4"/>
                <w14:textFill>
                  <w14:solidFill>
                    <w14:schemeClr w14:val="tx1"/>
                  </w14:solidFill>
                </w14:textFill>
              </w:rPr>
              <w:t>n</w:t>
            </w:r>
            <w:r>
              <w:rPr>
                <w:rFonts w:hint="eastAsia"/>
                <w:color w:val="000000" w:themeColor="text1"/>
                <w:spacing w:val="-4"/>
                <w:position w:val="1"/>
                <w14:textFill>
                  <w14:solidFill>
                    <w14:schemeClr w14:val="tx1"/>
                  </w14:solidFill>
                </w14:textFill>
              </w:rPr>
              <w:t>）</w:t>
            </w:r>
          </w:p>
        </w:tc>
      </w:tr>
      <w:bookmarkEnd w:id="88"/>
    </w:tbl>
    <w:p w14:paraId="49BAC634">
      <w:pPr>
        <w:pStyle w:val="2"/>
        <w:rPr>
          <w:rFonts w:hint="eastAsia"/>
          <w:color w:val="000000" w:themeColor="text1"/>
          <w:lang w:val="zh-CN"/>
          <w14:textFill>
            <w14:solidFill>
              <w14:schemeClr w14:val="tx1"/>
            </w14:solidFill>
          </w14:textFill>
        </w:rPr>
      </w:pPr>
      <w:bookmarkStart w:id="89" w:name="_Toc216260236"/>
      <w:bookmarkStart w:id="90" w:name="_Ref475267069"/>
      <w:bookmarkStart w:id="91" w:name="_Toc445996329"/>
      <w:bookmarkStart w:id="92" w:name="_Ref475267067"/>
      <w:bookmarkStart w:id="93" w:name="_Toc12409"/>
      <w:bookmarkStart w:id="94" w:name="_Toc445841967"/>
      <w:r>
        <w:rPr>
          <w:rFonts w:hint="eastAsia"/>
          <w:color w:val="000000" w:themeColor="text1"/>
          <w:lang w:val="zh-CN"/>
          <w14:textFill>
            <w14:solidFill>
              <w14:schemeClr w14:val="tx1"/>
            </w14:solidFill>
          </w14:textFill>
        </w:rPr>
        <w:t>环境功能区划与评价标准</w:t>
      </w:r>
      <w:bookmarkEnd w:id="89"/>
    </w:p>
    <w:p w14:paraId="1D529880">
      <w:pPr>
        <w:pStyle w:val="4"/>
        <w:rPr>
          <w:rFonts w:hint="eastAsia"/>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环境功能区划</w:t>
      </w:r>
    </w:p>
    <w:p w14:paraId="04B137A7">
      <w:pPr>
        <w:pStyle w:val="117"/>
        <w:spacing w:line="480" w:lineRule="exact"/>
        <w:ind w:firstLine="480"/>
        <w:rPr>
          <w:rFonts w:hint="eastAsia"/>
          <w:color w:val="000000" w:themeColor="text1"/>
          <w:lang w:bidi="ar"/>
          <w14:textFill>
            <w14:solidFill>
              <w14:schemeClr w14:val="tx1"/>
            </w14:solidFill>
          </w14:textFill>
        </w:rPr>
      </w:pPr>
      <w:r>
        <w:rPr>
          <w:rFonts w:hint="eastAsia"/>
          <w:color w:val="000000" w:themeColor="text1"/>
          <w:lang w:bidi="ar"/>
          <w14:textFill>
            <w14:solidFill>
              <w14:schemeClr w14:val="tx1"/>
            </w14:solidFill>
          </w14:textFill>
        </w:rPr>
        <w:t>环境功能区划情况详见表2</w:t>
      </w:r>
      <w:r>
        <w:rPr>
          <w:color w:val="000000" w:themeColor="text1"/>
          <w:lang w:bidi="ar"/>
          <w14:textFill>
            <w14:solidFill>
              <w14:schemeClr w14:val="tx1"/>
            </w14:solidFill>
          </w14:textFill>
        </w:rPr>
        <w:t>.5</w:t>
      </w:r>
      <w:r>
        <w:rPr>
          <w:rFonts w:hint="eastAsia"/>
          <w:color w:val="000000" w:themeColor="text1"/>
          <w:lang w:bidi="ar"/>
          <w14:textFill>
            <w14:solidFill>
              <w14:schemeClr w14:val="tx1"/>
            </w14:solidFill>
          </w14:textFill>
        </w:rPr>
        <w:t>-</w:t>
      </w:r>
      <w:r>
        <w:rPr>
          <w:color w:val="000000" w:themeColor="text1"/>
          <w:lang w:bidi="ar"/>
          <w14:textFill>
            <w14:solidFill>
              <w14:schemeClr w14:val="tx1"/>
            </w14:solidFill>
          </w14:textFill>
        </w:rPr>
        <w:t>1</w:t>
      </w:r>
      <w:r>
        <w:rPr>
          <w:rFonts w:hint="eastAsia"/>
          <w:color w:val="000000" w:themeColor="text1"/>
          <w:lang w:bidi="ar"/>
          <w14:textFill>
            <w14:solidFill>
              <w14:schemeClr w14:val="tx1"/>
            </w14:solidFill>
          </w14:textFill>
        </w:rPr>
        <w:t>。</w:t>
      </w:r>
    </w:p>
    <w:p w14:paraId="1DB0AA48">
      <w:pPr>
        <w:pStyle w:val="109"/>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表2</w:t>
      </w:r>
      <w:r>
        <w:rPr>
          <w:color w:val="000000" w:themeColor="text1"/>
          <w14:textFill>
            <w14:solidFill>
              <w14:schemeClr w14:val="tx1"/>
            </w14:solidFill>
          </w14:textFill>
        </w:rPr>
        <w:t>.5</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1</w:t>
      </w:r>
      <w:r>
        <w:rPr>
          <w:rFonts w:hint="eastAsia"/>
          <w:color w:val="000000" w:themeColor="text1"/>
          <w14:textFill>
            <w14:solidFill>
              <w14:schemeClr w14:val="tx1"/>
            </w14:solidFill>
          </w14:textFill>
        </w:rPr>
        <w:t xml:space="preserve">  区域环境功能区划一览表</w:t>
      </w:r>
    </w:p>
    <w:tbl>
      <w:tblPr>
        <w:tblStyle w:val="51"/>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308"/>
        <w:gridCol w:w="5083"/>
        <w:gridCol w:w="2555"/>
      </w:tblGrid>
      <w:tr w14:paraId="6480186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31" w:type="pct"/>
            <w:vAlign w:val="center"/>
          </w:tcPr>
          <w:p w14:paraId="1D8150DE">
            <w:pPr>
              <w:pStyle w:val="278"/>
              <w:adjustRightInd w:val="0"/>
              <w:snapToGrid w:val="0"/>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环境要素</w:t>
            </w:r>
          </w:p>
        </w:tc>
        <w:tc>
          <w:tcPr>
            <w:tcW w:w="2841" w:type="pct"/>
            <w:vAlign w:val="center"/>
          </w:tcPr>
          <w:p w14:paraId="05081DC8">
            <w:pPr>
              <w:pStyle w:val="278"/>
              <w:adjustRightInd w:val="0"/>
              <w:snapToGrid w:val="0"/>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环境功能区划</w:t>
            </w:r>
          </w:p>
        </w:tc>
        <w:tc>
          <w:tcPr>
            <w:tcW w:w="1428" w:type="pct"/>
            <w:vAlign w:val="center"/>
          </w:tcPr>
          <w:p w14:paraId="236B3FEC">
            <w:pPr>
              <w:pStyle w:val="278"/>
              <w:adjustRightInd w:val="0"/>
              <w:snapToGrid w:val="0"/>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划分依据</w:t>
            </w:r>
          </w:p>
        </w:tc>
      </w:tr>
      <w:tr w14:paraId="5B42C00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31" w:type="pct"/>
            <w:vAlign w:val="center"/>
          </w:tcPr>
          <w:p w14:paraId="2134EED4">
            <w:pPr>
              <w:pStyle w:val="278"/>
              <w:adjustRightInd w:val="0"/>
              <w:snapToGrid w:val="0"/>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环境空气</w:t>
            </w:r>
          </w:p>
        </w:tc>
        <w:tc>
          <w:tcPr>
            <w:tcW w:w="2841" w:type="pct"/>
            <w:vAlign w:val="center"/>
          </w:tcPr>
          <w:p w14:paraId="06BAF277">
            <w:pPr>
              <w:pStyle w:val="278"/>
              <w:adjustRightInd w:val="0"/>
              <w:snapToGrid w:val="0"/>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《环境空气质量标准》（GB3095-2012）二类功能区</w:t>
            </w:r>
          </w:p>
        </w:tc>
        <w:tc>
          <w:tcPr>
            <w:tcW w:w="1428" w:type="pct"/>
            <w:vAlign w:val="center"/>
          </w:tcPr>
          <w:p w14:paraId="4CF48297">
            <w:pPr>
              <w:pStyle w:val="278"/>
              <w:adjustRightInd w:val="0"/>
              <w:snapToGrid w:val="0"/>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项目区不属于自然保护区、风景名胜区和其他需要特殊保护的区域</w:t>
            </w:r>
          </w:p>
        </w:tc>
      </w:tr>
      <w:tr w14:paraId="009C7AB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31" w:type="pct"/>
            <w:vAlign w:val="center"/>
          </w:tcPr>
          <w:p w14:paraId="2ACCEECF">
            <w:pPr>
              <w:pStyle w:val="278"/>
              <w:adjustRightInd w:val="0"/>
              <w:snapToGrid w:val="0"/>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地下水环境</w:t>
            </w:r>
          </w:p>
        </w:tc>
        <w:tc>
          <w:tcPr>
            <w:tcW w:w="2841" w:type="pct"/>
            <w:vAlign w:val="center"/>
          </w:tcPr>
          <w:p w14:paraId="12F24C20">
            <w:pPr>
              <w:pStyle w:val="278"/>
              <w:adjustRightInd w:val="0"/>
              <w:snapToGrid w:val="0"/>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《地下水质量标准》（GB/T14848-2017）Ⅲ类区</w:t>
            </w:r>
          </w:p>
        </w:tc>
        <w:tc>
          <w:tcPr>
            <w:tcW w:w="1428" w:type="pct"/>
            <w:vAlign w:val="center"/>
          </w:tcPr>
          <w:p w14:paraId="745F21B1">
            <w:pPr>
              <w:pStyle w:val="278"/>
              <w:adjustRightInd w:val="0"/>
              <w:snapToGrid w:val="0"/>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主要用于工业用水</w:t>
            </w:r>
          </w:p>
        </w:tc>
      </w:tr>
      <w:tr w14:paraId="6274006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31" w:type="pct"/>
            <w:vAlign w:val="center"/>
          </w:tcPr>
          <w:p w14:paraId="0E1D6CD2">
            <w:pPr>
              <w:pStyle w:val="278"/>
              <w:adjustRightInd w:val="0"/>
              <w:snapToGrid w:val="0"/>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声环境</w:t>
            </w:r>
          </w:p>
        </w:tc>
        <w:tc>
          <w:tcPr>
            <w:tcW w:w="2841" w:type="pct"/>
            <w:vAlign w:val="center"/>
          </w:tcPr>
          <w:p w14:paraId="19E464B2">
            <w:pPr>
              <w:pStyle w:val="278"/>
              <w:adjustRightInd w:val="0"/>
              <w:snapToGrid w:val="0"/>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《声环境质量标准》（GB3096-2008）</w:t>
            </w:r>
            <w:r>
              <w:rPr>
                <w:color w:val="000000" w:themeColor="text1"/>
                <w14:textFill>
                  <w14:solidFill>
                    <w14:schemeClr w14:val="tx1"/>
                  </w14:solidFill>
                </w14:textFill>
              </w:rPr>
              <w:t>2</w:t>
            </w:r>
            <w:r>
              <w:rPr>
                <w:rFonts w:hint="eastAsia"/>
                <w:color w:val="000000" w:themeColor="text1"/>
                <w14:textFill>
                  <w14:solidFill>
                    <w14:schemeClr w14:val="tx1"/>
                  </w14:solidFill>
                </w14:textFill>
              </w:rPr>
              <w:t>类功能区</w:t>
            </w:r>
          </w:p>
        </w:tc>
        <w:tc>
          <w:tcPr>
            <w:tcW w:w="1428" w:type="pct"/>
            <w:vAlign w:val="center"/>
          </w:tcPr>
          <w:p w14:paraId="69F7CCAD">
            <w:pPr>
              <w:pStyle w:val="278"/>
              <w:adjustRightInd w:val="0"/>
              <w:snapToGrid w:val="0"/>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位于2类功能区</w:t>
            </w:r>
          </w:p>
        </w:tc>
      </w:tr>
      <w:tr w14:paraId="519C9A1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31" w:type="pct"/>
            <w:vMerge w:val="restart"/>
            <w:vAlign w:val="center"/>
          </w:tcPr>
          <w:p w14:paraId="1740084C">
            <w:pPr>
              <w:pStyle w:val="278"/>
              <w:adjustRightInd w:val="0"/>
              <w:snapToGrid w:val="0"/>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土壤环境</w:t>
            </w:r>
          </w:p>
        </w:tc>
        <w:tc>
          <w:tcPr>
            <w:tcW w:w="2841" w:type="pct"/>
            <w:vAlign w:val="center"/>
          </w:tcPr>
          <w:p w14:paraId="0E8B0AC7">
            <w:pPr>
              <w:pStyle w:val="278"/>
              <w:adjustRightInd w:val="0"/>
              <w:snapToGrid w:val="0"/>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《土壤环境质量</w:t>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建设用地土壤污染风险管控标准（试行）》（</w:t>
            </w:r>
            <w:r>
              <w:rPr>
                <w:color w:val="000000" w:themeColor="text1"/>
                <w14:textFill>
                  <w14:solidFill>
                    <w14:schemeClr w14:val="tx1"/>
                  </w14:solidFill>
                </w14:textFill>
              </w:rPr>
              <w:t>GB36600-2018</w:t>
            </w:r>
            <w:r>
              <w:rPr>
                <w:rFonts w:hint="eastAsia"/>
                <w:color w:val="000000" w:themeColor="text1"/>
                <w14:textFill>
                  <w14:solidFill>
                    <w14:schemeClr w14:val="tx1"/>
                  </w14:solidFill>
                </w14:textFill>
              </w:rPr>
              <w:t>）第二类用地筛选值</w:t>
            </w:r>
          </w:p>
        </w:tc>
        <w:tc>
          <w:tcPr>
            <w:tcW w:w="1428" w:type="pct"/>
            <w:vAlign w:val="center"/>
          </w:tcPr>
          <w:p w14:paraId="07292C7E">
            <w:pPr>
              <w:pStyle w:val="278"/>
              <w:adjustRightInd w:val="0"/>
              <w:snapToGrid w:val="0"/>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占地属于第二类建设项目用地</w:t>
            </w:r>
          </w:p>
        </w:tc>
      </w:tr>
      <w:tr w14:paraId="15BDC97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31" w:type="pct"/>
            <w:vMerge w:val="continue"/>
            <w:vAlign w:val="center"/>
          </w:tcPr>
          <w:p w14:paraId="7FD046A8">
            <w:pPr>
              <w:pStyle w:val="278"/>
              <w:adjustRightInd w:val="0"/>
              <w:snapToGrid w:val="0"/>
              <w:spacing w:line="300" w:lineRule="exact"/>
              <w:rPr>
                <w:rFonts w:hint="eastAsia"/>
                <w:color w:val="000000" w:themeColor="text1"/>
                <w14:textFill>
                  <w14:solidFill>
                    <w14:schemeClr w14:val="tx1"/>
                  </w14:solidFill>
                </w14:textFill>
              </w:rPr>
            </w:pPr>
          </w:p>
        </w:tc>
        <w:tc>
          <w:tcPr>
            <w:tcW w:w="2841" w:type="pct"/>
            <w:vAlign w:val="center"/>
          </w:tcPr>
          <w:p w14:paraId="7433A738">
            <w:pPr>
              <w:pStyle w:val="278"/>
              <w:adjustRightInd w:val="0"/>
              <w:snapToGrid w:val="0"/>
              <w:spacing w:line="300" w:lineRule="exact"/>
              <w:rPr>
                <w:rFonts w:hint="eastAsia"/>
                <w:color w:val="000000" w:themeColor="text1"/>
                <w14:textFill>
                  <w14:solidFill>
                    <w14:schemeClr w14:val="tx1"/>
                  </w14:solidFill>
                </w14:textFill>
              </w:rPr>
            </w:pPr>
            <w:r>
              <w:rPr>
                <w:rFonts w:hint="eastAsia" w:cs="宋体"/>
                <w:color w:val="000000" w:themeColor="text1"/>
                <w14:textFill>
                  <w14:solidFill>
                    <w14:schemeClr w14:val="tx1"/>
                  </w14:solidFill>
                </w14:textFill>
              </w:rPr>
              <w:t>《土壤环境质量 农用地土壤污染风险管控标准（试行）》（GB15618—2018）表1</w:t>
            </w:r>
          </w:p>
        </w:tc>
        <w:tc>
          <w:tcPr>
            <w:tcW w:w="1428" w:type="pct"/>
            <w:vAlign w:val="center"/>
          </w:tcPr>
          <w:p w14:paraId="7CA309D9">
            <w:pPr>
              <w:pStyle w:val="278"/>
              <w:adjustRightInd w:val="0"/>
              <w:snapToGrid w:val="0"/>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评价范围内存在耕地、天然牧草地</w:t>
            </w:r>
          </w:p>
        </w:tc>
      </w:tr>
      <w:tr w14:paraId="4E081E0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31" w:type="pct"/>
            <w:vAlign w:val="center"/>
          </w:tcPr>
          <w:p w14:paraId="2CE58E0D">
            <w:pPr>
              <w:pStyle w:val="278"/>
              <w:adjustRightInd w:val="0"/>
              <w:snapToGrid w:val="0"/>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生态环境</w:t>
            </w:r>
          </w:p>
        </w:tc>
        <w:tc>
          <w:tcPr>
            <w:tcW w:w="4269" w:type="pct"/>
            <w:gridSpan w:val="2"/>
            <w:vAlign w:val="center"/>
          </w:tcPr>
          <w:p w14:paraId="7D8763AF">
            <w:pPr>
              <w:pStyle w:val="278"/>
              <w:adjustRightInd w:val="0"/>
              <w:snapToGrid w:val="0"/>
              <w:spacing w:line="300" w:lineRule="exact"/>
              <w:jc w:val="lef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Ⅱ准噶尔盆地温带干旱荒漠与绿洲生态功能区—</w:t>
            </w:r>
            <w:r>
              <w:rPr>
                <w:color w:val="000000" w:themeColor="text1"/>
                <w14:textFill>
                  <w14:solidFill>
                    <w14:schemeClr w14:val="tx1"/>
                  </w14:solidFill>
                </w14:textFill>
              </w:rPr>
              <w:t>Ⅱ</w:t>
            </w:r>
            <w:r>
              <w:rPr>
                <w:color w:val="000000" w:themeColor="text1"/>
                <w:vertAlign w:val="subscript"/>
                <w14:textFill>
                  <w14:solidFill>
                    <w14:schemeClr w14:val="tx1"/>
                  </w14:solidFill>
                </w14:textFill>
              </w:rPr>
              <w:t>5</w:t>
            </w:r>
            <w:r>
              <w:rPr>
                <w:color w:val="000000" w:themeColor="text1"/>
                <w14:textFill>
                  <w14:solidFill>
                    <w14:schemeClr w14:val="tx1"/>
                  </w14:solidFill>
                </w14:textFill>
              </w:rPr>
              <w:t>准噶尔盆地南部荒漠绿洲农业生态亚区</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28阜康—木垒绿洲农业、荒漠草地保护生态功能区</w:t>
            </w:r>
          </w:p>
        </w:tc>
      </w:tr>
    </w:tbl>
    <w:p w14:paraId="2875745F">
      <w:pPr>
        <w:pStyle w:val="4"/>
        <w:rPr>
          <w:rFonts w:hint="eastAsia"/>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评价标准</w:t>
      </w:r>
      <w:bookmarkEnd w:id="90"/>
      <w:bookmarkEnd w:id="91"/>
      <w:bookmarkEnd w:id="92"/>
      <w:bookmarkEnd w:id="93"/>
      <w:bookmarkEnd w:id="94"/>
    </w:p>
    <w:p w14:paraId="3CFE3B53">
      <w:pPr>
        <w:pStyle w:val="117"/>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color w:val="000000" w:themeColor="text1"/>
          <w14:textFill>
            <w14:solidFill>
              <w14:schemeClr w14:val="tx1"/>
            </w14:solidFill>
          </w14:textFill>
        </w:rPr>
        <w:t>环境质量标准</w:t>
      </w:r>
    </w:p>
    <w:p w14:paraId="0036BEB1">
      <w:pPr>
        <w:pStyle w:val="117"/>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①</w:t>
      </w:r>
      <w:r>
        <w:rPr>
          <w:color w:val="000000" w:themeColor="text1"/>
          <w14:textFill>
            <w14:solidFill>
              <w14:schemeClr w14:val="tx1"/>
            </w14:solidFill>
          </w14:textFill>
        </w:rPr>
        <w:t>环境空气</w:t>
      </w:r>
    </w:p>
    <w:p w14:paraId="4F3E301E">
      <w:pPr>
        <w:pStyle w:val="117"/>
        <w:ind w:firstLine="480"/>
        <w:rPr>
          <w:rFonts w:hint="eastAsia"/>
          <w:color w:val="000000" w:themeColor="text1"/>
          <w14:textFill>
            <w14:solidFill>
              <w14:schemeClr w14:val="tx1"/>
            </w14:solidFill>
          </w14:textFill>
        </w:rPr>
      </w:pPr>
      <w:r>
        <w:rPr>
          <w:color w:val="000000" w:themeColor="text1"/>
          <w14:textFill>
            <w14:solidFill>
              <w14:schemeClr w14:val="tx1"/>
            </w14:solidFill>
          </w14:textFill>
        </w:rPr>
        <w:t>SO</w:t>
      </w:r>
      <w:r>
        <w:rPr>
          <w:color w:val="000000" w:themeColor="text1"/>
          <w:vertAlign w:val="subscript"/>
          <w14:textFill>
            <w14:solidFill>
              <w14:schemeClr w14:val="tx1"/>
            </w14:solidFill>
          </w14:textFill>
        </w:rPr>
        <w:t>2</w:t>
      </w:r>
      <w:r>
        <w:rPr>
          <w:color w:val="000000" w:themeColor="text1"/>
          <w14:textFill>
            <w14:solidFill>
              <w14:schemeClr w14:val="tx1"/>
            </w14:solidFill>
          </w14:textFill>
        </w:rPr>
        <w:t>、NO</w:t>
      </w:r>
      <w:r>
        <w:rPr>
          <w:color w:val="000000" w:themeColor="text1"/>
          <w:vertAlign w:val="subscript"/>
          <w14:textFill>
            <w14:solidFill>
              <w14:schemeClr w14:val="tx1"/>
            </w14:solidFill>
          </w14:textFill>
        </w:rPr>
        <w:t>2</w:t>
      </w:r>
      <w:r>
        <w:rPr>
          <w:color w:val="000000" w:themeColor="text1"/>
          <w14:textFill>
            <w14:solidFill>
              <w14:schemeClr w14:val="tx1"/>
            </w14:solidFill>
          </w14:textFill>
        </w:rPr>
        <w:t>、PM</w:t>
      </w:r>
      <w:r>
        <w:rPr>
          <w:color w:val="000000" w:themeColor="text1"/>
          <w:vertAlign w:val="subscript"/>
          <w14:textFill>
            <w14:solidFill>
              <w14:schemeClr w14:val="tx1"/>
            </w14:solidFill>
          </w14:textFill>
        </w:rPr>
        <w:t>10</w:t>
      </w:r>
      <w:r>
        <w:rPr>
          <w:rFonts w:hint="eastAsia" w:cs="Arial"/>
          <w:color w:val="000000" w:themeColor="text1"/>
          <w14:textFill>
            <w14:solidFill>
              <w14:schemeClr w14:val="tx1"/>
            </w14:solidFill>
          </w14:textFill>
        </w:rPr>
        <w:t>、P</w:t>
      </w:r>
      <w:r>
        <w:rPr>
          <w:rFonts w:cs="Arial"/>
          <w:color w:val="000000" w:themeColor="text1"/>
          <w14:textFill>
            <w14:solidFill>
              <w14:schemeClr w14:val="tx1"/>
            </w14:solidFill>
          </w14:textFill>
        </w:rPr>
        <w:t>M</w:t>
      </w:r>
      <w:r>
        <w:rPr>
          <w:rFonts w:cs="Arial"/>
          <w:color w:val="000000" w:themeColor="text1"/>
          <w:vertAlign w:val="subscript"/>
          <w14:textFill>
            <w14:solidFill>
              <w14:schemeClr w14:val="tx1"/>
            </w14:solidFill>
          </w14:textFill>
        </w:rPr>
        <w:t>2.5</w:t>
      </w:r>
      <w:r>
        <w:rPr>
          <w:rFonts w:hint="eastAsia" w:cs="Arial"/>
          <w:color w:val="000000" w:themeColor="text1"/>
          <w14:textFill>
            <w14:solidFill>
              <w14:schemeClr w14:val="tx1"/>
            </w14:solidFill>
          </w14:textFill>
        </w:rPr>
        <w:t>、C</w:t>
      </w:r>
      <w:r>
        <w:rPr>
          <w:rFonts w:cs="Arial"/>
          <w:color w:val="000000" w:themeColor="text1"/>
          <w14:textFill>
            <w14:solidFill>
              <w14:schemeClr w14:val="tx1"/>
            </w14:solidFill>
          </w14:textFill>
        </w:rPr>
        <w:t>O</w:t>
      </w:r>
      <w:r>
        <w:rPr>
          <w:rFonts w:hint="eastAsia" w:cs="Arial"/>
          <w:color w:val="000000" w:themeColor="text1"/>
          <w14:textFill>
            <w14:solidFill>
              <w14:schemeClr w14:val="tx1"/>
            </w14:solidFill>
          </w14:textFill>
        </w:rPr>
        <w:t>、O</w:t>
      </w:r>
      <w:r>
        <w:rPr>
          <w:rFonts w:cs="Arial"/>
          <w:color w:val="000000" w:themeColor="text1"/>
          <w:vertAlign w:val="subscript"/>
          <w14:textFill>
            <w14:solidFill>
              <w14:schemeClr w14:val="tx1"/>
            </w14:solidFill>
          </w14:textFill>
        </w:rPr>
        <w:t>3</w:t>
      </w:r>
      <w:r>
        <w:rPr>
          <w:rFonts w:hint="eastAsia" w:cs="Arial"/>
          <w:color w:val="000000" w:themeColor="text1"/>
          <w14:textFill>
            <w14:solidFill>
              <w14:schemeClr w14:val="tx1"/>
            </w14:solidFill>
          </w14:textFill>
        </w:rPr>
        <w:t>六项基本项目</w:t>
      </w:r>
      <w:r>
        <w:rPr>
          <w:color w:val="000000" w:themeColor="text1"/>
          <w14:textFill>
            <w14:solidFill>
              <w14:schemeClr w14:val="tx1"/>
            </w14:solidFill>
          </w14:textFill>
        </w:rPr>
        <w:t>执行《环境空气质量标准》（GB3095-2012）</w:t>
      </w:r>
      <w:r>
        <w:rPr>
          <w:rFonts w:hint="eastAsia"/>
          <w:color w:val="000000" w:themeColor="text1"/>
          <w14:textFill>
            <w14:solidFill>
              <w14:schemeClr w14:val="tx1"/>
            </w14:solidFill>
          </w14:textFill>
        </w:rPr>
        <w:t>及修改单中的</w:t>
      </w:r>
      <w:r>
        <w:rPr>
          <w:color w:val="000000" w:themeColor="text1"/>
          <w14:textFill>
            <w14:solidFill>
              <w14:schemeClr w14:val="tx1"/>
            </w14:solidFill>
          </w14:textFill>
        </w:rPr>
        <w:t>二级浓度限值；非甲烷总烃参照《</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大气污染物综合排放标准</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详解》中推荐值2.0mg/m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执行</w:t>
      </w:r>
      <w:r>
        <w:rPr>
          <w:rFonts w:hint="eastAsia"/>
          <w:color w:val="000000" w:themeColor="text1"/>
          <w14:textFill>
            <w14:solidFill>
              <w14:schemeClr w14:val="tx1"/>
            </w14:solidFill>
          </w14:textFill>
        </w:rPr>
        <w:t>，H</w:t>
      </w:r>
      <w:r>
        <w:rPr>
          <w:rFonts w:hint="eastAsia"/>
          <w:color w:val="000000" w:themeColor="text1"/>
          <w:vertAlign w:val="subscript"/>
          <w14:textFill>
            <w14:solidFill>
              <w14:schemeClr w14:val="tx1"/>
            </w14:solidFill>
          </w14:textFill>
        </w:rPr>
        <w:t>2</w:t>
      </w:r>
      <w:r>
        <w:rPr>
          <w:rFonts w:hint="eastAsia"/>
          <w:color w:val="000000" w:themeColor="text1"/>
          <w14:textFill>
            <w14:solidFill>
              <w14:schemeClr w14:val="tx1"/>
            </w14:solidFill>
          </w14:textFill>
        </w:rPr>
        <w:t>S执行《环境影响评价技术导则大气环境》（</w:t>
      </w:r>
      <w:r>
        <w:rPr>
          <w:color w:val="000000" w:themeColor="text1"/>
          <w14:textFill>
            <w14:solidFill>
              <w14:schemeClr w14:val="tx1"/>
            </w14:solidFill>
          </w14:textFill>
        </w:rPr>
        <w:t>HJ2.2-2018）附录D中</w:t>
      </w:r>
      <w:r>
        <w:rPr>
          <w:rFonts w:hint="eastAsia"/>
          <w:color w:val="000000" w:themeColor="text1"/>
          <w14:textFill>
            <w14:solidFill>
              <w14:schemeClr w14:val="tx1"/>
            </w14:solidFill>
          </w14:textFill>
        </w:rPr>
        <w:t>推荐值，各</w:t>
      </w:r>
      <w:r>
        <w:rPr>
          <w:color w:val="000000" w:themeColor="text1"/>
          <w14:textFill>
            <w14:solidFill>
              <w14:schemeClr w14:val="tx1"/>
            </w14:solidFill>
          </w14:textFill>
        </w:rPr>
        <w:t>标准取值见</w:t>
      </w:r>
      <w:r>
        <w:rPr>
          <w:rFonts w:hint="eastAsia"/>
          <w:color w:val="000000" w:themeColor="text1"/>
          <w14:textFill>
            <w14:solidFill>
              <w14:schemeClr w14:val="tx1"/>
            </w14:solidFill>
          </w14:textFill>
        </w:rPr>
        <w:t>表</w:t>
      </w:r>
      <w:r>
        <w:rPr>
          <w:color w:val="000000" w:themeColor="text1"/>
          <w14:textFill>
            <w14:solidFill>
              <w14:schemeClr w14:val="tx1"/>
            </w14:solidFill>
          </w14:textFill>
        </w:rPr>
        <w:t>2.5</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2。</w:t>
      </w:r>
    </w:p>
    <w:p w14:paraId="1FC8C1FF">
      <w:pPr>
        <w:pStyle w:val="15"/>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表</w:t>
      </w:r>
      <w:r>
        <w:rPr>
          <w:color w:val="000000" w:themeColor="text1"/>
          <w14:textFill>
            <w14:solidFill>
              <w14:schemeClr w14:val="tx1"/>
            </w14:solidFill>
          </w14:textFill>
        </w:rPr>
        <w:t>2.5</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2</w:t>
      </w:r>
      <w:r>
        <w:rPr>
          <w:rFonts w:hint="eastAsia"/>
          <w:color w:val="000000" w:themeColor="text1"/>
          <w14:textFill>
            <w14:solidFill>
              <w14:schemeClr w14:val="tx1"/>
            </w14:solidFill>
          </w14:textFill>
        </w:rPr>
        <w:t xml:space="preserve"> </w:t>
      </w:r>
      <w:r>
        <w:rPr>
          <w:color w:val="000000" w:themeColor="text1"/>
          <w14:textFill>
            <w14:solidFill>
              <w14:schemeClr w14:val="tx1"/>
            </w14:solidFill>
          </w14:textFill>
        </w:rPr>
        <w:t xml:space="preserve"> 环境空气质量标准</w:t>
      </w:r>
      <w:r>
        <w:rPr>
          <w:rFonts w:hint="eastAsia"/>
          <w:color w:val="000000" w:themeColor="text1"/>
          <w14:textFill>
            <w14:solidFill>
              <w14:schemeClr w14:val="tx1"/>
            </w14:solidFill>
          </w14:textFill>
        </w:rPr>
        <w:t>一览表</w:t>
      </w:r>
    </w:p>
    <w:tbl>
      <w:tblPr>
        <w:tblStyle w:val="51"/>
        <w:tblW w:w="8946" w:type="dxa"/>
        <w:tblInd w:w="108"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693"/>
        <w:gridCol w:w="1292"/>
        <w:gridCol w:w="2018"/>
        <w:gridCol w:w="1345"/>
        <w:gridCol w:w="889"/>
        <w:gridCol w:w="2709"/>
      </w:tblGrid>
      <w:tr w14:paraId="018921D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blHeader/>
        </w:trPr>
        <w:tc>
          <w:tcPr>
            <w:tcW w:w="693" w:type="dxa"/>
            <w:tcBorders>
              <w:right w:val="single" w:color="auto" w:sz="4" w:space="0"/>
            </w:tcBorders>
            <w:vAlign w:val="center"/>
          </w:tcPr>
          <w:p w14:paraId="73C7265B">
            <w:pPr>
              <w:adjustRightInd w:val="0"/>
              <w:snapToGrid w:val="0"/>
              <w:spacing w:line="30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序号</w:t>
            </w:r>
          </w:p>
        </w:tc>
        <w:tc>
          <w:tcPr>
            <w:tcW w:w="1292" w:type="dxa"/>
            <w:tcBorders>
              <w:left w:val="single" w:color="auto" w:sz="4" w:space="0"/>
            </w:tcBorders>
            <w:vAlign w:val="center"/>
          </w:tcPr>
          <w:p w14:paraId="3A175F47">
            <w:pPr>
              <w:adjustRightInd w:val="0"/>
              <w:snapToGrid w:val="0"/>
              <w:spacing w:line="30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污染物名称</w:t>
            </w:r>
          </w:p>
        </w:tc>
        <w:tc>
          <w:tcPr>
            <w:tcW w:w="2018" w:type="dxa"/>
            <w:vAlign w:val="center"/>
          </w:tcPr>
          <w:p w14:paraId="2DAF0820">
            <w:pPr>
              <w:adjustRightInd w:val="0"/>
              <w:snapToGrid w:val="0"/>
              <w:spacing w:line="30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取值时间</w:t>
            </w:r>
          </w:p>
        </w:tc>
        <w:tc>
          <w:tcPr>
            <w:tcW w:w="1345" w:type="dxa"/>
            <w:tcBorders>
              <w:bottom w:val="single" w:color="auto" w:sz="4" w:space="0"/>
            </w:tcBorders>
            <w:vAlign w:val="center"/>
          </w:tcPr>
          <w:p w14:paraId="2ED78B98">
            <w:pPr>
              <w:adjustRightInd w:val="0"/>
              <w:snapToGrid w:val="0"/>
              <w:spacing w:line="30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浓度限值</w:t>
            </w:r>
          </w:p>
        </w:tc>
        <w:tc>
          <w:tcPr>
            <w:tcW w:w="889" w:type="dxa"/>
            <w:tcBorders>
              <w:bottom w:val="single" w:color="auto" w:sz="4" w:space="0"/>
            </w:tcBorders>
            <w:vAlign w:val="center"/>
          </w:tcPr>
          <w:p w14:paraId="1E130323">
            <w:pPr>
              <w:adjustRightInd w:val="0"/>
              <w:snapToGrid w:val="0"/>
              <w:spacing w:line="30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单位</w:t>
            </w:r>
          </w:p>
        </w:tc>
        <w:tc>
          <w:tcPr>
            <w:tcW w:w="2709" w:type="dxa"/>
            <w:tcBorders>
              <w:bottom w:val="single" w:color="auto" w:sz="4" w:space="0"/>
            </w:tcBorders>
            <w:vAlign w:val="center"/>
          </w:tcPr>
          <w:p w14:paraId="5A6C230A">
            <w:pPr>
              <w:adjustRightInd w:val="0"/>
              <w:snapToGrid w:val="0"/>
              <w:spacing w:line="30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标准来源</w:t>
            </w:r>
          </w:p>
        </w:tc>
      </w:tr>
      <w:tr w14:paraId="074276E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693" w:type="dxa"/>
            <w:vMerge w:val="restart"/>
            <w:tcBorders>
              <w:right w:val="single" w:color="auto" w:sz="4" w:space="0"/>
            </w:tcBorders>
            <w:vAlign w:val="center"/>
          </w:tcPr>
          <w:p w14:paraId="04E4A5A1">
            <w:pPr>
              <w:adjustRightInd w:val="0"/>
              <w:snapToGrid w:val="0"/>
              <w:spacing w:line="30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1</w:t>
            </w:r>
          </w:p>
        </w:tc>
        <w:tc>
          <w:tcPr>
            <w:tcW w:w="1292" w:type="dxa"/>
            <w:vMerge w:val="restart"/>
            <w:tcBorders>
              <w:left w:val="single" w:color="auto" w:sz="4" w:space="0"/>
            </w:tcBorders>
            <w:vAlign w:val="center"/>
          </w:tcPr>
          <w:p w14:paraId="52B2C783">
            <w:pPr>
              <w:adjustRightInd w:val="0"/>
              <w:snapToGrid w:val="0"/>
              <w:spacing w:line="30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SO</w:t>
            </w:r>
            <w:r>
              <w:rPr>
                <w:rFonts w:hint="eastAsia" w:ascii="宋体" w:hAnsi="宋体" w:cs="宋体"/>
                <w:color w:val="000000" w:themeColor="text1"/>
                <w:szCs w:val="21"/>
                <w:vertAlign w:val="subscript"/>
                <w14:textFill>
                  <w14:solidFill>
                    <w14:schemeClr w14:val="tx1"/>
                  </w14:solidFill>
                </w14:textFill>
              </w:rPr>
              <w:t>2</w:t>
            </w:r>
          </w:p>
        </w:tc>
        <w:tc>
          <w:tcPr>
            <w:tcW w:w="2018" w:type="dxa"/>
            <w:vAlign w:val="center"/>
          </w:tcPr>
          <w:p w14:paraId="2F9CD081">
            <w:pPr>
              <w:adjustRightInd w:val="0"/>
              <w:snapToGrid w:val="0"/>
              <w:spacing w:line="30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年平均</w:t>
            </w:r>
          </w:p>
        </w:tc>
        <w:tc>
          <w:tcPr>
            <w:tcW w:w="1345" w:type="dxa"/>
            <w:vAlign w:val="center"/>
          </w:tcPr>
          <w:p w14:paraId="2DF7AC45">
            <w:pPr>
              <w:adjustRightInd w:val="0"/>
              <w:snapToGrid w:val="0"/>
              <w:spacing w:line="30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60</w:t>
            </w:r>
          </w:p>
        </w:tc>
        <w:tc>
          <w:tcPr>
            <w:tcW w:w="889" w:type="dxa"/>
            <w:vMerge w:val="restart"/>
            <w:vAlign w:val="center"/>
          </w:tcPr>
          <w:p w14:paraId="1198B0E1">
            <w:pPr>
              <w:adjustRightInd w:val="0"/>
              <w:snapToGrid w:val="0"/>
              <w:spacing w:line="300" w:lineRule="exact"/>
              <w:jc w:val="center"/>
              <w:rPr>
                <w:rFonts w:hint="eastAsia" w:ascii="宋体" w:hAnsi="宋体" w:cs="宋体"/>
                <w:color w:val="000000" w:themeColor="text1"/>
                <w:szCs w:val="21"/>
                <w:vertAlign w:val="superscript"/>
                <w14:textFill>
                  <w14:solidFill>
                    <w14:schemeClr w14:val="tx1"/>
                  </w14:solidFill>
                </w14:textFill>
              </w:rPr>
            </w:pPr>
            <w:r>
              <w:rPr>
                <w:rFonts w:hint="eastAsia" w:ascii="宋体" w:hAnsi="宋体" w:cs="宋体"/>
                <w:color w:val="000000" w:themeColor="text1"/>
                <w:szCs w:val="21"/>
                <w14:textFill>
                  <w14:solidFill>
                    <w14:schemeClr w14:val="tx1"/>
                  </w14:solidFill>
                </w14:textFill>
              </w:rPr>
              <w:t>μg/m</w:t>
            </w:r>
            <w:r>
              <w:rPr>
                <w:rFonts w:hint="eastAsia" w:ascii="宋体" w:hAnsi="宋体" w:cs="宋体"/>
                <w:color w:val="000000" w:themeColor="text1"/>
                <w:szCs w:val="21"/>
                <w:vertAlign w:val="superscript"/>
                <w14:textFill>
                  <w14:solidFill>
                    <w14:schemeClr w14:val="tx1"/>
                  </w14:solidFill>
                </w14:textFill>
              </w:rPr>
              <w:t>3</w:t>
            </w:r>
          </w:p>
        </w:tc>
        <w:tc>
          <w:tcPr>
            <w:tcW w:w="2709" w:type="dxa"/>
            <w:vMerge w:val="restart"/>
            <w:vAlign w:val="center"/>
          </w:tcPr>
          <w:p w14:paraId="29C66B1A">
            <w:pPr>
              <w:adjustRightInd w:val="0"/>
              <w:snapToGrid w:val="0"/>
              <w:spacing w:line="30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GB3095-2012及修改单</w:t>
            </w:r>
          </w:p>
          <w:p w14:paraId="3C07833C">
            <w:pPr>
              <w:adjustRightInd w:val="0"/>
              <w:snapToGrid w:val="0"/>
              <w:spacing w:line="30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（二级）</w:t>
            </w:r>
          </w:p>
        </w:tc>
      </w:tr>
      <w:tr w14:paraId="1FC3DB5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693" w:type="dxa"/>
            <w:vMerge w:val="continue"/>
            <w:tcBorders>
              <w:right w:val="single" w:color="auto" w:sz="4" w:space="0"/>
            </w:tcBorders>
            <w:vAlign w:val="center"/>
          </w:tcPr>
          <w:p w14:paraId="1BD766AA">
            <w:pPr>
              <w:adjustRightInd w:val="0"/>
              <w:snapToGrid w:val="0"/>
              <w:spacing w:line="300" w:lineRule="exact"/>
              <w:jc w:val="center"/>
              <w:rPr>
                <w:rFonts w:hint="eastAsia" w:ascii="宋体" w:hAnsi="宋体" w:cs="宋体"/>
                <w:color w:val="000000" w:themeColor="text1"/>
                <w:szCs w:val="21"/>
                <w14:textFill>
                  <w14:solidFill>
                    <w14:schemeClr w14:val="tx1"/>
                  </w14:solidFill>
                </w14:textFill>
              </w:rPr>
            </w:pPr>
          </w:p>
        </w:tc>
        <w:tc>
          <w:tcPr>
            <w:tcW w:w="1292" w:type="dxa"/>
            <w:vMerge w:val="continue"/>
            <w:tcBorders>
              <w:left w:val="single" w:color="auto" w:sz="4" w:space="0"/>
            </w:tcBorders>
            <w:vAlign w:val="center"/>
          </w:tcPr>
          <w:p w14:paraId="318A41D4">
            <w:pPr>
              <w:adjustRightInd w:val="0"/>
              <w:snapToGrid w:val="0"/>
              <w:spacing w:line="300" w:lineRule="exact"/>
              <w:jc w:val="center"/>
              <w:rPr>
                <w:rFonts w:hint="eastAsia" w:ascii="宋体" w:hAnsi="宋体" w:cs="宋体"/>
                <w:color w:val="000000" w:themeColor="text1"/>
                <w:szCs w:val="21"/>
                <w14:textFill>
                  <w14:solidFill>
                    <w14:schemeClr w14:val="tx1"/>
                  </w14:solidFill>
                </w14:textFill>
              </w:rPr>
            </w:pPr>
          </w:p>
        </w:tc>
        <w:tc>
          <w:tcPr>
            <w:tcW w:w="2018" w:type="dxa"/>
            <w:vAlign w:val="center"/>
          </w:tcPr>
          <w:p w14:paraId="200C3317">
            <w:pPr>
              <w:adjustRightInd w:val="0"/>
              <w:snapToGrid w:val="0"/>
              <w:spacing w:line="30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2</w:t>
            </w:r>
            <w:r>
              <w:rPr>
                <w:rFonts w:ascii="宋体" w:hAnsi="宋体" w:cs="宋体"/>
                <w:color w:val="000000" w:themeColor="text1"/>
                <w:szCs w:val="21"/>
                <w14:textFill>
                  <w14:solidFill>
                    <w14:schemeClr w14:val="tx1"/>
                  </w14:solidFill>
                </w14:textFill>
              </w:rPr>
              <w:t>4</w:t>
            </w:r>
            <w:r>
              <w:rPr>
                <w:rFonts w:hint="eastAsia" w:ascii="宋体" w:hAnsi="宋体" w:cs="宋体"/>
                <w:color w:val="000000" w:themeColor="text1"/>
                <w:szCs w:val="21"/>
                <w14:textFill>
                  <w14:solidFill>
                    <w14:schemeClr w14:val="tx1"/>
                  </w14:solidFill>
                </w14:textFill>
              </w:rPr>
              <w:t>小时平均</w:t>
            </w:r>
          </w:p>
        </w:tc>
        <w:tc>
          <w:tcPr>
            <w:tcW w:w="1345" w:type="dxa"/>
            <w:vAlign w:val="center"/>
          </w:tcPr>
          <w:p w14:paraId="0F10C15D">
            <w:pPr>
              <w:adjustRightInd w:val="0"/>
              <w:snapToGrid w:val="0"/>
              <w:spacing w:line="30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1</w:t>
            </w:r>
            <w:r>
              <w:rPr>
                <w:rFonts w:ascii="宋体" w:hAnsi="宋体" w:cs="宋体"/>
                <w:color w:val="000000" w:themeColor="text1"/>
                <w:szCs w:val="21"/>
                <w14:textFill>
                  <w14:solidFill>
                    <w14:schemeClr w14:val="tx1"/>
                  </w14:solidFill>
                </w14:textFill>
              </w:rPr>
              <w:t>50</w:t>
            </w:r>
          </w:p>
        </w:tc>
        <w:tc>
          <w:tcPr>
            <w:tcW w:w="889" w:type="dxa"/>
            <w:vMerge w:val="continue"/>
            <w:vAlign w:val="center"/>
          </w:tcPr>
          <w:p w14:paraId="10D6D59E">
            <w:pPr>
              <w:adjustRightInd w:val="0"/>
              <w:snapToGrid w:val="0"/>
              <w:spacing w:line="300" w:lineRule="exact"/>
              <w:jc w:val="center"/>
              <w:rPr>
                <w:rFonts w:hint="eastAsia" w:ascii="宋体" w:hAnsi="宋体" w:cs="宋体"/>
                <w:color w:val="000000" w:themeColor="text1"/>
                <w:szCs w:val="21"/>
                <w14:textFill>
                  <w14:solidFill>
                    <w14:schemeClr w14:val="tx1"/>
                  </w14:solidFill>
                </w14:textFill>
              </w:rPr>
            </w:pPr>
          </w:p>
        </w:tc>
        <w:tc>
          <w:tcPr>
            <w:tcW w:w="2709" w:type="dxa"/>
            <w:vMerge w:val="continue"/>
            <w:vAlign w:val="center"/>
          </w:tcPr>
          <w:p w14:paraId="1CCDD728">
            <w:pPr>
              <w:adjustRightInd w:val="0"/>
              <w:snapToGrid w:val="0"/>
              <w:spacing w:line="300" w:lineRule="exact"/>
              <w:jc w:val="center"/>
              <w:rPr>
                <w:rFonts w:hint="eastAsia" w:ascii="宋体" w:hAnsi="宋体" w:cs="宋体"/>
                <w:color w:val="000000" w:themeColor="text1"/>
                <w:szCs w:val="21"/>
                <w14:textFill>
                  <w14:solidFill>
                    <w14:schemeClr w14:val="tx1"/>
                  </w14:solidFill>
                </w14:textFill>
              </w:rPr>
            </w:pPr>
          </w:p>
        </w:tc>
      </w:tr>
      <w:tr w14:paraId="118274D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693" w:type="dxa"/>
            <w:vMerge w:val="continue"/>
            <w:tcBorders>
              <w:right w:val="single" w:color="auto" w:sz="4" w:space="0"/>
            </w:tcBorders>
            <w:vAlign w:val="center"/>
          </w:tcPr>
          <w:p w14:paraId="37C19EB3">
            <w:pPr>
              <w:adjustRightInd w:val="0"/>
              <w:snapToGrid w:val="0"/>
              <w:spacing w:line="300" w:lineRule="exact"/>
              <w:jc w:val="center"/>
              <w:rPr>
                <w:rFonts w:hint="eastAsia" w:ascii="宋体" w:hAnsi="宋体" w:cs="宋体"/>
                <w:color w:val="000000" w:themeColor="text1"/>
                <w:szCs w:val="21"/>
                <w14:textFill>
                  <w14:solidFill>
                    <w14:schemeClr w14:val="tx1"/>
                  </w14:solidFill>
                </w14:textFill>
              </w:rPr>
            </w:pPr>
          </w:p>
        </w:tc>
        <w:tc>
          <w:tcPr>
            <w:tcW w:w="1292" w:type="dxa"/>
            <w:vMerge w:val="continue"/>
            <w:tcBorders>
              <w:left w:val="single" w:color="auto" w:sz="4" w:space="0"/>
            </w:tcBorders>
            <w:vAlign w:val="center"/>
          </w:tcPr>
          <w:p w14:paraId="19F1FE90">
            <w:pPr>
              <w:adjustRightInd w:val="0"/>
              <w:snapToGrid w:val="0"/>
              <w:spacing w:line="300" w:lineRule="exact"/>
              <w:jc w:val="center"/>
              <w:rPr>
                <w:rFonts w:hint="eastAsia" w:ascii="宋体" w:hAnsi="宋体" w:cs="宋体"/>
                <w:color w:val="000000" w:themeColor="text1"/>
                <w:szCs w:val="21"/>
                <w14:textFill>
                  <w14:solidFill>
                    <w14:schemeClr w14:val="tx1"/>
                  </w14:solidFill>
                </w14:textFill>
              </w:rPr>
            </w:pPr>
          </w:p>
        </w:tc>
        <w:tc>
          <w:tcPr>
            <w:tcW w:w="2018" w:type="dxa"/>
            <w:vAlign w:val="center"/>
          </w:tcPr>
          <w:p w14:paraId="73BFA35D">
            <w:pPr>
              <w:adjustRightInd w:val="0"/>
              <w:snapToGrid w:val="0"/>
              <w:spacing w:line="30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1小时平均</w:t>
            </w:r>
          </w:p>
        </w:tc>
        <w:tc>
          <w:tcPr>
            <w:tcW w:w="1345" w:type="dxa"/>
            <w:vAlign w:val="center"/>
          </w:tcPr>
          <w:p w14:paraId="19EB2AD0">
            <w:pPr>
              <w:adjustRightInd w:val="0"/>
              <w:snapToGrid w:val="0"/>
              <w:spacing w:line="30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500</w:t>
            </w:r>
          </w:p>
        </w:tc>
        <w:tc>
          <w:tcPr>
            <w:tcW w:w="889" w:type="dxa"/>
            <w:vMerge w:val="continue"/>
            <w:vAlign w:val="center"/>
          </w:tcPr>
          <w:p w14:paraId="6DD62322">
            <w:pPr>
              <w:adjustRightInd w:val="0"/>
              <w:snapToGrid w:val="0"/>
              <w:spacing w:line="300" w:lineRule="exact"/>
              <w:jc w:val="center"/>
              <w:rPr>
                <w:rFonts w:hint="eastAsia" w:ascii="宋体" w:hAnsi="宋体" w:cs="宋体"/>
                <w:color w:val="000000" w:themeColor="text1"/>
                <w:szCs w:val="21"/>
                <w14:textFill>
                  <w14:solidFill>
                    <w14:schemeClr w14:val="tx1"/>
                  </w14:solidFill>
                </w14:textFill>
              </w:rPr>
            </w:pPr>
          </w:p>
        </w:tc>
        <w:tc>
          <w:tcPr>
            <w:tcW w:w="2709" w:type="dxa"/>
            <w:vMerge w:val="continue"/>
            <w:vAlign w:val="center"/>
          </w:tcPr>
          <w:p w14:paraId="4B0ECAAF">
            <w:pPr>
              <w:adjustRightInd w:val="0"/>
              <w:snapToGrid w:val="0"/>
              <w:spacing w:line="300" w:lineRule="exact"/>
              <w:jc w:val="center"/>
              <w:rPr>
                <w:rFonts w:hint="eastAsia" w:ascii="宋体" w:hAnsi="宋体" w:cs="宋体"/>
                <w:color w:val="000000" w:themeColor="text1"/>
                <w:szCs w:val="21"/>
                <w14:textFill>
                  <w14:solidFill>
                    <w14:schemeClr w14:val="tx1"/>
                  </w14:solidFill>
                </w14:textFill>
              </w:rPr>
            </w:pPr>
          </w:p>
        </w:tc>
      </w:tr>
      <w:tr w14:paraId="62621DB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693" w:type="dxa"/>
            <w:vMerge w:val="restart"/>
            <w:tcBorders>
              <w:right w:val="single" w:color="auto" w:sz="4" w:space="0"/>
            </w:tcBorders>
            <w:vAlign w:val="center"/>
          </w:tcPr>
          <w:p w14:paraId="54C83637">
            <w:pPr>
              <w:adjustRightInd w:val="0"/>
              <w:snapToGrid w:val="0"/>
              <w:spacing w:line="30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2</w:t>
            </w:r>
          </w:p>
        </w:tc>
        <w:tc>
          <w:tcPr>
            <w:tcW w:w="1292" w:type="dxa"/>
            <w:vMerge w:val="restart"/>
            <w:tcBorders>
              <w:left w:val="single" w:color="auto" w:sz="4" w:space="0"/>
            </w:tcBorders>
            <w:vAlign w:val="center"/>
          </w:tcPr>
          <w:p w14:paraId="1FD4AFFA">
            <w:pPr>
              <w:adjustRightInd w:val="0"/>
              <w:snapToGrid w:val="0"/>
              <w:spacing w:line="30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NO</w:t>
            </w:r>
            <w:r>
              <w:rPr>
                <w:rFonts w:hint="eastAsia" w:ascii="宋体" w:hAnsi="宋体" w:cs="宋体"/>
                <w:color w:val="000000" w:themeColor="text1"/>
                <w:szCs w:val="21"/>
                <w:vertAlign w:val="subscript"/>
                <w14:textFill>
                  <w14:solidFill>
                    <w14:schemeClr w14:val="tx1"/>
                  </w14:solidFill>
                </w14:textFill>
              </w:rPr>
              <w:t>2</w:t>
            </w:r>
          </w:p>
        </w:tc>
        <w:tc>
          <w:tcPr>
            <w:tcW w:w="2018" w:type="dxa"/>
            <w:vAlign w:val="center"/>
          </w:tcPr>
          <w:p w14:paraId="3D6FD50C">
            <w:pPr>
              <w:adjustRightInd w:val="0"/>
              <w:snapToGrid w:val="0"/>
              <w:spacing w:line="30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年平均</w:t>
            </w:r>
          </w:p>
        </w:tc>
        <w:tc>
          <w:tcPr>
            <w:tcW w:w="1345" w:type="dxa"/>
            <w:vAlign w:val="center"/>
          </w:tcPr>
          <w:p w14:paraId="064D154A">
            <w:pPr>
              <w:adjustRightInd w:val="0"/>
              <w:snapToGrid w:val="0"/>
              <w:spacing w:line="30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40</w:t>
            </w:r>
          </w:p>
        </w:tc>
        <w:tc>
          <w:tcPr>
            <w:tcW w:w="889" w:type="dxa"/>
            <w:vMerge w:val="continue"/>
            <w:vAlign w:val="center"/>
          </w:tcPr>
          <w:p w14:paraId="563668E3">
            <w:pPr>
              <w:adjustRightInd w:val="0"/>
              <w:snapToGrid w:val="0"/>
              <w:spacing w:line="300" w:lineRule="exact"/>
              <w:jc w:val="center"/>
              <w:rPr>
                <w:rFonts w:hint="eastAsia" w:ascii="宋体" w:hAnsi="宋体" w:cs="宋体"/>
                <w:color w:val="000000" w:themeColor="text1"/>
                <w:szCs w:val="21"/>
                <w14:textFill>
                  <w14:solidFill>
                    <w14:schemeClr w14:val="tx1"/>
                  </w14:solidFill>
                </w14:textFill>
              </w:rPr>
            </w:pPr>
          </w:p>
        </w:tc>
        <w:tc>
          <w:tcPr>
            <w:tcW w:w="2709" w:type="dxa"/>
            <w:vMerge w:val="continue"/>
            <w:vAlign w:val="center"/>
          </w:tcPr>
          <w:p w14:paraId="00629E5E">
            <w:pPr>
              <w:adjustRightInd w:val="0"/>
              <w:snapToGrid w:val="0"/>
              <w:spacing w:line="300" w:lineRule="exact"/>
              <w:jc w:val="center"/>
              <w:rPr>
                <w:rFonts w:hint="eastAsia" w:ascii="宋体" w:hAnsi="宋体" w:cs="宋体"/>
                <w:color w:val="000000" w:themeColor="text1"/>
                <w:szCs w:val="21"/>
                <w14:textFill>
                  <w14:solidFill>
                    <w14:schemeClr w14:val="tx1"/>
                  </w14:solidFill>
                </w14:textFill>
              </w:rPr>
            </w:pPr>
          </w:p>
        </w:tc>
      </w:tr>
      <w:tr w14:paraId="61C0331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693" w:type="dxa"/>
            <w:vMerge w:val="continue"/>
            <w:tcBorders>
              <w:right w:val="single" w:color="auto" w:sz="4" w:space="0"/>
            </w:tcBorders>
            <w:vAlign w:val="center"/>
          </w:tcPr>
          <w:p w14:paraId="691ADDB4">
            <w:pPr>
              <w:adjustRightInd w:val="0"/>
              <w:snapToGrid w:val="0"/>
              <w:spacing w:line="300" w:lineRule="exact"/>
              <w:jc w:val="center"/>
              <w:rPr>
                <w:rFonts w:hint="eastAsia" w:ascii="宋体" w:hAnsi="宋体" w:cs="宋体"/>
                <w:color w:val="000000" w:themeColor="text1"/>
                <w:szCs w:val="21"/>
                <w14:textFill>
                  <w14:solidFill>
                    <w14:schemeClr w14:val="tx1"/>
                  </w14:solidFill>
                </w14:textFill>
              </w:rPr>
            </w:pPr>
          </w:p>
        </w:tc>
        <w:tc>
          <w:tcPr>
            <w:tcW w:w="1292" w:type="dxa"/>
            <w:vMerge w:val="continue"/>
            <w:tcBorders>
              <w:left w:val="single" w:color="auto" w:sz="4" w:space="0"/>
            </w:tcBorders>
            <w:vAlign w:val="center"/>
          </w:tcPr>
          <w:p w14:paraId="46B84404">
            <w:pPr>
              <w:adjustRightInd w:val="0"/>
              <w:snapToGrid w:val="0"/>
              <w:spacing w:line="300" w:lineRule="exact"/>
              <w:jc w:val="center"/>
              <w:rPr>
                <w:rFonts w:hint="eastAsia" w:ascii="宋体" w:hAnsi="宋体" w:cs="宋体"/>
                <w:color w:val="000000" w:themeColor="text1"/>
                <w:szCs w:val="21"/>
                <w14:textFill>
                  <w14:solidFill>
                    <w14:schemeClr w14:val="tx1"/>
                  </w14:solidFill>
                </w14:textFill>
              </w:rPr>
            </w:pPr>
          </w:p>
        </w:tc>
        <w:tc>
          <w:tcPr>
            <w:tcW w:w="2018" w:type="dxa"/>
            <w:vAlign w:val="center"/>
          </w:tcPr>
          <w:p w14:paraId="2616306F">
            <w:pPr>
              <w:adjustRightInd w:val="0"/>
              <w:snapToGrid w:val="0"/>
              <w:spacing w:line="30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2</w:t>
            </w:r>
            <w:r>
              <w:rPr>
                <w:rFonts w:ascii="宋体" w:hAnsi="宋体" w:cs="宋体"/>
                <w:color w:val="000000" w:themeColor="text1"/>
                <w:szCs w:val="21"/>
                <w14:textFill>
                  <w14:solidFill>
                    <w14:schemeClr w14:val="tx1"/>
                  </w14:solidFill>
                </w14:textFill>
              </w:rPr>
              <w:t>4</w:t>
            </w:r>
            <w:r>
              <w:rPr>
                <w:rFonts w:hint="eastAsia" w:ascii="宋体" w:hAnsi="宋体" w:cs="宋体"/>
                <w:color w:val="000000" w:themeColor="text1"/>
                <w:szCs w:val="21"/>
                <w14:textFill>
                  <w14:solidFill>
                    <w14:schemeClr w14:val="tx1"/>
                  </w14:solidFill>
                </w14:textFill>
              </w:rPr>
              <w:t>小时平均</w:t>
            </w:r>
          </w:p>
        </w:tc>
        <w:tc>
          <w:tcPr>
            <w:tcW w:w="1345" w:type="dxa"/>
            <w:vAlign w:val="center"/>
          </w:tcPr>
          <w:p w14:paraId="3C4CEA24">
            <w:pPr>
              <w:adjustRightInd w:val="0"/>
              <w:snapToGrid w:val="0"/>
              <w:spacing w:line="30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8</w:t>
            </w:r>
            <w:r>
              <w:rPr>
                <w:rFonts w:ascii="宋体" w:hAnsi="宋体" w:cs="宋体"/>
                <w:color w:val="000000" w:themeColor="text1"/>
                <w:szCs w:val="21"/>
                <w14:textFill>
                  <w14:solidFill>
                    <w14:schemeClr w14:val="tx1"/>
                  </w14:solidFill>
                </w14:textFill>
              </w:rPr>
              <w:t>0</w:t>
            </w:r>
          </w:p>
        </w:tc>
        <w:tc>
          <w:tcPr>
            <w:tcW w:w="889" w:type="dxa"/>
            <w:vMerge w:val="continue"/>
            <w:vAlign w:val="center"/>
          </w:tcPr>
          <w:p w14:paraId="6DBF3C6B">
            <w:pPr>
              <w:adjustRightInd w:val="0"/>
              <w:snapToGrid w:val="0"/>
              <w:spacing w:line="300" w:lineRule="exact"/>
              <w:jc w:val="center"/>
              <w:rPr>
                <w:rFonts w:hint="eastAsia" w:ascii="宋体" w:hAnsi="宋体" w:cs="宋体"/>
                <w:color w:val="000000" w:themeColor="text1"/>
                <w:szCs w:val="21"/>
                <w14:textFill>
                  <w14:solidFill>
                    <w14:schemeClr w14:val="tx1"/>
                  </w14:solidFill>
                </w14:textFill>
              </w:rPr>
            </w:pPr>
          </w:p>
        </w:tc>
        <w:tc>
          <w:tcPr>
            <w:tcW w:w="2709" w:type="dxa"/>
            <w:vMerge w:val="continue"/>
            <w:vAlign w:val="center"/>
          </w:tcPr>
          <w:p w14:paraId="5C7DD0CD">
            <w:pPr>
              <w:adjustRightInd w:val="0"/>
              <w:snapToGrid w:val="0"/>
              <w:spacing w:line="300" w:lineRule="exact"/>
              <w:jc w:val="center"/>
              <w:rPr>
                <w:rFonts w:hint="eastAsia" w:ascii="宋体" w:hAnsi="宋体" w:cs="宋体"/>
                <w:color w:val="000000" w:themeColor="text1"/>
                <w:szCs w:val="21"/>
                <w14:textFill>
                  <w14:solidFill>
                    <w14:schemeClr w14:val="tx1"/>
                  </w14:solidFill>
                </w14:textFill>
              </w:rPr>
            </w:pPr>
          </w:p>
        </w:tc>
      </w:tr>
      <w:tr w14:paraId="4F06BC8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693" w:type="dxa"/>
            <w:vMerge w:val="continue"/>
            <w:tcBorders>
              <w:right w:val="single" w:color="auto" w:sz="4" w:space="0"/>
            </w:tcBorders>
            <w:vAlign w:val="center"/>
          </w:tcPr>
          <w:p w14:paraId="25750BC4">
            <w:pPr>
              <w:adjustRightInd w:val="0"/>
              <w:snapToGrid w:val="0"/>
              <w:spacing w:line="300" w:lineRule="exact"/>
              <w:jc w:val="center"/>
              <w:rPr>
                <w:rFonts w:hint="eastAsia" w:ascii="宋体" w:hAnsi="宋体" w:cs="宋体"/>
                <w:color w:val="000000" w:themeColor="text1"/>
                <w:szCs w:val="21"/>
                <w14:textFill>
                  <w14:solidFill>
                    <w14:schemeClr w14:val="tx1"/>
                  </w14:solidFill>
                </w14:textFill>
              </w:rPr>
            </w:pPr>
          </w:p>
        </w:tc>
        <w:tc>
          <w:tcPr>
            <w:tcW w:w="1292" w:type="dxa"/>
            <w:vMerge w:val="continue"/>
            <w:tcBorders>
              <w:left w:val="single" w:color="auto" w:sz="4" w:space="0"/>
            </w:tcBorders>
            <w:vAlign w:val="center"/>
          </w:tcPr>
          <w:p w14:paraId="16513533">
            <w:pPr>
              <w:adjustRightInd w:val="0"/>
              <w:snapToGrid w:val="0"/>
              <w:spacing w:line="300" w:lineRule="exact"/>
              <w:jc w:val="center"/>
              <w:rPr>
                <w:rFonts w:hint="eastAsia" w:ascii="宋体" w:hAnsi="宋体" w:cs="宋体"/>
                <w:color w:val="000000" w:themeColor="text1"/>
                <w:szCs w:val="21"/>
                <w14:textFill>
                  <w14:solidFill>
                    <w14:schemeClr w14:val="tx1"/>
                  </w14:solidFill>
                </w14:textFill>
              </w:rPr>
            </w:pPr>
          </w:p>
        </w:tc>
        <w:tc>
          <w:tcPr>
            <w:tcW w:w="2018" w:type="dxa"/>
            <w:vAlign w:val="center"/>
          </w:tcPr>
          <w:p w14:paraId="44729495">
            <w:pPr>
              <w:adjustRightInd w:val="0"/>
              <w:snapToGrid w:val="0"/>
              <w:spacing w:line="30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1小时平均</w:t>
            </w:r>
          </w:p>
        </w:tc>
        <w:tc>
          <w:tcPr>
            <w:tcW w:w="1345" w:type="dxa"/>
            <w:vAlign w:val="center"/>
          </w:tcPr>
          <w:p w14:paraId="7ABAF4A9">
            <w:pPr>
              <w:adjustRightInd w:val="0"/>
              <w:snapToGrid w:val="0"/>
              <w:spacing w:line="30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200</w:t>
            </w:r>
          </w:p>
        </w:tc>
        <w:tc>
          <w:tcPr>
            <w:tcW w:w="889" w:type="dxa"/>
            <w:vMerge w:val="continue"/>
            <w:vAlign w:val="center"/>
          </w:tcPr>
          <w:p w14:paraId="7149041B">
            <w:pPr>
              <w:adjustRightInd w:val="0"/>
              <w:snapToGrid w:val="0"/>
              <w:spacing w:line="300" w:lineRule="exact"/>
              <w:jc w:val="center"/>
              <w:rPr>
                <w:rFonts w:hint="eastAsia" w:ascii="宋体" w:hAnsi="宋体" w:cs="宋体"/>
                <w:color w:val="000000" w:themeColor="text1"/>
                <w:szCs w:val="21"/>
                <w14:textFill>
                  <w14:solidFill>
                    <w14:schemeClr w14:val="tx1"/>
                  </w14:solidFill>
                </w14:textFill>
              </w:rPr>
            </w:pPr>
          </w:p>
        </w:tc>
        <w:tc>
          <w:tcPr>
            <w:tcW w:w="2709" w:type="dxa"/>
            <w:vMerge w:val="continue"/>
            <w:vAlign w:val="center"/>
          </w:tcPr>
          <w:p w14:paraId="192F84CF">
            <w:pPr>
              <w:adjustRightInd w:val="0"/>
              <w:snapToGrid w:val="0"/>
              <w:spacing w:line="300" w:lineRule="exact"/>
              <w:jc w:val="center"/>
              <w:rPr>
                <w:rFonts w:hint="eastAsia" w:ascii="宋体" w:hAnsi="宋体" w:cs="宋体"/>
                <w:color w:val="000000" w:themeColor="text1"/>
                <w:szCs w:val="21"/>
                <w14:textFill>
                  <w14:solidFill>
                    <w14:schemeClr w14:val="tx1"/>
                  </w14:solidFill>
                </w14:textFill>
              </w:rPr>
            </w:pPr>
          </w:p>
        </w:tc>
      </w:tr>
      <w:tr w14:paraId="1946AE0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693" w:type="dxa"/>
            <w:vMerge w:val="restart"/>
            <w:tcBorders>
              <w:right w:val="single" w:color="auto" w:sz="4" w:space="0"/>
            </w:tcBorders>
            <w:vAlign w:val="center"/>
          </w:tcPr>
          <w:p w14:paraId="507C9F1A">
            <w:pPr>
              <w:adjustRightInd w:val="0"/>
              <w:snapToGrid w:val="0"/>
              <w:spacing w:line="30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3</w:t>
            </w:r>
          </w:p>
        </w:tc>
        <w:tc>
          <w:tcPr>
            <w:tcW w:w="1292" w:type="dxa"/>
            <w:vMerge w:val="restart"/>
            <w:tcBorders>
              <w:left w:val="single" w:color="auto" w:sz="4" w:space="0"/>
            </w:tcBorders>
            <w:vAlign w:val="center"/>
          </w:tcPr>
          <w:p w14:paraId="57F08A86">
            <w:pPr>
              <w:adjustRightInd w:val="0"/>
              <w:snapToGrid w:val="0"/>
              <w:spacing w:line="30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PM</w:t>
            </w:r>
            <w:r>
              <w:rPr>
                <w:rFonts w:hint="eastAsia" w:ascii="宋体" w:hAnsi="宋体" w:cs="宋体"/>
                <w:color w:val="000000" w:themeColor="text1"/>
                <w:szCs w:val="21"/>
                <w:vertAlign w:val="subscript"/>
                <w14:textFill>
                  <w14:solidFill>
                    <w14:schemeClr w14:val="tx1"/>
                  </w14:solidFill>
                </w14:textFill>
              </w:rPr>
              <w:t>10</w:t>
            </w:r>
          </w:p>
        </w:tc>
        <w:tc>
          <w:tcPr>
            <w:tcW w:w="2018" w:type="dxa"/>
            <w:vAlign w:val="center"/>
          </w:tcPr>
          <w:p w14:paraId="41FF2DF7">
            <w:pPr>
              <w:adjustRightInd w:val="0"/>
              <w:snapToGrid w:val="0"/>
              <w:spacing w:line="30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年平均</w:t>
            </w:r>
          </w:p>
        </w:tc>
        <w:tc>
          <w:tcPr>
            <w:tcW w:w="1345" w:type="dxa"/>
            <w:vAlign w:val="center"/>
          </w:tcPr>
          <w:p w14:paraId="75933D29">
            <w:pPr>
              <w:adjustRightInd w:val="0"/>
              <w:snapToGrid w:val="0"/>
              <w:spacing w:line="30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70</w:t>
            </w:r>
          </w:p>
        </w:tc>
        <w:tc>
          <w:tcPr>
            <w:tcW w:w="889" w:type="dxa"/>
            <w:vMerge w:val="continue"/>
            <w:vAlign w:val="center"/>
          </w:tcPr>
          <w:p w14:paraId="2C9E4555">
            <w:pPr>
              <w:adjustRightInd w:val="0"/>
              <w:snapToGrid w:val="0"/>
              <w:spacing w:line="300" w:lineRule="exact"/>
              <w:jc w:val="center"/>
              <w:rPr>
                <w:rFonts w:hint="eastAsia" w:ascii="宋体" w:hAnsi="宋体" w:cs="宋体"/>
                <w:color w:val="000000" w:themeColor="text1"/>
                <w:szCs w:val="21"/>
                <w14:textFill>
                  <w14:solidFill>
                    <w14:schemeClr w14:val="tx1"/>
                  </w14:solidFill>
                </w14:textFill>
              </w:rPr>
            </w:pPr>
          </w:p>
        </w:tc>
        <w:tc>
          <w:tcPr>
            <w:tcW w:w="2709" w:type="dxa"/>
            <w:vMerge w:val="continue"/>
            <w:vAlign w:val="center"/>
          </w:tcPr>
          <w:p w14:paraId="4ED69609">
            <w:pPr>
              <w:adjustRightInd w:val="0"/>
              <w:snapToGrid w:val="0"/>
              <w:spacing w:line="300" w:lineRule="exact"/>
              <w:jc w:val="center"/>
              <w:rPr>
                <w:rFonts w:hint="eastAsia" w:ascii="宋体" w:hAnsi="宋体" w:cs="宋体"/>
                <w:color w:val="000000" w:themeColor="text1"/>
                <w:szCs w:val="21"/>
                <w14:textFill>
                  <w14:solidFill>
                    <w14:schemeClr w14:val="tx1"/>
                  </w14:solidFill>
                </w14:textFill>
              </w:rPr>
            </w:pPr>
          </w:p>
        </w:tc>
      </w:tr>
      <w:tr w14:paraId="41E486B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693" w:type="dxa"/>
            <w:vMerge w:val="continue"/>
            <w:tcBorders>
              <w:right w:val="single" w:color="auto" w:sz="4" w:space="0"/>
            </w:tcBorders>
            <w:vAlign w:val="center"/>
          </w:tcPr>
          <w:p w14:paraId="478F7625">
            <w:pPr>
              <w:adjustRightInd w:val="0"/>
              <w:snapToGrid w:val="0"/>
              <w:spacing w:line="300" w:lineRule="exact"/>
              <w:jc w:val="center"/>
              <w:rPr>
                <w:rFonts w:hint="eastAsia" w:ascii="宋体" w:hAnsi="宋体" w:cs="宋体"/>
                <w:color w:val="000000" w:themeColor="text1"/>
                <w:szCs w:val="21"/>
                <w14:textFill>
                  <w14:solidFill>
                    <w14:schemeClr w14:val="tx1"/>
                  </w14:solidFill>
                </w14:textFill>
              </w:rPr>
            </w:pPr>
          </w:p>
        </w:tc>
        <w:tc>
          <w:tcPr>
            <w:tcW w:w="1292" w:type="dxa"/>
            <w:vMerge w:val="continue"/>
            <w:tcBorders>
              <w:left w:val="single" w:color="auto" w:sz="4" w:space="0"/>
            </w:tcBorders>
            <w:vAlign w:val="center"/>
          </w:tcPr>
          <w:p w14:paraId="65B45257">
            <w:pPr>
              <w:adjustRightInd w:val="0"/>
              <w:snapToGrid w:val="0"/>
              <w:spacing w:line="300" w:lineRule="exact"/>
              <w:jc w:val="center"/>
              <w:rPr>
                <w:rFonts w:hint="eastAsia" w:ascii="宋体" w:hAnsi="宋体" w:cs="宋体"/>
                <w:color w:val="000000" w:themeColor="text1"/>
                <w:szCs w:val="21"/>
                <w14:textFill>
                  <w14:solidFill>
                    <w14:schemeClr w14:val="tx1"/>
                  </w14:solidFill>
                </w14:textFill>
              </w:rPr>
            </w:pPr>
          </w:p>
        </w:tc>
        <w:tc>
          <w:tcPr>
            <w:tcW w:w="2018" w:type="dxa"/>
            <w:vAlign w:val="center"/>
          </w:tcPr>
          <w:p w14:paraId="51C7B8D5">
            <w:pPr>
              <w:adjustRightInd w:val="0"/>
              <w:snapToGrid w:val="0"/>
              <w:spacing w:line="30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24小时平均</w:t>
            </w:r>
          </w:p>
        </w:tc>
        <w:tc>
          <w:tcPr>
            <w:tcW w:w="1345" w:type="dxa"/>
            <w:vAlign w:val="center"/>
          </w:tcPr>
          <w:p w14:paraId="760AAC6D">
            <w:pPr>
              <w:adjustRightInd w:val="0"/>
              <w:snapToGrid w:val="0"/>
              <w:spacing w:line="30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150</w:t>
            </w:r>
          </w:p>
        </w:tc>
        <w:tc>
          <w:tcPr>
            <w:tcW w:w="889" w:type="dxa"/>
            <w:vMerge w:val="continue"/>
            <w:vAlign w:val="center"/>
          </w:tcPr>
          <w:p w14:paraId="1285C4C4">
            <w:pPr>
              <w:adjustRightInd w:val="0"/>
              <w:snapToGrid w:val="0"/>
              <w:spacing w:line="300" w:lineRule="exact"/>
              <w:jc w:val="center"/>
              <w:rPr>
                <w:rFonts w:hint="eastAsia" w:ascii="宋体" w:hAnsi="宋体" w:cs="宋体"/>
                <w:color w:val="000000" w:themeColor="text1"/>
                <w:szCs w:val="21"/>
                <w14:textFill>
                  <w14:solidFill>
                    <w14:schemeClr w14:val="tx1"/>
                  </w14:solidFill>
                </w14:textFill>
              </w:rPr>
            </w:pPr>
          </w:p>
        </w:tc>
        <w:tc>
          <w:tcPr>
            <w:tcW w:w="2709" w:type="dxa"/>
            <w:vMerge w:val="continue"/>
            <w:vAlign w:val="center"/>
          </w:tcPr>
          <w:p w14:paraId="30DA4DB9">
            <w:pPr>
              <w:adjustRightInd w:val="0"/>
              <w:snapToGrid w:val="0"/>
              <w:spacing w:line="300" w:lineRule="exact"/>
              <w:jc w:val="center"/>
              <w:rPr>
                <w:rFonts w:hint="eastAsia" w:ascii="宋体" w:hAnsi="宋体" w:cs="宋体"/>
                <w:color w:val="000000" w:themeColor="text1"/>
                <w:szCs w:val="21"/>
                <w14:textFill>
                  <w14:solidFill>
                    <w14:schemeClr w14:val="tx1"/>
                  </w14:solidFill>
                </w14:textFill>
              </w:rPr>
            </w:pPr>
          </w:p>
        </w:tc>
      </w:tr>
      <w:tr w14:paraId="7A1C67C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693" w:type="dxa"/>
            <w:vMerge w:val="restart"/>
            <w:tcBorders>
              <w:right w:val="single" w:color="auto" w:sz="4" w:space="0"/>
            </w:tcBorders>
            <w:vAlign w:val="center"/>
          </w:tcPr>
          <w:p w14:paraId="77116336">
            <w:pPr>
              <w:adjustRightInd w:val="0"/>
              <w:snapToGrid w:val="0"/>
              <w:spacing w:line="30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4</w:t>
            </w:r>
          </w:p>
        </w:tc>
        <w:tc>
          <w:tcPr>
            <w:tcW w:w="1292" w:type="dxa"/>
            <w:vMerge w:val="restart"/>
            <w:tcBorders>
              <w:left w:val="single" w:color="auto" w:sz="4" w:space="0"/>
            </w:tcBorders>
            <w:vAlign w:val="center"/>
          </w:tcPr>
          <w:p w14:paraId="7118000E">
            <w:pPr>
              <w:adjustRightInd w:val="0"/>
              <w:snapToGrid w:val="0"/>
              <w:spacing w:line="30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PM</w:t>
            </w:r>
            <w:r>
              <w:rPr>
                <w:rFonts w:hint="eastAsia" w:ascii="宋体" w:hAnsi="宋体" w:cs="宋体"/>
                <w:color w:val="000000" w:themeColor="text1"/>
                <w:szCs w:val="21"/>
                <w:vertAlign w:val="subscript"/>
                <w14:textFill>
                  <w14:solidFill>
                    <w14:schemeClr w14:val="tx1"/>
                  </w14:solidFill>
                </w14:textFill>
              </w:rPr>
              <w:t>2.5</w:t>
            </w:r>
          </w:p>
        </w:tc>
        <w:tc>
          <w:tcPr>
            <w:tcW w:w="2018" w:type="dxa"/>
            <w:vAlign w:val="center"/>
          </w:tcPr>
          <w:p w14:paraId="40C71997">
            <w:pPr>
              <w:adjustRightInd w:val="0"/>
              <w:snapToGrid w:val="0"/>
              <w:spacing w:line="30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年平均</w:t>
            </w:r>
          </w:p>
        </w:tc>
        <w:tc>
          <w:tcPr>
            <w:tcW w:w="1345" w:type="dxa"/>
            <w:vAlign w:val="center"/>
          </w:tcPr>
          <w:p w14:paraId="312D7D1D">
            <w:pPr>
              <w:adjustRightInd w:val="0"/>
              <w:snapToGrid w:val="0"/>
              <w:spacing w:line="30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35</w:t>
            </w:r>
          </w:p>
        </w:tc>
        <w:tc>
          <w:tcPr>
            <w:tcW w:w="889" w:type="dxa"/>
            <w:vMerge w:val="continue"/>
            <w:vAlign w:val="center"/>
          </w:tcPr>
          <w:p w14:paraId="39259169">
            <w:pPr>
              <w:adjustRightInd w:val="0"/>
              <w:snapToGrid w:val="0"/>
              <w:spacing w:line="300" w:lineRule="exact"/>
              <w:jc w:val="center"/>
              <w:rPr>
                <w:rFonts w:hint="eastAsia" w:ascii="宋体" w:hAnsi="宋体" w:cs="宋体"/>
                <w:color w:val="000000" w:themeColor="text1"/>
                <w:szCs w:val="21"/>
                <w14:textFill>
                  <w14:solidFill>
                    <w14:schemeClr w14:val="tx1"/>
                  </w14:solidFill>
                </w14:textFill>
              </w:rPr>
            </w:pPr>
          </w:p>
        </w:tc>
        <w:tc>
          <w:tcPr>
            <w:tcW w:w="2709" w:type="dxa"/>
            <w:vMerge w:val="continue"/>
            <w:vAlign w:val="center"/>
          </w:tcPr>
          <w:p w14:paraId="714834BF">
            <w:pPr>
              <w:adjustRightInd w:val="0"/>
              <w:snapToGrid w:val="0"/>
              <w:spacing w:line="300" w:lineRule="exact"/>
              <w:jc w:val="center"/>
              <w:rPr>
                <w:rFonts w:hint="eastAsia" w:ascii="宋体" w:hAnsi="宋体" w:cs="宋体"/>
                <w:color w:val="000000" w:themeColor="text1"/>
                <w:szCs w:val="21"/>
                <w14:textFill>
                  <w14:solidFill>
                    <w14:schemeClr w14:val="tx1"/>
                  </w14:solidFill>
                </w14:textFill>
              </w:rPr>
            </w:pPr>
          </w:p>
        </w:tc>
      </w:tr>
      <w:tr w14:paraId="26113A3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693" w:type="dxa"/>
            <w:vMerge w:val="continue"/>
            <w:tcBorders>
              <w:right w:val="single" w:color="auto" w:sz="4" w:space="0"/>
            </w:tcBorders>
            <w:vAlign w:val="center"/>
          </w:tcPr>
          <w:p w14:paraId="2EC69982">
            <w:pPr>
              <w:adjustRightInd w:val="0"/>
              <w:snapToGrid w:val="0"/>
              <w:spacing w:line="300" w:lineRule="exact"/>
              <w:jc w:val="center"/>
              <w:rPr>
                <w:rFonts w:hint="eastAsia" w:ascii="宋体" w:hAnsi="宋体" w:cs="宋体"/>
                <w:color w:val="000000" w:themeColor="text1"/>
                <w:szCs w:val="21"/>
                <w14:textFill>
                  <w14:solidFill>
                    <w14:schemeClr w14:val="tx1"/>
                  </w14:solidFill>
                </w14:textFill>
              </w:rPr>
            </w:pPr>
          </w:p>
        </w:tc>
        <w:tc>
          <w:tcPr>
            <w:tcW w:w="1292" w:type="dxa"/>
            <w:vMerge w:val="continue"/>
            <w:tcBorders>
              <w:left w:val="single" w:color="auto" w:sz="4" w:space="0"/>
            </w:tcBorders>
            <w:vAlign w:val="center"/>
          </w:tcPr>
          <w:p w14:paraId="13FBE413">
            <w:pPr>
              <w:adjustRightInd w:val="0"/>
              <w:snapToGrid w:val="0"/>
              <w:spacing w:line="300" w:lineRule="exact"/>
              <w:jc w:val="center"/>
              <w:rPr>
                <w:rFonts w:hint="eastAsia" w:ascii="宋体" w:hAnsi="宋体" w:cs="宋体"/>
                <w:color w:val="000000" w:themeColor="text1"/>
                <w:szCs w:val="21"/>
                <w14:textFill>
                  <w14:solidFill>
                    <w14:schemeClr w14:val="tx1"/>
                  </w14:solidFill>
                </w14:textFill>
              </w:rPr>
            </w:pPr>
          </w:p>
        </w:tc>
        <w:tc>
          <w:tcPr>
            <w:tcW w:w="2018" w:type="dxa"/>
            <w:vAlign w:val="center"/>
          </w:tcPr>
          <w:p w14:paraId="41696A32">
            <w:pPr>
              <w:adjustRightInd w:val="0"/>
              <w:snapToGrid w:val="0"/>
              <w:spacing w:line="30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24小时平均</w:t>
            </w:r>
          </w:p>
        </w:tc>
        <w:tc>
          <w:tcPr>
            <w:tcW w:w="1345" w:type="dxa"/>
            <w:vAlign w:val="center"/>
          </w:tcPr>
          <w:p w14:paraId="041BC9F9">
            <w:pPr>
              <w:adjustRightInd w:val="0"/>
              <w:snapToGrid w:val="0"/>
              <w:spacing w:line="30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75</w:t>
            </w:r>
          </w:p>
        </w:tc>
        <w:tc>
          <w:tcPr>
            <w:tcW w:w="889" w:type="dxa"/>
            <w:vMerge w:val="continue"/>
            <w:vAlign w:val="center"/>
          </w:tcPr>
          <w:p w14:paraId="392005B6">
            <w:pPr>
              <w:adjustRightInd w:val="0"/>
              <w:snapToGrid w:val="0"/>
              <w:spacing w:line="300" w:lineRule="exact"/>
              <w:jc w:val="center"/>
              <w:rPr>
                <w:rFonts w:hint="eastAsia" w:ascii="宋体" w:hAnsi="宋体" w:cs="宋体"/>
                <w:color w:val="000000" w:themeColor="text1"/>
                <w:szCs w:val="21"/>
                <w14:textFill>
                  <w14:solidFill>
                    <w14:schemeClr w14:val="tx1"/>
                  </w14:solidFill>
                </w14:textFill>
              </w:rPr>
            </w:pPr>
          </w:p>
        </w:tc>
        <w:tc>
          <w:tcPr>
            <w:tcW w:w="2709" w:type="dxa"/>
            <w:vMerge w:val="continue"/>
            <w:vAlign w:val="center"/>
          </w:tcPr>
          <w:p w14:paraId="1C87F00F">
            <w:pPr>
              <w:adjustRightInd w:val="0"/>
              <w:snapToGrid w:val="0"/>
              <w:spacing w:line="300" w:lineRule="exact"/>
              <w:jc w:val="center"/>
              <w:rPr>
                <w:rFonts w:hint="eastAsia" w:ascii="宋体" w:hAnsi="宋体" w:cs="宋体"/>
                <w:color w:val="000000" w:themeColor="text1"/>
                <w:szCs w:val="21"/>
                <w14:textFill>
                  <w14:solidFill>
                    <w14:schemeClr w14:val="tx1"/>
                  </w14:solidFill>
                </w14:textFill>
              </w:rPr>
            </w:pPr>
          </w:p>
        </w:tc>
      </w:tr>
      <w:tr w14:paraId="5EAA40E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693" w:type="dxa"/>
            <w:vMerge w:val="restart"/>
            <w:tcBorders>
              <w:right w:val="single" w:color="auto" w:sz="4" w:space="0"/>
            </w:tcBorders>
            <w:vAlign w:val="center"/>
          </w:tcPr>
          <w:p w14:paraId="7DF3A78C">
            <w:pPr>
              <w:adjustRightInd w:val="0"/>
              <w:snapToGrid w:val="0"/>
              <w:spacing w:line="30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5</w:t>
            </w:r>
          </w:p>
        </w:tc>
        <w:tc>
          <w:tcPr>
            <w:tcW w:w="1292" w:type="dxa"/>
            <w:vMerge w:val="restart"/>
            <w:tcBorders>
              <w:left w:val="single" w:color="auto" w:sz="4" w:space="0"/>
            </w:tcBorders>
            <w:vAlign w:val="center"/>
          </w:tcPr>
          <w:p w14:paraId="076F95F5">
            <w:pPr>
              <w:adjustRightInd w:val="0"/>
              <w:snapToGrid w:val="0"/>
              <w:spacing w:line="30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O</w:t>
            </w:r>
            <w:r>
              <w:rPr>
                <w:rFonts w:hint="eastAsia" w:ascii="宋体" w:hAnsi="宋体" w:cs="宋体"/>
                <w:color w:val="000000" w:themeColor="text1"/>
                <w:szCs w:val="21"/>
                <w:vertAlign w:val="subscript"/>
                <w14:textFill>
                  <w14:solidFill>
                    <w14:schemeClr w14:val="tx1"/>
                  </w14:solidFill>
                </w14:textFill>
              </w:rPr>
              <w:t>3</w:t>
            </w:r>
          </w:p>
        </w:tc>
        <w:tc>
          <w:tcPr>
            <w:tcW w:w="2018" w:type="dxa"/>
            <w:vAlign w:val="center"/>
          </w:tcPr>
          <w:p w14:paraId="5ED8814A">
            <w:pPr>
              <w:adjustRightInd w:val="0"/>
              <w:snapToGrid w:val="0"/>
              <w:spacing w:line="30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日最大8小时平均</w:t>
            </w:r>
          </w:p>
        </w:tc>
        <w:tc>
          <w:tcPr>
            <w:tcW w:w="1345" w:type="dxa"/>
            <w:vAlign w:val="center"/>
          </w:tcPr>
          <w:p w14:paraId="32E4D0F2">
            <w:pPr>
              <w:adjustRightInd w:val="0"/>
              <w:snapToGrid w:val="0"/>
              <w:spacing w:line="30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160</w:t>
            </w:r>
          </w:p>
        </w:tc>
        <w:tc>
          <w:tcPr>
            <w:tcW w:w="889" w:type="dxa"/>
            <w:vMerge w:val="continue"/>
            <w:vAlign w:val="center"/>
          </w:tcPr>
          <w:p w14:paraId="0F309E52">
            <w:pPr>
              <w:adjustRightInd w:val="0"/>
              <w:snapToGrid w:val="0"/>
              <w:spacing w:line="300" w:lineRule="exact"/>
              <w:jc w:val="center"/>
              <w:rPr>
                <w:rFonts w:hint="eastAsia" w:ascii="宋体" w:hAnsi="宋体" w:cs="宋体"/>
                <w:color w:val="000000" w:themeColor="text1"/>
                <w:szCs w:val="21"/>
                <w14:textFill>
                  <w14:solidFill>
                    <w14:schemeClr w14:val="tx1"/>
                  </w14:solidFill>
                </w14:textFill>
              </w:rPr>
            </w:pPr>
          </w:p>
        </w:tc>
        <w:tc>
          <w:tcPr>
            <w:tcW w:w="2709" w:type="dxa"/>
            <w:vMerge w:val="continue"/>
            <w:vAlign w:val="center"/>
          </w:tcPr>
          <w:p w14:paraId="5736716D">
            <w:pPr>
              <w:adjustRightInd w:val="0"/>
              <w:snapToGrid w:val="0"/>
              <w:spacing w:line="300" w:lineRule="exact"/>
              <w:jc w:val="center"/>
              <w:rPr>
                <w:rFonts w:hint="eastAsia" w:ascii="宋体" w:hAnsi="宋体" w:cs="宋体"/>
                <w:color w:val="000000" w:themeColor="text1"/>
                <w:szCs w:val="21"/>
                <w14:textFill>
                  <w14:solidFill>
                    <w14:schemeClr w14:val="tx1"/>
                  </w14:solidFill>
                </w14:textFill>
              </w:rPr>
            </w:pPr>
          </w:p>
        </w:tc>
      </w:tr>
      <w:tr w14:paraId="663A39F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693" w:type="dxa"/>
            <w:vMerge w:val="continue"/>
            <w:tcBorders>
              <w:right w:val="single" w:color="auto" w:sz="4" w:space="0"/>
            </w:tcBorders>
            <w:vAlign w:val="center"/>
          </w:tcPr>
          <w:p w14:paraId="4489DE9A">
            <w:pPr>
              <w:adjustRightInd w:val="0"/>
              <w:snapToGrid w:val="0"/>
              <w:spacing w:line="300" w:lineRule="exact"/>
              <w:jc w:val="center"/>
              <w:rPr>
                <w:rFonts w:hint="eastAsia" w:ascii="宋体" w:hAnsi="宋体" w:cs="宋体"/>
                <w:color w:val="000000" w:themeColor="text1"/>
                <w:szCs w:val="21"/>
                <w14:textFill>
                  <w14:solidFill>
                    <w14:schemeClr w14:val="tx1"/>
                  </w14:solidFill>
                </w14:textFill>
              </w:rPr>
            </w:pPr>
          </w:p>
        </w:tc>
        <w:tc>
          <w:tcPr>
            <w:tcW w:w="1292" w:type="dxa"/>
            <w:vMerge w:val="continue"/>
            <w:tcBorders>
              <w:left w:val="single" w:color="auto" w:sz="4" w:space="0"/>
            </w:tcBorders>
            <w:vAlign w:val="center"/>
          </w:tcPr>
          <w:p w14:paraId="782D823F">
            <w:pPr>
              <w:adjustRightInd w:val="0"/>
              <w:snapToGrid w:val="0"/>
              <w:spacing w:line="300" w:lineRule="exact"/>
              <w:jc w:val="center"/>
              <w:rPr>
                <w:rFonts w:hint="eastAsia" w:ascii="宋体" w:hAnsi="宋体" w:cs="宋体"/>
                <w:color w:val="000000" w:themeColor="text1"/>
                <w:szCs w:val="21"/>
                <w14:textFill>
                  <w14:solidFill>
                    <w14:schemeClr w14:val="tx1"/>
                  </w14:solidFill>
                </w14:textFill>
              </w:rPr>
            </w:pPr>
          </w:p>
        </w:tc>
        <w:tc>
          <w:tcPr>
            <w:tcW w:w="2018" w:type="dxa"/>
            <w:vAlign w:val="center"/>
          </w:tcPr>
          <w:p w14:paraId="04EAB5F5">
            <w:pPr>
              <w:adjustRightInd w:val="0"/>
              <w:snapToGrid w:val="0"/>
              <w:spacing w:line="30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1小时平均</w:t>
            </w:r>
          </w:p>
        </w:tc>
        <w:tc>
          <w:tcPr>
            <w:tcW w:w="1345" w:type="dxa"/>
            <w:vAlign w:val="center"/>
          </w:tcPr>
          <w:p w14:paraId="3B533047">
            <w:pPr>
              <w:adjustRightInd w:val="0"/>
              <w:snapToGrid w:val="0"/>
              <w:spacing w:line="30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2</w:t>
            </w:r>
            <w:r>
              <w:rPr>
                <w:rFonts w:ascii="宋体" w:hAnsi="宋体" w:cs="宋体"/>
                <w:color w:val="000000" w:themeColor="text1"/>
                <w:szCs w:val="21"/>
                <w14:textFill>
                  <w14:solidFill>
                    <w14:schemeClr w14:val="tx1"/>
                  </w14:solidFill>
                </w14:textFill>
              </w:rPr>
              <w:t>00</w:t>
            </w:r>
          </w:p>
        </w:tc>
        <w:tc>
          <w:tcPr>
            <w:tcW w:w="889" w:type="dxa"/>
            <w:vMerge w:val="continue"/>
            <w:tcBorders>
              <w:bottom w:val="single" w:color="auto" w:sz="4" w:space="0"/>
            </w:tcBorders>
            <w:vAlign w:val="center"/>
          </w:tcPr>
          <w:p w14:paraId="016FD715">
            <w:pPr>
              <w:adjustRightInd w:val="0"/>
              <w:snapToGrid w:val="0"/>
              <w:spacing w:line="300" w:lineRule="exact"/>
              <w:jc w:val="center"/>
              <w:rPr>
                <w:rFonts w:hint="eastAsia" w:ascii="宋体" w:hAnsi="宋体" w:cs="宋体"/>
                <w:color w:val="000000" w:themeColor="text1"/>
                <w:szCs w:val="21"/>
                <w14:textFill>
                  <w14:solidFill>
                    <w14:schemeClr w14:val="tx1"/>
                  </w14:solidFill>
                </w14:textFill>
              </w:rPr>
            </w:pPr>
          </w:p>
        </w:tc>
        <w:tc>
          <w:tcPr>
            <w:tcW w:w="2709" w:type="dxa"/>
            <w:vMerge w:val="continue"/>
            <w:vAlign w:val="center"/>
          </w:tcPr>
          <w:p w14:paraId="3A9AF873">
            <w:pPr>
              <w:adjustRightInd w:val="0"/>
              <w:snapToGrid w:val="0"/>
              <w:spacing w:line="300" w:lineRule="exact"/>
              <w:jc w:val="center"/>
              <w:rPr>
                <w:rFonts w:hint="eastAsia" w:ascii="宋体" w:hAnsi="宋体" w:cs="宋体"/>
                <w:color w:val="000000" w:themeColor="text1"/>
                <w:szCs w:val="21"/>
                <w14:textFill>
                  <w14:solidFill>
                    <w14:schemeClr w14:val="tx1"/>
                  </w14:solidFill>
                </w14:textFill>
              </w:rPr>
            </w:pPr>
          </w:p>
        </w:tc>
      </w:tr>
      <w:tr w14:paraId="3E4AF96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693" w:type="dxa"/>
            <w:vMerge w:val="restart"/>
            <w:tcBorders>
              <w:right w:val="single" w:color="auto" w:sz="4" w:space="0"/>
            </w:tcBorders>
            <w:vAlign w:val="center"/>
          </w:tcPr>
          <w:p w14:paraId="62CF2E32">
            <w:pPr>
              <w:adjustRightInd w:val="0"/>
              <w:snapToGrid w:val="0"/>
              <w:spacing w:line="300" w:lineRule="exact"/>
              <w:jc w:val="center"/>
              <w:rPr>
                <w:rFonts w:hint="eastAsia" w:ascii="宋体" w:hAnsi="宋体" w:cs="宋体"/>
                <w:color w:val="000000" w:themeColor="text1"/>
                <w:szCs w:val="21"/>
                <w14:textFill>
                  <w14:solidFill>
                    <w14:schemeClr w14:val="tx1"/>
                  </w14:solidFill>
                </w14:textFill>
              </w:rPr>
            </w:pPr>
            <w:r>
              <w:rPr>
                <w:rFonts w:ascii="宋体" w:hAnsi="宋体" w:cs="宋体"/>
                <w:color w:val="000000" w:themeColor="text1"/>
                <w:szCs w:val="21"/>
                <w14:textFill>
                  <w14:solidFill>
                    <w14:schemeClr w14:val="tx1"/>
                  </w14:solidFill>
                </w14:textFill>
              </w:rPr>
              <w:t>6</w:t>
            </w:r>
          </w:p>
        </w:tc>
        <w:tc>
          <w:tcPr>
            <w:tcW w:w="1292" w:type="dxa"/>
            <w:vMerge w:val="restart"/>
            <w:tcBorders>
              <w:left w:val="single" w:color="auto" w:sz="4" w:space="0"/>
            </w:tcBorders>
            <w:vAlign w:val="center"/>
          </w:tcPr>
          <w:p w14:paraId="412C101A">
            <w:pPr>
              <w:adjustRightInd w:val="0"/>
              <w:snapToGrid w:val="0"/>
              <w:spacing w:line="30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CO</w:t>
            </w:r>
          </w:p>
        </w:tc>
        <w:tc>
          <w:tcPr>
            <w:tcW w:w="2018" w:type="dxa"/>
            <w:vAlign w:val="center"/>
          </w:tcPr>
          <w:p w14:paraId="52728A6A">
            <w:pPr>
              <w:adjustRightInd w:val="0"/>
              <w:snapToGrid w:val="0"/>
              <w:spacing w:line="30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24小时平均</w:t>
            </w:r>
          </w:p>
        </w:tc>
        <w:tc>
          <w:tcPr>
            <w:tcW w:w="1345" w:type="dxa"/>
            <w:vAlign w:val="center"/>
          </w:tcPr>
          <w:p w14:paraId="0F34DD9A">
            <w:pPr>
              <w:adjustRightInd w:val="0"/>
              <w:snapToGrid w:val="0"/>
              <w:spacing w:line="30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4</w:t>
            </w:r>
          </w:p>
        </w:tc>
        <w:tc>
          <w:tcPr>
            <w:tcW w:w="889" w:type="dxa"/>
            <w:vMerge w:val="restart"/>
            <w:tcBorders>
              <w:top w:val="single" w:color="auto" w:sz="4" w:space="0"/>
            </w:tcBorders>
            <w:vAlign w:val="center"/>
          </w:tcPr>
          <w:p w14:paraId="7A260F4B">
            <w:pPr>
              <w:adjustRightInd w:val="0"/>
              <w:snapToGrid w:val="0"/>
              <w:spacing w:line="30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mg/m</w:t>
            </w:r>
            <w:r>
              <w:rPr>
                <w:rFonts w:hint="eastAsia" w:ascii="宋体" w:hAnsi="宋体" w:cs="宋体"/>
                <w:color w:val="000000" w:themeColor="text1"/>
                <w:szCs w:val="21"/>
                <w:vertAlign w:val="superscript"/>
                <w14:textFill>
                  <w14:solidFill>
                    <w14:schemeClr w14:val="tx1"/>
                  </w14:solidFill>
                </w14:textFill>
              </w:rPr>
              <w:t>3</w:t>
            </w:r>
          </w:p>
        </w:tc>
        <w:tc>
          <w:tcPr>
            <w:tcW w:w="2709" w:type="dxa"/>
            <w:vMerge w:val="continue"/>
            <w:vAlign w:val="center"/>
          </w:tcPr>
          <w:p w14:paraId="2125B2D9">
            <w:pPr>
              <w:adjustRightInd w:val="0"/>
              <w:snapToGrid w:val="0"/>
              <w:spacing w:line="300" w:lineRule="exact"/>
              <w:jc w:val="center"/>
              <w:rPr>
                <w:rFonts w:hint="eastAsia" w:ascii="宋体" w:hAnsi="宋体" w:cs="宋体"/>
                <w:color w:val="000000" w:themeColor="text1"/>
                <w:szCs w:val="21"/>
                <w14:textFill>
                  <w14:solidFill>
                    <w14:schemeClr w14:val="tx1"/>
                  </w14:solidFill>
                </w14:textFill>
              </w:rPr>
            </w:pPr>
          </w:p>
        </w:tc>
      </w:tr>
      <w:tr w14:paraId="2F4CEAF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693" w:type="dxa"/>
            <w:vMerge w:val="continue"/>
            <w:tcBorders>
              <w:right w:val="single" w:color="auto" w:sz="4" w:space="0"/>
            </w:tcBorders>
            <w:vAlign w:val="center"/>
          </w:tcPr>
          <w:p w14:paraId="5D4E1A8A">
            <w:pPr>
              <w:adjustRightInd w:val="0"/>
              <w:snapToGrid w:val="0"/>
              <w:spacing w:line="300" w:lineRule="exact"/>
              <w:jc w:val="center"/>
              <w:rPr>
                <w:rFonts w:hint="eastAsia" w:ascii="宋体" w:hAnsi="宋体" w:cs="宋体"/>
                <w:color w:val="000000" w:themeColor="text1"/>
                <w:szCs w:val="21"/>
                <w14:textFill>
                  <w14:solidFill>
                    <w14:schemeClr w14:val="tx1"/>
                  </w14:solidFill>
                </w14:textFill>
              </w:rPr>
            </w:pPr>
          </w:p>
        </w:tc>
        <w:tc>
          <w:tcPr>
            <w:tcW w:w="1292" w:type="dxa"/>
            <w:vMerge w:val="continue"/>
            <w:tcBorders>
              <w:left w:val="single" w:color="auto" w:sz="4" w:space="0"/>
            </w:tcBorders>
            <w:vAlign w:val="center"/>
          </w:tcPr>
          <w:p w14:paraId="185CF63A">
            <w:pPr>
              <w:adjustRightInd w:val="0"/>
              <w:snapToGrid w:val="0"/>
              <w:spacing w:line="300" w:lineRule="exact"/>
              <w:jc w:val="center"/>
              <w:rPr>
                <w:rFonts w:hint="eastAsia" w:ascii="宋体" w:hAnsi="宋体" w:cs="宋体"/>
                <w:color w:val="000000" w:themeColor="text1"/>
                <w:szCs w:val="21"/>
                <w14:textFill>
                  <w14:solidFill>
                    <w14:schemeClr w14:val="tx1"/>
                  </w14:solidFill>
                </w14:textFill>
              </w:rPr>
            </w:pPr>
          </w:p>
        </w:tc>
        <w:tc>
          <w:tcPr>
            <w:tcW w:w="2018" w:type="dxa"/>
            <w:vAlign w:val="center"/>
          </w:tcPr>
          <w:p w14:paraId="415EDD98">
            <w:pPr>
              <w:adjustRightInd w:val="0"/>
              <w:snapToGrid w:val="0"/>
              <w:spacing w:line="30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1小时平均</w:t>
            </w:r>
          </w:p>
        </w:tc>
        <w:tc>
          <w:tcPr>
            <w:tcW w:w="1345" w:type="dxa"/>
            <w:vAlign w:val="center"/>
          </w:tcPr>
          <w:p w14:paraId="6F67F7D8">
            <w:pPr>
              <w:adjustRightInd w:val="0"/>
              <w:snapToGrid w:val="0"/>
              <w:spacing w:line="30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1</w:t>
            </w:r>
            <w:r>
              <w:rPr>
                <w:rFonts w:ascii="宋体" w:hAnsi="宋体" w:cs="宋体"/>
                <w:color w:val="000000" w:themeColor="text1"/>
                <w:szCs w:val="21"/>
                <w14:textFill>
                  <w14:solidFill>
                    <w14:schemeClr w14:val="tx1"/>
                  </w14:solidFill>
                </w14:textFill>
              </w:rPr>
              <w:t>0</w:t>
            </w:r>
          </w:p>
        </w:tc>
        <w:tc>
          <w:tcPr>
            <w:tcW w:w="889" w:type="dxa"/>
            <w:vMerge w:val="continue"/>
            <w:tcBorders>
              <w:bottom w:val="single" w:color="auto" w:sz="4" w:space="0"/>
            </w:tcBorders>
            <w:vAlign w:val="center"/>
          </w:tcPr>
          <w:p w14:paraId="029BFB54">
            <w:pPr>
              <w:adjustRightInd w:val="0"/>
              <w:snapToGrid w:val="0"/>
              <w:spacing w:line="300" w:lineRule="exact"/>
              <w:jc w:val="center"/>
              <w:rPr>
                <w:rFonts w:hint="eastAsia" w:ascii="宋体" w:hAnsi="宋体" w:cs="宋体"/>
                <w:color w:val="000000" w:themeColor="text1"/>
                <w:szCs w:val="21"/>
                <w14:textFill>
                  <w14:solidFill>
                    <w14:schemeClr w14:val="tx1"/>
                  </w14:solidFill>
                </w14:textFill>
              </w:rPr>
            </w:pPr>
          </w:p>
        </w:tc>
        <w:tc>
          <w:tcPr>
            <w:tcW w:w="2709" w:type="dxa"/>
            <w:vMerge w:val="continue"/>
            <w:vAlign w:val="center"/>
          </w:tcPr>
          <w:p w14:paraId="350581AF">
            <w:pPr>
              <w:adjustRightInd w:val="0"/>
              <w:snapToGrid w:val="0"/>
              <w:spacing w:line="300" w:lineRule="exact"/>
              <w:jc w:val="center"/>
              <w:rPr>
                <w:rFonts w:hint="eastAsia" w:ascii="宋体" w:hAnsi="宋体" w:cs="宋体"/>
                <w:color w:val="000000" w:themeColor="text1"/>
                <w:szCs w:val="21"/>
                <w14:textFill>
                  <w14:solidFill>
                    <w14:schemeClr w14:val="tx1"/>
                  </w14:solidFill>
                </w14:textFill>
              </w:rPr>
            </w:pPr>
          </w:p>
        </w:tc>
      </w:tr>
      <w:tr w14:paraId="5ADABC2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693" w:type="dxa"/>
            <w:tcBorders>
              <w:right w:val="single" w:color="auto" w:sz="4" w:space="0"/>
            </w:tcBorders>
            <w:vAlign w:val="center"/>
          </w:tcPr>
          <w:p w14:paraId="34DE24A0">
            <w:pPr>
              <w:adjustRightInd w:val="0"/>
              <w:snapToGrid w:val="0"/>
              <w:spacing w:line="30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7</w:t>
            </w:r>
          </w:p>
        </w:tc>
        <w:tc>
          <w:tcPr>
            <w:tcW w:w="1292" w:type="dxa"/>
            <w:tcBorders>
              <w:left w:val="single" w:color="auto" w:sz="4" w:space="0"/>
            </w:tcBorders>
            <w:vAlign w:val="center"/>
          </w:tcPr>
          <w:p w14:paraId="492FD861">
            <w:pPr>
              <w:adjustRightInd w:val="0"/>
              <w:snapToGrid w:val="0"/>
              <w:spacing w:line="30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NMHC</w:t>
            </w:r>
          </w:p>
        </w:tc>
        <w:tc>
          <w:tcPr>
            <w:tcW w:w="2018" w:type="dxa"/>
            <w:vAlign w:val="center"/>
          </w:tcPr>
          <w:p w14:paraId="4B8CDB4D">
            <w:pPr>
              <w:adjustRightInd w:val="0"/>
              <w:snapToGrid w:val="0"/>
              <w:spacing w:line="30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一次浓度限值</w:t>
            </w:r>
          </w:p>
        </w:tc>
        <w:tc>
          <w:tcPr>
            <w:tcW w:w="1345" w:type="dxa"/>
            <w:vAlign w:val="center"/>
          </w:tcPr>
          <w:p w14:paraId="75C5FF8C">
            <w:pPr>
              <w:adjustRightInd w:val="0"/>
              <w:snapToGrid w:val="0"/>
              <w:spacing w:line="30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2.0</w:t>
            </w:r>
          </w:p>
        </w:tc>
        <w:tc>
          <w:tcPr>
            <w:tcW w:w="889" w:type="dxa"/>
            <w:vAlign w:val="center"/>
          </w:tcPr>
          <w:p w14:paraId="47E99140">
            <w:pPr>
              <w:adjustRightInd w:val="0"/>
              <w:snapToGrid w:val="0"/>
              <w:spacing w:line="30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mg/m</w:t>
            </w:r>
            <w:r>
              <w:rPr>
                <w:rFonts w:hint="eastAsia" w:ascii="宋体" w:hAnsi="宋体" w:cs="宋体"/>
                <w:color w:val="000000" w:themeColor="text1"/>
                <w:szCs w:val="21"/>
                <w:vertAlign w:val="superscript"/>
                <w14:textFill>
                  <w14:solidFill>
                    <w14:schemeClr w14:val="tx1"/>
                  </w14:solidFill>
                </w14:textFill>
              </w:rPr>
              <w:t>3</w:t>
            </w:r>
          </w:p>
        </w:tc>
        <w:tc>
          <w:tcPr>
            <w:tcW w:w="2709" w:type="dxa"/>
            <w:vAlign w:val="center"/>
          </w:tcPr>
          <w:p w14:paraId="66761399">
            <w:pPr>
              <w:adjustRightInd w:val="0"/>
              <w:snapToGrid w:val="0"/>
              <w:spacing w:line="300" w:lineRule="exact"/>
              <w:jc w:val="center"/>
              <w:rPr>
                <w:rFonts w:hint="eastAsia" w:ascii="宋体" w:hAnsi="宋体" w:cs="宋体"/>
                <w:color w:val="000000" w:themeColor="text1"/>
                <w:szCs w:val="21"/>
                <w14:textFill>
                  <w14:solidFill>
                    <w14:schemeClr w14:val="tx1"/>
                  </w14:solidFill>
                </w14:textFill>
              </w:rPr>
            </w:pPr>
            <w:r>
              <w:rPr>
                <w:rFonts w:hint="eastAsia"/>
                <w:color w:val="000000" w:themeColor="text1"/>
                <w14:textFill>
                  <w14:solidFill>
                    <w14:schemeClr w14:val="tx1"/>
                  </w14:solidFill>
                </w14:textFill>
              </w:rPr>
              <w:t>《</w:t>
            </w:r>
            <w:r>
              <w:rPr>
                <w:color w:val="000000" w:themeColor="text1"/>
                <w14:textFill>
                  <w14:solidFill>
                    <w14:schemeClr w14:val="tx1"/>
                  </w14:solidFill>
                </w14:textFill>
              </w:rPr>
              <w:t>大气污染物综合排放标准》详解</w:t>
            </w:r>
          </w:p>
        </w:tc>
      </w:tr>
      <w:tr w14:paraId="73E86D3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693" w:type="dxa"/>
            <w:tcBorders>
              <w:right w:val="single" w:color="auto" w:sz="4" w:space="0"/>
            </w:tcBorders>
            <w:vAlign w:val="center"/>
          </w:tcPr>
          <w:p w14:paraId="14703F3E">
            <w:pPr>
              <w:adjustRightInd w:val="0"/>
              <w:snapToGrid w:val="0"/>
              <w:spacing w:line="30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8</w:t>
            </w:r>
          </w:p>
        </w:tc>
        <w:tc>
          <w:tcPr>
            <w:tcW w:w="1292" w:type="dxa"/>
            <w:tcBorders>
              <w:left w:val="single" w:color="auto" w:sz="4" w:space="0"/>
            </w:tcBorders>
            <w:vAlign w:val="center"/>
          </w:tcPr>
          <w:p w14:paraId="3136EDAA">
            <w:pPr>
              <w:adjustRightInd w:val="0"/>
              <w:snapToGrid w:val="0"/>
              <w:spacing w:line="30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H</w:t>
            </w:r>
            <w:r>
              <w:rPr>
                <w:rFonts w:hint="eastAsia" w:ascii="宋体" w:hAnsi="宋体" w:cs="宋体"/>
                <w:color w:val="000000" w:themeColor="text1"/>
                <w:szCs w:val="21"/>
                <w:vertAlign w:val="subscript"/>
                <w14:textFill>
                  <w14:solidFill>
                    <w14:schemeClr w14:val="tx1"/>
                  </w14:solidFill>
                </w14:textFill>
              </w:rPr>
              <w:t>2</w:t>
            </w:r>
            <w:r>
              <w:rPr>
                <w:rFonts w:hint="eastAsia" w:ascii="宋体" w:hAnsi="宋体" w:cs="宋体"/>
                <w:color w:val="000000" w:themeColor="text1"/>
                <w:szCs w:val="21"/>
                <w14:textFill>
                  <w14:solidFill>
                    <w14:schemeClr w14:val="tx1"/>
                  </w14:solidFill>
                </w14:textFill>
              </w:rPr>
              <w:t>S</w:t>
            </w:r>
          </w:p>
        </w:tc>
        <w:tc>
          <w:tcPr>
            <w:tcW w:w="2018" w:type="dxa"/>
            <w:vAlign w:val="center"/>
          </w:tcPr>
          <w:p w14:paraId="234858D1">
            <w:pPr>
              <w:adjustRightInd w:val="0"/>
              <w:snapToGrid w:val="0"/>
              <w:spacing w:line="30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1小时平均</w:t>
            </w:r>
          </w:p>
        </w:tc>
        <w:tc>
          <w:tcPr>
            <w:tcW w:w="1345" w:type="dxa"/>
            <w:vAlign w:val="center"/>
          </w:tcPr>
          <w:p w14:paraId="29841D66">
            <w:pPr>
              <w:adjustRightInd w:val="0"/>
              <w:snapToGrid w:val="0"/>
              <w:spacing w:line="30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10</w:t>
            </w:r>
          </w:p>
        </w:tc>
        <w:tc>
          <w:tcPr>
            <w:tcW w:w="889" w:type="dxa"/>
            <w:vAlign w:val="center"/>
          </w:tcPr>
          <w:p w14:paraId="4C6892DE">
            <w:pPr>
              <w:adjustRightInd w:val="0"/>
              <w:snapToGrid w:val="0"/>
              <w:spacing w:line="30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μg/m</w:t>
            </w:r>
            <w:r>
              <w:rPr>
                <w:rFonts w:hint="eastAsia" w:ascii="宋体" w:hAnsi="宋体" w:cs="宋体"/>
                <w:color w:val="000000" w:themeColor="text1"/>
                <w:szCs w:val="21"/>
                <w:vertAlign w:val="superscript"/>
                <w14:textFill>
                  <w14:solidFill>
                    <w14:schemeClr w14:val="tx1"/>
                  </w14:solidFill>
                </w14:textFill>
              </w:rPr>
              <w:t>3</w:t>
            </w:r>
          </w:p>
        </w:tc>
        <w:tc>
          <w:tcPr>
            <w:tcW w:w="2709" w:type="dxa"/>
            <w:vAlign w:val="center"/>
          </w:tcPr>
          <w:p w14:paraId="62D72D0E">
            <w:pPr>
              <w:adjustRightInd w:val="0"/>
              <w:snapToGrid w:val="0"/>
              <w:spacing w:line="300" w:lineRule="exact"/>
              <w:jc w:val="center"/>
              <w:rPr>
                <w:rFonts w:hint="eastAsia" w:ascii="宋体" w:hAnsi="宋体" w:cs="宋体"/>
                <w:color w:val="000000" w:themeColor="text1"/>
                <w:szCs w:val="21"/>
                <w:lang w:bidi="ar"/>
                <w14:textFill>
                  <w14:solidFill>
                    <w14:schemeClr w14:val="tx1"/>
                  </w14:solidFill>
                </w14:textFill>
              </w:rPr>
            </w:pPr>
            <w:r>
              <w:rPr>
                <w:rFonts w:hint="eastAsia" w:ascii="宋体" w:hAnsi="宋体" w:cs="宋体"/>
                <w:color w:val="000000" w:themeColor="text1"/>
                <w:szCs w:val="21"/>
                <w:lang w:bidi="ar"/>
                <w14:textFill>
                  <w14:solidFill>
                    <w14:schemeClr w14:val="tx1"/>
                  </w14:solidFill>
                </w14:textFill>
              </w:rPr>
              <w:t>HJ2.2-2018附录D中的1h平均浓度限值</w:t>
            </w:r>
          </w:p>
        </w:tc>
      </w:tr>
    </w:tbl>
    <w:p w14:paraId="36B1DB5A">
      <w:pPr>
        <w:spacing w:line="500" w:lineRule="exact"/>
        <w:ind w:firstLine="480" w:firstLineChars="200"/>
        <w:rPr>
          <w:rFonts w:hint="eastAsia"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②地下水</w:t>
      </w:r>
    </w:p>
    <w:p w14:paraId="6038CA8F">
      <w:pPr>
        <w:pStyle w:val="191"/>
        <w:ind w:firstLine="480"/>
        <w:rPr>
          <w:rFonts w:hint="eastAsia"/>
          <w:color w:val="000000" w:themeColor="text1"/>
          <w14:textFill>
            <w14:solidFill>
              <w14:schemeClr w14:val="tx1"/>
            </w14:solidFill>
          </w14:textFill>
        </w:rPr>
      </w:pPr>
      <w:r>
        <w:rPr>
          <w:rFonts w:hint="eastAsia"/>
          <w:color w:val="000000" w:themeColor="text1"/>
          <w:lang w:val="zh-CN"/>
          <w14:textFill>
            <w14:solidFill>
              <w14:schemeClr w14:val="tx1"/>
            </w14:solidFill>
          </w14:textFill>
        </w:rPr>
        <w:t>地下水环境质量执</w:t>
      </w:r>
      <w:r>
        <w:rPr>
          <w:rFonts w:hint="eastAsia" w:cs="MS PGothic"/>
          <w:color w:val="000000" w:themeColor="text1"/>
          <w:lang w:val="zh-CN"/>
          <w14:textFill>
            <w14:solidFill>
              <w14:schemeClr w14:val="tx1"/>
            </w14:solidFill>
          </w14:textFill>
        </w:rPr>
        <w:t>行《地下水</w:t>
      </w:r>
      <w:r>
        <w:rPr>
          <w:rFonts w:hint="eastAsia"/>
          <w:color w:val="000000" w:themeColor="text1"/>
          <w:lang w:val="zh-CN"/>
          <w14:textFill>
            <w14:solidFill>
              <w14:schemeClr w14:val="tx1"/>
            </w14:solidFill>
          </w14:textFill>
        </w:rPr>
        <w:t>质</w:t>
      </w:r>
      <w:r>
        <w:rPr>
          <w:rFonts w:hint="eastAsia" w:cs="MS PGothic"/>
          <w:color w:val="000000" w:themeColor="text1"/>
          <w:lang w:val="zh-CN"/>
          <w14:textFill>
            <w14:solidFill>
              <w14:schemeClr w14:val="tx1"/>
            </w14:solidFill>
          </w14:textFill>
        </w:rPr>
        <w:t>量</w:t>
      </w:r>
      <w:r>
        <w:rPr>
          <w:rFonts w:hint="eastAsia"/>
          <w:color w:val="000000" w:themeColor="text1"/>
          <w:lang w:val="zh-CN"/>
          <w14:textFill>
            <w14:solidFill>
              <w14:schemeClr w14:val="tx1"/>
            </w14:solidFill>
          </w14:textFill>
        </w:rPr>
        <w:t>标</w:t>
      </w:r>
      <w:r>
        <w:rPr>
          <w:rFonts w:hint="eastAsia" w:cs="MS PGothic"/>
          <w:color w:val="000000" w:themeColor="text1"/>
          <w:lang w:val="zh-CN"/>
          <w14:textFill>
            <w14:solidFill>
              <w14:schemeClr w14:val="tx1"/>
            </w14:solidFill>
          </w14:textFill>
        </w:rPr>
        <w:t>准》</w:t>
      </w:r>
      <w:r>
        <w:rPr>
          <w:color w:val="000000" w:themeColor="text1"/>
          <w:lang w:val="zh-CN"/>
          <w14:textFill>
            <w14:solidFill>
              <w14:schemeClr w14:val="tx1"/>
            </w14:solidFill>
          </w14:textFill>
        </w:rPr>
        <w:t>（GB/T14843-2017</w:t>
      </w:r>
      <w:r>
        <w:rPr>
          <w:rFonts w:hint="eastAsia"/>
          <w:color w:val="000000" w:themeColor="text1"/>
          <w:lang w:val="zh-CN"/>
          <w14:textFill>
            <w14:solidFill>
              <w14:schemeClr w14:val="tx1"/>
            </w14:solidFill>
          </w14:textFill>
        </w:rPr>
        <w:t>）Ⅲ类标</w:t>
      </w:r>
      <w:r>
        <w:rPr>
          <w:rFonts w:hint="eastAsia" w:cs="MS PGothic"/>
          <w:color w:val="000000" w:themeColor="text1"/>
          <w:lang w:val="zh-CN"/>
          <w14:textFill>
            <w14:solidFill>
              <w14:schemeClr w14:val="tx1"/>
            </w14:solidFill>
          </w14:textFill>
        </w:rPr>
        <w:t>准，</w:t>
      </w:r>
      <w:r>
        <w:rPr>
          <w:rFonts w:cs="Arial"/>
          <w:color w:val="000000" w:themeColor="text1"/>
          <w:lang w:val="zh-CN"/>
          <w14:textFill>
            <w14:solidFill>
              <w14:schemeClr w14:val="tx1"/>
            </w14:solidFill>
          </w14:textFill>
        </w:rPr>
        <w:t>石油</w:t>
      </w:r>
      <w:r>
        <w:rPr>
          <w:rFonts w:hint="eastAsia"/>
          <w:color w:val="000000" w:themeColor="text1"/>
          <w:lang w:val="zh-CN"/>
          <w14:textFill>
            <w14:solidFill>
              <w14:schemeClr w14:val="tx1"/>
            </w14:solidFill>
          </w14:textFill>
        </w:rPr>
        <w:t>类</w:t>
      </w:r>
      <w:r>
        <w:rPr>
          <w:rFonts w:hint="eastAsia" w:cs="MS PGothic"/>
          <w:color w:val="000000" w:themeColor="text1"/>
          <w:lang w:val="zh-CN"/>
          <w14:textFill>
            <w14:solidFill>
              <w14:schemeClr w14:val="tx1"/>
            </w14:solidFill>
          </w14:textFill>
        </w:rPr>
        <w:t>参照《地表水</w:t>
      </w:r>
      <w:r>
        <w:rPr>
          <w:rFonts w:hint="eastAsia"/>
          <w:color w:val="000000" w:themeColor="text1"/>
          <w:lang w:val="zh-CN"/>
          <w14:textFill>
            <w14:solidFill>
              <w14:schemeClr w14:val="tx1"/>
            </w14:solidFill>
          </w14:textFill>
        </w:rPr>
        <w:t>环</w:t>
      </w:r>
      <w:r>
        <w:rPr>
          <w:rFonts w:hint="eastAsia" w:cs="MS PGothic"/>
          <w:color w:val="000000" w:themeColor="text1"/>
          <w:lang w:val="zh-CN"/>
          <w14:textFill>
            <w14:solidFill>
              <w14:schemeClr w14:val="tx1"/>
            </w14:solidFill>
          </w14:textFill>
        </w:rPr>
        <w:t>境</w:t>
      </w:r>
      <w:r>
        <w:rPr>
          <w:rFonts w:hint="eastAsia"/>
          <w:color w:val="000000" w:themeColor="text1"/>
          <w:lang w:val="zh-CN"/>
          <w14:textFill>
            <w14:solidFill>
              <w14:schemeClr w14:val="tx1"/>
            </w14:solidFill>
          </w14:textFill>
        </w:rPr>
        <w:t>质</w:t>
      </w:r>
      <w:r>
        <w:rPr>
          <w:rFonts w:hint="eastAsia" w:cs="MS PGothic"/>
          <w:color w:val="000000" w:themeColor="text1"/>
          <w:lang w:val="zh-CN"/>
          <w14:textFill>
            <w14:solidFill>
              <w14:schemeClr w14:val="tx1"/>
            </w14:solidFill>
          </w14:textFill>
        </w:rPr>
        <w:t>量</w:t>
      </w:r>
      <w:r>
        <w:rPr>
          <w:rFonts w:hint="eastAsia"/>
          <w:color w:val="000000" w:themeColor="text1"/>
          <w:lang w:val="zh-CN"/>
          <w14:textFill>
            <w14:solidFill>
              <w14:schemeClr w14:val="tx1"/>
            </w14:solidFill>
          </w14:textFill>
        </w:rPr>
        <w:t>标</w:t>
      </w:r>
      <w:r>
        <w:rPr>
          <w:rFonts w:hint="eastAsia" w:cs="MS PGothic"/>
          <w:color w:val="000000" w:themeColor="text1"/>
          <w:lang w:val="zh-CN"/>
          <w14:textFill>
            <w14:solidFill>
              <w14:schemeClr w14:val="tx1"/>
            </w14:solidFill>
          </w14:textFill>
        </w:rPr>
        <w:t>准》（</w:t>
      </w:r>
      <w:r>
        <w:rPr>
          <w:rFonts w:cs="Arial"/>
          <w:color w:val="000000" w:themeColor="text1"/>
          <w:lang w:val="zh-CN"/>
          <w14:textFill>
            <w14:solidFill>
              <w14:schemeClr w14:val="tx1"/>
            </w14:solidFill>
          </w14:textFill>
        </w:rPr>
        <w:t>GB3838-2002）</w:t>
      </w:r>
      <w:r>
        <w:rPr>
          <w:rFonts w:hint="eastAsia"/>
          <w:color w:val="000000" w:themeColor="text1"/>
          <w:lang w:val="zh-CN"/>
          <w14:textFill>
            <w14:solidFill>
              <w14:schemeClr w14:val="tx1"/>
            </w14:solidFill>
          </w14:textFill>
        </w:rPr>
        <w:t>Ⅲ类标</w:t>
      </w:r>
      <w:r>
        <w:rPr>
          <w:rFonts w:hint="eastAsia" w:cs="MS PGothic"/>
          <w:color w:val="000000" w:themeColor="text1"/>
          <w:lang w:val="zh-CN"/>
          <w14:textFill>
            <w14:solidFill>
              <w14:schemeClr w14:val="tx1"/>
            </w14:solidFill>
          </w14:textFill>
        </w:rPr>
        <w:t>准，具体</w:t>
      </w:r>
      <w:r>
        <w:rPr>
          <w:rFonts w:hint="eastAsia"/>
          <w:color w:val="000000" w:themeColor="text1"/>
          <w:lang w:val="zh-CN"/>
          <w14:textFill>
            <w14:solidFill>
              <w14:schemeClr w14:val="tx1"/>
            </w14:solidFill>
          </w14:textFill>
        </w:rPr>
        <w:t>标</w:t>
      </w:r>
      <w:r>
        <w:rPr>
          <w:rFonts w:hint="eastAsia"/>
          <w:color w:val="000000" w:themeColor="text1"/>
          <w14:textFill>
            <w14:solidFill>
              <w14:schemeClr w14:val="tx1"/>
            </w14:solidFill>
          </w14:textFill>
        </w:rPr>
        <w:t>准值见表</w:t>
      </w:r>
      <w:r>
        <w:rPr>
          <w:color w:val="000000" w:themeColor="text1"/>
          <w14:textFill>
            <w14:solidFill>
              <w14:schemeClr w14:val="tx1"/>
            </w14:solidFill>
          </w14:textFill>
        </w:rPr>
        <w:t>2.5</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3</w:t>
      </w:r>
      <w:r>
        <w:rPr>
          <w:rFonts w:hint="eastAsia"/>
          <w:color w:val="000000" w:themeColor="text1"/>
          <w14:textFill>
            <w14:solidFill>
              <w14:schemeClr w14:val="tx1"/>
            </w14:solidFill>
          </w14:textFill>
        </w:rPr>
        <w:t>。</w:t>
      </w:r>
    </w:p>
    <w:p w14:paraId="7DBFB8FF">
      <w:pPr>
        <w:pStyle w:val="109"/>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表</w:t>
      </w:r>
      <w:r>
        <w:rPr>
          <w:color w:val="000000" w:themeColor="text1"/>
          <w14:textFill>
            <w14:solidFill>
              <w14:schemeClr w14:val="tx1"/>
            </w14:solidFill>
          </w14:textFill>
        </w:rPr>
        <w:t>2.5</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 xml:space="preserve">3 </w:t>
      </w:r>
      <w:r>
        <w:rPr>
          <w:rFonts w:hint="eastAsia"/>
          <w:color w:val="000000" w:themeColor="text1"/>
          <w14:textFill>
            <w14:solidFill>
              <w14:schemeClr w14:val="tx1"/>
            </w14:solidFill>
          </w14:textFill>
        </w:rPr>
        <w:t xml:space="preserve"> 地下水质量标准值          [单位mg/L，pH无量纲]</w:t>
      </w:r>
    </w:p>
    <w:tbl>
      <w:tblPr>
        <w:tblStyle w:val="51"/>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34"/>
        <w:gridCol w:w="1965"/>
        <w:gridCol w:w="1745"/>
        <w:gridCol w:w="993"/>
        <w:gridCol w:w="1545"/>
        <w:gridCol w:w="1764"/>
      </w:tblGrid>
      <w:tr w14:paraId="5CE2D34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34" w:type="dxa"/>
            <w:vAlign w:val="center"/>
          </w:tcPr>
          <w:p w14:paraId="3F2901CD">
            <w:pPr>
              <w:pStyle w:val="278"/>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序号</w:t>
            </w:r>
          </w:p>
        </w:tc>
        <w:tc>
          <w:tcPr>
            <w:tcW w:w="1965" w:type="dxa"/>
            <w:vAlign w:val="center"/>
          </w:tcPr>
          <w:p w14:paraId="2336F65B">
            <w:pPr>
              <w:pStyle w:val="278"/>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监测项目</w:t>
            </w:r>
          </w:p>
        </w:tc>
        <w:tc>
          <w:tcPr>
            <w:tcW w:w="1745" w:type="dxa"/>
            <w:vAlign w:val="center"/>
          </w:tcPr>
          <w:p w14:paraId="0E95D595">
            <w:pPr>
              <w:pStyle w:val="278"/>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标准值（</w:t>
            </w:r>
            <w:r>
              <w:rPr>
                <w:rFonts w:hint="eastAsia"/>
                <w:color w:val="000000" w:themeColor="text1"/>
                <w:spacing w:val="6"/>
                <w14:textFill>
                  <w14:solidFill>
                    <w14:schemeClr w14:val="tx1"/>
                  </w14:solidFill>
                </w14:textFill>
              </w:rPr>
              <w:t>Ⅲ</w:t>
            </w:r>
            <w:r>
              <w:rPr>
                <w:rFonts w:hint="eastAsia"/>
                <w:color w:val="000000" w:themeColor="text1"/>
                <w14:textFill>
                  <w14:solidFill>
                    <w14:schemeClr w14:val="tx1"/>
                  </w14:solidFill>
                </w14:textFill>
              </w:rPr>
              <w:t>类）</w:t>
            </w:r>
          </w:p>
        </w:tc>
        <w:tc>
          <w:tcPr>
            <w:tcW w:w="993" w:type="dxa"/>
            <w:vAlign w:val="center"/>
          </w:tcPr>
          <w:p w14:paraId="252F6469">
            <w:pPr>
              <w:pStyle w:val="278"/>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序号</w:t>
            </w:r>
          </w:p>
        </w:tc>
        <w:tc>
          <w:tcPr>
            <w:tcW w:w="1545" w:type="dxa"/>
            <w:vAlign w:val="center"/>
          </w:tcPr>
          <w:p w14:paraId="262BDB39">
            <w:pPr>
              <w:pStyle w:val="278"/>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监测项目</w:t>
            </w:r>
          </w:p>
        </w:tc>
        <w:tc>
          <w:tcPr>
            <w:tcW w:w="1764" w:type="dxa"/>
            <w:vAlign w:val="center"/>
          </w:tcPr>
          <w:p w14:paraId="7B85F3B1">
            <w:pPr>
              <w:pStyle w:val="278"/>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标准值（</w:t>
            </w:r>
            <w:r>
              <w:rPr>
                <w:rFonts w:hint="eastAsia"/>
                <w:color w:val="000000" w:themeColor="text1"/>
                <w:spacing w:val="6"/>
                <w14:textFill>
                  <w14:solidFill>
                    <w14:schemeClr w14:val="tx1"/>
                  </w14:solidFill>
                </w14:textFill>
              </w:rPr>
              <w:t>Ⅲ</w:t>
            </w:r>
            <w:r>
              <w:rPr>
                <w:rFonts w:hint="eastAsia"/>
                <w:color w:val="000000" w:themeColor="text1"/>
                <w14:textFill>
                  <w14:solidFill>
                    <w14:schemeClr w14:val="tx1"/>
                  </w14:solidFill>
                </w14:textFill>
              </w:rPr>
              <w:t>类）</w:t>
            </w:r>
          </w:p>
        </w:tc>
      </w:tr>
      <w:tr w14:paraId="732CDB1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34" w:type="dxa"/>
            <w:vAlign w:val="center"/>
          </w:tcPr>
          <w:p w14:paraId="04CFF595">
            <w:pPr>
              <w:pStyle w:val="278"/>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1</w:t>
            </w:r>
          </w:p>
        </w:tc>
        <w:tc>
          <w:tcPr>
            <w:tcW w:w="1965" w:type="dxa"/>
            <w:vAlign w:val="center"/>
          </w:tcPr>
          <w:p w14:paraId="390CFDBE">
            <w:pPr>
              <w:pStyle w:val="278"/>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pH值</w:t>
            </w:r>
          </w:p>
        </w:tc>
        <w:tc>
          <w:tcPr>
            <w:tcW w:w="1745" w:type="dxa"/>
            <w:vAlign w:val="center"/>
          </w:tcPr>
          <w:p w14:paraId="426F26BC">
            <w:pPr>
              <w:pStyle w:val="278"/>
              <w:rPr>
                <w:rFonts w:hint="eastAsia"/>
                <w:color w:val="000000" w:themeColor="text1"/>
                <w14:textFill>
                  <w14:solidFill>
                    <w14:schemeClr w14:val="tx1"/>
                  </w14:solidFill>
                </w14:textFill>
              </w:rPr>
            </w:pPr>
            <w:r>
              <w:rPr>
                <w:rFonts w:hint="eastAsia" w:cs="宋体"/>
                <w:color w:val="000000" w:themeColor="text1"/>
                <w:lang w:val="zh-CN"/>
                <w14:textFill>
                  <w14:solidFill>
                    <w14:schemeClr w14:val="tx1"/>
                  </w14:solidFill>
                </w14:textFill>
              </w:rPr>
              <w:t>6.5～8.5</w:t>
            </w:r>
          </w:p>
        </w:tc>
        <w:tc>
          <w:tcPr>
            <w:tcW w:w="993" w:type="dxa"/>
            <w:vAlign w:val="center"/>
          </w:tcPr>
          <w:p w14:paraId="3D2DC36D">
            <w:pPr>
              <w:pStyle w:val="278"/>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color w:val="000000" w:themeColor="text1"/>
                <w14:textFill>
                  <w14:solidFill>
                    <w14:schemeClr w14:val="tx1"/>
                  </w14:solidFill>
                </w14:textFill>
              </w:rPr>
              <w:t>4</w:t>
            </w:r>
          </w:p>
        </w:tc>
        <w:tc>
          <w:tcPr>
            <w:tcW w:w="1545" w:type="dxa"/>
            <w:vAlign w:val="center"/>
          </w:tcPr>
          <w:p w14:paraId="1FAF113B">
            <w:pPr>
              <w:pStyle w:val="278"/>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六价铬</w:t>
            </w:r>
          </w:p>
        </w:tc>
        <w:tc>
          <w:tcPr>
            <w:tcW w:w="1764" w:type="dxa"/>
            <w:vAlign w:val="center"/>
          </w:tcPr>
          <w:p w14:paraId="1A34B5BD">
            <w:pPr>
              <w:pStyle w:val="278"/>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≤0</w:t>
            </w:r>
            <w:r>
              <w:rPr>
                <w:color w:val="000000" w:themeColor="text1"/>
                <w14:textFill>
                  <w14:solidFill>
                    <w14:schemeClr w14:val="tx1"/>
                  </w14:solidFill>
                </w14:textFill>
              </w:rPr>
              <w:t>.05</w:t>
            </w:r>
          </w:p>
        </w:tc>
      </w:tr>
      <w:tr w14:paraId="48D9FDD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34" w:type="dxa"/>
            <w:vAlign w:val="center"/>
          </w:tcPr>
          <w:p w14:paraId="1ADCF8FD">
            <w:pPr>
              <w:pStyle w:val="278"/>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2</w:t>
            </w:r>
          </w:p>
        </w:tc>
        <w:tc>
          <w:tcPr>
            <w:tcW w:w="1965" w:type="dxa"/>
            <w:vAlign w:val="center"/>
          </w:tcPr>
          <w:p w14:paraId="2A48C546">
            <w:pPr>
              <w:pStyle w:val="278"/>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总硬度</w:t>
            </w:r>
          </w:p>
        </w:tc>
        <w:tc>
          <w:tcPr>
            <w:tcW w:w="1745" w:type="dxa"/>
            <w:vAlign w:val="center"/>
          </w:tcPr>
          <w:p w14:paraId="44C4CD38">
            <w:pPr>
              <w:pStyle w:val="278"/>
              <w:rPr>
                <w:rFonts w:hint="eastAsia"/>
                <w:color w:val="000000" w:themeColor="text1"/>
                <w14:textFill>
                  <w14:solidFill>
                    <w14:schemeClr w14:val="tx1"/>
                  </w14:solidFill>
                </w14:textFill>
              </w:rPr>
            </w:pPr>
            <w:r>
              <w:rPr>
                <w:rFonts w:hint="eastAsia" w:cs="宋体"/>
                <w:color w:val="000000" w:themeColor="text1"/>
                <w:lang w:val="zh-CN"/>
                <w14:textFill>
                  <w14:solidFill>
                    <w14:schemeClr w14:val="tx1"/>
                  </w14:solidFill>
                </w14:textFill>
              </w:rPr>
              <w:t>≤450</w:t>
            </w:r>
          </w:p>
        </w:tc>
        <w:tc>
          <w:tcPr>
            <w:tcW w:w="993" w:type="dxa"/>
            <w:vAlign w:val="center"/>
          </w:tcPr>
          <w:p w14:paraId="4D01BF6D">
            <w:pPr>
              <w:pStyle w:val="278"/>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color w:val="000000" w:themeColor="text1"/>
                <w14:textFill>
                  <w14:solidFill>
                    <w14:schemeClr w14:val="tx1"/>
                  </w14:solidFill>
                </w14:textFill>
              </w:rPr>
              <w:t>5</w:t>
            </w:r>
          </w:p>
        </w:tc>
        <w:tc>
          <w:tcPr>
            <w:tcW w:w="1545" w:type="dxa"/>
            <w:vAlign w:val="center"/>
          </w:tcPr>
          <w:p w14:paraId="57198985">
            <w:pPr>
              <w:pStyle w:val="278"/>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汞</w:t>
            </w:r>
          </w:p>
        </w:tc>
        <w:tc>
          <w:tcPr>
            <w:tcW w:w="1764" w:type="dxa"/>
            <w:vAlign w:val="center"/>
          </w:tcPr>
          <w:p w14:paraId="09BD93C1">
            <w:pPr>
              <w:pStyle w:val="278"/>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w:t>
            </w:r>
            <w:r>
              <w:rPr>
                <w:color w:val="000000" w:themeColor="text1"/>
                <w14:textFill>
                  <w14:solidFill>
                    <w14:schemeClr w14:val="tx1"/>
                  </w14:solidFill>
                </w14:textFill>
              </w:rPr>
              <w:t>0.001</w:t>
            </w:r>
          </w:p>
        </w:tc>
      </w:tr>
      <w:tr w14:paraId="4B7D98F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34" w:type="dxa"/>
            <w:vAlign w:val="center"/>
          </w:tcPr>
          <w:p w14:paraId="6DEB4FA8">
            <w:pPr>
              <w:pStyle w:val="278"/>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3</w:t>
            </w:r>
          </w:p>
        </w:tc>
        <w:tc>
          <w:tcPr>
            <w:tcW w:w="1965" w:type="dxa"/>
            <w:vAlign w:val="center"/>
          </w:tcPr>
          <w:p w14:paraId="775BCF39">
            <w:pPr>
              <w:pStyle w:val="278"/>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溶解性总固体</w:t>
            </w:r>
          </w:p>
        </w:tc>
        <w:tc>
          <w:tcPr>
            <w:tcW w:w="1745" w:type="dxa"/>
            <w:vAlign w:val="center"/>
          </w:tcPr>
          <w:p w14:paraId="1829ACD4">
            <w:pPr>
              <w:pStyle w:val="278"/>
              <w:rPr>
                <w:rFonts w:hint="eastAsia"/>
                <w:color w:val="000000" w:themeColor="text1"/>
                <w14:textFill>
                  <w14:solidFill>
                    <w14:schemeClr w14:val="tx1"/>
                  </w14:solidFill>
                </w14:textFill>
              </w:rPr>
            </w:pPr>
            <w:r>
              <w:rPr>
                <w:rFonts w:hint="eastAsia" w:cs="宋体"/>
                <w:color w:val="000000" w:themeColor="text1"/>
                <w:lang w:val="zh-CN"/>
                <w14:textFill>
                  <w14:solidFill>
                    <w14:schemeClr w14:val="tx1"/>
                  </w14:solidFill>
                </w14:textFill>
              </w:rPr>
              <w:t>≤1000</w:t>
            </w:r>
          </w:p>
        </w:tc>
        <w:tc>
          <w:tcPr>
            <w:tcW w:w="993" w:type="dxa"/>
            <w:vAlign w:val="center"/>
          </w:tcPr>
          <w:p w14:paraId="11D802E1">
            <w:pPr>
              <w:pStyle w:val="278"/>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color w:val="000000" w:themeColor="text1"/>
                <w14:textFill>
                  <w14:solidFill>
                    <w14:schemeClr w14:val="tx1"/>
                  </w14:solidFill>
                </w14:textFill>
              </w:rPr>
              <w:t>6</w:t>
            </w:r>
          </w:p>
        </w:tc>
        <w:tc>
          <w:tcPr>
            <w:tcW w:w="1545" w:type="dxa"/>
            <w:vAlign w:val="center"/>
          </w:tcPr>
          <w:p w14:paraId="26F33E9E">
            <w:pPr>
              <w:pStyle w:val="278"/>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铁</w:t>
            </w:r>
          </w:p>
        </w:tc>
        <w:tc>
          <w:tcPr>
            <w:tcW w:w="1764" w:type="dxa"/>
            <w:vAlign w:val="center"/>
          </w:tcPr>
          <w:p w14:paraId="5CB5F4CF">
            <w:pPr>
              <w:pStyle w:val="278"/>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w:t>
            </w:r>
            <w:r>
              <w:rPr>
                <w:color w:val="000000" w:themeColor="text1"/>
                <w14:textFill>
                  <w14:solidFill>
                    <w14:schemeClr w14:val="tx1"/>
                  </w14:solidFill>
                </w14:textFill>
              </w:rPr>
              <w:t>0.3</w:t>
            </w:r>
          </w:p>
        </w:tc>
      </w:tr>
      <w:tr w14:paraId="51E93DE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34" w:type="dxa"/>
            <w:vAlign w:val="center"/>
          </w:tcPr>
          <w:p w14:paraId="2C63226A">
            <w:pPr>
              <w:pStyle w:val="278"/>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4</w:t>
            </w:r>
          </w:p>
        </w:tc>
        <w:tc>
          <w:tcPr>
            <w:tcW w:w="1965" w:type="dxa"/>
            <w:vAlign w:val="center"/>
          </w:tcPr>
          <w:p w14:paraId="722C03B0">
            <w:pPr>
              <w:pStyle w:val="278"/>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挥发性酚类</w:t>
            </w:r>
          </w:p>
        </w:tc>
        <w:tc>
          <w:tcPr>
            <w:tcW w:w="1745" w:type="dxa"/>
            <w:vAlign w:val="center"/>
          </w:tcPr>
          <w:p w14:paraId="1D966635">
            <w:pPr>
              <w:pStyle w:val="278"/>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≤0</w:t>
            </w:r>
            <w:r>
              <w:rPr>
                <w:color w:val="000000" w:themeColor="text1"/>
                <w14:textFill>
                  <w14:solidFill>
                    <w14:schemeClr w14:val="tx1"/>
                  </w14:solidFill>
                </w14:textFill>
              </w:rPr>
              <w:t>.002</w:t>
            </w:r>
          </w:p>
        </w:tc>
        <w:tc>
          <w:tcPr>
            <w:tcW w:w="993" w:type="dxa"/>
            <w:vAlign w:val="center"/>
          </w:tcPr>
          <w:p w14:paraId="2DDBCF0E">
            <w:pPr>
              <w:pStyle w:val="278"/>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color w:val="000000" w:themeColor="text1"/>
                <w14:textFill>
                  <w14:solidFill>
                    <w14:schemeClr w14:val="tx1"/>
                  </w14:solidFill>
                </w14:textFill>
              </w:rPr>
              <w:t>7</w:t>
            </w:r>
          </w:p>
        </w:tc>
        <w:tc>
          <w:tcPr>
            <w:tcW w:w="1545" w:type="dxa"/>
            <w:vAlign w:val="center"/>
          </w:tcPr>
          <w:p w14:paraId="64A310B8">
            <w:pPr>
              <w:pStyle w:val="278"/>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砷</w:t>
            </w:r>
          </w:p>
        </w:tc>
        <w:tc>
          <w:tcPr>
            <w:tcW w:w="1764" w:type="dxa"/>
            <w:vAlign w:val="center"/>
          </w:tcPr>
          <w:p w14:paraId="5EC54B5E">
            <w:pPr>
              <w:pStyle w:val="278"/>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≤0</w:t>
            </w:r>
            <w:r>
              <w:rPr>
                <w:color w:val="000000" w:themeColor="text1"/>
                <w14:textFill>
                  <w14:solidFill>
                    <w14:schemeClr w14:val="tx1"/>
                  </w14:solidFill>
                </w14:textFill>
              </w:rPr>
              <w:t>.01</w:t>
            </w:r>
          </w:p>
        </w:tc>
      </w:tr>
      <w:tr w14:paraId="644086D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34" w:type="dxa"/>
            <w:vAlign w:val="center"/>
          </w:tcPr>
          <w:p w14:paraId="7BF877D8">
            <w:pPr>
              <w:pStyle w:val="278"/>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5</w:t>
            </w:r>
          </w:p>
        </w:tc>
        <w:tc>
          <w:tcPr>
            <w:tcW w:w="1965" w:type="dxa"/>
            <w:vAlign w:val="center"/>
          </w:tcPr>
          <w:p w14:paraId="061A8AC4">
            <w:pPr>
              <w:pStyle w:val="278"/>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氨氮</w:t>
            </w:r>
          </w:p>
        </w:tc>
        <w:tc>
          <w:tcPr>
            <w:tcW w:w="1745" w:type="dxa"/>
            <w:vAlign w:val="center"/>
          </w:tcPr>
          <w:p w14:paraId="434A26E4">
            <w:pPr>
              <w:pStyle w:val="278"/>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≤0</w:t>
            </w:r>
            <w:r>
              <w:rPr>
                <w:color w:val="000000" w:themeColor="text1"/>
                <w14:textFill>
                  <w14:solidFill>
                    <w14:schemeClr w14:val="tx1"/>
                  </w14:solidFill>
                </w14:textFill>
              </w:rPr>
              <w:t>.5</w:t>
            </w:r>
          </w:p>
        </w:tc>
        <w:tc>
          <w:tcPr>
            <w:tcW w:w="993" w:type="dxa"/>
            <w:vAlign w:val="center"/>
          </w:tcPr>
          <w:p w14:paraId="0EC2E0AF">
            <w:pPr>
              <w:pStyle w:val="278"/>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color w:val="000000" w:themeColor="text1"/>
                <w14:textFill>
                  <w14:solidFill>
                    <w14:schemeClr w14:val="tx1"/>
                  </w14:solidFill>
                </w14:textFill>
              </w:rPr>
              <w:t>8</w:t>
            </w:r>
          </w:p>
        </w:tc>
        <w:tc>
          <w:tcPr>
            <w:tcW w:w="1545" w:type="dxa"/>
            <w:vAlign w:val="center"/>
          </w:tcPr>
          <w:p w14:paraId="6532439B">
            <w:pPr>
              <w:pStyle w:val="278"/>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耗氧量</w:t>
            </w:r>
          </w:p>
        </w:tc>
        <w:tc>
          <w:tcPr>
            <w:tcW w:w="1764" w:type="dxa"/>
            <w:vAlign w:val="center"/>
          </w:tcPr>
          <w:p w14:paraId="54588DB0">
            <w:pPr>
              <w:pStyle w:val="278"/>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w:t>
            </w:r>
            <w:r>
              <w:rPr>
                <w:color w:val="000000" w:themeColor="text1"/>
                <w14:textFill>
                  <w14:solidFill>
                    <w14:schemeClr w14:val="tx1"/>
                  </w14:solidFill>
                </w14:textFill>
              </w:rPr>
              <w:t>3</w:t>
            </w:r>
          </w:p>
        </w:tc>
      </w:tr>
      <w:tr w14:paraId="4D8E081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34" w:type="dxa"/>
            <w:vAlign w:val="center"/>
          </w:tcPr>
          <w:p w14:paraId="1A826B4F">
            <w:pPr>
              <w:pStyle w:val="278"/>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6</w:t>
            </w:r>
          </w:p>
        </w:tc>
        <w:tc>
          <w:tcPr>
            <w:tcW w:w="1965" w:type="dxa"/>
            <w:vAlign w:val="center"/>
          </w:tcPr>
          <w:p w14:paraId="185B70D2">
            <w:pPr>
              <w:pStyle w:val="278"/>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氰化物</w:t>
            </w:r>
          </w:p>
        </w:tc>
        <w:tc>
          <w:tcPr>
            <w:tcW w:w="1745" w:type="dxa"/>
            <w:vAlign w:val="center"/>
          </w:tcPr>
          <w:p w14:paraId="0703E7D5">
            <w:pPr>
              <w:pStyle w:val="278"/>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≤0</w:t>
            </w:r>
            <w:r>
              <w:rPr>
                <w:color w:val="000000" w:themeColor="text1"/>
                <w14:textFill>
                  <w14:solidFill>
                    <w14:schemeClr w14:val="tx1"/>
                  </w14:solidFill>
                </w14:textFill>
              </w:rPr>
              <w:t>.05</w:t>
            </w:r>
          </w:p>
        </w:tc>
        <w:tc>
          <w:tcPr>
            <w:tcW w:w="993" w:type="dxa"/>
            <w:vAlign w:val="center"/>
          </w:tcPr>
          <w:p w14:paraId="3BE18B0E">
            <w:pPr>
              <w:pStyle w:val="278"/>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color w:val="000000" w:themeColor="text1"/>
                <w14:textFill>
                  <w14:solidFill>
                    <w14:schemeClr w14:val="tx1"/>
                  </w14:solidFill>
                </w14:textFill>
              </w:rPr>
              <w:t>9</w:t>
            </w:r>
          </w:p>
        </w:tc>
        <w:tc>
          <w:tcPr>
            <w:tcW w:w="1545" w:type="dxa"/>
            <w:vAlign w:val="center"/>
          </w:tcPr>
          <w:p w14:paraId="56A06629">
            <w:pPr>
              <w:pStyle w:val="278"/>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铅</w:t>
            </w:r>
          </w:p>
        </w:tc>
        <w:tc>
          <w:tcPr>
            <w:tcW w:w="1764" w:type="dxa"/>
            <w:vAlign w:val="center"/>
          </w:tcPr>
          <w:p w14:paraId="627C1712">
            <w:pPr>
              <w:pStyle w:val="278"/>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≤0</w:t>
            </w:r>
            <w:r>
              <w:rPr>
                <w:color w:val="000000" w:themeColor="text1"/>
                <w14:textFill>
                  <w14:solidFill>
                    <w14:schemeClr w14:val="tx1"/>
                  </w14:solidFill>
                </w14:textFill>
              </w:rPr>
              <w:t>.20</w:t>
            </w:r>
          </w:p>
        </w:tc>
      </w:tr>
      <w:tr w14:paraId="5C3D46C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34" w:type="dxa"/>
            <w:vAlign w:val="center"/>
          </w:tcPr>
          <w:p w14:paraId="5CDA6D65">
            <w:pPr>
              <w:pStyle w:val="278"/>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7</w:t>
            </w:r>
          </w:p>
        </w:tc>
        <w:tc>
          <w:tcPr>
            <w:tcW w:w="1965" w:type="dxa"/>
            <w:vAlign w:val="center"/>
          </w:tcPr>
          <w:p w14:paraId="42A39741">
            <w:pPr>
              <w:pStyle w:val="278"/>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石油类</w:t>
            </w:r>
          </w:p>
        </w:tc>
        <w:tc>
          <w:tcPr>
            <w:tcW w:w="1745" w:type="dxa"/>
            <w:vAlign w:val="center"/>
          </w:tcPr>
          <w:p w14:paraId="18EE711B">
            <w:pPr>
              <w:pStyle w:val="278"/>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≤0</w:t>
            </w:r>
            <w:r>
              <w:rPr>
                <w:color w:val="000000" w:themeColor="text1"/>
                <w14:textFill>
                  <w14:solidFill>
                    <w14:schemeClr w14:val="tx1"/>
                  </w14:solidFill>
                </w14:textFill>
              </w:rPr>
              <w:t>.05</w:t>
            </w:r>
          </w:p>
        </w:tc>
        <w:tc>
          <w:tcPr>
            <w:tcW w:w="993" w:type="dxa"/>
            <w:vAlign w:val="center"/>
          </w:tcPr>
          <w:p w14:paraId="0E75E025">
            <w:pPr>
              <w:pStyle w:val="278"/>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2</w:t>
            </w:r>
            <w:r>
              <w:rPr>
                <w:color w:val="000000" w:themeColor="text1"/>
                <w14:textFill>
                  <w14:solidFill>
                    <w14:schemeClr w14:val="tx1"/>
                  </w14:solidFill>
                </w14:textFill>
              </w:rPr>
              <w:t>0</w:t>
            </w:r>
          </w:p>
        </w:tc>
        <w:tc>
          <w:tcPr>
            <w:tcW w:w="1545" w:type="dxa"/>
            <w:vAlign w:val="center"/>
          </w:tcPr>
          <w:p w14:paraId="5B249BEB">
            <w:pPr>
              <w:pStyle w:val="278"/>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镉</w:t>
            </w:r>
          </w:p>
        </w:tc>
        <w:tc>
          <w:tcPr>
            <w:tcW w:w="1764" w:type="dxa"/>
            <w:vAlign w:val="center"/>
          </w:tcPr>
          <w:p w14:paraId="267E7438">
            <w:pPr>
              <w:pStyle w:val="278"/>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w:t>
            </w:r>
            <w:r>
              <w:rPr>
                <w:color w:val="000000" w:themeColor="text1"/>
                <w14:textFill>
                  <w14:solidFill>
                    <w14:schemeClr w14:val="tx1"/>
                  </w14:solidFill>
                </w14:textFill>
              </w:rPr>
              <w:t>0.005</w:t>
            </w:r>
          </w:p>
        </w:tc>
      </w:tr>
      <w:tr w14:paraId="2DD1DAA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34" w:type="dxa"/>
            <w:vAlign w:val="center"/>
          </w:tcPr>
          <w:p w14:paraId="35D06615">
            <w:pPr>
              <w:pStyle w:val="278"/>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8</w:t>
            </w:r>
          </w:p>
        </w:tc>
        <w:tc>
          <w:tcPr>
            <w:tcW w:w="1965" w:type="dxa"/>
            <w:vAlign w:val="center"/>
          </w:tcPr>
          <w:p w14:paraId="16E8F2CC">
            <w:pPr>
              <w:pStyle w:val="278"/>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氟化物</w:t>
            </w:r>
          </w:p>
        </w:tc>
        <w:tc>
          <w:tcPr>
            <w:tcW w:w="1745" w:type="dxa"/>
            <w:vAlign w:val="center"/>
          </w:tcPr>
          <w:p w14:paraId="01B7344F">
            <w:pPr>
              <w:pStyle w:val="278"/>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color w:val="000000" w:themeColor="text1"/>
                <w14:textFill>
                  <w14:solidFill>
                    <w14:schemeClr w14:val="tx1"/>
                  </w14:solidFill>
                </w14:textFill>
              </w:rPr>
              <w:t>.0</w:t>
            </w:r>
          </w:p>
        </w:tc>
        <w:tc>
          <w:tcPr>
            <w:tcW w:w="993" w:type="dxa"/>
            <w:vAlign w:val="center"/>
          </w:tcPr>
          <w:p w14:paraId="6C5E7704">
            <w:pPr>
              <w:pStyle w:val="278"/>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2</w:t>
            </w:r>
            <w:r>
              <w:rPr>
                <w:color w:val="000000" w:themeColor="text1"/>
                <w14:textFill>
                  <w14:solidFill>
                    <w14:schemeClr w14:val="tx1"/>
                  </w14:solidFill>
                </w14:textFill>
              </w:rPr>
              <w:t>1</w:t>
            </w:r>
          </w:p>
        </w:tc>
        <w:tc>
          <w:tcPr>
            <w:tcW w:w="1545" w:type="dxa"/>
            <w:vAlign w:val="center"/>
          </w:tcPr>
          <w:p w14:paraId="7F08B6C2">
            <w:pPr>
              <w:pStyle w:val="278"/>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镍</w:t>
            </w:r>
          </w:p>
        </w:tc>
        <w:tc>
          <w:tcPr>
            <w:tcW w:w="1764" w:type="dxa"/>
            <w:vAlign w:val="center"/>
          </w:tcPr>
          <w:p w14:paraId="0C582D63">
            <w:pPr>
              <w:pStyle w:val="278"/>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w:t>
            </w:r>
            <w:r>
              <w:rPr>
                <w:color w:val="000000" w:themeColor="text1"/>
                <w14:textFill>
                  <w14:solidFill>
                    <w14:schemeClr w14:val="tx1"/>
                  </w14:solidFill>
                </w14:textFill>
              </w:rPr>
              <w:t>0.02</w:t>
            </w:r>
          </w:p>
        </w:tc>
      </w:tr>
      <w:tr w14:paraId="342A5FA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34" w:type="dxa"/>
            <w:vAlign w:val="center"/>
          </w:tcPr>
          <w:p w14:paraId="66BDE82C">
            <w:pPr>
              <w:pStyle w:val="278"/>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9</w:t>
            </w:r>
          </w:p>
        </w:tc>
        <w:tc>
          <w:tcPr>
            <w:tcW w:w="1965" w:type="dxa"/>
            <w:vAlign w:val="center"/>
          </w:tcPr>
          <w:p w14:paraId="1E80BFF8">
            <w:pPr>
              <w:pStyle w:val="278"/>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氯化物</w:t>
            </w:r>
          </w:p>
        </w:tc>
        <w:tc>
          <w:tcPr>
            <w:tcW w:w="1745" w:type="dxa"/>
            <w:vAlign w:val="center"/>
          </w:tcPr>
          <w:p w14:paraId="4C515AB8">
            <w:pPr>
              <w:pStyle w:val="278"/>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≤2</w:t>
            </w:r>
            <w:r>
              <w:rPr>
                <w:color w:val="000000" w:themeColor="text1"/>
                <w14:textFill>
                  <w14:solidFill>
                    <w14:schemeClr w14:val="tx1"/>
                  </w14:solidFill>
                </w14:textFill>
              </w:rPr>
              <w:t>50</w:t>
            </w:r>
          </w:p>
        </w:tc>
        <w:tc>
          <w:tcPr>
            <w:tcW w:w="993" w:type="dxa"/>
            <w:vAlign w:val="center"/>
          </w:tcPr>
          <w:p w14:paraId="68122593">
            <w:pPr>
              <w:pStyle w:val="278"/>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2</w:t>
            </w:r>
            <w:r>
              <w:rPr>
                <w:color w:val="000000" w:themeColor="text1"/>
                <w14:textFill>
                  <w14:solidFill>
                    <w14:schemeClr w14:val="tx1"/>
                  </w14:solidFill>
                </w14:textFill>
              </w:rPr>
              <w:t>2</w:t>
            </w:r>
          </w:p>
        </w:tc>
        <w:tc>
          <w:tcPr>
            <w:tcW w:w="1545" w:type="dxa"/>
            <w:vAlign w:val="center"/>
          </w:tcPr>
          <w:p w14:paraId="1B38655A">
            <w:pPr>
              <w:pStyle w:val="278"/>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苯，μg</w:t>
            </w:r>
            <w:r>
              <w:rPr>
                <w:color w:val="000000" w:themeColor="text1"/>
                <w14:textFill>
                  <w14:solidFill>
                    <w14:schemeClr w14:val="tx1"/>
                  </w14:solidFill>
                </w14:textFill>
              </w:rPr>
              <w:t>/L</w:t>
            </w:r>
          </w:p>
        </w:tc>
        <w:tc>
          <w:tcPr>
            <w:tcW w:w="1764" w:type="dxa"/>
            <w:vAlign w:val="center"/>
          </w:tcPr>
          <w:p w14:paraId="5D94E537">
            <w:pPr>
              <w:pStyle w:val="278"/>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w:t>
            </w:r>
            <w:r>
              <w:rPr>
                <w:color w:val="000000" w:themeColor="text1"/>
                <w14:textFill>
                  <w14:solidFill>
                    <w14:schemeClr w14:val="tx1"/>
                  </w14:solidFill>
                </w14:textFill>
              </w:rPr>
              <w:t>10.0</w:t>
            </w:r>
          </w:p>
        </w:tc>
      </w:tr>
      <w:tr w14:paraId="268DFA2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34" w:type="dxa"/>
            <w:vAlign w:val="center"/>
          </w:tcPr>
          <w:p w14:paraId="58A52A84">
            <w:pPr>
              <w:pStyle w:val="278"/>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color w:val="000000" w:themeColor="text1"/>
                <w14:textFill>
                  <w14:solidFill>
                    <w14:schemeClr w14:val="tx1"/>
                  </w14:solidFill>
                </w14:textFill>
              </w:rPr>
              <w:t>0</w:t>
            </w:r>
          </w:p>
        </w:tc>
        <w:tc>
          <w:tcPr>
            <w:tcW w:w="1965" w:type="dxa"/>
            <w:vAlign w:val="center"/>
          </w:tcPr>
          <w:p w14:paraId="535CEC68">
            <w:pPr>
              <w:pStyle w:val="278"/>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硫酸盐</w:t>
            </w:r>
          </w:p>
        </w:tc>
        <w:tc>
          <w:tcPr>
            <w:tcW w:w="1745" w:type="dxa"/>
            <w:vAlign w:val="center"/>
          </w:tcPr>
          <w:p w14:paraId="2EE6458C">
            <w:pPr>
              <w:pStyle w:val="278"/>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≤2</w:t>
            </w:r>
            <w:r>
              <w:rPr>
                <w:color w:val="000000" w:themeColor="text1"/>
                <w14:textFill>
                  <w14:solidFill>
                    <w14:schemeClr w14:val="tx1"/>
                  </w14:solidFill>
                </w14:textFill>
              </w:rPr>
              <w:t>50</w:t>
            </w:r>
          </w:p>
        </w:tc>
        <w:tc>
          <w:tcPr>
            <w:tcW w:w="993" w:type="dxa"/>
            <w:vAlign w:val="center"/>
          </w:tcPr>
          <w:p w14:paraId="5306D7B0">
            <w:pPr>
              <w:pStyle w:val="278"/>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2</w:t>
            </w:r>
            <w:r>
              <w:rPr>
                <w:color w:val="000000" w:themeColor="text1"/>
                <w14:textFill>
                  <w14:solidFill>
                    <w14:schemeClr w14:val="tx1"/>
                  </w14:solidFill>
                </w14:textFill>
              </w:rPr>
              <w:t>3</w:t>
            </w:r>
          </w:p>
        </w:tc>
        <w:tc>
          <w:tcPr>
            <w:tcW w:w="1545" w:type="dxa"/>
            <w:vAlign w:val="center"/>
          </w:tcPr>
          <w:p w14:paraId="488D4DE2">
            <w:pPr>
              <w:pStyle w:val="278"/>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K</w:t>
            </w:r>
            <w:r>
              <w:rPr>
                <w:color w:val="000000" w:themeColor="text1"/>
                <w:vertAlign w:val="superscript"/>
                <w14:textFill>
                  <w14:solidFill>
                    <w14:schemeClr w14:val="tx1"/>
                  </w14:solidFill>
                </w14:textFill>
              </w:rPr>
              <w:t>+</w:t>
            </w:r>
          </w:p>
        </w:tc>
        <w:tc>
          <w:tcPr>
            <w:tcW w:w="1764" w:type="dxa"/>
            <w:vAlign w:val="center"/>
          </w:tcPr>
          <w:p w14:paraId="6FF1B3DC">
            <w:pPr>
              <w:pStyle w:val="278"/>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w:t>
            </w:r>
          </w:p>
        </w:tc>
      </w:tr>
      <w:tr w14:paraId="29AD363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34" w:type="dxa"/>
            <w:vAlign w:val="center"/>
          </w:tcPr>
          <w:p w14:paraId="2FC388E9">
            <w:pPr>
              <w:pStyle w:val="278"/>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color w:val="000000" w:themeColor="text1"/>
                <w14:textFill>
                  <w14:solidFill>
                    <w14:schemeClr w14:val="tx1"/>
                  </w14:solidFill>
                </w14:textFill>
              </w:rPr>
              <w:t>1</w:t>
            </w:r>
          </w:p>
        </w:tc>
        <w:tc>
          <w:tcPr>
            <w:tcW w:w="1965" w:type="dxa"/>
            <w:vAlign w:val="center"/>
          </w:tcPr>
          <w:p w14:paraId="7B681015">
            <w:pPr>
              <w:pStyle w:val="278"/>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硝酸盐</w:t>
            </w:r>
          </w:p>
        </w:tc>
        <w:tc>
          <w:tcPr>
            <w:tcW w:w="1745" w:type="dxa"/>
            <w:vAlign w:val="center"/>
          </w:tcPr>
          <w:p w14:paraId="623DF3BB">
            <w:pPr>
              <w:pStyle w:val="278"/>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≤2</w:t>
            </w:r>
            <w:r>
              <w:rPr>
                <w:color w:val="000000" w:themeColor="text1"/>
                <w14:textFill>
                  <w14:solidFill>
                    <w14:schemeClr w14:val="tx1"/>
                  </w14:solidFill>
                </w14:textFill>
              </w:rPr>
              <w:t>0</w:t>
            </w:r>
          </w:p>
        </w:tc>
        <w:tc>
          <w:tcPr>
            <w:tcW w:w="993" w:type="dxa"/>
            <w:vAlign w:val="center"/>
          </w:tcPr>
          <w:p w14:paraId="7DBC41BE">
            <w:pPr>
              <w:pStyle w:val="278"/>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2</w:t>
            </w:r>
            <w:r>
              <w:rPr>
                <w:color w:val="000000" w:themeColor="text1"/>
                <w14:textFill>
                  <w14:solidFill>
                    <w14:schemeClr w14:val="tx1"/>
                  </w14:solidFill>
                </w14:textFill>
              </w:rPr>
              <w:t>4</w:t>
            </w:r>
          </w:p>
        </w:tc>
        <w:tc>
          <w:tcPr>
            <w:tcW w:w="1545" w:type="dxa"/>
            <w:vAlign w:val="center"/>
          </w:tcPr>
          <w:p w14:paraId="3A331D0B">
            <w:pPr>
              <w:pStyle w:val="278"/>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Na</w:t>
            </w:r>
            <w:r>
              <w:rPr>
                <w:color w:val="000000" w:themeColor="text1"/>
                <w:vertAlign w:val="superscript"/>
                <w14:textFill>
                  <w14:solidFill>
                    <w14:schemeClr w14:val="tx1"/>
                  </w14:solidFill>
                </w14:textFill>
              </w:rPr>
              <w:t>+</w:t>
            </w:r>
          </w:p>
        </w:tc>
        <w:tc>
          <w:tcPr>
            <w:tcW w:w="1764" w:type="dxa"/>
            <w:vAlign w:val="center"/>
          </w:tcPr>
          <w:p w14:paraId="55EE151F">
            <w:pPr>
              <w:pStyle w:val="278"/>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≤2</w:t>
            </w:r>
            <w:r>
              <w:rPr>
                <w:color w:val="000000" w:themeColor="text1"/>
                <w14:textFill>
                  <w14:solidFill>
                    <w14:schemeClr w14:val="tx1"/>
                  </w14:solidFill>
                </w14:textFill>
              </w:rPr>
              <w:t>00</w:t>
            </w:r>
          </w:p>
        </w:tc>
      </w:tr>
      <w:tr w14:paraId="681EF9C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34" w:type="dxa"/>
            <w:vAlign w:val="center"/>
          </w:tcPr>
          <w:p w14:paraId="750550F7">
            <w:pPr>
              <w:pStyle w:val="278"/>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color w:val="000000" w:themeColor="text1"/>
                <w14:textFill>
                  <w14:solidFill>
                    <w14:schemeClr w14:val="tx1"/>
                  </w14:solidFill>
                </w14:textFill>
              </w:rPr>
              <w:t>2</w:t>
            </w:r>
          </w:p>
        </w:tc>
        <w:tc>
          <w:tcPr>
            <w:tcW w:w="1965" w:type="dxa"/>
            <w:vAlign w:val="center"/>
          </w:tcPr>
          <w:p w14:paraId="67FFF908">
            <w:pPr>
              <w:pStyle w:val="278"/>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亚硝酸盐</w:t>
            </w:r>
          </w:p>
        </w:tc>
        <w:tc>
          <w:tcPr>
            <w:tcW w:w="1745" w:type="dxa"/>
            <w:vAlign w:val="center"/>
          </w:tcPr>
          <w:p w14:paraId="620197EC">
            <w:pPr>
              <w:pStyle w:val="278"/>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≤1</w:t>
            </w:r>
          </w:p>
        </w:tc>
        <w:tc>
          <w:tcPr>
            <w:tcW w:w="993" w:type="dxa"/>
            <w:vAlign w:val="center"/>
          </w:tcPr>
          <w:p w14:paraId="722E27C6">
            <w:pPr>
              <w:pStyle w:val="278"/>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2</w:t>
            </w:r>
            <w:r>
              <w:rPr>
                <w:color w:val="000000" w:themeColor="text1"/>
                <w14:textFill>
                  <w14:solidFill>
                    <w14:schemeClr w14:val="tx1"/>
                  </w14:solidFill>
                </w14:textFill>
              </w:rPr>
              <w:t>5</w:t>
            </w:r>
          </w:p>
        </w:tc>
        <w:tc>
          <w:tcPr>
            <w:tcW w:w="1545" w:type="dxa"/>
            <w:vAlign w:val="center"/>
          </w:tcPr>
          <w:p w14:paraId="6FB8DE79">
            <w:pPr>
              <w:pStyle w:val="278"/>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C</w:t>
            </w:r>
            <w:r>
              <w:rPr>
                <w:color w:val="000000" w:themeColor="text1"/>
                <w14:textFill>
                  <w14:solidFill>
                    <w14:schemeClr w14:val="tx1"/>
                  </w14:solidFill>
                </w14:textFill>
              </w:rPr>
              <w:t>a</w:t>
            </w:r>
            <w:r>
              <w:rPr>
                <w:color w:val="000000" w:themeColor="text1"/>
                <w:vertAlign w:val="superscript"/>
                <w14:textFill>
                  <w14:solidFill>
                    <w14:schemeClr w14:val="tx1"/>
                  </w14:solidFill>
                </w14:textFill>
              </w:rPr>
              <w:t>2+</w:t>
            </w:r>
          </w:p>
        </w:tc>
        <w:tc>
          <w:tcPr>
            <w:tcW w:w="1764" w:type="dxa"/>
            <w:vAlign w:val="center"/>
          </w:tcPr>
          <w:p w14:paraId="223BB86D">
            <w:pPr>
              <w:pStyle w:val="278"/>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w:t>
            </w:r>
          </w:p>
        </w:tc>
      </w:tr>
      <w:tr w14:paraId="42A2699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34" w:type="dxa"/>
            <w:vAlign w:val="center"/>
          </w:tcPr>
          <w:p w14:paraId="0761FCE7">
            <w:pPr>
              <w:pStyle w:val="278"/>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color w:val="000000" w:themeColor="text1"/>
                <w14:textFill>
                  <w14:solidFill>
                    <w14:schemeClr w14:val="tx1"/>
                  </w14:solidFill>
                </w14:textFill>
              </w:rPr>
              <w:t>3</w:t>
            </w:r>
          </w:p>
        </w:tc>
        <w:tc>
          <w:tcPr>
            <w:tcW w:w="1965" w:type="dxa"/>
            <w:vAlign w:val="center"/>
          </w:tcPr>
          <w:p w14:paraId="552FCBB6">
            <w:pPr>
              <w:pStyle w:val="278"/>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总大肠菌群，N</w:t>
            </w:r>
            <w:r>
              <w:rPr>
                <w:color w:val="000000" w:themeColor="text1"/>
                <w14:textFill>
                  <w14:solidFill>
                    <w14:schemeClr w14:val="tx1"/>
                  </w14:solidFill>
                </w14:textFill>
              </w:rPr>
              <w:t>/100</w:t>
            </w:r>
            <w:r>
              <w:rPr>
                <w:rFonts w:hint="eastAsia"/>
                <w:color w:val="000000" w:themeColor="text1"/>
                <w14:textFill>
                  <w14:solidFill>
                    <w14:schemeClr w14:val="tx1"/>
                  </w14:solidFill>
                </w14:textFill>
              </w:rPr>
              <w:t>m</w:t>
            </w:r>
            <w:r>
              <w:rPr>
                <w:color w:val="000000" w:themeColor="text1"/>
                <w14:textFill>
                  <w14:solidFill>
                    <w14:schemeClr w14:val="tx1"/>
                  </w14:solidFill>
                </w14:textFill>
              </w:rPr>
              <w:t>L</w:t>
            </w:r>
          </w:p>
        </w:tc>
        <w:tc>
          <w:tcPr>
            <w:tcW w:w="1745" w:type="dxa"/>
            <w:vAlign w:val="center"/>
          </w:tcPr>
          <w:p w14:paraId="25A6DBE3">
            <w:pPr>
              <w:pStyle w:val="278"/>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≤3</w:t>
            </w:r>
            <w:r>
              <w:rPr>
                <w:color w:val="000000" w:themeColor="text1"/>
                <w14:textFill>
                  <w14:solidFill>
                    <w14:schemeClr w14:val="tx1"/>
                  </w14:solidFill>
                </w14:textFill>
              </w:rPr>
              <w:t>.0</w:t>
            </w:r>
          </w:p>
        </w:tc>
        <w:tc>
          <w:tcPr>
            <w:tcW w:w="993" w:type="dxa"/>
            <w:vAlign w:val="center"/>
          </w:tcPr>
          <w:p w14:paraId="0D4E53FB">
            <w:pPr>
              <w:pStyle w:val="278"/>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2</w:t>
            </w:r>
            <w:r>
              <w:rPr>
                <w:color w:val="000000" w:themeColor="text1"/>
                <w14:textFill>
                  <w14:solidFill>
                    <w14:schemeClr w14:val="tx1"/>
                  </w14:solidFill>
                </w14:textFill>
              </w:rPr>
              <w:t>6</w:t>
            </w:r>
          </w:p>
        </w:tc>
        <w:tc>
          <w:tcPr>
            <w:tcW w:w="1545" w:type="dxa"/>
            <w:vAlign w:val="center"/>
          </w:tcPr>
          <w:p w14:paraId="10F886B9">
            <w:pPr>
              <w:pStyle w:val="278"/>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M</w:t>
            </w:r>
            <w:r>
              <w:rPr>
                <w:color w:val="000000" w:themeColor="text1"/>
                <w14:textFill>
                  <w14:solidFill>
                    <w14:schemeClr w14:val="tx1"/>
                  </w14:solidFill>
                </w14:textFill>
              </w:rPr>
              <w:t>g</w:t>
            </w:r>
            <w:r>
              <w:rPr>
                <w:color w:val="000000" w:themeColor="text1"/>
                <w:vertAlign w:val="superscript"/>
                <w14:textFill>
                  <w14:solidFill>
                    <w14:schemeClr w14:val="tx1"/>
                  </w14:solidFill>
                </w14:textFill>
              </w:rPr>
              <w:t>2+</w:t>
            </w:r>
          </w:p>
        </w:tc>
        <w:tc>
          <w:tcPr>
            <w:tcW w:w="1764" w:type="dxa"/>
            <w:vAlign w:val="center"/>
          </w:tcPr>
          <w:p w14:paraId="29552613">
            <w:pPr>
              <w:pStyle w:val="278"/>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w:t>
            </w:r>
          </w:p>
        </w:tc>
      </w:tr>
    </w:tbl>
    <w:p w14:paraId="6BB992A8">
      <w:pPr>
        <w:pStyle w:val="117"/>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③</w:t>
      </w:r>
      <w:r>
        <w:rPr>
          <w:color w:val="000000" w:themeColor="text1"/>
          <w14:textFill>
            <w14:solidFill>
              <w14:schemeClr w14:val="tx1"/>
            </w14:solidFill>
          </w14:textFill>
        </w:rPr>
        <w:t>声环境</w:t>
      </w:r>
    </w:p>
    <w:p w14:paraId="493C17D7">
      <w:pPr>
        <w:pStyle w:val="117"/>
        <w:ind w:firstLine="480"/>
        <w:rPr>
          <w:rFonts w:hint="eastAsia"/>
          <w:color w:val="000000" w:themeColor="text1"/>
          <w:kern w:val="0"/>
          <w14:textFill>
            <w14:solidFill>
              <w14:schemeClr w14:val="tx1"/>
            </w14:solidFill>
          </w14:textFill>
        </w:rPr>
      </w:pPr>
      <w:r>
        <w:rPr>
          <w:rFonts w:hint="eastAsia"/>
          <w:color w:val="000000" w:themeColor="text1"/>
          <w:kern w:val="0"/>
          <w14:textFill>
            <w14:solidFill>
              <w14:schemeClr w14:val="tx1"/>
            </w14:solidFill>
          </w14:textFill>
        </w:rPr>
        <w:t>声环境质量</w:t>
      </w:r>
      <w:r>
        <w:rPr>
          <w:color w:val="000000" w:themeColor="text1"/>
          <w:kern w:val="0"/>
          <w14:textFill>
            <w14:solidFill>
              <w14:schemeClr w14:val="tx1"/>
            </w14:solidFill>
          </w14:textFill>
        </w:rPr>
        <w:t>执行《声环境质量标准》（GB3096-2008）2类</w:t>
      </w:r>
      <w:r>
        <w:rPr>
          <w:rFonts w:hint="eastAsia"/>
          <w:color w:val="000000" w:themeColor="text1"/>
          <w:kern w:val="0"/>
          <w14:textFill>
            <w14:solidFill>
              <w14:schemeClr w14:val="tx1"/>
            </w14:solidFill>
          </w14:textFill>
        </w:rPr>
        <w:t>区</w:t>
      </w:r>
      <w:r>
        <w:rPr>
          <w:color w:val="000000" w:themeColor="text1"/>
          <w:kern w:val="0"/>
          <w14:textFill>
            <w14:solidFill>
              <w14:schemeClr w14:val="tx1"/>
            </w14:solidFill>
          </w14:textFill>
        </w:rPr>
        <w:t>限值，见</w:t>
      </w:r>
      <w:r>
        <w:rPr>
          <w:rFonts w:hint="eastAsia"/>
          <w:color w:val="000000" w:themeColor="text1"/>
          <w14:textFill>
            <w14:solidFill>
              <w14:schemeClr w14:val="tx1"/>
            </w14:solidFill>
          </w14:textFill>
        </w:rPr>
        <w:t>表</w:t>
      </w:r>
      <w:r>
        <w:rPr>
          <w:color w:val="000000" w:themeColor="text1"/>
          <w14:textFill>
            <w14:solidFill>
              <w14:schemeClr w14:val="tx1"/>
            </w14:solidFill>
          </w14:textFill>
        </w:rPr>
        <w:t>2.5</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4</w:t>
      </w:r>
      <w:r>
        <w:rPr>
          <w:rFonts w:hint="eastAsia"/>
          <w:color w:val="000000" w:themeColor="text1"/>
          <w:kern w:val="0"/>
          <w14:textFill>
            <w14:solidFill>
              <w14:schemeClr w14:val="tx1"/>
            </w14:solidFill>
          </w14:textFill>
        </w:rPr>
        <w:t>。</w:t>
      </w:r>
    </w:p>
    <w:p w14:paraId="216B60A9">
      <w:pPr>
        <w:pStyle w:val="109"/>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表</w:t>
      </w:r>
      <w:r>
        <w:rPr>
          <w:color w:val="000000" w:themeColor="text1"/>
          <w14:textFill>
            <w14:solidFill>
              <w14:schemeClr w14:val="tx1"/>
            </w14:solidFill>
          </w14:textFill>
        </w:rPr>
        <w:t>2.5</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4</w:t>
      </w:r>
      <w:r>
        <w:rPr>
          <w:rFonts w:hint="eastAsia"/>
          <w:color w:val="000000" w:themeColor="text1"/>
          <w14:textFill>
            <w14:solidFill>
              <w14:schemeClr w14:val="tx1"/>
            </w14:solidFill>
          </w14:textFill>
        </w:rPr>
        <w:t xml:space="preserve">  </w:t>
      </w:r>
      <w:r>
        <w:rPr>
          <w:color w:val="000000" w:themeColor="text1"/>
          <w14:textFill>
            <w14:solidFill>
              <w14:schemeClr w14:val="tx1"/>
            </w14:solidFill>
          </w14:textFill>
        </w:rPr>
        <w:t>声环境质量</w:t>
      </w:r>
      <w:r>
        <w:rPr>
          <w:rFonts w:hint="eastAsia"/>
          <w:color w:val="000000" w:themeColor="text1"/>
          <w14:textFill>
            <w14:solidFill>
              <w14:schemeClr w14:val="tx1"/>
            </w14:solidFill>
          </w14:textFill>
        </w:rPr>
        <w:t>评价</w:t>
      </w:r>
      <w:r>
        <w:rPr>
          <w:color w:val="000000" w:themeColor="text1"/>
          <w14:textFill>
            <w14:solidFill>
              <w14:schemeClr w14:val="tx1"/>
            </w14:solidFill>
          </w14:textFill>
        </w:rPr>
        <w:t>标准</w:t>
      </w:r>
      <w:r>
        <w:rPr>
          <w:rFonts w:hint="eastAsia"/>
          <w:color w:val="000000" w:themeColor="text1"/>
          <w14:textFill>
            <w14:solidFill>
              <w14:schemeClr w14:val="tx1"/>
            </w14:solidFill>
          </w14:textFill>
        </w:rPr>
        <w:t>一览表</w:t>
      </w:r>
    </w:p>
    <w:tbl>
      <w:tblPr>
        <w:tblStyle w:val="51"/>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2140"/>
        <w:gridCol w:w="2128"/>
        <w:gridCol w:w="2149"/>
        <w:gridCol w:w="2369"/>
      </w:tblGrid>
      <w:tr w14:paraId="2A13A5C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140" w:type="dxa"/>
            <w:vMerge w:val="restart"/>
            <w:vAlign w:val="center"/>
          </w:tcPr>
          <w:p w14:paraId="2F67E6CC">
            <w:pPr>
              <w:pStyle w:val="286"/>
              <w:adjustRightInd w:val="0"/>
              <w:snapToGrid w:val="0"/>
              <w:spacing w:line="300" w:lineRule="exact"/>
              <w:rPr>
                <w:rFonts w:hint="eastAsia" w:cs="宋体"/>
                <w:color w:val="000000" w:themeColor="text1"/>
                <w:sz w:val="21"/>
                <w14:textFill>
                  <w14:solidFill>
                    <w14:schemeClr w14:val="tx1"/>
                  </w14:solidFill>
                </w14:textFill>
              </w:rPr>
            </w:pPr>
            <w:r>
              <w:rPr>
                <w:rFonts w:hint="eastAsia" w:cs="宋体"/>
                <w:color w:val="000000" w:themeColor="text1"/>
                <w:sz w:val="21"/>
                <w14:textFill>
                  <w14:solidFill>
                    <w14:schemeClr w14:val="tx1"/>
                  </w14:solidFill>
                </w14:textFill>
              </w:rPr>
              <w:t>评价因子</w:t>
            </w:r>
          </w:p>
        </w:tc>
        <w:tc>
          <w:tcPr>
            <w:tcW w:w="4277" w:type="dxa"/>
            <w:gridSpan w:val="2"/>
            <w:vAlign w:val="center"/>
          </w:tcPr>
          <w:p w14:paraId="400DEAD0">
            <w:pPr>
              <w:pStyle w:val="286"/>
              <w:adjustRightInd w:val="0"/>
              <w:snapToGrid w:val="0"/>
              <w:spacing w:line="300" w:lineRule="exact"/>
              <w:rPr>
                <w:rFonts w:hint="eastAsia" w:cs="宋体"/>
                <w:color w:val="000000" w:themeColor="text1"/>
                <w:sz w:val="21"/>
                <w14:textFill>
                  <w14:solidFill>
                    <w14:schemeClr w14:val="tx1"/>
                  </w14:solidFill>
                </w14:textFill>
              </w:rPr>
            </w:pPr>
            <w:r>
              <w:rPr>
                <w:rFonts w:hint="eastAsia" w:cs="宋体"/>
                <w:color w:val="000000" w:themeColor="text1"/>
                <w:sz w:val="21"/>
                <w14:textFill>
                  <w14:solidFill>
                    <w14:schemeClr w14:val="tx1"/>
                  </w14:solidFill>
                </w14:textFill>
              </w:rPr>
              <w:t>标准值[</w:t>
            </w:r>
            <w:r>
              <w:rPr>
                <w:rFonts w:cs="宋体"/>
                <w:color w:val="000000" w:themeColor="text1"/>
                <w:sz w:val="21"/>
                <w14:textFill>
                  <w14:solidFill>
                    <w14:schemeClr w14:val="tx1"/>
                  </w14:solidFill>
                </w14:textFill>
              </w:rPr>
              <w:t>dB（A</w:t>
            </w:r>
            <w:r>
              <w:rPr>
                <w:rFonts w:hint="eastAsia" w:cs="宋体"/>
                <w:color w:val="000000" w:themeColor="text1"/>
                <w:sz w:val="21"/>
                <w14:textFill>
                  <w14:solidFill>
                    <w14:schemeClr w14:val="tx1"/>
                  </w14:solidFill>
                </w14:textFill>
              </w:rPr>
              <w:t>）</w:t>
            </w:r>
            <w:r>
              <w:rPr>
                <w:rFonts w:cs="宋体"/>
                <w:color w:val="000000" w:themeColor="text1"/>
                <w:sz w:val="21"/>
                <w14:textFill>
                  <w14:solidFill>
                    <w14:schemeClr w14:val="tx1"/>
                  </w14:solidFill>
                </w14:textFill>
              </w:rPr>
              <w:t>]</w:t>
            </w:r>
          </w:p>
        </w:tc>
        <w:tc>
          <w:tcPr>
            <w:tcW w:w="2369" w:type="dxa"/>
            <w:vMerge w:val="restart"/>
            <w:vAlign w:val="center"/>
          </w:tcPr>
          <w:p w14:paraId="70F60B12">
            <w:pPr>
              <w:pStyle w:val="286"/>
              <w:adjustRightInd w:val="0"/>
              <w:snapToGrid w:val="0"/>
              <w:spacing w:line="300" w:lineRule="exact"/>
              <w:rPr>
                <w:rFonts w:hint="eastAsia" w:cs="宋体"/>
                <w:color w:val="000000" w:themeColor="text1"/>
                <w:sz w:val="21"/>
                <w14:textFill>
                  <w14:solidFill>
                    <w14:schemeClr w14:val="tx1"/>
                  </w14:solidFill>
                </w14:textFill>
              </w:rPr>
            </w:pPr>
            <w:r>
              <w:rPr>
                <w:rFonts w:hint="eastAsia" w:cs="宋体"/>
                <w:color w:val="000000" w:themeColor="text1"/>
                <w:sz w:val="21"/>
                <w14:textFill>
                  <w14:solidFill>
                    <w14:schemeClr w14:val="tx1"/>
                  </w14:solidFill>
                </w14:textFill>
              </w:rPr>
              <w:t>标准来源</w:t>
            </w:r>
          </w:p>
        </w:tc>
      </w:tr>
      <w:tr w14:paraId="1BFA103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140" w:type="dxa"/>
            <w:vMerge w:val="continue"/>
            <w:vAlign w:val="center"/>
          </w:tcPr>
          <w:p w14:paraId="4ECAAC76">
            <w:pPr>
              <w:pStyle w:val="286"/>
              <w:adjustRightInd w:val="0"/>
              <w:snapToGrid w:val="0"/>
              <w:spacing w:line="300" w:lineRule="exact"/>
              <w:rPr>
                <w:rFonts w:hint="eastAsia" w:cs="宋体"/>
                <w:color w:val="000000" w:themeColor="text1"/>
                <w:sz w:val="21"/>
                <w14:textFill>
                  <w14:solidFill>
                    <w14:schemeClr w14:val="tx1"/>
                  </w14:solidFill>
                </w14:textFill>
              </w:rPr>
            </w:pPr>
          </w:p>
        </w:tc>
        <w:tc>
          <w:tcPr>
            <w:tcW w:w="2128" w:type="dxa"/>
            <w:vAlign w:val="center"/>
          </w:tcPr>
          <w:p w14:paraId="5047126B">
            <w:pPr>
              <w:pStyle w:val="286"/>
              <w:adjustRightInd w:val="0"/>
              <w:snapToGrid w:val="0"/>
              <w:spacing w:line="300" w:lineRule="exact"/>
              <w:rPr>
                <w:rFonts w:hint="eastAsia" w:cs="宋体"/>
                <w:color w:val="000000" w:themeColor="text1"/>
                <w:sz w:val="21"/>
                <w14:textFill>
                  <w14:solidFill>
                    <w14:schemeClr w14:val="tx1"/>
                  </w14:solidFill>
                </w14:textFill>
              </w:rPr>
            </w:pPr>
            <w:r>
              <w:rPr>
                <w:rFonts w:hint="eastAsia" w:cs="宋体"/>
                <w:color w:val="000000" w:themeColor="text1"/>
                <w:sz w:val="21"/>
                <w14:textFill>
                  <w14:solidFill>
                    <w14:schemeClr w14:val="tx1"/>
                  </w14:solidFill>
                </w14:textFill>
              </w:rPr>
              <w:t>昼间</w:t>
            </w:r>
          </w:p>
        </w:tc>
        <w:tc>
          <w:tcPr>
            <w:tcW w:w="2149" w:type="dxa"/>
            <w:vAlign w:val="center"/>
          </w:tcPr>
          <w:p w14:paraId="519A6DC2">
            <w:pPr>
              <w:pStyle w:val="286"/>
              <w:adjustRightInd w:val="0"/>
              <w:snapToGrid w:val="0"/>
              <w:spacing w:line="300" w:lineRule="exact"/>
              <w:rPr>
                <w:rFonts w:hint="eastAsia" w:cs="宋体"/>
                <w:color w:val="000000" w:themeColor="text1"/>
                <w:sz w:val="21"/>
                <w14:textFill>
                  <w14:solidFill>
                    <w14:schemeClr w14:val="tx1"/>
                  </w14:solidFill>
                </w14:textFill>
              </w:rPr>
            </w:pPr>
            <w:r>
              <w:rPr>
                <w:rFonts w:hint="eastAsia" w:cs="宋体"/>
                <w:color w:val="000000" w:themeColor="text1"/>
                <w:sz w:val="21"/>
                <w14:textFill>
                  <w14:solidFill>
                    <w14:schemeClr w14:val="tx1"/>
                  </w14:solidFill>
                </w14:textFill>
              </w:rPr>
              <w:t>夜间</w:t>
            </w:r>
          </w:p>
        </w:tc>
        <w:tc>
          <w:tcPr>
            <w:tcW w:w="2369" w:type="dxa"/>
            <w:vMerge w:val="continue"/>
            <w:vAlign w:val="center"/>
          </w:tcPr>
          <w:p w14:paraId="2C7191FB">
            <w:pPr>
              <w:pStyle w:val="286"/>
              <w:adjustRightInd w:val="0"/>
              <w:snapToGrid w:val="0"/>
              <w:spacing w:line="300" w:lineRule="exact"/>
              <w:rPr>
                <w:rFonts w:hint="eastAsia" w:cs="宋体"/>
                <w:color w:val="000000" w:themeColor="text1"/>
                <w:sz w:val="21"/>
                <w14:textFill>
                  <w14:solidFill>
                    <w14:schemeClr w14:val="tx1"/>
                  </w14:solidFill>
                </w14:textFill>
              </w:rPr>
            </w:pPr>
          </w:p>
        </w:tc>
      </w:tr>
      <w:tr w14:paraId="4F02B74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140" w:type="dxa"/>
            <w:vAlign w:val="center"/>
          </w:tcPr>
          <w:p w14:paraId="634DEDFE">
            <w:pPr>
              <w:pStyle w:val="286"/>
              <w:adjustRightInd w:val="0"/>
              <w:snapToGrid w:val="0"/>
              <w:spacing w:line="300" w:lineRule="exact"/>
              <w:rPr>
                <w:rFonts w:hint="eastAsia" w:cs="宋体"/>
                <w:color w:val="000000" w:themeColor="text1"/>
                <w:sz w:val="21"/>
                <w14:textFill>
                  <w14:solidFill>
                    <w14:schemeClr w14:val="tx1"/>
                  </w14:solidFill>
                </w14:textFill>
              </w:rPr>
            </w:pPr>
            <w:r>
              <w:rPr>
                <w:rFonts w:hint="eastAsia" w:cs="宋体"/>
                <w:color w:val="000000" w:themeColor="text1"/>
                <w:sz w:val="21"/>
                <w14:textFill>
                  <w14:solidFill>
                    <w14:schemeClr w14:val="tx1"/>
                  </w14:solidFill>
                </w14:textFill>
              </w:rPr>
              <w:t>等效连续</w:t>
            </w:r>
            <w:r>
              <w:rPr>
                <w:rFonts w:cs="宋体"/>
                <w:color w:val="000000" w:themeColor="text1"/>
                <w:sz w:val="21"/>
                <w14:textFill>
                  <w14:solidFill>
                    <w14:schemeClr w14:val="tx1"/>
                  </w14:solidFill>
                </w14:textFill>
              </w:rPr>
              <w:t>A</w:t>
            </w:r>
            <w:r>
              <w:rPr>
                <w:rFonts w:hint="eastAsia" w:cs="宋体"/>
                <w:color w:val="000000" w:themeColor="text1"/>
                <w:sz w:val="21"/>
                <w14:textFill>
                  <w14:solidFill>
                    <w14:schemeClr w14:val="tx1"/>
                  </w14:solidFill>
                </w14:textFill>
              </w:rPr>
              <w:t>声级</w:t>
            </w:r>
          </w:p>
        </w:tc>
        <w:tc>
          <w:tcPr>
            <w:tcW w:w="2128" w:type="dxa"/>
            <w:vAlign w:val="center"/>
          </w:tcPr>
          <w:p w14:paraId="3FB01073">
            <w:pPr>
              <w:pStyle w:val="286"/>
              <w:adjustRightInd w:val="0"/>
              <w:snapToGrid w:val="0"/>
              <w:spacing w:line="300" w:lineRule="exact"/>
              <w:rPr>
                <w:rFonts w:hint="eastAsia" w:cs="宋体"/>
                <w:color w:val="000000" w:themeColor="text1"/>
                <w:sz w:val="21"/>
                <w14:textFill>
                  <w14:solidFill>
                    <w14:schemeClr w14:val="tx1"/>
                  </w14:solidFill>
                </w14:textFill>
              </w:rPr>
            </w:pPr>
            <w:r>
              <w:rPr>
                <w:rFonts w:cs="宋体"/>
                <w:color w:val="000000" w:themeColor="text1"/>
                <w:sz w:val="21"/>
                <w14:textFill>
                  <w14:solidFill>
                    <w14:schemeClr w14:val="tx1"/>
                  </w14:solidFill>
                </w14:textFill>
              </w:rPr>
              <w:t>60</w:t>
            </w:r>
          </w:p>
        </w:tc>
        <w:tc>
          <w:tcPr>
            <w:tcW w:w="2149" w:type="dxa"/>
            <w:vAlign w:val="center"/>
          </w:tcPr>
          <w:p w14:paraId="6073EA2F">
            <w:pPr>
              <w:pStyle w:val="286"/>
              <w:adjustRightInd w:val="0"/>
              <w:snapToGrid w:val="0"/>
              <w:spacing w:line="300" w:lineRule="exact"/>
              <w:rPr>
                <w:rFonts w:hint="eastAsia" w:cs="宋体"/>
                <w:color w:val="000000" w:themeColor="text1"/>
                <w:sz w:val="21"/>
                <w14:textFill>
                  <w14:solidFill>
                    <w14:schemeClr w14:val="tx1"/>
                  </w14:solidFill>
                </w14:textFill>
              </w:rPr>
            </w:pPr>
            <w:r>
              <w:rPr>
                <w:rFonts w:cs="宋体"/>
                <w:color w:val="000000" w:themeColor="text1"/>
                <w:sz w:val="21"/>
                <w14:textFill>
                  <w14:solidFill>
                    <w14:schemeClr w14:val="tx1"/>
                  </w14:solidFill>
                </w14:textFill>
              </w:rPr>
              <w:t>50</w:t>
            </w:r>
          </w:p>
        </w:tc>
        <w:tc>
          <w:tcPr>
            <w:tcW w:w="2369" w:type="dxa"/>
            <w:vAlign w:val="center"/>
          </w:tcPr>
          <w:p w14:paraId="59EC082E">
            <w:pPr>
              <w:pStyle w:val="286"/>
              <w:adjustRightInd w:val="0"/>
              <w:snapToGrid w:val="0"/>
              <w:spacing w:line="300" w:lineRule="exact"/>
              <w:rPr>
                <w:rFonts w:hint="eastAsia" w:cs="宋体"/>
                <w:color w:val="000000" w:themeColor="text1"/>
                <w:sz w:val="21"/>
                <w14:textFill>
                  <w14:solidFill>
                    <w14:schemeClr w14:val="tx1"/>
                  </w14:solidFill>
                </w14:textFill>
              </w:rPr>
            </w:pPr>
            <w:r>
              <w:rPr>
                <w:rFonts w:cs="宋体"/>
                <w:color w:val="000000" w:themeColor="text1"/>
                <w:sz w:val="21"/>
                <w14:textFill>
                  <w14:solidFill>
                    <w14:schemeClr w14:val="tx1"/>
                  </w14:solidFill>
                </w14:textFill>
              </w:rPr>
              <w:t>GB3096-2008 2</w:t>
            </w:r>
            <w:r>
              <w:rPr>
                <w:rFonts w:hint="eastAsia" w:cs="宋体"/>
                <w:color w:val="000000" w:themeColor="text1"/>
                <w:sz w:val="21"/>
                <w14:textFill>
                  <w14:solidFill>
                    <w14:schemeClr w14:val="tx1"/>
                  </w14:solidFill>
                </w14:textFill>
              </w:rPr>
              <w:t>类</w:t>
            </w:r>
          </w:p>
        </w:tc>
      </w:tr>
    </w:tbl>
    <w:p w14:paraId="363D440E">
      <w:pPr>
        <w:pStyle w:val="117"/>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④土壤</w:t>
      </w:r>
      <w:r>
        <w:rPr>
          <w:color w:val="000000" w:themeColor="text1"/>
          <w14:textFill>
            <w14:solidFill>
              <w14:schemeClr w14:val="tx1"/>
            </w14:solidFill>
          </w14:textFill>
        </w:rPr>
        <w:t>环境</w:t>
      </w:r>
    </w:p>
    <w:p w14:paraId="6768A832">
      <w:pPr>
        <w:pStyle w:val="117"/>
        <w:ind w:firstLine="480"/>
        <w:rPr>
          <w:rFonts w:hint="eastAsia"/>
          <w:color w:val="000000" w:themeColor="text1"/>
          <w:szCs w:val="20"/>
          <w14:textFill>
            <w14:solidFill>
              <w14:schemeClr w14:val="tx1"/>
            </w14:solidFill>
          </w14:textFill>
        </w:rPr>
      </w:pPr>
      <w:r>
        <w:rPr>
          <w:rFonts w:hint="eastAsia"/>
          <w:color w:val="000000" w:themeColor="text1"/>
          <w:szCs w:val="20"/>
          <w14:textFill>
            <w14:solidFill>
              <w14:schemeClr w14:val="tx1"/>
            </w14:solidFill>
          </w14:textFill>
        </w:rPr>
        <w:t>占地范围内全部监测因子及占地范围外的六价铬和石油烃执行《土壤环境质量</w:t>
      </w:r>
      <w:r>
        <w:rPr>
          <w:color w:val="000000" w:themeColor="text1"/>
          <w:szCs w:val="20"/>
          <w14:textFill>
            <w14:solidFill>
              <w14:schemeClr w14:val="tx1"/>
            </w14:solidFill>
          </w14:textFill>
        </w:rPr>
        <w:t xml:space="preserve">  </w:t>
      </w:r>
      <w:r>
        <w:rPr>
          <w:rFonts w:hint="eastAsia"/>
          <w:color w:val="000000" w:themeColor="text1"/>
          <w:szCs w:val="20"/>
          <w14:textFill>
            <w14:solidFill>
              <w14:schemeClr w14:val="tx1"/>
            </w14:solidFill>
          </w14:textFill>
        </w:rPr>
        <w:t>建设用地土壤污染风险管控标准（试行）》（</w:t>
      </w:r>
      <w:r>
        <w:rPr>
          <w:color w:val="000000" w:themeColor="text1"/>
          <w:szCs w:val="20"/>
          <w14:textFill>
            <w14:solidFill>
              <w14:schemeClr w14:val="tx1"/>
            </w14:solidFill>
          </w14:textFill>
        </w:rPr>
        <w:t>GB36600-2018</w:t>
      </w:r>
      <w:r>
        <w:rPr>
          <w:rFonts w:hint="eastAsia"/>
          <w:color w:val="000000" w:themeColor="text1"/>
          <w:szCs w:val="20"/>
          <w14:textFill>
            <w14:solidFill>
              <w14:schemeClr w14:val="tx1"/>
            </w14:solidFill>
          </w14:textFill>
        </w:rPr>
        <w:t>）中第二类用地筛选值，占地范围外的其余监测因子执行</w:t>
      </w:r>
      <w:r>
        <w:rPr>
          <w:rFonts w:hint="eastAsia" w:cs="宋体"/>
          <w:color w:val="000000" w:themeColor="text1"/>
          <w:szCs w:val="21"/>
          <w14:textFill>
            <w14:solidFill>
              <w14:schemeClr w14:val="tx1"/>
            </w14:solidFill>
          </w14:textFill>
        </w:rPr>
        <w:t>《土壤环境质量 农用地土壤污染风险管控标准（试行）》（GB15618—2018）表1限值要求。</w:t>
      </w:r>
      <w:r>
        <w:rPr>
          <w:rFonts w:hint="eastAsia"/>
          <w:color w:val="000000" w:themeColor="text1"/>
          <w:szCs w:val="20"/>
          <w14:textFill>
            <w14:solidFill>
              <w14:schemeClr w14:val="tx1"/>
            </w14:solidFill>
          </w14:textFill>
        </w:rPr>
        <w:t>标准限值见表</w:t>
      </w:r>
      <w:r>
        <w:rPr>
          <w:color w:val="000000" w:themeColor="text1"/>
          <w:szCs w:val="20"/>
          <w14:textFill>
            <w14:solidFill>
              <w14:schemeClr w14:val="tx1"/>
            </w14:solidFill>
          </w14:textFill>
        </w:rPr>
        <w:t>2.5</w:t>
      </w:r>
      <w:r>
        <w:rPr>
          <w:rFonts w:hint="eastAsia"/>
          <w:color w:val="000000" w:themeColor="text1"/>
          <w:szCs w:val="20"/>
          <w14:textFill>
            <w14:solidFill>
              <w14:schemeClr w14:val="tx1"/>
            </w14:solidFill>
          </w14:textFill>
        </w:rPr>
        <w:t>-</w:t>
      </w:r>
      <w:r>
        <w:rPr>
          <w:color w:val="000000" w:themeColor="text1"/>
          <w:szCs w:val="20"/>
          <w14:textFill>
            <w14:solidFill>
              <w14:schemeClr w14:val="tx1"/>
            </w14:solidFill>
          </w14:textFill>
        </w:rPr>
        <w:t>5</w:t>
      </w:r>
      <w:r>
        <w:rPr>
          <w:rFonts w:hint="eastAsia"/>
          <w:color w:val="000000" w:themeColor="text1"/>
          <w:szCs w:val="20"/>
          <w14:textFill>
            <w14:solidFill>
              <w14:schemeClr w14:val="tx1"/>
            </w14:solidFill>
          </w14:textFill>
        </w:rPr>
        <w:t>和表2.5-6。</w:t>
      </w:r>
    </w:p>
    <w:p w14:paraId="35098192">
      <w:pPr>
        <w:pStyle w:val="109"/>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表</w:t>
      </w:r>
      <w:r>
        <w:rPr>
          <w:color w:val="000000" w:themeColor="text1"/>
          <w14:textFill>
            <w14:solidFill>
              <w14:schemeClr w14:val="tx1"/>
            </w14:solidFill>
          </w14:textFill>
        </w:rPr>
        <w:t>2.5</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5</w:t>
      </w:r>
      <w:r>
        <w:rPr>
          <w:rFonts w:hint="eastAsia"/>
          <w:color w:val="000000" w:themeColor="text1"/>
          <w14:textFill>
            <w14:solidFill>
              <w14:schemeClr w14:val="tx1"/>
            </w14:solidFill>
          </w14:textFill>
        </w:rPr>
        <w:t xml:space="preserve"> </w:t>
      </w:r>
      <w:r>
        <w:rPr>
          <w:color w:val="000000" w:themeColor="text1"/>
          <w14:textFill>
            <w14:solidFill>
              <w14:schemeClr w14:val="tx1"/>
            </w14:solidFill>
          </w14:textFill>
        </w:rPr>
        <w:t xml:space="preserve"> 土壤环境质量评价标准一览表</w:t>
      </w:r>
    </w:p>
    <w:tbl>
      <w:tblPr>
        <w:tblStyle w:val="51"/>
        <w:tblW w:w="8786"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663"/>
        <w:gridCol w:w="1950"/>
        <w:gridCol w:w="1531"/>
        <w:gridCol w:w="1114"/>
        <w:gridCol w:w="2075"/>
        <w:gridCol w:w="1453"/>
      </w:tblGrid>
      <w:tr w14:paraId="1D43FA0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blHeader/>
          <w:jc w:val="center"/>
        </w:trPr>
        <w:tc>
          <w:tcPr>
            <w:tcW w:w="663" w:type="dxa"/>
            <w:vAlign w:val="center"/>
          </w:tcPr>
          <w:p w14:paraId="48BC9E19">
            <w:pPr>
              <w:pStyle w:val="286"/>
              <w:adjustRightInd w:val="0"/>
              <w:snapToGrid w:val="0"/>
              <w:spacing w:line="300" w:lineRule="exact"/>
              <w:rPr>
                <w:rFonts w:hint="eastAsia" w:cs="宋体"/>
                <w:color w:val="000000" w:themeColor="text1"/>
                <w:sz w:val="21"/>
                <w14:textFill>
                  <w14:solidFill>
                    <w14:schemeClr w14:val="tx1"/>
                  </w14:solidFill>
                </w14:textFill>
              </w:rPr>
            </w:pPr>
            <w:r>
              <w:rPr>
                <w:rFonts w:hint="eastAsia" w:cs="宋体"/>
                <w:color w:val="000000" w:themeColor="text1"/>
                <w:sz w:val="21"/>
                <w14:textFill>
                  <w14:solidFill>
                    <w14:schemeClr w14:val="tx1"/>
                  </w14:solidFill>
                </w14:textFill>
              </w:rPr>
              <w:t>序号</w:t>
            </w:r>
          </w:p>
        </w:tc>
        <w:tc>
          <w:tcPr>
            <w:tcW w:w="1950" w:type="dxa"/>
            <w:vAlign w:val="center"/>
          </w:tcPr>
          <w:p w14:paraId="0709F9AE">
            <w:pPr>
              <w:pStyle w:val="286"/>
              <w:adjustRightInd w:val="0"/>
              <w:snapToGrid w:val="0"/>
              <w:spacing w:line="300" w:lineRule="exact"/>
              <w:rPr>
                <w:rFonts w:hint="eastAsia" w:cs="宋体"/>
                <w:color w:val="000000" w:themeColor="text1"/>
                <w:sz w:val="21"/>
                <w14:textFill>
                  <w14:solidFill>
                    <w14:schemeClr w14:val="tx1"/>
                  </w14:solidFill>
                </w14:textFill>
              </w:rPr>
            </w:pPr>
            <w:r>
              <w:rPr>
                <w:rFonts w:hint="eastAsia" w:cs="宋体"/>
                <w:color w:val="000000" w:themeColor="text1"/>
                <w:sz w:val="21"/>
                <w14:textFill>
                  <w14:solidFill>
                    <w14:schemeClr w14:val="tx1"/>
                  </w14:solidFill>
                </w14:textFill>
              </w:rPr>
              <w:t>污染物项目</w:t>
            </w:r>
          </w:p>
        </w:tc>
        <w:tc>
          <w:tcPr>
            <w:tcW w:w="1531" w:type="dxa"/>
            <w:vAlign w:val="center"/>
          </w:tcPr>
          <w:p w14:paraId="24BC3E76">
            <w:pPr>
              <w:pStyle w:val="286"/>
              <w:adjustRightInd w:val="0"/>
              <w:snapToGrid w:val="0"/>
              <w:spacing w:line="300" w:lineRule="exact"/>
              <w:rPr>
                <w:rFonts w:hint="eastAsia" w:cs="宋体"/>
                <w:color w:val="000000" w:themeColor="text1"/>
                <w:sz w:val="21"/>
                <w14:textFill>
                  <w14:solidFill>
                    <w14:schemeClr w14:val="tx1"/>
                  </w14:solidFill>
                </w14:textFill>
              </w:rPr>
            </w:pPr>
            <w:r>
              <w:rPr>
                <w:rFonts w:hint="eastAsia" w:cs="宋体"/>
                <w:color w:val="000000" w:themeColor="text1"/>
                <w:sz w:val="21"/>
                <w14:textFill>
                  <w14:solidFill>
                    <w14:schemeClr w14:val="tx1"/>
                  </w14:solidFill>
                </w14:textFill>
              </w:rPr>
              <w:t>第二类用地筛选值（mg/kg）</w:t>
            </w:r>
          </w:p>
        </w:tc>
        <w:tc>
          <w:tcPr>
            <w:tcW w:w="1114" w:type="dxa"/>
            <w:vAlign w:val="center"/>
          </w:tcPr>
          <w:p w14:paraId="64B4FBD3">
            <w:pPr>
              <w:pStyle w:val="286"/>
              <w:adjustRightInd w:val="0"/>
              <w:snapToGrid w:val="0"/>
              <w:spacing w:line="300" w:lineRule="exact"/>
              <w:rPr>
                <w:rFonts w:hint="eastAsia" w:cs="宋体"/>
                <w:color w:val="000000" w:themeColor="text1"/>
                <w:sz w:val="21"/>
                <w14:textFill>
                  <w14:solidFill>
                    <w14:schemeClr w14:val="tx1"/>
                  </w14:solidFill>
                </w14:textFill>
              </w:rPr>
            </w:pPr>
            <w:r>
              <w:rPr>
                <w:rFonts w:hint="eastAsia" w:cs="宋体"/>
                <w:color w:val="000000" w:themeColor="text1"/>
                <w:sz w:val="21"/>
                <w14:textFill>
                  <w14:solidFill>
                    <w14:schemeClr w14:val="tx1"/>
                  </w14:solidFill>
                </w14:textFill>
              </w:rPr>
              <w:t>序号</w:t>
            </w:r>
          </w:p>
        </w:tc>
        <w:tc>
          <w:tcPr>
            <w:tcW w:w="2075" w:type="dxa"/>
            <w:vAlign w:val="center"/>
          </w:tcPr>
          <w:p w14:paraId="0E2DA805">
            <w:pPr>
              <w:pStyle w:val="286"/>
              <w:adjustRightInd w:val="0"/>
              <w:snapToGrid w:val="0"/>
              <w:spacing w:line="300" w:lineRule="exact"/>
              <w:rPr>
                <w:rFonts w:hint="eastAsia" w:cs="宋体"/>
                <w:color w:val="000000" w:themeColor="text1"/>
                <w:sz w:val="21"/>
                <w14:textFill>
                  <w14:solidFill>
                    <w14:schemeClr w14:val="tx1"/>
                  </w14:solidFill>
                </w14:textFill>
              </w:rPr>
            </w:pPr>
            <w:r>
              <w:rPr>
                <w:rFonts w:hint="eastAsia" w:cs="宋体"/>
                <w:color w:val="000000" w:themeColor="text1"/>
                <w:sz w:val="21"/>
                <w14:textFill>
                  <w14:solidFill>
                    <w14:schemeClr w14:val="tx1"/>
                  </w14:solidFill>
                </w14:textFill>
              </w:rPr>
              <w:t>污染物项目</w:t>
            </w:r>
          </w:p>
        </w:tc>
        <w:tc>
          <w:tcPr>
            <w:tcW w:w="1453" w:type="dxa"/>
            <w:vAlign w:val="center"/>
          </w:tcPr>
          <w:p w14:paraId="08937D8B">
            <w:pPr>
              <w:pStyle w:val="286"/>
              <w:adjustRightInd w:val="0"/>
              <w:snapToGrid w:val="0"/>
              <w:spacing w:line="300" w:lineRule="exact"/>
              <w:rPr>
                <w:rFonts w:hint="eastAsia" w:cs="宋体"/>
                <w:color w:val="000000" w:themeColor="text1"/>
                <w:sz w:val="21"/>
                <w14:textFill>
                  <w14:solidFill>
                    <w14:schemeClr w14:val="tx1"/>
                  </w14:solidFill>
                </w14:textFill>
              </w:rPr>
            </w:pPr>
            <w:r>
              <w:rPr>
                <w:rFonts w:hint="eastAsia" w:cs="宋体"/>
                <w:color w:val="000000" w:themeColor="text1"/>
                <w:sz w:val="21"/>
                <w14:textFill>
                  <w14:solidFill>
                    <w14:schemeClr w14:val="tx1"/>
                  </w14:solidFill>
                </w14:textFill>
              </w:rPr>
              <w:t>第二类用地筛选值（mg/kg）</w:t>
            </w:r>
          </w:p>
        </w:tc>
      </w:tr>
      <w:tr w14:paraId="3F23A22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8786" w:type="dxa"/>
            <w:gridSpan w:val="6"/>
            <w:vAlign w:val="center"/>
          </w:tcPr>
          <w:p w14:paraId="53DC227B">
            <w:pPr>
              <w:pStyle w:val="286"/>
              <w:adjustRightInd w:val="0"/>
              <w:snapToGrid w:val="0"/>
              <w:spacing w:line="300" w:lineRule="exact"/>
              <w:rPr>
                <w:rFonts w:hint="eastAsia" w:cs="宋体"/>
                <w:color w:val="000000" w:themeColor="text1"/>
                <w:sz w:val="21"/>
                <w14:textFill>
                  <w14:solidFill>
                    <w14:schemeClr w14:val="tx1"/>
                  </w14:solidFill>
                </w14:textFill>
              </w:rPr>
            </w:pPr>
            <w:r>
              <w:rPr>
                <w:rFonts w:hint="eastAsia" w:cs="宋体"/>
                <w:color w:val="000000" w:themeColor="text1"/>
                <w:sz w:val="21"/>
                <w14:textFill>
                  <w14:solidFill>
                    <w14:schemeClr w14:val="tx1"/>
                  </w14:solidFill>
                </w14:textFill>
              </w:rPr>
              <w:t>基本项目（重金属和无机物）</w:t>
            </w:r>
          </w:p>
        </w:tc>
      </w:tr>
      <w:tr w14:paraId="4C01CBF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663" w:type="dxa"/>
            <w:vAlign w:val="center"/>
          </w:tcPr>
          <w:p w14:paraId="551060FF">
            <w:pPr>
              <w:pStyle w:val="286"/>
              <w:adjustRightInd w:val="0"/>
              <w:snapToGrid w:val="0"/>
              <w:spacing w:line="300" w:lineRule="exact"/>
              <w:rPr>
                <w:rFonts w:hint="eastAsia" w:cs="宋体"/>
                <w:color w:val="000000" w:themeColor="text1"/>
                <w:sz w:val="21"/>
                <w14:textFill>
                  <w14:solidFill>
                    <w14:schemeClr w14:val="tx1"/>
                  </w14:solidFill>
                </w14:textFill>
              </w:rPr>
            </w:pPr>
            <w:r>
              <w:rPr>
                <w:rFonts w:hint="eastAsia" w:cs="宋体"/>
                <w:color w:val="000000" w:themeColor="text1"/>
                <w:sz w:val="21"/>
                <w14:textFill>
                  <w14:solidFill>
                    <w14:schemeClr w14:val="tx1"/>
                  </w14:solidFill>
                </w14:textFill>
              </w:rPr>
              <w:t>1</w:t>
            </w:r>
          </w:p>
        </w:tc>
        <w:tc>
          <w:tcPr>
            <w:tcW w:w="1950" w:type="dxa"/>
            <w:vAlign w:val="center"/>
          </w:tcPr>
          <w:p w14:paraId="706604A1">
            <w:pPr>
              <w:pStyle w:val="286"/>
              <w:adjustRightInd w:val="0"/>
              <w:snapToGrid w:val="0"/>
              <w:spacing w:line="300" w:lineRule="exact"/>
              <w:rPr>
                <w:rFonts w:hint="eastAsia" w:cs="宋体"/>
                <w:color w:val="000000" w:themeColor="text1"/>
                <w:sz w:val="21"/>
                <w14:textFill>
                  <w14:solidFill>
                    <w14:schemeClr w14:val="tx1"/>
                  </w14:solidFill>
                </w14:textFill>
              </w:rPr>
            </w:pPr>
            <w:r>
              <w:rPr>
                <w:rFonts w:hint="eastAsia" w:cs="宋体"/>
                <w:color w:val="000000" w:themeColor="text1"/>
                <w:sz w:val="21"/>
                <w14:textFill>
                  <w14:solidFill>
                    <w14:schemeClr w14:val="tx1"/>
                  </w14:solidFill>
                </w14:textFill>
              </w:rPr>
              <w:t>砷</w:t>
            </w:r>
          </w:p>
        </w:tc>
        <w:tc>
          <w:tcPr>
            <w:tcW w:w="1531" w:type="dxa"/>
            <w:vAlign w:val="center"/>
          </w:tcPr>
          <w:p w14:paraId="14CC8735">
            <w:pPr>
              <w:pStyle w:val="286"/>
              <w:adjustRightInd w:val="0"/>
              <w:snapToGrid w:val="0"/>
              <w:spacing w:line="300" w:lineRule="exact"/>
              <w:rPr>
                <w:rFonts w:hint="eastAsia" w:cs="宋体"/>
                <w:color w:val="000000" w:themeColor="text1"/>
                <w:sz w:val="21"/>
                <w14:textFill>
                  <w14:solidFill>
                    <w14:schemeClr w14:val="tx1"/>
                  </w14:solidFill>
                </w14:textFill>
              </w:rPr>
            </w:pPr>
            <w:r>
              <w:rPr>
                <w:rFonts w:hint="eastAsia" w:cs="宋体"/>
                <w:color w:val="000000" w:themeColor="text1"/>
                <w:sz w:val="21"/>
                <w14:textFill>
                  <w14:solidFill>
                    <w14:schemeClr w14:val="tx1"/>
                  </w14:solidFill>
                </w14:textFill>
              </w:rPr>
              <w:t>60</w:t>
            </w:r>
          </w:p>
        </w:tc>
        <w:tc>
          <w:tcPr>
            <w:tcW w:w="1114" w:type="dxa"/>
            <w:vAlign w:val="center"/>
          </w:tcPr>
          <w:p w14:paraId="056BB355">
            <w:pPr>
              <w:pStyle w:val="286"/>
              <w:adjustRightInd w:val="0"/>
              <w:snapToGrid w:val="0"/>
              <w:spacing w:line="300" w:lineRule="exact"/>
              <w:rPr>
                <w:rFonts w:hint="eastAsia" w:cs="宋体"/>
                <w:color w:val="000000" w:themeColor="text1"/>
                <w:sz w:val="21"/>
                <w14:textFill>
                  <w14:solidFill>
                    <w14:schemeClr w14:val="tx1"/>
                  </w14:solidFill>
                </w14:textFill>
              </w:rPr>
            </w:pPr>
            <w:r>
              <w:rPr>
                <w:rFonts w:hint="eastAsia" w:cs="宋体"/>
                <w:color w:val="000000" w:themeColor="text1"/>
                <w:sz w:val="21"/>
                <w14:textFill>
                  <w14:solidFill>
                    <w14:schemeClr w14:val="tx1"/>
                  </w14:solidFill>
                </w14:textFill>
              </w:rPr>
              <w:t>5</w:t>
            </w:r>
          </w:p>
        </w:tc>
        <w:tc>
          <w:tcPr>
            <w:tcW w:w="2075" w:type="dxa"/>
            <w:vAlign w:val="center"/>
          </w:tcPr>
          <w:p w14:paraId="0FCB6467">
            <w:pPr>
              <w:pStyle w:val="286"/>
              <w:adjustRightInd w:val="0"/>
              <w:snapToGrid w:val="0"/>
              <w:spacing w:line="300" w:lineRule="exact"/>
              <w:rPr>
                <w:rFonts w:hint="eastAsia" w:cs="宋体"/>
                <w:color w:val="000000" w:themeColor="text1"/>
                <w:sz w:val="21"/>
                <w14:textFill>
                  <w14:solidFill>
                    <w14:schemeClr w14:val="tx1"/>
                  </w14:solidFill>
                </w14:textFill>
              </w:rPr>
            </w:pPr>
            <w:r>
              <w:rPr>
                <w:rFonts w:hint="eastAsia" w:cs="宋体"/>
                <w:color w:val="000000" w:themeColor="text1"/>
                <w:sz w:val="21"/>
                <w14:textFill>
                  <w14:solidFill>
                    <w14:schemeClr w14:val="tx1"/>
                  </w14:solidFill>
                </w14:textFill>
              </w:rPr>
              <w:t>铅</w:t>
            </w:r>
          </w:p>
        </w:tc>
        <w:tc>
          <w:tcPr>
            <w:tcW w:w="1453" w:type="dxa"/>
            <w:vAlign w:val="center"/>
          </w:tcPr>
          <w:p w14:paraId="08D77074">
            <w:pPr>
              <w:pStyle w:val="286"/>
              <w:adjustRightInd w:val="0"/>
              <w:snapToGrid w:val="0"/>
              <w:spacing w:line="300" w:lineRule="exact"/>
              <w:rPr>
                <w:rFonts w:hint="eastAsia" w:cs="宋体"/>
                <w:color w:val="000000" w:themeColor="text1"/>
                <w:sz w:val="21"/>
                <w14:textFill>
                  <w14:solidFill>
                    <w14:schemeClr w14:val="tx1"/>
                  </w14:solidFill>
                </w14:textFill>
              </w:rPr>
            </w:pPr>
            <w:r>
              <w:rPr>
                <w:rFonts w:hint="eastAsia" w:cs="宋体"/>
                <w:color w:val="000000" w:themeColor="text1"/>
                <w:sz w:val="21"/>
                <w14:textFill>
                  <w14:solidFill>
                    <w14:schemeClr w14:val="tx1"/>
                  </w14:solidFill>
                </w14:textFill>
              </w:rPr>
              <w:t>800</w:t>
            </w:r>
          </w:p>
        </w:tc>
      </w:tr>
      <w:tr w14:paraId="3BD38EC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663" w:type="dxa"/>
            <w:vAlign w:val="center"/>
          </w:tcPr>
          <w:p w14:paraId="7BFB6513">
            <w:pPr>
              <w:pStyle w:val="286"/>
              <w:adjustRightInd w:val="0"/>
              <w:snapToGrid w:val="0"/>
              <w:spacing w:line="300" w:lineRule="exact"/>
              <w:rPr>
                <w:rFonts w:hint="eastAsia" w:cs="宋体"/>
                <w:color w:val="000000" w:themeColor="text1"/>
                <w:sz w:val="21"/>
                <w14:textFill>
                  <w14:solidFill>
                    <w14:schemeClr w14:val="tx1"/>
                  </w14:solidFill>
                </w14:textFill>
              </w:rPr>
            </w:pPr>
            <w:r>
              <w:rPr>
                <w:rFonts w:hint="eastAsia" w:cs="宋体"/>
                <w:color w:val="000000" w:themeColor="text1"/>
                <w:sz w:val="21"/>
                <w14:textFill>
                  <w14:solidFill>
                    <w14:schemeClr w14:val="tx1"/>
                  </w14:solidFill>
                </w14:textFill>
              </w:rPr>
              <w:t>2</w:t>
            </w:r>
          </w:p>
        </w:tc>
        <w:tc>
          <w:tcPr>
            <w:tcW w:w="1950" w:type="dxa"/>
            <w:vAlign w:val="center"/>
          </w:tcPr>
          <w:p w14:paraId="766184A2">
            <w:pPr>
              <w:pStyle w:val="286"/>
              <w:adjustRightInd w:val="0"/>
              <w:snapToGrid w:val="0"/>
              <w:spacing w:line="300" w:lineRule="exact"/>
              <w:rPr>
                <w:rFonts w:hint="eastAsia" w:cs="宋体"/>
                <w:color w:val="000000" w:themeColor="text1"/>
                <w:sz w:val="21"/>
                <w14:textFill>
                  <w14:solidFill>
                    <w14:schemeClr w14:val="tx1"/>
                  </w14:solidFill>
                </w14:textFill>
              </w:rPr>
            </w:pPr>
            <w:r>
              <w:rPr>
                <w:rFonts w:hint="eastAsia" w:cs="宋体"/>
                <w:color w:val="000000" w:themeColor="text1"/>
                <w:sz w:val="21"/>
                <w14:textFill>
                  <w14:solidFill>
                    <w14:schemeClr w14:val="tx1"/>
                  </w14:solidFill>
                </w14:textFill>
              </w:rPr>
              <w:t>镉</w:t>
            </w:r>
          </w:p>
        </w:tc>
        <w:tc>
          <w:tcPr>
            <w:tcW w:w="1531" w:type="dxa"/>
            <w:vAlign w:val="center"/>
          </w:tcPr>
          <w:p w14:paraId="162A2913">
            <w:pPr>
              <w:pStyle w:val="286"/>
              <w:adjustRightInd w:val="0"/>
              <w:snapToGrid w:val="0"/>
              <w:spacing w:line="300" w:lineRule="exact"/>
              <w:rPr>
                <w:rFonts w:hint="eastAsia" w:cs="宋体"/>
                <w:color w:val="000000" w:themeColor="text1"/>
                <w:sz w:val="21"/>
                <w14:textFill>
                  <w14:solidFill>
                    <w14:schemeClr w14:val="tx1"/>
                  </w14:solidFill>
                </w14:textFill>
              </w:rPr>
            </w:pPr>
            <w:r>
              <w:rPr>
                <w:rFonts w:hint="eastAsia" w:cs="宋体"/>
                <w:color w:val="000000" w:themeColor="text1"/>
                <w:sz w:val="21"/>
                <w14:textFill>
                  <w14:solidFill>
                    <w14:schemeClr w14:val="tx1"/>
                  </w14:solidFill>
                </w14:textFill>
              </w:rPr>
              <w:t>65</w:t>
            </w:r>
          </w:p>
        </w:tc>
        <w:tc>
          <w:tcPr>
            <w:tcW w:w="1114" w:type="dxa"/>
            <w:vAlign w:val="center"/>
          </w:tcPr>
          <w:p w14:paraId="6A7678DE">
            <w:pPr>
              <w:pStyle w:val="286"/>
              <w:adjustRightInd w:val="0"/>
              <w:snapToGrid w:val="0"/>
              <w:spacing w:line="300" w:lineRule="exact"/>
              <w:rPr>
                <w:rFonts w:hint="eastAsia" w:cs="宋体"/>
                <w:color w:val="000000" w:themeColor="text1"/>
                <w:sz w:val="21"/>
                <w14:textFill>
                  <w14:solidFill>
                    <w14:schemeClr w14:val="tx1"/>
                  </w14:solidFill>
                </w14:textFill>
              </w:rPr>
            </w:pPr>
            <w:r>
              <w:rPr>
                <w:rFonts w:hint="eastAsia" w:cs="宋体"/>
                <w:color w:val="000000" w:themeColor="text1"/>
                <w:sz w:val="21"/>
                <w14:textFill>
                  <w14:solidFill>
                    <w14:schemeClr w14:val="tx1"/>
                  </w14:solidFill>
                </w14:textFill>
              </w:rPr>
              <w:t>6</w:t>
            </w:r>
          </w:p>
        </w:tc>
        <w:tc>
          <w:tcPr>
            <w:tcW w:w="2075" w:type="dxa"/>
            <w:vAlign w:val="center"/>
          </w:tcPr>
          <w:p w14:paraId="5E07DAFA">
            <w:pPr>
              <w:pStyle w:val="286"/>
              <w:adjustRightInd w:val="0"/>
              <w:snapToGrid w:val="0"/>
              <w:spacing w:line="300" w:lineRule="exact"/>
              <w:rPr>
                <w:rFonts w:hint="eastAsia" w:cs="宋体"/>
                <w:color w:val="000000" w:themeColor="text1"/>
                <w:sz w:val="21"/>
                <w14:textFill>
                  <w14:solidFill>
                    <w14:schemeClr w14:val="tx1"/>
                  </w14:solidFill>
                </w14:textFill>
              </w:rPr>
            </w:pPr>
            <w:r>
              <w:rPr>
                <w:rFonts w:hint="eastAsia" w:cs="宋体"/>
                <w:color w:val="000000" w:themeColor="text1"/>
                <w:sz w:val="21"/>
                <w14:textFill>
                  <w14:solidFill>
                    <w14:schemeClr w14:val="tx1"/>
                  </w14:solidFill>
                </w14:textFill>
              </w:rPr>
              <w:t>汞</w:t>
            </w:r>
          </w:p>
        </w:tc>
        <w:tc>
          <w:tcPr>
            <w:tcW w:w="1453" w:type="dxa"/>
            <w:vAlign w:val="center"/>
          </w:tcPr>
          <w:p w14:paraId="6E688C19">
            <w:pPr>
              <w:pStyle w:val="286"/>
              <w:adjustRightInd w:val="0"/>
              <w:snapToGrid w:val="0"/>
              <w:spacing w:line="300" w:lineRule="exact"/>
              <w:rPr>
                <w:rFonts w:hint="eastAsia" w:cs="宋体"/>
                <w:color w:val="000000" w:themeColor="text1"/>
                <w:sz w:val="21"/>
                <w14:textFill>
                  <w14:solidFill>
                    <w14:schemeClr w14:val="tx1"/>
                  </w14:solidFill>
                </w14:textFill>
              </w:rPr>
            </w:pPr>
            <w:r>
              <w:rPr>
                <w:rFonts w:hint="eastAsia" w:cs="宋体"/>
                <w:color w:val="000000" w:themeColor="text1"/>
                <w:sz w:val="21"/>
                <w14:textFill>
                  <w14:solidFill>
                    <w14:schemeClr w14:val="tx1"/>
                  </w14:solidFill>
                </w14:textFill>
              </w:rPr>
              <w:t>38</w:t>
            </w:r>
          </w:p>
        </w:tc>
      </w:tr>
      <w:tr w14:paraId="6D7DA33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663" w:type="dxa"/>
            <w:vAlign w:val="center"/>
          </w:tcPr>
          <w:p w14:paraId="3E1906CA">
            <w:pPr>
              <w:pStyle w:val="286"/>
              <w:adjustRightInd w:val="0"/>
              <w:snapToGrid w:val="0"/>
              <w:spacing w:line="300" w:lineRule="exact"/>
              <w:rPr>
                <w:rFonts w:hint="eastAsia" w:cs="宋体"/>
                <w:color w:val="000000" w:themeColor="text1"/>
                <w:sz w:val="21"/>
                <w14:textFill>
                  <w14:solidFill>
                    <w14:schemeClr w14:val="tx1"/>
                  </w14:solidFill>
                </w14:textFill>
              </w:rPr>
            </w:pPr>
            <w:r>
              <w:rPr>
                <w:rFonts w:hint="eastAsia" w:cs="宋体"/>
                <w:color w:val="000000" w:themeColor="text1"/>
                <w:sz w:val="21"/>
                <w14:textFill>
                  <w14:solidFill>
                    <w14:schemeClr w14:val="tx1"/>
                  </w14:solidFill>
                </w14:textFill>
              </w:rPr>
              <w:t>3</w:t>
            </w:r>
          </w:p>
        </w:tc>
        <w:tc>
          <w:tcPr>
            <w:tcW w:w="1950" w:type="dxa"/>
            <w:vAlign w:val="center"/>
          </w:tcPr>
          <w:p w14:paraId="61264A73">
            <w:pPr>
              <w:pStyle w:val="286"/>
              <w:adjustRightInd w:val="0"/>
              <w:snapToGrid w:val="0"/>
              <w:spacing w:line="300" w:lineRule="exact"/>
              <w:rPr>
                <w:rFonts w:hint="eastAsia" w:cs="宋体"/>
                <w:color w:val="000000" w:themeColor="text1"/>
                <w:sz w:val="21"/>
                <w14:textFill>
                  <w14:solidFill>
                    <w14:schemeClr w14:val="tx1"/>
                  </w14:solidFill>
                </w14:textFill>
              </w:rPr>
            </w:pPr>
            <w:r>
              <w:rPr>
                <w:rFonts w:hint="eastAsia" w:cs="宋体"/>
                <w:color w:val="000000" w:themeColor="text1"/>
                <w:sz w:val="21"/>
                <w14:textFill>
                  <w14:solidFill>
                    <w14:schemeClr w14:val="tx1"/>
                  </w14:solidFill>
                </w14:textFill>
              </w:rPr>
              <w:t>铬（六价）</w:t>
            </w:r>
          </w:p>
        </w:tc>
        <w:tc>
          <w:tcPr>
            <w:tcW w:w="1531" w:type="dxa"/>
            <w:vAlign w:val="center"/>
          </w:tcPr>
          <w:p w14:paraId="1502FA2B">
            <w:pPr>
              <w:pStyle w:val="286"/>
              <w:adjustRightInd w:val="0"/>
              <w:snapToGrid w:val="0"/>
              <w:spacing w:line="300" w:lineRule="exact"/>
              <w:rPr>
                <w:rFonts w:hint="eastAsia" w:cs="宋体"/>
                <w:color w:val="000000" w:themeColor="text1"/>
                <w:sz w:val="21"/>
                <w14:textFill>
                  <w14:solidFill>
                    <w14:schemeClr w14:val="tx1"/>
                  </w14:solidFill>
                </w14:textFill>
              </w:rPr>
            </w:pPr>
            <w:r>
              <w:rPr>
                <w:rFonts w:hint="eastAsia" w:cs="宋体"/>
                <w:color w:val="000000" w:themeColor="text1"/>
                <w:sz w:val="21"/>
                <w14:textFill>
                  <w14:solidFill>
                    <w14:schemeClr w14:val="tx1"/>
                  </w14:solidFill>
                </w14:textFill>
              </w:rPr>
              <w:t>5.7</w:t>
            </w:r>
          </w:p>
        </w:tc>
        <w:tc>
          <w:tcPr>
            <w:tcW w:w="1114" w:type="dxa"/>
            <w:vAlign w:val="center"/>
          </w:tcPr>
          <w:p w14:paraId="2E43F5AD">
            <w:pPr>
              <w:pStyle w:val="286"/>
              <w:adjustRightInd w:val="0"/>
              <w:snapToGrid w:val="0"/>
              <w:spacing w:line="300" w:lineRule="exact"/>
              <w:rPr>
                <w:rFonts w:hint="eastAsia" w:cs="宋体"/>
                <w:color w:val="000000" w:themeColor="text1"/>
                <w:sz w:val="21"/>
                <w14:textFill>
                  <w14:solidFill>
                    <w14:schemeClr w14:val="tx1"/>
                  </w14:solidFill>
                </w14:textFill>
              </w:rPr>
            </w:pPr>
            <w:r>
              <w:rPr>
                <w:rFonts w:hint="eastAsia" w:cs="宋体"/>
                <w:color w:val="000000" w:themeColor="text1"/>
                <w:sz w:val="21"/>
                <w14:textFill>
                  <w14:solidFill>
                    <w14:schemeClr w14:val="tx1"/>
                  </w14:solidFill>
                </w14:textFill>
              </w:rPr>
              <w:t>7</w:t>
            </w:r>
          </w:p>
        </w:tc>
        <w:tc>
          <w:tcPr>
            <w:tcW w:w="2075" w:type="dxa"/>
            <w:vAlign w:val="center"/>
          </w:tcPr>
          <w:p w14:paraId="0034AE37">
            <w:pPr>
              <w:pStyle w:val="286"/>
              <w:adjustRightInd w:val="0"/>
              <w:snapToGrid w:val="0"/>
              <w:spacing w:line="300" w:lineRule="exact"/>
              <w:rPr>
                <w:rFonts w:hint="eastAsia" w:cs="宋体"/>
                <w:color w:val="000000" w:themeColor="text1"/>
                <w:sz w:val="21"/>
                <w14:textFill>
                  <w14:solidFill>
                    <w14:schemeClr w14:val="tx1"/>
                  </w14:solidFill>
                </w14:textFill>
              </w:rPr>
            </w:pPr>
            <w:r>
              <w:rPr>
                <w:rFonts w:hint="eastAsia" w:cs="宋体"/>
                <w:color w:val="000000" w:themeColor="text1"/>
                <w:sz w:val="21"/>
                <w14:textFill>
                  <w14:solidFill>
                    <w14:schemeClr w14:val="tx1"/>
                  </w14:solidFill>
                </w14:textFill>
              </w:rPr>
              <w:t>镍</w:t>
            </w:r>
          </w:p>
        </w:tc>
        <w:tc>
          <w:tcPr>
            <w:tcW w:w="1453" w:type="dxa"/>
            <w:vAlign w:val="center"/>
          </w:tcPr>
          <w:p w14:paraId="000C2896">
            <w:pPr>
              <w:pStyle w:val="286"/>
              <w:adjustRightInd w:val="0"/>
              <w:snapToGrid w:val="0"/>
              <w:spacing w:line="300" w:lineRule="exact"/>
              <w:rPr>
                <w:rFonts w:hint="eastAsia" w:cs="宋体"/>
                <w:color w:val="000000" w:themeColor="text1"/>
                <w:sz w:val="21"/>
                <w14:textFill>
                  <w14:solidFill>
                    <w14:schemeClr w14:val="tx1"/>
                  </w14:solidFill>
                </w14:textFill>
              </w:rPr>
            </w:pPr>
            <w:r>
              <w:rPr>
                <w:rFonts w:hint="eastAsia" w:cs="宋体"/>
                <w:color w:val="000000" w:themeColor="text1"/>
                <w:sz w:val="21"/>
                <w14:textFill>
                  <w14:solidFill>
                    <w14:schemeClr w14:val="tx1"/>
                  </w14:solidFill>
                </w14:textFill>
              </w:rPr>
              <w:t>900</w:t>
            </w:r>
          </w:p>
        </w:tc>
      </w:tr>
      <w:tr w14:paraId="2F897D3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663" w:type="dxa"/>
            <w:vAlign w:val="center"/>
          </w:tcPr>
          <w:p w14:paraId="07EC2B7A">
            <w:pPr>
              <w:pStyle w:val="286"/>
              <w:adjustRightInd w:val="0"/>
              <w:snapToGrid w:val="0"/>
              <w:spacing w:line="300" w:lineRule="exact"/>
              <w:rPr>
                <w:rFonts w:hint="eastAsia" w:cs="宋体"/>
                <w:color w:val="000000" w:themeColor="text1"/>
                <w:sz w:val="21"/>
                <w14:textFill>
                  <w14:solidFill>
                    <w14:schemeClr w14:val="tx1"/>
                  </w14:solidFill>
                </w14:textFill>
              </w:rPr>
            </w:pPr>
            <w:r>
              <w:rPr>
                <w:rFonts w:hint="eastAsia" w:cs="宋体"/>
                <w:color w:val="000000" w:themeColor="text1"/>
                <w:sz w:val="21"/>
                <w14:textFill>
                  <w14:solidFill>
                    <w14:schemeClr w14:val="tx1"/>
                  </w14:solidFill>
                </w14:textFill>
              </w:rPr>
              <w:t>4</w:t>
            </w:r>
          </w:p>
        </w:tc>
        <w:tc>
          <w:tcPr>
            <w:tcW w:w="1950" w:type="dxa"/>
            <w:vAlign w:val="center"/>
          </w:tcPr>
          <w:p w14:paraId="0A4C89B7">
            <w:pPr>
              <w:pStyle w:val="286"/>
              <w:adjustRightInd w:val="0"/>
              <w:snapToGrid w:val="0"/>
              <w:spacing w:line="300" w:lineRule="exact"/>
              <w:rPr>
                <w:rFonts w:hint="eastAsia" w:cs="宋体"/>
                <w:color w:val="000000" w:themeColor="text1"/>
                <w:sz w:val="21"/>
                <w14:textFill>
                  <w14:solidFill>
                    <w14:schemeClr w14:val="tx1"/>
                  </w14:solidFill>
                </w14:textFill>
              </w:rPr>
            </w:pPr>
            <w:r>
              <w:rPr>
                <w:rFonts w:hint="eastAsia" w:cs="宋体"/>
                <w:color w:val="000000" w:themeColor="text1"/>
                <w:sz w:val="21"/>
                <w14:textFill>
                  <w14:solidFill>
                    <w14:schemeClr w14:val="tx1"/>
                  </w14:solidFill>
                </w14:textFill>
              </w:rPr>
              <w:t>铜</w:t>
            </w:r>
          </w:p>
        </w:tc>
        <w:tc>
          <w:tcPr>
            <w:tcW w:w="1531" w:type="dxa"/>
            <w:vAlign w:val="center"/>
          </w:tcPr>
          <w:p w14:paraId="354BF345">
            <w:pPr>
              <w:pStyle w:val="286"/>
              <w:adjustRightInd w:val="0"/>
              <w:snapToGrid w:val="0"/>
              <w:spacing w:line="300" w:lineRule="exact"/>
              <w:rPr>
                <w:rFonts w:hint="eastAsia" w:cs="宋体"/>
                <w:color w:val="000000" w:themeColor="text1"/>
                <w:sz w:val="21"/>
                <w14:textFill>
                  <w14:solidFill>
                    <w14:schemeClr w14:val="tx1"/>
                  </w14:solidFill>
                </w14:textFill>
              </w:rPr>
            </w:pPr>
            <w:r>
              <w:rPr>
                <w:rFonts w:hint="eastAsia" w:cs="宋体"/>
                <w:color w:val="000000" w:themeColor="text1"/>
                <w:sz w:val="21"/>
                <w14:textFill>
                  <w14:solidFill>
                    <w14:schemeClr w14:val="tx1"/>
                  </w14:solidFill>
                </w14:textFill>
              </w:rPr>
              <w:t>18000</w:t>
            </w:r>
          </w:p>
        </w:tc>
        <w:tc>
          <w:tcPr>
            <w:tcW w:w="1114" w:type="dxa"/>
            <w:vAlign w:val="center"/>
          </w:tcPr>
          <w:p w14:paraId="3DC063FA">
            <w:pPr>
              <w:pStyle w:val="286"/>
              <w:adjustRightInd w:val="0"/>
              <w:snapToGrid w:val="0"/>
              <w:spacing w:line="300" w:lineRule="exact"/>
              <w:rPr>
                <w:rFonts w:hint="eastAsia" w:cs="宋体"/>
                <w:color w:val="000000" w:themeColor="text1"/>
                <w:sz w:val="21"/>
                <w14:textFill>
                  <w14:solidFill>
                    <w14:schemeClr w14:val="tx1"/>
                  </w14:solidFill>
                </w14:textFill>
              </w:rPr>
            </w:pPr>
          </w:p>
        </w:tc>
        <w:tc>
          <w:tcPr>
            <w:tcW w:w="2075" w:type="dxa"/>
            <w:vAlign w:val="center"/>
          </w:tcPr>
          <w:p w14:paraId="18C8335B">
            <w:pPr>
              <w:pStyle w:val="286"/>
              <w:adjustRightInd w:val="0"/>
              <w:snapToGrid w:val="0"/>
              <w:spacing w:line="300" w:lineRule="exact"/>
              <w:rPr>
                <w:rFonts w:hint="eastAsia" w:cs="宋体"/>
                <w:color w:val="000000" w:themeColor="text1"/>
                <w:sz w:val="21"/>
                <w14:textFill>
                  <w14:solidFill>
                    <w14:schemeClr w14:val="tx1"/>
                  </w14:solidFill>
                </w14:textFill>
              </w:rPr>
            </w:pPr>
          </w:p>
        </w:tc>
        <w:tc>
          <w:tcPr>
            <w:tcW w:w="1453" w:type="dxa"/>
            <w:vAlign w:val="center"/>
          </w:tcPr>
          <w:p w14:paraId="5366F31D">
            <w:pPr>
              <w:pStyle w:val="286"/>
              <w:adjustRightInd w:val="0"/>
              <w:snapToGrid w:val="0"/>
              <w:spacing w:line="300" w:lineRule="exact"/>
              <w:rPr>
                <w:rFonts w:hint="eastAsia" w:cs="宋体"/>
                <w:color w:val="000000" w:themeColor="text1"/>
                <w:sz w:val="21"/>
                <w14:textFill>
                  <w14:solidFill>
                    <w14:schemeClr w14:val="tx1"/>
                  </w14:solidFill>
                </w14:textFill>
              </w:rPr>
            </w:pPr>
          </w:p>
        </w:tc>
      </w:tr>
      <w:tr w14:paraId="0E07D1A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8786" w:type="dxa"/>
            <w:gridSpan w:val="6"/>
            <w:vAlign w:val="center"/>
          </w:tcPr>
          <w:p w14:paraId="4894C2F3">
            <w:pPr>
              <w:pStyle w:val="286"/>
              <w:adjustRightInd w:val="0"/>
              <w:snapToGrid w:val="0"/>
              <w:spacing w:line="300" w:lineRule="exact"/>
              <w:rPr>
                <w:rFonts w:hint="eastAsia" w:cs="宋体"/>
                <w:color w:val="000000" w:themeColor="text1"/>
                <w:sz w:val="21"/>
                <w14:textFill>
                  <w14:solidFill>
                    <w14:schemeClr w14:val="tx1"/>
                  </w14:solidFill>
                </w14:textFill>
              </w:rPr>
            </w:pPr>
            <w:r>
              <w:rPr>
                <w:rFonts w:hint="eastAsia" w:cs="宋体"/>
                <w:color w:val="000000" w:themeColor="text1"/>
                <w:sz w:val="21"/>
                <w14:textFill>
                  <w14:solidFill>
                    <w14:schemeClr w14:val="tx1"/>
                  </w14:solidFill>
                </w14:textFill>
              </w:rPr>
              <w:t>基本项目（挥发性有机物）</w:t>
            </w:r>
          </w:p>
        </w:tc>
      </w:tr>
      <w:tr w14:paraId="4B85A50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663" w:type="dxa"/>
            <w:vAlign w:val="center"/>
          </w:tcPr>
          <w:p w14:paraId="5D0394D1">
            <w:pPr>
              <w:pStyle w:val="286"/>
              <w:adjustRightInd w:val="0"/>
              <w:snapToGrid w:val="0"/>
              <w:spacing w:line="300" w:lineRule="exact"/>
              <w:rPr>
                <w:rFonts w:hint="eastAsia" w:cs="宋体"/>
                <w:color w:val="000000" w:themeColor="text1"/>
                <w:sz w:val="21"/>
                <w14:textFill>
                  <w14:solidFill>
                    <w14:schemeClr w14:val="tx1"/>
                  </w14:solidFill>
                </w14:textFill>
              </w:rPr>
            </w:pPr>
            <w:r>
              <w:rPr>
                <w:rFonts w:hint="eastAsia" w:cs="宋体"/>
                <w:color w:val="000000" w:themeColor="text1"/>
                <w:sz w:val="21"/>
                <w14:textFill>
                  <w14:solidFill>
                    <w14:schemeClr w14:val="tx1"/>
                  </w14:solidFill>
                </w14:textFill>
              </w:rPr>
              <w:t>8</w:t>
            </w:r>
          </w:p>
        </w:tc>
        <w:tc>
          <w:tcPr>
            <w:tcW w:w="1950" w:type="dxa"/>
            <w:vAlign w:val="center"/>
          </w:tcPr>
          <w:p w14:paraId="6D70EDE4">
            <w:pPr>
              <w:pStyle w:val="286"/>
              <w:adjustRightInd w:val="0"/>
              <w:snapToGrid w:val="0"/>
              <w:spacing w:line="300" w:lineRule="exact"/>
              <w:rPr>
                <w:rFonts w:hint="eastAsia" w:cs="宋体"/>
                <w:color w:val="000000" w:themeColor="text1"/>
                <w:sz w:val="21"/>
                <w14:textFill>
                  <w14:solidFill>
                    <w14:schemeClr w14:val="tx1"/>
                  </w14:solidFill>
                </w14:textFill>
              </w:rPr>
            </w:pPr>
            <w:r>
              <w:rPr>
                <w:rFonts w:hint="eastAsia" w:cs="宋体"/>
                <w:color w:val="000000" w:themeColor="text1"/>
                <w:sz w:val="21"/>
                <w14:textFill>
                  <w14:solidFill>
                    <w14:schemeClr w14:val="tx1"/>
                  </w14:solidFill>
                </w14:textFill>
              </w:rPr>
              <w:t>四氯化碳</w:t>
            </w:r>
          </w:p>
        </w:tc>
        <w:tc>
          <w:tcPr>
            <w:tcW w:w="1531" w:type="dxa"/>
            <w:vAlign w:val="center"/>
          </w:tcPr>
          <w:p w14:paraId="2063271C">
            <w:pPr>
              <w:pStyle w:val="286"/>
              <w:adjustRightInd w:val="0"/>
              <w:snapToGrid w:val="0"/>
              <w:spacing w:line="300" w:lineRule="exact"/>
              <w:rPr>
                <w:rFonts w:hint="eastAsia" w:cs="宋体"/>
                <w:color w:val="000000" w:themeColor="text1"/>
                <w:sz w:val="21"/>
                <w14:textFill>
                  <w14:solidFill>
                    <w14:schemeClr w14:val="tx1"/>
                  </w14:solidFill>
                </w14:textFill>
              </w:rPr>
            </w:pPr>
            <w:r>
              <w:rPr>
                <w:rFonts w:hint="eastAsia" w:cs="宋体"/>
                <w:color w:val="000000" w:themeColor="text1"/>
                <w:sz w:val="21"/>
                <w14:textFill>
                  <w14:solidFill>
                    <w14:schemeClr w14:val="tx1"/>
                  </w14:solidFill>
                </w14:textFill>
              </w:rPr>
              <w:t>2.8</w:t>
            </w:r>
          </w:p>
        </w:tc>
        <w:tc>
          <w:tcPr>
            <w:tcW w:w="1114" w:type="dxa"/>
            <w:vAlign w:val="center"/>
          </w:tcPr>
          <w:p w14:paraId="16E02A93">
            <w:pPr>
              <w:pStyle w:val="286"/>
              <w:adjustRightInd w:val="0"/>
              <w:snapToGrid w:val="0"/>
              <w:spacing w:line="300" w:lineRule="exact"/>
              <w:rPr>
                <w:rFonts w:hint="eastAsia" w:cs="宋体"/>
                <w:color w:val="000000" w:themeColor="text1"/>
                <w:sz w:val="21"/>
                <w14:textFill>
                  <w14:solidFill>
                    <w14:schemeClr w14:val="tx1"/>
                  </w14:solidFill>
                </w14:textFill>
              </w:rPr>
            </w:pPr>
            <w:r>
              <w:rPr>
                <w:rFonts w:hint="eastAsia" w:cs="宋体"/>
                <w:color w:val="000000" w:themeColor="text1"/>
                <w:sz w:val="21"/>
                <w14:textFill>
                  <w14:solidFill>
                    <w14:schemeClr w14:val="tx1"/>
                  </w14:solidFill>
                </w14:textFill>
              </w:rPr>
              <w:t>22</w:t>
            </w:r>
          </w:p>
        </w:tc>
        <w:tc>
          <w:tcPr>
            <w:tcW w:w="2075" w:type="dxa"/>
            <w:vAlign w:val="center"/>
          </w:tcPr>
          <w:p w14:paraId="30CE153B">
            <w:pPr>
              <w:pStyle w:val="286"/>
              <w:adjustRightInd w:val="0"/>
              <w:snapToGrid w:val="0"/>
              <w:spacing w:line="300" w:lineRule="exact"/>
              <w:rPr>
                <w:rFonts w:hint="eastAsia" w:cs="宋体"/>
                <w:color w:val="000000" w:themeColor="text1"/>
                <w:sz w:val="21"/>
                <w14:textFill>
                  <w14:solidFill>
                    <w14:schemeClr w14:val="tx1"/>
                  </w14:solidFill>
                </w14:textFill>
              </w:rPr>
            </w:pPr>
            <w:r>
              <w:rPr>
                <w:rFonts w:hint="eastAsia" w:cs="宋体"/>
                <w:color w:val="000000" w:themeColor="text1"/>
                <w:sz w:val="21"/>
                <w14:textFill>
                  <w14:solidFill>
                    <w14:schemeClr w14:val="tx1"/>
                  </w14:solidFill>
                </w14:textFill>
              </w:rPr>
              <w:t>1,1,2-三氯乙烷</w:t>
            </w:r>
          </w:p>
        </w:tc>
        <w:tc>
          <w:tcPr>
            <w:tcW w:w="1453" w:type="dxa"/>
            <w:vAlign w:val="center"/>
          </w:tcPr>
          <w:p w14:paraId="6D114B60">
            <w:pPr>
              <w:pStyle w:val="286"/>
              <w:adjustRightInd w:val="0"/>
              <w:snapToGrid w:val="0"/>
              <w:spacing w:line="300" w:lineRule="exact"/>
              <w:rPr>
                <w:rFonts w:hint="eastAsia" w:cs="宋体"/>
                <w:color w:val="000000" w:themeColor="text1"/>
                <w:sz w:val="21"/>
                <w14:textFill>
                  <w14:solidFill>
                    <w14:schemeClr w14:val="tx1"/>
                  </w14:solidFill>
                </w14:textFill>
              </w:rPr>
            </w:pPr>
            <w:r>
              <w:rPr>
                <w:rFonts w:hint="eastAsia" w:cs="宋体"/>
                <w:color w:val="000000" w:themeColor="text1"/>
                <w:sz w:val="21"/>
                <w14:textFill>
                  <w14:solidFill>
                    <w14:schemeClr w14:val="tx1"/>
                  </w14:solidFill>
                </w14:textFill>
              </w:rPr>
              <w:t>2.8</w:t>
            </w:r>
          </w:p>
        </w:tc>
      </w:tr>
      <w:tr w14:paraId="6C777D5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663" w:type="dxa"/>
            <w:vAlign w:val="center"/>
          </w:tcPr>
          <w:p w14:paraId="6117C60B">
            <w:pPr>
              <w:pStyle w:val="286"/>
              <w:adjustRightInd w:val="0"/>
              <w:snapToGrid w:val="0"/>
              <w:spacing w:line="300" w:lineRule="exact"/>
              <w:rPr>
                <w:rFonts w:hint="eastAsia" w:cs="宋体"/>
                <w:color w:val="000000" w:themeColor="text1"/>
                <w:sz w:val="21"/>
                <w14:textFill>
                  <w14:solidFill>
                    <w14:schemeClr w14:val="tx1"/>
                  </w14:solidFill>
                </w14:textFill>
              </w:rPr>
            </w:pPr>
            <w:r>
              <w:rPr>
                <w:rFonts w:hint="eastAsia" w:cs="宋体"/>
                <w:color w:val="000000" w:themeColor="text1"/>
                <w:sz w:val="21"/>
                <w14:textFill>
                  <w14:solidFill>
                    <w14:schemeClr w14:val="tx1"/>
                  </w14:solidFill>
                </w14:textFill>
              </w:rPr>
              <w:t>9</w:t>
            </w:r>
          </w:p>
        </w:tc>
        <w:tc>
          <w:tcPr>
            <w:tcW w:w="1950" w:type="dxa"/>
            <w:vAlign w:val="center"/>
          </w:tcPr>
          <w:p w14:paraId="6815740D">
            <w:pPr>
              <w:pStyle w:val="286"/>
              <w:adjustRightInd w:val="0"/>
              <w:snapToGrid w:val="0"/>
              <w:spacing w:line="300" w:lineRule="exact"/>
              <w:rPr>
                <w:rFonts w:hint="eastAsia" w:cs="宋体"/>
                <w:color w:val="000000" w:themeColor="text1"/>
                <w:sz w:val="21"/>
                <w14:textFill>
                  <w14:solidFill>
                    <w14:schemeClr w14:val="tx1"/>
                  </w14:solidFill>
                </w14:textFill>
              </w:rPr>
            </w:pPr>
            <w:r>
              <w:rPr>
                <w:rFonts w:hint="eastAsia" w:cs="宋体"/>
                <w:color w:val="000000" w:themeColor="text1"/>
                <w:sz w:val="21"/>
                <w14:textFill>
                  <w14:solidFill>
                    <w14:schemeClr w14:val="tx1"/>
                  </w14:solidFill>
                </w14:textFill>
              </w:rPr>
              <w:t>氯仿</w:t>
            </w:r>
          </w:p>
        </w:tc>
        <w:tc>
          <w:tcPr>
            <w:tcW w:w="1531" w:type="dxa"/>
            <w:vAlign w:val="center"/>
          </w:tcPr>
          <w:p w14:paraId="1A1211AF">
            <w:pPr>
              <w:pStyle w:val="286"/>
              <w:adjustRightInd w:val="0"/>
              <w:snapToGrid w:val="0"/>
              <w:spacing w:line="300" w:lineRule="exact"/>
              <w:rPr>
                <w:rFonts w:hint="eastAsia" w:cs="宋体"/>
                <w:color w:val="000000" w:themeColor="text1"/>
                <w:sz w:val="21"/>
                <w14:textFill>
                  <w14:solidFill>
                    <w14:schemeClr w14:val="tx1"/>
                  </w14:solidFill>
                </w14:textFill>
              </w:rPr>
            </w:pPr>
            <w:r>
              <w:rPr>
                <w:rFonts w:hint="eastAsia" w:cs="宋体"/>
                <w:color w:val="000000" w:themeColor="text1"/>
                <w:sz w:val="21"/>
                <w14:textFill>
                  <w14:solidFill>
                    <w14:schemeClr w14:val="tx1"/>
                  </w14:solidFill>
                </w14:textFill>
              </w:rPr>
              <w:t>0.9</w:t>
            </w:r>
          </w:p>
        </w:tc>
        <w:tc>
          <w:tcPr>
            <w:tcW w:w="1114" w:type="dxa"/>
            <w:vAlign w:val="center"/>
          </w:tcPr>
          <w:p w14:paraId="423D1CD3">
            <w:pPr>
              <w:pStyle w:val="286"/>
              <w:adjustRightInd w:val="0"/>
              <w:snapToGrid w:val="0"/>
              <w:spacing w:line="300" w:lineRule="exact"/>
              <w:rPr>
                <w:rFonts w:hint="eastAsia" w:cs="宋体"/>
                <w:color w:val="000000" w:themeColor="text1"/>
                <w:sz w:val="21"/>
                <w14:textFill>
                  <w14:solidFill>
                    <w14:schemeClr w14:val="tx1"/>
                  </w14:solidFill>
                </w14:textFill>
              </w:rPr>
            </w:pPr>
            <w:r>
              <w:rPr>
                <w:rFonts w:hint="eastAsia" w:cs="宋体"/>
                <w:color w:val="000000" w:themeColor="text1"/>
                <w:sz w:val="21"/>
                <w14:textFill>
                  <w14:solidFill>
                    <w14:schemeClr w14:val="tx1"/>
                  </w14:solidFill>
                </w14:textFill>
              </w:rPr>
              <w:t>23</w:t>
            </w:r>
          </w:p>
        </w:tc>
        <w:tc>
          <w:tcPr>
            <w:tcW w:w="2075" w:type="dxa"/>
            <w:vAlign w:val="center"/>
          </w:tcPr>
          <w:p w14:paraId="3D87919C">
            <w:pPr>
              <w:pStyle w:val="286"/>
              <w:adjustRightInd w:val="0"/>
              <w:snapToGrid w:val="0"/>
              <w:spacing w:line="300" w:lineRule="exact"/>
              <w:rPr>
                <w:rFonts w:hint="eastAsia" w:cs="宋体"/>
                <w:color w:val="000000" w:themeColor="text1"/>
                <w:sz w:val="21"/>
                <w14:textFill>
                  <w14:solidFill>
                    <w14:schemeClr w14:val="tx1"/>
                  </w14:solidFill>
                </w14:textFill>
              </w:rPr>
            </w:pPr>
            <w:r>
              <w:rPr>
                <w:rFonts w:hint="eastAsia" w:cs="宋体"/>
                <w:color w:val="000000" w:themeColor="text1"/>
                <w:sz w:val="21"/>
                <w14:textFill>
                  <w14:solidFill>
                    <w14:schemeClr w14:val="tx1"/>
                  </w14:solidFill>
                </w14:textFill>
              </w:rPr>
              <w:t>三氯乙烯</w:t>
            </w:r>
          </w:p>
        </w:tc>
        <w:tc>
          <w:tcPr>
            <w:tcW w:w="1453" w:type="dxa"/>
            <w:vAlign w:val="center"/>
          </w:tcPr>
          <w:p w14:paraId="14E9E80A">
            <w:pPr>
              <w:pStyle w:val="286"/>
              <w:adjustRightInd w:val="0"/>
              <w:snapToGrid w:val="0"/>
              <w:spacing w:line="300" w:lineRule="exact"/>
              <w:rPr>
                <w:rFonts w:hint="eastAsia" w:cs="宋体"/>
                <w:color w:val="000000" w:themeColor="text1"/>
                <w:sz w:val="21"/>
                <w14:textFill>
                  <w14:solidFill>
                    <w14:schemeClr w14:val="tx1"/>
                  </w14:solidFill>
                </w14:textFill>
              </w:rPr>
            </w:pPr>
            <w:r>
              <w:rPr>
                <w:rFonts w:hint="eastAsia" w:cs="宋体"/>
                <w:color w:val="000000" w:themeColor="text1"/>
                <w:sz w:val="21"/>
                <w14:textFill>
                  <w14:solidFill>
                    <w14:schemeClr w14:val="tx1"/>
                  </w14:solidFill>
                </w14:textFill>
              </w:rPr>
              <w:t>2.8</w:t>
            </w:r>
          </w:p>
        </w:tc>
      </w:tr>
      <w:tr w14:paraId="62D7984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663" w:type="dxa"/>
            <w:vAlign w:val="center"/>
          </w:tcPr>
          <w:p w14:paraId="3F10EEF7">
            <w:pPr>
              <w:pStyle w:val="286"/>
              <w:adjustRightInd w:val="0"/>
              <w:snapToGrid w:val="0"/>
              <w:spacing w:line="300" w:lineRule="exact"/>
              <w:rPr>
                <w:rFonts w:hint="eastAsia" w:cs="宋体"/>
                <w:color w:val="000000" w:themeColor="text1"/>
                <w:sz w:val="21"/>
                <w14:textFill>
                  <w14:solidFill>
                    <w14:schemeClr w14:val="tx1"/>
                  </w14:solidFill>
                </w14:textFill>
              </w:rPr>
            </w:pPr>
            <w:r>
              <w:rPr>
                <w:rFonts w:hint="eastAsia" w:cs="宋体"/>
                <w:color w:val="000000" w:themeColor="text1"/>
                <w:sz w:val="21"/>
                <w14:textFill>
                  <w14:solidFill>
                    <w14:schemeClr w14:val="tx1"/>
                  </w14:solidFill>
                </w14:textFill>
              </w:rPr>
              <w:t>10</w:t>
            </w:r>
          </w:p>
        </w:tc>
        <w:tc>
          <w:tcPr>
            <w:tcW w:w="1950" w:type="dxa"/>
            <w:vAlign w:val="center"/>
          </w:tcPr>
          <w:p w14:paraId="07AC4A95">
            <w:pPr>
              <w:pStyle w:val="286"/>
              <w:adjustRightInd w:val="0"/>
              <w:snapToGrid w:val="0"/>
              <w:spacing w:line="300" w:lineRule="exact"/>
              <w:rPr>
                <w:rFonts w:hint="eastAsia" w:cs="宋体"/>
                <w:color w:val="000000" w:themeColor="text1"/>
                <w:sz w:val="21"/>
                <w14:textFill>
                  <w14:solidFill>
                    <w14:schemeClr w14:val="tx1"/>
                  </w14:solidFill>
                </w14:textFill>
              </w:rPr>
            </w:pPr>
            <w:r>
              <w:rPr>
                <w:rFonts w:hint="eastAsia" w:cs="宋体"/>
                <w:color w:val="000000" w:themeColor="text1"/>
                <w:sz w:val="21"/>
                <w14:textFill>
                  <w14:solidFill>
                    <w14:schemeClr w14:val="tx1"/>
                  </w14:solidFill>
                </w14:textFill>
              </w:rPr>
              <w:t>氯甲烷</w:t>
            </w:r>
          </w:p>
        </w:tc>
        <w:tc>
          <w:tcPr>
            <w:tcW w:w="1531" w:type="dxa"/>
            <w:vAlign w:val="center"/>
          </w:tcPr>
          <w:p w14:paraId="77B5E93A">
            <w:pPr>
              <w:pStyle w:val="286"/>
              <w:adjustRightInd w:val="0"/>
              <w:snapToGrid w:val="0"/>
              <w:spacing w:line="300" w:lineRule="exact"/>
              <w:rPr>
                <w:rFonts w:hint="eastAsia" w:cs="宋体"/>
                <w:color w:val="000000" w:themeColor="text1"/>
                <w:sz w:val="21"/>
                <w14:textFill>
                  <w14:solidFill>
                    <w14:schemeClr w14:val="tx1"/>
                  </w14:solidFill>
                </w14:textFill>
              </w:rPr>
            </w:pPr>
            <w:r>
              <w:rPr>
                <w:rFonts w:hint="eastAsia" w:cs="宋体"/>
                <w:color w:val="000000" w:themeColor="text1"/>
                <w:sz w:val="21"/>
                <w14:textFill>
                  <w14:solidFill>
                    <w14:schemeClr w14:val="tx1"/>
                  </w14:solidFill>
                </w14:textFill>
              </w:rPr>
              <w:t>37</w:t>
            </w:r>
          </w:p>
        </w:tc>
        <w:tc>
          <w:tcPr>
            <w:tcW w:w="1114" w:type="dxa"/>
            <w:vAlign w:val="center"/>
          </w:tcPr>
          <w:p w14:paraId="18C151A1">
            <w:pPr>
              <w:pStyle w:val="286"/>
              <w:adjustRightInd w:val="0"/>
              <w:snapToGrid w:val="0"/>
              <w:spacing w:line="300" w:lineRule="exact"/>
              <w:rPr>
                <w:rFonts w:hint="eastAsia" w:cs="宋体"/>
                <w:color w:val="000000" w:themeColor="text1"/>
                <w:sz w:val="21"/>
                <w14:textFill>
                  <w14:solidFill>
                    <w14:schemeClr w14:val="tx1"/>
                  </w14:solidFill>
                </w14:textFill>
              </w:rPr>
            </w:pPr>
            <w:r>
              <w:rPr>
                <w:rFonts w:hint="eastAsia" w:cs="宋体"/>
                <w:color w:val="000000" w:themeColor="text1"/>
                <w:sz w:val="21"/>
                <w14:textFill>
                  <w14:solidFill>
                    <w14:schemeClr w14:val="tx1"/>
                  </w14:solidFill>
                </w14:textFill>
              </w:rPr>
              <w:t>24</w:t>
            </w:r>
          </w:p>
        </w:tc>
        <w:tc>
          <w:tcPr>
            <w:tcW w:w="2075" w:type="dxa"/>
            <w:vAlign w:val="center"/>
          </w:tcPr>
          <w:p w14:paraId="4B655532">
            <w:pPr>
              <w:pStyle w:val="286"/>
              <w:adjustRightInd w:val="0"/>
              <w:snapToGrid w:val="0"/>
              <w:spacing w:line="300" w:lineRule="exact"/>
              <w:rPr>
                <w:rFonts w:hint="eastAsia" w:cs="宋体"/>
                <w:color w:val="000000" w:themeColor="text1"/>
                <w:sz w:val="21"/>
                <w14:textFill>
                  <w14:solidFill>
                    <w14:schemeClr w14:val="tx1"/>
                  </w14:solidFill>
                </w14:textFill>
              </w:rPr>
            </w:pPr>
            <w:r>
              <w:rPr>
                <w:rFonts w:hint="eastAsia" w:cs="宋体"/>
                <w:color w:val="000000" w:themeColor="text1"/>
                <w:sz w:val="21"/>
                <w14:textFill>
                  <w14:solidFill>
                    <w14:schemeClr w14:val="tx1"/>
                  </w14:solidFill>
                </w14:textFill>
              </w:rPr>
              <w:t>1,2,3-三氯丙烷</w:t>
            </w:r>
          </w:p>
        </w:tc>
        <w:tc>
          <w:tcPr>
            <w:tcW w:w="1453" w:type="dxa"/>
            <w:vAlign w:val="center"/>
          </w:tcPr>
          <w:p w14:paraId="0982327D">
            <w:pPr>
              <w:pStyle w:val="286"/>
              <w:adjustRightInd w:val="0"/>
              <w:snapToGrid w:val="0"/>
              <w:spacing w:line="300" w:lineRule="exact"/>
              <w:rPr>
                <w:rFonts w:hint="eastAsia" w:cs="宋体"/>
                <w:color w:val="000000" w:themeColor="text1"/>
                <w:sz w:val="21"/>
                <w14:textFill>
                  <w14:solidFill>
                    <w14:schemeClr w14:val="tx1"/>
                  </w14:solidFill>
                </w14:textFill>
              </w:rPr>
            </w:pPr>
            <w:r>
              <w:rPr>
                <w:rFonts w:hint="eastAsia" w:cs="宋体"/>
                <w:color w:val="000000" w:themeColor="text1"/>
                <w:sz w:val="21"/>
                <w14:textFill>
                  <w14:solidFill>
                    <w14:schemeClr w14:val="tx1"/>
                  </w14:solidFill>
                </w14:textFill>
              </w:rPr>
              <w:t>0.5</w:t>
            </w:r>
          </w:p>
        </w:tc>
      </w:tr>
      <w:tr w14:paraId="71D05DB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663" w:type="dxa"/>
            <w:vAlign w:val="center"/>
          </w:tcPr>
          <w:p w14:paraId="03FA0F2D">
            <w:pPr>
              <w:pStyle w:val="286"/>
              <w:adjustRightInd w:val="0"/>
              <w:snapToGrid w:val="0"/>
              <w:spacing w:line="300" w:lineRule="exact"/>
              <w:rPr>
                <w:rFonts w:hint="eastAsia" w:cs="宋体"/>
                <w:color w:val="000000" w:themeColor="text1"/>
                <w:sz w:val="21"/>
                <w14:textFill>
                  <w14:solidFill>
                    <w14:schemeClr w14:val="tx1"/>
                  </w14:solidFill>
                </w14:textFill>
              </w:rPr>
            </w:pPr>
            <w:r>
              <w:rPr>
                <w:rFonts w:hint="eastAsia" w:cs="宋体"/>
                <w:color w:val="000000" w:themeColor="text1"/>
                <w:sz w:val="21"/>
                <w14:textFill>
                  <w14:solidFill>
                    <w14:schemeClr w14:val="tx1"/>
                  </w14:solidFill>
                </w14:textFill>
              </w:rPr>
              <w:t>11</w:t>
            </w:r>
          </w:p>
        </w:tc>
        <w:tc>
          <w:tcPr>
            <w:tcW w:w="1950" w:type="dxa"/>
            <w:vAlign w:val="center"/>
          </w:tcPr>
          <w:p w14:paraId="2B24DEFB">
            <w:pPr>
              <w:pStyle w:val="286"/>
              <w:adjustRightInd w:val="0"/>
              <w:snapToGrid w:val="0"/>
              <w:spacing w:line="300" w:lineRule="exact"/>
              <w:rPr>
                <w:rFonts w:hint="eastAsia" w:cs="宋体"/>
                <w:color w:val="000000" w:themeColor="text1"/>
                <w:sz w:val="21"/>
                <w14:textFill>
                  <w14:solidFill>
                    <w14:schemeClr w14:val="tx1"/>
                  </w14:solidFill>
                </w14:textFill>
              </w:rPr>
            </w:pPr>
            <w:r>
              <w:rPr>
                <w:rFonts w:hint="eastAsia" w:cs="宋体"/>
                <w:color w:val="000000" w:themeColor="text1"/>
                <w:sz w:val="21"/>
                <w14:textFill>
                  <w14:solidFill>
                    <w14:schemeClr w14:val="tx1"/>
                  </w14:solidFill>
                </w14:textFill>
              </w:rPr>
              <w:t>1,1-二氯乙烷</w:t>
            </w:r>
          </w:p>
        </w:tc>
        <w:tc>
          <w:tcPr>
            <w:tcW w:w="1531" w:type="dxa"/>
            <w:vAlign w:val="center"/>
          </w:tcPr>
          <w:p w14:paraId="408B0E69">
            <w:pPr>
              <w:pStyle w:val="286"/>
              <w:adjustRightInd w:val="0"/>
              <w:snapToGrid w:val="0"/>
              <w:spacing w:line="300" w:lineRule="exact"/>
              <w:rPr>
                <w:rFonts w:hint="eastAsia" w:cs="宋体"/>
                <w:color w:val="000000" w:themeColor="text1"/>
                <w:sz w:val="21"/>
                <w14:textFill>
                  <w14:solidFill>
                    <w14:schemeClr w14:val="tx1"/>
                  </w14:solidFill>
                </w14:textFill>
              </w:rPr>
            </w:pPr>
            <w:r>
              <w:rPr>
                <w:rFonts w:hint="eastAsia" w:cs="宋体"/>
                <w:color w:val="000000" w:themeColor="text1"/>
                <w:sz w:val="21"/>
                <w14:textFill>
                  <w14:solidFill>
                    <w14:schemeClr w14:val="tx1"/>
                  </w14:solidFill>
                </w14:textFill>
              </w:rPr>
              <w:t>9</w:t>
            </w:r>
          </w:p>
        </w:tc>
        <w:tc>
          <w:tcPr>
            <w:tcW w:w="1114" w:type="dxa"/>
            <w:vAlign w:val="center"/>
          </w:tcPr>
          <w:p w14:paraId="31B4BA12">
            <w:pPr>
              <w:pStyle w:val="286"/>
              <w:adjustRightInd w:val="0"/>
              <w:snapToGrid w:val="0"/>
              <w:spacing w:line="300" w:lineRule="exact"/>
              <w:rPr>
                <w:rFonts w:hint="eastAsia" w:cs="宋体"/>
                <w:color w:val="000000" w:themeColor="text1"/>
                <w:sz w:val="21"/>
                <w14:textFill>
                  <w14:solidFill>
                    <w14:schemeClr w14:val="tx1"/>
                  </w14:solidFill>
                </w14:textFill>
              </w:rPr>
            </w:pPr>
            <w:r>
              <w:rPr>
                <w:rFonts w:hint="eastAsia" w:cs="宋体"/>
                <w:color w:val="000000" w:themeColor="text1"/>
                <w:sz w:val="21"/>
                <w14:textFill>
                  <w14:solidFill>
                    <w14:schemeClr w14:val="tx1"/>
                  </w14:solidFill>
                </w14:textFill>
              </w:rPr>
              <w:t>25</w:t>
            </w:r>
          </w:p>
        </w:tc>
        <w:tc>
          <w:tcPr>
            <w:tcW w:w="2075" w:type="dxa"/>
            <w:vAlign w:val="center"/>
          </w:tcPr>
          <w:p w14:paraId="7D531BE7">
            <w:pPr>
              <w:pStyle w:val="286"/>
              <w:adjustRightInd w:val="0"/>
              <w:snapToGrid w:val="0"/>
              <w:spacing w:line="300" w:lineRule="exact"/>
              <w:rPr>
                <w:rFonts w:hint="eastAsia" w:cs="宋体"/>
                <w:color w:val="000000" w:themeColor="text1"/>
                <w:sz w:val="21"/>
                <w14:textFill>
                  <w14:solidFill>
                    <w14:schemeClr w14:val="tx1"/>
                  </w14:solidFill>
                </w14:textFill>
              </w:rPr>
            </w:pPr>
            <w:r>
              <w:rPr>
                <w:rFonts w:hint="eastAsia" w:cs="宋体"/>
                <w:color w:val="000000" w:themeColor="text1"/>
                <w:sz w:val="21"/>
                <w14:textFill>
                  <w14:solidFill>
                    <w14:schemeClr w14:val="tx1"/>
                  </w14:solidFill>
                </w14:textFill>
              </w:rPr>
              <w:t>氯乙烯</w:t>
            </w:r>
          </w:p>
        </w:tc>
        <w:tc>
          <w:tcPr>
            <w:tcW w:w="1453" w:type="dxa"/>
            <w:vAlign w:val="center"/>
          </w:tcPr>
          <w:p w14:paraId="7862652D">
            <w:pPr>
              <w:pStyle w:val="286"/>
              <w:adjustRightInd w:val="0"/>
              <w:snapToGrid w:val="0"/>
              <w:spacing w:line="300" w:lineRule="exact"/>
              <w:rPr>
                <w:rFonts w:hint="eastAsia" w:cs="宋体"/>
                <w:color w:val="000000" w:themeColor="text1"/>
                <w:sz w:val="21"/>
                <w14:textFill>
                  <w14:solidFill>
                    <w14:schemeClr w14:val="tx1"/>
                  </w14:solidFill>
                </w14:textFill>
              </w:rPr>
            </w:pPr>
            <w:r>
              <w:rPr>
                <w:rFonts w:hint="eastAsia" w:cs="宋体"/>
                <w:color w:val="000000" w:themeColor="text1"/>
                <w:sz w:val="21"/>
                <w14:textFill>
                  <w14:solidFill>
                    <w14:schemeClr w14:val="tx1"/>
                  </w14:solidFill>
                </w14:textFill>
              </w:rPr>
              <w:t>0.43</w:t>
            </w:r>
          </w:p>
        </w:tc>
      </w:tr>
      <w:tr w14:paraId="58DE165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663" w:type="dxa"/>
            <w:vAlign w:val="center"/>
          </w:tcPr>
          <w:p w14:paraId="61A824BF">
            <w:pPr>
              <w:pStyle w:val="286"/>
              <w:adjustRightInd w:val="0"/>
              <w:snapToGrid w:val="0"/>
              <w:spacing w:line="300" w:lineRule="exact"/>
              <w:rPr>
                <w:rFonts w:hint="eastAsia" w:cs="宋体"/>
                <w:color w:val="000000" w:themeColor="text1"/>
                <w:sz w:val="21"/>
                <w14:textFill>
                  <w14:solidFill>
                    <w14:schemeClr w14:val="tx1"/>
                  </w14:solidFill>
                </w14:textFill>
              </w:rPr>
            </w:pPr>
            <w:r>
              <w:rPr>
                <w:rFonts w:hint="eastAsia" w:cs="宋体"/>
                <w:color w:val="000000" w:themeColor="text1"/>
                <w:sz w:val="21"/>
                <w14:textFill>
                  <w14:solidFill>
                    <w14:schemeClr w14:val="tx1"/>
                  </w14:solidFill>
                </w14:textFill>
              </w:rPr>
              <w:t>12</w:t>
            </w:r>
          </w:p>
        </w:tc>
        <w:tc>
          <w:tcPr>
            <w:tcW w:w="1950" w:type="dxa"/>
            <w:vAlign w:val="center"/>
          </w:tcPr>
          <w:p w14:paraId="0A96A98D">
            <w:pPr>
              <w:pStyle w:val="286"/>
              <w:adjustRightInd w:val="0"/>
              <w:snapToGrid w:val="0"/>
              <w:spacing w:line="300" w:lineRule="exact"/>
              <w:rPr>
                <w:rFonts w:hint="eastAsia" w:cs="宋体"/>
                <w:color w:val="000000" w:themeColor="text1"/>
                <w:sz w:val="21"/>
                <w14:textFill>
                  <w14:solidFill>
                    <w14:schemeClr w14:val="tx1"/>
                  </w14:solidFill>
                </w14:textFill>
              </w:rPr>
            </w:pPr>
            <w:r>
              <w:rPr>
                <w:rFonts w:hint="eastAsia" w:cs="宋体"/>
                <w:color w:val="000000" w:themeColor="text1"/>
                <w:sz w:val="21"/>
                <w14:textFill>
                  <w14:solidFill>
                    <w14:schemeClr w14:val="tx1"/>
                  </w14:solidFill>
                </w14:textFill>
              </w:rPr>
              <w:t>1,2-二氯乙烷</w:t>
            </w:r>
          </w:p>
        </w:tc>
        <w:tc>
          <w:tcPr>
            <w:tcW w:w="1531" w:type="dxa"/>
            <w:vAlign w:val="center"/>
          </w:tcPr>
          <w:p w14:paraId="50F34ADB">
            <w:pPr>
              <w:pStyle w:val="286"/>
              <w:adjustRightInd w:val="0"/>
              <w:snapToGrid w:val="0"/>
              <w:spacing w:line="300" w:lineRule="exact"/>
              <w:rPr>
                <w:rFonts w:hint="eastAsia" w:cs="宋体"/>
                <w:color w:val="000000" w:themeColor="text1"/>
                <w:sz w:val="21"/>
                <w14:textFill>
                  <w14:solidFill>
                    <w14:schemeClr w14:val="tx1"/>
                  </w14:solidFill>
                </w14:textFill>
              </w:rPr>
            </w:pPr>
            <w:r>
              <w:rPr>
                <w:rFonts w:hint="eastAsia" w:cs="宋体"/>
                <w:color w:val="000000" w:themeColor="text1"/>
                <w:sz w:val="21"/>
                <w14:textFill>
                  <w14:solidFill>
                    <w14:schemeClr w14:val="tx1"/>
                  </w14:solidFill>
                </w14:textFill>
              </w:rPr>
              <w:t>5</w:t>
            </w:r>
          </w:p>
        </w:tc>
        <w:tc>
          <w:tcPr>
            <w:tcW w:w="1114" w:type="dxa"/>
            <w:vAlign w:val="center"/>
          </w:tcPr>
          <w:p w14:paraId="208B9C16">
            <w:pPr>
              <w:pStyle w:val="286"/>
              <w:adjustRightInd w:val="0"/>
              <w:snapToGrid w:val="0"/>
              <w:spacing w:line="300" w:lineRule="exact"/>
              <w:rPr>
                <w:rFonts w:hint="eastAsia" w:cs="宋体"/>
                <w:color w:val="000000" w:themeColor="text1"/>
                <w:sz w:val="21"/>
                <w14:textFill>
                  <w14:solidFill>
                    <w14:schemeClr w14:val="tx1"/>
                  </w14:solidFill>
                </w14:textFill>
              </w:rPr>
            </w:pPr>
            <w:r>
              <w:rPr>
                <w:rFonts w:hint="eastAsia" w:cs="宋体"/>
                <w:color w:val="000000" w:themeColor="text1"/>
                <w:sz w:val="21"/>
                <w14:textFill>
                  <w14:solidFill>
                    <w14:schemeClr w14:val="tx1"/>
                  </w14:solidFill>
                </w14:textFill>
              </w:rPr>
              <w:t>26</w:t>
            </w:r>
          </w:p>
        </w:tc>
        <w:tc>
          <w:tcPr>
            <w:tcW w:w="2075" w:type="dxa"/>
            <w:vAlign w:val="center"/>
          </w:tcPr>
          <w:p w14:paraId="26EFBA61">
            <w:pPr>
              <w:pStyle w:val="286"/>
              <w:adjustRightInd w:val="0"/>
              <w:snapToGrid w:val="0"/>
              <w:spacing w:line="300" w:lineRule="exact"/>
              <w:rPr>
                <w:rFonts w:hint="eastAsia" w:cs="宋体"/>
                <w:color w:val="000000" w:themeColor="text1"/>
                <w:sz w:val="21"/>
                <w14:textFill>
                  <w14:solidFill>
                    <w14:schemeClr w14:val="tx1"/>
                  </w14:solidFill>
                </w14:textFill>
              </w:rPr>
            </w:pPr>
            <w:r>
              <w:rPr>
                <w:rFonts w:hint="eastAsia" w:cs="宋体"/>
                <w:color w:val="000000" w:themeColor="text1"/>
                <w:sz w:val="21"/>
                <w14:textFill>
                  <w14:solidFill>
                    <w14:schemeClr w14:val="tx1"/>
                  </w14:solidFill>
                </w14:textFill>
              </w:rPr>
              <w:t>苯</w:t>
            </w:r>
          </w:p>
        </w:tc>
        <w:tc>
          <w:tcPr>
            <w:tcW w:w="1453" w:type="dxa"/>
            <w:vAlign w:val="center"/>
          </w:tcPr>
          <w:p w14:paraId="55CDF287">
            <w:pPr>
              <w:pStyle w:val="286"/>
              <w:adjustRightInd w:val="0"/>
              <w:snapToGrid w:val="0"/>
              <w:spacing w:line="300" w:lineRule="exact"/>
              <w:rPr>
                <w:rFonts w:hint="eastAsia" w:cs="宋体"/>
                <w:color w:val="000000" w:themeColor="text1"/>
                <w:sz w:val="21"/>
                <w14:textFill>
                  <w14:solidFill>
                    <w14:schemeClr w14:val="tx1"/>
                  </w14:solidFill>
                </w14:textFill>
              </w:rPr>
            </w:pPr>
            <w:r>
              <w:rPr>
                <w:rFonts w:hint="eastAsia" w:cs="宋体"/>
                <w:color w:val="000000" w:themeColor="text1"/>
                <w:sz w:val="21"/>
                <w14:textFill>
                  <w14:solidFill>
                    <w14:schemeClr w14:val="tx1"/>
                  </w14:solidFill>
                </w14:textFill>
              </w:rPr>
              <w:t>4</w:t>
            </w:r>
          </w:p>
        </w:tc>
      </w:tr>
      <w:tr w14:paraId="0EF840E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663" w:type="dxa"/>
            <w:vAlign w:val="center"/>
          </w:tcPr>
          <w:p w14:paraId="5B0BAD4B">
            <w:pPr>
              <w:pStyle w:val="286"/>
              <w:adjustRightInd w:val="0"/>
              <w:snapToGrid w:val="0"/>
              <w:spacing w:line="300" w:lineRule="exact"/>
              <w:rPr>
                <w:rFonts w:hint="eastAsia" w:cs="宋体"/>
                <w:color w:val="000000" w:themeColor="text1"/>
                <w:sz w:val="21"/>
                <w14:textFill>
                  <w14:solidFill>
                    <w14:schemeClr w14:val="tx1"/>
                  </w14:solidFill>
                </w14:textFill>
              </w:rPr>
            </w:pPr>
            <w:r>
              <w:rPr>
                <w:rFonts w:hint="eastAsia" w:cs="宋体"/>
                <w:color w:val="000000" w:themeColor="text1"/>
                <w:sz w:val="21"/>
                <w14:textFill>
                  <w14:solidFill>
                    <w14:schemeClr w14:val="tx1"/>
                  </w14:solidFill>
                </w14:textFill>
              </w:rPr>
              <w:t>13</w:t>
            </w:r>
          </w:p>
        </w:tc>
        <w:tc>
          <w:tcPr>
            <w:tcW w:w="1950" w:type="dxa"/>
            <w:vAlign w:val="center"/>
          </w:tcPr>
          <w:p w14:paraId="6A03FE18">
            <w:pPr>
              <w:pStyle w:val="286"/>
              <w:adjustRightInd w:val="0"/>
              <w:snapToGrid w:val="0"/>
              <w:spacing w:line="300" w:lineRule="exact"/>
              <w:rPr>
                <w:rFonts w:hint="eastAsia" w:cs="宋体"/>
                <w:color w:val="000000" w:themeColor="text1"/>
                <w:sz w:val="21"/>
                <w14:textFill>
                  <w14:solidFill>
                    <w14:schemeClr w14:val="tx1"/>
                  </w14:solidFill>
                </w14:textFill>
              </w:rPr>
            </w:pPr>
            <w:r>
              <w:rPr>
                <w:rFonts w:hint="eastAsia" w:cs="宋体"/>
                <w:color w:val="000000" w:themeColor="text1"/>
                <w:sz w:val="21"/>
                <w14:textFill>
                  <w14:solidFill>
                    <w14:schemeClr w14:val="tx1"/>
                  </w14:solidFill>
                </w14:textFill>
              </w:rPr>
              <w:t>1,1-二氯乙烯</w:t>
            </w:r>
          </w:p>
        </w:tc>
        <w:tc>
          <w:tcPr>
            <w:tcW w:w="1531" w:type="dxa"/>
            <w:vAlign w:val="center"/>
          </w:tcPr>
          <w:p w14:paraId="3637D57B">
            <w:pPr>
              <w:pStyle w:val="286"/>
              <w:adjustRightInd w:val="0"/>
              <w:snapToGrid w:val="0"/>
              <w:spacing w:line="300" w:lineRule="exact"/>
              <w:rPr>
                <w:rFonts w:hint="eastAsia" w:cs="宋体"/>
                <w:color w:val="000000" w:themeColor="text1"/>
                <w:sz w:val="21"/>
                <w14:textFill>
                  <w14:solidFill>
                    <w14:schemeClr w14:val="tx1"/>
                  </w14:solidFill>
                </w14:textFill>
              </w:rPr>
            </w:pPr>
            <w:r>
              <w:rPr>
                <w:rFonts w:hint="eastAsia" w:cs="宋体"/>
                <w:color w:val="000000" w:themeColor="text1"/>
                <w:sz w:val="21"/>
                <w14:textFill>
                  <w14:solidFill>
                    <w14:schemeClr w14:val="tx1"/>
                  </w14:solidFill>
                </w14:textFill>
              </w:rPr>
              <w:t>66</w:t>
            </w:r>
          </w:p>
        </w:tc>
        <w:tc>
          <w:tcPr>
            <w:tcW w:w="1114" w:type="dxa"/>
            <w:vAlign w:val="center"/>
          </w:tcPr>
          <w:p w14:paraId="1705A5B4">
            <w:pPr>
              <w:pStyle w:val="286"/>
              <w:adjustRightInd w:val="0"/>
              <w:snapToGrid w:val="0"/>
              <w:spacing w:line="300" w:lineRule="exact"/>
              <w:rPr>
                <w:rFonts w:hint="eastAsia" w:cs="宋体"/>
                <w:color w:val="000000" w:themeColor="text1"/>
                <w:sz w:val="21"/>
                <w14:textFill>
                  <w14:solidFill>
                    <w14:schemeClr w14:val="tx1"/>
                  </w14:solidFill>
                </w14:textFill>
              </w:rPr>
            </w:pPr>
            <w:r>
              <w:rPr>
                <w:rFonts w:hint="eastAsia" w:cs="宋体"/>
                <w:color w:val="000000" w:themeColor="text1"/>
                <w:sz w:val="21"/>
                <w14:textFill>
                  <w14:solidFill>
                    <w14:schemeClr w14:val="tx1"/>
                  </w14:solidFill>
                </w14:textFill>
              </w:rPr>
              <w:t>27</w:t>
            </w:r>
          </w:p>
        </w:tc>
        <w:tc>
          <w:tcPr>
            <w:tcW w:w="2075" w:type="dxa"/>
            <w:vAlign w:val="center"/>
          </w:tcPr>
          <w:p w14:paraId="4EB2B1F2">
            <w:pPr>
              <w:pStyle w:val="286"/>
              <w:adjustRightInd w:val="0"/>
              <w:snapToGrid w:val="0"/>
              <w:spacing w:line="300" w:lineRule="exact"/>
              <w:rPr>
                <w:rFonts w:hint="eastAsia" w:cs="宋体"/>
                <w:color w:val="000000" w:themeColor="text1"/>
                <w:sz w:val="21"/>
                <w14:textFill>
                  <w14:solidFill>
                    <w14:schemeClr w14:val="tx1"/>
                  </w14:solidFill>
                </w14:textFill>
              </w:rPr>
            </w:pPr>
            <w:r>
              <w:rPr>
                <w:rFonts w:hint="eastAsia" w:cs="宋体"/>
                <w:color w:val="000000" w:themeColor="text1"/>
                <w:sz w:val="21"/>
                <w14:textFill>
                  <w14:solidFill>
                    <w14:schemeClr w14:val="tx1"/>
                  </w14:solidFill>
                </w14:textFill>
              </w:rPr>
              <w:t>氯苯</w:t>
            </w:r>
          </w:p>
        </w:tc>
        <w:tc>
          <w:tcPr>
            <w:tcW w:w="1453" w:type="dxa"/>
            <w:vAlign w:val="center"/>
          </w:tcPr>
          <w:p w14:paraId="38617CA9">
            <w:pPr>
              <w:pStyle w:val="286"/>
              <w:adjustRightInd w:val="0"/>
              <w:snapToGrid w:val="0"/>
              <w:spacing w:line="300" w:lineRule="exact"/>
              <w:rPr>
                <w:rFonts w:hint="eastAsia" w:cs="宋体"/>
                <w:color w:val="000000" w:themeColor="text1"/>
                <w:sz w:val="21"/>
                <w14:textFill>
                  <w14:solidFill>
                    <w14:schemeClr w14:val="tx1"/>
                  </w14:solidFill>
                </w14:textFill>
              </w:rPr>
            </w:pPr>
            <w:r>
              <w:rPr>
                <w:rFonts w:hint="eastAsia" w:cs="宋体"/>
                <w:color w:val="000000" w:themeColor="text1"/>
                <w:sz w:val="21"/>
                <w14:textFill>
                  <w14:solidFill>
                    <w14:schemeClr w14:val="tx1"/>
                  </w14:solidFill>
                </w14:textFill>
              </w:rPr>
              <w:t>270</w:t>
            </w:r>
          </w:p>
        </w:tc>
      </w:tr>
      <w:tr w14:paraId="5035498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663" w:type="dxa"/>
            <w:vAlign w:val="center"/>
          </w:tcPr>
          <w:p w14:paraId="64DDB747">
            <w:pPr>
              <w:pStyle w:val="286"/>
              <w:adjustRightInd w:val="0"/>
              <w:snapToGrid w:val="0"/>
              <w:spacing w:line="300" w:lineRule="exact"/>
              <w:rPr>
                <w:rFonts w:hint="eastAsia" w:cs="宋体"/>
                <w:color w:val="000000" w:themeColor="text1"/>
                <w:sz w:val="21"/>
                <w14:textFill>
                  <w14:solidFill>
                    <w14:schemeClr w14:val="tx1"/>
                  </w14:solidFill>
                </w14:textFill>
              </w:rPr>
            </w:pPr>
            <w:r>
              <w:rPr>
                <w:rFonts w:hint="eastAsia" w:cs="宋体"/>
                <w:color w:val="000000" w:themeColor="text1"/>
                <w:sz w:val="21"/>
                <w14:textFill>
                  <w14:solidFill>
                    <w14:schemeClr w14:val="tx1"/>
                  </w14:solidFill>
                </w14:textFill>
              </w:rPr>
              <w:t>14</w:t>
            </w:r>
          </w:p>
        </w:tc>
        <w:tc>
          <w:tcPr>
            <w:tcW w:w="1950" w:type="dxa"/>
            <w:vAlign w:val="center"/>
          </w:tcPr>
          <w:p w14:paraId="28CCF9D5">
            <w:pPr>
              <w:pStyle w:val="286"/>
              <w:adjustRightInd w:val="0"/>
              <w:snapToGrid w:val="0"/>
              <w:spacing w:line="300" w:lineRule="exact"/>
              <w:rPr>
                <w:rFonts w:hint="eastAsia" w:cs="宋体"/>
                <w:color w:val="000000" w:themeColor="text1"/>
                <w:sz w:val="21"/>
                <w14:textFill>
                  <w14:solidFill>
                    <w14:schemeClr w14:val="tx1"/>
                  </w14:solidFill>
                </w14:textFill>
              </w:rPr>
            </w:pPr>
            <w:r>
              <w:rPr>
                <w:rFonts w:hint="eastAsia" w:cs="宋体"/>
                <w:color w:val="000000" w:themeColor="text1"/>
                <w:sz w:val="21"/>
                <w14:textFill>
                  <w14:solidFill>
                    <w14:schemeClr w14:val="tx1"/>
                  </w14:solidFill>
                </w14:textFill>
              </w:rPr>
              <w:t>顺-1,2-二氯乙烯</w:t>
            </w:r>
          </w:p>
        </w:tc>
        <w:tc>
          <w:tcPr>
            <w:tcW w:w="1531" w:type="dxa"/>
            <w:vAlign w:val="center"/>
          </w:tcPr>
          <w:p w14:paraId="5A992E74">
            <w:pPr>
              <w:pStyle w:val="286"/>
              <w:adjustRightInd w:val="0"/>
              <w:snapToGrid w:val="0"/>
              <w:spacing w:line="300" w:lineRule="exact"/>
              <w:rPr>
                <w:rFonts w:hint="eastAsia" w:cs="宋体"/>
                <w:color w:val="000000" w:themeColor="text1"/>
                <w:sz w:val="21"/>
                <w14:textFill>
                  <w14:solidFill>
                    <w14:schemeClr w14:val="tx1"/>
                  </w14:solidFill>
                </w14:textFill>
              </w:rPr>
            </w:pPr>
            <w:r>
              <w:rPr>
                <w:rFonts w:hint="eastAsia" w:cs="宋体"/>
                <w:color w:val="000000" w:themeColor="text1"/>
                <w:sz w:val="21"/>
                <w14:textFill>
                  <w14:solidFill>
                    <w14:schemeClr w14:val="tx1"/>
                  </w14:solidFill>
                </w14:textFill>
              </w:rPr>
              <w:t>596</w:t>
            </w:r>
          </w:p>
        </w:tc>
        <w:tc>
          <w:tcPr>
            <w:tcW w:w="1114" w:type="dxa"/>
            <w:vAlign w:val="center"/>
          </w:tcPr>
          <w:p w14:paraId="4197FC52">
            <w:pPr>
              <w:pStyle w:val="286"/>
              <w:adjustRightInd w:val="0"/>
              <w:snapToGrid w:val="0"/>
              <w:spacing w:line="300" w:lineRule="exact"/>
              <w:rPr>
                <w:rFonts w:hint="eastAsia" w:cs="宋体"/>
                <w:color w:val="000000" w:themeColor="text1"/>
                <w:sz w:val="21"/>
                <w14:textFill>
                  <w14:solidFill>
                    <w14:schemeClr w14:val="tx1"/>
                  </w14:solidFill>
                </w14:textFill>
              </w:rPr>
            </w:pPr>
            <w:r>
              <w:rPr>
                <w:rFonts w:hint="eastAsia" w:cs="宋体"/>
                <w:color w:val="000000" w:themeColor="text1"/>
                <w:sz w:val="21"/>
                <w14:textFill>
                  <w14:solidFill>
                    <w14:schemeClr w14:val="tx1"/>
                  </w14:solidFill>
                </w14:textFill>
              </w:rPr>
              <w:t>28</w:t>
            </w:r>
          </w:p>
        </w:tc>
        <w:tc>
          <w:tcPr>
            <w:tcW w:w="2075" w:type="dxa"/>
            <w:vAlign w:val="center"/>
          </w:tcPr>
          <w:p w14:paraId="7EB7AA01">
            <w:pPr>
              <w:pStyle w:val="286"/>
              <w:adjustRightInd w:val="0"/>
              <w:snapToGrid w:val="0"/>
              <w:spacing w:line="300" w:lineRule="exact"/>
              <w:rPr>
                <w:rFonts w:hint="eastAsia" w:cs="宋体"/>
                <w:color w:val="000000" w:themeColor="text1"/>
                <w:sz w:val="21"/>
                <w14:textFill>
                  <w14:solidFill>
                    <w14:schemeClr w14:val="tx1"/>
                  </w14:solidFill>
                </w14:textFill>
              </w:rPr>
            </w:pPr>
            <w:r>
              <w:rPr>
                <w:rFonts w:hint="eastAsia" w:cs="宋体"/>
                <w:color w:val="000000" w:themeColor="text1"/>
                <w:sz w:val="21"/>
                <w14:textFill>
                  <w14:solidFill>
                    <w14:schemeClr w14:val="tx1"/>
                  </w14:solidFill>
                </w14:textFill>
              </w:rPr>
              <w:t>1,2-二氯苯</w:t>
            </w:r>
          </w:p>
        </w:tc>
        <w:tc>
          <w:tcPr>
            <w:tcW w:w="1453" w:type="dxa"/>
            <w:vAlign w:val="center"/>
          </w:tcPr>
          <w:p w14:paraId="6701EEDC">
            <w:pPr>
              <w:pStyle w:val="286"/>
              <w:adjustRightInd w:val="0"/>
              <w:snapToGrid w:val="0"/>
              <w:spacing w:line="300" w:lineRule="exact"/>
              <w:rPr>
                <w:rFonts w:hint="eastAsia" w:cs="宋体"/>
                <w:color w:val="000000" w:themeColor="text1"/>
                <w:sz w:val="21"/>
                <w14:textFill>
                  <w14:solidFill>
                    <w14:schemeClr w14:val="tx1"/>
                  </w14:solidFill>
                </w14:textFill>
              </w:rPr>
            </w:pPr>
            <w:r>
              <w:rPr>
                <w:rFonts w:hint="eastAsia" w:cs="宋体"/>
                <w:color w:val="000000" w:themeColor="text1"/>
                <w:sz w:val="21"/>
                <w14:textFill>
                  <w14:solidFill>
                    <w14:schemeClr w14:val="tx1"/>
                  </w14:solidFill>
                </w14:textFill>
              </w:rPr>
              <w:t>560</w:t>
            </w:r>
          </w:p>
        </w:tc>
      </w:tr>
      <w:tr w14:paraId="056C738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663" w:type="dxa"/>
            <w:vAlign w:val="center"/>
          </w:tcPr>
          <w:p w14:paraId="2753D269">
            <w:pPr>
              <w:pStyle w:val="286"/>
              <w:adjustRightInd w:val="0"/>
              <w:snapToGrid w:val="0"/>
              <w:spacing w:line="300" w:lineRule="exact"/>
              <w:rPr>
                <w:rFonts w:hint="eastAsia" w:cs="宋体"/>
                <w:color w:val="000000" w:themeColor="text1"/>
                <w:sz w:val="21"/>
                <w14:textFill>
                  <w14:solidFill>
                    <w14:schemeClr w14:val="tx1"/>
                  </w14:solidFill>
                </w14:textFill>
              </w:rPr>
            </w:pPr>
            <w:r>
              <w:rPr>
                <w:rFonts w:hint="eastAsia" w:cs="宋体"/>
                <w:color w:val="000000" w:themeColor="text1"/>
                <w:sz w:val="21"/>
                <w14:textFill>
                  <w14:solidFill>
                    <w14:schemeClr w14:val="tx1"/>
                  </w14:solidFill>
                </w14:textFill>
              </w:rPr>
              <w:t>15</w:t>
            </w:r>
          </w:p>
        </w:tc>
        <w:tc>
          <w:tcPr>
            <w:tcW w:w="1950" w:type="dxa"/>
            <w:vAlign w:val="center"/>
          </w:tcPr>
          <w:p w14:paraId="55BBC95B">
            <w:pPr>
              <w:pStyle w:val="286"/>
              <w:adjustRightInd w:val="0"/>
              <w:snapToGrid w:val="0"/>
              <w:spacing w:line="300" w:lineRule="exact"/>
              <w:rPr>
                <w:rFonts w:hint="eastAsia" w:cs="宋体"/>
                <w:color w:val="000000" w:themeColor="text1"/>
                <w:sz w:val="21"/>
                <w14:textFill>
                  <w14:solidFill>
                    <w14:schemeClr w14:val="tx1"/>
                  </w14:solidFill>
                </w14:textFill>
              </w:rPr>
            </w:pPr>
            <w:r>
              <w:rPr>
                <w:rFonts w:hint="eastAsia" w:cs="宋体"/>
                <w:color w:val="000000" w:themeColor="text1"/>
                <w:sz w:val="21"/>
                <w14:textFill>
                  <w14:solidFill>
                    <w14:schemeClr w14:val="tx1"/>
                  </w14:solidFill>
                </w14:textFill>
              </w:rPr>
              <w:t>反-1,2-二氯乙烯</w:t>
            </w:r>
          </w:p>
        </w:tc>
        <w:tc>
          <w:tcPr>
            <w:tcW w:w="1531" w:type="dxa"/>
            <w:vAlign w:val="center"/>
          </w:tcPr>
          <w:p w14:paraId="20287F47">
            <w:pPr>
              <w:pStyle w:val="286"/>
              <w:adjustRightInd w:val="0"/>
              <w:snapToGrid w:val="0"/>
              <w:spacing w:line="300" w:lineRule="exact"/>
              <w:rPr>
                <w:rFonts w:hint="eastAsia" w:cs="宋体"/>
                <w:color w:val="000000" w:themeColor="text1"/>
                <w:sz w:val="21"/>
                <w14:textFill>
                  <w14:solidFill>
                    <w14:schemeClr w14:val="tx1"/>
                  </w14:solidFill>
                </w14:textFill>
              </w:rPr>
            </w:pPr>
            <w:r>
              <w:rPr>
                <w:rFonts w:hint="eastAsia" w:cs="宋体"/>
                <w:color w:val="000000" w:themeColor="text1"/>
                <w:sz w:val="21"/>
                <w14:textFill>
                  <w14:solidFill>
                    <w14:schemeClr w14:val="tx1"/>
                  </w14:solidFill>
                </w14:textFill>
              </w:rPr>
              <w:t>54</w:t>
            </w:r>
          </w:p>
        </w:tc>
        <w:tc>
          <w:tcPr>
            <w:tcW w:w="1114" w:type="dxa"/>
            <w:vAlign w:val="center"/>
          </w:tcPr>
          <w:p w14:paraId="4CA78AC1">
            <w:pPr>
              <w:pStyle w:val="286"/>
              <w:adjustRightInd w:val="0"/>
              <w:snapToGrid w:val="0"/>
              <w:spacing w:line="300" w:lineRule="exact"/>
              <w:rPr>
                <w:rFonts w:hint="eastAsia" w:cs="宋体"/>
                <w:color w:val="000000" w:themeColor="text1"/>
                <w:sz w:val="21"/>
                <w14:textFill>
                  <w14:solidFill>
                    <w14:schemeClr w14:val="tx1"/>
                  </w14:solidFill>
                </w14:textFill>
              </w:rPr>
            </w:pPr>
            <w:r>
              <w:rPr>
                <w:rFonts w:hint="eastAsia" w:cs="宋体"/>
                <w:color w:val="000000" w:themeColor="text1"/>
                <w:sz w:val="21"/>
                <w14:textFill>
                  <w14:solidFill>
                    <w14:schemeClr w14:val="tx1"/>
                  </w14:solidFill>
                </w14:textFill>
              </w:rPr>
              <w:t>29</w:t>
            </w:r>
          </w:p>
        </w:tc>
        <w:tc>
          <w:tcPr>
            <w:tcW w:w="2075" w:type="dxa"/>
            <w:vAlign w:val="center"/>
          </w:tcPr>
          <w:p w14:paraId="5282DE49">
            <w:pPr>
              <w:pStyle w:val="286"/>
              <w:adjustRightInd w:val="0"/>
              <w:snapToGrid w:val="0"/>
              <w:spacing w:line="300" w:lineRule="exact"/>
              <w:rPr>
                <w:rFonts w:hint="eastAsia" w:cs="宋体"/>
                <w:color w:val="000000" w:themeColor="text1"/>
                <w:sz w:val="21"/>
                <w14:textFill>
                  <w14:solidFill>
                    <w14:schemeClr w14:val="tx1"/>
                  </w14:solidFill>
                </w14:textFill>
              </w:rPr>
            </w:pPr>
            <w:r>
              <w:rPr>
                <w:rFonts w:hint="eastAsia" w:cs="宋体"/>
                <w:color w:val="000000" w:themeColor="text1"/>
                <w:sz w:val="21"/>
                <w14:textFill>
                  <w14:solidFill>
                    <w14:schemeClr w14:val="tx1"/>
                  </w14:solidFill>
                </w14:textFill>
              </w:rPr>
              <w:t>1,4-二氯苯</w:t>
            </w:r>
          </w:p>
        </w:tc>
        <w:tc>
          <w:tcPr>
            <w:tcW w:w="1453" w:type="dxa"/>
            <w:vAlign w:val="center"/>
          </w:tcPr>
          <w:p w14:paraId="01967E00">
            <w:pPr>
              <w:pStyle w:val="286"/>
              <w:adjustRightInd w:val="0"/>
              <w:snapToGrid w:val="0"/>
              <w:spacing w:line="300" w:lineRule="exact"/>
              <w:rPr>
                <w:rFonts w:hint="eastAsia" w:cs="宋体"/>
                <w:color w:val="000000" w:themeColor="text1"/>
                <w:sz w:val="21"/>
                <w14:textFill>
                  <w14:solidFill>
                    <w14:schemeClr w14:val="tx1"/>
                  </w14:solidFill>
                </w14:textFill>
              </w:rPr>
            </w:pPr>
            <w:r>
              <w:rPr>
                <w:rFonts w:hint="eastAsia" w:cs="宋体"/>
                <w:color w:val="000000" w:themeColor="text1"/>
                <w:sz w:val="21"/>
                <w14:textFill>
                  <w14:solidFill>
                    <w14:schemeClr w14:val="tx1"/>
                  </w14:solidFill>
                </w14:textFill>
              </w:rPr>
              <w:t>20</w:t>
            </w:r>
          </w:p>
        </w:tc>
      </w:tr>
      <w:tr w14:paraId="6608FF1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663" w:type="dxa"/>
            <w:vAlign w:val="center"/>
          </w:tcPr>
          <w:p w14:paraId="2C99F936">
            <w:pPr>
              <w:pStyle w:val="286"/>
              <w:adjustRightInd w:val="0"/>
              <w:snapToGrid w:val="0"/>
              <w:spacing w:line="300" w:lineRule="exact"/>
              <w:rPr>
                <w:rFonts w:hint="eastAsia" w:cs="宋体"/>
                <w:color w:val="000000" w:themeColor="text1"/>
                <w:sz w:val="21"/>
                <w14:textFill>
                  <w14:solidFill>
                    <w14:schemeClr w14:val="tx1"/>
                  </w14:solidFill>
                </w14:textFill>
              </w:rPr>
            </w:pPr>
            <w:r>
              <w:rPr>
                <w:rFonts w:hint="eastAsia" w:cs="宋体"/>
                <w:color w:val="000000" w:themeColor="text1"/>
                <w:sz w:val="21"/>
                <w14:textFill>
                  <w14:solidFill>
                    <w14:schemeClr w14:val="tx1"/>
                  </w14:solidFill>
                </w14:textFill>
              </w:rPr>
              <w:t>16</w:t>
            </w:r>
          </w:p>
        </w:tc>
        <w:tc>
          <w:tcPr>
            <w:tcW w:w="1950" w:type="dxa"/>
            <w:vAlign w:val="center"/>
          </w:tcPr>
          <w:p w14:paraId="29FA5DCD">
            <w:pPr>
              <w:pStyle w:val="286"/>
              <w:adjustRightInd w:val="0"/>
              <w:snapToGrid w:val="0"/>
              <w:spacing w:line="300" w:lineRule="exact"/>
              <w:rPr>
                <w:rFonts w:hint="eastAsia" w:cs="宋体"/>
                <w:color w:val="000000" w:themeColor="text1"/>
                <w:sz w:val="21"/>
                <w14:textFill>
                  <w14:solidFill>
                    <w14:schemeClr w14:val="tx1"/>
                  </w14:solidFill>
                </w14:textFill>
              </w:rPr>
            </w:pPr>
            <w:r>
              <w:rPr>
                <w:rFonts w:hint="eastAsia" w:cs="宋体"/>
                <w:color w:val="000000" w:themeColor="text1"/>
                <w:sz w:val="21"/>
                <w14:textFill>
                  <w14:solidFill>
                    <w14:schemeClr w14:val="tx1"/>
                  </w14:solidFill>
                </w14:textFill>
              </w:rPr>
              <w:t>二氯甲烷</w:t>
            </w:r>
          </w:p>
        </w:tc>
        <w:tc>
          <w:tcPr>
            <w:tcW w:w="1531" w:type="dxa"/>
            <w:vAlign w:val="center"/>
          </w:tcPr>
          <w:p w14:paraId="04ED391C">
            <w:pPr>
              <w:pStyle w:val="286"/>
              <w:adjustRightInd w:val="0"/>
              <w:snapToGrid w:val="0"/>
              <w:spacing w:line="300" w:lineRule="exact"/>
              <w:rPr>
                <w:rFonts w:hint="eastAsia" w:cs="宋体"/>
                <w:color w:val="000000" w:themeColor="text1"/>
                <w:sz w:val="21"/>
                <w14:textFill>
                  <w14:solidFill>
                    <w14:schemeClr w14:val="tx1"/>
                  </w14:solidFill>
                </w14:textFill>
              </w:rPr>
            </w:pPr>
            <w:r>
              <w:rPr>
                <w:rFonts w:hint="eastAsia" w:cs="宋体"/>
                <w:color w:val="000000" w:themeColor="text1"/>
                <w:sz w:val="21"/>
                <w14:textFill>
                  <w14:solidFill>
                    <w14:schemeClr w14:val="tx1"/>
                  </w14:solidFill>
                </w14:textFill>
              </w:rPr>
              <w:t>616</w:t>
            </w:r>
          </w:p>
        </w:tc>
        <w:tc>
          <w:tcPr>
            <w:tcW w:w="1114" w:type="dxa"/>
            <w:vAlign w:val="center"/>
          </w:tcPr>
          <w:p w14:paraId="1BB4A8C6">
            <w:pPr>
              <w:pStyle w:val="286"/>
              <w:adjustRightInd w:val="0"/>
              <w:snapToGrid w:val="0"/>
              <w:spacing w:line="300" w:lineRule="exact"/>
              <w:rPr>
                <w:rFonts w:hint="eastAsia" w:cs="宋体"/>
                <w:color w:val="000000" w:themeColor="text1"/>
                <w:sz w:val="21"/>
                <w14:textFill>
                  <w14:solidFill>
                    <w14:schemeClr w14:val="tx1"/>
                  </w14:solidFill>
                </w14:textFill>
              </w:rPr>
            </w:pPr>
            <w:r>
              <w:rPr>
                <w:rFonts w:hint="eastAsia" w:cs="宋体"/>
                <w:color w:val="000000" w:themeColor="text1"/>
                <w:sz w:val="21"/>
                <w14:textFill>
                  <w14:solidFill>
                    <w14:schemeClr w14:val="tx1"/>
                  </w14:solidFill>
                </w14:textFill>
              </w:rPr>
              <w:t>30</w:t>
            </w:r>
          </w:p>
        </w:tc>
        <w:tc>
          <w:tcPr>
            <w:tcW w:w="2075" w:type="dxa"/>
            <w:vAlign w:val="center"/>
          </w:tcPr>
          <w:p w14:paraId="7CBB7B98">
            <w:pPr>
              <w:pStyle w:val="286"/>
              <w:adjustRightInd w:val="0"/>
              <w:snapToGrid w:val="0"/>
              <w:spacing w:line="300" w:lineRule="exact"/>
              <w:rPr>
                <w:rFonts w:hint="eastAsia" w:cs="宋体"/>
                <w:color w:val="000000" w:themeColor="text1"/>
                <w:sz w:val="21"/>
                <w14:textFill>
                  <w14:solidFill>
                    <w14:schemeClr w14:val="tx1"/>
                  </w14:solidFill>
                </w14:textFill>
              </w:rPr>
            </w:pPr>
            <w:r>
              <w:rPr>
                <w:rFonts w:hint="eastAsia" w:cs="宋体"/>
                <w:color w:val="000000" w:themeColor="text1"/>
                <w:sz w:val="21"/>
                <w14:textFill>
                  <w14:solidFill>
                    <w14:schemeClr w14:val="tx1"/>
                  </w14:solidFill>
                </w14:textFill>
              </w:rPr>
              <w:t>乙苯</w:t>
            </w:r>
          </w:p>
        </w:tc>
        <w:tc>
          <w:tcPr>
            <w:tcW w:w="1453" w:type="dxa"/>
            <w:vAlign w:val="center"/>
          </w:tcPr>
          <w:p w14:paraId="3F817F9A">
            <w:pPr>
              <w:pStyle w:val="286"/>
              <w:adjustRightInd w:val="0"/>
              <w:snapToGrid w:val="0"/>
              <w:spacing w:line="300" w:lineRule="exact"/>
              <w:rPr>
                <w:rFonts w:hint="eastAsia" w:cs="宋体"/>
                <w:color w:val="000000" w:themeColor="text1"/>
                <w:sz w:val="21"/>
                <w14:textFill>
                  <w14:solidFill>
                    <w14:schemeClr w14:val="tx1"/>
                  </w14:solidFill>
                </w14:textFill>
              </w:rPr>
            </w:pPr>
            <w:r>
              <w:rPr>
                <w:rFonts w:hint="eastAsia" w:cs="宋体"/>
                <w:color w:val="000000" w:themeColor="text1"/>
                <w:sz w:val="21"/>
                <w14:textFill>
                  <w14:solidFill>
                    <w14:schemeClr w14:val="tx1"/>
                  </w14:solidFill>
                </w14:textFill>
              </w:rPr>
              <w:t>28</w:t>
            </w:r>
          </w:p>
        </w:tc>
      </w:tr>
      <w:tr w14:paraId="5FB9A97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663" w:type="dxa"/>
            <w:vAlign w:val="center"/>
          </w:tcPr>
          <w:p w14:paraId="022F5F37">
            <w:pPr>
              <w:pStyle w:val="286"/>
              <w:adjustRightInd w:val="0"/>
              <w:snapToGrid w:val="0"/>
              <w:spacing w:line="300" w:lineRule="exact"/>
              <w:rPr>
                <w:rFonts w:hint="eastAsia" w:cs="宋体"/>
                <w:color w:val="000000" w:themeColor="text1"/>
                <w:sz w:val="21"/>
                <w14:textFill>
                  <w14:solidFill>
                    <w14:schemeClr w14:val="tx1"/>
                  </w14:solidFill>
                </w14:textFill>
              </w:rPr>
            </w:pPr>
            <w:r>
              <w:rPr>
                <w:rFonts w:hint="eastAsia" w:cs="宋体"/>
                <w:color w:val="000000" w:themeColor="text1"/>
                <w:sz w:val="21"/>
                <w14:textFill>
                  <w14:solidFill>
                    <w14:schemeClr w14:val="tx1"/>
                  </w14:solidFill>
                </w14:textFill>
              </w:rPr>
              <w:t>17</w:t>
            </w:r>
          </w:p>
        </w:tc>
        <w:tc>
          <w:tcPr>
            <w:tcW w:w="1950" w:type="dxa"/>
            <w:vAlign w:val="center"/>
          </w:tcPr>
          <w:p w14:paraId="6E64817E">
            <w:pPr>
              <w:pStyle w:val="286"/>
              <w:adjustRightInd w:val="0"/>
              <w:snapToGrid w:val="0"/>
              <w:spacing w:line="300" w:lineRule="exact"/>
              <w:rPr>
                <w:rFonts w:hint="eastAsia" w:cs="宋体"/>
                <w:color w:val="000000" w:themeColor="text1"/>
                <w:sz w:val="21"/>
                <w14:textFill>
                  <w14:solidFill>
                    <w14:schemeClr w14:val="tx1"/>
                  </w14:solidFill>
                </w14:textFill>
              </w:rPr>
            </w:pPr>
            <w:r>
              <w:rPr>
                <w:rFonts w:hint="eastAsia" w:cs="宋体"/>
                <w:color w:val="000000" w:themeColor="text1"/>
                <w:sz w:val="21"/>
                <w14:textFill>
                  <w14:solidFill>
                    <w14:schemeClr w14:val="tx1"/>
                  </w14:solidFill>
                </w14:textFill>
              </w:rPr>
              <w:t>1,2-二氯丙烷</w:t>
            </w:r>
          </w:p>
        </w:tc>
        <w:tc>
          <w:tcPr>
            <w:tcW w:w="1531" w:type="dxa"/>
            <w:vAlign w:val="center"/>
          </w:tcPr>
          <w:p w14:paraId="20C8A7AD">
            <w:pPr>
              <w:pStyle w:val="286"/>
              <w:adjustRightInd w:val="0"/>
              <w:snapToGrid w:val="0"/>
              <w:spacing w:line="300" w:lineRule="exact"/>
              <w:rPr>
                <w:rFonts w:hint="eastAsia" w:cs="宋体"/>
                <w:color w:val="000000" w:themeColor="text1"/>
                <w:sz w:val="21"/>
                <w14:textFill>
                  <w14:solidFill>
                    <w14:schemeClr w14:val="tx1"/>
                  </w14:solidFill>
                </w14:textFill>
              </w:rPr>
            </w:pPr>
            <w:r>
              <w:rPr>
                <w:rFonts w:hint="eastAsia" w:cs="宋体"/>
                <w:color w:val="000000" w:themeColor="text1"/>
                <w:sz w:val="21"/>
                <w14:textFill>
                  <w14:solidFill>
                    <w14:schemeClr w14:val="tx1"/>
                  </w14:solidFill>
                </w14:textFill>
              </w:rPr>
              <w:t>5</w:t>
            </w:r>
          </w:p>
        </w:tc>
        <w:tc>
          <w:tcPr>
            <w:tcW w:w="1114" w:type="dxa"/>
            <w:vAlign w:val="center"/>
          </w:tcPr>
          <w:p w14:paraId="4CD56DCA">
            <w:pPr>
              <w:pStyle w:val="286"/>
              <w:adjustRightInd w:val="0"/>
              <w:snapToGrid w:val="0"/>
              <w:spacing w:line="300" w:lineRule="exact"/>
              <w:rPr>
                <w:rFonts w:hint="eastAsia" w:cs="宋体"/>
                <w:color w:val="000000" w:themeColor="text1"/>
                <w:sz w:val="21"/>
                <w14:textFill>
                  <w14:solidFill>
                    <w14:schemeClr w14:val="tx1"/>
                  </w14:solidFill>
                </w14:textFill>
              </w:rPr>
            </w:pPr>
            <w:r>
              <w:rPr>
                <w:rFonts w:hint="eastAsia" w:cs="宋体"/>
                <w:color w:val="000000" w:themeColor="text1"/>
                <w:sz w:val="21"/>
                <w14:textFill>
                  <w14:solidFill>
                    <w14:schemeClr w14:val="tx1"/>
                  </w14:solidFill>
                </w14:textFill>
              </w:rPr>
              <w:t>31</w:t>
            </w:r>
          </w:p>
        </w:tc>
        <w:tc>
          <w:tcPr>
            <w:tcW w:w="2075" w:type="dxa"/>
            <w:vAlign w:val="center"/>
          </w:tcPr>
          <w:p w14:paraId="32E1C556">
            <w:pPr>
              <w:pStyle w:val="286"/>
              <w:adjustRightInd w:val="0"/>
              <w:snapToGrid w:val="0"/>
              <w:spacing w:line="300" w:lineRule="exact"/>
              <w:rPr>
                <w:rFonts w:hint="eastAsia" w:cs="宋体"/>
                <w:color w:val="000000" w:themeColor="text1"/>
                <w:sz w:val="21"/>
                <w14:textFill>
                  <w14:solidFill>
                    <w14:schemeClr w14:val="tx1"/>
                  </w14:solidFill>
                </w14:textFill>
              </w:rPr>
            </w:pPr>
            <w:r>
              <w:rPr>
                <w:rFonts w:hint="eastAsia" w:cs="宋体"/>
                <w:color w:val="000000" w:themeColor="text1"/>
                <w:sz w:val="21"/>
                <w14:textFill>
                  <w14:solidFill>
                    <w14:schemeClr w14:val="tx1"/>
                  </w14:solidFill>
                </w14:textFill>
              </w:rPr>
              <w:t>苯乙烯</w:t>
            </w:r>
          </w:p>
        </w:tc>
        <w:tc>
          <w:tcPr>
            <w:tcW w:w="1453" w:type="dxa"/>
            <w:vAlign w:val="center"/>
          </w:tcPr>
          <w:p w14:paraId="1A5C3DC0">
            <w:pPr>
              <w:pStyle w:val="286"/>
              <w:adjustRightInd w:val="0"/>
              <w:snapToGrid w:val="0"/>
              <w:spacing w:line="300" w:lineRule="exact"/>
              <w:rPr>
                <w:rFonts w:hint="eastAsia" w:cs="宋体"/>
                <w:color w:val="000000" w:themeColor="text1"/>
                <w:sz w:val="21"/>
                <w14:textFill>
                  <w14:solidFill>
                    <w14:schemeClr w14:val="tx1"/>
                  </w14:solidFill>
                </w14:textFill>
              </w:rPr>
            </w:pPr>
            <w:r>
              <w:rPr>
                <w:rFonts w:hint="eastAsia" w:cs="宋体"/>
                <w:color w:val="000000" w:themeColor="text1"/>
                <w:sz w:val="21"/>
                <w14:textFill>
                  <w14:solidFill>
                    <w14:schemeClr w14:val="tx1"/>
                  </w14:solidFill>
                </w14:textFill>
              </w:rPr>
              <w:t>1290</w:t>
            </w:r>
          </w:p>
        </w:tc>
      </w:tr>
      <w:tr w14:paraId="65B8E6A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663" w:type="dxa"/>
            <w:vAlign w:val="center"/>
          </w:tcPr>
          <w:p w14:paraId="70A83032">
            <w:pPr>
              <w:pStyle w:val="286"/>
              <w:adjustRightInd w:val="0"/>
              <w:snapToGrid w:val="0"/>
              <w:spacing w:line="300" w:lineRule="exact"/>
              <w:rPr>
                <w:rFonts w:hint="eastAsia" w:cs="宋体"/>
                <w:color w:val="000000" w:themeColor="text1"/>
                <w:sz w:val="21"/>
                <w14:textFill>
                  <w14:solidFill>
                    <w14:schemeClr w14:val="tx1"/>
                  </w14:solidFill>
                </w14:textFill>
              </w:rPr>
            </w:pPr>
            <w:r>
              <w:rPr>
                <w:rFonts w:hint="eastAsia" w:cs="宋体"/>
                <w:color w:val="000000" w:themeColor="text1"/>
                <w:sz w:val="21"/>
                <w14:textFill>
                  <w14:solidFill>
                    <w14:schemeClr w14:val="tx1"/>
                  </w14:solidFill>
                </w14:textFill>
              </w:rPr>
              <w:t>18</w:t>
            </w:r>
          </w:p>
        </w:tc>
        <w:tc>
          <w:tcPr>
            <w:tcW w:w="1950" w:type="dxa"/>
            <w:vAlign w:val="center"/>
          </w:tcPr>
          <w:p w14:paraId="7F4DDDCE">
            <w:pPr>
              <w:pStyle w:val="286"/>
              <w:adjustRightInd w:val="0"/>
              <w:snapToGrid w:val="0"/>
              <w:spacing w:line="300" w:lineRule="exact"/>
              <w:rPr>
                <w:rFonts w:hint="eastAsia" w:cs="宋体"/>
                <w:color w:val="000000" w:themeColor="text1"/>
                <w:sz w:val="21"/>
                <w14:textFill>
                  <w14:solidFill>
                    <w14:schemeClr w14:val="tx1"/>
                  </w14:solidFill>
                </w14:textFill>
              </w:rPr>
            </w:pPr>
            <w:r>
              <w:rPr>
                <w:rFonts w:hint="eastAsia" w:cs="宋体"/>
                <w:color w:val="000000" w:themeColor="text1"/>
                <w:sz w:val="21"/>
                <w14:textFill>
                  <w14:solidFill>
                    <w14:schemeClr w14:val="tx1"/>
                  </w14:solidFill>
                </w14:textFill>
              </w:rPr>
              <w:t>1,1,1,2-四氯乙烷</w:t>
            </w:r>
          </w:p>
        </w:tc>
        <w:tc>
          <w:tcPr>
            <w:tcW w:w="1531" w:type="dxa"/>
            <w:vAlign w:val="center"/>
          </w:tcPr>
          <w:p w14:paraId="69431A8D">
            <w:pPr>
              <w:pStyle w:val="286"/>
              <w:adjustRightInd w:val="0"/>
              <w:snapToGrid w:val="0"/>
              <w:spacing w:line="300" w:lineRule="exact"/>
              <w:rPr>
                <w:rFonts w:hint="eastAsia" w:cs="宋体"/>
                <w:color w:val="000000" w:themeColor="text1"/>
                <w:sz w:val="21"/>
                <w14:textFill>
                  <w14:solidFill>
                    <w14:schemeClr w14:val="tx1"/>
                  </w14:solidFill>
                </w14:textFill>
              </w:rPr>
            </w:pPr>
            <w:r>
              <w:rPr>
                <w:rFonts w:hint="eastAsia" w:cs="宋体"/>
                <w:color w:val="000000" w:themeColor="text1"/>
                <w:sz w:val="21"/>
                <w14:textFill>
                  <w14:solidFill>
                    <w14:schemeClr w14:val="tx1"/>
                  </w14:solidFill>
                </w14:textFill>
              </w:rPr>
              <w:t>10</w:t>
            </w:r>
          </w:p>
        </w:tc>
        <w:tc>
          <w:tcPr>
            <w:tcW w:w="1114" w:type="dxa"/>
            <w:vAlign w:val="center"/>
          </w:tcPr>
          <w:p w14:paraId="4E5E70A8">
            <w:pPr>
              <w:pStyle w:val="286"/>
              <w:adjustRightInd w:val="0"/>
              <w:snapToGrid w:val="0"/>
              <w:spacing w:line="300" w:lineRule="exact"/>
              <w:rPr>
                <w:rFonts w:hint="eastAsia" w:cs="宋体"/>
                <w:color w:val="000000" w:themeColor="text1"/>
                <w:sz w:val="21"/>
                <w14:textFill>
                  <w14:solidFill>
                    <w14:schemeClr w14:val="tx1"/>
                  </w14:solidFill>
                </w14:textFill>
              </w:rPr>
            </w:pPr>
            <w:r>
              <w:rPr>
                <w:rFonts w:hint="eastAsia" w:cs="宋体"/>
                <w:color w:val="000000" w:themeColor="text1"/>
                <w:sz w:val="21"/>
                <w14:textFill>
                  <w14:solidFill>
                    <w14:schemeClr w14:val="tx1"/>
                  </w14:solidFill>
                </w14:textFill>
              </w:rPr>
              <w:t>32</w:t>
            </w:r>
          </w:p>
        </w:tc>
        <w:tc>
          <w:tcPr>
            <w:tcW w:w="2075" w:type="dxa"/>
            <w:vAlign w:val="center"/>
          </w:tcPr>
          <w:p w14:paraId="1814CA48">
            <w:pPr>
              <w:pStyle w:val="286"/>
              <w:adjustRightInd w:val="0"/>
              <w:snapToGrid w:val="0"/>
              <w:spacing w:line="300" w:lineRule="exact"/>
              <w:rPr>
                <w:rFonts w:hint="eastAsia" w:cs="宋体"/>
                <w:color w:val="000000" w:themeColor="text1"/>
                <w:sz w:val="21"/>
                <w14:textFill>
                  <w14:solidFill>
                    <w14:schemeClr w14:val="tx1"/>
                  </w14:solidFill>
                </w14:textFill>
              </w:rPr>
            </w:pPr>
            <w:r>
              <w:rPr>
                <w:rFonts w:hint="eastAsia" w:cs="宋体"/>
                <w:color w:val="000000" w:themeColor="text1"/>
                <w:sz w:val="21"/>
                <w14:textFill>
                  <w14:solidFill>
                    <w14:schemeClr w14:val="tx1"/>
                  </w14:solidFill>
                </w14:textFill>
              </w:rPr>
              <w:t>甲苯</w:t>
            </w:r>
          </w:p>
        </w:tc>
        <w:tc>
          <w:tcPr>
            <w:tcW w:w="1453" w:type="dxa"/>
            <w:vAlign w:val="center"/>
          </w:tcPr>
          <w:p w14:paraId="70A0D92F">
            <w:pPr>
              <w:pStyle w:val="286"/>
              <w:adjustRightInd w:val="0"/>
              <w:snapToGrid w:val="0"/>
              <w:spacing w:line="300" w:lineRule="exact"/>
              <w:rPr>
                <w:rFonts w:hint="eastAsia" w:cs="宋体"/>
                <w:color w:val="000000" w:themeColor="text1"/>
                <w:sz w:val="21"/>
                <w14:textFill>
                  <w14:solidFill>
                    <w14:schemeClr w14:val="tx1"/>
                  </w14:solidFill>
                </w14:textFill>
              </w:rPr>
            </w:pPr>
            <w:r>
              <w:rPr>
                <w:rFonts w:hint="eastAsia" w:cs="宋体"/>
                <w:color w:val="000000" w:themeColor="text1"/>
                <w:sz w:val="21"/>
                <w14:textFill>
                  <w14:solidFill>
                    <w14:schemeClr w14:val="tx1"/>
                  </w14:solidFill>
                </w14:textFill>
              </w:rPr>
              <w:t>1200</w:t>
            </w:r>
          </w:p>
        </w:tc>
      </w:tr>
      <w:tr w14:paraId="6846FDC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663" w:type="dxa"/>
            <w:vAlign w:val="center"/>
          </w:tcPr>
          <w:p w14:paraId="01752A7A">
            <w:pPr>
              <w:pStyle w:val="286"/>
              <w:adjustRightInd w:val="0"/>
              <w:snapToGrid w:val="0"/>
              <w:spacing w:line="300" w:lineRule="exact"/>
              <w:rPr>
                <w:rFonts w:hint="eastAsia" w:cs="宋体"/>
                <w:color w:val="000000" w:themeColor="text1"/>
                <w:sz w:val="21"/>
                <w14:textFill>
                  <w14:solidFill>
                    <w14:schemeClr w14:val="tx1"/>
                  </w14:solidFill>
                </w14:textFill>
              </w:rPr>
            </w:pPr>
            <w:r>
              <w:rPr>
                <w:rFonts w:hint="eastAsia" w:cs="宋体"/>
                <w:color w:val="000000" w:themeColor="text1"/>
                <w:sz w:val="21"/>
                <w14:textFill>
                  <w14:solidFill>
                    <w14:schemeClr w14:val="tx1"/>
                  </w14:solidFill>
                </w14:textFill>
              </w:rPr>
              <w:t>19</w:t>
            </w:r>
          </w:p>
        </w:tc>
        <w:tc>
          <w:tcPr>
            <w:tcW w:w="1950" w:type="dxa"/>
            <w:vAlign w:val="center"/>
          </w:tcPr>
          <w:p w14:paraId="06EB3855">
            <w:pPr>
              <w:pStyle w:val="286"/>
              <w:adjustRightInd w:val="0"/>
              <w:snapToGrid w:val="0"/>
              <w:spacing w:line="300" w:lineRule="exact"/>
              <w:rPr>
                <w:rFonts w:hint="eastAsia" w:cs="宋体"/>
                <w:color w:val="000000" w:themeColor="text1"/>
                <w:sz w:val="21"/>
                <w14:textFill>
                  <w14:solidFill>
                    <w14:schemeClr w14:val="tx1"/>
                  </w14:solidFill>
                </w14:textFill>
              </w:rPr>
            </w:pPr>
            <w:r>
              <w:rPr>
                <w:rFonts w:hint="eastAsia" w:cs="宋体"/>
                <w:color w:val="000000" w:themeColor="text1"/>
                <w:sz w:val="21"/>
                <w14:textFill>
                  <w14:solidFill>
                    <w14:schemeClr w14:val="tx1"/>
                  </w14:solidFill>
                </w14:textFill>
              </w:rPr>
              <w:t>1,1,2,2-四氯乙烷</w:t>
            </w:r>
          </w:p>
        </w:tc>
        <w:tc>
          <w:tcPr>
            <w:tcW w:w="1531" w:type="dxa"/>
            <w:vAlign w:val="center"/>
          </w:tcPr>
          <w:p w14:paraId="08DCB63A">
            <w:pPr>
              <w:pStyle w:val="286"/>
              <w:adjustRightInd w:val="0"/>
              <w:snapToGrid w:val="0"/>
              <w:spacing w:line="300" w:lineRule="exact"/>
              <w:rPr>
                <w:rFonts w:hint="eastAsia" w:cs="宋体"/>
                <w:color w:val="000000" w:themeColor="text1"/>
                <w:sz w:val="21"/>
                <w14:textFill>
                  <w14:solidFill>
                    <w14:schemeClr w14:val="tx1"/>
                  </w14:solidFill>
                </w14:textFill>
              </w:rPr>
            </w:pPr>
            <w:r>
              <w:rPr>
                <w:rFonts w:hint="eastAsia" w:cs="宋体"/>
                <w:color w:val="000000" w:themeColor="text1"/>
                <w:sz w:val="21"/>
                <w14:textFill>
                  <w14:solidFill>
                    <w14:schemeClr w14:val="tx1"/>
                  </w14:solidFill>
                </w14:textFill>
              </w:rPr>
              <w:t>6.8</w:t>
            </w:r>
          </w:p>
        </w:tc>
        <w:tc>
          <w:tcPr>
            <w:tcW w:w="1114" w:type="dxa"/>
            <w:vAlign w:val="center"/>
          </w:tcPr>
          <w:p w14:paraId="16478788">
            <w:pPr>
              <w:pStyle w:val="286"/>
              <w:adjustRightInd w:val="0"/>
              <w:snapToGrid w:val="0"/>
              <w:spacing w:line="300" w:lineRule="exact"/>
              <w:rPr>
                <w:rFonts w:hint="eastAsia" w:cs="宋体"/>
                <w:color w:val="000000" w:themeColor="text1"/>
                <w:sz w:val="21"/>
                <w14:textFill>
                  <w14:solidFill>
                    <w14:schemeClr w14:val="tx1"/>
                  </w14:solidFill>
                </w14:textFill>
              </w:rPr>
            </w:pPr>
            <w:r>
              <w:rPr>
                <w:rFonts w:hint="eastAsia" w:cs="宋体"/>
                <w:color w:val="000000" w:themeColor="text1"/>
                <w:sz w:val="21"/>
                <w14:textFill>
                  <w14:solidFill>
                    <w14:schemeClr w14:val="tx1"/>
                  </w14:solidFill>
                </w14:textFill>
              </w:rPr>
              <w:t>33</w:t>
            </w:r>
          </w:p>
        </w:tc>
        <w:tc>
          <w:tcPr>
            <w:tcW w:w="2075" w:type="dxa"/>
            <w:vAlign w:val="center"/>
          </w:tcPr>
          <w:p w14:paraId="51272DEE">
            <w:pPr>
              <w:pStyle w:val="286"/>
              <w:adjustRightInd w:val="0"/>
              <w:snapToGrid w:val="0"/>
              <w:spacing w:line="300" w:lineRule="exact"/>
              <w:rPr>
                <w:rFonts w:hint="eastAsia" w:cs="宋体"/>
                <w:color w:val="000000" w:themeColor="text1"/>
                <w:sz w:val="21"/>
                <w14:textFill>
                  <w14:solidFill>
                    <w14:schemeClr w14:val="tx1"/>
                  </w14:solidFill>
                </w14:textFill>
              </w:rPr>
            </w:pPr>
            <w:r>
              <w:rPr>
                <w:rFonts w:hint="eastAsia" w:cs="宋体"/>
                <w:color w:val="000000" w:themeColor="text1"/>
                <w:sz w:val="21"/>
                <w14:textFill>
                  <w14:solidFill>
                    <w14:schemeClr w14:val="tx1"/>
                  </w14:solidFill>
                </w14:textFill>
              </w:rPr>
              <w:t>间二甲苯+对二甲苯</w:t>
            </w:r>
          </w:p>
        </w:tc>
        <w:tc>
          <w:tcPr>
            <w:tcW w:w="1453" w:type="dxa"/>
            <w:vAlign w:val="center"/>
          </w:tcPr>
          <w:p w14:paraId="6719EA86">
            <w:pPr>
              <w:pStyle w:val="286"/>
              <w:adjustRightInd w:val="0"/>
              <w:snapToGrid w:val="0"/>
              <w:spacing w:line="300" w:lineRule="exact"/>
              <w:rPr>
                <w:rFonts w:hint="eastAsia" w:cs="宋体"/>
                <w:color w:val="000000" w:themeColor="text1"/>
                <w:sz w:val="21"/>
                <w14:textFill>
                  <w14:solidFill>
                    <w14:schemeClr w14:val="tx1"/>
                  </w14:solidFill>
                </w14:textFill>
              </w:rPr>
            </w:pPr>
            <w:r>
              <w:rPr>
                <w:rFonts w:hint="eastAsia" w:cs="宋体"/>
                <w:color w:val="000000" w:themeColor="text1"/>
                <w:sz w:val="21"/>
                <w14:textFill>
                  <w14:solidFill>
                    <w14:schemeClr w14:val="tx1"/>
                  </w14:solidFill>
                </w14:textFill>
              </w:rPr>
              <w:t>570</w:t>
            </w:r>
          </w:p>
        </w:tc>
      </w:tr>
      <w:tr w14:paraId="415182B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663" w:type="dxa"/>
            <w:vAlign w:val="center"/>
          </w:tcPr>
          <w:p w14:paraId="0682B91A">
            <w:pPr>
              <w:pStyle w:val="286"/>
              <w:adjustRightInd w:val="0"/>
              <w:snapToGrid w:val="0"/>
              <w:spacing w:line="300" w:lineRule="exact"/>
              <w:rPr>
                <w:rFonts w:hint="eastAsia" w:cs="宋体"/>
                <w:color w:val="000000" w:themeColor="text1"/>
                <w:sz w:val="21"/>
                <w14:textFill>
                  <w14:solidFill>
                    <w14:schemeClr w14:val="tx1"/>
                  </w14:solidFill>
                </w14:textFill>
              </w:rPr>
            </w:pPr>
            <w:r>
              <w:rPr>
                <w:rFonts w:hint="eastAsia" w:cs="宋体"/>
                <w:color w:val="000000" w:themeColor="text1"/>
                <w:sz w:val="21"/>
                <w14:textFill>
                  <w14:solidFill>
                    <w14:schemeClr w14:val="tx1"/>
                  </w14:solidFill>
                </w14:textFill>
              </w:rPr>
              <w:t>20</w:t>
            </w:r>
          </w:p>
        </w:tc>
        <w:tc>
          <w:tcPr>
            <w:tcW w:w="1950" w:type="dxa"/>
            <w:vAlign w:val="center"/>
          </w:tcPr>
          <w:p w14:paraId="6003CCF2">
            <w:pPr>
              <w:pStyle w:val="286"/>
              <w:adjustRightInd w:val="0"/>
              <w:snapToGrid w:val="0"/>
              <w:spacing w:line="300" w:lineRule="exact"/>
              <w:rPr>
                <w:rFonts w:hint="eastAsia" w:cs="宋体"/>
                <w:color w:val="000000" w:themeColor="text1"/>
                <w:sz w:val="21"/>
                <w14:textFill>
                  <w14:solidFill>
                    <w14:schemeClr w14:val="tx1"/>
                  </w14:solidFill>
                </w14:textFill>
              </w:rPr>
            </w:pPr>
            <w:r>
              <w:rPr>
                <w:rFonts w:hint="eastAsia" w:cs="宋体"/>
                <w:color w:val="000000" w:themeColor="text1"/>
                <w:sz w:val="21"/>
                <w14:textFill>
                  <w14:solidFill>
                    <w14:schemeClr w14:val="tx1"/>
                  </w14:solidFill>
                </w14:textFill>
              </w:rPr>
              <w:t>四氯乙烯</w:t>
            </w:r>
          </w:p>
        </w:tc>
        <w:tc>
          <w:tcPr>
            <w:tcW w:w="1531" w:type="dxa"/>
            <w:vAlign w:val="center"/>
          </w:tcPr>
          <w:p w14:paraId="0CDA4A17">
            <w:pPr>
              <w:pStyle w:val="286"/>
              <w:adjustRightInd w:val="0"/>
              <w:snapToGrid w:val="0"/>
              <w:spacing w:line="300" w:lineRule="exact"/>
              <w:rPr>
                <w:rFonts w:hint="eastAsia" w:cs="宋体"/>
                <w:color w:val="000000" w:themeColor="text1"/>
                <w:sz w:val="21"/>
                <w14:textFill>
                  <w14:solidFill>
                    <w14:schemeClr w14:val="tx1"/>
                  </w14:solidFill>
                </w14:textFill>
              </w:rPr>
            </w:pPr>
            <w:r>
              <w:rPr>
                <w:rFonts w:hint="eastAsia" w:cs="宋体"/>
                <w:color w:val="000000" w:themeColor="text1"/>
                <w:sz w:val="21"/>
                <w14:textFill>
                  <w14:solidFill>
                    <w14:schemeClr w14:val="tx1"/>
                  </w14:solidFill>
                </w14:textFill>
              </w:rPr>
              <w:t>53</w:t>
            </w:r>
          </w:p>
        </w:tc>
        <w:tc>
          <w:tcPr>
            <w:tcW w:w="1114" w:type="dxa"/>
            <w:vAlign w:val="center"/>
          </w:tcPr>
          <w:p w14:paraId="2D591698">
            <w:pPr>
              <w:pStyle w:val="286"/>
              <w:adjustRightInd w:val="0"/>
              <w:snapToGrid w:val="0"/>
              <w:spacing w:line="300" w:lineRule="exact"/>
              <w:rPr>
                <w:rFonts w:hint="eastAsia" w:cs="宋体"/>
                <w:color w:val="000000" w:themeColor="text1"/>
                <w:sz w:val="21"/>
                <w14:textFill>
                  <w14:solidFill>
                    <w14:schemeClr w14:val="tx1"/>
                  </w14:solidFill>
                </w14:textFill>
              </w:rPr>
            </w:pPr>
            <w:r>
              <w:rPr>
                <w:rFonts w:hint="eastAsia" w:cs="宋体"/>
                <w:color w:val="000000" w:themeColor="text1"/>
                <w:sz w:val="21"/>
                <w14:textFill>
                  <w14:solidFill>
                    <w14:schemeClr w14:val="tx1"/>
                  </w14:solidFill>
                </w14:textFill>
              </w:rPr>
              <w:t>34</w:t>
            </w:r>
          </w:p>
        </w:tc>
        <w:tc>
          <w:tcPr>
            <w:tcW w:w="2075" w:type="dxa"/>
            <w:vAlign w:val="center"/>
          </w:tcPr>
          <w:p w14:paraId="4DC48E93">
            <w:pPr>
              <w:pStyle w:val="286"/>
              <w:adjustRightInd w:val="0"/>
              <w:snapToGrid w:val="0"/>
              <w:spacing w:line="300" w:lineRule="exact"/>
              <w:rPr>
                <w:rFonts w:hint="eastAsia" w:cs="宋体"/>
                <w:color w:val="000000" w:themeColor="text1"/>
                <w:sz w:val="21"/>
                <w14:textFill>
                  <w14:solidFill>
                    <w14:schemeClr w14:val="tx1"/>
                  </w14:solidFill>
                </w14:textFill>
              </w:rPr>
            </w:pPr>
            <w:r>
              <w:rPr>
                <w:rFonts w:hint="eastAsia" w:cs="宋体"/>
                <w:color w:val="000000" w:themeColor="text1"/>
                <w:sz w:val="21"/>
                <w14:textFill>
                  <w14:solidFill>
                    <w14:schemeClr w14:val="tx1"/>
                  </w14:solidFill>
                </w14:textFill>
              </w:rPr>
              <w:t>邻二甲苯</w:t>
            </w:r>
          </w:p>
        </w:tc>
        <w:tc>
          <w:tcPr>
            <w:tcW w:w="1453" w:type="dxa"/>
            <w:vAlign w:val="center"/>
          </w:tcPr>
          <w:p w14:paraId="089E7094">
            <w:pPr>
              <w:pStyle w:val="286"/>
              <w:adjustRightInd w:val="0"/>
              <w:snapToGrid w:val="0"/>
              <w:spacing w:line="300" w:lineRule="exact"/>
              <w:rPr>
                <w:rFonts w:hint="eastAsia" w:cs="宋体"/>
                <w:color w:val="000000" w:themeColor="text1"/>
                <w:sz w:val="21"/>
                <w14:textFill>
                  <w14:solidFill>
                    <w14:schemeClr w14:val="tx1"/>
                  </w14:solidFill>
                </w14:textFill>
              </w:rPr>
            </w:pPr>
            <w:r>
              <w:rPr>
                <w:rFonts w:hint="eastAsia" w:cs="宋体"/>
                <w:color w:val="000000" w:themeColor="text1"/>
                <w:sz w:val="21"/>
                <w14:textFill>
                  <w14:solidFill>
                    <w14:schemeClr w14:val="tx1"/>
                  </w14:solidFill>
                </w14:textFill>
              </w:rPr>
              <w:t>640</w:t>
            </w:r>
          </w:p>
        </w:tc>
      </w:tr>
      <w:tr w14:paraId="6FBFD98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663" w:type="dxa"/>
            <w:vAlign w:val="center"/>
          </w:tcPr>
          <w:p w14:paraId="6F102248">
            <w:pPr>
              <w:pStyle w:val="286"/>
              <w:adjustRightInd w:val="0"/>
              <w:snapToGrid w:val="0"/>
              <w:spacing w:line="300" w:lineRule="exact"/>
              <w:rPr>
                <w:rFonts w:hint="eastAsia" w:cs="宋体"/>
                <w:color w:val="000000" w:themeColor="text1"/>
                <w:sz w:val="21"/>
                <w14:textFill>
                  <w14:solidFill>
                    <w14:schemeClr w14:val="tx1"/>
                  </w14:solidFill>
                </w14:textFill>
              </w:rPr>
            </w:pPr>
            <w:r>
              <w:rPr>
                <w:rFonts w:hint="eastAsia" w:cs="宋体"/>
                <w:color w:val="000000" w:themeColor="text1"/>
                <w:sz w:val="21"/>
                <w14:textFill>
                  <w14:solidFill>
                    <w14:schemeClr w14:val="tx1"/>
                  </w14:solidFill>
                </w14:textFill>
              </w:rPr>
              <w:t>21</w:t>
            </w:r>
          </w:p>
        </w:tc>
        <w:tc>
          <w:tcPr>
            <w:tcW w:w="1950" w:type="dxa"/>
            <w:vAlign w:val="center"/>
          </w:tcPr>
          <w:p w14:paraId="59001DC3">
            <w:pPr>
              <w:pStyle w:val="286"/>
              <w:adjustRightInd w:val="0"/>
              <w:snapToGrid w:val="0"/>
              <w:spacing w:line="300" w:lineRule="exact"/>
              <w:rPr>
                <w:rFonts w:hint="eastAsia" w:cs="宋体"/>
                <w:color w:val="000000" w:themeColor="text1"/>
                <w:sz w:val="21"/>
                <w14:textFill>
                  <w14:solidFill>
                    <w14:schemeClr w14:val="tx1"/>
                  </w14:solidFill>
                </w14:textFill>
              </w:rPr>
            </w:pPr>
            <w:r>
              <w:rPr>
                <w:rFonts w:hint="eastAsia" w:cs="宋体"/>
                <w:color w:val="000000" w:themeColor="text1"/>
                <w:sz w:val="21"/>
                <w14:textFill>
                  <w14:solidFill>
                    <w14:schemeClr w14:val="tx1"/>
                  </w14:solidFill>
                </w14:textFill>
              </w:rPr>
              <w:t>1,1,1-三氯乙烷</w:t>
            </w:r>
          </w:p>
        </w:tc>
        <w:tc>
          <w:tcPr>
            <w:tcW w:w="1531" w:type="dxa"/>
            <w:vAlign w:val="center"/>
          </w:tcPr>
          <w:p w14:paraId="7482BA8C">
            <w:pPr>
              <w:pStyle w:val="286"/>
              <w:adjustRightInd w:val="0"/>
              <w:snapToGrid w:val="0"/>
              <w:spacing w:line="300" w:lineRule="exact"/>
              <w:rPr>
                <w:rFonts w:hint="eastAsia" w:cs="宋体"/>
                <w:color w:val="000000" w:themeColor="text1"/>
                <w:sz w:val="21"/>
                <w14:textFill>
                  <w14:solidFill>
                    <w14:schemeClr w14:val="tx1"/>
                  </w14:solidFill>
                </w14:textFill>
              </w:rPr>
            </w:pPr>
            <w:r>
              <w:rPr>
                <w:rFonts w:hint="eastAsia" w:cs="宋体"/>
                <w:color w:val="000000" w:themeColor="text1"/>
                <w:sz w:val="21"/>
                <w14:textFill>
                  <w14:solidFill>
                    <w14:schemeClr w14:val="tx1"/>
                  </w14:solidFill>
                </w14:textFill>
              </w:rPr>
              <w:t>840</w:t>
            </w:r>
          </w:p>
        </w:tc>
        <w:tc>
          <w:tcPr>
            <w:tcW w:w="1114" w:type="dxa"/>
            <w:vAlign w:val="center"/>
          </w:tcPr>
          <w:p w14:paraId="563B7E99">
            <w:pPr>
              <w:pStyle w:val="286"/>
              <w:adjustRightInd w:val="0"/>
              <w:snapToGrid w:val="0"/>
              <w:spacing w:line="300" w:lineRule="exact"/>
              <w:rPr>
                <w:rFonts w:hint="eastAsia" w:cs="宋体"/>
                <w:color w:val="000000" w:themeColor="text1"/>
                <w:sz w:val="21"/>
                <w14:textFill>
                  <w14:solidFill>
                    <w14:schemeClr w14:val="tx1"/>
                  </w14:solidFill>
                </w14:textFill>
              </w:rPr>
            </w:pPr>
          </w:p>
        </w:tc>
        <w:tc>
          <w:tcPr>
            <w:tcW w:w="2075" w:type="dxa"/>
            <w:vAlign w:val="center"/>
          </w:tcPr>
          <w:p w14:paraId="4374A998">
            <w:pPr>
              <w:pStyle w:val="286"/>
              <w:adjustRightInd w:val="0"/>
              <w:snapToGrid w:val="0"/>
              <w:spacing w:line="300" w:lineRule="exact"/>
              <w:rPr>
                <w:rFonts w:hint="eastAsia" w:cs="宋体"/>
                <w:color w:val="000000" w:themeColor="text1"/>
                <w:sz w:val="21"/>
                <w14:textFill>
                  <w14:solidFill>
                    <w14:schemeClr w14:val="tx1"/>
                  </w14:solidFill>
                </w14:textFill>
              </w:rPr>
            </w:pPr>
          </w:p>
        </w:tc>
        <w:tc>
          <w:tcPr>
            <w:tcW w:w="1453" w:type="dxa"/>
            <w:vAlign w:val="center"/>
          </w:tcPr>
          <w:p w14:paraId="6D9B0947">
            <w:pPr>
              <w:pStyle w:val="286"/>
              <w:adjustRightInd w:val="0"/>
              <w:snapToGrid w:val="0"/>
              <w:spacing w:line="300" w:lineRule="exact"/>
              <w:rPr>
                <w:rFonts w:hint="eastAsia" w:cs="宋体"/>
                <w:color w:val="000000" w:themeColor="text1"/>
                <w:sz w:val="21"/>
                <w14:textFill>
                  <w14:solidFill>
                    <w14:schemeClr w14:val="tx1"/>
                  </w14:solidFill>
                </w14:textFill>
              </w:rPr>
            </w:pPr>
          </w:p>
        </w:tc>
      </w:tr>
      <w:tr w14:paraId="57216A8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8786" w:type="dxa"/>
            <w:gridSpan w:val="6"/>
            <w:vAlign w:val="center"/>
          </w:tcPr>
          <w:p w14:paraId="2E0A2B07">
            <w:pPr>
              <w:pStyle w:val="286"/>
              <w:adjustRightInd w:val="0"/>
              <w:snapToGrid w:val="0"/>
              <w:spacing w:line="300" w:lineRule="exact"/>
              <w:rPr>
                <w:rFonts w:hint="eastAsia" w:cs="宋体"/>
                <w:color w:val="000000" w:themeColor="text1"/>
                <w:sz w:val="21"/>
                <w14:textFill>
                  <w14:solidFill>
                    <w14:schemeClr w14:val="tx1"/>
                  </w14:solidFill>
                </w14:textFill>
              </w:rPr>
            </w:pPr>
            <w:r>
              <w:rPr>
                <w:rFonts w:hint="eastAsia" w:cs="宋体"/>
                <w:color w:val="000000" w:themeColor="text1"/>
                <w:sz w:val="21"/>
                <w14:textFill>
                  <w14:solidFill>
                    <w14:schemeClr w14:val="tx1"/>
                  </w14:solidFill>
                </w14:textFill>
              </w:rPr>
              <w:t>基本项目（半挥发性有机物）</w:t>
            </w:r>
          </w:p>
        </w:tc>
      </w:tr>
      <w:tr w14:paraId="42ED8A0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663" w:type="dxa"/>
            <w:vAlign w:val="center"/>
          </w:tcPr>
          <w:p w14:paraId="3801C093">
            <w:pPr>
              <w:pStyle w:val="286"/>
              <w:adjustRightInd w:val="0"/>
              <w:snapToGrid w:val="0"/>
              <w:spacing w:line="300" w:lineRule="exact"/>
              <w:rPr>
                <w:rFonts w:hint="eastAsia" w:cs="宋体"/>
                <w:color w:val="000000" w:themeColor="text1"/>
                <w:sz w:val="21"/>
                <w14:textFill>
                  <w14:solidFill>
                    <w14:schemeClr w14:val="tx1"/>
                  </w14:solidFill>
                </w14:textFill>
              </w:rPr>
            </w:pPr>
            <w:r>
              <w:rPr>
                <w:rFonts w:hint="eastAsia" w:cs="宋体"/>
                <w:color w:val="000000" w:themeColor="text1"/>
                <w:sz w:val="21"/>
                <w14:textFill>
                  <w14:solidFill>
                    <w14:schemeClr w14:val="tx1"/>
                  </w14:solidFill>
                </w14:textFill>
              </w:rPr>
              <w:t>35</w:t>
            </w:r>
          </w:p>
        </w:tc>
        <w:tc>
          <w:tcPr>
            <w:tcW w:w="1950" w:type="dxa"/>
            <w:vAlign w:val="center"/>
          </w:tcPr>
          <w:p w14:paraId="36458BF6">
            <w:pPr>
              <w:pStyle w:val="286"/>
              <w:adjustRightInd w:val="0"/>
              <w:snapToGrid w:val="0"/>
              <w:spacing w:line="300" w:lineRule="exact"/>
              <w:rPr>
                <w:rFonts w:hint="eastAsia" w:cs="宋体"/>
                <w:color w:val="000000" w:themeColor="text1"/>
                <w:sz w:val="21"/>
                <w14:textFill>
                  <w14:solidFill>
                    <w14:schemeClr w14:val="tx1"/>
                  </w14:solidFill>
                </w14:textFill>
              </w:rPr>
            </w:pPr>
            <w:r>
              <w:rPr>
                <w:rFonts w:hint="eastAsia" w:cs="宋体"/>
                <w:color w:val="000000" w:themeColor="text1"/>
                <w:sz w:val="21"/>
                <w14:textFill>
                  <w14:solidFill>
                    <w14:schemeClr w14:val="tx1"/>
                  </w14:solidFill>
                </w14:textFill>
              </w:rPr>
              <w:t>硝基苯</w:t>
            </w:r>
          </w:p>
        </w:tc>
        <w:tc>
          <w:tcPr>
            <w:tcW w:w="1531" w:type="dxa"/>
            <w:vAlign w:val="center"/>
          </w:tcPr>
          <w:p w14:paraId="25173DED">
            <w:pPr>
              <w:pStyle w:val="286"/>
              <w:adjustRightInd w:val="0"/>
              <w:snapToGrid w:val="0"/>
              <w:spacing w:line="300" w:lineRule="exact"/>
              <w:rPr>
                <w:rFonts w:hint="eastAsia" w:cs="宋体"/>
                <w:color w:val="000000" w:themeColor="text1"/>
                <w:sz w:val="21"/>
                <w14:textFill>
                  <w14:solidFill>
                    <w14:schemeClr w14:val="tx1"/>
                  </w14:solidFill>
                </w14:textFill>
              </w:rPr>
            </w:pPr>
            <w:r>
              <w:rPr>
                <w:rFonts w:hint="eastAsia" w:cs="宋体"/>
                <w:color w:val="000000" w:themeColor="text1"/>
                <w:sz w:val="21"/>
                <w14:textFill>
                  <w14:solidFill>
                    <w14:schemeClr w14:val="tx1"/>
                  </w14:solidFill>
                </w14:textFill>
              </w:rPr>
              <w:t>76</w:t>
            </w:r>
          </w:p>
        </w:tc>
        <w:tc>
          <w:tcPr>
            <w:tcW w:w="1114" w:type="dxa"/>
            <w:vAlign w:val="center"/>
          </w:tcPr>
          <w:p w14:paraId="07AF739C">
            <w:pPr>
              <w:pStyle w:val="286"/>
              <w:adjustRightInd w:val="0"/>
              <w:snapToGrid w:val="0"/>
              <w:spacing w:line="300" w:lineRule="exact"/>
              <w:rPr>
                <w:rFonts w:hint="eastAsia" w:cs="宋体"/>
                <w:color w:val="000000" w:themeColor="text1"/>
                <w:sz w:val="21"/>
                <w14:textFill>
                  <w14:solidFill>
                    <w14:schemeClr w14:val="tx1"/>
                  </w14:solidFill>
                </w14:textFill>
              </w:rPr>
            </w:pPr>
            <w:r>
              <w:rPr>
                <w:rFonts w:hint="eastAsia" w:cs="宋体"/>
                <w:color w:val="000000" w:themeColor="text1"/>
                <w:sz w:val="21"/>
                <w14:textFill>
                  <w14:solidFill>
                    <w14:schemeClr w14:val="tx1"/>
                  </w14:solidFill>
                </w14:textFill>
              </w:rPr>
              <w:t>41</w:t>
            </w:r>
          </w:p>
        </w:tc>
        <w:tc>
          <w:tcPr>
            <w:tcW w:w="2075" w:type="dxa"/>
            <w:vAlign w:val="center"/>
          </w:tcPr>
          <w:p w14:paraId="70F2D839">
            <w:pPr>
              <w:pStyle w:val="286"/>
              <w:adjustRightInd w:val="0"/>
              <w:snapToGrid w:val="0"/>
              <w:spacing w:line="300" w:lineRule="exact"/>
              <w:rPr>
                <w:rFonts w:hint="eastAsia" w:cs="宋体"/>
                <w:color w:val="000000" w:themeColor="text1"/>
                <w:sz w:val="21"/>
                <w14:textFill>
                  <w14:solidFill>
                    <w14:schemeClr w14:val="tx1"/>
                  </w14:solidFill>
                </w14:textFill>
              </w:rPr>
            </w:pPr>
            <w:r>
              <w:rPr>
                <w:rFonts w:hint="eastAsia" w:cs="宋体"/>
                <w:color w:val="000000" w:themeColor="text1"/>
                <w:sz w:val="21"/>
                <w14:textFill>
                  <w14:solidFill>
                    <w14:schemeClr w14:val="tx1"/>
                  </w14:solidFill>
                </w14:textFill>
              </w:rPr>
              <w:t>苯并〔k〕荧蒽</w:t>
            </w:r>
          </w:p>
        </w:tc>
        <w:tc>
          <w:tcPr>
            <w:tcW w:w="1453" w:type="dxa"/>
            <w:vAlign w:val="center"/>
          </w:tcPr>
          <w:p w14:paraId="2F5DF786">
            <w:pPr>
              <w:pStyle w:val="286"/>
              <w:adjustRightInd w:val="0"/>
              <w:snapToGrid w:val="0"/>
              <w:spacing w:line="300" w:lineRule="exact"/>
              <w:rPr>
                <w:rFonts w:hint="eastAsia" w:cs="宋体"/>
                <w:color w:val="000000" w:themeColor="text1"/>
                <w:sz w:val="21"/>
                <w14:textFill>
                  <w14:solidFill>
                    <w14:schemeClr w14:val="tx1"/>
                  </w14:solidFill>
                </w14:textFill>
              </w:rPr>
            </w:pPr>
            <w:r>
              <w:rPr>
                <w:rFonts w:hint="eastAsia" w:cs="宋体"/>
                <w:color w:val="000000" w:themeColor="text1"/>
                <w:sz w:val="21"/>
                <w14:textFill>
                  <w14:solidFill>
                    <w14:schemeClr w14:val="tx1"/>
                  </w14:solidFill>
                </w14:textFill>
              </w:rPr>
              <w:t>151</w:t>
            </w:r>
          </w:p>
        </w:tc>
      </w:tr>
      <w:tr w14:paraId="4D5C975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663" w:type="dxa"/>
            <w:vAlign w:val="center"/>
          </w:tcPr>
          <w:p w14:paraId="2DD5DB4E">
            <w:pPr>
              <w:pStyle w:val="286"/>
              <w:adjustRightInd w:val="0"/>
              <w:snapToGrid w:val="0"/>
              <w:spacing w:line="300" w:lineRule="exact"/>
              <w:rPr>
                <w:rFonts w:hint="eastAsia" w:cs="宋体"/>
                <w:color w:val="000000" w:themeColor="text1"/>
                <w:sz w:val="21"/>
                <w14:textFill>
                  <w14:solidFill>
                    <w14:schemeClr w14:val="tx1"/>
                  </w14:solidFill>
                </w14:textFill>
              </w:rPr>
            </w:pPr>
            <w:r>
              <w:rPr>
                <w:rFonts w:hint="eastAsia" w:cs="宋体"/>
                <w:color w:val="000000" w:themeColor="text1"/>
                <w:sz w:val="21"/>
                <w14:textFill>
                  <w14:solidFill>
                    <w14:schemeClr w14:val="tx1"/>
                  </w14:solidFill>
                </w14:textFill>
              </w:rPr>
              <w:t>36</w:t>
            </w:r>
          </w:p>
        </w:tc>
        <w:tc>
          <w:tcPr>
            <w:tcW w:w="1950" w:type="dxa"/>
            <w:vAlign w:val="center"/>
          </w:tcPr>
          <w:p w14:paraId="004B1D3A">
            <w:pPr>
              <w:pStyle w:val="286"/>
              <w:adjustRightInd w:val="0"/>
              <w:snapToGrid w:val="0"/>
              <w:spacing w:line="300" w:lineRule="exact"/>
              <w:rPr>
                <w:rFonts w:hint="eastAsia" w:cs="宋体"/>
                <w:color w:val="000000" w:themeColor="text1"/>
                <w:sz w:val="21"/>
                <w14:textFill>
                  <w14:solidFill>
                    <w14:schemeClr w14:val="tx1"/>
                  </w14:solidFill>
                </w14:textFill>
              </w:rPr>
            </w:pPr>
            <w:r>
              <w:rPr>
                <w:rFonts w:hint="eastAsia" w:cs="宋体"/>
                <w:color w:val="000000" w:themeColor="text1"/>
                <w:sz w:val="21"/>
                <w14:textFill>
                  <w14:solidFill>
                    <w14:schemeClr w14:val="tx1"/>
                  </w14:solidFill>
                </w14:textFill>
              </w:rPr>
              <w:t>苯胺</w:t>
            </w:r>
          </w:p>
        </w:tc>
        <w:tc>
          <w:tcPr>
            <w:tcW w:w="1531" w:type="dxa"/>
            <w:vAlign w:val="center"/>
          </w:tcPr>
          <w:p w14:paraId="5CACDE09">
            <w:pPr>
              <w:pStyle w:val="286"/>
              <w:adjustRightInd w:val="0"/>
              <w:snapToGrid w:val="0"/>
              <w:spacing w:line="300" w:lineRule="exact"/>
              <w:rPr>
                <w:rFonts w:hint="eastAsia" w:cs="宋体"/>
                <w:color w:val="000000" w:themeColor="text1"/>
                <w:sz w:val="21"/>
                <w14:textFill>
                  <w14:solidFill>
                    <w14:schemeClr w14:val="tx1"/>
                  </w14:solidFill>
                </w14:textFill>
              </w:rPr>
            </w:pPr>
            <w:r>
              <w:rPr>
                <w:rFonts w:hint="eastAsia" w:cs="宋体"/>
                <w:color w:val="000000" w:themeColor="text1"/>
                <w:sz w:val="21"/>
                <w14:textFill>
                  <w14:solidFill>
                    <w14:schemeClr w14:val="tx1"/>
                  </w14:solidFill>
                </w14:textFill>
              </w:rPr>
              <w:t>260</w:t>
            </w:r>
          </w:p>
        </w:tc>
        <w:tc>
          <w:tcPr>
            <w:tcW w:w="1114" w:type="dxa"/>
            <w:vAlign w:val="center"/>
          </w:tcPr>
          <w:p w14:paraId="6ECEE04D">
            <w:pPr>
              <w:pStyle w:val="286"/>
              <w:adjustRightInd w:val="0"/>
              <w:snapToGrid w:val="0"/>
              <w:spacing w:line="300" w:lineRule="exact"/>
              <w:rPr>
                <w:rFonts w:hint="eastAsia" w:cs="宋体"/>
                <w:color w:val="000000" w:themeColor="text1"/>
                <w:sz w:val="21"/>
                <w14:textFill>
                  <w14:solidFill>
                    <w14:schemeClr w14:val="tx1"/>
                  </w14:solidFill>
                </w14:textFill>
              </w:rPr>
            </w:pPr>
            <w:r>
              <w:rPr>
                <w:rFonts w:hint="eastAsia" w:cs="宋体"/>
                <w:color w:val="000000" w:themeColor="text1"/>
                <w:sz w:val="21"/>
                <w14:textFill>
                  <w14:solidFill>
                    <w14:schemeClr w14:val="tx1"/>
                  </w14:solidFill>
                </w14:textFill>
              </w:rPr>
              <w:t>42</w:t>
            </w:r>
          </w:p>
        </w:tc>
        <w:tc>
          <w:tcPr>
            <w:tcW w:w="2075" w:type="dxa"/>
            <w:vAlign w:val="center"/>
          </w:tcPr>
          <w:p w14:paraId="117FDAD1">
            <w:pPr>
              <w:pStyle w:val="286"/>
              <w:adjustRightInd w:val="0"/>
              <w:snapToGrid w:val="0"/>
              <w:spacing w:line="300" w:lineRule="exact"/>
              <w:rPr>
                <w:rFonts w:hint="eastAsia" w:cs="宋体"/>
                <w:color w:val="000000" w:themeColor="text1"/>
                <w:sz w:val="21"/>
                <w14:textFill>
                  <w14:solidFill>
                    <w14:schemeClr w14:val="tx1"/>
                  </w14:solidFill>
                </w14:textFill>
              </w:rPr>
            </w:pPr>
            <w:r>
              <w:rPr>
                <w:rFonts w:hint="eastAsia" w:cs="宋体"/>
                <w:color w:val="000000" w:themeColor="text1"/>
                <w:sz w:val="21"/>
                <w14:textFill>
                  <w14:solidFill>
                    <w14:schemeClr w14:val="tx1"/>
                  </w14:solidFill>
                </w14:textFill>
              </w:rPr>
              <w:t>䓛</w:t>
            </w:r>
          </w:p>
        </w:tc>
        <w:tc>
          <w:tcPr>
            <w:tcW w:w="1453" w:type="dxa"/>
            <w:vAlign w:val="center"/>
          </w:tcPr>
          <w:p w14:paraId="70FA4CAE">
            <w:pPr>
              <w:pStyle w:val="286"/>
              <w:adjustRightInd w:val="0"/>
              <w:snapToGrid w:val="0"/>
              <w:spacing w:line="300" w:lineRule="exact"/>
              <w:rPr>
                <w:rFonts w:hint="eastAsia" w:cs="宋体"/>
                <w:color w:val="000000" w:themeColor="text1"/>
                <w:sz w:val="21"/>
                <w14:textFill>
                  <w14:solidFill>
                    <w14:schemeClr w14:val="tx1"/>
                  </w14:solidFill>
                </w14:textFill>
              </w:rPr>
            </w:pPr>
            <w:r>
              <w:rPr>
                <w:rFonts w:hint="eastAsia" w:cs="宋体"/>
                <w:color w:val="000000" w:themeColor="text1"/>
                <w:sz w:val="21"/>
                <w14:textFill>
                  <w14:solidFill>
                    <w14:schemeClr w14:val="tx1"/>
                  </w14:solidFill>
                </w14:textFill>
              </w:rPr>
              <w:t>1293</w:t>
            </w:r>
          </w:p>
        </w:tc>
      </w:tr>
      <w:tr w14:paraId="606FA1D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663" w:type="dxa"/>
            <w:vAlign w:val="center"/>
          </w:tcPr>
          <w:p w14:paraId="742790D7">
            <w:pPr>
              <w:pStyle w:val="286"/>
              <w:adjustRightInd w:val="0"/>
              <w:snapToGrid w:val="0"/>
              <w:spacing w:line="300" w:lineRule="exact"/>
              <w:rPr>
                <w:rFonts w:hint="eastAsia" w:cs="宋体"/>
                <w:color w:val="000000" w:themeColor="text1"/>
                <w:sz w:val="21"/>
                <w14:textFill>
                  <w14:solidFill>
                    <w14:schemeClr w14:val="tx1"/>
                  </w14:solidFill>
                </w14:textFill>
              </w:rPr>
            </w:pPr>
            <w:r>
              <w:rPr>
                <w:rFonts w:hint="eastAsia" w:cs="宋体"/>
                <w:color w:val="000000" w:themeColor="text1"/>
                <w:sz w:val="21"/>
                <w14:textFill>
                  <w14:solidFill>
                    <w14:schemeClr w14:val="tx1"/>
                  </w14:solidFill>
                </w14:textFill>
              </w:rPr>
              <w:t>37</w:t>
            </w:r>
          </w:p>
        </w:tc>
        <w:tc>
          <w:tcPr>
            <w:tcW w:w="1950" w:type="dxa"/>
            <w:vAlign w:val="center"/>
          </w:tcPr>
          <w:p w14:paraId="2CEC81F1">
            <w:pPr>
              <w:pStyle w:val="286"/>
              <w:adjustRightInd w:val="0"/>
              <w:snapToGrid w:val="0"/>
              <w:spacing w:line="300" w:lineRule="exact"/>
              <w:rPr>
                <w:rFonts w:hint="eastAsia" w:cs="宋体"/>
                <w:color w:val="000000" w:themeColor="text1"/>
                <w:sz w:val="21"/>
                <w14:textFill>
                  <w14:solidFill>
                    <w14:schemeClr w14:val="tx1"/>
                  </w14:solidFill>
                </w14:textFill>
              </w:rPr>
            </w:pPr>
            <w:r>
              <w:rPr>
                <w:rFonts w:hint="eastAsia" w:cs="宋体"/>
                <w:color w:val="000000" w:themeColor="text1"/>
                <w:sz w:val="21"/>
                <w14:textFill>
                  <w14:solidFill>
                    <w14:schemeClr w14:val="tx1"/>
                  </w14:solidFill>
                </w14:textFill>
              </w:rPr>
              <w:t>2-氯酚</w:t>
            </w:r>
          </w:p>
        </w:tc>
        <w:tc>
          <w:tcPr>
            <w:tcW w:w="1531" w:type="dxa"/>
            <w:vAlign w:val="center"/>
          </w:tcPr>
          <w:p w14:paraId="0841BB84">
            <w:pPr>
              <w:pStyle w:val="286"/>
              <w:adjustRightInd w:val="0"/>
              <w:snapToGrid w:val="0"/>
              <w:spacing w:line="300" w:lineRule="exact"/>
              <w:rPr>
                <w:rFonts w:hint="eastAsia" w:cs="宋体"/>
                <w:color w:val="000000" w:themeColor="text1"/>
                <w:sz w:val="21"/>
                <w14:textFill>
                  <w14:solidFill>
                    <w14:schemeClr w14:val="tx1"/>
                  </w14:solidFill>
                </w14:textFill>
              </w:rPr>
            </w:pPr>
            <w:r>
              <w:rPr>
                <w:rFonts w:hint="eastAsia" w:cs="宋体"/>
                <w:color w:val="000000" w:themeColor="text1"/>
                <w:sz w:val="21"/>
                <w14:textFill>
                  <w14:solidFill>
                    <w14:schemeClr w14:val="tx1"/>
                  </w14:solidFill>
                </w14:textFill>
              </w:rPr>
              <w:t>2256</w:t>
            </w:r>
          </w:p>
        </w:tc>
        <w:tc>
          <w:tcPr>
            <w:tcW w:w="1114" w:type="dxa"/>
            <w:vAlign w:val="center"/>
          </w:tcPr>
          <w:p w14:paraId="5CC37CEF">
            <w:pPr>
              <w:pStyle w:val="286"/>
              <w:adjustRightInd w:val="0"/>
              <w:snapToGrid w:val="0"/>
              <w:spacing w:line="300" w:lineRule="exact"/>
              <w:rPr>
                <w:rFonts w:hint="eastAsia" w:cs="宋体"/>
                <w:color w:val="000000" w:themeColor="text1"/>
                <w:sz w:val="21"/>
                <w14:textFill>
                  <w14:solidFill>
                    <w14:schemeClr w14:val="tx1"/>
                  </w14:solidFill>
                </w14:textFill>
              </w:rPr>
            </w:pPr>
            <w:r>
              <w:rPr>
                <w:rFonts w:hint="eastAsia" w:cs="宋体"/>
                <w:color w:val="000000" w:themeColor="text1"/>
                <w:sz w:val="21"/>
                <w14:textFill>
                  <w14:solidFill>
                    <w14:schemeClr w14:val="tx1"/>
                  </w14:solidFill>
                </w14:textFill>
              </w:rPr>
              <w:t>43</w:t>
            </w:r>
          </w:p>
        </w:tc>
        <w:tc>
          <w:tcPr>
            <w:tcW w:w="2075" w:type="dxa"/>
            <w:vAlign w:val="center"/>
          </w:tcPr>
          <w:p w14:paraId="529CCFB0">
            <w:pPr>
              <w:pStyle w:val="286"/>
              <w:adjustRightInd w:val="0"/>
              <w:snapToGrid w:val="0"/>
              <w:spacing w:line="300" w:lineRule="exact"/>
              <w:rPr>
                <w:rFonts w:hint="eastAsia" w:cs="宋体"/>
                <w:color w:val="000000" w:themeColor="text1"/>
                <w:sz w:val="21"/>
                <w14:textFill>
                  <w14:solidFill>
                    <w14:schemeClr w14:val="tx1"/>
                  </w14:solidFill>
                </w14:textFill>
              </w:rPr>
            </w:pPr>
            <w:r>
              <w:rPr>
                <w:rFonts w:hint="eastAsia" w:cs="宋体"/>
                <w:color w:val="000000" w:themeColor="text1"/>
                <w:sz w:val="21"/>
                <w14:textFill>
                  <w14:solidFill>
                    <w14:schemeClr w14:val="tx1"/>
                  </w14:solidFill>
                </w14:textFill>
              </w:rPr>
              <w:t>二苯并〔a，h〕蒽</w:t>
            </w:r>
          </w:p>
        </w:tc>
        <w:tc>
          <w:tcPr>
            <w:tcW w:w="1453" w:type="dxa"/>
            <w:vAlign w:val="center"/>
          </w:tcPr>
          <w:p w14:paraId="64D87E3C">
            <w:pPr>
              <w:pStyle w:val="286"/>
              <w:adjustRightInd w:val="0"/>
              <w:snapToGrid w:val="0"/>
              <w:spacing w:line="300" w:lineRule="exact"/>
              <w:rPr>
                <w:rFonts w:hint="eastAsia" w:cs="宋体"/>
                <w:color w:val="000000" w:themeColor="text1"/>
                <w:sz w:val="21"/>
                <w14:textFill>
                  <w14:solidFill>
                    <w14:schemeClr w14:val="tx1"/>
                  </w14:solidFill>
                </w14:textFill>
              </w:rPr>
            </w:pPr>
            <w:r>
              <w:rPr>
                <w:rFonts w:hint="eastAsia" w:cs="宋体"/>
                <w:color w:val="000000" w:themeColor="text1"/>
                <w:sz w:val="21"/>
                <w14:textFill>
                  <w14:solidFill>
                    <w14:schemeClr w14:val="tx1"/>
                  </w14:solidFill>
                </w14:textFill>
              </w:rPr>
              <w:t>1.5</w:t>
            </w:r>
          </w:p>
        </w:tc>
      </w:tr>
      <w:tr w14:paraId="0CAB3C8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663" w:type="dxa"/>
            <w:vAlign w:val="center"/>
          </w:tcPr>
          <w:p w14:paraId="35A040A5">
            <w:pPr>
              <w:pStyle w:val="286"/>
              <w:adjustRightInd w:val="0"/>
              <w:snapToGrid w:val="0"/>
              <w:spacing w:line="300" w:lineRule="exact"/>
              <w:rPr>
                <w:rFonts w:hint="eastAsia" w:cs="宋体"/>
                <w:color w:val="000000" w:themeColor="text1"/>
                <w:sz w:val="21"/>
                <w14:textFill>
                  <w14:solidFill>
                    <w14:schemeClr w14:val="tx1"/>
                  </w14:solidFill>
                </w14:textFill>
              </w:rPr>
            </w:pPr>
            <w:r>
              <w:rPr>
                <w:rFonts w:hint="eastAsia" w:cs="宋体"/>
                <w:color w:val="000000" w:themeColor="text1"/>
                <w:sz w:val="21"/>
                <w14:textFill>
                  <w14:solidFill>
                    <w14:schemeClr w14:val="tx1"/>
                  </w14:solidFill>
                </w14:textFill>
              </w:rPr>
              <w:t>38</w:t>
            </w:r>
          </w:p>
        </w:tc>
        <w:tc>
          <w:tcPr>
            <w:tcW w:w="1950" w:type="dxa"/>
            <w:vAlign w:val="center"/>
          </w:tcPr>
          <w:p w14:paraId="5FDCD2BB">
            <w:pPr>
              <w:pStyle w:val="286"/>
              <w:adjustRightInd w:val="0"/>
              <w:snapToGrid w:val="0"/>
              <w:spacing w:line="300" w:lineRule="exact"/>
              <w:rPr>
                <w:rFonts w:hint="eastAsia" w:cs="宋体"/>
                <w:color w:val="000000" w:themeColor="text1"/>
                <w:sz w:val="21"/>
                <w14:textFill>
                  <w14:solidFill>
                    <w14:schemeClr w14:val="tx1"/>
                  </w14:solidFill>
                </w14:textFill>
              </w:rPr>
            </w:pPr>
            <w:r>
              <w:rPr>
                <w:rFonts w:hint="eastAsia" w:cs="宋体"/>
                <w:color w:val="000000" w:themeColor="text1"/>
                <w:sz w:val="21"/>
                <w14:textFill>
                  <w14:solidFill>
                    <w14:schemeClr w14:val="tx1"/>
                  </w14:solidFill>
                </w14:textFill>
              </w:rPr>
              <w:t>苯并〔a〕蒽</w:t>
            </w:r>
          </w:p>
        </w:tc>
        <w:tc>
          <w:tcPr>
            <w:tcW w:w="1531" w:type="dxa"/>
            <w:vAlign w:val="center"/>
          </w:tcPr>
          <w:p w14:paraId="358D3324">
            <w:pPr>
              <w:pStyle w:val="286"/>
              <w:adjustRightInd w:val="0"/>
              <w:snapToGrid w:val="0"/>
              <w:spacing w:line="300" w:lineRule="exact"/>
              <w:rPr>
                <w:rFonts w:hint="eastAsia" w:cs="宋体"/>
                <w:color w:val="000000" w:themeColor="text1"/>
                <w:sz w:val="21"/>
                <w14:textFill>
                  <w14:solidFill>
                    <w14:schemeClr w14:val="tx1"/>
                  </w14:solidFill>
                </w14:textFill>
              </w:rPr>
            </w:pPr>
            <w:r>
              <w:rPr>
                <w:rFonts w:hint="eastAsia" w:cs="宋体"/>
                <w:color w:val="000000" w:themeColor="text1"/>
                <w:sz w:val="21"/>
                <w14:textFill>
                  <w14:solidFill>
                    <w14:schemeClr w14:val="tx1"/>
                  </w14:solidFill>
                </w14:textFill>
              </w:rPr>
              <w:t>15</w:t>
            </w:r>
          </w:p>
        </w:tc>
        <w:tc>
          <w:tcPr>
            <w:tcW w:w="1114" w:type="dxa"/>
            <w:vAlign w:val="center"/>
          </w:tcPr>
          <w:p w14:paraId="04EFB271">
            <w:pPr>
              <w:pStyle w:val="286"/>
              <w:adjustRightInd w:val="0"/>
              <w:snapToGrid w:val="0"/>
              <w:spacing w:line="300" w:lineRule="exact"/>
              <w:rPr>
                <w:rFonts w:hint="eastAsia" w:cs="宋体"/>
                <w:color w:val="000000" w:themeColor="text1"/>
                <w:sz w:val="21"/>
                <w14:textFill>
                  <w14:solidFill>
                    <w14:schemeClr w14:val="tx1"/>
                  </w14:solidFill>
                </w14:textFill>
              </w:rPr>
            </w:pPr>
            <w:r>
              <w:rPr>
                <w:rFonts w:hint="eastAsia" w:cs="宋体"/>
                <w:color w:val="000000" w:themeColor="text1"/>
                <w:sz w:val="21"/>
                <w14:textFill>
                  <w14:solidFill>
                    <w14:schemeClr w14:val="tx1"/>
                  </w14:solidFill>
                </w14:textFill>
              </w:rPr>
              <w:t>44</w:t>
            </w:r>
          </w:p>
        </w:tc>
        <w:tc>
          <w:tcPr>
            <w:tcW w:w="2075" w:type="dxa"/>
            <w:vAlign w:val="center"/>
          </w:tcPr>
          <w:p w14:paraId="7A9D3BAA">
            <w:pPr>
              <w:pStyle w:val="286"/>
              <w:adjustRightInd w:val="0"/>
              <w:snapToGrid w:val="0"/>
              <w:spacing w:line="300" w:lineRule="exact"/>
              <w:rPr>
                <w:rFonts w:hint="eastAsia" w:cs="宋体"/>
                <w:color w:val="000000" w:themeColor="text1"/>
                <w:sz w:val="21"/>
                <w14:textFill>
                  <w14:solidFill>
                    <w14:schemeClr w14:val="tx1"/>
                  </w14:solidFill>
                </w14:textFill>
              </w:rPr>
            </w:pPr>
            <w:r>
              <w:rPr>
                <w:rFonts w:hint="eastAsia" w:cs="宋体"/>
                <w:color w:val="000000" w:themeColor="text1"/>
                <w:sz w:val="21"/>
                <w14:textFill>
                  <w14:solidFill>
                    <w14:schemeClr w14:val="tx1"/>
                  </w14:solidFill>
                </w14:textFill>
              </w:rPr>
              <w:t>茚并〔1,2,3-cd〕 芘</w:t>
            </w:r>
          </w:p>
        </w:tc>
        <w:tc>
          <w:tcPr>
            <w:tcW w:w="1453" w:type="dxa"/>
            <w:vAlign w:val="center"/>
          </w:tcPr>
          <w:p w14:paraId="7D06E5CF">
            <w:pPr>
              <w:pStyle w:val="286"/>
              <w:adjustRightInd w:val="0"/>
              <w:snapToGrid w:val="0"/>
              <w:spacing w:line="300" w:lineRule="exact"/>
              <w:rPr>
                <w:rFonts w:hint="eastAsia" w:cs="宋体"/>
                <w:color w:val="000000" w:themeColor="text1"/>
                <w:sz w:val="21"/>
                <w14:textFill>
                  <w14:solidFill>
                    <w14:schemeClr w14:val="tx1"/>
                  </w14:solidFill>
                </w14:textFill>
              </w:rPr>
            </w:pPr>
            <w:r>
              <w:rPr>
                <w:rFonts w:hint="eastAsia" w:cs="宋体"/>
                <w:color w:val="000000" w:themeColor="text1"/>
                <w:sz w:val="21"/>
                <w14:textFill>
                  <w14:solidFill>
                    <w14:schemeClr w14:val="tx1"/>
                  </w14:solidFill>
                </w14:textFill>
              </w:rPr>
              <w:t>15</w:t>
            </w:r>
          </w:p>
        </w:tc>
      </w:tr>
      <w:tr w14:paraId="4EEC647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663" w:type="dxa"/>
            <w:vAlign w:val="center"/>
          </w:tcPr>
          <w:p w14:paraId="203E9490">
            <w:pPr>
              <w:pStyle w:val="286"/>
              <w:adjustRightInd w:val="0"/>
              <w:snapToGrid w:val="0"/>
              <w:spacing w:line="300" w:lineRule="exact"/>
              <w:rPr>
                <w:rFonts w:hint="eastAsia" w:cs="宋体"/>
                <w:color w:val="000000" w:themeColor="text1"/>
                <w:sz w:val="21"/>
                <w14:textFill>
                  <w14:solidFill>
                    <w14:schemeClr w14:val="tx1"/>
                  </w14:solidFill>
                </w14:textFill>
              </w:rPr>
            </w:pPr>
            <w:r>
              <w:rPr>
                <w:rFonts w:hint="eastAsia" w:cs="宋体"/>
                <w:color w:val="000000" w:themeColor="text1"/>
                <w:sz w:val="21"/>
                <w14:textFill>
                  <w14:solidFill>
                    <w14:schemeClr w14:val="tx1"/>
                  </w14:solidFill>
                </w14:textFill>
              </w:rPr>
              <w:t>39</w:t>
            </w:r>
          </w:p>
        </w:tc>
        <w:tc>
          <w:tcPr>
            <w:tcW w:w="1950" w:type="dxa"/>
            <w:vAlign w:val="center"/>
          </w:tcPr>
          <w:p w14:paraId="1BD619A7">
            <w:pPr>
              <w:pStyle w:val="286"/>
              <w:adjustRightInd w:val="0"/>
              <w:snapToGrid w:val="0"/>
              <w:spacing w:line="300" w:lineRule="exact"/>
              <w:rPr>
                <w:rFonts w:hint="eastAsia" w:cs="宋体"/>
                <w:color w:val="000000" w:themeColor="text1"/>
                <w:sz w:val="21"/>
                <w14:textFill>
                  <w14:solidFill>
                    <w14:schemeClr w14:val="tx1"/>
                  </w14:solidFill>
                </w14:textFill>
              </w:rPr>
            </w:pPr>
            <w:r>
              <w:rPr>
                <w:rFonts w:hint="eastAsia" w:cs="宋体"/>
                <w:color w:val="000000" w:themeColor="text1"/>
                <w:sz w:val="21"/>
                <w14:textFill>
                  <w14:solidFill>
                    <w14:schemeClr w14:val="tx1"/>
                  </w14:solidFill>
                </w14:textFill>
              </w:rPr>
              <w:t>苯并〔a〕芘</w:t>
            </w:r>
          </w:p>
        </w:tc>
        <w:tc>
          <w:tcPr>
            <w:tcW w:w="1531" w:type="dxa"/>
            <w:vAlign w:val="center"/>
          </w:tcPr>
          <w:p w14:paraId="7FA2DE20">
            <w:pPr>
              <w:pStyle w:val="286"/>
              <w:adjustRightInd w:val="0"/>
              <w:snapToGrid w:val="0"/>
              <w:spacing w:line="300" w:lineRule="exact"/>
              <w:rPr>
                <w:rFonts w:hint="eastAsia" w:cs="宋体"/>
                <w:color w:val="000000" w:themeColor="text1"/>
                <w:sz w:val="21"/>
                <w14:textFill>
                  <w14:solidFill>
                    <w14:schemeClr w14:val="tx1"/>
                  </w14:solidFill>
                </w14:textFill>
              </w:rPr>
            </w:pPr>
            <w:r>
              <w:rPr>
                <w:rFonts w:hint="eastAsia" w:cs="宋体"/>
                <w:color w:val="000000" w:themeColor="text1"/>
                <w:sz w:val="21"/>
                <w14:textFill>
                  <w14:solidFill>
                    <w14:schemeClr w14:val="tx1"/>
                  </w14:solidFill>
                </w14:textFill>
              </w:rPr>
              <w:t>1.5</w:t>
            </w:r>
          </w:p>
        </w:tc>
        <w:tc>
          <w:tcPr>
            <w:tcW w:w="1114" w:type="dxa"/>
            <w:vAlign w:val="center"/>
          </w:tcPr>
          <w:p w14:paraId="26307640">
            <w:pPr>
              <w:pStyle w:val="286"/>
              <w:adjustRightInd w:val="0"/>
              <w:snapToGrid w:val="0"/>
              <w:spacing w:line="300" w:lineRule="exact"/>
              <w:rPr>
                <w:rFonts w:hint="eastAsia" w:cs="宋体"/>
                <w:color w:val="000000" w:themeColor="text1"/>
                <w:sz w:val="21"/>
                <w14:textFill>
                  <w14:solidFill>
                    <w14:schemeClr w14:val="tx1"/>
                  </w14:solidFill>
                </w14:textFill>
              </w:rPr>
            </w:pPr>
            <w:r>
              <w:rPr>
                <w:rFonts w:hint="eastAsia" w:cs="宋体"/>
                <w:color w:val="000000" w:themeColor="text1"/>
                <w:sz w:val="21"/>
                <w14:textFill>
                  <w14:solidFill>
                    <w14:schemeClr w14:val="tx1"/>
                  </w14:solidFill>
                </w14:textFill>
              </w:rPr>
              <w:t>45</w:t>
            </w:r>
          </w:p>
        </w:tc>
        <w:tc>
          <w:tcPr>
            <w:tcW w:w="2075" w:type="dxa"/>
            <w:vAlign w:val="center"/>
          </w:tcPr>
          <w:p w14:paraId="2C353C35">
            <w:pPr>
              <w:pStyle w:val="286"/>
              <w:adjustRightInd w:val="0"/>
              <w:snapToGrid w:val="0"/>
              <w:spacing w:line="300" w:lineRule="exact"/>
              <w:rPr>
                <w:rFonts w:hint="eastAsia" w:cs="宋体"/>
                <w:color w:val="000000" w:themeColor="text1"/>
                <w:sz w:val="21"/>
                <w14:textFill>
                  <w14:solidFill>
                    <w14:schemeClr w14:val="tx1"/>
                  </w14:solidFill>
                </w14:textFill>
              </w:rPr>
            </w:pPr>
            <w:r>
              <w:rPr>
                <w:rFonts w:hint="eastAsia" w:cs="宋体"/>
                <w:color w:val="000000" w:themeColor="text1"/>
                <w:sz w:val="21"/>
                <w14:textFill>
                  <w14:solidFill>
                    <w14:schemeClr w14:val="tx1"/>
                  </w14:solidFill>
                </w14:textFill>
              </w:rPr>
              <w:t>萘</w:t>
            </w:r>
          </w:p>
        </w:tc>
        <w:tc>
          <w:tcPr>
            <w:tcW w:w="1453" w:type="dxa"/>
            <w:vAlign w:val="center"/>
          </w:tcPr>
          <w:p w14:paraId="1153979F">
            <w:pPr>
              <w:pStyle w:val="286"/>
              <w:adjustRightInd w:val="0"/>
              <w:snapToGrid w:val="0"/>
              <w:spacing w:line="300" w:lineRule="exact"/>
              <w:rPr>
                <w:rFonts w:hint="eastAsia" w:cs="宋体"/>
                <w:color w:val="000000" w:themeColor="text1"/>
                <w:sz w:val="21"/>
                <w14:textFill>
                  <w14:solidFill>
                    <w14:schemeClr w14:val="tx1"/>
                  </w14:solidFill>
                </w14:textFill>
              </w:rPr>
            </w:pPr>
            <w:r>
              <w:rPr>
                <w:rFonts w:hint="eastAsia" w:cs="宋体"/>
                <w:color w:val="000000" w:themeColor="text1"/>
                <w:sz w:val="21"/>
                <w14:textFill>
                  <w14:solidFill>
                    <w14:schemeClr w14:val="tx1"/>
                  </w14:solidFill>
                </w14:textFill>
              </w:rPr>
              <w:t>70</w:t>
            </w:r>
          </w:p>
        </w:tc>
      </w:tr>
      <w:tr w14:paraId="74FB531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663" w:type="dxa"/>
            <w:vAlign w:val="center"/>
          </w:tcPr>
          <w:p w14:paraId="5DD7CBF3">
            <w:pPr>
              <w:pStyle w:val="286"/>
              <w:adjustRightInd w:val="0"/>
              <w:snapToGrid w:val="0"/>
              <w:spacing w:line="300" w:lineRule="exact"/>
              <w:rPr>
                <w:rFonts w:hint="eastAsia" w:cs="宋体"/>
                <w:color w:val="000000" w:themeColor="text1"/>
                <w:sz w:val="21"/>
                <w14:textFill>
                  <w14:solidFill>
                    <w14:schemeClr w14:val="tx1"/>
                  </w14:solidFill>
                </w14:textFill>
              </w:rPr>
            </w:pPr>
            <w:r>
              <w:rPr>
                <w:rFonts w:hint="eastAsia" w:cs="宋体"/>
                <w:color w:val="000000" w:themeColor="text1"/>
                <w:sz w:val="21"/>
                <w14:textFill>
                  <w14:solidFill>
                    <w14:schemeClr w14:val="tx1"/>
                  </w14:solidFill>
                </w14:textFill>
              </w:rPr>
              <w:t>40</w:t>
            </w:r>
          </w:p>
        </w:tc>
        <w:tc>
          <w:tcPr>
            <w:tcW w:w="1950" w:type="dxa"/>
            <w:vAlign w:val="center"/>
          </w:tcPr>
          <w:p w14:paraId="3AB8207D">
            <w:pPr>
              <w:pStyle w:val="286"/>
              <w:adjustRightInd w:val="0"/>
              <w:snapToGrid w:val="0"/>
              <w:spacing w:line="300" w:lineRule="exact"/>
              <w:rPr>
                <w:rFonts w:hint="eastAsia" w:cs="宋体"/>
                <w:color w:val="000000" w:themeColor="text1"/>
                <w:sz w:val="21"/>
                <w14:textFill>
                  <w14:solidFill>
                    <w14:schemeClr w14:val="tx1"/>
                  </w14:solidFill>
                </w14:textFill>
              </w:rPr>
            </w:pPr>
            <w:r>
              <w:rPr>
                <w:rFonts w:hint="eastAsia" w:cs="宋体"/>
                <w:color w:val="000000" w:themeColor="text1"/>
                <w:sz w:val="21"/>
                <w14:textFill>
                  <w14:solidFill>
                    <w14:schemeClr w14:val="tx1"/>
                  </w14:solidFill>
                </w14:textFill>
              </w:rPr>
              <w:t>苯并〔b〕荧蒽</w:t>
            </w:r>
          </w:p>
        </w:tc>
        <w:tc>
          <w:tcPr>
            <w:tcW w:w="1531" w:type="dxa"/>
            <w:vAlign w:val="center"/>
          </w:tcPr>
          <w:p w14:paraId="44C334E0">
            <w:pPr>
              <w:pStyle w:val="286"/>
              <w:adjustRightInd w:val="0"/>
              <w:snapToGrid w:val="0"/>
              <w:spacing w:line="300" w:lineRule="exact"/>
              <w:rPr>
                <w:rFonts w:hint="eastAsia" w:cs="宋体"/>
                <w:color w:val="000000" w:themeColor="text1"/>
                <w:sz w:val="21"/>
                <w14:textFill>
                  <w14:solidFill>
                    <w14:schemeClr w14:val="tx1"/>
                  </w14:solidFill>
                </w14:textFill>
              </w:rPr>
            </w:pPr>
            <w:r>
              <w:rPr>
                <w:rFonts w:hint="eastAsia" w:cs="宋体"/>
                <w:color w:val="000000" w:themeColor="text1"/>
                <w:sz w:val="21"/>
                <w14:textFill>
                  <w14:solidFill>
                    <w14:schemeClr w14:val="tx1"/>
                  </w14:solidFill>
                </w14:textFill>
              </w:rPr>
              <w:t>15</w:t>
            </w:r>
          </w:p>
        </w:tc>
        <w:tc>
          <w:tcPr>
            <w:tcW w:w="1114" w:type="dxa"/>
            <w:vAlign w:val="center"/>
          </w:tcPr>
          <w:p w14:paraId="0FD04A92">
            <w:pPr>
              <w:pStyle w:val="286"/>
              <w:adjustRightInd w:val="0"/>
              <w:snapToGrid w:val="0"/>
              <w:spacing w:line="300" w:lineRule="exact"/>
              <w:rPr>
                <w:rFonts w:hint="eastAsia" w:cs="宋体"/>
                <w:color w:val="000000" w:themeColor="text1"/>
                <w:sz w:val="21"/>
                <w14:textFill>
                  <w14:solidFill>
                    <w14:schemeClr w14:val="tx1"/>
                  </w14:solidFill>
                </w14:textFill>
              </w:rPr>
            </w:pPr>
          </w:p>
        </w:tc>
        <w:tc>
          <w:tcPr>
            <w:tcW w:w="2075" w:type="dxa"/>
            <w:vAlign w:val="center"/>
          </w:tcPr>
          <w:p w14:paraId="44C98AAC">
            <w:pPr>
              <w:pStyle w:val="286"/>
              <w:adjustRightInd w:val="0"/>
              <w:snapToGrid w:val="0"/>
              <w:spacing w:line="300" w:lineRule="exact"/>
              <w:rPr>
                <w:rFonts w:hint="eastAsia" w:cs="宋体"/>
                <w:color w:val="000000" w:themeColor="text1"/>
                <w:sz w:val="21"/>
                <w14:textFill>
                  <w14:solidFill>
                    <w14:schemeClr w14:val="tx1"/>
                  </w14:solidFill>
                </w14:textFill>
              </w:rPr>
            </w:pPr>
          </w:p>
        </w:tc>
        <w:tc>
          <w:tcPr>
            <w:tcW w:w="1453" w:type="dxa"/>
            <w:vAlign w:val="center"/>
          </w:tcPr>
          <w:p w14:paraId="02D9B4D7">
            <w:pPr>
              <w:pStyle w:val="286"/>
              <w:adjustRightInd w:val="0"/>
              <w:snapToGrid w:val="0"/>
              <w:spacing w:line="300" w:lineRule="exact"/>
              <w:rPr>
                <w:rFonts w:hint="eastAsia" w:cs="宋体"/>
                <w:color w:val="000000" w:themeColor="text1"/>
                <w:sz w:val="21"/>
                <w14:textFill>
                  <w14:solidFill>
                    <w14:schemeClr w14:val="tx1"/>
                  </w14:solidFill>
                </w14:textFill>
              </w:rPr>
            </w:pPr>
          </w:p>
        </w:tc>
      </w:tr>
      <w:tr w14:paraId="40FF91B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8786" w:type="dxa"/>
            <w:gridSpan w:val="6"/>
            <w:vAlign w:val="center"/>
          </w:tcPr>
          <w:p w14:paraId="68AFF2B9">
            <w:pPr>
              <w:pStyle w:val="286"/>
              <w:adjustRightInd w:val="0"/>
              <w:snapToGrid w:val="0"/>
              <w:spacing w:line="300" w:lineRule="exact"/>
              <w:rPr>
                <w:rFonts w:hint="eastAsia" w:cs="宋体"/>
                <w:color w:val="000000" w:themeColor="text1"/>
                <w:sz w:val="21"/>
                <w14:textFill>
                  <w14:solidFill>
                    <w14:schemeClr w14:val="tx1"/>
                  </w14:solidFill>
                </w14:textFill>
              </w:rPr>
            </w:pPr>
            <w:r>
              <w:rPr>
                <w:rFonts w:hint="eastAsia" w:cs="宋体"/>
                <w:color w:val="000000" w:themeColor="text1"/>
                <w:sz w:val="21"/>
                <w14:textFill>
                  <w14:solidFill>
                    <w14:schemeClr w14:val="tx1"/>
                  </w14:solidFill>
                </w14:textFill>
              </w:rPr>
              <w:t>其他项目（特征污染因子）</w:t>
            </w:r>
          </w:p>
        </w:tc>
      </w:tr>
      <w:tr w14:paraId="6562922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663" w:type="dxa"/>
            <w:vAlign w:val="center"/>
          </w:tcPr>
          <w:p w14:paraId="27866357">
            <w:pPr>
              <w:pStyle w:val="286"/>
              <w:adjustRightInd w:val="0"/>
              <w:snapToGrid w:val="0"/>
              <w:spacing w:line="300" w:lineRule="exact"/>
              <w:rPr>
                <w:rFonts w:hint="eastAsia" w:cs="宋体"/>
                <w:color w:val="000000" w:themeColor="text1"/>
                <w:sz w:val="21"/>
                <w14:textFill>
                  <w14:solidFill>
                    <w14:schemeClr w14:val="tx1"/>
                  </w14:solidFill>
                </w14:textFill>
              </w:rPr>
            </w:pPr>
            <w:r>
              <w:rPr>
                <w:rFonts w:hint="eastAsia" w:cs="宋体"/>
                <w:color w:val="000000" w:themeColor="text1"/>
                <w:sz w:val="21"/>
                <w14:textFill>
                  <w14:solidFill>
                    <w14:schemeClr w14:val="tx1"/>
                  </w14:solidFill>
                </w14:textFill>
              </w:rPr>
              <w:t>46</w:t>
            </w:r>
          </w:p>
        </w:tc>
        <w:tc>
          <w:tcPr>
            <w:tcW w:w="1950" w:type="dxa"/>
            <w:vAlign w:val="center"/>
          </w:tcPr>
          <w:p w14:paraId="699DC11E">
            <w:pPr>
              <w:pStyle w:val="286"/>
              <w:adjustRightInd w:val="0"/>
              <w:snapToGrid w:val="0"/>
              <w:spacing w:line="300" w:lineRule="exact"/>
              <w:rPr>
                <w:rFonts w:hint="eastAsia" w:cs="宋体"/>
                <w:color w:val="000000" w:themeColor="text1"/>
                <w:sz w:val="21"/>
                <w14:textFill>
                  <w14:solidFill>
                    <w14:schemeClr w14:val="tx1"/>
                  </w14:solidFill>
                </w14:textFill>
              </w:rPr>
            </w:pPr>
            <w:r>
              <w:rPr>
                <w:rFonts w:hint="eastAsia" w:cs="宋体"/>
                <w:color w:val="000000" w:themeColor="text1"/>
                <w:sz w:val="21"/>
                <w14:textFill>
                  <w14:solidFill>
                    <w14:schemeClr w14:val="tx1"/>
                  </w14:solidFill>
                </w14:textFill>
              </w:rPr>
              <w:t>石油烃（C</w:t>
            </w:r>
            <w:r>
              <w:rPr>
                <w:rFonts w:hint="eastAsia" w:cs="宋体"/>
                <w:color w:val="000000" w:themeColor="text1"/>
                <w:sz w:val="21"/>
                <w:vertAlign w:val="subscript"/>
                <w14:textFill>
                  <w14:solidFill>
                    <w14:schemeClr w14:val="tx1"/>
                  </w14:solidFill>
                </w14:textFill>
              </w:rPr>
              <w:t>10</w:t>
            </w:r>
            <w:r>
              <w:rPr>
                <w:rFonts w:hint="eastAsia" w:cs="宋体"/>
                <w:color w:val="000000" w:themeColor="text1"/>
                <w:sz w:val="21"/>
                <w14:textFill>
                  <w14:solidFill>
                    <w14:schemeClr w14:val="tx1"/>
                  </w14:solidFill>
                </w14:textFill>
              </w:rPr>
              <w:t>～C</w:t>
            </w:r>
            <w:r>
              <w:rPr>
                <w:rFonts w:hint="eastAsia" w:cs="宋体"/>
                <w:color w:val="000000" w:themeColor="text1"/>
                <w:sz w:val="21"/>
                <w:vertAlign w:val="subscript"/>
                <w14:textFill>
                  <w14:solidFill>
                    <w14:schemeClr w14:val="tx1"/>
                  </w14:solidFill>
                </w14:textFill>
              </w:rPr>
              <w:t>40</w:t>
            </w:r>
            <w:r>
              <w:rPr>
                <w:rFonts w:hint="eastAsia" w:cs="宋体"/>
                <w:color w:val="000000" w:themeColor="text1"/>
                <w:sz w:val="21"/>
                <w14:textFill>
                  <w14:solidFill>
                    <w14:schemeClr w14:val="tx1"/>
                  </w14:solidFill>
                </w14:textFill>
              </w:rPr>
              <w:t>）</w:t>
            </w:r>
          </w:p>
        </w:tc>
        <w:tc>
          <w:tcPr>
            <w:tcW w:w="1531" w:type="dxa"/>
            <w:vAlign w:val="center"/>
          </w:tcPr>
          <w:p w14:paraId="640684CC">
            <w:pPr>
              <w:pStyle w:val="286"/>
              <w:adjustRightInd w:val="0"/>
              <w:snapToGrid w:val="0"/>
              <w:spacing w:line="300" w:lineRule="exact"/>
              <w:rPr>
                <w:rFonts w:hint="eastAsia" w:cs="宋体"/>
                <w:color w:val="000000" w:themeColor="text1"/>
                <w:sz w:val="21"/>
                <w14:textFill>
                  <w14:solidFill>
                    <w14:schemeClr w14:val="tx1"/>
                  </w14:solidFill>
                </w14:textFill>
              </w:rPr>
            </w:pPr>
            <w:r>
              <w:rPr>
                <w:rFonts w:hint="eastAsia" w:cs="宋体"/>
                <w:color w:val="000000" w:themeColor="text1"/>
                <w:sz w:val="21"/>
                <w14:textFill>
                  <w14:solidFill>
                    <w14:schemeClr w14:val="tx1"/>
                  </w14:solidFill>
                </w14:textFill>
              </w:rPr>
              <w:t>4500</w:t>
            </w:r>
          </w:p>
        </w:tc>
        <w:tc>
          <w:tcPr>
            <w:tcW w:w="1114" w:type="dxa"/>
            <w:vAlign w:val="center"/>
          </w:tcPr>
          <w:p w14:paraId="69216B56">
            <w:pPr>
              <w:pStyle w:val="286"/>
              <w:adjustRightInd w:val="0"/>
              <w:snapToGrid w:val="0"/>
              <w:spacing w:line="300" w:lineRule="exact"/>
              <w:rPr>
                <w:rFonts w:hint="eastAsia" w:cs="宋体"/>
                <w:color w:val="000000" w:themeColor="text1"/>
                <w:sz w:val="21"/>
                <w14:textFill>
                  <w14:solidFill>
                    <w14:schemeClr w14:val="tx1"/>
                  </w14:solidFill>
                </w14:textFill>
              </w:rPr>
            </w:pPr>
          </w:p>
        </w:tc>
        <w:tc>
          <w:tcPr>
            <w:tcW w:w="2075" w:type="dxa"/>
            <w:vAlign w:val="center"/>
          </w:tcPr>
          <w:p w14:paraId="421FAB4B">
            <w:pPr>
              <w:pStyle w:val="286"/>
              <w:adjustRightInd w:val="0"/>
              <w:snapToGrid w:val="0"/>
              <w:spacing w:line="300" w:lineRule="exact"/>
              <w:rPr>
                <w:rFonts w:hint="eastAsia" w:cs="宋体"/>
                <w:color w:val="000000" w:themeColor="text1"/>
                <w:sz w:val="21"/>
                <w14:textFill>
                  <w14:solidFill>
                    <w14:schemeClr w14:val="tx1"/>
                  </w14:solidFill>
                </w14:textFill>
              </w:rPr>
            </w:pPr>
          </w:p>
        </w:tc>
        <w:tc>
          <w:tcPr>
            <w:tcW w:w="1453" w:type="dxa"/>
            <w:vAlign w:val="center"/>
          </w:tcPr>
          <w:p w14:paraId="53FB290C">
            <w:pPr>
              <w:pStyle w:val="286"/>
              <w:adjustRightInd w:val="0"/>
              <w:snapToGrid w:val="0"/>
              <w:spacing w:line="300" w:lineRule="exact"/>
              <w:rPr>
                <w:rFonts w:hint="eastAsia" w:cs="宋体"/>
                <w:color w:val="000000" w:themeColor="text1"/>
                <w:sz w:val="21"/>
                <w14:textFill>
                  <w14:solidFill>
                    <w14:schemeClr w14:val="tx1"/>
                  </w14:solidFill>
                </w14:textFill>
              </w:rPr>
            </w:pPr>
          </w:p>
        </w:tc>
      </w:tr>
    </w:tbl>
    <w:p w14:paraId="118E492D">
      <w:pPr>
        <w:pStyle w:val="15"/>
        <w:rPr>
          <w:rFonts w:hint="eastAsia"/>
          <w:color w:val="000000" w:themeColor="text1"/>
          <w14:textFill>
            <w14:solidFill>
              <w14:schemeClr w14:val="tx1"/>
            </w14:solidFill>
          </w14:textFill>
        </w:rPr>
      </w:pPr>
      <w:bookmarkStart w:id="95" w:name="_Hlk134632593"/>
      <w:bookmarkStart w:id="96" w:name="_Hlk160374526"/>
      <w:r>
        <w:rPr>
          <w:rFonts w:hint="eastAsia"/>
          <w:color w:val="000000" w:themeColor="text1"/>
          <w14:textFill>
            <w14:solidFill>
              <w14:schemeClr w14:val="tx1"/>
            </w14:solidFill>
          </w14:textFill>
        </w:rPr>
        <w:t>表2.5-6  农用地土壤污染风险筛选值</w:t>
      </w:r>
    </w:p>
    <w:tbl>
      <w:tblPr>
        <w:tblStyle w:val="51"/>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28" w:type="dxa"/>
          <w:bottom w:w="0" w:type="dxa"/>
          <w:right w:w="28" w:type="dxa"/>
        </w:tblCellMar>
      </w:tblPr>
      <w:tblGrid>
        <w:gridCol w:w="822"/>
        <w:gridCol w:w="2088"/>
        <w:gridCol w:w="2616"/>
        <w:gridCol w:w="3260"/>
      </w:tblGrid>
      <w:tr w14:paraId="4F94DE9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468" w:type="pct"/>
            <w:tcBorders>
              <w:left w:val="nil"/>
            </w:tcBorders>
            <w:vAlign w:val="center"/>
          </w:tcPr>
          <w:p w14:paraId="1A99F6C0">
            <w:pPr>
              <w:pStyle w:val="286"/>
              <w:adjustRightInd w:val="0"/>
              <w:snapToGrid w:val="0"/>
              <w:spacing w:line="300" w:lineRule="exact"/>
              <w:rPr>
                <w:rFonts w:hint="eastAsia" w:cs="宋体"/>
                <w:color w:val="000000" w:themeColor="text1"/>
                <w:sz w:val="21"/>
                <w14:textFill>
                  <w14:solidFill>
                    <w14:schemeClr w14:val="tx1"/>
                  </w14:solidFill>
                </w14:textFill>
              </w:rPr>
            </w:pPr>
            <w:r>
              <w:rPr>
                <w:rFonts w:hint="eastAsia" w:cs="宋体"/>
                <w:color w:val="000000" w:themeColor="text1"/>
                <w:sz w:val="21"/>
                <w14:textFill>
                  <w14:solidFill>
                    <w14:schemeClr w14:val="tx1"/>
                  </w14:solidFill>
                </w14:textFill>
              </w:rPr>
              <w:t>序号</w:t>
            </w:r>
          </w:p>
        </w:tc>
        <w:tc>
          <w:tcPr>
            <w:tcW w:w="1188" w:type="pct"/>
            <w:vAlign w:val="center"/>
          </w:tcPr>
          <w:p w14:paraId="1F9BEE75">
            <w:pPr>
              <w:pStyle w:val="286"/>
              <w:adjustRightInd w:val="0"/>
              <w:snapToGrid w:val="0"/>
              <w:spacing w:line="300" w:lineRule="exact"/>
              <w:rPr>
                <w:rFonts w:hint="eastAsia" w:cs="宋体"/>
                <w:color w:val="000000" w:themeColor="text1"/>
                <w:sz w:val="21"/>
                <w14:textFill>
                  <w14:solidFill>
                    <w14:schemeClr w14:val="tx1"/>
                  </w14:solidFill>
                </w14:textFill>
              </w:rPr>
            </w:pPr>
            <w:r>
              <w:rPr>
                <w:rFonts w:hint="eastAsia" w:cs="宋体"/>
                <w:color w:val="000000" w:themeColor="text1"/>
                <w:sz w:val="21"/>
                <w14:textFill>
                  <w14:solidFill>
                    <w14:schemeClr w14:val="tx1"/>
                  </w14:solidFill>
                </w14:textFill>
              </w:rPr>
              <w:t>项目</w:t>
            </w:r>
          </w:p>
        </w:tc>
        <w:tc>
          <w:tcPr>
            <w:tcW w:w="1489" w:type="pct"/>
            <w:vAlign w:val="center"/>
          </w:tcPr>
          <w:p w14:paraId="3C17B5A7">
            <w:pPr>
              <w:pStyle w:val="286"/>
              <w:adjustRightInd w:val="0"/>
              <w:snapToGrid w:val="0"/>
              <w:spacing w:line="300" w:lineRule="exact"/>
              <w:rPr>
                <w:rFonts w:hint="eastAsia" w:cs="宋体"/>
                <w:color w:val="000000" w:themeColor="text1"/>
                <w:sz w:val="21"/>
                <w14:textFill>
                  <w14:solidFill>
                    <w14:schemeClr w14:val="tx1"/>
                  </w14:solidFill>
                </w14:textFill>
              </w:rPr>
            </w:pPr>
            <w:r>
              <w:rPr>
                <w:rFonts w:hint="eastAsia" w:cs="宋体"/>
                <w:color w:val="000000" w:themeColor="text1"/>
                <w:sz w:val="21"/>
                <w14:textFill>
                  <w14:solidFill>
                    <w14:schemeClr w14:val="tx1"/>
                  </w14:solidFill>
                </w14:textFill>
              </w:rPr>
              <w:t>单位</w:t>
            </w:r>
          </w:p>
        </w:tc>
        <w:tc>
          <w:tcPr>
            <w:tcW w:w="1855" w:type="pct"/>
            <w:tcBorders>
              <w:right w:val="nil"/>
            </w:tcBorders>
            <w:vAlign w:val="center"/>
          </w:tcPr>
          <w:p w14:paraId="74A09584">
            <w:pPr>
              <w:pStyle w:val="286"/>
              <w:adjustRightInd w:val="0"/>
              <w:snapToGrid w:val="0"/>
              <w:spacing w:line="300" w:lineRule="exact"/>
              <w:rPr>
                <w:rFonts w:hint="eastAsia" w:cs="宋体"/>
                <w:color w:val="000000" w:themeColor="text1"/>
                <w:sz w:val="21"/>
                <w14:textFill>
                  <w14:solidFill>
                    <w14:schemeClr w14:val="tx1"/>
                  </w14:solidFill>
                </w14:textFill>
              </w:rPr>
            </w:pPr>
            <w:r>
              <w:rPr>
                <w:rFonts w:hint="eastAsia" w:cs="宋体"/>
                <w:color w:val="000000" w:themeColor="text1"/>
                <w:sz w:val="21"/>
                <w14:textFill>
                  <w14:solidFill>
                    <w14:schemeClr w14:val="tx1"/>
                  </w14:solidFill>
                </w14:textFill>
              </w:rPr>
              <w:t>标准限值（mg/kg）pH＞7.5</w:t>
            </w:r>
          </w:p>
        </w:tc>
      </w:tr>
      <w:tr w14:paraId="339003F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468" w:type="pct"/>
            <w:tcBorders>
              <w:left w:val="nil"/>
            </w:tcBorders>
            <w:vAlign w:val="center"/>
          </w:tcPr>
          <w:p w14:paraId="1D2C2797">
            <w:pPr>
              <w:pStyle w:val="286"/>
              <w:adjustRightInd w:val="0"/>
              <w:snapToGrid w:val="0"/>
              <w:spacing w:line="300" w:lineRule="exact"/>
              <w:rPr>
                <w:rFonts w:hint="eastAsia" w:cs="宋体"/>
                <w:color w:val="000000" w:themeColor="text1"/>
                <w:sz w:val="21"/>
                <w14:textFill>
                  <w14:solidFill>
                    <w14:schemeClr w14:val="tx1"/>
                  </w14:solidFill>
                </w14:textFill>
              </w:rPr>
            </w:pPr>
            <w:r>
              <w:rPr>
                <w:rFonts w:hint="eastAsia" w:cs="宋体"/>
                <w:color w:val="000000" w:themeColor="text1"/>
                <w:sz w:val="21"/>
                <w14:textFill>
                  <w14:solidFill>
                    <w14:schemeClr w14:val="tx1"/>
                  </w14:solidFill>
                </w14:textFill>
              </w:rPr>
              <w:t>1</w:t>
            </w:r>
          </w:p>
        </w:tc>
        <w:tc>
          <w:tcPr>
            <w:tcW w:w="1188" w:type="pct"/>
            <w:vAlign w:val="center"/>
          </w:tcPr>
          <w:p w14:paraId="41F79270">
            <w:pPr>
              <w:pStyle w:val="286"/>
              <w:adjustRightInd w:val="0"/>
              <w:snapToGrid w:val="0"/>
              <w:spacing w:line="300" w:lineRule="exact"/>
              <w:rPr>
                <w:rFonts w:hint="eastAsia" w:cs="宋体"/>
                <w:color w:val="000000" w:themeColor="text1"/>
                <w:sz w:val="21"/>
                <w14:textFill>
                  <w14:solidFill>
                    <w14:schemeClr w14:val="tx1"/>
                  </w14:solidFill>
                </w14:textFill>
              </w:rPr>
            </w:pPr>
            <w:r>
              <w:rPr>
                <w:rFonts w:hint="eastAsia" w:cs="宋体"/>
                <w:color w:val="000000" w:themeColor="text1"/>
                <w:sz w:val="21"/>
                <w14:textFill>
                  <w14:solidFill>
                    <w14:schemeClr w14:val="tx1"/>
                  </w14:solidFill>
                </w14:textFill>
              </w:rPr>
              <w:t>pH</w:t>
            </w:r>
          </w:p>
        </w:tc>
        <w:tc>
          <w:tcPr>
            <w:tcW w:w="1489" w:type="pct"/>
            <w:vAlign w:val="center"/>
          </w:tcPr>
          <w:p w14:paraId="51B9B092">
            <w:pPr>
              <w:pStyle w:val="286"/>
              <w:adjustRightInd w:val="0"/>
              <w:snapToGrid w:val="0"/>
              <w:spacing w:line="300" w:lineRule="exact"/>
              <w:rPr>
                <w:rFonts w:hint="eastAsia" w:cs="宋体"/>
                <w:color w:val="000000" w:themeColor="text1"/>
                <w:sz w:val="21"/>
                <w14:textFill>
                  <w14:solidFill>
                    <w14:schemeClr w14:val="tx1"/>
                  </w14:solidFill>
                </w14:textFill>
              </w:rPr>
            </w:pPr>
            <w:r>
              <w:rPr>
                <w:rFonts w:hint="eastAsia" w:cs="宋体"/>
                <w:color w:val="000000" w:themeColor="text1"/>
                <w:sz w:val="21"/>
                <w14:textFill>
                  <w14:solidFill>
                    <w14:schemeClr w14:val="tx1"/>
                  </w14:solidFill>
                </w14:textFill>
              </w:rPr>
              <w:t>无量纲</w:t>
            </w:r>
          </w:p>
        </w:tc>
        <w:tc>
          <w:tcPr>
            <w:tcW w:w="1855" w:type="pct"/>
            <w:tcBorders>
              <w:right w:val="nil"/>
            </w:tcBorders>
            <w:vAlign w:val="center"/>
          </w:tcPr>
          <w:p w14:paraId="5BB7C1BB">
            <w:pPr>
              <w:pStyle w:val="286"/>
              <w:adjustRightInd w:val="0"/>
              <w:snapToGrid w:val="0"/>
              <w:spacing w:line="300" w:lineRule="exact"/>
              <w:rPr>
                <w:rFonts w:hint="eastAsia" w:cs="宋体"/>
                <w:color w:val="000000" w:themeColor="text1"/>
                <w:sz w:val="21"/>
                <w14:textFill>
                  <w14:solidFill>
                    <w14:schemeClr w14:val="tx1"/>
                  </w14:solidFill>
                </w14:textFill>
              </w:rPr>
            </w:pPr>
            <w:r>
              <w:rPr>
                <w:rFonts w:hint="eastAsia" w:cs="宋体"/>
                <w:color w:val="000000" w:themeColor="text1"/>
                <w:sz w:val="21"/>
                <w14:textFill>
                  <w14:solidFill>
                    <w14:schemeClr w14:val="tx1"/>
                  </w14:solidFill>
                </w14:textFill>
              </w:rPr>
              <w:t>/</w:t>
            </w:r>
          </w:p>
        </w:tc>
      </w:tr>
      <w:tr w14:paraId="1237775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90" w:hRule="atLeast"/>
          <w:jc w:val="center"/>
        </w:trPr>
        <w:tc>
          <w:tcPr>
            <w:tcW w:w="468" w:type="pct"/>
            <w:tcBorders>
              <w:left w:val="nil"/>
            </w:tcBorders>
            <w:vAlign w:val="center"/>
          </w:tcPr>
          <w:p w14:paraId="36F4FD30">
            <w:pPr>
              <w:pStyle w:val="286"/>
              <w:adjustRightInd w:val="0"/>
              <w:snapToGrid w:val="0"/>
              <w:spacing w:line="300" w:lineRule="exact"/>
              <w:rPr>
                <w:rFonts w:hint="eastAsia" w:cs="宋体"/>
                <w:color w:val="000000" w:themeColor="text1"/>
                <w:sz w:val="21"/>
                <w14:textFill>
                  <w14:solidFill>
                    <w14:schemeClr w14:val="tx1"/>
                  </w14:solidFill>
                </w14:textFill>
              </w:rPr>
            </w:pPr>
            <w:r>
              <w:rPr>
                <w:rFonts w:hint="eastAsia" w:cs="宋体"/>
                <w:color w:val="000000" w:themeColor="text1"/>
                <w:sz w:val="21"/>
                <w14:textFill>
                  <w14:solidFill>
                    <w14:schemeClr w14:val="tx1"/>
                  </w14:solidFill>
                </w14:textFill>
              </w:rPr>
              <w:t>2</w:t>
            </w:r>
          </w:p>
        </w:tc>
        <w:tc>
          <w:tcPr>
            <w:tcW w:w="1188" w:type="pct"/>
            <w:vAlign w:val="center"/>
          </w:tcPr>
          <w:p w14:paraId="6FA1E7D6">
            <w:pPr>
              <w:pStyle w:val="286"/>
              <w:adjustRightInd w:val="0"/>
              <w:snapToGrid w:val="0"/>
              <w:spacing w:line="300" w:lineRule="exact"/>
              <w:rPr>
                <w:rFonts w:hint="eastAsia" w:cs="宋体"/>
                <w:color w:val="000000" w:themeColor="text1"/>
                <w:sz w:val="21"/>
                <w14:textFill>
                  <w14:solidFill>
                    <w14:schemeClr w14:val="tx1"/>
                  </w14:solidFill>
                </w14:textFill>
              </w:rPr>
            </w:pPr>
            <w:r>
              <w:rPr>
                <w:rFonts w:hint="eastAsia" w:cs="宋体"/>
                <w:color w:val="000000" w:themeColor="text1"/>
                <w:sz w:val="21"/>
                <w14:textFill>
                  <w14:solidFill>
                    <w14:schemeClr w14:val="tx1"/>
                  </w14:solidFill>
                </w14:textFill>
              </w:rPr>
              <w:t>砷</w:t>
            </w:r>
          </w:p>
        </w:tc>
        <w:tc>
          <w:tcPr>
            <w:tcW w:w="1489" w:type="pct"/>
            <w:vAlign w:val="center"/>
          </w:tcPr>
          <w:p w14:paraId="3147EEEF">
            <w:pPr>
              <w:pStyle w:val="286"/>
              <w:adjustRightInd w:val="0"/>
              <w:snapToGrid w:val="0"/>
              <w:spacing w:line="300" w:lineRule="exact"/>
              <w:rPr>
                <w:rFonts w:hint="eastAsia" w:cs="宋体"/>
                <w:color w:val="000000" w:themeColor="text1"/>
                <w:sz w:val="21"/>
                <w14:textFill>
                  <w14:solidFill>
                    <w14:schemeClr w14:val="tx1"/>
                  </w14:solidFill>
                </w14:textFill>
              </w:rPr>
            </w:pPr>
            <w:r>
              <w:rPr>
                <w:rFonts w:hint="eastAsia" w:cs="宋体"/>
                <w:color w:val="000000" w:themeColor="text1"/>
                <w:sz w:val="21"/>
                <w14:textFill>
                  <w14:solidFill>
                    <w14:schemeClr w14:val="tx1"/>
                  </w14:solidFill>
                </w14:textFill>
              </w:rPr>
              <w:t>mg/kg</w:t>
            </w:r>
          </w:p>
        </w:tc>
        <w:tc>
          <w:tcPr>
            <w:tcW w:w="1855" w:type="pct"/>
            <w:tcBorders>
              <w:right w:val="nil"/>
            </w:tcBorders>
            <w:vAlign w:val="center"/>
          </w:tcPr>
          <w:p w14:paraId="2FA619C5">
            <w:pPr>
              <w:pStyle w:val="286"/>
              <w:adjustRightInd w:val="0"/>
              <w:snapToGrid w:val="0"/>
              <w:spacing w:line="300" w:lineRule="exact"/>
              <w:rPr>
                <w:rFonts w:hint="eastAsia" w:cs="宋体"/>
                <w:color w:val="000000" w:themeColor="text1"/>
                <w:sz w:val="21"/>
                <w14:textFill>
                  <w14:solidFill>
                    <w14:schemeClr w14:val="tx1"/>
                  </w14:solidFill>
                </w14:textFill>
              </w:rPr>
            </w:pPr>
            <w:r>
              <w:rPr>
                <w:rFonts w:hint="eastAsia" w:cs="宋体"/>
                <w:color w:val="000000" w:themeColor="text1"/>
                <w:sz w:val="21"/>
                <w14:textFill>
                  <w14:solidFill>
                    <w14:schemeClr w14:val="tx1"/>
                  </w14:solidFill>
                </w14:textFill>
              </w:rPr>
              <w:t>25</w:t>
            </w:r>
          </w:p>
        </w:tc>
      </w:tr>
      <w:tr w14:paraId="02734AA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468" w:type="pct"/>
            <w:tcBorders>
              <w:left w:val="nil"/>
            </w:tcBorders>
            <w:vAlign w:val="center"/>
          </w:tcPr>
          <w:p w14:paraId="74E9A668">
            <w:pPr>
              <w:pStyle w:val="286"/>
              <w:adjustRightInd w:val="0"/>
              <w:snapToGrid w:val="0"/>
              <w:spacing w:line="300" w:lineRule="exact"/>
              <w:rPr>
                <w:rFonts w:hint="eastAsia" w:cs="宋体"/>
                <w:color w:val="000000" w:themeColor="text1"/>
                <w:sz w:val="21"/>
                <w14:textFill>
                  <w14:solidFill>
                    <w14:schemeClr w14:val="tx1"/>
                  </w14:solidFill>
                </w14:textFill>
              </w:rPr>
            </w:pPr>
            <w:r>
              <w:rPr>
                <w:rFonts w:hint="eastAsia" w:cs="宋体"/>
                <w:color w:val="000000" w:themeColor="text1"/>
                <w:sz w:val="21"/>
                <w14:textFill>
                  <w14:solidFill>
                    <w14:schemeClr w14:val="tx1"/>
                  </w14:solidFill>
                </w14:textFill>
              </w:rPr>
              <w:t>3</w:t>
            </w:r>
          </w:p>
        </w:tc>
        <w:tc>
          <w:tcPr>
            <w:tcW w:w="1188" w:type="pct"/>
            <w:vAlign w:val="center"/>
          </w:tcPr>
          <w:p w14:paraId="42A1DC44">
            <w:pPr>
              <w:pStyle w:val="286"/>
              <w:adjustRightInd w:val="0"/>
              <w:snapToGrid w:val="0"/>
              <w:spacing w:line="300" w:lineRule="exact"/>
              <w:rPr>
                <w:rFonts w:hint="eastAsia" w:cs="宋体"/>
                <w:color w:val="000000" w:themeColor="text1"/>
                <w:sz w:val="21"/>
                <w14:textFill>
                  <w14:solidFill>
                    <w14:schemeClr w14:val="tx1"/>
                  </w14:solidFill>
                </w14:textFill>
              </w:rPr>
            </w:pPr>
            <w:r>
              <w:rPr>
                <w:rFonts w:hint="eastAsia" w:cs="宋体"/>
                <w:color w:val="000000" w:themeColor="text1"/>
                <w:sz w:val="21"/>
                <w14:textFill>
                  <w14:solidFill>
                    <w14:schemeClr w14:val="tx1"/>
                  </w14:solidFill>
                </w14:textFill>
              </w:rPr>
              <w:t>镉</w:t>
            </w:r>
          </w:p>
        </w:tc>
        <w:tc>
          <w:tcPr>
            <w:tcW w:w="1489" w:type="pct"/>
            <w:vAlign w:val="center"/>
          </w:tcPr>
          <w:p w14:paraId="568BF98A">
            <w:pPr>
              <w:pStyle w:val="286"/>
              <w:adjustRightInd w:val="0"/>
              <w:snapToGrid w:val="0"/>
              <w:spacing w:line="300" w:lineRule="exact"/>
              <w:rPr>
                <w:rFonts w:hint="eastAsia" w:cs="宋体"/>
                <w:color w:val="000000" w:themeColor="text1"/>
                <w:sz w:val="21"/>
                <w14:textFill>
                  <w14:solidFill>
                    <w14:schemeClr w14:val="tx1"/>
                  </w14:solidFill>
                </w14:textFill>
              </w:rPr>
            </w:pPr>
            <w:r>
              <w:rPr>
                <w:rFonts w:hint="eastAsia" w:cs="宋体"/>
                <w:color w:val="000000" w:themeColor="text1"/>
                <w:sz w:val="21"/>
                <w14:textFill>
                  <w14:solidFill>
                    <w14:schemeClr w14:val="tx1"/>
                  </w14:solidFill>
                </w14:textFill>
              </w:rPr>
              <w:t>mg/kg</w:t>
            </w:r>
          </w:p>
        </w:tc>
        <w:tc>
          <w:tcPr>
            <w:tcW w:w="1855" w:type="pct"/>
            <w:tcBorders>
              <w:right w:val="nil"/>
            </w:tcBorders>
            <w:vAlign w:val="center"/>
          </w:tcPr>
          <w:p w14:paraId="52F0FEFE">
            <w:pPr>
              <w:pStyle w:val="286"/>
              <w:adjustRightInd w:val="0"/>
              <w:snapToGrid w:val="0"/>
              <w:spacing w:line="300" w:lineRule="exact"/>
              <w:rPr>
                <w:rFonts w:hint="eastAsia" w:cs="宋体"/>
                <w:color w:val="000000" w:themeColor="text1"/>
                <w:sz w:val="21"/>
                <w14:textFill>
                  <w14:solidFill>
                    <w14:schemeClr w14:val="tx1"/>
                  </w14:solidFill>
                </w14:textFill>
              </w:rPr>
            </w:pPr>
            <w:r>
              <w:rPr>
                <w:rFonts w:hint="eastAsia" w:cs="宋体"/>
                <w:color w:val="000000" w:themeColor="text1"/>
                <w:sz w:val="21"/>
                <w14:textFill>
                  <w14:solidFill>
                    <w14:schemeClr w14:val="tx1"/>
                  </w14:solidFill>
                </w14:textFill>
              </w:rPr>
              <w:t>0.6</w:t>
            </w:r>
          </w:p>
        </w:tc>
      </w:tr>
      <w:tr w14:paraId="25E44D2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90" w:hRule="atLeast"/>
          <w:jc w:val="center"/>
        </w:trPr>
        <w:tc>
          <w:tcPr>
            <w:tcW w:w="468" w:type="pct"/>
            <w:tcBorders>
              <w:left w:val="nil"/>
            </w:tcBorders>
            <w:vAlign w:val="center"/>
          </w:tcPr>
          <w:p w14:paraId="1C032C6E">
            <w:pPr>
              <w:pStyle w:val="286"/>
              <w:adjustRightInd w:val="0"/>
              <w:snapToGrid w:val="0"/>
              <w:spacing w:line="300" w:lineRule="exact"/>
              <w:rPr>
                <w:rFonts w:hint="eastAsia" w:cs="宋体"/>
                <w:color w:val="000000" w:themeColor="text1"/>
                <w:sz w:val="21"/>
                <w14:textFill>
                  <w14:solidFill>
                    <w14:schemeClr w14:val="tx1"/>
                  </w14:solidFill>
                </w14:textFill>
              </w:rPr>
            </w:pPr>
            <w:r>
              <w:rPr>
                <w:rFonts w:hint="eastAsia" w:cs="宋体"/>
                <w:color w:val="000000" w:themeColor="text1"/>
                <w:sz w:val="21"/>
                <w14:textFill>
                  <w14:solidFill>
                    <w14:schemeClr w14:val="tx1"/>
                  </w14:solidFill>
                </w14:textFill>
              </w:rPr>
              <w:t>4</w:t>
            </w:r>
          </w:p>
        </w:tc>
        <w:tc>
          <w:tcPr>
            <w:tcW w:w="1188" w:type="pct"/>
            <w:vAlign w:val="center"/>
          </w:tcPr>
          <w:p w14:paraId="40CC29F1">
            <w:pPr>
              <w:pStyle w:val="286"/>
              <w:adjustRightInd w:val="0"/>
              <w:snapToGrid w:val="0"/>
              <w:spacing w:line="300" w:lineRule="exact"/>
              <w:rPr>
                <w:rFonts w:hint="eastAsia" w:cs="宋体"/>
                <w:color w:val="000000" w:themeColor="text1"/>
                <w:sz w:val="21"/>
                <w14:textFill>
                  <w14:solidFill>
                    <w14:schemeClr w14:val="tx1"/>
                  </w14:solidFill>
                </w14:textFill>
              </w:rPr>
            </w:pPr>
            <w:r>
              <w:rPr>
                <w:rFonts w:hint="eastAsia" w:cs="宋体"/>
                <w:color w:val="000000" w:themeColor="text1"/>
                <w:sz w:val="21"/>
                <w14:textFill>
                  <w14:solidFill>
                    <w14:schemeClr w14:val="tx1"/>
                  </w14:solidFill>
                </w14:textFill>
              </w:rPr>
              <w:t>铜</w:t>
            </w:r>
          </w:p>
        </w:tc>
        <w:tc>
          <w:tcPr>
            <w:tcW w:w="1489" w:type="pct"/>
            <w:vAlign w:val="center"/>
          </w:tcPr>
          <w:p w14:paraId="7371D2F2">
            <w:pPr>
              <w:pStyle w:val="286"/>
              <w:adjustRightInd w:val="0"/>
              <w:snapToGrid w:val="0"/>
              <w:spacing w:line="300" w:lineRule="exact"/>
              <w:rPr>
                <w:rFonts w:hint="eastAsia" w:cs="宋体"/>
                <w:color w:val="000000" w:themeColor="text1"/>
                <w:sz w:val="21"/>
                <w14:textFill>
                  <w14:solidFill>
                    <w14:schemeClr w14:val="tx1"/>
                  </w14:solidFill>
                </w14:textFill>
              </w:rPr>
            </w:pPr>
            <w:r>
              <w:rPr>
                <w:rFonts w:hint="eastAsia" w:cs="宋体"/>
                <w:color w:val="000000" w:themeColor="text1"/>
                <w:sz w:val="21"/>
                <w14:textFill>
                  <w14:solidFill>
                    <w14:schemeClr w14:val="tx1"/>
                  </w14:solidFill>
                </w14:textFill>
              </w:rPr>
              <w:t>mg/kg</w:t>
            </w:r>
          </w:p>
        </w:tc>
        <w:tc>
          <w:tcPr>
            <w:tcW w:w="1855" w:type="pct"/>
            <w:tcBorders>
              <w:right w:val="nil"/>
            </w:tcBorders>
            <w:vAlign w:val="center"/>
          </w:tcPr>
          <w:p w14:paraId="70B68A4B">
            <w:pPr>
              <w:pStyle w:val="286"/>
              <w:adjustRightInd w:val="0"/>
              <w:snapToGrid w:val="0"/>
              <w:spacing w:line="300" w:lineRule="exact"/>
              <w:rPr>
                <w:rFonts w:hint="eastAsia" w:cs="宋体"/>
                <w:color w:val="000000" w:themeColor="text1"/>
                <w:sz w:val="21"/>
                <w14:textFill>
                  <w14:solidFill>
                    <w14:schemeClr w14:val="tx1"/>
                  </w14:solidFill>
                </w14:textFill>
              </w:rPr>
            </w:pPr>
            <w:r>
              <w:rPr>
                <w:rFonts w:hint="eastAsia" w:cs="宋体"/>
                <w:color w:val="000000" w:themeColor="text1"/>
                <w:sz w:val="21"/>
                <w14:textFill>
                  <w14:solidFill>
                    <w14:schemeClr w14:val="tx1"/>
                  </w14:solidFill>
                </w14:textFill>
              </w:rPr>
              <w:t>100</w:t>
            </w:r>
          </w:p>
        </w:tc>
      </w:tr>
      <w:tr w14:paraId="4033D8A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468" w:type="pct"/>
            <w:tcBorders>
              <w:left w:val="nil"/>
            </w:tcBorders>
            <w:vAlign w:val="center"/>
          </w:tcPr>
          <w:p w14:paraId="42713014">
            <w:pPr>
              <w:pStyle w:val="286"/>
              <w:adjustRightInd w:val="0"/>
              <w:snapToGrid w:val="0"/>
              <w:spacing w:line="300" w:lineRule="exact"/>
              <w:rPr>
                <w:rFonts w:hint="eastAsia" w:cs="宋体"/>
                <w:color w:val="000000" w:themeColor="text1"/>
                <w:sz w:val="21"/>
                <w14:textFill>
                  <w14:solidFill>
                    <w14:schemeClr w14:val="tx1"/>
                  </w14:solidFill>
                </w14:textFill>
              </w:rPr>
            </w:pPr>
            <w:r>
              <w:rPr>
                <w:rFonts w:hint="eastAsia" w:cs="宋体"/>
                <w:color w:val="000000" w:themeColor="text1"/>
                <w:sz w:val="21"/>
                <w14:textFill>
                  <w14:solidFill>
                    <w14:schemeClr w14:val="tx1"/>
                  </w14:solidFill>
                </w14:textFill>
              </w:rPr>
              <w:t>5</w:t>
            </w:r>
          </w:p>
        </w:tc>
        <w:tc>
          <w:tcPr>
            <w:tcW w:w="1188" w:type="pct"/>
            <w:vAlign w:val="center"/>
          </w:tcPr>
          <w:p w14:paraId="0B4E57B8">
            <w:pPr>
              <w:pStyle w:val="286"/>
              <w:adjustRightInd w:val="0"/>
              <w:snapToGrid w:val="0"/>
              <w:spacing w:line="300" w:lineRule="exact"/>
              <w:rPr>
                <w:rFonts w:hint="eastAsia" w:cs="宋体"/>
                <w:color w:val="000000" w:themeColor="text1"/>
                <w:sz w:val="21"/>
                <w14:textFill>
                  <w14:solidFill>
                    <w14:schemeClr w14:val="tx1"/>
                  </w14:solidFill>
                </w14:textFill>
              </w:rPr>
            </w:pPr>
            <w:r>
              <w:rPr>
                <w:rFonts w:hint="eastAsia" w:cs="宋体"/>
                <w:color w:val="000000" w:themeColor="text1"/>
                <w:sz w:val="21"/>
                <w14:textFill>
                  <w14:solidFill>
                    <w14:schemeClr w14:val="tx1"/>
                  </w14:solidFill>
                </w14:textFill>
              </w:rPr>
              <w:t>铅</w:t>
            </w:r>
          </w:p>
        </w:tc>
        <w:tc>
          <w:tcPr>
            <w:tcW w:w="1489" w:type="pct"/>
            <w:vAlign w:val="center"/>
          </w:tcPr>
          <w:p w14:paraId="5787E943">
            <w:pPr>
              <w:pStyle w:val="286"/>
              <w:adjustRightInd w:val="0"/>
              <w:snapToGrid w:val="0"/>
              <w:spacing w:line="300" w:lineRule="exact"/>
              <w:rPr>
                <w:rFonts w:hint="eastAsia" w:cs="宋体"/>
                <w:color w:val="000000" w:themeColor="text1"/>
                <w:sz w:val="21"/>
                <w14:textFill>
                  <w14:solidFill>
                    <w14:schemeClr w14:val="tx1"/>
                  </w14:solidFill>
                </w14:textFill>
              </w:rPr>
            </w:pPr>
            <w:r>
              <w:rPr>
                <w:rFonts w:hint="eastAsia" w:cs="宋体"/>
                <w:color w:val="000000" w:themeColor="text1"/>
                <w:sz w:val="21"/>
                <w14:textFill>
                  <w14:solidFill>
                    <w14:schemeClr w14:val="tx1"/>
                  </w14:solidFill>
                </w14:textFill>
              </w:rPr>
              <w:t>mg/kg</w:t>
            </w:r>
          </w:p>
        </w:tc>
        <w:tc>
          <w:tcPr>
            <w:tcW w:w="1855" w:type="pct"/>
            <w:tcBorders>
              <w:right w:val="nil"/>
            </w:tcBorders>
            <w:vAlign w:val="center"/>
          </w:tcPr>
          <w:p w14:paraId="140C8AC1">
            <w:pPr>
              <w:pStyle w:val="286"/>
              <w:adjustRightInd w:val="0"/>
              <w:snapToGrid w:val="0"/>
              <w:spacing w:line="300" w:lineRule="exact"/>
              <w:rPr>
                <w:rFonts w:hint="eastAsia" w:cs="宋体"/>
                <w:color w:val="000000" w:themeColor="text1"/>
                <w:sz w:val="21"/>
                <w14:textFill>
                  <w14:solidFill>
                    <w14:schemeClr w14:val="tx1"/>
                  </w14:solidFill>
                </w14:textFill>
              </w:rPr>
            </w:pPr>
            <w:r>
              <w:rPr>
                <w:rFonts w:hint="eastAsia" w:cs="宋体"/>
                <w:color w:val="000000" w:themeColor="text1"/>
                <w:sz w:val="21"/>
                <w14:textFill>
                  <w14:solidFill>
                    <w14:schemeClr w14:val="tx1"/>
                  </w14:solidFill>
                </w14:textFill>
              </w:rPr>
              <w:t>170</w:t>
            </w:r>
          </w:p>
        </w:tc>
      </w:tr>
      <w:tr w14:paraId="561B90F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468" w:type="pct"/>
            <w:tcBorders>
              <w:left w:val="nil"/>
            </w:tcBorders>
            <w:vAlign w:val="center"/>
          </w:tcPr>
          <w:p w14:paraId="200BE7B2">
            <w:pPr>
              <w:pStyle w:val="286"/>
              <w:adjustRightInd w:val="0"/>
              <w:snapToGrid w:val="0"/>
              <w:spacing w:line="300" w:lineRule="exact"/>
              <w:rPr>
                <w:rFonts w:hint="eastAsia" w:cs="宋体"/>
                <w:color w:val="000000" w:themeColor="text1"/>
                <w:sz w:val="21"/>
                <w14:textFill>
                  <w14:solidFill>
                    <w14:schemeClr w14:val="tx1"/>
                  </w14:solidFill>
                </w14:textFill>
              </w:rPr>
            </w:pPr>
            <w:r>
              <w:rPr>
                <w:rFonts w:hint="eastAsia" w:cs="宋体"/>
                <w:color w:val="000000" w:themeColor="text1"/>
                <w:sz w:val="21"/>
                <w14:textFill>
                  <w14:solidFill>
                    <w14:schemeClr w14:val="tx1"/>
                  </w14:solidFill>
                </w14:textFill>
              </w:rPr>
              <w:t>6</w:t>
            </w:r>
          </w:p>
        </w:tc>
        <w:tc>
          <w:tcPr>
            <w:tcW w:w="1188" w:type="pct"/>
            <w:vAlign w:val="center"/>
          </w:tcPr>
          <w:p w14:paraId="03C46DC3">
            <w:pPr>
              <w:pStyle w:val="286"/>
              <w:adjustRightInd w:val="0"/>
              <w:snapToGrid w:val="0"/>
              <w:spacing w:line="300" w:lineRule="exact"/>
              <w:rPr>
                <w:rFonts w:hint="eastAsia" w:cs="宋体"/>
                <w:color w:val="000000" w:themeColor="text1"/>
                <w:sz w:val="21"/>
                <w14:textFill>
                  <w14:solidFill>
                    <w14:schemeClr w14:val="tx1"/>
                  </w14:solidFill>
                </w14:textFill>
              </w:rPr>
            </w:pPr>
            <w:r>
              <w:rPr>
                <w:rFonts w:hint="eastAsia" w:cs="宋体"/>
                <w:color w:val="000000" w:themeColor="text1"/>
                <w:sz w:val="21"/>
                <w14:textFill>
                  <w14:solidFill>
                    <w14:schemeClr w14:val="tx1"/>
                  </w14:solidFill>
                </w14:textFill>
              </w:rPr>
              <w:t>汞</w:t>
            </w:r>
          </w:p>
        </w:tc>
        <w:tc>
          <w:tcPr>
            <w:tcW w:w="1489" w:type="pct"/>
            <w:vAlign w:val="center"/>
          </w:tcPr>
          <w:p w14:paraId="21B37A01">
            <w:pPr>
              <w:pStyle w:val="286"/>
              <w:adjustRightInd w:val="0"/>
              <w:snapToGrid w:val="0"/>
              <w:spacing w:line="300" w:lineRule="exact"/>
              <w:rPr>
                <w:rFonts w:hint="eastAsia" w:cs="宋体"/>
                <w:color w:val="000000" w:themeColor="text1"/>
                <w:sz w:val="21"/>
                <w14:textFill>
                  <w14:solidFill>
                    <w14:schemeClr w14:val="tx1"/>
                  </w14:solidFill>
                </w14:textFill>
              </w:rPr>
            </w:pPr>
            <w:r>
              <w:rPr>
                <w:rFonts w:hint="eastAsia" w:cs="宋体"/>
                <w:color w:val="000000" w:themeColor="text1"/>
                <w:sz w:val="21"/>
                <w14:textFill>
                  <w14:solidFill>
                    <w14:schemeClr w14:val="tx1"/>
                  </w14:solidFill>
                </w14:textFill>
              </w:rPr>
              <w:t>mg/kg</w:t>
            </w:r>
          </w:p>
        </w:tc>
        <w:tc>
          <w:tcPr>
            <w:tcW w:w="1855" w:type="pct"/>
            <w:tcBorders>
              <w:right w:val="nil"/>
            </w:tcBorders>
            <w:vAlign w:val="center"/>
          </w:tcPr>
          <w:p w14:paraId="7D5C399F">
            <w:pPr>
              <w:pStyle w:val="286"/>
              <w:adjustRightInd w:val="0"/>
              <w:snapToGrid w:val="0"/>
              <w:spacing w:line="300" w:lineRule="exact"/>
              <w:rPr>
                <w:rFonts w:hint="eastAsia" w:cs="宋体"/>
                <w:color w:val="000000" w:themeColor="text1"/>
                <w:sz w:val="21"/>
                <w14:textFill>
                  <w14:solidFill>
                    <w14:schemeClr w14:val="tx1"/>
                  </w14:solidFill>
                </w14:textFill>
              </w:rPr>
            </w:pPr>
            <w:r>
              <w:rPr>
                <w:rFonts w:hint="eastAsia" w:cs="宋体"/>
                <w:color w:val="000000" w:themeColor="text1"/>
                <w:sz w:val="21"/>
                <w14:textFill>
                  <w14:solidFill>
                    <w14:schemeClr w14:val="tx1"/>
                  </w14:solidFill>
                </w14:textFill>
              </w:rPr>
              <w:t>3.4</w:t>
            </w:r>
          </w:p>
        </w:tc>
      </w:tr>
      <w:tr w14:paraId="48DD9F2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17" w:hRule="atLeast"/>
          <w:jc w:val="center"/>
        </w:trPr>
        <w:tc>
          <w:tcPr>
            <w:tcW w:w="468" w:type="pct"/>
            <w:tcBorders>
              <w:left w:val="nil"/>
            </w:tcBorders>
            <w:vAlign w:val="center"/>
          </w:tcPr>
          <w:p w14:paraId="7A95CFB6">
            <w:pPr>
              <w:pStyle w:val="286"/>
              <w:adjustRightInd w:val="0"/>
              <w:snapToGrid w:val="0"/>
              <w:spacing w:line="300" w:lineRule="exact"/>
              <w:rPr>
                <w:rFonts w:hint="eastAsia" w:cs="宋体"/>
                <w:color w:val="000000" w:themeColor="text1"/>
                <w:sz w:val="21"/>
                <w14:textFill>
                  <w14:solidFill>
                    <w14:schemeClr w14:val="tx1"/>
                  </w14:solidFill>
                </w14:textFill>
              </w:rPr>
            </w:pPr>
            <w:r>
              <w:rPr>
                <w:rFonts w:hint="eastAsia" w:cs="宋体"/>
                <w:color w:val="000000" w:themeColor="text1"/>
                <w:sz w:val="21"/>
                <w14:textFill>
                  <w14:solidFill>
                    <w14:schemeClr w14:val="tx1"/>
                  </w14:solidFill>
                </w14:textFill>
              </w:rPr>
              <w:t>7</w:t>
            </w:r>
          </w:p>
        </w:tc>
        <w:tc>
          <w:tcPr>
            <w:tcW w:w="1188" w:type="pct"/>
            <w:vAlign w:val="center"/>
          </w:tcPr>
          <w:p w14:paraId="604E73D9">
            <w:pPr>
              <w:pStyle w:val="286"/>
              <w:adjustRightInd w:val="0"/>
              <w:snapToGrid w:val="0"/>
              <w:spacing w:line="300" w:lineRule="exact"/>
              <w:rPr>
                <w:rFonts w:hint="eastAsia" w:cs="宋体"/>
                <w:color w:val="000000" w:themeColor="text1"/>
                <w:sz w:val="21"/>
                <w14:textFill>
                  <w14:solidFill>
                    <w14:schemeClr w14:val="tx1"/>
                  </w14:solidFill>
                </w14:textFill>
              </w:rPr>
            </w:pPr>
            <w:r>
              <w:rPr>
                <w:rFonts w:hint="eastAsia" w:cs="宋体"/>
                <w:color w:val="000000" w:themeColor="text1"/>
                <w:sz w:val="21"/>
                <w14:textFill>
                  <w14:solidFill>
                    <w14:schemeClr w14:val="tx1"/>
                  </w14:solidFill>
                </w14:textFill>
              </w:rPr>
              <w:t>镍</w:t>
            </w:r>
          </w:p>
        </w:tc>
        <w:tc>
          <w:tcPr>
            <w:tcW w:w="1489" w:type="pct"/>
            <w:vAlign w:val="center"/>
          </w:tcPr>
          <w:p w14:paraId="3CBF3A0D">
            <w:pPr>
              <w:pStyle w:val="286"/>
              <w:adjustRightInd w:val="0"/>
              <w:snapToGrid w:val="0"/>
              <w:spacing w:line="300" w:lineRule="exact"/>
              <w:rPr>
                <w:rFonts w:hint="eastAsia" w:cs="宋体"/>
                <w:color w:val="000000" w:themeColor="text1"/>
                <w:sz w:val="21"/>
                <w14:textFill>
                  <w14:solidFill>
                    <w14:schemeClr w14:val="tx1"/>
                  </w14:solidFill>
                </w14:textFill>
              </w:rPr>
            </w:pPr>
            <w:r>
              <w:rPr>
                <w:rFonts w:hint="eastAsia" w:cs="宋体"/>
                <w:color w:val="000000" w:themeColor="text1"/>
                <w:sz w:val="21"/>
                <w14:textFill>
                  <w14:solidFill>
                    <w14:schemeClr w14:val="tx1"/>
                  </w14:solidFill>
                </w14:textFill>
              </w:rPr>
              <w:t>mg/kg</w:t>
            </w:r>
          </w:p>
        </w:tc>
        <w:tc>
          <w:tcPr>
            <w:tcW w:w="1855" w:type="pct"/>
            <w:tcBorders>
              <w:right w:val="nil"/>
            </w:tcBorders>
            <w:vAlign w:val="center"/>
          </w:tcPr>
          <w:p w14:paraId="0F22E5FC">
            <w:pPr>
              <w:pStyle w:val="286"/>
              <w:adjustRightInd w:val="0"/>
              <w:snapToGrid w:val="0"/>
              <w:spacing w:line="300" w:lineRule="exact"/>
              <w:rPr>
                <w:rFonts w:hint="eastAsia" w:cs="宋体"/>
                <w:color w:val="000000" w:themeColor="text1"/>
                <w:sz w:val="21"/>
                <w14:textFill>
                  <w14:solidFill>
                    <w14:schemeClr w14:val="tx1"/>
                  </w14:solidFill>
                </w14:textFill>
              </w:rPr>
            </w:pPr>
            <w:r>
              <w:rPr>
                <w:rFonts w:hint="eastAsia" w:cs="宋体"/>
                <w:color w:val="000000" w:themeColor="text1"/>
                <w:sz w:val="21"/>
                <w14:textFill>
                  <w14:solidFill>
                    <w14:schemeClr w14:val="tx1"/>
                  </w14:solidFill>
                </w14:textFill>
              </w:rPr>
              <w:t>190</w:t>
            </w:r>
          </w:p>
        </w:tc>
      </w:tr>
      <w:tr w14:paraId="632C7D7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468" w:type="pct"/>
            <w:tcBorders>
              <w:left w:val="nil"/>
            </w:tcBorders>
            <w:vAlign w:val="center"/>
          </w:tcPr>
          <w:p w14:paraId="79308F1C">
            <w:pPr>
              <w:pStyle w:val="286"/>
              <w:adjustRightInd w:val="0"/>
              <w:snapToGrid w:val="0"/>
              <w:spacing w:line="300" w:lineRule="exact"/>
              <w:rPr>
                <w:rFonts w:hint="eastAsia" w:cs="宋体"/>
                <w:color w:val="000000" w:themeColor="text1"/>
                <w:sz w:val="21"/>
                <w14:textFill>
                  <w14:solidFill>
                    <w14:schemeClr w14:val="tx1"/>
                  </w14:solidFill>
                </w14:textFill>
              </w:rPr>
            </w:pPr>
            <w:r>
              <w:rPr>
                <w:rFonts w:hint="eastAsia" w:cs="宋体"/>
                <w:color w:val="000000" w:themeColor="text1"/>
                <w:sz w:val="21"/>
                <w14:textFill>
                  <w14:solidFill>
                    <w14:schemeClr w14:val="tx1"/>
                  </w14:solidFill>
                </w14:textFill>
              </w:rPr>
              <w:t>8</w:t>
            </w:r>
          </w:p>
        </w:tc>
        <w:tc>
          <w:tcPr>
            <w:tcW w:w="1188" w:type="pct"/>
            <w:vAlign w:val="center"/>
          </w:tcPr>
          <w:p w14:paraId="56EF187C">
            <w:pPr>
              <w:pStyle w:val="286"/>
              <w:adjustRightInd w:val="0"/>
              <w:snapToGrid w:val="0"/>
              <w:spacing w:line="300" w:lineRule="exact"/>
              <w:rPr>
                <w:rFonts w:hint="eastAsia" w:cs="宋体"/>
                <w:color w:val="000000" w:themeColor="text1"/>
                <w:sz w:val="21"/>
                <w14:textFill>
                  <w14:solidFill>
                    <w14:schemeClr w14:val="tx1"/>
                  </w14:solidFill>
                </w14:textFill>
              </w:rPr>
            </w:pPr>
            <w:r>
              <w:rPr>
                <w:rFonts w:hint="eastAsia" w:cs="宋体"/>
                <w:color w:val="000000" w:themeColor="text1"/>
                <w:sz w:val="21"/>
                <w14:textFill>
                  <w14:solidFill>
                    <w14:schemeClr w14:val="tx1"/>
                  </w14:solidFill>
                </w14:textFill>
              </w:rPr>
              <w:t>铬</w:t>
            </w:r>
          </w:p>
        </w:tc>
        <w:tc>
          <w:tcPr>
            <w:tcW w:w="1489" w:type="pct"/>
            <w:vAlign w:val="center"/>
          </w:tcPr>
          <w:p w14:paraId="2D8B3BDE">
            <w:pPr>
              <w:pStyle w:val="286"/>
              <w:adjustRightInd w:val="0"/>
              <w:snapToGrid w:val="0"/>
              <w:spacing w:line="300" w:lineRule="exact"/>
              <w:rPr>
                <w:rFonts w:hint="eastAsia" w:cs="宋体"/>
                <w:color w:val="000000" w:themeColor="text1"/>
                <w:sz w:val="21"/>
                <w14:textFill>
                  <w14:solidFill>
                    <w14:schemeClr w14:val="tx1"/>
                  </w14:solidFill>
                </w14:textFill>
              </w:rPr>
            </w:pPr>
            <w:r>
              <w:rPr>
                <w:rFonts w:hint="eastAsia" w:cs="宋体"/>
                <w:color w:val="000000" w:themeColor="text1"/>
                <w:sz w:val="21"/>
                <w14:textFill>
                  <w14:solidFill>
                    <w14:schemeClr w14:val="tx1"/>
                  </w14:solidFill>
                </w14:textFill>
              </w:rPr>
              <w:t>mg/kg</w:t>
            </w:r>
          </w:p>
        </w:tc>
        <w:tc>
          <w:tcPr>
            <w:tcW w:w="1855" w:type="pct"/>
            <w:tcBorders>
              <w:right w:val="nil"/>
            </w:tcBorders>
            <w:vAlign w:val="center"/>
          </w:tcPr>
          <w:p w14:paraId="51847FED">
            <w:pPr>
              <w:pStyle w:val="286"/>
              <w:adjustRightInd w:val="0"/>
              <w:snapToGrid w:val="0"/>
              <w:spacing w:line="300" w:lineRule="exact"/>
              <w:rPr>
                <w:rFonts w:hint="eastAsia" w:cs="宋体"/>
                <w:color w:val="000000" w:themeColor="text1"/>
                <w:sz w:val="21"/>
                <w14:textFill>
                  <w14:solidFill>
                    <w14:schemeClr w14:val="tx1"/>
                  </w14:solidFill>
                </w14:textFill>
              </w:rPr>
            </w:pPr>
            <w:r>
              <w:rPr>
                <w:rFonts w:hint="eastAsia" w:cs="宋体"/>
                <w:color w:val="000000" w:themeColor="text1"/>
                <w:sz w:val="21"/>
                <w14:textFill>
                  <w14:solidFill>
                    <w14:schemeClr w14:val="tx1"/>
                  </w14:solidFill>
                </w14:textFill>
              </w:rPr>
              <w:t>200</w:t>
            </w:r>
          </w:p>
        </w:tc>
      </w:tr>
      <w:tr w14:paraId="6CFF8D9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468" w:type="pct"/>
            <w:tcBorders>
              <w:left w:val="nil"/>
            </w:tcBorders>
            <w:vAlign w:val="center"/>
          </w:tcPr>
          <w:p w14:paraId="3CD70ECF">
            <w:pPr>
              <w:pStyle w:val="286"/>
              <w:adjustRightInd w:val="0"/>
              <w:snapToGrid w:val="0"/>
              <w:spacing w:line="300" w:lineRule="exact"/>
              <w:rPr>
                <w:rFonts w:hint="eastAsia" w:cs="宋体"/>
                <w:color w:val="000000" w:themeColor="text1"/>
                <w:sz w:val="21"/>
                <w14:textFill>
                  <w14:solidFill>
                    <w14:schemeClr w14:val="tx1"/>
                  </w14:solidFill>
                </w14:textFill>
              </w:rPr>
            </w:pPr>
            <w:r>
              <w:rPr>
                <w:rFonts w:hint="eastAsia" w:cs="宋体"/>
                <w:color w:val="000000" w:themeColor="text1"/>
                <w:sz w:val="21"/>
                <w14:textFill>
                  <w14:solidFill>
                    <w14:schemeClr w14:val="tx1"/>
                  </w14:solidFill>
                </w14:textFill>
              </w:rPr>
              <w:t>9</w:t>
            </w:r>
          </w:p>
        </w:tc>
        <w:tc>
          <w:tcPr>
            <w:tcW w:w="1188" w:type="pct"/>
            <w:vAlign w:val="center"/>
          </w:tcPr>
          <w:p w14:paraId="215FF258">
            <w:pPr>
              <w:pStyle w:val="286"/>
              <w:adjustRightInd w:val="0"/>
              <w:snapToGrid w:val="0"/>
              <w:spacing w:line="300" w:lineRule="exact"/>
              <w:rPr>
                <w:rFonts w:hint="eastAsia" w:cs="宋体"/>
                <w:color w:val="000000" w:themeColor="text1"/>
                <w:sz w:val="21"/>
                <w14:textFill>
                  <w14:solidFill>
                    <w14:schemeClr w14:val="tx1"/>
                  </w14:solidFill>
                </w14:textFill>
              </w:rPr>
            </w:pPr>
            <w:r>
              <w:rPr>
                <w:rFonts w:hint="eastAsia" w:cs="宋体"/>
                <w:color w:val="000000" w:themeColor="text1"/>
                <w:sz w:val="21"/>
                <w14:textFill>
                  <w14:solidFill>
                    <w14:schemeClr w14:val="tx1"/>
                  </w14:solidFill>
                </w14:textFill>
              </w:rPr>
              <w:t>锌</w:t>
            </w:r>
          </w:p>
        </w:tc>
        <w:tc>
          <w:tcPr>
            <w:tcW w:w="1489" w:type="pct"/>
            <w:vAlign w:val="center"/>
          </w:tcPr>
          <w:p w14:paraId="78E0D6F5">
            <w:pPr>
              <w:pStyle w:val="286"/>
              <w:adjustRightInd w:val="0"/>
              <w:snapToGrid w:val="0"/>
              <w:spacing w:line="300" w:lineRule="exact"/>
              <w:rPr>
                <w:rFonts w:hint="eastAsia" w:cs="宋体"/>
                <w:color w:val="000000" w:themeColor="text1"/>
                <w:sz w:val="21"/>
                <w14:textFill>
                  <w14:solidFill>
                    <w14:schemeClr w14:val="tx1"/>
                  </w14:solidFill>
                </w14:textFill>
              </w:rPr>
            </w:pPr>
            <w:r>
              <w:rPr>
                <w:rFonts w:hint="eastAsia" w:cs="宋体"/>
                <w:color w:val="000000" w:themeColor="text1"/>
                <w:sz w:val="21"/>
                <w14:textFill>
                  <w14:solidFill>
                    <w14:schemeClr w14:val="tx1"/>
                  </w14:solidFill>
                </w14:textFill>
              </w:rPr>
              <w:t>mg/kg</w:t>
            </w:r>
          </w:p>
        </w:tc>
        <w:tc>
          <w:tcPr>
            <w:tcW w:w="1855" w:type="pct"/>
            <w:tcBorders>
              <w:right w:val="nil"/>
            </w:tcBorders>
            <w:vAlign w:val="center"/>
          </w:tcPr>
          <w:p w14:paraId="64A36FA9">
            <w:pPr>
              <w:pStyle w:val="286"/>
              <w:adjustRightInd w:val="0"/>
              <w:snapToGrid w:val="0"/>
              <w:spacing w:line="300" w:lineRule="exact"/>
              <w:rPr>
                <w:rFonts w:hint="eastAsia" w:cs="宋体"/>
                <w:color w:val="000000" w:themeColor="text1"/>
                <w:sz w:val="21"/>
                <w14:textFill>
                  <w14:solidFill>
                    <w14:schemeClr w14:val="tx1"/>
                  </w14:solidFill>
                </w14:textFill>
              </w:rPr>
            </w:pPr>
            <w:r>
              <w:rPr>
                <w:rFonts w:hint="eastAsia" w:cs="宋体"/>
                <w:color w:val="000000" w:themeColor="text1"/>
                <w:sz w:val="21"/>
                <w14:textFill>
                  <w14:solidFill>
                    <w14:schemeClr w14:val="tx1"/>
                  </w14:solidFill>
                </w14:textFill>
              </w:rPr>
              <w:t>300</w:t>
            </w:r>
          </w:p>
        </w:tc>
      </w:tr>
      <w:bookmarkEnd w:id="95"/>
    </w:tbl>
    <w:p w14:paraId="22E6F873">
      <w:pPr>
        <w:pStyle w:val="117"/>
        <w:spacing w:line="480" w:lineRule="exact"/>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（2）</w:t>
      </w:r>
      <w:r>
        <w:rPr>
          <w:color w:val="000000" w:themeColor="text1"/>
          <w14:textFill>
            <w14:solidFill>
              <w14:schemeClr w14:val="tx1"/>
            </w14:solidFill>
          </w14:textFill>
        </w:rPr>
        <w:t>污染物排放标准</w:t>
      </w:r>
    </w:p>
    <w:bookmarkEnd w:id="96"/>
    <w:p w14:paraId="11D62886">
      <w:pPr>
        <w:pStyle w:val="117"/>
        <w:spacing w:line="480" w:lineRule="exact"/>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①废气</w:t>
      </w:r>
    </w:p>
    <w:p w14:paraId="5FDD60DD">
      <w:pPr>
        <w:pStyle w:val="191"/>
        <w:ind w:firstLine="480"/>
        <w:rPr>
          <w:rFonts w:hint="eastAsia" w:cs="宋体"/>
          <w:color w:val="000000" w:themeColor="text1"/>
          <w:szCs w:val="21"/>
          <w:lang w:bidi="ar"/>
          <w14:textFill>
            <w14:solidFill>
              <w14:schemeClr w14:val="tx1"/>
            </w14:solidFill>
          </w14:textFill>
        </w:rPr>
      </w:pPr>
      <w:r>
        <w:rPr>
          <w:rFonts w:hint="eastAsia"/>
          <w:color w:val="000000" w:themeColor="text1"/>
          <w14:textFill>
            <w14:solidFill>
              <w14:schemeClr w14:val="tx1"/>
            </w14:solidFill>
          </w14:textFill>
        </w:rPr>
        <w:t>井场和预处理注入站厂界无组织非甲烷总烃排放浓度执行</w:t>
      </w:r>
      <w:bookmarkStart w:id="97" w:name="OLE_LINK118"/>
      <w:r>
        <w:rPr>
          <w:rFonts w:hint="eastAsia"/>
          <w:color w:val="000000" w:themeColor="text1"/>
          <w14:textFill>
            <w14:solidFill>
              <w14:schemeClr w14:val="tx1"/>
            </w14:solidFill>
          </w14:textFill>
        </w:rPr>
        <w:t>《陆上石油天然气开采工业大气污染物排放标准》（GB39728—2020）企业边界污染物控制要求（4.0mg/m</w:t>
      </w:r>
      <w:r>
        <w:rPr>
          <w:rFonts w:hint="eastAsia"/>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w:t>
      </w:r>
      <w:bookmarkEnd w:id="97"/>
      <w:r>
        <w:rPr>
          <w:rFonts w:hint="eastAsia"/>
          <w:color w:val="000000" w:themeColor="text1"/>
          <w14:textFill>
            <w14:solidFill>
              <w14:schemeClr w14:val="tx1"/>
            </w14:solidFill>
          </w14:textFill>
        </w:rPr>
        <w:t>，无组织硫化氢排放浓度满足《恶臭污染物排放标准》（GB14554-93）表1二级新改扩建浓度</w:t>
      </w:r>
      <w:bookmarkStart w:id="98" w:name="_Hlk160374517"/>
      <w:bookmarkStart w:id="99" w:name="_Hlk35962026"/>
      <w:r>
        <w:rPr>
          <w:rFonts w:hint="eastAsia"/>
          <w:color w:val="000000" w:themeColor="text1"/>
          <w14:textFill>
            <w14:solidFill>
              <w14:schemeClr w14:val="tx1"/>
            </w14:solidFill>
          </w14:textFill>
        </w:rPr>
        <w:t>（0.06mg/m</w:t>
      </w:r>
      <w:r>
        <w:rPr>
          <w:rFonts w:hint="eastAsia"/>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w:t>
      </w:r>
      <w:r>
        <w:rPr>
          <w:rFonts w:hint="eastAsia" w:cs="宋体"/>
          <w:color w:val="000000" w:themeColor="text1"/>
          <w:szCs w:val="21"/>
          <w:lang w:bidi="ar"/>
          <w14:textFill>
            <w14:solidFill>
              <w14:schemeClr w14:val="tx1"/>
            </w14:solidFill>
          </w14:textFill>
        </w:rPr>
        <w:t>。</w:t>
      </w:r>
    </w:p>
    <w:bookmarkEnd w:id="98"/>
    <w:p w14:paraId="4AD9E35D">
      <w:pPr>
        <w:pStyle w:val="117"/>
        <w:spacing w:line="480" w:lineRule="exact"/>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②</w:t>
      </w:r>
      <w:bookmarkEnd w:id="99"/>
      <w:r>
        <w:rPr>
          <w:color w:val="000000" w:themeColor="text1"/>
          <w14:textFill>
            <w14:solidFill>
              <w14:schemeClr w14:val="tx1"/>
            </w14:solidFill>
          </w14:textFill>
        </w:rPr>
        <w:t>噪声</w:t>
      </w:r>
    </w:p>
    <w:p w14:paraId="23F441E6">
      <w:pPr>
        <w:pStyle w:val="117"/>
        <w:spacing w:line="480" w:lineRule="exact"/>
        <w:ind w:firstLine="480"/>
        <w:rPr>
          <w:rFonts w:hint="eastAsia"/>
          <w:color w:val="000000" w:themeColor="text1"/>
          <w14:textFill>
            <w14:solidFill>
              <w14:schemeClr w14:val="tx1"/>
            </w14:solidFill>
          </w14:textFill>
        </w:rPr>
      </w:pPr>
      <w:r>
        <w:rPr>
          <w:color w:val="000000" w:themeColor="text1"/>
          <w14:textFill>
            <w14:solidFill>
              <w14:schemeClr w14:val="tx1"/>
            </w14:solidFill>
          </w14:textFill>
        </w:rPr>
        <w:t>施工</w:t>
      </w:r>
      <w:r>
        <w:rPr>
          <w:rFonts w:hint="eastAsia"/>
          <w:color w:val="000000" w:themeColor="text1"/>
          <w14:textFill>
            <w14:solidFill>
              <w14:schemeClr w14:val="tx1"/>
            </w14:solidFill>
          </w14:textFill>
        </w:rPr>
        <w:t>场界环境噪声</w:t>
      </w:r>
      <w:r>
        <w:rPr>
          <w:color w:val="000000" w:themeColor="text1"/>
          <w14:textFill>
            <w14:solidFill>
              <w14:schemeClr w14:val="tx1"/>
            </w14:solidFill>
          </w14:textFill>
        </w:rPr>
        <w:t>执行《建筑施工场界环境噪声排放标准》（GB12523-2011）</w:t>
      </w:r>
      <w:r>
        <w:rPr>
          <w:rFonts w:hint="eastAsia"/>
          <w:color w:val="000000" w:themeColor="text1"/>
          <w14:textFill>
            <w14:solidFill>
              <w14:schemeClr w14:val="tx1"/>
            </w14:solidFill>
          </w14:textFill>
        </w:rPr>
        <w:t>相</w:t>
      </w:r>
      <w:r>
        <w:rPr>
          <w:color w:val="000000" w:themeColor="text1"/>
          <w14:textFill>
            <w14:solidFill>
              <w14:schemeClr w14:val="tx1"/>
            </w14:solidFill>
          </w14:textFill>
        </w:rPr>
        <w:t>关标准</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运营期</w:t>
      </w:r>
      <w:r>
        <w:rPr>
          <w:rFonts w:hint="eastAsia"/>
          <w:color w:val="000000" w:themeColor="text1"/>
          <w14:textFill>
            <w14:solidFill>
              <w14:schemeClr w14:val="tx1"/>
            </w14:solidFill>
          </w14:textFill>
        </w:rPr>
        <w:t>厂界</w:t>
      </w:r>
      <w:r>
        <w:rPr>
          <w:color w:val="000000" w:themeColor="text1"/>
          <w14:textFill>
            <w14:solidFill>
              <w14:schemeClr w14:val="tx1"/>
            </w14:solidFill>
          </w14:textFill>
        </w:rPr>
        <w:t>噪声</w:t>
      </w:r>
      <w:r>
        <w:rPr>
          <w:rFonts w:hint="eastAsia"/>
          <w:color w:val="000000" w:themeColor="text1"/>
          <w14:textFill>
            <w14:solidFill>
              <w14:schemeClr w14:val="tx1"/>
            </w14:solidFill>
          </w14:textFill>
        </w:rPr>
        <w:t>执行</w:t>
      </w:r>
      <w:r>
        <w:rPr>
          <w:color w:val="000000" w:themeColor="text1"/>
          <w14:textFill>
            <w14:solidFill>
              <w14:schemeClr w14:val="tx1"/>
            </w14:solidFill>
          </w14:textFill>
        </w:rPr>
        <w:t>《工业企业厂界</w:t>
      </w:r>
      <w:r>
        <w:rPr>
          <w:rFonts w:hint="eastAsia"/>
          <w:color w:val="000000" w:themeColor="text1"/>
          <w14:textFill>
            <w14:solidFill>
              <w14:schemeClr w14:val="tx1"/>
            </w14:solidFill>
          </w14:textFill>
        </w:rPr>
        <w:t>环境</w:t>
      </w:r>
      <w:r>
        <w:rPr>
          <w:color w:val="000000" w:themeColor="text1"/>
          <w14:textFill>
            <w14:solidFill>
              <w14:schemeClr w14:val="tx1"/>
            </w14:solidFill>
          </w14:textFill>
        </w:rPr>
        <w:t>噪声排放标准》（GB12348-2008）中2类</w:t>
      </w:r>
      <w:r>
        <w:rPr>
          <w:rFonts w:hint="eastAsia"/>
          <w:color w:val="000000" w:themeColor="text1"/>
          <w14:textFill>
            <w14:solidFill>
              <w14:schemeClr w14:val="tx1"/>
            </w14:solidFill>
          </w14:textFill>
        </w:rPr>
        <w:t>限值</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具体</w:t>
      </w:r>
      <w:r>
        <w:rPr>
          <w:color w:val="000000" w:themeColor="text1"/>
          <w14:textFill>
            <w14:solidFill>
              <w14:schemeClr w14:val="tx1"/>
            </w14:solidFill>
          </w14:textFill>
        </w:rPr>
        <w:t>见</w:t>
      </w:r>
      <w:r>
        <w:rPr>
          <w:rFonts w:hint="eastAsia"/>
          <w:color w:val="000000" w:themeColor="text1"/>
          <w14:textFill>
            <w14:solidFill>
              <w14:schemeClr w14:val="tx1"/>
            </w14:solidFill>
          </w14:textFill>
        </w:rPr>
        <w:t>表</w:t>
      </w:r>
      <w:r>
        <w:rPr>
          <w:color w:val="000000" w:themeColor="text1"/>
          <w14:textFill>
            <w14:solidFill>
              <w14:schemeClr w14:val="tx1"/>
            </w14:solidFill>
          </w14:textFill>
        </w:rPr>
        <w:t>2.5</w:t>
      </w:r>
      <w:r>
        <w:rPr>
          <w:rFonts w:hint="eastAsia"/>
          <w:color w:val="000000" w:themeColor="text1"/>
          <w14:textFill>
            <w14:solidFill>
              <w14:schemeClr w14:val="tx1"/>
            </w14:solidFill>
          </w14:textFill>
        </w:rPr>
        <w:t>-7。</w:t>
      </w:r>
    </w:p>
    <w:p w14:paraId="6C90E999">
      <w:pPr>
        <w:pStyle w:val="109"/>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表</w:t>
      </w:r>
      <w:r>
        <w:rPr>
          <w:color w:val="000000" w:themeColor="text1"/>
          <w14:textFill>
            <w14:solidFill>
              <w14:schemeClr w14:val="tx1"/>
            </w14:solidFill>
          </w14:textFill>
        </w:rPr>
        <w:t>2.5</w:t>
      </w:r>
      <w:r>
        <w:rPr>
          <w:rFonts w:hint="eastAsia"/>
          <w:color w:val="000000" w:themeColor="text1"/>
          <w14:textFill>
            <w14:solidFill>
              <w14:schemeClr w14:val="tx1"/>
            </w14:solidFill>
          </w14:textFill>
        </w:rPr>
        <w:t>-7</w:t>
      </w:r>
      <w:r>
        <w:rPr>
          <w:color w:val="000000" w:themeColor="text1"/>
          <w14:textFill>
            <w14:solidFill>
              <w14:schemeClr w14:val="tx1"/>
            </w14:solidFill>
          </w14:textFill>
        </w:rPr>
        <w:t xml:space="preserve">  噪声排放标准</w:t>
      </w:r>
      <w:r>
        <w:rPr>
          <w:rFonts w:hint="eastAsia"/>
          <w:color w:val="000000" w:themeColor="text1"/>
          <w14:textFill>
            <w14:solidFill>
              <w14:schemeClr w14:val="tx1"/>
            </w14:solidFill>
          </w14:textFill>
        </w:rPr>
        <w:t>一览表</w:t>
      </w:r>
    </w:p>
    <w:tbl>
      <w:tblPr>
        <w:tblStyle w:val="51"/>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3228"/>
        <w:gridCol w:w="1702"/>
        <w:gridCol w:w="1651"/>
        <w:gridCol w:w="2365"/>
      </w:tblGrid>
      <w:tr w14:paraId="6948BAE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1804" w:type="pct"/>
            <w:vAlign w:val="center"/>
          </w:tcPr>
          <w:p w14:paraId="0E5E72A5">
            <w:pPr>
              <w:pStyle w:val="286"/>
              <w:adjustRightInd w:val="0"/>
              <w:snapToGrid w:val="0"/>
              <w:rPr>
                <w:rFonts w:hint="eastAsia" w:cs="Arial"/>
                <w:color w:val="000000" w:themeColor="text1"/>
                <w:kern w:val="2"/>
                <w:sz w:val="21"/>
                <w14:textFill>
                  <w14:solidFill>
                    <w14:schemeClr w14:val="tx1"/>
                  </w14:solidFill>
                </w14:textFill>
              </w:rPr>
            </w:pPr>
            <w:r>
              <w:rPr>
                <w:rFonts w:hint="eastAsia" w:cs="Arial"/>
                <w:color w:val="000000" w:themeColor="text1"/>
                <w:kern w:val="2"/>
                <w:sz w:val="21"/>
                <w14:textFill>
                  <w14:solidFill>
                    <w14:schemeClr w14:val="tx1"/>
                  </w14:solidFill>
                </w14:textFill>
              </w:rPr>
              <w:t>执行地点</w:t>
            </w:r>
          </w:p>
        </w:tc>
        <w:tc>
          <w:tcPr>
            <w:tcW w:w="951" w:type="pct"/>
            <w:vAlign w:val="center"/>
          </w:tcPr>
          <w:p w14:paraId="5860D252">
            <w:pPr>
              <w:pStyle w:val="286"/>
              <w:adjustRightInd w:val="0"/>
              <w:snapToGrid w:val="0"/>
              <w:rPr>
                <w:rFonts w:hint="eastAsia" w:cs="Arial"/>
                <w:color w:val="000000" w:themeColor="text1"/>
                <w:kern w:val="2"/>
                <w:sz w:val="21"/>
                <w14:textFill>
                  <w14:solidFill>
                    <w14:schemeClr w14:val="tx1"/>
                  </w14:solidFill>
                </w14:textFill>
              </w:rPr>
            </w:pPr>
            <w:r>
              <w:rPr>
                <w:rFonts w:hint="eastAsia" w:cs="Arial"/>
                <w:color w:val="000000" w:themeColor="text1"/>
                <w:kern w:val="2"/>
                <w:sz w:val="21"/>
                <w14:textFill>
                  <w14:solidFill>
                    <w14:schemeClr w14:val="tx1"/>
                  </w14:solidFill>
                </w14:textFill>
              </w:rPr>
              <w:t>昼间</w:t>
            </w:r>
            <w:r>
              <w:rPr>
                <w:rFonts w:hint="eastAsia"/>
                <w:bCs/>
                <w:color w:val="000000" w:themeColor="text1"/>
                <w:sz w:val="21"/>
                <w14:textFill>
                  <w14:solidFill>
                    <w14:schemeClr w14:val="tx1"/>
                  </w14:solidFill>
                </w14:textFill>
              </w:rPr>
              <w:t>[</w:t>
            </w:r>
            <w:r>
              <w:rPr>
                <w:bCs/>
                <w:color w:val="000000" w:themeColor="text1"/>
                <w:sz w:val="21"/>
                <w14:textFill>
                  <w14:solidFill>
                    <w14:schemeClr w14:val="tx1"/>
                  </w14:solidFill>
                </w14:textFill>
              </w:rPr>
              <w:t>dB（A）</w:t>
            </w:r>
            <w:r>
              <w:rPr>
                <w:rFonts w:hint="eastAsia"/>
                <w:bCs/>
                <w:color w:val="000000" w:themeColor="text1"/>
                <w:sz w:val="21"/>
                <w14:textFill>
                  <w14:solidFill>
                    <w14:schemeClr w14:val="tx1"/>
                  </w14:solidFill>
                </w14:textFill>
              </w:rPr>
              <w:t>]</w:t>
            </w:r>
          </w:p>
        </w:tc>
        <w:tc>
          <w:tcPr>
            <w:tcW w:w="923" w:type="pct"/>
            <w:vAlign w:val="center"/>
          </w:tcPr>
          <w:p w14:paraId="15717E57">
            <w:pPr>
              <w:pStyle w:val="286"/>
              <w:adjustRightInd w:val="0"/>
              <w:snapToGrid w:val="0"/>
              <w:rPr>
                <w:rFonts w:hint="eastAsia" w:cs="Arial"/>
                <w:color w:val="000000" w:themeColor="text1"/>
                <w:kern w:val="2"/>
                <w:sz w:val="21"/>
                <w14:textFill>
                  <w14:solidFill>
                    <w14:schemeClr w14:val="tx1"/>
                  </w14:solidFill>
                </w14:textFill>
              </w:rPr>
            </w:pPr>
            <w:r>
              <w:rPr>
                <w:rFonts w:hint="eastAsia" w:cs="Arial"/>
                <w:color w:val="000000" w:themeColor="text1"/>
                <w:kern w:val="2"/>
                <w:sz w:val="21"/>
                <w14:textFill>
                  <w14:solidFill>
                    <w14:schemeClr w14:val="tx1"/>
                  </w14:solidFill>
                </w14:textFill>
              </w:rPr>
              <w:t>夜间</w:t>
            </w:r>
            <w:r>
              <w:rPr>
                <w:rFonts w:hint="eastAsia"/>
                <w:bCs/>
                <w:color w:val="000000" w:themeColor="text1"/>
                <w:sz w:val="21"/>
                <w14:textFill>
                  <w14:solidFill>
                    <w14:schemeClr w14:val="tx1"/>
                  </w14:solidFill>
                </w14:textFill>
              </w:rPr>
              <w:t>[</w:t>
            </w:r>
            <w:r>
              <w:rPr>
                <w:bCs/>
                <w:color w:val="000000" w:themeColor="text1"/>
                <w:sz w:val="21"/>
                <w14:textFill>
                  <w14:solidFill>
                    <w14:schemeClr w14:val="tx1"/>
                  </w14:solidFill>
                </w14:textFill>
              </w:rPr>
              <w:t>dB（A）</w:t>
            </w:r>
            <w:r>
              <w:rPr>
                <w:rFonts w:hint="eastAsia"/>
                <w:bCs/>
                <w:color w:val="000000" w:themeColor="text1"/>
                <w:sz w:val="21"/>
                <w14:textFill>
                  <w14:solidFill>
                    <w14:schemeClr w14:val="tx1"/>
                  </w14:solidFill>
                </w14:textFill>
              </w:rPr>
              <w:t>]</w:t>
            </w:r>
          </w:p>
        </w:tc>
        <w:tc>
          <w:tcPr>
            <w:tcW w:w="1323" w:type="pct"/>
            <w:vAlign w:val="center"/>
          </w:tcPr>
          <w:p w14:paraId="3E088E52">
            <w:pPr>
              <w:pStyle w:val="286"/>
              <w:adjustRightInd w:val="0"/>
              <w:snapToGrid w:val="0"/>
              <w:rPr>
                <w:rFonts w:hint="eastAsia" w:cs="Arial"/>
                <w:color w:val="000000" w:themeColor="text1"/>
                <w:kern w:val="2"/>
                <w:sz w:val="21"/>
                <w14:textFill>
                  <w14:solidFill>
                    <w14:schemeClr w14:val="tx1"/>
                  </w14:solidFill>
                </w14:textFill>
              </w:rPr>
            </w:pPr>
            <w:r>
              <w:rPr>
                <w:rFonts w:hint="eastAsia" w:cs="Arial"/>
                <w:color w:val="000000" w:themeColor="text1"/>
                <w:kern w:val="2"/>
                <w:sz w:val="21"/>
                <w14:textFill>
                  <w14:solidFill>
                    <w14:schemeClr w14:val="tx1"/>
                  </w14:solidFill>
                </w14:textFill>
              </w:rPr>
              <w:t>标准来源</w:t>
            </w:r>
          </w:p>
        </w:tc>
      </w:tr>
      <w:tr w14:paraId="193A7C7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1804" w:type="pct"/>
            <w:vAlign w:val="center"/>
          </w:tcPr>
          <w:p w14:paraId="263704F7">
            <w:pPr>
              <w:pStyle w:val="286"/>
              <w:adjustRightInd w:val="0"/>
              <w:snapToGrid w:val="0"/>
              <w:rPr>
                <w:rFonts w:hint="eastAsia" w:cs="Arial"/>
                <w:color w:val="000000" w:themeColor="text1"/>
                <w:kern w:val="2"/>
                <w:sz w:val="21"/>
                <w14:textFill>
                  <w14:solidFill>
                    <w14:schemeClr w14:val="tx1"/>
                  </w14:solidFill>
                </w14:textFill>
              </w:rPr>
            </w:pPr>
            <w:r>
              <w:rPr>
                <w:rFonts w:hint="eastAsia" w:cs="Arial"/>
                <w:color w:val="000000" w:themeColor="text1"/>
                <w:kern w:val="2"/>
                <w:sz w:val="21"/>
                <w14:textFill>
                  <w14:solidFill>
                    <w14:schemeClr w14:val="tx1"/>
                  </w14:solidFill>
                </w14:textFill>
              </w:rPr>
              <w:t>建筑施工场界</w:t>
            </w:r>
          </w:p>
        </w:tc>
        <w:tc>
          <w:tcPr>
            <w:tcW w:w="951" w:type="pct"/>
            <w:vAlign w:val="center"/>
          </w:tcPr>
          <w:p w14:paraId="27C6316D">
            <w:pPr>
              <w:pStyle w:val="286"/>
              <w:adjustRightInd w:val="0"/>
              <w:snapToGrid w:val="0"/>
              <w:rPr>
                <w:rFonts w:hint="eastAsia" w:cs="Arial"/>
                <w:color w:val="000000" w:themeColor="text1"/>
                <w:kern w:val="2"/>
                <w:sz w:val="21"/>
                <w14:textFill>
                  <w14:solidFill>
                    <w14:schemeClr w14:val="tx1"/>
                  </w14:solidFill>
                </w14:textFill>
              </w:rPr>
            </w:pPr>
            <w:r>
              <w:rPr>
                <w:rFonts w:hint="eastAsia" w:cs="Arial"/>
                <w:color w:val="000000" w:themeColor="text1"/>
                <w:kern w:val="2"/>
                <w:sz w:val="21"/>
                <w14:textFill>
                  <w14:solidFill>
                    <w14:schemeClr w14:val="tx1"/>
                  </w14:solidFill>
                </w14:textFill>
              </w:rPr>
              <w:t>70</w:t>
            </w:r>
          </w:p>
        </w:tc>
        <w:tc>
          <w:tcPr>
            <w:tcW w:w="923" w:type="pct"/>
            <w:vAlign w:val="center"/>
          </w:tcPr>
          <w:p w14:paraId="7962F730">
            <w:pPr>
              <w:pStyle w:val="286"/>
              <w:adjustRightInd w:val="0"/>
              <w:snapToGrid w:val="0"/>
              <w:rPr>
                <w:rFonts w:hint="eastAsia" w:cs="Arial"/>
                <w:color w:val="000000" w:themeColor="text1"/>
                <w:kern w:val="2"/>
                <w:sz w:val="21"/>
                <w14:textFill>
                  <w14:solidFill>
                    <w14:schemeClr w14:val="tx1"/>
                  </w14:solidFill>
                </w14:textFill>
              </w:rPr>
            </w:pPr>
            <w:r>
              <w:rPr>
                <w:rFonts w:hint="eastAsia" w:cs="Arial"/>
                <w:color w:val="000000" w:themeColor="text1"/>
                <w:kern w:val="2"/>
                <w:sz w:val="21"/>
                <w14:textFill>
                  <w14:solidFill>
                    <w14:schemeClr w14:val="tx1"/>
                  </w14:solidFill>
                </w14:textFill>
              </w:rPr>
              <w:t>55</w:t>
            </w:r>
          </w:p>
        </w:tc>
        <w:tc>
          <w:tcPr>
            <w:tcW w:w="1323" w:type="pct"/>
            <w:vAlign w:val="center"/>
          </w:tcPr>
          <w:p w14:paraId="64B1EF69">
            <w:pPr>
              <w:pStyle w:val="286"/>
              <w:adjustRightInd w:val="0"/>
              <w:snapToGrid w:val="0"/>
              <w:rPr>
                <w:rFonts w:hint="eastAsia" w:cs="Arial"/>
                <w:color w:val="000000" w:themeColor="text1"/>
                <w:kern w:val="2"/>
                <w:sz w:val="21"/>
                <w14:textFill>
                  <w14:solidFill>
                    <w14:schemeClr w14:val="tx1"/>
                  </w14:solidFill>
                </w14:textFill>
              </w:rPr>
            </w:pPr>
            <w:r>
              <w:rPr>
                <w:rFonts w:hint="eastAsia" w:cs="Arial"/>
                <w:color w:val="000000" w:themeColor="text1"/>
                <w:kern w:val="2"/>
                <w:sz w:val="21"/>
                <w14:textFill>
                  <w14:solidFill>
                    <w14:schemeClr w14:val="tx1"/>
                  </w14:solidFill>
                </w14:textFill>
              </w:rPr>
              <w:t>GB12523-2011</w:t>
            </w:r>
          </w:p>
        </w:tc>
      </w:tr>
      <w:tr w14:paraId="6AF293D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1804" w:type="pct"/>
            <w:vAlign w:val="center"/>
          </w:tcPr>
          <w:p w14:paraId="73C5BB97">
            <w:pPr>
              <w:pStyle w:val="286"/>
              <w:adjustRightInd w:val="0"/>
              <w:snapToGrid w:val="0"/>
              <w:rPr>
                <w:rFonts w:hint="eastAsia" w:cs="Arial"/>
                <w:color w:val="000000" w:themeColor="text1"/>
                <w:kern w:val="2"/>
                <w:sz w:val="21"/>
                <w14:textFill>
                  <w14:solidFill>
                    <w14:schemeClr w14:val="tx1"/>
                  </w14:solidFill>
                </w14:textFill>
              </w:rPr>
            </w:pPr>
            <w:r>
              <w:rPr>
                <w:rFonts w:hint="eastAsia"/>
                <w:color w:val="000000" w:themeColor="text1"/>
                <w:sz w:val="21"/>
                <w14:textFill>
                  <w14:solidFill>
                    <w14:schemeClr w14:val="tx1"/>
                  </w14:solidFill>
                </w14:textFill>
              </w:rPr>
              <w:t>场站厂界</w:t>
            </w:r>
          </w:p>
        </w:tc>
        <w:tc>
          <w:tcPr>
            <w:tcW w:w="951" w:type="pct"/>
            <w:vAlign w:val="center"/>
          </w:tcPr>
          <w:p w14:paraId="03BA924F">
            <w:pPr>
              <w:pStyle w:val="286"/>
              <w:adjustRightInd w:val="0"/>
              <w:snapToGrid w:val="0"/>
              <w:rPr>
                <w:rFonts w:hint="eastAsia" w:cs="Arial"/>
                <w:color w:val="000000" w:themeColor="text1"/>
                <w:kern w:val="2"/>
                <w:sz w:val="21"/>
                <w14:textFill>
                  <w14:solidFill>
                    <w14:schemeClr w14:val="tx1"/>
                  </w14:solidFill>
                </w14:textFill>
              </w:rPr>
            </w:pPr>
            <w:r>
              <w:rPr>
                <w:rFonts w:hint="eastAsia" w:cs="Arial"/>
                <w:color w:val="000000" w:themeColor="text1"/>
                <w:kern w:val="2"/>
                <w:sz w:val="21"/>
                <w14:textFill>
                  <w14:solidFill>
                    <w14:schemeClr w14:val="tx1"/>
                  </w14:solidFill>
                </w14:textFill>
              </w:rPr>
              <w:t>6</w:t>
            </w:r>
            <w:r>
              <w:rPr>
                <w:rFonts w:cs="Arial"/>
                <w:color w:val="000000" w:themeColor="text1"/>
                <w:kern w:val="2"/>
                <w:sz w:val="21"/>
                <w14:textFill>
                  <w14:solidFill>
                    <w14:schemeClr w14:val="tx1"/>
                  </w14:solidFill>
                </w14:textFill>
              </w:rPr>
              <w:t>0</w:t>
            </w:r>
          </w:p>
        </w:tc>
        <w:tc>
          <w:tcPr>
            <w:tcW w:w="923" w:type="pct"/>
            <w:vAlign w:val="center"/>
          </w:tcPr>
          <w:p w14:paraId="278B9D51">
            <w:pPr>
              <w:pStyle w:val="286"/>
              <w:adjustRightInd w:val="0"/>
              <w:snapToGrid w:val="0"/>
              <w:rPr>
                <w:rFonts w:hint="eastAsia" w:cs="Arial"/>
                <w:color w:val="000000" w:themeColor="text1"/>
                <w:kern w:val="2"/>
                <w:sz w:val="21"/>
                <w14:textFill>
                  <w14:solidFill>
                    <w14:schemeClr w14:val="tx1"/>
                  </w14:solidFill>
                </w14:textFill>
              </w:rPr>
            </w:pPr>
            <w:r>
              <w:rPr>
                <w:rFonts w:hint="eastAsia" w:cs="Arial"/>
                <w:color w:val="000000" w:themeColor="text1"/>
                <w:kern w:val="2"/>
                <w:sz w:val="21"/>
                <w14:textFill>
                  <w14:solidFill>
                    <w14:schemeClr w14:val="tx1"/>
                  </w14:solidFill>
                </w14:textFill>
              </w:rPr>
              <w:t>5</w:t>
            </w:r>
            <w:r>
              <w:rPr>
                <w:rFonts w:cs="Arial"/>
                <w:color w:val="000000" w:themeColor="text1"/>
                <w:kern w:val="2"/>
                <w:sz w:val="21"/>
                <w14:textFill>
                  <w14:solidFill>
                    <w14:schemeClr w14:val="tx1"/>
                  </w14:solidFill>
                </w14:textFill>
              </w:rPr>
              <w:t>0</w:t>
            </w:r>
          </w:p>
        </w:tc>
        <w:tc>
          <w:tcPr>
            <w:tcW w:w="1323" w:type="pct"/>
            <w:vAlign w:val="center"/>
          </w:tcPr>
          <w:p w14:paraId="321F043E">
            <w:pPr>
              <w:pStyle w:val="286"/>
              <w:adjustRightInd w:val="0"/>
              <w:snapToGrid w:val="0"/>
              <w:rPr>
                <w:rFonts w:hint="eastAsia" w:cs="Arial"/>
                <w:color w:val="000000" w:themeColor="text1"/>
                <w:kern w:val="2"/>
                <w:sz w:val="21"/>
                <w14:textFill>
                  <w14:solidFill>
                    <w14:schemeClr w14:val="tx1"/>
                  </w14:solidFill>
                </w14:textFill>
              </w:rPr>
            </w:pPr>
            <w:r>
              <w:rPr>
                <w:rFonts w:hint="eastAsia" w:cs="Arial"/>
                <w:color w:val="000000" w:themeColor="text1"/>
                <w:kern w:val="2"/>
                <w:sz w:val="21"/>
                <w14:textFill>
                  <w14:solidFill>
                    <w14:schemeClr w14:val="tx1"/>
                  </w14:solidFill>
                </w14:textFill>
              </w:rPr>
              <w:t xml:space="preserve">GB12348-2008  </w:t>
            </w:r>
            <w:r>
              <w:rPr>
                <w:rFonts w:cs="Arial"/>
                <w:color w:val="000000" w:themeColor="text1"/>
                <w:kern w:val="2"/>
                <w:sz w:val="21"/>
                <w14:textFill>
                  <w14:solidFill>
                    <w14:schemeClr w14:val="tx1"/>
                  </w14:solidFill>
                </w14:textFill>
              </w:rPr>
              <w:t>2</w:t>
            </w:r>
            <w:r>
              <w:rPr>
                <w:rFonts w:hint="eastAsia" w:cs="Arial"/>
                <w:color w:val="000000" w:themeColor="text1"/>
                <w:kern w:val="2"/>
                <w:sz w:val="21"/>
                <w14:textFill>
                  <w14:solidFill>
                    <w14:schemeClr w14:val="tx1"/>
                  </w14:solidFill>
                </w14:textFill>
              </w:rPr>
              <w:t>类</w:t>
            </w:r>
          </w:p>
        </w:tc>
      </w:tr>
    </w:tbl>
    <w:p w14:paraId="771F8137">
      <w:pPr>
        <w:pStyle w:val="117"/>
        <w:spacing w:line="480" w:lineRule="exact"/>
        <w:ind w:firstLine="480"/>
        <w:rPr>
          <w:rFonts w:hint="eastAsia"/>
          <w:color w:val="000000" w:themeColor="text1"/>
          <w:lang w:val="zh-CN"/>
          <w14:textFill>
            <w14:solidFill>
              <w14:schemeClr w14:val="tx1"/>
            </w14:solidFill>
          </w14:textFill>
        </w:rPr>
      </w:pPr>
      <w:bookmarkStart w:id="100" w:name="_Toc459026556"/>
      <w:bookmarkStart w:id="101" w:name="_Toc475624462"/>
      <w:bookmarkStart w:id="102" w:name="_Toc445996330"/>
      <w:r>
        <w:rPr>
          <w:rFonts w:hint="eastAsia"/>
          <w:color w:val="000000" w:themeColor="text1"/>
          <w:lang w:val="zh-CN"/>
          <w14:textFill>
            <w14:solidFill>
              <w14:schemeClr w14:val="tx1"/>
            </w14:solidFill>
          </w14:textFill>
        </w:rPr>
        <w:t>③废水</w:t>
      </w:r>
    </w:p>
    <w:p w14:paraId="0EAD059B">
      <w:pPr>
        <w:pStyle w:val="117"/>
        <w:spacing w:line="480" w:lineRule="exact"/>
        <w:ind w:firstLine="480"/>
        <w:rPr>
          <w:rFonts w:hint="eastAsia"/>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采出水、洗井废水和井下作业废液均送至压裂返排液处理装置处理，出水水质满足《压裂酸化返排液处理技术规范》（Q/SY02012-2016）中的相关标准后，用于压裂液的复配，标准限值见表2.5-8。</w:t>
      </w:r>
    </w:p>
    <w:p w14:paraId="1EBCD112">
      <w:pPr>
        <w:pStyle w:val="109"/>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表2.5-8</w:t>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压裂配液水质指标</w:t>
      </w:r>
    </w:p>
    <w:tbl>
      <w:tblPr>
        <w:tblStyle w:val="51"/>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Layout w:type="autofit"/>
        <w:tblCellMar>
          <w:top w:w="0" w:type="dxa"/>
          <w:left w:w="108" w:type="dxa"/>
          <w:bottom w:w="0" w:type="dxa"/>
          <w:right w:w="108" w:type="dxa"/>
        </w:tblCellMar>
      </w:tblPr>
      <w:tblGrid>
        <w:gridCol w:w="2977"/>
        <w:gridCol w:w="2961"/>
        <w:gridCol w:w="2792"/>
      </w:tblGrid>
      <w:tr w14:paraId="101C35D5">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cantSplit/>
          <w:trHeight w:val="340" w:hRule="atLeast"/>
          <w:jc w:val="center"/>
        </w:trPr>
        <w:tc>
          <w:tcPr>
            <w:tcW w:w="1705" w:type="pct"/>
            <w:tcBorders>
              <w:right w:val="single" w:color="auto" w:sz="4" w:space="0"/>
            </w:tcBorders>
            <w:tcMar>
              <w:left w:w="0" w:type="dxa"/>
              <w:right w:w="0" w:type="dxa"/>
            </w:tcMar>
            <w:vAlign w:val="center"/>
          </w:tcPr>
          <w:p w14:paraId="4CAD5723">
            <w:pPr>
              <w:adjustRightInd w:val="0"/>
              <w:snapToGrid w:val="0"/>
              <w:spacing w:line="24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水质指标</w:t>
            </w:r>
          </w:p>
        </w:tc>
        <w:tc>
          <w:tcPr>
            <w:tcW w:w="1696" w:type="pct"/>
            <w:tcBorders>
              <w:left w:val="single" w:color="auto" w:sz="4" w:space="0"/>
            </w:tcBorders>
            <w:tcMar>
              <w:left w:w="0" w:type="dxa"/>
              <w:right w:w="0" w:type="dxa"/>
            </w:tcMar>
            <w:vAlign w:val="center"/>
          </w:tcPr>
          <w:p w14:paraId="30F4AB03">
            <w:pPr>
              <w:adjustRightInd w:val="0"/>
              <w:snapToGrid w:val="0"/>
              <w:spacing w:line="24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压裂液配液</w:t>
            </w:r>
          </w:p>
        </w:tc>
        <w:tc>
          <w:tcPr>
            <w:tcW w:w="1599" w:type="pct"/>
            <w:tcMar>
              <w:left w:w="0" w:type="dxa"/>
              <w:right w:w="0" w:type="dxa"/>
            </w:tcMar>
            <w:vAlign w:val="center"/>
          </w:tcPr>
          <w:p w14:paraId="35516F00">
            <w:pPr>
              <w:adjustRightInd w:val="0"/>
              <w:snapToGrid w:val="0"/>
              <w:spacing w:line="24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酸液配液</w:t>
            </w:r>
          </w:p>
        </w:tc>
      </w:tr>
      <w:tr w14:paraId="67245F81">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cantSplit/>
          <w:trHeight w:val="340" w:hRule="atLeast"/>
          <w:jc w:val="center"/>
        </w:trPr>
        <w:tc>
          <w:tcPr>
            <w:tcW w:w="1705" w:type="pct"/>
            <w:tcBorders>
              <w:right w:val="single" w:color="auto" w:sz="4" w:space="0"/>
            </w:tcBorders>
            <w:tcMar>
              <w:left w:w="0" w:type="dxa"/>
              <w:right w:w="0" w:type="dxa"/>
            </w:tcMar>
            <w:vAlign w:val="center"/>
          </w:tcPr>
          <w:p w14:paraId="2549F643">
            <w:pPr>
              <w:adjustRightInd w:val="0"/>
              <w:snapToGrid w:val="0"/>
              <w:spacing w:line="24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悬浮物总固体（mg/L）</w:t>
            </w:r>
          </w:p>
        </w:tc>
        <w:tc>
          <w:tcPr>
            <w:tcW w:w="1696" w:type="pct"/>
            <w:tcBorders>
              <w:left w:val="single" w:color="auto" w:sz="4" w:space="0"/>
            </w:tcBorders>
            <w:tcMar>
              <w:left w:w="0" w:type="dxa"/>
              <w:right w:w="0" w:type="dxa"/>
            </w:tcMar>
            <w:vAlign w:val="center"/>
          </w:tcPr>
          <w:p w14:paraId="21791F90">
            <w:pPr>
              <w:adjustRightInd w:val="0"/>
              <w:snapToGrid w:val="0"/>
              <w:spacing w:line="24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≤30</w:t>
            </w:r>
          </w:p>
        </w:tc>
        <w:tc>
          <w:tcPr>
            <w:tcW w:w="1599" w:type="pct"/>
            <w:tcMar>
              <w:left w:w="0" w:type="dxa"/>
              <w:right w:w="0" w:type="dxa"/>
            </w:tcMar>
            <w:vAlign w:val="center"/>
          </w:tcPr>
          <w:p w14:paraId="3EBCAC22">
            <w:pPr>
              <w:adjustRightInd w:val="0"/>
              <w:snapToGrid w:val="0"/>
              <w:spacing w:line="24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≤30</w:t>
            </w:r>
          </w:p>
        </w:tc>
      </w:tr>
      <w:tr w14:paraId="60E5F753">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cantSplit/>
          <w:trHeight w:val="340" w:hRule="atLeast"/>
          <w:jc w:val="center"/>
        </w:trPr>
        <w:tc>
          <w:tcPr>
            <w:tcW w:w="1705" w:type="pct"/>
            <w:tcBorders>
              <w:right w:val="single" w:color="auto" w:sz="4" w:space="0"/>
            </w:tcBorders>
            <w:tcMar>
              <w:left w:w="0" w:type="dxa"/>
              <w:right w:w="0" w:type="dxa"/>
            </w:tcMar>
            <w:vAlign w:val="center"/>
          </w:tcPr>
          <w:p w14:paraId="7970B8D1">
            <w:pPr>
              <w:adjustRightInd w:val="0"/>
              <w:snapToGrid w:val="0"/>
              <w:spacing w:line="24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含油量（mg/L）</w:t>
            </w:r>
          </w:p>
        </w:tc>
        <w:tc>
          <w:tcPr>
            <w:tcW w:w="1696" w:type="pct"/>
            <w:tcBorders>
              <w:left w:val="single" w:color="auto" w:sz="4" w:space="0"/>
            </w:tcBorders>
            <w:tcMar>
              <w:left w:w="0" w:type="dxa"/>
              <w:right w:w="0" w:type="dxa"/>
            </w:tcMar>
            <w:vAlign w:val="center"/>
          </w:tcPr>
          <w:p w14:paraId="746F2BC6">
            <w:pPr>
              <w:adjustRightInd w:val="0"/>
              <w:snapToGrid w:val="0"/>
              <w:spacing w:line="24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＜50</w:t>
            </w:r>
          </w:p>
        </w:tc>
        <w:tc>
          <w:tcPr>
            <w:tcW w:w="1599" w:type="pct"/>
            <w:tcMar>
              <w:left w:w="0" w:type="dxa"/>
              <w:right w:w="0" w:type="dxa"/>
            </w:tcMar>
            <w:vAlign w:val="center"/>
          </w:tcPr>
          <w:p w14:paraId="67EF42E3">
            <w:pPr>
              <w:adjustRightInd w:val="0"/>
              <w:snapToGrid w:val="0"/>
              <w:spacing w:line="24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w:t>
            </w:r>
          </w:p>
        </w:tc>
      </w:tr>
      <w:tr w14:paraId="6EE07303">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cantSplit/>
          <w:trHeight w:val="340" w:hRule="atLeast"/>
          <w:jc w:val="center"/>
        </w:trPr>
        <w:tc>
          <w:tcPr>
            <w:tcW w:w="1705" w:type="pct"/>
            <w:tcBorders>
              <w:right w:val="single" w:color="auto" w:sz="4" w:space="0"/>
            </w:tcBorders>
            <w:tcMar>
              <w:left w:w="0" w:type="dxa"/>
              <w:right w:w="0" w:type="dxa"/>
            </w:tcMar>
            <w:vAlign w:val="center"/>
          </w:tcPr>
          <w:p w14:paraId="714E0477">
            <w:pPr>
              <w:adjustRightInd w:val="0"/>
              <w:snapToGrid w:val="0"/>
              <w:spacing w:line="24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悬浮物颗粒直径中值（μm）</w:t>
            </w:r>
          </w:p>
        </w:tc>
        <w:tc>
          <w:tcPr>
            <w:tcW w:w="1696" w:type="pct"/>
            <w:tcBorders>
              <w:left w:val="single" w:color="auto" w:sz="4" w:space="0"/>
            </w:tcBorders>
            <w:tcMar>
              <w:left w:w="0" w:type="dxa"/>
              <w:right w:w="0" w:type="dxa"/>
            </w:tcMar>
            <w:vAlign w:val="center"/>
          </w:tcPr>
          <w:p w14:paraId="590E36D9">
            <w:pPr>
              <w:adjustRightInd w:val="0"/>
              <w:snapToGrid w:val="0"/>
              <w:spacing w:line="24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＜5.0</w:t>
            </w:r>
          </w:p>
        </w:tc>
        <w:tc>
          <w:tcPr>
            <w:tcW w:w="1599" w:type="pct"/>
            <w:tcMar>
              <w:left w:w="0" w:type="dxa"/>
              <w:right w:w="0" w:type="dxa"/>
            </w:tcMar>
            <w:vAlign w:val="center"/>
          </w:tcPr>
          <w:p w14:paraId="115B1926">
            <w:pPr>
              <w:adjustRightInd w:val="0"/>
              <w:snapToGrid w:val="0"/>
              <w:spacing w:line="24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＜5.0</w:t>
            </w:r>
          </w:p>
        </w:tc>
      </w:tr>
    </w:tbl>
    <w:p w14:paraId="33A91A60">
      <w:pPr>
        <w:pStyle w:val="117"/>
        <w:spacing w:line="480" w:lineRule="exact"/>
        <w:ind w:firstLine="480"/>
        <w:rPr>
          <w:rFonts w:hint="eastAsia"/>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（3）污染物控制标准</w:t>
      </w:r>
    </w:p>
    <w:p w14:paraId="79659815">
      <w:pPr>
        <w:pStyle w:val="117"/>
        <w:spacing w:line="480" w:lineRule="exact"/>
        <w:ind w:firstLine="480"/>
        <w:rPr>
          <w:rFonts w:hint="eastAsia"/>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危险废物收集、贮存和运输过程的污染控制执行《危险废物贮存污染控制标准》（</w:t>
      </w:r>
      <w:r>
        <w:rPr>
          <w:color w:val="000000" w:themeColor="text1"/>
          <w:lang w:val="zh-CN"/>
          <w14:textFill>
            <w14:solidFill>
              <w14:schemeClr w14:val="tx1"/>
            </w14:solidFill>
          </w14:textFill>
        </w:rPr>
        <w:t>GB18597-2023</w:t>
      </w:r>
      <w:r>
        <w:rPr>
          <w:rFonts w:hint="eastAsia"/>
          <w:color w:val="000000" w:themeColor="text1"/>
          <w:lang w:val="zh-CN"/>
          <w14:textFill>
            <w14:solidFill>
              <w14:schemeClr w14:val="tx1"/>
            </w14:solidFill>
          </w14:textFill>
        </w:rPr>
        <w:t>）、《危险废物收集 贮存 运输技术规范》（</w:t>
      </w:r>
      <w:r>
        <w:rPr>
          <w:color w:val="000000" w:themeColor="text1"/>
          <w:lang w:val="zh-CN"/>
          <w14:textFill>
            <w14:solidFill>
              <w14:schemeClr w14:val="tx1"/>
            </w14:solidFill>
          </w14:textFill>
        </w:rPr>
        <w:t>HJ2025-2012</w:t>
      </w:r>
      <w:r>
        <w:rPr>
          <w:rFonts w:hint="eastAsia"/>
          <w:color w:val="000000" w:themeColor="text1"/>
          <w:lang w:val="zh-CN"/>
          <w14:textFill>
            <w14:solidFill>
              <w14:schemeClr w14:val="tx1"/>
            </w14:solidFill>
          </w14:textFill>
        </w:rPr>
        <w:t>）中的相关要求。一般工业固体废物收集、贮存污染控制执行《一般工业固体废物贮存和填埋污染控制标准》（GB18599-2020）中相关要求。</w:t>
      </w:r>
    </w:p>
    <w:p w14:paraId="49885B35">
      <w:pPr>
        <w:pStyle w:val="2"/>
        <w:rPr>
          <w:rFonts w:hint="eastAsia"/>
          <w:color w:val="000000" w:themeColor="text1"/>
          <w:lang w:val="zh-CN"/>
          <w14:textFill>
            <w14:solidFill>
              <w14:schemeClr w14:val="tx1"/>
            </w14:solidFill>
          </w14:textFill>
        </w:rPr>
      </w:pPr>
      <w:bookmarkStart w:id="103" w:name="_Toc216260237"/>
      <w:r>
        <w:rPr>
          <w:rFonts w:hint="eastAsia"/>
          <w:color w:val="000000" w:themeColor="text1"/>
          <w:lang w:val="zh-CN"/>
          <w14:textFill>
            <w14:solidFill>
              <w14:schemeClr w14:val="tx1"/>
            </w14:solidFill>
          </w14:textFill>
        </w:rPr>
        <w:t>评价等级与</w:t>
      </w:r>
      <w:r>
        <w:rPr>
          <w:rFonts w:hint="eastAsia"/>
          <w:color w:val="000000" w:themeColor="text1"/>
          <w14:textFill>
            <w14:solidFill>
              <w14:schemeClr w14:val="tx1"/>
            </w14:solidFill>
          </w14:textFill>
        </w:rPr>
        <w:t>评价范围</w:t>
      </w:r>
      <w:bookmarkEnd w:id="100"/>
      <w:bookmarkEnd w:id="101"/>
      <w:bookmarkEnd w:id="102"/>
      <w:bookmarkEnd w:id="103"/>
    </w:p>
    <w:p w14:paraId="0F1FEA95">
      <w:pPr>
        <w:pStyle w:val="4"/>
        <w:rPr>
          <w:rFonts w:hint="eastAsia"/>
          <w:color w:val="000000" w:themeColor="text1"/>
          <w:lang w:val="zh-CN"/>
          <w14:textFill>
            <w14:solidFill>
              <w14:schemeClr w14:val="tx1"/>
            </w14:solidFill>
          </w14:textFill>
        </w:rPr>
      </w:pPr>
      <w:bookmarkStart w:id="104" w:name="_Toc445996331"/>
      <w:r>
        <w:rPr>
          <w:rFonts w:hint="eastAsia"/>
          <w:color w:val="000000" w:themeColor="text1"/>
          <w:lang w:val="zh-CN"/>
          <w14:textFill>
            <w14:solidFill>
              <w14:schemeClr w14:val="tx1"/>
            </w14:solidFill>
          </w14:textFill>
        </w:rPr>
        <w:t>评价等级</w:t>
      </w:r>
      <w:bookmarkEnd w:id="104"/>
    </w:p>
    <w:p w14:paraId="5676FFF0">
      <w:pPr>
        <w:pStyle w:val="117"/>
        <w:adjustRightInd w:val="0"/>
        <w:snapToGrid w:val="0"/>
        <w:ind w:firstLine="480"/>
        <w:rPr>
          <w:rFonts w:hint="eastAsia"/>
          <w:color w:val="000000" w:themeColor="text1"/>
          <w14:textFill>
            <w14:solidFill>
              <w14:schemeClr w14:val="tx1"/>
            </w14:solidFill>
          </w14:textFill>
        </w:rPr>
      </w:pPr>
      <w:bookmarkStart w:id="105" w:name="_Toc16125"/>
      <w:bookmarkStart w:id="106" w:name="_Toc445841974"/>
      <w:r>
        <w:rPr>
          <w:rFonts w:hint="eastAsia"/>
          <w:color w:val="000000" w:themeColor="text1"/>
          <w14:textFill>
            <w14:solidFill>
              <w14:schemeClr w14:val="tx1"/>
            </w14:solidFill>
          </w14:textFill>
        </w:rPr>
        <w:t>（1）环境空气评价等级</w:t>
      </w:r>
      <w:bookmarkEnd w:id="105"/>
      <w:bookmarkEnd w:id="106"/>
    </w:p>
    <w:p w14:paraId="2E4581AA">
      <w:pPr>
        <w:pStyle w:val="191"/>
        <w:adjustRightInd w:val="0"/>
        <w:snapToGrid w:val="0"/>
        <w:ind w:firstLine="480"/>
        <w:rPr>
          <w:rFonts w:hint="eastAsia"/>
          <w:color w:val="000000" w:themeColor="text1"/>
          <w:lang w:bidi="ar"/>
          <w14:textFill>
            <w14:solidFill>
              <w14:schemeClr w14:val="tx1"/>
            </w14:solidFill>
          </w14:textFill>
        </w:rPr>
      </w:pPr>
      <w:bookmarkStart w:id="107" w:name="_Hlk511383418"/>
      <w:r>
        <w:rPr>
          <w:rFonts w:hint="eastAsia"/>
          <w:color w:val="000000" w:themeColor="text1"/>
          <w:lang w:bidi="ar"/>
          <w14:textFill>
            <w14:solidFill>
              <w14:schemeClr w14:val="tx1"/>
            </w14:solidFill>
          </w14:textFill>
        </w:rPr>
        <w:t>根据工程特点和污染特征，本次评价选取N</w:t>
      </w:r>
      <w:r>
        <w:rPr>
          <w:color w:val="000000" w:themeColor="text1"/>
          <w:lang w:bidi="ar"/>
          <w14:textFill>
            <w14:solidFill>
              <w14:schemeClr w14:val="tx1"/>
            </w14:solidFill>
          </w14:textFill>
        </w:rPr>
        <w:t>MHC</w:t>
      </w:r>
      <w:r>
        <w:rPr>
          <w:rFonts w:hint="eastAsia"/>
          <w:color w:val="000000" w:themeColor="text1"/>
          <w:lang w:bidi="ar"/>
          <w14:textFill>
            <w14:solidFill>
              <w14:schemeClr w14:val="tx1"/>
            </w14:solidFill>
          </w14:textFill>
        </w:rPr>
        <w:t>、H</w:t>
      </w:r>
      <w:r>
        <w:rPr>
          <w:rFonts w:hint="eastAsia"/>
          <w:color w:val="000000" w:themeColor="text1"/>
          <w:vertAlign w:val="subscript"/>
          <w:lang w:bidi="ar"/>
          <w14:textFill>
            <w14:solidFill>
              <w14:schemeClr w14:val="tx1"/>
            </w14:solidFill>
          </w14:textFill>
        </w:rPr>
        <w:t>2</w:t>
      </w:r>
      <w:r>
        <w:rPr>
          <w:rFonts w:hint="eastAsia"/>
          <w:color w:val="000000" w:themeColor="text1"/>
          <w:lang w:bidi="ar"/>
          <w14:textFill>
            <w14:solidFill>
              <w14:schemeClr w14:val="tx1"/>
            </w14:solidFill>
          </w14:textFill>
        </w:rPr>
        <w:t>S为预测因子，采用《环境影响评价技术导则  大气环境》（HJ2.2-2018）中推荐的AERSCREEN估算模式来计算污染物的最大地面空气质量浓度占标率（</w:t>
      </w:r>
      <w:r>
        <w:rPr>
          <w:rFonts w:hint="eastAsia"/>
          <w:i/>
          <w:color w:val="000000" w:themeColor="text1"/>
          <w:lang w:bidi="ar"/>
          <w14:textFill>
            <w14:solidFill>
              <w14:schemeClr w14:val="tx1"/>
            </w14:solidFill>
          </w14:textFill>
        </w:rPr>
        <w:t>P</w:t>
      </w:r>
      <w:r>
        <w:rPr>
          <w:rFonts w:hint="eastAsia"/>
          <w:i/>
          <w:color w:val="000000" w:themeColor="text1"/>
          <w:vertAlign w:val="subscript"/>
          <w:lang w:bidi="ar"/>
          <w14:textFill>
            <w14:solidFill>
              <w14:schemeClr w14:val="tx1"/>
            </w14:solidFill>
          </w14:textFill>
        </w:rPr>
        <w:t>i</w:t>
      </w:r>
      <w:r>
        <w:rPr>
          <w:rFonts w:hint="eastAsia"/>
          <w:color w:val="000000" w:themeColor="text1"/>
          <w:lang w:bidi="ar"/>
          <w14:textFill>
            <w14:solidFill>
              <w14:schemeClr w14:val="tx1"/>
            </w14:solidFill>
          </w14:textFill>
        </w:rPr>
        <w:t>），</w:t>
      </w:r>
      <w:r>
        <w:rPr>
          <w:rFonts w:hint="eastAsia"/>
          <w:i/>
          <w:color w:val="000000" w:themeColor="text1"/>
          <w:lang w:bidi="ar"/>
          <w14:textFill>
            <w14:solidFill>
              <w14:schemeClr w14:val="tx1"/>
            </w14:solidFill>
          </w14:textFill>
        </w:rPr>
        <w:t>P</w:t>
      </w:r>
      <w:r>
        <w:rPr>
          <w:rFonts w:hint="eastAsia"/>
          <w:i/>
          <w:color w:val="000000" w:themeColor="text1"/>
          <w:vertAlign w:val="subscript"/>
          <w:lang w:bidi="ar"/>
          <w14:textFill>
            <w14:solidFill>
              <w14:schemeClr w14:val="tx1"/>
            </w14:solidFill>
          </w14:textFill>
        </w:rPr>
        <w:t>i</w:t>
      </w:r>
      <w:r>
        <w:rPr>
          <w:rFonts w:hint="eastAsia"/>
          <w:color w:val="000000" w:themeColor="text1"/>
          <w:lang w:bidi="ar"/>
          <w14:textFill>
            <w14:solidFill>
              <w14:schemeClr w14:val="tx1"/>
            </w14:solidFill>
          </w14:textFill>
        </w:rPr>
        <w:t>定义如下：</w:t>
      </w:r>
    </w:p>
    <w:p w14:paraId="3B8C2AAE">
      <w:pPr>
        <w:adjustRightInd w:val="0"/>
        <w:snapToGrid w:val="0"/>
        <w:spacing w:line="360" w:lineRule="auto"/>
        <w:ind w:firstLine="480" w:firstLineChars="200"/>
        <w:jc w:val="center"/>
        <w:textAlignment w:val="baseline"/>
        <w:rPr>
          <w:color w:val="000000" w:themeColor="text1"/>
          <w:kern w:val="0"/>
          <w:sz w:val="24"/>
          <w:szCs w:val="24"/>
          <w14:textFill>
            <w14:solidFill>
              <w14:schemeClr w14:val="tx1"/>
            </w14:solidFill>
          </w14:textFill>
        </w:rPr>
      </w:pPr>
      <w:r>
        <w:rPr>
          <w:color w:val="000000" w:themeColor="text1"/>
          <w:kern w:val="0"/>
          <w:position w:val="-30"/>
          <w:sz w:val="24"/>
          <w:szCs w:val="24"/>
          <w:lang w:bidi="ar"/>
          <w14:textFill>
            <w14:solidFill>
              <w14:schemeClr w14:val="tx1"/>
            </w14:solidFill>
          </w14:textFill>
        </w:rPr>
        <w:drawing>
          <wp:inline distT="0" distB="0" distL="0" distR="0">
            <wp:extent cx="1015365" cy="448945"/>
            <wp:effectExtent l="0" t="0" r="0" b="0"/>
            <wp:docPr id="2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1015365" cy="448945"/>
                    </a:xfrm>
                    <a:prstGeom prst="rect">
                      <a:avLst/>
                    </a:prstGeom>
                    <a:noFill/>
                    <a:ln>
                      <a:noFill/>
                    </a:ln>
                  </pic:spPr>
                </pic:pic>
              </a:graphicData>
            </a:graphic>
          </wp:inline>
        </w:drawing>
      </w:r>
    </w:p>
    <w:p w14:paraId="0B4E1979">
      <w:pPr>
        <w:pStyle w:val="191"/>
        <w:adjustRightInd w:val="0"/>
        <w:snapToGrid w:val="0"/>
        <w:ind w:firstLine="480"/>
        <w:rPr>
          <w:rFonts w:hint="eastAsia"/>
          <w:color w:val="000000" w:themeColor="text1"/>
          <w14:textFill>
            <w14:solidFill>
              <w14:schemeClr w14:val="tx1"/>
            </w14:solidFill>
          </w14:textFill>
        </w:rPr>
      </w:pPr>
      <w:r>
        <w:rPr>
          <w:rFonts w:hint="eastAsia"/>
          <w:color w:val="000000" w:themeColor="text1"/>
          <w:lang w:bidi="ar"/>
          <w14:textFill>
            <w14:solidFill>
              <w14:schemeClr w14:val="tx1"/>
            </w14:solidFill>
          </w14:textFill>
        </w:rPr>
        <w:t xml:space="preserve">    其中：</w:t>
      </w:r>
      <w:r>
        <w:rPr>
          <w:rFonts w:hint="eastAsia"/>
          <w:i/>
          <w:color w:val="000000" w:themeColor="text1"/>
          <w:lang w:bidi="ar"/>
          <w14:textFill>
            <w14:solidFill>
              <w14:schemeClr w14:val="tx1"/>
            </w14:solidFill>
          </w14:textFill>
        </w:rPr>
        <w:t>P</w:t>
      </w:r>
      <w:r>
        <w:rPr>
          <w:rFonts w:hint="eastAsia"/>
          <w:i/>
          <w:color w:val="000000" w:themeColor="text1"/>
          <w:vertAlign w:val="subscript"/>
          <w:lang w:bidi="ar"/>
          <w14:textFill>
            <w14:solidFill>
              <w14:schemeClr w14:val="tx1"/>
            </w14:solidFill>
          </w14:textFill>
        </w:rPr>
        <w:t>i</w:t>
      </w:r>
      <w:r>
        <w:rPr>
          <w:rFonts w:hint="eastAsia"/>
          <w:color w:val="000000" w:themeColor="text1"/>
          <w:lang w:bidi="ar"/>
          <w14:textFill>
            <w14:solidFill>
              <w14:schemeClr w14:val="tx1"/>
            </w14:solidFill>
          </w14:textFill>
        </w:rPr>
        <w:t>——第i种污染物的最大地面空气质量浓度占标率，%；</w:t>
      </w:r>
    </w:p>
    <w:p w14:paraId="4E33FCA4">
      <w:pPr>
        <w:adjustRightInd w:val="0"/>
        <w:snapToGrid w:val="0"/>
        <w:spacing w:line="500" w:lineRule="exact"/>
        <w:ind w:firstLine="480" w:firstLineChars="200"/>
        <w:rPr>
          <w:rFonts w:hint="eastAsia" w:ascii="宋体" w:hAnsi="宋体" w:cs="宋体"/>
          <w:color w:val="000000" w:themeColor="text1"/>
          <w:kern w:val="0"/>
          <w:sz w:val="24"/>
          <w:szCs w:val="24"/>
          <w:lang w:val="zh-CN" w:bidi="ar"/>
          <w14:textFill>
            <w14:solidFill>
              <w14:schemeClr w14:val="tx1"/>
            </w14:solidFill>
          </w14:textFill>
        </w:rPr>
      </w:pPr>
      <w:r>
        <w:rPr>
          <w:rFonts w:hint="eastAsia" w:ascii="宋体" w:hAnsi="宋体" w:cs="宋体"/>
          <w:color w:val="000000" w:themeColor="text1"/>
          <w:kern w:val="0"/>
          <w:sz w:val="24"/>
          <w:szCs w:val="24"/>
          <w:lang w:val="zh-CN" w:bidi="ar"/>
          <w14:textFill>
            <w14:solidFill>
              <w14:schemeClr w14:val="tx1"/>
            </w14:solidFill>
          </w14:textFill>
        </w:rPr>
        <w:t xml:space="preserve">          C</w:t>
      </w:r>
      <w:r>
        <w:rPr>
          <w:rFonts w:hint="eastAsia" w:ascii="宋体" w:hAnsi="宋体" w:cs="宋体"/>
          <w:color w:val="000000" w:themeColor="text1"/>
          <w:kern w:val="0"/>
          <w:sz w:val="24"/>
          <w:szCs w:val="24"/>
          <w:vertAlign w:val="subscript"/>
          <w:lang w:val="zh-CN" w:bidi="ar"/>
          <w14:textFill>
            <w14:solidFill>
              <w14:schemeClr w14:val="tx1"/>
            </w14:solidFill>
          </w14:textFill>
        </w:rPr>
        <w:t>i</w:t>
      </w:r>
      <w:r>
        <w:rPr>
          <w:rFonts w:hint="eastAsia" w:ascii="宋体" w:hAnsi="宋体" w:cs="宋体"/>
          <w:color w:val="000000" w:themeColor="text1"/>
          <w:kern w:val="0"/>
          <w:sz w:val="24"/>
          <w:szCs w:val="24"/>
          <w:lang w:val="zh-CN" w:bidi="ar"/>
          <w14:textFill>
            <w14:solidFill>
              <w14:schemeClr w14:val="tx1"/>
            </w14:solidFill>
          </w14:textFill>
        </w:rPr>
        <w:t>——采用估算模型计算出的第i个污染物的最大1h地面空气质量</w:t>
      </w:r>
    </w:p>
    <w:p w14:paraId="3B6FF692">
      <w:pPr>
        <w:adjustRightInd w:val="0"/>
        <w:snapToGrid w:val="0"/>
        <w:spacing w:line="500" w:lineRule="exact"/>
        <w:ind w:firstLine="2400" w:firstLineChars="1000"/>
        <w:rPr>
          <w:rFonts w:hint="eastAsia" w:ascii="宋体" w:hAnsi="宋体" w:cs="宋体"/>
          <w:color w:val="000000" w:themeColor="text1"/>
          <w:kern w:val="0"/>
          <w:sz w:val="24"/>
          <w:szCs w:val="24"/>
          <w:lang w:val="zh-CN"/>
          <w14:textFill>
            <w14:solidFill>
              <w14:schemeClr w14:val="tx1"/>
            </w14:solidFill>
          </w14:textFill>
        </w:rPr>
      </w:pPr>
      <w:r>
        <w:rPr>
          <w:rFonts w:hint="eastAsia" w:ascii="宋体" w:hAnsi="宋体" w:cs="宋体"/>
          <w:color w:val="000000" w:themeColor="text1"/>
          <w:kern w:val="0"/>
          <w:sz w:val="24"/>
          <w:szCs w:val="24"/>
          <w:lang w:val="zh-CN" w:bidi="ar"/>
          <w14:textFill>
            <w14:solidFill>
              <w14:schemeClr w14:val="tx1"/>
            </w14:solidFill>
          </w14:textFill>
        </w:rPr>
        <w:t>浓度，μg/m</w:t>
      </w:r>
      <w:r>
        <w:rPr>
          <w:rFonts w:hint="eastAsia" w:ascii="宋体" w:hAnsi="宋体" w:cs="宋体"/>
          <w:color w:val="000000" w:themeColor="text1"/>
          <w:kern w:val="0"/>
          <w:sz w:val="24"/>
          <w:szCs w:val="24"/>
          <w:vertAlign w:val="superscript"/>
          <w:lang w:val="zh-CN" w:bidi="ar"/>
          <w14:textFill>
            <w14:solidFill>
              <w14:schemeClr w14:val="tx1"/>
            </w14:solidFill>
          </w14:textFill>
        </w:rPr>
        <w:t>3</w:t>
      </w:r>
      <w:r>
        <w:rPr>
          <w:rFonts w:hint="eastAsia" w:ascii="宋体" w:hAnsi="宋体" w:cs="宋体"/>
          <w:color w:val="000000" w:themeColor="text1"/>
          <w:kern w:val="0"/>
          <w:sz w:val="24"/>
          <w:szCs w:val="24"/>
          <w:lang w:val="zh-CN" w:bidi="ar"/>
          <w14:textFill>
            <w14:solidFill>
              <w14:schemeClr w14:val="tx1"/>
            </w14:solidFill>
          </w14:textFill>
        </w:rPr>
        <w:t>；</w:t>
      </w:r>
    </w:p>
    <w:p w14:paraId="51531475">
      <w:pPr>
        <w:pStyle w:val="191"/>
        <w:adjustRightInd w:val="0"/>
        <w:snapToGrid w:val="0"/>
        <w:ind w:firstLine="480"/>
        <w:rPr>
          <w:rFonts w:hint="eastAsia"/>
          <w:color w:val="000000" w:themeColor="text1"/>
          <w14:textFill>
            <w14:solidFill>
              <w14:schemeClr w14:val="tx1"/>
            </w14:solidFill>
          </w14:textFill>
        </w:rPr>
      </w:pPr>
      <w:r>
        <w:rPr>
          <w:rFonts w:hint="eastAsia"/>
          <w:i/>
          <w:color w:val="000000" w:themeColor="text1"/>
          <w:lang w:bidi="ar"/>
          <w14:textFill>
            <w14:solidFill>
              <w14:schemeClr w14:val="tx1"/>
            </w14:solidFill>
          </w14:textFill>
        </w:rPr>
        <w:t xml:space="preserve">          C</w:t>
      </w:r>
      <w:r>
        <w:rPr>
          <w:rFonts w:hint="eastAsia"/>
          <w:i/>
          <w:color w:val="000000" w:themeColor="text1"/>
          <w:vertAlign w:val="subscript"/>
          <w:lang w:bidi="ar"/>
          <w14:textFill>
            <w14:solidFill>
              <w14:schemeClr w14:val="tx1"/>
            </w14:solidFill>
          </w14:textFill>
        </w:rPr>
        <w:t>0i</w:t>
      </w:r>
      <w:r>
        <w:rPr>
          <w:rFonts w:hint="eastAsia"/>
          <w:color w:val="000000" w:themeColor="text1"/>
          <w:lang w:bidi="ar"/>
          <w14:textFill>
            <w14:solidFill>
              <w14:schemeClr w14:val="tx1"/>
            </w14:solidFill>
          </w14:textFill>
        </w:rPr>
        <w:t>——第i个污染物的环境空气质量浓度标准，μg/m</w:t>
      </w:r>
      <w:r>
        <w:rPr>
          <w:rFonts w:hint="eastAsia"/>
          <w:color w:val="000000" w:themeColor="text1"/>
          <w:vertAlign w:val="superscript"/>
          <w:lang w:bidi="ar"/>
          <w14:textFill>
            <w14:solidFill>
              <w14:schemeClr w14:val="tx1"/>
            </w14:solidFill>
          </w14:textFill>
        </w:rPr>
        <w:t>3</w:t>
      </w:r>
      <w:r>
        <w:rPr>
          <w:rFonts w:hint="eastAsia"/>
          <w:color w:val="000000" w:themeColor="text1"/>
          <w:lang w:bidi="ar"/>
          <w14:textFill>
            <w14:solidFill>
              <w14:schemeClr w14:val="tx1"/>
            </w14:solidFill>
          </w14:textFill>
        </w:rPr>
        <w:t>。</w:t>
      </w:r>
    </w:p>
    <w:p w14:paraId="7B44A909">
      <w:pPr>
        <w:pStyle w:val="89"/>
        <w:spacing w:line="480" w:lineRule="exact"/>
        <w:ind w:firstLine="480"/>
        <w:rPr>
          <w:rFonts w:hint="eastAsia" w:ascii="宋体" w:hAnsi="宋体" w:eastAsia="宋体"/>
          <w:color w:val="000000" w:themeColor="text1"/>
          <w14:textFill>
            <w14:solidFill>
              <w14:schemeClr w14:val="tx1"/>
            </w14:solidFill>
          </w14:textFill>
        </w:rPr>
      </w:pPr>
      <w:r>
        <w:rPr>
          <w:rFonts w:hint="eastAsia" w:ascii="宋体" w:hAnsi="宋体" w:eastAsia="宋体"/>
          <w:color w:val="000000" w:themeColor="text1"/>
          <w14:textFill>
            <w14:solidFill>
              <w14:schemeClr w14:val="tx1"/>
            </w14:solidFill>
          </w14:textFill>
        </w:rPr>
        <w:t>（2</w:t>
      </w:r>
      <w:r>
        <w:rPr>
          <w:rFonts w:ascii="宋体" w:hAnsi="宋体" w:eastAsia="宋体"/>
          <w:color w:val="000000" w:themeColor="text1"/>
          <w14:textFill>
            <w14:solidFill>
              <w14:schemeClr w14:val="tx1"/>
            </w14:solidFill>
          </w14:textFill>
        </w:rPr>
        <w:t>）估算模型使用数据来源</w:t>
      </w:r>
    </w:p>
    <w:p w14:paraId="1415CAFD">
      <w:pPr>
        <w:pStyle w:val="89"/>
        <w:spacing w:line="480" w:lineRule="exact"/>
        <w:ind w:firstLine="480"/>
        <w:rPr>
          <w:rFonts w:hint="eastAsia" w:ascii="宋体" w:hAnsi="宋体" w:eastAsia="宋体"/>
          <w:color w:val="000000" w:themeColor="text1"/>
          <w14:textFill>
            <w14:solidFill>
              <w14:schemeClr w14:val="tx1"/>
            </w14:solidFill>
          </w14:textFill>
        </w:rPr>
      </w:pPr>
      <w:r>
        <w:rPr>
          <w:rFonts w:hint="eastAsia" w:ascii="宋体" w:hAnsi="宋体" w:eastAsia="宋体"/>
          <w:color w:val="000000" w:themeColor="text1"/>
          <w14:textFill>
            <w14:solidFill>
              <w14:schemeClr w14:val="tx1"/>
            </w14:solidFill>
          </w14:textFill>
        </w:rPr>
        <w:t>①地形数据</w:t>
      </w:r>
    </w:p>
    <w:p w14:paraId="2319042F">
      <w:pPr>
        <w:pStyle w:val="89"/>
        <w:spacing w:line="480" w:lineRule="exact"/>
        <w:ind w:firstLine="480"/>
        <w:rPr>
          <w:rFonts w:hint="eastAsia" w:ascii="宋体" w:hAnsi="宋体" w:eastAsia="宋体"/>
          <w:color w:val="000000" w:themeColor="text1"/>
          <w14:textFill>
            <w14:solidFill>
              <w14:schemeClr w14:val="tx1"/>
            </w14:solidFill>
          </w14:textFill>
        </w:rPr>
      </w:pPr>
      <w:r>
        <w:rPr>
          <w:rFonts w:hint="eastAsia" w:ascii="宋体" w:hAnsi="宋体" w:eastAsia="宋体"/>
          <w:color w:val="000000" w:themeColor="text1"/>
          <w14:textFill>
            <w14:solidFill>
              <w14:schemeClr w14:val="tx1"/>
            </w14:solidFill>
          </w14:textFill>
        </w:rPr>
        <w:t>估算模型使用的原始地形数据为美国</w:t>
      </w:r>
      <w:r>
        <w:rPr>
          <w:rFonts w:ascii="宋体" w:hAnsi="宋体" w:eastAsia="宋体"/>
          <w:color w:val="000000" w:themeColor="text1"/>
          <w14:textFill>
            <w14:solidFill>
              <w14:schemeClr w14:val="tx1"/>
            </w14:solidFill>
          </w14:textFill>
        </w:rPr>
        <w:t>NASA和NIMA联合测量并公布的全球90</w:t>
      </w:r>
      <w:r>
        <w:rPr>
          <w:rFonts w:hint="eastAsia" w:ascii="宋体" w:hAnsi="宋体" w:eastAsia="宋体"/>
          <w:color w:val="000000" w:themeColor="text1"/>
          <w14:textFill>
            <w14:solidFill>
              <w14:schemeClr w14:val="tx1"/>
            </w14:solidFill>
          </w14:textFill>
        </w:rPr>
        <w:t>m</w:t>
      </w:r>
      <w:r>
        <w:rPr>
          <w:rFonts w:ascii="宋体" w:hAnsi="宋体" w:eastAsia="宋体"/>
          <w:color w:val="000000" w:themeColor="text1"/>
          <w14:textFill>
            <w14:solidFill>
              <w14:schemeClr w14:val="tx1"/>
            </w14:solidFill>
          </w14:textFill>
        </w:rPr>
        <w:t>×90m地形数据，自CSI的SRTM网站获取（http</w:t>
      </w:r>
      <w:r>
        <w:rPr>
          <w:rFonts w:hint="eastAsia" w:ascii="宋体" w:hAnsi="宋体" w:eastAsia="宋体"/>
          <w:color w:val="000000" w:themeColor="text1"/>
          <w14:textFill>
            <w14:solidFill>
              <w14:schemeClr w14:val="tx1"/>
            </w14:solidFill>
          </w14:textFill>
        </w:rPr>
        <w:t>:</w:t>
      </w:r>
      <w:r>
        <w:rPr>
          <w:rFonts w:ascii="宋体" w:hAnsi="宋体" w:eastAsia="宋体"/>
          <w:color w:val="000000" w:themeColor="text1"/>
          <w14:textFill>
            <w14:solidFill>
              <w14:schemeClr w14:val="tx1"/>
            </w14:solidFill>
          </w14:textFill>
        </w:rPr>
        <w:t>//srtm.csi.cgiar.org），符合导则要求。</w:t>
      </w:r>
    </w:p>
    <w:p w14:paraId="11C2425D">
      <w:pPr>
        <w:pStyle w:val="89"/>
        <w:spacing w:line="480" w:lineRule="exact"/>
        <w:ind w:firstLine="480" w:firstLineChars="0"/>
        <w:rPr>
          <w:rFonts w:hint="eastAsia" w:ascii="宋体" w:hAnsi="宋体" w:eastAsia="宋体"/>
          <w:color w:val="000000" w:themeColor="text1"/>
          <w14:textFill>
            <w14:solidFill>
              <w14:schemeClr w14:val="tx1"/>
            </w14:solidFill>
          </w14:textFill>
        </w:rPr>
      </w:pPr>
      <w:r>
        <w:rPr>
          <w:rFonts w:hint="eastAsia" w:ascii="宋体" w:hAnsi="宋体" w:eastAsia="宋体"/>
          <w:color w:val="000000" w:themeColor="text1"/>
          <w14:textFill>
            <w14:solidFill>
              <w14:schemeClr w14:val="tx1"/>
            </w14:solidFill>
          </w14:textFill>
        </w:rPr>
        <w:t>②地表参数</w:t>
      </w:r>
    </w:p>
    <w:p w14:paraId="6478A19B">
      <w:pPr>
        <w:pStyle w:val="117"/>
        <w:spacing w:line="480" w:lineRule="exact"/>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大气评价</w:t>
      </w:r>
      <w:r>
        <w:rPr>
          <w:color w:val="000000" w:themeColor="text1"/>
          <w14:textFill>
            <w14:solidFill>
              <w14:schemeClr w14:val="tx1"/>
            </w14:solidFill>
          </w14:textFill>
        </w:rPr>
        <w:t>范围</w:t>
      </w:r>
      <w:r>
        <w:rPr>
          <w:rFonts w:hint="eastAsia"/>
          <w:color w:val="000000" w:themeColor="text1"/>
          <w14:textFill>
            <w14:solidFill>
              <w14:schemeClr w14:val="tx1"/>
            </w14:solidFill>
          </w14:textFill>
        </w:rPr>
        <w:t>内通用地表类型为草地，通用地表湿度为干燥气候，</w:t>
      </w:r>
      <w:r>
        <w:rPr>
          <w:color w:val="000000" w:themeColor="text1"/>
          <w14:textFill>
            <w14:solidFill>
              <w14:schemeClr w14:val="tx1"/>
            </w14:solidFill>
          </w14:textFill>
        </w:rPr>
        <w:t>该类型土地的经验参数，见</w:t>
      </w:r>
      <w:r>
        <w:rPr>
          <w:rFonts w:hint="eastAsia"/>
          <w:color w:val="000000" w:themeColor="text1"/>
          <w14:textFill>
            <w14:solidFill>
              <w14:schemeClr w14:val="tx1"/>
            </w14:solidFill>
          </w14:textFill>
        </w:rPr>
        <w:t>表2.6-1。</w:t>
      </w:r>
    </w:p>
    <w:p w14:paraId="02DC9D84">
      <w:pPr>
        <w:pStyle w:val="15"/>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表2.6-1</w:t>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地表特征参数一览表</w:t>
      </w:r>
    </w:p>
    <w:tbl>
      <w:tblPr>
        <w:tblStyle w:val="51"/>
        <w:tblW w:w="0" w:type="auto"/>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790"/>
        <w:gridCol w:w="1789"/>
        <w:gridCol w:w="1789"/>
        <w:gridCol w:w="1789"/>
        <w:gridCol w:w="1789"/>
      </w:tblGrid>
      <w:tr w14:paraId="22EE1CB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1790" w:type="dxa"/>
            <w:vAlign w:val="center"/>
          </w:tcPr>
          <w:p w14:paraId="64937B23">
            <w:pPr>
              <w:pStyle w:val="89"/>
              <w:adjustRightInd w:val="0"/>
              <w:snapToGrid w:val="0"/>
              <w:spacing w:line="300" w:lineRule="exact"/>
              <w:ind w:firstLine="0" w:firstLineChars="0"/>
              <w:jc w:val="center"/>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扇区</w:t>
            </w:r>
          </w:p>
        </w:tc>
        <w:tc>
          <w:tcPr>
            <w:tcW w:w="1789" w:type="dxa"/>
            <w:vAlign w:val="center"/>
          </w:tcPr>
          <w:p w14:paraId="08E7D1AD">
            <w:pPr>
              <w:pStyle w:val="89"/>
              <w:adjustRightInd w:val="0"/>
              <w:snapToGrid w:val="0"/>
              <w:spacing w:line="300" w:lineRule="exact"/>
              <w:ind w:firstLine="0" w:firstLineChars="0"/>
              <w:jc w:val="center"/>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时段</w:t>
            </w:r>
          </w:p>
        </w:tc>
        <w:tc>
          <w:tcPr>
            <w:tcW w:w="1789" w:type="dxa"/>
            <w:vAlign w:val="center"/>
          </w:tcPr>
          <w:p w14:paraId="406389CD">
            <w:pPr>
              <w:pStyle w:val="89"/>
              <w:adjustRightInd w:val="0"/>
              <w:snapToGrid w:val="0"/>
              <w:spacing w:line="300" w:lineRule="exact"/>
              <w:ind w:firstLine="0" w:firstLineChars="0"/>
              <w:jc w:val="center"/>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正午反照率</w:t>
            </w:r>
          </w:p>
        </w:tc>
        <w:tc>
          <w:tcPr>
            <w:tcW w:w="1789" w:type="dxa"/>
            <w:vAlign w:val="center"/>
          </w:tcPr>
          <w:p w14:paraId="45AA60E7">
            <w:pPr>
              <w:pStyle w:val="89"/>
              <w:adjustRightInd w:val="0"/>
              <w:snapToGrid w:val="0"/>
              <w:spacing w:line="300" w:lineRule="exact"/>
              <w:ind w:firstLine="0" w:firstLineChars="0"/>
              <w:jc w:val="center"/>
              <w:rPr>
                <w:rFonts w:hint="eastAsia" w:ascii="宋体" w:hAnsi="宋体" w:eastAsia="宋体"/>
                <w:color w:val="000000" w:themeColor="text1"/>
                <w:sz w:val="21"/>
                <w:szCs w:val="21"/>
                <w14:textFill>
                  <w14:solidFill>
                    <w14:schemeClr w14:val="tx1"/>
                  </w14:solidFill>
                </w14:textFill>
              </w:rPr>
            </w:pPr>
            <w:r>
              <w:rPr>
                <w:rFonts w:ascii="宋体" w:hAnsi="宋体" w:eastAsia="宋体"/>
                <w:color w:val="000000" w:themeColor="text1"/>
                <w:sz w:val="21"/>
                <w:szCs w:val="21"/>
                <w14:textFill>
                  <w14:solidFill>
                    <w14:schemeClr w14:val="tx1"/>
                  </w14:solidFill>
                </w14:textFill>
              </w:rPr>
              <w:t>BOWEN</w:t>
            </w:r>
          </w:p>
        </w:tc>
        <w:tc>
          <w:tcPr>
            <w:tcW w:w="1789" w:type="dxa"/>
            <w:vAlign w:val="center"/>
          </w:tcPr>
          <w:p w14:paraId="3454592F">
            <w:pPr>
              <w:pStyle w:val="89"/>
              <w:adjustRightInd w:val="0"/>
              <w:snapToGrid w:val="0"/>
              <w:spacing w:line="300" w:lineRule="exact"/>
              <w:ind w:firstLine="0" w:firstLineChars="0"/>
              <w:jc w:val="center"/>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粗糙度</w:t>
            </w:r>
          </w:p>
        </w:tc>
      </w:tr>
      <w:tr w14:paraId="0DA6E7A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1790" w:type="dxa"/>
            <w:vAlign w:val="center"/>
          </w:tcPr>
          <w:p w14:paraId="23CF8A1E">
            <w:pPr>
              <w:pStyle w:val="89"/>
              <w:adjustRightInd w:val="0"/>
              <w:snapToGrid w:val="0"/>
              <w:spacing w:line="300" w:lineRule="exact"/>
              <w:ind w:firstLine="0" w:firstLineChars="0"/>
              <w:jc w:val="center"/>
              <w:rPr>
                <w:rFonts w:hint="eastAsia" w:ascii="宋体" w:hAnsi="宋体" w:eastAsia="宋体"/>
                <w:color w:val="000000" w:themeColor="text1"/>
                <w:sz w:val="21"/>
                <w:szCs w:val="21"/>
                <w14:textFill>
                  <w14:solidFill>
                    <w14:schemeClr w14:val="tx1"/>
                  </w14:solidFill>
                </w14:textFill>
              </w:rPr>
            </w:pPr>
            <w:r>
              <w:rPr>
                <w:rFonts w:ascii="宋体" w:hAnsi="宋体" w:eastAsia="宋体"/>
                <w:color w:val="000000" w:themeColor="text1"/>
                <w:sz w:val="21"/>
                <w:szCs w:val="21"/>
                <w14:textFill>
                  <w14:solidFill>
                    <w14:schemeClr w14:val="tx1"/>
                  </w14:solidFill>
                </w14:textFill>
              </w:rPr>
              <w:t>0</w:t>
            </w:r>
            <w:r>
              <w:rPr>
                <w:rFonts w:hint="eastAsia" w:ascii="宋体" w:hAnsi="宋体" w:eastAsia="宋体"/>
                <w:color w:val="000000" w:themeColor="text1"/>
                <w:sz w:val="21"/>
                <w:szCs w:val="21"/>
                <w14:textFill>
                  <w14:solidFill>
                    <w14:schemeClr w14:val="tx1"/>
                  </w14:solidFill>
                </w14:textFill>
              </w:rPr>
              <w:t>～</w:t>
            </w:r>
            <w:r>
              <w:rPr>
                <w:rFonts w:ascii="宋体" w:hAnsi="宋体" w:eastAsia="宋体"/>
                <w:color w:val="000000" w:themeColor="text1"/>
                <w:sz w:val="21"/>
                <w:szCs w:val="21"/>
                <w14:textFill>
                  <w14:solidFill>
                    <w14:schemeClr w14:val="tx1"/>
                  </w14:solidFill>
                </w14:textFill>
              </w:rPr>
              <w:t>360</w:t>
            </w:r>
          </w:p>
        </w:tc>
        <w:tc>
          <w:tcPr>
            <w:tcW w:w="1789" w:type="dxa"/>
            <w:vAlign w:val="center"/>
          </w:tcPr>
          <w:p w14:paraId="6BF2763D">
            <w:pPr>
              <w:pStyle w:val="89"/>
              <w:adjustRightInd w:val="0"/>
              <w:snapToGrid w:val="0"/>
              <w:spacing w:line="300" w:lineRule="exact"/>
              <w:ind w:firstLine="0" w:firstLineChars="0"/>
              <w:jc w:val="center"/>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全年</w:t>
            </w:r>
          </w:p>
        </w:tc>
        <w:tc>
          <w:tcPr>
            <w:tcW w:w="1789" w:type="dxa"/>
            <w:vAlign w:val="center"/>
          </w:tcPr>
          <w:p w14:paraId="4FAEFE17">
            <w:pPr>
              <w:pStyle w:val="89"/>
              <w:adjustRightInd w:val="0"/>
              <w:snapToGrid w:val="0"/>
              <w:spacing w:line="300" w:lineRule="exact"/>
              <w:ind w:firstLine="0" w:firstLineChars="0"/>
              <w:jc w:val="center"/>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0.29</w:t>
            </w:r>
          </w:p>
        </w:tc>
        <w:tc>
          <w:tcPr>
            <w:tcW w:w="1789" w:type="dxa"/>
            <w:vAlign w:val="center"/>
          </w:tcPr>
          <w:p w14:paraId="0756A2FB">
            <w:pPr>
              <w:pStyle w:val="89"/>
              <w:adjustRightInd w:val="0"/>
              <w:snapToGrid w:val="0"/>
              <w:spacing w:line="300" w:lineRule="exact"/>
              <w:ind w:firstLine="0" w:firstLineChars="0"/>
              <w:jc w:val="center"/>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1.75</w:t>
            </w:r>
          </w:p>
        </w:tc>
        <w:tc>
          <w:tcPr>
            <w:tcW w:w="1789" w:type="dxa"/>
            <w:vAlign w:val="center"/>
          </w:tcPr>
          <w:p w14:paraId="21B73CDE">
            <w:pPr>
              <w:pStyle w:val="89"/>
              <w:adjustRightInd w:val="0"/>
              <w:snapToGrid w:val="0"/>
              <w:spacing w:line="300" w:lineRule="exact"/>
              <w:ind w:firstLine="0" w:firstLineChars="0"/>
              <w:jc w:val="center"/>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0.04025</w:t>
            </w:r>
          </w:p>
        </w:tc>
      </w:tr>
    </w:tbl>
    <w:p w14:paraId="571153FF">
      <w:pPr>
        <w:pStyle w:val="89"/>
        <w:ind w:firstLine="480" w:firstLineChars="0"/>
        <w:rPr>
          <w:rFonts w:hint="eastAsia" w:ascii="宋体" w:hAnsi="宋体" w:eastAsia="宋体"/>
          <w:color w:val="000000" w:themeColor="text1"/>
          <w14:textFill>
            <w14:solidFill>
              <w14:schemeClr w14:val="tx1"/>
            </w14:solidFill>
          </w14:textFill>
        </w:rPr>
      </w:pPr>
      <w:r>
        <w:rPr>
          <w:rFonts w:hint="eastAsia" w:ascii="宋体" w:hAnsi="宋体" w:eastAsia="宋体"/>
          <w:color w:val="000000" w:themeColor="text1"/>
          <w14:textFill>
            <w14:solidFill>
              <w14:schemeClr w14:val="tx1"/>
            </w14:solidFill>
          </w14:textFill>
        </w:rPr>
        <w:t>③气象数据</w:t>
      </w:r>
    </w:p>
    <w:p w14:paraId="4ED03A2C">
      <w:pPr>
        <w:pStyle w:val="89"/>
        <w:ind w:firstLine="480"/>
        <w:rPr>
          <w:rStyle w:val="201"/>
          <w:rFonts w:hint="eastAsia"/>
          <w:color w:val="000000" w:themeColor="text1"/>
          <w14:textFill>
            <w14:solidFill>
              <w14:schemeClr w14:val="tx1"/>
            </w14:solidFill>
          </w14:textFill>
        </w:rPr>
      </w:pPr>
      <w:r>
        <w:rPr>
          <w:rFonts w:hint="eastAsia" w:ascii="宋体" w:hAnsi="宋体" w:eastAsia="宋体"/>
          <w:color w:val="000000" w:themeColor="text1"/>
          <w14:textFill>
            <w14:solidFill>
              <w14:schemeClr w14:val="tx1"/>
            </w14:solidFill>
          </w14:textFill>
        </w:rPr>
        <w:t>以下资料为项目区近</w:t>
      </w:r>
      <w:r>
        <w:rPr>
          <w:rStyle w:val="201"/>
          <w:rFonts w:hint="eastAsia"/>
          <w:color w:val="000000" w:themeColor="text1"/>
          <w14:textFill>
            <w14:solidFill>
              <w14:schemeClr w14:val="tx1"/>
            </w14:solidFill>
          </w14:textFill>
        </w:rPr>
        <w:t>20年气象数据统计分析，具体详见表2.6-2。</w:t>
      </w:r>
    </w:p>
    <w:p w14:paraId="25549057">
      <w:pPr>
        <w:pStyle w:val="109"/>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表2.6-2</w:t>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气象数据一览表</w:t>
      </w:r>
    </w:p>
    <w:tbl>
      <w:tblPr>
        <w:tblStyle w:val="51"/>
        <w:tblW w:w="8946"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789"/>
        <w:gridCol w:w="1789"/>
        <w:gridCol w:w="1790"/>
        <w:gridCol w:w="1789"/>
        <w:gridCol w:w="1789"/>
      </w:tblGrid>
      <w:tr w14:paraId="559E1B8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89" w:type="dxa"/>
            <w:vAlign w:val="center"/>
          </w:tcPr>
          <w:p w14:paraId="383211BA">
            <w:pPr>
              <w:pStyle w:val="89"/>
              <w:spacing w:line="300" w:lineRule="exact"/>
              <w:ind w:firstLine="0" w:firstLineChars="0"/>
              <w:jc w:val="center"/>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统计时间</w:t>
            </w:r>
          </w:p>
        </w:tc>
        <w:tc>
          <w:tcPr>
            <w:tcW w:w="1789" w:type="dxa"/>
            <w:vAlign w:val="center"/>
          </w:tcPr>
          <w:p w14:paraId="73DEE848">
            <w:pPr>
              <w:pStyle w:val="89"/>
              <w:spacing w:line="300" w:lineRule="exact"/>
              <w:ind w:firstLine="0" w:firstLineChars="0"/>
              <w:jc w:val="center"/>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最低温度</w:t>
            </w:r>
          </w:p>
        </w:tc>
        <w:tc>
          <w:tcPr>
            <w:tcW w:w="1790" w:type="dxa"/>
            <w:vAlign w:val="center"/>
          </w:tcPr>
          <w:p w14:paraId="4981F895">
            <w:pPr>
              <w:pStyle w:val="89"/>
              <w:spacing w:line="300" w:lineRule="exact"/>
              <w:ind w:firstLine="0" w:firstLineChars="0"/>
              <w:jc w:val="center"/>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最高温度</w:t>
            </w:r>
          </w:p>
        </w:tc>
        <w:tc>
          <w:tcPr>
            <w:tcW w:w="1789" w:type="dxa"/>
            <w:vAlign w:val="center"/>
          </w:tcPr>
          <w:p w14:paraId="1A2A51A9">
            <w:pPr>
              <w:pStyle w:val="89"/>
              <w:spacing w:line="300" w:lineRule="exact"/>
              <w:ind w:firstLine="0" w:firstLineChars="0"/>
              <w:jc w:val="center"/>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最小风速</w:t>
            </w:r>
          </w:p>
        </w:tc>
        <w:tc>
          <w:tcPr>
            <w:tcW w:w="1789" w:type="dxa"/>
            <w:vAlign w:val="center"/>
          </w:tcPr>
          <w:p w14:paraId="648B7897">
            <w:pPr>
              <w:pStyle w:val="89"/>
              <w:spacing w:line="300" w:lineRule="exact"/>
              <w:ind w:firstLine="0" w:firstLineChars="0"/>
              <w:jc w:val="center"/>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测风高度</w:t>
            </w:r>
          </w:p>
        </w:tc>
      </w:tr>
      <w:tr w14:paraId="417E0DD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89" w:type="dxa"/>
            <w:vAlign w:val="center"/>
          </w:tcPr>
          <w:p w14:paraId="2D933914">
            <w:pPr>
              <w:pStyle w:val="89"/>
              <w:spacing w:line="300" w:lineRule="exact"/>
              <w:ind w:firstLine="0" w:firstLineChars="0"/>
              <w:jc w:val="center"/>
              <w:rPr>
                <w:rFonts w:hint="eastAsia" w:ascii="宋体" w:hAnsi="宋体" w:eastAsia="宋体"/>
                <w:color w:val="000000" w:themeColor="text1"/>
                <w:sz w:val="21"/>
                <w:szCs w:val="21"/>
                <w14:textFill>
                  <w14:solidFill>
                    <w14:schemeClr w14:val="tx1"/>
                  </w14:solidFill>
                </w14:textFill>
              </w:rPr>
            </w:pPr>
            <w:r>
              <w:rPr>
                <w:rFonts w:ascii="宋体" w:hAnsi="宋体" w:eastAsia="宋体"/>
                <w:color w:val="000000" w:themeColor="text1"/>
                <w:sz w:val="21"/>
                <w:szCs w:val="21"/>
                <w14:textFill>
                  <w14:solidFill>
                    <w14:schemeClr w14:val="tx1"/>
                  </w14:solidFill>
                </w14:textFill>
              </w:rPr>
              <w:t>20</w:t>
            </w:r>
            <w:r>
              <w:rPr>
                <w:rFonts w:hint="eastAsia" w:ascii="宋体" w:hAnsi="宋体" w:eastAsia="宋体"/>
                <w:color w:val="000000" w:themeColor="text1"/>
                <w:sz w:val="21"/>
                <w:szCs w:val="21"/>
                <w14:textFill>
                  <w14:solidFill>
                    <w14:schemeClr w14:val="tx1"/>
                  </w14:solidFill>
                </w14:textFill>
              </w:rPr>
              <w:t>年</w:t>
            </w:r>
          </w:p>
        </w:tc>
        <w:tc>
          <w:tcPr>
            <w:tcW w:w="1789" w:type="dxa"/>
            <w:vAlign w:val="center"/>
          </w:tcPr>
          <w:p w14:paraId="040173BC">
            <w:pPr>
              <w:pStyle w:val="89"/>
              <w:spacing w:line="300" w:lineRule="exact"/>
              <w:ind w:firstLine="0" w:firstLineChars="0"/>
              <w:jc w:val="center"/>
              <w:rPr>
                <w:rFonts w:hint="eastAsia" w:ascii="宋体" w:hAnsi="宋体" w:eastAsia="宋体"/>
                <w:color w:val="000000" w:themeColor="text1"/>
                <w:sz w:val="21"/>
                <w:szCs w:val="21"/>
                <w14:textFill>
                  <w14:solidFill>
                    <w14:schemeClr w14:val="tx1"/>
                  </w14:solidFill>
                </w14:textFill>
              </w:rPr>
            </w:pPr>
            <w:r>
              <w:rPr>
                <w:rFonts w:ascii="宋体" w:hAnsi="宋体" w:eastAsia="宋体"/>
                <w:color w:val="000000" w:themeColor="text1"/>
                <w:sz w:val="21"/>
                <w:szCs w:val="21"/>
                <w14:textFill>
                  <w14:solidFill>
                    <w14:schemeClr w14:val="tx1"/>
                  </w14:solidFill>
                </w14:textFill>
              </w:rPr>
              <w:t>-</w:t>
            </w:r>
            <w:r>
              <w:rPr>
                <w:rFonts w:hint="eastAsia" w:ascii="宋体" w:hAnsi="宋体" w:eastAsia="宋体"/>
                <w:color w:val="000000" w:themeColor="text1"/>
                <w:sz w:val="21"/>
                <w:szCs w:val="21"/>
                <w14:textFill>
                  <w14:solidFill>
                    <w14:schemeClr w14:val="tx1"/>
                  </w14:solidFill>
                </w14:textFill>
              </w:rPr>
              <w:t>26.0℃</w:t>
            </w:r>
          </w:p>
        </w:tc>
        <w:tc>
          <w:tcPr>
            <w:tcW w:w="1790" w:type="dxa"/>
            <w:vAlign w:val="center"/>
          </w:tcPr>
          <w:p w14:paraId="46C1A101">
            <w:pPr>
              <w:pStyle w:val="89"/>
              <w:spacing w:line="300" w:lineRule="exact"/>
              <w:ind w:firstLine="0" w:firstLineChars="0"/>
              <w:jc w:val="center"/>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38.9℃</w:t>
            </w:r>
          </w:p>
        </w:tc>
        <w:tc>
          <w:tcPr>
            <w:tcW w:w="1789" w:type="dxa"/>
            <w:vAlign w:val="center"/>
          </w:tcPr>
          <w:p w14:paraId="0D4A7590">
            <w:pPr>
              <w:pStyle w:val="89"/>
              <w:spacing w:line="300" w:lineRule="exact"/>
              <w:ind w:firstLine="0" w:firstLineChars="0"/>
              <w:jc w:val="center"/>
              <w:rPr>
                <w:rFonts w:hint="eastAsia" w:ascii="宋体" w:hAnsi="宋体" w:eastAsia="宋体"/>
                <w:color w:val="000000" w:themeColor="text1"/>
                <w:sz w:val="21"/>
                <w:szCs w:val="21"/>
                <w14:textFill>
                  <w14:solidFill>
                    <w14:schemeClr w14:val="tx1"/>
                  </w14:solidFill>
                </w14:textFill>
              </w:rPr>
            </w:pPr>
            <w:r>
              <w:rPr>
                <w:rFonts w:ascii="宋体" w:hAnsi="宋体" w:eastAsia="宋体"/>
                <w:color w:val="000000" w:themeColor="text1"/>
                <w:sz w:val="21"/>
                <w:szCs w:val="21"/>
                <w14:textFill>
                  <w14:solidFill>
                    <w14:schemeClr w14:val="tx1"/>
                  </w14:solidFill>
                </w14:textFill>
              </w:rPr>
              <w:t>0.5m/s</w:t>
            </w:r>
          </w:p>
        </w:tc>
        <w:tc>
          <w:tcPr>
            <w:tcW w:w="1789" w:type="dxa"/>
            <w:vAlign w:val="center"/>
          </w:tcPr>
          <w:p w14:paraId="7C8CD2C0">
            <w:pPr>
              <w:pStyle w:val="89"/>
              <w:spacing w:line="300" w:lineRule="exact"/>
              <w:ind w:firstLine="0" w:firstLineChars="0"/>
              <w:jc w:val="center"/>
              <w:rPr>
                <w:rFonts w:hint="eastAsia" w:ascii="宋体" w:hAnsi="宋体" w:eastAsia="宋体"/>
                <w:color w:val="000000" w:themeColor="text1"/>
                <w:sz w:val="21"/>
                <w:szCs w:val="21"/>
                <w14:textFill>
                  <w14:solidFill>
                    <w14:schemeClr w14:val="tx1"/>
                  </w14:solidFill>
                </w14:textFill>
              </w:rPr>
            </w:pPr>
            <w:r>
              <w:rPr>
                <w:rFonts w:ascii="宋体" w:hAnsi="宋体" w:eastAsia="宋体"/>
                <w:color w:val="000000" w:themeColor="text1"/>
                <w:sz w:val="21"/>
                <w:szCs w:val="21"/>
                <w14:textFill>
                  <w14:solidFill>
                    <w14:schemeClr w14:val="tx1"/>
                  </w14:solidFill>
                </w14:textFill>
              </w:rPr>
              <w:t>10</w:t>
            </w:r>
            <w:r>
              <w:rPr>
                <w:rFonts w:hint="eastAsia" w:ascii="宋体" w:hAnsi="宋体" w:eastAsia="宋体"/>
                <w:color w:val="000000" w:themeColor="text1"/>
                <w:sz w:val="21"/>
                <w:szCs w:val="21"/>
                <w14:textFill>
                  <w14:solidFill>
                    <w14:schemeClr w14:val="tx1"/>
                  </w14:solidFill>
                </w14:textFill>
              </w:rPr>
              <w:t>m</w:t>
            </w:r>
          </w:p>
        </w:tc>
      </w:tr>
    </w:tbl>
    <w:p w14:paraId="1BE65903">
      <w:pPr>
        <w:pStyle w:val="89"/>
        <w:ind w:firstLine="480"/>
        <w:rPr>
          <w:rFonts w:hint="eastAsia" w:ascii="宋体" w:hAnsi="宋体" w:eastAsia="宋体"/>
          <w:color w:val="000000" w:themeColor="text1"/>
          <w14:textFill>
            <w14:solidFill>
              <w14:schemeClr w14:val="tx1"/>
            </w14:solidFill>
          </w14:textFill>
        </w:rPr>
      </w:pPr>
      <w:r>
        <w:rPr>
          <w:rFonts w:hint="eastAsia" w:ascii="宋体" w:hAnsi="宋体" w:eastAsia="宋体"/>
          <w:color w:val="000000" w:themeColor="text1"/>
          <w14:textFill>
            <w14:solidFill>
              <w14:schemeClr w14:val="tx1"/>
            </w14:solidFill>
          </w14:textFill>
        </w:rPr>
        <w:t>（</w:t>
      </w:r>
      <w:r>
        <w:rPr>
          <w:rFonts w:ascii="宋体" w:hAnsi="宋体" w:eastAsia="宋体"/>
          <w:color w:val="000000" w:themeColor="text1"/>
          <w14:textFill>
            <w14:solidFill>
              <w14:schemeClr w14:val="tx1"/>
            </w14:solidFill>
          </w14:textFill>
        </w:rPr>
        <w:t>4）估算模型参数</w:t>
      </w:r>
    </w:p>
    <w:p w14:paraId="6EF18262">
      <w:pPr>
        <w:pStyle w:val="89"/>
        <w:ind w:firstLine="480"/>
        <w:rPr>
          <w:rFonts w:hint="eastAsia"/>
          <w:color w:val="000000" w:themeColor="text1"/>
          <w14:textFill>
            <w14:solidFill>
              <w14:schemeClr w14:val="tx1"/>
            </w14:solidFill>
          </w14:textFill>
        </w:rPr>
      </w:pPr>
      <w:r>
        <w:rPr>
          <w:rFonts w:hint="eastAsia" w:ascii="宋体" w:hAnsi="宋体" w:eastAsia="宋体"/>
          <w:color w:val="000000" w:themeColor="text1"/>
          <w14:textFill>
            <w14:solidFill>
              <w14:schemeClr w14:val="tx1"/>
            </w14:solidFill>
          </w14:textFill>
        </w:rPr>
        <w:t>估算模型参数</w:t>
      </w:r>
      <w:r>
        <w:rPr>
          <w:rStyle w:val="233"/>
          <w:rFonts w:hint="eastAsia"/>
          <w:color w:val="000000" w:themeColor="text1"/>
          <w14:textFill>
            <w14:solidFill>
              <w14:schemeClr w14:val="tx1"/>
            </w14:solidFill>
          </w14:textFill>
        </w:rPr>
        <w:t>选择见表2.6-3。</w:t>
      </w:r>
    </w:p>
    <w:p w14:paraId="4223CF94">
      <w:pPr>
        <w:pStyle w:val="109"/>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表2.6-3</w:t>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估算模型参数选择一览表</w:t>
      </w:r>
    </w:p>
    <w:tbl>
      <w:tblPr>
        <w:tblStyle w:val="51"/>
        <w:tblW w:w="0" w:type="auto"/>
        <w:tblInd w:w="0" w:type="dxa"/>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0" w:type="dxa"/>
          <w:bottom w:w="0" w:type="dxa"/>
          <w:right w:w="0" w:type="dxa"/>
        </w:tblCellMar>
      </w:tblPr>
      <w:tblGrid>
        <w:gridCol w:w="1932"/>
        <w:gridCol w:w="4437"/>
        <w:gridCol w:w="2361"/>
      </w:tblGrid>
      <w:tr w14:paraId="78447F8B">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6369" w:type="dxa"/>
            <w:gridSpan w:val="2"/>
            <w:vAlign w:val="center"/>
          </w:tcPr>
          <w:p w14:paraId="72DF42D8">
            <w:pPr>
              <w:adjustRightInd w:val="0"/>
              <w:spacing w:line="300" w:lineRule="exact"/>
              <w:jc w:val="center"/>
              <w:textAlignment w:val="baseline"/>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参数</w:t>
            </w:r>
          </w:p>
        </w:tc>
        <w:tc>
          <w:tcPr>
            <w:tcW w:w="2361" w:type="dxa"/>
            <w:vAlign w:val="center"/>
          </w:tcPr>
          <w:p w14:paraId="7A144FC0">
            <w:pPr>
              <w:adjustRightInd w:val="0"/>
              <w:spacing w:line="300" w:lineRule="exact"/>
              <w:jc w:val="center"/>
              <w:textAlignment w:val="baseline"/>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取值</w:t>
            </w:r>
          </w:p>
        </w:tc>
      </w:tr>
      <w:tr w14:paraId="0E44DC57">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1932" w:type="dxa"/>
            <w:vMerge w:val="restart"/>
            <w:vAlign w:val="center"/>
          </w:tcPr>
          <w:p w14:paraId="76DDEF01">
            <w:pPr>
              <w:adjustRightInd w:val="0"/>
              <w:spacing w:line="300" w:lineRule="exact"/>
              <w:jc w:val="center"/>
              <w:textAlignment w:val="baseline"/>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城市/农村选项</w:t>
            </w:r>
          </w:p>
        </w:tc>
        <w:tc>
          <w:tcPr>
            <w:tcW w:w="4437" w:type="dxa"/>
            <w:vAlign w:val="center"/>
          </w:tcPr>
          <w:p w14:paraId="3B26EEC7">
            <w:pPr>
              <w:adjustRightInd w:val="0"/>
              <w:spacing w:line="300" w:lineRule="exact"/>
              <w:jc w:val="center"/>
              <w:textAlignment w:val="baseline"/>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城市/农村</w:t>
            </w:r>
          </w:p>
        </w:tc>
        <w:tc>
          <w:tcPr>
            <w:tcW w:w="2361" w:type="dxa"/>
            <w:vAlign w:val="center"/>
          </w:tcPr>
          <w:p w14:paraId="5FA3140B">
            <w:pPr>
              <w:adjustRightInd w:val="0"/>
              <w:spacing w:line="300" w:lineRule="exact"/>
              <w:jc w:val="center"/>
              <w:textAlignment w:val="baseline"/>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农村</w:t>
            </w:r>
          </w:p>
        </w:tc>
      </w:tr>
      <w:tr w14:paraId="5E767B12">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1932" w:type="dxa"/>
            <w:vMerge w:val="continue"/>
            <w:vAlign w:val="center"/>
          </w:tcPr>
          <w:p w14:paraId="02C5B021">
            <w:pPr>
              <w:adjustRightInd w:val="0"/>
              <w:spacing w:line="300" w:lineRule="exact"/>
              <w:jc w:val="center"/>
              <w:textAlignment w:val="baseline"/>
              <w:rPr>
                <w:rFonts w:hint="eastAsia" w:ascii="宋体" w:hAnsi="宋体" w:cs="宋体"/>
                <w:color w:val="000000" w:themeColor="text1"/>
                <w:kern w:val="0"/>
                <w:szCs w:val="21"/>
                <w14:textFill>
                  <w14:solidFill>
                    <w14:schemeClr w14:val="tx1"/>
                  </w14:solidFill>
                </w14:textFill>
              </w:rPr>
            </w:pPr>
          </w:p>
        </w:tc>
        <w:tc>
          <w:tcPr>
            <w:tcW w:w="4437" w:type="dxa"/>
            <w:vAlign w:val="center"/>
          </w:tcPr>
          <w:p w14:paraId="75029024">
            <w:pPr>
              <w:adjustRightInd w:val="0"/>
              <w:spacing w:line="300" w:lineRule="exact"/>
              <w:jc w:val="center"/>
              <w:textAlignment w:val="baseline"/>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人口数（城市选项时）</w:t>
            </w:r>
          </w:p>
        </w:tc>
        <w:tc>
          <w:tcPr>
            <w:tcW w:w="2361" w:type="dxa"/>
            <w:vAlign w:val="center"/>
          </w:tcPr>
          <w:p w14:paraId="7E60B115">
            <w:pPr>
              <w:adjustRightInd w:val="0"/>
              <w:spacing w:line="300" w:lineRule="exact"/>
              <w:jc w:val="center"/>
              <w:textAlignment w:val="baseline"/>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w:t>
            </w:r>
          </w:p>
        </w:tc>
      </w:tr>
      <w:tr w14:paraId="32D3C1F5">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6369" w:type="dxa"/>
            <w:gridSpan w:val="2"/>
            <w:vAlign w:val="center"/>
          </w:tcPr>
          <w:p w14:paraId="025C58E7">
            <w:pPr>
              <w:adjustRightInd w:val="0"/>
              <w:spacing w:line="300" w:lineRule="exact"/>
              <w:jc w:val="center"/>
              <w:textAlignment w:val="baseline"/>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最高环境温度/℃</w:t>
            </w:r>
          </w:p>
        </w:tc>
        <w:tc>
          <w:tcPr>
            <w:tcW w:w="2361" w:type="dxa"/>
            <w:vAlign w:val="center"/>
          </w:tcPr>
          <w:p w14:paraId="2BCB56F5">
            <w:pPr>
              <w:adjustRightInd w:val="0"/>
              <w:spacing w:line="300" w:lineRule="exact"/>
              <w:jc w:val="center"/>
              <w:textAlignment w:val="baseline"/>
              <w:rPr>
                <w:rFonts w:hint="eastAsia" w:ascii="宋体" w:hAnsi="宋体" w:cs="宋体"/>
                <w:color w:val="000000" w:themeColor="text1"/>
                <w:kern w:val="0"/>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38.9℃</w:t>
            </w:r>
          </w:p>
        </w:tc>
      </w:tr>
      <w:tr w14:paraId="711C1F60">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6369" w:type="dxa"/>
            <w:gridSpan w:val="2"/>
            <w:vAlign w:val="center"/>
          </w:tcPr>
          <w:p w14:paraId="00C4B364">
            <w:pPr>
              <w:adjustRightInd w:val="0"/>
              <w:spacing w:line="300" w:lineRule="exact"/>
              <w:jc w:val="center"/>
              <w:textAlignment w:val="baseline"/>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最低环境温度/℃</w:t>
            </w:r>
          </w:p>
        </w:tc>
        <w:tc>
          <w:tcPr>
            <w:tcW w:w="2361" w:type="dxa"/>
            <w:vAlign w:val="center"/>
          </w:tcPr>
          <w:p w14:paraId="1522BF93">
            <w:pPr>
              <w:adjustRightInd w:val="0"/>
              <w:spacing w:line="300" w:lineRule="exact"/>
              <w:jc w:val="center"/>
              <w:textAlignment w:val="baseline"/>
              <w:rPr>
                <w:rFonts w:hint="eastAsia" w:ascii="宋体" w:hAnsi="宋体" w:cs="宋体"/>
                <w:color w:val="000000" w:themeColor="text1"/>
                <w:kern w:val="0"/>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-26.0℃</w:t>
            </w:r>
          </w:p>
        </w:tc>
      </w:tr>
      <w:tr w14:paraId="10B4CB35">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6369" w:type="dxa"/>
            <w:gridSpan w:val="2"/>
            <w:vAlign w:val="center"/>
          </w:tcPr>
          <w:p w14:paraId="5EEC9B53">
            <w:pPr>
              <w:adjustRightInd w:val="0"/>
              <w:spacing w:line="300" w:lineRule="exact"/>
              <w:jc w:val="center"/>
              <w:textAlignment w:val="baseline"/>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土地利用类型</w:t>
            </w:r>
          </w:p>
        </w:tc>
        <w:tc>
          <w:tcPr>
            <w:tcW w:w="2361" w:type="dxa"/>
            <w:vAlign w:val="center"/>
          </w:tcPr>
          <w:p w14:paraId="360FA189">
            <w:pPr>
              <w:adjustRightInd w:val="0"/>
              <w:spacing w:line="300" w:lineRule="exact"/>
              <w:jc w:val="center"/>
              <w:textAlignment w:val="baseline"/>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草地</w:t>
            </w:r>
          </w:p>
        </w:tc>
      </w:tr>
      <w:tr w14:paraId="6BFE5021">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6369" w:type="dxa"/>
            <w:gridSpan w:val="2"/>
            <w:vAlign w:val="center"/>
          </w:tcPr>
          <w:p w14:paraId="02E459D8">
            <w:pPr>
              <w:adjustRightInd w:val="0"/>
              <w:spacing w:line="300" w:lineRule="exact"/>
              <w:jc w:val="center"/>
              <w:textAlignment w:val="baseline"/>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区域湿度条件</w:t>
            </w:r>
          </w:p>
        </w:tc>
        <w:tc>
          <w:tcPr>
            <w:tcW w:w="2361" w:type="dxa"/>
            <w:vAlign w:val="center"/>
          </w:tcPr>
          <w:p w14:paraId="0D575FAE">
            <w:pPr>
              <w:adjustRightInd w:val="0"/>
              <w:spacing w:line="300" w:lineRule="exact"/>
              <w:jc w:val="center"/>
              <w:textAlignment w:val="baseline"/>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干燥气候</w:t>
            </w:r>
          </w:p>
        </w:tc>
      </w:tr>
      <w:tr w14:paraId="4BA34786">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1932" w:type="dxa"/>
            <w:vMerge w:val="restart"/>
            <w:vAlign w:val="center"/>
          </w:tcPr>
          <w:p w14:paraId="1655027C">
            <w:pPr>
              <w:adjustRightInd w:val="0"/>
              <w:spacing w:line="300" w:lineRule="exact"/>
              <w:jc w:val="center"/>
              <w:textAlignment w:val="baseline"/>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是否考虑地形</w:t>
            </w:r>
          </w:p>
        </w:tc>
        <w:tc>
          <w:tcPr>
            <w:tcW w:w="4437" w:type="dxa"/>
            <w:vAlign w:val="center"/>
          </w:tcPr>
          <w:p w14:paraId="564D0704">
            <w:pPr>
              <w:adjustRightInd w:val="0"/>
              <w:spacing w:line="300" w:lineRule="exact"/>
              <w:jc w:val="center"/>
              <w:textAlignment w:val="baseline"/>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考虑地形</w:t>
            </w:r>
          </w:p>
        </w:tc>
        <w:tc>
          <w:tcPr>
            <w:tcW w:w="2361" w:type="dxa"/>
            <w:vAlign w:val="center"/>
          </w:tcPr>
          <w:p w14:paraId="64131897">
            <w:pPr>
              <w:adjustRightInd w:val="0"/>
              <w:spacing w:line="300" w:lineRule="exact"/>
              <w:jc w:val="center"/>
              <w:textAlignment w:val="baseline"/>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sym w:font="Wingdings 2" w:char="0052"/>
            </w:r>
            <w:r>
              <w:rPr>
                <w:rFonts w:hint="eastAsia" w:ascii="宋体" w:hAnsi="宋体" w:cs="宋体"/>
                <w:color w:val="000000" w:themeColor="text1"/>
                <w:kern w:val="0"/>
                <w:szCs w:val="21"/>
                <w14:textFill>
                  <w14:solidFill>
                    <w14:schemeClr w14:val="tx1"/>
                  </w14:solidFill>
                </w14:textFill>
              </w:rPr>
              <w:t xml:space="preserve">是  </w:t>
            </w:r>
            <w:r>
              <w:rPr>
                <w:rFonts w:hint="eastAsia" w:ascii="宋体" w:hAnsi="宋体" w:cs="宋体"/>
                <w:color w:val="000000" w:themeColor="text1"/>
                <w:kern w:val="0"/>
                <w:szCs w:val="21"/>
                <w14:textFill>
                  <w14:solidFill>
                    <w14:schemeClr w14:val="tx1"/>
                  </w14:solidFill>
                </w14:textFill>
              </w:rPr>
              <w:fldChar w:fldCharType="begin"/>
            </w:r>
            <w:r>
              <w:rPr>
                <w:rFonts w:hint="eastAsia" w:ascii="宋体" w:hAnsi="宋体" w:cs="宋体"/>
                <w:color w:val="000000" w:themeColor="text1"/>
                <w:kern w:val="0"/>
                <w:szCs w:val="21"/>
                <w14:textFill>
                  <w14:solidFill>
                    <w14:schemeClr w14:val="tx1"/>
                  </w14:solidFill>
                </w14:textFill>
              </w:rPr>
              <w:instrText xml:space="preserve"> eq \o\ac(</w:instrText>
            </w:r>
            <w:r>
              <w:rPr>
                <w:rFonts w:hint="eastAsia" w:ascii="宋体" w:hAnsi="宋体" w:cs="宋体"/>
                <w:color w:val="000000" w:themeColor="text1"/>
                <w:kern w:val="0"/>
                <w:position w:val="-4"/>
                <w:sz w:val="31"/>
                <w:szCs w:val="21"/>
                <w14:textFill>
                  <w14:solidFill>
                    <w14:schemeClr w14:val="tx1"/>
                  </w14:solidFill>
                </w14:textFill>
              </w:rPr>
              <w:instrText xml:space="preserve">□</w:instrText>
            </w:r>
            <w:r>
              <w:rPr>
                <w:rFonts w:hint="eastAsia" w:ascii="宋体" w:hAnsi="宋体" w:cs="宋体"/>
                <w:color w:val="000000" w:themeColor="text1"/>
                <w:kern w:val="0"/>
                <w:szCs w:val="21"/>
                <w14:textFill>
                  <w14:solidFill>
                    <w14:schemeClr w14:val="tx1"/>
                  </w14:solidFill>
                </w14:textFill>
              </w:rPr>
              <w:instrText xml:space="preserve">)</w:instrText>
            </w:r>
            <w:r>
              <w:rPr>
                <w:rFonts w:hint="eastAsia" w:ascii="宋体" w:hAnsi="宋体" w:cs="宋体"/>
                <w:color w:val="000000" w:themeColor="text1"/>
                <w:kern w:val="0"/>
                <w:szCs w:val="21"/>
                <w14:textFill>
                  <w14:solidFill>
                    <w14:schemeClr w14:val="tx1"/>
                  </w14:solidFill>
                </w14:textFill>
              </w:rPr>
              <w:fldChar w:fldCharType="end"/>
            </w:r>
            <w:r>
              <w:rPr>
                <w:rFonts w:hint="eastAsia" w:ascii="宋体" w:hAnsi="宋体" w:cs="宋体"/>
                <w:color w:val="000000" w:themeColor="text1"/>
                <w:kern w:val="0"/>
                <w:szCs w:val="21"/>
                <w14:textFill>
                  <w14:solidFill>
                    <w14:schemeClr w14:val="tx1"/>
                  </w14:solidFill>
                </w14:textFill>
              </w:rPr>
              <w:t>否</w:t>
            </w:r>
          </w:p>
        </w:tc>
      </w:tr>
      <w:tr w14:paraId="1BE0309A">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1932" w:type="dxa"/>
            <w:vMerge w:val="continue"/>
            <w:vAlign w:val="center"/>
          </w:tcPr>
          <w:p w14:paraId="51FBC462">
            <w:pPr>
              <w:adjustRightInd w:val="0"/>
              <w:spacing w:line="300" w:lineRule="exact"/>
              <w:jc w:val="center"/>
              <w:textAlignment w:val="baseline"/>
              <w:rPr>
                <w:rFonts w:hint="eastAsia" w:ascii="宋体" w:hAnsi="宋体" w:cs="宋体"/>
                <w:color w:val="000000" w:themeColor="text1"/>
                <w:kern w:val="0"/>
                <w:szCs w:val="21"/>
                <w14:textFill>
                  <w14:solidFill>
                    <w14:schemeClr w14:val="tx1"/>
                  </w14:solidFill>
                </w14:textFill>
              </w:rPr>
            </w:pPr>
          </w:p>
        </w:tc>
        <w:tc>
          <w:tcPr>
            <w:tcW w:w="4437" w:type="dxa"/>
            <w:vAlign w:val="center"/>
          </w:tcPr>
          <w:p w14:paraId="42A9C23C">
            <w:pPr>
              <w:adjustRightInd w:val="0"/>
              <w:spacing w:line="300" w:lineRule="exact"/>
              <w:jc w:val="center"/>
              <w:textAlignment w:val="baseline"/>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地形数据分辨率/m</w:t>
            </w:r>
          </w:p>
        </w:tc>
        <w:tc>
          <w:tcPr>
            <w:tcW w:w="2361" w:type="dxa"/>
            <w:vAlign w:val="center"/>
          </w:tcPr>
          <w:p w14:paraId="058D6173">
            <w:pPr>
              <w:adjustRightInd w:val="0"/>
              <w:spacing w:line="300" w:lineRule="exact"/>
              <w:jc w:val="center"/>
              <w:textAlignment w:val="baseline"/>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90</w:t>
            </w:r>
          </w:p>
        </w:tc>
      </w:tr>
      <w:tr w14:paraId="5537793E">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1932" w:type="dxa"/>
            <w:vMerge w:val="restart"/>
            <w:vAlign w:val="center"/>
          </w:tcPr>
          <w:p w14:paraId="02B543CA">
            <w:pPr>
              <w:adjustRightInd w:val="0"/>
              <w:spacing w:line="300" w:lineRule="exact"/>
              <w:jc w:val="center"/>
              <w:textAlignment w:val="baseline"/>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是否考虑岸线熏烟</w:t>
            </w:r>
          </w:p>
        </w:tc>
        <w:tc>
          <w:tcPr>
            <w:tcW w:w="4437" w:type="dxa"/>
            <w:vAlign w:val="center"/>
          </w:tcPr>
          <w:p w14:paraId="7EF64690">
            <w:pPr>
              <w:adjustRightInd w:val="0"/>
              <w:spacing w:line="300" w:lineRule="exact"/>
              <w:jc w:val="center"/>
              <w:textAlignment w:val="baseline"/>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考虑岸线熏烟</w:t>
            </w:r>
          </w:p>
        </w:tc>
        <w:tc>
          <w:tcPr>
            <w:tcW w:w="2361" w:type="dxa"/>
            <w:vAlign w:val="center"/>
          </w:tcPr>
          <w:p w14:paraId="48FE0CA2">
            <w:pPr>
              <w:adjustRightInd w:val="0"/>
              <w:spacing w:line="300" w:lineRule="exact"/>
              <w:jc w:val="center"/>
              <w:textAlignment w:val="baseline"/>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 xml:space="preserve">□是 </w:t>
            </w:r>
            <w:r>
              <w:rPr>
                <w:rFonts w:hint="eastAsia" w:ascii="宋体" w:hAnsi="宋体" w:cs="宋体"/>
                <w:color w:val="000000" w:themeColor="text1"/>
                <w:kern w:val="0"/>
                <w:szCs w:val="21"/>
                <w14:textFill>
                  <w14:solidFill>
                    <w14:schemeClr w14:val="tx1"/>
                  </w14:solidFill>
                </w14:textFill>
              </w:rPr>
              <w:fldChar w:fldCharType="begin"/>
            </w:r>
            <w:r>
              <w:rPr>
                <w:rFonts w:hint="eastAsia" w:ascii="宋体" w:hAnsi="宋体" w:cs="宋体"/>
                <w:color w:val="000000" w:themeColor="text1"/>
                <w:kern w:val="0"/>
                <w:szCs w:val="21"/>
                <w14:textFill>
                  <w14:solidFill>
                    <w14:schemeClr w14:val="tx1"/>
                  </w14:solidFill>
                </w14:textFill>
              </w:rPr>
              <w:instrText xml:space="preserve"> eq \o\ac(</w:instrText>
            </w:r>
            <w:r>
              <w:rPr>
                <w:rFonts w:hint="eastAsia" w:ascii="宋体" w:hAnsi="宋体" w:cs="宋体"/>
                <w:color w:val="000000" w:themeColor="text1"/>
                <w:kern w:val="0"/>
                <w:position w:val="-4"/>
                <w:sz w:val="31"/>
                <w:szCs w:val="21"/>
                <w14:textFill>
                  <w14:solidFill>
                    <w14:schemeClr w14:val="tx1"/>
                  </w14:solidFill>
                </w14:textFill>
              </w:rPr>
              <w:instrText xml:space="preserve">□</w:instrText>
            </w:r>
            <w:r>
              <w:rPr>
                <w:rFonts w:hint="eastAsia" w:ascii="宋体" w:hAnsi="宋体" w:cs="宋体"/>
                <w:color w:val="000000" w:themeColor="text1"/>
                <w:kern w:val="0"/>
                <w:szCs w:val="21"/>
                <w14:textFill>
                  <w14:solidFill>
                    <w14:schemeClr w14:val="tx1"/>
                  </w14:solidFill>
                </w14:textFill>
              </w:rPr>
              <w:instrText xml:space="preserve">,√)</w:instrText>
            </w:r>
            <w:r>
              <w:rPr>
                <w:rFonts w:hint="eastAsia" w:ascii="宋体" w:hAnsi="宋体" w:cs="宋体"/>
                <w:color w:val="000000" w:themeColor="text1"/>
                <w:kern w:val="0"/>
                <w:szCs w:val="21"/>
                <w14:textFill>
                  <w14:solidFill>
                    <w14:schemeClr w14:val="tx1"/>
                  </w14:solidFill>
                </w14:textFill>
              </w:rPr>
              <w:fldChar w:fldCharType="end"/>
            </w:r>
            <w:r>
              <w:rPr>
                <w:rFonts w:hint="eastAsia" w:ascii="宋体" w:hAnsi="宋体" w:cs="宋体"/>
                <w:color w:val="000000" w:themeColor="text1"/>
                <w:kern w:val="0"/>
                <w:szCs w:val="21"/>
                <w14:textFill>
                  <w14:solidFill>
                    <w14:schemeClr w14:val="tx1"/>
                  </w14:solidFill>
                </w14:textFill>
              </w:rPr>
              <w:t>否</w:t>
            </w:r>
          </w:p>
        </w:tc>
      </w:tr>
      <w:tr w14:paraId="5B859F3A">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1932" w:type="dxa"/>
            <w:vMerge w:val="continue"/>
            <w:vAlign w:val="center"/>
          </w:tcPr>
          <w:p w14:paraId="4C3329EC">
            <w:pPr>
              <w:adjustRightInd w:val="0"/>
              <w:spacing w:line="300" w:lineRule="exact"/>
              <w:jc w:val="center"/>
              <w:textAlignment w:val="baseline"/>
              <w:rPr>
                <w:rFonts w:hint="eastAsia" w:ascii="宋体" w:hAnsi="宋体" w:cs="宋体"/>
                <w:color w:val="000000" w:themeColor="text1"/>
                <w:kern w:val="0"/>
                <w:szCs w:val="21"/>
                <w14:textFill>
                  <w14:solidFill>
                    <w14:schemeClr w14:val="tx1"/>
                  </w14:solidFill>
                </w14:textFill>
              </w:rPr>
            </w:pPr>
          </w:p>
        </w:tc>
        <w:tc>
          <w:tcPr>
            <w:tcW w:w="4437" w:type="dxa"/>
            <w:vAlign w:val="center"/>
          </w:tcPr>
          <w:p w14:paraId="61DC19E0">
            <w:pPr>
              <w:adjustRightInd w:val="0"/>
              <w:spacing w:line="300" w:lineRule="exact"/>
              <w:jc w:val="center"/>
              <w:textAlignment w:val="baseline"/>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岸线距离/km</w:t>
            </w:r>
          </w:p>
        </w:tc>
        <w:tc>
          <w:tcPr>
            <w:tcW w:w="2361" w:type="dxa"/>
            <w:vAlign w:val="center"/>
          </w:tcPr>
          <w:p w14:paraId="53D989BB">
            <w:pPr>
              <w:adjustRightInd w:val="0"/>
              <w:spacing w:line="300" w:lineRule="exact"/>
              <w:jc w:val="center"/>
              <w:textAlignment w:val="baseline"/>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w:t>
            </w:r>
          </w:p>
        </w:tc>
      </w:tr>
      <w:tr w14:paraId="3EFD3D0A">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1932" w:type="dxa"/>
            <w:vMerge w:val="continue"/>
            <w:vAlign w:val="center"/>
          </w:tcPr>
          <w:p w14:paraId="303A5B2C">
            <w:pPr>
              <w:adjustRightInd w:val="0"/>
              <w:spacing w:line="300" w:lineRule="exact"/>
              <w:jc w:val="center"/>
              <w:textAlignment w:val="baseline"/>
              <w:rPr>
                <w:rFonts w:hint="eastAsia" w:ascii="宋体" w:hAnsi="宋体" w:cs="宋体"/>
                <w:color w:val="000000" w:themeColor="text1"/>
                <w:kern w:val="0"/>
                <w:szCs w:val="21"/>
                <w14:textFill>
                  <w14:solidFill>
                    <w14:schemeClr w14:val="tx1"/>
                  </w14:solidFill>
                </w14:textFill>
              </w:rPr>
            </w:pPr>
          </w:p>
        </w:tc>
        <w:tc>
          <w:tcPr>
            <w:tcW w:w="4437" w:type="dxa"/>
            <w:vAlign w:val="center"/>
          </w:tcPr>
          <w:p w14:paraId="49C87E6D">
            <w:pPr>
              <w:adjustRightInd w:val="0"/>
              <w:spacing w:line="300" w:lineRule="exact"/>
              <w:jc w:val="center"/>
              <w:textAlignment w:val="baseline"/>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岸线方向/°</w:t>
            </w:r>
          </w:p>
        </w:tc>
        <w:tc>
          <w:tcPr>
            <w:tcW w:w="2361" w:type="dxa"/>
            <w:vAlign w:val="center"/>
          </w:tcPr>
          <w:p w14:paraId="2BA6F477">
            <w:pPr>
              <w:adjustRightInd w:val="0"/>
              <w:spacing w:line="300" w:lineRule="exact"/>
              <w:jc w:val="center"/>
              <w:textAlignment w:val="baseline"/>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w:t>
            </w:r>
          </w:p>
        </w:tc>
      </w:tr>
    </w:tbl>
    <w:p w14:paraId="141B913C">
      <w:pPr>
        <w:pStyle w:val="117"/>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w:t>
      </w:r>
      <w:r>
        <w:rPr>
          <w:color w:val="000000" w:themeColor="text1"/>
          <w14:textFill>
            <w14:solidFill>
              <w14:schemeClr w14:val="tx1"/>
            </w14:solidFill>
          </w14:textFill>
        </w:rPr>
        <w:t>5</w:t>
      </w:r>
      <w:r>
        <w:rPr>
          <w:rFonts w:hint="eastAsia"/>
          <w:color w:val="000000" w:themeColor="text1"/>
          <w14:textFill>
            <w14:solidFill>
              <w14:schemeClr w14:val="tx1"/>
            </w14:solidFill>
          </w14:textFill>
        </w:rPr>
        <w:t>）污染源参数</w:t>
      </w:r>
    </w:p>
    <w:p w14:paraId="009F7428">
      <w:pPr>
        <w:pStyle w:val="89"/>
        <w:ind w:firstLine="480"/>
        <w:rPr>
          <w:rFonts w:hint="eastAsia" w:ascii="宋体" w:hAnsi="宋体" w:eastAsia="宋体"/>
          <w:color w:val="000000" w:themeColor="text1"/>
          <w14:textFill>
            <w14:solidFill>
              <w14:schemeClr w14:val="tx1"/>
            </w14:solidFill>
          </w14:textFill>
        </w:rPr>
      </w:pPr>
      <w:r>
        <w:rPr>
          <w:rFonts w:hint="eastAsia" w:ascii="宋体" w:hAnsi="宋体" w:eastAsia="宋体"/>
          <w:color w:val="000000" w:themeColor="text1"/>
          <w14:textFill>
            <w14:solidFill>
              <w14:schemeClr w14:val="tx1"/>
            </w14:solidFill>
          </w14:textFill>
        </w:rPr>
        <w:t>注采井场占地面积及污染物排放量均相同，占地面积相同及污染物排放相同的注采井场本次仅选取其中一座进行预测，无组织废气排放情况见表2.6-</w:t>
      </w:r>
      <w:r>
        <w:rPr>
          <w:rFonts w:ascii="宋体" w:hAnsi="宋体" w:eastAsia="宋体"/>
          <w:color w:val="000000" w:themeColor="text1"/>
          <w14:textFill>
            <w14:solidFill>
              <w14:schemeClr w14:val="tx1"/>
            </w14:solidFill>
          </w14:textFill>
        </w:rPr>
        <w:t>4</w:t>
      </w:r>
      <w:r>
        <w:rPr>
          <w:rFonts w:hint="eastAsia" w:ascii="宋体" w:hAnsi="宋体" w:eastAsia="宋体"/>
          <w:color w:val="000000" w:themeColor="text1"/>
          <w14:textFill>
            <w14:solidFill>
              <w14:schemeClr w14:val="tx1"/>
            </w14:solidFill>
          </w14:textFill>
        </w:rPr>
        <w:t>。</w:t>
      </w:r>
    </w:p>
    <w:p w14:paraId="0037CF58">
      <w:pPr>
        <w:jc w:val="center"/>
        <w:rPr>
          <w:rFonts w:hint="eastAsia" w:ascii="黑体" w:hAnsi="黑体" w:eastAsia="黑体"/>
          <w:bCs/>
          <w:color w:val="000000" w:themeColor="text1"/>
          <w:szCs w:val="21"/>
          <w14:textFill>
            <w14:solidFill>
              <w14:schemeClr w14:val="tx1"/>
            </w14:solidFill>
          </w14:textFill>
        </w:rPr>
      </w:pPr>
      <w:r>
        <w:rPr>
          <w:rFonts w:hint="eastAsia" w:ascii="黑体" w:hAnsi="黑体" w:eastAsia="黑体"/>
          <w:bCs/>
          <w:color w:val="000000" w:themeColor="text1"/>
          <w:szCs w:val="21"/>
          <w14:textFill>
            <w14:solidFill>
              <w14:schemeClr w14:val="tx1"/>
            </w14:solidFill>
          </w14:textFill>
        </w:rPr>
        <w:t>表2.6-</w:t>
      </w:r>
      <w:r>
        <w:rPr>
          <w:rFonts w:ascii="黑体" w:hAnsi="黑体" w:eastAsia="黑体"/>
          <w:bCs/>
          <w:color w:val="000000" w:themeColor="text1"/>
          <w:szCs w:val="21"/>
          <w14:textFill>
            <w14:solidFill>
              <w14:schemeClr w14:val="tx1"/>
            </w14:solidFill>
          </w14:textFill>
        </w:rPr>
        <w:t>4</w:t>
      </w:r>
      <w:r>
        <w:rPr>
          <w:rFonts w:hint="eastAsia" w:ascii="黑体" w:hAnsi="黑体" w:eastAsia="黑体"/>
          <w:bCs/>
          <w:color w:val="000000" w:themeColor="text1"/>
          <w:szCs w:val="21"/>
          <w14:textFill>
            <w14:solidFill>
              <w14:schemeClr w14:val="tx1"/>
            </w14:solidFill>
          </w14:textFill>
        </w:rPr>
        <w:t xml:space="preserve"> </w:t>
      </w:r>
      <w:r>
        <w:rPr>
          <w:rFonts w:ascii="黑体" w:hAnsi="黑体" w:eastAsia="黑体"/>
          <w:bCs/>
          <w:color w:val="000000" w:themeColor="text1"/>
          <w:szCs w:val="21"/>
          <w14:textFill>
            <w14:solidFill>
              <w14:schemeClr w14:val="tx1"/>
            </w14:solidFill>
          </w14:textFill>
        </w:rPr>
        <w:t xml:space="preserve"> </w:t>
      </w:r>
      <w:r>
        <w:rPr>
          <w:rFonts w:hint="eastAsia" w:ascii="黑体" w:hAnsi="黑体" w:eastAsia="黑体"/>
          <w:bCs/>
          <w:color w:val="000000" w:themeColor="text1"/>
          <w:szCs w:val="21"/>
          <w14:textFill>
            <w14:solidFill>
              <w14:schemeClr w14:val="tx1"/>
            </w14:solidFill>
          </w14:textFill>
        </w:rPr>
        <w:t>面源污染源参数一览表</w:t>
      </w:r>
    </w:p>
    <w:tbl>
      <w:tblPr>
        <w:tblStyle w:val="51"/>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981"/>
        <w:gridCol w:w="740"/>
        <w:gridCol w:w="740"/>
        <w:gridCol w:w="740"/>
        <w:gridCol w:w="740"/>
        <w:gridCol w:w="740"/>
        <w:gridCol w:w="562"/>
        <w:gridCol w:w="684"/>
        <w:gridCol w:w="848"/>
        <w:gridCol w:w="795"/>
        <w:gridCol w:w="1160"/>
      </w:tblGrid>
      <w:tr w14:paraId="3ED69F2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62" w:type="pct"/>
            <w:vMerge w:val="restart"/>
            <w:vAlign w:val="center"/>
          </w:tcPr>
          <w:p w14:paraId="781A07E8">
            <w:pPr>
              <w:adjustRightInd w:val="0"/>
              <w:snapToGrid w:val="0"/>
              <w:spacing w:line="300" w:lineRule="exact"/>
              <w:jc w:val="center"/>
              <w:rPr>
                <w:rFonts w:hint="eastAsia" w:ascii="宋体" w:hAnsi="宋体" w:cs="宋体"/>
                <w:bCs/>
                <w:color w:val="000000" w:themeColor="text1"/>
                <w:szCs w:val="21"/>
                <w14:textFill>
                  <w14:solidFill>
                    <w14:schemeClr w14:val="tx1"/>
                  </w14:solidFill>
                </w14:textFill>
              </w:rPr>
            </w:pPr>
            <w:r>
              <w:rPr>
                <w:rFonts w:hint="eastAsia" w:ascii="宋体" w:hAnsi="宋体" w:cs="宋体"/>
                <w:bCs/>
                <w:color w:val="000000" w:themeColor="text1"/>
                <w:szCs w:val="21"/>
                <w14:textFill>
                  <w14:solidFill>
                    <w14:schemeClr w14:val="tx1"/>
                  </w14:solidFill>
                </w14:textFill>
              </w:rPr>
              <w:t>位置</w:t>
            </w:r>
          </w:p>
        </w:tc>
        <w:tc>
          <w:tcPr>
            <w:tcW w:w="424" w:type="pct"/>
            <w:vMerge w:val="restart"/>
            <w:vAlign w:val="center"/>
          </w:tcPr>
          <w:p w14:paraId="19AE49AD">
            <w:pPr>
              <w:adjustRightInd w:val="0"/>
              <w:snapToGrid w:val="0"/>
              <w:spacing w:line="300" w:lineRule="exact"/>
              <w:jc w:val="center"/>
              <w:rPr>
                <w:rFonts w:hint="eastAsia" w:ascii="宋体" w:hAnsi="宋体" w:cs="宋体"/>
                <w:bCs/>
                <w:color w:val="000000" w:themeColor="text1"/>
                <w:szCs w:val="21"/>
                <w14:textFill>
                  <w14:solidFill>
                    <w14:schemeClr w14:val="tx1"/>
                  </w14:solidFill>
                </w14:textFill>
              </w:rPr>
            </w:pPr>
            <w:r>
              <w:rPr>
                <w:rFonts w:hint="eastAsia" w:ascii="宋体" w:hAnsi="宋体" w:cs="宋体"/>
                <w:bCs/>
                <w:color w:val="000000" w:themeColor="text1"/>
                <w:szCs w:val="21"/>
                <w14:textFill>
                  <w14:solidFill>
                    <w14:schemeClr w14:val="tx1"/>
                  </w14:solidFill>
                </w14:textFill>
              </w:rPr>
              <w:t>海拔高度（m）</w:t>
            </w:r>
          </w:p>
        </w:tc>
        <w:tc>
          <w:tcPr>
            <w:tcW w:w="424" w:type="pct"/>
            <w:vMerge w:val="restart"/>
            <w:vAlign w:val="center"/>
          </w:tcPr>
          <w:p w14:paraId="4E4D3FB3">
            <w:pPr>
              <w:adjustRightInd w:val="0"/>
              <w:snapToGrid w:val="0"/>
              <w:spacing w:line="300" w:lineRule="exact"/>
              <w:jc w:val="center"/>
              <w:rPr>
                <w:rFonts w:hint="eastAsia" w:ascii="宋体" w:hAnsi="宋体" w:cs="宋体"/>
                <w:bCs/>
                <w:color w:val="000000" w:themeColor="text1"/>
                <w:szCs w:val="21"/>
                <w14:textFill>
                  <w14:solidFill>
                    <w14:schemeClr w14:val="tx1"/>
                  </w14:solidFill>
                </w14:textFill>
              </w:rPr>
            </w:pPr>
            <w:r>
              <w:rPr>
                <w:rFonts w:hint="eastAsia" w:ascii="宋体" w:hAnsi="宋体" w:cs="宋体"/>
                <w:bCs/>
                <w:color w:val="000000" w:themeColor="text1"/>
                <w:szCs w:val="21"/>
                <w14:textFill>
                  <w14:solidFill>
                    <w14:schemeClr w14:val="tx1"/>
                  </w14:solidFill>
                </w14:textFill>
              </w:rPr>
              <w:t>面源长度（m）</w:t>
            </w:r>
          </w:p>
        </w:tc>
        <w:tc>
          <w:tcPr>
            <w:tcW w:w="424" w:type="pct"/>
            <w:vMerge w:val="restart"/>
            <w:vAlign w:val="center"/>
          </w:tcPr>
          <w:p w14:paraId="0491854E">
            <w:pPr>
              <w:adjustRightInd w:val="0"/>
              <w:snapToGrid w:val="0"/>
              <w:spacing w:line="300" w:lineRule="exact"/>
              <w:jc w:val="center"/>
              <w:rPr>
                <w:rFonts w:hint="eastAsia" w:ascii="宋体" w:hAnsi="宋体" w:cs="宋体"/>
                <w:bCs/>
                <w:color w:val="000000" w:themeColor="text1"/>
                <w:szCs w:val="21"/>
                <w14:textFill>
                  <w14:solidFill>
                    <w14:schemeClr w14:val="tx1"/>
                  </w14:solidFill>
                </w14:textFill>
              </w:rPr>
            </w:pPr>
            <w:r>
              <w:rPr>
                <w:rFonts w:hint="eastAsia" w:ascii="宋体" w:hAnsi="宋体" w:cs="宋体"/>
                <w:bCs/>
                <w:color w:val="000000" w:themeColor="text1"/>
                <w:szCs w:val="21"/>
                <w14:textFill>
                  <w14:solidFill>
                    <w14:schemeClr w14:val="tx1"/>
                  </w14:solidFill>
                </w14:textFill>
              </w:rPr>
              <w:t>面源宽度（m）</w:t>
            </w:r>
          </w:p>
        </w:tc>
        <w:tc>
          <w:tcPr>
            <w:tcW w:w="424" w:type="pct"/>
            <w:vMerge w:val="restart"/>
            <w:vAlign w:val="center"/>
          </w:tcPr>
          <w:p w14:paraId="5DB3BB8E">
            <w:pPr>
              <w:adjustRightInd w:val="0"/>
              <w:snapToGrid w:val="0"/>
              <w:spacing w:line="300" w:lineRule="exact"/>
              <w:jc w:val="center"/>
              <w:rPr>
                <w:rFonts w:hint="eastAsia" w:ascii="宋体" w:hAnsi="宋体" w:cs="宋体"/>
                <w:bCs/>
                <w:color w:val="000000" w:themeColor="text1"/>
                <w:szCs w:val="21"/>
                <w14:textFill>
                  <w14:solidFill>
                    <w14:schemeClr w14:val="tx1"/>
                  </w14:solidFill>
                </w14:textFill>
              </w:rPr>
            </w:pPr>
            <w:r>
              <w:rPr>
                <w:rFonts w:hint="eastAsia" w:ascii="宋体" w:hAnsi="宋体" w:cs="宋体"/>
                <w:bCs/>
                <w:color w:val="000000" w:themeColor="text1"/>
                <w:szCs w:val="21"/>
                <w14:textFill>
                  <w14:solidFill>
                    <w14:schemeClr w14:val="tx1"/>
                  </w14:solidFill>
                </w14:textFill>
              </w:rPr>
              <w:t>有效排放高度（m）</w:t>
            </w:r>
          </w:p>
        </w:tc>
        <w:tc>
          <w:tcPr>
            <w:tcW w:w="424" w:type="pct"/>
            <w:vMerge w:val="restart"/>
            <w:vAlign w:val="center"/>
          </w:tcPr>
          <w:p w14:paraId="532F1598">
            <w:pPr>
              <w:adjustRightInd w:val="0"/>
              <w:snapToGrid w:val="0"/>
              <w:spacing w:line="300" w:lineRule="exact"/>
              <w:jc w:val="center"/>
              <w:rPr>
                <w:rFonts w:hint="eastAsia" w:ascii="宋体" w:hAnsi="宋体" w:cs="宋体"/>
                <w:bCs/>
                <w:color w:val="000000" w:themeColor="text1"/>
                <w:szCs w:val="21"/>
                <w14:textFill>
                  <w14:solidFill>
                    <w14:schemeClr w14:val="tx1"/>
                  </w14:solidFill>
                </w14:textFill>
              </w:rPr>
            </w:pPr>
            <w:r>
              <w:rPr>
                <w:rFonts w:hint="eastAsia" w:ascii="宋体" w:hAnsi="宋体" w:cs="宋体"/>
                <w:bCs/>
                <w:color w:val="000000" w:themeColor="text1"/>
                <w:szCs w:val="21"/>
                <w14:textFill>
                  <w14:solidFill>
                    <w14:schemeClr w14:val="tx1"/>
                  </w14:solidFill>
                </w14:textFill>
              </w:rPr>
              <w:t>年排放小时数（h）</w:t>
            </w:r>
          </w:p>
        </w:tc>
        <w:tc>
          <w:tcPr>
            <w:tcW w:w="322" w:type="pct"/>
            <w:vMerge w:val="restart"/>
            <w:vAlign w:val="center"/>
          </w:tcPr>
          <w:p w14:paraId="505C4E58">
            <w:pPr>
              <w:adjustRightInd w:val="0"/>
              <w:snapToGrid w:val="0"/>
              <w:spacing w:line="300" w:lineRule="exact"/>
              <w:jc w:val="center"/>
              <w:rPr>
                <w:rFonts w:hint="eastAsia" w:ascii="宋体" w:hAnsi="宋体" w:cs="宋体"/>
                <w:bCs/>
                <w:color w:val="000000" w:themeColor="text1"/>
                <w:szCs w:val="21"/>
                <w14:textFill>
                  <w14:solidFill>
                    <w14:schemeClr w14:val="tx1"/>
                  </w14:solidFill>
                </w14:textFill>
              </w:rPr>
            </w:pPr>
            <w:r>
              <w:rPr>
                <w:rFonts w:hint="eastAsia" w:ascii="宋体" w:hAnsi="宋体" w:cs="宋体"/>
                <w:bCs/>
                <w:color w:val="000000" w:themeColor="text1"/>
                <w:szCs w:val="21"/>
                <w14:textFill>
                  <w14:solidFill>
                    <w14:schemeClr w14:val="tx1"/>
                  </w14:solidFill>
                </w14:textFill>
              </w:rPr>
              <w:t>排放工况</w:t>
            </w:r>
          </w:p>
        </w:tc>
        <w:tc>
          <w:tcPr>
            <w:tcW w:w="877" w:type="pct"/>
            <w:gridSpan w:val="2"/>
            <w:vAlign w:val="center"/>
          </w:tcPr>
          <w:p w14:paraId="003675EA">
            <w:pPr>
              <w:adjustRightInd w:val="0"/>
              <w:snapToGrid w:val="0"/>
              <w:spacing w:line="300" w:lineRule="exact"/>
              <w:jc w:val="center"/>
              <w:rPr>
                <w:rFonts w:hint="eastAsia" w:ascii="宋体" w:hAnsi="宋体" w:cs="宋体"/>
                <w:bCs/>
                <w:color w:val="000000" w:themeColor="text1"/>
                <w:szCs w:val="21"/>
                <w14:textFill>
                  <w14:solidFill>
                    <w14:schemeClr w14:val="tx1"/>
                  </w14:solidFill>
                </w14:textFill>
              </w:rPr>
            </w:pPr>
            <w:r>
              <w:rPr>
                <w:rFonts w:hint="eastAsia" w:ascii="宋体" w:hAnsi="宋体" w:cs="宋体"/>
                <w:bCs/>
                <w:color w:val="000000" w:themeColor="text1"/>
                <w:szCs w:val="21"/>
                <w14:textFill>
                  <w14:solidFill>
                    <w14:schemeClr w14:val="tx1"/>
                  </w14:solidFill>
                </w14:textFill>
              </w:rPr>
              <w:t>NMHC排放量</w:t>
            </w:r>
          </w:p>
        </w:tc>
        <w:tc>
          <w:tcPr>
            <w:tcW w:w="1119" w:type="pct"/>
            <w:gridSpan w:val="2"/>
            <w:vAlign w:val="center"/>
          </w:tcPr>
          <w:p w14:paraId="445653B8">
            <w:pPr>
              <w:adjustRightInd w:val="0"/>
              <w:snapToGrid w:val="0"/>
              <w:spacing w:line="300" w:lineRule="exact"/>
              <w:jc w:val="center"/>
              <w:rPr>
                <w:rFonts w:hint="eastAsia" w:ascii="宋体" w:hAnsi="宋体" w:cs="宋体"/>
                <w:bCs/>
                <w:color w:val="000000" w:themeColor="text1"/>
                <w:szCs w:val="21"/>
                <w14:textFill>
                  <w14:solidFill>
                    <w14:schemeClr w14:val="tx1"/>
                  </w14:solidFill>
                </w14:textFill>
              </w:rPr>
            </w:pPr>
            <w:r>
              <w:rPr>
                <w:rFonts w:hint="eastAsia" w:ascii="宋体" w:hAnsi="宋体" w:cs="宋体"/>
                <w:bCs/>
                <w:color w:val="000000" w:themeColor="text1"/>
                <w:szCs w:val="21"/>
                <w14:textFill>
                  <w14:solidFill>
                    <w14:schemeClr w14:val="tx1"/>
                  </w14:solidFill>
                </w14:textFill>
              </w:rPr>
              <w:t>硫化氢排放量</w:t>
            </w:r>
          </w:p>
        </w:tc>
      </w:tr>
      <w:tr w14:paraId="6E1A80A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62" w:type="pct"/>
            <w:vMerge w:val="continue"/>
            <w:vAlign w:val="center"/>
          </w:tcPr>
          <w:p w14:paraId="4AA44CD8">
            <w:pPr>
              <w:adjustRightInd w:val="0"/>
              <w:snapToGrid w:val="0"/>
              <w:spacing w:line="300" w:lineRule="exact"/>
              <w:jc w:val="center"/>
              <w:rPr>
                <w:rFonts w:hint="eastAsia" w:ascii="宋体" w:hAnsi="宋体" w:cs="宋体"/>
                <w:bCs/>
                <w:color w:val="000000" w:themeColor="text1"/>
                <w:szCs w:val="21"/>
                <w14:textFill>
                  <w14:solidFill>
                    <w14:schemeClr w14:val="tx1"/>
                  </w14:solidFill>
                </w14:textFill>
              </w:rPr>
            </w:pPr>
          </w:p>
        </w:tc>
        <w:tc>
          <w:tcPr>
            <w:tcW w:w="424" w:type="pct"/>
            <w:vMerge w:val="continue"/>
            <w:vAlign w:val="center"/>
          </w:tcPr>
          <w:p w14:paraId="1C24E4B8">
            <w:pPr>
              <w:adjustRightInd w:val="0"/>
              <w:snapToGrid w:val="0"/>
              <w:spacing w:line="300" w:lineRule="exact"/>
              <w:jc w:val="center"/>
              <w:rPr>
                <w:rFonts w:hint="eastAsia" w:ascii="宋体" w:hAnsi="宋体" w:cs="宋体"/>
                <w:bCs/>
                <w:color w:val="000000" w:themeColor="text1"/>
                <w:szCs w:val="21"/>
                <w14:textFill>
                  <w14:solidFill>
                    <w14:schemeClr w14:val="tx1"/>
                  </w14:solidFill>
                </w14:textFill>
              </w:rPr>
            </w:pPr>
          </w:p>
        </w:tc>
        <w:tc>
          <w:tcPr>
            <w:tcW w:w="424" w:type="pct"/>
            <w:vMerge w:val="continue"/>
            <w:vAlign w:val="center"/>
          </w:tcPr>
          <w:p w14:paraId="4E67300C">
            <w:pPr>
              <w:adjustRightInd w:val="0"/>
              <w:snapToGrid w:val="0"/>
              <w:spacing w:line="300" w:lineRule="exact"/>
              <w:jc w:val="center"/>
              <w:rPr>
                <w:rFonts w:hint="eastAsia" w:ascii="宋体" w:hAnsi="宋体" w:cs="宋体"/>
                <w:bCs/>
                <w:color w:val="000000" w:themeColor="text1"/>
                <w:szCs w:val="21"/>
                <w14:textFill>
                  <w14:solidFill>
                    <w14:schemeClr w14:val="tx1"/>
                  </w14:solidFill>
                </w14:textFill>
              </w:rPr>
            </w:pPr>
          </w:p>
        </w:tc>
        <w:tc>
          <w:tcPr>
            <w:tcW w:w="424" w:type="pct"/>
            <w:vMerge w:val="continue"/>
            <w:vAlign w:val="center"/>
          </w:tcPr>
          <w:p w14:paraId="67AB27F4">
            <w:pPr>
              <w:adjustRightInd w:val="0"/>
              <w:snapToGrid w:val="0"/>
              <w:spacing w:line="300" w:lineRule="exact"/>
              <w:jc w:val="center"/>
              <w:rPr>
                <w:rFonts w:hint="eastAsia" w:ascii="宋体" w:hAnsi="宋体" w:cs="宋体"/>
                <w:bCs/>
                <w:color w:val="000000" w:themeColor="text1"/>
                <w:szCs w:val="21"/>
                <w14:textFill>
                  <w14:solidFill>
                    <w14:schemeClr w14:val="tx1"/>
                  </w14:solidFill>
                </w14:textFill>
              </w:rPr>
            </w:pPr>
          </w:p>
        </w:tc>
        <w:tc>
          <w:tcPr>
            <w:tcW w:w="424" w:type="pct"/>
            <w:vMerge w:val="continue"/>
            <w:vAlign w:val="center"/>
          </w:tcPr>
          <w:p w14:paraId="2C28B58D">
            <w:pPr>
              <w:adjustRightInd w:val="0"/>
              <w:snapToGrid w:val="0"/>
              <w:spacing w:line="300" w:lineRule="exact"/>
              <w:jc w:val="center"/>
              <w:rPr>
                <w:rFonts w:hint="eastAsia" w:ascii="宋体" w:hAnsi="宋体" w:cs="宋体"/>
                <w:bCs/>
                <w:color w:val="000000" w:themeColor="text1"/>
                <w:szCs w:val="21"/>
                <w14:textFill>
                  <w14:solidFill>
                    <w14:schemeClr w14:val="tx1"/>
                  </w14:solidFill>
                </w14:textFill>
              </w:rPr>
            </w:pPr>
          </w:p>
        </w:tc>
        <w:tc>
          <w:tcPr>
            <w:tcW w:w="424" w:type="pct"/>
            <w:vMerge w:val="continue"/>
            <w:vAlign w:val="center"/>
          </w:tcPr>
          <w:p w14:paraId="30C9AA01">
            <w:pPr>
              <w:adjustRightInd w:val="0"/>
              <w:snapToGrid w:val="0"/>
              <w:spacing w:line="300" w:lineRule="exact"/>
              <w:jc w:val="center"/>
              <w:rPr>
                <w:rFonts w:hint="eastAsia" w:ascii="宋体" w:hAnsi="宋体" w:cs="宋体"/>
                <w:bCs/>
                <w:color w:val="000000" w:themeColor="text1"/>
                <w:szCs w:val="21"/>
                <w14:textFill>
                  <w14:solidFill>
                    <w14:schemeClr w14:val="tx1"/>
                  </w14:solidFill>
                </w14:textFill>
              </w:rPr>
            </w:pPr>
          </w:p>
        </w:tc>
        <w:tc>
          <w:tcPr>
            <w:tcW w:w="322" w:type="pct"/>
            <w:vMerge w:val="continue"/>
            <w:vAlign w:val="center"/>
          </w:tcPr>
          <w:p w14:paraId="438BC2A7">
            <w:pPr>
              <w:adjustRightInd w:val="0"/>
              <w:snapToGrid w:val="0"/>
              <w:spacing w:line="300" w:lineRule="exact"/>
              <w:jc w:val="center"/>
              <w:rPr>
                <w:rFonts w:hint="eastAsia" w:ascii="宋体" w:hAnsi="宋体" w:cs="宋体"/>
                <w:bCs/>
                <w:color w:val="000000" w:themeColor="text1"/>
                <w:szCs w:val="21"/>
                <w14:textFill>
                  <w14:solidFill>
                    <w14:schemeClr w14:val="tx1"/>
                  </w14:solidFill>
                </w14:textFill>
              </w:rPr>
            </w:pPr>
          </w:p>
        </w:tc>
        <w:tc>
          <w:tcPr>
            <w:tcW w:w="392" w:type="pct"/>
            <w:vAlign w:val="center"/>
          </w:tcPr>
          <w:p w14:paraId="63B755C9">
            <w:pPr>
              <w:adjustRightInd w:val="0"/>
              <w:snapToGrid w:val="0"/>
              <w:spacing w:line="300" w:lineRule="exact"/>
              <w:jc w:val="center"/>
              <w:rPr>
                <w:rFonts w:hint="eastAsia" w:ascii="宋体" w:hAnsi="宋体" w:cs="宋体"/>
                <w:bCs/>
                <w:color w:val="000000" w:themeColor="text1"/>
                <w:szCs w:val="21"/>
                <w14:textFill>
                  <w14:solidFill>
                    <w14:schemeClr w14:val="tx1"/>
                  </w14:solidFill>
                </w14:textFill>
              </w:rPr>
            </w:pPr>
            <w:r>
              <w:rPr>
                <w:rFonts w:hint="eastAsia" w:ascii="宋体" w:hAnsi="宋体" w:cs="宋体"/>
                <w:bCs/>
                <w:color w:val="000000" w:themeColor="text1"/>
                <w:szCs w:val="21"/>
                <w14:textFill>
                  <w14:solidFill>
                    <w14:schemeClr w14:val="tx1"/>
                  </w14:solidFill>
                </w14:textFill>
              </w:rPr>
              <w:t>t/a</w:t>
            </w:r>
          </w:p>
        </w:tc>
        <w:tc>
          <w:tcPr>
            <w:tcW w:w="485" w:type="pct"/>
            <w:vAlign w:val="center"/>
          </w:tcPr>
          <w:p w14:paraId="0B62E70D">
            <w:pPr>
              <w:adjustRightInd w:val="0"/>
              <w:snapToGrid w:val="0"/>
              <w:spacing w:line="300" w:lineRule="exact"/>
              <w:jc w:val="center"/>
              <w:rPr>
                <w:rFonts w:hint="eastAsia" w:ascii="宋体" w:hAnsi="宋体" w:cs="宋体"/>
                <w:bCs/>
                <w:color w:val="000000" w:themeColor="text1"/>
                <w:szCs w:val="21"/>
                <w14:textFill>
                  <w14:solidFill>
                    <w14:schemeClr w14:val="tx1"/>
                  </w14:solidFill>
                </w14:textFill>
              </w:rPr>
            </w:pPr>
            <w:r>
              <w:rPr>
                <w:rFonts w:hint="eastAsia" w:ascii="宋体" w:hAnsi="宋体" w:cs="宋体"/>
                <w:bCs/>
                <w:color w:val="000000" w:themeColor="text1"/>
                <w:szCs w:val="21"/>
                <w14:textFill>
                  <w14:solidFill>
                    <w14:schemeClr w14:val="tx1"/>
                  </w14:solidFill>
                </w14:textFill>
              </w:rPr>
              <w:t>kg</w:t>
            </w:r>
            <w:r>
              <w:rPr>
                <w:rFonts w:ascii="宋体" w:hAnsi="宋体" w:cs="宋体"/>
                <w:bCs/>
                <w:color w:val="000000" w:themeColor="text1"/>
                <w:szCs w:val="21"/>
                <w14:textFill>
                  <w14:solidFill>
                    <w14:schemeClr w14:val="tx1"/>
                  </w14:solidFill>
                </w14:textFill>
              </w:rPr>
              <w:t>/h</w:t>
            </w:r>
          </w:p>
        </w:tc>
        <w:tc>
          <w:tcPr>
            <w:tcW w:w="455" w:type="pct"/>
            <w:vAlign w:val="center"/>
          </w:tcPr>
          <w:p w14:paraId="6C4687D4">
            <w:pPr>
              <w:adjustRightInd w:val="0"/>
              <w:snapToGrid w:val="0"/>
              <w:spacing w:line="300" w:lineRule="exact"/>
              <w:jc w:val="center"/>
              <w:rPr>
                <w:rFonts w:hint="eastAsia" w:ascii="宋体" w:hAnsi="宋体" w:cs="宋体"/>
                <w:bCs/>
                <w:color w:val="000000" w:themeColor="text1"/>
                <w:szCs w:val="21"/>
                <w14:textFill>
                  <w14:solidFill>
                    <w14:schemeClr w14:val="tx1"/>
                  </w14:solidFill>
                </w14:textFill>
              </w:rPr>
            </w:pPr>
            <w:r>
              <w:rPr>
                <w:rFonts w:hint="eastAsia" w:ascii="宋体" w:hAnsi="宋体" w:cs="宋体"/>
                <w:bCs/>
                <w:color w:val="000000" w:themeColor="text1"/>
                <w:szCs w:val="21"/>
                <w14:textFill>
                  <w14:solidFill>
                    <w14:schemeClr w14:val="tx1"/>
                  </w14:solidFill>
                </w14:textFill>
              </w:rPr>
              <w:t>kg/a</w:t>
            </w:r>
          </w:p>
        </w:tc>
        <w:tc>
          <w:tcPr>
            <w:tcW w:w="664" w:type="pct"/>
            <w:vAlign w:val="center"/>
          </w:tcPr>
          <w:p w14:paraId="68D5D35D">
            <w:pPr>
              <w:adjustRightInd w:val="0"/>
              <w:snapToGrid w:val="0"/>
              <w:spacing w:line="300" w:lineRule="exact"/>
              <w:jc w:val="center"/>
              <w:rPr>
                <w:rFonts w:hint="eastAsia" w:ascii="宋体" w:hAnsi="宋体" w:cs="宋体"/>
                <w:bCs/>
                <w:color w:val="000000" w:themeColor="text1"/>
                <w:szCs w:val="21"/>
                <w14:textFill>
                  <w14:solidFill>
                    <w14:schemeClr w14:val="tx1"/>
                  </w14:solidFill>
                </w14:textFill>
              </w:rPr>
            </w:pPr>
            <w:r>
              <w:rPr>
                <w:rFonts w:hint="eastAsia" w:ascii="宋体" w:hAnsi="宋体" w:cs="宋体"/>
                <w:bCs/>
                <w:color w:val="000000" w:themeColor="text1"/>
                <w:szCs w:val="21"/>
                <w14:textFill>
                  <w14:solidFill>
                    <w14:schemeClr w14:val="tx1"/>
                  </w14:solidFill>
                </w14:textFill>
              </w:rPr>
              <w:t>kg</w:t>
            </w:r>
            <w:r>
              <w:rPr>
                <w:rFonts w:ascii="宋体" w:hAnsi="宋体" w:cs="宋体"/>
                <w:bCs/>
                <w:color w:val="000000" w:themeColor="text1"/>
                <w:szCs w:val="21"/>
                <w14:textFill>
                  <w14:solidFill>
                    <w14:schemeClr w14:val="tx1"/>
                  </w14:solidFill>
                </w14:textFill>
              </w:rPr>
              <w:t>/h</w:t>
            </w:r>
          </w:p>
        </w:tc>
      </w:tr>
      <w:tr w14:paraId="1D7B3A8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62" w:type="pct"/>
            <w:vAlign w:val="center"/>
          </w:tcPr>
          <w:p w14:paraId="09C6A020">
            <w:pPr>
              <w:adjustRightInd w:val="0"/>
              <w:snapToGrid w:val="0"/>
              <w:spacing w:line="300" w:lineRule="exact"/>
              <w:jc w:val="center"/>
              <w:rPr>
                <w:rFonts w:hint="eastAsia" w:ascii="宋体" w:hAnsi="宋体" w:cs="宋体"/>
                <w:bCs/>
                <w:color w:val="000000" w:themeColor="text1"/>
                <w:szCs w:val="21"/>
                <w14:textFill>
                  <w14:solidFill>
                    <w14:schemeClr w14:val="tx1"/>
                  </w14:solidFill>
                </w14:textFill>
              </w:rPr>
            </w:pPr>
            <w:r>
              <w:rPr>
                <w:rFonts w:hint="eastAsia" w:ascii="宋体" w:hAnsi="宋体" w:cs="宋体"/>
                <w:bCs/>
                <w:color w:val="000000" w:themeColor="text1"/>
                <w:szCs w:val="21"/>
                <w14:textFill>
                  <w14:solidFill>
                    <w14:schemeClr w14:val="tx1"/>
                  </w14:solidFill>
                </w14:textFill>
              </w:rPr>
              <w:t>1号计量站</w:t>
            </w:r>
          </w:p>
        </w:tc>
        <w:tc>
          <w:tcPr>
            <w:tcW w:w="424" w:type="pct"/>
            <w:vAlign w:val="center"/>
          </w:tcPr>
          <w:p w14:paraId="23F99F1A">
            <w:pPr>
              <w:adjustRightInd w:val="0"/>
              <w:snapToGrid w:val="0"/>
              <w:spacing w:line="300" w:lineRule="exact"/>
              <w:jc w:val="center"/>
              <w:rPr>
                <w:rFonts w:hint="eastAsia" w:ascii="宋体" w:hAnsi="宋体" w:cs="宋体"/>
                <w:bCs/>
                <w:color w:val="000000" w:themeColor="text1"/>
                <w:szCs w:val="21"/>
                <w14:textFill>
                  <w14:solidFill>
                    <w14:schemeClr w14:val="tx1"/>
                  </w14:solidFill>
                </w14:textFill>
              </w:rPr>
            </w:pPr>
            <w:r>
              <w:rPr>
                <w:rFonts w:hint="eastAsia" w:ascii="宋体" w:hAnsi="宋体" w:cs="宋体"/>
                <w:bCs/>
                <w:color w:val="000000" w:themeColor="text1"/>
                <w:szCs w:val="21"/>
                <w14:textFill>
                  <w14:solidFill>
                    <w14:schemeClr w14:val="tx1"/>
                  </w14:solidFill>
                </w14:textFill>
              </w:rPr>
              <w:t>635</w:t>
            </w:r>
          </w:p>
        </w:tc>
        <w:tc>
          <w:tcPr>
            <w:tcW w:w="424" w:type="pct"/>
            <w:vAlign w:val="center"/>
          </w:tcPr>
          <w:p w14:paraId="3A597A1E">
            <w:pPr>
              <w:adjustRightInd w:val="0"/>
              <w:snapToGrid w:val="0"/>
              <w:spacing w:line="300" w:lineRule="exact"/>
              <w:jc w:val="center"/>
              <w:rPr>
                <w:rFonts w:hint="eastAsia" w:ascii="宋体" w:hAnsi="宋体" w:cs="宋体"/>
                <w:bCs/>
                <w:color w:val="000000" w:themeColor="text1"/>
                <w:szCs w:val="21"/>
                <w14:textFill>
                  <w14:solidFill>
                    <w14:schemeClr w14:val="tx1"/>
                  </w14:solidFill>
                </w14:textFill>
              </w:rPr>
            </w:pPr>
            <w:r>
              <w:rPr>
                <w:rFonts w:hint="eastAsia" w:ascii="宋体" w:hAnsi="宋体" w:cs="宋体"/>
                <w:bCs/>
                <w:color w:val="000000" w:themeColor="text1"/>
                <w:szCs w:val="21"/>
                <w14:textFill>
                  <w14:solidFill>
                    <w14:schemeClr w14:val="tx1"/>
                  </w14:solidFill>
                </w14:textFill>
              </w:rPr>
              <w:t>15</w:t>
            </w:r>
          </w:p>
        </w:tc>
        <w:tc>
          <w:tcPr>
            <w:tcW w:w="424" w:type="pct"/>
            <w:vAlign w:val="center"/>
          </w:tcPr>
          <w:p w14:paraId="15AEAA4A">
            <w:pPr>
              <w:adjustRightInd w:val="0"/>
              <w:snapToGrid w:val="0"/>
              <w:spacing w:line="300" w:lineRule="exact"/>
              <w:jc w:val="center"/>
              <w:rPr>
                <w:rFonts w:hint="eastAsia" w:ascii="宋体" w:hAnsi="宋体" w:cs="宋体"/>
                <w:bCs/>
                <w:color w:val="000000" w:themeColor="text1"/>
                <w:szCs w:val="21"/>
                <w14:textFill>
                  <w14:solidFill>
                    <w14:schemeClr w14:val="tx1"/>
                  </w14:solidFill>
                </w14:textFill>
              </w:rPr>
            </w:pPr>
            <w:r>
              <w:rPr>
                <w:rFonts w:hint="eastAsia" w:ascii="宋体" w:hAnsi="宋体" w:cs="宋体"/>
                <w:bCs/>
                <w:color w:val="000000" w:themeColor="text1"/>
                <w:szCs w:val="21"/>
                <w14:textFill>
                  <w14:solidFill>
                    <w14:schemeClr w14:val="tx1"/>
                  </w14:solidFill>
                </w14:textFill>
              </w:rPr>
              <w:t>10</w:t>
            </w:r>
          </w:p>
        </w:tc>
        <w:tc>
          <w:tcPr>
            <w:tcW w:w="424" w:type="pct"/>
            <w:vAlign w:val="center"/>
          </w:tcPr>
          <w:p w14:paraId="68C7A71B">
            <w:pPr>
              <w:adjustRightInd w:val="0"/>
              <w:snapToGrid w:val="0"/>
              <w:spacing w:line="300" w:lineRule="exact"/>
              <w:jc w:val="center"/>
              <w:rPr>
                <w:rFonts w:hint="eastAsia" w:ascii="宋体" w:hAnsi="宋体" w:cs="宋体"/>
                <w:bCs/>
                <w:color w:val="000000" w:themeColor="text1"/>
                <w:szCs w:val="21"/>
                <w14:textFill>
                  <w14:solidFill>
                    <w14:schemeClr w14:val="tx1"/>
                  </w14:solidFill>
                </w14:textFill>
              </w:rPr>
            </w:pPr>
            <w:r>
              <w:rPr>
                <w:rFonts w:hint="eastAsia" w:ascii="宋体" w:hAnsi="宋体" w:cs="宋体"/>
                <w:bCs/>
                <w:color w:val="000000" w:themeColor="text1"/>
                <w:szCs w:val="21"/>
                <w14:textFill>
                  <w14:solidFill>
                    <w14:schemeClr w14:val="tx1"/>
                  </w14:solidFill>
                </w14:textFill>
              </w:rPr>
              <w:t>5</w:t>
            </w:r>
          </w:p>
        </w:tc>
        <w:tc>
          <w:tcPr>
            <w:tcW w:w="424" w:type="pct"/>
            <w:vAlign w:val="center"/>
          </w:tcPr>
          <w:p w14:paraId="4E62A8EC">
            <w:pPr>
              <w:adjustRightInd w:val="0"/>
              <w:snapToGrid w:val="0"/>
              <w:spacing w:line="300" w:lineRule="exact"/>
              <w:jc w:val="center"/>
              <w:rPr>
                <w:rFonts w:hint="eastAsia" w:ascii="宋体" w:hAnsi="宋体" w:cs="宋体"/>
                <w:bCs/>
                <w:color w:val="000000" w:themeColor="text1"/>
                <w:szCs w:val="21"/>
                <w14:textFill>
                  <w14:solidFill>
                    <w14:schemeClr w14:val="tx1"/>
                  </w14:solidFill>
                </w14:textFill>
              </w:rPr>
            </w:pPr>
            <w:r>
              <w:rPr>
                <w:rFonts w:hint="eastAsia" w:ascii="宋体" w:hAnsi="宋体" w:cs="宋体"/>
                <w:bCs/>
                <w:color w:val="000000" w:themeColor="text1"/>
                <w:szCs w:val="21"/>
                <w14:textFill>
                  <w14:solidFill>
                    <w14:schemeClr w14:val="tx1"/>
                  </w14:solidFill>
                </w14:textFill>
              </w:rPr>
              <w:t>7200</w:t>
            </w:r>
          </w:p>
        </w:tc>
        <w:tc>
          <w:tcPr>
            <w:tcW w:w="322" w:type="pct"/>
            <w:vMerge w:val="restart"/>
            <w:vAlign w:val="center"/>
          </w:tcPr>
          <w:p w14:paraId="39F75813">
            <w:pPr>
              <w:adjustRightInd w:val="0"/>
              <w:snapToGrid w:val="0"/>
              <w:spacing w:line="300" w:lineRule="exact"/>
              <w:jc w:val="center"/>
              <w:rPr>
                <w:rFonts w:hint="eastAsia" w:ascii="宋体" w:hAnsi="宋体" w:cs="宋体"/>
                <w:bCs/>
                <w:color w:val="000000" w:themeColor="text1"/>
                <w:szCs w:val="21"/>
                <w14:textFill>
                  <w14:solidFill>
                    <w14:schemeClr w14:val="tx1"/>
                  </w14:solidFill>
                </w14:textFill>
              </w:rPr>
            </w:pPr>
            <w:r>
              <w:rPr>
                <w:rFonts w:hint="eastAsia" w:ascii="宋体" w:hAnsi="宋体" w:cs="宋体"/>
                <w:bCs/>
                <w:color w:val="000000" w:themeColor="text1"/>
                <w:szCs w:val="21"/>
                <w14:textFill>
                  <w14:solidFill>
                    <w14:schemeClr w14:val="tx1"/>
                  </w14:solidFill>
                </w14:textFill>
              </w:rPr>
              <w:t>正常工况</w:t>
            </w:r>
          </w:p>
        </w:tc>
        <w:tc>
          <w:tcPr>
            <w:tcW w:w="392" w:type="pct"/>
            <w:vAlign w:val="center"/>
          </w:tcPr>
          <w:p w14:paraId="60FAB1C8">
            <w:pPr>
              <w:adjustRightInd w:val="0"/>
              <w:snapToGrid w:val="0"/>
              <w:spacing w:line="300" w:lineRule="exact"/>
              <w:jc w:val="center"/>
              <w:rPr>
                <w:rFonts w:hint="eastAsia" w:ascii="宋体" w:hAnsi="宋体" w:cs="宋体"/>
                <w:bCs/>
                <w:color w:val="000000" w:themeColor="text1"/>
                <w:szCs w:val="21"/>
                <w14:textFill>
                  <w14:solidFill>
                    <w14:schemeClr w14:val="tx1"/>
                  </w14:solidFill>
                </w14:textFill>
              </w:rPr>
            </w:pPr>
            <w:r>
              <w:rPr>
                <w:rFonts w:hint="eastAsia" w:ascii="宋体" w:hAnsi="宋体" w:cs="宋体"/>
                <w:bCs/>
                <w:color w:val="000000" w:themeColor="text1"/>
                <w:szCs w:val="21"/>
                <w14:textFill>
                  <w14:solidFill>
                    <w14:schemeClr w14:val="tx1"/>
                  </w14:solidFill>
                </w14:textFill>
              </w:rPr>
              <w:t>0.098</w:t>
            </w:r>
          </w:p>
        </w:tc>
        <w:tc>
          <w:tcPr>
            <w:tcW w:w="485" w:type="pct"/>
            <w:vAlign w:val="center"/>
          </w:tcPr>
          <w:p w14:paraId="0C83408B">
            <w:pPr>
              <w:adjustRightInd w:val="0"/>
              <w:snapToGrid w:val="0"/>
              <w:spacing w:line="300" w:lineRule="exact"/>
              <w:jc w:val="center"/>
              <w:rPr>
                <w:rFonts w:hint="eastAsia" w:ascii="宋体" w:hAnsi="宋体" w:cs="宋体"/>
                <w:bCs/>
                <w:color w:val="000000" w:themeColor="text1"/>
                <w:szCs w:val="21"/>
                <w14:textFill>
                  <w14:solidFill>
                    <w14:schemeClr w14:val="tx1"/>
                  </w14:solidFill>
                </w14:textFill>
              </w:rPr>
            </w:pPr>
            <w:r>
              <w:rPr>
                <w:rFonts w:hint="eastAsia" w:ascii="宋体" w:hAnsi="宋体" w:cs="宋体"/>
                <w:bCs/>
                <w:color w:val="000000" w:themeColor="text1"/>
                <w:szCs w:val="21"/>
                <w14:textFill>
                  <w14:solidFill>
                    <w14:schemeClr w14:val="tx1"/>
                  </w14:solidFill>
                </w14:textFill>
              </w:rPr>
              <w:t>0.0136</w:t>
            </w:r>
          </w:p>
        </w:tc>
        <w:tc>
          <w:tcPr>
            <w:tcW w:w="455" w:type="pct"/>
            <w:vAlign w:val="center"/>
          </w:tcPr>
          <w:p w14:paraId="224FC3C7">
            <w:pPr>
              <w:adjustRightInd w:val="0"/>
              <w:snapToGrid w:val="0"/>
              <w:spacing w:line="300" w:lineRule="exact"/>
              <w:jc w:val="center"/>
              <w:rPr>
                <w:rFonts w:hint="eastAsia" w:ascii="宋体" w:hAnsi="宋体" w:cs="宋体"/>
                <w:bCs/>
                <w:color w:val="000000" w:themeColor="text1"/>
                <w:szCs w:val="21"/>
                <w14:textFill>
                  <w14:solidFill>
                    <w14:schemeClr w14:val="tx1"/>
                  </w14:solidFill>
                </w14:textFill>
              </w:rPr>
            </w:pPr>
            <w:r>
              <w:rPr>
                <w:rFonts w:hint="eastAsia" w:ascii="宋体" w:hAnsi="宋体" w:cs="宋体"/>
                <w:bCs/>
                <w:color w:val="000000" w:themeColor="text1"/>
                <w:szCs w:val="21"/>
                <w14:textFill>
                  <w14:solidFill>
                    <w14:schemeClr w14:val="tx1"/>
                  </w14:solidFill>
                </w14:textFill>
              </w:rPr>
              <w:t>0.026</w:t>
            </w:r>
          </w:p>
        </w:tc>
        <w:tc>
          <w:tcPr>
            <w:tcW w:w="664" w:type="pct"/>
            <w:vAlign w:val="center"/>
          </w:tcPr>
          <w:p w14:paraId="6916745E">
            <w:pPr>
              <w:adjustRightInd w:val="0"/>
              <w:snapToGrid w:val="0"/>
              <w:spacing w:line="300" w:lineRule="exact"/>
              <w:jc w:val="center"/>
              <w:rPr>
                <w:rFonts w:hint="eastAsia" w:ascii="宋体" w:hAnsi="宋体" w:cs="宋体"/>
                <w:bCs/>
                <w:color w:val="000000" w:themeColor="text1"/>
                <w:szCs w:val="21"/>
                <w14:textFill>
                  <w14:solidFill>
                    <w14:schemeClr w14:val="tx1"/>
                  </w14:solidFill>
                </w14:textFill>
              </w:rPr>
            </w:pPr>
            <w:r>
              <w:rPr>
                <w:rFonts w:hint="eastAsia" w:ascii="宋体" w:hAnsi="宋体" w:cs="宋体"/>
                <w:bCs/>
                <w:color w:val="000000" w:themeColor="text1"/>
                <w:szCs w:val="21"/>
                <w14:textFill>
                  <w14:solidFill>
                    <w14:schemeClr w14:val="tx1"/>
                  </w14:solidFill>
                </w14:textFill>
              </w:rPr>
              <w:t>0.0000036</w:t>
            </w:r>
          </w:p>
        </w:tc>
      </w:tr>
      <w:tr w14:paraId="65BCAC8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62" w:type="pct"/>
            <w:vAlign w:val="center"/>
          </w:tcPr>
          <w:p w14:paraId="1B80201C">
            <w:pPr>
              <w:adjustRightInd w:val="0"/>
              <w:snapToGrid w:val="0"/>
              <w:spacing w:line="300" w:lineRule="exact"/>
              <w:jc w:val="center"/>
              <w:rPr>
                <w:rFonts w:hint="eastAsia" w:ascii="宋体" w:hAnsi="宋体" w:cs="宋体"/>
                <w:bCs/>
                <w:color w:val="000000" w:themeColor="text1"/>
                <w:szCs w:val="21"/>
                <w14:textFill>
                  <w14:solidFill>
                    <w14:schemeClr w14:val="tx1"/>
                  </w14:solidFill>
                </w14:textFill>
              </w:rPr>
            </w:pPr>
            <w:r>
              <w:rPr>
                <w:rFonts w:hint="eastAsia" w:ascii="宋体" w:hAnsi="宋体" w:cs="宋体"/>
                <w:bCs/>
                <w:color w:val="000000" w:themeColor="text1"/>
                <w:szCs w:val="21"/>
                <w14:textFill>
                  <w14:solidFill>
                    <w14:schemeClr w14:val="tx1"/>
                  </w14:solidFill>
                </w14:textFill>
              </w:rPr>
              <w:t>预处理注入站</w:t>
            </w:r>
          </w:p>
        </w:tc>
        <w:tc>
          <w:tcPr>
            <w:tcW w:w="424" w:type="pct"/>
            <w:vAlign w:val="center"/>
          </w:tcPr>
          <w:p w14:paraId="1D5CA352">
            <w:pPr>
              <w:adjustRightInd w:val="0"/>
              <w:snapToGrid w:val="0"/>
              <w:spacing w:line="300" w:lineRule="exact"/>
              <w:jc w:val="center"/>
              <w:rPr>
                <w:rFonts w:hint="eastAsia" w:ascii="宋体" w:hAnsi="宋体" w:cs="宋体"/>
                <w:bCs/>
                <w:color w:val="000000" w:themeColor="text1"/>
                <w:szCs w:val="21"/>
                <w14:textFill>
                  <w14:solidFill>
                    <w14:schemeClr w14:val="tx1"/>
                  </w14:solidFill>
                </w14:textFill>
              </w:rPr>
            </w:pPr>
            <w:r>
              <w:rPr>
                <w:rFonts w:hint="eastAsia" w:ascii="宋体" w:hAnsi="宋体" w:cs="宋体"/>
                <w:bCs/>
                <w:color w:val="000000" w:themeColor="text1"/>
                <w:szCs w:val="21"/>
                <w14:textFill>
                  <w14:solidFill>
                    <w14:schemeClr w14:val="tx1"/>
                  </w14:solidFill>
                </w14:textFill>
              </w:rPr>
              <w:t>640</w:t>
            </w:r>
          </w:p>
        </w:tc>
        <w:tc>
          <w:tcPr>
            <w:tcW w:w="424" w:type="pct"/>
            <w:vAlign w:val="center"/>
          </w:tcPr>
          <w:p w14:paraId="05F24FC4">
            <w:pPr>
              <w:adjustRightInd w:val="0"/>
              <w:snapToGrid w:val="0"/>
              <w:spacing w:line="300" w:lineRule="exact"/>
              <w:jc w:val="center"/>
              <w:rPr>
                <w:rFonts w:hint="eastAsia" w:ascii="宋体" w:hAnsi="宋体" w:cs="宋体"/>
                <w:bCs/>
                <w:color w:val="000000" w:themeColor="text1"/>
                <w:szCs w:val="21"/>
                <w14:textFill>
                  <w14:solidFill>
                    <w14:schemeClr w14:val="tx1"/>
                  </w14:solidFill>
                </w14:textFill>
              </w:rPr>
            </w:pPr>
            <w:r>
              <w:rPr>
                <w:rFonts w:hint="eastAsia" w:ascii="宋体" w:hAnsi="宋体" w:cs="宋体"/>
                <w:bCs/>
                <w:color w:val="000000" w:themeColor="text1"/>
                <w:szCs w:val="21"/>
                <w14:textFill>
                  <w14:solidFill>
                    <w14:schemeClr w14:val="tx1"/>
                  </w14:solidFill>
                </w14:textFill>
              </w:rPr>
              <w:t>79</w:t>
            </w:r>
          </w:p>
        </w:tc>
        <w:tc>
          <w:tcPr>
            <w:tcW w:w="424" w:type="pct"/>
            <w:vAlign w:val="center"/>
          </w:tcPr>
          <w:p w14:paraId="3BEAD6EA">
            <w:pPr>
              <w:adjustRightInd w:val="0"/>
              <w:snapToGrid w:val="0"/>
              <w:spacing w:line="300" w:lineRule="exact"/>
              <w:jc w:val="center"/>
              <w:rPr>
                <w:rFonts w:hint="eastAsia" w:ascii="宋体" w:hAnsi="宋体" w:cs="宋体"/>
                <w:bCs/>
                <w:color w:val="000000" w:themeColor="text1"/>
                <w:szCs w:val="21"/>
                <w14:textFill>
                  <w14:solidFill>
                    <w14:schemeClr w14:val="tx1"/>
                  </w14:solidFill>
                </w14:textFill>
              </w:rPr>
            </w:pPr>
            <w:r>
              <w:rPr>
                <w:rFonts w:hint="eastAsia" w:ascii="宋体" w:hAnsi="宋体" w:cs="宋体"/>
                <w:bCs/>
                <w:color w:val="000000" w:themeColor="text1"/>
                <w:szCs w:val="21"/>
                <w14:textFill>
                  <w14:solidFill>
                    <w14:schemeClr w14:val="tx1"/>
                  </w14:solidFill>
                </w14:textFill>
              </w:rPr>
              <w:t>39</w:t>
            </w:r>
          </w:p>
        </w:tc>
        <w:tc>
          <w:tcPr>
            <w:tcW w:w="424" w:type="pct"/>
            <w:vAlign w:val="center"/>
          </w:tcPr>
          <w:p w14:paraId="3B439823">
            <w:pPr>
              <w:adjustRightInd w:val="0"/>
              <w:snapToGrid w:val="0"/>
              <w:spacing w:line="300" w:lineRule="exact"/>
              <w:jc w:val="center"/>
              <w:rPr>
                <w:rFonts w:hint="eastAsia" w:ascii="宋体" w:hAnsi="宋体" w:cs="宋体"/>
                <w:bCs/>
                <w:color w:val="000000" w:themeColor="text1"/>
                <w:szCs w:val="21"/>
                <w14:textFill>
                  <w14:solidFill>
                    <w14:schemeClr w14:val="tx1"/>
                  </w14:solidFill>
                </w14:textFill>
              </w:rPr>
            </w:pPr>
            <w:r>
              <w:rPr>
                <w:rFonts w:hint="eastAsia" w:ascii="宋体" w:hAnsi="宋体" w:cs="宋体"/>
                <w:bCs/>
                <w:color w:val="000000" w:themeColor="text1"/>
                <w:szCs w:val="21"/>
                <w14:textFill>
                  <w14:solidFill>
                    <w14:schemeClr w14:val="tx1"/>
                  </w14:solidFill>
                </w14:textFill>
              </w:rPr>
              <w:t>5</w:t>
            </w:r>
          </w:p>
        </w:tc>
        <w:tc>
          <w:tcPr>
            <w:tcW w:w="424" w:type="pct"/>
            <w:vAlign w:val="center"/>
          </w:tcPr>
          <w:p w14:paraId="2B305B58">
            <w:pPr>
              <w:adjustRightInd w:val="0"/>
              <w:snapToGrid w:val="0"/>
              <w:spacing w:line="300" w:lineRule="exact"/>
              <w:jc w:val="center"/>
              <w:rPr>
                <w:rFonts w:hint="eastAsia" w:ascii="宋体" w:hAnsi="宋体" w:cs="宋体"/>
                <w:bCs/>
                <w:color w:val="000000" w:themeColor="text1"/>
                <w:szCs w:val="21"/>
                <w14:textFill>
                  <w14:solidFill>
                    <w14:schemeClr w14:val="tx1"/>
                  </w14:solidFill>
                </w14:textFill>
              </w:rPr>
            </w:pPr>
            <w:r>
              <w:rPr>
                <w:rFonts w:hint="eastAsia" w:ascii="宋体" w:hAnsi="宋体" w:cs="宋体"/>
                <w:bCs/>
                <w:color w:val="000000" w:themeColor="text1"/>
                <w:szCs w:val="21"/>
                <w14:textFill>
                  <w14:solidFill>
                    <w14:schemeClr w14:val="tx1"/>
                  </w14:solidFill>
                </w14:textFill>
              </w:rPr>
              <w:t>7200</w:t>
            </w:r>
          </w:p>
        </w:tc>
        <w:tc>
          <w:tcPr>
            <w:tcW w:w="322" w:type="pct"/>
            <w:vMerge w:val="continue"/>
            <w:vAlign w:val="center"/>
          </w:tcPr>
          <w:p w14:paraId="792D16A2">
            <w:pPr>
              <w:adjustRightInd w:val="0"/>
              <w:snapToGrid w:val="0"/>
              <w:spacing w:line="300" w:lineRule="exact"/>
              <w:jc w:val="center"/>
              <w:rPr>
                <w:rFonts w:hint="eastAsia" w:ascii="宋体" w:hAnsi="宋体" w:cs="宋体"/>
                <w:bCs/>
                <w:color w:val="000000" w:themeColor="text1"/>
                <w:szCs w:val="21"/>
                <w14:textFill>
                  <w14:solidFill>
                    <w14:schemeClr w14:val="tx1"/>
                  </w14:solidFill>
                </w14:textFill>
              </w:rPr>
            </w:pPr>
          </w:p>
        </w:tc>
        <w:tc>
          <w:tcPr>
            <w:tcW w:w="392" w:type="pct"/>
            <w:vAlign w:val="center"/>
          </w:tcPr>
          <w:p w14:paraId="51CA329F">
            <w:pPr>
              <w:adjustRightInd w:val="0"/>
              <w:snapToGrid w:val="0"/>
              <w:spacing w:line="300" w:lineRule="exact"/>
              <w:jc w:val="center"/>
              <w:rPr>
                <w:rFonts w:hint="eastAsia" w:ascii="宋体" w:hAnsi="宋体" w:cs="宋体"/>
                <w:bCs/>
                <w:color w:val="000000" w:themeColor="text1"/>
                <w:szCs w:val="21"/>
                <w14:textFill>
                  <w14:solidFill>
                    <w14:schemeClr w14:val="tx1"/>
                  </w14:solidFill>
                </w14:textFill>
              </w:rPr>
            </w:pPr>
            <w:r>
              <w:rPr>
                <w:rFonts w:hint="eastAsia" w:ascii="宋体" w:hAnsi="宋体" w:cs="宋体"/>
                <w:bCs/>
                <w:color w:val="000000" w:themeColor="text1"/>
                <w:szCs w:val="21"/>
                <w14:textFill>
                  <w14:solidFill>
                    <w14:schemeClr w14:val="tx1"/>
                  </w14:solidFill>
                </w14:textFill>
              </w:rPr>
              <w:t>1.24</w:t>
            </w:r>
          </w:p>
        </w:tc>
        <w:tc>
          <w:tcPr>
            <w:tcW w:w="485" w:type="pct"/>
            <w:vAlign w:val="center"/>
          </w:tcPr>
          <w:p w14:paraId="5504DBA5">
            <w:pPr>
              <w:adjustRightInd w:val="0"/>
              <w:snapToGrid w:val="0"/>
              <w:spacing w:line="300" w:lineRule="exact"/>
              <w:jc w:val="center"/>
              <w:rPr>
                <w:rFonts w:hint="eastAsia" w:ascii="宋体" w:hAnsi="宋体" w:cs="宋体"/>
                <w:bCs/>
                <w:color w:val="000000" w:themeColor="text1"/>
                <w:szCs w:val="21"/>
                <w14:textFill>
                  <w14:solidFill>
                    <w14:schemeClr w14:val="tx1"/>
                  </w14:solidFill>
                </w14:textFill>
              </w:rPr>
            </w:pPr>
            <w:r>
              <w:rPr>
                <w:rFonts w:hint="eastAsia" w:ascii="宋体" w:hAnsi="宋体" w:cs="宋体"/>
                <w:bCs/>
                <w:color w:val="000000" w:themeColor="text1"/>
                <w:szCs w:val="21"/>
                <w14:textFill>
                  <w14:solidFill>
                    <w14:schemeClr w14:val="tx1"/>
                  </w14:solidFill>
                </w14:textFill>
              </w:rPr>
              <w:t>0.176</w:t>
            </w:r>
          </w:p>
        </w:tc>
        <w:tc>
          <w:tcPr>
            <w:tcW w:w="455" w:type="pct"/>
            <w:vAlign w:val="center"/>
          </w:tcPr>
          <w:p w14:paraId="366B39A2">
            <w:pPr>
              <w:adjustRightInd w:val="0"/>
              <w:snapToGrid w:val="0"/>
              <w:spacing w:line="300" w:lineRule="exact"/>
              <w:jc w:val="center"/>
              <w:rPr>
                <w:rFonts w:hint="eastAsia" w:ascii="宋体" w:hAnsi="宋体" w:cs="宋体"/>
                <w:bCs/>
                <w:color w:val="000000" w:themeColor="text1"/>
                <w:szCs w:val="21"/>
                <w14:textFill>
                  <w14:solidFill>
                    <w14:schemeClr w14:val="tx1"/>
                  </w14:solidFill>
                </w14:textFill>
              </w:rPr>
            </w:pPr>
            <w:r>
              <w:rPr>
                <w:rFonts w:hint="eastAsia" w:ascii="宋体" w:hAnsi="宋体" w:cs="宋体"/>
                <w:bCs/>
                <w:color w:val="000000" w:themeColor="text1"/>
                <w:szCs w:val="21"/>
                <w14:textFill>
                  <w14:solidFill>
                    <w14:schemeClr w14:val="tx1"/>
                  </w14:solidFill>
                </w14:textFill>
              </w:rPr>
              <w:t>0.333</w:t>
            </w:r>
          </w:p>
        </w:tc>
        <w:tc>
          <w:tcPr>
            <w:tcW w:w="664" w:type="pct"/>
            <w:vAlign w:val="center"/>
          </w:tcPr>
          <w:p w14:paraId="4A8EDCE2">
            <w:pPr>
              <w:adjustRightInd w:val="0"/>
              <w:snapToGrid w:val="0"/>
              <w:spacing w:line="300" w:lineRule="exact"/>
              <w:jc w:val="center"/>
              <w:rPr>
                <w:rFonts w:hint="eastAsia" w:ascii="宋体" w:hAnsi="宋体" w:cs="宋体"/>
                <w:bCs/>
                <w:color w:val="000000" w:themeColor="text1"/>
                <w:szCs w:val="21"/>
                <w14:textFill>
                  <w14:solidFill>
                    <w14:schemeClr w14:val="tx1"/>
                  </w14:solidFill>
                </w14:textFill>
              </w:rPr>
            </w:pPr>
            <w:r>
              <w:rPr>
                <w:rFonts w:hint="eastAsia" w:ascii="宋体" w:hAnsi="宋体" w:cs="宋体"/>
                <w:bCs/>
                <w:color w:val="000000" w:themeColor="text1"/>
                <w:szCs w:val="21"/>
                <w14:textFill>
                  <w14:solidFill>
                    <w14:schemeClr w14:val="tx1"/>
                  </w14:solidFill>
                </w14:textFill>
              </w:rPr>
              <w:t>0.0000463</w:t>
            </w:r>
          </w:p>
        </w:tc>
      </w:tr>
    </w:tbl>
    <w:p w14:paraId="1234B75A">
      <w:pPr>
        <w:pStyle w:val="117"/>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（6）预测结果</w:t>
      </w:r>
    </w:p>
    <w:p w14:paraId="0B6AC387">
      <w:pPr>
        <w:pStyle w:val="191"/>
        <w:adjustRightInd w:val="0"/>
        <w:snapToGrid w:val="0"/>
        <w:ind w:firstLine="480"/>
        <w:rPr>
          <w:rFonts w:hint="eastAsia"/>
          <w:color w:val="000000" w:themeColor="text1"/>
          <w:lang w:bidi="ar"/>
          <w14:textFill>
            <w14:solidFill>
              <w14:schemeClr w14:val="tx1"/>
            </w14:solidFill>
          </w14:textFill>
        </w:rPr>
      </w:pPr>
      <w:r>
        <w:rPr>
          <w:rFonts w:hint="eastAsia"/>
          <w:color w:val="000000" w:themeColor="text1"/>
          <w14:textFill>
            <w14:solidFill>
              <w14:schemeClr w14:val="tx1"/>
            </w14:solidFill>
          </w14:textFill>
        </w:rPr>
        <w:t>预测结果详见表2.6-</w:t>
      </w:r>
      <w:r>
        <w:rPr>
          <w:color w:val="000000" w:themeColor="text1"/>
          <w14:textFill>
            <w14:solidFill>
              <w14:schemeClr w14:val="tx1"/>
            </w14:solidFill>
          </w14:textFill>
        </w:rPr>
        <w:t>5</w:t>
      </w:r>
      <w:r>
        <w:rPr>
          <w:rFonts w:hint="eastAsia"/>
          <w:color w:val="000000" w:themeColor="text1"/>
          <w14:textFill>
            <w14:solidFill>
              <w14:schemeClr w14:val="tx1"/>
            </w14:solidFill>
          </w14:textFill>
        </w:rPr>
        <w:t>。</w:t>
      </w:r>
    </w:p>
    <w:p w14:paraId="19DBBEA1">
      <w:pPr>
        <w:pStyle w:val="109"/>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表2.</w:t>
      </w:r>
      <w:r>
        <w:rPr>
          <w:color w:val="000000" w:themeColor="text1"/>
          <w14:textFill>
            <w14:solidFill>
              <w14:schemeClr w14:val="tx1"/>
            </w14:solidFill>
          </w14:textFill>
        </w:rPr>
        <w:t>6</w:t>
      </w:r>
      <w:r>
        <w:rPr>
          <w:rFonts w:hint="eastAsia"/>
          <w:color w:val="000000" w:themeColor="text1"/>
          <w14:textFill>
            <w14:solidFill>
              <w14:schemeClr w14:val="tx1"/>
            </w14:solidFill>
          </w14:textFill>
        </w:rPr>
        <w:t>-5  大气污染物最大落地浓度及占标率估算结果一览表</w:t>
      </w:r>
    </w:p>
    <w:tbl>
      <w:tblPr>
        <w:tblStyle w:val="425"/>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1868"/>
        <w:gridCol w:w="1322"/>
        <w:gridCol w:w="1954"/>
        <w:gridCol w:w="1854"/>
        <w:gridCol w:w="1948"/>
      </w:tblGrid>
      <w:tr w14:paraId="24C49FA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1044" w:type="pct"/>
            <w:vAlign w:val="center"/>
          </w:tcPr>
          <w:p w14:paraId="1E2CDCE3">
            <w:pPr>
              <w:adjustRightInd w:val="0"/>
              <w:snapToGrid w:val="0"/>
              <w:spacing w:line="300" w:lineRule="exact"/>
              <w:jc w:val="center"/>
              <w:textAlignment w:val="baseline"/>
              <w:rPr>
                <w:rFonts w:hint="eastAsia"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平台号</w:t>
            </w:r>
          </w:p>
        </w:tc>
        <w:tc>
          <w:tcPr>
            <w:tcW w:w="739" w:type="pct"/>
            <w:vAlign w:val="center"/>
          </w:tcPr>
          <w:p w14:paraId="3A22C55C">
            <w:pPr>
              <w:adjustRightInd w:val="0"/>
              <w:snapToGrid w:val="0"/>
              <w:spacing w:line="300" w:lineRule="exact"/>
              <w:jc w:val="center"/>
              <w:textAlignment w:val="baseline"/>
              <w:rPr>
                <w:rFonts w:hint="eastAsia"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污染因子</w:t>
            </w:r>
          </w:p>
        </w:tc>
        <w:tc>
          <w:tcPr>
            <w:tcW w:w="1092" w:type="pct"/>
            <w:vAlign w:val="center"/>
          </w:tcPr>
          <w:p w14:paraId="62FA2C8B">
            <w:pPr>
              <w:adjustRightInd w:val="0"/>
              <w:snapToGrid w:val="0"/>
              <w:spacing w:line="300" w:lineRule="exact"/>
              <w:jc w:val="center"/>
              <w:textAlignment w:val="baseline"/>
              <w:rPr>
                <w:rFonts w:hint="eastAsia"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最大落地浓度</w:t>
            </w:r>
          </w:p>
          <w:p w14:paraId="328BAD55">
            <w:pPr>
              <w:adjustRightInd w:val="0"/>
              <w:snapToGrid w:val="0"/>
              <w:spacing w:line="300" w:lineRule="exact"/>
              <w:jc w:val="center"/>
              <w:textAlignment w:val="baseline"/>
              <w:rPr>
                <w:rFonts w:hint="eastAsia"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（μg/m</w:t>
            </w:r>
            <w:r>
              <w:rPr>
                <w:rFonts w:hint="eastAsia" w:ascii="宋体" w:hAnsi="宋体"/>
                <w:color w:val="000000" w:themeColor="text1"/>
                <w:kern w:val="0"/>
                <w:szCs w:val="21"/>
                <w:vertAlign w:val="superscript"/>
                <w14:textFill>
                  <w14:solidFill>
                    <w14:schemeClr w14:val="tx1"/>
                  </w14:solidFill>
                </w14:textFill>
              </w:rPr>
              <w:t>3</w:t>
            </w:r>
            <w:r>
              <w:rPr>
                <w:rFonts w:hint="eastAsia" w:ascii="宋体" w:hAnsi="宋体"/>
                <w:color w:val="000000" w:themeColor="text1"/>
                <w:kern w:val="0"/>
                <w:szCs w:val="21"/>
                <w14:textFill>
                  <w14:solidFill>
                    <w14:schemeClr w14:val="tx1"/>
                  </w14:solidFill>
                </w14:textFill>
              </w:rPr>
              <w:t>）</w:t>
            </w:r>
          </w:p>
        </w:tc>
        <w:tc>
          <w:tcPr>
            <w:tcW w:w="1036" w:type="pct"/>
            <w:vAlign w:val="center"/>
          </w:tcPr>
          <w:p w14:paraId="338571BE">
            <w:pPr>
              <w:adjustRightInd w:val="0"/>
              <w:snapToGrid w:val="0"/>
              <w:spacing w:line="300" w:lineRule="exact"/>
              <w:jc w:val="center"/>
              <w:textAlignment w:val="baseline"/>
              <w:rPr>
                <w:rFonts w:hint="eastAsia"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最大浓度占标率（%</w:t>
            </w:r>
            <w:r>
              <w:rPr>
                <w:rFonts w:ascii="宋体" w:hAnsi="宋体"/>
                <w:color w:val="000000" w:themeColor="text1"/>
                <w:kern w:val="0"/>
                <w:szCs w:val="21"/>
                <w14:textFill>
                  <w14:solidFill>
                    <w14:schemeClr w14:val="tx1"/>
                  </w14:solidFill>
                </w14:textFill>
              </w:rPr>
              <w:t>）</w:t>
            </w:r>
          </w:p>
        </w:tc>
        <w:tc>
          <w:tcPr>
            <w:tcW w:w="1089" w:type="pct"/>
            <w:vAlign w:val="center"/>
          </w:tcPr>
          <w:p w14:paraId="21695407">
            <w:pPr>
              <w:adjustRightInd w:val="0"/>
              <w:snapToGrid w:val="0"/>
              <w:spacing w:line="300" w:lineRule="exact"/>
              <w:jc w:val="center"/>
              <w:textAlignment w:val="baseline"/>
              <w:rPr>
                <w:rFonts w:hint="eastAsia"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最大落地浓度</w:t>
            </w:r>
          </w:p>
          <w:p w14:paraId="60C94764">
            <w:pPr>
              <w:adjustRightInd w:val="0"/>
              <w:snapToGrid w:val="0"/>
              <w:spacing w:line="300" w:lineRule="exact"/>
              <w:jc w:val="center"/>
              <w:textAlignment w:val="baseline"/>
              <w:rPr>
                <w:rFonts w:hint="eastAsia"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对应距离（m）</w:t>
            </w:r>
          </w:p>
        </w:tc>
      </w:tr>
      <w:tr w14:paraId="67B1B25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1044" w:type="pct"/>
            <w:vMerge w:val="restart"/>
            <w:vAlign w:val="center"/>
          </w:tcPr>
          <w:p w14:paraId="262E42E2">
            <w:pPr>
              <w:adjustRightInd w:val="0"/>
              <w:snapToGrid w:val="0"/>
              <w:spacing w:line="300" w:lineRule="exact"/>
              <w:jc w:val="center"/>
              <w:textAlignment w:val="baseline"/>
              <w:rPr>
                <w:rFonts w:hint="eastAsia" w:ascii="宋体" w:hAnsi="宋体" w:cs="宋体"/>
                <w:snapToGrid w:val="0"/>
                <w:color w:val="000000" w:themeColor="text1"/>
                <w:kern w:val="0"/>
                <w:szCs w:val="21"/>
                <w14:textFill>
                  <w14:solidFill>
                    <w14:schemeClr w14:val="tx1"/>
                  </w14:solidFill>
                </w14:textFill>
              </w:rPr>
            </w:pPr>
            <w:r>
              <w:rPr>
                <w:rFonts w:hint="eastAsia" w:ascii="宋体" w:hAnsi="宋体" w:cs="宋体"/>
                <w:snapToGrid w:val="0"/>
                <w:color w:val="000000" w:themeColor="text1"/>
                <w:kern w:val="0"/>
                <w:szCs w:val="21"/>
                <w14:textFill>
                  <w14:solidFill>
                    <w14:schemeClr w14:val="tx1"/>
                  </w14:solidFill>
                </w14:textFill>
              </w:rPr>
              <w:t>1号计量站</w:t>
            </w:r>
          </w:p>
        </w:tc>
        <w:tc>
          <w:tcPr>
            <w:tcW w:w="739" w:type="pct"/>
            <w:vAlign w:val="center"/>
          </w:tcPr>
          <w:p w14:paraId="57C890D2">
            <w:pPr>
              <w:adjustRightInd w:val="0"/>
              <w:snapToGrid w:val="0"/>
              <w:spacing w:line="300" w:lineRule="exact"/>
              <w:jc w:val="center"/>
              <w:textAlignment w:val="baseline"/>
              <w:rPr>
                <w:rFonts w:hint="eastAsia" w:ascii="宋体" w:hAnsi="宋体" w:cs="宋体"/>
                <w:color w:val="000000" w:themeColor="text1"/>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N</w:t>
            </w:r>
            <w:r>
              <w:rPr>
                <w:rFonts w:ascii="宋体" w:hAnsi="宋体"/>
                <w:color w:val="000000" w:themeColor="text1"/>
                <w:kern w:val="0"/>
                <w:szCs w:val="21"/>
                <w14:textFill>
                  <w14:solidFill>
                    <w14:schemeClr w14:val="tx1"/>
                  </w14:solidFill>
                </w14:textFill>
              </w:rPr>
              <w:t>MHC</w:t>
            </w:r>
          </w:p>
        </w:tc>
        <w:tc>
          <w:tcPr>
            <w:tcW w:w="1092" w:type="pct"/>
            <w:vAlign w:val="center"/>
          </w:tcPr>
          <w:p w14:paraId="4468B562">
            <w:pPr>
              <w:adjustRightInd w:val="0"/>
              <w:snapToGrid w:val="0"/>
              <w:spacing w:line="300" w:lineRule="exact"/>
              <w:jc w:val="center"/>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51.717</w:t>
            </w:r>
          </w:p>
        </w:tc>
        <w:tc>
          <w:tcPr>
            <w:tcW w:w="1036" w:type="pct"/>
            <w:vAlign w:val="center"/>
          </w:tcPr>
          <w:p w14:paraId="00035C6D">
            <w:pPr>
              <w:adjustRightInd w:val="0"/>
              <w:snapToGrid w:val="0"/>
              <w:spacing w:line="300" w:lineRule="exact"/>
              <w:jc w:val="center"/>
              <w:textAlignment w:val="baseline"/>
              <w:rPr>
                <w:rFonts w:hint="eastAsia"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2.59</w:t>
            </w:r>
          </w:p>
        </w:tc>
        <w:tc>
          <w:tcPr>
            <w:tcW w:w="1089" w:type="pct"/>
            <w:vMerge w:val="restart"/>
            <w:vAlign w:val="center"/>
          </w:tcPr>
          <w:p w14:paraId="1BFD83B0">
            <w:pPr>
              <w:adjustRightInd w:val="0"/>
              <w:snapToGrid w:val="0"/>
              <w:spacing w:line="300" w:lineRule="exact"/>
              <w:jc w:val="center"/>
              <w:textAlignment w:val="baseline"/>
              <w:rPr>
                <w:rFonts w:hint="eastAsia"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16</w:t>
            </w:r>
          </w:p>
        </w:tc>
      </w:tr>
      <w:tr w14:paraId="4F5000E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1044" w:type="pct"/>
            <w:vMerge w:val="continue"/>
            <w:vAlign w:val="center"/>
          </w:tcPr>
          <w:p w14:paraId="2714364C">
            <w:pPr>
              <w:adjustRightInd w:val="0"/>
              <w:snapToGrid w:val="0"/>
              <w:spacing w:line="300" w:lineRule="exact"/>
              <w:jc w:val="center"/>
              <w:textAlignment w:val="baseline"/>
              <w:rPr>
                <w:rFonts w:hint="eastAsia" w:ascii="宋体" w:hAnsi="宋体"/>
                <w:color w:val="000000" w:themeColor="text1"/>
                <w:szCs w:val="21"/>
                <w14:textFill>
                  <w14:solidFill>
                    <w14:schemeClr w14:val="tx1"/>
                  </w14:solidFill>
                </w14:textFill>
              </w:rPr>
            </w:pPr>
          </w:p>
        </w:tc>
        <w:tc>
          <w:tcPr>
            <w:tcW w:w="739" w:type="pct"/>
            <w:vAlign w:val="center"/>
          </w:tcPr>
          <w:p w14:paraId="4D73CCB0">
            <w:pPr>
              <w:adjustRightInd w:val="0"/>
              <w:snapToGrid w:val="0"/>
              <w:spacing w:line="300" w:lineRule="exact"/>
              <w:jc w:val="center"/>
              <w:textAlignment w:val="baseline"/>
              <w:rPr>
                <w:rFonts w:hint="eastAsia"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H</w:t>
            </w:r>
            <w:r>
              <w:rPr>
                <w:rFonts w:hint="eastAsia" w:ascii="宋体" w:hAnsi="宋体"/>
                <w:color w:val="000000" w:themeColor="text1"/>
                <w:kern w:val="0"/>
                <w:szCs w:val="21"/>
                <w:vertAlign w:val="subscript"/>
                <w14:textFill>
                  <w14:solidFill>
                    <w14:schemeClr w14:val="tx1"/>
                  </w14:solidFill>
                </w14:textFill>
              </w:rPr>
              <w:t>2</w:t>
            </w:r>
            <w:r>
              <w:rPr>
                <w:rFonts w:hint="eastAsia" w:ascii="宋体" w:hAnsi="宋体"/>
                <w:color w:val="000000" w:themeColor="text1"/>
                <w:kern w:val="0"/>
                <w:szCs w:val="21"/>
                <w14:textFill>
                  <w14:solidFill>
                    <w14:schemeClr w14:val="tx1"/>
                  </w14:solidFill>
                </w14:textFill>
              </w:rPr>
              <w:t>S</w:t>
            </w:r>
          </w:p>
        </w:tc>
        <w:tc>
          <w:tcPr>
            <w:tcW w:w="1092" w:type="pct"/>
            <w:vAlign w:val="center"/>
          </w:tcPr>
          <w:p w14:paraId="6E8055ED">
            <w:pPr>
              <w:adjustRightInd w:val="0"/>
              <w:snapToGrid w:val="0"/>
              <w:spacing w:line="300" w:lineRule="exact"/>
              <w:jc w:val="center"/>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0.0137</w:t>
            </w:r>
          </w:p>
        </w:tc>
        <w:tc>
          <w:tcPr>
            <w:tcW w:w="1036" w:type="pct"/>
            <w:vAlign w:val="center"/>
          </w:tcPr>
          <w:p w14:paraId="4C6D44B5">
            <w:pPr>
              <w:adjustRightInd w:val="0"/>
              <w:snapToGrid w:val="0"/>
              <w:spacing w:line="300" w:lineRule="exact"/>
              <w:jc w:val="center"/>
              <w:textAlignment w:val="baseline"/>
              <w:rPr>
                <w:rFonts w:hint="eastAsia"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0.14</w:t>
            </w:r>
          </w:p>
        </w:tc>
        <w:tc>
          <w:tcPr>
            <w:tcW w:w="1089" w:type="pct"/>
            <w:vMerge w:val="continue"/>
            <w:vAlign w:val="center"/>
          </w:tcPr>
          <w:p w14:paraId="16F1A4E7">
            <w:pPr>
              <w:adjustRightInd w:val="0"/>
              <w:snapToGrid w:val="0"/>
              <w:spacing w:line="300" w:lineRule="exact"/>
              <w:jc w:val="center"/>
              <w:textAlignment w:val="baseline"/>
              <w:rPr>
                <w:rFonts w:hint="eastAsia" w:ascii="宋体" w:hAnsi="宋体"/>
                <w:color w:val="000000" w:themeColor="text1"/>
                <w:kern w:val="0"/>
                <w:szCs w:val="21"/>
                <w14:textFill>
                  <w14:solidFill>
                    <w14:schemeClr w14:val="tx1"/>
                  </w14:solidFill>
                </w14:textFill>
              </w:rPr>
            </w:pPr>
          </w:p>
        </w:tc>
      </w:tr>
      <w:tr w14:paraId="713AF7C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1044" w:type="pct"/>
            <w:vMerge w:val="restart"/>
            <w:vAlign w:val="center"/>
          </w:tcPr>
          <w:p w14:paraId="4B3F15E6">
            <w:pPr>
              <w:adjustRightInd w:val="0"/>
              <w:snapToGrid w:val="0"/>
              <w:spacing w:line="300" w:lineRule="exact"/>
              <w:jc w:val="center"/>
              <w:textAlignment w:val="baseline"/>
              <w:rPr>
                <w:rFonts w:hint="eastAsia" w:ascii="宋体" w:hAnsi="宋体" w:cs="宋体"/>
                <w:snapToGrid w:val="0"/>
                <w:color w:val="000000" w:themeColor="text1"/>
                <w:kern w:val="0"/>
                <w:szCs w:val="21"/>
                <w14:textFill>
                  <w14:solidFill>
                    <w14:schemeClr w14:val="tx1"/>
                  </w14:solidFill>
                </w14:textFill>
              </w:rPr>
            </w:pPr>
            <w:r>
              <w:rPr>
                <w:rFonts w:hint="eastAsia" w:ascii="宋体" w:hAnsi="宋体" w:cs="宋体"/>
                <w:snapToGrid w:val="0"/>
                <w:color w:val="000000" w:themeColor="text1"/>
                <w:kern w:val="0"/>
                <w:szCs w:val="21"/>
                <w14:textFill>
                  <w14:solidFill>
                    <w14:schemeClr w14:val="tx1"/>
                  </w14:solidFill>
                </w14:textFill>
              </w:rPr>
              <w:t>预处理注入站</w:t>
            </w:r>
          </w:p>
        </w:tc>
        <w:tc>
          <w:tcPr>
            <w:tcW w:w="739" w:type="pct"/>
            <w:vAlign w:val="center"/>
          </w:tcPr>
          <w:p w14:paraId="4E38080C">
            <w:pPr>
              <w:adjustRightInd w:val="0"/>
              <w:snapToGrid w:val="0"/>
              <w:spacing w:line="300" w:lineRule="exact"/>
              <w:jc w:val="center"/>
              <w:textAlignment w:val="baseline"/>
              <w:rPr>
                <w:rFonts w:hint="eastAsia"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N</w:t>
            </w:r>
            <w:r>
              <w:rPr>
                <w:rFonts w:ascii="宋体" w:hAnsi="宋体"/>
                <w:color w:val="000000" w:themeColor="text1"/>
                <w:kern w:val="0"/>
                <w:szCs w:val="21"/>
                <w14:textFill>
                  <w14:solidFill>
                    <w14:schemeClr w14:val="tx1"/>
                  </w14:solidFill>
                </w14:textFill>
              </w:rPr>
              <w:t>MHC</w:t>
            </w:r>
          </w:p>
        </w:tc>
        <w:tc>
          <w:tcPr>
            <w:tcW w:w="1092" w:type="pct"/>
            <w:vAlign w:val="center"/>
          </w:tcPr>
          <w:p w14:paraId="569998FD">
            <w:pPr>
              <w:adjustRightInd w:val="0"/>
              <w:snapToGrid w:val="0"/>
              <w:spacing w:line="300" w:lineRule="exact"/>
              <w:jc w:val="center"/>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105.0</w:t>
            </w:r>
          </w:p>
        </w:tc>
        <w:tc>
          <w:tcPr>
            <w:tcW w:w="1036" w:type="pct"/>
            <w:vAlign w:val="center"/>
          </w:tcPr>
          <w:p w14:paraId="5D8EF993">
            <w:pPr>
              <w:adjustRightInd w:val="0"/>
              <w:snapToGrid w:val="0"/>
              <w:spacing w:line="300" w:lineRule="exact"/>
              <w:jc w:val="center"/>
              <w:textAlignment w:val="baseline"/>
              <w:rPr>
                <w:rFonts w:hint="eastAsia"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5.25</w:t>
            </w:r>
          </w:p>
        </w:tc>
        <w:tc>
          <w:tcPr>
            <w:tcW w:w="1089" w:type="pct"/>
            <w:vMerge w:val="restart"/>
            <w:vAlign w:val="center"/>
          </w:tcPr>
          <w:p w14:paraId="51096A2C">
            <w:pPr>
              <w:adjustRightInd w:val="0"/>
              <w:snapToGrid w:val="0"/>
              <w:spacing w:line="300" w:lineRule="exact"/>
              <w:jc w:val="center"/>
              <w:textAlignment w:val="baseline"/>
              <w:rPr>
                <w:rFonts w:hint="eastAsia"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57</w:t>
            </w:r>
          </w:p>
        </w:tc>
      </w:tr>
      <w:tr w14:paraId="7688379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1044" w:type="pct"/>
            <w:vMerge w:val="continue"/>
            <w:vAlign w:val="center"/>
          </w:tcPr>
          <w:p w14:paraId="7E411077">
            <w:pPr>
              <w:adjustRightInd w:val="0"/>
              <w:snapToGrid w:val="0"/>
              <w:spacing w:line="300" w:lineRule="exact"/>
              <w:jc w:val="center"/>
              <w:textAlignment w:val="baseline"/>
              <w:rPr>
                <w:rFonts w:hint="eastAsia" w:ascii="宋体" w:hAnsi="宋体"/>
                <w:color w:val="000000" w:themeColor="text1"/>
                <w:szCs w:val="21"/>
                <w14:textFill>
                  <w14:solidFill>
                    <w14:schemeClr w14:val="tx1"/>
                  </w14:solidFill>
                </w14:textFill>
              </w:rPr>
            </w:pPr>
          </w:p>
        </w:tc>
        <w:tc>
          <w:tcPr>
            <w:tcW w:w="739" w:type="pct"/>
            <w:vAlign w:val="center"/>
          </w:tcPr>
          <w:p w14:paraId="2121B0D3">
            <w:pPr>
              <w:adjustRightInd w:val="0"/>
              <w:snapToGrid w:val="0"/>
              <w:spacing w:line="300" w:lineRule="exact"/>
              <w:jc w:val="center"/>
              <w:textAlignment w:val="baseline"/>
              <w:rPr>
                <w:rFonts w:hint="eastAsia"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H</w:t>
            </w:r>
            <w:r>
              <w:rPr>
                <w:rFonts w:hint="eastAsia" w:ascii="宋体" w:hAnsi="宋体"/>
                <w:color w:val="000000" w:themeColor="text1"/>
                <w:kern w:val="0"/>
                <w:szCs w:val="21"/>
                <w:vertAlign w:val="subscript"/>
                <w14:textFill>
                  <w14:solidFill>
                    <w14:schemeClr w14:val="tx1"/>
                  </w14:solidFill>
                </w14:textFill>
              </w:rPr>
              <w:t>2</w:t>
            </w:r>
            <w:r>
              <w:rPr>
                <w:rFonts w:hint="eastAsia" w:ascii="宋体" w:hAnsi="宋体"/>
                <w:color w:val="000000" w:themeColor="text1"/>
                <w:kern w:val="0"/>
                <w:szCs w:val="21"/>
                <w14:textFill>
                  <w14:solidFill>
                    <w14:schemeClr w14:val="tx1"/>
                  </w14:solidFill>
                </w14:textFill>
              </w:rPr>
              <w:t>S</w:t>
            </w:r>
          </w:p>
        </w:tc>
        <w:tc>
          <w:tcPr>
            <w:tcW w:w="1092" w:type="pct"/>
            <w:vAlign w:val="center"/>
          </w:tcPr>
          <w:p w14:paraId="2489516A">
            <w:pPr>
              <w:adjustRightInd w:val="0"/>
              <w:snapToGrid w:val="0"/>
              <w:spacing w:line="300" w:lineRule="exact"/>
              <w:jc w:val="center"/>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0.028</w:t>
            </w:r>
          </w:p>
        </w:tc>
        <w:tc>
          <w:tcPr>
            <w:tcW w:w="1036" w:type="pct"/>
            <w:vAlign w:val="center"/>
          </w:tcPr>
          <w:p w14:paraId="43052347">
            <w:pPr>
              <w:adjustRightInd w:val="0"/>
              <w:snapToGrid w:val="0"/>
              <w:spacing w:line="300" w:lineRule="exact"/>
              <w:jc w:val="center"/>
              <w:textAlignment w:val="baseline"/>
              <w:rPr>
                <w:rFonts w:hint="eastAsia"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0.28</w:t>
            </w:r>
          </w:p>
        </w:tc>
        <w:tc>
          <w:tcPr>
            <w:tcW w:w="1089" w:type="pct"/>
            <w:vMerge w:val="continue"/>
            <w:vAlign w:val="center"/>
          </w:tcPr>
          <w:p w14:paraId="3727377B">
            <w:pPr>
              <w:adjustRightInd w:val="0"/>
              <w:snapToGrid w:val="0"/>
              <w:spacing w:line="300" w:lineRule="exact"/>
              <w:jc w:val="center"/>
              <w:textAlignment w:val="baseline"/>
              <w:rPr>
                <w:rFonts w:hint="eastAsia" w:ascii="宋体" w:hAnsi="宋体"/>
                <w:color w:val="000000" w:themeColor="text1"/>
                <w:kern w:val="0"/>
                <w:szCs w:val="21"/>
                <w14:textFill>
                  <w14:solidFill>
                    <w14:schemeClr w14:val="tx1"/>
                  </w14:solidFill>
                </w14:textFill>
              </w:rPr>
            </w:pPr>
          </w:p>
        </w:tc>
      </w:tr>
    </w:tbl>
    <w:p w14:paraId="62CA31EA">
      <w:pPr>
        <w:pStyle w:val="191"/>
        <w:adjustRightInd w:val="0"/>
        <w:snapToGrid w:val="0"/>
        <w:ind w:firstLine="480"/>
        <w:rPr>
          <w:rFonts w:hint="eastAsia"/>
          <w:color w:val="000000" w:themeColor="text1"/>
          <w14:textFill>
            <w14:solidFill>
              <w14:schemeClr w14:val="tx1"/>
            </w14:solidFill>
          </w14:textFill>
        </w:rPr>
      </w:pPr>
      <w:bookmarkStart w:id="108" w:name="_Hlk14624692"/>
      <w:bookmarkStart w:id="109" w:name="_Hlk19211933"/>
      <w:r>
        <w:rPr>
          <w:rFonts w:hint="eastAsia"/>
          <w:color w:val="000000" w:themeColor="text1"/>
          <w:lang w:bidi="ar"/>
          <w14:textFill>
            <w14:solidFill>
              <w14:schemeClr w14:val="tx1"/>
            </w14:solidFill>
          </w14:textFill>
        </w:rPr>
        <w:t>由表2.</w:t>
      </w:r>
      <w:r>
        <w:rPr>
          <w:color w:val="000000" w:themeColor="text1"/>
          <w:lang w:bidi="ar"/>
          <w14:textFill>
            <w14:solidFill>
              <w14:schemeClr w14:val="tx1"/>
            </w14:solidFill>
          </w14:textFill>
        </w:rPr>
        <w:t>6</w:t>
      </w:r>
      <w:r>
        <w:rPr>
          <w:rFonts w:hint="eastAsia"/>
          <w:color w:val="000000" w:themeColor="text1"/>
          <w:lang w:bidi="ar"/>
          <w14:textFill>
            <w14:solidFill>
              <w14:schemeClr w14:val="tx1"/>
            </w14:solidFill>
          </w14:textFill>
        </w:rPr>
        <w:t>-5可知：各污染物最大落地浓度占标率最高为5.25%，根据《环境影响评价技术导则  大气环境》（HJ2.2-2018）分级判据（表2.</w:t>
      </w:r>
      <w:r>
        <w:rPr>
          <w:color w:val="000000" w:themeColor="text1"/>
          <w:lang w:bidi="ar"/>
          <w14:textFill>
            <w14:solidFill>
              <w14:schemeClr w14:val="tx1"/>
            </w14:solidFill>
          </w14:textFill>
        </w:rPr>
        <w:t>6</w:t>
      </w:r>
      <w:r>
        <w:rPr>
          <w:rFonts w:hint="eastAsia"/>
          <w:color w:val="000000" w:themeColor="text1"/>
          <w:lang w:bidi="ar"/>
          <w14:textFill>
            <w14:solidFill>
              <w14:schemeClr w14:val="tx1"/>
            </w14:solidFill>
          </w14:textFill>
        </w:rPr>
        <w:t>-6），评价等级判定为二级。</w:t>
      </w:r>
      <w:bookmarkEnd w:id="108"/>
    </w:p>
    <w:p w14:paraId="01E9BA8C">
      <w:pPr>
        <w:pStyle w:val="109"/>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表2.</w:t>
      </w:r>
      <w:r>
        <w:rPr>
          <w:color w:val="000000" w:themeColor="text1"/>
          <w14:textFill>
            <w14:solidFill>
              <w14:schemeClr w14:val="tx1"/>
            </w14:solidFill>
          </w14:textFill>
        </w:rPr>
        <w:t>6</w:t>
      </w:r>
      <w:r>
        <w:rPr>
          <w:rFonts w:hint="eastAsia"/>
          <w:color w:val="000000" w:themeColor="text1"/>
          <w14:textFill>
            <w14:solidFill>
              <w14:schemeClr w14:val="tx1"/>
            </w14:solidFill>
          </w14:textFill>
        </w:rPr>
        <w:t>-6  评价工作等级判定依据表</w:t>
      </w:r>
    </w:p>
    <w:tbl>
      <w:tblPr>
        <w:tblStyle w:val="51"/>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060"/>
        <w:gridCol w:w="6888"/>
      </w:tblGrid>
      <w:tr w14:paraId="21F5B92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60" w:type="dxa"/>
            <w:vAlign w:val="center"/>
          </w:tcPr>
          <w:p w14:paraId="7EA64CD8">
            <w:pPr>
              <w:widowControl/>
              <w:spacing w:line="300" w:lineRule="exact"/>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评价工作等级</w:t>
            </w:r>
          </w:p>
        </w:tc>
        <w:tc>
          <w:tcPr>
            <w:tcW w:w="6888" w:type="dxa"/>
            <w:vAlign w:val="center"/>
          </w:tcPr>
          <w:p w14:paraId="4CDEFF52">
            <w:pPr>
              <w:widowControl/>
              <w:spacing w:line="300" w:lineRule="exact"/>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评价工作分级判据</w:t>
            </w:r>
          </w:p>
        </w:tc>
      </w:tr>
      <w:tr w14:paraId="7432805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60" w:type="dxa"/>
            <w:vAlign w:val="center"/>
          </w:tcPr>
          <w:p w14:paraId="6ACC7770">
            <w:pPr>
              <w:widowControl/>
              <w:spacing w:line="300" w:lineRule="exact"/>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一级</w:t>
            </w:r>
          </w:p>
        </w:tc>
        <w:tc>
          <w:tcPr>
            <w:tcW w:w="6888" w:type="dxa"/>
            <w:vAlign w:val="center"/>
          </w:tcPr>
          <w:p w14:paraId="410EE9F7">
            <w:pPr>
              <w:widowControl/>
              <w:spacing w:line="300" w:lineRule="exact"/>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P</w:t>
            </w:r>
            <w:r>
              <w:rPr>
                <w:rFonts w:hint="eastAsia" w:ascii="宋体" w:hAnsi="宋体" w:cs="宋体"/>
                <w:color w:val="000000" w:themeColor="text1"/>
                <w:kern w:val="0"/>
                <w:szCs w:val="21"/>
                <w:vertAlign w:val="subscript"/>
                <w:lang w:bidi="ar"/>
                <w14:textFill>
                  <w14:solidFill>
                    <w14:schemeClr w14:val="tx1"/>
                  </w14:solidFill>
                </w14:textFill>
              </w:rPr>
              <w:t>max</w:t>
            </w:r>
            <w:r>
              <w:rPr>
                <w:rFonts w:hint="eastAsia" w:ascii="宋体" w:hAnsi="宋体" w:cs="宋体"/>
                <w:color w:val="000000" w:themeColor="text1"/>
                <w:kern w:val="0"/>
                <w:szCs w:val="21"/>
                <w:lang w:bidi="ar"/>
                <w14:textFill>
                  <w14:solidFill>
                    <w14:schemeClr w14:val="tx1"/>
                  </w14:solidFill>
                </w14:textFill>
              </w:rPr>
              <w:t>≥10%</w:t>
            </w:r>
          </w:p>
        </w:tc>
      </w:tr>
      <w:tr w14:paraId="2490725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60" w:type="dxa"/>
            <w:vAlign w:val="center"/>
          </w:tcPr>
          <w:p w14:paraId="5071B097">
            <w:pPr>
              <w:widowControl/>
              <w:spacing w:line="300" w:lineRule="exact"/>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二级</w:t>
            </w:r>
          </w:p>
        </w:tc>
        <w:tc>
          <w:tcPr>
            <w:tcW w:w="6888" w:type="dxa"/>
            <w:vAlign w:val="center"/>
          </w:tcPr>
          <w:p w14:paraId="349072CA">
            <w:pPr>
              <w:widowControl/>
              <w:spacing w:line="300" w:lineRule="exact"/>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1%≤P</w:t>
            </w:r>
            <w:r>
              <w:rPr>
                <w:rFonts w:hint="eastAsia" w:ascii="宋体" w:hAnsi="宋体" w:cs="宋体"/>
                <w:color w:val="000000" w:themeColor="text1"/>
                <w:kern w:val="0"/>
                <w:szCs w:val="21"/>
                <w:vertAlign w:val="subscript"/>
                <w:lang w:bidi="ar"/>
                <w14:textFill>
                  <w14:solidFill>
                    <w14:schemeClr w14:val="tx1"/>
                  </w14:solidFill>
                </w14:textFill>
              </w:rPr>
              <w:t>max</w:t>
            </w:r>
            <w:r>
              <w:rPr>
                <w:rFonts w:hint="eastAsia" w:ascii="宋体" w:hAnsi="宋体" w:cs="宋体"/>
                <w:color w:val="000000" w:themeColor="text1"/>
                <w:kern w:val="0"/>
                <w:szCs w:val="21"/>
                <w:lang w:bidi="ar"/>
                <w14:textFill>
                  <w14:solidFill>
                    <w14:schemeClr w14:val="tx1"/>
                  </w14:solidFill>
                </w14:textFill>
              </w:rPr>
              <w:t>＜10%</w:t>
            </w:r>
          </w:p>
        </w:tc>
      </w:tr>
      <w:tr w14:paraId="5043E3D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60" w:type="dxa"/>
            <w:vAlign w:val="center"/>
          </w:tcPr>
          <w:p w14:paraId="548068D3">
            <w:pPr>
              <w:widowControl/>
              <w:spacing w:line="300" w:lineRule="exact"/>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三级</w:t>
            </w:r>
          </w:p>
        </w:tc>
        <w:tc>
          <w:tcPr>
            <w:tcW w:w="6888" w:type="dxa"/>
            <w:vAlign w:val="center"/>
          </w:tcPr>
          <w:p w14:paraId="5D4236F9">
            <w:pPr>
              <w:widowControl/>
              <w:spacing w:line="300" w:lineRule="exact"/>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P</w:t>
            </w:r>
            <w:r>
              <w:rPr>
                <w:rFonts w:hint="eastAsia" w:ascii="宋体" w:hAnsi="宋体" w:cs="宋体"/>
                <w:color w:val="000000" w:themeColor="text1"/>
                <w:kern w:val="0"/>
                <w:szCs w:val="21"/>
                <w:vertAlign w:val="subscript"/>
                <w:lang w:bidi="ar"/>
                <w14:textFill>
                  <w14:solidFill>
                    <w14:schemeClr w14:val="tx1"/>
                  </w14:solidFill>
                </w14:textFill>
              </w:rPr>
              <w:t>max</w:t>
            </w:r>
            <w:r>
              <w:rPr>
                <w:rFonts w:hint="eastAsia" w:ascii="宋体" w:hAnsi="宋体" w:cs="宋体"/>
                <w:color w:val="000000" w:themeColor="text1"/>
                <w:kern w:val="0"/>
                <w:szCs w:val="21"/>
                <w:lang w:bidi="ar"/>
                <w14:textFill>
                  <w14:solidFill>
                    <w14:schemeClr w14:val="tx1"/>
                  </w14:solidFill>
                </w14:textFill>
              </w:rPr>
              <w:t xml:space="preserve">＜1% </w:t>
            </w:r>
          </w:p>
        </w:tc>
      </w:tr>
      <w:bookmarkEnd w:id="109"/>
    </w:tbl>
    <w:p w14:paraId="5789ADB0">
      <w:pPr>
        <w:adjustRightInd w:val="0"/>
        <w:spacing w:line="480" w:lineRule="exact"/>
        <w:ind w:firstLine="480" w:firstLineChars="200"/>
        <w:textAlignment w:val="baseline"/>
        <w:rPr>
          <w:rFonts w:hint="eastAsia" w:ascii="宋体" w:hAnsi="宋体" w:cs="宋体"/>
          <w:color w:val="000000" w:themeColor="text1"/>
          <w:kern w:val="0"/>
          <w:sz w:val="24"/>
          <w:szCs w:val="20"/>
          <w:lang w:bidi="ar"/>
          <w14:textFill>
            <w14:solidFill>
              <w14:schemeClr w14:val="tx1"/>
            </w14:solidFill>
          </w14:textFill>
        </w:rPr>
      </w:pPr>
      <w:r>
        <w:rPr>
          <w:rFonts w:hint="eastAsia" w:ascii="宋体" w:hAnsi="宋体" w:cs="宋体"/>
          <w:color w:val="000000" w:themeColor="text1"/>
          <w:kern w:val="0"/>
          <w:sz w:val="24"/>
          <w:szCs w:val="20"/>
          <w:lang w:bidi="ar"/>
          <w14:textFill>
            <w14:solidFill>
              <w14:schemeClr w14:val="tx1"/>
            </w14:solidFill>
          </w14:textFill>
        </w:rPr>
        <w:t>（2）地表水评价等级</w:t>
      </w:r>
    </w:p>
    <w:p w14:paraId="57D9244F">
      <w:pPr>
        <w:adjustRightInd w:val="0"/>
        <w:spacing w:line="480" w:lineRule="exact"/>
        <w:ind w:firstLine="480" w:firstLineChars="200"/>
        <w:textAlignment w:val="baseline"/>
        <w:rPr>
          <w:rFonts w:hint="eastAsia" w:ascii="宋体" w:hAnsi="宋体" w:cs="宋体"/>
          <w:color w:val="000000" w:themeColor="text1"/>
          <w:kern w:val="0"/>
          <w:sz w:val="24"/>
          <w:szCs w:val="20"/>
          <w:lang w:bidi="ar"/>
          <w14:textFill>
            <w14:solidFill>
              <w14:schemeClr w14:val="tx1"/>
            </w14:solidFill>
          </w14:textFill>
        </w:rPr>
      </w:pPr>
      <w:r>
        <w:rPr>
          <w:rFonts w:hint="eastAsia" w:ascii="宋体" w:hAnsi="宋体" w:cs="宋体"/>
          <w:color w:val="000000" w:themeColor="text1"/>
          <w:kern w:val="0"/>
          <w:sz w:val="24"/>
          <w:szCs w:val="20"/>
          <w:lang w:bidi="ar"/>
          <w14:textFill>
            <w14:solidFill>
              <w14:schemeClr w14:val="tx1"/>
            </w14:solidFill>
          </w14:textFill>
        </w:rPr>
        <w:t>本项目周边无地表水，且与地表水无水力联系，</w:t>
      </w:r>
      <w:r>
        <w:rPr>
          <w:rFonts w:hint="eastAsia"/>
          <w:color w:val="000000" w:themeColor="text1"/>
          <w:sz w:val="24"/>
          <w:szCs w:val="24"/>
          <w:lang w:val="zh-CN"/>
          <w14:textFill>
            <w14:solidFill>
              <w14:schemeClr w14:val="tx1"/>
            </w14:solidFill>
          </w14:textFill>
        </w:rPr>
        <w:t>采出水与原油一起管输至页岩油联合站处理，</w:t>
      </w:r>
      <w:r>
        <w:rPr>
          <w:rFonts w:hint="eastAsia" w:ascii="宋体" w:hAnsi="宋体" w:cs="宋体"/>
          <w:color w:val="000000" w:themeColor="text1"/>
          <w:kern w:val="0"/>
          <w:sz w:val="24"/>
          <w:szCs w:val="20"/>
          <w:lang w:bidi="ar"/>
          <w14:textFill>
            <w14:solidFill>
              <w14:schemeClr w14:val="tx1"/>
            </w14:solidFill>
          </w14:textFill>
        </w:rPr>
        <w:t>洗井废水和井下作业废液送至</w:t>
      </w:r>
      <w:r>
        <w:rPr>
          <w:rFonts w:hint="eastAsia" w:ascii="宋体" w:cs="宋体"/>
          <w:color w:val="000000" w:themeColor="text1"/>
          <w:kern w:val="0"/>
          <w:sz w:val="24"/>
          <w:szCs w:val="24"/>
          <w14:textFill>
            <w14:solidFill>
              <w14:schemeClr w14:val="tx1"/>
            </w14:solidFill>
          </w14:textFill>
        </w:rPr>
        <w:t>页岩油联合站压裂返排液处理系统处理</w:t>
      </w:r>
      <w:r>
        <w:rPr>
          <w:rFonts w:hint="eastAsia" w:ascii="宋体" w:hAnsi="宋体" w:cs="宋体"/>
          <w:color w:val="000000" w:themeColor="text1"/>
          <w:kern w:val="0"/>
          <w:sz w:val="24"/>
          <w:szCs w:val="20"/>
          <w:lang w:bidi="ar"/>
          <w14:textFill>
            <w14:solidFill>
              <w14:schemeClr w14:val="tx1"/>
            </w14:solidFill>
          </w14:textFill>
        </w:rPr>
        <w:t>达标后用于压裂液复配；</w:t>
      </w:r>
      <w:r>
        <w:rPr>
          <w:rFonts w:ascii="宋体" w:hAnsi="宋体" w:cs="宋体"/>
          <w:color w:val="000000" w:themeColor="text1"/>
          <w:kern w:val="0"/>
          <w:sz w:val="24"/>
          <w:szCs w:val="20"/>
          <w:lang w:bidi="ar"/>
          <w14:textFill>
            <w14:solidFill>
              <w14:schemeClr w14:val="tx1"/>
            </w14:solidFill>
          </w14:textFill>
        </w:rPr>
        <w:t>根据</w:t>
      </w:r>
      <w:r>
        <w:rPr>
          <w:rFonts w:hint="eastAsia" w:ascii="宋体" w:hAnsi="宋体" w:cs="宋体"/>
          <w:color w:val="000000" w:themeColor="text1"/>
          <w:kern w:val="0"/>
          <w:sz w:val="24"/>
          <w:szCs w:val="20"/>
          <w:lang w:bidi="ar"/>
          <w14:textFill>
            <w14:solidFill>
              <w14:schemeClr w14:val="tx1"/>
            </w14:solidFill>
          </w14:textFill>
        </w:rPr>
        <w:t>《环境影响评价技术导则 陆地石油天然气开发建设项目》（H</w:t>
      </w:r>
      <w:r>
        <w:rPr>
          <w:rFonts w:ascii="宋体" w:hAnsi="宋体" w:cs="宋体"/>
          <w:color w:val="000000" w:themeColor="text1"/>
          <w:kern w:val="0"/>
          <w:sz w:val="24"/>
          <w:szCs w:val="20"/>
          <w:lang w:bidi="ar"/>
          <w14:textFill>
            <w14:solidFill>
              <w14:schemeClr w14:val="tx1"/>
            </w14:solidFill>
          </w14:textFill>
        </w:rPr>
        <w:t>J349</w:t>
      </w:r>
      <w:r>
        <w:rPr>
          <w:rFonts w:hint="eastAsia" w:ascii="宋体" w:hAnsi="宋体" w:cs="宋体"/>
          <w:color w:val="000000" w:themeColor="text1"/>
          <w:kern w:val="0"/>
          <w:sz w:val="24"/>
          <w:szCs w:val="20"/>
          <w:lang w:bidi="ar"/>
          <w14:textFill>
            <w14:solidFill>
              <w14:schemeClr w14:val="tx1"/>
            </w14:solidFill>
          </w14:textFill>
        </w:rPr>
        <w:t>-</w:t>
      </w:r>
      <w:r>
        <w:rPr>
          <w:rFonts w:ascii="宋体" w:hAnsi="宋体" w:cs="宋体"/>
          <w:color w:val="000000" w:themeColor="text1"/>
          <w:kern w:val="0"/>
          <w:sz w:val="24"/>
          <w:szCs w:val="20"/>
          <w:lang w:bidi="ar"/>
          <w14:textFill>
            <w14:solidFill>
              <w14:schemeClr w14:val="tx1"/>
            </w14:solidFill>
          </w14:textFill>
        </w:rPr>
        <w:t>2023</w:t>
      </w:r>
      <w:r>
        <w:rPr>
          <w:rFonts w:hint="eastAsia" w:ascii="宋体" w:hAnsi="宋体" w:cs="宋体"/>
          <w:color w:val="000000" w:themeColor="text1"/>
          <w:kern w:val="0"/>
          <w:sz w:val="24"/>
          <w:szCs w:val="20"/>
          <w:lang w:bidi="ar"/>
          <w14:textFill>
            <w14:solidFill>
              <w14:schemeClr w14:val="tx1"/>
            </w14:solidFill>
          </w14:textFill>
        </w:rPr>
        <w:t>）规定：“废水处理后进行回注且无废水直接排入地表水体的建设项目，评价等级按照三级B开展评价”</w:t>
      </w:r>
      <w:r>
        <w:rPr>
          <w:rFonts w:ascii="宋体" w:hAnsi="宋体" w:cs="宋体"/>
          <w:color w:val="000000" w:themeColor="text1"/>
          <w:kern w:val="0"/>
          <w:sz w:val="24"/>
          <w:szCs w:val="20"/>
          <w:lang w:bidi="ar"/>
          <w14:textFill>
            <w14:solidFill>
              <w14:schemeClr w14:val="tx1"/>
            </w14:solidFill>
          </w14:textFill>
        </w:rPr>
        <w:t>，</w:t>
      </w:r>
      <w:r>
        <w:rPr>
          <w:rFonts w:hint="eastAsia" w:ascii="宋体" w:hAnsi="宋体" w:cs="宋体"/>
          <w:color w:val="000000" w:themeColor="text1"/>
          <w:kern w:val="0"/>
          <w:sz w:val="24"/>
          <w:szCs w:val="20"/>
          <w:lang w:bidi="ar"/>
          <w14:textFill>
            <w14:solidFill>
              <w14:schemeClr w14:val="tx1"/>
            </w14:solidFill>
          </w14:textFill>
        </w:rPr>
        <w:t>本项目</w:t>
      </w:r>
      <w:r>
        <w:rPr>
          <w:rFonts w:ascii="宋体" w:hAnsi="宋体" w:cs="宋体"/>
          <w:color w:val="000000" w:themeColor="text1"/>
          <w:kern w:val="0"/>
          <w:sz w:val="24"/>
          <w:szCs w:val="20"/>
          <w:lang w:bidi="ar"/>
          <w14:textFill>
            <w14:solidFill>
              <w14:schemeClr w14:val="tx1"/>
            </w14:solidFill>
          </w14:textFill>
        </w:rPr>
        <w:t>地表水环境影响评价等级为三级B。</w:t>
      </w:r>
    </w:p>
    <w:bookmarkEnd w:id="107"/>
    <w:p w14:paraId="4052CFB4">
      <w:pPr>
        <w:pStyle w:val="117"/>
        <w:spacing w:line="480" w:lineRule="exact"/>
        <w:ind w:firstLine="480"/>
        <w:rPr>
          <w:rFonts w:hint="eastAsia"/>
          <w:color w:val="000000" w:themeColor="text1"/>
          <w14:textFill>
            <w14:solidFill>
              <w14:schemeClr w14:val="tx1"/>
            </w14:solidFill>
          </w14:textFill>
        </w:rPr>
      </w:pP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3</w:t>
      </w:r>
      <w:r>
        <w:rPr>
          <w:rFonts w:hint="eastAsia"/>
          <w:color w:val="000000" w:themeColor="text1"/>
          <w:szCs w:val="21"/>
          <w14:textFill>
            <w14:solidFill>
              <w14:schemeClr w14:val="tx1"/>
            </w14:solidFill>
          </w14:textFill>
        </w:rPr>
        <w:t>）</w:t>
      </w:r>
      <w:r>
        <w:rPr>
          <w:color w:val="000000" w:themeColor="text1"/>
          <w14:textFill>
            <w14:solidFill>
              <w14:schemeClr w14:val="tx1"/>
            </w14:solidFill>
          </w14:textFill>
        </w:rPr>
        <w:t>地下水评价等级</w:t>
      </w:r>
    </w:p>
    <w:p w14:paraId="43F70089">
      <w:pPr>
        <w:pStyle w:val="191"/>
        <w:ind w:firstLine="480"/>
        <w:rPr>
          <w:rFonts w:hint="eastAsia"/>
          <w:color w:val="000000" w:themeColor="text1"/>
          <w14:textFill>
            <w14:solidFill>
              <w14:schemeClr w14:val="tx1"/>
            </w14:solidFill>
          </w14:textFill>
        </w:rPr>
      </w:pPr>
      <w:bookmarkStart w:id="110" w:name="_Hlk80048561"/>
      <w:r>
        <w:rPr>
          <w:rFonts w:hint="eastAsia"/>
          <w:color w:val="000000" w:themeColor="text1"/>
          <w14:textFill>
            <w14:solidFill>
              <w14:schemeClr w14:val="tx1"/>
            </w14:solidFill>
          </w14:textFill>
        </w:rPr>
        <w:t>根据《环境影响评价技术导则 地下水环境》（H</w:t>
      </w:r>
      <w:r>
        <w:rPr>
          <w:color w:val="000000" w:themeColor="text1"/>
          <w14:textFill>
            <w14:solidFill>
              <w14:schemeClr w14:val="tx1"/>
            </w14:solidFill>
          </w14:textFill>
        </w:rPr>
        <w:t>J610-2016</w:t>
      </w:r>
      <w:r>
        <w:rPr>
          <w:rFonts w:hint="eastAsia"/>
          <w:color w:val="000000" w:themeColor="text1"/>
          <w14:textFill>
            <w14:solidFill>
              <w14:schemeClr w14:val="tx1"/>
            </w14:solidFill>
          </w14:textFill>
        </w:rPr>
        <w:t>）</w:t>
      </w:r>
      <w:bookmarkEnd w:id="110"/>
      <w:r>
        <w:rPr>
          <w:rFonts w:hint="eastAsia"/>
          <w:color w:val="000000" w:themeColor="text1"/>
          <w14:textFill>
            <w14:solidFill>
              <w14:schemeClr w14:val="tx1"/>
            </w14:solidFill>
          </w14:textFill>
        </w:rPr>
        <w:t>中的评价工作等级划分，建设项目的地下水环境敏感程度可分为敏感、较敏感，不敏感三级，分级原则见表2.</w:t>
      </w:r>
      <w:r>
        <w:rPr>
          <w:color w:val="000000" w:themeColor="text1"/>
          <w14:textFill>
            <w14:solidFill>
              <w14:schemeClr w14:val="tx1"/>
            </w14:solidFill>
          </w14:textFill>
        </w:rPr>
        <w:t>6</w:t>
      </w:r>
      <w:r>
        <w:rPr>
          <w:rFonts w:hint="eastAsia"/>
          <w:color w:val="000000" w:themeColor="text1"/>
          <w14:textFill>
            <w14:solidFill>
              <w14:schemeClr w14:val="tx1"/>
            </w14:solidFill>
          </w14:textFill>
        </w:rPr>
        <w:t>-7，评价工作等级分级表见表2.</w:t>
      </w:r>
      <w:r>
        <w:rPr>
          <w:color w:val="000000" w:themeColor="text1"/>
          <w14:textFill>
            <w14:solidFill>
              <w14:schemeClr w14:val="tx1"/>
            </w14:solidFill>
          </w14:textFill>
        </w:rPr>
        <w:t>6</w:t>
      </w:r>
      <w:r>
        <w:rPr>
          <w:rFonts w:hint="eastAsia"/>
          <w:color w:val="000000" w:themeColor="text1"/>
          <w14:textFill>
            <w14:solidFill>
              <w14:schemeClr w14:val="tx1"/>
            </w14:solidFill>
          </w14:textFill>
        </w:rPr>
        <w:t>-8。</w:t>
      </w:r>
    </w:p>
    <w:p w14:paraId="75DC60EE">
      <w:pPr>
        <w:pStyle w:val="109"/>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表2.</w:t>
      </w:r>
      <w:r>
        <w:rPr>
          <w:color w:val="000000" w:themeColor="text1"/>
          <w14:textFill>
            <w14:solidFill>
              <w14:schemeClr w14:val="tx1"/>
            </w14:solidFill>
          </w14:textFill>
        </w:rPr>
        <w:t>6</w:t>
      </w:r>
      <w:r>
        <w:rPr>
          <w:rFonts w:hint="eastAsia"/>
          <w:color w:val="000000" w:themeColor="text1"/>
          <w14:textFill>
            <w14:solidFill>
              <w14:schemeClr w14:val="tx1"/>
            </w14:solidFill>
          </w14:textFill>
        </w:rPr>
        <w:t>-7</w:t>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地下水环境敏感程度分级表</w:t>
      </w:r>
    </w:p>
    <w:tbl>
      <w:tblPr>
        <w:tblStyle w:val="51"/>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100"/>
        <w:gridCol w:w="7846"/>
      </w:tblGrid>
      <w:tr w14:paraId="75A511B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15" w:type="pct"/>
            <w:vAlign w:val="center"/>
          </w:tcPr>
          <w:p w14:paraId="227F9083">
            <w:pPr>
              <w:pStyle w:val="208"/>
              <w:adjustRightInd w:val="0"/>
              <w:snapToGrid w:val="0"/>
              <w:spacing w:line="300" w:lineRule="exact"/>
              <w:rPr>
                <w:rFonts w:hint="eastAsia"/>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敏感程度</w:t>
            </w:r>
          </w:p>
        </w:tc>
        <w:tc>
          <w:tcPr>
            <w:tcW w:w="4385" w:type="pct"/>
            <w:vAlign w:val="center"/>
          </w:tcPr>
          <w:p w14:paraId="12D7A36C">
            <w:pPr>
              <w:pStyle w:val="208"/>
              <w:adjustRightInd w:val="0"/>
              <w:snapToGrid w:val="0"/>
              <w:spacing w:line="300" w:lineRule="exact"/>
              <w:rPr>
                <w:rFonts w:hint="eastAsia"/>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地下水环境敏感特征</w:t>
            </w:r>
          </w:p>
        </w:tc>
      </w:tr>
      <w:tr w14:paraId="769C465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15" w:type="pct"/>
            <w:vAlign w:val="center"/>
          </w:tcPr>
          <w:p w14:paraId="58A49AA0">
            <w:pPr>
              <w:pStyle w:val="208"/>
              <w:adjustRightInd w:val="0"/>
              <w:snapToGrid w:val="0"/>
              <w:spacing w:line="300" w:lineRule="exact"/>
              <w:rPr>
                <w:rFonts w:hint="eastAsia"/>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敏感</w:t>
            </w:r>
          </w:p>
        </w:tc>
        <w:tc>
          <w:tcPr>
            <w:tcW w:w="4385" w:type="pct"/>
            <w:vAlign w:val="center"/>
          </w:tcPr>
          <w:p w14:paraId="3DCCD88C">
            <w:pPr>
              <w:pStyle w:val="208"/>
              <w:adjustRightInd w:val="0"/>
              <w:snapToGrid w:val="0"/>
              <w:spacing w:line="300" w:lineRule="exact"/>
              <w:jc w:val="left"/>
              <w:rPr>
                <w:rFonts w:hint="eastAsia"/>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集中式饮用水水源（包括已建成的在用、备用、应急水源，在建和规划的饮用水水源）准保护区；除集中式饮用水水源以外的国家或地方政府设定的与地下水环境相关的其他保护区，如热水、矿泉水、温泉等特殊地下水资源保护区。</w:t>
            </w:r>
          </w:p>
        </w:tc>
      </w:tr>
      <w:tr w14:paraId="465BD1B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15" w:type="pct"/>
            <w:vAlign w:val="center"/>
          </w:tcPr>
          <w:p w14:paraId="6442EBB1">
            <w:pPr>
              <w:pStyle w:val="208"/>
              <w:adjustRightInd w:val="0"/>
              <w:snapToGrid w:val="0"/>
              <w:spacing w:line="300" w:lineRule="exact"/>
              <w:rPr>
                <w:rFonts w:hint="eastAsia"/>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较敏感</w:t>
            </w:r>
          </w:p>
        </w:tc>
        <w:tc>
          <w:tcPr>
            <w:tcW w:w="4385" w:type="pct"/>
            <w:vAlign w:val="center"/>
          </w:tcPr>
          <w:p w14:paraId="7658C3C8">
            <w:pPr>
              <w:pStyle w:val="208"/>
              <w:adjustRightInd w:val="0"/>
              <w:snapToGrid w:val="0"/>
              <w:spacing w:line="300" w:lineRule="exact"/>
              <w:jc w:val="left"/>
              <w:rPr>
                <w:rFonts w:hint="eastAsia"/>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集中式饮用水源（包括已建成的在用、备用、应急水源，在建和规划的饮用水水源）准保护区以外的补给径流区；未划定准保护区的集中水式饮用水水源，其保护区以外的补给径流区；分散式饮用水水源地；特殊地下水资源（如矿泉水、温泉等）保护区以外的分布区等其他未列入上述敏感分级的环境敏感区</w:t>
            </w:r>
            <w:r>
              <w:rPr>
                <w:rFonts w:hint="eastAsia"/>
                <w:color w:val="000000" w:themeColor="text1"/>
                <w:szCs w:val="21"/>
                <w:vertAlign w:val="superscript"/>
                <w14:textFill>
                  <w14:solidFill>
                    <w14:schemeClr w14:val="tx1"/>
                  </w14:solidFill>
                </w14:textFill>
              </w:rPr>
              <w:t>a</w:t>
            </w:r>
            <w:r>
              <w:rPr>
                <w:rFonts w:hint="eastAsia"/>
                <w:color w:val="000000" w:themeColor="text1"/>
                <w:szCs w:val="21"/>
                <w14:textFill>
                  <w14:solidFill>
                    <w14:schemeClr w14:val="tx1"/>
                  </w14:solidFill>
                </w14:textFill>
              </w:rPr>
              <w:t>。</w:t>
            </w:r>
          </w:p>
        </w:tc>
      </w:tr>
      <w:tr w14:paraId="6523FFF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15" w:type="pct"/>
            <w:vAlign w:val="center"/>
          </w:tcPr>
          <w:p w14:paraId="4B89D95C">
            <w:pPr>
              <w:pStyle w:val="208"/>
              <w:adjustRightInd w:val="0"/>
              <w:snapToGrid w:val="0"/>
              <w:spacing w:line="300" w:lineRule="exact"/>
              <w:rPr>
                <w:rFonts w:hint="eastAsia"/>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不敏感</w:t>
            </w:r>
          </w:p>
        </w:tc>
        <w:tc>
          <w:tcPr>
            <w:tcW w:w="4385" w:type="pct"/>
            <w:vAlign w:val="center"/>
          </w:tcPr>
          <w:p w14:paraId="026483E1">
            <w:pPr>
              <w:pStyle w:val="208"/>
              <w:adjustRightInd w:val="0"/>
              <w:snapToGrid w:val="0"/>
              <w:spacing w:line="300" w:lineRule="exact"/>
              <w:jc w:val="left"/>
              <w:rPr>
                <w:rFonts w:hint="eastAsia"/>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上述地区之外的其它地区</w:t>
            </w:r>
          </w:p>
        </w:tc>
      </w:tr>
      <w:tr w14:paraId="2285935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000" w:type="pct"/>
            <w:gridSpan w:val="2"/>
            <w:vAlign w:val="center"/>
          </w:tcPr>
          <w:p w14:paraId="311F8D89">
            <w:pPr>
              <w:pStyle w:val="208"/>
              <w:adjustRightInd w:val="0"/>
              <w:snapToGrid w:val="0"/>
              <w:spacing w:line="300" w:lineRule="exact"/>
              <w:jc w:val="left"/>
              <w:rPr>
                <w:rFonts w:hint="eastAsia"/>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注：a“环境敏感区”是指《建设项目环境影响分类管理名录》中所界定的涉及地下水的环境敏感区</w:t>
            </w:r>
          </w:p>
        </w:tc>
      </w:tr>
    </w:tbl>
    <w:p w14:paraId="797250E3">
      <w:pPr>
        <w:pStyle w:val="109"/>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表2.</w:t>
      </w:r>
      <w:r>
        <w:rPr>
          <w:color w:val="000000" w:themeColor="text1"/>
          <w14:textFill>
            <w14:solidFill>
              <w14:schemeClr w14:val="tx1"/>
            </w14:solidFill>
          </w14:textFill>
        </w:rPr>
        <w:t>6</w:t>
      </w:r>
      <w:r>
        <w:rPr>
          <w:rFonts w:hint="eastAsia"/>
          <w:color w:val="000000" w:themeColor="text1"/>
          <w14:textFill>
            <w14:solidFill>
              <w14:schemeClr w14:val="tx1"/>
            </w14:solidFill>
          </w14:textFill>
        </w:rPr>
        <w:t>-8  建设项目评价工作等级分级表</w:t>
      </w:r>
    </w:p>
    <w:tbl>
      <w:tblPr>
        <w:tblStyle w:val="51"/>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850"/>
        <w:gridCol w:w="2151"/>
        <w:gridCol w:w="2036"/>
        <w:gridCol w:w="1909"/>
      </w:tblGrid>
      <w:tr w14:paraId="42AB7AA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93" w:type="pct"/>
            <w:tcBorders>
              <w:tl2br w:val="single" w:color="auto" w:sz="4" w:space="0"/>
            </w:tcBorders>
            <w:vAlign w:val="center"/>
          </w:tcPr>
          <w:p w14:paraId="3195FDF7">
            <w:pPr>
              <w:pStyle w:val="286"/>
              <w:jc w:val="right"/>
              <w:rPr>
                <w:rFonts w:hint="eastAsia" w:cs="Arial"/>
                <w:color w:val="000000" w:themeColor="text1"/>
                <w:kern w:val="2"/>
                <w:sz w:val="21"/>
                <w14:textFill>
                  <w14:solidFill>
                    <w14:schemeClr w14:val="tx1"/>
                  </w14:solidFill>
                </w14:textFill>
              </w:rPr>
            </w:pPr>
            <w:r>
              <w:rPr>
                <w:rFonts w:hint="eastAsia" w:cs="Arial"/>
                <w:color w:val="000000" w:themeColor="text1"/>
                <w:kern w:val="2"/>
                <w:sz w:val="21"/>
                <w14:textFill>
                  <w14:solidFill>
                    <w14:schemeClr w14:val="tx1"/>
                  </w14:solidFill>
                </w14:textFill>
              </w:rPr>
              <w:t>项目类别</w:t>
            </w:r>
          </w:p>
          <w:p w14:paraId="623CBCFA">
            <w:pPr>
              <w:pStyle w:val="286"/>
              <w:jc w:val="left"/>
              <w:rPr>
                <w:rFonts w:hint="eastAsia" w:cs="Arial"/>
                <w:color w:val="000000" w:themeColor="text1"/>
                <w:kern w:val="2"/>
                <w:sz w:val="21"/>
                <w14:textFill>
                  <w14:solidFill>
                    <w14:schemeClr w14:val="tx1"/>
                  </w14:solidFill>
                </w14:textFill>
              </w:rPr>
            </w:pPr>
            <w:r>
              <w:rPr>
                <w:rFonts w:hint="eastAsia" w:cs="Arial"/>
                <w:color w:val="000000" w:themeColor="text1"/>
                <w:kern w:val="2"/>
                <w:sz w:val="21"/>
                <w14:textFill>
                  <w14:solidFill>
                    <w14:schemeClr w14:val="tx1"/>
                  </w14:solidFill>
                </w14:textFill>
              </w:rPr>
              <w:t>环境敏感程度</w:t>
            </w:r>
          </w:p>
        </w:tc>
        <w:tc>
          <w:tcPr>
            <w:tcW w:w="1202" w:type="pct"/>
            <w:vAlign w:val="center"/>
          </w:tcPr>
          <w:p w14:paraId="4F2AB144">
            <w:pPr>
              <w:pStyle w:val="286"/>
              <w:rPr>
                <w:rFonts w:hint="eastAsia" w:cs="Arial"/>
                <w:color w:val="000000" w:themeColor="text1"/>
                <w:kern w:val="2"/>
                <w:sz w:val="21"/>
                <w14:textFill>
                  <w14:solidFill>
                    <w14:schemeClr w14:val="tx1"/>
                  </w14:solidFill>
                </w14:textFill>
              </w:rPr>
            </w:pPr>
            <w:r>
              <w:rPr>
                <w:rFonts w:hint="eastAsia" w:cs="Arial"/>
                <w:color w:val="000000" w:themeColor="text1"/>
                <w:kern w:val="2"/>
                <w:sz w:val="21"/>
                <w14:textFill>
                  <w14:solidFill>
                    <w14:schemeClr w14:val="tx1"/>
                  </w14:solidFill>
                </w14:textFill>
              </w:rPr>
              <w:t>Ⅰ类项目</w:t>
            </w:r>
          </w:p>
        </w:tc>
        <w:tc>
          <w:tcPr>
            <w:tcW w:w="1138" w:type="pct"/>
            <w:vAlign w:val="center"/>
          </w:tcPr>
          <w:p w14:paraId="33DF4D81">
            <w:pPr>
              <w:pStyle w:val="286"/>
              <w:rPr>
                <w:rFonts w:hint="eastAsia" w:cs="Arial"/>
                <w:color w:val="000000" w:themeColor="text1"/>
                <w:kern w:val="2"/>
                <w:sz w:val="21"/>
                <w14:textFill>
                  <w14:solidFill>
                    <w14:schemeClr w14:val="tx1"/>
                  </w14:solidFill>
                </w14:textFill>
              </w:rPr>
            </w:pPr>
            <w:r>
              <w:rPr>
                <w:rFonts w:hint="eastAsia" w:cs="Arial"/>
                <w:color w:val="000000" w:themeColor="text1"/>
                <w:kern w:val="2"/>
                <w:sz w:val="21"/>
                <w14:textFill>
                  <w14:solidFill>
                    <w14:schemeClr w14:val="tx1"/>
                  </w14:solidFill>
                </w14:textFill>
              </w:rPr>
              <w:t>Ⅱ类项目</w:t>
            </w:r>
          </w:p>
        </w:tc>
        <w:tc>
          <w:tcPr>
            <w:tcW w:w="1067" w:type="pct"/>
            <w:vAlign w:val="center"/>
          </w:tcPr>
          <w:p w14:paraId="18AD1280">
            <w:pPr>
              <w:pStyle w:val="286"/>
              <w:rPr>
                <w:rFonts w:hint="eastAsia" w:cs="Arial"/>
                <w:color w:val="000000" w:themeColor="text1"/>
                <w:kern w:val="2"/>
                <w:sz w:val="21"/>
                <w14:textFill>
                  <w14:solidFill>
                    <w14:schemeClr w14:val="tx1"/>
                  </w14:solidFill>
                </w14:textFill>
              </w:rPr>
            </w:pPr>
            <w:r>
              <w:rPr>
                <w:rFonts w:hint="eastAsia" w:cs="Arial"/>
                <w:color w:val="000000" w:themeColor="text1"/>
                <w:kern w:val="2"/>
                <w:sz w:val="21"/>
                <w14:textFill>
                  <w14:solidFill>
                    <w14:schemeClr w14:val="tx1"/>
                  </w14:solidFill>
                </w14:textFill>
              </w:rPr>
              <w:t>Ⅲ类项目</w:t>
            </w:r>
          </w:p>
        </w:tc>
      </w:tr>
      <w:tr w14:paraId="4591BD1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93" w:type="pct"/>
            <w:vAlign w:val="center"/>
          </w:tcPr>
          <w:p w14:paraId="478D8E25">
            <w:pPr>
              <w:pStyle w:val="286"/>
              <w:rPr>
                <w:rFonts w:hint="eastAsia" w:cs="Arial"/>
                <w:color w:val="000000" w:themeColor="text1"/>
                <w:kern w:val="2"/>
                <w:sz w:val="21"/>
                <w14:textFill>
                  <w14:solidFill>
                    <w14:schemeClr w14:val="tx1"/>
                  </w14:solidFill>
                </w14:textFill>
              </w:rPr>
            </w:pPr>
            <w:r>
              <w:rPr>
                <w:rFonts w:hint="eastAsia" w:cs="Arial"/>
                <w:color w:val="000000" w:themeColor="text1"/>
                <w:kern w:val="2"/>
                <w:sz w:val="21"/>
                <w14:textFill>
                  <w14:solidFill>
                    <w14:schemeClr w14:val="tx1"/>
                  </w14:solidFill>
                </w14:textFill>
              </w:rPr>
              <w:t>敏感</w:t>
            </w:r>
          </w:p>
        </w:tc>
        <w:tc>
          <w:tcPr>
            <w:tcW w:w="1202" w:type="pct"/>
            <w:vAlign w:val="center"/>
          </w:tcPr>
          <w:p w14:paraId="1C92F8BC">
            <w:pPr>
              <w:pStyle w:val="286"/>
              <w:rPr>
                <w:rFonts w:hint="eastAsia" w:cs="Arial"/>
                <w:color w:val="000000" w:themeColor="text1"/>
                <w:kern w:val="2"/>
                <w:sz w:val="21"/>
                <w14:textFill>
                  <w14:solidFill>
                    <w14:schemeClr w14:val="tx1"/>
                  </w14:solidFill>
                </w14:textFill>
              </w:rPr>
            </w:pPr>
            <w:r>
              <w:rPr>
                <w:rFonts w:hint="eastAsia" w:cs="Arial"/>
                <w:color w:val="000000" w:themeColor="text1"/>
                <w:kern w:val="2"/>
                <w:sz w:val="21"/>
                <w14:textFill>
                  <w14:solidFill>
                    <w14:schemeClr w14:val="tx1"/>
                  </w14:solidFill>
                </w14:textFill>
              </w:rPr>
              <w:t>一</w:t>
            </w:r>
          </w:p>
        </w:tc>
        <w:tc>
          <w:tcPr>
            <w:tcW w:w="1138" w:type="pct"/>
            <w:vAlign w:val="center"/>
          </w:tcPr>
          <w:p w14:paraId="4D5D0F3A">
            <w:pPr>
              <w:pStyle w:val="286"/>
              <w:rPr>
                <w:rFonts w:hint="eastAsia" w:cs="Arial"/>
                <w:color w:val="000000" w:themeColor="text1"/>
                <w:kern w:val="2"/>
                <w:sz w:val="21"/>
                <w14:textFill>
                  <w14:solidFill>
                    <w14:schemeClr w14:val="tx1"/>
                  </w14:solidFill>
                </w14:textFill>
              </w:rPr>
            </w:pPr>
            <w:r>
              <w:rPr>
                <w:rFonts w:hint="eastAsia" w:cs="Arial"/>
                <w:color w:val="000000" w:themeColor="text1"/>
                <w:kern w:val="2"/>
                <w:sz w:val="21"/>
                <w14:textFill>
                  <w14:solidFill>
                    <w14:schemeClr w14:val="tx1"/>
                  </w14:solidFill>
                </w14:textFill>
              </w:rPr>
              <w:t>一</w:t>
            </w:r>
          </w:p>
        </w:tc>
        <w:tc>
          <w:tcPr>
            <w:tcW w:w="1067" w:type="pct"/>
            <w:vAlign w:val="center"/>
          </w:tcPr>
          <w:p w14:paraId="061DF020">
            <w:pPr>
              <w:pStyle w:val="286"/>
              <w:rPr>
                <w:rFonts w:hint="eastAsia" w:cs="Arial"/>
                <w:color w:val="000000" w:themeColor="text1"/>
                <w:kern w:val="2"/>
                <w:sz w:val="21"/>
                <w14:textFill>
                  <w14:solidFill>
                    <w14:schemeClr w14:val="tx1"/>
                  </w14:solidFill>
                </w14:textFill>
              </w:rPr>
            </w:pPr>
            <w:r>
              <w:rPr>
                <w:rFonts w:hint="eastAsia" w:cs="Arial"/>
                <w:color w:val="000000" w:themeColor="text1"/>
                <w:kern w:val="2"/>
                <w:sz w:val="21"/>
                <w14:textFill>
                  <w14:solidFill>
                    <w14:schemeClr w14:val="tx1"/>
                  </w14:solidFill>
                </w14:textFill>
              </w:rPr>
              <w:t>二</w:t>
            </w:r>
          </w:p>
        </w:tc>
      </w:tr>
      <w:tr w14:paraId="45A37FF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93" w:type="pct"/>
            <w:vAlign w:val="center"/>
          </w:tcPr>
          <w:p w14:paraId="0310D1F0">
            <w:pPr>
              <w:pStyle w:val="286"/>
              <w:rPr>
                <w:rFonts w:hint="eastAsia" w:cs="Arial"/>
                <w:color w:val="000000" w:themeColor="text1"/>
                <w:kern w:val="2"/>
                <w:sz w:val="21"/>
                <w14:textFill>
                  <w14:solidFill>
                    <w14:schemeClr w14:val="tx1"/>
                  </w14:solidFill>
                </w14:textFill>
              </w:rPr>
            </w:pPr>
            <w:r>
              <w:rPr>
                <w:rFonts w:hint="eastAsia" w:cs="Arial"/>
                <w:color w:val="000000" w:themeColor="text1"/>
                <w:kern w:val="2"/>
                <w:sz w:val="21"/>
                <w14:textFill>
                  <w14:solidFill>
                    <w14:schemeClr w14:val="tx1"/>
                  </w14:solidFill>
                </w14:textFill>
              </w:rPr>
              <w:t>较敏感</w:t>
            </w:r>
          </w:p>
        </w:tc>
        <w:tc>
          <w:tcPr>
            <w:tcW w:w="1202" w:type="pct"/>
            <w:vAlign w:val="center"/>
          </w:tcPr>
          <w:p w14:paraId="375293D8">
            <w:pPr>
              <w:pStyle w:val="286"/>
              <w:rPr>
                <w:rFonts w:hint="eastAsia" w:cs="Arial"/>
                <w:color w:val="000000" w:themeColor="text1"/>
                <w:kern w:val="2"/>
                <w:sz w:val="21"/>
                <w14:textFill>
                  <w14:solidFill>
                    <w14:schemeClr w14:val="tx1"/>
                  </w14:solidFill>
                </w14:textFill>
              </w:rPr>
            </w:pPr>
            <w:r>
              <w:rPr>
                <w:rFonts w:hint="eastAsia" w:cs="Arial"/>
                <w:color w:val="000000" w:themeColor="text1"/>
                <w:kern w:val="2"/>
                <w:sz w:val="21"/>
                <w14:textFill>
                  <w14:solidFill>
                    <w14:schemeClr w14:val="tx1"/>
                  </w14:solidFill>
                </w14:textFill>
              </w:rPr>
              <w:t>一</w:t>
            </w:r>
          </w:p>
        </w:tc>
        <w:tc>
          <w:tcPr>
            <w:tcW w:w="1138" w:type="pct"/>
            <w:vAlign w:val="center"/>
          </w:tcPr>
          <w:p w14:paraId="75FE8D06">
            <w:pPr>
              <w:pStyle w:val="286"/>
              <w:rPr>
                <w:rFonts w:hint="eastAsia" w:cs="Arial"/>
                <w:color w:val="000000" w:themeColor="text1"/>
                <w:kern w:val="2"/>
                <w:sz w:val="21"/>
                <w14:textFill>
                  <w14:solidFill>
                    <w14:schemeClr w14:val="tx1"/>
                  </w14:solidFill>
                </w14:textFill>
              </w:rPr>
            </w:pPr>
            <w:r>
              <w:rPr>
                <w:rFonts w:hint="eastAsia" w:cs="Arial"/>
                <w:color w:val="000000" w:themeColor="text1"/>
                <w:kern w:val="2"/>
                <w:sz w:val="21"/>
                <w14:textFill>
                  <w14:solidFill>
                    <w14:schemeClr w14:val="tx1"/>
                  </w14:solidFill>
                </w14:textFill>
              </w:rPr>
              <w:t>二</w:t>
            </w:r>
          </w:p>
        </w:tc>
        <w:tc>
          <w:tcPr>
            <w:tcW w:w="1067" w:type="pct"/>
            <w:vAlign w:val="center"/>
          </w:tcPr>
          <w:p w14:paraId="417521EE">
            <w:pPr>
              <w:pStyle w:val="286"/>
              <w:rPr>
                <w:rFonts w:hint="eastAsia" w:cs="Arial"/>
                <w:color w:val="000000" w:themeColor="text1"/>
                <w:kern w:val="2"/>
                <w:sz w:val="21"/>
                <w14:textFill>
                  <w14:solidFill>
                    <w14:schemeClr w14:val="tx1"/>
                  </w14:solidFill>
                </w14:textFill>
              </w:rPr>
            </w:pPr>
            <w:r>
              <w:rPr>
                <w:rFonts w:hint="eastAsia" w:cs="Arial"/>
                <w:color w:val="000000" w:themeColor="text1"/>
                <w:kern w:val="2"/>
                <w:sz w:val="21"/>
                <w14:textFill>
                  <w14:solidFill>
                    <w14:schemeClr w14:val="tx1"/>
                  </w14:solidFill>
                </w14:textFill>
              </w:rPr>
              <w:t>三</w:t>
            </w:r>
          </w:p>
        </w:tc>
      </w:tr>
      <w:tr w14:paraId="40DA40B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93" w:type="pct"/>
            <w:vAlign w:val="center"/>
          </w:tcPr>
          <w:p w14:paraId="2C707AF9">
            <w:pPr>
              <w:pStyle w:val="286"/>
              <w:rPr>
                <w:rFonts w:hint="eastAsia" w:cs="Arial"/>
                <w:color w:val="000000" w:themeColor="text1"/>
                <w:kern w:val="2"/>
                <w:sz w:val="21"/>
                <w14:textFill>
                  <w14:solidFill>
                    <w14:schemeClr w14:val="tx1"/>
                  </w14:solidFill>
                </w14:textFill>
              </w:rPr>
            </w:pPr>
            <w:r>
              <w:rPr>
                <w:rFonts w:hint="eastAsia" w:cs="Arial"/>
                <w:color w:val="000000" w:themeColor="text1"/>
                <w:kern w:val="2"/>
                <w:sz w:val="21"/>
                <w14:textFill>
                  <w14:solidFill>
                    <w14:schemeClr w14:val="tx1"/>
                  </w14:solidFill>
                </w14:textFill>
              </w:rPr>
              <w:t>不敏感</w:t>
            </w:r>
          </w:p>
        </w:tc>
        <w:tc>
          <w:tcPr>
            <w:tcW w:w="1202" w:type="pct"/>
            <w:vAlign w:val="center"/>
          </w:tcPr>
          <w:p w14:paraId="722A794C">
            <w:pPr>
              <w:pStyle w:val="286"/>
              <w:rPr>
                <w:rFonts w:hint="eastAsia" w:cs="Arial"/>
                <w:color w:val="000000" w:themeColor="text1"/>
                <w:kern w:val="2"/>
                <w:sz w:val="21"/>
                <w14:textFill>
                  <w14:solidFill>
                    <w14:schemeClr w14:val="tx1"/>
                  </w14:solidFill>
                </w14:textFill>
              </w:rPr>
            </w:pPr>
            <w:r>
              <w:rPr>
                <w:rFonts w:hint="eastAsia" w:cs="Arial"/>
                <w:color w:val="000000" w:themeColor="text1"/>
                <w:kern w:val="2"/>
                <w:sz w:val="21"/>
                <w14:textFill>
                  <w14:solidFill>
                    <w14:schemeClr w14:val="tx1"/>
                  </w14:solidFill>
                </w14:textFill>
              </w:rPr>
              <w:t>二</w:t>
            </w:r>
          </w:p>
        </w:tc>
        <w:tc>
          <w:tcPr>
            <w:tcW w:w="1138" w:type="pct"/>
            <w:vAlign w:val="center"/>
          </w:tcPr>
          <w:p w14:paraId="627C4674">
            <w:pPr>
              <w:pStyle w:val="286"/>
              <w:rPr>
                <w:rFonts w:hint="eastAsia" w:cs="Arial"/>
                <w:color w:val="000000" w:themeColor="text1"/>
                <w:kern w:val="2"/>
                <w:sz w:val="21"/>
                <w14:textFill>
                  <w14:solidFill>
                    <w14:schemeClr w14:val="tx1"/>
                  </w14:solidFill>
                </w14:textFill>
              </w:rPr>
            </w:pPr>
            <w:r>
              <w:rPr>
                <w:rFonts w:hint="eastAsia" w:cs="Arial"/>
                <w:color w:val="000000" w:themeColor="text1"/>
                <w:kern w:val="2"/>
                <w:sz w:val="21"/>
                <w14:textFill>
                  <w14:solidFill>
                    <w14:schemeClr w14:val="tx1"/>
                  </w14:solidFill>
                </w14:textFill>
              </w:rPr>
              <w:t>三</w:t>
            </w:r>
          </w:p>
        </w:tc>
        <w:tc>
          <w:tcPr>
            <w:tcW w:w="1067" w:type="pct"/>
            <w:vAlign w:val="center"/>
          </w:tcPr>
          <w:p w14:paraId="54A7B511">
            <w:pPr>
              <w:pStyle w:val="286"/>
              <w:rPr>
                <w:rFonts w:hint="eastAsia" w:cs="Arial"/>
                <w:color w:val="000000" w:themeColor="text1"/>
                <w:kern w:val="2"/>
                <w:sz w:val="21"/>
                <w14:textFill>
                  <w14:solidFill>
                    <w14:schemeClr w14:val="tx1"/>
                  </w14:solidFill>
                </w14:textFill>
              </w:rPr>
            </w:pPr>
            <w:r>
              <w:rPr>
                <w:rFonts w:hint="eastAsia" w:cs="Arial"/>
                <w:color w:val="000000" w:themeColor="text1"/>
                <w:kern w:val="2"/>
                <w:sz w:val="21"/>
                <w14:textFill>
                  <w14:solidFill>
                    <w14:schemeClr w14:val="tx1"/>
                  </w14:solidFill>
                </w14:textFill>
              </w:rPr>
              <w:t>三</w:t>
            </w:r>
          </w:p>
        </w:tc>
      </w:tr>
    </w:tbl>
    <w:p w14:paraId="0FF189C5">
      <w:pPr>
        <w:pStyle w:val="117"/>
        <w:spacing w:line="480" w:lineRule="exact"/>
        <w:ind w:firstLine="480"/>
        <w:rPr>
          <w:rFonts w:hint="eastAsia" w:cs="宋体"/>
          <w:color w:val="000000" w:themeColor="text1"/>
          <w:kern w:val="0"/>
          <w:szCs w:val="20"/>
          <w:lang w:bidi="ar"/>
          <w14:textFill>
            <w14:solidFill>
              <w14:schemeClr w14:val="tx1"/>
            </w14:solidFill>
          </w14:textFill>
        </w:rPr>
      </w:pPr>
      <w:r>
        <w:rPr>
          <w:rFonts w:hint="eastAsia" w:cs="宋体"/>
          <w:color w:val="000000" w:themeColor="text1"/>
          <w:kern w:val="0"/>
          <w:lang w:bidi="ar"/>
          <w14:textFill>
            <w14:solidFill>
              <w14:schemeClr w14:val="tx1"/>
            </w14:solidFill>
          </w14:textFill>
        </w:rPr>
        <w:t>项目周边无</w:t>
      </w:r>
      <w:r>
        <w:rPr>
          <w:rFonts w:hint="eastAsia" w:cs="宋体"/>
          <w:color w:val="000000" w:themeColor="text1"/>
          <w:kern w:val="0"/>
          <w:szCs w:val="20"/>
          <w:lang w:bidi="ar"/>
          <w14:textFill>
            <w14:solidFill>
              <w14:schemeClr w14:val="tx1"/>
            </w14:solidFill>
          </w14:textFill>
        </w:rPr>
        <w:t>“集中式水源区的准保护区、除集中水源地的国家或地方政府设定的地下水环境相关的保护区”，也无“集中式水源区的准保护区以外的补给径流区、分散式饮用水水源地、特殊地下水资源保护区”，敏感程度为“不敏感”。</w:t>
      </w:r>
    </w:p>
    <w:p w14:paraId="403F0383">
      <w:pPr>
        <w:pStyle w:val="117"/>
        <w:spacing w:line="480" w:lineRule="exact"/>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本项目属于陆地石油开采行业，</w:t>
      </w:r>
      <w:r>
        <w:rPr>
          <w:rFonts w:hint="eastAsia" w:cs="宋体"/>
          <w:color w:val="000000" w:themeColor="text1"/>
          <w14:textFill>
            <w14:solidFill>
              <w14:schemeClr w14:val="tx1"/>
            </w14:solidFill>
          </w14:textFill>
        </w:rPr>
        <w:t>根据</w:t>
      </w:r>
      <w:r>
        <w:rPr>
          <w:rFonts w:hint="eastAsia"/>
          <w:color w:val="000000" w:themeColor="text1"/>
          <w14:textFill>
            <w14:solidFill>
              <w14:schemeClr w14:val="tx1"/>
            </w14:solidFill>
          </w14:textFill>
        </w:rPr>
        <w:t>《环境影响评价技术导则 陆地石油天然气开发建设项目》（H</w:t>
      </w:r>
      <w:r>
        <w:rPr>
          <w:color w:val="000000" w:themeColor="text1"/>
          <w14:textFill>
            <w14:solidFill>
              <w14:schemeClr w14:val="tx1"/>
            </w14:solidFill>
          </w14:textFill>
        </w:rPr>
        <w:t>J349</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2023</w:t>
      </w:r>
      <w:r>
        <w:rPr>
          <w:rFonts w:hint="eastAsia"/>
          <w:color w:val="000000" w:themeColor="text1"/>
          <w14:textFill>
            <w14:solidFill>
              <w14:schemeClr w14:val="tx1"/>
            </w14:solidFill>
          </w14:textFill>
        </w:rPr>
        <w:t>）规定采油井场、注水井场和预处理注入站为Ⅰ类建设项目，注气井场、单井采油管线、集油支线为Ⅱ类建设项目，</w:t>
      </w:r>
      <w:bookmarkStart w:id="111" w:name="_Hlk41317454"/>
      <w:bookmarkStart w:id="112" w:name="_Toc445841977"/>
      <w:bookmarkStart w:id="113" w:name="_Toc25869"/>
      <w:r>
        <w:rPr>
          <w:rFonts w:hint="eastAsia"/>
          <w:color w:val="000000" w:themeColor="text1"/>
          <w14:textFill>
            <w14:solidFill>
              <w14:schemeClr w14:val="tx1"/>
            </w14:solidFill>
          </w14:textFill>
        </w:rPr>
        <w:t>单井注气管线为Ⅲ类建设项目，根据表2.</w:t>
      </w:r>
      <w:r>
        <w:rPr>
          <w:color w:val="000000" w:themeColor="text1"/>
          <w14:textFill>
            <w14:solidFill>
              <w14:schemeClr w14:val="tx1"/>
            </w14:solidFill>
          </w14:textFill>
        </w:rPr>
        <w:t>6</w:t>
      </w:r>
      <w:r>
        <w:rPr>
          <w:rFonts w:hint="eastAsia"/>
          <w:color w:val="000000" w:themeColor="text1"/>
          <w14:textFill>
            <w14:solidFill>
              <w14:schemeClr w14:val="tx1"/>
            </w14:solidFill>
          </w14:textFill>
        </w:rPr>
        <w:t>-8判定采油井场、注水井场和预处理注入站地下水评价等级为二级</w:t>
      </w:r>
      <w:bookmarkEnd w:id="111"/>
      <w:r>
        <w:rPr>
          <w:rFonts w:hint="eastAsia"/>
          <w:color w:val="000000" w:themeColor="text1"/>
          <w14:textFill>
            <w14:solidFill>
              <w14:schemeClr w14:val="tx1"/>
            </w14:solidFill>
          </w14:textFill>
        </w:rPr>
        <w:t>，注气井场、单井采油管线、集油干支线和单井注气管线地下水评价等级为三级。</w:t>
      </w:r>
    </w:p>
    <w:p w14:paraId="4C76943A">
      <w:pPr>
        <w:pStyle w:val="117"/>
        <w:spacing w:line="480" w:lineRule="exact"/>
        <w:ind w:firstLine="480"/>
        <w:rPr>
          <w:rFonts w:hint="eastAsia"/>
          <w:color w:val="000000" w:themeColor="text1"/>
          <w14:textFill>
            <w14:solidFill>
              <w14:schemeClr w14:val="tx1"/>
            </w14:solidFill>
          </w14:textFill>
        </w:rPr>
      </w:pPr>
      <w:bookmarkStart w:id="114" w:name="_Hlk92203563"/>
      <w:r>
        <w:rPr>
          <w:rFonts w:hint="eastAsia"/>
          <w:color w:val="000000" w:themeColor="text1"/>
          <w14:textFill>
            <w14:solidFill>
              <w14:schemeClr w14:val="tx1"/>
            </w14:solidFill>
          </w14:textFill>
        </w:rPr>
        <w:t>（</w:t>
      </w:r>
      <w:r>
        <w:rPr>
          <w:color w:val="000000" w:themeColor="text1"/>
          <w14:textFill>
            <w14:solidFill>
              <w14:schemeClr w14:val="tx1"/>
            </w14:solidFill>
          </w14:textFill>
        </w:rPr>
        <w:t>4</w:t>
      </w:r>
      <w:r>
        <w:rPr>
          <w:rFonts w:hint="eastAsia"/>
          <w:color w:val="000000" w:themeColor="text1"/>
          <w14:textFill>
            <w14:solidFill>
              <w14:schemeClr w14:val="tx1"/>
            </w14:solidFill>
          </w14:textFill>
        </w:rPr>
        <w:t>）声环境评价等级</w:t>
      </w:r>
      <w:bookmarkEnd w:id="112"/>
      <w:bookmarkEnd w:id="113"/>
    </w:p>
    <w:p w14:paraId="7C215487">
      <w:pPr>
        <w:pStyle w:val="117"/>
        <w:spacing w:line="480" w:lineRule="exact"/>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项目区属于《声环境质量标准》（GB3096-2008）中的</w:t>
      </w:r>
      <w:r>
        <w:rPr>
          <w:color w:val="000000" w:themeColor="text1"/>
          <w14:textFill>
            <w14:solidFill>
              <w14:schemeClr w14:val="tx1"/>
            </w14:solidFill>
          </w14:textFill>
        </w:rPr>
        <w:t>2</w:t>
      </w:r>
      <w:r>
        <w:rPr>
          <w:rFonts w:hint="eastAsia"/>
          <w:color w:val="000000" w:themeColor="text1"/>
          <w14:textFill>
            <w14:solidFill>
              <w14:schemeClr w14:val="tx1"/>
            </w14:solidFill>
          </w14:textFill>
        </w:rPr>
        <w:t>类功能区，评价范围内无声环境敏感目标，受影响人口数量变化不大。根据《环境影响评价技术导则 声环境》（HJ2.4-20</w:t>
      </w:r>
      <w:r>
        <w:rPr>
          <w:color w:val="000000" w:themeColor="text1"/>
          <w14:textFill>
            <w14:solidFill>
              <w14:schemeClr w14:val="tx1"/>
            </w14:solidFill>
          </w14:textFill>
        </w:rPr>
        <w:t>21</w:t>
      </w:r>
      <w:r>
        <w:rPr>
          <w:rFonts w:hint="eastAsia"/>
          <w:color w:val="000000" w:themeColor="text1"/>
          <w14:textFill>
            <w14:solidFill>
              <w14:schemeClr w14:val="tx1"/>
            </w14:solidFill>
          </w14:textFill>
        </w:rPr>
        <w:t>）的有关要求，确定声环境评价等级为二级。</w:t>
      </w:r>
    </w:p>
    <w:bookmarkEnd w:id="114"/>
    <w:p w14:paraId="25B4A89E">
      <w:pPr>
        <w:pStyle w:val="117"/>
        <w:spacing w:line="480" w:lineRule="exact"/>
        <w:ind w:firstLine="480"/>
        <w:rPr>
          <w:rFonts w:hint="eastAsia"/>
          <w:color w:val="000000" w:themeColor="text1"/>
          <w14:textFill>
            <w14:solidFill>
              <w14:schemeClr w14:val="tx1"/>
            </w14:solidFill>
          </w14:textFill>
        </w:rPr>
      </w:pPr>
      <w:bookmarkStart w:id="115" w:name="_Toc31988"/>
      <w:bookmarkStart w:id="116" w:name="_Toc445841975"/>
      <w:bookmarkStart w:id="117" w:name="_Hlk92203596"/>
      <w:r>
        <w:rPr>
          <w:rFonts w:hint="eastAsia"/>
          <w:color w:val="000000" w:themeColor="text1"/>
          <w14:textFill>
            <w14:solidFill>
              <w14:schemeClr w14:val="tx1"/>
            </w14:solidFill>
          </w14:textFill>
        </w:rPr>
        <w:t>（</w:t>
      </w:r>
      <w:r>
        <w:rPr>
          <w:color w:val="000000" w:themeColor="text1"/>
          <w14:textFill>
            <w14:solidFill>
              <w14:schemeClr w14:val="tx1"/>
            </w14:solidFill>
          </w14:textFill>
        </w:rPr>
        <w:t>5</w:t>
      </w:r>
      <w:r>
        <w:rPr>
          <w:rFonts w:hint="eastAsia"/>
          <w:color w:val="000000" w:themeColor="text1"/>
          <w14:textFill>
            <w14:solidFill>
              <w14:schemeClr w14:val="tx1"/>
            </w14:solidFill>
          </w14:textFill>
        </w:rPr>
        <w:t>）生态环境评价等级</w:t>
      </w:r>
      <w:bookmarkEnd w:id="115"/>
      <w:bookmarkEnd w:id="116"/>
    </w:p>
    <w:bookmarkEnd w:id="117"/>
    <w:p w14:paraId="1EB58CB1">
      <w:pPr>
        <w:pStyle w:val="117"/>
        <w:spacing w:line="480" w:lineRule="exact"/>
        <w:ind w:firstLine="480"/>
        <w:rPr>
          <w:rFonts w:hint="eastAsia" w:ascii="黑体" w:hAnsi="黑体" w:eastAsia="黑体"/>
          <w:color w:val="000000" w:themeColor="text1"/>
          <w:kern w:val="0"/>
          <w:szCs w:val="21"/>
          <w:lang w:val="zh-CN"/>
          <w14:textFill>
            <w14:solidFill>
              <w14:schemeClr w14:val="tx1"/>
            </w14:solidFill>
          </w14:textFill>
        </w:rPr>
      </w:pPr>
      <w:bookmarkStart w:id="118" w:name="_Hlk80048150"/>
      <w:r>
        <w:rPr>
          <w:color w:val="000000" w:themeColor="text1"/>
          <w14:textFill>
            <w14:solidFill>
              <w14:schemeClr w14:val="tx1"/>
            </w14:solidFill>
          </w14:textFill>
        </w:rPr>
        <w:t>《环境影响评价技术导则  生态影响》（</w:t>
      </w:r>
      <w:r>
        <w:fldChar w:fldCharType="begin"/>
      </w:r>
      <w:r>
        <w:instrText xml:space="preserve"> HYPERLINK "http://www.360doc.com/content/10/1102/08/4330919_65871295.shtml" \t "C:UsersAdministratorDesktop环评补充克拉美丽气田环评报告-报批稿_blank" </w:instrText>
      </w:r>
      <w:r>
        <w:fldChar w:fldCharType="separate"/>
      </w:r>
      <w:r>
        <w:rPr>
          <w:color w:val="000000" w:themeColor="text1"/>
          <w14:textFill>
            <w14:solidFill>
              <w14:schemeClr w14:val="tx1"/>
            </w14:solidFill>
          </w14:textFill>
        </w:rPr>
        <w:t>HJ19-2022</w:t>
      </w:r>
      <w:r>
        <w:rPr>
          <w:color w:val="000000" w:themeColor="text1"/>
          <w14:textFill>
            <w14:solidFill>
              <w14:schemeClr w14:val="tx1"/>
            </w14:solidFill>
          </w14:textFill>
        </w:rPr>
        <w:fldChar w:fldCharType="end"/>
      </w:r>
      <w:r>
        <w:rPr>
          <w:color w:val="000000" w:themeColor="text1"/>
          <w14:textFill>
            <w14:solidFill>
              <w14:schemeClr w14:val="tx1"/>
            </w14:solidFill>
          </w14:textFill>
        </w:rPr>
        <w:t>）</w:t>
      </w:r>
      <w:r>
        <w:rPr>
          <w:rFonts w:hint="eastAsia"/>
          <w:color w:val="000000" w:themeColor="text1"/>
          <w14:textFill>
            <w14:solidFill>
              <w14:schemeClr w14:val="tx1"/>
            </w14:solidFill>
          </w14:textFill>
        </w:rPr>
        <w:t>依据建设项目影响区域的生态敏感性和影响程度，评价等级划分为一级、二级和三级，具体判定情况见表</w:t>
      </w:r>
      <w:r>
        <w:rPr>
          <w:color w:val="000000" w:themeColor="text1"/>
          <w14:textFill>
            <w14:solidFill>
              <w14:schemeClr w14:val="tx1"/>
            </w14:solidFill>
          </w14:textFill>
        </w:rPr>
        <w:t>2.6</w:t>
      </w:r>
      <w:r>
        <w:rPr>
          <w:rFonts w:hint="eastAsia"/>
          <w:color w:val="000000" w:themeColor="text1"/>
          <w14:textFill>
            <w14:solidFill>
              <w14:schemeClr w14:val="tx1"/>
            </w14:solidFill>
          </w14:textFill>
        </w:rPr>
        <w:t>-9。</w:t>
      </w:r>
      <w:bookmarkEnd w:id="118"/>
    </w:p>
    <w:p w14:paraId="35E32D3B">
      <w:pPr>
        <w:adjustRightInd w:val="0"/>
        <w:snapToGrid w:val="0"/>
        <w:spacing w:line="500" w:lineRule="exact"/>
        <w:ind w:firstLine="420" w:firstLineChars="200"/>
        <w:jc w:val="center"/>
        <w:rPr>
          <w:rFonts w:hint="eastAsia" w:ascii="黑体" w:hAnsi="黑体" w:eastAsia="黑体"/>
          <w:color w:val="000000" w:themeColor="text1"/>
          <w:kern w:val="0"/>
          <w:szCs w:val="21"/>
          <w:lang w:val="zh-CN"/>
          <w14:textFill>
            <w14:solidFill>
              <w14:schemeClr w14:val="tx1"/>
            </w14:solidFill>
          </w14:textFill>
        </w:rPr>
      </w:pPr>
      <w:r>
        <w:rPr>
          <w:rFonts w:hint="eastAsia" w:ascii="黑体" w:hAnsi="黑体" w:eastAsia="黑体"/>
          <w:color w:val="000000" w:themeColor="text1"/>
          <w:kern w:val="0"/>
          <w:szCs w:val="21"/>
          <w:lang w:val="zh-CN"/>
          <w14:textFill>
            <w14:solidFill>
              <w14:schemeClr w14:val="tx1"/>
            </w14:solidFill>
          </w14:textFill>
        </w:rPr>
        <w:t>表2.</w:t>
      </w:r>
      <w:r>
        <w:rPr>
          <w:rFonts w:ascii="黑体" w:hAnsi="黑体" w:eastAsia="黑体"/>
          <w:color w:val="000000" w:themeColor="text1"/>
          <w:kern w:val="0"/>
          <w:szCs w:val="21"/>
          <w14:textFill>
            <w14:solidFill>
              <w14:schemeClr w14:val="tx1"/>
            </w14:solidFill>
          </w14:textFill>
        </w:rPr>
        <w:t>6</w:t>
      </w:r>
      <w:r>
        <w:rPr>
          <w:rFonts w:hint="eastAsia" w:ascii="黑体" w:hAnsi="黑体" w:eastAsia="黑体"/>
          <w:color w:val="000000" w:themeColor="text1"/>
          <w:kern w:val="0"/>
          <w:szCs w:val="21"/>
          <w14:textFill>
            <w14:solidFill>
              <w14:schemeClr w14:val="tx1"/>
            </w14:solidFill>
          </w14:textFill>
        </w:rPr>
        <w:t>-9  生态环境影响评价等级判定</w:t>
      </w:r>
      <w:r>
        <w:rPr>
          <w:rFonts w:hint="eastAsia" w:ascii="黑体" w:hAnsi="黑体" w:eastAsia="黑体"/>
          <w:color w:val="000000" w:themeColor="text1"/>
          <w:kern w:val="0"/>
          <w:szCs w:val="21"/>
          <w:lang w:val="zh-CN"/>
          <w14:textFill>
            <w14:solidFill>
              <w14:schemeClr w14:val="tx1"/>
            </w14:solidFill>
          </w14:textFill>
        </w:rPr>
        <w:t>一览表</w:t>
      </w:r>
    </w:p>
    <w:tbl>
      <w:tblPr>
        <w:tblStyle w:val="51"/>
        <w:tblW w:w="5000" w:type="pct"/>
        <w:jc w:val="center"/>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autofit"/>
        <w:tblCellMar>
          <w:top w:w="0" w:type="dxa"/>
          <w:left w:w="0" w:type="dxa"/>
          <w:bottom w:w="0" w:type="dxa"/>
          <w:right w:w="0" w:type="dxa"/>
        </w:tblCellMar>
      </w:tblPr>
      <w:tblGrid>
        <w:gridCol w:w="4877"/>
        <w:gridCol w:w="3853"/>
      </w:tblGrid>
      <w:tr w14:paraId="1BF32FF5">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0" w:hRule="atLeast"/>
          <w:tblHeader/>
          <w:jc w:val="center"/>
        </w:trPr>
        <w:tc>
          <w:tcPr>
            <w:tcW w:w="2793" w:type="pct"/>
            <w:vAlign w:val="center"/>
          </w:tcPr>
          <w:p w14:paraId="674AFC7C">
            <w:pPr>
              <w:adjustRightInd w:val="0"/>
              <w:snapToGrid w:val="0"/>
              <w:jc w:val="center"/>
              <w:textAlignment w:val="center"/>
              <w:rPr>
                <w:rFonts w:hint="eastAsia" w:ascii="宋体" w:hAnsi="宋体" w:cs="宋体"/>
                <w:bCs/>
                <w:color w:val="000000" w:themeColor="text1"/>
                <w:kern w:val="0"/>
                <w:szCs w:val="21"/>
                <w14:textFill>
                  <w14:solidFill>
                    <w14:schemeClr w14:val="tx1"/>
                  </w14:solidFill>
                </w14:textFill>
              </w:rPr>
            </w:pPr>
            <w:r>
              <w:rPr>
                <w:rFonts w:hint="eastAsia" w:ascii="宋体" w:hAnsi="宋体" w:cs="宋体"/>
                <w:bCs/>
                <w:color w:val="000000" w:themeColor="text1"/>
                <w:kern w:val="0"/>
                <w:szCs w:val="21"/>
                <w14:textFill>
                  <w14:solidFill>
                    <w14:schemeClr w14:val="tx1"/>
                  </w14:solidFill>
                </w14:textFill>
              </w:rPr>
              <w:t>判定原则</w:t>
            </w:r>
          </w:p>
        </w:tc>
        <w:tc>
          <w:tcPr>
            <w:tcW w:w="2207" w:type="pct"/>
            <w:vAlign w:val="center"/>
          </w:tcPr>
          <w:p w14:paraId="42C508E6">
            <w:pPr>
              <w:adjustRightInd w:val="0"/>
              <w:snapToGrid w:val="0"/>
              <w:jc w:val="center"/>
              <w:textAlignment w:val="center"/>
              <w:rPr>
                <w:rFonts w:hint="eastAsia" w:ascii="宋体" w:hAnsi="宋体" w:cs="宋体"/>
                <w:bCs/>
                <w:color w:val="000000" w:themeColor="text1"/>
                <w:kern w:val="0"/>
                <w:szCs w:val="21"/>
                <w14:textFill>
                  <w14:solidFill>
                    <w14:schemeClr w14:val="tx1"/>
                  </w14:solidFill>
                </w14:textFill>
              </w:rPr>
            </w:pPr>
            <w:r>
              <w:rPr>
                <w:rFonts w:hint="eastAsia" w:ascii="宋体" w:hAnsi="宋体" w:cs="宋体"/>
                <w:bCs/>
                <w:color w:val="000000" w:themeColor="text1"/>
                <w:kern w:val="0"/>
                <w:szCs w:val="21"/>
                <w14:textFill>
                  <w14:solidFill>
                    <w14:schemeClr w14:val="tx1"/>
                  </w14:solidFill>
                </w14:textFill>
              </w:rPr>
              <w:t>判定结果</w:t>
            </w:r>
          </w:p>
        </w:tc>
      </w:tr>
      <w:tr w14:paraId="5173C906">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2793" w:type="pct"/>
            <w:vAlign w:val="center"/>
          </w:tcPr>
          <w:p w14:paraId="5B8379A8">
            <w:pPr>
              <w:adjustRightInd w:val="0"/>
              <w:snapToGrid w:val="0"/>
              <w:jc w:val="left"/>
              <w:textAlignment w:val="center"/>
              <w:rPr>
                <w:rFonts w:hint="eastAsia" w:ascii="宋体" w:hAnsi="宋体" w:cs="宋体"/>
                <w:bCs/>
                <w:color w:val="000000" w:themeColor="text1"/>
                <w:kern w:val="0"/>
                <w:szCs w:val="21"/>
                <w:lang w:val="zh-CN"/>
                <w14:textFill>
                  <w14:solidFill>
                    <w14:schemeClr w14:val="tx1"/>
                  </w14:solidFill>
                </w14:textFill>
              </w:rPr>
            </w:pPr>
            <w:r>
              <w:rPr>
                <w:rFonts w:hint="eastAsia" w:ascii="宋体" w:hAnsi="宋体" w:cs="宋体"/>
                <w:color w:val="000000" w:themeColor="text1"/>
                <w:szCs w:val="21"/>
                <w14:textFill>
                  <w14:solidFill>
                    <w14:schemeClr w14:val="tx1"/>
                  </w14:solidFill>
                </w14:textFill>
              </w:rPr>
              <w:t>a）涉及国家公园、自然保护区、世界自然遗产、重要生境时，评价等级为一级</w:t>
            </w:r>
          </w:p>
        </w:tc>
        <w:tc>
          <w:tcPr>
            <w:tcW w:w="2207" w:type="pct"/>
            <w:vAlign w:val="center"/>
          </w:tcPr>
          <w:p w14:paraId="5DDF0FF3">
            <w:pPr>
              <w:adjustRightInd w:val="0"/>
              <w:snapToGrid w:val="0"/>
              <w:jc w:val="center"/>
              <w:textAlignment w:val="center"/>
              <w:rPr>
                <w:rFonts w:hint="eastAsia" w:ascii="宋体" w:hAnsi="宋体" w:cs="宋体"/>
                <w:bCs/>
                <w:color w:val="000000" w:themeColor="text1"/>
                <w:kern w:val="0"/>
                <w:szCs w:val="21"/>
                <w14:textFill>
                  <w14:solidFill>
                    <w14:schemeClr w14:val="tx1"/>
                  </w14:solidFill>
                </w14:textFill>
              </w:rPr>
            </w:pPr>
            <w:bookmarkStart w:id="119" w:name="OLE_LINK29"/>
            <w:r>
              <w:rPr>
                <w:rFonts w:hint="eastAsia" w:ascii="宋体" w:hAnsi="宋体" w:cs="宋体"/>
                <w:bCs/>
                <w:color w:val="000000" w:themeColor="text1"/>
                <w:kern w:val="0"/>
                <w:szCs w:val="21"/>
                <w14:textFill>
                  <w14:solidFill>
                    <w14:schemeClr w14:val="tx1"/>
                  </w14:solidFill>
                </w14:textFill>
              </w:rPr>
              <w:t>评价范围</w:t>
            </w:r>
            <w:bookmarkEnd w:id="119"/>
            <w:r>
              <w:rPr>
                <w:rFonts w:hint="eastAsia" w:ascii="宋体" w:hAnsi="宋体" w:cs="宋体"/>
                <w:bCs/>
                <w:color w:val="000000" w:themeColor="text1"/>
                <w:kern w:val="0"/>
                <w:szCs w:val="21"/>
                <w14:textFill>
                  <w14:solidFill>
                    <w14:schemeClr w14:val="tx1"/>
                  </w14:solidFill>
                </w14:textFill>
              </w:rPr>
              <w:t>内不涉及</w:t>
            </w:r>
          </w:p>
        </w:tc>
      </w:tr>
      <w:tr w14:paraId="3E781FA6">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2793" w:type="pct"/>
            <w:vAlign w:val="center"/>
          </w:tcPr>
          <w:p w14:paraId="61F3CCA9">
            <w:pPr>
              <w:adjustRightInd w:val="0"/>
              <w:snapToGrid w:val="0"/>
              <w:jc w:val="left"/>
              <w:textAlignment w:val="center"/>
              <w:rPr>
                <w:rFonts w:hint="eastAsia" w:ascii="宋体" w:hAnsi="宋体" w:cs="宋体"/>
                <w:bCs/>
                <w:color w:val="000000" w:themeColor="text1"/>
                <w:kern w:val="0"/>
                <w:szCs w:val="21"/>
                <w:lang w:val="zh-CN"/>
                <w14:textFill>
                  <w14:solidFill>
                    <w14:schemeClr w14:val="tx1"/>
                  </w14:solidFill>
                </w14:textFill>
              </w:rPr>
            </w:pPr>
            <w:r>
              <w:rPr>
                <w:rFonts w:hint="eastAsia" w:ascii="宋体" w:hAnsi="宋体" w:cs="宋体"/>
                <w:color w:val="000000" w:themeColor="text1"/>
                <w:szCs w:val="21"/>
                <w14:textFill>
                  <w14:solidFill>
                    <w14:schemeClr w14:val="tx1"/>
                  </w14:solidFill>
                </w14:textFill>
              </w:rPr>
              <w:t>b）涉及自然公园时，评价等级为二级</w:t>
            </w:r>
          </w:p>
        </w:tc>
        <w:tc>
          <w:tcPr>
            <w:tcW w:w="2207" w:type="pct"/>
            <w:vAlign w:val="center"/>
          </w:tcPr>
          <w:p w14:paraId="60FF554C">
            <w:pPr>
              <w:adjustRightInd w:val="0"/>
              <w:snapToGrid w:val="0"/>
              <w:jc w:val="center"/>
              <w:textAlignment w:val="center"/>
              <w:rPr>
                <w:rFonts w:hint="eastAsia" w:ascii="宋体" w:hAnsi="宋体" w:cs="宋体"/>
                <w:bCs/>
                <w:color w:val="000000" w:themeColor="text1"/>
                <w:kern w:val="0"/>
                <w:szCs w:val="21"/>
                <w14:textFill>
                  <w14:solidFill>
                    <w14:schemeClr w14:val="tx1"/>
                  </w14:solidFill>
                </w14:textFill>
              </w:rPr>
            </w:pPr>
            <w:r>
              <w:rPr>
                <w:rFonts w:hint="eastAsia" w:ascii="宋体" w:hAnsi="宋体" w:cs="宋体"/>
                <w:bCs/>
                <w:color w:val="000000" w:themeColor="text1"/>
                <w:kern w:val="0"/>
                <w:szCs w:val="21"/>
                <w14:textFill>
                  <w14:solidFill>
                    <w14:schemeClr w14:val="tx1"/>
                  </w14:solidFill>
                </w14:textFill>
              </w:rPr>
              <w:t>评价范围内不涉及</w:t>
            </w:r>
          </w:p>
        </w:tc>
      </w:tr>
      <w:tr w14:paraId="17DDAF18">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2793" w:type="pct"/>
            <w:vAlign w:val="center"/>
          </w:tcPr>
          <w:p w14:paraId="2162F162">
            <w:pPr>
              <w:adjustRightInd w:val="0"/>
              <w:snapToGrid w:val="0"/>
              <w:jc w:val="left"/>
              <w:textAlignment w:val="center"/>
              <w:rPr>
                <w:rFonts w:hint="eastAsia" w:ascii="宋体" w:hAnsi="宋体" w:cs="宋体"/>
                <w:bCs/>
                <w:color w:val="000000" w:themeColor="text1"/>
                <w:kern w:val="0"/>
                <w:szCs w:val="21"/>
                <w:lang w:val="zh-CN"/>
                <w14:textFill>
                  <w14:solidFill>
                    <w14:schemeClr w14:val="tx1"/>
                  </w14:solidFill>
                </w14:textFill>
              </w:rPr>
            </w:pPr>
            <w:r>
              <w:rPr>
                <w:rFonts w:hint="eastAsia" w:ascii="宋体" w:hAnsi="宋体" w:cs="宋体"/>
                <w:color w:val="000000" w:themeColor="text1"/>
                <w:szCs w:val="21"/>
                <w14:textFill>
                  <w14:solidFill>
                    <w14:schemeClr w14:val="tx1"/>
                  </w14:solidFill>
                </w14:textFill>
              </w:rPr>
              <w:t>c）涉及生态保护红线时，评价等级不低于二级</w:t>
            </w:r>
          </w:p>
        </w:tc>
        <w:tc>
          <w:tcPr>
            <w:tcW w:w="2207" w:type="pct"/>
            <w:vAlign w:val="center"/>
          </w:tcPr>
          <w:p w14:paraId="6BD2FA6A">
            <w:pPr>
              <w:adjustRightInd w:val="0"/>
              <w:snapToGrid w:val="0"/>
              <w:jc w:val="center"/>
              <w:textAlignment w:val="center"/>
              <w:rPr>
                <w:rFonts w:hint="eastAsia" w:ascii="宋体" w:hAnsi="宋体" w:cs="宋体"/>
                <w:bCs/>
                <w:color w:val="000000" w:themeColor="text1"/>
                <w:kern w:val="0"/>
                <w:szCs w:val="21"/>
                <w14:textFill>
                  <w14:solidFill>
                    <w14:schemeClr w14:val="tx1"/>
                  </w14:solidFill>
                </w14:textFill>
              </w:rPr>
            </w:pPr>
            <w:r>
              <w:rPr>
                <w:rFonts w:hint="eastAsia" w:ascii="宋体" w:hAnsi="宋体" w:cs="宋体"/>
                <w:bCs/>
                <w:color w:val="000000" w:themeColor="text1"/>
                <w:kern w:val="0"/>
                <w:szCs w:val="21"/>
                <w14:textFill>
                  <w14:solidFill>
                    <w14:schemeClr w14:val="tx1"/>
                  </w14:solidFill>
                </w14:textFill>
              </w:rPr>
              <w:t>评价范围内不涉及</w:t>
            </w:r>
          </w:p>
        </w:tc>
      </w:tr>
      <w:tr w14:paraId="055673F4">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2793" w:type="pct"/>
            <w:vAlign w:val="center"/>
          </w:tcPr>
          <w:p w14:paraId="2E92E57D">
            <w:pPr>
              <w:adjustRightInd w:val="0"/>
              <w:snapToGrid w:val="0"/>
              <w:jc w:val="left"/>
              <w:textAlignment w:val="center"/>
              <w:rPr>
                <w:rFonts w:hint="eastAsia" w:ascii="宋体" w:hAnsi="宋体" w:cs="宋体"/>
                <w:bCs/>
                <w:color w:val="000000" w:themeColor="text1"/>
                <w:kern w:val="0"/>
                <w:szCs w:val="21"/>
                <w:lang w:val="zh-CN"/>
                <w14:textFill>
                  <w14:solidFill>
                    <w14:schemeClr w14:val="tx1"/>
                  </w14:solidFill>
                </w14:textFill>
              </w:rPr>
            </w:pPr>
            <w:r>
              <w:rPr>
                <w:rFonts w:hint="eastAsia" w:ascii="宋体" w:hAnsi="宋体" w:cs="宋体"/>
                <w:color w:val="000000" w:themeColor="text1"/>
                <w:szCs w:val="21"/>
                <w14:textFill>
                  <w14:solidFill>
                    <w14:schemeClr w14:val="tx1"/>
                  </w14:solidFill>
                </w14:textFill>
              </w:rPr>
              <w:t>d）根据HJ2.3判断属于水文要素影响型且地表水评价等级不低于二级的建设项目，生态影响评价等级不低于二级</w:t>
            </w:r>
          </w:p>
        </w:tc>
        <w:tc>
          <w:tcPr>
            <w:tcW w:w="2207" w:type="pct"/>
            <w:vAlign w:val="center"/>
          </w:tcPr>
          <w:p w14:paraId="547AC7F9">
            <w:pPr>
              <w:adjustRightInd w:val="0"/>
              <w:snapToGrid w:val="0"/>
              <w:jc w:val="center"/>
              <w:textAlignment w:val="center"/>
              <w:rPr>
                <w:rFonts w:hint="eastAsia" w:ascii="宋体" w:hAnsi="宋体" w:cs="宋体"/>
                <w:bCs/>
                <w:color w:val="000000" w:themeColor="text1"/>
                <w:kern w:val="0"/>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不属于水文要素影响型建设项目</w:t>
            </w:r>
          </w:p>
        </w:tc>
      </w:tr>
      <w:tr w14:paraId="7EC7426E">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2793" w:type="pct"/>
            <w:vAlign w:val="center"/>
          </w:tcPr>
          <w:p w14:paraId="60AAF89B">
            <w:pPr>
              <w:adjustRightInd w:val="0"/>
              <w:snapToGrid w:val="0"/>
              <w:jc w:val="left"/>
              <w:textAlignment w:val="center"/>
              <w:rPr>
                <w:rFonts w:hint="eastAsia" w:ascii="宋体" w:hAnsi="宋体" w:cs="宋体"/>
                <w:bCs/>
                <w:color w:val="000000" w:themeColor="text1"/>
                <w:kern w:val="0"/>
                <w:szCs w:val="21"/>
                <w:lang w:val="zh-CN"/>
                <w14:textFill>
                  <w14:solidFill>
                    <w14:schemeClr w14:val="tx1"/>
                  </w14:solidFill>
                </w14:textFill>
              </w:rPr>
            </w:pPr>
            <w:r>
              <w:rPr>
                <w:rFonts w:hint="eastAsia" w:ascii="宋体" w:hAnsi="宋体" w:cs="宋体"/>
                <w:color w:val="000000" w:themeColor="text1"/>
                <w:szCs w:val="21"/>
                <w14:textFill>
                  <w14:solidFill>
                    <w14:schemeClr w14:val="tx1"/>
                  </w14:solidFill>
                </w14:textFill>
              </w:rPr>
              <w:t>e）根据HJ610、HJ964判断地下水水位或土壤影响范围内分布有天然林、公益林、湿地等生态保护目标的建设项目，生态影响评价等级不低于二级</w:t>
            </w:r>
          </w:p>
        </w:tc>
        <w:tc>
          <w:tcPr>
            <w:tcW w:w="2207" w:type="pct"/>
            <w:vAlign w:val="center"/>
          </w:tcPr>
          <w:p w14:paraId="1A104F84">
            <w:pPr>
              <w:adjustRightInd w:val="0"/>
              <w:snapToGrid w:val="0"/>
              <w:jc w:val="center"/>
              <w:textAlignment w:val="center"/>
              <w:rPr>
                <w:rFonts w:hint="eastAsia" w:ascii="宋体" w:hAnsi="宋体" w:cs="宋体"/>
                <w:bCs/>
                <w:color w:val="000000" w:themeColor="text1"/>
                <w:kern w:val="0"/>
                <w:szCs w:val="21"/>
                <w14:textFill>
                  <w14:solidFill>
                    <w14:schemeClr w14:val="tx1"/>
                  </w14:solidFill>
                </w14:textFill>
              </w:rPr>
            </w:pPr>
            <w:r>
              <w:rPr>
                <w:rFonts w:hint="eastAsia" w:ascii="宋体" w:hAnsi="宋体" w:cs="宋体"/>
                <w:bCs/>
                <w:color w:val="000000" w:themeColor="text1"/>
                <w:kern w:val="0"/>
                <w:szCs w:val="21"/>
                <w14:textFill>
                  <w14:solidFill>
                    <w14:schemeClr w14:val="tx1"/>
                  </w14:solidFill>
                </w14:textFill>
              </w:rPr>
              <w:t>评价范围内不涉及天然林、公益林和湿地</w:t>
            </w:r>
          </w:p>
        </w:tc>
      </w:tr>
      <w:tr w14:paraId="499B99C2">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2793" w:type="pct"/>
            <w:vAlign w:val="center"/>
          </w:tcPr>
          <w:p w14:paraId="3D4C811A">
            <w:pPr>
              <w:adjustRightInd w:val="0"/>
              <w:snapToGrid w:val="0"/>
              <w:jc w:val="left"/>
              <w:textAlignment w:val="center"/>
              <w:rPr>
                <w:rFonts w:hint="eastAsia" w:ascii="宋体" w:hAnsi="宋体" w:cs="宋体"/>
                <w:bCs/>
                <w:color w:val="000000" w:themeColor="text1"/>
                <w:kern w:val="0"/>
                <w:szCs w:val="21"/>
                <w:lang w:val="zh-CN"/>
                <w14:textFill>
                  <w14:solidFill>
                    <w14:schemeClr w14:val="tx1"/>
                  </w14:solidFill>
                </w14:textFill>
              </w:rPr>
            </w:pPr>
            <w:r>
              <w:rPr>
                <w:rFonts w:hint="eastAsia" w:ascii="宋体" w:hAnsi="宋体" w:cs="宋体"/>
                <w:color w:val="000000" w:themeColor="text1"/>
                <w:szCs w:val="21"/>
                <w14:textFill>
                  <w14:solidFill>
                    <w14:schemeClr w14:val="tx1"/>
                  </w14:solidFill>
                </w14:textFill>
              </w:rPr>
              <w:t>f）当工程占地规模大于20km</w:t>
            </w:r>
            <w:r>
              <w:rPr>
                <w:rFonts w:hint="eastAsia" w:ascii="宋体" w:hAnsi="宋体" w:cs="宋体"/>
                <w:color w:val="000000" w:themeColor="text1"/>
                <w:szCs w:val="21"/>
                <w:vertAlign w:val="superscript"/>
                <w14:textFill>
                  <w14:solidFill>
                    <w14:schemeClr w14:val="tx1"/>
                  </w14:solidFill>
                </w14:textFill>
              </w:rPr>
              <w:t>2</w:t>
            </w:r>
            <w:r>
              <w:rPr>
                <w:rFonts w:hint="eastAsia" w:ascii="宋体" w:hAnsi="宋体" w:cs="宋体"/>
                <w:color w:val="000000" w:themeColor="text1"/>
                <w:szCs w:val="21"/>
                <w14:textFill>
                  <w14:solidFill>
                    <w14:schemeClr w14:val="tx1"/>
                  </w14:solidFill>
                </w14:textFill>
              </w:rPr>
              <w:t>时（包括永久和临时占用陆域和水域），评价等级不低于二级；改扩建项目的占地范围以新增占地（包括陆域和水域）确定</w:t>
            </w:r>
          </w:p>
        </w:tc>
        <w:tc>
          <w:tcPr>
            <w:tcW w:w="2207" w:type="pct"/>
            <w:vAlign w:val="center"/>
          </w:tcPr>
          <w:p w14:paraId="3B01A820">
            <w:pPr>
              <w:adjustRightInd w:val="0"/>
              <w:snapToGrid w:val="0"/>
              <w:jc w:val="center"/>
              <w:textAlignment w:val="center"/>
              <w:rPr>
                <w:rFonts w:hint="eastAsia" w:ascii="宋体" w:hAnsi="宋体" w:cs="宋体"/>
                <w:bCs/>
                <w:color w:val="000000" w:themeColor="text1"/>
                <w:kern w:val="0"/>
                <w:szCs w:val="21"/>
                <w14:textFill>
                  <w14:solidFill>
                    <w14:schemeClr w14:val="tx1"/>
                  </w14:solidFill>
                </w14:textFill>
              </w:rPr>
            </w:pPr>
            <w:r>
              <w:rPr>
                <w:rFonts w:hint="eastAsia" w:ascii="宋体" w:hAnsi="宋体" w:cs="宋体"/>
                <w:bCs/>
                <w:color w:val="000000" w:themeColor="text1"/>
                <w:kern w:val="0"/>
                <w:szCs w:val="21"/>
                <w14:textFill>
                  <w14:solidFill>
                    <w14:schemeClr w14:val="tx1"/>
                  </w14:solidFill>
                </w14:textFill>
              </w:rPr>
              <w:t>新增占地0.118881</w:t>
            </w:r>
            <w:r>
              <w:rPr>
                <w:rFonts w:ascii="宋体" w:hAnsi="宋体" w:cs="宋体"/>
                <w:bCs/>
                <w:color w:val="000000" w:themeColor="text1"/>
                <w:kern w:val="0"/>
                <w:szCs w:val="21"/>
                <w14:textFill>
                  <w14:solidFill>
                    <w14:schemeClr w14:val="tx1"/>
                  </w14:solidFill>
                </w14:textFill>
              </w:rPr>
              <w:t>km</w:t>
            </w:r>
            <w:r>
              <w:rPr>
                <w:rFonts w:ascii="宋体" w:hAnsi="宋体" w:cs="宋体"/>
                <w:bCs/>
                <w:color w:val="000000" w:themeColor="text1"/>
                <w:kern w:val="0"/>
                <w:szCs w:val="21"/>
                <w:vertAlign w:val="superscript"/>
                <w14:textFill>
                  <w14:solidFill>
                    <w14:schemeClr w14:val="tx1"/>
                  </w14:solidFill>
                </w14:textFill>
              </w:rPr>
              <w:t>2</w:t>
            </w:r>
            <w:r>
              <w:rPr>
                <w:rFonts w:hint="eastAsia" w:ascii="宋体" w:hAnsi="宋体" w:cs="宋体"/>
                <w:bCs/>
                <w:color w:val="000000" w:themeColor="text1"/>
                <w:kern w:val="0"/>
                <w:szCs w:val="21"/>
                <w14:textFill>
                  <w14:solidFill>
                    <w14:schemeClr w14:val="tx1"/>
                  </w14:solidFill>
                </w14:textFill>
              </w:rPr>
              <w:t>，小于2</w:t>
            </w:r>
            <w:r>
              <w:rPr>
                <w:rFonts w:ascii="宋体" w:hAnsi="宋体" w:cs="宋体"/>
                <w:bCs/>
                <w:color w:val="000000" w:themeColor="text1"/>
                <w:kern w:val="0"/>
                <w:szCs w:val="21"/>
                <w14:textFill>
                  <w14:solidFill>
                    <w14:schemeClr w14:val="tx1"/>
                  </w14:solidFill>
                </w14:textFill>
              </w:rPr>
              <w:t>0</w:t>
            </w:r>
            <w:r>
              <w:rPr>
                <w:rFonts w:hint="eastAsia" w:ascii="宋体" w:hAnsi="宋体" w:cs="宋体"/>
                <w:color w:val="000000" w:themeColor="text1"/>
                <w:szCs w:val="21"/>
                <w14:textFill>
                  <w14:solidFill>
                    <w14:schemeClr w14:val="tx1"/>
                  </w14:solidFill>
                </w14:textFill>
              </w:rPr>
              <w:t>km</w:t>
            </w:r>
            <w:r>
              <w:rPr>
                <w:rFonts w:hint="eastAsia" w:ascii="宋体" w:hAnsi="宋体" w:cs="宋体"/>
                <w:color w:val="000000" w:themeColor="text1"/>
                <w:szCs w:val="21"/>
                <w:vertAlign w:val="superscript"/>
                <w14:textFill>
                  <w14:solidFill>
                    <w14:schemeClr w14:val="tx1"/>
                  </w14:solidFill>
                </w14:textFill>
              </w:rPr>
              <w:t>2</w:t>
            </w:r>
          </w:p>
        </w:tc>
      </w:tr>
      <w:tr w14:paraId="0F6B31C0">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2793" w:type="pct"/>
            <w:vAlign w:val="center"/>
          </w:tcPr>
          <w:p w14:paraId="716681EA">
            <w:pPr>
              <w:adjustRightInd w:val="0"/>
              <w:snapToGrid w:val="0"/>
              <w:jc w:val="left"/>
              <w:textAlignment w:val="center"/>
              <w:rPr>
                <w:rFonts w:hint="eastAsia" w:ascii="宋体" w:hAnsi="宋体" w:cs="宋体"/>
                <w:bCs/>
                <w:color w:val="000000" w:themeColor="text1"/>
                <w:kern w:val="0"/>
                <w:szCs w:val="21"/>
                <w:lang w:val="zh-CN"/>
                <w14:textFill>
                  <w14:solidFill>
                    <w14:schemeClr w14:val="tx1"/>
                  </w14:solidFill>
                </w14:textFill>
              </w:rPr>
            </w:pPr>
            <w:r>
              <w:rPr>
                <w:rFonts w:hint="eastAsia" w:ascii="宋体" w:hAnsi="宋体" w:cs="宋体"/>
                <w:color w:val="000000" w:themeColor="text1"/>
                <w:szCs w:val="21"/>
                <w14:textFill>
                  <w14:solidFill>
                    <w14:schemeClr w14:val="tx1"/>
                  </w14:solidFill>
                </w14:textFill>
              </w:rPr>
              <w:t>g）除本条a）、b）、c）、d）、e）、f）以外的情况，评价等级为三级</w:t>
            </w:r>
          </w:p>
        </w:tc>
        <w:tc>
          <w:tcPr>
            <w:tcW w:w="2207" w:type="pct"/>
            <w:vAlign w:val="center"/>
          </w:tcPr>
          <w:p w14:paraId="0492D111">
            <w:pPr>
              <w:adjustRightInd w:val="0"/>
              <w:snapToGrid w:val="0"/>
              <w:jc w:val="center"/>
              <w:textAlignment w:val="center"/>
              <w:rPr>
                <w:rFonts w:hint="eastAsia" w:ascii="宋体" w:hAnsi="宋体" w:cs="宋体"/>
                <w:bCs/>
                <w:color w:val="000000" w:themeColor="text1"/>
                <w:kern w:val="0"/>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属于《环境影响评价技术导则 生态影响》（HJ19-2022)6.1.2评价等级确定原则a）、b）、c）、d）、e）、f）以外的情况，评价等级为三级</w:t>
            </w:r>
          </w:p>
        </w:tc>
      </w:tr>
      <w:tr w14:paraId="6011E0A6">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2793" w:type="pct"/>
            <w:vAlign w:val="center"/>
          </w:tcPr>
          <w:p w14:paraId="1E604B8C">
            <w:pPr>
              <w:adjustRightInd w:val="0"/>
              <w:snapToGrid w:val="0"/>
              <w:jc w:val="left"/>
              <w:textAlignment w:val="center"/>
              <w:rPr>
                <w:rFonts w:hint="eastAsia" w:ascii="宋体" w:hAnsi="宋体" w:cs="宋体"/>
                <w:bCs/>
                <w:color w:val="000000" w:themeColor="text1"/>
                <w:kern w:val="0"/>
                <w:szCs w:val="21"/>
                <w:lang w:val="zh-CN"/>
                <w14:textFill>
                  <w14:solidFill>
                    <w14:schemeClr w14:val="tx1"/>
                  </w14:solidFill>
                </w14:textFill>
              </w:rPr>
            </w:pPr>
            <w:r>
              <w:rPr>
                <w:rFonts w:hint="eastAsia" w:ascii="宋体" w:hAnsi="宋体" w:cs="宋体"/>
                <w:color w:val="000000" w:themeColor="text1"/>
                <w:szCs w:val="21"/>
                <w14:textFill>
                  <w14:solidFill>
                    <w14:schemeClr w14:val="tx1"/>
                  </w14:solidFill>
                </w14:textFill>
              </w:rPr>
              <w:t>h）当评价等级判定同时符合上述多种情况时，应采用其中最高的评价等级</w:t>
            </w:r>
          </w:p>
        </w:tc>
        <w:tc>
          <w:tcPr>
            <w:tcW w:w="2207" w:type="pct"/>
            <w:vAlign w:val="center"/>
          </w:tcPr>
          <w:p w14:paraId="6F3F078F">
            <w:pPr>
              <w:adjustRightInd w:val="0"/>
              <w:snapToGrid w:val="0"/>
              <w:jc w:val="center"/>
              <w:textAlignment w:val="center"/>
              <w:rPr>
                <w:rFonts w:hint="eastAsia" w:ascii="宋体" w:hAnsi="宋体" w:cs="宋体"/>
                <w:bCs/>
                <w:color w:val="000000" w:themeColor="text1"/>
                <w:kern w:val="0"/>
                <w:szCs w:val="21"/>
                <w14:textFill>
                  <w14:solidFill>
                    <w14:schemeClr w14:val="tx1"/>
                  </w14:solidFill>
                </w14:textFill>
              </w:rPr>
            </w:pPr>
            <w:r>
              <w:rPr>
                <w:rFonts w:hint="eastAsia" w:ascii="宋体" w:hAnsi="宋体" w:cs="宋体"/>
                <w:bCs/>
                <w:color w:val="000000" w:themeColor="text1"/>
                <w:kern w:val="0"/>
                <w:szCs w:val="21"/>
                <w14:textFill>
                  <w14:solidFill>
                    <w14:schemeClr w14:val="tx1"/>
                  </w14:solidFill>
                </w14:textFill>
              </w:rPr>
              <w:t>仅符合上述g条，评价等级为三级</w:t>
            </w:r>
          </w:p>
        </w:tc>
      </w:tr>
      <w:tr w14:paraId="39D81F0F">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2793" w:type="pct"/>
            <w:vAlign w:val="center"/>
          </w:tcPr>
          <w:p w14:paraId="28E42922">
            <w:pPr>
              <w:autoSpaceDE w:val="0"/>
              <w:autoSpaceDN w:val="0"/>
              <w:adjustRightInd w:val="0"/>
              <w:snapToGrid w:val="0"/>
              <w:jc w:val="center"/>
              <w:rPr>
                <w:rFonts w:hint="eastAsia" w:ascii="宋体" w:hAnsi="宋体" w:cs="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建设项目涉及经论证对保护生物多样性具有重要意义的区域时，可适当上调评价等级。</w:t>
            </w:r>
          </w:p>
        </w:tc>
        <w:tc>
          <w:tcPr>
            <w:tcW w:w="2207" w:type="pct"/>
            <w:vAlign w:val="center"/>
          </w:tcPr>
          <w:p w14:paraId="540AB53F">
            <w:pPr>
              <w:adjustRightInd w:val="0"/>
              <w:snapToGrid w:val="0"/>
              <w:jc w:val="center"/>
              <w:textAlignment w:val="center"/>
              <w:rPr>
                <w:rFonts w:hint="eastAsia" w:ascii="宋体" w:hAnsi="宋体" w:cs="宋体"/>
                <w:bCs/>
                <w:color w:val="000000" w:themeColor="text1"/>
                <w:kern w:val="0"/>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占地范围内不涉及对保护生物多样性具有重要意义的区域，无需上调评价等级</w:t>
            </w:r>
          </w:p>
        </w:tc>
      </w:tr>
    </w:tbl>
    <w:p w14:paraId="332C4EE1">
      <w:pPr>
        <w:pStyle w:val="117"/>
        <w:spacing w:line="480" w:lineRule="exact"/>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由表</w:t>
      </w:r>
      <w:r>
        <w:rPr>
          <w:color w:val="000000" w:themeColor="text1"/>
          <w14:textFill>
            <w14:solidFill>
              <w14:schemeClr w14:val="tx1"/>
            </w14:solidFill>
          </w14:textFill>
        </w:rPr>
        <w:t>2.6</w:t>
      </w:r>
      <w:r>
        <w:rPr>
          <w:rFonts w:hint="eastAsia"/>
          <w:color w:val="000000" w:themeColor="text1"/>
          <w14:textFill>
            <w14:solidFill>
              <w14:schemeClr w14:val="tx1"/>
            </w14:solidFill>
          </w14:textFill>
        </w:rPr>
        <w:t>-9可知，生态影响评价等级为三级。</w:t>
      </w:r>
    </w:p>
    <w:p w14:paraId="45DACBB4">
      <w:pPr>
        <w:pStyle w:val="117"/>
        <w:spacing w:line="480" w:lineRule="exact"/>
        <w:ind w:firstLine="480"/>
        <w:rPr>
          <w:rFonts w:hint="eastAsia"/>
          <w:color w:val="000000" w:themeColor="text1"/>
          <w:lang w:val="zh-CN"/>
          <w14:textFill>
            <w14:solidFill>
              <w14:schemeClr w14:val="tx1"/>
            </w14:solidFill>
          </w14:textFill>
        </w:rPr>
      </w:pPr>
      <w:bookmarkStart w:id="120" w:name="_Toc24207"/>
      <w:bookmarkStart w:id="121" w:name="_Toc445841978"/>
      <w:r>
        <w:rPr>
          <w:rFonts w:hint="eastAsia"/>
          <w:color w:val="000000" w:themeColor="text1"/>
          <w:lang w:val="zh-CN"/>
          <w14:textFill>
            <w14:solidFill>
              <w14:schemeClr w14:val="tx1"/>
            </w14:solidFill>
          </w14:textFill>
        </w:rPr>
        <w:t>（6）土壤环境评价等级</w:t>
      </w:r>
    </w:p>
    <w:p w14:paraId="75C59A8B">
      <w:pPr>
        <w:pStyle w:val="117"/>
        <w:spacing w:line="480" w:lineRule="exact"/>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项目所在区域土壤盐分含量为5.4-57.7g/kg，为盐化地区，根据《环境影响评价技术导则 </w:t>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陆地石油天然气开发建设项目》（H</w:t>
      </w:r>
      <w:r>
        <w:rPr>
          <w:color w:val="000000" w:themeColor="text1"/>
          <w14:textFill>
            <w14:solidFill>
              <w14:schemeClr w14:val="tx1"/>
            </w14:solidFill>
          </w14:textFill>
        </w:rPr>
        <w:t>J349-2023</w:t>
      </w:r>
      <w:r>
        <w:rPr>
          <w:rFonts w:hint="eastAsia"/>
          <w:color w:val="000000" w:themeColor="text1"/>
          <w14:textFill>
            <w14:solidFill>
              <w14:schemeClr w14:val="tx1"/>
            </w14:solidFill>
          </w14:textFill>
        </w:rPr>
        <w:t>）中规定，项目应按照土壤污染影响型和生态影响型，按相应等级分别开展评价工作。</w:t>
      </w:r>
    </w:p>
    <w:p w14:paraId="38C6C4C0">
      <w:pPr>
        <w:pStyle w:val="117"/>
        <w:numPr>
          <w:ilvl w:val="0"/>
          <w:numId w:val="3"/>
        </w:numPr>
        <w:spacing w:line="480" w:lineRule="exact"/>
        <w:ind w:firstLineChars="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土壤污染影响型</w:t>
      </w:r>
    </w:p>
    <w:p w14:paraId="3C76D623">
      <w:pPr>
        <w:pStyle w:val="117"/>
        <w:spacing w:line="480" w:lineRule="exact"/>
        <w:ind w:firstLine="480"/>
        <w:rPr>
          <w:rFonts w:hint="eastAsia"/>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土壤污染影响型项目根据评价类别、占地规模与敏感程度划分评价等级，见表</w:t>
      </w:r>
      <w:r>
        <w:rPr>
          <w:rFonts w:hint="eastAsia"/>
          <w:color w:val="000000" w:themeColor="text1"/>
          <w14:textFill>
            <w14:solidFill>
              <w14:schemeClr w14:val="tx1"/>
            </w14:solidFill>
          </w14:textFill>
        </w:rPr>
        <w:t>2.</w:t>
      </w:r>
      <w:r>
        <w:rPr>
          <w:color w:val="000000" w:themeColor="text1"/>
          <w14:textFill>
            <w14:solidFill>
              <w14:schemeClr w14:val="tx1"/>
            </w14:solidFill>
          </w14:textFill>
        </w:rPr>
        <w:t>6</w:t>
      </w:r>
      <w:r>
        <w:rPr>
          <w:rFonts w:hint="eastAsia"/>
          <w:color w:val="000000" w:themeColor="text1"/>
          <w14:textFill>
            <w14:solidFill>
              <w14:schemeClr w14:val="tx1"/>
            </w14:solidFill>
          </w14:textFill>
        </w:rPr>
        <w:t>-10</w:t>
      </w:r>
      <w:r>
        <w:rPr>
          <w:rFonts w:hint="eastAsia"/>
          <w:color w:val="000000" w:themeColor="text1"/>
          <w:lang w:val="zh-CN"/>
          <w14:textFill>
            <w14:solidFill>
              <w14:schemeClr w14:val="tx1"/>
            </w14:solidFill>
          </w14:textFill>
        </w:rPr>
        <w:t>。</w:t>
      </w:r>
    </w:p>
    <w:p w14:paraId="3601D522">
      <w:pPr>
        <w:pStyle w:val="15"/>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表2.</w:t>
      </w:r>
      <w:r>
        <w:rPr>
          <w:color w:val="000000" w:themeColor="text1"/>
          <w14:textFill>
            <w14:solidFill>
              <w14:schemeClr w14:val="tx1"/>
            </w14:solidFill>
          </w14:textFill>
        </w:rPr>
        <w:t>6</w:t>
      </w:r>
      <w:r>
        <w:rPr>
          <w:rFonts w:hint="eastAsia"/>
          <w:color w:val="000000" w:themeColor="text1"/>
          <w14:textFill>
            <w14:solidFill>
              <w14:schemeClr w14:val="tx1"/>
            </w14:solidFill>
          </w14:textFill>
        </w:rPr>
        <w:t>-10  污染影响型评价工作等级划分表</w:t>
      </w:r>
      <w:r>
        <w:rPr>
          <w:rFonts w:hint="eastAsia" w:cs="Arial"/>
          <w:color w:val="000000" w:themeColor="text1"/>
          <w:szCs w:val="21"/>
          <w14:textFill>
            <w14:solidFill>
              <w14:schemeClr w14:val="tx1"/>
            </w14:solidFill>
          </w14:textFill>
        </w:rPr>
        <mc:AlternateContent>
          <mc:Choice Requires="wps">
            <w:drawing>
              <wp:anchor distT="0" distB="0" distL="114300" distR="114300" simplePos="0" relativeHeight="251660288" behindDoc="0" locked="0" layoutInCell="1" allowOverlap="1">
                <wp:simplePos x="0" y="0"/>
                <wp:positionH relativeFrom="column">
                  <wp:posOffset>-111760</wp:posOffset>
                </wp:positionH>
                <wp:positionV relativeFrom="paragraph">
                  <wp:posOffset>668020</wp:posOffset>
                </wp:positionV>
                <wp:extent cx="1570355" cy="358775"/>
                <wp:effectExtent l="10795" t="12700" r="9525" b="9525"/>
                <wp:wrapNone/>
                <wp:docPr id="42" name="自选图形 364"/>
                <wp:cNvGraphicFramePr/>
                <a:graphic xmlns:a="http://schemas.openxmlformats.org/drawingml/2006/main">
                  <a:graphicData uri="http://schemas.microsoft.com/office/word/2010/wordprocessingShape">
                    <wps:wsp>
                      <wps:cNvCnPr>
                        <a:cxnSpLocks noChangeShapeType="1"/>
                      </wps:cNvCnPr>
                      <wps:spPr bwMode="auto">
                        <a:xfrm>
                          <a:off x="0" y="0"/>
                          <a:ext cx="1570355" cy="358775"/>
                        </a:xfrm>
                        <a:prstGeom prst="straightConnector1">
                          <a:avLst/>
                        </a:prstGeom>
                        <a:noFill/>
                        <a:ln w="6350">
                          <a:solidFill>
                            <a:srgbClr val="0D0D0D"/>
                          </a:solidFill>
                          <a:round/>
                        </a:ln>
                      </wps:spPr>
                      <wps:bodyPr/>
                    </wps:wsp>
                  </a:graphicData>
                </a:graphic>
              </wp:anchor>
            </w:drawing>
          </mc:Choice>
          <mc:Fallback>
            <w:pict>
              <v:shape id="自选图形 364" o:spid="_x0000_s1026" o:spt="32" type="#_x0000_t32" style="position:absolute;left:0pt;margin-left:-8.8pt;margin-top:52.6pt;height:28.25pt;width:123.65pt;z-index:251660288;mso-width-relative:page;mso-height-relative:page;" filled="f" stroked="t" coordsize="21600,21600" o:gfxdata="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HDLCCvaAAAACwEAAA8AAAAAAAAAAQAgAAAAIgAAAGRycy9kb3ducmV2Lnht&#10;bFBLAQIUABQAAAAIAIdO4kBcG6Fs9wEAAL0DAAAOAAAAAAAAAAEAIAAAACkBAABkcnMvZTJvRG9j&#10;LnhtbFBLBQYAAAAABgAGAFkBAACSBQAAAAA=&#10;">
                <v:fill on="f" focussize="0,0"/>
                <v:stroke weight="0.5pt" color="#0D0D0D" joinstyle="round"/>
                <v:imagedata o:title=""/>
                <o:lock v:ext="edit" aspectratio="f"/>
              </v:shape>
            </w:pict>
          </mc:Fallback>
        </mc:AlternateContent>
      </w:r>
      <w:r>
        <w:rPr>
          <w:rFonts w:hint="eastAsia"/>
          <w:color w:val="000000" w:themeColor="text1"/>
          <w14:textFill>
            <w14:solidFill>
              <w14:schemeClr w14:val="tx1"/>
            </w14:solidFill>
          </w14:textFill>
        </w:rPr>
        <mc:AlternateContent>
          <mc:Choice Requires="wps">
            <w:drawing>
              <wp:anchor distT="0" distB="0" distL="114300" distR="114300" simplePos="0" relativeHeight="251659264" behindDoc="0" locked="0" layoutInCell="1" allowOverlap="1">
                <wp:simplePos x="0" y="0"/>
                <wp:positionH relativeFrom="column">
                  <wp:posOffset>661035</wp:posOffset>
                </wp:positionH>
                <wp:positionV relativeFrom="paragraph">
                  <wp:posOffset>328295</wp:posOffset>
                </wp:positionV>
                <wp:extent cx="805180" cy="698500"/>
                <wp:effectExtent l="12065" t="6350" r="11430" b="9525"/>
                <wp:wrapNone/>
                <wp:docPr id="41" name="自选图形 363"/>
                <wp:cNvGraphicFramePr/>
                <a:graphic xmlns:a="http://schemas.openxmlformats.org/drawingml/2006/main">
                  <a:graphicData uri="http://schemas.microsoft.com/office/word/2010/wordprocessingShape">
                    <wps:wsp>
                      <wps:cNvCnPr>
                        <a:cxnSpLocks noChangeShapeType="1"/>
                      </wps:cNvCnPr>
                      <wps:spPr bwMode="auto">
                        <a:xfrm>
                          <a:off x="0" y="0"/>
                          <a:ext cx="805180" cy="698500"/>
                        </a:xfrm>
                        <a:prstGeom prst="straightConnector1">
                          <a:avLst/>
                        </a:prstGeom>
                        <a:noFill/>
                        <a:ln w="6350">
                          <a:solidFill>
                            <a:srgbClr val="0D0D0D"/>
                          </a:solidFill>
                          <a:round/>
                        </a:ln>
                      </wps:spPr>
                      <wps:bodyPr/>
                    </wps:wsp>
                  </a:graphicData>
                </a:graphic>
              </wp:anchor>
            </w:drawing>
          </mc:Choice>
          <mc:Fallback>
            <w:pict>
              <v:shape id="自选图形 363" o:spid="_x0000_s1026" o:spt="32" type="#_x0000_t32" style="position:absolute;left:0pt;margin-left:52.05pt;margin-top:25.85pt;height:55pt;width:63.4pt;z-index:251659264;mso-width-relative:page;mso-height-relative:page;" filled="f" stroked="t" coordsize="21600,21600" o:gfxdata="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G7BYYzZAAAACgEAAA8AAAAAAAAAAQAgAAAAIgAAAGRycy9kb3ducmV2LnhtbFBL&#10;AQIUABQAAAAIAIdO4kC2+y4/9QEAALwDAAAOAAAAAAAAAAEAIAAAACgBAABkcnMvZTJvRG9jLnht&#10;bFBLBQYAAAAABgAGAFkBAACPBQAAAAA=&#10;">
                <v:fill on="f" focussize="0,0"/>
                <v:stroke weight="0.5pt" color="#0D0D0D" joinstyle="round"/>
                <v:imagedata o:title=""/>
                <o:lock v:ext="edit" aspectratio="f"/>
              </v:shape>
            </w:pict>
          </mc:Fallback>
        </mc:AlternateContent>
      </w:r>
    </w:p>
    <w:tbl>
      <w:tblPr>
        <w:tblStyle w:val="51"/>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413"/>
        <w:gridCol w:w="724"/>
        <w:gridCol w:w="725"/>
        <w:gridCol w:w="726"/>
        <w:gridCol w:w="725"/>
        <w:gridCol w:w="725"/>
        <w:gridCol w:w="728"/>
        <w:gridCol w:w="725"/>
        <w:gridCol w:w="725"/>
        <w:gridCol w:w="730"/>
      </w:tblGrid>
      <w:tr w14:paraId="5964724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49" w:type="pct"/>
            <w:vMerge w:val="restart"/>
            <w:vAlign w:val="center"/>
          </w:tcPr>
          <w:p w14:paraId="7F5A39B6">
            <w:pPr>
              <w:snapToGrid w:val="0"/>
              <w:spacing w:line="300" w:lineRule="exact"/>
              <w:jc w:val="right"/>
              <w:rPr>
                <w:rFonts w:hint="eastAsia" w:ascii="宋体" w:hAnsi="宋体" w:cs="Arial"/>
                <w:color w:val="000000" w:themeColor="text1"/>
                <w:szCs w:val="21"/>
                <w14:textFill>
                  <w14:solidFill>
                    <w14:schemeClr w14:val="tx1"/>
                  </w14:solidFill>
                </w14:textFill>
              </w:rPr>
            </w:pPr>
            <w:bookmarkStart w:id="122" w:name="_Hlk78386782"/>
            <w:r>
              <w:rPr>
                <w:rFonts w:hint="eastAsia" w:ascii="宋体" w:hAnsi="宋体" w:cs="Arial"/>
                <w:color w:val="000000" w:themeColor="text1"/>
                <w:szCs w:val="21"/>
                <w14:textFill>
                  <w14:solidFill>
                    <w14:schemeClr w14:val="tx1"/>
                  </w14:solidFill>
                </w14:textFill>
              </w:rPr>
              <w:t>占地规模</w:t>
            </w:r>
          </w:p>
          <w:p w14:paraId="4364FC72">
            <w:pPr>
              <w:snapToGrid w:val="0"/>
              <w:spacing w:line="300" w:lineRule="exact"/>
              <w:jc w:val="center"/>
              <w:rPr>
                <w:rFonts w:hint="eastAsia" w:ascii="宋体" w:hAnsi="宋体" w:cs="Arial"/>
                <w:color w:val="000000" w:themeColor="text1"/>
                <w:szCs w:val="21"/>
                <w14:textFill>
                  <w14:solidFill>
                    <w14:schemeClr w14:val="tx1"/>
                  </w14:solidFill>
                </w14:textFill>
              </w:rPr>
            </w:pPr>
            <w:r>
              <w:rPr>
                <w:rFonts w:hint="eastAsia" w:ascii="宋体" w:hAnsi="宋体" w:cs="Arial"/>
                <w:color w:val="000000" w:themeColor="text1"/>
                <w:szCs w:val="21"/>
                <w14:textFill>
                  <w14:solidFill>
                    <w14:schemeClr w14:val="tx1"/>
                  </w14:solidFill>
                </w14:textFill>
              </w:rPr>
              <w:t>敏感程度</w:t>
            </w:r>
          </w:p>
          <w:p w14:paraId="143568AD">
            <w:pPr>
              <w:snapToGrid w:val="0"/>
              <w:spacing w:line="300" w:lineRule="exact"/>
              <w:jc w:val="left"/>
              <w:rPr>
                <w:rFonts w:hint="eastAsia" w:ascii="宋体" w:hAnsi="宋体" w:cs="Arial"/>
                <w:color w:val="000000" w:themeColor="text1"/>
                <w:szCs w:val="21"/>
                <w14:textFill>
                  <w14:solidFill>
                    <w14:schemeClr w14:val="tx1"/>
                  </w14:solidFill>
                </w14:textFill>
              </w:rPr>
            </w:pPr>
            <w:r>
              <w:rPr>
                <w:rFonts w:hint="eastAsia" w:ascii="宋体" w:hAnsi="宋体" w:cs="Arial"/>
                <w:color w:val="000000" w:themeColor="text1"/>
                <w:szCs w:val="21"/>
                <w14:textFill>
                  <w14:solidFill>
                    <w14:schemeClr w14:val="tx1"/>
                  </w14:solidFill>
                </w14:textFill>
              </w:rPr>
              <w:t>评价等级</w:t>
            </w:r>
          </w:p>
        </w:tc>
        <w:tc>
          <w:tcPr>
            <w:tcW w:w="1216" w:type="pct"/>
            <w:gridSpan w:val="3"/>
            <w:tcBorders>
              <w:right w:val="single" w:color="000000" w:sz="2" w:space="0"/>
            </w:tcBorders>
            <w:vAlign w:val="center"/>
          </w:tcPr>
          <w:p w14:paraId="5FFD5E5B">
            <w:pPr>
              <w:spacing w:line="300" w:lineRule="exact"/>
              <w:jc w:val="center"/>
              <w:rPr>
                <w:rFonts w:hint="eastAsia" w:ascii="宋体" w:hAnsi="宋体" w:cs="Arial"/>
                <w:color w:val="000000" w:themeColor="text1"/>
                <w:szCs w:val="21"/>
                <w14:textFill>
                  <w14:solidFill>
                    <w14:schemeClr w14:val="tx1"/>
                  </w14:solidFill>
                </w14:textFill>
              </w:rPr>
            </w:pPr>
            <w:r>
              <w:rPr>
                <w:rFonts w:hint="eastAsia" w:ascii="宋体" w:hAnsi="宋体" w:cs="Arial"/>
                <w:color w:val="000000" w:themeColor="text1"/>
                <w:szCs w:val="21"/>
                <w14:textFill>
                  <w14:solidFill>
                    <w14:schemeClr w14:val="tx1"/>
                  </w14:solidFill>
                </w14:textFill>
              </w:rPr>
              <w:t>Ⅰ类</w:t>
            </w:r>
          </w:p>
        </w:tc>
        <w:tc>
          <w:tcPr>
            <w:tcW w:w="1217" w:type="pct"/>
            <w:gridSpan w:val="3"/>
            <w:tcBorders>
              <w:left w:val="single" w:color="000000" w:sz="2" w:space="0"/>
              <w:right w:val="single" w:color="000000" w:sz="2" w:space="0"/>
            </w:tcBorders>
            <w:vAlign w:val="center"/>
          </w:tcPr>
          <w:p w14:paraId="1619BB07">
            <w:pPr>
              <w:spacing w:line="300" w:lineRule="exact"/>
              <w:jc w:val="center"/>
              <w:rPr>
                <w:rFonts w:hint="eastAsia" w:ascii="宋体" w:hAnsi="宋体" w:cs="Arial"/>
                <w:color w:val="000000" w:themeColor="text1"/>
                <w:szCs w:val="21"/>
                <w14:textFill>
                  <w14:solidFill>
                    <w14:schemeClr w14:val="tx1"/>
                  </w14:solidFill>
                </w14:textFill>
              </w:rPr>
            </w:pPr>
            <w:r>
              <w:rPr>
                <w:rFonts w:hint="eastAsia" w:ascii="宋体" w:hAnsi="宋体" w:cs="Arial"/>
                <w:color w:val="000000" w:themeColor="text1"/>
                <w:szCs w:val="21"/>
                <w14:textFill>
                  <w14:solidFill>
                    <w14:schemeClr w14:val="tx1"/>
                  </w14:solidFill>
                </w14:textFill>
              </w:rPr>
              <w:t>Ⅱ类</w:t>
            </w:r>
          </w:p>
        </w:tc>
        <w:tc>
          <w:tcPr>
            <w:tcW w:w="1218" w:type="pct"/>
            <w:gridSpan w:val="3"/>
            <w:tcBorders>
              <w:left w:val="single" w:color="000000" w:sz="2" w:space="0"/>
            </w:tcBorders>
            <w:vAlign w:val="center"/>
          </w:tcPr>
          <w:p w14:paraId="7428B995">
            <w:pPr>
              <w:spacing w:line="300" w:lineRule="exact"/>
              <w:jc w:val="center"/>
              <w:rPr>
                <w:rFonts w:hint="eastAsia" w:ascii="宋体" w:hAnsi="宋体" w:cs="Arial"/>
                <w:color w:val="000000" w:themeColor="text1"/>
                <w:szCs w:val="21"/>
                <w14:textFill>
                  <w14:solidFill>
                    <w14:schemeClr w14:val="tx1"/>
                  </w14:solidFill>
                </w14:textFill>
              </w:rPr>
            </w:pPr>
            <w:r>
              <w:rPr>
                <w:rFonts w:hint="eastAsia" w:ascii="宋体" w:hAnsi="宋体" w:cs="Arial"/>
                <w:color w:val="000000" w:themeColor="text1"/>
                <w:szCs w:val="21"/>
                <w14:textFill>
                  <w14:solidFill>
                    <w14:schemeClr w14:val="tx1"/>
                  </w14:solidFill>
                </w14:textFill>
              </w:rPr>
              <w:t>Ⅲ类</w:t>
            </w:r>
          </w:p>
        </w:tc>
      </w:tr>
      <w:tr w14:paraId="1112FA8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80" w:hRule="atLeast"/>
        </w:trPr>
        <w:tc>
          <w:tcPr>
            <w:tcW w:w="1349" w:type="pct"/>
            <w:vMerge w:val="continue"/>
            <w:vAlign w:val="center"/>
          </w:tcPr>
          <w:p w14:paraId="7D7FFB74">
            <w:pPr>
              <w:spacing w:line="300" w:lineRule="exact"/>
              <w:jc w:val="center"/>
              <w:rPr>
                <w:rFonts w:hint="eastAsia" w:ascii="宋体" w:hAnsi="宋体" w:cs="Arial"/>
                <w:color w:val="000000" w:themeColor="text1"/>
                <w:sz w:val="20"/>
                <w:szCs w:val="21"/>
                <w14:textFill>
                  <w14:solidFill>
                    <w14:schemeClr w14:val="tx1"/>
                  </w14:solidFill>
                </w14:textFill>
              </w:rPr>
            </w:pPr>
          </w:p>
        </w:tc>
        <w:tc>
          <w:tcPr>
            <w:tcW w:w="405" w:type="pct"/>
            <w:tcBorders>
              <w:right w:val="single" w:color="000000" w:sz="2" w:space="0"/>
            </w:tcBorders>
            <w:vAlign w:val="center"/>
          </w:tcPr>
          <w:p w14:paraId="31DE9B29">
            <w:pPr>
              <w:spacing w:line="300" w:lineRule="exact"/>
              <w:jc w:val="center"/>
              <w:rPr>
                <w:rFonts w:hint="eastAsia" w:ascii="宋体" w:hAnsi="宋体" w:cs="Arial"/>
                <w:color w:val="000000" w:themeColor="text1"/>
                <w:szCs w:val="21"/>
                <w14:textFill>
                  <w14:solidFill>
                    <w14:schemeClr w14:val="tx1"/>
                  </w14:solidFill>
                </w14:textFill>
              </w:rPr>
            </w:pPr>
            <w:r>
              <w:rPr>
                <w:rFonts w:hint="eastAsia" w:ascii="宋体" w:hAnsi="宋体" w:cs="Arial"/>
                <w:color w:val="000000" w:themeColor="text1"/>
                <w:szCs w:val="21"/>
                <w14:textFill>
                  <w14:solidFill>
                    <w14:schemeClr w14:val="tx1"/>
                  </w14:solidFill>
                </w14:textFill>
              </w:rPr>
              <w:t>大</w:t>
            </w:r>
          </w:p>
        </w:tc>
        <w:tc>
          <w:tcPr>
            <w:tcW w:w="405" w:type="pct"/>
            <w:tcBorders>
              <w:left w:val="single" w:color="000000" w:sz="2" w:space="0"/>
              <w:right w:val="single" w:color="000000" w:sz="2" w:space="0"/>
            </w:tcBorders>
            <w:vAlign w:val="center"/>
          </w:tcPr>
          <w:p w14:paraId="43F33DD9">
            <w:pPr>
              <w:spacing w:line="300" w:lineRule="exact"/>
              <w:jc w:val="center"/>
              <w:rPr>
                <w:rFonts w:hint="eastAsia" w:ascii="宋体" w:hAnsi="宋体" w:cs="Arial"/>
                <w:color w:val="000000" w:themeColor="text1"/>
                <w:szCs w:val="21"/>
                <w14:textFill>
                  <w14:solidFill>
                    <w14:schemeClr w14:val="tx1"/>
                  </w14:solidFill>
                </w14:textFill>
              </w:rPr>
            </w:pPr>
            <w:r>
              <w:rPr>
                <w:rFonts w:hint="eastAsia" w:ascii="宋体" w:hAnsi="宋体" w:cs="Arial"/>
                <w:color w:val="000000" w:themeColor="text1"/>
                <w:szCs w:val="21"/>
                <w14:textFill>
                  <w14:solidFill>
                    <w14:schemeClr w14:val="tx1"/>
                  </w14:solidFill>
                </w14:textFill>
              </w:rPr>
              <w:t>中</w:t>
            </w:r>
          </w:p>
        </w:tc>
        <w:tc>
          <w:tcPr>
            <w:tcW w:w="406" w:type="pct"/>
            <w:tcBorders>
              <w:left w:val="single" w:color="000000" w:sz="2" w:space="0"/>
            </w:tcBorders>
            <w:vAlign w:val="center"/>
          </w:tcPr>
          <w:p w14:paraId="65989262">
            <w:pPr>
              <w:spacing w:line="300" w:lineRule="exact"/>
              <w:jc w:val="center"/>
              <w:rPr>
                <w:rFonts w:hint="eastAsia" w:ascii="宋体" w:hAnsi="宋体" w:cs="Arial"/>
                <w:color w:val="000000" w:themeColor="text1"/>
                <w:szCs w:val="21"/>
                <w14:textFill>
                  <w14:solidFill>
                    <w14:schemeClr w14:val="tx1"/>
                  </w14:solidFill>
                </w14:textFill>
              </w:rPr>
            </w:pPr>
            <w:r>
              <w:rPr>
                <w:rFonts w:hint="eastAsia" w:ascii="宋体" w:hAnsi="宋体" w:cs="Arial"/>
                <w:color w:val="000000" w:themeColor="text1"/>
                <w:szCs w:val="21"/>
                <w14:textFill>
                  <w14:solidFill>
                    <w14:schemeClr w14:val="tx1"/>
                  </w14:solidFill>
                </w14:textFill>
              </w:rPr>
              <w:t>小</w:t>
            </w:r>
          </w:p>
        </w:tc>
        <w:tc>
          <w:tcPr>
            <w:tcW w:w="405" w:type="pct"/>
            <w:tcBorders>
              <w:right w:val="single" w:color="000000" w:sz="2" w:space="0"/>
            </w:tcBorders>
            <w:vAlign w:val="center"/>
          </w:tcPr>
          <w:p w14:paraId="2934B0AA">
            <w:pPr>
              <w:spacing w:line="300" w:lineRule="exact"/>
              <w:jc w:val="center"/>
              <w:rPr>
                <w:rFonts w:hint="eastAsia" w:ascii="宋体" w:hAnsi="宋体" w:cs="Arial"/>
                <w:color w:val="000000" w:themeColor="text1"/>
                <w:szCs w:val="21"/>
                <w14:textFill>
                  <w14:solidFill>
                    <w14:schemeClr w14:val="tx1"/>
                  </w14:solidFill>
                </w14:textFill>
              </w:rPr>
            </w:pPr>
            <w:r>
              <w:rPr>
                <w:rFonts w:hint="eastAsia" w:ascii="宋体" w:hAnsi="宋体" w:cs="Arial"/>
                <w:color w:val="000000" w:themeColor="text1"/>
                <w:szCs w:val="21"/>
                <w14:textFill>
                  <w14:solidFill>
                    <w14:schemeClr w14:val="tx1"/>
                  </w14:solidFill>
                </w14:textFill>
              </w:rPr>
              <w:t>大</w:t>
            </w:r>
          </w:p>
        </w:tc>
        <w:tc>
          <w:tcPr>
            <w:tcW w:w="405" w:type="pct"/>
            <w:tcBorders>
              <w:left w:val="single" w:color="000000" w:sz="2" w:space="0"/>
              <w:right w:val="single" w:color="000000" w:sz="2" w:space="0"/>
            </w:tcBorders>
            <w:vAlign w:val="center"/>
          </w:tcPr>
          <w:p w14:paraId="656A3549">
            <w:pPr>
              <w:spacing w:line="300" w:lineRule="exact"/>
              <w:jc w:val="center"/>
              <w:rPr>
                <w:rFonts w:hint="eastAsia" w:ascii="宋体" w:hAnsi="宋体" w:cs="Arial"/>
                <w:color w:val="000000" w:themeColor="text1"/>
                <w:szCs w:val="21"/>
                <w14:textFill>
                  <w14:solidFill>
                    <w14:schemeClr w14:val="tx1"/>
                  </w14:solidFill>
                </w14:textFill>
              </w:rPr>
            </w:pPr>
            <w:r>
              <w:rPr>
                <w:rFonts w:hint="eastAsia" w:ascii="宋体" w:hAnsi="宋体" w:cs="Arial"/>
                <w:color w:val="000000" w:themeColor="text1"/>
                <w:szCs w:val="21"/>
                <w14:textFill>
                  <w14:solidFill>
                    <w14:schemeClr w14:val="tx1"/>
                  </w14:solidFill>
                </w14:textFill>
              </w:rPr>
              <w:t>中</w:t>
            </w:r>
          </w:p>
        </w:tc>
        <w:tc>
          <w:tcPr>
            <w:tcW w:w="407" w:type="pct"/>
            <w:tcBorders>
              <w:left w:val="single" w:color="000000" w:sz="2" w:space="0"/>
            </w:tcBorders>
            <w:vAlign w:val="center"/>
          </w:tcPr>
          <w:p w14:paraId="368B0EF5">
            <w:pPr>
              <w:spacing w:line="300" w:lineRule="exact"/>
              <w:jc w:val="center"/>
              <w:rPr>
                <w:rFonts w:hint="eastAsia" w:ascii="宋体" w:hAnsi="宋体" w:cs="Arial"/>
                <w:color w:val="000000" w:themeColor="text1"/>
                <w:szCs w:val="21"/>
                <w14:textFill>
                  <w14:solidFill>
                    <w14:schemeClr w14:val="tx1"/>
                  </w14:solidFill>
                </w14:textFill>
              </w:rPr>
            </w:pPr>
            <w:r>
              <w:rPr>
                <w:rFonts w:hint="eastAsia" w:ascii="宋体" w:hAnsi="宋体" w:cs="Arial"/>
                <w:color w:val="000000" w:themeColor="text1"/>
                <w:szCs w:val="21"/>
                <w14:textFill>
                  <w14:solidFill>
                    <w14:schemeClr w14:val="tx1"/>
                  </w14:solidFill>
                </w14:textFill>
              </w:rPr>
              <w:t>小</w:t>
            </w:r>
          </w:p>
        </w:tc>
        <w:tc>
          <w:tcPr>
            <w:tcW w:w="405" w:type="pct"/>
            <w:tcBorders>
              <w:right w:val="single" w:color="000000" w:sz="2" w:space="0"/>
            </w:tcBorders>
            <w:vAlign w:val="center"/>
          </w:tcPr>
          <w:p w14:paraId="0FC993E4">
            <w:pPr>
              <w:spacing w:line="300" w:lineRule="exact"/>
              <w:jc w:val="center"/>
              <w:rPr>
                <w:rFonts w:hint="eastAsia" w:ascii="宋体" w:hAnsi="宋体" w:cs="Arial"/>
                <w:color w:val="000000" w:themeColor="text1"/>
                <w:szCs w:val="21"/>
                <w14:textFill>
                  <w14:solidFill>
                    <w14:schemeClr w14:val="tx1"/>
                  </w14:solidFill>
                </w14:textFill>
              </w:rPr>
            </w:pPr>
            <w:r>
              <w:rPr>
                <w:rFonts w:hint="eastAsia" w:ascii="宋体" w:hAnsi="宋体" w:cs="Arial"/>
                <w:color w:val="000000" w:themeColor="text1"/>
                <w:szCs w:val="21"/>
                <w14:textFill>
                  <w14:solidFill>
                    <w14:schemeClr w14:val="tx1"/>
                  </w14:solidFill>
                </w14:textFill>
              </w:rPr>
              <w:t>大</w:t>
            </w:r>
          </w:p>
        </w:tc>
        <w:tc>
          <w:tcPr>
            <w:tcW w:w="405" w:type="pct"/>
            <w:tcBorders>
              <w:left w:val="single" w:color="000000" w:sz="2" w:space="0"/>
              <w:right w:val="single" w:color="000000" w:sz="2" w:space="0"/>
            </w:tcBorders>
            <w:vAlign w:val="center"/>
          </w:tcPr>
          <w:p w14:paraId="433B3EDC">
            <w:pPr>
              <w:spacing w:line="300" w:lineRule="exact"/>
              <w:jc w:val="center"/>
              <w:rPr>
                <w:rFonts w:hint="eastAsia" w:ascii="宋体" w:hAnsi="宋体" w:cs="Arial"/>
                <w:color w:val="000000" w:themeColor="text1"/>
                <w:szCs w:val="21"/>
                <w14:textFill>
                  <w14:solidFill>
                    <w14:schemeClr w14:val="tx1"/>
                  </w14:solidFill>
                </w14:textFill>
              </w:rPr>
            </w:pPr>
            <w:r>
              <w:rPr>
                <w:rFonts w:hint="eastAsia" w:ascii="宋体" w:hAnsi="宋体" w:cs="Arial"/>
                <w:color w:val="000000" w:themeColor="text1"/>
                <w:szCs w:val="21"/>
                <w14:textFill>
                  <w14:solidFill>
                    <w14:schemeClr w14:val="tx1"/>
                  </w14:solidFill>
                </w14:textFill>
              </w:rPr>
              <w:t>中</w:t>
            </w:r>
          </w:p>
        </w:tc>
        <w:tc>
          <w:tcPr>
            <w:tcW w:w="408" w:type="pct"/>
            <w:tcBorders>
              <w:left w:val="single" w:color="000000" w:sz="2" w:space="0"/>
            </w:tcBorders>
            <w:vAlign w:val="center"/>
          </w:tcPr>
          <w:p w14:paraId="52E75E21">
            <w:pPr>
              <w:spacing w:line="300" w:lineRule="exact"/>
              <w:jc w:val="center"/>
              <w:rPr>
                <w:rFonts w:hint="eastAsia" w:ascii="宋体" w:hAnsi="宋体" w:cs="Arial"/>
                <w:color w:val="000000" w:themeColor="text1"/>
                <w:szCs w:val="21"/>
                <w14:textFill>
                  <w14:solidFill>
                    <w14:schemeClr w14:val="tx1"/>
                  </w14:solidFill>
                </w14:textFill>
              </w:rPr>
            </w:pPr>
            <w:r>
              <w:rPr>
                <w:rFonts w:hint="eastAsia" w:ascii="宋体" w:hAnsi="宋体" w:cs="Arial"/>
                <w:color w:val="000000" w:themeColor="text1"/>
                <w:szCs w:val="21"/>
                <w14:textFill>
                  <w14:solidFill>
                    <w14:schemeClr w14:val="tx1"/>
                  </w14:solidFill>
                </w14:textFill>
              </w:rPr>
              <w:t>小</w:t>
            </w:r>
          </w:p>
        </w:tc>
      </w:tr>
      <w:tr w14:paraId="502465A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49" w:type="pct"/>
            <w:vAlign w:val="center"/>
          </w:tcPr>
          <w:p w14:paraId="202194B0">
            <w:pPr>
              <w:spacing w:line="300" w:lineRule="exact"/>
              <w:jc w:val="center"/>
              <w:rPr>
                <w:rFonts w:hint="eastAsia" w:ascii="宋体" w:hAnsi="宋体" w:cs="Arial"/>
                <w:color w:val="000000" w:themeColor="text1"/>
                <w:szCs w:val="21"/>
                <w14:textFill>
                  <w14:solidFill>
                    <w14:schemeClr w14:val="tx1"/>
                  </w14:solidFill>
                </w14:textFill>
              </w:rPr>
            </w:pPr>
            <w:r>
              <w:rPr>
                <w:rFonts w:hint="eastAsia" w:ascii="宋体" w:hAnsi="宋体" w:cs="Arial"/>
                <w:color w:val="000000" w:themeColor="text1"/>
                <w:szCs w:val="21"/>
                <w14:textFill>
                  <w14:solidFill>
                    <w14:schemeClr w14:val="tx1"/>
                  </w14:solidFill>
                </w14:textFill>
              </w:rPr>
              <w:t>敏感</w:t>
            </w:r>
          </w:p>
        </w:tc>
        <w:tc>
          <w:tcPr>
            <w:tcW w:w="405" w:type="pct"/>
            <w:tcBorders>
              <w:right w:val="single" w:color="000000" w:sz="2" w:space="0"/>
            </w:tcBorders>
            <w:vAlign w:val="center"/>
          </w:tcPr>
          <w:p w14:paraId="4351EBA5">
            <w:pPr>
              <w:spacing w:line="300" w:lineRule="exact"/>
              <w:jc w:val="center"/>
              <w:rPr>
                <w:rFonts w:hint="eastAsia" w:ascii="宋体" w:hAnsi="宋体" w:cs="Arial"/>
                <w:color w:val="000000" w:themeColor="text1"/>
                <w:szCs w:val="21"/>
                <w14:textFill>
                  <w14:solidFill>
                    <w14:schemeClr w14:val="tx1"/>
                  </w14:solidFill>
                </w14:textFill>
              </w:rPr>
            </w:pPr>
            <w:r>
              <w:rPr>
                <w:rFonts w:hint="eastAsia" w:ascii="宋体" w:hAnsi="宋体" w:cs="Arial"/>
                <w:color w:val="000000" w:themeColor="text1"/>
                <w:szCs w:val="21"/>
                <w14:textFill>
                  <w14:solidFill>
                    <w14:schemeClr w14:val="tx1"/>
                  </w14:solidFill>
                </w14:textFill>
              </w:rPr>
              <w:t>一级</w:t>
            </w:r>
          </w:p>
        </w:tc>
        <w:tc>
          <w:tcPr>
            <w:tcW w:w="405" w:type="pct"/>
            <w:tcBorders>
              <w:left w:val="single" w:color="000000" w:sz="2" w:space="0"/>
              <w:right w:val="single" w:color="000000" w:sz="2" w:space="0"/>
            </w:tcBorders>
            <w:vAlign w:val="center"/>
          </w:tcPr>
          <w:p w14:paraId="38C9EC43">
            <w:pPr>
              <w:spacing w:line="300" w:lineRule="exact"/>
              <w:jc w:val="center"/>
              <w:rPr>
                <w:rFonts w:hint="eastAsia" w:ascii="宋体" w:hAnsi="宋体" w:cs="Arial"/>
                <w:color w:val="000000" w:themeColor="text1"/>
                <w:szCs w:val="21"/>
                <w14:textFill>
                  <w14:solidFill>
                    <w14:schemeClr w14:val="tx1"/>
                  </w14:solidFill>
                </w14:textFill>
              </w:rPr>
            </w:pPr>
            <w:r>
              <w:rPr>
                <w:rFonts w:hint="eastAsia" w:ascii="宋体" w:hAnsi="宋体" w:cs="Arial"/>
                <w:color w:val="000000" w:themeColor="text1"/>
                <w:szCs w:val="21"/>
                <w14:textFill>
                  <w14:solidFill>
                    <w14:schemeClr w14:val="tx1"/>
                  </w14:solidFill>
                </w14:textFill>
              </w:rPr>
              <w:t>一级</w:t>
            </w:r>
          </w:p>
        </w:tc>
        <w:tc>
          <w:tcPr>
            <w:tcW w:w="406" w:type="pct"/>
            <w:tcBorders>
              <w:left w:val="single" w:color="000000" w:sz="2" w:space="0"/>
            </w:tcBorders>
            <w:vAlign w:val="center"/>
          </w:tcPr>
          <w:p w14:paraId="35799F95">
            <w:pPr>
              <w:spacing w:line="300" w:lineRule="exact"/>
              <w:jc w:val="center"/>
              <w:rPr>
                <w:rFonts w:hint="eastAsia" w:ascii="宋体" w:hAnsi="宋体" w:cs="Arial"/>
                <w:color w:val="000000" w:themeColor="text1"/>
                <w:szCs w:val="21"/>
                <w14:textFill>
                  <w14:solidFill>
                    <w14:schemeClr w14:val="tx1"/>
                  </w14:solidFill>
                </w14:textFill>
              </w:rPr>
            </w:pPr>
            <w:r>
              <w:rPr>
                <w:rFonts w:hint="eastAsia" w:ascii="宋体" w:hAnsi="宋体" w:cs="Arial"/>
                <w:color w:val="000000" w:themeColor="text1"/>
                <w:szCs w:val="21"/>
                <w14:textFill>
                  <w14:solidFill>
                    <w14:schemeClr w14:val="tx1"/>
                  </w14:solidFill>
                </w14:textFill>
              </w:rPr>
              <w:t>一级</w:t>
            </w:r>
          </w:p>
        </w:tc>
        <w:tc>
          <w:tcPr>
            <w:tcW w:w="405" w:type="pct"/>
            <w:tcBorders>
              <w:right w:val="single" w:color="000000" w:sz="2" w:space="0"/>
            </w:tcBorders>
            <w:vAlign w:val="center"/>
          </w:tcPr>
          <w:p w14:paraId="15EBD76C">
            <w:pPr>
              <w:spacing w:line="300" w:lineRule="exact"/>
              <w:jc w:val="center"/>
              <w:rPr>
                <w:rFonts w:hint="eastAsia" w:ascii="宋体" w:hAnsi="宋体" w:cs="Arial"/>
                <w:color w:val="000000" w:themeColor="text1"/>
                <w:szCs w:val="21"/>
                <w14:textFill>
                  <w14:solidFill>
                    <w14:schemeClr w14:val="tx1"/>
                  </w14:solidFill>
                </w14:textFill>
              </w:rPr>
            </w:pPr>
            <w:r>
              <w:rPr>
                <w:rFonts w:hint="eastAsia" w:ascii="宋体" w:hAnsi="宋体" w:cs="Arial"/>
                <w:color w:val="000000" w:themeColor="text1"/>
                <w:szCs w:val="21"/>
                <w14:textFill>
                  <w14:solidFill>
                    <w14:schemeClr w14:val="tx1"/>
                  </w14:solidFill>
                </w14:textFill>
              </w:rPr>
              <w:t>二级</w:t>
            </w:r>
          </w:p>
        </w:tc>
        <w:tc>
          <w:tcPr>
            <w:tcW w:w="405" w:type="pct"/>
            <w:tcBorders>
              <w:left w:val="single" w:color="000000" w:sz="2" w:space="0"/>
              <w:right w:val="single" w:color="000000" w:sz="2" w:space="0"/>
            </w:tcBorders>
            <w:vAlign w:val="center"/>
          </w:tcPr>
          <w:p w14:paraId="13B3F7DE">
            <w:pPr>
              <w:spacing w:line="300" w:lineRule="exact"/>
              <w:jc w:val="center"/>
              <w:rPr>
                <w:rFonts w:hint="eastAsia" w:ascii="宋体" w:hAnsi="宋体" w:cs="Arial"/>
                <w:color w:val="000000" w:themeColor="text1"/>
                <w:szCs w:val="21"/>
                <w14:textFill>
                  <w14:solidFill>
                    <w14:schemeClr w14:val="tx1"/>
                  </w14:solidFill>
                </w14:textFill>
              </w:rPr>
            </w:pPr>
            <w:r>
              <w:rPr>
                <w:rFonts w:hint="eastAsia" w:ascii="宋体" w:hAnsi="宋体" w:cs="Arial"/>
                <w:color w:val="000000" w:themeColor="text1"/>
                <w:szCs w:val="21"/>
                <w14:textFill>
                  <w14:solidFill>
                    <w14:schemeClr w14:val="tx1"/>
                  </w14:solidFill>
                </w14:textFill>
              </w:rPr>
              <w:t>二级</w:t>
            </w:r>
          </w:p>
        </w:tc>
        <w:tc>
          <w:tcPr>
            <w:tcW w:w="407" w:type="pct"/>
            <w:tcBorders>
              <w:left w:val="single" w:color="000000" w:sz="2" w:space="0"/>
            </w:tcBorders>
            <w:vAlign w:val="center"/>
          </w:tcPr>
          <w:p w14:paraId="7A38CAE0">
            <w:pPr>
              <w:spacing w:line="300" w:lineRule="exact"/>
              <w:jc w:val="center"/>
              <w:rPr>
                <w:rFonts w:hint="eastAsia" w:ascii="宋体" w:hAnsi="宋体" w:cs="Arial"/>
                <w:color w:val="000000" w:themeColor="text1"/>
                <w:szCs w:val="21"/>
                <w14:textFill>
                  <w14:solidFill>
                    <w14:schemeClr w14:val="tx1"/>
                  </w14:solidFill>
                </w14:textFill>
              </w:rPr>
            </w:pPr>
            <w:r>
              <w:rPr>
                <w:rFonts w:hint="eastAsia" w:ascii="宋体" w:hAnsi="宋体" w:cs="Arial"/>
                <w:color w:val="000000" w:themeColor="text1"/>
                <w:szCs w:val="21"/>
                <w14:textFill>
                  <w14:solidFill>
                    <w14:schemeClr w14:val="tx1"/>
                  </w14:solidFill>
                </w14:textFill>
              </w:rPr>
              <w:t>二级</w:t>
            </w:r>
          </w:p>
        </w:tc>
        <w:tc>
          <w:tcPr>
            <w:tcW w:w="405" w:type="pct"/>
            <w:tcBorders>
              <w:right w:val="single" w:color="000000" w:sz="2" w:space="0"/>
            </w:tcBorders>
            <w:vAlign w:val="center"/>
          </w:tcPr>
          <w:p w14:paraId="6FCBDB4C">
            <w:pPr>
              <w:spacing w:line="300" w:lineRule="exact"/>
              <w:jc w:val="center"/>
              <w:rPr>
                <w:rFonts w:hint="eastAsia" w:ascii="宋体" w:hAnsi="宋体" w:cs="Arial"/>
                <w:color w:val="000000" w:themeColor="text1"/>
                <w:szCs w:val="21"/>
                <w14:textFill>
                  <w14:solidFill>
                    <w14:schemeClr w14:val="tx1"/>
                  </w14:solidFill>
                </w14:textFill>
              </w:rPr>
            </w:pPr>
            <w:r>
              <w:rPr>
                <w:rFonts w:hint="eastAsia" w:ascii="宋体" w:hAnsi="宋体" w:cs="Arial"/>
                <w:color w:val="000000" w:themeColor="text1"/>
                <w:szCs w:val="21"/>
                <w14:textFill>
                  <w14:solidFill>
                    <w14:schemeClr w14:val="tx1"/>
                  </w14:solidFill>
                </w14:textFill>
              </w:rPr>
              <w:t>三级</w:t>
            </w:r>
          </w:p>
        </w:tc>
        <w:tc>
          <w:tcPr>
            <w:tcW w:w="405" w:type="pct"/>
            <w:tcBorders>
              <w:left w:val="single" w:color="000000" w:sz="2" w:space="0"/>
              <w:right w:val="single" w:color="000000" w:sz="2" w:space="0"/>
            </w:tcBorders>
            <w:vAlign w:val="center"/>
          </w:tcPr>
          <w:p w14:paraId="7AA8F069">
            <w:pPr>
              <w:spacing w:line="300" w:lineRule="exact"/>
              <w:jc w:val="center"/>
              <w:rPr>
                <w:rFonts w:hint="eastAsia" w:ascii="宋体" w:hAnsi="宋体" w:cs="Arial"/>
                <w:color w:val="000000" w:themeColor="text1"/>
                <w:szCs w:val="21"/>
                <w14:textFill>
                  <w14:solidFill>
                    <w14:schemeClr w14:val="tx1"/>
                  </w14:solidFill>
                </w14:textFill>
              </w:rPr>
            </w:pPr>
            <w:r>
              <w:rPr>
                <w:rFonts w:hint="eastAsia" w:ascii="宋体" w:hAnsi="宋体" w:cs="Arial"/>
                <w:color w:val="000000" w:themeColor="text1"/>
                <w:szCs w:val="21"/>
                <w14:textFill>
                  <w14:solidFill>
                    <w14:schemeClr w14:val="tx1"/>
                  </w14:solidFill>
                </w14:textFill>
              </w:rPr>
              <w:t>三级</w:t>
            </w:r>
          </w:p>
        </w:tc>
        <w:tc>
          <w:tcPr>
            <w:tcW w:w="408" w:type="pct"/>
            <w:tcBorders>
              <w:left w:val="single" w:color="000000" w:sz="2" w:space="0"/>
            </w:tcBorders>
            <w:vAlign w:val="center"/>
          </w:tcPr>
          <w:p w14:paraId="3E1BEB73">
            <w:pPr>
              <w:spacing w:line="300" w:lineRule="exact"/>
              <w:jc w:val="center"/>
              <w:rPr>
                <w:rFonts w:hint="eastAsia" w:ascii="宋体" w:hAnsi="宋体" w:cs="Arial"/>
                <w:color w:val="000000" w:themeColor="text1"/>
                <w:szCs w:val="21"/>
                <w14:textFill>
                  <w14:solidFill>
                    <w14:schemeClr w14:val="tx1"/>
                  </w14:solidFill>
                </w14:textFill>
              </w:rPr>
            </w:pPr>
            <w:r>
              <w:rPr>
                <w:rFonts w:hint="eastAsia" w:ascii="宋体" w:hAnsi="宋体" w:cs="Arial"/>
                <w:color w:val="000000" w:themeColor="text1"/>
                <w:szCs w:val="21"/>
                <w14:textFill>
                  <w14:solidFill>
                    <w14:schemeClr w14:val="tx1"/>
                  </w14:solidFill>
                </w14:textFill>
              </w:rPr>
              <w:t>三级</w:t>
            </w:r>
          </w:p>
        </w:tc>
      </w:tr>
      <w:tr w14:paraId="7EE000B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49" w:type="pct"/>
            <w:vAlign w:val="center"/>
          </w:tcPr>
          <w:p w14:paraId="1F5BBCF0">
            <w:pPr>
              <w:spacing w:line="300" w:lineRule="exact"/>
              <w:jc w:val="center"/>
              <w:rPr>
                <w:rFonts w:hint="eastAsia" w:ascii="宋体" w:hAnsi="宋体" w:cs="Arial"/>
                <w:color w:val="000000" w:themeColor="text1"/>
                <w:szCs w:val="21"/>
                <w14:textFill>
                  <w14:solidFill>
                    <w14:schemeClr w14:val="tx1"/>
                  </w14:solidFill>
                </w14:textFill>
              </w:rPr>
            </w:pPr>
            <w:r>
              <w:rPr>
                <w:rFonts w:hint="eastAsia" w:ascii="宋体" w:hAnsi="宋体" w:cs="Arial"/>
                <w:color w:val="000000" w:themeColor="text1"/>
                <w:szCs w:val="21"/>
                <w14:textFill>
                  <w14:solidFill>
                    <w14:schemeClr w14:val="tx1"/>
                  </w14:solidFill>
                </w14:textFill>
              </w:rPr>
              <w:t>较敏感</w:t>
            </w:r>
          </w:p>
        </w:tc>
        <w:tc>
          <w:tcPr>
            <w:tcW w:w="405" w:type="pct"/>
            <w:tcBorders>
              <w:right w:val="single" w:color="000000" w:sz="2" w:space="0"/>
            </w:tcBorders>
            <w:vAlign w:val="center"/>
          </w:tcPr>
          <w:p w14:paraId="1D6C08CC">
            <w:pPr>
              <w:spacing w:line="300" w:lineRule="exact"/>
              <w:jc w:val="center"/>
              <w:rPr>
                <w:rFonts w:hint="eastAsia" w:ascii="宋体" w:hAnsi="宋体" w:cs="Arial"/>
                <w:color w:val="000000" w:themeColor="text1"/>
                <w:szCs w:val="21"/>
                <w14:textFill>
                  <w14:solidFill>
                    <w14:schemeClr w14:val="tx1"/>
                  </w14:solidFill>
                </w14:textFill>
              </w:rPr>
            </w:pPr>
            <w:r>
              <w:rPr>
                <w:rFonts w:hint="eastAsia" w:ascii="宋体" w:hAnsi="宋体" w:cs="Arial"/>
                <w:color w:val="000000" w:themeColor="text1"/>
                <w:szCs w:val="21"/>
                <w14:textFill>
                  <w14:solidFill>
                    <w14:schemeClr w14:val="tx1"/>
                  </w14:solidFill>
                </w14:textFill>
              </w:rPr>
              <w:t>一级</w:t>
            </w:r>
          </w:p>
        </w:tc>
        <w:tc>
          <w:tcPr>
            <w:tcW w:w="405" w:type="pct"/>
            <w:tcBorders>
              <w:left w:val="single" w:color="000000" w:sz="2" w:space="0"/>
              <w:right w:val="single" w:color="000000" w:sz="2" w:space="0"/>
            </w:tcBorders>
            <w:vAlign w:val="center"/>
          </w:tcPr>
          <w:p w14:paraId="549A4A22">
            <w:pPr>
              <w:spacing w:line="300" w:lineRule="exact"/>
              <w:jc w:val="center"/>
              <w:rPr>
                <w:rFonts w:hint="eastAsia" w:ascii="宋体" w:hAnsi="宋体" w:cs="Arial"/>
                <w:color w:val="000000" w:themeColor="text1"/>
                <w:szCs w:val="21"/>
                <w14:textFill>
                  <w14:solidFill>
                    <w14:schemeClr w14:val="tx1"/>
                  </w14:solidFill>
                </w14:textFill>
              </w:rPr>
            </w:pPr>
            <w:r>
              <w:rPr>
                <w:rFonts w:hint="eastAsia" w:ascii="宋体" w:hAnsi="宋体" w:cs="Arial"/>
                <w:color w:val="000000" w:themeColor="text1"/>
                <w:szCs w:val="21"/>
                <w14:textFill>
                  <w14:solidFill>
                    <w14:schemeClr w14:val="tx1"/>
                  </w14:solidFill>
                </w14:textFill>
              </w:rPr>
              <w:t>一级</w:t>
            </w:r>
          </w:p>
        </w:tc>
        <w:tc>
          <w:tcPr>
            <w:tcW w:w="406" w:type="pct"/>
            <w:tcBorders>
              <w:left w:val="single" w:color="000000" w:sz="2" w:space="0"/>
            </w:tcBorders>
            <w:vAlign w:val="center"/>
          </w:tcPr>
          <w:p w14:paraId="3E1AD3E4">
            <w:pPr>
              <w:spacing w:line="300" w:lineRule="exact"/>
              <w:jc w:val="center"/>
              <w:rPr>
                <w:rFonts w:hint="eastAsia" w:ascii="宋体" w:hAnsi="宋体" w:cs="Arial"/>
                <w:color w:val="000000" w:themeColor="text1"/>
                <w:szCs w:val="21"/>
                <w14:textFill>
                  <w14:solidFill>
                    <w14:schemeClr w14:val="tx1"/>
                  </w14:solidFill>
                </w14:textFill>
              </w:rPr>
            </w:pPr>
            <w:r>
              <w:rPr>
                <w:rFonts w:hint="eastAsia" w:ascii="宋体" w:hAnsi="宋体" w:cs="Arial"/>
                <w:color w:val="000000" w:themeColor="text1"/>
                <w:szCs w:val="21"/>
                <w14:textFill>
                  <w14:solidFill>
                    <w14:schemeClr w14:val="tx1"/>
                  </w14:solidFill>
                </w14:textFill>
              </w:rPr>
              <w:t>二级</w:t>
            </w:r>
          </w:p>
        </w:tc>
        <w:tc>
          <w:tcPr>
            <w:tcW w:w="405" w:type="pct"/>
            <w:tcBorders>
              <w:right w:val="single" w:color="000000" w:sz="2" w:space="0"/>
            </w:tcBorders>
            <w:vAlign w:val="center"/>
          </w:tcPr>
          <w:p w14:paraId="263FADFE">
            <w:pPr>
              <w:spacing w:line="300" w:lineRule="exact"/>
              <w:jc w:val="center"/>
              <w:rPr>
                <w:rFonts w:hint="eastAsia" w:ascii="宋体" w:hAnsi="宋体" w:cs="Arial"/>
                <w:color w:val="000000" w:themeColor="text1"/>
                <w:szCs w:val="21"/>
                <w14:textFill>
                  <w14:solidFill>
                    <w14:schemeClr w14:val="tx1"/>
                  </w14:solidFill>
                </w14:textFill>
              </w:rPr>
            </w:pPr>
            <w:r>
              <w:rPr>
                <w:rFonts w:hint="eastAsia" w:ascii="宋体" w:hAnsi="宋体" w:cs="Arial"/>
                <w:color w:val="000000" w:themeColor="text1"/>
                <w:szCs w:val="21"/>
                <w14:textFill>
                  <w14:solidFill>
                    <w14:schemeClr w14:val="tx1"/>
                  </w14:solidFill>
                </w14:textFill>
              </w:rPr>
              <w:t>二级</w:t>
            </w:r>
          </w:p>
        </w:tc>
        <w:tc>
          <w:tcPr>
            <w:tcW w:w="405" w:type="pct"/>
            <w:tcBorders>
              <w:left w:val="single" w:color="000000" w:sz="2" w:space="0"/>
              <w:right w:val="single" w:color="000000" w:sz="2" w:space="0"/>
            </w:tcBorders>
            <w:vAlign w:val="center"/>
          </w:tcPr>
          <w:p w14:paraId="7402ACC8">
            <w:pPr>
              <w:spacing w:line="300" w:lineRule="exact"/>
              <w:jc w:val="center"/>
              <w:rPr>
                <w:rFonts w:hint="eastAsia" w:ascii="宋体" w:hAnsi="宋体" w:cs="Arial"/>
                <w:color w:val="000000" w:themeColor="text1"/>
                <w:szCs w:val="21"/>
                <w14:textFill>
                  <w14:solidFill>
                    <w14:schemeClr w14:val="tx1"/>
                  </w14:solidFill>
                </w14:textFill>
              </w:rPr>
            </w:pPr>
            <w:r>
              <w:rPr>
                <w:rFonts w:hint="eastAsia" w:ascii="宋体" w:hAnsi="宋体" w:cs="Arial"/>
                <w:color w:val="000000" w:themeColor="text1"/>
                <w:szCs w:val="21"/>
                <w14:textFill>
                  <w14:solidFill>
                    <w14:schemeClr w14:val="tx1"/>
                  </w14:solidFill>
                </w14:textFill>
              </w:rPr>
              <w:t>二级</w:t>
            </w:r>
          </w:p>
        </w:tc>
        <w:tc>
          <w:tcPr>
            <w:tcW w:w="407" w:type="pct"/>
            <w:tcBorders>
              <w:left w:val="single" w:color="000000" w:sz="2" w:space="0"/>
            </w:tcBorders>
            <w:vAlign w:val="center"/>
          </w:tcPr>
          <w:p w14:paraId="25AB67BF">
            <w:pPr>
              <w:spacing w:line="300" w:lineRule="exact"/>
              <w:jc w:val="center"/>
              <w:rPr>
                <w:rFonts w:hint="eastAsia" w:ascii="宋体" w:hAnsi="宋体" w:cs="Arial"/>
                <w:color w:val="000000" w:themeColor="text1"/>
                <w:szCs w:val="21"/>
                <w14:textFill>
                  <w14:solidFill>
                    <w14:schemeClr w14:val="tx1"/>
                  </w14:solidFill>
                </w14:textFill>
              </w:rPr>
            </w:pPr>
            <w:r>
              <w:rPr>
                <w:rFonts w:hint="eastAsia" w:ascii="宋体" w:hAnsi="宋体" w:cs="Arial"/>
                <w:color w:val="000000" w:themeColor="text1"/>
                <w:szCs w:val="21"/>
                <w14:textFill>
                  <w14:solidFill>
                    <w14:schemeClr w14:val="tx1"/>
                  </w14:solidFill>
                </w14:textFill>
              </w:rPr>
              <w:t>三级</w:t>
            </w:r>
          </w:p>
        </w:tc>
        <w:tc>
          <w:tcPr>
            <w:tcW w:w="405" w:type="pct"/>
            <w:tcBorders>
              <w:right w:val="single" w:color="000000" w:sz="2" w:space="0"/>
            </w:tcBorders>
            <w:vAlign w:val="center"/>
          </w:tcPr>
          <w:p w14:paraId="3BB7E43A">
            <w:pPr>
              <w:spacing w:line="300" w:lineRule="exact"/>
              <w:jc w:val="center"/>
              <w:rPr>
                <w:rFonts w:hint="eastAsia" w:ascii="宋体" w:hAnsi="宋体" w:cs="Arial"/>
                <w:color w:val="000000" w:themeColor="text1"/>
                <w:szCs w:val="21"/>
                <w14:textFill>
                  <w14:solidFill>
                    <w14:schemeClr w14:val="tx1"/>
                  </w14:solidFill>
                </w14:textFill>
              </w:rPr>
            </w:pPr>
            <w:r>
              <w:rPr>
                <w:rFonts w:hint="eastAsia" w:ascii="宋体" w:hAnsi="宋体" w:cs="Arial"/>
                <w:color w:val="000000" w:themeColor="text1"/>
                <w:szCs w:val="21"/>
                <w14:textFill>
                  <w14:solidFill>
                    <w14:schemeClr w14:val="tx1"/>
                  </w14:solidFill>
                </w14:textFill>
              </w:rPr>
              <w:t>三级</w:t>
            </w:r>
          </w:p>
        </w:tc>
        <w:tc>
          <w:tcPr>
            <w:tcW w:w="405" w:type="pct"/>
            <w:tcBorders>
              <w:left w:val="single" w:color="000000" w:sz="2" w:space="0"/>
              <w:right w:val="single" w:color="000000" w:sz="2" w:space="0"/>
            </w:tcBorders>
            <w:vAlign w:val="center"/>
          </w:tcPr>
          <w:p w14:paraId="18BB56BF">
            <w:pPr>
              <w:spacing w:line="300" w:lineRule="exact"/>
              <w:jc w:val="center"/>
              <w:rPr>
                <w:rFonts w:hint="eastAsia" w:ascii="宋体" w:hAnsi="宋体" w:cs="Arial"/>
                <w:color w:val="000000" w:themeColor="text1"/>
                <w:szCs w:val="21"/>
                <w14:textFill>
                  <w14:solidFill>
                    <w14:schemeClr w14:val="tx1"/>
                  </w14:solidFill>
                </w14:textFill>
              </w:rPr>
            </w:pPr>
            <w:r>
              <w:rPr>
                <w:rFonts w:hint="eastAsia" w:ascii="宋体" w:hAnsi="宋体" w:cs="Arial"/>
                <w:color w:val="000000" w:themeColor="text1"/>
                <w:szCs w:val="21"/>
                <w14:textFill>
                  <w14:solidFill>
                    <w14:schemeClr w14:val="tx1"/>
                  </w14:solidFill>
                </w14:textFill>
              </w:rPr>
              <w:t>三级</w:t>
            </w:r>
          </w:p>
        </w:tc>
        <w:tc>
          <w:tcPr>
            <w:tcW w:w="408" w:type="pct"/>
            <w:tcBorders>
              <w:left w:val="single" w:color="000000" w:sz="2" w:space="0"/>
            </w:tcBorders>
            <w:vAlign w:val="center"/>
          </w:tcPr>
          <w:p w14:paraId="65FB9069">
            <w:pPr>
              <w:spacing w:line="300" w:lineRule="exact"/>
              <w:jc w:val="center"/>
              <w:rPr>
                <w:rFonts w:hint="eastAsia" w:ascii="宋体" w:hAnsi="宋体" w:cs="Arial"/>
                <w:color w:val="000000" w:themeColor="text1"/>
                <w:szCs w:val="21"/>
                <w14:textFill>
                  <w14:solidFill>
                    <w14:schemeClr w14:val="tx1"/>
                  </w14:solidFill>
                </w14:textFill>
              </w:rPr>
            </w:pPr>
            <w:r>
              <w:rPr>
                <w:rFonts w:hint="eastAsia" w:ascii="宋体" w:hAnsi="宋体" w:cs="Arial"/>
                <w:color w:val="000000" w:themeColor="text1"/>
                <w:szCs w:val="21"/>
                <w14:textFill>
                  <w14:solidFill>
                    <w14:schemeClr w14:val="tx1"/>
                  </w14:solidFill>
                </w14:textFill>
              </w:rPr>
              <w:t>-</w:t>
            </w:r>
          </w:p>
        </w:tc>
      </w:tr>
      <w:tr w14:paraId="0741AD8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49" w:type="pct"/>
            <w:vAlign w:val="center"/>
          </w:tcPr>
          <w:p w14:paraId="7288F80C">
            <w:pPr>
              <w:spacing w:line="300" w:lineRule="exact"/>
              <w:jc w:val="center"/>
              <w:rPr>
                <w:rFonts w:hint="eastAsia" w:ascii="宋体" w:hAnsi="宋体" w:cs="Arial"/>
                <w:color w:val="000000" w:themeColor="text1"/>
                <w:szCs w:val="21"/>
                <w14:textFill>
                  <w14:solidFill>
                    <w14:schemeClr w14:val="tx1"/>
                  </w14:solidFill>
                </w14:textFill>
              </w:rPr>
            </w:pPr>
            <w:r>
              <w:rPr>
                <w:rFonts w:hint="eastAsia" w:ascii="宋体" w:hAnsi="宋体" w:cs="Arial"/>
                <w:color w:val="000000" w:themeColor="text1"/>
                <w:szCs w:val="21"/>
                <w14:textFill>
                  <w14:solidFill>
                    <w14:schemeClr w14:val="tx1"/>
                  </w14:solidFill>
                </w14:textFill>
              </w:rPr>
              <w:t>不敏感</w:t>
            </w:r>
          </w:p>
        </w:tc>
        <w:tc>
          <w:tcPr>
            <w:tcW w:w="405" w:type="pct"/>
            <w:tcBorders>
              <w:right w:val="single" w:color="000000" w:sz="2" w:space="0"/>
            </w:tcBorders>
            <w:vAlign w:val="center"/>
          </w:tcPr>
          <w:p w14:paraId="0BA0D6C7">
            <w:pPr>
              <w:spacing w:line="300" w:lineRule="exact"/>
              <w:jc w:val="center"/>
              <w:rPr>
                <w:rFonts w:hint="eastAsia" w:ascii="宋体" w:hAnsi="宋体" w:cs="Arial"/>
                <w:color w:val="000000" w:themeColor="text1"/>
                <w:szCs w:val="21"/>
                <w14:textFill>
                  <w14:solidFill>
                    <w14:schemeClr w14:val="tx1"/>
                  </w14:solidFill>
                </w14:textFill>
              </w:rPr>
            </w:pPr>
            <w:r>
              <w:rPr>
                <w:rFonts w:hint="eastAsia" w:ascii="宋体" w:hAnsi="宋体" w:cs="Arial"/>
                <w:color w:val="000000" w:themeColor="text1"/>
                <w:szCs w:val="21"/>
                <w14:textFill>
                  <w14:solidFill>
                    <w14:schemeClr w14:val="tx1"/>
                  </w14:solidFill>
                </w14:textFill>
              </w:rPr>
              <w:t>一级</w:t>
            </w:r>
          </w:p>
        </w:tc>
        <w:tc>
          <w:tcPr>
            <w:tcW w:w="405" w:type="pct"/>
            <w:tcBorders>
              <w:left w:val="single" w:color="000000" w:sz="2" w:space="0"/>
              <w:right w:val="single" w:color="000000" w:sz="2" w:space="0"/>
            </w:tcBorders>
            <w:vAlign w:val="center"/>
          </w:tcPr>
          <w:p w14:paraId="345C51DB">
            <w:pPr>
              <w:spacing w:line="300" w:lineRule="exact"/>
              <w:jc w:val="center"/>
              <w:rPr>
                <w:rFonts w:hint="eastAsia" w:ascii="宋体" w:hAnsi="宋体" w:cs="Arial"/>
                <w:color w:val="000000" w:themeColor="text1"/>
                <w:szCs w:val="21"/>
                <w14:textFill>
                  <w14:solidFill>
                    <w14:schemeClr w14:val="tx1"/>
                  </w14:solidFill>
                </w14:textFill>
              </w:rPr>
            </w:pPr>
            <w:r>
              <w:rPr>
                <w:rFonts w:hint="eastAsia" w:ascii="宋体" w:hAnsi="宋体" w:cs="Arial"/>
                <w:color w:val="000000" w:themeColor="text1"/>
                <w:szCs w:val="21"/>
                <w14:textFill>
                  <w14:solidFill>
                    <w14:schemeClr w14:val="tx1"/>
                  </w14:solidFill>
                </w14:textFill>
              </w:rPr>
              <w:t>二级</w:t>
            </w:r>
          </w:p>
        </w:tc>
        <w:tc>
          <w:tcPr>
            <w:tcW w:w="406" w:type="pct"/>
            <w:tcBorders>
              <w:left w:val="single" w:color="000000" w:sz="2" w:space="0"/>
            </w:tcBorders>
            <w:vAlign w:val="center"/>
          </w:tcPr>
          <w:p w14:paraId="54BD15ED">
            <w:pPr>
              <w:spacing w:line="300" w:lineRule="exact"/>
              <w:jc w:val="center"/>
              <w:rPr>
                <w:rFonts w:hint="eastAsia" w:ascii="宋体" w:hAnsi="宋体" w:cs="Arial"/>
                <w:color w:val="000000" w:themeColor="text1"/>
                <w:szCs w:val="21"/>
                <w14:textFill>
                  <w14:solidFill>
                    <w14:schemeClr w14:val="tx1"/>
                  </w14:solidFill>
                </w14:textFill>
              </w:rPr>
            </w:pPr>
            <w:r>
              <w:rPr>
                <w:rFonts w:hint="eastAsia" w:ascii="宋体" w:hAnsi="宋体" w:cs="Arial"/>
                <w:color w:val="000000" w:themeColor="text1"/>
                <w:szCs w:val="21"/>
                <w14:textFill>
                  <w14:solidFill>
                    <w14:schemeClr w14:val="tx1"/>
                  </w14:solidFill>
                </w14:textFill>
              </w:rPr>
              <w:t>二级</w:t>
            </w:r>
          </w:p>
        </w:tc>
        <w:tc>
          <w:tcPr>
            <w:tcW w:w="405" w:type="pct"/>
            <w:tcBorders>
              <w:right w:val="single" w:color="000000" w:sz="2" w:space="0"/>
            </w:tcBorders>
            <w:vAlign w:val="center"/>
          </w:tcPr>
          <w:p w14:paraId="74FEF6FE">
            <w:pPr>
              <w:spacing w:line="300" w:lineRule="exact"/>
              <w:jc w:val="center"/>
              <w:rPr>
                <w:rFonts w:hint="eastAsia" w:ascii="宋体" w:hAnsi="宋体" w:cs="Arial"/>
                <w:color w:val="000000" w:themeColor="text1"/>
                <w:szCs w:val="21"/>
                <w14:textFill>
                  <w14:solidFill>
                    <w14:schemeClr w14:val="tx1"/>
                  </w14:solidFill>
                </w14:textFill>
              </w:rPr>
            </w:pPr>
            <w:r>
              <w:rPr>
                <w:rFonts w:hint="eastAsia" w:ascii="宋体" w:hAnsi="宋体" w:cs="Arial"/>
                <w:color w:val="000000" w:themeColor="text1"/>
                <w:szCs w:val="21"/>
                <w14:textFill>
                  <w14:solidFill>
                    <w14:schemeClr w14:val="tx1"/>
                  </w14:solidFill>
                </w14:textFill>
              </w:rPr>
              <w:t>二级</w:t>
            </w:r>
          </w:p>
        </w:tc>
        <w:tc>
          <w:tcPr>
            <w:tcW w:w="405" w:type="pct"/>
            <w:tcBorders>
              <w:left w:val="single" w:color="000000" w:sz="2" w:space="0"/>
              <w:right w:val="single" w:color="000000" w:sz="2" w:space="0"/>
            </w:tcBorders>
            <w:vAlign w:val="center"/>
          </w:tcPr>
          <w:p w14:paraId="74565C91">
            <w:pPr>
              <w:spacing w:line="300" w:lineRule="exact"/>
              <w:jc w:val="center"/>
              <w:rPr>
                <w:rFonts w:hint="eastAsia" w:ascii="宋体" w:hAnsi="宋体" w:cs="Arial"/>
                <w:color w:val="000000" w:themeColor="text1"/>
                <w:szCs w:val="21"/>
                <w14:textFill>
                  <w14:solidFill>
                    <w14:schemeClr w14:val="tx1"/>
                  </w14:solidFill>
                </w14:textFill>
              </w:rPr>
            </w:pPr>
            <w:r>
              <w:rPr>
                <w:rFonts w:hint="eastAsia" w:ascii="宋体" w:hAnsi="宋体" w:cs="Arial"/>
                <w:color w:val="000000" w:themeColor="text1"/>
                <w:szCs w:val="21"/>
                <w14:textFill>
                  <w14:solidFill>
                    <w14:schemeClr w14:val="tx1"/>
                  </w14:solidFill>
                </w14:textFill>
              </w:rPr>
              <w:t>三级</w:t>
            </w:r>
          </w:p>
        </w:tc>
        <w:tc>
          <w:tcPr>
            <w:tcW w:w="407" w:type="pct"/>
            <w:tcBorders>
              <w:left w:val="single" w:color="000000" w:sz="2" w:space="0"/>
            </w:tcBorders>
            <w:vAlign w:val="center"/>
          </w:tcPr>
          <w:p w14:paraId="302A0EE7">
            <w:pPr>
              <w:spacing w:line="300" w:lineRule="exact"/>
              <w:jc w:val="center"/>
              <w:rPr>
                <w:rFonts w:hint="eastAsia" w:ascii="宋体" w:hAnsi="宋体" w:cs="Arial"/>
                <w:color w:val="000000" w:themeColor="text1"/>
                <w:szCs w:val="21"/>
                <w14:textFill>
                  <w14:solidFill>
                    <w14:schemeClr w14:val="tx1"/>
                  </w14:solidFill>
                </w14:textFill>
              </w:rPr>
            </w:pPr>
            <w:r>
              <w:rPr>
                <w:rFonts w:hint="eastAsia" w:ascii="宋体" w:hAnsi="宋体" w:cs="Arial"/>
                <w:color w:val="000000" w:themeColor="text1"/>
                <w:szCs w:val="21"/>
                <w14:textFill>
                  <w14:solidFill>
                    <w14:schemeClr w14:val="tx1"/>
                  </w14:solidFill>
                </w14:textFill>
              </w:rPr>
              <w:t>三级</w:t>
            </w:r>
          </w:p>
        </w:tc>
        <w:tc>
          <w:tcPr>
            <w:tcW w:w="405" w:type="pct"/>
            <w:tcBorders>
              <w:right w:val="single" w:color="000000" w:sz="2" w:space="0"/>
            </w:tcBorders>
            <w:vAlign w:val="center"/>
          </w:tcPr>
          <w:p w14:paraId="588A80DE">
            <w:pPr>
              <w:spacing w:line="300" w:lineRule="exact"/>
              <w:jc w:val="center"/>
              <w:rPr>
                <w:rFonts w:hint="eastAsia" w:ascii="宋体" w:hAnsi="宋体" w:cs="Arial"/>
                <w:color w:val="000000" w:themeColor="text1"/>
                <w:szCs w:val="21"/>
                <w14:textFill>
                  <w14:solidFill>
                    <w14:schemeClr w14:val="tx1"/>
                  </w14:solidFill>
                </w14:textFill>
              </w:rPr>
            </w:pPr>
            <w:r>
              <w:rPr>
                <w:rFonts w:hint="eastAsia" w:ascii="宋体" w:hAnsi="宋体" w:cs="Arial"/>
                <w:color w:val="000000" w:themeColor="text1"/>
                <w:szCs w:val="21"/>
                <w14:textFill>
                  <w14:solidFill>
                    <w14:schemeClr w14:val="tx1"/>
                  </w14:solidFill>
                </w14:textFill>
              </w:rPr>
              <w:t>三级</w:t>
            </w:r>
          </w:p>
        </w:tc>
        <w:tc>
          <w:tcPr>
            <w:tcW w:w="405" w:type="pct"/>
            <w:tcBorders>
              <w:left w:val="single" w:color="000000" w:sz="2" w:space="0"/>
              <w:right w:val="single" w:color="000000" w:sz="2" w:space="0"/>
            </w:tcBorders>
            <w:vAlign w:val="center"/>
          </w:tcPr>
          <w:p w14:paraId="547EB364">
            <w:pPr>
              <w:spacing w:line="300" w:lineRule="exact"/>
              <w:jc w:val="center"/>
              <w:rPr>
                <w:rFonts w:hint="eastAsia" w:ascii="宋体" w:hAnsi="宋体" w:cs="Arial"/>
                <w:color w:val="000000" w:themeColor="text1"/>
                <w:szCs w:val="21"/>
                <w14:textFill>
                  <w14:solidFill>
                    <w14:schemeClr w14:val="tx1"/>
                  </w14:solidFill>
                </w14:textFill>
              </w:rPr>
            </w:pPr>
            <w:r>
              <w:rPr>
                <w:rFonts w:hint="eastAsia" w:ascii="宋体" w:hAnsi="宋体" w:cs="Arial"/>
                <w:color w:val="000000" w:themeColor="text1"/>
                <w:szCs w:val="21"/>
                <w14:textFill>
                  <w14:solidFill>
                    <w14:schemeClr w14:val="tx1"/>
                  </w14:solidFill>
                </w14:textFill>
              </w:rPr>
              <w:t>-</w:t>
            </w:r>
          </w:p>
        </w:tc>
        <w:tc>
          <w:tcPr>
            <w:tcW w:w="408" w:type="pct"/>
            <w:tcBorders>
              <w:left w:val="single" w:color="000000" w:sz="2" w:space="0"/>
            </w:tcBorders>
            <w:vAlign w:val="center"/>
          </w:tcPr>
          <w:p w14:paraId="1BB4EF01">
            <w:pPr>
              <w:spacing w:line="300" w:lineRule="exact"/>
              <w:jc w:val="center"/>
              <w:rPr>
                <w:rFonts w:hint="eastAsia" w:ascii="宋体" w:hAnsi="宋体" w:cs="Arial"/>
                <w:color w:val="000000" w:themeColor="text1"/>
                <w:szCs w:val="21"/>
                <w14:textFill>
                  <w14:solidFill>
                    <w14:schemeClr w14:val="tx1"/>
                  </w14:solidFill>
                </w14:textFill>
              </w:rPr>
            </w:pPr>
            <w:r>
              <w:rPr>
                <w:rFonts w:hint="eastAsia" w:ascii="宋体" w:hAnsi="宋体" w:cs="Arial"/>
                <w:color w:val="000000" w:themeColor="text1"/>
                <w:szCs w:val="21"/>
                <w14:textFill>
                  <w14:solidFill>
                    <w14:schemeClr w14:val="tx1"/>
                  </w14:solidFill>
                </w14:textFill>
              </w:rPr>
              <w:t>-</w:t>
            </w:r>
          </w:p>
        </w:tc>
      </w:tr>
      <w:bookmarkEnd w:id="122"/>
    </w:tbl>
    <w:p w14:paraId="7DAA649C">
      <w:pPr>
        <w:pStyle w:val="191"/>
        <w:adjustRightInd w:val="0"/>
        <w:snapToGrid w:val="0"/>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※占地规模</w:t>
      </w:r>
    </w:p>
    <w:p w14:paraId="0CE2B5B4">
      <w:pPr>
        <w:pStyle w:val="191"/>
        <w:adjustRightInd w:val="0"/>
        <w:snapToGrid w:val="0"/>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永久占地面积约0.6801</w:t>
      </w:r>
      <w:r>
        <w:rPr>
          <w:color w:val="000000" w:themeColor="text1"/>
          <w14:textFill>
            <w14:solidFill>
              <w14:schemeClr w14:val="tx1"/>
            </w14:solidFill>
          </w14:textFill>
        </w:rPr>
        <w:t>hm</w:t>
      </w:r>
      <w:r>
        <w:rPr>
          <w:color w:val="000000" w:themeColor="text1"/>
          <w:vertAlign w:val="superscript"/>
          <w14:textFill>
            <w14:solidFill>
              <w14:schemeClr w14:val="tx1"/>
            </w14:solidFill>
          </w14:textFill>
        </w:rPr>
        <w:t>2</w:t>
      </w:r>
      <w:r>
        <w:rPr>
          <w:rFonts w:hint="eastAsia"/>
          <w:color w:val="000000" w:themeColor="text1"/>
          <w14:textFill>
            <w14:solidFill>
              <w14:schemeClr w14:val="tx1"/>
            </w14:solidFill>
          </w14:textFill>
        </w:rPr>
        <w:t>，占地规模为小型。</w:t>
      </w:r>
    </w:p>
    <w:p w14:paraId="706165C5">
      <w:pPr>
        <w:pStyle w:val="191"/>
        <w:adjustRightInd w:val="0"/>
        <w:snapToGrid w:val="0"/>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※土壤环境敏感程度</w:t>
      </w:r>
    </w:p>
    <w:p w14:paraId="638A3D49">
      <w:pPr>
        <w:pStyle w:val="191"/>
        <w:adjustRightInd w:val="0"/>
        <w:snapToGrid w:val="0"/>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建设项目所在地周边的环境影响敏感程度分为敏感、较敏感、不敏感，判别依据详见表2.</w:t>
      </w:r>
      <w:r>
        <w:rPr>
          <w:color w:val="000000" w:themeColor="text1"/>
          <w14:textFill>
            <w14:solidFill>
              <w14:schemeClr w14:val="tx1"/>
            </w14:solidFill>
          </w14:textFill>
        </w:rPr>
        <w:t>6</w:t>
      </w:r>
      <w:r>
        <w:rPr>
          <w:rFonts w:hint="eastAsia"/>
          <w:color w:val="000000" w:themeColor="text1"/>
          <w14:textFill>
            <w14:solidFill>
              <w14:schemeClr w14:val="tx1"/>
            </w14:solidFill>
          </w14:textFill>
        </w:rPr>
        <w:t>-11。</w:t>
      </w:r>
    </w:p>
    <w:p w14:paraId="495E0A23">
      <w:pPr>
        <w:pStyle w:val="109"/>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表2.</w:t>
      </w:r>
      <w:r>
        <w:rPr>
          <w:color w:val="000000" w:themeColor="text1"/>
          <w14:textFill>
            <w14:solidFill>
              <w14:schemeClr w14:val="tx1"/>
            </w14:solidFill>
          </w14:textFill>
        </w:rPr>
        <w:t>6</w:t>
      </w:r>
      <w:r>
        <w:rPr>
          <w:rFonts w:hint="eastAsia"/>
          <w:color w:val="000000" w:themeColor="text1"/>
          <w14:textFill>
            <w14:solidFill>
              <w14:schemeClr w14:val="tx1"/>
            </w14:solidFill>
          </w14:textFill>
        </w:rPr>
        <w:t>-11   污染影响型敏感程度分级表</w:t>
      </w:r>
    </w:p>
    <w:tbl>
      <w:tblPr>
        <w:tblStyle w:val="51"/>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417"/>
        <w:gridCol w:w="7531"/>
      </w:tblGrid>
      <w:tr w14:paraId="7A961A0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17" w:type="dxa"/>
            <w:vAlign w:val="center"/>
          </w:tcPr>
          <w:p w14:paraId="37B7BAC8">
            <w:pPr>
              <w:spacing w:line="300" w:lineRule="exact"/>
              <w:jc w:val="center"/>
              <w:rPr>
                <w:rFonts w:hint="eastAsia"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敏感程度</w:t>
            </w:r>
          </w:p>
        </w:tc>
        <w:tc>
          <w:tcPr>
            <w:tcW w:w="7531" w:type="dxa"/>
            <w:vAlign w:val="center"/>
          </w:tcPr>
          <w:p w14:paraId="1E854ADF">
            <w:pPr>
              <w:spacing w:line="300" w:lineRule="exact"/>
              <w:jc w:val="center"/>
              <w:rPr>
                <w:rFonts w:hint="eastAsia"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判别依据</w:t>
            </w:r>
          </w:p>
        </w:tc>
      </w:tr>
      <w:tr w14:paraId="132D9B2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17" w:type="dxa"/>
            <w:vAlign w:val="center"/>
          </w:tcPr>
          <w:p w14:paraId="6B71C0FB">
            <w:pPr>
              <w:spacing w:line="300" w:lineRule="exact"/>
              <w:jc w:val="center"/>
              <w:rPr>
                <w:rFonts w:hint="eastAsia"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敏感</w:t>
            </w:r>
          </w:p>
        </w:tc>
        <w:tc>
          <w:tcPr>
            <w:tcW w:w="7531" w:type="dxa"/>
            <w:vAlign w:val="center"/>
          </w:tcPr>
          <w:p w14:paraId="060544D0">
            <w:pPr>
              <w:spacing w:line="300" w:lineRule="exact"/>
              <w:jc w:val="left"/>
              <w:rPr>
                <w:rFonts w:hint="eastAsia"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建设项目周边存在耕地、园地、牧草地、饮用水水源地或居民区、学校、医院、疗养院、养老院等土壤环境敏感目标的</w:t>
            </w:r>
          </w:p>
        </w:tc>
      </w:tr>
      <w:tr w14:paraId="5E60C0B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17" w:type="dxa"/>
            <w:vAlign w:val="center"/>
          </w:tcPr>
          <w:p w14:paraId="57A52A56">
            <w:pPr>
              <w:spacing w:line="300" w:lineRule="exact"/>
              <w:jc w:val="center"/>
              <w:rPr>
                <w:rFonts w:hint="eastAsia"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较敏感</w:t>
            </w:r>
          </w:p>
        </w:tc>
        <w:tc>
          <w:tcPr>
            <w:tcW w:w="7531" w:type="dxa"/>
            <w:vAlign w:val="center"/>
          </w:tcPr>
          <w:p w14:paraId="76560DEA">
            <w:pPr>
              <w:spacing w:line="300" w:lineRule="exact"/>
              <w:jc w:val="left"/>
              <w:rPr>
                <w:rFonts w:hint="eastAsia"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建设项目周边存在其他土壤环境敏感目标的</w:t>
            </w:r>
          </w:p>
        </w:tc>
      </w:tr>
      <w:tr w14:paraId="5BB194E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17" w:type="dxa"/>
            <w:vAlign w:val="center"/>
          </w:tcPr>
          <w:p w14:paraId="40CD3BB7">
            <w:pPr>
              <w:spacing w:line="300" w:lineRule="exact"/>
              <w:jc w:val="center"/>
              <w:rPr>
                <w:rFonts w:hint="eastAsia"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不敏感</w:t>
            </w:r>
          </w:p>
        </w:tc>
        <w:tc>
          <w:tcPr>
            <w:tcW w:w="7531" w:type="dxa"/>
            <w:vAlign w:val="center"/>
          </w:tcPr>
          <w:p w14:paraId="1C78A729">
            <w:pPr>
              <w:spacing w:line="300" w:lineRule="exact"/>
              <w:jc w:val="left"/>
              <w:rPr>
                <w:rFonts w:hint="eastAsia"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其他情况</w:t>
            </w:r>
          </w:p>
        </w:tc>
      </w:tr>
    </w:tbl>
    <w:p w14:paraId="46AA46EC">
      <w:pPr>
        <w:pStyle w:val="191"/>
        <w:adjustRightInd w:val="0"/>
        <w:snapToGrid w:val="0"/>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项目评价范围内存在一般耕地、天然牧草地等环境敏感目标，环境敏感程度为敏感。</w:t>
      </w:r>
    </w:p>
    <w:p w14:paraId="0D6F9FE2">
      <w:pPr>
        <w:pStyle w:val="191"/>
        <w:adjustRightInd w:val="0"/>
        <w:snapToGrid w:val="0"/>
        <w:ind w:firstLine="480"/>
        <w:rPr>
          <w:rFonts w:hint="eastAsia"/>
          <w:color w:val="000000" w:themeColor="text1"/>
          <w14:textFill>
            <w14:solidFill>
              <w14:schemeClr w14:val="tx1"/>
            </w14:solidFill>
          </w14:textFill>
        </w:rPr>
      </w:pPr>
      <w:bookmarkStart w:id="123" w:name="_Hlk92203632"/>
      <w:r>
        <w:rPr>
          <w:rFonts w:hint="eastAsia"/>
          <w:color w:val="000000" w:themeColor="text1"/>
          <w14:textFill>
            <w14:solidFill>
              <w14:schemeClr w14:val="tx1"/>
            </w14:solidFill>
          </w14:textFill>
        </w:rPr>
        <w:t>本项目属于陆地石油开采行业，根据《环境影响评价技术导则 陆地石油天然气开发建设项目》（H</w:t>
      </w:r>
      <w:r>
        <w:rPr>
          <w:color w:val="000000" w:themeColor="text1"/>
          <w14:textFill>
            <w14:solidFill>
              <w14:schemeClr w14:val="tx1"/>
            </w14:solidFill>
          </w14:textFill>
        </w:rPr>
        <w:t>J349</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2023</w:t>
      </w:r>
      <w:r>
        <w:rPr>
          <w:rFonts w:hint="eastAsia"/>
          <w:color w:val="000000" w:themeColor="text1"/>
          <w14:textFill>
            <w14:solidFill>
              <w14:schemeClr w14:val="tx1"/>
            </w14:solidFill>
          </w14:textFill>
        </w:rPr>
        <w:t>）规定采油井场、注水井场和预处理注入站为Ⅰ类建设项目，注气井场、单井采油管线、集油干支线为Ⅱ类建设项目，单井注气管线为Ⅳ类建设项目，根据表2</w:t>
      </w:r>
      <w:r>
        <w:rPr>
          <w:color w:val="000000" w:themeColor="text1"/>
          <w14:textFill>
            <w14:solidFill>
              <w14:schemeClr w14:val="tx1"/>
            </w14:solidFill>
          </w14:textFill>
        </w:rPr>
        <w:t>.6</w:t>
      </w:r>
      <w:r>
        <w:rPr>
          <w:rFonts w:hint="eastAsia"/>
          <w:color w:val="000000" w:themeColor="text1"/>
          <w14:textFill>
            <w14:solidFill>
              <w14:schemeClr w14:val="tx1"/>
            </w14:solidFill>
          </w14:textFill>
        </w:rPr>
        <w:t>-11可知，采油井场、注水井场和预处理注入站土壤污染影响型评价等级为一级，注气井场、单井采油管线、集油干支线土壤污染影响型评价等级为二级，</w:t>
      </w:r>
      <w:bookmarkStart w:id="124" w:name="OLE_LINK24"/>
      <w:r>
        <w:rPr>
          <w:rFonts w:hint="eastAsia"/>
          <w:color w:val="000000" w:themeColor="text1"/>
          <w14:textFill>
            <w14:solidFill>
              <w14:schemeClr w14:val="tx1"/>
            </w14:solidFill>
          </w14:textFill>
        </w:rPr>
        <w:t>单井注气管线可不开展土壤环境影响评价。</w:t>
      </w:r>
    </w:p>
    <w:bookmarkEnd w:id="123"/>
    <w:bookmarkEnd w:id="124"/>
    <w:p w14:paraId="0E5553E8">
      <w:pPr>
        <w:pStyle w:val="117"/>
        <w:spacing w:line="480" w:lineRule="exact"/>
        <w:ind w:firstLine="480" w:firstLineChars="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②生态影响型</w:t>
      </w:r>
    </w:p>
    <w:p w14:paraId="7A80A499">
      <w:pPr>
        <w:pStyle w:val="117"/>
        <w:spacing w:line="480" w:lineRule="exact"/>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土壤生态影响型项目根据建设项目类别、生态影响型敏感程度分级结果划分评价工作等级，生态影响型敏感程度分级见表2</w:t>
      </w:r>
      <w:r>
        <w:rPr>
          <w:color w:val="000000" w:themeColor="text1"/>
          <w14:textFill>
            <w14:solidFill>
              <w14:schemeClr w14:val="tx1"/>
            </w14:solidFill>
          </w14:textFill>
        </w:rPr>
        <w:t>.6</w:t>
      </w:r>
      <w:r>
        <w:rPr>
          <w:rFonts w:hint="eastAsia"/>
          <w:color w:val="000000" w:themeColor="text1"/>
          <w14:textFill>
            <w14:solidFill>
              <w14:schemeClr w14:val="tx1"/>
            </w14:solidFill>
          </w14:textFill>
        </w:rPr>
        <w:t>-12，评价工作等级划分表见表2</w:t>
      </w:r>
      <w:r>
        <w:rPr>
          <w:color w:val="000000" w:themeColor="text1"/>
          <w14:textFill>
            <w14:solidFill>
              <w14:schemeClr w14:val="tx1"/>
            </w14:solidFill>
          </w14:textFill>
        </w:rPr>
        <w:t>.6</w:t>
      </w:r>
      <w:r>
        <w:rPr>
          <w:rFonts w:hint="eastAsia"/>
          <w:color w:val="000000" w:themeColor="text1"/>
          <w14:textFill>
            <w14:solidFill>
              <w14:schemeClr w14:val="tx1"/>
            </w14:solidFill>
          </w14:textFill>
        </w:rPr>
        <w:t>-13。</w:t>
      </w:r>
    </w:p>
    <w:p w14:paraId="34378010">
      <w:pPr>
        <w:pStyle w:val="109"/>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表2</w:t>
      </w:r>
      <w:r>
        <w:rPr>
          <w:color w:val="000000" w:themeColor="text1"/>
          <w14:textFill>
            <w14:solidFill>
              <w14:schemeClr w14:val="tx1"/>
            </w14:solidFill>
          </w14:textFill>
        </w:rPr>
        <w:t>.6</w:t>
      </w:r>
      <w:r>
        <w:rPr>
          <w:rFonts w:hint="eastAsia"/>
          <w:color w:val="000000" w:themeColor="text1"/>
          <w14:textFill>
            <w14:solidFill>
              <w14:schemeClr w14:val="tx1"/>
            </w14:solidFill>
          </w14:textFill>
        </w:rPr>
        <w:t xml:space="preserve">-12 </w:t>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生态影响型敏感程度分级表</w:t>
      </w:r>
    </w:p>
    <w:tbl>
      <w:tblPr>
        <w:tblStyle w:val="51"/>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71"/>
        <w:gridCol w:w="5520"/>
        <w:gridCol w:w="1308"/>
        <w:gridCol w:w="1247"/>
      </w:tblGrid>
      <w:tr w14:paraId="517797D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87" w:type="pct"/>
            <w:vMerge w:val="restart"/>
            <w:vAlign w:val="center"/>
          </w:tcPr>
          <w:p w14:paraId="5038B0AA">
            <w:pPr>
              <w:adjustRightInd w:val="0"/>
              <w:snapToGrid w:val="0"/>
              <w:spacing w:line="300" w:lineRule="exact"/>
              <w:jc w:val="center"/>
              <w:rPr>
                <w:rFonts w:hint="eastAsia"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敏感程度</w:t>
            </w:r>
          </w:p>
        </w:tc>
        <w:tc>
          <w:tcPr>
            <w:tcW w:w="4513" w:type="pct"/>
            <w:gridSpan w:val="3"/>
            <w:vAlign w:val="center"/>
          </w:tcPr>
          <w:p w14:paraId="29DE5535">
            <w:pPr>
              <w:adjustRightInd w:val="0"/>
              <w:snapToGrid w:val="0"/>
              <w:spacing w:line="300" w:lineRule="exact"/>
              <w:jc w:val="center"/>
              <w:rPr>
                <w:rFonts w:hint="eastAsia"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判别依据</w:t>
            </w:r>
          </w:p>
        </w:tc>
      </w:tr>
      <w:tr w14:paraId="4E43C06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87" w:type="pct"/>
            <w:vMerge w:val="continue"/>
            <w:vAlign w:val="center"/>
          </w:tcPr>
          <w:p w14:paraId="7409C94E">
            <w:pPr>
              <w:adjustRightInd w:val="0"/>
              <w:snapToGrid w:val="0"/>
              <w:spacing w:line="300" w:lineRule="exact"/>
              <w:jc w:val="center"/>
              <w:rPr>
                <w:rFonts w:hint="eastAsia" w:ascii="宋体" w:hAnsi="宋体"/>
                <w:color w:val="000000" w:themeColor="text1"/>
                <w:kern w:val="0"/>
                <w:szCs w:val="21"/>
                <w14:textFill>
                  <w14:solidFill>
                    <w14:schemeClr w14:val="tx1"/>
                  </w14:solidFill>
                </w14:textFill>
              </w:rPr>
            </w:pPr>
          </w:p>
        </w:tc>
        <w:tc>
          <w:tcPr>
            <w:tcW w:w="3085" w:type="pct"/>
          </w:tcPr>
          <w:p w14:paraId="367CB53D">
            <w:pPr>
              <w:adjustRightInd w:val="0"/>
              <w:snapToGrid w:val="0"/>
              <w:spacing w:line="300" w:lineRule="exact"/>
              <w:jc w:val="center"/>
              <w:rPr>
                <w:rFonts w:hint="eastAsia"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盐化</w:t>
            </w:r>
          </w:p>
        </w:tc>
        <w:tc>
          <w:tcPr>
            <w:tcW w:w="731" w:type="pct"/>
          </w:tcPr>
          <w:p w14:paraId="6941C165">
            <w:pPr>
              <w:adjustRightInd w:val="0"/>
              <w:snapToGrid w:val="0"/>
              <w:spacing w:line="300" w:lineRule="exact"/>
              <w:jc w:val="center"/>
              <w:rPr>
                <w:rFonts w:hint="eastAsia"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酸化</w:t>
            </w:r>
          </w:p>
        </w:tc>
        <w:tc>
          <w:tcPr>
            <w:tcW w:w="697" w:type="pct"/>
          </w:tcPr>
          <w:p w14:paraId="1AA53089">
            <w:pPr>
              <w:adjustRightInd w:val="0"/>
              <w:snapToGrid w:val="0"/>
              <w:spacing w:line="300" w:lineRule="exact"/>
              <w:jc w:val="center"/>
              <w:rPr>
                <w:rFonts w:hint="eastAsia"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碱化</w:t>
            </w:r>
          </w:p>
        </w:tc>
      </w:tr>
      <w:tr w14:paraId="283B760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87" w:type="pct"/>
            <w:vAlign w:val="center"/>
          </w:tcPr>
          <w:p w14:paraId="1837FD17">
            <w:pPr>
              <w:adjustRightInd w:val="0"/>
              <w:snapToGrid w:val="0"/>
              <w:spacing w:line="300" w:lineRule="exact"/>
              <w:jc w:val="center"/>
              <w:rPr>
                <w:rFonts w:hint="eastAsia"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敏感</w:t>
            </w:r>
          </w:p>
        </w:tc>
        <w:tc>
          <w:tcPr>
            <w:tcW w:w="3085" w:type="pct"/>
            <w:vAlign w:val="center"/>
          </w:tcPr>
          <w:p w14:paraId="36F52982">
            <w:pPr>
              <w:autoSpaceDE w:val="0"/>
              <w:autoSpaceDN w:val="0"/>
              <w:adjustRightInd w:val="0"/>
              <w:snapToGrid w:val="0"/>
              <w:spacing w:line="300" w:lineRule="exact"/>
              <w:jc w:val="left"/>
              <w:rPr>
                <w:rFonts w:hint="eastAsia" w:ascii="宋体" w:hAnsi="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建设项目所在地干燥度</w:t>
            </w:r>
            <w:r>
              <w:rPr>
                <w:rFonts w:ascii="宋体" w:hAnsi="宋体" w:cs="宋体"/>
                <w:color w:val="000000" w:themeColor="text1"/>
                <w:kern w:val="0"/>
                <w:szCs w:val="21"/>
                <w14:textFill>
                  <w14:solidFill>
                    <w14:schemeClr w14:val="tx1"/>
                  </w14:solidFill>
                </w14:textFill>
              </w:rPr>
              <w:t>a</w:t>
            </w:r>
            <w:r>
              <w:rPr>
                <w:rFonts w:hint="eastAsia" w:ascii="宋体" w:hAnsi="宋体" w:cs="宋体"/>
                <w:color w:val="000000" w:themeColor="text1"/>
                <w:kern w:val="0"/>
                <w:szCs w:val="21"/>
                <w14:textFill>
                  <w14:solidFill>
                    <w14:schemeClr w14:val="tx1"/>
                  </w14:solidFill>
                </w14:textFill>
              </w:rPr>
              <w:t>＞</w:t>
            </w:r>
            <w:r>
              <w:rPr>
                <w:rFonts w:ascii="宋体" w:hAnsi="宋体" w:cs="TimesNewRomanPSMT"/>
                <w:color w:val="000000" w:themeColor="text1"/>
                <w:kern w:val="0"/>
                <w:szCs w:val="21"/>
                <w14:textFill>
                  <w14:solidFill>
                    <w14:schemeClr w14:val="tx1"/>
                  </w14:solidFill>
                </w14:textFill>
              </w:rPr>
              <w:t>2.5</w:t>
            </w:r>
            <w:r>
              <w:rPr>
                <w:rFonts w:hint="eastAsia" w:ascii="宋体" w:hAnsi="宋体" w:cs="宋体"/>
                <w:color w:val="000000" w:themeColor="text1"/>
                <w:kern w:val="0"/>
                <w:szCs w:val="21"/>
                <w14:textFill>
                  <w14:solidFill>
                    <w14:schemeClr w14:val="tx1"/>
                  </w14:solidFill>
                </w14:textFill>
              </w:rPr>
              <w:t>且常年地下水位平均埋深＜</w:t>
            </w:r>
            <w:r>
              <w:rPr>
                <w:rFonts w:ascii="宋体" w:hAnsi="宋体" w:cs="TimesNewRomanPSMT"/>
                <w:color w:val="000000" w:themeColor="text1"/>
                <w:kern w:val="0"/>
                <w:szCs w:val="21"/>
                <w14:textFill>
                  <w14:solidFill>
                    <w14:schemeClr w14:val="tx1"/>
                  </w14:solidFill>
                </w14:textFill>
              </w:rPr>
              <w:t>1.5m</w:t>
            </w:r>
            <w:r>
              <w:rPr>
                <w:rFonts w:hint="eastAsia" w:ascii="宋体" w:hAnsi="宋体" w:cs="宋体"/>
                <w:color w:val="000000" w:themeColor="text1"/>
                <w:kern w:val="0"/>
                <w:szCs w:val="21"/>
                <w14:textFill>
                  <w14:solidFill>
                    <w14:schemeClr w14:val="tx1"/>
                  </w14:solidFill>
                </w14:textFill>
              </w:rPr>
              <w:t>的地势平坦区域；或土壤含盐量＞</w:t>
            </w:r>
            <w:r>
              <w:rPr>
                <w:rFonts w:ascii="宋体" w:hAnsi="宋体" w:cs="TimesNewRomanPSMT"/>
                <w:color w:val="000000" w:themeColor="text1"/>
                <w:kern w:val="0"/>
                <w:szCs w:val="21"/>
                <w14:textFill>
                  <w14:solidFill>
                    <w14:schemeClr w14:val="tx1"/>
                  </w14:solidFill>
                </w14:textFill>
              </w:rPr>
              <w:t>4g/kg</w:t>
            </w:r>
            <w:r>
              <w:rPr>
                <w:rFonts w:hint="eastAsia" w:ascii="宋体" w:hAnsi="宋体" w:cs="宋体"/>
                <w:color w:val="000000" w:themeColor="text1"/>
                <w:kern w:val="0"/>
                <w:szCs w:val="21"/>
                <w14:textFill>
                  <w14:solidFill>
                    <w14:schemeClr w14:val="tx1"/>
                  </w14:solidFill>
                </w14:textFill>
              </w:rPr>
              <w:t>的区域</w:t>
            </w:r>
          </w:p>
        </w:tc>
        <w:tc>
          <w:tcPr>
            <w:tcW w:w="731" w:type="pct"/>
            <w:vAlign w:val="center"/>
          </w:tcPr>
          <w:p w14:paraId="76462502">
            <w:pPr>
              <w:adjustRightInd w:val="0"/>
              <w:snapToGrid w:val="0"/>
              <w:spacing w:line="300" w:lineRule="exact"/>
              <w:jc w:val="center"/>
              <w:rPr>
                <w:rFonts w:hint="eastAsia"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p</w:t>
            </w:r>
            <w:r>
              <w:rPr>
                <w:rFonts w:ascii="宋体" w:hAnsi="宋体"/>
                <w:color w:val="000000" w:themeColor="text1"/>
                <w:kern w:val="0"/>
                <w:szCs w:val="21"/>
                <w14:textFill>
                  <w14:solidFill>
                    <w14:schemeClr w14:val="tx1"/>
                  </w14:solidFill>
                </w14:textFill>
              </w:rPr>
              <w:t>H</w:t>
            </w:r>
            <w:r>
              <w:rPr>
                <w:rFonts w:hint="eastAsia" w:ascii="宋体" w:hAnsi="宋体"/>
                <w:color w:val="000000" w:themeColor="text1"/>
                <w:kern w:val="0"/>
                <w:szCs w:val="21"/>
                <w14:textFill>
                  <w14:solidFill>
                    <w14:schemeClr w14:val="tx1"/>
                  </w14:solidFill>
                </w14:textFill>
              </w:rPr>
              <w:t>≤</w:t>
            </w:r>
            <w:r>
              <w:rPr>
                <w:rFonts w:ascii="宋体" w:hAnsi="宋体"/>
                <w:color w:val="000000" w:themeColor="text1"/>
                <w:kern w:val="0"/>
                <w:szCs w:val="21"/>
                <w14:textFill>
                  <w14:solidFill>
                    <w14:schemeClr w14:val="tx1"/>
                  </w14:solidFill>
                </w14:textFill>
              </w:rPr>
              <w:t>4.5</w:t>
            </w:r>
          </w:p>
        </w:tc>
        <w:tc>
          <w:tcPr>
            <w:tcW w:w="697" w:type="pct"/>
            <w:vAlign w:val="center"/>
          </w:tcPr>
          <w:p w14:paraId="7C06B42F">
            <w:pPr>
              <w:adjustRightInd w:val="0"/>
              <w:snapToGrid w:val="0"/>
              <w:spacing w:line="300" w:lineRule="exact"/>
              <w:jc w:val="center"/>
              <w:rPr>
                <w:rFonts w:hint="eastAsia"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p</w:t>
            </w:r>
            <w:r>
              <w:rPr>
                <w:rFonts w:ascii="宋体" w:hAnsi="宋体"/>
                <w:color w:val="000000" w:themeColor="text1"/>
                <w:kern w:val="0"/>
                <w:szCs w:val="21"/>
                <w14:textFill>
                  <w14:solidFill>
                    <w14:schemeClr w14:val="tx1"/>
                  </w14:solidFill>
                </w14:textFill>
              </w:rPr>
              <w:t>H</w:t>
            </w:r>
            <w:r>
              <w:rPr>
                <w:rFonts w:hint="eastAsia" w:ascii="宋体" w:hAnsi="宋体"/>
                <w:color w:val="000000" w:themeColor="text1"/>
                <w:kern w:val="0"/>
                <w:szCs w:val="21"/>
                <w14:textFill>
                  <w14:solidFill>
                    <w14:schemeClr w14:val="tx1"/>
                  </w14:solidFill>
                </w14:textFill>
              </w:rPr>
              <w:t>≥</w:t>
            </w:r>
            <w:r>
              <w:rPr>
                <w:rFonts w:ascii="宋体" w:hAnsi="宋体"/>
                <w:color w:val="000000" w:themeColor="text1"/>
                <w:kern w:val="0"/>
                <w:szCs w:val="21"/>
                <w14:textFill>
                  <w14:solidFill>
                    <w14:schemeClr w14:val="tx1"/>
                  </w14:solidFill>
                </w14:textFill>
              </w:rPr>
              <w:t>9.0</w:t>
            </w:r>
          </w:p>
        </w:tc>
      </w:tr>
      <w:tr w14:paraId="65F35A8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87" w:type="pct"/>
            <w:vAlign w:val="center"/>
          </w:tcPr>
          <w:p w14:paraId="0C2B7CE7">
            <w:pPr>
              <w:adjustRightInd w:val="0"/>
              <w:snapToGrid w:val="0"/>
              <w:spacing w:line="300" w:lineRule="exact"/>
              <w:jc w:val="center"/>
              <w:rPr>
                <w:rFonts w:hint="eastAsia"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较敏感</w:t>
            </w:r>
          </w:p>
        </w:tc>
        <w:tc>
          <w:tcPr>
            <w:tcW w:w="3085" w:type="pct"/>
            <w:vAlign w:val="center"/>
          </w:tcPr>
          <w:p w14:paraId="7B6370A6">
            <w:pPr>
              <w:autoSpaceDE w:val="0"/>
              <w:autoSpaceDN w:val="0"/>
              <w:adjustRightInd w:val="0"/>
              <w:snapToGrid w:val="0"/>
              <w:spacing w:line="300" w:lineRule="exact"/>
              <w:jc w:val="left"/>
              <w:rPr>
                <w:rFonts w:hint="eastAsia" w:ascii="宋体" w:hAnsi="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建设项目所在地干燥度＞</w:t>
            </w:r>
            <w:r>
              <w:rPr>
                <w:rFonts w:ascii="宋体" w:hAnsi="宋体" w:cs="TimesNewRomanPSMT"/>
                <w:color w:val="000000" w:themeColor="text1"/>
                <w:kern w:val="0"/>
                <w:szCs w:val="21"/>
                <w14:textFill>
                  <w14:solidFill>
                    <w14:schemeClr w14:val="tx1"/>
                  </w14:solidFill>
                </w14:textFill>
              </w:rPr>
              <w:t>2.5</w:t>
            </w:r>
            <w:r>
              <w:rPr>
                <w:rFonts w:hint="eastAsia" w:ascii="宋体" w:hAnsi="宋体" w:cs="宋体"/>
                <w:color w:val="000000" w:themeColor="text1"/>
                <w:kern w:val="0"/>
                <w:szCs w:val="21"/>
                <w14:textFill>
                  <w14:solidFill>
                    <w14:schemeClr w14:val="tx1"/>
                  </w14:solidFill>
                </w14:textFill>
              </w:rPr>
              <w:t>且常年地下水位平均埋深≥</w:t>
            </w:r>
            <w:r>
              <w:rPr>
                <w:rFonts w:ascii="宋体" w:hAnsi="宋体" w:cs="TimesNewRomanPSMT"/>
                <w:color w:val="000000" w:themeColor="text1"/>
                <w:kern w:val="0"/>
                <w:szCs w:val="21"/>
                <w14:textFill>
                  <w14:solidFill>
                    <w14:schemeClr w14:val="tx1"/>
                  </w14:solidFill>
                </w14:textFill>
              </w:rPr>
              <w:t>1.5m</w:t>
            </w:r>
            <w:r>
              <w:rPr>
                <w:rFonts w:hint="eastAsia" w:ascii="宋体" w:hAnsi="宋体" w:cs="宋体"/>
                <w:color w:val="000000" w:themeColor="text1"/>
                <w:kern w:val="0"/>
                <w:szCs w:val="21"/>
                <w14:textFill>
                  <w14:solidFill>
                    <w14:schemeClr w14:val="tx1"/>
                  </w14:solidFill>
                </w14:textFill>
              </w:rPr>
              <w:t>的，或</w:t>
            </w:r>
            <w:r>
              <w:rPr>
                <w:rFonts w:ascii="宋体" w:hAnsi="宋体" w:cs="TimesNewRomanPSMT"/>
                <w:color w:val="000000" w:themeColor="text1"/>
                <w:kern w:val="0"/>
                <w:szCs w:val="21"/>
                <w14:textFill>
                  <w14:solidFill>
                    <w14:schemeClr w14:val="tx1"/>
                  </w14:solidFill>
                </w14:textFill>
              </w:rPr>
              <w:t>1.8</w:t>
            </w:r>
            <w:r>
              <w:rPr>
                <w:rFonts w:hint="eastAsia" w:ascii="宋体" w:hAnsi="宋体" w:cs="宋体"/>
                <w:color w:val="000000" w:themeColor="text1"/>
                <w:kern w:val="0"/>
                <w:szCs w:val="21"/>
                <w14:textFill>
                  <w14:solidFill>
                    <w14:schemeClr w14:val="tx1"/>
                  </w14:solidFill>
                </w14:textFill>
              </w:rPr>
              <w:t>＜干燥度≤</w:t>
            </w:r>
            <w:r>
              <w:rPr>
                <w:rFonts w:ascii="宋体" w:hAnsi="宋体" w:cs="TimesNewRomanPSMT"/>
                <w:color w:val="000000" w:themeColor="text1"/>
                <w:kern w:val="0"/>
                <w:szCs w:val="21"/>
                <w14:textFill>
                  <w14:solidFill>
                    <w14:schemeClr w14:val="tx1"/>
                  </w14:solidFill>
                </w14:textFill>
              </w:rPr>
              <w:t>2.5</w:t>
            </w:r>
            <w:r>
              <w:rPr>
                <w:rFonts w:hint="eastAsia" w:ascii="宋体" w:hAnsi="宋体" w:cs="宋体"/>
                <w:color w:val="000000" w:themeColor="text1"/>
                <w:kern w:val="0"/>
                <w:szCs w:val="21"/>
                <w14:textFill>
                  <w14:solidFill>
                    <w14:schemeClr w14:val="tx1"/>
                  </w14:solidFill>
                </w14:textFill>
              </w:rPr>
              <w:t>且常年地下水位平均埋深＜</w:t>
            </w:r>
            <w:r>
              <w:rPr>
                <w:rFonts w:ascii="宋体" w:hAnsi="宋体" w:cs="TimesNewRomanPSMT"/>
                <w:color w:val="000000" w:themeColor="text1"/>
                <w:kern w:val="0"/>
                <w:szCs w:val="21"/>
                <w14:textFill>
                  <w14:solidFill>
                    <w14:schemeClr w14:val="tx1"/>
                  </w14:solidFill>
                </w14:textFill>
              </w:rPr>
              <w:t>1.8m</w:t>
            </w:r>
            <w:r>
              <w:rPr>
                <w:rFonts w:hint="eastAsia" w:ascii="宋体" w:hAnsi="宋体" w:cs="宋体"/>
                <w:color w:val="000000" w:themeColor="text1"/>
                <w:kern w:val="0"/>
                <w:szCs w:val="21"/>
                <w14:textFill>
                  <w14:solidFill>
                    <w14:schemeClr w14:val="tx1"/>
                  </w14:solidFill>
                </w14:textFill>
              </w:rPr>
              <w:t>的地势平坦区域；建设项目所在地干燥度＞</w:t>
            </w:r>
            <w:r>
              <w:rPr>
                <w:rFonts w:ascii="宋体" w:hAnsi="宋体" w:cs="TimesNewRomanPSMT"/>
                <w:color w:val="000000" w:themeColor="text1"/>
                <w:kern w:val="0"/>
                <w:szCs w:val="21"/>
                <w14:textFill>
                  <w14:solidFill>
                    <w14:schemeClr w14:val="tx1"/>
                  </w14:solidFill>
                </w14:textFill>
              </w:rPr>
              <w:t>2.5</w:t>
            </w:r>
            <w:r>
              <w:rPr>
                <w:rFonts w:hint="eastAsia" w:ascii="宋体" w:hAnsi="宋体" w:cs="宋体"/>
                <w:color w:val="000000" w:themeColor="text1"/>
                <w:kern w:val="0"/>
                <w:szCs w:val="21"/>
                <w14:textFill>
                  <w14:solidFill>
                    <w14:schemeClr w14:val="tx1"/>
                  </w14:solidFill>
                </w14:textFill>
              </w:rPr>
              <w:t>或常年地下水位平均埋深＜</w:t>
            </w:r>
            <w:r>
              <w:rPr>
                <w:rFonts w:ascii="宋体" w:hAnsi="宋体" w:cs="TimesNewRomanPSMT"/>
                <w:color w:val="000000" w:themeColor="text1"/>
                <w:kern w:val="0"/>
                <w:szCs w:val="21"/>
                <w14:textFill>
                  <w14:solidFill>
                    <w14:schemeClr w14:val="tx1"/>
                  </w14:solidFill>
                </w14:textFill>
              </w:rPr>
              <w:t>1.5m</w:t>
            </w:r>
            <w:r>
              <w:rPr>
                <w:rFonts w:hint="eastAsia" w:ascii="宋体" w:hAnsi="宋体" w:cs="宋体"/>
                <w:color w:val="000000" w:themeColor="text1"/>
                <w:kern w:val="0"/>
                <w:szCs w:val="21"/>
                <w14:textFill>
                  <w14:solidFill>
                    <w14:schemeClr w14:val="tx1"/>
                  </w14:solidFill>
                </w14:textFill>
              </w:rPr>
              <w:t>的平原区；或</w:t>
            </w:r>
            <w:r>
              <w:rPr>
                <w:rFonts w:ascii="宋体" w:hAnsi="宋体" w:cs="TimesNewRomanPSMT"/>
                <w:color w:val="000000" w:themeColor="text1"/>
                <w:kern w:val="0"/>
                <w:szCs w:val="21"/>
                <w14:textFill>
                  <w14:solidFill>
                    <w14:schemeClr w14:val="tx1"/>
                  </w14:solidFill>
                </w14:textFill>
              </w:rPr>
              <w:t>2g/k</w:t>
            </w:r>
            <w:r>
              <w:rPr>
                <w:rFonts w:ascii="宋体" w:hAnsi="宋体" w:cs="宋体"/>
                <w:color w:val="000000" w:themeColor="text1"/>
                <w:kern w:val="0"/>
                <w:szCs w:val="21"/>
                <w14:textFill>
                  <w14:solidFill>
                    <w14:schemeClr w14:val="tx1"/>
                  </w14:solidFill>
                </w14:textFill>
              </w:rPr>
              <w:t>g</w:t>
            </w:r>
            <w:r>
              <w:rPr>
                <w:rFonts w:hint="eastAsia" w:ascii="宋体" w:hAnsi="宋体" w:cs="宋体"/>
                <w:color w:val="000000" w:themeColor="text1"/>
                <w:kern w:val="0"/>
                <w:szCs w:val="21"/>
                <w14:textFill>
                  <w14:solidFill>
                    <w14:schemeClr w14:val="tx1"/>
                  </w14:solidFill>
                </w14:textFill>
              </w:rPr>
              <w:t>＜土壤含盐量≤</w:t>
            </w:r>
            <w:r>
              <w:rPr>
                <w:rFonts w:ascii="宋体" w:hAnsi="宋体" w:cs="TimesNewRomanPSMT"/>
                <w:color w:val="000000" w:themeColor="text1"/>
                <w:kern w:val="0"/>
                <w:szCs w:val="21"/>
                <w14:textFill>
                  <w14:solidFill>
                    <w14:schemeClr w14:val="tx1"/>
                  </w14:solidFill>
                </w14:textFill>
              </w:rPr>
              <w:t>4g/kg</w:t>
            </w:r>
            <w:r>
              <w:rPr>
                <w:rFonts w:hint="eastAsia" w:ascii="宋体" w:hAnsi="宋体" w:cs="宋体"/>
                <w:color w:val="000000" w:themeColor="text1"/>
                <w:kern w:val="0"/>
                <w:szCs w:val="21"/>
                <w14:textFill>
                  <w14:solidFill>
                    <w14:schemeClr w14:val="tx1"/>
                  </w14:solidFill>
                </w14:textFill>
              </w:rPr>
              <w:t>的区域</w:t>
            </w:r>
          </w:p>
        </w:tc>
        <w:tc>
          <w:tcPr>
            <w:tcW w:w="731" w:type="pct"/>
            <w:vAlign w:val="center"/>
          </w:tcPr>
          <w:p w14:paraId="30E57C21">
            <w:pPr>
              <w:adjustRightInd w:val="0"/>
              <w:snapToGrid w:val="0"/>
              <w:spacing w:line="300" w:lineRule="exact"/>
              <w:jc w:val="center"/>
              <w:rPr>
                <w:rFonts w:hint="eastAsia"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4</w:t>
            </w:r>
            <w:r>
              <w:rPr>
                <w:rFonts w:ascii="宋体" w:hAnsi="宋体"/>
                <w:color w:val="000000" w:themeColor="text1"/>
                <w:kern w:val="0"/>
                <w:szCs w:val="21"/>
                <w14:textFill>
                  <w14:solidFill>
                    <w14:schemeClr w14:val="tx1"/>
                  </w14:solidFill>
                </w14:textFill>
              </w:rPr>
              <w:t>.5</w:t>
            </w:r>
            <w:r>
              <w:rPr>
                <w:rFonts w:hint="eastAsia" w:ascii="宋体" w:hAnsi="宋体"/>
                <w:color w:val="000000" w:themeColor="text1"/>
                <w:kern w:val="0"/>
                <w:szCs w:val="21"/>
                <w14:textFill>
                  <w14:solidFill>
                    <w14:schemeClr w14:val="tx1"/>
                  </w14:solidFill>
                </w14:textFill>
              </w:rPr>
              <w:t>＜p</w:t>
            </w:r>
            <w:r>
              <w:rPr>
                <w:rFonts w:ascii="宋体" w:hAnsi="宋体"/>
                <w:color w:val="000000" w:themeColor="text1"/>
                <w:kern w:val="0"/>
                <w:szCs w:val="21"/>
                <w14:textFill>
                  <w14:solidFill>
                    <w14:schemeClr w14:val="tx1"/>
                  </w14:solidFill>
                </w14:textFill>
              </w:rPr>
              <w:t>H</w:t>
            </w:r>
            <w:r>
              <w:rPr>
                <w:rFonts w:hint="eastAsia" w:ascii="宋体" w:hAnsi="宋体"/>
                <w:color w:val="000000" w:themeColor="text1"/>
                <w:kern w:val="0"/>
                <w:szCs w:val="21"/>
                <w14:textFill>
                  <w14:solidFill>
                    <w14:schemeClr w14:val="tx1"/>
                  </w14:solidFill>
                </w14:textFill>
              </w:rPr>
              <w:t>≤5</w:t>
            </w:r>
            <w:r>
              <w:rPr>
                <w:rFonts w:ascii="宋体" w:hAnsi="宋体"/>
                <w:color w:val="000000" w:themeColor="text1"/>
                <w:kern w:val="0"/>
                <w:szCs w:val="21"/>
                <w14:textFill>
                  <w14:solidFill>
                    <w14:schemeClr w14:val="tx1"/>
                  </w14:solidFill>
                </w14:textFill>
              </w:rPr>
              <w:t>.5</w:t>
            </w:r>
          </w:p>
        </w:tc>
        <w:tc>
          <w:tcPr>
            <w:tcW w:w="697" w:type="pct"/>
            <w:vAlign w:val="center"/>
          </w:tcPr>
          <w:p w14:paraId="6ED7C026">
            <w:pPr>
              <w:adjustRightInd w:val="0"/>
              <w:snapToGrid w:val="0"/>
              <w:spacing w:line="300" w:lineRule="exact"/>
              <w:jc w:val="center"/>
              <w:rPr>
                <w:rFonts w:hint="eastAsia"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8</w:t>
            </w:r>
            <w:r>
              <w:rPr>
                <w:rFonts w:ascii="宋体" w:hAnsi="宋体"/>
                <w:color w:val="000000" w:themeColor="text1"/>
                <w:kern w:val="0"/>
                <w:szCs w:val="21"/>
                <w14:textFill>
                  <w14:solidFill>
                    <w14:schemeClr w14:val="tx1"/>
                  </w14:solidFill>
                </w14:textFill>
              </w:rPr>
              <w:t>.5</w:t>
            </w:r>
            <w:r>
              <w:rPr>
                <w:rFonts w:hint="eastAsia" w:ascii="宋体" w:hAnsi="宋体"/>
                <w:color w:val="000000" w:themeColor="text1"/>
                <w:kern w:val="0"/>
                <w:szCs w:val="21"/>
                <w14:textFill>
                  <w14:solidFill>
                    <w14:schemeClr w14:val="tx1"/>
                  </w14:solidFill>
                </w14:textFill>
              </w:rPr>
              <w:t>≤p</w:t>
            </w:r>
            <w:r>
              <w:rPr>
                <w:rFonts w:ascii="宋体" w:hAnsi="宋体"/>
                <w:color w:val="000000" w:themeColor="text1"/>
                <w:kern w:val="0"/>
                <w:szCs w:val="21"/>
                <w14:textFill>
                  <w14:solidFill>
                    <w14:schemeClr w14:val="tx1"/>
                  </w14:solidFill>
                </w14:textFill>
              </w:rPr>
              <w:t>H</w:t>
            </w:r>
            <w:r>
              <w:rPr>
                <w:rFonts w:hint="eastAsia" w:ascii="宋体" w:hAnsi="宋体"/>
                <w:color w:val="000000" w:themeColor="text1"/>
                <w:kern w:val="0"/>
                <w:szCs w:val="21"/>
                <w14:textFill>
                  <w14:solidFill>
                    <w14:schemeClr w14:val="tx1"/>
                  </w14:solidFill>
                </w14:textFill>
              </w:rPr>
              <w:t>＜9</w:t>
            </w:r>
            <w:r>
              <w:rPr>
                <w:rFonts w:ascii="宋体" w:hAnsi="宋体"/>
                <w:color w:val="000000" w:themeColor="text1"/>
                <w:kern w:val="0"/>
                <w:szCs w:val="21"/>
                <w14:textFill>
                  <w14:solidFill>
                    <w14:schemeClr w14:val="tx1"/>
                  </w14:solidFill>
                </w14:textFill>
              </w:rPr>
              <w:t>.0</w:t>
            </w:r>
          </w:p>
        </w:tc>
      </w:tr>
      <w:tr w14:paraId="2C247E3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87" w:type="pct"/>
            <w:vAlign w:val="center"/>
          </w:tcPr>
          <w:p w14:paraId="43E5D107">
            <w:pPr>
              <w:adjustRightInd w:val="0"/>
              <w:snapToGrid w:val="0"/>
              <w:spacing w:line="300" w:lineRule="exact"/>
              <w:jc w:val="center"/>
              <w:rPr>
                <w:rFonts w:hint="eastAsia"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不敏感</w:t>
            </w:r>
          </w:p>
        </w:tc>
        <w:tc>
          <w:tcPr>
            <w:tcW w:w="3085" w:type="pct"/>
            <w:vAlign w:val="center"/>
          </w:tcPr>
          <w:p w14:paraId="6290D268">
            <w:pPr>
              <w:adjustRightInd w:val="0"/>
              <w:snapToGrid w:val="0"/>
              <w:spacing w:line="300" w:lineRule="exact"/>
              <w:jc w:val="left"/>
              <w:rPr>
                <w:rFonts w:hint="eastAsia"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其他</w:t>
            </w:r>
          </w:p>
        </w:tc>
        <w:tc>
          <w:tcPr>
            <w:tcW w:w="1428" w:type="pct"/>
            <w:gridSpan w:val="2"/>
            <w:vAlign w:val="center"/>
          </w:tcPr>
          <w:p w14:paraId="68E4C9F4">
            <w:pPr>
              <w:adjustRightInd w:val="0"/>
              <w:snapToGrid w:val="0"/>
              <w:spacing w:line="300" w:lineRule="exact"/>
              <w:jc w:val="center"/>
              <w:rPr>
                <w:rFonts w:hint="eastAsia" w:ascii="宋体" w:hAnsi="宋体"/>
                <w:color w:val="000000" w:themeColor="text1"/>
                <w:kern w:val="0"/>
                <w:szCs w:val="21"/>
                <w14:textFill>
                  <w14:solidFill>
                    <w14:schemeClr w14:val="tx1"/>
                  </w14:solidFill>
                </w14:textFill>
              </w:rPr>
            </w:pPr>
            <w:r>
              <w:rPr>
                <w:rFonts w:ascii="宋体" w:hAnsi="宋体"/>
                <w:color w:val="000000" w:themeColor="text1"/>
                <w:kern w:val="0"/>
                <w:szCs w:val="21"/>
                <w14:textFill>
                  <w14:solidFill>
                    <w14:schemeClr w14:val="tx1"/>
                  </w14:solidFill>
                </w14:textFill>
              </w:rPr>
              <w:t>5.5</w:t>
            </w:r>
            <w:r>
              <w:rPr>
                <w:rFonts w:hint="eastAsia" w:ascii="宋体" w:hAnsi="宋体"/>
                <w:color w:val="000000" w:themeColor="text1"/>
                <w:kern w:val="0"/>
                <w:szCs w:val="21"/>
                <w14:textFill>
                  <w14:solidFill>
                    <w14:schemeClr w14:val="tx1"/>
                  </w14:solidFill>
                </w14:textFill>
              </w:rPr>
              <w:t>＜p</w:t>
            </w:r>
            <w:r>
              <w:rPr>
                <w:rFonts w:ascii="宋体" w:hAnsi="宋体"/>
                <w:color w:val="000000" w:themeColor="text1"/>
                <w:kern w:val="0"/>
                <w:szCs w:val="21"/>
                <w14:textFill>
                  <w14:solidFill>
                    <w14:schemeClr w14:val="tx1"/>
                  </w14:solidFill>
                </w14:textFill>
              </w:rPr>
              <w:t>H</w:t>
            </w:r>
            <w:r>
              <w:rPr>
                <w:rFonts w:hint="eastAsia" w:ascii="宋体" w:hAnsi="宋体"/>
                <w:color w:val="000000" w:themeColor="text1"/>
                <w:kern w:val="0"/>
                <w:szCs w:val="21"/>
                <w14:textFill>
                  <w14:solidFill>
                    <w14:schemeClr w14:val="tx1"/>
                  </w14:solidFill>
                </w14:textFill>
              </w:rPr>
              <w:t>＜8</w:t>
            </w:r>
            <w:r>
              <w:rPr>
                <w:rFonts w:ascii="宋体" w:hAnsi="宋体"/>
                <w:color w:val="000000" w:themeColor="text1"/>
                <w:kern w:val="0"/>
                <w:szCs w:val="21"/>
                <w14:textFill>
                  <w14:solidFill>
                    <w14:schemeClr w14:val="tx1"/>
                  </w14:solidFill>
                </w14:textFill>
              </w:rPr>
              <w:t>.5</w:t>
            </w:r>
          </w:p>
        </w:tc>
      </w:tr>
      <w:tr w14:paraId="54B25FE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000" w:type="pct"/>
            <w:gridSpan w:val="4"/>
            <w:vAlign w:val="center"/>
          </w:tcPr>
          <w:p w14:paraId="0F0BD9E2">
            <w:pPr>
              <w:adjustRightInd w:val="0"/>
              <w:snapToGrid w:val="0"/>
              <w:spacing w:line="300" w:lineRule="exact"/>
              <w:jc w:val="left"/>
              <w:rPr>
                <w:rFonts w:hint="eastAsia" w:ascii="宋体" w:hAnsi="宋体"/>
                <w:color w:val="000000" w:themeColor="text1"/>
                <w:kern w:val="0"/>
                <w:szCs w:val="21"/>
                <w14:textFill>
                  <w14:solidFill>
                    <w14:schemeClr w14:val="tx1"/>
                  </w14:solidFill>
                </w14:textFill>
              </w:rPr>
            </w:pPr>
            <w:r>
              <w:rPr>
                <w:rFonts w:ascii="宋体" w:hAnsi="宋体" w:cs="宋体"/>
                <w:color w:val="000000" w:themeColor="text1"/>
                <w:kern w:val="0"/>
                <w:szCs w:val="21"/>
                <w:vertAlign w:val="superscript"/>
                <w14:textFill>
                  <w14:solidFill>
                    <w14:schemeClr w14:val="tx1"/>
                  </w14:solidFill>
                </w14:textFill>
              </w:rPr>
              <w:t>a</w:t>
            </w:r>
            <w:r>
              <w:rPr>
                <w:rFonts w:hint="eastAsia" w:ascii="宋体" w:hAnsi="宋体" w:cs="宋体"/>
                <w:color w:val="000000" w:themeColor="text1"/>
                <w:kern w:val="0"/>
                <w:szCs w:val="21"/>
                <w14:textFill>
                  <w14:solidFill>
                    <w14:schemeClr w14:val="tx1"/>
                  </w14:solidFill>
                </w14:textFill>
              </w:rPr>
              <w:t>是指采用</w:t>
            </w:r>
            <w:r>
              <w:rPr>
                <w:rFonts w:ascii="宋体" w:hAnsi="宋体" w:cs="TimesNewRomanPSMT"/>
                <w:color w:val="000000" w:themeColor="text1"/>
                <w:kern w:val="0"/>
                <w:szCs w:val="21"/>
                <w14:textFill>
                  <w14:solidFill>
                    <w14:schemeClr w14:val="tx1"/>
                  </w14:solidFill>
                </w14:textFill>
              </w:rPr>
              <w:t>E601</w:t>
            </w:r>
            <w:r>
              <w:rPr>
                <w:rFonts w:hint="eastAsia" w:ascii="宋体" w:hAnsi="宋体" w:cs="宋体"/>
                <w:color w:val="000000" w:themeColor="text1"/>
                <w:kern w:val="0"/>
                <w:szCs w:val="21"/>
                <w14:textFill>
                  <w14:solidFill>
                    <w14:schemeClr w14:val="tx1"/>
                  </w14:solidFill>
                </w14:textFill>
              </w:rPr>
              <w:t>观测的多年平均水面蒸发量与降水量的比值，即蒸降比值。</w:t>
            </w:r>
          </w:p>
        </w:tc>
      </w:tr>
    </w:tbl>
    <w:p w14:paraId="5A1638F2">
      <w:pPr>
        <w:pStyle w:val="109"/>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mc:AlternateContent>
          <mc:Choice Requires="wps">
            <w:drawing>
              <wp:anchor distT="0" distB="0" distL="114300" distR="114300" simplePos="0" relativeHeight="251668480" behindDoc="0" locked="0" layoutInCell="1" allowOverlap="1">
                <wp:simplePos x="0" y="0"/>
                <wp:positionH relativeFrom="column">
                  <wp:posOffset>658495</wp:posOffset>
                </wp:positionH>
                <wp:positionV relativeFrom="paragraph">
                  <wp:posOffset>326390</wp:posOffset>
                </wp:positionV>
                <wp:extent cx="771525" cy="571500"/>
                <wp:effectExtent l="0" t="0" r="28575" b="19050"/>
                <wp:wrapNone/>
                <wp:docPr id="57539546" name="自选图形 363"/>
                <wp:cNvGraphicFramePr/>
                <a:graphic xmlns:a="http://schemas.openxmlformats.org/drawingml/2006/main">
                  <a:graphicData uri="http://schemas.microsoft.com/office/word/2010/wordprocessingShape">
                    <wps:wsp>
                      <wps:cNvCnPr>
                        <a:cxnSpLocks noChangeShapeType="1"/>
                      </wps:cNvCnPr>
                      <wps:spPr bwMode="auto">
                        <a:xfrm>
                          <a:off x="0" y="0"/>
                          <a:ext cx="771525" cy="571500"/>
                        </a:xfrm>
                        <a:prstGeom prst="straightConnector1">
                          <a:avLst/>
                        </a:prstGeom>
                        <a:noFill/>
                        <a:ln w="6350">
                          <a:solidFill>
                            <a:srgbClr val="0D0D0D"/>
                          </a:solidFill>
                          <a:round/>
                        </a:ln>
                      </wps:spPr>
                      <wps:bodyPr/>
                    </wps:wsp>
                  </a:graphicData>
                </a:graphic>
              </wp:anchor>
            </w:drawing>
          </mc:Choice>
          <mc:Fallback>
            <w:pict>
              <v:shape id="自选图形 363" o:spid="_x0000_s1026" o:spt="32" type="#_x0000_t32" style="position:absolute;left:0pt;margin-left:51.85pt;margin-top:25.7pt;height:45pt;width:60.75pt;z-index:251668480;mso-width-relative:page;mso-height-relative:page;" filled="f" stroked="t" coordsize="21600,21600" o:gfxdata="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evdxTdkAAAAKAQAADwAAAAAAAAABACAAAAAiAAAAZHJzL2Rvd25yZXYu&#10;eG1sUEsBAhQAFAAAAAgAh07iQEhKOIf6AQAAwgMAAA4AAAAAAAAAAQAgAAAAKAEAAGRycy9lMm9E&#10;b2MueG1sUEsFBgAAAAAGAAYAWQEAAJQFAAAAAA==&#10;">
                <v:fill on="f" focussize="0,0"/>
                <v:stroke weight="0.5pt" color="#0D0D0D" joinstyle="round"/>
                <v:imagedata o:title=""/>
                <o:lock v:ext="edit" aspectratio="f"/>
              </v:shape>
            </w:pict>
          </mc:Fallback>
        </mc:AlternateContent>
      </w:r>
      <w:r>
        <w:rPr>
          <w:rFonts w:hint="eastAsia"/>
          <w:color w:val="000000" w:themeColor="text1"/>
          <w14:textFill>
            <w14:solidFill>
              <w14:schemeClr w14:val="tx1"/>
            </w14:solidFill>
          </w14:textFill>
        </w:rPr>
        <w:t>表2</w:t>
      </w:r>
      <w:r>
        <w:rPr>
          <w:color w:val="000000" w:themeColor="text1"/>
          <w14:textFill>
            <w14:solidFill>
              <w14:schemeClr w14:val="tx1"/>
            </w14:solidFill>
          </w14:textFill>
        </w:rPr>
        <w:t>.6</w:t>
      </w:r>
      <w:r>
        <w:rPr>
          <w:rFonts w:hint="eastAsia"/>
          <w:color w:val="000000" w:themeColor="text1"/>
          <w14:textFill>
            <w14:solidFill>
              <w14:schemeClr w14:val="tx1"/>
            </w14:solidFill>
          </w14:textFill>
        </w:rPr>
        <w:t xml:space="preserve">-13 </w:t>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生态影响型评价工作等级划分表</w:t>
      </w:r>
    </w:p>
    <w:tbl>
      <w:tblPr>
        <w:tblStyle w:val="51"/>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322"/>
        <w:gridCol w:w="2180"/>
        <w:gridCol w:w="2180"/>
        <w:gridCol w:w="2264"/>
      </w:tblGrid>
      <w:tr w14:paraId="55F2437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98" w:type="pct"/>
            <w:tcBorders>
              <w:bottom w:val="single" w:color="auto" w:sz="4" w:space="0"/>
            </w:tcBorders>
            <w:vAlign w:val="center"/>
          </w:tcPr>
          <w:p w14:paraId="21938ACF">
            <w:pPr>
              <w:snapToGrid w:val="0"/>
              <w:spacing w:line="300" w:lineRule="exact"/>
              <w:jc w:val="right"/>
              <w:rPr>
                <w:rFonts w:hint="eastAsia" w:ascii="宋体" w:hAnsi="宋体" w:cs="Arial"/>
                <w:color w:val="000000" w:themeColor="text1"/>
                <w:szCs w:val="21"/>
                <w14:textFill>
                  <w14:solidFill>
                    <w14:schemeClr w14:val="tx1"/>
                  </w14:solidFill>
                </w14:textFill>
              </w:rPr>
            </w:pPr>
            <w:r>
              <w:rPr>
                <w:rFonts w:hint="eastAsia" w:ascii="宋体" w:hAnsi="宋体" w:cs="Arial"/>
                <w:color w:val="000000" w:themeColor="text1"/>
                <w:szCs w:val="21"/>
                <w14:textFill>
                  <w14:solidFill>
                    <w14:schemeClr w14:val="tx1"/>
                  </w14:solidFill>
                </w14:textFill>
              </w:rPr>
              <w:t>项目类别</w:t>
            </w:r>
          </w:p>
          <w:p w14:paraId="3440FA72">
            <w:pPr>
              <w:snapToGrid w:val="0"/>
              <w:spacing w:line="300" w:lineRule="exact"/>
              <w:jc w:val="center"/>
              <w:rPr>
                <w:rFonts w:hint="eastAsia" w:ascii="宋体" w:hAnsi="宋体" w:cs="Arial"/>
                <w:color w:val="000000" w:themeColor="text1"/>
                <w:szCs w:val="21"/>
                <w14:textFill>
                  <w14:solidFill>
                    <w14:schemeClr w14:val="tx1"/>
                  </w14:solidFill>
                </w14:textFill>
              </w:rPr>
            </w:pPr>
            <w:r>
              <w:rPr>
                <w:rFonts w:hint="eastAsia" w:cs="Arial"/>
                <w:color w:val="000000" w:themeColor="text1"/>
                <w:szCs w:val="21"/>
                <w14:textFill>
                  <w14:solidFill>
                    <w14:schemeClr w14:val="tx1"/>
                  </w14:solidFill>
                </w14:textFill>
              </w:rPr>
              <mc:AlternateContent>
                <mc:Choice Requires="wps">
                  <w:drawing>
                    <wp:anchor distT="0" distB="0" distL="114300" distR="114300" simplePos="0" relativeHeight="251669504" behindDoc="0" locked="0" layoutInCell="1" allowOverlap="1">
                      <wp:simplePos x="0" y="0"/>
                      <wp:positionH relativeFrom="column">
                        <wp:posOffset>-91440</wp:posOffset>
                      </wp:positionH>
                      <wp:positionV relativeFrom="paragraph">
                        <wp:posOffset>70485</wp:posOffset>
                      </wp:positionV>
                      <wp:extent cx="1466850" cy="299720"/>
                      <wp:effectExtent l="0" t="0" r="19050" b="24130"/>
                      <wp:wrapNone/>
                      <wp:docPr id="1724271120" name="自选图形 364"/>
                      <wp:cNvGraphicFramePr/>
                      <a:graphic xmlns:a="http://schemas.openxmlformats.org/drawingml/2006/main">
                        <a:graphicData uri="http://schemas.microsoft.com/office/word/2010/wordprocessingShape">
                          <wps:wsp>
                            <wps:cNvCnPr>
                              <a:cxnSpLocks noChangeShapeType="1"/>
                            </wps:cNvCnPr>
                            <wps:spPr bwMode="auto">
                              <a:xfrm>
                                <a:off x="0" y="0"/>
                                <a:ext cx="1466850" cy="299720"/>
                              </a:xfrm>
                              <a:prstGeom prst="straightConnector1">
                                <a:avLst/>
                              </a:prstGeom>
                              <a:noFill/>
                              <a:ln w="6350">
                                <a:solidFill>
                                  <a:srgbClr val="0D0D0D"/>
                                </a:solidFill>
                                <a:round/>
                              </a:ln>
                            </wps:spPr>
                            <wps:bodyPr/>
                          </wps:wsp>
                        </a:graphicData>
                      </a:graphic>
                    </wp:anchor>
                  </w:drawing>
                </mc:Choice>
                <mc:Fallback>
                  <w:pict>
                    <v:shape id="自选图形 364" o:spid="_x0000_s1026" o:spt="32" type="#_x0000_t32" style="position:absolute;left:0pt;margin-left:-7.2pt;margin-top:5.55pt;height:23.6pt;width:115.5pt;z-index:251669504;mso-width-relative:page;mso-height-relative:page;" filled="f" stroked="t" coordsize="21600,21600" o:gfxdata="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G6a3NrZAAAACQEAAA8AAAAAAAAAAQAgAAAAIgAAAGRycy9kb3ducmV2&#10;LnhtbFBLAQIUABQAAAAIAIdO4kCv5Cs3+wEAAMUDAAAOAAAAAAAAAAEAIAAAACgBAABkcnMvZTJv&#10;RG9jLnhtbFBLBQYAAAAABgAGAFkBAACVBQAAAAA=&#10;">
                      <v:fill on="f" focussize="0,0"/>
                      <v:stroke weight="0.5pt" color="#0D0D0D" joinstyle="round"/>
                      <v:imagedata o:title=""/>
                      <o:lock v:ext="edit" aspectratio="f"/>
                    </v:shape>
                  </w:pict>
                </mc:Fallback>
              </mc:AlternateContent>
            </w:r>
            <w:r>
              <w:rPr>
                <w:rFonts w:hint="eastAsia" w:ascii="宋体" w:hAnsi="宋体" w:cs="Arial"/>
                <w:color w:val="000000" w:themeColor="text1"/>
                <w:szCs w:val="21"/>
                <w14:textFill>
                  <w14:solidFill>
                    <w14:schemeClr w14:val="tx1"/>
                  </w14:solidFill>
                </w14:textFill>
              </w:rPr>
              <w:t>评价工作等级</w:t>
            </w:r>
          </w:p>
          <w:p w14:paraId="3BD4B9B0">
            <w:pPr>
              <w:snapToGrid w:val="0"/>
              <w:spacing w:line="300" w:lineRule="exact"/>
              <w:jc w:val="left"/>
              <w:rPr>
                <w:rFonts w:hint="eastAsia" w:ascii="宋体" w:hAnsi="宋体" w:cs="Arial"/>
                <w:color w:val="000000" w:themeColor="text1"/>
                <w:szCs w:val="21"/>
                <w14:textFill>
                  <w14:solidFill>
                    <w14:schemeClr w14:val="tx1"/>
                  </w14:solidFill>
                </w14:textFill>
              </w:rPr>
            </w:pPr>
            <w:r>
              <w:rPr>
                <w:rFonts w:hint="eastAsia" w:ascii="宋体" w:hAnsi="宋体" w:cs="Arial"/>
                <w:color w:val="000000" w:themeColor="text1"/>
                <w:szCs w:val="21"/>
                <w14:textFill>
                  <w14:solidFill>
                    <w14:schemeClr w14:val="tx1"/>
                  </w14:solidFill>
                </w14:textFill>
              </w:rPr>
              <w:t>敏感程度</w:t>
            </w:r>
          </w:p>
        </w:tc>
        <w:tc>
          <w:tcPr>
            <w:tcW w:w="1218" w:type="pct"/>
            <w:tcBorders>
              <w:bottom w:val="single" w:color="auto" w:sz="4" w:space="0"/>
              <w:right w:val="single" w:color="000000" w:sz="2" w:space="0"/>
            </w:tcBorders>
            <w:vAlign w:val="center"/>
          </w:tcPr>
          <w:p w14:paraId="6AE45958">
            <w:pPr>
              <w:spacing w:line="300" w:lineRule="exact"/>
              <w:jc w:val="center"/>
              <w:rPr>
                <w:rFonts w:hint="eastAsia" w:ascii="宋体" w:hAnsi="宋体" w:cs="Arial"/>
                <w:color w:val="000000" w:themeColor="text1"/>
                <w:szCs w:val="21"/>
                <w14:textFill>
                  <w14:solidFill>
                    <w14:schemeClr w14:val="tx1"/>
                  </w14:solidFill>
                </w14:textFill>
              </w:rPr>
            </w:pPr>
            <w:r>
              <w:rPr>
                <w:rFonts w:hint="eastAsia" w:ascii="宋体" w:hAnsi="宋体" w:cs="Arial"/>
                <w:color w:val="000000" w:themeColor="text1"/>
                <w:szCs w:val="21"/>
                <w14:textFill>
                  <w14:solidFill>
                    <w14:schemeClr w14:val="tx1"/>
                  </w14:solidFill>
                </w14:textFill>
              </w:rPr>
              <w:t>Ⅰ类</w:t>
            </w:r>
          </w:p>
        </w:tc>
        <w:tc>
          <w:tcPr>
            <w:tcW w:w="1218" w:type="pct"/>
            <w:tcBorders>
              <w:left w:val="single" w:color="000000" w:sz="2" w:space="0"/>
              <w:bottom w:val="single" w:color="auto" w:sz="4" w:space="0"/>
              <w:right w:val="single" w:color="000000" w:sz="2" w:space="0"/>
            </w:tcBorders>
            <w:vAlign w:val="center"/>
          </w:tcPr>
          <w:p w14:paraId="55447EF3">
            <w:pPr>
              <w:spacing w:line="300" w:lineRule="exact"/>
              <w:jc w:val="center"/>
              <w:rPr>
                <w:rFonts w:hint="eastAsia" w:ascii="宋体" w:hAnsi="宋体" w:cs="Arial"/>
                <w:color w:val="000000" w:themeColor="text1"/>
                <w:szCs w:val="21"/>
                <w14:textFill>
                  <w14:solidFill>
                    <w14:schemeClr w14:val="tx1"/>
                  </w14:solidFill>
                </w14:textFill>
              </w:rPr>
            </w:pPr>
            <w:r>
              <w:rPr>
                <w:rFonts w:hint="eastAsia" w:ascii="宋体" w:hAnsi="宋体" w:cs="Arial"/>
                <w:color w:val="000000" w:themeColor="text1"/>
                <w:szCs w:val="21"/>
                <w14:textFill>
                  <w14:solidFill>
                    <w14:schemeClr w14:val="tx1"/>
                  </w14:solidFill>
                </w14:textFill>
              </w:rPr>
              <w:t>Ⅱ类</w:t>
            </w:r>
          </w:p>
        </w:tc>
        <w:tc>
          <w:tcPr>
            <w:tcW w:w="1265" w:type="pct"/>
            <w:tcBorders>
              <w:left w:val="single" w:color="000000" w:sz="2" w:space="0"/>
              <w:bottom w:val="single" w:color="auto" w:sz="4" w:space="0"/>
            </w:tcBorders>
            <w:vAlign w:val="center"/>
          </w:tcPr>
          <w:p w14:paraId="3FC72564">
            <w:pPr>
              <w:spacing w:line="300" w:lineRule="exact"/>
              <w:jc w:val="center"/>
              <w:rPr>
                <w:rFonts w:hint="eastAsia" w:ascii="宋体" w:hAnsi="宋体" w:cs="Arial"/>
                <w:color w:val="000000" w:themeColor="text1"/>
                <w:szCs w:val="21"/>
                <w14:textFill>
                  <w14:solidFill>
                    <w14:schemeClr w14:val="tx1"/>
                  </w14:solidFill>
                </w14:textFill>
              </w:rPr>
            </w:pPr>
            <w:r>
              <w:rPr>
                <w:rFonts w:hint="eastAsia" w:ascii="宋体" w:hAnsi="宋体" w:cs="Arial"/>
                <w:color w:val="000000" w:themeColor="text1"/>
                <w:szCs w:val="21"/>
                <w14:textFill>
                  <w14:solidFill>
                    <w14:schemeClr w14:val="tx1"/>
                  </w14:solidFill>
                </w14:textFill>
              </w:rPr>
              <w:t>Ⅲ类</w:t>
            </w:r>
          </w:p>
        </w:tc>
      </w:tr>
      <w:tr w14:paraId="49929D6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98" w:type="pct"/>
            <w:tcBorders>
              <w:top w:val="single" w:color="auto" w:sz="4" w:space="0"/>
              <w:bottom w:val="single" w:color="auto" w:sz="4" w:space="0"/>
              <w:right w:val="single" w:color="auto" w:sz="4" w:space="0"/>
            </w:tcBorders>
            <w:vAlign w:val="center"/>
          </w:tcPr>
          <w:p w14:paraId="4A1434A1">
            <w:pPr>
              <w:spacing w:line="300" w:lineRule="exact"/>
              <w:jc w:val="center"/>
              <w:rPr>
                <w:rFonts w:hint="eastAsia" w:ascii="宋体" w:hAnsi="宋体" w:cs="Arial"/>
                <w:color w:val="000000" w:themeColor="text1"/>
                <w:szCs w:val="21"/>
                <w14:textFill>
                  <w14:solidFill>
                    <w14:schemeClr w14:val="tx1"/>
                  </w14:solidFill>
                </w14:textFill>
              </w:rPr>
            </w:pPr>
            <w:r>
              <w:rPr>
                <w:rFonts w:hint="eastAsia" w:ascii="宋体" w:hAnsi="宋体" w:cs="Arial"/>
                <w:color w:val="000000" w:themeColor="text1"/>
                <w:szCs w:val="21"/>
                <w14:textFill>
                  <w14:solidFill>
                    <w14:schemeClr w14:val="tx1"/>
                  </w14:solidFill>
                </w14:textFill>
              </w:rPr>
              <w:t>敏感</w:t>
            </w:r>
          </w:p>
        </w:tc>
        <w:tc>
          <w:tcPr>
            <w:tcW w:w="1218" w:type="pct"/>
            <w:tcBorders>
              <w:top w:val="single" w:color="auto" w:sz="4" w:space="0"/>
              <w:left w:val="single" w:color="auto" w:sz="4" w:space="0"/>
              <w:bottom w:val="single" w:color="auto" w:sz="4" w:space="0"/>
              <w:right w:val="single" w:color="auto" w:sz="4" w:space="0"/>
            </w:tcBorders>
            <w:vAlign w:val="center"/>
          </w:tcPr>
          <w:p w14:paraId="0433E7FF">
            <w:pPr>
              <w:spacing w:line="300" w:lineRule="exact"/>
              <w:jc w:val="center"/>
              <w:rPr>
                <w:rFonts w:hint="eastAsia" w:ascii="宋体" w:hAnsi="宋体" w:cs="Arial"/>
                <w:color w:val="000000" w:themeColor="text1"/>
                <w:szCs w:val="21"/>
                <w14:textFill>
                  <w14:solidFill>
                    <w14:schemeClr w14:val="tx1"/>
                  </w14:solidFill>
                </w14:textFill>
              </w:rPr>
            </w:pPr>
            <w:r>
              <w:rPr>
                <w:rFonts w:hint="eastAsia" w:ascii="宋体" w:hAnsi="宋体" w:cs="Arial"/>
                <w:color w:val="000000" w:themeColor="text1"/>
                <w:szCs w:val="21"/>
                <w14:textFill>
                  <w14:solidFill>
                    <w14:schemeClr w14:val="tx1"/>
                  </w14:solidFill>
                </w14:textFill>
              </w:rPr>
              <w:t>一级</w:t>
            </w:r>
          </w:p>
        </w:tc>
        <w:tc>
          <w:tcPr>
            <w:tcW w:w="1218" w:type="pct"/>
            <w:tcBorders>
              <w:top w:val="single" w:color="auto" w:sz="4" w:space="0"/>
              <w:left w:val="single" w:color="auto" w:sz="4" w:space="0"/>
              <w:bottom w:val="single" w:color="auto" w:sz="4" w:space="0"/>
              <w:right w:val="single" w:color="auto" w:sz="4" w:space="0"/>
            </w:tcBorders>
            <w:vAlign w:val="center"/>
          </w:tcPr>
          <w:p w14:paraId="5657DD81">
            <w:pPr>
              <w:spacing w:line="300" w:lineRule="exact"/>
              <w:jc w:val="center"/>
              <w:rPr>
                <w:rFonts w:hint="eastAsia" w:ascii="宋体" w:hAnsi="宋体" w:cs="Arial"/>
                <w:color w:val="000000" w:themeColor="text1"/>
                <w:szCs w:val="21"/>
                <w14:textFill>
                  <w14:solidFill>
                    <w14:schemeClr w14:val="tx1"/>
                  </w14:solidFill>
                </w14:textFill>
              </w:rPr>
            </w:pPr>
            <w:r>
              <w:rPr>
                <w:rFonts w:hint="eastAsia" w:ascii="宋体" w:hAnsi="宋体" w:cs="Arial"/>
                <w:color w:val="000000" w:themeColor="text1"/>
                <w:szCs w:val="21"/>
                <w14:textFill>
                  <w14:solidFill>
                    <w14:schemeClr w14:val="tx1"/>
                  </w14:solidFill>
                </w14:textFill>
              </w:rPr>
              <w:t>二级</w:t>
            </w:r>
          </w:p>
        </w:tc>
        <w:tc>
          <w:tcPr>
            <w:tcW w:w="1265" w:type="pct"/>
            <w:tcBorders>
              <w:top w:val="single" w:color="auto" w:sz="4" w:space="0"/>
              <w:left w:val="single" w:color="auto" w:sz="4" w:space="0"/>
              <w:bottom w:val="single" w:color="auto" w:sz="4" w:space="0"/>
              <w:right w:val="nil"/>
            </w:tcBorders>
            <w:vAlign w:val="center"/>
          </w:tcPr>
          <w:p w14:paraId="03D97CBA">
            <w:pPr>
              <w:spacing w:line="300" w:lineRule="exact"/>
              <w:jc w:val="center"/>
              <w:rPr>
                <w:rFonts w:hint="eastAsia" w:ascii="宋体" w:hAnsi="宋体" w:cs="Arial"/>
                <w:color w:val="000000" w:themeColor="text1"/>
                <w:szCs w:val="21"/>
                <w14:textFill>
                  <w14:solidFill>
                    <w14:schemeClr w14:val="tx1"/>
                  </w14:solidFill>
                </w14:textFill>
              </w:rPr>
            </w:pPr>
            <w:r>
              <w:rPr>
                <w:rFonts w:hint="eastAsia" w:ascii="宋体" w:hAnsi="宋体" w:cs="Arial"/>
                <w:color w:val="000000" w:themeColor="text1"/>
                <w:szCs w:val="21"/>
                <w14:textFill>
                  <w14:solidFill>
                    <w14:schemeClr w14:val="tx1"/>
                  </w14:solidFill>
                </w14:textFill>
              </w:rPr>
              <w:t>三级</w:t>
            </w:r>
          </w:p>
        </w:tc>
      </w:tr>
      <w:tr w14:paraId="1444432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98" w:type="pct"/>
            <w:tcBorders>
              <w:top w:val="single" w:color="auto" w:sz="4" w:space="0"/>
              <w:bottom w:val="single" w:color="auto" w:sz="4" w:space="0"/>
              <w:right w:val="single" w:color="auto" w:sz="4" w:space="0"/>
            </w:tcBorders>
            <w:vAlign w:val="center"/>
          </w:tcPr>
          <w:p w14:paraId="18AD23E1">
            <w:pPr>
              <w:spacing w:line="300" w:lineRule="exact"/>
              <w:jc w:val="center"/>
              <w:rPr>
                <w:rFonts w:hint="eastAsia" w:ascii="宋体" w:hAnsi="宋体" w:cs="Arial"/>
                <w:color w:val="000000" w:themeColor="text1"/>
                <w:szCs w:val="21"/>
                <w14:textFill>
                  <w14:solidFill>
                    <w14:schemeClr w14:val="tx1"/>
                  </w14:solidFill>
                </w14:textFill>
              </w:rPr>
            </w:pPr>
            <w:r>
              <w:rPr>
                <w:rFonts w:hint="eastAsia" w:ascii="宋体" w:hAnsi="宋体" w:cs="Arial"/>
                <w:color w:val="000000" w:themeColor="text1"/>
                <w:szCs w:val="21"/>
                <w14:textFill>
                  <w14:solidFill>
                    <w14:schemeClr w14:val="tx1"/>
                  </w14:solidFill>
                </w14:textFill>
              </w:rPr>
              <w:t>较敏感</w:t>
            </w:r>
          </w:p>
        </w:tc>
        <w:tc>
          <w:tcPr>
            <w:tcW w:w="1218" w:type="pct"/>
            <w:tcBorders>
              <w:top w:val="single" w:color="auto" w:sz="4" w:space="0"/>
              <w:left w:val="single" w:color="auto" w:sz="4" w:space="0"/>
              <w:bottom w:val="single" w:color="auto" w:sz="4" w:space="0"/>
              <w:right w:val="single" w:color="auto" w:sz="4" w:space="0"/>
            </w:tcBorders>
            <w:vAlign w:val="center"/>
          </w:tcPr>
          <w:p w14:paraId="45462FB3">
            <w:pPr>
              <w:spacing w:line="300" w:lineRule="exact"/>
              <w:jc w:val="center"/>
              <w:rPr>
                <w:rFonts w:hint="eastAsia" w:ascii="宋体" w:hAnsi="宋体" w:cs="Arial"/>
                <w:color w:val="000000" w:themeColor="text1"/>
                <w:szCs w:val="21"/>
                <w14:textFill>
                  <w14:solidFill>
                    <w14:schemeClr w14:val="tx1"/>
                  </w14:solidFill>
                </w14:textFill>
              </w:rPr>
            </w:pPr>
            <w:r>
              <w:rPr>
                <w:rFonts w:hint="eastAsia" w:ascii="宋体" w:hAnsi="宋体" w:cs="Arial"/>
                <w:color w:val="000000" w:themeColor="text1"/>
                <w:szCs w:val="21"/>
                <w14:textFill>
                  <w14:solidFill>
                    <w14:schemeClr w14:val="tx1"/>
                  </w14:solidFill>
                </w14:textFill>
              </w:rPr>
              <w:t>二级</w:t>
            </w:r>
          </w:p>
        </w:tc>
        <w:tc>
          <w:tcPr>
            <w:tcW w:w="1218" w:type="pct"/>
            <w:tcBorders>
              <w:top w:val="single" w:color="auto" w:sz="4" w:space="0"/>
              <w:left w:val="single" w:color="auto" w:sz="4" w:space="0"/>
              <w:bottom w:val="single" w:color="auto" w:sz="4" w:space="0"/>
              <w:right w:val="single" w:color="auto" w:sz="4" w:space="0"/>
            </w:tcBorders>
            <w:vAlign w:val="center"/>
          </w:tcPr>
          <w:p w14:paraId="30A0D260">
            <w:pPr>
              <w:spacing w:line="300" w:lineRule="exact"/>
              <w:jc w:val="center"/>
              <w:rPr>
                <w:rFonts w:hint="eastAsia" w:ascii="宋体" w:hAnsi="宋体" w:cs="Arial"/>
                <w:color w:val="000000" w:themeColor="text1"/>
                <w:szCs w:val="21"/>
                <w14:textFill>
                  <w14:solidFill>
                    <w14:schemeClr w14:val="tx1"/>
                  </w14:solidFill>
                </w14:textFill>
              </w:rPr>
            </w:pPr>
            <w:r>
              <w:rPr>
                <w:rFonts w:hint="eastAsia" w:ascii="宋体" w:hAnsi="宋体" w:cs="Arial"/>
                <w:color w:val="000000" w:themeColor="text1"/>
                <w:szCs w:val="21"/>
                <w14:textFill>
                  <w14:solidFill>
                    <w14:schemeClr w14:val="tx1"/>
                  </w14:solidFill>
                </w14:textFill>
              </w:rPr>
              <w:t>二级</w:t>
            </w:r>
          </w:p>
        </w:tc>
        <w:tc>
          <w:tcPr>
            <w:tcW w:w="1265" w:type="pct"/>
            <w:tcBorders>
              <w:top w:val="single" w:color="auto" w:sz="4" w:space="0"/>
              <w:left w:val="single" w:color="auto" w:sz="4" w:space="0"/>
              <w:bottom w:val="single" w:color="auto" w:sz="4" w:space="0"/>
              <w:right w:val="nil"/>
            </w:tcBorders>
            <w:vAlign w:val="center"/>
          </w:tcPr>
          <w:p w14:paraId="24B37961">
            <w:pPr>
              <w:spacing w:line="300" w:lineRule="exact"/>
              <w:jc w:val="center"/>
              <w:rPr>
                <w:rFonts w:hint="eastAsia" w:ascii="宋体" w:hAnsi="宋体" w:cs="Arial"/>
                <w:color w:val="000000" w:themeColor="text1"/>
                <w:szCs w:val="21"/>
                <w14:textFill>
                  <w14:solidFill>
                    <w14:schemeClr w14:val="tx1"/>
                  </w14:solidFill>
                </w14:textFill>
              </w:rPr>
            </w:pPr>
            <w:r>
              <w:rPr>
                <w:rFonts w:hint="eastAsia" w:ascii="宋体" w:hAnsi="宋体" w:cs="Arial"/>
                <w:color w:val="000000" w:themeColor="text1"/>
                <w:szCs w:val="21"/>
                <w14:textFill>
                  <w14:solidFill>
                    <w14:schemeClr w14:val="tx1"/>
                  </w14:solidFill>
                </w14:textFill>
              </w:rPr>
              <w:t>三级</w:t>
            </w:r>
          </w:p>
        </w:tc>
      </w:tr>
      <w:tr w14:paraId="5B75449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98" w:type="pct"/>
            <w:tcBorders>
              <w:top w:val="single" w:color="auto" w:sz="4" w:space="0"/>
              <w:bottom w:val="single" w:color="auto" w:sz="12" w:space="0"/>
              <w:right w:val="single" w:color="auto" w:sz="4" w:space="0"/>
            </w:tcBorders>
            <w:vAlign w:val="center"/>
          </w:tcPr>
          <w:p w14:paraId="19D1CD06">
            <w:pPr>
              <w:spacing w:line="300" w:lineRule="exact"/>
              <w:jc w:val="center"/>
              <w:rPr>
                <w:rFonts w:hint="eastAsia" w:ascii="宋体" w:hAnsi="宋体" w:cs="Arial"/>
                <w:color w:val="000000" w:themeColor="text1"/>
                <w:szCs w:val="21"/>
                <w14:textFill>
                  <w14:solidFill>
                    <w14:schemeClr w14:val="tx1"/>
                  </w14:solidFill>
                </w14:textFill>
              </w:rPr>
            </w:pPr>
            <w:r>
              <w:rPr>
                <w:rFonts w:hint="eastAsia" w:ascii="宋体" w:hAnsi="宋体" w:cs="Arial"/>
                <w:color w:val="000000" w:themeColor="text1"/>
                <w:szCs w:val="21"/>
                <w14:textFill>
                  <w14:solidFill>
                    <w14:schemeClr w14:val="tx1"/>
                  </w14:solidFill>
                </w14:textFill>
              </w:rPr>
              <w:t>不敏感</w:t>
            </w:r>
          </w:p>
        </w:tc>
        <w:tc>
          <w:tcPr>
            <w:tcW w:w="1218" w:type="pct"/>
            <w:tcBorders>
              <w:top w:val="single" w:color="auto" w:sz="4" w:space="0"/>
              <w:left w:val="single" w:color="auto" w:sz="4" w:space="0"/>
              <w:bottom w:val="single" w:color="auto" w:sz="12" w:space="0"/>
              <w:right w:val="single" w:color="auto" w:sz="4" w:space="0"/>
            </w:tcBorders>
            <w:vAlign w:val="center"/>
          </w:tcPr>
          <w:p w14:paraId="20B31116">
            <w:pPr>
              <w:spacing w:line="300" w:lineRule="exact"/>
              <w:jc w:val="center"/>
              <w:rPr>
                <w:rFonts w:hint="eastAsia" w:ascii="宋体" w:hAnsi="宋体" w:cs="Arial"/>
                <w:color w:val="000000" w:themeColor="text1"/>
                <w:szCs w:val="21"/>
                <w14:textFill>
                  <w14:solidFill>
                    <w14:schemeClr w14:val="tx1"/>
                  </w14:solidFill>
                </w14:textFill>
              </w:rPr>
            </w:pPr>
            <w:r>
              <w:rPr>
                <w:rFonts w:hint="eastAsia" w:ascii="宋体" w:hAnsi="宋体" w:cs="Arial"/>
                <w:color w:val="000000" w:themeColor="text1"/>
                <w:szCs w:val="21"/>
                <w14:textFill>
                  <w14:solidFill>
                    <w14:schemeClr w14:val="tx1"/>
                  </w14:solidFill>
                </w14:textFill>
              </w:rPr>
              <w:t>二级</w:t>
            </w:r>
          </w:p>
        </w:tc>
        <w:tc>
          <w:tcPr>
            <w:tcW w:w="1218" w:type="pct"/>
            <w:tcBorders>
              <w:top w:val="single" w:color="auto" w:sz="4" w:space="0"/>
              <w:left w:val="single" w:color="auto" w:sz="4" w:space="0"/>
              <w:bottom w:val="single" w:color="auto" w:sz="12" w:space="0"/>
              <w:right w:val="single" w:color="auto" w:sz="4" w:space="0"/>
            </w:tcBorders>
            <w:vAlign w:val="center"/>
          </w:tcPr>
          <w:p w14:paraId="10A32B6C">
            <w:pPr>
              <w:spacing w:line="300" w:lineRule="exact"/>
              <w:jc w:val="center"/>
              <w:rPr>
                <w:rFonts w:hint="eastAsia" w:ascii="宋体" w:hAnsi="宋体" w:cs="Arial"/>
                <w:color w:val="000000" w:themeColor="text1"/>
                <w:szCs w:val="21"/>
                <w14:textFill>
                  <w14:solidFill>
                    <w14:schemeClr w14:val="tx1"/>
                  </w14:solidFill>
                </w14:textFill>
              </w:rPr>
            </w:pPr>
            <w:r>
              <w:rPr>
                <w:rFonts w:hint="eastAsia" w:ascii="宋体" w:hAnsi="宋体" w:cs="Arial"/>
                <w:color w:val="000000" w:themeColor="text1"/>
                <w:szCs w:val="21"/>
                <w14:textFill>
                  <w14:solidFill>
                    <w14:schemeClr w14:val="tx1"/>
                  </w14:solidFill>
                </w14:textFill>
              </w:rPr>
              <w:t>三级</w:t>
            </w:r>
          </w:p>
        </w:tc>
        <w:tc>
          <w:tcPr>
            <w:tcW w:w="1265" w:type="pct"/>
            <w:tcBorders>
              <w:top w:val="single" w:color="auto" w:sz="4" w:space="0"/>
              <w:left w:val="single" w:color="auto" w:sz="4" w:space="0"/>
              <w:bottom w:val="single" w:color="auto" w:sz="12" w:space="0"/>
              <w:right w:val="nil"/>
            </w:tcBorders>
            <w:vAlign w:val="center"/>
          </w:tcPr>
          <w:p w14:paraId="5EC58B13">
            <w:pPr>
              <w:spacing w:line="300" w:lineRule="exact"/>
              <w:jc w:val="center"/>
              <w:rPr>
                <w:rFonts w:hint="eastAsia" w:ascii="宋体" w:hAnsi="宋体" w:cs="Arial"/>
                <w:color w:val="000000" w:themeColor="text1"/>
                <w:szCs w:val="21"/>
                <w14:textFill>
                  <w14:solidFill>
                    <w14:schemeClr w14:val="tx1"/>
                  </w14:solidFill>
                </w14:textFill>
              </w:rPr>
            </w:pPr>
            <w:r>
              <w:rPr>
                <w:rFonts w:hint="eastAsia" w:ascii="宋体" w:hAnsi="宋体" w:cs="Arial"/>
                <w:color w:val="000000" w:themeColor="text1"/>
                <w:szCs w:val="21"/>
                <w14:textFill>
                  <w14:solidFill>
                    <w14:schemeClr w14:val="tx1"/>
                  </w14:solidFill>
                </w14:textFill>
              </w:rPr>
              <w:t>/</w:t>
            </w:r>
          </w:p>
        </w:tc>
      </w:tr>
    </w:tbl>
    <w:p w14:paraId="3CD6771B">
      <w:pPr>
        <w:pStyle w:val="191"/>
        <w:adjustRightInd w:val="0"/>
        <w:snapToGrid w:val="0"/>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项目区土壤盐分含量为5.4-57.7g/kg，大于4g</w:t>
      </w:r>
      <w:r>
        <w:rPr>
          <w:color w:val="000000" w:themeColor="text1"/>
          <w14:textFill>
            <w14:solidFill>
              <w14:schemeClr w14:val="tx1"/>
            </w14:solidFill>
          </w14:textFill>
        </w:rPr>
        <w:t>/kg</w:t>
      </w:r>
      <w:r>
        <w:rPr>
          <w:rFonts w:hint="eastAsia"/>
          <w:color w:val="000000" w:themeColor="text1"/>
          <w14:textFill>
            <w14:solidFill>
              <w14:schemeClr w14:val="tx1"/>
            </w14:solidFill>
          </w14:textFill>
        </w:rPr>
        <w:t>，生态影响型敏感程度为敏感；本项目属于陆地石油开采行业，根据《环境影响评价技术导则 陆地石油天然气开发建设项目》（H</w:t>
      </w:r>
      <w:r>
        <w:rPr>
          <w:color w:val="000000" w:themeColor="text1"/>
          <w14:textFill>
            <w14:solidFill>
              <w14:schemeClr w14:val="tx1"/>
            </w14:solidFill>
          </w14:textFill>
        </w:rPr>
        <w:t>J349</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2023</w:t>
      </w:r>
      <w:r>
        <w:rPr>
          <w:rFonts w:hint="eastAsia"/>
          <w:color w:val="000000" w:themeColor="text1"/>
          <w14:textFill>
            <w14:solidFill>
              <w14:schemeClr w14:val="tx1"/>
            </w14:solidFill>
          </w14:textFill>
        </w:rPr>
        <w:t>）规定采油井场、注水井场和预处理注入站为Ⅰ类建设项目，注气井场、单井采油管线、集油干支线为Ⅱ类建设项目，单井注气管线为Ⅳ类建设项目。根据表2</w:t>
      </w:r>
      <w:r>
        <w:rPr>
          <w:color w:val="000000" w:themeColor="text1"/>
          <w14:textFill>
            <w14:solidFill>
              <w14:schemeClr w14:val="tx1"/>
            </w14:solidFill>
          </w14:textFill>
        </w:rPr>
        <w:t>.6</w:t>
      </w:r>
      <w:r>
        <w:rPr>
          <w:rFonts w:hint="eastAsia"/>
          <w:color w:val="000000" w:themeColor="text1"/>
          <w14:textFill>
            <w14:solidFill>
              <w14:schemeClr w14:val="tx1"/>
            </w14:solidFill>
          </w14:textFill>
        </w:rPr>
        <w:t>-13可知，采油井场、注水井场和预处理注入站土壤生态影响型评价等级为一级，注气井场、单井采油管线和集油支线土壤生态影响型评价等级为二级，单井注气管线可不开展土壤环境影响评价。</w:t>
      </w:r>
    </w:p>
    <w:p w14:paraId="0AA41D81">
      <w:pPr>
        <w:pStyle w:val="117"/>
        <w:spacing w:line="480" w:lineRule="exact"/>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w:t>
      </w:r>
      <w:r>
        <w:rPr>
          <w:color w:val="000000" w:themeColor="text1"/>
          <w14:textFill>
            <w14:solidFill>
              <w14:schemeClr w14:val="tx1"/>
            </w14:solidFill>
          </w14:textFill>
        </w:rPr>
        <w:t>7</w:t>
      </w:r>
      <w:r>
        <w:rPr>
          <w:rFonts w:hint="eastAsia"/>
          <w:color w:val="000000" w:themeColor="text1"/>
          <w14:textFill>
            <w14:solidFill>
              <w14:schemeClr w14:val="tx1"/>
            </w14:solidFill>
          </w14:textFill>
        </w:rPr>
        <w:t>）环境风险评价等级</w:t>
      </w:r>
    </w:p>
    <w:p w14:paraId="550C9768">
      <w:pPr>
        <w:pStyle w:val="117"/>
        <w:spacing w:line="480" w:lineRule="exact"/>
        <w:ind w:firstLine="480"/>
        <w:rPr>
          <w:rFonts w:hint="eastAsia"/>
          <w:color w:val="000000" w:themeColor="text1"/>
          <w14:textFill>
            <w14:solidFill>
              <w14:schemeClr w14:val="tx1"/>
            </w14:solidFill>
          </w14:textFill>
        </w:rPr>
      </w:pPr>
      <w:r>
        <w:rPr>
          <w:color w:val="000000" w:themeColor="text1"/>
          <w14:textFill>
            <w14:solidFill>
              <w14:schemeClr w14:val="tx1"/>
            </w14:solidFill>
          </w14:textFill>
        </w:rPr>
        <w:t>依据《建设项目环境风险评价技术导则》（HJT169-20</w:t>
      </w:r>
      <w:r>
        <w:rPr>
          <w:rFonts w:hint="eastAsia"/>
          <w:color w:val="000000" w:themeColor="text1"/>
          <w14:textFill>
            <w14:solidFill>
              <w14:schemeClr w14:val="tx1"/>
            </w14:solidFill>
          </w14:textFill>
        </w:rPr>
        <w:t>18</w:t>
      </w:r>
      <w:r>
        <w:rPr>
          <w:color w:val="000000" w:themeColor="text1"/>
          <w14:textFill>
            <w14:solidFill>
              <w14:schemeClr w14:val="tx1"/>
            </w14:solidFill>
          </w14:textFill>
        </w:rPr>
        <w:t>），环境风险评价工作级别按</w:t>
      </w:r>
      <w:r>
        <w:rPr>
          <w:rFonts w:hint="eastAsia"/>
          <w:color w:val="000000" w:themeColor="text1"/>
          <w14:textFill>
            <w14:solidFill>
              <w14:schemeClr w14:val="tx1"/>
            </w14:solidFill>
          </w14:textFill>
        </w:rPr>
        <w:t>表2.</w:t>
      </w:r>
      <w:r>
        <w:rPr>
          <w:color w:val="000000" w:themeColor="text1"/>
          <w14:textFill>
            <w14:solidFill>
              <w14:schemeClr w14:val="tx1"/>
            </w14:solidFill>
          </w14:textFill>
        </w:rPr>
        <w:t>6</w:t>
      </w:r>
      <w:r>
        <w:rPr>
          <w:rFonts w:hint="eastAsia"/>
          <w:color w:val="000000" w:themeColor="text1"/>
          <w14:textFill>
            <w14:solidFill>
              <w14:schemeClr w14:val="tx1"/>
            </w14:solidFill>
          </w14:textFill>
        </w:rPr>
        <w:t>-14</w:t>
      </w:r>
      <w:r>
        <w:rPr>
          <w:color w:val="000000" w:themeColor="text1"/>
          <w14:textFill>
            <w14:solidFill>
              <w14:schemeClr w14:val="tx1"/>
            </w14:solidFill>
          </w14:textFill>
        </w:rPr>
        <w:t>进行划分。</w:t>
      </w:r>
    </w:p>
    <w:p w14:paraId="5F195DCD">
      <w:pPr>
        <w:pStyle w:val="109"/>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表2.</w:t>
      </w:r>
      <w:r>
        <w:rPr>
          <w:color w:val="000000" w:themeColor="text1"/>
          <w14:textFill>
            <w14:solidFill>
              <w14:schemeClr w14:val="tx1"/>
            </w14:solidFill>
          </w14:textFill>
        </w:rPr>
        <w:t>6</w:t>
      </w:r>
      <w:r>
        <w:rPr>
          <w:rFonts w:hint="eastAsia"/>
          <w:color w:val="000000" w:themeColor="text1"/>
          <w14:textFill>
            <w14:solidFill>
              <w14:schemeClr w14:val="tx1"/>
            </w14:solidFill>
          </w14:textFill>
        </w:rPr>
        <w:t>-14</w:t>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 xml:space="preserve"> 环境风险评价工作级别划分表</w:t>
      </w:r>
    </w:p>
    <w:tbl>
      <w:tblPr>
        <w:tblStyle w:val="51"/>
        <w:tblW w:w="5000" w:type="pct"/>
        <w:tblInd w:w="0" w:type="dxa"/>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autofit"/>
        <w:tblCellMar>
          <w:top w:w="0" w:type="dxa"/>
          <w:left w:w="108" w:type="dxa"/>
          <w:bottom w:w="0" w:type="dxa"/>
          <w:right w:w="108" w:type="dxa"/>
        </w:tblCellMar>
      </w:tblPr>
      <w:tblGrid>
        <w:gridCol w:w="1630"/>
        <w:gridCol w:w="1642"/>
        <w:gridCol w:w="1897"/>
        <w:gridCol w:w="2149"/>
        <w:gridCol w:w="1628"/>
      </w:tblGrid>
      <w:tr w14:paraId="1293F985">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trPr>
        <w:tc>
          <w:tcPr>
            <w:tcW w:w="911" w:type="pct"/>
            <w:vAlign w:val="center"/>
          </w:tcPr>
          <w:p w14:paraId="6B306653">
            <w:pPr>
              <w:pStyle w:val="143"/>
              <w:adjustRightInd w:val="0"/>
              <w:snapToGrid w:val="0"/>
              <w:spacing w:before="0" w:line="300" w:lineRule="exact"/>
              <w:ind w:firstLine="0" w:firstLineChars="0"/>
              <w:jc w:val="center"/>
              <w:rPr>
                <w:rFonts w:hint="eastAsia" w:ascii="宋体" w:hAnsi="宋体"/>
                <w:bCs w:val="0"/>
                <w:caps/>
                <w:color w:val="000000" w:themeColor="text1"/>
                <w:sz w:val="21"/>
                <w:szCs w:val="21"/>
                <w14:textFill>
                  <w14:solidFill>
                    <w14:schemeClr w14:val="tx1"/>
                  </w14:solidFill>
                </w14:textFill>
              </w:rPr>
            </w:pPr>
            <w:r>
              <w:rPr>
                <w:rFonts w:hint="eastAsia" w:ascii="宋体" w:hAnsi="宋体"/>
                <w:bCs w:val="0"/>
                <w:caps/>
                <w:color w:val="000000" w:themeColor="text1"/>
                <w:sz w:val="21"/>
                <w:szCs w:val="21"/>
                <w14:textFill>
                  <w14:solidFill>
                    <w14:schemeClr w14:val="tx1"/>
                  </w14:solidFill>
                </w14:textFill>
              </w:rPr>
              <w:t>环境风险潜势</w:t>
            </w:r>
          </w:p>
        </w:tc>
        <w:tc>
          <w:tcPr>
            <w:tcW w:w="918" w:type="pct"/>
            <w:vAlign w:val="center"/>
          </w:tcPr>
          <w:p w14:paraId="3AD26AB9">
            <w:pPr>
              <w:pStyle w:val="143"/>
              <w:adjustRightInd w:val="0"/>
              <w:snapToGrid w:val="0"/>
              <w:spacing w:before="0" w:line="300" w:lineRule="exact"/>
              <w:ind w:firstLine="0" w:firstLineChars="0"/>
              <w:jc w:val="center"/>
              <w:rPr>
                <w:rFonts w:hint="eastAsia" w:ascii="宋体" w:hAnsi="宋体"/>
                <w:bCs w:val="0"/>
                <w:caps/>
                <w:color w:val="000000" w:themeColor="text1"/>
                <w:sz w:val="21"/>
                <w:szCs w:val="21"/>
                <w14:textFill>
                  <w14:solidFill>
                    <w14:schemeClr w14:val="tx1"/>
                  </w14:solidFill>
                </w14:textFill>
              </w:rPr>
            </w:pPr>
            <w:r>
              <w:rPr>
                <w:rFonts w:hint="eastAsia" w:ascii="宋体" w:hAnsi="宋体"/>
                <w:bCs w:val="0"/>
                <w:caps/>
                <w:color w:val="000000" w:themeColor="text1"/>
                <w:sz w:val="21"/>
                <w:szCs w:val="21"/>
                <w14:textFill>
                  <w14:solidFill>
                    <w14:schemeClr w14:val="tx1"/>
                  </w14:solidFill>
                </w14:textFill>
              </w:rPr>
              <w:t>Ⅳ、Ⅳ</w:t>
            </w:r>
            <w:r>
              <w:rPr>
                <w:rFonts w:hint="eastAsia" w:ascii="宋体" w:hAnsi="宋体"/>
                <w:bCs w:val="0"/>
                <w:caps/>
                <w:color w:val="000000" w:themeColor="text1"/>
                <w:sz w:val="21"/>
                <w:szCs w:val="21"/>
                <w:vertAlign w:val="superscript"/>
                <w14:textFill>
                  <w14:solidFill>
                    <w14:schemeClr w14:val="tx1"/>
                  </w14:solidFill>
                </w14:textFill>
              </w:rPr>
              <w:t>+</w:t>
            </w:r>
          </w:p>
        </w:tc>
        <w:tc>
          <w:tcPr>
            <w:tcW w:w="1060" w:type="pct"/>
            <w:vAlign w:val="center"/>
          </w:tcPr>
          <w:p w14:paraId="35551CB1">
            <w:pPr>
              <w:pStyle w:val="143"/>
              <w:adjustRightInd w:val="0"/>
              <w:snapToGrid w:val="0"/>
              <w:spacing w:before="0" w:line="300" w:lineRule="exact"/>
              <w:ind w:firstLine="0" w:firstLineChars="0"/>
              <w:jc w:val="center"/>
              <w:rPr>
                <w:rFonts w:hint="eastAsia" w:ascii="宋体" w:hAnsi="宋体"/>
                <w:bCs w:val="0"/>
                <w:caps/>
                <w:color w:val="000000" w:themeColor="text1"/>
                <w:sz w:val="21"/>
                <w:szCs w:val="21"/>
                <w14:textFill>
                  <w14:solidFill>
                    <w14:schemeClr w14:val="tx1"/>
                  </w14:solidFill>
                </w14:textFill>
              </w:rPr>
            </w:pPr>
            <w:r>
              <w:rPr>
                <w:rFonts w:hint="eastAsia" w:ascii="宋体" w:hAnsi="宋体"/>
                <w:bCs w:val="0"/>
                <w:caps/>
                <w:color w:val="000000" w:themeColor="text1"/>
                <w:sz w:val="21"/>
                <w:szCs w:val="21"/>
                <w14:textFill>
                  <w14:solidFill>
                    <w14:schemeClr w14:val="tx1"/>
                  </w14:solidFill>
                </w14:textFill>
              </w:rPr>
              <w:t>Ⅲ</w:t>
            </w:r>
          </w:p>
        </w:tc>
        <w:tc>
          <w:tcPr>
            <w:tcW w:w="1201" w:type="pct"/>
            <w:vAlign w:val="center"/>
          </w:tcPr>
          <w:p w14:paraId="1D3A71D8">
            <w:pPr>
              <w:pStyle w:val="143"/>
              <w:adjustRightInd w:val="0"/>
              <w:snapToGrid w:val="0"/>
              <w:spacing w:before="0" w:line="300" w:lineRule="exact"/>
              <w:ind w:firstLine="0" w:firstLineChars="0"/>
              <w:jc w:val="center"/>
              <w:rPr>
                <w:rFonts w:hint="eastAsia" w:ascii="宋体" w:hAnsi="宋体"/>
                <w:bCs w:val="0"/>
                <w:caps/>
                <w:color w:val="000000" w:themeColor="text1"/>
                <w:sz w:val="21"/>
                <w:szCs w:val="21"/>
                <w14:textFill>
                  <w14:solidFill>
                    <w14:schemeClr w14:val="tx1"/>
                  </w14:solidFill>
                </w14:textFill>
              </w:rPr>
            </w:pPr>
            <w:r>
              <w:rPr>
                <w:rFonts w:hint="eastAsia" w:ascii="宋体" w:hAnsi="宋体"/>
                <w:bCs w:val="0"/>
                <w:caps/>
                <w:color w:val="000000" w:themeColor="text1"/>
                <w:sz w:val="21"/>
                <w:szCs w:val="21"/>
                <w14:textFill>
                  <w14:solidFill>
                    <w14:schemeClr w14:val="tx1"/>
                  </w14:solidFill>
                </w14:textFill>
              </w:rPr>
              <w:t>Ⅱ</w:t>
            </w:r>
          </w:p>
        </w:tc>
        <w:tc>
          <w:tcPr>
            <w:tcW w:w="910" w:type="pct"/>
            <w:vAlign w:val="center"/>
          </w:tcPr>
          <w:p w14:paraId="662E2024">
            <w:pPr>
              <w:pStyle w:val="143"/>
              <w:adjustRightInd w:val="0"/>
              <w:snapToGrid w:val="0"/>
              <w:spacing w:before="0" w:line="300" w:lineRule="exact"/>
              <w:ind w:firstLine="0" w:firstLineChars="0"/>
              <w:jc w:val="center"/>
              <w:rPr>
                <w:rFonts w:hint="eastAsia" w:ascii="宋体" w:hAnsi="宋体"/>
                <w:bCs w:val="0"/>
                <w:caps/>
                <w:color w:val="000000" w:themeColor="text1"/>
                <w:sz w:val="21"/>
                <w:szCs w:val="21"/>
                <w14:textFill>
                  <w14:solidFill>
                    <w14:schemeClr w14:val="tx1"/>
                  </w14:solidFill>
                </w14:textFill>
              </w:rPr>
            </w:pPr>
            <w:r>
              <w:rPr>
                <w:rFonts w:hint="eastAsia" w:ascii="宋体" w:hAnsi="宋体"/>
                <w:bCs w:val="0"/>
                <w:caps/>
                <w:color w:val="000000" w:themeColor="text1"/>
                <w:sz w:val="21"/>
                <w:szCs w:val="21"/>
                <w14:textFill>
                  <w14:solidFill>
                    <w14:schemeClr w14:val="tx1"/>
                  </w14:solidFill>
                </w14:textFill>
              </w:rPr>
              <w:t>Ⅰ</w:t>
            </w:r>
          </w:p>
        </w:tc>
      </w:tr>
      <w:tr w14:paraId="51869DEB">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trPr>
        <w:tc>
          <w:tcPr>
            <w:tcW w:w="911" w:type="pct"/>
            <w:vAlign w:val="center"/>
          </w:tcPr>
          <w:p w14:paraId="51D82122">
            <w:pPr>
              <w:pStyle w:val="143"/>
              <w:adjustRightInd w:val="0"/>
              <w:snapToGrid w:val="0"/>
              <w:spacing w:before="0" w:line="300" w:lineRule="exact"/>
              <w:ind w:firstLine="0" w:firstLineChars="0"/>
              <w:jc w:val="center"/>
              <w:rPr>
                <w:rFonts w:hint="eastAsia" w:ascii="宋体" w:hAnsi="宋体"/>
                <w:bCs w:val="0"/>
                <w:color w:val="000000" w:themeColor="text1"/>
                <w:sz w:val="21"/>
                <w:szCs w:val="21"/>
                <w14:textFill>
                  <w14:solidFill>
                    <w14:schemeClr w14:val="tx1"/>
                  </w14:solidFill>
                </w14:textFill>
              </w:rPr>
            </w:pPr>
            <w:r>
              <w:rPr>
                <w:rFonts w:hint="eastAsia" w:ascii="宋体" w:hAnsi="宋体"/>
                <w:bCs w:val="0"/>
                <w:color w:val="000000" w:themeColor="text1"/>
                <w:sz w:val="21"/>
                <w:szCs w:val="21"/>
                <w14:textFill>
                  <w14:solidFill>
                    <w14:schemeClr w14:val="tx1"/>
                  </w14:solidFill>
                </w14:textFill>
              </w:rPr>
              <w:t>评价工作等级</w:t>
            </w:r>
          </w:p>
        </w:tc>
        <w:tc>
          <w:tcPr>
            <w:tcW w:w="918" w:type="pct"/>
            <w:vAlign w:val="center"/>
          </w:tcPr>
          <w:p w14:paraId="6B7BE992">
            <w:pPr>
              <w:pStyle w:val="143"/>
              <w:adjustRightInd w:val="0"/>
              <w:snapToGrid w:val="0"/>
              <w:spacing w:before="0" w:line="300" w:lineRule="exact"/>
              <w:ind w:firstLine="0" w:firstLineChars="0"/>
              <w:jc w:val="center"/>
              <w:rPr>
                <w:rFonts w:hint="eastAsia" w:ascii="宋体" w:hAnsi="宋体"/>
                <w:bCs w:val="0"/>
                <w:color w:val="000000" w:themeColor="text1"/>
                <w:sz w:val="21"/>
                <w:szCs w:val="21"/>
                <w14:textFill>
                  <w14:solidFill>
                    <w14:schemeClr w14:val="tx1"/>
                  </w14:solidFill>
                </w14:textFill>
              </w:rPr>
            </w:pPr>
            <w:r>
              <w:rPr>
                <w:rFonts w:hint="eastAsia" w:ascii="宋体" w:hAnsi="宋体"/>
                <w:bCs w:val="0"/>
                <w:color w:val="000000" w:themeColor="text1"/>
                <w:sz w:val="21"/>
                <w:szCs w:val="21"/>
                <w14:textFill>
                  <w14:solidFill>
                    <w14:schemeClr w14:val="tx1"/>
                  </w14:solidFill>
                </w14:textFill>
              </w:rPr>
              <w:t>一</w:t>
            </w:r>
          </w:p>
        </w:tc>
        <w:tc>
          <w:tcPr>
            <w:tcW w:w="1060" w:type="pct"/>
            <w:vAlign w:val="center"/>
          </w:tcPr>
          <w:p w14:paraId="0BBC662D">
            <w:pPr>
              <w:pStyle w:val="143"/>
              <w:adjustRightInd w:val="0"/>
              <w:snapToGrid w:val="0"/>
              <w:spacing w:before="0" w:line="300" w:lineRule="exact"/>
              <w:ind w:firstLine="0" w:firstLineChars="0"/>
              <w:jc w:val="center"/>
              <w:rPr>
                <w:rFonts w:hint="eastAsia" w:ascii="宋体" w:hAnsi="宋体"/>
                <w:bCs w:val="0"/>
                <w:color w:val="000000" w:themeColor="text1"/>
                <w:sz w:val="21"/>
                <w:szCs w:val="21"/>
                <w14:textFill>
                  <w14:solidFill>
                    <w14:schemeClr w14:val="tx1"/>
                  </w14:solidFill>
                </w14:textFill>
              </w:rPr>
            </w:pPr>
            <w:r>
              <w:rPr>
                <w:rFonts w:hint="eastAsia" w:ascii="宋体" w:hAnsi="宋体"/>
                <w:bCs w:val="0"/>
                <w:color w:val="000000" w:themeColor="text1"/>
                <w:sz w:val="21"/>
                <w:szCs w:val="21"/>
                <w14:textFill>
                  <w14:solidFill>
                    <w14:schemeClr w14:val="tx1"/>
                  </w14:solidFill>
                </w14:textFill>
              </w:rPr>
              <w:t>二</w:t>
            </w:r>
          </w:p>
        </w:tc>
        <w:tc>
          <w:tcPr>
            <w:tcW w:w="1201" w:type="pct"/>
            <w:vAlign w:val="center"/>
          </w:tcPr>
          <w:p w14:paraId="55A8819F">
            <w:pPr>
              <w:pStyle w:val="143"/>
              <w:adjustRightInd w:val="0"/>
              <w:snapToGrid w:val="0"/>
              <w:spacing w:before="0" w:line="300" w:lineRule="exact"/>
              <w:ind w:firstLine="0" w:firstLineChars="0"/>
              <w:jc w:val="center"/>
              <w:rPr>
                <w:rFonts w:hint="eastAsia" w:ascii="宋体" w:hAnsi="宋体"/>
                <w:bCs w:val="0"/>
                <w:color w:val="000000" w:themeColor="text1"/>
                <w:sz w:val="21"/>
                <w:szCs w:val="21"/>
                <w14:textFill>
                  <w14:solidFill>
                    <w14:schemeClr w14:val="tx1"/>
                  </w14:solidFill>
                </w14:textFill>
              </w:rPr>
            </w:pPr>
            <w:r>
              <w:rPr>
                <w:rFonts w:hint="eastAsia" w:ascii="宋体" w:hAnsi="宋体"/>
                <w:bCs w:val="0"/>
                <w:color w:val="000000" w:themeColor="text1"/>
                <w:sz w:val="21"/>
                <w:szCs w:val="21"/>
                <w14:textFill>
                  <w14:solidFill>
                    <w14:schemeClr w14:val="tx1"/>
                  </w14:solidFill>
                </w14:textFill>
              </w:rPr>
              <w:t>三</w:t>
            </w:r>
          </w:p>
        </w:tc>
        <w:tc>
          <w:tcPr>
            <w:tcW w:w="910" w:type="pct"/>
            <w:vAlign w:val="center"/>
          </w:tcPr>
          <w:p w14:paraId="3C819039">
            <w:pPr>
              <w:pStyle w:val="143"/>
              <w:adjustRightInd w:val="0"/>
              <w:snapToGrid w:val="0"/>
              <w:spacing w:before="0" w:line="300" w:lineRule="exact"/>
              <w:ind w:firstLine="0" w:firstLineChars="0"/>
              <w:jc w:val="center"/>
              <w:rPr>
                <w:rFonts w:hint="eastAsia" w:ascii="宋体" w:hAnsi="宋体"/>
                <w:bCs w:val="0"/>
                <w:color w:val="000000" w:themeColor="text1"/>
                <w:sz w:val="21"/>
                <w:szCs w:val="21"/>
                <w14:textFill>
                  <w14:solidFill>
                    <w14:schemeClr w14:val="tx1"/>
                  </w14:solidFill>
                </w14:textFill>
              </w:rPr>
            </w:pPr>
            <w:r>
              <w:rPr>
                <w:rFonts w:hint="eastAsia" w:ascii="宋体" w:hAnsi="宋体"/>
                <w:bCs w:val="0"/>
                <w:color w:val="000000" w:themeColor="text1"/>
                <w:sz w:val="21"/>
                <w:szCs w:val="21"/>
                <w14:textFill>
                  <w14:solidFill>
                    <w14:schemeClr w14:val="tx1"/>
                  </w14:solidFill>
                </w14:textFill>
              </w:rPr>
              <w:t>简单分析</w:t>
            </w:r>
            <w:r>
              <w:rPr>
                <w:rFonts w:hint="eastAsia" w:ascii="宋体" w:hAnsi="宋体"/>
                <w:bCs w:val="0"/>
                <w:color w:val="000000" w:themeColor="text1"/>
                <w:sz w:val="21"/>
                <w:szCs w:val="21"/>
                <w:vertAlign w:val="superscript"/>
                <w14:textFill>
                  <w14:solidFill>
                    <w14:schemeClr w14:val="tx1"/>
                  </w14:solidFill>
                </w14:textFill>
              </w:rPr>
              <w:t>a</w:t>
            </w:r>
          </w:p>
        </w:tc>
      </w:tr>
      <w:tr w14:paraId="2546BFD1">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trPr>
        <w:tc>
          <w:tcPr>
            <w:tcW w:w="5000" w:type="pct"/>
            <w:gridSpan w:val="5"/>
            <w:vAlign w:val="center"/>
          </w:tcPr>
          <w:p w14:paraId="34651797">
            <w:pPr>
              <w:pStyle w:val="143"/>
              <w:adjustRightInd w:val="0"/>
              <w:snapToGrid w:val="0"/>
              <w:spacing w:before="0" w:line="300" w:lineRule="exact"/>
              <w:ind w:firstLine="0" w:firstLineChars="0"/>
              <w:jc w:val="left"/>
              <w:rPr>
                <w:rFonts w:hint="eastAsia" w:ascii="宋体" w:hAnsi="宋体"/>
                <w:bCs w:val="0"/>
                <w:color w:val="000000" w:themeColor="text1"/>
                <w:sz w:val="21"/>
                <w:szCs w:val="21"/>
                <w14:textFill>
                  <w14:solidFill>
                    <w14:schemeClr w14:val="tx1"/>
                  </w14:solidFill>
                </w14:textFill>
              </w:rPr>
            </w:pPr>
            <w:r>
              <w:rPr>
                <w:rFonts w:hint="eastAsia" w:ascii="宋体" w:hAnsi="宋体"/>
                <w:bCs w:val="0"/>
                <w:color w:val="000000" w:themeColor="text1"/>
                <w:sz w:val="21"/>
                <w:szCs w:val="21"/>
                <w:vertAlign w:val="superscript"/>
                <w14:textFill>
                  <w14:solidFill>
                    <w14:schemeClr w14:val="tx1"/>
                  </w14:solidFill>
                </w14:textFill>
              </w:rPr>
              <w:t>a</w:t>
            </w:r>
            <w:r>
              <w:rPr>
                <w:rFonts w:hint="eastAsia" w:ascii="宋体" w:hAnsi="宋体"/>
                <w:bCs w:val="0"/>
                <w:color w:val="000000" w:themeColor="text1"/>
                <w:sz w:val="21"/>
                <w:szCs w:val="21"/>
                <w14:textFill>
                  <w14:solidFill>
                    <w14:schemeClr w14:val="tx1"/>
                  </w14:solidFill>
                </w14:textFill>
              </w:rPr>
              <w:t>是相对于详细评价工作内容而言，在描述危险物质、环境影响途径、环境危害后果、风险防范措施等方面给出定性说明。</w:t>
            </w:r>
          </w:p>
        </w:tc>
      </w:tr>
    </w:tbl>
    <w:p w14:paraId="2639851A">
      <w:pPr>
        <w:pStyle w:val="117"/>
        <w:ind w:firstLine="480"/>
        <w:rPr>
          <w:rFonts w:hint="eastAsia"/>
          <w:color w:val="000000" w:themeColor="text1"/>
          <w14:textFill>
            <w14:solidFill>
              <w14:schemeClr w14:val="tx1"/>
            </w14:solidFill>
          </w14:textFill>
        </w:rPr>
      </w:pPr>
      <w:bookmarkStart w:id="125" w:name="_Hlk147580791"/>
      <w:r>
        <w:rPr>
          <w:rFonts w:hint="eastAsia"/>
          <w:color w:val="000000" w:themeColor="text1"/>
          <w14:textFill>
            <w14:solidFill>
              <w14:schemeClr w14:val="tx1"/>
            </w14:solidFill>
          </w14:textFill>
        </w:rPr>
        <w:t>本项目涉及的风险物质为原油、伴生气，环境风险单元为单井采油管线、预处理注入站、集油支线、单井注气管线，危险物质与临界量的比值（Q值）计算结果详见表</w:t>
      </w:r>
      <w:r>
        <w:rPr>
          <w:color w:val="000000" w:themeColor="text1"/>
          <w14:textFill>
            <w14:solidFill>
              <w14:schemeClr w14:val="tx1"/>
            </w14:solidFill>
          </w14:textFill>
        </w:rPr>
        <w:t>2.6</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1</w:t>
      </w:r>
      <w:r>
        <w:rPr>
          <w:rFonts w:hint="eastAsia"/>
          <w:color w:val="000000" w:themeColor="text1"/>
          <w14:textFill>
            <w14:solidFill>
              <w14:schemeClr w14:val="tx1"/>
            </w14:solidFill>
          </w14:textFill>
        </w:rPr>
        <w:t>5。</w:t>
      </w:r>
    </w:p>
    <w:p w14:paraId="07B3F790">
      <w:pPr>
        <w:pStyle w:val="15"/>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表</w:t>
      </w:r>
      <w:r>
        <w:rPr>
          <w:color w:val="000000" w:themeColor="text1"/>
          <w14:textFill>
            <w14:solidFill>
              <w14:schemeClr w14:val="tx1"/>
            </w14:solidFill>
          </w14:textFill>
        </w:rPr>
        <w:t>2.6</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1</w:t>
      </w:r>
      <w:r>
        <w:rPr>
          <w:rFonts w:hint="eastAsia"/>
          <w:color w:val="000000" w:themeColor="text1"/>
          <w14:textFill>
            <w14:solidFill>
              <w14:schemeClr w14:val="tx1"/>
            </w14:solidFill>
          </w14:textFill>
        </w:rPr>
        <w:t>5</w:t>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风险单元Q值一览表</w:t>
      </w:r>
    </w:p>
    <w:tbl>
      <w:tblPr>
        <w:tblStyle w:val="51"/>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803"/>
        <w:gridCol w:w="1804"/>
        <w:gridCol w:w="1150"/>
        <w:gridCol w:w="986"/>
        <w:gridCol w:w="1804"/>
        <w:gridCol w:w="1399"/>
      </w:tblGrid>
      <w:tr w14:paraId="32D13C6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08" w:type="pct"/>
            <w:vAlign w:val="center"/>
          </w:tcPr>
          <w:p w14:paraId="1E2CFCDF">
            <w:pPr>
              <w:pStyle w:val="286"/>
              <w:spacing w:line="300" w:lineRule="exact"/>
              <w:rPr>
                <w:rFonts w:hint="eastAsia"/>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风险单元</w:t>
            </w:r>
          </w:p>
        </w:tc>
        <w:tc>
          <w:tcPr>
            <w:tcW w:w="1008" w:type="pct"/>
            <w:vAlign w:val="center"/>
          </w:tcPr>
          <w:p w14:paraId="3EEDBB46">
            <w:pPr>
              <w:pStyle w:val="286"/>
              <w:spacing w:line="300" w:lineRule="exact"/>
              <w:rPr>
                <w:rFonts w:hint="eastAsia"/>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规格</w:t>
            </w:r>
          </w:p>
        </w:tc>
        <w:tc>
          <w:tcPr>
            <w:tcW w:w="1194" w:type="pct"/>
            <w:gridSpan w:val="2"/>
            <w:vAlign w:val="center"/>
          </w:tcPr>
          <w:p w14:paraId="4136321D">
            <w:pPr>
              <w:pStyle w:val="286"/>
              <w:spacing w:line="300" w:lineRule="exact"/>
              <w:rPr>
                <w:rFonts w:hint="eastAsia"/>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风险物质在线量（t）</w:t>
            </w:r>
          </w:p>
        </w:tc>
        <w:tc>
          <w:tcPr>
            <w:tcW w:w="1008" w:type="pct"/>
            <w:vAlign w:val="center"/>
          </w:tcPr>
          <w:p w14:paraId="572D5987">
            <w:pPr>
              <w:pStyle w:val="286"/>
              <w:spacing w:line="300" w:lineRule="exact"/>
              <w:rPr>
                <w:rFonts w:hint="eastAsia"/>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风险物质临界量（t）</w:t>
            </w:r>
          </w:p>
        </w:tc>
        <w:tc>
          <w:tcPr>
            <w:tcW w:w="782" w:type="pct"/>
            <w:vAlign w:val="center"/>
          </w:tcPr>
          <w:p w14:paraId="01D06577">
            <w:pPr>
              <w:pStyle w:val="286"/>
              <w:spacing w:line="300" w:lineRule="exact"/>
              <w:rPr>
                <w:rFonts w:hint="eastAsia"/>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Q值</w:t>
            </w:r>
          </w:p>
        </w:tc>
      </w:tr>
      <w:tr w14:paraId="4E3F5D3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08" w:type="pct"/>
            <w:vMerge w:val="restart"/>
            <w:vAlign w:val="center"/>
          </w:tcPr>
          <w:p w14:paraId="200721C6">
            <w:pPr>
              <w:pStyle w:val="286"/>
              <w:spacing w:line="300" w:lineRule="exact"/>
              <w:rPr>
                <w:rFonts w:hint="eastAsia"/>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单井采油管线</w:t>
            </w:r>
          </w:p>
        </w:tc>
        <w:tc>
          <w:tcPr>
            <w:tcW w:w="1008" w:type="pct"/>
            <w:vMerge w:val="restart"/>
            <w:vAlign w:val="center"/>
          </w:tcPr>
          <w:p w14:paraId="4CA7780E">
            <w:pPr>
              <w:pStyle w:val="286"/>
              <w:spacing w:line="300" w:lineRule="exact"/>
              <w:rPr>
                <w:rFonts w:hint="eastAsia"/>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长度4.64km、DN50、</w:t>
            </w:r>
            <w:r>
              <w:rPr>
                <w:rFonts w:cs="宋体"/>
                <w:snapToGrid w:val="0"/>
                <w:color w:val="000000" w:themeColor="text1"/>
                <w:sz w:val="21"/>
                <w14:textFill>
                  <w14:solidFill>
                    <w14:schemeClr w14:val="tx1"/>
                  </w14:solidFill>
                </w14:textFill>
              </w:rPr>
              <w:t>2.5MPa</w:t>
            </w:r>
          </w:p>
        </w:tc>
        <w:tc>
          <w:tcPr>
            <w:tcW w:w="643" w:type="pct"/>
            <w:vAlign w:val="center"/>
          </w:tcPr>
          <w:p w14:paraId="4FB583BB">
            <w:pPr>
              <w:pStyle w:val="286"/>
              <w:spacing w:line="300" w:lineRule="exact"/>
              <w:rPr>
                <w:rFonts w:hint="eastAsia"/>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原油</w:t>
            </w:r>
          </w:p>
        </w:tc>
        <w:tc>
          <w:tcPr>
            <w:tcW w:w="551" w:type="pct"/>
            <w:vAlign w:val="center"/>
          </w:tcPr>
          <w:p w14:paraId="018B8430">
            <w:pPr>
              <w:pStyle w:val="286"/>
              <w:spacing w:line="300" w:lineRule="exact"/>
              <w:rPr>
                <w:rFonts w:hint="eastAsia"/>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2.599</w:t>
            </w:r>
          </w:p>
        </w:tc>
        <w:tc>
          <w:tcPr>
            <w:tcW w:w="1008" w:type="pct"/>
            <w:vAlign w:val="center"/>
          </w:tcPr>
          <w:p w14:paraId="605AE473">
            <w:pPr>
              <w:pStyle w:val="286"/>
              <w:spacing w:line="300" w:lineRule="exact"/>
              <w:rPr>
                <w:rFonts w:hint="eastAsia"/>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2500</w:t>
            </w:r>
          </w:p>
        </w:tc>
        <w:tc>
          <w:tcPr>
            <w:tcW w:w="782" w:type="pct"/>
            <w:vAlign w:val="center"/>
          </w:tcPr>
          <w:p w14:paraId="19FB06C4">
            <w:pPr>
              <w:pStyle w:val="286"/>
              <w:spacing w:line="300" w:lineRule="exact"/>
              <w:rPr>
                <w:rFonts w:hint="eastAsia"/>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 xml:space="preserve">0.0010 </w:t>
            </w:r>
          </w:p>
        </w:tc>
      </w:tr>
      <w:tr w14:paraId="42AC381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08" w:type="pct"/>
            <w:vMerge w:val="continue"/>
            <w:vAlign w:val="center"/>
          </w:tcPr>
          <w:p w14:paraId="6FE8539B">
            <w:pPr>
              <w:pStyle w:val="286"/>
              <w:spacing w:line="300" w:lineRule="exact"/>
              <w:rPr>
                <w:rFonts w:hint="eastAsia"/>
                <w:color w:val="000000" w:themeColor="text1"/>
                <w:sz w:val="21"/>
                <w14:textFill>
                  <w14:solidFill>
                    <w14:schemeClr w14:val="tx1"/>
                  </w14:solidFill>
                </w14:textFill>
              </w:rPr>
            </w:pPr>
          </w:p>
        </w:tc>
        <w:tc>
          <w:tcPr>
            <w:tcW w:w="1008" w:type="pct"/>
            <w:vMerge w:val="continue"/>
            <w:vAlign w:val="center"/>
          </w:tcPr>
          <w:p w14:paraId="3EDC63D6">
            <w:pPr>
              <w:pStyle w:val="286"/>
              <w:spacing w:line="300" w:lineRule="exact"/>
              <w:rPr>
                <w:rFonts w:hint="eastAsia"/>
                <w:color w:val="000000" w:themeColor="text1"/>
                <w:sz w:val="21"/>
                <w14:textFill>
                  <w14:solidFill>
                    <w14:schemeClr w14:val="tx1"/>
                  </w14:solidFill>
                </w14:textFill>
              </w:rPr>
            </w:pPr>
          </w:p>
        </w:tc>
        <w:tc>
          <w:tcPr>
            <w:tcW w:w="643" w:type="pct"/>
            <w:vAlign w:val="center"/>
          </w:tcPr>
          <w:p w14:paraId="27EECC67">
            <w:pPr>
              <w:pStyle w:val="286"/>
              <w:spacing w:line="300" w:lineRule="exact"/>
              <w:rPr>
                <w:rFonts w:hint="eastAsia"/>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伴生气</w:t>
            </w:r>
          </w:p>
        </w:tc>
        <w:tc>
          <w:tcPr>
            <w:tcW w:w="551" w:type="pct"/>
            <w:vAlign w:val="center"/>
          </w:tcPr>
          <w:p w14:paraId="0F246616">
            <w:pPr>
              <w:pStyle w:val="286"/>
              <w:spacing w:line="300" w:lineRule="exact"/>
              <w:rPr>
                <w:rFonts w:hint="eastAsia"/>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0.0054</w:t>
            </w:r>
          </w:p>
        </w:tc>
        <w:tc>
          <w:tcPr>
            <w:tcW w:w="1008" w:type="pct"/>
            <w:vAlign w:val="center"/>
          </w:tcPr>
          <w:p w14:paraId="026D053B">
            <w:pPr>
              <w:pStyle w:val="286"/>
              <w:spacing w:line="300" w:lineRule="exact"/>
              <w:rPr>
                <w:rFonts w:hint="eastAsia"/>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10</w:t>
            </w:r>
          </w:p>
        </w:tc>
        <w:tc>
          <w:tcPr>
            <w:tcW w:w="782" w:type="pct"/>
            <w:vAlign w:val="center"/>
          </w:tcPr>
          <w:p w14:paraId="2B6E547E">
            <w:pPr>
              <w:pStyle w:val="286"/>
              <w:spacing w:line="300" w:lineRule="exact"/>
              <w:rPr>
                <w:rFonts w:hint="eastAsia"/>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0.00054</w:t>
            </w:r>
          </w:p>
        </w:tc>
      </w:tr>
      <w:tr w14:paraId="11828F2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08" w:type="pct"/>
            <w:vMerge w:val="continue"/>
            <w:vAlign w:val="center"/>
          </w:tcPr>
          <w:p w14:paraId="63F1DFA4">
            <w:pPr>
              <w:pStyle w:val="286"/>
              <w:spacing w:line="300" w:lineRule="exact"/>
              <w:rPr>
                <w:rFonts w:hint="eastAsia"/>
                <w:color w:val="000000" w:themeColor="text1"/>
                <w:sz w:val="21"/>
                <w14:textFill>
                  <w14:solidFill>
                    <w14:schemeClr w14:val="tx1"/>
                  </w14:solidFill>
                </w14:textFill>
              </w:rPr>
            </w:pPr>
          </w:p>
        </w:tc>
        <w:tc>
          <w:tcPr>
            <w:tcW w:w="1008" w:type="pct"/>
            <w:vMerge w:val="continue"/>
            <w:vAlign w:val="center"/>
          </w:tcPr>
          <w:p w14:paraId="511D8360">
            <w:pPr>
              <w:pStyle w:val="286"/>
              <w:spacing w:line="300" w:lineRule="exact"/>
              <w:rPr>
                <w:rFonts w:hint="eastAsia"/>
                <w:color w:val="000000" w:themeColor="text1"/>
                <w:sz w:val="21"/>
                <w14:textFill>
                  <w14:solidFill>
                    <w14:schemeClr w14:val="tx1"/>
                  </w14:solidFill>
                </w14:textFill>
              </w:rPr>
            </w:pPr>
          </w:p>
        </w:tc>
        <w:tc>
          <w:tcPr>
            <w:tcW w:w="643" w:type="pct"/>
            <w:vAlign w:val="center"/>
          </w:tcPr>
          <w:p w14:paraId="7445C9D2">
            <w:pPr>
              <w:pStyle w:val="286"/>
              <w:spacing w:line="300" w:lineRule="exact"/>
              <w:rPr>
                <w:rFonts w:hint="eastAsia"/>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硫化氢</w:t>
            </w:r>
          </w:p>
        </w:tc>
        <w:tc>
          <w:tcPr>
            <w:tcW w:w="551" w:type="pct"/>
            <w:vAlign w:val="center"/>
          </w:tcPr>
          <w:p w14:paraId="345C7639">
            <w:pPr>
              <w:pStyle w:val="286"/>
              <w:spacing w:line="300" w:lineRule="exact"/>
              <w:rPr>
                <w:rFonts w:hint="eastAsia"/>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极少量</w:t>
            </w:r>
          </w:p>
        </w:tc>
        <w:tc>
          <w:tcPr>
            <w:tcW w:w="1008" w:type="pct"/>
            <w:vAlign w:val="center"/>
          </w:tcPr>
          <w:p w14:paraId="5A304923">
            <w:pPr>
              <w:pStyle w:val="286"/>
              <w:spacing w:line="300" w:lineRule="exact"/>
              <w:rPr>
                <w:rFonts w:hint="eastAsia"/>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2.5</w:t>
            </w:r>
          </w:p>
        </w:tc>
        <w:tc>
          <w:tcPr>
            <w:tcW w:w="782" w:type="pct"/>
            <w:vAlign w:val="center"/>
          </w:tcPr>
          <w:p w14:paraId="0972BB27">
            <w:pPr>
              <w:pStyle w:val="286"/>
              <w:spacing w:line="300" w:lineRule="exact"/>
              <w:rPr>
                <w:rFonts w:hint="eastAsia"/>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w:t>
            </w:r>
          </w:p>
        </w:tc>
      </w:tr>
      <w:tr w14:paraId="120AA6C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08" w:type="pct"/>
            <w:vMerge w:val="restart"/>
            <w:vAlign w:val="center"/>
          </w:tcPr>
          <w:p w14:paraId="58BB7A2D">
            <w:pPr>
              <w:pStyle w:val="286"/>
              <w:spacing w:line="300" w:lineRule="exact"/>
              <w:rPr>
                <w:rFonts w:hint="eastAsia"/>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集油干线</w:t>
            </w:r>
          </w:p>
        </w:tc>
        <w:tc>
          <w:tcPr>
            <w:tcW w:w="1008" w:type="pct"/>
            <w:vMerge w:val="restart"/>
            <w:vAlign w:val="center"/>
          </w:tcPr>
          <w:p w14:paraId="2B4AFF78">
            <w:pPr>
              <w:pStyle w:val="286"/>
              <w:spacing w:line="300" w:lineRule="exact"/>
              <w:rPr>
                <w:rFonts w:hint="eastAsia"/>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长度2.3km、</w:t>
            </w:r>
            <w:r>
              <w:rPr>
                <w:rFonts w:cs="宋体"/>
                <w:snapToGrid w:val="0"/>
                <w:color w:val="000000" w:themeColor="text1"/>
                <w:sz w:val="21"/>
                <w14:textFill>
                  <w14:solidFill>
                    <w14:schemeClr w14:val="tx1"/>
                  </w14:solidFill>
                </w14:textFill>
              </w:rPr>
              <w:t>DN1</w:t>
            </w:r>
            <w:r>
              <w:rPr>
                <w:rFonts w:hint="eastAsia" w:cs="宋体"/>
                <w:snapToGrid w:val="0"/>
                <w:color w:val="000000" w:themeColor="text1"/>
                <w:sz w:val="21"/>
                <w14:textFill>
                  <w14:solidFill>
                    <w14:schemeClr w14:val="tx1"/>
                  </w14:solidFill>
                </w14:textFill>
              </w:rPr>
              <w:t>0</w:t>
            </w:r>
            <w:r>
              <w:rPr>
                <w:rFonts w:cs="宋体"/>
                <w:snapToGrid w:val="0"/>
                <w:color w:val="000000" w:themeColor="text1"/>
                <w:sz w:val="21"/>
                <w14:textFill>
                  <w14:solidFill>
                    <w14:schemeClr w14:val="tx1"/>
                  </w14:solidFill>
                </w14:textFill>
              </w:rPr>
              <w:t>0</w:t>
            </w:r>
            <w:r>
              <w:rPr>
                <w:rFonts w:hint="eastAsia" w:cs="宋体"/>
                <w:snapToGrid w:val="0"/>
                <w:color w:val="000000" w:themeColor="text1"/>
                <w:sz w:val="21"/>
                <w14:textFill>
                  <w14:solidFill>
                    <w14:schemeClr w14:val="tx1"/>
                  </w14:solidFill>
                </w14:textFill>
              </w:rPr>
              <w:t>、</w:t>
            </w:r>
            <w:r>
              <w:rPr>
                <w:rFonts w:cs="宋体"/>
                <w:snapToGrid w:val="0"/>
                <w:color w:val="000000" w:themeColor="text1"/>
                <w:sz w:val="21"/>
                <w14:textFill>
                  <w14:solidFill>
                    <w14:schemeClr w14:val="tx1"/>
                  </w14:solidFill>
                </w14:textFill>
              </w:rPr>
              <w:t>3.5MPa</w:t>
            </w:r>
          </w:p>
        </w:tc>
        <w:tc>
          <w:tcPr>
            <w:tcW w:w="643" w:type="pct"/>
            <w:vAlign w:val="center"/>
          </w:tcPr>
          <w:p w14:paraId="77376061">
            <w:pPr>
              <w:pStyle w:val="286"/>
              <w:spacing w:line="300" w:lineRule="exact"/>
              <w:rPr>
                <w:rFonts w:hint="eastAsia"/>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原油</w:t>
            </w:r>
          </w:p>
        </w:tc>
        <w:tc>
          <w:tcPr>
            <w:tcW w:w="551" w:type="pct"/>
            <w:vAlign w:val="center"/>
          </w:tcPr>
          <w:p w14:paraId="22795583">
            <w:pPr>
              <w:pStyle w:val="286"/>
              <w:spacing w:line="300" w:lineRule="exact"/>
              <w:rPr>
                <w:rFonts w:hint="eastAsia"/>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5.153</w:t>
            </w:r>
          </w:p>
        </w:tc>
        <w:tc>
          <w:tcPr>
            <w:tcW w:w="1008" w:type="pct"/>
            <w:vAlign w:val="center"/>
          </w:tcPr>
          <w:p w14:paraId="23D24833">
            <w:pPr>
              <w:pStyle w:val="286"/>
              <w:spacing w:line="300" w:lineRule="exact"/>
              <w:rPr>
                <w:rFonts w:hint="eastAsia"/>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2500</w:t>
            </w:r>
          </w:p>
        </w:tc>
        <w:tc>
          <w:tcPr>
            <w:tcW w:w="782" w:type="pct"/>
            <w:vAlign w:val="center"/>
          </w:tcPr>
          <w:p w14:paraId="55289C8D">
            <w:pPr>
              <w:pStyle w:val="286"/>
              <w:spacing w:line="300" w:lineRule="exact"/>
              <w:rPr>
                <w:rFonts w:hint="eastAsia"/>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 xml:space="preserve">0.0021 </w:t>
            </w:r>
          </w:p>
        </w:tc>
      </w:tr>
      <w:tr w14:paraId="0A24DDC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08" w:type="pct"/>
            <w:vMerge w:val="continue"/>
            <w:vAlign w:val="center"/>
          </w:tcPr>
          <w:p w14:paraId="3DAC6301">
            <w:pPr>
              <w:pStyle w:val="286"/>
              <w:spacing w:line="300" w:lineRule="exact"/>
              <w:rPr>
                <w:rFonts w:hint="eastAsia"/>
                <w:color w:val="000000" w:themeColor="text1"/>
                <w:sz w:val="21"/>
                <w14:textFill>
                  <w14:solidFill>
                    <w14:schemeClr w14:val="tx1"/>
                  </w14:solidFill>
                </w14:textFill>
              </w:rPr>
            </w:pPr>
          </w:p>
        </w:tc>
        <w:tc>
          <w:tcPr>
            <w:tcW w:w="1008" w:type="pct"/>
            <w:vMerge w:val="continue"/>
            <w:vAlign w:val="center"/>
          </w:tcPr>
          <w:p w14:paraId="195EE0E0">
            <w:pPr>
              <w:pStyle w:val="286"/>
              <w:spacing w:line="300" w:lineRule="exact"/>
              <w:rPr>
                <w:rFonts w:hint="eastAsia"/>
                <w:color w:val="000000" w:themeColor="text1"/>
                <w:sz w:val="21"/>
                <w14:textFill>
                  <w14:solidFill>
                    <w14:schemeClr w14:val="tx1"/>
                  </w14:solidFill>
                </w14:textFill>
              </w:rPr>
            </w:pPr>
          </w:p>
        </w:tc>
        <w:tc>
          <w:tcPr>
            <w:tcW w:w="643" w:type="pct"/>
            <w:vAlign w:val="center"/>
          </w:tcPr>
          <w:p w14:paraId="67E5BE19">
            <w:pPr>
              <w:pStyle w:val="286"/>
              <w:spacing w:line="300" w:lineRule="exact"/>
              <w:rPr>
                <w:rFonts w:hint="eastAsia"/>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伴生气</w:t>
            </w:r>
          </w:p>
        </w:tc>
        <w:tc>
          <w:tcPr>
            <w:tcW w:w="551" w:type="pct"/>
            <w:vAlign w:val="center"/>
          </w:tcPr>
          <w:p w14:paraId="73BAC548">
            <w:pPr>
              <w:pStyle w:val="286"/>
              <w:spacing w:line="300" w:lineRule="exact"/>
              <w:rPr>
                <w:rFonts w:hint="eastAsia"/>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0.0107</w:t>
            </w:r>
          </w:p>
        </w:tc>
        <w:tc>
          <w:tcPr>
            <w:tcW w:w="1008" w:type="pct"/>
            <w:vAlign w:val="center"/>
          </w:tcPr>
          <w:p w14:paraId="5F2F5331">
            <w:pPr>
              <w:pStyle w:val="286"/>
              <w:spacing w:line="300" w:lineRule="exact"/>
              <w:rPr>
                <w:rFonts w:hint="eastAsia"/>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10</w:t>
            </w:r>
          </w:p>
        </w:tc>
        <w:tc>
          <w:tcPr>
            <w:tcW w:w="782" w:type="pct"/>
            <w:vAlign w:val="center"/>
          </w:tcPr>
          <w:p w14:paraId="35975857">
            <w:pPr>
              <w:pStyle w:val="286"/>
              <w:spacing w:line="300" w:lineRule="exact"/>
              <w:rPr>
                <w:rFonts w:hint="eastAsia"/>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0.0011</w:t>
            </w:r>
          </w:p>
        </w:tc>
      </w:tr>
      <w:tr w14:paraId="7D21202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08" w:type="pct"/>
            <w:vMerge w:val="continue"/>
            <w:vAlign w:val="center"/>
          </w:tcPr>
          <w:p w14:paraId="435C9214">
            <w:pPr>
              <w:pStyle w:val="286"/>
              <w:spacing w:line="300" w:lineRule="exact"/>
              <w:rPr>
                <w:rFonts w:hint="eastAsia"/>
                <w:color w:val="000000" w:themeColor="text1"/>
                <w:sz w:val="21"/>
                <w14:textFill>
                  <w14:solidFill>
                    <w14:schemeClr w14:val="tx1"/>
                  </w14:solidFill>
                </w14:textFill>
              </w:rPr>
            </w:pPr>
          </w:p>
        </w:tc>
        <w:tc>
          <w:tcPr>
            <w:tcW w:w="1008" w:type="pct"/>
            <w:vMerge w:val="continue"/>
            <w:vAlign w:val="center"/>
          </w:tcPr>
          <w:p w14:paraId="515CD5FE">
            <w:pPr>
              <w:pStyle w:val="286"/>
              <w:spacing w:line="300" w:lineRule="exact"/>
              <w:rPr>
                <w:rFonts w:hint="eastAsia"/>
                <w:color w:val="000000" w:themeColor="text1"/>
                <w:sz w:val="21"/>
                <w14:textFill>
                  <w14:solidFill>
                    <w14:schemeClr w14:val="tx1"/>
                  </w14:solidFill>
                </w14:textFill>
              </w:rPr>
            </w:pPr>
          </w:p>
        </w:tc>
        <w:tc>
          <w:tcPr>
            <w:tcW w:w="643" w:type="pct"/>
            <w:vAlign w:val="center"/>
          </w:tcPr>
          <w:p w14:paraId="718A4B1C">
            <w:pPr>
              <w:pStyle w:val="286"/>
              <w:spacing w:line="300" w:lineRule="exact"/>
              <w:rPr>
                <w:rFonts w:hint="eastAsia"/>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硫化氢</w:t>
            </w:r>
          </w:p>
        </w:tc>
        <w:tc>
          <w:tcPr>
            <w:tcW w:w="551" w:type="pct"/>
            <w:vAlign w:val="center"/>
          </w:tcPr>
          <w:p w14:paraId="61706935">
            <w:pPr>
              <w:pStyle w:val="286"/>
              <w:spacing w:line="300" w:lineRule="exact"/>
              <w:rPr>
                <w:rFonts w:hint="eastAsia"/>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极少量</w:t>
            </w:r>
          </w:p>
        </w:tc>
        <w:tc>
          <w:tcPr>
            <w:tcW w:w="1008" w:type="pct"/>
            <w:vAlign w:val="center"/>
          </w:tcPr>
          <w:p w14:paraId="3080EFCB">
            <w:pPr>
              <w:pStyle w:val="286"/>
              <w:spacing w:line="300" w:lineRule="exact"/>
              <w:rPr>
                <w:rFonts w:hint="eastAsia"/>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2.5</w:t>
            </w:r>
          </w:p>
        </w:tc>
        <w:tc>
          <w:tcPr>
            <w:tcW w:w="782" w:type="pct"/>
            <w:vAlign w:val="center"/>
          </w:tcPr>
          <w:p w14:paraId="5D7C1AE8">
            <w:pPr>
              <w:pStyle w:val="286"/>
              <w:spacing w:line="300" w:lineRule="exact"/>
              <w:rPr>
                <w:rFonts w:hint="eastAsia"/>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w:t>
            </w:r>
          </w:p>
        </w:tc>
      </w:tr>
      <w:tr w14:paraId="1DDB75D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08" w:type="pct"/>
            <w:vMerge w:val="restart"/>
            <w:vAlign w:val="center"/>
          </w:tcPr>
          <w:p w14:paraId="7ADB6B41">
            <w:pPr>
              <w:pStyle w:val="286"/>
              <w:spacing w:line="300" w:lineRule="exact"/>
              <w:rPr>
                <w:rFonts w:hint="eastAsia"/>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单井注气管线</w:t>
            </w:r>
          </w:p>
        </w:tc>
        <w:tc>
          <w:tcPr>
            <w:tcW w:w="1008" w:type="pct"/>
            <w:vMerge w:val="restart"/>
            <w:vAlign w:val="center"/>
          </w:tcPr>
          <w:p w14:paraId="4EAE9CD1">
            <w:pPr>
              <w:pStyle w:val="286"/>
              <w:spacing w:line="300" w:lineRule="exact"/>
              <w:rPr>
                <w:rFonts w:hint="eastAsia"/>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长度1.2km、</w:t>
            </w:r>
            <w:r>
              <w:rPr>
                <w:rFonts w:cs="宋体"/>
                <w:snapToGrid w:val="0"/>
                <w:color w:val="000000" w:themeColor="text1"/>
                <w:sz w:val="21"/>
                <w14:textFill>
                  <w14:solidFill>
                    <w14:schemeClr w14:val="tx1"/>
                  </w14:solidFill>
                </w14:textFill>
              </w:rPr>
              <w:t>DN</w:t>
            </w:r>
            <w:r>
              <w:rPr>
                <w:rFonts w:hint="eastAsia" w:cs="宋体"/>
                <w:snapToGrid w:val="0"/>
                <w:color w:val="000000" w:themeColor="text1"/>
                <w:sz w:val="21"/>
                <w14:textFill>
                  <w14:solidFill>
                    <w14:schemeClr w14:val="tx1"/>
                  </w14:solidFill>
                </w14:textFill>
              </w:rPr>
              <w:t>5</w:t>
            </w:r>
            <w:r>
              <w:rPr>
                <w:rFonts w:cs="宋体"/>
                <w:snapToGrid w:val="0"/>
                <w:color w:val="000000" w:themeColor="text1"/>
                <w:sz w:val="21"/>
                <w14:textFill>
                  <w14:solidFill>
                    <w14:schemeClr w14:val="tx1"/>
                  </w14:solidFill>
                </w14:textFill>
              </w:rPr>
              <w:t>0</w:t>
            </w:r>
            <w:r>
              <w:rPr>
                <w:rFonts w:hint="eastAsia" w:cs="宋体"/>
                <w:snapToGrid w:val="0"/>
                <w:color w:val="000000" w:themeColor="text1"/>
                <w:sz w:val="21"/>
                <w14:textFill>
                  <w14:solidFill>
                    <w14:schemeClr w14:val="tx1"/>
                  </w14:solidFill>
                </w14:textFill>
              </w:rPr>
              <w:t>、</w:t>
            </w:r>
            <w:r>
              <w:rPr>
                <w:rFonts w:cs="宋体"/>
                <w:snapToGrid w:val="0"/>
                <w:color w:val="000000" w:themeColor="text1"/>
                <w:sz w:val="21"/>
                <w14:textFill>
                  <w14:solidFill>
                    <w14:schemeClr w14:val="tx1"/>
                  </w14:solidFill>
                </w14:textFill>
              </w:rPr>
              <w:t>3.5MPa</w:t>
            </w:r>
          </w:p>
        </w:tc>
        <w:tc>
          <w:tcPr>
            <w:tcW w:w="643" w:type="pct"/>
            <w:vAlign w:val="center"/>
          </w:tcPr>
          <w:p w14:paraId="1BC2CFAD">
            <w:pPr>
              <w:pStyle w:val="286"/>
              <w:spacing w:line="300" w:lineRule="exact"/>
              <w:rPr>
                <w:rFonts w:hint="eastAsia"/>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原油</w:t>
            </w:r>
          </w:p>
        </w:tc>
        <w:tc>
          <w:tcPr>
            <w:tcW w:w="551" w:type="pct"/>
            <w:vAlign w:val="center"/>
          </w:tcPr>
          <w:p w14:paraId="1BA5D9D8">
            <w:pPr>
              <w:pStyle w:val="286"/>
              <w:spacing w:line="300" w:lineRule="exact"/>
              <w:rPr>
                <w:rFonts w:hint="eastAsia"/>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0.6722</w:t>
            </w:r>
          </w:p>
        </w:tc>
        <w:tc>
          <w:tcPr>
            <w:tcW w:w="1008" w:type="pct"/>
            <w:vAlign w:val="center"/>
          </w:tcPr>
          <w:p w14:paraId="44A2FD93">
            <w:pPr>
              <w:pStyle w:val="286"/>
              <w:spacing w:line="300" w:lineRule="exact"/>
              <w:rPr>
                <w:rFonts w:hint="eastAsia"/>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2500</w:t>
            </w:r>
          </w:p>
        </w:tc>
        <w:tc>
          <w:tcPr>
            <w:tcW w:w="782" w:type="pct"/>
            <w:vAlign w:val="center"/>
          </w:tcPr>
          <w:p w14:paraId="3BE6BC88">
            <w:pPr>
              <w:pStyle w:val="286"/>
              <w:spacing w:line="300" w:lineRule="exact"/>
              <w:rPr>
                <w:rFonts w:hint="eastAsia"/>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 xml:space="preserve">0.0003 </w:t>
            </w:r>
          </w:p>
        </w:tc>
      </w:tr>
      <w:tr w14:paraId="3BFA006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08" w:type="pct"/>
            <w:vMerge w:val="continue"/>
            <w:vAlign w:val="center"/>
          </w:tcPr>
          <w:p w14:paraId="07456B91">
            <w:pPr>
              <w:pStyle w:val="286"/>
              <w:spacing w:line="300" w:lineRule="exact"/>
              <w:rPr>
                <w:rFonts w:hint="eastAsia"/>
                <w:color w:val="000000" w:themeColor="text1"/>
                <w:sz w:val="21"/>
                <w14:textFill>
                  <w14:solidFill>
                    <w14:schemeClr w14:val="tx1"/>
                  </w14:solidFill>
                </w14:textFill>
              </w:rPr>
            </w:pPr>
          </w:p>
        </w:tc>
        <w:tc>
          <w:tcPr>
            <w:tcW w:w="1008" w:type="pct"/>
            <w:vMerge w:val="continue"/>
            <w:vAlign w:val="center"/>
          </w:tcPr>
          <w:p w14:paraId="0D3C49B5">
            <w:pPr>
              <w:pStyle w:val="286"/>
              <w:spacing w:line="300" w:lineRule="exact"/>
              <w:rPr>
                <w:rFonts w:hint="eastAsia"/>
                <w:color w:val="000000" w:themeColor="text1"/>
                <w:sz w:val="21"/>
                <w14:textFill>
                  <w14:solidFill>
                    <w14:schemeClr w14:val="tx1"/>
                  </w14:solidFill>
                </w14:textFill>
              </w:rPr>
            </w:pPr>
          </w:p>
        </w:tc>
        <w:tc>
          <w:tcPr>
            <w:tcW w:w="643" w:type="pct"/>
            <w:vAlign w:val="center"/>
          </w:tcPr>
          <w:p w14:paraId="5CE468CA">
            <w:pPr>
              <w:pStyle w:val="286"/>
              <w:spacing w:line="300" w:lineRule="exact"/>
              <w:rPr>
                <w:rFonts w:hint="eastAsia"/>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伴生气</w:t>
            </w:r>
          </w:p>
        </w:tc>
        <w:tc>
          <w:tcPr>
            <w:tcW w:w="551" w:type="pct"/>
            <w:vAlign w:val="center"/>
          </w:tcPr>
          <w:p w14:paraId="4194E486">
            <w:pPr>
              <w:pStyle w:val="286"/>
              <w:spacing w:line="300" w:lineRule="exact"/>
              <w:rPr>
                <w:rFonts w:hint="eastAsia"/>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0.0014</w:t>
            </w:r>
          </w:p>
        </w:tc>
        <w:tc>
          <w:tcPr>
            <w:tcW w:w="1008" w:type="pct"/>
            <w:vAlign w:val="center"/>
          </w:tcPr>
          <w:p w14:paraId="080FCC0A">
            <w:pPr>
              <w:pStyle w:val="286"/>
              <w:spacing w:line="300" w:lineRule="exact"/>
              <w:rPr>
                <w:rFonts w:hint="eastAsia"/>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10</w:t>
            </w:r>
          </w:p>
        </w:tc>
        <w:tc>
          <w:tcPr>
            <w:tcW w:w="782" w:type="pct"/>
            <w:vAlign w:val="center"/>
          </w:tcPr>
          <w:p w14:paraId="61134990">
            <w:pPr>
              <w:pStyle w:val="286"/>
              <w:spacing w:line="300" w:lineRule="exact"/>
              <w:rPr>
                <w:rFonts w:hint="eastAsia"/>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 xml:space="preserve">0.00014 </w:t>
            </w:r>
          </w:p>
        </w:tc>
      </w:tr>
      <w:tr w14:paraId="186CA70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08" w:type="pct"/>
            <w:vMerge w:val="continue"/>
            <w:vAlign w:val="center"/>
          </w:tcPr>
          <w:p w14:paraId="00EEB9F4">
            <w:pPr>
              <w:pStyle w:val="286"/>
              <w:spacing w:line="300" w:lineRule="exact"/>
              <w:rPr>
                <w:rFonts w:hint="eastAsia"/>
                <w:color w:val="000000" w:themeColor="text1"/>
                <w:sz w:val="21"/>
                <w14:textFill>
                  <w14:solidFill>
                    <w14:schemeClr w14:val="tx1"/>
                  </w14:solidFill>
                </w14:textFill>
              </w:rPr>
            </w:pPr>
          </w:p>
        </w:tc>
        <w:tc>
          <w:tcPr>
            <w:tcW w:w="1008" w:type="pct"/>
            <w:vMerge w:val="continue"/>
            <w:vAlign w:val="center"/>
          </w:tcPr>
          <w:p w14:paraId="61607824">
            <w:pPr>
              <w:pStyle w:val="286"/>
              <w:spacing w:line="300" w:lineRule="exact"/>
              <w:rPr>
                <w:rFonts w:hint="eastAsia"/>
                <w:color w:val="000000" w:themeColor="text1"/>
                <w:sz w:val="21"/>
                <w14:textFill>
                  <w14:solidFill>
                    <w14:schemeClr w14:val="tx1"/>
                  </w14:solidFill>
                </w14:textFill>
              </w:rPr>
            </w:pPr>
          </w:p>
        </w:tc>
        <w:tc>
          <w:tcPr>
            <w:tcW w:w="643" w:type="pct"/>
            <w:vAlign w:val="center"/>
          </w:tcPr>
          <w:p w14:paraId="4CEDE741">
            <w:pPr>
              <w:pStyle w:val="286"/>
              <w:spacing w:line="300" w:lineRule="exact"/>
              <w:rPr>
                <w:rFonts w:hint="eastAsia"/>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硫化氢</w:t>
            </w:r>
          </w:p>
        </w:tc>
        <w:tc>
          <w:tcPr>
            <w:tcW w:w="551" w:type="pct"/>
            <w:vAlign w:val="center"/>
          </w:tcPr>
          <w:p w14:paraId="5DCD7650">
            <w:pPr>
              <w:pStyle w:val="286"/>
              <w:spacing w:line="300" w:lineRule="exact"/>
              <w:rPr>
                <w:rFonts w:hint="eastAsia"/>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极少量</w:t>
            </w:r>
          </w:p>
        </w:tc>
        <w:tc>
          <w:tcPr>
            <w:tcW w:w="1008" w:type="pct"/>
            <w:vAlign w:val="center"/>
          </w:tcPr>
          <w:p w14:paraId="2E40C2C4">
            <w:pPr>
              <w:pStyle w:val="286"/>
              <w:spacing w:line="300" w:lineRule="exact"/>
              <w:rPr>
                <w:rFonts w:hint="eastAsia"/>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2.5</w:t>
            </w:r>
          </w:p>
        </w:tc>
        <w:tc>
          <w:tcPr>
            <w:tcW w:w="782" w:type="pct"/>
            <w:vAlign w:val="center"/>
          </w:tcPr>
          <w:p w14:paraId="057C9BAB">
            <w:pPr>
              <w:pStyle w:val="286"/>
              <w:spacing w:line="300" w:lineRule="exact"/>
              <w:rPr>
                <w:rFonts w:hint="eastAsia"/>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w:t>
            </w:r>
          </w:p>
        </w:tc>
      </w:tr>
      <w:tr w14:paraId="7E6FE59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08" w:type="pct"/>
            <w:vMerge w:val="restart"/>
            <w:vAlign w:val="center"/>
          </w:tcPr>
          <w:p w14:paraId="1B5031A0">
            <w:pPr>
              <w:pStyle w:val="286"/>
              <w:spacing w:line="300" w:lineRule="exact"/>
              <w:rPr>
                <w:rFonts w:hint="eastAsia"/>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转液管线</w:t>
            </w:r>
          </w:p>
        </w:tc>
        <w:tc>
          <w:tcPr>
            <w:tcW w:w="1008" w:type="pct"/>
            <w:vMerge w:val="restart"/>
            <w:vAlign w:val="center"/>
          </w:tcPr>
          <w:p w14:paraId="6E8C938D">
            <w:pPr>
              <w:pStyle w:val="286"/>
              <w:spacing w:line="300" w:lineRule="exact"/>
              <w:rPr>
                <w:rFonts w:hint="eastAsia"/>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长度1.2km、</w:t>
            </w:r>
            <w:r>
              <w:rPr>
                <w:rFonts w:cs="宋体"/>
                <w:snapToGrid w:val="0"/>
                <w:color w:val="000000" w:themeColor="text1"/>
                <w:sz w:val="21"/>
                <w14:textFill>
                  <w14:solidFill>
                    <w14:schemeClr w14:val="tx1"/>
                  </w14:solidFill>
                </w14:textFill>
              </w:rPr>
              <w:t>DN</w:t>
            </w:r>
            <w:r>
              <w:rPr>
                <w:rFonts w:hint="eastAsia" w:cs="宋体"/>
                <w:snapToGrid w:val="0"/>
                <w:color w:val="000000" w:themeColor="text1"/>
                <w:sz w:val="21"/>
                <w14:textFill>
                  <w14:solidFill>
                    <w14:schemeClr w14:val="tx1"/>
                  </w14:solidFill>
                </w14:textFill>
              </w:rPr>
              <w:t>100、</w:t>
            </w:r>
            <w:r>
              <w:rPr>
                <w:rFonts w:cs="宋体"/>
                <w:snapToGrid w:val="0"/>
                <w:color w:val="000000" w:themeColor="text1"/>
                <w:sz w:val="21"/>
                <w14:textFill>
                  <w14:solidFill>
                    <w14:schemeClr w14:val="tx1"/>
                  </w14:solidFill>
                </w14:textFill>
              </w:rPr>
              <w:t>3.5MPa</w:t>
            </w:r>
          </w:p>
        </w:tc>
        <w:tc>
          <w:tcPr>
            <w:tcW w:w="643" w:type="pct"/>
            <w:vAlign w:val="center"/>
          </w:tcPr>
          <w:p w14:paraId="22056C8E">
            <w:pPr>
              <w:pStyle w:val="286"/>
              <w:spacing w:line="300" w:lineRule="exact"/>
              <w:rPr>
                <w:rFonts w:hint="eastAsia"/>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原油</w:t>
            </w:r>
          </w:p>
        </w:tc>
        <w:tc>
          <w:tcPr>
            <w:tcW w:w="551" w:type="pct"/>
            <w:vAlign w:val="center"/>
          </w:tcPr>
          <w:p w14:paraId="45223F74">
            <w:pPr>
              <w:pStyle w:val="286"/>
              <w:spacing w:line="300" w:lineRule="exact"/>
              <w:rPr>
                <w:rFonts w:hint="eastAsia"/>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2.6886</w:t>
            </w:r>
          </w:p>
        </w:tc>
        <w:tc>
          <w:tcPr>
            <w:tcW w:w="1008" w:type="pct"/>
            <w:vAlign w:val="center"/>
          </w:tcPr>
          <w:p w14:paraId="4DE92400">
            <w:pPr>
              <w:pStyle w:val="286"/>
              <w:spacing w:line="300" w:lineRule="exact"/>
              <w:rPr>
                <w:rFonts w:hint="eastAsia"/>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2500</w:t>
            </w:r>
          </w:p>
        </w:tc>
        <w:tc>
          <w:tcPr>
            <w:tcW w:w="782" w:type="pct"/>
            <w:vAlign w:val="center"/>
          </w:tcPr>
          <w:p w14:paraId="0416EC32">
            <w:pPr>
              <w:pStyle w:val="286"/>
              <w:spacing w:line="300" w:lineRule="exact"/>
              <w:rPr>
                <w:rFonts w:hint="eastAsia"/>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0.0011</w:t>
            </w:r>
          </w:p>
        </w:tc>
      </w:tr>
      <w:tr w14:paraId="30968DC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08" w:type="pct"/>
            <w:vMerge w:val="continue"/>
            <w:vAlign w:val="center"/>
          </w:tcPr>
          <w:p w14:paraId="25C8EC17">
            <w:pPr>
              <w:pStyle w:val="286"/>
              <w:spacing w:line="300" w:lineRule="exact"/>
              <w:rPr>
                <w:rFonts w:hint="eastAsia"/>
                <w:color w:val="000000" w:themeColor="text1"/>
                <w:sz w:val="21"/>
                <w14:textFill>
                  <w14:solidFill>
                    <w14:schemeClr w14:val="tx1"/>
                  </w14:solidFill>
                </w14:textFill>
              </w:rPr>
            </w:pPr>
          </w:p>
        </w:tc>
        <w:tc>
          <w:tcPr>
            <w:tcW w:w="1008" w:type="pct"/>
            <w:vMerge w:val="continue"/>
            <w:vAlign w:val="center"/>
          </w:tcPr>
          <w:p w14:paraId="2815F46A">
            <w:pPr>
              <w:pStyle w:val="286"/>
              <w:spacing w:line="300" w:lineRule="exact"/>
              <w:rPr>
                <w:rFonts w:hint="eastAsia"/>
                <w:color w:val="000000" w:themeColor="text1"/>
                <w:sz w:val="21"/>
                <w14:textFill>
                  <w14:solidFill>
                    <w14:schemeClr w14:val="tx1"/>
                  </w14:solidFill>
                </w14:textFill>
              </w:rPr>
            </w:pPr>
          </w:p>
        </w:tc>
        <w:tc>
          <w:tcPr>
            <w:tcW w:w="643" w:type="pct"/>
            <w:vAlign w:val="center"/>
          </w:tcPr>
          <w:p w14:paraId="6D4E59FA">
            <w:pPr>
              <w:pStyle w:val="286"/>
              <w:spacing w:line="300" w:lineRule="exact"/>
              <w:rPr>
                <w:rFonts w:hint="eastAsia"/>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伴生气</w:t>
            </w:r>
          </w:p>
        </w:tc>
        <w:tc>
          <w:tcPr>
            <w:tcW w:w="551" w:type="pct"/>
            <w:vAlign w:val="center"/>
          </w:tcPr>
          <w:p w14:paraId="71DEB2FE">
            <w:pPr>
              <w:pStyle w:val="286"/>
              <w:spacing w:line="300" w:lineRule="exact"/>
              <w:rPr>
                <w:rFonts w:hint="eastAsia"/>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0.0056</w:t>
            </w:r>
          </w:p>
        </w:tc>
        <w:tc>
          <w:tcPr>
            <w:tcW w:w="1008" w:type="pct"/>
            <w:vAlign w:val="center"/>
          </w:tcPr>
          <w:p w14:paraId="0785BF20">
            <w:pPr>
              <w:pStyle w:val="286"/>
              <w:spacing w:line="300" w:lineRule="exact"/>
              <w:rPr>
                <w:rFonts w:hint="eastAsia"/>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10</w:t>
            </w:r>
          </w:p>
        </w:tc>
        <w:tc>
          <w:tcPr>
            <w:tcW w:w="782" w:type="pct"/>
            <w:vAlign w:val="center"/>
          </w:tcPr>
          <w:p w14:paraId="3101E40D">
            <w:pPr>
              <w:pStyle w:val="286"/>
              <w:spacing w:line="300" w:lineRule="exact"/>
              <w:rPr>
                <w:rFonts w:hint="eastAsia"/>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0.0006</w:t>
            </w:r>
          </w:p>
        </w:tc>
      </w:tr>
      <w:tr w14:paraId="11793D8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08" w:type="pct"/>
            <w:vMerge w:val="continue"/>
            <w:vAlign w:val="center"/>
          </w:tcPr>
          <w:p w14:paraId="1AC90673">
            <w:pPr>
              <w:pStyle w:val="286"/>
              <w:spacing w:line="300" w:lineRule="exact"/>
              <w:rPr>
                <w:rFonts w:hint="eastAsia"/>
                <w:color w:val="000000" w:themeColor="text1"/>
                <w:sz w:val="21"/>
                <w14:textFill>
                  <w14:solidFill>
                    <w14:schemeClr w14:val="tx1"/>
                  </w14:solidFill>
                </w14:textFill>
              </w:rPr>
            </w:pPr>
          </w:p>
        </w:tc>
        <w:tc>
          <w:tcPr>
            <w:tcW w:w="1008" w:type="pct"/>
            <w:vMerge w:val="continue"/>
            <w:vAlign w:val="center"/>
          </w:tcPr>
          <w:p w14:paraId="2D091B62">
            <w:pPr>
              <w:pStyle w:val="286"/>
              <w:spacing w:line="300" w:lineRule="exact"/>
              <w:rPr>
                <w:rFonts w:hint="eastAsia"/>
                <w:color w:val="000000" w:themeColor="text1"/>
                <w:sz w:val="21"/>
                <w14:textFill>
                  <w14:solidFill>
                    <w14:schemeClr w14:val="tx1"/>
                  </w14:solidFill>
                </w14:textFill>
              </w:rPr>
            </w:pPr>
          </w:p>
        </w:tc>
        <w:tc>
          <w:tcPr>
            <w:tcW w:w="643" w:type="pct"/>
            <w:vAlign w:val="center"/>
          </w:tcPr>
          <w:p w14:paraId="516C3B84">
            <w:pPr>
              <w:pStyle w:val="286"/>
              <w:spacing w:line="300" w:lineRule="exact"/>
              <w:rPr>
                <w:rFonts w:hint="eastAsia"/>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硫化氢</w:t>
            </w:r>
          </w:p>
        </w:tc>
        <w:tc>
          <w:tcPr>
            <w:tcW w:w="551" w:type="pct"/>
            <w:vAlign w:val="center"/>
          </w:tcPr>
          <w:p w14:paraId="40342AA5">
            <w:pPr>
              <w:pStyle w:val="286"/>
              <w:spacing w:line="300" w:lineRule="exact"/>
              <w:rPr>
                <w:rFonts w:hint="eastAsia"/>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极少量</w:t>
            </w:r>
          </w:p>
        </w:tc>
        <w:tc>
          <w:tcPr>
            <w:tcW w:w="1008" w:type="pct"/>
            <w:vAlign w:val="center"/>
          </w:tcPr>
          <w:p w14:paraId="2C54C0CD">
            <w:pPr>
              <w:pStyle w:val="286"/>
              <w:spacing w:line="300" w:lineRule="exact"/>
              <w:rPr>
                <w:rFonts w:hint="eastAsia"/>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2.5</w:t>
            </w:r>
          </w:p>
        </w:tc>
        <w:tc>
          <w:tcPr>
            <w:tcW w:w="782" w:type="pct"/>
            <w:vAlign w:val="center"/>
          </w:tcPr>
          <w:p w14:paraId="4A754F8A">
            <w:pPr>
              <w:pStyle w:val="286"/>
              <w:spacing w:line="300" w:lineRule="exact"/>
              <w:rPr>
                <w:rFonts w:hint="eastAsia"/>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w:t>
            </w:r>
          </w:p>
        </w:tc>
      </w:tr>
      <w:tr w14:paraId="0E4AA99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08" w:type="pct"/>
            <w:vMerge w:val="restart"/>
            <w:vAlign w:val="center"/>
          </w:tcPr>
          <w:p w14:paraId="7339EFBB">
            <w:pPr>
              <w:pStyle w:val="286"/>
              <w:spacing w:line="300" w:lineRule="exact"/>
              <w:rPr>
                <w:rFonts w:hint="eastAsia"/>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预处理注入站</w:t>
            </w:r>
          </w:p>
        </w:tc>
        <w:tc>
          <w:tcPr>
            <w:tcW w:w="1008" w:type="pct"/>
            <w:vMerge w:val="restart"/>
            <w:vAlign w:val="center"/>
          </w:tcPr>
          <w:p w14:paraId="10AEBFAA">
            <w:pPr>
              <w:pStyle w:val="286"/>
              <w:spacing w:line="300" w:lineRule="exact"/>
              <w:rPr>
                <w:rFonts w:hint="eastAsia"/>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w:t>
            </w:r>
          </w:p>
        </w:tc>
        <w:tc>
          <w:tcPr>
            <w:tcW w:w="643" w:type="pct"/>
            <w:vAlign w:val="center"/>
          </w:tcPr>
          <w:p w14:paraId="1AFB916F">
            <w:pPr>
              <w:pStyle w:val="286"/>
              <w:spacing w:line="300" w:lineRule="exact"/>
              <w:rPr>
                <w:rFonts w:hint="eastAsia"/>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原油</w:t>
            </w:r>
          </w:p>
        </w:tc>
        <w:tc>
          <w:tcPr>
            <w:tcW w:w="551" w:type="pct"/>
            <w:vAlign w:val="center"/>
          </w:tcPr>
          <w:p w14:paraId="40071D66">
            <w:pPr>
              <w:pStyle w:val="286"/>
              <w:spacing w:line="300" w:lineRule="exact"/>
              <w:rPr>
                <w:rFonts w:hint="eastAsia"/>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5.479</w:t>
            </w:r>
          </w:p>
        </w:tc>
        <w:tc>
          <w:tcPr>
            <w:tcW w:w="1008" w:type="pct"/>
            <w:vAlign w:val="center"/>
          </w:tcPr>
          <w:p w14:paraId="6BFFB63B">
            <w:pPr>
              <w:pStyle w:val="286"/>
              <w:spacing w:line="300" w:lineRule="exact"/>
              <w:rPr>
                <w:rFonts w:hint="eastAsia"/>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2500</w:t>
            </w:r>
          </w:p>
        </w:tc>
        <w:tc>
          <w:tcPr>
            <w:tcW w:w="782" w:type="pct"/>
            <w:vAlign w:val="center"/>
          </w:tcPr>
          <w:p w14:paraId="4BFEF004">
            <w:pPr>
              <w:pStyle w:val="286"/>
              <w:spacing w:line="300" w:lineRule="exact"/>
              <w:rPr>
                <w:rFonts w:hint="eastAsia"/>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 xml:space="preserve">0.0022 </w:t>
            </w:r>
          </w:p>
        </w:tc>
      </w:tr>
      <w:tr w14:paraId="5818751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08" w:type="pct"/>
            <w:vMerge w:val="continue"/>
            <w:vAlign w:val="center"/>
          </w:tcPr>
          <w:p w14:paraId="6158BB0E">
            <w:pPr>
              <w:pStyle w:val="286"/>
              <w:spacing w:line="300" w:lineRule="exact"/>
              <w:rPr>
                <w:rFonts w:hint="eastAsia"/>
                <w:color w:val="000000" w:themeColor="text1"/>
                <w:sz w:val="21"/>
                <w14:textFill>
                  <w14:solidFill>
                    <w14:schemeClr w14:val="tx1"/>
                  </w14:solidFill>
                </w14:textFill>
              </w:rPr>
            </w:pPr>
          </w:p>
        </w:tc>
        <w:tc>
          <w:tcPr>
            <w:tcW w:w="1008" w:type="pct"/>
            <w:vMerge w:val="continue"/>
            <w:vAlign w:val="center"/>
          </w:tcPr>
          <w:p w14:paraId="240CE094">
            <w:pPr>
              <w:pStyle w:val="286"/>
              <w:spacing w:line="300" w:lineRule="exact"/>
              <w:rPr>
                <w:rFonts w:hint="eastAsia"/>
                <w:color w:val="000000" w:themeColor="text1"/>
                <w:sz w:val="21"/>
                <w14:textFill>
                  <w14:solidFill>
                    <w14:schemeClr w14:val="tx1"/>
                  </w14:solidFill>
                </w14:textFill>
              </w:rPr>
            </w:pPr>
          </w:p>
        </w:tc>
        <w:tc>
          <w:tcPr>
            <w:tcW w:w="643" w:type="pct"/>
            <w:vAlign w:val="center"/>
          </w:tcPr>
          <w:p w14:paraId="1D10551A">
            <w:pPr>
              <w:pStyle w:val="286"/>
              <w:spacing w:line="300" w:lineRule="exact"/>
              <w:rPr>
                <w:rFonts w:hint="eastAsia"/>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伴生气</w:t>
            </w:r>
          </w:p>
        </w:tc>
        <w:tc>
          <w:tcPr>
            <w:tcW w:w="551" w:type="pct"/>
            <w:vAlign w:val="center"/>
          </w:tcPr>
          <w:p w14:paraId="169D76ED">
            <w:pPr>
              <w:pStyle w:val="286"/>
              <w:spacing w:line="300" w:lineRule="exact"/>
              <w:rPr>
                <w:rFonts w:hint="eastAsia"/>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0.64</w:t>
            </w:r>
          </w:p>
        </w:tc>
        <w:tc>
          <w:tcPr>
            <w:tcW w:w="1008" w:type="pct"/>
            <w:vAlign w:val="center"/>
          </w:tcPr>
          <w:p w14:paraId="31E82995">
            <w:pPr>
              <w:pStyle w:val="286"/>
              <w:spacing w:line="300" w:lineRule="exact"/>
              <w:rPr>
                <w:rFonts w:hint="eastAsia"/>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10</w:t>
            </w:r>
          </w:p>
        </w:tc>
        <w:tc>
          <w:tcPr>
            <w:tcW w:w="782" w:type="pct"/>
            <w:vAlign w:val="center"/>
          </w:tcPr>
          <w:p w14:paraId="328FF78C">
            <w:pPr>
              <w:pStyle w:val="286"/>
              <w:spacing w:line="300" w:lineRule="exact"/>
              <w:rPr>
                <w:rFonts w:hint="eastAsia"/>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 xml:space="preserve">0.064 </w:t>
            </w:r>
          </w:p>
        </w:tc>
      </w:tr>
      <w:tr w14:paraId="1B1384C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08" w:type="pct"/>
            <w:vMerge w:val="continue"/>
            <w:vAlign w:val="center"/>
          </w:tcPr>
          <w:p w14:paraId="3D51259C">
            <w:pPr>
              <w:pStyle w:val="286"/>
              <w:spacing w:line="300" w:lineRule="exact"/>
              <w:rPr>
                <w:rFonts w:hint="eastAsia"/>
                <w:color w:val="000000" w:themeColor="text1"/>
                <w:sz w:val="21"/>
                <w14:textFill>
                  <w14:solidFill>
                    <w14:schemeClr w14:val="tx1"/>
                  </w14:solidFill>
                </w14:textFill>
              </w:rPr>
            </w:pPr>
          </w:p>
        </w:tc>
        <w:tc>
          <w:tcPr>
            <w:tcW w:w="1008" w:type="pct"/>
            <w:vMerge w:val="continue"/>
            <w:vAlign w:val="center"/>
          </w:tcPr>
          <w:p w14:paraId="6D1CB03B">
            <w:pPr>
              <w:pStyle w:val="286"/>
              <w:spacing w:line="300" w:lineRule="exact"/>
              <w:rPr>
                <w:rFonts w:hint="eastAsia"/>
                <w:color w:val="000000" w:themeColor="text1"/>
                <w:sz w:val="21"/>
                <w14:textFill>
                  <w14:solidFill>
                    <w14:schemeClr w14:val="tx1"/>
                  </w14:solidFill>
                </w14:textFill>
              </w:rPr>
            </w:pPr>
          </w:p>
        </w:tc>
        <w:tc>
          <w:tcPr>
            <w:tcW w:w="643" w:type="pct"/>
            <w:vAlign w:val="center"/>
          </w:tcPr>
          <w:p w14:paraId="00A1AA1E">
            <w:pPr>
              <w:pStyle w:val="286"/>
              <w:spacing w:line="300" w:lineRule="exact"/>
              <w:rPr>
                <w:rFonts w:hint="eastAsia"/>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硫化氢</w:t>
            </w:r>
          </w:p>
        </w:tc>
        <w:tc>
          <w:tcPr>
            <w:tcW w:w="551" w:type="pct"/>
            <w:vAlign w:val="center"/>
          </w:tcPr>
          <w:p w14:paraId="5507FCEA">
            <w:pPr>
              <w:pStyle w:val="286"/>
              <w:spacing w:line="300" w:lineRule="exact"/>
              <w:rPr>
                <w:rFonts w:hint="eastAsia"/>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极少量</w:t>
            </w:r>
          </w:p>
        </w:tc>
        <w:tc>
          <w:tcPr>
            <w:tcW w:w="1008" w:type="pct"/>
            <w:vAlign w:val="center"/>
          </w:tcPr>
          <w:p w14:paraId="2E7E89CE">
            <w:pPr>
              <w:pStyle w:val="286"/>
              <w:spacing w:line="300" w:lineRule="exact"/>
              <w:rPr>
                <w:rFonts w:hint="eastAsia"/>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2.5</w:t>
            </w:r>
          </w:p>
        </w:tc>
        <w:tc>
          <w:tcPr>
            <w:tcW w:w="782" w:type="pct"/>
            <w:vAlign w:val="center"/>
          </w:tcPr>
          <w:p w14:paraId="47797F40">
            <w:pPr>
              <w:pStyle w:val="286"/>
              <w:spacing w:line="300" w:lineRule="exact"/>
              <w:rPr>
                <w:rFonts w:hint="eastAsia"/>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w:t>
            </w:r>
          </w:p>
        </w:tc>
      </w:tr>
      <w:tr w14:paraId="07409FF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08" w:type="pct"/>
            <w:vAlign w:val="center"/>
          </w:tcPr>
          <w:p w14:paraId="56DAA269">
            <w:pPr>
              <w:pStyle w:val="286"/>
              <w:spacing w:line="300" w:lineRule="exact"/>
              <w:rPr>
                <w:rFonts w:hint="eastAsia"/>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合计</w:t>
            </w:r>
          </w:p>
        </w:tc>
        <w:tc>
          <w:tcPr>
            <w:tcW w:w="1008" w:type="pct"/>
          </w:tcPr>
          <w:p w14:paraId="1C956C3D">
            <w:pPr>
              <w:pStyle w:val="286"/>
              <w:spacing w:line="300" w:lineRule="exact"/>
              <w:rPr>
                <w:rFonts w:hint="eastAsia"/>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w:t>
            </w:r>
          </w:p>
        </w:tc>
        <w:tc>
          <w:tcPr>
            <w:tcW w:w="643" w:type="pct"/>
          </w:tcPr>
          <w:p w14:paraId="2B662EB0">
            <w:pPr>
              <w:pStyle w:val="286"/>
              <w:spacing w:line="300" w:lineRule="exact"/>
              <w:rPr>
                <w:rFonts w:hint="eastAsia"/>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w:t>
            </w:r>
          </w:p>
        </w:tc>
        <w:tc>
          <w:tcPr>
            <w:tcW w:w="551" w:type="pct"/>
          </w:tcPr>
          <w:p w14:paraId="0A19D734">
            <w:pPr>
              <w:pStyle w:val="286"/>
              <w:spacing w:line="300" w:lineRule="exact"/>
              <w:rPr>
                <w:rFonts w:hint="eastAsia"/>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w:t>
            </w:r>
          </w:p>
        </w:tc>
        <w:tc>
          <w:tcPr>
            <w:tcW w:w="1008" w:type="pct"/>
          </w:tcPr>
          <w:p w14:paraId="1C61A163">
            <w:pPr>
              <w:pStyle w:val="286"/>
              <w:spacing w:line="300" w:lineRule="exact"/>
              <w:rPr>
                <w:rFonts w:hint="eastAsia"/>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w:t>
            </w:r>
          </w:p>
        </w:tc>
        <w:tc>
          <w:tcPr>
            <w:tcW w:w="782" w:type="pct"/>
            <w:vAlign w:val="center"/>
          </w:tcPr>
          <w:p w14:paraId="68790EFB">
            <w:pPr>
              <w:pStyle w:val="286"/>
              <w:spacing w:line="300" w:lineRule="exact"/>
              <w:rPr>
                <w:rFonts w:hint="eastAsia"/>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0.07308</w:t>
            </w:r>
          </w:p>
        </w:tc>
      </w:tr>
      <w:tr w14:paraId="00B15AE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000" w:type="pct"/>
            <w:gridSpan w:val="6"/>
            <w:vAlign w:val="center"/>
          </w:tcPr>
          <w:p w14:paraId="55463022">
            <w:pPr>
              <w:pStyle w:val="286"/>
              <w:spacing w:line="300" w:lineRule="exact"/>
              <w:jc w:val="left"/>
              <w:rPr>
                <w:rFonts w:hint="eastAsia"/>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注：预处理注入站内风险物质在线量按照30min的设计处理量计算</w:t>
            </w:r>
          </w:p>
        </w:tc>
      </w:tr>
    </w:tbl>
    <w:p w14:paraId="2EF9F005">
      <w:pPr>
        <w:pStyle w:val="117"/>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根据上表计算结果可知，Q</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0.07308，小于1，判断风险潜势为Ⅰ。根据《建设项目环境风险评价技术导则》（H</w:t>
      </w:r>
      <w:r>
        <w:rPr>
          <w:color w:val="000000" w:themeColor="text1"/>
          <w14:textFill>
            <w14:solidFill>
              <w14:schemeClr w14:val="tx1"/>
            </w14:solidFill>
          </w14:textFill>
        </w:rPr>
        <w:t>J169-2018</w:t>
      </w:r>
      <w:r>
        <w:rPr>
          <w:rFonts w:hint="eastAsia"/>
          <w:color w:val="000000" w:themeColor="text1"/>
          <w14:textFill>
            <w14:solidFill>
              <w14:schemeClr w14:val="tx1"/>
            </w14:solidFill>
          </w14:textFill>
        </w:rPr>
        <w:t>）相关要求，根据表2</w:t>
      </w:r>
      <w:r>
        <w:rPr>
          <w:color w:val="000000" w:themeColor="text1"/>
          <w14:textFill>
            <w14:solidFill>
              <w14:schemeClr w14:val="tx1"/>
            </w14:solidFill>
          </w14:textFill>
        </w:rPr>
        <w:t>.6</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1</w:t>
      </w:r>
      <w:r>
        <w:rPr>
          <w:rFonts w:hint="eastAsia"/>
          <w:color w:val="000000" w:themeColor="text1"/>
          <w14:textFill>
            <w14:solidFill>
              <w14:schemeClr w14:val="tx1"/>
            </w14:solidFill>
          </w14:textFill>
        </w:rPr>
        <w:t>4判定本次风险评价仅进行简单分析。</w:t>
      </w:r>
    </w:p>
    <w:bookmarkEnd w:id="120"/>
    <w:bookmarkEnd w:id="121"/>
    <w:bookmarkEnd w:id="125"/>
    <w:p w14:paraId="4579B2F4">
      <w:pPr>
        <w:pStyle w:val="4"/>
        <w:rPr>
          <w:rFonts w:hint="eastAsia"/>
          <w:color w:val="000000" w:themeColor="text1"/>
          <w:lang w:val="zh-CN"/>
          <w14:textFill>
            <w14:solidFill>
              <w14:schemeClr w14:val="tx1"/>
            </w14:solidFill>
          </w14:textFill>
        </w:rPr>
      </w:pPr>
      <w:bookmarkStart w:id="126" w:name="_Toc445840375"/>
      <w:bookmarkStart w:id="127" w:name="_Toc445841979"/>
      <w:bookmarkStart w:id="128" w:name="_Toc445996332"/>
      <w:bookmarkStart w:id="129" w:name="_Toc24149"/>
      <w:bookmarkStart w:id="130" w:name="_Hlk92203645"/>
      <w:r>
        <w:rPr>
          <w:rFonts w:hint="eastAsia"/>
          <w:color w:val="000000" w:themeColor="text1"/>
          <w:lang w:val="zh-CN"/>
          <w14:textFill>
            <w14:solidFill>
              <w14:schemeClr w14:val="tx1"/>
            </w14:solidFill>
          </w14:textFill>
        </w:rPr>
        <w:t>评价</w:t>
      </w:r>
      <w:bookmarkEnd w:id="126"/>
      <w:bookmarkEnd w:id="127"/>
      <w:bookmarkEnd w:id="128"/>
      <w:bookmarkEnd w:id="129"/>
      <w:r>
        <w:rPr>
          <w:rFonts w:hint="eastAsia"/>
          <w:color w:val="000000" w:themeColor="text1"/>
          <w14:textFill>
            <w14:solidFill>
              <w14:schemeClr w14:val="tx1"/>
            </w14:solidFill>
          </w14:textFill>
        </w:rPr>
        <w:t>范围</w:t>
      </w:r>
    </w:p>
    <w:p w14:paraId="68D31663">
      <w:pPr>
        <w:pStyle w:val="117"/>
        <w:spacing w:line="480" w:lineRule="exact"/>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根据各环境要素导则要求，结合周边环境，确定本项目各环境要素的评价范围见表2.</w:t>
      </w:r>
      <w:r>
        <w:rPr>
          <w:color w:val="000000" w:themeColor="text1"/>
          <w14:textFill>
            <w14:solidFill>
              <w14:schemeClr w14:val="tx1"/>
            </w14:solidFill>
          </w14:textFill>
        </w:rPr>
        <w:t>6</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1</w:t>
      </w:r>
      <w:r>
        <w:rPr>
          <w:rFonts w:hint="eastAsia"/>
          <w:color w:val="000000" w:themeColor="text1"/>
          <w14:textFill>
            <w14:solidFill>
              <w14:schemeClr w14:val="tx1"/>
            </w14:solidFill>
          </w14:textFill>
        </w:rPr>
        <w:t>6和图2.</w:t>
      </w:r>
      <w:r>
        <w:rPr>
          <w:color w:val="000000" w:themeColor="text1"/>
          <w14:textFill>
            <w14:solidFill>
              <w14:schemeClr w14:val="tx1"/>
            </w14:solidFill>
          </w14:textFill>
        </w:rPr>
        <w:t>6</w:t>
      </w:r>
      <w:r>
        <w:rPr>
          <w:rFonts w:hint="eastAsia"/>
          <w:color w:val="000000" w:themeColor="text1"/>
          <w14:textFill>
            <w14:solidFill>
              <w14:schemeClr w14:val="tx1"/>
            </w14:solidFill>
          </w14:textFill>
        </w:rPr>
        <w:t>-1、图2</w:t>
      </w:r>
      <w:r>
        <w:rPr>
          <w:color w:val="000000" w:themeColor="text1"/>
          <w14:textFill>
            <w14:solidFill>
              <w14:schemeClr w14:val="tx1"/>
            </w14:solidFill>
          </w14:textFill>
        </w:rPr>
        <w:t>.6</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2</w:t>
      </w:r>
      <w:r>
        <w:rPr>
          <w:rFonts w:hint="eastAsia"/>
          <w:color w:val="000000" w:themeColor="text1"/>
          <w14:textFill>
            <w14:solidFill>
              <w14:schemeClr w14:val="tx1"/>
            </w14:solidFill>
          </w14:textFill>
        </w:rPr>
        <w:t>、图2</w:t>
      </w:r>
      <w:r>
        <w:rPr>
          <w:color w:val="000000" w:themeColor="text1"/>
          <w14:textFill>
            <w14:solidFill>
              <w14:schemeClr w14:val="tx1"/>
            </w14:solidFill>
          </w14:textFill>
        </w:rPr>
        <w:t>.6</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3</w:t>
      </w:r>
      <w:r>
        <w:rPr>
          <w:rFonts w:hint="eastAsia"/>
          <w:color w:val="000000" w:themeColor="text1"/>
          <w14:textFill>
            <w14:solidFill>
              <w14:schemeClr w14:val="tx1"/>
            </w14:solidFill>
          </w14:textFill>
        </w:rPr>
        <w:t>、图2.6-4和图2.6-5。</w:t>
      </w:r>
    </w:p>
    <w:bookmarkEnd w:id="130"/>
    <w:p w14:paraId="050ED119">
      <w:pPr>
        <w:pStyle w:val="109"/>
        <w:rPr>
          <w:rFonts w:hint="eastAsia"/>
          <w:color w:val="000000" w:themeColor="text1"/>
          <w14:textFill>
            <w14:solidFill>
              <w14:schemeClr w14:val="tx1"/>
            </w14:solidFill>
          </w14:textFill>
        </w:rPr>
      </w:pPr>
      <w:bookmarkStart w:id="131" w:name="_Hlk147580904"/>
      <w:r>
        <w:rPr>
          <w:rFonts w:hint="eastAsia"/>
          <w:color w:val="000000" w:themeColor="text1"/>
          <w14:textFill>
            <w14:solidFill>
              <w14:schemeClr w14:val="tx1"/>
            </w14:solidFill>
          </w14:textFill>
        </w:rPr>
        <w:t>表2.</w:t>
      </w:r>
      <w:r>
        <w:rPr>
          <w:color w:val="000000" w:themeColor="text1"/>
          <w14:textFill>
            <w14:solidFill>
              <w14:schemeClr w14:val="tx1"/>
            </w14:solidFill>
          </w14:textFill>
        </w:rPr>
        <w:t>6</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12</w:t>
      </w:r>
      <w:r>
        <w:rPr>
          <w:rFonts w:hint="eastAsia"/>
          <w:color w:val="000000" w:themeColor="text1"/>
          <w14:textFill>
            <w14:solidFill>
              <w14:schemeClr w14:val="tx1"/>
            </w14:solidFill>
          </w14:textFill>
        </w:rPr>
        <w:t xml:space="preserve">  各环境要素评价范围一览表</w:t>
      </w:r>
    </w:p>
    <w:tbl>
      <w:tblPr>
        <w:tblStyle w:val="51"/>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24"/>
        <w:gridCol w:w="1310"/>
        <w:gridCol w:w="6912"/>
      </w:tblGrid>
      <w:tr w14:paraId="6171202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1137" w:type="pct"/>
            <w:gridSpan w:val="2"/>
            <w:vAlign w:val="center"/>
          </w:tcPr>
          <w:p w14:paraId="24786C99">
            <w:pPr>
              <w:pStyle w:val="278"/>
              <w:adjustRightInd w:val="0"/>
              <w:snapToGrid w:val="0"/>
              <w:spacing w:line="300" w:lineRule="exact"/>
              <w:rPr>
                <w:rFonts w:hint="eastAsia"/>
                <w:color w:val="000000" w:themeColor="text1"/>
                <w14:textFill>
                  <w14:solidFill>
                    <w14:schemeClr w14:val="tx1"/>
                  </w14:solidFill>
                </w14:textFill>
              </w:rPr>
            </w:pPr>
            <w:r>
              <w:rPr>
                <w:rFonts w:hint="eastAsia"/>
                <w:color w:val="000000" w:themeColor="text1"/>
                <w:lang w:bidi="ar"/>
                <w14:textFill>
                  <w14:solidFill>
                    <w14:schemeClr w14:val="tx1"/>
                  </w14:solidFill>
                </w14:textFill>
              </w:rPr>
              <w:t>环境要素</w:t>
            </w:r>
          </w:p>
        </w:tc>
        <w:tc>
          <w:tcPr>
            <w:tcW w:w="3863" w:type="pct"/>
            <w:vAlign w:val="center"/>
          </w:tcPr>
          <w:p w14:paraId="3AEAEC1E">
            <w:pPr>
              <w:pStyle w:val="278"/>
              <w:adjustRightInd w:val="0"/>
              <w:snapToGrid w:val="0"/>
              <w:spacing w:line="300" w:lineRule="exact"/>
              <w:rPr>
                <w:rFonts w:hint="eastAsia"/>
                <w:color w:val="000000" w:themeColor="text1"/>
                <w14:textFill>
                  <w14:solidFill>
                    <w14:schemeClr w14:val="tx1"/>
                  </w14:solidFill>
                </w14:textFill>
              </w:rPr>
            </w:pPr>
            <w:r>
              <w:rPr>
                <w:rFonts w:hint="eastAsia"/>
                <w:color w:val="000000" w:themeColor="text1"/>
                <w:lang w:bidi="ar"/>
                <w14:textFill>
                  <w14:solidFill>
                    <w14:schemeClr w14:val="tx1"/>
                  </w14:solidFill>
                </w14:textFill>
              </w:rPr>
              <w:t>范围</w:t>
            </w:r>
          </w:p>
        </w:tc>
      </w:tr>
      <w:tr w14:paraId="7EACEA1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37" w:type="pct"/>
            <w:gridSpan w:val="2"/>
            <w:vAlign w:val="center"/>
          </w:tcPr>
          <w:p w14:paraId="4BEA54AD">
            <w:pPr>
              <w:pStyle w:val="278"/>
              <w:adjustRightInd w:val="0"/>
              <w:snapToGrid w:val="0"/>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大</w:t>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气</w:t>
            </w:r>
          </w:p>
        </w:tc>
        <w:tc>
          <w:tcPr>
            <w:tcW w:w="3863" w:type="pct"/>
            <w:vAlign w:val="center"/>
          </w:tcPr>
          <w:p w14:paraId="77BF3DA5">
            <w:pPr>
              <w:pStyle w:val="278"/>
              <w:adjustRightInd w:val="0"/>
              <w:snapToGrid w:val="0"/>
              <w:spacing w:line="300" w:lineRule="exact"/>
              <w:jc w:val="lef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以注采井场、注气井场</w:t>
            </w:r>
            <w:bookmarkStart w:id="132" w:name="OLE_LINK149"/>
            <w:r>
              <w:rPr>
                <w:rFonts w:hint="eastAsia"/>
                <w:color w:val="000000" w:themeColor="text1"/>
                <w14:textFill>
                  <w14:solidFill>
                    <w14:schemeClr w14:val="tx1"/>
                  </w14:solidFill>
                </w14:textFill>
              </w:rPr>
              <w:t>、计量站</w:t>
            </w:r>
            <w:bookmarkEnd w:id="132"/>
            <w:r>
              <w:rPr>
                <w:rFonts w:hint="eastAsia"/>
                <w:color w:val="000000" w:themeColor="text1"/>
                <w14:textFill>
                  <w14:solidFill>
                    <w14:schemeClr w14:val="tx1"/>
                  </w14:solidFill>
                </w14:textFill>
              </w:rPr>
              <w:t>、预处理注入站为中心，边长为5</w:t>
            </w:r>
            <w:r>
              <w:rPr>
                <w:color w:val="000000" w:themeColor="text1"/>
                <w14:textFill>
                  <w14:solidFill>
                    <w14:schemeClr w14:val="tx1"/>
                  </w14:solidFill>
                </w14:textFill>
              </w:rPr>
              <w:t>km</w:t>
            </w:r>
            <w:r>
              <w:rPr>
                <w:rFonts w:hint="eastAsia"/>
                <w:color w:val="000000" w:themeColor="text1"/>
                <w14:textFill>
                  <w14:solidFill>
                    <w14:schemeClr w14:val="tx1"/>
                  </w14:solidFill>
                </w14:textFill>
              </w:rPr>
              <w:t>矩形形成的包络线。</w:t>
            </w:r>
          </w:p>
        </w:tc>
      </w:tr>
      <w:tr w14:paraId="073D960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37" w:type="pct"/>
            <w:gridSpan w:val="2"/>
            <w:vAlign w:val="center"/>
          </w:tcPr>
          <w:p w14:paraId="4A9E2816">
            <w:pPr>
              <w:pStyle w:val="278"/>
              <w:adjustRightInd w:val="0"/>
              <w:snapToGrid w:val="0"/>
              <w:spacing w:line="300" w:lineRule="exact"/>
              <w:rPr>
                <w:rFonts w:hint="eastAsia"/>
                <w:color w:val="000000" w:themeColor="text1"/>
                <w14:textFill>
                  <w14:solidFill>
                    <w14:schemeClr w14:val="tx1"/>
                  </w14:solidFill>
                </w14:textFill>
              </w:rPr>
            </w:pPr>
            <w:r>
              <w:rPr>
                <w:rFonts w:hint="eastAsia"/>
                <w:color w:val="000000" w:themeColor="text1"/>
                <w:lang w:bidi="ar"/>
                <w14:textFill>
                  <w14:solidFill>
                    <w14:schemeClr w14:val="tx1"/>
                  </w14:solidFill>
                </w14:textFill>
              </w:rPr>
              <w:t>地 下 水</w:t>
            </w:r>
          </w:p>
        </w:tc>
        <w:tc>
          <w:tcPr>
            <w:tcW w:w="3863" w:type="pct"/>
            <w:vAlign w:val="center"/>
          </w:tcPr>
          <w:p w14:paraId="3074ADD5">
            <w:pPr>
              <w:pStyle w:val="278"/>
              <w:adjustRightInd w:val="0"/>
              <w:snapToGrid w:val="0"/>
              <w:spacing w:line="300" w:lineRule="exact"/>
              <w:jc w:val="left"/>
              <w:rPr>
                <w:rFonts w:hint="eastAsia"/>
                <w:color w:val="000000" w:themeColor="text1"/>
                <w14:textFill>
                  <w14:solidFill>
                    <w14:schemeClr w14:val="tx1"/>
                  </w14:solidFill>
                </w14:textFill>
              </w:rPr>
            </w:pPr>
            <w:r>
              <w:rPr>
                <w:rFonts w:hint="eastAsia"/>
                <w:color w:val="000000" w:themeColor="text1"/>
                <w:lang w:bidi="ar"/>
                <w14:textFill>
                  <w14:solidFill>
                    <w14:schemeClr w14:val="tx1"/>
                  </w14:solidFill>
                </w14:textFill>
              </w:rPr>
              <w:t>以地下水流向为长轴，</w:t>
            </w:r>
            <w:r>
              <w:rPr>
                <w:rFonts w:hint="eastAsia"/>
                <w:color w:val="000000" w:themeColor="text1"/>
                <w14:textFill>
                  <w14:solidFill>
                    <w14:schemeClr w14:val="tx1"/>
                  </w14:solidFill>
                </w14:textFill>
              </w:rPr>
              <w:t>各采油井场、注气井场、计量站、注水井场和预处理注入站为中心，站场上游1km、下游2km，水流垂直方向分别外扩0.5km；各类管线边界两侧向外延伸200m范围。</w:t>
            </w:r>
          </w:p>
        </w:tc>
      </w:tr>
      <w:tr w14:paraId="3EA6EC9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37" w:type="pct"/>
            <w:gridSpan w:val="2"/>
            <w:vAlign w:val="center"/>
          </w:tcPr>
          <w:p w14:paraId="60B24A1C">
            <w:pPr>
              <w:pStyle w:val="278"/>
              <w:adjustRightInd w:val="0"/>
              <w:snapToGrid w:val="0"/>
              <w:spacing w:line="300" w:lineRule="exact"/>
              <w:rPr>
                <w:rFonts w:hint="eastAsia"/>
                <w:color w:val="000000" w:themeColor="text1"/>
                <w:lang w:bidi="ar"/>
                <w14:textFill>
                  <w14:solidFill>
                    <w14:schemeClr w14:val="tx1"/>
                  </w14:solidFill>
                </w14:textFill>
              </w:rPr>
            </w:pPr>
            <w:r>
              <w:rPr>
                <w:rFonts w:hint="eastAsia"/>
                <w:color w:val="000000" w:themeColor="text1"/>
                <w:lang w:bidi="ar"/>
                <w14:textFill>
                  <w14:solidFill>
                    <w14:schemeClr w14:val="tx1"/>
                  </w14:solidFill>
                </w14:textFill>
              </w:rPr>
              <w:t>声 环 境</w:t>
            </w:r>
          </w:p>
        </w:tc>
        <w:tc>
          <w:tcPr>
            <w:tcW w:w="3863" w:type="pct"/>
            <w:vAlign w:val="center"/>
          </w:tcPr>
          <w:p w14:paraId="32D208C3">
            <w:pPr>
              <w:pStyle w:val="278"/>
              <w:adjustRightInd w:val="0"/>
              <w:snapToGrid w:val="0"/>
              <w:spacing w:line="300" w:lineRule="exact"/>
              <w:jc w:val="left"/>
              <w:rPr>
                <w:rFonts w:hint="eastAsia"/>
                <w:color w:val="000000" w:themeColor="text1"/>
                <w:lang w:bidi="ar"/>
                <w14:textFill>
                  <w14:solidFill>
                    <w14:schemeClr w14:val="tx1"/>
                  </w14:solidFill>
                </w14:textFill>
              </w:rPr>
            </w:pPr>
            <w:r>
              <w:rPr>
                <w:rFonts w:hint="eastAsia"/>
                <w:color w:val="000000" w:themeColor="text1"/>
                <w:lang w:bidi="ar"/>
                <w14:textFill>
                  <w14:solidFill>
                    <w14:schemeClr w14:val="tx1"/>
                  </w14:solidFill>
                </w14:textFill>
              </w:rPr>
              <w:t>项目占地范围内及厂界向外延伸2</w:t>
            </w:r>
            <w:r>
              <w:rPr>
                <w:color w:val="000000" w:themeColor="text1"/>
                <w:lang w:bidi="ar"/>
                <w14:textFill>
                  <w14:solidFill>
                    <w14:schemeClr w14:val="tx1"/>
                  </w14:solidFill>
                </w14:textFill>
              </w:rPr>
              <w:t>00m</w:t>
            </w:r>
            <w:r>
              <w:rPr>
                <w:rFonts w:hint="eastAsia"/>
                <w:color w:val="000000" w:themeColor="text1"/>
                <w:lang w:bidi="ar"/>
                <w14:textFill>
                  <w14:solidFill>
                    <w14:schemeClr w14:val="tx1"/>
                  </w14:solidFill>
                </w14:textFill>
              </w:rPr>
              <w:t>范围。</w:t>
            </w:r>
          </w:p>
        </w:tc>
      </w:tr>
      <w:tr w14:paraId="1424CF6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05" w:type="pct"/>
            <w:vMerge w:val="restart"/>
            <w:vAlign w:val="center"/>
          </w:tcPr>
          <w:p w14:paraId="24CF4F33">
            <w:pPr>
              <w:pStyle w:val="278"/>
              <w:adjustRightInd w:val="0"/>
              <w:snapToGrid w:val="0"/>
              <w:spacing w:line="300" w:lineRule="exact"/>
              <w:rPr>
                <w:rFonts w:hint="eastAsia"/>
                <w:color w:val="000000" w:themeColor="text1"/>
                <w:lang w:bidi="ar"/>
                <w14:textFill>
                  <w14:solidFill>
                    <w14:schemeClr w14:val="tx1"/>
                  </w14:solidFill>
                </w14:textFill>
              </w:rPr>
            </w:pPr>
            <w:r>
              <w:rPr>
                <w:rFonts w:hint="eastAsia"/>
                <w:color w:val="000000" w:themeColor="text1"/>
                <w:lang w:bidi="ar"/>
                <w14:textFill>
                  <w14:solidFill>
                    <w14:schemeClr w14:val="tx1"/>
                  </w14:solidFill>
                </w14:textFill>
              </w:rPr>
              <w:t>土壤环境</w:t>
            </w:r>
          </w:p>
        </w:tc>
        <w:tc>
          <w:tcPr>
            <w:tcW w:w="732" w:type="pct"/>
            <w:vAlign w:val="center"/>
          </w:tcPr>
          <w:p w14:paraId="401E120C">
            <w:pPr>
              <w:pStyle w:val="278"/>
              <w:adjustRightInd w:val="0"/>
              <w:snapToGrid w:val="0"/>
              <w:spacing w:line="300" w:lineRule="exact"/>
              <w:rPr>
                <w:rFonts w:hint="eastAsia"/>
                <w:color w:val="000000" w:themeColor="text1"/>
                <w:lang w:bidi="ar"/>
                <w14:textFill>
                  <w14:solidFill>
                    <w14:schemeClr w14:val="tx1"/>
                  </w14:solidFill>
                </w14:textFill>
              </w:rPr>
            </w:pPr>
            <w:r>
              <w:rPr>
                <w:rFonts w:hint="eastAsia"/>
                <w:color w:val="000000" w:themeColor="text1"/>
                <w:lang w:bidi="ar"/>
                <w14:textFill>
                  <w14:solidFill>
                    <w14:schemeClr w14:val="tx1"/>
                  </w14:solidFill>
                </w14:textFill>
              </w:rPr>
              <w:t>污染影响型</w:t>
            </w:r>
          </w:p>
        </w:tc>
        <w:tc>
          <w:tcPr>
            <w:tcW w:w="3863" w:type="pct"/>
            <w:vAlign w:val="center"/>
          </w:tcPr>
          <w:p w14:paraId="5CA72AE1">
            <w:pPr>
              <w:pStyle w:val="278"/>
              <w:adjustRightInd w:val="0"/>
              <w:snapToGrid w:val="0"/>
              <w:spacing w:line="300" w:lineRule="exact"/>
              <w:jc w:val="left"/>
              <w:rPr>
                <w:rFonts w:hint="eastAsia"/>
                <w:color w:val="000000" w:themeColor="text1"/>
                <w:lang w:bidi="ar"/>
                <w14:textFill>
                  <w14:solidFill>
                    <w14:schemeClr w14:val="tx1"/>
                  </w14:solidFill>
                </w14:textFill>
              </w:rPr>
            </w:pPr>
            <w:r>
              <w:rPr>
                <w:rFonts w:hint="eastAsia"/>
                <w:color w:val="000000" w:themeColor="text1"/>
                <w:lang w:bidi="ar"/>
                <w14:textFill>
                  <w14:solidFill>
                    <w14:schemeClr w14:val="tx1"/>
                  </w14:solidFill>
                </w14:textFill>
              </w:rPr>
              <w:t>采油井场、注水井场</w:t>
            </w:r>
            <w:r>
              <w:rPr>
                <w:rFonts w:hint="eastAsia"/>
                <w:color w:val="000000" w:themeColor="text1"/>
                <w14:textFill>
                  <w14:solidFill>
                    <w14:schemeClr w14:val="tx1"/>
                  </w14:solidFill>
                </w14:textFill>
              </w:rPr>
              <w:t>、计量站</w:t>
            </w:r>
            <w:r>
              <w:rPr>
                <w:rFonts w:hint="eastAsia"/>
                <w:color w:val="000000" w:themeColor="text1"/>
                <w:lang w:bidi="ar"/>
                <w14:textFill>
                  <w14:solidFill>
                    <w14:schemeClr w14:val="tx1"/>
                  </w14:solidFill>
                </w14:textFill>
              </w:rPr>
              <w:t>、注气井场、预处理注入站占地范围内及厂界向外延伸10</w:t>
            </w:r>
            <w:r>
              <w:rPr>
                <w:color w:val="000000" w:themeColor="text1"/>
                <w:lang w:bidi="ar"/>
                <w14:textFill>
                  <w14:solidFill>
                    <w14:schemeClr w14:val="tx1"/>
                  </w14:solidFill>
                </w14:textFill>
              </w:rPr>
              <w:t>00m</w:t>
            </w:r>
            <w:r>
              <w:rPr>
                <w:rFonts w:hint="eastAsia"/>
                <w:color w:val="000000" w:themeColor="text1"/>
                <w:lang w:bidi="ar"/>
                <w14:textFill>
                  <w14:solidFill>
                    <w14:schemeClr w14:val="tx1"/>
                  </w14:solidFill>
                </w14:textFill>
              </w:rPr>
              <w:t>形成的包络线。</w:t>
            </w:r>
          </w:p>
        </w:tc>
      </w:tr>
      <w:tr w14:paraId="0CD679D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05" w:type="pct"/>
            <w:vMerge w:val="continue"/>
            <w:vAlign w:val="center"/>
          </w:tcPr>
          <w:p w14:paraId="6334ADAE">
            <w:pPr>
              <w:pStyle w:val="278"/>
              <w:adjustRightInd w:val="0"/>
              <w:snapToGrid w:val="0"/>
              <w:spacing w:line="300" w:lineRule="exact"/>
              <w:rPr>
                <w:rFonts w:hint="eastAsia"/>
                <w:color w:val="000000" w:themeColor="text1"/>
                <w:lang w:bidi="ar"/>
                <w14:textFill>
                  <w14:solidFill>
                    <w14:schemeClr w14:val="tx1"/>
                  </w14:solidFill>
                </w14:textFill>
              </w:rPr>
            </w:pPr>
          </w:p>
        </w:tc>
        <w:tc>
          <w:tcPr>
            <w:tcW w:w="732" w:type="pct"/>
            <w:vAlign w:val="center"/>
          </w:tcPr>
          <w:p w14:paraId="76F7C632">
            <w:pPr>
              <w:pStyle w:val="278"/>
              <w:adjustRightInd w:val="0"/>
              <w:snapToGrid w:val="0"/>
              <w:spacing w:line="300" w:lineRule="exact"/>
              <w:rPr>
                <w:rFonts w:hint="eastAsia"/>
                <w:color w:val="000000" w:themeColor="text1"/>
                <w:lang w:bidi="ar"/>
                <w14:textFill>
                  <w14:solidFill>
                    <w14:schemeClr w14:val="tx1"/>
                  </w14:solidFill>
                </w14:textFill>
              </w:rPr>
            </w:pPr>
            <w:r>
              <w:rPr>
                <w:rFonts w:hint="eastAsia"/>
                <w:color w:val="000000" w:themeColor="text1"/>
                <w:lang w:bidi="ar"/>
                <w14:textFill>
                  <w14:solidFill>
                    <w14:schemeClr w14:val="tx1"/>
                  </w14:solidFill>
                </w14:textFill>
              </w:rPr>
              <w:t>生态影响型</w:t>
            </w:r>
          </w:p>
        </w:tc>
        <w:tc>
          <w:tcPr>
            <w:tcW w:w="3863" w:type="pct"/>
            <w:vAlign w:val="center"/>
          </w:tcPr>
          <w:p w14:paraId="1A7B7223">
            <w:pPr>
              <w:pStyle w:val="278"/>
              <w:adjustRightInd w:val="0"/>
              <w:snapToGrid w:val="0"/>
              <w:spacing w:line="300" w:lineRule="exact"/>
              <w:jc w:val="left"/>
              <w:rPr>
                <w:rFonts w:hint="eastAsia"/>
                <w:color w:val="000000" w:themeColor="text1"/>
                <w:lang w:bidi="ar"/>
                <w14:textFill>
                  <w14:solidFill>
                    <w14:schemeClr w14:val="tx1"/>
                  </w14:solidFill>
                </w14:textFill>
              </w:rPr>
            </w:pPr>
            <w:r>
              <w:rPr>
                <w:rFonts w:hint="eastAsia"/>
                <w:color w:val="000000" w:themeColor="text1"/>
                <w:lang w:bidi="ar"/>
                <w14:textFill>
                  <w14:solidFill>
                    <w14:schemeClr w14:val="tx1"/>
                  </w14:solidFill>
                </w14:textFill>
              </w:rPr>
              <w:t>采油井场</w:t>
            </w:r>
            <w:bookmarkStart w:id="133" w:name="OLE_LINK148"/>
            <w:r>
              <w:rPr>
                <w:rFonts w:hint="eastAsia"/>
                <w:color w:val="000000" w:themeColor="text1"/>
                <w:lang w:bidi="ar"/>
                <w14:textFill>
                  <w14:solidFill>
                    <w14:schemeClr w14:val="tx1"/>
                  </w14:solidFill>
                </w14:textFill>
              </w:rPr>
              <w:t>、注水井场</w:t>
            </w:r>
            <w:r>
              <w:rPr>
                <w:rFonts w:hint="eastAsia"/>
                <w:color w:val="000000" w:themeColor="text1"/>
                <w14:textFill>
                  <w14:solidFill>
                    <w14:schemeClr w14:val="tx1"/>
                  </w14:solidFill>
                </w14:textFill>
              </w:rPr>
              <w:t>、计量站</w:t>
            </w:r>
            <w:r>
              <w:rPr>
                <w:rFonts w:hint="eastAsia"/>
                <w:color w:val="000000" w:themeColor="text1"/>
                <w:lang w:bidi="ar"/>
                <w14:textFill>
                  <w14:solidFill>
                    <w14:schemeClr w14:val="tx1"/>
                  </w14:solidFill>
                </w14:textFill>
              </w:rPr>
              <w:t>、采气井场和</w:t>
            </w:r>
            <w:bookmarkEnd w:id="133"/>
            <w:r>
              <w:rPr>
                <w:rFonts w:hint="eastAsia"/>
                <w:color w:val="000000" w:themeColor="text1"/>
                <w:lang w:bidi="ar"/>
                <w14:textFill>
                  <w14:solidFill>
                    <w14:schemeClr w14:val="tx1"/>
                  </w14:solidFill>
                </w14:textFill>
              </w:rPr>
              <w:t>预处理注入站占地范围内及厂界向外延伸</w:t>
            </w:r>
            <w:r>
              <w:rPr>
                <w:color w:val="000000" w:themeColor="text1"/>
                <w:lang w:bidi="ar"/>
                <w14:textFill>
                  <w14:solidFill>
                    <w14:schemeClr w14:val="tx1"/>
                  </w14:solidFill>
                </w14:textFill>
              </w:rPr>
              <w:t>5</w:t>
            </w:r>
            <w:r>
              <w:rPr>
                <w:rFonts w:hint="eastAsia"/>
                <w:color w:val="000000" w:themeColor="text1"/>
                <w:lang w:bidi="ar"/>
                <w14:textFill>
                  <w14:solidFill>
                    <w14:schemeClr w14:val="tx1"/>
                  </w14:solidFill>
                </w14:textFill>
              </w:rPr>
              <w:t>k</w:t>
            </w:r>
            <w:r>
              <w:rPr>
                <w:color w:val="000000" w:themeColor="text1"/>
                <w:lang w:bidi="ar"/>
                <w14:textFill>
                  <w14:solidFill>
                    <w14:schemeClr w14:val="tx1"/>
                  </w14:solidFill>
                </w14:textFill>
              </w:rPr>
              <w:t>m</w:t>
            </w:r>
            <w:r>
              <w:rPr>
                <w:rFonts w:hint="eastAsia"/>
                <w:color w:val="000000" w:themeColor="text1"/>
                <w:lang w:bidi="ar"/>
                <w14:textFill>
                  <w14:solidFill>
                    <w14:schemeClr w14:val="tx1"/>
                  </w14:solidFill>
                </w14:textFill>
              </w:rPr>
              <w:t>形成的包络线。采气井场占地范围内及厂界外延2km范围。</w:t>
            </w:r>
          </w:p>
        </w:tc>
      </w:tr>
      <w:tr w14:paraId="51DA6FD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05" w:type="pct"/>
            <w:vMerge w:val="continue"/>
            <w:vAlign w:val="center"/>
          </w:tcPr>
          <w:p w14:paraId="1B0DE243">
            <w:pPr>
              <w:pStyle w:val="278"/>
              <w:adjustRightInd w:val="0"/>
              <w:snapToGrid w:val="0"/>
              <w:spacing w:line="300" w:lineRule="exact"/>
              <w:rPr>
                <w:rFonts w:hint="eastAsia"/>
                <w:color w:val="000000" w:themeColor="text1"/>
                <w:lang w:bidi="ar"/>
                <w14:textFill>
                  <w14:solidFill>
                    <w14:schemeClr w14:val="tx1"/>
                  </w14:solidFill>
                </w14:textFill>
              </w:rPr>
            </w:pPr>
          </w:p>
        </w:tc>
        <w:tc>
          <w:tcPr>
            <w:tcW w:w="732" w:type="pct"/>
            <w:vAlign w:val="center"/>
          </w:tcPr>
          <w:p w14:paraId="7EADE90C">
            <w:pPr>
              <w:pStyle w:val="278"/>
              <w:adjustRightInd w:val="0"/>
              <w:snapToGrid w:val="0"/>
              <w:spacing w:line="300" w:lineRule="exact"/>
              <w:rPr>
                <w:rFonts w:hint="eastAsia"/>
                <w:color w:val="000000" w:themeColor="text1"/>
                <w:lang w:bidi="ar"/>
                <w14:textFill>
                  <w14:solidFill>
                    <w14:schemeClr w14:val="tx1"/>
                  </w14:solidFill>
                </w14:textFill>
              </w:rPr>
            </w:pPr>
            <w:r>
              <w:rPr>
                <w:rFonts w:hint="eastAsia"/>
                <w:color w:val="000000" w:themeColor="text1"/>
                <w:lang w:bidi="ar"/>
                <w14:textFill>
                  <w14:solidFill>
                    <w14:schemeClr w14:val="tx1"/>
                  </w14:solidFill>
                </w14:textFill>
              </w:rPr>
              <w:t>管线</w:t>
            </w:r>
          </w:p>
        </w:tc>
        <w:tc>
          <w:tcPr>
            <w:tcW w:w="3863" w:type="pct"/>
            <w:vAlign w:val="center"/>
          </w:tcPr>
          <w:p w14:paraId="70D260DA">
            <w:pPr>
              <w:pStyle w:val="278"/>
              <w:adjustRightInd w:val="0"/>
              <w:snapToGrid w:val="0"/>
              <w:spacing w:line="300" w:lineRule="exact"/>
              <w:jc w:val="left"/>
              <w:rPr>
                <w:rFonts w:hint="eastAsia"/>
                <w:color w:val="000000" w:themeColor="text1"/>
                <w:lang w:bidi="ar"/>
                <w14:textFill>
                  <w14:solidFill>
                    <w14:schemeClr w14:val="tx1"/>
                  </w14:solidFill>
                </w14:textFill>
              </w:rPr>
            </w:pPr>
            <w:r>
              <w:rPr>
                <w:rFonts w:hint="eastAsia"/>
                <w:color w:val="000000" w:themeColor="text1"/>
                <w:lang w:bidi="ar"/>
                <w14:textFill>
                  <w14:solidFill>
                    <w14:schemeClr w14:val="tx1"/>
                  </w14:solidFill>
                </w14:textFill>
              </w:rPr>
              <w:t>单井采油管线、集油干线、注气管线和转液管线边界两侧向外延伸2</w:t>
            </w:r>
            <w:r>
              <w:rPr>
                <w:color w:val="000000" w:themeColor="text1"/>
                <w:lang w:bidi="ar"/>
                <w14:textFill>
                  <w14:solidFill>
                    <w14:schemeClr w14:val="tx1"/>
                  </w14:solidFill>
                </w14:textFill>
              </w:rPr>
              <w:t>00m</w:t>
            </w:r>
            <w:r>
              <w:rPr>
                <w:rFonts w:hint="eastAsia"/>
                <w:color w:val="000000" w:themeColor="text1"/>
                <w:lang w:bidi="ar"/>
                <w14:textFill>
                  <w14:solidFill>
                    <w14:schemeClr w14:val="tx1"/>
                  </w14:solidFill>
                </w14:textFill>
              </w:rPr>
              <w:t>范围。</w:t>
            </w:r>
          </w:p>
        </w:tc>
      </w:tr>
      <w:tr w14:paraId="09FEC3D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37" w:type="pct"/>
            <w:gridSpan w:val="2"/>
            <w:vAlign w:val="center"/>
          </w:tcPr>
          <w:p w14:paraId="4400C965">
            <w:pPr>
              <w:pStyle w:val="278"/>
              <w:adjustRightInd w:val="0"/>
              <w:snapToGrid w:val="0"/>
              <w:spacing w:line="300" w:lineRule="exact"/>
              <w:rPr>
                <w:rFonts w:hint="eastAsia"/>
                <w:color w:val="000000" w:themeColor="text1"/>
                <w:lang w:bidi="ar"/>
                <w14:textFill>
                  <w14:solidFill>
                    <w14:schemeClr w14:val="tx1"/>
                  </w14:solidFill>
                </w14:textFill>
              </w:rPr>
            </w:pPr>
            <w:r>
              <w:rPr>
                <w:rFonts w:hint="eastAsia"/>
                <w:color w:val="000000" w:themeColor="text1"/>
                <w:lang w:bidi="ar"/>
                <w14:textFill>
                  <w14:solidFill>
                    <w14:schemeClr w14:val="tx1"/>
                  </w14:solidFill>
                </w14:textFill>
              </w:rPr>
              <w:t>生态环境</w:t>
            </w:r>
          </w:p>
        </w:tc>
        <w:tc>
          <w:tcPr>
            <w:tcW w:w="3863" w:type="pct"/>
            <w:vAlign w:val="center"/>
          </w:tcPr>
          <w:p w14:paraId="6D3AF610">
            <w:pPr>
              <w:pStyle w:val="278"/>
              <w:adjustRightInd w:val="0"/>
              <w:snapToGrid w:val="0"/>
              <w:spacing w:line="300" w:lineRule="exact"/>
              <w:jc w:val="left"/>
              <w:rPr>
                <w:rFonts w:hint="eastAsia"/>
                <w:color w:val="000000" w:themeColor="text1"/>
                <w:lang w:bidi="ar"/>
                <w14:textFill>
                  <w14:solidFill>
                    <w14:schemeClr w14:val="tx1"/>
                  </w14:solidFill>
                </w14:textFill>
              </w:rPr>
            </w:pPr>
            <w:r>
              <w:rPr>
                <w:rFonts w:hint="eastAsia"/>
                <w:color w:val="000000" w:themeColor="text1"/>
                <w:lang w:bidi="ar"/>
                <w14:textFill>
                  <w14:solidFill>
                    <w14:schemeClr w14:val="tx1"/>
                  </w14:solidFill>
                </w14:textFill>
              </w:rPr>
              <w:t>采油井场、注水井场</w:t>
            </w:r>
            <w:r>
              <w:rPr>
                <w:rFonts w:hint="eastAsia"/>
                <w:color w:val="000000" w:themeColor="text1"/>
                <w14:textFill>
                  <w14:solidFill>
                    <w14:schemeClr w14:val="tx1"/>
                  </w14:solidFill>
                </w14:textFill>
              </w:rPr>
              <w:t>、计量站</w:t>
            </w:r>
            <w:r>
              <w:rPr>
                <w:rFonts w:hint="eastAsia"/>
                <w:color w:val="000000" w:themeColor="text1"/>
                <w:lang w:bidi="ar"/>
                <w14:textFill>
                  <w14:solidFill>
                    <w14:schemeClr w14:val="tx1"/>
                  </w14:solidFill>
                </w14:textFill>
              </w:rPr>
              <w:t>、采气井场和预处理注入站厂界周围5</w:t>
            </w:r>
            <w:r>
              <w:rPr>
                <w:color w:val="000000" w:themeColor="text1"/>
                <w:lang w:bidi="ar"/>
                <w14:textFill>
                  <w14:solidFill>
                    <w14:schemeClr w14:val="tx1"/>
                  </w14:solidFill>
                </w14:textFill>
              </w:rPr>
              <w:t>0</w:t>
            </w:r>
            <w:r>
              <w:rPr>
                <w:rFonts w:hint="eastAsia"/>
                <w:color w:val="000000" w:themeColor="text1"/>
                <w:lang w:bidi="ar"/>
                <w14:textFill>
                  <w14:solidFill>
                    <w14:schemeClr w14:val="tx1"/>
                  </w14:solidFill>
                </w14:textFill>
              </w:rPr>
              <w:t>m范围内，各类管线两侧外延3</w:t>
            </w:r>
            <w:r>
              <w:rPr>
                <w:color w:val="000000" w:themeColor="text1"/>
                <w:lang w:bidi="ar"/>
                <w14:textFill>
                  <w14:solidFill>
                    <w14:schemeClr w14:val="tx1"/>
                  </w14:solidFill>
                </w14:textFill>
              </w:rPr>
              <w:t>00m</w:t>
            </w:r>
            <w:r>
              <w:rPr>
                <w:rFonts w:hint="eastAsia"/>
                <w:color w:val="000000" w:themeColor="text1"/>
                <w:lang w:bidi="ar"/>
                <w14:textFill>
                  <w14:solidFill>
                    <w14:schemeClr w14:val="tx1"/>
                  </w14:solidFill>
                </w14:textFill>
              </w:rPr>
              <w:t>。</w:t>
            </w:r>
          </w:p>
        </w:tc>
      </w:tr>
      <w:tr w14:paraId="3843F92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37" w:type="pct"/>
            <w:gridSpan w:val="2"/>
            <w:vAlign w:val="center"/>
          </w:tcPr>
          <w:p w14:paraId="0DACDF76">
            <w:pPr>
              <w:pStyle w:val="278"/>
              <w:adjustRightInd w:val="0"/>
              <w:snapToGrid w:val="0"/>
              <w:spacing w:line="300" w:lineRule="exact"/>
              <w:rPr>
                <w:rFonts w:hint="eastAsia"/>
                <w:color w:val="000000" w:themeColor="text1"/>
                <w:lang w:bidi="ar"/>
                <w14:textFill>
                  <w14:solidFill>
                    <w14:schemeClr w14:val="tx1"/>
                  </w14:solidFill>
                </w14:textFill>
              </w:rPr>
            </w:pPr>
            <w:r>
              <w:rPr>
                <w:rFonts w:hint="eastAsia"/>
                <w:color w:val="000000" w:themeColor="text1"/>
                <w:lang w:bidi="ar"/>
                <w14:textFill>
                  <w14:solidFill>
                    <w14:schemeClr w14:val="tx1"/>
                  </w14:solidFill>
                </w14:textFill>
              </w:rPr>
              <w:t>环境风险</w:t>
            </w:r>
          </w:p>
        </w:tc>
        <w:tc>
          <w:tcPr>
            <w:tcW w:w="3863" w:type="pct"/>
            <w:vAlign w:val="center"/>
          </w:tcPr>
          <w:p w14:paraId="3C05741B">
            <w:pPr>
              <w:pStyle w:val="278"/>
              <w:adjustRightInd w:val="0"/>
              <w:snapToGrid w:val="0"/>
              <w:spacing w:line="300" w:lineRule="exact"/>
              <w:jc w:val="left"/>
              <w:rPr>
                <w:rFonts w:hint="eastAsia"/>
                <w:color w:val="000000" w:themeColor="text1"/>
                <w:lang w:bidi="ar"/>
                <w14:textFill>
                  <w14:solidFill>
                    <w14:schemeClr w14:val="tx1"/>
                  </w14:solidFill>
                </w14:textFill>
              </w:rPr>
            </w:pPr>
            <w:r>
              <w:rPr>
                <w:rFonts w:hint="eastAsia"/>
                <w:color w:val="000000" w:themeColor="text1"/>
                <w:lang w:bidi="ar"/>
                <w14:textFill>
                  <w14:solidFill>
                    <w14:schemeClr w14:val="tx1"/>
                  </w14:solidFill>
                </w14:textFill>
              </w:rPr>
              <w:t>不设评价范围。</w:t>
            </w:r>
          </w:p>
        </w:tc>
      </w:tr>
      <w:bookmarkEnd w:id="131"/>
    </w:tbl>
    <w:p w14:paraId="65E5E86E">
      <w:pPr>
        <w:pStyle w:val="2"/>
        <w:rPr>
          <w:rFonts w:hint="eastAsia"/>
          <w:color w:val="000000" w:themeColor="text1"/>
          <w:lang w:val="zh-CN"/>
          <w14:textFill>
            <w14:solidFill>
              <w14:schemeClr w14:val="tx1"/>
            </w14:solidFill>
          </w14:textFill>
        </w:rPr>
      </w:pPr>
      <w:bookmarkStart w:id="134" w:name="_Toc216260238"/>
      <w:bookmarkStart w:id="135" w:name="OLE_LINK207"/>
      <w:bookmarkStart w:id="136" w:name="OLE_LINK97"/>
      <w:r>
        <w:rPr>
          <w:rFonts w:hint="eastAsia"/>
          <w:color w:val="000000" w:themeColor="text1"/>
          <w:lang w:val="zh-CN"/>
          <w14:textFill>
            <w14:solidFill>
              <w14:schemeClr w14:val="tx1"/>
            </w14:solidFill>
          </w14:textFill>
        </w:rPr>
        <w:t>环境保护目标</w:t>
      </w:r>
      <w:bookmarkEnd w:id="134"/>
    </w:p>
    <w:bookmarkEnd w:id="135"/>
    <w:p w14:paraId="4012C237">
      <w:pPr>
        <w:pStyle w:val="117"/>
        <w:ind w:firstLine="480"/>
        <w:rPr>
          <w:rFonts w:hint="eastAsia"/>
          <w:color w:val="000000" w:themeColor="text1"/>
          <w:spacing w:val="-6"/>
          <w14:textFill>
            <w14:solidFill>
              <w14:schemeClr w14:val="tx1"/>
            </w14:solidFill>
          </w14:textFill>
        </w:rPr>
      </w:pPr>
      <w:bookmarkStart w:id="137" w:name="_Hlk173402854"/>
      <w:r>
        <w:rPr>
          <w:rFonts w:hint="eastAsia" w:cs="宋体"/>
          <w:color w:val="000000" w:themeColor="text1"/>
          <w:lang w:bidi="ar"/>
          <w14:textFill>
            <w14:solidFill>
              <w14:schemeClr w14:val="tx1"/>
            </w14:solidFill>
          </w14:textFill>
        </w:rPr>
        <w:t>运营期废水全部送至压裂返排液处理系统处理，处理达标后用于压裂液复配，不外排，与下新湖水库不发生水力联系；</w:t>
      </w:r>
      <w:r>
        <w:rPr>
          <w:rFonts w:hint="eastAsia"/>
          <w:color w:val="000000" w:themeColor="text1"/>
          <w:lang w:val="zh-CN"/>
          <w14:textFill>
            <w14:solidFill>
              <w14:schemeClr w14:val="tx1"/>
            </w14:solidFill>
          </w14:textFill>
        </w:rPr>
        <w:t>根据现场调查，评价范围内无</w:t>
      </w:r>
      <w:r>
        <w:rPr>
          <w:rFonts w:hint="eastAsia"/>
          <w:color w:val="000000" w:themeColor="text1"/>
          <w14:textFill>
            <w14:solidFill>
              <w14:schemeClr w14:val="tx1"/>
            </w14:solidFill>
          </w14:textFill>
        </w:rPr>
        <w:t>自然保护区、风景名胜区、世界文化和自然遗产、</w:t>
      </w:r>
      <w:bookmarkEnd w:id="137"/>
      <w:bookmarkStart w:id="138" w:name="OLE_LINK131"/>
      <w:r>
        <w:rPr>
          <w:rFonts w:hint="eastAsia"/>
          <w:color w:val="000000" w:themeColor="text1"/>
          <w:spacing w:val="-6"/>
          <w14:textFill>
            <w14:solidFill>
              <w14:schemeClr w14:val="tx1"/>
            </w14:solidFill>
          </w14:textFill>
        </w:rPr>
        <w:t>海洋特别保护区、饮用水水源保护区，无基本草原、自然公园、重要湿地、天然林，重点保护野生动物栖息地，重点保护野生植物生长繁殖地；土壤评价范围内的一般耕地（农作物为南瓜、玉米和苜蓿）和天然牧草地，大气评价范围内的环境保护目标见表2.7-1和图2.7-1，其余各环境要素保护级别见表2.7-2</w:t>
      </w:r>
      <w:r>
        <w:rPr>
          <w:color w:val="000000" w:themeColor="text1"/>
          <w:spacing w:val="-6"/>
          <w14:textFill>
            <w14:solidFill>
              <w14:schemeClr w14:val="tx1"/>
            </w14:solidFill>
          </w14:textFill>
        </w:rPr>
        <w:t>。</w:t>
      </w:r>
    </w:p>
    <w:bookmarkEnd w:id="136"/>
    <w:p w14:paraId="2AB1944B">
      <w:pPr>
        <w:adjustRightInd w:val="0"/>
        <w:snapToGrid w:val="0"/>
        <w:spacing w:line="500" w:lineRule="exact"/>
        <w:ind w:firstLine="200"/>
        <w:jc w:val="center"/>
        <w:textAlignment w:val="baseline"/>
        <w:rPr>
          <w:rFonts w:hint="eastAsia" w:ascii="黑体" w:hAnsi="黑体" w:eastAsia="黑体"/>
          <w:color w:val="000000" w:themeColor="text1"/>
          <w:kern w:val="0"/>
          <w:szCs w:val="21"/>
          <w14:textFill>
            <w14:solidFill>
              <w14:schemeClr w14:val="tx1"/>
            </w14:solidFill>
          </w14:textFill>
        </w:rPr>
      </w:pPr>
      <w:bookmarkStart w:id="139" w:name="OLE_LINK211"/>
      <w:r>
        <w:rPr>
          <w:rFonts w:hint="eastAsia" w:ascii="黑体" w:hAnsi="黑体" w:eastAsia="黑体"/>
          <w:color w:val="000000" w:themeColor="text1"/>
          <w:kern w:val="0"/>
          <w:szCs w:val="21"/>
          <w14:textFill>
            <w14:solidFill>
              <w14:schemeClr w14:val="tx1"/>
            </w14:solidFill>
          </w14:textFill>
        </w:rPr>
        <w:t>2.7</w:t>
      </w:r>
      <w:r>
        <w:rPr>
          <w:rFonts w:ascii="黑体" w:hAnsi="黑体" w:eastAsia="黑体"/>
          <w:color w:val="000000" w:themeColor="text1"/>
          <w:kern w:val="0"/>
          <w:szCs w:val="21"/>
          <w14:textFill>
            <w14:solidFill>
              <w14:schemeClr w14:val="tx1"/>
            </w14:solidFill>
          </w14:textFill>
        </w:rPr>
        <w:t xml:space="preserve">-1  </w:t>
      </w:r>
      <w:r>
        <w:rPr>
          <w:rFonts w:hint="eastAsia" w:ascii="黑体" w:hAnsi="黑体" w:eastAsia="黑体"/>
          <w:color w:val="000000" w:themeColor="text1"/>
          <w:kern w:val="0"/>
          <w:szCs w:val="21"/>
          <w14:textFill>
            <w14:solidFill>
              <w14:schemeClr w14:val="tx1"/>
            </w14:solidFill>
          </w14:textFill>
        </w:rPr>
        <w:t>大气</w:t>
      </w:r>
      <w:r>
        <w:rPr>
          <w:rFonts w:ascii="黑体" w:hAnsi="黑体" w:eastAsia="黑体"/>
          <w:color w:val="000000" w:themeColor="text1"/>
          <w:kern w:val="0"/>
          <w:szCs w:val="21"/>
          <w14:textFill>
            <w14:solidFill>
              <w14:schemeClr w14:val="tx1"/>
            </w14:solidFill>
          </w14:textFill>
        </w:rPr>
        <w:t>环境保护目标</w:t>
      </w:r>
    </w:p>
    <w:tbl>
      <w:tblPr>
        <w:tblStyle w:val="51"/>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0" w:type="dxa"/>
          <w:bottom w:w="0" w:type="dxa"/>
          <w:right w:w="0" w:type="dxa"/>
        </w:tblCellMar>
      </w:tblPr>
      <w:tblGrid>
        <w:gridCol w:w="1559"/>
        <w:gridCol w:w="1844"/>
        <w:gridCol w:w="850"/>
        <w:gridCol w:w="1844"/>
        <w:gridCol w:w="2633"/>
      </w:tblGrid>
      <w:tr w14:paraId="1C044B4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cantSplit/>
          <w:trHeight w:val="284" w:hRule="atLeast"/>
          <w:jc w:val="center"/>
        </w:trPr>
        <w:tc>
          <w:tcPr>
            <w:tcW w:w="893" w:type="pct"/>
            <w:vAlign w:val="center"/>
          </w:tcPr>
          <w:p w14:paraId="7992D2B1">
            <w:pPr>
              <w:overflowPunct w:val="0"/>
              <w:adjustRightInd w:val="0"/>
              <w:snapToGrid w:val="0"/>
              <w:spacing w:line="300" w:lineRule="exact"/>
              <w:jc w:val="center"/>
              <w:rPr>
                <w:rFonts w:hint="eastAsia" w:ascii="宋体" w:hAnsi="宋体"/>
                <w:bCs/>
                <w:snapToGrid w:val="0"/>
                <w:color w:val="000000" w:themeColor="text1"/>
                <w:kern w:val="0"/>
                <w:szCs w:val="21"/>
                <w14:textFill>
                  <w14:solidFill>
                    <w14:schemeClr w14:val="tx1"/>
                  </w14:solidFill>
                </w14:textFill>
              </w:rPr>
            </w:pPr>
            <w:r>
              <w:rPr>
                <w:rFonts w:hint="eastAsia" w:ascii="宋体" w:hAnsi="宋体"/>
                <w:bCs/>
                <w:snapToGrid w:val="0"/>
                <w:color w:val="000000" w:themeColor="text1"/>
                <w:kern w:val="0"/>
                <w:szCs w:val="21"/>
                <w14:textFill>
                  <w14:solidFill>
                    <w14:schemeClr w14:val="tx1"/>
                  </w14:solidFill>
                </w14:textFill>
              </w:rPr>
              <w:t>名称</w:t>
            </w:r>
          </w:p>
        </w:tc>
        <w:tc>
          <w:tcPr>
            <w:tcW w:w="1056" w:type="pct"/>
            <w:vAlign w:val="center"/>
          </w:tcPr>
          <w:p w14:paraId="10A9BB27">
            <w:pPr>
              <w:overflowPunct w:val="0"/>
              <w:adjustRightInd w:val="0"/>
              <w:snapToGrid w:val="0"/>
              <w:spacing w:line="300" w:lineRule="exact"/>
              <w:jc w:val="center"/>
              <w:rPr>
                <w:rFonts w:hint="eastAsia" w:ascii="宋体" w:hAnsi="宋体"/>
                <w:bCs/>
                <w:snapToGrid w:val="0"/>
                <w:color w:val="000000" w:themeColor="text1"/>
                <w:kern w:val="0"/>
                <w:szCs w:val="21"/>
                <w14:textFill>
                  <w14:solidFill>
                    <w14:schemeClr w14:val="tx1"/>
                  </w14:solidFill>
                </w14:textFill>
              </w:rPr>
            </w:pPr>
            <w:r>
              <w:rPr>
                <w:rFonts w:hint="eastAsia" w:ascii="宋体" w:hAnsi="宋体"/>
                <w:bCs/>
                <w:snapToGrid w:val="0"/>
                <w:color w:val="000000" w:themeColor="text1"/>
                <w:kern w:val="0"/>
                <w:szCs w:val="21"/>
                <w14:textFill>
                  <w14:solidFill>
                    <w14:schemeClr w14:val="tx1"/>
                  </w14:solidFill>
                </w14:textFill>
              </w:rPr>
              <w:t>坐标</w:t>
            </w:r>
          </w:p>
        </w:tc>
        <w:tc>
          <w:tcPr>
            <w:tcW w:w="487" w:type="pct"/>
            <w:vAlign w:val="center"/>
          </w:tcPr>
          <w:p w14:paraId="5A7D7B8B">
            <w:pPr>
              <w:overflowPunct w:val="0"/>
              <w:adjustRightInd w:val="0"/>
              <w:snapToGrid w:val="0"/>
              <w:spacing w:line="300" w:lineRule="exact"/>
              <w:jc w:val="center"/>
              <w:rPr>
                <w:rFonts w:hint="eastAsia" w:ascii="宋体" w:hAnsi="宋体"/>
                <w:bCs/>
                <w:snapToGrid w:val="0"/>
                <w:color w:val="000000" w:themeColor="text1"/>
                <w:kern w:val="0"/>
                <w:szCs w:val="21"/>
                <w14:textFill>
                  <w14:solidFill>
                    <w14:schemeClr w14:val="tx1"/>
                  </w14:solidFill>
                </w14:textFill>
              </w:rPr>
            </w:pPr>
            <w:r>
              <w:rPr>
                <w:rFonts w:hint="eastAsia" w:ascii="宋体" w:hAnsi="宋体"/>
                <w:bCs/>
                <w:snapToGrid w:val="0"/>
                <w:color w:val="000000" w:themeColor="text1"/>
                <w:kern w:val="0"/>
                <w:szCs w:val="21"/>
                <w14:textFill>
                  <w14:solidFill>
                    <w14:schemeClr w14:val="tx1"/>
                  </w14:solidFill>
                </w14:textFill>
              </w:rPr>
              <w:t>保护对象</w:t>
            </w:r>
          </w:p>
        </w:tc>
        <w:tc>
          <w:tcPr>
            <w:tcW w:w="1056" w:type="pct"/>
            <w:vAlign w:val="center"/>
          </w:tcPr>
          <w:p w14:paraId="1AF95C10">
            <w:pPr>
              <w:overflowPunct w:val="0"/>
              <w:adjustRightInd w:val="0"/>
              <w:snapToGrid w:val="0"/>
              <w:spacing w:line="300" w:lineRule="exact"/>
              <w:jc w:val="center"/>
              <w:rPr>
                <w:rFonts w:hint="eastAsia" w:ascii="宋体" w:hAnsi="宋体"/>
                <w:bCs/>
                <w:snapToGrid w:val="0"/>
                <w:color w:val="000000" w:themeColor="text1"/>
                <w:kern w:val="0"/>
                <w:szCs w:val="21"/>
                <w14:textFill>
                  <w14:solidFill>
                    <w14:schemeClr w14:val="tx1"/>
                  </w14:solidFill>
                </w14:textFill>
              </w:rPr>
            </w:pPr>
            <w:r>
              <w:rPr>
                <w:rFonts w:hint="eastAsia" w:ascii="宋体" w:hAnsi="宋体"/>
                <w:bCs/>
                <w:snapToGrid w:val="0"/>
                <w:color w:val="000000" w:themeColor="text1"/>
                <w:kern w:val="0"/>
                <w:szCs w:val="21"/>
                <w14:textFill>
                  <w14:solidFill>
                    <w14:schemeClr w14:val="tx1"/>
                  </w14:solidFill>
                </w14:textFill>
              </w:rPr>
              <w:t>环境功能区</w:t>
            </w:r>
          </w:p>
        </w:tc>
        <w:tc>
          <w:tcPr>
            <w:tcW w:w="1509" w:type="pct"/>
            <w:vAlign w:val="center"/>
          </w:tcPr>
          <w:p w14:paraId="6B4DA01C">
            <w:pPr>
              <w:overflowPunct w:val="0"/>
              <w:adjustRightInd w:val="0"/>
              <w:snapToGrid w:val="0"/>
              <w:spacing w:line="300" w:lineRule="exact"/>
              <w:jc w:val="center"/>
              <w:rPr>
                <w:rFonts w:hint="eastAsia" w:ascii="宋体" w:hAnsi="宋体"/>
                <w:bCs/>
                <w:snapToGrid w:val="0"/>
                <w:color w:val="000000" w:themeColor="text1"/>
                <w:kern w:val="0"/>
                <w:szCs w:val="21"/>
                <w14:textFill>
                  <w14:solidFill>
                    <w14:schemeClr w14:val="tx1"/>
                  </w14:solidFill>
                </w14:textFill>
              </w:rPr>
            </w:pPr>
            <w:r>
              <w:rPr>
                <w:rFonts w:hint="eastAsia" w:ascii="宋体" w:hAnsi="宋体"/>
                <w:bCs/>
                <w:snapToGrid w:val="0"/>
                <w:color w:val="000000" w:themeColor="text1"/>
                <w:kern w:val="0"/>
                <w:szCs w:val="21"/>
                <w14:textFill>
                  <w14:solidFill>
                    <w14:schemeClr w14:val="tx1"/>
                  </w14:solidFill>
                </w14:textFill>
              </w:rPr>
              <w:t>相对厂址方位及距离</w:t>
            </w:r>
          </w:p>
        </w:tc>
      </w:tr>
      <w:tr w14:paraId="7F3BAF1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cantSplit/>
          <w:trHeight w:val="284" w:hRule="atLeast"/>
          <w:jc w:val="center"/>
        </w:trPr>
        <w:tc>
          <w:tcPr>
            <w:tcW w:w="893" w:type="pct"/>
            <w:vAlign w:val="center"/>
          </w:tcPr>
          <w:p w14:paraId="6BC7EAD5">
            <w:pPr>
              <w:overflowPunct w:val="0"/>
              <w:adjustRightInd w:val="0"/>
              <w:snapToGrid w:val="0"/>
              <w:spacing w:line="300" w:lineRule="exact"/>
              <w:jc w:val="center"/>
              <w:rPr>
                <w:rFonts w:hint="eastAsia" w:ascii="宋体" w:hAnsi="宋体"/>
                <w:bCs/>
                <w:snapToGrid w:val="0"/>
                <w:color w:val="000000" w:themeColor="text1"/>
                <w:kern w:val="0"/>
                <w:szCs w:val="21"/>
                <w14:textFill>
                  <w14:solidFill>
                    <w14:schemeClr w14:val="tx1"/>
                  </w14:solidFill>
                </w14:textFill>
              </w:rPr>
            </w:pPr>
            <w:r>
              <w:rPr>
                <w:rFonts w:hint="eastAsia" w:ascii="宋体" w:hAnsi="宋体"/>
                <w:color w:val="000000" w:themeColor="text1"/>
                <w14:textFill>
                  <w14:solidFill>
                    <w14:schemeClr w14:val="tx1"/>
                  </w14:solidFill>
                </w14:textFill>
              </w:rPr>
              <w:t>张家庄子村</w:t>
            </w:r>
          </w:p>
        </w:tc>
        <w:tc>
          <w:tcPr>
            <w:tcW w:w="1056" w:type="pct"/>
            <w:vAlign w:val="center"/>
          </w:tcPr>
          <w:p w14:paraId="6F88CEA2">
            <w:pPr>
              <w:overflowPunct w:val="0"/>
              <w:adjustRightInd w:val="0"/>
              <w:snapToGrid w:val="0"/>
              <w:spacing w:line="300" w:lineRule="exact"/>
              <w:jc w:val="center"/>
              <w:rPr>
                <w:rFonts w:hint="eastAsia" w:ascii="宋体" w:hAnsi="宋体"/>
                <w:bCs/>
                <w:snapToGrid w:val="0"/>
                <w:color w:val="000000" w:themeColor="text1"/>
                <w:kern w:val="0"/>
                <w:szCs w:val="21"/>
                <w14:textFill>
                  <w14:solidFill>
                    <w14:schemeClr w14:val="tx1"/>
                  </w14:solidFill>
                </w14:textFill>
              </w:rPr>
            </w:pPr>
          </w:p>
        </w:tc>
        <w:tc>
          <w:tcPr>
            <w:tcW w:w="487" w:type="pct"/>
            <w:vAlign w:val="center"/>
          </w:tcPr>
          <w:p w14:paraId="6E6C145C">
            <w:pPr>
              <w:overflowPunct w:val="0"/>
              <w:adjustRightInd w:val="0"/>
              <w:snapToGrid w:val="0"/>
              <w:spacing w:line="300" w:lineRule="exact"/>
              <w:jc w:val="center"/>
              <w:rPr>
                <w:rFonts w:hint="eastAsia" w:ascii="宋体" w:hAnsi="宋体"/>
                <w:bCs/>
                <w:snapToGrid w:val="0"/>
                <w:color w:val="000000" w:themeColor="text1"/>
                <w:kern w:val="0"/>
                <w:szCs w:val="21"/>
                <w14:textFill>
                  <w14:solidFill>
                    <w14:schemeClr w14:val="tx1"/>
                  </w14:solidFill>
                </w14:textFill>
              </w:rPr>
            </w:pPr>
            <w:r>
              <w:rPr>
                <w:rFonts w:hint="eastAsia" w:ascii="宋体" w:hAnsi="宋体"/>
                <w:bCs/>
                <w:snapToGrid w:val="0"/>
                <w:color w:val="000000" w:themeColor="text1"/>
                <w:kern w:val="0"/>
                <w:szCs w:val="21"/>
                <w14:textFill>
                  <w14:solidFill>
                    <w14:schemeClr w14:val="tx1"/>
                  </w14:solidFill>
                </w14:textFill>
              </w:rPr>
              <w:t>居民</w:t>
            </w:r>
          </w:p>
        </w:tc>
        <w:tc>
          <w:tcPr>
            <w:tcW w:w="1056" w:type="pct"/>
            <w:vAlign w:val="center"/>
          </w:tcPr>
          <w:p w14:paraId="435602D6">
            <w:pPr>
              <w:overflowPunct w:val="0"/>
              <w:adjustRightInd w:val="0"/>
              <w:snapToGrid w:val="0"/>
              <w:spacing w:line="300" w:lineRule="exact"/>
              <w:jc w:val="center"/>
              <w:rPr>
                <w:rFonts w:hint="eastAsia" w:ascii="宋体" w:hAnsi="宋体"/>
                <w:bCs/>
                <w:snapToGrid w:val="0"/>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环境空气二类区</w:t>
            </w:r>
          </w:p>
        </w:tc>
        <w:tc>
          <w:tcPr>
            <w:tcW w:w="1509" w:type="pct"/>
            <w:vAlign w:val="center"/>
          </w:tcPr>
          <w:p w14:paraId="55B7977E">
            <w:pPr>
              <w:overflowPunct w:val="0"/>
              <w:adjustRightInd w:val="0"/>
              <w:snapToGrid w:val="0"/>
              <w:spacing w:line="300" w:lineRule="exact"/>
              <w:jc w:val="center"/>
              <w:rPr>
                <w:rFonts w:hint="eastAsia" w:ascii="宋体" w:hAnsi="宋体"/>
                <w:bCs/>
                <w:snapToGrid w:val="0"/>
                <w:color w:val="000000" w:themeColor="text1"/>
                <w:kern w:val="0"/>
                <w:szCs w:val="21"/>
                <w14:textFill>
                  <w14:solidFill>
                    <w14:schemeClr w14:val="tx1"/>
                  </w14:solidFill>
                </w14:textFill>
              </w:rPr>
            </w:pPr>
            <w:r>
              <w:rPr>
                <w:rFonts w:hint="eastAsia" w:ascii="宋体" w:hAnsi="宋体"/>
                <w:bCs/>
                <w:snapToGrid w:val="0"/>
                <w:color w:val="000000" w:themeColor="text1"/>
                <w:kern w:val="0"/>
                <w:szCs w:val="21"/>
                <w14:textFill>
                  <w14:solidFill>
                    <w14:schemeClr w14:val="tx1"/>
                  </w14:solidFill>
                </w14:textFill>
              </w:rPr>
              <w:t>J10002_H井东南方向2.2km</w:t>
            </w:r>
          </w:p>
        </w:tc>
      </w:tr>
      <w:tr w14:paraId="4A3A200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cantSplit/>
          <w:trHeight w:val="284" w:hRule="atLeast"/>
          <w:jc w:val="center"/>
        </w:trPr>
        <w:tc>
          <w:tcPr>
            <w:tcW w:w="893" w:type="pct"/>
            <w:vAlign w:val="center"/>
          </w:tcPr>
          <w:p w14:paraId="2FB9CC6B">
            <w:pPr>
              <w:overflowPunct w:val="0"/>
              <w:adjustRightInd w:val="0"/>
              <w:snapToGrid w:val="0"/>
              <w:spacing w:line="300" w:lineRule="exact"/>
              <w:jc w:val="center"/>
              <w:rPr>
                <w:rFonts w:hint="eastAsia"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四分场一小队</w:t>
            </w:r>
          </w:p>
        </w:tc>
        <w:tc>
          <w:tcPr>
            <w:tcW w:w="1056" w:type="pct"/>
            <w:vAlign w:val="center"/>
          </w:tcPr>
          <w:p w14:paraId="15E626D8">
            <w:pPr>
              <w:overflowPunct w:val="0"/>
              <w:adjustRightInd w:val="0"/>
              <w:snapToGrid w:val="0"/>
              <w:spacing w:line="300" w:lineRule="exact"/>
              <w:jc w:val="center"/>
              <w:rPr>
                <w:rFonts w:hint="eastAsia" w:ascii="宋体" w:hAnsi="宋体"/>
                <w:color w:val="000000" w:themeColor="text1"/>
                <w:kern w:val="0"/>
                <w:szCs w:val="21"/>
                <w14:textFill>
                  <w14:solidFill>
                    <w14:schemeClr w14:val="tx1"/>
                  </w14:solidFill>
                </w14:textFill>
              </w:rPr>
            </w:pPr>
          </w:p>
        </w:tc>
        <w:tc>
          <w:tcPr>
            <w:tcW w:w="487" w:type="pct"/>
            <w:vAlign w:val="center"/>
          </w:tcPr>
          <w:p w14:paraId="396CF36D">
            <w:pPr>
              <w:overflowPunct w:val="0"/>
              <w:adjustRightInd w:val="0"/>
              <w:snapToGrid w:val="0"/>
              <w:spacing w:line="300" w:lineRule="exact"/>
              <w:jc w:val="center"/>
              <w:rPr>
                <w:rFonts w:hint="eastAsia" w:ascii="宋体" w:hAnsi="宋体"/>
                <w:bCs/>
                <w:snapToGrid w:val="0"/>
                <w:color w:val="000000" w:themeColor="text1"/>
                <w:kern w:val="0"/>
                <w:szCs w:val="21"/>
                <w14:textFill>
                  <w14:solidFill>
                    <w14:schemeClr w14:val="tx1"/>
                  </w14:solidFill>
                </w14:textFill>
              </w:rPr>
            </w:pPr>
            <w:r>
              <w:rPr>
                <w:rFonts w:hint="eastAsia" w:ascii="宋体" w:hAnsi="宋体"/>
                <w:bCs/>
                <w:snapToGrid w:val="0"/>
                <w:color w:val="000000" w:themeColor="text1"/>
                <w:kern w:val="0"/>
                <w:szCs w:val="21"/>
                <w14:textFill>
                  <w14:solidFill>
                    <w14:schemeClr w14:val="tx1"/>
                  </w14:solidFill>
                </w14:textFill>
              </w:rPr>
              <w:t>居民</w:t>
            </w:r>
          </w:p>
        </w:tc>
        <w:tc>
          <w:tcPr>
            <w:tcW w:w="1056" w:type="pct"/>
            <w:vAlign w:val="center"/>
          </w:tcPr>
          <w:p w14:paraId="23C376F7">
            <w:pPr>
              <w:overflowPunct w:val="0"/>
              <w:adjustRightInd w:val="0"/>
              <w:snapToGrid w:val="0"/>
              <w:spacing w:line="300" w:lineRule="exact"/>
              <w:jc w:val="center"/>
              <w:rPr>
                <w:rFonts w:hint="eastAsia"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环境空气二类区</w:t>
            </w:r>
          </w:p>
        </w:tc>
        <w:tc>
          <w:tcPr>
            <w:tcW w:w="1509" w:type="pct"/>
            <w:vAlign w:val="center"/>
          </w:tcPr>
          <w:p w14:paraId="1CB79775">
            <w:pPr>
              <w:overflowPunct w:val="0"/>
              <w:adjustRightInd w:val="0"/>
              <w:snapToGrid w:val="0"/>
              <w:spacing w:line="300" w:lineRule="exact"/>
              <w:jc w:val="center"/>
              <w:rPr>
                <w:rFonts w:hint="eastAsia" w:ascii="宋体" w:hAnsi="宋体"/>
                <w:bCs/>
                <w:snapToGrid w:val="0"/>
                <w:color w:val="000000" w:themeColor="text1"/>
                <w:kern w:val="0"/>
                <w:szCs w:val="21"/>
                <w14:textFill>
                  <w14:solidFill>
                    <w14:schemeClr w14:val="tx1"/>
                  </w14:solidFill>
                </w14:textFill>
              </w:rPr>
            </w:pPr>
            <w:bookmarkStart w:id="140" w:name="OLE_LINK109"/>
            <w:r>
              <w:rPr>
                <w:rFonts w:hint="eastAsia" w:ascii="宋体" w:hAnsi="宋体"/>
                <w:bCs/>
                <w:snapToGrid w:val="0"/>
                <w:color w:val="000000" w:themeColor="text1"/>
                <w:kern w:val="0"/>
                <w:szCs w:val="21"/>
                <w14:textFill>
                  <w14:solidFill>
                    <w14:schemeClr w14:val="tx1"/>
                  </w14:solidFill>
                </w14:textFill>
              </w:rPr>
              <w:t>J10002_H井西南方向2.2km</w:t>
            </w:r>
            <w:bookmarkEnd w:id="140"/>
          </w:p>
        </w:tc>
      </w:tr>
      <w:tr w14:paraId="3F61097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cantSplit/>
          <w:trHeight w:val="284" w:hRule="atLeast"/>
          <w:jc w:val="center"/>
        </w:trPr>
        <w:tc>
          <w:tcPr>
            <w:tcW w:w="893" w:type="pct"/>
            <w:vAlign w:val="center"/>
          </w:tcPr>
          <w:p w14:paraId="32EC3D35">
            <w:pPr>
              <w:overflowPunct w:val="0"/>
              <w:adjustRightInd w:val="0"/>
              <w:snapToGrid w:val="0"/>
              <w:spacing w:line="300" w:lineRule="exact"/>
              <w:jc w:val="center"/>
              <w:rPr>
                <w:rFonts w:hint="eastAsia"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六十户下村</w:t>
            </w:r>
          </w:p>
        </w:tc>
        <w:tc>
          <w:tcPr>
            <w:tcW w:w="1056" w:type="pct"/>
            <w:vAlign w:val="center"/>
          </w:tcPr>
          <w:p w14:paraId="2BF4F3B8">
            <w:pPr>
              <w:overflowPunct w:val="0"/>
              <w:adjustRightInd w:val="0"/>
              <w:snapToGrid w:val="0"/>
              <w:spacing w:line="300" w:lineRule="exact"/>
              <w:jc w:val="center"/>
              <w:rPr>
                <w:rFonts w:hint="eastAsia" w:ascii="宋体" w:hAnsi="宋体"/>
                <w:color w:val="000000" w:themeColor="text1"/>
                <w:kern w:val="0"/>
                <w:szCs w:val="21"/>
                <w14:textFill>
                  <w14:solidFill>
                    <w14:schemeClr w14:val="tx1"/>
                  </w14:solidFill>
                </w14:textFill>
              </w:rPr>
            </w:pPr>
          </w:p>
        </w:tc>
        <w:tc>
          <w:tcPr>
            <w:tcW w:w="487" w:type="pct"/>
            <w:vAlign w:val="center"/>
          </w:tcPr>
          <w:p w14:paraId="6F36AF09">
            <w:pPr>
              <w:overflowPunct w:val="0"/>
              <w:adjustRightInd w:val="0"/>
              <w:snapToGrid w:val="0"/>
              <w:spacing w:line="300" w:lineRule="exact"/>
              <w:jc w:val="center"/>
              <w:rPr>
                <w:rFonts w:hint="eastAsia" w:ascii="宋体" w:hAnsi="宋体"/>
                <w:bCs/>
                <w:snapToGrid w:val="0"/>
                <w:color w:val="000000" w:themeColor="text1"/>
                <w:kern w:val="0"/>
                <w:szCs w:val="21"/>
                <w14:textFill>
                  <w14:solidFill>
                    <w14:schemeClr w14:val="tx1"/>
                  </w14:solidFill>
                </w14:textFill>
              </w:rPr>
            </w:pPr>
            <w:r>
              <w:rPr>
                <w:rFonts w:hint="eastAsia" w:ascii="宋体" w:hAnsi="宋体"/>
                <w:bCs/>
                <w:snapToGrid w:val="0"/>
                <w:color w:val="000000" w:themeColor="text1"/>
                <w:kern w:val="0"/>
                <w:szCs w:val="21"/>
                <w14:textFill>
                  <w14:solidFill>
                    <w14:schemeClr w14:val="tx1"/>
                  </w14:solidFill>
                </w14:textFill>
              </w:rPr>
              <w:t>居民</w:t>
            </w:r>
          </w:p>
        </w:tc>
        <w:tc>
          <w:tcPr>
            <w:tcW w:w="1056" w:type="pct"/>
            <w:vAlign w:val="center"/>
          </w:tcPr>
          <w:p w14:paraId="1FE5DA44">
            <w:pPr>
              <w:overflowPunct w:val="0"/>
              <w:adjustRightInd w:val="0"/>
              <w:snapToGrid w:val="0"/>
              <w:spacing w:line="300" w:lineRule="exact"/>
              <w:jc w:val="center"/>
              <w:rPr>
                <w:rFonts w:hint="eastAsia"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环境空气二类区</w:t>
            </w:r>
          </w:p>
        </w:tc>
        <w:tc>
          <w:tcPr>
            <w:tcW w:w="1509" w:type="pct"/>
            <w:vAlign w:val="center"/>
          </w:tcPr>
          <w:p w14:paraId="4FF32F0E">
            <w:pPr>
              <w:overflowPunct w:val="0"/>
              <w:adjustRightInd w:val="0"/>
              <w:snapToGrid w:val="0"/>
              <w:spacing w:line="300" w:lineRule="exact"/>
              <w:jc w:val="center"/>
              <w:rPr>
                <w:rFonts w:hint="eastAsia" w:ascii="宋体" w:hAnsi="宋体"/>
                <w:bCs/>
                <w:snapToGrid w:val="0"/>
                <w:color w:val="000000" w:themeColor="text1"/>
                <w:kern w:val="0"/>
                <w:szCs w:val="21"/>
                <w14:textFill>
                  <w14:solidFill>
                    <w14:schemeClr w14:val="tx1"/>
                  </w14:solidFill>
                </w14:textFill>
              </w:rPr>
            </w:pPr>
            <w:r>
              <w:rPr>
                <w:rFonts w:hint="eastAsia" w:ascii="宋体" w:hAnsi="宋体"/>
                <w:bCs/>
                <w:snapToGrid w:val="0"/>
                <w:color w:val="000000" w:themeColor="text1"/>
                <w:kern w:val="0"/>
                <w:szCs w:val="21"/>
                <w14:textFill>
                  <w14:solidFill>
                    <w14:schemeClr w14:val="tx1"/>
                  </w14:solidFill>
                </w14:textFill>
              </w:rPr>
              <w:t>J10002_H井西南方向2.8km</w:t>
            </w:r>
          </w:p>
        </w:tc>
      </w:tr>
      <w:tr w14:paraId="3A13336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cantSplit/>
          <w:trHeight w:val="284" w:hRule="atLeast"/>
          <w:jc w:val="center"/>
        </w:trPr>
        <w:tc>
          <w:tcPr>
            <w:tcW w:w="893" w:type="pct"/>
            <w:vAlign w:val="center"/>
          </w:tcPr>
          <w:p w14:paraId="08B440B2">
            <w:pPr>
              <w:overflowPunct w:val="0"/>
              <w:adjustRightInd w:val="0"/>
              <w:snapToGrid w:val="0"/>
              <w:spacing w:line="300" w:lineRule="exact"/>
              <w:jc w:val="center"/>
              <w:rPr>
                <w:rFonts w:hint="eastAsia"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十二户</w:t>
            </w:r>
          </w:p>
        </w:tc>
        <w:tc>
          <w:tcPr>
            <w:tcW w:w="1056" w:type="pct"/>
            <w:vAlign w:val="center"/>
          </w:tcPr>
          <w:p w14:paraId="06229DD2">
            <w:pPr>
              <w:overflowPunct w:val="0"/>
              <w:adjustRightInd w:val="0"/>
              <w:snapToGrid w:val="0"/>
              <w:spacing w:line="300" w:lineRule="exact"/>
              <w:jc w:val="center"/>
              <w:rPr>
                <w:rFonts w:hint="eastAsia" w:ascii="宋体" w:hAnsi="宋体"/>
                <w:color w:val="000000" w:themeColor="text1"/>
                <w:kern w:val="0"/>
                <w:szCs w:val="21"/>
                <w14:textFill>
                  <w14:solidFill>
                    <w14:schemeClr w14:val="tx1"/>
                  </w14:solidFill>
                </w14:textFill>
              </w:rPr>
            </w:pPr>
          </w:p>
        </w:tc>
        <w:tc>
          <w:tcPr>
            <w:tcW w:w="487" w:type="pct"/>
            <w:vAlign w:val="center"/>
          </w:tcPr>
          <w:p w14:paraId="790D3AC2">
            <w:pPr>
              <w:overflowPunct w:val="0"/>
              <w:adjustRightInd w:val="0"/>
              <w:snapToGrid w:val="0"/>
              <w:spacing w:line="300" w:lineRule="exact"/>
              <w:jc w:val="center"/>
              <w:rPr>
                <w:rFonts w:hint="eastAsia" w:ascii="宋体" w:hAnsi="宋体"/>
                <w:bCs/>
                <w:snapToGrid w:val="0"/>
                <w:color w:val="000000" w:themeColor="text1"/>
                <w:kern w:val="0"/>
                <w:szCs w:val="21"/>
                <w14:textFill>
                  <w14:solidFill>
                    <w14:schemeClr w14:val="tx1"/>
                  </w14:solidFill>
                </w14:textFill>
              </w:rPr>
            </w:pPr>
            <w:r>
              <w:rPr>
                <w:rFonts w:hint="eastAsia" w:ascii="宋体" w:hAnsi="宋体"/>
                <w:bCs/>
                <w:snapToGrid w:val="0"/>
                <w:color w:val="000000" w:themeColor="text1"/>
                <w:kern w:val="0"/>
                <w:szCs w:val="21"/>
                <w14:textFill>
                  <w14:solidFill>
                    <w14:schemeClr w14:val="tx1"/>
                  </w14:solidFill>
                </w14:textFill>
              </w:rPr>
              <w:t>居民</w:t>
            </w:r>
          </w:p>
        </w:tc>
        <w:tc>
          <w:tcPr>
            <w:tcW w:w="1056" w:type="pct"/>
            <w:vAlign w:val="center"/>
          </w:tcPr>
          <w:p w14:paraId="0B940A88">
            <w:pPr>
              <w:overflowPunct w:val="0"/>
              <w:adjustRightInd w:val="0"/>
              <w:snapToGrid w:val="0"/>
              <w:spacing w:line="300" w:lineRule="exact"/>
              <w:jc w:val="center"/>
              <w:rPr>
                <w:rFonts w:hint="eastAsia"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环境空气二类区</w:t>
            </w:r>
          </w:p>
        </w:tc>
        <w:tc>
          <w:tcPr>
            <w:tcW w:w="1509" w:type="pct"/>
            <w:vAlign w:val="center"/>
          </w:tcPr>
          <w:p w14:paraId="4964C62B">
            <w:pPr>
              <w:overflowPunct w:val="0"/>
              <w:adjustRightInd w:val="0"/>
              <w:snapToGrid w:val="0"/>
              <w:spacing w:line="300" w:lineRule="exact"/>
              <w:jc w:val="center"/>
              <w:rPr>
                <w:rFonts w:hint="eastAsia" w:ascii="宋体" w:hAnsi="宋体"/>
                <w:bCs/>
                <w:snapToGrid w:val="0"/>
                <w:color w:val="000000" w:themeColor="text1"/>
                <w:kern w:val="0"/>
                <w:szCs w:val="21"/>
                <w14:textFill>
                  <w14:solidFill>
                    <w14:schemeClr w14:val="tx1"/>
                  </w14:solidFill>
                </w14:textFill>
              </w:rPr>
            </w:pPr>
            <w:r>
              <w:rPr>
                <w:rFonts w:hint="eastAsia" w:ascii="宋体" w:hAnsi="宋体"/>
                <w:bCs/>
                <w:snapToGrid w:val="0"/>
                <w:color w:val="000000" w:themeColor="text1"/>
                <w:kern w:val="0"/>
                <w:szCs w:val="21"/>
                <w14:textFill>
                  <w14:solidFill>
                    <w14:schemeClr w14:val="tx1"/>
                  </w14:solidFill>
                </w14:textFill>
              </w:rPr>
              <w:t>J10002_H井西南方向2.1km</w:t>
            </w:r>
          </w:p>
        </w:tc>
      </w:tr>
      <w:tr w14:paraId="6720B84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cantSplit/>
          <w:trHeight w:val="284" w:hRule="atLeast"/>
          <w:jc w:val="center"/>
        </w:trPr>
        <w:tc>
          <w:tcPr>
            <w:tcW w:w="893" w:type="pct"/>
            <w:vAlign w:val="center"/>
          </w:tcPr>
          <w:p w14:paraId="0DA76005">
            <w:pPr>
              <w:overflowPunct w:val="0"/>
              <w:adjustRightInd w:val="0"/>
              <w:snapToGrid w:val="0"/>
              <w:spacing w:line="300" w:lineRule="exact"/>
              <w:jc w:val="center"/>
              <w:rPr>
                <w:rFonts w:hint="eastAsia"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四分场二小队</w:t>
            </w:r>
          </w:p>
        </w:tc>
        <w:tc>
          <w:tcPr>
            <w:tcW w:w="1056" w:type="pct"/>
            <w:vAlign w:val="center"/>
          </w:tcPr>
          <w:p w14:paraId="691B4760">
            <w:pPr>
              <w:overflowPunct w:val="0"/>
              <w:adjustRightInd w:val="0"/>
              <w:snapToGrid w:val="0"/>
              <w:spacing w:line="300" w:lineRule="exact"/>
              <w:jc w:val="center"/>
              <w:rPr>
                <w:rFonts w:hint="eastAsia" w:ascii="宋体" w:hAnsi="宋体"/>
                <w:color w:val="000000" w:themeColor="text1"/>
                <w:kern w:val="0"/>
                <w:szCs w:val="21"/>
                <w14:textFill>
                  <w14:solidFill>
                    <w14:schemeClr w14:val="tx1"/>
                  </w14:solidFill>
                </w14:textFill>
              </w:rPr>
            </w:pPr>
          </w:p>
        </w:tc>
        <w:tc>
          <w:tcPr>
            <w:tcW w:w="487" w:type="pct"/>
            <w:vAlign w:val="center"/>
          </w:tcPr>
          <w:p w14:paraId="568E2A7B">
            <w:pPr>
              <w:overflowPunct w:val="0"/>
              <w:adjustRightInd w:val="0"/>
              <w:snapToGrid w:val="0"/>
              <w:spacing w:line="300" w:lineRule="exact"/>
              <w:jc w:val="center"/>
              <w:rPr>
                <w:rFonts w:hint="eastAsia" w:ascii="宋体" w:hAnsi="宋体"/>
                <w:bCs/>
                <w:snapToGrid w:val="0"/>
                <w:color w:val="000000" w:themeColor="text1"/>
                <w:kern w:val="0"/>
                <w:szCs w:val="21"/>
                <w14:textFill>
                  <w14:solidFill>
                    <w14:schemeClr w14:val="tx1"/>
                  </w14:solidFill>
                </w14:textFill>
              </w:rPr>
            </w:pPr>
            <w:r>
              <w:rPr>
                <w:rFonts w:hint="eastAsia" w:ascii="宋体" w:hAnsi="宋体"/>
                <w:bCs/>
                <w:snapToGrid w:val="0"/>
                <w:color w:val="000000" w:themeColor="text1"/>
                <w:kern w:val="0"/>
                <w:szCs w:val="21"/>
                <w14:textFill>
                  <w14:solidFill>
                    <w14:schemeClr w14:val="tx1"/>
                  </w14:solidFill>
                </w14:textFill>
              </w:rPr>
              <w:t>居民</w:t>
            </w:r>
          </w:p>
        </w:tc>
        <w:tc>
          <w:tcPr>
            <w:tcW w:w="1056" w:type="pct"/>
            <w:vAlign w:val="center"/>
          </w:tcPr>
          <w:p w14:paraId="27008D26">
            <w:pPr>
              <w:overflowPunct w:val="0"/>
              <w:adjustRightInd w:val="0"/>
              <w:snapToGrid w:val="0"/>
              <w:spacing w:line="300" w:lineRule="exact"/>
              <w:jc w:val="center"/>
              <w:rPr>
                <w:rFonts w:hint="eastAsia"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环境空气二类区</w:t>
            </w:r>
          </w:p>
        </w:tc>
        <w:tc>
          <w:tcPr>
            <w:tcW w:w="1509" w:type="pct"/>
            <w:vAlign w:val="center"/>
          </w:tcPr>
          <w:p w14:paraId="5B33A3D3">
            <w:pPr>
              <w:overflowPunct w:val="0"/>
              <w:adjustRightInd w:val="0"/>
              <w:snapToGrid w:val="0"/>
              <w:spacing w:line="300" w:lineRule="exact"/>
              <w:jc w:val="center"/>
              <w:rPr>
                <w:rFonts w:hint="eastAsia" w:ascii="宋体" w:hAnsi="宋体"/>
                <w:bCs/>
                <w:snapToGrid w:val="0"/>
                <w:color w:val="000000" w:themeColor="text1"/>
                <w:kern w:val="0"/>
                <w:szCs w:val="21"/>
                <w14:textFill>
                  <w14:solidFill>
                    <w14:schemeClr w14:val="tx1"/>
                  </w14:solidFill>
                </w14:textFill>
              </w:rPr>
            </w:pPr>
            <w:r>
              <w:rPr>
                <w:rFonts w:hint="eastAsia" w:ascii="宋体" w:hAnsi="宋体"/>
                <w:bCs/>
                <w:snapToGrid w:val="0"/>
                <w:color w:val="000000" w:themeColor="text1"/>
                <w:kern w:val="0"/>
                <w:szCs w:val="21"/>
                <w14:textFill>
                  <w14:solidFill>
                    <w14:schemeClr w14:val="tx1"/>
                  </w14:solidFill>
                </w14:textFill>
              </w:rPr>
              <w:t>J10002_H井西南方向1.8km</w:t>
            </w:r>
          </w:p>
        </w:tc>
      </w:tr>
      <w:tr w14:paraId="282ABDD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cantSplit/>
          <w:trHeight w:val="284" w:hRule="atLeast"/>
          <w:jc w:val="center"/>
        </w:trPr>
        <w:tc>
          <w:tcPr>
            <w:tcW w:w="893" w:type="pct"/>
            <w:vAlign w:val="center"/>
          </w:tcPr>
          <w:p w14:paraId="6D499750">
            <w:pPr>
              <w:overflowPunct w:val="0"/>
              <w:adjustRightInd w:val="0"/>
              <w:snapToGrid w:val="0"/>
              <w:spacing w:line="300" w:lineRule="exact"/>
              <w:jc w:val="center"/>
              <w:rPr>
                <w:rFonts w:hint="eastAsia"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农九连</w:t>
            </w:r>
          </w:p>
        </w:tc>
        <w:tc>
          <w:tcPr>
            <w:tcW w:w="1056" w:type="pct"/>
            <w:vAlign w:val="center"/>
          </w:tcPr>
          <w:p w14:paraId="3B3EC203">
            <w:pPr>
              <w:overflowPunct w:val="0"/>
              <w:adjustRightInd w:val="0"/>
              <w:snapToGrid w:val="0"/>
              <w:spacing w:line="300" w:lineRule="exact"/>
              <w:jc w:val="center"/>
              <w:rPr>
                <w:rFonts w:hint="eastAsia" w:ascii="宋体" w:hAnsi="宋体"/>
                <w:color w:val="000000" w:themeColor="text1"/>
                <w:kern w:val="0"/>
                <w:szCs w:val="21"/>
                <w14:textFill>
                  <w14:solidFill>
                    <w14:schemeClr w14:val="tx1"/>
                  </w14:solidFill>
                </w14:textFill>
              </w:rPr>
            </w:pPr>
          </w:p>
        </w:tc>
        <w:tc>
          <w:tcPr>
            <w:tcW w:w="487" w:type="pct"/>
            <w:vAlign w:val="center"/>
          </w:tcPr>
          <w:p w14:paraId="71A5C0EF">
            <w:pPr>
              <w:overflowPunct w:val="0"/>
              <w:adjustRightInd w:val="0"/>
              <w:snapToGrid w:val="0"/>
              <w:spacing w:line="300" w:lineRule="exact"/>
              <w:jc w:val="center"/>
              <w:rPr>
                <w:rFonts w:hint="eastAsia" w:ascii="宋体" w:hAnsi="宋体"/>
                <w:bCs/>
                <w:snapToGrid w:val="0"/>
                <w:color w:val="000000" w:themeColor="text1"/>
                <w:kern w:val="0"/>
                <w:szCs w:val="21"/>
                <w14:textFill>
                  <w14:solidFill>
                    <w14:schemeClr w14:val="tx1"/>
                  </w14:solidFill>
                </w14:textFill>
              </w:rPr>
            </w:pPr>
            <w:r>
              <w:rPr>
                <w:rFonts w:hint="eastAsia" w:ascii="宋体" w:hAnsi="宋体"/>
                <w:bCs/>
                <w:snapToGrid w:val="0"/>
                <w:color w:val="000000" w:themeColor="text1"/>
                <w:kern w:val="0"/>
                <w:szCs w:val="21"/>
                <w14:textFill>
                  <w14:solidFill>
                    <w14:schemeClr w14:val="tx1"/>
                  </w14:solidFill>
                </w14:textFill>
              </w:rPr>
              <w:t>居民</w:t>
            </w:r>
          </w:p>
        </w:tc>
        <w:tc>
          <w:tcPr>
            <w:tcW w:w="1056" w:type="pct"/>
            <w:vAlign w:val="center"/>
          </w:tcPr>
          <w:p w14:paraId="7EE7747A">
            <w:pPr>
              <w:overflowPunct w:val="0"/>
              <w:adjustRightInd w:val="0"/>
              <w:snapToGrid w:val="0"/>
              <w:spacing w:line="300" w:lineRule="exact"/>
              <w:jc w:val="center"/>
              <w:rPr>
                <w:rFonts w:hint="eastAsia"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环境空气二类区</w:t>
            </w:r>
          </w:p>
        </w:tc>
        <w:tc>
          <w:tcPr>
            <w:tcW w:w="1509" w:type="pct"/>
            <w:vAlign w:val="center"/>
          </w:tcPr>
          <w:p w14:paraId="106C5CA4">
            <w:pPr>
              <w:overflowPunct w:val="0"/>
              <w:adjustRightInd w:val="0"/>
              <w:snapToGrid w:val="0"/>
              <w:spacing w:line="300" w:lineRule="exact"/>
              <w:jc w:val="center"/>
              <w:rPr>
                <w:rFonts w:hint="eastAsia" w:ascii="宋体" w:hAnsi="宋体"/>
                <w:bCs/>
                <w:snapToGrid w:val="0"/>
                <w:color w:val="000000" w:themeColor="text1"/>
                <w:kern w:val="0"/>
                <w:szCs w:val="21"/>
                <w14:textFill>
                  <w14:solidFill>
                    <w14:schemeClr w14:val="tx1"/>
                  </w14:solidFill>
                </w14:textFill>
              </w:rPr>
            </w:pPr>
            <w:bookmarkStart w:id="141" w:name="OLE_LINK111"/>
            <w:r>
              <w:rPr>
                <w:rFonts w:hint="eastAsia" w:ascii="宋体" w:hAnsi="宋体"/>
                <w:bCs/>
                <w:snapToGrid w:val="0"/>
                <w:color w:val="000000" w:themeColor="text1"/>
                <w:kern w:val="0"/>
                <w:szCs w:val="21"/>
                <w14:textFill>
                  <w14:solidFill>
                    <w14:schemeClr w14:val="tx1"/>
                  </w14:solidFill>
                </w14:textFill>
              </w:rPr>
              <w:t>J10002_H井西侧方向2.0km</w:t>
            </w:r>
            <w:bookmarkEnd w:id="141"/>
          </w:p>
        </w:tc>
      </w:tr>
      <w:tr w14:paraId="336BFAD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cantSplit/>
          <w:trHeight w:val="284" w:hRule="atLeast"/>
          <w:jc w:val="center"/>
        </w:trPr>
        <w:tc>
          <w:tcPr>
            <w:tcW w:w="893" w:type="pct"/>
            <w:vAlign w:val="center"/>
          </w:tcPr>
          <w:p w14:paraId="0AC1DF23">
            <w:pPr>
              <w:overflowPunct w:val="0"/>
              <w:adjustRightInd w:val="0"/>
              <w:snapToGrid w:val="0"/>
              <w:spacing w:line="300" w:lineRule="exact"/>
              <w:jc w:val="center"/>
              <w:rPr>
                <w:rFonts w:hint="eastAsia"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零散居民点1</w:t>
            </w:r>
          </w:p>
        </w:tc>
        <w:tc>
          <w:tcPr>
            <w:tcW w:w="1056" w:type="pct"/>
            <w:vAlign w:val="center"/>
          </w:tcPr>
          <w:p w14:paraId="4A9A091F">
            <w:pPr>
              <w:overflowPunct w:val="0"/>
              <w:adjustRightInd w:val="0"/>
              <w:snapToGrid w:val="0"/>
              <w:spacing w:line="300" w:lineRule="exact"/>
              <w:jc w:val="center"/>
              <w:rPr>
                <w:rFonts w:hint="eastAsia" w:ascii="宋体" w:hAnsi="宋体"/>
                <w:color w:val="000000" w:themeColor="text1"/>
                <w:kern w:val="0"/>
                <w:szCs w:val="21"/>
                <w14:textFill>
                  <w14:solidFill>
                    <w14:schemeClr w14:val="tx1"/>
                  </w14:solidFill>
                </w14:textFill>
              </w:rPr>
            </w:pPr>
          </w:p>
        </w:tc>
        <w:tc>
          <w:tcPr>
            <w:tcW w:w="487" w:type="pct"/>
            <w:vAlign w:val="center"/>
          </w:tcPr>
          <w:p w14:paraId="125CC813">
            <w:pPr>
              <w:overflowPunct w:val="0"/>
              <w:adjustRightInd w:val="0"/>
              <w:snapToGrid w:val="0"/>
              <w:spacing w:line="300" w:lineRule="exact"/>
              <w:jc w:val="center"/>
              <w:rPr>
                <w:rFonts w:hint="eastAsia" w:ascii="宋体" w:hAnsi="宋体"/>
                <w:bCs/>
                <w:snapToGrid w:val="0"/>
                <w:color w:val="000000" w:themeColor="text1"/>
                <w:kern w:val="0"/>
                <w:szCs w:val="21"/>
                <w14:textFill>
                  <w14:solidFill>
                    <w14:schemeClr w14:val="tx1"/>
                  </w14:solidFill>
                </w14:textFill>
              </w:rPr>
            </w:pPr>
            <w:r>
              <w:rPr>
                <w:rFonts w:hint="eastAsia" w:ascii="宋体" w:hAnsi="宋体"/>
                <w:bCs/>
                <w:snapToGrid w:val="0"/>
                <w:color w:val="000000" w:themeColor="text1"/>
                <w:kern w:val="0"/>
                <w:szCs w:val="21"/>
                <w14:textFill>
                  <w14:solidFill>
                    <w14:schemeClr w14:val="tx1"/>
                  </w14:solidFill>
                </w14:textFill>
              </w:rPr>
              <w:t>居民</w:t>
            </w:r>
          </w:p>
        </w:tc>
        <w:tc>
          <w:tcPr>
            <w:tcW w:w="1056" w:type="pct"/>
            <w:vAlign w:val="center"/>
          </w:tcPr>
          <w:p w14:paraId="0C744444">
            <w:pPr>
              <w:overflowPunct w:val="0"/>
              <w:adjustRightInd w:val="0"/>
              <w:snapToGrid w:val="0"/>
              <w:spacing w:line="300" w:lineRule="exact"/>
              <w:jc w:val="center"/>
              <w:rPr>
                <w:rFonts w:hint="eastAsia"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环境空气二类区</w:t>
            </w:r>
          </w:p>
        </w:tc>
        <w:tc>
          <w:tcPr>
            <w:tcW w:w="1509" w:type="pct"/>
            <w:vAlign w:val="center"/>
          </w:tcPr>
          <w:p w14:paraId="636BA37E">
            <w:pPr>
              <w:overflowPunct w:val="0"/>
              <w:adjustRightInd w:val="0"/>
              <w:snapToGrid w:val="0"/>
              <w:spacing w:line="300" w:lineRule="exact"/>
              <w:jc w:val="center"/>
              <w:rPr>
                <w:rFonts w:hint="eastAsia" w:ascii="宋体" w:hAnsi="宋体"/>
                <w:bCs/>
                <w:snapToGrid w:val="0"/>
                <w:color w:val="000000" w:themeColor="text1"/>
                <w:kern w:val="0"/>
                <w:szCs w:val="21"/>
                <w14:textFill>
                  <w14:solidFill>
                    <w14:schemeClr w14:val="tx1"/>
                  </w14:solidFill>
                </w14:textFill>
              </w:rPr>
            </w:pPr>
            <w:r>
              <w:rPr>
                <w:rFonts w:hint="eastAsia" w:ascii="宋体" w:hAnsi="宋体"/>
                <w:bCs/>
                <w:snapToGrid w:val="0"/>
                <w:color w:val="000000" w:themeColor="text1"/>
                <w:kern w:val="0"/>
                <w:szCs w:val="21"/>
                <w14:textFill>
                  <w14:solidFill>
                    <w14:schemeClr w14:val="tx1"/>
                  </w14:solidFill>
                </w14:textFill>
              </w:rPr>
              <w:t>J10002_H井西侧方向1.3km</w:t>
            </w:r>
          </w:p>
        </w:tc>
      </w:tr>
      <w:tr w14:paraId="70FBBA7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cantSplit/>
          <w:trHeight w:val="284" w:hRule="atLeast"/>
          <w:jc w:val="center"/>
        </w:trPr>
        <w:tc>
          <w:tcPr>
            <w:tcW w:w="893" w:type="pct"/>
            <w:vAlign w:val="center"/>
          </w:tcPr>
          <w:p w14:paraId="5083747B">
            <w:pPr>
              <w:overflowPunct w:val="0"/>
              <w:adjustRightInd w:val="0"/>
              <w:snapToGrid w:val="0"/>
              <w:spacing w:line="300" w:lineRule="exact"/>
              <w:jc w:val="center"/>
              <w:rPr>
                <w:rFonts w:hint="eastAsia"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零散居民点2</w:t>
            </w:r>
          </w:p>
        </w:tc>
        <w:tc>
          <w:tcPr>
            <w:tcW w:w="1056" w:type="pct"/>
            <w:vAlign w:val="center"/>
          </w:tcPr>
          <w:p w14:paraId="5E18731D">
            <w:pPr>
              <w:overflowPunct w:val="0"/>
              <w:adjustRightInd w:val="0"/>
              <w:snapToGrid w:val="0"/>
              <w:spacing w:line="300" w:lineRule="exact"/>
              <w:jc w:val="center"/>
              <w:rPr>
                <w:rFonts w:hint="eastAsia" w:ascii="宋体" w:hAnsi="宋体"/>
                <w:color w:val="000000" w:themeColor="text1"/>
                <w:kern w:val="0"/>
                <w:szCs w:val="21"/>
                <w14:textFill>
                  <w14:solidFill>
                    <w14:schemeClr w14:val="tx1"/>
                  </w14:solidFill>
                </w14:textFill>
              </w:rPr>
            </w:pPr>
          </w:p>
        </w:tc>
        <w:tc>
          <w:tcPr>
            <w:tcW w:w="487" w:type="pct"/>
            <w:vAlign w:val="center"/>
          </w:tcPr>
          <w:p w14:paraId="6B0516F8">
            <w:pPr>
              <w:overflowPunct w:val="0"/>
              <w:adjustRightInd w:val="0"/>
              <w:snapToGrid w:val="0"/>
              <w:spacing w:line="300" w:lineRule="exact"/>
              <w:jc w:val="center"/>
              <w:rPr>
                <w:rFonts w:hint="eastAsia" w:ascii="宋体" w:hAnsi="宋体"/>
                <w:bCs/>
                <w:snapToGrid w:val="0"/>
                <w:color w:val="000000" w:themeColor="text1"/>
                <w:kern w:val="0"/>
                <w:szCs w:val="21"/>
                <w14:textFill>
                  <w14:solidFill>
                    <w14:schemeClr w14:val="tx1"/>
                  </w14:solidFill>
                </w14:textFill>
              </w:rPr>
            </w:pPr>
            <w:r>
              <w:rPr>
                <w:rFonts w:hint="eastAsia" w:ascii="宋体" w:hAnsi="宋体"/>
                <w:bCs/>
                <w:snapToGrid w:val="0"/>
                <w:color w:val="000000" w:themeColor="text1"/>
                <w:kern w:val="0"/>
                <w:szCs w:val="21"/>
                <w14:textFill>
                  <w14:solidFill>
                    <w14:schemeClr w14:val="tx1"/>
                  </w14:solidFill>
                </w14:textFill>
              </w:rPr>
              <w:t>居民</w:t>
            </w:r>
          </w:p>
        </w:tc>
        <w:tc>
          <w:tcPr>
            <w:tcW w:w="1056" w:type="pct"/>
            <w:vAlign w:val="center"/>
          </w:tcPr>
          <w:p w14:paraId="3D4F1677">
            <w:pPr>
              <w:overflowPunct w:val="0"/>
              <w:adjustRightInd w:val="0"/>
              <w:snapToGrid w:val="0"/>
              <w:spacing w:line="300" w:lineRule="exact"/>
              <w:jc w:val="center"/>
              <w:rPr>
                <w:rFonts w:hint="eastAsia"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环境空气二类区</w:t>
            </w:r>
          </w:p>
        </w:tc>
        <w:tc>
          <w:tcPr>
            <w:tcW w:w="1509" w:type="pct"/>
            <w:vAlign w:val="center"/>
          </w:tcPr>
          <w:p w14:paraId="1E1D9C23">
            <w:pPr>
              <w:overflowPunct w:val="0"/>
              <w:adjustRightInd w:val="0"/>
              <w:snapToGrid w:val="0"/>
              <w:spacing w:line="300" w:lineRule="exact"/>
              <w:jc w:val="center"/>
              <w:rPr>
                <w:rFonts w:hint="eastAsia" w:ascii="宋体" w:hAnsi="宋体"/>
                <w:bCs/>
                <w:snapToGrid w:val="0"/>
                <w:color w:val="000000" w:themeColor="text1"/>
                <w:kern w:val="0"/>
                <w:szCs w:val="21"/>
                <w14:textFill>
                  <w14:solidFill>
                    <w14:schemeClr w14:val="tx1"/>
                  </w14:solidFill>
                </w14:textFill>
              </w:rPr>
            </w:pPr>
            <w:r>
              <w:rPr>
                <w:rFonts w:hint="eastAsia" w:ascii="宋体" w:hAnsi="宋体"/>
                <w:bCs/>
                <w:snapToGrid w:val="0"/>
                <w:color w:val="000000" w:themeColor="text1"/>
                <w:kern w:val="0"/>
                <w:szCs w:val="21"/>
                <w14:textFill>
                  <w14:solidFill>
                    <w14:schemeClr w14:val="tx1"/>
                  </w14:solidFill>
                </w14:textFill>
              </w:rPr>
              <w:t>J10002_H井西北方向1.7km</w:t>
            </w:r>
          </w:p>
        </w:tc>
      </w:tr>
      <w:tr w14:paraId="28921CA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cantSplit/>
          <w:trHeight w:val="284" w:hRule="atLeast"/>
          <w:jc w:val="center"/>
        </w:trPr>
        <w:tc>
          <w:tcPr>
            <w:tcW w:w="893" w:type="pct"/>
            <w:vAlign w:val="center"/>
          </w:tcPr>
          <w:p w14:paraId="042C3EB9">
            <w:pPr>
              <w:overflowPunct w:val="0"/>
              <w:adjustRightInd w:val="0"/>
              <w:snapToGrid w:val="0"/>
              <w:spacing w:line="300" w:lineRule="exact"/>
              <w:jc w:val="center"/>
              <w:rPr>
                <w:rFonts w:hint="eastAsia"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零散居民点3</w:t>
            </w:r>
          </w:p>
        </w:tc>
        <w:tc>
          <w:tcPr>
            <w:tcW w:w="1056" w:type="pct"/>
            <w:vAlign w:val="center"/>
          </w:tcPr>
          <w:p w14:paraId="306EDF34">
            <w:pPr>
              <w:overflowPunct w:val="0"/>
              <w:adjustRightInd w:val="0"/>
              <w:snapToGrid w:val="0"/>
              <w:spacing w:line="300" w:lineRule="exact"/>
              <w:jc w:val="center"/>
              <w:rPr>
                <w:rFonts w:hint="eastAsia" w:ascii="宋体" w:hAnsi="宋体"/>
                <w:color w:val="000000" w:themeColor="text1"/>
                <w:kern w:val="0"/>
                <w:szCs w:val="21"/>
                <w14:textFill>
                  <w14:solidFill>
                    <w14:schemeClr w14:val="tx1"/>
                  </w14:solidFill>
                </w14:textFill>
              </w:rPr>
            </w:pPr>
          </w:p>
        </w:tc>
        <w:tc>
          <w:tcPr>
            <w:tcW w:w="487" w:type="pct"/>
            <w:vAlign w:val="center"/>
          </w:tcPr>
          <w:p w14:paraId="287596DF">
            <w:pPr>
              <w:overflowPunct w:val="0"/>
              <w:adjustRightInd w:val="0"/>
              <w:snapToGrid w:val="0"/>
              <w:spacing w:line="300" w:lineRule="exact"/>
              <w:jc w:val="center"/>
              <w:rPr>
                <w:rFonts w:hint="eastAsia" w:ascii="宋体" w:hAnsi="宋体"/>
                <w:bCs/>
                <w:snapToGrid w:val="0"/>
                <w:color w:val="000000" w:themeColor="text1"/>
                <w:kern w:val="0"/>
                <w:szCs w:val="21"/>
                <w14:textFill>
                  <w14:solidFill>
                    <w14:schemeClr w14:val="tx1"/>
                  </w14:solidFill>
                </w14:textFill>
              </w:rPr>
            </w:pPr>
            <w:r>
              <w:rPr>
                <w:rFonts w:hint="eastAsia" w:ascii="宋体" w:hAnsi="宋体"/>
                <w:bCs/>
                <w:snapToGrid w:val="0"/>
                <w:color w:val="000000" w:themeColor="text1"/>
                <w:kern w:val="0"/>
                <w:szCs w:val="21"/>
                <w14:textFill>
                  <w14:solidFill>
                    <w14:schemeClr w14:val="tx1"/>
                  </w14:solidFill>
                </w14:textFill>
              </w:rPr>
              <w:t>居民</w:t>
            </w:r>
          </w:p>
        </w:tc>
        <w:tc>
          <w:tcPr>
            <w:tcW w:w="1056" w:type="pct"/>
            <w:vAlign w:val="center"/>
          </w:tcPr>
          <w:p w14:paraId="4229BFB4">
            <w:pPr>
              <w:overflowPunct w:val="0"/>
              <w:adjustRightInd w:val="0"/>
              <w:snapToGrid w:val="0"/>
              <w:spacing w:line="300" w:lineRule="exact"/>
              <w:jc w:val="center"/>
              <w:rPr>
                <w:rFonts w:hint="eastAsia"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环境空气二类区</w:t>
            </w:r>
          </w:p>
        </w:tc>
        <w:tc>
          <w:tcPr>
            <w:tcW w:w="1509" w:type="pct"/>
            <w:vAlign w:val="center"/>
          </w:tcPr>
          <w:p w14:paraId="56AC3C4C">
            <w:pPr>
              <w:overflowPunct w:val="0"/>
              <w:adjustRightInd w:val="0"/>
              <w:snapToGrid w:val="0"/>
              <w:spacing w:line="300" w:lineRule="exact"/>
              <w:jc w:val="center"/>
              <w:rPr>
                <w:rFonts w:hint="eastAsia" w:ascii="宋体" w:hAnsi="宋体"/>
                <w:bCs/>
                <w:snapToGrid w:val="0"/>
                <w:color w:val="000000" w:themeColor="text1"/>
                <w:kern w:val="0"/>
                <w:szCs w:val="21"/>
                <w14:textFill>
                  <w14:solidFill>
                    <w14:schemeClr w14:val="tx1"/>
                  </w14:solidFill>
                </w14:textFill>
              </w:rPr>
            </w:pPr>
            <w:r>
              <w:rPr>
                <w:rFonts w:hint="eastAsia" w:ascii="宋体" w:hAnsi="宋体"/>
                <w:bCs/>
                <w:snapToGrid w:val="0"/>
                <w:color w:val="000000" w:themeColor="text1"/>
                <w:kern w:val="0"/>
                <w:szCs w:val="21"/>
                <w14:textFill>
                  <w14:solidFill>
                    <w14:schemeClr w14:val="tx1"/>
                  </w14:solidFill>
                </w14:textFill>
              </w:rPr>
              <w:t>J10002_H井西北方向2.0km</w:t>
            </w:r>
          </w:p>
        </w:tc>
      </w:tr>
      <w:tr w14:paraId="6B428C0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cantSplit/>
          <w:trHeight w:val="284" w:hRule="atLeast"/>
          <w:jc w:val="center"/>
        </w:trPr>
        <w:tc>
          <w:tcPr>
            <w:tcW w:w="893" w:type="pct"/>
            <w:vAlign w:val="center"/>
          </w:tcPr>
          <w:p w14:paraId="08613158">
            <w:pPr>
              <w:overflowPunct w:val="0"/>
              <w:adjustRightInd w:val="0"/>
              <w:snapToGrid w:val="0"/>
              <w:spacing w:line="300" w:lineRule="exact"/>
              <w:jc w:val="center"/>
              <w:rPr>
                <w:rFonts w:hint="eastAsia"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零散居民点4</w:t>
            </w:r>
          </w:p>
        </w:tc>
        <w:tc>
          <w:tcPr>
            <w:tcW w:w="1056" w:type="pct"/>
            <w:vAlign w:val="center"/>
          </w:tcPr>
          <w:p w14:paraId="13AEC32E">
            <w:pPr>
              <w:overflowPunct w:val="0"/>
              <w:adjustRightInd w:val="0"/>
              <w:snapToGrid w:val="0"/>
              <w:spacing w:line="300" w:lineRule="exact"/>
              <w:jc w:val="center"/>
              <w:rPr>
                <w:rFonts w:hint="eastAsia" w:ascii="宋体" w:hAnsi="宋体"/>
                <w:color w:val="000000" w:themeColor="text1"/>
                <w:kern w:val="0"/>
                <w:szCs w:val="21"/>
                <w14:textFill>
                  <w14:solidFill>
                    <w14:schemeClr w14:val="tx1"/>
                  </w14:solidFill>
                </w14:textFill>
              </w:rPr>
            </w:pPr>
          </w:p>
        </w:tc>
        <w:tc>
          <w:tcPr>
            <w:tcW w:w="487" w:type="pct"/>
            <w:vAlign w:val="center"/>
          </w:tcPr>
          <w:p w14:paraId="328276C1">
            <w:pPr>
              <w:overflowPunct w:val="0"/>
              <w:adjustRightInd w:val="0"/>
              <w:snapToGrid w:val="0"/>
              <w:spacing w:line="300" w:lineRule="exact"/>
              <w:jc w:val="center"/>
              <w:rPr>
                <w:rFonts w:hint="eastAsia" w:ascii="宋体" w:hAnsi="宋体"/>
                <w:bCs/>
                <w:snapToGrid w:val="0"/>
                <w:color w:val="000000" w:themeColor="text1"/>
                <w:kern w:val="0"/>
                <w:szCs w:val="21"/>
                <w14:textFill>
                  <w14:solidFill>
                    <w14:schemeClr w14:val="tx1"/>
                  </w14:solidFill>
                </w14:textFill>
              </w:rPr>
            </w:pPr>
            <w:r>
              <w:rPr>
                <w:rFonts w:hint="eastAsia" w:ascii="宋体" w:hAnsi="宋体"/>
                <w:bCs/>
                <w:snapToGrid w:val="0"/>
                <w:color w:val="000000" w:themeColor="text1"/>
                <w:kern w:val="0"/>
                <w:szCs w:val="21"/>
                <w14:textFill>
                  <w14:solidFill>
                    <w14:schemeClr w14:val="tx1"/>
                  </w14:solidFill>
                </w14:textFill>
              </w:rPr>
              <w:t>居民</w:t>
            </w:r>
          </w:p>
        </w:tc>
        <w:tc>
          <w:tcPr>
            <w:tcW w:w="1056" w:type="pct"/>
            <w:vAlign w:val="center"/>
          </w:tcPr>
          <w:p w14:paraId="5212A90C">
            <w:pPr>
              <w:overflowPunct w:val="0"/>
              <w:adjustRightInd w:val="0"/>
              <w:snapToGrid w:val="0"/>
              <w:spacing w:line="300" w:lineRule="exact"/>
              <w:jc w:val="center"/>
              <w:rPr>
                <w:rFonts w:hint="eastAsia"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环境空气二类区</w:t>
            </w:r>
          </w:p>
        </w:tc>
        <w:tc>
          <w:tcPr>
            <w:tcW w:w="1509" w:type="pct"/>
            <w:vAlign w:val="center"/>
          </w:tcPr>
          <w:p w14:paraId="30EC1085">
            <w:pPr>
              <w:overflowPunct w:val="0"/>
              <w:adjustRightInd w:val="0"/>
              <w:snapToGrid w:val="0"/>
              <w:spacing w:line="300" w:lineRule="exact"/>
              <w:jc w:val="center"/>
              <w:rPr>
                <w:rFonts w:hint="eastAsia" w:ascii="宋体" w:hAnsi="宋体"/>
                <w:bCs/>
                <w:snapToGrid w:val="0"/>
                <w:color w:val="000000" w:themeColor="text1"/>
                <w:kern w:val="0"/>
                <w:szCs w:val="21"/>
                <w14:textFill>
                  <w14:solidFill>
                    <w14:schemeClr w14:val="tx1"/>
                  </w14:solidFill>
                </w14:textFill>
              </w:rPr>
            </w:pPr>
            <w:r>
              <w:rPr>
                <w:rFonts w:hint="eastAsia" w:ascii="宋体" w:hAnsi="宋体"/>
                <w:bCs/>
                <w:snapToGrid w:val="0"/>
                <w:color w:val="000000" w:themeColor="text1"/>
                <w:kern w:val="0"/>
                <w:szCs w:val="21"/>
                <w14:textFill>
                  <w14:solidFill>
                    <w14:schemeClr w14:val="tx1"/>
                  </w14:solidFill>
                </w14:textFill>
              </w:rPr>
              <w:t>J10002_H井西侧方向2.3km</w:t>
            </w:r>
          </w:p>
        </w:tc>
      </w:tr>
      <w:tr w14:paraId="4DE71B5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cantSplit/>
          <w:trHeight w:val="284" w:hRule="atLeast"/>
          <w:jc w:val="center"/>
        </w:trPr>
        <w:tc>
          <w:tcPr>
            <w:tcW w:w="893" w:type="pct"/>
            <w:vAlign w:val="center"/>
          </w:tcPr>
          <w:p w14:paraId="73025D27">
            <w:pPr>
              <w:overflowPunct w:val="0"/>
              <w:adjustRightInd w:val="0"/>
              <w:snapToGrid w:val="0"/>
              <w:spacing w:line="300" w:lineRule="exact"/>
              <w:jc w:val="center"/>
              <w:rPr>
                <w:rFonts w:hint="eastAsia"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零散居民点5</w:t>
            </w:r>
          </w:p>
        </w:tc>
        <w:tc>
          <w:tcPr>
            <w:tcW w:w="1056" w:type="pct"/>
            <w:vAlign w:val="center"/>
          </w:tcPr>
          <w:p w14:paraId="3CBC89FE">
            <w:pPr>
              <w:overflowPunct w:val="0"/>
              <w:adjustRightInd w:val="0"/>
              <w:snapToGrid w:val="0"/>
              <w:spacing w:line="300" w:lineRule="exact"/>
              <w:jc w:val="center"/>
              <w:rPr>
                <w:rFonts w:hint="eastAsia" w:ascii="宋体" w:hAnsi="宋体"/>
                <w:color w:val="000000" w:themeColor="text1"/>
                <w:kern w:val="0"/>
                <w:szCs w:val="21"/>
                <w14:textFill>
                  <w14:solidFill>
                    <w14:schemeClr w14:val="tx1"/>
                  </w14:solidFill>
                </w14:textFill>
              </w:rPr>
            </w:pPr>
          </w:p>
        </w:tc>
        <w:tc>
          <w:tcPr>
            <w:tcW w:w="487" w:type="pct"/>
            <w:vAlign w:val="center"/>
          </w:tcPr>
          <w:p w14:paraId="2806B39C">
            <w:pPr>
              <w:overflowPunct w:val="0"/>
              <w:adjustRightInd w:val="0"/>
              <w:snapToGrid w:val="0"/>
              <w:spacing w:line="300" w:lineRule="exact"/>
              <w:jc w:val="center"/>
              <w:rPr>
                <w:rFonts w:hint="eastAsia" w:ascii="宋体" w:hAnsi="宋体"/>
                <w:bCs/>
                <w:snapToGrid w:val="0"/>
                <w:color w:val="000000" w:themeColor="text1"/>
                <w:kern w:val="0"/>
                <w:szCs w:val="21"/>
                <w14:textFill>
                  <w14:solidFill>
                    <w14:schemeClr w14:val="tx1"/>
                  </w14:solidFill>
                </w14:textFill>
              </w:rPr>
            </w:pPr>
            <w:r>
              <w:rPr>
                <w:rFonts w:hint="eastAsia" w:ascii="宋体" w:hAnsi="宋体"/>
                <w:bCs/>
                <w:snapToGrid w:val="0"/>
                <w:color w:val="000000" w:themeColor="text1"/>
                <w:kern w:val="0"/>
                <w:szCs w:val="21"/>
                <w14:textFill>
                  <w14:solidFill>
                    <w14:schemeClr w14:val="tx1"/>
                  </w14:solidFill>
                </w14:textFill>
              </w:rPr>
              <w:t>居民</w:t>
            </w:r>
          </w:p>
        </w:tc>
        <w:tc>
          <w:tcPr>
            <w:tcW w:w="1056" w:type="pct"/>
            <w:vAlign w:val="center"/>
          </w:tcPr>
          <w:p w14:paraId="24253573">
            <w:pPr>
              <w:overflowPunct w:val="0"/>
              <w:adjustRightInd w:val="0"/>
              <w:snapToGrid w:val="0"/>
              <w:spacing w:line="300" w:lineRule="exact"/>
              <w:jc w:val="center"/>
              <w:rPr>
                <w:rFonts w:hint="eastAsia"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环境空气二类区</w:t>
            </w:r>
          </w:p>
        </w:tc>
        <w:tc>
          <w:tcPr>
            <w:tcW w:w="1509" w:type="pct"/>
            <w:vAlign w:val="center"/>
          </w:tcPr>
          <w:p w14:paraId="42804515">
            <w:pPr>
              <w:overflowPunct w:val="0"/>
              <w:adjustRightInd w:val="0"/>
              <w:snapToGrid w:val="0"/>
              <w:spacing w:line="300" w:lineRule="exact"/>
              <w:jc w:val="center"/>
              <w:rPr>
                <w:rFonts w:hint="eastAsia" w:ascii="宋体" w:hAnsi="宋体"/>
                <w:bCs/>
                <w:snapToGrid w:val="0"/>
                <w:color w:val="000000" w:themeColor="text1"/>
                <w:kern w:val="0"/>
                <w:szCs w:val="21"/>
                <w14:textFill>
                  <w14:solidFill>
                    <w14:schemeClr w14:val="tx1"/>
                  </w14:solidFill>
                </w14:textFill>
              </w:rPr>
            </w:pPr>
            <w:r>
              <w:rPr>
                <w:rFonts w:hint="eastAsia" w:ascii="宋体" w:hAnsi="宋体"/>
                <w:bCs/>
                <w:snapToGrid w:val="0"/>
                <w:color w:val="000000" w:themeColor="text1"/>
                <w:kern w:val="0"/>
                <w:szCs w:val="21"/>
                <w14:textFill>
                  <w14:solidFill>
                    <w14:schemeClr w14:val="tx1"/>
                  </w14:solidFill>
                </w14:textFill>
              </w:rPr>
              <w:t>J10002_H井西南方向1.6km</w:t>
            </w:r>
          </w:p>
        </w:tc>
      </w:tr>
    </w:tbl>
    <w:p w14:paraId="69DDFA6F">
      <w:pPr>
        <w:pStyle w:val="15"/>
        <w:rPr>
          <w:rFonts w:hint="eastAsia"/>
          <w:color w:val="000000" w:themeColor="text1"/>
          <w:lang w:val="zh-CN"/>
          <w14:textFill>
            <w14:solidFill>
              <w14:schemeClr w14:val="tx1"/>
            </w14:solidFill>
          </w14:textFill>
        </w:rPr>
      </w:pPr>
      <w:r>
        <w:rPr>
          <w:rFonts w:hint="eastAsia"/>
          <w:color w:val="000000" w:themeColor="text1"/>
          <w14:textFill>
            <w14:solidFill>
              <w14:schemeClr w14:val="tx1"/>
            </w14:solidFill>
          </w14:textFill>
        </w:rPr>
        <w:t>表2</w:t>
      </w:r>
      <w:r>
        <w:rPr>
          <w:color w:val="000000" w:themeColor="text1"/>
          <w14:textFill>
            <w14:solidFill>
              <w14:schemeClr w14:val="tx1"/>
            </w14:solidFill>
          </w14:textFill>
        </w:rPr>
        <w:t>.7-1</w:t>
      </w:r>
      <w:r>
        <w:rPr>
          <w:rFonts w:hint="eastAsia"/>
          <w:color w:val="000000" w:themeColor="text1"/>
          <w14:textFill>
            <w14:solidFill>
              <w14:schemeClr w14:val="tx1"/>
            </w14:solidFill>
          </w14:textFill>
        </w:rPr>
        <w:t xml:space="preserve">  环境保护目标一览表</w:t>
      </w:r>
    </w:p>
    <w:bookmarkEnd w:id="139"/>
    <w:tbl>
      <w:tblPr>
        <w:tblStyle w:val="51"/>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993"/>
        <w:gridCol w:w="1842"/>
        <w:gridCol w:w="1701"/>
        <w:gridCol w:w="4194"/>
      </w:tblGrid>
      <w:tr w14:paraId="1C672E9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69" w:type="pct"/>
            <w:tcMar>
              <w:left w:w="0" w:type="dxa"/>
              <w:right w:w="0" w:type="dxa"/>
            </w:tcMar>
            <w:vAlign w:val="center"/>
          </w:tcPr>
          <w:p w14:paraId="03DD60F9">
            <w:pPr>
              <w:pStyle w:val="278"/>
              <w:adjustRightInd w:val="0"/>
              <w:snapToGrid w:val="0"/>
              <w:spacing w:line="300" w:lineRule="exact"/>
              <w:rPr>
                <w:rFonts w:hint="eastAsia"/>
                <w:color w:val="000000" w:themeColor="text1"/>
                <w14:textFill>
                  <w14:solidFill>
                    <w14:schemeClr w14:val="tx1"/>
                  </w14:solidFill>
                </w14:textFill>
              </w:rPr>
            </w:pPr>
            <w:bookmarkStart w:id="142" w:name="_Hlk173754442"/>
            <w:r>
              <w:rPr>
                <w:rFonts w:hint="eastAsia"/>
                <w:color w:val="000000" w:themeColor="text1"/>
                <w14:textFill>
                  <w14:solidFill>
                    <w14:schemeClr w14:val="tx1"/>
                  </w14:solidFill>
                </w14:textFill>
              </w:rPr>
              <w:t>保护要素</w:t>
            </w:r>
          </w:p>
        </w:tc>
        <w:tc>
          <w:tcPr>
            <w:tcW w:w="1055" w:type="pct"/>
            <w:tcMar>
              <w:left w:w="0" w:type="dxa"/>
              <w:right w:w="0" w:type="dxa"/>
            </w:tcMar>
            <w:vAlign w:val="center"/>
          </w:tcPr>
          <w:p w14:paraId="5EDDF278">
            <w:pPr>
              <w:pStyle w:val="278"/>
              <w:adjustRightInd w:val="0"/>
              <w:snapToGrid w:val="0"/>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环境保护目标</w:t>
            </w:r>
          </w:p>
        </w:tc>
        <w:tc>
          <w:tcPr>
            <w:tcW w:w="974" w:type="pct"/>
            <w:tcMar>
              <w:left w:w="0" w:type="dxa"/>
              <w:right w:w="0" w:type="dxa"/>
            </w:tcMar>
            <w:vAlign w:val="center"/>
          </w:tcPr>
          <w:p w14:paraId="03ABC069">
            <w:pPr>
              <w:pStyle w:val="278"/>
              <w:adjustRightInd w:val="0"/>
              <w:snapToGrid w:val="0"/>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与项目区的位置关系</w:t>
            </w:r>
          </w:p>
        </w:tc>
        <w:tc>
          <w:tcPr>
            <w:tcW w:w="2402" w:type="pct"/>
            <w:tcMar>
              <w:left w:w="0" w:type="dxa"/>
              <w:right w:w="0" w:type="dxa"/>
            </w:tcMar>
            <w:vAlign w:val="center"/>
          </w:tcPr>
          <w:p w14:paraId="6F013550">
            <w:pPr>
              <w:pStyle w:val="278"/>
              <w:adjustRightInd w:val="0"/>
              <w:snapToGrid w:val="0"/>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各要素保护级别及要求</w:t>
            </w:r>
          </w:p>
        </w:tc>
      </w:tr>
      <w:tr w14:paraId="02A7994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69" w:type="pct"/>
            <w:tcMar>
              <w:left w:w="0" w:type="dxa"/>
              <w:right w:w="0" w:type="dxa"/>
            </w:tcMar>
            <w:vAlign w:val="center"/>
          </w:tcPr>
          <w:p w14:paraId="3D73C38E">
            <w:pPr>
              <w:pStyle w:val="278"/>
              <w:adjustRightInd w:val="0"/>
              <w:snapToGrid w:val="0"/>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环境空气</w:t>
            </w:r>
          </w:p>
        </w:tc>
        <w:tc>
          <w:tcPr>
            <w:tcW w:w="1055" w:type="pct"/>
            <w:tcMar>
              <w:left w:w="0" w:type="dxa"/>
              <w:right w:w="0" w:type="dxa"/>
            </w:tcMar>
            <w:vAlign w:val="center"/>
          </w:tcPr>
          <w:p w14:paraId="1D21F0DC">
            <w:pPr>
              <w:pStyle w:val="278"/>
              <w:adjustRightInd w:val="0"/>
              <w:snapToGrid w:val="0"/>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评价范围内的环境空气质量</w:t>
            </w:r>
          </w:p>
        </w:tc>
        <w:tc>
          <w:tcPr>
            <w:tcW w:w="974" w:type="pct"/>
            <w:tcMar>
              <w:left w:w="0" w:type="dxa"/>
              <w:right w:w="0" w:type="dxa"/>
            </w:tcMar>
            <w:vAlign w:val="center"/>
          </w:tcPr>
          <w:p w14:paraId="3A21EC55">
            <w:pPr>
              <w:pStyle w:val="278"/>
              <w:adjustRightInd w:val="0"/>
              <w:snapToGrid w:val="0"/>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2402" w:type="pct"/>
            <w:tcMar>
              <w:left w:w="0" w:type="dxa"/>
              <w:right w:w="0" w:type="dxa"/>
            </w:tcMar>
            <w:vAlign w:val="center"/>
          </w:tcPr>
          <w:p w14:paraId="42744C80">
            <w:pPr>
              <w:pStyle w:val="278"/>
              <w:adjustRightInd w:val="0"/>
              <w:snapToGrid w:val="0"/>
              <w:spacing w:line="300" w:lineRule="exact"/>
              <w:rPr>
                <w:rFonts w:hint="eastAsia"/>
                <w:color w:val="000000" w:themeColor="text1"/>
                <w14:textFill>
                  <w14:solidFill>
                    <w14:schemeClr w14:val="tx1"/>
                  </w14:solidFill>
                </w14:textFill>
              </w:rPr>
            </w:pPr>
            <w:r>
              <w:rPr>
                <w:color w:val="000000" w:themeColor="text1"/>
                <w14:textFill>
                  <w14:solidFill>
                    <w14:schemeClr w14:val="tx1"/>
                  </w14:solidFill>
                </w14:textFill>
              </w:rPr>
              <w:t>GB3095-2012 二级</w:t>
            </w:r>
          </w:p>
        </w:tc>
      </w:tr>
      <w:tr w14:paraId="1CB34BF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69" w:type="pct"/>
            <w:vMerge w:val="restart"/>
            <w:tcMar>
              <w:left w:w="0" w:type="dxa"/>
              <w:right w:w="0" w:type="dxa"/>
            </w:tcMar>
            <w:vAlign w:val="center"/>
          </w:tcPr>
          <w:p w14:paraId="72AF026A">
            <w:pPr>
              <w:pStyle w:val="278"/>
              <w:adjustRightInd w:val="0"/>
              <w:snapToGrid w:val="0"/>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土壤环境</w:t>
            </w:r>
          </w:p>
        </w:tc>
        <w:tc>
          <w:tcPr>
            <w:tcW w:w="1055" w:type="pct"/>
            <w:tcMar>
              <w:left w:w="0" w:type="dxa"/>
              <w:right w:w="0" w:type="dxa"/>
            </w:tcMar>
            <w:vAlign w:val="center"/>
          </w:tcPr>
          <w:p w14:paraId="3EFC985E">
            <w:pPr>
              <w:pStyle w:val="278"/>
              <w:adjustRightInd w:val="0"/>
              <w:snapToGrid w:val="0"/>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评价范围内的土壤</w:t>
            </w:r>
          </w:p>
        </w:tc>
        <w:tc>
          <w:tcPr>
            <w:tcW w:w="974" w:type="pct"/>
            <w:tcMar>
              <w:left w:w="0" w:type="dxa"/>
              <w:right w:w="0" w:type="dxa"/>
            </w:tcMar>
            <w:vAlign w:val="center"/>
          </w:tcPr>
          <w:p w14:paraId="7B6E224A">
            <w:pPr>
              <w:pStyle w:val="278"/>
              <w:adjustRightInd w:val="0"/>
              <w:snapToGrid w:val="0"/>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2402" w:type="pct"/>
            <w:tcMar>
              <w:left w:w="0" w:type="dxa"/>
              <w:right w:w="0" w:type="dxa"/>
            </w:tcMar>
            <w:vAlign w:val="center"/>
          </w:tcPr>
          <w:p w14:paraId="4B267069">
            <w:pPr>
              <w:pStyle w:val="278"/>
              <w:adjustRightInd w:val="0"/>
              <w:snapToGrid w:val="0"/>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占地范围内：</w:t>
            </w:r>
            <w:r>
              <w:rPr>
                <w:color w:val="000000" w:themeColor="text1"/>
                <w14:textFill>
                  <w14:solidFill>
                    <w14:schemeClr w14:val="tx1"/>
                  </w14:solidFill>
                </w14:textFill>
              </w:rPr>
              <w:t>GB36600-2018</w:t>
            </w:r>
            <w:r>
              <w:rPr>
                <w:rFonts w:hint="eastAsia"/>
                <w:color w:val="000000" w:themeColor="text1"/>
                <w14:textFill>
                  <w14:solidFill>
                    <w14:schemeClr w14:val="tx1"/>
                  </w14:solidFill>
                </w14:textFill>
              </w:rPr>
              <w:t xml:space="preserve"> 第二类用地筛选值</w:t>
            </w:r>
            <w:r>
              <w:rPr>
                <w:color w:val="000000" w:themeColor="text1"/>
                <w14:textFill>
                  <w14:solidFill>
                    <w14:schemeClr w14:val="tx1"/>
                  </w14:solidFill>
                </w14:textFill>
              </w:rPr>
              <w:t>标准</w:t>
            </w:r>
            <w:r>
              <w:rPr>
                <w:rFonts w:hint="eastAsia"/>
                <w:color w:val="000000" w:themeColor="text1"/>
                <w14:textFill>
                  <w14:solidFill>
                    <w14:schemeClr w14:val="tx1"/>
                  </w14:solidFill>
                </w14:textFill>
              </w:rPr>
              <w:t>；占地范围外</w:t>
            </w:r>
            <w:r>
              <w:rPr>
                <w:rFonts w:cs="宋体"/>
                <w:color w:val="000000" w:themeColor="text1"/>
                <w14:textFill>
                  <w14:solidFill>
                    <w14:schemeClr w14:val="tx1"/>
                  </w14:solidFill>
                </w14:textFill>
              </w:rPr>
              <w:t>GB15618-2018</w:t>
            </w:r>
            <w:r>
              <w:rPr>
                <w:rFonts w:hint="eastAsia" w:cs="宋体"/>
                <w:color w:val="000000" w:themeColor="text1"/>
                <w14:textFill>
                  <w14:solidFill>
                    <w14:schemeClr w14:val="tx1"/>
                  </w14:solidFill>
                </w14:textFill>
              </w:rPr>
              <w:t xml:space="preserve">  表1</w:t>
            </w:r>
          </w:p>
        </w:tc>
      </w:tr>
      <w:tr w14:paraId="43F5B7E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69" w:type="pct"/>
            <w:vMerge w:val="continue"/>
            <w:tcMar>
              <w:left w:w="0" w:type="dxa"/>
              <w:right w:w="0" w:type="dxa"/>
            </w:tcMar>
            <w:vAlign w:val="center"/>
          </w:tcPr>
          <w:p w14:paraId="25769BE0">
            <w:pPr>
              <w:pStyle w:val="278"/>
              <w:adjustRightInd w:val="0"/>
              <w:snapToGrid w:val="0"/>
              <w:spacing w:line="300" w:lineRule="exact"/>
              <w:rPr>
                <w:rFonts w:hint="eastAsia"/>
                <w:color w:val="000000" w:themeColor="text1"/>
                <w14:textFill>
                  <w14:solidFill>
                    <w14:schemeClr w14:val="tx1"/>
                  </w14:solidFill>
                </w14:textFill>
              </w:rPr>
            </w:pPr>
          </w:p>
        </w:tc>
        <w:tc>
          <w:tcPr>
            <w:tcW w:w="1055" w:type="pct"/>
            <w:tcMar>
              <w:left w:w="0" w:type="dxa"/>
              <w:right w:w="0" w:type="dxa"/>
            </w:tcMar>
            <w:vAlign w:val="center"/>
          </w:tcPr>
          <w:p w14:paraId="5246A2FC">
            <w:pPr>
              <w:pStyle w:val="278"/>
              <w:adjustRightInd w:val="0"/>
              <w:snapToGrid w:val="0"/>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一般耕地</w:t>
            </w:r>
          </w:p>
        </w:tc>
        <w:tc>
          <w:tcPr>
            <w:tcW w:w="974" w:type="pct"/>
            <w:tcMar>
              <w:left w:w="0" w:type="dxa"/>
              <w:right w:w="0" w:type="dxa"/>
            </w:tcMar>
            <w:vAlign w:val="center"/>
          </w:tcPr>
          <w:p w14:paraId="7AE789BD">
            <w:pPr>
              <w:pStyle w:val="278"/>
              <w:adjustRightInd w:val="0"/>
              <w:snapToGrid w:val="0"/>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井场最近距离约40m</w:t>
            </w:r>
          </w:p>
        </w:tc>
        <w:tc>
          <w:tcPr>
            <w:tcW w:w="2402" w:type="pct"/>
            <w:tcMar>
              <w:left w:w="0" w:type="dxa"/>
              <w:right w:w="0" w:type="dxa"/>
            </w:tcMar>
            <w:vAlign w:val="center"/>
          </w:tcPr>
          <w:p w14:paraId="1F9C22F4">
            <w:pPr>
              <w:pStyle w:val="278"/>
              <w:adjustRightInd w:val="0"/>
              <w:snapToGrid w:val="0"/>
              <w:spacing w:line="300" w:lineRule="exact"/>
              <w:rPr>
                <w:rFonts w:hint="eastAsia" w:cs="宋体"/>
                <w:color w:val="000000" w:themeColor="text1"/>
                <w14:textFill>
                  <w14:solidFill>
                    <w14:schemeClr w14:val="tx1"/>
                  </w14:solidFill>
                </w14:textFill>
              </w:rPr>
            </w:pPr>
            <w:r>
              <w:rPr>
                <w:rFonts w:cs="宋体"/>
                <w:color w:val="000000" w:themeColor="text1"/>
                <w14:textFill>
                  <w14:solidFill>
                    <w14:schemeClr w14:val="tx1"/>
                  </w14:solidFill>
                </w14:textFill>
              </w:rPr>
              <w:t>GB15618-2018</w:t>
            </w:r>
            <w:r>
              <w:rPr>
                <w:rFonts w:hint="eastAsia" w:cs="宋体"/>
                <w:color w:val="000000" w:themeColor="text1"/>
                <w14:textFill>
                  <w14:solidFill>
                    <w14:schemeClr w14:val="tx1"/>
                  </w14:solidFill>
                </w14:textFill>
              </w:rPr>
              <w:t xml:space="preserve">  表1</w:t>
            </w:r>
          </w:p>
        </w:tc>
      </w:tr>
      <w:tr w14:paraId="07AB469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69" w:type="pct"/>
            <w:vMerge w:val="continue"/>
            <w:tcMar>
              <w:left w:w="0" w:type="dxa"/>
              <w:right w:w="0" w:type="dxa"/>
            </w:tcMar>
            <w:vAlign w:val="center"/>
          </w:tcPr>
          <w:p w14:paraId="449C8A15">
            <w:pPr>
              <w:pStyle w:val="278"/>
              <w:adjustRightInd w:val="0"/>
              <w:snapToGrid w:val="0"/>
              <w:spacing w:line="300" w:lineRule="exact"/>
              <w:rPr>
                <w:rFonts w:hint="eastAsia"/>
                <w:color w:val="000000" w:themeColor="text1"/>
                <w14:textFill>
                  <w14:solidFill>
                    <w14:schemeClr w14:val="tx1"/>
                  </w14:solidFill>
                </w14:textFill>
              </w:rPr>
            </w:pPr>
          </w:p>
        </w:tc>
        <w:tc>
          <w:tcPr>
            <w:tcW w:w="1055" w:type="pct"/>
            <w:tcMar>
              <w:left w:w="0" w:type="dxa"/>
              <w:right w:w="0" w:type="dxa"/>
            </w:tcMar>
            <w:vAlign w:val="center"/>
          </w:tcPr>
          <w:p w14:paraId="446A22D1">
            <w:pPr>
              <w:pStyle w:val="278"/>
              <w:adjustRightInd w:val="0"/>
              <w:snapToGrid w:val="0"/>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天然牧草地</w:t>
            </w:r>
          </w:p>
        </w:tc>
        <w:tc>
          <w:tcPr>
            <w:tcW w:w="974" w:type="pct"/>
            <w:tcMar>
              <w:left w:w="0" w:type="dxa"/>
              <w:right w:w="0" w:type="dxa"/>
            </w:tcMar>
            <w:vAlign w:val="center"/>
          </w:tcPr>
          <w:p w14:paraId="36C687F0">
            <w:pPr>
              <w:pStyle w:val="278"/>
              <w:adjustRightInd w:val="0"/>
              <w:snapToGrid w:val="0"/>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占地范围内及土壤评价范围内</w:t>
            </w:r>
          </w:p>
        </w:tc>
        <w:tc>
          <w:tcPr>
            <w:tcW w:w="2402" w:type="pct"/>
            <w:tcMar>
              <w:left w:w="0" w:type="dxa"/>
              <w:right w:w="0" w:type="dxa"/>
            </w:tcMar>
            <w:vAlign w:val="center"/>
          </w:tcPr>
          <w:p w14:paraId="7959DE1F">
            <w:pPr>
              <w:pStyle w:val="278"/>
              <w:adjustRightInd w:val="0"/>
              <w:snapToGrid w:val="0"/>
              <w:spacing w:line="300" w:lineRule="exact"/>
              <w:rPr>
                <w:rFonts w:hint="eastAsia" w:cs="宋体"/>
                <w:color w:val="000000" w:themeColor="text1"/>
                <w14:textFill>
                  <w14:solidFill>
                    <w14:schemeClr w14:val="tx1"/>
                  </w14:solidFill>
                </w14:textFill>
              </w:rPr>
            </w:pPr>
            <w:r>
              <w:rPr>
                <w:rFonts w:cs="宋体"/>
                <w:color w:val="000000" w:themeColor="text1"/>
                <w14:textFill>
                  <w14:solidFill>
                    <w14:schemeClr w14:val="tx1"/>
                  </w14:solidFill>
                </w14:textFill>
              </w:rPr>
              <w:t>GB15618-2018</w:t>
            </w:r>
            <w:r>
              <w:rPr>
                <w:rFonts w:hint="eastAsia" w:cs="宋体"/>
                <w:color w:val="000000" w:themeColor="text1"/>
                <w14:textFill>
                  <w14:solidFill>
                    <w14:schemeClr w14:val="tx1"/>
                  </w14:solidFill>
                </w14:textFill>
              </w:rPr>
              <w:t xml:space="preserve">  表1</w:t>
            </w:r>
          </w:p>
        </w:tc>
      </w:tr>
      <w:tr w14:paraId="6F8BC7D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69" w:type="pct"/>
            <w:tcMar>
              <w:left w:w="0" w:type="dxa"/>
              <w:right w:w="0" w:type="dxa"/>
            </w:tcMar>
            <w:vAlign w:val="center"/>
          </w:tcPr>
          <w:p w14:paraId="50C00E75">
            <w:pPr>
              <w:pStyle w:val="278"/>
              <w:adjustRightInd w:val="0"/>
              <w:snapToGrid w:val="0"/>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地下水环境</w:t>
            </w:r>
          </w:p>
        </w:tc>
        <w:tc>
          <w:tcPr>
            <w:tcW w:w="1055" w:type="pct"/>
            <w:tcMar>
              <w:left w:w="0" w:type="dxa"/>
              <w:right w:w="0" w:type="dxa"/>
            </w:tcMar>
            <w:vAlign w:val="center"/>
          </w:tcPr>
          <w:p w14:paraId="72F78527">
            <w:pPr>
              <w:pStyle w:val="278"/>
              <w:adjustRightInd w:val="0"/>
              <w:snapToGrid w:val="0"/>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评价范围内的潜水含水层</w:t>
            </w:r>
          </w:p>
        </w:tc>
        <w:tc>
          <w:tcPr>
            <w:tcW w:w="974" w:type="pct"/>
            <w:tcMar>
              <w:left w:w="0" w:type="dxa"/>
              <w:right w:w="0" w:type="dxa"/>
            </w:tcMar>
            <w:vAlign w:val="center"/>
          </w:tcPr>
          <w:p w14:paraId="1CBC2387">
            <w:pPr>
              <w:pStyle w:val="278"/>
              <w:adjustRightInd w:val="0"/>
              <w:snapToGrid w:val="0"/>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2402" w:type="pct"/>
            <w:tcMar>
              <w:left w:w="0" w:type="dxa"/>
              <w:right w:w="0" w:type="dxa"/>
            </w:tcMar>
            <w:vAlign w:val="center"/>
          </w:tcPr>
          <w:p w14:paraId="78ABBD58">
            <w:pPr>
              <w:pStyle w:val="278"/>
              <w:adjustRightInd w:val="0"/>
              <w:snapToGrid w:val="0"/>
              <w:spacing w:line="300" w:lineRule="exact"/>
              <w:rPr>
                <w:rFonts w:hint="eastAsia"/>
                <w:color w:val="000000" w:themeColor="text1"/>
                <w14:textFill>
                  <w14:solidFill>
                    <w14:schemeClr w14:val="tx1"/>
                  </w14:solidFill>
                </w14:textFill>
              </w:rPr>
            </w:pPr>
            <w:r>
              <w:rPr>
                <w:color w:val="000000" w:themeColor="text1"/>
                <w14:textFill>
                  <w14:solidFill>
                    <w14:schemeClr w14:val="tx1"/>
                  </w14:solidFill>
                </w14:textFill>
              </w:rPr>
              <w:t xml:space="preserve">GB/T14848-2017 </w:t>
            </w:r>
            <w:r>
              <w:rPr>
                <w:rFonts w:hint="eastAsia"/>
                <w:color w:val="000000" w:themeColor="text1"/>
                <w14:textFill>
                  <w14:solidFill>
                    <w14:schemeClr w14:val="tx1"/>
                  </w14:solidFill>
                </w14:textFill>
              </w:rPr>
              <w:t>Ⅲ</w:t>
            </w:r>
            <w:r>
              <w:rPr>
                <w:color w:val="000000" w:themeColor="text1"/>
                <w14:textFill>
                  <w14:solidFill>
                    <w14:schemeClr w14:val="tx1"/>
                  </w14:solidFill>
                </w14:textFill>
              </w:rPr>
              <w:t>类</w:t>
            </w:r>
          </w:p>
        </w:tc>
      </w:tr>
      <w:tr w14:paraId="4C3E438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69" w:type="pct"/>
            <w:tcMar>
              <w:left w:w="0" w:type="dxa"/>
              <w:right w:w="0" w:type="dxa"/>
            </w:tcMar>
            <w:vAlign w:val="center"/>
          </w:tcPr>
          <w:p w14:paraId="607F3C87">
            <w:pPr>
              <w:pStyle w:val="278"/>
              <w:adjustRightInd w:val="0"/>
              <w:snapToGrid w:val="0"/>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声环境</w:t>
            </w:r>
          </w:p>
        </w:tc>
        <w:tc>
          <w:tcPr>
            <w:tcW w:w="1055" w:type="pct"/>
            <w:tcMar>
              <w:left w:w="0" w:type="dxa"/>
              <w:right w:w="0" w:type="dxa"/>
            </w:tcMar>
            <w:vAlign w:val="center"/>
          </w:tcPr>
          <w:p w14:paraId="0C41FFC2">
            <w:pPr>
              <w:pStyle w:val="278"/>
              <w:adjustRightInd w:val="0"/>
              <w:snapToGrid w:val="0"/>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评价范围内的声环境</w:t>
            </w:r>
          </w:p>
        </w:tc>
        <w:tc>
          <w:tcPr>
            <w:tcW w:w="974" w:type="pct"/>
            <w:tcMar>
              <w:left w:w="0" w:type="dxa"/>
              <w:right w:w="0" w:type="dxa"/>
            </w:tcMar>
            <w:vAlign w:val="center"/>
          </w:tcPr>
          <w:p w14:paraId="5AFD5A7D">
            <w:pPr>
              <w:pStyle w:val="278"/>
              <w:adjustRightInd w:val="0"/>
              <w:snapToGrid w:val="0"/>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2402" w:type="pct"/>
            <w:tcMar>
              <w:left w:w="0" w:type="dxa"/>
              <w:right w:w="0" w:type="dxa"/>
            </w:tcMar>
            <w:vAlign w:val="center"/>
          </w:tcPr>
          <w:p w14:paraId="44856346">
            <w:pPr>
              <w:pStyle w:val="278"/>
              <w:adjustRightInd w:val="0"/>
              <w:snapToGrid w:val="0"/>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GB3096-2008 </w:t>
            </w:r>
            <w:r>
              <w:rPr>
                <w:color w:val="000000" w:themeColor="text1"/>
                <w14:textFill>
                  <w14:solidFill>
                    <w14:schemeClr w14:val="tx1"/>
                  </w14:solidFill>
                </w14:textFill>
              </w:rPr>
              <w:t>2</w:t>
            </w:r>
            <w:r>
              <w:rPr>
                <w:rFonts w:hint="eastAsia"/>
                <w:color w:val="000000" w:themeColor="text1"/>
                <w14:textFill>
                  <w14:solidFill>
                    <w14:schemeClr w14:val="tx1"/>
                  </w14:solidFill>
                </w14:textFill>
              </w:rPr>
              <w:t>类</w:t>
            </w:r>
          </w:p>
        </w:tc>
      </w:tr>
      <w:tr w14:paraId="7B4BB74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69" w:type="pct"/>
            <w:tcMar>
              <w:left w:w="0" w:type="dxa"/>
              <w:right w:w="0" w:type="dxa"/>
            </w:tcMar>
            <w:vAlign w:val="center"/>
          </w:tcPr>
          <w:p w14:paraId="0BB2713C">
            <w:pPr>
              <w:pStyle w:val="278"/>
              <w:adjustRightInd w:val="0"/>
              <w:snapToGrid w:val="0"/>
              <w:spacing w:line="300" w:lineRule="exact"/>
              <w:rPr>
                <w:rFonts w:hint="eastAsia"/>
                <w:color w:val="000000" w:themeColor="text1"/>
                <w14:textFill>
                  <w14:solidFill>
                    <w14:schemeClr w14:val="tx1"/>
                  </w14:solidFill>
                </w14:textFill>
              </w:rPr>
            </w:pPr>
            <w:r>
              <w:rPr>
                <w:rFonts w:hint="eastAsia"/>
                <w:color w:val="000000" w:themeColor="text1"/>
                <w:spacing w:val="-8"/>
                <w14:textFill>
                  <w14:solidFill>
                    <w14:schemeClr w14:val="tx1"/>
                  </w14:solidFill>
                </w14:textFill>
              </w:rPr>
              <w:t>生态环境</w:t>
            </w:r>
          </w:p>
        </w:tc>
        <w:tc>
          <w:tcPr>
            <w:tcW w:w="1055" w:type="pct"/>
            <w:tcMar>
              <w:left w:w="0" w:type="dxa"/>
              <w:right w:w="0" w:type="dxa"/>
            </w:tcMar>
            <w:vAlign w:val="center"/>
          </w:tcPr>
          <w:p w14:paraId="57AECBAF">
            <w:pPr>
              <w:pStyle w:val="278"/>
              <w:adjustRightInd w:val="0"/>
              <w:snapToGrid w:val="0"/>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评价范围内的野生动植物</w:t>
            </w:r>
          </w:p>
        </w:tc>
        <w:tc>
          <w:tcPr>
            <w:tcW w:w="974" w:type="pct"/>
            <w:tcMar>
              <w:left w:w="0" w:type="dxa"/>
              <w:right w:w="0" w:type="dxa"/>
            </w:tcMar>
            <w:vAlign w:val="center"/>
          </w:tcPr>
          <w:p w14:paraId="67C8DDF3">
            <w:pPr>
              <w:pStyle w:val="278"/>
              <w:adjustRightInd w:val="0"/>
              <w:snapToGrid w:val="0"/>
              <w:spacing w:line="300" w:lineRule="exact"/>
              <w:rPr>
                <w:rFonts w:hint="eastAsia"/>
                <w:color w:val="000000" w:themeColor="text1"/>
                <w:spacing w:val="-8"/>
                <w14:textFill>
                  <w14:solidFill>
                    <w14:schemeClr w14:val="tx1"/>
                  </w14:solidFill>
                </w14:textFill>
              </w:rPr>
            </w:pPr>
          </w:p>
        </w:tc>
        <w:tc>
          <w:tcPr>
            <w:tcW w:w="2402" w:type="pct"/>
            <w:tcMar>
              <w:left w:w="0" w:type="dxa"/>
              <w:right w:w="0" w:type="dxa"/>
            </w:tcMar>
            <w:vAlign w:val="center"/>
          </w:tcPr>
          <w:p w14:paraId="1FF7AA44">
            <w:pPr>
              <w:pStyle w:val="278"/>
              <w:adjustRightInd w:val="0"/>
              <w:snapToGrid w:val="0"/>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保护野生动植物生境不被破坏</w:t>
            </w:r>
          </w:p>
        </w:tc>
      </w:tr>
      <w:bookmarkEnd w:id="138"/>
      <w:bookmarkEnd w:id="142"/>
    </w:tbl>
    <w:p w14:paraId="22C266E6">
      <w:pPr>
        <w:pStyle w:val="2"/>
        <w:rPr>
          <w:rFonts w:hint="eastAsia"/>
          <w:color w:val="000000" w:themeColor="text1"/>
          <w14:textFill>
            <w14:solidFill>
              <w14:schemeClr w14:val="tx1"/>
            </w14:solidFill>
          </w14:textFill>
        </w:rPr>
      </w:pPr>
      <w:bookmarkStart w:id="143" w:name="_Toc216260239"/>
      <w:r>
        <w:rPr>
          <w:rFonts w:hint="eastAsia"/>
          <w:color w:val="000000" w:themeColor="text1"/>
          <w14:textFill>
            <w14:solidFill>
              <w14:schemeClr w14:val="tx1"/>
            </w14:solidFill>
          </w14:textFill>
        </w:rPr>
        <w:t>评价内容和评价重点</w:t>
      </w:r>
      <w:bookmarkEnd w:id="143"/>
    </w:p>
    <w:p w14:paraId="16F24C37">
      <w:pPr>
        <w:pStyle w:val="4"/>
        <w:rPr>
          <w:rFonts w:hint="eastAsia"/>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评价内容</w:t>
      </w:r>
    </w:p>
    <w:p w14:paraId="68629878">
      <w:pPr>
        <w:pStyle w:val="117"/>
        <w:ind w:firstLine="468"/>
        <w:rPr>
          <w:rFonts w:hint="eastAsia"/>
          <w:color w:val="000000" w:themeColor="text1"/>
          <w14:textFill>
            <w14:solidFill>
              <w14:schemeClr w14:val="tx1"/>
            </w14:solidFill>
          </w14:textFill>
        </w:rPr>
      </w:pPr>
      <w:r>
        <w:rPr>
          <w:color w:val="000000" w:themeColor="text1"/>
          <w:spacing w:val="-6"/>
          <w14:textFill>
            <w14:solidFill>
              <w14:schemeClr w14:val="tx1"/>
            </w14:solidFill>
          </w14:textFill>
        </w:rPr>
        <w:t>根据《</w:t>
      </w:r>
      <w:r>
        <w:rPr>
          <w:rFonts w:hint="eastAsia"/>
          <w:color w:val="000000" w:themeColor="text1"/>
          <w:spacing w:val="-6"/>
          <w14:textFill>
            <w14:solidFill>
              <w14:schemeClr w14:val="tx1"/>
            </w14:solidFill>
          </w14:textFill>
        </w:rPr>
        <w:t>建设项目</w:t>
      </w:r>
      <w:r>
        <w:rPr>
          <w:color w:val="000000" w:themeColor="text1"/>
          <w:spacing w:val="-6"/>
          <w14:textFill>
            <w14:solidFill>
              <w14:schemeClr w14:val="tx1"/>
            </w14:solidFill>
          </w14:textFill>
        </w:rPr>
        <w:t>环境影响评价技术导则</w:t>
      </w:r>
      <w:r>
        <w:rPr>
          <w:rFonts w:hint="eastAsia"/>
          <w:color w:val="000000" w:themeColor="text1"/>
          <w:spacing w:val="-6"/>
          <w14:textFill>
            <w14:solidFill>
              <w14:schemeClr w14:val="tx1"/>
            </w14:solidFill>
          </w14:textFill>
        </w:rPr>
        <w:t xml:space="preserve"> </w:t>
      </w:r>
      <w:r>
        <w:rPr>
          <w:color w:val="000000" w:themeColor="text1"/>
          <w:spacing w:val="-6"/>
          <w14:textFill>
            <w14:solidFill>
              <w14:schemeClr w14:val="tx1"/>
            </w14:solidFill>
          </w14:textFill>
        </w:rPr>
        <w:t xml:space="preserve"> </w:t>
      </w:r>
      <w:r>
        <w:rPr>
          <w:rFonts w:hint="eastAsia"/>
          <w:color w:val="000000" w:themeColor="text1"/>
          <w:spacing w:val="-6"/>
          <w14:textFill>
            <w14:solidFill>
              <w14:schemeClr w14:val="tx1"/>
            </w14:solidFill>
          </w14:textFill>
        </w:rPr>
        <w:t>总纲</w:t>
      </w:r>
      <w:r>
        <w:rPr>
          <w:color w:val="000000" w:themeColor="text1"/>
          <w:spacing w:val="-6"/>
          <w14:textFill>
            <w14:solidFill>
              <w14:schemeClr w14:val="tx1"/>
            </w14:solidFill>
          </w14:textFill>
        </w:rPr>
        <w:t>》</w:t>
      </w:r>
      <w:r>
        <w:rPr>
          <w:rFonts w:hint="eastAsia"/>
          <w:color w:val="000000" w:themeColor="text1"/>
          <w:spacing w:val="-6"/>
          <w14:textFill>
            <w14:solidFill>
              <w14:schemeClr w14:val="tx1"/>
            </w14:solidFill>
          </w14:textFill>
        </w:rPr>
        <w:t>（H</w:t>
      </w:r>
      <w:r>
        <w:rPr>
          <w:color w:val="000000" w:themeColor="text1"/>
          <w:spacing w:val="-6"/>
          <w14:textFill>
            <w14:solidFill>
              <w14:schemeClr w14:val="tx1"/>
            </w14:solidFill>
          </w14:textFill>
        </w:rPr>
        <w:t>J2.1-2016</w:t>
      </w:r>
      <w:r>
        <w:rPr>
          <w:rFonts w:hint="eastAsia"/>
          <w:color w:val="000000" w:themeColor="text1"/>
          <w:spacing w:val="-6"/>
          <w14:textFill>
            <w14:solidFill>
              <w14:schemeClr w14:val="tx1"/>
            </w14:solidFill>
          </w14:textFill>
        </w:rPr>
        <w:t>）</w:t>
      </w:r>
      <w:r>
        <w:rPr>
          <w:color w:val="000000" w:themeColor="text1"/>
          <w:spacing w:val="-6"/>
          <w14:textFill>
            <w14:solidFill>
              <w14:schemeClr w14:val="tx1"/>
            </w14:solidFill>
          </w14:textFill>
        </w:rPr>
        <w:t>要求，结合项目特点、周围区域环境现状、环境功能区划，确定本次评价内容包括建设项目工程分析、环境</w:t>
      </w:r>
      <w:r>
        <w:rPr>
          <w:rFonts w:hint="eastAsia"/>
          <w:color w:val="000000" w:themeColor="text1"/>
          <w:spacing w:val="-6"/>
          <w14:textFill>
            <w14:solidFill>
              <w14:schemeClr w14:val="tx1"/>
            </w14:solidFill>
          </w14:textFill>
        </w:rPr>
        <w:t>现</w:t>
      </w:r>
      <w:r>
        <w:rPr>
          <w:color w:val="000000" w:themeColor="text1"/>
          <w:spacing w:val="-6"/>
          <w14:textFill>
            <w14:solidFill>
              <w14:schemeClr w14:val="tx1"/>
            </w14:solidFill>
          </w14:textFill>
        </w:rPr>
        <w:t>状调查与评价、环境影响预测与评价、环境保护措施及其可行性论证、环境影响经济损益分析、环境管理与监测计划、环境影响评价结论</w:t>
      </w:r>
      <w:r>
        <w:rPr>
          <w:rFonts w:hint="eastAsia"/>
          <w:color w:val="000000" w:themeColor="text1"/>
          <w:spacing w:val="-6"/>
          <w14:textFill>
            <w14:solidFill>
              <w14:schemeClr w14:val="tx1"/>
            </w14:solidFill>
          </w14:textFill>
        </w:rPr>
        <w:t>，具体</w:t>
      </w:r>
      <w:r>
        <w:rPr>
          <w:color w:val="000000" w:themeColor="text1"/>
          <w:spacing w:val="-6"/>
          <w14:textFill>
            <w14:solidFill>
              <w14:schemeClr w14:val="tx1"/>
            </w14:solidFill>
          </w14:textFill>
        </w:rPr>
        <w:t>见</w:t>
      </w:r>
      <w:r>
        <w:rPr>
          <w:rFonts w:hint="eastAsia"/>
          <w:color w:val="000000" w:themeColor="text1"/>
          <w:spacing w:val="-6"/>
          <w14:textFill>
            <w14:solidFill>
              <w14:schemeClr w14:val="tx1"/>
            </w14:solidFill>
          </w14:textFill>
        </w:rPr>
        <w:t>表</w:t>
      </w:r>
      <w:r>
        <w:rPr>
          <w:color w:val="000000" w:themeColor="text1"/>
          <w:spacing w:val="-6"/>
          <w14:textFill>
            <w14:solidFill>
              <w14:schemeClr w14:val="tx1"/>
            </w14:solidFill>
          </w14:textFill>
        </w:rPr>
        <w:t>2.8</w:t>
      </w:r>
      <w:r>
        <w:rPr>
          <w:rFonts w:hint="eastAsia"/>
          <w:color w:val="000000" w:themeColor="text1"/>
          <w:spacing w:val="-6"/>
          <w14:textFill>
            <w14:solidFill>
              <w14:schemeClr w14:val="tx1"/>
            </w14:solidFill>
          </w14:textFill>
        </w:rPr>
        <w:t>-</w:t>
      </w:r>
      <w:r>
        <w:rPr>
          <w:color w:val="000000" w:themeColor="text1"/>
          <w:spacing w:val="-6"/>
          <w14:textFill>
            <w14:solidFill>
              <w14:schemeClr w14:val="tx1"/>
            </w14:solidFill>
          </w14:textFill>
        </w:rPr>
        <w:t>1</w:t>
      </w:r>
      <w:r>
        <w:rPr>
          <w:rFonts w:hint="eastAsia"/>
          <w:color w:val="000000" w:themeColor="text1"/>
          <w:spacing w:val="-6"/>
          <w14:textFill>
            <w14:solidFill>
              <w14:schemeClr w14:val="tx1"/>
            </w14:solidFill>
          </w14:textFill>
        </w:rPr>
        <w:t>。</w:t>
      </w:r>
    </w:p>
    <w:p w14:paraId="2980202B">
      <w:pPr>
        <w:pStyle w:val="109"/>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表2</w:t>
      </w:r>
      <w:r>
        <w:rPr>
          <w:color w:val="000000" w:themeColor="text1"/>
          <w14:textFill>
            <w14:solidFill>
              <w14:schemeClr w14:val="tx1"/>
            </w14:solidFill>
          </w14:textFill>
        </w:rPr>
        <w:t>.8</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1</w:t>
      </w:r>
      <w:r>
        <w:rPr>
          <w:rFonts w:hint="eastAsia"/>
          <w:color w:val="000000" w:themeColor="text1"/>
          <w14:textFill>
            <w14:solidFill>
              <w14:schemeClr w14:val="tx1"/>
            </w14:solidFill>
          </w14:textFill>
        </w:rPr>
        <w:t xml:space="preserve">  评价内容一览表</w:t>
      </w:r>
    </w:p>
    <w:tbl>
      <w:tblPr>
        <w:tblStyle w:val="51"/>
        <w:tblW w:w="0" w:type="auto"/>
        <w:tblInd w:w="0" w:type="dxa"/>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
      <w:tblGrid>
        <w:gridCol w:w="709"/>
        <w:gridCol w:w="1526"/>
        <w:gridCol w:w="6711"/>
      </w:tblGrid>
      <w:tr w14:paraId="4DB94191">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tblHeader/>
        </w:trPr>
        <w:tc>
          <w:tcPr>
            <w:tcW w:w="709" w:type="dxa"/>
            <w:vAlign w:val="center"/>
          </w:tcPr>
          <w:p w14:paraId="335ECCAA">
            <w:pPr>
              <w:adjustRightInd w:val="0"/>
              <w:snapToGrid w:val="0"/>
              <w:spacing w:line="300" w:lineRule="exact"/>
              <w:jc w:val="center"/>
              <w:textAlignment w:val="baseline"/>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序号</w:t>
            </w:r>
          </w:p>
        </w:tc>
        <w:tc>
          <w:tcPr>
            <w:tcW w:w="1526" w:type="dxa"/>
            <w:vAlign w:val="center"/>
          </w:tcPr>
          <w:p w14:paraId="56DE74B1">
            <w:pPr>
              <w:adjustRightInd w:val="0"/>
              <w:snapToGrid w:val="0"/>
              <w:spacing w:line="300" w:lineRule="exact"/>
              <w:jc w:val="center"/>
              <w:textAlignment w:val="baseline"/>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评价专题</w:t>
            </w:r>
          </w:p>
        </w:tc>
        <w:tc>
          <w:tcPr>
            <w:tcW w:w="6711" w:type="dxa"/>
            <w:vAlign w:val="center"/>
          </w:tcPr>
          <w:p w14:paraId="2F2F8976">
            <w:pPr>
              <w:adjustRightInd w:val="0"/>
              <w:snapToGrid w:val="0"/>
              <w:spacing w:line="300" w:lineRule="exact"/>
              <w:jc w:val="center"/>
              <w:textAlignment w:val="baseline"/>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评价内容</w:t>
            </w:r>
          </w:p>
        </w:tc>
      </w:tr>
      <w:tr w14:paraId="7A3848B0">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709" w:type="dxa"/>
            <w:vAlign w:val="center"/>
          </w:tcPr>
          <w:p w14:paraId="57153F60">
            <w:pPr>
              <w:adjustRightInd w:val="0"/>
              <w:snapToGrid w:val="0"/>
              <w:spacing w:line="300" w:lineRule="exact"/>
              <w:jc w:val="center"/>
              <w:textAlignment w:val="baseline"/>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1</w:t>
            </w:r>
          </w:p>
        </w:tc>
        <w:tc>
          <w:tcPr>
            <w:tcW w:w="1526" w:type="dxa"/>
            <w:vAlign w:val="center"/>
          </w:tcPr>
          <w:p w14:paraId="652D2EB3">
            <w:pPr>
              <w:adjustRightInd w:val="0"/>
              <w:snapToGrid w:val="0"/>
              <w:spacing w:line="300" w:lineRule="exact"/>
              <w:jc w:val="center"/>
              <w:textAlignment w:val="baseline"/>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工程分析</w:t>
            </w:r>
          </w:p>
        </w:tc>
        <w:tc>
          <w:tcPr>
            <w:tcW w:w="6711" w:type="dxa"/>
            <w:vAlign w:val="center"/>
          </w:tcPr>
          <w:p w14:paraId="1165674A">
            <w:pPr>
              <w:adjustRightInd w:val="0"/>
              <w:snapToGrid w:val="0"/>
              <w:spacing w:line="300" w:lineRule="exact"/>
              <w:textAlignment w:val="baseline"/>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项目基本情况、主体工程、公辅工程、环保工程、依托工程，根据污染物产生环节、方式及治理措施，核算污染物产生和排放强度，给出污染因子及其产生和排放的方式及数量等。</w:t>
            </w:r>
          </w:p>
        </w:tc>
      </w:tr>
      <w:tr w14:paraId="622C5909">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709" w:type="dxa"/>
            <w:vAlign w:val="center"/>
          </w:tcPr>
          <w:p w14:paraId="5C497ABA">
            <w:pPr>
              <w:adjustRightInd w:val="0"/>
              <w:snapToGrid w:val="0"/>
              <w:spacing w:line="300" w:lineRule="exact"/>
              <w:jc w:val="center"/>
              <w:textAlignment w:val="baseline"/>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2</w:t>
            </w:r>
          </w:p>
        </w:tc>
        <w:tc>
          <w:tcPr>
            <w:tcW w:w="1526" w:type="dxa"/>
            <w:vAlign w:val="center"/>
          </w:tcPr>
          <w:p w14:paraId="09F615E7">
            <w:pPr>
              <w:adjustRightInd w:val="0"/>
              <w:snapToGrid w:val="0"/>
              <w:spacing w:line="300" w:lineRule="exact"/>
              <w:jc w:val="center"/>
              <w:textAlignment w:val="baseline"/>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环境现状</w:t>
            </w:r>
          </w:p>
          <w:p w14:paraId="40B2FAB6">
            <w:pPr>
              <w:adjustRightInd w:val="0"/>
              <w:snapToGrid w:val="0"/>
              <w:spacing w:line="300" w:lineRule="exact"/>
              <w:jc w:val="center"/>
              <w:textAlignment w:val="baseline"/>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调查与评价</w:t>
            </w:r>
          </w:p>
        </w:tc>
        <w:tc>
          <w:tcPr>
            <w:tcW w:w="6711" w:type="dxa"/>
            <w:vAlign w:val="center"/>
          </w:tcPr>
          <w:p w14:paraId="2D48F002">
            <w:pPr>
              <w:adjustRightInd w:val="0"/>
              <w:snapToGrid w:val="0"/>
              <w:spacing w:line="300" w:lineRule="exact"/>
              <w:textAlignment w:val="baseline"/>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自然环境、环境保护目标调查、环境质量现状调查（包括环境空气、地下水、声环境、土壤环境和生态环境）。</w:t>
            </w:r>
          </w:p>
        </w:tc>
      </w:tr>
      <w:tr w14:paraId="4CB73528">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709" w:type="dxa"/>
            <w:vAlign w:val="center"/>
          </w:tcPr>
          <w:p w14:paraId="5A60A614">
            <w:pPr>
              <w:adjustRightInd w:val="0"/>
              <w:snapToGrid w:val="0"/>
              <w:spacing w:line="300" w:lineRule="exact"/>
              <w:jc w:val="center"/>
              <w:textAlignment w:val="baseline"/>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3</w:t>
            </w:r>
          </w:p>
        </w:tc>
        <w:tc>
          <w:tcPr>
            <w:tcW w:w="1526" w:type="dxa"/>
            <w:vAlign w:val="center"/>
          </w:tcPr>
          <w:p w14:paraId="48D0381D">
            <w:pPr>
              <w:adjustRightInd w:val="0"/>
              <w:snapToGrid w:val="0"/>
              <w:spacing w:line="300" w:lineRule="exact"/>
              <w:jc w:val="center"/>
              <w:textAlignment w:val="baseline"/>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环境影响</w:t>
            </w:r>
          </w:p>
          <w:p w14:paraId="77058B1F">
            <w:pPr>
              <w:adjustRightInd w:val="0"/>
              <w:snapToGrid w:val="0"/>
              <w:spacing w:line="300" w:lineRule="exact"/>
              <w:jc w:val="center"/>
              <w:textAlignment w:val="baseline"/>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预测与评价</w:t>
            </w:r>
          </w:p>
        </w:tc>
        <w:tc>
          <w:tcPr>
            <w:tcW w:w="6711" w:type="dxa"/>
            <w:vAlign w:val="center"/>
          </w:tcPr>
          <w:p w14:paraId="2AB71541">
            <w:pPr>
              <w:adjustRightInd w:val="0"/>
              <w:snapToGrid w:val="0"/>
              <w:spacing w:line="300" w:lineRule="exact"/>
              <w:textAlignment w:val="baseline"/>
              <w:rPr>
                <w:rFonts w:hint="eastAsia" w:ascii="宋体" w:hAnsi="宋体" w:cs="宋体"/>
                <w:color w:val="000000" w:themeColor="text1"/>
                <w:spacing w:val="-4"/>
                <w:kern w:val="0"/>
                <w:szCs w:val="21"/>
                <w14:textFill>
                  <w14:solidFill>
                    <w14:schemeClr w14:val="tx1"/>
                  </w14:solidFill>
                </w14:textFill>
              </w:rPr>
            </w:pPr>
            <w:r>
              <w:rPr>
                <w:rFonts w:hint="eastAsia" w:ascii="宋体" w:hAnsi="宋体" w:cs="宋体"/>
                <w:color w:val="000000" w:themeColor="text1"/>
                <w:spacing w:val="-4"/>
                <w:kern w:val="0"/>
                <w:szCs w:val="21"/>
                <w14:textFill>
                  <w14:solidFill>
                    <w14:schemeClr w14:val="tx1"/>
                  </w14:solidFill>
                </w14:textFill>
              </w:rPr>
              <w:t>分为施工期、运营期和退役期。对施工期和退役期扬尘、废水、噪声、固废、生态环境和土壤环境等进行分析。运营期对废气、废水、噪声、固体废物、土壤进行了影响预测和分析，并开展了环境风险评价。</w:t>
            </w:r>
          </w:p>
        </w:tc>
      </w:tr>
      <w:tr w14:paraId="7E7B0D29">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709" w:type="dxa"/>
            <w:vAlign w:val="center"/>
          </w:tcPr>
          <w:p w14:paraId="2B7F1181">
            <w:pPr>
              <w:adjustRightInd w:val="0"/>
              <w:snapToGrid w:val="0"/>
              <w:spacing w:line="300" w:lineRule="exact"/>
              <w:jc w:val="center"/>
              <w:textAlignment w:val="baseline"/>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4</w:t>
            </w:r>
          </w:p>
        </w:tc>
        <w:tc>
          <w:tcPr>
            <w:tcW w:w="1526" w:type="dxa"/>
            <w:vAlign w:val="center"/>
          </w:tcPr>
          <w:p w14:paraId="44CF50C3">
            <w:pPr>
              <w:adjustRightInd w:val="0"/>
              <w:snapToGrid w:val="0"/>
              <w:spacing w:line="300" w:lineRule="exact"/>
              <w:jc w:val="center"/>
              <w:textAlignment w:val="baseline"/>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环保措施及其可行性论证</w:t>
            </w:r>
          </w:p>
        </w:tc>
        <w:tc>
          <w:tcPr>
            <w:tcW w:w="6711" w:type="dxa"/>
            <w:vAlign w:val="center"/>
          </w:tcPr>
          <w:p w14:paraId="605A2CF1">
            <w:pPr>
              <w:adjustRightInd w:val="0"/>
              <w:snapToGrid w:val="0"/>
              <w:spacing w:line="300" w:lineRule="exact"/>
              <w:textAlignment w:val="baseline"/>
              <w:rPr>
                <w:rFonts w:hint="eastAsia" w:ascii="宋体" w:hAnsi="宋体" w:cs="宋体"/>
                <w:color w:val="000000" w:themeColor="text1"/>
                <w:spacing w:val="-4"/>
                <w:kern w:val="0"/>
                <w:szCs w:val="21"/>
                <w14:textFill>
                  <w14:solidFill>
                    <w14:schemeClr w14:val="tx1"/>
                  </w14:solidFill>
                </w14:textFill>
              </w:rPr>
            </w:pPr>
            <w:r>
              <w:rPr>
                <w:rFonts w:hint="eastAsia" w:ascii="宋体" w:hAnsi="宋体" w:cs="宋体"/>
                <w:color w:val="000000" w:themeColor="text1"/>
                <w:spacing w:val="-4"/>
                <w:kern w:val="0"/>
                <w:szCs w:val="21"/>
                <w14:textFill>
                  <w14:solidFill>
                    <w14:schemeClr w14:val="tx1"/>
                  </w14:solidFill>
                </w14:textFill>
              </w:rPr>
              <w:t>针对废气、废水、噪声、固体废物、土壤污染防治措施、生态环境保护措施和环境风险防范措施进行论证。</w:t>
            </w:r>
          </w:p>
        </w:tc>
      </w:tr>
      <w:tr w14:paraId="1DD07A0F">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709" w:type="dxa"/>
            <w:vAlign w:val="center"/>
          </w:tcPr>
          <w:p w14:paraId="51B4E883">
            <w:pPr>
              <w:adjustRightInd w:val="0"/>
              <w:snapToGrid w:val="0"/>
              <w:spacing w:line="300" w:lineRule="exact"/>
              <w:jc w:val="center"/>
              <w:textAlignment w:val="baseline"/>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5</w:t>
            </w:r>
          </w:p>
        </w:tc>
        <w:tc>
          <w:tcPr>
            <w:tcW w:w="1526" w:type="dxa"/>
            <w:vAlign w:val="center"/>
          </w:tcPr>
          <w:p w14:paraId="2448C4EE">
            <w:pPr>
              <w:adjustRightInd w:val="0"/>
              <w:snapToGrid w:val="0"/>
              <w:spacing w:line="300" w:lineRule="exact"/>
              <w:jc w:val="center"/>
              <w:textAlignment w:val="baseline"/>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环境影响经济损益分析</w:t>
            </w:r>
          </w:p>
        </w:tc>
        <w:tc>
          <w:tcPr>
            <w:tcW w:w="6711" w:type="dxa"/>
            <w:vAlign w:val="center"/>
          </w:tcPr>
          <w:p w14:paraId="16B7A20D">
            <w:pPr>
              <w:adjustRightInd w:val="0"/>
              <w:snapToGrid w:val="0"/>
              <w:spacing w:line="300" w:lineRule="exact"/>
              <w:textAlignment w:val="baseline"/>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从社会效益、经济效益和环境效益等方面叙述。</w:t>
            </w:r>
          </w:p>
        </w:tc>
      </w:tr>
      <w:tr w14:paraId="237C813B">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709" w:type="dxa"/>
            <w:vAlign w:val="center"/>
          </w:tcPr>
          <w:p w14:paraId="61E740CD">
            <w:pPr>
              <w:adjustRightInd w:val="0"/>
              <w:snapToGrid w:val="0"/>
              <w:spacing w:line="300" w:lineRule="exact"/>
              <w:jc w:val="center"/>
              <w:textAlignment w:val="baseline"/>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6</w:t>
            </w:r>
          </w:p>
        </w:tc>
        <w:tc>
          <w:tcPr>
            <w:tcW w:w="1526" w:type="dxa"/>
            <w:vAlign w:val="center"/>
          </w:tcPr>
          <w:p w14:paraId="7FADF0E1">
            <w:pPr>
              <w:adjustRightInd w:val="0"/>
              <w:snapToGrid w:val="0"/>
              <w:spacing w:line="300" w:lineRule="exact"/>
              <w:jc w:val="center"/>
              <w:textAlignment w:val="baseline"/>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环境管理与环境监测计划</w:t>
            </w:r>
          </w:p>
        </w:tc>
        <w:tc>
          <w:tcPr>
            <w:tcW w:w="6711" w:type="dxa"/>
            <w:vAlign w:val="center"/>
          </w:tcPr>
          <w:p w14:paraId="4EFEE3F8">
            <w:pPr>
              <w:adjustRightInd w:val="0"/>
              <w:snapToGrid w:val="0"/>
              <w:spacing w:line="300" w:lineRule="exact"/>
              <w:textAlignment w:val="baseline"/>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根据国家环境管理与监测要求，给出环境管理制度和日常监测计划，给出污染物排放清单、制定环保三同时验收一览表。</w:t>
            </w:r>
          </w:p>
        </w:tc>
      </w:tr>
      <w:tr w14:paraId="18945FB0">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709" w:type="dxa"/>
            <w:vAlign w:val="center"/>
          </w:tcPr>
          <w:p w14:paraId="7A7669A1">
            <w:pPr>
              <w:adjustRightInd w:val="0"/>
              <w:snapToGrid w:val="0"/>
              <w:spacing w:line="300" w:lineRule="exact"/>
              <w:jc w:val="center"/>
              <w:textAlignment w:val="baseline"/>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7</w:t>
            </w:r>
          </w:p>
        </w:tc>
        <w:tc>
          <w:tcPr>
            <w:tcW w:w="1526" w:type="dxa"/>
            <w:vAlign w:val="center"/>
          </w:tcPr>
          <w:p w14:paraId="2BBF4458">
            <w:pPr>
              <w:adjustRightInd w:val="0"/>
              <w:snapToGrid w:val="0"/>
              <w:spacing w:line="300" w:lineRule="exact"/>
              <w:jc w:val="center"/>
              <w:textAlignment w:val="baseline"/>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结论</w:t>
            </w:r>
          </w:p>
        </w:tc>
        <w:tc>
          <w:tcPr>
            <w:tcW w:w="6711" w:type="dxa"/>
            <w:vAlign w:val="center"/>
          </w:tcPr>
          <w:p w14:paraId="63ADAB60">
            <w:pPr>
              <w:adjustRightInd w:val="0"/>
              <w:snapToGrid w:val="0"/>
              <w:spacing w:line="300" w:lineRule="exact"/>
              <w:textAlignment w:val="baseline"/>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根据上述各章节的相关分析结果，从环保角度给出建设可行性结论。</w:t>
            </w:r>
          </w:p>
        </w:tc>
      </w:tr>
    </w:tbl>
    <w:p w14:paraId="0F27A64D">
      <w:pPr>
        <w:pStyle w:val="4"/>
        <w:rPr>
          <w:rFonts w:hint="eastAsia"/>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评价重点</w:t>
      </w:r>
    </w:p>
    <w:p w14:paraId="7F2396C2">
      <w:pPr>
        <w:pStyle w:val="117"/>
        <w:spacing w:line="480" w:lineRule="exact"/>
        <w:ind w:firstLine="480"/>
        <w:rPr>
          <w:rFonts w:hint="eastAsia"/>
          <w:color w:val="000000" w:themeColor="text1"/>
          <w14:textFill>
            <w14:solidFill>
              <w14:schemeClr w14:val="tx1"/>
            </w14:solidFill>
          </w14:textFill>
        </w:rPr>
      </w:pPr>
      <w:r>
        <w:rPr>
          <w:color w:val="000000" w:themeColor="text1"/>
          <w14:textFill>
            <w14:solidFill>
              <w14:schemeClr w14:val="tx1"/>
            </w14:solidFill>
          </w14:textFill>
        </w:rPr>
        <w:t>根据</w:t>
      </w:r>
      <w:r>
        <w:rPr>
          <w:rFonts w:hint="eastAsia"/>
          <w:color w:val="000000" w:themeColor="text1"/>
          <w14:textFill>
            <w14:solidFill>
              <w14:schemeClr w14:val="tx1"/>
            </w14:solidFill>
          </w14:textFill>
        </w:rPr>
        <w:t>工</w:t>
      </w:r>
      <w:r>
        <w:rPr>
          <w:color w:val="000000" w:themeColor="text1"/>
          <w14:textFill>
            <w14:solidFill>
              <w14:schemeClr w14:val="tx1"/>
            </w14:solidFill>
          </w14:textFill>
        </w:rPr>
        <w:t>程特点及评价因子筛选的结果，结合区域环境状况，确定本次环境影响评价工作的重点为：</w:t>
      </w:r>
    </w:p>
    <w:p w14:paraId="135B98ED">
      <w:pPr>
        <w:pStyle w:val="117"/>
        <w:spacing w:line="480" w:lineRule="exact"/>
        <w:ind w:firstLine="480"/>
        <w:rPr>
          <w:rFonts w:hint="eastAsia"/>
          <w:color w:val="000000" w:themeColor="text1"/>
          <w14:textFill>
            <w14:solidFill>
              <w14:schemeClr w14:val="tx1"/>
            </w14:solidFill>
          </w14:textFill>
        </w:rPr>
      </w:pPr>
      <w:r>
        <w:rPr>
          <w:color w:val="000000" w:themeColor="text1"/>
          <w14:textFill>
            <w14:solidFill>
              <w14:schemeClr w14:val="tx1"/>
            </w14:solidFill>
          </w14:textFill>
        </w:rPr>
        <w:t>（1）</w:t>
      </w:r>
      <w:r>
        <w:rPr>
          <w:rFonts w:hint="eastAsia"/>
          <w:color w:val="000000" w:themeColor="text1"/>
          <w14:textFill>
            <w14:solidFill>
              <w14:schemeClr w14:val="tx1"/>
            </w14:solidFill>
          </w14:textFill>
        </w:rPr>
        <w:t>建设项目</w:t>
      </w:r>
      <w:r>
        <w:rPr>
          <w:color w:val="000000" w:themeColor="text1"/>
          <w14:textFill>
            <w14:solidFill>
              <w14:schemeClr w14:val="tx1"/>
            </w14:solidFill>
          </w14:textFill>
        </w:rPr>
        <w:t>工程分析</w:t>
      </w:r>
      <w:r>
        <w:rPr>
          <w:rFonts w:hint="eastAsia"/>
          <w:color w:val="000000" w:themeColor="text1"/>
          <w14:textFill>
            <w14:solidFill>
              <w14:schemeClr w14:val="tx1"/>
            </w14:solidFill>
          </w14:textFill>
        </w:rPr>
        <w:t>；</w:t>
      </w:r>
    </w:p>
    <w:p w14:paraId="3C0666BC">
      <w:pPr>
        <w:pStyle w:val="117"/>
        <w:spacing w:line="480" w:lineRule="exact"/>
        <w:ind w:firstLine="480"/>
        <w:rPr>
          <w:rFonts w:hint="eastAsia"/>
          <w:color w:val="000000" w:themeColor="text1"/>
          <w14:textFill>
            <w14:solidFill>
              <w14:schemeClr w14:val="tx1"/>
            </w14:solidFill>
          </w14:textFill>
        </w:rPr>
      </w:pPr>
      <w:r>
        <w:rPr>
          <w:color w:val="000000" w:themeColor="text1"/>
          <w14:textFill>
            <w14:solidFill>
              <w14:schemeClr w14:val="tx1"/>
            </w14:solidFill>
          </w14:textFill>
        </w:rPr>
        <w:t>（2）</w:t>
      </w:r>
      <w:r>
        <w:rPr>
          <w:rFonts w:hint="eastAsia"/>
          <w:color w:val="000000" w:themeColor="text1"/>
          <w14:textFill>
            <w14:solidFill>
              <w14:schemeClr w14:val="tx1"/>
            </w14:solidFill>
          </w14:textFill>
        </w:rPr>
        <w:t>大气、地下水、土壤、生态</w:t>
      </w:r>
      <w:r>
        <w:rPr>
          <w:color w:val="000000" w:themeColor="text1"/>
          <w14:textFill>
            <w14:solidFill>
              <w14:schemeClr w14:val="tx1"/>
            </w14:solidFill>
          </w14:textFill>
        </w:rPr>
        <w:t>环境影响评价</w:t>
      </w:r>
      <w:r>
        <w:rPr>
          <w:rFonts w:hint="eastAsia"/>
          <w:color w:val="000000" w:themeColor="text1"/>
          <w14:textFill>
            <w14:solidFill>
              <w14:schemeClr w14:val="tx1"/>
            </w14:solidFill>
          </w14:textFill>
        </w:rPr>
        <w:t>及环境风险分析；</w:t>
      </w:r>
    </w:p>
    <w:p w14:paraId="5C9FFB55">
      <w:pPr>
        <w:pStyle w:val="117"/>
        <w:spacing w:line="480" w:lineRule="exact"/>
        <w:ind w:firstLine="480"/>
        <w:rPr>
          <w:rFonts w:hint="eastAsia"/>
          <w:color w:val="000000" w:themeColor="text1"/>
          <w14:textFill>
            <w14:solidFill>
              <w14:schemeClr w14:val="tx1"/>
            </w14:solidFill>
          </w14:textFill>
        </w:rPr>
      </w:pPr>
      <w:r>
        <w:rPr>
          <w:color w:val="000000" w:themeColor="text1"/>
          <w14:textFill>
            <w14:solidFill>
              <w14:schemeClr w14:val="tx1"/>
            </w14:solidFill>
          </w14:textFill>
        </w:rPr>
        <w:t>（3）环境保护措施</w:t>
      </w:r>
      <w:r>
        <w:rPr>
          <w:rFonts w:hint="eastAsia"/>
          <w:color w:val="000000" w:themeColor="text1"/>
          <w14:textFill>
            <w14:solidFill>
              <w14:schemeClr w14:val="tx1"/>
            </w14:solidFill>
          </w14:textFill>
        </w:rPr>
        <w:t>及其可行性论证。</w:t>
      </w:r>
    </w:p>
    <w:p w14:paraId="0079DF33">
      <w:pPr>
        <w:pStyle w:val="2"/>
        <w:rPr>
          <w:rFonts w:hint="eastAsia"/>
          <w:color w:val="000000" w:themeColor="text1"/>
          <w:lang w:val="zh-CN"/>
          <w14:textFill>
            <w14:solidFill>
              <w14:schemeClr w14:val="tx1"/>
            </w14:solidFill>
          </w14:textFill>
        </w:rPr>
      </w:pPr>
      <w:bookmarkStart w:id="144" w:name="_Toc475624465"/>
      <w:bookmarkStart w:id="145" w:name="_Toc216260240"/>
      <w:r>
        <w:rPr>
          <w:rFonts w:hint="eastAsia"/>
          <w:color w:val="000000" w:themeColor="text1"/>
          <w:lang w:val="zh-CN"/>
          <w14:textFill>
            <w14:solidFill>
              <w14:schemeClr w14:val="tx1"/>
            </w14:solidFill>
          </w14:textFill>
        </w:rPr>
        <w:t>相关规划</w:t>
      </w:r>
      <w:bookmarkEnd w:id="144"/>
      <w:r>
        <w:rPr>
          <w:rFonts w:hint="eastAsia"/>
          <w:color w:val="000000" w:themeColor="text1"/>
          <w14:textFill>
            <w14:solidFill>
              <w14:schemeClr w14:val="tx1"/>
            </w14:solidFill>
          </w14:textFill>
        </w:rPr>
        <w:t>及政策符合性分析</w:t>
      </w:r>
      <w:bookmarkEnd w:id="145"/>
    </w:p>
    <w:p w14:paraId="5E74498B">
      <w:pPr>
        <w:pStyle w:val="4"/>
        <w:rPr>
          <w:rFonts w:hint="eastAsia"/>
          <w:color w:val="000000" w:themeColor="text1"/>
          <w:lang w:val="zh-CN"/>
          <w14:textFill>
            <w14:solidFill>
              <w14:schemeClr w14:val="tx1"/>
            </w14:solidFill>
          </w14:textFill>
        </w:rPr>
      </w:pPr>
      <w:bookmarkStart w:id="146" w:name="_Toc12849"/>
      <w:bookmarkStart w:id="147" w:name="_Toc445996339"/>
      <w:bookmarkStart w:id="148" w:name="_Toc445842058"/>
      <w:r>
        <w:rPr>
          <w:color w:val="000000" w:themeColor="text1"/>
          <w:lang w:val="zh-CN"/>
          <w14:textFill>
            <w14:solidFill>
              <w14:schemeClr w14:val="tx1"/>
            </w14:solidFill>
          </w14:textFill>
        </w:rPr>
        <w:t>相关规划</w:t>
      </w:r>
      <w:bookmarkEnd w:id="146"/>
      <w:bookmarkEnd w:id="147"/>
      <w:bookmarkEnd w:id="148"/>
      <w:r>
        <w:rPr>
          <w:rFonts w:hint="eastAsia"/>
          <w:color w:val="000000" w:themeColor="text1"/>
          <w14:textFill>
            <w14:solidFill>
              <w14:schemeClr w14:val="tx1"/>
            </w14:solidFill>
          </w14:textFill>
        </w:rPr>
        <w:t>符合性分析</w:t>
      </w:r>
    </w:p>
    <w:p w14:paraId="2E36452C">
      <w:pPr>
        <w:pStyle w:val="117"/>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w:t>
      </w:r>
      <w:r>
        <w:rPr>
          <w:color w:val="000000" w:themeColor="text1"/>
          <w14:textFill>
            <w14:solidFill>
              <w14:schemeClr w14:val="tx1"/>
            </w14:solidFill>
          </w14:textFill>
        </w:rPr>
        <w:t>1）区域发展规划</w:t>
      </w:r>
      <w:r>
        <w:rPr>
          <w:rFonts w:hint="eastAsia"/>
          <w:color w:val="000000" w:themeColor="text1"/>
          <w14:textFill>
            <w14:solidFill>
              <w14:schemeClr w14:val="tx1"/>
            </w14:solidFill>
          </w14:textFill>
        </w:rPr>
        <w:t>符合性分析</w:t>
      </w:r>
    </w:p>
    <w:p w14:paraId="73086899">
      <w:pPr>
        <w:pStyle w:val="117"/>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新疆维吾尔自治区国民经济和社会发展第十四个五年规划和2035年远景目标纲要》中指出：“加大准噶尔、吐哈、塔里木三大盆地油气勘探开发力度，提高新疆在油气资源开发利用转化过程中的参与度。加快中石油玛湖、吉木萨尔、准噶尔盆地南缘以及中石化顺北等大型油气田建设，促进油气增储上产”。本项目位于准噶尔盆地，属于陆地石油开采行业，项目实施后有利于提高准噶尔盆地原油产量，符合规划及纲要中的相关要求。</w:t>
      </w:r>
    </w:p>
    <w:p w14:paraId="24A19797">
      <w:pPr>
        <w:pStyle w:val="117"/>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根据《昌吉州国民经济和社会发展第十四个五年规划和2035年远景目标纲要》中“三、推进油气资源开发利用”：加快推动油气田开发。按照“发展下游、支持中游、协调上游”的原则，加快推进阜康、吉木萨尔油田、奇台天然气田开发力度，延伸石油天然气下游产业链……推动关联深加工产业链规模化发展。本项目属于页岩油开采建设项目，项目建成后将新建原油产能</w:t>
      </w:r>
      <w:r>
        <w:rPr>
          <w:color w:val="000000" w:themeColor="text1"/>
          <w14:textFill>
            <w14:solidFill>
              <w14:schemeClr w14:val="tx1"/>
            </w14:solidFill>
          </w14:textFill>
        </w:rPr>
        <w:t>29.34</w:t>
      </w:r>
      <w:r>
        <w:rPr>
          <w:rFonts w:hint="eastAsia"/>
          <w:color w:val="000000" w:themeColor="text1"/>
          <w14:textFill>
            <w14:solidFill>
              <w14:schemeClr w14:val="tx1"/>
            </w14:solidFill>
          </w14:textFill>
        </w:rPr>
        <w:t>×10</w:t>
      </w:r>
      <w:r>
        <w:rPr>
          <w:rFonts w:hint="eastAsia"/>
          <w:color w:val="000000" w:themeColor="text1"/>
          <w:vertAlign w:val="superscript"/>
          <w14:textFill>
            <w14:solidFill>
              <w14:schemeClr w14:val="tx1"/>
            </w14:solidFill>
          </w14:textFill>
        </w:rPr>
        <w:t>4</w:t>
      </w:r>
      <w:r>
        <w:rPr>
          <w:rFonts w:hint="eastAsia"/>
          <w:color w:val="000000" w:themeColor="text1"/>
          <w14:textFill>
            <w14:solidFill>
              <w14:schemeClr w14:val="tx1"/>
            </w14:solidFill>
          </w14:textFill>
        </w:rPr>
        <w:t>t/a，项目建设符合《昌吉州国民经济和社会发展第十四个五年规划和2035年远景目标纲要》的相关要求。</w:t>
      </w:r>
    </w:p>
    <w:p w14:paraId="664145CF">
      <w:pPr>
        <w:pStyle w:val="117"/>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（2</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与</w:t>
      </w:r>
      <w:bookmarkStart w:id="149" w:name="OLE_LINK10"/>
      <w:r>
        <w:rPr>
          <w:rFonts w:hint="eastAsia"/>
          <w:color w:val="000000" w:themeColor="text1"/>
          <w14:textFill>
            <w14:solidFill>
              <w14:schemeClr w14:val="tx1"/>
            </w14:solidFill>
          </w14:textFill>
        </w:rPr>
        <w:t>《新疆维吾尔自治区主体功能区规划》</w:t>
      </w:r>
      <w:bookmarkEnd w:id="149"/>
      <w:r>
        <w:rPr>
          <w:rFonts w:hint="eastAsia"/>
          <w:color w:val="000000" w:themeColor="text1"/>
          <w14:textFill>
            <w14:solidFill>
              <w14:schemeClr w14:val="tx1"/>
            </w14:solidFill>
          </w14:textFill>
        </w:rPr>
        <w:t>的符合性分析</w:t>
      </w:r>
    </w:p>
    <w:p w14:paraId="711FFAC0">
      <w:pPr>
        <w:pStyle w:val="191"/>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本项目所在区域</w:t>
      </w:r>
      <w:r>
        <w:rPr>
          <w:color w:val="000000" w:themeColor="text1"/>
          <w14:textFill>
            <w14:solidFill>
              <w14:schemeClr w14:val="tx1"/>
            </w14:solidFill>
          </w14:textFill>
        </w:rPr>
        <w:t>吉木萨尔县</w:t>
      </w:r>
      <w:r>
        <w:rPr>
          <w:rFonts w:hint="eastAsia"/>
          <w:color w:val="000000" w:themeColor="text1"/>
          <w14:textFill>
            <w14:solidFill>
              <w14:schemeClr w14:val="tx1"/>
            </w14:solidFill>
          </w14:textFill>
        </w:rPr>
        <w:t>位于《新疆维吾尔自治区主体功能区规划》中的限制</w:t>
      </w:r>
      <w:r>
        <w:rPr>
          <w:color w:val="000000" w:themeColor="text1"/>
          <w14:textFill>
            <w14:solidFill>
              <w14:schemeClr w14:val="tx1"/>
            </w14:solidFill>
          </w14:textFill>
        </w:rPr>
        <w:t>开发区域（国家级农产品主产区），为天山北坡主产区。</w:t>
      </w:r>
      <w:r>
        <w:rPr>
          <w:rFonts w:hint="eastAsia"/>
          <w:color w:val="000000" w:themeColor="text1"/>
          <w14:textFill>
            <w14:solidFill>
              <w14:schemeClr w14:val="tx1"/>
            </w14:solidFill>
          </w14:textFill>
        </w:rPr>
        <w:t>该区要求位于农产品主产区的点状能源和矿产资源基地建设，必须进行生态环境影响评估，并尽可能减少对生态空间与农业空间的占用，同步修复生态环境。其中，在水资源严重短缺、环境容量很小、生态十分脆弱、地震和地质灾害频发的地区，要严格控制能源和矿产资源开发。</w:t>
      </w:r>
    </w:p>
    <w:p w14:paraId="72E38ECF">
      <w:pPr>
        <w:pStyle w:val="191"/>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本项目不在主体功能区划中确定的国家和自治区层面的禁止开发区域内，所进行的石油天然气勘探活动符合“全国重要的能源基地”定位。项目所在区域不在生态红线区内，所占土地类型为天然牧草地和其他草地，不占用林地、水库水域、河流水面、湖泊水面等。为了实现区域的生态功能，项目对开发活动严格控制，尽可能减少对生态系统的干扰；在项目实施过程中需要积极采取生态补偿措施，加强对荒漠生态功能区保护和恢复，高度注意保护荒漠植被，保护野生动物，保护地貌，维护自然生态环境，积极落实本次环评提出的各项生态环境保护措施。本项目的建设符合《新疆维吾尔自治区主体功能区规划》对限制开发区的开发管制要求，与区域生态功能的保护相协调。</w:t>
      </w:r>
    </w:p>
    <w:p w14:paraId="1EEA8D2B">
      <w:pPr>
        <w:pStyle w:val="191"/>
        <w:ind w:firstLine="480"/>
        <w:rPr>
          <w:rFonts w:hint="eastAsia"/>
          <w:color w:val="000000" w:themeColor="text1"/>
          <w14:textFill>
            <w14:solidFill>
              <w14:schemeClr w14:val="tx1"/>
            </w14:solidFill>
          </w14:textFill>
        </w:rPr>
      </w:pPr>
      <w:bookmarkStart w:id="150" w:name="_Hlk173402686"/>
      <w:r>
        <w:rPr>
          <w:rFonts w:hint="eastAsia"/>
          <w:color w:val="000000" w:themeColor="text1"/>
          <w14:textFill>
            <w14:solidFill>
              <w14:schemeClr w14:val="tx1"/>
            </w14:solidFill>
          </w14:textFill>
        </w:rPr>
        <w:t>（3）行业发展规划及规划环评</w:t>
      </w:r>
      <w:r>
        <w:rPr>
          <w:color w:val="000000" w:themeColor="text1"/>
          <w14:textFill>
            <w14:solidFill>
              <w14:schemeClr w14:val="tx1"/>
            </w14:solidFill>
          </w14:textFill>
        </w:rPr>
        <w:t>相符性分析</w:t>
      </w:r>
    </w:p>
    <w:bookmarkEnd w:id="150"/>
    <w:p w14:paraId="273668BD">
      <w:pPr>
        <w:pStyle w:val="191"/>
        <w:ind w:firstLine="480"/>
        <w:rPr>
          <w:rFonts w:hint="eastAsia"/>
          <w:color w:val="000000" w:themeColor="text1"/>
          <w:lang w:bidi="ar"/>
          <w14:textFill>
            <w14:solidFill>
              <w14:schemeClr w14:val="tx1"/>
            </w14:solidFill>
          </w14:textFill>
        </w:rPr>
      </w:pPr>
      <w:bookmarkStart w:id="151" w:name="_Hlk173402673"/>
      <w:r>
        <w:rPr>
          <w:rFonts w:hint="eastAsia"/>
          <w:color w:val="000000" w:themeColor="text1"/>
          <w14:textFill>
            <w14:solidFill>
              <w14:schemeClr w14:val="tx1"/>
            </w14:solidFill>
          </w14:textFill>
        </w:rPr>
        <w:t>《新疆油田公司“十四五”发展规划》指出，地面系统总体能力满足“十四五”期间新区玛湖500万吨上产、</w:t>
      </w:r>
      <w:bookmarkStart w:id="152" w:name="_Hlk159578586"/>
      <w:r>
        <w:rPr>
          <w:rFonts w:hint="eastAsia"/>
          <w:color w:val="000000" w:themeColor="text1"/>
          <w14:textFill>
            <w14:solidFill>
              <w14:schemeClr w14:val="tx1"/>
            </w14:solidFill>
          </w14:textFill>
        </w:rPr>
        <w:t>吉木萨尔页岩油建产</w:t>
      </w:r>
      <w:bookmarkEnd w:id="152"/>
      <w:r>
        <w:rPr>
          <w:rFonts w:hint="eastAsia"/>
          <w:color w:val="000000" w:themeColor="text1"/>
          <w14:textFill>
            <w14:solidFill>
              <w14:schemeClr w14:val="tx1"/>
            </w14:solidFill>
          </w14:textFill>
        </w:rPr>
        <w:t>、南缘建产，老区千万吨稳产、天然气稳产的需要，非常规油气藏地面配套关键技术取得重大突破，数字化、标准化等指标达到股份公司先进水平，生产运行、能耗等指标超越股份公司一般水平。全面建成保障坚强、结构合理、安全可靠、运行灵活、节能环保、经济高效的水、电、路、讯保障系统。本项目属于页岩油开采项目，地理位置位于昌吉回族自治州吉木萨尔县，项目建设有助于实现《新疆油田公司“十四五”发展规划》中吉木萨尔页岩油建产的目标，符合规划的相关要求。项目建设符合</w:t>
      </w:r>
      <w:r>
        <w:rPr>
          <w:rFonts w:hint="eastAsia"/>
          <w:color w:val="000000" w:themeColor="text1"/>
          <w:lang w:bidi="ar"/>
          <w14:textFill>
            <w14:solidFill>
              <w14:schemeClr w14:val="tx1"/>
            </w14:solidFill>
          </w14:textFill>
        </w:rPr>
        <w:t>《新疆油田公司“十四五”发展规划环境影响报告书》污染防治措施及审查意见中的相关要求，具体见表</w:t>
      </w:r>
      <w:r>
        <w:rPr>
          <w:color w:val="000000" w:themeColor="text1"/>
          <w:lang w:bidi="ar"/>
          <w14:textFill>
            <w14:solidFill>
              <w14:schemeClr w14:val="tx1"/>
            </w14:solidFill>
          </w14:textFill>
        </w:rPr>
        <w:t>2.9</w:t>
      </w:r>
      <w:r>
        <w:rPr>
          <w:rFonts w:hint="eastAsia"/>
          <w:color w:val="000000" w:themeColor="text1"/>
          <w:lang w:bidi="ar"/>
          <w14:textFill>
            <w14:solidFill>
              <w14:schemeClr w14:val="tx1"/>
            </w14:solidFill>
          </w14:textFill>
        </w:rPr>
        <w:t>-1、表2</w:t>
      </w:r>
      <w:r>
        <w:rPr>
          <w:color w:val="000000" w:themeColor="text1"/>
          <w:lang w:bidi="ar"/>
          <w14:textFill>
            <w14:solidFill>
              <w14:schemeClr w14:val="tx1"/>
            </w14:solidFill>
          </w14:textFill>
        </w:rPr>
        <w:t>.9</w:t>
      </w:r>
      <w:r>
        <w:rPr>
          <w:rFonts w:hint="eastAsia"/>
          <w:color w:val="000000" w:themeColor="text1"/>
          <w:lang w:bidi="ar"/>
          <w14:textFill>
            <w14:solidFill>
              <w14:schemeClr w14:val="tx1"/>
            </w14:solidFill>
          </w14:textFill>
        </w:rPr>
        <w:t>-2。</w:t>
      </w:r>
    </w:p>
    <w:p w14:paraId="6D5CE463">
      <w:pPr>
        <w:pStyle w:val="117"/>
        <w:ind w:firstLine="0" w:firstLineChars="0"/>
        <w:jc w:val="center"/>
        <w:rPr>
          <w:rFonts w:hint="eastAsia" w:ascii="黑体" w:hAnsi="黑体" w:eastAsia="黑体"/>
          <w:color w:val="000000" w:themeColor="text1"/>
          <w:lang w:bidi="ar"/>
          <w14:textFill>
            <w14:solidFill>
              <w14:schemeClr w14:val="tx1"/>
            </w14:solidFill>
          </w14:textFill>
        </w:rPr>
      </w:pPr>
      <w:r>
        <w:rPr>
          <w:rFonts w:hint="eastAsia" w:ascii="黑体" w:hAnsi="黑体" w:eastAsia="黑体"/>
          <w:color w:val="000000" w:themeColor="text1"/>
          <w:sz w:val="21"/>
          <w:szCs w:val="21"/>
          <w:lang w:bidi="ar"/>
          <w14:textFill>
            <w14:solidFill>
              <w14:schemeClr w14:val="tx1"/>
            </w14:solidFill>
          </w14:textFill>
        </w:rPr>
        <w:t>表2</w:t>
      </w:r>
      <w:r>
        <w:rPr>
          <w:rFonts w:ascii="黑体" w:hAnsi="黑体" w:eastAsia="黑体"/>
          <w:color w:val="000000" w:themeColor="text1"/>
          <w:sz w:val="21"/>
          <w:szCs w:val="21"/>
          <w:lang w:bidi="ar"/>
          <w14:textFill>
            <w14:solidFill>
              <w14:schemeClr w14:val="tx1"/>
            </w14:solidFill>
          </w14:textFill>
        </w:rPr>
        <w:t>.9</w:t>
      </w:r>
      <w:r>
        <w:rPr>
          <w:rFonts w:hint="eastAsia" w:ascii="黑体" w:hAnsi="黑体" w:eastAsia="黑体"/>
          <w:color w:val="000000" w:themeColor="text1"/>
          <w:sz w:val="21"/>
          <w:szCs w:val="21"/>
          <w:lang w:bidi="ar"/>
          <w14:textFill>
            <w14:solidFill>
              <w14:schemeClr w14:val="tx1"/>
            </w14:solidFill>
          </w14:textFill>
        </w:rPr>
        <w:t xml:space="preserve">-1 </w:t>
      </w:r>
      <w:r>
        <w:rPr>
          <w:rFonts w:ascii="黑体" w:hAnsi="黑体" w:eastAsia="黑体"/>
          <w:color w:val="000000" w:themeColor="text1"/>
          <w:sz w:val="21"/>
          <w:szCs w:val="21"/>
          <w:lang w:bidi="ar"/>
          <w14:textFill>
            <w14:solidFill>
              <w14:schemeClr w14:val="tx1"/>
            </w14:solidFill>
          </w14:textFill>
        </w:rPr>
        <w:t xml:space="preserve"> </w:t>
      </w:r>
      <w:r>
        <w:rPr>
          <w:rFonts w:hint="eastAsia" w:ascii="黑体" w:hAnsi="黑体" w:eastAsia="黑体"/>
          <w:color w:val="000000" w:themeColor="text1"/>
          <w:sz w:val="21"/>
          <w:szCs w:val="21"/>
          <w:lang w:bidi="ar"/>
          <w14:textFill>
            <w14:solidFill>
              <w14:schemeClr w14:val="tx1"/>
            </w14:solidFill>
          </w14:textFill>
        </w:rPr>
        <w:t>与《新疆油田公司“十四五”发展规划环境影响报告书》污染防治措施符合性分析</w:t>
      </w:r>
    </w:p>
    <w:tbl>
      <w:tblPr>
        <w:tblStyle w:val="51"/>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67"/>
        <w:gridCol w:w="3686"/>
        <w:gridCol w:w="3402"/>
        <w:gridCol w:w="1075"/>
      </w:tblGrid>
      <w:tr w14:paraId="44626ED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567" w:type="dxa"/>
            <w:tcMar>
              <w:left w:w="0" w:type="dxa"/>
              <w:right w:w="0" w:type="dxa"/>
            </w:tcMar>
            <w:vAlign w:val="center"/>
          </w:tcPr>
          <w:p w14:paraId="1FB29FFB">
            <w:pPr>
              <w:pStyle w:val="286"/>
              <w:adjustRightInd w:val="0"/>
              <w:snapToGrid w:val="0"/>
              <w:spacing w:line="300" w:lineRule="exact"/>
              <w:rPr>
                <w:rFonts w:hint="eastAsia"/>
                <w:color w:val="000000" w:themeColor="text1"/>
                <w:sz w:val="21"/>
                <w14:textFill>
                  <w14:solidFill>
                    <w14:schemeClr w14:val="tx1"/>
                  </w14:solidFill>
                </w14:textFill>
              </w:rPr>
            </w:pPr>
            <w:r>
              <w:rPr>
                <w:rFonts w:hint="eastAsia"/>
                <w:color w:val="000000" w:themeColor="text1"/>
                <w:sz w:val="21"/>
                <w:lang w:bidi="ar"/>
                <w14:textFill>
                  <w14:solidFill>
                    <w14:schemeClr w14:val="tx1"/>
                  </w14:solidFill>
                </w14:textFill>
              </w:rPr>
              <w:t>序号</w:t>
            </w:r>
          </w:p>
        </w:tc>
        <w:tc>
          <w:tcPr>
            <w:tcW w:w="3686" w:type="dxa"/>
            <w:tcMar>
              <w:left w:w="0" w:type="dxa"/>
              <w:right w:w="0" w:type="dxa"/>
            </w:tcMar>
            <w:vAlign w:val="center"/>
          </w:tcPr>
          <w:p w14:paraId="22B016F5">
            <w:pPr>
              <w:pStyle w:val="286"/>
              <w:adjustRightInd w:val="0"/>
              <w:snapToGrid w:val="0"/>
              <w:spacing w:line="300" w:lineRule="exact"/>
              <w:rPr>
                <w:rFonts w:hint="eastAsia"/>
                <w:color w:val="000000" w:themeColor="text1"/>
                <w:sz w:val="21"/>
                <w14:textFill>
                  <w14:solidFill>
                    <w14:schemeClr w14:val="tx1"/>
                  </w14:solidFill>
                </w14:textFill>
              </w:rPr>
            </w:pPr>
            <w:r>
              <w:rPr>
                <w:rFonts w:hint="eastAsia"/>
                <w:color w:val="000000" w:themeColor="text1"/>
                <w:sz w:val="21"/>
                <w:lang w:bidi="ar"/>
                <w14:textFill>
                  <w14:solidFill>
                    <w14:schemeClr w14:val="tx1"/>
                  </w14:solidFill>
                </w14:textFill>
              </w:rPr>
              <w:t>规划环评规定</w:t>
            </w:r>
          </w:p>
        </w:tc>
        <w:tc>
          <w:tcPr>
            <w:tcW w:w="3402" w:type="dxa"/>
            <w:tcMar>
              <w:left w:w="0" w:type="dxa"/>
              <w:right w:w="0" w:type="dxa"/>
            </w:tcMar>
            <w:vAlign w:val="center"/>
          </w:tcPr>
          <w:p w14:paraId="586D8660">
            <w:pPr>
              <w:pStyle w:val="286"/>
              <w:adjustRightInd w:val="0"/>
              <w:snapToGrid w:val="0"/>
              <w:spacing w:line="300" w:lineRule="exact"/>
              <w:rPr>
                <w:rFonts w:hint="eastAsia"/>
                <w:color w:val="000000" w:themeColor="text1"/>
                <w:sz w:val="21"/>
                <w14:textFill>
                  <w14:solidFill>
                    <w14:schemeClr w14:val="tx1"/>
                  </w14:solidFill>
                </w14:textFill>
              </w:rPr>
            </w:pPr>
            <w:r>
              <w:rPr>
                <w:rFonts w:hint="eastAsia"/>
                <w:color w:val="000000" w:themeColor="text1"/>
                <w:sz w:val="21"/>
                <w:lang w:bidi="ar"/>
                <w14:textFill>
                  <w14:solidFill>
                    <w14:schemeClr w14:val="tx1"/>
                  </w14:solidFill>
                </w14:textFill>
              </w:rPr>
              <w:t>拟采取的相关措施</w:t>
            </w:r>
          </w:p>
        </w:tc>
        <w:tc>
          <w:tcPr>
            <w:tcW w:w="1075" w:type="dxa"/>
            <w:tcMar>
              <w:left w:w="0" w:type="dxa"/>
              <w:right w:w="0" w:type="dxa"/>
            </w:tcMar>
            <w:vAlign w:val="center"/>
          </w:tcPr>
          <w:p w14:paraId="7CC8F4C0">
            <w:pPr>
              <w:pStyle w:val="286"/>
              <w:adjustRightInd w:val="0"/>
              <w:snapToGrid w:val="0"/>
              <w:spacing w:line="300" w:lineRule="exact"/>
              <w:rPr>
                <w:rFonts w:hint="eastAsia"/>
                <w:color w:val="000000" w:themeColor="text1"/>
                <w:sz w:val="21"/>
                <w14:textFill>
                  <w14:solidFill>
                    <w14:schemeClr w14:val="tx1"/>
                  </w14:solidFill>
                </w14:textFill>
              </w:rPr>
            </w:pPr>
            <w:r>
              <w:rPr>
                <w:rFonts w:hint="eastAsia"/>
                <w:color w:val="000000" w:themeColor="text1"/>
                <w:sz w:val="21"/>
                <w:lang w:bidi="ar"/>
                <w14:textFill>
                  <w14:solidFill>
                    <w14:schemeClr w14:val="tx1"/>
                  </w14:solidFill>
                </w14:textFill>
              </w:rPr>
              <w:t>相符性分析</w:t>
            </w:r>
          </w:p>
        </w:tc>
      </w:tr>
      <w:tr w14:paraId="4C16473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67" w:type="dxa"/>
            <w:tcMar>
              <w:left w:w="0" w:type="dxa"/>
              <w:right w:w="0" w:type="dxa"/>
            </w:tcMar>
            <w:vAlign w:val="center"/>
          </w:tcPr>
          <w:p w14:paraId="0F425EE9">
            <w:pPr>
              <w:pStyle w:val="286"/>
              <w:adjustRightInd w:val="0"/>
              <w:snapToGrid w:val="0"/>
              <w:spacing w:line="300" w:lineRule="exact"/>
              <w:rPr>
                <w:rFonts w:hint="eastAsia"/>
                <w:color w:val="000000" w:themeColor="text1"/>
                <w:sz w:val="21"/>
                <w14:textFill>
                  <w14:solidFill>
                    <w14:schemeClr w14:val="tx1"/>
                  </w14:solidFill>
                </w14:textFill>
              </w:rPr>
            </w:pPr>
            <w:r>
              <w:rPr>
                <w:rFonts w:hint="eastAsia"/>
                <w:color w:val="000000" w:themeColor="text1"/>
                <w:sz w:val="21"/>
                <w:lang w:bidi="ar"/>
                <w14:textFill>
                  <w14:solidFill>
                    <w14:schemeClr w14:val="tx1"/>
                  </w14:solidFill>
                </w14:textFill>
              </w:rPr>
              <w:t>1</w:t>
            </w:r>
          </w:p>
        </w:tc>
        <w:tc>
          <w:tcPr>
            <w:tcW w:w="3686" w:type="dxa"/>
            <w:tcMar>
              <w:left w:w="0" w:type="dxa"/>
              <w:right w:w="0" w:type="dxa"/>
            </w:tcMar>
            <w:vAlign w:val="center"/>
          </w:tcPr>
          <w:p w14:paraId="003FC459">
            <w:pPr>
              <w:autoSpaceDE w:val="0"/>
              <w:autoSpaceDN w:val="0"/>
              <w:adjustRightInd w:val="0"/>
              <w:snapToGrid w:val="0"/>
              <w:spacing w:line="300" w:lineRule="exact"/>
              <w:rPr>
                <w:rFonts w:hint="eastAsia" w:ascii="宋体" w:hAnsi="宋体"/>
                <w:color w:val="000000" w:themeColor="text1"/>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井下作业带罐作业，产生的井下作业废水采用专用收集罐集中收集后送至就近已有或配套新建的联合站污水处理系统处理。井</w:t>
            </w:r>
            <w:r>
              <w:rPr>
                <w:rFonts w:hint="eastAsia" w:ascii="宋体" w:hAnsi="宋体" w:cs="宋体"/>
                <w:color w:val="000000" w:themeColor="text1"/>
                <w:szCs w:val="21"/>
                <w14:textFill>
                  <w14:solidFill>
                    <w14:schemeClr w14:val="tx1"/>
                  </w14:solidFill>
                </w14:textFill>
              </w:rPr>
              <w:t>下作业过程中所使用的各种化学药剂严格控制落地，落地残液要彻底清理干净，不得向环境排放。</w:t>
            </w:r>
          </w:p>
        </w:tc>
        <w:tc>
          <w:tcPr>
            <w:tcW w:w="3402" w:type="dxa"/>
            <w:tcMar>
              <w:left w:w="0" w:type="dxa"/>
              <w:right w:w="0" w:type="dxa"/>
            </w:tcMar>
            <w:vAlign w:val="center"/>
          </w:tcPr>
          <w:p w14:paraId="295C4A8C">
            <w:pPr>
              <w:pStyle w:val="286"/>
              <w:adjustRightInd w:val="0"/>
              <w:snapToGrid w:val="0"/>
              <w:spacing w:line="300" w:lineRule="exact"/>
              <w:jc w:val="both"/>
              <w:rPr>
                <w:rFonts w:hint="eastAsia"/>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本次环评要求井下作业带罐作业，洗井废水、井下作业废液集中收集后送至压裂返排液处理装置处理达标后，用于压裂液的复配。</w:t>
            </w:r>
          </w:p>
        </w:tc>
        <w:tc>
          <w:tcPr>
            <w:tcW w:w="1075" w:type="dxa"/>
            <w:tcMar>
              <w:left w:w="0" w:type="dxa"/>
              <w:right w:w="0" w:type="dxa"/>
            </w:tcMar>
            <w:vAlign w:val="center"/>
          </w:tcPr>
          <w:p w14:paraId="54A4A9E3">
            <w:pPr>
              <w:pStyle w:val="286"/>
              <w:adjustRightInd w:val="0"/>
              <w:snapToGrid w:val="0"/>
              <w:spacing w:line="300" w:lineRule="exact"/>
              <w:rPr>
                <w:rFonts w:hint="eastAsia"/>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符合</w:t>
            </w:r>
          </w:p>
        </w:tc>
      </w:tr>
      <w:tr w14:paraId="692F235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67" w:type="dxa"/>
            <w:tcMar>
              <w:left w:w="0" w:type="dxa"/>
              <w:right w:w="0" w:type="dxa"/>
            </w:tcMar>
            <w:vAlign w:val="center"/>
          </w:tcPr>
          <w:p w14:paraId="0DB65249">
            <w:pPr>
              <w:pStyle w:val="286"/>
              <w:adjustRightInd w:val="0"/>
              <w:snapToGrid w:val="0"/>
              <w:spacing w:line="300" w:lineRule="exact"/>
              <w:rPr>
                <w:rFonts w:hint="eastAsia"/>
                <w:color w:val="000000" w:themeColor="text1"/>
                <w:sz w:val="21"/>
                <w:lang w:bidi="ar"/>
                <w14:textFill>
                  <w14:solidFill>
                    <w14:schemeClr w14:val="tx1"/>
                  </w14:solidFill>
                </w14:textFill>
              </w:rPr>
            </w:pPr>
            <w:r>
              <w:rPr>
                <w:rFonts w:hint="eastAsia"/>
                <w:color w:val="000000" w:themeColor="text1"/>
                <w:sz w:val="21"/>
                <w:lang w:bidi="ar"/>
                <w14:textFill>
                  <w14:solidFill>
                    <w14:schemeClr w14:val="tx1"/>
                  </w14:solidFill>
                </w14:textFill>
              </w:rPr>
              <w:t>2</w:t>
            </w:r>
          </w:p>
        </w:tc>
        <w:tc>
          <w:tcPr>
            <w:tcW w:w="3686" w:type="dxa"/>
            <w:tcMar>
              <w:left w:w="0" w:type="dxa"/>
              <w:right w:w="0" w:type="dxa"/>
            </w:tcMar>
            <w:vAlign w:val="center"/>
          </w:tcPr>
          <w:p w14:paraId="267F7D6F">
            <w:pPr>
              <w:autoSpaceDE w:val="0"/>
              <w:autoSpaceDN w:val="0"/>
              <w:adjustRightInd w:val="0"/>
              <w:snapToGrid w:val="0"/>
              <w:spacing w:line="300" w:lineRule="exact"/>
              <w:rPr>
                <w:rFonts w:hint="eastAsia" w:ascii="宋体" w:hAnsi="宋体" w:cs="宋体"/>
                <w:color w:val="000000" w:themeColor="text1"/>
                <w:kern w:val="0"/>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根据《环境影响评价技术导则地下水环境》（</w:t>
            </w:r>
            <w:r>
              <w:rPr>
                <w:rFonts w:ascii="宋体" w:hAnsi="宋体"/>
                <w:color w:val="000000" w:themeColor="text1"/>
                <w:szCs w:val="21"/>
                <w14:textFill>
                  <w14:solidFill>
                    <w14:schemeClr w14:val="tx1"/>
                  </w14:solidFill>
                </w14:textFill>
              </w:rPr>
              <w:t>HJ610-2016</w:t>
            </w:r>
            <w:r>
              <w:rPr>
                <w:rFonts w:hint="eastAsia" w:ascii="宋体" w:hAnsi="宋体"/>
                <w:color w:val="000000" w:themeColor="text1"/>
                <w:szCs w:val="21"/>
                <w14:textFill>
                  <w14:solidFill>
                    <w14:schemeClr w14:val="tx1"/>
                  </w14:solidFill>
                </w14:textFill>
              </w:rPr>
              <w:t>）表</w:t>
            </w:r>
            <w:r>
              <w:rPr>
                <w:rFonts w:ascii="宋体" w:hAnsi="宋体"/>
                <w:color w:val="000000" w:themeColor="text1"/>
                <w:szCs w:val="21"/>
                <w14:textFill>
                  <w14:solidFill>
                    <w14:schemeClr w14:val="tx1"/>
                  </w14:solidFill>
                </w14:textFill>
              </w:rPr>
              <w:t>7</w:t>
            </w:r>
            <w:r>
              <w:rPr>
                <w:rFonts w:hint="eastAsia" w:ascii="宋体" w:hAnsi="宋体"/>
                <w:color w:val="000000" w:themeColor="text1"/>
                <w:szCs w:val="21"/>
                <w14:textFill>
                  <w14:solidFill>
                    <w14:schemeClr w14:val="tx1"/>
                  </w14:solidFill>
                </w14:textFill>
              </w:rPr>
              <w:t>和《石油化工防渗工程技术规范》（</w:t>
            </w:r>
            <w:r>
              <w:rPr>
                <w:rFonts w:ascii="宋体" w:hAnsi="宋体"/>
                <w:color w:val="000000" w:themeColor="text1"/>
                <w:szCs w:val="21"/>
                <w14:textFill>
                  <w14:solidFill>
                    <w14:schemeClr w14:val="tx1"/>
                  </w14:solidFill>
                </w14:textFill>
              </w:rPr>
              <w:t>GB/T50934-2013</w:t>
            </w:r>
            <w:r>
              <w:rPr>
                <w:rFonts w:hint="eastAsia" w:ascii="宋体" w:hAnsi="宋体"/>
                <w:color w:val="000000" w:themeColor="text1"/>
                <w:szCs w:val="21"/>
                <w14:textFill>
                  <w14:solidFill>
                    <w14:schemeClr w14:val="tx1"/>
                  </w14:solidFill>
                </w14:textFill>
              </w:rPr>
              <w:t>）对项目区进行防渗分区，防渗应满足相应防渗等级的防渗要求，并布设一定数量的长期监测井。</w:t>
            </w:r>
          </w:p>
        </w:tc>
        <w:tc>
          <w:tcPr>
            <w:tcW w:w="3402" w:type="dxa"/>
            <w:tcMar>
              <w:left w:w="0" w:type="dxa"/>
              <w:right w:w="0" w:type="dxa"/>
            </w:tcMar>
            <w:vAlign w:val="center"/>
          </w:tcPr>
          <w:p w14:paraId="03FBC6AC">
            <w:pPr>
              <w:pStyle w:val="286"/>
              <w:adjustRightInd w:val="0"/>
              <w:snapToGrid w:val="0"/>
              <w:spacing w:line="300" w:lineRule="exact"/>
              <w:jc w:val="both"/>
              <w:rPr>
                <w:rFonts w:hint="eastAsia"/>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本项目对站场进行了分区防渗，并提出了利用现有水源井作为地下水监测井。</w:t>
            </w:r>
          </w:p>
        </w:tc>
        <w:tc>
          <w:tcPr>
            <w:tcW w:w="1075" w:type="dxa"/>
            <w:tcMar>
              <w:left w:w="0" w:type="dxa"/>
              <w:right w:w="0" w:type="dxa"/>
            </w:tcMar>
            <w:vAlign w:val="center"/>
          </w:tcPr>
          <w:p w14:paraId="6D016290">
            <w:pPr>
              <w:pStyle w:val="286"/>
              <w:adjustRightInd w:val="0"/>
              <w:snapToGrid w:val="0"/>
              <w:spacing w:line="300" w:lineRule="exact"/>
              <w:rPr>
                <w:rFonts w:hint="eastAsia"/>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符合</w:t>
            </w:r>
          </w:p>
        </w:tc>
      </w:tr>
      <w:tr w14:paraId="6FA7B2E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67" w:type="dxa"/>
            <w:tcMar>
              <w:left w:w="0" w:type="dxa"/>
              <w:right w:w="0" w:type="dxa"/>
            </w:tcMar>
            <w:vAlign w:val="center"/>
          </w:tcPr>
          <w:p w14:paraId="506C030B">
            <w:pPr>
              <w:pStyle w:val="286"/>
              <w:adjustRightInd w:val="0"/>
              <w:snapToGrid w:val="0"/>
              <w:spacing w:line="300" w:lineRule="exact"/>
              <w:rPr>
                <w:rFonts w:hint="eastAsia"/>
                <w:color w:val="000000" w:themeColor="text1"/>
                <w:sz w:val="21"/>
                <w:lang w:bidi="ar"/>
                <w14:textFill>
                  <w14:solidFill>
                    <w14:schemeClr w14:val="tx1"/>
                  </w14:solidFill>
                </w14:textFill>
              </w:rPr>
            </w:pPr>
            <w:r>
              <w:rPr>
                <w:color w:val="000000" w:themeColor="text1"/>
                <w:sz w:val="21"/>
                <w:lang w:bidi="ar"/>
                <w14:textFill>
                  <w14:solidFill>
                    <w14:schemeClr w14:val="tx1"/>
                  </w14:solidFill>
                </w14:textFill>
              </w:rPr>
              <w:t>3</w:t>
            </w:r>
          </w:p>
        </w:tc>
        <w:tc>
          <w:tcPr>
            <w:tcW w:w="3686" w:type="dxa"/>
            <w:tcMar>
              <w:left w:w="0" w:type="dxa"/>
              <w:right w:w="0" w:type="dxa"/>
            </w:tcMar>
            <w:vAlign w:val="center"/>
          </w:tcPr>
          <w:p w14:paraId="5ABDA48C">
            <w:pPr>
              <w:autoSpaceDE w:val="0"/>
              <w:autoSpaceDN w:val="0"/>
              <w:adjustRightInd w:val="0"/>
              <w:snapToGrid w:val="0"/>
              <w:spacing w:line="300" w:lineRule="exact"/>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含油污泥、废分子筛等危险废物交由有相应处理资质的单位进行无害化处置。危险废物贮存设施必须满足贮</w:t>
            </w:r>
            <w:r>
              <w:rPr>
                <w:rFonts w:hint="eastAsia" w:ascii="宋体" w:hAnsi="宋体"/>
                <w:color w:val="000000" w:themeColor="text1"/>
                <w:szCs w:val="21"/>
                <w14:textFill>
                  <w14:solidFill>
                    <w14:schemeClr w14:val="tx1"/>
                  </w14:solidFill>
                </w14:textFill>
              </w:rPr>
              <w:t>存场所必须满足《危险废物贮存污染控制标准》（</w:t>
            </w:r>
            <w:r>
              <w:rPr>
                <w:rFonts w:ascii="宋体" w:hAnsi="宋体"/>
                <w:color w:val="000000" w:themeColor="text1"/>
                <w:szCs w:val="21"/>
                <w14:textFill>
                  <w14:solidFill>
                    <w14:schemeClr w14:val="tx1"/>
                  </w14:solidFill>
                </w14:textFill>
              </w:rPr>
              <w:t>GB 18597-2023</w:t>
            </w:r>
            <w:r>
              <w:rPr>
                <w:rFonts w:hint="eastAsia" w:ascii="宋体" w:hAnsi="宋体"/>
                <w:color w:val="000000" w:themeColor="text1"/>
                <w:szCs w:val="21"/>
                <w14:textFill>
                  <w14:solidFill>
                    <w14:schemeClr w14:val="tx1"/>
                  </w14:solidFill>
                </w14:textFill>
              </w:rPr>
              <w:t>）的相关要求，并按照《环境保护图形标志</w:t>
            </w:r>
            <w:r>
              <w:rPr>
                <w:rFonts w:ascii="宋体" w:hAnsi="宋体"/>
                <w:color w:val="000000" w:themeColor="text1"/>
                <w:szCs w:val="21"/>
                <w14:textFill>
                  <w14:solidFill>
                    <w14:schemeClr w14:val="tx1"/>
                  </w14:solidFill>
                </w14:textFill>
              </w:rPr>
              <w:t>—</w:t>
            </w:r>
            <w:r>
              <w:rPr>
                <w:rFonts w:hint="eastAsia" w:ascii="宋体" w:hAnsi="宋体"/>
                <w:color w:val="000000" w:themeColor="text1"/>
                <w:szCs w:val="21"/>
                <w14:textFill>
                  <w14:solidFill>
                    <w14:schemeClr w14:val="tx1"/>
                  </w14:solidFill>
                </w14:textFill>
              </w:rPr>
              <w:t>固体废物贮存（处置）场》《危险废物标志牌式样》设置明显标志。）工作人员的生活垃圾设置垃圾桶集中收集后交由当地的环卫部门及时清运</w:t>
            </w:r>
          </w:p>
        </w:tc>
        <w:tc>
          <w:tcPr>
            <w:tcW w:w="3402" w:type="dxa"/>
            <w:tcMar>
              <w:left w:w="0" w:type="dxa"/>
              <w:right w:w="0" w:type="dxa"/>
            </w:tcMar>
            <w:vAlign w:val="center"/>
          </w:tcPr>
          <w:p w14:paraId="385E69C0">
            <w:pPr>
              <w:autoSpaceDE w:val="0"/>
              <w:autoSpaceDN w:val="0"/>
              <w:adjustRightInd w:val="0"/>
              <w:snapToGrid w:val="0"/>
              <w:spacing w:line="300" w:lineRule="exact"/>
              <w:rPr>
                <w:color w:val="000000" w:themeColor="text1"/>
                <w14:textFill>
                  <w14:solidFill>
                    <w14:schemeClr w14:val="tx1"/>
                  </w14:solidFill>
                </w14:textFill>
              </w:rPr>
            </w:pPr>
            <w:r>
              <w:rPr>
                <w:rFonts w:hint="eastAsia" w:ascii="宋体" w:hAnsi="宋体"/>
                <w:color w:val="000000" w:themeColor="text1"/>
                <w:szCs w:val="21"/>
                <w14:textFill>
                  <w14:solidFill>
                    <w14:schemeClr w14:val="tx1"/>
                  </w14:solidFill>
                </w14:textFill>
              </w:rPr>
              <w:t>固体废物主要为废包装物、废润滑油、废油桶、废分子筛、沾油废防渗材料、废含油抹布和劳保用品。废润滑油、废油桶、沾油废防渗膜属于《国家危险废物名录（</w:t>
            </w:r>
            <w:r>
              <w:rPr>
                <w:rFonts w:ascii="宋体" w:hAnsi="宋体"/>
                <w:color w:val="000000" w:themeColor="text1"/>
                <w:szCs w:val="21"/>
                <w14:textFill>
                  <w14:solidFill>
                    <w14:schemeClr w14:val="tx1"/>
                  </w14:solidFill>
                </w14:textFill>
              </w:rPr>
              <w:t>202</w:t>
            </w:r>
            <w:r>
              <w:rPr>
                <w:rFonts w:hint="eastAsia" w:ascii="宋体" w:hAnsi="宋体"/>
                <w:color w:val="000000" w:themeColor="text1"/>
                <w:szCs w:val="21"/>
                <w14:textFill>
                  <w14:solidFill>
                    <w14:schemeClr w14:val="tx1"/>
                  </w14:solidFill>
                </w14:textFill>
              </w:rPr>
              <w:t>5年版）》</w:t>
            </w:r>
            <w:r>
              <w:rPr>
                <w:rFonts w:ascii="宋体" w:hAnsi="宋体"/>
                <w:color w:val="000000" w:themeColor="text1"/>
                <w:szCs w:val="21"/>
                <w14:textFill>
                  <w14:solidFill>
                    <w14:schemeClr w14:val="tx1"/>
                  </w14:solidFill>
                </w14:textFill>
              </w:rPr>
              <w:t>HW08</w:t>
            </w:r>
            <w:r>
              <w:rPr>
                <w:rFonts w:hint="eastAsia" w:ascii="宋体" w:hAnsi="宋体"/>
                <w:color w:val="000000" w:themeColor="text1"/>
                <w:szCs w:val="21"/>
                <w14:textFill>
                  <w14:solidFill>
                    <w14:schemeClr w14:val="tx1"/>
                  </w14:solidFill>
                </w14:textFill>
              </w:rPr>
              <w:t>废矿物油和含矿物油废物，废分子筛和废含油抹布和劳保用品属于《国家危险废物名录（</w:t>
            </w:r>
            <w:r>
              <w:rPr>
                <w:rFonts w:ascii="宋体" w:hAnsi="宋体"/>
                <w:color w:val="000000" w:themeColor="text1"/>
                <w:szCs w:val="21"/>
                <w14:textFill>
                  <w14:solidFill>
                    <w14:schemeClr w14:val="tx1"/>
                  </w14:solidFill>
                </w14:textFill>
              </w:rPr>
              <w:t>202</w:t>
            </w:r>
            <w:r>
              <w:rPr>
                <w:rFonts w:hint="eastAsia" w:ascii="宋体" w:hAnsi="宋体"/>
                <w:color w:val="000000" w:themeColor="text1"/>
                <w:szCs w:val="21"/>
                <w14:textFill>
                  <w14:solidFill>
                    <w14:schemeClr w14:val="tx1"/>
                  </w14:solidFill>
                </w14:textFill>
              </w:rPr>
              <w:t>5年版）》HW49其他废物，临时贮存在页岩油联合站危险废物暂存场，最终交由有相应危险废物处理资质的单位处理。吉庆油田作业区已与克拉玛依市博达生态环保科技有限责任公司签订了危险废物处置协议，产生的危险废物可得到妥善处置。废包装物由厂家回收处理。</w:t>
            </w:r>
            <w:r>
              <w:rPr>
                <w:rFonts w:hint="eastAsia"/>
                <w:color w:val="000000" w:themeColor="text1"/>
                <w14:textFill>
                  <w14:solidFill>
                    <w14:schemeClr w14:val="tx1"/>
                  </w14:solidFill>
                </w14:textFill>
              </w:rPr>
              <w:t xml:space="preserve"> </w:t>
            </w:r>
          </w:p>
        </w:tc>
        <w:tc>
          <w:tcPr>
            <w:tcW w:w="1075" w:type="dxa"/>
            <w:tcMar>
              <w:left w:w="0" w:type="dxa"/>
              <w:right w:w="0" w:type="dxa"/>
            </w:tcMar>
            <w:vAlign w:val="center"/>
          </w:tcPr>
          <w:p w14:paraId="190BAAE4">
            <w:pPr>
              <w:pStyle w:val="286"/>
              <w:adjustRightInd w:val="0"/>
              <w:snapToGrid w:val="0"/>
              <w:spacing w:line="300" w:lineRule="exact"/>
              <w:rPr>
                <w:rFonts w:hint="eastAsia"/>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符合</w:t>
            </w:r>
          </w:p>
        </w:tc>
      </w:tr>
      <w:tr w14:paraId="41F2167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67" w:type="dxa"/>
            <w:tcMar>
              <w:left w:w="0" w:type="dxa"/>
              <w:right w:w="0" w:type="dxa"/>
            </w:tcMar>
            <w:vAlign w:val="center"/>
          </w:tcPr>
          <w:p w14:paraId="0F8681F0">
            <w:pPr>
              <w:pStyle w:val="286"/>
              <w:adjustRightInd w:val="0"/>
              <w:snapToGrid w:val="0"/>
              <w:spacing w:line="300" w:lineRule="exact"/>
              <w:rPr>
                <w:rFonts w:hint="eastAsia"/>
                <w:color w:val="000000" w:themeColor="text1"/>
                <w:sz w:val="21"/>
                <w:lang w:bidi="ar"/>
                <w14:textFill>
                  <w14:solidFill>
                    <w14:schemeClr w14:val="tx1"/>
                  </w14:solidFill>
                </w14:textFill>
              </w:rPr>
            </w:pPr>
            <w:r>
              <w:rPr>
                <w:rFonts w:hint="eastAsia"/>
                <w:color w:val="000000" w:themeColor="text1"/>
                <w:sz w:val="21"/>
                <w:lang w:bidi="ar"/>
                <w14:textFill>
                  <w14:solidFill>
                    <w14:schemeClr w14:val="tx1"/>
                  </w14:solidFill>
                </w14:textFill>
              </w:rPr>
              <w:t>4</w:t>
            </w:r>
          </w:p>
        </w:tc>
        <w:tc>
          <w:tcPr>
            <w:tcW w:w="3686" w:type="dxa"/>
            <w:tcMar>
              <w:left w:w="0" w:type="dxa"/>
              <w:right w:w="0" w:type="dxa"/>
            </w:tcMar>
            <w:vAlign w:val="center"/>
          </w:tcPr>
          <w:p w14:paraId="36339527">
            <w:pPr>
              <w:autoSpaceDE w:val="0"/>
              <w:autoSpaceDN w:val="0"/>
              <w:adjustRightInd w:val="0"/>
              <w:snapToGrid w:val="0"/>
              <w:spacing w:line="300" w:lineRule="exact"/>
              <w:jc w:val="left"/>
              <w:rPr>
                <w:rFonts w:hint="eastAsia" w:ascii="宋体" w:hAnsi="宋体" w:cs="宋体"/>
                <w:color w:val="000000" w:themeColor="text1"/>
                <w:kern w:val="0"/>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井场清理等工作还会产生部分废弃管线、废弃建筑残渣等固体废物，对这些废弃管线、残渣等进行集中清理收集，管线外运经清洗后可回收再利用，废弃建筑残渣外运至指定处理场填埋处理。运输过程中，运输车辆均加盖篷布，以防止行驶过程中固体废物的散落。</w:t>
            </w:r>
          </w:p>
        </w:tc>
        <w:tc>
          <w:tcPr>
            <w:tcW w:w="3402" w:type="dxa"/>
            <w:tcMar>
              <w:left w:w="0" w:type="dxa"/>
              <w:right w:w="0" w:type="dxa"/>
            </w:tcMar>
            <w:vAlign w:val="center"/>
          </w:tcPr>
          <w:p w14:paraId="73EDBF26">
            <w:pPr>
              <w:pStyle w:val="286"/>
              <w:adjustRightInd w:val="0"/>
              <w:snapToGrid w:val="0"/>
              <w:spacing w:line="300" w:lineRule="exact"/>
              <w:rPr>
                <w:rFonts w:hint="eastAsia" w:cs="宋体"/>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地面设施拆除、井场清理等工作中会产生废弃管线、废弃建筑残渣，应集中清理收集。管线外运清洗后可回收利用，废弃建筑残渣外运至当地建筑垃圾填埋场，不得遗留在场地内影响土壤环境质量。运输过程中，运输车辆均加盖篷布，以防止行驶过程中固体废物的散落</w:t>
            </w:r>
          </w:p>
        </w:tc>
        <w:tc>
          <w:tcPr>
            <w:tcW w:w="1075" w:type="dxa"/>
            <w:tcMar>
              <w:left w:w="0" w:type="dxa"/>
              <w:right w:w="0" w:type="dxa"/>
            </w:tcMar>
            <w:vAlign w:val="center"/>
          </w:tcPr>
          <w:p w14:paraId="02CB07AC">
            <w:pPr>
              <w:pStyle w:val="286"/>
              <w:adjustRightInd w:val="0"/>
              <w:snapToGrid w:val="0"/>
              <w:spacing w:line="300" w:lineRule="exact"/>
              <w:rPr>
                <w:rFonts w:hint="eastAsia"/>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符合</w:t>
            </w:r>
          </w:p>
        </w:tc>
      </w:tr>
      <w:tr w14:paraId="79CD5EE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67" w:type="dxa"/>
            <w:tcMar>
              <w:left w:w="0" w:type="dxa"/>
              <w:right w:w="0" w:type="dxa"/>
            </w:tcMar>
            <w:vAlign w:val="center"/>
          </w:tcPr>
          <w:p w14:paraId="7F55C4C7">
            <w:pPr>
              <w:pStyle w:val="286"/>
              <w:adjustRightInd w:val="0"/>
              <w:snapToGrid w:val="0"/>
              <w:spacing w:line="300" w:lineRule="exact"/>
              <w:rPr>
                <w:rFonts w:hint="eastAsia"/>
                <w:color w:val="000000" w:themeColor="text1"/>
                <w:sz w:val="21"/>
                <w:lang w:bidi="ar"/>
                <w14:textFill>
                  <w14:solidFill>
                    <w14:schemeClr w14:val="tx1"/>
                  </w14:solidFill>
                </w14:textFill>
              </w:rPr>
            </w:pPr>
            <w:r>
              <w:rPr>
                <w:rFonts w:hint="eastAsia"/>
                <w:color w:val="000000" w:themeColor="text1"/>
                <w:sz w:val="21"/>
                <w:lang w:bidi="ar"/>
                <w14:textFill>
                  <w14:solidFill>
                    <w14:schemeClr w14:val="tx1"/>
                  </w14:solidFill>
                </w14:textFill>
              </w:rPr>
              <w:t>5</w:t>
            </w:r>
          </w:p>
        </w:tc>
        <w:tc>
          <w:tcPr>
            <w:tcW w:w="3686" w:type="dxa"/>
            <w:tcMar>
              <w:left w:w="0" w:type="dxa"/>
              <w:right w:w="0" w:type="dxa"/>
            </w:tcMar>
            <w:vAlign w:val="center"/>
          </w:tcPr>
          <w:p w14:paraId="186AF171">
            <w:pPr>
              <w:pStyle w:val="386"/>
              <w:snapToGrid w:val="0"/>
              <w:spacing w:line="300" w:lineRule="exact"/>
              <w:rPr>
                <w:rFonts w:hint="eastAsia" w:hAnsi="宋体"/>
                <w:color w:val="000000" w:themeColor="text1"/>
                <w:sz w:val="21"/>
                <w:szCs w:val="21"/>
                <w14:textFill>
                  <w14:solidFill>
                    <w14:schemeClr w14:val="tx1"/>
                  </w14:solidFill>
                </w14:textFill>
              </w:rPr>
            </w:pPr>
            <w:r>
              <w:rPr>
                <w:rFonts w:hint="eastAsia" w:hAnsi="宋体"/>
                <w:color w:val="000000" w:themeColor="text1"/>
                <w:sz w:val="21"/>
                <w:szCs w:val="21"/>
                <w14:textFill>
                  <w14:solidFill>
                    <w14:schemeClr w14:val="tx1"/>
                  </w14:solidFill>
                </w14:textFill>
              </w:rPr>
              <w:t>采用技术质量可靠的设备、仪表控制、阀门等，烃类机泵采用无泄漏；在油气集输过程中，为减少烃类的排放，油田开发采用管道密闭集输流程，一旦发生泄漏事故，紧急切断油、气源，实施关井，从而最大限度地减少油气集输过程中烃类及油的排放量。对各井场的设备、阀门等进行定期的检查、检修，以减少跑、冒、滴、漏的发生；设备或管线组件发生了泄漏，应开展修复工作。</w:t>
            </w:r>
          </w:p>
        </w:tc>
        <w:tc>
          <w:tcPr>
            <w:tcW w:w="3402" w:type="dxa"/>
            <w:tcMar>
              <w:left w:w="0" w:type="dxa"/>
              <w:right w:w="0" w:type="dxa"/>
            </w:tcMar>
            <w:vAlign w:val="center"/>
          </w:tcPr>
          <w:p w14:paraId="59BD4C4C">
            <w:pPr>
              <w:pStyle w:val="286"/>
              <w:adjustRightInd w:val="0"/>
              <w:snapToGrid w:val="0"/>
              <w:spacing w:line="300" w:lineRule="exact"/>
              <w:rPr>
                <w:rFonts w:hint="eastAsia"/>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本次环评提出的大气污染防治措施为：选用质量可靠的设备、仪表、阀门等；定期对井场的设备、阀门等检查、检修；井口采出物汇集、输送及处理的全过程均采用密闭工艺流程，设有除硫加药装置。</w:t>
            </w:r>
          </w:p>
        </w:tc>
        <w:tc>
          <w:tcPr>
            <w:tcW w:w="1075" w:type="dxa"/>
            <w:tcMar>
              <w:left w:w="0" w:type="dxa"/>
              <w:right w:w="0" w:type="dxa"/>
            </w:tcMar>
            <w:vAlign w:val="center"/>
          </w:tcPr>
          <w:p w14:paraId="4E24EE0E">
            <w:pPr>
              <w:pStyle w:val="286"/>
              <w:adjustRightInd w:val="0"/>
              <w:snapToGrid w:val="0"/>
              <w:spacing w:line="300" w:lineRule="exact"/>
              <w:rPr>
                <w:rFonts w:hint="eastAsia"/>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符合</w:t>
            </w:r>
          </w:p>
        </w:tc>
      </w:tr>
      <w:tr w14:paraId="12231EF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67" w:type="dxa"/>
            <w:tcMar>
              <w:left w:w="0" w:type="dxa"/>
              <w:right w:w="0" w:type="dxa"/>
            </w:tcMar>
            <w:vAlign w:val="center"/>
          </w:tcPr>
          <w:p w14:paraId="56BDEF19">
            <w:pPr>
              <w:pStyle w:val="286"/>
              <w:adjustRightInd w:val="0"/>
              <w:snapToGrid w:val="0"/>
              <w:spacing w:line="300" w:lineRule="exact"/>
              <w:rPr>
                <w:rFonts w:hint="eastAsia"/>
                <w:color w:val="000000" w:themeColor="text1"/>
                <w:sz w:val="21"/>
                <w:lang w:bidi="ar"/>
                <w14:textFill>
                  <w14:solidFill>
                    <w14:schemeClr w14:val="tx1"/>
                  </w14:solidFill>
                </w14:textFill>
              </w:rPr>
            </w:pPr>
            <w:r>
              <w:rPr>
                <w:rFonts w:hint="eastAsia"/>
                <w:color w:val="000000" w:themeColor="text1"/>
                <w:sz w:val="21"/>
                <w:lang w:bidi="ar"/>
                <w14:textFill>
                  <w14:solidFill>
                    <w14:schemeClr w14:val="tx1"/>
                  </w14:solidFill>
                </w14:textFill>
              </w:rPr>
              <w:t>6</w:t>
            </w:r>
          </w:p>
        </w:tc>
        <w:tc>
          <w:tcPr>
            <w:tcW w:w="3686" w:type="dxa"/>
            <w:tcMar>
              <w:left w:w="0" w:type="dxa"/>
              <w:right w:w="0" w:type="dxa"/>
            </w:tcMar>
            <w:vAlign w:val="center"/>
          </w:tcPr>
          <w:p w14:paraId="4F8A7A9B">
            <w:pPr>
              <w:pStyle w:val="286"/>
              <w:adjustRightInd w:val="0"/>
              <w:snapToGrid w:val="0"/>
              <w:spacing w:line="300" w:lineRule="exact"/>
              <w:rPr>
                <w:rFonts w:hint="eastAsia"/>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尽量选用低噪声设备，对噪声强度较大的设备进行减噪处理；定期给机泵等设备加润滑油和减振垫，对各种机械设备定期保养。</w:t>
            </w:r>
          </w:p>
        </w:tc>
        <w:tc>
          <w:tcPr>
            <w:tcW w:w="3402" w:type="dxa"/>
            <w:tcMar>
              <w:left w:w="0" w:type="dxa"/>
              <w:right w:w="0" w:type="dxa"/>
            </w:tcMar>
            <w:vAlign w:val="center"/>
          </w:tcPr>
          <w:p w14:paraId="0E8E7510">
            <w:pPr>
              <w:pStyle w:val="286"/>
              <w:adjustRightInd w:val="0"/>
              <w:snapToGrid w:val="0"/>
              <w:spacing w:line="300" w:lineRule="exact"/>
              <w:rPr>
                <w:rFonts w:hint="eastAsia"/>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尽量选用低噪声设备，对噪声强度较大的设备进行减噪处理。定期给机泵等设备加润滑油和减振垫，对各种机械设备定期保养；加强噪声防范，做好个人防护工作。</w:t>
            </w:r>
          </w:p>
        </w:tc>
        <w:tc>
          <w:tcPr>
            <w:tcW w:w="1075" w:type="dxa"/>
            <w:tcMar>
              <w:left w:w="0" w:type="dxa"/>
              <w:right w:w="0" w:type="dxa"/>
            </w:tcMar>
            <w:vAlign w:val="center"/>
          </w:tcPr>
          <w:p w14:paraId="0A2D97BF">
            <w:pPr>
              <w:pStyle w:val="286"/>
              <w:adjustRightInd w:val="0"/>
              <w:snapToGrid w:val="0"/>
              <w:spacing w:line="300" w:lineRule="exact"/>
              <w:rPr>
                <w:rFonts w:hint="eastAsia"/>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符合</w:t>
            </w:r>
          </w:p>
        </w:tc>
      </w:tr>
      <w:tr w14:paraId="7F53B43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67" w:type="dxa"/>
            <w:tcMar>
              <w:left w:w="0" w:type="dxa"/>
              <w:right w:w="0" w:type="dxa"/>
            </w:tcMar>
            <w:vAlign w:val="center"/>
          </w:tcPr>
          <w:p w14:paraId="686742B1">
            <w:pPr>
              <w:pStyle w:val="286"/>
              <w:adjustRightInd w:val="0"/>
              <w:snapToGrid w:val="0"/>
              <w:spacing w:line="300" w:lineRule="exact"/>
              <w:rPr>
                <w:rFonts w:hint="eastAsia"/>
                <w:color w:val="000000" w:themeColor="text1"/>
                <w:sz w:val="21"/>
                <w:lang w:bidi="ar"/>
                <w14:textFill>
                  <w14:solidFill>
                    <w14:schemeClr w14:val="tx1"/>
                  </w14:solidFill>
                </w14:textFill>
              </w:rPr>
            </w:pPr>
            <w:r>
              <w:rPr>
                <w:rFonts w:hint="eastAsia"/>
                <w:color w:val="000000" w:themeColor="text1"/>
                <w:sz w:val="21"/>
                <w:lang w:bidi="ar"/>
                <w14:textFill>
                  <w14:solidFill>
                    <w14:schemeClr w14:val="tx1"/>
                  </w14:solidFill>
                </w14:textFill>
              </w:rPr>
              <w:t>7</w:t>
            </w:r>
          </w:p>
        </w:tc>
        <w:tc>
          <w:tcPr>
            <w:tcW w:w="3686" w:type="dxa"/>
            <w:tcMar>
              <w:left w:w="0" w:type="dxa"/>
              <w:right w:w="0" w:type="dxa"/>
            </w:tcMar>
            <w:vAlign w:val="center"/>
          </w:tcPr>
          <w:p w14:paraId="5C766826">
            <w:pPr>
              <w:pStyle w:val="286"/>
              <w:adjustRightInd w:val="0"/>
              <w:snapToGrid w:val="0"/>
              <w:spacing w:line="300" w:lineRule="exact"/>
              <w:rPr>
                <w:rFonts w:hint="eastAsia"/>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合理规划占地，严格控制占地面积，尽量选择在植被稀少或荒漠的区域布设，避让梭梭、白梭梭等保护植物；严格控制管线施工作业带宽度，管沟分层开挖、分层堆放、分层回填；施工过程中严格规定车辆和各类工作人员的活动范围，使之限于在施工区范围内活动，最大限度减少对荒漠植物生存环境的踩踏破坏，避免破坏荒漠植物；开展环境监理；永久占地进行砾石铺垫，定期检查管线、井场等。</w:t>
            </w:r>
          </w:p>
        </w:tc>
        <w:tc>
          <w:tcPr>
            <w:tcW w:w="3402" w:type="dxa"/>
            <w:tcMar>
              <w:left w:w="0" w:type="dxa"/>
              <w:right w:w="0" w:type="dxa"/>
            </w:tcMar>
            <w:vAlign w:val="center"/>
          </w:tcPr>
          <w:p w14:paraId="45867091">
            <w:pPr>
              <w:pStyle w:val="117"/>
              <w:adjustRightInd w:val="0"/>
              <w:snapToGrid w:val="0"/>
              <w:spacing w:line="300" w:lineRule="exact"/>
              <w:ind w:firstLine="0" w:firstLineChars="0"/>
              <w:rPr>
                <w:rFonts w:hint="eastAsia"/>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对油田区域内的临时占地和永久占地合理规划，严格控制临时占地面积；施工结束后，对井场、预处理注入站进行地面硬化处理；设计选线过程中，尽量避开植被密集的区域，避免破坏荒漠植物；管线敷设时，严格控制施工</w:t>
            </w:r>
            <w:r>
              <w:rPr>
                <w:rFonts w:hint="eastAsia"/>
                <w:color w:val="000000" w:themeColor="text1"/>
                <w:sz w:val="21"/>
                <w:szCs w:val="21"/>
                <w14:textFill>
                  <w14:solidFill>
                    <w14:schemeClr w14:val="tx1"/>
                  </w14:solidFill>
                </w14:textFill>
              </w:rPr>
              <w:t>作业带宽度，管沟应分层开挖、分层堆放、分层回填；施工过程中严格规定车辆和各类工作人员的活动范围，使之限于在施工区范围内活动，不随意</w:t>
            </w:r>
            <w:r>
              <w:rPr>
                <w:color w:val="000000" w:themeColor="text1"/>
                <w:sz w:val="21"/>
                <w:szCs w:val="21"/>
                <w14:textFill>
                  <w14:solidFill>
                    <w14:schemeClr w14:val="tx1"/>
                  </w14:solidFill>
                </w14:textFill>
              </w:rPr>
              <w:t>踩踏砍伐野生植被</w:t>
            </w:r>
            <w:r>
              <w:rPr>
                <w:rFonts w:hint="eastAsia"/>
                <w:color w:val="000000" w:themeColor="text1"/>
                <w:sz w:val="21"/>
                <w:szCs w:val="21"/>
                <w14:textFill>
                  <w14:solidFill>
                    <w14:schemeClr w14:val="tx1"/>
                  </w14:solidFill>
                </w14:textFill>
              </w:rPr>
              <w:t>，尽量不侵扰野生动物的栖息地；施工结束后，及时对施工场地进行平整，以便后期自然恢复。并按相关规定对植被损失进行经济补偿；加强施工期环境监理。</w:t>
            </w:r>
          </w:p>
        </w:tc>
        <w:tc>
          <w:tcPr>
            <w:tcW w:w="1075" w:type="dxa"/>
            <w:tcMar>
              <w:left w:w="0" w:type="dxa"/>
              <w:right w:w="0" w:type="dxa"/>
            </w:tcMar>
            <w:vAlign w:val="center"/>
          </w:tcPr>
          <w:p w14:paraId="519940B1">
            <w:pPr>
              <w:pStyle w:val="286"/>
              <w:adjustRightInd w:val="0"/>
              <w:snapToGrid w:val="0"/>
              <w:spacing w:line="300" w:lineRule="exact"/>
              <w:rPr>
                <w:rFonts w:hint="eastAsia"/>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符合</w:t>
            </w:r>
          </w:p>
        </w:tc>
      </w:tr>
    </w:tbl>
    <w:p w14:paraId="4935B417">
      <w:pPr>
        <w:pStyle w:val="117"/>
        <w:ind w:firstLine="0" w:firstLineChars="0"/>
        <w:jc w:val="center"/>
        <w:rPr>
          <w:rFonts w:hint="eastAsia" w:ascii="黑体" w:hAnsi="黑体" w:eastAsia="黑体"/>
          <w:color w:val="000000" w:themeColor="text1"/>
          <w:lang w:bidi="ar"/>
          <w14:textFill>
            <w14:solidFill>
              <w14:schemeClr w14:val="tx1"/>
            </w14:solidFill>
          </w14:textFill>
        </w:rPr>
      </w:pPr>
      <w:r>
        <w:rPr>
          <w:rFonts w:hint="eastAsia" w:ascii="黑体" w:hAnsi="黑体" w:eastAsia="黑体"/>
          <w:color w:val="000000" w:themeColor="text1"/>
          <w:sz w:val="21"/>
          <w:szCs w:val="21"/>
          <w:lang w:bidi="ar"/>
          <w14:textFill>
            <w14:solidFill>
              <w14:schemeClr w14:val="tx1"/>
            </w14:solidFill>
          </w14:textFill>
        </w:rPr>
        <w:t>表2</w:t>
      </w:r>
      <w:r>
        <w:rPr>
          <w:rFonts w:ascii="黑体" w:hAnsi="黑体" w:eastAsia="黑体"/>
          <w:color w:val="000000" w:themeColor="text1"/>
          <w:sz w:val="21"/>
          <w:szCs w:val="21"/>
          <w:lang w:bidi="ar"/>
          <w14:textFill>
            <w14:solidFill>
              <w14:schemeClr w14:val="tx1"/>
            </w14:solidFill>
          </w14:textFill>
        </w:rPr>
        <w:t>.9</w:t>
      </w:r>
      <w:r>
        <w:rPr>
          <w:rFonts w:hint="eastAsia" w:ascii="黑体" w:hAnsi="黑体" w:eastAsia="黑体"/>
          <w:color w:val="000000" w:themeColor="text1"/>
          <w:sz w:val="21"/>
          <w:szCs w:val="21"/>
          <w:lang w:bidi="ar"/>
          <w14:textFill>
            <w14:solidFill>
              <w14:schemeClr w14:val="tx1"/>
            </w14:solidFill>
          </w14:textFill>
        </w:rPr>
        <w:t xml:space="preserve">-2 </w:t>
      </w:r>
      <w:r>
        <w:rPr>
          <w:rFonts w:ascii="黑体" w:hAnsi="黑体" w:eastAsia="黑体"/>
          <w:color w:val="000000" w:themeColor="text1"/>
          <w:sz w:val="21"/>
          <w:szCs w:val="21"/>
          <w:lang w:bidi="ar"/>
          <w14:textFill>
            <w14:solidFill>
              <w14:schemeClr w14:val="tx1"/>
            </w14:solidFill>
          </w14:textFill>
        </w:rPr>
        <w:t xml:space="preserve"> </w:t>
      </w:r>
      <w:r>
        <w:rPr>
          <w:rFonts w:hint="eastAsia" w:ascii="黑体" w:hAnsi="黑体" w:eastAsia="黑体"/>
          <w:color w:val="000000" w:themeColor="text1"/>
          <w:sz w:val="21"/>
          <w:szCs w:val="21"/>
          <w:lang w:bidi="ar"/>
          <w14:textFill>
            <w14:solidFill>
              <w14:schemeClr w14:val="tx1"/>
            </w14:solidFill>
          </w14:textFill>
        </w:rPr>
        <w:t>项目与《新疆油田公司“十四五”发展规划环境影响报告书》审查意见符合性分析</w:t>
      </w:r>
    </w:p>
    <w:tbl>
      <w:tblPr>
        <w:tblStyle w:val="51"/>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84"/>
        <w:gridCol w:w="4819"/>
        <w:gridCol w:w="2835"/>
        <w:gridCol w:w="792"/>
      </w:tblGrid>
      <w:tr w14:paraId="56C9C3E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284" w:type="dxa"/>
            <w:tcMar>
              <w:left w:w="0" w:type="dxa"/>
              <w:right w:w="0" w:type="dxa"/>
            </w:tcMar>
            <w:vAlign w:val="center"/>
          </w:tcPr>
          <w:p w14:paraId="2C4AB7FD">
            <w:pPr>
              <w:pStyle w:val="286"/>
              <w:adjustRightInd w:val="0"/>
              <w:snapToGrid w:val="0"/>
              <w:spacing w:line="300" w:lineRule="exact"/>
              <w:rPr>
                <w:rFonts w:hint="eastAsia"/>
                <w:color w:val="000000" w:themeColor="text1"/>
                <w:sz w:val="21"/>
                <w14:textFill>
                  <w14:solidFill>
                    <w14:schemeClr w14:val="tx1"/>
                  </w14:solidFill>
                </w14:textFill>
              </w:rPr>
            </w:pPr>
            <w:r>
              <w:rPr>
                <w:rFonts w:hint="eastAsia"/>
                <w:color w:val="000000" w:themeColor="text1"/>
                <w:sz w:val="21"/>
                <w:lang w:bidi="ar"/>
                <w14:textFill>
                  <w14:solidFill>
                    <w14:schemeClr w14:val="tx1"/>
                  </w14:solidFill>
                </w14:textFill>
              </w:rPr>
              <w:t>序号</w:t>
            </w:r>
          </w:p>
        </w:tc>
        <w:tc>
          <w:tcPr>
            <w:tcW w:w="4819" w:type="dxa"/>
            <w:tcMar>
              <w:left w:w="0" w:type="dxa"/>
              <w:right w:w="0" w:type="dxa"/>
            </w:tcMar>
            <w:vAlign w:val="center"/>
          </w:tcPr>
          <w:p w14:paraId="49813263">
            <w:pPr>
              <w:pStyle w:val="286"/>
              <w:adjustRightInd w:val="0"/>
              <w:snapToGrid w:val="0"/>
              <w:spacing w:line="300" w:lineRule="exact"/>
              <w:rPr>
                <w:rFonts w:hint="eastAsia"/>
                <w:color w:val="000000" w:themeColor="text1"/>
                <w:sz w:val="21"/>
                <w14:textFill>
                  <w14:solidFill>
                    <w14:schemeClr w14:val="tx1"/>
                  </w14:solidFill>
                </w14:textFill>
              </w:rPr>
            </w:pPr>
            <w:r>
              <w:rPr>
                <w:rFonts w:hint="eastAsia"/>
                <w:color w:val="000000" w:themeColor="text1"/>
                <w:sz w:val="21"/>
                <w:lang w:bidi="ar"/>
                <w14:textFill>
                  <w14:solidFill>
                    <w14:schemeClr w14:val="tx1"/>
                  </w14:solidFill>
                </w14:textFill>
              </w:rPr>
              <w:t>规划环评审查意见</w:t>
            </w:r>
          </w:p>
        </w:tc>
        <w:tc>
          <w:tcPr>
            <w:tcW w:w="2835" w:type="dxa"/>
            <w:tcMar>
              <w:left w:w="0" w:type="dxa"/>
              <w:right w:w="0" w:type="dxa"/>
            </w:tcMar>
            <w:vAlign w:val="center"/>
          </w:tcPr>
          <w:p w14:paraId="7C76D2C2">
            <w:pPr>
              <w:pStyle w:val="286"/>
              <w:adjustRightInd w:val="0"/>
              <w:snapToGrid w:val="0"/>
              <w:spacing w:line="300" w:lineRule="exact"/>
              <w:rPr>
                <w:rFonts w:hint="eastAsia"/>
                <w:color w:val="000000" w:themeColor="text1"/>
                <w:sz w:val="21"/>
                <w14:textFill>
                  <w14:solidFill>
                    <w14:schemeClr w14:val="tx1"/>
                  </w14:solidFill>
                </w14:textFill>
              </w:rPr>
            </w:pPr>
            <w:r>
              <w:rPr>
                <w:rFonts w:hint="eastAsia"/>
                <w:color w:val="000000" w:themeColor="text1"/>
                <w:sz w:val="21"/>
                <w:lang w:bidi="ar"/>
                <w14:textFill>
                  <w14:solidFill>
                    <w14:schemeClr w14:val="tx1"/>
                  </w14:solidFill>
                </w14:textFill>
              </w:rPr>
              <w:t>拟采取的相关措施</w:t>
            </w:r>
          </w:p>
        </w:tc>
        <w:tc>
          <w:tcPr>
            <w:tcW w:w="792" w:type="dxa"/>
            <w:tcMar>
              <w:left w:w="0" w:type="dxa"/>
              <w:right w:w="0" w:type="dxa"/>
            </w:tcMar>
            <w:vAlign w:val="center"/>
          </w:tcPr>
          <w:p w14:paraId="758051A9">
            <w:pPr>
              <w:pStyle w:val="286"/>
              <w:adjustRightInd w:val="0"/>
              <w:snapToGrid w:val="0"/>
              <w:spacing w:line="300" w:lineRule="exact"/>
              <w:rPr>
                <w:rFonts w:hint="eastAsia"/>
                <w:color w:val="000000" w:themeColor="text1"/>
                <w:sz w:val="21"/>
                <w14:textFill>
                  <w14:solidFill>
                    <w14:schemeClr w14:val="tx1"/>
                  </w14:solidFill>
                </w14:textFill>
              </w:rPr>
            </w:pPr>
            <w:r>
              <w:rPr>
                <w:rFonts w:hint="eastAsia"/>
                <w:color w:val="000000" w:themeColor="text1"/>
                <w:sz w:val="21"/>
                <w:lang w:bidi="ar"/>
                <w14:textFill>
                  <w14:solidFill>
                    <w14:schemeClr w14:val="tx1"/>
                  </w14:solidFill>
                </w14:textFill>
              </w:rPr>
              <w:t>相符性分析</w:t>
            </w:r>
          </w:p>
        </w:tc>
      </w:tr>
      <w:tr w14:paraId="18C5F5E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84" w:type="dxa"/>
            <w:tcMar>
              <w:left w:w="0" w:type="dxa"/>
              <w:right w:w="0" w:type="dxa"/>
            </w:tcMar>
            <w:vAlign w:val="center"/>
          </w:tcPr>
          <w:p w14:paraId="156CF9A4">
            <w:pPr>
              <w:pStyle w:val="286"/>
              <w:adjustRightInd w:val="0"/>
              <w:snapToGrid w:val="0"/>
              <w:spacing w:line="300" w:lineRule="exact"/>
              <w:rPr>
                <w:rFonts w:hint="eastAsia"/>
                <w:color w:val="000000" w:themeColor="text1"/>
                <w:sz w:val="21"/>
                <w14:textFill>
                  <w14:solidFill>
                    <w14:schemeClr w14:val="tx1"/>
                  </w14:solidFill>
                </w14:textFill>
              </w:rPr>
            </w:pPr>
            <w:r>
              <w:rPr>
                <w:rFonts w:hint="eastAsia"/>
                <w:color w:val="000000" w:themeColor="text1"/>
                <w:sz w:val="21"/>
                <w:lang w:bidi="ar"/>
                <w14:textFill>
                  <w14:solidFill>
                    <w14:schemeClr w14:val="tx1"/>
                  </w14:solidFill>
                </w14:textFill>
              </w:rPr>
              <w:t>1</w:t>
            </w:r>
          </w:p>
        </w:tc>
        <w:tc>
          <w:tcPr>
            <w:tcW w:w="4819" w:type="dxa"/>
            <w:tcMar>
              <w:left w:w="0" w:type="dxa"/>
              <w:right w:w="0" w:type="dxa"/>
            </w:tcMar>
            <w:vAlign w:val="center"/>
          </w:tcPr>
          <w:p w14:paraId="10B1CD11">
            <w:pPr>
              <w:autoSpaceDE w:val="0"/>
              <w:autoSpaceDN w:val="0"/>
              <w:adjustRightInd w:val="0"/>
              <w:snapToGrid w:val="0"/>
              <w:spacing w:line="300" w:lineRule="exact"/>
              <w:jc w:val="left"/>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一）严守生态保护红线，加强空间管控。坚持以习近平生态文明思想为指导，严守生态保护红线，严格维护区域主导生态功能，积极推动绿色发展，促进人与自然和谐共生。主动对接国土空间规划，进一步做好与“三线一单”生态环境分区管控方案、主体功能区划、生态功能区划等有关要求的有序衔接和细化分解，严格落实各项生态环境保护要求，协同推进石油天然气开发和生态环境保护相协调，切实维护区域生态系统的完整性和稳定性。加强规划区内环境敏感区和重要环境保护目标的生态环境保护工作，开展项目环评时应将油气开发对环境敏感区影响作为重点评价内容，并采取合理、有效的保护措施，确保规划涉及环境敏感区和重要环境保护目标不因油气开发而造成环境污染和生态破坏。</w:t>
            </w:r>
          </w:p>
        </w:tc>
        <w:tc>
          <w:tcPr>
            <w:tcW w:w="2835" w:type="dxa"/>
            <w:tcMar>
              <w:left w:w="0" w:type="dxa"/>
              <w:right w:w="0" w:type="dxa"/>
            </w:tcMar>
            <w:vAlign w:val="center"/>
          </w:tcPr>
          <w:p w14:paraId="1014B967">
            <w:pPr>
              <w:autoSpaceDE w:val="0"/>
              <w:autoSpaceDN w:val="0"/>
              <w:adjustRightInd w:val="0"/>
              <w:snapToGrid w:val="0"/>
              <w:spacing w:line="300" w:lineRule="exact"/>
              <w:jc w:val="left"/>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本项目建设符合“三线一单”《新疆维吾尔自治区主体功能区规划》要求；采取相关措施后，井场、预处理注入站厂界非甲烷总烃均满足《陆上石油天然气开采工业大气污染物排放标准》（GB39728-2020）中</w:t>
            </w:r>
            <w:r>
              <w:rPr>
                <w:rFonts w:ascii="宋体" w:hAnsi="宋体"/>
                <w:color w:val="000000" w:themeColor="text1"/>
                <w:szCs w:val="21"/>
                <w14:textFill>
                  <w14:solidFill>
                    <w14:schemeClr w14:val="tx1"/>
                  </w14:solidFill>
                </w14:textFill>
              </w:rPr>
              <w:t>企业边界污染物控制要求</w:t>
            </w:r>
            <w:r>
              <w:rPr>
                <w:rFonts w:hint="eastAsia" w:ascii="宋体" w:hAnsi="宋体"/>
                <w:color w:val="000000" w:themeColor="text1"/>
                <w:szCs w:val="21"/>
                <w14:textFill>
                  <w14:solidFill>
                    <w14:schemeClr w14:val="tx1"/>
                  </w14:solidFill>
                </w14:textFill>
              </w:rPr>
              <w:t>；项目所在区域不属于水土流失重点预防区和重点治理区。</w:t>
            </w:r>
          </w:p>
        </w:tc>
        <w:tc>
          <w:tcPr>
            <w:tcW w:w="792" w:type="dxa"/>
            <w:tcMar>
              <w:left w:w="0" w:type="dxa"/>
              <w:right w:w="0" w:type="dxa"/>
            </w:tcMar>
            <w:vAlign w:val="center"/>
          </w:tcPr>
          <w:p w14:paraId="06196F0D">
            <w:pPr>
              <w:pStyle w:val="286"/>
              <w:adjustRightInd w:val="0"/>
              <w:snapToGrid w:val="0"/>
              <w:spacing w:line="300" w:lineRule="exact"/>
              <w:rPr>
                <w:rFonts w:hint="eastAsia"/>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符合</w:t>
            </w:r>
          </w:p>
        </w:tc>
      </w:tr>
      <w:tr w14:paraId="0002073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84" w:type="dxa"/>
            <w:tcMar>
              <w:left w:w="0" w:type="dxa"/>
              <w:right w:w="0" w:type="dxa"/>
            </w:tcMar>
            <w:vAlign w:val="center"/>
          </w:tcPr>
          <w:p w14:paraId="7D7770E3">
            <w:pPr>
              <w:pStyle w:val="286"/>
              <w:adjustRightInd w:val="0"/>
              <w:snapToGrid w:val="0"/>
              <w:spacing w:line="300" w:lineRule="exact"/>
              <w:rPr>
                <w:rFonts w:hint="eastAsia"/>
                <w:color w:val="000000" w:themeColor="text1"/>
                <w:sz w:val="21"/>
                <w:lang w:bidi="ar"/>
                <w14:textFill>
                  <w14:solidFill>
                    <w14:schemeClr w14:val="tx1"/>
                  </w14:solidFill>
                </w14:textFill>
              </w:rPr>
            </w:pPr>
            <w:r>
              <w:rPr>
                <w:rFonts w:hint="eastAsia"/>
                <w:color w:val="000000" w:themeColor="text1"/>
                <w:sz w:val="21"/>
                <w:lang w:bidi="ar"/>
                <w14:textFill>
                  <w14:solidFill>
                    <w14:schemeClr w14:val="tx1"/>
                  </w14:solidFill>
                </w14:textFill>
              </w:rPr>
              <w:t>2</w:t>
            </w:r>
          </w:p>
        </w:tc>
        <w:tc>
          <w:tcPr>
            <w:tcW w:w="4819" w:type="dxa"/>
            <w:tcMar>
              <w:left w:w="0" w:type="dxa"/>
              <w:right w:w="0" w:type="dxa"/>
            </w:tcMar>
            <w:vAlign w:val="center"/>
          </w:tcPr>
          <w:p w14:paraId="6A32A9BA">
            <w:pPr>
              <w:autoSpaceDE w:val="0"/>
              <w:autoSpaceDN w:val="0"/>
              <w:adjustRightInd w:val="0"/>
              <w:snapToGrid w:val="0"/>
              <w:spacing w:line="300" w:lineRule="exact"/>
              <w:jc w:val="left"/>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二）合理确定开发方案，优化开发布局。根据区域主体功能定位，结合区域资源环境特征、生态保护红线等相关管控要求，依据生态环境影响评价结果，从穿越位置、穿越方式、施工场地设置、管线工艺设计、环境风险防范等方面对规划建设油气长输管道工程及油气田内部集输管道工程选址选线提出要求，进一步优化石油天然气开采规模、开发布局和建设时序，优先避让环境敏感区，远离沿线居民。总结石油天然气开发过程对生态环境影响和保护经验，及时进行优化调整。</w:t>
            </w:r>
          </w:p>
        </w:tc>
        <w:tc>
          <w:tcPr>
            <w:tcW w:w="2835" w:type="dxa"/>
            <w:tcMar>
              <w:left w:w="0" w:type="dxa"/>
              <w:right w:w="0" w:type="dxa"/>
            </w:tcMar>
            <w:vAlign w:val="center"/>
          </w:tcPr>
          <w:p w14:paraId="34A628C0">
            <w:pPr>
              <w:pStyle w:val="286"/>
              <w:adjustRightInd w:val="0"/>
              <w:snapToGrid w:val="0"/>
              <w:spacing w:line="300" w:lineRule="exact"/>
              <w:jc w:val="both"/>
              <w:rPr>
                <w:rFonts w:hint="eastAsia"/>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预处理注入站选址、各类管线选线过程中尽量选取植被稀疏区域，管线选线过程中尽量远离居民区</w:t>
            </w:r>
          </w:p>
        </w:tc>
        <w:tc>
          <w:tcPr>
            <w:tcW w:w="792" w:type="dxa"/>
            <w:tcMar>
              <w:left w:w="0" w:type="dxa"/>
              <w:right w:w="0" w:type="dxa"/>
            </w:tcMar>
            <w:vAlign w:val="center"/>
          </w:tcPr>
          <w:p w14:paraId="657621F8">
            <w:pPr>
              <w:pStyle w:val="286"/>
              <w:adjustRightInd w:val="0"/>
              <w:snapToGrid w:val="0"/>
              <w:spacing w:line="300" w:lineRule="exact"/>
              <w:rPr>
                <w:rFonts w:hint="eastAsia"/>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符合</w:t>
            </w:r>
          </w:p>
        </w:tc>
      </w:tr>
      <w:tr w14:paraId="1BC8D02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84" w:type="dxa"/>
            <w:tcMar>
              <w:left w:w="0" w:type="dxa"/>
              <w:right w:w="0" w:type="dxa"/>
            </w:tcMar>
            <w:vAlign w:val="center"/>
          </w:tcPr>
          <w:p w14:paraId="68DC17A1">
            <w:pPr>
              <w:pStyle w:val="286"/>
              <w:adjustRightInd w:val="0"/>
              <w:snapToGrid w:val="0"/>
              <w:spacing w:line="300" w:lineRule="exact"/>
              <w:rPr>
                <w:rFonts w:hint="eastAsia"/>
                <w:color w:val="000000" w:themeColor="text1"/>
                <w:sz w:val="21"/>
                <w:lang w:bidi="ar"/>
                <w14:textFill>
                  <w14:solidFill>
                    <w14:schemeClr w14:val="tx1"/>
                  </w14:solidFill>
                </w14:textFill>
              </w:rPr>
            </w:pPr>
            <w:r>
              <w:rPr>
                <w:rFonts w:hint="eastAsia"/>
                <w:color w:val="000000" w:themeColor="text1"/>
                <w:sz w:val="21"/>
                <w:lang w:bidi="ar"/>
                <w14:textFill>
                  <w14:solidFill>
                    <w14:schemeClr w14:val="tx1"/>
                  </w14:solidFill>
                </w14:textFill>
              </w:rPr>
              <w:t>3</w:t>
            </w:r>
          </w:p>
        </w:tc>
        <w:tc>
          <w:tcPr>
            <w:tcW w:w="4819" w:type="dxa"/>
            <w:tcMar>
              <w:left w:w="0" w:type="dxa"/>
              <w:right w:w="0" w:type="dxa"/>
            </w:tcMar>
            <w:vAlign w:val="center"/>
          </w:tcPr>
          <w:p w14:paraId="5E837A57">
            <w:pPr>
              <w:autoSpaceDE w:val="0"/>
              <w:autoSpaceDN w:val="0"/>
              <w:adjustRightInd w:val="0"/>
              <w:snapToGrid w:val="0"/>
              <w:spacing w:line="300" w:lineRule="exact"/>
              <w:jc w:val="left"/>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三）严格生态环境保护，强化各类污染物防治。针对规划实施可能出现的累积性、长期性生态环境问题，采取积极有效的生态复垦和生态恢复措施，确保实现《报告书》提出的各项生态恢复治理要求，有效减缓规划区生态环境退化趋势。根据油气开采产业政策和生态环境保护政策要求，严格落实资源环境指标要求，进一步控制污染物排放以及能源消耗水平，对油气开采产生的废弃油基泥浆、含油钻屑及其他固体废物，提出减量化的源头控制措施、4资源化的利用路径、无害化的处理要求，按照国家和地方有关固体废物的管理规定进行处置，提高废弃油基泥浆和含油钻屑及其处理产物的综合利用率。根据油气开采产业政策和生态环境保护政策要求，严格落实资源环境指标要求，进一步控制污染物排放以及能源消耗水平。油气开采、输送、储存、净化等过程及非正常工况应加强挥发性有机物等污染物排放控制，确保满足区域环境空气质量要求。加强开采废水污染控制，涉及回注的应经处理满足《碎屑岩油藏注水水质推荐指标及分析方法》（SY/T5329）等相关标准要求，采取切实可行的地下水污染防治和监控措施，防止造成地下水污染。油气开采过程中产生的固体废物，应当遵循减量化、资源化、无害化原则，合规处置。加强伴生气、落地油、采出水等回收利用，提高综合利用水平。</w:t>
            </w:r>
          </w:p>
        </w:tc>
        <w:tc>
          <w:tcPr>
            <w:tcW w:w="2835" w:type="dxa"/>
            <w:tcMar>
              <w:left w:w="0" w:type="dxa"/>
              <w:right w:w="0" w:type="dxa"/>
            </w:tcMar>
            <w:vAlign w:val="center"/>
          </w:tcPr>
          <w:p w14:paraId="74F95729">
            <w:pPr>
              <w:pStyle w:val="286"/>
              <w:adjustRightInd w:val="0"/>
              <w:snapToGrid w:val="0"/>
              <w:spacing w:line="300" w:lineRule="exact"/>
              <w:jc w:val="both"/>
              <w:rPr>
                <w:rFonts w:hint="eastAsia"/>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采取的生</w:t>
            </w:r>
            <w:r>
              <w:rPr>
                <w:rFonts w:hint="eastAsia" w:cs="宋体"/>
                <w:color w:val="000000" w:themeColor="text1"/>
                <w:sz w:val="21"/>
                <w14:textFill>
                  <w14:solidFill>
                    <w14:schemeClr w14:val="tx1"/>
                  </w14:solidFill>
                </w14:textFill>
              </w:rPr>
              <w:t>态恢复措施符合规划环评报告书的要求，建筑垃圾收集后送至当地建筑垃圾填埋场处理；废润滑油、废油桶、废分子筛、沾油废防渗膜和废含油抹布和劳保用品最终交由有相应危险废物处理资质的单位处理，废包装物由厂家回收处理，产生的各类固体废物均得到合规处置；选用质量可</w:t>
            </w:r>
            <w:r>
              <w:rPr>
                <w:rFonts w:hint="eastAsia"/>
                <w:color w:val="000000" w:themeColor="text1"/>
                <w:sz w:val="21"/>
                <w14:textFill>
                  <w14:solidFill>
                    <w14:schemeClr w14:val="tx1"/>
                  </w14:solidFill>
                </w14:textFill>
              </w:rPr>
              <w:t>靠的设备、仪表、阀门等；定期对井场的设备、阀门等检查、检修；不涉及采出水回注；</w:t>
            </w:r>
            <w:r>
              <w:rPr>
                <w:rFonts w:hint="eastAsia"/>
                <w:color w:val="000000" w:themeColor="text1"/>
                <w:sz w:val="21"/>
                <w:lang w:val="zh-CN"/>
                <w14:textFill>
                  <w14:solidFill>
                    <w14:schemeClr w14:val="tx1"/>
                  </w14:solidFill>
                </w14:textFill>
              </w:rPr>
              <w:t>井场、预处理注入站采取了相应的防渗措施。</w:t>
            </w:r>
          </w:p>
        </w:tc>
        <w:tc>
          <w:tcPr>
            <w:tcW w:w="792" w:type="dxa"/>
            <w:tcMar>
              <w:left w:w="0" w:type="dxa"/>
              <w:right w:w="0" w:type="dxa"/>
            </w:tcMar>
            <w:vAlign w:val="center"/>
          </w:tcPr>
          <w:p w14:paraId="1C91ADE4">
            <w:pPr>
              <w:pStyle w:val="286"/>
              <w:adjustRightInd w:val="0"/>
              <w:snapToGrid w:val="0"/>
              <w:spacing w:line="300" w:lineRule="exact"/>
              <w:rPr>
                <w:rFonts w:hint="eastAsia"/>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符合</w:t>
            </w:r>
          </w:p>
        </w:tc>
      </w:tr>
      <w:tr w14:paraId="49E02D7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84" w:type="dxa"/>
            <w:tcMar>
              <w:left w:w="0" w:type="dxa"/>
              <w:right w:w="0" w:type="dxa"/>
            </w:tcMar>
            <w:vAlign w:val="center"/>
          </w:tcPr>
          <w:p w14:paraId="01E75213">
            <w:pPr>
              <w:pStyle w:val="286"/>
              <w:adjustRightInd w:val="0"/>
              <w:snapToGrid w:val="0"/>
              <w:spacing w:line="300" w:lineRule="exact"/>
              <w:rPr>
                <w:rFonts w:hint="eastAsia"/>
                <w:color w:val="000000" w:themeColor="text1"/>
                <w:sz w:val="21"/>
                <w:lang w:bidi="ar"/>
                <w14:textFill>
                  <w14:solidFill>
                    <w14:schemeClr w14:val="tx1"/>
                  </w14:solidFill>
                </w14:textFill>
              </w:rPr>
            </w:pPr>
            <w:r>
              <w:rPr>
                <w:rFonts w:hint="eastAsia"/>
                <w:color w:val="000000" w:themeColor="text1"/>
                <w:sz w:val="21"/>
                <w:lang w:bidi="ar"/>
                <w14:textFill>
                  <w14:solidFill>
                    <w14:schemeClr w14:val="tx1"/>
                  </w14:solidFill>
                </w14:textFill>
              </w:rPr>
              <w:t>4</w:t>
            </w:r>
          </w:p>
        </w:tc>
        <w:tc>
          <w:tcPr>
            <w:tcW w:w="4819" w:type="dxa"/>
            <w:tcMar>
              <w:left w:w="0" w:type="dxa"/>
              <w:right w:w="0" w:type="dxa"/>
            </w:tcMar>
            <w:vAlign w:val="center"/>
          </w:tcPr>
          <w:p w14:paraId="224462D1">
            <w:pPr>
              <w:autoSpaceDE w:val="0"/>
              <w:autoSpaceDN w:val="0"/>
              <w:adjustRightInd w:val="0"/>
              <w:snapToGrid w:val="0"/>
              <w:spacing w:line="300" w:lineRule="exact"/>
              <w:jc w:val="left"/>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四）加强生态环境系统治理，维护生态安全。坚持节约优先、保护优先、自然恢复为主，统筹推进山水林田湖草沙一体化保护和系统治理，守住自然生态安全边界。严格控制油气田开发扰动范围，加大生态治理力度，结合油气开采绿色矿山建设等相关要求，落实各项生态环境保护措施，保障区域生态功能不退化。油气开发应同步制定并落实生态保护和修复方案，综合考虑防沙治沙等相关要求，因地制宜开展生态恢复治理工作。</w:t>
            </w:r>
          </w:p>
        </w:tc>
        <w:tc>
          <w:tcPr>
            <w:tcW w:w="2835" w:type="dxa"/>
            <w:tcMar>
              <w:left w:w="0" w:type="dxa"/>
              <w:right w:w="0" w:type="dxa"/>
            </w:tcMar>
            <w:vAlign w:val="center"/>
          </w:tcPr>
          <w:p w14:paraId="348FC372">
            <w:pPr>
              <w:pStyle w:val="286"/>
              <w:adjustRightInd w:val="0"/>
              <w:snapToGrid w:val="0"/>
              <w:spacing w:line="300" w:lineRule="exact"/>
              <w:jc w:val="both"/>
              <w:rPr>
                <w:rFonts w:hint="eastAsia"/>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报告中提出了相应的生态环境保护措施，并制定了生态恢复方案。</w:t>
            </w:r>
          </w:p>
        </w:tc>
        <w:tc>
          <w:tcPr>
            <w:tcW w:w="792" w:type="dxa"/>
            <w:tcMar>
              <w:left w:w="0" w:type="dxa"/>
              <w:right w:w="0" w:type="dxa"/>
            </w:tcMar>
            <w:vAlign w:val="center"/>
          </w:tcPr>
          <w:p w14:paraId="0A49BCE4">
            <w:pPr>
              <w:pStyle w:val="286"/>
              <w:adjustRightInd w:val="0"/>
              <w:snapToGrid w:val="0"/>
              <w:spacing w:line="300" w:lineRule="exact"/>
              <w:rPr>
                <w:rFonts w:hint="eastAsia"/>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符合</w:t>
            </w:r>
          </w:p>
        </w:tc>
      </w:tr>
      <w:tr w14:paraId="50BF615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84" w:type="dxa"/>
            <w:tcMar>
              <w:left w:w="0" w:type="dxa"/>
              <w:right w:w="0" w:type="dxa"/>
            </w:tcMar>
            <w:vAlign w:val="center"/>
          </w:tcPr>
          <w:p w14:paraId="383C7E94">
            <w:pPr>
              <w:pStyle w:val="286"/>
              <w:adjustRightInd w:val="0"/>
              <w:snapToGrid w:val="0"/>
              <w:spacing w:line="300" w:lineRule="exact"/>
              <w:rPr>
                <w:rFonts w:hint="eastAsia"/>
                <w:color w:val="000000" w:themeColor="text1"/>
                <w:sz w:val="21"/>
                <w:lang w:bidi="ar"/>
                <w14:textFill>
                  <w14:solidFill>
                    <w14:schemeClr w14:val="tx1"/>
                  </w14:solidFill>
                </w14:textFill>
              </w:rPr>
            </w:pPr>
            <w:r>
              <w:rPr>
                <w:rFonts w:hint="eastAsia"/>
                <w:color w:val="000000" w:themeColor="text1"/>
                <w:sz w:val="21"/>
                <w:lang w:bidi="ar"/>
                <w14:textFill>
                  <w14:solidFill>
                    <w14:schemeClr w14:val="tx1"/>
                  </w14:solidFill>
                </w14:textFill>
              </w:rPr>
              <w:t>5</w:t>
            </w:r>
          </w:p>
        </w:tc>
        <w:tc>
          <w:tcPr>
            <w:tcW w:w="4819" w:type="dxa"/>
            <w:tcMar>
              <w:left w:w="0" w:type="dxa"/>
              <w:right w:w="0" w:type="dxa"/>
            </w:tcMar>
            <w:vAlign w:val="center"/>
          </w:tcPr>
          <w:p w14:paraId="03D0B987">
            <w:pPr>
              <w:autoSpaceDE w:val="0"/>
              <w:autoSpaceDN w:val="0"/>
              <w:adjustRightInd w:val="0"/>
              <w:snapToGrid w:val="0"/>
              <w:spacing w:line="300" w:lineRule="exact"/>
              <w:jc w:val="left"/>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六）加强油气开发事中事后环境管理。油气企业应切实落实生态环境保护主体责任，进一步健全生态环境管理和应急管理体系，确保各项生态环境保护和应急防控措施落实到位。建立环境空气、水环境、土壤环境、生态等监测体系，开展长期跟踪监测。根据监测结果，及时优化开发方案，并采取有效的生态环境保护措施。</w:t>
            </w:r>
          </w:p>
        </w:tc>
        <w:tc>
          <w:tcPr>
            <w:tcW w:w="2835" w:type="dxa"/>
            <w:tcMar>
              <w:left w:w="0" w:type="dxa"/>
              <w:right w:w="0" w:type="dxa"/>
            </w:tcMar>
            <w:vAlign w:val="center"/>
          </w:tcPr>
          <w:p w14:paraId="796A27A3">
            <w:pPr>
              <w:pStyle w:val="286"/>
              <w:adjustRightInd w:val="0"/>
              <w:snapToGrid w:val="0"/>
              <w:spacing w:line="300" w:lineRule="exact"/>
              <w:jc w:val="both"/>
              <w:rPr>
                <w:rFonts w:hint="eastAsia"/>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报告中提出了运营期监测计划和环境影响后评价的要求。</w:t>
            </w:r>
          </w:p>
        </w:tc>
        <w:tc>
          <w:tcPr>
            <w:tcW w:w="792" w:type="dxa"/>
            <w:tcMar>
              <w:left w:w="0" w:type="dxa"/>
              <w:right w:w="0" w:type="dxa"/>
            </w:tcMar>
            <w:vAlign w:val="center"/>
          </w:tcPr>
          <w:p w14:paraId="787F8FDF">
            <w:pPr>
              <w:pStyle w:val="286"/>
              <w:adjustRightInd w:val="0"/>
              <w:snapToGrid w:val="0"/>
              <w:spacing w:line="300" w:lineRule="exact"/>
              <w:rPr>
                <w:rFonts w:hint="eastAsia"/>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符合</w:t>
            </w:r>
          </w:p>
        </w:tc>
      </w:tr>
      <w:bookmarkEnd w:id="151"/>
    </w:tbl>
    <w:p w14:paraId="5906F04B">
      <w:pPr>
        <w:pStyle w:val="117"/>
        <w:ind w:firstLine="480"/>
        <w:rPr>
          <w:rFonts w:hint="eastAsia"/>
          <w:color w:val="000000" w:themeColor="text1"/>
          <w14:textFill>
            <w14:solidFill>
              <w14:schemeClr w14:val="tx1"/>
            </w14:solidFill>
          </w14:textFill>
        </w:rPr>
      </w:pPr>
      <w:bookmarkStart w:id="153" w:name="OLE_LINK47"/>
      <w:r>
        <w:rPr>
          <w:rFonts w:hint="eastAsia"/>
          <w:color w:val="000000" w:themeColor="text1"/>
          <w14:textFill>
            <w14:solidFill>
              <w14:schemeClr w14:val="tx1"/>
            </w14:solidFill>
          </w14:textFill>
        </w:rPr>
        <w:t>（4）与</w:t>
      </w:r>
      <w:r>
        <w:rPr>
          <w:rFonts w:hint="eastAsia"/>
          <w:color w:val="000000" w:themeColor="text1"/>
          <w:lang w:bidi="ar"/>
          <w14:textFill>
            <w14:solidFill>
              <w14:schemeClr w14:val="tx1"/>
            </w14:solidFill>
          </w14:textFill>
        </w:rPr>
        <w:t>《</w:t>
      </w:r>
      <w:r>
        <w:rPr>
          <w:color w:val="000000" w:themeColor="text1"/>
          <w:lang w:bidi="ar"/>
          <w14:textFill>
            <w14:solidFill>
              <w14:schemeClr w14:val="tx1"/>
            </w14:solidFill>
          </w14:textFill>
        </w:rPr>
        <w:t>新疆生态环境保护“十四五”规划</w:t>
      </w:r>
      <w:r>
        <w:rPr>
          <w:rFonts w:hint="eastAsia"/>
          <w:color w:val="000000" w:themeColor="text1"/>
          <w:lang w:bidi="ar"/>
          <w14:textFill>
            <w14:solidFill>
              <w14:schemeClr w14:val="tx1"/>
            </w14:solidFill>
          </w14:textFill>
        </w:rPr>
        <w:t>》</w:t>
      </w:r>
      <w:r>
        <w:rPr>
          <w:rFonts w:hint="eastAsia"/>
          <w:color w:val="000000" w:themeColor="text1"/>
          <w14:textFill>
            <w14:solidFill>
              <w14:schemeClr w14:val="tx1"/>
            </w14:solidFill>
          </w14:textFill>
        </w:rPr>
        <w:t>的符合性分析</w:t>
      </w:r>
    </w:p>
    <w:bookmarkEnd w:id="153"/>
    <w:p w14:paraId="7A3D6055">
      <w:pPr>
        <w:pStyle w:val="117"/>
        <w:adjustRightInd w:val="0"/>
        <w:snapToGrid w:val="0"/>
        <w:ind w:firstLine="480"/>
        <w:rPr>
          <w:rFonts w:hint="eastAsia"/>
          <w:color w:val="000000" w:themeColor="text1"/>
          <w:lang w:bidi="ar"/>
          <w14:textFill>
            <w14:solidFill>
              <w14:schemeClr w14:val="tx1"/>
            </w14:solidFill>
          </w14:textFill>
        </w:rPr>
      </w:pPr>
      <w:r>
        <w:rPr>
          <w:rFonts w:hint="eastAsia"/>
          <w:color w:val="000000" w:themeColor="text1"/>
          <w:lang w:bidi="ar"/>
          <w14:textFill>
            <w14:solidFill>
              <w14:schemeClr w14:val="tx1"/>
            </w14:solidFill>
          </w14:textFill>
        </w:rPr>
        <w:t>项目建设符合《</w:t>
      </w:r>
      <w:r>
        <w:rPr>
          <w:color w:val="000000" w:themeColor="text1"/>
          <w:lang w:bidi="ar"/>
          <w14:textFill>
            <w14:solidFill>
              <w14:schemeClr w14:val="tx1"/>
            </w14:solidFill>
          </w14:textFill>
        </w:rPr>
        <w:t>新疆生态环境保护“十四五”规划</w:t>
      </w:r>
      <w:r>
        <w:rPr>
          <w:rFonts w:hint="eastAsia"/>
          <w:color w:val="000000" w:themeColor="text1"/>
          <w:lang w:bidi="ar"/>
          <w14:textFill>
            <w14:solidFill>
              <w14:schemeClr w14:val="tx1"/>
            </w14:solidFill>
          </w14:textFill>
        </w:rPr>
        <w:t>》中的相关要求，详见表2</w:t>
      </w:r>
      <w:r>
        <w:rPr>
          <w:color w:val="000000" w:themeColor="text1"/>
          <w:lang w:bidi="ar"/>
          <w14:textFill>
            <w14:solidFill>
              <w14:schemeClr w14:val="tx1"/>
            </w14:solidFill>
          </w14:textFill>
        </w:rPr>
        <w:t>.9-</w:t>
      </w:r>
      <w:r>
        <w:rPr>
          <w:rFonts w:hint="eastAsia"/>
          <w:color w:val="000000" w:themeColor="text1"/>
          <w:lang w:bidi="ar"/>
          <w14:textFill>
            <w14:solidFill>
              <w14:schemeClr w14:val="tx1"/>
            </w14:solidFill>
          </w14:textFill>
        </w:rPr>
        <w:t>3。</w:t>
      </w:r>
    </w:p>
    <w:p w14:paraId="1FA59D15">
      <w:pPr>
        <w:spacing w:line="500" w:lineRule="exact"/>
        <w:ind w:firstLine="420" w:firstLineChars="200"/>
        <w:jc w:val="center"/>
        <w:rPr>
          <w:rFonts w:hint="eastAsia" w:ascii="黑体" w:hAnsi="黑体" w:eastAsia="黑体"/>
          <w:color w:val="000000" w:themeColor="text1"/>
          <w:szCs w:val="21"/>
          <w14:textFill>
            <w14:solidFill>
              <w14:schemeClr w14:val="tx1"/>
            </w14:solidFill>
          </w14:textFill>
        </w:rPr>
      </w:pPr>
      <w:r>
        <w:rPr>
          <w:rFonts w:hint="eastAsia" w:ascii="黑体" w:hAnsi="黑体" w:eastAsia="黑体"/>
          <w:color w:val="000000" w:themeColor="text1"/>
          <w:szCs w:val="21"/>
          <w14:textFill>
            <w14:solidFill>
              <w14:schemeClr w14:val="tx1"/>
            </w14:solidFill>
          </w14:textFill>
        </w:rPr>
        <w:t>表2</w:t>
      </w:r>
      <w:r>
        <w:rPr>
          <w:rFonts w:ascii="黑体" w:hAnsi="黑体" w:eastAsia="黑体"/>
          <w:color w:val="000000" w:themeColor="text1"/>
          <w:szCs w:val="21"/>
          <w14:textFill>
            <w14:solidFill>
              <w14:schemeClr w14:val="tx1"/>
            </w14:solidFill>
          </w14:textFill>
        </w:rPr>
        <w:t>.9-</w:t>
      </w:r>
      <w:r>
        <w:rPr>
          <w:rFonts w:hint="eastAsia" w:ascii="黑体" w:hAnsi="黑体" w:eastAsia="黑体"/>
          <w:color w:val="000000" w:themeColor="text1"/>
          <w:szCs w:val="21"/>
          <w14:textFill>
            <w14:solidFill>
              <w14:schemeClr w14:val="tx1"/>
            </w14:solidFill>
          </w14:textFill>
        </w:rPr>
        <w:t xml:space="preserve">3 </w:t>
      </w:r>
      <w:r>
        <w:rPr>
          <w:rFonts w:ascii="黑体" w:hAnsi="黑体" w:eastAsia="黑体"/>
          <w:color w:val="000000" w:themeColor="text1"/>
          <w:szCs w:val="21"/>
          <w14:textFill>
            <w14:solidFill>
              <w14:schemeClr w14:val="tx1"/>
            </w14:solidFill>
          </w14:textFill>
        </w:rPr>
        <w:t xml:space="preserve"> </w:t>
      </w:r>
      <w:r>
        <w:rPr>
          <w:rFonts w:hint="eastAsia" w:ascii="黑体" w:hAnsi="黑体" w:eastAsia="黑体"/>
          <w:color w:val="000000" w:themeColor="text1"/>
          <w:szCs w:val="21"/>
          <w14:textFill>
            <w14:solidFill>
              <w14:schemeClr w14:val="tx1"/>
            </w14:solidFill>
          </w14:textFill>
        </w:rPr>
        <w:t>项目与《</w:t>
      </w:r>
      <w:r>
        <w:rPr>
          <w:rFonts w:ascii="黑体" w:hAnsi="黑体" w:eastAsia="黑体"/>
          <w:color w:val="000000" w:themeColor="text1"/>
          <w:szCs w:val="21"/>
          <w14:textFill>
            <w14:solidFill>
              <w14:schemeClr w14:val="tx1"/>
            </w14:solidFill>
          </w14:textFill>
        </w:rPr>
        <w:t>新疆生态环境保护“十四五”规划</w:t>
      </w:r>
      <w:r>
        <w:rPr>
          <w:rFonts w:hint="eastAsia" w:ascii="黑体" w:hAnsi="黑体" w:eastAsia="黑体"/>
          <w:color w:val="000000" w:themeColor="text1"/>
          <w:szCs w:val="21"/>
          <w14:textFill>
            <w14:solidFill>
              <w14:schemeClr w14:val="tx1"/>
            </w14:solidFill>
          </w14:textFill>
        </w:rPr>
        <w:t>》的相符性分析</w:t>
      </w:r>
    </w:p>
    <w:tbl>
      <w:tblPr>
        <w:tblStyle w:val="51"/>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6" w:type="dxa"/>
          <w:bottom w:w="0" w:type="dxa"/>
          <w:right w:w="6" w:type="dxa"/>
        </w:tblCellMar>
      </w:tblPr>
      <w:tblGrid>
        <w:gridCol w:w="285"/>
        <w:gridCol w:w="4116"/>
        <w:gridCol w:w="3691"/>
        <w:gridCol w:w="650"/>
      </w:tblGrid>
      <w:tr w14:paraId="68F0A4D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6" w:type="dxa"/>
            <w:bottom w:w="0" w:type="dxa"/>
            <w:right w:w="6" w:type="dxa"/>
          </w:tblCellMar>
        </w:tblPrEx>
        <w:trPr>
          <w:trHeight w:val="284" w:hRule="atLeast"/>
        </w:trPr>
        <w:tc>
          <w:tcPr>
            <w:tcW w:w="163" w:type="pct"/>
            <w:vAlign w:val="center"/>
          </w:tcPr>
          <w:p w14:paraId="2F880061">
            <w:pPr>
              <w:adjustRightInd w:val="0"/>
              <w:snapToGrid w:val="0"/>
              <w:spacing w:line="280" w:lineRule="exact"/>
              <w:jc w:val="center"/>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序号</w:t>
            </w:r>
          </w:p>
        </w:tc>
        <w:tc>
          <w:tcPr>
            <w:tcW w:w="2354" w:type="pct"/>
            <w:vAlign w:val="center"/>
          </w:tcPr>
          <w:p w14:paraId="0F83433C">
            <w:pPr>
              <w:adjustRightInd w:val="0"/>
              <w:snapToGrid w:val="0"/>
              <w:spacing w:line="280" w:lineRule="exact"/>
              <w:jc w:val="center"/>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规划中相关要求</w:t>
            </w:r>
          </w:p>
        </w:tc>
        <w:tc>
          <w:tcPr>
            <w:tcW w:w="2111" w:type="pct"/>
            <w:vAlign w:val="center"/>
          </w:tcPr>
          <w:p w14:paraId="39B71EE7">
            <w:pPr>
              <w:adjustRightInd w:val="0"/>
              <w:snapToGrid w:val="0"/>
              <w:spacing w:line="280" w:lineRule="exact"/>
              <w:jc w:val="center"/>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本项目拟采取措施</w:t>
            </w:r>
          </w:p>
        </w:tc>
        <w:tc>
          <w:tcPr>
            <w:tcW w:w="372" w:type="pct"/>
            <w:vAlign w:val="center"/>
          </w:tcPr>
          <w:p w14:paraId="4129500C">
            <w:pPr>
              <w:adjustRightInd w:val="0"/>
              <w:snapToGrid w:val="0"/>
              <w:spacing w:line="280" w:lineRule="exact"/>
              <w:jc w:val="center"/>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符合性分析</w:t>
            </w:r>
          </w:p>
        </w:tc>
      </w:tr>
      <w:tr w14:paraId="6548BDA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6" w:type="dxa"/>
            <w:bottom w:w="0" w:type="dxa"/>
            <w:right w:w="6" w:type="dxa"/>
          </w:tblCellMar>
        </w:tblPrEx>
        <w:trPr>
          <w:trHeight w:val="284" w:hRule="atLeast"/>
        </w:trPr>
        <w:tc>
          <w:tcPr>
            <w:tcW w:w="163" w:type="pct"/>
            <w:vAlign w:val="center"/>
          </w:tcPr>
          <w:p w14:paraId="72EFB233">
            <w:pPr>
              <w:adjustRightInd w:val="0"/>
              <w:snapToGrid w:val="0"/>
              <w:spacing w:line="280" w:lineRule="exact"/>
              <w:jc w:val="center"/>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1</w:t>
            </w:r>
          </w:p>
        </w:tc>
        <w:tc>
          <w:tcPr>
            <w:tcW w:w="2354" w:type="pct"/>
            <w:vAlign w:val="center"/>
          </w:tcPr>
          <w:p w14:paraId="70944B48">
            <w:pPr>
              <w:adjustRightInd w:val="0"/>
              <w:snapToGrid w:val="0"/>
              <w:spacing w:line="280" w:lineRule="exact"/>
              <w:jc w:val="center"/>
              <w:rPr>
                <w:rFonts w:hint="eastAsia" w:ascii="宋体" w:hAnsi="宋体"/>
                <w:color w:val="000000" w:themeColor="text1"/>
                <w:szCs w:val="21"/>
                <w14:textFill>
                  <w14:solidFill>
                    <w14:schemeClr w14:val="tx1"/>
                  </w14:solidFill>
                </w14:textFill>
              </w:rPr>
            </w:pPr>
            <w:r>
              <w:rPr>
                <w:rFonts w:hint="eastAsia"/>
                <w:color w:val="000000" w:themeColor="text1"/>
                <w14:textFill>
                  <w14:solidFill>
                    <w14:schemeClr w14:val="tx1"/>
                  </w14:solidFill>
                </w14:textFill>
              </w:rPr>
              <w:t>加快发展现代煤化工、新材料、有色金属、煤炭、煤电、矿产开采及加工等优势产业，培育壮大先进装备制造、页岩油气加工、节能环保、新型建材、新能源等新兴产业和生产性服务业</w:t>
            </w:r>
          </w:p>
        </w:tc>
        <w:tc>
          <w:tcPr>
            <w:tcW w:w="2111" w:type="pct"/>
            <w:vAlign w:val="center"/>
          </w:tcPr>
          <w:p w14:paraId="0418F3A2">
            <w:pPr>
              <w:adjustRightInd w:val="0"/>
              <w:snapToGrid w:val="0"/>
              <w:spacing w:line="280" w:lineRule="exact"/>
              <w:jc w:val="center"/>
              <w:rPr>
                <w:rFonts w:hint="eastAsia" w:ascii="宋体" w:hAnsi="宋体"/>
                <w:color w:val="000000" w:themeColor="text1"/>
                <w:szCs w:val="21"/>
                <w14:textFill>
                  <w14:solidFill>
                    <w14:schemeClr w14:val="tx1"/>
                  </w14:solidFill>
                </w14:textFill>
              </w:rPr>
            </w:pPr>
            <w:r>
              <w:rPr>
                <w:rFonts w:hint="eastAsia"/>
                <w:color w:val="000000" w:themeColor="text1"/>
                <w14:textFill>
                  <w14:solidFill>
                    <w14:schemeClr w14:val="tx1"/>
                  </w14:solidFill>
                </w14:textFill>
              </w:rPr>
              <w:t>本工程为页岩油开采项目，属于区域优势矿产资源</w:t>
            </w:r>
          </w:p>
        </w:tc>
        <w:tc>
          <w:tcPr>
            <w:tcW w:w="372" w:type="pct"/>
            <w:vAlign w:val="center"/>
          </w:tcPr>
          <w:p w14:paraId="4C4745AC">
            <w:pPr>
              <w:adjustRightInd w:val="0"/>
              <w:snapToGrid w:val="0"/>
              <w:spacing w:line="280" w:lineRule="exact"/>
              <w:jc w:val="center"/>
              <w:rPr>
                <w:rFonts w:hint="eastAsia" w:ascii="宋体" w:hAnsi="宋体"/>
                <w:color w:val="000000" w:themeColor="text1"/>
                <w:szCs w:val="21"/>
                <w14:textFill>
                  <w14:solidFill>
                    <w14:schemeClr w14:val="tx1"/>
                  </w14:solidFill>
                </w14:textFill>
              </w:rPr>
            </w:pPr>
            <w:r>
              <w:rPr>
                <w:rFonts w:hint="eastAsia"/>
                <w:color w:val="000000" w:themeColor="text1"/>
                <w14:textFill>
                  <w14:solidFill>
                    <w14:schemeClr w14:val="tx1"/>
                  </w14:solidFill>
                </w14:textFill>
              </w:rPr>
              <w:t>符合</w:t>
            </w:r>
          </w:p>
        </w:tc>
      </w:tr>
      <w:tr w14:paraId="4734326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6" w:type="dxa"/>
            <w:bottom w:w="0" w:type="dxa"/>
            <w:right w:w="6" w:type="dxa"/>
          </w:tblCellMar>
        </w:tblPrEx>
        <w:trPr>
          <w:trHeight w:val="284" w:hRule="atLeast"/>
        </w:trPr>
        <w:tc>
          <w:tcPr>
            <w:tcW w:w="163" w:type="pct"/>
            <w:vAlign w:val="center"/>
          </w:tcPr>
          <w:p w14:paraId="32A1D97D">
            <w:pPr>
              <w:adjustRightInd w:val="0"/>
              <w:snapToGrid w:val="0"/>
              <w:spacing w:line="280" w:lineRule="exact"/>
              <w:jc w:val="center"/>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2</w:t>
            </w:r>
          </w:p>
        </w:tc>
        <w:tc>
          <w:tcPr>
            <w:tcW w:w="2354" w:type="pct"/>
            <w:vAlign w:val="center"/>
          </w:tcPr>
          <w:p w14:paraId="06214E01">
            <w:pPr>
              <w:adjustRightInd w:val="0"/>
              <w:snapToGrid w:val="0"/>
              <w:spacing w:line="280" w:lineRule="exact"/>
              <w:jc w:val="center"/>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实施最严格的生态保护制度。坚决遏制“两高”项目盲目发展，严格执行能源、矿产资源开发自治区人民政府“一支笔”审批制度、环境保护“一票否决”制度，落实“三线一单”生态环境分区管控要求，守住生态保护红线、环境质量底线和资源利用上线，实施生态环境准入清单管控。</w:t>
            </w:r>
          </w:p>
        </w:tc>
        <w:tc>
          <w:tcPr>
            <w:tcW w:w="2111" w:type="pct"/>
            <w:vAlign w:val="center"/>
          </w:tcPr>
          <w:p w14:paraId="46BA3BAD">
            <w:pPr>
              <w:adjustRightInd w:val="0"/>
              <w:snapToGrid w:val="0"/>
              <w:spacing w:line="280" w:lineRule="exact"/>
              <w:jc w:val="center"/>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本项目不属于“高污染、高环境风险产品”项目；位于一般管控单元，不涉及生态红线；废气、噪声均可实现达标排放，废水和固体废物均得到妥善处置，不会突破区域环境质量底线；施工期和运营期会消耗少量的电能和水，工程资源消耗量相对区域资源利用总量较少，符合资源上限要求；符合“三线一单”的要求</w:t>
            </w:r>
          </w:p>
        </w:tc>
        <w:tc>
          <w:tcPr>
            <w:tcW w:w="372" w:type="pct"/>
            <w:vAlign w:val="center"/>
          </w:tcPr>
          <w:p w14:paraId="71904857">
            <w:pPr>
              <w:adjustRightInd w:val="0"/>
              <w:snapToGrid w:val="0"/>
              <w:spacing w:line="280" w:lineRule="exact"/>
              <w:jc w:val="center"/>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符合</w:t>
            </w:r>
          </w:p>
        </w:tc>
      </w:tr>
      <w:tr w14:paraId="50C9E42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6" w:type="dxa"/>
            <w:bottom w:w="0" w:type="dxa"/>
            <w:right w:w="6" w:type="dxa"/>
          </w:tblCellMar>
        </w:tblPrEx>
        <w:trPr>
          <w:trHeight w:val="284" w:hRule="atLeast"/>
        </w:trPr>
        <w:tc>
          <w:tcPr>
            <w:tcW w:w="163" w:type="pct"/>
            <w:vAlign w:val="center"/>
          </w:tcPr>
          <w:p w14:paraId="387EA2EA">
            <w:pPr>
              <w:adjustRightInd w:val="0"/>
              <w:snapToGrid w:val="0"/>
              <w:spacing w:line="280" w:lineRule="exact"/>
              <w:jc w:val="center"/>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3</w:t>
            </w:r>
          </w:p>
        </w:tc>
        <w:tc>
          <w:tcPr>
            <w:tcW w:w="2354" w:type="pct"/>
            <w:vAlign w:val="center"/>
          </w:tcPr>
          <w:p w14:paraId="6D3CAA65">
            <w:pPr>
              <w:adjustRightInd w:val="0"/>
              <w:snapToGrid w:val="0"/>
              <w:spacing w:line="280" w:lineRule="exact"/>
              <w:jc w:val="center"/>
              <w:rPr>
                <w:rFonts w:hint="eastAsia" w:ascii="宋体" w:hAnsi="宋体"/>
                <w:color w:val="000000" w:themeColor="text1"/>
                <w:szCs w:val="21"/>
                <w14:textFill>
                  <w14:solidFill>
                    <w14:schemeClr w14:val="tx1"/>
                  </w14:solidFill>
                </w14:textFill>
              </w:rPr>
            </w:pPr>
            <w:r>
              <w:rPr>
                <w:color w:val="000000" w:themeColor="text1"/>
                <w14:textFill>
                  <w14:solidFill>
                    <w14:schemeClr w14:val="tx1"/>
                  </w14:solidFill>
                </w14:textFill>
              </w:rPr>
              <w:t>积极引导重点产废企业自建危险废物利用设施，支持大型企业集团内部共享危险废物利用处置设施，推进工业废盐、废催化剂、煤焦油、电解铝大修渣等利用处置设施建设，适度发展水泥窑协同处置危险废物，引导推进有害废物处理处置能力建设，引导推进含油污泥处置、废矿物油回收利用能力过剩问题化解和布局优化。坚持兵地统筹、区域协同规划和建设危险废物利用处置设施，实现疆内危险废物处置能力与产废情况总体匹配。深入推进油气田开采历史遗留含油污泥、磺化泥浆、黄金选矿行业氰化尾渣、铜冶炼行业砷渣以及石棉矿选矿废渣等调查和污染治理</w:t>
            </w:r>
          </w:p>
        </w:tc>
        <w:tc>
          <w:tcPr>
            <w:tcW w:w="2111" w:type="pct"/>
            <w:vAlign w:val="center"/>
          </w:tcPr>
          <w:p w14:paraId="4B61D828">
            <w:pPr>
              <w:adjustRightInd w:val="0"/>
              <w:snapToGrid w:val="0"/>
              <w:spacing w:line="280" w:lineRule="exact"/>
              <w:rPr>
                <w:rFonts w:hint="eastAsia" w:ascii="宋体" w:hAnsi="宋体"/>
                <w:color w:val="000000" w:themeColor="text1"/>
                <w:szCs w:val="21"/>
                <w14:textFill>
                  <w14:solidFill>
                    <w14:schemeClr w14:val="tx1"/>
                  </w14:solidFill>
                </w14:textFill>
              </w:rPr>
            </w:pPr>
            <w:r>
              <w:rPr>
                <w:rFonts w:hint="eastAsia"/>
                <w:color w:val="000000" w:themeColor="text1"/>
                <w14:textFill>
                  <w14:solidFill>
                    <w14:schemeClr w14:val="tx1"/>
                  </w14:solidFill>
                </w14:textFill>
              </w:rPr>
              <w:t>运营期危险废物为废润滑油、废油桶、废分子筛、沾油废防渗材料和废含油抹布、劳保用品，分类收集，集中收集后交由有相应资质的单位处置，废包装物由厂家回收处置。</w:t>
            </w:r>
          </w:p>
        </w:tc>
        <w:tc>
          <w:tcPr>
            <w:tcW w:w="372" w:type="pct"/>
            <w:vAlign w:val="center"/>
          </w:tcPr>
          <w:p w14:paraId="03AE4CED">
            <w:pPr>
              <w:adjustRightInd w:val="0"/>
              <w:snapToGrid w:val="0"/>
              <w:spacing w:line="280" w:lineRule="exact"/>
              <w:jc w:val="center"/>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符合</w:t>
            </w:r>
          </w:p>
        </w:tc>
      </w:tr>
      <w:tr w14:paraId="5D535E3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6" w:type="dxa"/>
            <w:bottom w:w="0" w:type="dxa"/>
            <w:right w:w="6" w:type="dxa"/>
          </w:tblCellMar>
        </w:tblPrEx>
        <w:trPr>
          <w:trHeight w:val="284" w:hRule="atLeast"/>
        </w:trPr>
        <w:tc>
          <w:tcPr>
            <w:tcW w:w="163" w:type="pct"/>
            <w:vAlign w:val="center"/>
          </w:tcPr>
          <w:p w14:paraId="6C41C37E">
            <w:pPr>
              <w:adjustRightInd w:val="0"/>
              <w:snapToGrid w:val="0"/>
              <w:spacing w:line="280" w:lineRule="exact"/>
              <w:jc w:val="center"/>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4</w:t>
            </w:r>
          </w:p>
        </w:tc>
        <w:tc>
          <w:tcPr>
            <w:tcW w:w="2354" w:type="pct"/>
            <w:vAlign w:val="center"/>
          </w:tcPr>
          <w:p w14:paraId="31F59C21">
            <w:pPr>
              <w:adjustRightInd w:val="0"/>
              <w:snapToGrid w:val="0"/>
              <w:spacing w:line="280" w:lineRule="exact"/>
              <w:jc w:val="center"/>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强化危险废物全过程环境监管。督促各类危险废物产生单位和经营单位依法申报危险废物产生处置情况，报备管理计划，做好信息公开工作，规范运行危险废物转移联单。</w:t>
            </w:r>
          </w:p>
        </w:tc>
        <w:tc>
          <w:tcPr>
            <w:tcW w:w="2111" w:type="pct"/>
            <w:vAlign w:val="center"/>
          </w:tcPr>
          <w:p w14:paraId="3673726F">
            <w:pPr>
              <w:adjustRightInd w:val="0"/>
              <w:snapToGrid w:val="0"/>
              <w:spacing w:line="280" w:lineRule="exact"/>
              <w:jc w:val="center"/>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吉庆油田作业区已定期申报危险废物产生处置情况，并制定有危险废物管理计划，危险废物转移时执行危险废物转移联单制度</w:t>
            </w:r>
          </w:p>
        </w:tc>
        <w:tc>
          <w:tcPr>
            <w:tcW w:w="372" w:type="pct"/>
            <w:vAlign w:val="center"/>
          </w:tcPr>
          <w:p w14:paraId="05F9DB01">
            <w:pPr>
              <w:adjustRightInd w:val="0"/>
              <w:snapToGrid w:val="0"/>
              <w:spacing w:line="280" w:lineRule="exact"/>
              <w:jc w:val="center"/>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符合</w:t>
            </w:r>
          </w:p>
        </w:tc>
      </w:tr>
      <w:tr w14:paraId="35008B2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6" w:type="dxa"/>
            <w:bottom w:w="0" w:type="dxa"/>
            <w:right w:w="6" w:type="dxa"/>
          </w:tblCellMar>
        </w:tblPrEx>
        <w:trPr>
          <w:trHeight w:val="284" w:hRule="atLeast"/>
        </w:trPr>
        <w:tc>
          <w:tcPr>
            <w:tcW w:w="163" w:type="pct"/>
            <w:vAlign w:val="center"/>
          </w:tcPr>
          <w:p w14:paraId="6251A424">
            <w:pPr>
              <w:adjustRightInd w:val="0"/>
              <w:snapToGrid w:val="0"/>
              <w:spacing w:line="280" w:lineRule="exact"/>
              <w:jc w:val="center"/>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5</w:t>
            </w:r>
          </w:p>
        </w:tc>
        <w:tc>
          <w:tcPr>
            <w:tcW w:w="2354" w:type="pct"/>
            <w:vAlign w:val="center"/>
          </w:tcPr>
          <w:p w14:paraId="7112DC35">
            <w:pPr>
              <w:adjustRightInd w:val="0"/>
              <w:snapToGrid w:val="0"/>
              <w:spacing w:line="280" w:lineRule="exact"/>
              <w:jc w:val="center"/>
              <w:rPr>
                <w:rFonts w:hint="eastAsia" w:ascii="宋体" w:hAnsi="宋体"/>
                <w:color w:val="000000" w:themeColor="text1"/>
                <w:szCs w:val="21"/>
                <w14:textFill>
                  <w14:solidFill>
                    <w14:schemeClr w14:val="tx1"/>
                  </w14:solidFill>
                </w14:textFill>
              </w:rPr>
            </w:pPr>
            <w:r>
              <w:rPr>
                <w:rFonts w:hint="eastAsia"/>
                <w:color w:val="000000" w:themeColor="text1"/>
                <w14:textFill>
                  <w14:solidFill>
                    <w14:schemeClr w14:val="tx1"/>
                  </w14:solidFill>
                </w14:textFill>
              </w:rPr>
              <w:t>严格落实排污许可制度，健全事前事中事后监管体系。加强企业环境治理责任制度建设，指导帮扶企业建立自我检查、自我纠正、自我完善的环境保护工作机制。督促企业严格执行法律法规，严格执行建设项目环境影响评价、环境保护“三同时”、排污许可证申领、自行监测、清洁生产与资源综合利用等环境保护管理制度，履行污染治理与排放控制、水资源节约和保护、生态保护与修复、突发环境事件应急管理等法定义务和社会责任，并主动接受社会监督</w:t>
            </w:r>
          </w:p>
        </w:tc>
        <w:tc>
          <w:tcPr>
            <w:tcW w:w="2111" w:type="pct"/>
            <w:vAlign w:val="center"/>
          </w:tcPr>
          <w:p w14:paraId="7B96C301">
            <w:pPr>
              <w:adjustRightInd w:val="0"/>
              <w:snapToGrid w:val="0"/>
              <w:spacing w:line="280" w:lineRule="exact"/>
              <w:jc w:val="center"/>
              <w:rPr>
                <w:rFonts w:hint="eastAsia" w:ascii="宋体" w:hAnsi="宋体"/>
                <w:color w:val="000000" w:themeColor="text1"/>
                <w:szCs w:val="21"/>
                <w14:textFill>
                  <w14:solidFill>
                    <w14:schemeClr w14:val="tx1"/>
                  </w14:solidFill>
                </w14:textFill>
              </w:rPr>
            </w:pPr>
            <w:r>
              <w:rPr>
                <w:rFonts w:hint="eastAsia"/>
                <w:color w:val="000000" w:themeColor="text1"/>
                <w14:textFill>
                  <w14:solidFill>
                    <w14:schemeClr w14:val="tx1"/>
                  </w14:solidFill>
                </w14:textFill>
              </w:rPr>
              <w:t>根据《固定源排污许可分类管理名录》，本工程不涉及通用工序。环境管理依托其已建立的、完善的环境管理体系，本报告提出了严格落实环境保护“三同时”、运营期监测计划的要求，并依法公开</w:t>
            </w:r>
          </w:p>
        </w:tc>
        <w:tc>
          <w:tcPr>
            <w:tcW w:w="372" w:type="pct"/>
            <w:vAlign w:val="center"/>
          </w:tcPr>
          <w:p w14:paraId="61C3F0FA">
            <w:pPr>
              <w:adjustRightInd w:val="0"/>
              <w:snapToGrid w:val="0"/>
              <w:spacing w:line="280" w:lineRule="exact"/>
              <w:jc w:val="center"/>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符合</w:t>
            </w:r>
          </w:p>
        </w:tc>
      </w:tr>
      <w:tr w14:paraId="2F630E2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6" w:type="dxa"/>
            <w:bottom w:w="0" w:type="dxa"/>
            <w:right w:w="6" w:type="dxa"/>
          </w:tblCellMar>
        </w:tblPrEx>
        <w:trPr>
          <w:trHeight w:val="284" w:hRule="atLeast"/>
        </w:trPr>
        <w:tc>
          <w:tcPr>
            <w:tcW w:w="163" w:type="pct"/>
            <w:vAlign w:val="center"/>
          </w:tcPr>
          <w:p w14:paraId="70E712F5">
            <w:pPr>
              <w:adjustRightInd w:val="0"/>
              <w:snapToGrid w:val="0"/>
              <w:spacing w:line="280" w:lineRule="exact"/>
              <w:jc w:val="center"/>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6</w:t>
            </w:r>
          </w:p>
        </w:tc>
        <w:tc>
          <w:tcPr>
            <w:tcW w:w="2354" w:type="pct"/>
            <w:vAlign w:val="center"/>
          </w:tcPr>
          <w:p w14:paraId="6BCF3F41">
            <w:pPr>
              <w:adjustRightInd w:val="0"/>
              <w:snapToGrid w:val="0"/>
              <w:spacing w:line="280" w:lineRule="exact"/>
              <w:jc w:val="center"/>
              <w:rPr>
                <w:rFonts w:hint="eastAsia"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加强应急监测装备配置，定期开展应急演练，增强实战能力。</w:t>
            </w:r>
          </w:p>
        </w:tc>
        <w:tc>
          <w:tcPr>
            <w:tcW w:w="2111" w:type="pct"/>
            <w:vAlign w:val="center"/>
          </w:tcPr>
          <w:p w14:paraId="08BAA35E">
            <w:pPr>
              <w:adjustRightInd w:val="0"/>
              <w:snapToGrid w:val="0"/>
              <w:spacing w:line="280" w:lineRule="exact"/>
              <w:jc w:val="center"/>
              <w:rPr>
                <w:rFonts w:hint="eastAsia" w:ascii="FZYaSongS-R-GB" w:hAnsi="FZYaSongS-R-GB"/>
                <w:color w:val="000000" w:themeColor="text1"/>
                <w:sz w:val="29"/>
                <w:szCs w:val="29"/>
                <w:shd w:val="clear" w:color="auto" w:fill="FFFFFF"/>
                <w14:textFill>
                  <w14:solidFill>
                    <w14:schemeClr w14:val="tx1"/>
                  </w14:solidFill>
                </w14:textFill>
              </w:rPr>
            </w:pPr>
            <w:r>
              <w:rPr>
                <w:rFonts w:hint="eastAsia" w:ascii="宋体" w:hAnsi="宋体"/>
                <w:color w:val="000000" w:themeColor="text1"/>
                <w:szCs w:val="21"/>
                <w14:textFill>
                  <w14:solidFill>
                    <w14:schemeClr w14:val="tx1"/>
                  </w14:solidFill>
                </w14:textFill>
              </w:rPr>
              <w:t>吉庆油田作业区已编制突发环境事件应急预案并进行备案工作，并定期进行应急演练工作</w:t>
            </w:r>
          </w:p>
        </w:tc>
        <w:tc>
          <w:tcPr>
            <w:tcW w:w="372" w:type="pct"/>
            <w:vAlign w:val="center"/>
          </w:tcPr>
          <w:p w14:paraId="7B19FF46">
            <w:pPr>
              <w:adjustRightInd w:val="0"/>
              <w:snapToGrid w:val="0"/>
              <w:spacing w:line="280" w:lineRule="exact"/>
              <w:jc w:val="center"/>
              <w:rPr>
                <w:rFonts w:hint="eastAsia" w:ascii="FZYaSongS-R-GB" w:hAnsi="FZYaSongS-R-GB"/>
                <w:color w:val="000000" w:themeColor="text1"/>
                <w:sz w:val="29"/>
                <w:szCs w:val="29"/>
                <w:shd w:val="clear" w:color="auto" w:fill="FFFFFF"/>
                <w14:textFill>
                  <w14:solidFill>
                    <w14:schemeClr w14:val="tx1"/>
                  </w14:solidFill>
                </w14:textFill>
              </w:rPr>
            </w:pPr>
            <w:r>
              <w:rPr>
                <w:rFonts w:hint="eastAsia" w:ascii="宋体" w:hAnsi="宋体"/>
                <w:color w:val="000000" w:themeColor="text1"/>
                <w:szCs w:val="21"/>
                <w14:textFill>
                  <w14:solidFill>
                    <w14:schemeClr w14:val="tx1"/>
                  </w14:solidFill>
                </w14:textFill>
              </w:rPr>
              <w:t>符合</w:t>
            </w:r>
          </w:p>
        </w:tc>
      </w:tr>
    </w:tbl>
    <w:p w14:paraId="0621B879">
      <w:pPr>
        <w:pStyle w:val="117"/>
        <w:ind w:firstLine="480"/>
        <w:rPr>
          <w:rFonts w:hint="eastAsia"/>
          <w:color w:val="000000" w:themeColor="text1"/>
          <w14:textFill>
            <w14:solidFill>
              <w14:schemeClr w14:val="tx1"/>
            </w14:solidFill>
          </w14:textFill>
        </w:rPr>
      </w:pPr>
      <w:bookmarkStart w:id="154" w:name="_Toc391973485"/>
      <w:bookmarkStart w:id="155" w:name="_Toc445840394"/>
      <w:bookmarkStart w:id="156" w:name="_Toc395781417"/>
      <w:bookmarkStart w:id="157" w:name="_Toc395781890"/>
      <w:bookmarkStart w:id="158" w:name="_Toc389770958"/>
      <w:bookmarkStart w:id="159" w:name="_Toc22211"/>
      <w:bookmarkStart w:id="160" w:name="_Toc445996340"/>
      <w:bookmarkStart w:id="161" w:name="_Toc445829778"/>
      <w:bookmarkStart w:id="162" w:name="_Toc387775561"/>
      <w:bookmarkStart w:id="163" w:name="_Toc445842059"/>
      <w:bookmarkStart w:id="164" w:name="_Toc396754461"/>
      <w:bookmarkStart w:id="165" w:name="_Toc387184368"/>
      <w:r>
        <w:rPr>
          <w:rFonts w:hint="eastAsia"/>
          <w:color w:val="000000" w:themeColor="text1"/>
          <w:lang w:bidi="ar"/>
          <w14:textFill>
            <w14:solidFill>
              <w14:schemeClr w14:val="tx1"/>
            </w14:solidFill>
          </w14:textFill>
        </w:rPr>
        <w:t>（5）</w:t>
      </w:r>
      <w:r>
        <w:rPr>
          <w:rFonts w:hint="eastAsia"/>
          <w:color w:val="000000" w:themeColor="text1"/>
          <w14:textFill>
            <w14:solidFill>
              <w14:schemeClr w14:val="tx1"/>
            </w14:solidFill>
          </w14:textFill>
        </w:rPr>
        <w:t>与</w:t>
      </w:r>
      <w:r>
        <w:rPr>
          <w:rFonts w:hint="eastAsia"/>
          <w:color w:val="000000" w:themeColor="text1"/>
          <w:lang w:bidi="ar"/>
          <w14:textFill>
            <w14:solidFill>
              <w14:schemeClr w14:val="tx1"/>
            </w14:solidFill>
          </w14:textFill>
        </w:rPr>
        <w:t>《昌吉回族自治州生态环境保护与建设“十四五”规划》</w:t>
      </w:r>
      <w:r>
        <w:rPr>
          <w:rFonts w:hint="eastAsia"/>
          <w:color w:val="000000" w:themeColor="text1"/>
          <w14:textFill>
            <w14:solidFill>
              <w14:schemeClr w14:val="tx1"/>
            </w14:solidFill>
          </w14:textFill>
        </w:rPr>
        <w:t>的符合性分析</w:t>
      </w:r>
    </w:p>
    <w:p w14:paraId="56AE9B13">
      <w:pPr>
        <w:pStyle w:val="117"/>
        <w:ind w:firstLine="480"/>
        <w:rPr>
          <w:rFonts w:hint="eastAsia"/>
          <w:color w:val="000000" w:themeColor="text1"/>
          <w:lang w:bidi="ar"/>
          <w14:textFill>
            <w14:solidFill>
              <w14:schemeClr w14:val="tx1"/>
            </w14:solidFill>
          </w14:textFill>
        </w:rPr>
      </w:pPr>
      <w:r>
        <w:rPr>
          <w:rFonts w:hint="eastAsia"/>
          <w:color w:val="000000" w:themeColor="text1"/>
          <w:lang w:bidi="ar"/>
          <w14:textFill>
            <w14:solidFill>
              <w14:schemeClr w14:val="tx1"/>
            </w14:solidFill>
          </w14:textFill>
        </w:rPr>
        <w:t>《昌吉回族自治州生态环境保护与建设“十四五”规划》规定：“加快发展现代煤化工、新材料、有色金属、煤炭、煤电、矿产开采及加工等优势产业，培育壮大先进装备制造、页岩油气加工、节能环保、新型建材、新能源等新兴产业和生产性服务业”。本项目为页岩油开采，项目实施后提高区域页岩油产能，符合规划要求。</w:t>
      </w:r>
    </w:p>
    <w:p w14:paraId="03800CAF">
      <w:pPr>
        <w:pStyle w:val="4"/>
        <w:rPr>
          <w:rFonts w:hint="eastAsia"/>
          <w:color w:val="000000" w:themeColor="text1"/>
          <w:lang w:val="zh-CN"/>
          <w14:textFill>
            <w14:solidFill>
              <w14:schemeClr w14:val="tx1"/>
            </w14:solidFill>
          </w14:textFill>
        </w:rPr>
      </w:pPr>
      <w:r>
        <w:rPr>
          <w:rFonts w:hint="eastAsia"/>
          <w:color w:val="000000" w:themeColor="text1"/>
          <w14:textFill>
            <w14:solidFill>
              <w14:schemeClr w14:val="tx1"/>
            </w14:solidFill>
          </w14:textFill>
        </w:rPr>
        <w:t>环保政策符合性分析</w:t>
      </w:r>
      <w:bookmarkEnd w:id="154"/>
      <w:bookmarkEnd w:id="155"/>
      <w:bookmarkEnd w:id="156"/>
      <w:bookmarkEnd w:id="157"/>
      <w:bookmarkEnd w:id="158"/>
      <w:bookmarkEnd w:id="159"/>
      <w:bookmarkEnd w:id="160"/>
      <w:bookmarkEnd w:id="161"/>
      <w:bookmarkEnd w:id="162"/>
      <w:bookmarkEnd w:id="163"/>
      <w:bookmarkEnd w:id="164"/>
      <w:bookmarkEnd w:id="165"/>
    </w:p>
    <w:p w14:paraId="627354D0">
      <w:pPr>
        <w:pStyle w:val="117"/>
        <w:ind w:firstLine="480"/>
        <w:rPr>
          <w:rFonts w:hint="eastAsia"/>
          <w:color w:val="000000" w:themeColor="text1"/>
          <w:lang w:bidi="ar"/>
          <w14:textFill>
            <w14:solidFill>
              <w14:schemeClr w14:val="tx1"/>
            </w14:solidFill>
          </w14:textFill>
        </w:rPr>
      </w:pPr>
      <w:bookmarkStart w:id="166" w:name="_Hlk7018936"/>
      <w:r>
        <w:rPr>
          <w:rFonts w:hint="eastAsia"/>
          <w:color w:val="000000" w:themeColor="text1"/>
          <w:lang w:bidi="ar"/>
          <w14:textFill>
            <w14:solidFill>
              <w14:schemeClr w14:val="tx1"/>
            </w14:solidFill>
          </w14:textFill>
        </w:rPr>
        <w:t>（1）与《石油天然气开采业污染防治技术政策》的符合性分析</w:t>
      </w:r>
    </w:p>
    <w:p w14:paraId="7D899516">
      <w:pPr>
        <w:pStyle w:val="117"/>
        <w:ind w:firstLine="480"/>
        <w:rPr>
          <w:rFonts w:hint="eastAsia"/>
          <w:color w:val="000000" w:themeColor="text1"/>
          <w14:textFill>
            <w14:solidFill>
              <w14:schemeClr w14:val="tx1"/>
            </w14:solidFill>
          </w14:textFill>
        </w:rPr>
      </w:pPr>
      <w:r>
        <w:rPr>
          <w:rFonts w:hint="eastAsia"/>
          <w:color w:val="000000" w:themeColor="text1"/>
          <w:lang w:bidi="ar"/>
          <w14:textFill>
            <w14:solidFill>
              <w14:schemeClr w14:val="tx1"/>
            </w14:solidFill>
          </w14:textFill>
        </w:rPr>
        <w:t>本项目采取的各项环保措施符合《石油天然气开采业污染防治技术政策》中相关要求，详见表</w:t>
      </w:r>
      <w:r>
        <w:rPr>
          <w:color w:val="000000" w:themeColor="text1"/>
          <w:lang w:bidi="ar"/>
          <w14:textFill>
            <w14:solidFill>
              <w14:schemeClr w14:val="tx1"/>
            </w14:solidFill>
          </w14:textFill>
        </w:rPr>
        <w:t>2.9</w:t>
      </w:r>
      <w:r>
        <w:rPr>
          <w:rFonts w:hint="eastAsia"/>
          <w:color w:val="000000" w:themeColor="text1"/>
          <w:lang w:bidi="ar"/>
          <w14:textFill>
            <w14:solidFill>
              <w14:schemeClr w14:val="tx1"/>
            </w14:solidFill>
          </w14:textFill>
        </w:rPr>
        <w:t>-4。</w:t>
      </w:r>
    </w:p>
    <w:p w14:paraId="53A101FC">
      <w:pPr>
        <w:pStyle w:val="15"/>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表2</w:t>
      </w:r>
      <w:r>
        <w:rPr>
          <w:color w:val="000000" w:themeColor="text1"/>
          <w14:textFill>
            <w14:solidFill>
              <w14:schemeClr w14:val="tx1"/>
            </w14:solidFill>
          </w14:textFill>
        </w:rPr>
        <w:t>.9</w:t>
      </w:r>
      <w:r>
        <w:rPr>
          <w:rFonts w:hint="eastAsia"/>
          <w:color w:val="000000" w:themeColor="text1"/>
          <w14:textFill>
            <w14:solidFill>
              <w14:schemeClr w14:val="tx1"/>
            </w14:solidFill>
          </w14:textFill>
        </w:rPr>
        <w:t>-4  项目与</w:t>
      </w:r>
      <w:bookmarkStart w:id="167" w:name="_Hlk80467726"/>
      <w:r>
        <w:rPr>
          <w:rFonts w:hint="eastAsia"/>
          <w:color w:val="000000" w:themeColor="text1"/>
          <w14:textFill>
            <w14:solidFill>
              <w14:schemeClr w14:val="tx1"/>
            </w14:solidFill>
          </w14:textFill>
        </w:rPr>
        <w:t>《石油天然气开采业污染防治技术政策》</w:t>
      </w:r>
      <w:bookmarkEnd w:id="167"/>
      <w:r>
        <w:rPr>
          <w:rFonts w:hint="eastAsia"/>
          <w:color w:val="000000" w:themeColor="text1"/>
          <w14:textFill>
            <w14:solidFill>
              <w14:schemeClr w14:val="tx1"/>
            </w14:solidFill>
          </w14:textFill>
        </w:rPr>
        <w:t>的相符性分析</w:t>
      </w:r>
    </w:p>
    <w:tbl>
      <w:tblPr>
        <w:tblStyle w:val="51"/>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26"/>
        <w:gridCol w:w="4110"/>
        <w:gridCol w:w="3402"/>
        <w:gridCol w:w="792"/>
      </w:tblGrid>
      <w:tr w14:paraId="7A0D9EF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426" w:type="dxa"/>
            <w:tcMar>
              <w:left w:w="0" w:type="dxa"/>
              <w:right w:w="0" w:type="dxa"/>
            </w:tcMar>
            <w:vAlign w:val="center"/>
          </w:tcPr>
          <w:p w14:paraId="62D5FE21">
            <w:pPr>
              <w:pStyle w:val="286"/>
              <w:adjustRightInd w:val="0"/>
              <w:snapToGrid w:val="0"/>
              <w:spacing w:line="300" w:lineRule="exact"/>
              <w:rPr>
                <w:rFonts w:hint="eastAsia"/>
                <w:color w:val="000000" w:themeColor="text1"/>
                <w:sz w:val="21"/>
                <w14:textFill>
                  <w14:solidFill>
                    <w14:schemeClr w14:val="tx1"/>
                  </w14:solidFill>
                </w14:textFill>
              </w:rPr>
            </w:pPr>
            <w:r>
              <w:rPr>
                <w:rFonts w:hint="eastAsia"/>
                <w:color w:val="000000" w:themeColor="text1"/>
                <w:sz w:val="21"/>
                <w:lang w:bidi="ar"/>
                <w14:textFill>
                  <w14:solidFill>
                    <w14:schemeClr w14:val="tx1"/>
                  </w14:solidFill>
                </w14:textFill>
              </w:rPr>
              <w:t>序号</w:t>
            </w:r>
          </w:p>
        </w:tc>
        <w:tc>
          <w:tcPr>
            <w:tcW w:w="4110" w:type="dxa"/>
            <w:tcMar>
              <w:left w:w="0" w:type="dxa"/>
              <w:right w:w="0" w:type="dxa"/>
            </w:tcMar>
            <w:vAlign w:val="center"/>
          </w:tcPr>
          <w:p w14:paraId="4683332C">
            <w:pPr>
              <w:pStyle w:val="286"/>
              <w:adjustRightInd w:val="0"/>
              <w:snapToGrid w:val="0"/>
              <w:spacing w:line="300" w:lineRule="exact"/>
              <w:rPr>
                <w:rFonts w:hint="eastAsia"/>
                <w:color w:val="000000" w:themeColor="text1"/>
                <w:sz w:val="21"/>
                <w14:textFill>
                  <w14:solidFill>
                    <w14:schemeClr w14:val="tx1"/>
                  </w14:solidFill>
                </w14:textFill>
              </w:rPr>
            </w:pPr>
            <w:r>
              <w:rPr>
                <w:rFonts w:hint="eastAsia"/>
                <w:color w:val="000000" w:themeColor="text1"/>
                <w:sz w:val="21"/>
                <w:lang w:bidi="ar"/>
                <w14:textFill>
                  <w14:solidFill>
                    <w14:schemeClr w14:val="tx1"/>
                  </w14:solidFill>
                </w14:textFill>
              </w:rPr>
              <w:t>《政策》中相关规定</w:t>
            </w:r>
          </w:p>
        </w:tc>
        <w:tc>
          <w:tcPr>
            <w:tcW w:w="3402" w:type="dxa"/>
            <w:tcMar>
              <w:left w:w="0" w:type="dxa"/>
              <w:right w:w="0" w:type="dxa"/>
            </w:tcMar>
            <w:vAlign w:val="center"/>
          </w:tcPr>
          <w:p w14:paraId="324EEA23">
            <w:pPr>
              <w:pStyle w:val="286"/>
              <w:adjustRightInd w:val="0"/>
              <w:snapToGrid w:val="0"/>
              <w:spacing w:line="300" w:lineRule="exact"/>
              <w:rPr>
                <w:rFonts w:hint="eastAsia"/>
                <w:color w:val="000000" w:themeColor="text1"/>
                <w:sz w:val="21"/>
                <w14:textFill>
                  <w14:solidFill>
                    <w14:schemeClr w14:val="tx1"/>
                  </w14:solidFill>
                </w14:textFill>
              </w:rPr>
            </w:pPr>
            <w:r>
              <w:rPr>
                <w:rFonts w:hint="eastAsia"/>
                <w:color w:val="000000" w:themeColor="text1"/>
                <w:sz w:val="21"/>
                <w:lang w:bidi="ar"/>
                <w14:textFill>
                  <w14:solidFill>
                    <w14:schemeClr w14:val="tx1"/>
                  </w14:solidFill>
                </w14:textFill>
              </w:rPr>
              <w:t>本项目采取的相关措施</w:t>
            </w:r>
          </w:p>
        </w:tc>
        <w:tc>
          <w:tcPr>
            <w:tcW w:w="792" w:type="dxa"/>
            <w:tcMar>
              <w:left w:w="0" w:type="dxa"/>
              <w:right w:w="0" w:type="dxa"/>
            </w:tcMar>
            <w:vAlign w:val="center"/>
          </w:tcPr>
          <w:p w14:paraId="187921AD">
            <w:pPr>
              <w:pStyle w:val="286"/>
              <w:adjustRightInd w:val="0"/>
              <w:snapToGrid w:val="0"/>
              <w:spacing w:line="300" w:lineRule="exact"/>
              <w:rPr>
                <w:rFonts w:hint="eastAsia"/>
                <w:color w:val="000000" w:themeColor="text1"/>
                <w:sz w:val="21"/>
                <w14:textFill>
                  <w14:solidFill>
                    <w14:schemeClr w14:val="tx1"/>
                  </w14:solidFill>
                </w14:textFill>
              </w:rPr>
            </w:pPr>
            <w:r>
              <w:rPr>
                <w:rFonts w:hint="eastAsia"/>
                <w:color w:val="000000" w:themeColor="text1"/>
                <w:sz w:val="21"/>
                <w:lang w:bidi="ar"/>
                <w14:textFill>
                  <w14:solidFill>
                    <w14:schemeClr w14:val="tx1"/>
                  </w14:solidFill>
                </w14:textFill>
              </w:rPr>
              <w:t>相符性分析</w:t>
            </w:r>
          </w:p>
        </w:tc>
      </w:tr>
      <w:tr w14:paraId="03F9B8A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26" w:type="dxa"/>
            <w:tcMar>
              <w:left w:w="0" w:type="dxa"/>
              <w:right w:w="0" w:type="dxa"/>
            </w:tcMar>
            <w:vAlign w:val="center"/>
          </w:tcPr>
          <w:p w14:paraId="779887FA">
            <w:pPr>
              <w:pStyle w:val="286"/>
              <w:adjustRightInd w:val="0"/>
              <w:snapToGrid w:val="0"/>
              <w:spacing w:line="300" w:lineRule="exact"/>
              <w:rPr>
                <w:rFonts w:hint="eastAsia"/>
                <w:color w:val="000000" w:themeColor="text1"/>
                <w:sz w:val="21"/>
                <w14:textFill>
                  <w14:solidFill>
                    <w14:schemeClr w14:val="tx1"/>
                  </w14:solidFill>
                </w14:textFill>
              </w:rPr>
            </w:pPr>
            <w:r>
              <w:rPr>
                <w:rFonts w:hint="eastAsia"/>
                <w:color w:val="000000" w:themeColor="text1"/>
                <w:sz w:val="21"/>
                <w:lang w:bidi="ar"/>
                <w14:textFill>
                  <w14:solidFill>
                    <w14:schemeClr w14:val="tx1"/>
                  </w14:solidFill>
                </w14:textFill>
              </w:rPr>
              <w:t>1</w:t>
            </w:r>
          </w:p>
        </w:tc>
        <w:tc>
          <w:tcPr>
            <w:tcW w:w="4110" w:type="dxa"/>
            <w:tcMar>
              <w:left w:w="0" w:type="dxa"/>
              <w:right w:w="0" w:type="dxa"/>
            </w:tcMar>
            <w:vAlign w:val="center"/>
          </w:tcPr>
          <w:p w14:paraId="31A573A3">
            <w:pPr>
              <w:pStyle w:val="286"/>
              <w:adjustRightInd w:val="0"/>
              <w:snapToGrid w:val="0"/>
              <w:spacing w:line="300" w:lineRule="exact"/>
              <w:rPr>
                <w:rFonts w:hint="eastAsia"/>
                <w:color w:val="000000" w:themeColor="text1"/>
                <w:sz w:val="21"/>
                <w14:textFill>
                  <w14:solidFill>
                    <w14:schemeClr w14:val="tx1"/>
                  </w14:solidFill>
                </w14:textFill>
              </w:rPr>
            </w:pPr>
            <w:r>
              <w:rPr>
                <w:rFonts w:hint="eastAsia"/>
                <w:color w:val="000000" w:themeColor="text1"/>
                <w:sz w:val="21"/>
                <w:lang w:bidi="ar"/>
                <w14:textFill>
                  <w14:solidFill>
                    <w14:schemeClr w14:val="tx1"/>
                  </w14:solidFill>
                </w14:textFill>
              </w:rPr>
              <w:t>在勘探开发过程中，应防止产生落地原油。其中井下作业过程中应配备泄油器、刮油器等。落地原油应及时回收，落地原油回收率应达到100%</w:t>
            </w:r>
          </w:p>
        </w:tc>
        <w:tc>
          <w:tcPr>
            <w:tcW w:w="3402" w:type="dxa"/>
            <w:tcMar>
              <w:left w:w="0" w:type="dxa"/>
              <w:right w:w="0" w:type="dxa"/>
            </w:tcMar>
            <w:vAlign w:val="center"/>
          </w:tcPr>
          <w:p w14:paraId="33520AC2">
            <w:pPr>
              <w:pStyle w:val="286"/>
              <w:adjustRightInd w:val="0"/>
              <w:snapToGrid w:val="0"/>
              <w:spacing w:line="300" w:lineRule="exact"/>
              <w:jc w:val="both"/>
              <w:rPr>
                <w:rFonts w:hint="eastAsia"/>
                <w:color w:val="000000" w:themeColor="text1"/>
                <w:sz w:val="21"/>
                <w14:textFill>
                  <w14:solidFill>
                    <w14:schemeClr w14:val="tx1"/>
                  </w14:solidFill>
                </w14:textFill>
              </w:rPr>
            </w:pPr>
            <w:r>
              <w:rPr>
                <w:rFonts w:hint="eastAsia"/>
                <w:color w:val="000000" w:themeColor="text1"/>
                <w:sz w:val="21"/>
                <w:lang w:bidi="ar"/>
                <w14:textFill>
                  <w14:solidFill>
                    <w14:schemeClr w14:val="tx1"/>
                  </w14:solidFill>
                </w14:textFill>
              </w:rPr>
              <w:t>本项目为页岩油开采项目，井下作业时产生的洗井废水和井下作业废液送至压裂返排液处理装置处理，井下作业时下部铺设防渗膜，落地油100%回收。</w:t>
            </w:r>
          </w:p>
        </w:tc>
        <w:tc>
          <w:tcPr>
            <w:tcW w:w="792" w:type="dxa"/>
            <w:tcMar>
              <w:left w:w="0" w:type="dxa"/>
              <w:right w:w="0" w:type="dxa"/>
            </w:tcMar>
            <w:vAlign w:val="center"/>
          </w:tcPr>
          <w:p w14:paraId="6D738672">
            <w:pPr>
              <w:pStyle w:val="286"/>
              <w:adjustRightInd w:val="0"/>
              <w:snapToGrid w:val="0"/>
              <w:spacing w:line="300" w:lineRule="exact"/>
              <w:rPr>
                <w:rFonts w:hint="eastAsia"/>
                <w:color w:val="000000" w:themeColor="text1"/>
                <w:sz w:val="21"/>
                <w14:textFill>
                  <w14:solidFill>
                    <w14:schemeClr w14:val="tx1"/>
                  </w14:solidFill>
                </w14:textFill>
              </w:rPr>
            </w:pPr>
            <w:r>
              <w:rPr>
                <w:rFonts w:hint="eastAsia"/>
                <w:color w:val="000000" w:themeColor="text1"/>
                <w:sz w:val="21"/>
                <w:lang w:bidi="ar"/>
                <w14:textFill>
                  <w14:solidFill>
                    <w14:schemeClr w14:val="tx1"/>
                  </w14:solidFill>
                </w14:textFill>
              </w:rPr>
              <w:t>符合</w:t>
            </w:r>
          </w:p>
        </w:tc>
      </w:tr>
      <w:tr w14:paraId="46F3A52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26" w:type="dxa"/>
            <w:tcMar>
              <w:left w:w="0" w:type="dxa"/>
              <w:right w:w="0" w:type="dxa"/>
            </w:tcMar>
            <w:vAlign w:val="center"/>
          </w:tcPr>
          <w:p w14:paraId="1E2EA907">
            <w:pPr>
              <w:pStyle w:val="286"/>
              <w:adjustRightInd w:val="0"/>
              <w:snapToGrid w:val="0"/>
              <w:spacing w:line="300" w:lineRule="exact"/>
              <w:rPr>
                <w:rFonts w:hint="eastAsia"/>
                <w:color w:val="000000" w:themeColor="text1"/>
                <w:sz w:val="21"/>
                <w:lang w:bidi="ar"/>
                <w14:textFill>
                  <w14:solidFill>
                    <w14:schemeClr w14:val="tx1"/>
                  </w14:solidFill>
                </w14:textFill>
              </w:rPr>
            </w:pPr>
            <w:r>
              <w:rPr>
                <w:rFonts w:hint="eastAsia"/>
                <w:color w:val="000000" w:themeColor="text1"/>
                <w:sz w:val="21"/>
                <w:lang w:bidi="ar"/>
                <w14:textFill>
                  <w14:solidFill>
                    <w14:schemeClr w14:val="tx1"/>
                  </w14:solidFill>
                </w14:textFill>
              </w:rPr>
              <w:t>2</w:t>
            </w:r>
          </w:p>
        </w:tc>
        <w:tc>
          <w:tcPr>
            <w:tcW w:w="4110" w:type="dxa"/>
            <w:tcMar>
              <w:left w:w="0" w:type="dxa"/>
              <w:right w:w="0" w:type="dxa"/>
            </w:tcMar>
            <w:vAlign w:val="center"/>
          </w:tcPr>
          <w:p w14:paraId="7F1745C2">
            <w:pPr>
              <w:pStyle w:val="286"/>
              <w:adjustRightInd w:val="0"/>
              <w:snapToGrid w:val="0"/>
              <w:spacing w:line="300" w:lineRule="exact"/>
              <w:rPr>
                <w:rFonts w:hint="eastAsia"/>
                <w:color w:val="000000" w:themeColor="text1"/>
                <w:sz w:val="21"/>
                <w:lang w:bidi="ar"/>
                <w14:textFill>
                  <w14:solidFill>
                    <w14:schemeClr w14:val="tx1"/>
                  </w14:solidFill>
                </w14:textFill>
              </w:rPr>
            </w:pPr>
            <w:r>
              <w:rPr>
                <w:rFonts w:hint="eastAsia"/>
                <w:color w:val="000000" w:themeColor="text1"/>
                <w:sz w:val="21"/>
                <w:lang w:bidi="ar"/>
                <w14:textFill>
                  <w14:solidFill>
                    <w14:schemeClr w14:val="tx1"/>
                  </w14:solidFill>
                </w14:textFill>
              </w:rPr>
              <w:t>在井下作业过程中，酸化液和压裂液宜集中配制，酸化残液、压裂残液和返排液应回收利用或进行无害化处置，压裂放喷返排入罐率应达到100%。酸化、压裂作业和试油（气）过程应采取防喷、地面管线防刺、防漏、防溢等措施。</w:t>
            </w:r>
          </w:p>
        </w:tc>
        <w:tc>
          <w:tcPr>
            <w:tcW w:w="3402" w:type="dxa"/>
            <w:tcMar>
              <w:left w:w="0" w:type="dxa"/>
              <w:right w:w="0" w:type="dxa"/>
            </w:tcMar>
            <w:vAlign w:val="center"/>
          </w:tcPr>
          <w:p w14:paraId="3ADC29F9">
            <w:pPr>
              <w:pStyle w:val="286"/>
              <w:adjustRightInd w:val="0"/>
              <w:snapToGrid w:val="0"/>
              <w:spacing w:line="300" w:lineRule="exact"/>
              <w:jc w:val="both"/>
              <w:rPr>
                <w:rFonts w:hint="eastAsia"/>
                <w:color w:val="000000" w:themeColor="text1"/>
                <w:sz w:val="21"/>
                <w:lang w:bidi="ar"/>
                <w14:textFill>
                  <w14:solidFill>
                    <w14:schemeClr w14:val="tx1"/>
                  </w14:solidFill>
                </w14:textFill>
              </w:rPr>
            </w:pPr>
            <w:r>
              <w:rPr>
                <w:rFonts w:hint="eastAsia"/>
                <w:color w:val="000000" w:themeColor="text1"/>
                <w:sz w:val="21"/>
                <w:lang w:bidi="ar"/>
                <w14:textFill>
                  <w14:solidFill>
                    <w14:schemeClr w14:val="tx1"/>
                  </w14:solidFill>
                </w14:textFill>
              </w:rPr>
              <w:t>井下作业时，各井下作业用液均已配制好，由罐车拉运至井场，井下作业时带罐作业，产生的井下作业废液由罐车拉运至压裂返排液处理装置处理</w:t>
            </w:r>
          </w:p>
        </w:tc>
        <w:tc>
          <w:tcPr>
            <w:tcW w:w="792" w:type="dxa"/>
            <w:tcMar>
              <w:left w:w="0" w:type="dxa"/>
              <w:right w:w="0" w:type="dxa"/>
            </w:tcMar>
            <w:vAlign w:val="center"/>
          </w:tcPr>
          <w:p w14:paraId="2B431119">
            <w:pPr>
              <w:pStyle w:val="286"/>
              <w:adjustRightInd w:val="0"/>
              <w:snapToGrid w:val="0"/>
              <w:spacing w:line="300" w:lineRule="exact"/>
              <w:rPr>
                <w:rFonts w:hint="eastAsia"/>
                <w:color w:val="000000" w:themeColor="text1"/>
                <w:sz w:val="21"/>
                <w:lang w:bidi="ar"/>
                <w14:textFill>
                  <w14:solidFill>
                    <w14:schemeClr w14:val="tx1"/>
                  </w14:solidFill>
                </w14:textFill>
              </w:rPr>
            </w:pPr>
            <w:r>
              <w:rPr>
                <w:rFonts w:hint="eastAsia"/>
                <w:color w:val="000000" w:themeColor="text1"/>
                <w:sz w:val="21"/>
                <w:lang w:bidi="ar"/>
                <w14:textFill>
                  <w14:solidFill>
                    <w14:schemeClr w14:val="tx1"/>
                  </w14:solidFill>
                </w14:textFill>
              </w:rPr>
              <w:t>符合</w:t>
            </w:r>
          </w:p>
        </w:tc>
      </w:tr>
      <w:tr w14:paraId="6E3B4A5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26" w:type="dxa"/>
            <w:tcMar>
              <w:left w:w="0" w:type="dxa"/>
              <w:right w:w="0" w:type="dxa"/>
            </w:tcMar>
            <w:vAlign w:val="center"/>
          </w:tcPr>
          <w:p w14:paraId="0C1498ED">
            <w:pPr>
              <w:pStyle w:val="286"/>
              <w:adjustRightInd w:val="0"/>
              <w:snapToGrid w:val="0"/>
              <w:spacing w:line="300" w:lineRule="exact"/>
              <w:rPr>
                <w:rFonts w:hint="eastAsia"/>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3</w:t>
            </w:r>
          </w:p>
        </w:tc>
        <w:tc>
          <w:tcPr>
            <w:tcW w:w="4110" w:type="dxa"/>
            <w:tcMar>
              <w:left w:w="0" w:type="dxa"/>
              <w:right w:w="0" w:type="dxa"/>
            </w:tcMar>
            <w:vAlign w:val="center"/>
          </w:tcPr>
          <w:p w14:paraId="0D3B6CF4">
            <w:pPr>
              <w:pStyle w:val="286"/>
              <w:adjustRightInd w:val="0"/>
              <w:snapToGrid w:val="0"/>
              <w:spacing w:line="300" w:lineRule="exact"/>
              <w:rPr>
                <w:rFonts w:hint="eastAsia"/>
                <w:color w:val="000000" w:themeColor="text1"/>
                <w:sz w:val="21"/>
                <w:lang w:bidi="ar"/>
                <w14:textFill>
                  <w14:solidFill>
                    <w14:schemeClr w14:val="tx1"/>
                  </w14:solidFill>
                </w14:textFill>
              </w:rPr>
            </w:pPr>
            <w:r>
              <w:rPr>
                <w:rFonts w:hint="eastAsia"/>
                <w:color w:val="000000" w:themeColor="text1"/>
                <w:sz w:val="21"/>
                <w:lang w:bidi="ar"/>
                <w14:textFill>
                  <w14:solidFill>
                    <w14:schemeClr w14:val="tx1"/>
                  </w14:solidFill>
                </w14:textFill>
              </w:rPr>
              <w:t>在开发过程中，适宜注水开采的油气田，应将采出水处理满足标准后回注</w:t>
            </w:r>
          </w:p>
        </w:tc>
        <w:tc>
          <w:tcPr>
            <w:tcW w:w="3402" w:type="dxa"/>
            <w:tcMar>
              <w:left w:w="0" w:type="dxa"/>
              <w:right w:w="0" w:type="dxa"/>
            </w:tcMar>
            <w:vAlign w:val="center"/>
          </w:tcPr>
          <w:p w14:paraId="3BCF909A">
            <w:pPr>
              <w:pStyle w:val="286"/>
              <w:adjustRightInd w:val="0"/>
              <w:snapToGrid w:val="0"/>
              <w:spacing w:line="300" w:lineRule="exact"/>
              <w:jc w:val="both"/>
              <w:rPr>
                <w:rFonts w:hint="eastAsia"/>
                <w:color w:val="000000" w:themeColor="text1"/>
                <w:sz w:val="21"/>
                <w:lang w:bidi="ar"/>
                <w14:textFill>
                  <w14:solidFill>
                    <w14:schemeClr w14:val="tx1"/>
                  </w14:solidFill>
                </w14:textFill>
              </w:rPr>
            </w:pPr>
            <w:r>
              <w:rPr>
                <w:rFonts w:hint="eastAsia"/>
                <w:color w:val="000000" w:themeColor="text1"/>
                <w:sz w:val="21"/>
                <w:lang w:bidi="ar"/>
                <w14:textFill>
                  <w14:solidFill>
                    <w14:schemeClr w14:val="tx1"/>
                  </w14:solidFill>
                </w14:textFill>
              </w:rPr>
              <w:t>本项目采用注CO</w:t>
            </w:r>
            <w:r>
              <w:rPr>
                <w:rFonts w:hint="eastAsia"/>
                <w:color w:val="000000" w:themeColor="text1"/>
                <w:sz w:val="21"/>
                <w:vertAlign w:val="subscript"/>
                <w:lang w:bidi="ar"/>
                <w14:textFill>
                  <w14:solidFill>
                    <w14:schemeClr w14:val="tx1"/>
                  </w14:solidFill>
                </w14:textFill>
              </w:rPr>
              <w:t>2</w:t>
            </w:r>
            <w:r>
              <w:rPr>
                <w:rFonts w:hint="eastAsia"/>
                <w:color w:val="000000" w:themeColor="text1"/>
                <w:sz w:val="21"/>
                <w:lang w:bidi="ar"/>
                <w14:textFill>
                  <w14:solidFill>
                    <w14:schemeClr w14:val="tx1"/>
                  </w14:solidFill>
                </w14:textFill>
              </w:rPr>
              <w:t>开采，不采用注水开发。</w:t>
            </w:r>
          </w:p>
        </w:tc>
        <w:tc>
          <w:tcPr>
            <w:tcW w:w="792" w:type="dxa"/>
            <w:tcMar>
              <w:left w:w="0" w:type="dxa"/>
              <w:right w:w="0" w:type="dxa"/>
            </w:tcMar>
            <w:vAlign w:val="center"/>
          </w:tcPr>
          <w:p w14:paraId="24EB341F">
            <w:pPr>
              <w:pStyle w:val="286"/>
              <w:adjustRightInd w:val="0"/>
              <w:snapToGrid w:val="0"/>
              <w:spacing w:line="300" w:lineRule="exact"/>
              <w:rPr>
                <w:rFonts w:hint="eastAsia"/>
                <w:color w:val="000000" w:themeColor="text1"/>
                <w:sz w:val="21"/>
                <w:lang w:bidi="ar"/>
                <w14:textFill>
                  <w14:solidFill>
                    <w14:schemeClr w14:val="tx1"/>
                  </w14:solidFill>
                </w14:textFill>
              </w:rPr>
            </w:pPr>
            <w:r>
              <w:rPr>
                <w:rFonts w:hint="eastAsia"/>
                <w:color w:val="000000" w:themeColor="text1"/>
                <w:sz w:val="21"/>
                <w:lang w:bidi="ar"/>
                <w14:textFill>
                  <w14:solidFill>
                    <w14:schemeClr w14:val="tx1"/>
                  </w14:solidFill>
                </w14:textFill>
              </w:rPr>
              <w:t>符合</w:t>
            </w:r>
          </w:p>
        </w:tc>
      </w:tr>
      <w:tr w14:paraId="173DF6D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26" w:type="dxa"/>
            <w:tcMar>
              <w:left w:w="0" w:type="dxa"/>
              <w:right w:w="0" w:type="dxa"/>
            </w:tcMar>
            <w:vAlign w:val="center"/>
          </w:tcPr>
          <w:p w14:paraId="73A118CB">
            <w:pPr>
              <w:pStyle w:val="286"/>
              <w:adjustRightInd w:val="0"/>
              <w:snapToGrid w:val="0"/>
              <w:spacing w:line="300" w:lineRule="exact"/>
              <w:rPr>
                <w:rFonts w:hint="eastAsia"/>
                <w:color w:val="000000" w:themeColor="text1"/>
                <w:sz w:val="21"/>
                <w:lang w:bidi="ar"/>
                <w14:textFill>
                  <w14:solidFill>
                    <w14:schemeClr w14:val="tx1"/>
                  </w14:solidFill>
                </w14:textFill>
              </w:rPr>
            </w:pPr>
            <w:r>
              <w:rPr>
                <w:rFonts w:hint="eastAsia"/>
                <w:color w:val="000000" w:themeColor="text1"/>
                <w:sz w:val="21"/>
                <w:lang w:bidi="ar"/>
                <w14:textFill>
                  <w14:solidFill>
                    <w14:schemeClr w14:val="tx1"/>
                  </w14:solidFill>
                </w14:textFill>
              </w:rPr>
              <w:t>4</w:t>
            </w:r>
          </w:p>
        </w:tc>
        <w:tc>
          <w:tcPr>
            <w:tcW w:w="4110" w:type="dxa"/>
            <w:tcMar>
              <w:left w:w="0" w:type="dxa"/>
              <w:right w:w="0" w:type="dxa"/>
            </w:tcMar>
            <w:vAlign w:val="center"/>
          </w:tcPr>
          <w:p w14:paraId="06410E5F">
            <w:pPr>
              <w:pStyle w:val="286"/>
              <w:adjustRightInd w:val="0"/>
              <w:snapToGrid w:val="0"/>
              <w:spacing w:line="300" w:lineRule="exact"/>
              <w:rPr>
                <w:rFonts w:hint="eastAsia"/>
                <w:color w:val="000000" w:themeColor="text1"/>
                <w:sz w:val="21"/>
                <w:lang w:bidi="ar"/>
                <w14:textFill>
                  <w14:solidFill>
                    <w14:schemeClr w14:val="tx1"/>
                  </w14:solidFill>
                </w14:textFill>
              </w:rPr>
            </w:pPr>
            <w:r>
              <w:rPr>
                <w:color w:val="000000" w:themeColor="text1"/>
                <w:sz w:val="21"/>
                <w:lang w:bidi="ar"/>
                <w14:textFill>
                  <w14:solidFill>
                    <w14:schemeClr w14:val="tx1"/>
                  </w14:solidFill>
                </w14:textFill>
              </w:rPr>
              <w:t>在油气集输过程中，应采用密闭流程，减少烃类气体排放。新建3000m</w:t>
            </w:r>
            <w:r>
              <w:rPr>
                <w:color w:val="000000" w:themeColor="text1"/>
                <w:sz w:val="21"/>
                <w:vertAlign w:val="superscript"/>
                <w:lang w:bidi="ar"/>
                <w14:textFill>
                  <w14:solidFill>
                    <w14:schemeClr w14:val="tx1"/>
                  </w14:solidFill>
                </w14:textFill>
              </w:rPr>
              <w:t>3</w:t>
            </w:r>
            <w:r>
              <w:rPr>
                <w:color w:val="000000" w:themeColor="text1"/>
                <w:sz w:val="21"/>
                <w:lang w:bidi="ar"/>
                <w14:textFill>
                  <w14:solidFill>
                    <w14:schemeClr w14:val="tx1"/>
                  </w14:solidFill>
                </w14:textFill>
              </w:rPr>
              <w:t>及以上原油储罐应采用浮顶型式，新、改、扩建油气储罐应安装泄漏报警系统。新、改、扩建油气田油气集输损耗率不高于0.5%。</w:t>
            </w:r>
          </w:p>
        </w:tc>
        <w:tc>
          <w:tcPr>
            <w:tcW w:w="3402" w:type="dxa"/>
            <w:tcMar>
              <w:left w:w="0" w:type="dxa"/>
              <w:right w:w="0" w:type="dxa"/>
            </w:tcMar>
            <w:vAlign w:val="center"/>
          </w:tcPr>
          <w:p w14:paraId="08D11846">
            <w:pPr>
              <w:pStyle w:val="286"/>
              <w:adjustRightInd w:val="0"/>
              <w:snapToGrid w:val="0"/>
              <w:spacing w:line="300" w:lineRule="exact"/>
              <w:jc w:val="both"/>
              <w:rPr>
                <w:rFonts w:hint="eastAsia"/>
                <w:color w:val="000000" w:themeColor="text1"/>
                <w:sz w:val="21"/>
                <w:lang w:bidi="ar"/>
                <w14:textFill>
                  <w14:solidFill>
                    <w14:schemeClr w14:val="tx1"/>
                  </w14:solidFill>
                </w14:textFill>
              </w:rPr>
            </w:pPr>
            <w:r>
              <w:rPr>
                <w:rFonts w:hint="eastAsia"/>
                <w:color w:val="000000" w:themeColor="text1"/>
                <w:sz w:val="21"/>
                <w:lang w:bidi="ar"/>
                <w14:textFill>
                  <w14:solidFill>
                    <w14:schemeClr w14:val="tx1"/>
                  </w14:solidFill>
                </w14:textFill>
              </w:rPr>
              <w:t>油气采用密闭集输工艺，本项目不涉及新建储罐，油气损耗率在0.5%以下。</w:t>
            </w:r>
          </w:p>
        </w:tc>
        <w:tc>
          <w:tcPr>
            <w:tcW w:w="792" w:type="dxa"/>
            <w:tcMar>
              <w:left w:w="0" w:type="dxa"/>
              <w:right w:w="0" w:type="dxa"/>
            </w:tcMar>
            <w:vAlign w:val="center"/>
          </w:tcPr>
          <w:p w14:paraId="589CED06">
            <w:pPr>
              <w:pStyle w:val="286"/>
              <w:adjustRightInd w:val="0"/>
              <w:snapToGrid w:val="0"/>
              <w:spacing w:line="300" w:lineRule="exact"/>
              <w:rPr>
                <w:rFonts w:hint="eastAsia"/>
                <w:color w:val="000000" w:themeColor="text1"/>
                <w:sz w:val="21"/>
                <w:lang w:bidi="ar"/>
                <w14:textFill>
                  <w14:solidFill>
                    <w14:schemeClr w14:val="tx1"/>
                  </w14:solidFill>
                </w14:textFill>
              </w:rPr>
            </w:pPr>
            <w:r>
              <w:rPr>
                <w:rFonts w:hint="eastAsia"/>
                <w:color w:val="000000" w:themeColor="text1"/>
                <w:sz w:val="21"/>
                <w:lang w:bidi="ar"/>
                <w14:textFill>
                  <w14:solidFill>
                    <w14:schemeClr w14:val="tx1"/>
                  </w14:solidFill>
                </w14:textFill>
              </w:rPr>
              <w:t>符合</w:t>
            </w:r>
          </w:p>
        </w:tc>
      </w:tr>
      <w:tr w14:paraId="225F8F6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26" w:type="dxa"/>
            <w:tcMar>
              <w:left w:w="0" w:type="dxa"/>
              <w:right w:w="0" w:type="dxa"/>
            </w:tcMar>
            <w:vAlign w:val="center"/>
          </w:tcPr>
          <w:p w14:paraId="3F337304">
            <w:pPr>
              <w:pStyle w:val="286"/>
              <w:adjustRightInd w:val="0"/>
              <w:snapToGrid w:val="0"/>
              <w:spacing w:line="300" w:lineRule="exact"/>
              <w:rPr>
                <w:rFonts w:hint="eastAsia"/>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5</w:t>
            </w:r>
          </w:p>
        </w:tc>
        <w:tc>
          <w:tcPr>
            <w:tcW w:w="4110" w:type="dxa"/>
            <w:tcMar>
              <w:left w:w="0" w:type="dxa"/>
              <w:right w:w="0" w:type="dxa"/>
            </w:tcMar>
            <w:vAlign w:val="center"/>
          </w:tcPr>
          <w:p w14:paraId="33D04349">
            <w:pPr>
              <w:pStyle w:val="286"/>
              <w:adjustRightInd w:val="0"/>
              <w:snapToGrid w:val="0"/>
              <w:spacing w:line="300" w:lineRule="exact"/>
              <w:rPr>
                <w:rFonts w:hint="eastAsia" w:cs="宋体"/>
                <w:color w:val="000000" w:themeColor="text1"/>
                <w:sz w:val="21"/>
                <w14:textFill>
                  <w14:solidFill>
                    <w14:schemeClr w14:val="tx1"/>
                  </w14:solidFill>
                </w14:textFill>
              </w:rPr>
            </w:pPr>
            <w:r>
              <w:rPr>
                <w:rFonts w:hint="eastAsia" w:cs="宋体"/>
                <w:color w:val="000000" w:themeColor="text1"/>
                <w:sz w:val="21"/>
                <w:lang w:bidi="ar"/>
                <w14:textFill>
                  <w14:solidFill>
                    <w14:schemeClr w14:val="tx1"/>
                  </w14:solidFill>
                </w14:textFill>
              </w:rPr>
              <w:t>在开发过程中，伴生气应回收利用，减少温室气体排放，不具备回收利用条件的，应充分燃烧，伴生气回收利用率应达到80%以上；站场放空天然气应充分燃烧。燃烧放空设施应避开鸟类迁徙通道</w:t>
            </w:r>
          </w:p>
        </w:tc>
        <w:tc>
          <w:tcPr>
            <w:tcW w:w="3402" w:type="dxa"/>
            <w:tcMar>
              <w:left w:w="0" w:type="dxa"/>
              <w:right w:w="0" w:type="dxa"/>
            </w:tcMar>
            <w:vAlign w:val="center"/>
          </w:tcPr>
          <w:p w14:paraId="57B21166">
            <w:pPr>
              <w:pStyle w:val="286"/>
              <w:spacing w:line="300" w:lineRule="exact"/>
              <w:jc w:val="both"/>
              <w:rPr>
                <w:rFonts w:hint="eastAsia"/>
                <w:color w:val="000000" w:themeColor="text1"/>
                <w:sz w:val="21"/>
                <w:lang w:bidi="ar"/>
                <w14:textFill>
                  <w14:solidFill>
                    <w14:schemeClr w14:val="tx1"/>
                  </w14:solidFill>
                </w14:textFill>
              </w:rPr>
            </w:pPr>
            <w:r>
              <w:rPr>
                <w:rFonts w:hint="eastAsia"/>
                <w:color w:val="000000" w:themeColor="text1"/>
                <w:sz w:val="21"/>
                <w:lang w:bidi="ar"/>
                <w14:textFill>
                  <w14:solidFill>
                    <w14:schemeClr w14:val="tx1"/>
                  </w14:solidFill>
                </w14:textFill>
              </w:rPr>
              <w:t>伴生气经预处理注入站脱水处理后回注地层。</w:t>
            </w:r>
          </w:p>
        </w:tc>
        <w:tc>
          <w:tcPr>
            <w:tcW w:w="792" w:type="dxa"/>
            <w:tcMar>
              <w:left w:w="0" w:type="dxa"/>
              <w:right w:w="0" w:type="dxa"/>
            </w:tcMar>
            <w:vAlign w:val="center"/>
          </w:tcPr>
          <w:p w14:paraId="655253A3">
            <w:pPr>
              <w:pStyle w:val="286"/>
              <w:adjustRightInd w:val="0"/>
              <w:snapToGrid w:val="0"/>
              <w:spacing w:line="300" w:lineRule="exact"/>
              <w:rPr>
                <w:rFonts w:hint="eastAsia"/>
                <w:color w:val="000000" w:themeColor="text1"/>
                <w:sz w:val="21"/>
                <w14:textFill>
                  <w14:solidFill>
                    <w14:schemeClr w14:val="tx1"/>
                  </w14:solidFill>
                </w14:textFill>
              </w:rPr>
            </w:pPr>
            <w:r>
              <w:rPr>
                <w:rFonts w:hint="eastAsia"/>
                <w:color w:val="000000" w:themeColor="text1"/>
                <w:sz w:val="21"/>
                <w:lang w:bidi="ar"/>
                <w14:textFill>
                  <w14:solidFill>
                    <w14:schemeClr w14:val="tx1"/>
                  </w14:solidFill>
                </w14:textFill>
              </w:rPr>
              <w:t>符合</w:t>
            </w:r>
          </w:p>
        </w:tc>
      </w:tr>
      <w:tr w14:paraId="79CD6D5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26" w:type="dxa"/>
            <w:tcMar>
              <w:left w:w="0" w:type="dxa"/>
              <w:right w:w="0" w:type="dxa"/>
            </w:tcMar>
            <w:vAlign w:val="center"/>
          </w:tcPr>
          <w:p w14:paraId="470D0735">
            <w:pPr>
              <w:pStyle w:val="286"/>
              <w:adjustRightInd w:val="0"/>
              <w:snapToGrid w:val="0"/>
              <w:spacing w:line="300" w:lineRule="exact"/>
              <w:rPr>
                <w:rFonts w:hint="eastAsia"/>
                <w:color w:val="000000" w:themeColor="text1"/>
                <w:sz w:val="21"/>
                <w:lang w:bidi="ar"/>
                <w14:textFill>
                  <w14:solidFill>
                    <w14:schemeClr w14:val="tx1"/>
                  </w14:solidFill>
                </w14:textFill>
              </w:rPr>
            </w:pPr>
            <w:r>
              <w:rPr>
                <w:rFonts w:hint="eastAsia"/>
                <w:color w:val="000000" w:themeColor="text1"/>
                <w:sz w:val="21"/>
                <w:lang w:bidi="ar"/>
                <w14:textFill>
                  <w14:solidFill>
                    <w14:schemeClr w14:val="tx1"/>
                  </w14:solidFill>
                </w14:textFill>
              </w:rPr>
              <w:t>6</w:t>
            </w:r>
          </w:p>
        </w:tc>
        <w:tc>
          <w:tcPr>
            <w:tcW w:w="4110" w:type="dxa"/>
            <w:tcMar>
              <w:left w:w="0" w:type="dxa"/>
              <w:right w:w="0" w:type="dxa"/>
            </w:tcMar>
            <w:vAlign w:val="center"/>
          </w:tcPr>
          <w:p w14:paraId="59DA5D36">
            <w:pPr>
              <w:pStyle w:val="286"/>
              <w:adjustRightInd w:val="0"/>
              <w:snapToGrid w:val="0"/>
              <w:spacing w:line="300" w:lineRule="exact"/>
              <w:rPr>
                <w:rFonts w:hint="eastAsia" w:cs="宋体"/>
                <w:color w:val="000000" w:themeColor="text1"/>
                <w:sz w:val="21"/>
                <w:lang w:bidi="ar"/>
                <w14:textFill>
                  <w14:solidFill>
                    <w14:schemeClr w14:val="tx1"/>
                  </w14:solidFill>
                </w14:textFill>
              </w:rPr>
            </w:pPr>
            <w:r>
              <w:rPr>
                <w:rFonts w:hint="eastAsia" w:cs="宋体"/>
                <w:color w:val="000000" w:themeColor="text1"/>
                <w:sz w:val="21"/>
                <w:lang w:bidi="ar"/>
                <w14:textFill>
                  <w14:solidFill>
                    <w14:schemeClr w14:val="tx1"/>
                  </w14:solidFill>
                </w14:textFill>
              </w:rPr>
              <w:t>在油气开发过程中，应采取措施减轻生态影响并及时用适地植物进行植被恢复。井场周围应设置围堤或井界沟。应设立地下水水质监测井，加强对油气田地下水水质的监控，防止回注过程对地下水造成污染。</w:t>
            </w:r>
          </w:p>
        </w:tc>
        <w:tc>
          <w:tcPr>
            <w:tcW w:w="3402" w:type="dxa"/>
            <w:tcMar>
              <w:left w:w="0" w:type="dxa"/>
              <w:right w:w="0" w:type="dxa"/>
            </w:tcMar>
            <w:vAlign w:val="center"/>
          </w:tcPr>
          <w:p w14:paraId="2936BC1B">
            <w:pPr>
              <w:pStyle w:val="286"/>
              <w:spacing w:line="300" w:lineRule="exact"/>
              <w:jc w:val="both"/>
              <w:rPr>
                <w:rFonts w:hint="eastAsia"/>
                <w:color w:val="000000" w:themeColor="text1"/>
                <w:sz w:val="21"/>
                <w:lang w:bidi="ar"/>
                <w14:textFill>
                  <w14:solidFill>
                    <w14:schemeClr w14:val="tx1"/>
                  </w14:solidFill>
                </w14:textFill>
              </w:rPr>
            </w:pPr>
            <w:r>
              <w:rPr>
                <w:rFonts w:hint="eastAsia"/>
                <w:color w:val="000000" w:themeColor="text1"/>
                <w:sz w:val="21"/>
                <w:lang w:bidi="ar"/>
                <w14:textFill>
                  <w14:solidFill>
                    <w14:schemeClr w14:val="tx1"/>
                  </w14:solidFill>
                </w14:textFill>
              </w:rPr>
              <w:t>报告中提出了生态环境保护措施，占地范围内的植被主要靠自然恢复，运营期监测计划章节提出了地下水的监测计划</w:t>
            </w:r>
          </w:p>
        </w:tc>
        <w:tc>
          <w:tcPr>
            <w:tcW w:w="792" w:type="dxa"/>
            <w:tcMar>
              <w:left w:w="0" w:type="dxa"/>
              <w:right w:w="0" w:type="dxa"/>
            </w:tcMar>
            <w:vAlign w:val="center"/>
          </w:tcPr>
          <w:p w14:paraId="33DB2955">
            <w:pPr>
              <w:pStyle w:val="286"/>
              <w:adjustRightInd w:val="0"/>
              <w:snapToGrid w:val="0"/>
              <w:spacing w:line="300" w:lineRule="exact"/>
              <w:rPr>
                <w:rFonts w:hint="eastAsia"/>
                <w:color w:val="000000" w:themeColor="text1"/>
                <w:sz w:val="21"/>
                <w:lang w:bidi="ar"/>
                <w14:textFill>
                  <w14:solidFill>
                    <w14:schemeClr w14:val="tx1"/>
                  </w14:solidFill>
                </w14:textFill>
              </w:rPr>
            </w:pPr>
            <w:r>
              <w:rPr>
                <w:rFonts w:hint="eastAsia"/>
                <w:color w:val="000000" w:themeColor="text1"/>
                <w:sz w:val="21"/>
                <w:lang w:bidi="ar"/>
                <w14:textFill>
                  <w14:solidFill>
                    <w14:schemeClr w14:val="tx1"/>
                  </w14:solidFill>
                </w14:textFill>
              </w:rPr>
              <w:t>符合</w:t>
            </w:r>
          </w:p>
        </w:tc>
      </w:tr>
      <w:tr w14:paraId="106910B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26" w:type="dxa"/>
            <w:tcMar>
              <w:left w:w="0" w:type="dxa"/>
              <w:right w:w="0" w:type="dxa"/>
            </w:tcMar>
            <w:vAlign w:val="center"/>
          </w:tcPr>
          <w:p w14:paraId="58E82C58">
            <w:pPr>
              <w:pStyle w:val="286"/>
              <w:adjustRightInd w:val="0"/>
              <w:snapToGrid w:val="0"/>
              <w:spacing w:line="300" w:lineRule="exact"/>
              <w:rPr>
                <w:rFonts w:hint="eastAsia"/>
                <w:color w:val="000000" w:themeColor="text1"/>
                <w:sz w:val="21"/>
                <w:lang w:bidi="ar"/>
                <w14:textFill>
                  <w14:solidFill>
                    <w14:schemeClr w14:val="tx1"/>
                  </w14:solidFill>
                </w14:textFill>
              </w:rPr>
            </w:pPr>
            <w:r>
              <w:rPr>
                <w:rFonts w:hint="eastAsia"/>
                <w:color w:val="000000" w:themeColor="text1"/>
                <w:sz w:val="21"/>
                <w:lang w:bidi="ar"/>
                <w14:textFill>
                  <w14:solidFill>
                    <w14:schemeClr w14:val="tx1"/>
                  </w14:solidFill>
                </w14:textFill>
              </w:rPr>
              <w:t>7</w:t>
            </w:r>
          </w:p>
        </w:tc>
        <w:tc>
          <w:tcPr>
            <w:tcW w:w="4110" w:type="dxa"/>
            <w:tcMar>
              <w:left w:w="0" w:type="dxa"/>
              <w:right w:w="0" w:type="dxa"/>
            </w:tcMar>
            <w:vAlign w:val="center"/>
          </w:tcPr>
          <w:p w14:paraId="5DFA1D7C">
            <w:pPr>
              <w:pStyle w:val="286"/>
              <w:adjustRightInd w:val="0"/>
              <w:snapToGrid w:val="0"/>
              <w:spacing w:line="300" w:lineRule="exact"/>
              <w:rPr>
                <w:rFonts w:hint="eastAsia" w:cs="宋体"/>
                <w:color w:val="000000" w:themeColor="text1"/>
                <w:sz w:val="21"/>
                <w:lang w:bidi="ar"/>
                <w14:textFill>
                  <w14:solidFill>
                    <w14:schemeClr w14:val="tx1"/>
                  </w14:solidFill>
                </w14:textFill>
              </w:rPr>
            </w:pPr>
            <w:r>
              <w:rPr>
                <w:rFonts w:hint="eastAsia" w:cs="宋体"/>
                <w:color w:val="000000" w:themeColor="text1"/>
                <w:sz w:val="21"/>
                <w:lang w:bidi="ar"/>
                <w14:textFill>
                  <w14:solidFill>
                    <w14:schemeClr w14:val="tx1"/>
                  </w14:solidFill>
                </w14:textFill>
              </w:rPr>
              <w:t>油气田退役前应进行环境影响后评价，油气田企业应按照后评价要求进行生态恢复。</w:t>
            </w:r>
          </w:p>
        </w:tc>
        <w:tc>
          <w:tcPr>
            <w:tcW w:w="3402" w:type="dxa"/>
            <w:tcMar>
              <w:left w:w="0" w:type="dxa"/>
              <w:right w:w="0" w:type="dxa"/>
            </w:tcMar>
            <w:vAlign w:val="center"/>
          </w:tcPr>
          <w:p w14:paraId="5F49FF01">
            <w:pPr>
              <w:pStyle w:val="286"/>
              <w:spacing w:line="300" w:lineRule="exact"/>
              <w:jc w:val="both"/>
              <w:rPr>
                <w:rFonts w:hint="eastAsia"/>
                <w:color w:val="000000" w:themeColor="text1"/>
                <w:sz w:val="21"/>
                <w:lang w:bidi="ar"/>
                <w14:textFill>
                  <w14:solidFill>
                    <w14:schemeClr w14:val="tx1"/>
                  </w14:solidFill>
                </w14:textFill>
              </w:rPr>
            </w:pPr>
            <w:r>
              <w:rPr>
                <w:rFonts w:hint="eastAsia"/>
                <w:color w:val="000000" w:themeColor="text1"/>
                <w:sz w:val="21"/>
                <w:lang w:bidi="ar"/>
                <w14:textFill>
                  <w14:solidFill>
                    <w14:schemeClr w14:val="tx1"/>
                  </w14:solidFill>
                </w14:textFill>
              </w:rPr>
              <w:t>建设单位应在项目完成竣工环保验收并稳定运行3至5年后、退役前开展后评价工作</w:t>
            </w:r>
          </w:p>
        </w:tc>
        <w:tc>
          <w:tcPr>
            <w:tcW w:w="792" w:type="dxa"/>
            <w:tcMar>
              <w:left w:w="0" w:type="dxa"/>
              <w:right w:w="0" w:type="dxa"/>
            </w:tcMar>
            <w:vAlign w:val="center"/>
          </w:tcPr>
          <w:p w14:paraId="34C8A4DA">
            <w:pPr>
              <w:pStyle w:val="286"/>
              <w:adjustRightInd w:val="0"/>
              <w:snapToGrid w:val="0"/>
              <w:spacing w:line="300" w:lineRule="exact"/>
              <w:rPr>
                <w:rFonts w:hint="eastAsia"/>
                <w:color w:val="000000" w:themeColor="text1"/>
                <w:sz w:val="21"/>
                <w:lang w:bidi="ar"/>
                <w14:textFill>
                  <w14:solidFill>
                    <w14:schemeClr w14:val="tx1"/>
                  </w14:solidFill>
                </w14:textFill>
              </w:rPr>
            </w:pPr>
          </w:p>
        </w:tc>
      </w:tr>
      <w:tr w14:paraId="25D1BBB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26" w:type="dxa"/>
            <w:tcMar>
              <w:left w:w="0" w:type="dxa"/>
              <w:right w:w="0" w:type="dxa"/>
            </w:tcMar>
            <w:vAlign w:val="center"/>
          </w:tcPr>
          <w:p w14:paraId="29B32E4C">
            <w:pPr>
              <w:pStyle w:val="286"/>
              <w:adjustRightInd w:val="0"/>
              <w:snapToGrid w:val="0"/>
              <w:spacing w:line="300" w:lineRule="exact"/>
              <w:rPr>
                <w:rFonts w:hint="eastAsia"/>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8</w:t>
            </w:r>
          </w:p>
        </w:tc>
        <w:tc>
          <w:tcPr>
            <w:tcW w:w="4110" w:type="dxa"/>
            <w:tcMar>
              <w:left w:w="0" w:type="dxa"/>
              <w:right w:w="0" w:type="dxa"/>
            </w:tcMar>
            <w:vAlign w:val="center"/>
          </w:tcPr>
          <w:p w14:paraId="5A03F013">
            <w:pPr>
              <w:pStyle w:val="286"/>
              <w:adjustRightInd w:val="0"/>
              <w:snapToGrid w:val="0"/>
              <w:spacing w:line="300" w:lineRule="exact"/>
              <w:jc w:val="both"/>
              <w:rPr>
                <w:rFonts w:hint="eastAsia"/>
                <w:color w:val="000000" w:themeColor="text1"/>
                <w:sz w:val="21"/>
                <w:lang w:bidi="ar"/>
                <w14:textFill>
                  <w14:solidFill>
                    <w14:schemeClr w14:val="tx1"/>
                  </w14:solidFill>
                </w14:textFill>
              </w:rPr>
            </w:pPr>
            <w:r>
              <w:rPr>
                <w:rFonts w:hint="eastAsia"/>
                <w:color w:val="000000" w:themeColor="text1"/>
                <w:sz w:val="21"/>
                <w:lang w:bidi="ar"/>
                <w14:textFill>
                  <w14:solidFill>
                    <w14:schemeClr w14:val="tx1"/>
                  </w14:solidFill>
                </w14:textFill>
              </w:rPr>
              <w:t>在钻井和井下作业过程中，鼓励污油、污水进入生产流程循环利用，未进入生产流程的污油、污水应采用固液分离、废水处理一体化装置等处理后达标外排</w:t>
            </w:r>
          </w:p>
        </w:tc>
        <w:tc>
          <w:tcPr>
            <w:tcW w:w="3402" w:type="dxa"/>
            <w:tcMar>
              <w:left w:w="0" w:type="dxa"/>
              <w:right w:w="0" w:type="dxa"/>
            </w:tcMar>
            <w:vAlign w:val="center"/>
          </w:tcPr>
          <w:p w14:paraId="641DFA44">
            <w:pPr>
              <w:pStyle w:val="286"/>
              <w:adjustRightInd w:val="0"/>
              <w:snapToGrid w:val="0"/>
              <w:spacing w:line="300" w:lineRule="exact"/>
              <w:jc w:val="both"/>
              <w:rPr>
                <w:rFonts w:hint="eastAsia"/>
                <w:color w:val="000000" w:themeColor="text1"/>
                <w:sz w:val="21"/>
                <w:lang w:bidi="ar"/>
                <w14:textFill>
                  <w14:solidFill>
                    <w14:schemeClr w14:val="tx1"/>
                  </w14:solidFill>
                </w14:textFill>
              </w:rPr>
            </w:pPr>
            <w:r>
              <w:rPr>
                <w:rFonts w:hint="eastAsia"/>
                <w:color w:val="000000" w:themeColor="text1"/>
                <w:sz w:val="21"/>
                <w:lang w:bidi="ar"/>
                <w14:textFill>
                  <w14:solidFill>
                    <w14:schemeClr w14:val="tx1"/>
                  </w14:solidFill>
                </w14:textFill>
              </w:rPr>
              <w:t>项目不涉及钻井工程，井下作业时产生的洗井废水和井下作业废液送至压裂液返排装置处理，出水水质达标后用于压裂液复配。</w:t>
            </w:r>
          </w:p>
        </w:tc>
        <w:tc>
          <w:tcPr>
            <w:tcW w:w="792" w:type="dxa"/>
            <w:tcMar>
              <w:left w:w="0" w:type="dxa"/>
              <w:right w:w="0" w:type="dxa"/>
            </w:tcMar>
            <w:vAlign w:val="center"/>
          </w:tcPr>
          <w:p w14:paraId="6D16FC16">
            <w:pPr>
              <w:pStyle w:val="286"/>
              <w:adjustRightInd w:val="0"/>
              <w:snapToGrid w:val="0"/>
              <w:spacing w:line="300" w:lineRule="exact"/>
              <w:rPr>
                <w:rFonts w:hint="eastAsia"/>
                <w:color w:val="000000" w:themeColor="text1"/>
                <w:sz w:val="21"/>
                <w14:textFill>
                  <w14:solidFill>
                    <w14:schemeClr w14:val="tx1"/>
                  </w14:solidFill>
                </w14:textFill>
              </w:rPr>
            </w:pPr>
            <w:r>
              <w:rPr>
                <w:rFonts w:hint="eastAsia"/>
                <w:color w:val="000000" w:themeColor="text1"/>
                <w:sz w:val="21"/>
                <w:lang w:bidi="ar"/>
                <w14:textFill>
                  <w14:solidFill>
                    <w14:schemeClr w14:val="tx1"/>
                  </w14:solidFill>
                </w14:textFill>
              </w:rPr>
              <w:t>符合</w:t>
            </w:r>
          </w:p>
        </w:tc>
      </w:tr>
      <w:tr w14:paraId="0AC42E0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26" w:type="dxa"/>
            <w:tcMar>
              <w:left w:w="0" w:type="dxa"/>
              <w:right w:w="0" w:type="dxa"/>
            </w:tcMar>
            <w:vAlign w:val="center"/>
          </w:tcPr>
          <w:p w14:paraId="7A1B790D">
            <w:pPr>
              <w:pStyle w:val="286"/>
              <w:adjustRightInd w:val="0"/>
              <w:snapToGrid w:val="0"/>
              <w:spacing w:line="300" w:lineRule="exact"/>
              <w:rPr>
                <w:rFonts w:hint="eastAsia" w:cs="宋体"/>
                <w:b/>
                <w:color w:val="000000" w:themeColor="text1"/>
                <w:sz w:val="21"/>
                <w14:textFill>
                  <w14:solidFill>
                    <w14:schemeClr w14:val="tx1"/>
                  </w14:solidFill>
                </w14:textFill>
              </w:rPr>
            </w:pPr>
            <w:r>
              <w:rPr>
                <w:rFonts w:hint="eastAsia" w:cs="宋体"/>
                <w:b/>
                <w:color w:val="000000" w:themeColor="text1"/>
                <w:sz w:val="21"/>
                <w14:textFill>
                  <w14:solidFill>
                    <w14:schemeClr w14:val="tx1"/>
                  </w14:solidFill>
                </w14:textFill>
              </w:rPr>
              <w:t>9</w:t>
            </w:r>
          </w:p>
        </w:tc>
        <w:tc>
          <w:tcPr>
            <w:tcW w:w="4110" w:type="dxa"/>
            <w:tcMar>
              <w:left w:w="0" w:type="dxa"/>
              <w:right w:w="0" w:type="dxa"/>
            </w:tcMar>
            <w:vAlign w:val="center"/>
          </w:tcPr>
          <w:p w14:paraId="0AFFE78E">
            <w:pPr>
              <w:pStyle w:val="286"/>
              <w:adjustRightInd w:val="0"/>
              <w:snapToGrid w:val="0"/>
              <w:spacing w:line="300" w:lineRule="exact"/>
              <w:rPr>
                <w:rFonts w:hint="eastAsia" w:cs="宋体"/>
                <w:color w:val="000000" w:themeColor="text1"/>
                <w:sz w:val="21"/>
                <w14:textFill>
                  <w14:solidFill>
                    <w14:schemeClr w14:val="tx1"/>
                  </w14:solidFill>
                </w14:textFill>
              </w:rPr>
            </w:pPr>
            <w:r>
              <w:rPr>
                <w:rFonts w:hint="eastAsia" w:cs="宋体"/>
                <w:color w:val="000000" w:themeColor="text1"/>
                <w:sz w:val="21"/>
                <w:lang w:bidi="ar"/>
                <w14:textFill>
                  <w14:solidFill>
                    <w14:schemeClr w14:val="tx1"/>
                  </w14:solidFill>
                </w14:textFill>
              </w:rPr>
              <w:t>应回收落地原油，以及原油处理、废水处理产生的油泥（砂）等中的油类物质，含油污泥资源化利用率应达到90%以上，残余固体废物应按照《国家危险废物名录》和危险废物鉴别标准识别</w:t>
            </w:r>
          </w:p>
        </w:tc>
        <w:tc>
          <w:tcPr>
            <w:tcW w:w="3402" w:type="dxa"/>
            <w:tcMar>
              <w:left w:w="0" w:type="dxa"/>
              <w:right w:w="0" w:type="dxa"/>
            </w:tcMar>
            <w:vAlign w:val="center"/>
          </w:tcPr>
          <w:p w14:paraId="1662E192">
            <w:pPr>
              <w:pStyle w:val="286"/>
              <w:adjustRightInd w:val="0"/>
              <w:snapToGrid w:val="0"/>
              <w:spacing w:line="300" w:lineRule="exact"/>
              <w:jc w:val="both"/>
              <w:rPr>
                <w:rFonts w:hint="eastAsia"/>
                <w:color w:val="000000" w:themeColor="text1"/>
                <w:sz w:val="21"/>
                <w:lang w:bidi="ar"/>
                <w14:textFill>
                  <w14:solidFill>
                    <w14:schemeClr w14:val="tx1"/>
                  </w14:solidFill>
                </w14:textFill>
              </w:rPr>
            </w:pPr>
            <w:r>
              <w:rPr>
                <w:rFonts w:hint="eastAsia"/>
                <w:color w:val="000000" w:themeColor="text1"/>
                <w:sz w:val="21"/>
                <w:lang w:bidi="ar"/>
                <w14:textFill>
                  <w14:solidFill>
                    <w14:schemeClr w14:val="tx1"/>
                  </w14:solidFill>
                </w14:textFill>
              </w:rPr>
              <w:t>危险废物主要为废润滑油、废油桶、废分子筛、沾油废防渗材料和废含油抹布、劳保用品，分类收集，集中收集后交由有相应资质的单位处置。</w:t>
            </w:r>
          </w:p>
        </w:tc>
        <w:tc>
          <w:tcPr>
            <w:tcW w:w="792" w:type="dxa"/>
            <w:tcMar>
              <w:left w:w="0" w:type="dxa"/>
              <w:right w:w="0" w:type="dxa"/>
            </w:tcMar>
            <w:vAlign w:val="center"/>
          </w:tcPr>
          <w:p w14:paraId="6A744D3E">
            <w:pPr>
              <w:pStyle w:val="286"/>
              <w:adjustRightInd w:val="0"/>
              <w:snapToGrid w:val="0"/>
              <w:spacing w:line="300" w:lineRule="exact"/>
              <w:rPr>
                <w:rFonts w:hint="eastAsia"/>
                <w:color w:val="000000" w:themeColor="text1"/>
                <w:sz w:val="21"/>
                <w14:textFill>
                  <w14:solidFill>
                    <w14:schemeClr w14:val="tx1"/>
                  </w14:solidFill>
                </w14:textFill>
              </w:rPr>
            </w:pPr>
            <w:r>
              <w:rPr>
                <w:rFonts w:hint="eastAsia"/>
                <w:color w:val="000000" w:themeColor="text1"/>
                <w:sz w:val="21"/>
                <w:lang w:bidi="ar"/>
                <w14:textFill>
                  <w14:solidFill>
                    <w14:schemeClr w14:val="tx1"/>
                  </w14:solidFill>
                </w14:textFill>
              </w:rPr>
              <w:t>符合</w:t>
            </w:r>
          </w:p>
        </w:tc>
      </w:tr>
      <w:tr w14:paraId="35653513">
        <w:tblPrEx>
          <w:tblBorders>
            <w:top w:val="single" w:color="auto" w:sz="12" w:space="0"/>
            <w:left w:val="none" w:color="auto" w:sz="6" w:space="0"/>
            <w:bottom w:val="single" w:color="auto" w:sz="12" w:space="0"/>
            <w:right w:val="non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426" w:type="dxa"/>
            <w:tcBorders>
              <w:top w:val="single" w:color="auto" w:sz="6" w:space="0"/>
              <w:left w:val="nil"/>
              <w:bottom w:val="single" w:color="auto" w:sz="12" w:space="0"/>
              <w:right w:val="single" w:color="auto" w:sz="6" w:space="0"/>
            </w:tcBorders>
            <w:tcMar>
              <w:left w:w="0" w:type="dxa"/>
              <w:right w:w="0" w:type="dxa"/>
            </w:tcMar>
            <w:vAlign w:val="center"/>
          </w:tcPr>
          <w:p w14:paraId="23256DC0">
            <w:pPr>
              <w:pStyle w:val="286"/>
              <w:adjustRightInd w:val="0"/>
              <w:snapToGrid w:val="0"/>
              <w:spacing w:line="300" w:lineRule="exact"/>
              <w:rPr>
                <w:rFonts w:hint="eastAsia"/>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10</w:t>
            </w:r>
          </w:p>
        </w:tc>
        <w:tc>
          <w:tcPr>
            <w:tcW w:w="4110" w:type="dxa"/>
            <w:tcBorders>
              <w:top w:val="single" w:color="auto" w:sz="6" w:space="0"/>
              <w:left w:val="single" w:color="auto" w:sz="6" w:space="0"/>
              <w:bottom w:val="single" w:color="auto" w:sz="12" w:space="0"/>
              <w:right w:val="single" w:color="auto" w:sz="6" w:space="0"/>
            </w:tcBorders>
            <w:tcMar>
              <w:left w:w="0" w:type="dxa"/>
              <w:right w:w="0" w:type="dxa"/>
            </w:tcMar>
            <w:vAlign w:val="center"/>
          </w:tcPr>
          <w:p w14:paraId="6DF0179E">
            <w:pPr>
              <w:pStyle w:val="286"/>
              <w:adjustRightInd w:val="0"/>
              <w:snapToGrid w:val="0"/>
              <w:spacing w:line="300" w:lineRule="exact"/>
              <w:rPr>
                <w:rFonts w:hint="eastAsia"/>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1）油气田企业应制定环境保护管理规定，建立并运行健康、安全与环境管理体系；2）加强油气田建设、勘探开发过程的环境监督管理。油气田建设过程中应开展工程环境监理；3）在开发过程中，企业应加强油气井套管的检测和维护，防止油气泄漏污染地下水；4）建立环境保护人员培训制度；5）油气田企业应对勘探开发过程进行环境风险因素识别，制定突发环境事件应急预案并定期进行演练。开展特征污染物监测工作，采取环境风险防范和应急措施，防止发生由突发性油气泄漏产生的环境事故</w:t>
            </w:r>
          </w:p>
        </w:tc>
        <w:tc>
          <w:tcPr>
            <w:tcW w:w="3402" w:type="dxa"/>
            <w:tcBorders>
              <w:top w:val="single" w:color="auto" w:sz="6" w:space="0"/>
              <w:left w:val="single" w:color="auto" w:sz="6" w:space="0"/>
              <w:bottom w:val="single" w:color="auto" w:sz="12" w:space="0"/>
              <w:right w:val="single" w:color="auto" w:sz="6" w:space="0"/>
            </w:tcBorders>
            <w:tcMar>
              <w:left w:w="0" w:type="dxa"/>
              <w:right w:w="0" w:type="dxa"/>
            </w:tcMar>
            <w:vAlign w:val="center"/>
          </w:tcPr>
          <w:p w14:paraId="2EC7036F">
            <w:pPr>
              <w:pStyle w:val="286"/>
              <w:adjustRightInd w:val="0"/>
              <w:snapToGrid w:val="0"/>
              <w:spacing w:line="300" w:lineRule="exact"/>
              <w:jc w:val="both"/>
              <w:rPr>
                <w:rFonts w:hint="eastAsia"/>
                <w:color w:val="000000" w:themeColor="text1"/>
                <w:sz w:val="21"/>
                <w:lang w:bidi="ar"/>
                <w14:textFill>
                  <w14:solidFill>
                    <w14:schemeClr w14:val="tx1"/>
                  </w14:solidFill>
                </w14:textFill>
              </w:rPr>
            </w:pPr>
            <w:bookmarkStart w:id="168" w:name="OLE_LINK48"/>
            <w:r>
              <w:rPr>
                <w:rFonts w:hint="eastAsia"/>
                <w:color w:val="000000" w:themeColor="text1"/>
                <w:sz w:val="21"/>
                <w:lang w:bidi="ar"/>
                <w14:textFill>
                  <w14:solidFill>
                    <w14:schemeClr w14:val="tx1"/>
                  </w14:solidFill>
                </w14:textFill>
              </w:rPr>
              <w:t>运营后建设单位应将本项目纳入吉庆油田作业区已有的HSE管理体系、突发环境污染事件应急预案及污染源日常监控计划。</w:t>
            </w:r>
            <w:bookmarkEnd w:id="168"/>
          </w:p>
        </w:tc>
        <w:tc>
          <w:tcPr>
            <w:tcW w:w="792" w:type="dxa"/>
            <w:tcBorders>
              <w:top w:val="single" w:color="auto" w:sz="6" w:space="0"/>
              <w:left w:val="single" w:color="auto" w:sz="6" w:space="0"/>
              <w:bottom w:val="single" w:color="auto" w:sz="12" w:space="0"/>
              <w:right w:val="nil"/>
            </w:tcBorders>
            <w:tcMar>
              <w:left w:w="0" w:type="dxa"/>
              <w:right w:w="0" w:type="dxa"/>
            </w:tcMar>
            <w:vAlign w:val="center"/>
          </w:tcPr>
          <w:p w14:paraId="23DB76B1">
            <w:pPr>
              <w:pStyle w:val="286"/>
              <w:adjustRightInd w:val="0"/>
              <w:snapToGrid w:val="0"/>
              <w:spacing w:line="300" w:lineRule="exact"/>
              <w:rPr>
                <w:rFonts w:hint="eastAsia"/>
                <w:color w:val="000000" w:themeColor="text1"/>
                <w:sz w:val="21"/>
                <w14:textFill>
                  <w14:solidFill>
                    <w14:schemeClr w14:val="tx1"/>
                  </w14:solidFill>
                </w14:textFill>
              </w:rPr>
            </w:pPr>
            <w:r>
              <w:rPr>
                <w:rFonts w:hint="eastAsia"/>
                <w:color w:val="000000" w:themeColor="text1"/>
                <w:sz w:val="21"/>
                <w:lang w:bidi="ar"/>
                <w14:textFill>
                  <w14:solidFill>
                    <w14:schemeClr w14:val="tx1"/>
                  </w14:solidFill>
                </w14:textFill>
              </w:rPr>
              <w:t>符合</w:t>
            </w:r>
          </w:p>
        </w:tc>
      </w:tr>
      <w:bookmarkEnd w:id="166"/>
    </w:tbl>
    <w:p w14:paraId="06B1EC67">
      <w:pPr>
        <w:pStyle w:val="117"/>
        <w:ind w:firstLine="480"/>
        <w:rPr>
          <w:rFonts w:hint="eastAsia"/>
          <w:color w:val="000000" w:themeColor="text1"/>
          <w:lang w:bidi="ar"/>
          <w14:textFill>
            <w14:solidFill>
              <w14:schemeClr w14:val="tx1"/>
            </w14:solidFill>
          </w14:textFill>
        </w:rPr>
      </w:pPr>
      <w:r>
        <w:rPr>
          <w:rFonts w:hint="eastAsia"/>
          <w:color w:val="000000" w:themeColor="text1"/>
          <w:lang w:bidi="ar"/>
          <w14:textFill>
            <w14:solidFill>
              <w14:schemeClr w14:val="tx1"/>
            </w14:solidFill>
          </w14:textFill>
        </w:rPr>
        <w:t>（</w:t>
      </w:r>
      <w:r>
        <w:rPr>
          <w:color w:val="000000" w:themeColor="text1"/>
          <w:lang w:bidi="ar"/>
          <w14:textFill>
            <w14:solidFill>
              <w14:schemeClr w14:val="tx1"/>
            </w14:solidFill>
          </w14:textFill>
        </w:rPr>
        <w:t>2</w:t>
      </w:r>
      <w:r>
        <w:rPr>
          <w:rFonts w:hint="eastAsia"/>
          <w:color w:val="000000" w:themeColor="text1"/>
          <w:lang w:bidi="ar"/>
          <w14:textFill>
            <w14:solidFill>
              <w14:schemeClr w14:val="tx1"/>
            </w14:solidFill>
          </w14:textFill>
        </w:rPr>
        <w:t>）与</w:t>
      </w:r>
      <w:bookmarkStart w:id="169" w:name="_Hlk80047840"/>
      <w:r>
        <w:rPr>
          <w:rFonts w:hint="eastAsia"/>
          <w:color w:val="000000" w:themeColor="text1"/>
          <w:lang w:bidi="ar"/>
          <w14:textFill>
            <w14:solidFill>
              <w14:schemeClr w14:val="tx1"/>
            </w14:solidFill>
          </w14:textFill>
        </w:rPr>
        <w:t>《</w:t>
      </w:r>
      <w:bookmarkStart w:id="170" w:name="_Hlk80039235"/>
      <w:r>
        <w:rPr>
          <w:rFonts w:hint="eastAsia"/>
          <w:color w:val="000000" w:themeColor="text1"/>
          <w:lang w:bidi="ar"/>
          <w14:textFill>
            <w14:solidFill>
              <w14:schemeClr w14:val="tx1"/>
            </w14:solidFill>
          </w14:textFill>
        </w:rPr>
        <w:t>陆上石油天然气开采业绿色矿山建设规范</w:t>
      </w:r>
      <w:bookmarkEnd w:id="170"/>
      <w:r>
        <w:rPr>
          <w:rFonts w:hint="eastAsia"/>
          <w:color w:val="000000" w:themeColor="text1"/>
          <w:lang w:bidi="ar"/>
          <w14:textFill>
            <w14:solidFill>
              <w14:schemeClr w14:val="tx1"/>
            </w14:solidFill>
          </w14:textFill>
        </w:rPr>
        <w:t>》</w:t>
      </w:r>
      <w:bookmarkEnd w:id="169"/>
      <w:r>
        <w:rPr>
          <w:rFonts w:hint="eastAsia"/>
          <w:color w:val="000000" w:themeColor="text1"/>
          <w:lang w:bidi="ar"/>
          <w14:textFill>
            <w14:solidFill>
              <w14:schemeClr w14:val="tx1"/>
            </w14:solidFill>
          </w14:textFill>
        </w:rPr>
        <w:t>要求的相符性分析</w:t>
      </w:r>
    </w:p>
    <w:p w14:paraId="72C6DE5E">
      <w:pPr>
        <w:pStyle w:val="117"/>
        <w:ind w:firstLine="480"/>
        <w:rPr>
          <w:rFonts w:hint="eastAsia"/>
          <w:color w:val="000000" w:themeColor="text1"/>
          <w:lang w:bidi="ar"/>
          <w14:textFill>
            <w14:solidFill>
              <w14:schemeClr w14:val="tx1"/>
            </w14:solidFill>
          </w14:textFill>
        </w:rPr>
      </w:pPr>
      <w:r>
        <w:rPr>
          <w:rFonts w:hint="eastAsia"/>
          <w:color w:val="000000" w:themeColor="text1"/>
          <w:lang w:bidi="ar"/>
          <w14:textFill>
            <w14:solidFill>
              <w14:schemeClr w14:val="tx1"/>
            </w14:solidFill>
          </w14:textFill>
        </w:rPr>
        <w:t>本项目采取的各项环保措施符合《陆上石油天然气开采业绿色矿山建设规范》中相关要求，相符性分析详见表</w:t>
      </w:r>
      <w:r>
        <w:rPr>
          <w:color w:val="000000" w:themeColor="text1"/>
          <w:lang w:bidi="ar"/>
          <w14:textFill>
            <w14:solidFill>
              <w14:schemeClr w14:val="tx1"/>
            </w14:solidFill>
          </w14:textFill>
        </w:rPr>
        <w:t>2.9</w:t>
      </w:r>
      <w:r>
        <w:rPr>
          <w:rFonts w:hint="eastAsia"/>
          <w:color w:val="000000" w:themeColor="text1"/>
          <w:lang w:bidi="ar"/>
          <w14:textFill>
            <w14:solidFill>
              <w14:schemeClr w14:val="tx1"/>
            </w14:solidFill>
          </w14:textFill>
        </w:rPr>
        <w:t>-5。</w:t>
      </w:r>
    </w:p>
    <w:p w14:paraId="524DA9C5">
      <w:pPr>
        <w:pStyle w:val="15"/>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表2</w:t>
      </w:r>
      <w:r>
        <w:rPr>
          <w:color w:val="000000" w:themeColor="text1"/>
          <w14:textFill>
            <w14:solidFill>
              <w14:schemeClr w14:val="tx1"/>
            </w14:solidFill>
          </w14:textFill>
        </w:rPr>
        <w:t>.9</w:t>
      </w:r>
      <w:r>
        <w:rPr>
          <w:rFonts w:hint="eastAsia"/>
          <w:color w:val="000000" w:themeColor="text1"/>
          <w14:textFill>
            <w14:solidFill>
              <w14:schemeClr w14:val="tx1"/>
            </w14:solidFill>
          </w14:textFill>
        </w:rPr>
        <w:t xml:space="preserve">-5 </w:t>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本项目与《陆上石油天然气开采业绿色矿山建设规范》的相符性分析</w:t>
      </w:r>
    </w:p>
    <w:tbl>
      <w:tblPr>
        <w:tblStyle w:val="51"/>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67"/>
        <w:gridCol w:w="4395"/>
        <w:gridCol w:w="2975"/>
        <w:gridCol w:w="793"/>
      </w:tblGrid>
      <w:tr w14:paraId="686172E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567" w:type="dxa"/>
            <w:tcMar>
              <w:left w:w="0" w:type="dxa"/>
              <w:right w:w="0" w:type="dxa"/>
            </w:tcMar>
            <w:vAlign w:val="center"/>
          </w:tcPr>
          <w:p w14:paraId="0876BA85">
            <w:pPr>
              <w:pStyle w:val="286"/>
              <w:adjustRightInd w:val="0"/>
              <w:snapToGrid w:val="0"/>
              <w:spacing w:line="300" w:lineRule="exact"/>
              <w:rPr>
                <w:rFonts w:hint="eastAsia"/>
                <w:color w:val="000000" w:themeColor="text1"/>
                <w:sz w:val="21"/>
                <w14:textFill>
                  <w14:solidFill>
                    <w14:schemeClr w14:val="tx1"/>
                  </w14:solidFill>
                </w14:textFill>
              </w:rPr>
            </w:pPr>
            <w:r>
              <w:rPr>
                <w:rFonts w:hint="eastAsia"/>
                <w:color w:val="000000" w:themeColor="text1"/>
                <w:sz w:val="21"/>
                <w:lang w:bidi="ar"/>
                <w14:textFill>
                  <w14:solidFill>
                    <w14:schemeClr w14:val="tx1"/>
                  </w14:solidFill>
                </w14:textFill>
              </w:rPr>
              <w:t>序号</w:t>
            </w:r>
          </w:p>
        </w:tc>
        <w:tc>
          <w:tcPr>
            <w:tcW w:w="4395" w:type="dxa"/>
            <w:tcMar>
              <w:left w:w="0" w:type="dxa"/>
              <w:right w:w="0" w:type="dxa"/>
            </w:tcMar>
            <w:vAlign w:val="center"/>
          </w:tcPr>
          <w:p w14:paraId="4DDE2C86">
            <w:pPr>
              <w:pStyle w:val="286"/>
              <w:adjustRightInd w:val="0"/>
              <w:snapToGrid w:val="0"/>
              <w:spacing w:line="300" w:lineRule="exact"/>
              <w:rPr>
                <w:rFonts w:hint="eastAsia"/>
                <w:color w:val="000000" w:themeColor="text1"/>
                <w:sz w:val="21"/>
                <w14:textFill>
                  <w14:solidFill>
                    <w14:schemeClr w14:val="tx1"/>
                  </w14:solidFill>
                </w14:textFill>
              </w:rPr>
            </w:pPr>
            <w:r>
              <w:rPr>
                <w:rFonts w:hint="eastAsia"/>
                <w:color w:val="000000" w:themeColor="text1"/>
                <w:sz w:val="21"/>
                <w:lang w:bidi="ar"/>
                <w14:textFill>
                  <w14:solidFill>
                    <w14:schemeClr w14:val="tx1"/>
                  </w14:solidFill>
                </w14:textFill>
              </w:rPr>
              <w:t>《</w:t>
            </w:r>
            <w:r>
              <w:rPr>
                <w:rFonts w:hint="eastAsia"/>
                <w:bCs/>
                <w:color w:val="000000" w:themeColor="text1"/>
                <w:sz w:val="21"/>
                <w:lang w:bidi="ar"/>
                <w14:textFill>
                  <w14:solidFill>
                    <w14:schemeClr w14:val="tx1"/>
                  </w14:solidFill>
                </w14:textFill>
              </w:rPr>
              <w:t>规范</w:t>
            </w:r>
            <w:r>
              <w:rPr>
                <w:rFonts w:hint="eastAsia"/>
                <w:color w:val="000000" w:themeColor="text1"/>
                <w:sz w:val="21"/>
                <w:lang w:bidi="ar"/>
                <w14:textFill>
                  <w14:solidFill>
                    <w14:schemeClr w14:val="tx1"/>
                  </w14:solidFill>
                </w14:textFill>
              </w:rPr>
              <w:t>》中相关规定</w:t>
            </w:r>
          </w:p>
        </w:tc>
        <w:tc>
          <w:tcPr>
            <w:tcW w:w="2975" w:type="dxa"/>
            <w:tcMar>
              <w:left w:w="0" w:type="dxa"/>
              <w:right w:w="0" w:type="dxa"/>
            </w:tcMar>
            <w:vAlign w:val="center"/>
          </w:tcPr>
          <w:p w14:paraId="5F5EF0F6">
            <w:pPr>
              <w:pStyle w:val="286"/>
              <w:adjustRightInd w:val="0"/>
              <w:snapToGrid w:val="0"/>
              <w:spacing w:line="300" w:lineRule="exact"/>
              <w:rPr>
                <w:rFonts w:hint="eastAsia"/>
                <w:color w:val="000000" w:themeColor="text1"/>
                <w:sz w:val="21"/>
                <w14:textFill>
                  <w14:solidFill>
                    <w14:schemeClr w14:val="tx1"/>
                  </w14:solidFill>
                </w14:textFill>
              </w:rPr>
            </w:pPr>
            <w:r>
              <w:rPr>
                <w:rFonts w:hint="eastAsia"/>
                <w:color w:val="000000" w:themeColor="text1"/>
                <w:sz w:val="21"/>
                <w:lang w:bidi="ar"/>
                <w14:textFill>
                  <w14:solidFill>
                    <w14:schemeClr w14:val="tx1"/>
                  </w14:solidFill>
                </w14:textFill>
              </w:rPr>
              <w:t>拟采取的相关措施</w:t>
            </w:r>
          </w:p>
        </w:tc>
        <w:tc>
          <w:tcPr>
            <w:tcW w:w="793" w:type="dxa"/>
            <w:tcMar>
              <w:left w:w="0" w:type="dxa"/>
              <w:right w:w="0" w:type="dxa"/>
            </w:tcMar>
            <w:vAlign w:val="center"/>
          </w:tcPr>
          <w:p w14:paraId="584EF6DD">
            <w:pPr>
              <w:pStyle w:val="286"/>
              <w:adjustRightInd w:val="0"/>
              <w:snapToGrid w:val="0"/>
              <w:spacing w:line="300" w:lineRule="exact"/>
              <w:rPr>
                <w:rFonts w:hint="eastAsia"/>
                <w:color w:val="000000" w:themeColor="text1"/>
                <w:sz w:val="21"/>
                <w14:textFill>
                  <w14:solidFill>
                    <w14:schemeClr w14:val="tx1"/>
                  </w14:solidFill>
                </w14:textFill>
              </w:rPr>
            </w:pPr>
            <w:r>
              <w:rPr>
                <w:rFonts w:hint="eastAsia"/>
                <w:color w:val="000000" w:themeColor="text1"/>
                <w:sz w:val="21"/>
                <w:lang w:bidi="ar"/>
                <w14:textFill>
                  <w14:solidFill>
                    <w14:schemeClr w14:val="tx1"/>
                  </w14:solidFill>
                </w14:textFill>
              </w:rPr>
              <w:t>相符性分析</w:t>
            </w:r>
          </w:p>
        </w:tc>
      </w:tr>
      <w:tr w14:paraId="2C25D67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67" w:type="dxa"/>
            <w:tcMar>
              <w:left w:w="0" w:type="dxa"/>
              <w:right w:w="0" w:type="dxa"/>
            </w:tcMar>
            <w:vAlign w:val="center"/>
          </w:tcPr>
          <w:p w14:paraId="7D81A9A2">
            <w:pPr>
              <w:pStyle w:val="286"/>
              <w:adjustRightInd w:val="0"/>
              <w:snapToGrid w:val="0"/>
              <w:spacing w:line="300" w:lineRule="exact"/>
              <w:rPr>
                <w:rFonts w:hint="eastAsia"/>
                <w:color w:val="000000" w:themeColor="text1"/>
                <w:sz w:val="21"/>
                <w14:textFill>
                  <w14:solidFill>
                    <w14:schemeClr w14:val="tx1"/>
                  </w14:solidFill>
                </w14:textFill>
              </w:rPr>
            </w:pPr>
            <w:r>
              <w:rPr>
                <w:rFonts w:hint="eastAsia"/>
                <w:color w:val="000000" w:themeColor="text1"/>
                <w:sz w:val="21"/>
                <w:lang w:bidi="ar"/>
                <w14:textFill>
                  <w14:solidFill>
                    <w14:schemeClr w14:val="tx1"/>
                  </w14:solidFill>
                </w14:textFill>
              </w:rPr>
              <w:t>1</w:t>
            </w:r>
          </w:p>
        </w:tc>
        <w:tc>
          <w:tcPr>
            <w:tcW w:w="4395" w:type="dxa"/>
            <w:tcMar>
              <w:left w:w="0" w:type="dxa"/>
              <w:right w:w="0" w:type="dxa"/>
            </w:tcMar>
            <w:vAlign w:val="center"/>
          </w:tcPr>
          <w:p w14:paraId="7255A203">
            <w:pPr>
              <w:pStyle w:val="286"/>
              <w:adjustRightInd w:val="0"/>
              <w:snapToGrid w:val="0"/>
              <w:spacing w:line="300" w:lineRule="exact"/>
              <w:rPr>
                <w:rFonts w:hint="eastAsia"/>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资源开发应与环境保护、资源保护、城乡建设相协调，最大限度减少对自然环境的扰动和破坏，选择资源节约型、环境友好型开发方式；因矿制宜选择开采工艺和装备，符合清洁生产要求；应贯彻“边开采、边治理、边恢复”的原则，及时治理恢复矿区地质环境，复垦矿区压占和损毁土地；应遵循矿区油气资源赋存状况、生态环境特征等条件，科学合理确定开发方案，选择与油气藏类型相适应的先进开采技术和工艺，推广使用成熟、先进的技术装备，严禁使用国家明文规定的限制和淘汰的技术工艺及装备；集约节约利用土地资源，土地利用符合用地指标政策。合理确定站址、场址、管网、路网建设占地规模。</w:t>
            </w:r>
          </w:p>
        </w:tc>
        <w:tc>
          <w:tcPr>
            <w:tcW w:w="2975" w:type="dxa"/>
            <w:tcMar>
              <w:left w:w="0" w:type="dxa"/>
              <w:right w:w="0" w:type="dxa"/>
            </w:tcMar>
            <w:vAlign w:val="center"/>
          </w:tcPr>
          <w:p w14:paraId="5A353829">
            <w:pPr>
              <w:pStyle w:val="286"/>
              <w:adjustRightInd w:val="0"/>
              <w:snapToGrid w:val="0"/>
              <w:spacing w:line="300" w:lineRule="exact"/>
              <w:rPr>
                <w:rFonts w:hint="eastAsia"/>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项目建设符合相关规划，符合区域“三线一单”中空间布局约束、污染物排放管控、环境风险防控、资源利用效率相关要求；吉庆作业区建有完善的H</w:t>
            </w:r>
            <w:r>
              <w:rPr>
                <w:color w:val="000000" w:themeColor="text1"/>
                <w:sz w:val="21"/>
                <w14:textFill>
                  <w14:solidFill>
                    <w14:schemeClr w14:val="tx1"/>
                  </w14:solidFill>
                </w14:textFill>
              </w:rPr>
              <w:t>SE</w:t>
            </w:r>
            <w:r>
              <w:rPr>
                <w:rFonts w:hint="eastAsia"/>
                <w:color w:val="000000" w:themeColor="text1"/>
                <w:sz w:val="21"/>
                <w14:textFill>
                  <w14:solidFill>
                    <w14:schemeClr w14:val="tx1"/>
                  </w14:solidFill>
                </w14:textFill>
              </w:rPr>
              <w:t>管理体系；不涉及钻井工程，油气采用密闭集输工艺；严格控制管线施工作业带宽度；按照规定对占地进行补偿，施工结束后临时占地要及时恢复，退役期要及时释放永久占地；植被主要靠自然恢复。</w:t>
            </w:r>
          </w:p>
        </w:tc>
        <w:tc>
          <w:tcPr>
            <w:tcW w:w="793" w:type="dxa"/>
            <w:tcMar>
              <w:left w:w="0" w:type="dxa"/>
              <w:right w:w="0" w:type="dxa"/>
            </w:tcMar>
            <w:vAlign w:val="center"/>
          </w:tcPr>
          <w:p w14:paraId="46B86C76">
            <w:pPr>
              <w:pStyle w:val="286"/>
              <w:adjustRightInd w:val="0"/>
              <w:snapToGrid w:val="0"/>
              <w:spacing w:line="300" w:lineRule="exact"/>
              <w:rPr>
                <w:rFonts w:hint="eastAsia"/>
                <w:color w:val="000000" w:themeColor="text1"/>
                <w:sz w:val="21"/>
                <w14:textFill>
                  <w14:solidFill>
                    <w14:schemeClr w14:val="tx1"/>
                  </w14:solidFill>
                </w14:textFill>
              </w:rPr>
            </w:pPr>
            <w:r>
              <w:rPr>
                <w:rFonts w:hint="eastAsia"/>
                <w:color w:val="000000" w:themeColor="text1"/>
                <w:sz w:val="21"/>
                <w:lang w:bidi="ar"/>
                <w14:textFill>
                  <w14:solidFill>
                    <w14:schemeClr w14:val="tx1"/>
                  </w14:solidFill>
                </w14:textFill>
              </w:rPr>
              <w:t>符合</w:t>
            </w:r>
          </w:p>
        </w:tc>
      </w:tr>
      <w:tr w14:paraId="2779ED6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67" w:type="dxa"/>
            <w:tcMar>
              <w:left w:w="0" w:type="dxa"/>
              <w:right w:w="0" w:type="dxa"/>
            </w:tcMar>
            <w:vAlign w:val="center"/>
          </w:tcPr>
          <w:p w14:paraId="42A166C7">
            <w:pPr>
              <w:pStyle w:val="286"/>
              <w:adjustRightInd w:val="0"/>
              <w:snapToGrid w:val="0"/>
              <w:spacing w:line="300" w:lineRule="exact"/>
              <w:rPr>
                <w:rFonts w:hint="eastAsia"/>
                <w:color w:val="000000" w:themeColor="text1"/>
                <w:sz w:val="21"/>
                <w:lang w:bidi="ar"/>
                <w14:textFill>
                  <w14:solidFill>
                    <w14:schemeClr w14:val="tx1"/>
                  </w14:solidFill>
                </w14:textFill>
              </w:rPr>
            </w:pPr>
            <w:r>
              <w:rPr>
                <w:rFonts w:hint="eastAsia"/>
                <w:color w:val="000000" w:themeColor="text1"/>
                <w:sz w:val="21"/>
                <w:lang w:bidi="ar"/>
                <w14:textFill>
                  <w14:solidFill>
                    <w14:schemeClr w14:val="tx1"/>
                  </w14:solidFill>
                </w14:textFill>
              </w:rPr>
              <w:t>2</w:t>
            </w:r>
          </w:p>
        </w:tc>
        <w:tc>
          <w:tcPr>
            <w:tcW w:w="4395" w:type="dxa"/>
            <w:tcMar>
              <w:left w:w="0" w:type="dxa"/>
              <w:right w:w="0" w:type="dxa"/>
            </w:tcMar>
            <w:vAlign w:val="center"/>
          </w:tcPr>
          <w:p w14:paraId="44F0A813">
            <w:pPr>
              <w:pStyle w:val="286"/>
              <w:adjustRightInd w:val="0"/>
              <w:snapToGrid w:val="0"/>
              <w:spacing w:line="300" w:lineRule="exact"/>
              <w:rPr>
                <w:rFonts w:hint="eastAsia"/>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应实施绿色钻井技术体系，科学选择钻井方式、环境友好型钻井液及井控措施，配备完善的固控系统，及时妥善处置钻井泥浆。</w:t>
            </w:r>
          </w:p>
        </w:tc>
        <w:tc>
          <w:tcPr>
            <w:tcW w:w="2975" w:type="dxa"/>
            <w:tcMar>
              <w:left w:w="0" w:type="dxa"/>
              <w:right w:w="0" w:type="dxa"/>
            </w:tcMar>
            <w:vAlign w:val="center"/>
          </w:tcPr>
          <w:p w14:paraId="5F6CBB30">
            <w:pPr>
              <w:pStyle w:val="286"/>
              <w:adjustRightInd w:val="0"/>
              <w:snapToGrid w:val="0"/>
              <w:spacing w:line="300" w:lineRule="exact"/>
              <w:rPr>
                <w:rFonts w:hint="eastAsia"/>
                <w:color w:val="000000" w:themeColor="text1"/>
                <w:sz w:val="21"/>
                <w:lang w:bidi="ar"/>
                <w14:textFill>
                  <w14:solidFill>
                    <w14:schemeClr w14:val="tx1"/>
                  </w14:solidFill>
                </w14:textFill>
              </w:rPr>
            </w:pPr>
            <w:r>
              <w:rPr>
                <w:rFonts w:hint="eastAsia"/>
                <w:color w:val="000000" w:themeColor="text1"/>
                <w:sz w:val="21"/>
                <w:lang w:bidi="ar"/>
                <w14:textFill>
                  <w14:solidFill>
                    <w14:schemeClr w14:val="tx1"/>
                  </w14:solidFill>
                </w14:textFill>
              </w:rPr>
              <w:t>本项目不涉及钻井，不使用钻井液。</w:t>
            </w:r>
          </w:p>
        </w:tc>
        <w:tc>
          <w:tcPr>
            <w:tcW w:w="793" w:type="dxa"/>
            <w:tcMar>
              <w:left w:w="0" w:type="dxa"/>
              <w:right w:w="0" w:type="dxa"/>
            </w:tcMar>
            <w:vAlign w:val="center"/>
          </w:tcPr>
          <w:p w14:paraId="69561BEB">
            <w:pPr>
              <w:pStyle w:val="286"/>
              <w:adjustRightInd w:val="0"/>
              <w:snapToGrid w:val="0"/>
              <w:spacing w:line="300" w:lineRule="exact"/>
              <w:rPr>
                <w:rFonts w:hint="eastAsia"/>
                <w:color w:val="000000" w:themeColor="text1"/>
                <w:sz w:val="21"/>
                <w:lang w:bidi="ar"/>
                <w14:textFill>
                  <w14:solidFill>
                    <w14:schemeClr w14:val="tx1"/>
                  </w14:solidFill>
                </w14:textFill>
              </w:rPr>
            </w:pPr>
            <w:r>
              <w:rPr>
                <w:rFonts w:hint="eastAsia"/>
                <w:color w:val="000000" w:themeColor="text1"/>
                <w:sz w:val="21"/>
                <w:lang w:bidi="ar"/>
                <w14:textFill>
                  <w14:solidFill>
                    <w14:schemeClr w14:val="tx1"/>
                  </w14:solidFill>
                </w14:textFill>
              </w:rPr>
              <w:t>符合</w:t>
            </w:r>
          </w:p>
        </w:tc>
      </w:tr>
      <w:tr w14:paraId="4ADA2E9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67" w:type="dxa"/>
            <w:tcMar>
              <w:left w:w="0" w:type="dxa"/>
              <w:right w:w="0" w:type="dxa"/>
            </w:tcMar>
            <w:vAlign w:val="center"/>
          </w:tcPr>
          <w:p w14:paraId="0B953288">
            <w:pPr>
              <w:pStyle w:val="286"/>
              <w:adjustRightInd w:val="0"/>
              <w:snapToGrid w:val="0"/>
              <w:spacing w:line="300" w:lineRule="exact"/>
              <w:rPr>
                <w:rFonts w:hint="eastAsia"/>
                <w:color w:val="000000" w:themeColor="text1"/>
                <w:sz w:val="21"/>
                <w:lang w:bidi="ar"/>
                <w14:textFill>
                  <w14:solidFill>
                    <w14:schemeClr w14:val="tx1"/>
                  </w14:solidFill>
                </w14:textFill>
              </w:rPr>
            </w:pPr>
            <w:r>
              <w:rPr>
                <w:rFonts w:hint="eastAsia"/>
                <w:color w:val="000000" w:themeColor="text1"/>
                <w:sz w:val="21"/>
                <w:lang w:bidi="ar"/>
                <w14:textFill>
                  <w14:solidFill>
                    <w14:schemeClr w14:val="tx1"/>
                  </w14:solidFill>
                </w14:textFill>
              </w:rPr>
              <w:t>3</w:t>
            </w:r>
          </w:p>
        </w:tc>
        <w:tc>
          <w:tcPr>
            <w:tcW w:w="4395" w:type="dxa"/>
            <w:tcMar>
              <w:left w:w="0" w:type="dxa"/>
              <w:right w:w="0" w:type="dxa"/>
            </w:tcMar>
            <w:vAlign w:val="center"/>
          </w:tcPr>
          <w:p w14:paraId="75C04207">
            <w:pPr>
              <w:pStyle w:val="286"/>
              <w:adjustRightInd w:val="0"/>
              <w:snapToGrid w:val="0"/>
              <w:spacing w:line="300" w:lineRule="exact"/>
              <w:rPr>
                <w:rFonts w:hint="eastAsia"/>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对伴生有</w:t>
            </w:r>
            <w:bookmarkStart w:id="171" w:name="OLE_LINK16"/>
            <w:r>
              <w:rPr>
                <w:rFonts w:hint="eastAsia"/>
                <w:color w:val="000000" w:themeColor="text1"/>
                <w:sz w:val="21"/>
                <w14:textFill>
                  <w14:solidFill>
                    <w14:schemeClr w14:val="tx1"/>
                  </w14:solidFill>
                </w14:textFill>
              </w:rPr>
              <w:t>CO</w:t>
            </w:r>
            <w:r>
              <w:rPr>
                <w:rFonts w:hint="eastAsia"/>
                <w:color w:val="000000" w:themeColor="text1"/>
                <w:sz w:val="21"/>
                <w:vertAlign w:val="subscript"/>
                <w14:textFill>
                  <w14:solidFill>
                    <w14:schemeClr w14:val="tx1"/>
                  </w14:solidFill>
                </w14:textFill>
              </w:rPr>
              <w:t>2</w:t>
            </w:r>
            <w:r>
              <w:rPr>
                <w:rFonts w:hint="eastAsia"/>
                <w:color w:val="000000" w:themeColor="text1"/>
                <w:sz w:val="21"/>
                <w14:textFill>
                  <w14:solidFill>
                    <w14:schemeClr w14:val="tx1"/>
                  </w14:solidFill>
                </w14:textFill>
              </w:rPr>
              <w:t>气体的油气藏</w:t>
            </w:r>
            <w:bookmarkEnd w:id="171"/>
            <w:r>
              <w:rPr>
                <w:rFonts w:hint="eastAsia"/>
                <w:color w:val="000000" w:themeColor="text1"/>
                <w:sz w:val="21"/>
                <w14:textFill>
                  <w14:solidFill>
                    <w14:schemeClr w14:val="tx1"/>
                  </w14:solidFill>
                </w14:textFill>
              </w:rPr>
              <w:t>，CO</w:t>
            </w:r>
            <w:r>
              <w:rPr>
                <w:rFonts w:hint="eastAsia"/>
                <w:color w:val="000000" w:themeColor="text1"/>
                <w:sz w:val="21"/>
                <w:vertAlign w:val="subscript"/>
                <w14:textFill>
                  <w14:solidFill>
                    <w14:schemeClr w14:val="tx1"/>
                  </w14:solidFill>
                </w14:textFill>
              </w:rPr>
              <w:t>2</w:t>
            </w:r>
            <w:r>
              <w:rPr>
                <w:rFonts w:hint="eastAsia"/>
                <w:color w:val="000000" w:themeColor="text1"/>
                <w:sz w:val="21"/>
                <w14:textFill>
                  <w14:solidFill>
                    <w14:schemeClr w14:val="tx1"/>
                  </w14:solidFill>
                </w14:textFill>
              </w:rPr>
              <w:t>气体含量未达到工业综合利用要求的，应采取有效处置方案，未制定CO</w:t>
            </w:r>
            <w:r>
              <w:rPr>
                <w:rFonts w:hint="eastAsia"/>
                <w:color w:val="000000" w:themeColor="text1"/>
                <w:sz w:val="21"/>
                <w:vertAlign w:val="subscript"/>
                <w14:textFill>
                  <w14:solidFill>
                    <w14:schemeClr w14:val="tx1"/>
                  </w14:solidFill>
                </w14:textFill>
              </w:rPr>
              <w:t>2</w:t>
            </w:r>
            <w:r>
              <w:rPr>
                <w:rFonts w:hint="eastAsia"/>
                <w:color w:val="000000" w:themeColor="text1"/>
                <w:sz w:val="21"/>
                <w14:textFill>
                  <w14:solidFill>
                    <w14:schemeClr w14:val="tx1"/>
                  </w14:solidFill>
                </w14:textFill>
              </w:rPr>
              <w:t>气体处置方案的油气藏不得开发。</w:t>
            </w:r>
          </w:p>
        </w:tc>
        <w:tc>
          <w:tcPr>
            <w:tcW w:w="2975" w:type="dxa"/>
            <w:tcMar>
              <w:left w:w="0" w:type="dxa"/>
              <w:right w:w="0" w:type="dxa"/>
            </w:tcMar>
            <w:vAlign w:val="center"/>
          </w:tcPr>
          <w:p w14:paraId="6BB1F057">
            <w:pPr>
              <w:pStyle w:val="286"/>
              <w:adjustRightInd w:val="0"/>
              <w:snapToGrid w:val="0"/>
              <w:spacing w:line="300" w:lineRule="exact"/>
              <w:rPr>
                <w:rFonts w:hint="eastAsia"/>
                <w:color w:val="000000" w:themeColor="text1"/>
                <w:sz w:val="21"/>
                <w:lang w:bidi="ar"/>
                <w14:textFill>
                  <w14:solidFill>
                    <w14:schemeClr w14:val="tx1"/>
                  </w14:solidFill>
                </w14:textFill>
              </w:rPr>
            </w:pPr>
            <w:r>
              <w:rPr>
                <w:rFonts w:hint="eastAsia"/>
                <w:color w:val="000000" w:themeColor="text1"/>
                <w:sz w:val="21"/>
                <w:lang w:bidi="ar"/>
                <w14:textFill>
                  <w14:solidFill>
                    <w14:schemeClr w14:val="tx1"/>
                  </w14:solidFill>
                </w14:textFill>
              </w:rPr>
              <w:t>拟开发井采用注CO</w:t>
            </w:r>
            <w:r>
              <w:rPr>
                <w:rFonts w:hint="eastAsia"/>
                <w:color w:val="000000" w:themeColor="text1"/>
                <w:sz w:val="21"/>
                <w:vertAlign w:val="subscript"/>
                <w:lang w:bidi="ar"/>
                <w14:textFill>
                  <w14:solidFill>
                    <w14:schemeClr w14:val="tx1"/>
                  </w14:solidFill>
                </w14:textFill>
              </w:rPr>
              <w:t>2</w:t>
            </w:r>
            <w:r>
              <w:rPr>
                <w:rFonts w:hint="eastAsia"/>
                <w:color w:val="000000" w:themeColor="text1"/>
                <w:sz w:val="21"/>
                <w:lang w:bidi="ar"/>
                <w14:textFill>
                  <w14:solidFill>
                    <w14:schemeClr w14:val="tx1"/>
                  </w14:solidFill>
                </w14:textFill>
              </w:rPr>
              <w:t>开采，采出的伴生气中含CO</w:t>
            </w:r>
            <w:r>
              <w:rPr>
                <w:rFonts w:hint="eastAsia"/>
                <w:color w:val="000000" w:themeColor="text1"/>
                <w:sz w:val="21"/>
                <w:vertAlign w:val="subscript"/>
                <w:lang w:bidi="ar"/>
                <w14:textFill>
                  <w14:solidFill>
                    <w14:schemeClr w14:val="tx1"/>
                  </w14:solidFill>
                </w14:textFill>
              </w:rPr>
              <w:t>2</w:t>
            </w:r>
            <w:r>
              <w:rPr>
                <w:rFonts w:hint="eastAsia"/>
                <w:color w:val="000000" w:themeColor="text1"/>
                <w:sz w:val="21"/>
                <w:lang w:bidi="ar"/>
                <w14:textFill>
                  <w14:solidFill>
                    <w14:schemeClr w14:val="tx1"/>
                  </w14:solidFill>
                </w14:textFill>
              </w:rPr>
              <w:t>，伴生气经预处理注入站内分子筛脱水装置脱水后，通过单井注气管线管输至注气井回注地层。</w:t>
            </w:r>
          </w:p>
        </w:tc>
        <w:tc>
          <w:tcPr>
            <w:tcW w:w="793" w:type="dxa"/>
            <w:tcMar>
              <w:left w:w="0" w:type="dxa"/>
              <w:right w:w="0" w:type="dxa"/>
            </w:tcMar>
            <w:vAlign w:val="center"/>
          </w:tcPr>
          <w:p w14:paraId="245E25BB">
            <w:pPr>
              <w:pStyle w:val="286"/>
              <w:adjustRightInd w:val="0"/>
              <w:snapToGrid w:val="0"/>
              <w:spacing w:line="300" w:lineRule="exact"/>
              <w:rPr>
                <w:rFonts w:hint="eastAsia"/>
                <w:color w:val="000000" w:themeColor="text1"/>
                <w:sz w:val="21"/>
                <w:lang w:bidi="ar"/>
                <w14:textFill>
                  <w14:solidFill>
                    <w14:schemeClr w14:val="tx1"/>
                  </w14:solidFill>
                </w14:textFill>
              </w:rPr>
            </w:pPr>
            <w:r>
              <w:rPr>
                <w:rFonts w:hint="eastAsia"/>
                <w:color w:val="000000" w:themeColor="text1"/>
                <w:sz w:val="21"/>
                <w:lang w:bidi="ar"/>
                <w14:textFill>
                  <w14:solidFill>
                    <w14:schemeClr w14:val="tx1"/>
                  </w14:solidFill>
                </w14:textFill>
              </w:rPr>
              <w:t>符合</w:t>
            </w:r>
          </w:p>
        </w:tc>
      </w:tr>
      <w:tr w14:paraId="3336F6F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67" w:type="dxa"/>
            <w:tcMar>
              <w:left w:w="0" w:type="dxa"/>
              <w:right w:w="0" w:type="dxa"/>
            </w:tcMar>
            <w:vAlign w:val="center"/>
          </w:tcPr>
          <w:p w14:paraId="2F3AC893">
            <w:pPr>
              <w:pStyle w:val="286"/>
              <w:adjustRightInd w:val="0"/>
              <w:snapToGrid w:val="0"/>
              <w:spacing w:line="300" w:lineRule="exact"/>
              <w:rPr>
                <w:rFonts w:hint="eastAsia"/>
                <w:color w:val="000000" w:themeColor="text1"/>
                <w:sz w:val="21"/>
                <w:lang w:bidi="ar"/>
                <w14:textFill>
                  <w14:solidFill>
                    <w14:schemeClr w14:val="tx1"/>
                  </w14:solidFill>
                </w14:textFill>
              </w:rPr>
            </w:pPr>
            <w:r>
              <w:rPr>
                <w:rFonts w:hint="eastAsia"/>
                <w:color w:val="000000" w:themeColor="text1"/>
                <w:sz w:val="21"/>
                <w:lang w:bidi="ar"/>
                <w14:textFill>
                  <w14:solidFill>
                    <w14:schemeClr w14:val="tx1"/>
                  </w14:solidFill>
                </w14:textFill>
              </w:rPr>
              <w:t>4</w:t>
            </w:r>
          </w:p>
        </w:tc>
        <w:tc>
          <w:tcPr>
            <w:tcW w:w="4395" w:type="dxa"/>
            <w:tcMar>
              <w:left w:w="0" w:type="dxa"/>
              <w:right w:w="0" w:type="dxa"/>
            </w:tcMar>
            <w:vAlign w:val="center"/>
          </w:tcPr>
          <w:p w14:paraId="7D2D8830">
            <w:pPr>
              <w:pStyle w:val="286"/>
              <w:adjustRightInd w:val="0"/>
              <w:snapToGrid w:val="0"/>
              <w:spacing w:line="300" w:lineRule="exact"/>
              <w:rPr>
                <w:rFonts w:hint="eastAsia"/>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对伴生有H</w:t>
            </w:r>
            <w:r>
              <w:rPr>
                <w:rFonts w:hint="eastAsia"/>
                <w:color w:val="000000" w:themeColor="text1"/>
                <w:sz w:val="21"/>
                <w:vertAlign w:val="subscript"/>
                <w14:textFill>
                  <w14:solidFill>
                    <w14:schemeClr w14:val="tx1"/>
                  </w14:solidFill>
                </w14:textFill>
              </w:rPr>
              <w:t>2</w:t>
            </w:r>
            <w:r>
              <w:rPr>
                <w:rFonts w:hint="eastAsia"/>
                <w:color w:val="000000" w:themeColor="text1"/>
                <w:sz w:val="21"/>
                <w14:textFill>
                  <w14:solidFill>
                    <w14:schemeClr w14:val="tx1"/>
                  </w14:solidFill>
                </w14:textFill>
              </w:rPr>
              <w:t>S气体的油气藏，</w:t>
            </w:r>
            <w:bookmarkStart w:id="172" w:name="OLE_LINK15"/>
            <w:r>
              <w:rPr>
                <w:rFonts w:hint="eastAsia"/>
                <w:color w:val="000000" w:themeColor="text1"/>
                <w:sz w:val="21"/>
                <w14:textFill>
                  <w14:solidFill>
                    <w14:schemeClr w14:val="tx1"/>
                  </w14:solidFill>
                </w14:textFill>
              </w:rPr>
              <w:t>H</w:t>
            </w:r>
            <w:r>
              <w:rPr>
                <w:rFonts w:hint="eastAsia"/>
                <w:color w:val="000000" w:themeColor="text1"/>
                <w:sz w:val="21"/>
                <w:vertAlign w:val="subscript"/>
                <w14:textFill>
                  <w14:solidFill>
                    <w14:schemeClr w14:val="tx1"/>
                  </w14:solidFill>
                </w14:textFill>
              </w:rPr>
              <w:t>2</w:t>
            </w:r>
            <w:r>
              <w:rPr>
                <w:rFonts w:hint="eastAsia"/>
                <w:color w:val="000000" w:themeColor="text1"/>
                <w:sz w:val="21"/>
                <w14:textFill>
                  <w14:solidFill>
                    <w14:schemeClr w14:val="tx1"/>
                  </w14:solidFill>
                </w14:textFill>
              </w:rPr>
              <w:t>S</w:t>
            </w:r>
            <w:bookmarkEnd w:id="172"/>
            <w:r>
              <w:rPr>
                <w:rFonts w:hint="eastAsia"/>
                <w:color w:val="000000" w:themeColor="text1"/>
                <w:sz w:val="21"/>
                <w14:textFill>
                  <w14:solidFill>
                    <w14:schemeClr w14:val="tx1"/>
                  </w14:solidFill>
                </w14:textFill>
              </w:rPr>
              <w:t>气体含量未达到工业综合利用要求的，应采取有效处置方案，未制定</w:t>
            </w:r>
            <w:r>
              <w:rPr>
                <w:color w:val="000000" w:themeColor="text1"/>
                <w14:textFill>
                  <w14:solidFill>
                    <w14:schemeClr w14:val="tx1"/>
                  </w14:solidFill>
                </w14:textFill>
              </w:rPr>
              <w:t>H</w:t>
            </w:r>
            <w:r>
              <w:rPr>
                <w:color w:val="000000" w:themeColor="text1"/>
                <w:vertAlign w:val="subscript"/>
                <w14:textFill>
                  <w14:solidFill>
                    <w14:schemeClr w14:val="tx1"/>
                  </w14:solidFill>
                </w14:textFill>
              </w:rPr>
              <w:t>2</w:t>
            </w:r>
            <w:r>
              <w:rPr>
                <w:color w:val="000000" w:themeColor="text1"/>
                <w14:textFill>
                  <w14:solidFill>
                    <w14:schemeClr w14:val="tx1"/>
                  </w14:solidFill>
                </w14:textFill>
              </w:rPr>
              <w:t>S</w:t>
            </w:r>
            <w:r>
              <w:rPr>
                <w:rFonts w:hint="eastAsia"/>
                <w:color w:val="000000" w:themeColor="text1"/>
                <w:sz w:val="21"/>
                <w14:textFill>
                  <w14:solidFill>
                    <w14:schemeClr w14:val="tx1"/>
                  </w14:solidFill>
                </w14:textFill>
              </w:rPr>
              <w:t>气体处置方案的油气藏不得开发。</w:t>
            </w:r>
          </w:p>
        </w:tc>
        <w:tc>
          <w:tcPr>
            <w:tcW w:w="2975" w:type="dxa"/>
            <w:tcMar>
              <w:left w:w="0" w:type="dxa"/>
              <w:right w:w="0" w:type="dxa"/>
            </w:tcMar>
            <w:vAlign w:val="center"/>
          </w:tcPr>
          <w:p w14:paraId="56CEA301">
            <w:pPr>
              <w:pStyle w:val="286"/>
              <w:adjustRightInd w:val="0"/>
              <w:snapToGrid w:val="0"/>
              <w:spacing w:line="300" w:lineRule="exact"/>
              <w:rPr>
                <w:rFonts w:hint="eastAsia"/>
                <w:color w:val="000000" w:themeColor="text1"/>
                <w:sz w:val="21"/>
                <w:lang w:bidi="ar"/>
                <w14:textFill>
                  <w14:solidFill>
                    <w14:schemeClr w14:val="tx1"/>
                  </w14:solidFill>
                </w14:textFill>
              </w:rPr>
            </w:pPr>
            <w:r>
              <w:rPr>
                <w:rFonts w:hint="eastAsia"/>
                <w:color w:val="000000" w:themeColor="text1"/>
                <w:sz w:val="21"/>
                <w:lang w:bidi="ar"/>
                <w14:textFill>
                  <w14:solidFill>
                    <w14:schemeClr w14:val="tx1"/>
                  </w14:solidFill>
                </w14:textFill>
              </w:rPr>
              <w:t>井场设有除硫加药装置，去除采出物中的硫化氢</w:t>
            </w:r>
          </w:p>
        </w:tc>
        <w:tc>
          <w:tcPr>
            <w:tcW w:w="793" w:type="dxa"/>
            <w:tcMar>
              <w:left w:w="0" w:type="dxa"/>
              <w:right w:w="0" w:type="dxa"/>
            </w:tcMar>
            <w:vAlign w:val="center"/>
          </w:tcPr>
          <w:p w14:paraId="50504A15">
            <w:pPr>
              <w:pStyle w:val="286"/>
              <w:adjustRightInd w:val="0"/>
              <w:snapToGrid w:val="0"/>
              <w:spacing w:line="300" w:lineRule="exact"/>
              <w:rPr>
                <w:rFonts w:hint="eastAsia"/>
                <w:color w:val="000000" w:themeColor="text1"/>
                <w:sz w:val="21"/>
                <w:lang w:bidi="ar"/>
                <w14:textFill>
                  <w14:solidFill>
                    <w14:schemeClr w14:val="tx1"/>
                  </w14:solidFill>
                </w14:textFill>
              </w:rPr>
            </w:pPr>
            <w:r>
              <w:rPr>
                <w:rFonts w:hint="eastAsia"/>
                <w:color w:val="000000" w:themeColor="text1"/>
                <w:sz w:val="21"/>
                <w:lang w:bidi="ar"/>
                <w14:textFill>
                  <w14:solidFill>
                    <w14:schemeClr w14:val="tx1"/>
                  </w14:solidFill>
                </w14:textFill>
              </w:rPr>
              <w:t>符合</w:t>
            </w:r>
          </w:p>
        </w:tc>
      </w:tr>
      <w:tr w14:paraId="76F3D33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67" w:type="dxa"/>
            <w:tcMar>
              <w:left w:w="0" w:type="dxa"/>
              <w:right w:w="0" w:type="dxa"/>
            </w:tcMar>
            <w:vAlign w:val="center"/>
          </w:tcPr>
          <w:p w14:paraId="5EAD8526">
            <w:pPr>
              <w:pStyle w:val="286"/>
              <w:adjustRightInd w:val="0"/>
              <w:snapToGrid w:val="0"/>
              <w:spacing w:line="300" w:lineRule="exact"/>
              <w:rPr>
                <w:rFonts w:hint="eastAsia"/>
                <w:color w:val="000000" w:themeColor="text1"/>
                <w:sz w:val="21"/>
                <w:lang w:bidi="ar"/>
                <w14:textFill>
                  <w14:solidFill>
                    <w14:schemeClr w14:val="tx1"/>
                  </w14:solidFill>
                </w14:textFill>
              </w:rPr>
            </w:pPr>
            <w:r>
              <w:rPr>
                <w:rFonts w:hint="eastAsia"/>
                <w:color w:val="000000" w:themeColor="text1"/>
                <w:sz w:val="21"/>
                <w:lang w:bidi="ar"/>
                <w14:textFill>
                  <w14:solidFill>
                    <w14:schemeClr w14:val="tx1"/>
                  </w14:solidFill>
                </w14:textFill>
              </w:rPr>
              <w:t>5</w:t>
            </w:r>
          </w:p>
        </w:tc>
        <w:tc>
          <w:tcPr>
            <w:tcW w:w="4395" w:type="dxa"/>
            <w:tcMar>
              <w:left w:w="0" w:type="dxa"/>
              <w:right w:w="0" w:type="dxa"/>
            </w:tcMar>
            <w:vAlign w:val="center"/>
          </w:tcPr>
          <w:p w14:paraId="41D9E2B7">
            <w:pPr>
              <w:pStyle w:val="286"/>
              <w:adjustRightInd w:val="0"/>
              <w:snapToGrid w:val="0"/>
              <w:spacing w:line="300" w:lineRule="exact"/>
              <w:rPr>
                <w:rFonts w:hint="eastAsia"/>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油气开发全过程应采取措施防止地下水污染，建立动态监测评估、处理及报告机制。</w:t>
            </w:r>
          </w:p>
        </w:tc>
        <w:tc>
          <w:tcPr>
            <w:tcW w:w="2975" w:type="dxa"/>
            <w:tcMar>
              <w:left w:w="0" w:type="dxa"/>
              <w:right w:w="0" w:type="dxa"/>
            </w:tcMar>
            <w:vAlign w:val="center"/>
          </w:tcPr>
          <w:p w14:paraId="5EDB4D23">
            <w:pPr>
              <w:pStyle w:val="286"/>
              <w:adjustRightInd w:val="0"/>
              <w:snapToGrid w:val="0"/>
              <w:spacing w:line="300" w:lineRule="exact"/>
              <w:rPr>
                <w:rFonts w:hint="eastAsia"/>
                <w:color w:val="000000" w:themeColor="text1"/>
                <w:sz w:val="21"/>
                <w:lang w:bidi="ar"/>
                <w14:textFill>
                  <w14:solidFill>
                    <w14:schemeClr w14:val="tx1"/>
                  </w14:solidFill>
                </w14:textFill>
              </w:rPr>
            </w:pPr>
            <w:r>
              <w:rPr>
                <w:rFonts w:hint="eastAsia"/>
                <w:color w:val="000000" w:themeColor="text1"/>
                <w:sz w:val="21"/>
                <w:lang w:bidi="ar"/>
                <w14:textFill>
                  <w14:solidFill>
                    <w14:schemeClr w14:val="tx1"/>
                  </w14:solidFill>
                </w14:textFill>
              </w:rPr>
              <w:t>运营期利用油区已有地下水源井落实地下水监测计划。</w:t>
            </w:r>
          </w:p>
        </w:tc>
        <w:tc>
          <w:tcPr>
            <w:tcW w:w="793" w:type="dxa"/>
            <w:tcMar>
              <w:left w:w="0" w:type="dxa"/>
              <w:right w:w="0" w:type="dxa"/>
            </w:tcMar>
            <w:vAlign w:val="center"/>
          </w:tcPr>
          <w:p w14:paraId="1E2B1C92">
            <w:pPr>
              <w:pStyle w:val="286"/>
              <w:adjustRightInd w:val="0"/>
              <w:snapToGrid w:val="0"/>
              <w:spacing w:line="300" w:lineRule="exact"/>
              <w:rPr>
                <w:rFonts w:hint="eastAsia"/>
                <w:color w:val="000000" w:themeColor="text1"/>
                <w:sz w:val="21"/>
                <w:lang w:bidi="ar"/>
                <w14:textFill>
                  <w14:solidFill>
                    <w14:schemeClr w14:val="tx1"/>
                  </w14:solidFill>
                </w14:textFill>
              </w:rPr>
            </w:pPr>
            <w:r>
              <w:rPr>
                <w:rFonts w:hint="eastAsia"/>
                <w:color w:val="000000" w:themeColor="text1"/>
                <w:sz w:val="21"/>
                <w:lang w:bidi="ar"/>
                <w14:textFill>
                  <w14:solidFill>
                    <w14:schemeClr w14:val="tx1"/>
                  </w14:solidFill>
                </w14:textFill>
              </w:rPr>
              <w:t>符合</w:t>
            </w:r>
          </w:p>
        </w:tc>
      </w:tr>
      <w:tr w14:paraId="136DEE1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67" w:type="dxa"/>
            <w:tcMar>
              <w:left w:w="0" w:type="dxa"/>
              <w:right w:w="0" w:type="dxa"/>
            </w:tcMar>
            <w:vAlign w:val="center"/>
          </w:tcPr>
          <w:p w14:paraId="02FBF94C">
            <w:pPr>
              <w:pStyle w:val="286"/>
              <w:adjustRightInd w:val="0"/>
              <w:snapToGrid w:val="0"/>
              <w:spacing w:line="300" w:lineRule="exact"/>
              <w:rPr>
                <w:rFonts w:hint="eastAsia"/>
                <w:color w:val="000000" w:themeColor="text1"/>
                <w:sz w:val="21"/>
                <w:lang w:bidi="ar"/>
                <w14:textFill>
                  <w14:solidFill>
                    <w14:schemeClr w14:val="tx1"/>
                  </w14:solidFill>
                </w14:textFill>
              </w:rPr>
            </w:pPr>
            <w:r>
              <w:rPr>
                <w:rFonts w:hint="eastAsia"/>
                <w:color w:val="000000" w:themeColor="text1"/>
                <w:sz w:val="21"/>
                <w:lang w:bidi="ar"/>
                <w14:textFill>
                  <w14:solidFill>
                    <w14:schemeClr w14:val="tx1"/>
                  </w14:solidFill>
                </w14:textFill>
              </w:rPr>
              <w:t>6</w:t>
            </w:r>
          </w:p>
        </w:tc>
        <w:tc>
          <w:tcPr>
            <w:tcW w:w="4395" w:type="dxa"/>
            <w:tcMar>
              <w:left w:w="0" w:type="dxa"/>
              <w:right w:w="0" w:type="dxa"/>
            </w:tcMar>
            <w:vAlign w:val="center"/>
          </w:tcPr>
          <w:p w14:paraId="1797912F">
            <w:pPr>
              <w:pStyle w:val="286"/>
              <w:adjustRightInd w:val="0"/>
              <w:snapToGrid w:val="0"/>
              <w:spacing w:line="300" w:lineRule="exact"/>
              <w:rPr>
                <w:rFonts w:hint="eastAsia"/>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防止油气生产、储存、转运过程中发生渗漏、泄漏，防止对矿区生态环境造成污染和破坏；应制定突发环境事件应急预案，配备相应的应急物资。</w:t>
            </w:r>
          </w:p>
        </w:tc>
        <w:tc>
          <w:tcPr>
            <w:tcW w:w="2975" w:type="dxa"/>
            <w:tcMar>
              <w:left w:w="0" w:type="dxa"/>
              <w:right w:w="0" w:type="dxa"/>
            </w:tcMar>
            <w:vAlign w:val="center"/>
          </w:tcPr>
          <w:p w14:paraId="2CA970E0">
            <w:pPr>
              <w:pStyle w:val="286"/>
              <w:adjustRightInd w:val="0"/>
              <w:snapToGrid w:val="0"/>
              <w:spacing w:line="300" w:lineRule="exact"/>
              <w:rPr>
                <w:rFonts w:hint="eastAsia"/>
                <w:color w:val="000000" w:themeColor="text1"/>
                <w:sz w:val="21"/>
                <w:lang w:bidi="ar"/>
                <w14:textFill>
                  <w14:solidFill>
                    <w14:schemeClr w14:val="tx1"/>
                  </w14:solidFill>
                </w14:textFill>
              </w:rPr>
            </w:pPr>
            <w:r>
              <w:rPr>
                <w:rFonts w:hint="eastAsia"/>
                <w:color w:val="000000" w:themeColor="text1"/>
                <w:sz w:val="21"/>
                <w14:textFill>
                  <w14:solidFill>
                    <w14:schemeClr w14:val="tx1"/>
                  </w14:solidFill>
                </w14:textFill>
              </w:rPr>
              <w:t>吉庆油田作业区</w:t>
            </w:r>
            <w:r>
              <w:rPr>
                <w:rFonts w:hint="eastAsia"/>
                <w:color w:val="000000" w:themeColor="text1"/>
                <w:sz w:val="21"/>
                <w:lang w:bidi="ar"/>
                <w14:textFill>
                  <w14:solidFill>
                    <w14:schemeClr w14:val="tx1"/>
                  </w14:solidFill>
                </w14:textFill>
              </w:rPr>
              <w:t>具备完善的应急管理体系，可依托其应急预案及应急物资。</w:t>
            </w:r>
          </w:p>
        </w:tc>
        <w:tc>
          <w:tcPr>
            <w:tcW w:w="793" w:type="dxa"/>
            <w:tcMar>
              <w:left w:w="0" w:type="dxa"/>
              <w:right w:w="0" w:type="dxa"/>
            </w:tcMar>
            <w:vAlign w:val="center"/>
          </w:tcPr>
          <w:p w14:paraId="7B5BFFB6">
            <w:pPr>
              <w:pStyle w:val="286"/>
              <w:adjustRightInd w:val="0"/>
              <w:snapToGrid w:val="0"/>
              <w:spacing w:line="300" w:lineRule="exact"/>
              <w:rPr>
                <w:rFonts w:hint="eastAsia"/>
                <w:color w:val="000000" w:themeColor="text1"/>
                <w:sz w:val="21"/>
                <w:lang w:bidi="ar"/>
                <w14:textFill>
                  <w14:solidFill>
                    <w14:schemeClr w14:val="tx1"/>
                  </w14:solidFill>
                </w14:textFill>
              </w:rPr>
            </w:pPr>
            <w:r>
              <w:rPr>
                <w:rFonts w:hint="eastAsia"/>
                <w:color w:val="000000" w:themeColor="text1"/>
                <w:sz w:val="21"/>
                <w:lang w:bidi="ar"/>
                <w14:textFill>
                  <w14:solidFill>
                    <w14:schemeClr w14:val="tx1"/>
                  </w14:solidFill>
                </w14:textFill>
              </w:rPr>
              <w:t>符合</w:t>
            </w:r>
          </w:p>
        </w:tc>
      </w:tr>
      <w:tr w14:paraId="75F2730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67" w:type="dxa"/>
            <w:tcMar>
              <w:left w:w="0" w:type="dxa"/>
              <w:right w:w="0" w:type="dxa"/>
            </w:tcMar>
            <w:vAlign w:val="center"/>
          </w:tcPr>
          <w:p w14:paraId="7B54B841">
            <w:pPr>
              <w:pStyle w:val="286"/>
              <w:adjustRightInd w:val="0"/>
              <w:snapToGrid w:val="0"/>
              <w:spacing w:line="300" w:lineRule="exact"/>
              <w:rPr>
                <w:rFonts w:hint="eastAsia"/>
                <w:color w:val="000000" w:themeColor="text1"/>
                <w:sz w:val="21"/>
                <w:lang w:bidi="ar"/>
                <w14:textFill>
                  <w14:solidFill>
                    <w14:schemeClr w14:val="tx1"/>
                  </w14:solidFill>
                </w14:textFill>
              </w:rPr>
            </w:pPr>
            <w:r>
              <w:rPr>
                <w:rFonts w:hint="eastAsia"/>
                <w:color w:val="000000" w:themeColor="text1"/>
                <w:sz w:val="21"/>
                <w:lang w:bidi="ar"/>
                <w14:textFill>
                  <w14:solidFill>
                    <w14:schemeClr w14:val="tx1"/>
                  </w14:solidFill>
                </w14:textFill>
              </w:rPr>
              <w:t>7</w:t>
            </w:r>
          </w:p>
        </w:tc>
        <w:tc>
          <w:tcPr>
            <w:tcW w:w="4395" w:type="dxa"/>
            <w:tcMar>
              <w:left w:w="0" w:type="dxa"/>
              <w:right w:w="0" w:type="dxa"/>
            </w:tcMar>
            <w:vAlign w:val="center"/>
          </w:tcPr>
          <w:p w14:paraId="7C2DA120">
            <w:pPr>
              <w:pStyle w:val="286"/>
              <w:adjustRightInd w:val="0"/>
              <w:snapToGrid w:val="0"/>
              <w:spacing w:line="300" w:lineRule="exact"/>
              <w:rPr>
                <w:rFonts w:hint="eastAsia"/>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按照减量化、资源化、再利用的原则，综合开发利用油气藏共伴生资源，综合利用固体废弃物、废水等，发展循环经济；气田伴生资源综合利用：与甲烷气伴生的凝析油综合利用率不低于90%；油气生产过程中产生的废液、废气、固体废物应建档分类管理，并清洁化、无害化处置，处置率应达到100%；油气生产过程中的采出水应清洁处理后循环利用；不能循环利用的，应达标排放、回注或采取其他有效利用方式；油气开采过程中产生的落地原油，应及时全部回收。</w:t>
            </w:r>
          </w:p>
        </w:tc>
        <w:tc>
          <w:tcPr>
            <w:tcW w:w="2975" w:type="dxa"/>
            <w:tcMar>
              <w:left w:w="0" w:type="dxa"/>
              <w:right w:w="0" w:type="dxa"/>
            </w:tcMar>
            <w:vAlign w:val="center"/>
          </w:tcPr>
          <w:p w14:paraId="7D8B5137">
            <w:pPr>
              <w:pStyle w:val="286"/>
              <w:adjustRightInd w:val="0"/>
              <w:snapToGrid w:val="0"/>
              <w:spacing w:line="300" w:lineRule="exact"/>
              <w:rPr>
                <w:rFonts w:hint="eastAsia"/>
                <w:color w:val="000000" w:themeColor="text1"/>
                <w:sz w:val="21"/>
                <w:lang w:bidi="ar"/>
                <w14:textFill>
                  <w14:solidFill>
                    <w14:schemeClr w14:val="tx1"/>
                  </w14:solidFill>
                </w14:textFill>
              </w:rPr>
            </w:pPr>
            <w:r>
              <w:rPr>
                <w:rFonts w:hint="eastAsia"/>
                <w:color w:val="000000" w:themeColor="text1"/>
                <w:sz w:val="21"/>
                <w:lang w:bidi="ar"/>
                <w14:textFill>
                  <w14:solidFill>
                    <w14:schemeClr w14:val="tx1"/>
                  </w14:solidFill>
                </w14:textFill>
              </w:rPr>
              <w:t>井下作业时产生的洗井废水和井下作业废液送至压裂液返排装置处理，出水水质达标后用于压裂液复配。危险废物主要为废润滑油、废油桶、废分子筛、沾油废防渗材料和废含油抹布、劳保用品，分类收集，集中收集后交由有相应资质的单位处置。</w:t>
            </w:r>
          </w:p>
        </w:tc>
        <w:tc>
          <w:tcPr>
            <w:tcW w:w="793" w:type="dxa"/>
            <w:tcMar>
              <w:left w:w="0" w:type="dxa"/>
              <w:right w:w="0" w:type="dxa"/>
            </w:tcMar>
            <w:vAlign w:val="center"/>
          </w:tcPr>
          <w:p w14:paraId="64B7B047">
            <w:pPr>
              <w:pStyle w:val="286"/>
              <w:adjustRightInd w:val="0"/>
              <w:snapToGrid w:val="0"/>
              <w:spacing w:line="300" w:lineRule="exact"/>
              <w:rPr>
                <w:rFonts w:hint="eastAsia"/>
                <w:color w:val="000000" w:themeColor="text1"/>
                <w:sz w:val="21"/>
                <w:lang w:bidi="ar"/>
                <w14:textFill>
                  <w14:solidFill>
                    <w14:schemeClr w14:val="tx1"/>
                  </w14:solidFill>
                </w14:textFill>
              </w:rPr>
            </w:pPr>
            <w:r>
              <w:rPr>
                <w:rFonts w:hint="eastAsia"/>
                <w:color w:val="000000" w:themeColor="text1"/>
                <w:sz w:val="21"/>
                <w:lang w:bidi="ar"/>
                <w14:textFill>
                  <w14:solidFill>
                    <w14:schemeClr w14:val="tx1"/>
                  </w14:solidFill>
                </w14:textFill>
              </w:rPr>
              <w:t>符合</w:t>
            </w:r>
          </w:p>
        </w:tc>
      </w:tr>
      <w:tr w14:paraId="0F0C47B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67" w:type="dxa"/>
            <w:tcMar>
              <w:left w:w="0" w:type="dxa"/>
              <w:right w:w="0" w:type="dxa"/>
            </w:tcMar>
            <w:vAlign w:val="center"/>
          </w:tcPr>
          <w:p w14:paraId="7133A836">
            <w:pPr>
              <w:pStyle w:val="286"/>
              <w:adjustRightInd w:val="0"/>
              <w:snapToGrid w:val="0"/>
              <w:spacing w:line="300" w:lineRule="exact"/>
              <w:rPr>
                <w:rFonts w:hint="eastAsia"/>
                <w:color w:val="000000" w:themeColor="text1"/>
                <w:sz w:val="21"/>
                <w:lang w:bidi="ar"/>
                <w14:textFill>
                  <w14:solidFill>
                    <w14:schemeClr w14:val="tx1"/>
                  </w14:solidFill>
                </w14:textFill>
              </w:rPr>
            </w:pPr>
            <w:r>
              <w:rPr>
                <w:rFonts w:hint="eastAsia"/>
                <w:color w:val="000000" w:themeColor="text1"/>
                <w:sz w:val="21"/>
                <w:lang w:bidi="ar"/>
                <w14:textFill>
                  <w14:solidFill>
                    <w14:schemeClr w14:val="tx1"/>
                  </w14:solidFill>
                </w14:textFill>
              </w:rPr>
              <w:t>8</w:t>
            </w:r>
          </w:p>
        </w:tc>
        <w:tc>
          <w:tcPr>
            <w:tcW w:w="4395" w:type="dxa"/>
            <w:tcMar>
              <w:left w:w="0" w:type="dxa"/>
              <w:right w:w="0" w:type="dxa"/>
            </w:tcMar>
            <w:vAlign w:val="center"/>
          </w:tcPr>
          <w:p w14:paraId="65C90358">
            <w:pPr>
              <w:pStyle w:val="286"/>
              <w:adjustRightInd w:val="0"/>
              <w:snapToGrid w:val="0"/>
              <w:spacing w:line="300" w:lineRule="exact"/>
              <w:rPr>
                <w:rFonts w:hint="eastAsia"/>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建立油气田生产全过程能耗核算体系，通过采取节能减排措施，控制并减少单位产品能耗、物耗、水耗，减少</w:t>
            </w:r>
            <w:r>
              <w:rPr>
                <w:color w:val="000000" w:themeColor="text1"/>
                <w:sz w:val="21"/>
                <w14:textFill>
                  <w14:solidFill>
                    <w14:schemeClr w14:val="tx1"/>
                  </w14:solidFill>
                </w14:textFill>
              </w:rPr>
              <w:t>“</w:t>
            </w:r>
            <w:r>
              <w:rPr>
                <w:rFonts w:hint="eastAsia"/>
                <w:color w:val="000000" w:themeColor="text1"/>
                <w:sz w:val="21"/>
                <w14:textFill>
                  <w14:solidFill>
                    <w14:schemeClr w14:val="tx1"/>
                  </w14:solidFill>
                </w14:textFill>
              </w:rPr>
              <w:t>三废</w:t>
            </w:r>
            <w:r>
              <w:rPr>
                <w:color w:val="000000" w:themeColor="text1"/>
                <w:sz w:val="21"/>
                <w14:textFill>
                  <w14:solidFill>
                    <w14:schemeClr w14:val="tx1"/>
                  </w14:solidFill>
                </w14:textFill>
              </w:rPr>
              <w:t>”</w:t>
            </w:r>
            <w:r>
              <w:rPr>
                <w:rFonts w:hint="eastAsia"/>
                <w:color w:val="000000" w:themeColor="text1"/>
                <w:sz w:val="21"/>
                <w14:textFill>
                  <w14:solidFill>
                    <w14:schemeClr w14:val="tx1"/>
                  </w14:solidFill>
                </w14:textFill>
              </w:rPr>
              <w:t>排放；生产主要环节应选用高效节能的新技术、新工艺、新设备和新材料，及时淘汰高能耗、高污染、低效率的工艺和装备。</w:t>
            </w:r>
          </w:p>
        </w:tc>
        <w:tc>
          <w:tcPr>
            <w:tcW w:w="2975" w:type="dxa"/>
            <w:tcMar>
              <w:left w:w="0" w:type="dxa"/>
              <w:right w:w="0" w:type="dxa"/>
            </w:tcMar>
            <w:vAlign w:val="center"/>
          </w:tcPr>
          <w:p w14:paraId="6B923E2D">
            <w:pPr>
              <w:pStyle w:val="286"/>
              <w:adjustRightInd w:val="0"/>
              <w:snapToGrid w:val="0"/>
              <w:spacing w:line="300" w:lineRule="exact"/>
              <w:rPr>
                <w:rFonts w:hint="eastAsia"/>
                <w:color w:val="000000" w:themeColor="text1"/>
                <w:sz w:val="21"/>
                <w:lang w:bidi="ar"/>
                <w14:textFill>
                  <w14:solidFill>
                    <w14:schemeClr w14:val="tx1"/>
                  </w14:solidFill>
                </w14:textFill>
              </w:rPr>
            </w:pPr>
            <w:r>
              <w:rPr>
                <w:rFonts w:hint="eastAsia"/>
                <w:color w:val="000000" w:themeColor="text1"/>
                <w:sz w:val="21"/>
                <w:lang w:bidi="ar"/>
                <w14:textFill>
                  <w14:solidFill>
                    <w14:schemeClr w14:val="tx1"/>
                  </w14:solidFill>
                </w14:textFill>
              </w:rPr>
              <w:t>吉庆油田作业区按要求开展了清洁生产审核与验收工作，针对节能降耗、新工艺、新设备等的环保效果进行严格把控，确保清洁生产水平保持先进。</w:t>
            </w:r>
          </w:p>
        </w:tc>
        <w:tc>
          <w:tcPr>
            <w:tcW w:w="793" w:type="dxa"/>
            <w:tcMar>
              <w:left w:w="0" w:type="dxa"/>
              <w:right w:w="0" w:type="dxa"/>
            </w:tcMar>
            <w:vAlign w:val="center"/>
          </w:tcPr>
          <w:p w14:paraId="6468442C">
            <w:pPr>
              <w:pStyle w:val="286"/>
              <w:adjustRightInd w:val="0"/>
              <w:snapToGrid w:val="0"/>
              <w:spacing w:line="300" w:lineRule="exact"/>
              <w:rPr>
                <w:rFonts w:hint="eastAsia"/>
                <w:color w:val="000000" w:themeColor="text1"/>
                <w:sz w:val="21"/>
                <w:lang w:bidi="ar"/>
                <w14:textFill>
                  <w14:solidFill>
                    <w14:schemeClr w14:val="tx1"/>
                  </w14:solidFill>
                </w14:textFill>
              </w:rPr>
            </w:pPr>
            <w:r>
              <w:rPr>
                <w:rFonts w:hint="eastAsia"/>
                <w:color w:val="000000" w:themeColor="text1"/>
                <w:sz w:val="21"/>
                <w:lang w:bidi="ar"/>
                <w14:textFill>
                  <w14:solidFill>
                    <w14:schemeClr w14:val="tx1"/>
                  </w14:solidFill>
                </w14:textFill>
              </w:rPr>
              <w:t>符合</w:t>
            </w:r>
          </w:p>
        </w:tc>
      </w:tr>
    </w:tbl>
    <w:p w14:paraId="652726DE">
      <w:pPr>
        <w:pStyle w:val="117"/>
        <w:ind w:firstLine="480"/>
        <w:rPr>
          <w:rFonts w:hint="eastAsia"/>
          <w:color w:val="000000" w:themeColor="text1"/>
          <w14:textFill>
            <w14:solidFill>
              <w14:schemeClr w14:val="tx1"/>
            </w14:solidFill>
          </w14:textFill>
        </w:rPr>
      </w:pPr>
      <w:bookmarkStart w:id="173" w:name="_Hlk80611172"/>
      <w:r>
        <w:rPr>
          <w:rFonts w:hint="eastAsia"/>
          <w:color w:val="000000" w:themeColor="text1"/>
          <w14:textFill>
            <w14:solidFill>
              <w14:schemeClr w14:val="tx1"/>
            </w14:solidFill>
          </w14:textFill>
        </w:rPr>
        <w:t>（3）与《关于进一步加强石油天然气行业环境影响评价管理的通知》的相符性分析</w:t>
      </w:r>
    </w:p>
    <w:p w14:paraId="2A0AFD20">
      <w:pPr>
        <w:pStyle w:val="117"/>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本项目的建设</w:t>
      </w:r>
      <w:bookmarkStart w:id="174" w:name="_Hlk80042711"/>
      <w:r>
        <w:rPr>
          <w:rFonts w:hint="eastAsia"/>
          <w:color w:val="000000" w:themeColor="text1"/>
          <w14:textFill>
            <w14:solidFill>
              <w14:schemeClr w14:val="tx1"/>
            </w14:solidFill>
          </w14:textFill>
        </w:rPr>
        <w:t>符合</w:t>
      </w:r>
      <w:bookmarkStart w:id="175" w:name="_Hlk80047852"/>
      <w:r>
        <w:rPr>
          <w:rFonts w:hint="eastAsia"/>
          <w:color w:val="000000" w:themeColor="text1"/>
          <w14:textFill>
            <w14:solidFill>
              <w14:schemeClr w14:val="tx1"/>
            </w14:solidFill>
          </w14:textFill>
        </w:rPr>
        <w:t>《关于进一步加强石油天然气行业环境影响评价管理的通知》</w:t>
      </w:r>
      <w:bookmarkEnd w:id="174"/>
      <w:bookmarkEnd w:id="175"/>
      <w:r>
        <w:rPr>
          <w:rFonts w:hint="eastAsia"/>
          <w:color w:val="000000" w:themeColor="text1"/>
          <w14:textFill>
            <w14:solidFill>
              <w14:schemeClr w14:val="tx1"/>
            </w14:solidFill>
          </w14:textFill>
        </w:rPr>
        <w:t>中的相关要求，具体见表</w:t>
      </w:r>
      <w:r>
        <w:rPr>
          <w:color w:val="000000" w:themeColor="text1"/>
          <w14:textFill>
            <w14:solidFill>
              <w14:schemeClr w14:val="tx1"/>
            </w14:solidFill>
          </w14:textFill>
        </w:rPr>
        <w:t>2.9</w:t>
      </w:r>
      <w:r>
        <w:rPr>
          <w:rFonts w:hint="eastAsia"/>
          <w:color w:val="000000" w:themeColor="text1"/>
          <w14:textFill>
            <w14:solidFill>
              <w14:schemeClr w14:val="tx1"/>
            </w14:solidFill>
          </w14:textFill>
        </w:rPr>
        <w:t>-6。</w:t>
      </w:r>
    </w:p>
    <w:p w14:paraId="029D6C60">
      <w:pPr>
        <w:pStyle w:val="15"/>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表2</w:t>
      </w:r>
      <w:r>
        <w:rPr>
          <w:color w:val="000000" w:themeColor="text1"/>
          <w14:textFill>
            <w14:solidFill>
              <w14:schemeClr w14:val="tx1"/>
            </w14:solidFill>
          </w14:textFill>
        </w:rPr>
        <w:t>.9</w:t>
      </w:r>
      <w:r>
        <w:rPr>
          <w:rFonts w:hint="eastAsia"/>
          <w:color w:val="000000" w:themeColor="text1"/>
          <w14:textFill>
            <w14:solidFill>
              <w14:schemeClr w14:val="tx1"/>
            </w14:solidFill>
          </w14:textFill>
        </w:rPr>
        <w:t>-6</w:t>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与</w:t>
      </w:r>
      <w:bookmarkStart w:id="176" w:name="_Hlk80467751"/>
      <w:r>
        <w:rPr>
          <w:rFonts w:hint="eastAsia"/>
          <w:color w:val="000000" w:themeColor="text1"/>
          <w14:textFill>
            <w14:solidFill>
              <w14:schemeClr w14:val="tx1"/>
            </w14:solidFill>
          </w14:textFill>
        </w:rPr>
        <w:t>《关于进一步加强石油天然气行业环境影响评价管理的通知》</w:t>
      </w:r>
      <w:bookmarkEnd w:id="176"/>
      <w:r>
        <w:rPr>
          <w:rFonts w:hint="eastAsia"/>
          <w:color w:val="000000" w:themeColor="text1"/>
          <w14:textFill>
            <w14:solidFill>
              <w14:schemeClr w14:val="tx1"/>
            </w14:solidFill>
          </w14:textFill>
        </w:rPr>
        <w:t>的符合性分析</w:t>
      </w:r>
    </w:p>
    <w:tbl>
      <w:tblPr>
        <w:tblStyle w:val="51"/>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84"/>
        <w:gridCol w:w="4678"/>
        <w:gridCol w:w="2951"/>
        <w:gridCol w:w="817"/>
      </w:tblGrid>
      <w:tr w14:paraId="7EB89A0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284" w:type="dxa"/>
            <w:tcMar>
              <w:left w:w="0" w:type="dxa"/>
              <w:right w:w="0" w:type="dxa"/>
            </w:tcMar>
            <w:vAlign w:val="center"/>
          </w:tcPr>
          <w:p w14:paraId="6C5357BE">
            <w:pPr>
              <w:adjustRightInd w:val="0"/>
              <w:snapToGrid w:val="0"/>
              <w:spacing w:line="300" w:lineRule="exact"/>
              <w:jc w:val="center"/>
              <w:rPr>
                <w:rFonts w:hint="eastAsia"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lang w:bidi="ar"/>
                <w14:textFill>
                  <w14:solidFill>
                    <w14:schemeClr w14:val="tx1"/>
                  </w14:solidFill>
                </w14:textFill>
              </w:rPr>
              <w:t>序号</w:t>
            </w:r>
          </w:p>
        </w:tc>
        <w:tc>
          <w:tcPr>
            <w:tcW w:w="4678" w:type="dxa"/>
            <w:tcMar>
              <w:left w:w="0" w:type="dxa"/>
              <w:right w:w="0" w:type="dxa"/>
            </w:tcMar>
            <w:vAlign w:val="center"/>
          </w:tcPr>
          <w:p w14:paraId="545A0F0F">
            <w:pPr>
              <w:adjustRightInd w:val="0"/>
              <w:snapToGrid w:val="0"/>
              <w:spacing w:line="300" w:lineRule="exact"/>
              <w:jc w:val="center"/>
              <w:rPr>
                <w:rFonts w:hint="eastAsia"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lang w:bidi="ar"/>
                <w14:textFill>
                  <w14:solidFill>
                    <w14:schemeClr w14:val="tx1"/>
                  </w14:solidFill>
                </w14:textFill>
              </w:rPr>
              <w:t>《</w:t>
            </w:r>
            <w:r>
              <w:rPr>
                <w:rFonts w:hint="eastAsia" w:ascii="宋体" w:hAnsi="宋体"/>
                <w:bCs/>
                <w:color w:val="000000" w:themeColor="text1"/>
                <w:kern w:val="0"/>
                <w:szCs w:val="21"/>
                <w:lang w:bidi="ar"/>
                <w14:textFill>
                  <w14:solidFill>
                    <w14:schemeClr w14:val="tx1"/>
                  </w14:solidFill>
                </w14:textFill>
              </w:rPr>
              <w:t>关于进一步加强石油天然气行业环境影响评价管理的通知</w:t>
            </w:r>
            <w:r>
              <w:rPr>
                <w:rFonts w:hint="eastAsia" w:ascii="宋体" w:hAnsi="宋体"/>
                <w:color w:val="000000" w:themeColor="text1"/>
                <w:kern w:val="0"/>
                <w:szCs w:val="21"/>
                <w:lang w:bidi="ar"/>
                <w14:textFill>
                  <w14:solidFill>
                    <w14:schemeClr w14:val="tx1"/>
                  </w14:solidFill>
                </w14:textFill>
              </w:rPr>
              <w:t>》中相关规定</w:t>
            </w:r>
          </w:p>
        </w:tc>
        <w:tc>
          <w:tcPr>
            <w:tcW w:w="2951" w:type="dxa"/>
            <w:tcMar>
              <w:left w:w="0" w:type="dxa"/>
              <w:right w:w="0" w:type="dxa"/>
            </w:tcMar>
            <w:vAlign w:val="center"/>
          </w:tcPr>
          <w:p w14:paraId="1E0086BF">
            <w:pPr>
              <w:adjustRightInd w:val="0"/>
              <w:snapToGrid w:val="0"/>
              <w:spacing w:line="300" w:lineRule="exact"/>
              <w:jc w:val="center"/>
              <w:rPr>
                <w:rFonts w:hint="eastAsia"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lang w:bidi="ar"/>
                <w14:textFill>
                  <w14:solidFill>
                    <w14:schemeClr w14:val="tx1"/>
                  </w14:solidFill>
                </w14:textFill>
              </w:rPr>
              <w:t>本项目采取的相关措施</w:t>
            </w:r>
          </w:p>
        </w:tc>
        <w:tc>
          <w:tcPr>
            <w:tcW w:w="817" w:type="dxa"/>
            <w:tcMar>
              <w:left w:w="0" w:type="dxa"/>
              <w:right w:w="0" w:type="dxa"/>
            </w:tcMar>
            <w:vAlign w:val="center"/>
          </w:tcPr>
          <w:p w14:paraId="153E0E21">
            <w:pPr>
              <w:adjustRightInd w:val="0"/>
              <w:snapToGrid w:val="0"/>
              <w:spacing w:line="300" w:lineRule="exact"/>
              <w:jc w:val="center"/>
              <w:rPr>
                <w:rFonts w:hint="eastAsia" w:ascii="宋体" w:hAnsi="宋体"/>
                <w:color w:val="000000" w:themeColor="text1"/>
                <w:kern w:val="0"/>
                <w:szCs w:val="21"/>
                <w:lang w:bidi="ar"/>
                <w14:textFill>
                  <w14:solidFill>
                    <w14:schemeClr w14:val="tx1"/>
                  </w14:solidFill>
                </w14:textFill>
              </w:rPr>
            </w:pPr>
            <w:r>
              <w:rPr>
                <w:rFonts w:hint="eastAsia" w:ascii="宋体" w:hAnsi="宋体"/>
                <w:color w:val="000000" w:themeColor="text1"/>
                <w:kern w:val="0"/>
                <w:szCs w:val="21"/>
                <w:lang w:bidi="ar"/>
                <w14:textFill>
                  <w14:solidFill>
                    <w14:schemeClr w14:val="tx1"/>
                  </w14:solidFill>
                </w14:textFill>
              </w:rPr>
              <w:t>相符性</w:t>
            </w:r>
          </w:p>
          <w:p w14:paraId="08B0B912">
            <w:pPr>
              <w:adjustRightInd w:val="0"/>
              <w:snapToGrid w:val="0"/>
              <w:spacing w:line="300" w:lineRule="exact"/>
              <w:jc w:val="center"/>
              <w:rPr>
                <w:rFonts w:hint="eastAsia"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lang w:bidi="ar"/>
                <w14:textFill>
                  <w14:solidFill>
                    <w14:schemeClr w14:val="tx1"/>
                  </w14:solidFill>
                </w14:textFill>
              </w:rPr>
              <w:t>分析</w:t>
            </w:r>
          </w:p>
        </w:tc>
      </w:tr>
      <w:tr w14:paraId="76ED522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84" w:type="dxa"/>
            <w:tcMar>
              <w:left w:w="0" w:type="dxa"/>
              <w:right w:w="0" w:type="dxa"/>
            </w:tcMar>
            <w:vAlign w:val="center"/>
          </w:tcPr>
          <w:p w14:paraId="0AFA5BCF">
            <w:pPr>
              <w:adjustRightInd w:val="0"/>
              <w:snapToGrid w:val="0"/>
              <w:spacing w:line="300" w:lineRule="exact"/>
              <w:jc w:val="center"/>
              <w:rPr>
                <w:rFonts w:hint="eastAsia" w:ascii="宋体" w:hAnsi="宋体"/>
                <w:bCs/>
                <w:color w:val="000000" w:themeColor="text1"/>
                <w:kern w:val="0"/>
                <w:szCs w:val="21"/>
                <w:lang w:bidi="ar"/>
                <w14:textFill>
                  <w14:solidFill>
                    <w14:schemeClr w14:val="tx1"/>
                  </w14:solidFill>
                </w14:textFill>
              </w:rPr>
            </w:pPr>
            <w:r>
              <w:rPr>
                <w:rFonts w:hint="eastAsia" w:ascii="宋体" w:hAnsi="宋体"/>
                <w:bCs/>
                <w:color w:val="000000" w:themeColor="text1"/>
                <w:kern w:val="0"/>
                <w:szCs w:val="21"/>
                <w:lang w:bidi="ar"/>
                <w14:textFill>
                  <w14:solidFill>
                    <w14:schemeClr w14:val="tx1"/>
                  </w14:solidFill>
                </w14:textFill>
              </w:rPr>
              <w:t>1</w:t>
            </w:r>
          </w:p>
        </w:tc>
        <w:tc>
          <w:tcPr>
            <w:tcW w:w="4678" w:type="dxa"/>
            <w:tcMar>
              <w:left w:w="0" w:type="dxa"/>
              <w:right w:w="0" w:type="dxa"/>
            </w:tcMar>
            <w:vAlign w:val="center"/>
          </w:tcPr>
          <w:p w14:paraId="41A0D683">
            <w:pPr>
              <w:adjustRightInd w:val="0"/>
              <w:snapToGrid w:val="0"/>
              <w:spacing w:line="300" w:lineRule="exact"/>
              <w:jc w:val="center"/>
              <w:rPr>
                <w:rFonts w:hint="eastAsia" w:ascii="宋体" w:hAnsi="宋体"/>
                <w:bCs/>
                <w:color w:val="000000" w:themeColor="text1"/>
                <w:kern w:val="0"/>
                <w:szCs w:val="21"/>
                <w:lang w:bidi="ar"/>
                <w14:textFill>
                  <w14:solidFill>
                    <w14:schemeClr w14:val="tx1"/>
                  </w14:solidFill>
                </w14:textFill>
              </w:rPr>
            </w:pPr>
            <w:r>
              <w:rPr>
                <w:rFonts w:hint="eastAsia" w:ascii="宋体" w:hAnsi="宋体"/>
                <w:bCs/>
                <w:color w:val="000000" w:themeColor="text1"/>
                <w:kern w:val="0"/>
                <w:szCs w:val="21"/>
                <w:lang w:bidi="ar"/>
                <w14:textFill>
                  <w14:solidFill>
                    <w14:schemeClr w14:val="tx1"/>
                  </w14:solidFill>
                </w14:textFill>
              </w:rPr>
              <w:t>油气企业在编制内部相关油气开发专项规划时，鼓励同步编制规划环境影响报告书，重点就规划实施的累积性、长期性环境影响进行分析，提出预防和减轻不良环境影响的对策措施，自行组织专家论证，相关成果向省级生态环境主管部门通报</w:t>
            </w:r>
          </w:p>
        </w:tc>
        <w:tc>
          <w:tcPr>
            <w:tcW w:w="2951" w:type="dxa"/>
            <w:tcMar>
              <w:left w:w="0" w:type="dxa"/>
              <w:right w:w="0" w:type="dxa"/>
            </w:tcMar>
            <w:vAlign w:val="center"/>
          </w:tcPr>
          <w:p w14:paraId="52522FEA">
            <w:pPr>
              <w:adjustRightInd w:val="0"/>
              <w:snapToGrid w:val="0"/>
              <w:spacing w:line="300" w:lineRule="exact"/>
              <w:jc w:val="center"/>
              <w:rPr>
                <w:rFonts w:hint="eastAsia" w:ascii="宋体" w:hAnsi="宋体"/>
                <w:color w:val="000000" w:themeColor="text1"/>
                <w:kern w:val="0"/>
                <w:szCs w:val="21"/>
                <w:lang w:bidi="ar"/>
                <w14:textFill>
                  <w14:solidFill>
                    <w14:schemeClr w14:val="tx1"/>
                  </w14:solidFill>
                </w14:textFill>
              </w:rPr>
            </w:pPr>
            <w:r>
              <w:rPr>
                <w:rFonts w:hint="eastAsia" w:ascii="宋体" w:hAnsi="宋体"/>
                <w:color w:val="000000" w:themeColor="text1"/>
                <w:kern w:val="0"/>
                <w:szCs w:val="21"/>
                <w:lang w:bidi="ar"/>
                <w14:textFill>
                  <w14:solidFill>
                    <w14:schemeClr w14:val="tx1"/>
                  </w14:solidFill>
                </w14:textFill>
              </w:rPr>
              <w:t>中国石油新疆油田分公司编制了《新疆油田公司“十四五”发展规划》和《新疆油田公司“十四五”发展规划环境影响报告书》，规划环境影响报告书已取得自治区生态环境厅审查意见（新环函〔2</w:t>
            </w:r>
            <w:r>
              <w:rPr>
                <w:rFonts w:ascii="宋体" w:hAnsi="宋体"/>
                <w:color w:val="000000" w:themeColor="text1"/>
                <w:kern w:val="0"/>
                <w:szCs w:val="21"/>
                <w:lang w:bidi="ar"/>
                <w14:textFill>
                  <w14:solidFill>
                    <w14:schemeClr w14:val="tx1"/>
                  </w14:solidFill>
                </w14:textFill>
              </w:rPr>
              <w:t>022</w:t>
            </w:r>
            <w:r>
              <w:rPr>
                <w:rFonts w:hint="eastAsia" w:ascii="宋体" w:hAnsi="宋体"/>
                <w:color w:val="000000" w:themeColor="text1"/>
                <w:kern w:val="0"/>
                <w:szCs w:val="21"/>
                <w:lang w:bidi="ar"/>
                <w14:textFill>
                  <w14:solidFill>
                    <w14:schemeClr w14:val="tx1"/>
                  </w14:solidFill>
                </w14:textFill>
              </w:rPr>
              <w:t>〕2</w:t>
            </w:r>
            <w:r>
              <w:rPr>
                <w:rFonts w:ascii="宋体" w:hAnsi="宋体"/>
                <w:color w:val="000000" w:themeColor="text1"/>
                <w:kern w:val="0"/>
                <w:szCs w:val="21"/>
                <w:lang w:bidi="ar"/>
                <w14:textFill>
                  <w14:solidFill>
                    <w14:schemeClr w14:val="tx1"/>
                  </w14:solidFill>
                </w14:textFill>
              </w:rPr>
              <w:t>52</w:t>
            </w:r>
            <w:r>
              <w:rPr>
                <w:rFonts w:hint="eastAsia" w:ascii="宋体" w:hAnsi="宋体"/>
                <w:color w:val="000000" w:themeColor="text1"/>
                <w:kern w:val="0"/>
                <w:szCs w:val="21"/>
                <w:lang w:bidi="ar"/>
                <w14:textFill>
                  <w14:solidFill>
                    <w14:schemeClr w14:val="tx1"/>
                  </w14:solidFill>
                </w14:textFill>
              </w:rPr>
              <w:t>号）。</w:t>
            </w:r>
          </w:p>
        </w:tc>
        <w:tc>
          <w:tcPr>
            <w:tcW w:w="817" w:type="dxa"/>
            <w:tcMar>
              <w:left w:w="0" w:type="dxa"/>
              <w:right w:w="0" w:type="dxa"/>
            </w:tcMar>
            <w:vAlign w:val="center"/>
          </w:tcPr>
          <w:p w14:paraId="3604F30F">
            <w:pPr>
              <w:adjustRightInd w:val="0"/>
              <w:snapToGrid w:val="0"/>
              <w:spacing w:line="300" w:lineRule="exact"/>
              <w:jc w:val="center"/>
              <w:rPr>
                <w:rFonts w:hint="eastAsia" w:ascii="宋体" w:hAnsi="宋体"/>
                <w:color w:val="000000" w:themeColor="text1"/>
                <w:kern w:val="0"/>
                <w:szCs w:val="21"/>
                <w:lang w:bidi="ar"/>
                <w14:textFill>
                  <w14:solidFill>
                    <w14:schemeClr w14:val="tx1"/>
                  </w14:solidFill>
                </w14:textFill>
              </w:rPr>
            </w:pPr>
            <w:r>
              <w:rPr>
                <w:rFonts w:hint="eastAsia" w:ascii="宋体" w:hAnsi="宋体"/>
                <w:color w:val="000000" w:themeColor="text1"/>
                <w:kern w:val="0"/>
                <w:szCs w:val="21"/>
                <w:lang w:bidi="ar"/>
                <w14:textFill>
                  <w14:solidFill>
                    <w14:schemeClr w14:val="tx1"/>
                  </w14:solidFill>
                </w14:textFill>
              </w:rPr>
              <w:t>符合</w:t>
            </w:r>
          </w:p>
        </w:tc>
      </w:tr>
      <w:tr w14:paraId="15ED5C6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84" w:type="dxa"/>
            <w:tcMar>
              <w:left w:w="0" w:type="dxa"/>
              <w:right w:w="0" w:type="dxa"/>
            </w:tcMar>
            <w:vAlign w:val="center"/>
          </w:tcPr>
          <w:p w14:paraId="09748100">
            <w:pPr>
              <w:adjustRightInd w:val="0"/>
              <w:snapToGrid w:val="0"/>
              <w:spacing w:line="300" w:lineRule="exact"/>
              <w:jc w:val="center"/>
              <w:rPr>
                <w:rFonts w:hint="eastAsia"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lang w:bidi="ar"/>
                <w14:textFill>
                  <w14:solidFill>
                    <w14:schemeClr w14:val="tx1"/>
                  </w14:solidFill>
                </w14:textFill>
              </w:rPr>
              <w:t>2</w:t>
            </w:r>
          </w:p>
        </w:tc>
        <w:tc>
          <w:tcPr>
            <w:tcW w:w="4678" w:type="dxa"/>
            <w:tcMar>
              <w:left w:w="0" w:type="dxa"/>
              <w:right w:w="0" w:type="dxa"/>
            </w:tcMar>
            <w:vAlign w:val="center"/>
          </w:tcPr>
          <w:p w14:paraId="55859BB7">
            <w:pPr>
              <w:adjustRightInd w:val="0"/>
              <w:snapToGrid w:val="0"/>
              <w:spacing w:line="300" w:lineRule="exact"/>
              <w:jc w:val="center"/>
              <w:rPr>
                <w:rFonts w:hint="eastAsia" w:ascii="宋体" w:hAnsi="宋体"/>
                <w:color w:val="000000" w:themeColor="text1"/>
                <w:kern w:val="0"/>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油气开采项目（含新开发和滚动开发项目）原则上应以区块为单位开展环评，一般包括区块内拟建的新井、加密井、调整井、站场、设备、管道和电缆及其更换工程、弃置工程及配套工程等。项目环评应深入评价项目建设、运营带来的环境影响和环境风险，提出有效的生态环境保护和环境风险防范措施。滚动开发区块产能建设项目，还应对现有工程环境影响进行回顾性评价，对相关生态环境问题提出有效防治措施。依托其他防治设施的或者委托第三方处置的，应在环评中论证其可行性和有效性。</w:t>
            </w:r>
          </w:p>
        </w:tc>
        <w:tc>
          <w:tcPr>
            <w:tcW w:w="2951" w:type="dxa"/>
            <w:tcMar>
              <w:left w:w="0" w:type="dxa"/>
              <w:right w:w="0" w:type="dxa"/>
            </w:tcMar>
            <w:vAlign w:val="center"/>
          </w:tcPr>
          <w:p w14:paraId="01B39699">
            <w:pPr>
              <w:adjustRightInd w:val="0"/>
              <w:snapToGrid w:val="0"/>
              <w:spacing w:line="300" w:lineRule="exact"/>
              <w:rPr>
                <w:rFonts w:hint="eastAsia" w:ascii="宋体" w:hAnsi="宋体"/>
                <w:color w:val="000000" w:themeColor="text1"/>
                <w:kern w:val="0"/>
                <w:szCs w:val="21"/>
                <w14:textFill>
                  <w14:solidFill>
                    <w14:schemeClr w14:val="tx1"/>
                  </w14:solidFill>
                </w14:textFill>
              </w:rPr>
            </w:pPr>
            <w:r>
              <w:rPr>
                <w:rFonts w:hint="eastAsia" w:ascii="宋体" w:hAnsi="宋体"/>
                <w:color w:val="000000" w:themeColor="text1"/>
                <w:szCs w:val="21"/>
                <w:lang w:bidi="ar"/>
                <w14:textFill>
                  <w14:solidFill>
                    <w14:schemeClr w14:val="tx1"/>
                  </w14:solidFill>
                </w14:textFill>
              </w:rPr>
              <w:t>本项目为页岩油开采，以区块为单位开展环评，在报告中对</w:t>
            </w:r>
            <w:r>
              <w:rPr>
                <w:rFonts w:hint="eastAsia" w:ascii="宋体" w:hAnsi="宋体"/>
                <w:color w:val="000000" w:themeColor="text1"/>
                <w:szCs w:val="21"/>
                <w14:textFill>
                  <w14:solidFill>
                    <w14:schemeClr w14:val="tx1"/>
                  </w14:solidFill>
                </w14:textFill>
              </w:rPr>
              <w:t>施工期、运营期环境影响和环境风险进行了分析，并提出有效的环境保护措施、污染防治措施和环境风险防范措施，并分析了依托工程可行性和有效性；同时对拟转产井也进行了回顾性评价，对相关生态环境问题提出有效防治措施。</w:t>
            </w:r>
          </w:p>
        </w:tc>
        <w:tc>
          <w:tcPr>
            <w:tcW w:w="817" w:type="dxa"/>
            <w:tcMar>
              <w:left w:w="0" w:type="dxa"/>
              <w:right w:w="0" w:type="dxa"/>
            </w:tcMar>
            <w:vAlign w:val="center"/>
          </w:tcPr>
          <w:p w14:paraId="61A51A43">
            <w:pPr>
              <w:adjustRightInd w:val="0"/>
              <w:snapToGrid w:val="0"/>
              <w:spacing w:line="300" w:lineRule="exact"/>
              <w:jc w:val="center"/>
              <w:rPr>
                <w:rFonts w:hint="eastAsia" w:ascii="宋体" w:hAnsi="宋体"/>
                <w:color w:val="000000" w:themeColor="text1"/>
                <w:kern w:val="0"/>
                <w:szCs w:val="21"/>
                <w14:textFill>
                  <w14:solidFill>
                    <w14:schemeClr w14:val="tx1"/>
                  </w14:solidFill>
                </w14:textFill>
              </w:rPr>
            </w:pPr>
            <w:r>
              <w:rPr>
                <w:rFonts w:ascii="宋体" w:hAnsi="宋体"/>
                <w:color w:val="000000" w:themeColor="text1"/>
                <w:szCs w:val="21"/>
                <w:lang w:bidi="ar"/>
                <w14:textFill>
                  <w14:solidFill>
                    <w14:schemeClr w14:val="tx1"/>
                  </w14:solidFill>
                </w14:textFill>
              </w:rPr>
              <w:t>符合</w:t>
            </w:r>
          </w:p>
        </w:tc>
      </w:tr>
      <w:tr w14:paraId="22AC7D1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84" w:type="dxa"/>
            <w:tcMar>
              <w:left w:w="0" w:type="dxa"/>
              <w:right w:w="0" w:type="dxa"/>
            </w:tcMar>
            <w:vAlign w:val="center"/>
          </w:tcPr>
          <w:p w14:paraId="4DFEA0A7">
            <w:pPr>
              <w:adjustRightInd w:val="0"/>
              <w:snapToGrid w:val="0"/>
              <w:spacing w:line="300" w:lineRule="exact"/>
              <w:jc w:val="center"/>
              <w:rPr>
                <w:rFonts w:hint="eastAsia" w:ascii="宋体" w:hAnsi="宋体"/>
                <w:color w:val="000000" w:themeColor="text1"/>
                <w:kern w:val="0"/>
                <w:szCs w:val="21"/>
                <w:lang w:bidi="ar"/>
                <w14:textFill>
                  <w14:solidFill>
                    <w14:schemeClr w14:val="tx1"/>
                  </w14:solidFill>
                </w14:textFill>
              </w:rPr>
            </w:pPr>
            <w:r>
              <w:rPr>
                <w:rFonts w:hint="eastAsia" w:ascii="宋体" w:hAnsi="宋体"/>
                <w:color w:val="000000" w:themeColor="text1"/>
                <w:kern w:val="0"/>
                <w:szCs w:val="21"/>
                <w:lang w:bidi="ar"/>
                <w14:textFill>
                  <w14:solidFill>
                    <w14:schemeClr w14:val="tx1"/>
                  </w14:solidFill>
                </w14:textFill>
              </w:rPr>
              <w:t>3</w:t>
            </w:r>
          </w:p>
        </w:tc>
        <w:tc>
          <w:tcPr>
            <w:tcW w:w="4678" w:type="dxa"/>
            <w:tcMar>
              <w:left w:w="0" w:type="dxa"/>
              <w:right w:w="0" w:type="dxa"/>
            </w:tcMar>
            <w:vAlign w:val="center"/>
          </w:tcPr>
          <w:p w14:paraId="3C65FA37">
            <w:pPr>
              <w:widowControl/>
              <w:shd w:val="clear" w:color="auto" w:fill="FFFFFF"/>
              <w:adjustRightInd w:val="0"/>
              <w:snapToGrid w:val="0"/>
              <w:spacing w:line="300" w:lineRule="exact"/>
              <w:jc w:val="left"/>
              <w:rPr>
                <w:rFonts w:hint="eastAsia" w:ascii="宋体" w:hAnsi="宋体"/>
                <w:color w:val="000000" w:themeColor="text1"/>
                <w:szCs w:val="21"/>
                <w:lang w:val="en"/>
                <w14:textFill>
                  <w14:solidFill>
                    <w14:schemeClr w14:val="tx1"/>
                  </w14:solidFill>
                </w14:textFill>
              </w:rPr>
            </w:pPr>
            <w:r>
              <w:rPr>
                <w:rFonts w:hint="eastAsia" w:ascii="宋体" w:hAnsi="宋体" w:cs="宋体"/>
                <w:color w:val="000000" w:themeColor="text1"/>
                <w:kern w:val="0"/>
                <w:szCs w:val="21"/>
                <w:lang w:val="en"/>
                <w14:textFill>
                  <w14:solidFill>
                    <w14:schemeClr w14:val="tx1"/>
                  </w14:solidFill>
                </w14:textFill>
              </w:rPr>
              <w:t>涉</w:t>
            </w:r>
            <w:r>
              <w:rPr>
                <w:rFonts w:hint="eastAsia" w:ascii="宋体" w:hAnsi="宋体"/>
                <w:color w:val="000000" w:themeColor="text1"/>
                <w:szCs w:val="21"/>
                <w14:textFill>
                  <w14:solidFill>
                    <w14:schemeClr w14:val="tx1"/>
                  </w14:solidFill>
                </w14:textFill>
              </w:rPr>
              <w:t>及向地表水体排放污染物的陆地油气开采项目，应当符合国家和地方污染物排放标准，满足重点污染物排放总量控制要求。涉及废水回注的，应当论证回注的环境可行性，采取切实可行的地下水污染防治和监控措施，不得回注与油气开采无关的废水，严禁造成地下水污染。在相关行业污染控制标准发布前，回注的开采废水应当经处理并符合《碎屑岩油藏注水水质推荐指标及分析方法》（SY/T5329）等相关标准要求后回注，同步采取切实可行措施防治污染。回注目的层应当为地质构造封闭地层，一般应当回注到现役油气藏或枯竭废弃油气藏。相关部门及油气企业应当加强采出水等污水回注的研究，重点关注回注井井位合理性、过程控制有效性、风险防控系统性等，提出从源头到末端的全过程生态环境保护及风险防控措施、监控要求。建设项目环评文件中应当包含钻井液、压裂液中重金属等有毒有害物质的相关信息，涉及商业秘密、技术秘密等情形的除外</w:t>
            </w:r>
          </w:p>
        </w:tc>
        <w:tc>
          <w:tcPr>
            <w:tcW w:w="2951" w:type="dxa"/>
            <w:tcMar>
              <w:left w:w="0" w:type="dxa"/>
              <w:right w:w="0" w:type="dxa"/>
            </w:tcMar>
            <w:vAlign w:val="center"/>
          </w:tcPr>
          <w:p w14:paraId="2F3CD7C3">
            <w:pPr>
              <w:adjustRightInd w:val="0"/>
              <w:snapToGrid w:val="0"/>
              <w:spacing w:line="300" w:lineRule="exact"/>
              <w:jc w:val="center"/>
              <w:rPr>
                <w:rFonts w:hint="eastAsia" w:ascii="宋体" w:hAnsi="宋体"/>
                <w:color w:val="000000" w:themeColor="text1"/>
                <w:szCs w:val="21"/>
                <w:lang w:bidi="ar"/>
                <w14:textFill>
                  <w14:solidFill>
                    <w14:schemeClr w14:val="tx1"/>
                  </w14:solidFill>
                </w14:textFill>
              </w:rPr>
            </w:pPr>
            <w:r>
              <w:rPr>
                <w:rFonts w:hint="eastAsia" w:ascii="宋体" w:hAnsi="宋体"/>
                <w:color w:val="000000" w:themeColor="text1"/>
                <w:szCs w:val="21"/>
                <w:lang w:bidi="ar"/>
                <w14:textFill>
                  <w14:solidFill>
                    <w14:schemeClr w14:val="tx1"/>
                  </w14:solidFill>
                </w14:textFill>
              </w:rPr>
              <w:t>本项目采用注CO</w:t>
            </w:r>
            <w:r>
              <w:rPr>
                <w:rFonts w:hint="eastAsia" w:ascii="宋体" w:hAnsi="宋体"/>
                <w:color w:val="000000" w:themeColor="text1"/>
                <w:szCs w:val="21"/>
                <w:vertAlign w:val="subscript"/>
                <w:lang w:bidi="ar"/>
                <w14:textFill>
                  <w14:solidFill>
                    <w14:schemeClr w14:val="tx1"/>
                  </w14:solidFill>
                </w14:textFill>
              </w:rPr>
              <w:t>2</w:t>
            </w:r>
            <w:r>
              <w:rPr>
                <w:rFonts w:hint="eastAsia" w:ascii="宋体" w:hAnsi="宋体"/>
                <w:color w:val="000000" w:themeColor="text1"/>
                <w:szCs w:val="21"/>
                <w:lang w:bidi="ar"/>
                <w14:textFill>
                  <w14:solidFill>
                    <w14:schemeClr w14:val="tx1"/>
                  </w14:solidFill>
                </w14:textFill>
              </w:rPr>
              <w:t>开发，不涉及废水回注</w:t>
            </w:r>
            <w:r>
              <w:rPr>
                <w:rFonts w:hint="eastAsia" w:ascii="宋体" w:hAnsi="宋体"/>
                <w:color w:val="000000" w:themeColor="text1"/>
                <w:lang w:bidi="ar"/>
                <w14:textFill>
                  <w14:solidFill>
                    <w14:schemeClr w14:val="tx1"/>
                  </w14:solidFill>
                </w14:textFill>
              </w:rPr>
              <w:t>。</w:t>
            </w:r>
          </w:p>
        </w:tc>
        <w:tc>
          <w:tcPr>
            <w:tcW w:w="817" w:type="dxa"/>
            <w:tcMar>
              <w:left w:w="0" w:type="dxa"/>
              <w:right w:w="0" w:type="dxa"/>
            </w:tcMar>
            <w:vAlign w:val="center"/>
          </w:tcPr>
          <w:p w14:paraId="4C2E2E21">
            <w:pPr>
              <w:adjustRightInd w:val="0"/>
              <w:snapToGrid w:val="0"/>
              <w:spacing w:line="300" w:lineRule="exact"/>
              <w:jc w:val="center"/>
              <w:rPr>
                <w:rFonts w:hint="eastAsia" w:ascii="宋体" w:hAnsi="宋体"/>
                <w:color w:val="000000" w:themeColor="text1"/>
                <w:szCs w:val="21"/>
                <w:lang w:bidi="ar"/>
                <w14:textFill>
                  <w14:solidFill>
                    <w14:schemeClr w14:val="tx1"/>
                  </w14:solidFill>
                </w14:textFill>
              </w:rPr>
            </w:pPr>
            <w:r>
              <w:rPr>
                <w:rFonts w:hint="eastAsia" w:ascii="宋体" w:hAnsi="宋体"/>
                <w:color w:val="000000" w:themeColor="text1"/>
                <w:szCs w:val="21"/>
                <w:lang w:bidi="ar"/>
                <w14:textFill>
                  <w14:solidFill>
                    <w14:schemeClr w14:val="tx1"/>
                  </w14:solidFill>
                </w14:textFill>
              </w:rPr>
              <w:t>符合</w:t>
            </w:r>
          </w:p>
        </w:tc>
      </w:tr>
      <w:tr w14:paraId="67555F2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84" w:type="dxa"/>
            <w:tcMar>
              <w:left w:w="0" w:type="dxa"/>
              <w:right w:w="0" w:type="dxa"/>
            </w:tcMar>
            <w:vAlign w:val="center"/>
          </w:tcPr>
          <w:p w14:paraId="4E485BD6">
            <w:pPr>
              <w:adjustRightInd w:val="0"/>
              <w:snapToGrid w:val="0"/>
              <w:spacing w:line="300" w:lineRule="exact"/>
              <w:jc w:val="center"/>
              <w:rPr>
                <w:rFonts w:hint="eastAsia" w:ascii="宋体" w:hAnsi="宋体"/>
                <w:color w:val="000000" w:themeColor="text1"/>
                <w:kern w:val="0"/>
                <w:szCs w:val="21"/>
                <w:lang w:bidi="ar"/>
                <w14:textFill>
                  <w14:solidFill>
                    <w14:schemeClr w14:val="tx1"/>
                  </w14:solidFill>
                </w14:textFill>
              </w:rPr>
            </w:pPr>
            <w:r>
              <w:rPr>
                <w:rFonts w:ascii="宋体" w:hAnsi="宋体"/>
                <w:color w:val="000000" w:themeColor="text1"/>
                <w:kern w:val="0"/>
                <w:szCs w:val="21"/>
                <w:lang w:bidi="ar"/>
                <w14:textFill>
                  <w14:solidFill>
                    <w14:schemeClr w14:val="tx1"/>
                  </w14:solidFill>
                </w14:textFill>
              </w:rPr>
              <w:t>4</w:t>
            </w:r>
          </w:p>
        </w:tc>
        <w:tc>
          <w:tcPr>
            <w:tcW w:w="4678" w:type="dxa"/>
            <w:tcMar>
              <w:left w:w="0" w:type="dxa"/>
              <w:right w:w="0" w:type="dxa"/>
            </w:tcMar>
            <w:vAlign w:val="center"/>
          </w:tcPr>
          <w:p w14:paraId="48F7F137">
            <w:pPr>
              <w:adjustRightInd w:val="0"/>
              <w:snapToGrid w:val="0"/>
              <w:spacing w:line="300" w:lineRule="exact"/>
              <w:jc w:val="center"/>
              <w:rPr>
                <w:rFonts w:hint="eastAsia" w:ascii="宋体" w:hAnsi="宋体" w:cs="宋体"/>
                <w:color w:val="000000" w:themeColor="text1"/>
                <w:kern w:val="0"/>
                <w:szCs w:val="21"/>
                <w:lang w:bidi="ar"/>
                <w14:textFill>
                  <w14:solidFill>
                    <w14:schemeClr w14:val="tx1"/>
                  </w14:solidFill>
                </w14:textFill>
              </w:rPr>
            </w:pPr>
            <w:r>
              <w:rPr>
                <w:rFonts w:hint="eastAsia" w:ascii="宋体" w:hAnsi="宋体"/>
                <w:color w:val="000000" w:themeColor="text1"/>
                <w:szCs w:val="21"/>
                <w:lang w:bidi="ar"/>
                <w14:textFill>
                  <w14:solidFill>
                    <w14:schemeClr w14:val="tx1"/>
                  </w14:solidFill>
                </w14:textFill>
              </w:rPr>
              <w:t>油气开采产生的废弃油基泥浆、含油钻屑及其他固体废物，应遵循减量化、资源化、无害化原则，按照国家和地方有关固体废物的管理规定进行处置。鼓励企业自建含油污泥集中式综合处理和利用设施，提高废弃油基泥浆和含油钻屑及其处理产物的综合利用率。油气开采项目产生的危险废物，应按照《建设项目危险废物环境影响评价指南》要求评价。相关部门及油气企业应加强固体废物处置的研究，重点关注固体废物产生类型、主要污染因子及潜在环境影响，分别提出减量化源头控制措施、资源化利用路径、无害化处理要求，促进固体废物合理利用和妥善处置</w:t>
            </w:r>
          </w:p>
        </w:tc>
        <w:tc>
          <w:tcPr>
            <w:tcW w:w="2951" w:type="dxa"/>
            <w:tcMar>
              <w:left w:w="0" w:type="dxa"/>
              <w:right w:w="0" w:type="dxa"/>
            </w:tcMar>
            <w:vAlign w:val="center"/>
          </w:tcPr>
          <w:p w14:paraId="6AEDA7F7">
            <w:pPr>
              <w:adjustRightInd w:val="0"/>
              <w:snapToGrid w:val="0"/>
              <w:spacing w:line="300" w:lineRule="exact"/>
              <w:jc w:val="center"/>
              <w:rPr>
                <w:rFonts w:hint="eastAsia" w:ascii="宋体" w:hAnsi="宋体"/>
                <w:color w:val="000000" w:themeColor="text1"/>
                <w:kern w:val="0"/>
                <w:szCs w:val="21"/>
                <w:lang w:bidi="ar"/>
                <w14:textFill>
                  <w14:solidFill>
                    <w14:schemeClr w14:val="tx1"/>
                  </w14:solidFill>
                </w14:textFill>
              </w:rPr>
            </w:pPr>
            <w:r>
              <w:rPr>
                <w:rFonts w:hint="eastAsia"/>
                <w:color w:val="000000" w:themeColor="text1"/>
                <w14:textFill>
                  <w14:solidFill>
                    <w14:schemeClr w14:val="tx1"/>
                  </w14:solidFill>
                </w14:textFill>
              </w:rPr>
              <w:t>危险废物主要为废润滑油、废油桶、废分子筛、沾油废防渗材料和废含油抹布、劳保用品，分类收集，集中收集后交由有相应资质的单位处置</w:t>
            </w:r>
            <w:r>
              <w:rPr>
                <w:rFonts w:hint="eastAsia" w:ascii="宋体" w:hAnsi="宋体"/>
                <w:color w:val="000000" w:themeColor="text1"/>
                <w:szCs w:val="21"/>
                <w:lang w:bidi="ar"/>
                <w14:textFill>
                  <w14:solidFill>
                    <w14:schemeClr w14:val="tx1"/>
                  </w14:solidFill>
                </w14:textFill>
              </w:rPr>
              <w:t>；废包装物由厂家回收处置，</w:t>
            </w:r>
            <w:r>
              <w:rPr>
                <w:rFonts w:hint="eastAsia" w:cs="宋体"/>
                <w:color w:val="000000" w:themeColor="text1"/>
                <w14:textFill>
                  <w14:solidFill>
                    <w14:schemeClr w14:val="tx1"/>
                  </w14:solidFill>
                </w14:textFill>
              </w:rPr>
              <w:t>固体废物均得到妥善处置，</w:t>
            </w:r>
            <w:r>
              <w:rPr>
                <w:rFonts w:hint="eastAsia" w:ascii="宋体" w:hAnsi="宋体"/>
                <w:color w:val="000000" w:themeColor="text1"/>
                <w:szCs w:val="21"/>
                <w14:textFill>
                  <w14:solidFill>
                    <w14:schemeClr w14:val="tx1"/>
                  </w14:solidFill>
                </w14:textFill>
              </w:rPr>
              <w:t>不会对区域环境造成不利影响。</w:t>
            </w:r>
          </w:p>
        </w:tc>
        <w:tc>
          <w:tcPr>
            <w:tcW w:w="817" w:type="dxa"/>
            <w:tcMar>
              <w:left w:w="0" w:type="dxa"/>
              <w:right w:w="0" w:type="dxa"/>
            </w:tcMar>
            <w:vAlign w:val="center"/>
          </w:tcPr>
          <w:p w14:paraId="3A519888">
            <w:pPr>
              <w:adjustRightInd w:val="0"/>
              <w:snapToGrid w:val="0"/>
              <w:spacing w:line="300" w:lineRule="exact"/>
              <w:jc w:val="center"/>
              <w:rPr>
                <w:rFonts w:hint="eastAsia" w:ascii="宋体" w:hAnsi="宋体"/>
                <w:color w:val="000000" w:themeColor="text1"/>
                <w:kern w:val="0"/>
                <w:szCs w:val="21"/>
                <w:lang w:bidi="ar"/>
                <w14:textFill>
                  <w14:solidFill>
                    <w14:schemeClr w14:val="tx1"/>
                  </w14:solidFill>
                </w14:textFill>
              </w:rPr>
            </w:pPr>
            <w:r>
              <w:rPr>
                <w:rFonts w:ascii="宋体" w:hAnsi="宋体"/>
                <w:color w:val="000000" w:themeColor="text1"/>
                <w:szCs w:val="21"/>
                <w:lang w:bidi="ar"/>
                <w14:textFill>
                  <w14:solidFill>
                    <w14:schemeClr w14:val="tx1"/>
                  </w14:solidFill>
                </w14:textFill>
              </w:rPr>
              <w:t>符合</w:t>
            </w:r>
          </w:p>
        </w:tc>
      </w:tr>
      <w:tr w14:paraId="50DDDF6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84" w:type="dxa"/>
            <w:tcMar>
              <w:left w:w="0" w:type="dxa"/>
              <w:right w:w="0" w:type="dxa"/>
            </w:tcMar>
            <w:vAlign w:val="center"/>
          </w:tcPr>
          <w:p w14:paraId="5130AC38">
            <w:pPr>
              <w:adjustRightInd w:val="0"/>
              <w:snapToGrid w:val="0"/>
              <w:spacing w:line="300" w:lineRule="exact"/>
              <w:jc w:val="center"/>
              <w:rPr>
                <w:rFonts w:hint="eastAsia" w:ascii="宋体" w:hAnsi="宋体"/>
                <w:color w:val="000000" w:themeColor="text1"/>
                <w:szCs w:val="21"/>
                <w:lang w:bidi="ar"/>
                <w14:textFill>
                  <w14:solidFill>
                    <w14:schemeClr w14:val="tx1"/>
                  </w14:solidFill>
                </w14:textFill>
              </w:rPr>
            </w:pPr>
            <w:r>
              <w:rPr>
                <w:rFonts w:ascii="宋体" w:hAnsi="宋体"/>
                <w:color w:val="000000" w:themeColor="text1"/>
                <w:szCs w:val="21"/>
                <w:lang w:bidi="ar"/>
                <w14:textFill>
                  <w14:solidFill>
                    <w14:schemeClr w14:val="tx1"/>
                  </w14:solidFill>
                </w14:textFill>
              </w:rPr>
              <w:t>5</w:t>
            </w:r>
          </w:p>
        </w:tc>
        <w:tc>
          <w:tcPr>
            <w:tcW w:w="4678" w:type="dxa"/>
            <w:tcMar>
              <w:left w:w="0" w:type="dxa"/>
              <w:right w:w="0" w:type="dxa"/>
            </w:tcMar>
            <w:vAlign w:val="center"/>
          </w:tcPr>
          <w:p w14:paraId="534BB1A4">
            <w:pPr>
              <w:adjustRightInd w:val="0"/>
              <w:snapToGrid w:val="0"/>
              <w:spacing w:line="300" w:lineRule="exact"/>
              <w:jc w:val="center"/>
              <w:rPr>
                <w:rFonts w:hint="eastAsia" w:ascii="宋体" w:hAnsi="宋体"/>
                <w:color w:val="000000" w:themeColor="text1"/>
                <w:szCs w:val="21"/>
                <w:lang w:bidi="ar"/>
                <w14:textFill>
                  <w14:solidFill>
                    <w14:schemeClr w14:val="tx1"/>
                  </w14:solidFill>
                </w14:textFill>
              </w:rPr>
            </w:pPr>
            <w:r>
              <w:rPr>
                <w:rFonts w:hint="eastAsia" w:ascii="宋体" w:hAnsi="宋体"/>
                <w:color w:val="000000" w:themeColor="text1"/>
                <w:szCs w:val="21"/>
                <w:lang w:bidi="ar"/>
                <w14:textFill>
                  <w14:solidFill>
                    <w14:schemeClr w14:val="tx1"/>
                  </w14:solidFill>
                </w14:textFill>
              </w:rPr>
              <w:t>陆地油气开采项目的建设单位应当对挥发性有机物液体储存和装载损失、废水液面逸散、设备与管线组件泄漏、非正常工况等挥发性有机物无组织排放源进行有效管控，通过采取设备密闭、废气有效收集及配套高效末端处理设施等措施，有效控制挥发性有机物和恶臭气体无组织排放。涉及高含硫天然气开采的，应当强化钻井、输送、净化等环节环境风险防范措施。含硫气田回注采出水，应当采取有效措施减少废水处理站和回注井场硫化氢的无组织排放。高含硫天然气净化厂应当采用先进高效硫磺回收工艺，减少二氧化硫排放。井场加热炉、锅炉、压缩机等排放大气污染物的设备，应当优先使用清洁燃料，废气排放应当满足国家和地方大气污染物排放标准要求</w:t>
            </w:r>
          </w:p>
        </w:tc>
        <w:tc>
          <w:tcPr>
            <w:tcW w:w="2951" w:type="dxa"/>
            <w:tcMar>
              <w:left w:w="0" w:type="dxa"/>
              <w:right w:w="0" w:type="dxa"/>
            </w:tcMar>
            <w:vAlign w:val="center"/>
          </w:tcPr>
          <w:p w14:paraId="19EABD7E">
            <w:pPr>
              <w:adjustRightInd w:val="0"/>
              <w:snapToGrid w:val="0"/>
              <w:spacing w:line="300" w:lineRule="exact"/>
              <w:jc w:val="center"/>
              <w:rPr>
                <w:rFonts w:hint="eastAsia" w:ascii="宋体" w:hAnsi="宋体"/>
                <w:color w:val="000000" w:themeColor="text1"/>
                <w:szCs w:val="21"/>
                <w:lang w:bidi="ar"/>
                <w14:textFill>
                  <w14:solidFill>
                    <w14:schemeClr w14:val="tx1"/>
                  </w14:solidFill>
                </w14:textFill>
              </w:rPr>
            </w:pPr>
            <w:r>
              <w:rPr>
                <w:rFonts w:hint="eastAsia"/>
                <w:color w:val="000000" w:themeColor="text1"/>
                <w:lang w:bidi="ar"/>
                <w14:textFill>
                  <w14:solidFill>
                    <w14:schemeClr w14:val="tx1"/>
                  </w14:solidFill>
                </w14:textFill>
              </w:rPr>
              <w:t>油气通过密闭集输工艺，油气开采过程中的无组织废气通过选用质量可靠的设备和加强检修进行防治</w:t>
            </w:r>
            <w:r>
              <w:rPr>
                <w:rFonts w:hint="eastAsia"/>
                <w:color w:val="000000" w:themeColor="text1"/>
                <w:szCs w:val="21"/>
                <w:lang w:bidi="ar"/>
                <w14:textFill>
                  <w14:solidFill>
                    <w14:schemeClr w14:val="tx1"/>
                  </w14:solidFill>
                </w14:textFill>
              </w:rPr>
              <w:t>。</w:t>
            </w:r>
          </w:p>
        </w:tc>
        <w:tc>
          <w:tcPr>
            <w:tcW w:w="817" w:type="dxa"/>
            <w:tcMar>
              <w:left w:w="0" w:type="dxa"/>
              <w:right w:w="0" w:type="dxa"/>
            </w:tcMar>
            <w:vAlign w:val="center"/>
          </w:tcPr>
          <w:p w14:paraId="5D74473D">
            <w:pPr>
              <w:adjustRightInd w:val="0"/>
              <w:snapToGrid w:val="0"/>
              <w:spacing w:line="300" w:lineRule="exact"/>
              <w:jc w:val="center"/>
              <w:rPr>
                <w:rFonts w:hint="eastAsia" w:ascii="宋体" w:hAnsi="宋体"/>
                <w:color w:val="000000" w:themeColor="text1"/>
                <w:szCs w:val="21"/>
                <w:lang w:bidi="ar"/>
                <w14:textFill>
                  <w14:solidFill>
                    <w14:schemeClr w14:val="tx1"/>
                  </w14:solidFill>
                </w14:textFill>
              </w:rPr>
            </w:pPr>
            <w:r>
              <w:rPr>
                <w:rFonts w:hint="eastAsia" w:ascii="宋体" w:hAnsi="宋体"/>
                <w:color w:val="000000" w:themeColor="text1"/>
                <w:szCs w:val="21"/>
                <w:lang w:bidi="ar"/>
                <w14:textFill>
                  <w14:solidFill>
                    <w14:schemeClr w14:val="tx1"/>
                  </w14:solidFill>
                </w14:textFill>
              </w:rPr>
              <w:t>符合</w:t>
            </w:r>
          </w:p>
        </w:tc>
      </w:tr>
      <w:tr w14:paraId="47BB2F0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84" w:type="dxa"/>
            <w:tcMar>
              <w:left w:w="0" w:type="dxa"/>
              <w:right w:w="0" w:type="dxa"/>
            </w:tcMar>
            <w:vAlign w:val="center"/>
          </w:tcPr>
          <w:p w14:paraId="6AD05000">
            <w:pPr>
              <w:adjustRightInd w:val="0"/>
              <w:snapToGrid w:val="0"/>
              <w:spacing w:line="300" w:lineRule="exact"/>
              <w:jc w:val="center"/>
              <w:rPr>
                <w:rFonts w:hint="eastAsia" w:ascii="宋体" w:hAnsi="宋体"/>
                <w:color w:val="000000" w:themeColor="text1"/>
                <w:kern w:val="0"/>
                <w:szCs w:val="21"/>
                <w:lang w:bidi="ar"/>
                <w14:textFill>
                  <w14:solidFill>
                    <w14:schemeClr w14:val="tx1"/>
                  </w14:solidFill>
                </w14:textFill>
              </w:rPr>
            </w:pPr>
            <w:r>
              <w:rPr>
                <w:rFonts w:ascii="宋体" w:hAnsi="宋体"/>
                <w:color w:val="000000" w:themeColor="text1"/>
                <w:kern w:val="0"/>
                <w:szCs w:val="21"/>
                <w:lang w:bidi="ar"/>
                <w14:textFill>
                  <w14:solidFill>
                    <w14:schemeClr w14:val="tx1"/>
                  </w14:solidFill>
                </w14:textFill>
              </w:rPr>
              <w:t>6</w:t>
            </w:r>
          </w:p>
        </w:tc>
        <w:tc>
          <w:tcPr>
            <w:tcW w:w="4678" w:type="dxa"/>
            <w:tcMar>
              <w:left w:w="0" w:type="dxa"/>
              <w:right w:w="0" w:type="dxa"/>
            </w:tcMar>
            <w:vAlign w:val="center"/>
          </w:tcPr>
          <w:p w14:paraId="549A0B2E">
            <w:pPr>
              <w:adjustRightInd w:val="0"/>
              <w:snapToGrid w:val="0"/>
              <w:spacing w:line="300" w:lineRule="exact"/>
              <w:jc w:val="center"/>
              <w:rPr>
                <w:rFonts w:hint="eastAsia" w:ascii="宋体" w:hAnsi="宋体"/>
                <w:color w:val="000000" w:themeColor="text1"/>
                <w:szCs w:val="21"/>
                <w:lang w:bidi="ar"/>
                <w14:textFill>
                  <w14:solidFill>
                    <w14:schemeClr w14:val="tx1"/>
                  </w14:solidFill>
                </w14:textFill>
              </w:rPr>
            </w:pPr>
            <w:r>
              <w:rPr>
                <w:rFonts w:hint="eastAsia" w:ascii="宋体" w:hAnsi="宋体"/>
                <w:color w:val="000000" w:themeColor="text1"/>
                <w:szCs w:val="21"/>
                <w:lang w:bidi="ar"/>
                <w14:textFill>
                  <w14:solidFill>
                    <w14:schemeClr w14:val="tx1"/>
                  </w14:solidFill>
                </w14:textFill>
              </w:rPr>
              <w:t>施工期应当尽量减少施工占地、缩短施工时间、选择合理施工方式落实环境敏感区管控要求以及其他生态环境保护措施，降低生态环境影响。钻井和压裂设备应当优先使用网电、高标准清洁燃油，减少废气排放。选用低噪声设备，避免噪声扰民。施工结束后，应当及时落实环评提出的生态保护措施</w:t>
            </w:r>
          </w:p>
        </w:tc>
        <w:tc>
          <w:tcPr>
            <w:tcW w:w="2951" w:type="dxa"/>
            <w:tcMar>
              <w:left w:w="0" w:type="dxa"/>
              <w:right w:w="0" w:type="dxa"/>
            </w:tcMar>
            <w:vAlign w:val="center"/>
          </w:tcPr>
          <w:p w14:paraId="34ABD53A">
            <w:pPr>
              <w:adjustRightInd w:val="0"/>
              <w:snapToGrid w:val="0"/>
              <w:spacing w:line="300" w:lineRule="exact"/>
              <w:jc w:val="center"/>
              <w:rPr>
                <w:rFonts w:hint="eastAsia" w:ascii="宋体" w:hAnsi="宋体"/>
                <w:color w:val="000000" w:themeColor="text1"/>
                <w:szCs w:val="21"/>
                <w:lang w:bidi="ar"/>
                <w14:textFill>
                  <w14:solidFill>
                    <w14:schemeClr w14:val="tx1"/>
                  </w14:solidFill>
                </w14:textFill>
              </w:rPr>
            </w:pPr>
            <w:r>
              <w:rPr>
                <w:rFonts w:hint="eastAsia" w:ascii="宋体" w:hAnsi="宋体"/>
                <w:color w:val="000000" w:themeColor="text1"/>
                <w:szCs w:val="21"/>
                <w:lang w:bidi="ar"/>
                <w14:textFill>
                  <w14:solidFill>
                    <w14:schemeClr w14:val="tx1"/>
                  </w14:solidFill>
                </w14:textFill>
              </w:rPr>
              <w:t>施工期严格按照既定方案施工，合理制定施工方案，加强施工管理，严禁施工人员和机械在施工范围外作业；优先选用低噪声设备，高噪声设备采取基础减振措施，评价范围内无声环境敏感目标，不会造成扰民现象；施工结束后应及时对施工区进行平整、清理，恢复临时占地。</w:t>
            </w:r>
          </w:p>
        </w:tc>
        <w:tc>
          <w:tcPr>
            <w:tcW w:w="817" w:type="dxa"/>
            <w:tcMar>
              <w:left w:w="0" w:type="dxa"/>
              <w:right w:w="0" w:type="dxa"/>
            </w:tcMar>
            <w:vAlign w:val="center"/>
          </w:tcPr>
          <w:p w14:paraId="3F1FF307">
            <w:pPr>
              <w:adjustRightInd w:val="0"/>
              <w:snapToGrid w:val="0"/>
              <w:spacing w:line="300" w:lineRule="exact"/>
              <w:jc w:val="center"/>
              <w:rPr>
                <w:rFonts w:hint="eastAsia" w:ascii="宋体" w:hAnsi="宋体"/>
                <w:color w:val="000000" w:themeColor="text1"/>
                <w:szCs w:val="21"/>
                <w:lang w:bidi="ar"/>
                <w14:textFill>
                  <w14:solidFill>
                    <w14:schemeClr w14:val="tx1"/>
                  </w14:solidFill>
                </w14:textFill>
              </w:rPr>
            </w:pPr>
            <w:r>
              <w:rPr>
                <w:rFonts w:hint="eastAsia" w:ascii="宋体" w:hAnsi="宋体"/>
                <w:color w:val="000000" w:themeColor="text1"/>
                <w:szCs w:val="21"/>
                <w:lang w:bidi="ar"/>
                <w14:textFill>
                  <w14:solidFill>
                    <w14:schemeClr w14:val="tx1"/>
                  </w14:solidFill>
                </w14:textFill>
              </w:rPr>
              <w:t>符合</w:t>
            </w:r>
          </w:p>
        </w:tc>
      </w:tr>
      <w:tr w14:paraId="1CA51A9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84" w:type="dxa"/>
            <w:tcMar>
              <w:left w:w="0" w:type="dxa"/>
              <w:right w:w="0" w:type="dxa"/>
            </w:tcMar>
            <w:vAlign w:val="center"/>
          </w:tcPr>
          <w:p w14:paraId="7308176D">
            <w:pPr>
              <w:adjustRightInd w:val="0"/>
              <w:snapToGrid w:val="0"/>
              <w:spacing w:line="300" w:lineRule="exact"/>
              <w:jc w:val="center"/>
              <w:rPr>
                <w:rFonts w:hint="eastAsia" w:ascii="宋体" w:hAnsi="宋体"/>
                <w:color w:val="000000" w:themeColor="text1"/>
                <w:kern w:val="0"/>
                <w:szCs w:val="21"/>
                <w:lang w:bidi="ar"/>
                <w14:textFill>
                  <w14:solidFill>
                    <w14:schemeClr w14:val="tx1"/>
                  </w14:solidFill>
                </w14:textFill>
              </w:rPr>
            </w:pPr>
            <w:r>
              <w:rPr>
                <w:rFonts w:ascii="宋体" w:hAnsi="宋体"/>
                <w:color w:val="000000" w:themeColor="text1"/>
                <w:kern w:val="0"/>
                <w:szCs w:val="21"/>
                <w:lang w:bidi="ar"/>
                <w14:textFill>
                  <w14:solidFill>
                    <w14:schemeClr w14:val="tx1"/>
                  </w14:solidFill>
                </w14:textFill>
              </w:rPr>
              <w:t>7</w:t>
            </w:r>
          </w:p>
        </w:tc>
        <w:tc>
          <w:tcPr>
            <w:tcW w:w="4678" w:type="dxa"/>
            <w:tcMar>
              <w:left w:w="0" w:type="dxa"/>
              <w:right w:w="0" w:type="dxa"/>
            </w:tcMar>
            <w:vAlign w:val="center"/>
          </w:tcPr>
          <w:p w14:paraId="1877A26B">
            <w:pPr>
              <w:adjustRightInd w:val="0"/>
              <w:snapToGrid w:val="0"/>
              <w:spacing w:line="300" w:lineRule="exact"/>
              <w:jc w:val="center"/>
              <w:rPr>
                <w:rFonts w:hint="eastAsia" w:ascii="宋体" w:hAnsi="宋体"/>
                <w:color w:val="000000" w:themeColor="text1"/>
                <w:szCs w:val="21"/>
                <w:lang w:bidi="ar"/>
                <w14:textFill>
                  <w14:solidFill>
                    <w14:schemeClr w14:val="tx1"/>
                  </w14:solidFill>
                </w14:textFill>
              </w:rPr>
            </w:pPr>
            <w:r>
              <w:rPr>
                <w:rFonts w:hint="eastAsia" w:ascii="宋体" w:hAnsi="宋体"/>
                <w:color w:val="000000" w:themeColor="text1"/>
                <w:szCs w:val="21"/>
                <w:lang w:bidi="ar"/>
                <w14:textFill>
                  <w14:solidFill>
                    <w14:schemeClr w14:val="tx1"/>
                  </w14:solidFill>
                </w14:textFill>
              </w:rPr>
              <w:t>油气企业应当加强风险防控，按规定编制突发环境事件应急预案，报所在地生态环境主管部门备案</w:t>
            </w:r>
          </w:p>
        </w:tc>
        <w:tc>
          <w:tcPr>
            <w:tcW w:w="2951" w:type="dxa"/>
            <w:tcMar>
              <w:left w:w="0" w:type="dxa"/>
              <w:right w:w="0" w:type="dxa"/>
            </w:tcMar>
            <w:vAlign w:val="center"/>
          </w:tcPr>
          <w:p w14:paraId="409E930D">
            <w:pPr>
              <w:adjustRightInd w:val="0"/>
              <w:snapToGrid w:val="0"/>
              <w:spacing w:line="300" w:lineRule="exact"/>
              <w:jc w:val="center"/>
              <w:rPr>
                <w:rFonts w:hint="eastAsia" w:ascii="宋体" w:hAnsi="宋体"/>
                <w:color w:val="000000" w:themeColor="text1"/>
                <w:szCs w:val="21"/>
                <w:lang w:bidi="ar"/>
                <w14:textFill>
                  <w14:solidFill>
                    <w14:schemeClr w14:val="tx1"/>
                  </w14:solidFill>
                </w14:textFill>
              </w:rPr>
            </w:pPr>
            <w:r>
              <w:rPr>
                <w:rFonts w:hint="eastAsia" w:ascii="宋体" w:hAnsi="宋体"/>
                <w:color w:val="000000" w:themeColor="text1"/>
                <w:szCs w:val="21"/>
                <w:lang w:bidi="ar"/>
                <w14:textFill>
                  <w14:solidFill>
                    <w14:schemeClr w14:val="tx1"/>
                  </w14:solidFill>
                </w14:textFill>
              </w:rPr>
              <w:t>吉庆油田作业区具备完善的应急管理体系，可依托其应急预案及应急物资。</w:t>
            </w:r>
          </w:p>
        </w:tc>
        <w:tc>
          <w:tcPr>
            <w:tcW w:w="817" w:type="dxa"/>
            <w:tcMar>
              <w:left w:w="0" w:type="dxa"/>
              <w:right w:w="0" w:type="dxa"/>
            </w:tcMar>
            <w:vAlign w:val="center"/>
          </w:tcPr>
          <w:p w14:paraId="1E7C2BB2">
            <w:pPr>
              <w:adjustRightInd w:val="0"/>
              <w:snapToGrid w:val="0"/>
              <w:spacing w:line="300" w:lineRule="exact"/>
              <w:jc w:val="center"/>
              <w:rPr>
                <w:rFonts w:hint="eastAsia" w:ascii="宋体" w:hAnsi="宋体"/>
                <w:color w:val="000000" w:themeColor="text1"/>
                <w:szCs w:val="21"/>
                <w:lang w:bidi="ar"/>
                <w14:textFill>
                  <w14:solidFill>
                    <w14:schemeClr w14:val="tx1"/>
                  </w14:solidFill>
                </w14:textFill>
              </w:rPr>
            </w:pPr>
            <w:r>
              <w:rPr>
                <w:rFonts w:hint="eastAsia" w:ascii="宋体" w:hAnsi="宋体"/>
                <w:color w:val="000000" w:themeColor="text1"/>
                <w:szCs w:val="21"/>
                <w:lang w:bidi="ar"/>
                <w14:textFill>
                  <w14:solidFill>
                    <w14:schemeClr w14:val="tx1"/>
                  </w14:solidFill>
                </w14:textFill>
              </w:rPr>
              <w:t>符合</w:t>
            </w:r>
          </w:p>
        </w:tc>
      </w:tr>
      <w:bookmarkEnd w:id="173"/>
    </w:tbl>
    <w:p w14:paraId="04F8EA6C">
      <w:pPr>
        <w:pStyle w:val="117"/>
        <w:ind w:firstLine="480"/>
        <w:rPr>
          <w:rFonts w:hint="eastAsia"/>
          <w:color w:val="000000" w:themeColor="text1"/>
          <w14:textFill>
            <w14:solidFill>
              <w14:schemeClr w14:val="tx1"/>
            </w14:solidFill>
          </w14:textFill>
        </w:rPr>
      </w:pPr>
      <w:bookmarkStart w:id="177" w:name="_Hlk80612761"/>
      <w:r>
        <w:rPr>
          <w:rFonts w:hint="eastAsia"/>
          <w:color w:val="000000" w:themeColor="text1"/>
          <w14:textFill>
            <w14:solidFill>
              <w14:schemeClr w14:val="tx1"/>
            </w14:solidFill>
          </w14:textFill>
        </w:rPr>
        <w:t>（4）与《新疆维吾尔自治区重点行业生态环境准入条件（2024年）》符合性分析</w:t>
      </w:r>
    </w:p>
    <w:p w14:paraId="5C45D81F">
      <w:pPr>
        <w:pStyle w:val="117"/>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项目建设符合《新疆维吾尔自治区重点行业生态环境准入条件（2024年）》中的相关要求，详见表2.9-7。</w:t>
      </w:r>
    </w:p>
    <w:p w14:paraId="18C84089">
      <w:pPr>
        <w:pStyle w:val="117"/>
        <w:ind w:firstLine="0" w:firstLineChars="0"/>
        <w:jc w:val="center"/>
        <w:rPr>
          <w:rFonts w:hint="eastAsia" w:ascii="黑体" w:hAnsi="黑体" w:eastAsia="黑体" w:cs="宋体"/>
          <w:color w:val="000000" w:themeColor="text1"/>
          <w:sz w:val="21"/>
          <w:szCs w:val="21"/>
          <w14:textFill>
            <w14:solidFill>
              <w14:schemeClr w14:val="tx1"/>
            </w14:solidFill>
          </w14:textFill>
        </w:rPr>
      </w:pPr>
    </w:p>
    <w:p w14:paraId="7319DDE6">
      <w:pPr>
        <w:pStyle w:val="117"/>
        <w:ind w:firstLine="0" w:firstLineChars="0"/>
        <w:jc w:val="center"/>
        <w:rPr>
          <w:rFonts w:hint="eastAsia" w:ascii="黑体" w:hAnsi="黑体" w:eastAsia="黑体" w:cs="宋体"/>
          <w:color w:val="000000" w:themeColor="text1"/>
          <w:sz w:val="21"/>
          <w:szCs w:val="21"/>
          <w14:textFill>
            <w14:solidFill>
              <w14:schemeClr w14:val="tx1"/>
            </w14:solidFill>
          </w14:textFill>
        </w:rPr>
      </w:pPr>
    </w:p>
    <w:p w14:paraId="7E810183">
      <w:pPr>
        <w:pStyle w:val="117"/>
        <w:ind w:firstLine="0" w:firstLineChars="0"/>
        <w:jc w:val="center"/>
        <w:rPr>
          <w:rFonts w:hint="eastAsia" w:ascii="黑体" w:hAnsi="黑体" w:eastAsia="黑体" w:cs="宋体"/>
          <w:color w:val="000000" w:themeColor="text1"/>
          <w:sz w:val="21"/>
          <w:szCs w:val="21"/>
          <w14:textFill>
            <w14:solidFill>
              <w14:schemeClr w14:val="tx1"/>
            </w14:solidFill>
          </w14:textFill>
        </w:rPr>
      </w:pPr>
      <w:r>
        <w:rPr>
          <w:rFonts w:hint="eastAsia" w:ascii="黑体" w:hAnsi="黑体" w:eastAsia="黑体" w:cs="宋体"/>
          <w:color w:val="000000" w:themeColor="text1"/>
          <w:sz w:val="21"/>
          <w:szCs w:val="21"/>
          <w14:textFill>
            <w14:solidFill>
              <w14:schemeClr w14:val="tx1"/>
            </w14:solidFill>
          </w14:textFill>
        </w:rPr>
        <w:t>表2</w:t>
      </w:r>
      <w:r>
        <w:rPr>
          <w:rFonts w:ascii="黑体" w:hAnsi="黑体" w:eastAsia="黑体" w:cs="宋体"/>
          <w:color w:val="000000" w:themeColor="text1"/>
          <w:sz w:val="21"/>
          <w:szCs w:val="21"/>
          <w14:textFill>
            <w14:solidFill>
              <w14:schemeClr w14:val="tx1"/>
            </w14:solidFill>
          </w14:textFill>
        </w:rPr>
        <w:t>.9</w:t>
      </w:r>
      <w:r>
        <w:rPr>
          <w:rFonts w:hint="eastAsia" w:ascii="黑体" w:hAnsi="黑体" w:eastAsia="黑体" w:cs="宋体"/>
          <w:color w:val="000000" w:themeColor="text1"/>
          <w:sz w:val="21"/>
          <w:szCs w:val="21"/>
          <w14:textFill>
            <w14:solidFill>
              <w14:schemeClr w14:val="tx1"/>
            </w14:solidFill>
          </w14:textFill>
        </w:rPr>
        <w:t xml:space="preserve">-7 </w:t>
      </w:r>
      <w:r>
        <w:rPr>
          <w:rFonts w:ascii="黑体" w:hAnsi="黑体" w:eastAsia="黑体" w:cs="宋体"/>
          <w:color w:val="000000" w:themeColor="text1"/>
          <w:sz w:val="21"/>
          <w:szCs w:val="21"/>
          <w14:textFill>
            <w14:solidFill>
              <w14:schemeClr w14:val="tx1"/>
            </w14:solidFill>
          </w14:textFill>
        </w:rPr>
        <w:t xml:space="preserve"> </w:t>
      </w:r>
      <w:r>
        <w:rPr>
          <w:rFonts w:hint="eastAsia" w:ascii="黑体" w:hAnsi="黑体" w:eastAsia="黑体" w:cs="宋体"/>
          <w:color w:val="000000" w:themeColor="text1"/>
          <w:sz w:val="21"/>
          <w:szCs w:val="21"/>
          <w14:textFill>
            <w14:solidFill>
              <w14:schemeClr w14:val="tx1"/>
            </w14:solidFill>
          </w14:textFill>
        </w:rPr>
        <w:t>项目与《新疆维吾尔自治区重点行业生态环境准入条件（2024年）》符合性分析</w:t>
      </w:r>
    </w:p>
    <w:tbl>
      <w:tblPr>
        <w:tblStyle w:val="51"/>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67"/>
        <w:gridCol w:w="538"/>
        <w:gridCol w:w="3857"/>
        <w:gridCol w:w="2976"/>
        <w:gridCol w:w="792"/>
      </w:tblGrid>
      <w:tr w14:paraId="10B6744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567" w:type="dxa"/>
            <w:tcMar>
              <w:left w:w="0" w:type="dxa"/>
              <w:right w:w="0" w:type="dxa"/>
            </w:tcMar>
            <w:vAlign w:val="center"/>
          </w:tcPr>
          <w:p w14:paraId="36240024">
            <w:pPr>
              <w:pStyle w:val="286"/>
              <w:adjustRightInd w:val="0"/>
              <w:snapToGrid w:val="0"/>
              <w:spacing w:line="300" w:lineRule="exact"/>
              <w:rPr>
                <w:rFonts w:hint="eastAsia"/>
                <w:color w:val="000000" w:themeColor="text1"/>
                <w:sz w:val="21"/>
                <w14:textFill>
                  <w14:solidFill>
                    <w14:schemeClr w14:val="tx1"/>
                  </w14:solidFill>
                </w14:textFill>
              </w:rPr>
            </w:pPr>
            <w:r>
              <w:rPr>
                <w:rFonts w:hint="eastAsia"/>
                <w:color w:val="000000" w:themeColor="text1"/>
                <w:sz w:val="21"/>
                <w:lang w:bidi="ar"/>
                <w14:textFill>
                  <w14:solidFill>
                    <w14:schemeClr w14:val="tx1"/>
                  </w14:solidFill>
                </w14:textFill>
              </w:rPr>
              <w:t>序号</w:t>
            </w:r>
          </w:p>
        </w:tc>
        <w:tc>
          <w:tcPr>
            <w:tcW w:w="4395" w:type="dxa"/>
            <w:gridSpan w:val="2"/>
            <w:tcMar>
              <w:left w:w="0" w:type="dxa"/>
              <w:right w:w="0" w:type="dxa"/>
            </w:tcMar>
            <w:vAlign w:val="center"/>
          </w:tcPr>
          <w:p w14:paraId="1E26412B">
            <w:pPr>
              <w:pStyle w:val="286"/>
              <w:adjustRightInd w:val="0"/>
              <w:snapToGrid w:val="0"/>
              <w:spacing w:line="300" w:lineRule="exact"/>
              <w:rPr>
                <w:rFonts w:hint="eastAsia"/>
                <w:color w:val="000000" w:themeColor="text1"/>
                <w:sz w:val="21"/>
                <w14:textFill>
                  <w14:solidFill>
                    <w14:schemeClr w14:val="tx1"/>
                  </w14:solidFill>
                </w14:textFill>
              </w:rPr>
            </w:pPr>
            <w:r>
              <w:rPr>
                <w:rFonts w:hint="eastAsia"/>
                <w:color w:val="000000" w:themeColor="text1"/>
                <w:sz w:val="21"/>
                <w:lang w:bidi="ar"/>
                <w14:textFill>
                  <w14:solidFill>
                    <w14:schemeClr w14:val="tx1"/>
                  </w14:solidFill>
                </w14:textFill>
              </w:rPr>
              <w:t>条件规定</w:t>
            </w:r>
          </w:p>
        </w:tc>
        <w:tc>
          <w:tcPr>
            <w:tcW w:w="2976" w:type="dxa"/>
            <w:tcMar>
              <w:left w:w="0" w:type="dxa"/>
              <w:right w:w="0" w:type="dxa"/>
            </w:tcMar>
            <w:vAlign w:val="center"/>
          </w:tcPr>
          <w:p w14:paraId="3C9ECB2A">
            <w:pPr>
              <w:pStyle w:val="286"/>
              <w:adjustRightInd w:val="0"/>
              <w:snapToGrid w:val="0"/>
              <w:spacing w:line="300" w:lineRule="exact"/>
              <w:rPr>
                <w:rFonts w:hint="eastAsia"/>
                <w:color w:val="000000" w:themeColor="text1"/>
                <w:sz w:val="21"/>
                <w14:textFill>
                  <w14:solidFill>
                    <w14:schemeClr w14:val="tx1"/>
                  </w14:solidFill>
                </w14:textFill>
              </w:rPr>
            </w:pPr>
            <w:r>
              <w:rPr>
                <w:rFonts w:hint="eastAsia"/>
                <w:color w:val="000000" w:themeColor="text1"/>
                <w:sz w:val="21"/>
                <w:lang w:bidi="ar"/>
                <w14:textFill>
                  <w14:solidFill>
                    <w14:schemeClr w14:val="tx1"/>
                  </w14:solidFill>
                </w14:textFill>
              </w:rPr>
              <w:t>拟采取的相关措施</w:t>
            </w:r>
          </w:p>
        </w:tc>
        <w:tc>
          <w:tcPr>
            <w:tcW w:w="792" w:type="dxa"/>
            <w:tcMar>
              <w:left w:w="0" w:type="dxa"/>
              <w:right w:w="0" w:type="dxa"/>
            </w:tcMar>
            <w:vAlign w:val="center"/>
          </w:tcPr>
          <w:p w14:paraId="32E4DB1B">
            <w:pPr>
              <w:pStyle w:val="286"/>
              <w:adjustRightInd w:val="0"/>
              <w:snapToGrid w:val="0"/>
              <w:spacing w:line="300" w:lineRule="exact"/>
              <w:rPr>
                <w:rFonts w:hint="eastAsia"/>
                <w:color w:val="000000" w:themeColor="text1"/>
                <w:sz w:val="21"/>
                <w14:textFill>
                  <w14:solidFill>
                    <w14:schemeClr w14:val="tx1"/>
                  </w14:solidFill>
                </w14:textFill>
              </w:rPr>
            </w:pPr>
            <w:r>
              <w:rPr>
                <w:rFonts w:hint="eastAsia"/>
                <w:color w:val="000000" w:themeColor="text1"/>
                <w:sz w:val="21"/>
                <w:lang w:bidi="ar"/>
                <w14:textFill>
                  <w14:solidFill>
                    <w14:schemeClr w14:val="tx1"/>
                  </w14:solidFill>
                </w14:textFill>
              </w:rPr>
              <w:t>符合性分析</w:t>
            </w:r>
          </w:p>
        </w:tc>
      </w:tr>
      <w:tr w14:paraId="07418BB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67" w:type="dxa"/>
            <w:tcMar>
              <w:left w:w="0" w:type="dxa"/>
              <w:right w:w="0" w:type="dxa"/>
            </w:tcMar>
            <w:vAlign w:val="center"/>
          </w:tcPr>
          <w:p w14:paraId="429776A0">
            <w:pPr>
              <w:pStyle w:val="286"/>
              <w:adjustRightInd w:val="0"/>
              <w:snapToGrid w:val="0"/>
              <w:spacing w:line="300" w:lineRule="exact"/>
              <w:rPr>
                <w:rFonts w:hint="eastAsia"/>
                <w:color w:val="000000" w:themeColor="text1"/>
                <w:sz w:val="21"/>
                <w:lang w:bidi="ar"/>
                <w14:textFill>
                  <w14:solidFill>
                    <w14:schemeClr w14:val="tx1"/>
                  </w14:solidFill>
                </w14:textFill>
              </w:rPr>
            </w:pPr>
            <w:r>
              <w:rPr>
                <w:color w:val="000000" w:themeColor="text1"/>
                <w:sz w:val="21"/>
                <w:lang w:bidi="ar"/>
                <w14:textFill>
                  <w14:solidFill>
                    <w14:schemeClr w14:val="tx1"/>
                  </w14:solidFill>
                </w14:textFill>
              </w:rPr>
              <w:t>1</w:t>
            </w:r>
          </w:p>
        </w:tc>
        <w:tc>
          <w:tcPr>
            <w:tcW w:w="538" w:type="dxa"/>
            <w:tcMar>
              <w:left w:w="0" w:type="dxa"/>
              <w:right w:w="0" w:type="dxa"/>
            </w:tcMar>
            <w:vAlign w:val="center"/>
          </w:tcPr>
          <w:p w14:paraId="47AE9FC2">
            <w:pPr>
              <w:pStyle w:val="286"/>
              <w:adjustRightInd w:val="0"/>
              <w:snapToGrid w:val="0"/>
              <w:spacing w:line="300" w:lineRule="exact"/>
              <w:rPr>
                <w:rFonts w:hint="eastAsia"/>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选址与空间布局</w:t>
            </w:r>
          </w:p>
        </w:tc>
        <w:tc>
          <w:tcPr>
            <w:tcW w:w="3857" w:type="dxa"/>
            <w:vAlign w:val="center"/>
          </w:tcPr>
          <w:p w14:paraId="1133A1D5">
            <w:pPr>
              <w:pStyle w:val="286"/>
              <w:adjustRightInd w:val="0"/>
              <w:snapToGrid w:val="0"/>
              <w:spacing w:line="300" w:lineRule="exact"/>
              <w:rPr>
                <w:rFonts w:hint="eastAsia"/>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1.石油、天然气开发项目的选址与布局应符合自治区或油气企业相关油气开发专项规划及规划环评要求，原则上应当以区块为单位开展环境影响评价工作。</w:t>
            </w:r>
          </w:p>
        </w:tc>
        <w:tc>
          <w:tcPr>
            <w:tcW w:w="2976" w:type="dxa"/>
            <w:tcMar>
              <w:left w:w="0" w:type="dxa"/>
              <w:right w:w="0" w:type="dxa"/>
            </w:tcMar>
            <w:vAlign w:val="center"/>
          </w:tcPr>
          <w:p w14:paraId="04D41F61">
            <w:pPr>
              <w:pStyle w:val="286"/>
              <w:adjustRightInd w:val="0"/>
              <w:snapToGrid w:val="0"/>
              <w:spacing w:line="300" w:lineRule="exact"/>
              <w:rPr>
                <w:rFonts w:hint="eastAsia"/>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项目建设符合</w:t>
            </w:r>
            <w:r>
              <w:rPr>
                <w:rFonts w:hint="eastAsia"/>
                <w:color w:val="000000" w:themeColor="text1"/>
                <w:sz w:val="21"/>
                <w:lang w:bidi="ar"/>
                <w14:textFill>
                  <w14:solidFill>
                    <w14:schemeClr w14:val="tx1"/>
                  </w14:solidFill>
                </w14:textFill>
              </w:rPr>
              <w:t>《新疆油田公司“十四五”发展规划》和《新疆油田公司“十四五”发展规划环境影响报告书》的要求。</w:t>
            </w:r>
          </w:p>
        </w:tc>
        <w:tc>
          <w:tcPr>
            <w:tcW w:w="792" w:type="dxa"/>
            <w:tcMar>
              <w:left w:w="0" w:type="dxa"/>
              <w:right w:w="0" w:type="dxa"/>
            </w:tcMar>
            <w:vAlign w:val="center"/>
          </w:tcPr>
          <w:p w14:paraId="58C48C27">
            <w:pPr>
              <w:pStyle w:val="286"/>
              <w:adjustRightInd w:val="0"/>
              <w:snapToGrid w:val="0"/>
              <w:spacing w:line="300" w:lineRule="exact"/>
              <w:rPr>
                <w:rFonts w:hint="eastAsia"/>
                <w:color w:val="000000" w:themeColor="text1"/>
                <w:sz w:val="21"/>
                <w:lang w:bidi="ar"/>
                <w14:textFill>
                  <w14:solidFill>
                    <w14:schemeClr w14:val="tx1"/>
                  </w14:solidFill>
                </w14:textFill>
              </w:rPr>
            </w:pPr>
            <w:r>
              <w:rPr>
                <w:rFonts w:hint="eastAsia"/>
                <w:color w:val="000000" w:themeColor="text1"/>
                <w:sz w:val="21"/>
                <w:lang w:bidi="ar"/>
                <w14:textFill>
                  <w14:solidFill>
                    <w14:schemeClr w14:val="tx1"/>
                  </w14:solidFill>
                </w14:textFill>
              </w:rPr>
              <w:t>符合</w:t>
            </w:r>
          </w:p>
        </w:tc>
      </w:tr>
      <w:tr w14:paraId="22C0A1C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67" w:type="dxa"/>
            <w:tcMar>
              <w:left w:w="0" w:type="dxa"/>
              <w:right w:w="0" w:type="dxa"/>
            </w:tcMar>
            <w:vAlign w:val="center"/>
          </w:tcPr>
          <w:p w14:paraId="78989868">
            <w:pPr>
              <w:pStyle w:val="286"/>
              <w:adjustRightInd w:val="0"/>
              <w:snapToGrid w:val="0"/>
              <w:spacing w:line="300" w:lineRule="exact"/>
              <w:rPr>
                <w:rFonts w:hint="eastAsia"/>
                <w:color w:val="000000" w:themeColor="text1"/>
                <w:sz w:val="21"/>
                <w:lang w:bidi="ar"/>
                <w14:textFill>
                  <w14:solidFill>
                    <w14:schemeClr w14:val="tx1"/>
                  </w14:solidFill>
                </w14:textFill>
              </w:rPr>
            </w:pPr>
            <w:r>
              <w:rPr>
                <w:color w:val="000000" w:themeColor="text1"/>
                <w:sz w:val="21"/>
                <w:lang w:bidi="ar"/>
                <w14:textFill>
                  <w14:solidFill>
                    <w14:schemeClr w14:val="tx1"/>
                  </w14:solidFill>
                </w14:textFill>
              </w:rPr>
              <w:t>2</w:t>
            </w:r>
          </w:p>
        </w:tc>
        <w:tc>
          <w:tcPr>
            <w:tcW w:w="538" w:type="dxa"/>
            <w:vMerge w:val="restart"/>
            <w:tcMar>
              <w:left w:w="0" w:type="dxa"/>
              <w:right w:w="0" w:type="dxa"/>
            </w:tcMar>
            <w:vAlign w:val="center"/>
          </w:tcPr>
          <w:p w14:paraId="111BB3D6">
            <w:pPr>
              <w:pStyle w:val="286"/>
              <w:adjustRightInd w:val="0"/>
              <w:snapToGrid w:val="0"/>
              <w:spacing w:line="300" w:lineRule="exact"/>
              <w:rPr>
                <w:rFonts w:hint="eastAsia"/>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污染防治与环境影响</w:t>
            </w:r>
          </w:p>
        </w:tc>
        <w:tc>
          <w:tcPr>
            <w:tcW w:w="3857" w:type="dxa"/>
            <w:vAlign w:val="center"/>
          </w:tcPr>
          <w:p w14:paraId="6ECEDB80">
            <w:pPr>
              <w:pStyle w:val="286"/>
              <w:adjustRightInd w:val="0"/>
              <w:snapToGrid w:val="0"/>
              <w:spacing w:line="300" w:lineRule="exact"/>
              <w:rPr>
                <w:rFonts w:hint="eastAsia"/>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施工期应当尽量减少施工占地、严格控制施工作业面积、缩短施工时间、选择合理施工方式、落实环境敏感区管控要求以及其他生态环境保护措施，有效降低生态环境影响。</w:t>
            </w:r>
          </w:p>
        </w:tc>
        <w:tc>
          <w:tcPr>
            <w:tcW w:w="2976" w:type="dxa"/>
            <w:tcMar>
              <w:left w:w="0" w:type="dxa"/>
              <w:right w:w="0" w:type="dxa"/>
            </w:tcMar>
            <w:vAlign w:val="center"/>
          </w:tcPr>
          <w:p w14:paraId="10C7B7A3">
            <w:pPr>
              <w:pStyle w:val="286"/>
              <w:adjustRightInd w:val="0"/>
              <w:snapToGrid w:val="0"/>
              <w:spacing w:line="300" w:lineRule="exact"/>
              <w:jc w:val="both"/>
              <w:rPr>
                <w:rFonts w:hint="eastAsia"/>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施工期严格控制施工作业面积，尽量减少施工占地、缩短施工时间，项目区周围无环境敏感区。</w:t>
            </w:r>
          </w:p>
        </w:tc>
        <w:tc>
          <w:tcPr>
            <w:tcW w:w="792" w:type="dxa"/>
            <w:tcMar>
              <w:left w:w="0" w:type="dxa"/>
              <w:right w:w="0" w:type="dxa"/>
            </w:tcMar>
            <w:vAlign w:val="center"/>
          </w:tcPr>
          <w:p w14:paraId="58DC9EB0">
            <w:pPr>
              <w:pStyle w:val="286"/>
              <w:adjustRightInd w:val="0"/>
              <w:snapToGrid w:val="0"/>
              <w:spacing w:line="300" w:lineRule="exact"/>
              <w:rPr>
                <w:rFonts w:hint="eastAsia"/>
                <w:color w:val="000000" w:themeColor="text1"/>
                <w:sz w:val="21"/>
                <w:lang w:bidi="ar"/>
                <w14:textFill>
                  <w14:solidFill>
                    <w14:schemeClr w14:val="tx1"/>
                  </w14:solidFill>
                </w14:textFill>
              </w:rPr>
            </w:pPr>
            <w:r>
              <w:rPr>
                <w:rFonts w:hint="eastAsia"/>
                <w:color w:val="000000" w:themeColor="text1"/>
                <w:sz w:val="21"/>
                <w:lang w:bidi="ar"/>
                <w14:textFill>
                  <w14:solidFill>
                    <w14:schemeClr w14:val="tx1"/>
                  </w14:solidFill>
                </w14:textFill>
              </w:rPr>
              <w:t>符合</w:t>
            </w:r>
          </w:p>
        </w:tc>
      </w:tr>
      <w:tr w14:paraId="240796D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67" w:type="dxa"/>
            <w:tcMar>
              <w:left w:w="0" w:type="dxa"/>
              <w:right w:w="0" w:type="dxa"/>
            </w:tcMar>
            <w:vAlign w:val="center"/>
          </w:tcPr>
          <w:p w14:paraId="530C0379">
            <w:pPr>
              <w:pStyle w:val="286"/>
              <w:adjustRightInd w:val="0"/>
              <w:snapToGrid w:val="0"/>
              <w:spacing w:line="300" w:lineRule="exact"/>
              <w:rPr>
                <w:rFonts w:hint="eastAsia"/>
                <w:color w:val="000000" w:themeColor="text1"/>
                <w:sz w:val="21"/>
                <w:lang w:bidi="ar"/>
                <w14:textFill>
                  <w14:solidFill>
                    <w14:schemeClr w14:val="tx1"/>
                  </w14:solidFill>
                </w14:textFill>
              </w:rPr>
            </w:pPr>
            <w:r>
              <w:rPr>
                <w:rFonts w:hint="eastAsia"/>
                <w:color w:val="000000" w:themeColor="text1"/>
                <w:sz w:val="21"/>
                <w:lang w:bidi="ar"/>
                <w14:textFill>
                  <w14:solidFill>
                    <w14:schemeClr w14:val="tx1"/>
                  </w14:solidFill>
                </w14:textFill>
              </w:rPr>
              <w:t>3</w:t>
            </w:r>
          </w:p>
        </w:tc>
        <w:tc>
          <w:tcPr>
            <w:tcW w:w="538" w:type="dxa"/>
            <w:vMerge w:val="continue"/>
            <w:tcMar>
              <w:left w:w="0" w:type="dxa"/>
              <w:right w:w="0" w:type="dxa"/>
            </w:tcMar>
            <w:vAlign w:val="center"/>
          </w:tcPr>
          <w:p w14:paraId="0EEE162C">
            <w:pPr>
              <w:pStyle w:val="286"/>
              <w:adjustRightInd w:val="0"/>
              <w:snapToGrid w:val="0"/>
              <w:spacing w:line="300" w:lineRule="exact"/>
              <w:rPr>
                <w:rFonts w:hint="eastAsia"/>
                <w:color w:val="000000" w:themeColor="text1"/>
                <w:sz w:val="21"/>
                <w14:textFill>
                  <w14:solidFill>
                    <w14:schemeClr w14:val="tx1"/>
                  </w14:solidFill>
                </w14:textFill>
              </w:rPr>
            </w:pPr>
          </w:p>
        </w:tc>
        <w:tc>
          <w:tcPr>
            <w:tcW w:w="3857" w:type="dxa"/>
            <w:vAlign w:val="center"/>
          </w:tcPr>
          <w:p w14:paraId="5ED547F6">
            <w:pPr>
              <w:pStyle w:val="286"/>
              <w:adjustRightInd w:val="0"/>
              <w:snapToGrid w:val="0"/>
              <w:spacing w:line="300" w:lineRule="exact"/>
              <w:jc w:val="both"/>
              <w:rPr>
                <w:rFonts w:hint="eastAsia"/>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陆地油气开发项目应当对挥发性有机物液体储存和装载损失、废水集输和处理系统、设备与管线组件泄漏、非正常工况等挥发性有机物无组织排放源进行有效管控，通过采取设备密闭、废气有效收集及配套高效末端处理设施等措施，有效控制挥发性有机物和恶臭气体无组织排放，油气集输损耗率不得高于0.5%；工艺过程控制措施、废气收集处理措施以及站场边界非甲烷总烃排放浓度应满足《陆上石油天然气开采工业大气污染物排放标准》（GB39728）要求。炉、加热炉、压缩机等装置应优先使用清洁燃料或能源，燃煤燃气锅炉、加热炉废气排放应达到《锅炉大气污染物排放标准》（GB13271）要求，有地方标准的按地方标准执行。涉及高含硫天然气开采的，应当强化钻井、输送、净化等环节环境风险防范措施。高含硫气田回注采出水，应当采取有效措施减少废水处理站和回注井场硫化氢的无组织排放。高含硫天然气净化厂应采用先进高效的硫磺回收工艺，减少二氧化硫排放。</w:t>
            </w:r>
          </w:p>
        </w:tc>
        <w:tc>
          <w:tcPr>
            <w:tcW w:w="2976" w:type="dxa"/>
            <w:tcMar>
              <w:left w:w="0" w:type="dxa"/>
              <w:right w:w="0" w:type="dxa"/>
            </w:tcMar>
            <w:vAlign w:val="center"/>
          </w:tcPr>
          <w:p w14:paraId="37368820">
            <w:pPr>
              <w:pStyle w:val="286"/>
              <w:adjustRightInd w:val="0"/>
              <w:snapToGrid w:val="0"/>
              <w:spacing w:line="300" w:lineRule="exact"/>
              <w:jc w:val="both"/>
              <w:rPr>
                <w:rFonts w:hint="eastAsia"/>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井口采出物通过管线管输至预处理站处理，分离出的采出液经集气支线管输至1号混输泵站，最终管输至页岩油联合站原油处理系统处理，伴生气经分子筛脱水后经单井注气管线管输至注气井场回注地层。选用质量可靠的设备、仪表、阀门等；定期对井场、阀门和管线等检查、检修；项目不涉及燃煤、燃气锅炉、加热炉，井口设有除硫装置；采取以上措施后井场、预处理注入站厂界非甲烷总烃满足《陆上石油天然气开采工业大气污染物排放标准》（GB39728—2020）企业边界污染物控制要求，硫化氢排放浓度满足《恶臭污染物排放标准》（GB14554-93）表1二级新改扩建浓度中的相关要求。</w:t>
            </w:r>
          </w:p>
        </w:tc>
        <w:tc>
          <w:tcPr>
            <w:tcW w:w="792" w:type="dxa"/>
            <w:tcMar>
              <w:left w:w="0" w:type="dxa"/>
              <w:right w:w="0" w:type="dxa"/>
            </w:tcMar>
            <w:vAlign w:val="center"/>
          </w:tcPr>
          <w:p w14:paraId="421112B6">
            <w:pPr>
              <w:pStyle w:val="286"/>
              <w:adjustRightInd w:val="0"/>
              <w:snapToGrid w:val="0"/>
              <w:spacing w:line="300" w:lineRule="exact"/>
              <w:rPr>
                <w:rFonts w:hint="eastAsia"/>
                <w:color w:val="000000" w:themeColor="text1"/>
                <w:sz w:val="21"/>
                <w:lang w:bidi="ar"/>
                <w14:textFill>
                  <w14:solidFill>
                    <w14:schemeClr w14:val="tx1"/>
                  </w14:solidFill>
                </w14:textFill>
              </w:rPr>
            </w:pPr>
            <w:r>
              <w:rPr>
                <w:rFonts w:hint="eastAsia"/>
                <w:color w:val="000000" w:themeColor="text1"/>
                <w:sz w:val="21"/>
                <w:lang w:bidi="ar"/>
                <w14:textFill>
                  <w14:solidFill>
                    <w14:schemeClr w14:val="tx1"/>
                  </w14:solidFill>
                </w14:textFill>
              </w:rPr>
              <w:t>符合</w:t>
            </w:r>
          </w:p>
        </w:tc>
      </w:tr>
      <w:tr w14:paraId="594749C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67" w:type="dxa"/>
            <w:tcMar>
              <w:left w:w="0" w:type="dxa"/>
              <w:right w:w="0" w:type="dxa"/>
            </w:tcMar>
            <w:vAlign w:val="center"/>
          </w:tcPr>
          <w:p w14:paraId="5232EEA7">
            <w:pPr>
              <w:pStyle w:val="286"/>
              <w:adjustRightInd w:val="0"/>
              <w:snapToGrid w:val="0"/>
              <w:spacing w:line="300" w:lineRule="exact"/>
              <w:rPr>
                <w:rFonts w:hint="eastAsia"/>
                <w:color w:val="000000" w:themeColor="text1"/>
                <w:sz w:val="21"/>
                <w:lang w:bidi="ar"/>
                <w14:textFill>
                  <w14:solidFill>
                    <w14:schemeClr w14:val="tx1"/>
                  </w14:solidFill>
                </w14:textFill>
              </w:rPr>
            </w:pPr>
            <w:r>
              <w:rPr>
                <w:rFonts w:hint="eastAsia"/>
                <w:color w:val="000000" w:themeColor="text1"/>
                <w:sz w:val="21"/>
                <w:lang w:bidi="ar"/>
                <w14:textFill>
                  <w14:solidFill>
                    <w14:schemeClr w14:val="tx1"/>
                  </w14:solidFill>
                </w14:textFill>
              </w:rPr>
              <w:t>4</w:t>
            </w:r>
          </w:p>
        </w:tc>
        <w:tc>
          <w:tcPr>
            <w:tcW w:w="538" w:type="dxa"/>
            <w:vMerge w:val="continue"/>
            <w:tcMar>
              <w:left w:w="0" w:type="dxa"/>
              <w:right w:w="0" w:type="dxa"/>
            </w:tcMar>
            <w:vAlign w:val="center"/>
          </w:tcPr>
          <w:p w14:paraId="06FA651F">
            <w:pPr>
              <w:pStyle w:val="286"/>
              <w:adjustRightInd w:val="0"/>
              <w:snapToGrid w:val="0"/>
              <w:spacing w:line="300" w:lineRule="exact"/>
              <w:rPr>
                <w:rFonts w:hint="eastAsia"/>
                <w:color w:val="000000" w:themeColor="text1"/>
                <w:sz w:val="21"/>
                <w14:textFill>
                  <w14:solidFill>
                    <w14:schemeClr w14:val="tx1"/>
                  </w14:solidFill>
                </w14:textFill>
              </w:rPr>
            </w:pPr>
          </w:p>
        </w:tc>
        <w:tc>
          <w:tcPr>
            <w:tcW w:w="3857" w:type="dxa"/>
            <w:vAlign w:val="center"/>
          </w:tcPr>
          <w:p w14:paraId="4F0611AE">
            <w:pPr>
              <w:pStyle w:val="286"/>
              <w:adjustRightInd w:val="0"/>
              <w:snapToGrid w:val="0"/>
              <w:spacing w:line="300" w:lineRule="exact"/>
              <w:jc w:val="both"/>
              <w:rPr>
                <w:rFonts w:hint="eastAsia"/>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油气开发产生的伴生气应优先回收利用，减少温室气体排放，开发区块伴生气整体回收利用率应达到80%以上；边远井、零散井等产生的伴生气不能回收或难以回收的，应经燃烧后放空。鼓励油气企业将碳捕集、利用与封存（CCUS）技术用于油气开采，提高采收率、减少温室气体排放。</w:t>
            </w:r>
          </w:p>
        </w:tc>
        <w:tc>
          <w:tcPr>
            <w:tcW w:w="2976" w:type="dxa"/>
            <w:tcMar>
              <w:left w:w="0" w:type="dxa"/>
              <w:right w:w="0" w:type="dxa"/>
            </w:tcMar>
            <w:vAlign w:val="center"/>
          </w:tcPr>
          <w:p w14:paraId="36E11BA0">
            <w:pPr>
              <w:pStyle w:val="286"/>
              <w:adjustRightInd w:val="0"/>
              <w:snapToGrid w:val="0"/>
              <w:spacing w:line="300" w:lineRule="exact"/>
              <w:jc w:val="both"/>
              <w:rPr>
                <w:rFonts w:hint="eastAsia"/>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井口采出物通过管线管输至预处理站处理，分离出的采出液经集气支线管输至1号混输泵站，最终管输至页岩油联合站采出水处理系统处理，伴生气经分子筛脱水后经单井注气管线管输至注气井场回注地层。本项目采用注CO</w:t>
            </w:r>
            <w:r>
              <w:rPr>
                <w:rFonts w:hint="eastAsia"/>
                <w:color w:val="000000" w:themeColor="text1"/>
                <w:sz w:val="21"/>
                <w:vertAlign w:val="subscript"/>
                <w14:textFill>
                  <w14:solidFill>
                    <w14:schemeClr w14:val="tx1"/>
                  </w14:solidFill>
                </w14:textFill>
              </w:rPr>
              <w:t>2</w:t>
            </w:r>
            <w:r>
              <w:rPr>
                <w:rFonts w:hint="eastAsia"/>
                <w:color w:val="000000" w:themeColor="text1"/>
                <w:sz w:val="21"/>
                <w14:textFill>
                  <w14:solidFill>
                    <w14:schemeClr w14:val="tx1"/>
                  </w14:solidFill>
                </w14:textFill>
              </w:rPr>
              <w:t>开采，CO</w:t>
            </w:r>
            <w:r>
              <w:rPr>
                <w:rFonts w:hint="eastAsia"/>
                <w:color w:val="000000" w:themeColor="text1"/>
                <w:sz w:val="21"/>
                <w:vertAlign w:val="subscript"/>
                <w14:textFill>
                  <w14:solidFill>
                    <w14:schemeClr w14:val="tx1"/>
                  </w14:solidFill>
                </w14:textFill>
              </w:rPr>
              <w:t>2</w:t>
            </w:r>
            <w:r>
              <w:rPr>
                <w:rFonts w:hint="eastAsia"/>
                <w:color w:val="000000" w:themeColor="text1"/>
                <w:sz w:val="21"/>
                <w14:textFill>
                  <w14:solidFill>
                    <w14:schemeClr w14:val="tx1"/>
                  </w14:solidFill>
                </w14:textFill>
              </w:rPr>
              <w:t>部分封存于地下，减少了温室气体排放。</w:t>
            </w:r>
          </w:p>
        </w:tc>
        <w:tc>
          <w:tcPr>
            <w:tcW w:w="792" w:type="dxa"/>
            <w:tcMar>
              <w:left w:w="0" w:type="dxa"/>
              <w:right w:w="0" w:type="dxa"/>
            </w:tcMar>
            <w:vAlign w:val="center"/>
          </w:tcPr>
          <w:p w14:paraId="74ED93AD">
            <w:pPr>
              <w:pStyle w:val="286"/>
              <w:adjustRightInd w:val="0"/>
              <w:snapToGrid w:val="0"/>
              <w:spacing w:line="300" w:lineRule="exact"/>
              <w:rPr>
                <w:rFonts w:hint="eastAsia"/>
                <w:color w:val="000000" w:themeColor="text1"/>
                <w:sz w:val="21"/>
                <w:lang w:bidi="ar"/>
                <w14:textFill>
                  <w14:solidFill>
                    <w14:schemeClr w14:val="tx1"/>
                  </w14:solidFill>
                </w14:textFill>
              </w:rPr>
            </w:pPr>
            <w:r>
              <w:rPr>
                <w:rFonts w:hint="eastAsia"/>
                <w:color w:val="000000" w:themeColor="text1"/>
                <w:sz w:val="21"/>
                <w:lang w:bidi="ar"/>
                <w14:textFill>
                  <w14:solidFill>
                    <w14:schemeClr w14:val="tx1"/>
                  </w14:solidFill>
                </w14:textFill>
              </w:rPr>
              <w:t>符合</w:t>
            </w:r>
          </w:p>
        </w:tc>
      </w:tr>
      <w:tr w14:paraId="11877E3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67" w:type="dxa"/>
            <w:tcMar>
              <w:left w:w="0" w:type="dxa"/>
              <w:right w:w="0" w:type="dxa"/>
            </w:tcMar>
            <w:vAlign w:val="center"/>
          </w:tcPr>
          <w:p w14:paraId="1EE67A44">
            <w:pPr>
              <w:pStyle w:val="286"/>
              <w:adjustRightInd w:val="0"/>
              <w:snapToGrid w:val="0"/>
              <w:spacing w:line="300" w:lineRule="exact"/>
              <w:rPr>
                <w:rFonts w:hint="eastAsia"/>
                <w:color w:val="000000" w:themeColor="text1"/>
                <w:sz w:val="21"/>
                <w:lang w:bidi="ar"/>
                <w14:textFill>
                  <w14:solidFill>
                    <w14:schemeClr w14:val="tx1"/>
                  </w14:solidFill>
                </w14:textFill>
              </w:rPr>
            </w:pPr>
            <w:r>
              <w:rPr>
                <w:rFonts w:hint="eastAsia"/>
                <w:color w:val="000000" w:themeColor="text1"/>
                <w:sz w:val="21"/>
                <w:lang w:bidi="ar"/>
                <w14:textFill>
                  <w14:solidFill>
                    <w14:schemeClr w14:val="tx1"/>
                  </w14:solidFill>
                </w14:textFill>
              </w:rPr>
              <w:t>5</w:t>
            </w:r>
          </w:p>
        </w:tc>
        <w:tc>
          <w:tcPr>
            <w:tcW w:w="538" w:type="dxa"/>
            <w:vMerge w:val="continue"/>
            <w:tcMar>
              <w:left w:w="0" w:type="dxa"/>
              <w:right w:w="0" w:type="dxa"/>
            </w:tcMar>
            <w:vAlign w:val="center"/>
          </w:tcPr>
          <w:p w14:paraId="0AED38CE">
            <w:pPr>
              <w:pStyle w:val="286"/>
              <w:adjustRightInd w:val="0"/>
              <w:snapToGrid w:val="0"/>
              <w:spacing w:line="300" w:lineRule="exact"/>
              <w:rPr>
                <w:rFonts w:hint="eastAsia"/>
                <w:color w:val="000000" w:themeColor="text1"/>
                <w:sz w:val="21"/>
                <w14:textFill>
                  <w14:solidFill>
                    <w14:schemeClr w14:val="tx1"/>
                  </w14:solidFill>
                </w14:textFill>
              </w:rPr>
            </w:pPr>
          </w:p>
        </w:tc>
        <w:tc>
          <w:tcPr>
            <w:tcW w:w="3857" w:type="dxa"/>
            <w:vAlign w:val="center"/>
          </w:tcPr>
          <w:p w14:paraId="49A8EFDB">
            <w:pPr>
              <w:pStyle w:val="286"/>
              <w:adjustRightInd w:val="0"/>
              <w:snapToGrid w:val="0"/>
              <w:spacing w:line="300" w:lineRule="exact"/>
              <w:rPr>
                <w:rFonts w:hint="eastAsia"/>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陆地油气开发项目产生的废水应经处理后优先回用，无法回用的应满足国家和地方相关污染物排放标准后排放，工业废水回用率应达到90%以上。钻井及储层改造应采用环境友好的油田化学助剂、酸化液、压裂液、钻井液，配备完善的固控设备，钻井液循环率应达到95%以上，压裂废液、酸化废液等井下作业废水应100%返排入罐。</w:t>
            </w:r>
          </w:p>
        </w:tc>
        <w:tc>
          <w:tcPr>
            <w:tcW w:w="2976" w:type="dxa"/>
            <w:tcMar>
              <w:left w:w="0" w:type="dxa"/>
              <w:right w:w="0" w:type="dxa"/>
            </w:tcMar>
            <w:vAlign w:val="center"/>
          </w:tcPr>
          <w:p w14:paraId="71068729">
            <w:pPr>
              <w:pStyle w:val="286"/>
              <w:adjustRightInd w:val="0"/>
              <w:snapToGrid w:val="0"/>
              <w:spacing w:line="300" w:lineRule="exact"/>
              <w:jc w:val="both"/>
              <w:rPr>
                <w:rFonts w:hint="eastAsia"/>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井下作业废液和采出水均送至压裂返排液处理装置处理；不使用钻井液、不涉及储层改造。</w:t>
            </w:r>
          </w:p>
        </w:tc>
        <w:tc>
          <w:tcPr>
            <w:tcW w:w="792" w:type="dxa"/>
            <w:tcMar>
              <w:left w:w="0" w:type="dxa"/>
              <w:right w:w="0" w:type="dxa"/>
            </w:tcMar>
            <w:vAlign w:val="center"/>
          </w:tcPr>
          <w:p w14:paraId="227C3199">
            <w:pPr>
              <w:pStyle w:val="286"/>
              <w:adjustRightInd w:val="0"/>
              <w:snapToGrid w:val="0"/>
              <w:spacing w:line="300" w:lineRule="exact"/>
              <w:rPr>
                <w:rFonts w:hint="eastAsia"/>
                <w:color w:val="000000" w:themeColor="text1"/>
                <w:sz w:val="21"/>
                <w:lang w:bidi="ar"/>
                <w14:textFill>
                  <w14:solidFill>
                    <w14:schemeClr w14:val="tx1"/>
                  </w14:solidFill>
                </w14:textFill>
              </w:rPr>
            </w:pPr>
            <w:r>
              <w:rPr>
                <w:rFonts w:hint="eastAsia"/>
                <w:color w:val="000000" w:themeColor="text1"/>
                <w:sz w:val="21"/>
                <w:lang w:bidi="ar"/>
                <w14:textFill>
                  <w14:solidFill>
                    <w14:schemeClr w14:val="tx1"/>
                  </w14:solidFill>
                </w14:textFill>
              </w:rPr>
              <w:t>符合</w:t>
            </w:r>
          </w:p>
        </w:tc>
      </w:tr>
      <w:tr w14:paraId="58BCBD0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67" w:type="dxa"/>
            <w:tcMar>
              <w:left w:w="0" w:type="dxa"/>
              <w:right w:w="0" w:type="dxa"/>
            </w:tcMar>
            <w:vAlign w:val="center"/>
          </w:tcPr>
          <w:p w14:paraId="1602EB31">
            <w:pPr>
              <w:pStyle w:val="286"/>
              <w:adjustRightInd w:val="0"/>
              <w:snapToGrid w:val="0"/>
              <w:spacing w:line="300" w:lineRule="exact"/>
              <w:rPr>
                <w:rFonts w:hint="eastAsia"/>
                <w:color w:val="000000" w:themeColor="text1"/>
                <w:sz w:val="21"/>
                <w:lang w:bidi="ar"/>
                <w14:textFill>
                  <w14:solidFill>
                    <w14:schemeClr w14:val="tx1"/>
                  </w14:solidFill>
                </w14:textFill>
              </w:rPr>
            </w:pPr>
            <w:r>
              <w:rPr>
                <w:rFonts w:hint="eastAsia"/>
                <w:color w:val="000000" w:themeColor="text1"/>
                <w:sz w:val="21"/>
                <w:lang w:bidi="ar"/>
                <w14:textFill>
                  <w14:solidFill>
                    <w14:schemeClr w14:val="tx1"/>
                  </w14:solidFill>
                </w14:textFill>
              </w:rPr>
              <w:t>6</w:t>
            </w:r>
          </w:p>
        </w:tc>
        <w:tc>
          <w:tcPr>
            <w:tcW w:w="538" w:type="dxa"/>
            <w:vMerge w:val="continue"/>
            <w:tcMar>
              <w:left w:w="0" w:type="dxa"/>
              <w:right w:w="0" w:type="dxa"/>
            </w:tcMar>
            <w:vAlign w:val="center"/>
          </w:tcPr>
          <w:p w14:paraId="0905620A">
            <w:pPr>
              <w:pStyle w:val="286"/>
              <w:adjustRightInd w:val="0"/>
              <w:snapToGrid w:val="0"/>
              <w:spacing w:line="300" w:lineRule="exact"/>
              <w:rPr>
                <w:rFonts w:hint="eastAsia"/>
                <w:color w:val="000000" w:themeColor="text1"/>
                <w:sz w:val="21"/>
                <w14:textFill>
                  <w14:solidFill>
                    <w14:schemeClr w14:val="tx1"/>
                  </w14:solidFill>
                </w14:textFill>
              </w:rPr>
            </w:pPr>
          </w:p>
        </w:tc>
        <w:tc>
          <w:tcPr>
            <w:tcW w:w="3857" w:type="dxa"/>
            <w:vAlign w:val="center"/>
          </w:tcPr>
          <w:p w14:paraId="2E8EC5B1">
            <w:pPr>
              <w:pStyle w:val="286"/>
              <w:adjustRightInd w:val="0"/>
              <w:snapToGrid w:val="0"/>
              <w:spacing w:line="300" w:lineRule="exact"/>
              <w:rPr>
                <w:rFonts w:hint="eastAsia"/>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涉及废水回注的，应采取切实可行的地下水污染防治和监控措施，不得回注与油气开采无关的废水，严禁造成地下水污染；在相关行业污染控制标准发布前，回注水应满足《碎屑岩油藏注水水质指标技术要求及分析方法）》（SY/T5329）《气田水注入技</w:t>
            </w:r>
          </w:p>
          <w:p w14:paraId="3642E9A6">
            <w:pPr>
              <w:pStyle w:val="286"/>
              <w:adjustRightInd w:val="0"/>
              <w:snapToGrid w:val="0"/>
              <w:spacing w:line="300" w:lineRule="exact"/>
              <w:rPr>
                <w:rFonts w:hint="eastAsia"/>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术要求》（SY/T6596）等相关标准要求。对于页岩油、稠油注汽开采，鼓励废水处理后回用于注汽锅炉。</w:t>
            </w:r>
          </w:p>
        </w:tc>
        <w:tc>
          <w:tcPr>
            <w:tcW w:w="2976" w:type="dxa"/>
            <w:tcMar>
              <w:left w:w="0" w:type="dxa"/>
              <w:right w:w="0" w:type="dxa"/>
            </w:tcMar>
            <w:vAlign w:val="center"/>
          </w:tcPr>
          <w:p w14:paraId="400A50AF">
            <w:pPr>
              <w:pStyle w:val="286"/>
              <w:adjustRightInd w:val="0"/>
              <w:snapToGrid w:val="0"/>
              <w:spacing w:line="300" w:lineRule="exact"/>
              <w:jc w:val="both"/>
              <w:rPr>
                <w:rFonts w:hint="eastAsia"/>
                <w:color w:val="000000" w:themeColor="text1"/>
                <w:sz w:val="21"/>
                <w14:textFill>
                  <w14:solidFill>
                    <w14:schemeClr w14:val="tx1"/>
                  </w14:solidFill>
                </w14:textFill>
              </w:rPr>
            </w:pPr>
            <w:r>
              <w:rPr>
                <w:rFonts w:hint="eastAsia"/>
                <w:color w:val="000000" w:themeColor="text1"/>
                <w:lang w:bidi="ar"/>
                <w14:textFill>
                  <w14:solidFill>
                    <w14:schemeClr w14:val="tx1"/>
                  </w14:solidFill>
                </w14:textFill>
              </w:rPr>
              <w:t>本项目采用注CO</w:t>
            </w:r>
            <w:r>
              <w:rPr>
                <w:rFonts w:hint="eastAsia"/>
                <w:color w:val="000000" w:themeColor="text1"/>
                <w:vertAlign w:val="subscript"/>
                <w:lang w:bidi="ar"/>
                <w14:textFill>
                  <w14:solidFill>
                    <w14:schemeClr w14:val="tx1"/>
                  </w14:solidFill>
                </w14:textFill>
              </w:rPr>
              <w:t>2</w:t>
            </w:r>
            <w:r>
              <w:rPr>
                <w:rFonts w:hint="eastAsia"/>
                <w:color w:val="000000" w:themeColor="text1"/>
                <w:lang w:bidi="ar"/>
                <w14:textFill>
                  <w14:solidFill>
                    <w14:schemeClr w14:val="tx1"/>
                  </w14:solidFill>
                </w14:textFill>
              </w:rPr>
              <w:t>开发，不涉及废水回注。</w:t>
            </w:r>
          </w:p>
        </w:tc>
        <w:tc>
          <w:tcPr>
            <w:tcW w:w="792" w:type="dxa"/>
            <w:tcMar>
              <w:left w:w="0" w:type="dxa"/>
              <w:right w:w="0" w:type="dxa"/>
            </w:tcMar>
            <w:vAlign w:val="center"/>
          </w:tcPr>
          <w:p w14:paraId="66C61912">
            <w:pPr>
              <w:pStyle w:val="286"/>
              <w:adjustRightInd w:val="0"/>
              <w:snapToGrid w:val="0"/>
              <w:spacing w:line="300" w:lineRule="exact"/>
              <w:rPr>
                <w:rFonts w:hint="eastAsia"/>
                <w:color w:val="000000" w:themeColor="text1"/>
                <w:sz w:val="21"/>
                <w:lang w:bidi="ar"/>
                <w14:textFill>
                  <w14:solidFill>
                    <w14:schemeClr w14:val="tx1"/>
                  </w14:solidFill>
                </w14:textFill>
              </w:rPr>
            </w:pPr>
            <w:r>
              <w:rPr>
                <w:rFonts w:hint="eastAsia"/>
                <w:color w:val="000000" w:themeColor="text1"/>
                <w:sz w:val="21"/>
                <w:lang w:bidi="ar"/>
                <w14:textFill>
                  <w14:solidFill>
                    <w14:schemeClr w14:val="tx1"/>
                  </w14:solidFill>
                </w14:textFill>
              </w:rPr>
              <w:t>符合</w:t>
            </w:r>
          </w:p>
        </w:tc>
      </w:tr>
      <w:tr w14:paraId="25AB93C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67" w:type="dxa"/>
            <w:tcMar>
              <w:left w:w="0" w:type="dxa"/>
              <w:right w:w="0" w:type="dxa"/>
            </w:tcMar>
            <w:vAlign w:val="center"/>
          </w:tcPr>
          <w:p w14:paraId="5BAC8830">
            <w:pPr>
              <w:pStyle w:val="286"/>
              <w:adjustRightInd w:val="0"/>
              <w:snapToGrid w:val="0"/>
              <w:spacing w:line="300" w:lineRule="exact"/>
              <w:rPr>
                <w:rFonts w:hint="eastAsia"/>
                <w:color w:val="000000" w:themeColor="text1"/>
                <w:sz w:val="21"/>
                <w:lang w:bidi="ar"/>
                <w14:textFill>
                  <w14:solidFill>
                    <w14:schemeClr w14:val="tx1"/>
                  </w14:solidFill>
                </w14:textFill>
              </w:rPr>
            </w:pPr>
            <w:r>
              <w:rPr>
                <w:rFonts w:hint="eastAsia"/>
                <w:color w:val="000000" w:themeColor="text1"/>
                <w:sz w:val="21"/>
                <w:lang w:bidi="ar"/>
                <w14:textFill>
                  <w14:solidFill>
                    <w14:schemeClr w14:val="tx1"/>
                  </w14:solidFill>
                </w14:textFill>
              </w:rPr>
              <w:t>7</w:t>
            </w:r>
          </w:p>
        </w:tc>
        <w:tc>
          <w:tcPr>
            <w:tcW w:w="538" w:type="dxa"/>
            <w:vMerge w:val="continue"/>
            <w:tcMar>
              <w:left w:w="0" w:type="dxa"/>
              <w:right w:w="0" w:type="dxa"/>
            </w:tcMar>
            <w:vAlign w:val="center"/>
          </w:tcPr>
          <w:p w14:paraId="04F180B1">
            <w:pPr>
              <w:pStyle w:val="286"/>
              <w:adjustRightInd w:val="0"/>
              <w:snapToGrid w:val="0"/>
              <w:spacing w:line="300" w:lineRule="exact"/>
              <w:rPr>
                <w:rFonts w:hint="eastAsia"/>
                <w:color w:val="000000" w:themeColor="text1"/>
                <w:sz w:val="21"/>
                <w14:textFill>
                  <w14:solidFill>
                    <w14:schemeClr w14:val="tx1"/>
                  </w14:solidFill>
                </w14:textFill>
              </w:rPr>
            </w:pPr>
          </w:p>
        </w:tc>
        <w:tc>
          <w:tcPr>
            <w:tcW w:w="3857" w:type="dxa"/>
            <w:vAlign w:val="center"/>
          </w:tcPr>
          <w:p w14:paraId="3FE2C551">
            <w:pPr>
              <w:pStyle w:val="286"/>
              <w:adjustRightInd w:val="0"/>
              <w:snapToGrid w:val="0"/>
              <w:spacing w:line="300" w:lineRule="exact"/>
              <w:jc w:val="both"/>
              <w:rPr>
                <w:rFonts w:hint="eastAsia"/>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废弃钻井泥浆及岩屑应采取“泥浆不落地”工艺，勘探、开发过程产生的落地原油回收率应达到100%。废弃水基钻井泥浆及岩屑经“泥浆不落地”设备处理后，固相优先综合利用，暂时不利用或者不能利用的，应按照《一般工业固体废物贮存和填埋污染控制标准》（GB18599）处置；废弃油基钻井泥浆及岩屑、落地油、清罐底泥、含油污泥、含油清管废渣、油气处理厂过滤吸附介质、废脱汞剂等危险废物，应按照国家有关规定制定危险废物管理计划，建立危险废物管理台账，依法依规自行处置或委托有相应资质的单位无害化处置。固体废物无害化处置率应达到100%。</w:t>
            </w:r>
          </w:p>
        </w:tc>
        <w:tc>
          <w:tcPr>
            <w:tcW w:w="2976" w:type="dxa"/>
            <w:tcMar>
              <w:left w:w="0" w:type="dxa"/>
              <w:right w:w="0" w:type="dxa"/>
            </w:tcMar>
            <w:vAlign w:val="center"/>
          </w:tcPr>
          <w:p w14:paraId="79B8850C">
            <w:pPr>
              <w:pStyle w:val="286"/>
              <w:adjustRightInd w:val="0"/>
              <w:snapToGrid w:val="0"/>
              <w:spacing w:line="300" w:lineRule="exact"/>
              <w:jc w:val="both"/>
              <w:rPr>
                <w:rFonts w:hint="eastAsia"/>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本项目不产生钻井岩屑；废润滑油、废油桶、废分子筛、沾油废防渗材料和废含油抹布和劳保用品均交由有相应危险废物处理资质的单位回收处理；吉庆油田作业区已制定有危险废物管理计划，建立了危险废物管理台账，固体无害化处置率达到100%。</w:t>
            </w:r>
          </w:p>
        </w:tc>
        <w:tc>
          <w:tcPr>
            <w:tcW w:w="792" w:type="dxa"/>
            <w:tcMar>
              <w:left w:w="0" w:type="dxa"/>
              <w:right w:w="0" w:type="dxa"/>
            </w:tcMar>
            <w:vAlign w:val="center"/>
          </w:tcPr>
          <w:p w14:paraId="36D50848">
            <w:pPr>
              <w:pStyle w:val="286"/>
              <w:adjustRightInd w:val="0"/>
              <w:snapToGrid w:val="0"/>
              <w:spacing w:line="300" w:lineRule="exact"/>
              <w:rPr>
                <w:rFonts w:hint="eastAsia"/>
                <w:color w:val="000000" w:themeColor="text1"/>
                <w:sz w:val="21"/>
                <w:lang w:bidi="ar"/>
                <w14:textFill>
                  <w14:solidFill>
                    <w14:schemeClr w14:val="tx1"/>
                  </w14:solidFill>
                </w14:textFill>
              </w:rPr>
            </w:pPr>
            <w:r>
              <w:rPr>
                <w:rFonts w:hint="eastAsia"/>
                <w:color w:val="000000" w:themeColor="text1"/>
                <w:sz w:val="21"/>
                <w:lang w:bidi="ar"/>
                <w14:textFill>
                  <w14:solidFill>
                    <w14:schemeClr w14:val="tx1"/>
                  </w14:solidFill>
                </w14:textFill>
              </w:rPr>
              <w:t>符合</w:t>
            </w:r>
          </w:p>
        </w:tc>
      </w:tr>
      <w:tr w14:paraId="2B3BF45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67" w:type="dxa"/>
            <w:tcMar>
              <w:left w:w="0" w:type="dxa"/>
              <w:right w:w="0" w:type="dxa"/>
            </w:tcMar>
            <w:vAlign w:val="center"/>
          </w:tcPr>
          <w:p w14:paraId="425179DC">
            <w:pPr>
              <w:pStyle w:val="286"/>
              <w:adjustRightInd w:val="0"/>
              <w:snapToGrid w:val="0"/>
              <w:spacing w:line="300" w:lineRule="exact"/>
              <w:rPr>
                <w:rFonts w:hint="eastAsia"/>
                <w:color w:val="000000" w:themeColor="text1"/>
                <w:sz w:val="21"/>
                <w:lang w:bidi="ar"/>
                <w14:textFill>
                  <w14:solidFill>
                    <w14:schemeClr w14:val="tx1"/>
                  </w14:solidFill>
                </w14:textFill>
              </w:rPr>
            </w:pPr>
            <w:r>
              <w:rPr>
                <w:rFonts w:hint="eastAsia"/>
                <w:color w:val="000000" w:themeColor="text1"/>
                <w:sz w:val="21"/>
                <w:lang w:bidi="ar"/>
                <w14:textFill>
                  <w14:solidFill>
                    <w14:schemeClr w14:val="tx1"/>
                  </w14:solidFill>
                </w14:textFill>
              </w:rPr>
              <w:t>8</w:t>
            </w:r>
          </w:p>
        </w:tc>
        <w:tc>
          <w:tcPr>
            <w:tcW w:w="538" w:type="dxa"/>
            <w:vMerge w:val="continue"/>
            <w:tcMar>
              <w:left w:w="0" w:type="dxa"/>
              <w:right w:w="0" w:type="dxa"/>
            </w:tcMar>
            <w:vAlign w:val="center"/>
          </w:tcPr>
          <w:p w14:paraId="4ABCBFB8">
            <w:pPr>
              <w:pStyle w:val="286"/>
              <w:adjustRightInd w:val="0"/>
              <w:snapToGrid w:val="0"/>
              <w:spacing w:line="300" w:lineRule="exact"/>
              <w:rPr>
                <w:rFonts w:hint="eastAsia"/>
                <w:color w:val="000000" w:themeColor="text1"/>
                <w:sz w:val="21"/>
                <w14:textFill>
                  <w14:solidFill>
                    <w14:schemeClr w14:val="tx1"/>
                  </w14:solidFill>
                </w14:textFill>
              </w:rPr>
            </w:pPr>
          </w:p>
        </w:tc>
        <w:tc>
          <w:tcPr>
            <w:tcW w:w="3857" w:type="dxa"/>
            <w:vAlign w:val="center"/>
          </w:tcPr>
          <w:p w14:paraId="4613C4AB">
            <w:pPr>
              <w:pStyle w:val="286"/>
              <w:adjustRightInd w:val="0"/>
              <w:snapToGrid w:val="0"/>
              <w:spacing w:line="300" w:lineRule="exact"/>
              <w:rPr>
                <w:rFonts w:hint="eastAsia"/>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噪声排放应达到《工业企业厂界环境噪声排放标准》（GB12348）要求。</w:t>
            </w:r>
          </w:p>
        </w:tc>
        <w:tc>
          <w:tcPr>
            <w:tcW w:w="2976" w:type="dxa"/>
            <w:tcMar>
              <w:left w:w="0" w:type="dxa"/>
              <w:right w:w="0" w:type="dxa"/>
            </w:tcMar>
            <w:vAlign w:val="center"/>
          </w:tcPr>
          <w:p w14:paraId="7F6CB141">
            <w:pPr>
              <w:pStyle w:val="286"/>
              <w:adjustRightInd w:val="0"/>
              <w:snapToGrid w:val="0"/>
              <w:spacing w:line="300" w:lineRule="exact"/>
              <w:jc w:val="both"/>
              <w:rPr>
                <w:rFonts w:hint="eastAsia"/>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尽量选用低噪声设备，对噪声强度较大的设备进行基础减振等减噪处理；定期给机泵等设备加润滑油和减振垫，对各种机械设备定期保养；合理布局使</w:t>
            </w:r>
            <w:r>
              <w:rPr>
                <w:rFonts w:hint="eastAsia"/>
                <w:color w:val="000000" w:themeColor="text1"/>
                <w14:textFill>
                  <w14:solidFill>
                    <w14:schemeClr w14:val="tx1"/>
                  </w14:solidFill>
                </w14:textFill>
              </w:rPr>
              <w:t>螺杆泵</w:t>
            </w:r>
            <w:r>
              <w:rPr>
                <w:rFonts w:hint="eastAsia"/>
                <w:color w:val="000000" w:themeColor="text1"/>
                <w:sz w:val="21"/>
                <w14:textFill>
                  <w14:solidFill>
                    <w14:schemeClr w14:val="tx1"/>
                  </w14:solidFill>
                </w14:textFill>
              </w:rPr>
              <w:t>尽可能位于井场中心；采取以上措施后井场厂界能够满足《工业企业厂界环境噪声排放标准》（GB12348-2008）</w:t>
            </w:r>
            <w:r>
              <w:rPr>
                <w:color w:val="000000" w:themeColor="text1"/>
                <w:sz w:val="21"/>
                <w14:textFill>
                  <w14:solidFill>
                    <w14:schemeClr w14:val="tx1"/>
                  </w14:solidFill>
                </w14:textFill>
              </w:rPr>
              <w:t>2</w:t>
            </w:r>
            <w:r>
              <w:rPr>
                <w:rFonts w:hint="eastAsia"/>
                <w:color w:val="000000" w:themeColor="text1"/>
                <w:sz w:val="21"/>
                <w14:textFill>
                  <w14:solidFill>
                    <w14:schemeClr w14:val="tx1"/>
                  </w14:solidFill>
                </w14:textFill>
              </w:rPr>
              <w:t>类声功能区环境噪声限值要求。</w:t>
            </w:r>
          </w:p>
        </w:tc>
        <w:tc>
          <w:tcPr>
            <w:tcW w:w="792" w:type="dxa"/>
            <w:tcMar>
              <w:left w:w="0" w:type="dxa"/>
              <w:right w:w="0" w:type="dxa"/>
            </w:tcMar>
            <w:vAlign w:val="center"/>
          </w:tcPr>
          <w:p w14:paraId="07D9025A">
            <w:pPr>
              <w:pStyle w:val="286"/>
              <w:adjustRightInd w:val="0"/>
              <w:snapToGrid w:val="0"/>
              <w:spacing w:line="300" w:lineRule="exact"/>
              <w:rPr>
                <w:rFonts w:hint="eastAsia"/>
                <w:color w:val="000000" w:themeColor="text1"/>
                <w:sz w:val="21"/>
                <w:lang w:bidi="ar"/>
                <w14:textFill>
                  <w14:solidFill>
                    <w14:schemeClr w14:val="tx1"/>
                  </w14:solidFill>
                </w14:textFill>
              </w:rPr>
            </w:pPr>
            <w:r>
              <w:rPr>
                <w:rFonts w:hint="eastAsia"/>
                <w:color w:val="000000" w:themeColor="text1"/>
                <w:sz w:val="21"/>
                <w:lang w:bidi="ar"/>
                <w14:textFill>
                  <w14:solidFill>
                    <w14:schemeClr w14:val="tx1"/>
                  </w14:solidFill>
                </w14:textFill>
              </w:rPr>
              <w:t>符合</w:t>
            </w:r>
          </w:p>
        </w:tc>
      </w:tr>
      <w:tr w14:paraId="2ED2BB8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67" w:type="dxa"/>
            <w:tcMar>
              <w:left w:w="0" w:type="dxa"/>
              <w:right w:w="0" w:type="dxa"/>
            </w:tcMar>
            <w:vAlign w:val="center"/>
          </w:tcPr>
          <w:p w14:paraId="361A5A12">
            <w:pPr>
              <w:pStyle w:val="286"/>
              <w:adjustRightInd w:val="0"/>
              <w:snapToGrid w:val="0"/>
              <w:spacing w:line="300" w:lineRule="exact"/>
              <w:rPr>
                <w:rFonts w:hint="eastAsia"/>
                <w:color w:val="000000" w:themeColor="text1"/>
                <w:sz w:val="21"/>
                <w:lang w:bidi="ar"/>
                <w14:textFill>
                  <w14:solidFill>
                    <w14:schemeClr w14:val="tx1"/>
                  </w14:solidFill>
                </w14:textFill>
              </w:rPr>
            </w:pPr>
            <w:r>
              <w:rPr>
                <w:rFonts w:hint="eastAsia"/>
                <w:color w:val="000000" w:themeColor="text1"/>
                <w:sz w:val="21"/>
                <w:lang w:bidi="ar"/>
                <w14:textFill>
                  <w14:solidFill>
                    <w14:schemeClr w14:val="tx1"/>
                  </w14:solidFill>
                </w14:textFill>
              </w:rPr>
              <w:t>9</w:t>
            </w:r>
          </w:p>
        </w:tc>
        <w:tc>
          <w:tcPr>
            <w:tcW w:w="538" w:type="dxa"/>
            <w:vMerge w:val="continue"/>
            <w:tcMar>
              <w:left w:w="0" w:type="dxa"/>
              <w:right w:w="0" w:type="dxa"/>
            </w:tcMar>
            <w:vAlign w:val="center"/>
          </w:tcPr>
          <w:p w14:paraId="2BFE268D">
            <w:pPr>
              <w:pStyle w:val="286"/>
              <w:adjustRightInd w:val="0"/>
              <w:snapToGrid w:val="0"/>
              <w:spacing w:line="300" w:lineRule="exact"/>
              <w:rPr>
                <w:rFonts w:hint="eastAsia"/>
                <w:color w:val="000000" w:themeColor="text1"/>
                <w:sz w:val="21"/>
                <w14:textFill>
                  <w14:solidFill>
                    <w14:schemeClr w14:val="tx1"/>
                  </w14:solidFill>
                </w14:textFill>
              </w:rPr>
            </w:pPr>
          </w:p>
        </w:tc>
        <w:tc>
          <w:tcPr>
            <w:tcW w:w="3857" w:type="dxa"/>
            <w:vAlign w:val="center"/>
          </w:tcPr>
          <w:p w14:paraId="5019CA09">
            <w:pPr>
              <w:pStyle w:val="286"/>
              <w:adjustRightInd w:val="0"/>
              <w:snapToGrid w:val="0"/>
              <w:spacing w:line="300" w:lineRule="exact"/>
              <w:jc w:val="both"/>
              <w:rPr>
                <w:rFonts w:hint="eastAsia"/>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对拟退役的废弃井（站）场、管道、道路等工程设施应进行生态修复，生态修复前应对废弃油（气）井、管道进行封堵或设施拆除，确保无土壤及地下水环境污染遗留问题、废弃物得到妥善处置。生态修复应满足《矿山生态环境保护与恢复治理技术规范（试行）》（HJ651）、《废弃井封井回填技术指南（试行）》《废弃井及长停井处置指南》（SY/T6646）《陆上石油天然气开采业绿色矿山建设规范》（DZ/T0317）等相关要求。</w:t>
            </w:r>
          </w:p>
        </w:tc>
        <w:tc>
          <w:tcPr>
            <w:tcW w:w="2976" w:type="dxa"/>
            <w:tcMar>
              <w:left w:w="0" w:type="dxa"/>
              <w:right w:w="0" w:type="dxa"/>
            </w:tcMar>
            <w:vAlign w:val="center"/>
          </w:tcPr>
          <w:p w14:paraId="08689ACF">
            <w:pPr>
              <w:pStyle w:val="286"/>
              <w:adjustRightInd w:val="0"/>
              <w:snapToGrid w:val="0"/>
              <w:spacing w:line="300" w:lineRule="exact"/>
              <w:jc w:val="both"/>
              <w:rPr>
                <w:rFonts w:hint="eastAsia"/>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报告对拟退役的废弃井进行封井，拆除井场各类设备设施及管线的拆除、井区废弃管线的封堵等施工活动；根据《矿山生态环境保护与恢复治理技术规范（试行）》（HJ651-2013）、《废弃井封井回填技术指南（试行）》的相关要求，提出了生态修复方案。</w:t>
            </w:r>
          </w:p>
        </w:tc>
        <w:tc>
          <w:tcPr>
            <w:tcW w:w="792" w:type="dxa"/>
            <w:tcMar>
              <w:left w:w="0" w:type="dxa"/>
              <w:right w:w="0" w:type="dxa"/>
            </w:tcMar>
            <w:vAlign w:val="center"/>
          </w:tcPr>
          <w:p w14:paraId="30079B04">
            <w:pPr>
              <w:pStyle w:val="286"/>
              <w:adjustRightInd w:val="0"/>
              <w:snapToGrid w:val="0"/>
              <w:spacing w:line="300" w:lineRule="exact"/>
              <w:rPr>
                <w:rFonts w:hint="eastAsia"/>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符合</w:t>
            </w:r>
          </w:p>
        </w:tc>
      </w:tr>
    </w:tbl>
    <w:p w14:paraId="6571D48E">
      <w:pPr>
        <w:pStyle w:val="117"/>
        <w:ind w:firstLine="480"/>
        <w:rPr>
          <w:rFonts w:hint="eastAsia"/>
          <w:color w:val="000000" w:themeColor="text1"/>
          <w:lang w:bidi="ar"/>
          <w14:textFill>
            <w14:solidFill>
              <w14:schemeClr w14:val="tx1"/>
            </w14:solidFill>
          </w14:textFill>
        </w:rPr>
      </w:pPr>
      <w:bookmarkStart w:id="178" w:name="OLE_LINK128"/>
      <w:r>
        <w:rPr>
          <w:rFonts w:hint="eastAsia"/>
          <w:color w:val="000000" w:themeColor="text1"/>
          <w14:textFill>
            <w14:solidFill>
              <w14:schemeClr w14:val="tx1"/>
            </w14:solidFill>
          </w14:textFill>
        </w:rPr>
        <w:t>（5）</w:t>
      </w:r>
      <w:r>
        <w:rPr>
          <w:rFonts w:hint="eastAsia"/>
          <w:color w:val="000000" w:themeColor="text1"/>
          <w:lang w:bidi="ar"/>
          <w14:textFill>
            <w14:solidFill>
              <w14:schemeClr w14:val="tx1"/>
            </w14:solidFill>
          </w14:textFill>
        </w:rPr>
        <w:t>与《关于规范临时用地管理的通知》要求的相符性分析</w:t>
      </w:r>
    </w:p>
    <w:p w14:paraId="5AF43E99">
      <w:pPr>
        <w:pStyle w:val="117"/>
        <w:ind w:firstLine="480"/>
        <w:rPr>
          <w:rFonts w:hint="eastAsia"/>
          <w:color w:val="000000" w:themeColor="text1"/>
          <w:lang w:bidi="ar"/>
          <w14:textFill>
            <w14:solidFill>
              <w14:schemeClr w14:val="tx1"/>
            </w14:solidFill>
          </w14:textFill>
        </w:rPr>
      </w:pPr>
      <w:r>
        <w:rPr>
          <w:rFonts w:hint="eastAsia"/>
          <w:color w:val="000000" w:themeColor="text1"/>
          <w:lang w:bidi="ar"/>
          <w14:textFill>
            <w14:solidFill>
              <w14:schemeClr w14:val="tx1"/>
            </w14:solidFill>
          </w14:textFill>
        </w:rPr>
        <w:t>本项目</w:t>
      </w:r>
      <w:r>
        <w:rPr>
          <w:color w:val="000000" w:themeColor="text1"/>
          <w:lang w:bidi="ar"/>
          <w14:textFill>
            <w14:solidFill>
              <w14:schemeClr w14:val="tx1"/>
            </w14:solidFill>
          </w14:textFill>
        </w:rPr>
        <w:t>建设符合《</w:t>
      </w:r>
      <w:r>
        <w:rPr>
          <w:rFonts w:hint="eastAsia"/>
          <w:color w:val="000000" w:themeColor="text1"/>
          <w:lang w:bidi="ar"/>
          <w14:textFill>
            <w14:solidFill>
              <w14:schemeClr w14:val="tx1"/>
            </w14:solidFill>
          </w14:textFill>
        </w:rPr>
        <w:t>关于规范临时用地管理的通知</w:t>
      </w:r>
      <w:r>
        <w:rPr>
          <w:color w:val="000000" w:themeColor="text1"/>
          <w:lang w:bidi="ar"/>
          <w14:textFill>
            <w14:solidFill>
              <w14:schemeClr w14:val="tx1"/>
            </w14:solidFill>
          </w14:textFill>
        </w:rPr>
        <w:t>》的相关规定</w:t>
      </w:r>
      <w:r>
        <w:rPr>
          <w:rFonts w:hint="eastAsia"/>
          <w:color w:val="000000" w:themeColor="text1"/>
          <w:lang w:bidi="ar"/>
          <w14:textFill>
            <w14:solidFill>
              <w14:schemeClr w14:val="tx1"/>
            </w14:solidFill>
          </w14:textFill>
        </w:rPr>
        <w:t>，相符性分析详见表2</w:t>
      </w:r>
      <w:r>
        <w:rPr>
          <w:color w:val="000000" w:themeColor="text1"/>
          <w:lang w:bidi="ar"/>
          <w14:textFill>
            <w14:solidFill>
              <w14:schemeClr w14:val="tx1"/>
            </w14:solidFill>
          </w14:textFill>
        </w:rPr>
        <w:t>.9-</w:t>
      </w:r>
      <w:r>
        <w:rPr>
          <w:rFonts w:hint="eastAsia"/>
          <w:color w:val="000000" w:themeColor="text1"/>
          <w:lang w:bidi="ar"/>
          <w14:textFill>
            <w14:solidFill>
              <w14:schemeClr w14:val="tx1"/>
            </w14:solidFill>
          </w14:textFill>
        </w:rPr>
        <w:t>8。</w:t>
      </w:r>
    </w:p>
    <w:p w14:paraId="67126CD0">
      <w:pPr>
        <w:pStyle w:val="15"/>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表2</w:t>
      </w:r>
      <w:r>
        <w:rPr>
          <w:color w:val="000000" w:themeColor="text1"/>
          <w14:textFill>
            <w14:solidFill>
              <w14:schemeClr w14:val="tx1"/>
            </w14:solidFill>
          </w14:textFill>
        </w:rPr>
        <w:t>.9-</w:t>
      </w:r>
      <w:r>
        <w:rPr>
          <w:rFonts w:hint="eastAsia"/>
          <w:color w:val="000000" w:themeColor="text1"/>
          <w14:textFill>
            <w14:solidFill>
              <w14:schemeClr w14:val="tx1"/>
            </w14:solidFill>
          </w14:textFill>
        </w:rPr>
        <w:t xml:space="preserve">8 </w:t>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本项目与《</w:t>
      </w:r>
      <w:r>
        <w:rPr>
          <w:rFonts w:hint="eastAsia"/>
          <w:color w:val="000000" w:themeColor="text1"/>
          <w:lang w:bidi="ar"/>
          <w14:textFill>
            <w14:solidFill>
              <w14:schemeClr w14:val="tx1"/>
            </w14:solidFill>
          </w14:textFill>
        </w:rPr>
        <w:t>关于规范临时用地管理的通知》</w:t>
      </w:r>
      <w:r>
        <w:rPr>
          <w:rFonts w:hint="eastAsia"/>
          <w:color w:val="000000" w:themeColor="text1"/>
          <w14:textFill>
            <w14:solidFill>
              <w14:schemeClr w14:val="tx1"/>
            </w14:solidFill>
          </w14:textFill>
        </w:rPr>
        <w:t>的相符性分析</w:t>
      </w:r>
    </w:p>
    <w:tbl>
      <w:tblPr>
        <w:tblStyle w:val="51"/>
        <w:tblW w:w="4999"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841"/>
        <w:gridCol w:w="4127"/>
        <w:gridCol w:w="2926"/>
        <w:gridCol w:w="834"/>
      </w:tblGrid>
      <w:tr w14:paraId="002C777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tblHeader/>
          <w:jc w:val="center"/>
        </w:trPr>
        <w:tc>
          <w:tcPr>
            <w:tcW w:w="2845" w:type="pct"/>
            <w:gridSpan w:val="2"/>
            <w:tcBorders>
              <w:tl2br w:val="nil"/>
              <w:tr2bl w:val="nil"/>
            </w:tcBorders>
            <w:vAlign w:val="center"/>
          </w:tcPr>
          <w:p w14:paraId="48E563B8">
            <w:pPr>
              <w:pStyle w:val="286"/>
              <w:spacing w:line="300" w:lineRule="exact"/>
              <w:rPr>
                <w:rFonts w:hint="eastAsia" w:cs="Arial"/>
                <w:color w:val="000000" w:themeColor="text1"/>
                <w:sz w:val="21"/>
                <w:lang w:bidi="ar"/>
                <w14:textFill>
                  <w14:solidFill>
                    <w14:schemeClr w14:val="tx1"/>
                  </w14:solidFill>
                </w14:textFill>
              </w:rPr>
            </w:pPr>
            <w:r>
              <w:rPr>
                <w:rFonts w:hint="eastAsia" w:cs="Arial"/>
                <w:color w:val="000000" w:themeColor="text1"/>
                <w:sz w:val="21"/>
                <w:lang w:bidi="ar"/>
                <w14:textFill>
                  <w14:solidFill>
                    <w14:schemeClr w14:val="tx1"/>
                  </w14:solidFill>
                </w14:textFill>
              </w:rPr>
              <w:t>相关要求</w:t>
            </w:r>
          </w:p>
        </w:tc>
        <w:tc>
          <w:tcPr>
            <w:tcW w:w="1675" w:type="pct"/>
            <w:tcBorders>
              <w:tl2br w:val="nil"/>
              <w:tr2bl w:val="nil"/>
            </w:tcBorders>
            <w:vAlign w:val="center"/>
          </w:tcPr>
          <w:p w14:paraId="232F62DC">
            <w:pPr>
              <w:pStyle w:val="286"/>
              <w:spacing w:line="300" w:lineRule="exact"/>
              <w:rPr>
                <w:rFonts w:hint="eastAsia" w:cs="Arial"/>
                <w:color w:val="000000" w:themeColor="text1"/>
                <w:sz w:val="21"/>
                <w:lang w:bidi="ar"/>
                <w14:textFill>
                  <w14:solidFill>
                    <w14:schemeClr w14:val="tx1"/>
                  </w14:solidFill>
                </w14:textFill>
              </w:rPr>
            </w:pPr>
            <w:r>
              <w:rPr>
                <w:rFonts w:hint="eastAsia" w:cs="Arial"/>
                <w:color w:val="000000" w:themeColor="text1"/>
                <w:sz w:val="21"/>
                <w:lang w:bidi="ar"/>
                <w14:textFill>
                  <w14:solidFill>
                    <w14:schemeClr w14:val="tx1"/>
                  </w14:solidFill>
                </w14:textFill>
              </w:rPr>
              <w:t>本工程情况</w:t>
            </w:r>
          </w:p>
        </w:tc>
        <w:tc>
          <w:tcPr>
            <w:tcW w:w="478" w:type="pct"/>
            <w:tcBorders>
              <w:tl2br w:val="nil"/>
              <w:tr2bl w:val="nil"/>
            </w:tcBorders>
            <w:vAlign w:val="center"/>
          </w:tcPr>
          <w:p w14:paraId="6BF063AB">
            <w:pPr>
              <w:pStyle w:val="286"/>
              <w:spacing w:line="300" w:lineRule="exact"/>
              <w:rPr>
                <w:rFonts w:hint="eastAsia" w:cs="Arial"/>
                <w:color w:val="000000" w:themeColor="text1"/>
                <w:sz w:val="21"/>
                <w:lang w:bidi="ar"/>
                <w14:textFill>
                  <w14:solidFill>
                    <w14:schemeClr w14:val="tx1"/>
                  </w14:solidFill>
                </w14:textFill>
              </w:rPr>
            </w:pPr>
            <w:r>
              <w:rPr>
                <w:rFonts w:hint="eastAsia" w:cs="Arial"/>
                <w:color w:val="000000" w:themeColor="text1"/>
                <w:sz w:val="21"/>
                <w:lang w:bidi="ar"/>
                <w14:textFill>
                  <w14:solidFill>
                    <w14:schemeClr w14:val="tx1"/>
                  </w14:solidFill>
                </w14:textFill>
              </w:rPr>
              <w:t>符合性</w:t>
            </w:r>
          </w:p>
        </w:tc>
      </w:tr>
      <w:tr w14:paraId="437B075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82" w:type="pct"/>
            <w:vMerge w:val="restart"/>
            <w:tcBorders>
              <w:tl2br w:val="nil"/>
              <w:tr2bl w:val="nil"/>
            </w:tcBorders>
            <w:vAlign w:val="center"/>
          </w:tcPr>
          <w:p w14:paraId="44F073F0">
            <w:pPr>
              <w:pStyle w:val="286"/>
              <w:spacing w:line="300" w:lineRule="exact"/>
              <w:rPr>
                <w:rFonts w:hint="eastAsia" w:cs="Arial"/>
                <w:color w:val="000000" w:themeColor="text1"/>
                <w:sz w:val="21"/>
                <w:lang w:bidi="ar"/>
                <w14:textFill>
                  <w14:solidFill>
                    <w14:schemeClr w14:val="tx1"/>
                  </w14:solidFill>
                </w14:textFill>
              </w:rPr>
            </w:pPr>
            <w:r>
              <w:rPr>
                <w:rFonts w:hint="eastAsia" w:cs="Arial"/>
                <w:color w:val="000000" w:themeColor="text1"/>
                <w:sz w:val="21"/>
                <w:lang w:bidi="ar"/>
                <w14:textFill>
                  <w14:solidFill>
                    <w14:schemeClr w14:val="tx1"/>
                  </w14:solidFill>
                </w14:textFill>
              </w:rPr>
              <w:t>临时用地选址要求和使用期限</w:t>
            </w:r>
          </w:p>
        </w:tc>
        <w:tc>
          <w:tcPr>
            <w:tcW w:w="2362" w:type="pct"/>
            <w:tcBorders>
              <w:tl2br w:val="nil"/>
              <w:tr2bl w:val="nil"/>
            </w:tcBorders>
            <w:vAlign w:val="center"/>
          </w:tcPr>
          <w:p w14:paraId="579C9840">
            <w:pPr>
              <w:pStyle w:val="286"/>
              <w:spacing w:line="300" w:lineRule="exact"/>
              <w:rPr>
                <w:rFonts w:hint="eastAsia" w:cs="Arial"/>
                <w:color w:val="000000" w:themeColor="text1"/>
                <w:sz w:val="21"/>
                <w:lang w:bidi="ar"/>
                <w14:textFill>
                  <w14:solidFill>
                    <w14:schemeClr w14:val="tx1"/>
                  </w14:solidFill>
                </w14:textFill>
              </w:rPr>
            </w:pPr>
            <w:r>
              <w:rPr>
                <w:rFonts w:hint="eastAsia" w:cs="Arial"/>
                <w:color w:val="000000" w:themeColor="text1"/>
                <w:sz w:val="21"/>
                <w:lang w:bidi="ar"/>
                <w14:textFill>
                  <w14:solidFill>
                    <w14:schemeClr w14:val="tx1"/>
                  </w14:solidFill>
                </w14:textFill>
              </w:rPr>
              <w:t>建设项目施工、地质勘查使用临时用地时应坚持“用多少、批多少、占多少、恢复多少”，尽量不占或者少占耕地。使用后土地复垦难度较大的临时用地，要严格控制占用耕地。</w:t>
            </w:r>
          </w:p>
        </w:tc>
        <w:tc>
          <w:tcPr>
            <w:tcW w:w="1675" w:type="pct"/>
            <w:tcBorders>
              <w:tl2br w:val="nil"/>
              <w:tr2bl w:val="nil"/>
            </w:tcBorders>
            <w:vAlign w:val="center"/>
          </w:tcPr>
          <w:p w14:paraId="2D89C437">
            <w:pPr>
              <w:pStyle w:val="286"/>
              <w:spacing w:line="300" w:lineRule="exact"/>
              <w:jc w:val="both"/>
              <w:rPr>
                <w:rFonts w:hint="eastAsia" w:cs="Arial"/>
                <w:color w:val="000000" w:themeColor="text1"/>
                <w:sz w:val="21"/>
                <w:lang w:bidi="ar"/>
                <w14:textFill>
                  <w14:solidFill>
                    <w14:schemeClr w14:val="tx1"/>
                  </w14:solidFill>
                </w14:textFill>
              </w:rPr>
            </w:pPr>
            <w:r>
              <w:rPr>
                <w:rFonts w:hint="eastAsia" w:cs="Arial"/>
                <w:color w:val="000000" w:themeColor="text1"/>
                <w:sz w:val="21"/>
                <w:lang w:bidi="ar"/>
                <w14:textFill>
                  <w14:solidFill>
                    <w14:schemeClr w14:val="tx1"/>
                  </w14:solidFill>
                </w14:textFill>
              </w:rPr>
              <w:t>项目临时占地类型主要为天然牧草地。根据工程建设实际用地面积办理征地手续，并在施工结束后对占用的临时用地全部进行恢复，植被主要依靠自然恢复。</w:t>
            </w:r>
          </w:p>
        </w:tc>
        <w:tc>
          <w:tcPr>
            <w:tcW w:w="478" w:type="pct"/>
            <w:tcBorders>
              <w:tl2br w:val="nil"/>
              <w:tr2bl w:val="nil"/>
            </w:tcBorders>
            <w:vAlign w:val="center"/>
          </w:tcPr>
          <w:p w14:paraId="19393A37">
            <w:pPr>
              <w:pStyle w:val="286"/>
              <w:spacing w:line="300" w:lineRule="exact"/>
              <w:rPr>
                <w:rFonts w:hint="eastAsia" w:cs="Arial"/>
                <w:color w:val="000000" w:themeColor="text1"/>
                <w:sz w:val="21"/>
                <w:lang w:bidi="ar"/>
                <w14:textFill>
                  <w14:solidFill>
                    <w14:schemeClr w14:val="tx1"/>
                  </w14:solidFill>
                </w14:textFill>
              </w:rPr>
            </w:pPr>
            <w:r>
              <w:rPr>
                <w:rFonts w:hint="eastAsia" w:cs="Arial"/>
                <w:color w:val="000000" w:themeColor="text1"/>
                <w:sz w:val="21"/>
                <w:lang w:bidi="ar"/>
                <w14:textFill>
                  <w14:solidFill>
                    <w14:schemeClr w14:val="tx1"/>
                  </w14:solidFill>
                </w14:textFill>
              </w:rPr>
              <w:t>符合</w:t>
            </w:r>
          </w:p>
        </w:tc>
      </w:tr>
      <w:tr w14:paraId="7013AB7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82" w:type="pct"/>
            <w:vMerge w:val="continue"/>
            <w:tcBorders>
              <w:tl2br w:val="nil"/>
              <w:tr2bl w:val="nil"/>
            </w:tcBorders>
            <w:vAlign w:val="center"/>
          </w:tcPr>
          <w:p w14:paraId="61D5EA73">
            <w:pPr>
              <w:pStyle w:val="286"/>
              <w:spacing w:line="300" w:lineRule="exact"/>
              <w:rPr>
                <w:rFonts w:hint="eastAsia" w:cs="Arial"/>
                <w:color w:val="000000" w:themeColor="text1"/>
                <w:sz w:val="21"/>
                <w:lang w:bidi="ar"/>
                <w14:textFill>
                  <w14:solidFill>
                    <w14:schemeClr w14:val="tx1"/>
                  </w14:solidFill>
                </w14:textFill>
              </w:rPr>
            </w:pPr>
          </w:p>
        </w:tc>
        <w:tc>
          <w:tcPr>
            <w:tcW w:w="2362" w:type="pct"/>
            <w:tcBorders>
              <w:tl2br w:val="nil"/>
              <w:tr2bl w:val="nil"/>
            </w:tcBorders>
            <w:vAlign w:val="center"/>
          </w:tcPr>
          <w:p w14:paraId="6690270D">
            <w:pPr>
              <w:pStyle w:val="286"/>
              <w:spacing w:line="300" w:lineRule="exact"/>
              <w:rPr>
                <w:rFonts w:hint="eastAsia" w:cs="Arial"/>
                <w:color w:val="000000" w:themeColor="text1"/>
                <w:sz w:val="21"/>
                <w:lang w:bidi="ar"/>
                <w14:textFill>
                  <w14:solidFill>
                    <w14:schemeClr w14:val="tx1"/>
                  </w14:solidFill>
                </w14:textFill>
              </w:rPr>
            </w:pPr>
            <w:r>
              <w:rPr>
                <w:rFonts w:hint="eastAsia" w:cs="Arial"/>
                <w:color w:val="000000" w:themeColor="text1"/>
                <w:sz w:val="21"/>
                <w:lang w:bidi="ar"/>
                <w14:textFill>
                  <w14:solidFill>
                    <w14:schemeClr w14:val="tx1"/>
                  </w14:solidFill>
                </w14:textFill>
              </w:rPr>
              <w:t>临时用地确需占用永久基本农田的，必须能够恢复原种植条件，并符合《自然资源部 农业农村部关于加强和改进永久基本农田保护工作的通知》（自然资规〔2019〕1号）中申请条件、土壤剥离、复垦验收等有关规定。</w:t>
            </w:r>
          </w:p>
        </w:tc>
        <w:tc>
          <w:tcPr>
            <w:tcW w:w="1675" w:type="pct"/>
            <w:tcBorders>
              <w:tl2br w:val="nil"/>
              <w:tr2bl w:val="nil"/>
            </w:tcBorders>
            <w:vAlign w:val="center"/>
          </w:tcPr>
          <w:p w14:paraId="4336FF6E">
            <w:pPr>
              <w:pStyle w:val="286"/>
              <w:spacing w:line="300" w:lineRule="exact"/>
              <w:rPr>
                <w:rFonts w:hint="eastAsia" w:cs="Arial"/>
                <w:color w:val="000000" w:themeColor="text1"/>
                <w:sz w:val="21"/>
                <w:lang w:bidi="ar"/>
                <w14:textFill>
                  <w14:solidFill>
                    <w14:schemeClr w14:val="tx1"/>
                  </w14:solidFill>
                </w14:textFill>
              </w:rPr>
            </w:pPr>
            <w:r>
              <w:rPr>
                <w:rFonts w:hint="eastAsia" w:cs="Arial"/>
                <w:color w:val="000000" w:themeColor="text1"/>
                <w:sz w:val="21"/>
                <w:lang w:bidi="ar"/>
                <w14:textFill>
                  <w14:solidFill>
                    <w14:schemeClr w14:val="tx1"/>
                  </w14:solidFill>
                </w14:textFill>
              </w:rPr>
              <w:t>项目不占用耕地、基本农田。</w:t>
            </w:r>
          </w:p>
        </w:tc>
        <w:tc>
          <w:tcPr>
            <w:tcW w:w="478" w:type="pct"/>
            <w:tcBorders>
              <w:tl2br w:val="nil"/>
              <w:tr2bl w:val="nil"/>
            </w:tcBorders>
            <w:vAlign w:val="center"/>
          </w:tcPr>
          <w:p w14:paraId="2FF1F368">
            <w:pPr>
              <w:pStyle w:val="286"/>
              <w:spacing w:line="300" w:lineRule="exact"/>
              <w:rPr>
                <w:rFonts w:hint="eastAsia" w:cs="Arial"/>
                <w:color w:val="000000" w:themeColor="text1"/>
                <w:sz w:val="21"/>
                <w:lang w:bidi="ar"/>
                <w14:textFill>
                  <w14:solidFill>
                    <w14:schemeClr w14:val="tx1"/>
                  </w14:solidFill>
                </w14:textFill>
              </w:rPr>
            </w:pPr>
            <w:r>
              <w:rPr>
                <w:rFonts w:hint="eastAsia" w:cs="Arial"/>
                <w:color w:val="000000" w:themeColor="text1"/>
                <w:sz w:val="21"/>
                <w:lang w:bidi="ar"/>
                <w14:textFill>
                  <w14:solidFill>
                    <w14:schemeClr w14:val="tx1"/>
                  </w14:solidFill>
                </w14:textFill>
              </w:rPr>
              <w:t>符合</w:t>
            </w:r>
          </w:p>
        </w:tc>
      </w:tr>
      <w:tr w14:paraId="7892296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82" w:type="pct"/>
            <w:vMerge w:val="continue"/>
            <w:tcBorders>
              <w:tl2br w:val="nil"/>
              <w:tr2bl w:val="nil"/>
            </w:tcBorders>
            <w:vAlign w:val="center"/>
          </w:tcPr>
          <w:p w14:paraId="3DA576B4">
            <w:pPr>
              <w:pStyle w:val="286"/>
              <w:spacing w:line="300" w:lineRule="exact"/>
              <w:rPr>
                <w:rFonts w:hint="eastAsia" w:cs="Arial"/>
                <w:color w:val="000000" w:themeColor="text1"/>
                <w:sz w:val="21"/>
                <w:lang w:bidi="ar"/>
                <w14:textFill>
                  <w14:solidFill>
                    <w14:schemeClr w14:val="tx1"/>
                  </w14:solidFill>
                </w14:textFill>
              </w:rPr>
            </w:pPr>
          </w:p>
        </w:tc>
        <w:tc>
          <w:tcPr>
            <w:tcW w:w="2362" w:type="pct"/>
            <w:tcBorders>
              <w:tl2br w:val="nil"/>
              <w:tr2bl w:val="nil"/>
            </w:tcBorders>
            <w:vAlign w:val="center"/>
          </w:tcPr>
          <w:p w14:paraId="0FC7B115">
            <w:pPr>
              <w:pStyle w:val="286"/>
              <w:spacing w:line="300" w:lineRule="exact"/>
              <w:rPr>
                <w:rFonts w:hint="eastAsia" w:cs="Arial"/>
                <w:color w:val="000000" w:themeColor="text1"/>
                <w:sz w:val="21"/>
                <w:lang w:bidi="ar"/>
                <w14:textFill>
                  <w14:solidFill>
                    <w14:schemeClr w14:val="tx1"/>
                  </w14:solidFill>
                </w14:textFill>
              </w:rPr>
            </w:pPr>
            <w:r>
              <w:rPr>
                <w:rFonts w:hint="eastAsia" w:cs="Arial"/>
                <w:color w:val="000000" w:themeColor="text1"/>
                <w:sz w:val="21"/>
                <w:lang w:bidi="ar"/>
                <w14:textFill>
                  <w14:solidFill>
                    <w14:schemeClr w14:val="tx1"/>
                  </w14:solidFill>
                </w14:textFill>
              </w:rPr>
              <w:t>临时用地使用期限一般不超过两年。建设周期较长的能源、交通、水利等基础设施建设项目施工使用的临时用地，期限不超过四年。临时用地使用期限，从批准之日起算。</w:t>
            </w:r>
          </w:p>
        </w:tc>
        <w:tc>
          <w:tcPr>
            <w:tcW w:w="1675" w:type="pct"/>
            <w:tcBorders>
              <w:tl2br w:val="nil"/>
              <w:tr2bl w:val="nil"/>
            </w:tcBorders>
            <w:vAlign w:val="center"/>
          </w:tcPr>
          <w:p w14:paraId="7AE1365C">
            <w:pPr>
              <w:pStyle w:val="286"/>
              <w:spacing w:line="300" w:lineRule="exact"/>
              <w:rPr>
                <w:rFonts w:hint="eastAsia" w:cs="Arial"/>
                <w:color w:val="000000" w:themeColor="text1"/>
                <w:sz w:val="21"/>
                <w:lang w:bidi="ar"/>
                <w14:textFill>
                  <w14:solidFill>
                    <w14:schemeClr w14:val="tx1"/>
                  </w14:solidFill>
                </w14:textFill>
              </w:rPr>
            </w:pPr>
            <w:r>
              <w:rPr>
                <w:rFonts w:hint="eastAsia" w:cs="Arial"/>
                <w:color w:val="000000" w:themeColor="text1"/>
                <w:sz w:val="21"/>
                <w:lang w:bidi="ar"/>
                <w14:textFill>
                  <w14:solidFill>
                    <w14:schemeClr w14:val="tx1"/>
                  </w14:solidFill>
                </w14:textFill>
              </w:rPr>
              <w:t>根据吉庆油田作业区之前办理的临时用地手续，临时用地使用期限为两年。</w:t>
            </w:r>
          </w:p>
        </w:tc>
        <w:tc>
          <w:tcPr>
            <w:tcW w:w="478" w:type="pct"/>
            <w:tcBorders>
              <w:tl2br w:val="nil"/>
              <w:tr2bl w:val="nil"/>
            </w:tcBorders>
            <w:vAlign w:val="center"/>
          </w:tcPr>
          <w:p w14:paraId="2CEF6F6B">
            <w:pPr>
              <w:pStyle w:val="286"/>
              <w:spacing w:line="300" w:lineRule="exact"/>
              <w:rPr>
                <w:rFonts w:hint="eastAsia" w:cs="Arial"/>
                <w:color w:val="000000" w:themeColor="text1"/>
                <w:sz w:val="21"/>
                <w:lang w:bidi="ar"/>
                <w14:textFill>
                  <w14:solidFill>
                    <w14:schemeClr w14:val="tx1"/>
                  </w14:solidFill>
                </w14:textFill>
              </w:rPr>
            </w:pPr>
            <w:r>
              <w:rPr>
                <w:rFonts w:hint="eastAsia" w:cs="Arial"/>
                <w:color w:val="000000" w:themeColor="text1"/>
                <w:sz w:val="21"/>
                <w:lang w:bidi="ar"/>
                <w14:textFill>
                  <w14:solidFill>
                    <w14:schemeClr w14:val="tx1"/>
                  </w14:solidFill>
                </w14:textFill>
              </w:rPr>
              <w:t>符合</w:t>
            </w:r>
          </w:p>
        </w:tc>
      </w:tr>
      <w:tr w14:paraId="38F8D9F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82" w:type="pct"/>
            <w:tcBorders>
              <w:tl2br w:val="nil"/>
              <w:tr2bl w:val="nil"/>
            </w:tcBorders>
            <w:vAlign w:val="center"/>
          </w:tcPr>
          <w:p w14:paraId="1A4BEE00">
            <w:pPr>
              <w:pStyle w:val="286"/>
              <w:spacing w:line="300" w:lineRule="exact"/>
              <w:rPr>
                <w:rFonts w:hint="eastAsia" w:cs="Arial"/>
                <w:color w:val="000000" w:themeColor="text1"/>
                <w:sz w:val="21"/>
                <w:lang w:bidi="ar"/>
                <w14:textFill>
                  <w14:solidFill>
                    <w14:schemeClr w14:val="tx1"/>
                  </w14:solidFill>
                </w14:textFill>
              </w:rPr>
            </w:pPr>
            <w:r>
              <w:rPr>
                <w:rFonts w:hint="eastAsia" w:cs="Arial"/>
                <w:color w:val="000000" w:themeColor="text1"/>
                <w:sz w:val="21"/>
                <w:lang w:bidi="ar"/>
                <w14:textFill>
                  <w14:solidFill>
                    <w14:schemeClr w14:val="tx1"/>
                  </w14:solidFill>
                </w14:textFill>
              </w:rPr>
              <w:t>规范临时用地审批</w:t>
            </w:r>
          </w:p>
        </w:tc>
        <w:tc>
          <w:tcPr>
            <w:tcW w:w="2362" w:type="pct"/>
            <w:tcBorders>
              <w:tl2br w:val="nil"/>
              <w:tr2bl w:val="nil"/>
            </w:tcBorders>
            <w:vAlign w:val="center"/>
          </w:tcPr>
          <w:p w14:paraId="6DF640DA">
            <w:pPr>
              <w:pStyle w:val="286"/>
              <w:spacing w:line="300" w:lineRule="exact"/>
              <w:rPr>
                <w:rFonts w:hint="eastAsia" w:cs="Arial"/>
                <w:color w:val="000000" w:themeColor="text1"/>
                <w:sz w:val="21"/>
                <w:lang w:bidi="ar"/>
                <w14:textFill>
                  <w14:solidFill>
                    <w14:schemeClr w14:val="tx1"/>
                  </w14:solidFill>
                </w14:textFill>
              </w:rPr>
            </w:pPr>
            <w:r>
              <w:rPr>
                <w:rFonts w:hint="eastAsia" w:cs="Arial"/>
                <w:color w:val="000000" w:themeColor="text1"/>
                <w:sz w:val="21"/>
                <w:lang w:bidi="ar"/>
                <w14:textFill>
                  <w14:solidFill>
                    <w14:schemeClr w14:val="tx1"/>
                  </w14:solidFill>
                </w14:textFill>
              </w:rPr>
              <w:t>油气资源探采合一开发涉及的钻井及配套设施建设用地，可先以临时用地方式批准使用，勘探结束转入生产使用的，办理建设用地审批手续；不转入生产的，油气企业应当完成土地复垦，按期归还。</w:t>
            </w:r>
          </w:p>
        </w:tc>
        <w:tc>
          <w:tcPr>
            <w:tcW w:w="1675" w:type="pct"/>
            <w:tcBorders>
              <w:tl2br w:val="nil"/>
              <w:tr2bl w:val="nil"/>
            </w:tcBorders>
            <w:vAlign w:val="center"/>
          </w:tcPr>
          <w:p w14:paraId="1B22D6A5">
            <w:pPr>
              <w:pStyle w:val="286"/>
              <w:spacing w:line="300" w:lineRule="exact"/>
              <w:rPr>
                <w:rFonts w:hint="eastAsia" w:cs="Arial"/>
                <w:color w:val="000000" w:themeColor="text1"/>
                <w:sz w:val="21"/>
                <w:lang w:bidi="ar"/>
                <w14:textFill>
                  <w14:solidFill>
                    <w14:schemeClr w14:val="tx1"/>
                  </w14:solidFill>
                </w14:textFill>
              </w:rPr>
            </w:pPr>
            <w:r>
              <w:rPr>
                <w:rFonts w:hint="eastAsia" w:cs="Arial"/>
                <w:color w:val="000000" w:themeColor="text1"/>
                <w:sz w:val="21"/>
                <w:lang w:bidi="ar"/>
                <w14:textFill>
                  <w14:solidFill>
                    <w14:schemeClr w14:val="tx1"/>
                  </w14:solidFill>
                </w14:textFill>
              </w:rPr>
              <w:t>本次为产能建设，本项目在施工前先办理临时用地手续，待临时用地期限到期前，办理建设用地审批手续。</w:t>
            </w:r>
          </w:p>
        </w:tc>
        <w:tc>
          <w:tcPr>
            <w:tcW w:w="478" w:type="pct"/>
            <w:tcBorders>
              <w:tl2br w:val="nil"/>
              <w:tr2bl w:val="nil"/>
            </w:tcBorders>
            <w:vAlign w:val="center"/>
          </w:tcPr>
          <w:p w14:paraId="22913DB4">
            <w:pPr>
              <w:pStyle w:val="286"/>
              <w:spacing w:line="300" w:lineRule="exact"/>
              <w:rPr>
                <w:rFonts w:hint="eastAsia" w:cs="Arial"/>
                <w:color w:val="000000" w:themeColor="text1"/>
                <w:sz w:val="21"/>
                <w:lang w:bidi="ar"/>
                <w14:textFill>
                  <w14:solidFill>
                    <w14:schemeClr w14:val="tx1"/>
                  </w14:solidFill>
                </w14:textFill>
              </w:rPr>
            </w:pPr>
            <w:r>
              <w:rPr>
                <w:rFonts w:hint="eastAsia" w:cs="Arial"/>
                <w:color w:val="000000" w:themeColor="text1"/>
                <w:sz w:val="21"/>
                <w:lang w:bidi="ar"/>
                <w14:textFill>
                  <w14:solidFill>
                    <w14:schemeClr w14:val="tx1"/>
                  </w14:solidFill>
                </w14:textFill>
              </w:rPr>
              <w:t>符合</w:t>
            </w:r>
          </w:p>
        </w:tc>
      </w:tr>
      <w:tr w14:paraId="21A55B6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82" w:type="pct"/>
            <w:vMerge w:val="restart"/>
            <w:tcBorders>
              <w:tl2br w:val="nil"/>
              <w:tr2bl w:val="nil"/>
            </w:tcBorders>
            <w:vAlign w:val="center"/>
          </w:tcPr>
          <w:p w14:paraId="3DCF9035">
            <w:pPr>
              <w:pStyle w:val="286"/>
              <w:spacing w:line="300" w:lineRule="exact"/>
              <w:rPr>
                <w:rFonts w:hint="eastAsia" w:cs="Arial"/>
                <w:color w:val="000000" w:themeColor="text1"/>
                <w:sz w:val="21"/>
                <w:lang w:bidi="ar"/>
                <w14:textFill>
                  <w14:solidFill>
                    <w14:schemeClr w14:val="tx1"/>
                  </w14:solidFill>
                </w14:textFill>
              </w:rPr>
            </w:pPr>
            <w:r>
              <w:rPr>
                <w:rFonts w:hint="eastAsia" w:cs="Arial"/>
                <w:color w:val="000000" w:themeColor="text1"/>
                <w:sz w:val="21"/>
                <w:lang w:bidi="ar"/>
                <w14:textFill>
                  <w14:solidFill>
                    <w14:schemeClr w14:val="tx1"/>
                  </w14:solidFill>
                </w14:textFill>
              </w:rPr>
              <w:t>落实临时用地恢复责任</w:t>
            </w:r>
          </w:p>
        </w:tc>
        <w:tc>
          <w:tcPr>
            <w:tcW w:w="2362" w:type="pct"/>
            <w:tcBorders>
              <w:tl2br w:val="nil"/>
              <w:tr2bl w:val="nil"/>
            </w:tcBorders>
            <w:vAlign w:val="center"/>
          </w:tcPr>
          <w:p w14:paraId="5EDC1E2A">
            <w:pPr>
              <w:pStyle w:val="286"/>
              <w:spacing w:line="300" w:lineRule="exact"/>
              <w:rPr>
                <w:rFonts w:hint="eastAsia" w:cs="Arial"/>
                <w:color w:val="000000" w:themeColor="text1"/>
                <w:sz w:val="21"/>
                <w:lang w:bidi="ar"/>
                <w14:textFill>
                  <w14:solidFill>
                    <w14:schemeClr w14:val="tx1"/>
                  </w14:solidFill>
                </w14:textFill>
              </w:rPr>
            </w:pPr>
            <w:r>
              <w:rPr>
                <w:rFonts w:hint="eastAsia" w:cs="Arial"/>
                <w:color w:val="000000" w:themeColor="text1"/>
                <w:sz w:val="21"/>
                <w:lang w:bidi="ar"/>
                <w14:textFill>
                  <w14:solidFill>
                    <w14:schemeClr w14:val="tx1"/>
                  </w14:solidFill>
                </w14:textFill>
              </w:rPr>
              <w:t>临时用地使用人应当按照批准的用途使用土地，不得转让、出租、抵押临时用地。临时用地使用人应当自临时用地期满之日起一年内完成土地复垦，因气候、灾害等不可抗力因素影响复垦的，经批准可以适当延长复垦期限。</w:t>
            </w:r>
          </w:p>
        </w:tc>
        <w:tc>
          <w:tcPr>
            <w:tcW w:w="1675" w:type="pct"/>
            <w:vMerge w:val="restart"/>
            <w:tcBorders>
              <w:tl2br w:val="nil"/>
              <w:tr2bl w:val="nil"/>
            </w:tcBorders>
            <w:vAlign w:val="center"/>
          </w:tcPr>
          <w:p w14:paraId="3D7E1417">
            <w:pPr>
              <w:pStyle w:val="286"/>
              <w:spacing w:line="300" w:lineRule="exact"/>
              <w:rPr>
                <w:rFonts w:hint="eastAsia" w:cs="Arial"/>
                <w:color w:val="000000" w:themeColor="text1"/>
                <w:sz w:val="21"/>
                <w:lang w:bidi="ar"/>
                <w14:textFill>
                  <w14:solidFill>
                    <w14:schemeClr w14:val="tx1"/>
                  </w14:solidFill>
                </w14:textFill>
              </w:rPr>
            </w:pPr>
            <w:r>
              <w:rPr>
                <w:rFonts w:hint="eastAsia" w:cs="Arial"/>
                <w:color w:val="000000" w:themeColor="text1"/>
                <w:sz w:val="21"/>
                <w:lang w:bidi="ar"/>
                <w14:textFill>
                  <w14:solidFill>
                    <w14:schemeClr w14:val="tx1"/>
                  </w14:solidFill>
                </w14:textFill>
              </w:rPr>
              <w:t>吉庆油田作业区不得对批准的临时用地进行转让、出租、抵押。本工程施工结束后对临时用地内的建筑物进行拆除，恢复；并按照相关部门的要求进行恢复等。</w:t>
            </w:r>
          </w:p>
        </w:tc>
        <w:tc>
          <w:tcPr>
            <w:tcW w:w="478" w:type="pct"/>
            <w:vMerge w:val="restart"/>
            <w:tcBorders>
              <w:tl2br w:val="nil"/>
              <w:tr2bl w:val="nil"/>
            </w:tcBorders>
            <w:vAlign w:val="center"/>
          </w:tcPr>
          <w:p w14:paraId="28D5803D">
            <w:pPr>
              <w:pStyle w:val="286"/>
              <w:spacing w:line="300" w:lineRule="exact"/>
              <w:rPr>
                <w:rFonts w:hint="eastAsia" w:cs="Arial"/>
                <w:color w:val="000000" w:themeColor="text1"/>
                <w:sz w:val="21"/>
                <w:lang w:bidi="ar"/>
                <w14:textFill>
                  <w14:solidFill>
                    <w14:schemeClr w14:val="tx1"/>
                  </w14:solidFill>
                </w14:textFill>
              </w:rPr>
            </w:pPr>
            <w:r>
              <w:rPr>
                <w:rFonts w:hint="eastAsia" w:cs="Arial"/>
                <w:color w:val="000000" w:themeColor="text1"/>
                <w:sz w:val="21"/>
                <w:lang w:bidi="ar"/>
                <w14:textFill>
                  <w14:solidFill>
                    <w14:schemeClr w14:val="tx1"/>
                  </w14:solidFill>
                </w14:textFill>
              </w:rPr>
              <w:t>符合</w:t>
            </w:r>
          </w:p>
        </w:tc>
      </w:tr>
      <w:tr w14:paraId="07929BF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82" w:type="pct"/>
            <w:vMerge w:val="continue"/>
            <w:tcBorders>
              <w:tl2br w:val="nil"/>
              <w:tr2bl w:val="nil"/>
            </w:tcBorders>
            <w:vAlign w:val="center"/>
          </w:tcPr>
          <w:p w14:paraId="5FAF936B">
            <w:pPr>
              <w:pStyle w:val="534"/>
              <w:spacing w:line="300" w:lineRule="exact"/>
              <w:rPr>
                <w:color w:val="000000" w:themeColor="text1"/>
                <w:szCs w:val="21"/>
                <w14:textFill>
                  <w14:solidFill>
                    <w14:schemeClr w14:val="tx1"/>
                  </w14:solidFill>
                </w14:textFill>
              </w:rPr>
            </w:pPr>
          </w:p>
        </w:tc>
        <w:tc>
          <w:tcPr>
            <w:tcW w:w="2362" w:type="pct"/>
            <w:tcBorders>
              <w:tl2br w:val="nil"/>
              <w:tr2bl w:val="nil"/>
            </w:tcBorders>
            <w:vAlign w:val="center"/>
          </w:tcPr>
          <w:p w14:paraId="6DB76163">
            <w:pPr>
              <w:pStyle w:val="286"/>
              <w:spacing w:line="300" w:lineRule="exact"/>
              <w:rPr>
                <w:rFonts w:hint="eastAsia" w:cs="Arial"/>
                <w:color w:val="000000" w:themeColor="text1"/>
                <w:sz w:val="21"/>
                <w:lang w:bidi="ar"/>
                <w14:textFill>
                  <w14:solidFill>
                    <w14:schemeClr w14:val="tx1"/>
                  </w14:solidFill>
                </w14:textFill>
              </w:rPr>
            </w:pPr>
            <w:r>
              <w:rPr>
                <w:rFonts w:hint="eastAsia" w:cs="Arial"/>
                <w:color w:val="000000" w:themeColor="text1"/>
                <w:sz w:val="21"/>
                <w:lang w:bidi="ar"/>
                <w14:textFill>
                  <w14:solidFill>
                    <w14:schemeClr w14:val="tx1"/>
                  </w14:solidFill>
                </w14:textFill>
              </w:rPr>
              <w:t>严格落实临时用地恢复责任，临时用地期满后应当拆除临时建（构）筑物，使用耕地的应当复垦为耕地，确保耕地面积不减少、质量不降低；使用耕地以外的其他农用地的应当恢复为农用地；使用未利用地的，对于符合条件的鼓励复垦为耕地。</w:t>
            </w:r>
          </w:p>
        </w:tc>
        <w:tc>
          <w:tcPr>
            <w:tcW w:w="1675" w:type="pct"/>
            <w:vMerge w:val="continue"/>
            <w:tcBorders>
              <w:tl2br w:val="nil"/>
              <w:tr2bl w:val="nil"/>
            </w:tcBorders>
            <w:vAlign w:val="center"/>
          </w:tcPr>
          <w:p w14:paraId="2F1FF3EC">
            <w:pPr>
              <w:pStyle w:val="286"/>
              <w:spacing w:line="300" w:lineRule="exact"/>
              <w:rPr>
                <w:rFonts w:hint="eastAsia" w:cs="Arial"/>
                <w:color w:val="000000" w:themeColor="text1"/>
                <w:sz w:val="21"/>
                <w:lang w:bidi="ar"/>
                <w14:textFill>
                  <w14:solidFill>
                    <w14:schemeClr w14:val="tx1"/>
                  </w14:solidFill>
                </w14:textFill>
              </w:rPr>
            </w:pPr>
          </w:p>
        </w:tc>
        <w:tc>
          <w:tcPr>
            <w:tcW w:w="478" w:type="pct"/>
            <w:vMerge w:val="continue"/>
            <w:tcBorders>
              <w:tl2br w:val="nil"/>
              <w:tr2bl w:val="nil"/>
            </w:tcBorders>
            <w:vAlign w:val="center"/>
          </w:tcPr>
          <w:p w14:paraId="77DD805E">
            <w:pPr>
              <w:pStyle w:val="534"/>
              <w:spacing w:line="300" w:lineRule="exact"/>
              <w:rPr>
                <w:color w:val="000000" w:themeColor="text1"/>
                <w:szCs w:val="21"/>
                <w14:textFill>
                  <w14:solidFill>
                    <w14:schemeClr w14:val="tx1"/>
                  </w14:solidFill>
                </w14:textFill>
              </w:rPr>
            </w:pPr>
          </w:p>
        </w:tc>
      </w:tr>
      <w:bookmarkEnd w:id="178"/>
    </w:tbl>
    <w:p w14:paraId="1E7662D2">
      <w:pPr>
        <w:pStyle w:val="117"/>
        <w:ind w:firstLine="480"/>
        <w:rPr>
          <w:rFonts w:hint="eastAsia"/>
          <w:color w:val="000000" w:themeColor="text1"/>
          <w14:textFill>
            <w14:solidFill>
              <w14:schemeClr w14:val="tx1"/>
            </w14:solidFill>
          </w14:textFill>
        </w:rPr>
      </w:pPr>
      <w:bookmarkStart w:id="179" w:name="OLE_LINK129"/>
      <w:r>
        <w:rPr>
          <w:rFonts w:hint="eastAsia"/>
          <w:color w:val="000000" w:themeColor="text1"/>
          <w14:textFill>
            <w14:solidFill>
              <w14:schemeClr w14:val="tx1"/>
            </w14:solidFill>
          </w14:textFill>
        </w:rPr>
        <w:t>（6）与</w:t>
      </w:r>
      <w:bookmarkStart w:id="180" w:name="OLE_LINK115"/>
      <w:r>
        <w:rPr>
          <w:rFonts w:hint="eastAsia"/>
          <w:color w:val="000000" w:themeColor="text1"/>
          <w14:textFill>
            <w14:solidFill>
              <w14:schemeClr w14:val="tx1"/>
            </w14:solidFill>
          </w14:textFill>
        </w:rPr>
        <w:t>《</w:t>
      </w:r>
      <w:r>
        <w:rPr>
          <w:color w:val="000000" w:themeColor="text1"/>
          <w14:textFill>
            <w14:solidFill>
              <w14:schemeClr w14:val="tx1"/>
            </w14:solidFill>
          </w14:textFill>
        </w:rPr>
        <w:t>空气质量持续改善行动计划</w:t>
      </w:r>
      <w:r>
        <w:rPr>
          <w:rFonts w:hint="eastAsia"/>
          <w:color w:val="000000" w:themeColor="text1"/>
          <w14:textFill>
            <w14:solidFill>
              <w14:schemeClr w14:val="tx1"/>
            </w14:solidFill>
          </w14:textFill>
        </w:rPr>
        <w:t>》</w:t>
      </w:r>
      <w:bookmarkEnd w:id="180"/>
      <w:r>
        <w:rPr>
          <w:rFonts w:hint="eastAsia"/>
          <w:color w:val="000000" w:themeColor="text1"/>
          <w14:textFill>
            <w14:solidFill>
              <w14:schemeClr w14:val="tx1"/>
            </w14:solidFill>
          </w14:textFill>
        </w:rPr>
        <w:t>符合性分析</w:t>
      </w:r>
    </w:p>
    <w:p w14:paraId="3EB9D114">
      <w:pPr>
        <w:pStyle w:val="117"/>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项目建设符合《</w:t>
      </w:r>
      <w:r>
        <w:rPr>
          <w:color w:val="000000" w:themeColor="text1"/>
          <w14:textFill>
            <w14:solidFill>
              <w14:schemeClr w14:val="tx1"/>
            </w14:solidFill>
          </w14:textFill>
        </w:rPr>
        <w:t>空气质量持续改善行动计划</w:t>
      </w:r>
      <w:r>
        <w:rPr>
          <w:rFonts w:hint="eastAsia"/>
          <w:color w:val="000000" w:themeColor="text1"/>
          <w14:textFill>
            <w14:solidFill>
              <w14:schemeClr w14:val="tx1"/>
            </w14:solidFill>
          </w14:textFill>
        </w:rPr>
        <w:t>》中的相关要求，具体分析见表2.9-9。</w:t>
      </w:r>
    </w:p>
    <w:p w14:paraId="7996CE58">
      <w:pPr>
        <w:pStyle w:val="15"/>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表2</w:t>
      </w:r>
      <w:r>
        <w:rPr>
          <w:color w:val="000000" w:themeColor="text1"/>
          <w14:textFill>
            <w14:solidFill>
              <w14:schemeClr w14:val="tx1"/>
            </w14:solidFill>
          </w14:textFill>
        </w:rPr>
        <w:t>.9-</w:t>
      </w:r>
      <w:r>
        <w:rPr>
          <w:rFonts w:hint="eastAsia"/>
          <w:color w:val="000000" w:themeColor="text1"/>
          <w14:textFill>
            <w14:solidFill>
              <w14:schemeClr w14:val="tx1"/>
            </w14:solidFill>
          </w14:textFill>
        </w:rPr>
        <w:t xml:space="preserve">9 </w:t>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本项目与《</w:t>
      </w:r>
      <w:r>
        <w:rPr>
          <w:color w:val="000000" w:themeColor="text1"/>
          <w14:textFill>
            <w14:solidFill>
              <w14:schemeClr w14:val="tx1"/>
            </w14:solidFill>
          </w14:textFill>
        </w:rPr>
        <w:t>空气质量持续改善行动计划</w:t>
      </w:r>
      <w:r>
        <w:rPr>
          <w:rFonts w:hint="eastAsia"/>
          <w:color w:val="000000" w:themeColor="text1"/>
          <w14:textFill>
            <w14:solidFill>
              <w14:schemeClr w14:val="tx1"/>
            </w14:solidFill>
          </w14:textFill>
        </w:rPr>
        <w:t>》的相符性分析</w:t>
      </w:r>
    </w:p>
    <w:tbl>
      <w:tblPr>
        <w:tblStyle w:val="51"/>
        <w:tblW w:w="4999"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1273"/>
        <w:gridCol w:w="4114"/>
        <w:gridCol w:w="2693"/>
        <w:gridCol w:w="648"/>
      </w:tblGrid>
      <w:tr w14:paraId="401D725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tblHeader/>
          <w:jc w:val="center"/>
        </w:trPr>
        <w:tc>
          <w:tcPr>
            <w:tcW w:w="3086" w:type="pct"/>
            <w:gridSpan w:val="2"/>
            <w:tcBorders>
              <w:tl2br w:val="nil"/>
              <w:tr2bl w:val="nil"/>
            </w:tcBorders>
            <w:vAlign w:val="center"/>
          </w:tcPr>
          <w:p w14:paraId="2976FD42">
            <w:pPr>
              <w:pStyle w:val="286"/>
              <w:spacing w:line="300" w:lineRule="exact"/>
              <w:rPr>
                <w:rFonts w:hint="eastAsia" w:cs="Arial"/>
                <w:color w:val="000000" w:themeColor="text1"/>
                <w:sz w:val="21"/>
                <w:lang w:bidi="ar"/>
                <w14:textFill>
                  <w14:solidFill>
                    <w14:schemeClr w14:val="tx1"/>
                  </w14:solidFill>
                </w14:textFill>
              </w:rPr>
            </w:pPr>
            <w:r>
              <w:rPr>
                <w:rFonts w:hint="eastAsia" w:cs="Arial"/>
                <w:color w:val="000000" w:themeColor="text1"/>
                <w:sz w:val="21"/>
                <w:lang w:bidi="ar"/>
                <w14:textFill>
                  <w14:solidFill>
                    <w14:schemeClr w14:val="tx1"/>
                  </w14:solidFill>
                </w14:textFill>
              </w:rPr>
              <w:t>计划相关要求</w:t>
            </w:r>
          </w:p>
        </w:tc>
        <w:tc>
          <w:tcPr>
            <w:tcW w:w="1543" w:type="pct"/>
            <w:tcBorders>
              <w:tl2br w:val="nil"/>
              <w:tr2bl w:val="nil"/>
            </w:tcBorders>
            <w:vAlign w:val="center"/>
          </w:tcPr>
          <w:p w14:paraId="54DE870C">
            <w:pPr>
              <w:pStyle w:val="286"/>
              <w:spacing w:line="300" w:lineRule="exact"/>
              <w:rPr>
                <w:rFonts w:hint="eastAsia" w:cs="Arial"/>
                <w:color w:val="000000" w:themeColor="text1"/>
                <w:sz w:val="21"/>
                <w:lang w:bidi="ar"/>
                <w14:textFill>
                  <w14:solidFill>
                    <w14:schemeClr w14:val="tx1"/>
                  </w14:solidFill>
                </w14:textFill>
              </w:rPr>
            </w:pPr>
            <w:r>
              <w:rPr>
                <w:rFonts w:hint="eastAsia" w:cs="Arial"/>
                <w:color w:val="000000" w:themeColor="text1"/>
                <w:sz w:val="21"/>
                <w:lang w:bidi="ar"/>
                <w14:textFill>
                  <w14:solidFill>
                    <w14:schemeClr w14:val="tx1"/>
                  </w14:solidFill>
                </w14:textFill>
              </w:rPr>
              <w:t>本工程情况</w:t>
            </w:r>
          </w:p>
        </w:tc>
        <w:tc>
          <w:tcPr>
            <w:tcW w:w="371" w:type="pct"/>
            <w:tcBorders>
              <w:tl2br w:val="nil"/>
              <w:tr2bl w:val="nil"/>
            </w:tcBorders>
            <w:vAlign w:val="center"/>
          </w:tcPr>
          <w:p w14:paraId="77EFA86E">
            <w:pPr>
              <w:pStyle w:val="286"/>
              <w:spacing w:line="300" w:lineRule="exact"/>
              <w:rPr>
                <w:rFonts w:hint="eastAsia" w:cs="Arial"/>
                <w:color w:val="000000" w:themeColor="text1"/>
                <w:sz w:val="21"/>
                <w:lang w:bidi="ar"/>
                <w14:textFill>
                  <w14:solidFill>
                    <w14:schemeClr w14:val="tx1"/>
                  </w14:solidFill>
                </w14:textFill>
              </w:rPr>
            </w:pPr>
            <w:r>
              <w:rPr>
                <w:rFonts w:hint="eastAsia" w:cs="Arial"/>
                <w:color w:val="000000" w:themeColor="text1"/>
                <w:sz w:val="21"/>
                <w:lang w:bidi="ar"/>
                <w14:textFill>
                  <w14:solidFill>
                    <w14:schemeClr w14:val="tx1"/>
                  </w14:solidFill>
                </w14:textFill>
              </w:rPr>
              <w:t>符合性</w:t>
            </w:r>
          </w:p>
        </w:tc>
      </w:tr>
      <w:tr w14:paraId="1BD8CB8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29" w:type="pct"/>
            <w:vMerge w:val="restart"/>
            <w:tcBorders>
              <w:tl2br w:val="nil"/>
              <w:tr2bl w:val="nil"/>
            </w:tcBorders>
            <w:vAlign w:val="center"/>
          </w:tcPr>
          <w:p w14:paraId="44B7EFC9">
            <w:pPr>
              <w:pStyle w:val="286"/>
              <w:spacing w:line="300" w:lineRule="exact"/>
              <w:rPr>
                <w:rFonts w:hint="eastAsia" w:cs="Arial"/>
                <w:color w:val="000000" w:themeColor="text1"/>
                <w:sz w:val="21"/>
                <w:lang w:bidi="ar"/>
                <w14:textFill>
                  <w14:solidFill>
                    <w14:schemeClr w14:val="tx1"/>
                  </w14:solidFill>
                </w14:textFill>
              </w:rPr>
            </w:pPr>
            <w:r>
              <w:rPr>
                <w:rFonts w:hint="eastAsia" w:cs="Arial"/>
                <w:color w:val="000000" w:themeColor="text1"/>
                <w:sz w:val="21"/>
                <w:lang w:bidi="ar"/>
                <w14:textFill>
                  <w14:solidFill>
                    <w14:schemeClr w14:val="tx1"/>
                  </w14:solidFill>
                </w14:textFill>
              </w:rPr>
              <w:t>优化产业结构，促进产业产品绿色升级</w:t>
            </w:r>
          </w:p>
        </w:tc>
        <w:tc>
          <w:tcPr>
            <w:tcW w:w="2357" w:type="pct"/>
            <w:tcBorders>
              <w:tl2br w:val="nil"/>
              <w:tr2bl w:val="nil"/>
            </w:tcBorders>
            <w:vAlign w:val="center"/>
          </w:tcPr>
          <w:p w14:paraId="5F76C1BE">
            <w:pPr>
              <w:pStyle w:val="286"/>
              <w:spacing w:line="300" w:lineRule="exact"/>
              <w:rPr>
                <w:rFonts w:hint="eastAsia" w:cs="Arial"/>
                <w:color w:val="000000" w:themeColor="text1"/>
                <w:sz w:val="21"/>
                <w:lang w:bidi="ar"/>
                <w14:textFill>
                  <w14:solidFill>
                    <w14:schemeClr w14:val="tx1"/>
                  </w14:solidFill>
                </w14:textFill>
              </w:rPr>
            </w:pPr>
            <w:r>
              <w:rPr>
                <w:rFonts w:hint="eastAsia" w:cs="Arial"/>
                <w:color w:val="000000" w:themeColor="text1"/>
                <w:sz w:val="21"/>
                <w:lang w:bidi="ar"/>
                <w14:textFill>
                  <w14:solidFill>
                    <w14:schemeClr w14:val="tx1"/>
                  </w14:solidFill>
                </w14:textFill>
              </w:rPr>
              <w:t>新改扩建项目严格落实国家产业规划、产业政策、生态环境分区管控方案、规划环评、项目环评、节能审查、产能置换、重点污染物总量控制、污染物排放区域削减、碳排放达峰目标等相关要求，原则上采用清洁运输方式。</w:t>
            </w:r>
          </w:p>
        </w:tc>
        <w:tc>
          <w:tcPr>
            <w:tcW w:w="1543" w:type="pct"/>
            <w:tcBorders>
              <w:tl2br w:val="nil"/>
              <w:tr2bl w:val="nil"/>
            </w:tcBorders>
            <w:vAlign w:val="center"/>
          </w:tcPr>
          <w:p w14:paraId="69F37A0D">
            <w:pPr>
              <w:pStyle w:val="286"/>
              <w:spacing w:line="300" w:lineRule="exact"/>
              <w:jc w:val="both"/>
              <w:rPr>
                <w:rFonts w:hint="eastAsia" w:cs="Arial"/>
                <w:color w:val="000000" w:themeColor="text1"/>
                <w:sz w:val="21"/>
                <w:lang w:bidi="ar"/>
                <w14:textFill>
                  <w14:solidFill>
                    <w14:schemeClr w14:val="tx1"/>
                  </w14:solidFill>
                </w14:textFill>
              </w:rPr>
            </w:pPr>
            <w:r>
              <w:rPr>
                <w:rFonts w:hint="eastAsia" w:cs="Arial"/>
                <w:color w:val="000000" w:themeColor="text1"/>
                <w:sz w:val="21"/>
                <w:lang w:bidi="ar"/>
                <w14:textFill>
                  <w14:solidFill>
                    <w14:schemeClr w14:val="tx1"/>
                  </w14:solidFill>
                </w14:textFill>
              </w:rPr>
              <w:t>项目建设符合国家产业政策、昌吉回族自治州生态环境分区管控方案、《新疆油田公司“十四五”发展规划环境影响报告书》等的相关要求，本项目不设总量控制指标。</w:t>
            </w:r>
          </w:p>
        </w:tc>
        <w:tc>
          <w:tcPr>
            <w:tcW w:w="371" w:type="pct"/>
            <w:tcBorders>
              <w:tl2br w:val="nil"/>
              <w:tr2bl w:val="nil"/>
            </w:tcBorders>
            <w:vAlign w:val="center"/>
          </w:tcPr>
          <w:p w14:paraId="3C9E315F">
            <w:pPr>
              <w:pStyle w:val="286"/>
              <w:spacing w:line="300" w:lineRule="exact"/>
              <w:rPr>
                <w:rFonts w:hint="eastAsia" w:cs="Arial"/>
                <w:color w:val="000000" w:themeColor="text1"/>
                <w:sz w:val="21"/>
                <w:lang w:bidi="ar"/>
                <w14:textFill>
                  <w14:solidFill>
                    <w14:schemeClr w14:val="tx1"/>
                  </w14:solidFill>
                </w14:textFill>
              </w:rPr>
            </w:pPr>
            <w:r>
              <w:rPr>
                <w:rFonts w:hint="eastAsia" w:cs="Arial"/>
                <w:color w:val="000000" w:themeColor="text1"/>
                <w:sz w:val="21"/>
                <w:lang w:bidi="ar"/>
                <w14:textFill>
                  <w14:solidFill>
                    <w14:schemeClr w14:val="tx1"/>
                  </w14:solidFill>
                </w14:textFill>
              </w:rPr>
              <w:t>符合</w:t>
            </w:r>
          </w:p>
        </w:tc>
      </w:tr>
      <w:tr w14:paraId="5E416B1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29" w:type="pct"/>
            <w:vMerge w:val="continue"/>
            <w:tcBorders>
              <w:tl2br w:val="nil"/>
              <w:tr2bl w:val="nil"/>
            </w:tcBorders>
            <w:vAlign w:val="center"/>
          </w:tcPr>
          <w:p w14:paraId="6704AE7E">
            <w:pPr>
              <w:pStyle w:val="286"/>
              <w:spacing w:line="300" w:lineRule="exact"/>
              <w:rPr>
                <w:rFonts w:hint="eastAsia" w:cs="Arial"/>
                <w:color w:val="000000" w:themeColor="text1"/>
                <w:sz w:val="21"/>
                <w:lang w:bidi="ar"/>
                <w14:textFill>
                  <w14:solidFill>
                    <w14:schemeClr w14:val="tx1"/>
                  </w14:solidFill>
                </w14:textFill>
              </w:rPr>
            </w:pPr>
          </w:p>
        </w:tc>
        <w:tc>
          <w:tcPr>
            <w:tcW w:w="2357" w:type="pct"/>
            <w:tcBorders>
              <w:tl2br w:val="nil"/>
              <w:tr2bl w:val="nil"/>
            </w:tcBorders>
            <w:vAlign w:val="center"/>
          </w:tcPr>
          <w:p w14:paraId="39A6F74F">
            <w:pPr>
              <w:pStyle w:val="286"/>
              <w:spacing w:line="300" w:lineRule="exact"/>
              <w:rPr>
                <w:rFonts w:hint="eastAsia" w:cs="Arial"/>
                <w:color w:val="000000" w:themeColor="text1"/>
                <w:sz w:val="21"/>
                <w:lang w:bidi="ar"/>
                <w14:textFill>
                  <w14:solidFill>
                    <w14:schemeClr w14:val="tx1"/>
                  </w14:solidFill>
                </w14:textFill>
              </w:rPr>
            </w:pPr>
            <w:r>
              <w:rPr>
                <w:rFonts w:hint="eastAsia" w:cs="Arial"/>
                <w:color w:val="000000" w:themeColor="text1"/>
                <w:sz w:val="21"/>
                <w:lang w:bidi="ar"/>
                <w14:textFill>
                  <w14:solidFill>
                    <w14:schemeClr w14:val="tx1"/>
                  </w14:solidFill>
                </w14:textFill>
              </w:rPr>
              <w:t>优化含VOCs原辅材料和产品结构。严格控制生产和使用高VOCs含量涂料、油墨、胶粘剂、清洗剂等建设项目，提高低（无）VOCs含量产品比重。实施源头替代工程，加大工业涂装、包装印刷和电子行业低（无）VOCs含量原辅材料替代力度。室外构筑物防护和城市道路交通标志推广使用低（无）VOCs含量涂料。在生产、销售、进口、使用等环节严格执行VOCs含量限值标准。</w:t>
            </w:r>
          </w:p>
        </w:tc>
        <w:tc>
          <w:tcPr>
            <w:tcW w:w="1543" w:type="pct"/>
            <w:tcBorders>
              <w:tl2br w:val="nil"/>
              <w:tr2bl w:val="nil"/>
            </w:tcBorders>
            <w:vAlign w:val="center"/>
          </w:tcPr>
          <w:p w14:paraId="556A5BE1">
            <w:pPr>
              <w:pStyle w:val="286"/>
              <w:spacing w:line="300" w:lineRule="exact"/>
              <w:jc w:val="both"/>
              <w:rPr>
                <w:rFonts w:hint="eastAsia" w:cs="Arial"/>
                <w:color w:val="000000" w:themeColor="text1"/>
                <w:sz w:val="21"/>
                <w:lang w:bidi="ar"/>
                <w14:textFill>
                  <w14:solidFill>
                    <w14:schemeClr w14:val="tx1"/>
                  </w14:solidFill>
                </w14:textFill>
              </w:rPr>
            </w:pPr>
            <w:r>
              <w:rPr>
                <w:rFonts w:hint="eastAsia" w:cs="Arial"/>
                <w:color w:val="000000" w:themeColor="text1"/>
                <w:sz w:val="21"/>
                <w:lang w:bidi="ar"/>
                <w14:textFill>
                  <w14:solidFill>
                    <w14:schemeClr w14:val="tx1"/>
                  </w14:solidFill>
                </w14:textFill>
              </w:rPr>
              <w:t>本项目为页岩油开发项目，</w:t>
            </w:r>
            <w:r>
              <w:rPr>
                <w:rFonts w:hint="eastAsia"/>
                <w:color w:val="000000" w:themeColor="text1"/>
                <w:sz w:val="21"/>
                <w14:textFill>
                  <w14:solidFill>
                    <w14:schemeClr w14:val="tx1"/>
                  </w14:solidFill>
                </w14:textFill>
              </w:rPr>
              <w:t>井口采出物通过管线管输至预处理站处理，分离出的采出液经集气支线管输至1号混输泵站，最终管输至页岩油联合站原油处理系统处理，伴生气经分子筛脱水后经单井注气管线管输至注气井场回注地层</w:t>
            </w:r>
            <w:r>
              <w:rPr>
                <w:rFonts w:hint="eastAsia" w:cs="Arial"/>
                <w:color w:val="000000" w:themeColor="text1"/>
                <w:sz w:val="21"/>
                <w:lang w:bidi="ar"/>
                <w14:textFill>
                  <w14:solidFill>
                    <w14:schemeClr w14:val="tx1"/>
                  </w14:solidFill>
                </w14:textFill>
              </w:rPr>
              <w:t>，运营期加强巡检、设备阀门等巡检，井场和预处理注入站厂界非甲烷总烃排放浓度满足《陆上石油天然气开采工业大气污染物排放标准》（GB39728—2020）限值要求。</w:t>
            </w:r>
          </w:p>
        </w:tc>
        <w:tc>
          <w:tcPr>
            <w:tcW w:w="371" w:type="pct"/>
            <w:tcBorders>
              <w:tl2br w:val="nil"/>
              <w:tr2bl w:val="nil"/>
            </w:tcBorders>
            <w:vAlign w:val="center"/>
          </w:tcPr>
          <w:p w14:paraId="6C5399D5">
            <w:pPr>
              <w:pStyle w:val="286"/>
              <w:spacing w:line="300" w:lineRule="exact"/>
              <w:rPr>
                <w:rFonts w:hint="eastAsia" w:cs="Arial"/>
                <w:color w:val="000000" w:themeColor="text1"/>
                <w:sz w:val="21"/>
                <w:lang w:bidi="ar"/>
                <w14:textFill>
                  <w14:solidFill>
                    <w14:schemeClr w14:val="tx1"/>
                  </w14:solidFill>
                </w14:textFill>
              </w:rPr>
            </w:pPr>
            <w:r>
              <w:rPr>
                <w:rFonts w:hint="eastAsia" w:cs="Arial"/>
                <w:color w:val="000000" w:themeColor="text1"/>
                <w:sz w:val="21"/>
                <w:lang w:bidi="ar"/>
                <w14:textFill>
                  <w14:solidFill>
                    <w14:schemeClr w14:val="tx1"/>
                  </w14:solidFill>
                </w14:textFill>
              </w:rPr>
              <w:t>符合</w:t>
            </w:r>
          </w:p>
        </w:tc>
      </w:tr>
      <w:tr w14:paraId="4A0E68C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29" w:type="pct"/>
            <w:tcBorders>
              <w:tl2br w:val="nil"/>
              <w:tr2bl w:val="nil"/>
            </w:tcBorders>
            <w:vAlign w:val="center"/>
          </w:tcPr>
          <w:p w14:paraId="0EB5AAEC">
            <w:pPr>
              <w:pStyle w:val="286"/>
              <w:spacing w:line="300" w:lineRule="exact"/>
              <w:rPr>
                <w:rFonts w:hint="eastAsia" w:cs="Arial"/>
                <w:color w:val="000000" w:themeColor="text1"/>
                <w:sz w:val="21"/>
                <w:lang w:bidi="ar"/>
                <w14:textFill>
                  <w14:solidFill>
                    <w14:schemeClr w14:val="tx1"/>
                  </w14:solidFill>
                </w14:textFill>
              </w:rPr>
            </w:pPr>
            <w:r>
              <w:rPr>
                <w:rFonts w:hint="eastAsia" w:cs="Arial"/>
                <w:color w:val="000000" w:themeColor="text1"/>
                <w:sz w:val="21"/>
                <w:lang w:bidi="ar"/>
                <w14:textFill>
                  <w14:solidFill>
                    <w14:schemeClr w14:val="tx1"/>
                  </w14:solidFill>
                </w14:textFill>
              </w:rPr>
              <w:t>优化能源结构，加速能源清洁低碳高效发展</w:t>
            </w:r>
          </w:p>
        </w:tc>
        <w:tc>
          <w:tcPr>
            <w:tcW w:w="2357" w:type="pct"/>
            <w:tcBorders>
              <w:tl2br w:val="nil"/>
              <w:tr2bl w:val="nil"/>
            </w:tcBorders>
            <w:vAlign w:val="center"/>
          </w:tcPr>
          <w:p w14:paraId="6A6ACC3D">
            <w:pPr>
              <w:pStyle w:val="286"/>
              <w:spacing w:line="300" w:lineRule="exact"/>
              <w:rPr>
                <w:rFonts w:hint="eastAsia" w:cs="Arial"/>
                <w:color w:val="000000" w:themeColor="text1"/>
                <w:sz w:val="21"/>
                <w:lang w:bidi="ar"/>
                <w14:textFill>
                  <w14:solidFill>
                    <w14:schemeClr w14:val="tx1"/>
                  </w14:solidFill>
                </w14:textFill>
              </w:rPr>
            </w:pPr>
            <w:r>
              <w:rPr>
                <w:rFonts w:hint="eastAsia" w:cs="Arial"/>
                <w:color w:val="000000" w:themeColor="text1"/>
                <w:sz w:val="21"/>
                <w:lang w:bidi="ar"/>
                <w14:textFill>
                  <w14:solidFill>
                    <w14:schemeClr w14:val="tx1"/>
                  </w14:solidFill>
                </w14:textFill>
              </w:rPr>
              <w:t>大力发展新能源和清洁能源。到2025年，非化石能源消费比重达20%左右，电能占终端能源消费比重达30%左右。持续增加天然气生产供应，新增天然气优先保障居民生活和清洁取暖需求。</w:t>
            </w:r>
          </w:p>
        </w:tc>
        <w:tc>
          <w:tcPr>
            <w:tcW w:w="1543" w:type="pct"/>
            <w:tcBorders>
              <w:tl2br w:val="nil"/>
              <w:tr2bl w:val="nil"/>
            </w:tcBorders>
            <w:vAlign w:val="center"/>
          </w:tcPr>
          <w:p w14:paraId="1E2A3C52">
            <w:pPr>
              <w:pStyle w:val="286"/>
              <w:spacing w:line="300" w:lineRule="exact"/>
              <w:jc w:val="both"/>
              <w:rPr>
                <w:rFonts w:hint="eastAsia" w:cs="Arial"/>
                <w:color w:val="000000" w:themeColor="text1"/>
                <w:sz w:val="21"/>
                <w:lang w:bidi="ar"/>
                <w14:textFill>
                  <w14:solidFill>
                    <w14:schemeClr w14:val="tx1"/>
                  </w14:solidFill>
                </w14:textFill>
              </w:rPr>
            </w:pPr>
            <w:r>
              <w:rPr>
                <w:rFonts w:hint="eastAsia" w:cs="Arial"/>
                <w:color w:val="000000" w:themeColor="text1"/>
                <w:sz w:val="21"/>
                <w:lang w:bidi="ar"/>
                <w14:textFill>
                  <w14:solidFill>
                    <w14:schemeClr w14:val="tx1"/>
                  </w14:solidFill>
                </w14:textFill>
              </w:rPr>
              <w:t>井口采用电加热，不使用煤炭、石油、天然气等能源；本项目产生的伴生气经预处理注入站内分子筛脱水装置脱水后经</w:t>
            </w:r>
            <w:r>
              <w:rPr>
                <w:rFonts w:hint="eastAsia"/>
                <w:color w:val="000000" w:themeColor="text1"/>
                <w:sz w:val="21"/>
                <w14:textFill>
                  <w14:solidFill>
                    <w14:schemeClr w14:val="tx1"/>
                  </w14:solidFill>
                </w14:textFill>
              </w:rPr>
              <w:t>单井注气管线管输至注气井场回注地层</w:t>
            </w:r>
            <w:r>
              <w:rPr>
                <w:rFonts w:hint="eastAsia" w:cs="Arial"/>
                <w:color w:val="000000" w:themeColor="text1"/>
                <w:sz w:val="21"/>
                <w:lang w:bidi="ar"/>
                <w14:textFill>
                  <w14:solidFill>
                    <w14:schemeClr w14:val="tx1"/>
                  </w14:solidFill>
                </w14:textFill>
              </w:rPr>
              <w:t>。</w:t>
            </w:r>
          </w:p>
        </w:tc>
        <w:tc>
          <w:tcPr>
            <w:tcW w:w="371" w:type="pct"/>
            <w:tcBorders>
              <w:tl2br w:val="nil"/>
              <w:tr2bl w:val="nil"/>
            </w:tcBorders>
            <w:vAlign w:val="center"/>
          </w:tcPr>
          <w:p w14:paraId="5558C871">
            <w:pPr>
              <w:pStyle w:val="286"/>
              <w:spacing w:line="300" w:lineRule="exact"/>
              <w:rPr>
                <w:rFonts w:hint="eastAsia" w:cs="Arial"/>
                <w:color w:val="000000" w:themeColor="text1"/>
                <w:sz w:val="21"/>
                <w:lang w:bidi="ar"/>
                <w14:textFill>
                  <w14:solidFill>
                    <w14:schemeClr w14:val="tx1"/>
                  </w14:solidFill>
                </w14:textFill>
              </w:rPr>
            </w:pPr>
            <w:r>
              <w:rPr>
                <w:rFonts w:hint="eastAsia" w:cs="Arial"/>
                <w:color w:val="000000" w:themeColor="text1"/>
                <w:sz w:val="21"/>
                <w:lang w:bidi="ar"/>
                <w14:textFill>
                  <w14:solidFill>
                    <w14:schemeClr w14:val="tx1"/>
                  </w14:solidFill>
                </w14:textFill>
              </w:rPr>
              <w:t>符合</w:t>
            </w:r>
          </w:p>
        </w:tc>
      </w:tr>
      <w:tr w14:paraId="1B75AE3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29" w:type="pct"/>
            <w:vMerge w:val="restart"/>
            <w:tcBorders>
              <w:tl2br w:val="nil"/>
              <w:tr2bl w:val="nil"/>
            </w:tcBorders>
            <w:vAlign w:val="center"/>
          </w:tcPr>
          <w:p w14:paraId="25D73A78">
            <w:pPr>
              <w:pStyle w:val="286"/>
              <w:spacing w:line="300" w:lineRule="exact"/>
              <w:rPr>
                <w:rFonts w:hint="eastAsia" w:cs="Arial"/>
                <w:color w:val="000000" w:themeColor="text1"/>
                <w:sz w:val="21"/>
                <w:lang w:bidi="ar"/>
                <w14:textFill>
                  <w14:solidFill>
                    <w14:schemeClr w14:val="tx1"/>
                  </w14:solidFill>
                </w14:textFill>
              </w:rPr>
            </w:pPr>
            <w:r>
              <w:rPr>
                <w:rFonts w:hint="eastAsia" w:cs="Arial"/>
                <w:color w:val="000000" w:themeColor="text1"/>
                <w:sz w:val="21"/>
                <w:lang w:bidi="ar"/>
                <w14:textFill>
                  <w14:solidFill>
                    <w14:schemeClr w14:val="tx1"/>
                  </w14:solidFill>
                </w14:textFill>
              </w:rPr>
              <w:t>强化面源污染治理，提升精细化管理水平</w:t>
            </w:r>
          </w:p>
        </w:tc>
        <w:tc>
          <w:tcPr>
            <w:tcW w:w="2357" w:type="pct"/>
            <w:tcBorders>
              <w:tl2br w:val="nil"/>
              <w:tr2bl w:val="nil"/>
            </w:tcBorders>
            <w:vAlign w:val="center"/>
          </w:tcPr>
          <w:p w14:paraId="4CEAD7B3">
            <w:pPr>
              <w:pStyle w:val="286"/>
              <w:spacing w:line="300" w:lineRule="exact"/>
              <w:rPr>
                <w:rFonts w:hint="eastAsia" w:cs="Arial"/>
                <w:color w:val="000000" w:themeColor="text1"/>
                <w:sz w:val="21"/>
                <w:lang w:bidi="ar"/>
                <w14:textFill>
                  <w14:solidFill>
                    <w14:schemeClr w14:val="tx1"/>
                  </w14:solidFill>
                </w14:textFill>
              </w:rPr>
            </w:pPr>
            <w:r>
              <w:rPr>
                <w:rFonts w:hint="eastAsia" w:cs="Arial"/>
                <w:color w:val="000000" w:themeColor="text1"/>
                <w:sz w:val="21"/>
                <w:lang w:bidi="ar"/>
                <w14:textFill>
                  <w14:solidFill>
                    <w14:schemeClr w14:val="tx1"/>
                  </w14:solidFill>
                </w14:textFill>
              </w:rPr>
              <w:t>鼓励经济发达地区5000平方米及以上建筑工地安装视频监控并接入当地监管平台；重点区域道路、水务等长距离线性工程实行分段施工。将防治扬尘污染费用纳入工程造价。到2025年，装配式建筑占新建建筑面积比例达30%；地级及以上城市建成区道路机械化清扫率达80%左右，县城达70%左右。对城市公共裸地进行排查建档并采取防尘措施。城市大型煤炭、矿石等干散货码头物料堆场基本完成抑尘设施建设和物料输送系统封闭改造。</w:t>
            </w:r>
          </w:p>
        </w:tc>
        <w:tc>
          <w:tcPr>
            <w:tcW w:w="1543" w:type="pct"/>
            <w:tcBorders>
              <w:tl2br w:val="nil"/>
              <w:tr2bl w:val="nil"/>
            </w:tcBorders>
            <w:vAlign w:val="center"/>
          </w:tcPr>
          <w:p w14:paraId="6861BA27">
            <w:pPr>
              <w:pStyle w:val="286"/>
              <w:spacing w:line="300" w:lineRule="exact"/>
              <w:jc w:val="both"/>
              <w:rPr>
                <w:rFonts w:hint="eastAsia" w:cs="Arial"/>
                <w:color w:val="000000" w:themeColor="text1"/>
                <w:sz w:val="21"/>
                <w:lang w:bidi="ar"/>
                <w14:textFill>
                  <w14:solidFill>
                    <w14:schemeClr w14:val="tx1"/>
                  </w14:solidFill>
                </w14:textFill>
              </w:rPr>
            </w:pPr>
            <w:r>
              <w:rPr>
                <w:rFonts w:hint="eastAsia" w:cs="Arial"/>
                <w:color w:val="000000" w:themeColor="text1"/>
                <w:sz w:val="21"/>
                <w:lang w:bidi="ar"/>
                <w14:textFill>
                  <w14:solidFill>
                    <w14:schemeClr w14:val="tx1"/>
                  </w14:solidFill>
                </w14:textFill>
              </w:rPr>
              <w:t>项目位于吉木萨尔县，属于页岩油开采项目，不属于重点区域。</w:t>
            </w:r>
          </w:p>
        </w:tc>
        <w:tc>
          <w:tcPr>
            <w:tcW w:w="371" w:type="pct"/>
            <w:tcBorders>
              <w:tl2br w:val="nil"/>
              <w:tr2bl w:val="nil"/>
            </w:tcBorders>
            <w:vAlign w:val="center"/>
          </w:tcPr>
          <w:p w14:paraId="082F58FE">
            <w:pPr>
              <w:pStyle w:val="286"/>
              <w:spacing w:line="300" w:lineRule="exact"/>
              <w:rPr>
                <w:rFonts w:hint="eastAsia" w:cs="Arial"/>
                <w:color w:val="000000" w:themeColor="text1"/>
                <w:sz w:val="21"/>
                <w:lang w:bidi="ar"/>
                <w14:textFill>
                  <w14:solidFill>
                    <w14:schemeClr w14:val="tx1"/>
                  </w14:solidFill>
                </w14:textFill>
              </w:rPr>
            </w:pPr>
            <w:r>
              <w:rPr>
                <w:rFonts w:hint="eastAsia" w:cs="Arial"/>
                <w:color w:val="000000" w:themeColor="text1"/>
                <w:sz w:val="21"/>
                <w:lang w:bidi="ar"/>
                <w14:textFill>
                  <w14:solidFill>
                    <w14:schemeClr w14:val="tx1"/>
                  </w14:solidFill>
                </w14:textFill>
              </w:rPr>
              <w:t>符合</w:t>
            </w:r>
          </w:p>
        </w:tc>
      </w:tr>
      <w:tr w14:paraId="6B6E77B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29" w:type="pct"/>
            <w:vMerge w:val="continue"/>
            <w:tcBorders>
              <w:tl2br w:val="nil"/>
              <w:tr2bl w:val="nil"/>
            </w:tcBorders>
            <w:vAlign w:val="center"/>
          </w:tcPr>
          <w:p w14:paraId="0CA83DD5">
            <w:pPr>
              <w:pStyle w:val="286"/>
              <w:spacing w:line="300" w:lineRule="exact"/>
              <w:rPr>
                <w:rFonts w:hint="eastAsia" w:cs="Arial"/>
                <w:color w:val="000000" w:themeColor="text1"/>
                <w:sz w:val="21"/>
                <w:lang w:bidi="ar"/>
                <w14:textFill>
                  <w14:solidFill>
                    <w14:schemeClr w14:val="tx1"/>
                  </w14:solidFill>
                </w14:textFill>
              </w:rPr>
            </w:pPr>
          </w:p>
        </w:tc>
        <w:tc>
          <w:tcPr>
            <w:tcW w:w="2357" w:type="pct"/>
            <w:tcBorders>
              <w:tl2br w:val="nil"/>
              <w:tr2bl w:val="nil"/>
            </w:tcBorders>
            <w:vAlign w:val="center"/>
          </w:tcPr>
          <w:p w14:paraId="2D58D86A">
            <w:pPr>
              <w:pStyle w:val="286"/>
              <w:spacing w:line="300" w:lineRule="exact"/>
              <w:rPr>
                <w:rFonts w:hint="eastAsia" w:cs="Arial"/>
                <w:color w:val="000000" w:themeColor="text1"/>
                <w:sz w:val="21"/>
                <w:lang w:bidi="ar"/>
                <w14:textFill>
                  <w14:solidFill>
                    <w14:schemeClr w14:val="tx1"/>
                  </w14:solidFill>
                </w14:textFill>
              </w:rPr>
            </w:pPr>
            <w:r>
              <w:rPr>
                <w:rFonts w:hint="eastAsia" w:cs="Arial"/>
                <w:color w:val="000000" w:themeColor="text1"/>
                <w:sz w:val="21"/>
                <w:lang w:bidi="ar"/>
                <w14:textFill>
                  <w14:solidFill>
                    <w14:schemeClr w14:val="tx1"/>
                  </w14:solidFill>
                </w14:textFill>
              </w:rPr>
              <w:t>新建矿山原则上要同步建设铁路专用线或采用其他清洁运输方式。到2025年，京津冀及周边地区原则上不再新建露天矿山（省级矿产资源规划确定的重点开采区或经安全论证不宜采用地下开采方式的除外）。对限期整改仍不达标的矿山，根据安全生产、水土保持、生态环境等要求依法关闭。</w:t>
            </w:r>
          </w:p>
        </w:tc>
        <w:tc>
          <w:tcPr>
            <w:tcW w:w="1543" w:type="pct"/>
            <w:tcBorders>
              <w:tl2br w:val="nil"/>
              <w:tr2bl w:val="nil"/>
            </w:tcBorders>
            <w:vAlign w:val="center"/>
          </w:tcPr>
          <w:p w14:paraId="447331A6">
            <w:pPr>
              <w:pStyle w:val="286"/>
              <w:spacing w:line="300" w:lineRule="exact"/>
              <w:jc w:val="both"/>
              <w:rPr>
                <w:rFonts w:hint="eastAsia" w:cs="Arial"/>
                <w:color w:val="000000" w:themeColor="text1"/>
                <w:sz w:val="21"/>
                <w:lang w:bidi="ar"/>
                <w14:textFill>
                  <w14:solidFill>
                    <w14:schemeClr w14:val="tx1"/>
                  </w14:solidFill>
                </w14:textFill>
              </w:rPr>
            </w:pPr>
            <w:r>
              <w:rPr>
                <w:rFonts w:hint="eastAsia"/>
                <w:color w:val="000000" w:themeColor="text1"/>
                <w:sz w:val="21"/>
                <w14:textFill>
                  <w14:solidFill>
                    <w14:schemeClr w14:val="tx1"/>
                  </w14:solidFill>
                </w14:textFill>
              </w:rPr>
              <w:t>井口采出物通过管线管输至预处理站处理，分离出的采出液经集气支线管输至1号混输泵站，最终管输至页岩油联合站原油处理系统处理，伴生气经分子筛脱水后经单井注气管线管输至注气井场回注地层</w:t>
            </w:r>
            <w:r>
              <w:rPr>
                <w:rFonts w:hint="eastAsia" w:cs="Arial"/>
                <w:color w:val="000000" w:themeColor="text1"/>
                <w:sz w:val="21"/>
                <w:lang w:bidi="ar"/>
                <w14:textFill>
                  <w14:solidFill>
                    <w14:schemeClr w14:val="tx1"/>
                  </w14:solidFill>
                </w14:textFill>
              </w:rPr>
              <w:t>，报告对生态环境保护、水土保持等提出了相应的保护措施。</w:t>
            </w:r>
          </w:p>
        </w:tc>
        <w:tc>
          <w:tcPr>
            <w:tcW w:w="371" w:type="pct"/>
            <w:tcBorders>
              <w:tl2br w:val="nil"/>
              <w:tr2bl w:val="nil"/>
            </w:tcBorders>
            <w:vAlign w:val="center"/>
          </w:tcPr>
          <w:p w14:paraId="124490AA">
            <w:pPr>
              <w:pStyle w:val="286"/>
              <w:spacing w:line="300" w:lineRule="exact"/>
              <w:rPr>
                <w:rFonts w:hint="eastAsia" w:cs="Arial"/>
                <w:color w:val="000000" w:themeColor="text1"/>
                <w:sz w:val="21"/>
                <w:lang w:bidi="ar"/>
                <w14:textFill>
                  <w14:solidFill>
                    <w14:schemeClr w14:val="tx1"/>
                  </w14:solidFill>
                </w14:textFill>
              </w:rPr>
            </w:pPr>
            <w:r>
              <w:rPr>
                <w:rFonts w:hint="eastAsia" w:cs="Arial"/>
                <w:color w:val="000000" w:themeColor="text1"/>
                <w:sz w:val="21"/>
                <w:lang w:bidi="ar"/>
                <w14:textFill>
                  <w14:solidFill>
                    <w14:schemeClr w14:val="tx1"/>
                  </w14:solidFill>
                </w14:textFill>
              </w:rPr>
              <w:t>符合</w:t>
            </w:r>
          </w:p>
        </w:tc>
      </w:tr>
      <w:tr w14:paraId="63DC5E3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29" w:type="pct"/>
            <w:tcBorders>
              <w:tl2br w:val="nil"/>
              <w:tr2bl w:val="nil"/>
            </w:tcBorders>
            <w:vAlign w:val="center"/>
          </w:tcPr>
          <w:p w14:paraId="07F2820B">
            <w:pPr>
              <w:pStyle w:val="286"/>
              <w:spacing w:line="300" w:lineRule="exact"/>
              <w:rPr>
                <w:rFonts w:hint="eastAsia" w:cs="Arial"/>
                <w:color w:val="000000" w:themeColor="text1"/>
                <w:sz w:val="21"/>
                <w:lang w:bidi="ar"/>
                <w14:textFill>
                  <w14:solidFill>
                    <w14:schemeClr w14:val="tx1"/>
                  </w14:solidFill>
                </w14:textFill>
              </w:rPr>
            </w:pPr>
            <w:r>
              <w:rPr>
                <w:rFonts w:hint="eastAsia" w:cs="Arial"/>
                <w:color w:val="000000" w:themeColor="text1"/>
                <w:sz w:val="21"/>
                <w:lang w:bidi="ar"/>
                <w14:textFill>
                  <w14:solidFill>
                    <w14:schemeClr w14:val="tx1"/>
                  </w14:solidFill>
                </w14:textFill>
              </w:rPr>
              <w:t>强化多污染物减排，切实降低排放强度</w:t>
            </w:r>
          </w:p>
        </w:tc>
        <w:tc>
          <w:tcPr>
            <w:tcW w:w="2357" w:type="pct"/>
            <w:tcBorders>
              <w:tl2br w:val="nil"/>
              <w:tr2bl w:val="nil"/>
            </w:tcBorders>
            <w:vAlign w:val="center"/>
          </w:tcPr>
          <w:p w14:paraId="7D739112">
            <w:pPr>
              <w:pStyle w:val="286"/>
              <w:spacing w:line="300" w:lineRule="exact"/>
              <w:rPr>
                <w:rFonts w:hint="eastAsia" w:cs="Arial"/>
                <w:color w:val="000000" w:themeColor="text1"/>
                <w:sz w:val="21"/>
                <w:lang w:bidi="ar"/>
                <w14:textFill>
                  <w14:solidFill>
                    <w14:schemeClr w14:val="tx1"/>
                  </w14:solidFill>
                </w14:textFill>
              </w:rPr>
            </w:pPr>
            <w:r>
              <w:rPr>
                <w:rFonts w:hint="eastAsia" w:cs="Arial"/>
                <w:color w:val="000000" w:themeColor="text1"/>
                <w:sz w:val="21"/>
                <w:lang w:bidi="ar"/>
                <w14:textFill>
                  <w14:solidFill>
                    <w14:schemeClr w14:val="tx1"/>
                  </w14:solidFill>
                </w14:textFill>
              </w:rPr>
              <w:t>强化VOCs全流程、全环节综合治理。鼓励储罐使用低泄漏的呼吸阀、紧急泄压阀，定期开展密封性检测。汽车罐车推广使用密封式快速接头。污水处理场所高浓度有机废气要单独收集处理；含VOCs有机废水储罐、装置区集水井（池）有机废气要密闭收集处理。重点区域石化、化工行业集中的城市和重点工业园区，2024年年底前建立统一的泄漏检测与修复信息管理平台。企业开停工、检维修期间，及时收集处理退料、清洗、吹扫等作业产生的VOCs废气。企业不得将火炬燃烧装置作为日常大气污染处理设施。</w:t>
            </w:r>
          </w:p>
        </w:tc>
        <w:tc>
          <w:tcPr>
            <w:tcW w:w="1543" w:type="pct"/>
            <w:tcBorders>
              <w:tl2br w:val="nil"/>
              <w:tr2bl w:val="nil"/>
            </w:tcBorders>
            <w:vAlign w:val="center"/>
          </w:tcPr>
          <w:p w14:paraId="55915EC4">
            <w:pPr>
              <w:pStyle w:val="286"/>
              <w:spacing w:line="300" w:lineRule="exact"/>
              <w:jc w:val="both"/>
              <w:rPr>
                <w:rFonts w:hint="eastAsia" w:cs="Arial"/>
                <w:color w:val="000000" w:themeColor="text1"/>
                <w:sz w:val="21"/>
                <w:lang w:bidi="ar"/>
                <w14:textFill>
                  <w14:solidFill>
                    <w14:schemeClr w14:val="tx1"/>
                  </w14:solidFill>
                </w14:textFill>
              </w:rPr>
            </w:pPr>
            <w:r>
              <w:rPr>
                <w:rFonts w:hint="eastAsia"/>
                <w:color w:val="000000" w:themeColor="text1"/>
                <w:sz w:val="21"/>
                <w14:textFill>
                  <w14:solidFill>
                    <w14:schemeClr w14:val="tx1"/>
                  </w14:solidFill>
                </w14:textFill>
              </w:rPr>
              <w:t>井口采出物通过管线管输至预处理站处理，分离出的采出液经集气支线管输至1号混输泵站，最终管输至页岩油联合站原油处理系统处理，伴生气经分子筛脱水后经单井注气管线管输至注气井场回注地层</w:t>
            </w:r>
            <w:r>
              <w:rPr>
                <w:rFonts w:hint="eastAsia" w:cs="Arial"/>
                <w:color w:val="000000" w:themeColor="text1"/>
                <w:sz w:val="21"/>
                <w:lang w:bidi="ar"/>
                <w14:textFill>
                  <w14:solidFill>
                    <w14:schemeClr w14:val="tx1"/>
                  </w14:solidFill>
                </w14:textFill>
              </w:rPr>
              <w:t>，项目不涉及新建原油储罐、污水处理装置、汽车罐车等；项目位于吉木萨尔县，不属于重点区域。</w:t>
            </w:r>
          </w:p>
        </w:tc>
        <w:tc>
          <w:tcPr>
            <w:tcW w:w="371" w:type="pct"/>
            <w:tcBorders>
              <w:tl2br w:val="nil"/>
              <w:tr2bl w:val="nil"/>
            </w:tcBorders>
            <w:vAlign w:val="center"/>
          </w:tcPr>
          <w:p w14:paraId="44ED6F87">
            <w:pPr>
              <w:pStyle w:val="286"/>
              <w:spacing w:line="300" w:lineRule="exact"/>
              <w:rPr>
                <w:rFonts w:hint="eastAsia" w:cs="Arial"/>
                <w:color w:val="000000" w:themeColor="text1"/>
                <w:sz w:val="21"/>
                <w:lang w:bidi="ar"/>
                <w14:textFill>
                  <w14:solidFill>
                    <w14:schemeClr w14:val="tx1"/>
                  </w14:solidFill>
                </w14:textFill>
              </w:rPr>
            </w:pPr>
            <w:r>
              <w:rPr>
                <w:rFonts w:hint="eastAsia" w:cs="Arial"/>
                <w:color w:val="000000" w:themeColor="text1"/>
                <w:sz w:val="21"/>
                <w:lang w:bidi="ar"/>
                <w14:textFill>
                  <w14:solidFill>
                    <w14:schemeClr w14:val="tx1"/>
                  </w14:solidFill>
                </w14:textFill>
              </w:rPr>
              <w:t>符合</w:t>
            </w:r>
          </w:p>
        </w:tc>
      </w:tr>
      <w:bookmarkEnd w:id="179"/>
    </w:tbl>
    <w:p w14:paraId="18174B76">
      <w:pPr>
        <w:pStyle w:val="4"/>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“三线一单”符合性分析</w:t>
      </w:r>
    </w:p>
    <w:bookmarkEnd w:id="177"/>
    <w:p w14:paraId="50B69B6C">
      <w:pPr>
        <w:pStyle w:val="117"/>
        <w:ind w:firstLine="480"/>
        <w:rPr>
          <w:rFonts w:hint="eastAsia"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（1）生态保护红线</w:t>
      </w:r>
    </w:p>
    <w:p w14:paraId="087568DC">
      <w:pPr>
        <w:pStyle w:val="191"/>
        <w:ind w:firstLine="480"/>
        <w:rPr>
          <w:rFonts w:hint="eastAsia"/>
          <w:color w:val="000000" w:themeColor="text1"/>
          <w14:textFill>
            <w14:solidFill>
              <w14:schemeClr w14:val="tx1"/>
            </w14:solidFill>
          </w14:textFill>
        </w:rPr>
      </w:pPr>
      <w:bookmarkStart w:id="181" w:name="_Hlk92216543"/>
      <w:r>
        <w:rPr>
          <w:rFonts w:hint="eastAsia"/>
          <w:color w:val="000000" w:themeColor="text1"/>
          <w14:textFill>
            <w14:solidFill>
              <w14:schemeClr w14:val="tx1"/>
            </w14:solidFill>
          </w14:textFill>
        </w:rPr>
        <w:t>项目评价范围内无国家公园、自然保护区、风景名胜区、世界文化和自然遗产地和饮用水水源保护区，也无基本草原、森林公园、地质公园、重要湿地、天然林，重点野生保护动物栖息地，也无重点保护野生植物生长繁殖地。</w:t>
      </w:r>
      <w:bookmarkStart w:id="182" w:name="OLE_LINK147"/>
      <w:r>
        <w:rPr>
          <w:rFonts w:hint="eastAsia"/>
          <w:color w:val="000000" w:themeColor="text1"/>
          <w:lang w:bidi="ar"/>
          <w14:textFill>
            <w14:solidFill>
              <w14:schemeClr w14:val="tx1"/>
            </w14:solidFill>
          </w14:textFill>
        </w:rPr>
        <w:t>根据</w:t>
      </w:r>
      <w:bookmarkStart w:id="183" w:name="OLE_LINK212"/>
      <w:r>
        <w:rPr>
          <w:rFonts w:hint="eastAsia"/>
          <w:color w:val="000000" w:themeColor="text1"/>
          <w:lang w:bidi="ar"/>
          <w14:textFill>
            <w14:solidFill>
              <w14:schemeClr w14:val="tx1"/>
            </w14:solidFill>
          </w14:textFill>
        </w:rPr>
        <w:t>《关于发布昌吉回族自治州生态环境分区管控动态更新成果的公告》</w:t>
      </w:r>
      <w:bookmarkEnd w:id="183"/>
      <w:r>
        <w:rPr>
          <w:rFonts w:hint="eastAsia"/>
          <w:color w:val="000000" w:themeColor="text1"/>
          <w:lang w:bidi="ar"/>
          <w14:textFill>
            <w14:solidFill>
              <w14:schemeClr w14:val="tx1"/>
            </w14:solidFill>
          </w14:textFill>
        </w:rPr>
        <w:t>附件3可知，项目区位于重点管控单元——吉木萨尔油页岩开采区（环境管控单元编码</w:t>
      </w:r>
      <w:r>
        <w:rPr>
          <w:color w:val="000000" w:themeColor="text1"/>
          <w:lang w:bidi="ar"/>
          <w14:textFill>
            <w14:solidFill>
              <w14:schemeClr w14:val="tx1"/>
            </w14:solidFill>
          </w14:textFill>
        </w:rPr>
        <w:t>ZH65232720004</w:t>
      </w:r>
      <w:r>
        <w:rPr>
          <w:rFonts w:hint="eastAsia"/>
          <w:color w:val="000000" w:themeColor="text1"/>
          <w:lang w:bidi="ar"/>
          <w14:textFill>
            <w14:solidFill>
              <w14:schemeClr w14:val="tx1"/>
            </w14:solidFill>
          </w14:textFill>
        </w:rPr>
        <w:t>）</w:t>
      </w:r>
      <w:bookmarkEnd w:id="182"/>
      <w:r>
        <w:rPr>
          <w:rFonts w:hint="eastAsia" w:cs="宋体"/>
          <w:color w:val="000000" w:themeColor="text1"/>
          <w14:textFill>
            <w14:solidFill>
              <w14:schemeClr w14:val="tx1"/>
            </w14:solidFill>
          </w14:textFill>
        </w:rPr>
        <w:t>，不涉及生态保护红线。</w:t>
      </w:r>
    </w:p>
    <w:bookmarkEnd w:id="181"/>
    <w:p w14:paraId="1B44859C">
      <w:pPr>
        <w:pStyle w:val="117"/>
        <w:ind w:firstLine="480"/>
        <w:rPr>
          <w:rFonts w:hint="eastAsia"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（2）环境质量底线</w:t>
      </w:r>
    </w:p>
    <w:p w14:paraId="2EC6624D">
      <w:pPr>
        <w:pStyle w:val="117"/>
        <w:ind w:firstLine="480"/>
        <w:rPr>
          <w:rFonts w:hint="eastAsia" w:cs="宋体"/>
          <w:color w:val="000000" w:themeColor="text1"/>
          <w14:textFill>
            <w14:solidFill>
              <w14:schemeClr w14:val="tx1"/>
            </w14:solidFill>
          </w14:textFill>
        </w:rPr>
      </w:pPr>
      <w:r>
        <w:rPr>
          <w:rStyle w:val="190"/>
          <w:rFonts w:hint="eastAsia"/>
          <w:color w:val="000000" w:themeColor="text1"/>
          <w14:textFill>
            <w14:solidFill>
              <w14:schemeClr w14:val="tx1"/>
            </w14:solidFill>
          </w14:textFill>
        </w:rPr>
        <w:t>废气主要为无组织非甲烷总烃和硫化氢，在落实各项环保措施的前提下，井场和预处理注入站厂界</w:t>
      </w:r>
      <w:r>
        <w:rPr>
          <w:color w:val="000000" w:themeColor="text1"/>
          <w14:textFill>
            <w14:solidFill>
              <w14:schemeClr w14:val="tx1"/>
            </w14:solidFill>
          </w14:textFill>
        </w:rPr>
        <w:t>非甲烷总烃</w:t>
      </w:r>
      <w:r>
        <w:rPr>
          <w:rFonts w:hint="eastAsia"/>
          <w:color w:val="000000" w:themeColor="text1"/>
          <w14:textFill>
            <w14:solidFill>
              <w14:schemeClr w14:val="tx1"/>
            </w14:solidFill>
          </w14:textFill>
        </w:rPr>
        <w:t>可</w:t>
      </w:r>
      <w:r>
        <w:rPr>
          <w:color w:val="000000" w:themeColor="text1"/>
          <w14:textFill>
            <w14:solidFill>
              <w14:schemeClr w14:val="tx1"/>
            </w14:solidFill>
          </w14:textFill>
        </w:rPr>
        <w:t>满足</w:t>
      </w:r>
      <w:r>
        <w:rPr>
          <w:rFonts w:hint="eastAsia"/>
          <w:color w:val="000000" w:themeColor="text1"/>
          <w14:textFill>
            <w14:solidFill>
              <w14:schemeClr w14:val="tx1"/>
            </w14:solidFill>
          </w14:textFill>
        </w:rPr>
        <w:t>《陆上石油天然气开采工业大气污染物排放标准》（GB39728—2020）企业边界污染物控制要求，硫化氢排放浓度满足《恶臭污染物排放标准》（GB14554-93）表1二级新改扩建浓度。洗井废水和井下作业废液</w:t>
      </w:r>
      <w:r>
        <w:rPr>
          <w:rFonts w:hint="eastAsia" w:cs="宋体"/>
          <w:color w:val="000000" w:themeColor="text1"/>
          <w:kern w:val="0"/>
          <w:lang w:bidi="ar"/>
          <w14:textFill>
            <w14:solidFill>
              <w14:schemeClr w14:val="tx1"/>
            </w14:solidFill>
          </w14:textFill>
        </w:rPr>
        <w:t>（压裂返排液和废洗井液）由罐车拉运至压裂液返排液处理装置处理，</w:t>
      </w:r>
      <w:r>
        <w:rPr>
          <w:rFonts w:hint="eastAsia"/>
          <w:color w:val="000000" w:themeColor="text1"/>
          <w14:textFill>
            <w14:solidFill>
              <w14:schemeClr w14:val="tx1"/>
            </w14:solidFill>
          </w14:textFill>
        </w:rPr>
        <w:t>出水水质满足</w:t>
      </w:r>
      <w:r>
        <w:rPr>
          <w:rFonts w:hint="eastAsia"/>
          <w:color w:val="000000" w:themeColor="text1"/>
          <w:lang w:val="zh-CN"/>
          <w14:textFill>
            <w14:solidFill>
              <w14:schemeClr w14:val="tx1"/>
            </w14:solidFill>
          </w14:textFill>
        </w:rPr>
        <w:t>《压裂酸化返排液处理技术规范》（Q/SY02012-2016）中的相关要求后用于压裂液复配</w:t>
      </w:r>
      <w:r>
        <w:rPr>
          <w:rFonts w:hint="eastAsia" w:cs="宋体"/>
          <w:color w:val="000000" w:themeColor="text1"/>
          <w:kern w:val="0"/>
          <w:lang w:bidi="ar"/>
          <w14:textFill>
            <w14:solidFill>
              <w14:schemeClr w14:val="tx1"/>
            </w14:solidFill>
          </w14:textFill>
        </w:rPr>
        <w:t>。</w:t>
      </w:r>
      <w:r>
        <w:rPr>
          <w:rFonts w:hint="eastAsia"/>
          <w:color w:val="000000" w:themeColor="text1"/>
          <w14:textFill>
            <w14:solidFill>
              <w14:schemeClr w14:val="tx1"/>
            </w14:solidFill>
          </w14:textFill>
        </w:rPr>
        <w:t>噪声源主要为各类机泵，采取相应措施后站场边</w:t>
      </w:r>
      <w:r>
        <w:rPr>
          <w:color w:val="000000" w:themeColor="text1"/>
          <w14:textFill>
            <w14:solidFill>
              <w14:schemeClr w14:val="tx1"/>
            </w14:solidFill>
          </w14:textFill>
        </w:rPr>
        <w:t>界昼夜噪声满足《工业企业厂界环境噪声排放标准》（GB12348-2008）中的2类区标准</w:t>
      </w:r>
      <w:r>
        <w:rPr>
          <w:rFonts w:hint="eastAsia"/>
          <w:color w:val="000000" w:themeColor="text1"/>
          <w14:textFill>
            <w14:solidFill>
              <w14:schemeClr w14:val="tx1"/>
            </w14:solidFill>
          </w14:textFill>
        </w:rPr>
        <w:t>要求；固体废物主要为</w:t>
      </w:r>
      <w:r>
        <w:rPr>
          <w:rFonts w:hint="eastAsia" w:cs="宋体"/>
          <w:color w:val="000000" w:themeColor="text1"/>
          <w:lang w:val="zh-CN"/>
          <w14:textFill>
            <w14:solidFill>
              <w14:schemeClr w14:val="tx1"/>
            </w14:solidFill>
          </w14:textFill>
        </w:rPr>
        <w:t>废包装物、废润滑油、废油桶、废分子筛、沾油废防渗材料、废含油抹布和劳保用品。废润滑油、废油桶、沾油废防渗材料属于《国家危险废物名录》（</w:t>
      </w:r>
      <w:r>
        <w:rPr>
          <w:rFonts w:cs="宋体"/>
          <w:color w:val="000000" w:themeColor="text1"/>
          <w:lang w:val="zh-CN"/>
          <w14:textFill>
            <w14:solidFill>
              <w14:schemeClr w14:val="tx1"/>
            </w14:solidFill>
          </w14:textFill>
        </w:rPr>
        <w:t>2021</w:t>
      </w:r>
      <w:r>
        <w:rPr>
          <w:rFonts w:hint="eastAsia" w:cs="宋体"/>
          <w:color w:val="000000" w:themeColor="text1"/>
          <w:lang w:val="zh-CN"/>
          <w14:textFill>
            <w14:solidFill>
              <w14:schemeClr w14:val="tx1"/>
            </w14:solidFill>
          </w14:textFill>
        </w:rPr>
        <w:t>年版）</w:t>
      </w:r>
      <w:r>
        <w:rPr>
          <w:rFonts w:cs="宋体"/>
          <w:color w:val="000000" w:themeColor="text1"/>
          <w:lang w:val="zh-CN"/>
          <w14:textFill>
            <w14:solidFill>
              <w14:schemeClr w14:val="tx1"/>
            </w14:solidFill>
          </w14:textFill>
        </w:rPr>
        <w:t>HW08</w:t>
      </w:r>
      <w:r>
        <w:rPr>
          <w:rFonts w:hint="eastAsia" w:cs="宋体"/>
          <w:color w:val="000000" w:themeColor="text1"/>
          <w:lang w:val="zh-CN"/>
          <w14:textFill>
            <w14:solidFill>
              <w14:schemeClr w14:val="tx1"/>
            </w14:solidFill>
          </w14:textFill>
        </w:rPr>
        <w:t>废矿物油和含矿物油废物，废分子筛和废含油抹布和劳保用品属于《国家危险废物名录》（</w:t>
      </w:r>
      <w:r>
        <w:rPr>
          <w:rFonts w:cs="宋体"/>
          <w:color w:val="000000" w:themeColor="text1"/>
          <w:lang w:val="zh-CN"/>
          <w14:textFill>
            <w14:solidFill>
              <w14:schemeClr w14:val="tx1"/>
            </w14:solidFill>
          </w14:textFill>
        </w:rPr>
        <w:t>2021</w:t>
      </w:r>
      <w:r>
        <w:rPr>
          <w:rFonts w:hint="eastAsia" w:cs="宋体"/>
          <w:color w:val="000000" w:themeColor="text1"/>
          <w:lang w:val="zh-CN"/>
          <w14:textFill>
            <w14:solidFill>
              <w14:schemeClr w14:val="tx1"/>
            </w14:solidFill>
          </w14:textFill>
        </w:rPr>
        <w:t>年版）HW49其他废物，收集后交由有相应危险废物处理资质的单位处理。</w:t>
      </w:r>
      <w:r>
        <w:rPr>
          <w:rFonts w:hint="eastAsia" w:cs="宋体"/>
          <w:color w:val="000000" w:themeColor="text1"/>
          <w14:textFill>
            <w14:solidFill>
              <w14:schemeClr w14:val="tx1"/>
            </w14:solidFill>
          </w14:textFill>
        </w:rPr>
        <w:t>废包装物属于一般工业固体废物，由厂家回收处置。综上所述，废气、噪声均可实现达标排放，废水和固体废物均得到妥善处置，符合环境质量底线的要求。</w:t>
      </w:r>
    </w:p>
    <w:p w14:paraId="0BB5F965">
      <w:pPr>
        <w:pStyle w:val="117"/>
        <w:ind w:firstLine="480"/>
        <w:rPr>
          <w:rFonts w:hint="eastAsia"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（3）资源利用上线</w:t>
      </w:r>
    </w:p>
    <w:p w14:paraId="5F2D4DDD">
      <w:pPr>
        <w:pStyle w:val="117"/>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运营期消耗少量的电能和水，用量较少，不会突破区域总量控制指标，符合资源上限要求。</w:t>
      </w:r>
    </w:p>
    <w:p w14:paraId="6810FDA3">
      <w:pPr>
        <w:pStyle w:val="117"/>
        <w:ind w:firstLine="480"/>
        <w:rPr>
          <w:rFonts w:hint="eastAsia"/>
          <w:color w:val="000000" w:themeColor="text1"/>
          <w:lang w:bidi="ar"/>
          <w14:textFill>
            <w14:solidFill>
              <w14:schemeClr w14:val="tx1"/>
            </w14:solidFill>
          </w14:textFill>
        </w:rPr>
      </w:pPr>
      <w:bookmarkStart w:id="184" w:name="_Hlk92209691"/>
      <w:r>
        <w:rPr>
          <w:rFonts w:hint="eastAsia" w:cs="宋体"/>
          <w:color w:val="000000" w:themeColor="text1"/>
          <w14:textFill>
            <w14:solidFill>
              <w14:schemeClr w14:val="tx1"/>
            </w14:solidFill>
          </w14:textFill>
        </w:rPr>
        <w:t>（4）</w:t>
      </w:r>
      <w:bookmarkStart w:id="185" w:name="OLE_LINK130"/>
      <w:bookmarkStart w:id="186" w:name="_Hlk147580998"/>
      <w:r>
        <w:rPr>
          <w:rFonts w:hint="eastAsia"/>
          <w:color w:val="000000" w:themeColor="text1"/>
          <w:lang w:bidi="ar"/>
          <w14:textFill>
            <w14:solidFill>
              <w14:schemeClr w14:val="tx1"/>
            </w14:solidFill>
          </w14:textFill>
        </w:rPr>
        <w:t>与《昌吉回族自治州生态环境准入清单》的符合性分析</w:t>
      </w:r>
    </w:p>
    <w:p w14:paraId="6EDF34B2">
      <w:pPr>
        <w:pStyle w:val="191"/>
        <w:ind w:firstLine="480"/>
        <w:rPr>
          <w:rFonts w:hint="eastAsia"/>
          <w:color w:val="000000" w:themeColor="text1"/>
          <w:lang w:bidi="ar"/>
          <w14:textFill>
            <w14:solidFill>
              <w14:schemeClr w14:val="tx1"/>
            </w14:solidFill>
          </w14:textFill>
        </w:rPr>
      </w:pPr>
      <w:bookmarkStart w:id="187" w:name="_Hlk91195569"/>
      <w:r>
        <w:rPr>
          <w:rFonts w:hint="eastAsia"/>
          <w:color w:val="000000" w:themeColor="text1"/>
          <w:lang w:bidi="ar"/>
          <w14:textFill>
            <w14:solidFill>
              <w14:schemeClr w14:val="tx1"/>
            </w14:solidFill>
          </w14:textFill>
        </w:rPr>
        <w:t>《关于发布昌吉回族自治州生态环境分区管控动态更新成果的公告》附件3昌吉回族自治州生态环境准入清单可知，项目区位于重点管控单元——吉木萨尔油页岩开采区（环境管控单元编码</w:t>
      </w:r>
      <w:r>
        <w:rPr>
          <w:color w:val="000000" w:themeColor="text1"/>
          <w:lang w:bidi="ar"/>
          <w14:textFill>
            <w14:solidFill>
              <w14:schemeClr w14:val="tx1"/>
            </w14:solidFill>
          </w14:textFill>
        </w:rPr>
        <w:t>ZH65232720004</w:t>
      </w:r>
      <w:r>
        <w:rPr>
          <w:rFonts w:hint="eastAsia"/>
          <w:color w:val="000000" w:themeColor="text1"/>
          <w:lang w:bidi="ar"/>
          <w14:textFill>
            <w14:solidFill>
              <w14:schemeClr w14:val="tx1"/>
            </w14:solidFill>
          </w14:textFill>
        </w:rPr>
        <w:t>），结合该单元管控要求，与本工程采取的相关措施对比分析，项目的建设符合昌吉回族自治州生态环境准入清单的要求，详见表2.9-10。</w:t>
      </w:r>
    </w:p>
    <w:p w14:paraId="03F592BE">
      <w:pPr>
        <w:pStyle w:val="15"/>
        <w:rPr>
          <w:rFonts w:hint="eastAsia"/>
          <w:color w:val="000000" w:themeColor="text1"/>
          <w:szCs w:val="21"/>
          <w:lang w:bidi="ar"/>
          <w14:textFill>
            <w14:solidFill>
              <w14:schemeClr w14:val="tx1"/>
            </w14:solidFill>
          </w14:textFill>
        </w:rPr>
      </w:pPr>
      <w:r>
        <w:rPr>
          <w:rFonts w:hint="eastAsia"/>
          <w:color w:val="000000" w:themeColor="text1"/>
          <w14:textFill>
            <w14:solidFill>
              <w14:schemeClr w14:val="tx1"/>
            </w14:solidFill>
          </w14:textFill>
        </w:rPr>
        <w:t>表2.9-10</w:t>
      </w:r>
      <w:r>
        <w:rPr>
          <w:color w:val="000000" w:themeColor="text1"/>
          <w:szCs w:val="21"/>
          <w:lang w:bidi="ar"/>
          <w14:textFill>
            <w14:solidFill>
              <w14:schemeClr w14:val="tx1"/>
            </w14:solidFill>
          </w14:textFill>
        </w:rPr>
        <w:t xml:space="preserve"> </w:t>
      </w:r>
      <w:r>
        <w:rPr>
          <w:rFonts w:hint="eastAsia"/>
          <w:color w:val="000000" w:themeColor="text1"/>
          <w:szCs w:val="21"/>
          <w:lang w:bidi="ar"/>
          <w14:textFill>
            <w14:solidFill>
              <w14:schemeClr w14:val="tx1"/>
            </w14:solidFill>
          </w14:textFill>
        </w:rPr>
        <w:t xml:space="preserve"> 本工程与</w:t>
      </w:r>
      <w:r>
        <w:rPr>
          <w:rFonts w:hint="eastAsia"/>
          <w:color w:val="000000" w:themeColor="text1"/>
          <w:lang w:bidi="ar"/>
          <w14:textFill>
            <w14:solidFill>
              <w14:schemeClr w14:val="tx1"/>
            </w14:solidFill>
          </w14:textFill>
        </w:rPr>
        <w:t>昌吉回族自治州生态环境准入清单</w:t>
      </w:r>
      <w:r>
        <w:rPr>
          <w:rFonts w:hint="eastAsia"/>
          <w:color w:val="000000" w:themeColor="text1"/>
          <w:szCs w:val="21"/>
          <w:lang w:bidi="ar"/>
          <w14:textFill>
            <w14:solidFill>
              <w14:schemeClr w14:val="tx1"/>
            </w14:solidFill>
          </w14:textFill>
        </w:rPr>
        <w:t>的符合性分析一览表</w:t>
      </w:r>
    </w:p>
    <w:tbl>
      <w:tblPr>
        <w:tblStyle w:val="51"/>
        <w:tblW w:w="5000" w:type="pct"/>
        <w:tblInd w:w="108"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48"/>
        <w:gridCol w:w="744"/>
        <w:gridCol w:w="3544"/>
        <w:gridCol w:w="2836"/>
        <w:gridCol w:w="758"/>
      </w:tblGrid>
      <w:tr w14:paraId="39BE5C1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86" w:type="pct"/>
            <w:tcMar>
              <w:left w:w="0" w:type="dxa"/>
              <w:right w:w="0" w:type="dxa"/>
            </w:tcMar>
            <w:vAlign w:val="center"/>
          </w:tcPr>
          <w:p w14:paraId="7F0B4315">
            <w:pPr>
              <w:pStyle w:val="278"/>
              <w:adjustRightInd w:val="0"/>
              <w:snapToGrid w:val="0"/>
              <w:spacing w:line="32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环境管控单元名称及编码</w:t>
            </w:r>
          </w:p>
        </w:tc>
        <w:tc>
          <w:tcPr>
            <w:tcW w:w="2456" w:type="pct"/>
            <w:gridSpan w:val="2"/>
            <w:tcMar>
              <w:left w:w="0" w:type="dxa"/>
              <w:right w:w="0" w:type="dxa"/>
            </w:tcMar>
            <w:vAlign w:val="center"/>
          </w:tcPr>
          <w:p w14:paraId="6E198871">
            <w:pPr>
              <w:pStyle w:val="278"/>
              <w:adjustRightInd w:val="0"/>
              <w:snapToGrid w:val="0"/>
              <w:spacing w:line="32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“三线一单”要求</w:t>
            </w:r>
          </w:p>
        </w:tc>
        <w:tc>
          <w:tcPr>
            <w:tcW w:w="1624" w:type="pct"/>
            <w:tcMar>
              <w:left w:w="0" w:type="dxa"/>
              <w:right w:w="0" w:type="dxa"/>
            </w:tcMar>
            <w:vAlign w:val="center"/>
          </w:tcPr>
          <w:p w14:paraId="64945527">
            <w:pPr>
              <w:pStyle w:val="278"/>
              <w:adjustRightInd w:val="0"/>
              <w:snapToGrid w:val="0"/>
              <w:spacing w:line="32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本工程采取的相关措施</w:t>
            </w:r>
          </w:p>
        </w:tc>
        <w:tc>
          <w:tcPr>
            <w:tcW w:w="434" w:type="pct"/>
            <w:tcMar>
              <w:left w:w="0" w:type="dxa"/>
              <w:right w:w="0" w:type="dxa"/>
            </w:tcMar>
            <w:vAlign w:val="center"/>
          </w:tcPr>
          <w:p w14:paraId="2993ADFC">
            <w:pPr>
              <w:pStyle w:val="278"/>
              <w:adjustRightInd w:val="0"/>
              <w:snapToGrid w:val="0"/>
              <w:spacing w:line="32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符合性</w:t>
            </w:r>
          </w:p>
          <w:p w14:paraId="218656D8">
            <w:pPr>
              <w:pStyle w:val="278"/>
              <w:adjustRightInd w:val="0"/>
              <w:snapToGrid w:val="0"/>
              <w:spacing w:line="32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分析</w:t>
            </w:r>
          </w:p>
        </w:tc>
      </w:tr>
      <w:tr w14:paraId="343BEFC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86" w:type="pct"/>
            <w:vMerge w:val="restart"/>
            <w:tcMar>
              <w:left w:w="0" w:type="dxa"/>
              <w:right w:w="0" w:type="dxa"/>
            </w:tcMar>
            <w:vAlign w:val="center"/>
          </w:tcPr>
          <w:p w14:paraId="56DF73A2">
            <w:pPr>
              <w:pStyle w:val="278"/>
              <w:adjustRightInd w:val="0"/>
              <w:snapToGrid w:val="0"/>
              <w:spacing w:line="320" w:lineRule="exact"/>
              <w:rPr>
                <w:rFonts w:hint="eastAsia"/>
                <w:color w:val="000000" w:themeColor="text1"/>
                <w14:textFill>
                  <w14:solidFill>
                    <w14:schemeClr w14:val="tx1"/>
                  </w14:solidFill>
                </w14:textFill>
              </w:rPr>
            </w:pPr>
            <w:r>
              <w:rPr>
                <w:rFonts w:hint="eastAsia"/>
                <w:color w:val="000000" w:themeColor="text1"/>
                <w:lang w:bidi="ar"/>
                <w14:textFill>
                  <w14:solidFill>
                    <w14:schemeClr w14:val="tx1"/>
                  </w14:solidFill>
                </w14:textFill>
              </w:rPr>
              <w:t>重点管控单元——吉木萨尔油页岩开采区（环境管控单元编码</w:t>
            </w:r>
            <w:r>
              <w:rPr>
                <w:color w:val="000000" w:themeColor="text1"/>
                <w:lang w:bidi="ar"/>
                <w14:textFill>
                  <w14:solidFill>
                    <w14:schemeClr w14:val="tx1"/>
                  </w14:solidFill>
                </w14:textFill>
              </w:rPr>
              <w:t>ZH65232720004</w:t>
            </w:r>
            <w:r>
              <w:rPr>
                <w:rFonts w:hint="eastAsia"/>
                <w:color w:val="000000" w:themeColor="text1"/>
                <w:lang w:bidi="ar"/>
                <w14:textFill>
                  <w14:solidFill>
                    <w14:schemeClr w14:val="tx1"/>
                  </w14:solidFill>
                </w14:textFill>
              </w:rPr>
              <w:t>）</w:t>
            </w:r>
          </w:p>
        </w:tc>
        <w:tc>
          <w:tcPr>
            <w:tcW w:w="426" w:type="pct"/>
            <w:tcMar>
              <w:left w:w="0" w:type="dxa"/>
              <w:right w:w="0" w:type="dxa"/>
            </w:tcMar>
            <w:vAlign w:val="center"/>
          </w:tcPr>
          <w:p w14:paraId="5563FE2B">
            <w:pPr>
              <w:pStyle w:val="278"/>
              <w:adjustRightInd w:val="0"/>
              <w:snapToGrid w:val="0"/>
              <w:spacing w:line="320" w:lineRule="exact"/>
              <w:rPr>
                <w:rFonts w:hint="eastAsia"/>
                <w:color w:val="000000" w:themeColor="text1"/>
                <w14:textFill>
                  <w14:solidFill>
                    <w14:schemeClr w14:val="tx1"/>
                  </w14:solidFill>
                </w14:textFill>
              </w:rPr>
            </w:pPr>
            <w:r>
              <w:rPr>
                <w:color w:val="000000" w:themeColor="text1"/>
                <w14:textFill>
                  <w14:solidFill>
                    <w14:schemeClr w14:val="tx1"/>
                  </w14:solidFill>
                </w14:textFill>
              </w:rPr>
              <w:t>空间布局约束</w:t>
            </w:r>
          </w:p>
        </w:tc>
        <w:tc>
          <w:tcPr>
            <w:tcW w:w="2030" w:type="pct"/>
            <w:tcMar>
              <w:left w:w="0" w:type="dxa"/>
              <w:right w:w="0" w:type="dxa"/>
            </w:tcMar>
            <w:vAlign w:val="center"/>
          </w:tcPr>
          <w:p w14:paraId="781A9C2C">
            <w:pPr>
              <w:pStyle w:val="278"/>
              <w:adjustRightInd w:val="0"/>
              <w:snapToGrid w:val="0"/>
              <w:spacing w:line="320" w:lineRule="exact"/>
              <w:rPr>
                <w:rFonts w:hint="eastAsia"/>
                <w:color w:val="000000" w:themeColor="text1"/>
                <w14:textFill>
                  <w14:solidFill>
                    <w14:schemeClr w14:val="tx1"/>
                  </w14:solidFill>
                </w14:textFill>
              </w:rPr>
            </w:pPr>
            <w:r>
              <w:rPr>
                <w:color w:val="000000" w:themeColor="text1"/>
                <w14:textFill>
                  <w14:solidFill>
                    <w14:schemeClr w14:val="tx1"/>
                  </w14:solidFill>
                </w14:textFill>
              </w:rPr>
              <w:t>1</w:t>
            </w:r>
            <w:r>
              <w:rPr>
                <w:rFonts w:hint="eastAsia"/>
                <w:color w:val="000000" w:themeColor="text1"/>
                <w14:textFill>
                  <w14:solidFill>
                    <w14:schemeClr w14:val="tx1"/>
                  </w14:solidFill>
                </w14:textFill>
              </w:rPr>
              <w:t>、矿产资源勘查开发活动应符合国土空间规划要求，不得影响区域主导生态功能。</w:t>
            </w:r>
            <w:r>
              <w:rPr>
                <w:color w:val="000000" w:themeColor="text1"/>
                <w14:textFill>
                  <w14:solidFill>
                    <w14:schemeClr w14:val="tx1"/>
                  </w14:solidFill>
                </w14:textFill>
              </w:rPr>
              <w:t>2</w:t>
            </w:r>
            <w:r>
              <w:rPr>
                <w:rFonts w:hint="eastAsia"/>
                <w:color w:val="000000" w:themeColor="text1"/>
                <w14:textFill>
                  <w14:solidFill>
                    <w14:schemeClr w14:val="tx1"/>
                  </w14:solidFill>
                </w14:textFill>
              </w:rPr>
              <w:t>、矿产资源勘查开发活动应符合矿产资源规划相关要求。</w:t>
            </w:r>
          </w:p>
        </w:tc>
        <w:tc>
          <w:tcPr>
            <w:tcW w:w="1624" w:type="pct"/>
            <w:tcMar>
              <w:left w:w="0" w:type="dxa"/>
              <w:right w:w="0" w:type="dxa"/>
            </w:tcMar>
            <w:vAlign w:val="center"/>
          </w:tcPr>
          <w:p w14:paraId="2FE63B0C">
            <w:pPr>
              <w:autoSpaceDE w:val="0"/>
              <w:autoSpaceDN w:val="0"/>
              <w:adjustRightInd w:val="0"/>
              <w:jc w:val="left"/>
              <w:rPr>
                <w:rFonts w:hint="eastAsia"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项目建设符合国土空间规划、《新疆油田公司“十四五”发展规划》及规划环评要求。</w:t>
            </w:r>
          </w:p>
        </w:tc>
        <w:tc>
          <w:tcPr>
            <w:tcW w:w="434" w:type="pct"/>
            <w:tcMar>
              <w:left w:w="0" w:type="dxa"/>
              <w:right w:w="0" w:type="dxa"/>
            </w:tcMar>
            <w:vAlign w:val="center"/>
          </w:tcPr>
          <w:p w14:paraId="2E7406F7">
            <w:pPr>
              <w:pStyle w:val="278"/>
              <w:adjustRightInd w:val="0"/>
              <w:snapToGrid w:val="0"/>
              <w:spacing w:line="32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r w14:paraId="1176F09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86" w:type="pct"/>
            <w:vMerge w:val="continue"/>
            <w:tcMar>
              <w:left w:w="0" w:type="dxa"/>
              <w:right w:w="0" w:type="dxa"/>
            </w:tcMar>
            <w:vAlign w:val="center"/>
          </w:tcPr>
          <w:p w14:paraId="7A6A41B0">
            <w:pPr>
              <w:pStyle w:val="278"/>
              <w:adjustRightInd w:val="0"/>
              <w:snapToGrid w:val="0"/>
              <w:spacing w:line="320" w:lineRule="exact"/>
              <w:rPr>
                <w:rFonts w:hint="eastAsia"/>
                <w:color w:val="000000" w:themeColor="text1"/>
                <w14:textFill>
                  <w14:solidFill>
                    <w14:schemeClr w14:val="tx1"/>
                  </w14:solidFill>
                </w14:textFill>
              </w:rPr>
            </w:pPr>
          </w:p>
        </w:tc>
        <w:tc>
          <w:tcPr>
            <w:tcW w:w="426" w:type="pct"/>
            <w:tcMar>
              <w:left w:w="0" w:type="dxa"/>
              <w:right w:w="0" w:type="dxa"/>
            </w:tcMar>
            <w:vAlign w:val="center"/>
          </w:tcPr>
          <w:p w14:paraId="5966F712">
            <w:pPr>
              <w:pStyle w:val="278"/>
              <w:adjustRightInd w:val="0"/>
              <w:snapToGrid w:val="0"/>
              <w:spacing w:line="32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污染物排放管控</w:t>
            </w:r>
          </w:p>
        </w:tc>
        <w:tc>
          <w:tcPr>
            <w:tcW w:w="2030" w:type="pct"/>
            <w:tcMar>
              <w:left w:w="0" w:type="dxa"/>
              <w:right w:w="0" w:type="dxa"/>
            </w:tcMar>
            <w:vAlign w:val="center"/>
          </w:tcPr>
          <w:p w14:paraId="5E214A60">
            <w:pPr>
              <w:pStyle w:val="278"/>
              <w:snapToGrid w:val="0"/>
              <w:spacing w:line="320" w:lineRule="exact"/>
              <w:rPr>
                <w:rFonts w:hint="eastAsia"/>
                <w:color w:val="000000" w:themeColor="text1"/>
                <w14:textFill>
                  <w14:solidFill>
                    <w14:schemeClr w14:val="tx1"/>
                  </w14:solidFill>
                </w14:textFill>
              </w:rPr>
            </w:pPr>
            <w:r>
              <w:rPr>
                <w:color w:val="000000" w:themeColor="text1"/>
                <w14:textFill>
                  <w14:solidFill>
                    <w14:schemeClr w14:val="tx1"/>
                  </w14:solidFill>
                </w14:textFill>
              </w:rPr>
              <w:t>1</w:t>
            </w:r>
            <w:r>
              <w:rPr>
                <w:rFonts w:hint="eastAsia"/>
                <w:color w:val="000000" w:themeColor="text1"/>
                <w14:textFill>
                  <w14:solidFill>
                    <w14:schemeClr w14:val="tx1"/>
                  </w14:solidFill>
                </w14:textFill>
              </w:rPr>
              <w:t>、新（改、扩）建项目应执行最严格的大气污染物排放标准。</w:t>
            </w:r>
            <w:r>
              <w:rPr>
                <w:color w:val="000000" w:themeColor="text1"/>
                <w14:textFill>
                  <w14:solidFill>
                    <w14:schemeClr w14:val="tx1"/>
                  </w14:solidFill>
                </w14:textFill>
              </w:rPr>
              <w:t>2</w:t>
            </w:r>
            <w:r>
              <w:rPr>
                <w:rFonts w:hint="eastAsia"/>
                <w:color w:val="000000" w:themeColor="text1"/>
                <w14:textFill>
                  <w14:solidFill>
                    <w14:schemeClr w14:val="tx1"/>
                  </w14:solidFill>
                </w14:textFill>
              </w:rPr>
              <w:t>、采矿产生的固体废物，应在专用场所堆放，并采取措施防止二次污染；禁止向河流、湖泊、水库等水体及行洪渠道排放固体废物。</w:t>
            </w:r>
            <w:r>
              <w:rPr>
                <w:color w:val="000000" w:themeColor="text1"/>
                <w14:textFill>
                  <w14:solidFill>
                    <w14:schemeClr w14:val="tx1"/>
                  </w14:solidFill>
                </w14:textFill>
              </w:rPr>
              <w:t>3</w:t>
            </w:r>
            <w:r>
              <w:rPr>
                <w:rFonts w:hint="eastAsia"/>
                <w:color w:val="000000" w:themeColor="text1"/>
                <w14:textFill>
                  <w14:solidFill>
                    <w14:schemeClr w14:val="tx1"/>
                  </w14:solidFill>
                </w14:textFill>
              </w:rPr>
              <w:t>、固体废物堆场的建设及运营应符合《一般工业固体废弃物贮存、处置场污染控制标准》（</w:t>
            </w:r>
            <w:r>
              <w:rPr>
                <w:color w:val="000000" w:themeColor="text1"/>
                <w14:textFill>
                  <w14:solidFill>
                    <w14:schemeClr w14:val="tx1"/>
                  </w14:solidFill>
                </w14:textFill>
              </w:rPr>
              <w:t>GB18599-2020</w:t>
            </w:r>
            <w:r>
              <w:rPr>
                <w:rFonts w:hint="eastAsia"/>
                <w:color w:val="000000" w:themeColor="text1"/>
                <w14:textFill>
                  <w14:solidFill>
                    <w14:schemeClr w14:val="tx1"/>
                  </w14:solidFill>
                </w14:textFill>
              </w:rPr>
              <w:t>）的有关要求。</w:t>
            </w:r>
          </w:p>
        </w:tc>
        <w:tc>
          <w:tcPr>
            <w:tcW w:w="1624" w:type="pct"/>
            <w:tcMar>
              <w:left w:w="0" w:type="dxa"/>
              <w:right w:w="0" w:type="dxa"/>
            </w:tcMar>
            <w:vAlign w:val="center"/>
          </w:tcPr>
          <w:p w14:paraId="3E2F20BD">
            <w:pPr>
              <w:pStyle w:val="278"/>
              <w:adjustRightInd w:val="0"/>
              <w:snapToGrid w:val="0"/>
              <w:spacing w:line="320" w:lineRule="exact"/>
              <w:rPr>
                <w:rFonts w:hint="eastAsia"/>
                <w:color w:val="000000" w:themeColor="text1"/>
                <w14:textFill>
                  <w14:solidFill>
                    <w14:schemeClr w14:val="tx1"/>
                  </w14:solidFill>
                </w14:textFill>
              </w:rPr>
            </w:pPr>
            <w:r>
              <w:rPr>
                <w:rStyle w:val="190"/>
                <w:rFonts w:hint="eastAsia"/>
                <w:color w:val="000000" w:themeColor="text1"/>
                <w14:textFill>
                  <w14:solidFill>
                    <w14:schemeClr w14:val="tx1"/>
                  </w14:solidFill>
                </w14:textFill>
              </w:rPr>
              <w:t>厂界</w:t>
            </w:r>
            <w:r>
              <w:rPr>
                <w:color w:val="000000" w:themeColor="text1"/>
                <w14:textFill>
                  <w14:solidFill>
                    <w14:schemeClr w14:val="tx1"/>
                  </w14:solidFill>
                </w14:textFill>
              </w:rPr>
              <w:t>非甲烷总烃</w:t>
            </w:r>
            <w:r>
              <w:rPr>
                <w:rFonts w:hint="eastAsia"/>
                <w:color w:val="000000" w:themeColor="text1"/>
                <w14:textFill>
                  <w14:solidFill>
                    <w14:schemeClr w14:val="tx1"/>
                  </w14:solidFill>
                </w14:textFill>
              </w:rPr>
              <w:t>可</w:t>
            </w:r>
            <w:r>
              <w:rPr>
                <w:color w:val="000000" w:themeColor="text1"/>
                <w14:textFill>
                  <w14:solidFill>
                    <w14:schemeClr w14:val="tx1"/>
                  </w14:solidFill>
                </w14:textFill>
              </w:rPr>
              <w:t>满足</w:t>
            </w:r>
            <w:r>
              <w:rPr>
                <w:rFonts w:hint="eastAsia"/>
                <w:color w:val="000000" w:themeColor="text1"/>
                <w14:textFill>
                  <w14:solidFill>
                    <w14:schemeClr w14:val="tx1"/>
                  </w14:solidFill>
                </w14:textFill>
              </w:rPr>
              <w:t>《陆上石油天然气开采工业大气污染物排放标准》（GB39728—2020）企业边界污染物控制要求，硫化氢排放浓度满足《恶臭污染物排放标准》（GB14554-93）表1二级新改扩建浓度；废润滑油、废油桶、废分子筛、沾油废防渗材料和废含油抹布和劳保用品均交由有相应危险废物处理资质的单位回收处理；废包装物由厂家回收。</w:t>
            </w:r>
          </w:p>
        </w:tc>
        <w:tc>
          <w:tcPr>
            <w:tcW w:w="434" w:type="pct"/>
            <w:tcMar>
              <w:left w:w="0" w:type="dxa"/>
              <w:right w:w="0" w:type="dxa"/>
            </w:tcMar>
            <w:vAlign w:val="center"/>
          </w:tcPr>
          <w:p w14:paraId="3107C0A9">
            <w:pPr>
              <w:pStyle w:val="278"/>
              <w:adjustRightInd w:val="0"/>
              <w:snapToGrid w:val="0"/>
              <w:spacing w:line="32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r w14:paraId="67A88CD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86" w:type="pct"/>
            <w:vMerge w:val="continue"/>
            <w:tcMar>
              <w:left w:w="0" w:type="dxa"/>
              <w:right w:w="0" w:type="dxa"/>
            </w:tcMar>
            <w:vAlign w:val="center"/>
          </w:tcPr>
          <w:p w14:paraId="1AF942A7">
            <w:pPr>
              <w:pStyle w:val="278"/>
              <w:adjustRightInd w:val="0"/>
              <w:snapToGrid w:val="0"/>
              <w:spacing w:line="320" w:lineRule="exact"/>
              <w:rPr>
                <w:rFonts w:hint="eastAsia"/>
                <w:color w:val="000000" w:themeColor="text1"/>
                <w14:textFill>
                  <w14:solidFill>
                    <w14:schemeClr w14:val="tx1"/>
                  </w14:solidFill>
                </w14:textFill>
              </w:rPr>
            </w:pPr>
          </w:p>
        </w:tc>
        <w:tc>
          <w:tcPr>
            <w:tcW w:w="426" w:type="pct"/>
            <w:tcMar>
              <w:left w:w="0" w:type="dxa"/>
              <w:right w:w="0" w:type="dxa"/>
            </w:tcMar>
            <w:vAlign w:val="center"/>
          </w:tcPr>
          <w:p w14:paraId="677EBA10">
            <w:pPr>
              <w:pStyle w:val="278"/>
              <w:adjustRightInd w:val="0"/>
              <w:snapToGrid w:val="0"/>
              <w:spacing w:line="32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环境风险防控</w:t>
            </w:r>
          </w:p>
        </w:tc>
        <w:tc>
          <w:tcPr>
            <w:tcW w:w="2030" w:type="pct"/>
            <w:tcMar>
              <w:left w:w="0" w:type="dxa"/>
              <w:right w:w="0" w:type="dxa"/>
            </w:tcMar>
            <w:vAlign w:val="center"/>
          </w:tcPr>
          <w:p w14:paraId="03B4D6E7">
            <w:pPr>
              <w:pStyle w:val="278"/>
              <w:snapToGrid w:val="0"/>
              <w:spacing w:line="320" w:lineRule="exact"/>
              <w:rPr>
                <w:rFonts w:hint="eastAsia"/>
                <w:color w:val="000000" w:themeColor="text1"/>
                <w14:textFill>
                  <w14:solidFill>
                    <w14:schemeClr w14:val="tx1"/>
                  </w14:solidFill>
                </w14:textFill>
              </w:rPr>
            </w:pPr>
            <w:r>
              <w:rPr>
                <w:color w:val="000000" w:themeColor="text1"/>
                <w14:textFill>
                  <w14:solidFill>
                    <w14:schemeClr w14:val="tx1"/>
                  </w14:solidFill>
                </w14:textFill>
              </w:rPr>
              <w:t>1</w:t>
            </w:r>
            <w:r>
              <w:rPr>
                <w:rFonts w:hint="eastAsia"/>
                <w:color w:val="000000" w:themeColor="text1"/>
                <w14:textFill>
                  <w14:solidFill>
                    <w14:schemeClr w14:val="tx1"/>
                  </w14:solidFill>
                </w14:textFill>
              </w:rPr>
              <w:t>、坚持分级负责、属地为主、部门协同的环境应急责任原则，健全防范化解突发生态环境事件风险和应急准备责任体系，严格落实企业主体责任。</w:t>
            </w:r>
          </w:p>
          <w:p w14:paraId="4BA4FC49">
            <w:pPr>
              <w:pStyle w:val="278"/>
              <w:snapToGrid w:val="0"/>
              <w:spacing w:line="320" w:lineRule="exact"/>
              <w:rPr>
                <w:rFonts w:hint="eastAsia"/>
                <w:color w:val="000000" w:themeColor="text1"/>
                <w14:textFill>
                  <w14:solidFill>
                    <w14:schemeClr w14:val="tx1"/>
                  </w14:solidFill>
                </w14:textFill>
              </w:rPr>
            </w:pPr>
            <w:r>
              <w:rPr>
                <w:color w:val="000000" w:themeColor="text1"/>
                <w14:textFill>
                  <w14:solidFill>
                    <w14:schemeClr w14:val="tx1"/>
                  </w14:solidFill>
                </w14:textFill>
              </w:rPr>
              <w:t>2</w:t>
            </w:r>
            <w:r>
              <w:rPr>
                <w:rFonts w:hint="eastAsia"/>
                <w:color w:val="000000" w:themeColor="text1"/>
                <w14:textFill>
                  <w14:solidFill>
                    <w14:schemeClr w14:val="tx1"/>
                  </w14:solidFill>
                </w14:textFill>
              </w:rPr>
              <w:t>、对矿山开采区及周边区域，逐步开展地下水环境状况调查评估，加强风险管控。</w:t>
            </w:r>
          </w:p>
        </w:tc>
        <w:tc>
          <w:tcPr>
            <w:tcW w:w="1624" w:type="pct"/>
            <w:tcMar>
              <w:left w:w="0" w:type="dxa"/>
              <w:right w:w="0" w:type="dxa"/>
            </w:tcMar>
            <w:vAlign w:val="center"/>
          </w:tcPr>
          <w:p w14:paraId="136F6858">
            <w:pPr>
              <w:pStyle w:val="278"/>
              <w:adjustRightInd w:val="0"/>
              <w:snapToGrid w:val="0"/>
              <w:spacing w:line="320" w:lineRule="exact"/>
              <w:rPr>
                <w:rFonts w:hint="eastAsia"/>
                <w:color w:val="000000" w:themeColor="text1"/>
                <w14:textFill>
                  <w14:solidFill>
                    <w14:schemeClr w14:val="tx1"/>
                  </w14:solidFill>
                </w14:textFill>
              </w:rPr>
            </w:pPr>
            <w:r>
              <w:rPr>
                <w:rFonts w:hint="eastAsia"/>
                <w:color w:val="000000" w:themeColor="text1"/>
                <w:lang w:bidi="ar"/>
                <w14:textFill>
                  <w14:solidFill>
                    <w14:schemeClr w14:val="tx1"/>
                  </w14:solidFill>
                </w14:textFill>
              </w:rPr>
              <w:t>运营后建设单位应将本项目纳入吉庆油田作业区已有的HSE管理体系、突发环境污染事件应急预案及污染源日常监控计划。</w:t>
            </w:r>
          </w:p>
        </w:tc>
        <w:tc>
          <w:tcPr>
            <w:tcW w:w="434" w:type="pct"/>
            <w:tcMar>
              <w:left w:w="0" w:type="dxa"/>
              <w:right w:w="0" w:type="dxa"/>
            </w:tcMar>
            <w:vAlign w:val="center"/>
          </w:tcPr>
          <w:p w14:paraId="3402BA0E">
            <w:pPr>
              <w:pStyle w:val="278"/>
              <w:adjustRightInd w:val="0"/>
              <w:snapToGrid w:val="0"/>
              <w:spacing w:line="32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r w14:paraId="190123C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86" w:type="pct"/>
            <w:vMerge w:val="continue"/>
            <w:tcMar>
              <w:left w:w="0" w:type="dxa"/>
              <w:right w:w="0" w:type="dxa"/>
            </w:tcMar>
            <w:vAlign w:val="center"/>
          </w:tcPr>
          <w:p w14:paraId="4830FC10">
            <w:pPr>
              <w:pStyle w:val="278"/>
              <w:adjustRightInd w:val="0"/>
              <w:snapToGrid w:val="0"/>
              <w:spacing w:line="320" w:lineRule="exact"/>
              <w:rPr>
                <w:rFonts w:hint="eastAsia"/>
                <w:color w:val="000000" w:themeColor="text1"/>
                <w14:textFill>
                  <w14:solidFill>
                    <w14:schemeClr w14:val="tx1"/>
                  </w14:solidFill>
                </w14:textFill>
              </w:rPr>
            </w:pPr>
          </w:p>
        </w:tc>
        <w:tc>
          <w:tcPr>
            <w:tcW w:w="426" w:type="pct"/>
            <w:tcMar>
              <w:left w:w="0" w:type="dxa"/>
              <w:right w:w="0" w:type="dxa"/>
            </w:tcMar>
            <w:vAlign w:val="center"/>
          </w:tcPr>
          <w:p w14:paraId="1A42BC5E">
            <w:pPr>
              <w:pStyle w:val="278"/>
              <w:adjustRightInd w:val="0"/>
              <w:snapToGrid w:val="0"/>
              <w:spacing w:line="32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资源利用效率</w:t>
            </w:r>
          </w:p>
        </w:tc>
        <w:tc>
          <w:tcPr>
            <w:tcW w:w="2030" w:type="pct"/>
            <w:tcMar>
              <w:left w:w="0" w:type="dxa"/>
              <w:right w:w="0" w:type="dxa"/>
            </w:tcMar>
            <w:vAlign w:val="center"/>
          </w:tcPr>
          <w:p w14:paraId="0D4131BA">
            <w:pPr>
              <w:pStyle w:val="278"/>
              <w:adjustRightInd w:val="0"/>
              <w:snapToGrid w:val="0"/>
              <w:spacing w:line="320" w:lineRule="exact"/>
              <w:jc w:val="lef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1、按照“严控增量，优化存量，清洁利用”的要求，压减小型矿山数量，提高集约化、规模化开采能力。实行开采总量管控，设定约束性与预期性总量调控指标。</w:t>
            </w:r>
          </w:p>
        </w:tc>
        <w:tc>
          <w:tcPr>
            <w:tcW w:w="1624" w:type="pct"/>
            <w:tcMar>
              <w:left w:w="0" w:type="dxa"/>
              <w:right w:w="0" w:type="dxa"/>
            </w:tcMar>
            <w:vAlign w:val="center"/>
          </w:tcPr>
          <w:p w14:paraId="191D5C4D">
            <w:pPr>
              <w:pStyle w:val="278"/>
              <w:adjustRightInd w:val="0"/>
              <w:snapToGrid w:val="0"/>
              <w:spacing w:line="32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不涉及该款要求。</w:t>
            </w:r>
          </w:p>
        </w:tc>
        <w:tc>
          <w:tcPr>
            <w:tcW w:w="434" w:type="pct"/>
            <w:tcMar>
              <w:left w:w="0" w:type="dxa"/>
              <w:right w:w="0" w:type="dxa"/>
            </w:tcMar>
            <w:vAlign w:val="center"/>
          </w:tcPr>
          <w:p w14:paraId="166AC480">
            <w:pPr>
              <w:pStyle w:val="278"/>
              <w:adjustRightInd w:val="0"/>
              <w:snapToGrid w:val="0"/>
              <w:spacing w:line="32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bookmarkEnd w:id="187"/>
    </w:tbl>
    <w:p w14:paraId="5BC5D1B2">
      <w:pPr>
        <w:pStyle w:val="191"/>
        <w:ind w:firstLine="480"/>
        <w:rPr>
          <w:rFonts w:hint="eastAsia" w:cs="宋体"/>
          <w:color w:val="000000" w:themeColor="text1"/>
          <w:lang w:val="zh-CN"/>
          <w14:textFill>
            <w14:solidFill>
              <w14:schemeClr w14:val="tx1"/>
            </w14:solidFill>
          </w14:textFill>
        </w:rPr>
      </w:pPr>
    </w:p>
    <w:bookmarkEnd w:id="185"/>
    <w:p w14:paraId="4F0A7C0B">
      <w:pPr>
        <w:pStyle w:val="191"/>
        <w:ind w:firstLine="480"/>
        <w:rPr>
          <w:rFonts w:hint="eastAsia" w:cs="宋体"/>
          <w:color w:val="000000" w:themeColor="text1"/>
          <w:lang w:val="zh-CN"/>
          <w14:textFill>
            <w14:solidFill>
              <w14:schemeClr w14:val="tx1"/>
            </w14:solidFill>
          </w14:textFill>
        </w:rPr>
      </w:pPr>
    </w:p>
    <w:p w14:paraId="60459ECA">
      <w:pPr>
        <w:pStyle w:val="191"/>
        <w:ind w:firstLine="480"/>
        <w:rPr>
          <w:rFonts w:hint="eastAsia" w:cs="宋体"/>
          <w:color w:val="000000" w:themeColor="text1"/>
          <w:lang w:val="zh-CN"/>
          <w14:textFill>
            <w14:solidFill>
              <w14:schemeClr w14:val="tx1"/>
            </w14:solidFill>
          </w14:textFill>
        </w:rPr>
      </w:pPr>
    </w:p>
    <w:p w14:paraId="69E9A1B1">
      <w:pPr>
        <w:pStyle w:val="191"/>
        <w:ind w:firstLine="480"/>
        <w:rPr>
          <w:rFonts w:hint="eastAsia" w:cs="宋体"/>
          <w:color w:val="000000" w:themeColor="text1"/>
          <w:lang w:val="zh-CN"/>
          <w14:textFill>
            <w14:solidFill>
              <w14:schemeClr w14:val="tx1"/>
            </w14:solidFill>
          </w14:textFill>
        </w:rPr>
      </w:pPr>
    </w:p>
    <w:p w14:paraId="42ECFC3C">
      <w:pPr>
        <w:pStyle w:val="191"/>
        <w:ind w:firstLine="480"/>
        <w:rPr>
          <w:rFonts w:hint="eastAsia" w:cs="宋体"/>
          <w:color w:val="000000" w:themeColor="text1"/>
          <w:lang w:val="zh-CN"/>
          <w14:textFill>
            <w14:solidFill>
              <w14:schemeClr w14:val="tx1"/>
            </w14:solidFill>
          </w14:textFill>
        </w:rPr>
      </w:pPr>
    </w:p>
    <w:p w14:paraId="18956A15">
      <w:pPr>
        <w:pStyle w:val="191"/>
        <w:ind w:firstLine="480"/>
        <w:rPr>
          <w:rFonts w:hint="eastAsia"/>
          <w:color w:val="000000" w:themeColor="text1"/>
          <w:lang w:bidi="ar"/>
          <w14:textFill>
            <w14:solidFill>
              <w14:schemeClr w14:val="tx1"/>
            </w14:solidFill>
          </w14:textFill>
        </w:rPr>
        <w:sectPr>
          <w:footerReference r:id="rId6" w:type="default"/>
          <w:pgSz w:w="11906" w:h="16838"/>
          <w:pgMar w:top="1418" w:right="1588" w:bottom="1418" w:left="1588" w:header="1020" w:footer="1020" w:gutter="0"/>
          <w:cols w:space="720" w:num="1"/>
          <w:docGrid w:type="lines" w:linePitch="312" w:charSpace="0"/>
        </w:sectPr>
      </w:pPr>
    </w:p>
    <w:bookmarkEnd w:id="184"/>
    <w:bookmarkEnd w:id="186"/>
    <w:p w14:paraId="02B96ACF">
      <w:pPr>
        <w:pStyle w:val="3"/>
        <w:spacing w:line="480" w:lineRule="exact"/>
        <w:rPr>
          <w:rFonts w:hint="eastAsia"/>
          <w:color w:val="000000" w:themeColor="text1"/>
          <w14:textFill>
            <w14:solidFill>
              <w14:schemeClr w14:val="tx1"/>
            </w14:solidFill>
          </w14:textFill>
        </w:rPr>
      </w:pPr>
      <w:bookmarkStart w:id="188" w:name="_Toc216260241"/>
      <w:r>
        <w:rPr>
          <w:rFonts w:hint="eastAsia"/>
          <w:color w:val="000000" w:themeColor="text1"/>
          <w14:textFill>
            <w14:solidFill>
              <w14:schemeClr w14:val="tx1"/>
            </w14:solidFill>
          </w14:textFill>
        </w:rPr>
        <w:t>建设项目工程分析</w:t>
      </w:r>
      <w:bookmarkEnd w:id="188"/>
    </w:p>
    <w:p w14:paraId="1E432818">
      <w:pPr>
        <w:pStyle w:val="2"/>
        <w:ind w:left="0"/>
        <w:rPr>
          <w:rFonts w:hint="eastAsia"/>
          <w:color w:val="000000" w:themeColor="text1"/>
          <w14:textFill>
            <w14:solidFill>
              <w14:schemeClr w14:val="tx1"/>
            </w14:solidFill>
          </w14:textFill>
        </w:rPr>
      </w:pPr>
      <w:bookmarkStart w:id="189" w:name="_Toc216260242"/>
      <w:r>
        <w:rPr>
          <w:rFonts w:hint="eastAsia"/>
          <w:color w:val="000000" w:themeColor="text1"/>
          <w14:textFill>
            <w14:solidFill>
              <w14:schemeClr w14:val="tx1"/>
            </w14:solidFill>
          </w14:textFill>
        </w:rPr>
        <w:t>现有工程概况及环境影响回顾</w:t>
      </w:r>
      <w:bookmarkEnd w:id="189"/>
    </w:p>
    <w:p w14:paraId="1165F099">
      <w:pPr>
        <w:pStyle w:val="4"/>
        <w:rPr>
          <w:rFonts w:hint="eastAsia"/>
          <w:color w:val="000000" w:themeColor="text1"/>
          <w:spacing w:val="4"/>
          <w14:textFill>
            <w14:solidFill>
              <w14:schemeClr w14:val="tx1"/>
            </w14:solidFill>
          </w14:textFill>
        </w:rPr>
      </w:pPr>
      <w:r>
        <w:rPr>
          <w:rFonts w:hint="eastAsia"/>
          <w:color w:val="000000" w:themeColor="text1"/>
          <w:spacing w:val="4"/>
          <w14:textFill>
            <w14:solidFill>
              <w14:schemeClr w14:val="tx1"/>
            </w14:solidFill>
          </w14:textFill>
        </w:rPr>
        <w:t>区域位置</w:t>
      </w:r>
    </w:p>
    <w:p w14:paraId="0ECBD9D4">
      <w:pPr>
        <w:pStyle w:val="117"/>
        <w:ind w:firstLine="480"/>
        <w:rPr>
          <w:rFonts w:hint="eastAsia" w:cs="宋体"/>
          <w:color w:val="000000" w:themeColor="text1"/>
          <w14:textFill>
            <w14:solidFill>
              <w14:schemeClr w14:val="tx1"/>
            </w14:solidFill>
          </w14:textFill>
        </w:rPr>
      </w:pPr>
      <w:bookmarkStart w:id="190" w:name="OLE_LINK145"/>
      <w:r>
        <w:rPr>
          <w:rFonts w:hint="eastAsia" w:cs="宋体"/>
          <w:color w:val="000000" w:themeColor="text1"/>
          <w14:textFill>
            <w14:solidFill>
              <w14:schemeClr w14:val="tx1"/>
            </w14:solidFill>
          </w14:textFill>
        </w:rPr>
        <w:t>吉木萨尔凹陷页岩油层富集区位于新疆准噶尔盆地东部，距离乌鲁木齐市东北方向150km，距离吉木萨尔县西北方向23km，距离已开发的吉7井区西北方向15km。现有工程行政隶属新疆维吾尔自治区吉木萨尔县和</w:t>
      </w:r>
      <w:r>
        <w:rPr>
          <w:rFonts w:hint="eastAsia" w:cs="宋体"/>
          <w:color w:val="000000" w:themeColor="text1"/>
          <w:kern w:val="0"/>
          <w14:textFill>
            <w14:solidFill>
              <w14:schemeClr w14:val="tx1"/>
            </w14:solidFill>
          </w14:textFill>
        </w:rPr>
        <w:t>新疆生产建设兵团第六师红旗农场</w:t>
      </w:r>
      <w:r>
        <w:rPr>
          <w:rFonts w:hint="eastAsia" w:cs="宋体"/>
          <w:color w:val="000000" w:themeColor="text1"/>
          <w14:textFill>
            <w14:solidFill>
              <w14:schemeClr w14:val="tx1"/>
            </w14:solidFill>
          </w14:textFill>
        </w:rPr>
        <w:t>管辖。油区有多条公路穿过，交通较为便利。区域油气藏分布示意图见图3.1-1。</w:t>
      </w:r>
    </w:p>
    <w:p w14:paraId="7A7BEBD3">
      <w:pPr>
        <w:spacing w:line="500" w:lineRule="exact"/>
        <w:ind w:firstLine="480" w:firstLineChars="200"/>
        <w:rPr>
          <w:rFonts w:hint="eastAsia" w:ascii="宋体" w:hAnsi="宋体"/>
          <w:color w:val="000000" w:themeColor="text1"/>
          <w:kern w:val="0"/>
          <w:sz w:val="24"/>
          <w:szCs w:val="24"/>
          <w14:textFill>
            <w14:solidFill>
              <w14:schemeClr w14:val="tx1"/>
            </w14:solidFill>
          </w14:textFill>
        </w:rPr>
      </w:pPr>
      <w:r>
        <w:rPr>
          <w:rFonts w:hint="eastAsia" w:ascii="宋体" w:hAnsi="宋体"/>
          <w:color w:val="000000" w:themeColor="text1"/>
          <w:kern w:val="0"/>
          <w:sz w:val="24"/>
          <w:szCs w:val="24"/>
          <w14:textFill>
            <w14:solidFill>
              <w14:schemeClr w14:val="tx1"/>
            </w14:solidFill>
          </w14:textFill>
        </w:rPr>
        <w:t>吉庆油田作业区采矿权拐点坐标见表3.1-1。</w:t>
      </w:r>
    </w:p>
    <w:p w14:paraId="7F12FAB4">
      <w:pPr>
        <w:spacing w:line="500" w:lineRule="exact"/>
        <w:jc w:val="center"/>
        <w:rPr>
          <w:rFonts w:hint="eastAsia" w:ascii="黑体" w:hAnsi="黑体" w:eastAsia="黑体"/>
          <w:color w:val="000000" w:themeColor="text1"/>
          <w:szCs w:val="20"/>
          <w14:textFill>
            <w14:solidFill>
              <w14:schemeClr w14:val="tx1"/>
            </w14:solidFill>
          </w14:textFill>
        </w:rPr>
      </w:pPr>
      <w:r>
        <w:rPr>
          <w:rFonts w:ascii="黑体" w:hAnsi="黑体" w:eastAsia="黑体"/>
          <w:color w:val="000000" w:themeColor="text1"/>
          <w:szCs w:val="20"/>
          <w14:textFill>
            <w14:solidFill>
              <w14:schemeClr w14:val="tx1"/>
            </w14:solidFill>
          </w14:textFill>
        </w:rPr>
        <w:t>表</w:t>
      </w:r>
      <w:r>
        <w:rPr>
          <w:rFonts w:hint="eastAsia" w:ascii="黑体" w:hAnsi="黑体" w:eastAsia="黑体"/>
          <w:color w:val="000000" w:themeColor="text1"/>
          <w:szCs w:val="20"/>
          <w14:textFill>
            <w14:solidFill>
              <w14:schemeClr w14:val="tx1"/>
            </w14:solidFill>
          </w14:textFill>
        </w:rPr>
        <w:t>3</w:t>
      </w:r>
      <w:r>
        <w:rPr>
          <w:rFonts w:ascii="黑体" w:hAnsi="黑体" w:eastAsia="黑体"/>
          <w:color w:val="000000" w:themeColor="text1"/>
          <w:szCs w:val="20"/>
          <w14:textFill>
            <w14:solidFill>
              <w14:schemeClr w14:val="tx1"/>
            </w14:solidFill>
          </w14:textFill>
        </w:rPr>
        <w:t xml:space="preserve">.1-1  </w:t>
      </w:r>
      <w:r>
        <w:rPr>
          <w:rFonts w:hint="eastAsia" w:ascii="黑体" w:hAnsi="黑体" w:eastAsia="黑体"/>
          <w:color w:val="000000" w:themeColor="text1"/>
          <w:szCs w:val="20"/>
          <w14:textFill>
            <w14:solidFill>
              <w14:schemeClr w14:val="tx1"/>
            </w14:solidFill>
          </w14:textFill>
        </w:rPr>
        <w:t>采矿权</w:t>
      </w:r>
      <w:r>
        <w:rPr>
          <w:rFonts w:ascii="黑体" w:hAnsi="黑体" w:eastAsia="黑体"/>
          <w:color w:val="000000" w:themeColor="text1"/>
          <w:szCs w:val="20"/>
          <w14:textFill>
            <w14:solidFill>
              <w14:schemeClr w14:val="tx1"/>
            </w14:solidFill>
          </w14:textFill>
        </w:rPr>
        <w:t>拐点坐标一览表</w:t>
      </w:r>
    </w:p>
    <w:tbl>
      <w:tblPr>
        <w:tblStyle w:val="51"/>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77"/>
        <w:gridCol w:w="2118"/>
        <w:gridCol w:w="1945"/>
        <w:gridCol w:w="734"/>
        <w:gridCol w:w="1743"/>
        <w:gridCol w:w="1829"/>
      </w:tblGrid>
      <w:tr w14:paraId="0B246A2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3" w:type="pct"/>
            <w:vMerge w:val="restart"/>
            <w:vAlign w:val="center"/>
          </w:tcPr>
          <w:p w14:paraId="1628D1BD">
            <w:pPr>
              <w:adjustRightInd w:val="0"/>
              <w:snapToGrid w:val="0"/>
              <w:spacing w:line="30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序号</w:t>
            </w:r>
          </w:p>
        </w:tc>
        <w:tc>
          <w:tcPr>
            <w:tcW w:w="4677" w:type="pct"/>
            <w:gridSpan w:val="5"/>
            <w:vAlign w:val="center"/>
          </w:tcPr>
          <w:p w14:paraId="37030D5D">
            <w:pPr>
              <w:adjustRightInd w:val="0"/>
              <w:snapToGrid w:val="0"/>
              <w:spacing w:line="30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经纬度坐标</w:t>
            </w:r>
          </w:p>
        </w:tc>
      </w:tr>
      <w:tr w14:paraId="173862D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3" w:type="pct"/>
            <w:vMerge w:val="continue"/>
            <w:vAlign w:val="center"/>
          </w:tcPr>
          <w:p w14:paraId="0F081017">
            <w:pPr>
              <w:adjustRightInd w:val="0"/>
              <w:snapToGrid w:val="0"/>
              <w:spacing w:line="300" w:lineRule="exact"/>
              <w:jc w:val="center"/>
              <w:rPr>
                <w:rFonts w:hint="eastAsia" w:ascii="宋体" w:hAnsi="宋体" w:cs="宋体"/>
                <w:color w:val="000000" w:themeColor="text1"/>
                <w:szCs w:val="21"/>
                <w14:textFill>
                  <w14:solidFill>
                    <w14:schemeClr w14:val="tx1"/>
                  </w14:solidFill>
                </w14:textFill>
              </w:rPr>
            </w:pPr>
          </w:p>
        </w:tc>
        <w:tc>
          <w:tcPr>
            <w:tcW w:w="1184" w:type="pct"/>
            <w:vAlign w:val="center"/>
          </w:tcPr>
          <w:p w14:paraId="435DFA41">
            <w:pPr>
              <w:adjustRightInd w:val="0"/>
              <w:snapToGrid w:val="0"/>
              <w:spacing w:line="30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经度</w:t>
            </w:r>
          </w:p>
        </w:tc>
        <w:tc>
          <w:tcPr>
            <w:tcW w:w="1087" w:type="pct"/>
            <w:vAlign w:val="center"/>
          </w:tcPr>
          <w:p w14:paraId="0756566D">
            <w:pPr>
              <w:adjustRightInd w:val="0"/>
              <w:snapToGrid w:val="0"/>
              <w:spacing w:line="30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纬度</w:t>
            </w:r>
          </w:p>
        </w:tc>
        <w:tc>
          <w:tcPr>
            <w:tcW w:w="410" w:type="pct"/>
          </w:tcPr>
          <w:p w14:paraId="163E39AA">
            <w:pPr>
              <w:adjustRightInd w:val="0"/>
              <w:snapToGrid w:val="0"/>
              <w:spacing w:line="30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序号</w:t>
            </w:r>
          </w:p>
        </w:tc>
        <w:tc>
          <w:tcPr>
            <w:tcW w:w="974" w:type="pct"/>
            <w:vAlign w:val="center"/>
          </w:tcPr>
          <w:p w14:paraId="6C36ECB9">
            <w:pPr>
              <w:adjustRightInd w:val="0"/>
              <w:snapToGrid w:val="0"/>
              <w:spacing w:line="30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经度</w:t>
            </w:r>
          </w:p>
        </w:tc>
        <w:tc>
          <w:tcPr>
            <w:tcW w:w="1022" w:type="pct"/>
            <w:vAlign w:val="center"/>
          </w:tcPr>
          <w:p w14:paraId="1224575E">
            <w:pPr>
              <w:adjustRightInd w:val="0"/>
              <w:snapToGrid w:val="0"/>
              <w:spacing w:line="30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纬度</w:t>
            </w:r>
          </w:p>
        </w:tc>
      </w:tr>
      <w:tr w14:paraId="7D6C024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3" w:type="pct"/>
            <w:vAlign w:val="center"/>
          </w:tcPr>
          <w:p w14:paraId="693422E6">
            <w:pPr>
              <w:adjustRightInd w:val="0"/>
              <w:snapToGrid w:val="0"/>
              <w:spacing w:line="30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1</w:t>
            </w:r>
          </w:p>
        </w:tc>
        <w:tc>
          <w:tcPr>
            <w:tcW w:w="1184" w:type="pct"/>
            <w:vAlign w:val="center"/>
          </w:tcPr>
          <w:p w14:paraId="102BC120">
            <w:pPr>
              <w:adjustRightInd w:val="0"/>
              <w:snapToGrid w:val="0"/>
              <w:spacing w:line="300" w:lineRule="exact"/>
              <w:jc w:val="center"/>
              <w:rPr>
                <w:rFonts w:hint="eastAsia" w:ascii="宋体" w:hAnsi="宋体" w:cs="宋体"/>
                <w:color w:val="000000" w:themeColor="text1"/>
                <w:szCs w:val="21"/>
                <w14:textFill>
                  <w14:solidFill>
                    <w14:schemeClr w14:val="tx1"/>
                  </w14:solidFill>
                </w14:textFill>
              </w:rPr>
            </w:pPr>
          </w:p>
        </w:tc>
        <w:tc>
          <w:tcPr>
            <w:tcW w:w="1087" w:type="pct"/>
            <w:vAlign w:val="center"/>
          </w:tcPr>
          <w:p w14:paraId="799CADDB">
            <w:pPr>
              <w:adjustRightInd w:val="0"/>
              <w:snapToGrid w:val="0"/>
              <w:spacing w:line="300" w:lineRule="exact"/>
              <w:jc w:val="center"/>
              <w:rPr>
                <w:rFonts w:hint="eastAsia" w:ascii="宋体" w:hAnsi="宋体" w:cs="宋体"/>
                <w:color w:val="000000" w:themeColor="text1"/>
                <w:szCs w:val="21"/>
                <w14:textFill>
                  <w14:solidFill>
                    <w14:schemeClr w14:val="tx1"/>
                  </w14:solidFill>
                </w14:textFill>
              </w:rPr>
            </w:pPr>
          </w:p>
        </w:tc>
        <w:tc>
          <w:tcPr>
            <w:tcW w:w="410" w:type="pct"/>
            <w:vAlign w:val="center"/>
          </w:tcPr>
          <w:p w14:paraId="0AC6A478">
            <w:pPr>
              <w:adjustRightInd w:val="0"/>
              <w:snapToGrid w:val="0"/>
              <w:spacing w:line="30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12</w:t>
            </w:r>
          </w:p>
        </w:tc>
        <w:tc>
          <w:tcPr>
            <w:tcW w:w="974" w:type="pct"/>
            <w:vAlign w:val="center"/>
          </w:tcPr>
          <w:p w14:paraId="01A05774">
            <w:pPr>
              <w:adjustRightInd w:val="0"/>
              <w:snapToGrid w:val="0"/>
              <w:spacing w:line="300" w:lineRule="exact"/>
              <w:jc w:val="center"/>
              <w:rPr>
                <w:rFonts w:hint="eastAsia" w:ascii="宋体" w:hAnsi="宋体" w:cs="宋体"/>
                <w:color w:val="000000" w:themeColor="text1"/>
                <w:szCs w:val="21"/>
                <w14:textFill>
                  <w14:solidFill>
                    <w14:schemeClr w14:val="tx1"/>
                  </w14:solidFill>
                </w14:textFill>
              </w:rPr>
            </w:pPr>
          </w:p>
        </w:tc>
        <w:tc>
          <w:tcPr>
            <w:tcW w:w="1022" w:type="pct"/>
            <w:vAlign w:val="center"/>
          </w:tcPr>
          <w:p w14:paraId="7F47B808">
            <w:pPr>
              <w:adjustRightInd w:val="0"/>
              <w:snapToGrid w:val="0"/>
              <w:spacing w:line="300" w:lineRule="exact"/>
              <w:jc w:val="center"/>
              <w:rPr>
                <w:rFonts w:hint="eastAsia" w:ascii="宋体" w:hAnsi="宋体" w:cs="宋体"/>
                <w:color w:val="000000" w:themeColor="text1"/>
                <w:szCs w:val="21"/>
                <w14:textFill>
                  <w14:solidFill>
                    <w14:schemeClr w14:val="tx1"/>
                  </w14:solidFill>
                </w14:textFill>
              </w:rPr>
            </w:pPr>
          </w:p>
        </w:tc>
      </w:tr>
      <w:tr w14:paraId="39F7A0A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3" w:type="pct"/>
            <w:vAlign w:val="center"/>
          </w:tcPr>
          <w:p w14:paraId="339FDDB8">
            <w:pPr>
              <w:adjustRightInd w:val="0"/>
              <w:snapToGrid w:val="0"/>
              <w:spacing w:line="30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2</w:t>
            </w:r>
          </w:p>
        </w:tc>
        <w:tc>
          <w:tcPr>
            <w:tcW w:w="1184" w:type="pct"/>
            <w:vAlign w:val="center"/>
          </w:tcPr>
          <w:p w14:paraId="1709AECB">
            <w:pPr>
              <w:adjustRightInd w:val="0"/>
              <w:snapToGrid w:val="0"/>
              <w:spacing w:line="300" w:lineRule="exact"/>
              <w:jc w:val="center"/>
              <w:rPr>
                <w:rFonts w:hint="eastAsia" w:ascii="宋体" w:hAnsi="宋体" w:cs="宋体"/>
                <w:color w:val="000000" w:themeColor="text1"/>
                <w:szCs w:val="21"/>
                <w14:textFill>
                  <w14:solidFill>
                    <w14:schemeClr w14:val="tx1"/>
                  </w14:solidFill>
                </w14:textFill>
              </w:rPr>
            </w:pPr>
          </w:p>
        </w:tc>
        <w:tc>
          <w:tcPr>
            <w:tcW w:w="1087" w:type="pct"/>
            <w:vAlign w:val="center"/>
          </w:tcPr>
          <w:p w14:paraId="69835824">
            <w:pPr>
              <w:adjustRightInd w:val="0"/>
              <w:snapToGrid w:val="0"/>
              <w:spacing w:line="300" w:lineRule="exact"/>
              <w:jc w:val="center"/>
              <w:rPr>
                <w:rFonts w:hint="eastAsia" w:ascii="宋体" w:hAnsi="宋体" w:cs="宋体"/>
                <w:color w:val="000000" w:themeColor="text1"/>
                <w:szCs w:val="21"/>
                <w14:textFill>
                  <w14:solidFill>
                    <w14:schemeClr w14:val="tx1"/>
                  </w14:solidFill>
                </w14:textFill>
              </w:rPr>
            </w:pPr>
          </w:p>
        </w:tc>
        <w:tc>
          <w:tcPr>
            <w:tcW w:w="410" w:type="pct"/>
            <w:vAlign w:val="center"/>
          </w:tcPr>
          <w:p w14:paraId="6ED95855">
            <w:pPr>
              <w:adjustRightInd w:val="0"/>
              <w:snapToGrid w:val="0"/>
              <w:spacing w:line="30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13</w:t>
            </w:r>
          </w:p>
        </w:tc>
        <w:tc>
          <w:tcPr>
            <w:tcW w:w="974" w:type="pct"/>
            <w:vAlign w:val="center"/>
          </w:tcPr>
          <w:p w14:paraId="231EAD5E">
            <w:pPr>
              <w:adjustRightInd w:val="0"/>
              <w:snapToGrid w:val="0"/>
              <w:spacing w:line="300" w:lineRule="exact"/>
              <w:jc w:val="center"/>
              <w:rPr>
                <w:rFonts w:hint="eastAsia" w:ascii="宋体" w:hAnsi="宋体" w:cs="宋体"/>
                <w:color w:val="000000" w:themeColor="text1"/>
                <w:szCs w:val="21"/>
                <w14:textFill>
                  <w14:solidFill>
                    <w14:schemeClr w14:val="tx1"/>
                  </w14:solidFill>
                </w14:textFill>
              </w:rPr>
            </w:pPr>
          </w:p>
        </w:tc>
        <w:tc>
          <w:tcPr>
            <w:tcW w:w="1022" w:type="pct"/>
            <w:vAlign w:val="center"/>
          </w:tcPr>
          <w:p w14:paraId="6AEDA59E">
            <w:pPr>
              <w:adjustRightInd w:val="0"/>
              <w:snapToGrid w:val="0"/>
              <w:spacing w:line="300" w:lineRule="exact"/>
              <w:jc w:val="center"/>
              <w:rPr>
                <w:rFonts w:hint="eastAsia" w:ascii="宋体" w:hAnsi="宋体" w:cs="宋体"/>
                <w:color w:val="000000" w:themeColor="text1"/>
                <w:szCs w:val="21"/>
                <w14:textFill>
                  <w14:solidFill>
                    <w14:schemeClr w14:val="tx1"/>
                  </w14:solidFill>
                </w14:textFill>
              </w:rPr>
            </w:pPr>
          </w:p>
        </w:tc>
      </w:tr>
      <w:tr w14:paraId="6A44220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3" w:type="pct"/>
            <w:vAlign w:val="center"/>
          </w:tcPr>
          <w:p w14:paraId="6BD9E846">
            <w:pPr>
              <w:adjustRightInd w:val="0"/>
              <w:snapToGrid w:val="0"/>
              <w:spacing w:line="30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3</w:t>
            </w:r>
          </w:p>
        </w:tc>
        <w:tc>
          <w:tcPr>
            <w:tcW w:w="1184" w:type="pct"/>
            <w:vAlign w:val="center"/>
          </w:tcPr>
          <w:p w14:paraId="21B0B094">
            <w:pPr>
              <w:adjustRightInd w:val="0"/>
              <w:snapToGrid w:val="0"/>
              <w:spacing w:line="300" w:lineRule="exact"/>
              <w:jc w:val="center"/>
              <w:rPr>
                <w:rFonts w:hint="eastAsia" w:ascii="宋体" w:hAnsi="宋体" w:cs="宋体"/>
                <w:color w:val="000000" w:themeColor="text1"/>
                <w:szCs w:val="21"/>
                <w14:textFill>
                  <w14:solidFill>
                    <w14:schemeClr w14:val="tx1"/>
                  </w14:solidFill>
                </w14:textFill>
              </w:rPr>
            </w:pPr>
          </w:p>
        </w:tc>
        <w:tc>
          <w:tcPr>
            <w:tcW w:w="1087" w:type="pct"/>
            <w:vAlign w:val="center"/>
          </w:tcPr>
          <w:p w14:paraId="1272EE04">
            <w:pPr>
              <w:adjustRightInd w:val="0"/>
              <w:snapToGrid w:val="0"/>
              <w:spacing w:line="300" w:lineRule="exact"/>
              <w:jc w:val="center"/>
              <w:rPr>
                <w:rFonts w:hint="eastAsia" w:ascii="宋体" w:hAnsi="宋体" w:cs="宋体"/>
                <w:color w:val="000000" w:themeColor="text1"/>
                <w:szCs w:val="21"/>
                <w14:textFill>
                  <w14:solidFill>
                    <w14:schemeClr w14:val="tx1"/>
                  </w14:solidFill>
                </w14:textFill>
              </w:rPr>
            </w:pPr>
          </w:p>
        </w:tc>
        <w:tc>
          <w:tcPr>
            <w:tcW w:w="410" w:type="pct"/>
            <w:vAlign w:val="center"/>
          </w:tcPr>
          <w:p w14:paraId="5E21D788">
            <w:pPr>
              <w:adjustRightInd w:val="0"/>
              <w:snapToGrid w:val="0"/>
              <w:spacing w:line="30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14</w:t>
            </w:r>
          </w:p>
        </w:tc>
        <w:tc>
          <w:tcPr>
            <w:tcW w:w="974" w:type="pct"/>
            <w:vAlign w:val="center"/>
          </w:tcPr>
          <w:p w14:paraId="53567291">
            <w:pPr>
              <w:adjustRightInd w:val="0"/>
              <w:snapToGrid w:val="0"/>
              <w:spacing w:line="300" w:lineRule="exact"/>
              <w:jc w:val="center"/>
              <w:rPr>
                <w:rFonts w:hint="eastAsia" w:ascii="宋体" w:hAnsi="宋体" w:cs="宋体"/>
                <w:color w:val="000000" w:themeColor="text1"/>
                <w:szCs w:val="21"/>
                <w14:textFill>
                  <w14:solidFill>
                    <w14:schemeClr w14:val="tx1"/>
                  </w14:solidFill>
                </w14:textFill>
              </w:rPr>
            </w:pPr>
          </w:p>
        </w:tc>
        <w:tc>
          <w:tcPr>
            <w:tcW w:w="1022" w:type="pct"/>
            <w:vAlign w:val="center"/>
          </w:tcPr>
          <w:p w14:paraId="36760FAD">
            <w:pPr>
              <w:adjustRightInd w:val="0"/>
              <w:snapToGrid w:val="0"/>
              <w:spacing w:line="300" w:lineRule="exact"/>
              <w:jc w:val="center"/>
              <w:rPr>
                <w:rFonts w:hint="eastAsia" w:ascii="宋体" w:hAnsi="宋体" w:cs="宋体"/>
                <w:color w:val="000000" w:themeColor="text1"/>
                <w:szCs w:val="21"/>
                <w14:textFill>
                  <w14:solidFill>
                    <w14:schemeClr w14:val="tx1"/>
                  </w14:solidFill>
                </w14:textFill>
              </w:rPr>
            </w:pPr>
          </w:p>
        </w:tc>
      </w:tr>
      <w:tr w14:paraId="6E432F0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3" w:type="pct"/>
            <w:vAlign w:val="center"/>
          </w:tcPr>
          <w:p w14:paraId="52D98F7A">
            <w:pPr>
              <w:adjustRightInd w:val="0"/>
              <w:snapToGrid w:val="0"/>
              <w:spacing w:line="30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4</w:t>
            </w:r>
          </w:p>
        </w:tc>
        <w:tc>
          <w:tcPr>
            <w:tcW w:w="1184" w:type="pct"/>
            <w:vAlign w:val="center"/>
          </w:tcPr>
          <w:p w14:paraId="7F62129C">
            <w:pPr>
              <w:adjustRightInd w:val="0"/>
              <w:snapToGrid w:val="0"/>
              <w:spacing w:line="300" w:lineRule="exact"/>
              <w:jc w:val="center"/>
              <w:rPr>
                <w:rFonts w:hint="eastAsia" w:ascii="宋体" w:hAnsi="宋体" w:cs="宋体"/>
                <w:color w:val="000000" w:themeColor="text1"/>
                <w:szCs w:val="21"/>
                <w14:textFill>
                  <w14:solidFill>
                    <w14:schemeClr w14:val="tx1"/>
                  </w14:solidFill>
                </w14:textFill>
              </w:rPr>
            </w:pPr>
          </w:p>
        </w:tc>
        <w:tc>
          <w:tcPr>
            <w:tcW w:w="1087" w:type="pct"/>
            <w:vAlign w:val="center"/>
          </w:tcPr>
          <w:p w14:paraId="7070DBF6">
            <w:pPr>
              <w:adjustRightInd w:val="0"/>
              <w:snapToGrid w:val="0"/>
              <w:spacing w:line="300" w:lineRule="exact"/>
              <w:jc w:val="center"/>
              <w:rPr>
                <w:rFonts w:hint="eastAsia" w:ascii="宋体" w:hAnsi="宋体" w:cs="宋体"/>
                <w:color w:val="000000" w:themeColor="text1"/>
                <w:szCs w:val="21"/>
                <w14:textFill>
                  <w14:solidFill>
                    <w14:schemeClr w14:val="tx1"/>
                  </w14:solidFill>
                </w14:textFill>
              </w:rPr>
            </w:pPr>
          </w:p>
        </w:tc>
        <w:tc>
          <w:tcPr>
            <w:tcW w:w="410" w:type="pct"/>
            <w:vAlign w:val="center"/>
          </w:tcPr>
          <w:p w14:paraId="34B35EC9">
            <w:pPr>
              <w:adjustRightInd w:val="0"/>
              <w:snapToGrid w:val="0"/>
              <w:spacing w:line="30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15</w:t>
            </w:r>
          </w:p>
        </w:tc>
        <w:tc>
          <w:tcPr>
            <w:tcW w:w="974" w:type="pct"/>
            <w:vAlign w:val="center"/>
          </w:tcPr>
          <w:p w14:paraId="60480695">
            <w:pPr>
              <w:adjustRightInd w:val="0"/>
              <w:snapToGrid w:val="0"/>
              <w:spacing w:line="300" w:lineRule="exact"/>
              <w:jc w:val="center"/>
              <w:rPr>
                <w:rFonts w:hint="eastAsia" w:ascii="宋体" w:hAnsi="宋体" w:cs="宋体"/>
                <w:color w:val="000000" w:themeColor="text1"/>
                <w:szCs w:val="21"/>
                <w14:textFill>
                  <w14:solidFill>
                    <w14:schemeClr w14:val="tx1"/>
                  </w14:solidFill>
                </w14:textFill>
              </w:rPr>
            </w:pPr>
          </w:p>
        </w:tc>
        <w:tc>
          <w:tcPr>
            <w:tcW w:w="1022" w:type="pct"/>
            <w:vAlign w:val="center"/>
          </w:tcPr>
          <w:p w14:paraId="4631597F">
            <w:pPr>
              <w:adjustRightInd w:val="0"/>
              <w:snapToGrid w:val="0"/>
              <w:spacing w:line="300" w:lineRule="exact"/>
              <w:jc w:val="center"/>
              <w:rPr>
                <w:rFonts w:hint="eastAsia" w:ascii="宋体" w:hAnsi="宋体" w:cs="宋体"/>
                <w:color w:val="000000" w:themeColor="text1"/>
                <w:szCs w:val="21"/>
                <w14:textFill>
                  <w14:solidFill>
                    <w14:schemeClr w14:val="tx1"/>
                  </w14:solidFill>
                </w14:textFill>
              </w:rPr>
            </w:pPr>
          </w:p>
        </w:tc>
      </w:tr>
      <w:tr w14:paraId="15ED3C1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3" w:type="pct"/>
            <w:vAlign w:val="center"/>
          </w:tcPr>
          <w:p w14:paraId="22703434">
            <w:pPr>
              <w:adjustRightInd w:val="0"/>
              <w:snapToGrid w:val="0"/>
              <w:spacing w:line="30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5</w:t>
            </w:r>
          </w:p>
        </w:tc>
        <w:tc>
          <w:tcPr>
            <w:tcW w:w="1184" w:type="pct"/>
            <w:vAlign w:val="center"/>
          </w:tcPr>
          <w:p w14:paraId="458F70C1">
            <w:pPr>
              <w:adjustRightInd w:val="0"/>
              <w:snapToGrid w:val="0"/>
              <w:spacing w:line="300" w:lineRule="exact"/>
              <w:jc w:val="center"/>
              <w:rPr>
                <w:rFonts w:hint="eastAsia" w:ascii="宋体" w:hAnsi="宋体" w:cs="宋体"/>
                <w:color w:val="000000" w:themeColor="text1"/>
                <w:szCs w:val="21"/>
                <w14:textFill>
                  <w14:solidFill>
                    <w14:schemeClr w14:val="tx1"/>
                  </w14:solidFill>
                </w14:textFill>
              </w:rPr>
            </w:pPr>
          </w:p>
        </w:tc>
        <w:tc>
          <w:tcPr>
            <w:tcW w:w="1087" w:type="pct"/>
            <w:vAlign w:val="center"/>
          </w:tcPr>
          <w:p w14:paraId="2AE568FE">
            <w:pPr>
              <w:adjustRightInd w:val="0"/>
              <w:snapToGrid w:val="0"/>
              <w:spacing w:line="300" w:lineRule="exact"/>
              <w:jc w:val="center"/>
              <w:rPr>
                <w:rFonts w:hint="eastAsia" w:ascii="宋体" w:hAnsi="宋体" w:cs="宋体"/>
                <w:color w:val="000000" w:themeColor="text1"/>
                <w:szCs w:val="21"/>
                <w14:textFill>
                  <w14:solidFill>
                    <w14:schemeClr w14:val="tx1"/>
                  </w14:solidFill>
                </w14:textFill>
              </w:rPr>
            </w:pPr>
          </w:p>
        </w:tc>
        <w:tc>
          <w:tcPr>
            <w:tcW w:w="410" w:type="pct"/>
            <w:vAlign w:val="center"/>
          </w:tcPr>
          <w:p w14:paraId="3DF999B0">
            <w:pPr>
              <w:adjustRightInd w:val="0"/>
              <w:snapToGrid w:val="0"/>
              <w:spacing w:line="30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16</w:t>
            </w:r>
          </w:p>
        </w:tc>
        <w:tc>
          <w:tcPr>
            <w:tcW w:w="974" w:type="pct"/>
            <w:vAlign w:val="center"/>
          </w:tcPr>
          <w:p w14:paraId="2B89BE5E">
            <w:pPr>
              <w:adjustRightInd w:val="0"/>
              <w:snapToGrid w:val="0"/>
              <w:spacing w:line="300" w:lineRule="exact"/>
              <w:jc w:val="center"/>
              <w:rPr>
                <w:rFonts w:hint="eastAsia" w:ascii="宋体" w:hAnsi="宋体" w:cs="宋体"/>
                <w:color w:val="000000" w:themeColor="text1"/>
                <w:szCs w:val="21"/>
                <w14:textFill>
                  <w14:solidFill>
                    <w14:schemeClr w14:val="tx1"/>
                  </w14:solidFill>
                </w14:textFill>
              </w:rPr>
            </w:pPr>
          </w:p>
        </w:tc>
        <w:tc>
          <w:tcPr>
            <w:tcW w:w="1022" w:type="pct"/>
            <w:vAlign w:val="center"/>
          </w:tcPr>
          <w:p w14:paraId="5E58F649">
            <w:pPr>
              <w:adjustRightInd w:val="0"/>
              <w:snapToGrid w:val="0"/>
              <w:spacing w:line="300" w:lineRule="exact"/>
              <w:jc w:val="center"/>
              <w:rPr>
                <w:rFonts w:hint="eastAsia" w:ascii="宋体" w:hAnsi="宋体" w:cs="宋体"/>
                <w:color w:val="000000" w:themeColor="text1"/>
                <w:szCs w:val="21"/>
                <w14:textFill>
                  <w14:solidFill>
                    <w14:schemeClr w14:val="tx1"/>
                  </w14:solidFill>
                </w14:textFill>
              </w:rPr>
            </w:pPr>
          </w:p>
        </w:tc>
      </w:tr>
      <w:tr w14:paraId="6066001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3" w:type="pct"/>
            <w:vAlign w:val="center"/>
          </w:tcPr>
          <w:p w14:paraId="49262115">
            <w:pPr>
              <w:adjustRightInd w:val="0"/>
              <w:snapToGrid w:val="0"/>
              <w:spacing w:line="30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6</w:t>
            </w:r>
          </w:p>
        </w:tc>
        <w:tc>
          <w:tcPr>
            <w:tcW w:w="1184" w:type="pct"/>
            <w:vAlign w:val="center"/>
          </w:tcPr>
          <w:p w14:paraId="56CFF25A">
            <w:pPr>
              <w:adjustRightInd w:val="0"/>
              <w:snapToGrid w:val="0"/>
              <w:spacing w:line="300" w:lineRule="exact"/>
              <w:jc w:val="center"/>
              <w:rPr>
                <w:rFonts w:hint="eastAsia" w:ascii="宋体" w:hAnsi="宋体" w:cs="宋体"/>
                <w:color w:val="000000" w:themeColor="text1"/>
                <w:szCs w:val="21"/>
                <w14:textFill>
                  <w14:solidFill>
                    <w14:schemeClr w14:val="tx1"/>
                  </w14:solidFill>
                </w14:textFill>
              </w:rPr>
            </w:pPr>
          </w:p>
        </w:tc>
        <w:tc>
          <w:tcPr>
            <w:tcW w:w="1087" w:type="pct"/>
            <w:vAlign w:val="center"/>
          </w:tcPr>
          <w:p w14:paraId="02914ABB">
            <w:pPr>
              <w:adjustRightInd w:val="0"/>
              <w:snapToGrid w:val="0"/>
              <w:spacing w:line="300" w:lineRule="exact"/>
              <w:jc w:val="center"/>
              <w:rPr>
                <w:rFonts w:hint="eastAsia" w:ascii="宋体" w:hAnsi="宋体" w:cs="宋体"/>
                <w:color w:val="000000" w:themeColor="text1"/>
                <w:szCs w:val="21"/>
                <w14:textFill>
                  <w14:solidFill>
                    <w14:schemeClr w14:val="tx1"/>
                  </w14:solidFill>
                </w14:textFill>
              </w:rPr>
            </w:pPr>
          </w:p>
        </w:tc>
        <w:tc>
          <w:tcPr>
            <w:tcW w:w="410" w:type="pct"/>
            <w:vAlign w:val="center"/>
          </w:tcPr>
          <w:p w14:paraId="1AEC87DB">
            <w:pPr>
              <w:adjustRightInd w:val="0"/>
              <w:snapToGrid w:val="0"/>
              <w:spacing w:line="30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17</w:t>
            </w:r>
          </w:p>
        </w:tc>
        <w:tc>
          <w:tcPr>
            <w:tcW w:w="974" w:type="pct"/>
            <w:vAlign w:val="center"/>
          </w:tcPr>
          <w:p w14:paraId="7F249E92">
            <w:pPr>
              <w:adjustRightInd w:val="0"/>
              <w:snapToGrid w:val="0"/>
              <w:spacing w:line="300" w:lineRule="exact"/>
              <w:jc w:val="center"/>
              <w:rPr>
                <w:rFonts w:hint="eastAsia" w:ascii="宋体" w:hAnsi="宋体" w:cs="宋体"/>
                <w:color w:val="000000" w:themeColor="text1"/>
                <w:szCs w:val="21"/>
                <w14:textFill>
                  <w14:solidFill>
                    <w14:schemeClr w14:val="tx1"/>
                  </w14:solidFill>
                </w14:textFill>
              </w:rPr>
            </w:pPr>
          </w:p>
        </w:tc>
        <w:tc>
          <w:tcPr>
            <w:tcW w:w="1022" w:type="pct"/>
            <w:vAlign w:val="center"/>
          </w:tcPr>
          <w:p w14:paraId="3AE438DB">
            <w:pPr>
              <w:adjustRightInd w:val="0"/>
              <w:snapToGrid w:val="0"/>
              <w:spacing w:line="300" w:lineRule="exact"/>
              <w:jc w:val="center"/>
              <w:rPr>
                <w:rFonts w:hint="eastAsia" w:ascii="宋体" w:hAnsi="宋体" w:cs="宋体"/>
                <w:color w:val="000000" w:themeColor="text1"/>
                <w:szCs w:val="21"/>
                <w14:textFill>
                  <w14:solidFill>
                    <w14:schemeClr w14:val="tx1"/>
                  </w14:solidFill>
                </w14:textFill>
              </w:rPr>
            </w:pPr>
          </w:p>
        </w:tc>
      </w:tr>
      <w:tr w14:paraId="4DF27FE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3" w:type="pct"/>
            <w:vAlign w:val="center"/>
          </w:tcPr>
          <w:p w14:paraId="441EB76B">
            <w:pPr>
              <w:adjustRightInd w:val="0"/>
              <w:snapToGrid w:val="0"/>
              <w:spacing w:line="30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7</w:t>
            </w:r>
          </w:p>
        </w:tc>
        <w:tc>
          <w:tcPr>
            <w:tcW w:w="1184" w:type="pct"/>
            <w:vAlign w:val="center"/>
          </w:tcPr>
          <w:p w14:paraId="696F52C5">
            <w:pPr>
              <w:adjustRightInd w:val="0"/>
              <w:snapToGrid w:val="0"/>
              <w:spacing w:line="300" w:lineRule="exact"/>
              <w:jc w:val="center"/>
              <w:rPr>
                <w:rFonts w:hint="eastAsia" w:ascii="宋体" w:hAnsi="宋体" w:cs="宋体"/>
                <w:color w:val="000000" w:themeColor="text1"/>
                <w:szCs w:val="21"/>
                <w14:textFill>
                  <w14:solidFill>
                    <w14:schemeClr w14:val="tx1"/>
                  </w14:solidFill>
                </w14:textFill>
              </w:rPr>
            </w:pPr>
          </w:p>
        </w:tc>
        <w:tc>
          <w:tcPr>
            <w:tcW w:w="1087" w:type="pct"/>
            <w:vAlign w:val="center"/>
          </w:tcPr>
          <w:p w14:paraId="6EC733AB">
            <w:pPr>
              <w:adjustRightInd w:val="0"/>
              <w:snapToGrid w:val="0"/>
              <w:spacing w:line="300" w:lineRule="exact"/>
              <w:jc w:val="center"/>
              <w:rPr>
                <w:rFonts w:hint="eastAsia" w:ascii="宋体" w:hAnsi="宋体" w:cs="宋体"/>
                <w:color w:val="000000" w:themeColor="text1"/>
                <w:szCs w:val="21"/>
                <w14:textFill>
                  <w14:solidFill>
                    <w14:schemeClr w14:val="tx1"/>
                  </w14:solidFill>
                </w14:textFill>
              </w:rPr>
            </w:pPr>
          </w:p>
        </w:tc>
        <w:tc>
          <w:tcPr>
            <w:tcW w:w="410" w:type="pct"/>
            <w:vAlign w:val="center"/>
          </w:tcPr>
          <w:p w14:paraId="6B161ABC">
            <w:pPr>
              <w:adjustRightInd w:val="0"/>
              <w:snapToGrid w:val="0"/>
              <w:spacing w:line="30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18</w:t>
            </w:r>
          </w:p>
        </w:tc>
        <w:tc>
          <w:tcPr>
            <w:tcW w:w="974" w:type="pct"/>
            <w:vAlign w:val="center"/>
          </w:tcPr>
          <w:p w14:paraId="4A0C82A0">
            <w:pPr>
              <w:adjustRightInd w:val="0"/>
              <w:snapToGrid w:val="0"/>
              <w:spacing w:line="300" w:lineRule="exact"/>
              <w:jc w:val="center"/>
              <w:rPr>
                <w:rFonts w:hint="eastAsia" w:ascii="宋体" w:hAnsi="宋体" w:cs="宋体"/>
                <w:color w:val="000000" w:themeColor="text1"/>
                <w:szCs w:val="21"/>
                <w14:textFill>
                  <w14:solidFill>
                    <w14:schemeClr w14:val="tx1"/>
                  </w14:solidFill>
                </w14:textFill>
              </w:rPr>
            </w:pPr>
          </w:p>
        </w:tc>
        <w:tc>
          <w:tcPr>
            <w:tcW w:w="1022" w:type="pct"/>
            <w:vAlign w:val="center"/>
          </w:tcPr>
          <w:p w14:paraId="5CFC165B">
            <w:pPr>
              <w:adjustRightInd w:val="0"/>
              <w:snapToGrid w:val="0"/>
              <w:spacing w:line="300" w:lineRule="exact"/>
              <w:jc w:val="center"/>
              <w:rPr>
                <w:rFonts w:hint="eastAsia" w:ascii="宋体" w:hAnsi="宋体" w:cs="宋体"/>
                <w:color w:val="000000" w:themeColor="text1"/>
                <w:szCs w:val="21"/>
                <w14:textFill>
                  <w14:solidFill>
                    <w14:schemeClr w14:val="tx1"/>
                  </w14:solidFill>
                </w14:textFill>
              </w:rPr>
            </w:pPr>
          </w:p>
        </w:tc>
      </w:tr>
      <w:tr w14:paraId="00DE5E1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3" w:type="pct"/>
            <w:vAlign w:val="center"/>
          </w:tcPr>
          <w:p w14:paraId="6B22328F">
            <w:pPr>
              <w:adjustRightInd w:val="0"/>
              <w:snapToGrid w:val="0"/>
              <w:spacing w:line="30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8</w:t>
            </w:r>
          </w:p>
        </w:tc>
        <w:tc>
          <w:tcPr>
            <w:tcW w:w="1184" w:type="pct"/>
            <w:vAlign w:val="center"/>
          </w:tcPr>
          <w:p w14:paraId="19FA9023">
            <w:pPr>
              <w:adjustRightInd w:val="0"/>
              <w:snapToGrid w:val="0"/>
              <w:spacing w:line="300" w:lineRule="exact"/>
              <w:jc w:val="center"/>
              <w:rPr>
                <w:rFonts w:hint="eastAsia" w:ascii="宋体" w:hAnsi="宋体" w:cs="宋体"/>
                <w:color w:val="000000" w:themeColor="text1"/>
                <w:szCs w:val="21"/>
                <w14:textFill>
                  <w14:solidFill>
                    <w14:schemeClr w14:val="tx1"/>
                  </w14:solidFill>
                </w14:textFill>
              </w:rPr>
            </w:pPr>
          </w:p>
        </w:tc>
        <w:tc>
          <w:tcPr>
            <w:tcW w:w="1087" w:type="pct"/>
            <w:vAlign w:val="center"/>
          </w:tcPr>
          <w:p w14:paraId="3C784FAE">
            <w:pPr>
              <w:adjustRightInd w:val="0"/>
              <w:snapToGrid w:val="0"/>
              <w:spacing w:line="300" w:lineRule="exact"/>
              <w:jc w:val="center"/>
              <w:rPr>
                <w:rFonts w:hint="eastAsia" w:ascii="宋体" w:hAnsi="宋体" w:cs="宋体"/>
                <w:color w:val="000000" w:themeColor="text1"/>
                <w:szCs w:val="21"/>
                <w14:textFill>
                  <w14:solidFill>
                    <w14:schemeClr w14:val="tx1"/>
                  </w14:solidFill>
                </w14:textFill>
              </w:rPr>
            </w:pPr>
          </w:p>
        </w:tc>
        <w:tc>
          <w:tcPr>
            <w:tcW w:w="410" w:type="pct"/>
            <w:vAlign w:val="center"/>
          </w:tcPr>
          <w:p w14:paraId="6E958C31">
            <w:pPr>
              <w:adjustRightInd w:val="0"/>
              <w:snapToGrid w:val="0"/>
              <w:spacing w:line="30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19</w:t>
            </w:r>
          </w:p>
        </w:tc>
        <w:tc>
          <w:tcPr>
            <w:tcW w:w="974" w:type="pct"/>
            <w:vAlign w:val="center"/>
          </w:tcPr>
          <w:p w14:paraId="7A3026AA">
            <w:pPr>
              <w:adjustRightInd w:val="0"/>
              <w:snapToGrid w:val="0"/>
              <w:spacing w:line="300" w:lineRule="exact"/>
              <w:jc w:val="center"/>
              <w:rPr>
                <w:rFonts w:hint="eastAsia" w:ascii="宋体" w:hAnsi="宋体" w:cs="宋体"/>
                <w:color w:val="000000" w:themeColor="text1"/>
                <w:szCs w:val="21"/>
                <w14:textFill>
                  <w14:solidFill>
                    <w14:schemeClr w14:val="tx1"/>
                  </w14:solidFill>
                </w14:textFill>
              </w:rPr>
            </w:pPr>
          </w:p>
        </w:tc>
        <w:tc>
          <w:tcPr>
            <w:tcW w:w="1022" w:type="pct"/>
            <w:vAlign w:val="center"/>
          </w:tcPr>
          <w:p w14:paraId="24483322">
            <w:pPr>
              <w:adjustRightInd w:val="0"/>
              <w:snapToGrid w:val="0"/>
              <w:spacing w:line="300" w:lineRule="exact"/>
              <w:jc w:val="center"/>
              <w:rPr>
                <w:rFonts w:hint="eastAsia" w:ascii="宋体" w:hAnsi="宋体" w:cs="宋体"/>
                <w:color w:val="000000" w:themeColor="text1"/>
                <w:szCs w:val="21"/>
                <w14:textFill>
                  <w14:solidFill>
                    <w14:schemeClr w14:val="tx1"/>
                  </w14:solidFill>
                </w14:textFill>
              </w:rPr>
            </w:pPr>
          </w:p>
        </w:tc>
      </w:tr>
      <w:tr w14:paraId="644E1D7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3" w:type="pct"/>
            <w:vAlign w:val="center"/>
          </w:tcPr>
          <w:p w14:paraId="6DCB8D49">
            <w:pPr>
              <w:adjustRightInd w:val="0"/>
              <w:snapToGrid w:val="0"/>
              <w:spacing w:line="30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9</w:t>
            </w:r>
          </w:p>
        </w:tc>
        <w:tc>
          <w:tcPr>
            <w:tcW w:w="1184" w:type="pct"/>
            <w:vAlign w:val="center"/>
          </w:tcPr>
          <w:p w14:paraId="34F824EE">
            <w:pPr>
              <w:adjustRightInd w:val="0"/>
              <w:snapToGrid w:val="0"/>
              <w:spacing w:line="300" w:lineRule="exact"/>
              <w:jc w:val="center"/>
              <w:rPr>
                <w:rFonts w:hint="eastAsia" w:ascii="宋体" w:hAnsi="宋体" w:cs="宋体"/>
                <w:color w:val="000000" w:themeColor="text1"/>
                <w:szCs w:val="21"/>
                <w14:textFill>
                  <w14:solidFill>
                    <w14:schemeClr w14:val="tx1"/>
                  </w14:solidFill>
                </w14:textFill>
              </w:rPr>
            </w:pPr>
          </w:p>
        </w:tc>
        <w:tc>
          <w:tcPr>
            <w:tcW w:w="1087" w:type="pct"/>
            <w:vAlign w:val="center"/>
          </w:tcPr>
          <w:p w14:paraId="2EAD83C5">
            <w:pPr>
              <w:adjustRightInd w:val="0"/>
              <w:snapToGrid w:val="0"/>
              <w:spacing w:line="300" w:lineRule="exact"/>
              <w:jc w:val="center"/>
              <w:rPr>
                <w:rFonts w:hint="eastAsia" w:ascii="宋体" w:hAnsi="宋体" w:cs="宋体"/>
                <w:color w:val="000000" w:themeColor="text1"/>
                <w:szCs w:val="21"/>
                <w14:textFill>
                  <w14:solidFill>
                    <w14:schemeClr w14:val="tx1"/>
                  </w14:solidFill>
                </w14:textFill>
              </w:rPr>
            </w:pPr>
          </w:p>
        </w:tc>
        <w:tc>
          <w:tcPr>
            <w:tcW w:w="410" w:type="pct"/>
            <w:vAlign w:val="center"/>
          </w:tcPr>
          <w:p w14:paraId="51A4F714">
            <w:pPr>
              <w:adjustRightInd w:val="0"/>
              <w:snapToGrid w:val="0"/>
              <w:spacing w:line="30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20</w:t>
            </w:r>
          </w:p>
        </w:tc>
        <w:tc>
          <w:tcPr>
            <w:tcW w:w="974" w:type="pct"/>
            <w:vAlign w:val="center"/>
          </w:tcPr>
          <w:p w14:paraId="40A7A44A">
            <w:pPr>
              <w:adjustRightInd w:val="0"/>
              <w:snapToGrid w:val="0"/>
              <w:spacing w:line="300" w:lineRule="exact"/>
              <w:jc w:val="center"/>
              <w:rPr>
                <w:rFonts w:hint="eastAsia" w:ascii="宋体" w:hAnsi="宋体" w:cs="宋体"/>
                <w:color w:val="000000" w:themeColor="text1"/>
                <w:szCs w:val="21"/>
                <w14:textFill>
                  <w14:solidFill>
                    <w14:schemeClr w14:val="tx1"/>
                  </w14:solidFill>
                </w14:textFill>
              </w:rPr>
            </w:pPr>
          </w:p>
        </w:tc>
        <w:tc>
          <w:tcPr>
            <w:tcW w:w="1022" w:type="pct"/>
            <w:vAlign w:val="center"/>
          </w:tcPr>
          <w:p w14:paraId="7A56858B">
            <w:pPr>
              <w:adjustRightInd w:val="0"/>
              <w:snapToGrid w:val="0"/>
              <w:spacing w:line="300" w:lineRule="exact"/>
              <w:jc w:val="center"/>
              <w:rPr>
                <w:rFonts w:hint="eastAsia" w:ascii="宋体" w:hAnsi="宋体" w:cs="宋体"/>
                <w:color w:val="000000" w:themeColor="text1"/>
                <w:szCs w:val="21"/>
                <w14:textFill>
                  <w14:solidFill>
                    <w14:schemeClr w14:val="tx1"/>
                  </w14:solidFill>
                </w14:textFill>
              </w:rPr>
            </w:pPr>
          </w:p>
        </w:tc>
      </w:tr>
      <w:tr w14:paraId="70D6D49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3" w:type="pct"/>
            <w:vAlign w:val="center"/>
          </w:tcPr>
          <w:p w14:paraId="23CCE401">
            <w:pPr>
              <w:adjustRightInd w:val="0"/>
              <w:snapToGrid w:val="0"/>
              <w:spacing w:line="30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10</w:t>
            </w:r>
          </w:p>
        </w:tc>
        <w:tc>
          <w:tcPr>
            <w:tcW w:w="1184" w:type="pct"/>
            <w:vAlign w:val="center"/>
          </w:tcPr>
          <w:p w14:paraId="0653AD52">
            <w:pPr>
              <w:adjustRightInd w:val="0"/>
              <w:snapToGrid w:val="0"/>
              <w:spacing w:line="300" w:lineRule="exact"/>
              <w:jc w:val="center"/>
              <w:rPr>
                <w:rFonts w:hint="eastAsia" w:ascii="宋体" w:hAnsi="宋体" w:cs="宋体"/>
                <w:color w:val="000000" w:themeColor="text1"/>
                <w:szCs w:val="21"/>
                <w14:textFill>
                  <w14:solidFill>
                    <w14:schemeClr w14:val="tx1"/>
                  </w14:solidFill>
                </w14:textFill>
              </w:rPr>
            </w:pPr>
          </w:p>
        </w:tc>
        <w:tc>
          <w:tcPr>
            <w:tcW w:w="1087" w:type="pct"/>
            <w:vAlign w:val="center"/>
          </w:tcPr>
          <w:p w14:paraId="532CC3AF">
            <w:pPr>
              <w:adjustRightInd w:val="0"/>
              <w:snapToGrid w:val="0"/>
              <w:spacing w:line="300" w:lineRule="exact"/>
              <w:jc w:val="center"/>
              <w:rPr>
                <w:rFonts w:hint="eastAsia" w:ascii="宋体" w:hAnsi="宋体" w:cs="宋体"/>
                <w:color w:val="000000" w:themeColor="text1"/>
                <w:szCs w:val="21"/>
                <w14:textFill>
                  <w14:solidFill>
                    <w14:schemeClr w14:val="tx1"/>
                  </w14:solidFill>
                </w14:textFill>
              </w:rPr>
            </w:pPr>
          </w:p>
        </w:tc>
        <w:tc>
          <w:tcPr>
            <w:tcW w:w="410" w:type="pct"/>
            <w:vAlign w:val="center"/>
          </w:tcPr>
          <w:p w14:paraId="775BE072">
            <w:pPr>
              <w:adjustRightInd w:val="0"/>
              <w:snapToGrid w:val="0"/>
              <w:spacing w:line="30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21</w:t>
            </w:r>
          </w:p>
        </w:tc>
        <w:tc>
          <w:tcPr>
            <w:tcW w:w="974" w:type="pct"/>
            <w:vAlign w:val="center"/>
          </w:tcPr>
          <w:p w14:paraId="1ABE6762">
            <w:pPr>
              <w:adjustRightInd w:val="0"/>
              <w:snapToGrid w:val="0"/>
              <w:spacing w:line="300" w:lineRule="exact"/>
              <w:jc w:val="center"/>
              <w:rPr>
                <w:rFonts w:hint="eastAsia" w:ascii="宋体" w:hAnsi="宋体" w:cs="宋体"/>
                <w:color w:val="000000" w:themeColor="text1"/>
                <w:szCs w:val="21"/>
                <w14:textFill>
                  <w14:solidFill>
                    <w14:schemeClr w14:val="tx1"/>
                  </w14:solidFill>
                </w14:textFill>
              </w:rPr>
            </w:pPr>
          </w:p>
        </w:tc>
        <w:tc>
          <w:tcPr>
            <w:tcW w:w="1022" w:type="pct"/>
            <w:vAlign w:val="center"/>
          </w:tcPr>
          <w:p w14:paraId="1590D8B8">
            <w:pPr>
              <w:adjustRightInd w:val="0"/>
              <w:snapToGrid w:val="0"/>
              <w:spacing w:line="300" w:lineRule="exact"/>
              <w:jc w:val="center"/>
              <w:rPr>
                <w:rFonts w:hint="eastAsia" w:ascii="宋体" w:hAnsi="宋体" w:cs="宋体"/>
                <w:color w:val="000000" w:themeColor="text1"/>
                <w:szCs w:val="21"/>
                <w14:textFill>
                  <w14:solidFill>
                    <w14:schemeClr w14:val="tx1"/>
                  </w14:solidFill>
                </w14:textFill>
              </w:rPr>
            </w:pPr>
          </w:p>
        </w:tc>
      </w:tr>
      <w:tr w14:paraId="4DF0CD0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3" w:type="pct"/>
            <w:vAlign w:val="center"/>
          </w:tcPr>
          <w:p w14:paraId="7CA5DB0C">
            <w:pPr>
              <w:adjustRightInd w:val="0"/>
              <w:snapToGrid w:val="0"/>
              <w:spacing w:line="30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11</w:t>
            </w:r>
          </w:p>
        </w:tc>
        <w:tc>
          <w:tcPr>
            <w:tcW w:w="1184" w:type="pct"/>
            <w:vAlign w:val="center"/>
          </w:tcPr>
          <w:p w14:paraId="01D15EDD">
            <w:pPr>
              <w:adjustRightInd w:val="0"/>
              <w:snapToGrid w:val="0"/>
              <w:spacing w:line="300" w:lineRule="exact"/>
              <w:jc w:val="center"/>
              <w:rPr>
                <w:rFonts w:hint="eastAsia" w:ascii="宋体" w:hAnsi="宋体" w:cs="宋体"/>
                <w:color w:val="000000" w:themeColor="text1"/>
                <w:szCs w:val="21"/>
                <w14:textFill>
                  <w14:solidFill>
                    <w14:schemeClr w14:val="tx1"/>
                  </w14:solidFill>
                </w14:textFill>
              </w:rPr>
            </w:pPr>
          </w:p>
        </w:tc>
        <w:tc>
          <w:tcPr>
            <w:tcW w:w="1087" w:type="pct"/>
            <w:vAlign w:val="center"/>
          </w:tcPr>
          <w:p w14:paraId="5830EF5E">
            <w:pPr>
              <w:adjustRightInd w:val="0"/>
              <w:snapToGrid w:val="0"/>
              <w:spacing w:line="300" w:lineRule="exact"/>
              <w:jc w:val="center"/>
              <w:rPr>
                <w:rFonts w:hint="eastAsia" w:ascii="宋体" w:hAnsi="宋体" w:cs="宋体"/>
                <w:color w:val="000000" w:themeColor="text1"/>
                <w:szCs w:val="21"/>
                <w14:textFill>
                  <w14:solidFill>
                    <w14:schemeClr w14:val="tx1"/>
                  </w14:solidFill>
                </w14:textFill>
              </w:rPr>
            </w:pPr>
          </w:p>
        </w:tc>
        <w:tc>
          <w:tcPr>
            <w:tcW w:w="410" w:type="pct"/>
            <w:vAlign w:val="center"/>
          </w:tcPr>
          <w:p w14:paraId="685BD3FF">
            <w:pPr>
              <w:adjustRightInd w:val="0"/>
              <w:snapToGrid w:val="0"/>
              <w:spacing w:line="30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22</w:t>
            </w:r>
          </w:p>
        </w:tc>
        <w:tc>
          <w:tcPr>
            <w:tcW w:w="974" w:type="pct"/>
            <w:vAlign w:val="center"/>
          </w:tcPr>
          <w:p w14:paraId="25E0CF3B">
            <w:pPr>
              <w:adjustRightInd w:val="0"/>
              <w:snapToGrid w:val="0"/>
              <w:spacing w:line="300" w:lineRule="exact"/>
              <w:jc w:val="center"/>
              <w:rPr>
                <w:rFonts w:hint="eastAsia" w:ascii="宋体" w:hAnsi="宋体" w:cs="宋体"/>
                <w:color w:val="000000" w:themeColor="text1"/>
                <w:szCs w:val="21"/>
                <w14:textFill>
                  <w14:solidFill>
                    <w14:schemeClr w14:val="tx1"/>
                  </w14:solidFill>
                </w14:textFill>
              </w:rPr>
            </w:pPr>
          </w:p>
        </w:tc>
        <w:tc>
          <w:tcPr>
            <w:tcW w:w="1022" w:type="pct"/>
            <w:vAlign w:val="center"/>
          </w:tcPr>
          <w:p w14:paraId="3C7ACBFF">
            <w:pPr>
              <w:adjustRightInd w:val="0"/>
              <w:snapToGrid w:val="0"/>
              <w:spacing w:line="300" w:lineRule="exact"/>
              <w:jc w:val="center"/>
              <w:rPr>
                <w:rFonts w:hint="eastAsia" w:ascii="宋体" w:hAnsi="宋体" w:cs="宋体"/>
                <w:color w:val="000000" w:themeColor="text1"/>
                <w:szCs w:val="21"/>
                <w14:textFill>
                  <w14:solidFill>
                    <w14:schemeClr w14:val="tx1"/>
                  </w14:solidFill>
                </w14:textFill>
              </w:rPr>
            </w:pPr>
          </w:p>
        </w:tc>
      </w:tr>
    </w:tbl>
    <w:p w14:paraId="29F57143">
      <w:pPr>
        <w:pStyle w:val="4"/>
        <w:rPr>
          <w:rFonts w:hint="eastAsia"/>
          <w:color w:val="000000" w:themeColor="text1"/>
          <w:spacing w:val="4"/>
          <w14:textFill>
            <w14:solidFill>
              <w14:schemeClr w14:val="tx1"/>
            </w14:solidFill>
          </w14:textFill>
        </w:rPr>
      </w:pPr>
      <w:r>
        <w:rPr>
          <w:rFonts w:hint="eastAsia"/>
          <w:color w:val="000000" w:themeColor="text1"/>
          <w:spacing w:val="4"/>
          <w14:textFill>
            <w14:solidFill>
              <w14:schemeClr w14:val="tx1"/>
            </w14:solidFill>
          </w14:textFill>
        </w:rPr>
        <w:t>现有工程概况</w:t>
      </w:r>
    </w:p>
    <w:p w14:paraId="4806DF45">
      <w:pPr>
        <w:pStyle w:val="117"/>
        <w:ind w:firstLine="480"/>
        <w:rPr>
          <w:rFonts w:hint="eastAsia"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（1）工程组成</w:t>
      </w:r>
    </w:p>
    <w:p w14:paraId="4AB0424B">
      <w:pPr>
        <w:pStyle w:val="117"/>
        <w:ind w:firstLine="480"/>
        <w:rPr>
          <w:rFonts w:hint="eastAsia" w:ascii="黑体" w:hAnsi="黑体" w:eastAsia="黑体"/>
          <w:color w:val="000000" w:themeColor="text1"/>
          <w:sz w:val="21"/>
          <w:szCs w:val="21"/>
          <w14:textFill>
            <w14:solidFill>
              <w14:schemeClr w14:val="tx1"/>
            </w14:solidFill>
          </w14:textFill>
        </w:rPr>
      </w:pPr>
      <w:r>
        <w:rPr>
          <w:rFonts w:hint="eastAsia" w:cs="宋体"/>
          <w:color w:val="000000" w:themeColor="text1"/>
          <w14:textFill>
            <w14:solidFill>
              <w14:schemeClr w14:val="tx1"/>
            </w14:solidFill>
          </w14:textFill>
        </w:rPr>
        <w:t>页岩油井区已建有采油井408口、页岩油联合站</w:t>
      </w:r>
      <w:r>
        <w:rPr>
          <w:rFonts w:cs="宋体"/>
          <w:color w:val="000000" w:themeColor="text1"/>
          <w14:textFill>
            <w14:solidFill>
              <w14:schemeClr w14:val="tx1"/>
            </w14:solidFill>
          </w14:textFill>
        </w:rPr>
        <w:t>1</w:t>
      </w:r>
      <w:r>
        <w:rPr>
          <w:rFonts w:hint="eastAsia" w:cs="宋体"/>
          <w:color w:val="000000" w:themeColor="text1"/>
          <w14:textFill>
            <w14:solidFill>
              <w14:schemeClr w14:val="tx1"/>
            </w14:solidFill>
          </w14:textFill>
        </w:rPr>
        <w:t>座、混输站</w:t>
      </w:r>
      <w:r>
        <w:rPr>
          <w:rFonts w:cs="宋体"/>
          <w:color w:val="000000" w:themeColor="text1"/>
          <w14:textFill>
            <w14:solidFill>
              <w14:schemeClr w14:val="tx1"/>
            </w14:solidFill>
          </w14:textFill>
        </w:rPr>
        <w:t>1</w:t>
      </w:r>
      <w:r>
        <w:rPr>
          <w:rFonts w:hint="eastAsia" w:cs="宋体"/>
          <w:color w:val="000000" w:themeColor="text1"/>
          <w14:textFill>
            <w14:solidFill>
              <w14:schemeClr w14:val="tx1"/>
            </w14:solidFill>
          </w14:textFill>
        </w:rPr>
        <w:t>座，并配套建设有单井采油管线、集油干支线、道路等工程，油区和页岩油联合站的采出水处理装置均依托页岩油联合站外的压裂返排液处理系统处理。</w:t>
      </w:r>
      <w:bookmarkStart w:id="191" w:name="_Hlk206576804"/>
      <w:r>
        <w:rPr>
          <w:rFonts w:hint="eastAsia"/>
          <w:color w:val="000000" w:themeColor="text1"/>
          <w14:textFill>
            <w14:solidFill>
              <w14:schemeClr w14:val="tx1"/>
            </w14:solidFill>
          </w14:textFill>
        </w:rPr>
        <w:t>页岩油井区408口采油井的井口采出物全部进入页岩油联合站进行油气处理，目前，</w:t>
      </w:r>
      <w:bookmarkStart w:id="192" w:name="_Hlk206605986"/>
      <w:r>
        <w:rPr>
          <w:rFonts w:hint="eastAsia"/>
          <w:color w:val="000000" w:themeColor="text1"/>
          <w14:textFill>
            <w14:solidFill>
              <w14:schemeClr w14:val="tx1"/>
            </w14:solidFill>
          </w14:textFill>
        </w:rPr>
        <w:t>页岩油井区</w:t>
      </w:r>
      <w:r>
        <w:rPr>
          <w:rFonts w:hint="eastAsia" w:cs="宋体"/>
          <w:color w:val="000000" w:themeColor="text1"/>
          <w14:textFill>
            <w14:solidFill>
              <w14:schemeClr w14:val="tx1"/>
            </w14:solidFill>
          </w14:textFill>
        </w:rPr>
        <w:t>日产液量为9555</w:t>
      </w:r>
      <w:r>
        <w:rPr>
          <w:rFonts w:cs="宋体"/>
          <w:color w:val="000000" w:themeColor="text1"/>
          <w14:textFill>
            <w14:solidFill>
              <w14:schemeClr w14:val="tx1"/>
            </w14:solidFill>
          </w14:textFill>
        </w:rPr>
        <w:t>t/d</w:t>
      </w:r>
      <w:r>
        <w:rPr>
          <w:rFonts w:hint="eastAsia" w:cs="宋体"/>
          <w:color w:val="000000" w:themeColor="text1"/>
          <w14:textFill>
            <w14:solidFill>
              <w14:schemeClr w14:val="tx1"/>
            </w14:solidFill>
          </w14:textFill>
        </w:rPr>
        <w:t>，日产油量为4287</w:t>
      </w:r>
      <w:r>
        <w:rPr>
          <w:rFonts w:cs="宋体"/>
          <w:color w:val="000000" w:themeColor="text1"/>
          <w14:textFill>
            <w14:solidFill>
              <w14:schemeClr w14:val="tx1"/>
            </w14:solidFill>
          </w14:textFill>
        </w:rPr>
        <w:t>t/d</w:t>
      </w:r>
      <w:r>
        <w:rPr>
          <w:rFonts w:hint="eastAsia" w:cs="宋体"/>
          <w:color w:val="000000" w:themeColor="text1"/>
          <w14:textFill>
            <w14:solidFill>
              <w14:schemeClr w14:val="tx1"/>
            </w14:solidFill>
          </w14:textFill>
        </w:rPr>
        <w:t>，日产气量为8.13×</w:t>
      </w:r>
      <w:r>
        <w:rPr>
          <w:rFonts w:cs="宋体"/>
          <w:color w:val="000000" w:themeColor="text1"/>
          <w14:textFill>
            <w14:solidFill>
              <w14:schemeClr w14:val="tx1"/>
            </w14:solidFill>
          </w14:textFill>
        </w:rPr>
        <w:t>10</w:t>
      </w:r>
      <w:r>
        <w:rPr>
          <w:rFonts w:cs="宋体"/>
          <w:color w:val="000000" w:themeColor="text1"/>
          <w:vertAlign w:val="superscript"/>
          <w14:textFill>
            <w14:solidFill>
              <w14:schemeClr w14:val="tx1"/>
            </w14:solidFill>
          </w14:textFill>
        </w:rPr>
        <w:t>4</w:t>
      </w:r>
      <w:r>
        <w:rPr>
          <w:rFonts w:cs="宋体"/>
          <w:color w:val="000000" w:themeColor="text1"/>
          <w14:textFill>
            <w14:solidFill>
              <w14:schemeClr w14:val="tx1"/>
            </w14:solidFill>
          </w14:textFill>
        </w:rPr>
        <w:t>m</w:t>
      </w:r>
      <w:r>
        <w:rPr>
          <w:rFonts w:cs="宋体"/>
          <w:color w:val="000000" w:themeColor="text1"/>
          <w:vertAlign w:val="superscript"/>
          <w14:textFill>
            <w14:solidFill>
              <w14:schemeClr w14:val="tx1"/>
            </w14:solidFill>
          </w14:textFill>
        </w:rPr>
        <w:t>3</w:t>
      </w:r>
      <w:r>
        <w:rPr>
          <w:rFonts w:cs="宋体"/>
          <w:color w:val="000000" w:themeColor="text1"/>
          <w14:textFill>
            <w14:solidFill>
              <w14:schemeClr w14:val="tx1"/>
            </w14:solidFill>
          </w14:textFill>
        </w:rPr>
        <w:t>/d</w:t>
      </w:r>
      <w:r>
        <w:rPr>
          <w:rFonts w:hint="eastAsia" w:cs="宋体"/>
          <w:color w:val="000000" w:themeColor="text1"/>
          <w14:textFill>
            <w14:solidFill>
              <w14:schemeClr w14:val="tx1"/>
            </w14:solidFill>
          </w14:textFill>
        </w:rPr>
        <w:t>，日产采出水和压裂返排液量为5268m</w:t>
      </w:r>
      <w:r>
        <w:rPr>
          <w:rFonts w:hint="eastAsia" w:cs="宋体"/>
          <w:color w:val="000000" w:themeColor="text1"/>
          <w:vertAlign w:val="superscript"/>
          <w14:textFill>
            <w14:solidFill>
              <w14:schemeClr w14:val="tx1"/>
            </w14:solidFill>
          </w14:textFill>
        </w:rPr>
        <w:t>3</w:t>
      </w:r>
      <w:r>
        <w:rPr>
          <w:rFonts w:hint="eastAsia" w:cs="宋体"/>
          <w:color w:val="000000" w:themeColor="text1"/>
          <w14:textFill>
            <w14:solidFill>
              <w14:schemeClr w14:val="tx1"/>
            </w14:solidFill>
          </w14:textFill>
        </w:rPr>
        <w:t>/d</w:t>
      </w:r>
      <w:bookmarkEnd w:id="191"/>
      <w:bookmarkEnd w:id="192"/>
      <w:r>
        <w:rPr>
          <w:rFonts w:hint="eastAsia" w:cs="宋体"/>
          <w:color w:val="000000" w:themeColor="text1"/>
          <w14:textFill>
            <w14:solidFill>
              <w14:schemeClr w14:val="tx1"/>
            </w14:solidFill>
          </w14:textFill>
        </w:rPr>
        <w:t>。现有工程组成包括主体工程、公用工程和环保工程，详见表3.1-2。</w:t>
      </w:r>
    </w:p>
    <w:p w14:paraId="66EC041F">
      <w:pPr>
        <w:pStyle w:val="117"/>
        <w:spacing w:line="240" w:lineRule="auto"/>
        <w:ind w:firstLine="0" w:firstLineChars="0"/>
        <w:jc w:val="center"/>
        <w:rPr>
          <w:rFonts w:hint="eastAsia"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表3.1-2  工程组成情况一览表</w:t>
      </w:r>
    </w:p>
    <w:tbl>
      <w:tblPr>
        <w:tblStyle w:val="51"/>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28" w:type="dxa"/>
          <w:bottom w:w="0" w:type="dxa"/>
          <w:right w:w="28" w:type="dxa"/>
        </w:tblCellMar>
      </w:tblPr>
      <w:tblGrid>
        <w:gridCol w:w="679"/>
        <w:gridCol w:w="747"/>
        <w:gridCol w:w="998"/>
        <w:gridCol w:w="6362"/>
      </w:tblGrid>
      <w:tr w14:paraId="28B28DF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tblHeader/>
          <w:jc w:val="center"/>
        </w:trPr>
        <w:tc>
          <w:tcPr>
            <w:tcW w:w="387" w:type="pct"/>
            <w:vAlign w:val="center"/>
          </w:tcPr>
          <w:p w14:paraId="0767010B">
            <w:pPr>
              <w:widowControl/>
              <w:overflowPunct w:val="0"/>
              <w:adjustRightInd w:val="0"/>
              <w:snapToGrid w:val="0"/>
              <w:spacing w:line="300" w:lineRule="exact"/>
              <w:jc w:val="center"/>
              <w:rPr>
                <w:rFonts w:hint="eastAsia" w:ascii="宋体" w:hAnsi="宋体"/>
                <w:snapToGrid w:val="0"/>
                <w:color w:val="000000" w:themeColor="text1"/>
                <w:kern w:val="0"/>
                <w:szCs w:val="21"/>
                <w14:textFill>
                  <w14:solidFill>
                    <w14:schemeClr w14:val="tx1"/>
                  </w14:solidFill>
                </w14:textFill>
              </w:rPr>
            </w:pPr>
            <w:r>
              <w:rPr>
                <w:rFonts w:ascii="宋体" w:hAnsi="宋体"/>
                <w:snapToGrid w:val="0"/>
                <w:color w:val="000000" w:themeColor="text1"/>
                <w:kern w:val="0"/>
                <w:szCs w:val="21"/>
                <w14:textFill>
                  <w14:solidFill>
                    <w14:schemeClr w14:val="tx1"/>
                  </w14:solidFill>
                </w14:textFill>
              </w:rPr>
              <w:t>类别</w:t>
            </w:r>
          </w:p>
        </w:tc>
        <w:tc>
          <w:tcPr>
            <w:tcW w:w="4613" w:type="pct"/>
            <w:gridSpan w:val="3"/>
            <w:vAlign w:val="center"/>
          </w:tcPr>
          <w:p w14:paraId="159FA611">
            <w:pPr>
              <w:widowControl/>
              <w:overflowPunct w:val="0"/>
              <w:adjustRightInd w:val="0"/>
              <w:snapToGrid w:val="0"/>
              <w:spacing w:line="300" w:lineRule="exact"/>
              <w:jc w:val="center"/>
              <w:rPr>
                <w:rFonts w:hint="eastAsia" w:ascii="宋体" w:hAnsi="宋体"/>
                <w:snapToGrid w:val="0"/>
                <w:color w:val="000000" w:themeColor="text1"/>
                <w:kern w:val="0"/>
                <w:szCs w:val="21"/>
                <w14:textFill>
                  <w14:solidFill>
                    <w14:schemeClr w14:val="tx1"/>
                  </w14:solidFill>
                </w14:textFill>
              </w:rPr>
            </w:pPr>
            <w:r>
              <w:rPr>
                <w:rFonts w:hint="eastAsia" w:ascii="宋体" w:hAnsi="宋体"/>
                <w:snapToGrid w:val="0"/>
                <w:color w:val="000000" w:themeColor="text1"/>
                <w:kern w:val="0"/>
                <w:szCs w:val="21"/>
                <w14:textFill>
                  <w14:solidFill>
                    <w14:schemeClr w14:val="tx1"/>
                  </w14:solidFill>
                </w14:textFill>
              </w:rPr>
              <w:t>具体内容</w:t>
            </w:r>
          </w:p>
        </w:tc>
      </w:tr>
      <w:tr w14:paraId="7ACAC83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387" w:type="pct"/>
            <w:vMerge w:val="restart"/>
            <w:vAlign w:val="center"/>
          </w:tcPr>
          <w:p w14:paraId="64FC90D2">
            <w:pPr>
              <w:widowControl/>
              <w:overflowPunct w:val="0"/>
              <w:adjustRightInd w:val="0"/>
              <w:snapToGrid w:val="0"/>
              <w:spacing w:line="300" w:lineRule="exact"/>
              <w:jc w:val="center"/>
              <w:rPr>
                <w:rFonts w:hint="eastAsia" w:ascii="宋体" w:hAnsi="宋体"/>
                <w:snapToGrid w:val="0"/>
                <w:color w:val="000000" w:themeColor="text1"/>
                <w:kern w:val="0"/>
                <w:szCs w:val="21"/>
                <w14:textFill>
                  <w14:solidFill>
                    <w14:schemeClr w14:val="tx1"/>
                  </w14:solidFill>
                </w14:textFill>
              </w:rPr>
            </w:pPr>
            <w:r>
              <w:rPr>
                <w:rFonts w:hint="eastAsia" w:ascii="宋体" w:hAnsi="宋体"/>
                <w:snapToGrid w:val="0"/>
                <w:color w:val="000000" w:themeColor="text1"/>
                <w:kern w:val="0"/>
                <w:szCs w:val="21"/>
                <w14:textFill>
                  <w14:solidFill>
                    <w14:schemeClr w14:val="tx1"/>
                  </w14:solidFill>
                </w14:textFill>
              </w:rPr>
              <w:t>主体</w:t>
            </w:r>
          </w:p>
          <w:p w14:paraId="484CB78F">
            <w:pPr>
              <w:widowControl/>
              <w:overflowPunct w:val="0"/>
              <w:adjustRightInd w:val="0"/>
              <w:snapToGrid w:val="0"/>
              <w:spacing w:line="300" w:lineRule="exact"/>
              <w:jc w:val="center"/>
              <w:rPr>
                <w:rFonts w:hint="eastAsia" w:ascii="宋体" w:hAnsi="宋体"/>
                <w:snapToGrid w:val="0"/>
                <w:color w:val="000000" w:themeColor="text1"/>
                <w:kern w:val="0"/>
                <w:szCs w:val="21"/>
                <w14:textFill>
                  <w14:solidFill>
                    <w14:schemeClr w14:val="tx1"/>
                  </w14:solidFill>
                </w14:textFill>
              </w:rPr>
            </w:pPr>
            <w:r>
              <w:rPr>
                <w:rFonts w:hint="eastAsia" w:ascii="宋体" w:hAnsi="宋体"/>
                <w:snapToGrid w:val="0"/>
                <w:color w:val="000000" w:themeColor="text1"/>
                <w:kern w:val="0"/>
                <w:szCs w:val="21"/>
                <w14:textFill>
                  <w14:solidFill>
                    <w14:schemeClr w14:val="tx1"/>
                  </w14:solidFill>
                </w14:textFill>
              </w:rPr>
              <w:t>工程</w:t>
            </w:r>
          </w:p>
        </w:tc>
        <w:tc>
          <w:tcPr>
            <w:tcW w:w="425" w:type="pct"/>
            <w:tcBorders>
              <w:right w:val="single" w:color="auto" w:sz="4" w:space="0"/>
            </w:tcBorders>
            <w:vAlign w:val="center"/>
          </w:tcPr>
          <w:p w14:paraId="422AB8AC">
            <w:pPr>
              <w:adjustRightInd w:val="0"/>
              <w:snapToGrid w:val="0"/>
              <w:spacing w:line="300" w:lineRule="exact"/>
              <w:jc w:val="center"/>
              <w:rPr>
                <w:rFonts w:hint="eastAsia" w:ascii="宋体" w:hAnsi="宋体"/>
                <w:snapToGrid w:val="0"/>
                <w:color w:val="000000" w:themeColor="text1"/>
                <w:kern w:val="0"/>
                <w:szCs w:val="21"/>
                <w14:textFill>
                  <w14:solidFill>
                    <w14:schemeClr w14:val="tx1"/>
                  </w14:solidFill>
                </w14:textFill>
              </w:rPr>
            </w:pPr>
            <w:r>
              <w:rPr>
                <w:rFonts w:hint="eastAsia" w:ascii="宋体" w:hAnsi="宋体"/>
                <w:snapToGrid w:val="0"/>
                <w:color w:val="000000" w:themeColor="text1"/>
                <w:kern w:val="0"/>
                <w:szCs w:val="21"/>
                <w14:textFill>
                  <w14:solidFill>
                    <w14:schemeClr w14:val="tx1"/>
                  </w14:solidFill>
                </w14:textFill>
              </w:rPr>
              <w:t>采油井</w:t>
            </w:r>
          </w:p>
        </w:tc>
        <w:tc>
          <w:tcPr>
            <w:tcW w:w="4188" w:type="pct"/>
            <w:gridSpan w:val="2"/>
            <w:tcBorders>
              <w:left w:val="single" w:color="auto" w:sz="4" w:space="0"/>
            </w:tcBorders>
            <w:vAlign w:val="center"/>
          </w:tcPr>
          <w:p w14:paraId="7BFB8283">
            <w:pPr>
              <w:adjustRightInd w:val="0"/>
              <w:snapToGrid w:val="0"/>
              <w:spacing w:line="300" w:lineRule="exact"/>
              <w:rPr>
                <w:rFonts w:cs="宋体"/>
                <w:snapToGrid w:val="0"/>
                <w:color w:val="000000" w:themeColor="text1"/>
                <w:kern w:val="0"/>
                <w:szCs w:val="21"/>
                <w14:textFill>
                  <w14:solidFill>
                    <w14:schemeClr w14:val="tx1"/>
                  </w14:solidFill>
                </w14:textFill>
              </w:rPr>
            </w:pPr>
            <w:r>
              <w:rPr>
                <w:rFonts w:hint="eastAsia" w:ascii="宋体" w:hAnsi="宋体"/>
                <w:snapToGrid w:val="0"/>
                <w:color w:val="000000" w:themeColor="text1"/>
                <w:kern w:val="0"/>
                <w:szCs w:val="21"/>
                <w14:textFill>
                  <w14:solidFill>
                    <w14:schemeClr w14:val="tx1"/>
                  </w14:solidFill>
                </w14:textFill>
              </w:rPr>
              <w:t>页岩油井区现有408口采油井，</w:t>
            </w:r>
            <w:r>
              <w:rPr>
                <w:rFonts w:hint="eastAsia" w:ascii="宋体" w:hAnsi="宋体" w:cs="宋体"/>
                <w:color w:val="000000" w:themeColor="text1"/>
                <w14:textFill>
                  <w14:solidFill>
                    <w14:schemeClr w14:val="tx1"/>
                  </w14:solidFill>
                </w14:textFill>
              </w:rPr>
              <w:t>日产液量为9555</w:t>
            </w:r>
            <w:r>
              <w:rPr>
                <w:rFonts w:ascii="宋体" w:hAnsi="宋体" w:cs="宋体"/>
                <w:color w:val="000000" w:themeColor="text1"/>
                <w14:textFill>
                  <w14:solidFill>
                    <w14:schemeClr w14:val="tx1"/>
                  </w14:solidFill>
                </w14:textFill>
              </w:rPr>
              <w:t>t/d</w:t>
            </w:r>
            <w:r>
              <w:rPr>
                <w:rFonts w:hint="eastAsia" w:ascii="宋体" w:hAnsi="宋体" w:cs="宋体"/>
                <w:color w:val="000000" w:themeColor="text1"/>
                <w14:textFill>
                  <w14:solidFill>
                    <w14:schemeClr w14:val="tx1"/>
                  </w14:solidFill>
                </w14:textFill>
              </w:rPr>
              <w:t>，日产油量为4287</w:t>
            </w:r>
            <w:r>
              <w:rPr>
                <w:rFonts w:ascii="宋体" w:hAnsi="宋体" w:cs="宋体"/>
                <w:color w:val="000000" w:themeColor="text1"/>
                <w14:textFill>
                  <w14:solidFill>
                    <w14:schemeClr w14:val="tx1"/>
                  </w14:solidFill>
                </w14:textFill>
              </w:rPr>
              <w:t>t/d</w:t>
            </w:r>
            <w:r>
              <w:rPr>
                <w:rFonts w:hint="eastAsia" w:ascii="宋体" w:hAnsi="宋体" w:cs="宋体"/>
                <w:color w:val="000000" w:themeColor="text1"/>
                <w14:textFill>
                  <w14:solidFill>
                    <w14:schemeClr w14:val="tx1"/>
                  </w14:solidFill>
                </w14:textFill>
              </w:rPr>
              <w:t>，日产气量为8.13×</w:t>
            </w:r>
            <w:r>
              <w:rPr>
                <w:rFonts w:ascii="宋体" w:hAnsi="宋体" w:cs="宋体"/>
                <w:color w:val="000000" w:themeColor="text1"/>
                <w14:textFill>
                  <w14:solidFill>
                    <w14:schemeClr w14:val="tx1"/>
                  </w14:solidFill>
                </w14:textFill>
              </w:rPr>
              <w:t>10</w:t>
            </w:r>
            <w:r>
              <w:rPr>
                <w:rFonts w:ascii="宋体" w:hAnsi="宋体" w:cs="宋体"/>
                <w:color w:val="000000" w:themeColor="text1"/>
                <w:vertAlign w:val="superscript"/>
                <w14:textFill>
                  <w14:solidFill>
                    <w14:schemeClr w14:val="tx1"/>
                  </w14:solidFill>
                </w14:textFill>
              </w:rPr>
              <w:t>4</w:t>
            </w:r>
            <w:r>
              <w:rPr>
                <w:rFonts w:ascii="宋体" w:hAnsi="宋体" w:cs="宋体"/>
                <w:color w:val="000000" w:themeColor="text1"/>
                <w14:textFill>
                  <w14:solidFill>
                    <w14:schemeClr w14:val="tx1"/>
                  </w14:solidFill>
                </w14:textFill>
              </w:rPr>
              <w:t>m</w:t>
            </w:r>
            <w:r>
              <w:rPr>
                <w:rFonts w:ascii="宋体" w:hAnsi="宋体" w:cs="宋体"/>
                <w:color w:val="000000" w:themeColor="text1"/>
                <w:vertAlign w:val="superscript"/>
                <w14:textFill>
                  <w14:solidFill>
                    <w14:schemeClr w14:val="tx1"/>
                  </w14:solidFill>
                </w14:textFill>
              </w:rPr>
              <w:t>3</w:t>
            </w:r>
            <w:r>
              <w:rPr>
                <w:rFonts w:ascii="宋体" w:hAnsi="宋体" w:cs="宋体"/>
                <w:color w:val="000000" w:themeColor="text1"/>
                <w14:textFill>
                  <w14:solidFill>
                    <w14:schemeClr w14:val="tx1"/>
                  </w14:solidFill>
                </w14:textFill>
              </w:rPr>
              <w:t>/d</w:t>
            </w:r>
            <w:r>
              <w:rPr>
                <w:rFonts w:hint="eastAsia" w:ascii="宋体" w:hAnsi="宋体" w:cs="宋体"/>
                <w:color w:val="000000" w:themeColor="text1"/>
                <w14:textFill>
                  <w14:solidFill>
                    <w14:schemeClr w14:val="tx1"/>
                  </w14:solidFill>
                </w14:textFill>
              </w:rPr>
              <w:t>，日产采出水和压裂返排液量为5268m</w:t>
            </w:r>
            <w:r>
              <w:rPr>
                <w:rFonts w:hint="eastAsia" w:ascii="宋体" w:hAnsi="宋体" w:cs="宋体"/>
                <w:color w:val="000000" w:themeColor="text1"/>
                <w:vertAlign w:val="superscript"/>
                <w14:textFill>
                  <w14:solidFill>
                    <w14:schemeClr w14:val="tx1"/>
                  </w14:solidFill>
                </w14:textFill>
              </w:rPr>
              <w:t>3</w:t>
            </w:r>
            <w:r>
              <w:rPr>
                <w:rFonts w:hint="eastAsia" w:ascii="宋体" w:hAnsi="宋体" w:cs="宋体"/>
                <w:color w:val="000000" w:themeColor="text1"/>
                <w14:textFill>
                  <w14:solidFill>
                    <w14:schemeClr w14:val="tx1"/>
                  </w14:solidFill>
                </w14:textFill>
              </w:rPr>
              <w:t>/d</w:t>
            </w:r>
          </w:p>
        </w:tc>
      </w:tr>
      <w:tr w14:paraId="1823E36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387" w:type="pct"/>
            <w:vMerge w:val="continue"/>
            <w:vAlign w:val="center"/>
          </w:tcPr>
          <w:p w14:paraId="50708E52">
            <w:pPr>
              <w:widowControl/>
              <w:overflowPunct w:val="0"/>
              <w:adjustRightInd w:val="0"/>
              <w:snapToGrid w:val="0"/>
              <w:spacing w:line="300" w:lineRule="exact"/>
              <w:jc w:val="center"/>
              <w:rPr>
                <w:rFonts w:hint="eastAsia" w:ascii="宋体" w:hAnsi="宋体"/>
                <w:snapToGrid w:val="0"/>
                <w:color w:val="000000" w:themeColor="text1"/>
                <w:kern w:val="0"/>
                <w:szCs w:val="21"/>
                <w14:textFill>
                  <w14:solidFill>
                    <w14:schemeClr w14:val="tx1"/>
                  </w14:solidFill>
                </w14:textFill>
              </w:rPr>
            </w:pPr>
          </w:p>
        </w:tc>
        <w:tc>
          <w:tcPr>
            <w:tcW w:w="425" w:type="pct"/>
            <w:tcBorders>
              <w:right w:val="single" w:color="auto" w:sz="4" w:space="0"/>
            </w:tcBorders>
            <w:vAlign w:val="center"/>
          </w:tcPr>
          <w:p w14:paraId="0910C89E">
            <w:pPr>
              <w:adjustRightInd w:val="0"/>
              <w:snapToGrid w:val="0"/>
              <w:spacing w:line="300" w:lineRule="exact"/>
              <w:jc w:val="center"/>
              <w:rPr>
                <w:rFonts w:hint="eastAsia" w:ascii="宋体" w:hAnsi="宋体"/>
                <w:snapToGrid w:val="0"/>
                <w:color w:val="000000" w:themeColor="text1"/>
                <w:kern w:val="0"/>
                <w:szCs w:val="21"/>
                <w14:textFill>
                  <w14:solidFill>
                    <w14:schemeClr w14:val="tx1"/>
                  </w14:solidFill>
                </w14:textFill>
              </w:rPr>
            </w:pPr>
            <w:r>
              <w:rPr>
                <w:rFonts w:hint="eastAsia" w:ascii="宋体" w:hAnsi="宋体"/>
                <w:snapToGrid w:val="0"/>
                <w:color w:val="000000" w:themeColor="text1"/>
                <w:kern w:val="0"/>
                <w:szCs w:val="21"/>
                <w14:textFill>
                  <w14:solidFill>
                    <w14:schemeClr w14:val="tx1"/>
                  </w14:solidFill>
                </w14:textFill>
              </w:rPr>
              <w:t>集输管线</w:t>
            </w:r>
          </w:p>
        </w:tc>
        <w:tc>
          <w:tcPr>
            <w:tcW w:w="4188" w:type="pct"/>
            <w:gridSpan w:val="2"/>
            <w:tcBorders>
              <w:left w:val="single" w:color="auto" w:sz="4" w:space="0"/>
            </w:tcBorders>
            <w:vAlign w:val="center"/>
          </w:tcPr>
          <w:p w14:paraId="63ED0D4B">
            <w:pPr>
              <w:adjustRightInd w:val="0"/>
              <w:snapToGrid w:val="0"/>
              <w:spacing w:line="300" w:lineRule="exact"/>
              <w:rPr>
                <w:snapToGrid w:val="0"/>
                <w:color w:val="000000" w:themeColor="text1"/>
                <w:szCs w:val="21"/>
                <w14:textFill>
                  <w14:solidFill>
                    <w14:schemeClr w14:val="tx1"/>
                  </w14:solidFill>
                </w14:textFill>
              </w:rPr>
            </w:pPr>
            <w:r>
              <w:rPr>
                <w:rFonts w:hint="eastAsia" w:ascii="宋体" w:hAnsi="宋体"/>
                <w:snapToGrid w:val="0"/>
                <w:color w:val="000000" w:themeColor="text1"/>
                <w:kern w:val="0"/>
                <w:szCs w:val="21"/>
                <w14:textFill>
                  <w14:solidFill>
                    <w14:schemeClr w14:val="tx1"/>
                  </w14:solidFill>
                </w14:textFill>
              </w:rPr>
              <w:t>页岩油井区建设有集油干线（采用</w:t>
            </w:r>
            <w:r>
              <w:rPr>
                <w:rFonts w:ascii="宋体" w:hAnsi="宋体"/>
                <w:snapToGrid w:val="0"/>
                <w:color w:val="000000" w:themeColor="text1"/>
                <w:kern w:val="0"/>
                <w:szCs w:val="21"/>
                <w14:textFill>
                  <w14:solidFill>
                    <w14:schemeClr w14:val="tx1"/>
                  </w14:solidFill>
                </w14:textFill>
              </w:rPr>
              <w:t>3.5MPa</w:t>
            </w:r>
            <w:r>
              <w:rPr>
                <w:rFonts w:hint="eastAsia" w:ascii="宋体" w:hAnsi="宋体"/>
                <w:snapToGrid w:val="0"/>
                <w:color w:val="000000" w:themeColor="text1"/>
                <w:kern w:val="0"/>
                <w:szCs w:val="21"/>
                <w14:textFill>
                  <w14:solidFill>
                    <w14:schemeClr w14:val="tx1"/>
                  </w14:solidFill>
                </w14:textFill>
              </w:rPr>
              <w:t>玻璃钢管道，规格为</w:t>
            </w:r>
            <w:r>
              <w:rPr>
                <w:rFonts w:ascii="宋体" w:hAnsi="宋体"/>
                <w:snapToGrid w:val="0"/>
                <w:color w:val="000000" w:themeColor="text1"/>
                <w:kern w:val="0"/>
                <w:szCs w:val="21"/>
                <w14:textFill>
                  <w14:solidFill>
                    <w14:schemeClr w14:val="tx1"/>
                  </w14:solidFill>
                </w14:textFill>
              </w:rPr>
              <w:t>DN300</w:t>
            </w:r>
            <w:r>
              <w:rPr>
                <w:rFonts w:hint="eastAsia" w:ascii="宋体" w:hAnsi="宋体"/>
                <w:snapToGrid w:val="0"/>
                <w:color w:val="000000" w:themeColor="text1"/>
                <w:kern w:val="0"/>
                <w:szCs w:val="21"/>
                <w14:textFill>
                  <w14:solidFill>
                    <w14:schemeClr w14:val="tx1"/>
                  </w14:solidFill>
                </w14:textFill>
              </w:rPr>
              <w:t>、</w:t>
            </w:r>
            <w:r>
              <w:rPr>
                <w:rFonts w:ascii="宋体" w:hAnsi="宋体"/>
                <w:snapToGrid w:val="0"/>
                <w:color w:val="000000" w:themeColor="text1"/>
                <w:kern w:val="0"/>
                <w:szCs w:val="21"/>
                <w14:textFill>
                  <w14:solidFill>
                    <w14:schemeClr w14:val="tx1"/>
                  </w14:solidFill>
                </w14:textFill>
              </w:rPr>
              <w:t>DN250</w:t>
            </w:r>
            <w:r>
              <w:rPr>
                <w:rFonts w:hint="eastAsia" w:ascii="宋体" w:hAnsi="宋体"/>
                <w:snapToGrid w:val="0"/>
                <w:color w:val="000000" w:themeColor="text1"/>
                <w:kern w:val="0"/>
                <w:szCs w:val="21"/>
                <w14:textFill>
                  <w14:solidFill>
                    <w14:schemeClr w14:val="tx1"/>
                  </w14:solidFill>
                </w14:textFill>
              </w:rPr>
              <w:t>）、集油支线（采用</w:t>
            </w:r>
            <w:r>
              <w:rPr>
                <w:rFonts w:ascii="宋体" w:hAnsi="宋体"/>
                <w:snapToGrid w:val="0"/>
                <w:color w:val="000000" w:themeColor="text1"/>
                <w:kern w:val="0"/>
                <w:szCs w:val="21"/>
                <w14:textFill>
                  <w14:solidFill>
                    <w14:schemeClr w14:val="tx1"/>
                  </w14:solidFill>
                </w14:textFill>
              </w:rPr>
              <w:t>3.5MPa</w:t>
            </w:r>
            <w:r>
              <w:rPr>
                <w:rFonts w:hint="eastAsia" w:ascii="宋体" w:hAnsi="宋体"/>
                <w:snapToGrid w:val="0"/>
                <w:color w:val="000000" w:themeColor="text1"/>
                <w:kern w:val="0"/>
                <w:szCs w:val="21"/>
                <w14:textFill>
                  <w14:solidFill>
                    <w14:schemeClr w14:val="tx1"/>
                  </w14:solidFill>
                </w14:textFill>
              </w:rPr>
              <w:t>玻璃钢管道，规格为</w:t>
            </w:r>
            <w:r>
              <w:rPr>
                <w:rFonts w:ascii="宋体" w:hAnsi="宋体"/>
                <w:snapToGrid w:val="0"/>
                <w:color w:val="000000" w:themeColor="text1"/>
                <w:kern w:val="0"/>
                <w:szCs w:val="21"/>
                <w14:textFill>
                  <w14:solidFill>
                    <w14:schemeClr w14:val="tx1"/>
                  </w14:solidFill>
                </w14:textFill>
              </w:rPr>
              <w:t>DN200</w:t>
            </w:r>
            <w:r>
              <w:rPr>
                <w:rFonts w:hint="eastAsia" w:ascii="宋体" w:hAnsi="宋体"/>
                <w:snapToGrid w:val="0"/>
                <w:color w:val="000000" w:themeColor="text1"/>
                <w:kern w:val="0"/>
                <w:szCs w:val="21"/>
                <w14:textFill>
                  <w14:solidFill>
                    <w14:schemeClr w14:val="tx1"/>
                  </w14:solidFill>
                </w14:textFill>
              </w:rPr>
              <w:t>、</w:t>
            </w:r>
            <w:r>
              <w:rPr>
                <w:rFonts w:ascii="宋体" w:hAnsi="宋体"/>
                <w:snapToGrid w:val="0"/>
                <w:color w:val="000000" w:themeColor="text1"/>
                <w:kern w:val="0"/>
                <w:szCs w:val="21"/>
                <w14:textFill>
                  <w14:solidFill>
                    <w14:schemeClr w14:val="tx1"/>
                  </w14:solidFill>
                </w14:textFill>
              </w:rPr>
              <w:t>DN150</w:t>
            </w:r>
            <w:r>
              <w:rPr>
                <w:rFonts w:hint="eastAsia" w:ascii="宋体" w:hAnsi="宋体"/>
                <w:snapToGrid w:val="0"/>
                <w:color w:val="000000" w:themeColor="text1"/>
                <w:kern w:val="0"/>
                <w:szCs w:val="21"/>
                <w14:textFill>
                  <w14:solidFill>
                    <w14:schemeClr w14:val="tx1"/>
                  </w14:solidFill>
                </w14:textFill>
              </w:rPr>
              <w:t>、</w:t>
            </w:r>
            <w:r>
              <w:rPr>
                <w:rFonts w:ascii="宋体" w:hAnsi="宋体"/>
                <w:snapToGrid w:val="0"/>
                <w:color w:val="000000" w:themeColor="text1"/>
                <w:kern w:val="0"/>
                <w:szCs w:val="21"/>
                <w14:textFill>
                  <w14:solidFill>
                    <w14:schemeClr w14:val="tx1"/>
                  </w14:solidFill>
                </w14:textFill>
              </w:rPr>
              <w:t>DN100</w:t>
            </w:r>
            <w:r>
              <w:rPr>
                <w:rFonts w:hint="eastAsia" w:ascii="宋体" w:hAnsi="宋体"/>
                <w:snapToGrid w:val="0"/>
                <w:color w:val="000000" w:themeColor="text1"/>
                <w:kern w:val="0"/>
                <w:szCs w:val="21"/>
                <w14:textFill>
                  <w14:solidFill>
                    <w14:schemeClr w14:val="tx1"/>
                  </w14:solidFill>
                </w14:textFill>
              </w:rPr>
              <w:t>）、单井采油管线（采用</w:t>
            </w:r>
            <w:r>
              <w:rPr>
                <w:rFonts w:ascii="宋体" w:hAnsi="宋体"/>
                <w:snapToGrid w:val="0"/>
                <w:color w:val="000000" w:themeColor="text1"/>
                <w:kern w:val="0"/>
                <w:szCs w:val="21"/>
                <w14:textFill>
                  <w14:solidFill>
                    <w14:schemeClr w14:val="tx1"/>
                  </w14:solidFill>
                </w14:textFill>
              </w:rPr>
              <w:t>DN65 2.5MPa</w:t>
            </w:r>
            <w:r>
              <w:rPr>
                <w:rFonts w:hint="eastAsia" w:ascii="宋体" w:hAnsi="宋体"/>
                <w:snapToGrid w:val="0"/>
                <w:color w:val="000000" w:themeColor="text1"/>
                <w:kern w:val="0"/>
                <w:szCs w:val="21"/>
                <w14:textFill>
                  <w14:solidFill>
                    <w14:schemeClr w14:val="tx1"/>
                  </w14:solidFill>
                </w14:textFill>
              </w:rPr>
              <w:t>柔性复合管）。</w:t>
            </w:r>
          </w:p>
        </w:tc>
      </w:tr>
      <w:tr w14:paraId="7F572F3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387" w:type="pct"/>
            <w:vMerge w:val="continue"/>
            <w:vAlign w:val="center"/>
          </w:tcPr>
          <w:p w14:paraId="33D84C4D">
            <w:pPr>
              <w:widowControl/>
              <w:overflowPunct w:val="0"/>
              <w:adjustRightInd w:val="0"/>
              <w:snapToGrid w:val="0"/>
              <w:spacing w:line="300" w:lineRule="exact"/>
              <w:jc w:val="center"/>
              <w:rPr>
                <w:rFonts w:hint="eastAsia" w:ascii="宋体" w:hAnsi="宋体"/>
                <w:snapToGrid w:val="0"/>
                <w:color w:val="000000" w:themeColor="text1"/>
                <w:kern w:val="0"/>
                <w:szCs w:val="21"/>
                <w14:textFill>
                  <w14:solidFill>
                    <w14:schemeClr w14:val="tx1"/>
                  </w14:solidFill>
                </w14:textFill>
              </w:rPr>
            </w:pPr>
          </w:p>
        </w:tc>
        <w:tc>
          <w:tcPr>
            <w:tcW w:w="425" w:type="pct"/>
            <w:vMerge w:val="restart"/>
            <w:tcBorders>
              <w:right w:val="single" w:color="auto" w:sz="4" w:space="0"/>
            </w:tcBorders>
            <w:vAlign w:val="center"/>
          </w:tcPr>
          <w:p w14:paraId="0BF3E3F1">
            <w:pPr>
              <w:adjustRightInd w:val="0"/>
              <w:snapToGrid w:val="0"/>
              <w:spacing w:line="300" w:lineRule="exact"/>
              <w:jc w:val="center"/>
              <w:rPr>
                <w:rFonts w:hint="eastAsia" w:ascii="宋体" w:hAnsi="宋体"/>
                <w:snapToGrid w:val="0"/>
                <w:color w:val="000000" w:themeColor="text1"/>
                <w:kern w:val="0"/>
                <w:szCs w:val="21"/>
                <w14:textFill>
                  <w14:solidFill>
                    <w14:schemeClr w14:val="tx1"/>
                  </w14:solidFill>
                </w14:textFill>
              </w:rPr>
            </w:pPr>
            <w:r>
              <w:rPr>
                <w:rFonts w:hint="eastAsia" w:ascii="宋体" w:hAnsi="宋体"/>
                <w:snapToGrid w:val="0"/>
                <w:color w:val="000000" w:themeColor="text1"/>
                <w:kern w:val="0"/>
                <w:szCs w:val="21"/>
                <w14:textFill>
                  <w14:solidFill>
                    <w14:schemeClr w14:val="tx1"/>
                  </w14:solidFill>
                </w14:textFill>
              </w:rPr>
              <w:t>联合站</w:t>
            </w:r>
          </w:p>
        </w:tc>
        <w:tc>
          <w:tcPr>
            <w:tcW w:w="568" w:type="pct"/>
            <w:vMerge w:val="restart"/>
            <w:tcBorders>
              <w:left w:val="single" w:color="auto" w:sz="4" w:space="0"/>
            </w:tcBorders>
            <w:vAlign w:val="center"/>
          </w:tcPr>
          <w:p w14:paraId="267C5058">
            <w:pPr>
              <w:adjustRightInd w:val="0"/>
              <w:snapToGrid w:val="0"/>
              <w:spacing w:line="300" w:lineRule="exact"/>
              <w:jc w:val="center"/>
              <w:rPr>
                <w:rFonts w:hint="eastAsia" w:ascii="宋体" w:hAnsi="宋体"/>
                <w:snapToGrid w:val="0"/>
                <w:color w:val="000000" w:themeColor="text1"/>
                <w:kern w:val="0"/>
                <w:szCs w:val="21"/>
                <w14:textFill>
                  <w14:solidFill>
                    <w14:schemeClr w14:val="tx1"/>
                  </w14:solidFill>
                </w14:textFill>
              </w:rPr>
            </w:pPr>
            <w:r>
              <w:rPr>
                <w:rFonts w:hint="eastAsia" w:ascii="宋体" w:hAnsi="宋体"/>
                <w:snapToGrid w:val="0"/>
                <w:color w:val="000000" w:themeColor="text1"/>
                <w:kern w:val="0"/>
                <w:szCs w:val="21"/>
                <w14:textFill>
                  <w14:solidFill>
                    <w14:schemeClr w14:val="tx1"/>
                  </w14:solidFill>
                </w14:textFill>
              </w:rPr>
              <w:t>1座</w:t>
            </w:r>
          </w:p>
        </w:tc>
        <w:tc>
          <w:tcPr>
            <w:tcW w:w="3620" w:type="pct"/>
            <w:vAlign w:val="center"/>
          </w:tcPr>
          <w:p w14:paraId="0A2317DD">
            <w:pPr>
              <w:pStyle w:val="342"/>
              <w:overflowPunct w:val="0"/>
              <w:snapToGrid w:val="0"/>
              <w:spacing w:line="300" w:lineRule="exact"/>
              <w:jc w:val="both"/>
              <w:rPr>
                <w:snapToGrid w:val="0"/>
                <w:color w:val="000000" w:themeColor="text1"/>
                <w:sz w:val="21"/>
                <w:szCs w:val="21"/>
                <w14:textFill>
                  <w14:solidFill>
                    <w14:schemeClr w14:val="tx1"/>
                  </w14:solidFill>
                </w14:textFill>
              </w:rPr>
            </w:pPr>
            <w:r>
              <w:rPr>
                <w:rFonts w:hint="eastAsia"/>
                <w:snapToGrid w:val="0"/>
                <w:color w:val="000000" w:themeColor="text1"/>
                <w:sz w:val="21"/>
                <w:szCs w:val="21"/>
                <w14:textFill>
                  <w14:solidFill>
                    <w14:schemeClr w14:val="tx1"/>
                  </w14:solidFill>
                </w14:textFill>
              </w:rPr>
              <w:t>站内已建</w:t>
            </w:r>
            <w:r>
              <w:rPr>
                <w:rFonts w:hint="eastAsia"/>
                <w:color w:val="000000" w:themeColor="text1"/>
                <w:kern w:val="2"/>
                <w:sz w:val="21"/>
                <w:szCs w:val="21"/>
                <w14:textFill>
                  <w14:solidFill>
                    <w14:schemeClr w14:val="tx1"/>
                  </w14:solidFill>
                </w14:textFill>
              </w:rPr>
              <w:t>2列5</w:t>
            </w:r>
            <w:r>
              <w:rPr>
                <w:color w:val="000000" w:themeColor="text1"/>
                <w:kern w:val="2"/>
                <w:sz w:val="21"/>
                <w:szCs w:val="21"/>
                <w14:textFill>
                  <w14:solidFill>
                    <w14:schemeClr w14:val="tx1"/>
                  </w14:solidFill>
                </w14:textFill>
              </w:rPr>
              <w:t>0</w:t>
            </w:r>
            <w:r>
              <w:rPr>
                <w:rFonts w:hint="eastAsia"/>
                <w:color w:val="000000" w:themeColor="text1"/>
                <w:kern w:val="2"/>
                <w:sz w:val="21"/>
                <w:szCs w:val="21"/>
                <w14:textFill>
                  <w14:solidFill>
                    <w14:schemeClr w14:val="tx1"/>
                  </w14:solidFill>
                </w14:textFill>
              </w:rPr>
              <w:t>×</w:t>
            </w:r>
            <w:r>
              <w:rPr>
                <w:color w:val="000000" w:themeColor="text1"/>
                <w:kern w:val="2"/>
                <w:sz w:val="21"/>
                <w:szCs w:val="21"/>
                <w14:textFill>
                  <w14:solidFill>
                    <w14:schemeClr w14:val="tx1"/>
                  </w14:solidFill>
                </w14:textFill>
              </w:rPr>
              <w:t>10</w:t>
            </w:r>
            <w:r>
              <w:rPr>
                <w:color w:val="000000" w:themeColor="text1"/>
                <w:kern w:val="2"/>
                <w:sz w:val="21"/>
                <w:szCs w:val="21"/>
                <w:vertAlign w:val="superscript"/>
                <w14:textFill>
                  <w14:solidFill>
                    <w14:schemeClr w14:val="tx1"/>
                  </w14:solidFill>
                </w14:textFill>
              </w:rPr>
              <w:t>4</w:t>
            </w:r>
            <w:r>
              <w:rPr>
                <w:rFonts w:hint="eastAsia"/>
                <w:color w:val="000000" w:themeColor="text1"/>
                <w:kern w:val="2"/>
                <w:sz w:val="21"/>
                <w:szCs w:val="21"/>
                <w14:textFill>
                  <w14:solidFill>
                    <w14:schemeClr w14:val="tx1"/>
                  </w14:solidFill>
                </w14:textFill>
              </w:rPr>
              <w:t>t</w:t>
            </w:r>
            <w:r>
              <w:rPr>
                <w:color w:val="000000" w:themeColor="text1"/>
                <w:kern w:val="2"/>
                <w:sz w:val="21"/>
                <w:szCs w:val="21"/>
                <w14:textFill>
                  <w14:solidFill>
                    <w14:schemeClr w14:val="tx1"/>
                  </w14:solidFill>
                </w14:textFill>
              </w:rPr>
              <w:t>/a</w:t>
            </w:r>
            <w:r>
              <w:rPr>
                <w:rFonts w:hint="eastAsia"/>
                <w:color w:val="000000" w:themeColor="text1"/>
                <w:kern w:val="2"/>
                <w:sz w:val="21"/>
                <w:szCs w:val="21"/>
                <w14:textFill>
                  <w14:solidFill>
                    <w14:schemeClr w14:val="tx1"/>
                  </w14:solidFill>
                </w14:textFill>
              </w:rPr>
              <w:t>的原油处理系统，在建1列5</w:t>
            </w:r>
            <w:r>
              <w:rPr>
                <w:color w:val="000000" w:themeColor="text1"/>
                <w:kern w:val="2"/>
                <w:sz w:val="21"/>
                <w:szCs w:val="21"/>
                <w14:textFill>
                  <w14:solidFill>
                    <w14:schemeClr w14:val="tx1"/>
                  </w14:solidFill>
                </w14:textFill>
              </w:rPr>
              <w:t>0</w:t>
            </w:r>
            <w:r>
              <w:rPr>
                <w:rFonts w:hint="eastAsia"/>
                <w:color w:val="000000" w:themeColor="text1"/>
                <w:kern w:val="2"/>
                <w:sz w:val="21"/>
                <w:szCs w:val="21"/>
                <w14:textFill>
                  <w14:solidFill>
                    <w14:schemeClr w14:val="tx1"/>
                  </w14:solidFill>
                </w14:textFill>
              </w:rPr>
              <w:t>×</w:t>
            </w:r>
            <w:r>
              <w:rPr>
                <w:color w:val="000000" w:themeColor="text1"/>
                <w:kern w:val="2"/>
                <w:sz w:val="21"/>
                <w:szCs w:val="21"/>
                <w14:textFill>
                  <w14:solidFill>
                    <w14:schemeClr w14:val="tx1"/>
                  </w14:solidFill>
                </w14:textFill>
              </w:rPr>
              <w:t>10</w:t>
            </w:r>
            <w:r>
              <w:rPr>
                <w:color w:val="000000" w:themeColor="text1"/>
                <w:kern w:val="2"/>
                <w:sz w:val="21"/>
                <w:szCs w:val="21"/>
                <w:vertAlign w:val="superscript"/>
                <w14:textFill>
                  <w14:solidFill>
                    <w14:schemeClr w14:val="tx1"/>
                  </w14:solidFill>
                </w14:textFill>
              </w:rPr>
              <w:t>4</w:t>
            </w:r>
            <w:r>
              <w:rPr>
                <w:rFonts w:hint="eastAsia"/>
                <w:color w:val="000000" w:themeColor="text1"/>
                <w:kern w:val="2"/>
                <w:sz w:val="21"/>
                <w:szCs w:val="21"/>
                <w14:textFill>
                  <w14:solidFill>
                    <w14:schemeClr w14:val="tx1"/>
                  </w14:solidFill>
                </w14:textFill>
              </w:rPr>
              <w:t>t</w:t>
            </w:r>
            <w:r>
              <w:rPr>
                <w:color w:val="000000" w:themeColor="text1"/>
                <w:kern w:val="2"/>
                <w:sz w:val="21"/>
                <w:szCs w:val="21"/>
                <w14:textFill>
                  <w14:solidFill>
                    <w14:schemeClr w14:val="tx1"/>
                  </w14:solidFill>
                </w14:textFill>
              </w:rPr>
              <w:t>/a</w:t>
            </w:r>
            <w:r>
              <w:rPr>
                <w:rFonts w:hint="eastAsia"/>
                <w:color w:val="000000" w:themeColor="text1"/>
                <w:kern w:val="2"/>
                <w:sz w:val="21"/>
                <w:szCs w:val="21"/>
                <w14:textFill>
                  <w14:solidFill>
                    <w14:schemeClr w14:val="tx1"/>
                  </w14:solidFill>
                </w14:textFill>
              </w:rPr>
              <w:t>的原油处理系统，拟建一列5</w:t>
            </w:r>
            <w:r>
              <w:rPr>
                <w:color w:val="000000" w:themeColor="text1"/>
                <w:kern w:val="2"/>
                <w:sz w:val="21"/>
                <w:szCs w:val="21"/>
                <w14:textFill>
                  <w14:solidFill>
                    <w14:schemeClr w14:val="tx1"/>
                  </w14:solidFill>
                </w14:textFill>
              </w:rPr>
              <w:t>0</w:t>
            </w:r>
            <w:r>
              <w:rPr>
                <w:rFonts w:hint="eastAsia"/>
                <w:color w:val="000000" w:themeColor="text1"/>
                <w:kern w:val="2"/>
                <w:sz w:val="21"/>
                <w:szCs w:val="21"/>
                <w14:textFill>
                  <w14:solidFill>
                    <w14:schemeClr w14:val="tx1"/>
                  </w14:solidFill>
                </w14:textFill>
              </w:rPr>
              <w:t>×</w:t>
            </w:r>
            <w:r>
              <w:rPr>
                <w:color w:val="000000" w:themeColor="text1"/>
                <w:kern w:val="2"/>
                <w:sz w:val="21"/>
                <w:szCs w:val="21"/>
                <w14:textFill>
                  <w14:solidFill>
                    <w14:schemeClr w14:val="tx1"/>
                  </w14:solidFill>
                </w14:textFill>
              </w:rPr>
              <w:t>10</w:t>
            </w:r>
            <w:r>
              <w:rPr>
                <w:color w:val="000000" w:themeColor="text1"/>
                <w:kern w:val="2"/>
                <w:sz w:val="21"/>
                <w:szCs w:val="21"/>
                <w:vertAlign w:val="superscript"/>
                <w14:textFill>
                  <w14:solidFill>
                    <w14:schemeClr w14:val="tx1"/>
                  </w14:solidFill>
                </w14:textFill>
              </w:rPr>
              <w:t>4</w:t>
            </w:r>
            <w:r>
              <w:rPr>
                <w:rFonts w:hint="eastAsia"/>
                <w:color w:val="000000" w:themeColor="text1"/>
                <w:kern w:val="2"/>
                <w:sz w:val="21"/>
                <w:szCs w:val="21"/>
                <w14:textFill>
                  <w14:solidFill>
                    <w14:schemeClr w14:val="tx1"/>
                  </w14:solidFill>
                </w14:textFill>
              </w:rPr>
              <w:t>t</w:t>
            </w:r>
            <w:r>
              <w:rPr>
                <w:color w:val="000000" w:themeColor="text1"/>
                <w:kern w:val="2"/>
                <w:sz w:val="21"/>
                <w:szCs w:val="21"/>
                <w14:textFill>
                  <w14:solidFill>
                    <w14:schemeClr w14:val="tx1"/>
                  </w14:solidFill>
                </w14:textFill>
              </w:rPr>
              <w:t>/a</w:t>
            </w:r>
            <w:r>
              <w:rPr>
                <w:rFonts w:hint="eastAsia"/>
                <w:color w:val="000000" w:themeColor="text1"/>
                <w:kern w:val="2"/>
                <w:sz w:val="21"/>
                <w:szCs w:val="21"/>
                <w14:textFill>
                  <w14:solidFill>
                    <w14:schemeClr w14:val="tx1"/>
                  </w14:solidFill>
                </w14:textFill>
              </w:rPr>
              <w:t>的原油处理系统，总设计处理能力200×</w:t>
            </w:r>
            <w:r>
              <w:rPr>
                <w:color w:val="000000" w:themeColor="text1"/>
                <w:kern w:val="2"/>
                <w:sz w:val="21"/>
                <w:szCs w:val="21"/>
                <w14:textFill>
                  <w14:solidFill>
                    <w14:schemeClr w14:val="tx1"/>
                  </w14:solidFill>
                </w14:textFill>
              </w:rPr>
              <w:t>10</w:t>
            </w:r>
            <w:r>
              <w:rPr>
                <w:color w:val="000000" w:themeColor="text1"/>
                <w:kern w:val="2"/>
                <w:sz w:val="21"/>
                <w:szCs w:val="21"/>
                <w:vertAlign w:val="superscript"/>
                <w14:textFill>
                  <w14:solidFill>
                    <w14:schemeClr w14:val="tx1"/>
                  </w14:solidFill>
                </w14:textFill>
              </w:rPr>
              <w:t>4</w:t>
            </w:r>
            <w:r>
              <w:rPr>
                <w:rFonts w:hint="eastAsia"/>
                <w:color w:val="000000" w:themeColor="text1"/>
                <w:kern w:val="2"/>
                <w:sz w:val="21"/>
                <w:szCs w:val="21"/>
                <w14:textFill>
                  <w14:solidFill>
                    <w14:schemeClr w14:val="tx1"/>
                  </w14:solidFill>
                </w14:textFill>
              </w:rPr>
              <w:t>t</w:t>
            </w:r>
            <w:r>
              <w:rPr>
                <w:color w:val="000000" w:themeColor="text1"/>
                <w:kern w:val="2"/>
                <w:sz w:val="21"/>
                <w:szCs w:val="21"/>
                <w14:textFill>
                  <w14:solidFill>
                    <w14:schemeClr w14:val="tx1"/>
                  </w14:solidFill>
                </w14:textFill>
              </w:rPr>
              <w:t>/a</w:t>
            </w:r>
            <w:r>
              <w:rPr>
                <w:rFonts w:hint="eastAsia"/>
                <w:color w:val="000000" w:themeColor="text1"/>
                <w:kern w:val="2"/>
                <w:sz w:val="21"/>
                <w:szCs w:val="21"/>
                <w14:textFill>
                  <w14:solidFill>
                    <w14:schemeClr w14:val="tx1"/>
                  </w14:solidFill>
                </w14:textFill>
              </w:rPr>
              <w:t>，实际处理量为</w:t>
            </w:r>
            <w:bookmarkStart w:id="193" w:name="_Hlk173403119"/>
            <w:r>
              <w:rPr>
                <w:rFonts w:hint="eastAsia"/>
                <w:color w:val="000000" w:themeColor="text1"/>
                <w:kern w:val="2"/>
                <w:sz w:val="21"/>
                <w:szCs w:val="21"/>
                <w14:textFill>
                  <w14:solidFill>
                    <w14:schemeClr w14:val="tx1"/>
                  </w14:solidFill>
                </w14:textFill>
              </w:rPr>
              <w:t>141.47×</w:t>
            </w:r>
            <w:r>
              <w:rPr>
                <w:color w:val="000000" w:themeColor="text1"/>
                <w:kern w:val="2"/>
                <w:sz w:val="21"/>
                <w:szCs w:val="21"/>
                <w14:textFill>
                  <w14:solidFill>
                    <w14:schemeClr w14:val="tx1"/>
                  </w14:solidFill>
                </w14:textFill>
              </w:rPr>
              <w:t>10</w:t>
            </w:r>
            <w:r>
              <w:rPr>
                <w:color w:val="000000" w:themeColor="text1"/>
                <w:kern w:val="2"/>
                <w:sz w:val="21"/>
                <w:szCs w:val="21"/>
                <w:vertAlign w:val="superscript"/>
                <w14:textFill>
                  <w14:solidFill>
                    <w14:schemeClr w14:val="tx1"/>
                  </w14:solidFill>
                </w14:textFill>
              </w:rPr>
              <w:t>4</w:t>
            </w:r>
            <w:r>
              <w:rPr>
                <w:rFonts w:hint="eastAsia"/>
                <w:color w:val="000000" w:themeColor="text1"/>
                <w:kern w:val="2"/>
                <w:sz w:val="21"/>
                <w:szCs w:val="21"/>
                <w14:textFill>
                  <w14:solidFill>
                    <w14:schemeClr w14:val="tx1"/>
                  </w14:solidFill>
                </w14:textFill>
              </w:rPr>
              <w:t>t</w:t>
            </w:r>
            <w:r>
              <w:rPr>
                <w:color w:val="000000" w:themeColor="text1"/>
                <w:kern w:val="2"/>
                <w:sz w:val="21"/>
                <w:szCs w:val="21"/>
                <w14:textFill>
                  <w14:solidFill>
                    <w14:schemeClr w14:val="tx1"/>
                  </w14:solidFill>
                </w14:textFill>
              </w:rPr>
              <w:t>/a</w:t>
            </w:r>
            <w:bookmarkEnd w:id="193"/>
            <w:r>
              <w:rPr>
                <w:rFonts w:hint="eastAsia"/>
                <w:color w:val="000000" w:themeColor="text1"/>
                <w:kern w:val="2"/>
                <w:sz w:val="21"/>
                <w:szCs w:val="21"/>
                <w14:textFill>
                  <w14:solidFill>
                    <w14:schemeClr w14:val="tx1"/>
                  </w14:solidFill>
                </w14:textFill>
              </w:rPr>
              <w:t>，处理工艺选用“油气分离及原油脱水采用密闭流程，脱水工艺选择热化学沉降脱水和电化学处理组合脱水工艺”，现有4座4</w:t>
            </w:r>
            <w:r>
              <w:rPr>
                <w:color w:val="000000" w:themeColor="text1"/>
                <w:kern w:val="2"/>
                <w:sz w:val="21"/>
                <w:szCs w:val="21"/>
                <w14:textFill>
                  <w14:solidFill>
                    <w14:schemeClr w14:val="tx1"/>
                  </w14:solidFill>
                </w14:textFill>
              </w:rPr>
              <w:t>000</w:t>
            </w:r>
            <w:r>
              <w:rPr>
                <w:rFonts w:hint="eastAsia"/>
                <w:color w:val="000000" w:themeColor="text1"/>
                <w:kern w:val="2"/>
                <w:sz w:val="21"/>
                <w:szCs w:val="21"/>
                <w14:textFill>
                  <w14:solidFill>
                    <w14:schemeClr w14:val="tx1"/>
                  </w14:solidFill>
                </w14:textFill>
              </w:rPr>
              <w:t>m</w:t>
            </w:r>
            <w:r>
              <w:rPr>
                <w:color w:val="000000" w:themeColor="text1"/>
                <w:kern w:val="2"/>
                <w:sz w:val="21"/>
                <w:szCs w:val="21"/>
                <w:vertAlign w:val="superscript"/>
                <w14:textFill>
                  <w14:solidFill>
                    <w14:schemeClr w14:val="tx1"/>
                  </w14:solidFill>
                </w14:textFill>
              </w:rPr>
              <w:t>3</w:t>
            </w:r>
            <w:r>
              <w:rPr>
                <w:rFonts w:hint="eastAsia"/>
                <w:color w:val="000000" w:themeColor="text1"/>
                <w:kern w:val="2"/>
                <w:sz w:val="21"/>
                <w:szCs w:val="21"/>
                <w14:textFill>
                  <w14:solidFill>
                    <w14:schemeClr w14:val="tx1"/>
                  </w14:solidFill>
                </w14:textFill>
              </w:rPr>
              <w:t>的事故罐、2座1000m</w:t>
            </w:r>
            <w:r>
              <w:rPr>
                <w:rFonts w:hint="eastAsia"/>
                <w:color w:val="000000" w:themeColor="text1"/>
                <w:kern w:val="2"/>
                <w:sz w:val="21"/>
                <w:szCs w:val="21"/>
                <w:vertAlign w:val="superscript"/>
                <w14:textFill>
                  <w14:solidFill>
                    <w14:schemeClr w14:val="tx1"/>
                  </w14:solidFill>
                </w14:textFill>
              </w:rPr>
              <w:t>3</w:t>
            </w:r>
            <w:r>
              <w:rPr>
                <w:rFonts w:hint="eastAsia"/>
                <w:color w:val="000000" w:themeColor="text1"/>
                <w:kern w:val="2"/>
                <w:sz w:val="21"/>
                <w:szCs w:val="21"/>
                <w14:textFill>
                  <w14:solidFill>
                    <w14:schemeClr w14:val="tx1"/>
                  </w14:solidFill>
                </w14:textFill>
              </w:rPr>
              <w:t>的卸油缓冲罐、2座60m</w:t>
            </w:r>
            <w:r>
              <w:rPr>
                <w:rFonts w:hint="eastAsia"/>
                <w:color w:val="000000" w:themeColor="text1"/>
                <w:kern w:val="2"/>
                <w:sz w:val="21"/>
                <w:szCs w:val="21"/>
                <w:vertAlign w:val="superscript"/>
                <w14:textFill>
                  <w14:solidFill>
                    <w14:schemeClr w14:val="tx1"/>
                  </w14:solidFill>
                </w14:textFill>
              </w:rPr>
              <w:t>3</w:t>
            </w:r>
            <w:r>
              <w:rPr>
                <w:rFonts w:hint="eastAsia"/>
                <w:color w:val="000000" w:themeColor="text1"/>
                <w:kern w:val="2"/>
                <w:sz w:val="21"/>
                <w:szCs w:val="21"/>
                <w14:textFill>
                  <w14:solidFill>
                    <w14:schemeClr w14:val="tx1"/>
                  </w14:solidFill>
                </w14:textFill>
              </w:rPr>
              <w:t>卸油罐；原油加热采用锅炉系统，燃料为天然气。</w:t>
            </w:r>
          </w:p>
        </w:tc>
      </w:tr>
      <w:tr w14:paraId="0DF489A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387" w:type="pct"/>
            <w:vMerge w:val="continue"/>
            <w:vAlign w:val="center"/>
          </w:tcPr>
          <w:p w14:paraId="4EBBE23E">
            <w:pPr>
              <w:widowControl/>
              <w:overflowPunct w:val="0"/>
              <w:adjustRightInd w:val="0"/>
              <w:snapToGrid w:val="0"/>
              <w:spacing w:line="300" w:lineRule="exact"/>
              <w:jc w:val="center"/>
              <w:rPr>
                <w:rFonts w:hint="eastAsia" w:ascii="宋体" w:hAnsi="宋体"/>
                <w:snapToGrid w:val="0"/>
                <w:color w:val="000000" w:themeColor="text1"/>
                <w:kern w:val="0"/>
                <w:szCs w:val="21"/>
                <w14:textFill>
                  <w14:solidFill>
                    <w14:schemeClr w14:val="tx1"/>
                  </w14:solidFill>
                </w14:textFill>
              </w:rPr>
            </w:pPr>
          </w:p>
        </w:tc>
        <w:tc>
          <w:tcPr>
            <w:tcW w:w="425" w:type="pct"/>
            <w:vMerge w:val="continue"/>
            <w:tcBorders>
              <w:right w:val="single" w:color="auto" w:sz="4" w:space="0"/>
            </w:tcBorders>
            <w:vAlign w:val="center"/>
          </w:tcPr>
          <w:p w14:paraId="18E34F73">
            <w:pPr>
              <w:adjustRightInd w:val="0"/>
              <w:snapToGrid w:val="0"/>
              <w:spacing w:line="300" w:lineRule="exact"/>
              <w:jc w:val="center"/>
              <w:rPr>
                <w:rFonts w:hint="eastAsia" w:ascii="宋体" w:hAnsi="宋体"/>
                <w:snapToGrid w:val="0"/>
                <w:color w:val="000000" w:themeColor="text1"/>
                <w:kern w:val="0"/>
                <w:szCs w:val="21"/>
                <w14:textFill>
                  <w14:solidFill>
                    <w14:schemeClr w14:val="tx1"/>
                  </w14:solidFill>
                </w14:textFill>
              </w:rPr>
            </w:pPr>
          </w:p>
        </w:tc>
        <w:tc>
          <w:tcPr>
            <w:tcW w:w="568" w:type="pct"/>
            <w:vMerge w:val="continue"/>
            <w:tcBorders>
              <w:left w:val="single" w:color="auto" w:sz="4" w:space="0"/>
            </w:tcBorders>
            <w:vAlign w:val="center"/>
          </w:tcPr>
          <w:p w14:paraId="636BA9F8">
            <w:pPr>
              <w:adjustRightInd w:val="0"/>
              <w:snapToGrid w:val="0"/>
              <w:spacing w:line="300" w:lineRule="exact"/>
              <w:jc w:val="center"/>
              <w:rPr>
                <w:rFonts w:hint="eastAsia" w:ascii="宋体" w:hAnsi="宋体"/>
                <w:snapToGrid w:val="0"/>
                <w:color w:val="000000" w:themeColor="text1"/>
                <w:kern w:val="0"/>
                <w:szCs w:val="21"/>
                <w14:textFill>
                  <w14:solidFill>
                    <w14:schemeClr w14:val="tx1"/>
                  </w14:solidFill>
                </w14:textFill>
              </w:rPr>
            </w:pPr>
          </w:p>
        </w:tc>
        <w:tc>
          <w:tcPr>
            <w:tcW w:w="3620" w:type="pct"/>
            <w:vAlign w:val="center"/>
          </w:tcPr>
          <w:p w14:paraId="34647BF7">
            <w:pPr>
              <w:pStyle w:val="342"/>
              <w:overflowPunct w:val="0"/>
              <w:snapToGrid w:val="0"/>
              <w:spacing w:line="300" w:lineRule="exact"/>
              <w:jc w:val="both"/>
              <w:rPr>
                <w:snapToGrid w:val="0"/>
                <w:color w:val="000000" w:themeColor="text1"/>
                <w:sz w:val="21"/>
                <w:szCs w:val="21"/>
                <w14:textFill>
                  <w14:solidFill>
                    <w14:schemeClr w14:val="tx1"/>
                  </w14:solidFill>
                </w14:textFill>
              </w:rPr>
            </w:pPr>
            <w:r>
              <w:rPr>
                <w:rFonts w:hint="eastAsia"/>
                <w:color w:val="000000" w:themeColor="text1"/>
                <w:kern w:val="2"/>
                <w:sz w:val="21"/>
                <w:szCs w:val="21"/>
                <w14:textFill>
                  <w14:solidFill>
                    <w14:schemeClr w14:val="tx1"/>
                  </w14:solidFill>
                </w14:textFill>
              </w:rPr>
              <w:t>天然气处理规模3×10</w:t>
            </w:r>
            <w:r>
              <w:rPr>
                <w:rFonts w:hint="eastAsia"/>
                <w:color w:val="000000" w:themeColor="text1"/>
                <w:kern w:val="2"/>
                <w:sz w:val="21"/>
                <w:szCs w:val="21"/>
                <w:vertAlign w:val="superscript"/>
                <w14:textFill>
                  <w14:solidFill>
                    <w14:schemeClr w14:val="tx1"/>
                  </w14:solidFill>
                </w14:textFill>
              </w:rPr>
              <w:t>4</w:t>
            </w:r>
            <w:r>
              <w:rPr>
                <w:rFonts w:hint="eastAsia"/>
                <w:color w:val="000000" w:themeColor="text1"/>
                <w:kern w:val="2"/>
                <w:sz w:val="21"/>
                <w:szCs w:val="21"/>
                <w14:textFill>
                  <w14:solidFill>
                    <w14:schemeClr w14:val="tx1"/>
                  </w14:solidFill>
                </w14:textFill>
              </w:rPr>
              <w:t>m</w:t>
            </w:r>
            <w:r>
              <w:rPr>
                <w:rFonts w:hint="eastAsia"/>
                <w:color w:val="000000" w:themeColor="text1"/>
                <w:kern w:val="2"/>
                <w:sz w:val="21"/>
                <w:szCs w:val="21"/>
                <w:vertAlign w:val="superscript"/>
                <w14:textFill>
                  <w14:solidFill>
                    <w14:schemeClr w14:val="tx1"/>
                  </w14:solidFill>
                </w14:textFill>
              </w:rPr>
              <w:t>3</w:t>
            </w:r>
            <w:r>
              <w:rPr>
                <w:rFonts w:hint="eastAsia"/>
                <w:color w:val="000000" w:themeColor="text1"/>
                <w:kern w:val="2"/>
                <w:sz w:val="21"/>
                <w:szCs w:val="21"/>
                <w14:textFill>
                  <w14:solidFill>
                    <w14:schemeClr w14:val="tx1"/>
                  </w14:solidFill>
                </w14:textFill>
              </w:rPr>
              <w:t>/d，实际处理规模为</w:t>
            </w:r>
            <w:bookmarkStart w:id="194" w:name="_Hlk173403125"/>
            <w:r>
              <w:rPr>
                <w:rFonts w:hint="eastAsia"/>
                <w:color w:val="000000" w:themeColor="text1"/>
                <w:kern w:val="2"/>
                <w:sz w:val="21"/>
                <w:szCs w:val="21"/>
                <w14:textFill>
                  <w14:solidFill>
                    <w14:schemeClr w14:val="tx1"/>
                  </w14:solidFill>
                </w14:textFill>
              </w:rPr>
              <w:t>1.2×10</w:t>
            </w:r>
            <w:r>
              <w:rPr>
                <w:rFonts w:hint="eastAsia"/>
                <w:color w:val="000000" w:themeColor="text1"/>
                <w:kern w:val="2"/>
                <w:sz w:val="21"/>
                <w:szCs w:val="21"/>
                <w:vertAlign w:val="superscript"/>
                <w14:textFill>
                  <w14:solidFill>
                    <w14:schemeClr w14:val="tx1"/>
                  </w14:solidFill>
                </w14:textFill>
              </w:rPr>
              <w:t>4</w:t>
            </w:r>
            <w:r>
              <w:rPr>
                <w:rFonts w:hint="eastAsia"/>
                <w:color w:val="000000" w:themeColor="text1"/>
                <w:kern w:val="2"/>
                <w:sz w:val="21"/>
                <w:szCs w:val="21"/>
                <w14:textFill>
                  <w14:solidFill>
                    <w14:schemeClr w14:val="tx1"/>
                  </w14:solidFill>
                </w14:textFill>
              </w:rPr>
              <w:t>m</w:t>
            </w:r>
            <w:r>
              <w:rPr>
                <w:rFonts w:hint="eastAsia"/>
                <w:color w:val="000000" w:themeColor="text1"/>
                <w:kern w:val="2"/>
                <w:sz w:val="21"/>
                <w:szCs w:val="21"/>
                <w:vertAlign w:val="superscript"/>
                <w14:textFill>
                  <w14:solidFill>
                    <w14:schemeClr w14:val="tx1"/>
                  </w14:solidFill>
                </w14:textFill>
              </w:rPr>
              <w:t>3</w:t>
            </w:r>
            <w:r>
              <w:rPr>
                <w:rFonts w:hint="eastAsia"/>
                <w:color w:val="000000" w:themeColor="text1"/>
                <w:kern w:val="2"/>
                <w:sz w:val="21"/>
                <w:szCs w:val="21"/>
                <w14:textFill>
                  <w14:solidFill>
                    <w14:schemeClr w14:val="tx1"/>
                  </w14:solidFill>
                </w14:textFill>
              </w:rPr>
              <w:t>/d</w:t>
            </w:r>
            <w:bookmarkEnd w:id="194"/>
            <w:r>
              <w:rPr>
                <w:rFonts w:hint="eastAsia"/>
                <w:color w:val="000000" w:themeColor="text1"/>
                <w:kern w:val="2"/>
                <w:sz w:val="21"/>
                <w:szCs w:val="21"/>
                <w14:textFill>
                  <w14:solidFill>
                    <w14:schemeClr w14:val="tx1"/>
                  </w14:solidFill>
                </w14:textFill>
              </w:rPr>
              <w:t>，采用“脱硫+分子筛脱水</w:t>
            </w:r>
            <w:r>
              <w:rPr>
                <w:color w:val="000000" w:themeColor="text1"/>
                <w:kern w:val="2"/>
                <w:sz w:val="21"/>
                <w:szCs w:val="21"/>
                <w14:textFill>
                  <w14:solidFill>
                    <w14:schemeClr w14:val="tx1"/>
                  </w14:solidFill>
                </w14:textFill>
              </w:rPr>
              <w:t>+</w:t>
            </w:r>
            <w:r>
              <w:rPr>
                <w:rFonts w:hint="eastAsia"/>
                <w:color w:val="000000" w:themeColor="text1"/>
                <w:kern w:val="2"/>
                <w:sz w:val="21"/>
                <w:szCs w:val="21"/>
                <w14:textFill>
                  <w14:solidFill>
                    <w14:schemeClr w14:val="tx1"/>
                  </w14:solidFill>
                </w14:textFill>
              </w:rPr>
              <w:t>丙烷外冷”工艺，主要处理装置包括脱硫橇、进站分离橇、往复压缩机橇、分子筛脱水橇、外冷橇、低温分离轻烃回收橇、混烃装车橇、干气调压橇。</w:t>
            </w:r>
          </w:p>
        </w:tc>
      </w:tr>
      <w:tr w14:paraId="724EC03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387" w:type="pct"/>
            <w:vMerge w:val="continue"/>
            <w:vAlign w:val="center"/>
          </w:tcPr>
          <w:p w14:paraId="795173C0">
            <w:pPr>
              <w:widowControl/>
              <w:overflowPunct w:val="0"/>
              <w:adjustRightInd w:val="0"/>
              <w:snapToGrid w:val="0"/>
              <w:spacing w:line="300" w:lineRule="exact"/>
              <w:jc w:val="center"/>
              <w:rPr>
                <w:rFonts w:hint="eastAsia" w:ascii="宋体" w:hAnsi="宋体"/>
                <w:snapToGrid w:val="0"/>
                <w:color w:val="000000" w:themeColor="text1"/>
                <w:kern w:val="0"/>
                <w:szCs w:val="21"/>
                <w14:textFill>
                  <w14:solidFill>
                    <w14:schemeClr w14:val="tx1"/>
                  </w14:solidFill>
                </w14:textFill>
              </w:rPr>
            </w:pPr>
          </w:p>
        </w:tc>
        <w:tc>
          <w:tcPr>
            <w:tcW w:w="993" w:type="pct"/>
            <w:gridSpan w:val="2"/>
            <w:vAlign w:val="center"/>
          </w:tcPr>
          <w:p w14:paraId="44D293C5">
            <w:pPr>
              <w:adjustRightInd w:val="0"/>
              <w:snapToGrid w:val="0"/>
              <w:spacing w:line="300" w:lineRule="exact"/>
              <w:jc w:val="center"/>
              <w:rPr>
                <w:rFonts w:hint="eastAsia" w:ascii="宋体" w:hAnsi="宋体"/>
                <w:snapToGrid w:val="0"/>
                <w:color w:val="000000" w:themeColor="text1"/>
                <w:kern w:val="0"/>
                <w:szCs w:val="21"/>
                <w14:textFill>
                  <w14:solidFill>
                    <w14:schemeClr w14:val="tx1"/>
                  </w14:solidFill>
                </w14:textFill>
              </w:rPr>
            </w:pPr>
            <w:r>
              <w:rPr>
                <w:rFonts w:hint="eastAsia" w:ascii="宋体" w:hAnsi="宋体"/>
                <w:snapToGrid w:val="0"/>
                <w:color w:val="000000" w:themeColor="text1"/>
                <w:kern w:val="0"/>
                <w:szCs w:val="21"/>
                <w14:textFill>
                  <w14:solidFill>
                    <w14:schemeClr w14:val="tx1"/>
                  </w14:solidFill>
                </w14:textFill>
              </w:rPr>
              <w:t>外输系统</w:t>
            </w:r>
          </w:p>
        </w:tc>
        <w:tc>
          <w:tcPr>
            <w:tcW w:w="3620" w:type="pct"/>
            <w:vAlign w:val="center"/>
          </w:tcPr>
          <w:p w14:paraId="5D7BD2B1">
            <w:pPr>
              <w:pStyle w:val="342"/>
              <w:overflowPunct w:val="0"/>
              <w:snapToGrid w:val="0"/>
              <w:spacing w:line="300" w:lineRule="exact"/>
              <w:jc w:val="both"/>
              <w:rPr>
                <w:color w:val="000000" w:themeColor="text1"/>
                <w:kern w:val="2"/>
                <w:sz w:val="21"/>
                <w:szCs w:val="21"/>
                <w14:textFill>
                  <w14:solidFill>
                    <w14:schemeClr w14:val="tx1"/>
                  </w14:solidFill>
                </w14:textFill>
              </w:rPr>
            </w:pPr>
            <w:bookmarkStart w:id="195" w:name="OLE_LINK6"/>
            <w:r>
              <w:rPr>
                <w:rFonts w:hint="eastAsia"/>
                <w:color w:val="000000" w:themeColor="text1"/>
                <w:kern w:val="2"/>
                <w:sz w:val="21"/>
                <w:szCs w:val="21"/>
                <w14:textFill>
                  <w14:solidFill>
                    <w14:schemeClr w14:val="tx1"/>
                  </w14:solidFill>
                </w14:textFill>
              </w:rPr>
              <w:t>净化油外输系统设计规模为260×10</w:t>
            </w:r>
            <w:r>
              <w:rPr>
                <w:rFonts w:hint="eastAsia"/>
                <w:color w:val="000000" w:themeColor="text1"/>
                <w:kern w:val="2"/>
                <w:sz w:val="21"/>
                <w:szCs w:val="21"/>
                <w:vertAlign w:val="superscript"/>
                <w14:textFill>
                  <w14:solidFill>
                    <w14:schemeClr w14:val="tx1"/>
                  </w14:solidFill>
                </w14:textFill>
              </w:rPr>
              <w:t>4</w:t>
            </w:r>
            <w:r>
              <w:rPr>
                <w:rFonts w:hint="eastAsia"/>
                <w:color w:val="000000" w:themeColor="text1"/>
                <w:kern w:val="2"/>
                <w:sz w:val="21"/>
                <w:szCs w:val="21"/>
                <w14:textFill>
                  <w14:solidFill>
                    <w14:schemeClr w14:val="tx1"/>
                  </w14:solidFill>
                </w14:textFill>
              </w:rPr>
              <w:t>t/a，实际外输规模为178.47×</w:t>
            </w:r>
            <w:r>
              <w:rPr>
                <w:color w:val="000000" w:themeColor="text1"/>
                <w:kern w:val="2"/>
                <w:sz w:val="21"/>
                <w:szCs w:val="21"/>
                <w14:textFill>
                  <w14:solidFill>
                    <w14:schemeClr w14:val="tx1"/>
                  </w14:solidFill>
                </w14:textFill>
              </w:rPr>
              <w:t>10</w:t>
            </w:r>
            <w:r>
              <w:rPr>
                <w:color w:val="000000" w:themeColor="text1"/>
                <w:kern w:val="2"/>
                <w:sz w:val="21"/>
                <w:szCs w:val="21"/>
                <w:vertAlign w:val="superscript"/>
                <w14:textFill>
                  <w14:solidFill>
                    <w14:schemeClr w14:val="tx1"/>
                  </w14:solidFill>
                </w14:textFill>
              </w:rPr>
              <w:t>4</w:t>
            </w:r>
            <w:r>
              <w:rPr>
                <w:rFonts w:hint="eastAsia"/>
                <w:color w:val="000000" w:themeColor="text1"/>
                <w:kern w:val="2"/>
                <w:sz w:val="21"/>
                <w:szCs w:val="21"/>
                <w14:textFill>
                  <w14:solidFill>
                    <w14:schemeClr w14:val="tx1"/>
                  </w14:solidFill>
                </w14:textFill>
              </w:rPr>
              <w:t>t</w:t>
            </w:r>
            <w:r>
              <w:rPr>
                <w:color w:val="000000" w:themeColor="text1"/>
                <w:kern w:val="2"/>
                <w:sz w:val="21"/>
                <w:szCs w:val="21"/>
                <w14:textFill>
                  <w14:solidFill>
                    <w14:schemeClr w14:val="tx1"/>
                  </w14:solidFill>
                </w14:textFill>
              </w:rPr>
              <w:t>/a</w:t>
            </w:r>
            <w:r>
              <w:rPr>
                <w:rFonts w:hint="eastAsia"/>
                <w:color w:val="000000" w:themeColor="text1"/>
                <w:kern w:val="2"/>
                <w:sz w:val="21"/>
                <w:szCs w:val="21"/>
                <w14:textFill>
                  <w14:solidFill>
                    <w14:schemeClr w14:val="tx1"/>
                  </w14:solidFill>
                </w14:textFill>
              </w:rPr>
              <w:t>（包括页岩油联合站和吉祥联合站的净化油量），外输至北三台油库，外输管道规格为D273×7.1/L450M，长度为35km。</w:t>
            </w:r>
            <w:bookmarkEnd w:id="195"/>
          </w:p>
        </w:tc>
      </w:tr>
      <w:tr w14:paraId="2EBD51F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387" w:type="pct"/>
            <w:vMerge w:val="continue"/>
            <w:vAlign w:val="center"/>
          </w:tcPr>
          <w:p w14:paraId="5231F299">
            <w:pPr>
              <w:widowControl/>
              <w:overflowPunct w:val="0"/>
              <w:adjustRightInd w:val="0"/>
              <w:snapToGrid w:val="0"/>
              <w:spacing w:line="300" w:lineRule="exact"/>
              <w:jc w:val="center"/>
              <w:rPr>
                <w:rFonts w:hint="eastAsia" w:ascii="宋体" w:hAnsi="宋体"/>
                <w:snapToGrid w:val="0"/>
                <w:color w:val="000000" w:themeColor="text1"/>
                <w:kern w:val="0"/>
                <w:szCs w:val="21"/>
                <w14:textFill>
                  <w14:solidFill>
                    <w14:schemeClr w14:val="tx1"/>
                  </w14:solidFill>
                </w14:textFill>
              </w:rPr>
            </w:pPr>
          </w:p>
        </w:tc>
        <w:tc>
          <w:tcPr>
            <w:tcW w:w="425" w:type="pct"/>
            <w:tcBorders>
              <w:right w:val="single" w:color="auto" w:sz="4" w:space="0"/>
            </w:tcBorders>
            <w:vAlign w:val="center"/>
          </w:tcPr>
          <w:p w14:paraId="6134BCF5">
            <w:pPr>
              <w:adjustRightInd w:val="0"/>
              <w:snapToGrid w:val="0"/>
              <w:spacing w:line="300" w:lineRule="exact"/>
              <w:jc w:val="center"/>
              <w:rPr>
                <w:rFonts w:hint="eastAsia" w:ascii="宋体" w:hAnsi="宋体"/>
                <w:snapToGrid w:val="0"/>
                <w:color w:val="000000" w:themeColor="text1"/>
                <w:kern w:val="0"/>
                <w:szCs w:val="21"/>
                <w14:textFill>
                  <w14:solidFill>
                    <w14:schemeClr w14:val="tx1"/>
                  </w14:solidFill>
                </w14:textFill>
              </w:rPr>
            </w:pPr>
            <w:r>
              <w:rPr>
                <w:rFonts w:hint="eastAsia" w:ascii="宋体" w:hAnsi="宋体"/>
                <w:snapToGrid w:val="0"/>
                <w:color w:val="000000" w:themeColor="text1"/>
                <w:kern w:val="0"/>
                <w:szCs w:val="21"/>
                <w14:textFill>
                  <w14:solidFill>
                    <w14:schemeClr w14:val="tx1"/>
                  </w14:solidFill>
                </w14:textFill>
              </w:rPr>
              <w:t>混输泵站</w:t>
            </w:r>
          </w:p>
        </w:tc>
        <w:tc>
          <w:tcPr>
            <w:tcW w:w="568" w:type="pct"/>
            <w:tcBorders>
              <w:left w:val="single" w:color="auto" w:sz="4" w:space="0"/>
            </w:tcBorders>
            <w:vAlign w:val="center"/>
          </w:tcPr>
          <w:p w14:paraId="3F41F9FE">
            <w:pPr>
              <w:adjustRightInd w:val="0"/>
              <w:snapToGrid w:val="0"/>
              <w:spacing w:line="300" w:lineRule="exact"/>
              <w:jc w:val="center"/>
              <w:rPr>
                <w:rFonts w:hint="eastAsia" w:ascii="宋体" w:hAnsi="宋体"/>
                <w:snapToGrid w:val="0"/>
                <w:color w:val="000000" w:themeColor="text1"/>
                <w:kern w:val="0"/>
                <w:szCs w:val="21"/>
                <w14:textFill>
                  <w14:solidFill>
                    <w14:schemeClr w14:val="tx1"/>
                  </w14:solidFill>
                </w14:textFill>
              </w:rPr>
            </w:pPr>
            <w:r>
              <w:rPr>
                <w:rFonts w:hint="eastAsia" w:ascii="宋体" w:hAnsi="宋体"/>
                <w:snapToGrid w:val="0"/>
                <w:color w:val="000000" w:themeColor="text1"/>
                <w:kern w:val="0"/>
                <w:szCs w:val="21"/>
                <w14:textFill>
                  <w14:solidFill>
                    <w14:schemeClr w14:val="tx1"/>
                  </w14:solidFill>
                </w14:textFill>
              </w:rPr>
              <w:t>1座</w:t>
            </w:r>
          </w:p>
        </w:tc>
        <w:tc>
          <w:tcPr>
            <w:tcW w:w="3620" w:type="pct"/>
            <w:vAlign w:val="center"/>
          </w:tcPr>
          <w:p w14:paraId="612049D5">
            <w:pPr>
              <w:pStyle w:val="342"/>
              <w:overflowPunct w:val="0"/>
              <w:snapToGrid w:val="0"/>
              <w:spacing w:line="300" w:lineRule="exact"/>
              <w:jc w:val="both"/>
              <w:rPr>
                <w:color w:val="000000" w:themeColor="text1"/>
                <w:kern w:val="2"/>
                <w:sz w:val="21"/>
                <w:szCs w:val="21"/>
                <w14:textFill>
                  <w14:solidFill>
                    <w14:schemeClr w14:val="tx1"/>
                  </w14:solidFill>
                </w14:textFill>
              </w:rPr>
            </w:pPr>
            <w:r>
              <w:rPr>
                <w:rFonts w:hint="eastAsia"/>
                <w:color w:val="000000" w:themeColor="text1"/>
                <w:kern w:val="2"/>
                <w:sz w:val="21"/>
                <w:szCs w:val="21"/>
                <w14:textFill>
                  <w14:solidFill>
                    <w14:schemeClr w14:val="tx1"/>
                  </w14:solidFill>
                </w14:textFill>
              </w:rPr>
              <w:t>负责将页岩油井区东南部采油井来液混输至页岩油联合站，设计转液规模为</w:t>
            </w:r>
            <w:r>
              <w:rPr>
                <w:color w:val="000000" w:themeColor="text1"/>
                <w:kern w:val="2"/>
                <w:sz w:val="21"/>
                <w:szCs w:val="21"/>
                <w14:textFill>
                  <w14:solidFill>
                    <w14:schemeClr w14:val="tx1"/>
                  </w14:solidFill>
                </w14:textFill>
              </w:rPr>
              <w:t>100</w:t>
            </w:r>
            <w:r>
              <w:rPr>
                <w:rFonts w:hint="eastAsia"/>
                <w:color w:val="000000" w:themeColor="text1"/>
                <w:kern w:val="2"/>
                <w:sz w:val="21"/>
                <w:szCs w:val="21"/>
                <w14:textFill>
                  <w14:solidFill>
                    <w14:schemeClr w14:val="tx1"/>
                  </w14:solidFill>
                </w14:textFill>
              </w:rPr>
              <w:t>×</w:t>
            </w:r>
            <w:r>
              <w:rPr>
                <w:color w:val="000000" w:themeColor="text1"/>
                <w:kern w:val="2"/>
                <w:sz w:val="21"/>
                <w:szCs w:val="21"/>
                <w14:textFill>
                  <w14:solidFill>
                    <w14:schemeClr w14:val="tx1"/>
                  </w14:solidFill>
                </w14:textFill>
              </w:rPr>
              <w:t>10</w:t>
            </w:r>
            <w:r>
              <w:rPr>
                <w:color w:val="000000" w:themeColor="text1"/>
                <w:kern w:val="2"/>
                <w:sz w:val="21"/>
                <w:szCs w:val="21"/>
                <w:vertAlign w:val="superscript"/>
                <w14:textFill>
                  <w14:solidFill>
                    <w14:schemeClr w14:val="tx1"/>
                  </w14:solidFill>
                </w14:textFill>
              </w:rPr>
              <w:t>4</w:t>
            </w:r>
            <w:r>
              <w:rPr>
                <w:color w:val="000000" w:themeColor="text1"/>
                <w:kern w:val="2"/>
                <w:sz w:val="21"/>
                <w:szCs w:val="21"/>
                <w14:textFill>
                  <w14:solidFill>
                    <w14:schemeClr w14:val="tx1"/>
                  </w14:solidFill>
                </w14:textFill>
              </w:rPr>
              <w:t>t/a</w:t>
            </w:r>
            <w:r>
              <w:rPr>
                <w:rFonts w:hint="eastAsia"/>
                <w:color w:val="000000" w:themeColor="text1"/>
                <w:kern w:val="2"/>
                <w:sz w:val="21"/>
                <w:szCs w:val="21"/>
                <w14:textFill>
                  <w14:solidFill>
                    <w14:schemeClr w14:val="tx1"/>
                  </w14:solidFill>
                </w14:textFill>
              </w:rPr>
              <w:t>，实际转液规模5.92×1</w:t>
            </w:r>
            <w:r>
              <w:rPr>
                <w:color w:val="000000" w:themeColor="text1"/>
                <w:kern w:val="2"/>
                <w:sz w:val="21"/>
                <w:szCs w:val="21"/>
                <w14:textFill>
                  <w14:solidFill>
                    <w14:schemeClr w14:val="tx1"/>
                  </w14:solidFill>
                </w14:textFill>
              </w:rPr>
              <w:t>0</w:t>
            </w:r>
            <w:r>
              <w:rPr>
                <w:color w:val="000000" w:themeColor="text1"/>
                <w:kern w:val="2"/>
                <w:sz w:val="21"/>
                <w:szCs w:val="21"/>
                <w:vertAlign w:val="superscript"/>
                <w14:textFill>
                  <w14:solidFill>
                    <w14:schemeClr w14:val="tx1"/>
                  </w14:solidFill>
                </w14:textFill>
              </w:rPr>
              <w:t>4</w:t>
            </w:r>
            <w:r>
              <w:rPr>
                <w:rFonts w:hint="eastAsia"/>
                <w:color w:val="000000" w:themeColor="text1"/>
                <w:kern w:val="2"/>
                <w:sz w:val="21"/>
                <w:szCs w:val="21"/>
                <w14:textFill>
                  <w14:solidFill>
                    <w14:schemeClr w14:val="tx1"/>
                  </w14:solidFill>
                </w14:textFill>
              </w:rPr>
              <w:t>t</w:t>
            </w:r>
            <w:r>
              <w:rPr>
                <w:color w:val="000000" w:themeColor="text1"/>
                <w:kern w:val="2"/>
                <w:sz w:val="21"/>
                <w:szCs w:val="21"/>
                <w14:textFill>
                  <w14:solidFill>
                    <w14:schemeClr w14:val="tx1"/>
                  </w14:solidFill>
                </w14:textFill>
              </w:rPr>
              <w:t>/a。</w:t>
            </w:r>
          </w:p>
        </w:tc>
      </w:tr>
      <w:tr w14:paraId="704FB63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387" w:type="pct"/>
            <w:vMerge w:val="restart"/>
            <w:vAlign w:val="center"/>
          </w:tcPr>
          <w:p w14:paraId="2FFD2AB2">
            <w:pPr>
              <w:overflowPunct w:val="0"/>
              <w:adjustRightInd w:val="0"/>
              <w:snapToGrid w:val="0"/>
              <w:spacing w:line="300" w:lineRule="exact"/>
              <w:jc w:val="center"/>
              <w:rPr>
                <w:rFonts w:hint="eastAsia" w:ascii="宋体" w:hAnsi="宋体"/>
                <w:snapToGrid w:val="0"/>
                <w:color w:val="000000" w:themeColor="text1"/>
                <w:kern w:val="0"/>
                <w:szCs w:val="21"/>
                <w14:textFill>
                  <w14:solidFill>
                    <w14:schemeClr w14:val="tx1"/>
                  </w14:solidFill>
                </w14:textFill>
              </w:rPr>
            </w:pPr>
            <w:r>
              <w:rPr>
                <w:rFonts w:hint="eastAsia" w:ascii="宋体" w:hAnsi="宋体"/>
                <w:snapToGrid w:val="0"/>
                <w:color w:val="000000" w:themeColor="text1"/>
                <w:kern w:val="0"/>
                <w:szCs w:val="21"/>
                <w14:textFill>
                  <w14:solidFill>
                    <w14:schemeClr w14:val="tx1"/>
                  </w14:solidFill>
                </w14:textFill>
              </w:rPr>
              <w:t>公用</w:t>
            </w:r>
          </w:p>
          <w:p w14:paraId="1E5BC595">
            <w:pPr>
              <w:overflowPunct w:val="0"/>
              <w:adjustRightInd w:val="0"/>
              <w:snapToGrid w:val="0"/>
              <w:spacing w:line="300" w:lineRule="exact"/>
              <w:jc w:val="center"/>
              <w:rPr>
                <w:rFonts w:hint="eastAsia" w:ascii="宋体" w:hAnsi="宋体"/>
                <w:snapToGrid w:val="0"/>
                <w:color w:val="000000" w:themeColor="text1"/>
                <w:kern w:val="0"/>
                <w:szCs w:val="21"/>
                <w14:textFill>
                  <w14:solidFill>
                    <w14:schemeClr w14:val="tx1"/>
                  </w14:solidFill>
                </w14:textFill>
              </w:rPr>
            </w:pPr>
            <w:r>
              <w:rPr>
                <w:rFonts w:hint="eastAsia" w:ascii="宋体" w:hAnsi="宋体"/>
                <w:snapToGrid w:val="0"/>
                <w:color w:val="000000" w:themeColor="text1"/>
                <w:kern w:val="0"/>
                <w:szCs w:val="21"/>
                <w14:textFill>
                  <w14:solidFill>
                    <w14:schemeClr w14:val="tx1"/>
                  </w14:solidFill>
                </w14:textFill>
              </w:rPr>
              <w:t>工程</w:t>
            </w:r>
          </w:p>
        </w:tc>
        <w:tc>
          <w:tcPr>
            <w:tcW w:w="993" w:type="pct"/>
            <w:gridSpan w:val="2"/>
            <w:vMerge w:val="restart"/>
            <w:vAlign w:val="center"/>
          </w:tcPr>
          <w:p w14:paraId="41B7B394">
            <w:pPr>
              <w:adjustRightInd w:val="0"/>
              <w:snapToGrid w:val="0"/>
              <w:spacing w:line="300" w:lineRule="exact"/>
              <w:jc w:val="center"/>
              <w:rPr>
                <w:rFonts w:hint="eastAsia" w:ascii="宋体" w:hAnsi="宋体"/>
                <w:snapToGrid w:val="0"/>
                <w:color w:val="000000" w:themeColor="text1"/>
                <w:kern w:val="0"/>
                <w:szCs w:val="21"/>
                <w14:textFill>
                  <w14:solidFill>
                    <w14:schemeClr w14:val="tx1"/>
                  </w14:solidFill>
                </w14:textFill>
              </w:rPr>
            </w:pPr>
            <w:r>
              <w:rPr>
                <w:rFonts w:hint="eastAsia" w:ascii="宋体" w:hAnsi="宋体" w:cs="宋体"/>
                <w:snapToGrid w:val="0"/>
                <w:color w:val="000000" w:themeColor="text1"/>
                <w:kern w:val="0"/>
                <w:szCs w:val="21"/>
                <w14:textFill>
                  <w14:solidFill>
                    <w14:schemeClr w14:val="tx1"/>
                  </w14:solidFill>
                </w14:textFill>
              </w:rPr>
              <w:t>供配电</w:t>
            </w:r>
          </w:p>
        </w:tc>
        <w:tc>
          <w:tcPr>
            <w:tcW w:w="3620" w:type="pct"/>
            <w:vAlign w:val="center"/>
          </w:tcPr>
          <w:p w14:paraId="3F71156C">
            <w:pPr>
              <w:pStyle w:val="342"/>
              <w:overflowPunct w:val="0"/>
              <w:snapToGrid w:val="0"/>
              <w:spacing w:line="300" w:lineRule="exact"/>
              <w:jc w:val="both"/>
              <w:rPr>
                <w:color w:val="000000" w:themeColor="text1"/>
                <w:kern w:val="2"/>
                <w:sz w:val="21"/>
                <w:szCs w:val="21"/>
                <w14:textFill>
                  <w14:solidFill>
                    <w14:schemeClr w14:val="tx1"/>
                  </w14:solidFill>
                </w14:textFill>
              </w:rPr>
            </w:pPr>
            <w:r>
              <w:rPr>
                <w:rFonts w:hint="eastAsia"/>
                <w:color w:val="000000" w:themeColor="text1"/>
                <w:kern w:val="2"/>
                <w:sz w:val="21"/>
                <w:szCs w:val="21"/>
                <w14:textFill>
                  <w14:solidFill>
                    <w14:schemeClr w14:val="tx1"/>
                  </w14:solidFill>
                </w14:textFill>
              </w:rPr>
              <w:t>页岩油井区内已建变电站4座，分别为</w:t>
            </w:r>
            <w:r>
              <w:rPr>
                <w:color w:val="000000" w:themeColor="text1"/>
                <w:kern w:val="2"/>
                <w:sz w:val="21"/>
                <w:szCs w:val="21"/>
                <w14:textFill>
                  <w14:solidFill>
                    <w14:schemeClr w14:val="tx1"/>
                  </w14:solidFill>
                </w14:textFill>
              </w:rPr>
              <w:t>110kV</w:t>
            </w:r>
            <w:r>
              <w:rPr>
                <w:rFonts w:hint="eastAsia"/>
                <w:color w:val="000000" w:themeColor="text1"/>
                <w:kern w:val="2"/>
                <w:sz w:val="21"/>
                <w:szCs w:val="21"/>
                <w14:textFill>
                  <w14:solidFill>
                    <w14:schemeClr w14:val="tx1"/>
                  </w14:solidFill>
                </w14:textFill>
              </w:rPr>
              <w:t>团场变、</w:t>
            </w:r>
            <w:r>
              <w:rPr>
                <w:color w:val="000000" w:themeColor="text1"/>
                <w:kern w:val="2"/>
                <w:sz w:val="21"/>
                <w:szCs w:val="21"/>
                <w14:textFill>
                  <w14:solidFill>
                    <w14:schemeClr w14:val="tx1"/>
                  </w14:solidFill>
                </w14:textFill>
              </w:rPr>
              <w:t>35kV</w:t>
            </w:r>
            <w:r>
              <w:rPr>
                <w:rFonts w:hint="eastAsia"/>
                <w:color w:val="000000" w:themeColor="text1"/>
                <w:kern w:val="2"/>
                <w:sz w:val="21"/>
                <w:szCs w:val="21"/>
                <w14:textFill>
                  <w14:solidFill>
                    <w14:schemeClr w14:val="tx1"/>
                  </w14:solidFill>
                </w14:textFill>
              </w:rPr>
              <w:t>工业园变、</w:t>
            </w:r>
            <w:r>
              <w:rPr>
                <w:color w:val="000000" w:themeColor="text1"/>
                <w:kern w:val="2"/>
                <w:sz w:val="21"/>
                <w:szCs w:val="21"/>
                <w14:textFill>
                  <w14:solidFill>
                    <w14:schemeClr w14:val="tx1"/>
                  </w14:solidFill>
                </w14:textFill>
              </w:rPr>
              <w:t>35kV</w:t>
            </w:r>
            <w:r>
              <w:rPr>
                <w:rFonts w:hint="eastAsia"/>
                <w:color w:val="000000" w:themeColor="text1"/>
                <w:kern w:val="2"/>
                <w:sz w:val="21"/>
                <w:szCs w:val="21"/>
                <w14:textFill>
                  <w14:solidFill>
                    <w14:schemeClr w14:val="tx1"/>
                  </w14:solidFill>
                </w14:textFill>
              </w:rPr>
              <w:t>红旗中心变和</w:t>
            </w:r>
            <w:r>
              <w:rPr>
                <w:color w:val="000000" w:themeColor="text1"/>
                <w:kern w:val="2"/>
                <w:sz w:val="21"/>
                <w:szCs w:val="21"/>
                <w14:textFill>
                  <w14:solidFill>
                    <w14:schemeClr w14:val="tx1"/>
                  </w14:solidFill>
                </w14:textFill>
              </w:rPr>
              <w:t>110kV</w:t>
            </w:r>
            <w:r>
              <w:rPr>
                <w:rFonts w:hint="eastAsia"/>
                <w:color w:val="000000" w:themeColor="text1"/>
                <w:kern w:val="2"/>
                <w:sz w:val="21"/>
                <w:szCs w:val="21"/>
                <w14:textFill>
                  <w14:solidFill>
                    <w14:schemeClr w14:val="tx1"/>
                  </w14:solidFill>
                </w14:textFill>
              </w:rPr>
              <w:t>孚远变；</w:t>
            </w:r>
            <w:r>
              <w:rPr>
                <w:color w:val="000000" w:themeColor="text1"/>
                <w:kern w:val="2"/>
                <w:sz w:val="21"/>
                <w:szCs w:val="21"/>
                <w14:textFill>
                  <w14:solidFill>
                    <w14:schemeClr w14:val="tx1"/>
                  </w14:solidFill>
                </w14:textFill>
              </w:rPr>
              <w:t>35kV</w:t>
            </w:r>
            <w:r>
              <w:rPr>
                <w:rFonts w:hint="eastAsia"/>
                <w:color w:val="000000" w:themeColor="text1"/>
                <w:kern w:val="2"/>
                <w:sz w:val="21"/>
                <w:szCs w:val="21"/>
                <w14:textFill>
                  <w14:solidFill>
                    <w14:schemeClr w14:val="tx1"/>
                  </w14:solidFill>
                </w14:textFill>
              </w:rPr>
              <w:t>红旗中心变电站位于页岩油区块西北方约</w:t>
            </w:r>
            <w:r>
              <w:rPr>
                <w:color w:val="000000" w:themeColor="text1"/>
                <w:kern w:val="2"/>
                <w:sz w:val="21"/>
                <w:szCs w:val="21"/>
                <w14:textFill>
                  <w14:solidFill>
                    <w14:schemeClr w14:val="tx1"/>
                  </w14:solidFill>
                </w14:textFill>
              </w:rPr>
              <w:t>3km</w:t>
            </w:r>
            <w:r>
              <w:rPr>
                <w:rFonts w:hint="eastAsia"/>
                <w:color w:val="000000" w:themeColor="text1"/>
                <w:kern w:val="2"/>
                <w:sz w:val="21"/>
                <w:szCs w:val="21"/>
                <w14:textFill>
                  <w14:solidFill>
                    <w14:schemeClr w14:val="tx1"/>
                  </w14:solidFill>
                </w14:textFill>
              </w:rPr>
              <w:t>处，电压等级</w:t>
            </w:r>
            <w:r>
              <w:rPr>
                <w:color w:val="000000" w:themeColor="text1"/>
                <w:kern w:val="2"/>
                <w:sz w:val="21"/>
                <w:szCs w:val="21"/>
                <w14:textFill>
                  <w14:solidFill>
                    <w14:schemeClr w14:val="tx1"/>
                  </w14:solidFill>
                </w14:textFill>
              </w:rPr>
              <w:t>35/10kV</w:t>
            </w:r>
            <w:r>
              <w:rPr>
                <w:rFonts w:hint="eastAsia"/>
                <w:color w:val="000000" w:themeColor="text1"/>
                <w:kern w:val="2"/>
                <w:sz w:val="21"/>
                <w:szCs w:val="21"/>
                <w14:textFill>
                  <w14:solidFill>
                    <w14:schemeClr w14:val="tx1"/>
                  </w14:solidFill>
                </w14:textFill>
              </w:rPr>
              <w:t>，建设规模为主变容量为</w:t>
            </w:r>
            <w:r>
              <w:rPr>
                <w:color w:val="000000" w:themeColor="text1"/>
                <w:kern w:val="2"/>
                <w:sz w:val="21"/>
                <w:szCs w:val="21"/>
                <w14:textFill>
                  <w14:solidFill>
                    <w14:schemeClr w14:val="tx1"/>
                  </w14:solidFill>
                </w14:textFill>
              </w:rPr>
              <w:t>2</w:t>
            </w:r>
            <w:r>
              <w:rPr>
                <w:rFonts w:hint="eastAsia"/>
                <w:color w:val="000000" w:themeColor="text1"/>
                <w:kern w:val="2"/>
                <w:sz w:val="21"/>
                <w:szCs w:val="21"/>
                <w14:textFill>
                  <w14:solidFill>
                    <w14:schemeClr w14:val="tx1"/>
                  </w14:solidFill>
                </w14:textFill>
              </w:rPr>
              <w:t>×</w:t>
            </w:r>
            <w:r>
              <w:rPr>
                <w:color w:val="000000" w:themeColor="text1"/>
                <w:kern w:val="2"/>
                <w:sz w:val="21"/>
                <w:szCs w:val="21"/>
                <w14:textFill>
                  <w14:solidFill>
                    <w14:schemeClr w14:val="tx1"/>
                  </w14:solidFill>
                </w14:textFill>
              </w:rPr>
              <w:t>10MVA</w:t>
            </w:r>
            <w:r>
              <w:rPr>
                <w:rFonts w:hint="eastAsia"/>
                <w:color w:val="000000" w:themeColor="text1"/>
                <w:kern w:val="2"/>
                <w:sz w:val="21"/>
                <w:szCs w:val="21"/>
                <w14:textFill>
                  <w14:solidFill>
                    <w14:schemeClr w14:val="tx1"/>
                  </w14:solidFill>
                </w14:textFill>
              </w:rPr>
              <w:t>，最大供电能力约</w:t>
            </w:r>
            <w:r>
              <w:rPr>
                <w:color w:val="000000" w:themeColor="text1"/>
                <w:kern w:val="2"/>
                <w:sz w:val="21"/>
                <w:szCs w:val="21"/>
                <w14:textFill>
                  <w14:solidFill>
                    <w14:schemeClr w14:val="tx1"/>
                  </w14:solidFill>
                </w14:textFill>
              </w:rPr>
              <w:t>18MW</w:t>
            </w:r>
            <w:r>
              <w:rPr>
                <w:rFonts w:hint="eastAsia"/>
                <w:color w:val="000000" w:themeColor="text1"/>
                <w:kern w:val="2"/>
                <w:sz w:val="21"/>
                <w:szCs w:val="21"/>
                <w14:textFill>
                  <w14:solidFill>
                    <w14:schemeClr w14:val="tx1"/>
                  </w14:solidFill>
                </w14:textFill>
              </w:rPr>
              <w:t>；</w:t>
            </w:r>
            <w:r>
              <w:rPr>
                <w:color w:val="000000" w:themeColor="text1"/>
                <w:kern w:val="2"/>
                <w:sz w:val="21"/>
                <w:szCs w:val="21"/>
                <w14:textFill>
                  <w14:solidFill>
                    <w14:schemeClr w14:val="tx1"/>
                  </w14:solidFill>
                </w14:textFill>
              </w:rPr>
              <w:t>110kV</w:t>
            </w:r>
            <w:r>
              <w:rPr>
                <w:rFonts w:hint="eastAsia"/>
                <w:color w:val="000000" w:themeColor="text1"/>
                <w:kern w:val="2"/>
                <w:sz w:val="21"/>
                <w:szCs w:val="21"/>
                <w14:textFill>
                  <w14:solidFill>
                    <w14:schemeClr w14:val="tx1"/>
                  </w14:solidFill>
                </w14:textFill>
              </w:rPr>
              <w:t>孚远变电站位于页岩油联合站正南方向</w:t>
            </w:r>
            <w:r>
              <w:rPr>
                <w:color w:val="000000" w:themeColor="text1"/>
                <w:kern w:val="2"/>
                <w:sz w:val="21"/>
                <w:szCs w:val="21"/>
                <w14:textFill>
                  <w14:solidFill>
                    <w14:schemeClr w14:val="tx1"/>
                  </w14:solidFill>
                </w14:textFill>
              </w:rPr>
              <w:t>300m</w:t>
            </w:r>
            <w:r>
              <w:rPr>
                <w:rFonts w:hint="eastAsia"/>
                <w:color w:val="000000" w:themeColor="text1"/>
                <w:kern w:val="2"/>
                <w:sz w:val="21"/>
                <w:szCs w:val="21"/>
                <w14:textFill>
                  <w14:solidFill>
                    <w14:schemeClr w14:val="tx1"/>
                  </w14:solidFill>
                </w14:textFill>
              </w:rPr>
              <w:t>处，电压等级</w:t>
            </w:r>
            <w:r>
              <w:rPr>
                <w:color w:val="000000" w:themeColor="text1"/>
                <w:kern w:val="2"/>
                <w:sz w:val="21"/>
                <w:szCs w:val="21"/>
                <w14:textFill>
                  <w14:solidFill>
                    <w14:schemeClr w14:val="tx1"/>
                  </w14:solidFill>
                </w14:textFill>
              </w:rPr>
              <w:t>110/35/10kV</w:t>
            </w:r>
            <w:r>
              <w:rPr>
                <w:rFonts w:hint="eastAsia"/>
                <w:color w:val="000000" w:themeColor="text1"/>
                <w:kern w:val="2"/>
                <w:sz w:val="21"/>
                <w:szCs w:val="21"/>
                <w14:textFill>
                  <w14:solidFill>
                    <w14:schemeClr w14:val="tx1"/>
                  </w14:solidFill>
                </w14:textFill>
              </w:rPr>
              <w:t>，建设规模为主变容量为</w:t>
            </w:r>
            <w:r>
              <w:rPr>
                <w:color w:val="000000" w:themeColor="text1"/>
                <w:kern w:val="2"/>
                <w:sz w:val="21"/>
                <w:szCs w:val="21"/>
                <w14:textFill>
                  <w14:solidFill>
                    <w14:schemeClr w14:val="tx1"/>
                  </w14:solidFill>
                </w14:textFill>
              </w:rPr>
              <w:t>2</w:t>
            </w:r>
            <w:r>
              <w:rPr>
                <w:rFonts w:hint="eastAsia"/>
                <w:color w:val="000000" w:themeColor="text1"/>
                <w:kern w:val="2"/>
                <w:sz w:val="21"/>
                <w:szCs w:val="21"/>
                <w14:textFill>
                  <w14:solidFill>
                    <w14:schemeClr w14:val="tx1"/>
                  </w14:solidFill>
                </w14:textFill>
              </w:rPr>
              <w:t>×</w:t>
            </w:r>
            <w:r>
              <w:rPr>
                <w:color w:val="000000" w:themeColor="text1"/>
                <w:kern w:val="2"/>
                <w:sz w:val="21"/>
                <w:szCs w:val="21"/>
                <w14:textFill>
                  <w14:solidFill>
                    <w14:schemeClr w14:val="tx1"/>
                  </w14:solidFill>
                </w14:textFill>
              </w:rPr>
              <w:t>50MVA</w:t>
            </w:r>
            <w:r>
              <w:rPr>
                <w:rFonts w:hint="eastAsia"/>
                <w:color w:val="000000" w:themeColor="text1"/>
                <w:kern w:val="2"/>
                <w:sz w:val="21"/>
                <w:szCs w:val="21"/>
                <w14:textFill>
                  <w14:solidFill>
                    <w14:schemeClr w14:val="tx1"/>
                  </w14:solidFill>
                </w14:textFill>
              </w:rPr>
              <w:t>，最大供电能力约</w:t>
            </w:r>
            <w:r>
              <w:rPr>
                <w:color w:val="000000" w:themeColor="text1"/>
                <w:kern w:val="2"/>
                <w:sz w:val="21"/>
                <w:szCs w:val="21"/>
                <w14:textFill>
                  <w14:solidFill>
                    <w14:schemeClr w14:val="tx1"/>
                  </w14:solidFill>
                </w14:textFill>
              </w:rPr>
              <w:t>90MW</w:t>
            </w:r>
            <w:r>
              <w:rPr>
                <w:rFonts w:hint="eastAsia"/>
                <w:color w:val="000000" w:themeColor="text1"/>
                <w:kern w:val="2"/>
                <w:sz w:val="21"/>
                <w:szCs w:val="21"/>
                <w14:textFill>
                  <w14:solidFill>
                    <w14:schemeClr w14:val="tx1"/>
                  </w14:solidFill>
                </w14:textFill>
              </w:rPr>
              <w:t>。</w:t>
            </w:r>
          </w:p>
        </w:tc>
      </w:tr>
      <w:tr w14:paraId="247416F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387" w:type="pct"/>
            <w:vMerge w:val="continue"/>
            <w:vAlign w:val="center"/>
          </w:tcPr>
          <w:p w14:paraId="3D0E17A0">
            <w:pPr>
              <w:overflowPunct w:val="0"/>
              <w:adjustRightInd w:val="0"/>
              <w:snapToGrid w:val="0"/>
              <w:spacing w:line="300" w:lineRule="exact"/>
              <w:jc w:val="center"/>
              <w:rPr>
                <w:rFonts w:hint="eastAsia" w:ascii="宋体" w:hAnsi="宋体"/>
                <w:snapToGrid w:val="0"/>
                <w:color w:val="000000" w:themeColor="text1"/>
                <w:kern w:val="0"/>
                <w:szCs w:val="21"/>
                <w14:textFill>
                  <w14:solidFill>
                    <w14:schemeClr w14:val="tx1"/>
                  </w14:solidFill>
                </w14:textFill>
              </w:rPr>
            </w:pPr>
          </w:p>
        </w:tc>
        <w:tc>
          <w:tcPr>
            <w:tcW w:w="993" w:type="pct"/>
            <w:gridSpan w:val="2"/>
            <w:vMerge w:val="continue"/>
            <w:vAlign w:val="center"/>
          </w:tcPr>
          <w:p w14:paraId="60AD1F14">
            <w:pPr>
              <w:adjustRightInd w:val="0"/>
              <w:snapToGrid w:val="0"/>
              <w:spacing w:line="300" w:lineRule="exact"/>
              <w:jc w:val="center"/>
              <w:rPr>
                <w:rFonts w:hint="eastAsia" w:ascii="宋体" w:hAnsi="宋体" w:cs="宋体"/>
                <w:snapToGrid w:val="0"/>
                <w:color w:val="000000" w:themeColor="text1"/>
                <w:kern w:val="0"/>
                <w:szCs w:val="21"/>
                <w14:textFill>
                  <w14:solidFill>
                    <w14:schemeClr w14:val="tx1"/>
                  </w14:solidFill>
                </w14:textFill>
              </w:rPr>
            </w:pPr>
          </w:p>
        </w:tc>
        <w:tc>
          <w:tcPr>
            <w:tcW w:w="3620" w:type="pct"/>
            <w:vAlign w:val="center"/>
          </w:tcPr>
          <w:p w14:paraId="6C8E26D1">
            <w:pPr>
              <w:pStyle w:val="342"/>
              <w:overflowPunct w:val="0"/>
              <w:snapToGrid w:val="0"/>
              <w:spacing w:line="300" w:lineRule="exact"/>
              <w:jc w:val="both"/>
              <w:rPr>
                <w:color w:val="000000" w:themeColor="text1"/>
                <w:kern w:val="2"/>
                <w:sz w:val="21"/>
                <w:szCs w:val="21"/>
                <w14:textFill>
                  <w14:solidFill>
                    <w14:schemeClr w14:val="tx1"/>
                  </w14:solidFill>
                </w14:textFill>
              </w:rPr>
            </w:pPr>
            <w:r>
              <w:rPr>
                <w:rFonts w:hint="eastAsia"/>
                <w:color w:val="000000" w:themeColor="text1"/>
                <w:kern w:val="2"/>
                <w:sz w:val="21"/>
                <w:szCs w:val="21"/>
                <w14:textFill>
                  <w14:solidFill>
                    <w14:schemeClr w14:val="tx1"/>
                  </w14:solidFill>
                </w14:textFill>
              </w:rPr>
              <w:t>页岩油联合站属于110孚远变的供电范围，站内建有中心变配电室</w:t>
            </w:r>
            <w:r>
              <w:rPr>
                <w:color w:val="000000" w:themeColor="text1"/>
                <w:kern w:val="2"/>
                <w:sz w:val="21"/>
                <w:szCs w:val="21"/>
                <w14:textFill>
                  <w14:solidFill>
                    <w14:schemeClr w14:val="tx1"/>
                  </w14:solidFill>
                </w14:textFill>
              </w:rPr>
              <w:t>1</w:t>
            </w:r>
            <w:r>
              <w:rPr>
                <w:rFonts w:hint="eastAsia"/>
                <w:color w:val="000000" w:themeColor="text1"/>
                <w:kern w:val="2"/>
                <w:sz w:val="21"/>
                <w:szCs w:val="21"/>
                <w14:textFill>
                  <w14:solidFill>
                    <w14:schemeClr w14:val="tx1"/>
                  </w14:solidFill>
                </w14:textFill>
              </w:rPr>
              <w:t>座，内设</w:t>
            </w:r>
            <w:r>
              <w:rPr>
                <w:color w:val="000000" w:themeColor="text1"/>
                <w:kern w:val="2"/>
                <w:sz w:val="21"/>
                <w:szCs w:val="21"/>
                <w14:textFill>
                  <w14:solidFill>
                    <w14:schemeClr w14:val="tx1"/>
                  </w14:solidFill>
                </w14:textFill>
              </w:rPr>
              <w:t>10kV</w:t>
            </w:r>
            <w:r>
              <w:rPr>
                <w:rFonts w:hint="eastAsia"/>
                <w:color w:val="000000" w:themeColor="text1"/>
                <w:kern w:val="2"/>
                <w:sz w:val="21"/>
                <w:szCs w:val="21"/>
                <w14:textFill>
                  <w14:solidFill>
                    <w14:schemeClr w14:val="tx1"/>
                  </w14:solidFill>
                </w14:textFill>
              </w:rPr>
              <w:t>配电室</w:t>
            </w:r>
            <w:r>
              <w:rPr>
                <w:color w:val="000000" w:themeColor="text1"/>
                <w:kern w:val="2"/>
                <w:sz w:val="21"/>
                <w:szCs w:val="21"/>
                <w14:textFill>
                  <w14:solidFill>
                    <w14:schemeClr w14:val="tx1"/>
                  </w14:solidFill>
                </w14:textFill>
              </w:rPr>
              <w:t>1</w:t>
            </w:r>
            <w:r>
              <w:rPr>
                <w:rFonts w:hint="eastAsia"/>
                <w:color w:val="000000" w:themeColor="text1"/>
                <w:kern w:val="2"/>
                <w:sz w:val="21"/>
                <w:szCs w:val="21"/>
                <w14:textFill>
                  <w14:solidFill>
                    <w14:schemeClr w14:val="tx1"/>
                  </w14:solidFill>
                </w14:textFill>
              </w:rPr>
              <w:t>间、变压器室</w:t>
            </w:r>
            <w:r>
              <w:rPr>
                <w:color w:val="000000" w:themeColor="text1"/>
                <w:kern w:val="2"/>
                <w:sz w:val="21"/>
                <w:szCs w:val="21"/>
                <w14:textFill>
                  <w14:solidFill>
                    <w14:schemeClr w14:val="tx1"/>
                  </w14:solidFill>
                </w14:textFill>
              </w:rPr>
              <w:t>3</w:t>
            </w:r>
            <w:r>
              <w:rPr>
                <w:rFonts w:hint="eastAsia"/>
                <w:color w:val="000000" w:themeColor="text1"/>
                <w:kern w:val="2"/>
                <w:sz w:val="21"/>
                <w:szCs w:val="21"/>
                <w14:textFill>
                  <w14:solidFill>
                    <w14:schemeClr w14:val="tx1"/>
                  </w14:solidFill>
                </w14:textFill>
              </w:rPr>
              <w:t>间、低压配电室</w:t>
            </w:r>
            <w:r>
              <w:rPr>
                <w:color w:val="000000" w:themeColor="text1"/>
                <w:kern w:val="2"/>
                <w:sz w:val="21"/>
                <w:szCs w:val="21"/>
                <w14:textFill>
                  <w14:solidFill>
                    <w14:schemeClr w14:val="tx1"/>
                  </w14:solidFill>
                </w14:textFill>
              </w:rPr>
              <w:t>1</w:t>
            </w:r>
            <w:r>
              <w:rPr>
                <w:rFonts w:hint="eastAsia"/>
                <w:color w:val="000000" w:themeColor="text1"/>
                <w:kern w:val="2"/>
                <w:sz w:val="21"/>
                <w:szCs w:val="21"/>
                <w14:textFill>
                  <w14:solidFill>
                    <w14:schemeClr w14:val="tx1"/>
                  </w14:solidFill>
                </w14:textFill>
              </w:rPr>
              <w:t>间及直流室</w:t>
            </w:r>
            <w:r>
              <w:rPr>
                <w:color w:val="000000" w:themeColor="text1"/>
                <w:kern w:val="2"/>
                <w:sz w:val="21"/>
                <w:szCs w:val="21"/>
                <w14:textFill>
                  <w14:solidFill>
                    <w14:schemeClr w14:val="tx1"/>
                  </w14:solidFill>
                </w14:textFill>
              </w:rPr>
              <w:t>1</w:t>
            </w:r>
            <w:r>
              <w:rPr>
                <w:rFonts w:hint="eastAsia"/>
                <w:color w:val="000000" w:themeColor="text1"/>
                <w:kern w:val="2"/>
                <w:sz w:val="21"/>
                <w:szCs w:val="21"/>
                <w14:textFill>
                  <w14:solidFill>
                    <w14:schemeClr w14:val="tx1"/>
                  </w14:solidFill>
                </w14:textFill>
              </w:rPr>
              <w:t>间。</w:t>
            </w:r>
          </w:p>
        </w:tc>
      </w:tr>
      <w:tr w14:paraId="23557DD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387" w:type="pct"/>
            <w:vMerge w:val="continue"/>
            <w:vAlign w:val="center"/>
          </w:tcPr>
          <w:p w14:paraId="14A2B384">
            <w:pPr>
              <w:overflowPunct w:val="0"/>
              <w:adjustRightInd w:val="0"/>
              <w:snapToGrid w:val="0"/>
              <w:spacing w:line="300" w:lineRule="exact"/>
              <w:jc w:val="center"/>
              <w:rPr>
                <w:rFonts w:hint="eastAsia" w:ascii="宋体" w:hAnsi="宋体"/>
                <w:snapToGrid w:val="0"/>
                <w:color w:val="000000" w:themeColor="text1"/>
                <w:kern w:val="0"/>
                <w:szCs w:val="21"/>
                <w14:textFill>
                  <w14:solidFill>
                    <w14:schemeClr w14:val="tx1"/>
                  </w14:solidFill>
                </w14:textFill>
              </w:rPr>
            </w:pPr>
          </w:p>
        </w:tc>
        <w:tc>
          <w:tcPr>
            <w:tcW w:w="993" w:type="pct"/>
            <w:gridSpan w:val="2"/>
            <w:vMerge w:val="restart"/>
            <w:vAlign w:val="center"/>
          </w:tcPr>
          <w:p w14:paraId="40CD8CFE">
            <w:pPr>
              <w:pStyle w:val="342"/>
              <w:overflowPunct w:val="0"/>
              <w:snapToGrid w:val="0"/>
              <w:spacing w:line="300" w:lineRule="exact"/>
              <w:rPr>
                <w:color w:val="000000" w:themeColor="text1"/>
                <w:kern w:val="2"/>
                <w:sz w:val="21"/>
                <w:szCs w:val="21"/>
                <w14:textFill>
                  <w14:solidFill>
                    <w14:schemeClr w14:val="tx1"/>
                  </w14:solidFill>
                </w14:textFill>
              </w:rPr>
            </w:pPr>
            <w:r>
              <w:rPr>
                <w:rFonts w:hint="eastAsia"/>
                <w:color w:val="000000" w:themeColor="text1"/>
                <w:kern w:val="2"/>
                <w:sz w:val="21"/>
                <w:szCs w:val="21"/>
                <w14:textFill>
                  <w14:solidFill>
                    <w14:schemeClr w14:val="tx1"/>
                  </w14:solidFill>
                </w14:textFill>
              </w:rPr>
              <w:t>仪表自动化</w:t>
            </w:r>
          </w:p>
        </w:tc>
        <w:tc>
          <w:tcPr>
            <w:tcW w:w="3620" w:type="pct"/>
            <w:vAlign w:val="center"/>
          </w:tcPr>
          <w:p w14:paraId="28A6D566">
            <w:pPr>
              <w:pStyle w:val="342"/>
              <w:overflowPunct w:val="0"/>
              <w:snapToGrid w:val="0"/>
              <w:spacing w:line="300" w:lineRule="exact"/>
              <w:jc w:val="both"/>
              <w:rPr>
                <w:color w:val="000000" w:themeColor="text1"/>
                <w:kern w:val="2"/>
                <w:sz w:val="21"/>
                <w:szCs w:val="21"/>
                <w14:textFill>
                  <w14:solidFill>
                    <w14:schemeClr w14:val="tx1"/>
                  </w14:solidFill>
                </w14:textFill>
              </w:rPr>
            </w:pPr>
            <w:r>
              <w:rPr>
                <w:rFonts w:hint="eastAsia"/>
                <w:color w:val="000000" w:themeColor="text1"/>
                <w:kern w:val="2"/>
                <w:sz w:val="21"/>
                <w:szCs w:val="21"/>
                <w14:textFill>
                  <w14:solidFill>
                    <w14:schemeClr w14:val="tx1"/>
                  </w14:solidFill>
                </w14:textFill>
              </w:rPr>
              <w:t>页岩油井区采油井已建自动化，井口配置“</w:t>
            </w:r>
            <w:r>
              <w:rPr>
                <w:color w:val="000000" w:themeColor="text1"/>
                <w:kern w:val="2"/>
                <w:sz w:val="21"/>
                <w:szCs w:val="21"/>
                <w14:textFill>
                  <w14:solidFill>
                    <w14:schemeClr w14:val="tx1"/>
                  </w14:solidFill>
                </w14:textFill>
              </w:rPr>
              <w:t>LoRa+</w:t>
            </w:r>
            <w:r>
              <w:rPr>
                <w:rFonts w:hint="eastAsia"/>
                <w:color w:val="000000" w:themeColor="text1"/>
                <w:kern w:val="2"/>
                <w:sz w:val="21"/>
                <w:szCs w:val="21"/>
                <w14:textFill>
                  <w14:solidFill>
                    <w14:schemeClr w14:val="tx1"/>
                  </w14:solidFill>
                </w14:textFill>
              </w:rPr>
              <w:t>”无线网关，采油平台无线仪表数据经无线网关汇聚后再通过</w:t>
            </w:r>
            <w:r>
              <w:rPr>
                <w:color w:val="000000" w:themeColor="text1"/>
                <w:kern w:val="2"/>
                <w:sz w:val="21"/>
                <w:szCs w:val="21"/>
                <w14:textFill>
                  <w14:solidFill>
                    <w14:schemeClr w14:val="tx1"/>
                  </w14:solidFill>
                </w14:textFill>
              </w:rPr>
              <w:t>5.8GHz</w:t>
            </w:r>
            <w:r>
              <w:rPr>
                <w:rFonts w:hint="eastAsia"/>
                <w:color w:val="000000" w:themeColor="text1"/>
                <w:kern w:val="2"/>
                <w:sz w:val="21"/>
                <w:szCs w:val="21"/>
                <w14:textFill>
                  <w14:solidFill>
                    <w14:schemeClr w14:val="tx1"/>
                  </w14:solidFill>
                </w14:textFill>
              </w:rPr>
              <w:t>无线网桥上传至页岩油联合站生产监控系统；页岩油井区已建</w:t>
            </w:r>
            <w:r>
              <w:rPr>
                <w:color w:val="000000" w:themeColor="text1"/>
                <w:kern w:val="2"/>
                <w:sz w:val="21"/>
                <w:szCs w:val="21"/>
                <w14:textFill>
                  <w14:solidFill>
                    <w14:schemeClr w14:val="tx1"/>
                  </w14:solidFill>
                </w14:textFill>
              </w:rPr>
              <w:t>9</w:t>
            </w:r>
            <w:r>
              <w:rPr>
                <w:rFonts w:hint="eastAsia"/>
                <w:color w:val="000000" w:themeColor="text1"/>
                <w:kern w:val="2"/>
                <w:sz w:val="21"/>
                <w:szCs w:val="21"/>
                <w14:textFill>
                  <w14:solidFill>
                    <w14:schemeClr w14:val="tx1"/>
                  </w14:solidFill>
                </w14:textFill>
              </w:rPr>
              <w:t>套“</w:t>
            </w:r>
            <w:r>
              <w:rPr>
                <w:color w:val="000000" w:themeColor="text1"/>
                <w:kern w:val="2"/>
                <w:sz w:val="21"/>
                <w:szCs w:val="21"/>
                <w14:textFill>
                  <w14:solidFill>
                    <w14:schemeClr w14:val="tx1"/>
                  </w14:solidFill>
                </w14:textFill>
              </w:rPr>
              <w:t>LoRa+</w:t>
            </w:r>
            <w:r>
              <w:rPr>
                <w:rFonts w:hint="eastAsia"/>
                <w:color w:val="000000" w:themeColor="text1"/>
                <w:kern w:val="2"/>
                <w:sz w:val="21"/>
                <w:szCs w:val="21"/>
                <w14:textFill>
                  <w14:solidFill>
                    <w14:schemeClr w14:val="tx1"/>
                  </w14:solidFill>
                </w14:textFill>
              </w:rPr>
              <w:t>”无线网关。</w:t>
            </w:r>
          </w:p>
        </w:tc>
      </w:tr>
      <w:tr w14:paraId="2F71FAC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387" w:type="pct"/>
            <w:vMerge w:val="continue"/>
            <w:vAlign w:val="center"/>
          </w:tcPr>
          <w:p w14:paraId="21C8E457">
            <w:pPr>
              <w:overflowPunct w:val="0"/>
              <w:adjustRightInd w:val="0"/>
              <w:snapToGrid w:val="0"/>
              <w:spacing w:line="300" w:lineRule="exact"/>
              <w:jc w:val="center"/>
              <w:rPr>
                <w:rFonts w:hint="eastAsia" w:ascii="宋体" w:hAnsi="宋体"/>
                <w:snapToGrid w:val="0"/>
                <w:color w:val="000000" w:themeColor="text1"/>
                <w:kern w:val="0"/>
                <w:szCs w:val="21"/>
                <w14:textFill>
                  <w14:solidFill>
                    <w14:schemeClr w14:val="tx1"/>
                  </w14:solidFill>
                </w14:textFill>
              </w:rPr>
            </w:pPr>
          </w:p>
        </w:tc>
        <w:tc>
          <w:tcPr>
            <w:tcW w:w="993" w:type="pct"/>
            <w:gridSpan w:val="2"/>
            <w:vMerge w:val="continue"/>
            <w:vAlign w:val="center"/>
          </w:tcPr>
          <w:p w14:paraId="32ECAB88">
            <w:pPr>
              <w:adjustRightInd w:val="0"/>
              <w:snapToGrid w:val="0"/>
              <w:spacing w:line="300" w:lineRule="exact"/>
              <w:jc w:val="center"/>
              <w:rPr>
                <w:rFonts w:hint="eastAsia" w:ascii="宋体" w:hAnsi="宋体" w:cs="宋体"/>
                <w:snapToGrid w:val="0"/>
                <w:color w:val="000000" w:themeColor="text1"/>
                <w:kern w:val="0"/>
                <w:szCs w:val="21"/>
                <w14:textFill>
                  <w14:solidFill>
                    <w14:schemeClr w14:val="tx1"/>
                  </w14:solidFill>
                </w14:textFill>
              </w:rPr>
            </w:pPr>
          </w:p>
        </w:tc>
        <w:tc>
          <w:tcPr>
            <w:tcW w:w="3620" w:type="pct"/>
            <w:vAlign w:val="center"/>
          </w:tcPr>
          <w:p w14:paraId="3C7D56A6">
            <w:pPr>
              <w:pStyle w:val="342"/>
              <w:overflowPunct w:val="0"/>
              <w:snapToGrid w:val="0"/>
              <w:spacing w:line="300" w:lineRule="exact"/>
              <w:jc w:val="both"/>
              <w:rPr>
                <w:snapToGrid w:val="0"/>
                <w:color w:val="000000" w:themeColor="text1"/>
                <w:sz w:val="21"/>
                <w:szCs w:val="21"/>
                <w14:textFill>
                  <w14:solidFill>
                    <w14:schemeClr w14:val="tx1"/>
                  </w14:solidFill>
                </w14:textFill>
              </w:rPr>
            </w:pPr>
            <w:r>
              <w:rPr>
                <w:rFonts w:hint="eastAsia"/>
                <w:color w:val="000000" w:themeColor="text1"/>
                <w:kern w:val="2"/>
                <w:sz w:val="21"/>
                <w:szCs w:val="21"/>
                <w14:textFill>
                  <w14:solidFill>
                    <w14:schemeClr w14:val="tx1"/>
                  </w14:solidFill>
                </w14:textFill>
              </w:rPr>
              <w:t>页岩油联合站</w:t>
            </w:r>
            <w:r>
              <w:rPr>
                <w:color w:val="000000" w:themeColor="text1"/>
                <w:kern w:val="2"/>
                <w:sz w:val="21"/>
                <w:szCs w:val="21"/>
                <w14:textFill>
                  <w14:solidFill>
                    <w14:schemeClr w14:val="tx1"/>
                  </w14:solidFill>
                </w14:textFill>
              </w:rPr>
              <w:t>2019</w:t>
            </w:r>
            <w:r>
              <w:rPr>
                <w:rFonts w:hint="eastAsia"/>
                <w:color w:val="000000" w:themeColor="text1"/>
                <w:kern w:val="2"/>
                <w:sz w:val="21"/>
                <w:szCs w:val="21"/>
                <w14:textFill>
                  <w14:solidFill>
                    <w14:schemeClr w14:val="tx1"/>
                  </w14:solidFill>
                </w14:textFill>
              </w:rPr>
              <w:t>年已建</w:t>
            </w:r>
            <w:r>
              <w:rPr>
                <w:color w:val="000000" w:themeColor="text1"/>
                <w:kern w:val="2"/>
                <w:sz w:val="21"/>
                <w:szCs w:val="21"/>
                <w14:textFill>
                  <w14:solidFill>
                    <w14:schemeClr w14:val="tx1"/>
                  </w14:solidFill>
                </w14:textFill>
              </w:rPr>
              <w:t>45m</w:t>
            </w:r>
            <w:r>
              <w:rPr>
                <w:rFonts w:hint="eastAsia"/>
                <w:color w:val="000000" w:themeColor="text1"/>
                <w:kern w:val="2"/>
                <w:sz w:val="21"/>
                <w:szCs w:val="21"/>
                <w14:textFill>
                  <w14:solidFill>
                    <w14:schemeClr w14:val="tx1"/>
                  </w14:solidFill>
                </w14:textFill>
              </w:rPr>
              <w:t>通信塔</w:t>
            </w:r>
            <w:r>
              <w:rPr>
                <w:color w:val="000000" w:themeColor="text1"/>
                <w:kern w:val="2"/>
                <w:sz w:val="21"/>
                <w:szCs w:val="21"/>
                <w14:textFill>
                  <w14:solidFill>
                    <w14:schemeClr w14:val="tx1"/>
                  </w14:solidFill>
                </w14:textFill>
              </w:rPr>
              <w:t>1</w:t>
            </w:r>
            <w:r>
              <w:rPr>
                <w:rFonts w:hint="eastAsia"/>
                <w:color w:val="000000" w:themeColor="text1"/>
                <w:kern w:val="2"/>
                <w:sz w:val="21"/>
                <w:szCs w:val="21"/>
                <w14:textFill>
                  <w14:solidFill>
                    <w14:schemeClr w14:val="tx1"/>
                  </w14:solidFill>
                </w14:textFill>
              </w:rPr>
              <w:t>座，塔上已设置</w:t>
            </w:r>
            <w:r>
              <w:rPr>
                <w:color w:val="000000" w:themeColor="text1"/>
                <w:kern w:val="2"/>
                <w:sz w:val="21"/>
                <w:szCs w:val="21"/>
                <w14:textFill>
                  <w14:solidFill>
                    <w14:schemeClr w14:val="tx1"/>
                  </w14:solidFill>
                </w14:textFill>
              </w:rPr>
              <w:t>3</w:t>
            </w:r>
            <w:r>
              <w:rPr>
                <w:rFonts w:hint="eastAsia"/>
                <w:color w:val="000000" w:themeColor="text1"/>
                <w:kern w:val="2"/>
                <w:sz w:val="21"/>
                <w:szCs w:val="21"/>
                <w14:textFill>
                  <w14:solidFill>
                    <w14:schemeClr w14:val="tx1"/>
                  </w14:solidFill>
                </w14:textFill>
              </w:rPr>
              <w:t>套</w:t>
            </w:r>
            <w:r>
              <w:rPr>
                <w:color w:val="000000" w:themeColor="text1"/>
                <w:kern w:val="2"/>
                <w:sz w:val="21"/>
                <w:szCs w:val="21"/>
                <w14:textFill>
                  <w14:solidFill>
                    <w14:schemeClr w14:val="tx1"/>
                  </w14:solidFill>
                </w14:textFill>
              </w:rPr>
              <w:t>5.8GHz</w:t>
            </w:r>
            <w:r>
              <w:rPr>
                <w:rFonts w:hint="eastAsia"/>
                <w:color w:val="000000" w:themeColor="text1"/>
                <w:kern w:val="2"/>
                <w:sz w:val="21"/>
                <w:szCs w:val="21"/>
                <w14:textFill>
                  <w14:solidFill>
                    <w14:schemeClr w14:val="tx1"/>
                  </w14:solidFill>
                </w14:textFill>
              </w:rPr>
              <w:t>无线网桥</w:t>
            </w:r>
            <w:r>
              <w:rPr>
                <w:color w:val="000000" w:themeColor="text1"/>
                <w:kern w:val="2"/>
                <w:sz w:val="21"/>
                <w:szCs w:val="21"/>
                <w14:textFill>
                  <w14:solidFill>
                    <w14:schemeClr w14:val="tx1"/>
                  </w14:solidFill>
                </w14:textFill>
              </w:rPr>
              <w:t>AP</w:t>
            </w:r>
            <w:r>
              <w:rPr>
                <w:rFonts w:hint="eastAsia"/>
                <w:color w:val="000000" w:themeColor="text1"/>
                <w:kern w:val="2"/>
                <w:sz w:val="21"/>
                <w:szCs w:val="21"/>
                <w14:textFill>
                  <w14:solidFill>
                    <w14:schemeClr w14:val="tx1"/>
                  </w14:solidFill>
                </w14:textFill>
              </w:rPr>
              <w:t>，实现了联合站周边约</w:t>
            </w:r>
            <w:r>
              <w:rPr>
                <w:color w:val="000000" w:themeColor="text1"/>
                <w:kern w:val="2"/>
                <w:sz w:val="21"/>
                <w:szCs w:val="21"/>
                <w14:textFill>
                  <w14:solidFill>
                    <w14:schemeClr w14:val="tx1"/>
                  </w14:solidFill>
                </w14:textFill>
              </w:rPr>
              <w:t>5km</w:t>
            </w:r>
            <w:r>
              <w:rPr>
                <w:rFonts w:hint="eastAsia"/>
                <w:color w:val="000000" w:themeColor="text1"/>
                <w:kern w:val="2"/>
                <w:sz w:val="21"/>
                <w:szCs w:val="21"/>
                <w14:textFill>
                  <w14:solidFill>
                    <w14:schemeClr w14:val="tx1"/>
                  </w14:solidFill>
                </w14:textFill>
              </w:rPr>
              <w:t>～</w:t>
            </w:r>
            <w:r>
              <w:rPr>
                <w:color w:val="000000" w:themeColor="text1"/>
                <w:kern w:val="2"/>
                <w:sz w:val="21"/>
                <w:szCs w:val="21"/>
                <w14:textFill>
                  <w14:solidFill>
                    <w14:schemeClr w14:val="tx1"/>
                  </w14:solidFill>
                </w14:textFill>
              </w:rPr>
              <w:t>8km</w:t>
            </w:r>
            <w:r>
              <w:rPr>
                <w:rFonts w:hint="eastAsia"/>
                <w:color w:val="000000" w:themeColor="text1"/>
                <w:kern w:val="2"/>
                <w:sz w:val="21"/>
                <w:szCs w:val="21"/>
                <w14:textFill>
                  <w14:solidFill>
                    <w14:schemeClr w14:val="tx1"/>
                  </w14:solidFill>
                </w14:textFill>
              </w:rPr>
              <w:t>范围内井站的覆盖。</w:t>
            </w:r>
          </w:p>
        </w:tc>
      </w:tr>
      <w:tr w14:paraId="703B00F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387" w:type="pct"/>
            <w:vMerge w:val="continue"/>
            <w:vAlign w:val="center"/>
          </w:tcPr>
          <w:p w14:paraId="42AE1096">
            <w:pPr>
              <w:overflowPunct w:val="0"/>
              <w:adjustRightInd w:val="0"/>
              <w:snapToGrid w:val="0"/>
              <w:spacing w:line="300" w:lineRule="exact"/>
              <w:jc w:val="center"/>
              <w:rPr>
                <w:rFonts w:hint="eastAsia" w:ascii="宋体" w:hAnsi="宋体"/>
                <w:snapToGrid w:val="0"/>
                <w:color w:val="000000" w:themeColor="text1"/>
                <w:kern w:val="0"/>
                <w:szCs w:val="21"/>
                <w14:textFill>
                  <w14:solidFill>
                    <w14:schemeClr w14:val="tx1"/>
                  </w14:solidFill>
                </w14:textFill>
              </w:rPr>
            </w:pPr>
          </w:p>
        </w:tc>
        <w:tc>
          <w:tcPr>
            <w:tcW w:w="425" w:type="pct"/>
            <w:vMerge w:val="restart"/>
            <w:tcBorders>
              <w:right w:val="single" w:color="auto" w:sz="4" w:space="0"/>
            </w:tcBorders>
            <w:vAlign w:val="center"/>
          </w:tcPr>
          <w:p w14:paraId="2ABF2D19">
            <w:pPr>
              <w:adjustRightInd w:val="0"/>
              <w:snapToGrid w:val="0"/>
              <w:spacing w:line="300" w:lineRule="exact"/>
              <w:jc w:val="center"/>
              <w:rPr>
                <w:rFonts w:hint="eastAsia" w:ascii="宋体" w:hAnsi="宋体" w:cs="宋体"/>
                <w:snapToGrid w:val="0"/>
                <w:color w:val="000000" w:themeColor="text1"/>
                <w:kern w:val="0"/>
                <w:szCs w:val="21"/>
                <w14:textFill>
                  <w14:solidFill>
                    <w14:schemeClr w14:val="tx1"/>
                  </w14:solidFill>
                </w14:textFill>
              </w:rPr>
            </w:pPr>
            <w:r>
              <w:rPr>
                <w:rFonts w:hint="eastAsia" w:ascii="宋体" w:hAnsi="宋体" w:cs="宋体"/>
                <w:snapToGrid w:val="0"/>
                <w:color w:val="000000" w:themeColor="text1"/>
                <w:kern w:val="0"/>
                <w:szCs w:val="21"/>
                <w14:textFill>
                  <w14:solidFill>
                    <w14:schemeClr w14:val="tx1"/>
                  </w14:solidFill>
                </w14:textFill>
              </w:rPr>
              <w:t>通信</w:t>
            </w:r>
          </w:p>
        </w:tc>
        <w:tc>
          <w:tcPr>
            <w:tcW w:w="568" w:type="pct"/>
            <w:tcBorders>
              <w:left w:val="single" w:color="auto" w:sz="4" w:space="0"/>
            </w:tcBorders>
            <w:vAlign w:val="center"/>
          </w:tcPr>
          <w:p w14:paraId="0331F36C">
            <w:pPr>
              <w:adjustRightInd w:val="0"/>
              <w:snapToGrid w:val="0"/>
              <w:spacing w:line="300" w:lineRule="exact"/>
              <w:jc w:val="center"/>
              <w:rPr>
                <w:rFonts w:hint="eastAsia" w:ascii="宋体" w:hAnsi="宋体" w:cs="宋体"/>
                <w:snapToGrid w:val="0"/>
                <w:color w:val="000000" w:themeColor="text1"/>
                <w:kern w:val="0"/>
                <w:szCs w:val="21"/>
                <w14:textFill>
                  <w14:solidFill>
                    <w14:schemeClr w14:val="tx1"/>
                  </w14:solidFill>
                </w14:textFill>
              </w:rPr>
            </w:pPr>
            <w:r>
              <w:rPr>
                <w:rFonts w:hint="eastAsia" w:ascii="宋体" w:hAnsi="宋体" w:cs="宋体"/>
                <w:snapToGrid w:val="0"/>
                <w:color w:val="000000" w:themeColor="text1"/>
                <w:kern w:val="0"/>
                <w:szCs w:val="21"/>
                <w14:textFill>
                  <w14:solidFill>
                    <w14:schemeClr w14:val="tx1"/>
                  </w14:solidFill>
                </w14:textFill>
              </w:rPr>
              <w:t>油区</w:t>
            </w:r>
          </w:p>
        </w:tc>
        <w:tc>
          <w:tcPr>
            <w:tcW w:w="3620" w:type="pct"/>
            <w:vAlign w:val="center"/>
          </w:tcPr>
          <w:p w14:paraId="2E5439D2">
            <w:pPr>
              <w:pStyle w:val="342"/>
              <w:overflowPunct w:val="0"/>
              <w:snapToGrid w:val="0"/>
              <w:spacing w:line="300" w:lineRule="exact"/>
              <w:jc w:val="both"/>
              <w:rPr>
                <w:color w:val="000000" w:themeColor="text1"/>
                <w:kern w:val="2"/>
                <w:sz w:val="21"/>
                <w:szCs w:val="21"/>
                <w14:textFill>
                  <w14:solidFill>
                    <w14:schemeClr w14:val="tx1"/>
                  </w14:solidFill>
                </w14:textFill>
              </w:rPr>
            </w:pPr>
            <w:r>
              <w:rPr>
                <w:rFonts w:hint="eastAsia"/>
                <w:color w:val="000000" w:themeColor="text1"/>
                <w:kern w:val="2"/>
                <w:sz w:val="21"/>
                <w:szCs w:val="21"/>
                <w14:textFill>
                  <w14:solidFill>
                    <w14:schemeClr w14:val="tx1"/>
                  </w14:solidFill>
                </w14:textFill>
              </w:rPr>
              <w:t>页岩油作业区已建有</w:t>
            </w:r>
            <w:r>
              <w:rPr>
                <w:color w:val="000000" w:themeColor="text1"/>
                <w:kern w:val="2"/>
                <w:sz w:val="21"/>
                <w:szCs w:val="21"/>
                <w14:textFill>
                  <w14:solidFill>
                    <w14:schemeClr w14:val="tx1"/>
                  </w14:solidFill>
                </w14:textFill>
              </w:rPr>
              <w:t>48</w:t>
            </w:r>
            <w:r>
              <w:rPr>
                <w:rFonts w:hint="eastAsia"/>
                <w:color w:val="000000" w:themeColor="text1"/>
                <w:kern w:val="2"/>
                <w:sz w:val="21"/>
                <w:szCs w:val="21"/>
                <w14:textFill>
                  <w14:solidFill>
                    <w14:schemeClr w14:val="tx1"/>
                  </w14:solidFill>
                </w14:textFill>
              </w:rPr>
              <w:t>芯主干光缆，光缆路由吉祥联合站</w:t>
            </w:r>
            <w:r>
              <w:rPr>
                <w:color w:val="000000" w:themeColor="text1"/>
                <w:kern w:val="2"/>
                <w:sz w:val="21"/>
                <w:szCs w:val="21"/>
                <w14:textFill>
                  <w14:solidFill>
                    <w14:schemeClr w14:val="tx1"/>
                  </w14:solidFill>
                </w14:textFill>
              </w:rPr>
              <w:t>-</w:t>
            </w:r>
            <w:r>
              <w:rPr>
                <w:rFonts w:hint="eastAsia"/>
                <w:color w:val="000000" w:themeColor="text1"/>
                <w:kern w:val="2"/>
                <w:sz w:val="21"/>
                <w:szCs w:val="21"/>
                <w14:textFill>
                  <w14:solidFill>
                    <w14:schemeClr w14:val="tx1"/>
                  </w14:solidFill>
                </w14:textFill>
              </w:rPr>
              <w:t>页岩油联合站－北三台油库－北十六联合站</w:t>
            </w:r>
          </w:p>
        </w:tc>
      </w:tr>
      <w:tr w14:paraId="1C18F2B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387" w:type="pct"/>
            <w:vMerge w:val="continue"/>
            <w:vAlign w:val="center"/>
          </w:tcPr>
          <w:p w14:paraId="22A1B045">
            <w:pPr>
              <w:overflowPunct w:val="0"/>
              <w:adjustRightInd w:val="0"/>
              <w:snapToGrid w:val="0"/>
              <w:spacing w:line="300" w:lineRule="exact"/>
              <w:jc w:val="center"/>
              <w:rPr>
                <w:rFonts w:hint="eastAsia" w:ascii="宋体" w:hAnsi="宋体"/>
                <w:snapToGrid w:val="0"/>
                <w:color w:val="000000" w:themeColor="text1"/>
                <w:kern w:val="0"/>
                <w:szCs w:val="21"/>
                <w14:textFill>
                  <w14:solidFill>
                    <w14:schemeClr w14:val="tx1"/>
                  </w14:solidFill>
                </w14:textFill>
              </w:rPr>
            </w:pPr>
          </w:p>
        </w:tc>
        <w:tc>
          <w:tcPr>
            <w:tcW w:w="425" w:type="pct"/>
            <w:vMerge w:val="continue"/>
            <w:tcBorders>
              <w:right w:val="single" w:color="auto" w:sz="4" w:space="0"/>
            </w:tcBorders>
            <w:vAlign w:val="center"/>
          </w:tcPr>
          <w:p w14:paraId="2FF4101F">
            <w:pPr>
              <w:adjustRightInd w:val="0"/>
              <w:snapToGrid w:val="0"/>
              <w:spacing w:line="300" w:lineRule="exact"/>
              <w:jc w:val="center"/>
              <w:rPr>
                <w:rFonts w:hint="eastAsia" w:ascii="宋体" w:hAnsi="宋体" w:cs="宋体"/>
                <w:snapToGrid w:val="0"/>
                <w:color w:val="000000" w:themeColor="text1"/>
                <w:kern w:val="0"/>
                <w:szCs w:val="21"/>
                <w14:textFill>
                  <w14:solidFill>
                    <w14:schemeClr w14:val="tx1"/>
                  </w14:solidFill>
                </w14:textFill>
              </w:rPr>
            </w:pPr>
          </w:p>
        </w:tc>
        <w:tc>
          <w:tcPr>
            <w:tcW w:w="568" w:type="pct"/>
            <w:tcBorders>
              <w:left w:val="single" w:color="auto" w:sz="4" w:space="0"/>
            </w:tcBorders>
            <w:vAlign w:val="center"/>
          </w:tcPr>
          <w:p w14:paraId="411B52EC">
            <w:pPr>
              <w:adjustRightInd w:val="0"/>
              <w:snapToGrid w:val="0"/>
              <w:spacing w:line="300" w:lineRule="exact"/>
              <w:jc w:val="center"/>
              <w:rPr>
                <w:rFonts w:hint="eastAsia" w:ascii="宋体" w:hAnsi="宋体" w:cs="宋体"/>
                <w:snapToGrid w:val="0"/>
                <w:color w:val="000000" w:themeColor="text1"/>
                <w:kern w:val="0"/>
                <w:szCs w:val="21"/>
                <w14:textFill>
                  <w14:solidFill>
                    <w14:schemeClr w14:val="tx1"/>
                  </w14:solidFill>
                </w14:textFill>
              </w:rPr>
            </w:pPr>
            <w:r>
              <w:rPr>
                <w:rFonts w:hint="eastAsia" w:ascii="宋体" w:hAnsi="宋体" w:cs="宋体"/>
                <w:snapToGrid w:val="0"/>
                <w:color w:val="000000" w:themeColor="text1"/>
                <w:kern w:val="0"/>
                <w:szCs w:val="21"/>
                <w14:textFill>
                  <w14:solidFill>
                    <w14:schemeClr w14:val="tx1"/>
                  </w14:solidFill>
                </w14:textFill>
              </w:rPr>
              <w:t>页岩油联合站</w:t>
            </w:r>
          </w:p>
        </w:tc>
        <w:tc>
          <w:tcPr>
            <w:tcW w:w="3620" w:type="pct"/>
            <w:vAlign w:val="center"/>
          </w:tcPr>
          <w:p w14:paraId="50490385">
            <w:pPr>
              <w:pStyle w:val="342"/>
              <w:overflowPunct w:val="0"/>
              <w:snapToGrid w:val="0"/>
              <w:spacing w:line="300" w:lineRule="exact"/>
              <w:jc w:val="both"/>
              <w:rPr>
                <w:color w:val="000000" w:themeColor="text1"/>
                <w:kern w:val="2"/>
                <w:sz w:val="21"/>
                <w:szCs w:val="21"/>
                <w14:textFill>
                  <w14:solidFill>
                    <w14:schemeClr w14:val="tx1"/>
                  </w14:solidFill>
                </w14:textFill>
              </w:rPr>
            </w:pPr>
            <w:r>
              <w:rPr>
                <w:rFonts w:hint="eastAsia"/>
                <w:color w:val="000000" w:themeColor="text1"/>
                <w:kern w:val="2"/>
                <w:sz w:val="21"/>
                <w:szCs w:val="21"/>
                <w14:textFill>
                  <w14:solidFill>
                    <w14:schemeClr w14:val="tx1"/>
                  </w14:solidFill>
                </w14:textFill>
              </w:rPr>
              <w:t>页岩油联合站已建</w:t>
            </w:r>
            <w:r>
              <w:rPr>
                <w:color w:val="000000" w:themeColor="text1"/>
                <w:kern w:val="2"/>
                <w:sz w:val="21"/>
                <w:szCs w:val="21"/>
                <w14:textFill>
                  <w14:solidFill>
                    <w14:schemeClr w14:val="tx1"/>
                  </w14:solidFill>
                </w14:textFill>
              </w:rPr>
              <w:t>1</w:t>
            </w:r>
            <w:r>
              <w:rPr>
                <w:rFonts w:hint="eastAsia"/>
                <w:color w:val="000000" w:themeColor="text1"/>
                <w:kern w:val="2"/>
                <w:sz w:val="21"/>
                <w:szCs w:val="21"/>
                <w14:textFill>
                  <w14:solidFill>
                    <w14:schemeClr w14:val="tx1"/>
                  </w14:solidFill>
                </w14:textFill>
              </w:rPr>
              <w:t>套</w:t>
            </w:r>
            <w:r>
              <w:rPr>
                <w:color w:val="000000" w:themeColor="text1"/>
                <w:kern w:val="2"/>
                <w:sz w:val="21"/>
                <w:szCs w:val="21"/>
                <w14:textFill>
                  <w14:solidFill>
                    <w14:schemeClr w14:val="tx1"/>
                  </w14:solidFill>
                </w14:textFill>
              </w:rPr>
              <w:t>10GPTN</w:t>
            </w:r>
            <w:r>
              <w:rPr>
                <w:rFonts w:hint="eastAsia"/>
                <w:color w:val="000000" w:themeColor="text1"/>
                <w:kern w:val="2"/>
                <w:sz w:val="21"/>
                <w:szCs w:val="21"/>
                <w14:textFill>
                  <w14:solidFill>
                    <w14:schemeClr w14:val="tx1"/>
                  </w14:solidFill>
                </w14:textFill>
              </w:rPr>
              <w:t>光传输设备，通过北三台油库接入数据公司已建通信系统最终接入数据公司已建多业务承载网。</w:t>
            </w:r>
          </w:p>
        </w:tc>
      </w:tr>
      <w:tr w14:paraId="0D6729B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387" w:type="pct"/>
            <w:vMerge w:val="continue"/>
            <w:vAlign w:val="center"/>
          </w:tcPr>
          <w:p w14:paraId="04241174">
            <w:pPr>
              <w:overflowPunct w:val="0"/>
              <w:adjustRightInd w:val="0"/>
              <w:snapToGrid w:val="0"/>
              <w:spacing w:line="300" w:lineRule="exact"/>
              <w:jc w:val="center"/>
              <w:rPr>
                <w:rFonts w:hint="eastAsia" w:ascii="宋体" w:hAnsi="宋体"/>
                <w:snapToGrid w:val="0"/>
                <w:color w:val="000000" w:themeColor="text1"/>
                <w:kern w:val="0"/>
                <w:szCs w:val="21"/>
                <w14:textFill>
                  <w14:solidFill>
                    <w14:schemeClr w14:val="tx1"/>
                  </w14:solidFill>
                </w14:textFill>
              </w:rPr>
            </w:pPr>
          </w:p>
        </w:tc>
        <w:tc>
          <w:tcPr>
            <w:tcW w:w="993" w:type="pct"/>
            <w:gridSpan w:val="2"/>
            <w:vAlign w:val="center"/>
          </w:tcPr>
          <w:p w14:paraId="76BE40BD">
            <w:pPr>
              <w:pStyle w:val="117"/>
              <w:adjustRightInd w:val="0"/>
              <w:snapToGrid w:val="0"/>
              <w:spacing w:line="300" w:lineRule="exact"/>
              <w:ind w:firstLine="0" w:firstLineChars="0"/>
              <w:jc w:val="center"/>
              <w:rPr>
                <w:rFonts w:hint="eastAsia"/>
                <w:snapToGrid w:val="0"/>
                <w:color w:val="000000" w:themeColor="text1"/>
                <w:kern w:val="0"/>
                <w:sz w:val="21"/>
                <w:szCs w:val="21"/>
                <w14:textFill>
                  <w14:solidFill>
                    <w14:schemeClr w14:val="tx1"/>
                  </w14:solidFill>
                </w14:textFill>
              </w:rPr>
            </w:pPr>
            <w:r>
              <w:rPr>
                <w:rFonts w:hint="eastAsia" w:cs="宋体"/>
                <w:snapToGrid w:val="0"/>
                <w:color w:val="000000" w:themeColor="text1"/>
                <w:kern w:val="0"/>
                <w:sz w:val="21"/>
                <w:szCs w:val="21"/>
                <w14:textFill>
                  <w14:solidFill>
                    <w14:schemeClr w14:val="tx1"/>
                  </w14:solidFill>
                </w14:textFill>
              </w:rPr>
              <w:t>给排水</w:t>
            </w:r>
          </w:p>
        </w:tc>
        <w:tc>
          <w:tcPr>
            <w:tcW w:w="3620" w:type="pct"/>
            <w:vAlign w:val="center"/>
          </w:tcPr>
          <w:p w14:paraId="7BC69C4D">
            <w:pPr>
              <w:pStyle w:val="342"/>
              <w:overflowPunct w:val="0"/>
              <w:snapToGrid w:val="0"/>
              <w:spacing w:line="300" w:lineRule="exact"/>
              <w:jc w:val="both"/>
              <w:rPr>
                <w:snapToGrid w:val="0"/>
                <w:color w:val="000000" w:themeColor="text1"/>
                <w:sz w:val="21"/>
                <w:szCs w:val="21"/>
                <w14:textFill>
                  <w14:solidFill>
                    <w14:schemeClr w14:val="tx1"/>
                  </w14:solidFill>
                </w14:textFill>
              </w:rPr>
            </w:pPr>
            <w:r>
              <w:rPr>
                <w:rFonts w:hint="eastAsia"/>
                <w:color w:val="000000" w:themeColor="text1"/>
                <w:kern w:val="2"/>
                <w:sz w:val="21"/>
                <w:szCs w:val="21"/>
                <w14:textFill>
                  <w14:solidFill>
                    <w14:schemeClr w14:val="tx1"/>
                  </w14:solidFill>
                </w14:textFill>
              </w:rPr>
              <w:t>页岩油井区和页岩油联合站清水水源由红旗农场已建的10口水源井和周边水库供给；油区井下作业废液、洗井废水和页岩油联合站内的采出水均送至压裂返排液处理系统处理，处理达标后由于压裂液的复配；油区无生活污水产生，页岩油联合站生活污水定期拉运至吉木萨尔县污水处理厂集中处理。</w:t>
            </w:r>
          </w:p>
        </w:tc>
      </w:tr>
      <w:tr w14:paraId="678A210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387" w:type="pct"/>
            <w:vMerge w:val="continue"/>
            <w:vAlign w:val="center"/>
          </w:tcPr>
          <w:p w14:paraId="49B90390">
            <w:pPr>
              <w:overflowPunct w:val="0"/>
              <w:adjustRightInd w:val="0"/>
              <w:snapToGrid w:val="0"/>
              <w:spacing w:line="300" w:lineRule="exact"/>
              <w:jc w:val="center"/>
              <w:rPr>
                <w:rFonts w:hint="eastAsia" w:ascii="宋体" w:hAnsi="宋体"/>
                <w:snapToGrid w:val="0"/>
                <w:color w:val="000000" w:themeColor="text1"/>
                <w:kern w:val="0"/>
                <w:szCs w:val="21"/>
                <w14:textFill>
                  <w14:solidFill>
                    <w14:schemeClr w14:val="tx1"/>
                  </w14:solidFill>
                </w14:textFill>
              </w:rPr>
            </w:pPr>
          </w:p>
        </w:tc>
        <w:tc>
          <w:tcPr>
            <w:tcW w:w="993" w:type="pct"/>
            <w:gridSpan w:val="2"/>
            <w:vAlign w:val="center"/>
          </w:tcPr>
          <w:p w14:paraId="59CA853A">
            <w:pPr>
              <w:pStyle w:val="117"/>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道路</w:t>
            </w:r>
          </w:p>
        </w:tc>
        <w:tc>
          <w:tcPr>
            <w:tcW w:w="3620" w:type="pct"/>
            <w:vAlign w:val="center"/>
          </w:tcPr>
          <w:p w14:paraId="4965DAB6">
            <w:pPr>
              <w:pStyle w:val="342"/>
              <w:overflowPunct w:val="0"/>
              <w:snapToGrid w:val="0"/>
              <w:spacing w:line="300" w:lineRule="exact"/>
              <w:jc w:val="both"/>
              <w:rPr>
                <w:color w:val="000000" w:themeColor="text1"/>
                <w:kern w:val="2"/>
                <w:sz w:val="21"/>
                <w:szCs w:val="21"/>
                <w14:textFill>
                  <w14:solidFill>
                    <w14:schemeClr w14:val="tx1"/>
                  </w14:solidFill>
                </w14:textFill>
              </w:rPr>
            </w:pPr>
            <w:r>
              <w:rPr>
                <w:rFonts w:hint="eastAsia"/>
                <w:color w:val="000000" w:themeColor="text1"/>
                <w:kern w:val="2"/>
                <w:sz w:val="21"/>
                <w:szCs w:val="21"/>
                <w14:textFill>
                  <w14:solidFill>
                    <w14:schemeClr w14:val="tx1"/>
                  </w14:solidFill>
                </w14:textFill>
              </w:rPr>
              <w:t>油区道路约100.52km，包括油区干线公路、平台间支线道路、平台连接道路；</w:t>
            </w:r>
          </w:p>
          <w:p w14:paraId="63844D62">
            <w:pPr>
              <w:pStyle w:val="342"/>
              <w:overflowPunct w:val="0"/>
              <w:snapToGrid w:val="0"/>
              <w:spacing w:line="300" w:lineRule="exact"/>
              <w:jc w:val="both"/>
              <w:rPr>
                <w:color w:val="000000" w:themeColor="text1"/>
                <w:kern w:val="2"/>
                <w:sz w:val="21"/>
                <w:szCs w:val="21"/>
                <w14:textFill>
                  <w14:solidFill>
                    <w14:schemeClr w14:val="tx1"/>
                  </w14:solidFill>
                </w14:textFill>
              </w:rPr>
            </w:pPr>
            <w:r>
              <w:rPr>
                <w:rFonts w:hint="eastAsia"/>
                <w:color w:val="000000" w:themeColor="text1"/>
                <w:kern w:val="2"/>
                <w:sz w:val="21"/>
                <w:szCs w:val="21"/>
                <w14:textFill>
                  <w14:solidFill>
                    <w14:schemeClr w14:val="tx1"/>
                  </w14:solidFill>
                </w14:textFill>
              </w:rPr>
              <w:t>干线公路：采用三级公路的标准进行设计，设计行车速度</w:t>
            </w:r>
            <w:r>
              <w:rPr>
                <w:color w:val="000000" w:themeColor="text1"/>
                <w:kern w:val="2"/>
                <w:sz w:val="21"/>
                <w:szCs w:val="21"/>
                <w14:textFill>
                  <w14:solidFill>
                    <w14:schemeClr w14:val="tx1"/>
                  </w14:solidFill>
                </w14:textFill>
              </w:rPr>
              <w:t>40km/h</w:t>
            </w:r>
            <w:r>
              <w:rPr>
                <w:rFonts w:hint="eastAsia"/>
                <w:color w:val="000000" w:themeColor="text1"/>
                <w:kern w:val="2"/>
                <w:sz w:val="21"/>
                <w:szCs w:val="21"/>
                <w14:textFill>
                  <w14:solidFill>
                    <w14:schemeClr w14:val="tx1"/>
                  </w14:solidFill>
                </w14:textFill>
              </w:rPr>
              <w:t>；路基宽</w:t>
            </w:r>
            <w:r>
              <w:rPr>
                <w:color w:val="000000" w:themeColor="text1"/>
                <w:kern w:val="2"/>
                <w:sz w:val="21"/>
                <w:szCs w:val="21"/>
                <w14:textFill>
                  <w14:solidFill>
                    <w14:schemeClr w14:val="tx1"/>
                  </w14:solidFill>
                </w14:textFill>
              </w:rPr>
              <w:t>8.50m</w:t>
            </w:r>
            <w:r>
              <w:rPr>
                <w:rFonts w:hint="eastAsia"/>
                <w:color w:val="000000" w:themeColor="text1"/>
                <w:kern w:val="2"/>
                <w:sz w:val="21"/>
                <w:szCs w:val="21"/>
                <w14:textFill>
                  <w14:solidFill>
                    <w14:schemeClr w14:val="tx1"/>
                  </w14:solidFill>
                </w14:textFill>
              </w:rPr>
              <w:t>，路面宽</w:t>
            </w:r>
            <w:r>
              <w:rPr>
                <w:color w:val="000000" w:themeColor="text1"/>
                <w:kern w:val="2"/>
                <w:sz w:val="21"/>
                <w:szCs w:val="21"/>
                <w14:textFill>
                  <w14:solidFill>
                    <w14:schemeClr w14:val="tx1"/>
                  </w14:solidFill>
                </w14:textFill>
              </w:rPr>
              <w:t>6.0m</w:t>
            </w:r>
            <w:r>
              <w:rPr>
                <w:rFonts w:hint="eastAsia"/>
                <w:color w:val="000000" w:themeColor="text1"/>
                <w:kern w:val="2"/>
                <w:sz w:val="21"/>
                <w:szCs w:val="21"/>
                <w14:textFill>
                  <w14:solidFill>
                    <w14:schemeClr w14:val="tx1"/>
                  </w14:solidFill>
                </w14:textFill>
              </w:rPr>
              <w:t>，采用单面层沥青混凝土路面。</w:t>
            </w:r>
          </w:p>
          <w:p w14:paraId="65999D90">
            <w:pPr>
              <w:pStyle w:val="342"/>
              <w:overflowPunct w:val="0"/>
              <w:snapToGrid w:val="0"/>
              <w:spacing w:line="300" w:lineRule="exact"/>
              <w:jc w:val="both"/>
              <w:rPr>
                <w:color w:val="000000" w:themeColor="text1"/>
                <w:kern w:val="2"/>
                <w:sz w:val="21"/>
                <w:szCs w:val="21"/>
                <w14:textFill>
                  <w14:solidFill>
                    <w14:schemeClr w14:val="tx1"/>
                  </w14:solidFill>
                </w14:textFill>
              </w:rPr>
            </w:pPr>
            <w:r>
              <w:rPr>
                <w:rFonts w:hint="eastAsia"/>
                <w:color w:val="000000" w:themeColor="text1"/>
                <w:kern w:val="2"/>
                <w:sz w:val="21"/>
                <w:szCs w:val="21"/>
                <w14:textFill>
                  <w14:solidFill>
                    <w14:schemeClr w14:val="tx1"/>
                  </w14:solidFill>
                </w14:textFill>
              </w:rPr>
              <w:t>平台间支线道路：采用四级公路的标准进行设计，设计行车速度</w:t>
            </w:r>
            <w:r>
              <w:rPr>
                <w:color w:val="000000" w:themeColor="text1"/>
                <w:kern w:val="2"/>
                <w:sz w:val="21"/>
                <w:szCs w:val="21"/>
                <w14:textFill>
                  <w14:solidFill>
                    <w14:schemeClr w14:val="tx1"/>
                  </w14:solidFill>
                </w14:textFill>
              </w:rPr>
              <w:t xml:space="preserve"> 20km/h</w:t>
            </w:r>
            <w:r>
              <w:rPr>
                <w:rFonts w:hint="eastAsia"/>
                <w:color w:val="000000" w:themeColor="text1"/>
                <w:kern w:val="2"/>
                <w:sz w:val="21"/>
                <w:szCs w:val="21"/>
                <w14:textFill>
                  <w14:solidFill>
                    <w14:schemeClr w14:val="tx1"/>
                  </w14:solidFill>
                </w14:textFill>
              </w:rPr>
              <w:t>，支线公路主要连接油区平台计量间，路基宽</w:t>
            </w:r>
            <w:r>
              <w:rPr>
                <w:color w:val="000000" w:themeColor="text1"/>
                <w:kern w:val="2"/>
                <w:sz w:val="21"/>
                <w:szCs w:val="21"/>
                <w14:textFill>
                  <w14:solidFill>
                    <w14:schemeClr w14:val="tx1"/>
                  </w14:solidFill>
                </w14:textFill>
              </w:rPr>
              <w:t>6.5m</w:t>
            </w:r>
            <w:r>
              <w:rPr>
                <w:rFonts w:hint="eastAsia"/>
                <w:color w:val="000000" w:themeColor="text1"/>
                <w:kern w:val="2"/>
                <w:sz w:val="21"/>
                <w:szCs w:val="21"/>
                <w14:textFill>
                  <w14:solidFill>
                    <w14:schemeClr w14:val="tx1"/>
                  </w14:solidFill>
                </w14:textFill>
              </w:rPr>
              <w:t>，路面宽</w:t>
            </w:r>
            <w:r>
              <w:rPr>
                <w:color w:val="000000" w:themeColor="text1"/>
                <w:kern w:val="2"/>
                <w:sz w:val="21"/>
                <w:szCs w:val="21"/>
                <w14:textFill>
                  <w14:solidFill>
                    <w14:schemeClr w14:val="tx1"/>
                  </w14:solidFill>
                </w14:textFill>
              </w:rPr>
              <w:t>4.0m</w:t>
            </w:r>
            <w:r>
              <w:rPr>
                <w:rFonts w:hint="eastAsia"/>
                <w:color w:val="000000" w:themeColor="text1"/>
                <w:kern w:val="2"/>
                <w:sz w:val="21"/>
                <w:szCs w:val="21"/>
                <w14:textFill>
                  <w14:solidFill>
                    <w14:schemeClr w14:val="tx1"/>
                  </w14:solidFill>
                </w14:textFill>
              </w:rPr>
              <w:t>，采用撒铺式沥青表面。</w:t>
            </w:r>
          </w:p>
          <w:p w14:paraId="513E8BE8">
            <w:pPr>
              <w:pStyle w:val="342"/>
              <w:overflowPunct w:val="0"/>
              <w:snapToGrid w:val="0"/>
              <w:spacing w:line="300" w:lineRule="exact"/>
              <w:jc w:val="both"/>
              <w:rPr>
                <w:color w:val="000000" w:themeColor="text1"/>
                <w:kern w:val="2"/>
                <w:sz w:val="21"/>
                <w:szCs w:val="21"/>
                <w14:textFill>
                  <w14:solidFill>
                    <w14:schemeClr w14:val="tx1"/>
                  </w14:solidFill>
                </w14:textFill>
              </w:rPr>
            </w:pPr>
            <w:r>
              <w:rPr>
                <w:rFonts w:hint="eastAsia"/>
                <w:color w:val="000000" w:themeColor="text1"/>
                <w:kern w:val="2"/>
                <w:sz w:val="21"/>
                <w:szCs w:val="21"/>
                <w14:textFill>
                  <w14:solidFill>
                    <w14:schemeClr w14:val="tx1"/>
                  </w14:solidFill>
                </w14:textFill>
              </w:rPr>
              <w:t>平台连接道路用于平台单井生产维修、计量的需要。采用等外简易道路，路基、路面同宽均为</w:t>
            </w:r>
            <w:r>
              <w:rPr>
                <w:color w:val="000000" w:themeColor="text1"/>
                <w:kern w:val="2"/>
                <w:sz w:val="21"/>
                <w:szCs w:val="21"/>
                <w14:textFill>
                  <w14:solidFill>
                    <w14:schemeClr w14:val="tx1"/>
                  </w14:solidFill>
                </w14:textFill>
              </w:rPr>
              <w:t>4.5m</w:t>
            </w:r>
            <w:r>
              <w:rPr>
                <w:rFonts w:hint="eastAsia"/>
                <w:color w:val="000000" w:themeColor="text1"/>
                <w:kern w:val="2"/>
                <w:sz w:val="21"/>
                <w:szCs w:val="21"/>
                <w14:textFill>
                  <w14:solidFill>
                    <w14:schemeClr w14:val="tx1"/>
                  </w14:solidFill>
                </w14:textFill>
              </w:rPr>
              <w:t>，路面铺筑采用满铺的型式，路面结构层为厚</w:t>
            </w:r>
            <w:r>
              <w:rPr>
                <w:color w:val="000000" w:themeColor="text1"/>
                <w:kern w:val="2"/>
                <w:sz w:val="21"/>
                <w:szCs w:val="21"/>
                <w14:textFill>
                  <w14:solidFill>
                    <w14:schemeClr w14:val="tx1"/>
                  </w14:solidFill>
                </w14:textFill>
              </w:rPr>
              <w:t>25cm</w:t>
            </w:r>
            <w:r>
              <w:rPr>
                <w:rFonts w:hint="eastAsia"/>
                <w:color w:val="000000" w:themeColor="text1"/>
                <w:kern w:val="2"/>
                <w:sz w:val="21"/>
                <w:szCs w:val="21"/>
                <w14:textFill>
                  <w14:solidFill>
                    <w14:schemeClr w14:val="tx1"/>
                  </w14:solidFill>
                </w14:textFill>
              </w:rPr>
              <w:t>天然砂砾路面。</w:t>
            </w:r>
          </w:p>
        </w:tc>
      </w:tr>
      <w:tr w14:paraId="047345D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387" w:type="pct"/>
            <w:vMerge w:val="restart"/>
            <w:vAlign w:val="center"/>
          </w:tcPr>
          <w:p w14:paraId="39217936">
            <w:pPr>
              <w:overflowPunct w:val="0"/>
              <w:adjustRightInd w:val="0"/>
              <w:snapToGrid w:val="0"/>
              <w:spacing w:line="300" w:lineRule="exact"/>
              <w:jc w:val="center"/>
              <w:rPr>
                <w:rFonts w:hint="eastAsia" w:ascii="宋体" w:hAnsi="宋体"/>
                <w:snapToGrid w:val="0"/>
                <w:color w:val="000000" w:themeColor="text1"/>
                <w:kern w:val="0"/>
                <w:szCs w:val="21"/>
                <w14:textFill>
                  <w14:solidFill>
                    <w14:schemeClr w14:val="tx1"/>
                  </w14:solidFill>
                </w14:textFill>
              </w:rPr>
            </w:pPr>
            <w:r>
              <w:rPr>
                <w:rFonts w:hint="eastAsia" w:ascii="宋体" w:hAnsi="宋体"/>
                <w:snapToGrid w:val="0"/>
                <w:color w:val="000000" w:themeColor="text1"/>
                <w:kern w:val="0"/>
                <w:szCs w:val="21"/>
                <w14:textFill>
                  <w14:solidFill>
                    <w14:schemeClr w14:val="tx1"/>
                  </w14:solidFill>
                </w14:textFill>
              </w:rPr>
              <w:t>环保</w:t>
            </w:r>
          </w:p>
          <w:p w14:paraId="5433CF87">
            <w:pPr>
              <w:overflowPunct w:val="0"/>
              <w:adjustRightInd w:val="0"/>
              <w:snapToGrid w:val="0"/>
              <w:spacing w:line="300" w:lineRule="exact"/>
              <w:jc w:val="center"/>
              <w:rPr>
                <w:rFonts w:hint="eastAsia" w:ascii="宋体" w:hAnsi="宋体"/>
                <w:snapToGrid w:val="0"/>
                <w:color w:val="000000" w:themeColor="text1"/>
                <w:kern w:val="0"/>
                <w:szCs w:val="21"/>
                <w14:textFill>
                  <w14:solidFill>
                    <w14:schemeClr w14:val="tx1"/>
                  </w14:solidFill>
                </w14:textFill>
              </w:rPr>
            </w:pPr>
            <w:r>
              <w:rPr>
                <w:rFonts w:hint="eastAsia" w:ascii="宋体" w:hAnsi="宋体"/>
                <w:snapToGrid w:val="0"/>
                <w:color w:val="000000" w:themeColor="text1"/>
                <w:kern w:val="0"/>
                <w:szCs w:val="21"/>
                <w14:textFill>
                  <w14:solidFill>
                    <w14:schemeClr w14:val="tx1"/>
                  </w14:solidFill>
                </w14:textFill>
              </w:rPr>
              <w:t>工程</w:t>
            </w:r>
          </w:p>
        </w:tc>
        <w:tc>
          <w:tcPr>
            <w:tcW w:w="993" w:type="pct"/>
            <w:gridSpan w:val="2"/>
            <w:vAlign w:val="center"/>
          </w:tcPr>
          <w:p w14:paraId="62AD4FBF">
            <w:pPr>
              <w:adjustRightInd w:val="0"/>
              <w:snapToGrid w:val="0"/>
              <w:spacing w:line="300" w:lineRule="exact"/>
              <w:jc w:val="center"/>
              <w:rPr>
                <w:rFonts w:hint="eastAsia" w:ascii="宋体" w:hAnsi="宋体"/>
                <w:snapToGrid w:val="0"/>
                <w:color w:val="000000" w:themeColor="text1"/>
                <w:kern w:val="0"/>
                <w:szCs w:val="21"/>
                <w14:textFill>
                  <w14:solidFill>
                    <w14:schemeClr w14:val="tx1"/>
                  </w14:solidFill>
                </w14:textFill>
              </w:rPr>
            </w:pPr>
            <w:r>
              <w:rPr>
                <w:rFonts w:hint="eastAsia" w:ascii="宋体" w:hAnsi="宋体"/>
                <w:snapToGrid w:val="0"/>
                <w:color w:val="000000" w:themeColor="text1"/>
                <w:kern w:val="0"/>
                <w:szCs w:val="21"/>
                <w14:textFill>
                  <w14:solidFill>
                    <w14:schemeClr w14:val="tx1"/>
                  </w14:solidFill>
                </w14:textFill>
              </w:rPr>
              <w:t>废气</w:t>
            </w:r>
          </w:p>
        </w:tc>
        <w:tc>
          <w:tcPr>
            <w:tcW w:w="3620" w:type="pct"/>
            <w:vAlign w:val="center"/>
          </w:tcPr>
          <w:p w14:paraId="2DD94D32">
            <w:pPr>
              <w:pStyle w:val="117"/>
              <w:adjustRightInd w:val="0"/>
              <w:snapToGrid w:val="0"/>
              <w:spacing w:line="300" w:lineRule="exact"/>
              <w:ind w:firstLine="0" w:firstLineChars="0"/>
              <w:jc w:val="left"/>
              <w:rPr>
                <w:rFonts w:hint="eastAsia"/>
                <w:snapToGrid w:val="0"/>
                <w:color w:val="000000" w:themeColor="text1"/>
                <w:kern w:val="0"/>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油气集输、处理过程中的油气无组织挥发废气通过选用质量合格的产品，加强对阀门、法兰、管线等连接件的检修进行防治；页岩油联合站内热媒炉、处理装置内置锅炉以天然气为燃料，废气通过8m高排气筒排放；拉油点伴生气通过放空火炬燃烧放空。</w:t>
            </w:r>
          </w:p>
        </w:tc>
      </w:tr>
      <w:tr w14:paraId="05137D8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387" w:type="pct"/>
            <w:vMerge w:val="continue"/>
            <w:vAlign w:val="center"/>
          </w:tcPr>
          <w:p w14:paraId="554B184E">
            <w:pPr>
              <w:overflowPunct w:val="0"/>
              <w:adjustRightInd w:val="0"/>
              <w:snapToGrid w:val="0"/>
              <w:spacing w:line="300" w:lineRule="exact"/>
              <w:jc w:val="center"/>
              <w:rPr>
                <w:rFonts w:hint="eastAsia" w:ascii="宋体" w:hAnsi="宋体"/>
                <w:snapToGrid w:val="0"/>
                <w:color w:val="000000" w:themeColor="text1"/>
                <w:kern w:val="0"/>
                <w:szCs w:val="21"/>
                <w14:textFill>
                  <w14:solidFill>
                    <w14:schemeClr w14:val="tx1"/>
                  </w14:solidFill>
                </w14:textFill>
              </w:rPr>
            </w:pPr>
          </w:p>
        </w:tc>
        <w:tc>
          <w:tcPr>
            <w:tcW w:w="993" w:type="pct"/>
            <w:gridSpan w:val="2"/>
            <w:vAlign w:val="center"/>
          </w:tcPr>
          <w:p w14:paraId="3CF041F3">
            <w:pPr>
              <w:adjustRightInd w:val="0"/>
              <w:snapToGrid w:val="0"/>
              <w:spacing w:line="300" w:lineRule="exact"/>
              <w:jc w:val="center"/>
              <w:rPr>
                <w:rFonts w:hint="eastAsia" w:ascii="宋体" w:hAnsi="宋体"/>
                <w:snapToGrid w:val="0"/>
                <w:color w:val="000000" w:themeColor="text1"/>
                <w:kern w:val="0"/>
                <w:szCs w:val="21"/>
                <w14:textFill>
                  <w14:solidFill>
                    <w14:schemeClr w14:val="tx1"/>
                  </w14:solidFill>
                </w14:textFill>
              </w:rPr>
            </w:pPr>
            <w:r>
              <w:rPr>
                <w:rFonts w:hint="eastAsia" w:ascii="宋体" w:hAnsi="宋体"/>
                <w:snapToGrid w:val="0"/>
                <w:color w:val="000000" w:themeColor="text1"/>
                <w:kern w:val="0"/>
                <w:szCs w:val="21"/>
                <w14:textFill>
                  <w14:solidFill>
                    <w14:schemeClr w14:val="tx1"/>
                  </w14:solidFill>
                </w14:textFill>
              </w:rPr>
              <w:t>噪声</w:t>
            </w:r>
          </w:p>
        </w:tc>
        <w:tc>
          <w:tcPr>
            <w:tcW w:w="3620" w:type="pct"/>
            <w:vAlign w:val="center"/>
          </w:tcPr>
          <w:p w14:paraId="681EEA68">
            <w:pPr>
              <w:pStyle w:val="117"/>
              <w:adjustRightInd w:val="0"/>
              <w:snapToGrid w:val="0"/>
              <w:spacing w:line="300" w:lineRule="exact"/>
              <w:ind w:firstLine="0" w:firstLineChars="0"/>
              <w:jc w:val="left"/>
              <w:rPr>
                <w:rFonts w:hint="eastAsia"/>
                <w:snapToGrid w:val="0"/>
                <w:color w:val="000000" w:themeColor="text1"/>
                <w:kern w:val="0"/>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选用低噪声设备，对高噪声设施采取基础减振；</w:t>
            </w:r>
          </w:p>
        </w:tc>
      </w:tr>
      <w:tr w14:paraId="2130CE2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387" w:type="pct"/>
            <w:vMerge w:val="continue"/>
            <w:vAlign w:val="center"/>
          </w:tcPr>
          <w:p w14:paraId="57C3BDDF">
            <w:pPr>
              <w:overflowPunct w:val="0"/>
              <w:adjustRightInd w:val="0"/>
              <w:snapToGrid w:val="0"/>
              <w:spacing w:line="300" w:lineRule="exact"/>
              <w:jc w:val="center"/>
              <w:rPr>
                <w:rFonts w:hint="eastAsia" w:ascii="宋体" w:hAnsi="宋体"/>
                <w:snapToGrid w:val="0"/>
                <w:color w:val="000000" w:themeColor="text1"/>
                <w:kern w:val="0"/>
                <w:szCs w:val="21"/>
                <w14:textFill>
                  <w14:solidFill>
                    <w14:schemeClr w14:val="tx1"/>
                  </w14:solidFill>
                </w14:textFill>
              </w:rPr>
            </w:pPr>
          </w:p>
        </w:tc>
        <w:tc>
          <w:tcPr>
            <w:tcW w:w="993" w:type="pct"/>
            <w:gridSpan w:val="2"/>
            <w:vAlign w:val="center"/>
          </w:tcPr>
          <w:p w14:paraId="0B57EA55">
            <w:pPr>
              <w:adjustRightInd w:val="0"/>
              <w:snapToGrid w:val="0"/>
              <w:spacing w:line="300" w:lineRule="exact"/>
              <w:jc w:val="center"/>
              <w:rPr>
                <w:rFonts w:hint="eastAsia" w:ascii="宋体" w:hAnsi="宋体"/>
                <w:snapToGrid w:val="0"/>
                <w:color w:val="000000" w:themeColor="text1"/>
                <w:kern w:val="0"/>
                <w:szCs w:val="21"/>
                <w14:textFill>
                  <w14:solidFill>
                    <w14:schemeClr w14:val="tx1"/>
                  </w14:solidFill>
                </w14:textFill>
              </w:rPr>
            </w:pPr>
            <w:r>
              <w:rPr>
                <w:rFonts w:hint="eastAsia" w:ascii="宋体" w:hAnsi="宋体"/>
                <w:snapToGrid w:val="0"/>
                <w:color w:val="000000" w:themeColor="text1"/>
                <w:kern w:val="0"/>
                <w:szCs w:val="21"/>
                <w14:textFill>
                  <w14:solidFill>
                    <w14:schemeClr w14:val="tx1"/>
                  </w14:solidFill>
                </w14:textFill>
              </w:rPr>
              <w:t>地下水</w:t>
            </w:r>
          </w:p>
        </w:tc>
        <w:tc>
          <w:tcPr>
            <w:tcW w:w="3620" w:type="pct"/>
            <w:vAlign w:val="center"/>
          </w:tcPr>
          <w:p w14:paraId="46C57BF2">
            <w:pPr>
              <w:pStyle w:val="117"/>
              <w:adjustRightInd w:val="0"/>
              <w:snapToGrid w:val="0"/>
              <w:spacing w:line="300" w:lineRule="exact"/>
              <w:ind w:firstLine="0" w:firstLineChars="0"/>
              <w:jc w:val="left"/>
              <w:rPr>
                <w:rFonts w:hint="eastAsia"/>
                <w:snapToGrid w:val="0"/>
                <w:color w:val="000000" w:themeColor="text1"/>
                <w:kern w:val="0"/>
                <w:sz w:val="21"/>
                <w:szCs w:val="21"/>
                <w14:textFill>
                  <w14:solidFill>
                    <w14:schemeClr w14:val="tx1"/>
                  </w14:solidFill>
                </w14:textFill>
              </w:rPr>
            </w:pPr>
            <w:r>
              <w:rPr>
                <w:rFonts w:hint="eastAsia"/>
                <w:snapToGrid w:val="0"/>
                <w:color w:val="000000" w:themeColor="text1"/>
                <w:kern w:val="0"/>
                <w:sz w:val="21"/>
                <w:szCs w:val="21"/>
                <w14:textFill>
                  <w14:solidFill>
                    <w14:schemeClr w14:val="tx1"/>
                  </w14:solidFill>
                </w14:textFill>
              </w:rPr>
              <w:t>井场和页岩油联合站的防渗措施</w:t>
            </w:r>
          </w:p>
        </w:tc>
      </w:tr>
      <w:tr w14:paraId="6A1D1B4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387" w:type="pct"/>
            <w:vMerge w:val="continue"/>
            <w:vAlign w:val="center"/>
          </w:tcPr>
          <w:p w14:paraId="68627753">
            <w:pPr>
              <w:overflowPunct w:val="0"/>
              <w:adjustRightInd w:val="0"/>
              <w:snapToGrid w:val="0"/>
              <w:spacing w:line="300" w:lineRule="exact"/>
              <w:jc w:val="center"/>
              <w:rPr>
                <w:rFonts w:hint="eastAsia" w:ascii="宋体" w:hAnsi="宋体"/>
                <w:snapToGrid w:val="0"/>
                <w:color w:val="000000" w:themeColor="text1"/>
                <w:kern w:val="0"/>
                <w:szCs w:val="21"/>
                <w14:textFill>
                  <w14:solidFill>
                    <w14:schemeClr w14:val="tx1"/>
                  </w14:solidFill>
                </w14:textFill>
              </w:rPr>
            </w:pPr>
          </w:p>
        </w:tc>
        <w:tc>
          <w:tcPr>
            <w:tcW w:w="993" w:type="pct"/>
            <w:gridSpan w:val="2"/>
            <w:vAlign w:val="center"/>
          </w:tcPr>
          <w:p w14:paraId="2488A955">
            <w:pPr>
              <w:adjustRightInd w:val="0"/>
              <w:snapToGrid w:val="0"/>
              <w:spacing w:line="300" w:lineRule="exact"/>
              <w:jc w:val="center"/>
              <w:rPr>
                <w:rFonts w:hint="eastAsia" w:ascii="宋体" w:hAnsi="宋体"/>
                <w:snapToGrid w:val="0"/>
                <w:color w:val="000000" w:themeColor="text1"/>
                <w:kern w:val="0"/>
                <w:szCs w:val="21"/>
                <w14:textFill>
                  <w14:solidFill>
                    <w14:schemeClr w14:val="tx1"/>
                  </w14:solidFill>
                </w14:textFill>
              </w:rPr>
            </w:pPr>
            <w:r>
              <w:rPr>
                <w:rFonts w:hint="eastAsia" w:ascii="宋体" w:hAnsi="宋体"/>
                <w:snapToGrid w:val="0"/>
                <w:color w:val="000000" w:themeColor="text1"/>
                <w:kern w:val="0"/>
                <w:szCs w:val="21"/>
                <w14:textFill>
                  <w14:solidFill>
                    <w14:schemeClr w14:val="tx1"/>
                  </w14:solidFill>
                </w14:textFill>
              </w:rPr>
              <w:t>环境风险</w:t>
            </w:r>
          </w:p>
        </w:tc>
        <w:tc>
          <w:tcPr>
            <w:tcW w:w="3620" w:type="pct"/>
            <w:vAlign w:val="center"/>
          </w:tcPr>
          <w:p w14:paraId="29D4F739">
            <w:pPr>
              <w:pStyle w:val="117"/>
              <w:adjustRightInd w:val="0"/>
              <w:snapToGrid w:val="0"/>
              <w:spacing w:line="300" w:lineRule="exact"/>
              <w:ind w:firstLine="0" w:firstLineChars="0"/>
              <w:jc w:val="left"/>
              <w:rPr>
                <w:rFonts w:hint="eastAsia"/>
                <w:snapToGrid w:val="0"/>
                <w:color w:val="000000" w:themeColor="text1"/>
                <w:kern w:val="0"/>
                <w:sz w:val="21"/>
                <w:szCs w:val="21"/>
                <w14:textFill>
                  <w14:solidFill>
                    <w14:schemeClr w14:val="tx1"/>
                  </w14:solidFill>
                </w14:textFill>
              </w:rPr>
            </w:pPr>
            <w:r>
              <w:rPr>
                <w:rFonts w:hint="eastAsia"/>
                <w:snapToGrid w:val="0"/>
                <w:color w:val="000000" w:themeColor="text1"/>
                <w:kern w:val="0"/>
                <w:sz w:val="21"/>
                <w:szCs w:val="21"/>
                <w14:textFill>
                  <w14:solidFill>
                    <w14:schemeClr w14:val="tx1"/>
                  </w14:solidFill>
                </w14:textFill>
              </w:rPr>
              <w:t>页岩油联合站内已建</w:t>
            </w:r>
            <w:r>
              <w:rPr>
                <w:rFonts w:hint="eastAsia" w:cs="宋体"/>
                <w:color w:val="000000" w:themeColor="text1"/>
                <w:sz w:val="21"/>
                <w:szCs w:val="21"/>
                <w14:textFill>
                  <w14:solidFill>
                    <w14:schemeClr w14:val="tx1"/>
                  </w14:solidFill>
                </w14:textFill>
              </w:rPr>
              <w:t>4座4000m</w:t>
            </w:r>
            <w:r>
              <w:rPr>
                <w:rFonts w:hint="eastAsia" w:cs="宋体"/>
                <w:color w:val="000000" w:themeColor="text1"/>
                <w:sz w:val="21"/>
                <w:szCs w:val="21"/>
                <w:vertAlign w:val="superscript"/>
                <w14:textFill>
                  <w14:solidFill>
                    <w14:schemeClr w14:val="tx1"/>
                  </w14:solidFill>
                </w14:textFill>
              </w:rPr>
              <w:t>3</w:t>
            </w:r>
            <w:r>
              <w:rPr>
                <w:rFonts w:hint="eastAsia" w:cs="宋体"/>
                <w:color w:val="000000" w:themeColor="text1"/>
                <w:sz w:val="21"/>
                <w:szCs w:val="21"/>
                <w14:textFill>
                  <w14:solidFill>
                    <w14:schemeClr w14:val="tx1"/>
                  </w14:solidFill>
                </w14:textFill>
              </w:rPr>
              <w:t>的事故罐、2座1000m</w:t>
            </w:r>
            <w:r>
              <w:rPr>
                <w:rFonts w:hint="eastAsia" w:cs="宋体"/>
                <w:color w:val="000000" w:themeColor="text1"/>
                <w:sz w:val="21"/>
                <w:szCs w:val="21"/>
                <w:vertAlign w:val="superscript"/>
                <w14:textFill>
                  <w14:solidFill>
                    <w14:schemeClr w14:val="tx1"/>
                  </w14:solidFill>
                </w14:textFill>
              </w:rPr>
              <w:t>3</w:t>
            </w:r>
            <w:r>
              <w:rPr>
                <w:rFonts w:hint="eastAsia" w:cs="宋体"/>
                <w:color w:val="000000" w:themeColor="text1"/>
                <w:sz w:val="21"/>
                <w:szCs w:val="21"/>
                <w14:textFill>
                  <w14:solidFill>
                    <w14:schemeClr w14:val="tx1"/>
                  </w14:solidFill>
                </w14:textFill>
              </w:rPr>
              <w:t>的卸油缓冲罐，罐区安装可燃气体探测仪，放空火炬；1号混输泵站的2座1500m</w:t>
            </w:r>
            <w:r>
              <w:rPr>
                <w:rFonts w:hint="eastAsia" w:cs="宋体"/>
                <w:color w:val="000000" w:themeColor="text1"/>
                <w:sz w:val="21"/>
                <w:szCs w:val="21"/>
                <w:vertAlign w:val="superscript"/>
                <w14:textFill>
                  <w14:solidFill>
                    <w14:schemeClr w14:val="tx1"/>
                  </w14:solidFill>
                </w14:textFill>
              </w:rPr>
              <w:t>3</w:t>
            </w:r>
            <w:r>
              <w:rPr>
                <w:rFonts w:hint="eastAsia" w:cs="宋体"/>
                <w:color w:val="000000" w:themeColor="text1"/>
                <w:sz w:val="21"/>
                <w:szCs w:val="21"/>
                <w14:textFill>
                  <w14:solidFill>
                    <w14:schemeClr w14:val="tx1"/>
                  </w14:solidFill>
                </w14:textFill>
              </w:rPr>
              <w:t>事故罐，1座10m高的放空火炬</w:t>
            </w:r>
          </w:p>
        </w:tc>
      </w:tr>
    </w:tbl>
    <w:p w14:paraId="79AC36E6">
      <w:pPr>
        <w:pStyle w:val="117"/>
        <w:ind w:firstLine="480"/>
        <w:rPr>
          <w:rFonts w:hint="eastAsia"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（2）工艺流程</w:t>
      </w:r>
    </w:p>
    <w:p w14:paraId="5EC31A07">
      <w:pPr>
        <w:pStyle w:val="117"/>
        <w:ind w:firstLine="480"/>
        <w:rPr>
          <w:rFonts w:hint="eastAsia"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①页岩油井区集输工艺</w:t>
      </w:r>
    </w:p>
    <w:p w14:paraId="7DCA5DC6">
      <w:pPr>
        <w:pStyle w:val="117"/>
        <w:ind w:firstLine="480"/>
        <w:rPr>
          <w:rFonts w:hint="eastAsia"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页岩油井区主体采用“采油井→计量站/拉油站→页岩油联合站的二级布站集输工艺”和“采油井→计量站→1号混输泵站→页岩油联合站”的三级布站集输工艺，少数探井或评价井转为产能井因部署分散采用单井计量、单井拉油方式生产。井区已建采油井均采用单井电加热的方式生产，井口设有除硫加药装置。</w:t>
      </w:r>
    </w:p>
    <w:p w14:paraId="577C6FF6">
      <w:pPr>
        <w:pStyle w:val="117"/>
        <w:ind w:firstLine="480"/>
        <w:rPr>
          <w:rFonts w:hint="eastAsia"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②页岩油联合站原油处理系统</w:t>
      </w:r>
    </w:p>
    <w:p w14:paraId="5BE01418">
      <w:pPr>
        <w:pStyle w:val="191"/>
        <w:ind w:firstLine="472"/>
        <w:rPr>
          <w:rFonts w:hint="eastAsia"/>
          <w:color w:val="000000" w:themeColor="text1"/>
          <w:spacing w:val="-4"/>
          <w14:textFill>
            <w14:solidFill>
              <w14:schemeClr w14:val="tx1"/>
            </w14:solidFill>
          </w14:textFill>
        </w:rPr>
      </w:pPr>
      <w:r>
        <w:rPr>
          <w:rFonts w:hint="eastAsia"/>
          <w:color w:val="000000" w:themeColor="text1"/>
          <w:spacing w:val="-4"/>
          <w14:textFill>
            <w14:solidFill>
              <w14:schemeClr w14:val="tx1"/>
            </w14:solidFill>
          </w14:textFill>
        </w:rPr>
        <w:t>页岩油联合站主要负责处理页岩油井区采出物，原油处理系统设计规模</w:t>
      </w:r>
      <w:r>
        <w:rPr>
          <w:color w:val="000000" w:themeColor="text1"/>
          <w:spacing w:val="-4"/>
          <w14:textFill>
            <w14:solidFill>
              <w14:schemeClr w14:val="tx1"/>
            </w14:solidFill>
          </w14:textFill>
        </w:rPr>
        <w:t>100</w:t>
      </w:r>
      <w:r>
        <w:rPr>
          <w:rFonts w:hint="eastAsia"/>
          <w:color w:val="000000" w:themeColor="text1"/>
          <w:spacing w:val="-4"/>
          <w14:textFill>
            <w14:solidFill>
              <w14:schemeClr w14:val="tx1"/>
            </w14:solidFill>
          </w14:textFill>
        </w:rPr>
        <w:t>×</w:t>
      </w:r>
      <w:r>
        <w:rPr>
          <w:color w:val="000000" w:themeColor="text1"/>
          <w:spacing w:val="-4"/>
          <w14:textFill>
            <w14:solidFill>
              <w14:schemeClr w14:val="tx1"/>
            </w14:solidFill>
          </w14:textFill>
        </w:rPr>
        <w:t>10</w:t>
      </w:r>
      <w:r>
        <w:rPr>
          <w:color w:val="000000" w:themeColor="text1"/>
          <w:spacing w:val="-4"/>
          <w:vertAlign w:val="superscript"/>
          <w14:textFill>
            <w14:solidFill>
              <w14:schemeClr w14:val="tx1"/>
            </w14:solidFill>
          </w14:textFill>
        </w:rPr>
        <w:t>4</w:t>
      </w:r>
      <w:r>
        <w:rPr>
          <w:color w:val="000000" w:themeColor="text1"/>
          <w:spacing w:val="-4"/>
          <w14:textFill>
            <w14:solidFill>
              <w14:schemeClr w14:val="tx1"/>
            </w14:solidFill>
          </w14:textFill>
        </w:rPr>
        <w:t>t/a</w:t>
      </w:r>
      <w:r>
        <w:rPr>
          <w:rFonts w:hint="eastAsia"/>
          <w:color w:val="000000" w:themeColor="text1"/>
          <w:spacing w:val="-4"/>
          <w14:textFill>
            <w14:solidFill>
              <w14:schemeClr w14:val="tx1"/>
            </w14:solidFill>
          </w14:textFill>
        </w:rPr>
        <w:t>（有</w:t>
      </w:r>
      <w:r>
        <w:rPr>
          <w:color w:val="000000" w:themeColor="text1"/>
          <w:spacing w:val="-4"/>
          <w14:textFill>
            <w14:solidFill>
              <w14:schemeClr w14:val="tx1"/>
            </w14:solidFill>
          </w14:textFill>
        </w:rPr>
        <w:t>1.2</w:t>
      </w:r>
      <w:r>
        <w:rPr>
          <w:rFonts w:hint="eastAsia"/>
          <w:color w:val="000000" w:themeColor="text1"/>
          <w:spacing w:val="-4"/>
          <w14:textFill>
            <w14:solidFill>
              <w14:schemeClr w14:val="tx1"/>
            </w14:solidFill>
          </w14:textFill>
        </w:rPr>
        <w:t>倍的弹性系数，最大处理能力可达</w:t>
      </w:r>
      <w:r>
        <w:rPr>
          <w:color w:val="000000" w:themeColor="text1"/>
          <w:spacing w:val="-4"/>
          <w14:textFill>
            <w14:solidFill>
              <w14:schemeClr w14:val="tx1"/>
            </w14:solidFill>
          </w14:textFill>
        </w:rPr>
        <w:t>120</w:t>
      </w:r>
      <w:r>
        <w:rPr>
          <w:rFonts w:hint="eastAsia"/>
          <w:color w:val="000000" w:themeColor="text1"/>
          <w:spacing w:val="-4"/>
          <w14:textFill>
            <w14:solidFill>
              <w14:schemeClr w14:val="tx1"/>
            </w14:solidFill>
          </w14:textFill>
        </w:rPr>
        <w:t>×</w:t>
      </w:r>
      <w:r>
        <w:rPr>
          <w:color w:val="000000" w:themeColor="text1"/>
          <w:spacing w:val="-4"/>
          <w14:textFill>
            <w14:solidFill>
              <w14:schemeClr w14:val="tx1"/>
            </w14:solidFill>
          </w14:textFill>
        </w:rPr>
        <w:t>10</w:t>
      </w:r>
      <w:r>
        <w:rPr>
          <w:color w:val="000000" w:themeColor="text1"/>
          <w:spacing w:val="-4"/>
          <w:vertAlign w:val="superscript"/>
          <w14:textFill>
            <w14:solidFill>
              <w14:schemeClr w14:val="tx1"/>
            </w14:solidFill>
          </w14:textFill>
        </w:rPr>
        <w:t>4</w:t>
      </w:r>
      <w:r>
        <w:rPr>
          <w:color w:val="000000" w:themeColor="text1"/>
          <w:spacing w:val="-4"/>
          <w14:textFill>
            <w14:solidFill>
              <w14:schemeClr w14:val="tx1"/>
            </w14:solidFill>
          </w14:textFill>
        </w:rPr>
        <w:t>t/a</w:t>
      </w:r>
      <w:r>
        <w:rPr>
          <w:rFonts w:hint="eastAsia"/>
          <w:color w:val="000000" w:themeColor="text1"/>
          <w:spacing w:val="-4"/>
          <w14:textFill>
            <w14:solidFill>
              <w14:schemeClr w14:val="tx1"/>
            </w14:solidFill>
          </w14:textFill>
        </w:rPr>
        <w:t>），在建原油处理系统设计规模为5</w:t>
      </w:r>
      <w:r>
        <w:rPr>
          <w:color w:val="000000" w:themeColor="text1"/>
          <w:spacing w:val="-4"/>
          <w14:textFill>
            <w14:solidFill>
              <w14:schemeClr w14:val="tx1"/>
            </w14:solidFill>
          </w14:textFill>
        </w:rPr>
        <w:t>0</w:t>
      </w:r>
      <w:r>
        <w:rPr>
          <w:rFonts w:hint="eastAsia"/>
          <w:color w:val="000000" w:themeColor="text1"/>
          <w:spacing w:val="-4"/>
          <w14:textFill>
            <w14:solidFill>
              <w14:schemeClr w14:val="tx1"/>
            </w14:solidFill>
          </w14:textFill>
        </w:rPr>
        <w:t>×</w:t>
      </w:r>
      <w:r>
        <w:rPr>
          <w:color w:val="000000" w:themeColor="text1"/>
          <w:spacing w:val="-4"/>
          <w14:textFill>
            <w14:solidFill>
              <w14:schemeClr w14:val="tx1"/>
            </w14:solidFill>
          </w14:textFill>
        </w:rPr>
        <w:t>10</w:t>
      </w:r>
      <w:r>
        <w:rPr>
          <w:color w:val="000000" w:themeColor="text1"/>
          <w:spacing w:val="-4"/>
          <w:vertAlign w:val="superscript"/>
          <w14:textFill>
            <w14:solidFill>
              <w14:schemeClr w14:val="tx1"/>
            </w14:solidFill>
          </w14:textFill>
        </w:rPr>
        <w:t>4</w:t>
      </w:r>
      <w:r>
        <w:rPr>
          <w:color w:val="000000" w:themeColor="text1"/>
          <w:spacing w:val="-4"/>
          <w14:textFill>
            <w14:solidFill>
              <w14:schemeClr w14:val="tx1"/>
            </w14:solidFill>
          </w14:textFill>
        </w:rPr>
        <w:t>t/a</w:t>
      </w:r>
      <w:r>
        <w:rPr>
          <w:rFonts w:hint="eastAsia"/>
          <w:color w:val="000000" w:themeColor="text1"/>
          <w:spacing w:val="-4"/>
          <w14:textFill>
            <w14:solidFill>
              <w14:schemeClr w14:val="tx1"/>
            </w14:solidFill>
          </w14:textFill>
        </w:rPr>
        <w:t>（目前已建设完成，正在组织竣工环境保护验收），目前处理量为141.47×</w:t>
      </w:r>
      <w:r>
        <w:rPr>
          <w:color w:val="000000" w:themeColor="text1"/>
          <w:spacing w:val="-4"/>
          <w14:textFill>
            <w14:solidFill>
              <w14:schemeClr w14:val="tx1"/>
            </w14:solidFill>
          </w14:textFill>
        </w:rPr>
        <w:t>10</w:t>
      </w:r>
      <w:r>
        <w:rPr>
          <w:color w:val="000000" w:themeColor="text1"/>
          <w:spacing w:val="-4"/>
          <w:vertAlign w:val="superscript"/>
          <w14:textFill>
            <w14:solidFill>
              <w14:schemeClr w14:val="tx1"/>
            </w14:solidFill>
          </w14:textFill>
        </w:rPr>
        <w:t>4</w:t>
      </w:r>
      <w:r>
        <w:rPr>
          <w:color w:val="000000" w:themeColor="text1"/>
          <w:spacing w:val="-4"/>
          <w14:textFill>
            <w14:solidFill>
              <w14:schemeClr w14:val="tx1"/>
            </w14:solidFill>
          </w14:textFill>
        </w:rPr>
        <w:t>t/a</w:t>
      </w:r>
      <w:r>
        <w:rPr>
          <w:rFonts w:hint="eastAsia"/>
          <w:color w:val="000000" w:themeColor="text1"/>
          <w:spacing w:val="-4"/>
          <w14:textFill>
            <w14:solidFill>
              <w14:schemeClr w14:val="tx1"/>
            </w14:solidFill>
          </w14:textFill>
        </w:rPr>
        <w:t>。原油处理采用“热电化学沉降脱水”工艺，集油区气液密闭混输进站（</w:t>
      </w:r>
      <w:r>
        <w:rPr>
          <w:color w:val="000000" w:themeColor="text1"/>
          <w:spacing w:val="-4"/>
          <w14:textFill>
            <w14:solidFill>
              <w14:schemeClr w14:val="tx1"/>
            </w14:solidFill>
          </w14:textFill>
        </w:rPr>
        <w:t>40</w:t>
      </w:r>
      <w:r>
        <w:rPr>
          <w:rFonts w:hint="eastAsia"/>
          <w:color w:val="000000" w:themeColor="text1"/>
          <w:spacing w:val="-4"/>
          <w14:textFill>
            <w14:solidFill>
              <w14:schemeClr w14:val="tx1"/>
            </w14:solidFill>
          </w14:textFill>
        </w:rPr>
        <w:t>℃～</w:t>
      </w:r>
      <w:r>
        <w:rPr>
          <w:color w:val="000000" w:themeColor="text1"/>
          <w:spacing w:val="-4"/>
          <w14:textFill>
            <w14:solidFill>
              <w14:schemeClr w14:val="tx1"/>
            </w14:solidFill>
          </w14:textFill>
        </w:rPr>
        <w:t>45</w:t>
      </w:r>
      <w:r>
        <w:rPr>
          <w:rFonts w:hint="eastAsia"/>
          <w:color w:val="000000" w:themeColor="text1"/>
          <w:spacing w:val="-4"/>
          <w14:textFill>
            <w14:solidFill>
              <w14:schemeClr w14:val="tx1"/>
            </w14:solidFill>
          </w14:textFill>
        </w:rPr>
        <w:t>℃，</w:t>
      </w:r>
      <w:r>
        <w:rPr>
          <w:color w:val="000000" w:themeColor="text1"/>
          <w:spacing w:val="-4"/>
          <w14:textFill>
            <w14:solidFill>
              <w14:schemeClr w14:val="tx1"/>
            </w14:solidFill>
          </w14:textFill>
        </w:rPr>
        <w:t>0.4MPa</w:t>
      </w:r>
      <w:r>
        <w:rPr>
          <w:rFonts w:hint="eastAsia"/>
          <w:color w:val="000000" w:themeColor="text1"/>
          <w:spacing w:val="-4"/>
          <w14:textFill>
            <w14:solidFill>
              <w14:schemeClr w14:val="tx1"/>
            </w14:solidFill>
          </w14:textFill>
        </w:rPr>
        <w:t>）与卸油缓冲罐来液（</w:t>
      </w:r>
      <w:r>
        <w:rPr>
          <w:color w:val="000000" w:themeColor="text1"/>
          <w:spacing w:val="-4"/>
          <w14:textFill>
            <w14:solidFill>
              <w14:schemeClr w14:val="tx1"/>
            </w14:solidFill>
          </w14:textFill>
        </w:rPr>
        <w:t>40</w:t>
      </w:r>
      <w:r>
        <w:rPr>
          <w:rFonts w:hint="eastAsia"/>
          <w:color w:val="000000" w:themeColor="text1"/>
          <w:spacing w:val="-4"/>
          <w14:textFill>
            <w14:solidFill>
              <w14:schemeClr w14:val="tx1"/>
            </w14:solidFill>
          </w14:textFill>
        </w:rPr>
        <w:t>℃～</w:t>
      </w:r>
      <w:r>
        <w:rPr>
          <w:color w:val="000000" w:themeColor="text1"/>
          <w:spacing w:val="-4"/>
          <w14:textFill>
            <w14:solidFill>
              <w14:schemeClr w14:val="tx1"/>
            </w14:solidFill>
          </w14:textFill>
        </w:rPr>
        <w:t>45</w:t>
      </w:r>
      <w:r>
        <w:rPr>
          <w:rFonts w:hint="eastAsia"/>
          <w:color w:val="000000" w:themeColor="text1"/>
          <w:spacing w:val="-4"/>
          <w14:textFill>
            <w14:solidFill>
              <w14:schemeClr w14:val="tx1"/>
            </w14:solidFill>
          </w14:textFill>
        </w:rPr>
        <w:t>℃，</w:t>
      </w:r>
      <w:r>
        <w:rPr>
          <w:color w:val="000000" w:themeColor="text1"/>
          <w:spacing w:val="-4"/>
          <w14:textFill>
            <w14:solidFill>
              <w14:schemeClr w14:val="tx1"/>
            </w14:solidFill>
          </w14:textFill>
        </w:rPr>
        <w:t>0.4MPa</w:t>
      </w:r>
      <w:r>
        <w:rPr>
          <w:rFonts w:hint="eastAsia"/>
          <w:color w:val="000000" w:themeColor="text1"/>
          <w:spacing w:val="-4"/>
          <w14:textFill>
            <w14:solidFill>
              <w14:schemeClr w14:val="tx1"/>
            </w14:solidFill>
          </w14:textFill>
        </w:rPr>
        <w:t>）在进站管汇混合后，先进三相分离器，分离出来的低含水原油（</w:t>
      </w:r>
      <w:r>
        <w:rPr>
          <w:color w:val="000000" w:themeColor="text1"/>
          <w:spacing w:val="-4"/>
          <w14:textFill>
            <w14:solidFill>
              <w14:schemeClr w14:val="tx1"/>
            </w14:solidFill>
          </w14:textFill>
        </w:rPr>
        <w:t>40</w:t>
      </w:r>
      <w:r>
        <w:rPr>
          <w:rFonts w:hint="eastAsia"/>
          <w:color w:val="000000" w:themeColor="text1"/>
          <w:spacing w:val="-4"/>
          <w14:textFill>
            <w14:solidFill>
              <w14:schemeClr w14:val="tx1"/>
            </w14:solidFill>
          </w14:textFill>
        </w:rPr>
        <w:t>℃～</w:t>
      </w:r>
      <w:r>
        <w:rPr>
          <w:color w:val="000000" w:themeColor="text1"/>
          <w:spacing w:val="-4"/>
          <w14:textFill>
            <w14:solidFill>
              <w14:schemeClr w14:val="tx1"/>
            </w14:solidFill>
          </w14:textFill>
        </w:rPr>
        <w:t>45</w:t>
      </w:r>
      <w:r>
        <w:rPr>
          <w:rFonts w:hint="eastAsia"/>
          <w:color w:val="000000" w:themeColor="text1"/>
          <w:spacing w:val="-4"/>
          <w14:textFill>
            <w14:solidFill>
              <w14:schemeClr w14:val="tx1"/>
            </w14:solidFill>
          </w14:textFill>
        </w:rPr>
        <w:t>℃）添加破乳剂后进入多功能处理装置。原油在多功能处理装置内经加热（</w:t>
      </w:r>
      <w:r>
        <w:rPr>
          <w:color w:val="000000" w:themeColor="text1"/>
          <w:spacing w:val="-4"/>
          <w14:textFill>
            <w14:solidFill>
              <w14:schemeClr w14:val="tx1"/>
            </w14:solidFill>
          </w14:textFill>
        </w:rPr>
        <w:t>60</w:t>
      </w:r>
      <w:r>
        <w:rPr>
          <w:rFonts w:hint="eastAsia"/>
          <w:color w:val="000000" w:themeColor="text1"/>
          <w:spacing w:val="-4"/>
          <w14:textFill>
            <w14:solidFill>
              <w14:schemeClr w14:val="tx1"/>
            </w14:solidFill>
          </w14:textFill>
        </w:rPr>
        <w:t>℃）、化学脱水和电脱水后出净化油进入外输系统。三相分离器及多功能处理油气水分离段分离出的伴生气经除油器除油、天然气处理装置处理后供站内使用。三相器分离出的水去压裂返排液处理装置，处理合格后用于压裂液复配；多功能处理装置分离出的水与卸油台来液在卸油缓冲罐混合后回掺至进站管汇。</w:t>
      </w:r>
    </w:p>
    <w:p w14:paraId="3E6FD3DB">
      <w:pPr>
        <w:pStyle w:val="191"/>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页岩油联合站处理后净化油和吉祥联合站净化原油混合后进入压力缓冲罐，经外输泵增压、换热器换热、计量后输送至北三台油库。净化油外输系统规模为</w:t>
      </w:r>
      <w:r>
        <w:rPr>
          <w:color w:val="000000" w:themeColor="text1"/>
          <w14:textFill>
            <w14:solidFill>
              <w14:schemeClr w14:val="tx1"/>
            </w14:solidFill>
          </w14:textFill>
        </w:rPr>
        <w:t>260</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10</w:t>
      </w:r>
      <w:r>
        <w:rPr>
          <w:color w:val="000000" w:themeColor="text1"/>
          <w:vertAlign w:val="superscript"/>
          <w14:textFill>
            <w14:solidFill>
              <w14:schemeClr w14:val="tx1"/>
            </w14:solidFill>
          </w14:textFill>
        </w:rPr>
        <w:t>4</w:t>
      </w:r>
      <w:r>
        <w:rPr>
          <w:color w:val="000000" w:themeColor="text1"/>
          <w14:textFill>
            <w14:solidFill>
              <w14:schemeClr w14:val="tx1"/>
            </w14:solidFill>
          </w14:textFill>
        </w:rPr>
        <w:t>t/a</w:t>
      </w:r>
      <w:r>
        <w:rPr>
          <w:rFonts w:hint="eastAsia"/>
          <w:color w:val="000000" w:themeColor="text1"/>
          <w14:textFill>
            <w14:solidFill>
              <w14:schemeClr w14:val="tx1"/>
            </w14:solidFill>
          </w14:textFill>
        </w:rPr>
        <w:t>，目前外输量为178.47×</w:t>
      </w:r>
      <w:r>
        <w:rPr>
          <w:color w:val="000000" w:themeColor="text1"/>
          <w14:textFill>
            <w14:solidFill>
              <w14:schemeClr w14:val="tx1"/>
            </w14:solidFill>
          </w14:textFill>
        </w:rPr>
        <w:t>10</w:t>
      </w:r>
      <w:r>
        <w:rPr>
          <w:color w:val="000000" w:themeColor="text1"/>
          <w:vertAlign w:val="superscript"/>
          <w14:textFill>
            <w14:solidFill>
              <w14:schemeClr w14:val="tx1"/>
            </w14:solidFill>
          </w14:textFill>
        </w:rPr>
        <w:t>4</w:t>
      </w:r>
      <w:r>
        <w:rPr>
          <w:color w:val="000000" w:themeColor="text1"/>
          <w14:textFill>
            <w14:solidFill>
              <w14:schemeClr w14:val="tx1"/>
            </w14:solidFill>
          </w14:textFill>
        </w:rPr>
        <w:t>t/a</w:t>
      </w:r>
      <w:r>
        <w:rPr>
          <w:rFonts w:hint="eastAsia"/>
          <w:color w:val="000000" w:themeColor="text1"/>
          <w14:textFill>
            <w14:solidFill>
              <w14:schemeClr w14:val="tx1"/>
            </w14:solidFill>
          </w14:textFill>
        </w:rPr>
        <w:t>（页岩油联合站</w:t>
      </w:r>
      <w:r>
        <w:rPr>
          <w:rFonts w:hint="eastAsia"/>
          <w:color w:val="000000" w:themeColor="text1"/>
          <w:spacing w:val="-4"/>
          <w14:textFill>
            <w14:solidFill>
              <w14:schemeClr w14:val="tx1"/>
            </w14:solidFill>
          </w14:textFill>
        </w:rPr>
        <w:t>141.47×</w:t>
      </w:r>
      <w:r>
        <w:rPr>
          <w:color w:val="000000" w:themeColor="text1"/>
          <w:spacing w:val="-4"/>
          <w14:textFill>
            <w14:solidFill>
              <w14:schemeClr w14:val="tx1"/>
            </w14:solidFill>
          </w14:textFill>
        </w:rPr>
        <w:t>10</w:t>
      </w:r>
      <w:r>
        <w:rPr>
          <w:color w:val="000000" w:themeColor="text1"/>
          <w:spacing w:val="-4"/>
          <w:vertAlign w:val="superscript"/>
          <w14:textFill>
            <w14:solidFill>
              <w14:schemeClr w14:val="tx1"/>
            </w14:solidFill>
          </w14:textFill>
        </w:rPr>
        <w:t>4</w:t>
      </w:r>
      <w:r>
        <w:rPr>
          <w:color w:val="000000" w:themeColor="text1"/>
          <w:spacing w:val="-4"/>
          <w14:textFill>
            <w14:solidFill>
              <w14:schemeClr w14:val="tx1"/>
            </w14:solidFill>
          </w14:textFill>
        </w:rPr>
        <w:t>t/a</w:t>
      </w:r>
      <w:r>
        <w:rPr>
          <w:rFonts w:hint="eastAsia"/>
          <w:color w:val="000000" w:themeColor="text1"/>
          <w:spacing w:val="-4"/>
          <w14:textFill>
            <w14:solidFill>
              <w14:schemeClr w14:val="tx1"/>
            </w14:solidFill>
          </w14:textFill>
        </w:rPr>
        <w:t>、吉祥联合站约37×</w:t>
      </w:r>
      <w:r>
        <w:rPr>
          <w:color w:val="000000" w:themeColor="text1"/>
          <w:spacing w:val="-4"/>
          <w14:textFill>
            <w14:solidFill>
              <w14:schemeClr w14:val="tx1"/>
            </w14:solidFill>
          </w14:textFill>
        </w:rPr>
        <w:t>10</w:t>
      </w:r>
      <w:r>
        <w:rPr>
          <w:color w:val="000000" w:themeColor="text1"/>
          <w:spacing w:val="-4"/>
          <w:vertAlign w:val="superscript"/>
          <w14:textFill>
            <w14:solidFill>
              <w14:schemeClr w14:val="tx1"/>
            </w14:solidFill>
          </w14:textFill>
        </w:rPr>
        <w:t>4</w:t>
      </w:r>
      <w:r>
        <w:rPr>
          <w:color w:val="000000" w:themeColor="text1"/>
          <w:spacing w:val="-4"/>
          <w14:textFill>
            <w14:solidFill>
              <w14:schemeClr w14:val="tx1"/>
            </w14:solidFill>
          </w14:textFill>
        </w:rPr>
        <w:t>t/a</w:t>
      </w:r>
      <w:r>
        <w:rPr>
          <w:rFonts w:hint="eastAsia"/>
          <w:color w:val="000000" w:themeColor="text1"/>
          <w14:textFill>
            <w14:solidFill>
              <w14:schemeClr w14:val="tx1"/>
            </w14:solidFill>
          </w14:textFill>
        </w:rPr>
        <w:t>）。页岩油联合站至北三台油库的外输管道规格为</w:t>
      </w:r>
      <w:r>
        <w:rPr>
          <w:color w:val="000000" w:themeColor="text1"/>
          <w14:textFill>
            <w14:solidFill>
              <w14:schemeClr w14:val="tx1"/>
            </w14:solidFill>
          </w14:textFill>
        </w:rPr>
        <w:t>D273</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7.1/L450M</w:t>
      </w:r>
      <w:r>
        <w:rPr>
          <w:rFonts w:hint="eastAsia"/>
          <w:color w:val="000000" w:themeColor="text1"/>
          <w14:textFill>
            <w14:solidFill>
              <w14:schemeClr w14:val="tx1"/>
            </w14:solidFill>
          </w14:textFill>
        </w:rPr>
        <w:t>，长度为</w:t>
      </w:r>
      <w:r>
        <w:rPr>
          <w:color w:val="000000" w:themeColor="text1"/>
          <w14:textFill>
            <w14:solidFill>
              <w14:schemeClr w14:val="tx1"/>
            </w14:solidFill>
          </w14:textFill>
        </w:rPr>
        <w:t>35km</w:t>
      </w:r>
      <w:r>
        <w:rPr>
          <w:rFonts w:hint="eastAsia"/>
          <w:color w:val="000000" w:themeColor="text1"/>
          <w14:textFill>
            <w14:solidFill>
              <w14:schemeClr w14:val="tx1"/>
            </w14:solidFill>
          </w14:textFill>
        </w:rPr>
        <w:t>。</w:t>
      </w:r>
    </w:p>
    <w:p w14:paraId="631F4B0E">
      <w:pPr>
        <w:pStyle w:val="191"/>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页岩油联合站原油处理系统工艺流程见图3.1-2。</w:t>
      </w:r>
    </w:p>
    <w:p w14:paraId="2D04D3B9">
      <w:pPr>
        <w:pStyle w:val="117"/>
        <w:ind w:firstLine="480"/>
        <w:rPr>
          <w:rFonts w:hint="eastAsia"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③页岩油联合站伴生气处理系统</w:t>
      </w:r>
    </w:p>
    <w:p w14:paraId="2D3B2BD0">
      <w:pPr>
        <w:pStyle w:val="191"/>
        <w:spacing w:line="480" w:lineRule="exact"/>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油区页岩油联合站天然气处理系统设计处理规模3×</w:t>
      </w:r>
      <w:r>
        <w:rPr>
          <w:color w:val="000000" w:themeColor="text1"/>
          <w14:textFill>
            <w14:solidFill>
              <w14:schemeClr w14:val="tx1"/>
            </w14:solidFill>
          </w14:textFill>
        </w:rPr>
        <w:t>10</w:t>
      </w:r>
      <w:r>
        <w:rPr>
          <w:color w:val="000000" w:themeColor="text1"/>
          <w:vertAlign w:val="superscript"/>
          <w14:textFill>
            <w14:solidFill>
              <w14:schemeClr w14:val="tx1"/>
            </w14:solidFill>
          </w14:textFill>
        </w:rPr>
        <w:t>4</w:t>
      </w:r>
      <w:r>
        <w:rPr>
          <w:color w:val="000000" w:themeColor="text1"/>
          <w14:textFill>
            <w14:solidFill>
              <w14:schemeClr w14:val="tx1"/>
            </w14:solidFill>
          </w14:textFill>
        </w:rPr>
        <w:t>Nm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/d</w:t>
      </w:r>
      <w:r>
        <w:rPr>
          <w:rFonts w:hint="eastAsia"/>
          <w:color w:val="000000" w:themeColor="text1"/>
          <w14:textFill>
            <w14:solidFill>
              <w14:schemeClr w14:val="tx1"/>
            </w14:solidFill>
          </w14:textFill>
        </w:rPr>
        <w:t>，</w:t>
      </w:r>
      <w:bookmarkStart w:id="196" w:name="OLE_LINK14"/>
      <w:r>
        <w:rPr>
          <w:rFonts w:hint="eastAsia"/>
          <w:color w:val="000000" w:themeColor="text1"/>
          <w14:textFill>
            <w14:solidFill>
              <w14:schemeClr w14:val="tx1"/>
            </w14:solidFill>
          </w14:textFill>
        </w:rPr>
        <w:t>目前实际处理气量约为1.2×</w:t>
      </w:r>
      <w:r>
        <w:rPr>
          <w:color w:val="000000" w:themeColor="text1"/>
          <w14:textFill>
            <w14:solidFill>
              <w14:schemeClr w14:val="tx1"/>
            </w14:solidFill>
          </w14:textFill>
        </w:rPr>
        <w:t>10</w:t>
      </w:r>
      <w:r>
        <w:rPr>
          <w:color w:val="000000" w:themeColor="text1"/>
          <w:vertAlign w:val="superscript"/>
          <w14:textFill>
            <w14:solidFill>
              <w14:schemeClr w14:val="tx1"/>
            </w14:solidFill>
          </w14:textFill>
        </w:rPr>
        <w:t>4</w:t>
      </w:r>
      <w:r>
        <w:rPr>
          <w:color w:val="000000" w:themeColor="text1"/>
          <w14:textFill>
            <w14:solidFill>
              <w14:schemeClr w14:val="tx1"/>
            </w14:solidFill>
          </w14:textFill>
        </w:rPr>
        <w:t>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/d</w:t>
      </w:r>
      <w:bookmarkEnd w:id="196"/>
      <w:r>
        <w:rPr>
          <w:rFonts w:hint="eastAsia"/>
          <w:color w:val="000000" w:themeColor="text1"/>
          <w14:textFill>
            <w14:solidFill>
              <w14:schemeClr w14:val="tx1"/>
            </w14:solidFill>
          </w14:textFill>
        </w:rPr>
        <w:t>，采用“分子筛脱水</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丙烷外冷”工艺。原油处理系统三相分离器分离出的伴生气（</w:t>
      </w:r>
      <w:r>
        <w:rPr>
          <w:color w:val="000000" w:themeColor="text1"/>
          <w14:textFill>
            <w14:solidFill>
              <w14:schemeClr w14:val="tx1"/>
            </w14:solidFill>
          </w14:textFill>
        </w:rPr>
        <w:t>0.15</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0.25MPa</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20</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40</w:t>
      </w:r>
      <w:r>
        <w:rPr>
          <w:rFonts w:hint="eastAsia"/>
          <w:color w:val="000000" w:themeColor="text1"/>
          <w14:textFill>
            <w14:solidFill>
              <w14:schemeClr w14:val="tx1"/>
            </w14:solidFill>
          </w14:textFill>
        </w:rPr>
        <w:t>℃）经分离器分离出所携带液滴后，进入螺杆压缩机进行增压，增压后的伴生气依次进入脱硫橇、分子筛脱水橇进行脱硫脱水处理，脱水后的干气进入混烃回收橇与低温干气换热，进丙烷外冷橇制冷后进入混烃回收橇低温分离器进行气液分离，分离出的低温干气与分子筛出口原料气换热，复热后的干气经自用气计量调压橇计量调压后供站内自用。目前无净化气外输，三相分离器分离出的伴生气未处理部分通过放空火炬燃烧放空。</w:t>
      </w:r>
    </w:p>
    <w:p w14:paraId="520C889A">
      <w:pPr>
        <w:pStyle w:val="191"/>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混烃回收橇内低温分离器分离出来的液相进入橇内脱乙烷塔，塔顶富气去自用气调压计量橇，与调压后的自用气汇合，经计量去站内自用气装置，塔底混烃进混烃储罐橇，定期经定量装车橇装车外售。</w:t>
      </w:r>
    </w:p>
    <w:p w14:paraId="45E16512">
      <w:pPr>
        <w:pStyle w:val="117"/>
        <w:ind w:firstLine="480"/>
        <w:rPr>
          <w:rFonts w:hint="eastAsia"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④1号混输泵站</w:t>
      </w:r>
    </w:p>
    <w:p w14:paraId="72EF374E">
      <w:pPr>
        <w:pStyle w:val="117"/>
        <w:ind w:firstLine="480"/>
        <w:rPr>
          <w:rFonts w:hint="eastAsia"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油区来气液进入进站汇管，汇管出液进入一体化加热接转装置（分离、加热和接转），通过一体化加热接转装置加热、分离缓冲后，经一体化加热接转装置上的混输泵增压后通过混输管道混输至页岩油联合站。</w:t>
      </w:r>
    </w:p>
    <w:p w14:paraId="5E29AE62">
      <w:pPr>
        <w:pStyle w:val="117"/>
        <w:ind w:firstLine="480"/>
        <w:rPr>
          <w:rFonts w:hint="eastAsia"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一体化加热接转装置加热缓冲罐分离出的伴生气经除油器进一步处理后一部分作为一体化加热接转装置燃料气用，剩下的伴生气进入混输泵增压外输。</w:t>
      </w:r>
    </w:p>
    <w:p w14:paraId="0013D9F8">
      <w:pPr>
        <w:pStyle w:val="117"/>
        <w:ind w:firstLine="480"/>
        <w:rPr>
          <w:rFonts w:hint="eastAsia"/>
          <w:color w:val="000000" w:themeColor="text1"/>
          <w:lang w:bidi="ar"/>
          <w14:textFill>
            <w14:solidFill>
              <w14:schemeClr w14:val="tx1"/>
            </w14:solidFill>
          </w14:textFill>
        </w:rPr>
      </w:pPr>
      <w:r>
        <w:rPr>
          <w:rFonts w:hint="eastAsia" w:cs="宋体"/>
          <w:color w:val="000000" w:themeColor="text1"/>
          <w14:textFill>
            <w14:solidFill>
              <w14:schemeClr w14:val="tx1"/>
            </w14:solidFill>
          </w14:textFill>
        </w:rPr>
        <w:t>⑤退役设施</w:t>
      </w:r>
    </w:p>
    <w:p w14:paraId="149DB5F2">
      <w:pPr>
        <w:pStyle w:val="462"/>
        <w:rPr>
          <w:rFonts w:hint="eastAsia"/>
          <w:color w:val="000000" w:themeColor="text1"/>
          <w:lang w:bidi="ar"/>
          <w14:textFill>
            <w14:solidFill>
              <w14:schemeClr w14:val="tx1"/>
            </w14:solidFill>
          </w14:textFill>
        </w:rPr>
      </w:pPr>
      <w:r>
        <w:rPr>
          <w:rFonts w:hint="eastAsia"/>
          <w:color w:val="000000" w:themeColor="text1"/>
          <w:lang w:bidi="ar"/>
          <w14:textFill>
            <w14:solidFill>
              <w14:schemeClr w14:val="tx1"/>
            </w14:solidFill>
          </w14:textFill>
        </w:rPr>
        <w:t>页岩油井区油气开发始于2010年，2018年开始规模开发，井区目前尚未产生退役设施，考虑到未来老井利用的可能性，井区现有未生产井按照关井管理，未采取封井的措施，井场已平整，井场植被逐步自然恢复。</w:t>
      </w:r>
    </w:p>
    <w:p w14:paraId="0159B6E6">
      <w:pPr>
        <w:pStyle w:val="4"/>
        <w:rPr>
          <w:rFonts w:hint="eastAsia"/>
          <w:color w:val="000000" w:themeColor="text1"/>
          <w:spacing w:val="4"/>
          <w14:textFill>
            <w14:solidFill>
              <w14:schemeClr w14:val="tx1"/>
            </w14:solidFill>
          </w14:textFill>
        </w:rPr>
      </w:pPr>
      <w:bookmarkStart w:id="197" w:name="_Hlk160374378"/>
      <w:bookmarkStart w:id="198" w:name="_Hlk78832395"/>
      <w:bookmarkStart w:id="199" w:name="_Hlk147581247"/>
      <w:r>
        <w:rPr>
          <w:rFonts w:hint="eastAsia"/>
          <w:color w:val="000000" w:themeColor="text1"/>
          <w:spacing w:val="4"/>
          <w14:textFill>
            <w14:solidFill>
              <w14:schemeClr w14:val="tx1"/>
            </w14:solidFill>
          </w14:textFill>
        </w:rPr>
        <w:t>老井利用井情况</w:t>
      </w:r>
    </w:p>
    <w:p w14:paraId="69CA363D">
      <w:pPr>
        <w:pStyle w:val="117"/>
        <w:ind w:firstLine="480"/>
        <w:rPr>
          <w:rFonts w:hint="eastAsia"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本次对现有12口生产井进行改造，将</w:t>
      </w:r>
      <w:r>
        <w:rPr>
          <w:rFonts w:hint="eastAsia"/>
          <w:color w:val="000000" w:themeColor="text1"/>
          <w14:textFill>
            <w14:solidFill>
              <w14:schemeClr w14:val="tx1"/>
            </w14:solidFill>
          </w14:textFill>
        </w:rPr>
        <w:t>JHW</w:t>
      </w:r>
      <w:r>
        <w:rPr>
          <w:color w:val="000000" w:themeColor="text1"/>
          <w14:textFill>
            <w14:solidFill>
              <w14:schemeClr w14:val="tx1"/>
            </w14:solidFill>
          </w14:textFill>
        </w:rPr>
        <w:t>035</w:t>
      </w:r>
      <w:r>
        <w:rPr>
          <w:rFonts w:hint="eastAsia"/>
          <w:color w:val="000000" w:themeColor="text1"/>
          <w14:textFill>
            <w14:solidFill>
              <w14:schemeClr w14:val="tx1"/>
            </w14:solidFill>
          </w14:textFill>
        </w:rPr>
        <w:t>、JHW</w:t>
      </w:r>
      <w:r>
        <w:rPr>
          <w:color w:val="000000" w:themeColor="text1"/>
          <w14:textFill>
            <w14:solidFill>
              <w14:schemeClr w14:val="tx1"/>
            </w14:solidFill>
          </w14:textFill>
        </w:rPr>
        <w:t>036</w:t>
      </w:r>
      <w:r>
        <w:rPr>
          <w:rFonts w:hint="eastAsia"/>
          <w:color w:val="000000" w:themeColor="text1"/>
          <w14:textFill>
            <w14:solidFill>
              <w14:schemeClr w14:val="tx1"/>
            </w14:solidFill>
          </w14:textFill>
        </w:rPr>
        <w:t>、JHW</w:t>
      </w:r>
      <w:r>
        <w:rPr>
          <w:color w:val="000000" w:themeColor="text1"/>
          <w14:textFill>
            <w14:solidFill>
              <w14:schemeClr w14:val="tx1"/>
            </w14:solidFill>
          </w14:textFill>
        </w:rPr>
        <w:t>00526</w:t>
      </w:r>
      <w:r>
        <w:rPr>
          <w:rFonts w:hint="eastAsia"/>
          <w:color w:val="000000" w:themeColor="text1"/>
          <w14:textFill>
            <w14:solidFill>
              <w14:schemeClr w14:val="tx1"/>
            </w14:solidFill>
          </w14:textFill>
        </w:rPr>
        <w:t>、JHW</w:t>
      </w:r>
      <w:r>
        <w:rPr>
          <w:color w:val="000000" w:themeColor="text1"/>
          <w14:textFill>
            <w14:solidFill>
              <w14:schemeClr w14:val="tx1"/>
            </w14:solidFill>
          </w14:textFill>
        </w:rPr>
        <w:t>00525</w:t>
      </w:r>
      <w:r>
        <w:rPr>
          <w:rFonts w:hint="eastAsia"/>
          <w:color w:val="000000" w:themeColor="text1"/>
          <w14:textFill>
            <w14:solidFill>
              <w14:schemeClr w14:val="tx1"/>
            </w14:solidFill>
          </w14:textFill>
        </w:rPr>
        <w:t>、J</w:t>
      </w:r>
      <w:r>
        <w:rPr>
          <w:color w:val="000000" w:themeColor="text1"/>
          <w14:textFill>
            <w14:solidFill>
              <w14:schemeClr w14:val="tx1"/>
            </w14:solidFill>
          </w14:textFill>
        </w:rPr>
        <w:t>10064_H</w:t>
      </w:r>
      <w:r>
        <w:rPr>
          <w:rFonts w:hint="eastAsia"/>
          <w:color w:val="000000" w:themeColor="text1"/>
          <w14:textFill>
            <w14:solidFill>
              <w14:schemeClr w14:val="tx1"/>
            </w14:solidFill>
          </w14:textFill>
        </w:rPr>
        <w:t>、JHW</w:t>
      </w:r>
      <w:r>
        <w:rPr>
          <w:color w:val="000000" w:themeColor="text1"/>
          <w14:textFill>
            <w14:solidFill>
              <w14:schemeClr w14:val="tx1"/>
            </w14:solidFill>
          </w14:textFill>
        </w:rPr>
        <w:t>033</w:t>
      </w:r>
      <w:r>
        <w:rPr>
          <w:rFonts w:hint="eastAsia"/>
          <w:color w:val="000000" w:themeColor="text1"/>
          <w14:textFill>
            <w14:solidFill>
              <w14:schemeClr w14:val="tx1"/>
            </w14:solidFill>
          </w14:textFill>
        </w:rPr>
        <w:t>、JHW</w:t>
      </w:r>
      <w:r>
        <w:rPr>
          <w:color w:val="000000" w:themeColor="text1"/>
          <w14:textFill>
            <w14:solidFill>
              <w14:schemeClr w14:val="tx1"/>
            </w14:solidFill>
          </w14:textFill>
        </w:rPr>
        <w:t>032</w:t>
      </w:r>
      <w:r>
        <w:rPr>
          <w:rFonts w:hint="eastAsia"/>
          <w:color w:val="000000" w:themeColor="text1"/>
          <w14:textFill>
            <w14:solidFill>
              <w14:schemeClr w14:val="tx1"/>
            </w14:solidFill>
          </w14:textFill>
        </w:rPr>
        <w:t>、JHW</w:t>
      </w:r>
      <w:r>
        <w:rPr>
          <w:color w:val="000000" w:themeColor="text1"/>
          <w14:textFill>
            <w14:solidFill>
              <w14:schemeClr w14:val="tx1"/>
            </w14:solidFill>
          </w14:textFill>
        </w:rPr>
        <w:t>031</w:t>
      </w:r>
      <w:r>
        <w:rPr>
          <w:rFonts w:hint="eastAsia"/>
          <w:color w:val="000000" w:themeColor="text1"/>
          <w14:textFill>
            <w14:solidFill>
              <w14:schemeClr w14:val="tx1"/>
            </w14:solidFill>
          </w14:textFill>
        </w:rPr>
        <w:t>、J</w:t>
      </w:r>
      <w:r>
        <w:rPr>
          <w:color w:val="000000" w:themeColor="text1"/>
          <w14:textFill>
            <w14:solidFill>
              <w14:schemeClr w14:val="tx1"/>
            </w14:solidFill>
          </w14:textFill>
        </w:rPr>
        <w:t>10002_H</w:t>
      </w:r>
      <w:r>
        <w:rPr>
          <w:rFonts w:hint="eastAsia"/>
          <w:color w:val="000000" w:themeColor="text1"/>
          <w14:textFill>
            <w14:solidFill>
              <w14:schemeClr w14:val="tx1"/>
            </w14:solidFill>
          </w14:textFill>
        </w:rPr>
        <w:t>共9口井改造为注采井，将JHW</w:t>
      </w:r>
      <w:r>
        <w:rPr>
          <w:color w:val="000000" w:themeColor="text1"/>
          <w14:textFill>
            <w14:solidFill>
              <w14:schemeClr w14:val="tx1"/>
            </w14:solidFill>
          </w14:textFill>
        </w:rPr>
        <w:t>00421</w:t>
      </w:r>
      <w:r>
        <w:rPr>
          <w:rFonts w:hint="eastAsia"/>
          <w:color w:val="000000" w:themeColor="text1"/>
          <w14:textFill>
            <w14:solidFill>
              <w14:schemeClr w14:val="tx1"/>
            </w14:solidFill>
          </w14:textFill>
        </w:rPr>
        <w:t>井、JHW</w:t>
      </w:r>
      <w:r>
        <w:rPr>
          <w:color w:val="000000" w:themeColor="text1"/>
          <w14:textFill>
            <w14:solidFill>
              <w14:schemeClr w14:val="tx1"/>
            </w14:solidFill>
          </w14:textFill>
        </w:rPr>
        <w:t>034</w:t>
      </w:r>
      <w:r>
        <w:rPr>
          <w:rFonts w:hint="eastAsia"/>
          <w:color w:val="000000" w:themeColor="text1"/>
          <w14:textFill>
            <w14:solidFill>
              <w14:schemeClr w14:val="tx1"/>
            </w14:solidFill>
          </w14:textFill>
        </w:rPr>
        <w:t>共2口井改造为注水井，将</w:t>
      </w:r>
      <w:r>
        <w:rPr>
          <w:rFonts w:hint="eastAsia"/>
          <w:color w:val="000000" w:themeColor="text1"/>
          <w:lang w:val="zh-CN"/>
          <w14:textFill>
            <w14:solidFill>
              <w14:schemeClr w14:val="tx1"/>
            </w14:solidFill>
          </w14:textFill>
        </w:rPr>
        <w:t>JHW00422改造为采出气回注井。</w:t>
      </w:r>
      <w:r>
        <w:rPr>
          <w:rFonts w:hint="eastAsia"/>
          <w:color w:val="000000" w:themeColor="text1"/>
          <w14:textFill>
            <w14:solidFill>
              <w14:schemeClr w14:val="tx1"/>
            </w14:solidFill>
          </w14:textFill>
        </w:rPr>
        <w:t>以JHW</w:t>
      </w:r>
      <w:r>
        <w:rPr>
          <w:color w:val="000000" w:themeColor="text1"/>
          <w14:textFill>
            <w14:solidFill>
              <w14:schemeClr w14:val="tx1"/>
            </w14:solidFill>
          </w14:textFill>
        </w:rPr>
        <w:t>00421</w:t>
      </w:r>
      <w:r>
        <w:rPr>
          <w:rFonts w:hint="eastAsia"/>
          <w:color w:val="000000" w:themeColor="text1"/>
          <w14:textFill>
            <w14:solidFill>
              <w14:schemeClr w14:val="tx1"/>
            </w14:solidFill>
          </w14:textFill>
        </w:rPr>
        <w:t>井、JHW</w:t>
      </w:r>
      <w:r>
        <w:rPr>
          <w:color w:val="000000" w:themeColor="text1"/>
          <w14:textFill>
            <w14:solidFill>
              <w14:schemeClr w14:val="tx1"/>
            </w14:solidFill>
          </w14:textFill>
        </w:rPr>
        <w:t>034</w:t>
      </w:r>
      <w:r>
        <w:rPr>
          <w:rFonts w:hint="eastAsia"/>
          <w:color w:val="000000" w:themeColor="text1"/>
          <w14:textFill>
            <w14:solidFill>
              <w14:schemeClr w14:val="tx1"/>
            </w14:solidFill>
          </w14:textFill>
        </w:rPr>
        <w:t>井进行注水封堵，将试验区划分为2个区，JHW</w:t>
      </w:r>
      <w:r>
        <w:rPr>
          <w:color w:val="000000" w:themeColor="text1"/>
          <w14:textFill>
            <w14:solidFill>
              <w14:schemeClr w14:val="tx1"/>
            </w14:solidFill>
          </w14:textFill>
        </w:rPr>
        <w:t>035</w:t>
      </w:r>
      <w:r>
        <w:rPr>
          <w:rFonts w:hint="eastAsia"/>
          <w:color w:val="000000" w:themeColor="text1"/>
          <w14:textFill>
            <w14:solidFill>
              <w14:schemeClr w14:val="tx1"/>
            </w14:solidFill>
          </w14:textFill>
        </w:rPr>
        <w:t>、JHW</w:t>
      </w:r>
      <w:r>
        <w:rPr>
          <w:color w:val="000000" w:themeColor="text1"/>
          <w14:textFill>
            <w14:solidFill>
              <w14:schemeClr w14:val="tx1"/>
            </w14:solidFill>
          </w14:textFill>
        </w:rPr>
        <w:t>036</w:t>
      </w:r>
      <w:r>
        <w:rPr>
          <w:rFonts w:hint="eastAsia"/>
          <w:color w:val="000000" w:themeColor="text1"/>
          <w14:textFill>
            <w14:solidFill>
              <w14:schemeClr w14:val="tx1"/>
            </w14:solidFill>
          </w14:textFill>
        </w:rPr>
        <w:t>、JHW</w:t>
      </w:r>
      <w:r>
        <w:rPr>
          <w:color w:val="000000" w:themeColor="text1"/>
          <w14:textFill>
            <w14:solidFill>
              <w14:schemeClr w14:val="tx1"/>
            </w14:solidFill>
          </w14:textFill>
        </w:rPr>
        <w:t>00526</w:t>
      </w:r>
      <w:r>
        <w:rPr>
          <w:rFonts w:hint="eastAsia"/>
          <w:color w:val="000000" w:themeColor="text1"/>
          <w14:textFill>
            <w14:solidFill>
              <w14:schemeClr w14:val="tx1"/>
            </w14:solidFill>
          </w14:textFill>
        </w:rPr>
        <w:t>、JHW</w:t>
      </w:r>
      <w:r>
        <w:rPr>
          <w:color w:val="000000" w:themeColor="text1"/>
          <w14:textFill>
            <w14:solidFill>
              <w14:schemeClr w14:val="tx1"/>
            </w14:solidFill>
          </w14:textFill>
        </w:rPr>
        <w:t>00525</w:t>
      </w:r>
      <w:r>
        <w:rPr>
          <w:rFonts w:hint="eastAsia"/>
          <w:color w:val="000000" w:themeColor="text1"/>
          <w14:textFill>
            <w14:solidFill>
              <w14:schemeClr w14:val="tx1"/>
            </w14:solidFill>
          </w14:textFill>
        </w:rPr>
        <w:t>、J</w:t>
      </w:r>
      <w:r>
        <w:rPr>
          <w:color w:val="000000" w:themeColor="text1"/>
          <w14:textFill>
            <w14:solidFill>
              <w14:schemeClr w14:val="tx1"/>
            </w14:solidFill>
          </w14:textFill>
        </w:rPr>
        <w:t>10064_H</w:t>
      </w:r>
      <w:r>
        <w:rPr>
          <w:rFonts w:hint="eastAsia"/>
          <w:color w:val="000000" w:themeColor="text1"/>
          <w14:textFill>
            <w14:solidFill>
              <w14:schemeClr w14:val="tx1"/>
            </w14:solidFill>
          </w14:textFill>
        </w:rPr>
        <w:t>井为A区，以JHW</w:t>
      </w:r>
      <w:r>
        <w:rPr>
          <w:color w:val="000000" w:themeColor="text1"/>
          <w14:textFill>
            <w14:solidFill>
              <w14:schemeClr w14:val="tx1"/>
            </w14:solidFill>
          </w14:textFill>
        </w:rPr>
        <w:t>033</w:t>
      </w:r>
      <w:r>
        <w:rPr>
          <w:rFonts w:hint="eastAsia"/>
          <w:color w:val="000000" w:themeColor="text1"/>
          <w14:textFill>
            <w14:solidFill>
              <w14:schemeClr w14:val="tx1"/>
            </w14:solidFill>
          </w14:textFill>
        </w:rPr>
        <w:t>、JHW</w:t>
      </w:r>
      <w:r>
        <w:rPr>
          <w:color w:val="000000" w:themeColor="text1"/>
          <w14:textFill>
            <w14:solidFill>
              <w14:schemeClr w14:val="tx1"/>
            </w14:solidFill>
          </w14:textFill>
        </w:rPr>
        <w:t>032</w:t>
      </w:r>
      <w:r>
        <w:rPr>
          <w:rFonts w:hint="eastAsia"/>
          <w:color w:val="000000" w:themeColor="text1"/>
          <w14:textFill>
            <w14:solidFill>
              <w14:schemeClr w14:val="tx1"/>
            </w14:solidFill>
          </w14:textFill>
        </w:rPr>
        <w:t>、JHW</w:t>
      </w:r>
      <w:r>
        <w:rPr>
          <w:color w:val="000000" w:themeColor="text1"/>
          <w14:textFill>
            <w14:solidFill>
              <w14:schemeClr w14:val="tx1"/>
            </w14:solidFill>
          </w14:textFill>
        </w:rPr>
        <w:t>031</w:t>
      </w:r>
      <w:r>
        <w:rPr>
          <w:rFonts w:hint="eastAsia"/>
          <w:color w:val="000000" w:themeColor="text1"/>
          <w14:textFill>
            <w14:solidFill>
              <w14:schemeClr w14:val="tx1"/>
            </w14:solidFill>
          </w14:textFill>
        </w:rPr>
        <w:t>、</w:t>
      </w:r>
      <w:bookmarkStart w:id="200" w:name="OLE_LINK222"/>
      <w:r>
        <w:rPr>
          <w:rFonts w:hint="eastAsia"/>
          <w:color w:val="000000" w:themeColor="text1"/>
          <w14:textFill>
            <w14:solidFill>
              <w14:schemeClr w14:val="tx1"/>
            </w14:solidFill>
          </w14:textFill>
        </w:rPr>
        <w:t>J</w:t>
      </w:r>
      <w:r>
        <w:rPr>
          <w:color w:val="000000" w:themeColor="text1"/>
          <w14:textFill>
            <w14:solidFill>
              <w14:schemeClr w14:val="tx1"/>
            </w14:solidFill>
          </w14:textFill>
        </w:rPr>
        <w:t>10002_H</w:t>
      </w:r>
      <w:bookmarkEnd w:id="200"/>
      <w:r>
        <w:rPr>
          <w:rFonts w:hint="eastAsia"/>
          <w:color w:val="000000" w:themeColor="text1"/>
          <w14:textFill>
            <w14:solidFill>
              <w14:schemeClr w14:val="tx1"/>
            </w14:solidFill>
          </w14:textFill>
        </w:rPr>
        <w:t>井为B区，两个区域交替注采，</w:t>
      </w:r>
      <w:bookmarkStart w:id="201" w:name="OLE_LINK80"/>
      <w:r>
        <w:rPr>
          <w:rFonts w:hint="eastAsia"/>
          <w:color w:val="000000" w:themeColor="text1"/>
          <w:lang w:val="zh-CN"/>
          <w14:textFill>
            <w14:solidFill>
              <w14:schemeClr w14:val="tx1"/>
            </w14:solidFill>
          </w14:textFill>
        </w:rPr>
        <w:t>JHW00422</w:t>
      </w:r>
      <w:bookmarkEnd w:id="201"/>
      <w:r>
        <w:rPr>
          <w:rFonts w:hint="eastAsia"/>
          <w:color w:val="000000" w:themeColor="text1"/>
          <w14:textFill>
            <w14:solidFill>
              <w14:schemeClr w14:val="tx1"/>
            </w14:solidFill>
          </w14:textFill>
        </w:rPr>
        <w:t>井作为采出气回注井</w:t>
      </w:r>
      <w:bookmarkStart w:id="202" w:name="OLE_LINK140"/>
      <w:r>
        <w:rPr>
          <w:rFonts w:hint="eastAsia"/>
          <w:color w:val="000000" w:themeColor="text1"/>
          <w14:textFill>
            <w14:solidFill>
              <w14:schemeClr w14:val="tx1"/>
            </w14:solidFill>
          </w14:textFill>
        </w:rPr>
        <w:t>，各井情况见表3.1-3</w:t>
      </w:r>
      <w:r>
        <w:rPr>
          <w:rFonts w:hint="eastAsia" w:cs="宋体"/>
          <w:color w:val="000000" w:themeColor="text1"/>
          <w14:textFill>
            <w14:solidFill>
              <w14:schemeClr w14:val="tx1"/>
            </w14:solidFill>
          </w14:textFill>
        </w:rPr>
        <w:t>。</w:t>
      </w:r>
    </w:p>
    <w:p w14:paraId="0D8FC203">
      <w:pPr>
        <w:widowControl/>
        <w:adjustRightInd w:val="0"/>
        <w:snapToGrid w:val="0"/>
        <w:spacing w:line="500" w:lineRule="exact"/>
        <w:jc w:val="center"/>
        <w:rPr>
          <w:rFonts w:hint="eastAsia" w:ascii="黑体" w:hAnsi="黑体" w:eastAsia="黑体"/>
          <w:color w:val="000000" w:themeColor="text1"/>
          <w14:textFill>
            <w14:solidFill>
              <w14:schemeClr w14:val="tx1"/>
            </w14:solidFill>
          </w14:textFill>
        </w:rPr>
      </w:pPr>
      <w:r>
        <w:rPr>
          <w:rFonts w:hint="eastAsia" w:ascii="黑体" w:hAnsi="黑体" w:eastAsia="黑体" w:cs="黑体"/>
          <w:color w:val="000000" w:themeColor="text1"/>
          <w:szCs w:val="21"/>
          <w14:textFill>
            <w14:solidFill>
              <w14:schemeClr w14:val="tx1"/>
            </w14:solidFill>
          </w14:textFill>
        </w:rPr>
        <w:t>表3.1-3  井位坐标、完钻时间及固井质量情况表</w:t>
      </w:r>
    </w:p>
    <w:tbl>
      <w:tblPr>
        <w:tblStyle w:val="51"/>
        <w:tblW w:w="5000" w:type="pct"/>
        <w:jc w:val="center"/>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507"/>
        <w:gridCol w:w="953"/>
        <w:gridCol w:w="1659"/>
        <w:gridCol w:w="1559"/>
        <w:gridCol w:w="1154"/>
        <w:gridCol w:w="1449"/>
        <w:gridCol w:w="1449"/>
      </w:tblGrid>
      <w:tr w14:paraId="4E61C466">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290" w:type="pct"/>
            <w:vMerge w:val="restart"/>
            <w:tcBorders>
              <w:tl2br w:val="nil"/>
              <w:tr2bl w:val="nil"/>
            </w:tcBorders>
            <w:vAlign w:val="center"/>
          </w:tcPr>
          <w:p w14:paraId="5F129F97">
            <w:pPr>
              <w:pStyle w:val="286"/>
              <w:adjustRightInd w:val="0"/>
              <w:snapToGrid w:val="0"/>
              <w:spacing w:line="240" w:lineRule="auto"/>
              <w:rPr>
                <w:rFonts w:hint="eastAsia" w:cs="宋体"/>
                <w:color w:val="000000" w:themeColor="text1"/>
                <w:sz w:val="21"/>
                <w14:textFill>
                  <w14:solidFill>
                    <w14:schemeClr w14:val="tx1"/>
                  </w14:solidFill>
                </w14:textFill>
              </w:rPr>
            </w:pPr>
            <w:r>
              <w:rPr>
                <w:rFonts w:hint="eastAsia" w:cs="宋体"/>
                <w:color w:val="000000" w:themeColor="text1"/>
                <w:sz w:val="21"/>
                <w14:textFill>
                  <w14:solidFill>
                    <w14:schemeClr w14:val="tx1"/>
                  </w14:solidFill>
                </w14:textFill>
              </w:rPr>
              <w:t>序号</w:t>
            </w:r>
          </w:p>
        </w:tc>
        <w:tc>
          <w:tcPr>
            <w:tcW w:w="546" w:type="pct"/>
            <w:vMerge w:val="restart"/>
            <w:tcBorders>
              <w:tl2br w:val="nil"/>
              <w:tr2bl w:val="nil"/>
            </w:tcBorders>
            <w:vAlign w:val="center"/>
          </w:tcPr>
          <w:p w14:paraId="68814E07">
            <w:pPr>
              <w:pStyle w:val="286"/>
              <w:adjustRightInd w:val="0"/>
              <w:snapToGrid w:val="0"/>
              <w:spacing w:line="240" w:lineRule="auto"/>
              <w:rPr>
                <w:rFonts w:hint="eastAsia" w:cs="宋体"/>
                <w:color w:val="000000" w:themeColor="text1"/>
                <w:sz w:val="21"/>
                <w14:textFill>
                  <w14:solidFill>
                    <w14:schemeClr w14:val="tx1"/>
                  </w14:solidFill>
                </w14:textFill>
              </w:rPr>
            </w:pPr>
            <w:r>
              <w:rPr>
                <w:rFonts w:hint="eastAsia" w:cs="宋体"/>
                <w:color w:val="000000" w:themeColor="text1"/>
                <w:sz w:val="21"/>
                <w14:textFill>
                  <w14:solidFill>
                    <w14:schemeClr w14:val="tx1"/>
                  </w14:solidFill>
                </w14:textFill>
              </w:rPr>
              <w:t>井号</w:t>
            </w:r>
          </w:p>
        </w:tc>
        <w:tc>
          <w:tcPr>
            <w:tcW w:w="1843" w:type="pct"/>
            <w:gridSpan w:val="2"/>
            <w:tcBorders>
              <w:tl2br w:val="nil"/>
              <w:tr2bl w:val="nil"/>
            </w:tcBorders>
            <w:vAlign w:val="center"/>
          </w:tcPr>
          <w:p w14:paraId="439B4B25">
            <w:pPr>
              <w:pStyle w:val="286"/>
              <w:adjustRightInd w:val="0"/>
              <w:snapToGrid w:val="0"/>
              <w:spacing w:line="240" w:lineRule="auto"/>
              <w:rPr>
                <w:rFonts w:hint="eastAsia" w:cs="宋体"/>
                <w:color w:val="000000" w:themeColor="text1"/>
                <w:sz w:val="21"/>
                <w14:textFill>
                  <w14:solidFill>
                    <w14:schemeClr w14:val="tx1"/>
                  </w14:solidFill>
                </w14:textFill>
              </w:rPr>
            </w:pPr>
            <w:r>
              <w:rPr>
                <w:rFonts w:hint="eastAsia" w:cs="宋体"/>
                <w:color w:val="000000" w:themeColor="text1"/>
                <w:sz w:val="21"/>
                <w14:textFill>
                  <w14:solidFill>
                    <w14:schemeClr w14:val="tx1"/>
                  </w14:solidFill>
                </w14:textFill>
              </w:rPr>
              <w:t>经纬度坐标</w:t>
            </w:r>
          </w:p>
        </w:tc>
        <w:tc>
          <w:tcPr>
            <w:tcW w:w="661" w:type="pct"/>
            <w:vMerge w:val="restart"/>
            <w:tcBorders>
              <w:tl2br w:val="nil"/>
              <w:tr2bl w:val="nil"/>
            </w:tcBorders>
            <w:vAlign w:val="center"/>
          </w:tcPr>
          <w:p w14:paraId="379E93CC">
            <w:pPr>
              <w:pStyle w:val="286"/>
              <w:adjustRightInd w:val="0"/>
              <w:snapToGrid w:val="0"/>
              <w:spacing w:line="240" w:lineRule="auto"/>
              <w:rPr>
                <w:rFonts w:hint="eastAsia" w:cs="宋体"/>
                <w:color w:val="000000" w:themeColor="text1"/>
                <w:sz w:val="21"/>
                <w14:textFill>
                  <w14:solidFill>
                    <w14:schemeClr w14:val="tx1"/>
                  </w14:solidFill>
                </w14:textFill>
              </w:rPr>
            </w:pPr>
            <w:r>
              <w:rPr>
                <w:rFonts w:hint="eastAsia" w:cs="宋体"/>
                <w:color w:val="000000" w:themeColor="text1"/>
                <w:sz w:val="21"/>
                <w14:textFill>
                  <w14:solidFill>
                    <w14:schemeClr w14:val="tx1"/>
                  </w14:solidFill>
                </w14:textFill>
              </w:rPr>
              <w:t>完井时间</w:t>
            </w:r>
          </w:p>
        </w:tc>
        <w:tc>
          <w:tcPr>
            <w:tcW w:w="830" w:type="pct"/>
            <w:vMerge w:val="restart"/>
            <w:tcBorders>
              <w:tl2br w:val="nil"/>
              <w:tr2bl w:val="nil"/>
            </w:tcBorders>
            <w:vAlign w:val="center"/>
          </w:tcPr>
          <w:p w14:paraId="5998CC47">
            <w:pPr>
              <w:pStyle w:val="286"/>
              <w:adjustRightInd w:val="0"/>
              <w:snapToGrid w:val="0"/>
              <w:spacing w:line="240" w:lineRule="auto"/>
              <w:rPr>
                <w:rFonts w:hint="eastAsia" w:cs="宋体"/>
                <w:color w:val="000000" w:themeColor="text1"/>
                <w:sz w:val="21"/>
                <w14:textFill>
                  <w14:solidFill>
                    <w14:schemeClr w14:val="tx1"/>
                  </w14:solidFill>
                </w14:textFill>
              </w:rPr>
            </w:pPr>
            <w:r>
              <w:rPr>
                <w:rFonts w:hint="eastAsia" w:cs="宋体"/>
                <w:color w:val="000000" w:themeColor="text1"/>
                <w:sz w:val="21"/>
                <w14:textFill>
                  <w14:solidFill>
                    <w14:schemeClr w14:val="tx1"/>
                  </w14:solidFill>
                </w14:textFill>
              </w:rPr>
              <w:t>固井质量</w:t>
            </w:r>
          </w:p>
        </w:tc>
        <w:tc>
          <w:tcPr>
            <w:tcW w:w="830" w:type="pct"/>
            <w:vMerge w:val="restart"/>
            <w:tcBorders>
              <w:tl2br w:val="nil"/>
              <w:tr2bl w:val="nil"/>
            </w:tcBorders>
            <w:vAlign w:val="center"/>
          </w:tcPr>
          <w:p w14:paraId="55E1B175">
            <w:pPr>
              <w:pStyle w:val="286"/>
              <w:adjustRightInd w:val="0"/>
              <w:snapToGrid w:val="0"/>
              <w:spacing w:line="240" w:lineRule="auto"/>
              <w:rPr>
                <w:rFonts w:hint="eastAsia" w:cs="宋体"/>
                <w:color w:val="000000" w:themeColor="text1"/>
                <w:sz w:val="21"/>
                <w14:textFill>
                  <w14:solidFill>
                    <w14:schemeClr w14:val="tx1"/>
                  </w14:solidFill>
                </w14:textFill>
              </w:rPr>
            </w:pPr>
            <w:r>
              <w:rPr>
                <w:rFonts w:hint="eastAsia" w:cs="宋体"/>
                <w:color w:val="000000" w:themeColor="text1"/>
                <w:sz w:val="21"/>
                <w14:textFill>
                  <w14:solidFill>
                    <w14:schemeClr w14:val="tx1"/>
                  </w14:solidFill>
                </w14:textFill>
              </w:rPr>
              <w:t>井类别</w:t>
            </w:r>
          </w:p>
        </w:tc>
      </w:tr>
      <w:tr w14:paraId="00FC87F6">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290" w:type="pct"/>
            <w:vMerge w:val="continue"/>
            <w:tcBorders>
              <w:tl2br w:val="nil"/>
              <w:tr2bl w:val="nil"/>
            </w:tcBorders>
            <w:vAlign w:val="center"/>
          </w:tcPr>
          <w:p w14:paraId="17B8504E">
            <w:pPr>
              <w:pStyle w:val="286"/>
              <w:adjustRightInd w:val="0"/>
              <w:snapToGrid w:val="0"/>
              <w:spacing w:line="240" w:lineRule="auto"/>
              <w:rPr>
                <w:rFonts w:hint="eastAsia" w:cs="宋体"/>
                <w:color w:val="000000" w:themeColor="text1"/>
                <w:sz w:val="21"/>
                <w14:textFill>
                  <w14:solidFill>
                    <w14:schemeClr w14:val="tx1"/>
                  </w14:solidFill>
                </w14:textFill>
              </w:rPr>
            </w:pPr>
          </w:p>
        </w:tc>
        <w:tc>
          <w:tcPr>
            <w:tcW w:w="546" w:type="pct"/>
            <w:vMerge w:val="continue"/>
            <w:tcBorders>
              <w:tl2br w:val="nil"/>
              <w:tr2bl w:val="nil"/>
            </w:tcBorders>
            <w:vAlign w:val="center"/>
          </w:tcPr>
          <w:p w14:paraId="14ED6C3F">
            <w:pPr>
              <w:pStyle w:val="286"/>
              <w:adjustRightInd w:val="0"/>
              <w:snapToGrid w:val="0"/>
              <w:spacing w:line="240" w:lineRule="auto"/>
              <w:rPr>
                <w:rFonts w:hint="eastAsia" w:cs="宋体"/>
                <w:color w:val="000000" w:themeColor="text1"/>
                <w:sz w:val="21"/>
                <w14:textFill>
                  <w14:solidFill>
                    <w14:schemeClr w14:val="tx1"/>
                  </w14:solidFill>
                </w14:textFill>
              </w:rPr>
            </w:pPr>
          </w:p>
        </w:tc>
        <w:tc>
          <w:tcPr>
            <w:tcW w:w="950" w:type="pct"/>
            <w:tcBorders>
              <w:tl2br w:val="nil"/>
              <w:tr2bl w:val="nil"/>
            </w:tcBorders>
            <w:vAlign w:val="center"/>
          </w:tcPr>
          <w:p w14:paraId="735E714B">
            <w:pPr>
              <w:pStyle w:val="286"/>
              <w:adjustRightInd w:val="0"/>
              <w:snapToGrid w:val="0"/>
              <w:spacing w:line="240" w:lineRule="auto"/>
              <w:rPr>
                <w:rFonts w:hint="eastAsia" w:cs="宋体"/>
                <w:color w:val="000000" w:themeColor="text1"/>
                <w:sz w:val="21"/>
                <w14:textFill>
                  <w14:solidFill>
                    <w14:schemeClr w14:val="tx1"/>
                  </w14:solidFill>
                </w14:textFill>
              </w:rPr>
            </w:pPr>
            <w:r>
              <w:rPr>
                <w:rFonts w:hint="eastAsia" w:cs="宋体"/>
                <w:color w:val="000000" w:themeColor="text1"/>
                <w:sz w:val="21"/>
                <w14:textFill>
                  <w14:solidFill>
                    <w14:schemeClr w14:val="tx1"/>
                  </w14:solidFill>
                </w14:textFill>
              </w:rPr>
              <w:t>北纬</w:t>
            </w:r>
          </w:p>
        </w:tc>
        <w:tc>
          <w:tcPr>
            <w:tcW w:w="893" w:type="pct"/>
            <w:tcBorders>
              <w:tl2br w:val="nil"/>
              <w:tr2bl w:val="nil"/>
            </w:tcBorders>
            <w:vAlign w:val="center"/>
          </w:tcPr>
          <w:p w14:paraId="092D443C">
            <w:pPr>
              <w:pStyle w:val="286"/>
              <w:adjustRightInd w:val="0"/>
              <w:snapToGrid w:val="0"/>
              <w:spacing w:line="240" w:lineRule="auto"/>
              <w:rPr>
                <w:rFonts w:hint="eastAsia" w:cs="宋体"/>
                <w:color w:val="000000" w:themeColor="text1"/>
                <w:sz w:val="21"/>
                <w14:textFill>
                  <w14:solidFill>
                    <w14:schemeClr w14:val="tx1"/>
                  </w14:solidFill>
                </w14:textFill>
              </w:rPr>
            </w:pPr>
            <w:r>
              <w:rPr>
                <w:rFonts w:hint="eastAsia" w:cs="宋体"/>
                <w:color w:val="000000" w:themeColor="text1"/>
                <w:sz w:val="21"/>
                <w14:textFill>
                  <w14:solidFill>
                    <w14:schemeClr w14:val="tx1"/>
                  </w14:solidFill>
                </w14:textFill>
              </w:rPr>
              <w:t>东经</w:t>
            </w:r>
          </w:p>
        </w:tc>
        <w:tc>
          <w:tcPr>
            <w:tcW w:w="661" w:type="pct"/>
            <w:vMerge w:val="continue"/>
            <w:tcBorders>
              <w:tl2br w:val="nil"/>
              <w:tr2bl w:val="nil"/>
            </w:tcBorders>
            <w:vAlign w:val="center"/>
          </w:tcPr>
          <w:p w14:paraId="289F5A2F">
            <w:pPr>
              <w:pStyle w:val="286"/>
              <w:adjustRightInd w:val="0"/>
              <w:snapToGrid w:val="0"/>
              <w:spacing w:line="240" w:lineRule="auto"/>
              <w:rPr>
                <w:rFonts w:hint="eastAsia" w:cs="宋体"/>
                <w:color w:val="000000" w:themeColor="text1"/>
                <w:sz w:val="21"/>
                <w14:textFill>
                  <w14:solidFill>
                    <w14:schemeClr w14:val="tx1"/>
                  </w14:solidFill>
                </w14:textFill>
              </w:rPr>
            </w:pPr>
          </w:p>
        </w:tc>
        <w:tc>
          <w:tcPr>
            <w:tcW w:w="830" w:type="pct"/>
            <w:vMerge w:val="continue"/>
            <w:tcBorders>
              <w:tl2br w:val="nil"/>
              <w:tr2bl w:val="nil"/>
            </w:tcBorders>
            <w:vAlign w:val="center"/>
          </w:tcPr>
          <w:p w14:paraId="0453933F">
            <w:pPr>
              <w:pStyle w:val="286"/>
              <w:adjustRightInd w:val="0"/>
              <w:snapToGrid w:val="0"/>
              <w:spacing w:line="240" w:lineRule="auto"/>
              <w:rPr>
                <w:rFonts w:hint="eastAsia" w:cs="宋体"/>
                <w:color w:val="000000" w:themeColor="text1"/>
                <w:sz w:val="21"/>
                <w14:textFill>
                  <w14:solidFill>
                    <w14:schemeClr w14:val="tx1"/>
                  </w14:solidFill>
                </w14:textFill>
              </w:rPr>
            </w:pPr>
          </w:p>
        </w:tc>
        <w:tc>
          <w:tcPr>
            <w:tcW w:w="830" w:type="pct"/>
            <w:vMerge w:val="continue"/>
            <w:tcBorders>
              <w:tl2br w:val="nil"/>
              <w:tr2bl w:val="nil"/>
            </w:tcBorders>
            <w:vAlign w:val="center"/>
          </w:tcPr>
          <w:p w14:paraId="15448705">
            <w:pPr>
              <w:pStyle w:val="286"/>
              <w:adjustRightInd w:val="0"/>
              <w:snapToGrid w:val="0"/>
              <w:spacing w:line="240" w:lineRule="auto"/>
              <w:rPr>
                <w:rFonts w:hint="eastAsia" w:cs="宋体"/>
                <w:color w:val="000000" w:themeColor="text1"/>
                <w:sz w:val="21"/>
                <w14:textFill>
                  <w14:solidFill>
                    <w14:schemeClr w14:val="tx1"/>
                  </w14:solidFill>
                </w14:textFill>
              </w:rPr>
            </w:pPr>
          </w:p>
        </w:tc>
      </w:tr>
      <w:tr w14:paraId="68CC851A">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290" w:type="pct"/>
            <w:tcBorders>
              <w:tl2br w:val="nil"/>
              <w:tr2bl w:val="nil"/>
            </w:tcBorders>
            <w:vAlign w:val="center"/>
          </w:tcPr>
          <w:p w14:paraId="72F8A43B">
            <w:pPr>
              <w:widowControl/>
              <w:adjustRightInd w:val="0"/>
              <w:snapToGrid w:val="0"/>
              <w:jc w:val="center"/>
              <w:textAlignment w:val="center"/>
              <w:rPr>
                <w:rFonts w:hint="eastAsia" w:ascii="宋体" w:hAnsi="宋体" w:cs="宋体"/>
                <w:color w:val="000000" w:themeColor="text1"/>
                <w:kern w:val="0"/>
                <w:szCs w:val="21"/>
                <w:lang w:bidi="ar"/>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1</w:t>
            </w:r>
          </w:p>
        </w:tc>
        <w:tc>
          <w:tcPr>
            <w:tcW w:w="546" w:type="pct"/>
            <w:tcBorders>
              <w:tl2br w:val="nil"/>
              <w:tr2bl w:val="nil"/>
            </w:tcBorders>
            <w:vAlign w:val="center"/>
          </w:tcPr>
          <w:p w14:paraId="47C170A8">
            <w:pPr>
              <w:widowControl/>
              <w:adjustRightInd w:val="0"/>
              <w:snapToGrid w:val="0"/>
              <w:jc w:val="center"/>
              <w:textAlignment w:val="center"/>
              <w:rPr>
                <w:rFonts w:hint="eastAsia" w:ascii="宋体" w:hAnsi="宋体" w:cs="宋体"/>
                <w:color w:val="000000" w:themeColor="text1"/>
                <w:szCs w:val="21"/>
                <w14:textFill>
                  <w14:solidFill>
                    <w14:schemeClr w14:val="tx1"/>
                  </w14:solidFill>
                </w14:textFill>
              </w:rPr>
            </w:pPr>
            <w:r>
              <w:rPr>
                <w:rFonts w:ascii="宋体" w:hAnsi="宋体"/>
                <w:color w:val="000000" w:themeColor="text1"/>
                <w:kern w:val="24"/>
                <w:szCs w:val="21"/>
                <w14:textFill>
                  <w14:solidFill>
                    <w14:schemeClr w14:val="tx1"/>
                  </w14:solidFill>
                </w14:textFill>
              </w:rPr>
              <w:t>J10002_H</w:t>
            </w:r>
          </w:p>
        </w:tc>
        <w:tc>
          <w:tcPr>
            <w:tcW w:w="950" w:type="pct"/>
            <w:tcBorders>
              <w:tl2br w:val="nil"/>
              <w:tr2bl w:val="nil"/>
            </w:tcBorders>
            <w:vAlign w:val="center"/>
          </w:tcPr>
          <w:p w14:paraId="630BC0C2">
            <w:pPr>
              <w:widowControl/>
              <w:adjustRightInd w:val="0"/>
              <w:snapToGrid w:val="0"/>
              <w:jc w:val="center"/>
              <w:textAlignment w:val="center"/>
              <w:rPr>
                <w:rFonts w:hint="eastAsia" w:ascii="宋体" w:hAnsi="宋体" w:cs="宋体"/>
                <w:color w:val="000000" w:themeColor="text1"/>
                <w:szCs w:val="21"/>
                <w14:textFill>
                  <w14:solidFill>
                    <w14:schemeClr w14:val="tx1"/>
                  </w14:solidFill>
                </w14:textFill>
              </w:rPr>
            </w:pPr>
          </w:p>
        </w:tc>
        <w:tc>
          <w:tcPr>
            <w:tcW w:w="893" w:type="pct"/>
            <w:tcBorders>
              <w:tl2br w:val="nil"/>
              <w:tr2bl w:val="nil"/>
            </w:tcBorders>
            <w:vAlign w:val="center"/>
          </w:tcPr>
          <w:p w14:paraId="54EEC99D">
            <w:pPr>
              <w:widowControl/>
              <w:adjustRightInd w:val="0"/>
              <w:snapToGrid w:val="0"/>
              <w:jc w:val="center"/>
              <w:textAlignment w:val="center"/>
              <w:rPr>
                <w:rFonts w:hint="eastAsia" w:ascii="宋体" w:hAnsi="宋体" w:cs="宋体"/>
                <w:color w:val="000000" w:themeColor="text1"/>
                <w:szCs w:val="21"/>
                <w14:textFill>
                  <w14:solidFill>
                    <w14:schemeClr w14:val="tx1"/>
                  </w14:solidFill>
                </w14:textFill>
              </w:rPr>
            </w:pPr>
          </w:p>
        </w:tc>
        <w:tc>
          <w:tcPr>
            <w:tcW w:w="661" w:type="pct"/>
            <w:tcBorders>
              <w:right w:val="single" w:color="auto" w:sz="4" w:space="0"/>
              <w:tl2br w:val="nil"/>
              <w:tr2bl w:val="nil"/>
            </w:tcBorders>
            <w:vAlign w:val="center"/>
          </w:tcPr>
          <w:p w14:paraId="67B95E87">
            <w:pPr>
              <w:widowControl/>
              <w:adjustRightInd w:val="0"/>
              <w:snapToGrid w:val="0"/>
              <w:jc w:val="center"/>
              <w:textAlignment w:val="center"/>
              <w:rPr>
                <w:rFonts w:hint="eastAsia" w:ascii="宋体" w:hAnsi="宋体" w:cs="宋体"/>
                <w:color w:val="000000" w:themeColor="text1"/>
                <w:kern w:val="0"/>
                <w:szCs w:val="21"/>
                <w:lang w:bidi="ar"/>
                <w14:textFill>
                  <w14:solidFill>
                    <w14:schemeClr w14:val="tx1"/>
                  </w14:solidFill>
                </w14:textFill>
              </w:rPr>
            </w:pPr>
            <w:r>
              <w:rPr>
                <w:rFonts w:ascii="宋体" w:hAnsi="宋体"/>
                <w:color w:val="000000" w:themeColor="text1"/>
                <w:kern w:val="24"/>
                <w:szCs w:val="21"/>
                <w14:textFill>
                  <w14:solidFill>
                    <w14:schemeClr w14:val="tx1"/>
                  </w14:solidFill>
                </w14:textFill>
              </w:rPr>
              <w:t>2018.08.04</w:t>
            </w:r>
          </w:p>
        </w:tc>
        <w:tc>
          <w:tcPr>
            <w:tcW w:w="830" w:type="pct"/>
            <w:tcBorders>
              <w:left w:val="single" w:color="auto" w:sz="4" w:space="0"/>
              <w:tl2br w:val="nil"/>
              <w:tr2bl w:val="nil"/>
            </w:tcBorders>
            <w:vAlign w:val="center"/>
          </w:tcPr>
          <w:p w14:paraId="4D6C60B8">
            <w:pPr>
              <w:widowControl/>
              <w:adjustRightInd w:val="0"/>
              <w:snapToGrid w:val="0"/>
              <w:jc w:val="center"/>
              <w:textAlignment w:val="center"/>
              <w:rPr>
                <w:rFonts w:hint="eastAsia" w:ascii="宋体" w:hAnsi="宋体" w:cs="宋体"/>
                <w:color w:val="000000" w:themeColor="text1"/>
                <w:kern w:val="0"/>
                <w:szCs w:val="21"/>
                <w:lang w:bidi="ar"/>
                <w14:textFill>
                  <w14:solidFill>
                    <w14:schemeClr w14:val="tx1"/>
                  </w14:solidFill>
                </w14:textFill>
              </w:rPr>
            </w:pPr>
            <w:r>
              <w:rPr>
                <w:rFonts w:ascii="宋体" w:hAnsi="宋体"/>
                <w:color w:val="000000" w:themeColor="text1"/>
                <w:kern w:val="24"/>
                <w:szCs w:val="21"/>
                <w14:textFill>
                  <w14:solidFill>
                    <w14:schemeClr w14:val="tx1"/>
                  </w14:solidFill>
                </w14:textFill>
              </w:rPr>
              <w:t>合格</w:t>
            </w:r>
          </w:p>
        </w:tc>
        <w:tc>
          <w:tcPr>
            <w:tcW w:w="830" w:type="pct"/>
            <w:tcBorders>
              <w:left w:val="single" w:color="auto" w:sz="4" w:space="0"/>
              <w:tl2br w:val="nil"/>
              <w:tr2bl w:val="nil"/>
            </w:tcBorders>
            <w:vAlign w:val="center"/>
          </w:tcPr>
          <w:p w14:paraId="51C76077">
            <w:pPr>
              <w:widowControl/>
              <w:adjustRightInd w:val="0"/>
              <w:snapToGrid w:val="0"/>
              <w:jc w:val="center"/>
              <w:textAlignment w:val="center"/>
              <w:rPr>
                <w:rFonts w:hint="eastAsia" w:ascii="宋体" w:hAnsi="宋体"/>
                <w:color w:val="000000" w:themeColor="text1"/>
                <w:kern w:val="24"/>
                <w:szCs w:val="21"/>
                <w14:textFill>
                  <w14:solidFill>
                    <w14:schemeClr w14:val="tx1"/>
                  </w14:solidFill>
                </w14:textFill>
              </w:rPr>
            </w:pPr>
            <w:r>
              <w:rPr>
                <w:rFonts w:hint="eastAsia" w:ascii="宋体" w:hAnsi="宋体"/>
                <w:color w:val="000000" w:themeColor="text1"/>
                <w:kern w:val="24"/>
                <w:szCs w:val="21"/>
                <w14:textFill>
                  <w14:solidFill>
                    <w14:schemeClr w14:val="tx1"/>
                  </w14:solidFill>
                </w14:textFill>
              </w:rPr>
              <w:t>生产井</w:t>
            </w:r>
          </w:p>
        </w:tc>
      </w:tr>
      <w:tr w14:paraId="39076301">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290" w:type="pct"/>
            <w:tcBorders>
              <w:tl2br w:val="nil"/>
              <w:tr2bl w:val="nil"/>
            </w:tcBorders>
            <w:vAlign w:val="center"/>
          </w:tcPr>
          <w:p w14:paraId="091B286A">
            <w:pPr>
              <w:widowControl/>
              <w:adjustRightInd w:val="0"/>
              <w:snapToGrid w:val="0"/>
              <w:jc w:val="center"/>
              <w:textAlignment w:val="center"/>
              <w:rPr>
                <w:rFonts w:hint="eastAsia" w:ascii="宋体" w:hAnsi="宋体" w:cs="宋体"/>
                <w:color w:val="000000" w:themeColor="text1"/>
                <w:kern w:val="0"/>
                <w:szCs w:val="21"/>
                <w:lang w:bidi="ar"/>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2</w:t>
            </w:r>
          </w:p>
        </w:tc>
        <w:tc>
          <w:tcPr>
            <w:tcW w:w="546" w:type="pct"/>
            <w:tcBorders>
              <w:tl2br w:val="nil"/>
              <w:tr2bl w:val="nil"/>
            </w:tcBorders>
            <w:vAlign w:val="center"/>
          </w:tcPr>
          <w:p w14:paraId="71EA288C">
            <w:pPr>
              <w:widowControl/>
              <w:adjustRightInd w:val="0"/>
              <w:snapToGrid w:val="0"/>
              <w:jc w:val="center"/>
              <w:textAlignment w:val="center"/>
              <w:rPr>
                <w:rFonts w:hint="eastAsia" w:ascii="宋体" w:hAnsi="宋体" w:cs="宋体"/>
                <w:color w:val="000000" w:themeColor="text1"/>
                <w:szCs w:val="21"/>
                <w14:textFill>
                  <w14:solidFill>
                    <w14:schemeClr w14:val="tx1"/>
                  </w14:solidFill>
                </w14:textFill>
              </w:rPr>
            </w:pPr>
            <w:r>
              <w:rPr>
                <w:rFonts w:ascii="宋体" w:hAnsi="宋体"/>
                <w:color w:val="000000" w:themeColor="text1"/>
                <w:kern w:val="24"/>
                <w:szCs w:val="21"/>
                <w14:textFill>
                  <w14:solidFill>
                    <w14:schemeClr w14:val="tx1"/>
                  </w14:solidFill>
                </w14:textFill>
              </w:rPr>
              <w:t>JHW031</w:t>
            </w:r>
          </w:p>
        </w:tc>
        <w:tc>
          <w:tcPr>
            <w:tcW w:w="950" w:type="pct"/>
            <w:tcBorders>
              <w:tl2br w:val="nil"/>
              <w:tr2bl w:val="nil"/>
            </w:tcBorders>
            <w:vAlign w:val="center"/>
          </w:tcPr>
          <w:p w14:paraId="3F226BFC">
            <w:pPr>
              <w:widowControl/>
              <w:adjustRightInd w:val="0"/>
              <w:snapToGrid w:val="0"/>
              <w:jc w:val="center"/>
              <w:textAlignment w:val="center"/>
              <w:rPr>
                <w:rFonts w:hint="eastAsia" w:ascii="宋体" w:hAnsi="宋体" w:cs="宋体"/>
                <w:color w:val="000000" w:themeColor="text1"/>
                <w:szCs w:val="21"/>
                <w14:textFill>
                  <w14:solidFill>
                    <w14:schemeClr w14:val="tx1"/>
                  </w14:solidFill>
                </w14:textFill>
              </w:rPr>
            </w:pPr>
          </w:p>
        </w:tc>
        <w:tc>
          <w:tcPr>
            <w:tcW w:w="893" w:type="pct"/>
            <w:tcBorders>
              <w:tl2br w:val="nil"/>
              <w:tr2bl w:val="nil"/>
            </w:tcBorders>
            <w:vAlign w:val="center"/>
          </w:tcPr>
          <w:p w14:paraId="26957665">
            <w:pPr>
              <w:widowControl/>
              <w:adjustRightInd w:val="0"/>
              <w:snapToGrid w:val="0"/>
              <w:jc w:val="center"/>
              <w:textAlignment w:val="center"/>
              <w:rPr>
                <w:rFonts w:hint="eastAsia" w:ascii="宋体" w:hAnsi="宋体" w:cs="宋体"/>
                <w:color w:val="000000" w:themeColor="text1"/>
                <w:szCs w:val="21"/>
                <w14:textFill>
                  <w14:solidFill>
                    <w14:schemeClr w14:val="tx1"/>
                  </w14:solidFill>
                </w14:textFill>
              </w:rPr>
            </w:pPr>
          </w:p>
        </w:tc>
        <w:tc>
          <w:tcPr>
            <w:tcW w:w="661" w:type="pct"/>
            <w:tcBorders>
              <w:right w:val="single" w:color="auto" w:sz="4" w:space="0"/>
              <w:tl2br w:val="nil"/>
              <w:tr2bl w:val="nil"/>
            </w:tcBorders>
            <w:vAlign w:val="center"/>
          </w:tcPr>
          <w:p w14:paraId="4EEBBDFB">
            <w:pPr>
              <w:widowControl/>
              <w:adjustRightInd w:val="0"/>
              <w:snapToGrid w:val="0"/>
              <w:jc w:val="center"/>
              <w:textAlignment w:val="center"/>
              <w:rPr>
                <w:rFonts w:hint="eastAsia" w:ascii="宋体" w:hAnsi="宋体"/>
                <w:color w:val="000000" w:themeColor="text1"/>
                <w:kern w:val="0"/>
                <w:szCs w:val="21"/>
                <w:lang w:bidi="ar"/>
                <w14:textFill>
                  <w14:solidFill>
                    <w14:schemeClr w14:val="tx1"/>
                  </w14:solidFill>
                </w14:textFill>
              </w:rPr>
            </w:pPr>
            <w:r>
              <w:rPr>
                <w:rFonts w:ascii="宋体" w:hAnsi="宋体"/>
                <w:color w:val="000000" w:themeColor="text1"/>
                <w:kern w:val="24"/>
                <w:szCs w:val="21"/>
                <w14:textFill>
                  <w14:solidFill>
                    <w14:schemeClr w14:val="tx1"/>
                  </w14:solidFill>
                </w14:textFill>
              </w:rPr>
              <w:t>2018.08.02</w:t>
            </w:r>
          </w:p>
        </w:tc>
        <w:tc>
          <w:tcPr>
            <w:tcW w:w="830" w:type="pct"/>
            <w:tcBorders>
              <w:left w:val="single" w:color="auto" w:sz="4" w:space="0"/>
              <w:tl2br w:val="nil"/>
              <w:tr2bl w:val="nil"/>
            </w:tcBorders>
            <w:vAlign w:val="center"/>
          </w:tcPr>
          <w:p w14:paraId="44E4365A">
            <w:pPr>
              <w:widowControl/>
              <w:adjustRightInd w:val="0"/>
              <w:snapToGrid w:val="0"/>
              <w:jc w:val="center"/>
              <w:textAlignment w:val="center"/>
              <w:rPr>
                <w:rFonts w:hint="eastAsia" w:ascii="宋体" w:hAnsi="宋体"/>
                <w:color w:val="000000" w:themeColor="text1"/>
                <w:kern w:val="0"/>
                <w:szCs w:val="21"/>
                <w:lang w:bidi="ar"/>
                <w14:textFill>
                  <w14:solidFill>
                    <w14:schemeClr w14:val="tx1"/>
                  </w14:solidFill>
                </w14:textFill>
              </w:rPr>
            </w:pPr>
            <w:r>
              <w:rPr>
                <w:rFonts w:ascii="宋体" w:hAnsi="宋体"/>
                <w:color w:val="000000" w:themeColor="text1"/>
                <w:kern w:val="24"/>
                <w:szCs w:val="21"/>
                <w14:textFill>
                  <w14:solidFill>
                    <w14:schemeClr w14:val="tx1"/>
                  </w14:solidFill>
                </w14:textFill>
              </w:rPr>
              <w:t>合格</w:t>
            </w:r>
          </w:p>
        </w:tc>
        <w:tc>
          <w:tcPr>
            <w:tcW w:w="830" w:type="pct"/>
            <w:tcBorders>
              <w:left w:val="single" w:color="auto" w:sz="4" w:space="0"/>
              <w:tl2br w:val="nil"/>
              <w:tr2bl w:val="nil"/>
            </w:tcBorders>
            <w:vAlign w:val="center"/>
          </w:tcPr>
          <w:p w14:paraId="0205F151">
            <w:pPr>
              <w:widowControl/>
              <w:adjustRightInd w:val="0"/>
              <w:snapToGrid w:val="0"/>
              <w:jc w:val="center"/>
              <w:textAlignment w:val="center"/>
              <w:rPr>
                <w:rFonts w:hint="eastAsia" w:ascii="宋体" w:hAnsi="宋体"/>
                <w:color w:val="000000" w:themeColor="text1"/>
                <w:kern w:val="24"/>
                <w:szCs w:val="21"/>
                <w14:textFill>
                  <w14:solidFill>
                    <w14:schemeClr w14:val="tx1"/>
                  </w14:solidFill>
                </w14:textFill>
              </w:rPr>
            </w:pPr>
            <w:r>
              <w:rPr>
                <w:rFonts w:hint="eastAsia" w:ascii="宋体" w:hAnsi="宋体"/>
                <w:color w:val="000000" w:themeColor="text1"/>
                <w:kern w:val="24"/>
                <w:szCs w:val="21"/>
                <w14:textFill>
                  <w14:solidFill>
                    <w14:schemeClr w14:val="tx1"/>
                  </w14:solidFill>
                </w14:textFill>
              </w:rPr>
              <w:t>生产井</w:t>
            </w:r>
          </w:p>
        </w:tc>
      </w:tr>
      <w:tr w14:paraId="387301EA">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290" w:type="pct"/>
            <w:tcBorders>
              <w:tl2br w:val="nil"/>
              <w:tr2bl w:val="nil"/>
            </w:tcBorders>
            <w:vAlign w:val="center"/>
          </w:tcPr>
          <w:p w14:paraId="6B6DE824">
            <w:pPr>
              <w:widowControl/>
              <w:adjustRightInd w:val="0"/>
              <w:snapToGrid w:val="0"/>
              <w:jc w:val="center"/>
              <w:textAlignment w:val="center"/>
              <w:rPr>
                <w:rFonts w:hint="eastAsia" w:ascii="宋体" w:hAnsi="宋体" w:cs="宋体"/>
                <w:color w:val="000000" w:themeColor="text1"/>
                <w:kern w:val="0"/>
                <w:szCs w:val="21"/>
                <w:lang w:bidi="ar"/>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3</w:t>
            </w:r>
          </w:p>
        </w:tc>
        <w:tc>
          <w:tcPr>
            <w:tcW w:w="546" w:type="pct"/>
            <w:tcBorders>
              <w:tl2br w:val="nil"/>
              <w:tr2bl w:val="nil"/>
            </w:tcBorders>
            <w:vAlign w:val="center"/>
          </w:tcPr>
          <w:p w14:paraId="726FA88F">
            <w:pPr>
              <w:widowControl/>
              <w:adjustRightInd w:val="0"/>
              <w:snapToGrid w:val="0"/>
              <w:jc w:val="center"/>
              <w:textAlignment w:val="center"/>
              <w:rPr>
                <w:rFonts w:hint="eastAsia" w:ascii="宋体" w:hAnsi="宋体" w:cs="宋体"/>
                <w:color w:val="000000" w:themeColor="text1"/>
                <w:szCs w:val="21"/>
                <w14:textFill>
                  <w14:solidFill>
                    <w14:schemeClr w14:val="tx1"/>
                  </w14:solidFill>
                </w14:textFill>
              </w:rPr>
            </w:pPr>
            <w:r>
              <w:rPr>
                <w:rFonts w:ascii="宋体" w:hAnsi="宋体"/>
                <w:color w:val="000000" w:themeColor="text1"/>
                <w:kern w:val="24"/>
                <w:szCs w:val="21"/>
                <w14:textFill>
                  <w14:solidFill>
                    <w14:schemeClr w14:val="tx1"/>
                  </w14:solidFill>
                </w14:textFill>
              </w:rPr>
              <w:t>JHW032</w:t>
            </w:r>
          </w:p>
        </w:tc>
        <w:tc>
          <w:tcPr>
            <w:tcW w:w="950" w:type="pct"/>
            <w:tcBorders>
              <w:tl2br w:val="nil"/>
              <w:tr2bl w:val="nil"/>
            </w:tcBorders>
            <w:vAlign w:val="center"/>
          </w:tcPr>
          <w:p w14:paraId="40A25CFA">
            <w:pPr>
              <w:widowControl/>
              <w:adjustRightInd w:val="0"/>
              <w:snapToGrid w:val="0"/>
              <w:jc w:val="center"/>
              <w:textAlignment w:val="center"/>
              <w:rPr>
                <w:rFonts w:hint="eastAsia" w:ascii="宋体" w:hAnsi="宋体" w:cs="宋体"/>
                <w:color w:val="000000" w:themeColor="text1"/>
                <w:szCs w:val="21"/>
                <w14:textFill>
                  <w14:solidFill>
                    <w14:schemeClr w14:val="tx1"/>
                  </w14:solidFill>
                </w14:textFill>
              </w:rPr>
            </w:pPr>
          </w:p>
        </w:tc>
        <w:tc>
          <w:tcPr>
            <w:tcW w:w="893" w:type="pct"/>
            <w:tcBorders>
              <w:tl2br w:val="nil"/>
              <w:tr2bl w:val="nil"/>
            </w:tcBorders>
            <w:vAlign w:val="center"/>
          </w:tcPr>
          <w:p w14:paraId="2FD5B35F">
            <w:pPr>
              <w:widowControl/>
              <w:adjustRightInd w:val="0"/>
              <w:snapToGrid w:val="0"/>
              <w:jc w:val="center"/>
              <w:textAlignment w:val="center"/>
              <w:rPr>
                <w:rFonts w:hint="eastAsia" w:ascii="宋体" w:hAnsi="宋体" w:cs="宋体"/>
                <w:color w:val="000000" w:themeColor="text1"/>
                <w:szCs w:val="21"/>
                <w14:textFill>
                  <w14:solidFill>
                    <w14:schemeClr w14:val="tx1"/>
                  </w14:solidFill>
                </w14:textFill>
              </w:rPr>
            </w:pPr>
          </w:p>
        </w:tc>
        <w:tc>
          <w:tcPr>
            <w:tcW w:w="661" w:type="pct"/>
            <w:tcBorders>
              <w:right w:val="single" w:color="auto" w:sz="4" w:space="0"/>
              <w:tl2br w:val="nil"/>
              <w:tr2bl w:val="nil"/>
            </w:tcBorders>
            <w:vAlign w:val="center"/>
          </w:tcPr>
          <w:p w14:paraId="344F011B">
            <w:pPr>
              <w:widowControl/>
              <w:adjustRightInd w:val="0"/>
              <w:snapToGrid w:val="0"/>
              <w:jc w:val="center"/>
              <w:textAlignment w:val="center"/>
              <w:rPr>
                <w:rFonts w:hint="eastAsia" w:ascii="宋体" w:hAnsi="宋体"/>
                <w:color w:val="000000" w:themeColor="text1"/>
                <w:kern w:val="0"/>
                <w:szCs w:val="21"/>
                <w:lang w:bidi="ar"/>
                <w14:textFill>
                  <w14:solidFill>
                    <w14:schemeClr w14:val="tx1"/>
                  </w14:solidFill>
                </w14:textFill>
              </w:rPr>
            </w:pPr>
            <w:r>
              <w:rPr>
                <w:rFonts w:ascii="宋体" w:hAnsi="宋体"/>
                <w:color w:val="000000" w:themeColor="text1"/>
                <w:kern w:val="24"/>
                <w:szCs w:val="21"/>
                <w14:textFill>
                  <w14:solidFill>
                    <w14:schemeClr w14:val="tx1"/>
                  </w14:solidFill>
                </w14:textFill>
              </w:rPr>
              <w:t>2018.09.02</w:t>
            </w:r>
          </w:p>
        </w:tc>
        <w:tc>
          <w:tcPr>
            <w:tcW w:w="830" w:type="pct"/>
            <w:tcBorders>
              <w:left w:val="single" w:color="auto" w:sz="4" w:space="0"/>
              <w:tl2br w:val="nil"/>
              <w:tr2bl w:val="nil"/>
            </w:tcBorders>
            <w:vAlign w:val="center"/>
          </w:tcPr>
          <w:p w14:paraId="55EA281F">
            <w:pPr>
              <w:widowControl/>
              <w:adjustRightInd w:val="0"/>
              <w:snapToGrid w:val="0"/>
              <w:jc w:val="center"/>
              <w:textAlignment w:val="center"/>
              <w:rPr>
                <w:rFonts w:hint="eastAsia" w:ascii="宋体" w:hAnsi="宋体"/>
                <w:color w:val="000000" w:themeColor="text1"/>
                <w:kern w:val="0"/>
                <w:szCs w:val="21"/>
                <w:lang w:bidi="ar"/>
                <w14:textFill>
                  <w14:solidFill>
                    <w14:schemeClr w14:val="tx1"/>
                  </w14:solidFill>
                </w14:textFill>
              </w:rPr>
            </w:pPr>
            <w:r>
              <w:rPr>
                <w:rFonts w:ascii="宋体" w:hAnsi="宋体"/>
                <w:color w:val="000000" w:themeColor="text1"/>
                <w:kern w:val="24"/>
                <w:szCs w:val="21"/>
                <w14:textFill>
                  <w14:solidFill>
                    <w14:schemeClr w14:val="tx1"/>
                  </w14:solidFill>
                </w14:textFill>
              </w:rPr>
              <w:t>合格</w:t>
            </w:r>
          </w:p>
        </w:tc>
        <w:tc>
          <w:tcPr>
            <w:tcW w:w="830" w:type="pct"/>
            <w:tcBorders>
              <w:left w:val="single" w:color="auto" w:sz="4" w:space="0"/>
              <w:tl2br w:val="nil"/>
              <w:tr2bl w:val="nil"/>
            </w:tcBorders>
            <w:vAlign w:val="center"/>
          </w:tcPr>
          <w:p w14:paraId="131219C3">
            <w:pPr>
              <w:widowControl/>
              <w:adjustRightInd w:val="0"/>
              <w:snapToGrid w:val="0"/>
              <w:jc w:val="center"/>
              <w:textAlignment w:val="center"/>
              <w:rPr>
                <w:rFonts w:hint="eastAsia" w:ascii="宋体" w:hAnsi="宋体"/>
                <w:color w:val="000000" w:themeColor="text1"/>
                <w:kern w:val="24"/>
                <w:szCs w:val="21"/>
                <w14:textFill>
                  <w14:solidFill>
                    <w14:schemeClr w14:val="tx1"/>
                  </w14:solidFill>
                </w14:textFill>
              </w:rPr>
            </w:pPr>
            <w:r>
              <w:rPr>
                <w:rFonts w:hint="eastAsia" w:ascii="宋体" w:hAnsi="宋体"/>
                <w:color w:val="000000" w:themeColor="text1"/>
                <w:kern w:val="24"/>
                <w:szCs w:val="21"/>
                <w14:textFill>
                  <w14:solidFill>
                    <w14:schemeClr w14:val="tx1"/>
                  </w14:solidFill>
                </w14:textFill>
              </w:rPr>
              <w:t>生产井</w:t>
            </w:r>
          </w:p>
        </w:tc>
      </w:tr>
      <w:tr w14:paraId="7E8B1EBF">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290" w:type="pct"/>
            <w:tcBorders>
              <w:tl2br w:val="nil"/>
              <w:tr2bl w:val="nil"/>
            </w:tcBorders>
            <w:vAlign w:val="center"/>
          </w:tcPr>
          <w:p w14:paraId="2F1D5110">
            <w:pPr>
              <w:widowControl/>
              <w:adjustRightInd w:val="0"/>
              <w:snapToGrid w:val="0"/>
              <w:jc w:val="center"/>
              <w:textAlignment w:val="center"/>
              <w:rPr>
                <w:rFonts w:hint="eastAsia" w:ascii="宋体" w:hAnsi="宋体" w:cs="宋体"/>
                <w:color w:val="000000" w:themeColor="text1"/>
                <w:kern w:val="0"/>
                <w:szCs w:val="21"/>
                <w:lang w:bidi="ar"/>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4</w:t>
            </w:r>
          </w:p>
        </w:tc>
        <w:tc>
          <w:tcPr>
            <w:tcW w:w="546" w:type="pct"/>
            <w:tcBorders>
              <w:tl2br w:val="nil"/>
              <w:tr2bl w:val="nil"/>
            </w:tcBorders>
            <w:vAlign w:val="center"/>
          </w:tcPr>
          <w:p w14:paraId="12BBB19A">
            <w:pPr>
              <w:widowControl/>
              <w:adjustRightInd w:val="0"/>
              <w:snapToGrid w:val="0"/>
              <w:jc w:val="center"/>
              <w:textAlignment w:val="center"/>
              <w:rPr>
                <w:rFonts w:hint="eastAsia" w:ascii="宋体" w:hAnsi="宋体" w:cs="宋体"/>
                <w:color w:val="000000" w:themeColor="text1"/>
                <w:szCs w:val="21"/>
                <w14:textFill>
                  <w14:solidFill>
                    <w14:schemeClr w14:val="tx1"/>
                  </w14:solidFill>
                </w14:textFill>
              </w:rPr>
            </w:pPr>
            <w:r>
              <w:rPr>
                <w:rFonts w:ascii="宋体" w:hAnsi="宋体"/>
                <w:color w:val="000000" w:themeColor="text1"/>
                <w:kern w:val="24"/>
                <w:szCs w:val="21"/>
                <w14:textFill>
                  <w14:solidFill>
                    <w14:schemeClr w14:val="tx1"/>
                  </w14:solidFill>
                </w14:textFill>
              </w:rPr>
              <w:t>JHW033</w:t>
            </w:r>
          </w:p>
        </w:tc>
        <w:tc>
          <w:tcPr>
            <w:tcW w:w="950" w:type="pct"/>
            <w:tcBorders>
              <w:tl2br w:val="nil"/>
              <w:tr2bl w:val="nil"/>
            </w:tcBorders>
            <w:vAlign w:val="center"/>
          </w:tcPr>
          <w:p w14:paraId="45990BCE">
            <w:pPr>
              <w:widowControl/>
              <w:adjustRightInd w:val="0"/>
              <w:snapToGrid w:val="0"/>
              <w:jc w:val="center"/>
              <w:textAlignment w:val="center"/>
              <w:rPr>
                <w:rFonts w:hint="eastAsia" w:ascii="宋体" w:hAnsi="宋体" w:cs="宋体"/>
                <w:color w:val="000000" w:themeColor="text1"/>
                <w:szCs w:val="21"/>
                <w14:textFill>
                  <w14:solidFill>
                    <w14:schemeClr w14:val="tx1"/>
                  </w14:solidFill>
                </w14:textFill>
              </w:rPr>
            </w:pPr>
          </w:p>
        </w:tc>
        <w:tc>
          <w:tcPr>
            <w:tcW w:w="893" w:type="pct"/>
            <w:tcBorders>
              <w:tl2br w:val="nil"/>
              <w:tr2bl w:val="nil"/>
            </w:tcBorders>
            <w:vAlign w:val="center"/>
          </w:tcPr>
          <w:p w14:paraId="1B66B3C8">
            <w:pPr>
              <w:widowControl/>
              <w:adjustRightInd w:val="0"/>
              <w:snapToGrid w:val="0"/>
              <w:jc w:val="center"/>
              <w:textAlignment w:val="center"/>
              <w:rPr>
                <w:rFonts w:hint="eastAsia" w:ascii="宋体" w:hAnsi="宋体" w:cs="宋体"/>
                <w:color w:val="000000" w:themeColor="text1"/>
                <w:szCs w:val="21"/>
                <w14:textFill>
                  <w14:solidFill>
                    <w14:schemeClr w14:val="tx1"/>
                  </w14:solidFill>
                </w14:textFill>
              </w:rPr>
            </w:pPr>
          </w:p>
        </w:tc>
        <w:tc>
          <w:tcPr>
            <w:tcW w:w="661" w:type="pct"/>
            <w:tcBorders>
              <w:right w:val="single" w:color="auto" w:sz="4" w:space="0"/>
              <w:tl2br w:val="nil"/>
              <w:tr2bl w:val="nil"/>
            </w:tcBorders>
            <w:vAlign w:val="center"/>
          </w:tcPr>
          <w:p w14:paraId="4E0BC03E">
            <w:pPr>
              <w:widowControl/>
              <w:adjustRightInd w:val="0"/>
              <w:snapToGrid w:val="0"/>
              <w:jc w:val="center"/>
              <w:textAlignment w:val="center"/>
              <w:rPr>
                <w:rFonts w:hint="eastAsia" w:ascii="宋体" w:hAnsi="宋体"/>
                <w:color w:val="000000" w:themeColor="text1"/>
                <w:kern w:val="0"/>
                <w:szCs w:val="21"/>
                <w:lang w:bidi="ar"/>
                <w14:textFill>
                  <w14:solidFill>
                    <w14:schemeClr w14:val="tx1"/>
                  </w14:solidFill>
                </w14:textFill>
              </w:rPr>
            </w:pPr>
            <w:r>
              <w:rPr>
                <w:rFonts w:ascii="宋体" w:hAnsi="宋体"/>
                <w:color w:val="000000" w:themeColor="text1"/>
                <w:kern w:val="24"/>
                <w:szCs w:val="21"/>
                <w14:textFill>
                  <w14:solidFill>
                    <w14:schemeClr w14:val="tx1"/>
                  </w14:solidFill>
                </w14:textFill>
              </w:rPr>
              <w:t>2018.05.05</w:t>
            </w:r>
          </w:p>
        </w:tc>
        <w:tc>
          <w:tcPr>
            <w:tcW w:w="830" w:type="pct"/>
            <w:tcBorders>
              <w:left w:val="single" w:color="auto" w:sz="4" w:space="0"/>
              <w:tl2br w:val="nil"/>
              <w:tr2bl w:val="nil"/>
            </w:tcBorders>
            <w:vAlign w:val="center"/>
          </w:tcPr>
          <w:p w14:paraId="33DAFA64">
            <w:pPr>
              <w:widowControl/>
              <w:adjustRightInd w:val="0"/>
              <w:snapToGrid w:val="0"/>
              <w:jc w:val="center"/>
              <w:textAlignment w:val="center"/>
              <w:rPr>
                <w:rFonts w:hint="eastAsia" w:ascii="宋体" w:hAnsi="宋体"/>
                <w:color w:val="000000" w:themeColor="text1"/>
                <w:kern w:val="0"/>
                <w:szCs w:val="21"/>
                <w:lang w:bidi="ar"/>
                <w14:textFill>
                  <w14:solidFill>
                    <w14:schemeClr w14:val="tx1"/>
                  </w14:solidFill>
                </w14:textFill>
              </w:rPr>
            </w:pPr>
            <w:r>
              <w:rPr>
                <w:rFonts w:ascii="宋体" w:hAnsi="宋体"/>
                <w:color w:val="000000" w:themeColor="text1"/>
                <w:kern w:val="24"/>
                <w:szCs w:val="21"/>
                <w14:textFill>
                  <w14:solidFill>
                    <w14:schemeClr w14:val="tx1"/>
                  </w14:solidFill>
                </w14:textFill>
              </w:rPr>
              <w:t>合格</w:t>
            </w:r>
          </w:p>
        </w:tc>
        <w:tc>
          <w:tcPr>
            <w:tcW w:w="830" w:type="pct"/>
            <w:tcBorders>
              <w:left w:val="single" w:color="auto" w:sz="4" w:space="0"/>
              <w:tl2br w:val="nil"/>
              <w:tr2bl w:val="nil"/>
            </w:tcBorders>
            <w:vAlign w:val="center"/>
          </w:tcPr>
          <w:p w14:paraId="72C4AF6F">
            <w:pPr>
              <w:widowControl/>
              <w:adjustRightInd w:val="0"/>
              <w:snapToGrid w:val="0"/>
              <w:jc w:val="center"/>
              <w:textAlignment w:val="center"/>
              <w:rPr>
                <w:rFonts w:hint="eastAsia" w:ascii="宋体" w:hAnsi="宋体"/>
                <w:color w:val="000000" w:themeColor="text1"/>
                <w:kern w:val="24"/>
                <w:szCs w:val="21"/>
                <w14:textFill>
                  <w14:solidFill>
                    <w14:schemeClr w14:val="tx1"/>
                  </w14:solidFill>
                </w14:textFill>
              </w:rPr>
            </w:pPr>
            <w:r>
              <w:rPr>
                <w:rFonts w:hint="eastAsia" w:ascii="宋体" w:hAnsi="宋体"/>
                <w:color w:val="000000" w:themeColor="text1"/>
                <w:kern w:val="24"/>
                <w:szCs w:val="21"/>
                <w14:textFill>
                  <w14:solidFill>
                    <w14:schemeClr w14:val="tx1"/>
                  </w14:solidFill>
                </w14:textFill>
              </w:rPr>
              <w:t>生产井</w:t>
            </w:r>
          </w:p>
        </w:tc>
      </w:tr>
      <w:tr w14:paraId="4586C0BC">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290" w:type="pct"/>
            <w:tcBorders>
              <w:tl2br w:val="nil"/>
              <w:tr2bl w:val="nil"/>
            </w:tcBorders>
            <w:vAlign w:val="center"/>
          </w:tcPr>
          <w:p w14:paraId="3A27751B">
            <w:pPr>
              <w:widowControl/>
              <w:adjustRightInd w:val="0"/>
              <w:snapToGrid w:val="0"/>
              <w:jc w:val="center"/>
              <w:textAlignment w:val="center"/>
              <w:rPr>
                <w:rFonts w:hint="eastAsia" w:ascii="宋体" w:hAnsi="宋体" w:cs="宋体"/>
                <w:color w:val="000000" w:themeColor="text1"/>
                <w:kern w:val="0"/>
                <w:szCs w:val="21"/>
                <w:lang w:bidi="ar"/>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5</w:t>
            </w:r>
          </w:p>
        </w:tc>
        <w:tc>
          <w:tcPr>
            <w:tcW w:w="546" w:type="pct"/>
            <w:tcBorders>
              <w:tl2br w:val="nil"/>
              <w:tr2bl w:val="nil"/>
            </w:tcBorders>
            <w:vAlign w:val="center"/>
          </w:tcPr>
          <w:p w14:paraId="16C4600F">
            <w:pPr>
              <w:widowControl/>
              <w:adjustRightInd w:val="0"/>
              <w:snapToGrid w:val="0"/>
              <w:jc w:val="center"/>
              <w:textAlignment w:val="center"/>
              <w:rPr>
                <w:rFonts w:hint="eastAsia" w:ascii="宋体" w:hAnsi="宋体" w:cs="宋体"/>
                <w:color w:val="000000" w:themeColor="text1"/>
                <w:szCs w:val="21"/>
                <w14:textFill>
                  <w14:solidFill>
                    <w14:schemeClr w14:val="tx1"/>
                  </w14:solidFill>
                </w14:textFill>
              </w:rPr>
            </w:pPr>
            <w:r>
              <w:rPr>
                <w:rFonts w:ascii="宋体" w:hAnsi="宋体"/>
                <w:color w:val="000000" w:themeColor="text1"/>
                <w:kern w:val="24"/>
                <w:szCs w:val="21"/>
                <w14:textFill>
                  <w14:solidFill>
                    <w14:schemeClr w14:val="tx1"/>
                  </w14:solidFill>
                </w14:textFill>
              </w:rPr>
              <w:t>JHW035</w:t>
            </w:r>
          </w:p>
        </w:tc>
        <w:tc>
          <w:tcPr>
            <w:tcW w:w="950" w:type="pct"/>
            <w:tcBorders>
              <w:tl2br w:val="nil"/>
              <w:tr2bl w:val="nil"/>
            </w:tcBorders>
            <w:vAlign w:val="center"/>
          </w:tcPr>
          <w:p w14:paraId="06A5CB5C">
            <w:pPr>
              <w:widowControl/>
              <w:adjustRightInd w:val="0"/>
              <w:snapToGrid w:val="0"/>
              <w:jc w:val="center"/>
              <w:textAlignment w:val="center"/>
              <w:rPr>
                <w:rFonts w:hint="eastAsia" w:ascii="宋体" w:hAnsi="宋体" w:cs="宋体"/>
                <w:color w:val="000000" w:themeColor="text1"/>
                <w:szCs w:val="21"/>
                <w14:textFill>
                  <w14:solidFill>
                    <w14:schemeClr w14:val="tx1"/>
                  </w14:solidFill>
                </w14:textFill>
              </w:rPr>
            </w:pPr>
          </w:p>
        </w:tc>
        <w:tc>
          <w:tcPr>
            <w:tcW w:w="893" w:type="pct"/>
            <w:tcBorders>
              <w:tl2br w:val="nil"/>
              <w:tr2bl w:val="nil"/>
            </w:tcBorders>
            <w:vAlign w:val="center"/>
          </w:tcPr>
          <w:p w14:paraId="21774CD5">
            <w:pPr>
              <w:widowControl/>
              <w:adjustRightInd w:val="0"/>
              <w:snapToGrid w:val="0"/>
              <w:jc w:val="center"/>
              <w:textAlignment w:val="center"/>
              <w:rPr>
                <w:rFonts w:hint="eastAsia" w:ascii="宋体" w:hAnsi="宋体" w:cs="宋体"/>
                <w:color w:val="000000" w:themeColor="text1"/>
                <w:szCs w:val="21"/>
                <w14:textFill>
                  <w14:solidFill>
                    <w14:schemeClr w14:val="tx1"/>
                  </w14:solidFill>
                </w14:textFill>
              </w:rPr>
            </w:pPr>
          </w:p>
        </w:tc>
        <w:tc>
          <w:tcPr>
            <w:tcW w:w="661" w:type="pct"/>
            <w:tcBorders>
              <w:right w:val="single" w:color="auto" w:sz="4" w:space="0"/>
              <w:tl2br w:val="nil"/>
              <w:tr2bl w:val="nil"/>
            </w:tcBorders>
            <w:vAlign w:val="center"/>
          </w:tcPr>
          <w:p w14:paraId="78CB5AFF">
            <w:pPr>
              <w:widowControl/>
              <w:adjustRightInd w:val="0"/>
              <w:snapToGrid w:val="0"/>
              <w:jc w:val="center"/>
              <w:textAlignment w:val="center"/>
              <w:rPr>
                <w:rFonts w:hint="eastAsia" w:ascii="宋体" w:hAnsi="宋体"/>
                <w:color w:val="000000" w:themeColor="text1"/>
                <w:kern w:val="0"/>
                <w:szCs w:val="21"/>
                <w:lang w:bidi="ar"/>
                <w14:textFill>
                  <w14:solidFill>
                    <w14:schemeClr w14:val="tx1"/>
                  </w14:solidFill>
                </w14:textFill>
              </w:rPr>
            </w:pPr>
            <w:r>
              <w:rPr>
                <w:rFonts w:ascii="宋体" w:hAnsi="宋体"/>
                <w:color w:val="000000" w:themeColor="text1"/>
                <w:kern w:val="24"/>
                <w:szCs w:val="21"/>
                <w14:textFill>
                  <w14:solidFill>
                    <w14:schemeClr w14:val="tx1"/>
                  </w14:solidFill>
                </w14:textFill>
              </w:rPr>
              <w:t>2018.04.13</w:t>
            </w:r>
          </w:p>
        </w:tc>
        <w:tc>
          <w:tcPr>
            <w:tcW w:w="830" w:type="pct"/>
            <w:tcBorders>
              <w:left w:val="single" w:color="auto" w:sz="4" w:space="0"/>
              <w:tl2br w:val="nil"/>
              <w:tr2bl w:val="nil"/>
            </w:tcBorders>
            <w:vAlign w:val="center"/>
          </w:tcPr>
          <w:p w14:paraId="2C6EDDC0">
            <w:pPr>
              <w:widowControl/>
              <w:adjustRightInd w:val="0"/>
              <w:snapToGrid w:val="0"/>
              <w:jc w:val="center"/>
              <w:textAlignment w:val="center"/>
              <w:rPr>
                <w:rFonts w:hint="eastAsia" w:ascii="宋体" w:hAnsi="宋体"/>
                <w:color w:val="000000" w:themeColor="text1"/>
                <w:kern w:val="0"/>
                <w:szCs w:val="21"/>
                <w:lang w:bidi="ar"/>
                <w14:textFill>
                  <w14:solidFill>
                    <w14:schemeClr w14:val="tx1"/>
                  </w14:solidFill>
                </w14:textFill>
              </w:rPr>
            </w:pPr>
            <w:r>
              <w:rPr>
                <w:rFonts w:ascii="宋体" w:hAnsi="宋体"/>
                <w:color w:val="000000" w:themeColor="text1"/>
                <w:kern w:val="24"/>
                <w:szCs w:val="21"/>
                <w14:textFill>
                  <w14:solidFill>
                    <w14:schemeClr w14:val="tx1"/>
                  </w14:solidFill>
                </w14:textFill>
              </w:rPr>
              <w:t>合格</w:t>
            </w:r>
          </w:p>
        </w:tc>
        <w:tc>
          <w:tcPr>
            <w:tcW w:w="830" w:type="pct"/>
            <w:tcBorders>
              <w:left w:val="single" w:color="auto" w:sz="4" w:space="0"/>
              <w:tl2br w:val="nil"/>
              <w:tr2bl w:val="nil"/>
            </w:tcBorders>
            <w:vAlign w:val="center"/>
          </w:tcPr>
          <w:p w14:paraId="343DE4FE">
            <w:pPr>
              <w:widowControl/>
              <w:adjustRightInd w:val="0"/>
              <w:snapToGrid w:val="0"/>
              <w:jc w:val="center"/>
              <w:textAlignment w:val="center"/>
              <w:rPr>
                <w:rFonts w:hint="eastAsia" w:ascii="宋体" w:hAnsi="宋体"/>
                <w:color w:val="000000" w:themeColor="text1"/>
                <w:kern w:val="24"/>
                <w:szCs w:val="21"/>
                <w14:textFill>
                  <w14:solidFill>
                    <w14:schemeClr w14:val="tx1"/>
                  </w14:solidFill>
                </w14:textFill>
              </w:rPr>
            </w:pPr>
            <w:r>
              <w:rPr>
                <w:rFonts w:hint="eastAsia" w:ascii="宋体" w:hAnsi="宋体"/>
                <w:color w:val="000000" w:themeColor="text1"/>
                <w:kern w:val="24"/>
                <w:szCs w:val="21"/>
                <w14:textFill>
                  <w14:solidFill>
                    <w14:schemeClr w14:val="tx1"/>
                  </w14:solidFill>
                </w14:textFill>
              </w:rPr>
              <w:t>生产井</w:t>
            </w:r>
          </w:p>
        </w:tc>
      </w:tr>
      <w:tr w14:paraId="4E91D7FE">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290" w:type="pct"/>
            <w:tcBorders>
              <w:tl2br w:val="nil"/>
              <w:tr2bl w:val="nil"/>
            </w:tcBorders>
            <w:vAlign w:val="center"/>
          </w:tcPr>
          <w:p w14:paraId="5D9CCBAE">
            <w:pPr>
              <w:widowControl/>
              <w:adjustRightInd w:val="0"/>
              <w:snapToGrid w:val="0"/>
              <w:jc w:val="center"/>
              <w:textAlignment w:val="center"/>
              <w:rPr>
                <w:rFonts w:hint="eastAsia" w:ascii="宋体" w:hAnsi="宋体" w:cs="宋体"/>
                <w:color w:val="000000" w:themeColor="text1"/>
                <w:kern w:val="0"/>
                <w:szCs w:val="21"/>
                <w:lang w:bidi="ar"/>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6</w:t>
            </w:r>
          </w:p>
        </w:tc>
        <w:tc>
          <w:tcPr>
            <w:tcW w:w="546" w:type="pct"/>
            <w:tcBorders>
              <w:tl2br w:val="nil"/>
              <w:tr2bl w:val="nil"/>
            </w:tcBorders>
            <w:vAlign w:val="center"/>
          </w:tcPr>
          <w:p w14:paraId="633EB4D1">
            <w:pPr>
              <w:widowControl/>
              <w:adjustRightInd w:val="0"/>
              <w:snapToGrid w:val="0"/>
              <w:jc w:val="center"/>
              <w:textAlignment w:val="center"/>
              <w:rPr>
                <w:rFonts w:hint="eastAsia" w:ascii="宋体" w:hAnsi="宋体" w:cs="宋体"/>
                <w:color w:val="000000" w:themeColor="text1"/>
                <w:szCs w:val="21"/>
                <w14:textFill>
                  <w14:solidFill>
                    <w14:schemeClr w14:val="tx1"/>
                  </w14:solidFill>
                </w14:textFill>
              </w:rPr>
            </w:pPr>
            <w:r>
              <w:rPr>
                <w:rFonts w:ascii="宋体" w:hAnsi="宋体"/>
                <w:color w:val="000000" w:themeColor="text1"/>
                <w:kern w:val="24"/>
                <w:szCs w:val="21"/>
                <w14:textFill>
                  <w14:solidFill>
                    <w14:schemeClr w14:val="tx1"/>
                  </w14:solidFill>
                </w14:textFill>
              </w:rPr>
              <w:t>JHW036</w:t>
            </w:r>
          </w:p>
        </w:tc>
        <w:tc>
          <w:tcPr>
            <w:tcW w:w="950" w:type="pct"/>
            <w:tcBorders>
              <w:tl2br w:val="nil"/>
              <w:tr2bl w:val="nil"/>
            </w:tcBorders>
            <w:vAlign w:val="center"/>
          </w:tcPr>
          <w:p w14:paraId="77AB9143">
            <w:pPr>
              <w:widowControl/>
              <w:adjustRightInd w:val="0"/>
              <w:snapToGrid w:val="0"/>
              <w:jc w:val="center"/>
              <w:textAlignment w:val="center"/>
              <w:rPr>
                <w:rFonts w:hint="eastAsia" w:ascii="宋体" w:hAnsi="宋体" w:cs="宋体"/>
                <w:color w:val="000000" w:themeColor="text1"/>
                <w:szCs w:val="21"/>
                <w14:textFill>
                  <w14:solidFill>
                    <w14:schemeClr w14:val="tx1"/>
                  </w14:solidFill>
                </w14:textFill>
              </w:rPr>
            </w:pPr>
          </w:p>
        </w:tc>
        <w:tc>
          <w:tcPr>
            <w:tcW w:w="893" w:type="pct"/>
            <w:tcBorders>
              <w:tl2br w:val="nil"/>
              <w:tr2bl w:val="nil"/>
            </w:tcBorders>
            <w:vAlign w:val="center"/>
          </w:tcPr>
          <w:p w14:paraId="0BF0A14B">
            <w:pPr>
              <w:widowControl/>
              <w:adjustRightInd w:val="0"/>
              <w:snapToGrid w:val="0"/>
              <w:jc w:val="center"/>
              <w:textAlignment w:val="center"/>
              <w:rPr>
                <w:rFonts w:hint="eastAsia" w:ascii="宋体" w:hAnsi="宋体" w:cs="宋体"/>
                <w:color w:val="000000" w:themeColor="text1"/>
                <w:szCs w:val="21"/>
                <w14:textFill>
                  <w14:solidFill>
                    <w14:schemeClr w14:val="tx1"/>
                  </w14:solidFill>
                </w14:textFill>
              </w:rPr>
            </w:pPr>
          </w:p>
        </w:tc>
        <w:tc>
          <w:tcPr>
            <w:tcW w:w="661" w:type="pct"/>
            <w:tcBorders>
              <w:tl2br w:val="nil"/>
              <w:tr2bl w:val="nil"/>
            </w:tcBorders>
            <w:vAlign w:val="center"/>
          </w:tcPr>
          <w:p w14:paraId="296867BB">
            <w:pPr>
              <w:widowControl/>
              <w:adjustRightInd w:val="0"/>
              <w:snapToGrid w:val="0"/>
              <w:jc w:val="center"/>
              <w:textAlignment w:val="center"/>
              <w:rPr>
                <w:rFonts w:hint="eastAsia" w:ascii="宋体" w:hAnsi="宋体"/>
                <w:color w:val="000000" w:themeColor="text1"/>
                <w:kern w:val="0"/>
                <w:szCs w:val="21"/>
                <w:lang w:bidi="ar"/>
                <w14:textFill>
                  <w14:solidFill>
                    <w14:schemeClr w14:val="tx1"/>
                  </w14:solidFill>
                </w14:textFill>
              </w:rPr>
            </w:pPr>
            <w:r>
              <w:rPr>
                <w:rFonts w:ascii="宋体" w:hAnsi="宋体"/>
                <w:color w:val="000000" w:themeColor="text1"/>
                <w:kern w:val="24"/>
                <w:szCs w:val="21"/>
                <w14:textFill>
                  <w14:solidFill>
                    <w14:schemeClr w14:val="tx1"/>
                  </w14:solidFill>
                </w14:textFill>
              </w:rPr>
              <w:t>2018.04.30</w:t>
            </w:r>
          </w:p>
        </w:tc>
        <w:tc>
          <w:tcPr>
            <w:tcW w:w="830" w:type="pct"/>
            <w:tcBorders>
              <w:tl2br w:val="nil"/>
              <w:tr2bl w:val="nil"/>
            </w:tcBorders>
            <w:vAlign w:val="center"/>
          </w:tcPr>
          <w:p w14:paraId="25602E3A">
            <w:pPr>
              <w:widowControl/>
              <w:adjustRightInd w:val="0"/>
              <w:snapToGrid w:val="0"/>
              <w:jc w:val="center"/>
              <w:textAlignment w:val="center"/>
              <w:rPr>
                <w:rFonts w:hint="eastAsia" w:ascii="宋体" w:hAnsi="宋体"/>
                <w:color w:val="000000" w:themeColor="text1"/>
                <w:kern w:val="0"/>
                <w:szCs w:val="21"/>
                <w:lang w:bidi="ar"/>
                <w14:textFill>
                  <w14:solidFill>
                    <w14:schemeClr w14:val="tx1"/>
                  </w14:solidFill>
                </w14:textFill>
              </w:rPr>
            </w:pPr>
            <w:r>
              <w:rPr>
                <w:rFonts w:ascii="宋体" w:hAnsi="宋体"/>
                <w:color w:val="000000" w:themeColor="text1"/>
                <w:kern w:val="24"/>
                <w:szCs w:val="21"/>
                <w14:textFill>
                  <w14:solidFill>
                    <w14:schemeClr w14:val="tx1"/>
                  </w14:solidFill>
                </w14:textFill>
              </w:rPr>
              <w:t>合格</w:t>
            </w:r>
          </w:p>
        </w:tc>
        <w:tc>
          <w:tcPr>
            <w:tcW w:w="830" w:type="pct"/>
            <w:tcBorders>
              <w:tl2br w:val="nil"/>
              <w:tr2bl w:val="nil"/>
            </w:tcBorders>
            <w:vAlign w:val="center"/>
          </w:tcPr>
          <w:p w14:paraId="75DA30DF">
            <w:pPr>
              <w:widowControl/>
              <w:adjustRightInd w:val="0"/>
              <w:snapToGrid w:val="0"/>
              <w:jc w:val="center"/>
              <w:textAlignment w:val="center"/>
              <w:rPr>
                <w:rFonts w:hint="eastAsia" w:ascii="宋体" w:hAnsi="宋体"/>
                <w:color w:val="000000" w:themeColor="text1"/>
                <w:kern w:val="24"/>
                <w:szCs w:val="21"/>
                <w14:textFill>
                  <w14:solidFill>
                    <w14:schemeClr w14:val="tx1"/>
                  </w14:solidFill>
                </w14:textFill>
              </w:rPr>
            </w:pPr>
            <w:r>
              <w:rPr>
                <w:rFonts w:hint="eastAsia" w:ascii="宋体" w:hAnsi="宋体"/>
                <w:color w:val="000000" w:themeColor="text1"/>
                <w:kern w:val="24"/>
                <w:szCs w:val="21"/>
                <w14:textFill>
                  <w14:solidFill>
                    <w14:schemeClr w14:val="tx1"/>
                  </w14:solidFill>
                </w14:textFill>
              </w:rPr>
              <w:t>生产井</w:t>
            </w:r>
          </w:p>
        </w:tc>
      </w:tr>
      <w:tr w14:paraId="33B28CFE">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290" w:type="pct"/>
            <w:tcBorders>
              <w:tl2br w:val="nil"/>
              <w:tr2bl w:val="nil"/>
            </w:tcBorders>
            <w:vAlign w:val="center"/>
          </w:tcPr>
          <w:p w14:paraId="4C180437">
            <w:pPr>
              <w:widowControl/>
              <w:adjustRightInd w:val="0"/>
              <w:snapToGrid w:val="0"/>
              <w:jc w:val="center"/>
              <w:textAlignment w:val="center"/>
              <w:rPr>
                <w:rFonts w:hint="eastAsia" w:ascii="宋体" w:hAnsi="宋体" w:cs="宋体"/>
                <w:color w:val="000000" w:themeColor="text1"/>
                <w:kern w:val="0"/>
                <w:szCs w:val="21"/>
                <w:lang w:bidi="ar"/>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7</w:t>
            </w:r>
          </w:p>
        </w:tc>
        <w:tc>
          <w:tcPr>
            <w:tcW w:w="546" w:type="pct"/>
            <w:tcBorders>
              <w:tl2br w:val="nil"/>
              <w:tr2bl w:val="nil"/>
            </w:tcBorders>
            <w:vAlign w:val="center"/>
          </w:tcPr>
          <w:p w14:paraId="50667CC2">
            <w:pPr>
              <w:widowControl/>
              <w:adjustRightInd w:val="0"/>
              <w:snapToGrid w:val="0"/>
              <w:jc w:val="center"/>
              <w:textAlignment w:val="center"/>
              <w:rPr>
                <w:rFonts w:hint="eastAsia" w:ascii="宋体" w:hAnsi="宋体" w:cs="宋体"/>
                <w:color w:val="000000" w:themeColor="text1"/>
                <w:szCs w:val="21"/>
                <w14:textFill>
                  <w14:solidFill>
                    <w14:schemeClr w14:val="tx1"/>
                  </w14:solidFill>
                </w14:textFill>
              </w:rPr>
            </w:pPr>
            <w:r>
              <w:rPr>
                <w:rFonts w:ascii="宋体" w:hAnsi="宋体"/>
                <w:color w:val="000000" w:themeColor="text1"/>
                <w:kern w:val="24"/>
                <w:szCs w:val="21"/>
                <w14:textFill>
                  <w14:solidFill>
                    <w14:schemeClr w14:val="tx1"/>
                  </w14:solidFill>
                </w14:textFill>
              </w:rPr>
              <w:t>J10064_H</w:t>
            </w:r>
          </w:p>
        </w:tc>
        <w:tc>
          <w:tcPr>
            <w:tcW w:w="950" w:type="pct"/>
            <w:tcBorders>
              <w:tl2br w:val="nil"/>
              <w:tr2bl w:val="nil"/>
            </w:tcBorders>
            <w:vAlign w:val="center"/>
          </w:tcPr>
          <w:p w14:paraId="06CD02F6">
            <w:pPr>
              <w:widowControl/>
              <w:adjustRightInd w:val="0"/>
              <w:snapToGrid w:val="0"/>
              <w:jc w:val="center"/>
              <w:textAlignment w:val="center"/>
              <w:rPr>
                <w:rFonts w:hint="eastAsia" w:ascii="宋体" w:hAnsi="宋体" w:cs="宋体"/>
                <w:color w:val="000000" w:themeColor="text1"/>
                <w:szCs w:val="21"/>
                <w14:textFill>
                  <w14:solidFill>
                    <w14:schemeClr w14:val="tx1"/>
                  </w14:solidFill>
                </w14:textFill>
              </w:rPr>
            </w:pPr>
          </w:p>
        </w:tc>
        <w:tc>
          <w:tcPr>
            <w:tcW w:w="893" w:type="pct"/>
            <w:tcBorders>
              <w:tl2br w:val="nil"/>
              <w:tr2bl w:val="nil"/>
            </w:tcBorders>
            <w:vAlign w:val="center"/>
          </w:tcPr>
          <w:p w14:paraId="01F73ABD">
            <w:pPr>
              <w:widowControl/>
              <w:adjustRightInd w:val="0"/>
              <w:snapToGrid w:val="0"/>
              <w:jc w:val="center"/>
              <w:textAlignment w:val="center"/>
              <w:rPr>
                <w:rFonts w:hint="eastAsia" w:ascii="宋体" w:hAnsi="宋体" w:cs="宋体"/>
                <w:color w:val="000000" w:themeColor="text1"/>
                <w:szCs w:val="21"/>
                <w14:textFill>
                  <w14:solidFill>
                    <w14:schemeClr w14:val="tx1"/>
                  </w14:solidFill>
                </w14:textFill>
              </w:rPr>
            </w:pPr>
          </w:p>
        </w:tc>
        <w:tc>
          <w:tcPr>
            <w:tcW w:w="661" w:type="pct"/>
            <w:tcBorders>
              <w:tl2br w:val="nil"/>
              <w:tr2bl w:val="nil"/>
            </w:tcBorders>
            <w:vAlign w:val="center"/>
          </w:tcPr>
          <w:p w14:paraId="04950DF3">
            <w:pPr>
              <w:widowControl/>
              <w:adjustRightInd w:val="0"/>
              <w:snapToGrid w:val="0"/>
              <w:jc w:val="center"/>
              <w:textAlignment w:val="center"/>
              <w:rPr>
                <w:rFonts w:hint="eastAsia" w:ascii="宋体" w:hAnsi="宋体"/>
                <w:color w:val="000000" w:themeColor="text1"/>
                <w:kern w:val="0"/>
                <w:szCs w:val="21"/>
                <w:lang w:bidi="ar"/>
                <w14:textFill>
                  <w14:solidFill>
                    <w14:schemeClr w14:val="tx1"/>
                  </w14:solidFill>
                </w14:textFill>
              </w:rPr>
            </w:pPr>
            <w:r>
              <w:rPr>
                <w:rFonts w:ascii="宋体" w:hAnsi="宋体"/>
                <w:color w:val="000000" w:themeColor="text1"/>
                <w:kern w:val="24"/>
                <w:szCs w:val="21"/>
                <w14:textFill>
                  <w14:solidFill>
                    <w14:schemeClr w14:val="tx1"/>
                  </w14:solidFill>
                </w14:textFill>
              </w:rPr>
              <w:t>2018.10.16</w:t>
            </w:r>
          </w:p>
        </w:tc>
        <w:tc>
          <w:tcPr>
            <w:tcW w:w="830" w:type="pct"/>
            <w:tcBorders>
              <w:tl2br w:val="nil"/>
              <w:tr2bl w:val="nil"/>
            </w:tcBorders>
            <w:vAlign w:val="center"/>
          </w:tcPr>
          <w:p w14:paraId="6544D9FA">
            <w:pPr>
              <w:widowControl/>
              <w:adjustRightInd w:val="0"/>
              <w:snapToGrid w:val="0"/>
              <w:jc w:val="center"/>
              <w:textAlignment w:val="center"/>
              <w:rPr>
                <w:rFonts w:hint="eastAsia" w:ascii="宋体" w:hAnsi="宋体"/>
                <w:color w:val="000000" w:themeColor="text1"/>
                <w:kern w:val="0"/>
                <w:szCs w:val="21"/>
                <w:lang w:bidi="ar"/>
                <w14:textFill>
                  <w14:solidFill>
                    <w14:schemeClr w14:val="tx1"/>
                  </w14:solidFill>
                </w14:textFill>
              </w:rPr>
            </w:pPr>
            <w:r>
              <w:rPr>
                <w:rFonts w:ascii="宋体" w:hAnsi="宋体"/>
                <w:color w:val="000000" w:themeColor="text1"/>
                <w:kern w:val="24"/>
                <w:szCs w:val="21"/>
                <w14:textFill>
                  <w14:solidFill>
                    <w14:schemeClr w14:val="tx1"/>
                  </w14:solidFill>
                </w14:textFill>
              </w:rPr>
              <w:t>合格</w:t>
            </w:r>
          </w:p>
        </w:tc>
        <w:tc>
          <w:tcPr>
            <w:tcW w:w="830" w:type="pct"/>
            <w:tcBorders>
              <w:tl2br w:val="nil"/>
              <w:tr2bl w:val="nil"/>
            </w:tcBorders>
            <w:vAlign w:val="center"/>
          </w:tcPr>
          <w:p w14:paraId="1D6B2D38">
            <w:pPr>
              <w:widowControl/>
              <w:adjustRightInd w:val="0"/>
              <w:snapToGrid w:val="0"/>
              <w:jc w:val="center"/>
              <w:textAlignment w:val="center"/>
              <w:rPr>
                <w:rFonts w:hint="eastAsia" w:ascii="宋体" w:hAnsi="宋体"/>
                <w:color w:val="000000" w:themeColor="text1"/>
                <w:kern w:val="24"/>
                <w:szCs w:val="21"/>
                <w14:textFill>
                  <w14:solidFill>
                    <w14:schemeClr w14:val="tx1"/>
                  </w14:solidFill>
                </w14:textFill>
              </w:rPr>
            </w:pPr>
            <w:r>
              <w:rPr>
                <w:rFonts w:hint="eastAsia" w:ascii="宋体" w:hAnsi="宋体"/>
                <w:color w:val="000000" w:themeColor="text1"/>
                <w:kern w:val="24"/>
                <w:szCs w:val="21"/>
                <w14:textFill>
                  <w14:solidFill>
                    <w14:schemeClr w14:val="tx1"/>
                  </w14:solidFill>
                </w14:textFill>
              </w:rPr>
              <w:t>生产井</w:t>
            </w:r>
          </w:p>
        </w:tc>
      </w:tr>
      <w:tr w14:paraId="7334BCC1">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290" w:type="pct"/>
            <w:tcBorders>
              <w:tl2br w:val="nil"/>
              <w:tr2bl w:val="nil"/>
            </w:tcBorders>
            <w:vAlign w:val="center"/>
          </w:tcPr>
          <w:p w14:paraId="63D7C955">
            <w:pPr>
              <w:widowControl/>
              <w:adjustRightInd w:val="0"/>
              <w:snapToGrid w:val="0"/>
              <w:jc w:val="center"/>
              <w:textAlignment w:val="center"/>
              <w:rPr>
                <w:rFonts w:hint="eastAsia" w:ascii="宋体" w:hAnsi="宋体" w:cs="宋体"/>
                <w:color w:val="000000" w:themeColor="text1"/>
                <w:kern w:val="0"/>
                <w:szCs w:val="21"/>
                <w:lang w:bidi="ar"/>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8</w:t>
            </w:r>
          </w:p>
        </w:tc>
        <w:tc>
          <w:tcPr>
            <w:tcW w:w="546" w:type="pct"/>
            <w:tcBorders>
              <w:tl2br w:val="nil"/>
              <w:tr2bl w:val="nil"/>
            </w:tcBorders>
            <w:vAlign w:val="center"/>
          </w:tcPr>
          <w:p w14:paraId="6853B2A5">
            <w:pPr>
              <w:widowControl/>
              <w:adjustRightInd w:val="0"/>
              <w:snapToGrid w:val="0"/>
              <w:jc w:val="center"/>
              <w:textAlignment w:val="center"/>
              <w:rPr>
                <w:rFonts w:hint="eastAsia" w:ascii="宋体" w:hAnsi="宋体" w:cs="宋体"/>
                <w:color w:val="000000" w:themeColor="text1"/>
                <w:szCs w:val="21"/>
                <w14:textFill>
                  <w14:solidFill>
                    <w14:schemeClr w14:val="tx1"/>
                  </w14:solidFill>
                </w14:textFill>
              </w:rPr>
            </w:pPr>
            <w:bookmarkStart w:id="203" w:name="OLE_LINK57"/>
            <w:r>
              <w:rPr>
                <w:rFonts w:ascii="宋体" w:hAnsi="宋体"/>
                <w:color w:val="000000" w:themeColor="text1"/>
                <w:kern w:val="24"/>
                <w:szCs w:val="21"/>
                <w14:textFill>
                  <w14:solidFill>
                    <w14:schemeClr w14:val="tx1"/>
                  </w14:solidFill>
                </w14:textFill>
              </w:rPr>
              <w:t>JHW00525</w:t>
            </w:r>
            <w:bookmarkEnd w:id="203"/>
          </w:p>
        </w:tc>
        <w:tc>
          <w:tcPr>
            <w:tcW w:w="950" w:type="pct"/>
            <w:tcBorders>
              <w:tl2br w:val="nil"/>
              <w:tr2bl w:val="nil"/>
            </w:tcBorders>
            <w:vAlign w:val="center"/>
          </w:tcPr>
          <w:p w14:paraId="6DF94BF0">
            <w:pPr>
              <w:widowControl/>
              <w:adjustRightInd w:val="0"/>
              <w:snapToGrid w:val="0"/>
              <w:jc w:val="center"/>
              <w:textAlignment w:val="center"/>
              <w:rPr>
                <w:rFonts w:hint="eastAsia" w:ascii="宋体" w:hAnsi="宋体" w:cs="宋体"/>
                <w:color w:val="000000" w:themeColor="text1"/>
                <w:szCs w:val="21"/>
                <w14:textFill>
                  <w14:solidFill>
                    <w14:schemeClr w14:val="tx1"/>
                  </w14:solidFill>
                </w14:textFill>
              </w:rPr>
            </w:pPr>
          </w:p>
        </w:tc>
        <w:tc>
          <w:tcPr>
            <w:tcW w:w="893" w:type="pct"/>
            <w:tcBorders>
              <w:tl2br w:val="nil"/>
              <w:tr2bl w:val="nil"/>
            </w:tcBorders>
            <w:vAlign w:val="center"/>
          </w:tcPr>
          <w:p w14:paraId="0FE33AE4">
            <w:pPr>
              <w:widowControl/>
              <w:adjustRightInd w:val="0"/>
              <w:snapToGrid w:val="0"/>
              <w:jc w:val="center"/>
              <w:textAlignment w:val="center"/>
              <w:rPr>
                <w:rFonts w:hint="eastAsia" w:ascii="宋体" w:hAnsi="宋体" w:cs="宋体"/>
                <w:color w:val="000000" w:themeColor="text1"/>
                <w:szCs w:val="21"/>
                <w14:textFill>
                  <w14:solidFill>
                    <w14:schemeClr w14:val="tx1"/>
                  </w14:solidFill>
                </w14:textFill>
              </w:rPr>
            </w:pPr>
          </w:p>
        </w:tc>
        <w:tc>
          <w:tcPr>
            <w:tcW w:w="661" w:type="pct"/>
            <w:tcBorders>
              <w:tl2br w:val="nil"/>
              <w:tr2bl w:val="nil"/>
            </w:tcBorders>
            <w:vAlign w:val="center"/>
          </w:tcPr>
          <w:p w14:paraId="1B56E451">
            <w:pPr>
              <w:widowControl/>
              <w:adjustRightInd w:val="0"/>
              <w:snapToGrid w:val="0"/>
              <w:jc w:val="center"/>
              <w:textAlignment w:val="center"/>
              <w:rPr>
                <w:rFonts w:hint="eastAsia" w:ascii="宋体" w:hAnsi="宋体"/>
                <w:color w:val="000000" w:themeColor="text1"/>
                <w:kern w:val="0"/>
                <w:szCs w:val="21"/>
                <w:lang w:bidi="ar"/>
                <w14:textFill>
                  <w14:solidFill>
                    <w14:schemeClr w14:val="tx1"/>
                  </w14:solidFill>
                </w14:textFill>
              </w:rPr>
            </w:pPr>
            <w:r>
              <w:rPr>
                <w:rFonts w:ascii="宋体" w:hAnsi="宋体"/>
                <w:color w:val="000000" w:themeColor="text1"/>
                <w:kern w:val="24"/>
                <w:szCs w:val="21"/>
                <w14:textFill>
                  <w14:solidFill>
                    <w14:schemeClr w14:val="tx1"/>
                  </w14:solidFill>
                </w14:textFill>
              </w:rPr>
              <w:t>2019.11.26</w:t>
            </w:r>
          </w:p>
        </w:tc>
        <w:tc>
          <w:tcPr>
            <w:tcW w:w="830" w:type="pct"/>
            <w:tcBorders>
              <w:tl2br w:val="nil"/>
              <w:tr2bl w:val="nil"/>
            </w:tcBorders>
            <w:vAlign w:val="center"/>
          </w:tcPr>
          <w:p w14:paraId="6F81C6B3">
            <w:pPr>
              <w:widowControl/>
              <w:adjustRightInd w:val="0"/>
              <w:snapToGrid w:val="0"/>
              <w:jc w:val="center"/>
              <w:textAlignment w:val="center"/>
              <w:rPr>
                <w:rFonts w:hint="eastAsia" w:ascii="宋体" w:hAnsi="宋体"/>
                <w:color w:val="000000" w:themeColor="text1"/>
                <w:kern w:val="0"/>
                <w:szCs w:val="21"/>
                <w:lang w:bidi="ar"/>
                <w14:textFill>
                  <w14:solidFill>
                    <w14:schemeClr w14:val="tx1"/>
                  </w14:solidFill>
                </w14:textFill>
              </w:rPr>
            </w:pPr>
            <w:r>
              <w:rPr>
                <w:rFonts w:ascii="宋体" w:hAnsi="宋体"/>
                <w:color w:val="000000" w:themeColor="text1"/>
                <w:kern w:val="24"/>
                <w:szCs w:val="21"/>
                <w14:textFill>
                  <w14:solidFill>
                    <w14:schemeClr w14:val="tx1"/>
                  </w14:solidFill>
                </w14:textFill>
              </w:rPr>
              <w:t>合格</w:t>
            </w:r>
          </w:p>
        </w:tc>
        <w:tc>
          <w:tcPr>
            <w:tcW w:w="830" w:type="pct"/>
            <w:tcBorders>
              <w:tl2br w:val="nil"/>
              <w:tr2bl w:val="nil"/>
            </w:tcBorders>
            <w:vAlign w:val="center"/>
          </w:tcPr>
          <w:p w14:paraId="60B0A19C">
            <w:pPr>
              <w:widowControl/>
              <w:adjustRightInd w:val="0"/>
              <w:snapToGrid w:val="0"/>
              <w:jc w:val="center"/>
              <w:textAlignment w:val="center"/>
              <w:rPr>
                <w:rFonts w:hint="eastAsia" w:ascii="宋体" w:hAnsi="宋体"/>
                <w:color w:val="000000" w:themeColor="text1"/>
                <w:kern w:val="24"/>
                <w:szCs w:val="21"/>
                <w14:textFill>
                  <w14:solidFill>
                    <w14:schemeClr w14:val="tx1"/>
                  </w14:solidFill>
                </w14:textFill>
              </w:rPr>
            </w:pPr>
            <w:r>
              <w:rPr>
                <w:rFonts w:hint="eastAsia" w:ascii="宋体" w:hAnsi="宋体"/>
                <w:color w:val="000000" w:themeColor="text1"/>
                <w:kern w:val="24"/>
                <w:szCs w:val="21"/>
                <w14:textFill>
                  <w14:solidFill>
                    <w14:schemeClr w14:val="tx1"/>
                  </w14:solidFill>
                </w14:textFill>
              </w:rPr>
              <w:t>生产井</w:t>
            </w:r>
          </w:p>
        </w:tc>
      </w:tr>
      <w:tr w14:paraId="2FFA8BA9">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290" w:type="pct"/>
            <w:tcBorders>
              <w:tl2br w:val="nil"/>
              <w:tr2bl w:val="nil"/>
            </w:tcBorders>
            <w:vAlign w:val="center"/>
          </w:tcPr>
          <w:p w14:paraId="493A2535">
            <w:pPr>
              <w:widowControl/>
              <w:adjustRightInd w:val="0"/>
              <w:snapToGrid w:val="0"/>
              <w:jc w:val="center"/>
              <w:textAlignment w:val="center"/>
              <w:rPr>
                <w:rFonts w:hint="eastAsia" w:ascii="宋体" w:hAnsi="宋体" w:cs="宋体"/>
                <w:color w:val="000000" w:themeColor="text1"/>
                <w:kern w:val="0"/>
                <w:szCs w:val="21"/>
                <w:lang w:bidi="ar"/>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9</w:t>
            </w:r>
          </w:p>
        </w:tc>
        <w:tc>
          <w:tcPr>
            <w:tcW w:w="546" w:type="pct"/>
            <w:tcBorders>
              <w:tl2br w:val="nil"/>
              <w:tr2bl w:val="nil"/>
            </w:tcBorders>
            <w:vAlign w:val="center"/>
          </w:tcPr>
          <w:p w14:paraId="56B24E13">
            <w:pPr>
              <w:widowControl/>
              <w:adjustRightInd w:val="0"/>
              <w:snapToGrid w:val="0"/>
              <w:jc w:val="center"/>
              <w:textAlignment w:val="center"/>
              <w:rPr>
                <w:rFonts w:hint="eastAsia" w:ascii="宋体" w:hAnsi="宋体" w:cs="宋体"/>
                <w:color w:val="000000" w:themeColor="text1"/>
                <w:szCs w:val="21"/>
                <w14:textFill>
                  <w14:solidFill>
                    <w14:schemeClr w14:val="tx1"/>
                  </w14:solidFill>
                </w14:textFill>
              </w:rPr>
            </w:pPr>
            <w:r>
              <w:rPr>
                <w:rFonts w:ascii="宋体" w:hAnsi="宋体"/>
                <w:color w:val="000000" w:themeColor="text1"/>
                <w:kern w:val="24"/>
                <w:szCs w:val="21"/>
                <w14:textFill>
                  <w14:solidFill>
                    <w14:schemeClr w14:val="tx1"/>
                  </w14:solidFill>
                </w14:textFill>
              </w:rPr>
              <w:t>JHW00526</w:t>
            </w:r>
          </w:p>
        </w:tc>
        <w:tc>
          <w:tcPr>
            <w:tcW w:w="950" w:type="pct"/>
            <w:tcBorders>
              <w:tl2br w:val="nil"/>
              <w:tr2bl w:val="nil"/>
            </w:tcBorders>
            <w:vAlign w:val="center"/>
          </w:tcPr>
          <w:p w14:paraId="116A175B">
            <w:pPr>
              <w:widowControl/>
              <w:adjustRightInd w:val="0"/>
              <w:snapToGrid w:val="0"/>
              <w:jc w:val="center"/>
              <w:textAlignment w:val="center"/>
              <w:rPr>
                <w:rFonts w:hint="eastAsia" w:ascii="宋体" w:hAnsi="宋体" w:cs="宋体"/>
                <w:color w:val="000000" w:themeColor="text1"/>
                <w:szCs w:val="21"/>
                <w14:textFill>
                  <w14:solidFill>
                    <w14:schemeClr w14:val="tx1"/>
                  </w14:solidFill>
                </w14:textFill>
              </w:rPr>
            </w:pPr>
          </w:p>
        </w:tc>
        <w:tc>
          <w:tcPr>
            <w:tcW w:w="893" w:type="pct"/>
            <w:tcBorders>
              <w:tl2br w:val="nil"/>
              <w:tr2bl w:val="nil"/>
            </w:tcBorders>
            <w:vAlign w:val="center"/>
          </w:tcPr>
          <w:p w14:paraId="2E0EB97A">
            <w:pPr>
              <w:widowControl/>
              <w:adjustRightInd w:val="0"/>
              <w:snapToGrid w:val="0"/>
              <w:jc w:val="center"/>
              <w:textAlignment w:val="center"/>
              <w:rPr>
                <w:rFonts w:hint="eastAsia" w:ascii="宋体" w:hAnsi="宋体" w:cs="宋体"/>
                <w:color w:val="000000" w:themeColor="text1"/>
                <w:szCs w:val="21"/>
                <w14:textFill>
                  <w14:solidFill>
                    <w14:schemeClr w14:val="tx1"/>
                  </w14:solidFill>
                </w14:textFill>
              </w:rPr>
            </w:pPr>
          </w:p>
        </w:tc>
        <w:tc>
          <w:tcPr>
            <w:tcW w:w="661" w:type="pct"/>
            <w:tcBorders>
              <w:tl2br w:val="nil"/>
              <w:tr2bl w:val="nil"/>
            </w:tcBorders>
            <w:vAlign w:val="center"/>
          </w:tcPr>
          <w:p w14:paraId="05EE58BD">
            <w:pPr>
              <w:widowControl/>
              <w:adjustRightInd w:val="0"/>
              <w:snapToGrid w:val="0"/>
              <w:jc w:val="center"/>
              <w:textAlignment w:val="center"/>
              <w:rPr>
                <w:rFonts w:hint="eastAsia" w:ascii="宋体" w:hAnsi="宋体"/>
                <w:color w:val="000000" w:themeColor="text1"/>
                <w:kern w:val="0"/>
                <w:szCs w:val="21"/>
                <w:lang w:bidi="ar"/>
                <w14:textFill>
                  <w14:solidFill>
                    <w14:schemeClr w14:val="tx1"/>
                  </w14:solidFill>
                </w14:textFill>
              </w:rPr>
            </w:pPr>
            <w:r>
              <w:rPr>
                <w:rFonts w:ascii="宋体" w:hAnsi="宋体"/>
                <w:color w:val="000000" w:themeColor="text1"/>
                <w:kern w:val="24"/>
                <w:szCs w:val="21"/>
                <w14:textFill>
                  <w14:solidFill>
                    <w14:schemeClr w14:val="tx1"/>
                  </w14:solidFill>
                </w14:textFill>
              </w:rPr>
              <w:t>2019.10.25</w:t>
            </w:r>
          </w:p>
        </w:tc>
        <w:tc>
          <w:tcPr>
            <w:tcW w:w="830" w:type="pct"/>
            <w:tcBorders>
              <w:tl2br w:val="nil"/>
              <w:tr2bl w:val="nil"/>
            </w:tcBorders>
            <w:vAlign w:val="center"/>
          </w:tcPr>
          <w:p w14:paraId="23CEEEDA">
            <w:pPr>
              <w:widowControl/>
              <w:adjustRightInd w:val="0"/>
              <w:snapToGrid w:val="0"/>
              <w:jc w:val="center"/>
              <w:textAlignment w:val="center"/>
              <w:rPr>
                <w:rFonts w:hint="eastAsia" w:ascii="宋体" w:hAnsi="宋体"/>
                <w:color w:val="000000" w:themeColor="text1"/>
                <w:kern w:val="0"/>
                <w:szCs w:val="21"/>
                <w:lang w:bidi="ar"/>
                <w14:textFill>
                  <w14:solidFill>
                    <w14:schemeClr w14:val="tx1"/>
                  </w14:solidFill>
                </w14:textFill>
              </w:rPr>
            </w:pPr>
            <w:r>
              <w:rPr>
                <w:rFonts w:ascii="宋体" w:hAnsi="宋体"/>
                <w:color w:val="000000" w:themeColor="text1"/>
                <w:kern w:val="24"/>
                <w:szCs w:val="21"/>
                <w14:textFill>
                  <w14:solidFill>
                    <w14:schemeClr w14:val="tx1"/>
                  </w14:solidFill>
                </w14:textFill>
              </w:rPr>
              <w:t>合格</w:t>
            </w:r>
          </w:p>
        </w:tc>
        <w:tc>
          <w:tcPr>
            <w:tcW w:w="830" w:type="pct"/>
            <w:tcBorders>
              <w:tl2br w:val="nil"/>
              <w:tr2bl w:val="nil"/>
            </w:tcBorders>
            <w:vAlign w:val="center"/>
          </w:tcPr>
          <w:p w14:paraId="54ADF0C5">
            <w:pPr>
              <w:widowControl/>
              <w:adjustRightInd w:val="0"/>
              <w:snapToGrid w:val="0"/>
              <w:jc w:val="center"/>
              <w:textAlignment w:val="center"/>
              <w:rPr>
                <w:rFonts w:hint="eastAsia" w:ascii="宋体" w:hAnsi="宋体"/>
                <w:color w:val="000000" w:themeColor="text1"/>
                <w:kern w:val="24"/>
                <w:szCs w:val="21"/>
                <w14:textFill>
                  <w14:solidFill>
                    <w14:schemeClr w14:val="tx1"/>
                  </w14:solidFill>
                </w14:textFill>
              </w:rPr>
            </w:pPr>
            <w:r>
              <w:rPr>
                <w:rFonts w:hint="eastAsia" w:ascii="宋体" w:hAnsi="宋体"/>
                <w:color w:val="000000" w:themeColor="text1"/>
                <w:kern w:val="24"/>
                <w:szCs w:val="21"/>
                <w14:textFill>
                  <w14:solidFill>
                    <w14:schemeClr w14:val="tx1"/>
                  </w14:solidFill>
                </w14:textFill>
              </w:rPr>
              <w:t>生产井</w:t>
            </w:r>
          </w:p>
        </w:tc>
      </w:tr>
      <w:tr w14:paraId="452FD1E1">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290" w:type="pct"/>
            <w:tcBorders>
              <w:tl2br w:val="nil"/>
              <w:tr2bl w:val="nil"/>
            </w:tcBorders>
            <w:vAlign w:val="center"/>
          </w:tcPr>
          <w:p w14:paraId="39CCA0EC">
            <w:pPr>
              <w:widowControl/>
              <w:adjustRightInd w:val="0"/>
              <w:snapToGrid w:val="0"/>
              <w:jc w:val="center"/>
              <w:textAlignment w:val="center"/>
              <w:rPr>
                <w:rFonts w:hint="eastAsia" w:ascii="宋体" w:hAnsi="宋体" w:cs="宋体"/>
                <w:color w:val="000000" w:themeColor="text1"/>
                <w:kern w:val="0"/>
                <w:szCs w:val="21"/>
                <w:lang w:bidi="ar"/>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10</w:t>
            </w:r>
          </w:p>
        </w:tc>
        <w:tc>
          <w:tcPr>
            <w:tcW w:w="546" w:type="pct"/>
            <w:tcBorders>
              <w:tl2br w:val="nil"/>
              <w:tr2bl w:val="nil"/>
            </w:tcBorders>
            <w:vAlign w:val="center"/>
          </w:tcPr>
          <w:p w14:paraId="7A463EFE">
            <w:pPr>
              <w:widowControl/>
              <w:adjustRightInd w:val="0"/>
              <w:snapToGrid w:val="0"/>
              <w:jc w:val="center"/>
              <w:textAlignment w:val="center"/>
              <w:rPr>
                <w:rFonts w:hint="eastAsia" w:ascii="宋体" w:hAnsi="宋体" w:cs="宋体"/>
                <w:color w:val="000000" w:themeColor="text1"/>
                <w:szCs w:val="21"/>
                <w14:textFill>
                  <w14:solidFill>
                    <w14:schemeClr w14:val="tx1"/>
                  </w14:solidFill>
                </w14:textFill>
              </w:rPr>
            </w:pPr>
            <w:r>
              <w:rPr>
                <w:rFonts w:hint="eastAsia" w:ascii="宋体" w:hAnsi="宋体"/>
                <w:color w:val="000000" w:themeColor="text1"/>
                <w:szCs w:val="21"/>
                <w:lang w:val="zh-CN"/>
                <w14:textFill>
                  <w14:solidFill>
                    <w14:schemeClr w14:val="tx1"/>
                  </w14:solidFill>
                </w14:textFill>
              </w:rPr>
              <w:t>JHW00422</w:t>
            </w:r>
          </w:p>
        </w:tc>
        <w:tc>
          <w:tcPr>
            <w:tcW w:w="950" w:type="pct"/>
            <w:tcBorders>
              <w:tl2br w:val="nil"/>
              <w:tr2bl w:val="nil"/>
            </w:tcBorders>
            <w:vAlign w:val="center"/>
          </w:tcPr>
          <w:p w14:paraId="73EB9E7E">
            <w:pPr>
              <w:widowControl/>
              <w:adjustRightInd w:val="0"/>
              <w:snapToGrid w:val="0"/>
              <w:jc w:val="center"/>
              <w:textAlignment w:val="center"/>
              <w:rPr>
                <w:rFonts w:hint="eastAsia" w:ascii="宋体" w:hAnsi="宋体" w:cs="宋体"/>
                <w:color w:val="000000" w:themeColor="text1"/>
                <w:szCs w:val="21"/>
                <w14:textFill>
                  <w14:solidFill>
                    <w14:schemeClr w14:val="tx1"/>
                  </w14:solidFill>
                </w14:textFill>
              </w:rPr>
            </w:pPr>
          </w:p>
        </w:tc>
        <w:tc>
          <w:tcPr>
            <w:tcW w:w="893" w:type="pct"/>
            <w:tcBorders>
              <w:tl2br w:val="nil"/>
              <w:tr2bl w:val="nil"/>
            </w:tcBorders>
            <w:vAlign w:val="center"/>
          </w:tcPr>
          <w:p w14:paraId="312C2A4E">
            <w:pPr>
              <w:widowControl/>
              <w:adjustRightInd w:val="0"/>
              <w:snapToGrid w:val="0"/>
              <w:jc w:val="center"/>
              <w:textAlignment w:val="center"/>
              <w:rPr>
                <w:rFonts w:hint="eastAsia" w:ascii="宋体" w:hAnsi="宋体" w:cs="宋体"/>
                <w:color w:val="000000" w:themeColor="text1"/>
                <w:szCs w:val="21"/>
                <w14:textFill>
                  <w14:solidFill>
                    <w14:schemeClr w14:val="tx1"/>
                  </w14:solidFill>
                </w14:textFill>
              </w:rPr>
            </w:pPr>
          </w:p>
        </w:tc>
        <w:tc>
          <w:tcPr>
            <w:tcW w:w="661" w:type="pct"/>
            <w:tcBorders>
              <w:tl2br w:val="nil"/>
              <w:tr2bl w:val="nil"/>
            </w:tcBorders>
            <w:vAlign w:val="center"/>
          </w:tcPr>
          <w:p w14:paraId="065FC6C9">
            <w:pPr>
              <w:widowControl/>
              <w:adjustRightInd w:val="0"/>
              <w:snapToGrid w:val="0"/>
              <w:jc w:val="center"/>
              <w:textAlignment w:val="center"/>
              <w:rPr>
                <w:rFonts w:hint="eastAsia" w:ascii="宋体" w:hAnsi="宋体"/>
                <w:color w:val="000000" w:themeColor="text1"/>
                <w:kern w:val="0"/>
                <w:szCs w:val="21"/>
                <w:lang w:bidi="ar"/>
                <w14:textFill>
                  <w14:solidFill>
                    <w14:schemeClr w14:val="tx1"/>
                  </w14:solidFill>
                </w14:textFill>
              </w:rPr>
            </w:pPr>
            <w:r>
              <w:rPr>
                <w:rFonts w:hint="eastAsia" w:ascii="宋体" w:hAnsi="宋体"/>
                <w:color w:val="000000" w:themeColor="text1"/>
                <w:kern w:val="0"/>
                <w:szCs w:val="21"/>
                <w:lang w:bidi="ar"/>
                <w14:textFill>
                  <w14:solidFill>
                    <w14:schemeClr w14:val="tx1"/>
                  </w14:solidFill>
                </w14:textFill>
              </w:rPr>
              <w:t>2019.11.11</w:t>
            </w:r>
          </w:p>
        </w:tc>
        <w:tc>
          <w:tcPr>
            <w:tcW w:w="830" w:type="pct"/>
            <w:tcBorders>
              <w:tl2br w:val="nil"/>
              <w:tr2bl w:val="nil"/>
            </w:tcBorders>
            <w:vAlign w:val="center"/>
          </w:tcPr>
          <w:p w14:paraId="2359B555">
            <w:pPr>
              <w:widowControl/>
              <w:adjustRightInd w:val="0"/>
              <w:snapToGrid w:val="0"/>
              <w:jc w:val="center"/>
              <w:textAlignment w:val="center"/>
              <w:rPr>
                <w:rFonts w:hint="eastAsia" w:ascii="宋体" w:hAnsi="宋体"/>
                <w:color w:val="000000" w:themeColor="text1"/>
                <w:kern w:val="0"/>
                <w:szCs w:val="21"/>
                <w:lang w:bidi="ar"/>
                <w14:textFill>
                  <w14:solidFill>
                    <w14:schemeClr w14:val="tx1"/>
                  </w14:solidFill>
                </w14:textFill>
              </w:rPr>
            </w:pPr>
            <w:r>
              <w:rPr>
                <w:rFonts w:ascii="宋体" w:hAnsi="宋体"/>
                <w:color w:val="000000" w:themeColor="text1"/>
                <w:kern w:val="24"/>
                <w:szCs w:val="21"/>
                <w14:textFill>
                  <w14:solidFill>
                    <w14:schemeClr w14:val="tx1"/>
                  </w14:solidFill>
                </w14:textFill>
              </w:rPr>
              <w:t>合格</w:t>
            </w:r>
          </w:p>
        </w:tc>
        <w:tc>
          <w:tcPr>
            <w:tcW w:w="830" w:type="pct"/>
            <w:tcBorders>
              <w:tl2br w:val="nil"/>
              <w:tr2bl w:val="nil"/>
            </w:tcBorders>
            <w:vAlign w:val="center"/>
          </w:tcPr>
          <w:p w14:paraId="438E4D14">
            <w:pPr>
              <w:widowControl/>
              <w:adjustRightInd w:val="0"/>
              <w:snapToGrid w:val="0"/>
              <w:jc w:val="center"/>
              <w:textAlignment w:val="center"/>
              <w:rPr>
                <w:rFonts w:hint="eastAsia" w:ascii="宋体" w:hAnsi="宋体"/>
                <w:color w:val="000000" w:themeColor="text1"/>
                <w:kern w:val="24"/>
                <w:szCs w:val="21"/>
                <w14:textFill>
                  <w14:solidFill>
                    <w14:schemeClr w14:val="tx1"/>
                  </w14:solidFill>
                </w14:textFill>
              </w:rPr>
            </w:pPr>
            <w:r>
              <w:rPr>
                <w:rFonts w:hint="eastAsia" w:ascii="宋体" w:hAnsi="宋体"/>
                <w:color w:val="000000" w:themeColor="text1"/>
                <w:kern w:val="24"/>
                <w:szCs w:val="21"/>
                <w14:textFill>
                  <w14:solidFill>
                    <w14:schemeClr w14:val="tx1"/>
                  </w14:solidFill>
                </w14:textFill>
              </w:rPr>
              <w:t>生产井</w:t>
            </w:r>
          </w:p>
        </w:tc>
      </w:tr>
      <w:tr w14:paraId="5B9E25A8">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290" w:type="pct"/>
            <w:tcBorders>
              <w:tl2br w:val="nil"/>
              <w:tr2bl w:val="nil"/>
            </w:tcBorders>
            <w:vAlign w:val="center"/>
          </w:tcPr>
          <w:p w14:paraId="569387DE">
            <w:pPr>
              <w:widowControl/>
              <w:adjustRightInd w:val="0"/>
              <w:snapToGrid w:val="0"/>
              <w:jc w:val="center"/>
              <w:textAlignment w:val="center"/>
              <w:rPr>
                <w:rFonts w:hint="eastAsia" w:ascii="宋体" w:hAnsi="宋体" w:cs="宋体"/>
                <w:color w:val="000000" w:themeColor="text1"/>
                <w:kern w:val="0"/>
                <w:szCs w:val="21"/>
                <w:lang w:bidi="ar"/>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11</w:t>
            </w:r>
          </w:p>
        </w:tc>
        <w:tc>
          <w:tcPr>
            <w:tcW w:w="546" w:type="pct"/>
            <w:tcBorders>
              <w:tl2br w:val="nil"/>
              <w:tr2bl w:val="nil"/>
            </w:tcBorders>
            <w:vAlign w:val="center"/>
          </w:tcPr>
          <w:p w14:paraId="74D03566">
            <w:pPr>
              <w:widowControl/>
              <w:adjustRightInd w:val="0"/>
              <w:snapToGrid w:val="0"/>
              <w:jc w:val="center"/>
              <w:textAlignment w:val="center"/>
              <w:rPr>
                <w:rFonts w:hint="eastAsia" w:ascii="宋体" w:hAnsi="宋体" w:cs="宋体"/>
                <w:color w:val="000000" w:themeColor="text1"/>
                <w:kern w:val="0"/>
                <w:szCs w:val="21"/>
                <w:lang w:bidi="ar"/>
                <w14:textFill>
                  <w14:solidFill>
                    <w14:schemeClr w14:val="tx1"/>
                  </w14:solidFill>
                </w14:textFill>
              </w:rPr>
            </w:pPr>
            <w:r>
              <w:rPr>
                <w:rFonts w:hint="eastAsia" w:ascii="宋体" w:hAnsi="宋体"/>
                <w:color w:val="000000" w:themeColor="text1"/>
                <w:szCs w:val="21"/>
                <w14:textFill>
                  <w14:solidFill>
                    <w14:schemeClr w14:val="tx1"/>
                  </w14:solidFill>
                </w14:textFill>
              </w:rPr>
              <w:t>JHW</w:t>
            </w:r>
            <w:r>
              <w:rPr>
                <w:rFonts w:ascii="宋体" w:hAnsi="宋体"/>
                <w:color w:val="000000" w:themeColor="text1"/>
                <w:szCs w:val="21"/>
                <w14:textFill>
                  <w14:solidFill>
                    <w14:schemeClr w14:val="tx1"/>
                  </w14:solidFill>
                </w14:textFill>
              </w:rPr>
              <w:t>00421</w:t>
            </w:r>
          </w:p>
        </w:tc>
        <w:tc>
          <w:tcPr>
            <w:tcW w:w="950" w:type="pct"/>
            <w:tcBorders>
              <w:tl2br w:val="nil"/>
              <w:tr2bl w:val="nil"/>
            </w:tcBorders>
            <w:vAlign w:val="center"/>
          </w:tcPr>
          <w:p w14:paraId="729D7D84">
            <w:pPr>
              <w:widowControl/>
              <w:adjustRightInd w:val="0"/>
              <w:snapToGrid w:val="0"/>
              <w:jc w:val="center"/>
              <w:textAlignment w:val="center"/>
              <w:rPr>
                <w:rFonts w:hint="eastAsia" w:ascii="宋体" w:hAnsi="宋体" w:cs="宋体"/>
                <w:color w:val="000000" w:themeColor="text1"/>
                <w:kern w:val="0"/>
                <w:szCs w:val="21"/>
                <w:lang w:bidi="ar"/>
                <w14:textFill>
                  <w14:solidFill>
                    <w14:schemeClr w14:val="tx1"/>
                  </w14:solidFill>
                </w14:textFill>
              </w:rPr>
            </w:pPr>
          </w:p>
        </w:tc>
        <w:tc>
          <w:tcPr>
            <w:tcW w:w="893" w:type="pct"/>
            <w:tcBorders>
              <w:tl2br w:val="nil"/>
              <w:tr2bl w:val="nil"/>
            </w:tcBorders>
            <w:vAlign w:val="center"/>
          </w:tcPr>
          <w:p w14:paraId="1EE52DB6">
            <w:pPr>
              <w:widowControl/>
              <w:adjustRightInd w:val="0"/>
              <w:snapToGrid w:val="0"/>
              <w:jc w:val="center"/>
              <w:textAlignment w:val="center"/>
              <w:rPr>
                <w:rFonts w:hint="eastAsia" w:ascii="宋体" w:hAnsi="宋体" w:cs="宋体"/>
                <w:color w:val="000000" w:themeColor="text1"/>
                <w:kern w:val="0"/>
                <w:szCs w:val="21"/>
                <w:lang w:bidi="ar"/>
                <w14:textFill>
                  <w14:solidFill>
                    <w14:schemeClr w14:val="tx1"/>
                  </w14:solidFill>
                </w14:textFill>
              </w:rPr>
            </w:pPr>
          </w:p>
        </w:tc>
        <w:tc>
          <w:tcPr>
            <w:tcW w:w="661" w:type="pct"/>
            <w:tcBorders>
              <w:tl2br w:val="nil"/>
              <w:tr2bl w:val="nil"/>
            </w:tcBorders>
            <w:vAlign w:val="center"/>
          </w:tcPr>
          <w:p w14:paraId="5917633A">
            <w:pPr>
              <w:widowControl/>
              <w:adjustRightInd w:val="0"/>
              <w:snapToGrid w:val="0"/>
              <w:jc w:val="center"/>
              <w:textAlignment w:val="center"/>
              <w:rPr>
                <w:rFonts w:hint="eastAsia" w:ascii="宋体" w:hAnsi="宋体"/>
                <w:color w:val="000000" w:themeColor="text1"/>
                <w:kern w:val="0"/>
                <w:szCs w:val="21"/>
                <w:lang w:bidi="ar"/>
                <w14:textFill>
                  <w14:solidFill>
                    <w14:schemeClr w14:val="tx1"/>
                  </w14:solidFill>
                </w14:textFill>
              </w:rPr>
            </w:pPr>
            <w:r>
              <w:rPr>
                <w:rFonts w:hint="eastAsia" w:ascii="宋体" w:hAnsi="宋体"/>
                <w:color w:val="000000" w:themeColor="text1"/>
                <w:kern w:val="0"/>
                <w:szCs w:val="21"/>
                <w:lang w:bidi="ar"/>
                <w14:textFill>
                  <w14:solidFill>
                    <w14:schemeClr w14:val="tx1"/>
                  </w14:solidFill>
                </w14:textFill>
              </w:rPr>
              <w:t>2019.11.11</w:t>
            </w:r>
          </w:p>
        </w:tc>
        <w:tc>
          <w:tcPr>
            <w:tcW w:w="830" w:type="pct"/>
            <w:tcBorders>
              <w:tl2br w:val="nil"/>
              <w:tr2bl w:val="nil"/>
            </w:tcBorders>
            <w:vAlign w:val="center"/>
          </w:tcPr>
          <w:p w14:paraId="7146862D">
            <w:pPr>
              <w:widowControl/>
              <w:adjustRightInd w:val="0"/>
              <w:snapToGrid w:val="0"/>
              <w:jc w:val="center"/>
              <w:textAlignment w:val="center"/>
              <w:rPr>
                <w:rFonts w:hint="eastAsia" w:ascii="宋体" w:hAnsi="宋体"/>
                <w:color w:val="000000" w:themeColor="text1"/>
                <w:kern w:val="0"/>
                <w:szCs w:val="21"/>
                <w:lang w:bidi="ar"/>
                <w14:textFill>
                  <w14:solidFill>
                    <w14:schemeClr w14:val="tx1"/>
                  </w14:solidFill>
                </w14:textFill>
              </w:rPr>
            </w:pPr>
            <w:r>
              <w:rPr>
                <w:rFonts w:ascii="宋体" w:hAnsi="宋体"/>
                <w:color w:val="000000" w:themeColor="text1"/>
                <w:kern w:val="24"/>
                <w:szCs w:val="21"/>
                <w14:textFill>
                  <w14:solidFill>
                    <w14:schemeClr w14:val="tx1"/>
                  </w14:solidFill>
                </w14:textFill>
              </w:rPr>
              <w:t>合格</w:t>
            </w:r>
          </w:p>
        </w:tc>
        <w:tc>
          <w:tcPr>
            <w:tcW w:w="830" w:type="pct"/>
            <w:tcBorders>
              <w:tl2br w:val="nil"/>
              <w:tr2bl w:val="nil"/>
            </w:tcBorders>
            <w:vAlign w:val="center"/>
          </w:tcPr>
          <w:p w14:paraId="399671F2">
            <w:pPr>
              <w:widowControl/>
              <w:adjustRightInd w:val="0"/>
              <w:snapToGrid w:val="0"/>
              <w:jc w:val="center"/>
              <w:textAlignment w:val="center"/>
              <w:rPr>
                <w:rFonts w:hint="eastAsia" w:ascii="宋体" w:hAnsi="宋体"/>
                <w:color w:val="000000" w:themeColor="text1"/>
                <w:kern w:val="24"/>
                <w:szCs w:val="21"/>
                <w14:textFill>
                  <w14:solidFill>
                    <w14:schemeClr w14:val="tx1"/>
                  </w14:solidFill>
                </w14:textFill>
              </w:rPr>
            </w:pPr>
            <w:r>
              <w:rPr>
                <w:rFonts w:hint="eastAsia" w:ascii="宋体" w:hAnsi="宋体"/>
                <w:color w:val="000000" w:themeColor="text1"/>
                <w:kern w:val="24"/>
                <w:szCs w:val="21"/>
                <w14:textFill>
                  <w14:solidFill>
                    <w14:schemeClr w14:val="tx1"/>
                  </w14:solidFill>
                </w14:textFill>
              </w:rPr>
              <w:t>生产井</w:t>
            </w:r>
          </w:p>
        </w:tc>
      </w:tr>
      <w:tr w14:paraId="4402758D">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290" w:type="pct"/>
            <w:tcBorders>
              <w:tl2br w:val="nil"/>
              <w:tr2bl w:val="nil"/>
            </w:tcBorders>
            <w:vAlign w:val="center"/>
          </w:tcPr>
          <w:p w14:paraId="5D178894">
            <w:pPr>
              <w:widowControl/>
              <w:adjustRightInd w:val="0"/>
              <w:snapToGrid w:val="0"/>
              <w:jc w:val="center"/>
              <w:textAlignment w:val="center"/>
              <w:rPr>
                <w:rFonts w:hint="eastAsia" w:ascii="宋体" w:hAnsi="宋体" w:cs="宋体"/>
                <w:color w:val="000000" w:themeColor="text1"/>
                <w:kern w:val="0"/>
                <w:szCs w:val="21"/>
                <w:lang w:bidi="ar"/>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12</w:t>
            </w:r>
          </w:p>
        </w:tc>
        <w:tc>
          <w:tcPr>
            <w:tcW w:w="546" w:type="pct"/>
            <w:tcBorders>
              <w:tl2br w:val="nil"/>
              <w:tr2bl w:val="nil"/>
            </w:tcBorders>
            <w:vAlign w:val="center"/>
          </w:tcPr>
          <w:p w14:paraId="6ADF7AD7">
            <w:pPr>
              <w:widowControl/>
              <w:adjustRightInd w:val="0"/>
              <w:snapToGrid w:val="0"/>
              <w:jc w:val="center"/>
              <w:textAlignment w:val="center"/>
              <w:rPr>
                <w:rFonts w:hint="eastAsia" w:ascii="宋体" w:hAnsi="宋体" w:cs="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JHW</w:t>
            </w:r>
            <w:r>
              <w:rPr>
                <w:rFonts w:ascii="宋体" w:hAnsi="宋体"/>
                <w:color w:val="000000" w:themeColor="text1"/>
                <w:szCs w:val="21"/>
                <w14:textFill>
                  <w14:solidFill>
                    <w14:schemeClr w14:val="tx1"/>
                  </w14:solidFill>
                </w14:textFill>
              </w:rPr>
              <w:t>034</w:t>
            </w:r>
          </w:p>
        </w:tc>
        <w:tc>
          <w:tcPr>
            <w:tcW w:w="950" w:type="pct"/>
            <w:tcBorders>
              <w:tl2br w:val="nil"/>
              <w:tr2bl w:val="nil"/>
            </w:tcBorders>
            <w:vAlign w:val="center"/>
          </w:tcPr>
          <w:p w14:paraId="1A788B96">
            <w:pPr>
              <w:widowControl/>
              <w:adjustRightInd w:val="0"/>
              <w:snapToGrid w:val="0"/>
              <w:jc w:val="center"/>
              <w:textAlignment w:val="center"/>
              <w:rPr>
                <w:rFonts w:hint="eastAsia" w:ascii="宋体" w:hAnsi="宋体" w:cs="宋体"/>
                <w:color w:val="000000" w:themeColor="text1"/>
                <w:szCs w:val="21"/>
                <w14:textFill>
                  <w14:solidFill>
                    <w14:schemeClr w14:val="tx1"/>
                  </w14:solidFill>
                </w14:textFill>
              </w:rPr>
            </w:pPr>
          </w:p>
        </w:tc>
        <w:tc>
          <w:tcPr>
            <w:tcW w:w="893" w:type="pct"/>
            <w:tcBorders>
              <w:tl2br w:val="nil"/>
              <w:tr2bl w:val="nil"/>
            </w:tcBorders>
            <w:vAlign w:val="center"/>
          </w:tcPr>
          <w:p w14:paraId="1D8FA82D">
            <w:pPr>
              <w:widowControl/>
              <w:adjustRightInd w:val="0"/>
              <w:snapToGrid w:val="0"/>
              <w:jc w:val="center"/>
              <w:textAlignment w:val="center"/>
              <w:rPr>
                <w:rFonts w:hint="eastAsia" w:ascii="宋体" w:hAnsi="宋体" w:cs="宋体"/>
                <w:color w:val="000000" w:themeColor="text1"/>
                <w:szCs w:val="21"/>
                <w14:textFill>
                  <w14:solidFill>
                    <w14:schemeClr w14:val="tx1"/>
                  </w14:solidFill>
                </w14:textFill>
              </w:rPr>
            </w:pPr>
          </w:p>
        </w:tc>
        <w:tc>
          <w:tcPr>
            <w:tcW w:w="661" w:type="pct"/>
            <w:tcBorders>
              <w:tl2br w:val="nil"/>
              <w:tr2bl w:val="nil"/>
            </w:tcBorders>
            <w:vAlign w:val="center"/>
          </w:tcPr>
          <w:p w14:paraId="2B33800B">
            <w:pPr>
              <w:widowControl/>
              <w:adjustRightInd w:val="0"/>
              <w:snapToGrid w:val="0"/>
              <w:jc w:val="center"/>
              <w:textAlignment w:val="center"/>
              <w:rPr>
                <w:rFonts w:hint="eastAsia" w:ascii="宋体" w:hAnsi="宋体"/>
                <w:color w:val="000000" w:themeColor="text1"/>
                <w:kern w:val="0"/>
                <w:szCs w:val="21"/>
                <w:lang w:bidi="ar"/>
                <w14:textFill>
                  <w14:solidFill>
                    <w14:schemeClr w14:val="tx1"/>
                  </w14:solidFill>
                </w14:textFill>
              </w:rPr>
            </w:pPr>
            <w:r>
              <w:rPr>
                <w:rFonts w:hint="eastAsia" w:ascii="宋体" w:hAnsi="宋体"/>
                <w:color w:val="000000" w:themeColor="text1"/>
                <w:kern w:val="0"/>
                <w:szCs w:val="21"/>
                <w:lang w:bidi="ar"/>
                <w14:textFill>
                  <w14:solidFill>
                    <w14:schemeClr w14:val="tx1"/>
                  </w14:solidFill>
                </w14:textFill>
              </w:rPr>
              <w:t>2018.3.19</w:t>
            </w:r>
          </w:p>
        </w:tc>
        <w:tc>
          <w:tcPr>
            <w:tcW w:w="830" w:type="pct"/>
            <w:tcBorders>
              <w:tl2br w:val="nil"/>
              <w:tr2bl w:val="nil"/>
            </w:tcBorders>
            <w:vAlign w:val="center"/>
          </w:tcPr>
          <w:p w14:paraId="71C3FA96">
            <w:pPr>
              <w:widowControl/>
              <w:adjustRightInd w:val="0"/>
              <w:snapToGrid w:val="0"/>
              <w:jc w:val="center"/>
              <w:textAlignment w:val="center"/>
              <w:rPr>
                <w:rFonts w:hint="eastAsia" w:ascii="宋体" w:hAnsi="宋体"/>
                <w:color w:val="000000" w:themeColor="text1"/>
                <w:kern w:val="0"/>
                <w:szCs w:val="21"/>
                <w:lang w:bidi="ar"/>
                <w14:textFill>
                  <w14:solidFill>
                    <w14:schemeClr w14:val="tx1"/>
                  </w14:solidFill>
                </w14:textFill>
              </w:rPr>
            </w:pPr>
            <w:r>
              <w:rPr>
                <w:rFonts w:ascii="宋体" w:hAnsi="宋体"/>
                <w:color w:val="000000" w:themeColor="text1"/>
                <w:kern w:val="24"/>
                <w:szCs w:val="21"/>
                <w14:textFill>
                  <w14:solidFill>
                    <w14:schemeClr w14:val="tx1"/>
                  </w14:solidFill>
                </w14:textFill>
              </w:rPr>
              <w:t>合格</w:t>
            </w:r>
          </w:p>
        </w:tc>
        <w:tc>
          <w:tcPr>
            <w:tcW w:w="830" w:type="pct"/>
            <w:tcBorders>
              <w:tl2br w:val="nil"/>
              <w:tr2bl w:val="nil"/>
            </w:tcBorders>
            <w:vAlign w:val="center"/>
          </w:tcPr>
          <w:p w14:paraId="06714F78">
            <w:pPr>
              <w:widowControl/>
              <w:adjustRightInd w:val="0"/>
              <w:snapToGrid w:val="0"/>
              <w:jc w:val="center"/>
              <w:textAlignment w:val="center"/>
              <w:rPr>
                <w:rFonts w:hint="eastAsia" w:ascii="宋体" w:hAnsi="宋体"/>
                <w:color w:val="000000" w:themeColor="text1"/>
                <w:kern w:val="24"/>
                <w:szCs w:val="21"/>
                <w14:textFill>
                  <w14:solidFill>
                    <w14:schemeClr w14:val="tx1"/>
                  </w14:solidFill>
                </w14:textFill>
              </w:rPr>
            </w:pPr>
            <w:r>
              <w:rPr>
                <w:rFonts w:hint="eastAsia" w:ascii="宋体" w:hAnsi="宋体"/>
                <w:color w:val="000000" w:themeColor="text1"/>
                <w:kern w:val="24"/>
                <w:szCs w:val="21"/>
                <w14:textFill>
                  <w14:solidFill>
                    <w14:schemeClr w14:val="tx1"/>
                  </w14:solidFill>
                </w14:textFill>
              </w:rPr>
              <w:t>生产井</w:t>
            </w:r>
          </w:p>
        </w:tc>
      </w:tr>
      <w:bookmarkEnd w:id="202"/>
    </w:tbl>
    <w:p w14:paraId="2D647C96">
      <w:pPr>
        <w:pStyle w:val="4"/>
        <w:rPr>
          <w:rFonts w:hint="eastAsia"/>
          <w:color w:val="000000" w:themeColor="text1"/>
          <w:spacing w:val="4"/>
          <w14:textFill>
            <w14:solidFill>
              <w14:schemeClr w14:val="tx1"/>
            </w14:solidFill>
          </w14:textFill>
        </w:rPr>
      </w:pPr>
      <w:r>
        <w:rPr>
          <w:rFonts w:hint="eastAsia"/>
          <w:color w:val="000000" w:themeColor="text1"/>
          <w:spacing w:val="4"/>
          <w14:textFill>
            <w14:solidFill>
              <w14:schemeClr w14:val="tx1"/>
            </w14:solidFill>
          </w14:textFill>
        </w:rPr>
        <w:t>环境影响回顾</w:t>
      </w:r>
    </w:p>
    <w:p w14:paraId="030C6295">
      <w:pPr>
        <w:pStyle w:val="462"/>
        <w:rPr>
          <w:rFonts w:hint="eastAsia"/>
          <w:color w:val="000000" w:themeColor="text1"/>
          <w:lang w:bidi="ar"/>
          <w14:textFill>
            <w14:solidFill>
              <w14:schemeClr w14:val="tx1"/>
            </w14:solidFill>
          </w14:textFill>
        </w:rPr>
      </w:pPr>
      <w:r>
        <w:rPr>
          <w:rFonts w:hint="eastAsia"/>
          <w:color w:val="000000" w:themeColor="text1"/>
          <w:lang w:bidi="ar"/>
          <w14:textFill>
            <w14:solidFill>
              <w14:schemeClr w14:val="tx1"/>
            </w14:solidFill>
          </w14:textFill>
        </w:rPr>
        <w:t>（1）环保手续履行情况</w:t>
      </w:r>
    </w:p>
    <w:p w14:paraId="0D2EAAAD">
      <w:pPr>
        <w:pStyle w:val="462"/>
        <w:rPr>
          <w:rFonts w:hint="eastAsia"/>
          <w:color w:val="000000" w:themeColor="text1"/>
          <w:lang w:bidi="ar"/>
          <w14:textFill>
            <w14:solidFill>
              <w14:schemeClr w14:val="tx1"/>
            </w14:solidFill>
          </w14:textFill>
        </w:rPr>
      </w:pPr>
      <w:r>
        <w:rPr>
          <w:rFonts w:hint="eastAsia"/>
          <w:color w:val="000000" w:themeColor="text1"/>
          <w:lang w:bidi="ar"/>
          <w14:textFill>
            <w14:solidFill>
              <w14:schemeClr w14:val="tx1"/>
            </w14:solidFill>
          </w14:textFill>
        </w:rPr>
        <w:t>页岩油井区、页岩油联合站、老井利用的环保手续履行情况见表3.1-4。</w:t>
      </w:r>
    </w:p>
    <w:p w14:paraId="55AE0256">
      <w:pPr>
        <w:pStyle w:val="109"/>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表3.1-4</w:t>
      </w:r>
      <w:r>
        <w:rPr>
          <w:color w:val="000000" w:themeColor="text1"/>
          <w14:textFill>
            <w14:solidFill>
              <w14:schemeClr w14:val="tx1"/>
            </w14:solidFill>
          </w14:textFill>
        </w:rPr>
        <w:t xml:space="preserve">  环保手续履行情况</w:t>
      </w:r>
      <w:r>
        <w:rPr>
          <w:rFonts w:hint="eastAsia"/>
          <w:color w:val="000000" w:themeColor="text1"/>
          <w14:textFill>
            <w14:solidFill>
              <w14:schemeClr w14:val="tx1"/>
            </w14:solidFill>
          </w14:textFill>
        </w:rPr>
        <w:t>表</w:t>
      </w:r>
    </w:p>
    <w:tbl>
      <w:tblPr>
        <w:tblStyle w:val="51"/>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1325"/>
        <w:gridCol w:w="1841"/>
        <w:gridCol w:w="3006"/>
        <w:gridCol w:w="2555"/>
      </w:tblGrid>
      <w:tr w14:paraId="1FD6205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1814" w:type="pct"/>
            <w:gridSpan w:val="2"/>
            <w:vAlign w:val="center"/>
          </w:tcPr>
          <w:p w14:paraId="0F9C8073">
            <w:pPr>
              <w:pStyle w:val="208"/>
              <w:adjustRightInd w:val="0"/>
              <w:snapToGrid w:val="0"/>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项目名称</w:t>
            </w:r>
          </w:p>
        </w:tc>
        <w:tc>
          <w:tcPr>
            <w:tcW w:w="1722" w:type="pct"/>
            <w:vAlign w:val="center"/>
          </w:tcPr>
          <w:p w14:paraId="01F88224">
            <w:pPr>
              <w:pStyle w:val="208"/>
              <w:adjustRightInd w:val="0"/>
              <w:snapToGrid w:val="0"/>
              <w:spacing w:line="300" w:lineRule="exact"/>
              <w:rPr>
                <w:rFonts w:hint="eastAsia"/>
                <w:color w:val="000000" w:themeColor="text1"/>
                <w14:textFill>
                  <w14:solidFill>
                    <w14:schemeClr w14:val="tx1"/>
                  </w14:solidFill>
                </w14:textFill>
              </w:rPr>
            </w:pPr>
            <w:r>
              <w:rPr>
                <w:rFonts w:hint="eastAsia"/>
                <w:color w:val="000000" w:themeColor="text1"/>
                <w:lang w:bidi="ar"/>
                <w14:textFill>
                  <w14:solidFill>
                    <w14:schemeClr w14:val="tx1"/>
                  </w14:solidFill>
                </w14:textFill>
              </w:rPr>
              <w:t>环评批复机关、文号</w:t>
            </w:r>
          </w:p>
        </w:tc>
        <w:tc>
          <w:tcPr>
            <w:tcW w:w="1464" w:type="pct"/>
            <w:vAlign w:val="center"/>
          </w:tcPr>
          <w:p w14:paraId="35A541B2">
            <w:pPr>
              <w:pStyle w:val="208"/>
              <w:adjustRightInd w:val="0"/>
              <w:snapToGrid w:val="0"/>
              <w:spacing w:line="300" w:lineRule="exact"/>
              <w:rPr>
                <w:rFonts w:hint="eastAsia"/>
                <w:color w:val="000000" w:themeColor="text1"/>
                <w14:textFill>
                  <w14:solidFill>
                    <w14:schemeClr w14:val="tx1"/>
                  </w14:solidFill>
                </w14:textFill>
              </w:rPr>
            </w:pPr>
            <w:r>
              <w:rPr>
                <w:rFonts w:hint="eastAsia"/>
                <w:color w:val="000000" w:themeColor="text1"/>
                <w:lang w:bidi="ar"/>
                <w14:textFill>
                  <w14:solidFill>
                    <w14:schemeClr w14:val="tx1"/>
                  </w14:solidFill>
                </w14:textFill>
              </w:rPr>
              <w:t>环保竣工验收情况</w:t>
            </w:r>
          </w:p>
        </w:tc>
      </w:tr>
      <w:tr w14:paraId="6A03AF6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1814" w:type="pct"/>
            <w:gridSpan w:val="2"/>
            <w:vAlign w:val="center"/>
          </w:tcPr>
          <w:p w14:paraId="74A439F8">
            <w:pPr>
              <w:pStyle w:val="208"/>
              <w:adjustRightInd w:val="0"/>
              <w:snapToGrid w:val="0"/>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吉木萨尔凹陷芦草沟组致密油吉303－吉305井区2018年开发试验吉木萨尔辖区地面建设工程</w:t>
            </w:r>
          </w:p>
        </w:tc>
        <w:tc>
          <w:tcPr>
            <w:tcW w:w="1722" w:type="pct"/>
            <w:vAlign w:val="center"/>
          </w:tcPr>
          <w:p w14:paraId="5B50C30C">
            <w:pPr>
              <w:pStyle w:val="208"/>
              <w:adjustRightInd w:val="0"/>
              <w:snapToGrid w:val="0"/>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吉木萨尔县环境保护局</w:t>
            </w:r>
          </w:p>
          <w:p w14:paraId="44578930">
            <w:pPr>
              <w:pStyle w:val="208"/>
              <w:adjustRightInd w:val="0"/>
              <w:snapToGrid w:val="0"/>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吉环项发〔2018〕4号</w:t>
            </w:r>
          </w:p>
        </w:tc>
        <w:tc>
          <w:tcPr>
            <w:tcW w:w="1464" w:type="pct"/>
            <w:vAlign w:val="center"/>
          </w:tcPr>
          <w:p w14:paraId="6D36CA81">
            <w:pPr>
              <w:pStyle w:val="208"/>
              <w:adjustRightInd w:val="0"/>
              <w:snapToGrid w:val="0"/>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2019年6月23日通过企业自主验收</w:t>
            </w:r>
          </w:p>
        </w:tc>
      </w:tr>
      <w:tr w14:paraId="29AD1AA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1814" w:type="pct"/>
            <w:gridSpan w:val="2"/>
            <w:vAlign w:val="center"/>
          </w:tcPr>
          <w:p w14:paraId="2A6DA61E">
            <w:pPr>
              <w:pStyle w:val="208"/>
              <w:adjustRightInd w:val="0"/>
              <w:snapToGrid w:val="0"/>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吉祥联合站至吉305-吉17吉37井区联合站集输管线（吉木萨尔县境内）建设项目</w:t>
            </w:r>
          </w:p>
        </w:tc>
        <w:tc>
          <w:tcPr>
            <w:tcW w:w="1722" w:type="pct"/>
            <w:vAlign w:val="center"/>
          </w:tcPr>
          <w:p w14:paraId="4B8A853E">
            <w:pPr>
              <w:pStyle w:val="208"/>
              <w:adjustRightInd w:val="0"/>
              <w:snapToGrid w:val="0"/>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昌吉回族自治州生态环境局</w:t>
            </w:r>
          </w:p>
          <w:p w14:paraId="1C268C25">
            <w:pPr>
              <w:pStyle w:val="208"/>
              <w:adjustRightInd w:val="0"/>
              <w:snapToGrid w:val="0"/>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昌州环评〔2018〕31号</w:t>
            </w:r>
          </w:p>
        </w:tc>
        <w:tc>
          <w:tcPr>
            <w:tcW w:w="1464" w:type="pct"/>
            <w:vAlign w:val="center"/>
          </w:tcPr>
          <w:p w14:paraId="0DDB1B25">
            <w:pPr>
              <w:pStyle w:val="208"/>
              <w:adjustRightInd w:val="0"/>
              <w:snapToGrid w:val="0"/>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2021年10月27日通过企业自主验收</w:t>
            </w:r>
          </w:p>
        </w:tc>
      </w:tr>
      <w:tr w14:paraId="2BB3438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1814" w:type="pct"/>
            <w:gridSpan w:val="2"/>
            <w:vAlign w:val="center"/>
          </w:tcPr>
          <w:p w14:paraId="70E46C0E">
            <w:pPr>
              <w:pStyle w:val="208"/>
              <w:adjustRightInd w:val="0"/>
              <w:snapToGrid w:val="0"/>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北三台油库扩建工程及吉305－吉17-吉37井区联合站至北三台油库输油管线（吉木萨尔县、阜康市境内）建设项目</w:t>
            </w:r>
          </w:p>
        </w:tc>
        <w:tc>
          <w:tcPr>
            <w:tcW w:w="1722" w:type="pct"/>
            <w:vAlign w:val="center"/>
          </w:tcPr>
          <w:p w14:paraId="06124ACD">
            <w:pPr>
              <w:pStyle w:val="208"/>
              <w:adjustRightInd w:val="0"/>
              <w:snapToGrid w:val="0"/>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昌吉回族自治州生态环境局</w:t>
            </w:r>
          </w:p>
          <w:p w14:paraId="06CC5BBD">
            <w:pPr>
              <w:pStyle w:val="208"/>
              <w:adjustRightInd w:val="0"/>
              <w:snapToGrid w:val="0"/>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昌州环评〔2019〕32号</w:t>
            </w:r>
          </w:p>
        </w:tc>
        <w:tc>
          <w:tcPr>
            <w:tcW w:w="1464" w:type="pct"/>
            <w:vAlign w:val="center"/>
          </w:tcPr>
          <w:p w14:paraId="68E81D27">
            <w:pPr>
              <w:pStyle w:val="208"/>
              <w:adjustRightInd w:val="0"/>
              <w:snapToGrid w:val="0"/>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2021年10月27日通过企业自主验收</w:t>
            </w:r>
          </w:p>
        </w:tc>
      </w:tr>
      <w:tr w14:paraId="1F8CFD0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1814" w:type="pct"/>
            <w:gridSpan w:val="2"/>
            <w:vAlign w:val="center"/>
          </w:tcPr>
          <w:p w14:paraId="17333EA8">
            <w:pPr>
              <w:pStyle w:val="208"/>
              <w:adjustRightInd w:val="0"/>
              <w:snapToGrid w:val="0"/>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吉木萨尔凹陷芦草沟组油藏吉305-吉17-吉37井区开发地面工程</w:t>
            </w:r>
          </w:p>
        </w:tc>
        <w:tc>
          <w:tcPr>
            <w:tcW w:w="1722" w:type="pct"/>
            <w:vAlign w:val="center"/>
          </w:tcPr>
          <w:p w14:paraId="23F782FB">
            <w:pPr>
              <w:pStyle w:val="208"/>
              <w:adjustRightInd w:val="0"/>
              <w:snapToGrid w:val="0"/>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新疆生产建设兵团生态环境局</w:t>
            </w:r>
          </w:p>
          <w:p w14:paraId="6968A9C1">
            <w:pPr>
              <w:pStyle w:val="208"/>
              <w:adjustRightInd w:val="0"/>
              <w:snapToGrid w:val="0"/>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兵环审〔2019〕14号</w:t>
            </w:r>
          </w:p>
        </w:tc>
        <w:tc>
          <w:tcPr>
            <w:tcW w:w="1464" w:type="pct"/>
            <w:vAlign w:val="center"/>
          </w:tcPr>
          <w:p w14:paraId="6F453165">
            <w:pPr>
              <w:pStyle w:val="208"/>
              <w:adjustRightInd w:val="0"/>
              <w:snapToGrid w:val="0"/>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2021年10月28日通过企业第一批自主验收；</w:t>
            </w:r>
          </w:p>
          <w:p w14:paraId="4C84D931">
            <w:pPr>
              <w:pStyle w:val="208"/>
              <w:adjustRightInd w:val="0"/>
              <w:snapToGrid w:val="0"/>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2023年9月6日通过企业第二批自主验收</w:t>
            </w:r>
          </w:p>
        </w:tc>
      </w:tr>
      <w:tr w14:paraId="066880B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1814" w:type="pct"/>
            <w:gridSpan w:val="2"/>
            <w:vAlign w:val="center"/>
          </w:tcPr>
          <w:p w14:paraId="7ED4A3CD">
            <w:pPr>
              <w:pStyle w:val="208"/>
              <w:adjustRightInd w:val="0"/>
              <w:snapToGrid w:val="0"/>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吉木萨尔凹陷芦草沟组油藏吉305－吉17-吉37井区联合站建设工程重大变更项目</w:t>
            </w:r>
          </w:p>
        </w:tc>
        <w:tc>
          <w:tcPr>
            <w:tcW w:w="1722" w:type="pct"/>
            <w:vAlign w:val="center"/>
          </w:tcPr>
          <w:p w14:paraId="3E9CE5A3">
            <w:pPr>
              <w:pStyle w:val="208"/>
              <w:adjustRightInd w:val="0"/>
              <w:snapToGrid w:val="0"/>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新疆兵团第六师五家渠市环保局</w:t>
            </w:r>
          </w:p>
          <w:p w14:paraId="242262ED">
            <w:pPr>
              <w:pStyle w:val="208"/>
              <w:adjustRightInd w:val="0"/>
              <w:snapToGrid w:val="0"/>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师环监函〔2019〕38号</w:t>
            </w:r>
          </w:p>
        </w:tc>
        <w:tc>
          <w:tcPr>
            <w:tcW w:w="1464" w:type="pct"/>
            <w:vAlign w:val="center"/>
          </w:tcPr>
          <w:p w14:paraId="5639E73A">
            <w:pPr>
              <w:pStyle w:val="208"/>
              <w:adjustRightInd w:val="0"/>
              <w:snapToGrid w:val="0"/>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2021年10月28日通过企业自主验收</w:t>
            </w:r>
          </w:p>
        </w:tc>
      </w:tr>
      <w:tr w14:paraId="77D2462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1814" w:type="pct"/>
            <w:gridSpan w:val="2"/>
            <w:vAlign w:val="center"/>
          </w:tcPr>
          <w:p w14:paraId="721E2AB1">
            <w:pPr>
              <w:pStyle w:val="208"/>
              <w:adjustRightInd w:val="0"/>
              <w:snapToGrid w:val="0"/>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吉305-吉17-吉37井区JHW00421等22口开发试验井建设工程</w:t>
            </w:r>
          </w:p>
        </w:tc>
        <w:tc>
          <w:tcPr>
            <w:tcW w:w="1722" w:type="pct"/>
            <w:vAlign w:val="center"/>
          </w:tcPr>
          <w:p w14:paraId="0A58B613">
            <w:pPr>
              <w:pStyle w:val="208"/>
              <w:adjustRightInd w:val="0"/>
              <w:snapToGrid w:val="0"/>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昌吉回族自治州生态环境局</w:t>
            </w:r>
          </w:p>
          <w:p w14:paraId="084DAE6E">
            <w:pPr>
              <w:pStyle w:val="208"/>
              <w:adjustRightInd w:val="0"/>
              <w:snapToGrid w:val="0"/>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昌州环评〔2019〕49号</w:t>
            </w:r>
          </w:p>
        </w:tc>
        <w:tc>
          <w:tcPr>
            <w:tcW w:w="1464" w:type="pct"/>
            <w:vAlign w:val="center"/>
          </w:tcPr>
          <w:p w14:paraId="272955EE">
            <w:pPr>
              <w:pStyle w:val="208"/>
              <w:adjustRightInd w:val="0"/>
              <w:snapToGrid w:val="0"/>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2021年10月28日通过企业第一批自主验收</w:t>
            </w:r>
          </w:p>
        </w:tc>
      </w:tr>
      <w:tr w14:paraId="154A309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1814" w:type="pct"/>
            <w:gridSpan w:val="2"/>
            <w:vAlign w:val="center"/>
          </w:tcPr>
          <w:p w14:paraId="58D94271">
            <w:pPr>
              <w:pStyle w:val="208"/>
              <w:adjustRightInd w:val="0"/>
              <w:snapToGrid w:val="0"/>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吉木萨尔凹陷芦草沟组页岩油2023年开发建设工程</w:t>
            </w:r>
          </w:p>
        </w:tc>
        <w:tc>
          <w:tcPr>
            <w:tcW w:w="1722" w:type="pct"/>
            <w:vAlign w:val="center"/>
          </w:tcPr>
          <w:p w14:paraId="21D6DCF8">
            <w:pPr>
              <w:pStyle w:val="208"/>
              <w:adjustRightInd w:val="0"/>
              <w:snapToGrid w:val="0"/>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新疆生产建设兵团生态环境局</w:t>
            </w:r>
          </w:p>
          <w:p w14:paraId="4AE7C97F">
            <w:pPr>
              <w:pStyle w:val="208"/>
              <w:adjustRightInd w:val="0"/>
              <w:snapToGrid w:val="0"/>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兵环审〔2023〕2号</w:t>
            </w:r>
          </w:p>
        </w:tc>
        <w:tc>
          <w:tcPr>
            <w:tcW w:w="1464" w:type="pct"/>
            <w:vAlign w:val="center"/>
          </w:tcPr>
          <w:p w14:paraId="3929D7D7">
            <w:pPr>
              <w:pStyle w:val="208"/>
              <w:adjustRightInd w:val="0"/>
              <w:snapToGrid w:val="0"/>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正在建设</w:t>
            </w:r>
          </w:p>
        </w:tc>
      </w:tr>
      <w:tr w14:paraId="6618177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1814" w:type="pct"/>
            <w:gridSpan w:val="2"/>
            <w:vAlign w:val="center"/>
          </w:tcPr>
          <w:p w14:paraId="5A37EB3F">
            <w:pPr>
              <w:pStyle w:val="208"/>
              <w:adjustRightInd w:val="0"/>
              <w:snapToGrid w:val="0"/>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吉木萨尔凹陷昌吉油田2023年芦草沟组页岩油调整部署18号平台等6个平台产能建设</w:t>
            </w:r>
          </w:p>
        </w:tc>
        <w:tc>
          <w:tcPr>
            <w:tcW w:w="1722" w:type="pct"/>
            <w:vAlign w:val="center"/>
          </w:tcPr>
          <w:p w14:paraId="2E48C587">
            <w:pPr>
              <w:pStyle w:val="208"/>
              <w:adjustRightInd w:val="0"/>
              <w:snapToGrid w:val="0"/>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新疆生产建设兵团生态环境局</w:t>
            </w:r>
          </w:p>
          <w:p w14:paraId="38CE8643">
            <w:pPr>
              <w:pStyle w:val="208"/>
              <w:adjustRightInd w:val="0"/>
              <w:snapToGrid w:val="0"/>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兵环审〔2024〕7号</w:t>
            </w:r>
          </w:p>
        </w:tc>
        <w:tc>
          <w:tcPr>
            <w:tcW w:w="1464" w:type="pct"/>
            <w:vAlign w:val="center"/>
          </w:tcPr>
          <w:p w14:paraId="66019759">
            <w:pPr>
              <w:pStyle w:val="208"/>
              <w:adjustRightInd w:val="0"/>
              <w:snapToGrid w:val="0"/>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正在建设</w:t>
            </w:r>
          </w:p>
        </w:tc>
      </w:tr>
      <w:tr w14:paraId="2F3D797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1814" w:type="pct"/>
            <w:gridSpan w:val="2"/>
            <w:vAlign w:val="center"/>
          </w:tcPr>
          <w:p w14:paraId="4548D372">
            <w:pPr>
              <w:pStyle w:val="208"/>
              <w:adjustRightInd w:val="0"/>
              <w:snapToGrid w:val="0"/>
              <w:spacing w:line="300" w:lineRule="exact"/>
              <w:rPr>
                <w:rFonts w:hint="eastAsia"/>
                <w:color w:val="000000" w:themeColor="text1"/>
                <w14:textFill>
                  <w14:solidFill>
                    <w14:schemeClr w14:val="tx1"/>
                  </w14:solidFill>
                </w14:textFill>
              </w:rPr>
            </w:pPr>
            <w:r>
              <w:rPr>
                <w:color w:val="000000" w:themeColor="text1"/>
                <w14:textFill>
                  <w14:solidFill>
                    <w14:schemeClr w14:val="tx1"/>
                  </w14:solidFill>
                </w14:textFill>
              </w:rPr>
              <w:t>新疆油田昌吉油田吉305-吉17井区芦草沟组页岩油产能建设项目（页岩油联合站二期扩建工程）</w:t>
            </w:r>
          </w:p>
        </w:tc>
        <w:tc>
          <w:tcPr>
            <w:tcW w:w="1722" w:type="pct"/>
            <w:vAlign w:val="center"/>
          </w:tcPr>
          <w:p w14:paraId="15E4A47E">
            <w:pPr>
              <w:pStyle w:val="208"/>
              <w:adjustRightInd w:val="0"/>
              <w:snapToGrid w:val="0"/>
              <w:spacing w:line="300" w:lineRule="exact"/>
              <w:rPr>
                <w:rFonts w:hint="eastAsia"/>
                <w:color w:val="000000" w:themeColor="text1"/>
                <w14:textFill>
                  <w14:solidFill>
                    <w14:schemeClr w14:val="tx1"/>
                  </w14:solidFill>
                </w14:textFill>
              </w:rPr>
            </w:pPr>
            <w:r>
              <w:rPr>
                <w:color w:val="000000" w:themeColor="text1"/>
                <w14:textFill>
                  <w14:solidFill>
                    <w14:schemeClr w14:val="tx1"/>
                  </w14:solidFill>
                </w14:textFill>
              </w:rPr>
              <w:t>新疆生产建设兵团生态环境局</w:t>
            </w:r>
          </w:p>
          <w:p w14:paraId="7F8734B6">
            <w:pPr>
              <w:pStyle w:val="208"/>
              <w:adjustRightInd w:val="0"/>
              <w:snapToGrid w:val="0"/>
              <w:spacing w:line="300" w:lineRule="exact"/>
              <w:rPr>
                <w:rFonts w:hint="eastAsia"/>
                <w:color w:val="000000" w:themeColor="text1"/>
                <w14:textFill>
                  <w14:solidFill>
                    <w14:schemeClr w14:val="tx1"/>
                  </w14:solidFill>
                </w14:textFill>
              </w:rPr>
            </w:pPr>
            <w:r>
              <w:rPr>
                <w:color w:val="000000" w:themeColor="text1"/>
                <w14:textFill>
                  <w14:solidFill>
                    <w14:schemeClr w14:val="tx1"/>
                  </w14:solidFill>
                </w14:textFill>
              </w:rPr>
              <w:t>兵环审〔2024〕16号</w:t>
            </w:r>
            <w:r>
              <w:rPr>
                <w:rFonts w:hint="eastAsia"/>
                <w:color w:val="000000" w:themeColor="text1"/>
                <w14:textFill>
                  <w14:solidFill>
                    <w14:schemeClr w14:val="tx1"/>
                  </w14:solidFill>
                </w14:textFill>
              </w:rPr>
              <w:t xml:space="preserve"> </w:t>
            </w:r>
          </w:p>
        </w:tc>
        <w:tc>
          <w:tcPr>
            <w:tcW w:w="1464" w:type="pct"/>
            <w:vAlign w:val="center"/>
          </w:tcPr>
          <w:p w14:paraId="00FE1A24">
            <w:pPr>
              <w:pStyle w:val="208"/>
              <w:adjustRightInd w:val="0"/>
              <w:snapToGrid w:val="0"/>
              <w:spacing w:line="300" w:lineRule="exact"/>
              <w:rPr>
                <w:rFonts w:hint="eastAsia"/>
                <w:color w:val="000000" w:themeColor="text1"/>
                <w14:textFill>
                  <w14:solidFill>
                    <w14:schemeClr w14:val="tx1"/>
                  </w14:solidFill>
                </w14:textFill>
              </w:rPr>
            </w:pPr>
            <w:r>
              <w:rPr>
                <w:color w:val="000000" w:themeColor="text1"/>
                <w14:textFill>
                  <w14:solidFill>
                    <w14:schemeClr w14:val="tx1"/>
                  </w14:solidFill>
                </w14:textFill>
              </w:rPr>
              <w:t>正在建设</w:t>
            </w:r>
          </w:p>
        </w:tc>
      </w:tr>
      <w:tr w14:paraId="7BEB37D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1814" w:type="pct"/>
            <w:gridSpan w:val="2"/>
            <w:vAlign w:val="center"/>
          </w:tcPr>
          <w:p w14:paraId="6469D8BE">
            <w:pPr>
              <w:pStyle w:val="208"/>
              <w:adjustRightInd w:val="0"/>
              <w:snapToGrid w:val="0"/>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吉木萨尔凹陷芦草沟组页岩油J10054井区JHW69-11等13口井开发建设工程</w:t>
            </w:r>
          </w:p>
        </w:tc>
        <w:tc>
          <w:tcPr>
            <w:tcW w:w="1722" w:type="pct"/>
            <w:vAlign w:val="center"/>
          </w:tcPr>
          <w:p w14:paraId="4BACE8CC">
            <w:pPr>
              <w:pStyle w:val="208"/>
              <w:adjustRightInd w:val="0"/>
              <w:snapToGrid w:val="0"/>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新疆维吾尔自治区生态环境厅</w:t>
            </w:r>
          </w:p>
          <w:p w14:paraId="436BAE54">
            <w:pPr>
              <w:pStyle w:val="208"/>
              <w:adjustRightInd w:val="0"/>
              <w:snapToGrid w:val="0"/>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新环审〔2024〕168号</w:t>
            </w:r>
          </w:p>
        </w:tc>
        <w:tc>
          <w:tcPr>
            <w:tcW w:w="1464" w:type="pct"/>
            <w:vAlign w:val="center"/>
          </w:tcPr>
          <w:p w14:paraId="150BACA7">
            <w:pPr>
              <w:pStyle w:val="208"/>
              <w:adjustRightInd w:val="0"/>
              <w:snapToGrid w:val="0"/>
              <w:spacing w:line="300" w:lineRule="exact"/>
              <w:rPr>
                <w:rFonts w:hint="eastAsia"/>
                <w:color w:val="000000" w:themeColor="text1"/>
                <w14:textFill>
                  <w14:solidFill>
                    <w14:schemeClr w14:val="tx1"/>
                  </w14:solidFill>
                </w14:textFill>
              </w:rPr>
            </w:pPr>
            <w:r>
              <w:rPr>
                <w:color w:val="000000" w:themeColor="text1"/>
                <w14:textFill>
                  <w14:solidFill>
                    <w14:schemeClr w14:val="tx1"/>
                  </w14:solidFill>
                </w14:textFill>
              </w:rPr>
              <w:t>正在建设</w:t>
            </w:r>
          </w:p>
        </w:tc>
      </w:tr>
      <w:tr w14:paraId="14807CC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1814" w:type="pct"/>
            <w:gridSpan w:val="2"/>
            <w:vAlign w:val="center"/>
          </w:tcPr>
          <w:p w14:paraId="09CB1824">
            <w:pPr>
              <w:pStyle w:val="208"/>
              <w:adjustRightInd w:val="0"/>
              <w:snapToGrid w:val="0"/>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吉庆油田作业区2023年产能建设部署调整80号平台等5个平台21口井建设项目</w:t>
            </w:r>
          </w:p>
          <w:p w14:paraId="4F69E47C">
            <w:pPr>
              <w:pStyle w:val="208"/>
              <w:adjustRightInd w:val="0"/>
              <w:snapToGrid w:val="0"/>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（吉木萨尔区域）</w:t>
            </w:r>
          </w:p>
        </w:tc>
        <w:tc>
          <w:tcPr>
            <w:tcW w:w="1722" w:type="pct"/>
            <w:vAlign w:val="center"/>
          </w:tcPr>
          <w:p w14:paraId="2C6F46DC">
            <w:pPr>
              <w:pStyle w:val="208"/>
              <w:adjustRightInd w:val="0"/>
              <w:snapToGrid w:val="0"/>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新疆维吾尔自治区生态环境厅</w:t>
            </w:r>
          </w:p>
          <w:p w14:paraId="43FE2948">
            <w:pPr>
              <w:pStyle w:val="208"/>
              <w:adjustRightInd w:val="0"/>
              <w:snapToGrid w:val="0"/>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新环审〔2024〕212号</w:t>
            </w:r>
          </w:p>
        </w:tc>
        <w:tc>
          <w:tcPr>
            <w:tcW w:w="1464" w:type="pct"/>
            <w:vAlign w:val="center"/>
          </w:tcPr>
          <w:p w14:paraId="08829450">
            <w:pPr>
              <w:pStyle w:val="208"/>
              <w:adjustRightInd w:val="0"/>
              <w:snapToGrid w:val="0"/>
              <w:spacing w:line="300" w:lineRule="exact"/>
              <w:rPr>
                <w:rFonts w:hint="eastAsia"/>
                <w:color w:val="000000" w:themeColor="text1"/>
                <w14:textFill>
                  <w14:solidFill>
                    <w14:schemeClr w14:val="tx1"/>
                  </w14:solidFill>
                </w14:textFill>
              </w:rPr>
            </w:pPr>
            <w:r>
              <w:rPr>
                <w:color w:val="000000" w:themeColor="text1"/>
                <w14:textFill>
                  <w14:solidFill>
                    <w14:schemeClr w14:val="tx1"/>
                  </w14:solidFill>
                </w14:textFill>
              </w:rPr>
              <w:t>正在建设</w:t>
            </w:r>
          </w:p>
        </w:tc>
      </w:tr>
      <w:tr w14:paraId="0999F07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1814" w:type="pct"/>
            <w:gridSpan w:val="2"/>
            <w:vAlign w:val="center"/>
          </w:tcPr>
          <w:p w14:paraId="203FD595">
            <w:pPr>
              <w:pStyle w:val="208"/>
              <w:adjustRightInd w:val="0"/>
              <w:snapToGrid w:val="0"/>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吉木萨尔凹陷芦草沟组页岩油2025年产能建设项目</w:t>
            </w:r>
          </w:p>
        </w:tc>
        <w:tc>
          <w:tcPr>
            <w:tcW w:w="1722" w:type="pct"/>
            <w:vAlign w:val="center"/>
          </w:tcPr>
          <w:p w14:paraId="4BF16F33">
            <w:pPr>
              <w:pStyle w:val="208"/>
              <w:adjustRightInd w:val="0"/>
              <w:snapToGrid w:val="0"/>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新疆维吾尔自治区生态环境厅</w:t>
            </w:r>
          </w:p>
          <w:p w14:paraId="0843C89A">
            <w:pPr>
              <w:pStyle w:val="208"/>
              <w:adjustRightInd w:val="0"/>
              <w:snapToGrid w:val="0"/>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新环审〔2024〕234号</w:t>
            </w:r>
          </w:p>
        </w:tc>
        <w:tc>
          <w:tcPr>
            <w:tcW w:w="1464" w:type="pct"/>
            <w:vAlign w:val="center"/>
          </w:tcPr>
          <w:p w14:paraId="2B7383F4">
            <w:pPr>
              <w:pStyle w:val="208"/>
              <w:adjustRightInd w:val="0"/>
              <w:snapToGrid w:val="0"/>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正在建设</w:t>
            </w:r>
          </w:p>
        </w:tc>
      </w:tr>
      <w:tr w14:paraId="692A5A9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1814" w:type="pct"/>
            <w:gridSpan w:val="2"/>
            <w:vAlign w:val="center"/>
          </w:tcPr>
          <w:p w14:paraId="71AB1AB6">
            <w:pPr>
              <w:pStyle w:val="208"/>
              <w:adjustRightInd w:val="0"/>
              <w:snapToGrid w:val="0"/>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吉庆油田作业区2023年产能建设页岩油部署调整83号等8个平台30口井建设项目</w:t>
            </w:r>
          </w:p>
          <w:p w14:paraId="4C2CA044">
            <w:pPr>
              <w:pStyle w:val="208"/>
              <w:adjustRightInd w:val="0"/>
              <w:snapToGrid w:val="0"/>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（红旗农场区域）</w:t>
            </w:r>
          </w:p>
        </w:tc>
        <w:tc>
          <w:tcPr>
            <w:tcW w:w="1722" w:type="pct"/>
            <w:vAlign w:val="center"/>
          </w:tcPr>
          <w:p w14:paraId="670D3D1F">
            <w:pPr>
              <w:pStyle w:val="208"/>
              <w:adjustRightInd w:val="0"/>
              <w:snapToGrid w:val="0"/>
              <w:spacing w:line="300" w:lineRule="exact"/>
              <w:rPr>
                <w:rFonts w:hint="eastAsia"/>
                <w:color w:val="000000" w:themeColor="text1"/>
                <w14:textFill>
                  <w14:solidFill>
                    <w14:schemeClr w14:val="tx1"/>
                  </w14:solidFill>
                </w14:textFill>
              </w:rPr>
            </w:pPr>
            <w:r>
              <w:rPr>
                <w:color w:val="000000" w:themeColor="text1"/>
                <w14:textFill>
                  <w14:solidFill>
                    <w14:schemeClr w14:val="tx1"/>
                  </w14:solidFill>
                </w14:textFill>
              </w:rPr>
              <w:t>新疆生产建设兵团生态环境局</w:t>
            </w:r>
          </w:p>
          <w:p w14:paraId="01EEC819">
            <w:pPr>
              <w:pStyle w:val="208"/>
              <w:adjustRightInd w:val="0"/>
              <w:snapToGrid w:val="0"/>
              <w:spacing w:line="300" w:lineRule="exact"/>
              <w:rPr>
                <w:rFonts w:hint="eastAsia"/>
                <w:color w:val="000000" w:themeColor="text1"/>
                <w14:textFill>
                  <w14:solidFill>
                    <w14:schemeClr w14:val="tx1"/>
                  </w14:solidFill>
                </w14:textFill>
              </w:rPr>
            </w:pPr>
            <w:r>
              <w:rPr>
                <w:color w:val="000000" w:themeColor="text1"/>
                <w14:textFill>
                  <w14:solidFill>
                    <w14:schemeClr w14:val="tx1"/>
                  </w14:solidFill>
                </w14:textFill>
              </w:rPr>
              <w:t>兵环审〔2024〕</w:t>
            </w:r>
            <w:r>
              <w:rPr>
                <w:rFonts w:hint="eastAsia"/>
                <w:color w:val="000000" w:themeColor="text1"/>
                <w14:textFill>
                  <w14:solidFill>
                    <w14:schemeClr w14:val="tx1"/>
                  </w14:solidFill>
                </w14:textFill>
              </w:rPr>
              <w:t>33</w:t>
            </w:r>
            <w:r>
              <w:rPr>
                <w:color w:val="000000" w:themeColor="text1"/>
                <w14:textFill>
                  <w14:solidFill>
                    <w14:schemeClr w14:val="tx1"/>
                  </w14:solidFill>
                </w14:textFill>
              </w:rPr>
              <w:t>号</w:t>
            </w:r>
          </w:p>
        </w:tc>
        <w:tc>
          <w:tcPr>
            <w:tcW w:w="1464" w:type="pct"/>
            <w:vAlign w:val="center"/>
          </w:tcPr>
          <w:p w14:paraId="407F27E5">
            <w:pPr>
              <w:pStyle w:val="208"/>
              <w:adjustRightInd w:val="0"/>
              <w:snapToGrid w:val="0"/>
              <w:spacing w:line="300" w:lineRule="exact"/>
              <w:rPr>
                <w:rFonts w:hint="eastAsia"/>
                <w:color w:val="000000" w:themeColor="text1"/>
                <w14:textFill>
                  <w14:solidFill>
                    <w14:schemeClr w14:val="tx1"/>
                  </w14:solidFill>
                </w14:textFill>
              </w:rPr>
            </w:pPr>
            <w:r>
              <w:rPr>
                <w:color w:val="000000" w:themeColor="text1"/>
                <w14:textFill>
                  <w14:solidFill>
                    <w14:schemeClr w14:val="tx1"/>
                  </w14:solidFill>
                </w14:textFill>
              </w:rPr>
              <w:t>正在建设</w:t>
            </w:r>
          </w:p>
        </w:tc>
      </w:tr>
      <w:tr w14:paraId="056BB1F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1814" w:type="pct"/>
            <w:gridSpan w:val="2"/>
            <w:vAlign w:val="center"/>
          </w:tcPr>
          <w:p w14:paraId="18E2B1B2">
            <w:pPr>
              <w:pStyle w:val="208"/>
              <w:adjustRightInd w:val="0"/>
              <w:snapToGrid w:val="0"/>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吉木萨尔凹陷芦草沟组页岩油J10031-吉179井区JHW17-41等5口井产能建设项目</w:t>
            </w:r>
          </w:p>
        </w:tc>
        <w:tc>
          <w:tcPr>
            <w:tcW w:w="1722" w:type="pct"/>
            <w:vAlign w:val="center"/>
          </w:tcPr>
          <w:p w14:paraId="4BC7B4C8">
            <w:pPr>
              <w:pStyle w:val="208"/>
              <w:adjustRightInd w:val="0"/>
              <w:snapToGrid w:val="0"/>
              <w:spacing w:line="300" w:lineRule="exact"/>
              <w:rPr>
                <w:rFonts w:hint="eastAsia"/>
                <w:color w:val="000000" w:themeColor="text1"/>
                <w14:textFill>
                  <w14:solidFill>
                    <w14:schemeClr w14:val="tx1"/>
                  </w14:solidFill>
                </w14:textFill>
              </w:rPr>
            </w:pPr>
            <w:r>
              <w:rPr>
                <w:color w:val="000000" w:themeColor="text1"/>
                <w14:textFill>
                  <w14:solidFill>
                    <w14:schemeClr w14:val="tx1"/>
                  </w14:solidFill>
                </w14:textFill>
              </w:rPr>
              <w:t>新疆生产建设兵团生态环境局</w:t>
            </w:r>
          </w:p>
          <w:p w14:paraId="476F428F">
            <w:pPr>
              <w:pStyle w:val="208"/>
              <w:adjustRightInd w:val="0"/>
              <w:snapToGrid w:val="0"/>
              <w:spacing w:line="300" w:lineRule="exact"/>
              <w:rPr>
                <w:rFonts w:hint="eastAsia"/>
                <w:color w:val="000000" w:themeColor="text1"/>
                <w14:textFill>
                  <w14:solidFill>
                    <w14:schemeClr w14:val="tx1"/>
                  </w14:solidFill>
                </w14:textFill>
              </w:rPr>
            </w:pPr>
            <w:r>
              <w:rPr>
                <w:color w:val="000000" w:themeColor="text1"/>
                <w14:textFill>
                  <w14:solidFill>
                    <w14:schemeClr w14:val="tx1"/>
                  </w14:solidFill>
                </w14:textFill>
              </w:rPr>
              <w:t>兵环审〔2024〕</w:t>
            </w:r>
            <w:r>
              <w:rPr>
                <w:rFonts w:hint="eastAsia"/>
                <w:color w:val="000000" w:themeColor="text1"/>
                <w14:textFill>
                  <w14:solidFill>
                    <w14:schemeClr w14:val="tx1"/>
                  </w14:solidFill>
                </w14:textFill>
              </w:rPr>
              <w:t>43</w:t>
            </w:r>
            <w:r>
              <w:rPr>
                <w:color w:val="000000" w:themeColor="text1"/>
                <w14:textFill>
                  <w14:solidFill>
                    <w14:schemeClr w14:val="tx1"/>
                  </w14:solidFill>
                </w14:textFill>
              </w:rPr>
              <w:t>号</w:t>
            </w:r>
          </w:p>
        </w:tc>
        <w:tc>
          <w:tcPr>
            <w:tcW w:w="1464" w:type="pct"/>
            <w:vAlign w:val="center"/>
          </w:tcPr>
          <w:p w14:paraId="125942FD">
            <w:pPr>
              <w:pStyle w:val="208"/>
              <w:adjustRightInd w:val="0"/>
              <w:snapToGrid w:val="0"/>
              <w:spacing w:line="300" w:lineRule="exact"/>
              <w:rPr>
                <w:rFonts w:hint="eastAsia"/>
                <w:color w:val="000000" w:themeColor="text1"/>
                <w14:textFill>
                  <w14:solidFill>
                    <w14:schemeClr w14:val="tx1"/>
                  </w14:solidFill>
                </w14:textFill>
              </w:rPr>
            </w:pPr>
            <w:r>
              <w:rPr>
                <w:color w:val="000000" w:themeColor="text1"/>
                <w14:textFill>
                  <w14:solidFill>
                    <w14:schemeClr w14:val="tx1"/>
                  </w14:solidFill>
                </w14:textFill>
              </w:rPr>
              <w:t>正在建设</w:t>
            </w:r>
          </w:p>
        </w:tc>
      </w:tr>
      <w:tr w14:paraId="533C979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1814" w:type="pct"/>
            <w:gridSpan w:val="2"/>
            <w:vAlign w:val="center"/>
          </w:tcPr>
          <w:p w14:paraId="0F97F4BB">
            <w:pPr>
              <w:pStyle w:val="208"/>
              <w:adjustRightInd w:val="0"/>
              <w:snapToGrid w:val="0"/>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吉木萨尔凹陷芦草沟组页岩油2025年JHW74-17等21口水平井产能建设项目</w:t>
            </w:r>
          </w:p>
        </w:tc>
        <w:tc>
          <w:tcPr>
            <w:tcW w:w="1722" w:type="pct"/>
            <w:vAlign w:val="center"/>
          </w:tcPr>
          <w:p w14:paraId="539457CA">
            <w:pPr>
              <w:pStyle w:val="208"/>
              <w:adjustRightInd w:val="0"/>
              <w:snapToGrid w:val="0"/>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新疆兵团第六师五家渠市生态环境局</w:t>
            </w:r>
          </w:p>
          <w:p w14:paraId="7CF8C083">
            <w:pPr>
              <w:pStyle w:val="208"/>
              <w:adjustRightInd w:val="0"/>
              <w:snapToGrid w:val="0"/>
              <w:spacing w:line="300" w:lineRule="exact"/>
              <w:rPr>
                <w:rFonts w:hint="eastAsia"/>
                <w:color w:val="000000" w:themeColor="text1"/>
                <w14:textFill>
                  <w14:solidFill>
                    <w14:schemeClr w14:val="tx1"/>
                  </w14:solidFill>
                </w14:textFill>
              </w:rPr>
            </w:pPr>
            <w:bookmarkStart w:id="204" w:name="OLE_LINK49"/>
            <w:r>
              <w:rPr>
                <w:rFonts w:hint="eastAsia"/>
                <w:color w:val="000000" w:themeColor="text1"/>
                <w14:textFill>
                  <w14:solidFill>
                    <w14:schemeClr w14:val="tx1"/>
                  </w14:solidFill>
                </w14:textFill>
              </w:rPr>
              <w:t>师环审</w:t>
            </w:r>
            <w:r>
              <w:rPr>
                <w:color w:val="000000" w:themeColor="text1"/>
                <w14:textFill>
                  <w14:solidFill>
                    <w14:schemeClr w14:val="tx1"/>
                  </w14:solidFill>
                </w14:textFill>
              </w:rPr>
              <w:t>〔202</w:t>
            </w:r>
            <w:r>
              <w:rPr>
                <w:rFonts w:hint="eastAsia"/>
                <w:color w:val="000000" w:themeColor="text1"/>
                <w14:textFill>
                  <w14:solidFill>
                    <w14:schemeClr w14:val="tx1"/>
                  </w14:solidFill>
                </w14:textFill>
              </w:rPr>
              <w:t>5</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12</w:t>
            </w:r>
            <w:r>
              <w:rPr>
                <w:color w:val="000000" w:themeColor="text1"/>
                <w14:textFill>
                  <w14:solidFill>
                    <w14:schemeClr w14:val="tx1"/>
                  </w14:solidFill>
                </w14:textFill>
              </w:rPr>
              <w:t>号</w:t>
            </w:r>
            <w:bookmarkEnd w:id="204"/>
          </w:p>
        </w:tc>
        <w:tc>
          <w:tcPr>
            <w:tcW w:w="1464" w:type="pct"/>
            <w:vAlign w:val="center"/>
          </w:tcPr>
          <w:p w14:paraId="6DFE6383">
            <w:pPr>
              <w:pStyle w:val="208"/>
              <w:adjustRightInd w:val="0"/>
              <w:snapToGrid w:val="0"/>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正在建设</w:t>
            </w:r>
          </w:p>
        </w:tc>
      </w:tr>
      <w:tr w14:paraId="053C068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759" w:type="pct"/>
            <w:vAlign w:val="center"/>
          </w:tcPr>
          <w:p w14:paraId="56907790">
            <w:pPr>
              <w:pStyle w:val="208"/>
              <w:adjustRightInd w:val="0"/>
              <w:snapToGrid w:val="0"/>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J10002_H和J10064_H</w:t>
            </w:r>
          </w:p>
        </w:tc>
        <w:tc>
          <w:tcPr>
            <w:tcW w:w="1055" w:type="pct"/>
            <w:vAlign w:val="center"/>
          </w:tcPr>
          <w:p w14:paraId="7F47A4E1">
            <w:pPr>
              <w:pStyle w:val="208"/>
              <w:adjustRightInd w:val="0"/>
              <w:snapToGrid w:val="0"/>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吉木萨尔凹陷致密油J10001等控制井钻试工程</w:t>
            </w:r>
          </w:p>
        </w:tc>
        <w:tc>
          <w:tcPr>
            <w:tcW w:w="1722" w:type="pct"/>
            <w:vAlign w:val="center"/>
          </w:tcPr>
          <w:p w14:paraId="7A8D3635">
            <w:pPr>
              <w:pStyle w:val="208"/>
              <w:adjustRightInd w:val="0"/>
              <w:snapToGrid w:val="0"/>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原吉木萨尔县环境保护局</w:t>
            </w:r>
          </w:p>
          <w:p w14:paraId="166593CE">
            <w:pPr>
              <w:pStyle w:val="208"/>
              <w:adjustRightInd w:val="0"/>
              <w:snapToGrid w:val="0"/>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吉环项发</w:t>
            </w:r>
            <w:r>
              <w:rPr>
                <w:color w:val="000000" w:themeColor="text1"/>
                <w14:textFill>
                  <w14:solidFill>
                    <w14:schemeClr w14:val="tx1"/>
                  </w14:solidFill>
                </w14:textFill>
              </w:rPr>
              <w:t>〔20</w:t>
            </w:r>
            <w:r>
              <w:rPr>
                <w:rFonts w:hint="eastAsia"/>
                <w:color w:val="000000" w:themeColor="text1"/>
                <w14:textFill>
                  <w14:solidFill>
                    <w14:schemeClr w14:val="tx1"/>
                  </w14:solidFill>
                </w14:textFill>
              </w:rPr>
              <w:t>18</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7</w:t>
            </w:r>
            <w:r>
              <w:rPr>
                <w:color w:val="000000" w:themeColor="text1"/>
                <w14:textFill>
                  <w14:solidFill>
                    <w14:schemeClr w14:val="tx1"/>
                  </w14:solidFill>
                </w14:textFill>
              </w:rPr>
              <w:t>号</w:t>
            </w:r>
          </w:p>
          <w:p w14:paraId="51E405C0">
            <w:pPr>
              <w:pStyle w:val="208"/>
              <w:adjustRightInd w:val="0"/>
              <w:snapToGrid w:val="0"/>
              <w:spacing w:line="300" w:lineRule="exact"/>
              <w:rPr>
                <w:rFonts w:hint="eastAsia"/>
                <w:color w:val="000000" w:themeColor="text1"/>
                <w14:textFill>
                  <w14:solidFill>
                    <w14:schemeClr w14:val="tx1"/>
                  </w14:solidFill>
                </w14:textFill>
              </w:rPr>
            </w:pPr>
          </w:p>
        </w:tc>
        <w:tc>
          <w:tcPr>
            <w:tcW w:w="1464" w:type="pct"/>
            <w:vAlign w:val="center"/>
          </w:tcPr>
          <w:p w14:paraId="33BD6E44">
            <w:pPr>
              <w:pStyle w:val="208"/>
              <w:adjustRightInd w:val="0"/>
              <w:snapToGrid w:val="0"/>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2019年6月23日通过企业自主竣工环境保护验收</w:t>
            </w:r>
          </w:p>
        </w:tc>
      </w:tr>
      <w:tr w14:paraId="751F627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759" w:type="pct"/>
            <w:vAlign w:val="center"/>
          </w:tcPr>
          <w:p w14:paraId="6AD39BD2">
            <w:pPr>
              <w:pStyle w:val="208"/>
              <w:adjustRightInd w:val="0"/>
              <w:snapToGrid w:val="0"/>
              <w:spacing w:line="300" w:lineRule="exact"/>
              <w:rPr>
                <w:rFonts w:hint="eastAsia"/>
                <w:color w:val="000000" w:themeColor="text1"/>
                <w14:textFill>
                  <w14:solidFill>
                    <w14:schemeClr w14:val="tx1"/>
                  </w14:solidFill>
                </w14:textFill>
              </w:rPr>
            </w:pPr>
            <w:r>
              <w:rPr>
                <w:color w:val="000000" w:themeColor="text1"/>
                <w14:textFill>
                  <w14:solidFill>
                    <w14:schemeClr w14:val="tx1"/>
                  </w14:solidFill>
                </w14:textFill>
              </w:rPr>
              <w:t>JHW00421</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JHW00422</w:t>
            </w:r>
          </w:p>
        </w:tc>
        <w:tc>
          <w:tcPr>
            <w:tcW w:w="1055" w:type="pct"/>
            <w:vAlign w:val="center"/>
          </w:tcPr>
          <w:p w14:paraId="530DB043">
            <w:pPr>
              <w:pStyle w:val="208"/>
              <w:adjustRightInd w:val="0"/>
              <w:snapToGrid w:val="0"/>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吉木萨尔致密油吉305-吉17-吉37井区JHW00421等22口开发试验井建设工程</w:t>
            </w:r>
          </w:p>
        </w:tc>
        <w:tc>
          <w:tcPr>
            <w:tcW w:w="1722" w:type="pct"/>
            <w:vAlign w:val="center"/>
          </w:tcPr>
          <w:p w14:paraId="4F2FE69C">
            <w:pPr>
              <w:pStyle w:val="208"/>
              <w:adjustRightInd w:val="0"/>
              <w:snapToGrid w:val="0"/>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昌吉回族自治州生态环境局</w:t>
            </w:r>
          </w:p>
          <w:p w14:paraId="7BAEDA91">
            <w:pPr>
              <w:pStyle w:val="208"/>
              <w:adjustRightInd w:val="0"/>
              <w:snapToGrid w:val="0"/>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昌州环评</w:t>
            </w:r>
            <w:r>
              <w:rPr>
                <w:color w:val="000000" w:themeColor="text1"/>
                <w14:textFill>
                  <w14:solidFill>
                    <w14:schemeClr w14:val="tx1"/>
                  </w14:solidFill>
                </w14:textFill>
              </w:rPr>
              <w:t>〔20</w:t>
            </w:r>
            <w:r>
              <w:rPr>
                <w:rFonts w:hint="eastAsia"/>
                <w:color w:val="000000" w:themeColor="text1"/>
                <w14:textFill>
                  <w14:solidFill>
                    <w14:schemeClr w14:val="tx1"/>
                  </w14:solidFill>
                </w14:textFill>
              </w:rPr>
              <w:t>19</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49</w:t>
            </w:r>
            <w:r>
              <w:rPr>
                <w:color w:val="000000" w:themeColor="text1"/>
                <w14:textFill>
                  <w14:solidFill>
                    <w14:schemeClr w14:val="tx1"/>
                  </w14:solidFill>
                </w14:textFill>
              </w:rPr>
              <w:t>号</w:t>
            </w:r>
          </w:p>
        </w:tc>
        <w:tc>
          <w:tcPr>
            <w:tcW w:w="1464" w:type="pct"/>
            <w:vAlign w:val="center"/>
          </w:tcPr>
          <w:p w14:paraId="7E03DC17">
            <w:pPr>
              <w:pStyle w:val="208"/>
              <w:adjustRightInd w:val="0"/>
              <w:snapToGrid w:val="0"/>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2021年10月28日通过企业自主竣工环境保护验收</w:t>
            </w:r>
          </w:p>
        </w:tc>
      </w:tr>
      <w:tr w14:paraId="7C40968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759" w:type="pct"/>
            <w:vAlign w:val="center"/>
          </w:tcPr>
          <w:p w14:paraId="5010DEF8">
            <w:pPr>
              <w:pStyle w:val="208"/>
              <w:adjustRightInd w:val="0"/>
              <w:snapToGrid w:val="0"/>
              <w:spacing w:line="300" w:lineRule="exact"/>
              <w:rPr>
                <w:rFonts w:hint="eastAsia"/>
                <w:color w:val="000000" w:themeColor="text1"/>
                <w14:textFill>
                  <w14:solidFill>
                    <w14:schemeClr w14:val="tx1"/>
                  </w14:solidFill>
                </w14:textFill>
              </w:rPr>
            </w:pPr>
            <w:bookmarkStart w:id="205" w:name="OLE_LINK56"/>
            <w:r>
              <w:rPr>
                <w:rFonts w:hint="eastAsia"/>
                <w:color w:val="000000" w:themeColor="text1"/>
                <w14:textFill>
                  <w14:solidFill>
                    <w14:schemeClr w14:val="tx1"/>
                  </w14:solidFill>
                </w14:textFill>
              </w:rPr>
              <w:t>JHW033</w:t>
            </w:r>
            <w:bookmarkStart w:id="206" w:name="OLE_LINK53"/>
            <w:r>
              <w:rPr>
                <w:rFonts w:hint="eastAsia"/>
                <w:color w:val="000000" w:themeColor="text1"/>
                <w14:textFill>
                  <w14:solidFill>
                    <w14:schemeClr w14:val="tx1"/>
                  </w14:solidFill>
                </w14:textFill>
              </w:rPr>
              <w:t>、JHW034</w:t>
            </w:r>
            <w:bookmarkEnd w:id="206"/>
            <w:r>
              <w:rPr>
                <w:rFonts w:hint="eastAsia"/>
                <w:color w:val="000000" w:themeColor="text1"/>
                <w14:textFill>
                  <w14:solidFill>
                    <w14:schemeClr w14:val="tx1"/>
                  </w14:solidFill>
                </w14:textFill>
              </w:rPr>
              <w:t>、JHW035、JHW036</w:t>
            </w:r>
            <w:bookmarkEnd w:id="205"/>
          </w:p>
        </w:tc>
        <w:tc>
          <w:tcPr>
            <w:tcW w:w="1055" w:type="pct"/>
            <w:vAlign w:val="center"/>
          </w:tcPr>
          <w:p w14:paraId="3246C06A">
            <w:pPr>
              <w:pStyle w:val="208"/>
              <w:adjustRightInd w:val="0"/>
              <w:snapToGrid w:val="0"/>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吉木萨尔凹陷JHW033、JHW034、JHW035、JHW036钻试工程</w:t>
            </w:r>
          </w:p>
        </w:tc>
        <w:tc>
          <w:tcPr>
            <w:tcW w:w="1722" w:type="pct"/>
            <w:vAlign w:val="center"/>
          </w:tcPr>
          <w:p w14:paraId="5F5060B2">
            <w:pPr>
              <w:pStyle w:val="208"/>
              <w:adjustRightInd w:val="0"/>
              <w:snapToGrid w:val="0"/>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原吉木萨尔县环境保护局</w:t>
            </w:r>
          </w:p>
          <w:p w14:paraId="299A83BA">
            <w:pPr>
              <w:pStyle w:val="208"/>
              <w:adjustRightInd w:val="0"/>
              <w:snapToGrid w:val="0"/>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吉环项发</w:t>
            </w:r>
            <w:r>
              <w:rPr>
                <w:color w:val="000000" w:themeColor="text1"/>
                <w14:textFill>
                  <w14:solidFill>
                    <w14:schemeClr w14:val="tx1"/>
                  </w14:solidFill>
                </w14:textFill>
              </w:rPr>
              <w:t>〔20</w:t>
            </w:r>
            <w:r>
              <w:rPr>
                <w:rFonts w:hint="eastAsia"/>
                <w:color w:val="000000" w:themeColor="text1"/>
                <w14:textFill>
                  <w14:solidFill>
                    <w14:schemeClr w14:val="tx1"/>
                  </w14:solidFill>
                </w14:textFill>
              </w:rPr>
              <w:t>17</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66</w:t>
            </w:r>
            <w:r>
              <w:rPr>
                <w:color w:val="000000" w:themeColor="text1"/>
                <w14:textFill>
                  <w14:solidFill>
                    <w14:schemeClr w14:val="tx1"/>
                  </w14:solidFill>
                </w14:textFill>
              </w:rPr>
              <w:t>号</w:t>
            </w:r>
          </w:p>
        </w:tc>
        <w:tc>
          <w:tcPr>
            <w:tcW w:w="1464" w:type="pct"/>
            <w:vAlign w:val="center"/>
          </w:tcPr>
          <w:p w14:paraId="27BC421A">
            <w:pPr>
              <w:pStyle w:val="208"/>
              <w:adjustRightInd w:val="0"/>
              <w:snapToGrid w:val="0"/>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2019年6月23日</w:t>
            </w:r>
            <w:bookmarkStart w:id="207" w:name="OLE_LINK58"/>
            <w:r>
              <w:rPr>
                <w:rFonts w:hint="eastAsia"/>
                <w:color w:val="000000" w:themeColor="text1"/>
                <w14:textFill>
                  <w14:solidFill>
                    <w14:schemeClr w14:val="tx1"/>
                  </w14:solidFill>
                </w14:textFill>
              </w:rPr>
              <w:t>通过了企业自主竣工环境保护验收</w:t>
            </w:r>
            <w:bookmarkEnd w:id="207"/>
          </w:p>
        </w:tc>
      </w:tr>
      <w:tr w14:paraId="27D28B1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759" w:type="pct"/>
            <w:vAlign w:val="center"/>
          </w:tcPr>
          <w:p w14:paraId="54DB3333">
            <w:pPr>
              <w:pStyle w:val="208"/>
              <w:adjustRightInd w:val="0"/>
              <w:snapToGrid w:val="0"/>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JHW031、JHW032</w:t>
            </w:r>
          </w:p>
        </w:tc>
        <w:tc>
          <w:tcPr>
            <w:tcW w:w="1055" w:type="pct"/>
            <w:vAlign w:val="center"/>
          </w:tcPr>
          <w:p w14:paraId="7847FF12">
            <w:pPr>
              <w:pStyle w:val="208"/>
              <w:adjustRightInd w:val="0"/>
              <w:snapToGrid w:val="0"/>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吉木萨尔凹陷JHW031、JHW032钻试工程</w:t>
            </w:r>
          </w:p>
        </w:tc>
        <w:tc>
          <w:tcPr>
            <w:tcW w:w="1722" w:type="pct"/>
            <w:vAlign w:val="center"/>
          </w:tcPr>
          <w:p w14:paraId="7D1143AE">
            <w:pPr>
              <w:pStyle w:val="208"/>
              <w:adjustRightInd w:val="0"/>
              <w:snapToGrid w:val="0"/>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原吉木萨尔县环境保护局</w:t>
            </w:r>
          </w:p>
          <w:p w14:paraId="1A5E6B04">
            <w:pPr>
              <w:pStyle w:val="208"/>
              <w:adjustRightInd w:val="0"/>
              <w:snapToGrid w:val="0"/>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吉环项发</w:t>
            </w:r>
            <w:r>
              <w:rPr>
                <w:color w:val="000000" w:themeColor="text1"/>
                <w14:textFill>
                  <w14:solidFill>
                    <w14:schemeClr w14:val="tx1"/>
                  </w14:solidFill>
                </w14:textFill>
              </w:rPr>
              <w:t>〔20</w:t>
            </w:r>
            <w:r>
              <w:rPr>
                <w:rFonts w:hint="eastAsia"/>
                <w:color w:val="000000" w:themeColor="text1"/>
                <w14:textFill>
                  <w14:solidFill>
                    <w14:schemeClr w14:val="tx1"/>
                  </w14:solidFill>
                </w14:textFill>
              </w:rPr>
              <w:t>17</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65</w:t>
            </w:r>
            <w:r>
              <w:rPr>
                <w:color w:val="000000" w:themeColor="text1"/>
                <w14:textFill>
                  <w14:solidFill>
                    <w14:schemeClr w14:val="tx1"/>
                  </w14:solidFill>
                </w14:textFill>
              </w:rPr>
              <w:t>号</w:t>
            </w:r>
          </w:p>
        </w:tc>
        <w:tc>
          <w:tcPr>
            <w:tcW w:w="1464" w:type="pct"/>
            <w:vAlign w:val="center"/>
          </w:tcPr>
          <w:p w14:paraId="333C3539">
            <w:pPr>
              <w:pStyle w:val="208"/>
              <w:adjustRightInd w:val="0"/>
              <w:snapToGrid w:val="0"/>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通过了企业自主竣工环境保护验收</w:t>
            </w:r>
          </w:p>
        </w:tc>
      </w:tr>
      <w:tr w14:paraId="1005FC6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759" w:type="pct"/>
            <w:vAlign w:val="center"/>
          </w:tcPr>
          <w:p w14:paraId="532F0B2F">
            <w:pPr>
              <w:pStyle w:val="208"/>
              <w:adjustRightInd w:val="0"/>
              <w:snapToGrid w:val="0"/>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JHW031、JHW032、JHW033、JHW034、JHW035、JHW036</w:t>
            </w:r>
          </w:p>
        </w:tc>
        <w:tc>
          <w:tcPr>
            <w:tcW w:w="1055" w:type="pct"/>
            <w:vAlign w:val="center"/>
          </w:tcPr>
          <w:p w14:paraId="4ECCE064">
            <w:pPr>
              <w:pStyle w:val="208"/>
              <w:adjustRightInd w:val="0"/>
              <w:snapToGrid w:val="0"/>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吉木萨尔凹陷芦草沟组致密油吉303-吉305井区2018年开发试验吉木萨尔辖区地面建设工程</w:t>
            </w:r>
          </w:p>
        </w:tc>
        <w:tc>
          <w:tcPr>
            <w:tcW w:w="1722" w:type="pct"/>
            <w:vAlign w:val="center"/>
          </w:tcPr>
          <w:p w14:paraId="24C93FC3">
            <w:pPr>
              <w:pStyle w:val="208"/>
              <w:adjustRightInd w:val="0"/>
              <w:snapToGrid w:val="0"/>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原吉木萨尔县环境保护局</w:t>
            </w:r>
          </w:p>
          <w:p w14:paraId="579FD0BD">
            <w:pPr>
              <w:pStyle w:val="208"/>
              <w:adjustRightInd w:val="0"/>
              <w:snapToGrid w:val="0"/>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吉环项发</w:t>
            </w:r>
            <w:r>
              <w:rPr>
                <w:color w:val="000000" w:themeColor="text1"/>
                <w14:textFill>
                  <w14:solidFill>
                    <w14:schemeClr w14:val="tx1"/>
                  </w14:solidFill>
                </w14:textFill>
              </w:rPr>
              <w:t>〔20</w:t>
            </w:r>
            <w:r>
              <w:rPr>
                <w:rFonts w:hint="eastAsia"/>
                <w:color w:val="000000" w:themeColor="text1"/>
                <w14:textFill>
                  <w14:solidFill>
                    <w14:schemeClr w14:val="tx1"/>
                  </w14:solidFill>
                </w14:textFill>
              </w:rPr>
              <w:t>18</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4</w:t>
            </w:r>
            <w:r>
              <w:rPr>
                <w:color w:val="000000" w:themeColor="text1"/>
                <w14:textFill>
                  <w14:solidFill>
                    <w14:schemeClr w14:val="tx1"/>
                  </w14:solidFill>
                </w14:textFill>
              </w:rPr>
              <w:t>号</w:t>
            </w:r>
          </w:p>
        </w:tc>
        <w:tc>
          <w:tcPr>
            <w:tcW w:w="1464" w:type="pct"/>
            <w:vAlign w:val="center"/>
          </w:tcPr>
          <w:p w14:paraId="2917C5A4">
            <w:pPr>
              <w:pStyle w:val="208"/>
              <w:adjustRightInd w:val="0"/>
              <w:snapToGrid w:val="0"/>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通过了企业自主竣工环境保护验收</w:t>
            </w:r>
          </w:p>
        </w:tc>
      </w:tr>
      <w:tr w14:paraId="11868C9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759" w:type="pct"/>
            <w:vAlign w:val="center"/>
          </w:tcPr>
          <w:p w14:paraId="50B08409">
            <w:pPr>
              <w:pStyle w:val="208"/>
              <w:adjustRightInd w:val="0"/>
              <w:snapToGrid w:val="0"/>
              <w:spacing w:line="300" w:lineRule="exact"/>
              <w:rPr>
                <w:rFonts w:hint="eastAsia"/>
                <w:color w:val="000000" w:themeColor="text1"/>
                <w14:textFill>
                  <w14:solidFill>
                    <w14:schemeClr w14:val="tx1"/>
                  </w14:solidFill>
                </w14:textFill>
              </w:rPr>
            </w:pPr>
            <w:r>
              <w:rPr>
                <w:color w:val="000000" w:themeColor="text1"/>
                <w:kern w:val="24"/>
                <w:szCs w:val="21"/>
                <w14:textFill>
                  <w14:solidFill>
                    <w14:schemeClr w14:val="tx1"/>
                  </w14:solidFill>
                </w14:textFill>
              </w:rPr>
              <w:t>JHW00525</w:t>
            </w:r>
            <w:r>
              <w:rPr>
                <w:rFonts w:hint="eastAsia"/>
                <w:color w:val="000000" w:themeColor="text1"/>
                <w:kern w:val="24"/>
                <w:szCs w:val="21"/>
                <w14:textFill>
                  <w14:solidFill>
                    <w14:schemeClr w14:val="tx1"/>
                  </w14:solidFill>
                </w14:textFill>
              </w:rPr>
              <w:t>和</w:t>
            </w:r>
            <w:r>
              <w:rPr>
                <w:color w:val="000000" w:themeColor="text1"/>
                <w:kern w:val="24"/>
                <w:szCs w:val="21"/>
                <w14:textFill>
                  <w14:solidFill>
                    <w14:schemeClr w14:val="tx1"/>
                  </w14:solidFill>
                </w14:textFill>
              </w:rPr>
              <w:t>JHW0052</w:t>
            </w:r>
            <w:r>
              <w:rPr>
                <w:rFonts w:hint="eastAsia"/>
                <w:color w:val="000000" w:themeColor="text1"/>
                <w:kern w:val="24"/>
                <w:szCs w:val="21"/>
                <w14:textFill>
                  <w14:solidFill>
                    <w14:schemeClr w14:val="tx1"/>
                  </w14:solidFill>
                </w14:textFill>
              </w:rPr>
              <w:t>6</w:t>
            </w:r>
          </w:p>
        </w:tc>
        <w:tc>
          <w:tcPr>
            <w:tcW w:w="1055" w:type="pct"/>
            <w:vAlign w:val="center"/>
          </w:tcPr>
          <w:p w14:paraId="1EC622D7">
            <w:pPr>
              <w:pStyle w:val="208"/>
              <w:adjustRightInd w:val="0"/>
              <w:snapToGrid w:val="0"/>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吉木萨尔凹陷区JHW00521等6口评价井钻试工程</w:t>
            </w:r>
          </w:p>
        </w:tc>
        <w:tc>
          <w:tcPr>
            <w:tcW w:w="1722" w:type="pct"/>
            <w:vAlign w:val="center"/>
          </w:tcPr>
          <w:p w14:paraId="32335637">
            <w:pPr>
              <w:pStyle w:val="208"/>
              <w:adjustRightInd w:val="0"/>
              <w:snapToGrid w:val="0"/>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昌吉回族自治州生态环境局</w:t>
            </w:r>
          </w:p>
          <w:p w14:paraId="767F5A16">
            <w:pPr>
              <w:pStyle w:val="208"/>
              <w:adjustRightInd w:val="0"/>
              <w:snapToGrid w:val="0"/>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昌州环评</w:t>
            </w:r>
            <w:r>
              <w:rPr>
                <w:color w:val="000000" w:themeColor="text1"/>
                <w14:textFill>
                  <w14:solidFill>
                    <w14:schemeClr w14:val="tx1"/>
                  </w14:solidFill>
                </w14:textFill>
              </w:rPr>
              <w:t>〔20</w:t>
            </w:r>
            <w:r>
              <w:rPr>
                <w:rFonts w:hint="eastAsia"/>
                <w:color w:val="000000" w:themeColor="text1"/>
                <w14:textFill>
                  <w14:solidFill>
                    <w14:schemeClr w14:val="tx1"/>
                  </w14:solidFill>
                </w14:textFill>
              </w:rPr>
              <w:t>19</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83</w:t>
            </w:r>
            <w:r>
              <w:rPr>
                <w:color w:val="000000" w:themeColor="text1"/>
                <w14:textFill>
                  <w14:solidFill>
                    <w14:schemeClr w14:val="tx1"/>
                  </w14:solidFill>
                </w14:textFill>
              </w:rPr>
              <w:t>号</w:t>
            </w:r>
          </w:p>
        </w:tc>
        <w:tc>
          <w:tcPr>
            <w:tcW w:w="1464" w:type="pct"/>
            <w:vAlign w:val="center"/>
          </w:tcPr>
          <w:p w14:paraId="0EB00398">
            <w:pPr>
              <w:pStyle w:val="208"/>
              <w:adjustRightInd w:val="0"/>
              <w:snapToGrid w:val="0"/>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2021年1月6日通过了企业自主竣工环境保护验收</w:t>
            </w:r>
          </w:p>
        </w:tc>
      </w:tr>
    </w:tbl>
    <w:p w14:paraId="71CCB421">
      <w:pPr>
        <w:widowControl/>
        <w:adjustRightInd w:val="0"/>
        <w:snapToGrid w:val="0"/>
        <w:spacing w:line="500" w:lineRule="exact"/>
        <w:ind w:firstLine="480" w:firstLineChars="200"/>
        <w:rPr>
          <w:rFonts w:hint="eastAsia" w:ascii="宋体" w:hAnsi="宋体" w:cs="宋体"/>
          <w:color w:val="000000" w:themeColor="text1"/>
          <w:sz w:val="24"/>
          <w:szCs w:val="24"/>
          <w14:textFill>
            <w14:solidFill>
              <w14:schemeClr w14:val="tx1"/>
            </w14:solidFill>
          </w14:textFill>
        </w:rPr>
      </w:pPr>
      <w:bookmarkStart w:id="208" w:name="OLE_LINK142"/>
      <w:r>
        <w:rPr>
          <w:rFonts w:hint="eastAsia" w:ascii="宋体" w:hAnsi="宋体" w:cs="宋体"/>
          <w:color w:val="000000" w:themeColor="text1"/>
          <w:sz w:val="24"/>
          <w:szCs w:val="24"/>
          <w14:textFill>
            <w14:solidFill>
              <w14:schemeClr w14:val="tx1"/>
            </w14:solidFill>
          </w14:textFill>
        </w:rPr>
        <w:t>（2）废气</w:t>
      </w:r>
    </w:p>
    <w:p w14:paraId="55273B11">
      <w:pPr>
        <w:widowControl/>
        <w:adjustRightInd w:val="0"/>
        <w:snapToGrid w:val="0"/>
        <w:spacing w:line="500" w:lineRule="exact"/>
        <w:ind w:firstLine="480" w:firstLineChars="200"/>
        <w:rPr>
          <w:rFonts w:hint="eastAsia"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油区废气主要为油气集输过程中产生的无组织废气，页岩油联合站和1号混输泵站的废气主要为燃气设施（主要为锅炉和热煤炉）燃烧烟气。</w:t>
      </w:r>
    </w:p>
    <w:p w14:paraId="5D11D65D">
      <w:pPr>
        <w:widowControl/>
        <w:adjustRightInd w:val="0"/>
        <w:snapToGrid w:val="0"/>
        <w:spacing w:line="500" w:lineRule="exact"/>
        <w:ind w:firstLine="480" w:firstLineChars="200"/>
        <w:rPr>
          <w:rFonts w:hint="eastAsia"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①无组织废气</w:t>
      </w:r>
    </w:p>
    <w:p w14:paraId="105989CD">
      <w:pPr>
        <w:widowControl/>
        <w:adjustRightInd w:val="0"/>
        <w:snapToGrid w:val="0"/>
        <w:spacing w:line="500" w:lineRule="exact"/>
        <w:ind w:firstLine="480" w:firstLineChars="200"/>
        <w:rPr>
          <w:rFonts w:hint="eastAsia"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井区（包括本次改造的12口生产井）内油气集输过程中大部分采用管线密闭集输工艺，页岩油联合站和1号混输泵站均采用密闭流程，井区和站场所用阀门、法兰等连接件均为质量合格的产品，日常加强设备检维修。根据《吉木萨尔凹陷芦草沟组油藏吉</w:t>
      </w:r>
      <w:r>
        <w:rPr>
          <w:rFonts w:ascii="宋体" w:hAnsi="宋体" w:cs="宋体"/>
          <w:color w:val="000000" w:themeColor="text1"/>
          <w:sz w:val="24"/>
          <w:szCs w:val="24"/>
          <w14:textFill>
            <w14:solidFill>
              <w14:schemeClr w14:val="tx1"/>
            </w14:solidFill>
          </w14:textFill>
        </w:rPr>
        <w:t>305</w:t>
      </w:r>
      <w:r>
        <w:rPr>
          <w:rFonts w:hint="eastAsia" w:ascii="宋体" w:hAnsi="宋体" w:cs="宋体"/>
          <w:color w:val="000000" w:themeColor="text1"/>
          <w:sz w:val="24"/>
          <w:szCs w:val="24"/>
          <w14:textFill>
            <w14:solidFill>
              <w14:schemeClr w14:val="tx1"/>
            </w14:solidFill>
          </w14:textFill>
        </w:rPr>
        <w:t>－吉</w:t>
      </w:r>
      <w:r>
        <w:rPr>
          <w:rFonts w:ascii="宋体" w:hAnsi="宋体" w:cs="宋体"/>
          <w:color w:val="000000" w:themeColor="text1"/>
          <w:sz w:val="24"/>
          <w:szCs w:val="24"/>
          <w14:textFill>
            <w14:solidFill>
              <w14:schemeClr w14:val="tx1"/>
            </w14:solidFill>
          </w14:textFill>
        </w:rPr>
        <w:t>17</w:t>
      </w:r>
      <w:r>
        <w:rPr>
          <w:rFonts w:hint="eastAsia" w:ascii="宋体" w:hAnsi="宋体" w:cs="宋体"/>
          <w:color w:val="000000" w:themeColor="text1"/>
          <w:sz w:val="24"/>
          <w:szCs w:val="24"/>
          <w14:textFill>
            <w14:solidFill>
              <w14:schemeClr w14:val="tx1"/>
            </w14:solidFill>
          </w14:textFill>
        </w:rPr>
        <w:t>－吉</w:t>
      </w:r>
      <w:r>
        <w:rPr>
          <w:rFonts w:ascii="宋体" w:hAnsi="宋体" w:cs="宋体"/>
          <w:color w:val="000000" w:themeColor="text1"/>
          <w:sz w:val="24"/>
          <w:szCs w:val="24"/>
          <w14:textFill>
            <w14:solidFill>
              <w14:schemeClr w14:val="tx1"/>
            </w14:solidFill>
          </w14:textFill>
        </w:rPr>
        <w:t>37</w:t>
      </w:r>
      <w:r>
        <w:rPr>
          <w:rFonts w:hint="eastAsia" w:ascii="宋体" w:hAnsi="宋体" w:cs="宋体"/>
          <w:color w:val="000000" w:themeColor="text1"/>
          <w:sz w:val="24"/>
          <w:szCs w:val="24"/>
          <w14:textFill>
            <w14:solidFill>
              <w14:schemeClr w14:val="tx1"/>
            </w14:solidFill>
          </w14:textFill>
        </w:rPr>
        <w:t>井区开发地面工程（第一批）竣工环境保护验收调查报告》（</w:t>
      </w:r>
      <w:r>
        <w:rPr>
          <w:rFonts w:ascii="宋体" w:hAnsi="宋体" w:cs="宋体"/>
          <w:color w:val="000000" w:themeColor="text1"/>
          <w:sz w:val="24"/>
          <w:szCs w:val="24"/>
          <w14:textFill>
            <w14:solidFill>
              <w14:schemeClr w14:val="tx1"/>
            </w14:solidFill>
          </w14:textFill>
        </w:rPr>
        <w:t>2021</w:t>
      </w:r>
      <w:r>
        <w:rPr>
          <w:rFonts w:hint="eastAsia" w:ascii="宋体" w:hAnsi="宋体" w:cs="宋体"/>
          <w:color w:val="000000" w:themeColor="text1"/>
          <w:sz w:val="24"/>
          <w:szCs w:val="24"/>
          <w14:textFill>
            <w14:solidFill>
              <w14:schemeClr w14:val="tx1"/>
            </w14:solidFill>
          </w14:textFill>
        </w:rPr>
        <w:t>年</w:t>
      </w:r>
      <w:r>
        <w:rPr>
          <w:rFonts w:ascii="宋体" w:hAnsi="宋体" w:cs="宋体"/>
          <w:color w:val="000000" w:themeColor="text1"/>
          <w:sz w:val="24"/>
          <w:szCs w:val="24"/>
          <w14:textFill>
            <w14:solidFill>
              <w14:schemeClr w14:val="tx1"/>
            </w14:solidFill>
          </w14:textFill>
        </w:rPr>
        <w:t>10</w:t>
      </w:r>
      <w:r>
        <w:rPr>
          <w:rFonts w:hint="eastAsia" w:ascii="宋体" w:hAnsi="宋体" w:cs="宋体"/>
          <w:color w:val="000000" w:themeColor="text1"/>
          <w:sz w:val="24"/>
          <w:szCs w:val="24"/>
          <w14:textFill>
            <w14:solidFill>
              <w14:schemeClr w14:val="tx1"/>
            </w14:solidFill>
          </w14:textFill>
        </w:rPr>
        <w:t>月）和</w:t>
      </w:r>
      <w:bookmarkStart w:id="209" w:name="OLE_LINK18"/>
      <w:r>
        <w:rPr>
          <w:rFonts w:hint="eastAsia" w:ascii="宋体" w:hAnsi="宋体" w:cs="宋体"/>
          <w:color w:val="000000" w:themeColor="text1"/>
          <w:sz w:val="24"/>
          <w:szCs w:val="24"/>
          <w14:textFill>
            <w14:solidFill>
              <w14:schemeClr w14:val="tx1"/>
            </w14:solidFill>
          </w14:textFill>
        </w:rPr>
        <w:t>吉庆油田作业区对页岩油联合站厂界无组织非甲烷总烃和硫化氢的例行监测数据（</w:t>
      </w:r>
      <w:r>
        <w:rPr>
          <w:rFonts w:ascii="宋体" w:hAnsi="宋体" w:cs="宋体"/>
          <w:color w:val="000000" w:themeColor="text1"/>
          <w:sz w:val="24"/>
          <w:szCs w:val="24"/>
          <w14:textFill>
            <w14:solidFill>
              <w14:schemeClr w14:val="tx1"/>
            </w14:solidFill>
          </w14:textFill>
        </w:rPr>
        <w:t>202</w:t>
      </w:r>
      <w:r>
        <w:rPr>
          <w:rFonts w:hint="eastAsia" w:ascii="宋体" w:hAnsi="宋体" w:cs="宋体"/>
          <w:color w:val="000000" w:themeColor="text1"/>
          <w:sz w:val="24"/>
          <w:szCs w:val="24"/>
          <w14:textFill>
            <w14:solidFill>
              <w14:schemeClr w14:val="tx1"/>
            </w14:solidFill>
          </w14:textFill>
        </w:rPr>
        <w:t>5年3月、2025年4月）可知，采油井场和页岩油联合站厂界非甲烷总烃满足《陆上石油天然气开采工业大气污染物排放标准》（GB39728—2020）企业边界污染物控制要求，硫化氢满足《恶臭污染物排放标准》（GB14554-93）表1二级新改扩建浓度限值要求。</w:t>
      </w:r>
    </w:p>
    <w:p w14:paraId="5608330C">
      <w:pPr>
        <w:pStyle w:val="191"/>
        <w:ind w:firstLine="0" w:firstLineChars="0"/>
        <w:jc w:val="center"/>
        <w:rPr>
          <w:rFonts w:hint="eastAsia" w:ascii="黑体" w:hAnsi="黑体" w:eastAsia="黑体" w:cs="宋体"/>
          <w:color w:val="000000" w:themeColor="text1"/>
          <w:spacing w:val="-4"/>
          <w:sz w:val="21"/>
          <w:szCs w:val="21"/>
          <w14:textFill>
            <w14:solidFill>
              <w14:schemeClr w14:val="tx1"/>
            </w14:solidFill>
          </w14:textFill>
        </w:rPr>
      </w:pPr>
      <w:r>
        <w:rPr>
          <w:rFonts w:hint="eastAsia" w:ascii="黑体" w:hAnsi="黑体" w:eastAsia="黑体" w:cs="宋体"/>
          <w:color w:val="000000" w:themeColor="text1"/>
          <w:spacing w:val="-4"/>
          <w:sz w:val="21"/>
          <w:szCs w:val="21"/>
          <w14:textFill>
            <w14:solidFill>
              <w14:schemeClr w14:val="tx1"/>
            </w14:solidFill>
          </w14:textFill>
        </w:rPr>
        <w:t>表3</w:t>
      </w:r>
      <w:r>
        <w:rPr>
          <w:rFonts w:ascii="黑体" w:hAnsi="黑体" w:eastAsia="黑体" w:cs="宋体"/>
          <w:color w:val="000000" w:themeColor="text1"/>
          <w:spacing w:val="-4"/>
          <w:sz w:val="21"/>
          <w:szCs w:val="21"/>
          <w14:textFill>
            <w14:solidFill>
              <w14:schemeClr w14:val="tx1"/>
            </w14:solidFill>
          </w14:textFill>
        </w:rPr>
        <w:t>.1</w:t>
      </w:r>
      <w:r>
        <w:rPr>
          <w:rFonts w:hint="eastAsia" w:ascii="黑体" w:hAnsi="黑体" w:eastAsia="黑体" w:cs="宋体"/>
          <w:color w:val="000000" w:themeColor="text1"/>
          <w:spacing w:val="-4"/>
          <w:sz w:val="21"/>
          <w:szCs w:val="21"/>
          <w14:textFill>
            <w14:solidFill>
              <w14:schemeClr w14:val="tx1"/>
            </w14:solidFill>
          </w14:textFill>
        </w:rPr>
        <w:t xml:space="preserve">-5 </w:t>
      </w:r>
      <w:r>
        <w:rPr>
          <w:rFonts w:ascii="黑体" w:hAnsi="黑体" w:eastAsia="黑体" w:cs="宋体"/>
          <w:color w:val="000000" w:themeColor="text1"/>
          <w:spacing w:val="-4"/>
          <w:sz w:val="21"/>
          <w:szCs w:val="21"/>
          <w14:textFill>
            <w14:solidFill>
              <w14:schemeClr w14:val="tx1"/>
            </w14:solidFill>
          </w14:textFill>
        </w:rPr>
        <w:t xml:space="preserve"> </w:t>
      </w:r>
      <w:r>
        <w:rPr>
          <w:rFonts w:hint="eastAsia" w:ascii="黑体" w:hAnsi="黑体" w:eastAsia="黑体" w:cs="宋体"/>
          <w:color w:val="000000" w:themeColor="text1"/>
          <w:spacing w:val="-4"/>
          <w:sz w:val="21"/>
          <w:szCs w:val="21"/>
          <w14:textFill>
            <w14:solidFill>
              <w14:schemeClr w14:val="tx1"/>
            </w14:solidFill>
          </w14:textFill>
        </w:rPr>
        <w:t>厂界无组织非甲烷总烃监测结果一览表（单位：m</w:t>
      </w:r>
      <w:r>
        <w:rPr>
          <w:rFonts w:ascii="黑体" w:hAnsi="黑体" w:eastAsia="黑体" w:cs="宋体"/>
          <w:color w:val="000000" w:themeColor="text1"/>
          <w:spacing w:val="-4"/>
          <w:sz w:val="21"/>
          <w:szCs w:val="21"/>
          <w14:textFill>
            <w14:solidFill>
              <w14:schemeClr w14:val="tx1"/>
            </w14:solidFill>
          </w14:textFill>
        </w:rPr>
        <w:t>g</w:t>
      </w:r>
      <w:r>
        <w:rPr>
          <w:rFonts w:hint="eastAsia" w:ascii="黑体" w:hAnsi="黑体" w:eastAsia="黑体" w:cs="宋体"/>
          <w:color w:val="000000" w:themeColor="text1"/>
          <w:spacing w:val="-4"/>
          <w:sz w:val="21"/>
          <w:szCs w:val="21"/>
          <w14:textFill>
            <w14:solidFill>
              <w14:schemeClr w14:val="tx1"/>
            </w14:solidFill>
          </w14:textFill>
        </w:rPr>
        <w:t>/</w:t>
      </w:r>
      <w:r>
        <w:rPr>
          <w:rFonts w:ascii="黑体" w:hAnsi="黑体" w:eastAsia="黑体" w:cs="宋体"/>
          <w:color w:val="000000" w:themeColor="text1"/>
          <w:spacing w:val="-4"/>
          <w:sz w:val="21"/>
          <w:szCs w:val="21"/>
          <w14:textFill>
            <w14:solidFill>
              <w14:schemeClr w14:val="tx1"/>
            </w14:solidFill>
          </w14:textFill>
        </w:rPr>
        <w:t>m</w:t>
      </w:r>
      <w:r>
        <w:rPr>
          <w:rFonts w:ascii="黑体" w:hAnsi="黑体" w:eastAsia="黑体" w:cs="宋体"/>
          <w:color w:val="000000" w:themeColor="text1"/>
          <w:spacing w:val="-4"/>
          <w:sz w:val="21"/>
          <w:szCs w:val="21"/>
          <w:vertAlign w:val="superscript"/>
          <w14:textFill>
            <w14:solidFill>
              <w14:schemeClr w14:val="tx1"/>
            </w14:solidFill>
          </w14:textFill>
        </w:rPr>
        <w:t>3</w:t>
      </w:r>
      <w:r>
        <w:rPr>
          <w:rFonts w:hint="eastAsia" w:ascii="黑体" w:hAnsi="黑体" w:eastAsia="黑体" w:cs="宋体"/>
          <w:color w:val="000000" w:themeColor="text1"/>
          <w:spacing w:val="-4"/>
          <w:sz w:val="21"/>
          <w:szCs w:val="21"/>
          <w14:textFill>
            <w14:solidFill>
              <w14:schemeClr w14:val="tx1"/>
            </w14:solidFill>
          </w14:textFill>
        </w:rPr>
        <w:t>）</w:t>
      </w:r>
    </w:p>
    <w:tbl>
      <w:tblPr>
        <w:tblStyle w:val="51"/>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14"/>
        <w:gridCol w:w="707"/>
        <w:gridCol w:w="1297"/>
        <w:gridCol w:w="1371"/>
        <w:gridCol w:w="1405"/>
        <w:gridCol w:w="1551"/>
        <w:gridCol w:w="1075"/>
        <w:gridCol w:w="726"/>
      </w:tblGrid>
      <w:tr w14:paraId="5D10E0A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55" w:type="pct"/>
            <w:vAlign w:val="center"/>
          </w:tcPr>
          <w:p w14:paraId="139B2855">
            <w:pPr>
              <w:adjustRightInd w:val="0"/>
              <w:snapToGrid w:val="0"/>
              <w:jc w:val="center"/>
              <w:rPr>
                <w:rFonts w:hint="eastAsia"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季度</w:t>
            </w:r>
          </w:p>
        </w:tc>
        <w:tc>
          <w:tcPr>
            <w:tcW w:w="395" w:type="pct"/>
            <w:vAlign w:val="center"/>
          </w:tcPr>
          <w:p w14:paraId="4266F79B">
            <w:pPr>
              <w:adjustRightInd w:val="0"/>
              <w:snapToGrid w:val="0"/>
              <w:jc w:val="center"/>
              <w:rPr>
                <w:rFonts w:hint="eastAsia" w:ascii="宋体" w:hAnsi="宋体"/>
                <w:color w:val="000000" w:themeColor="text1"/>
                <w:kern w:val="0"/>
                <w:szCs w:val="21"/>
                <w14:textFill>
                  <w14:solidFill>
                    <w14:schemeClr w14:val="tx1"/>
                  </w14:solidFill>
                </w14:textFill>
              </w:rPr>
            </w:pPr>
            <w:r>
              <w:rPr>
                <w:rFonts w:ascii="宋体" w:hAnsi="宋体"/>
                <w:color w:val="000000" w:themeColor="text1"/>
                <w:kern w:val="0"/>
                <w:szCs w:val="21"/>
                <w14:textFill>
                  <w14:solidFill>
                    <w14:schemeClr w14:val="tx1"/>
                  </w14:solidFill>
                </w14:textFill>
              </w:rPr>
              <w:t>站场</w:t>
            </w:r>
          </w:p>
          <w:p w14:paraId="0335CE07">
            <w:pPr>
              <w:adjustRightInd w:val="0"/>
              <w:snapToGrid w:val="0"/>
              <w:jc w:val="center"/>
              <w:rPr>
                <w:rFonts w:hint="eastAsia" w:ascii="宋体" w:hAnsi="宋体"/>
                <w:color w:val="000000" w:themeColor="text1"/>
                <w:kern w:val="0"/>
                <w:szCs w:val="21"/>
                <w14:textFill>
                  <w14:solidFill>
                    <w14:schemeClr w14:val="tx1"/>
                  </w14:solidFill>
                </w14:textFill>
              </w:rPr>
            </w:pPr>
            <w:r>
              <w:rPr>
                <w:rFonts w:ascii="宋体" w:hAnsi="宋体"/>
                <w:color w:val="000000" w:themeColor="text1"/>
                <w:kern w:val="0"/>
                <w:szCs w:val="21"/>
                <w14:textFill>
                  <w14:solidFill>
                    <w14:schemeClr w14:val="tx1"/>
                  </w14:solidFill>
                </w14:textFill>
              </w:rPr>
              <w:t>名称</w:t>
            </w:r>
          </w:p>
        </w:tc>
        <w:tc>
          <w:tcPr>
            <w:tcW w:w="725" w:type="pct"/>
            <w:vAlign w:val="center"/>
          </w:tcPr>
          <w:p w14:paraId="422D986B">
            <w:pPr>
              <w:adjustRightInd w:val="0"/>
              <w:snapToGrid w:val="0"/>
              <w:jc w:val="center"/>
              <w:rPr>
                <w:rFonts w:hint="eastAsia" w:ascii="宋体" w:hAnsi="宋体"/>
                <w:color w:val="000000" w:themeColor="text1"/>
                <w:kern w:val="0"/>
                <w:szCs w:val="21"/>
                <w14:textFill>
                  <w14:solidFill>
                    <w14:schemeClr w14:val="tx1"/>
                  </w14:solidFill>
                </w14:textFill>
              </w:rPr>
            </w:pPr>
            <w:r>
              <w:rPr>
                <w:rFonts w:ascii="宋体" w:hAnsi="宋体"/>
                <w:color w:val="000000" w:themeColor="text1"/>
                <w:kern w:val="0"/>
                <w:szCs w:val="21"/>
                <w14:textFill>
                  <w14:solidFill>
                    <w14:schemeClr w14:val="tx1"/>
                  </w14:solidFill>
                </w14:textFill>
              </w:rPr>
              <w:t>监测时间</w:t>
            </w:r>
          </w:p>
        </w:tc>
        <w:tc>
          <w:tcPr>
            <w:tcW w:w="766" w:type="pct"/>
            <w:vAlign w:val="center"/>
          </w:tcPr>
          <w:p w14:paraId="6A3D0B5A">
            <w:pPr>
              <w:adjustRightInd w:val="0"/>
              <w:snapToGrid w:val="0"/>
              <w:jc w:val="center"/>
              <w:rPr>
                <w:rFonts w:hint="eastAsia" w:ascii="宋体" w:hAnsi="宋体"/>
                <w:color w:val="000000" w:themeColor="text1"/>
                <w:kern w:val="0"/>
                <w:szCs w:val="21"/>
                <w14:textFill>
                  <w14:solidFill>
                    <w14:schemeClr w14:val="tx1"/>
                  </w14:solidFill>
                </w14:textFill>
              </w:rPr>
            </w:pPr>
            <w:r>
              <w:rPr>
                <w:rFonts w:ascii="宋体" w:hAnsi="宋体"/>
                <w:color w:val="000000" w:themeColor="text1"/>
                <w:kern w:val="0"/>
                <w:szCs w:val="21"/>
                <w14:textFill>
                  <w14:solidFill>
                    <w14:schemeClr w14:val="tx1"/>
                  </w14:solidFill>
                </w14:textFill>
              </w:rPr>
              <w:t>监测</w:t>
            </w:r>
          </w:p>
          <w:p w14:paraId="42E95B4E">
            <w:pPr>
              <w:adjustRightInd w:val="0"/>
              <w:snapToGrid w:val="0"/>
              <w:jc w:val="center"/>
              <w:rPr>
                <w:rFonts w:hint="eastAsia" w:ascii="宋体" w:hAnsi="宋体"/>
                <w:color w:val="000000" w:themeColor="text1"/>
                <w:kern w:val="0"/>
                <w:szCs w:val="21"/>
                <w14:textFill>
                  <w14:solidFill>
                    <w14:schemeClr w14:val="tx1"/>
                  </w14:solidFill>
                </w14:textFill>
              </w:rPr>
            </w:pPr>
            <w:r>
              <w:rPr>
                <w:rFonts w:ascii="宋体" w:hAnsi="宋体"/>
                <w:color w:val="000000" w:themeColor="text1"/>
                <w:kern w:val="0"/>
                <w:szCs w:val="21"/>
                <w14:textFill>
                  <w14:solidFill>
                    <w14:schemeClr w14:val="tx1"/>
                  </w14:solidFill>
                </w14:textFill>
              </w:rPr>
              <w:t>点位</w:t>
            </w:r>
          </w:p>
        </w:tc>
        <w:tc>
          <w:tcPr>
            <w:tcW w:w="785" w:type="pct"/>
            <w:vAlign w:val="center"/>
          </w:tcPr>
          <w:p w14:paraId="0D60907D">
            <w:pPr>
              <w:adjustRightInd w:val="0"/>
              <w:snapToGrid w:val="0"/>
              <w:jc w:val="center"/>
              <w:rPr>
                <w:rFonts w:hint="eastAsia" w:ascii="宋体" w:hAnsi="宋体"/>
                <w:color w:val="000000" w:themeColor="text1"/>
                <w:kern w:val="0"/>
                <w:szCs w:val="21"/>
                <w14:textFill>
                  <w14:solidFill>
                    <w14:schemeClr w14:val="tx1"/>
                  </w14:solidFill>
                </w14:textFill>
              </w:rPr>
            </w:pPr>
            <w:r>
              <w:rPr>
                <w:rFonts w:ascii="宋体" w:hAnsi="宋体"/>
                <w:color w:val="000000" w:themeColor="text1"/>
                <w:kern w:val="0"/>
                <w:szCs w:val="21"/>
                <w14:textFill>
                  <w14:solidFill>
                    <w14:schemeClr w14:val="tx1"/>
                  </w14:solidFill>
                </w14:textFill>
              </w:rPr>
              <w:t>污染物名称</w:t>
            </w:r>
          </w:p>
        </w:tc>
        <w:tc>
          <w:tcPr>
            <w:tcW w:w="867" w:type="pct"/>
            <w:vAlign w:val="center"/>
          </w:tcPr>
          <w:p w14:paraId="4C93B405">
            <w:pPr>
              <w:adjustRightInd w:val="0"/>
              <w:snapToGrid w:val="0"/>
              <w:jc w:val="center"/>
              <w:rPr>
                <w:rFonts w:hint="eastAsia" w:ascii="宋体" w:hAnsi="宋体"/>
                <w:color w:val="000000" w:themeColor="text1"/>
                <w:kern w:val="0"/>
                <w:szCs w:val="21"/>
                <w14:textFill>
                  <w14:solidFill>
                    <w14:schemeClr w14:val="tx1"/>
                  </w14:solidFill>
                </w14:textFill>
              </w:rPr>
            </w:pPr>
            <w:r>
              <w:rPr>
                <w:rFonts w:ascii="宋体" w:hAnsi="宋体"/>
                <w:color w:val="000000" w:themeColor="text1"/>
                <w:kern w:val="0"/>
                <w:szCs w:val="21"/>
                <w14:textFill>
                  <w14:solidFill>
                    <w14:schemeClr w14:val="tx1"/>
                  </w14:solidFill>
                </w14:textFill>
              </w:rPr>
              <w:t>监测值范围</w:t>
            </w:r>
          </w:p>
        </w:tc>
        <w:tc>
          <w:tcPr>
            <w:tcW w:w="601" w:type="pct"/>
            <w:vAlign w:val="center"/>
          </w:tcPr>
          <w:p w14:paraId="596E0EE3">
            <w:pPr>
              <w:adjustRightInd w:val="0"/>
              <w:snapToGrid w:val="0"/>
              <w:jc w:val="center"/>
              <w:rPr>
                <w:rFonts w:hint="eastAsia" w:ascii="宋体" w:hAnsi="宋体"/>
                <w:color w:val="000000" w:themeColor="text1"/>
                <w:kern w:val="0"/>
                <w:szCs w:val="21"/>
                <w14:textFill>
                  <w14:solidFill>
                    <w14:schemeClr w14:val="tx1"/>
                  </w14:solidFill>
                </w14:textFill>
              </w:rPr>
            </w:pPr>
            <w:r>
              <w:rPr>
                <w:rFonts w:ascii="宋体" w:hAnsi="宋体"/>
                <w:color w:val="000000" w:themeColor="text1"/>
                <w:kern w:val="0"/>
                <w:szCs w:val="21"/>
                <w14:textFill>
                  <w14:solidFill>
                    <w14:schemeClr w14:val="tx1"/>
                  </w14:solidFill>
                </w14:textFill>
              </w:rPr>
              <w:t>标准限值</w:t>
            </w:r>
          </w:p>
        </w:tc>
        <w:tc>
          <w:tcPr>
            <w:tcW w:w="406" w:type="pct"/>
            <w:vAlign w:val="center"/>
          </w:tcPr>
          <w:p w14:paraId="6E3E09F5">
            <w:pPr>
              <w:adjustRightInd w:val="0"/>
              <w:snapToGrid w:val="0"/>
              <w:jc w:val="center"/>
              <w:rPr>
                <w:rFonts w:hint="eastAsia" w:ascii="宋体" w:hAnsi="宋体"/>
                <w:color w:val="000000" w:themeColor="text1"/>
                <w:kern w:val="0"/>
                <w:szCs w:val="21"/>
                <w14:textFill>
                  <w14:solidFill>
                    <w14:schemeClr w14:val="tx1"/>
                  </w14:solidFill>
                </w14:textFill>
              </w:rPr>
            </w:pPr>
            <w:r>
              <w:rPr>
                <w:rFonts w:ascii="宋体" w:hAnsi="宋体"/>
                <w:color w:val="000000" w:themeColor="text1"/>
                <w:kern w:val="0"/>
                <w:szCs w:val="21"/>
                <w14:textFill>
                  <w14:solidFill>
                    <w14:schemeClr w14:val="tx1"/>
                  </w14:solidFill>
                </w14:textFill>
              </w:rPr>
              <w:t>达标情况</w:t>
            </w:r>
          </w:p>
        </w:tc>
      </w:tr>
      <w:tr w14:paraId="1002187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55" w:type="pct"/>
            <w:vMerge w:val="restart"/>
            <w:vAlign w:val="center"/>
          </w:tcPr>
          <w:p w14:paraId="6B867E97">
            <w:pPr>
              <w:adjustRightInd w:val="0"/>
              <w:snapToGrid w:val="0"/>
              <w:jc w:val="center"/>
              <w:rPr>
                <w:rFonts w:hint="eastAsia"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第一季度</w:t>
            </w:r>
          </w:p>
        </w:tc>
        <w:tc>
          <w:tcPr>
            <w:tcW w:w="395" w:type="pct"/>
            <w:vMerge w:val="restart"/>
            <w:vAlign w:val="center"/>
          </w:tcPr>
          <w:p w14:paraId="21B35B99">
            <w:pPr>
              <w:adjustRightInd w:val="0"/>
              <w:snapToGrid w:val="0"/>
              <w:jc w:val="center"/>
              <w:rPr>
                <w:rFonts w:hint="eastAsia" w:ascii="宋体" w:hAnsi="宋体"/>
                <w:color w:val="000000" w:themeColor="text1"/>
                <w:kern w:val="0"/>
                <w:szCs w:val="21"/>
                <w14:textFill>
                  <w14:solidFill>
                    <w14:schemeClr w14:val="tx1"/>
                  </w14:solidFill>
                </w14:textFill>
              </w:rPr>
            </w:pPr>
            <w:r>
              <w:rPr>
                <w:rFonts w:ascii="宋体" w:hAnsi="宋体"/>
                <w:color w:val="000000" w:themeColor="text1"/>
                <w:kern w:val="0"/>
                <w:szCs w:val="21"/>
                <w14:textFill>
                  <w14:solidFill>
                    <w14:schemeClr w14:val="tx1"/>
                  </w14:solidFill>
                </w14:textFill>
              </w:rPr>
              <w:t>页岩油联合站</w:t>
            </w:r>
          </w:p>
        </w:tc>
        <w:tc>
          <w:tcPr>
            <w:tcW w:w="725" w:type="pct"/>
            <w:vMerge w:val="restart"/>
            <w:vAlign w:val="center"/>
          </w:tcPr>
          <w:p w14:paraId="78CDB00E">
            <w:pPr>
              <w:adjustRightInd w:val="0"/>
              <w:snapToGrid w:val="0"/>
              <w:jc w:val="center"/>
              <w:rPr>
                <w:rFonts w:hint="eastAsia" w:ascii="宋体" w:hAnsi="宋体"/>
                <w:color w:val="000000" w:themeColor="text1"/>
                <w:kern w:val="0"/>
                <w:szCs w:val="21"/>
                <w14:textFill>
                  <w14:solidFill>
                    <w14:schemeClr w14:val="tx1"/>
                  </w14:solidFill>
                </w14:textFill>
              </w:rPr>
            </w:pPr>
            <w:r>
              <w:rPr>
                <w:rFonts w:ascii="宋体" w:hAnsi="宋体"/>
                <w:color w:val="000000" w:themeColor="text1"/>
                <w:kern w:val="0"/>
                <w:szCs w:val="21"/>
                <w14:textFill>
                  <w14:solidFill>
                    <w14:schemeClr w14:val="tx1"/>
                  </w14:solidFill>
                </w14:textFill>
              </w:rPr>
              <w:t>202</w:t>
            </w:r>
            <w:r>
              <w:rPr>
                <w:rFonts w:hint="eastAsia" w:ascii="宋体" w:hAnsi="宋体"/>
                <w:color w:val="000000" w:themeColor="text1"/>
                <w:kern w:val="0"/>
                <w:szCs w:val="21"/>
                <w14:textFill>
                  <w14:solidFill>
                    <w14:schemeClr w14:val="tx1"/>
                  </w14:solidFill>
                </w14:textFill>
              </w:rPr>
              <w:t>5.3.15</w:t>
            </w:r>
          </w:p>
        </w:tc>
        <w:tc>
          <w:tcPr>
            <w:tcW w:w="766" w:type="pct"/>
            <w:vAlign w:val="center"/>
          </w:tcPr>
          <w:p w14:paraId="05E80120">
            <w:pPr>
              <w:adjustRightInd w:val="0"/>
              <w:snapToGrid w:val="0"/>
              <w:jc w:val="center"/>
              <w:rPr>
                <w:rFonts w:hint="eastAsia" w:ascii="宋体" w:hAnsi="宋体"/>
                <w:color w:val="000000" w:themeColor="text1"/>
                <w:kern w:val="0"/>
                <w:szCs w:val="21"/>
                <w14:textFill>
                  <w14:solidFill>
                    <w14:schemeClr w14:val="tx1"/>
                  </w14:solidFill>
                </w14:textFill>
              </w:rPr>
            </w:pPr>
            <w:r>
              <w:rPr>
                <w:rFonts w:ascii="宋体" w:hAnsi="宋体"/>
                <w:color w:val="000000" w:themeColor="text1"/>
                <w:kern w:val="0"/>
                <w:szCs w:val="21"/>
                <w14:textFill>
                  <w14:solidFill>
                    <w14:schemeClr w14:val="tx1"/>
                  </w14:solidFill>
                </w14:textFill>
              </w:rPr>
              <w:t>上风向</w:t>
            </w:r>
          </w:p>
        </w:tc>
        <w:tc>
          <w:tcPr>
            <w:tcW w:w="785" w:type="pct"/>
            <w:vAlign w:val="center"/>
          </w:tcPr>
          <w:p w14:paraId="307FDBCD">
            <w:pPr>
              <w:adjustRightInd w:val="0"/>
              <w:snapToGrid w:val="0"/>
              <w:jc w:val="center"/>
              <w:rPr>
                <w:rFonts w:hint="eastAsia" w:ascii="宋体" w:hAnsi="宋体"/>
                <w:color w:val="000000" w:themeColor="text1"/>
                <w:kern w:val="0"/>
                <w:szCs w:val="21"/>
                <w14:textFill>
                  <w14:solidFill>
                    <w14:schemeClr w14:val="tx1"/>
                  </w14:solidFill>
                </w14:textFill>
              </w:rPr>
            </w:pPr>
            <w:r>
              <w:rPr>
                <w:rFonts w:ascii="宋体" w:hAnsi="宋体"/>
                <w:color w:val="000000" w:themeColor="text1"/>
                <w:kern w:val="0"/>
                <w:szCs w:val="21"/>
                <w14:textFill>
                  <w14:solidFill>
                    <w14:schemeClr w14:val="tx1"/>
                  </w14:solidFill>
                </w14:textFill>
              </w:rPr>
              <w:t>非甲烷总烃</w:t>
            </w:r>
          </w:p>
        </w:tc>
        <w:tc>
          <w:tcPr>
            <w:tcW w:w="867" w:type="pct"/>
            <w:vAlign w:val="center"/>
          </w:tcPr>
          <w:p w14:paraId="342023A3">
            <w:pPr>
              <w:adjustRightInd w:val="0"/>
              <w:snapToGrid w:val="0"/>
              <w:jc w:val="center"/>
              <w:rPr>
                <w:rFonts w:hint="eastAsia" w:ascii="宋体" w:hAnsi="宋体"/>
                <w:color w:val="000000" w:themeColor="text1"/>
                <w:kern w:val="0"/>
                <w:szCs w:val="21"/>
                <w14:textFill>
                  <w14:solidFill>
                    <w14:schemeClr w14:val="tx1"/>
                  </w14:solidFill>
                </w14:textFill>
              </w:rPr>
            </w:pPr>
            <w:r>
              <w:rPr>
                <w:rFonts w:ascii="宋体" w:hAnsi="宋体"/>
                <w:color w:val="000000" w:themeColor="text1"/>
                <w:kern w:val="0"/>
                <w:szCs w:val="21"/>
                <w14:textFill>
                  <w14:solidFill>
                    <w14:schemeClr w14:val="tx1"/>
                  </w14:solidFill>
                </w14:textFill>
              </w:rPr>
              <w:t>0.</w:t>
            </w:r>
            <w:r>
              <w:rPr>
                <w:rFonts w:hint="eastAsia" w:ascii="宋体" w:hAnsi="宋体"/>
                <w:color w:val="000000" w:themeColor="text1"/>
                <w:kern w:val="0"/>
                <w:szCs w:val="21"/>
                <w14:textFill>
                  <w14:solidFill>
                    <w14:schemeClr w14:val="tx1"/>
                  </w14:solidFill>
                </w14:textFill>
              </w:rPr>
              <w:t>74</w:t>
            </w:r>
            <w:r>
              <w:rPr>
                <w:rFonts w:ascii="宋体" w:hAnsi="宋体"/>
                <w:color w:val="000000" w:themeColor="text1"/>
                <w:kern w:val="0"/>
                <w:szCs w:val="21"/>
                <w14:textFill>
                  <w14:solidFill>
                    <w14:schemeClr w14:val="tx1"/>
                  </w14:solidFill>
                </w14:textFill>
              </w:rPr>
              <w:t>～0.</w:t>
            </w:r>
            <w:r>
              <w:rPr>
                <w:rFonts w:hint="eastAsia" w:ascii="宋体" w:hAnsi="宋体"/>
                <w:color w:val="000000" w:themeColor="text1"/>
                <w:kern w:val="0"/>
                <w:szCs w:val="21"/>
                <w14:textFill>
                  <w14:solidFill>
                    <w14:schemeClr w14:val="tx1"/>
                  </w14:solidFill>
                </w14:textFill>
              </w:rPr>
              <w:t>82</w:t>
            </w:r>
          </w:p>
        </w:tc>
        <w:tc>
          <w:tcPr>
            <w:tcW w:w="601" w:type="pct"/>
            <w:vAlign w:val="center"/>
          </w:tcPr>
          <w:p w14:paraId="5003E7B9">
            <w:pPr>
              <w:adjustRightInd w:val="0"/>
              <w:snapToGrid w:val="0"/>
              <w:jc w:val="center"/>
              <w:rPr>
                <w:rFonts w:hint="eastAsia" w:ascii="宋体" w:hAnsi="宋体"/>
                <w:color w:val="000000" w:themeColor="text1"/>
                <w:kern w:val="0"/>
                <w:szCs w:val="21"/>
                <w14:textFill>
                  <w14:solidFill>
                    <w14:schemeClr w14:val="tx1"/>
                  </w14:solidFill>
                </w14:textFill>
              </w:rPr>
            </w:pPr>
            <w:r>
              <w:rPr>
                <w:rFonts w:ascii="宋体" w:hAnsi="宋体"/>
                <w:color w:val="000000" w:themeColor="text1"/>
                <w:kern w:val="0"/>
                <w:szCs w:val="21"/>
                <w14:textFill>
                  <w14:solidFill>
                    <w14:schemeClr w14:val="tx1"/>
                  </w14:solidFill>
                </w14:textFill>
              </w:rPr>
              <w:t>4</w:t>
            </w:r>
          </w:p>
        </w:tc>
        <w:tc>
          <w:tcPr>
            <w:tcW w:w="406" w:type="pct"/>
            <w:vAlign w:val="center"/>
          </w:tcPr>
          <w:p w14:paraId="40DD974C">
            <w:pPr>
              <w:adjustRightInd w:val="0"/>
              <w:snapToGrid w:val="0"/>
              <w:jc w:val="center"/>
              <w:rPr>
                <w:rFonts w:hint="eastAsia" w:ascii="宋体" w:hAnsi="宋体"/>
                <w:color w:val="000000" w:themeColor="text1"/>
                <w:kern w:val="0"/>
                <w:szCs w:val="21"/>
                <w14:textFill>
                  <w14:solidFill>
                    <w14:schemeClr w14:val="tx1"/>
                  </w14:solidFill>
                </w14:textFill>
              </w:rPr>
            </w:pPr>
            <w:r>
              <w:rPr>
                <w:rFonts w:ascii="宋体" w:hAnsi="宋体"/>
                <w:color w:val="000000" w:themeColor="text1"/>
                <w:kern w:val="0"/>
                <w:szCs w:val="21"/>
                <w14:textFill>
                  <w14:solidFill>
                    <w14:schemeClr w14:val="tx1"/>
                  </w14:solidFill>
                </w14:textFill>
              </w:rPr>
              <w:t>达标</w:t>
            </w:r>
          </w:p>
        </w:tc>
      </w:tr>
      <w:tr w14:paraId="3BD98CE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55" w:type="pct"/>
            <w:vMerge w:val="continue"/>
            <w:vAlign w:val="center"/>
          </w:tcPr>
          <w:p w14:paraId="3B70C573">
            <w:pPr>
              <w:widowControl/>
              <w:jc w:val="center"/>
              <w:rPr>
                <w:rFonts w:hint="eastAsia" w:ascii="宋体" w:hAnsi="宋体"/>
                <w:color w:val="000000" w:themeColor="text1"/>
                <w:kern w:val="0"/>
                <w:szCs w:val="21"/>
                <w14:textFill>
                  <w14:solidFill>
                    <w14:schemeClr w14:val="tx1"/>
                  </w14:solidFill>
                </w14:textFill>
              </w:rPr>
            </w:pPr>
          </w:p>
        </w:tc>
        <w:tc>
          <w:tcPr>
            <w:tcW w:w="395" w:type="pct"/>
            <w:vMerge w:val="continue"/>
            <w:vAlign w:val="center"/>
          </w:tcPr>
          <w:p w14:paraId="7053A62A">
            <w:pPr>
              <w:widowControl/>
              <w:jc w:val="center"/>
              <w:rPr>
                <w:rFonts w:hint="eastAsia" w:ascii="宋体" w:hAnsi="宋体"/>
                <w:color w:val="000000" w:themeColor="text1"/>
                <w:kern w:val="0"/>
                <w:szCs w:val="21"/>
                <w14:textFill>
                  <w14:solidFill>
                    <w14:schemeClr w14:val="tx1"/>
                  </w14:solidFill>
                </w14:textFill>
              </w:rPr>
            </w:pPr>
          </w:p>
        </w:tc>
        <w:tc>
          <w:tcPr>
            <w:tcW w:w="725" w:type="pct"/>
            <w:vMerge w:val="continue"/>
            <w:vAlign w:val="center"/>
          </w:tcPr>
          <w:p w14:paraId="541A8DD8">
            <w:pPr>
              <w:widowControl/>
              <w:jc w:val="center"/>
              <w:rPr>
                <w:rFonts w:hint="eastAsia" w:ascii="宋体" w:hAnsi="宋体"/>
                <w:color w:val="000000" w:themeColor="text1"/>
                <w:kern w:val="0"/>
                <w:szCs w:val="21"/>
                <w14:textFill>
                  <w14:solidFill>
                    <w14:schemeClr w14:val="tx1"/>
                  </w14:solidFill>
                </w14:textFill>
              </w:rPr>
            </w:pPr>
          </w:p>
        </w:tc>
        <w:tc>
          <w:tcPr>
            <w:tcW w:w="766" w:type="pct"/>
            <w:vAlign w:val="center"/>
          </w:tcPr>
          <w:p w14:paraId="19C08996">
            <w:pPr>
              <w:adjustRightInd w:val="0"/>
              <w:snapToGrid w:val="0"/>
              <w:jc w:val="center"/>
              <w:rPr>
                <w:rFonts w:hint="eastAsia" w:ascii="宋体" w:hAnsi="宋体"/>
                <w:color w:val="000000" w:themeColor="text1"/>
                <w:kern w:val="0"/>
                <w:szCs w:val="21"/>
                <w14:textFill>
                  <w14:solidFill>
                    <w14:schemeClr w14:val="tx1"/>
                  </w14:solidFill>
                </w14:textFill>
              </w:rPr>
            </w:pPr>
            <w:r>
              <w:rPr>
                <w:rFonts w:ascii="宋体" w:hAnsi="宋体"/>
                <w:color w:val="000000" w:themeColor="text1"/>
                <w:kern w:val="0"/>
                <w:szCs w:val="21"/>
                <w14:textFill>
                  <w14:solidFill>
                    <w14:schemeClr w14:val="tx1"/>
                  </w14:solidFill>
                </w14:textFill>
              </w:rPr>
              <w:t>下风向</w:t>
            </w:r>
          </w:p>
        </w:tc>
        <w:tc>
          <w:tcPr>
            <w:tcW w:w="785" w:type="pct"/>
            <w:vAlign w:val="center"/>
          </w:tcPr>
          <w:p w14:paraId="0A6B0B79">
            <w:pPr>
              <w:adjustRightInd w:val="0"/>
              <w:snapToGrid w:val="0"/>
              <w:jc w:val="center"/>
              <w:rPr>
                <w:rFonts w:hint="eastAsia" w:ascii="宋体" w:hAnsi="宋体"/>
                <w:color w:val="000000" w:themeColor="text1"/>
                <w:kern w:val="0"/>
                <w:szCs w:val="21"/>
                <w14:textFill>
                  <w14:solidFill>
                    <w14:schemeClr w14:val="tx1"/>
                  </w14:solidFill>
                </w14:textFill>
              </w:rPr>
            </w:pPr>
            <w:r>
              <w:rPr>
                <w:rFonts w:ascii="宋体" w:hAnsi="宋体"/>
                <w:color w:val="000000" w:themeColor="text1"/>
                <w:kern w:val="0"/>
                <w:szCs w:val="21"/>
                <w14:textFill>
                  <w14:solidFill>
                    <w14:schemeClr w14:val="tx1"/>
                  </w14:solidFill>
                </w14:textFill>
              </w:rPr>
              <w:t>非甲烷总烃</w:t>
            </w:r>
          </w:p>
        </w:tc>
        <w:tc>
          <w:tcPr>
            <w:tcW w:w="867" w:type="pct"/>
            <w:vAlign w:val="center"/>
          </w:tcPr>
          <w:p w14:paraId="47A3DB7A">
            <w:pPr>
              <w:adjustRightInd w:val="0"/>
              <w:snapToGrid w:val="0"/>
              <w:jc w:val="center"/>
              <w:rPr>
                <w:rFonts w:hint="eastAsia"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1.28</w:t>
            </w:r>
            <w:r>
              <w:rPr>
                <w:rFonts w:ascii="宋体" w:hAnsi="宋体"/>
                <w:color w:val="000000" w:themeColor="text1"/>
                <w:kern w:val="0"/>
                <w:szCs w:val="21"/>
                <w14:textFill>
                  <w14:solidFill>
                    <w14:schemeClr w14:val="tx1"/>
                  </w14:solidFill>
                </w14:textFill>
              </w:rPr>
              <w:t>～</w:t>
            </w:r>
            <w:r>
              <w:rPr>
                <w:rFonts w:hint="eastAsia" w:ascii="宋体" w:hAnsi="宋体"/>
                <w:color w:val="000000" w:themeColor="text1"/>
                <w:kern w:val="0"/>
                <w:szCs w:val="21"/>
                <w14:textFill>
                  <w14:solidFill>
                    <w14:schemeClr w14:val="tx1"/>
                  </w14:solidFill>
                </w14:textFill>
              </w:rPr>
              <w:t>1.33</w:t>
            </w:r>
          </w:p>
        </w:tc>
        <w:tc>
          <w:tcPr>
            <w:tcW w:w="601" w:type="pct"/>
            <w:vAlign w:val="center"/>
          </w:tcPr>
          <w:p w14:paraId="7427ABD6">
            <w:pPr>
              <w:adjustRightInd w:val="0"/>
              <w:snapToGrid w:val="0"/>
              <w:jc w:val="center"/>
              <w:rPr>
                <w:rFonts w:hint="eastAsia" w:ascii="宋体" w:hAnsi="宋体"/>
                <w:color w:val="000000" w:themeColor="text1"/>
                <w:kern w:val="0"/>
                <w:szCs w:val="21"/>
                <w14:textFill>
                  <w14:solidFill>
                    <w14:schemeClr w14:val="tx1"/>
                  </w14:solidFill>
                </w14:textFill>
              </w:rPr>
            </w:pPr>
            <w:r>
              <w:rPr>
                <w:rFonts w:ascii="宋体" w:hAnsi="宋体"/>
                <w:color w:val="000000" w:themeColor="text1"/>
                <w:kern w:val="0"/>
                <w:szCs w:val="21"/>
                <w14:textFill>
                  <w14:solidFill>
                    <w14:schemeClr w14:val="tx1"/>
                  </w14:solidFill>
                </w14:textFill>
              </w:rPr>
              <w:t>4</w:t>
            </w:r>
          </w:p>
        </w:tc>
        <w:tc>
          <w:tcPr>
            <w:tcW w:w="406" w:type="pct"/>
            <w:vAlign w:val="center"/>
          </w:tcPr>
          <w:p w14:paraId="30F82CC0">
            <w:pPr>
              <w:adjustRightInd w:val="0"/>
              <w:snapToGrid w:val="0"/>
              <w:jc w:val="center"/>
              <w:rPr>
                <w:rFonts w:hint="eastAsia" w:ascii="宋体" w:hAnsi="宋体"/>
                <w:color w:val="000000" w:themeColor="text1"/>
                <w:kern w:val="0"/>
                <w:szCs w:val="21"/>
                <w14:textFill>
                  <w14:solidFill>
                    <w14:schemeClr w14:val="tx1"/>
                  </w14:solidFill>
                </w14:textFill>
              </w:rPr>
            </w:pPr>
            <w:r>
              <w:rPr>
                <w:rFonts w:ascii="宋体" w:hAnsi="宋体"/>
                <w:color w:val="000000" w:themeColor="text1"/>
                <w:kern w:val="0"/>
                <w:szCs w:val="21"/>
                <w14:textFill>
                  <w14:solidFill>
                    <w14:schemeClr w14:val="tx1"/>
                  </w14:solidFill>
                </w14:textFill>
              </w:rPr>
              <w:t>达标</w:t>
            </w:r>
          </w:p>
        </w:tc>
      </w:tr>
      <w:tr w14:paraId="2735684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55" w:type="pct"/>
            <w:vMerge w:val="continue"/>
            <w:vAlign w:val="center"/>
          </w:tcPr>
          <w:p w14:paraId="23FF5AE1">
            <w:pPr>
              <w:widowControl/>
              <w:jc w:val="center"/>
              <w:rPr>
                <w:rFonts w:hint="eastAsia" w:ascii="宋体" w:hAnsi="宋体"/>
                <w:color w:val="000000" w:themeColor="text1"/>
                <w:kern w:val="0"/>
                <w:szCs w:val="21"/>
                <w14:textFill>
                  <w14:solidFill>
                    <w14:schemeClr w14:val="tx1"/>
                  </w14:solidFill>
                </w14:textFill>
              </w:rPr>
            </w:pPr>
          </w:p>
        </w:tc>
        <w:tc>
          <w:tcPr>
            <w:tcW w:w="395" w:type="pct"/>
            <w:vMerge w:val="continue"/>
            <w:vAlign w:val="center"/>
          </w:tcPr>
          <w:p w14:paraId="164E1EDE">
            <w:pPr>
              <w:widowControl/>
              <w:jc w:val="center"/>
              <w:rPr>
                <w:rFonts w:hint="eastAsia" w:ascii="宋体" w:hAnsi="宋体"/>
                <w:color w:val="000000" w:themeColor="text1"/>
                <w:kern w:val="0"/>
                <w:szCs w:val="21"/>
                <w14:textFill>
                  <w14:solidFill>
                    <w14:schemeClr w14:val="tx1"/>
                  </w14:solidFill>
                </w14:textFill>
              </w:rPr>
            </w:pPr>
          </w:p>
        </w:tc>
        <w:tc>
          <w:tcPr>
            <w:tcW w:w="725" w:type="pct"/>
            <w:vMerge w:val="continue"/>
            <w:vAlign w:val="center"/>
          </w:tcPr>
          <w:p w14:paraId="4E02D5CE">
            <w:pPr>
              <w:widowControl/>
              <w:jc w:val="center"/>
              <w:rPr>
                <w:rFonts w:hint="eastAsia" w:ascii="宋体" w:hAnsi="宋体"/>
                <w:color w:val="000000" w:themeColor="text1"/>
                <w:kern w:val="0"/>
                <w:szCs w:val="21"/>
                <w14:textFill>
                  <w14:solidFill>
                    <w14:schemeClr w14:val="tx1"/>
                  </w14:solidFill>
                </w14:textFill>
              </w:rPr>
            </w:pPr>
          </w:p>
        </w:tc>
        <w:tc>
          <w:tcPr>
            <w:tcW w:w="766" w:type="pct"/>
            <w:vAlign w:val="center"/>
          </w:tcPr>
          <w:p w14:paraId="5DD131A7">
            <w:pPr>
              <w:adjustRightInd w:val="0"/>
              <w:snapToGrid w:val="0"/>
              <w:jc w:val="center"/>
              <w:rPr>
                <w:rFonts w:hint="eastAsia" w:ascii="宋体" w:hAnsi="宋体"/>
                <w:color w:val="000000" w:themeColor="text1"/>
                <w:kern w:val="0"/>
                <w:szCs w:val="21"/>
                <w14:textFill>
                  <w14:solidFill>
                    <w14:schemeClr w14:val="tx1"/>
                  </w14:solidFill>
                </w14:textFill>
              </w:rPr>
            </w:pPr>
            <w:r>
              <w:rPr>
                <w:rFonts w:ascii="宋体" w:hAnsi="宋体"/>
                <w:color w:val="000000" w:themeColor="text1"/>
                <w:kern w:val="0"/>
                <w:szCs w:val="21"/>
                <w14:textFill>
                  <w14:solidFill>
                    <w14:schemeClr w14:val="tx1"/>
                  </w14:solidFill>
                </w14:textFill>
              </w:rPr>
              <w:t>下风向</w:t>
            </w:r>
          </w:p>
        </w:tc>
        <w:tc>
          <w:tcPr>
            <w:tcW w:w="785" w:type="pct"/>
            <w:vAlign w:val="center"/>
          </w:tcPr>
          <w:p w14:paraId="3D6AAA23">
            <w:pPr>
              <w:adjustRightInd w:val="0"/>
              <w:snapToGrid w:val="0"/>
              <w:jc w:val="center"/>
              <w:rPr>
                <w:rFonts w:hint="eastAsia" w:ascii="宋体" w:hAnsi="宋体"/>
                <w:color w:val="000000" w:themeColor="text1"/>
                <w:kern w:val="0"/>
                <w:szCs w:val="21"/>
                <w14:textFill>
                  <w14:solidFill>
                    <w14:schemeClr w14:val="tx1"/>
                  </w14:solidFill>
                </w14:textFill>
              </w:rPr>
            </w:pPr>
            <w:r>
              <w:rPr>
                <w:rFonts w:ascii="宋体" w:hAnsi="宋体"/>
                <w:color w:val="000000" w:themeColor="text1"/>
                <w:kern w:val="0"/>
                <w:szCs w:val="21"/>
                <w14:textFill>
                  <w14:solidFill>
                    <w14:schemeClr w14:val="tx1"/>
                  </w14:solidFill>
                </w14:textFill>
              </w:rPr>
              <w:t>非甲烷总烃</w:t>
            </w:r>
          </w:p>
        </w:tc>
        <w:tc>
          <w:tcPr>
            <w:tcW w:w="867" w:type="pct"/>
            <w:vAlign w:val="center"/>
          </w:tcPr>
          <w:p w14:paraId="400DCBB8">
            <w:pPr>
              <w:adjustRightInd w:val="0"/>
              <w:snapToGrid w:val="0"/>
              <w:jc w:val="center"/>
              <w:rPr>
                <w:rFonts w:hint="eastAsia"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1.25</w:t>
            </w:r>
            <w:r>
              <w:rPr>
                <w:rFonts w:ascii="宋体" w:hAnsi="宋体"/>
                <w:color w:val="000000" w:themeColor="text1"/>
                <w:kern w:val="0"/>
                <w:szCs w:val="21"/>
                <w14:textFill>
                  <w14:solidFill>
                    <w14:schemeClr w14:val="tx1"/>
                  </w14:solidFill>
                </w14:textFill>
              </w:rPr>
              <w:t>～</w:t>
            </w:r>
            <w:r>
              <w:rPr>
                <w:rFonts w:hint="eastAsia" w:ascii="宋体" w:hAnsi="宋体"/>
                <w:color w:val="000000" w:themeColor="text1"/>
                <w:kern w:val="0"/>
                <w:szCs w:val="21"/>
                <w14:textFill>
                  <w14:solidFill>
                    <w14:schemeClr w14:val="tx1"/>
                  </w14:solidFill>
                </w14:textFill>
              </w:rPr>
              <w:t>1.28</w:t>
            </w:r>
          </w:p>
        </w:tc>
        <w:tc>
          <w:tcPr>
            <w:tcW w:w="601" w:type="pct"/>
            <w:vAlign w:val="center"/>
          </w:tcPr>
          <w:p w14:paraId="6C4D24DD">
            <w:pPr>
              <w:adjustRightInd w:val="0"/>
              <w:snapToGrid w:val="0"/>
              <w:jc w:val="center"/>
              <w:rPr>
                <w:rFonts w:hint="eastAsia" w:ascii="宋体" w:hAnsi="宋体"/>
                <w:color w:val="000000" w:themeColor="text1"/>
                <w:kern w:val="0"/>
                <w:szCs w:val="21"/>
                <w14:textFill>
                  <w14:solidFill>
                    <w14:schemeClr w14:val="tx1"/>
                  </w14:solidFill>
                </w14:textFill>
              </w:rPr>
            </w:pPr>
            <w:r>
              <w:rPr>
                <w:rFonts w:ascii="宋体" w:hAnsi="宋体"/>
                <w:color w:val="000000" w:themeColor="text1"/>
                <w:kern w:val="0"/>
                <w:szCs w:val="21"/>
                <w14:textFill>
                  <w14:solidFill>
                    <w14:schemeClr w14:val="tx1"/>
                  </w14:solidFill>
                </w14:textFill>
              </w:rPr>
              <w:t>4</w:t>
            </w:r>
          </w:p>
        </w:tc>
        <w:tc>
          <w:tcPr>
            <w:tcW w:w="406" w:type="pct"/>
            <w:vAlign w:val="center"/>
          </w:tcPr>
          <w:p w14:paraId="668C1603">
            <w:pPr>
              <w:adjustRightInd w:val="0"/>
              <w:snapToGrid w:val="0"/>
              <w:jc w:val="center"/>
              <w:rPr>
                <w:rFonts w:hint="eastAsia" w:ascii="宋体" w:hAnsi="宋体"/>
                <w:color w:val="000000" w:themeColor="text1"/>
                <w:kern w:val="0"/>
                <w:szCs w:val="21"/>
                <w14:textFill>
                  <w14:solidFill>
                    <w14:schemeClr w14:val="tx1"/>
                  </w14:solidFill>
                </w14:textFill>
              </w:rPr>
            </w:pPr>
            <w:r>
              <w:rPr>
                <w:rFonts w:ascii="宋体" w:hAnsi="宋体"/>
                <w:color w:val="000000" w:themeColor="text1"/>
                <w:kern w:val="0"/>
                <w:szCs w:val="21"/>
                <w14:textFill>
                  <w14:solidFill>
                    <w14:schemeClr w14:val="tx1"/>
                  </w14:solidFill>
                </w14:textFill>
              </w:rPr>
              <w:t>达标</w:t>
            </w:r>
          </w:p>
        </w:tc>
      </w:tr>
      <w:tr w14:paraId="48EC553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55" w:type="pct"/>
            <w:vMerge w:val="continue"/>
            <w:vAlign w:val="center"/>
          </w:tcPr>
          <w:p w14:paraId="46EF2B70">
            <w:pPr>
              <w:widowControl/>
              <w:jc w:val="center"/>
              <w:rPr>
                <w:rFonts w:hint="eastAsia" w:ascii="宋体" w:hAnsi="宋体"/>
                <w:color w:val="000000" w:themeColor="text1"/>
                <w:kern w:val="0"/>
                <w:szCs w:val="21"/>
                <w14:textFill>
                  <w14:solidFill>
                    <w14:schemeClr w14:val="tx1"/>
                  </w14:solidFill>
                </w14:textFill>
              </w:rPr>
            </w:pPr>
          </w:p>
        </w:tc>
        <w:tc>
          <w:tcPr>
            <w:tcW w:w="395" w:type="pct"/>
            <w:vMerge w:val="continue"/>
            <w:vAlign w:val="center"/>
          </w:tcPr>
          <w:p w14:paraId="60623CE1">
            <w:pPr>
              <w:widowControl/>
              <w:jc w:val="center"/>
              <w:rPr>
                <w:rFonts w:hint="eastAsia" w:ascii="宋体" w:hAnsi="宋体"/>
                <w:color w:val="000000" w:themeColor="text1"/>
                <w:kern w:val="0"/>
                <w:szCs w:val="21"/>
                <w14:textFill>
                  <w14:solidFill>
                    <w14:schemeClr w14:val="tx1"/>
                  </w14:solidFill>
                </w14:textFill>
              </w:rPr>
            </w:pPr>
          </w:p>
        </w:tc>
        <w:tc>
          <w:tcPr>
            <w:tcW w:w="725" w:type="pct"/>
            <w:vMerge w:val="continue"/>
            <w:vAlign w:val="center"/>
          </w:tcPr>
          <w:p w14:paraId="33C671BC">
            <w:pPr>
              <w:widowControl/>
              <w:jc w:val="center"/>
              <w:rPr>
                <w:rFonts w:hint="eastAsia" w:ascii="宋体" w:hAnsi="宋体"/>
                <w:color w:val="000000" w:themeColor="text1"/>
                <w:kern w:val="0"/>
                <w:szCs w:val="21"/>
                <w14:textFill>
                  <w14:solidFill>
                    <w14:schemeClr w14:val="tx1"/>
                  </w14:solidFill>
                </w14:textFill>
              </w:rPr>
            </w:pPr>
          </w:p>
        </w:tc>
        <w:tc>
          <w:tcPr>
            <w:tcW w:w="766" w:type="pct"/>
            <w:vAlign w:val="center"/>
          </w:tcPr>
          <w:p w14:paraId="5F0605A6">
            <w:pPr>
              <w:adjustRightInd w:val="0"/>
              <w:snapToGrid w:val="0"/>
              <w:jc w:val="center"/>
              <w:rPr>
                <w:rFonts w:hint="eastAsia" w:ascii="宋体" w:hAnsi="宋体"/>
                <w:color w:val="000000" w:themeColor="text1"/>
                <w:kern w:val="0"/>
                <w:szCs w:val="21"/>
                <w14:textFill>
                  <w14:solidFill>
                    <w14:schemeClr w14:val="tx1"/>
                  </w14:solidFill>
                </w14:textFill>
              </w:rPr>
            </w:pPr>
            <w:r>
              <w:rPr>
                <w:rFonts w:ascii="宋体" w:hAnsi="宋体"/>
                <w:color w:val="000000" w:themeColor="text1"/>
                <w:kern w:val="0"/>
                <w:szCs w:val="21"/>
                <w14:textFill>
                  <w14:solidFill>
                    <w14:schemeClr w14:val="tx1"/>
                  </w14:solidFill>
                </w14:textFill>
              </w:rPr>
              <w:t>下风向</w:t>
            </w:r>
          </w:p>
        </w:tc>
        <w:tc>
          <w:tcPr>
            <w:tcW w:w="785" w:type="pct"/>
            <w:vAlign w:val="center"/>
          </w:tcPr>
          <w:p w14:paraId="05138EAB">
            <w:pPr>
              <w:adjustRightInd w:val="0"/>
              <w:snapToGrid w:val="0"/>
              <w:jc w:val="center"/>
              <w:rPr>
                <w:rFonts w:hint="eastAsia" w:ascii="宋体" w:hAnsi="宋体"/>
                <w:color w:val="000000" w:themeColor="text1"/>
                <w:kern w:val="0"/>
                <w:szCs w:val="21"/>
                <w14:textFill>
                  <w14:solidFill>
                    <w14:schemeClr w14:val="tx1"/>
                  </w14:solidFill>
                </w14:textFill>
              </w:rPr>
            </w:pPr>
            <w:r>
              <w:rPr>
                <w:rFonts w:ascii="宋体" w:hAnsi="宋体"/>
                <w:color w:val="000000" w:themeColor="text1"/>
                <w:kern w:val="0"/>
                <w:szCs w:val="21"/>
                <w14:textFill>
                  <w14:solidFill>
                    <w14:schemeClr w14:val="tx1"/>
                  </w14:solidFill>
                </w14:textFill>
              </w:rPr>
              <w:t>非甲烷总烃</w:t>
            </w:r>
          </w:p>
        </w:tc>
        <w:tc>
          <w:tcPr>
            <w:tcW w:w="867" w:type="pct"/>
            <w:vAlign w:val="center"/>
          </w:tcPr>
          <w:p w14:paraId="5A54F609">
            <w:pPr>
              <w:adjustRightInd w:val="0"/>
              <w:snapToGrid w:val="0"/>
              <w:jc w:val="center"/>
              <w:rPr>
                <w:rFonts w:hint="eastAsia" w:ascii="宋体" w:hAnsi="宋体"/>
                <w:color w:val="000000" w:themeColor="text1"/>
                <w:kern w:val="0"/>
                <w:szCs w:val="21"/>
                <w14:textFill>
                  <w14:solidFill>
                    <w14:schemeClr w14:val="tx1"/>
                  </w14:solidFill>
                </w14:textFill>
              </w:rPr>
            </w:pPr>
            <w:r>
              <w:rPr>
                <w:rFonts w:ascii="宋体" w:hAnsi="宋体"/>
                <w:color w:val="000000" w:themeColor="text1"/>
                <w:kern w:val="0"/>
                <w:szCs w:val="21"/>
                <w14:textFill>
                  <w14:solidFill>
                    <w14:schemeClr w14:val="tx1"/>
                  </w14:solidFill>
                </w14:textFill>
              </w:rPr>
              <w:t>0.9</w:t>
            </w:r>
            <w:r>
              <w:rPr>
                <w:rFonts w:hint="eastAsia" w:ascii="宋体" w:hAnsi="宋体"/>
                <w:color w:val="000000" w:themeColor="text1"/>
                <w:kern w:val="0"/>
                <w:szCs w:val="21"/>
                <w14:textFill>
                  <w14:solidFill>
                    <w14:schemeClr w14:val="tx1"/>
                  </w14:solidFill>
                </w14:textFill>
              </w:rPr>
              <w:t>6</w:t>
            </w:r>
            <w:r>
              <w:rPr>
                <w:rFonts w:ascii="宋体" w:hAnsi="宋体"/>
                <w:color w:val="000000" w:themeColor="text1"/>
                <w:kern w:val="0"/>
                <w:szCs w:val="21"/>
                <w14:textFill>
                  <w14:solidFill>
                    <w14:schemeClr w14:val="tx1"/>
                  </w14:solidFill>
                </w14:textFill>
              </w:rPr>
              <w:t>～1.0</w:t>
            </w:r>
            <w:r>
              <w:rPr>
                <w:rFonts w:hint="eastAsia" w:ascii="宋体" w:hAnsi="宋体"/>
                <w:color w:val="000000" w:themeColor="text1"/>
                <w:kern w:val="0"/>
                <w:szCs w:val="21"/>
                <w14:textFill>
                  <w14:solidFill>
                    <w14:schemeClr w14:val="tx1"/>
                  </w14:solidFill>
                </w14:textFill>
              </w:rPr>
              <w:t>9</w:t>
            </w:r>
          </w:p>
        </w:tc>
        <w:tc>
          <w:tcPr>
            <w:tcW w:w="601" w:type="pct"/>
            <w:vAlign w:val="center"/>
          </w:tcPr>
          <w:p w14:paraId="086F8ECA">
            <w:pPr>
              <w:adjustRightInd w:val="0"/>
              <w:snapToGrid w:val="0"/>
              <w:jc w:val="center"/>
              <w:rPr>
                <w:rFonts w:hint="eastAsia" w:ascii="宋体" w:hAnsi="宋体"/>
                <w:color w:val="000000" w:themeColor="text1"/>
                <w:kern w:val="0"/>
                <w:szCs w:val="21"/>
                <w14:textFill>
                  <w14:solidFill>
                    <w14:schemeClr w14:val="tx1"/>
                  </w14:solidFill>
                </w14:textFill>
              </w:rPr>
            </w:pPr>
            <w:r>
              <w:rPr>
                <w:rFonts w:ascii="宋体" w:hAnsi="宋体"/>
                <w:color w:val="000000" w:themeColor="text1"/>
                <w:kern w:val="0"/>
                <w:szCs w:val="21"/>
                <w14:textFill>
                  <w14:solidFill>
                    <w14:schemeClr w14:val="tx1"/>
                  </w14:solidFill>
                </w14:textFill>
              </w:rPr>
              <w:t>4</w:t>
            </w:r>
          </w:p>
        </w:tc>
        <w:tc>
          <w:tcPr>
            <w:tcW w:w="406" w:type="pct"/>
            <w:vAlign w:val="center"/>
          </w:tcPr>
          <w:p w14:paraId="3AC594DA">
            <w:pPr>
              <w:adjustRightInd w:val="0"/>
              <w:snapToGrid w:val="0"/>
              <w:jc w:val="center"/>
              <w:rPr>
                <w:rFonts w:hint="eastAsia" w:ascii="宋体" w:hAnsi="宋体"/>
                <w:color w:val="000000" w:themeColor="text1"/>
                <w:kern w:val="0"/>
                <w:szCs w:val="21"/>
                <w14:textFill>
                  <w14:solidFill>
                    <w14:schemeClr w14:val="tx1"/>
                  </w14:solidFill>
                </w14:textFill>
              </w:rPr>
            </w:pPr>
            <w:r>
              <w:rPr>
                <w:rFonts w:ascii="宋体" w:hAnsi="宋体"/>
                <w:color w:val="000000" w:themeColor="text1"/>
                <w:kern w:val="0"/>
                <w:szCs w:val="21"/>
                <w14:textFill>
                  <w14:solidFill>
                    <w14:schemeClr w14:val="tx1"/>
                  </w14:solidFill>
                </w14:textFill>
              </w:rPr>
              <w:t>达标</w:t>
            </w:r>
          </w:p>
        </w:tc>
      </w:tr>
      <w:tr w14:paraId="1236D4C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55" w:type="pct"/>
            <w:vMerge w:val="continue"/>
            <w:vAlign w:val="center"/>
          </w:tcPr>
          <w:p w14:paraId="2D8F3ADD">
            <w:pPr>
              <w:widowControl/>
              <w:jc w:val="center"/>
              <w:rPr>
                <w:rFonts w:hint="eastAsia" w:ascii="宋体" w:hAnsi="宋体"/>
                <w:color w:val="000000" w:themeColor="text1"/>
                <w:kern w:val="0"/>
                <w:szCs w:val="21"/>
                <w14:textFill>
                  <w14:solidFill>
                    <w14:schemeClr w14:val="tx1"/>
                  </w14:solidFill>
                </w14:textFill>
              </w:rPr>
            </w:pPr>
          </w:p>
        </w:tc>
        <w:tc>
          <w:tcPr>
            <w:tcW w:w="395" w:type="pct"/>
            <w:vMerge w:val="continue"/>
            <w:vAlign w:val="center"/>
          </w:tcPr>
          <w:p w14:paraId="6AD1F61E">
            <w:pPr>
              <w:widowControl/>
              <w:jc w:val="center"/>
              <w:rPr>
                <w:rFonts w:hint="eastAsia" w:ascii="宋体" w:hAnsi="宋体"/>
                <w:color w:val="000000" w:themeColor="text1"/>
                <w:kern w:val="0"/>
                <w:szCs w:val="21"/>
                <w14:textFill>
                  <w14:solidFill>
                    <w14:schemeClr w14:val="tx1"/>
                  </w14:solidFill>
                </w14:textFill>
              </w:rPr>
            </w:pPr>
          </w:p>
        </w:tc>
        <w:tc>
          <w:tcPr>
            <w:tcW w:w="725" w:type="pct"/>
            <w:vMerge w:val="restart"/>
            <w:vAlign w:val="center"/>
          </w:tcPr>
          <w:p w14:paraId="13DBC1D4">
            <w:pPr>
              <w:adjustRightInd w:val="0"/>
              <w:snapToGrid w:val="0"/>
              <w:jc w:val="center"/>
              <w:rPr>
                <w:rFonts w:hint="eastAsia" w:ascii="宋体" w:hAnsi="宋体"/>
                <w:color w:val="000000" w:themeColor="text1"/>
                <w:kern w:val="0"/>
                <w:szCs w:val="21"/>
                <w14:textFill>
                  <w14:solidFill>
                    <w14:schemeClr w14:val="tx1"/>
                  </w14:solidFill>
                </w14:textFill>
              </w:rPr>
            </w:pPr>
            <w:r>
              <w:rPr>
                <w:rFonts w:ascii="宋体" w:hAnsi="宋体"/>
                <w:color w:val="000000" w:themeColor="text1"/>
                <w:kern w:val="0"/>
                <w:szCs w:val="21"/>
                <w14:textFill>
                  <w14:solidFill>
                    <w14:schemeClr w14:val="tx1"/>
                  </w14:solidFill>
                </w14:textFill>
              </w:rPr>
              <w:t>202</w:t>
            </w:r>
            <w:r>
              <w:rPr>
                <w:rFonts w:hint="eastAsia" w:ascii="宋体" w:hAnsi="宋体"/>
                <w:color w:val="000000" w:themeColor="text1"/>
                <w:kern w:val="0"/>
                <w:szCs w:val="21"/>
                <w14:textFill>
                  <w14:solidFill>
                    <w14:schemeClr w14:val="tx1"/>
                  </w14:solidFill>
                </w14:textFill>
              </w:rPr>
              <w:t>5.3.15</w:t>
            </w:r>
          </w:p>
        </w:tc>
        <w:tc>
          <w:tcPr>
            <w:tcW w:w="766" w:type="pct"/>
            <w:vAlign w:val="center"/>
          </w:tcPr>
          <w:p w14:paraId="70A7AF44">
            <w:pPr>
              <w:adjustRightInd w:val="0"/>
              <w:snapToGrid w:val="0"/>
              <w:jc w:val="center"/>
              <w:rPr>
                <w:rFonts w:hint="eastAsia" w:ascii="宋体" w:hAnsi="宋体"/>
                <w:color w:val="000000" w:themeColor="text1"/>
                <w:kern w:val="0"/>
                <w:szCs w:val="21"/>
                <w14:textFill>
                  <w14:solidFill>
                    <w14:schemeClr w14:val="tx1"/>
                  </w14:solidFill>
                </w14:textFill>
              </w:rPr>
            </w:pPr>
            <w:r>
              <w:rPr>
                <w:rFonts w:ascii="宋体" w:hAnsi="宋体"/>
                <w:color w:val="000000" w:themeColor="text1"/>
                <w:kern w:val="0"/>
                <w:szCs w:val="21"/>
                <w14:textFill>
                  <w14:solidFill>
                    <w14:schemeClr w14:val="tx1"/>
                  </w14:solidFill>
                </w14:textFill>
              </w:rPr>
              <w:t>上风向</w:t>
            </w:r>
          </w:p>
        </w:tc>
        <w:tc>
          <w:tcPr>
            <w:tcW w:w="785" w:type="pct"/>
            <w:vAlign w:val="center"/>
          </w:tcPr>
          <w:p w14:paraId="6BFBA7F4">
            <w:pPr>
              <w:adjustRightInd w:val="0"/>
              <w:snapToGrid w:val="0"/>
              <w:jc w:val="center"/>
              <w:rPr>
                <w:rFonts w:hint="eastAsia" w:ascii="宋体" w:hAnsi="宋体"/>
                <w:color w:val="000000" w:themeColor="text1"/>
                <w:kern w:val="0"/>
                <w:szCs w:val="21"/>
                <w14:textFill>
                  <w14:solidFill>
                    <w14:schemeClr w14:val="tx1"/>
                  </w14:solidFill>
                </w14:textFill>
              </w:rPr>
            </w:pPr>
            <w:r>
              <w:rPr>
                <w:rFonts w:ascii="宋体" w:hAnsi="宋体"/>
                <w:color w:val="000000" w:themeColor="text1"/>
                <w:kern w:val="0"/>
                <w:szCs w:val="21"/>
                <w14:textFill>
                  <w14:solidFill>
                    <w14:schemeClr w14:val="tx1"/>
                  </w14:solidFill>
                </w14:textFill>
              </w:rPr>
              <w:t>硫化氢</w:t>
            </w:r>
          </w:p>
        </w:tc>
        <w:tc>
          <w:tcPr>
            <w:tcW w:w="867" w:type="pct"/>
            <w:vAlign w:val="center"/>
          </w:tcPr>
          <w:p w14:paraId="30673D58">
            <w:pPr>
              <w:adjustRightInd w:val="0"/>
              <w:snapToGrid w:val="0"/>
              <w:jc w:val="center"/>
              <w:rPr>
                <w:rFonts w:hint="eastAsia" w:ascii="宋体" w:hAnsi="宋体"/>
                <w:color w:val="000000" w:themeColor="text1"/>
                <w:kern w:val="0"/>
                <w:szCs w:val="21"/>
                <w14:textFill>
                  <w14:solidFill>
                    <w14:schemeClr w14:val="tx1"/>
                  </w14:solidFill>
                </w14:textFill>
              </w:rPr>
            </w:pPr>
            <w:r>
              <w:rPr>
                <w:rFonts w:ascii="宋体" w:hAnsi="宋体"/>
                <w:color w:val="000000" w:themeColor="text1"/>
                <w:kern w:val="0"/>
                <w:szCs w:val="21"/>
                <w14:textFill>
                  <w14:solidFill>
                    <w14:schemeClr w14:val="tx1"/>
                  </w14:solidFill>
                </w14:textFill>
              </w:rPr>
              <w:t>＜0.2×10</w:t>
            </w:r>
            <w:r>
              <w:rPr>
                <w:rFonts w:ascii="宋体" w:hAnsi="宋体"/>
                <w:color w:val="000000" w:themeColor="text1"/>
                <w:kern w:val="0"/>
                <w:szCs w:val="21"/>
                <w:vertAlign w:val="superscript"/>
                <w14:textFill>
                  <w14:solidFill>
                    <w14:schemeClr w14:val="tx1"/>
                  </w14:solidFill>
                </w14:textFill>
              </w:rPr>
              <w:t>-3</w:t>
            </w:r>
          </w:p>
        </w:tc>
        <w:tc>
          <w:tcPr>
            <w:tcW w:w="601" w:type="pct"/>
            <w:vAlign w:val="center"/>
          </w:tcPr>
          <w:p w14:paraId="03A91CA2">
            <w:pPr>
              <w:adjustRightInd w:val="0"/>
              <w:snapToGrid w:val="0"/>
              <w:jc w:val="center"/>
              <w:rPr>
                <w:rFonts w:hint="eastAsia" w:ascii="宋体" w:hAnsi="宋体"/>
                <w:color w:val="000000" w:themeColor="text1"/>
                <w:kern w:val="0"/>
                <w:szCs w:val="21"/>
                <w14:textFill>
                  <w14:solidFill>
                    <w14:schemeClr w14:val="tx1"/>
                  </w14:solidFill>
                </w14:textFill>
              </w:rPr>
            </w:pPr>
            <w:r>
              <w:rPr>
                <w:rFonts w:ascii="宋体" w:hAnsi="宋体"/>
                <w:color w:val="000000" w:themeColor="text1"/>
                <w:kern w:val="0"/>
                <w:szCs w:val="21"/>
                <w14:textFill>
                  <w14:solidFill>
                    <w14:schemeClr w14:val="tx1"/>
                  </w14:solidFill>
                </w14:textFill>
              </w:rPr>
              <w:t>0.06</w:t>
            </w:r>
          </w:p>
        </w:tc>
        <w:tc>
          <w:tcPr>
            <w:tcW w:w="406" w:type="pct"/>
            <w:vAlign w:val="center"/>
          </w:tcPr>
          <w:p w14:paraId="09BC2728">
            <w:pPr>
              <w:adjustRightInd w:val="0"/>
              <w:snapToGrid w:val="0"/>
              <w:jc w:val="center"/>
              <w:rPr>
                <w:rFonts w:hint="eastAsia" w:ascii="宋体" w:hAnsi="宋体"/>
                <w:color w:val="000000" w:themeColor="text1"/>
                <w:kern w:val="0"/>
                <w:szCs w:val="21"/>
                <w14:textFill>
                  <w14:solidFill>
                    <w14:schemeClr w14:val="tx1"/>
                  </w14:solidFill>
                </w14:textFill>
              </w:rPr>
            </w:pPr>
            <w:r>
              <w:rPr>
                <w:rFonts w:ascii="宋体" w:hAnsi="宋体"/>
                <w:color w:val="000000" w:themeColor="text1"/>
                <w:kern w:val="0"/>
                <w:szCs w:val="21"/>
                <w14:textFill>
                  <w14:solidFill>
                    <w14:schemeClr w14:val="tx1"/>
                  </w14:solidFill>
                </w14:textFill>
              </w:rPr>
              <w:t>达标</w:t>
            </w:r>
          </w:p>
        </w:tc>
      </w:tr>
      <w:tr w14:paraId="7045925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55" w:type="pct"/>
            <w:vMerge w:val="continue"/>
            <w:vAlign w:val="center"/>
          </w:tcPr>
          <w:p w14:paraId="5C8D359F">
            <w:pPr>
              <w:widowControl/>
              <w:jc w:val="center"/>
              <w:rPr>
                <w:rFonts w:hint="eastAsia" w:ascii="宋体" w:hAnsi="宋体"/>
                <w:color w:val="000000" w:themeColor="text1"/>
                <w:kern w:val="0"/>
                <w:szCs w:val="21"/>
                <w14:textFill>
                  <w14:solidFill>
                    <w14:schemeClr w14:val="tx1"/>
                  </w14:solidFill>
                </w14:textFill>
              </w:rPr>
            </w:pPr>
          </w:p>
        </w:tc>
        <w:tc>
          <w:tcPr>
            <w:tcW w:w="395" w:type="pct"/>
            <w:vMerge w:val="continue"/>
            <w:vAlign w:val="center"/>
          </w:tcPr>
          <w:p w14:paraId="304F0D79">
            <w:pPr>
              <w:widowControl/>
              <w:jc w:val="center"/>
              <w:rPr>
                <w:rFonts w:hint="eastAsia" w:ascii="宋体" w:hAnsi="宋体"/>
                <w:color w:val="000000" w:themeColor="text1"/>
                <w:kern w:val="0"/>
                <w:szCs w:val="21"/>
                <w14:textFill>
                  <w14:solidFill>
                    <w14:schemeClr w14:val="tx1"/>
                  </w14:solidFill>
                </w14:textFill>
              </w:rPr>
            </w:pPr>
          </w:p>
        </w:tc>
        <w:tc>
          <w:tcPr>
            <w:tcW w:w="725" w:type="pct"/>
            <w:vMerge w:val="continue"/>
            <w:vAlign w:val="center"/>
          </w:tcPr>
          <w:p w14:paraId="63C4A655">
            <w:pPr>
              <w:widowControl/>
              <w:jc w:val="center"/>
              <w:rPr>
                <w:rFonts w:hint="eastAsia" w:ascii="宋体" w:hAnsi="宋体"/>
                <w:color w:val="000000" w:themeColor="text1"/>
                <w:kern w:val="0"/>
                <w:szCs w:val="21"/>
                <w14:textFill>
                  <w14:solidFill>
                    <w14:schemeClr w14:val="tx1"/>
                  </w14:solidFill>
                </w14:textFill>
              </w:rPr>
            </w:pPr>
          </w:p>
        </w:tc>
        <w:tc>
          <w:tcPr>
            <w:tcW w:w="766" w:type="pct"/>
            <w:vAlign w:val="center"/>
          </w:tcPr>
          <w:p w14:paraId="0A2E00BF">
            <w:pPr>
              <w:adjustRightInd w:val="0"/>
              <w:snapToGrid w:val="0"/>
              <w:jc w:val="center"/>
              <w:rPr>
                <w:rFonts w:hint="eastAsia" w:ascii="宋体" w:hAnsi="宋体"/>
                <w:color w:val="000000" w:themeColor="text1"/>
                <w:kern w:val="0"/>
                <w:szCs w:val="21"/>
                <w14:textFill>
                  <w14:solidFill>
                    <w14:schemeClr w14:val="tx1"/>
                  </w14:solidFill>
                </w14:textFill>
              </w:rPr>
            </w:pPr>
            <w:r>
              <w:rPr>
                <w:rFonts w:ascii="宋体" w:hAnsi="宋体"/>
                <w:color w:val="000000" w:themeColor="text1"/>
                <w:kern w:val="0"/>
                <w:szCs w:val="21"/>
                <w14:textFill>
                  <w14:solidFill>
                    <w14:schemeClr w14:val="tx1"/>
                  </w14:solidFill>
                </w14:textFill>
              </w:rPr>
              <w:t>下风向</w:t>
            </w:r>
          </w:p>
        </w:tc>
        <w:tc>
          <w:tcPr>
            <w:tcW w:w="785" w:type="pct"/>
            <w:vAlign w:val="center"/>
          </w:tcPr>
          <w:p w14:paraId="21DF4826">
            <w:pPr>
              <w:adjustRightInd w:val="0"/>
              <w:snapToGrid w:val="0"/>
              <w:jc w:val="center"/>
              <w:rPr>
                <w:rFonts w:hint="eastAsia" w:ascii="宋体" w:hAnsi="宋体"/>
                <w:color w:val="000000" w:themeColor="text1"/>
                <w:kern w:val="0"/>
                <w:szCs w:val="21"/>
                <w14:textFill>
                  <w14:solidFill>
                    <w14:schemeClr w14:val="tx1"/>
                  </w14:solidFill>
                </w14:textFill>
              </w:rPr>
            </w:pPr>
            <w:r>
              <w:rPr>
                <w:rFonts w:ascii="宋体" w:hAnsi="宋体"/>
                <w:color w:val="000000" w:themeColor="text1"/>
                <w:kern w:val="0"/>
                <w:szCs w:val="21"/>
                <w14:textFill>
                  <w14:solidFill>
                    <w14:schemeClr w14:val="tx1"/>
                  </w14:solidFill>
                </w14:textFill>
              </w:rPr>
              <w:t>硫化氢</w:t>
            </w:r>
          </w:p>
        </w:tc>
        <w:tc>
          <w:tcPr>
            <w:tcW w:w="867" w:type="pct"/>
            <w:vAlign w:val="center"/>
          </w:tcPr>
          <w:p w14:paraId="0DDFAC74">
            <w:pPr>
              <w:adjustRightInd w:val="0"/>
              <w:snapToGrid w:val="0"/>
              <w:jc w:val="center"/>
              <w:rPr>
                <w:rFonts w:hint="eastAsia" w:ascii="宋体" w:hAnsi="宋体"/>
                <w:color w:val="000000" w:themeColor="text1"/>
                <w:kern w:val="0"/>
                <w:szCs w:val="21"/>
                <w14:textFill>
                  <w14:solidFill>
                    <w14:schemeClr w14:val="tx1"/>
                  </w14:solidFill>
                </w14:textFill>
              </w:rPr>
            </w:pPr>
            <w:r>
              <w:rPr>
                <w:rFonts w:ascii="宋体" w:hAnsi="宋体"/>
                <w:color w:val="000000" w:themeColor="text1"/>
                <w:kern w:val="0"/>
                <w:szCs w:val="21"/>
                <w14:textFill>
                  <w14:solidFill>
                    <w14:schemeClr w14:val="tx1"/>
                  </w14:solidFill>
                </w14:textFill>
              </w:rPr>
              <w:t>＜0.2×10</w:t>
            </w:r>
            <w:r>
              <w:rPr>
                <w:rFonts w:ascii="宋体" w:hAnsi="宋体"/>
                <w:color w:val="000000" w:themeColor="text1"/>
                <w:kern w:val="0"/>
                <w:szCs w:val="21"/>
                <w:vertAlign w:val="superscript"/>
                <w14:textFill>
                  <w14:solidFill>
                    <w14:schemeClr w14:val="tx1"/>
                  </w14:solidFill>
                </w14:textFill>
              </w:rPr>
              <w:t>-3</w:t>
            </w:r>
          </w:p>
        </w:tc>
        <w:tc>
          <w:tcPr>
            <w:tcW w:w="601" w:type="pct"/>
            <w:vAlign w:val="center"/>
          </w:tcPr>
          <w:p w14:paraId="58E79F07">
            <w:pPr>
              <w:adjustRightInd w:val="0"/>
              <w:snapToGrid w:val="0"/>
              <w:jc w:val="center"/>
              <w:rPr>
                <w:rFonts w:hint="eastAsia" w:ascii="宋体" w:hAnsi="宋体"/>
                <w:color w:val="000000" w:themeColor="text1"/>
                <w:kern w:val="0"/>
                <w:szCs w:val="21"/>
                <w14:textFill>
                  <w14:solidFill>
                    <w14:schemeClr w14:val="tx1"/>
                  </w14:solidFill>
                </w14:textFill>
              </w:rPr>
            </w:pPr>
            <w:r>
              <w:rPr>
                <w:rFonts w:ascii="宋体" w:hAnsi="宋体"/>
                <w:color w:val="000000" w:themeColor="text1"/>
                <w:kern w:val="0"/>
                <w:szCs w:val="21"/>
                <w14:textFill>
                  <w14:solidFill>
                    <w14:schemeClr w14:val="tx1"/>
                  </w14:solidFill>
                </w14:textFill>
              </w:rPr>
              <w:t>0.06</w:t>
            </w:r>
          </w:p>
        </w:tc>
        <w:tc>
          <w:tcPr>
            <w:tcW w:w="406" w:type="pct"/>
            <w:vAlign w:val="center"/>
          </w:tcPr>
          <w:p w14:paraId="48CCB4EC">
            <w:pPr>
              <w:adjustRightInd w:val="0"/>
              <w:snapToGrid w:val="0"/>
              <w:jc w:val="center"/>
              <w:rPr>
                <w:rFonts w:hint="eastAsia" w:ascii="宋体" w:hAnsi="宋体"/>
                <w:color w:val="000000" w:themeColor="text1"/>
                <w:kern w:val="0"/>
                <w:szCs w:val="21"/>
                <w14:textFill>
                  <w14:solidFill>
                    <w14:schemeClr w14:val="tx1"/>
                  </w14:solidFill>
                </w14:textFill>
              </w:rPr>
            </w:pPr>
            <w:r>
              <w:rPr>
                <w:rFonts w:ascii="宋体" w:hAnsi="宋体"/>
                <w:color w:val="000000" w:themeColor="text1"/>
                <w:kern w:val="0"/>
                <w:szCs w:val="21"/>
                <w14:textFill>
                  <w14:solidFill>
                    <w14:schemeClr w14:val="tx1"/>
                  </w14:solidFill>
                </w14:textFill>
              </w:rPr>
              <w:t>达标</w:t>
            </w:r>
          </w:p>
        </w:tc>
      </w:tr>
      <w:tr w14:paraId="0420D94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55" w:type="pct"/>
            <w:vMerge w:val="continue"/>
            <w:vAlign w:val="center"/>
          </w:tcPr>
          <w:p w14:paraId="380C97FB">
            <w:pPr>
              <w:widowControl/>
              <w:jc w:val="center"/>
              <w:rPr>
                <w:rFonts w:hint="eastAsia" w:ascii="宋体" w:hAnsi="宋体"/>
                <w:color w:val="000000" w:themeColor="text1"/>
                <w:kern w:val="0"/>
                <w:szCs w:val="21"/>
                <w14:textFill>
                  <w14:solidFill>
                    <w14:schemeClr w14:val="tx1"/>
                  </w14:solidFill>
                </w14:textFill>
              </w:rPr>
            </w:pPr>
          </w:p>
        </w:tc>
        <w:tc>
          <w:tcPr>
            <w:tcW w:w="395" w:type="pct"/>
            <w:vMerge w:val="continue"/>
            <w:vAlign w:val="center"/>
          </w:tcPr>
          <w:p w14:paraId="562F59D0">
            <w:pPr>
              <w:widowControl/>
              <w:jc w:val="center"/>
              <w:rPr>
                <w:rFonts w:hint="eastAsia" w:ascii="宋体" w:hAnsi="宋体"/>
                <w:color w:val="000000" w:themeColor="text1"/>
                <w:kern w:val="0"/>
                <w:szCs w:val="21"/>
                <w14:textFill>
                  <w14:solidFill>
                    <w14:schemeClr w14:val="tx1"/>
                  </w14:solidFill>
                </w14:textFill>
              </w:rPr>
            </w:pPr>
          </w:p>
        </w:tc>
        <w:tc>
          <w:tcPr>
            <w:tcW w:w="725" w:type="pct"/>
            <w:vMerge w:val="continue"/>
            <w:vAlign w:val="center"/>
          </w:tcPr>
          <w:p w14:paraId="71957466">
            <w:pPr>
              <w:widowControl/>
              <w:jc w:val="center"/>
              <w:rPr>
                <w:rFonts w:hint="eastAsia" w:ascii="宋体" w:hAnsi="宋体"/>
                <w:color w:val="000000" w:themeColor="text1"/>
                <w:kern w:val="0"/>
                <w:szCs w:val="21"/>
                <w14:textFill>
                  <w14:solidFill>
                    <w14:schemeClr w14:val="tx1"/>
                  </w14:solidFill>
                </w14:textFill>
              </w:rPr>
            </w:pPr>
          </w:p>
        </w:tc>
        <w:tc>
          <w:tcPr>
            <w:tcW w:w="766" w:type="pct"/>
            <w:vAlign w:val="center"/>
          </w:tcPr>
          <w:p w14:paraId="0D9F6638">
            <w:pPr>
              <w:adjustRightInd w:val="0"/>
              <w:snapToGrid w:val="0"/>
              <w:jc w:val="center"/>
              <w:rPr>
                <w:rFonts w:hint="eastAsia" w:ascii="宋体" w:hAnsi="宋体"/>
                <w:color w:val="000000" w:themeColor="text1"/>
                <w:kern w:val="0"/>
                <w:szCs w:val="21"/>
                <w14:textFill>
                  <w14:solidFill>
                    <w14:schemeClr w14:val="tx1"/>
                  </w14:solidFill>
                </w14:textFill>
              </w:rPr>
            </w:pPr>
            <w:r>
              <w:rPr>
                <w:rFonts w:ascii="宋体" w:hAnsi="宋体"/>
                <w:color w:val="000000" w:themeColor="text1"/>
                <w:kern w:val="0"/>
                <w:szCs w:val="21"/>
                <w14:textFill>
                  <w14:solidFill>
                    <w14:schemeClr w14:val="tx1"/>
                  </w14:solidFill>
                </w14:textFill>
              </w:rPr>
              <w:t>下风向</w:t>
            </w:r>
          </w:p>
        </w:tc>
        <w:tc>
          <w:tcPr>
            <w:tcW w:w="785" w:type="pct"/>
            <w:vAlign w:val="center"/>
          </w:tcPr>
          <w:p w14:paraId="37211AE1">
            <w:pPr>
              <w:adjustRightInd w:val="0"/>
              <w:snapToGrid w:val="0"/>
              <w:jc w:val="center"/>
              <w:rPr>
                <w:rFonts w:hint="eastAsia" w:ascii="宋体" w:hAnsi="宋体"/>
                <w:color w:val="000000" w:themeColor="text1"/>
                <w:kern w:val="0"/>
                <w:szCs w:val="21"/>
                <w14:textFill>
                  <w14:solidFill>
                    <w14:schemeClr w14:val="tx1"/>
                  </w14:solidFill>
                </w14:textFill>
              </w:rPr>
            </w:pPr>
            <w:r>
              <w:rPr>
                <w:rFonts w:ascii="宋体" w:hAnsi="宋体"/>
                <w:color w:val="000000" w:themeColor="text1"/>
                <w:kern w:val="0"/>
                <w:szCs w:val="21"/>
                <w14:textFill>
                  <w14:solidFill>
                    <w14:schemeClr w14:val="tx1"/>
                  </w14:solidFill>
                </w14:textFill>
              </w:rPr>
              <w:t>硫化氢</w:t>
            </w:r>
          </w:p>
        </w:tc>
        <w:tc>
          <w:tcPr>
            <w:tcW w:w="867" w:type="pct"/>
            <w:vAlign w:val="center"/>
          </w:tcPr>
          <w:p w14:paraId="0C110DD9">
            <w:pPr>
              <w:adjustRightInd w:val="0"/>
              <w:snapToGrid w:val="0"/>
              <w:jc w:val="center"/>
              <w:rPr>
                <w:rFonts w:hint="eastAsia" w:ascii="宋体" w:hAnsi="宋体"/>
                <w:color w:val="000000" w:themeColor="text1"/>
                <w:kern w:val="0"/>
                <w:szCs w:val="21"/>
                <w14:textFill>
                  <w14:solidFill>
                    <w14:schemeClr w14:val="tx1"/>
                  </w14:solidFill>
                </w14:textFill>
              </w:rPr>
            </w:pPr>
            <w:r>
              <w:rPr>
                <w:rFonts w:ascii="宋体" w:hAnsi="宋体"/>
                <w:color w:val="000000" w:themeColor="text1"/>
                <w:kern w:val="0"/>
                <w:szCs w:val="21"/>
                <w14:textFill>
                  <w14:solidFill>
                    <w14:schemeClr w14:val="tx1"/>
                  </w14:solidFill>
                </w14:textFill>
              </w:rPr>
              <w:t>＜0.2×10</w:t>
            </w:r>
            <w:r>
              <w:rPr>
                <w:rFonts w:ascii="宋体" w:hAnsi="宋体"/>
                <w:color w:val="000000" w:themeColor="text1"/>
                <w:kern w:val="0"/>
                <w:szCs w:val="21"/>
                <w:vertAlign w:val="superscript"/>
                <w14:textFill>
                  <w14:solidFill>
                    <w14:schemeClr w14:val="tx1"/>
                  </w14:solidFill>
                </w14:textFill>
              </w:rPr>
              <w:t>-3</w:t>
            </w:r>
          </w:p>
        </w:tc>
        <w:tc>
          <w:tcPr>
            <w:tcW w:w="601" w:type="pct"/>
            <w:vAlign w:val="center"/>
          </w:tcPr>
          <w:p w14:paraId="054CE4B9">
            <w:pPr>
              <w:adjustRightInd w:val="0"/>
              <w:snapToGrid w:val="0"/>
              <w:jc w:val="center"/>
              <w:rPr>
                <w:rFonts w:hint="eastAsia" w:ascii="宋体" w:hAnsi="宋体"/>
                <w:color w:val="000000" w:themeColor="text1"/>
                <w:kern w:val="0"/>
                <w:szCs w:val="21"/>
                <w14:textFill>
                  <w14:solidFill>
                    <w14:schemeClr w14:val="tx1"/>
                  </w14:solidFill>
                </w14:textFill>
              </w:rPr>
            </w:pPr>
            <w:r>
              <w:rPr>
                <w:rFonts w:ascii="宋体" w:hAnsi="宋体"/>
                <w:color w:val="000000" w:themeColor="text1"/>
                <w:kern w:val="0"/>
                <w:szCs w:val="21"/>
                <w14:textFill>
                  <w14:solidFill>
                    <w14:schemeClr w14:val="tx1"/>
                  </w14:solidFill>
                </w14:textFill>
              </w:rPr>
              <w:t>0.06</w:t>
            </w:r>
          </w:p>
        </w:tc>
        <w:tc>
          <w:tcPr>
            <w:tcW w:w="406" w:type="pct"/>
            <w:vAlign w:val="center"/>
          </w:tcPr>
          <w:p w14:paraId="71EF4B18">
            <w:pPr>
              <w:adjustRightInd w:val="0"/>
              <w:snapToGrid w:val="0"/>
              <w:jc w:val="center"/>
              <w:rPr>
                <w:rFonts w:hint="eastAsia" w:ascii="宋体" w:hAnsi="宋体"/>
                <w:color w:val="000000" w:themeColor="text1"/>
                <w:kern w:val="0"/>
                <w:szCs w:val="21"/>
                <w14:textFill>
                  <w14:solidFill>
                    <w14:schemeClr w14:val="tx1"/>
                  </w14:solidFill>
                </w14:textFill>
              </w:rPr>
            </w:pPr>
            <w:r>
              <w:rPr>
                <w:rFonts w:ascii="宋体" w:hAnsi="宋体"/>
                <w:color w:val="000000" w:themeColor="text1"/>
                <w:kern w:val="0"/>
                <w:szCs w:val="21"/>
                <w14:textFill>
                  <w14:solidFill>
                    <w14:schemeClr w14:val="tx1"/>
                  </w14:solidFill>
                </w14:textFill>
              </w:rPr>
              <w:t>达标</w:t>
            </w:r>
          </w:p>
        </w:tc>
      </w:tr>
      <w:tr w14:paraId="1454092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55" w:type="pct"/>
            <w:vMerge w:val="continue"/>
            <w:vAlign w:val="center"/>
          </w:tcPr>
          <w:p w14:paraId="7B3C0826">
            <w:pPr>
              <w:widowControl/>
              <w:jc w:val="center"/>
              <w:rPr>
                <w:rFonts w:hint="eastAsia" w:ascii="宋体" w:hAnsi="宋体"/>
                <w:color w:val="000000" w:themeColor="text1"/>
                <w:kern w:val="0"/>
                <w:szCs w:val="21"/>
                <w14:textFill>
                  <w14:solidFill>
                    <w14:schemeClr w14:val="tx1"/>
                  </w14:solidFill>
                </w14:textFill>
              </w:rPr>
            </w:pPr>
          </w:p>
        </w:tc>
        <w:tc>
          <w:tcPr>
            <w:tcW w:w="395" w:type="pct"/>
            <w:vMerge w:val="continue"/>
            <w:vAlign w:val="center"/>
          </w:tcPr>
          <w:p w14:paraId="4911A313">
            <w:pPr>
              <w:widowControl/>
              <w:jc w:val="center"/>
              <w:rPr>
                <w:rFonts w:hint="eastAsia" w:ascii="宋体" w:hAnsi="宋体"/>
                <w:color w:val="000000" w:themeColor="text1"/>
                <w:kern w:val="0"/>
                <w:szCs w:val="21"/>
                <w14:textFill>
                  <w14:solidFill>
                    <w14:schemeClr w14:val="tx1"/>
                  </w14:solidFill>
                </w14:textFill>
              </w:rPr>
            </w:pPr>
          </w:p>
        </w:tc>
        <w:tc>
          <w:tcPr>
            <w:tcW w:w="725" w:type="pct"/>
            <w:vMerge w:val="continue"/>
            <w:vAlign w:val="center"/>
          </w:tcPr>
          <w:p w14:paraId="44A9E0C0">
            <w:pPr>
              <w:widowControl/>
              <w:jc w:val="center"/>
              <w:rPr>
                <w:rFonts w:hint="eastAsia" w:ascii="宋体" w:hAnsi="宋体"/>
                <w:color w:val="000000" w:themeColor="text1"/>
                <w:kern w:val="0"/>
                <w:szCs w:val="21"/>
                <w14:textFill>
                  <w14:solidFill>
                    <w14:schemeClr w14:val="tx1"/>
                  </w14:solidFill>
                </w14:textFill>
              </w:rPr>
            </w:pPr>
          </w:p>
        </w:tc>
        <w:tc>
          <w:tcPr>
            <w:tcW w:w="766" w:type="pct"/>
            <w:vAlign w:val="center"/>
          </w:tcPr>
          <w:p w14:paraId="441FFF37">
            <w:pPr>
              <w:adjustRightInd w:val="0"/>
              <w:snapToGrid w:val="0"/>
              <w:jc w:val="center"/>
              <w:rPr>
                <w:rFonts w:hint="eastAsia" w:ascii="宋体" w:hAnsi="宋体"/>
                <w:color w:val="000000" w:themeColor="text1"/>
                <w:kern w:val="0"/>
                <w:szCs w:val="21"/>
                <w14:textFill>
                  <w14:solidFill>
                    <w14:schemeClr w14:val="tx1"/>
                  </w14:solidFill>
                </w14:textFill>
              </w:rPr>
            </w:pPr>
            <w:r>
              <w:rPr>
                <w:rFonts w:ascii="宋体" w:hAnsi="宋体"/>
                <w:color w:val="000000" w:themeColor="text1"/>
                <w:kern w:val="0"/>
                <w:szCs w:val="21"/>
                <w14:textFill>
                  <w14:solidFill>
                    <w14:schemeClr w14:val="tx1"/>
                  </w14:solidFill>
                </w14:textFill>
              </w:rPr>
              <w:t>下风向</w:t>
            </w:r>
          </w:p>
        </w:tc>
        <w:tc>
          <w:tcPr>
            <w:tcW w:w="785" w:type="pct"/>
            <w:vAlign w:val="center"/>
          </w:tcPr>
          <w:p w14:paraId="1A8EB62D">
            <w:pPr>
              <w:adjustRightInd w:val="0"/>
              <w:snapToGrid w:val="0"/>
              <w:jc w:val="center"/>
              <w:rPr>
                <w:rFonts w:hint="eastAsia" w:ascii="宋体" w:hAnsi="宋体"/>
                <w:color w:val="000000" w:themeColor="text1"/>
                <w:kern w:val="0"/>
                <w:szCs w:val="21"/>
                <w14:textFill>
                  <w14:solidFill>
                    <w14:schemeClr w14:val="tx1"/>
                  </w14:solidFill>
                </w14:textFill>
              </w:rPr>
            </w:pPr>
            <w:r>
              <w:rPr>
                <w:rFonts w:ascii="宋体" w:hAnsi="宋体"/>
                <w:color w:val="000000" w:themeColor="text1"/>
                <w:kern w:val="0"/>
                <w:szCs w:val="21"/>
                <w14:textFill>
                  <w14:solidFill>
                    <w14:schemeClr w14:val="tx1"/>
                  </w14:solidFill>
                </w14:textFill>
              </w:rPr>
              <w:t>硫化氢</w:t>
            </w:r>
          </w:p>
        </w:tc>
        <w:tc>
          <w:tcPr>
            <w:tcW w:w="867" w:type="pct"/>
            <w:vAlign w:val="center"/>
          </w:tcPr>
          <w:p w14:paraId="6FEFA3FA">
            <w:pPr>
              <w:adjustRightInd w:val="0"/>
              <w:snapToGrid w:val="0"/>
              <w:jc w:val="center"/>
              <w:rPr>
                <w:rFonts w:hint="eastAsia" w:ascii="宋体" w:hAnsi="宋体"/>
                <w:color w:val="000000" w:themeColor="text1"/>
                <w:kern w:val="0"/>
                <w:szCs w:val="21"/>
                <w14:textFill>
                  <w14:solidFill>
                    <w14:schemeClr w14:val="tx1"/>
                  </w14:solidFill>
                </w14:textFill>
              </w:rPr>
            </w:pPr>
            <w:r>
              <w:rPr>
                <w:rFonts w:ascii="宋体" w:hAnsi="宋体"/>
                <w:color w:val="000000" w:themeColor="text1"/>
                <w:kern w:val="0"/>
                <w:szCs w:val="21"/>
                <w14:textFill>
                  <w14:solidFill>
                    <w14:schemeClr w14:val="tx1"/>
                  </w14:solidFill>
                </w14:textFill>
              </w:rPr>
              <w:t>＜0.2×10</w:t>
            </w:r>
            <w:r>
              <w:rPr>
                <w:rFonts w:ascii="宋体" w:hAnsi="宋体"/>
                <w:color w:val="000000" w:themeColor="text1"/>
                <w:kern w:val="0"/>
                <w:szCs w:val="21"/>
                <w:vertAlign w:val="superscript"/>
                <w14:textFill>
                  <w14:solidFill>
                    <w14:schemeClr w14:val="tx1"/>
                  </w14:solidFill>
                </w14:textFill>
              </w:rPr>
              <w:t>-3</w:t>
            </w:r>
          </w:p>
        </w:tc>
        <w:tc>
          <w:tcPr>
            <w:tcW w:w="601" w:type="pct"/>
            <w:vAlign w:val="center"/>
          </w:tcPr>
          <w:p w14:paraId="5772A089">
            <w:pPr>
              <w:adjustRightInd w:val="0"/>
              <w:snapToGrid w:val="0"/>
              <w:jc w:val="center"/>
              <w:rPr>
                <w:rFonts w:hint="eastAsia" w:ascii="宋体" w:hAnsi="宋体"/>
                <w:color w:val="000000" w:themeColor="text1"/>
                <w:kern w:val="0"/>
                <w:szCs w:val="21"/>
                <w14:textFill>
                  <w14:solidFill>
                    <w14:schemeClr w14:val="tx1"/>
                  </w14:solidFill>
                </w14:textFill>
              </w:rPr>
            </w:pPr>
            <w:r>
              <w:rPr>
                <w:rFonts w:ascii="宋体" w:hAnsi="宋体"/>
                <w:color w:val="000000" w:themeColor="text1"/>
                <w:kern w:val="0"/>
                <w:szCs w:val="21"/>
                <w14:textFill>
                  <w14:solidFill>
                    <w14:schemeClr w14:val="tx1"/>
                  </w14:solidFill>
                </w14:textFill>
              </w:rPr>
              <w:t>0.06</w:t>
            </w:r>
          </w:p>
        </w:tc>
        <w:tc>
          <w:tcPr>
            <w:tcW w:w="406" w:type="pct"/>
            <w:vAlign w:val="center"/>
          </w:tcPr>
          <w:p w14:paraId="63858534">
            <w:pPr>
              <w:adjustRightInd w:val="0"/>
              <w:snapToGrid w:val="0"/>
              <w:jc w:val="center"/>
              <w:rPr>
                <w:rFonts w:hint="eastAsia" w:ascii="宋体" w:hAnsi="宋体"/>
                <w:color w:val="000000" w:themeColor="text1"/>
                <w:kern w:val="0"/>
                <w:szCs w:val="21"/>
                <w14:textFill>
                  <w14:solidFill>
                    <w14:schemeClr w14:val="tx1"/>
                  </w14:solidFill>
                </w14:textFill>
              </w:rPr>
            </w:pPr>
            <w:r>
              <w:rPr>
                <w:rFonts w:ascii="宋体" w:hAnsi="宋体"/>
                <w:color w:val="000000" w:themeColor="text1"/>
                <w:kern w:val="0"/>
                <w:szCs w:val="21"/>
                <w14:textFill>
                  <w14:solidFill>
                    <w14:schemeClr w14:val="tx1"/>
                  </w14:solidFill>
                </w14:textFill>
              </w:rPr>
              <w:t>达标</w:t>
            </w:r>
          </w:p>
        </w:tc>
      </w:tr>
      <w:tr w14:paraId="47EEE6D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55" w:type="pct"/>
            <w:vMerge w:val="restart"/>
            <w:vAlign w:val="center"/>
          </w:tcPr>
          <w:p w14:paraId="76EF571B">
            <w:pPr>
              <w:adjustRightInd w:val="0"/>
              <w:snapToGrid w:val="0"/>
              <w:jc w:val="center"/>
              <w:rPr>
                <w:rFonts w:hint="eastAsia"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第二季度</w:t>
            </w:r>
          </w:p>
        </w:tc>
        <w:tc>
          <w:tcPr>
            <w:tcW w:w="395" w:type="pct"/>
            <w:vMerge w:val="restart"/>
            <w:vAlign w:val="center"/>
          </w:tcPr>
          <w:p w14:paraId="56EDAD61">
            <w:pPr>
              <w:adjustRightInd w:val="0"/>
              <w:snapToGrid w:val="0"/>
              <w:jc w:val="center"/>
              <w:rPr>
                <w:rFonts w:hint="eastAsia" w:ascii="宋体" w:hAnsi="宋体"/>
                <w:color w:val="000000" w:themeColor="text1"/>
                <w:kern w:val="0"/>
                <w:szCs w:val="21"/>
                <w14:textFill>
                  <w14:solidFill>
                    <w14:schemeClr w14:val="tx1"/>
                  </w14:solidFill>
                </w14:textFill>
              </w:rPr>
            </w:pPr>
            <w:r>
              <w:rPr>
                <w:rFonts w:ascii="宋体" w:hAnsi="宋体"/>
                <w:color w:val="000000" w:themeColor="text1"/>
                <w:kern w:val="0"/>
                <w:szCs w:val="21"/>
                <w14:textFill>
                  <w14:solidFill>
                    <w14:schemeClr w14:val="tx1"/>
                  </w14:solidFill>
                </w14:textFill>
              </w:rPr>
              <w:t>页岩油联合站</w:t>
            </w:r>
          </w:p>
        </w:tc>
        <w:tc>
          <w:tcPr>
            <w:tcW w:w="725" w:type="pct"/>
            <w:vMerge w:val="restart"/>
            <w:vAlign w:val="center"/>
          </w:tcPr>
          <w:p w14:paraId="772144C4">
            <w:pPr>
              <w:adjustRightInd w:val="0"/>
              <w:snapToGrid w:val="0"/>
              <w:jc w:val="center"/>
              <w:rPr>
                <w:rFonts w:hint="eastAsia" w:ascii="宋体" w:hAnsi="宋体"/>
                <w:color w:val="000000" w:themeColor="text1"/>
                <w:kern w:val="0"/>
                <w:szCs w:val="21"/>
                <w14:textFill>
                  <w14:solidFill>
                    <w14:schemeClr w14:val="tx1"/>
                  </w14:solidFill>
                </w14:textFill>
              </w:rPr>
            </w:pPr>
            <w:r>
              <w:rPr>
                <w:rFonts w:ascii="宋体" w:hAnsi="宋体"/>
                <w:color w:val="000000" w:themeColor="text1"/>
                <w:kern w:val="0"/>
                <w:szCs w:val="21"/>
                <w14:textFill>
                  <w14:solidFill>
                    <w14:schemeClr w14:val="tx1"/>
                  </w14:solidFill>
                </w14:textFill>
              </w:rPr>
              <w:t>202</w:t>
            </w:r>
            <w:r>
              <w:rPr>
                <w:rFonts w:hint="eastAsia" w:ascii="宋体" w:hAnsi="宋体"/>
                <w:color w:val="000000" w:themeColor="text1"/>
                <w:kern w:val="0"/>
                <w:szCs w:val="21"/>
                <w14:textFill>
                  <w14:solidFill>
                    <w14:schemeClr w14:val="tx1"/>
                  </w14:solidFill>
                </w14:textFill>
              </w:rPr>
              <w:t>5.4.23</w:t>
            </w:r>
          </w:p>
        </w:tc>
        <w:tc>
          <w:tcPr>
            <w:tcW w:w="766" w:type="pct"/>
            <w:vAlign w:val="center"/>
          </w:tcPr>
          <w:p w14:paraId="52580DEF">
            <w:pPr>
              <w:adjustRightInd w:val="0"/>
              <w:snapToGrid w:val="0"/>
              <w:jc w:val="center"/>
              <w:rPr>
                <w:rFonts w:hint="eastAsia" w:ascii="宋体" w:hAnsi="宋体"/>
                <w:color w:val="000000" w:themeColor="text1"/>
                <w:kern w:val="0"/>
                <w:szCs w:val="21"/>
                <w14:textFill>
                  <w14:solidFill>
                    <w14:schemeClr w14:val="tx1"/>
                  </w14:solidFill>
                </w14:textFill>
              </w:rPr>
            </w:pPr>
            <w:r>
              <w:rPr>
                <w:rFonts w:ascii="宋体" w:hAnsi="宋体"/>
                <w:color w:val="000000" w:themeColor="text1"/>
                <w:kern w:val="0"/>
                <w:szCs w:val="21"/>
                <w14:textFill>
                  <w14:solidFill>
                    <w14:schemeClr w14:val="tx1"/>
                  </w14:solidFill>
                </w14:textFill>
              </w:rPr>
              <w:t>上风向</w:t>
            </w:r>
          </w:p>
        </w:tc>
        <w:tc>
          <w:tcPr>
            <w:tcW w:w="785" w:type="pct"/>
            <w:vAlign w:val="center"/>
          </w:tcPr>
          <w:p w14:paraId="171B780C">
            <w:pPr>
              <w:adjustRightInd w:val="0"/>
              <w:snapToGrid w:val="0"/>
              <w:jc w:val="center"/>
              <w:rPr>
                <w:rFonts w:hint="eastAsia" w:ascii="宋体" w:hAnsi="宋体"/>
                <w:color w:val="000000" w:themeColor="text1"/>
                <w:kern w:val="0"/>
                <w:szCs w:val="21"/>
                <w14:textFill>
                  <w14:solidFill>
                    <w14:schemeClr w14:val="tx1"/>
                  </w14:solidFill>
                </w14:textFill>
              </w:rPr>
            </w:pPr>
            <w:r>
              <w:rPr>
                <w:rFonts w:ascii="宋体" w:hAnsi="宋体"/>
                <w:color w:val="000000" w:themeColor="text1"/>
                <w:kern w:val="0"/>
                <w:szCs w:val="21"/>
                <w14:textFill>
                  <w14:solidFill>
                    <w14:schemeClr w14:val="tx1"/>
                  </w14:solidFill>
                </w14:textFill>
              </w:rPr>
              <w:t>非甲烷总烃</w:t>
            </w:r>
          </w:p>
        </w:tc>
        <w:tc>
          <w:tcPr>
            <w:tcW w:w="867" w:type="pct"/>
            <w:vAlign w:val="center"/>
          </w:tcPr>
          <w:p w14:paraId="13D91F42">
            <w:pPr>
              <w:adjustRightInd w:val="0"/>
              <w:snapToGrid w:val="0"/>
              <w:jc w:val="center"/>
              <w:rPr>
                <w:rFonts w:hint="eastAsia"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1.05</w:t>
            </w:r>
            <w:r>
              <w:rPr>
                <w:rFonts w:ascii="宋体" w:hAnsi="宋体"/>
                <w:color w:val="000000" w:themeColor="text1"/>
                <w:kern w:val="0"/>
                <w:szCs w:val="21"/>
                <w14:textFill>
                  <w14:solidFill>
                    <w14:schemeClr w14:val="tx1"/>
                  </w14:solidFill>
                </w14:textFill>
              </w:rPr>
              <w:t>～</w:t>
            </w:r>
            <w:r>
              <w:rPr>
                <w:rFonts w:hint="eastAsia" w:ascii="宋体" w:hAnsi="宋体"/>
                <w:color w:val="000000" w:themeColor="text1"/>
                <w:kern w:val="0"/>
                <w:szCs w:val="21"/>
                <w14:textFill>
                  <w14:solidFill>
                    <w14:schemeClr w14:val="tx1"/>
                  </w14:solidFill>
                </w14:textFill>
              </w:rPr>
              <w:t>1.08</w:t>
            </w:r>
          </w:p>
        </w:tc>
        <w:tc>
          <w:tcPr>
            <w:tcW w:w="601" w:type="pct"/>
            <w:vAlign w:val="center"/>
          </w:tcPr>
          <w:p w14:paraId="0B90D19D">
            <w:pPr>
              <w:adjustRightInd w:val="0"/>
              <w:snapToGrid w:val="0"/>
              <w:jc w:val="center"/>
              <w:rPr>
                <w:rFonts w:hint="eastAsia" w:ascii="宋体" w:hAnsi="宋体"/>
                <w:color w:val="000000" w:themeColor="text1"/>
                <w:kern w:val="0"/>
                <w:szCs w:val="21"/>
                <w14:textFill>
                  <w14:solidFill>
                    <w14:schemeClr w14:val="tx1"/>
                  </w14:solidFill>
                </w14:textFill>
              </w:rPr>
            </w:pPr>
            <w:r>
              <w:rPr>
                <w:rFonts w:ascii="宋体" w:hAnsi="宋体"/>
                <w:color w:val="000000" w:themeColor="text1"/>
                <w:kern w:val="0"/>
                <w:szCs w:val="21"/>
                <w14:textFill>
                  <w14:solidFill>
                    <w14:schemeClr w14:val="tx1"/>
                  </w14:solidFill>
                </w14:textFill>
              </w:rPr>
              <w:t>4</w:t>
            </w:r>
          </w:p>
        </w:tc>
        <w:tc>
          <w:tcPr>
            <w:tcW w:w="406" w:type="pct"/>
            <w:vAlign w:val="center"/>
          </w:tcPr>
          <w:p w14:paraId="4DC63513">
            <w:pPr>
              <w:adjustRightInd w:val="0"/>
              <w:snapToGrid w:val="0"/>
              <w:jc w:val="center"/>
              <w:rPr>
                <w:rFonts w:hint="eastAsia" w:ascii="宋体" w:hAnsi="宋体"/>
                <w:color w:val="000000" w:themeColor="text1"/>
                <w:kern w:val="0"/>
                <w:szCs w:val="21"/>
                <w14:textFill>
                  <w14:solidFill>
                    <w14:schemeClr w14:val="tx1"/>
                  </w14:solidFill>
                </w14:textFill>
              </w:rPr>
            </w:pPr>
            <w:r>
              <w:rPr>
                <w:rFonts w:ascii="宋体" w:hAnsi="宋体"/>
                <w:color w:val="000000" w:themeColor="text1"/>
                <w:kern w:val="0"/>
                <w:szCs w:val="21"/>
                <w14:textFill>
                  <w14:solidFill>
                    <w14:schemeClr w14:val="tx1"/>
                  </w14:solidFill>
                </w14:textFill>
              </w:rPr>
              <w:t>达标</w:t>
            </w:r>
          </w:p>
        </w:tc>
      </w:tr>
      <w:tr w14:paraId="2104F4E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55" w:type="pct"/>
            <w:vMerge w:val="continue"/>
            <w:vAlign w:val="center"/>
          </w:tcPr>
          <w:p w14:paraId="331B27F1">
            <w:pPr>
              <w:widowControl/>
              <w:jc w:val="center"/>
              <w:rPr>
                <w:rFonts w:hint="eastAsia" w:ascii="宋体" w:hAnsi="宋体"/>
                <w:color w:val="000000" w:themeColor="text1"/>
                <w:kern w:val="0"/>
                <w:szCs w:val="21"/>
                <w14:textFill>
                  <w14:solidFill>
                    <w14:schemeClr w14:val="tx1"/>
                  </w14:solidFill>
                </w14:textFill>
              </w:rPr>
            </w:pPr>
          </w:p>
        </w:tc>
        <w:tc>
          <w:tcPr>
            <w:tcW w:w="395" w:type="pct"/>
            <w:vMerge w:val="continue"/>
            <w:vAlign w:val="center"/>
          </w:tcPr>
          <w:p w14:paraId="33D80DDC">
            <w:pPr>
              <w:widowControl/>
              <w:jc w:val="center"/>
              <w:rPr>
                <w:rFonts w:hint="eastAsia" w:ascii="宋体" w:hAnsi="宋体"/>
                <w:color w:val="000000" w:themeColor="text1"/>
                <w:kern w:val="0"/>
                <w:szCs w:val="21"/>
                <w14:textFill>
                  <w14:solidFill>
                    <w14:schemeClr w14:val="tx1"/>
                  </w14:solidFill>
                </w14:textFill>
              </w:rPr>
            </w:pPr>
          </w:p>
        </w:tc>
        <w:tc>
          <w:tcPr>
            <w:tcW w:w="725" w:type="pct"/>
            <w:vMerge w:val="continue"/>
            <w:vAlign w:val="center"/>
          </w:tcPr>
          <w:p w14:paraId="02988B70">
            <w:pPr>
              <w:widowControl/>
              <w:jc w:val="center"/>
              <w:rPr>
                <w:rFonts w:hint="eastAsia" w:ascii="宋体" w:hAnsi="宋体"/>
                <w:color w:val="000000" w:themeColor="text1"/>
                <w:kern w:val="0"/>
                <w:szCs w:val="21"/>
                <w14:textFill>
                  <w14:solidFill>
                    <w14:schemeClr w14:val="tx1"/>
                  </w14:solidFill>
                </w14:textFill>
              </w:rPr>
            </w:pPr>
          </w:p>
        </w:tc>
        <w:tc>
          <w:tcPr>
            <w:tcW w:w="766" w:type="pct"/>
            <w:vAlign w:val="center"/>
          </w:tcPr>
          <w:p w14:paraId="312A0B59">
            <w:pPr>
              <w:adjustRightInd w:val="0"/>
              <w:snapToGrid w:val="0"/>
              <w:jc w:val="center"/>
              <w:rPr>
                <w:rFonts w:hint="eastAsia" w:ascii="宋体" w:hAnsi="宋体"/>
                <w:color w:val="000000" w:themeColor="text1"/>
                <w:kern w:val="0"/>
                <w:szCs w:val="21"/>
                <w14:textFill>
                  <w14:solidFill>
                    <w14:schemeClr w14:val="tx1"/>
                  </w14:solidFill>
                </w14:textFill>
              </w:rPr>
            </w:pPr>
            <w:r>
              <w:rPr>
                <w:rFonts w:ascii="宋体" w:hAnsi="宋体"/>
                <w:color w:val="000000" w:themeColor="text1"/>
                <w:kern w:val="0"/>
                <w:szCs w:val="21"/>
                <w14:textFill>
                  <w14:solidFill>
                    <w14:schemeClr w14:val="tx1"/>
                  </w14:solidFill>
                </w14:textFill>
              </w:rPr>
              <w:t>下风向</w:t>
            </w:r>
          </w:p>
        </w:tc>
        <w:tc>
          <w:tcPr>
            <w:tcW w:w="785" w:type="pct"/>
            <w:vAlign w:val="center"/>
          </w:tcPr>
          <w:p w14:paraId="35023000">
            <w:pPr>
              <w:adjustRightInd w:val="0"/>
              <w:snapToGrid w:val="0"/>
              <w:jc w:val="center"/>
              <w:rPr>
                <w:rFonts w:hint="eastAsia" w:ascii="宋体" w:hAnsi="宋体"/>
                <w:color w:val="000000" w:themeColor="text1"/>
                <w:kern w:val="0"/>
                <w:szCs w:val="21"/>
                <w14:textFill>
                  <w14:solidFill>
                    <w14:schemeClr w14:val="tx1"/>
                  </w14:solidFill>
                </w14:textFill>
              </w:rPr>
            </w:pPr>
            <w:r>
              <w:rPr>
                <w:rFonts w:ascii="宋体" w:hAnsi="宋体"/>
                <w:color w:val="000000" w:themeColor="text1"/>
                <w:kern w:val="0"/>
                <w:szCs w:val="21"/>
                <w14:textFill>
                  <w14:solidFill>
                    <w14:schemeClr w14:val="tx1"/>
                  </w14:solidFill>
                </w14:textFill>
              </w:rPr>
              <w:t>非甲烷总烃</w:t>
            </w:r>
          </w:p>
        </w:tc>
        <w:tc>
          <w:tcPr>
            <w:tcW w:w="867" w:type="pct"/>
            <w:vAlign w:val="center"/>
          </w:tcPr>
          <w:p w14:paraId="2FF8323D">
            <w:pPr>
              <w:adjustRightInd w:val="0"/>
              <w:snapToGrid w:val="0"/>
              <w:jc w:val="center"/>
              <w:rPr>
                <w:rFonts w:hint="eastAsia"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1.09</w:t>
            </w:r>
            <w:r>
              <w:rPr>
                <w:rFonts w:ascii="宋体" w:hAnsi="宋体"/>
                <w:color w:val="000000" w:themeColor="text1"/>
                <w:kern w:val="0"/>
                <w:szCs w:val="21"/>
                <w14:textFill>
                  <w14:solidFill>
                    <w14:schemeClr w14:val="tx1"/>
                  </w14:solidFill>
                </w14:textFill>
              </w:rPr>
              <w:t>～</w:t>
            </w:r>
            <w:r>
              <w:rPr>
                <w:rFonts w:hint="eastAsia" w:ascii="宋体" w:hAnsi="宋体"/>
                <w:color w:val="000000" w:themeColor="text1"/>
                <w:kern w:val="0"/>
                <w:szCs w:val="21"/>
                <w14:textFill>
                  <w14:solidFill>
                    <w14:schemeClr w14:val="tx1"/>
                  </w14:solidFill>
                </w14:textFill>
              </w:rPr>
              <w:t>1.40</w:t>
            </w:r>
          </w:p>
        </w:tc>
        <w:tc>
          <w:tcPr>
            <w:tcW w:w="601" w:type="pct"/>
            <w:vAlign w:val="center"/>
          </w:tcPr>
          <w:p w14:paraId="5FAC1783">
            <w:pPr>
              <w:adjustRightInd w:val="0"/>
              <w:snapToGrid w:val="0"/>
              <w:jc w:val="center"/>
              <w:rPr>
                <w:rFonts w:hint="eastAsia" w:ascii="宋体" w:hAnsi="宋体"/>
                <w:color w:val="000000" w:themeColor="text1"/>
                <w:kern w:val="0"/>
                <w:szCs w:val="21"/>
                <w14:textFill>
                  <w14:solidFill>
                    <w14:schemeClr w14:val="tx1"/>
                  </w14:solidFill>
                </w14:textFill>
              </w:rPr>
            </w:pPr>
            <w:r>
              <w:rPr>
                <w:rFonts w:ascii="宋体" w:hAnsi="宋体"/>
                <w:color w:val="000000" w:themeColor="text1"/>
                <w:kern w:val="0"/>
                <w:szCs w:val="21"/>
                <w14:textFill>
                  <w14:solidFill>
                    <w14:schemeClr w14:val="tx1"/>
                  </w14:solidFill>
                </w14:textFill>
              </w:rPr>
              <w:t>4</w:t>
            </w:r>
          </w:p>
        </w:tc>
        <w:tc>
          <w:tcPr>
            <w:tcW w:w="406" w:type="pct"/>
            <w:vAlign w:val="center"/>
          </w:tcPr>
          <w:p w14:paraId="680EF61F">
            <w:pPr>
              <w:adjustRightInd w:val="0"/>
              <w:snapToGrid w:val="0"/>
              <w:jc w:val="center"/>
              <w:rPr>
                <w:rFonts w:hint="eastAsia" w:ascii="宋体" w:hAnsi="宋体"/>
                <w:color w:val="000000" w:themeColor="text1"/>
                <w:kern w:val="0"/>
                <w:szCs w:val="21"/>
                <w14:textFill>
                  <w14:solidFill>
                    <w14:schemeClr w14:val="tx1"/>
                  </w14:solidFill>
                </w14:textFill>
              </w:rPr>
            </w:pPr>
            <w:r>
              <w:rPr>
                <w:rFonts w:ascii="宋体" w:hAnsi="宋体"/>
                <w:color w:val="000000" w:themeColor="text1"/>
                <w:kern w:val="0"/>
                <w:szCs w:val="21"/>
                <w14:textFill>
                  <w14:solidFill>
                    <w14:schemeClr w14:val="tx1"/>
                  </w14:solidFill>
                </w14:textFill>
              </w:rPr>
              <w:t>达标</w:t>
            </w:r>
          </w:p>
        </w:tc>
      </w:tr>
      <w:tr w14:paraId="596BB98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55" w:type="pct"/>
            <w:vMerge w:val="continue"/>
            <w:vAlign w:val="center"/>
          </w:tcPr>
          <w:p w14:paraId="563516FE">
            <w:pPr>
              <w:widowControl/>
              <w:jc w:val="center"/>
              <w:rPr>
                <w:rFonts w:hint="eastAsia" w:ascii="宋体" w:hAnsi="宋体"/>
                <w:color w:val="000000" w:themeColor="text1"/>
                <w:kern w:val="0"/>
                <w:szCs w:val="21"/>
                <w14:textFill>
                  <w14:solidFill>
                    <w14:schemeClr w14:val="tx1"/>
                  </w14:solidFill>
                </w14:textFill>
              </w:rPr>
            </w:pPr>
          </w:p>
        </w:tc>
        <w:tc>
          <w:tcPr>
            <w:tcW w:w="395" w:type="pct"/>
            <w:vMerge w:val="continue"/>
            <w:vAlign w:val="center"/>
          </w:tcPr>
          <w:p w14:paraId="4DBFE185">
            <w:pPr>
              <w:widowControl/>
              <w:jc w:val="center"/>
              <w:rPr>
                <w:rFonts w:hint="eastAsia" w:ascii="宋体" w:hAnsi="宋体"/>
                <w:color w:val="000000" w:themeColor="text1"/>
                <w:kern w:val="0"/>
                <w:szCs w:val="21"/>
                <w14:textFill>
                  <w14:solidFill>
                    <w14:schemeClr w14:val="tx1"/>
                  </w14:solidFill>
                </w14:textFill>
              </w:rPr>
            </w:pPr>
          </w:p>
        </w:tc>
        <w:tc>
          <w:tcPr>
            <w:tcW w:w="725" w:type="pct"/>
            <w:vMerge w:val="continue"/>
            <w:vAlign w:val="center"/>
          </w:tcPr>
          <w:p w14:paraId="553B7D96">
            <w:pPr>
              <w:widowControl/>
              <w:jc w:val="center"/>
              <w:rPr>
                <w:rFonts w:hint="eastAsia" w:ascii="宋体" w:hAnsi="宋体"/>
                <w:color w:val="000000" w:themeColor="text1"/>
                <w:kern w:val="0"/>
                <w:szCs w:val="21"/>
                <w14:textFill>
                  <w14:solidFill>
                    <w14:schemeClr w14:val="tx1"/>
                  </w14:solidFill>
                </w14:textFill>
              </w:rPr>
            </w:pPr>
          </w:p>
        </w:tc>
        <w:tc>
          <w:tcPr>
            <w:tcW w:w="766" w:type="pct"/>
            <w:vAlign w:val="center"/>
          </w:tcPr>
          <w:p w14:paraId="664DCE43">
            <w:pPr>
              <w:adjustRightInd w:val="0"/>
              <w:snapToGrid w:val="0"/>
              <w:jc w:val="center"/>
              <w:rPr>
                <w:rFonts w:hint="eastAsia" w:ascii="宋体" w:hAnsi="宋体"/>
                <w:color w:val="000000" w:themeColor="text1"/>
                <w:kern w:val="0"/>
                <w:szCs w:val="21"/>
                <w14:textFill>
                  <w14:solidFill>
                    <w14:schemeClr w14:val="tx1"/>
                  </w14:solidFill>
                </w14:textFill>
              </w:rPr>
            </w:pPr>
            <w:r>
              <w:rPr>
                <w:rFonts w:ascii="宋体" w:hAnsi="宋体"/>
                <w:color w:val="000000" w:themeColor="text1"/>
                <w:kern w:val="0"/>
                <w:szCs w:val="21"/>
                <w14:textFill>
                  <w14:solidFill>
                    <w14:schemeClr w14:val="tx1"/>
                  </w14:solidFill>
                </w14:textFill>
              </w:rPr>
              <w:t>下风向</w:t>
            </w:r>
          </w:p>
        </w:tc>
        <w:tc>
          <w:tcPr>
            <w:tcW w:w="785" w:type="pct"/>
            <w:vAlign w:val="center"/>
          </w:tcPr>
          <w:p w14:paraId="51EEDA53">
            <w:pPr>
              <w:adjustRightInd w:val="0"/>
              <w:snapToGrid w:val="0"/>
              <w:jc w:val="center"/>
              <w:rPr>
                <w:rFonts w:hint="eastAsia" w:ascii="宋体" w:hAnsi="宋体"/>
                <w:color w:val="000000" w:themeColor="text1"/>
                <w:kern w:val="0"/>
                <w:szCs w:val="21"/>
                <w14:textFill>
                  <w14:solidFill>
                    <w14:schemeClr w14:val="tx1"/>
                  </w14:solidFill>
                </w14:textFill>
              </w:rPr>
            </w:pPr>
            <w:r>
              <w:rPr>
                <w:rFonts w:ascii="宋体" w:hAnsi="宋体"/>
                <w:color w:val="000000" w:themeColor="text1"/>
                <w:kern w:val="0"/>
                <w:szCs w:val="21"/>
                <w14:textFill>
                  <w14:solidFill>
                    <w14:schemeClr w14:val="tx1"/>
                  </w14:solidFill>
                </w14:textFill>
              </w:rPr>
              <w:t>非甲烷总烃</w:t>
            </w:r>
          </w:p>
        </w:tc>
        <w:tc>
          <w:tcPr>
            <w:tcW w:w="867" w:type="pct"/>
            <w:vAlign w:val="center"/>
          </w:tcPr>
          <w:p w14:paraId="533A70E7">
            <w:pPr>
              <w:adjustRightInd w:val="0"/>
              <w:snapToGrid w:val="0"/>
              <w:jc w:val="center"/>
              <w:rPr>
                <w:rFonts w:hint="eastAsia"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1.43</w:t>
            </w:r>
            <w:r>
              <w:rPr>
                <w:rFonts w:ascii="宋体" w:hAnsi="宋体"/>
                <w:color w:val="000000" w:themeColor="text1"/>
                <w:kern w:val="0"/>
                <w:szCs w:val="21"/>
                <w14:textFill>
                  <w14:solidFill>
                    <w14:schemeClr w14:val="tx1"/>
                  </w14:solidFill>
                </w14:textFill>
              </w:rPr>
              <w:t>～</w:t>
            </w:r>
            <w:r>
              <w:rPr>
                <w:rFonts w:hint="eastAsia" w:ascii="宋体" w:hAnsi="宋体"/>
                <w:color w:val="000000" w:themeColor="text1"/>
                <w:kern w:val="0"/>
                <w:szCs w:val="21"/>
                <w14:textFill>
                  <w14:solidFill>
                    <w14:schemeClr w14:val="tx1"/>
                  </w14:solidFill>
                </w14:textFill>
              </w:rPr>
              <w:t>1.58</w:t>
            </w:r>
          </w:p>
        </w:tc>
        <w:tc>
          <w:tcPr>
            <w:tcW w:w="601" w:type="pct"/>
            <w:vAlign w:val="center"/>
          </w:tcPr>
          <w:p w14:paraId="040A2417">
            <w:pPr>
              <w:adjustRightInd w:val="0"/>
              <w:snapToGrid w:val="0"/>
              <w:jc w:val="center"/>
              <w:rPr>
                <w:rFonts w:hint="eastAsia" w:ascii="宋体" w:hAnsi="宋体"/>
                <w:color w:val="000000" w:themeColor="text1"/>
                <w:kern w:val="0"/>
                <w:szCs w:val="21"/>
                <w14:textFill>
                  <w14:solidFill>
                    <w14:schemeClr w14:val="tx1"/>
                  </w14:solidFill>
                </w14:textFill>
              </w:rPr>
            </w:pPr>
            <w:r>
              <w:rPr>
                <w:rFonts w:ascii="宋体" w:hAnsi="宋体"/>
                <w:color w:val="000000" w:themeColor="text1"/>
                <w:kern w:val="0"/>
                <w:szCs w:val="21"/>
                <w14:textFill>
                  <w14:solidFill>
                    <w14:schemeClr w14:val="tx1"/>
                  </w14:solidFill>
                </w14:textFill>
              </w:rPr>
              <w:t>4</w:t>
            </w:r>
          </w:p>
        </w:tc>
        <w:tc>
          <w:tcPr>
            <w:tcW w:w="406" w:type="pct"/>
            <w:vAlign w:val="center"/>
          </w:tcPr>
          <w:p w14:paraId="1417357D">
            <w:pPr>
              <w:adjustRightInd w:val="0"/>
              <w:snapToGrid w:val="0"/>
              <w:jc w:val="center"/>
              <w:rPr>
                <w:rFonts w:hint="eastAsia" w:ascii="宋体" w:hAnsi="宋体"/>
                <w:color w:val="000000" w:themeColor="text1"/>
                <w:kern w:val="0"/>
                <w:szCs w:val="21"/>
                <w14:textFill>
                  <w14:solidFill>
                    <w14:schemeClr w14:val="tx1"/>
                  </w14:solidFill>
                </w14:textFill>
              </w:rPr>
            </w:pPr>
            <w:r>
              <w:rPr>
                <w:rFonts w:ascii="宋体" w:hAnsi="宋体"/>
                <w:color w:val="000000" w:themeColor="text1"/>
                <w:kern w:val="0"/>
                <w:szCs w:val="21"/>
                <w14:textFill>
                  <w14:solidFill>
                    <w14:schemeClr w14:val="tx1"/>
                  </w14:solidFill>
                </w14:textFill>
              </w:rPr>
              <w:t>达标</w:t>
            </w:r>
          </w:p>
        </w:tc>
      </w:tr>
      <w:tr w14:paraId="1C56044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55" w:type="pct"/>
            <w:vMerge w:val="continue"/>
            <w:vAlign w:val="center"/>
          </w:tcPr>
          <w:p w14:paraId="14BA3875">
            <w:pPr>
              <w:widowControl/>
              <w:jc w:val="center"/>
              <w:rPr>
                <w:rFonts w:hint="eastAsia" w:ascii="宋体" w:hAnsi="宋体"/>
                <w:color w:val="000000" w:themeColor="text1"/>
                <w:kern w:val="0"/>
                <w:szCs w:val="21"/>
                <w14:textFill>
                  <w14:solidFill>
                    <w14:schemeClr w14:val="tx1"/>
                  </w14:solidFill>
                </w14:textFill>
              </w:rPr>
            </w:pPr>
          </w:p>
        </w:tc>
        <w:tc>
          <w:tcPr>
            <w:tcW w:w="395" w:type="pct"/>
            <w:vMerge w:val="continue"/>
            <w:vAlign w:val="center"/>
          </w:tcPr>
          <w:p w14:paraId="47149900">
            <w:pPr>
              <w:widowControl/>
              <w:jc w:val="center"/>
              <w:rPr>
                <w:rFonts w:hint="eastAsia" w:ascii="宋体" w:hAnsi="宋体"/>
                <w:color w:val="000000" w:themeColor="text1"/>
                <w:kern w:val="0"/>
                <w:szCs w:val="21"/>
                <w14:textFill>
                  <w14:solidFill>
                    <w14:schemeClr w14:val="tx1"/>
                  </w14:solidFill>
                </w14:textFill>
              </w:rPr>
            </w:pPr>
          </w:p>
        </w:tc>
        <w:tc>
          <w:tcPr>
            <w:tcW w:w="725" w:type="pct"/>
            <w:vMerge w:val="continue"/>
            <w:vAlign w:val="center"/>
          </w:tcPr>
          <w:p w14:paraId="7C3E6D30">
            <w:pPr>
              <w:widowControl/>
              <w:jc w:val="center"/>
              <w:rPr>
                <w:rFonts w:hint="eastAsia" w:ascii="宋体" w:hAnsi="宋体"/>
                <w:color w:val="000000" w:themeColor="text1"/>
                <w:kern w:val="0"/>
                <w:szCs w:val="21"/>
                <w14:textFill>
                  <w14:solidFill>
                    <w14:schemeClr w14:val="tx1"/>
                  </w14:solidFill>
                </w14:textFill>
              </w:rPr>
            </w:pPr>
          </w:p>
        </w:tc>
        <w:tc>
          <w:tcPr>
            <w:tcW w:w="766" w:type="pct"/>
            <w:vAlign w:val="center"/>
          </w:tcPr>
          <w:p w14:paraId="01EFC2A0">
            <w:pPr>
              <w:adjustRightInd w:val="0"/>
              <w:snapToGrid w:val="0"/>
              <w:jc w:val="center"/>
              <w:rPr>
                <w:rFonts w:hint="eastAsia" w:ascii="宋体" w:hAnsi="宋体"/>
                <w:color w:val="000000" w:themeColor="text1"/>
                <w:kern w:val="0"/>
                <w:szCs w:val="21"/>
                <w14:textFill>
                  <w14:solidFill>
                    <w14:schemeClr w14:val="tx1"/>
                  </w14:solidFill>
                </w14:textFill>
              </w:rPr>
            </w:pPr>
            <w:r>
              <w:rPr>
                <w:rFonts w:ascii="宋体" w:hAnsi="宋体"/>
                <w:color w:val="000000" w:themeColor="text1"/>
                <w:kern w:val="0"/>
                <w:szCs w:val="21"/>
                <w14:textFill>
                  <w14:solidFill>
                    <w14:schemeClr w14:val="tx1"/>
                  </w14:solidFill>
                </w14:textFill>
              </w:rPr>
              <w:t>下风向</w:t>
            </w:r>
          </w:p>
        </w:tc>
        <w:tc>
          <w:tcPr>
            <w:tcW w:w="785" w:type="pct"/>
            <w:vAlign w:val="center"/>
          </w:tcPr>
          <w:p w14:paraId="660A3516">
            <w:pPr>
              <w:adjustRightInd w:val="0"/>
              <w:snapToGrid w:val="0"/>
              <w:jc w:val="center"/>
              <w:rPr>
                <w:rFonts w:hint="eastAsia" w:ascii="宋体" w:hAnsi="宋体"/>
                <w:color w:val="000000" w:themeColor="text1"/>
                <w:kern w:val="0"/>
                <w:szCs w:val="21"/>
                <w14:textFill>
                  <w14:solidFill>
                    <w14:schemeClr w14:val="tx1"/>
                  </w14:solidFill>
                </w14:textFill>
              </w:rPr>
            </w:pPr>
            <w:r>
              <w:rPr>
                <w:rFonts w:ascii="宋体" w:hAnsi="宋体"/>
                <w:color w:val="000000" w:themeColor="text1"/>
                <w:kern w:val="0"/>
                <w:szCs w:val="21"/>
                <w14:textFill>
                  <w14:solidFill>
                    <w14:schemeClr w14:val="tx1"/>
                  </w14:solidFill>
                </w14:textFill>
              </w:rPr>
              <w:t>非甲烷总烃</w:t>
            </w:r>
          </w:p>
        </w:tc>
        <w:tc>
          <w:tcPr>
            <w:tcW w:w="867" w:type="pct"/>
            <w:vAlign w:val="center"/>
          </w:tcPr>
          <w:p w14:paraId="30A37958">
            <w:pPr>
              <w:adjustRightInd w:val="0"/>
              <w:snapToGrid w:val="0"/>
              <w:jc w:val="center"/>
              <w:rPr>
                <w:rFonts w:hint="eastAsia"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1.72</w:t>
            </w:r>
            <w:r>
              <w:rPr>
                <w:rFonts w:ascii="宋体" w:hAnsi="宋体"/>
                <w:color w:val="000000" w:themeColor="text1"/>
                <w:kern w:val="0"/>
                <w:szCs w:val="21"/>
                <w14:textFill>
                  <w14:solidFill>
                    <w14:schemeClr w14:val="tx1"/>
                  </w14:solidFill>
                </w14:textFill>
              </w:rPr>
              <w:t>～</w:t>
            </w:r>
            <w:r>
              <w:rPr>
                <w:rFonts w:hint="eastAsia" w:ascii="宋体" w:hAnsi="宋体"/>
                <w:color w:val="000000" w:themeColor="text1"/>
                <w:kern w:val="0"/>
                <w:szCs w:val="21"/>
                <w14:textFill>
                  <w14:solidFill>
                    <w14:schemeClr w14:val="tx1"/>
                  </w14:solidFill>
                </w14:textFill>
              </w:rPr>
              <w:t>1.78</w:t>
            </w:r>
          </w:p>
        </w:tc>
        <w:tc>
          <w:tcPr>
            <w:tcW w:w="601" w:type="pct"/>
            <w:vAlign w:val="center"/>
          </w:tcPr>
          <w:p w14:paraId="0A72E21D">
            <w:pPr>
              <w:adjustRightInd w:val="0"/>
              <w:snapToGrid w:val="0"/>
              <w:jc w:val="center"/>
              <w:rPr>
                <w:rFonts w:hint="eastAsia" w:ascii="宋体" w:hAnsi="宋体"/>
                <w:color w:val="000000" w:themeColor="text1"/>
                <w:kern w:val="0"/>
                <w:szCs w:val="21"/>
                <w14:textFill>
                  <w14:solidFill>
                    <w14:schemeClr w14:val="tx1"/>
                  </w14:solidFill>
                </w14:textFill>
              </w:rPr>
            </w:pPr>
            <w:r>
              <w:rPr>
                <w:rFonts w:ascii="宋体" w:hAnsi="宋体"/>
                <w:color w:val="000000" w:themeColor="text1"/>
                <w:kern w:val="0"/>
                <w:szCs w:val="21"/>
                <w14:textFill>
                  <w14:solidFill>
                    <w14:schemeClr w14:val="tx1"/>
                  </w14:solidFill>
                </w14:textFill>
              </w:rPr>
              <w:t>4</w:t>
            </w:r>
          </w:p>
        </w:tc>
        <w:tc>
          <w:tcPr>
            <w:tcW w:w="406" w:type="pct"/>
            <w:vAlign w:val="center"/>
          </w:tcPr>
          <w:p w14:paraId="74592E66">
            <w:pPr>
              <w:adjustRightInd w:val="0"/>
              <w:snapToGrid w:val="0"/>
              <w:jc w:val="center"/>
              <w:rPr>
                <w:rFonts w:hint="eastAsia" w:ascii="宋体" w:hAnsi="宋体"/>
                <w:color w:val="000000" w:themeColor="text1"/>
                <w:kern w:val="0"/>
                <w:szCs w:val="21"/>
                <w14:textFill>
                  <w14:solidFill>
                    <w14:schemeClr w14:val="tx1"/>
                  </w14:solidFill>
                </w14:textFill>
              </w:rPr>
            </w:pPr>
            <w:r>
              <w:rPr>
                <w:rFonts w:ascii="宋体" w:hAnsi="宋体"/>
                <w:color w:val="000000" w:themeColor="text1"/>
                <w:kern w:val="0"/>
                <w:szCs w:val="21"/>
                <w14:textFill>
                  <w14:solidFill>
                    <w14:schemeClr w14:val="tx1"/>
                  </w14:solidFill>
                </w14:textFill>
              </w:rPr>
              <w:t>达标</w:t>
            </w:r>
          </w:p>
        </w:tc>
      </w:tr>
      <w:tr w14:paraId="43F9439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55" w:type="pct"/>
            <w:vMerge w:val="continue"/>
            <w:vAlign w:val="center"/>
          </w:tcPr>
          <w:p w14:paraId="2AEEF023">
            <w:pPr>
              <w:widowControl/>
              <w:jc w:val="center"/>
              <w:rPr>
                <w:rFonts w:hint="eastAsia" w:ascii="宋体" w:hAnsi="宋体"/>
                <w:color w:val="000000" w:themeColor="text1"/>
                <w:kern w:val="0"/>
                <w:szCs w:val="21"/>
                <w14:textFill>
                  <w14:solidFill>
                    <w14:schemeClr w14:val="tx1"/>
                  </w14:solidFill>
                </w14:textFill>
              </w:rPr>
            </w:pPr>
          </w:p>
        </w:tc>
        <w:tc>
          <w:tcPr>
            <w:tcW w:w="395" w:type="pct"/>
            <w:vMerge w:val="continue"/>
            <w:vAlign w:val="center"/>
          </w:tcPr>
          <w:p w14:paraId="2B7F281D">
            <w:pPr>
              <w:widowControl/>
              <w:jc w:val="center"/>
              <w:rPr>
                <w:rFonts w:hint="eastAsia" w:ascii="宋体" w:hAnsi="宋体"/>
                <w:color w:val="000000" w:themeColor="text1"/>
                <w:kern w:val="0"/>
                <w:szCs w:val="21"/>
                <w14:textFill>
                  <w14:solidFill>
                    <w14:schemeClr w14:val="tx1"/>
                  </w14:solidFill>
                </w14:textFill>
              </w:rPr>
            </w:pPr>
          </w:p>
        </w:tc>
        <w:tc>
          <w:tcPr>
            <w:tcW w:w="725" w:type="pct"/>
            <w:vMerge w:val="restart"/>
            <w:vAlign w:val="center"/>
          </w:tcPr>
          <w:p w14:paraId="48329941">
            <w:pPr>
              <w:adjustRightInd w:val="0"/>
              <w:snapToGrid w:val="0"/>
              <w:jc w:val="center"/>
              <w:rPr>
                <w:rFonts w:hint="eastAsia" w:ascii="宋体" w:hAnsi="宋体"/>
                <w:color w:val="000000" w:themeColor="text1"/>
                <w:kern w:val="0"/>
                <w:szCs w:val="21"/>
                <w14:textFill>
                  <w14:solidFill>
                    <w14:schemeClr w14:val="tx1"/>
                  </w14:solidFill>
                </w14:textFill>
              </w:rPr>
            </w:pPr>
            <w:r>
              <w:rPr>
                <w:rFonts w:ascii="宋体" w:hAnsi="宋体"/>
                <w:color w:val="000000" w:themeColor="text1"/>
                <w:kern w:val="0"/>
                <w:szCs w:val="21"/>
                <w14:textFill>
                  <w14:solidFill>
                    <w14:schemeClr w14:val="tx1"/>
                  </w14:solidFill>
                </w14:textFill>
              </w:rPr>
              <w:t>202</w:t>
            </w:r>
            <w:r>
              <w:rPr>
                <w:rFonts w:hint="eastAsia" w:ascii="宋体" w:hAnsi="宋体"/>
                <w:color w:val="000000" w:themeColor="text1"/>
                <w:kern w:val="0"/>
                <w:szCs w:val="21"/>
                <w14:textFill>
                  <w14:solidFill>
                    <w14:schemeClr w14:val="tx1"/>
                  </w14:solidFill>
                </w14:textFill>
              </w:rPr>
              <w:t>5.4.23</w:t>
            </w:r>
          </w:p>
        </w:tc>
        <w:tc>
          <w:tcPr>
            <w:tcW w:w="766" w:type="pct"/>
            <w:vAlign w:val="center"/>
          </w:tcPr>
          <w:p w14:paraId="582E3FB5">
            <w:pPr>
              <w:adjustRightInd w:val="0"/>
              <w:snapToGrid w:val="0"/>
              <w:jc w:val="center"/>
              <w:rPr>
                <w:rFonts w:hint="eastAsia" w:ascii="宋体" w:hAnsi="宋体"/>
                <w:color w:val="000000" w:themeColor="text1"/>
                <w:kern w:val="0"/>
                <w:szCs w:val="21"/>
                <w14:textFill>
                  <w14:solidFill>
                    <w14:schemeClr w14:val="tx1"/>
                  </w14:solidFill>
                </w14:textFill>
              </w:rPr>
            </w:pPr>
            <w:r>
              <w:rPr>
                <w:rFonts w:ascii="宋体" w:hAnsi="宋体"/>
                <w:color w:val="000000" w:themeColor="text1"/>
                <w:kern w:val="0"/>
                <w:szCs w:val="21"/>
                <w14:textFill>
                  <w14:solidFill>
                    <w14:schemeClr w14:val="tx1"/>
                  </w14:solidFill>
                </w14:textFill>
              </w:rPr>
              <w:t>上风向</w:t>
            </w:r>
          </w:p>
        </w:tc>
        <w:tc>
          <w:tcPr>
            <w:tcW w:w="785" w:type="pct"/>
            <w:vAlign w:val="center"/>
          </w:tcPr>
          <w:p w14:paraId="014EEE94">
            <w:pPr>
              <w:adjustRightInd w:val="0"/>
              <w:snapToGrid w:val="0"/>
              <w:jc w:val="center"/>
              <w:rPr>
                <w:rFonts w:hint="eastAsia" w:ascii="宋体" w:hAnsi="宋体"/>
                <w:color w:val="000000" w:themeColor="text1"/>
                <w:kern w:val="0"/>
                <w:szCs w:val="21"/>
                <w14:textFill>
                  <w14:solidFill>
                    <w14:schemeClr w14:val="tx1"/>
                  </w14:solidFill>
                </w14:textFill>
              </w:rPr>
            </w:pPr>
            <w:r>
              <w:rPr>
                <w:rFonts w:ascii="宋体" w:hAnsi="宋体"/>
                <w:color w:val="000000" w:themeColor="text1"/>
                <w:kern w:val="0"/>
                <w:szCs w:val="21"/>
                <w14:textFill>
                  <w14:solidFill>
                    <w14:schemeClr w14:val="tx1"/>
                  </w14:solidFill>
                </w14:textFill>
              </w:rPr>
              <w:t>硫化氢</w:t>
            </w:r>
          </w:p>
        </w:tc>
        <w:tc>
          <w:tcPr>
            <w:tcW w:w="867" w:type="pct"/>
            <w:vAlign w:val="center"/>
          </w:tcPr>
          <w:p w14:paraId="4C2365DA">
            <w:pPr>
              <w:adjustRightInd w:val="0"/>
              <w:snapToGrid w:val="0"/>
              <w:jc w:val="center"/>
              <w:rPr>
                <w:rFonts w:hint="eastAsia" w:ascii="宋体" w:hAnsi="宋体"/>
                <w:color w:val="000000" w:themeColor="text1"/>
                <w:kern w:val="0"/>
                <w:szCs w:val="21"/>
                <w14:textFill>
                  <w14:solidFill>
                    <w14:schemeClr w14:val="tx1"/>
                  </w14:solidFill>
                </w14:textFill>
              </w:rPr>
            </w:pPr>
            <w:r>
              <w:rPr>
                <w:rFonts w:ascii="宋体" w:hAnsi="宋体"/>
                <w:color w:val="000000" w:themeColor="text1"/>
                <w:kern w:val="0"/>
                <w:szCs w:val="21"/>
                <w14:textFill>
                  <w14:solidFill>
                    <w14:schemeClr w14:val="tx1"/>
                  </w14:solidFill>
                </w14:textFill>
              </w:rPr>
              <w:t>＜0.2×10</w:t>
            </w:r>
            <w:r>
              <w:rPr>
                <w:rFonts w:ascii="宋体" w:hAnsi="宋体"/>
                <w:color w:val="000000" w:themeColor="text1"/>
                <w:kern w:val="0"/>
                <w:szCs w:val="21"/>
                <w:vertAlign w:val="superscript"/>
                <w14:textFill>
                  <w14:solidFill>
                    <w14:schemeClr w14:val="tx1"/>
                  </w14:solidFill>
                </w14:textFill>
              </w:rPr>
              <w:t>-3</w:t>
            </w:r>
          </w:p>
        </w:tc>
        <w:tc>
          <w:tcPr>
            <w:tcW w:w="601" w:type="pct"/>
            <w:vAlign w:val="center"/>
          </w:tcPr>
          <w:p w14:paraId="05073DFB">
            <w:pPr>
              <w:adjustRightInd w:val="0"/>
              <w:snapToGrid w:val="0"/>
              <w:jc w:val="center"/>
              <w:rPr>
                <w:rFonts w:hint="eastAsia" w:ascii="宋体" w:hAnsi="宋体"/>
                <w:color w:val="000000" w:themeColor="text1"/>
                <w:kern w:val="0"/>
                <w:szCs w:val="21"/>
                <w14:textFill>
                  <w14:solidFill>
                    <w14:schemeClr w14:val="tx1"/>
                  </w14:solidFill>
                </w14:textFill>
              </w:rPr>
            </w:pPr>
            <w:r>
              <w:rPr>
                <w:rFonts w:ascii="宋体" w:hAnsi="宋体"/>
                <w:color w:val="000000" w:themeColor="text1"/>
                <w:kern w:val="0"/>
                <w:szCs w:val="21"/>
                <w14:textFill>
                  <w14:solidFill>
                    <w14:schemeClr w14:val="tx1"/>
                  </w14:solidFill>
                </w14:textFill>
              </w:rPr>
              <w:t>0.06</w:t>
            </w:r>
          </w:p>
        </w:tc>
        <w:tc>
          <w:tcPr>
            <w:tcW w:w="406" w:type="pct"/>
            <w:vAlign w:val="center"/>
          </w:tcPr>
          <w:p w14:paraId="01E186B3">
            <w:pPr>
              <w:adjustRightInd w:val="0"/>
              <w:snapToGrid w:val="0"/>
              <w:jc w:val="center"/>
              <w:rPr>
                <w:rFonts w:hint="eastAsia" w:ascii="宋体" w:hAnsi="宋体"/>
                <w:color w:val="000000" w:themeColor="text1"/>
                <w:kern w:val="0"/>
                <w:szCs w:val="21"/>
                <w14:textFill>
                  <w14:solidFill>
                    <w14:schemeClr w14:val="tx1"/>
                  </w14:solidFill>
                </w14:textFill>
              </w:rPr>
            </w:pPr>
            <w:r>
              <w:rPr>
                <w:rFonts w:ascii="宋体" w:hAnsi="宋体"/>
                <w:color w:val="000000" w:themeColor="text1"/>
                <w:kern w:val="0"/>
                <w:szCs w:val="21"/>
                <w14:textFill>
                  <w14:solidFill>
                    <w14:schemeClr w14:val="tx1"/>
                  </w14:solidFill>
                </w14:textFill>
              </w:rPr>
              <w:t>达标</w:t>
            </w:r>
          </w:p>
        </w:tc>
      </w:tr>
      <w:tr w14:paraId="5CA47A9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55" w:type="pct"/>
            <w:vMerge w:val="continue"/>
            <w:vAlign w:val="center"/>
          </w:tcPr>
          <w:p w14:paraId="4CA1D08B">
            <w:pPr>
              <w:widowControl/>
              <w:jc w:val="center"/>
              <w:rPr>
                <w:rFonts w:hint="eastAsia" w:ascii="宋体" w:hAnsi="宋体"/>
                <w:color w:val="000000" w:themeColor="text1"/>
                <w:kern w:val="0"/>
                <w:szCs w:val="21"/>
                <w14:textFill>
                  <w14:solidFill>
                    <w14:schemeClr w14:val="tx1"/>
                  </w14:solidFill>
                </w14:textFill>
              </w:rPr>
            </w:pPr>
          </w:p>
        </w:tc>
        <w:tc>
          <w:tcPr>
            <w:tcW w:w="395" w:type="pct"/>
            <w:vMerge w:val="continue"/>
            <w:vAlign w:val="center"/>
          </w:tcPr>
          <w:p w14:paraId="76CA3E2F">
            <w:pPr>
              <w:widowControl/>
              <w:jc w:val="center"/>
              <w:rPr>
                <w:rFonts w:hint="eastAsia" w:ascii="宋体" w:hAnsi="宋体"/>
                <w:color w:val="000000" w:themeColor="text1"/>
                <w:kern w:val="0"/>
                <w:szCs w:val="21"/>
                <w14:textFill>
                  <w14:solidFill>
                    <w14:schemeClr w14:val="tx1"/>
                  </w14:solidFill>
                </w14:textFill>
              </w:rPr>
            </w:pPr>
          </w:p>
        </w:tc>
        <w:tc>
          <w:tcPr>
            <w:tcW w:w="725" w:type="pct"/>
            <w:vMerge w:val="continue"/>
            <w:vAlign w:val="center"/>
          </w:tcPr>
          <w:p w14:paraId="47C07B2C">
            <w:pPr>
              <w:widowControl/>
              <w:jc w:val="center"/>
              <w:rPr>
                <w:rFonts w:hint="eastAsia" w:ascii="宋体" w:hAnsi="宋体"/>
                <w:color w:val="000000" w:themeColor="text1"/>
                <w:kern w:val="0"/>
                <w:szCs w:val="21"/>
                <w14:textFill>
                  <w14:solidFill>
                    <w14:schemeClr w14:val="tx1"/>
                  </w14:solidFill>
                </w14:textFill>
              </w:rPr>
            </w:pPr>
          </w:p>
        </w:tc>
        <w:tc>
          <w:tcPr>
            <w:tcW w:w="766" w:type="pct"/>
            <w:vAlign w:val="center"/>
          </w:tcPr>
          <w:p w14:paraId="3E42289E">
            <w:pPr>
              <w:adjustRightInd w:val="0"/>
              <w:snapToGrid w:val="0"/>
              <w:jc w:val="center"/>
              <w:rPr>
                <w:rFonts w:hint="eastAsia" w:ascii="宋体" w:hAnsi="宋体"/>
                <w:color w:val="000000" w:themeColor="text1"/>
                <w:kern w:val="0"/>
                <w:szCs w:val="21"/>
                <w14:textFill>
                  <w14:solidFill>
                    <w14:schemeClr w14:val="tx1"/>
                  </w14:solidFill>
                </w14:textFill>
              </w:rPr>
            </w:pPr>
            <w:r>
              <w:rPr>
                <w:rFonts w:ascii="宋体" w:hAnsi="宋体"/>
                <w:color w:val="000000" w:themeColor="text1"/>
                <w:kern w:val="0"/>
                <w:szCs w:val="21"/>
                <w14:textFill>
                  <w14:solidFill>
                    <w14:schemeClr w14:val="tx1"/>
                  </w14:solidFill>
                </w14:textFill>
              </w:rPr>
              <w:t>下风向</w:t>
            </w:r>
          </w:p>
        </w:tc>
        <w:tc>
          <w:tcPr>
            <w:tcW w:w="785" w:type="pct"/>
            <w:vAlign w:val="center"/>
          </w:tcPr>
          <w:p w14:paraId="0B1D02E1">
            <w:pPr>
              <w:adjustRightInd w:val="0"/>
              <w:snapToGrid w:val="0"/>
              <w:jc w:val="center"/>
              <w:rPr>
                <w:rFonts w:hint="eastAsia" w:ascii="宋体" w:hAnsi="宋体"/>
                <w:color w:val="000000" w:themeColor="text1"/>
                <w:kern w:val="0"/>
                <w:szCs w:val="21"/>
                <w14:textFill>
                  <w14:solidFill>
                    <w14:schemeClr w14:val="tx1"/>
                  </w14:solidFill>
                </w14:textFill>
              </w:rPr>
            </w:pPr>
            <w:r>
              <w:rPr>
                <w:rFonts w:ascii="宋体" w:hAnsi="宋体"/>
                <w:color w:val="000000" w:themeColor="text1"/>
                <w:kern w:val="0"/>
                <w:szCs w:val="21"/>
                <w14:textFill>
                  <w14:solidFill>
                    <w14:schemeClr w14:val="tx1"/>
                  </w14:solidFill>
                </w14:textFill>
              </w:rPr>
              <w:t>硫化氢</w:t>
            </w:r>
          </w:p>
        </w:tc>
        <w:tc>
          <w:tcPr>
            <w:tcW w:w="867" w:type="pct"/>
            <w:vAlign w:val="center"/>
          </w:tcPr>
          <w:p w14:paraId="73041E2B">
            <w:pPr>
              <w:adjustRightInd w:val="0"/>
              <w:snapToGrid w:val="0"/>
              <w:jc w:val="center"/>
              <w:rPr>
                <w:rFonts w:hint="eastAsia" w:ascii="宋体" w:hAnsi="宋体"/>
                <w:color w:val="000000" w:themeColor="text1"/>
                <w:kern w:val="0"/>
                <w:szCs w:val="21"/>
                <w14:textFill>
                  <w14:solidFill>
                    <w14:schemeClr w14:val="tx1"/>
                  </w14:solidFill>
                </w14:textFill>
              </w:rPr>
            </w:pPr>
            <w:r>
              <w:rPr>
                <w:rFonts w:ascii="宋体" w:hAnsi="宋体"/>
                <w:color w:val="000000" w:themeColor="text1"/>
                <w:kern w:val="0"/>
                <w:szCs w:val="21"/>
                <w14:textFill>
                  <w14:solidFill>
                    <w14:schemeClr w14:val="tx1"/>
                  </w14:solidFill>
                </w14:textFill>
              </w:rPr>
              <w:t>＜0.2×10</w:t>
            </w:r>
            <w:r>
              <w:rPr>
                <w:rFonts w:ascii="宋体" w:hAnsi="宋体"/>
                <w:color w:val="000000" w:themeColor="text1"/>
                <w:kern w:val="0"/>
                <w:szCs w:val="21"/>
                <w:vertAlign w:val="superscript"/>
                <w14:textFill>
                  <w14:solidFill>
                    <w14:schemeClr w14:val="tx1"/>
                  </w14:solidFill>
                </w14:textFill>
              </w:rPr>
              <w:t>-3</w:t>
            </w:r>
          </w:p>
        </w:tc>
        <w:tc>
          <w:tcPr>
            <w:tcW w:w="601" w:type="pct"/>
            <w:vAlign w:val="center"/>
          </w:tcPr>
          <w:p w14:paraId="00064CD0">
            <w:pPr>
              <w:adjustRightInd w:val="0"/>
              <w:snapToGrid w:val="0"/>
              <w:jc w:val="center"/>
              <w:rPr>
                <w:rFonts w:hint="eastAsia" w:ascii="宋体" w:hAnsi="宋体"/>
                <w:color w:val="000000" w:themeColor="text1"/>
                <w:kern w:val="0"/>
                <w:szCs w:val="21"/>
                <w14:textFill>
                  <w14:solidFill>
                    <w14:schemeClr w14:val="tx1"/>
                  </w14:solidFill>
                </w14:textFill>
              </w:rPr>
            </w:pPr>
            <w:r>
              <w:rPr>
                <w:rFonts w:ascii="宋体" w:hAnsi="宋体"/>
                <w:color w:val="000000" w:themeColor="text1"/>
                <w:kern w:val="0"/>
                <w:szCs w:val="21"/>
                <w14:textFill>
                  <w14:solidFill>
                    <w14:schemeClr w14:val="tx1"/>
                  </w14:solidFill>
                </w14:textFill>
              </w:rPr>
              <w:t>0.06</w:t>
            </w:r>
          </w:p>
        </w:tc>
        <w:tc>
          <w:tcPr>
            <w:tcW w:w="406" w:type="pct"/>
            <w:vAlign w:val="center"/>
          </w:tcPr>
          <w:p w14:paraId="0CBD7E57">
            <w:pPr>
              <w:adjustRightInd w:val="0"/>
              <w:snapToGrid w:val="0"/>
              <w:jc w:val="center"/>
              <w:rPr>
                <w:rFonts w:hint="eastAsia" w:ascii="宋体" w:hAnsi="宋体"/>
                <w:color w:val="000000" w:themeColor="text1"/>
                <w:kern w:val="0"/>
                <w:szCs w:val="21"/>
                <w14:textFill>
                  <w14:solidFill>
                    <w14:schemeClr w14:val="tx1"/>
                  </w14:solidFill>
                </w14:textFill>
              </w:rPr>
            </w:pPr>
            <w:r>
              <w:rPr>
                <w:rFonts w:ascii="宋体" w:hAnsi="宋体"/>
                <w:color w:val="000000" w:themeColor="text1"/>
                <w:kern w:val="0"/>
                <w:szCs w:val="21"/>
                <w14:textFill>
                  <w14:solidFill>
                    <w14:schemeClr w14:val="tx1"/>
                  </w14:solidFill>
                </w14:textFill>
              </w:rPr>
              <w:t>达标</w:t>
            </w:r>
          </w:p>
        </w:tc>
      </w:tr>
      <w:tr w14:paraId="084739A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55" w:type="pct"/>
            <w:vMerge w:val="continue"/>
            <w:vAlign w:val="center"/>
          </w:tcPr>
          <w:p w14:paraId="2D00CA92">
            <w:pPr>
              <w:widowControl/>
              <w:jc w:val="center"/>
              <w:rPr>
                <w:rFonts w:hint="eastAsia" w:ascii="宋体" w:hAnsi="宋体"/>
                <w:color w:val="000000" w:themeColor="text1"/>
                <w:kern w:val="0"/>
                <w:szCs w:val="21"/>
                <w14:textFill>
                  <w14:solidFill>
                    <w14:schemeClr w14:val="tx1"/>
                  </w14:solidFill>
                </w14:textFill>
              </w:rPr>
            </w:pPr>
          </w:p>
        </w:tc>
        <w:tc>
          <w:tcPr>
            <w:tcW w:w="395" w:type="pct"/>
            <w:vMerge w:val="continue"/>
            <w:vAlign w:val="center"/>
          </w:tcPr>
          <w:p w14:paraId="12681C22">
            <w:pPr>
              <w:widowControl/>
              <w:jc w:val="center"/>
              <w:rPr>
                <w:rFonts w:hint="eastAsia" w:ascii="宋体" w:hAnsi="宋体"/>
                <w:color w:val="000000" w:themeColor="text1"/>
                <w:kern w:val="0"/>
                <w:szCs w:val="21"/>
                <w14:textFill>
                  <w14:solidFill>
                    <w14:schemeClr w14:val="tx1"/>
                  </w14:solidFill>
                </w14:textFill>
              </w:rPr>
            </w:pPr>
          </w:p>
        </w:tc>
        <w:tc>
          <w:tcPr>
            <w:tcW w:w="725" w:type="pct"/>
            <w:vMerge w:val="continue"/>
            <w:vAlign w:val="center"/>
          </w:tcPr>
          <w:p w14:paraId="3F0BF6B4">
            <w:pPr>
              <w:widowControl/>
              <w:jc w:val="center"/>
              <w:rPr>
                <w:rFonts w:hint="eastAsia" w:ascii="宋体" w:hAnsi="宋体"/>
                <w:color w:val="000000" w:themeColor="text1"/>
                <w:kern w:val="0"/>
                <w:szCs w:val="21"/>
                <w14:textFill>
                  <w14:solidFill>
                    <w14:schemeClr w14:val="tx1"/>
                  </w14:solidFill>
                </w14:textFill>
              </w:rPr>
            </w:pPr>
          </w:p>
        </w:tc>
        <w:tc>
          <w:tcPr>
            <w:tcW w:w="766" w:type="pct"/>
            <w:vAlign w:val="center"/>
          </w:tcPr>
          <w:p w14:paraId="490433A1">
            <w:pPr>
              <w:adjustRightInd w:val="0"/>
              <w:snapToGrid w:val="0"/>
              <w:jc w:val="center"/>
              <w:rPr>
                <w:rFonts w:hint="eastAsia" w:ascii="宋体" w:hAnsi="宋体"/>
                <w:color w:val="000000" w:themeColor="text1"/>
                <w:kern w:val="0"/>
                <w:szCs w:val="21"/>
                <w14:textFill>
                  <w14:solidFill>
                    <w14:schemeClr w14:val="tx1"/>
                  </w14:solidFill>
                </w14:textFill>
              </w:rPr>
            </w:pPr>
            <w:r>
              <w:rPr>
                <w:rFonts w:ascii="宋体" w:hAnsi="宋体"/>
                <w:color w:val="000000" w:themeColor="text1"/>
                <w:kern w:val="0"/>
                <w:szCs w:val="21"/>
                <w14:textFill>
                  <w14:solidFill>
                    <w14:schemeClr w14:val="tx1"/>
                  </w14:solidFill>
                </w14:textFill>
              </w:rPr>
              <w:t>下风向</w:t>
            </w:r>
          </w:p>
        </w:tc>
        <w:tc>
          <w:tcPr>
            <w:tcW w:w="785" w:type="pct"/>
            <w:vAlign w:val="center"/>
          </w:tcPr>
          <w:p w14:paraId="413D71F8">
            <w:pPr>
              <w:adjustRightInd w:val="0"/>
              <w:snapToGrid w:val="0"/>
              <w:jc w:val="center"/>
              <w:rPr>
                <w:rFonts w:hint="eastAsia" w:ascii="宋体" w:hAnsi="宋体"/>
                <w:color w:val="000000" w:themeColor="text1"/>
                <w:kern w:val="0"/>
                <w:szCs w:val="21"/>
                <w14:textFill>
                  <w14:solidFill>
                    <w14:schemeClr w14:val="tx1"/>
                  </w14:solidFill>
                </w14:textFill>
              </w:rPr>
            </w:pPr>
            <w:r>
              <w:rPr>
                <w:rFonts w:ascii="宋体" w:hAnsi="宋体"/>
                <w:color w:val="000000" w:themeColor="text1"/>
                <w:kern w:val="0"/>
                <w:szCs w:val="21"/>
                <w14:textFill>
                  <w14:solidFill>
                    <w14:schemeClr w14:val="tx1"/>
                  </w14:solidFill>
                </w14:textFill>
              </w:rPr>
              <w:t>硫化氢</w:t>
            </w:r>
          </w:p>
        </w:tc>
        <w:tc>
          <w:tcPr>
            <w:tcW w:w="867" w:type="pct"/>
            <w:vAlign w:val="center"/>
          </w:tcPr>
          <w:p w14:paraId="6D49FFB2">
            <w:pPr>
              <w:adjustRightInd w:val="0"/>
              <w:snapToGrid w:val="0"/>
              <w:jc w:val="center"/>
              <w:rPr>
                <w:rFonts w:hint="eastAsia" w:ascii="宋体" w:hAnsi="宋体"/>
                <w:color w:val="000000" w:themeColor="text1"/>
                <w:kern w:val="0"/>
                <w:szCs w:val="21"/>
                <w14:textFill>
                  <w14:solidFill>
                    <w14:schemeClr w14:val="tx1"/>
                  </w14:solidFill>
                </w14:textFill>
              </w:rPr>
            </w:pPr>
            <w:r>
              <w:rPr>
                <w:rFonts w:ascii="宋体" w:hAnsi="宋体"/>
                <w:color w:val="000000" w:themeColor="text1"/>
                <w:kern w:val="0"/>
                <w:szCs w:val="21"/>
                <w14:textFill>
                  <w14:solidFill>
                    <w14:schemeClr w14:val="tx1"/>
                  </w14:solidFill>
                </w14:textFill>
              </w:rPr>
              <w:t>＜0.2×10</w:t>
            </w:r>
            <w:r>
              <w:rPr>
                <w:rFonts w:ascii="宋体" w:hAnsi="宋体"/>
                <w:color w:val="000000" w:themeColor="text1"/>
                <w:kern w:val="0"/>
                <w:szCs w:val="21"/>
                <w:vertAlign w:val="superscript"/>
                <w14:textFill>
                  <w14:solidFill>
                    <w14:schemeClr w14:val="tx1"/>
                  </w14:solidFill>
                </w14:textFill>
              </w:rPr>
              <w:t>-3</w:t>
            </w:r>
          </w:p>
        </w:tc>
        <w:tc>
          <w:tcPr>
            <w:tcW w:w="601" w:type="pct"/>
            <w:vAlign w:val="center"/>
          </w:tcPr>
          <w:p w14:paraId="4AE3503E">
            <w:pPr>
              <w:adjustRightInd w:val="0"/>
              <w:snapToGrid w:val="0"/>
              <w:jc w:val="center"/>
              <w:rPr>
                <w:rFonts w:hint="eastAsia" w:ascii="宋体" w:hAnsi="宋体"/>
                <w:color w:val="000000" w:themeColor="text1"/>
                <w:kern w:val="0"/>
                <w:szCs w:val="21"/>
                <w14:textFill>
                  <w14:solidFill>
                    <w14:schemeClr w14:val="tx1"/>
                  </w14:solidFill>
                </w14:textFill>
              </w:rPr>
            </w:pPr>
            <w:r>
              <w:rPr>
                <w:rFonts w:ascii="宋体" w:hAnsi="宋体"/>
                <w:color w:val="000000" w:themeColor="text1"/>
                <w:kern w:val="0"/>
                <w:szCs w:val="21"/>
                <w14:textFill>
                  <w14:solidFill>
                    <w14:schemeClr w14:val="tx1"/>
                  </w14:solidFill>
                </w14:textFill>
              </w:rPr>
              <w:t>0.06</w:t>
            </w:r>
          </w:p>
        </w:tc>
        <w:tc>
          <w:tcPr>
            <w:tcW w:w="406" w:type="pct"/>
            <w:vAlign w:val="center"/>
          </w:tcPr>
          <w:p w14:paraId="0D8A28AD">
            <w:pPr>
              <w:adjustRightInd w:val="0"/>
              <w:snapToGrid w:val="0"/>
              <w:jc w:val="center"/>
              <w:rPr>
                <w:rFonts w:hint="eastAsia" w:ascii="宋体" w:hAnsi="宋体"/>
                <w:color w:val="000000" w:themeColor="text1"/>
                <w:kern w:val="0"/>
                <w:szCs w:val="21"/>
                <w14:textFill>
                  <w14:solidFill>
                    <w14:schemeClr w14:val="tx1"/>
                  </w14:solidFill>
                </w14:textFill>
              </w:rPr>
            </w:pPr>
            <w:r>
              <w:rPr>
                <w:rFonts w:ascii="宋体" w:hAnsi="宋体"/>
                <w:color w:val="000000" w:themeColor="text1"/>
                <w:kern w:val="0"/>
                <w:szCs w:val="21"/>
                <w14:textFill>
                  <w14:solidFill>
                    <w14:schemeClr w14:val="tx1"/>
                  </w14:solidFill>
                </w14:textFill>
              </w:rPr>
              <w:t>达标</w:t>
            </w:r>
          </w:p>
        </w:tc>
      </w:tr>
      <w:tr w14:paraId="4C411F3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55" w:type="pct"/>
            <w:vMerge w:val="continue"/>
            <w:vAlign w:val="center"/>
          </w:tcPr>
          <w:p w14:paraId="2F7ACBF4">
            <w:pPr>
              <w:widowControl/>
              <w:jc w:val="center"/>
              <w:rPr>
                <w:rFonts w:hint="eastAsia" w:ascii="宋体" w:hAnsi="宋体"/>
                <w:color w:val="000000" w:themeColor="text1"/>
                <w:kern w:val="0"/>
                <w:szCs w:val="21"/>
                <w14:textFill>
                  <w14:solidFill>
                    <w14:schemeClr w14:val="tx1"/>
                  </w14:solidFill>
                </w14:textFill>
              </w:rPr>
            </w:pPr>
          </w:p>
        </w:tc>
        <w:tc>
          <w:tcPr>
            <w:tcW w:w="395" w:type="pct"/>
            <w:vMerge w:val="continue"/>
            <w:vAlign w:val="center"/>
          </w:tcPr>
          <w:p w14:paraId="14EF09CA">
            <w:pPr>
              <w:widowControl/>
              <w:jc w:val="center"/>
              <w:rPr>
                <w:rFonts w:hint="eastAsia" w:ascii="宋体" w:hAnsi="宋体"/>
                <w:color w:val="000000" w:themeColor="text1"/>
                <w:kern w:val="0"/>
                <w:szCs w:val="21"/>
                <w14:textFill>
                  <w14:solidFill>
                    <w14:schemeClr w14:val="tx1"/>
                  </w14:solidFill>
                </w14:textFill>
              </w:rPr>
            </w:pPr>
          </w:p>
        </w:tc>
        <w:tc>
          <w:tcPr>
            <w:tcW w:w="725" w:type="pct"/>
            <w:vMerge w:val="continue"/>
            <w:vAlign w:val="center"/>
          </w:tcPr>
          <w:p w14:paraId="31573C10">
            <w:pPr>
              <w:widowControl/>
              <w:jc w:val="center"/>
              <w:rPr>
                <w:rFonts w:hint="eastAsia" w:ascii="宋体" w:hAnsi="宋体"/>
                <w:color w:val="000000" w:themeColor="text1"/>
                <w:kern w:val="0"/>
                <w:szCs w:val="21"/>
                <w14:textFill>
                  <w14:solidFill>
                    <w14:schemeClr w14:val="tx1"/>
                  </w14:solidFill>
                </w14:textFill>
              </w:rPr>
            </w:pPr>
          </w:p>
        </w:tc>
        <w:tc>
          <w:tcPr>
            <w:tcW w:w="766" w:type="pct"/>
            <w:vAlign w:val="center"/>
          </w:tcPr>
          <w:p w14:paraId="7AA7F5B2">
            <w:pPr>
              <w:adjustRightInd w:val="0"/>
              <w:snapToGrid w:val="0"/>
              <w:jc w:val="center"/>
              <w:rPr>
                <w:rFonts w:hint="eastAsia" w:ascii="宋体" w:hAnsi="宋体"/>
                <w:color w:val="000000" w:themeColor="text1"/>
                <w:kern w:val="0"/>
                <w:szCs w:val="21"/>
                <w14:textFill>
                  <w14:solidFill>
                    <w14:schemeClr w14:val="tx1"/>
                  </w14:solidFill>
                </w14:textFill>
              </w:rPr>
            </w:pPr>
            <w:r>
              <w:rPr>
                <w:rFonts w:ascii="宋体" w:hAnsi="宋体"/>
                <w:color w:val="000000" w:themeColor="text1"/>
                <w:kern w:val="0"/>
                <w:szCs w:val="21"/>
                <w14:textFill>
                  <w14:solidFill>
                    <w14:schemeClr w14:val="tx1"/>
                  </w14:solidFill>
                </w14:textFill>
              </w:rPr>
              <w:t>下风向</w:t>
            </w:r>
          </w:p>
        </w:tc>
        <w:tc>
          <w:tcPr>
            <w:tcW w:w="785" w:type="pct"/>
            <w:vAlign w:val="center"/>
          </w:tcPr>
          <w:p w14:paraId="18899D3C">
            <w:pPr>
              <w:adjustRightInd w:val="0"/>
              <w:snapToGrid w:val="0"/>
              <w:jc w:val="center"/>
              <w:rPr>
                <w:rFonts w:hint="eastAsia" w:ascii="宋体" w:hAnsi="宋体"/>
                <w:color w:val="000000" w:themeColor="text1"/>
                <w:kern w:val="0"/>
                <w:szCs w:val="21"/>
                <w14:textFill>
                  <w14:solidFill>
                    <w14:schemeClr w14:val="tx1"/>
                  </w14:solidFill>
                </w14:textFill>
              </w:rPr>
            </w:pPr>
            <w:r>
              <w:rPr>
                <w:rFonts w:ascii="宋体" w:hAnsi="宋体"/>
                <w:color w:val="000000" w:themeColor="text1"/>
                <w:kern w:val="0"/>
                <w:szCs w:val="21"/>
                <w14:textFill>
                  <w14:solidFill>
                    <w14:schemeClr w14:val="tx1"/>
                  </w14:solidFill>
                </w14:textFill>
              </w:rPr>
              <w:t>硫化氢</w:t>
            </w:r>
          </w:p>
        </w:tc>
        <w:tc>
          <w:tcPr>
            <w:tcW w:w="867" w:type="pct"/>
            <w:vAlign w:val="center"/>
          </w:tcPr>
          <w:p w14:paraId="7261CC1A">
            <w:pPr>
              <w:adjustRightInd w:val="0"/>
              <w:snapToGrid w:val="0"/>
              <w:jc w:val="center"/>
              <w:rPr>
                <w:rFonts w:hint="eastAsia" w:ascii="宋体" w:hAnsi="宋体"/>
                <w:color w:val="000000" w:themeColor="text1"/>
                <w:kern w:val="0"/>
                <w:szCs w:val="21"/>
                <w14:textFill>
                  <w14:solidFill>
                    <w14:schemeClr w14:val="tx1"/>
                  </w14:solidFill>
                </w14:textFill>
              </w:rPr>
            </w:pPr>
            <w:r>
              <w:rPr>
                <w:rFonts w:ascii="宋体" w:hAnsi="宋体"/>
                <w:color w:val="000000" w:themeColor="text1"/>
                <w:kern w:val="0"/>
                <w:szCs w:val="21"/>
                <w14:textFill>
                  <w14:solidFill>
                    <w14:schemeClr w14:val="tx1"/>
                  </w14:solidFill>
                </w14:textFill>
              </w:rPr>
              <w:t>＜0.2×10</w:t>
            </w:r>
            <w:r>
              <w:rPr>
                <w:rFonts w:ascii="宋体" w:hAnsi="宋体"/>
                <w:color w:val="000000" w:themeColor="text1"/>
                <w:kern w:val="0"/>
                <w:szCs w:val="21"/>
                <w:vertAlign w:val="superscript"/>
                <w14:textFill>
                  <w14:solidFill>
                    <w14:schemeClr w14:val="tx1"/>
                  </w14:solidFill>
                </w14:textFill>
              </w:rPr>
              <w:t>-3</w:t>
            </w:r>
          </w:p>
        </w:tc>
        <w:tc>
          <w:tcPr>
            <w:tcW w:w="601" w:type="pct"/>
            <w:vAlign w:val="center"/>
          </w:tcPr>
          <w:p w14:paraId="2CE00253">
            <w:pPr>
              <w:adjustRightInd w:val="0"/>
              <w:snapToGrid w:val="0"/>
              <w:jc w:val="center"/>
              <w:rPr>
                <w:rFonts w:hint="eastAsia" w:ascii="宋体" w:hAnsi="宋体"/>
                <w:color w:val="000000" w:themeColor="text1"/>
                <w:kern w:val="0"/>
                <w:szCs w:val="21"/>
                <w14:textFill>
                  <w14:solidFill>
                    <w14:schemeClr w14:val="tx1"/>
                  </w14:solidFill>
                </w14:textFill>
              </w:rPr>
            </w:pPr>
            <w:r>
              <w:rPr>
                <w:rFonts w:ascii="宋体" w:hAnsi="宋体"/>
                <w:color w:val="000000" w:themeColor="text1"/>
                <w:kern w:val="0"/>
                <w:szCs w:val="21"/>
                <w14:textFill>
                  <w14:solidFill>
                    <w14:schemeClr w14:val="tx1"/>
                  </w14:solidFill>
                </w14:textFill>
              </w:rPr>
              <w:t>0.06</w:t>
            </w:r>
          </w:p>
        </w:tc>
        <w:tc>
          <w:tcPr>
            <w:tcW w:w="406" w:type="pct"/>
            <w:vAlign w:val="center"/>
          </w:tcPr>
          <w:p w14:paraId="28C5EDD0">
            <w:pPr>
              <w:adjustRightInd w:val="0"/>
              <w:snapToGrid w:val="0"/>
              <w:jc w:val="center"/>
              <w:rPr>
                <w:rFonts w:hint="eastAsia" w:ascii="宋体" w:hAnsi="宋体"/>
                <w:color w:val="000000" w:themeColor="text1"/>
                <w:kern w:val="0"/>
                <w:szCs w:val="21"/>
                <w14:textFill>
                  <w14:solidFill>
                    <w14:schemeClr w14:val="tx1"/>
                  </w14:solidFill>
                </w14:textFill>
              </w:rPr>
            </w:pPr>
            <w:r>
              <w:rPr>
                <w:rFonts w:ascii="宋体" w:hAnsi="宋体"/>
                <w:color w:val="000000" w:themeColor="text1"/>
                <w:kern w:val="0"/>
                <w:szCs w:val="21"/>
                <w14:textFill>
                  <w14:solidFill>
                    <w14:schemeClr w14:val="tx1"/>
                  </w14:solidFill>
                </w14:textFill>
              </w:rPr>
              <w:t>达标</w:t>
            </w:r>
          </w:p>
        </w:tc>
      </w:tr>
      <w:tr w14:paraId="6B72AAF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50" w:type="pct"/>
            <w:gridSpan w:val="2"/>
            <w:vMerge w:val="restart"/>
            <w:vAlign w:val="center"/>
          </w:tcPr>
          <w:p w14:paraId="7957C5AA">
            <w:pPr>
              <w:widowControl/>
              <w:jc w:val="center"/>
              <w:rPr>
                <w:rFonts w:hint="eastAsia" w:ascii="宋体" w:hAnsi="宋体"/>
                <w:color w:val="000000" w:themeColor="text1"/>
                <w:kern w:val="0"/>
                <w:szCs w:val="21"/>
                <w14:textFill>
                  <w14:solidFill>
                    <w14:schemeClr w14:val="tx1"/>
                  </w14:solidFill>
                </w14:textFill>
              </w:rPr>
            </w:pPr>
            <w:r>
              <w:rPr>
                <w:rFonts w:ascii="宋体" w:hAnsi="宋体"/>
                <w:color w:val="000000" w:themeColor="text1"/>
                <w:kern w:val="0"/>
                <w:szCs w:val="21"/>
                <w14:textFill>
                  <w14:solidFill>
                    <w14:schemeClr w14:val="tx1"/>
                  </w14:solidFill>
                </w14:textFill>
              </w:rPr>
              <w:t>J10020</w:t>
            </w:r>
            <w:r>
              <w:rPr>
                <w:rFonts w:hint="eastAsia" w:ascii="宋体" w:hAnsi="宋体"/>
                <w:color w:val="000000" w:themeColor="text1"/>
                <w:kern w:val="0"/>
                <w:szCs w:val="21"/>
                <w14:textFill>
                  <w14:solidFill>
                    <w14:schemeClr w14:val="tx1"/>
                  </w14:solidFill>
                </w14:textFill>
              </w:rPr>
              <w:t>_</w:t>
            </w:r>
            <w:r>
              <w:rPr>
                <w:rFonts w:ascii="宋体" w:hAnsi="宋体"/>
                <w:color w:val="000000" w:themeColor="text1"/>
                <w:kern w:val="0"/>
                <w:szCs w:val="21"/>
                <w14:textFill>
                  <w14:solidFill>
                    <w14:schemeClr w14:val="tx1"/>
                  </w14:solidFill>
                </w14:textFill>
              </w:rPr>
              <w:t>H</w:t>
            </w:r>
            <w:r>
              <w:rPr>
                <w:rFonts w:hint="eastAsia" w:ascii="宋体" w:hAnsi="宋体"/>
                <w:color w:val="000000" w:themeColor="text1"/>
                <w:kern w:val="0"/>
                <w:szCs w:val="21"/>
                <w14:textFill>
                  <w14:solidFill>
                    <w14:schemeClr w14:val="tx1"/>
                  </w14:solidFill>
                </w14:textFill>
              </w:rPr>
              <w:t>井场</w:t>
            </w:r>
          </w:p>
        </w:tc>
        <w:tc>
          <w:tcPr>
            <w:tcW w:w="725" w:type="pct"/>
            <w:vMerge w:val="restart"/>
            <w:vAlign w:val="center"/>
          </w:tcPr>
          <w:p w14:paraId="3747038B">
            <w:pPr>
              <w:widowControl/>
              <w:jc w:val="center"/>
              <w:rPr>
                <w:rFonts w:hint="eastAsia"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2021.1.21-1.22</w:t>
            </w:r>
          </w:p>
        </w:tc>
        <w:tc>
          <w:tcPr>
            <w:tcW w:w="766" w:type="pct"/>
            <w:vAlign w:val="center"/>
          </w:tcPr>
          <w:p w14:paraId="3A5FBDD8">
            <w:pPr>
              <w:adjustRightInd w:val="0"/>
              <w:snapToGrid w:val="0"/>
              <w:jc w:val="center"/>
              <w:rPr>
                <w:rFonts w:hint="eastAsia"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上风向</w:t>
            </w:r>
          </w:p>
        </w:tc>
        <w:tc>
          <w:tcPr>
            <w:tcW w:w="785" w:type="pct"/>
            <w:vAlign w:val="center"/>
          </w:tcPr>
          <w:p w14:paraId="0602D2DA">
            <w:pPr>
              <w:adjustRightInd w:val="0"/>
              <w:snapToGrid w:val="0"/>
              <w:jc w:val="center"/>
              <w:rPr>
                <w:rFonts w:hint="eastAsia"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非甲烷总烃</w:t>
            </w:r>
          </w:p>
        </w:tc>
        <w:tc>
          <w:tcPr>
            <w:tcW w:w="867" w:type="pct"/>
          </w:tcPr>
          <w:p w14:paraId="355F9E55">
            <w:pPr>
              <w:adjustRightInd w:val="0"/>
              <w:snapToGrid w:val="0"/>
              <w:jc w:val="center"/>
              <w:rPr>
                <w:rFonts w:hint="eastAsia"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0.48～0.50</w:t>
            </w:r>
          </w:p>
        </w:tc>
        <w:tc>
          <w:tcPr>
            <w:tcW w:w="601" w:type="pct"/>
            <w:vAlign w:val="center"/>
          </w:tcPr>
          <w:p w14:paraId="3049F201">
            <w:pPr>
              <w:adjustRightInd w:val="0"/>
              <w:snapToGrid w:val="0"/>
              <w:jc w:val="center"/>
              <w:rPr>
                <w:rFonts w:hint="eastAsia" w:ascii="宋体" w:hAnsi="宋体"/>
                <w:color w:val="000000" w:themeColor="text1"/>
                <w:kern w:val="0"/>
                <w:szCs w:val="21"/>
                <w14:textFill>
                  <w14:solidFill>
                    <w14:schemeClr w14:val="tx1"/>
                  </w14:solidFill>
                </w14:textFill>
              </w:rPr>
            </w:pPr>
            <w:r>
              <w:rPr>
                <w:rFonts w:ascii="宋体" w:hAnsi="宋体"/>
                <w:color w:val="000000" w:themeColor="text1"/>
                <w:kern w:val="0"/>
                <w:szCs w:val="21"/>
                <w14:textFill>
                  <w14:solidFill>
                    <w14:schemeClr w14:val="tx1"/>
                  </w14:solidFill>
                </w14:textFill>
              </w:rPr>
              <w:t>4</w:t>
            </w:r>
          </w:p>
        </w:tc>
        <w:tc>
          <w:tcPr>
            <w:tcW w:w="406" w:type="pct"/>
            <w:vAlign w:val="center"/>
          </w:tcPr>
          <w:p w14:paraId="1FD5E303">
            <w:pPr>
              <w:adjustRightInd w:val="0"/>
              <w:snapToGrid w:val="0"/>
              <w:jc w:val="center"/>
              <w:rPr>
                <w:rFonts w:hint="eastAsia" w:ascii="宋体" w:hAnsi="宋体"/>
                <w:color w:val="000000" w:themeColor="text1"/>
                <w:kern w:val="0"/>
                <w:szCs w:val="21"/>
                <w14:textFill>
                  <w14:solidFill>
                    <w14:schemeClr w14:val="tx1"/>
                  </w14:solidFill>
                </w14:textFill>
              </w:rPr>
            </w:pPr>
            <w:r>
              <w:rPr>
                <w:rFonts w:ascii="宋体" w:hAnsi="宋体"/>
                <w:color w:val="000000" w:themeColor="text1"/>
                <w:kern w:val="0"/>
                <w:szCs w:val="21"/>
                <w14:textFill>
                  <w14:solidFill>
                    <w14:schemeClr w14:val="tx1"/>
                  </w14:solidFill>
                </w14:textFill>
              </w:rPr>
              <w:t>达标</w:t>
            </w:r>
          </w:p>
        </w:tc>
      </w:tr>
      <w:tr w14:paraId="13D0F2C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50" w:type="pct"/>
            <w:gridSpan w:val="2"/>
            <w:vMerge w:val="continue"/>
            <w:vAlign w:val="center"/>
          </w:tcPr>
          <w:p w14:paraId="29161E33">
            <w:pPr>
              <w:widowControl/>
              <w:jc w:val="center"/>
              <w:rPr>
                <w:rFonts w:hint="eastAsia" w:ascii="宋体" w:hAnsi="宋体"/>
                <w:color w:val="000000" w:themeColor="text1"/>
                <w:kern w:val="0"/>
                <w:szCs w:val="21"/>
                <w14:textFill>
                  <w14:solidFill>
                    <w14:schemeClr w14:val="tx1"/>
                  </w14:solidFill>
                </w14:textFill>
              </w:rPr>
            </w:pPr>
          </w:p>
        </w:tc>
        <w:tc>
          <w:tcPr>
            <w:tcW w:w="725" w:type="pct"/>
            <w:vMerge w:val="continue"/>
            <w:vAlign w:val="center"/>
          </w:tcPr>
          <w:p w14:paraId="50915B39">
            <w:pPr>
              <w:widowControl/>
              <w:jc w:val="center"/>
              <w:rPr>
                <w:rFonts w:hint="eastAsia" w:ascii="宋体" w:hAnsi="宋体"/>
                <w:color w:val="000000" w:themeColor="text1"/>
                <w:kern w:val="0"/>
                <w:szCs w:val="21"/>
                <w14:textFill>
                  <w14:solidFill>
                    <w14:schemeClr w14:val="tx1"/>
                  </w14:solidFill>
                </w14:textFill>
              </w:rPr>
            </w:pPr>
          </w:p>
        </w:tc>
        <w:tc>
          <w:tcPr>
            <w:tcW w:w="766" w:type="pct"/>
            <w:vAlign w:val="center"/>
          </w:tcPr>
          <w:p w14:paraId="73658B98">
            <w:pPr>
              <w:adjustRightInd w:val="0"/>
              <w:snapToGrid w:val="0"/>
              <w:jc w:val="center"/>
              <w:rPr>
                <w:rFonts w:hint="eastAsia"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下风向</w:t>
            </w:r>
          </w:p>
        </w:tc>
        <w:tc>
          <w:tcPr>
            <w:tcW w:w="785" w:type="pct"/>
            <w:vAlign w:val="center"/>
          </w:tcPr>
          <w:p w14:paraId="19A94A05">
            <w:pPr>
              <w:adjustRightInd w:val="0"/>
              <w:snapToGrid w:val="0"/>
              <w:jc w:val="center"/>
              <w:rPr>
                <w:rFonts w:hint="eastAsia"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非甲烷总烃</w:t>
            </w:r>
          </w:p>
        </w:tc>
        <w:tc>
          <w:tcPr>
            <w:tcW w:w="867" w:type="pct"/>
          </w:tcPr>
          <w:p w14:paraId="0E8968C7">
            <w:pPr>
              <w:adjustRightInd w:val="0"/>
              <w:snapToGrid w:val="0"/>
              <w:jc w:val="center"/>
              <w:rPr>
                <w:rFonts w:hint="eastAsia"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0.53～0.64</w:t>
            </w:r>
          </w:p>
        </w:tc>
        <w:tc>
          <w:tcPr>
            <w:tcW w:w="601" w:type="pct"/>
            <w:vAlign w:val="center"/>
          </w:tcPr>
          <w:p w14:paraId="48854E4B">
            <w:pPr>
              <w:adjustRightInd w:val="0"/>
              <w:snapToGrid w:val="0"/>
              <w:jc w:val="center"/>
              <w:rPr>
                <w:rFonts w:hint="eastAsia" w:ascii="宋体" w:hAnsi="宋体"/>
                <w:color w:val="000000" w:themeColor="text1"/>
                <w:kern w:val="0"/>
                <w:szCs w:val="21"/>
                <w14:textFill>
                  <w14:solidFill>
                    <w14:schemeClr w14:val="tx1"/>
                  </w14:solidFill>
                </w14:textFill>
              </w:rPr>
            </w:pPr>
            <w:r>
              <w:rPr>
                <w:rFonts w:ascii="宋体" w:hAnsi="宋体"/>
                <w:color w:val="000000" w:themeColor="text1"/>
                <w:kern w:val="0"/>
                <w:szCs w:val="21"/>
                <w14:textFill>
                  <w14:solidFill>
                    <w14:schemeClr w14:val="tx1"/>
                  </w14:solidFill>
                </w14:textFill>
              </w:rPr>
              <w:t>4</w:t>
            </w:r>
          </w:p>
        </w:tc>
        <w:tc>
          <w:tcPr>
            <w:tcW w:w="406" w:type="pct"/>
            <w:vAlign w:val="center"/>
          </w:tcPr>
          <w:p w14:paraId="3D196F55">
            <w:pPr>
              <w:adjustRightInd w:val="0"/>
              <w:snapToGrid w:val="0"/>
              <w:jc w:val="center"/>
              <w:rPr>
                <w:rFonts w:hint="eastAsia" w:ascii="宋体" w:hAnsi="宋体"/>
                <w:color w:val="000000" w:themeColor="text1"/>
                <w:kern w:val="0"/>
                <w:szCs w:val="21"/>
                <w14:textFill>
                  <w14:solidFill>
                    <w14:schemeClr w14:val="tx1"/>
                  </w14:solidFill>
                </w14:textFill>
              </w:rPr>
            </w:pPr>
            <w:r>
              <w:rPr>
                <w:rFonts w:ascii="宋体" w:hAnsi="宋体"/>
                <w:color w:val="000000" w:themeColor="text1"/>
                <w:kern w:val="0"/>
                <w:szCs w:val="21"/>
                <w14:textFill>
                  <w14:solidFill>
                    <w14:schemeClr w14:val="tx1"/>
                  </w14:solidFill>
                </w14:textFill>
              </w:rPr>
              <w:t>达标</w:t>
            </w:r>
          </w:p>
        </w:tc>
      </w:tr>
      <w:tr w14:paraId="36875E6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50" w:type="pct"/>
            <w:gridSpan w:val="2"/>
            <w:vMerge w:val="continue"/>
            <w:vAlign w:val="center"/>
          </w:tcPr>
          <w:p w14:paraId="51FED9DE">
            <w:pPr>
              <w:widowControl/>
              <w:jc w:val="center"/>
              <w:rPr>
                <w:rFonts w:hint="eastAsia" w:ascii="宋体" w:hAnsi="宋体"/>
                <w:color w:val="000000" w:themeColor="text1"/>
                <w:kern w:val="0"/>
                <w:szCs w:val="21"/>
                <w14:textFill>
                  <w14:solidFill>
                    <w14:schemeClr w14:val="tx1"/>
                  </w14:solidFill>
                </w14:textFill>
              </w:rPr>
            </w:pPr>
          </w:p>
        </w:tc>
        <w:tc>
          <w:tcPr>
            <w:tcW w:w="725" w:type="pct"/>
            <w:vMerge w:val="continue"/>
            <w:vAlign w:val="center"/>
          </w:tcPr>
          <w:p w14:paraId="38F8F31D">
            <w:pPr>
              <w:widowControl/>
              <w:jc w:val="center"/>
              <w:rPr>
                <w:rFonts w:hint="eastAsia" w:ascii="宋体" w:hAnsi="宋体"/>
                <w:color w:val="000000" w:themeColor="text1"/>
                <w:kern w:val="0"/>
                <w:szCs w:val="21"/>
                <w14:textFill>
                  <w14:solidFill>
                    <w14:schemeClr w14:val="tx1"/>
                  </w14:solidFill>
                </w14:textFill>
              </w:rPr>
            </w:pPr>
          </w:p>
        </w:tc>
        <w:tc>
          <w:tcPr>
            <w:tcW w:w="766" w:type="pct"/>
            <w:vAlign w:val="center"/>
          </w:tcPr>
          <w:p w14:paraId="419374BB">
            <w:pPr>
              <w:adjustRightInd w:val="0"/>
              <w:snapToGrid w:val="0"/>
              <w:jc w:val="center"/>
              <w:rPr>
                <w:rFonts w:hint="eastAsia"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下风向</w:t>
            </w:r>
          </w:p>
        </w:tc>
        <w:tc>
          <w:tcPr>
            <w:tcW w:w="785" w:type="pct"/>
            <w:vAlign w:val="center"/>
          </w:tcPr>
          <w:p w14:paraId="50F1F190">
            <w:pPr>
              <w:adjustRightInd w:val="0"/>
              <w:snapToGrid w:val="0"/>
              <w:jc w:val="center"/>
              <w:rPr>
                <w:rFonts w:hint="eastAsia"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非甲烷总烃</w:t>
            </w:r>
          </w:p>
        </w:tc>
        <w:tc>
          <w:tcPr>
            <w:tcW w:w="867" w:type="pct"/>
          </w:tcPr>
          <w:p w14:paraId="6CCD1406">
            <w:pPr>
              <w:adjustRightInd w:val="0"/>
              <w:snapToGrid w:val="0"/>
              <w:jc w:val="center"/>
              <w:rPr>
                <w:rFonts w:hint="eastAsia"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0.49～0.54</w:t>
            </w:r>
          </w:p>
        </w:tc>
        <w:tc>
          <w:tcPr>
            <w:tcW w:w="601" w:type="pct"/>
            <w:vAlign w:val="center"/>
          </w:tcPr>
          <w:p w14:paraId="12862DE8">
            <w:pPr>
              <w:adjustRightInd w:val="0"/>
              <w:snapToGrid w:val="0"/>
              <w:jc w:val="center"/>
              <w:rPr>
                <w:rFonts w:hint="eastAsia" w:ascii="宋体" w:hAnsi="宋体"/>
                <w:color w:val="000000" w:themeColor="text1"/>
                <w:kern w:val="0"/>
                <w:szCs w:val="21"/>
                <w14:textFill>
                  <w14:solidFill>
                    <w14:schemeClr w14:val="tx1"/>
                  </w14:solidFill>
                </w14:textFill>
              </w:rPr>
            </w:pPr>
            <w:r>
              <w:rPr>
                <w:rFonts w:ascii="宋体" w:hAnsi="宋体"/>
                <w:color w:val="000000" w:themeColor="text1"/>
                <w:kern w:val="0"/>
                <w:szCs w:val="21"/>
                <w14:textFill>
                  <w14:solidFill>
                    <w14:schemeClr w14:val="tx1"/>
                  </w14:solidFill>
                </w14:textFill>
              </w:rPr>
              <w:t>4</w:t>
            </w:r>
          </w:p>
        </w:tc>
        <w:tc>
          <w:tcPr>
            <w:tcW w:w="406" w:type="pct"/>
            <w:vAlign w:val="center"/>
          </w:tcPr>
          <w:p w14:paraId="409BDD58">
            <w:pPr>
              <w:adjustRightInd w:val="0"/>
              <w:snapToGrid w:val="0"/>
              <w:jc w:val="center"/>
              <w:rPr>
                <w:rFonts w:hint="eastAsia" w:ascii="宋体" w:hAnsi="宋体"/>
                <w:color w:val="000000" w:themeColor="text1"/>
                <w:kern w:val="0"/>
                <w:szCs w:val="21"/>
                <w14:textFill>
                  <w14:solidFill>
                    <w14:schemeClr w14:val="tx1"/>
                  </w14:solidFill>
                </w14:textFill>
              </w:rPr>
            </w:pPr>
            <w:r>
              <w:rPr>
                <w:rFonts w:ascii="宋体" w:hAnsi="宋体"/>
                <w:color w:val="000000" w:themeColor="text1"/>
                <w:kern w:val="0"/>
                <w:szCs w:val="21"/>
                <w14:textFill>
                  <w14:solidFill>
                    <w14:schemeClr w14:val="tx1"/>
                  </w14:solidFill>
                </w14:textFill>
              </w:rPr>
              <w:t>达标</w:t>
            </w:r>
          </w:p>
        </w:tc>
      </w:tr>
      <w:tr w14:paraId="751CE98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50" w:type="pct"/>
            <w:gridSpan w:val="2"/>
            <w:vMerge w:val="continue"/>
            <w:vAlign w:val="center"/>
          </w:tcPr>
          <w:p w14:paraId="023E2CD4">
            <w:pPr>
              <w:widowControl/>
              <w:jc w:val="center"/>
              <w:rPr>
                <w:rFonts w:hint="eastAsia" w:ascii="宋体" w:hAnsi="宋体"/>
                <w:color w:val="000000" w:themeColor="text1"/>
                <w:kern w:val="0"/>
                <w:szCs w:val="21"/>
                <w14:textFill>
                  <w14:solidFill>
                    <w14:schemeClr w14:val="tx1"/>
                  </w14:solidFill>
                </w14:textFill>
              </w:rPr>
            </w:pPr>
          </w:p>
        </w:tc>
        <w:tc>
          <w:tcPr>
            <w:tcW w:w="725" w:type="pct"/>
            <w:vMerge w:val="continue"/>
            <w:vAlign w:val="center"/>
          </w:tcPr>
          <w:p w14:paraId="264A8175">
            <w:pPr>
              <w:widowControl/>
              <w:jc w:val="center"/>
              <w:rPr>
                <w:rFonts w:hint="eastAsia" w:ascii="宋体" w:hAnsi="宋体"/>
                <w:color w:val="000000" w:themeColor="text1"/>
                <w:kern w:val="0"/>
                <w:szCs w:val="21"/>
                <w14:textFill>
                  <w14:solidFill>
                    <w14:schemeClr w14:val="tx1"/>
                  </w14:solidFill>
                </w14:textFill>
              </w:rPr>
            </w:pPr>
          </w:p>
        </w:tc>
        <w:tc>
          <w:tcPr>
            <w:tcW w:w="766" w:type="pct"/>
            <w:vAlign w:val="center"/>
          </w:tcPr>
          <w:p w14:paraId="13552114">
            <w:pPr>
              <w:adjustRightInd w:val="0"/>
              <w:snapToGrid w:val="0"/>
              <w:jc w:val="center"/>
              <w:rPr>
                <w:rFonts w:hint="eastAsia"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下风向</w:t>
            </w:r>
          </w:p>
        </w:tc>
        <w:tc>
          <w:tcPr>
            <w:tcW w:w="785" w:type="pct"/>
            <w:vAlign w:val="center"/>
          </w:tcPr>
          <w:p w14:paraId="43E2AFE4">
            <w:pPr>
              <w:adjustRightInd w:val="0"/>
              <w:snapToGrid w:val="0"/>
              <w:jc w:val="center"/>
              <w:rPr>
                <w:rFonts w:hint="eastAsia"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非甲烷总烃</w:t>
            </w:r>
          </w:p>
        </w:tc>
        <w:tc>
          <w:tcPr>
            <w:tcW w:w="867" w:type="pct"/>
          </w:tcPr>
          <w:p w14:paraId="6A829D6F">
            <w:pPr>
              <w:adjustRightInd w:val="0"/>
              <w:snapToGrid w:val="0"/>
              <w:jc w:val="center"/>
              <w:rPr>
                <w:rFonts w:hint="eastAsia"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0.50～0.52</w:t>
            </w:r>
          </w:p>
        </w:tc>
        <w:tc>
          <w:tcPr>
            <w:tcW w:w="601" w:type="pct"/>
            <w:vAlign w:val="center"/>
          </w:tcPr>
          <w:p w14:paraId="2FDEA2D6">
            <w:pPr>
              <w:adjustRightInd w:val="0"/>
              <w:snapToGrid w:val="0"/>
              <w:jc w:val="center"/>
              <w:rPr>
                <w:rFonts w:hint="eastAsia" w:ascii="宋体" w:hAnsi="宋体"/>
                <w:color w:val="000000" w:themeColor="text1"/>
                <w:kern w:val="0"/>
                <w:szCs w:val="21"/>
                <w14:textFill>
                  <w14:solidFill>
                    <w14:schemeClr w14:val="tx1"/>
                  </w14:solidFill>
                </w14:textFill>
              </w:rPr>
            </w:pPr>
            <w:r>
              <w:rPr>
                <w:rFonts w:ascii="宋体" w:hAnsi="宋体"/>
                <w:color w:val="000000" w:themeColor="text1"/>
                <w:kern w:val="0"/>
                <w:szCs w:val="21"/>
                <w14:textFill>
                  <w14:solidFill>
                    <w14:schemeClr w14:val="tx1"/>
                  </w14:solidFill>
                </w14:textFill>
              </w:rPr>
              <w:t>4</w:t>
            </w:r>
          </w:p>
        </w:tc>
        <w:tc>
          <w:tcPr>
            <w:tcW w:w="406" w:type="pct"/>
            <w:vAlign w:val="center"/>
          </w:tcPr>
          <w:p w14:paraId="0B19BAB8">
            <w:pPr>
              <w:adjustRightInd w:val="0"/>
              <w:snapToGrid w:val="0"/>
              <w:jc w:val="center"/>
              <w:rPr>
                <w:rFonts w:hint="eastAsia" w:ascii="宋体" w:hAnsi="宋体"/>
                <w:color w:val="000000" w:themeColor="text1"/>
                <w:kern w:val="0"/>
                <w:szCs w:val="21"/>
                <w14:textFill>
                  <w14:solidFill>
                    <w14:schemeClr w14:val="tx1"/>
                  </w14:solidFill>
                </w14:textFill>
              </w:rPr>
            </w:pPr>
            <w:r>
              <w:rPr>
                <w:rFonts w:ascii="宋体" w:hAnsi="宋体"/>
                <w:color w:val="000000" w:themeColor="text1"/>
                <w:kern w:val="0"/>
                <w:szCs w:val="21"/>
                <w14:textFill>
                  <w14:solidFill>
                    <w14:schemeClr w14:val="tx1"/>
                  </w14:solidFill>
                </w14:textFill>
              </w:rPr>
              <w:t>达标</w:t>
            </w:r>
          </w:p>
        </w:tc>
      </w:tr>
      <w:bookmarkEnd w:id="208"/>
    </w:tbl>
    <w:p w14:paraId="7138B5B7">
      <w:pPr>
        <w:widowControl/>
        <w:adjustRightInd w:val="0"/>
        <w:snapToGrid w:val="0"/>
        <w:spacing w:line="500" w:lineRule="exact"/>
        <w:ind w:firstLine="480" w:firstLineChars="200"/>
        <w:rPr>
          <w:rFonts w:hint="eastAsia" w:ascii="宋体" w:hAnsi="宋体" w:cs="宋体"/>
          <w:color w:val="000000" w:themeColor="text1"/>
          <w:sz w:val="24"/>
          <w:szCs w:val="24"/>
          <w14:textFill>
            <w14:solidFill>
              <w14:schemeClr w14:val="tx1"/>
            </w14:solidFill>
          </w14:textFill>
        </w:rPr>
      </w:pPr>
      <w:bookmarkStart w:id="210" w:name="OLE_LINK143"/>
      <w:r>
        <w:rPr>
          <w:rFonts w:hint="eastAsia" w:ascii="宋体" w:hAnsi="宋体" w:cs="宋体"/>
          <w:color w:val="000000" w:themeColor="text1"/>
          <w:sz w:val="24"/>
          <w:szCs w:val="24"/>
          <w14:textFill>
            <w14:solidFill>
              <w14:schemeClr w14:val="tx1"/>
            </w14:solidFill>
          </w14:textFill>
        </w:rPr>
        <w:t>②燃气设施燃烧烟气</w:t>
      </w:r>
    </w:p>
    <w:p w14:paraId="27A0121C">
      <w:pPr>
        <w:widowControl/>
        <w:adjustRightInd w:val="0"/>
        <w:snapToGrid w:val="0"/>
        <w:spacing w:line="500" w:lineRule="exact"/>
        <w:ind w:firstLine="480" w:firstLineChars="200"/>
        <w:rPr>
          <w:rFonts w:hint="eastAsia"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页岩油联合站现有1台2</w:t>
      </w:r>
      <w:r>
        <w:rPr>
          <w:rFonts w:ascii="宋体" w:hAnsi="宋体" w:cs="宋体"/>
          <w:color w:val="000000" w:themeColor="text1"/>
          <w:sz w:val="24"/>
          <w:szCs w:val="24"/>
          <w14:textFill>
            <w14:solidFill>
              <w14:schemeClr w14:val="tx1"/>
            </w14:solidFill>
          </w14:textFill>
        </w:rPr>
        <w:t>100</w:t>
      </w:r>
      <w:r>
        <w:rPr>
          <w:rFonts w:hint="eastAsia" w:ascii="宋体" w:hAnsi="宋体" w:cs="宋体"/>
          <w:color w:val="000000" w:themeColor="text1"/>
          <w:sz w:val="24"/>
          <w:szCs w:val="24"/>
          <w14:textFill>
            <w14:solidFill>
              <w14:schemeClr w14:val="tx1"/>
            </w14:solidFill>
          </w14:textFill>
        </w:rPr>
        <w:t>k</w:t>
      </w:r>
      <w:r>
        <w:rPr>
          <w:rFonts w:ascii="宋体" w:hAnsi="宋体" w:cs="宋体"/>
          <w:color w:val="000000" w:themeColor="text1"/>
          <w:sz w:val="24"/>
          <w:szCs w:val="24"/>
          <w14:textFill>
            <w14:solidFill>
              <w14:schemeClr w14:val="tx1"/>
            </w14:solidFill>
          </w14:textFill>
        </w:rPr>
        <w:t>W</w:t>
      </w:r>
      <w:r>
        <w:rPr>
          <w:rFonts w:hint="eastAsia" w:ascii="宋体" w:hAnsi="宋体" w:cs="宋体"/>
          <w:color w:val="000000" w:themeColor="text1"/>
          <w:sz w:val="24"/>
          <w:szCs w:val="24"/>
          <w14:textFill>
            <w14:solidFill>
              <w14:schemeClr w14:val="tx1"/>
            </w14:solidFill>
          </w14:textFill>
        </w:rPr>
        <w:t>的燃气锅炉（一体化油气接转装置内置）、2台2</w:t>
      </w:r>
      <w:r>
        <w:rPr>
          <w:rFonts w:ascii="宋体" w:hAnsi="宋体" w:cs="宋体"/>
          <w:color w:val="000000" w:themeColor="text1"/>
          <w:sz w:val="24"/>
          <w:szCs w:val="24"/>
          <w14:textFill>
            <w14:solidFill>
              <w14:schemeClr w14:val="tx1"/>
            </w14:solidFill>
          </w14:textFill>
        </w:rPr>
        <w:t>600</w:t>
      </w:r>
      <w:r>
        <w:rPr>
          <w:rFonts w:hint="eastAsia" w:ascii="宋体" w:hAnsi="宋体" w:cs="宋体"/>
          <w:color w:val="000000" w:themeColor="text1"/>
          <w:sz w:val="24"/>
          <w:szCs w:val="24"/>
          <w14:textFill>
            <w14:solidFill>
              <w14:schemeClr w14:val="tx1"/>
            </w14:solidFill>
          </w14:textFill>
        </w:rPr>
        <w:t>k</w:t>
      </w:r>
      <w:r>
        <w:rPr>
          <w:rFonts w:ascii="宋体" w:hAnsi="宋体" w:cs="宋体"/>
          <w:color w:val="000000" w:themeColor="text1"/>
          <w:sz w:val="24"/>
          <w:szCs w:val="24"/>
          <w14:textFill>
            <w14:solidFill>
              <w14:schemeClr w14:val="tx1"/>
            </w14:solidFill>
          </w14:textFill>
        </w:rPr>
        <w:t>W</w:t>
      </w:r>
      <w:r>
        <w:rPr>
          <w:rFonts w:hint="eastAsia" w:ascii="宋体" w:hAnsi="宋体" w:cs="宋体"/>
          <w:color w:val="000000" w:themeColor="text1"/>
          <w:sz w:val="24"/>
          <w:szCs w:val="24"/>
          <w14:textFill>
            <w14:solidFill>
              <w14:schemeClr w14:val="tx1"/>
            </w14:solidFill>
          </w14:textFill>
        </w:rPr>
        <w:t>的锅炉（2座多功能处理器内置）和2台2</w:t>
      </w:r>
      <w:r>
        <w:rPr>
          <w:rFonts w:ascii="宋体" w:hAnsi="宋体" w:cs="宋体"/>
          <w:color w:val="000000" w:themeColor="text1"/>
          <w:sz w:val="24"/>
          <w:szCs w:val="24"/>
          <w14:textFill>
            <w14:solidFill>
              <w14:schemeClr w14:val="tx1"/>
            </w14:solidFill>
          </w14:textFill>
        </w:rPr>
        <w:t>300</w:t>
      </w:r>
      <w:r>
        <w:rPr>
          <w:rFonts w:hint="eastAsia" w:ascii="宋体" w:hAnsi="宋体" w:cs="宋体"/>
          <w:color w:val="000000" w:themeColor="text1"/>
          <w:sz w:val="24"/>
          <w:szCs w:val="24"/>
          <w14:textFill>
            <w14:solidFill>
              <w14:schemeClr w14:val="tx1"/>
            </w14:solidFill>
          </w14:textFill>
        </w:rPr>
        <w:t>k</w:t>
      </w:r>
      <w:r>
        <w:rPr>
          <w:rFonts w:ascii="宋体" w:hAnsi="宋体" w:cs="宋体"/>
          <w:color w:val="000000" w:themeColor="text1"/>
          <w:sz w:val="24"/>
          <w:szCs w:val="24"/>
          <w14:textFill>
            <w14:solidFill>
              <w14:schemeClr w14:val="tx1"/>
            </w14:solidFill>
          </w14:textFill>
        </w:rPr>
        <w:t>W</w:t>
      </w:r>
      <w:r>
        <w:rPr>
          <w:rFonts w:hint="eastAsia" w:ascii="宋体" w:hAnsi="宋体" w:cs="宋体"/>
          <w:color w:val="000000" w:themeColor="text1"/>
          <w:sz w:val="24"/>
          <w:szCs w:val="24"/>
          <w14:textFill>
            <w14:solidFill>
              <w14:schemeClr w14:val="tx1"/>
            </w14:solidFill>
          </w14:textFill>
        </w:rPr>
        <w:t>的热媒炉；1号混输泵站现有1台1000kW加热炉（一体化加热接转装置内置）。各锅炉及热媒炉均以天然气为燃料，燃烧烟气中污染物主要为氮氧化物、二氧化硫和颗粒物，燃烧烟气经8m排气筒排放。根据2025年1月例行监测数据可知，烟气中二氧化硫、颗粒物和氮氧化物排放浓度满足《锅炉大气污染物排放标准》（GB13271-2014）表</w:t>
      </w:r>
      <w:r>
        <w:rPr>
          <w:rFonts w:ascii="宋体" w:hAnsi="宋体" w:cs="宋体"/>
          <w:color w:val="000000" w:themeColor="text1"/>
          <w:sz w:val="24"/>
          <w:szCs w:val="24"/>
          <w14:textFill>
            <w14:solidFill>
              <w14:schemeClr w14:val="tx1"/>
            </w14:solidFill>
          </w14:textFill>
        </w:rPr>
        <w:t>2</w:t>
      </w:r>
      <w:r>
        <w:rPr>
          <w:rFonts w:hint="eastAsia" w:ascii="宋体" w:hAnsi="宋体" w:cs="宋体"/>
          <w:color w:val="000000" w:themeColor="text1"/>
          <w:sz w:val="24"/>
          <w:szCs w:val="24"/>
          <w14:textFill>
            <w14:solidFill>
              <w14:schemeClr w14:val="tx1"/>
            </w14:solidFill>
          </w14:textFill>
        </w:rPr>
        <w:t>大气污染物排放限值要求。</w:t>
      </w:r>
    </w:p>
    <w:p w14:paraId="2FAE4662">
      <w:pPr>
        <w:spacing w:line="500" w:lineRule="atLeast"/>
        <w:jc w:val="center"/>
        <w:rPr>
          <w:rFonts w:hint="eastAsia" w:ascii="宋体" w:hAnsi="宋体" w:eastAsia="黑体"/>
          <w:color w:val="000000" w:themeColor="text1"/>
          <w:szCs w:val="20"/>
          <w14:textFill>
            <w14:solidFill>
              <w14:schemeClr w14:val="tx1"/>
            </w14:solidFill>
          </w14:textFill>
        </w:rPr>
      </w:pPr>
      <w:bookmarkStart w:id="211" w:name="_Ref160099897"/>
      <w:r>
        <w:rPr>
          <w:rFonts w:ascii="宋体" w:hAnsi="宋体" w:eastAsia="黑体"/>
          <w:color w:val="000000" w:themeColor="text1"/>
          <w:szCs w:val="20"/>
          <w14:textFill>
            <w14:solidFill>
              <w14:schemeClr w14:val="tx1"/>
            </w14:solidFill>
          </w14:textFill>
        </w:rPr>
        <w:t>表</w:t>
      </w:r>
      <w:bookmarkEnd w:id="211"/>
      <w:r>
        <w:rPr>
          <w:rFonts w:hint="eastAsia" w:ascii="宋体" w:hAnsi="宋体" w:eastAsia="黑体"/>
          <w:color w:val="000000" w:themeColor="text1"/>
          <w:szCs w:val="20"/>
          <w14:textFill>
            <w14:solidFill>
              <w14:schemeClr w14:val="tx1"/>
            </w14:solidFill>
          </w14:textFill>
        </w:rPr>
        <w:t>3.1-6</w:t>
      </w:r>
      <w:r>
        <w:rPr>
          <w:rFonts w:ascii="宋体" w:hAnsi="宋体" w:eastAsia="黑体"/>
          <w:color w:val="000000" w:themeColor="text1"/>
          <w:szCs w:val="20"/>
          <w14:textFill>
            <w14:solidFill>
              <w14:schemeClr w14:val="tx1"/>
            </w14:solidFill>
          </w14:textFill>
        </w:rPr>
        <w:t xml:space="preserve">  </w:t>
      </w:r>
      <w:r>
        <w:rPr>
          <w:rFonts w:hint="eastAsia" w:ascii="宋体" w:hAnsi="宋体" w:eastAsia="黑体"/>
          <w:color w:val="000000" w:themeColor="text1"/>
          <w:szCs w:val="20"/>
          <w14:textFill>
            <w14:solidFill>
              <w14:schemeClr w14:val="tx1"/>
            </w14:solidFill>
          </w14:textFill>
        </w:rPr>
        <w:t>有组织废气监测数据一览表</w:t>
      </w:r>
    </w:p>
    <w:tbl>
      <w:tblPr>
        <w:tblStyle w:val="51"/>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498"/>
        <w:gridCol w:w="877"/>
        <w:gridCol w:w="1419"/>
        <w:gridCol w:w="1353"/>
        <w:gridCol w:w="1766"/>
        <w:gridCol w:w="2033"/>
      </w:tblGrid>
      <w:tr w14:paraId="58AF7EC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38" w:type="pct"/>
            <w:vAlign w:val="center"/>
          </w:tcPr>
          <w:p w14:paraId="4BCEF74A">
            <w:pPr>
              <w:spacing w:line="240" w:lineRule="exact"/>
              <w:jc w:val="center"/>
              <w:rPr>
                <w:rFonts w:hint="eastAsia"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监测时间</w:t>
            </w:r>
          </w:p>
        </w:tc>
        <w:tc>
          <w:tcPr>
            <w:tcW w:w="1283" w:type="pct"/>
            <w:gridSpan w:val="2"/>
            <w:vAlign w:val="center"/>
          </w:tcPr>
          <w:p w14:paraId="5DF1BBFB">
            <w:pPr>
              <w:spacing w:line="240" w:lineRule="exact"/>
              <w:jc w:val="center"/>
              <w:rPr>
                <w:rFonts w:hint="eastAsia"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类别</w:t>
            </w:r>
          </w:p>
        </w:tc>
        <w:tc>
          <w:tcPr>
            <w:tcW w:w="756" w:type="pct"/>
            <w:vAlign w:val="center"/>
          </w:tcPr>
          <w:p w14:paraId="1DC56DD1">
            <w:pPr>
              <w:spacing w:line="240" w:lineRule="exact"/>
              <w:jc w:val="center"/>
              <w:rPr>
                <w:rFonts w:hint="eastAsia"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实测浓度</w:t>
            </w:r>
            <w:r>
              <w:rPr>
                <w:rFonts w:hint="eastAsia" w:ascii="宋体" w:hAnsi="宋体"/>
                <w:bCs/>
                <w:color w:val="000000" w:themeColor="text1"/>
                <w:kern w:val="0"/>
                <w:szCs w:val="21"/>
                <w14:textFill>
                  <w14:solidFill>
                    <w14:schemeClr w14:val="tx1"/>
                  </w14:solidFill>
                </w14:textFill>
              </w:rPr>
              <w:t>mg/m</w:t>
            </w:r>
            <w:r>
              <w:rPr>
                <w:rFonts w:hint="eastAsia" w:ascii="宋体" w:hAnsi="宋体"/>
                <w:bCs/>
                <w:color w:val="000000" w:themeColor="text1"/>
                <w:kern w:val="0"/>
                <w:szCs w:val="21"/>
                <w:vertAlign w:val="superscript"/>
                <w14:textFill>
                  <w14:solidFill>
                    <w14:schemeClr w14:val="tx1"/>
                  </w14:solidFill>
                </w14:textFill>
              </w:rPr>
              <w:t>3</w:t>
            </w:r>
          </w:p>
        </w:tc>
        <w:tc>
          <w:tcPr>
            <w:tcW w:w="987" w:type="pct"/>
            <w:vAlign w:val="center"/>
          </w:tcPr>
          <w:p w14:paraId="3A12B867">
            <w:pPr>
              <w:spacing w:line="240" w:lineRule="exact"/>
              <w:jc w:val="center"/>
              <w:rPr>
                <w:rFonts w:hint="eastAsia"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折算排放浓度</w:t>
            </w:r>
            <w:r>
              <w:rPr>
                <w:rFonts w:hint="eastAsia" w:ascii="宋体" w:hAnsi="宋体"/>
                <w:bCs/>
                <w:color w:val="000000" w:themeColor="text1"/>
                <w:kern w:val="0"/>
                <w:szCs w:val="21"/>
                <w14:textFill>
                  <w14:solidFill>
                    <w14:schemeClr w14:val="tx1"/>
                  </w14:solidFill>
                </w14:textFill>
              </w:rPr>
              <w:t>mg/m</w:t>
            </w:r>
            <w:r>
              <w:rPr>
                <w:rFonts w:hint="eastAsia" w:ascii="宋体" w:hAnsi="宋体"/>
                <w:bCs/>
                <w:color w:val="000000" w:themeColor="text1"/>
                <w:kern w:val="0"/>
                <w:szCs w:val="21"/>
                <w:vertAlign w:val="superscript"/>
                <w14:textFill>
                  <w14:solidFill>
                    <w14:schemeClr w14:val="tx1"/>
                  </w14:solidFill>
                </w14:textFill>
              </w:rPr>
              <w:t>3</w:t>
            </w:r>
          </w:p>
        </w:tc>
        <w:tc>
          <w:tcPr>
            <w:tcW w:w="1137" w:type="pct"/>
            <w:vAlign w:val="center"/>
          </w:tcPr>
          <w:p w14:paraId="7B391A36">
            <w:pPr>
              <w:spacing w:line="240" w:lineRule="exact"/>
              <w:jc w:val="center"/>
              <w:rPr>
                <w:rFonts w:hint="eastAsia"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排放速率kg/h</w:t>
            </w:r>
          </w:p>
        </w:tc>
      </w:tr>
      <w:tr w14:paraId="3CDDFDF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38" w:type="pct"/>
            <w:vMerge w:val="restart"/>
            <w:vAlign w:val="center"/>
          </w:tcPr>
          <w:p w14:paraId="5FA081F8">
            <w:pPr>
              <w:spacing w:line="240" w:lineRule="exact"/>
              <w:jc w:val="center"/>
              <w:rPr>
                <w:rFonts w:hint="eastAsia"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2025.1.7-1.10</w:t>
            </w:r>
          </w:p>
        </w:tc>
        <w:tc>
          <w:tcPr>
            <w:tcW w:w="490" w:type="pct"/>
            <w:vMerge w:val="restart"/>
            <w:vAlign w:val="center"/>
          </w:tcPr>
          <w:p w14:paraId="2BA6FED5">
            <w:pPr>
              <w:spacing w:line="240" w:lineRule="exact"/>
              <w:jc w:val="center"/>
              <w:rPr>
                <w:rFonts w:hint="eastAsia"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1#热媒炉</w:t>
            </w:r>
          </w:p>
        </w:tc>
        <w:tc>
          <w:tcPr>
            <w:tcW w:w="793" w:type="pct"/>
            <w:vAlign w:val="center"/>
          </w:tcPr>
          <w:p w14:paraId="408AEEE5">
            <w:pPr>
              <w:spacing w:line="240" w:lineRule="exact"/>
              <w:jc w:val="center"/>
              <w:rPr>
                <w:rFonts w:hint="eastAsia"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颗粒物</w:t>
            </w:r>
          </w:p>
        </w:tc>
        <w:tc>
          <w:tcPr>
            <w:tcW w:w="756" w:type="pct"/>
            <w:vAlign w:val="center"/>
          </w:tcPr>
          <w:p w14:paraId="2CFBA5E7">
            <w:pPr>
              <w:spacing w:line="240" w:lineRule="exact"/>
              <w:jc w:val="center"/>
              <w:rPr>
                <w:rFonts w:hint="eastAsia"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3.5</w:t>
            </w:r>
          </w:p>
        </w:tc>
        <w:tc>
          <w:tcPr>
            <w:tcW w:w="987" w:type="pct"/>
            <w:vAlign w:val="center"/>
          </w:tcPr>
          <w:p w14:paraId="4D18592C">
            <w:pPr>
              <w:spacing w:line="240" w:lineRule="exact"/>
              <w:jc w:val="center"/>
              <w:rPr>
                <w:rFonts w:hint="eastAsia"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4.0</w:t>
            </w:r>
          </w:p>
        </w:tc>
        <w:tc>
          <w:tcPr>
            <w:tcW w:w="1137" w:type="pct"/>
            <w:vAlign w:val="center"/>
          </w:tcPr>
          <w:p w14:paraId="3A21C70D">
            <w:pPr>
              <w:spacing w:line="240" w:lineRule="exact"/>
              <w:jc w:val="center"/>
              <w:rPr>
                <w:rFonts w:hint="eastAsia"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0.00588</w:t>
            </w:r>
          </w:p>
        </w:tc>
      </w:tr>
      <w:tr w14:paraId="727C888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38" w:type="pct"/>
            <w:vMerge w:val="continue"/>
            <w:vAlign w:val="center"/>
          </w:tcPr>
          <w:p w14:paraId="2B63AD37">
            <w:pPr>
              <w:spacing w:line="240" w:lineRule="exact"/>
              <w:jc w:val="center"/>
              <w:rPr>
                <w:rFonts w:hint="eastAsia" w:ascii="宋体" w:hAnsi="宋体"/>
                <w:color w:val="000000" w:themeColor="text1"/>
                <w:kern w:val="0"/>
                <w:szCs w:val="21"/>
                <w14:textFill>
                  <w14:solidFill>
                    <w14:schemeClr w14:val="tx1"/>
                  </w14:solidFill>
                </w14:textFill>
              </w:rPr>
            </w:pPr>
          </w:p>
        </w:tc>
        <w:tc>
          <w:tcPr>
            <w:tcW w:w="490" w:type="pct"/>
            <w:vMerge w:val="continue"/>
            <w:vAlign w:val="center"/>
          </w:tcPr>
          <w:p w14:paraId="29F8E655">
            <w:pPr>
              <w:spacing w:line="240" w:lineRule="exact"/>
              <w:jc w:val="center"/>
              <w:rPr>
                <w:rFonts w:hint="eastAsia" w:ascii="宋体" w:hAnsi="宋体"/>
                <w:color w:val="000000" w:themeColor="text1"/>
                <w:kern w:val="0"/>
                <w:szCs w:val="21"/>
                <w14:textFill>
                  <w14:solidFill>
                    <w14:schemeClr w14:val="tx1"/>
                  </w14:solidFill>
                </w14:textFill>
              </w:rPr>
            </w:pPr>
          </w:p>
        </w:tc>
        <w:tc>
          <w:tcPr>
            <w:tcW w:w="793" w:type="pct"/>
            <w:vAlign w:val="center"/>
          </w:tcPr>
          <w:p w14:paraId="4CA90C11">
            <w:pPr>
              <w:spacing w:line="240" w:lineRule="exact"/>
              <w:jc w:val="center"/>
              <w:rPr>
                <w:rFonts w:hint="eastAsia"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氮氧化物</w:t>
            </w:r>
          </w:p>
        </w:tc>
        <w:tc>
          <w:tcPr>
            <w:tcW w:w="756" w:type="pct"/>
            <w:vAlign w:val="center"/>
          </w:tcPr>
          <w:p w14:paraId="0C40C311">
            <w:pPr>
              <w:spacing w:line="240" w:lineRule="exact"/>
              <w:jc w:val="center"/>
              <w:rPr>
                <w:rFonts w:hint="eastAsia"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37</w:t>
            </w:r>
          </w:p>
        </w:tc>
        <w:tc>
          <w:tcPr>
            <w:tcW w:w="987" w:type="pct"/>
            <w:vAlign w:val="center"/>
          </w:tcPr>
          <w:p w14:paraId="2B882351">
            <w:pPr>
              <w:spacing w:line="240" w:lineRule="exact"/>
              <w:jc w:val="center"/>
              <w:rPr>
                <w:rFonts w:hint="eastAsia"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42</w:t>
            </w:r>
          </w:p>
        </w:tc>
        <w:tc>
          <w:tcPr>
            <w:tcW w:w="1137" w:type="pct"/>
            <w:vAlign w:val="center"/>
          </w:tcPr>
          <w:p w14:paraId="20BFA07C">
            <w:pPr>
              <w:spacing w:line="240" w:lineRule="exact"/>
              <w:jc w:val="center"/>
              <w:rPr>
                <w:rFonts w:hint="eastAsia"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0.062</w:t>
            </w:r>
          </w:p>
        </w:tc>
      </w:tr>
      <w:tr w14:paraId="56F1CB7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38" w:type="pct"/>
            <w:vMerge w:val="continue"/>
            <w:vAlign w:val="center"/>
          </w:tcPr>
          <w:p w14:paraId="2E8E1721">
            <w:pPr>
              <w:spacing w:line="240" w:lineRule="exact"/>
              <w:jc w:val="center"/>
              <w:rPr>
                <w:rFonts w:hint="eastAsia" w:ascii="宋体" w:hAnsi="宋体"/>
                <w:color w:val="000000" w:themeColor="text1"/>
                <w:kern w:val="0"/>
                <w:szCs w:val="21"/>
                <w14:textFill>
                  <w14:solidFill>
                    <w14:schemeClr w14:val="tx1"/>
                  </w14:solidFill>
                </w14:textFill>
              </w:rPr>
            </w:pPr>
            <w:bookmarkStart w:id="212" w:name="_Hlk206445972"/>
          </w:p>
        </w:tc>
        <w:tc>
          <w:tcPr>
            <w:tcW w:w="490" w:type="pct"/>
            <w:vMerge w:val="continue"/>
            <w:vAlign w:val="center"/>
          </w:tcPr>
          <w:p w14:paraId="1C1A2B7A">
            <w:pPr>
              <w:spacing w:line="240" w:lineRule="exact"/>
              <w:jc w:val="center"/>
              <w:rPr>
                <w:rFonts w:hint="eastAsia" w:ascii="宋体" w:hAnsi="宋体"/>
                <w:color w:val="000000" w:themeColor="text1"/>
                <w:kern w:val="0"/>
                <w:szCs w:val="21"/>
                <w14:textFill>
                  <w14:solidFill>
                    <w14:schemeClr w14:val="tx1"/>
                  </w14:solidFill>
                </w14:textFill>
              </w:rPr>
            </w:pPr>
          </w:p>
        </w:tc>
        <w:tc>
          <w:tcPr>
            <w:tcW w:w="793" w:type="pct"/>
            <w:vAlign w:val="center"/>
          </w:tcPr>
          <w:p w14:paraId="33029CAC">
            <w:pPr>
              <w:spacing w:line="240" w:lineRule="exact"/>
              <w:jc w:val="center"/>
              <w:rPr>
                <w:rFonts w:hint="eastAsia"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二氧化硫</w:t>
            </w:r>
          </w:p>
        </w:tc>
        <w:tc>
          <w:tcPr>
            <w:tcW w:w="756" w:type="pct"/>
            <w:vAlign w:val="center"/>
          </w:tcPr>
          <w:p w14:paraId="0641328D">
            <w:pPr>
              <w:spacing w:line="240" w:lineRule="exact"/>
              <w:jc w:val="center"/>
              <w:rPr>
                <w:rFonts w:hint="eastAsia"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＜2</w:t>
            </w:r>
          </w:p>
        </w:tc>
        <w:tc>
          <w:tcPr>
            <w:tcW w:w="987" w:type="pct"/>
            <w:vAlign w:val="center"/>
          </w:tcPr>
          <w:p w14:paraId="0E3D0A51">
            <w:pPr>
              <w:spacing w:line="240" w:lineRule="exact"/>
              <w:jc w:val="center"/>
              <w:rPr>
                <w:rFonts w:hint="eastAsia"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w:t>
            </w:r>
          </w:p>
        </w:tc>
        <w:tc>
          <w:tcPr>
            <w:tcW w:w="1137" w:type="pct"/>
            <w:vAlign w:val="center"/>
          </w:tcPr>
          <w:p w14:paraId="56C176A7">
            <w:pPr>
              <w:spacing w:line="240" w:lineRule="exact"/>
              <w:jc w:val="center"/>
              <w:rPr>
                <w:rFonts w:hint="eastAsia"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w:t>
            </w:r>
          </w:p>
        </w:tc>
      </w:tr>
      <w:bookmarkEnd w:id="212"/>
      <w:tr w14:paraId="4E88022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38" w:type="pct"/>
            <w:vMerge w:val="continue"/>
            <w:vAlign w:val="center"/>
          </w:tcPr>
          <w:p w14:paraId="15179C87">
            <w:pPr>
              <w:spacing w:line="240" w:lineRule="exact"/>
              <w:jc w:val="center"/>
              <w:rPr>
                <w:rFonts w:hint="eastAsia" w:ascii="宋体" w:hAnsi="宋体"/>
                <w:color w:val="000000" w:themeColor="text1"/>
                <w:kern w:val="0"/>
                <w:szCs w:val="21"/>
                <w14:textFill>
                  <w14:solidFill>
                    <w14:schemeClr w14:val="tx1"/>
                  </w14:solidFill>
                </w14:textFill>
              </w:rPr>
            </w:pPr>
          </w:p>
        </w:tc>
        <w:tc>
          <w:tcPr>
            <w:tcW w:w="490" w:type="pct"/>
            <w:vMerge w:val="continue"/>
            <w:vAlign w:val="center"/>
          </w:tcPr>
          <w:p w14:paraId="45DCAA07">
            <w:pPr>
              <w:spacing w:line="240" w:lineRule="exact"/>
              <w:jc w:val="center"/>
              <w:rPr>
                <w:rFonts w:hint="eastAsia" w:ascii="宋体" w:hAnsi="宋体"/>
                <w:color w:val="000000" w:themeColor="text1"/>
                <w:kern w:val="0"/>
                <w:szCs w:val="21"/>
                <w14:textFill>
                  <w14:solidFill>
                    <w14:schemeClr w14:val="tx1"/>
                  </w14:solidFill>
                </w14:textFill>
              </w:rPr>
            </w:pPr>
          </w:p>
        </w:tc>
        <w:tc>
          <w:tcPr>
            <w:tcW w:w="793" w:type="pct"/>
            <w:vAlign w:val="center"/>
          </w:tcPr>
          <w:p w14:paraId="3D73B738">
            <w:pPr>
              <w:spacing w:line="240" w:lineRule="exact"/>
              <w:jc w:val="center"/>
              <w:rPr>
                <w:rFonts w:hint="eastAsia"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林格曼黑度</w:t>
            </w:r>
          </w:p>
        </w:tc>
        <w:tc>
          <w:tcPr>
            <w:tcW w:w="2879" w:type="pct"/>
            <w:gridSpan w:val="3"/>
            <w:vAlign w:val="center"/>
          </w:tcPr>
          <w:p w14:paraId="1B48AFAB">
            <w:pPr>
              <w:spacing w:line="240" w:lineRule="exact"/>
              <w:jc w:val="center"/>
              <w:rPr>
                <w:rFonts w:hint="eastAsia"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＜1</w:t>
            </w:r>
          </w:p>
        </w:tc>
      </w:tr>
      <w:tr w14:paraId="0682FA3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38" w:type="pct"/>
            <w:vMerge w:val="continue"/>
            <w:vAlign w:val="center"/>
          </w:tcPr>
          <w:p w14:paraId="52C81DA9">
            <w:pPr>
              <w:spacing w:line="240" w:lineRule="exact"/>
              <w:jc w:val="center"/>
              <w:rPr>
                <w:rFonts w:hint="eastAsia" w:ascii="宋体" w:hAnsi="宋体"/>
                <w:color w:val="000000" w:themeColor="text1"/>
                <w:kern w:val="0"/>
                <w:szCs w:val="21"/>
                <w14:textFill>
                  <w14:solidFill>
                    <w14:schemeClr w14:val="tx1"/>
                  </w14:solidFill>
                </w14:textFill>
              </w:rPr>
            </w:pPr>
            <w:bookmarkStart w:id="213" w:name="_Hlk206445447"/>
          </w:p>
        </w:tc>
        <w:tc>
          <w:tcPr>
            <w:tcW w:w="490" w:type="pct"/>
            <w:vMerge w:val="continue"/>
            <w:vAlign w:val="center"/>
          </w:tcPr>
          <w:p w14:paraId="6226C7C4">
            <w:pPr>
              <w:spacing w:line="240" w:lineRule="exact"/>
              <w:jc w:val="center"/>
              <w:rPr>
                <w:rFonts w:hint="eastAsia" w:ascii="宋体" w:hAnsi="宋体"/>
                <w:color w:val="000000" w:themeColor="text1"/>
                <w:kern w:val="0"/>
                <w:szCs w:val="21"/>
                <w14:textFill>
                  <w14:solidFill>
                    <w14:schemeClr w14:val="tx1"/>
                  </w14:solidFill>
                </w14:textFill>
              </w:rPr>
            </w:pPr>
          </w:p>
        </w:tc>
        <w:tc>
          <w:tcPr>
            <w:tcW w:w="793" w:type="pct"/>
            <w:vAlign w:val="center"/>
          </w:tcPr>
          <w:p w14:paraId="04CA8F36">
            <w:pPr>
              <w:spacing w:line="240" w:lineRule="exact"/>
              <w:jc w:val="center"/>
              <w:rPr>
                <w:rFonts w:hint="eastAsia"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烟气流量</w:t>
            </w:r>
          </w:p>
        </w:tc>
        <w:tc>
          <w:tcPr>
            <w:tcW w:w="2879" w:type="pct"/>
            <w:gridSpan w:val="3"/>
            <w:vAlign w:val="center"/>
          </w:tcPr>
          <w:p w14:paraId="69E4B865">
            <w:pPr>
              <w:spacing w:line="240" w:lineRule="exact"/>
              <w:jc w:val="center"/>
              <w:rPr>
                <w:rFonts w:hint="eastAsia"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1610m</w:t>
            </w:r>
            <w:r>
              <w:rPr>
                <w:rFonts w:hint="eastAsia" w:ascii="宋体" w:hAnsi="宋体"/>
                <w:color w:val="000000" w:themeColor="text1"/>
                <w:kern w:val="0"/>
                <w:szCs w:val="21"/>
                <w:vertAlign w:val="superscript"/>
                <w14:textFill>
                  <w14:solidFill>
                    <w14:schemeClr w14:val="tx1"/>
                  </w14:solidFill>
                </w14:textFill>
              </w:rPr>
              <w:t>3</w:t>
            </w:r>
            <w:r>
              <w:rPr>
                <w:rFonts w:hint="eastAsia" w:ascii="宋体" w:hAnsi="宋体"/>
                <w:color w:val="000000" w:themeColor="text1"/>
                <w:kern w:val="0"/>
                <w:szCs w:val="21"/>
                <w14:textFill>
                  <w14:solidFill>
                    <w14:schemeClr w14:val="tx1"/>
                  </w14:solidFill>
                </w14:textFill>
              </w:rPr>
              <w:t>/h</w:t>
            </w:r>
          </w:p>
        </w:tc>
      </w:tr>
      <w:bookmarkEnd w:id="213"/>
      <w:tr w14:paraId="4D5AA91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38" w:type="pct"/>
            <w:vMerge w:val="restart"/>
            <w:vAlign w:val="center"/>
          </w:tcPr>
          <w:p w14:paraId="69C61606">
            <w:pPr>
              <w:spacing w:line="240" w:lineRule="exact"/>
              <w:jc w:val="center"/>
              <w:rPr>
                <w:rFonts w:hint="eastAsia"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2025.1.8-1.10</w:t>
            </w:r>
          </w:p>
        </w:tc>
        <w:tc>
          <w:tcPr>
            <w:tcW w:w="490" w:type="pct"/>
            <w:vMerge w:val="restart"/>
            <w:vAlign w:val="center"/>
          </w:tcPr>
          <w:p w14:paraId="6F47E2A8">
            <w:pPr>
              <w:spacing w:line="240" w:lineRule="exact"/>
              <w:jc w:val="center"/>
              <w:rPr>
                <w:rFonts w:hint="eastAsia"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2#热媒炉</w:t>
            </w:r>
          </w:p>
        </w:tc>
        <w:tc>
          <w:tcPr>
            <w:tcW w:w="793" w:type="pct"/>
            <w:vAlign w:val="center"/>
          </w:tcPr>
          <w:p w14:paraId="33CF3840">
            <w:pPr>
              <w:spacing w:line="240" w:lineRule="exact"/>
              <w:jc w:val="center"/>
              <w:rPr>
                <w:rFonts w:hint="eastAsia"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颗粒物</w:t>
            </w:r>
          </w:p>
        </w:tc>
        <w:tc>
          <w:tcPr>
            <w:tcW w:w="756" w:type="pct"/>
            <w:vAlign w:val="center"/>
          </w:tcPr>
          <w:p w14:paraId="2FADB469">
            <w:pPr>
              <w:spacing w:line="240" w:lineRule="exact"/>
              <w:jc w:val="center"/>
              <w:rPr>
                <w:rFonts w:hint="eastAsia"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1.9</w:t>
            </w:r>
          </w:p>
        </w:tc>
        <w:tc>
          <w:tcPr>
            <w:tcW w:w="987" w:type="pct"/>
            <w:vAlign w:val="center"/>
          </w:tcPr>
          <w:p w14:paraId="35EEECB9">
            <w:pPr>
              <w:spacing w:line="240" w:lineRule="exact"/>
              <w:jc w:val="center"/>
              <w:rPr>
                <w:rFonts w:hint="eastAsia"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2.5</w:t>
            </w:r>
          </w:p>
        </w:tc>
        <w:tc>
          <w:tcPr>
            <w:tcW w:w="1137" w:type="pct"/>
            <w:vAlign w:val="center"/>
          </w:tcPr>
          <w:p w14:paraId="29FC411C">
            <w:pPr>
              <w:spacing w:line="240" w:lineRule="exact"/>
              <w:jc w:val="center"/>
              <w:rPr>
                <w:rFonts w:hint="eastAsia"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0.00281</w:t>
            </w:r>
          </w:p>
        </w:tc>
      </w:tr>
      <w:tr w14:paraId="7417A4B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38" w:type="pct"/>
            <w:vMerge w:val="continue"/>
            <w:vAlign w:val="center"/>
          </w:tcPr>
          <w:p w14:paraId="2A1589A2">
            <w:pPr>
              <w:spacing w:line="240" w:lineRule="exact"/>
              <w:jc w:val="center"/>
              <w:rPr>
                <w:rFonts w:hint="eastAsia" w:ascii="宋体" w:hAnsi="宋体"/>
                <w:color w:val="000000" w:themeColor="text1"/>
                <w:kern w:val="0"/>
                <w:szCs w:val="21"/>
                <w14:textFill>
                  <w14:solidFill>
                    <w14:schemeClr w14:val="tx1"/>
                  </w14:solidFill>
                </w14:textFill>
              </w:rPr>
            </w:pPr>
          </w:p>
        </w:tc>
        <w:tc>
          <w:tcPr>
            <w:tcW w:w="490" w:type="pct"/>
            <w:vMerge w:val="continue"/>
            <w:vAlign w:val="center"/>
          </w:tcPr>
          <w:p w14:paraId="174DE11F">
            <w:pPr>
              <w:spacing w:line="240" w:lineRule="exact"/>
              <w:jc w:val="center"/>
              <w:rPr>
                <w:rFonts w:hint="eastAsia" w:ascii="宋体" w:hAnsi="宋体"/>
                <w:color w:val="000000" w:themeColor="text1"/>
                <w:kern w:val="0"/>
                <w:szCs w:val="21"/>
                <w14:textFill>
                  <w14:solidFill>
                    <w14:schemeClr w14:val="tx1"/>
                  </w14:solidFill>
                </w14:textFill>
              </w:rPr>
            </w:pPr>
          </w:p>
        </w:tc>
        <w:tc>
          <w:tcPr>
            <w:tcW w:w="793" w:type="pct"/>
            <w:vAlign w:val="center"/>
          </w:tcPr>
          <w:p w14:paraId="21C230DD">
            <w:pPr>
              <w:spacing w:line="240" w:lineRule="exact"/>
              <w:jc w:val="center"/>
              <w:rPr>
                <w:rFonts w:hint="eastAsia"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氮氧化物</w:t>
            </w:r>
          </w:p>
        </w:tc>
        <w:tc>
          <w:tcPr>
            <w:tcW w:w="756" w:type="pct"/>
            <w:vAlign w:val="center"/>
          </w:tcPr>
          <w:p w14:paraId="31D95684">
            <w:pPr>
              <w:spacing w:line="240" w:lineRule="exact"/>
              <w:jc w:val="center"/>
              <w:rPr>
                <w:rFonts w:hint="eastAsia"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29</w:t>
            </w:r>
          </w:p>
        </w:tc>
        <w:tc>
          <w:tcPr>
            <w:tcW w:w="987" w:type="pct"/>
            <w:vAlign w:val="center"/>
          </w:tcPr>
          <w:p w14:paraId="79D8E3AF">
            <w:pPr>
              <w:spacing w:line="240" w:lineRule="exact"/>
              <w:jc w:val="center"/>
              <w:rPr>
                <w:rFonts w:hint="eastAsia"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38</w:t>
            </w:r>
          </w:p>
        </w:tc>
        <w:tc>
          <w:tcPr>
            <w:tcW w:w="1137" w:type="pct"/>
            <w:vAlign w:val="center"/>
          </w:tcPr>
          <w:p w14:paraId="10A3B9B2">
            <w:pPr>
              <w:spacing w:line="240" w:lineRule="exact"/>
              <w:jc w:val="center"/>
              <w:rPr>
                <w:rFonts w:hint="eastAsia"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0.043</w:t>
            </w:r>
          </w:p>
        </w:tc>
      </w:tr>
      <w:tr w14:paraId="11072B9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38" w:type="pct"/>
            <w:vMerge w:val="continue"/>
            <w:vAlign w:val="center"/>
          </w:tcPr>
          <w:p w14:paraId="4A173CDA">
            <w:pPr>
              <w:spacing w:line="240" w:lineRule="exact"/>
              <w:jc w:val="center"/>
              <w:rPr>
                <w:rFonts w:hint="eastAsia" w:ascii="宋体" w:hAnsi="宋体"/>
                <w:color w:val="000000" w:themeColor="text1"/>
                <w:kern w:val="0"/>
                <w:szCs w:val="21"/>
                <w14:textFill>
                  <w14:solidFill>
                    <w14:schemeClr w14:val="tx1"/>
                  </w14:solidFill>
                </w14:textFill>
              </w:rPr>
            </w:pPr>
          </w:p>
        </w:tc>
        <w:tc>
          <w:tcPr>
            <w:tcW w:w="490" w:type="pct"/>
            <w:vMerge w:val="continue"/>
            <w:vAlign w:val="center"/>
          </w:tcPr>
          <w:p w14:paraId="7886438B">
            <w:pPr>
              <w:spacing w:line="240" w:lineRule="exact"/>
              <w:jc w:val="center"/>
              <w:rPr>
                <w:rFonts w:hint="eastAsia" w:ascii="宋体" w:hAnsi="宋体"/>
                <w:color w:val="000000" w:themeColor="text1"/>
                <w:kern w:val="0"/>
                <w:szCs w:val="21"/>
                <w14:textFill>
                  <w14:solidFill>
                    <w14:schemeClr w14:val="tx1"/>
                  </w14:solidFill>
                </w14:textFill>
              </w:rPr>
            </w:pPr>
          </w:p>
        </w:tc>
        <w:tc>
          <w:tcPr>
            <w:tcW w:w="793" w:type="pct"/>
            <w:vAlign w:val="center"/>
          </w:tcPr>
          <w:p w14:paraId="51DA2F38">
            <w:pPr>
              <w:spacing w:line="240" w:lineRule="exact"/>
              <w:jc w:val="center"/>
              <w:rPr>
                <w:rFonts w:hint="eastAsia"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二氧化硫</w:t>
            </w:r>
          </w:p>
        </w:tc>
        <w:tc>
          <w:tcPr>
            <w:tcW w:w="756" w:type="pct"/>
            <w:vAlign w:val="center"/>
          </w:tcPr>
          <w:p w14:paraId="3A525DC5">
            <w:pPr>
              <w:spacing w:line="240" w:lineRule="exact"/>
              <w:jc w:val="center"/>
              <w:rPr>
                <w:rFonts w:hint="eastAsia"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＜2</w:t>
            </w:r>
          </w:p>
        </w:tc>
        <w:tc>
          <w:tcPr>
            <w:tcW w:w="987" w:type="pct"/>
            <w:vAlign w:val="center"/>
          </w:tcPr>
          <w:p w14:paraId="04E43406">
            <w:pPr>
              <w:spacing w:line="240" w:lineRule="exact"/>
              <w:jc w:val="center"/>
              <w:rPr>
                <w:rFonts w:hint="eastAsia"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w:t>
            </w:r>
          </w:p>
        </w:tc>
        <w:tc>
          <w:tcPr>
            <w:tcW w:w="1137" w:type="pct"/>
            <w:vAlign w:val="center"/>
          </w:tcPr>
          <w:p w14:paraId="41AC7B68">
            <w:pPr>
              <w:spacing w:line="240" w:lineRule="exact"/>
              <w:jc w:val="center"/>
              <w:rPr>
                <w:rFonts w:hint="eastAsia"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w:t>
            </w:r>
          </w:p>
        </w:tc>
      </w:tr>
      <w:tr w14:paraId="77A028E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38" w:type="pct"/>
            <w:vMerge w:val="continue"/>
            <w:vAlign w:val="center"/>
          </w:tcPr>
          <w:p w14:paraId="5B1FD50F">
            <w:pPr>
              <w:spacing w:line="240" w:lineRule="exact"/>
              <w:jc w:val="center"/>
              <w:rPr>
                <w:rFonts w:hint="eastAsia" w:ascii="宋体" w:hAnsi="宋体"/>
                <w:color w:val="000000" w:themeColor="text1"/>
                <w:kern w:val="0"/>
                <w:szCs w:val="21"/>
                <w14:textFill>
                  <w14:solidFill>
                    <w14:schemeClr w14:val="tx1"/>
                  </w14:solidFill>
                </w14:textFill>
              </w:rPr>
            </w:pPr>
          </w:p>
        </w:tc>
        <w:tc>
          <w:tcPr>
            <w:tcW w:w="490" w:type="pct"/>
            <w:vMerge w:val="continue"/>
            <w:vAlign w:val="center"/>
          </w:tcPr>
          <w:p w14:paraId="6F3D89CC">
            <w:pPr>
              <w:spacing w:line="240" w:lineRule="exact"/>
              <w:jc w:val="center"/>
              <w:rPr>
                <w:rFonts w:hint="eastAsia" w:ascii="宋体" w:hAnsi="宋体"/>
                <w:color w:val="000000" w:themeColor="text1"/>
                <w:kern w:val="0"/>
                <w:szCs w:val="21"/>
                <w14:textFill>
                  <w14:solidFill>
                    <w14:schemeClr w14:val="tx1"/>
                  </w14:solidFill>
                </w14:textFill>
              </w:rPr>
            </w:pPr>
          </w:p>
        </w:tc>
        <w:tc>
          <w:tcPr>
            <w:tcW w:w="793" w:type="pct"/>
            <w:vAlign w:val="center"/>
          </w:tcPr>
          <w:p w14:paraId="26DC3FC9">
            <w:pPr>
              <w:spacing w:line="240" w:lineRule="exact"/>
              <w:jc w:val="center"/>
              <w:rPr>
                <w:rFonts w:hint="eastAsia"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林格曼黑度</w:t>
            </w:r>
          </w:p>
        </w:tc>
        <w:tc>
          <w:tcPr>
            <w:tcW w:w="2879" w:type="pct"/>
            <w:gridSpan w:val="3"/>
            <w:vAlign w:val="center"/>
          </w:tcPr>
          <w:p w14:paraId="6A87D26A">
            <w:pPr>
              <w:spacing w:line="240" w:lineRule="exact"/>
              <w:jc w:val="center"/>
              <w:rPr>
                <w:rFonts w:hint="eastAsia"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＜1</w:t>
            </w:r>
          </w:p>
        </w:tc>
      </w:tr>
      <w:tr w14:paraId="6E21BD3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38" w:type="pct"/>
            <w:vMerge w:val="continue"/>
            <w:vAlign w:val="center"/>
          </w:tcPr>
          <w:p w14:paraId="564D7A62">
            <w:pPr>
              <w:spacing w:line="240" w:lineRule="exact"/>
              <w:jc w:val="center"/>
              <w:rPr>
                <w:rFonts w:hint="eastAsia" w:ascii="宋体" w:hAnsi="宋体"/>
                <w:color w:val="000000" w:themeColor="text1"/>
                <w:kern w:val="0"/>
                <w:szCs w:val="21"/>
                <w14:textFill>
                  <w14:solidFill>
                    <w14:schemeClr w14:val="tx1"/>
                  </w14:solidFill>
                </w14:textFill>
              </w:rPr>
            </w:pPr>
          </w:p>
        </w:tc>
        <w:tc>
          <w:tcPr>
            <w:tcW w:w="490" w:type="pct"/>
            <w:vMerge w:val="continue"/>
            <w:vAlign w:val="center"/>
          </w:tcPr>
          <w:p w14:paraId="755CED6C">
            <w:pPr>
              <w:spacing w:line="240" w:lineRule="exact"/>
              <w:jc w:val="center"/>
              <w:rPr>
                <w:rFonts w:hint="eastAsia" w:ascii="宋体" w:hAnsi="宋体"/>
                <w:color w:val="000000" w:themeColor="text1"/>
                <w:kern w:val="0"/>
                <w:szCs w:val="21"/>
                <w14:textFill>
                  <w14:solidFill>
                    <w14:schemeClr w14:val="tx1"/>
                  </w14:solidFill>
                </w14:textFill>
              </w:rPr>
            </w:pPr>
          </w:p>
        </w:tc>
        <w:tc>
          <w:tcPr>
            <w:tcW w:w="793" w:type="pct"/>
            <w:vAlign w:val="center"/>
          </w:tcPr>
          <w:p w14:paraId="090D30B0">
            <w:pPr>
              <w:spacing w:line="240" w:lineRule="exact"/>
              <w:jc w:val="center"/>
              <w:rPr>
                <w:rFonts w:hint="eastAsia"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烟气流量</w:t>
            </w:r>
          </w:p>
        </w:tc>
        <w:tc>
          <w:tcPr>
            <w:tcW w:w="2879" w:type="pct"/>
            <w:gridSpan w:val="3"/>
            <w:vAlign w:val="center"/>
          </w:tcPr>
          <w:p w14:paraId="5A118B81">
            <w:pPr>
              <w:spacing w:line="240" w:lineRule="exact"/>
              <w:jc w:val="center"/>
              <w:rPr>
                <w:rFonts w:hint="eastAsia"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1478m</w:t>
            </w:r>
            <w:r>
              <w:rPr>
                <w:rFonts w:hint="eastAsia" w:ascii="宋体" w:hAnsi="宋体"/>
                <w:color w:val="000000" w:themeColor="text1"/>
                <w:kern w:val="0"/>
                <w:szCs w:val="21"/>
                <w:vertAlign w:val="superscript"/>
                <w14:textFill>
                  <w14:solidFill>
                    <w14:schemeClr w14:val="tx1"/>
                  </w14:solidFill>
                </w14:textFill>
              </w:rPr>
              <w:t>3</w:t>
            </w:r>
            <w:r>
              <w:rPr>
                <w:rFonts w:hint="eastAsia" w:ascii="宋体" w:hAnsi="宋体"/>
                <w:color w:val="000000" w:themeColor="text1"/>
                <w:kern w:val="0"/>
                <w:szCs w:val="21"/>
                <w14:textFill>
                  <w14:solidFill>
                    <w14:schemeClr w14:val="tx1"/>
                  </w14:solidFill>
                </w14:textFill>
              </w:rPr>
              <w:t>/h</w:t>
            </w:r>
          </w:p>
        </w:tc>
      </w:tr>
      <w:tr w14:paraId="6F610F2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38" w:type="pct"/>
            <w:vMerge w:val="restart"/>
            <w:vAlign w:val="center"/>
          </w:tcPr>
          <w:p w14:paraId="1F64A94B">
            <w:pPr>
              <w:spacing w:line="240" w:lineRule="exact"/>
              <w:jc w:val="center"/>
              <w:rPr>
                <w:rFonts w:hint="eastAsia"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2025.1.21-1.23</w:t>
            </w:r>
          </w:p>
        </w:tc>
        <w:tc>
          <w:tcPr>
            <w:tcW w:w="490" w:type="pct"/>
            <w:vMerge w:val="restart"/>
            <w:vAlign w:val="center"/>
          </w:tcPr>
          <w:p w14:paraId="73BF72A4">
            <w:pPr>
              <w:spacing w:line="240" w:lineRule="exact"/>
              <w:jc w:val="center"/>
              <w:rPr>
                <w:rFonts w:hint="eastAsia"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1号多功能处理器-1</w:t>
            </w:r>
          </w:p>
        </w:tc>
        <w:tc>
          <w:tcPr>
            <w:tcW w:w="793" w:type="pct"/>
            <w:vAlign w:val="center"/>
          </w:tcPr>
          <w:p w14:paraId="129DF9F6">
            <w:pPr>
              <w:spacing w:line="240" w:lineRule="exact"/>
              <w:jc w:val="center"/>
              <w:rPr>
                <w:rFonts w:hint="eastAsia"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颗粒物</w:t>
            </w:r>
          </w:p>
        </w:tc>
        <w:tc>
          <w:tcPr>
            <w:tcW w:w="756" w:type="pct"/>
            <w:vAlign w:val="center"/>
          </w:tcPr>
          <w:p w14:paraId="518B19EC">
            <w:pPr>
              <w:spacing w:line="240" w:lineRule="exact"/>
              <w:jc w:val="center"/>
              <w:rPr>
                <w:rFonts w:hint="eastAsia"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3.2</w:t>
            </w:r>
          </w:p>
        </w:tc>
        <w:tc>
          <w:tcPr>
            <w:tcW w:w="987" w:type="pct"/>
            <w:vAlign w:val="center"/>
          </w:tcPr>
          <w:p w14:paraId="606E5E7B">
            <w:pPr>
              <w:spacing w:line="240" w:lineRule="exact"/>
              <w:jc w:val="center"/>
              <w:rPr>
                <w:rFonts w:hint="eastAsia"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6.2</w:t>
            </w:r>
          </w:p>
        </w:tc>
        <w:tc>
          <w:tcPr>
            <w:tcW w:w="1137" w:type="pct"/>
            <w:vAlign w:val="center"/>
          </w:tcPr>
          <w:p w14:paraId="052B762B">
            <w:pPr>
              <w:spacing w:line="240" w:lineRule="exact"/>
              <w:jc w:val="center"/>
              <w:rPr>
                <w:rFonts w:hint="eastAsia"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0.00549</w:t>
            </w:r>
          </w:p>
        </w:tc>
      </w:tr>
      <w:tr w14:paraId="7E3FE03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38" w:type="pct"/>
            <w:vMerge w:val="continue"/>
            <w:vAlign w:val="center"/>
          </w:tcPr>
          <w:p w14:paraId="798F72EE">
            <w:pPr>
              <w:spacing w:line="240" w:lineRule="exact"/>
              <w:jc w:val="center"/>
              <w:rPr>
                <w:rFonts w:hint="eastAsia" w:ascii="宋体" w:hAnsi="宋体"/>
                <w:color w:val="000000" w:themeColor="text1"/>
                <w:kern w:val="0"/>
                <w:szCs w:val="21"/>
                <w14:textFill>
                  <w14:solidFill>
                    <w14:schemeClr w14:val="tx1"/>
                  </w14:solidFill>
                </w14:textFill>
              </w:rPr>
            </w:pPr>
          </w:p>
        </w:tc>
        <w:tc>
          <w:tcPr>
            <w:tcW w:w="490" w:type="pct"/>
            <w:vMerge w:val="continue"/>
            <w:vAlign w:val="center"/>
          </w:tcPr>
          <w:p w14:paraId="0F3908FA">
            <w:pPr>
              <w:spacing w:line="240" w:lineRule="exact"/>
              <w:jc w:val="center"/>
              <w:rPr>
                <w:rFonts w:hint="eastAsia" w:ascii="宋体" w:hAnsi="宋体"/>
                <w:color w:val="000000" w:themeColor="text1"/>
                <w:kern w:val="0"/>
                <w:szCs w:val="21"/>
                <w14:textFill>
                  <w14:solidFill>
                    <w14:schemeClr w14:val="tx1"/>
                  </w14:solidFill>
                </w14:textFill>
              </w:rPr>
            </w:pPr>
          </w:p>
        </w:tc>
        <w:tc>
          <w:tcPr>
            <w:tcW w:w="793" w:type="pct"/>
            <w:vAlign w:val="center"/>
          </w:tcPr>
          <w:p w14:paraId="1A1A23AF">
            <w:pPr>
              <w:spacing w:line="240" w:lineRule="exact"/>
              <w:jc w:val="center"/>
              <w:rPr>
                <w:rFonts w:hint="eastAsia"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氮氧化物</w:t>
            </w:r>
          </w:p>
        </w:tc>
        <w:tc>
          <w:tcPr>
            <w:tcW w:w="756" w:type="pct"/>
            <w:vAlign w:val="center"/>
          </w:tcPr>
          <w:p w14:paraId="77D7A146">
            <w:pPr>
              <w:spacing w:line="240" w:lineRule="exact"/>
              <w:jc w:val="center"/>
              <w:rPr>
                <w:rFonts w:hint="eastAsia"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18</w:t>
            </w:r>
          </w:p>
        </w:tc>
        <w:tc>
          <w:tcPr>
            <w:tcW w:w="987" w:type="pct"/>
            <w:vAlign w:val="center"/>
          </w:tcPr>
          <w:p w14:paraId="2652FD2E">
            <w:pPr>
              <w:spacing w:line="240" w:lineRule="exact"/>
              <w:jc w:val="center"/>
              <w:rPr>
                <w:rFonts w:hint="eastAsia"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35</w:t>
            </w:r>
          </w:p>
        </w:tc>
        <w:tc>
          <w:tcPr>
            <w:tcW w:w="1137" w:type="pct"/>
            <w:vAlign w:val="center"/>
          </w:tcPr>
          <w:p w14:paraId="58C7A633">
            <w:pPr>
              <w:spacing w:line="240" w:lineRule="exact"/>
              <w:jc w:val="center"/>
              <w:rPr>
                <w:rFonts w:hint="eastAsia"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0.031</w:t>
            </w:r>
          </w:p>
        </w:tc>
      </w:tr>
      <w:tr w14:paraId="247E0E0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38" w:type="pct"/>
            <w:vMerge w:val="continue"/>
            <w:vAlign w:val="center"/>
          </w:tcPr>
          <w:p w14:paraId="7389C18C">
            <w:pPr>
              <w:spacing w:line="240" w:lineRule="exact"/>
              <w:jc w:val="center"/>
              <w:rPr>
                <w:rFonts w:hint="eastAsia" w:ascii="宋体" w:hAnsi="宋体"/>
                <w:color w:val="000000" w:themeColor="text1"/>
                <w:kern w:val="0"/>
                <w:szCs w:val="21"/>
                <w14:textFill>
                  <w14:solidFill>
                    <w14:schemeClr w14:val="tx1"/>
                  </w14:solidFill>
                </w14:textFill>
              </w:rPr>
            </w:pPr>
          </w:p>
        </w:tc>
        <w:tc>
          <w:tcPr>
            <w:tcW w:w="490" w:type="pct"/>
            <w:vMerge w:val="continue"/>
            <w:vAlign w:val="center"/>
          </w:tcPr>
          <w:p w14:paraId="06D305C8">
            <w:pPr>
              <w:spacing w:line="240" w:lineRule="exact"/>
              <w:jc w:val="center"/>
              <w:rPr>
                <w:rFonts w:hint="eastAsia" w:ascii="宋体" w:hAnsi="宋体"/>
                <w:color w:val="000000" w:themeColor="text1"/>
                <w:kern w:val="0"/>
                <w:szCs w:val="21"/>
                <w14:textFill>
                  <w14:solidFill>
                    <w14:schemeClr w14:val="tx1"/>
                  </w14:solidFill>
                </w14:textFill>
              </w:rPr>
            </w:pPr>
          </w:p>
        </w:tc>
        <w:tc>
          <w:tcPr>
            <w:tcW w:w="793" w:type="pct"/>
            <w:vAlign w:val="center"/>
          </w:tcPr>
          <w:p w14:paraId="68918F1D">
            <w:pPr>
              <w:spacing w:line="240" w:lineRule="exact"/>
              <w:jc w:val="center"/>
              <w:rPr>
                <w:rFonts w:hint="eastAsia"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二氧化硫</w:t>
            </w:r>
          </w:p>
        </w:tc>
        <w:tc>
          <w:tcPr>
            <w:tcW w:w="756" w:type="pct"/>
            <w:vAlign w:val="center"/>
          </w:tcPr>
          <w:p w14:paraId="332C33FC">
            <w:pPr>
              <w:spacing w:line="240" w:lineRule="exact"/>
              <w:jc w:val="center"/>
              <w:rPr>
                <w:rFonts w:hint="eastAsia"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＜2</w:t>
            </w:r>
          </w:p>
        </w:tc>
        <w:tc>
          <w:tcPr>
            <w:tcW w:w="987" w:type="pct"/>
            <w:vAlign w:val="center"/>
          </w:tcPr>
          <w:p w14:paraId="41D32C54">
            <w:pPr>
              <w:spacing w:line="240" w:lineRule="exact"/>
              <w:jc w:val="center"/>
              <w:rPr>
                <w:rFonts w:hint="eastAsia"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w:t>
            </w:r>
          </w:p>
        </w:tc>
        <w:tc>
          <w:tcPr>
            <w:tcW w:w="1137" w:type="pct"/>
            <w:vAlign w:val="center"/>
          </w:tcPr>
          <w:p w14:paraId="5D586DED">
            <w:pPr>
              <w:spacing w:line="240" w:lineRule="exact"/>
              <w:jc w:val="center"/>
              <w:rPr>
                <w:rFonts w:hint="eastAsia"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w:t>
            </w:r>
          </w:p>
        </w:tc>
      </w:tr>
      <w:tr w14:paraId="097A506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38" w:type="pct"/>
            <w:vMerge w:val="continue"/>
            <w:vAlign w:val="center"/>
          </w:tcPr>
          <w:p w14:paraId="12EC7F08">
            <w:pPr>
              <w:spacing w:line="240" w:lineRule="exact"/>
              <w:jc w:val="center"/>
              <w:rPr>
                <w:rFonts w:hint="eastAsia" w:ascii="宋体" w:hAnsi="宋体"/>
                <w:color w:val="000000" w:themeColor="text1"/>
                <w:kern w:val="0"/>
                <w:szCs w:val="21"/>
                <w14:textFill>
                  <w14:solidFill>
                    <w14:schemeClr w14:val="tx1"/>
                  </w14:solidFill>
                </w14:textFill>
              </w:rPr>
            </w:pPr>
          </w:p>
        </w:tc>
        <w:tc>
          <w:tcPr>
            <w:tcW w:w="490" w:type="pct"/>
            <w:vMerge w:val="continue"/>
            <w:vAlign w:val="center"/>
          </w:tcPr>
          <w:p w14:paraId="15D205A3">
            <w:pPr>
              <w:spacing w:line="240" w:lineRule="exact"/>
              <w:jc w:val="center"/>
              <w:rPr>
                <w:rFonts w:hint="eastAsia" w:ascii="宋体" w:hAnsi="宋体"/>
                <w:color w:val="000000" w:themeColor="text1"/>
                <w:kern w:val="0"/>
                <w:szCs w:val="21"/>
                <w14:textFill>
                  <w14:solidFill>
                    <w14:schemeClr w14:val="tx1"/>
                  </w14:solidFill>
                </w14:textFill>
              </w:rPr>
            </w:pPr>
          </w:p>
        </w:tc>
        <w:tc>
          <w:tcPr>
            <w:tcW w:w="793" w:type="pct"/>
            <w:vAlign w:val="center"/>
          </w:tcPr>
          <w:p w14:paraId="352F0CBE">
            <w:pPr>
              <w:spacing w:line="240" w:lineRule="exact"/>
              <w:jc w:val="center"/>
              <w:rPr>
                <w:rFonts w:hint="eastAsia"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林格曼黑度</w:t>
            </w:r>
          </w:p>
        </w:tc>
        <w:tc>
          <w:tcPr>
            <w:tcW w:w="2879" w:type="pct"/>
            <w:gridSpan w:val="3"/>
            <w:vAlign w:val="center"/>
          </w:tcPr>
          <w:p w14:paraId="69089649">
            <w:pPr>
              <w:spacing w:line="240" w:lineRule="exact"/>
              <w:jc w:val="center"/>
              <w:rPr>
                <w:rFonts w:hint="eastAsia"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＜1</w:t>
            </w:r>
          </w:p>
        </w:tc>
      </w:tr>
      <w:tr w14:paraId="3DFD590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38" w:type="pct"/>
            <w:vMerge w:val="continue"/>
            <w:vAlign w:val="center"/>
          </w:tcPr>
          <w:p w14:paraId="346A5542">
            <w:pPr>
              <w:spacing w:line="240" w:lineRule="exact"/>
              <w:jc w:val="center"/>
              <w:rPr>
                <w:rFonts w:hint="eastAsia" w:ascii="宋体" w:hAnsi="宋体"/>
                <w:color w:val="000000" w:themeColor="text1"/>
                <w:kern w:val="0"/>
                <w:szCs w:val="21"/>
                <w14:textFill>
                  <w14:solidFill>
                    <w14:schemeClr w14:val="tx1"/>
                  </w14:solidFill>
                </w14:textFill>
              </w:rPr>
            </w:pPr>
          </w:p>
        </w:tc>
        <w:tc>
          <w:tcPr>
            <w:tcW w:w="490" w:type="pct"/>
            <w:vMerge w:val="continue"/>
            <w:vAlign w:val="center"/>
          </w:tcPr>
          <w:p w14:paraId="6E558B68">
            <w:pPr>
              <w:spacing w:line="240" w:lineRule="exact"/>
              <w:jc w:val="center"/>
              <w:rPr>
                <w:rFonts w:hint="eastAsia" w:ascii="宋体" w:hAnsi="宋体"/>
                <w:color w:val="000000" w:themeColor="text1"/>
                <w:kern w:val="0"/>
                <w:szCs w:val="21"/>
                <w14:textFill>
                  <w14:solidFill>
                    <w14:schemeClr w14:val="tx1"/>
                  </w14:solidFill>
                </w14:textFill>
              </w:rPr>
            </w:pPr>
          </w:p>
        </w:tc>
        <w:tc>
          <w:tcPr>
            <w:tcW w:w="793" w:type="pct"/>
            <w:vAlign w:val="center"/>
          </w:tcPr>
          <w:p w14:paraId="62D20B17">
            <w:pPr>
              <w:spacing w:line="240" w:lineRule="exact"/>
              <w:jc w:val="center"/>
              <w:rPr>
                <w:rFonts w:hint="eastAsia"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烟气流量</w:t>
            </w:r>
          </w:p>
        </w:tc>
        <w:tc>
          <w:tcPr>
            <w:tcW w:w="2879" w:type="pct"/>
            <w:gridSpan w:val="3"/>
            <w:vAlign w:val="center"/>
          </w:tcPr>
          <w:p w14:paraId="2F006A5E">
            <w:pPr>
              <w:spacing w:line="240" w:lineRule="exact"/>
              <w:jc w:val="center"/>
              <w:rPr>
                <w:rFonts w:hint="eastAsia"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1715m</w:t>
            </w:r>
            <w:r>
              <w:rPr>
                <w:rFonts w:hint="eastAsia" w:ascii="宋体" w:hAnsi="宋体"/>
                <w:color w:val="000000" w:themeColor="text1"/>
                <w:kern w:val="0"/>
                <w:szCs w:val="21"/>
                <w:vertAlign w:val="superscript"/>
                <w14:textFill>
                  <w14:solidFill>
                    <w14:schemeClr w14:val="tx1"/>
                  </w14:solidFill>
                </w14:textFill>
              </w:rPr>
              <w:t>3</w:t>
            </w:r>
            <w:r>
              <w:rPr>
                <w:rFonts w:hint="eastAsia" w:ascii="宋体" w:hAnsi="宋体"/>
                <w:color w:val="000000" w:themeColor="text1"/>
                <w:kern w:val="0"/>
                <w:szCs w:val="21"/>
                <w14:textFill>
                  <w14:solidFill>
                    <w14:schemeClr w14:val="tx1"/>
                  </w14:solidFill>
                </w14:textFill>
              </w:rPr>
              <w:t>/h</w:t>
            </w:r>
          </w:p>
        </w:tc>
      </w:tr>
      <w:tr w14:paraId="0603AAC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38" w:type="pct"/>
            <w:vMerge w:val="restart"/>
            <w:vAlign w:val="center"/>
          </w:tcPr>
          <w:p w14:paraId="3B4D93A6">
            <w:pPr>
              <w:spacing w:line="240" w:lineRule="exact"/>
              <w:jc w:val="center"/>
              <w:rPr>
                <w:rFonts w:hint="eastAsia"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2025.1.20-1.23</w:t>
            </w:r>
          </w:p>
        </w:tc>
        <w:tc>
          <w:tcPr>
            <w:tcW w:w="490" w:type="pct"/>
            <w:vMerge w:val="restart"/>
            <w:vAlign w:val="center"/>
          </w:tcPr>
          <w:p w14:paraId="2A2617EE">
            <w:pPr>
              <w:spacing w:line="240" w:lineRule="exact"/>
              <w:jc w:val="center"/>
              <w:rPr>
                <w:rFonts w:hint="eastAsia"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1号多功能处理器-2</w:t>
            </w:r>
          </w:p>
        </w:tc>
        <w:tc>
          <w:tcPr>
            <w:tcW w:w="793" w:type="pct"/>
            <w:vAlign w:val="center"/>
          </w:tcPr>
          <w:p w14:paraId="1270CA06">
            <w:pPr>
              <w:spacing w:line="240" w:lineRule="exact"/>
              <w:jc w:val="center"/>
              <w:rPr>
                <w:rFonts w:hint="eastAsia"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颗粒物</w:t>
            </w:r>
          </w:p>
        </w:tc>
        <w:tc>
          <w:tcPr>
            <w:tcW w:w="756" w:type="pct"/>
            <w:vAlign w:val="center"/>
          </w:tcPr>
          <w:p w14:paraId="0C030360">
            <w:pPr>
              <w:spacing w:line="240" w:lineRule="exact"/>
              <w:jc w:val="center"/>
              <w:rPr>
                <w:rFonts w:hint="eastAsia"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3.2</w:t>
            </w:r>
          </w:p>
        </w:tc>
        <w:tc>
          <w:tcPr>
            <w:tcW w:w="987" w:type="pct"/>
            <w:vAlign w:val="center"/>
          </w:tcPr>
          <w:p w14:paraId="6AA54061">
            <w:pPr>
              <w:spacing w:line="240" w:lineRule="exact"/>
              <w:jc w:val="center"/>
              <w:rPr>
                <w:rFonts w:hint="eastAsia"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7.4</w:t>
            </w:r>
          </w:p>
        </w:tc>
        <w:tc>
          <w:tcPr>
            <w:tcW w:w="1137" w:type="pct"/>
            <w:vAlign w:val="center"/>
          </w:tcPr>
          <w:p w14:paraId="60A3C684">
            <w:pPr>
              <w:spacing w:line="240" w:lineRule="exact"/>
              <w:jc w:val="center"/>
              <w:rPr>
                <w:rFonts w:hint="eastAsia"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0.00556</w:t>
            </w:r>
          </w:p>
        </w:tc>
      </w:tr>
      <w:tr w14:paraId="2696C6D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38" w:type="pct"/>
            <w:vMerge w:val="continue"/>
            <w:vAlign w:val="center"/>
          </w:tcPr>
          <w:p w14:paraId="55BB01DC">
            <w:pPr>
              <w:spacing w:line="240" w:lineRule="exact"/>
              <w:jc w:val="center"/>
              <w:rPr>
                <w:rFonts w:hint="eastAsia" w:ascii="宋体" w:hAnsi="宋体"/>
                <w:color w:val="000000" w:themeColor="text1"/>
                <w:kern w:val="0"/>
                <w:szCs w:val="21"/>
                <w14:textFill>
                  <w14:solidFill>
                    <w14:schemeClr w14:val="tx1"/>
                  </w14:solidFill>
                </w14:textFill>
              </w:rPr>
            </w:pPr>
          </w:p>
        </w:tc>
        <w:tc>
          <w:tcPr>
            <w:tcW w:w="490" w:type="pct"/>
            <w:vMerge w:val="continue"/>
            <w:vAlign w:val="center"/>
          </w:tcPr>
          <w:p w14:paraId="02433AE7">
            <w:pPr>
              <w:spacing w:line="240" w:lineRule="exact"/>
              <w:jc w:val="center"/>
              <w:rPr>
                <w:rFonts w:hint="eastAsia" w:ascii="宋体" w:hAnsi="宋体"/>
                <w:color w:val="000000" w:themeColor="text1"/>
                <w:kern w:val="0"/>
                <w:szCs w:val="21"/>
                <w14:textFill>
                  <w14:solidFill>
                    <w14:schemeClr w14:val="tx1"/>
                  </w14:solidFill>
                </w14:textFill>
              </w:rPr>
            </w:pPr>
          </w:p>
        </w:tc>
        <w:tc>
          <w:tcPr>
            <w:tcW w:w="793" w:type="pct"/>
            <w:vAlign w:val="center"/>
          </w:tcPr>
          <w:p w14:paraId="68376B8F">
            <w:pPr>
              <w:spacing w:line="240" w:lineRule="exact"/>
              <w:jc w:val="center"/>
              <w:rPr>
                <w:rFonts w:hint="eastAsia"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氮氧化物</w:t>
            </w:r>
          </w:p>
        </w:tc>
        <w:tc>
          <w:tcPr>
            <w:tcW w:w="756" w:type="pct"/>
            <w:vAlign w:val="center"/>
          </w:tcPr>
          <w:p w14:paraId="31263D45">
            <w:pPr>
              <w:spacing w:line="240" w:lineRule="exact"/>
              <w:jc w:val="center"/>
              <w:rPr>
                <w:rFonts w:hint="eastAsia"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18</w:t>
            </w:r>
          </w:p>
        </w:tc>
        <w:tc>
          <w:tcPr>
            <w:tcW w:w="987" w:type="pct"/>
            <w:vAlign w:val="center"/>
          </w:tcPr>
          <w:p w14:paraId="23095543">
            <w:pPr>
              <w:spacing w:line="240" w:lineRule="exact"/>
              <w:jc w:val="center"/>
              <w:rPr>
                <w:rFonts w:hint="eastAsia"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41</w:t>
            </w:r>
          </w:p>
        </w:tc>
        <w:tc>
          <w:tcPr>
            <w:tcW w:w="1137" w:type="pct"/>
            <w:vAlign w:val="center"/>
          </w:tcPr>
          <w:p w14:paraId="3818B2F9">
            <w:pPr>
              <w:spacing w:line="240" w:lineRule="exact"/>
              <w:jc w:val="center"/>
              <w:rPr>
                <w:rFonts w:hint="eastAsia"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0.031</w:t>
            </w:r>
          </w:p>
        </w:tc>
      </w:tr>
      <w:tr w14:paraId="136C446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38" w:type="pct"/>
            <w:vMerge w:val="continue"/>
            <w:vAlign w:val="center"/>
          </w:tcPr>
          <w:p w14:paraId="0155D090">
            <w:pPr>
              <w:spacing w:line="240" w:lineRule="exact"/>
              <w:jc w:val="center"/>
              <w:rPr>
                <w:rFonts w:hint="eastAsia" w:ascii="宋体" w:hAnsi="宋体"/>
                <w:color w:val="000000" w:themeColor="text1"/>
                <w:kern w:val="0"/>
                <w:szCs w:val="21"/>
                <w14:textFill>
                  <w14:solidFill>
                    <w14:schemeClr w14:val="tx1"/>
                  </w14:solidFill>
                </w14:textFill>
              </w:rPr>
            </w:pPr>
          </w:p>
        </w:tc>
        <w:tc>
          <w:tcPr>
            <w:tcW w:w="490" w:type="pct"/>
            <w:vMerge w:val="continue"/>
            <w:vAlign w:val="center"/>
          </w:tcPr>
          <w:p w14:paraId="542EE43A">
            <w:pPr>
              <w:spacing w:line="240" w:lineRule="exact"/>
              <w:jc w:val="center"/>
              <w:rPr>
                <w:rFonts w:hint="eastAsia" w:ascii="宋体" w:hAnsi="宋体"/>
                <w:color w:val="000000" w:themeColor="text1"/>
                <w:kern w:val="0"/>
                <w:szCs w:val="21"/>
                <w14:textFill>
                  <w14:solidFill>
                    <w14:schemeClr w14:val="tx1"/>
                  </w14:solidFill>
                </w14:textFill>
              </w:rPr>
            </w:pPr>
          </w:p>
        </w:tc>
        <w:tc>
          <w:tcPr>
            <w:tcW w:w="793" w:type="pct"/>
            <w:vAlign w:val="center"/>
          </w:tcPr>
          <w:p w14:paraId="25F65C97">
            <w:pPr>
              <w:spacing w:line="240" w:lineRule="exact"/>
              <w:jc w:val="center"/>
              <w:rPr>
                <w:rFonts w:hint="eastAsia"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二氧化硫</w:t>
            </w:r>
          </w:p>
        </w:tc>
        <w:tc>
          <w:tcPr>
            <w:tcW w:w="756" w:type="pct"/>
            <w:vAlign w:val="center"/>
          </w:tcPr>
          <w:p w14:paraId="774AD1C9">
            <w:pPr>
              <w:spacing w:line="240" w:lineRule="exact"/>
              <w:jc w:val="center"/>
              <w:rPr>
                <w:rFonts w:hint="eastAsia"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＜2</w:t>
            </w:r>
          </w:p>
        </w:tc>
        <w:tc>
          <w:tcPr>
            <w:tcW w:w="987" w:type="pct"/>
            <w:vAlign w:val="center"/>
          </w:tcPr>
          <w:p w14:paraId="0C5F106C">
            <w:pPr>
              <w:spacing w:line="240" w:lineRule="exact"/>
              <w:jc w:val="center"/>
              <w:rPr>
                <w:rFonts w:hint="eastAsia"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w:t>
            </w:r>
          </w:p>
        </w:tc>
        <w:tc>
          <w:tcPr>
            <w:tcW w:w="1137" w:type="pct"/>
            <w:vAlign w:val="center"/>
          </w:tcPr>
          <w:p w14:paraId="3605B136">
            <w:pPr>
              <w:spacing w:line="240" w:lineRule="exact"/>
              <w:jc w:val="center"/>
              <w:rPr>
                <w:rFonts w:hint="eastAsia"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w:t>
            </w:r>
          </w:p>
        </w:tc>
      </w:tr>
      <w:tr w14:paraId="568458E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38" w:type="pct"/>
            <w:vMerge w:val="continue"/>
            <w:vAlign w:val="center"/>
          </w:tcPr>
          <w:p w14:paraId="3B87F5F6">
            <w:pPr>
              <w:spacing w:line="240" w:lineRule="exact"/>
              <w:jc w:val="center"/>
              <w:rPr>
                <w:rFonts w:hint="eastAsia" w:ascii="宋体" w:hAnsi="宋体"/>
                <w:color w:val="000000" w:themeColor="text1"/>
                <w:kern w:val="0"/>
                <w:szCs w:val="21"/>
                <w14:textFill>
                  <w14:solidFill>
                    <w14:schemeClr w14:val="tx1"/>
                  </w14:solidFill>
                </w14:textFill>
              </w:rPr>
            </w:pPr>
          </w:p>
        </w:tc>
        <w:tc>
          <w:tcPr>
            <w:tcW w:w="490" w:type="pct"/>
            <w:vMerge w:val="continue"/>
            <w:vAlign w:val="center"/>
          </w:tcPr>
          <w:p w14:paraId="69F3A519">
            <w:pPr>
              <w:spacing w:line="240" w:lineRule="exact"/>
              <w:jc w:val="center"/>
              <w:rPr>
                <w:rFonts w:hint="eastAsia" w:ascii="宋体" w:hAnsi="宋体"/>
                <w:color w:val="000000" w:themeColor="text1"/>
                <w:kern w:val="0"/>
                <w:szCs w:val="21"/>
                <w14:textFill>
                  <w14:solidFill>
                    <w14:schemeClr w14:val="tx1"/>
                  </w14:solidFill>
                </w14:textFill>
              </w:rPr>
            </w:pPr>
          </w:p>
        </w:tc>
        <w:tc>
          <w:tcPr>
            <w:tcW w:w="793" w:type="pct"/>
            <w:vAlign w:val="center"/>
          </w:tcPr>
          <w:p w14:paraId="43119BE7">
            <w:pPr>
              <w:spacing w:line="240" w:lineRule="exact"/>
              <w:jc w:val="center"/>
              <w:rPr>
                <w:rFonts w:hint="eastAsia"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林格曼黑度</w:t>
            </w:r>
          </w:p>
        </w:tc>
        <w:tc>
          <w:tcPr>
            <w:tcW w:w="2879" w:type="pct"/>
            <w:gridSpan w:val="3"/>
            <w:vAlign w:val="center"/>
          </w:tcPr>
          <w:p w14:paraId="1596D55F">
            <w:pPr>
              <w:spacing w:line="240" w:lineRule="exact"/>
              <w:jc w:val="center"/>
              <w:rPr>
                <w:rFonts w:hint="eastAsia"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＜1</w:t>
            </w:r>
          </w:p>
        </w:tc>
      </w:tr>
      <w:tr w14:paraId="64A82F0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38" w:type="pct"/>
            <w:vMerge w:val="continue"/>
            <w:vAlign w:val="center"/>
          </w:tcPr>
          <w:p w14:paraId="2E547DE0">
            <w:pPr>
              <w:spacing w:line="240" w:lineRule="exact"/>
              <w:jc w:val="center"/>
              <w:rPr>
                <w:rFonts w:hint="eastAsia" w:ascii="宋体" w:hAnsi="宋体"/>
                <w:color w:val="000000" w:themeColor="text1"/>
                <w:kern w:val="0"/>
                <w:szCs w:val="21"/>
                <w14:textFill>
                  <w14:solidFill>
                    <w14:schemeClr w14:val="tx1"/>
                  </w14:solidFill>
                </w14:textFill>
              </w:rPr>
            </w:pPr>
          </w:p>
        </w:tc>
        <w:tc>
          <w:tcPr>
            <w:tcW w:w="490" w:type="pct"/>
            <w:vMerge w:val="continue"/>
            <w:vAlign w:val="center"/>
          </w:tcPr>
          <w:p w14:paraId="7A6DC4ED">
            <w:pPr>
              <w:spacing w:line="240" w:lineRule="exact"/>
              <w:jc w:val="center"/>
              <w:rPr>
                <w:rFonts w:hint="eastAsia" w:ascii="宋体" w:hAnsi="宋体"/>
                <w:color w:val="000000" w:themeColor="text1"/>
                <w:kern w:val="0"/>
                <w:szCs w:val="21"/>
                <w14:textFill>
                  <w14:solidFill>
                    <w14:schemeClr w14:val="tx1"/>
                  </w14:solidFill>
                </w14:textFill>
              </w:rPr>
            </w:pPr>
          </w:p>
        </w:tc>
        <w:tc>
          <w:tcPr>
            <w:tcW w:w="793" w:type="pct"/>
            <w:vAlign w:val="center"/>
          </w:tcPr>
          <w:p w14:paraId="6028AE08">
            <w:pPr>
              <w:spacing w:line="240" w:lineRule="exact"/>
              <w:jc w:val="center"/>
              <w:rPr>
                <w:rFonts w:hint="eastAsia"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烟气流量</w:t>
            </w:r>
          </w:p>
        </w:tc>
        <w:tc>
          <w:tcPr>
            <w:tcW w:w="2879" w:type="pct"/>
            <w:gridSpan w:val="3"/>
            <w:vAlign w:val="center"/>
          </w:tcPr>
          <w:p w14:paraId="13A96584">
            <w:pPr>
              <w:spacing w:line="240" w:lineRule="exact"/>
              <w:jc w:val="center"/>
              <w:rPr>
                <w:rFonts w:hint="eastAsia"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1738m</w:t>
            </w:r>
            <w:r>
              <w:rPr>
                <w:rFonts w:hint="eastAsia" w:ascii="宋体" w:hAnsi="宋体"/>
                <w:color w:val="000000" w:themeColor="text1"/>
                <w:kern w:val="0"/>
                <w:szCs w:val="21"/>
                <w:vertAlign w:val="superscript"/>
                <w14:textFill>
                  <w14:solidFill>
                    <w14:schemeClr w14:val="tx1"/>
                  </w14:solidFill>
                </w14:textFill>
              </w:rPr>
              <w:t>3</w:t>
            </w:r>
            <w:r>
              <w:rPr>
                <w:rFonts w:hint="eastAsia" w:ascii="宋体" w:hAnsi="宋体"/>
                <w:color w:val="000000" w:themeColor="text1"/>
                <w:kern w:val="0"/>
                <w:szCs w:val="21"/>
                <w14:textFill>
                  <w14:solidFill>
                    <w14:schemeClr w14:val="tx1"/>
                  </w14:solidFill>
                </w14:textFill>
              </w:rPr>
              <w:t>/h</w:t>
            </w:r>
          </w:p>
        </w:tc>
      </w:tr>
      <w:tr w14:paraId="1999489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38" w:type="pct"/>
            <w:vMerge w:val="restart"/>
            <w:vAlign w:val="center"/>
          </w:tcPr>
          <w:p w14:paraId="2321E51C">
            <w:pPr>
              <w:spacing w:line="240" w:lineRule="exact"/>
              <w:jc w:val="center"/>
              <w:rPr>
                <w:rFonts w:hint="eastAsia"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2025.1.21-1.23</w:t>
            </w:r>
          </w:p>
        </w:tc>
        <w:tc>
          <w:tcPr>
            <w:tcW w:w="490" w:type="pct"/>
            <w:vMerge w:val="restart"/>
            <w:vAlign w:val="center"/>
          </w:tcPr>
          <w:p w14:paraId="665F1F6A">
            <w:pPr>
              <w:spacing w:line="240" w:lineRule="exact"/>
              <w:jc w:val="center"/>
              <w:rPr>
                <w:rFonts w:hint="eastAsia"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2号多功能处理器-1</w:t>
            </w:r>
          </w:p>
        </w:tc>
        <w:tc>
          <w:tcPr>
            <w:tcW w:w="793" w:type="pct"/>
            <w:vAlign w:val="center"/>
          </w:tcPr>
          <w:p w14:paraId="6A4500D8">
            <w:pPr>
              <w:spacing w:line="240" w:lineRule="exact"/>
              <w:jc w:val="center"/>
              <w:rPr>
                <w:rFonts w:hint="eastAsia"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颗粒物</w:t>
            </w:r>
          </w:p>
        </w:tc>
        <w:tc>
          <w:tcPr>
            <w:tcW w:w="756" w:type="pct"/>
            <w:vAlign w:val="center"/>
          </w:tcPr>
          <w:p w14:paraId="743E486A">
            <w:pPr>
              <w:spacing w:line="240" w:lineRule="exact"/>
              <w:jc w:val="center"/>
              <w:rPr>
                <w:rFonts w:hint="eastAsia"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3.9</w:t>
            </w:r>
          </w:p>
        </w:tc>
        <w:tc>
          <w:tcPr>
            <w:tcW w:w="987" w:type="pct"/>
            <w:vAlign w:val="center"/>
          </w:tcPr>
          <w:p w14:paraId="146D0492">
            <w:pPr>
              <w:spacing w:line="240" w:lineRule="exact"/>
              <w:jc w:val="center"/>
              <w:rPr>
                <w:rFonts w:hint="eastAsia"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7.6</w:t>
            </w:r>
          </w:p>
        </w:tc>
        <w:tc>
          <w:tcPr>
            <w:tcW w:w="1137" w:type="pct"/>
            <w:vAlign w:val="center"/>
          </w:tcPr>
          <w:p w14:paraId="35550478">
            <w:pPr>
              <w:spacing w:line="240" w:lineRule="exact"/>
              <w:jc w:val="center"/>
              <w:rPr>
                <w:rFonts w:hint="eastAsia"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0.00736</w:t>
            </w:r>
          </w:p>
        </w:tc>
      </w:tr>
      <w:tr w14:paraId="0600065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38" w:type="pct"/>
            <w:vMerge w:val="continue"/>
            <w:vAlign w:val="center"/>
          </w:tcPr>
          <w:p w14:paraId="28835A6C">
            <w:pPr>
              <w:spacing w:line="240" w:lineRule="exact"/>
              <w:jc w:val="center"/>
              <w:rPr>
                <w:rFonts w:hint="eastAsia" w:ascii="宋体" w:hAnsi="宋体"/>
                <w:color w:val="000000" w:themeColor="text1"/>
                <w:kern w:val="0"/>
                <w:szCs w:val="21"/>
                <w14:textFill>
                  <w14:solidFill>
                    <w14:schemeClr w14:val="tx1"/>
                  </w14:solidFill>
                </w14:textFill>
              </w:rPr>
            </w:pPr>
          </w:p>
        </w:tc>
        <w:tc>
          <w:tcPr>
            <w:tcW w:w="490" w:type="pct"/>
            <w:vMerge w:val="continue"/>
            <w:vAlign w:val="center"/>
          </w:tcPr>
          <w:p w14:paraId="52309B3A">
            <w:pPr>
              <w:spacing w:line="240" w:lineRule="exact"/>
              <w:jc w:val="center"/>
              <w:rPr>
                <w:rFonts w:hint="eastAsia" w:ascii="宋体" w:hAnsi="宋体"/>
                <w:color w:val="000000" w:themeColor="text1"/>
                <w:kern w:val="0"/>
                <w:szCs w:val="21"/>
                <w14:textFill>
                  <w14:solidFill>
                    <w14:schemeClr w14:val="tx1"/>
                  </w14:solidFill>
                </w14:textFill>
              </w:rPr>
            </w:pPr>
          </w:p>
        </w:tc>
        <w:tc>
          <w:tcPr>
            <w:tcW w:w="793" w:type="pct"/>
            <w:vAlign w:val="center"/>
          </w:tcPr>
          <w:p w14:paraId="2DBFF08A">
            <w:pPr>
              <w:spacing w:line="240" w:lineRule="exact"/>
              <w:jc w:val="center"/>
              <w:rPr>
                <w:rFonts w:hint="eastAsia"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氮氧化物</w:t>
            </w:r>
          </w:p>
        </w:tc>
        <w:tc>
          <w:tcPr>
            <w:tcW w:w="756" w:type="pct"/>
            <w:vAlign w:val="center"/>
          </w:tcPr>
          <w:p w14:paraId="377BAA43">
            <w:pPr>
              <w:spacing w:line="240" w:lineRule="exact"/>
              <w:jc w:val="center"/>
              <w:rPr>
                <w:rFonts w:hint="eastAsia"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20</w:t>
            </w:r>
          </w:p>
        </w:tc>
        <w:tc>
          <w:tcPr>
            <w:tcW w:w="987" w:type="pct"/>
            <w:vAlign w:val="center"/>
          </w:tcPr>
          <w:p w14:paraId="1E3F94CC">
            <w:pPr>
              <w:spacing w:line="240" w:lineRule="exact"/>
              <w:jc w:val="center"/>
              <w:rPr>
                <w:rFonts w:hint="eastAsia"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39</w:t>
            </w:r>
          </w:p>
        </w:tc>
        <w:tc>
          <w:tcPr>
            <w:tcW w:w="1137" w:type="pct"/>
            <w:vAlign w:val="center"/>
          </w:tcPr>
          <w:p w14:paraId="083C2264">
            <w:pPr>
              <w:spacing w:line="240" w:lineRule="exact"/>
              <w:jc w:val="center"/>
              <w:rPr>
                <w:rFonts w:hint="eastAsia"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0.038</w:t>
            </w:r>
          </w:p>
        </w:tc>
      </w:tr>
      <w:tr w14:paraId="43267AD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38" w:type="pct"/>
            <w:vMerge w:val="continue"/>
            <w:vAlign w:val="center"/>
          </w:tcPr>
          <w:p w14:paraId="4A00BB75">
            <w:pPr>
              <w:spacing w:line="240" w:lineRule="exact"/>
              <w:jc w:val="center"/>
              <w:rPr>
                <w:rFonts w:hint="eastAsia" w:ascii="宋体" w:hAnsi="宋体"/>
                <w:color w:val="000000" w:themeColor="text1"/>
                <w:kern w:val="0"/>
                <w:szCs w:val="21"/>
                <w14:textFill>
                  <w14:solidFill>
                    <w14:schemeClr w14:val="tx1"/>
                  </w14:solidFill>
                </w14:textFill>
              </w:rPr>
            </w:pPr>
          </w:p>
        </w:tc>
        <w:tc>
          <w:tcPr>
            <w:tcW w:w="490" w:type="pct"/>
            <w:vMerge w:val="continue"/>
            <w:vAlign w:val="center"/>
          </w:tcPr>
          <w:p w14:paraId="19244EA6">
            <w:pPr>
              <w:spacing w:line="240" w:lineRule="exact"/>
              <w:jc w:val="center"/>
              <w:rPr>
                <w:rFonts w:hint="eastAsia" w:ascii="宋体" w:hAnsi="宋体"/>
                <w:color w:val="000000" w:themeColor="text1"/>
                <w:kern w:val="0"/>
                <w:szCs w:val="21"/>
                <w14:textFill>
                  <w14:solidFill>
                    <w14:schemeClr w14:val="tx1"/>
                  </w14:solidFill>
                </w14:textFill>
              </w:rPr>
            </w:pPr>
          </w:p>
        </w:tc>
        <w:tc>
          <w:tcPr>
            <w:tcW w:w="793" w:type="pct"/>
            <w:vAlign w:val="center"/>
          </w:tcPr>
          <w:p w14:paraId="20E9F34C">
            <w:pPr>
              <w:spacing w:line="240" w:lineRule="exact"/>
              <w:jc w:val="center"/>
              <w:rPr>
                <w:rFonts w:hint="eastAsia"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二氧化硫</w:t>
            </w:r>
          </w:p>
        </w:tc>
        <w:tc>
          <w:tcPr>
            <w:tcW w:w="756" w:type="pct"/>
            <w:vAlign w:val="center"/>
          </w:tcPr>
          <w:p w14:paraId="4A277EE7">
            <w:pPr>
              <w:spacing w:line="240" w:lineRule="exact"/>
              <w:jc w:val="center"/>
              <w:rPr>
                <w:rFonts w:hint="eastAsia"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＜2</w:t>
            </w:r>
          </w:p>
        </w:tc>
        <w:tc>
          <w:tcPr>
            <w:tcW w:w="987" w:type="pct"/>
            <w:vAlign w:val="center"/>
          </w:tcPr>
          <w:p w14:paraId="683C4B04">
            <w:pPr>
              <w:spacing w:line="240" w:lineRule="exact"/>
              <w:jc w:val="center"/>
              <w:rPr>
                <w:rFonts w:hint="eastAsia"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w:t>
            </w:r>
          </w:p>
        </w:tc>
        <w:tc>
          <w:tcPr>
            <w:tcW w:w="1137" w:type="pct"/>
            <w:vAlign w:val="center"/>
          </w:tcPr>
          <w:p w14:paraId="6C16D641">
            <w:pPr>
              <w:spacing w:line="240" w:lineRule="exact"/>
              <w:jc w:val="center"/>
              <w:rPr>
                <w:rFonts w:hint="eastAsia"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w:t>
            </w:r>
          </w:p>
        </w:tc>
      </w:tr>
      <w:tr w14:paraId="64085A7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38" w:type="pct"/>
            <w:vMerge w:val="continue"/>
            <w:vAlign w:val="center"/>
          </w:tcPr>
          <w:p w14:paraId="3643746E">
            <w:pPr>
              <w:spacing w:line="240" w:lineRule="exact"/>
              <w:jc w:val="center"/>
              <w:rPr>
                <w:rFonts w:hint="eastAsia" w:ascii="宋体" w:hAnsi="宋体"/>
                <w:color w:val="000000" w:themeColor="text1"/>
                <w:kern w:val="0"/>
                <w:szCs w:val="21"/>
                <w14:textFill>
                  <w14:solidFill>
                    <w14:schemeClr w14:val="tx1"/>
                  </w14:solidFill>
                </w14:textFill>
              </w:rPr>
            </w:pPr>
          </w:p>
        </w:tc>
        <w:tc>
          <w:tcPr>
            <w:tcW w:w="490" w:type="pct"/>
            <w:vMerge w:val="continue"/>
            <w:vAlign w:val="center"/>
          </w:tcPr>
          <w:p w14:paraId="54D67022">
            <w:pPr>
              <w:spacing w:line="240" w:lineRule="exact"/>
              <w:jc w:val="center"/>
              <w:rPr>
                <w:rFonts w:hint="eastAsia" w:ascii="宋体" w:hAnsi="宋体"/>
                <w:color w:val="000000" w:themeColor="text1"/>
                <w:kern w:val="0"/>
                <w:szCs w:val="21"/>
                <w14:textFill>
                  <w14:solidFill>
                    <w14:schemeClr w14:val="tx1"/>
                  </w14:solidFill>
                </w14:textFill>
              </w:rPr>
            </w:pPr>
          </w:p>
        </w:tc>
        <w:tc>
          <w:tcPr>
            <w:tcW w:w="793" w:type="pct"/>
            <w:vAlign w:val="center"/>
          </w:tcPr>
          <w:p w14:paraId="4198AFD4">
            <w:pPr>
              <w:spacing w:line="240" w:lineRule="exact"/>
              <w:jc w:val="center"/>
              <w:rPr>
                <w:rFonts w:hint="eastAsia"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林格曼黑度</w:t>
            </w:r>
          </w:p>
        </w:tc>
        <w:tc>
          <w:tcPr>
            <w:tcW w:w="2879" w:type="pct"/>
            <w:gridSpan w:val="3"/>
            <w:vAlign w:val="center"/>
          </w:tcPr>
          <w:p w14:paraId="199E2BF0">
            <w:pPr>
              <w:spacing w:line="240" w:lineRule="exact"/>
              <w:jc w:val="center"/>
              <w:rPr>
                <w:rFonts w:hint="eastAsia"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＜1</w:t>
            </w:r>
          </w:p>
        </w:tc>
      </w:tr>
      <w:tr w14:paraId="5A10FD2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38" w:type="pct"/>
            <w:vMerge w:val="continue"/>
            <w:vAlign w:val="center"/>
          </w:tcPr>
          <w:p w14:paraId="2F82B376">
            <w:pPr>
              <w:spacing w:line="240" w:lineRule="exact"/>
              <w:jc w:val="center"/>
              <w:rPr>
                <w:rFonts w:hint="eastAsia" w:ascii="宋体" w:hAnsi="宋体"/>
                <w:color w:val="000000" w:themeColor="text1"/>
                <w:kern w:val="0"/>
                <w:szCs w:val="21"/>
                <w14:textFill>
                  <w14:solidFill>
                    <w14:schemeClr w14:val="tx1"/>
                  </w14:solidFill>
                </w14:textFill>
              </w:rPr>
            </w:pPr>
          </w:p>
        </w:tc>
        <w:tc>
          <w:tcPr>
            <w:tcW w:w="490" w:type="pct"/>
            <w:vMerge w:val="continue"/>
            <w:vAlign w:val="center"/>
          </w:tcPr>
          <w:p w14:paraId="442B8CDC">
            <w:pPr>
              <w:spacing w:line="240" w:lineRule="exact"/>
              <w:jc w:val="center"/>
              <w:rPr>
                <w:rFonts w:hint="eastAsia" w:ascii="宋体" w:hAnsi="宋体"/>
                <w:color w:val="000000" w:themeColor="text1"/>
                <w:kern w:val="0"/>
                <w:szCs w:val="21"/>
                <w14:textFill>
                  <w14:solidFill>
                    <w14:schemeClr w14:val="tx1"/>
                  </w14:solidFill>
                </w14:textFill>
              </w:rPr>
            </w:pPr>
          </w:p>
        </w:tc>
        <w:tc>
          <w:tcPr>
            <w:tcW w:w="793" w:type="pct"/>
            <w:vAlign w:val="center"/>
          </w:tcPr>
          <w:p w14:paraId="55C7A957">
            <w:pPr>
              <w:spacing w:line="240" w:lineRule="exact"/>
              <w:jc w:val="center"/>
              <w:rPr>
                <w:rFonts w:hint="eastAsia"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烟气流量</w:t>
            </w:r>
          </w:p>
        </w:tc>
        <w:tc>
          <w:tcPr>
            <w:tcW w:w="756" w:type="pct"/>
            <w:vAlign w:val="center"/>
          </w:tcPr>
          <w:p w14:paraId="67B84B24">
            <w:pPr>
              <w:spacing w:line="240" w:lineRule="exact"/>
              <w:jc w:val="center"/>
              <w:rPr>
                <w:rFonts w:hint="eastAsia" w:ascii="宋体" w:hAnsi="宋体"/>
                <w:color w:val="000000" w:themeColor="text1"/>
                <w:kern w:val="0"/>
                <w:szCs w:val="21"/>
                <w14:textFill>
                  <w14:solidFill>
                    <w14:schemeClr w14:val="tx1"/>
                  </w14:solidFill>
                </w14:textFill>
              </w:rPr>
            </w:pPr>
          </w:p>
        </w:tc>
        <w:tc>
          <w:tcPr>
            <w:tcW w:w="987" w:type="pct"/>
            <w:vAlign w:val="center"/>
          </w:tcPr>
          <w:p w14:paraId="24278A6F">
            <w:pPr>
              <w:spacing w:line="240" w:lineRule="exact"/>
              <w:jc w:val="center"/>
              <w:rPr>
                <w:rFonts w:hint="eastAsia"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1887m</w:t>
            </w:r>
            <w:r>
              <w:rPr>
                <w:rFonts w:hint="eastAsia" w:ascii="宋体" w:hAnsi="宋体"/>
                <w:color w:val="000000" w:themeColor="text1"/>
                <w:kern w:val="0"/>
                <w:szCs w:val="21"/>
                <w:vertAlign w:val="superscript"/>
                <w14:textFill>
                  <w14:solidFill>
                    <w14:schemeClr w14:val="tx1"/>
                  </w14:solidFill>
                </w14:textFill>
              </w:rPr>
              <w:t>3</w:t>
            </w:r>
            <w:r>
              <w:rPr>
                <w:rFonts w:hint="eastAsia" w:ascii="宋体" w:hAnsi="宋体"/>
                <w:color w:val="000000" w:themeColor="text1"/>
                <w:kern w:val="0"/>
                <w:szCs w:val="21"/>
                <w14:textFill>
                  <w14:solidFill>
                    <w14:schemeClr w14:val="tx1"/>
                  </w14:solidFill>
                </w14:textFill>
              </w:rPr>
              <w:t>/h</w:t>
            </w:r>
          </w:p>
        </w:tc>
        <w:tc>
          <w:tcPr>
            <w:tcW w:w="1137" w:type="pct"/>
            <w:vAlign w:val="center"/>
          </w:tcPr>
          <w:p w14:paraId="1BF67C73">
            <w:pPr>
              <w:spacing w:line="240" w:lineRule="exact"/>
              <w:jc w:val="center"/>
              <w:rPr>
                <w:rFonts w:hint="eastAsia" w:ascii="宋体" w:hAnsi="宋体"/>
                <w:color w:val="000000" w:themeColor="text1"/>
                <w:kern w:val="0"/>
                <w:szCs w:val="21"/>
                <w14:textFill>
                  <w14:solidFill>
                    <w14:schemeClr w14:val="tx1"/>
                  </w14:solidFill>
                </w14:textFill>
              </w:rPr>
            </w:pPr>
          </w:p>
        </w:tc>
      </w:tr>
      <w:tr w14:paraId="58E5BBD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38" w:type="pct"/>
            <w:vMerge w:val="restart"/>
            <w:vAlign w:val="center"/>
          </w:tcPr>
          <w:p w14:paraId="58CB9B0D">
            <w:pPr>
              <w:spacing w:line="240" w:lineRule="exact"/>
              <w:jc w:val="center"/>
              <w:rPr>
                <w:rFonts w:hint="eastAsia"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2025.1.21-1.23</w:t>
            </w:r>
          </w:p>
        </w:tc>
        <w:tc>
          <w:tcPr>
            <w:tcW w:w="490" w:type="pct"/>
            <w:vMerge w:val="restart"/>
            <w:vAlign w:val="center"/>
          </w:tcPr>
          <w:p w14:paraId="1608272E">
            <w:pPr>
              <w:spacing w:line="240" w:lineRule="exact"/>
              <w:jc w:val="center"/>
              <w:rPr>
                <w:rFonts w:hint="eastAsia"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2号多功能处理器-2</w:t>
            </w:r>
          </w:p>
        </w:tc>
        <w:tc>
          <w:tcPr>
            <w:tcW w:w="793" w:type="pct"/>
            <w:vAlign w:val="center"/>
          </w:tcPr>
          <w:p w14:paraId="51D3C0F0">
            <w:pPr>
              <w:spacing w:line="240" w:lineRule="exact"/>
              <w:jc w:val="center"/>
              <w:rPr>
                <w:rFonts w:hint="eastAsia"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颗粒物</w:t>
            </w:r>
          </w:p>
        </w:tc>
        <w:tc>
          <w:tcPr>
            <w:tcW w:w="756" w:type="pct"/>
            <w:vAlign w:val="center"/>
          </w:tcPr>
          <w:p w14:paraId="439D9DFD">
            <w:pPr>
              <w:spacing w:line="240" w:lineRule="exact"/>
              <w:jc w:val="center"/>
              <w:rPr>
                <w:rFonts w:hint="eastAsia"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3.3</w:t>
            </w:r>
          </w:p>
        </w:tc>
        <w:tc>
          <w:tcPr>
            <w:tcW w:w="987" w:type="pct"/>
            <w:vAlign w:val="center"/>
          </w:tcPr>
          <w:p w14:paraId="10C2D4D8">
            <w:pPr>
              <w:spacing w:line="240" w:lineRule="exact"/>
              <w:jc w:val="center"/>
              <w:rPr>
                <w:rFonts w:hint="eastAsia"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6.4</w:t>
            </w:r>
          </w:p>
        </w:tc>
        <w:tc>
          <w:tcPr>
            <w:tcW w:w="1137" w:type="pct"/>
            <w:vAlign w:val="center"/>
          </w:tcPr>
          <w:p w14:paraId="1D6C2575">
            <w:pPr>
              <w:spacing w:line="240" w:lineRule="exact"/>
              <w:jc w:val="center"/>
              <w:rPr>
                <w:rFonts w:hint="eastAsia"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0.00567</w:t>
            </w:r>
          </w:p>
        </w:tc>
      </w:tr>
      <w:tr w14:paraId="3D04B8B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38" w:type="pct"/>
            <w:vMerge w:val="continue"/>
            <w:vAlign w:val="center"/>
          </w:tcPr>
          <w:p w14:paraId="00631141">
            <w:pPr>
              <w:spacing w:line="240" w:lineRule="exact"/>
              <w:jc w:val="center"/>
              <w:rPr>
                <w:rFonts w:hint="eastAsia" w:ascii="宋体" w:hAnsi="宋体"/>
                <w:color w:val="000000" w:themeColor="text1"/>
                <w:kern w:val="0"/>
                <w:szCs w:val="21"/>
                <w14:textFill>
                  <w14:solidFill>
                    <w14:schemeClr w14:val="tx1"/>
                  </w14:solidFill>
                </w14:textFill>
              </w:rPr>
            </w:pPr>
          </w:p>
        </w:tc>
        <w:tc>
          <w:tcPr>
            <w:tcW w:w="490" w:type="pct"/>
            <w:vMerge w:val="continue"/>
            <w:vAlign w:val="center"/>
          </w:tcPr>
          <w:p w14:paraId="7399934C">
            <w:pPr>
              <w:spacing w:line="240" w:lineRule="exact"/>
              <w:jc w:val="center"/>
              <w:rPr>
                <w:rFonts w:hint="eastAsia" w:ascii="宋体" w:hAnsi="宋体"/>
                <w:color w:val="000000" w:themeColor="text1"/>
                <w:kern w:val="0"/>
                <w:szCs w:val="21"/>
                <w14:textFill>
                  <w14:solidFill>
                    <w14:schemeClr w14:val="tx1"/>
                  </w14:solidFill>
                </w14:textFill>
              </w:rPr>
            </w:pPr>
          </w:p>
        </w:tc>
        <w:tc>
          <w:tcPr>
            <w:tcW w:w="793" w:type="pct"/>
            <w:vAlign w:val="center"/>
          </w:tcPr>
          <w:p w14:paraId="65B4BCA6">
            <w:pPr>
              <w:spacing w:line="240" w:lineRule="exact"/>
              <w:jc w:val="center"/>
              <w:rPr>
                <w:rFonts w:hint="eastAsia"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氮氧化物</w:t>
            </w:r>
          </w:p>
        </w:tc>
        <w:tc>
          <w:tcPr>
            <w:tcW w:w="756" w:type="pct"/>
            <w:vAlign w:val="center"/>
          </w:tcPr>
          <w:p w14:paraId="61B62610">
            <w:pPr>
              <w:spacing w:line="240" w:lineRule="exact"/>
              <w:jc w:val="center"/>
              <w:rPr>
                <w:rFonts w:hint="eastAsia"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23</w:t>
            </w:r>
          </w:p>
        </w:tc>
        <w:tc>
          <w:tcPr>
            <w:tcW w:w="987" w:type="pct"/>
            <w:vAlign w:val="center"/>
          </w:tcPr>
          <w:p w14:paraId="23DF1406">
            <w:pPr>
              <w:spacing w:line="240" w:lineRule="exact"/>
              <w:jc w:val="center"/>
              <w:rPr>
                <w:rFonts w:hint="eastAsia"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45</w:t>
            </w:r>
          </w:p>
        </w:tc>
        <w:tc>
          <w:tcPr>
            <w:tcW w:w="1137" w:type="pct"/>
            <w:vAlign w:val="center"/>
          </w:tcPr>
          <w:p w14:paraId="400FE659">
            <w:pPr>
              <w:spacing w:line="240" w:lineRule="exact"/>
              <w:jc w:val="center"/>
              <w:rPr>
                <w:rFonts w:hint="eastAsia"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0.040</w:t>
            </w:r>
          </w:p>
        </w:tc>
      </w:tr>
      <w:tr w14:paraId="0C8DEB8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38" w:type="pct"/>
            <w:vMerge w:val="continue"/>
            <w:vAlign w:val="center"/>
          </w:tcPr>
          <w:p w14:paraId="792E9918">
            <w:pPr>
              <w:spacing w:line="240" w:lineRule="exact"/>
              <w:jc w:val="center"/>
              <w:rPr>
                <w:rFonts w:hint="eastAsia" w:ascii="宋体" w:hAnsi="宋体"/>
                <w:color w:val="000000" w:themeColor="text1"/>
                <w:kern w:val="0"/>
                <w:szCs w:val="21"/>
                <w14:textFill>
                  <w14:solidFill>
                    <w14:schemeClr w14:val="tx1"/>
                  </w14:solidFill>
                </w14:textFill>
              </w:rPr>
            </w:pPr>
          </w:p>
        </w:tc>
        <w:tc>
          <w:tcPr>
            <w:tcW w:w="490" w:type="pct"/>
            <w:vMerge w:val="continue"/>
            <w:vAlign w:val="center"/>
          </w:tcPr>
          <w:p w14:paraId="0BB42768">
            <w:pPr>
              <w:spacing w:line="240" w:lineRule="exact"/>
              <w:jc w:val="center"/>
              <w:rPr>
                <w:rFonts w:hint="eastAsia" w:ascii="宋体" w:hAnsi="宋体"/>
                <w:color w:val="000000" w:themeColor="text1"/>
                <w:kern w:val="0"/>
                <w:szCs w:val="21"/>
                <w14:textFill>
                  <w14:solidFill>
                    <w14:schemeClr w14:val="tx1"/>
                  </w14:solidFill>
                </w14:textFill>
              </w:rPr>
            </w:pPr>
          </w:p>
        </w:tc>
        <w:tc>
          <w:tcPr>
            <w:tcW w:w="793" w:type="pct"/>
            <w:vAlign w:val="center"/>
          </w:tcPr>
          <w:p w14:paraId="195873A9">
            <w:pPr>
              <w:spacing w:line="240" w:lineRule="exact"/>
              <w:jc w:val="center"/>
              <w:rPr>
                <w:rFonts w:hint="eastAsia"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二氧化硫</w:t>
            </w:r>
          </w:p>
        </w:tc>
        <w:tc>
          <w:tcPr>
            <w:tcW w:w="756" w:type="pct"/>
            <w:vAlign w:val="center"/>
          </w:tcPr>
          <w:p w14:paraId="7159DAAE">
            <w:pPr>
              <w:spacing w:line="240" w:lineRule="exact"/>
              <w:jc w:val="center"/>
              <w:rPr>
                <w:rFonts w:hint="eastAsia"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＜2</w:t>
            </w:r>
          </w:p>
        </w:tc>
        <w:tc>
          <w:tcPr>
            <w:tcW w:w="987" w:type="pct"/>
            <w:vAlign w:val="center"/>
          </w:tcPr>
          <w:p w14:paraId="1F273F92">
            <w:pPr>
              <w:spacing w:line="240" w:lineRule="exact"/>
              <w:jc w:val="center"/>
              <w:rPr>
                <w:rFonts w:hint="eastAsia"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w:t>
            </w:r>
          </w:p>
        </w:tc>
        <w:tc>
          <w:tcPr>
            <w:tcW w:w="1137" w:type="pct"/>
            <w:vAlign w:val="center"/>
          </w:tcPr>
          <w:p w14:paraId="3FBE8F58">
            <w:pPr>
              <w:spacing w:line="240" w:lineRule="exact"/>
              <w:jc w:val="center"/>
              <w:rPr>
                <w:rFonts w:hint="eastAsia"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w:t>
            </w:r>
          </w:p>
        </w:tc>
      </w:tr>
      <w:tr w14:paraId="51E2A54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38" w:type="pct"/>
            <w:vMerge w:val="continue"/>
            <w:vAlign w:val="center"/>
          </w:tcPr>
          <w:p w14:paraId="3B9060BF">
            <w:pPr>
              <w:spacing w:line="240" w:lineRule="exact"/>
              <w:jc w:val="center"/>
              <w:rPr>
                <w:rFonts w:hint="eastAsia" w:ascii="宋体" w:hAnsi="宋体"/>
                <w:color w:val="000000" w:themeColor="text1"/>
                <w:kern w:val="0"/>
                <w:szCs w:val="21"/>
                <w14:textFill>
                  <w14:solidFill>
                    <w14:schemeClr w14:val="tx1"/>
                  </w14:solidFill>
                </w14:textFill>
              </w:rPr>
            </w:pPr>
          </w:p>
        </w:tc>
        <w:tc>
          <w:tcPr>
            <w:tcW w:w="490" w:type="pct"/>
            <w:vMerge w:val="continue"/>
            <w:vAlign w:val="center"/>
          </w:tcPr>
          <w:p w14:paraId="2CDC51A9">
            <w:pPr>
              <w:spacing w:line="240" w:lineRule="exact"/>
              <w:jc w:val="center"/>
              <w:rPr>
                <w:rFonts w:hint="eastAsia" w:ascii="宋体" w:hAnsi="宋体"/>
                <w:color w:val="000000" w:themeColor="text1"/>
                <w:kern w:val="0"/>
                <w:szCs w:val="21"/>
                <w14:textFill>
                  <w14:solidFill>
                    <w14:schemeClr w14:val="tx1"/>
                  </w14:solidFill>
                </w14:textFill>
              </w:rPr>
            </w:pPr>
          </w:p>
        </w:tc>
        <w:tc>
          <w:tcPr>
            <w:tcW w:w="793" w:type="pct"/>
            <w:vAlign w:val="center"/>
          </w:tcPr>
          <w:p w14:paraId="1B3584CE">
            <w:pPr>
              <w:spacing w:line="240" w:lineRule="exact"/>
              <w:jc w:val="center"/>
              <w:rPr>
                <w:rFonts w:hint="eastAsia"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林格曼黑度</w:t>
            </w:r>
          </w:p>
        </w:tc>
        <w:tc>
          <w:tcPr>
            <w:tcW w:w="2879" w:type="pct"/>
            <w:gridSpan w:val="3"/>
            <w:vAlign w:val="center"/>
          </w:tcPr>
          <w:p w14:paraId="6F34A674">
            <w:pPr>
              <w:spacing w:line="240" w:lineRule="exact"/>
              <w:jc w:val="center"/>
              <w:rPr>
                <w:rFonts w:hint="eastAsia"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＜1</w:t>
            </w:r>
          </w:p>
        </w:tc>
      </w:tr>
      <w:tr w14:paraId="6198D37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38" w:type="pct"/>
            <w:vMerge w:val="continue"/>
            <w:vAlign w:val="center"/>
          </w:tcPr>
          <w:p w14:paraId="7EEA84DA">
            <w:pPr>
              <w:spacing w:line="240" w:lineRule="exact"/>
              <w:jc w:val="center"/>
              <w:rPr>
                <w:rFonts w:hint="eastAsia" w:ascii="宋体" w:hAnsi="宋体"/>
                <w:color w:val="000000" w:themeColor="text1"/>
                <w:kern w:val="0"/>
                <w:szCs w:val="21"/>
                <w14:textFill>
                  <w14:solidFill>
                    <w14:schemeClr w14:val="tx1"/>
                  </w14:solidFill>
                </w14:textFill>
              </w:rPr>
            </w:pPr>
          </w:p>
        </w:tc>
        <w:tc>
          <w:tcPr>
            <w:tcW w:w="490" w:type="pct"/>
            <w:vMerge w:val="continue"/>
            <w:vAlign w:val="center"/>
          </w:tcPr>
          <w:p w14:paraId="05F7A206">
            <w:pPr>
              <w:spacing w:line="240" w:lineRule="exact"/>
              <w:jc w:val="center"/>
              <w:rPr>
                <w:rFonts w:hint="eastAsia" w:ascii="宋体" w:hAnsi="宋体"/>
                <w:color w:val="000000" w:themeColor="text1"/>
                <w:kern w:val="0"/>
                <w:szCs w:val="21"/>
                <w14:textFill>
                  <w14:solidFill>
                    <w14:schemeClr w14:val="tx1"/>
                  </w14:solidFill>
                </w14:textFill>
              </w:rPr>
            </w:pPr>
          </w:p>
        </w:tc>
        <w:tc>
          <w:tcPr>
            <w:tcW w:w="793" w:type="pct"/>
            <w:vAlign w:val="center"/>
          </w:tcPr>
          <w:p w14:paraId="080F795B">
            <w:pPr>
              <w:spacing w:line="240" w:lineRule="exact"/>
              <w:jc w:val="center"/>
              <w:rPr>
                <w:rFonts w:hint="eastAsia"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烟气流量</w:t>
            </w:r>
          </w:p>
        </w:tc>
        <w:tc>
          <w:tcPr>
            <w:tcW w:w="2879" w:type="pct"/>
            <w:gridSpan w:val="3"/>
            <w:vAlign w:val="center"/>
          </w:tcPr>
          <w:p w14:paraId="54AF3BE0">
            <w:pPr>
              <w:spacing w:line="240" w:lineRule="exact"/>
              <w:jc w:val="center"/>
              <w:rPr>
                <w:rFonts w:hint="eastAsia"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1716m</w:t>
            </w:r>
            <w:r>
              <w:rPr>
                <w:rFonts w:hint="eastAsia" w:ascii="宋体" w:hAnsi="宋体"/>
                <w:color w:val="000000" w:themeColor="text1"/>
                <w:kern w:val="0"/>
                <w:szCs w:val="21"/>
                <w:vertAlign w:val="superscript"/>
                <w14:textFill>
                  <w14:solidFill>
                    <w14:schemeClr w14:val="tx1"/>
                  </w14:solidFill>
                </w14:textFill>
              </w:rPr>
              <w:t>3</w:t>
            </w:r>
            <w:r>
              <w:rPr>
                <w:rFonts w:hint="eastAsia" w:ascii="宋体" w:hAnsi="宋体"/>
                <w:color w:val="000000" w:themeColor="text1"/>
                <w:kern w:val="0"/>
                <w:szCs w:val="21"/>
                <w14:textFill>
                  <w14:solidFill>
                    <w14:schemeClr w14:val="tx1"/>
                  </w14:solidFill>
                </w14:textFill>
              </w:rPr>
              <w:t>/h</w:t>
            </w:r>
          </w:p>
        </w:tc>
      </w:tr>
    </w:tbl>
    <w:p w14:paraId="3EF58D4B">
      <w:pPr>
        <w:widowControl/>
        <w:adjustRightInd w:val="0"/>
        <w:snapToGrid w:val="0"/>
        <w:spacing w:line="500" w:lineRule="exact"/>
        <w:ind w:firstLine="480" w:firstLineChars="200"/>
        <w:rPr>
          <w:rFonts w:hint="eastAsia"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③</w:t>
      </w:r>
      <w:bookmarkStart w:id="214" w:name="_Hlk173403522"/>
      <w:r>
        <w:rPr>
          <w:rFonts w:hint="eastAsia" w:ascii="宋体" w:hAnsi="宋体" w:cs="宋体"/>
          <w:color w:val="000000" w:themeColor="text1"/>
          <w:sz w:val="24"/>
          <w:szCs w:val="24"/>
          <w14:textFill>
            <w14:solidFill>
              <w14:schemeClr w14:val="tx1"/>
            </w14:solidFill>
          </w14:textFill>
        </w:rPr>
        <w:t>页岩油联合站泄漏检测与修复（LDAR）</w:t>
      </w:r>
      <w:bookmarkEnd w:id="214"/>
    </w:p>
    <w:p w14:paraId="6D3A42E5">
      <w:pPr>
        <w:widowControl/>
        <w:adjustRightInd w:val="0"/>
        <w:snapToGrid w:val="0"/>
        <w:spacing w:line="500" w:lineRule="exact"/>
        <w:ind w:firstLine="480" w:firstLineChars="200"/>
        <w:rPr>
          <w:rFonts w:hint="eastAsia"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吉庆油田作业区于2024年5月-7月对页岩油联合站开展了第一轮</w:t>
      </w:r>
      <w:r>
        <w:rPr>
          <w:rFonts w:ascii="宋体" w:hAnsi="宋体" w:cs="宋体"/>
          <w:color w:val="000000" w:themeColor="text1"/>
          <w:sz w:val="24"/>
          <w:szCs w:val="24"/>
          <w14:textFill>
            <w14:solidFill>
              <w14:schemeClr w14:val="tx1"/>
            </w14:solidFill>
          </w14:textFill>
        </w:rPr>
        <w:t>LDAR检测</w:t>
      </w:r>
      <w:r>
        <w:rPr>
          <w:rFonts w:hint="eastAsia" w:ascii="宋体" w:hAnsi="宋体" w:cs="宋体"/>
          <w:color w:val="000000" w:themeColor="text1"/>
          <w:sz w:val="24"/>
          <w:szCs w:val="24"/>
          <w14:textFill>
            <w14:solidFill>
              <w14:schemeClr w14:val="tx1"/>
            </w14:solidFill>
          </w14:textFill>
        </w:rPr>
        <w:t>，</w:t>
      </w:r>
      <w:r>
        <w:rPr>
          <w:rFonts w:ascii="宋体" w:hAnsi="宋体" w:cs="宋体"/>
          <w:color w:val="000000" w:themeColor="text1"/>
          <w:sz w:val="24"/>
          <w:szCs w:val="24"/>
          <w14:textFill>
            <w14:solidFill>
              <w14:schemeClr w14:val="tx1"/>
            </w14:solidFill>
          </w14:textFill>
        </w:rPr>
        <w:t>检测主要是</w:t>
      </w:r>
      <w:r>
        <w:rPr>
          <w:rFonts w:hint="eastAsia" w:ascii="宋体" w:hAnsi="宋体" w:cs="宋体"/>
          <w:color w:val="000000" w:themeColor="text1"/>
          <w:sz w:val="24"/>
          <w:szCs w:val="24"/>
          <w14:textFill>
            <w14:solidFill>
              <w14:schemeClr w14:val="tx1"/>
            </w14:solidFill>
          </w14:textFill>
        </w:rPr>
        <w:t>针对</w:t>
      </w:r>
      <w:r>
        <w:rPr>
          <w:rFonts w:ascii="宋体" w:hAnsi="宋体" w:cs="宋体"/>
          <w:color w:val="000000" w:themeColor="text1"/>
          <w:sz w:val="24"/>
          <w:szCs w:val="24"/>
          <w14:textFill>
            <w14:solidFill>
              <w14:schemeClr w14:val="tx1"/>
            </w14:solidFill>
          </w14:textFill>
        </w:rPr>
        <w:t>全年运行易产生VOCs泄漏</w:t>
      </w:r>
      <w:r>
        <w:rPr>
          <w:rFonts w:hint="eastAsia" w:ascii="宋体" w:hAnsi="宋体" w:cs="宋体"/>
          <w:color w:val="000000" w:themeColor="text1"/>
          <w:sz w:val="24"/>
          <w:szCs w:val="24"/>
          <w14:textFill>
            <w14:solidFill>
              <w14:schemeClr w14:val="tx1"/>
            </w14:solidFill>
          </w14:textFill>
        </w:rPr>
        <w:t>的法兰、</w:t>
      </w:r>
      <w:r>
        <w:rPr>
          <w:rFonts w:ascii="宋体" w:hAnsi="宋体" w:cs="宋体"/>
          <w:color w:val="000000" w:themeColor="text1"/>
          <w:sz w:val="24"/>
          <w:szCs w:val="24"/>
          <w14:textFill>
            <w14:solidFill>
              <w14:schemeClr w14:val="tx1"/>
            </w14:solidFill>
          </w14:textFill>
        </w:rPr>
        <w:t>取样连接系统、开口阀或开口管线、泄压设备、压缩机、搅拌器、阀门及泵</w:t>
      </w:r>
      <w:r>
        <w:rPr>
          <w:rFonts w:hint="eastAsia" w:ascii="宋体" w:hAnsi="宋体" w:cs="宋体"/>
          <w:color w:val="000000" w:themeColor="text1"/>
          <w:sz w:val="24"/>
          <w:szCs w:val="24"/>
          <w14:textFill>
            <w14:solidFill>
              <w14:schemeClr w14:val="tx1"/>
            </w14:solidFill>
          </w14:textFill>
        </w:rPr>
        <w:t>等</w:t>
      </w:r>
      <w:r>
        <w:rPr>
          <w:rFonts w:ascii="宋体" w:hAnsi="宋体" w:cs="宋体"/>
          <w:color w:val="000000" w:themeColor="text1"/>
          <w:sz w:val="24"/>
          <w:szCs w:val="24"/>
          <w14:textFill>
            <w14:solidFill>
              <w14:schemeClr w14:val="tx1"/>
            </w14:solidFill>
          </w14:textFill>
        </w:rPr>
        <w:t>密封点</w:t>
      </w:r>
      <w:r>
        <w:rPr>
          <w:rFonts w:hint="eastAsia" w:ascii="宋体" w:hAnsi="宋体" w:cs="宋体"/>
          <w:color w:val="000000" w:themeColor="text1"/>
          <w:sz w:val="24"/>
          <w:szCs w:val="24"/>
          <w14:textFill>
            <w14:solidFill>
              <w14:schemeClr w14:val="tx1"/>
            </w14:solidFill>
          </w14:textFill>
        </w:rPr>
        <w:t>。本次监测对页岩油联合站内的1764个动密封点、2685个静密封点进行泄漏检测，发现有26个泄漏点，泄漏点主要为多功能处理器上的取样连接线、法兰、阀门等，发现泄漏后，吉庆油田作业区在15日内进行了泄漏点修复，修复手段为拧紧螺丝，经复测，泄漏点均已修复。</w:t>
      </w:r>
      <w:bookmarkEnd w:id="210"/>
    </w:p>
    <w:bookmarkEnd w:id="209"/>
    <w:p w14:paraId="6F25446C">
      <w:pPr>
        <w:spacing w:line="500" w:lineRule="exact"/>
        <w:ind w:firstLine="480" w:firstLineChars="200"/>
        <w:rPr>
          <w:rFonts w:hint="eastAsia" w:ascii="宋体" w:hAnsi="宋体"/>
          <w:color w:val="000000" w:themeColor="text1"/>
          <w:kern w:val="0"/>
          <w:sz w:val="24"/>
          <w:szCs w:val="24"/>
          <w14:textFill>
            <w14:solidFill>
              <w14:schemeClr w14:val="tx1"/>
            </w14:solidFill>
          </w14:textFill>
        </w:rPr>
      </w:pPr>
      <w:bookmarkStart w:id="215" w:name="OLE_LINK144"/>
      <w:r>
        <w:rPr>
          <w:rFonts w:hint="eastAsia" w:ascii="宋体" w:hAnsi="宋体"/>
          <w:color w:val="000000" w:themeColor="text1"/>
          <w:kern w:val="0"/>
          <w:sz w:val="24"/>
          <w:szCs w:val="24"/>
          <w14:textFill>
            <w14:solidFill>
              <w14:schemeClr w14:val="tx1"/>
            </w14:solidFill>
          </w14:textFill>
        </w:rPr>
        <w:t>④废气污染物排放情况</w:t>
      </w:r>
    </w:p>
    <w:p w14:paraId="03BEDF8B">
      <w:pPr>
        <w:spacing w:line="500" w:lineRule="exact"/>
        <w:ind w:firstLine="480" w:firstLineChars="200"/>
        <w:rPr>
          <w:rFonts w:hint="eastAsia" w:ascii="宋体" w:hAnsi="宋体" w:eastAsia="黑体"/>
          <w:color w:val="000000" w:themeColor="text1"/>
          <w:szCs w:val="20"/>
          <w14:textFill>
            <w14:solidFill>
              <w14:schemeClr w14:val="tx1"/>
            </w14:solidFill>
          </w14:textFill>
        </w:rPr>
      </w:pPr>
      <w:r>
        <w:rPr>
          <w:rFonts w:hint="eastAsia" w:ascii="宋体" w:hAnsi="宋体"/>
          <w:color w:val="000000" w:themeColor="text1"/>
          <w:kern w:val="0"/>
          <w:sz w:val="24"/>
          <w:szCs w:val="24"/>
          <w14:textFill>
            <w14:solidFill>
              <w14:schemeClr w14:val="tx1"/>
            </w14:solidFill>
          </w14:textFill>
        </w:rPr>
        <w:t>根据2025年1月例行监测数据可知，热媒炉及多功能处理器燃烧烟气中各有组织废气排放情况，计算结果见下表。</w:t>
      </w:r>
    </w:p>
    <w:p w14:paraId="4C929829">
      <w:pPr>
        <w:spacing w:line="500" w:lineRule="atLeast"/>
        <w:jc w:val="center"/>
        <w:rPr>
          <w:rFonts w:hint="eastAsia" w:ascii="宋体" w:hAnsi="宋体" w:eastAsia="黑体"/>
          <w:color w:val="000000" w:themeColor="text1"/>
          <w:szCs w:val="20"/>
          <w14:textFill>
            <w14:solidFill>
              <w14:schemeClr w14:val="tx1"/>
            </w14:solidFill>
          </w14:textFill>
        </w:rPr>
      </w:pPr>
      <w:r>
        <w:rPr>
          <w:rFonts w:ascii="宋体" w:hAnsi="宋体" w:eastAsia="黑体"/>
          <w:color w:val="000000" w:themeColor="text1"/>
          <w:szCs w:val="20"/>
          <w14:textFill>
            <w14:solidFill>
              <w14:schemeClr w14:val="tx1"/>
            </w14:solidFill>
          </w14:textFill>
        </w:rPr>
        <w:t>表</w:t>
      </w:r>
      <w:r>
        <w:rPr>
          <w:rFonts w:hint="eastAsia" w:ascii="宋体" w:hAnsi="宋体" w:eastAsia="黑体"/>
          <w:color w:val="000000" w:themeColor="text1"/>
          <w:szCs w:val="20"/>
          <w14:textFill>
            <w14:solidFill>
              <w14:schemeClr w14:val="tx1"/>
            </w14:solidFill>
          </w14:textFill>
        </w:rPr>
        <w:t>3.1-7</w:t>
      </w:r>
      <w:r>
        <w:rPr>
          <w:rFonts w:ascii="宋体" w:hAnsi="宋体" w:eastAsia="黑体"/>
          <w:color w:val="000000" w:themeColor="text1"/>
          <w:szCs w:val="20"/>
          <w14:textFill>
            <w14:solidFill>
              <w14:schemeClr w14:val="tx1"/>
            </w14:solidFill>
          </w14:textFill>
        </w:rPr>
        <w:t xml:space="preserve">  </w:t>
      </w:r>
      <w:r>
        <w:rPr>
          <w:rFonts w:hint="eastAsia" w:ascii="宋体" w:hAnsi="宋体" w:eastAsia="黑体"/>
          <w:color w:val="000000" w:themeColor="text1"/>
          <w:szCs w:val="20"/>
          <w14:textFill>
            <w14:solidFill>
              <w14:schemeClr w14:val="tx1"/>
            </w14:solidFill>
          </w14:textFill>
        </w:rPr>
        <w:t>页岩油联合站运营期有组织废气排放情况一览表</w:t>
      </w:r>
    </w:p>
    <w:tbl>
      <w:tblPr>
        <w:tblStyle w:val="51"/>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575"/>
        <w:gridCol w:w="1124"/>
        <w:gridCol w:w="1121"/>
        <w:gridCol w:w="981"/>
        <w:gridCol w:w="1102"/>
        <w:gridCol w:w="981"/>
        <w:gridCol w:w="1016"/>
        <w:gridCol w:w="830"/>
      </w:tblGrid>
      <w:tr w14:paraId="78207E0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02" w:type="pct"/>
            <w:vMerge w:val="restart"/>
            <w:tcMar>
              <w:left w:w="0" w:type="dxa"/>
              <w:right w:w="0" w:type="dxa"/>
            </w:tcMar>
            <w:vAlign w:val="center"/>
          </w:tcPr>
          <w:p w14:paraId="2EE42D5E">
            <w:pPr>
              <w:adjustRightInd w:val="0"/>
              <w:snapToGrid w:val="0"/>
              <w:spacing w:line="300" w:lineRule="exact"/>
              <w:jc w:val="center"/>
              <w:rPr>
                <w:rFonts w:hint="eastAsia"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燃气设备</w:t>
            </w:r>
          </w:p>
        </w:tc>
        <w:tc>
          <w:tcPr>
            <w:tcW w:w="644" w:type="pct"/>
            <w:vMerge w:val="restart"/>
            <w:tcMar>
              <w:left w:w="0" w:type="dxa"/>
              <w:right w:w="0" w:type="dxa"/>
            </w:tcMar>
            <w:vAlign w:val="center"/>
          </w:tcPr>
          <w:p w14:paraId="02AD4C23">
            <w:pPr>
              <w:adjustRightInd w:val="0"/>
              <w:snapToGrid w:val="0"/>
              <w:spacing w:line="300" w:lineRule="exact"/>
              <w:jc w:val="center"/>
              <w:rPr>
                <w:rFonts w:hint="eastAsia"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烟气量（m</w:t>
            </w:r>
            <w:r>
              <w:rPr>
                <w:rFonts w:ascii="宋体" w:hAnsi="宋体"/>
                <w:color w:val="000000" w:themeColor="text1"/>
                <w:kern w:val="0"/>
                <w:szCs w:val="21"/>
                <w:vertAlign w:val="superscript"/>
                <w14:textFill>
                  <w14:solidFill>
                    <w14:schemeClr w14:val="tx1"/>
                  </w14:solidFill>
                </w14:textFill>
              </w:rPr>
              <w:t>3</w:t>
            </w:r>
            <w:r>
              <w:rPr>
                <w:rFonts w:ascii="宋体" w:hAnsi="宋体"/>
                <w:color w:val="000000" w:themeColor="text1"/>
                <w:kern w:val="0"/>
                <w:szCs w:val="21"/>
                <w14:textFill>
                  <w14:solidFill>
                    <w14:schemeClr w14:val="tx1"/>
                  </w14:solidFill>
                </w14:textFill>
              </w:rPr>
              <w:t>/</w:t>
            </w:r>
            <w:r>
              <w:rPr>
                <w:rFonts w:hint="eastAsia" w:ascii="宋体" w:hAnsi="宋体"/>
                <w:color w:val="000000" w:themeColor="text1"/>
                <w:kern w:val="0"/>
                <w:szCs w:val="21"/>
                <w14:textFill>
                  <w14:solidFill>
                    <w14:schemeClr w14:val="tx1"/>
                  </w14:solidFill>
                </w14:textFill>
              </w:rPr>
              <w:t>d）</w:t>
            </w:r>
          </w:p>
        </w:tc>
        <w:tc>
          <w:tcPr>
            <w:tcW w:w="1204" w:type="pct"/>
            <w:gridSpan w:val="2"/>
            <w:tcMar>
              <w:left w:w="0" w:type="dxa"/>
              <w:right w:w="0" w:type="dxa"/>
            </w:tcMar>
            <w:vAlign w:val="center"/>
          </w:tcPr>
          <w:p w14:paraId="4D4E9E26">
            <w:pPr>
              <w:adjustRightInd w:val="0"/>
              <w:snapToGrid w:val="0"/>
              <w:spacing w:line="300" w:lineRule="exact"/>
              <w:jc w:val="center"/>
              <w:rPr>
                <w:rFonts w:hint="eastAsia"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氮氧化物</w:t>
            </w:r>
          </w:p>
        </w:tc>
        <w:tc>
          <w:tcPr>
            <w:tcW w:w="1193" w:type="pct"/>
            <w:gridSpan w:val="2"/>
            <w:tcMar>
              <w:left w:w="0" w:type="dxa"/>
              <w:right w:w="0" w:type="dxa"/>
            </w:tcMar>
            <w:vAlign w:val="center"/>
          </w:tcPr>
          <w:p w14:paraId="5C1603ED">
            <w:pPr>
              <w:adjustRightInd w:val="0"/>
              <w:snapToGrid w:val="0"/>
              <w:spacing w:line="300" w:lineRule="exact"/>
              <w:jc w:val="center"/>
              <w:rPr>
                <w:rFonts w:hint="eastAsia"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二氧化硫</w:t>
            </w:r>
          </w:p>
        </w:tc>
        <w:tc>
          <w:tcPr>
            <w:tcW w:w="1058" w:type="pct"/>
            <w:gridSpan w:val="2"/>
            <w:tcMar>
              <w:left w:w="0" w:type="dxa"/>
              <w:right w:w="0" w:type="dxa"/>
            </w:tcMar>
            <w:vAlign w:val="center"/>
          </w:tcPr>
          <w:p w14:paraId="53A1900F">
            <w:pPr>
              <w:adjustRightInd w:val="0"/>
              <w:snapToGrid w:val="0"/>
              <w:spacing w:line="300" w:lineRule="exact"/>
              <w:jc w:val="center"/>
              <w:rPr>
                <w:rFonts w:hint="eastAsia"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颗粒物</w:t>
            </w:r>
          </w:p>
        </w:tc>
      </w:tr>
      <w:tr w14:paraId="24079A6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02" w:type="pct"/>
            <w:vMerge w:val="continue"/>
            <w:tcMar>
              <w:left w:w="0" w:type="dxa"/>
              <w:right w:w="0" w:type="dxa"/>
            </w:tcMar>
            <w:vAlign w:val="center"/>
          </w:tcPr>
          <w:p w14:paraId="119049BC">
            <w:pPr>
              <w:adjustRightInd w:val="0"/>
              <w:snapToGrid w:val="0"/>
              <w:spacing w:line="300" w:lineRule="exact"/>
              <w:jc w:val="center"/>
              <w:rPr>
                <w:rFonts w:hint="eastAsia" w:ascii="宋体" w:hAnsi="宋体"/>
                <w:color w:val="000000" w:themeColor="text1"/>
                <w:kern w:val="0"/>
                <w:szCs w:val="21"/>
                <w14:textFill>
                  <w14:solidFill>
                    <w14:schemeClr w14:val="tx1"/>
                  </w14:solidFill>
                </w14:textFill>
              </w:rPr>
            </w:pPr>
          </w:p>
        </w:tc>
        <w:tc>
          <w:tcPr>
            <w:tcW w:w="644" w:type="pct"/>
            <w:vMerge w:val="continue"/>
            <w:tcMar>
              <w:left w:w="0" w:type="dxa"/>
              <w:right w:w="0" w:type="dxa"/>
            </w:tcMar>
            <w:vAlign w:val="center"/>
          </w:tcPr>
          <w:p w14:paraId="67696DC3">
            <w:pPr>
              <w:adjustRightInd w:val="0"/>
              <w:snapToGrid w:val="0"/>
              <w:spacing w:line="300" w:lineRule="exact"/>
              <w:jc w:val="center"/>
              <w:rPr>
                <w:rFonts w:hint="eastAsia" w:ascii="宋体" w:hAnsi="宋体"/>
                <w:color w:val="000000" w:themeColor="text1"/>
                <w:kern w:val="0"/>
                <w:szCs w:val="21"/>
                <w14:textFill>
                  <w14:solidFill>
                    <w14:schemeClr w14:val="tx1"/>
                  </w14:solidFill>
                </w14:textFill>
              </w:rPr>
            </w:pPr>
          </w:p>
        </w:tc>
        <w:tc>
          <w:tcPr>
            <w:tcW w:w="642" w:type="pct"/>
            <w:tcMar>
              <w:left w:w="0" w:type="dxa"/>
              <w:right w:w="0" w:type="dxa"/>
            </w:tcMar>
            <w:vAlign w:val="center"/>
          </w:tcPr>
          <w:p w14:paraId="52A4C215">
            <w:pPr>
              <w:adjustRightInd w:val="0"/>
              <w:snapToGrid w:val="0"/>
              <w:spacing w:line="300" w:lineRule="exact"/>
              <w:jc w:val="center"/>
              <w:rPr>
                <w:rFonts w:hint="eastAsia"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浓度（mg</w:t>
            </w:r>
            <w:r>
              <w:rPr>
                <w:rFonts w:ascii="宋体" w:hAnsi="宋体"/>
                <w:color w:val="000000" w:themeColor="text1"/>
                <w:kern w:val="0"/>
                <w:szCs w:val="21"/>
                <w14:textFill>
                  <w14:solidFill>
                    <w14:schemeClr w14:val="tx1"/>
                  </w14:solidFill>
                </w14:textFill>
              </w:rPr>
              <w:t>/</w:t>
            </w:r>
            <w:r>
              <w:rPr>
                <w:rFonts w:hint="eastAsia" w:ascii="宋体" w:hAnsi="宋体"/>
                <w:bCs/>
                <w:color w:val="000000" w:themeColor="text1"/>
                <w:kern w:val="0"/>
                <w:szCs w:val="21"/>
                <w14:textFill>
                  <w14:solidFill>
                    <w14:schemeClr w14:val="tx1"/>
                  </w14:solidFill>
                </w14:textFill>
              </w:rPr>
              <w:t>m</w:t>
            </w:r>
            <w:r>
              <w:rPr>
                <w:rFonts w:hint="eastAsia" w:ascii="宋体" w:hAnsi="宋体"/>
                <w:bCs/>
                <w:color w:val="000000" w:themeColor="text1"/>
                <w:kern w:val="0"/>
                <w:szCs w:val="21"/>
                <w:vertAlign w:val="superscript"/>
                <w14:textFill>
                  <w14:solidFill>
                    <w14:schemeClr w14:val="tx1"/>
                  </w14:solidFill>
                </w14:textFill>
              </w:rPr>
              <w:t>3</w:t>
            </w:r>
            <w:r>
              <w:rPr>
                <w:rFonts w:hint="eastAsia" w:ascii="宋体" w:hAnsi="宋体"/>
                <w:color w:val="000000" w:themeColor="text1"/>
                <w:kern w:val="0"/>
                <w:szCs w:val="21"/>
                <w14:textFill>
                  <w14:solidFill>
                    <w14:schemeClr w14:val="tx1"/>
                  </w14:solidFill>
                </w14:textFill>
              </w:rPr>
              <w:t>）</w:t>
            </w:r>
          </w:p>
        </w:tc>
        <w:tc>
          <w:tcPr>
            <w:tcW w:w="561" w:type="pct"/>
            <w:tcMar>
              <w:left w:w="0" w:type="dxa"/>
              <w:right w:w="0" w:type="dxa"/>
            </w:tcMar>
            <w:vAlign w:val="center"/>
          </w:tcPr>
          <w:p w14:paraId="15B67D38">
            <w:pPr>
              <w:adjustRightInd w:val="0"/>
              <w:snapToGrid w:val="0"/>
              <w:spacing w:line="300" w:lineRule="exact"/>
              <w:jc w:val="center"/>
              <w:rPr>
                <w:rFonts w:hint="eastAsia"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排放量（t</w:t>
            </w:r>
            <w:r>
              <w:rPr>
                <w:rFonts w:ascii="宋体" w:hAnsi="宋体"/>
                <w:color w:val="000000" w:themeColor="text1"/>
                <w:kern w:val="0"/>
                <w:szCs w:val="21"/>
                <w14:textFill>
                  <w14:solidFill>
                    <w14:schemeClr w14:val="tx1"/>
                  </w14:solidFill>
                </w14:textFill>
              </w:rPr>
              <w:t>/a</w:t>
            </w:r>
            <w:r>
              <w:rPr>
                <w:rFonts w:hint="eastAsia" w:ascii="宋体" w:hAnsi="宋体"/>
                <w:color w:val="000000" w:themeColor="text1"/>
                <w:kern w:val="0"/>
                <w:szCs w:val="21"/>
                <w14:textFill>
                  <w14:solidFill>
                    <w14:schemeClr w14:val="tx1"/>
                  </w14:solidFill>
                </w14:textFill>
              </w:rPr>
              <w:t>）</w:t>
            </w:r>
          </w:p>
        </w:tc>
        <w:tc>
          <w:tcPr>
            <w:tcW w:w="631" w:type="pct"/>
            <w:tcMar>
              <w:left w:w="0" w:type="dxa"/>
              <w:right w:w="0" w:type="dxa"/>
            </w:tcMar>
            <w:vAlign w:val="center"/>
          </w:tcPr>
          <w:p w14:paraId="14EE7BCD">
            <w:pPr>
              <w:adjustRightInd w:val="0"/>
              <w:snapToGrid w:val="0"/>
              <w:spacing w:line="300" w:lineRule="exact"/>
              <w:jc w:val="center"/>
              <w:rPr>
                <w:rFonts w:hint="eastAsia"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浓度（mg</w:t>
            </w:r>
            <w:r>
              <w:rPr>
                <w:rFonts w:ascii="宋体" w:hAnsi="宋体"/>
                <w:color w:val="000000" w:themeColor="text1"/>
                <w:kern w:val="0"/>
                <w:szCs w:val="21"/>
                <w14:textFill>
                  <w14:solidFill>
                    <w14:schemeClr w14:val="tx1"/>
                  </w14:solidFill>
                </w14:textFill>
              </w:rPr>
              <w:t>/</w:t>
            </w:r>
            <w:r>
              <w:rPr>
                <w:rFonts w:hint="eastAsia" w:ascii="宋体" w:hAnsi="宋体"/>
                <w:bCs/>
                <w:color w:val="000000" w:themeColor="text1"/>
                <w:kern w:val="0"/>
                <w:szCs w:val="21"/>
                <w14:textFill>
                  <w14:solidFill>
                    <w14:schemeClr w14:val="tx1"/>
                  </w14:solidFill>
                </w14:textFill>
              </w:rPr>
              <w:t>m</w:t>
            </w:r>
            <w:r>
              <w:rPr>
                <w:rFonts w:hint="eastAsia" w:ascii="宋体" w:hAnsi="宋体"/>
                <w:bCs/>
                <w:color w:val="000000" w:themeColor="text1"/>
                <w:kern w:val="0"/>
                <w:szCs w:val="21"/>
                <w:vertAlign w:val="superscript"/>
                <w14:textFill>
                  <w14:solidFill>
                    <w14:schemeClr w14:val="tx1"/>
                  </w14:solidFill>
                </w14:textFill>
              </w:rPr>
              <w:t>3</w:t>
            </w:r>
            <w:r>
              <w:rPr>
                <w:rFonts w:hint="eastAsia" w:ascii="宋体" w:hAnsi="宋体"/>
                <w:color w:val="000000" w:themeColor="text1"/>
                <w:kern w:val="0"/>
                <w:szCs w:val="21"/>
                <w14:textFill>
                  <w14:solidFill>
                    <w14:schemeClr w14:val="tx1"/>
                  </w14:solidFill>
                </w14:textFill>
              </w:rPr>
              <w:t>）</w:t>
            </w:r>
          </w:p>
        </w:tc>
        <w:tc>
          <w:tcPr>
            <w:tcW w:w="562" w:type="pct"/>
            <w:tcMar>
              <w:left w:w="0" w:type="dxa"/>
              <w:right w:w="0" w:type="dxa"/>
            </w:tcMar>
            <w:vAlign w:val="center"/>
          </w:tcPr>
          <w:p w14:paraId="1C1032A1">
            <w:pPr>
              <w:adjustRightInd w:val="0"/>
              <w:snapToGrid w:val="0"/>
              <w:spacing w:line="300" w:lineRule="exact"/>
              <w:jc w:val="center"/>
              <w:rPr>
                <w:rFonts w:hint="eastAsia"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排放量（t</w:t>
            </w:r>
            <w:r>
              <w:rPr>
                <w:rFonts w:ascii="宋体" w:hAnsi="宋体"/>
                <w:color w:val="000000" w:themeColor="text1"/>
                <w:kern w:val="0"/>
                <w:szCs w:val="21"/>
                <w14:textFill>
                  <w14:solidFill>
                    <w14:schemeClr w14:val="tx1"/>
                  </w14:solidFill>
                </w14:textFill>
              </w:rPr>
              <w:t>/a</w:t>
            </w:r>
            <w:r>
              <w:rPr>
                <w:rFonts w:hint="eastAsia" w:ascii="宋体" w:hAnsi="宋体"/>
                <w:color w:val="000000" w:themeColor="text1"/>
                <w:kern w:val="0"/>
                <w:szCs w:val="21"/>
                <w14:textFill>
                  <w14:solidFill>
                    <w14:schemeClr w14:val="tx1"/>
                  </w14:solidFill>
                </w14:textFill>
              </w:rPr>
              <w:t>）</w:t>
            </w:r>
          </w:p>
        </w:tc>
        <w:tc>
          <w:tcPr>
            <w:tcW w:w="582" w:type="pct"/>
            <w:tcMar>
              <w:left w:w="0" w:type="dxa"/>
              <w:right w:w="0" w:type="dxa"/>
            </w:tcMar>
            <w:vAlign w:val="center"/>
          </w:tcPr>
          <w:p w14:paraId="34730515">
            <w:pPr>
              <w:adjustRightInd w:val="0"/>
              <w:snapToGrid w:val="0"/>
              <w:spacing w:line="300" w:lineRule="exact"/>
              <w:jc w:val="center"/>
              <w:rPr>
                <w:rFonts w:hint="eastAsia"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浓度（mg</w:t>
            </w:r>
            <w:r>
              <w:rPr>
                <w:rFonts w:ascii="宋体" w:hAnsi="宋体"/>
                <w:color w:val="000000" w:themeColor="text1"/>
                <w:kern w:val="0"/>
                <w:szCs w:val="21"/>
                <w14:textFill>
                  <w14:solidFill>
                    <w14:schemeClr w14:val="tx1"/>
                  </w14:solidFill>
                </w14:textFill>
              </w:rPr>
              <w:t>/</w:t>
            </w:r>
            <w:r>
              <w:rPr>
                <w:rFonts w:hint="eastAsia" w:ascii="宋体" w:hAnsi="宋体"/>
                <w:bCs/>
                <w:color w:val="000000" w:themeColor="text1"/>
                <w:kern w:val="0"/>
                <w:szCs w:val="21"/>
                <w14:textFill>
                  <w14:solidFill>
                    <w14:schemeClr w14:val="tx1"/>
                  </w14:solidFill>
                </w14:textFill>
              </w:rPr>
              <w:t>m</w:t>
            </w:r>
            <w:r>
              <w:rPr>
                <w:rFonts w:hint="eastAsia" w:ascii="宋体" w:hAnsi="宋体"/>
                <w:bCs/>
                <w:color w:val="000000" w:themeColor="text1"/>
                <w:kern w:val="0"/>
                <w:szCs w:val="21"/>
                <w:vertAlign w:val="superscript"/>
                <w14:textFill>
                  <w14:solidFill>
                    <w14:schemeClr w14:val="tx1"/>
                  </w14:solidFill>
                </w14:textFill>
              </w:rPr>
              <w:t>3</w:t>
            </w:r>
            <w:r>
              <w:rPr>
                <w:rFonts w:hint="eastAsia" w:ascii="宋体" w:hAnsi="宋体"/>
                <w:color w:val="000000" w:themeColor="text1"/>
                <w:kern w:val="0"/>
                <w:szCs w:val="21"/>
                <w14:textFill>
                  <w14:solidFill>
                    <w14:schemeClr w14:val="tx1"/>
                  </w14:solidFill>
                </w14:textFill>
              </w:rPr>
              <w:t>）</w:t>
            </w:r>
          </w:p>
        </w:tc>
        <w:tc>
          <w:tcPr>
            <w:tcW w:w="476" w:type="pct"/>
            <w:tcMar>
              <w:left w:w="0" w:type="dxa"/>
              <w:right w:w="0" w:type="dxa"/>
            </w:tcMar>
            <w:vAlign w:val="center"/>
          </w:tcPr>
          <w:p w14:paraId="3B96D21E">
            <w:pPr>
              <w:adjustRightInd w:val="0"/>
              <w:snapToGrid w:val="0"/>
              <w:spacing w:line="300" w:lineRule="exact"/>
              <w:jc w:val="center"/>
              <w:rPr>
                <w:rFonts w:hint="eastAsia"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排放量（t</w:t>
            </w:r>
            <w:r>
              <w:rPr>
                <w:rFonts w:ascii="宋体" w:hAnsi="宋体"/>
                <w:color w:val="000000" w:themeColor="text1"/>
                <w:kern w:val="0"/>
                <w:szCs w:val="21"/>
                <w14:textFill>
                  <w14:solidFill>
                    <w14:schemeClr w14:val="tx1"/>
                  </w14:solidFill>
                </w14:textFill>
              </w:rPr>
              <w:t>/a</w:t>
            </w:r>
            <w:r>
              <w:rPr>
                <w:rFonts w:hint="eastAsia" w:ascii="宋体" w:hAnsi="宋体"/>
                <w:color w:val="000000" w:themeColor="text1"/>
                <w:kern w:val="0"/>
                <w:szCs w:val="21"/>
                <w14:textFill>
                  <w14:solidFill>
                    <w14:schemeClr w14:val="tx1"/>
                  </w14:solidFill>
                </w14:textFill>
              </w:rPr>
              <w:t>）</w:t>
            </w:r>
          </w:p>
        </w:tc>
      </w:tr>
      <w:tr w14:paraId="630A5A3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02" w:type="pct"/>
            <w:tcMar>
              <w:left w:w="0" w:type="dxa"/>
              <w:right w:w="0" w:type="dxa"/>
            </w:tcMar>
            <w:vAlign w:val="center"/>
          </w:tcPr>
          <w:p w14:paraId="52BBECB0">
            <w:pPr>
              <w:adjustRightInd w:val="0"/>
              <w:snapToGrid w:val="0"/>
              <w:spacing w:line="300" w:lineRule="exact"/>
              <w:jc w:val="center"/>
              <w:rPr>
                <w:rFonts w:hint="eastAsia" w:ascii="宋体" w:hAnsi="宋体"/>
                <w:color w:val="000000" w:themeColor="text1"/>
                <w:kern w:val="0"/>
                <w:szCs w:val="21"/>
                <w14:textFill>
                  <w14:solidFill>
                    <w14:schemeClr w14:val="tx1"/>
                  </w14:solidFill>
                </w14:textFill>
              </w:rPr>
            </w:pPr>
            <w:r>
              <w:rPr>
                <w:rFonts w:ascii="宋体" w:hAnsi="宋体"/>
                <w:color w:val="000000" w:themeColor="text1"/>
                <w:kern w:val="0"/>
                <w:szCs w:val="21"/>
                <w14:textFill>
                  <w14:solidFill>
                    <w14:schemeClr w14:val="tx1"/>
                  </w14:solidFill>
                </w14:textFill>
              </w:rPr>
              <w:t>1#</w:t>
            </w:r>
            <w:r>
              <w:rPr>
                <w:rFonts w:hint="eastAsia" w:ascii="宋体" w:hAnsi="宋体"/>
                <w:color w:val="000000" w:themeColor="text1"/>
                <w:kern w:val="0"/>
                <w:szCs w:val="21"/>
                <w14:textFill>
                  <w14:solidFill>
                    <w14:schemeClr w14:val="tx1"/>
                  </w14:solidFill>
                </w14:textFill>
              </w:rPr>
              <w:t>热媒炉（2</w:t>
            </w:r>
            <w:r>
              <w:rPr>
                <w:rFonts w:ascii="宋体" w:hAnsi="宋体"/>
                <w:color w:val="000000" w:themeColor="text1"/>
                <w:kern w:val="0"/>
                <w:szCs w:val="21"/>
                <w14:textFill>
                  <w14:solidFill>
                    <w14:schemeClr w14:val="tx1"/>
                  </w14:solidFill>
                </w14:textFill>
              </w:rPr>
              <w:t>300</w:t>
            </w:r>
            <w:r>
              <w:rPr>
                <w:rFonts w:hint="eastAsia" w:ascii="宋体" w:hAnsi="宋体"/>
                <w:color w:val="000000" w:themeColor="text1"/>
                <w:kern w:val="0"/>
                <w:szCs w:val="21"/>
                <w14:textFill>
                  <w14:solidFill>
                    <w14:schemeClr w14:val="tx1"/>
                  </w14:solidFill>
                </w14:textFill>
              </w:rPr>
              <w:t>k</w:t>
            </w:r>
            <w:r>
              <w:rPr>
                <w:rFonts w:ascii="宋体" w:hAnsi="宋体"/>
                <w:color w:val="000000" w:themeColor="text1"/>
                <w:kern w:val="0"/>
                <w:szCs w:val="21"/>
                <w14:textFill>
                  <w14:solidFill>
                    <w14:schemeClr w14:val="tx1"/>
                  </w14:solidFill>
                </w14:textFill>
              </w:rPr>
              <w:t>W</w:t>
            </w:r>
            <w:r>
              <w:rPr>
                <w:rFonts w:hint="eastAsia" w:ascii="宋体" w:hAnsi="宋体"/>
                <w:color w:val="000000" w:themeColor="text1"/>
                <w:kern w:val="0"/>
                <w:szCs w:val="21"/>
                <w14:textFill>
                  <w14:solidFill>
                    <w14:schemeClr w14:val="tx1"/>
                  </w14:solidFill>
                </w14:textFill>
              </w:rPr>
              <w:t>）</w:t>
            </w:r>
          </w:p>
        </w:tc>
        <w:tc>
          <w:tcPr>
            <w:tcW w:w="644" w:type="pct"/>
            <w:tcMar>
              <w:left w:w="0" w:type="dxa"/>
              <w:right w:w="0" w:type="dxa"/>
            </w:tcMar>
            <w:vAlign w:val="center"/>
          </w:tcPr>
          <w:p w14:paraId="0E73F268">
            <w:pPr>
              <w:adjustRightInd w:val="0"/>
              <w:snapToGrid w:val="0"/>
              <w:spacing w:line="300" w:lineRule="exact"/>
              <w:jc w:val="center"/>
              <w:rPr>
                <w:rFonts w:hint="eastAsia"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1610</w:t>
            </w:r>
          </w:p>
        </w:tc>
        <w:tc>
          <w:tcPr>
            <w:tcW w:w="642" w:type="pct"/>
            <w:tcMar>
              <w:left w:w="0" w:type="dxa"/>
              <w:right w:w="0" w:type="dxa"/>
            </w:tcMar>
            <w:vAlign w:val="center"/>
          </w:tcPr>
          <w:p w14:paraId="11274ACA">
            <w:pPr>
              <w:adjustRightInd w:val="0"/>
              <w:snapToGrid w:val="0"/>
              <w:spacing w:line="300" w:lineRule="exact"/>
              <w:jc w:val="center"/>
              <w:rPr>
                <w:rFonts w:hint="eastAsia"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37</w:t>
            </w:r>
          </w:p>
        </w:tc>
        <w:tc>
          <w:tcPr>
            <w:tcW w:w="561" w:type="pct"/>
            <w:tcMar>
              <w:left w:w="0" w:type="dxa"/>
              <w:right w:w="0" w:type="dxa"/>
            </w:tcMar>
            <w:vAlign w:val="center"/>
          </w:tcPr>
          <w:p w14:paraId="2B6CD40B">
            <w:pPr>
              <w:adjustRightInd w:val="0"/>
              <w:snapToGrid w:val="0"/>
              <w:spacing w:line="300" w:lineRule="exact"/>
              <w:jc w:val="center"/>
              <w:rPr>
                <w:rFonts w:hint="eastAsia"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0.521</w:t>
            </w:r>
          </w:p>
        </w:tc>
        <w:tc>
          <w:tcPr>
            <w:tcW w:w="631" w:type="pct"/>
            <w:tcMar>
              <w:left w:w="0" w:type="dxa"/>
              <w:right w:w="0" w:type="dxa"/>
            </w:tcMar>
            <w:vAlign w:val="center"/>
          </w:tcPr>
          <w:p w14:paraId="090F675E">
            <w:pPr>
              <w:adjustRightInd w:val="0"/>
              <w:snapToGrid w:val="0"/>
              <w:spacing w:line="300" w:lineRule="exact"/>
              <w:jc w:val="center"/>
              <w:rPr>
                <w:rFonts w:hint="eastAsia" w:ascii="宋体" w:hAnsi="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2</w:t>
            </w:r>
          </w:p>
        </w:tc>
        <w:tc>
          <w:tcPr>
            <w:tcW w:w="562" w:type="pct"/>
            <w:tcMar>
              <w:left w:w="0" w:type="dxa"/>
              <w:right w:w="0" w:type="dxa"/>
            </w:tcMar>
            <w:vAlign w:val="center"/>
          </w:tcPr>
          <w:p w14:paraId="2EFD2B8F">
            <w:pPr>
              <w:adjustRightInd w:val="0"/>
              <w:snapToGrid w:val="0"/>
              <w:spacing w:line="300" w:lineRule="exact"/>
              <w:jc w:val="center"/>
              <w:rPr>
                <w:rFonts w:hint="eastAsia"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0.027</w:t>
            </w:r>
          </w:p>
        </w:tc>
        <w:tc>
          <w:tcPr>
            <w:tcW w:w="582" w:type="pct"/>
            <w:tcMar>
              <w:left w:w="0" w:type="dxa"/>
              <w:right w:w="0" w:type="dxa"/>
            </w:tcMar>
            <w:vAlign w:val="center"/>
          </w:tcPr>
          <w:p w14:paraId="417CDF72">
            <w:pPr>
              <w:adjustRightInd w:val="0"/>
              <w:snapToGrid w:val="0"/>
              <w:spacing w:line="300" w:lineRule="exact"/>
              <w:jc w:val="center"/>
              <w:rPr>
                <w:rFonts w:hint="eastAsia"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3.5</w:t>
            </w:r>
          </w:p>
        </w:tc>
        <w:tc>
          <w:tcPr>
            <w:tcW w:w="476" w:type="pct"/>
            <w:tcMar>
              <w:left w:w="0" w:type="dxa"/>
              <w:right w:w="0" w:type="dxa"/>
            </w:tcMar>
            <w:vAlign w:val="center"/>
          </w:tcPr>
          <w:p w14:paraId="6E94F1BA">
            <w:pPr>
              <w:adjustRightInd w:val="0"/>
              <w:snapToGrid w:val="0"/>
              <w:spacing w:line="300" w:lineRule="exact"/>
              <w:jc w:val="center"/>
              <w:rPr>
                <w:rFonts w:hint="eastAsia"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0.049</w:t>
            </w:r>
          </w:p>
        </w:tc>
      </w:tr>
      <w:tr w14:paraId="35A2142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02" w:type="pct"/>
            <w:tcMar>
              <w:left w:w="0" w:type="dxa"/>
              <w:right w:w="0" w:type="dxa"/>
            </w:tcMar>
            <w:vAlign w:val="center"/>
          </w:tcPr>
          <w:p w14:paraId="1F32D9C0">
            <w:pPr>
              <w:adjustRightInd w:val="0"/>
              <w:snapToGrid w:val="0"/>
              <w:spacing w:line="300" w:lineRule="exact"/>
              <w:jc w:val="center"/>
              <w:rPr>
                <w:rFonts w:hint="eastAsia" w:ascii="宋体" w:hAnsi="宋体"/>
                <w:color w:val="000000" w:themeColor="text1"/>
                <w:kern w:val="0"/>
                <w:szCs w:val="21"/>
                <w14:textFill>
                  <w14:solidFill>
                    <w14:schemeClr w14:val="tx1"/>
                  </w14:solidFill>
                </w14:textFill>
              </w:rPr>
            </w:pPr>
            <w:r>
              <w:rPr>
                <w:rFonts w:ascii="宋体" w:hAnsi="宋体"/>
                <w:color w:val="000000" w:themeColor="text1"/>
                <w:kern w:val="0"/>
                <w:szCs w:val="21"/>
                <w14:textFill>
                  <w14:solidFill>
                    <w14:schemeClr w14:val="tx1"/>
                  </w14:solidFill>
                </w14:textFill>
              </w:rPr>
              <w:t>2#</w:t>
            </w:r>
            <w:r>
              <w:rPr>
                <w:rFonts w:hint="eastAsia" w:ascii="宋体" w:hAnsi="宋体"/>
                <w:color w:val="000000" w:themeColor="text1"/>
                <w:kern w:val="0"/>
                <w:szCs w:val="21"/>
                <w14:textFill>
                  <w14:solidFill>
                    <w14:schemeClr w14:val="tx1"/>
                  </w14:solidFill>
                </w14:textFill>
              </w:rPr>
              <w:t>热媒炉（2</w:t>
            </w:r>
            <w:r>
              <w:rPr>
                <w:rFonts w:ascii="宋体" w:hAnsi="宋体"/>
                <w:color w:val="000000" w:themeColor="text1"/>
                <w:kern w:val="0"/>
                <w:szCs w:val="21"/>
                <w14:textFill>
                  <w14:solidFill>
                    <w14:schemeClr w14:val="tx1"/>
                  </w14:solidFill>
                </w14:textFill>
              </w:rPr>
              <w:t>300</w:t>
            </w:r>
            <w:r>
              <w:rPr>
                <w:rFonts w:hint="eastAsia" w:ascii="宋体" w:hAnsi="宋体"/>
                <w:color w:val="000000" w:themeColor="text1"/>
                <w:kern w:val="0"/>
                <w:szCs w:val="21"/>
                <w14:textFill>
                  <w14:solidFill>
                    <w14:schemeClr w14:val="tx1"/>
                  </w14:solidFill>
                </w14:textFill>
              </w:rPr>
              <w:t>k</w:t>
            </w:r>
            <w:r>
              <w:rPr>
                <w:rFonts w:ascii="宋体" w:hAnsi="宋体"/>
                <w:color w:val="000000" w:themeColor="text1"/>
                <w:kern w:val="0"/>
                <w:szCs w:val="21"/>
                <w14:textFill>
                  <w14:solidFill>
                    <w14:schemeClr w14:val="tx1"/>
                  </w14:solidFill>
                </w14:textFill>
              </w:rPr>
              <w:t>W</w:t>
            </w:r>
            <w:r>
              <w:rPr>
                <w:rFonts w:hint="eastAsia" w:ascii="宋体" w:hAnsi="宋体"/>
                <w:color w:val="000000" w:themeColor="text1"/>
                <w:kern w:val="0"/>
                <w:szCs w:val="21"/>
                <w14:textFill>
                  <w14:solidFill>
                    <w14:schemeClr w14:val="tx1"/>
                  </w14:solidFill>
                </w14:textFill>
              </w:rPr>
              <w:t>）</w:t>
            </w:r>
          </w:p>
        </w:tc>
        <w:tc>
          <w:tcPr>
            <w:tcW w:w="644" w:type="pct"/>
            <w:tcMar>
              <w:left w:w="0" w:type="dxa"/>
              <w:right w:w="0" w:type="dxa"/>
            </w:tcMar>
            <w:vAlign w:val="center"/>
          </w:tcPr>
          <w:p w14:paraId="7CD86D51">
            <w:pPr>
              <w:adjustRightInd w:val="0"/>
              <w:snapToGrid w:val="0"/>
              <w:spacing w:line="300" w:lineRule="exact"/>
              <w:jc w:val="center"/>
              <w:rPr>
                <w:rFonts w:hint="eastAsia"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1478</w:t>
            </w:r>
          </w:p>
        </w:tc>
        <w:tc>
          <w:tcPr>
            <w:tcW w:w="642" w:type="pct"/>
            <w:tcMar>
              <w:left w:w="0" w:type="dxa"/>
              <w:right w:w="0" w:type="dxa"/>
            </w:tcMar>
            <w:vAlign w:val="center"/>
          </w:tcPr>
          <w:p w14:paraId="15E6C313">
            <w:pPr>
              <w:adjustRightInd w:val="0"/>
              <w:snapToGrid w:val="0"/>
              <w:spacing w:line="300" w:lineRule="exact"/>
              <w:jc w:val="center"/>
              <w:rPr>
                <w:rFonts w:hint="eastAsia"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29</w:t>
            </w:r>
          </w:p>
        </w:tc>
        <w:tc>
          <w:tcPr>
            <w:tcW w:w="561" w:type="pct"/>
            <w:tcMar>
              <w:left w:w="0" w:type="dxa"/>
              <w:right w:w="0" w:type="dxa"/>
            </w:tcMar>
            <w:vAlign w:val="center"/>
          </w:tcPr>
          <w:p w14:paraId="50D6731D">
            <w:pPr>
              <w:adjustRightInd w:val="0"/>
              <w:snapToGrid w:val="0"/>
              <w:spacing w:line="300" w:lineRule="exact"/>
              <w:jc w:val="center"/>
              <w:rPr>
                <w:rFonts w:hint="eastAsia"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0.361</w:t>
            </w:r>
          </w:p>
        </w:tc>
        <w:tc>
          <w:tcPr>
            <w:tcW w:w="631" w:type="pct"/>
            <w:tcMar>
              <w:left w:w="0" w:type="dxa"/>
              <w:right w:w="0" w:type="dxa"/>
            </w:tcMar>
            <w:vAlign w:val="center"/>
          </w:tcPr>
          <w:p w14:paraId="4E0AF6C0">
            <w:pPr>
              <w:adjustRightInd w:val="0"/>
              <w:snapToGrid w:val="0"/>
              <w:spacing w:line="300" w:lineRule="exact"/>
              <w:jc w:val="center"/>
              <w:rPr>
                <w:rFonts w:hint="eastAsia" w:ascii="宋体" w:hAnsi="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2</w:t>
            </w:r>
          </w:p>
        </w:tc>
        <w:tc>
          <w:tcPr>
            <w:tcW w:w="562" w:type="pct"/>
            <w:tcMar>
              <w:left w:w="0" w:type="dxa"/>
              <w:right w:w="0" w:type="dxa"/>
            </w:tcMar>
            <w:vAlign w:val="center"/>
          </w:tcPr>
          <w:p w14:paraId="15A90E13">
            <w:pPr>
              <w:adjustRightInd w:val="0"/>
              <w:snapToGrid w:val="0"/>
              <w:spacing w:line="300" w:lineRule="exact"/>
              <w:jc w:val="center"/>
              <w:rPr>
                <w:rFonts w:hint="eastAsia"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0.025</w:t>
            </w:r>
          </w:p>
        </w:tc>
        <w:tc>
          <w:tcPr>
            <w:tcW w:w="582" w:type="pct"/>
            <w:tcMar>
              <w:left w:w="0" w:type="dxa"/>
              <w:right w:w="0" w:type="dxa"/>
            </w:tcMar>
            <w:vAlign w:val="center"/>
          </w:tcPr>
          <w:p w14:paraId="118DBF14">
            <w:pPr>
              <w:adjustRightInd w:val="0"/>
              <w:snapToGrid w:val="0"/>
              <w:spacing w:line="300" w:lineRule="exact"/>
              <w:jc w:val="center"/>
              <w:rPr>
                <w:rFonts w:hint="eastAsia"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1.9</w:t>
            </w:r>
          </w:p>
        </w:tc>
        <w:tc>
          <w:tcPr>
            <w:tcW w:w="476" w:type="pct"/>
            <w:tcMar>
              <w:left w:w="0" w:type="dxa"/>
              <w:right w:w="0" w:type="dxa"/>
            </w:tcMar>
            <w:vAlign w:val="center"/>
          </w:tcPr>
          <w:p w14:paraId="05E82362">
            <w:pPr>
              <w:adjustRightInd w:val="0"/>
              <w:snapToGrid w:val="0"/>
              <w:spacing w:line="300" w:lineRule="exact"/>
              <w:jc w:val="center"/>
              <w:rPr>
                <w:rFonts w:hint="eastAsia"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0.024</w:t>
            </w:r>
          </w:p>
        </w:tc>
      </w:tr>
      <w:tr w14:paraId="7DCFF12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02" w:type="pct"/>
            <w:tcMar>
              <w:left w:w="0" w:type="dxa"/>
              <w:right w:w="0" w:type="dxa"/>
            </w:tcMar>
            <w:vAlign w:val="center"/>
          </w:tcPr>
          <w:p w14:paraId="25EC2D28">
            <w:pPr>
              <w:adjustRightInd w:val="0"/>
              <w:snapToGrid w:val="0"/>
              <w:spacing w:line="300" w:lineRule="exact"/>
              <w:jc w:val="center"/>
              <w:rPr>
                <w:rFonts w:hint="eastAsia" w:ascii="宋体" w:hAnsi="宋体"/>
                <w:color w:val="000000" w:themeColor="text1"/>
                <w:kern w:val="0"/>
                <w:szCs w:val="21"/>
                <w14:textFill>
                  <w14:solidFill>
                    <w14:schemeClr w14:val="tx1"/>
                  </w14:solidFill>
                </w14:textFill>
              </w:rPr>
            </w:pPr>
            <w:r>
              <w:rPr>
                <w:rFonts w:ascii="宋体" w:hAnsi="宋体"/>
                <w:color w:val="000000" w:themeColor="text1"/>
                <w:kern w:val="0"/>
                <w:szCs w:val="21"/>
                <w14:textFill>
                  <w14:solidFill>
                    <w14:schemeClr w14:val="tx1"/>
                  </w14:solidFill>
                </w14:textFill>
              </w:rPr>
              <w:t>1#</w:t>
            </w:r>
            <w:r>
              <w:rPr>
                <w:rFonts w:hint="eastAsia" w:ascii="宋体" w:hAnsi="宋体"/>
                <w:color w:val="000000" w:themeColor="text1"/>
                <w:kern w:val="0"/>
                <w:szCs w:val="21"/>
                <w14:textFill>
                  <w14:solidFill>
                    <w14:schemeClr w14:val="tx1"/>
                  </w14:solidFill>
                </w14:textFill>
              </w:rPr>
              <w:t>多功能处理器-1（2</w:t>
            </w:r>
            <w:r>
              <w:rPr>
                <w:rFonts w:ascii="宋体" w:hAnsi="宋体"/>
                <w:color w:val="000000" w:themeColor="text1"/>
                <w:kern w:val="0"/>
                <w:szCs w:val="21"/>
                <w14:textFill>
                  <w14:solidFill>
                    <w14:schemeClr w14:val="tx1"/>
                  </w14:solidFill>
                </w14:textFill>
              </w:rPr>
              <w:t>600</w:t>
            </w:r>
            <w:r>
              <w:rPr>
                <w:rFonts w:hint="eastAsia" w:ascii="宋体" w:hAnsi="宋体"/>
                <w:color w:val="000000" w:themeColor="text1"/>
                <w:kern w:val="0"/>
                <w:szCs w:val="21"/>
                <w14:textFill>
                  <w14:solidFill>
                    <w14:schemeClr w14:val="tx1"/>
                  </w14:solidFill>
                </w14:textFill>
              </w:rPr>
              <w:t>k</w:t>
            </w:r>
            <w:r>
              <w:rPr>
                <w:rFonts w:ascii="宋体" w:hAnsi="宋体"/>
                <w:color w:val="000000" w:themeColor="text1"/>
                <w:kern w:val="0"/>
                <w:szCs w:val="21"/>
                <w14:textFill>
                  <w14:solidFill>
                    <w14:schemeClr w14:val="tx1"/>
                  </w14:solidFill>
                </w14:textFill>
              </w:rPr>
              <w:t>W</w:t>
            </w:r>
            <w:r>
              <w:rPr>
                <w:rFonts w:hint="eastAsia" w:ascii="宋体" w:hAnsi="宋体"/>
                <w:color w:val="000000" w:themeColor="text1"/>
                <w:kern w:val="0"/>
                <w:szCs w:val="21"/>
                <w14:textFill>
                  <w14:solidFill>
                    <w14:schemeClr w14:val="tx1"/>
                  </w14:solidFill>
                </w14:textFill>
              </w:rPr>
              <w:t>）</w:t>
            </w:r>
          </w:p>
        </w:tc>
        <w:tc>
          <w:tcPr>
            <w:tcW w:w="644" w:type="pct"/>
            <w:tcMar>
              <w:left w:w="0" w:type="dxa"/>
              <w:right w:w="0" w:type="dxa"/>
            </w:tcMar>
            <w:vAlign w:val="center"/>
          </w:tcPr>
          <w:p w14:paraId="708D1D36">
            <w:pPr>
              <w:adjustRightInd w:val="0"/>
              <w:snapToGrid w:val="0"/>
              <w:spacing w:line="300" w:lineRule="exact"/>
              <w:jc w:val="center"/>
              <w:rPr>
                <w:rFonts w:hint="eastAsia"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1715</w:t>
            </w:r>
          </w:p>
        </w:tc>
        <w:tc>
          <w:tcPr>
            <w:tcW w:w="642" w:type="pct"/>
            <w:tcMar>
              <w:left w:w="0" w:type="dxa"/>
              <w:right w:w="0" w:type="dxa"/>
            </w:tcMar>
            <w:vAlign w:val="center"/>
          </w:tcPr>
          <w:p w14:paraId="70A69DF8">
            <w:pPr>
              <w:adjustRightInd w:val="0"/>
              <w:snapToGrid w:val="0"/>
              <w:spacing w:line="300" w:lineRule="exact"/>
              <w:jc w:val="center"/>
              <w:rPr>
                <w:rFonts w:hint="eastAsia"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18</w:t>
            </w:r>
          </w:p>
        </w:tc>
        <w:tc>
          <w:tcPr>
            <w:tcW w:w="561" w:type="pct"/>
            <w:tcMar>
              <w:left w:w="0" w:type="dxa"/>
              <w:right w:w="0" w:type="dxa"/>
            </w:tcMar>
            <w:vAlign w:val="center"/>
          </w:tcPr>
          <w:p w14:paraId="43072EF3">
            <w:pPr>
              <w:adjustRightInd w:val="0"/>
              <w:snapToGrid w:val="0"/>
              <w:spacing w:line="300" w:lineRule="exact"/>
              <w:jc w:val="center"/>
              <w:rPr>
                <w:rFonts w:hint="eastAsia"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0.26</w:t>
            </w:r>
          </w:p>
        </w:tc>
        <w:tc>
          <w:tcPr>
            <w:tcW w:w="631" w:type="pct"/>
            <w:tcMar>
              <w:left w:w="0" w:type="dxa"/>
              <w:right w:w="0" w:type="dxa"/>
            </w:tcMar>
            <w:vAlign w:val="center"/>
          </w:tcPr>
          <w:p w14:paraId="05A103DC">
            <w:pPr>
              <w:adjustRightInd w:val="0"/>
              <w:snapToGrid w:val="0"/>
              <w:spacing w:line="300" w:lineRule="exact"/>
              <w:jc w:val="center"/>
              <w:rPr>
                <w:rFonts w:hint="eastAsia" w:ascii="宋体" w:hAnsi="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2</w:t>
            </w:r>
          </w:p>
        </w:tc>
        <w:tc>
          <w:tcPr>
            <w:tcW w:w="562" w:type="pct"/>
            <w:tcMar>
              <w:left w:w="0" w:type="dxa"/>
              <w:right w:w="0" w:type="dxa"/>
            </w:tcMar>
            <w:vAlign w:val="center"/>
          </w:tcPr>
          <w:p w14:paraId="0D1DD1C3">
            <w:pPr>
              <w:adjustRightInd w:val="0"/>
              <w:snapToGrid w:val="0"/>
              <w:spacing w:line="300" w:lineRule="exact"/>
              <w:jc w:val="center"/>
              <w:rPr>
                <w:rFonts w:hint="eastAsia"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0.029</w:t>
            </w:r>
          </w:p>
        </w:tc>
        <w:tc>
          <w:tcPr>
            <w:tcW w:w="582" w:type="pct"/>
            <w:tcMar>
              <w:left w:w="0" w:type="dxa"/>
              <w:right w:w="0" w:type="dxa"/>
            </w:tcMar>
            <w:vAlign w:val="center"/>
          </w:tcPr>
          <w:p w14:paraId="4C04DA37">
            <w:pPr>
              <w:adjustRightInd w:val="0"/>
              <w:snapToGrid w:val="0"/>
              <w:spacing w:line="300" w:lineRule="exact"/>
              <w:jc w:val="center"/>
              <w:rPr>
                <w:rFonts w:hint="eastAsia"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3.2</w:t>
            </w:r>
          </w:p>
        </w:tc>
        <w:tc>
          <w:tcPr>
            <w:tcW w:w="476" w:type="pct"/>
            <w:tcMar>
              <w:left w:w="0" w:type="dxa"/>
              <w:right w:w="0" w:type="dxa"/>
            </w:tcMar>
            <w:vAlign w:val="center"/>
          </w:tcPr>
          <w:p w14:paraId="7134488B">
            <w:pPr>
              <w:adjustRightInd w:val="0"/>
              <w:snapToGrid w:val="0"/>
              <w:spacing w:line="300" w:lineRule="exact"/>
              <w:jc w:val="center"/>
              <w:rPr>
                <w:rFonts w:hint="eastAsia"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0.046</w:t>
            </w:r>
          </w:p>
        </w:tc>
      </w:tr>
      <w:tr w14:paraId="28DB91A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02" w:type="pct"/>
            <w:tcMar>
              <w:left w:w="0" w:type="dxa"/>
              <w:right w:w="0" w:type="dxa"/>
            </w:tcMar>
            <w:vAlign w:val="center"/>
          </w:tcPr>
          <w:p w14:paraId="2D6384B1">
            <w:pPr>
              <w:adjustRightInd w:val="0"/>
              <w:snapToGrid w:val="0"/>
              <w:spacing w:line="300" w:lineRule="exact"/>
              <w:jc w:val="center"/>
              <w:rPr>
                <w:rFonts w:hint="eastAsia" w:ascii="宋体" w:hAnsi="宋体"/>
                <w:color w:val="000000" w:themeColor="text1"/>
                <w:kern w:val="0"/>
                <w:szCs w:val="21"/>
                <w14:textFill>
                  <w14:solidFill>
                    <w14:schemeClr w14:val="tx1"/>
                  </w14:solidFill>
                </w14:textFill>
              </w:rPr>
            </w:pPr>
            <w:r>
              <w:rPr>
                <w:rFonts w:ascii="宋体" w:hAnsi="宋体"/>
                <w:color w:val="000000" w:themeColor="text1"/>
                <w:kern w:val="0"/>
                <w:szCs w:val="21"/>
                <w14:textFill>
                  <w14:solidFill>
                    <w14:schemeClr w14:val="tx1"/>
                  </w14:solidFill>
                </w14:textFill>
              </w:rPr>
              <w:t>1#</w:t>
            </w:r>
            <w:r>
              <w:rPr>
                <w:rFonts w:hint="eastAsia" w:ascii="宋体" w:hAnsi="宋体"/>
                <w:color w:val="000000" w:themeColor="text1"/>
                <w:kern w:val="0"/>
                <w:szCs w:val="21"/>
                <w14:textFill>
                  <w14:solidFill>
                    <w14:schemeClr w14:val="tx1"/>
                  </w14:solidFill>
                </w14:textFill>
              </w:rPr>
              <w:t>多功能处理器-2（2</w:t>
            </w:r>
            <w:r>
              <w:rPr>
                <w:rFonts w:ascii="宋体" w:hAnsi="宋体"/>
                <w:color w:val="000000" w:themeColor="text1"/>
                <w:kern w:val="0"/>
                <w:szCs w:val="21"/>
                <w14:textFill>
                  <w14:solidFill>
                    <w14:schemeClr w14:val="tx1"/>
                  </w14:solidFill>
                </w14:textFill>
              </w:rPr>
              <w:t>600</w:t>
            </w:r>
            <w:r>
              <w:rPr>
                <w:rFonts w:hint="eastAsia" w:ascii="宋体" w:hAnsi="宋体"/>
                <w:color w:val="000000" w:themeColor="text1"/>
                <w:kern w:val="0"/>
                <w:szCs w:val="21"/>
                <w14:textFill>
                  <w14:solidFill>
                    <w14:schemeClr w14:val="tx1"/>
                  </w14:solidFill>
                </w14:textFill>
              </w:rPr>
              <w:t>k</w:t>
            </w:r>
            <w:r>
              <w:rPr>
                <w:rFonts w:ascii="宋体" w:hAnsi="宋体"/>
                <w:color w:val="000000" w:themeColor="text1"/>
                <w:kern w:val="0"/>
                <w:szCs w:val="21"/>
                <w14:textFill>
                  <w14:solidFill>
                    <w14:schemeClr w14:val="tx1"/>
                  </w14:solidFill>
                </w14:textFill>
              </w:rPr>
              <w:t>W</w:t>
            </w:r>
            <w:r>
              <w:rPr>
                <w:rFonts w:hint="eastAsia" w:ascii="宋体" w:hAnsi="宋体"/>
                <w:color w:val="000000" w:themeColor="text1"/>
                <w:kern w:val="0"/>
                <w:szCs w:val="21"/>
                <w14:textFill>
                  <w14:solidFill>
                    <w14:schemeClr w14:val="tx1"/>
                  </w14:solidFill>
                </w14:textFill>
              </w:rPr>
              <w:t>）</w:t>
            </w:r>
          </w:p>
        </w:tc>
        <w:tc>
          <w:tcPr>
            <w:tcW w:w="644" w:type="pct"/>
            <w:tcMar>
              <w:left w:w="0" w:type="dxa"/>
              <w:right w:w="0" w:type="dxa"/>
            </w:tcMar>
            <w:vAlign w:val="center"/>
          </w:tcPr>
          <w:p w14:paraId="5DE64933">
            <w:pPr>
              <w:adjustRightInd w:val="0"/>
              <w:snapToGrid w:val="0"/>
              <w:spacing w:line="300" w:lineRule="exact"/>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1738</w:t>
            </w:r>
          </w:p>
        </w:tc>
        <w:tc>
          <w:tcPr>
            <w:tcW w:w="642" w:type="pct"/>
            <w:tcMar>
              <w:left w:w="0" w:type="dxa"/>
              <w:right w:w="0" w:type="dxa"/>
            </w:tcMar>
            <w:vAlign w:val="center"/>
          </w:tcPr>
          <w:p w14:paraId="66930DA1">
            <w:pPr>
              <w:adjustRightInd w:val="0"/>
              <w:snapToGrid w:val="0"/>
              <w:spacing w:line="300" w:lineRule="exact"/>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18</w:t>
            </w:r>
          </w:p>
        </w:tc>
        <w:tc>
          <w:tcPr>
            <w:tcW w:w="561" w:type="pct"/>
            <w:tcMar>
              <w:left w:w="0" w:type="dxa"/>
              <w:right w:w="0" w:type="dxa"/>
            </w:tcMar>
            <w:vAlign w:val="center"/>
          </w:tcPr>
          <w:p w14:paraId="327ECD1B">
            <w:pPr>
              <w:adjustRightInd w:val="0"/>
              <w:snapToGrid w:val="0"/>
              <w:spacing w:line="300" w:lineRule="exact"/>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0.26</w:t>
            </w:r>
          </w:p>
        </w:tc>
        <w:tc>
          <w:tcPr>
            <w:tcW w:w="631" w:type="pct"/>
            <w:tcMar>
              <w:left w:w="0" w:type="dxa"/>
              <w:right w:w="0" w:type="dxa"/>
            </w:tcMar>
            <w:vAlign w:val="center"/>
          </w:tcPr>
          <w:p w14:paraId="458F42B3">
            <w:pPr>
              <w:adjustRightInd w:val="0"/>
              <w:snapToGrid w:val="0"/>
              <w:spacing w:line="300" w:lineRule="exact"/>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2</w:t>
            </w:r>
          </w:p>
        </w:tc>
        <w:tc>
          <w:tcPr>
            <w:tcW w:w="562" w:type="pct"/>
            <w:tcMar>
              <w:left w:w="0" w:type="dxa"/>
              <w:right w:w="0" w:type="dxa"/>
            </w:tcMar>
            <w:vAlign w:val="center"/>
          </w:tcPr>
          <w:p w14:paraId="23FEA838">
            <w:pPr>
              <w:adjustRightInd w:val="0"/>
              <w:snapToGrid w:val="0"/>
              <w:spacing w:line="300" w:lineRule="exact"/>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0.029</w:t>
            </w:r>
          </w:p>
        </w:tc>
        <w:tc>
          <w:tcPr>
            <w:tcW w:w="582" w:type="pct"/>
            <w:tcMar>
              <w:left w:w="0" w:type="dxa"/>
              <w:right w:w="0" w:type="dxa"/>
            </w:tcMar>
            <w:vAlign w:val="center"/>
          </w:tcPr>
          <w:p w14:paraId="7B8821FD">
            <w:pPr>
              <w:adjustRightInd w:val="0"/>
              <w:snapToGrid w:val="0"/>
              <w:spacing w:line="300" w:lineRule="exact"/>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3.2</w:t>
            </w:r>
          </w:p>
        </w:tc>
        <w:tc>
          <w:tcPr>
            <w:tcW w:w="476" w:type="pct"/>
            <w:tcMar>
              <w:left w:w="0" w:type="dxa"/>
              <w:right w:w="0" w:type="dxa"/>
            </w:tcMar>
            <w:vAlign w:val="center"/>
          </w:tcPr>
          <w:p w14:paraId="308CE936">
            <w:pPr>
              <w:adjustRightInd w:val="0"/>
              <w:snapToGrid w:val="0"/>
              <w:spacing w:line="300" w:lineRule="exact"/>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0.047</w:t>
            </w:r>
          </w:p>
        </w:tc>
      </w:tr>
      <w:tr w14:paraId="5DA0DCD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02" w:type="pct"/>
            <w:tcMar>
              <w:left w:w="0" w:type="dxa"/>
              <w:right w:w="0" w:type="dxa"/>
            </w:tcMar>
            <w:vAlign w:val="center"/>
          </w:tcPr>
          <w:p w14:paraId="0A6FE075">
            <w:pPr>
              <w:adjustRightInd w:val="0"/>
              <w:snapToGrid w:val="0"/>
              <w:spacing w:line="300" w:lineRule="exact"/>
              <w:jc w:val="center"/>
              <w:rPr>
                <w:rFonts w:hint="eastAsia" w:ascii="宋体" w:hAnsi="宋体"/>
                <w:color w:val="000000" w:themeColor="text1"/>
                <w:kern w:val="0"/>
                <w:szCs w:val="21"/>
                <w14:textFill>
                  <w14:solidFill>
                    <w14:schemeClr w14:val="tx1"/>
                  </w14:solidFill>
                </w14:textFill>
              </w:rPr>
            </w:pPr>
            <w:r>
              <w:rPr>
                <w:rFonts w:ascii="宋体" w:hAnsi="宋体"/>
                <w:color w:val="000000" w:themeColor="text1"/>
                <w:kern w:val="0"/>
                <w:szCs w:val="21"/>
                <w14:textFill>
                  <w14:solidFill>
                    <w14:schemeClr w14:val="tx1"/>
                  </w14:solidFill>
                </w14:textFill>
              </w:rPr>
              <w:t>2#</w:t>
            </w:r>
            <w:r>
              <w:rPr>
                <w:rFonts w:hint="eastAsia" w:ascii="宋体" w:hAnsi="宋体"/>
                <w:color w:val="000000" w:themeColor="text1"/>
                <w:kern w:val="0"/>
                <w:szCs w:val="21"/>
                <w14:textFill>
                  <w14:solidFill>
                    <w14:schemeClr w14:val="tx1"/>
                  </w14:solidFill>
                </w14:textFill>
              </w:rPr>
              <w:t>多功能处理器-1（2</w:t>
            </w:r>
            <w:r>
              <w:rPr>
                <w:rFonts w:ascii="宋体" w:hAnsi="宋体"/>
                <w:color w:val="000000" w:themeColor="text1"/>
                <w:kern w:val="0"/>
                <w:szCs w:val="21"/>
                <w14:textFill>
                  <w14:solidFill>
                    <w14:schemeClr w14:val="tx1"/>
                  </w14:solidFill>
                </w14:textFill>
              </w:rPr>
              <w:t>600</w:t>
            </w:r>
            <w:r>
              <w:rPr>
                <w:rFonts w:hint="eastAsia" w:ascii="宋体" w:hAnsi="宋体"/>
                <w:color w:val="000000" w:themeColor="text1"/>
                <w:kern w:val="0"/>
                <w:szCs w:val="21"/>
                <w14:textFill>
                  <w14:solidFill>
                    <w14:schemeClr w14:val="tx1"/>
                  </w14:solidFill>
                </w14:textFill>
              </w:rPr>
              <w:t>k</w:t>
            </w:r>
            <w:r>
              <w:rPr>
                <w:rFonts w:ascii="宋体" w:hAnsi="宋体"/>
                <w:color w:val="000000" w:themeColor="text1"/>
                <w:kern w:val="0"/>
                <w:szCs w:val="21"/>
                <w14:textFill>
                  <w14:solidFill>
                    <w14:schemeClr w14:val="tx1"/>
                  </w14:solidFill>
                </w14:textFill>
              </w:rPr>
              <w:t>W</w:t>
            </w:r>
            <w:r>
              <w:rPr>
                <w:rFonts w:hint="eastAsia" w:ascii="宋体" w:hAnsi="宋体"/>
                <w:color w:val="000000" w:themeColor="text1"/>
                <w:kern w:val="0"/>
                <w:szCs w:val="21"/>
                <w14:textFill>
                  <w14:solidFill>
                    <w14:schemeClr w14:val="tx1"/>
                  </w14:solidFill>
                </w14:textFill>
              </w:rPr>
              <w:t>）</w:t>
            </w:r>
          </w:p>
        </w:tc>
        <w:tc>
          <w:tcPr>
            <w:tcW w:w="644" w:type="pct"/>
            <w:tcMar>
              <w:left w:w="0" w:type="dxa"/>
              <w:right w:w="0" w:type="dxa"/>
            </w:tcMar>
            <w:vAlign w:val="center"/>
          </w:tcPr>
          <w:p w14:paraId="010296BD">
            <w:pPr>
              <w:adjustRightInd w:val="0"/>
              <w:snapToGrid w:val="0"/>
              <w:spacing w:line="300" w:lineRule="exact"/>
              <w:jc w:val="center"/>
              <w:rPr>
                <w:rFonts w:hint="eastAsia"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1887</w:t>
            </w:r>
          </w:p>
        </w:tc>
        <w:tc>
          <w:tcPr>
            <w:tcW w:w="642" w:type="pct"/>
            <w:tcMar>
              <w:left w:w="0" w:type="dxa"/>
              <w:right w:w="0" w:type="dxa"/>
            </w:tcMar>
            <w:vAlign w:val="center"/>
          </w:tcPr>
          <w:p w14:paraId="5B5D86E8">
            <w:pPr>
              <w:adjustRightInd w:val="0"/>
              <w:snapToGrid w:val="0"/>
              <w:spacing w:line="300" w:lineRule="exact"/>
              <w:jc w:val="center"/>
              <w:rPr>
                <w:rFonts w:hint="eastAsia"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20</w:t>
            </w:r>
          </w:p>
        </w:tc>
        <w:tc>
          <w:tcPr>
            <w:tcW w:w="561" w:type="pct"/>
            <w:tcMar>
              <w:left w:w="0" w:type="dxa"/>
              <w:right w:w="0" w:type="dxa"/>
            </w:tcMar>
            <w:vAlign w:val="center"/>
          </w:tcPr>
          <w:p w14:paraId="2E0D5F9B">
            <w:pPr>
              <w:adjustRightInd w:val="0"/>
              <w:snapToGrid w:val="0"/>
              <w:spacing w:line="300" w:lineRule="exact"/>
              <w:jc w:val="center"/>
              <w:rPr>
                <w:rFonts w:hint="eastAsia"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0.319</w:t>
            </w:r>
          </w:p>
        </w:tc>
        <w:tc>
          <w:tcPr>
            <w:tcW w:w="631" w:type="pct"/>
            <w:tcBorders>
              <w:bottom w:val="single" w:color="auto" w:sz="4" w:space="0"/>
            </w:tcBorders>
            <w:tcMar>
              <w:left w:w="0" w:type="dxa"/>
              <w:right w:w="0" w:type="dxa"/>
            </w:tcMar>
            <w:vAlign w:val="center"/>
          </w:tcPr>
          <w:p w14:paraId="52197CC6">
            <w:pPr>
              <w:adjustRightInd w:val="0"/>
              <w:snapToGrid w:val="0"/>
              <w:spacing w:line="300" w:lineRule="exact"/>
              <w:jc w:val="center"/>
              <w:rPr>
                <w:rFonts w:hint="eastAsia" w:ascii="宋体" w:hAnsi="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2</w:t>
            </w:r>
          </w:p>
        </w:tc>
        <w:tc>
          <w:tcPr>
            <w:tcW w:w="562" w:type="pct"/>
            <w:tcMar>
              <w:left w:w="0" w:type="dxa"/>
              <w:right w:w="0" w:type="dxa"/>
            </w:tcMar>
            <w:vAlign w:val="center"/>
          </w:tcPr>
          <w:p w14:paraId="36D48C00">
            <w:pPr>
              <w:adjustRightInd w:val="0"/>
              <w:snapToGrid w:val="0"/>
              <w:spacing w:line="300" w:lineRule="exact"/>
              <w:jc w:val="center"/>
              <w:rPr>
                <w:rFonts w:hint="eastAsia"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0.032</w:t>
            </w:r>
          </w:p>
        </w:tc>
        <w:tc>
          <w:tcPr>
            <w:tcW w:w="582" w:type="pct"/>
            <w:tcMar>
              <w:left w:w="0" w:type="dxa"/>
              <w:right w:w="0" w:type="dxa"/>
            </w:tcMar>
            <w:vAlign w:val="center"/>
          </w:tcPr>
          <w:p w14:paraId="130BAE33">
            <w:pPr>
              <w:adjustRightInd w:val="0"/>
              <w:snapToGrid w:val="0"/>
              <w:spacing w:line="300" w:lineRule="exact"/>
              <w:jc w:val="center"/>
              <w:rPr>
                <w:rFonts w:hint="eastAsia"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3.9</w:t>
            </w:r>
          </w:p>
        </w:tc>
        <w:tc>
          <w:tcPr>
            <w:tcW w:w="476" w:type="pct"/>
            <w:tcMar>
              <w:left w:w="0" w:type="dxa"/>
              <w:right w:w="0" w:type="dxa"/>
            </w:tcMar>
            <w:vAlign w:val="center"/>
          </w:tcPr>
          <w:p w14:paraId="422697F8">
            <w:pPr>
              <w:adjustRightInd w:val="0"/>
              <w:snapToGrid w:val="0"/>
              <w:spacing w:line="300" w:lineRule="exact"/>
              <w:jc w:val="center"/>
              <w:rPr>
                <w:rFonts w:hint="eastAsia"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0.062</w:t>
            </w:r>
          </w:p>
        </w:tc>
      </w:tr>
      <w:tr w14:paraId="77987A3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02" w:type="pct"/>
            <w:tcMar>
              <w:left w:w="0" w:type="dxa"/>
              <w:right w:w="0" w:type="dxa"/>
            </w:tcMar>
            <w:vAlign w:val="center"/>
          </w:tcPr>
          <w:p w14:paraId="7F44CC1D">
            <w:pPr>
              <w:adjustRightInd w:val="0"/>
              <w:snapToGrid w:val="0"/>
              <w:spacing w:line="300" w:lineRule="exact"/>
              <w:jc w:val="center"/>
              <w:rPr>
                <w:rFonts w:hint="eastAsia" w:ascii="宋体" w:hAnsi="宋体"/>
                <w:color w:val="000000" w:themeColor="text1"/>
                <w:kern w:val="0"/>
                <w:szCs w:val="21"/>
                <w14:textFill>
                  <w14:solidFill>
                    <w14:schemeClr w14:val="tx1"/>
                  </w14:solidFill>
                </w14:textFill>
              </w:rPr>
            </w:pPr>
            <w:r>
              <w:rPr>
                <w:rFonts w:ascii="宋体" w:hAnsi="宋体"/>
                <w:color w:val="000000" w:themeColor="text1"/>
                <w:kern w:val="0"/>
                <w:szCs w:val="21"/>
                <w14:textFill>
                  <w14:solidFill>
                    <w14:schemeClr w14:val="tx1"/>
                  </w14:solidFill>
                </w14:textFill>
              </w:rPr>
              <w:t>2#</w:t>
            </w:r>
            <w:r>
              <w:rPr>
                <w:rFonts w:hint="eastAsia" w:ascii="宋体" w:hAnsi="宋体"/>
                <w:color w:val="000000" w:themeColor="text1"/>
                <w:kern w:val="0"/>
                <w:szCs w:val="21"/>
                <w14:textFill>
                  <w14:solidFill>
                    <w14:schemeClr w14:val="tx1"/>
                  </w14:solidFill>
                </w14:textFill>
              </w:rPr>
              <w:t>多功能处理器-2（2</w:t>
            </w:r>
            <w:r>
              <w:rPr>
                <w:rFonts w:ascii="宋体" w:hAnsi="宋体"/>
                <w:color w:val="000000" w:themeColor="text1"/>
                <w:kern w:val="0"/>
                <w:szCs w:val="21"/>
                <w14:textFill>
                  <w14:solidFill>
                    <w14:schemeClr w14:val="tx1"/>
                  </w14:solidFill>
                </w14:textFill>
              </w:rPr>
              <w:t>600</w:t>
            </w:r>
            <w:r>
              <w:rPr>
                <w:rFonts w:hint="eastAsia" w:ascii="宋体" w:hAnsi="宋体"/>
                <w:color w:val="000000" w:themeColor="text1"/>
                <w:kern w:val="0"/>
                <w:szCs w:val="21"/>
                <w14:textFill>
                  <w14:solidFill>
                    <w14:schemeClr w14:val="tx1"/>
                  </w14:solidFill>
                </w14:textFill>
              </w:rPr>
              <w:t>k</w:t>
            </w:r>
            <w:r>
              <w:rPr>
                <w:rFonts w:ascii="宋体" w:hAnsi="宋体"/>
                <w:color w:val="000000" w:themeColor="text1"/>
                <w:kern w:val="0"/>
                <w:szCs w:val="21"/>
                <w14:textFill>
                  <w14:solidFill>
                    <w14:schemeClr w14:val="tx1"/>
                  </w14:solidFill>
                </w14:textFill>
              </w:rPr>
              <w:t>W</w:t>
            </w:r>
            <w:r>
              <w:rPr>
                <w:rFonts w:hint="eastAsia" w:ascii="宋体" w:hAnsi="宋体"/>
                <w:color w:val="000000" w:themeColor="text1"/>
                <w:kern w:val="0"/>
                <w:szCs w:val="21"/>
                <w14:textFill>
                  <w14:solidFill>
                    <w14:schemeClr w14:val="tx1"/>
                  </w14:solidFill>
                </w14:textFill>
              </w:rPr>
              <w:t>）</w:t>
            </w:r>
          </w:p>
        </w:tc>
        <w:tc>
          <w:tcPr>
            <w:tcW w:w="644" w:type="pct"/>
            <w:tcMar>
              <w:left w:w="0" w:type="dxa"/>
              <w:right w:w="0" w:type="dxa"/>
            </w:tcMar>
            <w:vAlign w:val="center"/>
          </w:tcPr>
          <w:p w14:paraId="0D577497">
            <w:pPr>
              <w:adjustRightInd w:val="0"/>
              <w:snapToGrid w:val="0"/>
              <w:spacing w:line="300" w:lineRule="exact"/>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1716</w:t>
            </w:r>
          </w:p>
        </w:tc>
        <w:tc>
          <w:tcPr>
            <w:tcW w:w="642" w:type="pct"/>
            <w:tcMar>
              <w:left w:w="0" w:type="dxa"/>
              <w:right w:w="0" w:type="dxa"/>
            </w:tcMar>
            <w:vAlign w:val="center"/>
          </w:tcPr>
          <w:p w14:paraId="6F2088AA">
            <w:pPr>
              <w:adjustRightInd w:val="0"/>
              <w:snapToGrid w:val="0"/>
              <w:spacing w:line="300" w:lineRule="exact"/>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23</w:t>
            </w:r>
          </w:p>
        </w:tc>
        <w:tc>
          <w:tcPr>
            <w:tcW w:w="561" w:type="pct"/>
            <w:tcMar>
              <w:left w:w="0" w:type="dxa"/>
              <w:right w:w="0" w:type="dxa"/>
            </w:tcMar>
            <w:vAlign w:val="center"/>
          </w:tcPr>
          <w:p w14:paraId="4E27CA5B">
            <w:pPr>
              <w:adjustRightInd w:val="0"/>
              <w:snapToGrid w:val="0"/>
              <w:spacing w:line="300" w:lineRule="exact"/>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0.336</w:t>
            </w:r>
          </w:p>
        </w:tc>
        <w:tc>
          <w:tcPr>
            <w:tcW w:w="631" w:type="pct"/>
            <w:tcBorders>
              <w:bottom w:val="single" w:color="auto" w:sz="4" w:space="0"/>
            </w:tcBorders>
            <w:tcMar>
              <w:left w:w="0" w:type="dxa"/>
              <w:right w:w="0" w:type="dxa"/>
            </w:tcMar>
            <w:vAlign w:val="center"/>
          </w:tcPr>
          <w:p w14:paraId="678AF4C6">
            <w:pPr>
              <w:adjustRightInd w:val="0"/>
              <w:snapToGrid w:val="0"/>
              <w:spacing w:line="300" w:lineRule="exact"/>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2</w:t>
            </w:r>
          </w:p>
        </w:tc>
        <w:tc>
          <w:tcPr>
            <w:tcW w:w="562" w:type="pct"/>
            <w:tcMar>
              <w:left w:w="0" w:type="dxa"/>
              <w:right w:w="0" w:type="dxa"/>
            </w:tcMar>
            <w:vAlign w:val="center"/>
          </w:tcPr>
          <w:p w14:paraId="58DD4976">
            <w:pPr>
              <w:adjustRightInd w:val="0"/>
              <w:snapToGrid w:val="0"/>
              <w:spacing w:line="300" w:lineRule="exact"/>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0.029</w:t>
            </w:r>
          </w:p>
        </w:tc>
        <w:tc>
          <w:tcPr>
            <w:tcW w:w="582" w:type="pct"/>
            <w:tcMar>
              <w:left w:w="0" w:type="dxa"/>
              <w:right w:w="0" w:type="dxa"/>
            </w:tcMar>
            <w:vAlign w:val="center"/>
          </w:tcPr>
          <w:p w14:paraId="3C582589">
            <w:pPr>
              <w:adjustRightInd w:val="0"/>
              <w:snapToGrid w:val="0"/>
              <w:spacing w:line="300" w:lineRule="exact"/>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3.3</w:t>
            </w:r>
          </w:p>
        </w:tc>
        <w:tc>
          <w:tcPr>
            <w:tcW w:w="476" w:type="pct"/>
            <w:tcMar>
              <w:left w:w="0" w:type="dxa"/>
              <w:right w:w="0" w:type="dxa"/>
            </w:tcMar>
            <w:vAlign w:val="center"/>
          </w:tcPr>
          <w:p w14:paraId="1CA4C14D">
            <w:pPr>
              <w:adjustRightInd w:val="0"/>
              <w:snapToGrid w:val="0"/>
              <w:spacing w:line="300" w:lineRule="exact"/>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0.048</w:t>
            </w:r>
          </w:p>
        </w:tc>
      </w:tr>
      <w:tr w14:paraId="2C903DB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02" w:type="pct"/>
            <w:tcMar>
              <w:left w:w="0" w:type="dxa"/>
              <w:right w:w="0" w:type="dxa"/>
            </w:tcMar>
            <w:vAlign w:val="center"/>
          </w:tcPr>
          <w:p w14:paraId="2F95889E">
            <w:pPr>
              <w:adjustRightInd w:val="0"/>
              <w:snapToGrid w:val="0"/>
              <w:spacing w:line="300" w:lineRule="exact"/>
              <w:jc w:val="center"/>
              <w:rPr>
                <w:rFonts w:hint="eastAsia"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合计</w:t>
            </w:r>
          </w:p>
        </w:tc>
        <w:tc>
          <w:tcPr>
            <w:tcW w:w="644" w:type="pct"/>
            <w:tcMar>
              <w:left w:w="0" w:type="dxa"/>
              <w:right w:w="0" w:type="dxa"/>
            </w:tcMar>
            <w:vAlign w:val="center"/>
          </w:tcPr>
          <w:p w14:paraId="16A6D9F6">
            <w:pPr>
              <w:adjustRightInd w:val="0"/>
              <w:snapToGrid w:val="0"/>
              <w:spacing w:line="300" w:lineRule="exact"/>
              <w:jc w:val="center"/>
              <w:rPr>
                <w:rFonts w:hint="eastAsia"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w:t>
            </w:r>
          </w:p>
        </w:tc>
        <w:tc>
          <w:tcPr>
            <w:tcW w:w="1204" w:type="pct"/>
            <w:gridSpan w:val="2"/>
            <w:tcMar>
              <w:left w:w="0" w:type="dxa"/>
              <w:right w:w="0" w:type="dxa"/>
            </w:tcMar>
            <w:vAlign w:val="center"/>
          </w:tcPr>
          <w:p w14:paraId="1A046D90">
            <w:pPr>
              <w:adjustRightInd w:val="0"/>
              <w:snapToGrid w:val="0"/>
              <w:spacing w:line="300" w:lineRule="exact"/>
              <w:jc w:val="center"/>
              <w:rPr>
                <w:rFonts w:hint="eastAsia"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2.057</w:t>
            </w:r>
          </w:p>
        </w:tc>
        <w:tc>
          <w:tcPr>
            <w:tcW w:w="1193" w:type="pct"/>
            <w:gridSpan w:val="2"/>
            <w:tcMar>
              <w:left w:w="0" w:type="dxa"/>
              <w:right w:w="0" w:type="dxa"/>
            </w:tcMar>
            <w:vAlign w:val="center"/>
          </w:tcPr>
          <w:p w14:paraId="36EBF3D2">
            <w:pPr>
              <w:adjustRightInd w:val="0"/>
              <w:snapToGrid w:val="0"/>
              <w:spacing w:line="300" w:lineRule="exact"/>
              <w:jc w:val="center"/>
              <w:rPr>
                <w:rFonts w:hint="eastAsia"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0.171</w:t>
            </w:r>
          </w:p>
        </w:tc>
        <w:tc>
          <w:tcPr>
            <w:tcW w:w="1058" w:type="pct"/>
            <w:gridSpan w:val="2"/>
            <w:vAlign w:val="center"/>
          </w:tcPr>
          <w:p w14:paraId="14F59635">
            <w:pPr>
              <w:adjustRightInd w:val="0"/>
              <w:snapToGrid w:val="0"/>
              <w:spacing w:line="300" w:lineRule="exact"/>
              <w:jc w:val="center"/>
              <w:rPr>
                <w:rFonts w:hint="eastAsia"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0.276</w:t>
            </w:r>
          </w:p>
        </w:tc>
      </w:tr>
    </w:tbl>
    <w:p w14:paraId="349C030D">
      <w:pPr>
        <w:spacing w:line="300" w:lineRule="exact"/>
        <w:rPr>
          <w:rFonts w:hint="eastAsia" w:ascii="宋体" w:hAnsi="宋体"/>
          <w:b/>
          <w:bCs/>
          <w:color w:val="000000" w:themeColor="text1"/>
          <w:kern w:val="0"/>
          <w:sz w:val="18"/>
          <w:szCs w:val="18"/>
          <w14:textFill>
            <w14:solidFill>
              <w14:schemeClr w14:val="tx1"/>
            </w14:solidFill>
          </w14:textFill>
        </w:rPr>
      </w:pPr>
      <w:r>
        <w:rPr>
          <w:rFonts w:hint="eastAsia" w:ascii="宋体" w:hAnsi="宋体"/>
          <w:b/>
          <w:bCs/>
          <w:color w:val="000000" w:themeColor="text1"/>
          <w:kern w:val="0"/>
          <w:sz w:val="18"/>
          <w:szCs w:val="18"/>
          <w14:textFill>
            <w14:solidFill>
              <w14:schemeClr w14:val="tx1"/>
            </w14:solidFill>
          </w14:textFill>
        </w:rPr>
        <w:t>备注：氮氧化物、二氧化硫、颗粒物浓度类比验收监测期间热媒炉监测浓度，烟气量按照《排污许可证申请与核发技术规范 锅炉》（H</w:t>
      </w:r>
      <w:r>
        <w:rPr>
          <w:rFonts w:ascii="宋体" w:hAnsi="宋体"/>
          <w:b/>
          <w:bCs/>
          <w:color w:val="000000" w:themeColor="text1"/>
          <w:kern w:val="0"/>
          <w:sz w:val="18"/>
          <w:szCs w:val="18"/>
          <w14:textFill>
            <w14:solidFill>
              <w14:schemeClr w14:val="tx1"/>
            </w14:solidFill>
          </w14:textFill>
        </w:rPr>
        <w:t>J953-2018</w:t>
      </w:r>
      <w:r>
        <w:rPr>
          <w:rFonts w:hint="eastAsia" w:ascii="宋体" w:hAnsi="宋体"/>
          <w:b/>
          <w:bCs/>
          <w:color w:val="000000" w:themeColor="text1"/>
          <w:kern w:val="0"/>
          <w:sz w:val="18"/>
          <w:szCs w:val="18"/>
          <w14:textFill>
            <w14:solidFill>
              <w14:schemeClr w14:val="tx1"/>
            </w14:solidFill>
          </w14:textFill>
        </w:rPr>
        <w:t>）中公式法计算。</w:t>
      </w:r>
    </w:p>
    <w:p w14:paraId="602DC956">
      <w:pPr>
        <w:spacing w:line="500" w:lineRule="exact"/>
        <w:ind w:firstLine="480" w:firstLineChars="200"/>
        <w:rPr>
          <w:rFonts w:hint="eastAsia" w:ascii="宋体" w:hAnsi="宋体"/>
          <w:color w:val="000000" w:themeColor="text1"/>
          <w:kern w:val="0"/>
          <w:sz w:val="24"/>
          <w:szCs w:val="24"/>
          <w14:textFill>
            <w14:solidFill>
              <w14:schemeClr w14:val="tx1"/>
            </w14:solidFill>
          </w14:textFill>
        </w:rPr>
      </w:pPr>
      <w:r>
        <w:rPr>
          <w:rFonts w:hint="eastAsia" w:ascii="宋体" w:hAnsi="宋体"/>
          <w:color w:val="000000" w:themeColor="text1"/>
          <w:kern w:val="0"/>
          <w:sz w:val="24"/>
          <w:szCs w:val="24"/>
          <w14:textFill>
            <w14:solidFill>
              <w14:schemeClr w14:val="tx1"/>
            </w14:solidFill>
          </w14:textFill>
        </w:rPr>
        <w:t>根据卸油台卸液量、卸油罐和卸油缓冲罐参数、站内动静密封点的数量计算出页岩油联合站内非甲烷总烃的排放量为46.593t</w:t>
      </w:r>
      <w:r>
        <w:rPr>
          <w:rFonts w:ascii="宋体" w:hAnsi="宋体"/>
          <w:color w:val="000000" w:themeColor="text1"/>
          <w:kern w:val="0"/>
          <w:sz w:val="24"/>
          <w:szCs w:val="24"/>
          <w14:textFill>
            <w14:solidFill>
              <w14:schemeClr w14:val="tx1"/>
            </w14:solidFill>
          </w14:textFill>
        </w:rPr>
        <w:t>/a</w:t>
      </w:r>
      <w:r>
        <w:rPr>
          <w:rFonts w:hint="eastAsia" w:ascii="宋体" w:hAnsi="宋体"/>
          <w:color w:val="000000" w:themeColor="text1"/>
          <w:kern w:val="0"/>
          <w:sz w:val="24"/>
          <w:szCs w:val="24"/>
          <w14:textFill>
            <w14:solidFill>
              <w14:schemeClr w14:val="tx1"/>
            </w14:solidFill>
          </w14:textFill>
        </w:rPr>
        <w:t>。</w:t>
      </w:r>
    </w:p>
    <w:p w14:paraId="5791CA3F">
      <w:pPr>
        <w:widowControl/>
        <w:adjustRightInd w:val="0"/>
        <w:snapToGrid w:val="0"/>
        <w:spacing w:line="500" w:lineRule="exact"/>
        <w:ind w:firstLine="480" w:firstLineChars="200"/>
        <w:rPr>
          <w:rFonts w:hint="eastAsia"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（3）废水</w:t>
      </w:r>
    </w:p>
    <w:p w14:paraId="0F08C335">
      <w:pPr>
        <w:widowControl/>
        <w:adjustRightInd w:val="0"/>
        <w:snapToGrid w:val="0"/>
        <w:spacing w:line="500" w:lineRule="exact"/>
        <w:ind w:firstLine="480" w:firstLineChars="200"/>
        <w:rPr>
          <w:rFonts w:hint="eastAsia" w:ascii="宋体" w:hAnsi="宋体"/>
          <w:color w:val="000000" w:themeColor="text1"/>
          <w:kern w:val="0"/>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井区（包括本次改造的12口生产井）废水主要为洗井废水、井下作业废液，集中收集后拉运至页岩油联合站外的压裂返排液处理装置处理；页岩油联合站废水主要为采出水和生活污水，采出水管输至页岩油联合站外的压裂返排液处理装置处理，经站内排水管网收集后，排入化粪池，定期清运至吉木萨尔县污水处理厂。压裂返排液处理装置出水水质满足</w:t>
      </w:r>
      <w:bookmarkStart w:id="216" w:name="OLE_LINK19"/>
      <w:r>
        <w:rPr>
          <w:rFonts w:hint="eastAsia" w:ascii="宋体" w:hAnsi="宋体" w:cs="宋体"/>
          <w:color w:val="000000" w:themeColor="text1"/>
          <w:sz w:val="24"/>
          <w:szCs w:val="24"/>
          <w14:textFill>
            <w14:solidFill>
              <w14:schemeClr w14:val="tx1"/>
            </w14:solidFill>
          </w14:textFill>
        </w:rPr>
        <w:t>《压裂酸化返排液处理技术规范》（Q/SY02012-2016）</w:t>
      </w:r>
      <w:bookmarkEnd w:id="216"/>
      <w:r>
        <w:rPr>
          <w:rFonts w:hint="eastAsia" w:ascii="宋体" w:hAnsi="宋体" w:cs="宋体"/>
          <w:color w:val="000000" w:themeColor="text1"/>
          <w:sz w:val="24"/>
          <w:szCs w:val="24"/>
          <w14:textFill>
            <w14:solidFill>
              <w14:schemeClr w14:val="tx1"/>
            </w14:solidFill>
          </w14:textFill>
        </w:rPr>
        <w:t>标准要求后（水质监测数据见表3.1-8），优先用于压裂液复配，目前处理达标后的废水全部用于压裂液复配。</w:t>
      </w:r>
    </w:p>
    <w:p w14:paraId="5E358671">
      <w:pPr>
        <w:spacing w:line="500" w:lineRule="atLeast"/>
        <w:jc w:val="center"/>
        <w:rPr>
          <w:rFonts w:hint="eastAsia" w:ascii="宋体" w:hAnsi="宋体" w:eastAsia="黑体"/>
          <w:color w:val="000000" w:themeColor="text1"/>
          <w:szCs w:val="20"/>
          <w14:textFill>
            <w14:solidFill>
              <w14:schemeClr w14:val="tx1"/>
            </w14:solidFill>
          </w14:textFill>
        </w:rPr>
      </w:pPr>
      <w:bookmarkStart w:id="217" w:name="_Ref160231848"/>
      <w:bookmarkStart w:id="218" w:name="OLE_LINK21"/>
      <w:r>
        <w:rPr>
          <w:rFonts w:ascii="宋体" w:hAnsi="宋体" w:eastAsia="黑体"/>
          <w:color w:val="000000" w:themeColor="text1"/>
          <w:szCs w:val="20"/>
          <w14:textFill>
            <w14:solidFill>
              <w14:schemeClr w14:val="tx1"/>
            </w14:solidFill>
          </w14:textFill>
        </w:rPr>
        <w:t>表</w:t>
      </w:r>
      <w:bookmarkEnd w:id="217"/>
      <w:r>
        <w:rPr>
          <w:rFonts w:hint="eastAsia" w:ascii="宋体" w:hAnsi="宋体" w:eastAsia="黑体"/>
          <w:color w:val="000000" w:themeColor="text1"/>
          <w:szCs w:val="20"/>
          <w14:textFill>
            <w14:solidFill>
              <w14:schemeClr w14:val="tx1"/>
            </w14:solidFill>
          </w14:textFill>
        </w:rPr>
        <w:t>3.1-8  压裂返排液处理装置出水水质监测结果一览表</w:t>
      </w:r>
    </w:p>
    <w:tbl>
      <w:tblPr>
        <w:tblStyle w:val="51"/>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266"/>
        <w:gridCol w:w="2605"/>
        <w:gridCol w:w="1508"/>
        <w:gridCol w:w="1877"/>
        <w:gridCol w:w="1690"/>
      </w:tblGrid>
      <w:tr w14:paraId="6052639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5" w:hRule="atLeast"/>
        </w:trPr>
        <w:tc>
          <w:tcPr>
            <w:tcW w:w="487" w:type="pct"/>
            <w:vAlign w:val="center"/>
          </w:tcPr>
          <w:p w14:paraId="4673941D">
            <w:pPr>
              <w:adjustRightInd w:val="0"/>
              <w:snapToGrid w:val="0"/>
              <w:spacing w:line="300" w:lineRule="exact"/>
              <w:jc w:val="center"/>
              <w:rPr>
                <w:rFonts w:hint="eastAsia"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监测时间</w:t>
            </w:r>
          </w:p>
        </w:tc>
        <w:tc>
          <w:tcPr>
            <w:tcW w:w="1511" w:type="pct"/>
            <w:vAlign w:val="center"/>
          </w:tcPr>
          <w:p w14:paraId="5B05E810">
            <w:pPr>
              <w:adjustRightInd w:val="0"/>
              <w:snapToGrid w:val="0"/>
              <w:spacing w:line="300" w:lineRule="exact"/>
              <w:jc w:val="center"/>
              <w:rPr>
                <w:rFonts w:hint="eastAsia"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污染物名称</w:t>
            </w:r>
          </w:p>
        </w:tc>
        <w:tc>
          <w:tcPr>
            <w:tcW w:w="898" w:type="pct"/>
            <w:vAlign w:val="center"/>
          </w:tcPr>
          <w:p w14:paraId="0CA48B40">
            <w:pPr>
              <w:adjustRightInd w:val="0"/>
              <w:snapToGrid w:val="0"/>
              <w:spacing w:line="300" w:lineRule="exact"/>
              <w:jc w:val="center"/>
              <w:rPr>
                <w:rFonts w:hint="eastAsia"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监测值范围</w:t>
            </w:r>
          </w:p>
        </w:tc>
        <w:tc>
          <w:tcPr>
            <w:tcW w:w="1104" w:type="pct"/>
            <w:vAlign w:val="center"/>
          </w:tcPr>
          <w:p w14:paraId="1F7EDD22">
            <w:pPr>
              <w:adjustRightInd w:val="0"/>
              <w:snapToGrid w:val="0"/>
              <w:spacing w:line="300" w:lineRule="exact"/>
              <w:jc w:val="center"/>
              <w:rPr>
                <w:rFonts w:hint="eastAsia"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标准限值</w:t>
            </w:r>
          </w:p>
        </w:tc>
        <w:tc>
          <w:tcPr>
            <w:tcW w:w="999" w:type="pct"/>
            <w:vAlign w:val="center"/>
          </w:tcPr>
          <w:p w14:paraId="60F634BF">
            <w:pPr>
              <w:adjustRightInd w:val="0"/>
              <w:snapToGrid w:val="0"/>
              <w:spacing w:line="300" w:lineRule="exact"/>
              <w:jc w:val="center"/>
              <w:rPr>
                <w:rFonts w:hint="eastAsia"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达标情况</w:t>
            </w:r>
          </w:p>
        </w:tc>
      </w:tr>
      <w:tr w14:paraId="04A3100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487" w:type="pct"/>
            <w:vMerge w:val="restart"/>
            <w:vAlign w:val="center"/>
          </w:tcPr>
          <w:p w14:paraId="53C3A0C0">
            <w:pPr>
              <w:adjustRightInd w:val="0"/>
              <w:snapToGrid w:val="0"/>
              <w:spacing w:line="300" w:lineRule="exact"/>
              <w:jc w:val="center"/>
              <w:rPr>
                <w:rFonts w:hint="eastAsia" w:ascii="宋体" w:hAnsi="宋体"/>
                <w:color w:val="000000" w:themeColor="text1"/>
                <w:kern w:val="0"/>
                <w:szCs w:val="21"/>
                <w14:textFill>
                  <w14:solidFill>
                    <w14:schemeClr w14:val="tx1"/>
                  </w14:solidFill>
                </w14:textFill>
              </w:rPr>
            </w:pPr>
            <w:bookmarkStart w:id="219" w:name="_Hlk174010748"/>
            <w:r>
              <w:rPr>
                <w:rFonts w:hint="eastAsia" w:ascii="宋体" w:hAnsi="宋体"/>
                <w:color w:val="000000" w:themeColor="text1"/>
                <w:kern w:val="0"/>
                <w:szCs w:val="21"/>
                <w14:textFill>
                  <w14:solidFill>
                    <w14:schemeClr w14:val="tx1"/>
                  </w14:solidFill>
                </w14:textFill>
              </w:rPr>
              <w:t>2024.3.5～3.26</w:t>
            </w:r>
          </w:p>
        </w:tc>
        <w:tc>
          <w:tcPr>
            <w:tcW w:w="1511" w:type="pct"/>
            <w:vAlign w:val="center"/>
          </w:tcPr>
          <w:p w14:paraId="12FABA1F">
            <w:pPr>
              <w:adjustRightInd w:val="0"/>
              <w:snapToGrid w:val="0"/>
              <w:spacing w:line="300" w:lineRule="exact"/>
              <w:jc w:val="center"/>
              <w:rPr>
                <w:rFonts w:hint="eastAsia"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悬浮固体含量（</w:t>
            </w:r>
            <w:r>
              <w:rPr>
                <w:rFonts w:ascii="宋体" w:hAnsi="宋体"/>
                <w:color w:val="000000" w:themeColor="text1"/>
                <w:kern w:val="0"/>
                <w:szCs w:val="21"/>
                <w14:textFill>
                  <w14:solidFill>
                    <w14:schemeClr w14:val="tx1"/>
                  </w14:solidFill>
                </w14:textFill>
              </w:rPr>
              <w:t>mg/L</w:t>
            </w:r>
            <w:r>
              <w:rPr>
                <w:rFonts w:hint="eastAsia" w:ascii="宋体" w:hAnsi="宋体"/>
                <w:color w:val="000000" w:themeColor="text1"/>
                <w:kern w:val="0"/>
                <w:szCs w:val="21"/>
                <w14:textFill>
                  <w14:solidFill>
                    <w14:schemeClr w14:val="tx1"/>
                  </w14:solidFill>
                </w14:textFill>
              </w:rPr>
              <w:t>）</w:t>
            </w:r>
          </w:p>
        </w:tc>
        <w:tc>
          <w:tcPr>
            <w:tcW w:w="898" w:type="pct"/>
            <w:vAlign w:val="center"/>
          </w:tcPr>
          <w:p w14:paraId="37C2FEF8">
            <w:pPr>
              <w:adjustRightInd w:val="0"/>
              <w:snapToGrid w:val="0"/>
              <w:spacing w:line="300" w:lineRule="exact"/>
              <w:jc w:val="center"/>
              <w:rPr>
                <w:rFonts w:hint="eastAsia"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3～6</w:t>
            </w:r>
          </w:p>
        </w:tc>
        <w:tc>
          <w:tcPr>
            <w:tcW w:w="1104" w:type="pct"/>
            <w:vAlign w:val="center"/>
          </w:tcPr>
          <w:p w14:paraId="4EBC436A">
            <w:pPr>
              <w:adjustRightInd w:val="0"/>
              <w:snapToGrid w:val="0"/>
              <w:spacing w:line="300" w:lineRule="exact"/>
              <w:jc w:val="center"/>
              <w:rPr>
                <w:rFonts w:hint="eastAsia" w:ascii="宋体" w:hAnsi="宋体"/>
                <w:color w:val="000000" w:themeColor="text1"/>
                <w:kern w:val="0"/>
                <w:szCs w:val="21"/>
                <w14:textFill>
                  <w14:solidFill>
                    <w14:schemeClr w14:val="tx1"/>
                  </w14:solidFill>
                </w14:textFill>
              </w:rPr>
            </w:pPr>
            <w:bookmarkStart w:id="220" w:name="OLE_LINK203"/>
            <w:r>
              <w:rPr>
                <w:rFonts w:hint="eastAsia" w:ascii="宋体" w:hAnsi="宋体"/>
                <w:color w:val="000000" w:themeColor="text1"/>
                <w:kern w:val="0"/>
                <w:szCs w:val="21"/>
                <w14:textFill>
                  <w14:solidFill>
                    <w14:schemeClr w14:val="tx1"/>
                  </w14:solidFill>
                </w14:textFill>
              </w:rPr>
              <w:t>≤30</w:t>
            </w:r>
            <w:bookmarkEnd w:id="220"/>
          </w:p>
        </w:tc>
        <w:tc>
          <w:tcPr>
            <w:tcW w:w="999" w:type="pct"/>
            <w:vAlign w:val="center"/>
          </w:tcPr>
          <w:p w14:paraId="277312C0">
            <w:pPr>
              <w:adjustRightInd w:val="0"/>
              <w:snapToGrid w:val="0"/>
              <w:spacing w:line="300" w:lineRule="exact"/>
              <w:jc w:val="center"/>
              <w:rPr>
                <w:rFonts w:hint="eastAsia"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达标</w:t>
            </w:r>
          </w:p>
        </w:tc>
      </w:tr>
      <w:tr w14:paraId="2E5BD35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487" w:type="pct"/>
            <w:vMerge w:val="continue"/>
            <w:vAlign w:val="center"/>
          </w:tcPr>
          <w:p w14:paraId="7EAB23A0">
            <w:pPr>
              <w:adjustRightInd w:val="0"/>
              <w:snapToGrid w:val="0"/>
              <w:spacing w:line="300" w:lineRule="exact"/>
              <w:jc w:val="center"/>
              <w:rPr>
                <w:rFonts w:hint="eastAsia" w:ascii="宋体" w:hAnsi="宋体"/>
                <w:color w:val="000000" w:themeColor="text1"/>
                <w:kern w:val="0"/>
                <w:szCs w:val="21"/>
                <w14:textFill>
                  <w14:solidFill>
                    <w14:schemeClr w14:val="tx1"/>
                  </w14:solidFill>
                </w14:textFill>
              </w:rPr>
            </w:pPr>
          </w:p>
        </w:tc>
        <w:tc>
          <w:tcPr>
            <w:tcW w:w="1511" w:type="pct"/>
            <w:vAlign w:val="center"/>
          </w:tcPr>
          <w:p w14:paraId="0682A2B8">
            <w:pPr>
              <w:adjustRightInd w:val="0"/>
              <w:snapToGrid w:val="0"/>
              <w:spacing w:line="300" w:lineRule="exact"/>
              <w:jc w:val="center"/>
              <w:rPr>
                <w:rFonts w:hint="eastAsia"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含油量（</w:t>
            </w:r>
            <w:r>
              <w:rPr>
                <w:rFonts w:ascii="宋体" w:hAnsi="宋体"/>
                <w:color w:val="000000" w:themeColor="text1"/>
                <w:kern w:val="0"/>
                <w:szCs w:val="21"/>
                <w14:textFill>
                  <w14:solidFill>
                    <w14:schemeClr w14:val="tx1"/>
                  </w14:solidFill>
                </w14:textFill>
              </w:rPr>
              <w:t>mg/L</w:t>
            </w:r>
            <w:r>
              <w:rPr>
                <w:rFonts w:hint="eastAsia" w:ascii="宋体" w:hAnsi="宋体"/>
                <w:color w:val="000000" w:themeColor="text1"/>
                <w:kern w:val="0"/>
                <w:szCs w:val="21"/>
                <w14:textFill>
                  <w14:solidFill>
                    <w14:schemeClr w14:val="tx1"/>
                  </w14:solidFill>
                </w14:textFill>
              </w:rPr>
              <w:t>）</w:t>
            </w:r>
          </w:p>
        </w:tc>
        <w:tc>
          <w:tcPr>
            <w:tcW w:w="898" w:type="pct"/>
            <w:vAlign w:val="center"/>
          </w:tcPr>
          <w:p w14:paraId="5CA92E68">
            <w:pPr>
              <w:adjustRightInd w:val="0"/>
              <w:snapToGrid w:val="0"/>
              <w:spacing w:line="300" w:lineRule="exact"/>
              <w:jc w:val="center"/>
              <w:rPr>
                <w:rFonts w:hint="eastAsia"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1.19～1.93</w:t>
            </w:r>
          </w:p>
        </w:tc>
        <w:tc>
          <w:tcPr>
            <w:tcW w:w="1104" w:type="pct"/>
            <w:vAlign w:val="center"/>
          </w:tcPr>
          <w:p w14:paraId="61662325">
            <w:pPr>
              <w:adjustRightInd w:val="0"/>
              <w:snapToGrid w:val="0"/>
              <w:spacing w:line="300" w:lineRule="exact"/>
              <w:jc w:val="center"/>
              <w:rPr>
                <w:rFonts w:hint="eastAsia"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＜50</w:t>
            </w:r>
          </w:p>
        </w:tc>
        <w:tc>
          <w:tcPr>
            <w:tcW w:w="999" w:type="pct"/>
            <w:vAlign w:val="center"/>
          </w:tcPr>
          <w:p w14:paraId="265F3AB4">
            <w:pPr>
              <w:adjustRightInd w:val="0"/>
              <w:snapToGrid w:val="0"/>
              <w:spacing w:line="300" w:lineRule="exact"/>
              <w:jc w:val="center"/>
              <w:rPr>
                <w:rFonts w:hint="eastAsia"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达标</w:t>
            </w:r>
          </w:p>
        </w:tc>
      </w:tr>
      <w:bookmarkEnd w:id="219"/>
      <w:tr w14:paraId="1053F61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487" w:type="pct"/>
            <w:vMerge w:val="restart"/>
            <w:vAlign w:val="center"/>
          </w:tcPr>
          <w:p w14:paraId="13C6D904">
            <w:pPr>
              <w:adjustRightInd w:val="0"/>
              <w:snapToGrid w:val="0"/>
              <w:spacing w:line="300" w:lineRule="exact"/>
              <w:jc w:val="center"/>
              <w:rPr>
                <w:rFonts w:hint="eastAsia"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2024.1.2～1.30</w:t>
            </w:r>
          </w:p>
        </w:tc>
        <w:tc>
          <w:tcPr>
            <w:tcW w:w="1511" w:type="pct"/>
            <w:vAlign w:val="center"/>
          </w:tcPr>
          <w:p w14:paraId="4E803B54">
            <w:pPr>
              <w:adjustRightInd w:val="0"/>
              <w:snapToGrid w:val="0"/>
              <w:spacing w:line="300" w:lineRule="exact"/>
              <w:jc w:val="center"/>
              <w:rPr>
                <w:rFonts w:hint="eastAsia"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含油量（</w:t>
            </w:r>
            <w:r>
              <w:rPr>
                <w:rFonts w:ascii="宋体" w:hAnsi="宋体"/>
                <w:color w:val="000000" w:themeColor="text1"/>
                <w:kern w:val="0"/>
                <w:szCs w:val="21"/>
                <w14:textFill>
                  <w14:solidFill>
                    <w14:schemeClr w14:val="tx1"/>
                  </w14:solidFill>
                </w14:textFill>
              </w:rPr>
              <w:t>mg/L</w:t>
            </w:r>
            <w:r>
              <w:rPr>
                <w:rFonts w:hint="eastAsia" w:ascii="宋体" w:hAnsi="宋体"/>
                <w:color w:val="000000" w:themeColor="text1"/>
                <w:kern w:val="0"/>
                <w:szCs w:val="21"/>
                <w14:textFill>
                  <w14:solidFill>
                    <w14:schemeClr w14:val="tx1"/>
                  </w14:solidFill>
                </w14:textFill>
              </w:rPr>
              <w:t>）</w:t>
            </w:r>
          </w:p>
        </w:tc>
        <w:tc>
          <w:tcPr>
            <w:tcW w:w="898" w:type="pct"/>
            <w:vAlign w:val="center"/>
          </w:tcPr>
          <w:p w14:paraId="2870ED4B">
            <w:pPr>
              <w:adjustRightInd w:val="0"/>
              <w:snapToGrid w:val="0"/>
              <w:spacing w:line="300" w:lineRule="exact"/>
              <w:jc w:val="center"/>
              <w:rPr>
                <w:rFonts w:hint="eastAsia" w:ascii="宋体" w:hAnsi="宋体"/>
                <w:color w:val="000000" w:themeColor="text1"/>
                <w:kern w:val="0"/>
                <w:szCs w:val="21"/>
                <w14:textFill>
                  <w14:solidFill>
                    <w14:schemeClr w14:val="tx1"/>
                  </w14:solidFill>
                </w14:textFill>
              </w:rPr>
            </w:pPr>
            <w:r>
              <w:rPr>
                <w:rFonts w:ascii="宋体" w:hAnsi="宋体"/>
                <w:color w:val="000000" w:themeColor="text1"/>
                <w:kern w:val="0"/>
                <w:szCs w:val="21"/>
                <w14:textFill>
                  <w14:solidFill>
                    <w14:schemeClr w14:val="tx1"/>
                  </w14:solidFill>
                </w14:textFill>
              </w:rPr>
              <w:t>0.</w:t>
            </w:r>
            <w:r>
              <w:rPr>
                <w:rFonts w:hint="eastAsia" w:ascii="宋体" w:hAnsi="宋体"/>
                <w:color w:val="000000" w:themeColor="text1"/>
                <w:kern w:val="0"/>
                <w:szCs w:val="21"/>
                <w14:textFill>
                  <w14:solidFill>
                    <w14:schemeClr w14:val="tx1"/>
                  </w14:solidFill>
                </w14:textFill>
              </w:rPr>
              <w:t>68～1.59</w:t>
            </w:r>
          </w:p>
        </w:tc>
        <w:tc>
          <w:tcPr>
            <w:tcW w:w="1104" w:type="pct"/>
            <w:vAlign w:val="center"/>
          </w:tcPr>
          <w:p w14:paraId="0F4C1FAE">
            <w:pPr>
              <w:adjustRightInd w:val="0"/>
              <w:snapToGrid w:val="0"/>
              <w:spacing w:line="300" w:lineRule="exact"/>
              <w:jc w:val="center"/>
              <w:rPr>
                <w:rFonts w:hint="eastAsia"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＜50</w:t>
            </w:r>
          </w:p>
        </w:tc>
        <w:tc>
          <w:tcPr>
            <w:tcW w:w="999" w:type="pct"/>
            <w:vAlign w:val="center"/>
          </w:tcPr>
          <w:p w14:paraId="766809FC">
            <w:pPr>
              <w:adjustRightInd w:val="0"/>
              <w:snapToGrid w:val="0"/>
              <w:spacing w:line="300" w:lineRule="exact"/>
              <w:jc w:val="center"/>
              <w:rPr>
                <w:rFonts w:hint="eastAsia"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达标</w:t>
            </w:r>
          </w:p>
        </w:tc>
      </w:tr>
      <w:tr w14:paraId="5690CA7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487" w:type="pct"/>
            <w:vMerge w:val="continue"/>
            <w:vAlign w:val="center"/>
          </w:tcPr>
          <w:p w14:paraId="0014BFC7">
            <w:pPr>
              <w:adjustRightInd w:val="0"/>
              <w:snapToGrid w:val="0"/>
              <w:spacing w:line="300" w:lineRule="exact"/>
              <w:jc w:val="center"/>
              <w:rPr>
                <w:rFonts w:hint="eastAsia" w:ascii="宋体" w:hAnsi="宋体"/>
                <w:color w:val="000000" w:themeColor="text1"/>
                <w:kern w:val="0"/>
                <w:szCs w:val="21"/>
                <w14:textFill>
                  <w14:solidFill>
                    <w14:schemeClr w14:val="tx1"/>
                  </w14:solidFill>
                </w14:textFill>
              </w:rPr>
            </w:pPr>
          </w:p>
        </w:tc>
        <w:tc>
          <w:tcPr>
            <w:tcW w:w="1511" w:type="pct"/>
            <w:vAlign w:val="center"/>
          </w:tcPr>
          <w:p w14:paraId="370DEC97">
            <w:pPr>
              <w:adjustRightInd w:val="0"/>
              <w:snapToGrid w:val="0"/>
              <w:spacing w:line="300" w:lineRule="exact"/>
              <w:jc w:val="center"/>
              <w:rPr>
                <w:rFonts w:hint="eastAsia"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悬浮固体含量（</w:t>
            </w:r>
            <w:r>
              <w:rPr>
                <w:rFonts w:ascii="宋体" w:hAnsi="宋体"/>
                <w:color w:val="000000" w:themeColor="text1"/>
                <w:kern w:val="0"/>
                <w:szCs w:val="21"/>
                <w14:textFill>
                  <w14:solidFill>
                    <w14:schemeClr w14:val="tx1"/>
                  </w14:solidFill>
                </w14:textFill>
              </w:rPr>
              <w:t>mg/L</w:t>
            </w:r>
            <w:r>
              <w:rPr>
                <w:rFonts w:hint="eastAsia" w:ascii="宋体" w:hAnsi="宋体"/>
                <w:color w:val="000000" w:themeColor="text1"/>
                <w:kern w:val="0"/>
                <w:szCs w:val="21"/>
                <w14:textFill>
                  <w14:solidFill>
                    <w14:schemeClr w14:val="tx1"/>
                  </w14:solidFill>
                </w14:textFill>
              </w:rPr>
              <w:t>）</w:t>
            </w:r>
          </w:p>
        </w:tc>
        <w:tc>
          <w:tcPr>
            <w:tcW w:w="898" w:type="pct"/>
            <w:vAlign w:val="center"/>
          </w:tcPr>
          <w:p w14:paraId="2C3A38A5">
            <w:pPr>
              <w:adjustRightInd w:val="0"/>
              <w:snapToGrid w:val="0"/>
              <w:spacing w:line="300" w:lineRule="exact"/>
              <w:jc w:val="center"/>
              <w:rPr>
                <w:rFonts w:hint="eastAsia"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1～3.5</w:t>
            </w:r>
          </w:p>
        </w:tc>
        <w:tc>
          <w:tcPr>
            <w:tcW w:w="1104" w:type="pct"/>
            <w:vAlign w:val="center"/>
          </w:tcPr>
          <w:p w14:paraId="509BE69C">
            <w:pPr>
              <w:adjustRightInd w:val="0"/>
              <w:snapToGrid w:val="0"/>
              <w:spacing w:line="300" w:lineRule="exact"/>
              <w:jc w:val="center"/>
              <w:rPr>
                <w:rFonts w:hint="eastAsia"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≤30</w:t>
            </w:r>
          </w:p>
        </w:tc>
        <w:tc>
          <w:tcPr>
            <w:tcW w:w="999" w:type="pct"/>
            <w:vAlign w:val="center"/>
          </w:tcPr>
          <w:p w14:paraId="07EAD241">
            <w:pPr>
              <w:adjustRightInd w:val="0"/>
              <w:snapToGrid w:val="0"/>
              <w:spacing w:line="300" w:lineRule="exact"/>
              <w:jc w:val="center"/>
              <w:rPr>
                <w:rFonts w:hint="eastAsia"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达标</w:t>
            </w:r>
          </w:p>
        </w:tc>
      </w:tr>
      <w:bookmarkEnd w:id="215"/>
      <w:bookmarkEnd w:id="218"/>
    </w:tbl>
    <w:p w14:paraId="0BB37885">
      <w:pPr>
        <w:widowControl/>
        <w:adjustRightInd w:val="0"/>
        <w:snapToGrid w:val="0"/>
        <w:spacing w:line="500" w:lineRule="exact"/>
        <w:ind w:firstLine="480" w:firstLineChars="200"/>
        <w:rPr>
          <w:rFonts w:hint="eastAsia"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（4）噪声</w:t>
      </w:r>
    </w:p>
    <w:p w14:paraId="7F233884">
      <w:pPr>
        <w:widowControl/>
        <w:adjustRightInd w:val="0"/>
        <w:snapToGrid w:val="0"/>
        <w:spacing w:line="500" w:lineRule="exact"/>
        <w:ind w:firstLine="480" w:firstLineChars="200"/>
        <w:rPr>
          <w:rFonts w:hint="eastAsia"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井区（包括本次改造的12口生产井）噪声源主要为各类机泵和巡检车辆；页岩油联合站内噪声源主要为机泵、风机、空压机、压缩机等。通过采用低噪声设备、基础减振、定期对各设备检维修、保养，将机泵布置在室内等措施进行防治。页岩油联合站内现状噪声源强详见下表。</w:t>
      </w:r>
    </w:p>
    <w:p w14:paraId="053C149F">
      <w:pPr>
        <w:spacing w:line="500" w:lineRule="atLeast"/>
        <w:jc w:val="center"/>
        <w:rPr>
          <w:rFonts w:hint="eastAsia" w:ascii="宋体" w:hAnsi="宋体" w:eastAsia="黑体"/>
          <w:color w:val="000000" w:themeColor="text1"/>
          <w:szCs w:val="20"/>
          <w14:textFill>
            <w14:solidFill>
              <w14:schemeClr w14:val="tx1"/>
            </w14:solidFill>
          </w14:textFill>
        </w:rPr>
      </w:pPr>
      <w:r>
        <w:rPr>
          <w:rFonts w:ascii="宋体" w:hAnsi="宋体" w:eastAsia="黑体"/>
          <w:color w:val="000000" w:themeColor="text1"/>
          <w:szCs w:val="20"/>
          <w14:textFill>
            <w14:solidFill>
              <w14:schemeClr w14:val="tx1"/>
            </w14:solidFill>
          </w14:textFill>
        </w:rPr>
        <w:t>表</w:t>
      </w:r>
      <w:r>
        <w:rPr>
          <w:rFonts w:hint="eastAsia" w:ascii="宋体" w:hAnsi="宋体" w:eastAsia="黑体"/>
          <w:color w:val="000000" w:themeColor="text1"/>
          <w:szCs w:val="20"/>
          <w14:textFill>
            <w14:solidFill>
              <w14:schemeClr w14:val="tx1"/>
            </w14:solidFill>
          </w14:textFill>
        </w:rPr>
        <w:t>3.1-9  页岩油联合站现有噪声源基本情况</w:t>
      </w:r>
    </w:p>
    <w:tbl>
      <w:tblPr>
        <w:tblStyle w:val="51"/>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660"/>
        <w:gridCol w:w="1700"/>
        <w:gridCol w:w="2328"/>
        <w:gridCol w:w="2258"/>
      </w:tblGrid>
      <w:tr w14:paraId="59EFB1D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87" w:type="pct"/>
            <w:vAlign w:val="center"/>
          </w:tcPr>
          <w:p w14:paraId="6CEFC431">
            <w:pPr>
              <w:adjustRightInd w:val="0"/>
              <w:snapToGrid w:val="0"/>
              <w:spacing w:line="30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名称</w:t>
            </w:r>
          </w:p>
        </w:tc>
        <w:tc>
          <w:tcPr>
            <w:tcW w:w="950" w:type="pct"/>
            <w:vAlign w:val="center"/>
          </w:tcPr>
          <w:p w14:paraId="454680FD">
            <w:pPr>
              <w:adjustRightInd w:val="0"/>
              <w:snapToGrid w:val="0"/>
              <w:spacing w:line="30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数量（台）</w:t>
            </w:r>
          </w:p>
        </w:tc>
        <w:tc>
          <w:tcPr>
            <w:tcW w:w="1301" w:type="pct"/>
            <w:vAlign w:val="center"/>
          </w:tcPr>
          <w:p w14:paraId="3CCF470C">
            <w:pPr>
              <w:adjustRightInd w:val="0"/>
              <w:snapToGrid w:val="0"/>
              <w:spacing w:line="30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类型</w:t>
            </w:r>
          </w:p>
        </w:tc>
        <w:tc>
          <w:tcPr>
            <w:tcW w:w="1262" w:type="pct"/>
            <w:vAlign w:val="center"/>
          </w:tcPr>
          <w:p w14:paraId="76E568BA">
            <w:pPr>
              <w:adjustRightInd w:val="0"/>
              <w:snapToGrid w:val="0"/>
              <w:spacing w:line="30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源强[</w:t>
            </w:r>
            <w:r>
              <w:rPr>
                <w:rFonts w:ascii="宋体" w:hAnsi="宋体" w:cs="宋体"/>
                <w:color w:val="000000" w:themeColor="text1"/>
                <w:szCs w:val="21"/>
                <w14:textFill>
                  <w14:solidFill>
                    <w14:schemeClr w14:val="tx1"/>
                  </w14:solidFill>
                </w14:textFill>
              </w:rPr>
              <w:t>dB</w:t>
            </w:r>
            <w:r>
              <w:rPr>
                <w:rFonts w:hint="eastAsia" w:ascii="宋体" w:hAnsi="宋体" w:cs="宋体"/>
                <w:color w:val="000000" w:themeColor="text1"/>
                <w:szCs w:val="21"/>
                <w14:textFill>
                  <w14:solidFill>
                    <w14:schemeClr w14:val="tx1"/>
                  </w14:solidFill>
                </w14:textFill>
              </w:rPr>
              <w:t>（A）</w:t>
            </w:r>
            <w:r>
              <w:rPr>
                <w:rFonts w:ascii="宋体" w:hAnsi="宋体" w:cs="宋体"/>
                <w:color w:val="000000" w:themeColor="text1"/>
                <w:szCs w:val="21"/>
                <w14:textFill>
                  <w14:solidFill>
                    <w14:schemeClr w14:val="tx1"/>
                  </w14:solidFill>
                </w14:textFill>
              </w:rPr>
              <w:t>]</w:t>
            </w:r>
          </w:p>
        </w:tc>
      </w:tr>
      <w:tr w14:paraId="5A2B8C2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87" w:type="pct"/>
            <w:vAlign w:val="center"/>
          </w:tcPr>
          <w:p w14:paraId="5B855758">
            <w:pPr>
              <w:adjustRightInd w:val="0"/>
              <w:snapToGrid w:val="0"/>
              <w:spacing w:line="30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各类机泵</w:t>
            </w:r>
          </w:p>
        </w:tc>
        <w:tc>
          <w:tcPr>
            <w:tcW w:w="950" w:type="pct"/>
            <w:vAlign w:val="center"/>
          </w:tcPr>
          <w:p w14:paraId="2574C28E">
            <w:pPr>
              <w:adjustRightInd w:val="0"/>
              <w:snapToGrid w:val="0"/>
              <w:spacing w:line="30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8</w:t>
            </w:r>
          </w:p>
        </w:tc>
        <w:tc>
          <w:tcPr>
            <w:tcW w:w="1301" w:type="pct"/>
            <w:vAlign w:val="center"/>
          </w:tcPr>
          <w:p w14:paraId="0B589788">
            <w:pPr>
              <w:adjustRightInd w:val="0"/>
              <w:snapToGrid w:val="0"/>
              <w:spacing w:line="30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点声源</w:t>
            </w:r>
          </w:p>
        </w:tc>
        <w:tc>
          <w:tcPr>
            <w:tcW w:w="1262" w:type="pct"/>
            <w:vAlign w:val="center"/>
          </w:tcPr>
          <w:p w14:paraId="60B9FCFE">
            <w:pPr>
              <w:adjustRightInd w:val="0"/>
              <w:snapToGrid w:val="0"/>
              <w:spacing w:line="30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80～85</w:t>
            </w:r>
          </w:p>
        </w:tc>
      </w:tr>
      <w:tr w14:paraId="0C7C705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87" w:type="pct"/>
            <w:vAlign w:val="center"/>
          </w:tcPr>
          <w:p w14:paraId="53AC222F">
            <w:pPr>
              <w:adjustRightInd w:val="0"/>
              <w:snapToGrid w:val="0"/>
              <w:spacing w:line="30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阀门及调压设备等</w:t>
            </w:r>
          </w:p>
        </w:tc>
        <w:tc>
          <w:tcPr>
            <w:tcW w:w="950" w:type="pct"/>
            <w:vAlign w:val="center"/>
          </w:tcPr>
          <w:p w14:paraId="0DA84E80">
            <w:pPr>
              <w:adjustRightInd w:val="0"/>
              <w:snapToGrid w:val="0"/>
              <w:spacing w:line="30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6</w:t>
            </w:r>
          </w:p>
        </w:tc>
        <w:tc>
          <w:tcPr>
            <w:tcW w:w="1301" w:type="pct"/>
            <w:vAlign w:val="center"/>
          </w:tcPr>
          <w:p w14:paraId="0CD84DC9">
            <w:pPr>
              <w:adjustRightInd w:val="0"/>
              <w:snapToGrid w:val="0"/>
              <w:spacing w:line="30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点声源</w:t>
            </w:r>
          </w:p>
        </w:tc>
        <w:tc>
          <w:tcPr>
            <w:tcW w:w="1262" w:type="pct"/>
            <w:vAlign w:val="center"/>
          </w:tcPr>
          <w:p w14:paraId="612CBDDB">
            <w:pPr>
              <w:adjustRightInd w:val="0"/>
              <w:snapToGrid w:val="0"/>
              <w:spacing w:line="30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70～85</w:t>
            </w:r>
          </w:p>
        </w:tc>
      </w:tr>
      <w:tr w14:paraId="7AC47B8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87" w:type="pct"/>
            <w:vAlign w:val="center"/>
          </w:tcPr>
          <w:p w14:paraId="1CEECE7E">
            <w:pPr>
              <w:adjustRightInd w:val="0"/>
              <w:snapToGrid w:val="0"/>
              <w:spacing w:line="30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加热炉</w:t>
            </w:r>
          </w:p>
        </w:tc>
        <w:tc>
          <w:tcPr>
            <w:tcW w:w="950" w:type="pct"/>
            <w:vAlign w:val="center"/>
          </w:tcPr>
          <w:p w14:paraId="1074682E">
            <w:pPr>
              <w:adjustRightInd w:val="0"/>
              <w:snapToGrid w:val="0"/>
              <w:spacing w:line="30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5</w:t>
            </w:r>
          </w:p>
        </w:tc>
        <w:tc>
          <w:tcPr>
            <w:tcW w:w="1301" w:type="pct"/>
            <w:vAlign w:val="center"/>
          </w:tcPr>
          <w:p w14:paraId="5CCD6D39">
            <w:pPr>
              <w:adjustRightInd w:val="0"/>
              <w:snapToGrid w:val="0"/>
              <w:spacing w:line="30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点声源</w:t>
            </w:r>
          </w:p>
        </w:tc>
        <w:tc>
          <w:tcPr>
            <w:tcW w:w="1262" w:type="pct"/>
            <w:vAlign w:val="center"/>
          </w:tcPr>
          <w:p w14:paraId="4FE40C9B">
            <w:pPr>
              <w:adjustRightInd w:val="0"/>
              <w:snapToGrid w:val="0"/>
              <w:spacing w:line="30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70～85</w:t>
            </w:r>
          </w:p>
        </w:tc>
      </w:tr>
      <w:tr w14:paraId="2AB80A5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87" w:type="pct"/>
            <w:vAlign w:val="center"/>
          </w:tcPr>
          <w:p w14:paraId="5EC41FD1">
            <w:pPr>
              <w:adjustRightInd w:val="0"/>
              <w:snapToGrid w:val="0"/>
              <w:spacing w:line="30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压缩机</w:t>
            </w:r>
          </w:p>
        </w:tc>
        <w:tc>
          <w:tcPr>
            <w:tcW w:w="950" w:type="pct"/>
            <w:vAlign w:val="center"/>
          </w:tcPr>
          <w:p w14:paraId="2505883E">
            <w:pPr>
              <w:adjustRightInd w:val="0"/>
              <w:snapToGrid w:val="0"/>
              <w:spacing w:line="30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2</w:t>
            </w:r>
          </w:p>
        </w:tc>
        <w:tc>
          <w:tcPr>
            <w:tcW w:w="1301" w:type="pct"/>
            <w:vAlign w:val="center"/>
          </w:tcPr>
          <w:p w14:paraId="60487AE7">
            <w:pPr>
              <w:adjustRightInd w:val="0"/>
              <w:snapToGrid w:val="0"/>
              <w:spacing w:line="30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点声源</w:t>
            </w:r>
          </w:p>
        </w:tc>
        <w:tc>
          <w:tcPr>
            <w:tcW w:w="1262" w:type="pct"/>
            <w:vAlign w:val="center"/>
          </w:tcPr>
          <w:p w14:paraId="579FDB97">
            <w:pPr>
              <w:adjustRightInd w:val="0"/>
              <w:snapToGrid w:val="0"/>
              <w:spacing w:line="30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80～85</w:t>
            </w:r>
          </w:p>
        </w:tc>
      </w:tr>
      <w:tr w14:paraId="41FCD4B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87" w:type="pct"/>
            <w:vAlign w:val="center"/>
          </w:tcPr>
          <w:p w14:paraId="7172A22B">
            <w:pPr>
              <w:adjustRightInd w:val="0"/>
              <w:snapToGrid w:val="0"/>
              <w:spacing w:line="30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分离器、阀门、调压装置</w:t>
            </w:r>
          </w:p>
        </w:tc>
        <w:tc>
          <w:tcPr>
            <w:tcW w:w="950" w:type="pct"/>
            <w:vAlign w:val="center"/>
          </w:tcPr>
          <w:p w14:paraId="55C44CA6">
            <w:pPr>
              <w:adjustRightInd w:val="0"/>
              <w:snapToGrid w:val="0"/>
              <w:spacing w:line="30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7</w:t>
            </w:r>
          </w:p>
        </w:tc>
        <w:tc>
          <w:tcPr>
            <w:tcW w:w="1301" w:type="pct"/>
            <w:vAlign w:val="center"/>
          </w:tcPr>
          <w:p w14:paraId="66BD4E0D">
            <w:pPr>
              <w:adjustRightInd w:val="0"/>
              <w:snapToGrid w:val="0"/>
              <w:spacing w:line="30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点声源</w:t>
            </w:r>
          </w:p>
        </w:tc>
        <w:tc>
          <w:tcPr>
            <w:tcW w:w="1262" w:type="pct"/>
            <w:vAlign w:val="center"/>
          </w:tcPr>
          <w:p w14:paraId="07682916">
            <w:pPr>
              <w:adjustRightInd w:val="0"/>
              <w:snapToGrid w:val="0"/>
              <w:spacing w:line="30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70～85</w:t>
            </w:r>
          </w:p>
        </w:tc>
      </w:tr>
      <w:tr w14:paraId="09F0B5D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87" w:type="pct"/>
            <w:vAlign w:val="center"/>
          </w:tcPr>
          <w:p w14:paraId="1B79FC6D">
            <w:pPr>
              <w:adjustRightInd w:val="0"/>
              <w:snapToGrid w:val="0"/>
              <w:spacing w:line="30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系统超压、火炬放空</w:t>
            </w:r>
          </w:p>
        </w:tc>
        <w:tc>
          <w:tcPr>
            <w:tcW w:w="950" w:type="pct"/>
            <w:vAlign w:val="center"/>
          </w:tcPr>
          <w:p w14:paraId="31D5AA0E">
            <w:pPr>
              <w:adjustRightInd w:val="0"/>
              <w:snapToGrid w:val="0"/>
              <w:spacing w:line="30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2</w:t>
            </w:r>
          </w:p>
        </w:tc>
        <w:tc>
          <w:tcPr>
            <w:tcW w:w="1301" w:type="pct"/>
            <w:vAlign w:val="center"/>
          </w:tcPr>
          <w:p w14:paraId="6CE9A75C">
            <w:pPr>
              <w:adjustRightInd w:val="0"/>
              <w:snapToGrid w:val="0"/>
              <w:spacing w:line="30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点声源</w:t>
            </w:r>
          </w:p>
        </w:tc>
        <w:tc>
          <w:tcPr>
            <w:tcW w:w="1262" w:type="pct"/>
            <w:vAlign w:val="center"/>
          </w:tcPr>
          <w:p w14:paraId="5AC6712D">
            <w:pPr>
              <w:adjustRightInd w:val="0"/>
              <w:snapToGrid w:val="0"/>
              <w:spacing w:line="30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110～120</w:t>
            </w:r>
          </w:p>
        </w:tc>
      </w:tr>
    </w:tbl>
    <w:p w14:paraId="727C1765">
      <w:pPr>
        <w:spacing w:line="500" w:lineRule="exact"/>
        <w:ind w:firstLine="480" w:firstLineChars="200"/>
        <w:rPr>
          <w:rFonts w:hint="eastAsia" w:ascii="宋体" w:hAnsi="宋体"/>
          <w:color w:val="000000" w:themeColor="text1"/>
          <w:kern w:val="0"/>
          <w:sz w:val="24"/>
          <w:szCs w:val="24"/>
          <w14:textFill>
            <w14:solidFill>
              <w14:schemeClr w14:val="tx1"/>
            </w14:solidFill>
          </w14:textFill>
        </w:rPr>
      </w:pPr>
      <w:r>
        <w:rPr>
          <w:rFonts w:hint="eastAsia" w:ascii="宋体" w:hAnsi="宋体"/>
          <w:color w:val="000000" w:themeColor="text1"/>
          <w:kern w:val="0"/>
          <w:sz w:val="24"/>
          <w:szCs w:val="24"/>
          <w14:textFill>
            <w14:solidFill>
              <w14:schemeClr w14:val="tx1"/>
            </w14:solidFill>
          </w14:textFill>
        </w:rPr>
        <w:t>根据2025年吉庆油田作业区例行监测数据可知，采油井场和页岩油联合站及采油井场厂界昼夜噪声值均满足《工业企业厂界环境噪声排放标准》（GB12348-2008）中2类限值要求，监测数据详见下表。</w:t>
      </w:r>
    </w:p>
    <w:p w14:paraId="1D9A834A">
      <w:pPr>
        <w:pStyle w:val="109"/>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表3</w:t>
      </w:r>
      <w:r>
        <w:rPr>
          <w:color w:val="000000" w:themeColor="text1"/>
          <w14:textFill>
            <w14:solidFill>
              <w14:schemeClr w14:val="tx1"/>
            </w14:solidFill>
          </w14:textFill>
        </w:rPr>
        <w:t>.1</w:t>
      </w:r>
      <w:r>
        <w:rPr>
          <w:rFonts w:hint="eastAsia"/>
          <w:color w:val="000000" w:themeColor="text1"/>
          <w14:textFill>
            <w14:solidFill>
              <w14:schemeClr w14:val="tx1"/>
            </w14:solidFill>
          </w14:textFill>
        </w:rPr>
        <w:t>-10</w:t>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厂界昼夜噪声监测结果一览表</w:t>
      </w:r>
    </w:p>
    <w:tbl>
      <w:tblPr>
        <w:tblStyle w:val="51"/>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819"/>
        <w:gridCol w:w="1297"/>
        <w:gridCol w:w="1252"/>
        <w:gridCol w:w="819"/>
        <w:gridCol w:w="818"/>
        <w:gridCol w:w="1108"/>
        <w:gridCol w:w="963"/>
        <w:gridCol w:w="819"/>
        <w:gridCol w:w="1051"/>
      </w:tblGrid>
      <w:tr w14:paraId="6068B1B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tblHeader/>
          <w:jc w:val="center"/>
        </w:trPr>
        <w:tc>
          <w:tcPr>
            <w:tcW w:w="458" w:type="pct"/>
            <w:vMerge w:val="restart"/>
            <w:vAlign w:val="center"/>
          </w:tcPr>
          <w:p w14:paraId="4BAB82A0">
            <w:pPr>
              <w:pStyle w:val="278"/>
              <w:adjustRightInd w:val="0"/>
              <w:snapToGrid w:val="0"/>
              <w:spacing w:line="300" w:lineRule="exact"/>
              <w:rPr>
                <w:rFonts w:hint="eastAsia"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站场名称</w:t>
            </w:r>
          </w:p>
        </w:tc>
        <w:tc>
          <w:tcPr>
            <w:tcW w:w="725" w:type="pct"/>
            <w:vMerge w:val="restart"/>
            <w:vAlign w:val="center"/>
          </w:tcPr>
          <w:p w14:paraId="0DBF1EAD">
            <w:pPr>
              <w:pStyle w:val="278"/>
              <w:adjustRightInd w:val="0"/>
              <w:snapToGrid w:val="0"/>
              <w:spacing w:line="300" w:lineRule="exact"/>
              <w:rPr>
                <w:rFonts w:hint="eastAsia"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监测时间</w:t>
            </w:r>
          </w:p>
        </w:tc>
        <w:tc>
          <w:tcPr>
            <w:tcW w:w="700" w:type="pct"/>
            <w:vMerge w:val="restart"/>
            <w:vAlign w:val="center"/>
          </w:tcPr>
          <w:p w14:paraId="7808918F">
            <w:pPr>
              <w:pStyle w:val="278"/>
              <w:adjustRightInd w:val="0"/>
              <w:snapToGrid w:val="0"/>
              <w:spacing w:line="300" w:lineRule="exact"/>
              <w:rPr>
                <w:rFonts w:hint="eastAsia"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监测点</w:t>
            </w:r>
          </w:p>
        </w:tc>
        <w:tc>
          <w:tcPr>
            <w:tcW w:w="1534" w:type="pct"/>
            <w:gridSpan w:val="3"/>
            <w:vAlign w:val="center"/>
          </w:tcPr>
          <w:p w14:paraId="7BC51C6C">
            <w:pPr>
              <w:pStyle w:val="278"/>
              <w:adjustRightInd w:val="0"/>
              <w:snapToGrid w:val="0"/>
              <w:spacing w:line="300" w:lineRule="exact"/>
              <w:rPr>
                <w:rFonts w:hint="eastAsia"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昼间</w:t>
            </w:r>
            <w:r>
              <w:rPr>
                <w:rFonts w:hint="eastAsia"/>
                <w:color w:val="000000" w:themeColor="text1"/>
                <w14:textFill>
                  <w14:solidFill>
                    <w14:schemeClr w14:val="tx1"/>
                  </w14:solidFill>
                </w14:textFill>
              </w:rPr>
              <w:t>[dB（A）]</w:t>
            </w:r>
          </w:p>
        </w:tc>
        <w:tc>
          <w:tcPr>
            <w:tcW w:w="1583" w:type="pct"/>
            <w:gridSpan w:val="3"/>
            <w:vAlign w:val="center"/>
          </w:tcPr>
          <w:p w14:paraId="53E056A4">
            <w:pPr>
              <w:pStyle w:val="278"/>
              <w:adjustRightInd w:val="0"/>
              <w:snapToGrid w:val="0"/>
              <w:spacing w:line="300" w:lineRule="exact"/>
              <w:rPr>
                <w:rFonts w:hint="eastAsia"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夜间</w:t>
            </w:r>
            <w:r>
              <w:rPr>
                <w:rFonts w:hint="eastAsia"/>
                <w:color w:val="000000" w:themeColor="text1"/>
                <w14:textFill>
                  <w14:solidFill>
                    <w14:schemeClr w14:val="tx1"/>
                  </w14:solidFill>
                </w14:textFill>
              </w:rPr>
              <w:t>[dB（A）]</w:t>
            </w:r>
          </w:p>
        </w:tc>
      </w:tr>
      <w:tr w14:paraId="66F5AF8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tblHeader/>
          <w:jc w:val="center"/>
        </w:trPr>
        <w:tc>
          <w:tcPr>
            <w:tcW w:w="458" w:type="pct"/>
            <w:vMerge w:val="continue"/>
            <w:vAlign w:val="center"/>
          </w:tcPr>
          <w:p w14:paraId="2B766EAE">
            <w:pPr>
              <w:pStyle w:val="278"/>
              <w:adjustRightInd w:val="0"/>
              <w:snapToGrid w:val="0"/>
              <w:spacing w:line="300" w:lineRule="exact"/>
              <w:rPr>
                <w:rFonts w:hint="eastAsia" w:cs="宋体"/>
                <w:color w:val="000000" w:themeColor="text1"/>
                <w14:textFill>
                  <w14:solidFill>
                    <w14:schemeClr w14:val="tx1"/>
                  </w14:solidFill>
                </w14:textFill>
              </w:rPr>
            </w:pPr>
          </w:p>
        </w:tc>
        <w:tc>
          <w:tcPr>
            <w:tcW w:w="725" w:type="pct"/>
            <w:vMerge w:val="continue"/>
            <w:vAlign w:val="center"/>
          </w:tcPr>
          <w:p w14:paraId="7980E1B3">
            <w:pPr>
              <w:pStyle w:val="278"/>
              <w:adjustRightInd w:val="0"/>
              <w:snapToGrid w:val="0"/>
              <w:spacing w:line="300" w:lineRule="exact"/>
              <w:rPr>
                <w:rFonts w:hint="eastAsia" w:cs="宋体"/>
                <w:color w:val="000000" w:themeColor="text1"/>
                <w14:textFill>
                  <w14:solidFill>
                    <w14:schemeClr w14:val="tx1"/>
                  </w14:solidFill>
                </w14:textFill>
              </w:rPr>
            </w:pPr>
          </w:p>
        </w:tc>
        <w:tc>
          <w:tcPr>
            <w:tcW w:w="700" w:type="pct"/>
            <w:vMerge w:val="continue"/>
            <w:vAlign w:val="center"/>
          </w:tcPr>
          <w:p w14:paraId="605F7DB9">
            <w:pPr>
              <w:pStyle w:val="278"/>
              <w:adjustRightInd w:val="0"/>
              <w:snapToGrid w:val="0"/>
              <w:spacing w:line="300" w:lineRule="exact"/>
              <w:rPr>
                <w:rFonts w:hint="eastAsia" w:cs="宋体"/>
                <w:color w:val="000000" w:themeColor="text1"/>
                <w14:textFill>
                  <w14:solidFill>
                    <w14:schemeClr w14:val="tx1"/>
                  </w14:solidFill>
                </w14:textFill>
              </w:rPr>
            </w:pPr>
          </w:p>
        </w:tc>
        <w:tc>
          <w:tcPr>
            <w:tcW w:w="458" w:type="pct"/>
            <w:vAlign w:val="center"/>
          </w:tcPr>
          <w:p w14:paraId="4A66F90C">
            <w:pPr>
              <w:pStyle w:val="278"/>
              <w:adjustRightInd w:val="0"/>
              <w:snapToGrid w:val="0"/>
              <w:spacing w:line="300" w:lineRule="exact"/>
              <w:rPr>
                <w:rFonts w:hint="eastAsia"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监测值</w:t>
            </w:r>
          </w:p>
        </w:tc>
        <w:tc>
          <w:tcPr>
            <w:tcW w:w="457" w:type="pct"/>
            <w:vAlign w:val="center"/>
          </w:tcPr>
          <w:p w14:paraId="6B6D2F34">
            <w:pPr>
              <w:pStyle w:val="278"/>
              <w:adjustRightInd w:val="0"/>
              <w:snapToGrid w:val="0"/>
              <w:spacing w:line="300" w:lineRule="exact"/>
              <w:rPr>
                <w:rFonts w:hint="eastAsia"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标准值</w:t>
            </w:r>
          </w:p>
        </w:tc>
        <w:tc>
          <w:tcPr>
            <w:tcW w:w="619" w:type="pct"/>
            <w:vAlign w:val="center"/>
          </w:tcPr>
          <w:p w14:paraId="56B8C2AB">
            <w:pPr>
              <w:pStyle w:val="278"/>
              <w:adjustRightInd w:val="0"/>
              <w:snapToGrid w:val="0"/>
              <w:spacing w:line="300" w:lineRule="exact"/>
              <w:rPr>
                <w:rFonts w:hint="eastAsia"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达标情况</w:t>
            </w:r>
          </w:p>
        </w:tc>
        <w:tc>
          <w:tcPr>
            <w:tcW w:w="538" w:type="pct"/>
            <w:vAlign w:val="center"/>
          </w:tcPr>
          <w:p w14:paraId="0910FFCD">
            <w:pPr>
              <w:pStyle w:val="278"/>
              <w:adjustRightInd w:val="0"/>
              <w:snapToGrid w:val="0"/>
              <w:spacing w:line="300" w:lineRule="exact"/>
              <w:rPr>
                <w:rFonts w:hint="eastAsia"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监测值</w:t>
            </w:r>
          </w:p>
        </w:tc>
        <w:tc>
          <w:tcPr>
            <w:tcW w:w="458" w:type="pct"/>
            <w:vAlign w:val="center"/>
          </w:tcPr>
          <w:p w14:paraId="6C32219A">
            <w:pPr>
              <w:pStyle w:val="278"/>
              <w:adjustRightInd w:val="0"/>
              <w:snapToGrid w:val="0"/>
              <w:spacing w:line="300" w:lineRule="exact"/>
              <w:rPr>
                <w:rFonts w:hint="eastAsia"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标准值</w:t>
            </w:r>
          </w:p>
        </w:tc>
        <w:tc>
          <w:tcPr>
            <w:tcW w:w="587" w:type="pct"/>
            <w:vAlign w:val="center"/>
          </w:tcPr>
          <w:p w14:paraId="5A4011BF">
            <w:pPr>
              <w:pStyle w:val="278"/>
              <w:adjustRightInd w:val="0"/>
              <w:snapToGrid w:val="0"/>
              <w:spacing w:line="300" w:lineRule="exact"/>
              <w:rPr>
                <w:rFonts w:hint="eastAsia"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达标情况</w:t>
            </w:r>
          </w:p>
        </w:tc>
      </w:tr>
      <w:tr w14:paraId="348C505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458" w:type="pct"/>
            <w:vMerge w:val="restart"/>
            <w:vAlign w:val="center"/>
          </w:tcPr>
          <w:p w14:paraId="7A5B40B4">
            <w:pPr>
              <w:pStyle w:val="278"/>
              <w:adjustRightInd w:val="0"/>
              <w:snapToGrid w:val="0"/>
              <w:spacing w:line="300" w:lineRule="exact"/>
              <w:rPr>
                <w:rFonts w:hint="eastAsia"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页岩油联合站</w:t>
            </w:r>
          </w:p>
        </w:tc>
        <w:tc>
          <w:tcPr>
            <w:tcW w:w="725" w:type="pct"/>
            <w:vMerge w:val="restart"/>
            <w:vAlign w:val="center"/>
          </w:tcPr>
          <w:p w14:paraId="19CE2CDC">
            <w:pPr>
              <w:pStyle w:val="278"/>
              <w:adjustRightInd w:val="0"/>
              <w:snapToGrid w:val="0"/>
              <w:spacing w:line="300" w:lineRule="exact"/>
              <w:rPr>
                <w:rFonts w:hint="eastAsia"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2025.4.22-4.23</w:t>
            </w:r>
          </w:p>
        </w:tc>
        <w:tc>
          <w:tcPr>
            <w:tcW w:w="700" w:type="pct"/>
            <w:vAlign w:val="center"/>
          </w:tcPr>
          <w:p w14:paraId="159BA3F4">
            <w:pPr>
              <w:pStyle w:val="278"/>
              <w:adjustRightInd w:val="0"/>
              <w:snapToGrid w:val="0"/>
              <w:spacing w:line="300" w:lineRule="exact"/>
              <w:rPr>
                <w:rFonts w:hint="eastAsia"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东厂界</w:t>
            </w:r>
          </w:p>
        </w:tc>
        <w:tc>
          <w:tcPr>
            <w:tcW w:w="458" w:type="pct"/>
            <w:vAlign w:val="center"/>
          </w:tcPr>
          <w:p w14:paraId="0EED8BAE">
            <w:pPr>
              <w:pStyle w:val="278"/>
              <w:adjustRightInd w:val="0"/>
              <w:snapToGrid w:val="0"/>
              <w:spacing w:line="300" w:lineRule="exact"/>
              <w:rPr>
                <w:rFonts w:hint="eastAsia"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52</w:t>
            </w:r>
          </w:p>
        </w:tc>
        <w:tc>
          <w:tcPr>
            <w:tcW w:w="457" w:type="pct"/>
            <w:vAlign w:val="center"/>
          </w:tcPr>
          <w:p w14:paraId="4A1442FD">
            <w:pPr>
              <w:pStyle w:val="278"/>
              <w:adjustRightInd w:val="0"/>
              <w:snapToGrid w:val="0"/>
              <w:spacing w:line="300" w:lineRule="exact"/>
              <w:rPr>
                <w:rFonts w:hint="eastAsia"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6</w:t>
            </w:r>
            <w:r>
              <w:rPr>
                <w:rFonts w:cs="宋体"/>
                <w:color w:val="000000" w:themeColor="text1"/>
                <w14:textFill>
                  <w14:solidFill>
                    <w14:schemeClr w14:val="tx1"/>
                  </w14:solidFill>
                </w14:textFill>
              </w:rPr>
              <w:t>0</w:t>
            </w:r>
          </w:p>
        </w:tc>
        <w:tc>
          <w:tcPr>
            <w:tcW w:w="619" w:type="pct"/>
            <w:vAlign w:val="center"/>
          </w:tcPr>
          <w:p w14:paraId="065AC745">
            <w:pPr>
              <w:pStyle w:val="278"/>
              <w:adjustRightInd w:val="0"/>
              <w:snapToGrid w:val="0"/>
              <w:spacing w:line="300" w:lineRule="exact"/>
              <w:rPr>
                <w:rFonts w:hint="eastAsia"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达标</w:t>
            </w:r>
          </w:p>
        </w:tc>
        <w:tc>
          <w:tcPr>
            <w:tcW w:w="538" w:type="pct"/>
            <w:vAlign w:val="center"/>
          </w:tcPr>
          <w:p w14:paraId="639B4FFF">
            <w:pPr>
              <w:pStyle w:val="278"/>
              <w:adjustRightInd w:val="0"/>
              <w:snapToGrid w:val="0"/>
              <w:spacing w:line="300" w:lineRule="exact"/>
              <w:rPr>
                <w:rFonts w:hint="eastAsia" w:cs="宋体"/>
                <w:color w:val="000000" w:themeColor="text1"/>
                <w14:textFill>
                  <w14:solidFill>
                    <w14:schemeClr w14:val="tx1"/>
                  </w14:solidFill>
                </w14:textFill>
              </w:rPr>
            </w:pPr>
            <w:r>
              <w:rPr>
                <w:rFonts w:hint="eastAsia"/>
                <w:color w:val="000000" w:themeColor="text1"/>
                <w14:textFill>
                  <w14:solidFill>
                    <w14:schemeClr w14:val="tx1"/>
                  </w14:solidFill>
                </w14:textFill>
              </w:rPr>
              <w:t>47</w:t>
            </w:r>
          </w:p>
        </w:tc>
        <w:tc>
          <w:tcPr>
            <w:tcW w:w="458" w:type="pct"/>
            <w:vAlign w:val="center"/>
          </w:tcPr>
          <w:p w14:paraId="5858D0BD">
            <w:pPr>
              <w:pStyle w:val="278"/>
              <w:adjustRightInd w:val="0"/>
              <w:snapToGrid w:val="0"/>
              <w:spacing w:line="300" w:lineRule="exact"/>
              <w:rPr>
                <w:rFonts w:hint="eastAsia"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5</w:t>
            </w:r>
            <w:r>
              <w:rPr>
                <w:rFonts w:cs="宋体"/>
                <w:color w:val="000000" w:themeColor="text1"/>
                <w14:textFill>
                  <w14:solidFill>
                    <w14:schemeClr w14:val="tx1"/>
                  </w14:solidFill>
                </w14:textFill>
              </w:rPr>
              <w:t>0</w:t>
            </w:r>
          </w:p>
        </w:tc>
        <w:tc>
          <w:tcPr>
            <w:tcW w:w="587" w:type="pct"/>
            <w:vAlign w:val="center"/>
          </w:tcPr>
          <w:p w14:paraId="624CBA1A">
            <w:pPr>
              <w:pStyle w:val="278"/>
              <w:adjustRightInd w:val="0"/>
              <w:snapToGrid w:val="0"/>
              <w:spacing w:line="300" w:lineRule="exact"/>
              <w:rPr>
                <w:rFonts w:hint="eastAsia"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达标</w:t>
            </w:r>
          </w:p>
        </w:tc>
      </w:tr>
      <w:tr w14:paraId="7E5EB17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458" w:type="pct"/>
            <w:vMerge w:val="continue"/>
            <w:vAlign w:val="center"/>
          </w:tcPr>
          <w:p w14:paraId="05F1D0E0">
            <w:pPr>
              <w:pStyle w:val="278"/>
              <w:adjustRightInd w:val="0"/>
              <w:snapToGrid w:val="0"/>
              <w:spacing w:line="300" w:lineRule="exact"/>
              <w:rPr>
                <w:rFonts w:hint="eastAsia" w:cs="宋体"/>
                <w:color w:val="000000" w:themeColor="text1"/>
                <w14:textFill>
                  <w14:solidFill>
                    <w14:schemeClr w14:val="tx1"/>
                  </w14:solidFill>
                </w14:textFill>
              </w:rPr>
            </w:pPr>
          </w:p>
        </w:tc>
        <w:tc>
          <w:tcPr>
            <w:tcW w:w="725" w:type="pct"/>
            <w:vMerge w:val="continue"/>
            <w:vAlign w:val="center"/>
          </w:tcPr>
          <w:p w14:paraId="28E6E39D">
            <w:pPr>
              <w:pStyle w:val="278"/>
              <w:adjustRightInd w:val="0"/>
              <w:snapToGrid w:val="0"/>
              <w:spacing w:line="300" w:lineRule="exact"/>
              <w:rPr>
                <w:rFonts w:hint="eastAsia" w:cs="宋体"/>
                <w:color w:val="000000" w:themeColor="text1"/>
                <w14:textFill>
                  <w14:solidFill>
                    <w14:schemeClr w14:val="tx1"/>
                  </w14:solidFill>
                </w14:textFill>
              </w:rPr>
            </w:pPr>
          </w:p>
        </w:tc>
        <w:tc>
          <w:tcPr>
            <w:tcW w:w="700" w:type="pct"/>
            <w:vAlign w:val="center"/>
          </w:tcPr>
          <w:p w14:paraId="3CB6C764">
            <w:pPr>
              <w:pStyle w:val="278"/>
              <w:adjustRightInd w:val="0"/>
              <w:snapToGrid w:val="0"/>
              <w:spacing w:line="300" w:lineRule="exact"/>
              <w:rPr>
                <w:rFonts w:hint="eastAsia"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南厂界</w:t>
            </w:r>
          </w:p>
        </w:tc>
        <w:tc>
          <w:tcPr>
            <w:tcW w:w="458" w:type="pct"/>
            <w:vAlign w:val="center"/>
          </w:tcPr>
          <w:p w14:paraId="4B0C1A80">
            <w:pPr>
              <w:pStyle w:val="278"/>
              <w:adjustRightInd w:val="0"/>
              <w:snapToGrid w:val="0"/>
              <w:spacing w:line="300" w:lineRule="exact"/>
              <w:rPr>
                <w:rFonts w:hint="eastAsia"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43</w:t>
            </w:r>
          </w:p>
        </w:tc>
        <w:tc>
          <w:tcPr>
            <w:tcW w:w="457" w:type="pct"/>
            <w:vAlign w:val="center"/>
          </w:tcPr>
          <w:p w14:paraId="2A616BCE">
            <w:pPr>
              <w:adjustRightInd w:val="0"/>
              <w:snapToGrid w:val="0"/>
              <w:spacing w:line="30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6</w:t>
            </w:r>
            <w:r>
              <w:rPr>
                <w:rFonts w:ascii="宋体" w:hAnsi="宋体" w:cs="宋体"/>
                <w:color w:val="000000" w:themeColor="text1"/>
                <w:szCs w:val="21"/>
                <w14:textFill>
                  <w14:solidFill>
                    <w14:schemeClr w14:val="tx1"/>
                  </w14:solidFill>
                </w14:textFill>
              </w:rPr>
              <w:t>0</w:t>
            </w:r>
          </w:p>
        </w:tc>
        <w:tc>
          <w:tcPr>
            <w:tcW w:w="619" w:type="pct"/>
            <w:vAlign w:val="center"/>
          </w:tcPr>
          <w:p w14:paraId="7671865D">
            <w:pPr>
              <w:pStyle w:val="278"/>
              <w:adjustRightInd w:val="0"/>
              <w:snapToGrid w:val="0"/>
              <w:spacing w:line="300" w:lineRule="exact"/>
              <w:rPr>
                <w:rFonts w:hint="eastAsia"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达标</w:t>
            </w:r>
          </w:p>
        </w:tc>
        <w:tc>
          <w:tcPr>
            <w:tcW w:w="538" w:type="pct"/>
            <w:vAlign w:val="center"/>
          </w:tcPr>
          <w:p w14:paraId="7C3C9764">
            <w:pPr>
              <w:pStyle w:val="278"/>
              <w:adjustRightInd w:val="0"/>
              <w:snapToGrid w:val="0"/>
              <w:spacing w:line="300" w:lineRule="exact"/>
              <w:rPr>
                <w:rFonts w:hint="eastAsia" w:cs="宋体"/>
                <w:color w:val="000000" w:themeColor="text1"/>
                <w14:textFill>
                  <w14:solidFill>
                    <w14:schemeClr w14:val="tx1"/>
                  </w14:solidFill>
                </w14:textFill>
              </w:rPr>
            </w:pPr>
            <w:r>
              <w:rPr>
                <w:rFonts w:hint="eastAsia"/>
                <w:color w:val="000000" w:themeColor="text1"/>
                <w14:textFill>
                  <w14:solidFill>
                    <w14:schemeClr w14:val="tx1"/>
                  </w14:solidFill>
                </w14:textFill>
              </w:rPr>
              <w:t>41</w:t>
            </w:r>
          </w:p>
        </w:tc>
        <w:tc>
          <w:tcPr>
            <w:tcW w:w="458" w:type="pct"/>
            <w:vAlign w:val="center"/>
          </w:tcPr>
          <w:p w14:paraId="3B88D00A">
            <w:pPr>
              <w:adjustRightInd w:val="0"/>
              <w:snapToGrid w:val="0"/>
              <w:spacing w:line="30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5</w:t>
            </w:r>
            <w:r>
              <w:rPr>
                <w:rFonts w:ascii="宋体" w:hAnsi="宋体" w:cs="宋体"/>
                <w:color w:val="000000" w:themeColor="text1"/>
                <w:szCs w:val="21"/>
                <w14:textFill>
                  <w14:solidFill>
                    <w14:schemeClr w14:val="tx1"/>
                  </w14:solidFill>
                </w14:textFill>
              </w:rPr>
              <w:t>0</w:t>
            </w:r>
          </w:p>
        </w:tc>
        <w:tc>
          <w:tcPr>
            <w:tcW w:w="587" w:type="pct"/>
            <w:vAlign w:val="center"/>
          </w:tcPr>
          <w:p w14:paraId="0AA1DB17">
            <w:pPr>
              <w:pStyle w:val="278"/>
              <w:adjustRightInd w:val="0"/>
              <w:snapToGrid w:val="0"/>
              <w:spacing w:line="300" w:lineRule="exact"/>
              <w:rPr>
                <w:rFonts w:hint="eastAsia"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达标</w:t>
            </w:r>
          </w:p>
        </w:tc>
      </w:tr>
      <w:tr w14:paraId="6CEFE5B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458" w:type="pct"/>
            <w:vMerge w:val="continue"/>
            <w:vAlign w:val="center"/>
          </w:tcPr>
          <w:p w14:paraId="11CAC6E0">
            <w:pPr>
              <w:pStyle w:val="278"/>
              <w:adjustRightInd w:val="0"/>
              <w:snapToGrid w:val="0"/>
              <w:spacing w:line="300" w:lineRule="exact"/>
              <w:rPr>
                <w:rFonts w:hint="eastAsia" w:cs="宋体"/>
                <w:color w:val="000000" w:themeColor="text1"/>
                <w14:textFill>
                  <w14:solidFill>
                    <w14:schemeClr w14:val="tx1"/>
                  </w14:solidFill>
                </w14:textFill>
              </w:rPr>
            </w:pPr>
          </w:p>
        </w:tc>
        <w:tc>
          <w:tcPr>
            <w:tcW w:w="725" w:type="pct"/>
            <w:vMerge w:val="continue"/>
            <w:vAlign w:val="center"/>
          </w:tcPr>
          <w:p w14:paraId="2B3C2C1C">
            <w:pPr>
              <w:pStyle w:val="278"/>
              <w:adjustRightInd w:val="0"/>
              <w:snapToGrid w:val="0"/>
              <w:spacing w:line="300" w:lineRule="exact"/>
              <w:rPr>
                <w:rFonts w:hint="eastAsia" w:cs="宋体"/>
                <w:color w:val="000000" w:themeColor="text1"/>
                <w14:textFill>
                  <w14:solidFill>
                    <w14:schemeClr w14:val="tx1"/>
                  </w14:solidFill>
                </w14:textFill>
              </w:rPr>
            </w:pPr>
          </w:p>
        </w:tc>
        <w:tc>
          <w:tcPr>
            <w:tcW w:w="700" w:type="pct"/>
            <w:vAlign w:val="center"/>
          </w:tcPr>
          <w:p w14:paraId="3E74F282">
            <w:pPr>
              <w:pStyle w:val="278"/>
              <w:adjustRightInd w:val="0"/>
              <w:snapToGrid w:val="0"/>
              <w:spacing w:line="300" w:lineRule="exact"/>
              <w:rPr>
                <w:rFonts w:hint="eastAsia"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西厂界</w:t>
            </w:r>
          </w:p>
        </w:tc>
        <w:tc>
          <w:tcPr>
            <w:tcW w:w="458" w:type="pct"/>
            <w:vAlign w:val="center"/>
          </w:tcPr>
          <w:p w14:paraId="278831E1">
            <w:pPr>
              <w:pStyle w:val="278"/>
              <w:adjustRightInd w:val="0"/>
              <w:snapToGrid w:val="0"/>
              <w:spacing w:line="300" w:lineRule="exact"/>
              <w:rPr>
                <w:rFonts w:hint="eastAsia"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42</w:t>
            </w:r>
          </w:p>
        </w:tc>
        <w:tc>
          <w:tcPr>
            <w:tcW w:w="457" w:type="pct"/>
            <w:vAlign w:val="center"/>
          </w:tcPr>
          <w:p w14:paraId="2EEE579C">
            <w:pPr>
              <w:adjustRightInd w:val="0"/>
              <w:snapToGrid w:val="0"/>
              <w:spacing w:line="30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6</w:t>
            </w:r>
            <w:r>
              <w:rPr>
                <w:rFonts w:ascii="宋体" w:hAnsi="宋体" w:cs="宋体"/>
                <w:color w:val="000000" w:themeColor="text1"/>
                <w:szCs w:val="21"/>
                <w14:textFill>
                  <w14:solidFill>
                    <w14:schemeClr w14:val="tx1"/>
                  </w14:solidFill>
                </w14:textFill>
              </w:rPr>
              <w:t>0</w:t>
            </w:r>
          </w:p>
        </w:tc>
        <w:tc>
          <w:tcPr>
            <w:tcW w:w="619" w:type="pct"/>
            <w:vAlign w:val="center"/>
          </w:tcPr>
          <w:p w14:paraId="08A3D178">
            <w:pPr>
              <w:pStyle w:val="278"/>
              <w:adjustRightInd w:val="0"/>
              <w:snapToGrid w:val="0"/>
              <w:spacing w:line="300" w:lineRule="exact"/>
              <w:rPr>
                <w:rFonts w:hint="eastAsia"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达标</w:t>
            </w:r>
          </w:p>
        </w:tc>
        <w:tc>
          <w:tcPr>
            <w:tcW w:w="538" w:type="pct"/>
            <w:vAlign w:val="center"/>
          </w:tcPr>
          <w:p w14:paraId="0FA79B40">
            <w:pPr>
              <w:pStyle w:val="278"/>
              <w:adjustRightInd w:val="0"/>
              <w:snapToGrid w:val="0"/>
              <w:spacing w:line="300" w:lineRule="exact"/>
              <w:rPr>
                <w:rFonts w:hint="eastAsia" w:cs="宋体"/>
                <w:color w:val="000000" w:themeColor="text1"/>
                <w14:textFill>
                  <w14:solidFill>
                    <w14:schemeClr w14:val="tx1"/>
                  </w14:solidFill>
                </w14:textFill>
              </w:rPr>
            </w:pPr>
            <w:r>
              <w:rPr>
                <w:rFonts w:hint="eastAsia"/>
                <w:color w:val="000000" w:themeColor="text1"/>
                <w14:textFill>
                  <w14:solidFill>
                    <w14:schemeClr w14:val="tx1"/>
                  </w14:solidFill>
                </w14:textFill>
              </w:rPr>
              <w:t>40</w:t>
            </w:r>
          </w:p>
        </w:tc>
        <w:tc>
          <w:tcPr>
            <w:tcW w:w="458" w:type="pct"/>
            <w:vAlign w:val="center"/>
          </w:tcPr>
          <w:p w14:paraId="2BFB91A3">
            <w:pPr>
              <w:adjustRightInd w:val="0"/>
              <w:snapToGrid w:val="0"/>
              <w:spacing w:line="30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5</w:t>
            </w:r>
            <w:r>
              <w:rPr>
                <w:rFonts w:ascii="宋体" w:hAnsi="宋体" w:cs="宋体"/>
                <w:color w:val="000000" w:themeColor="text1"/>
                <w:szCs w:val="21"/>
                <w14:textFill>
                  <w14:solidFill>
                    <w14:schemeClr w14:val="tx1"/>
                  </w14:solidFill>
                </w14:textFill>
              </w:rPr>
              <w:t>0</w:t>
            </w:r>
          </w:p>
        </w:tc>
        <w:tc>
          <w:tcPr>
            <w:tcW w:w="587" w:type="pct"/>
            <w:vAlign w:val="center"/>
          </w:tcPr>
          <w:p w14:paraId="6D0ED435">
            <w:pPr>
              <w:pStyle w:val="278"/>
              <w:adjustRightInd w:val="0"/>
              <w:snapToGrid w:val="0"/>
              <w:spacing w:line="300" w:lineRule="exact"/>
              <w:rPr>
                <w:rFonts w:hint="eastAsia"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达标</w:t>
            </w:r>
          </w:p>
        </w:tc>
      </w:tr>
      <w:tr w14:paraId="14A8AFF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458" w:type="pct"/>
            <w:vMerge w:val="continue"/>
            <w:vAlign w:val="center"/>
          </w:tcPr>
          <w:p w14:paraId="4A4CB669">
            <w:pPr>
              <w:pStyle w:val="202"/>
              <w:adjustRightInd w:val="0"/>
              <w:snapToGrid w:val="0"/>
              <w:spacing w:line="300" w:lineRule="exact"/>
              <w:ind w:firstLine="0" w:firstLineChars="0"/>
              <w:jc w:val="center"/>
              <w:rPr>
                <w:rFonts w:hint="eastAsia" w:cs="宋体"/>
                <w:b w:val="0"/>
                <w:color w:val="000000" w:themeColor="text1"/>
                <w:sz w:val="21"/>
                <w14:textFill>
                  <w14:solidFill>
                    <w14:schemeClr w14:val="tx1"/>
                  </w14:solidFill>
                </w14:textFill>
              </w:rPr>
            </w:pPr>
          </w:p>
        </w:tc>
        <w:tc>
          <w:tcPr>
            <w:tcW w:w="725" w:type="pct"/>
            <w:vMerge w:val="continue"/>
            <w:vAlign w:val="center"/>
          </w:tcPr>
          <w:p w14:paraId="7BFEA9A4">
            <w:pPr>
              <w:pStyle w:val="202"/>
              <w:adjustRightInd w:val="0"/>
              <w:snapToGrid w:val="0"/>
              <w:spacing w:line="300" w:lineRule="exact"/>
              <w:ind w:firstLine="0" w:firstLineChars="0"/>
              <w:jc w:val="center"/>
              <w:rPr>
                <w:rFonts w:hint="eastAsia" w:cs="宋体"/>
                <w:b w:val="0"/>
                <w:color w:val="000000" w:themeColor="text1"/>
                <w:sz w:val="21"/>
                <w14:textFill>
                  <w14:solidFill>
                    <w14:schemeClr w14:val="tx1"/>
                  </w14:solidFill>
                </w14:textFill>
              </w:rPr>
            </w:pPr>
          </w:p>
        </w:tc>
        <w:tc>
          <w:tcPr>
            <w:tcW w:w="700" w:type="pct"/>
            <w:vAlign w:val="center"/>
          </w:tcPr>
          <w:p w14:paraId="73BEEE10">
            <w:pPr>
              <w:pStyle w:val="202"/>
              <w:adjustRightInd w:val="0"/>
              <w:snapToGrid w:val="0"/>
              <w:spacing w:line="300" w:lineRule="exact"/>
              <w:ind w:firstLine="0" w:firstLineChars="0"/>
              <w:jc w:val="center"/>
              <w:rPr>
                <w:rFonts w:hint="eastAsia" w:cs="宋体"/>
                <w:b w:val="0"/>
                <w:color w:val="000000" w:themeColor="text1"/>
                <w:sz w:val="21"/>
                <w14:textFill>
                  <w14:solidFill>
                    <w14:schemeClr w14:val="tx1"/>
                  </w14:solidFill>
                </w14:textFill>
              </w:rPr>
            </w:pPr>
            <w:bookmarkStart w:id="221" w:name="_Toc160381874"/>
            <w:bookmarkStart w:id="222" w:name="_Toc216260243"/>
            <w:bookmarkStart w:id="223" w:name="_Toc155368783"/>
            <w:r>
              <w:rPr>
                <w:rFonts w:hint="eastAsia" w:cs="宋体"/>
                <w:b w:val="0"/>
                <w:color w:val="000000" w:themeColor="text1"/>
                <w:sz w:val="21"/>
                <w14:textFill>
                  <w14:solidFill>
                    <w14:schemeClr w14:val="tx1"/>
                  </w14:solidFill>
                </w14:textFill>
              </w:rPr>
              <w:t>北厂界</w:t>
            </w:r>
            <w:bookmarkEnd w:id="221"/>
            <w:bookmarkEnd w:id="222"/>
            <w:bookmarkEnd w:id="223"/>
          </w:p>
        </w:tc>
        <w:tc>
          <w:tcPr>
            <w:tcW w:w="458" w:type="pct"/>
            <w:vAlign w:val="center"/>
          </w:tcPr>
          <w:p w14:paraId="7EBFD4D1">
            <w:pPr>
              <w:pStyle w:val="278"/>
              <w:adjustRightInd w:val="0"/>
              <w:snapToGrid w:val="0"/>
              <w:spacing w:line="300" w:lineRule="exact"/>
              <w:rPr>
                <w:rFonts w:hint="eastAsia"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42</w:t>
            </w:r>
          </w:p>
        </w:tc>
        <w:tc>
          <w:tcPr>
            <w:tcW w:w="457" w:type="pct"/>
            <w:vAlign w:val="center"/>
          </w:tcPr>
          <w:p w14:paraId="2054639E">
            <w:pPr>
              <w:adjustRightInd w:val="0"/>
              <w:snapToGrid w:val="0"/>
              <w:spacing w:line="30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6</w:t>
            </w:r>
            <w:r>
              <w:rPr>
                <w:rFonts w:ascii="宋体" w:hAnsi="宋体" w:cs="宋体"/>
                <w:color w:val="000000" w:themeColor="text1"/>
                <w:szCs w:val="21"/>
                <w14:textFill>
                  <w14:solidFill>
                    <w14:schemeClr w14:val="tx1"/>
                  </w14:solidFill>
                </w14:textFill>
              </w:rPr>
              <w:t>0</w:t>
            </w:r>
          </w:p>
        </w:tc>
        <w:tc>
          <w:tcPr>
            <w:tcW w:w="619" w:type="pct"/>
            <w:vAlign w:val="center"/>
          </w:tcPr>
          <w:p w14:paraId="607E6A74">
            <w:pPr>
              <w:pStyle w:val="278"/>
              <w:adjustRightInd w:val="0"/>
              <w:snapToGrid w:val="0"/>
              <w:spacing w:line="300" w:lineRule="exact"/>
              <w:rPr>
                <w:rFonts w:hint="eastAsia"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达标</w:t>
            </w:r>
          </w:p>
        </w:tc>
        <w:tc>
          <w:tcPr>
            <w:tcW w:w="538" w:type="pct"/>
            <w:vAlign w:val="center"/>
          </w:tcPr>
          <w:p w14:paraId="6CC6DDF9">
            <w:pPr>
              <w:pStyle w:val="278"/>
              <w:adjustRightInd w:val="0"/>
              <w:snapToGrid w:val="0"/>
              <w:spacing w:line="300" w:lineRule="exact"/>
              <w:rPr>
                <w:rFonts w:hint="eastAsia" w:cs="宋体"/>
                <w:color w:val="000000" w:themeColor="text1"/>
                <w14:textFill>
                  <w14:solidFill>
                    <w14:schemeClr w14:val="tx1"/>
                  </w14:solidFill>
                </w14:textFill>
              </w:rPr>
            </w:pPr>
            <w:r>
              <w:rPr>
                <w:rFonts w:hint="eastAsia"/>
                <w:color w:val="000000" w:themeColor="text1"/>
                <w14:textFill>
                  <w14:solidFill>
                    <w14:schemeClr w14:val="tx1"/>
                  </w14:solidFill>
                </w14:textFill>
              </w:rPr>
              <w:t>41</w:t>
            </w:r>
          </w:p>
        </w:tc>
        <w:tc>
          <w:tcPr>
            <w:tcW w:w="458" w:type="pct"/>
            <w:vAlign w:val="center"/>
          </w:tcPr>
          <w:p w14:paraId="243E80A3">
            <w:pPr>
              <w:adjustRightInd w:val="0"/>
              <w:snapToGrid w:val="0"/>
              <w:spacing w:line="30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5</w:t>
            </w:r>
            <w:r>
              <w:rPr>
                <w:rFonts w:ascii="宋体" w:hAnsi="宋体" w:cs="宋体"/>
                <w:color w:val="000000" w:themeColor="text1"/>
                <w:szCs w:val="21"/>
                <w14:textFill>
                  <w14:solidFill>
                    <w14:schemeClr w14:val="tx1"/>
                  </w14:solidFill>
                </w14:textFill>
              </w:rPr>
              <w:t>0</w:t>
            </w:r>
          </w:p>
        </w:tc>
        <w:tc>
          <w:tcPr>
            <w:tcW w:w="587" w:type="pct"/>
            <w:vAlign w:val="center"/>
          </w:tcPr>
          <w:p w14:paraId="0CD9A557">
            <w:pPr>
              <w:pStyle w:val="278"/>
              <w:adjustRightInd w:val="0"/>
              <w:snapToGrid w:val="0"/>
              <w:spacing w:line="300" w:lineRule="exact"/>
              <w:rPr>
                <w:rFonts w:hint="eastAsia"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达标</w:t>
            </w:r>
          </w:p>
        </w:tc>
      </w:tr>
      <w:tr w14:paraId="14D2BB7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458" w:type="pct"/>
            <w:vMerge w:val="restart"/>
            <w:vAlign w:val="center"/>
          </w:tcPr>
          <w:p w14:paraId="26730A12">
            <w:pPr>
              <w:pStyle w:val="278"/>
              <w:adjustRightInd w:val="0"/>
              <w:snapToGrid w:val="0"/>
              <w:spacing w:line="300" w:lineRule="exact"/>
              <w:rPr>
                <w:rFonts w:hint="eastAsia"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采油井场</w:t>
            </w:r>
          </w:p>
        </w:tc>
        <w:tc>
          <w:tcPr>
            <w:tcW w:w="725" w:type="pct"/>
            <w:vMerge w:val="restart"/>
            <w:vAlign w:val="center"/>
          </w:tcPr>
          <w:p w14:paraId="265613A1">
            <w:pPr>
              <w:pStyle w:val="278"/>
              <w:adjustRightInd w:val="0"/>
              <w:snapToGrid w:val="0"/>
              <w:spacing w:line="300" w:lineRule="exact"/>
              <w:rPr>
                <w:rFonts w:hint="eastAsia"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2021.1.23</w:t>
            </w:r>
          </w:p>
        </w:tc>
        <w:tc>
          <w:tcPr>
            <w:tcW w:w="700" w:type="pct"/>
            <w:vAlign w:val="center"/>
          </w:tcPr>
          <w:p w14:paraId="4F3BDF14">
            <w:pPr>
              <w:pStyle w:val="278"/>
              <w:adjustRightInd w:val="0"/>
              <w:snapToGrid w:val="0"/>
              <w:spacing w:line="300" w:lineRule="exact"/>
              <w:rPr>
                <w:rFonts w:hint="eastAsia"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东厂界</w:t>
            </w:r>
          </w:p>
        </w:tc>
        <w:tc>
          <w:tcPr>
            <w:tcW w:w="458" w:type="pct"/>
            <w:vAlign w:val="center"/>
          </w:tcPr>
          <w:p w14:paraId="46E9E911">
            <w:pPr>
              <w:pStyle w:val="278"/>
              <w:adjustRightInd w:val="0"/>
              <w:snapToGrid w:val="0"/>
              <w:spacing w:line="300" w:lineRule="exact"/>
              <w:rPr>
                <w:rFonts w:hint="eastAsia"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48</w:t>
            </w:r>
          </w:p>
        </w:tc>
        <w:tc>
          <w:tcPr>
            <w:tcW w:w="457" w:type="pct"/>
            <w:vAlign w:val="center"/>
          </w:tcPr>
          <w:p w14:paraId="169F131C">
            <w:pPr>
              <w:pStyle w:val="278"/>
              <w:adjustRightInd w:val="0"/>
              <w:snapToGrid w:val="0"/>
              <w:spacing w:line="300" w:lineRule="exact"/>
              <w:rPr>
                <w:rFonts w:hint="eastAsia"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6</w:t>
            </w:r>
            <w:r>
              <w:rPr>
                <w:rFonts w:cs="宋体"/>
                <w:color w:val="000000" w:themeColor="text1"/>
                <w14:textFill>
                  <w14:solidFill>
                    <w14:schemeClr w14:val="tx1"/>
                  </w14:solidFill>
                </w14:textFill>
              </w:rPr>
              <w:t>0</w:t>
            </w:r>
          </w:p>
        </w:tc>
        <w:tc>
          <w:tcPr>
            <w:tcW w:w="619" w:type="pct"/>
            <w:vAlign w:val="center"/>
          </w:tcPr>
          <w:p w14:paraId="6FACDC28">
            <w:pPr>
              <w:pStyle w:val="278"/>
              <w:adjustRightInd w:val="0"/>
              <w:snapToGrid w:val="0"/>
              <w:spacing w:line="300" w:lineRule="exact"/>
              <w:rPr>
                <w:rFonts w:hint="eastAsia"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达标</w:t>
            </w:r>
          </w:p>
        </w:tc>
        <w:tc>
          <w:tcPr>
            <w:tcW w:w="538" w:type="pct"/>
            <w:vAlign w:val="center"/>
          </w:tcPr>
          <w:p w14:paraId="5586D335">
            <w:pPr>
              <w:pStyle w:val="278"/>
              <w:adjustRightInd w:val="0"/>
              <w:snapToGrid w:val="0"/>
              <w:spacing w:line="300" w:lineRule="exact"/>
              <w:rPr>
                <w:rFonts w:hint="eastAsia"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46</w:t>
            </w:r>
          </w:p>
        </w:tc>
        <w:tc>
          <w:tcPr>
            <w:tcW w:w="458" w:type="pct"/>
            <w:vAlign w:val="center"/>
          </w:tcPr>
          <w:p w14:paraId="306168A7">
            <w:pPr>
              <w:pStyle w:val="278"/>
              <w:adjustRightInd w:val="0"/>
              <w:snapToGrid w:val="0"/>
              <w:spacing w:line="300" w:lineRule="exact"/>
              <w:rPr>
                <w:rFonts w:hint="eastAsia"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5</w:t>
            </w:r>
            <w:r>
              <w:rPr>
                <w:rFonts w:cs="宋体"/>
                <w:color w:val="000000" w:themeColor="text1"/>
                <w14:textFill>
                  <w14:solidFill>
                    <w14:schemeClr w14:val="tx1"/>
                  </w14:solidFill>
                </w14:textFill>
              </w:rPr>
              <w:t>0</w:t>
            </w:r>
          </w:p>
        </w:tc>
        <w:tc>
          <w:tcPr>
            <w:tcW w:w="587" w:type="pct"/>
            <w:vAlign w:val="center"/>
          </w:tcPr>
          <w:p w14:paraId="23F8A4B0">
            <w:pPr>
              <w:pStyle w:val="278"/>
              <w:adjustRightInd w:val="0"/>
              <w:snapToGrid w:val="0"/>
              <w:spacing w:line="300" w:lineRule="exact"/>
              <w:rPr>
                <w:rFonts w:hint="eastAsia"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达标</w:t>
            </w:r>
          </w:p>
        </w:tc>
      </w:tr>
      <w:tr w14:paraId="5DB46DE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458" w:type="pct"/>
            <w:vMerge w:val="continue"/>
            <w:vAlign w:val="center"/>
          </w:tcPr>
          <w:p w14:paraId="736FBC84">
            <w:pPr>
              <w:pStyle w:val="278"/>
              <w:adjustRightInd w:val="0"/>
              <w:snapToGrid w:val="0"/>
              <w:spacing w:line="300" w:lineRule="exact"/>
              <w:rPr>
                <w:rFonts w:hint="eastAsia" w:cs="宋体"/>
                <w:color w:val="000000" w:themeColor="text1"/>
                <w14:textFill>
                  <w14:solidFill>
                    <w14:schemeClr w14:val="tx1"/>
                  </w14:solidFill>
                </w14:textFill>
              </w:rPr>
            </w:pPr>
          </w:p>
        </w:tc>
        <w:tc>
          <w:tcPr>
            <w:tcW w:w="725" w:type="pct"/>
            <w:vMerge w:val="continue"/>
            <w:vAlign w:val="center"/>
          </w:tcPr>
          <w:p w14:paraId="20A01BCD">
            <w:pPr>
              <w:pStyle w:val="278"/>
              <w:adjustRightInd w:val="0"/>
              <w:snapToGrid w:val="0"/>
              <w:spacing w:line="300" w:lineRule="exact"/>
              <w:rPr>
                <w:rFonts w:hint="eastAsia" w:cs="宋体"/>
                <w:color w:val="000000" w:themeColor="text1"/>
                <w14:textFill>
                  <w14:solidFill>
                    <w14:schemeClr w14:val="tx1"/>
                  </w14:solidFill>
                </w14:textFill>
              </w:rPr>
            </w:pPr>
          </w:p>
        </w:tc>
        <w:tc>
          <w:tcPr>
            <w:tcW w:w="700" w:type="pct"/>
            <w:vAlign w:val="center"/>
          </w:tcPr>
          <w:p w14:paraId="39574716">
            <w:pPr>
              <w:pStyle w:val="278"/>
              <w:adjustRightInd w:val="0"/>
              <w:snapToGrid w:val="0"/>
              <w:spacing w:line="300" w:lineRule="exact"/>
              <w:rPr>
                <w:rFonts w:hint="eastAsia"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南厂界</w:t>
            </w:r>
          </w:p>
        </w:tc>
        <w:tc>
          <w:tcPr>
            <w:tcW w:w="458" w:type="pct"/>
            <w:vAlign w:val="center"/>
          </w:tcPr>
          <w:p w14:paraId="644EF8FF">
            <w:pPr>
              <w:pStyle w:val="278"/>
              <w:adjustRightInd w:val="0"/>
              <w:snapToGrid w:val="0"/>
              <w:spacing w:line="300" w:lineRule="exact"/>
              <w:rPr>
                <w:rFonts w:hint="eastAsia"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47</w:t>
            </w:r>
          </w:p>
        </w:tc>
        <w:tc>
          <w:tcPr>
            <w:tcW w:w="457" w:type="pct"/>
            <w:vAlign w:val="center"/>
          </w:tcPr>
          <w:p w14:paraId="44B33EF4">
            <w:pPr>
              <w:adjustRightInd w:val="0"/>
              <w:snapToGrid w:val="0"/>
              <w:spacing w:line="30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6</w:t>
            </w:r>
            <w:r>
              <w:rPr>
                <w:rFonts w:ascii="宋体" w:hAnsi="宋体" w:cs="宋体"/>
                <w:color w:val="000000" w:themeColor="text1"/>
                <w:szCs w:val="21"/>
                <w14:textFill>
                  <w14:solidFill>
                    <w14:schemeClr w14:val="tx1"/>
                  </w14:solidFill>
                </w14:textFill>
              </w:rPr>
              <w:t>0</w:t>
            </w:r>
          </w:p>
        </w:tc>
        <w:tc>
          <w:tcPr>
            <w:tcW w:w="619" w:type="pct"/>
            <w:vAlign w:val="center"/>
          </w:tcPr>
          <w:p w14:paraId="2B82FB32">
            <w:pPr>
              <w:pStyle w:val="278"/>
              <w:adjustRightInd w:val="0"/>
              <w:snapToGrid w:val="0"/>
              <w:spacing w:line="300" w:lineRule="exact"/>
              <w:rPr>
                <w:rFonts w:hint="eastAsia"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达标</w:t>
            </w:r>
          </w:p>
        </w:tc>
        <w:tc>
          <w:tcPr>
            <w:tcW w:w="538" w:type="pct"/>
          </w:tcPr>
          <w:p w14:paraId="5AEB7DDC">
            <w:pPr>
              <w:pStyle w:val="278"/>
              <w:adjustRightInd w:val="0"/>
              <w:snapToGrid w:val="0"/>
              <w:spacing w:line="300" w:lineRule="exact"/>
              <w:rPr>
                <w:rFonts w:hint="eastAsia"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46</w:t>
            </w:r>
          </w:p>
        </w:tc>
        <w:tc>
          <w:tcPr>
            <w:tcW w:w="458" w:type="pct"/>
            <w:vAlign w:val="center"/>
          </w:tcPr>
          <w:p w14:paraId="174852D1">
            <w:pPr>
              <w:adjustRightInd w:val="0"/>
              <w:snapToGrid w:val="0"/>
              <w:spacing w:line="30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5</w:t>
            </w:r>
            <w:r>
              <w:rPr>
                <w:rFonts w:ascii="宋体" w:hAnsi="宋体" w:cs="宋体"/>
                <w:color w:val="000000" w:themeColor="text1"/>
                <w:szCs w:val="21"/>
                <w14:textFill>
                  <w14:solidFill>
                    <w14:schemeClr w14:val="tx1"/>
                  </w14:solidFill>
                </w14:textFill>
              </w:rPr>
              <w:t>0</w:t>
            </w:r>
          </w:p>
        </w:tc>
        <w:tc>
          <w:tcPr>
            <w:tcW w:w="587" w:type="pct"/>
            <w:vAlign w:val="center"/>
          </w:tcPr>
          <w:p w14:paraId="4C9DD2FF">
            <w:pPr>
              <w:pStyle w:val="278"/>
              <w:adjustRightInd w:val="0"/>
              <w:snapToGrid w:val="0"/>
              <w:spacing w:line="300" w:lineRule="exact"/>
              <w:rPr>
                <w:rFonts w:hint="eastAsia"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达标</w:t>
            </w:r>
          </w:p>
        </w:tc>
      </w:tr>
      <w:tr w14:paraId="14E1417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458" w:type="pct"/>
            <w:vMerge w:val="continue"/>
            <w:vAlign w:val="center"/>
          </w:tcPr>
          <w:p w14:paraId="6DE84A7F">
            <w:pPr>
              <w:pStyle w:val="278"/>
              <w:adjustRightInd w:val="0"/>
              <w:snapToGrid w:val="0"/>
              <w:spacing w:line="300" w:lineRule="exact"/>
              <w:rPr>
                <w:rFonts w:hint="eastAsia" w:cs="宋体"/>
                <w:color w:val="000000" w:themeColor="text1"/>
                <w14:textFill>
                  <w14:solidFill>
                    <w14:schemeClr w14:val="tx1"/>
                  </w14:solidFill>
                </w14:textFill>
              </w:rPr>
            </w:pPr>
          </w:p>
        </w:tc>
        <w:tc>
          <w:tcPr>
            <w:tcW w:w="725" w:type="pct"/>
            <w:vMerge w:val="continue"/>
            <w:vAlign w:val="center"/>
          </w:tcPr>
          <w:p w14:paraId="037ECA59">
            <w:pPr>
              <w:pStyle w:val="278"/>
              <w:adjustRightInd w:val="0"/>
              <w:snapToGrid w:val="0"/>
              <w:spacing w:line="300" w:lineRule="exact"/>
              <w:rPr>
                <w:rFonts w:hint="eastAsia" w:cs="宋体"/>
                <w:color w:val="000000" w:themeColor="text1"/>
                <w14:textFill>
                  <w14:solidFill>
                    <w14:schemeClr w14:val="tx1"/>
                  </w14:solidFill>
                </w14:textFill>
              </w:rPr>
            </w:pPr>
          </w:p>
        </w:tc>
        <w:tc>
          <w:tcPr>
            <w:tcW w:w="700" w:type="pct"/>
            <w:vAlign w:val="center"/>
          </w:tcPr>
          <w:p w14:paraId="32257480">
            <w:pPr>
              <w:pStyle w:val="278"/>
              <w:adjustRightInd w:val="0"/>
              <w:snapToGrid w:val="0"/>
              <w:spacing w:line="300" w:lineRule="exact"/>
              <w:rPr>
                <w:rFonts w:hint="eastAsia"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西厂界</w:t>
            </w:r>
          </w:p>
        </w:tc>
        <w:tc>
          <w:tcPr>
            <w:tcW w:w="458" w:type="pct"/>
            <w:vAlign w:val="center"/>
          </w:tcPr>
          <w:p w14:paraId="61F326DE">
            <w:pPr>
              <w:pStyle w:val="278"/>
              <w:adjustRightInd w:val="0"/>
              <w:snapToGrid w:val="0"/>
              <w:spacing w:line="300" w:lineRule="exact"/>
              <w:rPr>
                <w:rFonts w:hint="eastAsia"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46</w:t>
            </w:r>
          </w:p>
        </w:tc>
        <w:tc>
          <w:tcPr>
            <w:tcW w:w="457" w:type="pct"/>
            <w:vAlign w:val="center"/>
          </w:tcPr>
          <w:p w14:paraId="482700B8">
            <w:pPr>
              <w:adjustRightInd w:val="0"/>
              <w:snapToGrid w:val="0"/>
              <w:spacing w:line="30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6</w:t>
            </w:r>
            <w:r>
              <w:rPr>
                <w:rFonts w:ascii="宋体" w:hAnsi="宋体" w:cs="宋体"/>
                <w:color w:val="000000" w:themeColor="text1"/>
                <w:szCs w:val="21"/>
                <w14:textFill>
                  <w14:solidFill>
                    <w14:schemeClr w14:val="tx1"/>
                  </w14:solidFill>
                </w14:textFill>
              </w:rPr>
              <w:t>0</w:t>
            </w:r>
          </w:p>
        </w:tc>
        <w:tc>
          <w:tcPr>
            <w:tcW w:w="619" w:type="pct"/>
            <w:vAlign w:val="center"/>
          </w:tcPr>
          <w:p w14:paraId="1B53662B">
            <w:pPr>
              <w:pStyle w:val="278"/>
              <w:adjustRightInd w:val="0"/>
              <w:snapToGrid w:val="0"/>
              <w:spacing w:line="300" w:lineRule="exact"/>
              <w:rPr>
                <w:rFonts w:hint="eastAsia"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达标</w:t>
            </w:r>
          </w:p>
        </w:tc>
        <w:tc>
          <w:tcPr>
            <w:tcW w:w="538" w:type="pct"/>
          </w:tcPr>
          <w:p w14:paraId="6983327F">
            <w:pPr>
              <w:pStyle w:val="278"/>
              <w:adjustRightInd w:val="0"/>
              <w:snapToGrid w:val="0"/>
              <w:spacing w:line="300" w:lineRule="exact"/>
              <w:rPr>
                <w:rFonts w:hint="eastAsia"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46</w:t>
            </w:r>
          </w:p>
        </w:tc>
        <w:tc>
          <w:tcPr>
            <w:tcW w:w="458" w:type="pct"/>
            <w:vAlign w:val="center"/>
          </w:tcPr>
          <w:p w14:paraId="693518C9">
            <w:pPr>
              <w:adjustRightInd w:val="0"/>
              <w:snapToGrid w:val="0"/>
              <w:spacing w:line="30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5</w:t>
            </w:r>
            <w:r>
              <w:rPr>
                <w:rFonts w:ascii="宋体" w:hAnsi="宋体" w:cs="宋体"/>
                <w:color w:val="000000" w:themeColor="text1"/>
                <w:szCs w:val="21"/>
                <w14:textFill>
                  <w14:solidFill>
                    <w14:schemeClr w14:val="tx1"/>
                  </w14:solidFill>
                </w14:textFill>
              </w:rPr>
              <w:t>0</w:t>
            </w:r>
          </w:p>
        </w:tc>
        <w:tc>
          <w:tcPr>
            <w:tcW w:w="587" w:type="pct"/>
            <w:vAlign w:val="center"/>
          </w:tcPr>
          <w:p w14:paraId="3504D161">
            <w:pPr>
              <w:pStyle w:val="278"/>
              <w:adjustRightInd w:val="0"/>
              <w:snapToGrid w:val="0"/>
              <w:spacing w:line="300" w:lineRule="exact"/>
              <w:rPr>
                <w:rFonts w:hint="eastAsia"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达标</w:t>
            </w:r>
          </w:p>
        </w:tc>
      </w:tr>
      <w:tr w14:paraId="47D352D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458" w:type="pct"/>
            <w:vMerge w:val="continue"/>
            <w:vAlign w:val="center"/>
          </w:tcPr>
          <w:p w14:paraId="20995A29">
            <w:pPr>
              <w:pStyle w:val="202"/>
              <w:adjustRightInd w:val="0"/>
              <w:snapToGrid w:val="0"/>
              <w:spacing w:line="300" w:lineRule="exact"/>
              <w:ind w:firstLine="0" w:firstLineChars="0"/>
              <w:jc w:val="center"/>
              <w:rPr>
                <w:rFonts w:hint="eastAsia" w:cs="宋体"/>
                <w:b w:val="0"/>
                <w:color w:val="000000" w:themeColor="text1"/>
                <w:sz w:val="21"/>
                <w14:textFill>
                  <w14:solidFill>
                    <w14:schemeClr w14:val="tx1"/>
                  </w14:solidFill>
                </w14:textFill>
              </w:rPr>
            </w:pPr>
          </w:p>
        </w:tc>
        <w:tc>
          <w:tcPr>
            <w:tcW w:w="725" w:type="pct"/>
            <w:vMerge w:val="continue"/>
            <w:vAlign w:val="center"/>
          </w:tcPr>
          <w:p w14:paraId="362487E6">
            <w:pPr>
              <w:pStyle w:val="202"/>
              <w:adjustRightInd w:val="0"/>
              <w:snapToGrid w:val="0"/>
              <w:spacing w:line="300" w:lineRule="exact"/>
              <w:ind w:firstLine="0" w:firstLineChars="0"/>
              <w:jc w:val="center"/>
              <w:rPr>
                <w:rFonts w:hint="eastAsia" w:cs="宋体"/>
                <w:b w:val="0"/>
                <w:color w:val="000000" w:themeColor="text1"/>
                <w:sz w:val="21"/>
                <w14:textFill>
                  <w14:solidFill>
                    <w14:schemeClr w14:val="tx1"/>
                  </w14:solidFill>
                </w14:textFill>
              </w:rPr>
            </w:pPr>
          </w:p>
        </w:tc>
        <w:tc>
          <w:tcPr>
            <w:tcW w:w="700" w:type="pct"/>
            <w:vAlign w:val="center"/>
          </w:tcPr>
          <w:p w14:paraId="327E5474">
            <w:pPr>
              <w:pStyle w:val="202"/>
              <w:adjustRightInd w:val="0"/>
              <w:snapToGrid w:val="0"/>
              <w:spacing w:line="300" w:lineRule="exact"/>
              <w:ind w:firstLine="0" w:firstLineChars="0"/>
              <w:jc w:val="center"/>
              <w:rPr>
                <w:rFonts w:hint="eastAsia" w:cs="宋体"/>
                <w:b w:val="0"/>
                <w:color w:val="000000" w:themeColor="text1"/>
                <w:sz w:val="21"/>
                <w14:textFill>
                  <w14:solidFill>
                    <w14:schemeClr w14:val="tx1"/>
                  </w14:solidFill>
                </w14:textFill>
              </w:rPr>
            </w:pPr>
            <w:bookmarkStart w:id="224" w:name="_Toc216260244"/>
            <w:r>
              <w:rPr>
                <w:rFonts w:hint="eastAsia" w:cs="宋体"/>
                <w:b w:val="0"/>
                <w:color w:val="000000" w:themeColor="text1"/>
                <w:sz w:val="21"/>
                <w14:textFill>
                  <w14:solidFill>
                    <w14:schemeClr w14:val="tx1"/>
                  </w14:solidFill>
                </w14:textFill>
              </w:rPr>
              <w:t>北厂界</w:t>
            </w:r>
            <w:bookmarkEnd w:id="224"/>
          </w:p>
        </w:tc>
        <w:tc>
          <w:tcPr>
            <w:tcW w:w="458" w:type="pct"/>
            <w:vAlign w:val="center"/>
          </w:tcPr>
          <w:p w14:paraId="337AAE13">
            <w:pPr>
              <w:pStyle w:val="278"/>
              <w:adjustRightInd w:val="0"/>
              <w:snapToGrid w:val="0"/>
              <w:spacing w:line="300" w:lineRule="exact"/>
              <w:rPr>
                <w:rFonts w:hint="eastAsia"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49</w:t>
            </w:r>
          </w:p>
        </w:tc>
        <w:tc>
          <w:tcPr>
            <w:tcW w:w="457" w:type="pct"/>
            <w:vAlign w:val="center"/>
          </w:tcPr>
          <w:p w14:paraId="0474D0C5">
            <w:pPr>
              <w:adjustRightInd w:val="0"/>
              <w:snapToGrid w:val="0"/>
              <w:spacing w:line="30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6</w:t>
            </w:r>
            <w:r>
              <w:rPr>
                <w:rFonts w:ascii="宋体" w:hAnsi="宋体" w:cs="宋体"/>
                <w:color w:val="000000" w:themeColor="text1"/>
                <w:szCs w:val="21"/>
                <w14:textFill>
                  <w14:solidFill>
                    <w14:schemeClr w14:val="tx1"/>
                  </w14:solidFill>
                </w14:textFill>
              </w:rPr>
              <w:t>0</w:t>
            </w:r>
          </w:p>
        </w:tc>
        <w:tc>
          <w:tcPr>
            <w:tcW w:w="619" w:type="pct"/>
            <w:vAlign w:val="center"/>
          </w:tcPr>
          <w:p w14:paraId="1079BC15">
            <w:pPr>
              <w:pStyle w:val="278"/>
              <w:adjustRightInd w:val="0"/>
              <w:snapToGrid w:val="0"/>
              <w:spacing w:line="300" w:lineRule="exact"/>
              <w:rPr>
                <w:rFonts w:hint="eastAsia"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达标</w:t>
            </w:r>
          </w:p>
        </w:tc>
        <w:tc>
          <w:tcPr>
            <w:tcW w:w="538" w:type="pct"/>
          </w:tcPr>
          <w:p w14:paraId="2931330B">
            <w:pPr>
              <w:pStyle w:val="278"/>
              <w:adjustRightInd w:val="0"/>
              <w:snapToGrid w:val="0"/>
              <w:spacing w:line="300" w:lineRule="exact"/>
              <w:rPr>
                <w:rFonts w:hint="eastAsia"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46</w:t>
            </w:r>
          </w:p>
        </w:tc>
        <w:tc>
          <w:tcPr>
            <w:tcW w:w="458" w:type="pct"/>
            <w:vAlign w:val="center"/>
          </w:tcPr>
          <w:p w14:paraId="5F7FF66D">
            <w:pPr>
              <w:adjustRightInd w:val="0"/>
              <w:snapToGrid w:val="0"/>
              <w:spacing w:line="30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5</w:t>
            </w:r>
            <w:r>
              <w:rPr>
                <w:rFonts w:ascii="宋体" w:hAnsi="宋体" w:cs="宋体"/>
                <w:color w:val="000000" w:themeColor="text1"/>
                <w:szCs w:val="21"/>
                <w14:textFill>
                  <w14:solidFill>
                    <w14:schemeClr w14:val="tx1"/>
                  </w14:solidFill>
                </w14:textFill>
              </w:rPr>
              <w:t>0</w:t>
            </w:r>
          </w:p>
        </w:tc>
        <w:tc>
          <w:tcPr>
            <w:tcW w:w="587" w:type="pct"/>
            <w:vAlign w:val="center"/>
          </w:tcPr>
          <w:p w14:paraId="4B1D8DBC">
            <w:pPr>
              <w:pStyle w:val="278"/>
              <w:adjustRightInd w:val="0"/>
              <w:snapToGrid w:val="0"/>
              <w:spacing w:line="300" w:lineRule="exact"/>
              <w:rPr>
                <w:rFonts w:hint="eastAsia"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达标</w:t>
            </w:r>
          </w:p>
        </w:tc>
      </w:tr>
    </w:tbl>
    <w:p w14:paraId="111DF161">
      <w:pPr>
        <w:spacing w:line="500" w:lineRule="exact"/>
        <w:ind w:firstLine="480" w:firstLineChars="200"/>
        <w:rPr>
          <w:rFonts w:hint="eastAsia" w:ascii="宋体" w:hAnsi="宋体"/>
          <w:color w:val="000000" w:themeColor="text1"/>
          <w:kern w:val="0"/>
          <w:sz w:val="24"/>
          <w:szCs w:val="24"/>
          <w14:textFill>
            <w14:solidFill>
              <w14:schemeClr w14:val="tx1"/>
            </w14:solidFill>
          </w14:textFill>
        </w:rPr>
      </w:pPr>
      <w:r>
        <w:rPr>
          <w:rFonts w:hint="eastAsia" w:ascii="宋体" w:hAnsi="宋体"/>
          <w:color w:val="000000" w:themeColor="text1"/>
          <w:kern w:val="0"/>
          <w:sz w:val="24"/>
          <w:szCs w:val="24"/>
          <w14:textFill>
            <w14:solidFill>
              <w14:schemeClr w14:val="tx1"/>
            </w14:solidFill>
          </w14:textFill>
        </w:rPr>
        <w:t>（5）固体废物</w:t>
      </w:r>
    </w:p>
    <w:p w14:paraId="44C1BF99">
      <w:pPr>
        <w:pStyle w:val="191"/>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井区</w:t>
      </w:r>
      <w:r>
        <w:rPr>
          <w:rFonts w:hint="eastAsia" w:cs="宋体"/>
          <w:color w:val="000000" w:themeColor="text1"/>
          <w14:textFill>
            <w14:solidFill>
              <w14:schemeClr w14:val="tx1"/>
            </w14:solidFill>
          </w14:textFill>
        </w:rPr>
        <w:t>（包括本次改造的12口生产井）</w:t>
      </w:r>
      <w:r>
        <w:rPr>
          <w:rFonts w:hint="eastAsia"/>
          <w:color w:val="000000" w:themeColor="text1"/>
          <w14:textFill>
            <w14:solidFill>
              <w14:schemeClr w14:val="tx1"/>
            </w14:solidFill>
          </w14:textFill>
        </w:rPr>
        <w:t>固体废物主要为设备检维修时产生的废机油、废含油抹布、劳保用品和沾油防渗材料；页岩油联合站内固体废物主要为含油污泥、废机油、废含油抹布、劳保用品和生活垃圾；1号混输泵站固体废物主要为废机油、废含油抹布、劳保用品；含油污泥、废机油属于《国家危险废物名录》HW08类危险废物，废含油抹布、劳保用品和废滤料属于《国家危险废物名录》HW49类危险废物，集中收集后依托吉祥联合站危废暂存场暂存，最终统一交由克拉玛依博达生态环保科技有限责任公司。生活垃圾定期清运至吉木萨尔县生活垃圾填埋场。</w:t>
      </w:r>
    </w:p>
    <w:p w14:paraId="57E0349C">
      <w:pPr>
        <w:pStyle w:val="191"/>
        <w:ind w:firstLine="480"/>
        <w:rPr>
          <w:rFonts w:hint="eastAsia"/>
          <w:color w:val="000000" w:themeColor="text1"/>
          <w14:textFill>
            <w14:solidFill>
              <w14:schemeClr w14:val="tx1"/>
            </w14:solidFill>
          </w14:textFill>
        </w:rPr>
      </w:pPr>
      <w:bookmarkStart w:id="225" w:name="_Hlk173403573"/>
      <w:r>
        <w:rPr>
          <w:rFonts w:hint="eastAsia"/>
          <w:color w:val="000000" w:themeColor="text1"/>
          <w14:textFill>
            <w14:solidFill>
              <w14:schemeClr w14:val="tx1"/>
            </w14:solidFill>
          </w14:textFill>
        </w:rPr>
        <w:t>（6）土壤和地下水</w:t>
      </w:r>
    </w:p>
    <w:p w14:paraId="4F4F3151">
      <w:pPr>
        <w:pStyle w:val="191"/>
        <w:ind w:firstLine="480"/>
        <w:rPr>
          <w:rFonts w:hint="eastAsia"/>
          <w:color w:val="000000" w:themeColor="text1"/>
          <w:spacing w:val="-4"/>
          <w14:textFill>
            <w14:solidFill>
              <w14:schemeClr w14:val="tx1"/>
            </w14:solidFill>
          </w14:textFill>
        </w:rPr>
      </w:pPr>
      <w:bookmarkStart w:id="226" w:name="OLE_LINK22"/>
      <w:r>
        <w:rPr>
          <w:rFonts w:hint="eastAsia"/>
          <w:color w:val="000000" w:themeColor="text1"/>
          <w14:textFill>
            <w14:solidFill>
              <w14:schemeClr w14:val="tx1"/>
            </w14:solidFill>
          </w14:textFill>
        </w:rPr>
        <w:t>井区</w:t>
      </w:r>
      <w:r>
        <w:rPr>
          <w:rFonts w:hint="eastAsia" w:cs="宋体"/>
          <w:color w:val="000000" w:themeColor="text1"/>
          <w14:textFill>
            <w14:solidFill>
              <w14:schemeClr w14:val="tx1"/>
            </w14:solidFill>
          </w14:textFill>
        </w:rPr>
        <w:t>（包括本次改造的12口生产井）</w:t>
      </w:r>
      <w:r>
        <w:rPr>
          <w:rFonts w:hint="eastAsia"/>
          <w:color w:val="000000" w:themeColor="text1"/>
          <w14:textFill>
            <w14:solidFill>
              <w14:schemeClr w14:val="tx1"/>
            </w14:solidFill>
          </w14:textFill>
        </w:rPr>
        <w:t>和站场产生的废水、固体废物均得到妥善处置，吉庆油田作业区采取的土壤和地下水保护措施主要为：井场、页岩油联合站和1号混输泵站均进行了分区防渗，1</w:t>
      </w:r>
      <w:r>
        <w:rPr>
          <w:color w:val="000000" w:themeColor="text1"/>
          <w14:textFill>
            <w14:solidFill>
              <w14:schemeClr w14:val="tx1"/>
            </w14:solidFill>
          </w14:textFill>
        </w:rPr>
        <w:t>5</w:t>
      </w:r>
      <w:r>
        <w:rPr>
          <w:rFonts w:hint="eastAsia"/>
          <w:color w:val="000000" w:themeColor="text1"/>
          <w14:textFill>
            <w14:solidFill>
              <w14:schemeClr w14:val="tx1"/>
            </w14:solidFill>
          </w14:textFill>
        </w:rPr>
        <w:t>万方压裂液储存池、90万方压裂液返排防渗池和化粪池均进行了防渗处理，加强对各类储罐、管线、各类池体的日常维护和巡检，装车区及页岩油联合站卸油区的罐中均设有液位计，装车时出料口处设有残余液体收集装置，并定期清空；作业区定期对管线进行渗漏监测；各类传输泵进料端均安装了关闭控制阀门，加强对各类传输泵的维护。</w:t>
      </w:r>
      <w:bookmarkEnd w:id="225"/>
      <w:bookmarkEnd w:id="226"/>
      <w:r>
        <w:rPr>
          <w:rFonts w:hint="eastAsia"/>
          <w:color w:val="000000" w:themeColor="text1"/>
          <w14:textFill>
            <w14:solidFill>
              <w14:schemeClr w14:val="tx1"/>
            </w14:solidFill>
          </w14:textFill>
        </w:rPr>
        <w:t>《中国石油新疆油田分公司吉庆油田作业区土壤污染隐患排查报告》中对</w:t>
      </w:r>
      <w:r>
        <w:rPr>
          <w:rFonts w:hint="eastAsia"/>
          <w:color w:val="000000" w:themeColor="text1"/>
          <w:spacing w:val="-4"/>
          <w14:textFill>
            <w14:solidFill>
              <w14:schemeClr w14:val="tx1"/>
            </w14:solidFill>
          </w14:textFill>
        </w:rPr>
        <w:t>页岩油井区、页岩油联合站和1号混熟泵站内土壤进行了监测，根据监测结果可知，土壤中的各监测因子均满足</w:t>
      </w:r>
      <w:r>
        <w:rPr>
          <w:color w:val="000000" w:themeColor="text1"/>
          <w14:textFill>
            <w14:solidFill>
              <w14:schemeClr w14:val="tx1"/>
            </w14:solidFill>
          </w14:textFill>
        </w:rPr>
        <w:t>《土壤环境质量 建设用地土壤污染风险管控标准（试行）》（GB36600-2018）第二类用地风险筛选值要求。</w:t>
      </w:r>
      <w:r>
        <w:rPr>
          <w:rFonts w:hint="eastAsia"/>
          <w:color w:val="000000" w:themeColor="text1"/>
          <w:spacing w:val="-4"/>
          <w14:textFill>
            <w14:solidFill>
              <w14:schemeClr w14:val="tx1"/>
            </w14:solidFill>
          </w14:textFill>
        </w:rPr>
        <w:t>根据吉庆油田作业区对附近现有地下水井例行监测数据可知，区域地下水中石油类满足《地表水环境质量标准》（GB3838-2002）中的Ⅲ类标准要求。</w:t>
      </w:r>
    </w:p>
    <w:p w14:paraId="2C23D8CD">
      <w:pPr>
        <w:pStyle w:val="191"/>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（7）生态环境</w:t>
      </w:r>
    </w:p>
    <w:p w14:paraId="76410B48">
      <w:pPr>
        <w:pStyle w:val="191"/>
        <w:ind w:firstLine="480"/>
        <w:rPr>
          <w:rFonts w:hint="eastAsia"/>
          <w:color w:val="000000" w:themeColor="text1"/>
          <w14:textFill>
            <w14:solidFill>
              <w14:schemeClr w14:val="tx1"/>
            </w14:solidFill>
          </w14:textFill>
        </w:rPr>
      </w:pPr>
      <w:r>
        <w:rPr>
          <w:color w:val="000000" w:themeColor="text1"/>
          <w14:textFill>
            <w14:solidFill>
              <w14:schemeClr w14:val="tx1"/>
            </w14:solidFill>
          </w14:textFill>
        </w:rPr>
        <w:t>油田区域内钻井工程结束后，基本对临时占地范围内及周边的场地进行了清理及平整，恢复了原貌。对井场永久占地范围内地表结合井区荒漠的特点，油田道路铺设了砂石，站场周围做了平整和压实，减少了侵蚀量。根据现场踏勘情况，区域内井场至计量站的集输管线均采用了地下敷设方式，施工结束后恢复了地表原状。计量站已完成地面硬化，现有井场均已平整，由砾石铺垫，井场周边也形成了较稳定的生态结构，根据完井时间不同，各井场恢复程度不同。</w:t>
      </w:r>
    </w:p>
    <w:p w14:paraId="385ACF0E">
      <w:pPr>
        <w:pStyle w:val="191"/>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（8）环境管理回顾</w:t>
      </w:r>
    </w:p>
    <w:p w14:paraId="0EC61658">
      <w:pPr>
        <w:pStyle w:val="191"/>
        <w:ind w:firstLine="480"/>
        <w:rPr>
          <w:rFonts w:hint="eastAsia"/>
          <w:color w:val="000000" w:themeColor="text1"/>
          <w14:textFill>
            <w14:solidFill>
              <w14:schemeClr w14:val="tx1"/>
            </w14:solidFill>
          </w14:textFill>
        </w:rPr>
      </w:pPr>
      <w:bookmarkStart w:id="227" w:name="_Hlk206576852"/>
      <w:r>
        <w:rPr>
          <w:rFonts w:hint="eastAsia"/>
          <w:color w:val="000000" w:themeColor="text1"/>
          <w14:textFill>
            <w14:solidFill>
              <w14:schemeClr w14:val="tx1"/>
            </w14:solidFill>
          </w14:textFill>
        </w:rPr>
        <w:t>吉庆作业区油气开发始于2018年，目前正在组织开展第一轮环境影响后评价工作；根据《固定污染源排污许可分类管理名录（2019年版）》，页岩油联合站内的热媒炉等固定污染源实行排污许可登记管理，作业区已取得了固定污染源排污登记回执（登记编号：</w:t>
      </w:r>
      <w:r>
        <w:rPr>
          <w:color w:val="000000" w:themeColor="text1"/>
          <w14:textFill>
            <w14:solidFill>
              <w14:schemeClr w14:val="tx1"/>
            </w14:solidFill>
          </w14:textFill>
        </w:rPr>
        <w:t>91650200715597998M057Z</w:t>
      </w:r>
      <w:r>
        <w:rPr>
          <w:rFonts w:hint="eastAsia"/>
          <w:color w:val="000000" w:themeColor="text1"/>
          <w14:textFill>
            <w14:solidFill>
              <w14:schemeClr w14:val="tx1"/>
            </w14:solidFill>
          </w14:textFill>
        </w:rPr>
        <w:t>），首次申领日期为2020年11月26日，分别于2023年05月13日、2024年06月13日和2024年10月31日进行了变更。</w:t>
      </w:r>
    </w:p>
    <w:bookmarkEnd w:id="227"/>
    <w:p w14:paraId="6053E1AB">
      <w:pPr>
        <w:pStyle w:val="462"/>
        <w:rPr>
          <w:rFonts w:hint="eastAsia"/>
          <w:color w:val="000000" w:themeColor="text1"/>
          <w14:textFill>
            <w14:solidFill>
              <w14:schemeClr w14:val="tx1"/>
            </w14:solidFill>
          </w14:textFill>
        </w:rPr>
      </w:pPr>
      <w:bookmarkStart w:id="228" w:name="OLE_LINK202"/>
      <w:r>
        <w:rPr>
          <w:rFonts w:hint="eastAsia"/>
          <w:color w:val="000000" w:themeColor="text1"/>
          <w14:textFill>
            <w14:solidFill>
              <w14:schemeClr w14:val="tx1"/>
            </w14:solidFill>
          </w14:textFill>
        </w:rPr>
        <w:t>吉庆油田作业区编制了《中国石油新疆油田分公司吉庆油田作业区突发环境事件应急预案》，已在昌吉回族自治州生态环境局吉木萨尔县分局进行了备案（备案编号：6</w:t>
      </w:r>
      <w:r>
        <w:rPr>
          <w:color w:val="000000" w:themeColor="text1"/>
          <w14:textFill>
            <w14:solidFill>
              <w14:schemeClr w14:val="tx1"/>
            </w14:solidFill>
          </w14:textFill>
        </w:rPr>
        <w:t>52327-2023-016-L</w:t>
      </w:r>
      <w:r>
        <w:rPr>
          <w:rFonts w:hint="eastAsia"/>
          <w:color w:val="000000" w:themeColor="text1"/>
          <w14:textFill>
            <w14:solidFill>
              <w14:schemeClr w14:val="tx1"/>
            </w14:solidFill>
          </w14:textFill>
        </w:rPr>
        <w:t>）</w:t>
      </w:r>
      <w:bookmarkEnd w:id="228"/>
      <w:r>
        <w:rPr>
          <w:rFonts w:hint="eastAsia"/>
          <w:color w:val="000000" w:themeColor="text1"/>
          <w14:textFill>
            <w14:solidFill>
              <w14:schemeClr w14:val="tx1"/>
            </w14:solidFill>
          </w14:textFill>
        </w:rPr>
        <w:t>。</w:t>
      </w:r>
      <w:r>
        <w:rPr>
          <w:rFonts w:hint="eastAsia"/>
          <w:color w:val="000000" w:themeColor="text1"/>
          <w:lang w:bidi="ar"/>
          <w14:textFill>
            <w14:solidFill>
              <w14:schemeClr w14:val="tx1"/>
            </w14:solidFill>
          </w14:textFill>
        </w:rPr>
        <w:t>同时作业区制定有“突发环境事件应急演练计划”，每年进行1次突发环境事件应急演练，演练完成后编制了《突发环境事件应急评价总结》。</w:t>
      </w:r>
    </w:p>
    <w:p w14:paraId="0D0543B4">
      <w:pPr>
        <w:widowControl/>
        <w:adjustRightInd w:val="0"/>
        <w:snapToGrid w:val="0"/>
        <w:spacing w:line="500" w:lineRule="exact"/>
        <w:ind w:firstLine="480" w:firstLineChars="200"/>
        <w:rPr>
          <w:rFonts w:hint="eastAsia"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（9）现有工程污染物排放量汇总</w:t>
      </w:r>
    </w:p>
    <w:p w14:paraId="1E02F70E">
      <w:pPr>
        <w:widowControl/>
        <w:adjustRightInd w:val="0"/>
        <w:snapToGrid w:val="0"/>
        <w:spacing w:line="500" w:lineRule="exact"/>
        <w:ind w:firstLine="480" w:firstLineChars="200"/>
        <w:rPr>
          <w:rFonts w:hint="eastAsia"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现有工程污染物排放量见表3.1-11。</w:t>
      </w:r>
    </w:p>
    <w:p w14:paraId="72CCA36F">
      <w:pPr>
        <w:pStyle w:val="109"/>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表3.1-11  现有工程污染物产生及排放情况一览表</w:t>
      </w:r>
    </w:p>
    <w:tbl>
      <w:tblPr>
        <w:tblStyle w:val="51"/>
        <w:tblW w:w="5000"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28" w:type="dxa"/>
          <w:bottom w:w="0" w:type="dxa"/>
          <w:right w:w="28" w:type="dxa"/>
        </w:tblCellMar>
      </w:tblPr>
      <w:tblGrid>
        <w:gridCol w:w="806"/>
        <w:gridCol w:w="2188"/>
        <w:gridCol w:w="1856"/>
        <w:gridCol w:w="2140"/>
        <w:gridCol w:w="1796"/>
      </w:tblGrid>
      <w:tr w14:paraId="252A2D8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trPr>
        <w:tc>
          <w:tcPr>
            <w:tcW w:w="459" w:type="pct"/>
            <w:vAlign w:val="center"/>
          </w:tcPr>
          <w:p w14:paraId="2FA6C0E0">
            <w:pPr>
              <w:pStyle w:val="286"/>
              <w:adjustRightInd w:val="0"/>
              <w:snapToGrid w:val="0"/>
              <w:spacing w:line="300" w:lineRule="exact"/>
              <w:rPr>
                <w:rFonts w:hint="eastAsia" w:cs="宋体"/>
                <w:color w:val="000000" w:themeColor="text1"/>
                <w:sz w:val="21"/>
                <w14:textFill>
                  <w14:solidFill>
                    <w14:schemeClr w14:val="tx1"/>
                  </w14:solidFill>
                </w14:textFill>
              </w:rPr>
            </w:pPr>
            <w:r>
              <w:rPr>
                <w:rFonts w:hint="eastAsia" w:cs="宋体"/>
                <w:color w:val="000000" w:themeColor="text1"/>
                <w:sz w:val="21"/>
                <w14:textFill>
                  <w14:solidFill>
                    <w14:schemeClr w14:val="tx1"/>
                  </w14:solidFill>
                </w14:textFill>
              </w:rPr>
              <w:t>类别</w:t>
            </w:r>
          </w:p>
        </w:tc>
        <w:tc>
          <w:tcPr>
            <w:tcW w:w="1245" w:type="pct"/>
            <w:vAlign w:val="center"/>
          </w:tcPr>
          <w:p w14:paraId="2B422C6A">
            <w:pPr>
              <w:pStyle w:val="286"/>
              <w:adjustRightInd w:val="0"/>
              <w:snapToGrid w:val="0"/>
              <w:spacing w:line="300" w:lineRule="exact"/>
              <w:rPr>
                <w:rFonts w:hint="eastAsia" w:cs="宋体"/>
                <w:color w:val="000000" w:themeColor="text1"/>
                <w:sz w:val="21"/>
                <w14:textFill>
                  <w14:solidFill>
                    <w14:schemeClr w14:val="tx1"/>
                  </w14:solidFill>
                </w14:textFill>
              </w:rPr>
            </w:pPr>
            <w:r>
              <w:rPr>
                <w:rFonts w:hint="eastAsia" w:cs="宋体"/>
                <w:color w:val="000000" w:themeColor="text1"/>
                <w:sz w:val="21"/>
                <w14:textFill>
                  <w14:solidFill>
                    <w14:schemeClr w14:val="tx1"/>
                  </w14:solidFill>
                </w14:textFill>
              </w:rPr>
              <w:t>污染源</w:t>
            </w:r>
          </w:p>
        </w:tc>
        <w:tc>
          <w:tcPr>
            <w:tcW w:w="1056" w:type="pct"/>
            <w:vAlign w:val="center"/>
          </w:tcPr>
          <w:p w14:paraId="24AEAC96">
            <w:pPr>
              <w:pStyle w:val="286"/>
              <w:adjustRightInd w:val="0"/>
              <w:snapToGrid w:val="0"/>
              <w:spacing w:line="300" w:lineRule="exact"/>
              <w:rPr>
                <w:rFonts w:hint="eastAsia" w:cs="宋体"/>
                <w:color w:val="000000" w:themeColor="text1"/>
                <w:sz w:val="21"/>
                <w14:textFill>
                  <w14:solidFill>
                    <w14:schemeClr w14:val="tx1"/>
                  </w14:solidFill>
                </w14:textFill>
              </w:rPr>
            </w:pPr>
            <w:r>
              <w:rPr>
                <w:rFonts w:hint="eastAsia" w:cs="宋体"/>
                <w:color w:val="000000" w:themeColor="text1"/>
                <w:sz w:val="21"/>
                <w14:textFill>
                  <w14:solidFill>
                    <w14:schemeClr w14:val="tx1"/>
                  </w14:solidFill>
                </w14:textFill>
              </w:rPr>
              <w:t>污染物名称</w:t>
            </w:r>
          </w:p>
        </w:tc>
        <w:tc>
          <w:tcPr>
            <w:tcW w:w="1218" w:type="pct"/>
          </w:tcPr>
          <w:p w14:paraId="5C1FB44F">
            <w:pPr>
              <w:pStyle w:val="286"/>
              <w:adjustRightInd w:val="0"/>
              <w:snapToGrid w:val="0"/>
              <w:spacing w:line="300" w:lineRule="exact"/>
              <w:rPr>
                <w:rFonts w:hint="eastAsia" w:cs="宋体"/>
                <w:color w:val="000000" w:themeColor="text1"/>
                <w:sz w:val="21"/>
                <w14:textFill>
                  <w14:solidFill>
                    <w14:schemeClr w14:val="tx1"/>
                  </w14:solidFill>
                </w14:textFill>
              </w:rPr>
            </w:pPr>
            <w:r>
              <w:rPr>
                <w:rFonts w:hint="eastAsia" w:cs="宋体"/>
                <w:color w:val="000000" w:themeColor="text1"/>
                <w:sz w:val="21"/>
                <w14:textFill>
                  <w14:solidFill>
                    <w14:schemeClr w14:val="tx1"/>
                  </w14:solidFill>
                </w14:textFill>
              </w:rPr>
              <w:t>现有工程产生量</w:t>
            </w:r>
          </w:p>
        </w:tc>
        <w:tc>
          <w:tcPr>
            <w:tcW w:w="1022" w:type="pct"/>
            <w:vAlign w:val="center"/>
          </w:tcPr>
          <w:p w14:paraId="47550EEB">
            <w:pPr>
              <w:pStyle w:val="286"/>
              <w:adjustRightInd w:val="0"/>
              <w:snapToGrid w:val="0"/>
              <w:spacing w:line="300" w:lineRule="exact"/>
              <w:rPr>
                <w:rFonts w:hint="eastAsia" w:cs="宋体"/>
                <w:color w:val="000000" w:themeColor="text1"/>
                <w:sz w:val="21"/>
                <w14:textFill>
                  <w14:solidFill>
                    <w14:schemeClr w14:val="tx1"/>
                  </w14:solidFill>
                </w14:textFill>
              </w:rPr>
            </w:pPr>
            <w:r>
              <w:rPr>
                <w:rFonts w:hint="eastAsia" w:cs="宋体"/>
                <w:color w:val="000000" w:themeColor="text1"/>
                <w:sz w:val="21"/>
                <w14:textFill>
                  <w14:solidFill>
                    <w14:schemeClr w14:val="tx1"/>
                  </w14:solidFill>
                </w14:textFill>
              </w:rPr>
              <w:t>现有工程排放量</w:t>
            </w:r>
          </w:p>
        </w:tc>
      </w:tr>
      <w:tr w14:paraId="56ACA95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trPr>
        <w:tc>
          <w:tcPr>
            <w:tcW w:w="459" w:type="pct"/>
            <w:vMerge w:val="restart"/>
            <w:vAlign w:val="center"/>
          </w:tcPr>
          <w:p w14:paraId="5E20896D">
            <w:pPr>
              <w:pStyle w:val="286"/>
              <w:adjustRightInd w:val="0"/>
              <w:snapToGrid w:val="0"/>
              <w:spacing w:line="300" w:lineRule="exact"/>
              <w:rPr>
                <w:rFonts w:hint="eastAsia" w:cs="宋体"/>
                <w:color w:val="000000" w:themeColor="text1"/>
                <w:sz w:val="21"/>
                <w14:textFill>
                  <w14:solidFill>
                    <w14:schemeClr w14:val="tx1"/>
                  </w14:solidFill>
                </w14:textFill>
              </w:rPr>
            </w:pPr>
            <w:r>
              <w:rPr>
                <w:rFonts w:hint="eastAsia" w:cs="宋体"/>
                <w:color w:val="000000" w:themeColor="text1"/>
                <w:sz w:val="21"/>
                <w14:textFill>
                  <w14:solidFill>
                    <w14:schemeClr w14:val="tx1"/>
                  </w14:solidFill>
                </w14:textFill>
              </w:rPr>
              <w:t>废气</w:t>
            </w:r>
          </w:p>
        </w:tc>
        <w:tc>
          <w:tcPr>
            <w:tcW w:w="1245" w:type="pct"/>
            <w:vMerge w:val="restart"/>
            <w:vAlign w:val="center"/>
          </w:tcPr>
          <w:p w14:paraId="2144F317">
            <w:pPr>
              <w:pStyle w:val="286"/>
              <w:adjustRightInd w:val="0"/>
              <w:snapToGrid w:val="0"/>
              <w:spacing w:line="300" w:lineRule="exact"/>
              <w:rPr>
                <w:rFonts w:hint="eastAsia" w:cs="宋体"/>
                <w:color w:val="000000" w:themeColor="text1"/>
                <w:sz w:val="21"/>
                <w14:textFill>
                  <w14:solidFill>
                    <w14:schemeClr w14:val="tx1"/>
                  </w14:solidFill>
                </w14:textFill>
              </w:rPr>
            </w:pPr>
            <w:r>
              <w:rPr>
                <w:rFonts w:hint="eastAsia" w:cs="宋体"/>
                <w:color w:val="000000" w:themeColor="text1"/>
                <w:sz w:val="21"/>
                <w14:textFill>
                  <w14:solidFill>
                    <w14:schemeClr w14:val="tx1"/>
                  </w14:solidFill>
                </w14:textFill>
              </w:rPr>
              <w:t>无组织排放</w:t>
            </w:r>
          </w:p>
        </w:tc>
        <w:tc>
          <w:tcPr>
            <w:tcW w:w="1056" w:type="pct"/>
            <w:vAlign w:val="center"/>
          </w:tcPr>
          <w:p w14:paraId="6D2E80AF">
            <w:pPr>
              <w:pStyle w:val="286"/>
              <w:adjustRightInd w:val="0"/>
              <w:snapToGrid w:val="0"/>
              <w:spacing w:line="300" w:lineRule="exact"/>
              <w:rPr>
                <w:rFonts w:hint="eastAsia" w:cs="宋体"/>
                <w:color w:val="000000" w:themeColor="text1"/>
                <w:sz w:val="21"/>
                <w14:textFill>
                  <w14:solidFill>
                    <w14:schemeClr w14:val="tx1"/>
                  </w14:solidFill>
                </w14:textFill>
              </w:rPr>
            </w:pPr>
            <w:r>
              <w:rPr>
                <w:rFonts w:hint="eastAsia" w:cs="宋体"/>
                <w:color w:val="000000" w:themeColor="text1"/>
                <w:sz w:val="21"/>
                <w14:textFill>
                  <w14:solidFill>
                    <w14:schemeClr w14:val="tx1"/>
                  </w14:solidFill>
                </w14:textFill>
              </w:rPr>
              <w:t>非甲烷总烃</w:t>
            </w:r>
          </w:p>
        </w:tc>
        <w:tc>
          <w:tcPr>
            <w:tcW w:w="1218" w:type="pct"/>
            <w:vAlign w:val="center"/>
          </w:tcPr>
          <w:p w14:paraId="2C0BB6C8">
            <w:pPr>
              <w:pStyle w:val="286"/>
              <w:adjustRightInd w:val="0"/>
              <w:snapToGrid w:val="0"/>
              <w:spacing w:line="300" w:lineRule="exact"/>
              <w:rPr>
                <w:rFonts w:hint="eastAsia" w:cs="宋体"/>
                <w:color w:val="000000" w:themeColor="text1"/>
                <w:sz w:val="21"/>
                <w14:textFill>
                  <w14:solidFill>
                    <w14:schemeClr w14:val="tx1"/>
                  </w14:solidFill>
                </w14:textFill>
              </w:rPr>
            </w:pPr>
            <w:r>
              <w:rPr>
                <w:rFonts w:hint="eastAsia" w:cs="宋体"/>
                <w:color w:val="000000" w:themeColor="text1"/>
                <w:sz w:val="21"/>
                <w14:textFill>
                  <w14:solidFill>
                    <w14:schemeClr w14:val="tx1"/>
                  </w14:solidFill>
                </w14:textFill>
              </w:rPr>
              <w:t>454.645t/a</w:t>
            </w:r>
          </w:p>
        </w:tc>
        <w:tc>
          <w:tcPr>
            <w:tcW w:w="1022" w:type="pct"/>
            <w:vAlign w:val="center"/>
          </w:tcPr>
          <w:p w14:paraId="586FDE36">
            <w:pPr>
              <w:pStyle w:val="286"/>
              <w:adjustRightInd w:val="0"/>
              <w:snapToGrid w:val="0"/>
              <w:spacing w:line="300" w:lineRule="exact"/>
              <w:rPr>
                <w:rFonts w:hint="eastAsia" w:cs="宋体"/>
                <w:color w:val="000000" w:themeColor="text1"/>
                <w:sz w:val="21"/>
                <w14:textFill>
                  <w14:solidFill>
                    <w14:schemeClr w14:val="tx1"/>
                  </w14:solidFill>
                </w14:textFill>
              </w:rPr>
            </w:pPr>
            <w:r>
              <w:rPr>
                <w:rFonts w:hint="eastAsia" w:cs="宋体"/>
                <w:color w:val="000000" w:themeColor="text1"/>
                <w:sz w:val="21"/>
                <w14:textFill>
                  <w14:solidFill>
                    <w14:schemeClr w14:val="tx1"/>
                  </w14:solidFill>
                </w14:textFill>
              </w:rPr>
              <w:t>454.645t/a</w:t>
            </w:r>
          </w:p>
        </w:tc>
      </w:tr>
      <w:tr w14:paraId="31E5479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trPr>
        <w:tc>
          <w:tcPr>
            <w:tcW w:w="459" w:type="pct"/>
            <w:vMerge w:val="continue"/>
            <w:vAlign w:val="center"/>
          </w:tcPr>
          <w:p w14:paraId="38EA3645">
            <w:pPr>
              <w:pStyle w:val="286"/>
              <w:adjustRightInd w:val="0"/>
              <w:snapToGrid w:val="0"/>
              <w:spacing w:line="300" w:lineRule="exact"/>
              <w:rPr>
                <w:rFonts w:hint="eastAsia" w:cs="宋体"/>
                <w:color w:val="000000" w:themeColor="text1"/>
                <w:sz w:val="21"/>
                <w14:textFill>
                  <w14:solidFill>
                    <w14:schemeClr w14:val="tx1"/>
                  </w14:solidFill>
                </w14:textFill>
              </w:rPr>
            </w:pPr>
          </w:p>
        </w:tc>
        <w:tc>
          <w:tcPr>
            <w:tcW w:w="1245" w:type="pct"/>
            <w:vMerge w:val="continue"/>
            <w:vAlign w:val="center"/>
          </w:tcPr>
          <w:p w14:paraId="0C30B49C">
            <w:pPr>
              <w:pStyle w:val="286"/>
              <w:adjustRightInd w:val="0"/>
              <w:snapToGrid w:val="0"/>
              <w:spacing w:line="300" w:lineRule="exact"/>
              <w:rPr>
                <w:rFonts w:hint="eastAsia" w:cs="宋体"/>
                <w:color w:val="000000" w:themeColor="text1"/>
                <w:sz w:val="21"/>
                <w14:textFill>
                  <w14:solidFill>
                    <w14:schemeClr w14:val="tx1"/>
                  </w14:solidFill>
                </w14:textFill>
              </w:rPr>
            </w:pPr>
          </w:p>
        </w:tc>
        <w:tc>
          <w:tcPr>
            <w:tcW w:w="1056" w:type="pct"/>
            <w:vAlign w:val="center"/>
          </w:tcPr>
          <w:p w14:paraId="438D7959">
            <w:pPr>
              <w:pStyle w:val="286"/>
              <w:adjustRightInd w:val="0"/>
              <w:snapToGrid w:val="0"/>
              <w:spacing w:line="300" w:lineRule="exact"/>
              <w:rPr>
                <w:rFonts w:hint="eastAsia" w:cs="宋体"/>
                <w:color w:val="000000" w:themeColor="text1"/>
                <w:sz w:val="21"/>
                <w14:textFill>
                  <w14:solidFill>
                    <w14:schemeClr w14:val="tx1"/>
                  </w14:solidFill>
                </w14:textFill>
              </w:rPr>
            </w:pPr>
            <w:r>
              <w:rPr>
                <w:rFonts w:hint="eastAsia" w:cs="宋体"/>
                <w:color w:val="000000" w:themeColor="text1"/>
                <w:sz w:val="21"/>
                <w14:textFill>
                  <w14:solidFill>
                    <w14:schemeClr w14:val="tx1"/>
                  </w14:solidFill>
                </w14:textFill>
              </w:rPr>
              <w:t>硫化氢</w:t>
            </w:r>
          </w:p>
        </w:tc>
        <w:tc>
          <w:tcPr>
            <w:tcW w:w="1218" w:type="pct"/>
            <w:vAlign w:val="center"/>
          </w:tcPr>
          <w:p w14:paraId="25751969">
            <w:pPr>
              <w:pStyle w:val="286"/>
              <w:adjustRightInd w:val="0"/>
              <w:snapToGrid w:val="0"/>
              <w:spacing w:line="300" w:lineRule="exact"/>
              <w:rPr>
                <w:rFonts w:hint="eastAsia" w:cs="宋体"/>
                <w:color w:val="000000" w:themeColor="text1"/>
                <w:sz w:val="21"/>
                <w14:textFill>
                  <w14:solidFill>
                    <w14:schemeClr w14:val="tx1"/>
                  </w14:solidFill>
                </w14:textFill>
              </w:rPr>
            </w:pPr>
            <w:r>
              <w:rPr>
                <w:rFonts w:hint="eastAsia" w:cs="宋体"/>
                <w:color w:val="000000" w:themeColor="text1"/>
                <w:sz w:val="21"/>
                <w14:textFill>
                  <w14:solidFill>
                    <w14:schemeClr w14:val="tx1"/>
                  </w14:solidFill>
                </w14:textFill>
              </w:rPr>
              <w:t>/</w:t>
            </w:r>
          </w:p>
        </w:tc>
        <w:tc>
          <w:tcPr>
            <w:tcW w:w="1022" w:type="pct"/>
            <w:vAlign w:val="center"/>
          </w:tcPr>
          <w:p w14:paraId="185C8EF7">
            <w:pPr>
              <w:pStyle w:val="286"/>
              <w:adjustRightInd w:val="0"/>
              <w:snapToGrid w:val="0"/>
              <w:spacing w:line="300" w:lineRule="exact"/>
              <w:rPr>
                <w:rFonts w:hint="eastAsia" w:cs="宋体"/>
                <w:color w:val="000000" w:themeColor="text1"/>
                <w:sz w:val="21"/>
                <w14:textFill>
                  <w14:solidFill>
                    <w14:schemeClr w14:val="tx1"/>
                  </w14:solidFill>
                </w14:textFill>
              </w:rPr>
            </w:pPr>
            <w:r>
              <w:rPr>
                <w:rFonts w:hint="eastAsia" w:cs="宋体"/>
                <w:color w:val="000000" w:themeColor="text1"/>
                <w:sz w:val="21"/>
                <w14:textFill>
                  <w14:solidFill>
                    <w14:schemeClr w14:val="tx1"/>
                  </w14:solidFill>
                </w14:textFill>
              </w:rPr>
              <w:t>/</w:t>
            </w:r>
          </w:p>
        </w:tc>
      </w:tr>
      <w:tr w14:paraId="236756D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trPr>
        <w:tc>
          <w:tcPr>
            <w:tcW w:w="459" w:type="pct"/>
            <w:vMerge w:val="continue"/>
            <w:vAlign w:val="center"/>
          </w:tcPr>
          <w:p w14:paraId="43F825A0">
            <w:pPr>
              <w:pStyle w:val="286"/>
              <w:adjustRightInd w:val="0"/>
              <w:snapToGrid w:val="0"/>
              <w:spacing w:line="300" w:lineRule="exact"/>
              <w:rPr>
                <w:rFonts w:hint="eastAsia" w:cs="宋体"/>
                <w:color w:val="000000" w:themeColor="text1"/>
                <w:sz w:val="21"/>
                <w14:textFill>
                  <w14:solidFill>
                    <w14:schemeClr w14:val="tx1"/>
                  </w14:solidFill>
                </w14:textFill>
              </w:rPr>
            </w:pPr>
            <w:bookmarkStart w:id="229" w:name="_Hlk173322489"/>
          </w:p>
        </w:tc>
        <w:tc>
          <w:tcPr>
            <w:tcW w:w="1245" w:type="pct"/>
            <w:vMerge w:val="restart"/>
            <w:vAlign w:val="center"/>
          </w:tcPr>
          <w:p w14:paraId="21C846B1">
            <w:pPr>
              <w:pStyle w:val="286"/>
              <w:adjustRightInd w:val="0"/>
              <w:snapToGrid w:val="0"/>
              <w:spacing w:line="300" w:lineRule="exact"/>
              <w:rPr>
                <w:rFonts w:hint="eastAsia" w:cs="宋体"/>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热媒炉、燃气设备等烟气</w:t>
            </w:r>
          </w:p>
        </w:tc>
        <w:tc>
          <w:tcPr>
            <w:tcW w:w="1056" w:type="pct"/>
            <w:vAlign w:val="center"/>
          </w:tcPr>
          <w:p w14:paraId="1B4CA66E">
            <w:pPr>
              <w:pStyle w:val="286"/>
              <w:adjustRightInd w:val="0"/>
              <w:snapToGrid w:val="0"/>
              <w:spacing w:line="300" w:lineRule="exact"/>
              <w:rPr>
                <w:rFonts w:hint="eastAsia" w:cs="宋体"/>
                <w:color w:val="000000" w:themeColor="text1"/>
                <w:sz w:val="21"/>
                <w14:textFill>
                  <w14:solidFill>
                    <w14:schemeClr w14:val="tx1"/>
                  </w14:solidFill>
                </w14:textFill>
              </w:rPr>
            </w:pPr>
            <w:r>
              <w:rPr>
                <w:rFonts w:hint="eastAsia"/>
                <w:color w:val="000000" w:themeColor="text1"/>
                <w:kern w:val="2"/>
                <w:sz w:val="21"/>
                <w14:textFill>
                  <w14:solidFill>
                    <w14:schemeClr w14:val="tx1"/>
                  </w14:solidFill>
                </w14:textFill>
              </w:rPr>
              <w:t>NO</w:t>
            </w:r>
            <w:r>
              <w:rPr>
                <w:rFonts w:hint="eastAsia"/>
                <w:color w:val="000000" w:themeColor="text1"/>
                <w:kern w:val="2"/>
                <w:sz w:val="21"/>
                <w:vertAlign w:val="subscript"/>
                <w14:textFill>
                  <w14:solidFill>
                    <w14:schemeClr w14:val="tx1"/>
                  </w14:solidFill>
                </w14:textFill>
              </w:rPr>
              <w:t>x</w:t>
            </w:r>
          </w:p>
        </w:tc>
        <w:tc>
          <w:tcPr>
            <w:tcW w:w="1218" w:type="pct"/>
            <w:vAlign w:val="center"/>
          </w:tcPr>
          <w:p w14:paraId="6699914A">
            <w:pPr>
              <w:pStyle w:val="286"/>
              <w:adjustRightInd w:val="0"/>
              <w:snapToGrid w:val="0"/>
              <w:spacing w:line="300" w:lineRule="exact"/>
              <w:rPr>
                <w:rFonts w:hint="eastAsia" w:cs="宋体"/>
                <w:color w:val="000000" w:themeColor="text1"/>
                <w:sz w:val="21"/>
                <w14:textFill>
                  <w14:solidFill>
                    <w14:schemeClr w14:val="tx1"/>
                  </w14:solidFill>
                </w14:textFill>
              </w:rPr>
            </w:pPr>
            <w:r>
              <w:rPr>
                <w:rFonts w:hint="eastAsia" w:cs="Arial"/>
                <w:color w:val="000000" w:themeColor="text1"/>
                <w:kern w:val="2"/>
                <w:sz w:val="21"/>
                <w14:textFill>
                  <w14:solidFill>
                    <w14:schemeClr w14:val="tx1"/>
                  </w14:solidFill>
                </w14:textFill>
              </w:rPr>
              <w:t>2.057t</w:t>
            </w:r>
            <w:r>
              <w:rPr>
                <w:rFonts w:cs="Arial"/>
                <w:color w:val="000000" w:themeColor="text1"/>
                <w:kern w:val="2"/>
                <w:sz w:val="21"/>
                <w14:textFill>
                  <w14:solidFill>
                    <w14:schemeClr w14:val="tx1"/>
                  </w14:solidFill>
                </w14:textFill>
              </w:rPr>
              <w:t>/a</w:t>
            </w:r>
          </w:p>
        </w:tc>
        <w:tc>
          <w:tcPr>
            <w:tcW w:w="1022" w:type="pct"/>
            <w:vAlign w:val="center"/>
          </w:tcPr>
          <w:p w14:paraId="2C67C117">
            <w:pPr>
              <w:pStyle w:val="286"/>
              <w:adjustRightInd w:val="0"/>
              <w:snapToGrid w:val="0"/>
              <w:spacing w:line="300" w:lineRule="exact"/>
              <w:rPr>
                <w:rFonts w:hint="eastAsia" w:cs="宋体"/>
                <w:color w:val="000000" w:themeColor="text1"/>
                <w:sz w:val="21"/>
                <w14:textFill>
                  <w14:solidFill>
                    <w14:schemeClr w14:val="tx1"/>
                  </w14:solidFill>
                </w14:textFill>
              </w:rPr>
            </w:pPr>
            <w:r>
              <w:rPr>
                <w:rFonts w:hint="eastAsia" w:cs="Arial"/>
                <w:color w:val="000000" w:themeColor="text1"/>
                <w:kern w:val="2"/>
                <w:sz w:val="21"/>
                <w14:textFill>
                  <w14:solidFill>
                    <w14:schemeClr w14:val="tx1"/>
                  </w14:solidFill>
                </w14:textFill>
              </w:rPr>
              <w:t>2.057t</w:t>
            </w:r>
            <w:r>
              <w:rPr>
                <w:rFonts w:cs="Arial"/>
                <w:color w:val="000000" w:themeColor="text1"/>
                <w:kern w:val="2"/>
                <w:sz w:val="21"/>
                <w14:textFill>
                  <w14:solidFill>
                    <w14:schemeClr w14:val="tx1"/>
                  </w14:solidFill>
                </w14:textFill>
              </w:rPr>
              <w:t>/a</w:t>
            </w:r>
          </w:p>
        </w:tc>
      </w:tr>
      <w:tr w14:paraId="5A83084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trPr>
        <w:tc>
          <w:tcPr>
            <w:tcW w:w="459" w:type="pct"/>
            <w:vMerge w:val="continue"/>
            <w:vAlign w:val="center"/>
          </w:tcPr>
          <w:p w14:paraId="4E7B3485">
            <w:pPr>
              <w:pStyle w:val="286"/>
              <w:adjustRightInd w:val="0"/>
              <w:snapToGrid w:val="0"/>
              <w:spacing w:line="300" w:lineRule="exact"/>
              <w:rPr>
                <w:rFonts w:hint="eastAsia" w:cs="宋体"/>
                <w:color w:val="000000" w:themeColor="text1"/>
                <w:sz w:val="21"/>
                <w14:textFill>
                  <w14:solidFill>
                    <w14:schemeClr w14:val="tx1"/>
                  </w14:solidFill>
                </w14:textFill>
              </w:rPr>
            </w:pPr>
          </w:p>
        </w:tc>
        <w:tc>
          <w:tcPr>
            <w:tcW w:w="1245" w:type="pct"/>
            <w:vMerge w:val="continue"/>
            <w:vAlign w:val="center"/>
          </w:tcPr>
          <w:p w14:paraId="679AB7EB">
            <w:pPr>
              <w:pStyle w:val="286"/>
              <w:adjustRightInd w:val="0"/>
              <w:snapToGrid w:val="0"/>
              <w:spacing w:line="300" w:lineRule="exact"/>
              <w:rPr>
                <w:rFonts w:hint="eastAsia" w:cs="宋体"/>
                <w:color w:val="000000" w:themeColor="text1"/>
                <w:sz w:val="21"/>
                <w14:textFill>
                  <w14:solidFill>
                    <w14:schemeClr w14:val="tx1"/>
                  </w14:solidFill>
                </w14:textFill>
              </w:rPr>
            </w:pPr>
          </w:p>
        </w:tc>
        <w:tc>
          <w:tcPr>
            <w:tcW w:w="1056" w:type="pct"/>
            <w:vAlign w:val="center"/>
          </w:tcPr>
          <w:p w14:paraId="358E97E6">
            <w:pPr>
              <w:pStyle w:val="286"/>
              <w:adjustRightInd w:val="0"/>
              <w:snapToGrid w:val="0"/>
              <w:spacing w:line="300" w:lineRule="exact"/>
              <w:rPr>
                <w:rFonts w:hint="eastAsia" w:cs="宋体"/>
                <w:color w:val="000000" w:themeColor="text1"/>
                <w:sz w:val="21"/>
                <w14:textFill>
                  <w14:solidFill>
                    <w14:schemeClr w14:val="tx1"/>
                  </w14:solidFill>
                </w14:textFill>
              </w:rPr>
            </w:pPr>
            <w:r>
              <w:rPr>
                <w:rFonts w:hint="eastAsia"/>
                <w:color w:val="000000" w:themeColor="text1"/>
                <w:kern w:val="2"/>
                <w:sz w:val="21"/>
                <w14:textFill>
                  <w14:solidFill>
                    <w14:schemeClr w14:val="tx1"/>
                  </w14:solidFill>
                </w14:textFill>
              </w:rPr>
              <w:t>S0</w:t>
            </w:r>
            <w:r>
              <w:rPr>
                <w:rFonts w:hint="eastAsia"/>
                <w:color w:val="000000" w:themeColor="text1"/>
                <w:kern w:val="2"/>
                <w:sz w:val="21"/>
                <w:vertAlign w:val="subscript"/>
                <w14:textFill>
                  <w14:solidFill>
                    <w14:schemeClr w14:val="tx1"/>
                  </w14:solidFill>
                </w14:textFill>
              </w:rPr>
              <w:t>2</w:t>
            </w:r>
          </w:p>
        </w:tc>
        <w:tc>
          <w:tcPr>
            <w:tcW w:w="1218" w:type="pct"/>
            <w:vAlign w:val="center"/>
          </w:tcPr>
          <w:p w14:paraId="3A66311D">
            <w:pPr>
              <w:pStyle w:val="286"/>
              <w:adjustRightInd w:val="0"/>
              <w:snapToGrid w:val="0"/>
              <w:spacing w:line="300" w:lineRule="exact"/>
              <w:rPr>
                <w:rFonts w:hint="eastAsia" w:cs="宋体"/>
                <w:color w:val="000000" w:themeColor="text1"/>
                <w:sz w:val="21"/>
                <w14:textFill>
                  <w14:solidFill>
                    <w14:schemeClr w14:val="tx1"/>
                  </w14:solidFill>
                </w14:textFill>
              </w:rPr>
            </w:pPr>
            <w:r>
              <w:rPr>
                <w:rFonts w:hint="eastAsia" w:cs="Arial"/>
                <w:color w:val="000000" w:themeColor="text1"/>
                <w:kern w:val="2"/>
                <w:sz w:val="21"/>
                <w14:textFill>
                  <w14:solidFill>
                    <w14:schemeClr w14:val="tx1"/>
                  </w14:solidFill>
                </w14:textFill>
              </w:rPr>
              <w:t>0.171t</w:t>
            </w:r>
            <w:r>
              <w:rPr>
                <w:rFonts w:cs="Arial"/>
                <w:color w:val="000000" w:themeColor="text1"/>
                <w:kern w:val="2"/>
                <w:sz w:val="21"/>
                <w14:textFill>
                  <w14:solidFill>
                    <w14:schemeClr w14:val="tx1"/>
                  </w14:solidFill>
                </w14:textFill>
              </w:rPr>
              <w:t>/a</w:t>
            </w:r>
          </w:p>
        </w:tc>
        <w:tc>
          <w:tcPr>
            <w:tcW w:w="1022" w:type="pct"/>
            <w:vAlign w:val="center"/>
          </w:tcPr>
          <w:p w14:paraId="7D770836">
            <w:pPr>
              <w:pStyle w:val="286"/>
              <w:adjustRightInd w:val="0"/>
              <w:snapToGrid w:val="0"/>
              <w:spacing w:line="300" w:lineRule="exact"/>
              <w:rPr>
                <w:rFonts w:hint="eastAsia" w:cs="宋体"/>
                <w:color w:val="000000" w:themeColor="text1"/>
                <w:sz w:val="21"/>
                <w14:textFill>
                  <w14:solidFill>
                    <w14:schemeClr w14:val="tx1"/>
                  </w14:solidFill>
                </w14:textFill>
              </w:rPr>
            </w:pPr>
            <w:r>
              <w:rPr>
                <w:rFonts w:hint="eastAsia" w:cs="Arial"/>
                <w:color w:val="000000" w:themeColor="text1"/>
                <w:kern w:val="2"/>
                <w:sz w:val="21"/>
                <w14:textFill>
                  <w14:solidFill>
                    <w14:schemeClr w14:val="tx1"/>
                  </w14:solidFill>
                </w14:textFill>
              </w:rPr>
              <w:t>0.171t</w:t>
            </w:r>
            <w:r>
              <w:rPr>
                <w:rFonts w:cs="Arial"/>
                <w:color w:val="000000" w:themeColor="text1"/>
                <w:kern w:val="2"/>
                <w:sz w:val="21"/>
                <w14:textFill>
                  <w14:solidFill>
                    <w14:schemeClr w14:val="tx1"/>
                  </w14:solidFill>
                </w14:textFill>
              </w:rPr>
              <w:t>/a</w:t>
            </w:r>
          </w:p>
        </w:tc>
      </w:tr>
      <w:tr w14:paraId="0D54159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trPr>
        <w:tc>
          <w:tcPr>
            <w:tcW w:w="459" w:type="pct"/>
            <w:vMerge w:val="continue"/>
            <w:vAlign w:val="center"/>
          </w:tcPr>
          <w:p w14:paraId="6FE1BE58">
            <w:pPr>
              <w:pStyle w:val="286"/>
              <w:adjustRightInd w:val="0"/>
              <w:snapToGrid w:val="0"/>
              <w:spacing w:line="300" w:lineRule="exact"/>
              <w:rPr>
                <w:rFonts w:hint="eastAsia" w:cs="宋体"/>
                <w:color w:val="000000" w:themeColor="text1"/>
                <w:sz w:val="21"/>
                <w14:textFill>
                  <w14:solidFill>
                    <w14:schemeClr w14:val="tx1"/>
                  </w14:solidFill>
                </w14:textFill>
              </w:rPr>
            </w:pPr>
          </w:p>
        </w:tc>
        <w:tc>
          <w:tcPr>
            <w:tcW w:w="1245" w:type="pct"/>
            <w:vMerge w:val="continue"/>
            <w:vAlign w:val="center"/>
          </w:tcPr>
          <w:p w14:paraId="42503067">
            <w:pPr>
              <w:pStyle w:val="286"/>
              <w:adjustRightInd w:val="0"/>
              <w:snapToGrid w:val="0"/>
              <w:spacing w:line="300" w:lineRule="exact"/>
              <w:rPr>
                <w:rFonts w:hint="eastAsia" w:cs="宋体"/>
                <w:color w:val="000000" w:themeColor="text1"/>
                <w:sz w:val="21"/>
                <w14:textFill>
                  <w14:solidFill>
                    <w14:schemeClr w14:val="tx1"/>
                  </w14:solidFill>
                </w14:textFill>
              </w:rPr>
            </w:pPr>
          </w:p>
        </w:tc>
        <w:tc>
          <w:tcPr>
            <w:tcW w:w="1056" w:type="pct"/>
            <w:vAlign w:val="center"/>
          </w:tcPr>
          <w:p w14:paraId="195DB1C4">
            <w:pPr>
              <w:pStyle w:val="286"/>
              <w:adjustRightInd w:val="0"/>
              <w:snapToGrid w:val="0"/>
              <w:spacing w:line="300" w:lineRule="exact"/>
              <w:rPr>
                <w:rFonts w:hint="eastAsia" w:cs="宋体"/>
                <w:color w:val="000000" w:themeColor="text1"/>
                <w:sz w:val="21"/>
                <w14:textFill>
                  <w14:solidFill>
                    <w14:schemeClr w14:val="tx1"/>
                  </w14:solidFill>
                </w14:textFill>
              </w:rPr>
            </w:pPr>
            <w:r>
              <w:rPr>
                <w:rFonts w:hint="eastAsia"/>
                <w:color w:val="000000" w:themeColor="text1"/>
                <w:kern w:val="2"/>
                <w:sz w:val="21"/>
                <w14:textFill>
                  <w14:solidFill>
                    <w14:schemeClr w14:val="tx1"/>
                  </w14:solidFill>
                </w14:textFill>
              </w:rPr>
              <w:t>颗粒物</w:t>
            </w:r>
          </w:p>
        </w:tc>
        <w:tc>
          <w:tcPr>
            <w:tcW w:w="1218" w:type="pct"/>
            <w:vAlign w:val="center"/>
          </w:tcPr>
          <w:p w14:paraId="3A797795">
            <w:pPr>
              <w:pStyle w:val="286"/>
              <w:adjustRightInd w:val="0"/>
              <w:snapToGrid w:val="0"/>
              <w:spacing w:line="300" w:lineRule="exact"/>
              <w:rPr>
                <w:rFonts w:hint="eastAsia" w:cs="宋体"/>
                <w:color w:val="000000" w:themeColor="text1"/>
                <w:sz w:val="21"/>
                <w14:textFill>
                  <w14:solidFill>
                    <w14:schemeClr w14:val="tx1"/>
                  </w14:solidFill>
                </w14:textFill>
              </w:rPr>
            </w:pPr>
            <w:r>
              <w:rPr>
                <w:rFonts w:hint="eastAsia" w:cs="Arial"/>
                <w:color w:val="000000" w:themeColor="text1"/>
                <w:kern w:val="2"/>
                <w:sz w:val="21"/>
                <w14:textFill>
                  <w14:solidFill>
                    <w14:schemeClr w14:val="tx1"/>
                  </w14:solidFill>
                </w14:textFill>
              </w:rPr>
              <w:t>0.276t</w:t>
            </w:r>
            <w:r>
              <w:rPr>
                <w:rFonts w:cs="Arial"/>
                <w:color w:val="000000" w:themeColor="text1"/>
                <w:kern w:val="2"/>
                <w:sz w:val="21"/>
                <w14:textFill>
                  <w14:solidFill>
                    <w14:schemeClr w14:val="tx1"/>
                  </w14:solidFill>
                </w14:textFill>
              </w:rPr>
              <w:t>/a</w:t>
            </w:r>
          </w:p>
        </w:tc>
        <w:tc>
          <w:tcPr>
            <w:tcW w:w="1022" w:type="pct"/>
            <w:vAlign w:val="center"/>
          </w:tcPr>
          <w:p w14:paraId="60ED5EA0">
            <w:pPr>
              <w:pStyle w:val="286"/>
              <w:adjustRightInd w:val="0"/>
              <w:snapToGrid w:val="0"/>
              <w:spacing w:line="300" w:lineRule="exact"/>
              <w:rPr>
                <w:rFonts w:hint="eastAsia" w:cs="宋体"/>
                <w:color w:val="000000" w:themeColor="text1"/>
                <w:sz w:val="21"/>
                <w14:textFill>
                  <w14:solidFill>
                    <w14:schemeClr w14:val="tx1"/>
                  </w14:solidFill>
                </w14:textFill>
              </w:rPr>
            </w:pPr>
            <w:r>
              <w:rPr>
                <w:rFonts w:hint="eastAsia" w:cs="Arial"/>
                <w:color w:val="000000" w:themeColor="text1"/>
                <w:kern w:val="2"/>
                <w:sz w:val="21"/>
                <w14:textFill>
                  <w14:solidFill>
                    <w14:schemeClr w14:val="tx1"/>
                  </w14:solidFill>
                </w14:textFill>
              </w:rPr>
              <w:t>0.276t</w:t>
            </w:r>
            <w:r>
              <w:rPr>
                <w:rFonts w:cs="Arial"/>
                <w:color w:val="000000" w:themeColor="text1"/>
                <w:kern w:val="2"/>
                <w:sz w:val="21"/>
                <w14:textFill>
                  <w14:solidFill>
                    <w14:schemeClr w14:val="tx1"/>
                  </w14:solidFill>
                </w14:textFill>
              </w:rPr>
              <w:t>/a</w:t>
            </w:r>
          </w:p>
        </w:tc>
      </w:tr>
      <w:bookmarkEnd w:id="229"/>
      <w:tr w14:paraId="54F3BAC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trPr>
        <w:tc>
          <w:tcPr>
            <w:tcW w:w="459" w:type="pct"/>
            <w:vMerge w:val="restart"/>
            <w:vAlign w:val="center"/>
          </w:tcPr>
          <w:p w14:paraId="6DCDFAAE">
            <w:pPr>
              <w:pStyle w:val="286"/>
              <w:adjustRightInd w:val="0"/>
              <w:snapToGrid w:val="0"/>
              <w:spacing w:line="300" w:lineRule="exact"/>
              <w:rPr>
                <w:rFonts w:hint="eastAsia" w:cs="宋体"/>
                <w:color w:val="000000" w:themeColor="text1"/>
                <w:sz w:val="21"/>
                <w14:textFill>
                  <w14:solidFill>
                    <w14:schemeClr w14:val="tx1"/>
                  </w14:solidFill>
                </w14:textFill>
              </w:rPr>
            </w:pPr>
            <w:r>
              <w:rPr>
                <w:rFonts w:hint="eastAsia" w:cs="宋体"/>
                <w:color w:val="000000" w:themeColor="text1"/>
                <w:sz w:val="21"/>
                <w14:textFill>
                  <w14:solidFill>
                    <w14:schemeClr w14:val="tx1"/>
                  </w14:solidFill>
                </w14:textFill>
              </w:rPr>
              <w:t>废水</w:t>
            </w:r>
          </w:p>
        </w:tc>
        <w:tc>
          <w:tcPr>
            <w:tcW w:w="1245" w:type="pct"/>
            <w:vAlign w:val="center"/>
          </w:tcPr>
          <w:p w14:paraId="1216CC77">
            <w:pPr>
              <w:pStyle w:val="286"/>
              <w:adjustRightInd w:val="0"/>
              <w:snapToGrid w:val="0"/>
              <w:spacing w:line="300" w:lineRule="exact"/>
              <w:rPr>
                <w:rFonts w:hint="eastAsia" w:cs="宋体"/>
                <w:color w:val="000000" w:themeColor="text1"/>
                <w:sz w:val="21"/>
                <w14:textFill>
                  <w14:solidFill>
                    <w14:schemeClr w14:val="tx1"/>
                  </w14:solidFill>
                </w14:textFill>
              </w:rPr>
            </w:pPr>
            <w:r>
              <w:rPr>
                <w:rFonts w:hint="eastAsia" w:cs="宋体"/>
                <w:color w:val="000000" w:themeColor="text1"/>
                <w:sz w:val="21"/>
                <w14:textFill>
                  <w14:solidFill>
                    <w14:schemeClr w14:val="tx1"/>
                  </w14:solidFill>
                </w14:textFill>
              </w:rPr>
              <w:t>采出水</w:t>
            </w:r>
          </w:p>
        </w:tc>
        <w:tc>
          <w:tcPr>
            <w:tcW w:w="1056" w:type="pct"/>
            <w:vAlign w:val="center"/>
          </w:tcPr>
          <w:p w14:paraId="0FAEB066">
            <w:pPr>
              <w:pStyle w:val="286"/>
              <w:adjustRightInd w:val="0"/>
              <w:snapToGrid w:val="0"/>
              <w:spacing w:line="300" w:lineRule="exact"/>
              <w:rPr>
                <w:rFonts w:hint="eastAsia"/>
                <w:color w:val="000000" w:themeColor="text1"/>
                <w:kern w:val="2"/>
                <w:sz w:val="21"/>
                <w14:textFill>
                  <w14:solidFill>
                    <w14:schemeClr w14:val="tx1"/>
                  </w14:solidFill>
                </w14:textFill>
              </w:rPr>
            </w:pPr>
            <w:r>
              <w:rPr>
                <w:rFonts w:hint="eastAsia" w:cs="宋体"/>
                <w:color w:val="000000" w:themeColor="text1"/>
                <w:sz w:val="21"/>
                <w14:textFill>
                  <w14:solidFill>
                    <w14:schemeClr w14:val="tx1"/>
                  </w14:solidFill>
                </w14:textFill>
              </w:rPr>
              <w:t>石油类、COD</w:t>
            </w:r>
          </w:p>
        </w:tc>
        <w:tc>
          <w:tcPr>
            <w:tcW w:w="1218" w:type="pct"/>
            <w:vAlign w:val="center"/>
          </w:tcPr>
          <w:p w14:paraId="3BB1F140">
            <w:pPr>
              <w:pStyle w:val="286"/>
              <w:adjustRightInd w:val="0"/>
              <w:snapToGrid w:val="0"/>
              <w:spacing w:line="300" w:lineRule="exact"/>
              <w:rPr>
                <w:rFonts w:hint="eastAsia"/>
                <w:color w:val="000000" w:themeColor="text1"/>
                <w:kern w:val="2"/>
                <w:sz w:val="21"/>
                <w14:textFill>
                  <w14:solidFill>
                    <w14:schemeClr w14:val="tx1"/>
                  </w14:solidFill>
                </w14:textFill>
              </w:rPr>
            </w:pPr>
            <w:r>
              <w:rPr>
                <w:rFonts w:hint="eastAsia"/>
                <w:color w:val="000000" w:themeColor="text1"/>
                <w:kern w:val="2"/>
                <w:sz w:val="21"/>
                <w14:textFill>
                  <w14:solidFill>
                    <w14:schemeClr w14:val="tx1"/>
                  </w14:solidFill>
                </w14:textFill>
              </w:rPr>
              <w:t>2391m</w:t>
            </w:r>
            <w:r>
              <w:rPr>
                <w:rFonts w:hint="eastAsia"/>
                <w:color w:val="000000" w:themeColor="text1"/>
                <w:kern w:val="2"/>
                <w:sz w:val="21"/>
                <w:vertAlign w:val="superscript"/>
                <w14:textFill>
                  <w14:solidFill>
                    <w14:schemeClr w14:val="tx1"/>
                  </w14:solidFill>
                </w14:textFill>
              </w:rPr>
              <w:t>3</w:t>
            </w:r>
            <w:r>
              <w:rPr>
                <w:rFonts w:hint="eastAsia"/>
                <w:color w:val="000000" w:themeColor="text1"/>
                <w:kern w:val="2"/>
                <w:sz w:val="21"/>
                <w14:textFill>
                  <w14:solidFill>
                    <w14:schemeClr w14:val="tx1"/>
                  </w14:solidFill>
                </w14:textFill>
              </w:rPr>
              <w:t>/d</w:t>
            </w:r>
          </w:p>
        </w:tc>
        <w:tc>
          <w:tcPr>
            <w:tcW w:w="1022" w:type="pct"/>
            <w:vAlign w:val="center"/>
          </w:tcPr>
          <w:p w14:paraId="348106EE">
            <w:pPr>
              <w:pStyle w:val="286"/>
              <w:adjustRightInd w:val="0"/>
              <w:snapToGrid w:val="0"/>
              <w:spacing w:line="300" w:lineRule="exact"/>
              <w:rPr>
                <w:rFonts w:hint="eastAsia"/>
                <w:color w:val="000000" w:themeColor="text1"/>
                <w:kern w:val="2"/>
                <w:sz w:val="21"/>
                <w14:textFill>
                  <w14:solidFill>
                    <w14:schemeClr w14:val="tx1"/>
                  </w14:solidFill>
                </w14:textFill>
              </w:rPr>
            </w:pPr>
            <w:r>
              <w:rPr>
                <w:rFonts w:hint="eastAsia"/>
                <w:color w:val="000000" w:themeColor="text1"/>
                <w:kern w:val="2"/>
                <w:sz w:val="21"/>
                <w14:textFill>
                  <w14:solidFill>
                    <w14:schemeClr w14:val="tx1"/>
                  </w14:solidFill>
                </w14:textFill>
              </w:rPr>
              <w:t>0</w:t>
            </w:r>
          </w:p>
        </w:tc>
      </w:tr>
      <w:tr w14:paraId="4AA7D33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trPr>
        <w:tc>
          <w:tcPr>
            <w:tcW w:w="459" w:type="pct"/>
            <w:vMerge w:val="continue"/>
            <w:vAlign w:val="center"/>
          </w:tcPr>
          <w:p w14:paraId="2550D708">
            <w:pPr>
              <w:pStyle w:val="286"/>
              <w:adjustRightInd w:val="0"/>
              <w:snapToGrid w:val="0"/>
              <w:spacing w:line="300" w:lineRule="exact"/>
              <w:rPr>
                <w:rFonts w:hint="eastAsia" w:cs="宋体"/>
                <w:color w:val="000000" w:themeColor="text1"/>
                <w:sz w:val="21"/>
                <w14:textFill>
                  <w14:solidFill>
                    <w14:schemeClr w14:val="tx1"/>
                  </w14:solidFill>
                </w14:textFill>
              </w:rPr>
            </w:pPr>
            <w:bookmarkStart w:id="230" w:name="_Hlk173334816"/>
          </w:p>
        </w:tc>
        <w:tc>
          <w:tcPr>
            <w:tcW w:w="1245" w:type="pct"/>
            <w:vAlign w:val="center"/>
          </w:tcPr>
          <w:p w14:paraId="295621FA">
            <w:pPr>
              <w:pStyle w:val="286"/>
              <w:adjustRightInd w:val="0"/>
              <w:snapToGrid w:val="0"/>
              <w:spacing w:line="300" w:lineRule="exact"/>
              <w:rPr>
                <w:rFonts w:hint="eastAsia" w:cs="宋体"/>
                <w:color w:val="000000" w:themeColor="text1"/>
                <w:sz w:val="21"/>
                <w14:textFill>
                  <w14:solidFill>
                    <w14:schemeClr w14:val="tx1"/>
                  </w14:solidFill>
                </w14:textFill>
              </w:rPr>
            </w:pPr>
            <w:r>
              <w:rPr>
                <w:rFonts w:hint="eastAsia" w:cs="宋体"/>
                <w:color w:val="000000" w:themeColor="text1"/>
                <w:sz w:val="21"/>
                <w14:textFill>
                  <w14:solidFill>
                    <w14:schemeClr w14:val="tx1"/>
                  </w14:solidFill>
                </w14:textFill>
              </w:rPr>
              <w:t>洗井废水</w:t>
            </w:r>
          </w:p>
        </w:tc>
        <w:tc>
          <w:tcPr>
            <w:tcW w:w="1056" w:type="pct"/>
            <w:vAlign w:val="center"/>
          </w:tcPr>
          <w:p w14:paraId="68624604">
            <w:pPr>
              <w:pStyle w:val="286"/>
              <w:adjustRightInd w:val="0"/>
              <w:snapToGrid w:val="0"/>
              <w:spacing w:line="300" w:lineRule="exact"/>
              <w:rPr>
                <w:rFonts w:hint="eastAsia" w:cs="宋体"/>
                <w:color w:val="000000" w:themeColor="text1"/>
                <w:sz w:val="21"/>
                <w14:textFill>
                  <w14:solidFill>
                    <w14:schemeClr w14:val="tx1"/>
                  </w14:solidFill>
                </w14:textFill>
              </w:rPr>
            </w:pPr>
            <w:bookmarkStart w:id="231" w:name="OLE_LINK41"/>
            <w:r>
              <w:rPr>
                <w:rFonts w:hint="eastAsia" w:cs="宋体"/>
                <w:color w:val="000000" w:themeColor="text1"/>
                <w:sz w:val="21"/>
                <w14:textFill>
                  <w14:solidFill>
                    <w14:schemeClr w14:val="tx1"/>
                  </w14:solidFill>
                </w14:textFill>
              </w:rPr>
              <w:t>石油类、COD</w:t>
            </w:r>
            <w:bookmarkEnd w:id="231"/>
          </w:p>
        </w:tc>
        <w:tc>
          <w:tcPr>
            <w:tcW w:w="1218" w:type="pct"/>
            <w:vAlign w:val="center"/>
          </w:tcPr>
          <w:p w14:paraId="1D24EB43">
            <w:pPr>
              <w:pStyle w:val="286"/>
              <w:adjustRightInd w:val="0"/>
              <w:snapToGrid w:val="0"/>
              <w:spacing w:line="300" w:lineRule="exact"/>
              <w:rPr>
                <w:rFonts w:hint="eastAsia" w:cs="宋体"/>
                <w:color w:val="000000" w:themeColor="text1"/>
                <w:sz w:val="21"/>
                <w14:textFill>
                  <w14:solidFill>
                    <w14:schemeClr w14:val="tx1"/>
                  </w14:solidFill>
                </w14:textFill>
              </w:rPr>
            </w:pPr>
            <w:r>
              <w:rPr>
                <w:rFonts w:hint="eastAsia" w:cs="宋体"/>
                <w:color w:val="000000" w:themeColor="text1"/>
                <w:sz w:val="21"/>
                <w14:textFill>
                  <w14:solidFill>
                    <w14:schemeClr w14:val="tx1"/>
                  </w14:solidFill>
                </w14:textFill>
              </w:rPr>
              <w:t>5615.91</w:t>
            </w:r>
            <w:bookmarkStart w:id="232" w:name="OLE_LINK37"/>
            <w:r>
              <w:rPr>
                <w:rFonts w:hint="eastAsia" w:cs="宋体"/>
                <w:color w:val="000000" w:themeColor="text1"/>
                <w:sz w:val="21"/>
                <w14:textFill>
                  <w14:solidFill>
                    <w14:schemeClr w14:val="tx1"/>
                  </w14:solidFill>
                </w14:textFill>
              </w:rPr>
              <w:t>m</w:t>
            </w:r>
            <w:r>
              <w:rPr>
                <w:rFonts w:hint="eastAsia" w:cs="宋体"/>
                <w:color w:val="000000" w:themeColor="text1"/>
                <w:sz w:val="21"/>
                <w:vertAlign w:val="superscript"/>
                <w14:textFill>
                  <w14:solidFill>
                    <w14:schemeClr w14:val="tx1"/>
                  </w14:solidFill>
                </w14:textFill>
              </w:rPr>
              <w:t>3</w:t>
            </w:r>
            <w:r>
              <w:rPr>
                <w:rFonts w:hint="eastAsia" w:cs="宋体"/>
                <w:color w:val="000000" w:themeColor="text1"/>
                <w:sz w:val="21"/>
                <w14:textFill>
                  <w14:solidFill>
                    <w14:schemeClr w14:val="tx1"/>
                  </w14:solidFill>
                </w14:textFill>
              </w:rPr>
              <w:t>/a</w:t>
            </w:r>
            <w:bookmarkEnd w:id="232"/>
          </w:p>
        </w:tc>
        <w:tc>
          <w:tcPr>
            <w:tcW w:w="1022" w:type="pct"/>
            <w:vAlign w:val="center"/>
          </w:tcPr>
          <w:p w14:paraId="2C621AB8">
            <w:pPr>
              <w:pStyle w:val="286"/>
              <w:adjustRightInd w:val="0"/>
              <w:snapToGrid w:val="0"/>
              <w:spacing w:line="300" w:lineRule="exact"/>
              <w:rPr>
                <w:rFonts w:hint="eastAsia" w:cs="宋体"/>
                <w:color w:val="000000" w:themeColor="text1"/>
                <w:sz w:val="21"/>
                <w14:textFill>
                  <w14:solidFill>
                    <w14:schemeClr w14:val="tx1"/>
                  </w14:solidFill>
                </w14:textFill>
              </w:rPr>
            </w:pPr>
            <w:r>
              <w:rPr>
                <w:rFonts w:hint="eastAsia" w:cs="宋体"/>
                <w:color w:val="000000" w:themeColor="text1"/>
                <w:sz w:val="21"/>
                <w14:textFill>
                  <w14:solidFill>
                    <w14:schemeClr w14:val="tx1"/>
                  </w14:solidFill>
                </w14:textFill>
              </w:rPr>
              <w:t>0</w:t>
            </w:r>
          </w:p>
        </w:tc>
      </w:tr>
      <w:tr w14:paraId="70AA1FB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trPr>
        <w:tc>
          <w:tcPr>
            <w:tcW w:w="459" w:type="pct"/>
            <w:vMerge w:val="continue"/>
            <w:vAlign w:val="center"/>
          </w:tcPr>
          <w:p w14:paraId="235EE509">
            <w:pPr>
              <w:pStyle w:val="286"/>
              <w:adjustRightInd w:val="0"/>
              <w:snapToGrid w:val="0"/>
              <w:spacing w:line="300" w:lineRule="exact"/>
              <w:rPr>
                <w:rFonts w:hint="eastAsia" w:cs="宋体"/>
                <w:color w:val="000000" w:themeColor="text1"/>
                <w:sz w:val="21"/>
                <w14:textFill>
                  <w14:solidFill>
                    <w14:schemeClr w14:val="tx1"/>
                  </w14:solidFill>
                </w14:textFill>
              </w:rPr>
            </w:pPr>
          </w:p>
        </w:tc>
        <w:tc>
          <w:tcPr>
            <w:tcW w:w="1245" w:type="pct"/>
            <w:vAlign w:val="center"/>
          </w:tcPr>
          <w:p w14:paraId="0A854E02">
            <w:pPr>
              <w:pStyle w:val="286"/>
              <w:adjustRightInd w:val="0"/>
              <w:snapToGrid w:val="0"/>
              <w:spacing w:line="300" w:lineRule="exact"/>
              <w:rPr>
                <w:rFonts w:hint="eastAsia" w:cs="宋体"/>
                <w:color w:val="000000" w:themeColor="text1"/>
                <w:sz w:val="21"/>
                <w14:textFill>
                  <w14:solidFill>
                    <w14:schemeClr w14:val="tx1"/>
                  </w14:solidFill>
                </w14:textFill>
              </w:rPr>
            </w:pPr>
            <w:r>
              <w:rPr>
                <w:rFonts w:hint="eastAsia" w:cs="宋体"/>
                <w:color w:val="000000" w:themeColor="text1"/>
                <w:sz w:val="21"/>
                <w14:textFill>
                  <w14:solidFill>
                    <w14:schemeClr w14:val="tx1"/>
                  </w14:solidFill>
                </w14:textFill>
              </w:rPr>
              <w:t>井下作业废液</w:t>
            </w:r>
          </w:p>
        </w:tc>
        <w:tc>
          <w:tcPr>
            <w:tcW w:w="1056" w:type="pct"/>
            <w:vAlign w:val="center"/>
          </w:tcPr>
          <w:p w14:paraId="370E5DFF">
            <w:pPr>
              <w:pStyle w:val="286"/>
              <w:adjustRightInd w:val="0"/>
              <w:snapToGrid w:val="0"/>
              <w:spacing w:line="300" w:lineRule="exact"/>
              <w:rPr>
                <w:rFonts w:hint="eastAsia" w:cs="宋体"/>
                <w:color w:val="000000" w:themeColor="text1"/>
                <w:sz w:val="21"/>
                <w14:textFill>
                  <w14:solidFill>
                    <w14:schemeClr w14:val="tx1"/>
                  </w14:solidFill>
                </w14:textFill>
              </w:rPr>
            </w:pPr>
            <w:r>
              <w:rPr>
                <w:rFonts w:hint="eastAsia" w:cs="宋体"/>
                <w:color w:val="000000" w:themeColor="text1"/>
                <w:sz w:val="21"/>
                <w14:textFill>
                  <w14:solidFill>
                    <w14:schemeClr w14:val="tx1"/>
                  </w14:solidFill>
                </w14:textFill>
              </w:rPr>
              <w:t>石油类、COD</w:t>
            </w:r>
          </w:p>
        </w:tc>
        <w:tc>
          <w:tcPr>
            <w:tcW w:w="1218" w:type="pct"/>
            <w:vAlign w:val="center"/>
          </w:tcPr>
          <w:p w14:paraId="3D38CD1D">
            <w:pPr>
              <w:pStyle w:val="286"/>
              <w:adjustRightInd w:val="0"/>
              <w:snapToGrid w:val="0"/>
              <w:spacing w:line="300" w:lineRule="exact"/>
              <w:rPr>
                <w:rFonts w:hint="eastAsia" w:cs="宋体"/>
                <w:color w:val="000000" w:themeColor="text1"/>
                <w:sz w:val="21"/>
                <w14:textFill>
                  <w14:solidFill>
                    <w14:schemeClr w14:val="tx1"/>
                  </w14:solidFill>
                </w14:textFill>
              </w:rPr>
            </w:pPr>
            <w:r>
              <w:rPr>
                <w:rFonts w:hint="eastAsia" w:cs="宋体"/>
                <w:color w:val="000000" w:themeColor="text1"/>
                <w:sz w:val="21"/>
                <w14:textFill>
                  <w14:solidFill>
                    <w14:schemeClr w14:val="tx1"/>
                  </w14:solidFill>
                </w14:textFill>
              </w:rPr>
              <w:t>68100.93</w:t>
            </w:r>
            <w:r>
              <w:rPr>
                <w:rFonts w:cs="宋体"/>
                <w:color w:val="000000" w:themeColor="text1"/>
                <w:sz w:val="21"/>
                <w14:textFill>
                  <w14:solidFill>
                    <w14:schemeClr w14:val="tx1"/>
                  </w14:solidFill>
                </w14:textFill>
              </w:rPr>
              <w:t>m</w:t>
            </w:r>
            <w:r>
              <w:rPr>
                <w:rFonts w:cs="宋体"/>
                <w:color w:val="000000" w:themeColor="text1"/>
                <w:sz w:val="21"/>
                <w:vertAlign w:val="superscript"/>
                <w14:textFill>
                  <w14:solidFill>
                    <w14:schemeClr w14:val="tx1"/>
                  </w14:solidFill>
                </w14:textFill>
              </w:rPr>
              <w:t>3</w:t>
            </w:r>
            <w:r>
              <w:rPr>
                <w:rFonts w:cs="宋体"/>
                <w:color w:val="000000" w:themeColor="text1"/>
                <w:sz w:val="21"/>
                <w14:textFill>
                  <w14:solidFill>
                    <w14:schemeClr w14:val="tx1"/>
                  </w14:solidFill>
                </w14:textFill>
              </w:rPr>
              <w:t>/a</w:t>
            </w:r>
          </w:p>
        </w:tc>
        <w:tc>
          <w:tcPr>
            <w:tcW w:w="1022" w:type="pct"/>
            <w:vAlign w:val="center"/>
          </w:tcPr>
          <w:p w14:paraId="4721A455">
            <w:pPr>
              <w:pStyle w:val="286"/>
              <w:adjustRightInd w:val="0"/>
              <w:snapToGrid w:val="0"/>
              <w:spacing w:line="300" w:lineRule="exact"/>
              <w:rPr>
                <w:rFonts w:hint="eastAsia" w:cs="宋体"/>
                <w:color w:val="000000" w:themeColor="text1"/>
                <w:sz w:val="21"/>
                <w14:textFill>
                  <w14:solidFill>
                    <w14:schemeClr w14:val="tx1"/>
                  </w14:solidFill>
                </w14:textFill>
              </w:rPr>
            </w:pPr>
            <w:bookmarkStart w:id="233" w:name="OLE_LINK45"/>
            <w:r>
              <w:rPr>
                <w:rFonts w:hint="eastAsia" w:cs="宋体"/>
                <w:color w:val="000000" w:themeColor="text1"/>
                <w:sz w:val="21"/>
                <w14:textFill>
                  <w14:solidFill>
                    <w14:schemeClr w14:val="tx1"/>
                  </w14:solidFill>
                </w14:textFill>
              </w:rPr>
              <w:t>0</w:t>
            </w:r>
            <w:bookmarkEnd w:id="233"/>
          </w:p>
        </w:tc>
      </w:tr>
      <w:bookmarkEnd w:id="230"/>
      <w:tr w14:paraId="0BC0D79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trPr>
        <w:tc>
          <w:tcPr>
            <w:tcW w:w="459" w:type="pct"/>
            <w:vMerge w:val="restart"/>
            <w:vAlign w:val="center"/>
          </w:tcPr>
          <w:p w14:paraId="498F1987">
            <w:pPr>
              <w:pStyle w:val="286"/>
              <w:adjustRightInd w:val="0"/>
              <w:snapToGrid w:val="0"/>
              <w:spacing w:line="300" w:lineRule="exact"/>
              <w:rPr>
                <w:rFonts w:hint="eastAsia" w:cs="宋体"/>
                <w:color w:val="000000" w:themeColor="text1"/>
                <w:sz w:val="21"/>
                <w14:textFill>
                  <w14:solidFill>
                    <w14:schemeClr w14:val="tx1"/>
                  </w14:solidFill>
                </w14:textFill>
              </w:rPr>
            </w:pPr>
            <w:r>
              <w:rPr>
                <w:rFonts w:hint="eastAsia" w:cs="宋体"/>
                <w:color w:val="000000" w:themeColor="text1"/>
                <w:sz w:val="21"/>
                <w14:textFill>
                  <w14:solidFill>
                    <w14:schemeClr w14:val="tx1"/>
                  </w14:solidFill>
                </w14:textFill>
              </w:rPr>
              <w:t>固体</w:t>
            </w:r>
          </w:p>
          <w:p w14:paraId="11D3217E">
            <w:pPr>
              <w:pStyle w:val="286"/>
              <w:adjustRightInd w:val="0"/>
              <w:snapToGrid w:val="0"/>
              <w:spacing w:line="300" w:lineRule="exact"/>
              <w:rPr>
                <w:rFonts w:hint="eastAsia" w:cs="宋体"/>
                <w:color w:val="000000" w:themeColor="text1"/>
                <w:sz w:val="21"/>
                <w14:textFill>
                  <w14:solidFill>
                    <w14:schemeClr w14:val="tx1"/>
                  </w14:solidFill>
                </w14:textFill>
              </w:rPr>
            </w:pPr>
            <w:r>
              <w:rPr>
                <w:rFonts w:hint="eastAsia" w:cs="宋体"/>
                <w:color w:val="000000" w:themeColor="text1"/>
                <w:sz w:val="21"/>
                <w14:textFill>
                  <w14:solidFill>
                    <w14:schemeClr w14:val="tx1"/>
                  </w14:solidFill>
                </w14:textFill>
              </w:rPr>
              <w:t>废物</w:t>
            </w:r>
          </w:p>
        </w:tc>
        <w:tc>
          <w:tcPr>
            <w:tcW w:w="1245" w:type="pct"/>
            <w:vAlign w:val="center"/>
          </w:tcPr>
          <w:p w14:paraId="6BB8A341">
            <w:pPr>
              <w:pStyle w:val="286"/>
              <w:adjustRightInd w:val="0"/>
              <w:snapToGrid w:val="0"/>
              <w:spacing w:line="300" w:lineRule="exact"/>
              <w:rPr>
                <w:rFonts w:hint="eastAsia" w:cs="宋体"/>
                <w:color w:val="000000" w:themeColor="text1"/>
                <w:sz w:val="21"/>
                <w14:textFill>
                  <w14:solidFill>
                    <w14:schemeClr w14:val="tx1"/>
                  </w14:solidFill>
                </w14:textFill>
              </w:rPr>
            </w:pPr>
            <w:r>
              <w:rPr>
                <w:rFonts w:hint="eastAsia" w:cs="宋体"/>
                <w:color w:val="000000" w:themeColor="text1"/>
                <w:sz w:val="21"/>
                <w14:textFill>
                  <w14:solidFill>
                    <w14:schemeClr w14:val="tx1"/>
                  </w14:solidFill>
                </w14:textFill>
              </w:rPr>
              <w:t>含油污泥</w:t>
            </w:r>
          </w:p>
        </w:tc>
        <w:tc>
          <w:tcPr>
            <w:tcW w:w="1056" w:type="pct"/>
            <w:vAlign w:val="center"/>
          </w:tcPr>
          <w:p w14:paraId="255BF591">
            <w:pPr>
              <w:pStyle w:val="286"/>
              <w:adjustRightInd w:val="0"/>
              <w:snapToGrid w:val="0"/>
              <w:spacing w:line="300" w:lineRule="exact"/>
              <w:rPr>
                <w:rFonts w:hint="eastAsia" w:cs="宋体"/>
                <w:color w:val="000000" w:themeColor="text1"/>
                <w:sz w:val="21"/>
                <w14:textFill>
                  <w14:solidFill>
                    <w14:schemeClr w14:val="tx1"/>
                  </w14:solidFill>
                </w14:textFill>
              </w:rPr>
            </w:pPr>
            <w:r>
              <w:rPr>
                <w:rFonts w:hint="eastAsia" w:cs="宋体"/>
                <w:color w:val="000000" w:themeColor="text1"/>
                <w:sz w:val="21"/>
                <w14:textFill>
                  <w14:solidFill>
                    <w14:schemeClr w14:val="tx1"/>
                  </w14:solidFill>
                </w14:textFill>
              </w:rPr>
              <w:t>石油类</w:t>
            </w:r>
          </w:p>
        </w:tc>
        <w:tc>
          <w:tcPr>
            <w:tcW w:w="1218" w:type="pct"/>
            <w:vAlign w:val="center"/>
          </w:tcPr>
          <w:p w14:paraId="53E88661">
            <w:pPr>
              <w:pStyle w:val="286"/>
              <w:adjustRightInd w:val="0"/>
              <w:snapToGrid w:val="0"/>
              <w:spacing w:line="300" w:lineRule="exact"/>
              <w:rPr>
                <w:rFonts w:hint="eastAsia" w:cs="宋体"/>
                <w:color w:val="000000" w:themeColor="text1"/>
                <w:sz w:val="21"/>
                <w14:textFill>
                  <w14:solidFill>
                    <w14:schemeClr w14:val="tx1"/>
                  </w14:solidFill>
                </w14:textFill>
              </w:rPr>
            </w:pPr>
            <w:r>
              <w:rPr>
                <w:rFonts w:hint="eastAsia" w:cs="宋体"/>
                <w:color w:val="000000" w:themeColor="text1"/>
                <w:sz w:val="21"/>
                <w14:textFill>
                  <w14:solidFill>
                    <w14:schemeClr w14:val="tx1"/>
                  </w14:solidFill>
                </w14:textFill>
              </w:rPr>
              <w:t>239t/a</w:t>
            </w:r>
          </w:p>
        </w:tc>
        <w:tc>
          <w:tcPr>
            <w:tcW w:w="1022" w:type="pct"/>
          </w:tcPr>
          <w:p w14:paraId="1A7814C0">
            <w:pPr>
              <w:pStyle w:val="286"/>
              <w:adjustRightInd w:val="0"/>
              <w:snapToGrid w:val="0"/>
              <w:spacing w:line="300" w:lineRule="exact"/>
              <w:rPr>
                <w:rFonts w:hint="eastAsia" w:cs="宋体"/>
                <w:color w:val="000000" w:themeColor="text1"/>
                <w:sz w:val="21"/>
                <w14:textFill>
                  <w14:solidFill>
                    <w14:schemeClr w14:val="tx1"/>
                  </w14:solidFill>
                </w14:textFill>
              </w:rPr>
            </w:pPr>
            <w:r>
              <w:rPr>
                <w:rFonts w:cs="宋体"/>
                <w:color w:val="000000" w:themeColor="text1"/>
                <w:sz w:val="21"/>
                <w14:textFill>
                  <w14:solidFill>
                    <w14:schemeClr w14:val="tx1"/>
                  </w14:solidFill>
                </w14:textFill>
              </w:rPr>
              <w:t>0</w:t>
            </w:r>
          </w:p>
        </w:tc>
      </w:tr>
      <w:tr w14:paraId="63DE444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trPr>
        <w:tc>
          <w:tcPr>
            <w:tcW w:w="459" w:type="pct"/>
            <w:vMerge w:val="continue"/>
            <w:vAlign w:val="center"/>
          </w:tcPr>
          <w:p w14:paraId="001BFE39">
            <w:pPr>
              <w:pStyle w:val="286"/>
              <w:adjustRightInd w:val="0"/>
              <w:snapToGrid w:val="0"/>
              <w:spacing w:line="300" w:lineRule="exact"/>
              <w:rPr>
                <w:rFonts w:hint="eastAsia" w:cs="宋体"/>
                <w:color w:val="000000" w:themeColor="text1"/>
                <w:sz w:val="21"/>
                <w14:textFill>
                  <w14:solidFill>
                    <w14:schemeClr w14:val="tx1"/>
                  </w14:solidFill>
                </w14:textFill>
              </w:rPr>
            </w:pPr>
          </w:p>
        </w:tc>
        <w:tc>
          <w:tcPr>
            <w:tcW w:w="1245" w:type="pct"/>
            <w:vAlign w:val="center"/>
          </w:tcPr>
          <w:p w14:paraId="4CF48AED">
            <w:pPr>
              <w:pStyle w:val="286"/>
              <w:adjustRightInd w:val="0"/>
              <w:snapToGrid w:val="0"/>
              <w:spacing w:line="300" w:lineRule="exact"/>
              <w:rPr>
                <w:rFonts w:hint="eastAsia" w:cs="宋体"/>
                <w:color w:val="000000" w:themeColor="text1"/>
                <w:sz w:val="21"/>
                <w14:textFill>
                  <w14:solidFill>
                    <w14:schemeClr w14:val="tx1"/>
                  </w14:solidFill>
                </w14:textFill>
              </w:rPr>
            </w:pPr>
            <w:r>
              <w:rPr>
                <w:rFonts w:hint="eastAsia" w:cs="宋体"/>
                <w:color w:val="000000" w:themeColor="text1"/>
                <w:sz w:val="21"/>
                <w14:textFill>
                  <w14:solidFill>
                    <w14:schemeClr w14:val="tx1"/>
                  </w14:solidFill>
                </w14:textFill>
              </w:rPr>
              <w:t>废润滑油</w:t>
            </w:r>
          </w:p>
        </w:tc>
        <w:tc>
          <w:tcPr>
            <w:tcW w:w="1056" w:type="pct"/>
            <w:vAlign w:val="center"/>
          </w:tcPr>
          <w:p w14:paraId="5C82851B">
            <w:pPr>
              <w:pStyle w:val="286"/>
              <w:adjustRightInd w:val="0"/>
              <w:snapToGrid w:val="0"/>
              <w:spacing w:line="300" w:lineRule="exact"/>
              <w:rPr>
                <w:rFonts w:hint="eastAsia" w:cs="宋体"/>
                <w:color w:val="000000" w:themeColor="text1"/>
                <w:sz w:val="21"/>
                <w14:textFill>
                  <w14:solidFill>
                    <w14:schemeClr w14:val="tx1"/>
                  </w14:solidFill>
                </w14:textFill>
              </w:rPr>
            </w:pPr>
            <w:bookmarkStart w:id="234" w:name="OLE_LINK42"/>
            <w:r>
              <w:rPr>
                <w:rFonts w:hint="eastAsia" w:cs="宋体"/>
                <w:color w:val="000000" w:themeColor="text1"/>
                <w:sz w:val="21"/>
                <w14:textFill>
                  <w14:solidFill>
                    <w14:schemeClr w14:val="tx1"/>
                  </w14:solidFill>
                </w14:textFill>
              </w:rPr>
              <w:t>石油类</w:t>
            </w:r>
            <w:bookmarkEnd w:id="234"/>
          </w:p>
        </w:tc>
        <w:tc>
          <w:tcPr>
            <w:tcW w:w="1218" w:type="pct"/>
            <w:vAlign w:val="center"/>
          </w:tcPr>
          <w:p w14:paraId="16395153">
            <w:pPr>
              <w:pStyle w:val="286"/>
              <w:adjustRightInd w:val="0"/>
              <w:snapToGrid w:val="0"/>
              <w:spacing w:line="300" w:lineRule="exact"/>
              <w:rPr>
                <w:rFonts w:hint="eastAsia" w:cs="宋体"/>
                <w:color w:val="000000" w:themeColor="text1"/>
                <w:sz w:val="21"/>
                <w14:textFill>
                  <w14:solidFill>
                    <w14:schemeClr w14:val="tx1"/>
                  </w14:solidFill>
                </w14:textFill>
              </w:rPr>
            </w:pPr>
            <w:r>
              <w:rPr>
                <w:rFonts w:hint="eastAsia" w:cs="宋体"/>
                <w:color w:val="000000" w:themeColor="text1"/>
                <w:sz w:val="21"/>
                <w14:textFill>
                  <w14:solidFill>
                    <w14:schemeClr w14:val="tx1"/>
                  </w14:solidFill>
                </w14:textFill>
              </w:rPr>
              <w:t>1.95</w:t>
            </w:r>
            <w:bookmarkStart w:id="235" w:name="OLE_LINK43"/>
            <w:r>
              <w:rPr>
                <w:rFonts w:hint="eastAsia" w:cs="宋体"/>
                <w:color w:val="000000" w:themeColor="text1"/>
                <w:sz w:val="21"/>
                <w14:textFill>
                  <w14:solidFill>
                    <w14:schemeClr w14:val="tx1"/>
                  </w14:solidFill>
                </w14:textFill>
              </w:rPr>
              <w:t>t/a</w:t>
            </w:r>
            <w:bookmarkEnd w:id="235"/>
          </w:p>
        </w:tc>
        <w:tc>
          <w:tcPr>
            <w:tcW w:w="1022" w:type="pct"/>
          </w:tcPr>
          <w:p w14:paraId="2FF1A1F0">
            <w:pPr>
              <w:pStyle w:val="286"/>
              <w:adjustRightInd w:val="0"/>
              <w:snapToGrid w:val="0"/>
              <w:spacing w:line="300" w:lineRule="exact"/>
              <w:rPr>
                <w:rFonts w:hint="eastAsia" w:cs="宋体"/>
                <w:color w:val="000000" w:themeColor="text1"/>
                <w:sz w:val="21"/>
                <w14:textFill>
                  <w14:solidFill>
                    <w14:schemeClr w14:val="tx1"/>
                  </w14:solidFill>
                </w14:textFill>
              </w:rPr>
            </w:pPr>
            <w:r>
              <w:rPr>
                <w:rFonts w:cs="宋体"/>
                <w:color w:val="000000" w:themeColor="text1"/>
                <w:sz w:val="21"/>
                <w14:textFill>
                  <w14:solidFill>
                    <w14:schemeClr w14:val="tx1"/>
                  </w14:solidFill>
                </w14:textFill>
              </w:rPr>
              <w:t>0</w:t>
            </w:r>
          </w:p>
        </w:tc>
      </w:tr>
      <w:tr w14:paraId="290AA2B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trPr>
        <w:tc>
          <w:tcPr>
            <w:tcW w:w="459" w:type="pct"/>
            <w:vMerge w:val="continue"/>
            <w:vAlign w:val="center"/>
          </w:tcPr>
          <w:p w14:paraId="60EE8507">
            <w:pPr>
              <w:pStyle w:val="286"/>
              <w:adjustRightInd w:val="0"/>
              <w:snapToGrid w:val="0"/>
              <w:spacing w:line="300" w:lineRule="exact"/>
              <w:rPr>
                <w:rFonts w:hint="eastAsia" w:cs="宋体"/>
                <w:color w:val="000000" w:themeColor="text1"/>
                <w:sz w:val="21"/>
                <w14:textFill>
                  <w14:solidFill>
                    <w14:schemeClr w14:val="tx1"/>
                  </w14:solidFill>
                </w14:textFill>
              </w:rPr>
            </w:pPr>
          </w:p>
        </w:tc>
        <w:tc>
          <w:tcPr>
            <w:tcW w:w="1245" w:type="pct"/>
            <w:vAlign w:val="center"/>
          </w:tcPr>
          <w:p w14:paraId="39723596">
            <w:pPr>
              <w:pStyle w:val="286"/>
              <w:adjustRightInd w:val="0"/>
              <w:snapToGrid w:val="0"/>
              <w:spacing w:line="300" w:lineRule="exact"/>
              <w:rPr>
                <w:rFonts w:hint="eastAsia" w:cs="宋体"/>
                <w:color w:val="000000" w:themeColor="text1"/>
                <w:sz w:val="21"/>
                <w14:textFill>
                  <w14:solidFill>
                    <w14:schemeClr w14:val="tx1"/>
                  </w14:solidFill>
                </w14:textFill>
              </w:rPr>
            </w:pPr>
            <w:r>
              <w:rPr>
                <w:rFonts w:hint="eastAsia" w:cs="宋体"/>
                <w:color w:val="000000" w:themeColor="text1"/>
                <w:sz w:val="21"/>
                <w14:textFill>
                  <w14:solidFill>
                    <w14:schemeClr w14:val="tx1"/>
                  </w14:solidFill>
                </w14:textFill>
              </w:rPr>
              <w:t>废润滑油桶</w:t>
            </w:r>
          </w:p>
        </w:tc>
        <w:tc>
          <w:tcPr>
            <w:tcW w:w="1056" w:type="pct"/>
            <w:vAlign w:val="center"/>
          </w:tcPr>
          <w:p w14:paraId="6D7E7F60">
            <w:pPr>
              <w:pStyle w:val="286"/>
              <w:adjustRightInd w:val="0"/>
              <w:snapToGrid w:val="0"/>
              <w:spacing w:line="300" w:lineRule="exact"/>
              <w:rPr>
                <w:rFonts w:hint="eastAsia" w:cs="宋体"/>
                <w:color w:val="000000" w:themeColor="text1"/>
                <w:sz w:val="21"/>
                <w14:textFill>
                  <w14:solidFill>
                    <w14:schemeClr w14:val="tx1"/>
                  </w14:solidFill>
                </w14:textFill>
              </w:rPr>
            </w:pPr>
            <w:r>
              <w:rPr>
                <w:rFonts w:hint="eastAsia" w:cs="宋体"/>
                <w:color w:val="000000" w:themeColor="text1"/>
                <w:sz w:val="21"/>
                <w14:textFill>
                  <w14:solidFill>
                    <w14:schemeClr w14:val="tx1"/>
                  </w14:solidFill>
                </w14:textFill>
              </w:rPr>
              <w:t>石油类</w:t>
            </w:r>
          </w:p>
        </w:tc>
        <w:tc>
          <w:tcPr>
            <w:tcW w:w="1218" w:type="pct"/>
            <w:vAlign w:val="center"/>
          </w:tcPr>
          <w:p w14:paraId="28E97572">
            <w:pPr>
              <w:pStyle w:val="286"/>
              <w:adjustRightInd w:val="0"/>
              <w:snapToGrid w:val="0"/>
              <w:spacing w:line="300" w:lineRule="exact"/>
              <w:rPr>
                <w:rFonts w:hint="eastAsia" w:cs="宋体"/>
                <w:color w:val="000000" w:themeColor="text1"/>
                <w:sz w:val="21"/>
                <w14:textFill>
                  <w14:solidFill>
                    <w14:schemeClr w14:val="tx1"/>
                  </w14:solidFill>
                </w14:textFill>
              </w:rPr>
            </w:pPr>
            <w:r>
              <w:rPr>
                <w:rFonts w:hint="eastAsia" w:cs="宋体"/>
                <w:color w:val="000000" w:themeColor="text1"/>
                <w:sz w:val="21"/>
                <w14:textFill>
                  <w14:solidFill>
                    <w14:schemeClr w14:val="tx1"/>
                  </w14:solidFill>
                </w14:textFill>
              </w:rPr>
              <w:t>0.22t/a</w:t>
            </w:r>
          </w:p>
        </w:tc>
        <w:tc>
          <w:tcPr>
            <w:tcW w:w="1022" w:type="pct"/>
          </w:tcPr>
          <w:p w14:paraId="1F4B5BBA">
            <w:pPr>
              <w:pStyle w:val="286"/>
              <w:adjustRightInd w:val="0"/>
              <w:snapToGrid w:val="0"/>
              <w:spacing w:line="300" w:lineRule="exact"/>
              <w:rPr>
                <w:rFonts w:hint="eastAsia" w:cs="宋体"/>
                <w:color w:val="000000" w:themeColor="text1"/>
                <w:sz w:val="21"/>
                <w14:textFill>
                  <w14:solidFill>
                    <w14:schemeClr w14:val="tx1"/>
                  </w14:solidFill>
                </w14:textFill>
              </w:rPr>
            </w:pPr>
            <w:r>
              <w:rPr>
                <w:rFonts w:cs="宋体"/>
                <w:color w:val="000000" w:themeColor="text1"/>
                <w:sz w:val="21"/>
                <w14:textFill>
                  <w14:solidFill>
                    <w14:schemeClr w14:val="tx1"/>
                  </w14:solidFill>
                </w14:textFill>
              </w:rPr>
              <w:t>0</w:t>
            </w:r>
          </w:p>
        </w:tc>
      </w:tr>
      <w:tr w14:paraId="53C3C6B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trPr>
        <w:tc>
          <w:tcPr>
            <w:tcW w:w="459" w:type="pct"/>
            <w:vMerge w:val="continue"/>
            <w:vAlign w:val="center"/>
          </w:tcPr>
          <w:p w14:paraId="181156DF">
            <w:pPr>
              <w:pStyle w:val="286"/>
              <w:adjustRightInd w:val="0"/>
              <w:snapToGrid w:val="0"/>
              <w:spacing w:line="300" w:lineRule="exact"/>
              <w:rPr>
                <w:rFonts w:hint="eastAsia" w:cs="宋体"/>
                <w:color w:val="000000" w:themeColor="text1"/>
                <w:sz w:val="21"/>
                <w14:textFill>
                  <w14:solidFill>
                    <w14:schemeClr w14:val="tx1"/>
                  </w14:solidFill>
                </w14:textFill>
              </w:rPr>
            </w:pPr>
          </w:p>
        </w:tc>
        <w:tc>
          <w:tcPr>
            <w:tcW w:w="1245" w:type="pct"/>
            <w:vAlign w:val="center"/>
          </w:tcPr>
          <w:p w14:paraId="6C3E5D4F">
            <w:pPr>
              <w:pStyle w:val="286"/>
              <w:adjustRightInd w:val="0"/>
              <w:snapToGrid w:val="0"/>
              <w:spacing w:line="300" w:lineRule="exact"/>
              <w:rPr>
                <w:rFonts w:hint="eastAsia" w:cs="宋体"/>
                <w:color w:val="000000" w:themeColor="text1"/>
                <w:sz w:val="21"/>
                <w14:textFill>
                  <w14:solidFill>
                    <w14:schemeClr w14:val="tx1"/>
                  </w14:solidFill>
                </w14:textFill>
              </w:rPr>
            </w:pPr>
            <w:r>
              <w:rPr>
                <w:rFonts w:hint="eastAsia" w:cs="宋体"/>
                <w:color w:val="000000" w:themeColor="text1"/>
                <w:sz w:val="21"/>
                <w14:textFill>
                  <w14:solidFill>
                    <w14:schemeClr w14:val="tx1"/>
                  </w14:solidFill>
                </w14:textFill>
              </w:rPr>
              <w:t>废防渗材料</w:t>
            </w:r>
          </w:p>
        </w:tc>
        <w:tc>
          <w:tcPr>
            <w:tcW w:w="1056" w:type="pct"/>
            <w:vAlign w:val="center"/>
          </w:tcPr>
          <w:p w14:paraId="2F8E97A9">
            <w:pPr>
              <w:pStyle w:val="286"/>
              <w:adjustRightInd w:val="0"/>
              <w:snapToGrid w:val="0"/>
              <w:spacing w:line="300" w:lineRule="exact"/>
              <w:rPr>
                <w:rFonts w:hint="eastAsia" w:cs="宋体"/>
                <w:color w:val="000000" w:themeColor="text1"/>
                <w:sz w:val="21"/>
                <w14:textFill>
                  <w14:solidFill>
                    <w14:schemeClr w14:val="tx1"/>
                  </w14:solidFill>
                </w14:textFill>
              </w:rPr>
            </w:pPr>
            <w:r>
              <w:rPr>
                <w:rFonts w:hint="eastAsia" w:cs="宋体"/>
                <w:color w:val="000000" w:themeColor="text1"/>
                <w:sz w:val="21"/>
                <w14:textFill>
                  <w14:solidFill>
                    <w14:schemeClr w14:val="tx1"/>
                  </w14:solidFill>
                </w14:textFill>
              </w:rPr>
              <w:t>石油类</w:t>
            </w:r>
          </w:p>
        </w:tc>
        <w:tc>
          <w:tcPr>
            <w:tcW w:w="1218" w:type="pct"/>
            <w:vAlign w:val="center"/>
          </w:tcPr>
          <w:p w14:paraId="0C5D00E5">
            <w:pPr>
              <w:pStyle w:val="286"/>
              <w:adjustRightInd w:val="0"/>
              <w:snapToGrid w:val="0"/>
              <w:spacing w:line="300" w:lineRule="exact"/>
              <w:rPr>
                <w:rFonts w:hint="eastAsia" w:cs="宋体"/>
                <w:color w:val="000000" w:themeColor="text1"/>
                <w:sz w:val="21"/>
                <w14:textFill>
                  <w14:solidFill>
                    <w14:schemeClr w14:val="tx1"/>
                  </w14:solidFill>
                </w14:textFill>
              </w:rPr>
            </w:pPr>
            <w:r>
              <w:rPr>
                <w:rFonts w:hint="eastAsia" w:cs="宋体"/>
                <w:color w:val="000000" w:themeColor="text1"/>
                <w:sz w:val="21"/>
                <w14:textFill>
                  <w14:solidFill>
                    <w14:schemeClr w14:val="tx1"/>
                  </w14:solidFill>
                </w14:textFill>
              </w:rPr>
              <w:t>9.35</w:t>
            </w:r>
            <w:bookmarkStart w:id="236" w:name="OLE_LINK44"/>
            <w:r>
              <w:rPr>
                <w:rFonts w:hint="eastAsia" w:cs="宋体"/>
                <w:color w:val="000000" w:themeColor="text1"/>
                <w:sz w:val="21"/>
                <w14:textFill>
                  <w14:solidFill>
                    <w14:schemeClr w14:val="tx1"/>
                  </w14:solidFill>
                </w14:textFill>
              </w:rPr>
              <w:t>t/a</w:t>
            </w:r>
            <w:bookmarkEnd w:id="236"/>
          </w:p>
        </w:tc>
        <w:tc>
          <w:tcPr>
            <w:tcW w:w="1022" w:type="pct"/>
          </w:tcPr>
          <w:p w14:paraId="66F80424">
            <w:pPr>
              <w:pStyle w:val="286"/>
              <w:adjustRightInd w:val="0"/>
              <w:snapToGrid w:val="0"/>
              <w:spacing w:line="300" w:lineRule="exact"/>
              <w:rPr>
                <w:rFonts w:hint="eastAsia" w:cs="宋体"/>
                <w:color w:val="000000" w:themeColor="text1"/>
                <w:sz w:val="21"/>
                <w14:textFill>
                  <w14:solidFill>
                    <w14:schemeClr w14:val="tx1"/>
                  </w14:solidFill>
                </w14:textFill>
              </w:rPr>
            </w:pPr>
            <w:r>
              <w:rPr>
                <w:rFonts w:cs="宋体"/>
                <w:color w:val="000000" w:themeColor="text1"/>
                <w:sz w:val="21"/>
                <w14:textFill>
                  <w14:solidFill>
                    <w14:schemeClr w14:val="tx1"/>
                  </w14:solidFill>
                </w14:textFill>
              </w:rPr>
              <w:t>0</w:t>
            </w:r>
          </w:p>
        </w:tc>
      </w:tr>
      <w:tr w14:paraId="00CB9A2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trPr>
        <w:tc>
          <w:tcPr>
            <w:tcW w:w="459" w:type="pct"/>
            <w:vMerge w:val="continue"/>
            <w:vAlign w:val="center"/>
          </w:tcPr>
          <w:p w14:paraId="18AA90E7">
            <w:pPr>
              <w:pStyle w:val="286"/>
              <w:adjustRightInd w:val="0"/>
              <w:snapToGrid w:val="0"/>
              <w:spacing w:line="300" w:lineRule="exact"/>
              <w:rPr>
                <w:rFonts w:hint="eastAsia" w:cs="宋体"/>
                <w:color w:val="000000" w:themeColor="text1"/>
                <w:sz w:val="21"/>
                <w14:textFill>
                  <w14:solidFill>
                    <w14:schemeClr w14:val="tx1"/>
                  </w14:solidFill>
                </w14:textFill>
              </w:rPr>
            </w:pPr>
          </w:p>
        </w:tc>
        <w:tc>
          <w:tcPr>
            <w:tcW w:w="1245" w:type="pct"/>
            <w:vAlign w:val="center"/>
          </w:tcPr>
          <w:p w14:paraId="6285B985">
            <w:pPr>
              <w:pStyle w:val="286"/>
              <w:adjustRightInd w:val="0"/>
              <w:snapToGrid w:val="0"/>
              <w:spacing w:line="300" w:lineRule="exact"/>
              <w:rPr>
                <w:rFonts w:hint="eastAsia" w:cs="宋体"/>
                <w:color w:val="000000" w:themeColor="text1"/>
                <w:sz w:val="21"/>
                <w14:textFill>
                  <w14:solidFill>
                    <w14:schemeClr w14:val="tx1"/>
                  </w14:solidFill>
                </w14:textFill>
              </w:rPr>
            </w:pPr>
            <w:r>
              <w:rPr>
                <w:rFonts w:hint="eastAsia" w:cs="宋体"/>
                <w:color w:val="000000" w:themeColor="text1"/>
                <w:sz w:val="21"/>
                <w14:textFill>
                  <w14:solidFill>
                    <w14:schemeClr w14:val="tx1"/>
                  </w14:solidFill>
                </w14:textFill>
              </w:rPr>
              <w:t>废含油抹布、劳保用品</w:t>
            </w:r>
          </w:p>
        </w:tc>
        <w:tc>
          <w:tcPr>
            <w:tcW w:w="1056" w:type="pct"/>
            <w:vAlign w:val="center"/>
          </w:tcPr>
          <w:p w14:paraId="3F2B07B8">
            <w:pPr>
              <w:pStyle w:val="286"/>
              <w:adjustRightInd w:val="0"/>
              <w:snapToGrid w:val="0"/>
              <w:spacing w:line="300" w:lineRule="exact"/>
              <w:rPr>
                <w:rFonts w:hint="eastAsia" w:cs="宋体"/>
                <w:color w:val="000000" w:themeColor="text1"/>
                <w:sz w:val="21"/>
                <w14:textFill>
                  <w14:solidFill>
                    <w14:schemeClr w14:val="tx1"/>
                  </w14:solidFill>
                </w14:textFill>
              </w:rPr>
            </w:pPr>
            <w:r>
              <w:rPr>
                <w:rFonts w:hint="eastAsia" w:cs="宋体"/>
                <w:color w:val="000000" w:themeColor="text1"/>
                <w:sz w:val="21"/>
                <w14:textFill>
                  <w14:solidFill>
                    <w14:schemeClr w14:val="tx1"/>
                  </w14:solidFill>
                </w14:textFill>
              </w:rPr>
              <w:t>石油类</w:t>
            </w:r>
          </w:p>
        </w:tc>
        <w:tc>
          <w:tcPr>
            <w:tcW w:w="1218" w:type="pct"/>
          </w:tcPr>
          <w:p w14:paraId="70D406F7">
            <w:pPr>
              <w:pStyle w:val="286"/>
              <w:adjustRightInd w:val="0"/>
              <w:snapToGrid w:val="0"/>
              <w:spacing w:line="300" w:lineRule="exact"/>
              <w:rPr>
                <w:rFonts w:hint="eastAsia" w:cs="宋体"/>
                <w:color w:val="000000" w:themeColor="text1"/>
                <w:sz w:val="21"/>
                <w14:textFill>
                  <w14:solidFill>
                    <w14:schemeClr w14:val="tx1"/>
                  </w14:solidFill>
                </w14:textFill>
              </w:rPr>
            </w:pPr>
            <w:r>
              <w:rPr>
                <w:rFonts w:hint="eastAsia" w:cs="宋体"/>
                <w:color w:val="000000" w:themeColor="text1"/>
                <w:sz w:val="21"/>
                <w14:textFill>
                  <w14:solidFill>
                    <w14:schemeClr w14:val="tx1"/>
                  </w14:solidFill>
                </w14:textFill>
              </w:rPr>
              <w:t>0.75t/a</w:t>
            </w:r>
          </w:p>
        </w:tc>
        <w:tc>
          <w:tcPr>
            <w:tcW w:w="1022" w:type="pct"/>
          </w:tcPr>
          <w:p w14:paraId="111C2BDE">
            <w:pPr>
              <w:pStyle w:val="286"/>
              <w:adjustRightInd w:val="0"/>
              <w:snapToGrid w:val="0"/>
              <w:spacing w:line="300" w:lineRule="exact"/>
              <w:rPr>
                <w:rFonts w:hint="eastAsia" w:cs="宋体"/>
                <w:color w:val="000000" w:themeColor="text1"/>
                <w:sz w:val="21"/>
                <w14:textFill>
                  <w14:solidFill>
                    <w14:schemeClr w14:val="tx1"/>
                  </w14:solidFill>
                </w14:textFill>
              </w:rPr>
            </w:pPr>
            <w:r>
              <w:rPr>
                <w:rFonts w:cs="宋体"/>
                <w:color w:val="000000" w:themeColor="text1"/>
                <w:sz w:val="21"/>
                <w14:textFill>
                  <w14:solidFill>
                    <w14:schemeClr w14:val="tx1"/>
                  </w14:solidFill>
                </w14:textFill>
              </w:rPr>
              <w:t>0</w:t>
            </w:r>
          </w:p>
        </w:tc>
      </w:tr>
      <w:tr w14:paraId="6C81727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trPr>
        <w:tc>
          <w:tcPr>
            <w:tcW w:w="459" w:type="pct"/>
            <w:vMerge w:val="continue"/>
            <w:vAlign w:val="center"/>
          </w:tcPr>
          <w:p w14:paraId="1DE47320">
            <w:pPr>
              <w:pStyle w:val="286"/>
              <w:adjustRightInd w:val="0"/>
              <w:snapToGrid w:val="0"/>
              <w:spacing w:line="300" w:lineRule="exact"/>
              <w:rPr>
                <w:rFonts w:hint="eastAsia" w:cs="宋体"/>
                <w:color w:val="000000" w:themeColor="text1"/>
                <w:sz w:val="21"/>
                <w14:textFill>
                  <w14:solidFill>
                    <w14:schemeClr w14:val="tx1"/>
                  </w14:solidFill>
                </w14:textFill>
              </w:rPr>
            </w:pPr>
          </w:p>
        </w:tc>
        <w:tc>
          <w:tcPr>
            <w:tcW w:w="1245" w:type="pct"/>
            <w:vAlign w:val="center"/>
          </w:tcPr>
          <w:p w14:paraId="602160A0">
            <w:pPr>
              <w:pStyle w:val="286"/>
              <w:adjustRightInd w:val="0"/>
              <w:snapToGrid w:val="0"/>
              <w:spacing w:line="300" w:lineRule="exact"/>
              <w:rPr>
                <w:rFonts w:hint="eastAsia" w:cs="宋体"/>
                <w:color w:val="000000" w:themeColor="text1"/>
                <w:sz w:val="21"/>
                <w14:textFill>
                  <w14:solidFill>
                    <w14:schemeClr w14:val="tx1"/>
                  </w14:solidFill>
                </w14:textFill>
              </w:rPr>
            </w:pPr>
            <w:r>
              <w:rPr>
                <w:rFonts w:hint="eastAsia" w:cs="宋体"/>
                <w:color w:val="000000" w:themeColor="text1"/>
                <w:sz w:val="21"/>
                <w14:textFill>
                  <w14:solidFill>
                    <w14:schemeClr w14:val="tx1"/>
                  </w14:solidFill>
                </w14:textFill>
              </w:rPr>
              <w:t>生活垃圾</w:t>
            </w:r>
          </w:p>
        </w:tc>
        <w:tc>
          <w:tcPr>
            <w:tcW w:w="1056" w:type="pct"/>
            <w:vAlign w:val="center"/>
          </w:tcPr>
          <w:p w14:paraId="7B84C2D5">
            <w:pPr>
              <w:pStyle w:val="286"/>
              <w:adjustRightInd w:val="0"/>
              <w:snapToGrid w:val="0"/>
              <w:spacing w:line="300" w:lineRule="exact"/>
              <w:rPr>
                <w:rFonts w:hint="eastAsia" w:cs="宋体"/>
                <w:color w:val="000000" w:themeColor="text1"/>
                <w:sz w:val="21"/>
                <w14:textFill>
                  <w14:solidFill>
                    <w14:schemeClr w14:val="tx1"/>
                  </w14:solidFill>
                </w14:textFill>
              </w:rPr>
            </w:pPr>
            <w:r>
              <w:rPr>
                <w:rFonts w:hint="eastAsia" w:cs="宋体"/>
                <w:color w:val="000000" w:themeColor="text1"/>
                <w:sz w:val="21"/>
                <w14:textFill>
                  <w14:solidFill>
                    <w14:schemeClr w14:val="tx1"/>
                  </w14:solidFill>
                </w14:textFill>
              </w:rPr>
              <w:t>/</w:t>
            </w:r>
          </w:p>
        </w:tc>
        <w:tc>
          <w:tcPr>
            <w:tcW w:w="1218" w:type="pct"/>
          </w:tcPr>
          <w:p w14:paraId="2F3372B2">
            <w:pPr>
              <w:pStyle w:val="286"/>
              <w:adjustRightInd w:val="0"/>
              <w:snapToGrid w:val="0"/>
              <w:spacing w:line="300" w:lineRule="exact"/>
              <w:rPr>
                <w:rFonts w:hint="eastAsia" w:cs="宋体"/>
                <w:color w:val="000000" w:themeColor="text1"/>
                <w:sz w:val="21"/>
                <w14:textFill>
                  <w14:solidFill>
                    <w14:schemeClr w14:val="tx1"/>
                  </w14:solidFill>
                </w14:textFill>
              </w:rPr>
            </w:pPr>
            <w:r>
              <w:rPr>
                <w:rFonts w:hint="eastAsia" w:cs="宋体"/>
                <w:color w:val="000000" w:themeColor="text1"/>
                <w:sz w:val="21"/>
                <w14:textFill>
                  <w14:solidFill>
                    <w14:schemeClr w14:val="tx1"/>
                  </w14:solidFill>
                </w14:textFill>
              </w:rPr>
              <w:t>8.32t/a</w:t>
            </w:r>
          </w:p>
        </w:tc>
        <w:tc>
          <w:tcPr>
            <w:tcW w:w="1022" w:type="pct"/>
          </w:tcPr>
          <w:p w14:paraId="63C3E051">
            <w:pPr>
              <w:pStyle w:val="286"/>
              <w:adjustRightInd w:val="0"/>
              <w:snapToGrid w:val="0"/>
              <w:spacing w:line="300" w:lineRule="exact"/>
              <w:rPr>
                <w:rFonts w:hint="eastAsia" w:cs="宋体"/>
                <w:color w:val="000000" w:themeColor="text1"/>
                <w:sz w:val="21"/>
                <w14:textFill>
                  <w14:solidFill>
                    <w14:schemeClr w14:val="tx1"/>
                  </w14:solidFill>
                </w14:textFill>
              </w:rPr>
            </w:pPr>
            <w:r>
              <w:rPr>
                <w:rFonts w:cs="宋体"/>
                <w:color w:val="000000" w:themeColor="text1"/>
                <w:sz w:val="21"/>
                <w14:textFill>
                  <w14:solidFill>
                    <w14:schemeClr w14:val="tx1"/>
                  </w14:solidFill>
                </w14:textFill>
              </w:rPr>
              <w:t>0</w:t>
            </w:r>
          </w:p>
        </w:tc>
      </w:tr>
      <w:bookmarkEnd w:id="197"/>
      <w:bookmarkEnd w:id="198"/>
      <w:bookmarkEnd w:id="199"/>
    </w:tbl>
    <w:p w14:paraId="3D1146C7">
      <w:pPr>
        <w:pStyle w:val="4"/>
        <w:rPr>
          <w:rFonts w:hint="eastAsia"/>
          <w:color w:val="000000" w:themeColor="text1"/>
          <w:spacing w:val="4"/>
          <w14:textFill>
            <w14:solidFill>
              <w14:schemeClr w14:val="tx1"/>
            </w14:solidFill>
          </w14:textFill>
        </w:rPr>
      </w:pPr>
      <w:r>
        <w:rPr>
          <w:rFonts w:hint="eastAsia"/>
          <w:color w:val="000000" w:themeColor="text1"/>
          <w:spacing w:val="4"/>
          <w14:textFill>
            <w14:solidFill>
              <w14:schemeClr w14:val="tx1"/>
            </w14:solidFill>
          </w14:textFill>
        </w:rPr>
        <w:t>存在的环境问题及“以新带老”整改措施</w:t>
      </w:r>
    </w:p>
    <w:p w14:paraId="5AD50A65">
      <w:pPr>
        <w:pStyle w:val="462"/>
        <w:rPr>
          <w:rFonts w:hint="eastAsia"/>
          <w:color w:val="000000" w:themeColor="text1"/>
          <w:lang w:bidi="ar"/>
          <w14:textFill>
            <w14:solidFill>
              <w14:schemeClr w14:val="tx1"/>
            </w14:solidFill>
          </w14:textFill>
        </w:rPr>
      </w:pPr>
      <w:r>
        <w:rPr>
          <w:rFonts w:hint="eastAsia"/>
          <w:color w:val="000000" w:themeColor="text1"/>
          <w:lang w:bidi="ar"/>
          <w14:textFill>
            <w14:solidFill>
              <w14:schemeClr w14:val="tx1"/>
            </w14:solidFill>
          </w14:textFill>
        </w:rPr>
        <w:t>（1）存在问题</w:t>
      </w:r>
    </w:p>
    <w:p w14:paraId="39FCB72F">
      <w:pPr>
        <w:pStyle w:val="462"/>
        <w:rPr>
          <w:rFonts w:hint="eastAsia"/>
          <w:color w:val="000000" w:themeColor="text1"/>
          <w:lang w:bidi="ar"/>
          <w14:textFill>
            <w14:solidFill>
              <w14:schemeClr w14:val="tx1"/>
            </w14:solidFill>
          </w14:textFill>
        </w:rPr>
      </w:pPr>
      <w:r>
        <w:rPr>
          <w:rFonts w:hint="eastAsia"/>
          <w:color w:val="000000" w:themeColor="text1"/>
          <w:lang w:bidi="ar"/>
          <w14:textFill>
            <w14:solidFill>
              <w14:schemeClr w14:val="tx1"/>
            </w14:solidFill>
          </w14:textFill>
        </w:rPr>
        <w:t>井区内现有井场已进行平整，由砾石铺垫，井场及周边均没有污油出现。已完钻井的水基/油基岩屑已按照环评要求清理处置，现场踏勘时岩屑已全部清运完毕，井场未见遗留。但目前临时占地内植被尚未完全恢复。目前现有工程存在的环境问题为：井区部分地段有车辆乱碾乱轧的痕迹。</w:t>
      </w:r>
    </w:p>
    <w:p w14:paraId="2F0C4E88">
      <w:pPr>
        <w:pStyle w:val="462"/>
        <w:rPr>
          <w:rFonts w:hint="eastAsia"/>
          <w:color w:val="000000" w:themeColor="text1"/>
          <w:lang w:bidi="ar"/>
          <w14:textFill>
            <w14:solidFill>
              <w14:schemeClr w14:val="tx1"/>
            </w14:solidFill>
          </w14:textFill>
        </w:rPr>
      </w:pPr>
      <w:r>
        <w:rPr>
          <w:rFonts w:hint="eastAsia"/>
          <w:color w:val="000000" w:themeColor="text1"/>
          <w:lang w:bidi="ar"/>
          <w14:textFill>
            <w14:solidFill>
              <w14:schemeClr w14:val="tx1"/>
            </w14:solidFill>
          </w14:textFill>
        </w:rPr>
        <w:t>（2）“以新带老”整改措施</w:t>
      </w:r>
    </w:p>
    <w:p w14:paraId="062D83B0">
      <w:pPr>
        <w:pStyle w:val="117"/>
        <w:ind w:firstLine="480"/>
        <w:rPr>
          <w:rFonts w:hint="eastAsia"/>
          <w:color w:val="000000" w:themeColor="text1"/>
          <w14:textFill>
            <w14:solidFill>
              <w14:schemeClr w14:val="tx1"/>
            </w14:solidFill>
          </w14:textFill>
        </w:rPr>
      </w:pPr>
      <w:r>
        <w:rPr>
          <w:rFonts w:hint="eastAsia"/>
          <w:color w:val="000000" w:themeColor="text1"/>
          <w:lang w:bidi="ar"/>
          <w14:textFill>
            <w14:solidFill>
              <w14:schemeClr w14:val="tx1"/>
            </w14:solidFill>
          </w14:textFill>
        </w:rPr>
        <w:t>针对已开发区域遗留的环境问题，在本次开发建设过程中，要重点采取以下措施：拟建项目建设中应严格规定施工车辆、施工机械及施工人员的活动范围，不得乱碾乱轧，随意开设便道。</w:t>
      </w:r>
    </w:p>
    <w:bookmarkEnd w:id="190"/>
    <w:p w14:paraId="1B21A6F8">
      <w:pPr>
        <w:pStyle w:val="2"/>
        <w:ind w:left="0"/>
        <w:rPr>
          <w:rFonts w:hint="eastAsia"/>
          <w:color w:val="000000" w:themeColor="text1"/>
          <w14:textFill>
            <w14:solidFill>
              <w14:schemeClr w14:val="tx1"/>
            </w14:solidFill>
          </w14:textFill>
        </w:rPr>
      </w:pPr>
      <w:bookmarkStart w:id="237" w:name="_Toc216260245"/>
      <w:r>
        <w:rPr>
          <w:rFonts w:hint="eastAsia"/>
          <w:color w:val="000000" w:themeColor="text1"/>
          <w14:textFill>
            <w14:solidFill>
              <w14:schemeClr w14:val="tx1"/>
            </w14:solidFill>
          </w14:textFill>
        </w:rPr>
        <w:t>改扩建项目工程概况</w:t>
      </w:r>
      <w:bookmarkEnd w:id="237"/>
    </w:p>
    <w:p w14:paraId="750F3C20">
      <w:pPr>
        <w:pStyle w:val="4"/>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建设项目基本情况</w:t>
      </w:r>
    </w:p>
    <w:p w14:paraId="64829521">
      <w:pPr>
        <w:pStyle w:val="117"/>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（1）项目名称</w:t>
      </w:r>
    </w:p>
    <w:p w14:paraId="009FF66C">
      <w:pPr>
        <w:pStyle w:val="117"/>
        <w:ind w:firstLine="480"/>
        <w:rPr>
          <w:rFonts w:hint="eastAsia"/>
          <w:color w:val="000000" w:themeColor="text1"/>
          <w14:textFill>
            <w14:solidFill>
              <w14:schemeClr w14:val="tx1"/>
            </w14:solidFill>
          </w14:textFill>
        </w:rPr>
      </w:pPr>
      <w:bookmarkStart w:id="238" w:name="OLE_LINK13"/>
      <w:bookmarkStart w:id="239" w:name="_Hlk205378164"/>
      <w:r>
        <w:rPr>
          <w:rFonts w:hint="eastAsia"/>
          <w:color w:val="000000" w:themeColor="text1"/>
          <w14:textFill>
            <w14:solidFill>
              <w14:schemeClr w14:val="tx1"/>
            </w14:solidFill>
          </w14:textFill>
        </w:rPr>
        <w:t>新疆吉木萨尔页岩油注CO</w:t>
      </w:r>
      <w:r>
        <w:rPr>
          <w:rFonts w:hint="eastAsia"/>
          <w:color w:val="000000" w:themeColor="text1"/>
          <w:vertAlign w:val="subscript"/>
          <w14:textFill>
            <w14:solidFill>
              <w14:schemeClr w14:val="tx1"/>
            </w14:solidFill>
          </w14:textFill>
        </w:rPr>
        <w:t>2</w:t>
      </w:r>
      <w:r>
        <w:rPr>
          <w:rFonts w:hint="eastAsia"/>
          <w:color w:val="000000" w:themeColor="text1"/>
          <w14:textFill>
            <w14:solidFill>
              <w14:schemeClr w14:val="tx1"/>
            </w14:solidFill>
          </w14:textFill>
        </w:rPr>
        <w:t>提高采收率先导试验项目</w:t>
      </w:r>
      <w:bookmarkEnd w:id="238"/>
      <w:r>
        <w:rPr>
          <w:rFonts w:hint="eastAsia"/>
          <w:color w:val="000000" w:themeColor="text1"/>
          <w14:textFill>
            <w14:solidFill>
              <w14:schemeClr w14:val="tx1"/>
            </w14:solidFill>
          </w14:textFill>
        </w:rPr>
        <w:t>。</w:t>
      </w:r>
    </w:p>
    <w:bookmarkEnd w:id="239"/>
    <w:p w14:paraId="13BD4223">
      <w:pPr>
        <w:pStyle w:val="117"/>
        <w:ind w:firstLine="480"/>
        <w:rPr>
          <w:rFonts w:hint="eastAsia"/>
          <w:color w:val="000000" w:themeColor="text1"/>
          <w14:textFill>
            <w14:solidFill>
              <w14:schemeClr w14:val="tx1"/>
            </w14:solidFill>
          </w14:textFill>
        </w:rPr>
      </w:pPr>
      <w:bookmarkStart w:id="240" w:name="_Hlk92203766"/>
      <w:r>
        <w:rPr>
          <w:rFonts w:hint="eastAsia"/>
          <w:color w:val="000000" w:themeColor="text1"/>
          <w14:textFill>
            <w14:solidFill>
              <w14:schemeClr w14:val="tx1"/>
            </w14:solidFill>
          </w14:textFill>
        </w:rPr>
        <w:t>（2）建设单位</w:t>
      </w:r>
    </w:p>
    <w:p w14:paraId="5E9EF555">
      <w:pPr>
        <w:pStyle w:val="117"/>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中国石油新疆油田分公司吉庆油田作业区。</w:t>
      </w:r>
    </w:p>
    <w:p w14:paraId="1336A133">
      <w:pPr>
        <w:pStyle w:val="117"/>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w:t>
      </w:r>
      <w:r>
        <w:rPr>
          <w:color w:val="000000" w:themeColor="text1"/>
          <w14:textFill>
            <w14:solidFill>
              <w14:schemeClr w14:val="tx1"/>
            </w14:solidFill>
          </w14:textFill>
        </w:rPr>
        <w:t>3</w:t>
      </w:r>
      <w:r>
        <w:rPr>
          <w:rFonts w:hint="eastAsia"/>
          <w:color w:val="000000" w:themeColor="text1"/>
          <w14:textFill>
            <w14:solidFill>
              <w14:schemeClr w14:val="tx1"/>
            </w14:solidFill>
          </w14:textFill>
        </w:rPr>
        <w:t>）项目性质</w:t>
      </w:r>
    </w:p>
    <w:bookmarkEnd w:id="240"/>
    <w:p w14:paraId="31D2DF1F">
      <w:pPr>
        <w:pStyle w:val="117"/>
        <w:ind w:firstLine="480"/>
        <w:rPr>
          <w:rFonts w:hint="eastAsia"/>
          <w:color w:val="000000" w:themeColor="text1"/>
          <w:kern w:val="0"/>
          <w14:textFill>
            <w14:solidFill>
              <w14:schemeClr w14:val="tx1"/>
            </w14:solidFill>
          </w14:textFill>
        </w:rPr>
      </w:pPr>
      <w:r>
        <w:rPr>
          <w:rFonts w:hint="eastAsia"/>
          <w:color w:val="000000" w:themeColor="text1"/>
          <w14:textFill>
            <w14:solidFill>
              <w14:schemeClr w14:val="tx1"/>
            </w14:solidFill>
          </w14:textFill>
        </w:rPr>
        <w:t>改建</w:t>
      </w:r>
      <w:r>
        <w:rPr>
          <w:rFonts w:hint="eastAsia"/>
          <w:color w:val="000000" w:themeColor="text1"/>
          <w:kern w:val="0"/>
          <w14:textFill>
            <w14:solidFill>
              <w14:schemeClr w14:val="tx1"/>
            </w14:solidFill>
          </w14:textFill>
        </w:rPr>
        <w:t>。</w:t>
      </w:r>
    </w:p>
    <w:p w14:paraId="01C66795">
      <w:pPr>
        <w:pStyle w:val="117"/>
        <w:ind w:firstLine="480"/>
        <w:rPr>
          <w:rFonts w:hint="eastAsia"/>
          <w:color w:val="000000" w:themeColor="text1"/>
          <w14:textFill>
            <w14:solidFill>
              <w14:schemeClr w14:val="tx1"/>
            </w14:solidFill>
          </w14:textFill>
        </w:rPr>
      </w:pPr>
      <w:bookmarkStart w:id="241" w:name="_Hlk35516863"/>
      <w:r>
        <w:rPr>
          <w:rFonts w:hint="eastAsia"/>
          <w:color w:val="000000" w:themeColor="text1"/>
          <w14:textFill>
            <w14:solidFill>
              <w14:schemeClr w14:val="tx1"/>
            </w14:solidFill>
          </w14:textFill>
        </w:rPr>
        <w:t>（4）建设地点</w:t>
      </w:r>
    </w:p>
    <w:p w14:paraId="33805EE6">
      <w:pPr>
        <w:pStyle w:val="117"/>
        <w:ind w:firstLine="480"/>
        <w:rPr>
          <w:rFonts w:hint="eastAsia"/>
          <w:color w:val="000000" w:themeColor="text1"/>
          <w14:textFill>
            <w14:solidFill>
              <w14:schemeClr w14:val="tx1"/>
            </w14:solidFill>
          </w14:textFill>
        </w:rPr>
      </w:pPr>
      <w:r>
        <w:rPr>
          <w:rFonts w:hint="eastAsia" w:cs="宋体"/>
          <w:color w:val="000000" w:themeColor="text1"/>
          <w:kern w:val="0"/>
          <w14:textFill>
            <w14:solidFill>
              <w14:schemeClr w14:val="tx1"/>
            </w14:solidFill>
          </w14:textFill>
        </w:rPr>
        <w:t>本项目行政隶属于</w:t>
      </w:r>
      <w:bookmarkStart w:id="242" w:name="OLE_LINK33"/>
      <w:bookmarkStart w:id="243" w:name="_Hlk173751123"/>
      <w:r>
        <w:rPr>
          <w:rFonts w:hint="eastAsia" w:cs="宋体"/>
          <w:color w:val="000000" w:themeColor="text1"/>
          <w:kern w:val="0"/>
          <w14:textFill>
            <w14:solidFill>
              <w14:schemeClr w14:val="tx1"/>
            </w14:solidFill>
          </w14:textFill>
        </w:rPr>
        <w:t>新疆维吾尔自治区昌吉回族自治州吉木萨尔县，西南距吉木萨尔县城约14km，西北距红旗农场约14km</w:t>
      </w:r>
      <w:r>
        <w:rPr>
          <w:rFonts w:hint="eastAsia"/>
          <w:color w:val="000000" w:themeColor="text1"/>
          <w14:textFill>
            <w14:solidFill>
              <w14:schemeClr w14:val="tx1"/>
            </w14:solidFill>
          </w14:textFill>
        </w:rPr>
        <w:t>。</w:t>
      </w:r>
      <w:bookmarkEnd w:id="242"/>
      <w:bookmarkEnd w:id="243"/>
      <w:r>
        <w:rPr>
          <w:rFonts w:hint="eastAsia" w:cs="宋体"/>
          <w:color w:val="000000" w:themeColor="text1"/>
          <w:kern w:val="0"/>
          <w14:textFill>
            <w14:solidFill>
              <w14:schemeClr w14:val="tx1"/>
            </w14:solidFill>
          </w14:textFill>
        </w:rPr>
        <w:t>区域位置见图3.2-1。</w:t>
      </w:r>
    </w:p>
    <w:p w14:paraId="5EC577FE">
      <w:pPr>
        <w:pStyle w:val="117"/>
        <w:ind w:firstLine="480"/>
        <w:rPr>
          <w:rFonts w:hint="eastAsia" w:cs="宋体"/>
          <w:color w:val="000000" w:themeColor="text1"/>
          <w:kern w:val="0"/>
          <w14:textFill>
            <w14:solidFill>
              <w14:schemeClr w14:val="tx1"/>
            </w14:solidFill>
          </w14:textFill>
        </w:rPr>
      </w:pPr>
      <w:r>
        <w:rPr>
          <w:rFonts w:hint="eastAsia" w:cs="宋体"/>
          <w:color w:val="000000" w:themeColor="text1"/>
          <w:kern w:val="0"/>
          <w14:textFill>
            <w14:solidFill>
              <w14:schemeClr w14:val="tx1"/>
            </w14:solidFill>
          </w14:textFill>
        </w:rPr>
        <w:t>（5）建设内容</w:t>
      </w:r>
    </w:p>
    <w:p w14:paraId="1F940732">
      <w:pPr>
        <w:pStyle w:val="117"/>
        <w:ind w:firstLine="480"/>
        <w:rPr>
          <w:rFonts w:hint="eastAsia" w:cs="宋体"/>
          <w:color w:val="000000" w:themeColor="text1"/>
          <w:kern w:val="0"/>
          <w14:textFill>
            <w14:solidFill>
              <w14:schemeClr w14:val="tx1"/>
            </w14:solidFill>
          </w14:textFill>
        </w:rPr>
      </w:pPr>
      <w:bookmarkStart w:id="244" w:name="_Hlk173751248"/>
      <w:bookmarkStart w:id="245" w:name="_Hlk212644928"/>
      <w:r>
        <w:rPr>
          <w:rFonts w:hint="eastAsia" w:cs="宋体"/>
          <w:color w:val="000000" w:themeColor="text1"/>
          <w14:textFill>
            <w14:solidFill>
              <w14:schemeClr w14:val="tx1"/>
            </w14:solidFill>
          </w14:textFill>
        </w:rPr>
        <w:t>本次拟对现有12口生产井进行改造，将</w:t>
      </w:r>
      <w:r>
        <w:rPr>
          <w:rFonts w:hint="eastAsia"/>
          <w:color w:val="000000" w:themeColor="text1"/>
          <w14:textFill>
            <w14:solidFill>
              <w14:schemeClr w14:val="tx1"/>
            </w14:solidFill>
          </w14:textFill>
        </w:rPr>
        <w:t>JHW</w:t>
      </w:r>
      <w:r>
        <w:rPr>
          <w:color w:val="000000" w:themeColor="text1"/>
          <w14:textFill>
            <w14:solidFill>
              <w14:schemeClr w14:val="tx1"/>
            </w14:solidFill>
          </w14:textFill>
        </w:rPr>
        <w:t>035</w:t>
      </w:r>
      <w:r>
        <w:rPr>
          <w:rFonts w:hint="eastAsia"/>
          <w:color w:val="000000" w:themeColor="text1"/>
          <w14:textFill>
            <w14:solidFill>
              <w14:schemeClr w14:val="tx1"/>
            </w14:solidFill>
          </w14:textFill>
        </w:rPr>
        <w:t>、JHW</w:t>
      </w:r>
      <w:r>
        <w:rPr>
          <w:color w:val="000000" w:themeColor="text1"/>
          <w14:textFill>
            <w14:solidFill>
              <w14:schemeClr w14:val="tx1"/>
            </w14:solidFill>
          </w14:textFill>
        </w:rPr>
        <w:t>036</w:t>
      </w:r>
      <w:r>
        <w:rPr>
          <w:rFonts w:hint="eastAsia"/>
          <w:color w:val="000000" w:themeColor="text1"/>
          <w14:textFill>
            <w14:solidFill>
              <w14:schemeClr w14:val="tx1"/>
            </w14:solidFill>
          </w14:textFill>
        </w:rPr>
        <w:t>、JHW</w:t>
      </w:r>
      <w:r>
        <w:rPr>
          <w:color w:val="000000" w:themeColor="text1"/>
          <w14:textFill>
            <w14:solidFill>
              <w14:schemeClr w14:val="tx1"/>
            </w14:solidFill>
          </w14:textFill>
        </w:rPr>
        <w:t>00526</w:t>
      </w:r>
      <w:r>
        <w:rPr>
          <w:rFonts w:hint="eastAsia"/>
          <w:color w:val="000000" w:themeColor="text1"/>
          <w14:textFill>
            <w14:solidFill>
              <w14:schemeClr w14:val="tx1"/>
            </w14:solidFill>
          </w14:textFill>
        </w:rPr>
        <w:t>、JHW</w:t>
      </w:r>
      <w:r>
        <w:rPr>
          <w:color w:val="000000" w:themeColor="text1"/>
          <w14:textFill>
            <w14:solidFill>
              <w14:schemeClr w14:val="tx1"/>
            </w14:solidFill>
          </w14:textFill>
        </w:rPr>
        <w:t>00525</w:t>
      </w:r>
      <w:r>
        <w:rPr>
          <w:rFonts w:hint="eastAsia"/>
          <w:color w:val="000000" w:themeColor="text1"/>
          <w14:textFill>
            <w14:solidFill>
              <w14:schemeClr w14:val="tx1"/>
            </w14:solidFill>
          </w14:textFill>
        </w:rPr>
        <w:t>、J</w:t>
      </w:r>
      <w:r>
        <w:rPr>
          <w:color w:val="000000" w:themeColor="text1"/>
          <w14:textFill>
            <w14:solidFill>
              <w14:schemeClr w14:val="tx1"/>
            </w14:solidFill>
          </w14:textFill>
        </w:rPr>
        <w:t>10064_H</w:t>
      </w:r>
      <w:r>
        <w:rPr>
          <w:rFonts w:hint="eastAsia"/>
          <w:color w:val="000000" w:themeColor="text1"/>
          <w14:textFill>
            <w14:solidFill>
              <w14:schemeClr w14:val="tx1"/>
            </w14:solidFill>
          </w14:textFill>
        </w:rPr>
        <w:t>、JHW</w:t>
      </w:r>
      <w:r>
        <w:rPr>
          <w:color w:val="000000" w:themeColor="text1"/>
          <w14:textFill>
            <w14:solidFill>
              <w14:schemeClr w14:val="tx1"/>
            </w14:solidFill>
          </w14:textFill>
        </w:rPr>
        <w:t>033</w:t>
      </w:r>
      <w:r>
        <w:rPr>
          <w:rFonts w:hint="eastAsia"/>
          <w:color w:val="000000" w:themeColor="text1"/>
          <w14:textFill>
            <w14:solidFill>
              <w14:schemeClr w14:val="tx1"/>
            </w14:solidFill>
          </w14:textFill>
        </w:rPr>
        <w:t>、JHW</w:t>
      </w:r>
      <w:r>
        <w:rPr>
          <w:color w:val="000000" w:themeColor="text1"/>
          <w14:textFill>
            <w14:solidFill>
              <w14:schemeClr w14:val="tx1"/>
            </w14:solidFill>
          </w14:textFill>
        </w:rPr>
        <w:t>032</w:t>
      </w:r>
      <w:r>
        <w:rPr>
          <w:rFonts w:hint="eastAsia"/>
          <w:color w:val="000000" w:themeColor="text1"/>
          <w14:textFill>
            <w14:solidFill>
              <w14:schemeClr w14:val="tx1"/>
            </w14:solidFill>
          </w14:textFill>
        </w:rPr>
        <w:t>、JHW</w:t>
      </w:r>
      <w:r>
        <w:rPr>
          <w:color w:val="000000" w:themeColor="text1"/>
          <w14:textFill>
            <w14:solidFill>
              <w14:schemeClr w14:val="tx1"/>
            </w14:solidFill>
          </w14:textFill>
        </w:rPr>
        <w:t>031</w:t>
      </w:r>
      <w:r>
        <w:rPr>
          <w:rFonts w:hint="eastAsia"/>
          <w:color w:val="000000" w:themeColor="text1"/>
          <w14:textFill>
            <w14:solidFill>
              <w14:schemeClr w14:val="tx1"/>
            </w14:solidFill>
          </w14:textFill>
        </w:rPr>
        <w:t>、J</w:t>
      </w:r>
      <w:r>
        <w:rPr>
          <w:color w:val="000000" w:themeColor="text1"/>
          <w14:textFill>
            <w14:solidFill>
              <w14:schemeClr w14:val="tx1"/>
            </w14:solidFill>
          </w14:textFill>
        </w:rPr>
        <w:t>10002_H</w:t>
      </w:r>
      <w:r>
        <w:rPr>
          <w:rFonts w:hint="eastAsia"/>
          <w:color w:val="000000" w:themeColor="text1"/>
          <w14:textFill>
            <w14:solidFill>
              <w14:schemeClr w14:val="tx1"/>
            </w14:solidFill>
          </w14:textFill>
        </w:rPr>
        <w:t>共9口井改造为注采井，将</w:t>
      </w:r>
      <w:bookmarkEnd w:id="244"/>
      <w:bookmarkEnd w:id="245"/>
      <w:bookmarkStart w:id="246" w:name="OLE_LINK105"/>
      <w:bookmarkStart w:id="247" w:name="OLE_LINK167"/>
      <w:bookmarkStart w:id="248" w:name="_Hlk173404158"/>
      <w:r>
        <w:rPr>
          <w:rFonts w:hint="eastAsia"/>
          <w:color w:val="000000" w:themeColor="text1"/>
          <w14:textFill>
            <w14:solidFill>
              <w14:schemeClr w14:val="tx1"/>
            </w14:solidFill>
          </w14:textFill>
        </w:rPr>
        <w:t>JHW</w:t>
      </w:r>
      <w:r>
        <w:rPr>
          <w:color w:val="000000" w:themeColor="text1"/>
          <w14:textFill>
            <w14:solidFill>
              <w14:schemeClr w14:val="tx1"/>
            </w14:solidFill>
          </w14:textFill>
        </w:rPr>
        <w:t>00421</w:t>
      </w:r>
      <w:r>
        <w:rPr>
          <w:rFonts w:hint="eastAsia"/>
          <w:color w:val="000000" w:themeColor="text1"/>
          <w14:textFill>
            <w14:solidFill>
              <w14:schemeClr w14:val="tx1"/>
            </w14:solidFill>
          </w14:textFill>
        </w:rPr>
        <w:t>井、JHW</w:t>
      </w:r>
      <w:r>
        <w:rPr>
          <w:color w:val="000000" w:themeColor="text1"/>
          <w14:textFill>
            <w14:solidFill>
              <w14:schemeClr w14:val="tx1"/>
            </w14:solidFill>
          </w14:textFill>
        </w:rPr>
        <w:t>034</w:t>
      </w:r>
      <w:r>
        <w:rPr>
          <w:rFonts w:hint="eastAsia"/>
          <w:color w:val="000000" w:themeColor="text1"/>
          <w14:textFill>
            <w14:solidFill>
              <w14:schemeClr w14:val="tx1"/>
            </w14:solidFill>
          </w14:textFill>
        </w:rPr>
        <w:t>共2口井改造为注水井</w:t>
      </w:r>
      <w:bookmarkEnd w:id="246"/>
      <w:r>
        <w:rPr>
          <w:rFonts w:hint="eastAsia"/>
          <w:color w:val="000000" w:themeColor="text1"/>
          <w14:textFill>
            <w14:solidFill>
              <w14:schemeClr w14:val="tx1"/>
            </w14:solidFill>
          </w14:textFill>
        </w:rPr>
        <w:t>，将</w:t>
      </w:r>
      <w:r>
        <w:rPr>
          <w:rFonts w:hint="eastAsia"/>
          <w:color w:val="000000" w:themeColor="text1"/>
          <w:lang w:val="zh-CN"/>
          <w14:textFill>
            <w14:solidFill>
              <w14:schemeClr w14:val="tx1"/>
            </w14:solidFill>
          </w14:textFill>
        </w:rPr>
        <w:t>JHW00422改造为采出气回注井。</w:t>
      </w:r>
      <w:r>
        <w:rPr>
          <w:rFonts w:hint="eastAsia" w:cs="宋体"/>
          <w:color w:val="000000" w:themeColor="text1"/>
          <w:kern w:val="0"/>
          <w14:textFill>
            <w14:solidFill>
              <w14:schemeClr w14:val="tx1"/>
            </w14:solidFill>
          </w14:textFill>
        </w:rPr>
        <w:t>建设内容主要为：新建注采井场9座、采出气回注井场1座，注水井场2座，新建预处理注入站1座、计量站2座、单井采油管线4.64km、集油干线2.3km、注气管线1.2km、转液管线1.2km；并配套建设供配电、仪表自动化、消防等公用工程。</w:t>
      </w:r>
    </w:p>
    <w:bookmarkEnd w:id="247"/>
    <w:p w14:paraId="0CE4BE5E">
      <w:pPr>
        <w:pStyle w:val="117"/>
        <w:ind w:firstLine="480"/>
        <w:rPr>
          <w:rFonts w:hint="eastAsia" w:cs="宋体"/>
          <w:color w:val="000000" w:themeColor="text1"/>
          <w:kern w:val="0"/>
          <w14:textFill>
            <w14:solidFill>
              <w14:schemeClr w14:val="tx1"/>
            </w14:solidFill>
          </w14:textFill>
        </w:rPr>
      </w:pPr>
      <w:r>
        <w:rPr>
          <w:rFonts w:hint="eastAsia" w:cs="宋体"/>
          <w:color w:val="000000" w:themeColor="text1"/>
          <w:kern w:val="0"/>
          <w14:textFill>
            <w14:solidFill>
              <w14:schemeClr w14:val="tx1"/>
            </w14:solidFill>
          </w14:textFill>
        </w:rPr>
        <w:t>（6）产能规模及吞吐轮次</w:t>
      </w:r>
    </w:p>
    <w:p w14:paraId="3E67CE47">
      <w:pPr>
        <w:pStyle w:val="117"/>
        <w:ind w:firstLine="480"/>
        <w:rPr>
          <w:rFonts w:hint="eastAsia" w:cs="宋体"/>
          <w:color w:val="000000" w:themeColor="text1"/>
          <w:kern w:val="0"/>
          <w14:textFill>
            <w14:solidFill>
              <w14:schemeClr w14:val="tx1"/>
            </w14:solidFill>
          </w14:textFill>
        </w:rPr>
      </w:pPr>
      <w:r>
        <w:rPr>
          <w:rFonts w:hint="eastAsia" w:cs="宋体"/>
          <w:color w:val="000000" w:themeColor="text1"/>
          <w:kern w:val="0"/>
          <w14:textFill>
            <w14:solidFill>
              <w14:schemeClr w14:val="tx1"/>
            </w14:solidFill>
          </w14:textFill>
        </w:rPr>
        <w:t>①产能情况</w:t>
      </w:r>
    </w:p>
    <w:p w14:paraId="2F614120">
      <w:pPr>
        <w:pStyle w:val="117"/>
        <w:ind w:firstLine="480"/>
        <w:rPr>
          <w:rFonts w:hint="eastAsia" w:cs="宋体"/>
          <w:color w:val="000000" w:themeColor="text1"/>
          <w:kern w:val="0"/>
          <w14:textFill>
            <w14:solidFill>
              <w14:schemeClr w14:val="tx1"/>
            </w14:solidFill>
          </w14:textFill>
        </w:rPr>
      </w:pPr>
      <w:r>
        <w:rPr>
          <w:rFonts w:hint="eastAsia" w:cs="宋体"/>
          <w:color w:val="000000" w:themeColor="text1"/>
          <w:kern w:val="0"/>
          <w14:textFill>
            <w14:solidFill>
              <w14:schemeClr w14:val="tx1"/>
            </w14:solidFill>
          </w14:textFill>
        </w:rPr>
        <w:t>本次拟部署9口注采井、1口采出气回注井、</w:t>
      </w:r>
      <w:bookmarkStart w:id="249" w:name="OLE_LINK77"/>
      <w:r>
        <w:rPr>
          <w:rFonts w:hint="eastAsia" w:cs="宋体"/>
          <w:color w:val="000000" w:themeColor="text1"/>
          <w:kern w:val="0"/>
          <w14:textFill>
            <w14:solidFill>
              <w14:schemeClr w14:val="tx1"/>
            </w14:solidFill>
          </w14:textFill>
        </w:rPr>
        <w:t>2口注水井</w:t>
      </w:r>
      <w:bookmarkEnd w:id="249"/>
      <w:r>
        <w:rPr>
          <w:rFonts w:hint="eastAsia" w:cs="宋体"/>
          <w:color w:val="000000" w:themeColor="text1"/>
          <w:kern w:val="0"/>
          <w14:textFill>
            <w14:solidFill>
              <w14:schemeClr w14:val="tx1"/>
            </w14:solidFill>
          </w14:textFill>
        </w:rPr>
        <w:t>，采用注CO</w:t>
      </w:r>
      <w:r>
        <w:rPr>
          <w:rFonts w:hint="eastAsia" w:cs="宋体"/>
          <w:color w:val="000000" w:themeColor="text1"/>
          <w:kern w:val="0"/>
          <w:vertAlign w:val="subscript"/>
          <w14:textFill>
            <w14:solidFill>
              <w14:schemeClr w14:val="tx1"/>
            </w14:solidFill>
          </w14:textFill>
        </w:rPr>
        <w:t>2</w:t>
      </w:r>
      <w:r>
        <w:rPr>
          <w:rFonts w:hint="eastAsia" w:cs="宋体"/>
          <w:color w:val="000000" w:themeColor="text1"/>
          <w:kern w:val="0"/>
          <w14:textFill>
            <w14:solidFill>
              <w14:schemeClr w14:val="tx1"/>
            </w14:solidFill>
          </w14:textFill>
        </w:rPr>
        <w:t>吞吐</w:t>
      </w:r>
      <w:r>
        <w:rPr>
          <w:rFonts w:cs="宋体"/>
          <w:color w:val="000000" w:themeColor="text1"/>
          <w:kern w:val="0"/>
          <w14:textFill>
            <w14:solidFill>
              <w14:schemeClr w14:val="tx1"/>
            </w14:solidFill>
          </w14:textFill>
        </w:rPr>
        <w:t>开发</w:t>
      </w:r>
      <w:r>
        <w:rPr>
          <w:rFonts w:hint="eastAsia" w:cs="宋体"/>
          <w:color w:val="000000" w:themeColor="text1"/>
          <w:kern w:val="0"/>
          <w14:textFill>
            <w14:solidFill>
              <w14:schemeClr w14:val="tx1"/>
            </w14:solidFill>
          </w14:textFill>
        </w:rPr>
        <w:t>，采用交替注采、自喷生产，注水井为注水封堵，9口井的产能预测见表3.2-1。</w:t>
      </w:r>
    </w:p>
    <w:p w14:paraId="410C3F78">
      <w:pPr>
        <w:widowControl/>
        <w:adjustRightInd w:val="0"/>
        <w:snapToGrid w:val="0"/>
        <w:spacing w:line="500" w:lineRule="exact"/>
        <w:jc w:val="center"/>
        <w:rPr>
          <w:rFonts w:hint="eastAsia" w:ascii="黑体" w:hAnsi="黑体" w:eastAsia="黑体"/>
          <w:color w:val="000000" w:themeColor="text1"/>
          <w14:textFill>
            <w14:solidFill>
              <w14:schemeClr w14:val="tx1"/>
            </w14:solidFill>
          </w14:textFill>
        </w:rPr>
      </w:pPr>
      <w:r>
        <w:rPr>
          <w:rFonts w:hint="eastAsia" w:ascii="黑体" w:hAnsi="黑体" w:eastAsia="黑体"/>
          <w:color w:val="000000" w:themeColor="text1"/>
          <w14:textFill>
            <w14:solidFill>
              <w14:schemeClr w14:val="tx1"/>
            </w14:solidFill>
          </w14:textFill>
        </w:rPr>
        <w:t xml:space="preserve">表3.2-1  </w:t>
      </w:r>
      <w:r>
        <w:rPr>
          <w:rFonts w:ascii="黑体" w:hAnsi="黑体" w:eastAsia="黑体"/>
          <w:color w:val="000000" w:themeColor="text1"/>
          <w14:textFill>
            <w14:solidFill>
              <w14:schemeClr w14:val="tx1"/>
            </w14:solidFill>
          </w14:textFill>
        </w:rPr>
        <w:t>页岩油井区二氧化碳吞吐注采产量预测表</w:t>
      </w:r>
    </w:p>
    <w:tbl>
      <w:tblPr>
        <w:tblStyle w:val="51"/>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635"/>
        <w:gridCol w:w="640"/>
        <w:gridCol w:w="640"/>
        <w:gridCol w:w="640"/>
        <w:gridCol w:w="640"/>
        <w:gridCol w:w="761"/>
        <w:gridCol w:w="440"/>
        <w:gridCol w:w="653"/>
        <w:gridCol w:w="653"/>
        <w:gridCol w:w="547"/>
        <w:gridCol w:w="653"/>
        <w:gridCol w:w="737"/>
        <w:gridCol w:w="653"/>
        <w:gridCol w:w="438"/>
      </w:tblGrid>
      <w:tr w14:paraId="101869C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blHeader/>
          <w:jc w:val="center"/>
        </w:trPr>
        <w:tc>
          <w:tcPr>
            <w:tcW w:w="328" w:type="pct"/>
            <w:noWrap/>
            <w:vAlign w:val="center"/>
          </w:tcPr>
          <w:p w14:paraId="0DEBA614">
            <w:pPr>
              <w:adjustRightInd w:val="0"/>
              <w:snapToGrid w:val="0"/>
              <w:jc w:val="center"/>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年度</w:t>
            </w:r>
          </w:p>
          <w:p w14:paraId="244F0BAF">
            <w:pPr>
              <w:adjustRightInd w:val="0"/>
              <w:snapToGrid w:val="0"/>
              <w:jc w:val="center"/>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（年）</w:t>
            </w:r>
          </w:p>
        </w:tc>
        <w:tc>
          <w:tcPr>
            <w:tcW w:w="328" w:type="pct"/>
            <w:noWrap/>
            <w:vAlign w:val="center"/>
          </w:tcPr>
          <w:p w14:paraId="077FF7D1">
            <w:pPr>
              <w:adjustRightInd w:val="0"/>
              <w:snapToGrid w:val="0"/>
              <w:jc w:val="center"/>
              <w:rPr>
                <w:rFonts w:hint="eastAsia"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注</w:t>
            </w:r>
            <w:r>
              <w:rPr>
                <w:rFonts w:hint="eastAsia" w:ascii="宋体" w:hAnsi="宋体"/>
                <w:color w:val="000000" w:themeColor="text1"/>
                <w:szCs w:val="21"/>
                <w14:textFill>
                  <w14:solidFill>
                    <w14:schemeClr w14:val="tx1"/>
                  </w14:solidFill>
                </w14:textFill>
              </w:rPr>
              <w:t>气</w:t>
            </w:r>
            <w:r>
              <w:rPr>
                <w:rFonts w:ascii="宋体" w:hAnsi="宋体"/>
                <w:color w:val="000000" w:themeColor="text1"/>
                <w:szCs w:val="21"/>
                <w14:textFill>
                  <w14:solidFill>
                    <w14:schemeClr w14:val="tx1"/>
                  </w14:solidFill>
                </w14:textFill>
              </w:rPr>
              <w:t>井</w:t>
            </w:r>
          </w:p>
          <w:p w14:paraId="5352CC17">
            <w:pPr>
              <w:adjustRightInd w:val="0"/>
              <w:snapToGrid w:val="0"/>
              <w:jc w:val="center"/>
              <w:rPr>
                <w:rFonts w:hint="eastAsia" w:ascii="宋体" w:hAnsi="宋体"/>
                <w:color w:val="000000" w:themeColor="text1"/>
                <w:szCs w:val="21"/>
                <w:shd w:val="clear" w:color="auto" w:fill="FFFFFF"/>
                <w14:textFill>
                  <w14:solidFill>
                    <w14:schemeClr w14:val="tx1"/>
                  </w14:solidFill>
                </w14:textFill>
              </w:rPr>
            </w:pPr>
            <w:r>
              <w:rPr>
                <w:rFonts w:hint="eastAsia" w:ascii="宋体" w:hAnsi="宋体"/>
                <w:color w:val="000000" w:themeColor="text1"/>
                <w:szCs w:val="21"/>
                <w14:textFill>
                  <w14:solidFill>
                    <w14:schemeClr w14:val="tx1"/>
                  </w14:solidFill>
                </w14:textFill>
              </w:rPr>
              <w:t>（口</w:t>
            </w:r>
            <w:r>
              <w:rPr>
                <w:rFonts w:hint="eastAsia" w:ascii="宋体" w:hAnsi="宋体"/>
                <w:color w:val="000000" w:themeColor="text1"/>
                <w:szCs w:val="21"/>
                <w:shd w:val="clear" w:color="auto" w:fill="FFFFFF"/>
                <w14:textFill>
                  <w14:solidFill>
                    <w14:schemeClr w14:val="tx1"/>
                  </w14:solidFill>
                </w14:textFill>
              </w:rPr>
              <w:t>）</w:t>
            </w:r>
          </w:p>
        </w:tc>
        <w:tc>
          <w:tcPr>
            <w:tcW w:w="328" w:type="pct"/>
          </w:tcPr>
          <w:p w14:paraId="2A6C6CEB">
            <w:pPr>
              <w:adjustRightInd w:val="0"/>
              <w:snapToGrid w:val="0"/>
              <w:jc w:val="center"/>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注水井（口）</w:t>
            </w:r>
          </w:p>
        </w:tc>
        <w:tc>
          <w:tcPr>
            <w:tcW w:w="328" w:type="pct"/>
            <w:noWrap/>
            <w:vAlign w:val="center"/>
          </w:tcPr>
          <w:p w14:paraId="1C9B2FB1">
            <w:pPr>
              <w:adjustRightInd w:val="0"/>
              <w:snapToGrid w:val="0"/>
              <w:jc w:val="center"/>
              <w:rPr>
                <w:rFonts w:hint="eastAsia"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生产井</w:t>
            </w:r>
          </w:p>
          <w:p w14:paraId="0881553F">
            <w:pPr>
              <w:adjustRightInd w:val="0"/>
              <w:snapToGrid w:val="0"/>
              <w:jc w:val="center"/>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（口）</w:t>
            </w:r>
          </w:p>
        </w:tc>
        <w:tc>
          <w:tcPr>
            <w:tcW w:w="311" w:type="pct"/>
            <w:noWrap/>
            <w:vAlign w:val="center"/>
          </w:tcPr>
          <w:p w14:paraId="64B01159">
            <w:pPr>
              <w:adjustRightInd w:val="0"/>
              <w:snapToGrid w:val="0"/>
              <w:jc w:val="center"/>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回注井</w:t>
            </w:r>
          </w:p>
          <w:p w14:paraId="51967DC4">
            <w:pPr>
              <w:adjustRightInd w:val="0"/>
              <w:snapToGrid w:val="0"/>
              <w:jc w:val="center"/>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（口）</w:t>
            </w:r>
          </w:p>
        </w:tc>
        <w:tc>
          <w:tcPr>
            <w:tcW w:w="459" w:type="pct"/>
            <w:noWrap/>
            <w:vAlign w:val="center"/>
          </w:tcPr>
          <w:p w14:paraId="15639A67">
            <w:pPr>
              <w:adjustRightInd w:val="0"/>
              <w:snapToGrid w:val="0"/>
              <w:jc w:val="center"/>
              <w:rPr>
                <w:rFonts w:hint="eastAsia" w:ascii="宋体" w:hAnsi="宋体"/>
                <w:color w:val="000000" w:themeColor="text1"/>
                <w:szCs w:val="21"/>
                <w:shd w:val="clear" w:color="auto" w:fill="FFFFFF"/>
                <w:vertAlign w:val="subscript"/>
                <w14:textFill>
                  <w14:solidFill>
                    <w14:schemeClr w14:val="tx1"/>
                  </w14:solidFill>
                </w14:textFill>
              </w:rPr>
            </w:pPr>
            <w:r>
              <w:rPr>
                <w:rFonts w:ascii="宋体" w:hAnsi="宋体"/>
                <w:color w:val="000000" w:themeColor="text1"/>
                <w:szCs w:val="21"/>
                <w:shd w:val="clear" w:color="auto" w:fill="FFFFFF"/>
                <w14:textFill>
                  <w14:solidFill>
                    <w14:schemeClr w14:val="tx1"/>
                  </w14:solidFill>
                </w14:textFill>
              </w:rPr>
              <w:t>年注CO</w:t>
            </w:r>
            <w:r>
              <w:rPr>
                <w:rFonts w:ascii="宋体" w:hAnsi="宋体"/>
                <w:color w:val="000000" w:themeColor="text1"/>
                <w:szCs w:val="21"/>
                <w:shd w:val="clear" w:color="auto" w:fill="FFFFFF"/>
                <w:vertAlign w:val="subscript"/>
                <w14:textFill>
                  <w14:solidFill>
                    <w14:schemeClr w14:val="tx1"/>
                  </w14:solidFill>
                </w14:textFill>
              </w:rPr>
              <w:t>2</w:t>
            </w:r>
          </w:p>
          <w:p w14:paraId="29271EDC">
            <w:pPr>
              <w:shd w:val="solid" w:color="FFFFFF" w:fill="auto"/>
              <w:autoSpaceDN w:val="0"/>
              <w:adjustRightInd w:val="0"/>
              <w:snapToGrid w:val="0"/>
              <w:jc w:val="center"/>
              <w:textAlignment w:val="center"/>
              <w:rPr>
                <w:rFonts w:hint="eastAsia" w:ascii="宋体" w:hAnsi="宋体"/>
                <w:color w:val="000000" w:themeColor="text1"/>
                <w:szCs w:val="21"/>
                <w:shd w:val="clear" w:color="auto" w:fill="FFFFFF"/>
                <w:vertAlign w:val="subscript"/>
                <w14:textFill>
                  <w14:solidFill>
                    <w14:schemeClr w14:val="tx1"/>
                  </w14:solidFill>
                </w14:textFill>
              </w:rPr>
            </w:pPr>
            <w:r>
              <w:rPr>
                <w:rFonts w:ascii="宋体" w:hAnsi="宋体"/>
                <w:color w:val="000000" w:themeColor="text1"/>
                <w:szCs w:val="21"/>
                <w:shd w:val="clear" w:color="auto" w:fill="FFFFFF"/>
                <w14:textFill>
                  <w14:solidFill>
                    <w14:schemeClr w14:val="tx1"/>
                  </w14:solidFill>
                </w14:textFill>
              </w:rPr>
              <w:t>10</w:t>
            </w:r>
            <w:r>
              <w:rPr>
                <w:rFonts w:ascii="宋体" w:hAnsi="宋体"/>
                <w:color w:val="000000" w:themeColor="text1"/>
                <w:szCs w:val="21"/>
                <w:shd w:val="clear" w:color="auto" w:fill="FFFFFF"/>
                <w:vertAlign w:val="superscript"/>
                <w14:textFill>
                  <w14:solidFill>
                    <w14:schemeClr w14:val="tx1"/>
                  </w14:solidFill>
                </w14:textFill>
              </w:rPr>
              <w:t>4</w:t>
            </w:r>
            <w:r>
              <w:rPr>
                <w:rFonts w:ascii="宋体" w:hAnsi="宋体"/>
                <w:color w:val="000000" w:themeColor="text1"/>
                <w:szCs w:val="21"/>
                <w:shd w:val="clear" w:color="auto" w:fill="FFFFFF"/>
                <w14:textFill>
                  <w14:solidFill>
                    <w14:schemeClr w14:val="tx1"/>
                  </w14:solidFill>
                </w14:textFill>
              </w:rPr>
              <w:t>t</w:t>
            </w:r>
          </w:p>
        </w:tc>
        <w:tc>
          <w:tcPr>
            <w:tcW w:w="275" w:type="pct"/>
            <w:noWrap/>
            <w:vAlign w:val="center"/>
          </w:tcPr>
          <w:p w14:paraId="5CD7B5A9">
            <w:pPr>
              <w:adjustRightInd w:val="0"/>
              <w:snapToGrid w:val="0"/>
              <w:jc w:val="center"/>
              <w:rPr>
                <w:rFonts w:hint="eastAsia" w:ascii="宋体" w:hAnsi="宋体"/>
                <w:color w:val="000000" w:themeColor="text1"/>
                <w:szCs w:val="21"/>
                <w:shd w:val="clear" w:color="auto" w:fill="FFFFFF"/>
                <w14:textFill>
                  <w14:solidFill>
                    <w14:schemeClr w14:val="tx1"/>
                  </w14:solidFill>
                </w14:textFill>
              </w:rPr>
            </w:pPr>
            <w:r>
              <w:rPr>
                <w:rFonts w:ascii="宋体" w:hAnsi="宋体"/>
                <w:color w:val="000000" w:themeColor="text1"/>
                <w:szCs w:val="21"/>
                <w:shd w:val="clear" w:color="auto" w:fill="FFFFFF"/>
                <w14:textFill>
                  <w14:solidFill>
                    <w14:schemeClr w14:val="tx1"/>
                  </w14:solidFill>
                </w14:textFill>
              </w:rPr>
              <w:t>年购</w:t>
            </w:r>
          </w:p>
          <w:p w14:paraId="5A610922">
            <w:pPr>
              <w:adjustRightInd w:val="0"/>
              <w:snapToGrid w:val="0"/>
              <w:jc w:val="center"/>
              <w:rPr>
                <w:rFonts w:hint="eastAsia" w:ascii="宋体" w:hAnsi="宋体"/>
                <w:color w:val="000000" w:themeColor="text1"/>
                <w:szCs w:val="21"/>
                <w:shd w:val="clear" w:color="auto" w:fill="FFFFFF"/>
                <w14:textFill>
                  <w14:solidFill>
                    <w14:schemeClr w14:val="tx1"/>
                  </w14:solidFill>
                </w14:textFill>
              </w:rPr>
            </w:pPr>
            <w:r>
              <w:rPr>
                <w:rFonts w:ascii="宋体" w:hAnsi="宋体"/>
                <w:color w:val="000000" w:themeColor="text1"/>
                <w:szCs w:val="21"/>
                <w14:textFill>
                  <w14:solidFill>
                    <w14:schemeClr w14:val="tx1"/>
                  </w14:solidFill>
                </w14:textFill>
              </w:rPr>
              <w:t>气量</w:t>
            </w:r>
          </w:p>
          <w:p w14:paraId="57A8370A">
            <w:pPr>
              <w:shd w:val="solid" w:color="FFFFFF" w:fill="auto"/>
              <w:autoSpaceDN w:val="0"/>
              <w:adjustRightInd w:val="0"/>
              <w:snapToGrid w:val="0"/>
              <w:jc w:val="center"/>
              <w:textAlignment w:val="center"/>
              <w:rPr>
                <w:rFonts w:hint="eastAsia" w:ascii="宋体" w:hAnsi="宋体"/>
                <w:color w:val="000000" w:themeColor="text1"/>
                <w:szCs w:val="21"/>
                <w:shd w:val="clear" w:color="auto" w:fill="FFFFFF"/>
                <w14:textFill>
                  <w14:solidFill>
                    <w14:schemeClr w14:val="tx1"/>
                  </w14:solidFill>
                </w14:textFill>
              </w:rPr>
            </w:pPr>
            <w:r>
              <w:rPr>
                <w:rFonts w:ascii="宋体" w:hAnsi="宋体"/>
                <w:color w:val="000000" w:themeColor="text1"/>
                <w:szCs w:val="21"/>
                <w:shd w:val="clear" w:color="auto" w:fill="FFFFFF"/>
                <w14:textFill>
                  <w14:solidFill>
                    <w14:schemeClr w14:val="tx1"/>
                  </w14:solidFill>
                </w14:textFill>
              </w:rPr>
              <w:t>10</w:t>
            </w:r>
            <w:r>
              <w:rPr>
                <w:rFonts w:ascii="宋体" w:hAnsi="宋体"/>
                <w:color w:val="000000" w:themeColor="text1"/>
                <w:szCs w:val="21"/>
                <w:shd w:val="clear" w:color="auto" w:fill="FFFFFF"/>
                <w:vertAlign w:val="superscript"/>
                <w14:textFill>
                  <w14:solidFill>
                    <w14:schemeClr w14:val="tx1"/>
                  </w14:solidFill>
                </w14:textFill>
              </w:rPr>
              <w:t>4</w:t>
            </w:r>
            <w:r>
              <w:rPr>
                <w:rFonts w:ascii="宋体" w:hAnsi="宋体"/>
                <w:color w:val="000000" w:themeColor="text1"/>
                <w:szCs w:val="21"/>
                <w:shd w:val="clear" w:color="auto" w:fill="FFFFFF"/>
                <w14:textFill>
                  <w14:solidFill>
                    <w14:schemeClr w14:val="tx1"/>
                  </w14:solidFill>
                </w14:textFill>
              </w:rPr>
              <w:t>t</w:t>
            </w:r>
          </w:p>
        </w:tc>
        <w:tc>
          <w:tcPr>
            <w:tcW w:w="397" w:type="pct"/>
            <w:noWrap/>
            <w:vAlign w:val="center"/>
          </w:tcPr>
          <w:p w14:paraId="6B5464BB">
            <w:pPr>
              <w:adjustRightInd w:val="0"/>
              <w:snapToGrid w:val="0"/>
              <w:jc w:val="center"/>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年产油</w:t>
            </w:r>
          </w:p>
          <w:p w14:paraId="1FA93B91">
            <w:pPr>
              <w:adjustRightInd w:val="0"/>
              <w:snapToGrid w:val="0"/>
              <w:jc w:val="center"/>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10</w:t>
            </w:r>
            <w:r>
              <w:rPr>
                <w:rFonts w:hint="eastAsia" w:ascii="宋体" w:hAnsi="宋体"/>
                <w:color w:val="000000" w:themeColor="text1"/>
                <w:szCs w:val="21"/>
                <w:vertAlign w:val="superscript"/>
                <w14:textFill>
                  <w14:solidFill>
                    <w14:schemeClr w14:val="tx1"/>
                  </w14:solidFill>
                </w14:textFill>
              </w:rPr>
              <w:t>4</w:t>
            </w:r>
            <w:r>
              <w:rPr>
                <w:rFonts w:hint="eastAsia" w:ascii="宋体" w:hAnsi="宋体"/>
                <w:color w:val="000000" w:themeColor="text1"/>
                <w:szCs w:val="21"/>
                <w14:textFill>
                  <w14:solidFill>
                    <w14:schemeClr w14:val="tx1"/>
                  </w14:solidFill>
                </w14:textFill>
              </w:rPr>
              <w:t>t</w:t>
            </w:r>
          </w:p>
        </w:tc>
        <w:tc>
          <w:tcPr>
            <w:tcW w:w="397" w:type="pct"/>
            <w:noWrap/>
            <w:vAlign w:val="center"/>
          </w:tcPr>
          <w:p w14:paraId="3A5EF73A">
            <w:pPr>
              <w:adjustRightInd w:val="0"/>
              <w:snapToGrid w:val="0"/>
              <w:jc w:val="center"/>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年产液</w:t>
            </w:r>
          </w:p>
          <w:p w14:paraId="683F45D5">
            <w:pPr>
              <w:adjustRightInd w:val="0"/>
              <w:snapToGrid w:val="0"/>
              <w:jc w:val="center"/>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10</w:t>
            </w:r>
            <w:r>
              <w:rPr>
                <w:rFonts w:hint="eastAsia" w:ascii="宋体" w:hAnsi="宋体"/>
                <w:color w:val="000000" w:themeColor="text1"/>
                <w:szCs w:val="21"/>
                <w:vertAlign w:val="superscript"/>
                <w14:textFill>
                  <w14:solidFill>
                    <w14:schemeClr w14:val="tx1"/>
                  </w14:solidFill>
                </w14:textFill>
              </w:rPr>
              <w:t>4</w:t>
            </w:r>
            <w:r>
              <w:rPr>
                <w:rFonts w:hint="eastAsia" w:ascii="宋体" w:hAnsi="宋体"/>
                <w:color w:val="000000" w:themeColor="text1"/>
                <w:szCs w:val="21"/>
                <w14:textFill>
                  <w14:solidFill>
                    <w14:schemeClr w14:val="tx1"/>
                  </w14:solidFill>
                </w14:textFill>
              </w:rPr>
              <w:t>t</w:t>
            </w:r>
          </w:p>
        </w:tc>
        <w:tc>
          <w:tcPr>
            <w:tcW w:w="336" w:type="pct"/>
            <w:noWrap/>
            <w:vAlign w:val="center"/>
          </w:tcPr>
          <w:p w14:paraId="5E66ED72">
            <w:pPr>
              <w:adjustRightInd w:val="0"/>
              <w:snapToGrid w:val="0"/>
              <w:jc w:val="center"/>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含水</w:t>
            </w:r>
          </w:p>
          <w:p w14:paraId="2DB00BED">
            <w:pPr>
              <w:adjustRightInd w:val="0"/>
              <w:snapToGrid w:val="0"/>
              <w:jc w:val="center"/>
              <w:rPr>
                <w:rFonts w:hint="eastAsia"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w:t>
            </w:r>
            <w:r>
              <w:rPr>
                <w:rFonts w:hint="eastAsia" w:ascii="宋体" w:hAnsi="宋体"/>
                <w:color w:val="000000" w:themeColor="text1"/>
                <w:szCs w:val="21"/>
                <w14:textFill>
                  <w14:solidFill>
                    <w14:schemeClr w14:val="tx1"/>
                  </w14:solidFill>
                </w14:textFill>
              </w:rPr>
              <w:t>%</w:t>
            </w:r>
            <w:r>
              <w:rPr>
                <w:rFonts w:ascii="宋体" w:hAnsi="宋体"/>
                <w:color w:val="000000" w:themeColor="text1"/>
                <w:szCs w:val="21"/>
                <w14:textFill>
                  <w14:solidFill>
                    <w14:schemeClr w14:val="tx1"/>
                  </w14:solidFill>
                </w14:textFill>
              </w:rPr>
              <w:t>）</w:t>
            </w:r>
          </w:p>
        </w:tc>
        <w:tc>
          <w:tcPr>
            <w:tcW w:w="397" w:type="pct"/>
            <w:noWrap/>
            <w:vAlign w:val="center"/>
          </w:tcPr>
          <w:p w14:paraId="55C650F2">
            <w:pPr>
              <w:adjustRightInd w:val="0"/>
              <w:snapToGrid w:val="0"/>
              <w:jc w:val="center"/>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年产气</w:t>
            </w:r>
          </w:p>
          <w:p w14:paraId="341C498D">
            <w:pPr>
              <w:adjustRightInd w:val="0"/>
              <w:snapToGrid w:val="0"/>
              <w:jc w:val="center"/>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10</w:t>
            </w:r>
            <w:r>
              <w:rPr>
                <w:rFonts w:hint="eastAsia" w:ascii="宋体" w:hAnsi="宋体"/>
                <w:color w:val="000000" w:themeColor="text1"/>
                <w:szCs w:val="21"/>
                <w:vertAlign w:val="superscript"/>
                <w14:textFill>
                  <w14:solidFill>
                    <w14:schemeClr w14:val="tx1"/>
                  </w14:solidFill>
                </w14:textFill>
              </w:rPr>
              <w:t>4</w:t>
            </w:r>
            <w:r>
              <w:rPr>
                <w:rFonts w:hint="eastAsia" w:ascii="宋体" w:hAnsi="宋体"/>
                <w:color w:val="000000" w:themeColor="text1"/>
                <w:szCs w:val="21"/>
                <w14:textFill>
                  <w14:solidFill>
                    <w14:schemeClr w14:val="tx1"/>
                  </w14:solidFill>
                </w14:textFill>
              </w:rPr>
              <w:t>m</w:t>
            </w:r>
            <w:r>
              <w:rPr>
                <w:rFonts w:hint="eastAsia" w:ascii="宋体" w:hAnsi="宋体"/>
                <w:color w:val="000000" w:themeColor="text1"/>
                <w:szCs w:val="21"/>
                <w:vertAlign w:val="superscript"/>
                <w14:textFill>
                  <w14:solidFill>
                    <w14:schemeClr w14:val="tx1"/>
                  </w14:solidFill>
                </w14:textFill>
              </w:rPr>
              <w:t>3</w:t>
            </w:r>
          </w:p>
        </w:tc>
        <w:tc>
          <w:tcPr>
            <w:tcW w:w="445" w:type="pct"/>
            <w:noWrap/>
            <w:vAlign w:val="center"/>
          </w:tcPr>
          <w:p w14:paraId="3C3E86CE">
            <w:pPr>
              <w:adjustRightInd w:val="0"/>
              <w:snapToGrid w:val="0"/>
              <w:jc w:val="center"/>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CO</w:t>
            </w:r>
            <w:r>
              <w:rPr>
                <w:rFonts w:hint="eastAsia" w:ascii="宋体" w:hAnsi="宋体"/>
                <w:color w:val="000000" w:themeColor="text1"/>
                <w:szCs w:val="21"/>
                <w:vertAlign w:val="subscript"/>
                <w14:textFill>
                  <w14:solidFill>
                    <w14:schemeClr w14:val="tx1"/>
                  </w14:solidFill>
                </w14:textFill>
              </w:rPr>
              <w:t>2</w:t>
            </w:r>
            <w:r>
              <w:rPr>
                <w:rFonts w:hint="eastAsia" w:ascii="宋体" w:hAnsi="宋体"/>
                <w:color w:val="000000" w:themeColor="text1"/>
                <w:szCs w:val="21"/>
                <w14:textFill>
                  <w14:solidFill>
                    <w14:schemeClr w14:val="tx1"/>
                  </w14:solidFill>
                </w14:textFill>
              </w:rPr>
              <w:t>含量</w:t>
            </w:r>
          </w:p>
          <w:p w14:paraId="45C66BD8">
            <w:pPr>
              <w:adjustRightInd w:val="0"/>
              <w:snapToGrid w:val="0"/>
              <w:jc w:val="center"/>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w:t>
            </w:r>
          </w:p>
        </w:tc>
        <w:tc>
          <w:tcPr>
            <w:tcW w:w="397" w:type="pct"/>
            <w:noWrap/>
            <w:vAlign w:val="center"/>
          </w:tcPr>
          <w:p w14:paraId="68242398">
            <w:pPr>
              <w:adjustRightInd w:val="0"/>
              <w:snapToGrid w:val="0"/>
              <w:jc w:val="center"/>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气油比</w:t>
            </w:r>
          </w:p>
          <w:p w14:paraId="4D766E29">
            <w:pPr>
              <w:adjustRightInd w:val="0"/>
              <w:snapToGrid w:val="0"/>
              <w:jc w:val="center"/>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m</w:t>
            </w:r>
            <w:r>
              <w:rPr>
                <w:rFonts w:hint="eastAsia" w:ascii="宋体" w:hAnsi="宋体"/>
                <w:color w:val="000000" w:themeColor="text1"/>
                <w:szCs w:val="21"/>
                <w:vertAlign w:val="superscript"/>
                <w14:textFill>
                  <w14:solidFill>
                    <w14:schemeClr w14:val="tx1"/>
                  </w14:solidFill>
                </w14:textFill>
              </w:rPr>
              <w:t>3</w:t>
            </w:r>
            <w:r>
              <w:rPr>
                <w:rFonts w:hint="eastAsia" w:ascii="宋体" w:hAnsi="宋体"/>
                <w:color w:val="000000" w:themeColor="text1"/>
                <w:szCs w:val="21"/>
                <w14:textFill>
                  <w14:solidFill>
                    <w14:schemeClr w14:val="tx1"/>
                  </w14:solidFill>
                </w14:textFill>
              </w:rPr>
              <w:t>/m</w:t>
            </w:r>
            <w:r>
              <w:rPr>
                <w:rFonts w:hint="eastAsia" w:ascii="宋体" w:hAnsi="宋体"/>
                <w:color w:val="000000" w:themeColor="text1"/>
                <w:szCs w:val="21"/>
                <w:vertAlign w:val="superscript"/>
                <w14:textFill>
                  <w14:solidFill>
                    <w14:schemeClr w14:val="tx1"/>
                  </w14:solidFill>
                </w14:textFill>
              </w:rPr>
              <w:t>3</w:t>
            </w:r>
          </w:p>
        </w:tc>
        <w:tc>
          <w:tcPr>
            <w:tcW w:w="275" w:type="pct"/>
            <w:noWrap/>
            <w:vAlign w:val="center"/>
          </w:tcPr>
          <w:p w14:paraId="536D02F8">
            <w:pPr>
              <w:adjustRightInd w:val="0"/>
              <w:snapToGrid w:val="0"/>
              <w:jc w:val="center"/>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开井</w:t>
            </w:r>
          </w:p>
          <w:p w14:paraId="1817C966">
            <w:pPr>
              <w:adjustRightInd w:val="0"/>
              <w:snapToGrid w:val="0"/>
              <w:jc w:val="center"/>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天数</w:t>
            </w:r>
          </w:p>
          <w:p w14:paraId="639617B5">
            <w:pPr>
              <w:adjustRightInd w:val="0"/>
              <w:snapToGrid w:val="0"/>
              <w:jc w:val="center"/>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d</w:t>
            </w:r>
          </w:p>
        </w:tc>
      </w:tr>
      <w:tr w14:paraId="506F325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28" w:type="pct"/>
            <w:noWrap/>
            <w:vAlign w:val="center"/>
          </w:tcPr>
          <w:p w14:paraId="139F984B">
            <w:pPr>
              <w:adjustRightInd w:val="0"/>
              <w:snapToGrid w:val="0"/>
              <w:jc w:val="center"/>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2</w:t>
            </w:r>
            <w:r>
              <w:rPr>
                <w:rFonts w:ascii="宋体" w:hAnsi="宋体"/>
                <w:color w:val="000000" w:themeColor="text1"/>
                <w:szCs w:val="21"/>
                <w14:textFill>
                  <w14:solidFill>
                    <w14:schemeClr w14:val="tx1"/>
                  </w14:solidFill>
                </w14:textFill>
              </w:rPr>
              <w:t>025</w:t>
            </w:r>
          </w:p>
        </w:tc>
        <w:tc>
          <w:tcPr>
            <w:tcW w:w="328" w:type="pct"/>
            <w:noWrap/>
            <w:vAlign w:val="center"/>
          </w:tcPr>
          <w:p w14:paraId="6CA23F46">
            <w:pPr>
              <w:adjustRightInd w:val="0"/>
              <w:snapToGrid w:val="0"/>
              <w:jc w:val="center"/>
              <w:rPr>
                <w:rFonts w:hint="eastAsia"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9</w:t>
            </w:r>
          </w:p>
        </w:tc>
        <w:tc>
          <w:tcPr>
            <w:tcW w:w="328" w:type="pct"/>
          </w:tcPr>
          <w:p w14:paraId="27624BF4">
            <w:pPr>
              <w:adjustRightInd w:val="0"/>
              <w:snapToGrid w:val="0"/>
              <w:jc w:val="center"/>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2</w:t>
            </w:r>
          </w:p>
        </w:tc>
        <w:tc>
          <w:tcPr>
            <w:tcW w:w="328" w:type="pct"/>
            <w:noWrap/>
            <w:vAlign w:val="center"/>
          </w:tcPr>
          <w:p w14:paraId="01089C4C">
            <w:pPr>
              <w:adjustRightInd w:val="0"/>
              <w:snapToGrid w:val="0"/>
              <w:jc w:val="center"/>
              <w:rPr>
                <w:rFonts w:hint="eastAsia"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9</w:t>
            </w:r>
          </w:p>
        </w:tc>
        <w:tc>
          <w:tcPr>
            <w:tcW w:w="311" w:type="pct"/>
            <w:noWrap/>
            <w:vAlign w:val="center"/>
          </w:tcPr>
          <w:p w14:paraId="4260BC1E">
            <w:pPr>
              <w:adjustRightInd w:val="0"/>
              <w:snapToGrid w:val="0"/>
              <w:jc w:val="center"/>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1</w:t>
            </w:r>
          </w:p>
        </w:tc>
        <w:tc>
          <w:tcPr>
            <w:tcW w:w="459" w:type="pct"/>
            <w:noWrap/>
            <w:vAlign w:val="center"/>
          </w:tcPr>
          <w:p w14:paraId="141DA0B2">
            <w:pPr>
              <w:adjustRightInd w:val="0"/>
              <w:snapToGrid w:val="0"/>
              <w:jc w:val="center"/>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12.2</w:t>
            </w:r>
          </w:p>
        </w:tc>
        <w:tc>
          <w:tcPr>
            <w:tcW w:w="275" w:type="pct"/>
            <w:noWrap/>
            <w:vAlign w:val="center"/>
          </w:tcPr>
          <w:p w14:paraId="4FAA8AC7">
            <w:pPr>
              <w:adjustRightInd w:val="0"/>
              <w:snapToGrid w:val="0"/>
              <w:jc w:val="center"/>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12.2</w:t>
            </w:r>
          </w:p>
        </w:tc>
        <w:tc>
          <w:tcPr>
            <w:tcW w:w="397" w:type="pct"/>
            <w:noWrap/>
            <w:vAlign w:val="center"/>
          </w:tcPr>
          <w:p w14:paraId="5C9AE462">
            <w:pPr>
              <w:adjustRightInd w:val="0"/>
              <w:snapToGrid w:val="0"/>
              <w:jc w:val="center"/>
              <w:rPr>
                <w:rFonts w:hint="eastAsia"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0.43</w:t>
            </w:r>
          </w:p>
        </w:tc>
        <w:tc>
          <w:tcPr>
            <w:tcW w:w="397" w:type="pct"/>
            <w:noWrap/>
            <w:vAlign w:val="center"/>
          </w:tcPr>
          <w:p w14:paraId="3D38799D">
            <w:pPr>
              <w:adjustRightInd w:val="0"/>
              <w:snapToGrid w:val="0"/>
              <w:jc w:val="center"/>
              <w:rPr>
                <w:rFonts w:hint="eastAsia"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1.58</w:t>
            </w:r>
          </w:p>
        </w:tc>
        <w:tc>
          <w:tcPr>
            <w:tcW w:w="336" w:type="pct"/>
            <w:noWrap/>
            <w:vAlign w:val="center"/>
          </w:tcPr>
          <w:p w14:paraId="3A9E5919">
            <w:pPr>
              <w:adjustRightInd w:val="0"/>
              <w:snapToGrid w:val="0"/>
              <w:jc w:val="center"/>
              <w:rPr>
                <w:rFonts w:hint="eastAsia"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72.8</w:t>
            </w:r>
          </w:p>
        </w:tc>
        <w:tc>
          <w:tcPr>
            <w:tcW w:w="397" w:type="pct"/>
            <w:noWrap/>
            <w:vAlign w:val="center"/>
          </w:tcPr>
          <w:p w14:paraId="67CCDE7C">
            <w:pPr>
              <w:adjustRightInd w:val="0"/>
              <w:snapToGrid w:val="0"/>
              <w:jc w:val="center"/>
              <w:rPr>
                <w:rFonts w:hint="eastAsia"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99.2</w:t>
            </w:r>
          </w:p>
        </w:tc>
        <w:tc>
          <w:tcPr>
            <w:tcW w:w="445" w:type="pct"/>
            <w:noWrap/>
            <w:vAlign w:val="center"/>
          </w:tcPr>
          <w:p w14:paraId="3980230C">
            <w:pPr>
              <w:adjustRightInd w:val="0"/>
              <w:snapToGrid w:val="0"/>
              <w:jc w:val="center"/>
              <w:rPr>
                <w:rFonts w:hint="eastAsia"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79.0</w:t>
            </w:r>
          </w:p>
        </w:tc>
        <w:tc>
          <w:tcPr>
            <w:tcW w:w="397" w:type="pct"/>
            <w:noWrap/>
            <w:vAlign w:val="center"/>
          </w:tcPr>
          <w:p w14:paraId="03CD61B3">
            <w:pPr>
              <w:adjustRightInd w:val="0"/>
              <w:snapToGrid w:val="0"/>
              <w:jc w:val="center"/>
              <w:rPr>
                <w:rFonts w:hint="eastAsia"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230.7</w:t>
            </w:r>
          </w:p>
        </w:tc>
        <w:tc>
          <w:tcPr>
            <w:tcW w:w="275" w:type="pct"/>
            <w:noWrap/>
            <w:vAlign w:val="center"/>
          </w:tcPr>
          <w:p w14:paraId="7929B770">
            <w:pPr>
              <w:adjustRightInd w:val="0"/>
              <w:snapToGrid w:val="0"/>
              <w:jc w:val="center"/>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60</w:t>
            </w:r>
          </w:p>
        </w:tc>
      </w:tr>
      <w:tr w14:paraId="31705D9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28" w:type="pct"/>
            <w:noWrap/>
            <w:vAlign w:val="center"/>
          </w:tcPr>
          <w:p w14:paraId="54EBB1D6">
            <w:pPr>
              <w:adjustRightInd w:val="0"/>
              <w:snapToGrid w:val="0"/>
              <w:jc w:val="center"/>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2</w:t>
            </w:r>
            <w:r>
              <w:rPr>
                <w:rFonts w:ascii="宋体" w:hAnsi="宋体"/>
                <w:color w:val="000000" w:themeColor="text1"/>
                <w:szCs w:val="21"/>
                <w14:textFill>
                  <w14:solidFill>
                    <w14:schemeClr w14:val="tx1"/>
                  </w14:solidFill>
                </w14:textFill>
              </w:rPr>
              <w:t>026</w:t>
            </w:r>
          </w:p>
        </w:tc>
        <w:tc>
          <w:tcPr>
            <w:tcW w:w="328" w:type="pct"/>
            <w:noWrap/>
            <w:vAlign w:val="center"/>
          </w:tcPr>
          <w:p w14:paraId="71124458">
            <w:pPr>
              <w:adjustRightInd w:val="0"/>
              <w:snapToGrid w:val="0"/>
              <w:jc w:val="center"/>
              <w:rPr>
                <w:rFonts w:hint="eastAsia"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9</w:t>
            </w:r>
          </w:p>
        </w:tc>
        <w:tc>
          <w:tcPr>
            <w:tcW w:w="328" w:type="pct"/>
          </w:tcPr>
          <w:p w14:paraId="64D4C97F">
            <w:pPr>
              <w:adjustRightInd w:val="0"/>
              <w:snapToGrid w:val="0"/>
              <w:jc w:val="center"/>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2</w:t>
            </w:r>
          </w:p>
        </w:tc>
        <w:tc>
          <w:tcPr>
            <w:tcW w:w="328" w:type="pct"/>
            <w:noWrap/>
            <w:vAlign w:val="center"/>
          </w:tcPr>
          <w:p w14:paraId="5242EBC5">
            <w:pPr>
              <w:adjustRightInd w:val="0"/>
              <w:snapToGrid w:val="0"/>
              <w:jc w:val="center"/>
              <w:rPr>
                <w:rFonts w:hint="eastAsia"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9</w:t>
            </w:r>
          </w:p>
        </w:tc>
        <w:tc>
          <w:tcPr>
            <w:tcW w:w="311" w:type="pct"/>
            <w:noWrap/>
            <w:vAlign w:val="center"/>
          </w:tcPr>
          <w:p w14:paraId="6C5BCE37">
            <w:pPr>
              <w:adjustRightInd w:val="0"/>
              <w:snapToGrid w:val="0"/>
              <w:jc w:val="center"/>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1</w:t>
            </w:r>
          </w:p>
        </w:tc>
        <w:tc>
          <w:tcPr>
            <w:tcW w:w="459" w:type="pct"/>
            <w:noWrap/>
            <w:vAlign w:val="center"/>
          </w:tcPr>
          <w:p w14:paraId="1902F22B">
            <w:pPr>
              <w:adjustRightInd w:val="0"/>
              <w:snapToGrid w:val="0"/>
              <w:jc w:val="center"/>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8.1</w:t>
            </w:r>
          </w:p>
        </w:tc>
        <w:tc>
          <w:tcPr>
            <w:tcW w:w="275" w:type="pct"/>
            <w:noWrap/>
            <w:vAlign w:val="center"/>
          </w:tcPr>
          <w:p w14:paraId="21111B8A">
            <w:pPr>
              <w:adjustRightInd w:val="0"/>
              <w:snapToGrid w:val="0"/>
              <w:jc w:val="center"/>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8.1</w:t>
            </w:r>
          </w:p>
        </w:tc>
        <w:tc>
          <w:tcPr>
            <w:tcW w:w="397" w:type="pct"/>
            <w:noWrap/>
            <w:vAlign w:val="center"/>
          </w:tcPr>
          <w:p w14:paraId="285A2E4A">
            <w:pPr>
              <w:adjustRightInd w:val="0"/>
              <w:snapToGrid w:val="0"/>
              <w:jc w:val="center"/>
              <w:rPr>
                <w:rFonts w:hint="eastAsia"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2.68</w:t>
            </w:r>
          </w:p>
        </w:tc>
        <w:tc>
          <w:tcPr>
            <w:tcW w:w="397" w:type="pct"/>
            <w:noWrap/>
            <w:vAlign w:val="center"/>
          </w:tcPr>
          <w:p w14:paraId="26AE865B">
            <w:pPr>
              <w:adjustRightInd w:val="0"/>
              <w:snapToGrid w:val="0"/>
              <w:jc w:val="center"/>
              <w:rPr>
                <w:rFonts w:hint="eastAsia"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6.57</w:t>
            </w:r>
          </w:p>
        </w:tc>
        <w:tc>
          <w:tcPr>
            <w:tcW w:w="336" w:type="pct"/>
            <w:noWrap/>
            <w:vAlign w:val="center"/>
          </w:tcPr>
          <w:p w14:paraId="106510C0">
            <w:pPr>
              <w:adjustRightInd w:val="0"/>
              <w:snapToGrid w:val="0"/>
              <w:jc w:val="center"/>
              <w:rPr>
                <w:rFonts w:hint="eastAsia"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59.2</w:t>
            </w:r>
          </w:p>
        </w:tc>
        <w:tc>
          <w:tcPr>
            <w:tcW w:w="397" w:type="pct"/>
            <w:noWrap/>
            <w:vAlign w:val="center"/>
          </w:tcPr>
          <w:p w14:paraId="1040585D">
            <w:pPr>
              <w:adjustRightInd w:val="0"/>
              <w:snapToGrid w:val="0"/>
              <w:jc w:val="center"/>
              <w:rPr>
                <w:rFonts w:hint="eastAsia"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311.8</w:t>
            </w:r>
          </w:p>
        </w:tc>
        <w:tc>
          <w:tcPr>
            <w:tcW w:w="445" w:type="pct"/>
            <w:noWrap/>
            <w:vAlign w:val="center"/>
          </w:tcPr>
          <w:p w14:paraId="0F8AAD9F">
            <w:pPr>
              <w:adjustRightInd w:val="0"/>
              <w:snapToGrid w:val="0"/>
              <w:jc w:val="center"/>
              <w:rPr>
                <w:rFonts w:hint="eastAsia"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191.8</w:t>
            </w:r>
          </w:p>
        </w:tc>
        <w:tc>
          <w:tcPr>
            <w:tcW w:w="397" w:type="pct"/>
            <w:noWrap/>
            <w:vAlign w:val="center"/>
          </w:tcPr>
          <w:p w14:paraId="56336B53">
            <w:pPr>
              <w:adjustRightInd w:val="0"/>
              <w:snapToGrid w:val="0"/>
              <w:jc w:val="center"/>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116.3</w:t>
            </w:r>
          </w:p>
        </w:tc>
        <w:tc>
          <w:tcPr>
            <w:tcW w:w="275" w:type="pct"/>
            <w:noWrap/>
            <w:vAlign w:val="center"/>
          </w:tcPr>
          <w:p w14:paraId="0DA942B2">
            <w:pPr>
              <w:adjustRightInd w:val="0"/>
              <w:snapToGrid w:val="0"/>
              <w:jc w:val="center"/>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30</w:t>
            </w:r>
            <w:r>
              <w:rPr>
                <w:rFonts w:ascii="宋体" w:hAnsi="宋体"/>
                <w:color w:val="000000" w:themeColor="text1"/>
                <w:szCs w:val="21"/>
                <w14:textFill>
                  <w14:solidFill>
                    <w14:schemeClr w14:val="tx1"/>
                  </w14:solidFill>
                </w14:textFill>
              </w:rPr>
              <w:t>0</w:t>
            </w:r>
          </w:p>
        </w:tc>
      </w:tr>
      <w:tr w14:paraId="377E4A9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28" w:type="pct"/>
            <w:noWrap/>
            <w:vAlign w:val="center"/>
          </w:tcPr>
          <w:p w14:paraId="3EC322CD">
            <w:pPr>
              <w:adjustRightInd w:val="0"/>
              <w:snapToGrid w:val="0"/>
              <w:jc w:val="center"/>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2</w:t>
            </w:r>
            <w:r>
              <w:rPr>
                <w:rFonts w:ascii="宋体" w:hAnsi="宋体"/>
                <w:color w:val="000000" w:themeColor="text1"/>
                <w:szCs w:val="21"/>
                <w14:textFill>
                  <w14:solidFill>
                    <w14:schemeClr w14:val="tx1"/>
                  </w14:solidFill>
                </w14:textFill>
              </w:rPr>
              <w:t>027</w:t>
            </w:r>
          </w:p>
        </w:tc>
        <w:tc>
          <w:tcPr>
            <w:tcW w:w="328" w:type="pct"/>
            <w:noWrap/>
            <w:vAlign w:val="center"/>
          </w:tcPr>
          <w:p w14:paraId="5F1AEE1C">
            <w:pPr>
              <w:adjustRightInd w:val="0"/>
              <w:snapToGrid w:val="0"/>
              <w:jc w:val="center"/>
              <w:rPr>
                <w:rFonts w:hint="eastAsia"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9</w:t>
            </w:r>
          </w:p>
        </w:tc>
        <w:tc>
          <w:tcPr>
            <w:tcW w:w="328" w:type="pct"/>
          </w:tcPr>
          <w:p w14:paraId="272D87A2">
            <w:pPr>
              <w:adjustRightInd w:val="0"/>
              <w:snapToGrid w:val="0"/>
              <w:jc w:val="center"/>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2</w:t>
            </w:r>
          </w:p>
        </w:tc>
        <w:tc>
          <w:tcPr>
            <w:tcW w:w="328" w:type="pct"/>
            <w:noWrap/>
            <w:vAlign w:val="center"/>
          </w:tcPr>
          <w:p w14:paraId="18B91511">
            <w:pPr>
              <w:adjustRightInd w:val="0"/>
              <w:snapToGrid w:val="0"/>
              <w:jc w:val="center"/>
              <w:rPr>
                <w:rFonts w:hint="eastAsia"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9</w:t>
            </w:r>
          </w:p>
        </w:tc>
        <w:tc>
          <w:tcPr>
            <w:tcW w:w="311" w:type="pct"/>
            <w:noWrap/>
            <w:vAlign w:val="center"/>
          </w:tcPr>
          <w:p w14:paraId="0F69DE08">
            <w:pPr>
              <w:adjustRightInd w:val="0"/>
              <w:snapToGrid w:val="0"/>
              <w:jc w:val="center"/>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1</w:t>
            </w:r>
          </w:p>
        </w:tc>
        <w:tc>
          <w:tcPr>
            <w:tcW w:w="459" w:type="pct"/>
            <w:noWrap/>
            <w:vAlign w:val="center"/>
          </w:tcPr>
          <w:p w14:paraId="6B779CDD">
            <w:pPr>
              <w:adjustRightInd w:val="0"/>
              <w:snapToGrid w:val="0"/>
              <w:jc w:val="center"/>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8.1</w:t>
            </w:r>
          </w:p>
        </w:tc>
        <w:tc>
          <w:tcPr>
            <w:tcW w:w="275" w:type="pct"/>
            <w:noWrap/>
            <w:vAlign w:val="center"/>
          </w:tcPr>
          <w:p w14:paraId="66C9C0D2">
            <w:pPr>
              <w:adjustRightInd w:val="0"/>
              <w:snapToGrid w:val="0"/>
              <w:jc w:val="center"/>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8.1</w:t>
            </w:r>
          </w:p>
        </w:tc>
        <w:tc>
          <w:tcPr>
            <w:tcW w:w="397" w:type="pct"/>
            <w:noWrap/>
            <w:vAlign w:val="center"/>
          </w:tcPr>
          <w:p w14:paraId="64F71FEA">
            <w:pPr>
              <w:adjustRightInd w:val="0"/>
              <w:snapToGrid w:val="0"/>
              <w:jc w:val="center"/>
              <w:rPr>
                <w:rFonts w:hint="eastAsia"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2.50</w:t>
            </w:r>
          </w:p>
        </w:tc>
        <w:tc>
          <w:tcPr>
            <w:tcW w:w="397" w:type="pct"/>
            <w:noWrap/>
            <w:vAlign w:val="center"/>
          </w:tcPr>
          <w:p w14:paraId="779035DC">
            <w:pPr>
              <w:adjustRightInd w:val="0"/>
              <w:snapToGrid w:val="0"/>
              <w:jc w:val="center"/>
              <w:rPr>
                <w:rFonts w:hint="eastAsia"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6.70</w:t>
            </w:r>
          </w:p>
        </w:tc>
        <w:tc>
          <w:tcPr>
            <w:tcW w:w="336" w:type="pct"/>
            <w:noWrap/>
            <w:vAlign w:val="center"/>
          </w:tcPr>
          <w:p w14:paraId="726F41AA">
            <w:pPr>
              <w:adjustRightInd w:val="0"/>
              <w:snapToGrid w:val="0"/>
              <w:jc w:val="center"/>
              <w:rPr>
                <w:rFonts w:hint="eastAsia"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62.7</w:t>
            </w:r>
          </w:p>
        </w:tc>
        <w:tc>
          <w:tcPr>
            <w:tcW w:w="397" w:type="pct"/>
            <w:noWrap/>
            <w:vAlign w:val="center"/>
          </w:tcPr>
          <w:p w14:paraId="313703A1">
            <w:pPr>
              <w:adjustRightInd w:val="0"/>
              <w:snapToGrid w:val="0"/>
              <w:jc w:val="center"/>
              <w:rPr>
                <w:rFonts w:hint="eastAsia"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326.0</w:t>
            </w:r>
          </w:p>
        </w:tc>
        <w:tc>
          <w:tcPr>
            <w:tcW w:w="445" w:type="pct"/>
            <w:noWrap/>
            <w:vAlign w:val="center"/>
          </w:tcPr>
          <w:p w14:paraId="26930E7B">
            <w:pPr>
              <w:adjustRightInd w:val="0"/>
              <w:snapToGrid w:val="0"/>
              <w:jc w:val="center"/>
              <w:rPr>
                <w:rFonts w:hint="eastAsia"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215.8</w:t>
            </w:r>
          </w:p>
        </w:tc>
        <w:tc>
          <w:tcPr>
            <w:tcW w:w="397" w:type="pct"/>
            <w:noWrap/>
            <w:vAlign w:val="center"/>
          </w:tcPr>
          <w:p w14:paraId="729F5A19">
            <w:pPr>
              <w:adjustRightInd w:val="0"/>
              <w:snapToGrid w:val="0"/>
              <w:jc w:val="center"/>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130.4</w:t>
            </w:r>
          </w:p>
        </w:tc>
        <w:tc>
          <w:tcPr>
            <w:tcW w:w="275" w:type="pct"/>
            <w:noWrap/>
            <w:vAlign w:val="center"/>
          </w:tcPr>
          <w:p w14:paraId="665073FB">
            <w:pPr>
              <w:adjustRightInd w:val="0"/>
              <w:snapToGrid w:val="0"/>
              <w:jc w:val="center"/>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30</w:t>
            </w:r>
            <w:r>
              <w:rPr>
                <w:rFonts w:ascii="宋体" w:hAnsi="宋体"/>
                <w:color w:val="000000" w:themeColor="text1"/>
                <w:szCs w:val="21"/>
                <w14:textFill>
                  <w14:solidFill>
                    <w14:schemeClr w14:val="tx1"/>
                  </w14:solidFill>
                </w14:textFill>
              </w:rPr>
              <w:t>0</w:t>
            </w:r>
          </w:p>
        </w:tc>
      </w:tr>
      <w:tr w14:paraId="2597362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28" w:type="pct"/>
            <w:noWrap/>
            <w:vAlign w:val="center"/>
          </w:tcPr>
          <w:p w14:paraId="03012821">
            <w:pPr>
              <w:adjustRightInd w:val="0"/>
              <w:snapToGrid w:val="0"/>
              <w:jc w:val="center"/>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2</w:t>
            </w:r>
            <w:r>
              <w:rPr>
                <w:rFonts w:ascii="宋体" w:hAnsi="宋体"/>
                <w:color w:val="000000" w:themeColor="text1"/>
                <w:szCs w:val="21"/>
                <w14:textFill>
                  <w14:solidFill>
                    <w14:schemeClr w14:val="tx1"/>
                  </w14:solidFill>
                </w14:textFill>
              </w:rPr>
              <w:t>028</w:t>
            </w:r>
          </w:p>
        </w:tc>
        <w:tc>
          <w:tcPr>
            <w:tcW w:w="328" w:type="pct"/>
            <w:noWrap/>
            <w:vAlign w:val="center"/>
          </w:tcPr>
          <w:p w14:paraId="5E6D2B37">
            <w:pPr>
              <w:adjustRightInd w:val="0"/>
              <w:snapToGrid w:val="0"/>
              <w:jc w:val="center"/>
              <w:rPr>
                <w:rFonts w:hint="eastAsia" w:ascii="宋体" w:hAnsi="宋体"/>
                <w:color w:val="000000" w:themeColor="text1"/>
                <w:szCs w:val="21"/>
                <w14:textFill>
                  <w14:solidFill>
                    <w14:schemeClr w14:val="tx1"/>
                  </w14:solidFill>
                </w14:textFill>
              </w:rPr>
            </w:pPr>
          </w:p>
        </w:tc>
        <w:tc>
          <w:tcPr>
            <w:tcW w:w="328" w:type="pct"/>
          </w:tcPr>
          <w:p w14:paraId="1D1FC3C9">
            <w:pPr>
              <w:adjustRightInd w:val="0"/>
              <w:snapToGrid w:val="0"/>
              <w:jc w:val="center"/>
              <w:rPr>
                <w:rFonts w:hint="eastAsia" w:ascii="宋体" w:hAnsi="宋体"/>
                <w:color w:val="000000" w:themeColor="text1"/>
                <w:szCs w:val="21"/>
                <w14:textFill>
                  <w14:solidFill>
                    <w14:schemeClr w14:val="tx1"/>
                  </w14:solidFill>
                </w14:textFill>
              </w:rPr>
            </w:pPr>
          </w:p>
        </w:tc>
        <w:tc>
          <w:tcPr>
            <w:tcW w:w="328" w:type="pct"/>
            <w:noWrap/>
            <w:vAlign w:val="center"/>
          </w:tcPr>
          <w:p w14:paraId="66A6C897">
            <w:pPr>
              <w:adjustRightInd w:val="0"/>
              <w:snapToGrid w:val="0"/>
              <w:jc w:val="center"/>
              <w:rPr>
                <w:rFonts w:hint="eastAsia"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9</w:t>
            </w:r>
          </w:p>
        </w:tc>
        <w:tc>
          <w:tcPr>
            <w:tcW w:w="311" w:type="pct"/>
            <w:noWrap/>
            <w:vAlign w:val="center"/>
          </w:tcPr>
          <w:p w14:paraId="276A2924">
            <w:pPr>
              <w:adjustRightInd w:val="0"/>
              <w:snapToGrid w:val="0"/>
              <w:jc w:val="center"/>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1</w:t>
            </w:r>
          </w:p>
        </w:tc>
        <w:tc>
          <w:tcPr>
            <w:tcW w:w="459" w:type="pct"/>
            <w:noWrap/>
            <w:vAlign w:val="center"/>
          </w:tcPr>
          <w:p w14:paraId="2EB90D37">
            <w:pPr>
              <w:adjustRightInd w:val="0"/>
              <w:snapToGrid w:val="0"/>
              <w:jc w:val="center"/>
              <w:rPr>
                <w:rFonts w:hint="eastAsia" w:ascii="宋体" w:hAnsi="宋体"/>
                <w:color w:val="000000" w:themeColor="text1"/>
                <w:szCs w:val="21"/>
                <w14:textFill>
                  <w14:solidFill>
                    <w14:schemeClr w14:val="tx1"/>
                  </w14:solidFill>
                </w14:textFill>
              </w:rPr>
            </w:pPr>
          </w:p>
        </w:tc>
        <w:tc>
          <w:tcPr>
            <w:tcW w:w="275" w:type="pct"/>
            <w:noWrap/>
            <w:vAlign w:val="center"/>
          </w:tcPr>
          <w:p w14:paraId="0C3CC73B">
            <w:pPr>
              <w:adjustRightInd w:val="0"/>
              <w:snapToGrid w:val="0"/>
              <w:jc w:val="center"/>
              <w:rPr>
                <w:rFonts w:hint="eastAsia" w:ascii="宋体" w:hAnsi="宋体"/>
                <w:color w:val="000000" w:themeColor="text1"/>
                <w:szCs w:val="21"/>
                <w14:textFill>
                  <w14:solidFill>
                    <w14:schemeClr w14:val="tx1"/>
                  </w14:solidFill>
                </w14:textFill>
              </w:rPr>
            </w:pPr>
          </w:p>
        </w:tc>
        <w:tc>
          <w:tcPr>
            <w:tcW w:w="397" w:type="pct"/>
            <w:noWrap/>
            <w:vAlign w:val="center"/>
          </w:tcPr>
          <w:p w14:paraId="12B3EA85">
            <w:pPr>
              <w:adjustRightInd w:val="0"/>
              <w:snapToGrid w:val="0"/>
              <w:jc w:val="center"/>
              <w:rPr>
                <w:rFonts w:hint="eastAsia"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2.05</w:t>
            </w:r>
          </w:p>
        </w:tc>
        <w:tc>
          <w:tcPr>
            <w:tcW w:w="397" w:type="pct"/>
            <w:noWrap/>
            <w:vAlign w:val="center"/>
          </w:tcPr>
          <w:p w14:paraId="1B3899C1">
            <w:pPr>
              <w:adjustRightInd w:val="0"/>
              <w:snapToGrid w:val="0"/>
              <w:jc w:val="center"/>
              <w:rPr>
                <w:rFonts w:hint="eastAsia"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4.65</w:t>
            </w:r>
          </w:p>
        </w:tc>
        <w:tc>
          <w:tcPr>
            <w:tcW w:w="336" w:type="pct"/>
            <w:noWrap/>
            <w:vAlign w:val="center"/>
          </w:tcPr>
          <w:p w14:paraId="656F45BF">
            <w:pPr>
              <w:adjustRightInd w:val="0"/>
              <w:snapToGrid w:val="0"/>
              <w:jc w:val="center"/>
              <w:rPr>
                <w:rFonts w:hint="eastAsia"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55.9</w:t>
            </w:r>
          </w:p>
        </w:tc>
        <w:tc>
          <w:tcPr>
            <w:tcW w:w="397" w:type="pct"/>
            <w:noWrap/>
            <w:vAlign w:val="center"/>
          </w:tcPr>
          <w:p w14:paraId="78D398E9">
            <w:pPr>
              <w:adjustRightInd w:val="0"/>
              <w:snapToGrid w:val="0"/>
              <w:jc w:val="center"/>
              <w:rPr>
                <w:rFonts w:hint="eastAsia"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275.7</w:t>
            </w:r>
          </w:p>
        </w:tc>
        <w:tc>
          <w:tcPr>
            <w:tcW w:w="445" w:type="pct"/>
            <w:noWrap/>
            <w:vAlign w:val="center"/>
          </w:tcPr>
          <w:p w14:paraId="689E0B64">
            <w:pPr>
              <w:adjustRightInd w:val="0"/>
              <w:snapToGrid w:val="0"/>
              <w:jc w:val="center"/>
              <w:rPr>
                <w:rFonts w:hint="eastAsia"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186.8</w:t>
            </w:r>
          </w:p>
        </w:tc>
        <w:tc>
          <w:tcPr>
            <w:tcW w:w="397" w:type="pct"/>
            <w:noWrap/>
            <w:vAlign w:val="center"/>
          </w:tcPr>
          <w:p w14:paraId="1227F923">
            <w:pPr>
              <w:adjustRightInd w:val="0"/>
              <w:snapToGrid w:val="0"/>
              <w:jc w:val="center"/>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134.5</w:t>
            </w:r>
          </w:p>
        </w:tc>
        <w:tc>
          <w:tcPr>
            <w:tcW w:w="275" w:type="pct"/>
            <w:noWrap/>
            <w:vAlign w:val="center"/>
          </w:tcPr>
          <w:p w14:paraId="228D6638">
            <w:pPr>
              <w:adjustRightInd w:val="0"/>
              <w:snapToGrid w:val="0"/>
              <w:jc w:val="center"/>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30</w:t>
            </w:r>
            <w:r>
              <w:rPr>
                <w:rFonts w:ascii="宋体" w:hAnsi="宋体"/>
                <w:color w:val="000000" w:themeColor="text1"/>
                <w:szCs w:val="21"/>
                <w14:textFill>
                  <w14:solidFill>
                    <w14:schemeClr w14:val="tx1"/>
                  </w14:solidFill>
                </w14:textFill>
              </w:rPr>
              <w:t>0</w:t>
            </w:r>
          </w:p>
        </w:tc>
      </w:tr>
      <w:tr w14:paraId="0DCFA8A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28" w:type="pct"/>
            <w:noWrap/>
            <w:vAlign w:val="center"/>
          </w:tcPr>
          <w:p w14:paraId="35055EC5">
            <w:pPr>
              <w:adjustRightInd w:val="0"/>
              <w:snapToGrid w:val="0"/>
              <w:jc w:val="center"/>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2</w:t>
            </w:r>
            <w:r>
              <w:rPr>
                <w:rFonts w:ascii="宋体" w:hAnsi="宋体"/>
                <w:color w:val="000000" w:themeColor="text1"/>
                <w:szCs w:val="21"/>
                <w14:textFill>
                  <w14:solidFill>
                    <w14:schemeClr w14:val="tx1"/>
                  </w14:solidFill>
                </w14:textFill>
              </w:rPr>
              <w:t>029</w:t>
            </w:r>
          </w:p>
        </w:tc>
        <w:tc>
          <w:tcPr>
            <w:tcW w:w="328" w:type="pct"/>
            <w:noWrap/>
            <w:vAlign w:val="center"/>
          </w:tcPr>
          <w:p w14:paraId="2A1174EC">
            <w:pPr>
              <w:adjustRightInd w:val="0"/>
              <w:snapToGrid w:val="0"/>
              <w:jc w:val="center"/>
              <w:rPr>
                <w:rFonts w:hint="eastAsia" w:ascii="宋体" w:hAnsi="宋体"/>
                <w:color w:val="000000" w:themeColor="text1"/>
                <w:szCs w:val="21"/>
                <w14:textFill>
                  <w14:solidFill>
                    <w14:schemeClr w14:val="tx1"/>
                  </w14:solidFill>
                </w14:textFill>
              </w:rPr>
            </w:pPr>
          </w:p>
        </w:tc>
        <w:tc>
          <w:tcPr>
            <w:tcW w:w="328" w:type="pct"/>
          </w:tcPr>
          <w:p w14:paraId="7ABF54E7">
            <w:pPr>
              <w:adjustRightInd w:val="0"/>
              <w:snapToGrid w:val="0"/>
              <w:jc w:val="center"/>
              <w:rPr>
                <w:rFonts w:hint="eastAsia" w:ascii="宋体" w:hAnsi="宋体"/>
                <w:color w:val="000000" w:themeColor="text1"/>
                <w:szCs w:val="21"/>
                <w14:textFill>
                  <w14:solidFill>
                    <w14:schemeClr w14:val="tx1"/>
                  </w14:solidFill>
                </w14:textFill>
              </w:rPr>
            </w:pPr>
          </w:p>
        </w:tc>
        <w:tc>
          <w:tcPr>
            <w:tcW w:w="328" w:type="pct"/>
            <w:noWrap/>
            <w:vAlign w:val="center"/>
          </w:tcPr>
          <w:p w14:paraId="19291396">
            <w:pPr>
              <w:adjustRightInd w:val="0"/>
              <w:snapToGrid w:val="0"/>
              <w:jc w:val="center"/>
              <w:rPr>
                <w:rFonts w:hint="eastAsia"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9</w:t>
            </w:r>
          </w:p>
        </w:tc>
        <w:tc>
          <w:tcPr>
            <w:tcW w:w="311" w:type="pct"/>
            <w:noWrap/>
            <w:vAlign w:val="center"/>
          </w:tcPr>
          <w:p w14:paraId="57E12A19">
            <w:pPr>
              <w:adjustRightInd w:val="0"/>
              <w:snapToGrid w:val="0"/>
              <w:jc w:val="center"/>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1</w:t>
            </w:r>
          </w:p>
        </w:tc>
        <w:tc>
          <w:tcPr>
            <w:tcW w:w="459" w:type="pct"/>
            <w:noWrap/>
            <w:vAlign w:val="center"/>
          </w:tcPr>
          <w:p w14:paraId="7418DB4B">
            <w:pPr>
              <w:adjustRightInd w:val="0"/>
              <w:snapToGrid w:val="0"/>
              <w:jc w:val="center"/>
              <w:rPr>
                <w:rFonts w:hint="eastAsia" w:ascii="宋体" w:hAnsi="宋体"/>
                <w:color w:val="000000" w:themeColor="text1"/>
                <w:szCs w:val="21"/>
                <w14:textFill>
                  <w14:solidFill>
                    <w14:schemeClr w14:val="tx1"/>
                  </w14:solidFill>
                </w14:textFill>
              </w:rPr>
            </w:pPr>
          </w:p>
        </w:tc>
        <w:tc>
          <w:tcPr>
            <w:tcW w:w="275" w:type="pct"/>
            <w:noWrap/>
            <w:vAlign w:val="center"/>
          </w:tcPr>
          <w:p w14:paraId="78A1C0C2">
            <w:pPr>
              <w:adjustRightInd w:val="0"/>
              <w:snapToGrid w:val="0"/>
              <w:jc w:val="center"/>
              <w:rPr>
                <w:rFonts w:hint="eastAsia" w:ascii="宋体" w:hAnsi="宋体"/>
                <w:color w:val="000000" w:themeColor="text1"/>
                <w:szCs w:val="21"/>
                <w14:textFill>
                  <w14:solidFill>
                    <w14:schemeClr w14:val="tx1"/>
                  </w14:solidFill>
                </w14:textFill>
              </w:rPr>
            </w:pPr>
          </w:p>
        </w:tc>
        <w:tc>
          <w:tcPr>
            <w:tcW w:w="397" w:type="pct"/>
            <w:noWrap/>
            <w:vAlign w:val="center"/>
          </w:tcPr>
          <w:p w14:paraId="706CBDB2">
            <w:pPr>
              <w:adjustRightInd w:val="0"/>
              <w:snapToGrid w:val="0"/>
              <w:jc w:val="center"/>
              <w:rPr>
                <w:rFonts w:hint="eastAsia"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2.02</w:t>
            </w:r>
          </w:p>
        </w:tc>
        <w:tc>
          <w:tcPr>
            <w:tcW w:w="397" w:type="pct"/>
            <w:noWrap/>
            <w:vAlign w:val="center"/>
          </w:tcPr>
          <w:p w14:paraId="16B6532C">
            <w:pPr>
              <w:adjustRightInd w:val="0"/>
              <w:snapToGrid w:val="0"/>
              <w:jc w:val="center"/>
              <w:rPr>
                <w:rFonts w:hint="eastAsia"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4.24</w:t>
            </w:r>
          </w:p>
        </w:tc>
        <w:tc>
          <w:tcPr>
            <w:tcW w:w="336" w:type="pct"/>
            <w:noWrap/>
            <w:vAlign w:val="center"/>
          </w:tcPr>
          <w:p w14:paraId="6BA17C0C">
            <w:pPr>
              <w:adjustRightInd w:val="0"/>
              <w:snapToGrid w:val="0"/>
              <w:jc w:val="center"/>
              <w:rPr>
                <w:rFonts w:hint="eastAsia"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52.4</w:t>
            </w:r>
          </w:p>
        </w:tc>
        <w:tc>
          <w:tcPr>
            <w:tcW w:w="397" w:type="pct"/>
            <w:noWrap/>
            <w:vAlign w:val="center"/>
          </w:tcPr>
          <w:p w14:paraId="2D20D9FD">
            <w:pPr>
              <w:adjustRightInd w:val="0"/>
              <w:snapToGrid w:val="0"/>
              <w:jc w:val="center"/>
              <w:rPr>
                <w:rFonts w:hint="eastAsia"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72.3</w:t>
            </w:r>
          </w:p>
        </w:tc>
        <w:tc>
          <w:tcPr>
            <w:tcW w:w="445" w:type="pct"/>
            <w:noWrap/>
            <w:vAlign w:val="center"/>
          </w:tcPr>
          <w:p w14:paraId="60577BAD">
            <w:pPr>
              <w:adjustRightInd w:val="0"/>
              <w:snapToGrid w:val="0"/>
              <w:jc w:val="center"/>
              <w:rPr>
                <w:rFonts w:hint="eastAsia"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42.2</w:t>
            </w:r>
          </w:p>
        </w:tc>
        <w:tc>
          <w:tcPr>
            <w:tcW w:w="397" w:type="pct"/>
            <w:noWrap/>
            <w:vAlign w:val="center"/>
          </w:tcPr>
          <w:p w14:paraId="1730819A">
            <w:pPr>
              <w:adjustRightInd w:val="0"/>
              <w:snapToGrid w:val="0"/>
              <w:jc w:val="center"/>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35.8</w:t>
            </w:r>
          </w:p>
        </w:tc>
        <w:tc>
          <w:tcPr>
            <w:tcW w:w="275" w:type="pct"/>
            <w:noWrap/>
            <w:vAlign w:val="center"/>
          </w:tcPr>
          <w:p w14:paraId="3AE8BE0C">
            <w:pPr>
              <w:adjustRightInd w:val="0"/>
              <w:snapToGrid w:val="0"/>
              <w:jc w:val="center"/>
              <w:rPr>
                <w:rFonts w:hint="eastAsia"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300</w:t>
            </w:r>
          </w:p>
        </w:tc>
      </w:tr>
      <w:tr w14:paraId="2C32344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28" w:type="pct"/>
            <w:noWrap/>
            <w:vAlign w:val="center"/>
          </w:tcPr>
          <w:p w14:paraId="7286D846">
            <w:pPr>
              <w:adjustRightInd w:val="0"/>
              <w:snapToGrid w:val="0"/>
              <w:jc w:val="center"/>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2</w:t>
            </w:r>
            <w:r>
              <w:rPr>
                <w:rFonts w:ascii="宋体" w:hAnsi="宋体"/>
                <w:color w:val="000000" w:themeColor="text1"/>
                <w:szCs w:val="21"/>
                <w14:textFill>
                  <w14:solidFill>
                    <w14:schemeClr w14:val="tx1"/>
                  </w14:solidFill>
                </w14:textFill>
              </w:rPr>
              <w:t>030</w:t>
            </w:r>
          </w:p>
        </w:tc>
        <w:tc>
          <w:tcPr>
            <w:tcW w:w="328" w:type="pct"/>
            <w:noWrap/>
            <w:vAlign w:val="center"/>
          </w:tcPr>
          <w:p w14:paraId="3A23F70E">
            <w:pPr>
              <w:adjustRightInd w:val="0"/>
              <w:snapToGrid w:val="0"/>
              <w:jc w:val="center"/>
              <w:rPr>
                <w:rFonts w:hint="eastAsia" w:ascii="宋体" w:hAnsi="宋体"/>
                <w:color w:val="000000" w:themeColor="text1"/>
                <w:szCs w:val="21"/>
                <w14:textFill>
                  <w14:solidFill>
                    <w14:schemeClr w14:val="tx1"/>
                  </w14:solidFill>
                </w14:textFill>
              </w:rPr>
            </w:pPr>
          </w:p>
        </w:tc>
        <w:tc>
          <w:tcPr>
            <w:tcW w:w="328" w:type="pct"/>
          </w:tcPr>
          <w:p w14:paraId="10C9B738">
            <w:pPr>
              <w:adjustRightInd w:val="0"/>
              <w:snapToGrid w:val="0"/>
              <w:jc w:val="center"/>
              <w:rPr>
                <w:rFonts w:hint="eastAsia" w:ascii="宋体" w:hAnsi="宋体"/>
                <w:color w:val="000000" w:themeColor="text1"/>
                <w:szCs w:val="21"/>
                <w14:textFill>
                  <w14:solidFill>
                    <w14:schemeClr w14:val="tx1"/>
                  </w14:solidFill>
                </w14:textFill>
              </w:rPr>
            </w:pPr>
          </w:p>
        </w:tc>
        <w:tc>
          <w:tcPr>
            <w:tcW w:w="328" w:type="pct"/>
            <w:noWrap/>
            <w:vAlign w:val="center"/>
          </w:tcPr>
          <w:p w14:paraId="25869EBC">
            <w:pPr>
              <w:adjustRightInd w:val="0"/>
              <w:snapToGrid w:val="0"/>
              <w:jc w:val="center"/>
              <w:rPr>
                <w:rFonts w:hint="eastAsia"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9</w:t>
            </w:r>
          </w:p>
        </w:tc>
        <w:tc>
          <w:tcPr>
            <w:tcW w:w="311" w:type="pct"/>
            <w:noWrap/>
            <w:vAlign w:val="center"/>
          </w:tcPr>
          <w:p w14:paraId="38845F66">
            <w:pPr>
              <w:adjustRightInd w:val="0"/>
              <w:snapToGrid w:val="0"/>
              <w:jc w:val="center"/>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1</w:t>
            </w:r>
          </w:p>
        </w:tc>
        <w:tc>
          <w:tcPr>
            <w:tcW w:w="459" w:type="pct"/>
            <w:noWrap/>
            <w:vAlign w:val="center"/>
          </w:tcPr>
          <w:p w14:paraId="494CA25F">
            <w:pPr>
              <w:adjustRightInd w:val="0"/>
              <w:snapToGrid w:val="0"/>
              <w:jc w:val="center"/>
              <w:rPr>
                <w:rFonts w:hint="eastAsia" w:ascii="宋体" w:hAnsi="宋体"/>
                <w:color w:val="000000" w:themeColor="text1"/>
                <w:szCs w:val="21"/>
                <w14:textFill>
                  <w14:solidFill>
                    <w14:schemeClr w14:val="tx1"/>
                  </w14:solidFill>
                </w14:textFill>
              </w:rPr>
            </w:pPr>
          </w:p>
        </w:tc>
        <w:tc>
          <w:tcPr>
            <w:tcW w:w="275" w:type="pct"/>
            <w:noWrap/>
            <w:vAlign w:val="center"/>
          </w:tcPr>
          <w:p w14:paraId="1BFDF9F2">
            <w:pPr>
              <w:adjustRightInd w:val="0"/>
              <w:snapToGrid w:val="0"/>
              <w:jc w:val="center"/>
              <w:rPr>
                <w:rFonts w:hint="eastAsia" w:ascii="宋体" w:hAnsi="宋体"/>
                <w:color w:val="000000" w:themeColor="text1"/>
                <w:szCs w:val="21"/>
                <w14:textFill>
                  <w14:solidFill>
                    <w14:schemeClr w14:val="tx1"/>
                  </w14:solidFill>
                </w14:textFill>
              </w:rPr>
            </w:pPr>
          </w:p>
        </w:tc>
        <w:tc>
          <w:tcPr>
            <w:tcW w:w="397" w:type="pct"/>
            <w:noWrap/>
            <w:vAlign w:val="center"/>
          </w:tcPr>
          <w:p w14:paraId="796A6DCF">
            <w:pPr>
              <w:adjustRightInd w:val="0"/>
              <w:snapToGrid w:val="0"/>
              <w:jc w:val="center"/>
              <w:rPr>
                <w:rFonts w:hint="eastAsia"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1.54</w:t>
            </w:r>
          </w:p>
        </w:tc>
        <w:tc>
          <w:tcPr>
            <w:tcW w:w="397" w:type="pct"/>
            <w:noWrap/>
            <w:vAlign w:val="center"/>
          </w:tcPr>
          <w:p w14:paraId="0303A78C">
            <w:pPr>
              <w:adjustRightInd w:val="0"/>
              <w:snapToGrid w:val="0"/>
              <w:jc w:val="center"/>
              <w:rPr>
                <w:rFonts w:hint="eastAsia"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3.21</w:t>
            </w:r>
          </w:p>
        </w:tc>
        <w:tc>
          <w:tcPr>
            <w:tcW w:w="336" w:type="pct"/>
            <w:noWrap/>
            <w:vAlign w:val="center"/>
          </w:tcPr>
          <w:p w14:paraId="3E3F5763">
            <w:pPr>
              <w:adjustRightInd w:val="0"/>
              <w:snapToGrid w:val="0"/>
              <w:jc w:val="center"/>
              <w:rPr>
                <w:rFonts w:hint="eastAsia"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52.0</w:t>
            </w:r>
          </w:p>
        </w:tc>
        <w:tc>
          <w:tcPr>
            <w:tcW w:w="397" w:type="pct"/>
            <w:noWrap/>
            <w:vAlign w:val="center"/>
          </w:tcPr>
          <w:p w14:paraId="1F084D48">
            <w:pPr>
              <w:adjustRightInd w:val="0"/>
              <w:snapToGrid w:val="0"/>
              <w:jc w:val="center"/>
              <w:rPr>
                <w:rFonts w:hint="eastAsia"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18.8</w:t>
            </w:r>
          </w:p>
        </w:tc>
        <w:tc>
          <w:tcPr>
            <w:tcW w:w="445" w:type="pct"/>
            <w:noWrap/>
            <w:vAlign w:val="center"/>
          </w:tcPr>
          <w:p w14:paraId="1C89853F">
            <w:pPr>
              <w:adjustRightInd w:val="0"/>
              <w:snapToGrid w:val="0"/>
              <w:jc w:val="center"/>
              <w:rPr>
                <w:rFonts w:hint="eastAsia"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2.8</w:t>
            </w:r>
          </w:p>
        </w:tc>
        <w:tc>
          <w:tcPr>
            <w:tcW w:w="397" w:type="pct"/>
            <w:noWrap/>
            <w:vAlign w:val="center"/>
          </w:tcPr>
          <w:p w14:paraId="62C97D4E">
            <w:pPr>
              <w:adjustRightInd w:val="0"/>
              <w:snapToGrid w:val="0"/>
              <w:jc w:val="center"/>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12.2</w:t>
            </w:r>
          </w:p>
        </w:tc>
        <w:tc>
          <w:tcPr>
            <w:tcW w:w="275" w:type="pct"/>
            <w:noWrap/>
            <w:vAlign w:val="center"/>
          </w:tcPr>
          <w:p w14:paraId="66D8F4BF">
            <w:pPr>
              <w:adjustRightInd w:val="0"/>
              <w:snapToGrid w:val="0"/>
              <w:jc w:val="center"/>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3</w:t>
            </w:r>
            <w:r>
              <w:rPr>
                <w:rFonts w:ascii="宋体" w:hAnsi="宋体"/>
                <w:color w:val="000000" w:themeColor="text1"/>
                <w:szCs w:val="21"/>
                <w14:textFill>
                  <w14:solidFill>
                    <w14:schemeClr w14:val="tx1"/>
                  </w14:solidFill>
                </w14:textFill>
              </w:rPr>
              <w:t>00</w:t>
            </w:r>
          </w:p>
        </w:tc>
      </w:tr>
      <w:tr w14:paraId="5686AD0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28" w:type="pct"/>
            <w:noWrap/>
            <w:vAlign w:val="center"/>
          </w:tcPr>
          <w:p w14:paraId="1D0D63EA">
            <w:pPr>
              <w:adjustRightInd w:val="0"/>
              <w:snapToGrid w:val="0"/>
              <w:jc w:val="center"/>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2</w:t>
            </w:r>
            <w:r>
              <w:rPr>
                <w:rFonts w:ascii="宋体" w:hAnsi="宋体"/>
                <w:color w:val="000000" w:themeColor="text1"/>
                <w:szCs w:val="21"/>
                <w14:textFill>
                  <w14:solidFill>
                    <w14:schemeClr w14:val="tx1"/>
                  </w14:solidFill>
                </w14:textFill>
              </w:rPr>
              <w:t>031</w:t>
            </w:r>
          </w:p>
        </w:tc>
        <w:tc>
          <w:tcPr>
            <w:tcW w:w="328" w:type="pct"/>
            <w:noWrap/>
            <w:vAlign w:val="center"/>
          </w:tcPr>
          <w:p w14:paraId="25BEB7BD">
            <w:pPr>
              <w:adjustRightInd w:val="0"/>
              <w:snapToGrid w:val="0"/>
              <w:jc w:val="center"/>
              <w:rPr>
                <w:rFonts w:hint="eastAsia" w:ascii="宋体" w:hAnsi="宋体"/>
                <w:color w:val="000000" w:themeColor="text1"/>
                <w:szCs w:val="21"/>
                <w14:textFill>
                  <w14:solidFill>
                    <w14:schemeClr w14:val="tx1"/>
                  </w14:solidFill>
                </w14:textFill>
              </w:rPr>
            </w:pPr>
          </w:p>
        </w:tc>
        <w:tc>
          <w:tcPr>
            <w:tcW w:w="328" w:type="pct"/>
          </w:tcPr>
          <w:p w14:paraId="209B9C30">
            <w:pPr>
              <w:adjustRightInd w:val="0"/>
              <w:snapToGrid w:val="0"/>
              <w:jc w:val="center"/>
              <w:rPr>
                <w:rFonts w:hint="eastAsia" w:ascii="宋体" w:hAnsi="宋体"/>
                <w:color w:val="000000" w:themeColor="text1"/>
                <w:szCs w:val="21"/>
                <w14:textFill>
                  <w14:solidFill>
                    <w14:schemeClr w14:val="tx1"/>
                  </w14:solidFill>
                </w14:textFill>
              </w:rPr>
            </w:pPr>
          </w:p>
        </w:tc>
        <w:tc>
          <w:tcPr>
            <w:tcW w:w="328" w:type="pct"/>
            <w:noWrap/>
            <w:vAlign w:val="center"/>
          </w:tcPr>
          <w:p w14:paraId="0CC39EB4">
            <w:pPr>
              <w:adjustRightInd w:val="0"/>
              <w:snapToGrid w:val="0"/>
              <w:jc w:val="center"/>
              <w:rPr>
                <w:rFonts w:hint="eastAsia"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9</w:t>
            </w:r>
          </w:p>
        </w:tc>
        <w:tc>
          <w:tcPr>
            <w:tcW w:w="311" w:type="pct"/>
            <w:noWrap/>
            <w:vAlign w:val="center"/>
          </w:tcPr>
          <w:p w14:paraId="47AC1AE2">
            <w:pPr>
              <w:adjustRightInd w:val="0"/>
              <w:snapToGrid w:val="0"/>
              <w:jc w:val="center"/>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1</w:t>
            </w:r>
          </w:p>
        </w:tc>
        <w:tc>
          <w:tcPr>
            <w:tcW w:w="459" w:type="pct"/>
            <w:noWrap/>
            <w:vAlign w:val="center"/>
          </w:tcPr>
          <w:p w14:paraId="3090327C">
            <w:pPr>
              <w:adjustRightInd w:val="0"/>
              <w:snapToGrid w:val="0"/>
              <w:jc w:val="center"/>
              <w:rPr>
                <w:rFonts w:hint="eastAsia" w:ascii="宋体" w:hAnsi="宋体"/>
                <w:color w:val="000000" w:themeColor="text1"/>
                <w:szCs w:val="21"/>
                <w14:textFill>
                  <w14:solidFill>
                    <w14:schemeClr w14:val="tx1"/>
                  </w14:solidFill>
                </w14:textFill>
              </w:rPr>
            </w:pPr>
          </w:p>
        </w:tc>
        <w:tc>
          <w:tcPr>
            <w:tcW w:w="275" w:type="pct"/>
            <w:noWrap/>
            <w:vAlign w:val="center"/>
          </w:tcPr>
          <w:p w14:paraId="26ED857B">
            <w:pPr>
              <w:adjustRightInd w:val="0"/>
              <w:snapToGrid w:val="0"/>
              <w:jc w:val="center"/>
              <w:rPr>
                <w:rFonts w:hint="eastAsia" w:ascii="宋体" w:hAnsi="宋体"/>
                <w:color w:val="000000" w:themeColor="text1"/>
                <w:szCs w:val="21"/>
                <w14:textFill>
                  <w14:solidFill>
                    <w14:schemeClr w14:val="tx1"/>
                  </w14:solidFill>
                </w14:textFill>
              </w:rPr>
            </w:pPr>
          </w:p>
        </w:tc>
        <w:tc>
          <w:tcPr>
            <w:tcW w:w="397" w:type="pct"/>
            <w:noWrap/>
            <w:vAlign w:val="center"/>
          </w:tcPr>
          <w:p w14:paraId="01268FA3">
            <w:pPr>
              <w:adjustRightInd w:val="0"/>
              <w:snapToGrid w:val="0"/>
              <w:jc w:val="center"/>
              <w:rPr>
                <w:rFonts w:hint="eastAsia"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1.15</w:t>
            </w:r>
          </w:p>
        </w:tc>
        <w:tc>
          <w:tcPr>
            <w:tcW w:w="397" w:type="pct"/>
            <w:noWrap/>
            <w:vAlign w:val="center"/>
          </w:tcPr>
          <w:p w14:paraId="3F610C6C">
            <w:pPr>
              <w:adjustRightInd w:val="0"/>
              <w:snapToGrid w:val="0"/>
              <w:jc w:val="center"/>
              <w:rPr>
                <w:rFonts w:hint="eastAsia"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2.40</w:t>
            </w:r>
          </w:p>
        </w:tc>
        <w:tc>
          <w:tcPr>
            <w:tcW w:w="336" w:type="pct"/>
            <w:noWrap/>
            <w:vAlign w:val="center"/>
          </w:tcPr>
          <w:p w14:paraId="09266B86">
            <w:pPr>
              <w:adjustRightInd w:val="0"/>
              <w:snapToGrid w:val="0"/>
              <w:jc w:val="center"/>
              <w:rPr>
                <w:rFonts w:hint="eastAsia"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52.1</w:t>
            </w:r>
          </w:p>
        </w:tc>
        <w:tc>
          <w:tcPr>
            <w:tcW w:w="397" w:type="pct"/>
            <w:noWrap/>
            <w:vAlign w:val="center"/>
          </w:tcPr>
          <w:p w14:paraId="21F79BEB">
            <w:pPr>
              <w:adjustRightInd w:val="0"/>
              <w:snapToGrid w:val="0"/>
              <w:jc w:val="center"/>
              <w:rPr>
                <w:rFonts w:hint="eastAsia"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13.8</w:t>
            </w:r>
          </w:p>
        </w:tc>
        <w:tc>
          <w:tcPr>
            <w:tcW w:w="445" w:type="pct"/>
            <w:noWrap/>
            <w:vAlign w:val="center"/>
          </w:tcPr>
          <w:p w14:paraId="33254E9A">
            <w:pPr>
              <w:adjustRightInd w:val="0"/>
              <w:snapToGrid w:val="0"/>
              <w:jc w:val="center"/>
              <w:rPr>
                <w:rFonts w:hint="eastAsia"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0.6</w:t>
            </w:r>
          </w:p>
        </w:tc>
        <w:tc>
          <w:tcPr>
            <w:tcW w:w="397" w:type="pct"/>
            <w:noWrap/>
            <w:vAlign w:val="center"/>
          </w:tcPr>
          <w:p w14:paraId="394547AE">
            <w:pPr>
              <w:adjustRightInd w:val="0"/>
              <w:snapToGrid w:val="0"/>
              <w:jc w:val="center"/>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12.0</w:t>
            </w:r>
          </w:p>
        </w:tc>
        <w:tc>
          <w:tcPr>
            <w:tcW w:w="275" w:type="pct"/>
            <w:noWrap/>
            <w:vAlign w:val="center"/>
          </w:tcPr>
          <w:p w14:paraId="31DBC0F8">
            <w:pPr>
              <w:adjustRightInd w:val="0"/>
              <w:snapToGrid w:val="0"/>
              <w:jc w:val="center"/>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3</w:t>
            </w:r>
            <w:r>
              <w:rPr>
                <w:rFonts w:ascii="宋体" w:hAnsi="宋体"/>
                <w:color w:val="000000" w:themeColor="text1"/>
                <w:szCs w:val="21"/>
                <w14:textFill>
                  <w14:solidFill>
                    <w14:schemeClr w14:val="tx1"/>
                  </w14:solidFill>
                </w14:textFill>
              </w:rPr>
              <w:t>00</w:t>
            </w:r>
          </w:p>
        </w:tc>
      </w:tr>
      <w:tr w14:paraId="43503D8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28" w:type="pct"/>
            <w:noWrap/>
            <w:vAlign w:val="center"/>
          </w:tcPr>
          <w:p w14:paraId="07A7E113">
            <w:pPr>
              <w:adjustRightInd w:val="0"/>
              <w:snapToGrid w:val="0"/>
              <w:jc w:val="center"/>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2</w:t>
            </w:r>
            <w:r>
              <w:rPr>
                <w:rFonts w:ascii="宋体" w:hAnsi="宋体"/>
                <w:color w:val="000000" w:themeColor="text1"/>
                <w:szCs w:val="21"/>
                <w14:textFill>
                  <w14:solidFill>
                    <w14:schemeClr w14:val="tx1"/>
                  </w14:solidFill>
                </w14:textFill>
              </w:rPr>
              <w:t>032</w:t>
            </w:r>
          </w:p>
        </w:tc>
        <w:tc>
          <w:tcPr>
            <w:tcW w:w="328" w:type="pct"/>
            <w:noWrap/>
            <w:vAlign w:val="center"/>
          </w:tcPr>
          <w:p w14:paraId="4E7243FC">
            <w:pPr>
              <w:adjustRightInd w:val="0"/>
              <w:snapToGrid w:val="0"/>
              <w:jc w:val="center"/>
              <w:rPr>
                <w:rFonts w:hint="eastAsia" w:ascii="宋体" w:hAnsi="宋体"/>
                <w:color w:val="000000" w:themeColor="text1"/>
                <w:szCs w:val="21"/>
                <w14:textFill>
                  <w14:solidFill>
                    <w14:schemeClr w14:val="tx1"/>
                  </w14:solidFill>
                </w14:textFill>
              </w:rPr>
            </w:pPr>
          </w:p>
        </w:tc>
        <w:tc>
          <w:tcPr>
            <w:tcW w:w="328" w:type="pct"/>
          </w:tcPr>
          <w:p w14:paraId="10A6E93A">
            <w:pPr>
              <w:adjustRightInd w:val="0"/>
              <w:snapToGrid w:val="0"/>
              <w:jc w:val="center"/>
              <w:rPr>
                <w:rFonts w:hint="eastAsia" w:ascii="宋体" w:hAnsi="宋体"/>
                <w:color w:val="000000" w:themeColor="text1"/>
                <w:szCs w:val="21"/>
                <w14:textFill>
                  <w14:solidFill>
                    <w14:schemeClr w14:val="tx1"/>
                  </w14:solidFill>
                </w14:textFill>
              </w:rPr>
            </w:pPr>
          </w:p>
        </w:tc>
        <w:tc>
          <w:tcPr>
            <w:tcW w:w="328" w:type="pct"/>
            <w:noWrap/>
            <w:vAlign w:val="center"/>
          </w:tcPr>
          <w:p w14:paraId="6E4DFEE7">
            <w:pPr>
              <w:adjustRightInd w:val="0"/>
              <w:snapToGrid w:val="0"/>
              <w:jc w:val="center"/>
              <w:rPr>
                <w:rFonts w:hint="eastAsia"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9</w:t>
            </w:r>
          </w:p>
        </w:tc>
        <w:tc>
          <w:tcPr>
            <w:tcW w:w="311" w:type="pct"/>
            <w:noWrap/>
            <w:vAlign w:val="center"/>
          </w:tcPr>
          <w:p w14:paraId="4138E3E5">
            <w:pPr>
              <w:adjustRightInd w:val="0"/>
              <w:snapToGrid w:val="0"/>
              <w:jc w:val="center"/>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1</w:t>
            </w:r>
          </w:p>
        </w:tc>
        <w:tc>
          <w:tcPr>
            <w:tcW w:w="459" w:type="pct"/>
            <w:noWrap/>
            <w:vAlign w:val="center"/>
          </w:tcPr>
          <w:p w14:paraId="3E8BAB52">
            <w:pPr>
              <w:adjustRightInd w:val="0"/>
              <w:snapToGrid w:val="0"/>
              <w:jc w:val="center"/>
              <w:rPr>
                <w:rFonts w:hint="eastAsia" w:ascii="宋体" w:hAnsi="宋体"/>
                <w:color w:val="000000" w:themeColor="text1"/>
                <w:szCs w:val="21"/>
                <w14:textFill>
                  <w14:solidFill>
                    <w14:schemeClr w14:val="tx1"/>
                  </w14:solidFill>
                </w14:textFill>
              </w:rPr>
            </w:pPr>
          </w:p>
        </w:tc>
        <w:tc>
          <w:tcPr>
            <w:tcW w:w="275" w:type="pct"/>
            <w:noWrap/>
            <w:vAlign w:val="center"/>
          </w:tcPr>
          <w:p w14:paraId="0F384E8C">
            <w:pPr>
              <w:adjustRightInd w:val="0"/>
              <w:snapToGrid w:val="0"/>
              <w:jc w:val="center"/>
              <w:rPr>
                <w:rFonts w:hint="eastAsia" w:ascii="宋体" w:hAnsi="宋体"/>
                <w:color w:val="000000" w:themeColor="text1"/>
                <w:szCs w:val="21"/>
                <w14:textFill>
                  <w14:solidFill>
                    <w14:schemeClr w14:val="tx1"/>
                  </w14:solidFill>
                </w14:textFill>
              </w:rPr>
            </w:pPr>
          </w:p>
        </w:tc>
        <w:tc>
          <w:tcPr>
            <w:tcW w:w="397" w:type="pct"/>
            <w:noWrap/>
            <w:vAlign w:val="center"/>
          </w:tcPr>
          <w:p w14:paraId="7E29F798">
            <w:pPr>
              <w:adjustRightInd w:val="0"/>
              <w:snapToGrid w:val="0"/>
              <w:jc w:val="center"/>
              <w:rPr>
                <w:rFonts w:hint="eastAsia"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0.87</w:t>
            </w:r>
          </w:p>
        </w:tc>
        <w:tc>
          <w:tcPr>
            <w:tcW w:w="397" w:type="pct"/>
            <w:noWrap/>
            <w:vAlign w:val="center"/>
          </w:tcPr>
          <w:p w14:paraId="2B0C7EE7">
            <w:pPr>
              <w:adjustRightInd w:val="0"/>
              <w:snapToGrid w:val="0"/>
              <w:jc w:val="center"/>
              <w:rPr>
                <w:rFonts w:hint="eastAsia"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1.81</w:t>
            </w:r>
          </w:p>
        </w:tc>
        <w:tc>
          <w:tcPr>
            <w:tcW w:w="336" w:type="pct"/>
            <w:noWrap/>
            <w:vAlign w:val="center"/>
          </w:tcPr>
          <w:p w14:paraId="196D20FD">
            <w:pPr>
              <w:adjustRightInd w:val="0"/>
              <w:snapToGrid w:val="0"/>
              <w:jc w:val="center"/>
              <w:rPr>
                <w:rFonts w:hint="eastAsia"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51.9</w:t>
            </w:r>
          </w:p>
        </w:tc>
        <w:tc>
          <w:tcPr>
            <w:tcW w:w="397" w:type="pct"/>
            <w:noWrap/>
            <w:vAlign w:val="center"/>
          </w:tcPr>
          <w:p w14:paraId="0A973ED0">
            <w:pPr>
              <w:adjustRightInd w:val="0"/>
              <w:snapToGrid w:val="0"/>
              <w:jc w:val="center"/>
              <w:rPr>
                <w:rFonts w:hint="eastAsia"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10.4</w:t>
            </w:r>
          </w:p>
        </w:tc>
        <w:tc>
          <w:tcPr>
            <w:tcW w:w="445" w:type="pct"/>
            <w:noWrap/>
            <w:vAlign w:val="center"/>
          </w:tcPr>
          <w:p w14:paraId="67516E2D">
            <w:pPr>
              <w:adjustRightInd w:val="0"/>
              <w:snapToGrid w:val="0"/>
              <w:jc w:val="center"/>
              <w:rPr>
                <w:rFonts w:hint="eastAsia"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0.4</w:t>
            </w:r>
          </w:p>
        </w:tc>
        <w:tc>
          <w:tcPr>
            <w:tcW w:w="397" w:type="pct"/>
            <w:noWrap/>
            <w:vAlign w:val="center"/>
          </w:tcPr>
          <w:p w14:paraId="39FCB287">
            <w:pPr>
              <w:adjustRightInd w:val="0"/>
              <w:snapToGrid w:val="0"/>
              <w:jc w:val="center"/>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12.0</w:t>
            </w:r>
          </w:p>
        </w:tc>
        <w:tc>
          <w:tcPr>
            <w:tcW w:w="275" w:type="pct"/>
            <w:noWrap/>
            <w:vAlign w:val="center"/>
          </w:tcPr>
          <w:p w14:paraId="2E59BA63">
            <w:pPr>
              <w:adjustRightInd w:val="0"/>
              <w:snapToGrid w:val="0"/>
              <w:jc w:val="center"/>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3</w:t>
            </w:r>
            <w:r>
              <w:rPr>
                <w:rFonts w:ascii="宋体" w:hAnsi="宋体"/>
                <w:color w:val="000000" w:themeColor="text1"/>
                <w:szCs w:val="21"/>
                <w14:textFill>
                  <w14:solidFill>
                    <w14:schemeClr w14:val="tx1"/>
                  </w14:solidFill>
                </w14:textFill>
              </w:rPr>
              <w:t>00</w:t>
            </w:r>
          </w:p>
        </w:tc>
      </w:tr>
      <w:tr w14:paraId="2A054B1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28" w:type="pct"/>
            <w:noWrap/>
            <w:vAlign w:val="center"/>
          </w:tcPr>
          <w:p w14:paraId="785574E0">
            <w:pPr>
              <w:adjustRightInd w:val="0"/>
              <w:snapToGrid w:val="0"/>
              <w:jc w:val="center"/>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2</w:t>
            </w:r>
            <w:r>
              <w:rPr>
                <w:rFonts w:ascii="宋体" w:hAnsi="宋体"/>
                <w:color w:val="000000" w:themeColor="text1"/>
                <w:szCs w:val="21"/>
                <w14:textFill>
                  <w14:solidFill>
                    <w14:schemeClr w14:val="tx1"/>
                  </w14:solidFill>
                </w14:textFill>
              </w:rPr>
              <w:t>033</w:t>
            </w:r>
          </w:p>
        </w:tc>
        <w:tc>
          <w:tcPr>
            <w:tcW w:w="328" w:type="pct"/>
            <w:noWrap/>
            <w:vAlign w:val="center"/>
          </w:tcPr>
          <w:p w14:paraId="0171B9DA">
            <w:pPr>
              <w:adjustRightInd w:val="0"/>
              <w:snapToGrid w:val="0"/>
              <w:jc w:val="center"/>
              <w:rPr>
                <w:rFonts w:hint="eastAsia" w:ascii="宋体" w:hAnsi="宋体"/>
                <w:color w:val="000000" w:themeColor="text1"/>
                <w:szCs w:val="21"/>
                <w14:textFill>
                  <w14:solidFill>
                    <w14:schemeClr w14:val="tx1"/>
                  </w14:solidFill>
                </w14:textFill>
              </w:rPr>
            </w:pPr>
          </w:p>
        </w:tc>
        <w:tc>
          <w:tcPr>
            <w:tcW w:w="328" w:type="pct"/>
          </w:tcPr>
          <w:p w14:paraId="02F39912">
            <w:pPr>
              <w:adjustRightInd w:val="0"/>
              <w:snapToGrid w:val="0"/>
              <w:jc w:val="center"/>
              <w:rPr>
                <w:rFonts w:hint="eastAsia" w:ascii="宋体" w:hAnsi="宋体"/>
                <w:color w:val="000000" w:themeColor="text1"/>
                <w:szCs w:val="21"/>
                <w14:textFill>
                  <w14:solidFill>
                    <w14:schemeClr w14:val="tx1"/>
                  </w14:solidFill>
                </w14:textFill>
              </w:rPr>
            </w:pPr>
          </w:p>
        </w:tc>
        <w:tc>
          <w:tcPr>
            <w:tcW w:w="328" w:type="pct"/>
            <w:noWrap/>
            <w:vAlign w:val="center"/>
          </w:tcPr>
          <w:p w14:paraId="5643F5D8">
            <w:pPr>
              <w:adjustRightInd w:val="0"/>
              <w:snapToGrid w:val="0"/>
              <w:jc w:val="center"/>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9</w:t>
            </w:r>
          </w:p>
        </w:tc>
        <w:tc>
          <w:tcPr>
            <w:tcW w:w="311" w:type="pct"/>
            <w:noWrap/>
            <w:vAlign w:val="center"/>
          </w:tcPr>
          <w:p w14:paraId="083B4E8D">
            <w:pPr>
              <w:adjustRightInd w:val="0"/>
              <w:snapToGrid w:val="0"/>
              <w:jc w:val="center"/>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1</w:t>
            </w:r>
          </w:p>
        </w:tc>
        <w:tc>
          <w:tcPr>
            <w:tcW w:w="459" w:type="pct"/>
            <w:noWrap/>
            <w:vAlign w:val="center"/>
          </w:tcPr>
          <w:p w14:paraId="664131BD">
            <w:pPr>
              <w:adjustRightInd w:val="0"/>
              <w:snapToGrid w:val="0"/>
              <w:jc w:val="center"/>
              <w:rPr>
                <w:rFonts w:hint="eastAsia" w:ascii="宋体" w:hAnsi="宋体"/>
                <w:color w:val="000000" w:themeColor="text1"/>
                <w:szCs w:val="21"/>
                <w14:textFill>
                  <w14:solidFill>
                    <w14:schemeClr w14:val="tx1"/>
                  </w14:solidFill>
                </w14:textFill>
              </w:rPr>
            </w:pPr>
          </w:p>
        </w:tc>
        <w:tc>
          <w:tcPr>
            <w:tcW w:w="275" w:type="pct"/>
            <w:noWrap/>
            <w:vAlign w:val="center"/>
          </w:tcPr>
          <w:p w14:paraId="6E1E1A8A">
            <w:pPr>
              <w:adjustRightInd w:val="0"/>
              <w:snapToGrid w:val="0"/>
              <w:jc w:val="center"/>
              <w:rPr>
                <w:rFonts w:hint="eastAsia" w:ascii="宋体" w:hAnsi="宋体"/>
                <w:color w:val="000000" w:themeColor="text1"/>
                <w:szCs w:val="21"/>
                <w14:textFill>
                  <w14:solidFill>
                    <w14:schemeClr w14:val="tx1"/>
                  </w14:solidFill>
                </w14:textFill>
              </w:rPr>
            </w:pPr>
          </w:p>
        </w:tc>
        <w:tc>
          <w:tcPr>
            <w:tcW w:w="397" w:type="pct"/>
            <w:noWrap/>
            <w:vAlign w:val="center"/>
          </w:tcPr>
          <w:p w14:paraId="13ED1C24">
            <w:pPr>
              <w:adjustRightInd w:val="0"/>
              <w:snapToGrid w:val="0"/>
              <w:jc w:val="center"/>
              <w:rPr>
                <w:rFonts w:hint="eastAsia"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0.65</w:t>
            </w:r>
          </w:p>
        </w:tc>
        <w:tc>
          <w:tcPr>
            <w:tcW w:w="397" w:type="pct"/>
            <w:noWrap/>
            <w:vAlign w:val="center"/>
          </w:tcPr>
          <w:p w14:paraId="0A5D5C3C">
            <w:pPr>
              <w:adjustRightInd w:val="0"/>
              <w:snapToGrid w:val="0"/>
              <w:jc w:val="center"/>
              <w:rPr>
                <w:rFonts w:hint="eastAsia"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1.35</w:t>
            </w:r>
          </w:p>
        </w:tc>
        <w:tc>
          <w:tcPr>
            <w:tcW w:w="336" w:type="pct"/>
            <w:noWrap/>
            <w:vAlign w:val="center"/>
          </w:tcPr>
          <w:p w14:paraId="3AA82464">
            <w:pPr>
              <w:adjustRightInd w:val="0"/>
              <w:snapToGrid w:val="0"/>
              <w:jc w:val="center"/>
              <w:rPr>
                <w:rFonts w:hint="eastAsia"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51.9</w:t>
            </w:r>
          </w:p>
        </w:tc>
        <w:tc>
          <w:tcPr>
            <w:tcW w:w="397" w:type="pct"/>
            <w:noWrap/>
            <w:vAlign w:val="center"/>
          </w:tcPr>
          <w:p w14:paraId="5F88EBD0">
            <w:pPr>
              <w:adjustRightInd w:val="0"/>
              <w:snapToGrid w:val="0"/>
              <w:jc w:val="center"/>
              <w:rPr>
                <w:rFonts w:hint="eastAsia"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7.8</w:t>
            </w:r>
          </w:p>
        </w:tc>
        <w:tc>
          <w:tcPr>
            <w:tcW w:w="445" w:type="pct"/>
            <w:noWrap/>
            <w:vAlign w:val="center"/>
          </w:tcPr>
          <w:p w14:paraId="22CB8273">
            <w:pPr>
              <w:adjustRightInd w:val="0"/>
              <w:snapToGrid w:val="0"/>
              <w:jc w:val="center"/>
              <w:rPr>
                <w:rFonts w:hint="eastAsia"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0.3</w:t>
            </w:r>
          </w:p>
        </w:tc>
        <w:tc>
          <w:tcPr>
            <w:tcW w:w="397" w:type="pct"/>
            <w:noWrap/>
            <w:vAlign w:val="center"/>
          </w:tcPr>
          <w:p w14:paraId="7458413A">
            <w:pPr>
              <w:adjustRightInd w:val="0"/>
              <w:snapToGrid w:val="0"/>
              <w:jc w:val="center"/>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12.0</w:t>
            </w:r>
          </w:p>
        </w:tc>
        <w:tc>
          <w:tcPr>
            <w:tcW w:w="275" w:type="pct"/>
            <w:noWrap/>
            <w:vAlign w:val="center"/>
          </w:tcPr>
          <w:p w14:paraId="78CB4AE6">
            <w:pPr>
              <w:adjustRightInd w:val="0"/>
              <w:snapToGrid w:val="0"/>
              <w:jc w:val="center"/>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3</w:t>
            </w:r>
            <w:r>
              <w:rPr>
                <w:rFonts w:ascii="宋体" w:hAnsi="宋体"/>
                <w:color w:val="000000" w:themeColor="text1"/>
                <w:szCs w:val="21"/>
                <w14:textFill>
                  <w14:solidFill>
                    <w14:schemeClr w14:val="tx1"/>
                  </w14:solidFill>
                </w14:textFill>
              </w:rPr>
              <w:t>00</w:t>
            </w:r>
          </w:p>
        </w:tc>
      </w:tr>
      <w:tr w14:paraId="4F14ED0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28" w:type="pct"/>
            <w:noWrap/>
            <w:vAlign w:val="center"/>
          </w:tcPr>
          <w:p w14:paraId="281DD293">
            <w:pPr>
              <w:adjustRightInd w:val="0"/>
              <w:snapToGrid w:val="0"/>
              <w:jc w:val="center"/>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2</w:t>
            </w:r>
            <w:r>
              <w:rPr>
                <w:rFonts w:ascii="宋体" w:hAnsi="宋体"/>
                <w:color w:val="000000" w:themeColor="text1"/>
                <w:szCs w:val="21"/>
                <w14:textFill>
                  <w14:solidFill>
                    <w14:schemeClr w14:val="tx1"/>
                  </w14:solidFill>
                </w14:textFill>
              </w:rPr>
              <w:t>034</w:t>
            </w:r>
          </w:p>
        </w:tc>
        <w:tc>
          <w:tcPr>
            <w:tcW w:w="328" w:type="pct"/>
            <w:noWrap/>
            <w:vAlign w:val="center"/>
          </w:tcPr>
          <w:p w14:paraId="1B240D7F">
            <w:pPr>
              <w:adjustRightInd w:val="0"/>
              <w:snapToGrid w:val="0"/>
              <w:jc w:val="center"/>
              <w:rPr>
                <w:rFonts w:hint="eastAsia" w:ascii="宋体" w:hAnsi="宋体"/>
                <w:color w:val="000000" w:themeColor="text1"/>
                <w:szCs w:val="21"/>
                <w14:textFill>
                  <w14:solidFill>
                    <w14:schemeClr w14:val="tx1"/>
                  </w14:solidFill>
                </w14:textFill>
              </w:rPr>
            </w:pPr>
          </w:p>
        </w:tc>
        <w:tc>
          <w:tcPr>
            <w:tcW w:w="328" w:type="pct"/>
          </w:tcPr>
          <w:p w14:paraId="51268E89">
            <w:pPr>
              <w:adjustRightInd w:val="0"/>
              <w:snapToGrid w:val="0"/>
              <w:jc w:val="center"/>
              <w:rPr>
                <w:rFonts w:hint="eastAsia" w:ascii="宋体" w:hAnsi="宋体"/>
                <w:color w:val="000000" w:themeColor="text1"/>
                <w:szCs w:val="21"/>
                <w14:textFill>
                  <w14:solidFill>
                    <w14:schemeClr w14:val="tx1"/>
                  </w14:solidFill>
                </w14:textFill>
              </w:rPr>
            </w:pPr>
          </w:p>
        </w:tc>
        <w:tc>
          <w:tcPr>
            <w:tcW w:w="328" w:type="pct"/>
            <w:noWrap/>
            <w:vAlign w:val="center"/>
          </w:tcPr>
          <w:p w14:paraId="4F370FF6">
            <w:pPr>
              <w:adjustRightInd w:val="0"/>
              <w:snapToGrid w:val="0"/>
              <w:jc w:val="center"/>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9</w:t>
            </w:r>
          </w:p>
        </w:tc>
        <w:tc>
          <w:tcPr>
            <w:tcW w:w="311" w:type="pct"/>
            <w:noWrap/>
            <w:vAlign w:val="center"/>
          </w:tcPr>
          <w:p w14:paraId="0E6C2351">
            <w:pPr>
              <w:adjustRightInd w:val="0"/>
              <w:snapToGrid w:val="0"/>
              <w:jc w:val="center"/>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1</w:t>
            </w:r>
          </w:p>
        </w:tc>
        <w:tc>
          <w:tcPr>
            <w:tcW w:w="459" w:type="pct"/>
            <w:noWrap/>
            <w:vAlign w:val="center"/>
          </w:tcPr>
          <w:p w14:paraId="659390D2">
            <w:pPr>
              <w:adjustRightInd w:val="0"/>
              <w:snapToGrid w:val="0"/>
              <w:jc w:val="center"/>
              <w:rPr>
                <w:rFonts w:hint="eastAsia" w:ascii="宋体" w:hAnsi="宋体"/>
                <w:color w:val="000000" w:themeColor="text1"/>
                <w:szCs w:val="21"/>
                <w14:textFill>
                  <w14:solidFill>
                    <w14:schemeClr w14:val="tx1"/>
                  </w14:solidFill>
                </w14:textFill>
              </w:rPr>
            </w:pPr>
          </w:p>
        </w:tc>
        <w:tc>
          <w:tcPr>
            <w:tcW w:w="275" w:type="pct"/>
            <w:noWrap/>
            <w:vAlign w:val="center"/>
          </w:tcPr>
          <w:p w14:paraId="6927C38B">
            <w:pPr>
              <w:adjustRightInd w:val="0"/>
              <w:snapToGrid w:val="0"/>
              <w:jc w:val="center"/>
              <w:rPr>
                <w:rFonts w:hint="eastAsia" w:ascii="宋体" w:hAnsi="宋体"/>
                <w:color w:val="000000" w:themeColor="text1"/>
                <w:szCs w:val="21"/>
                <w14:textFill>
                  <w14:solidFill>
                    <w14:schemeClr w14:val="tx1"/>
                  </w14:solidFill>
                </w14:textFill>
              </w:rPr>
            </w:pPr>
          </w:p>
        </w:tc>
        <w:tc>
          <w:tcPr>
            <w:tcW w:w="397" w:type="pct"/>
            <w:noWrap/>
            <w:vAlign w:val="center"/>
          </w:tcPr>
          <w:p w14:paraId="3585A3FB">
            <w:pPr>
              <w:adjustRightInd w:val="0"/>
              <w:snapToGrid w:val="0"/>
              <w:jc w:val="center"/>
              <w:rPr>
                <w:rFonts w:hint="eastAsia"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0.49</w:t>
            </w:r>
          </w:p>
        </w:tc>
        <w:tc>
          <w:tcPr>
            <w:tcW w:w="397" w:type="pct"/>
            <w:noWrap/>
            <w:vAlign w:val="center"/>
          </w:tcPr>
          <w:p w14:paraId="62F0B105">
            <w:pPr>
              <w:adjustRightInd w:val="0"/>
              <w:snapToGrid w:val="0"/>
              <w:jc w:val="center"/>
              <w:rPr>
                <w:rFonts w:hint="eastAsia"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1.01</w:t>
            </w:r>
          </w:p>
        </w:tc>
        <w:tc>
          <w:tcPr>
            <w:tcW w:w="336" w:type="pct"/>
            <w:noWrap/>
            <w:vAlign w:val="center"/>
          </w:tcPr>
          <w:p w14:paraId="46C3E8AE">
            <w:pPr>
              <w:adjustRightInd w:val="0"/>
              <w:snapToGrid w:val="0"/>
              <w:jc w:val="center"/>
              <w:rPr>
                <w:rFonts w:hint="eastAsia"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51.5</w:t>
            </w:r>
          </w:p>
        </w:tc>
        <w:tc>
          <w:tcPr>
            <w:tcW w:w="397" w:type="pct"/>
            <w:noWrap/>
            <w:vAlign w:val="center"/>
          </w:tcPr>
          <w:p w14:paraId="64C22936">
            <w:pPr>
              <w:adjustRightInd w:val="0"/>
              <w:snapToGrid w:val="0"/>
              <w:jc w:val="center"/>
              <w:rPr>
                <w:rFonts w:hint="eastAsia"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5.8</w:t>
            </w:r>
          </w:p>
        </w:tc>
        <w:tc>
          <w:tcPr>
            <w:tcW w:w="445" w:type="pct"/>
            <w:noWrap/>
            <w:vAlign w:val="center"/>
          </w:tcPr>
          <w:p w14:paraId="07B3D9D5">
            <w:pPr>
              <w:adjustRightInd w:val="0"/>
              <w:snapToGrid w:val="0"/>
              <w:jc w:val="center"/>
              <w:rPr>
                <w:rFonts w:hint="eastAsia"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0.2</w:t>
            </w:r>
          </w:p>
        </w:tc>
        <w:tc>
          <w:tcPr>
            <w:tcW w:w="397" w:type="pct"/>
            <w:noWrap/>
            <w:vAlign w:val="center"/>
          </w:tcPr>
          <w:p w14:paraId="19B8725C">
            <w:pPr>
              <w:adjustRightInd w:val="0"/>
              <w:snapToGrid w:val="0"/>
              <w:jc w:val="center"/>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11.8</w:t>
            </w:r>
          </w:p>
        </w:tc>
        <w:tc>
          <w:tcPr>
            <w:tcW w:w="275" w:type="pct"/>
            <w:noWrap/>
            <w:vAlign w:val="center"/>
          </w:tcPr>
          <w:p w14:paraId="5407ECD1">
            <w:pPr>
              <w:adjustRightInd w:val="0"/>
              <w:snapToGrid w:val="0"/>
              <w:jc w:val="center"/>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3</w:t>
            </w:r>
            <w:r>
              <w:rPr>
                <w:rFonts w:ascii="宋体" w:hAnsi="宋体"/>
                <w:color w:val="000000" w:themeColor="text1"/>
                <w:szCs w:val="21"/>
                <w14:textFill>
                  <w14:solidFill>
                    <w14:schemeClr w14:val="tx1"/>
                  </w14:solidFill>
                </w14:textFill>
              </w:rPr>
              <w:t>00</w:t>
            </w:r>
          </w:p>
        </w:tc>
      </w:tr>
      <w:bookmarkEnd w:id="248"/>
    </w:tbl>
    <w:p w14:paraId="70D552D2">
      <w:pPr>
        <w:pStyle w:val="117"/>
        <w:adjustRightInd w:val="0"/>
        <w:snapToGrid w:val="0"/>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②吞吐轮次</w:t>
      </w:r>
    </w:p>
    <w:p w14:paraId="42D72E1C">
      <w:pPr>
        <w:adjustRightInd w:val="0"/>
        <w:snapToGrid w:val="0"/>
        <w:spacing w:line="500" w:lineRule="exact"/>
        <w:ind w:firstLine="480" w:firstLineChars="200"/>
        <w:rPr>
          <w:rFonts w:hint="eastAsia" w:ascii="宋体" w:hAnsi="宋体"/>
          <w:color w:val="000000" w:themeColor="text1"/>
          <w:sz w:val="24"/>
          <w:szCs w:val="32"/>
          <w14:textFill>
            <w14:solidFill>
              <w14:schemeClr w14:val="tx1"/>
            </w14:solidFill>
          </w14:textFill>
        </w:rPr>
      </w:pPr>
      <w:r>
        <w:rPr>
          <w:rFonts w:hint="eastAsia" w:ascii="宋体" w:hAnsi="宋体"/>
          <w:color w:val="000000" w:themeColor="text1"/>
          <w:sz w:val="24"/>
          <w:szCs w:val="32"/>
          <w14:textFill>
            <w14:solidFill>
              <w14:schemeClr w14:val="tx1"/>
            </w14:solidFill>
          </w14:textFill>
        </w:rPr>
        <w:t>9口水平井CO</w:t>
      </w:r>
      <w:r>
        <w:rPr>
          <w:rFonts w:hint="eastAsia" w:ascii="宋体" w:hAnsi="宋体"/>
          <w:color w:val="000000" w:themeColor="text1"/>
          <w:sz w:val="24"/>
          <w:szCs w:val="32"/>
          <w:vertAlign w:val="subscript"/>
          <w14:textFill>
            <w14:solidFill>
              <w14:schemeClr w14:val="tx1"/>
            </w14:solidFill>
          </w14:textFill>
        </w:rPr>
        <w:t>2</w:t>
      </w:r>
      <w:r>
        <w:rPr>
          <w:rFonts w:hint="eastAsia" w:ascii="宋体" w:hAnsi="宋体"/>
          <w:color w:val="000000" w:themeColor="text1"/>
          <w:sz w:val="24"/>
          <w:szCs w:val="32"/>
          <w14:textFill>
            <w14:solidFill>
              <w14:schemeClr w14:val="tx1"/>
            </w14:solidFill>
          </w14:textFill>
        </w:rPr>
        <w:t>吞吐3个轮次，CO</w:t>
      </w:r>
      <w:r>
        <w:rPr>
          <w:rFonts w:hint="eastAsia" w:ascii="宋体" w:hAnsi="宋体"/>
          <w:color w:val="000000" w:themeColor="text1"/>
          <w:sz w:val="24"/>
          <w:szCs w:val="32"/>
          <w:vertAlign w:val="subscript"/>
          <w14:textFill>
            <w14:solidFill>
              <w14:schemeClr w14:val="tx1"/>
            </w14:solidFill>
          </w14:textFill>
        </w:rPr>
        <w:t>2</w:t>
      </w:r>
      <w:r>
        <w:rPr>
          <w:rFonts w:hint="eastAsia" w:ascii="宋体" w:hAnsi="宋体"/>
          <w:color w:val="000000" w:themeColor="text1"/>
          <w:sz w:val="24"/>
          <w:szCs w:val="32"/>
          <w14:textFill>
            <w14:solidFill>
              <w14:schemeClr w14:val="tx1"/>
            </w14:solidFill>
          </w14:textFill>
        </w:rPr>
        <w:t>用量</w:t>
      </w:r>
      <w:r>
        <w:rPr>
          <w:rFonts w:ascii="宋体" w:hAnsi="宋体"/>
          <w:color w:val="000000" w:themeColor="text1"/>
          <w:sz w:val="24"/>
          <w:szCs w:val="32"/>
          <w14:textFill>
            <w14:solidFill>
              <w14:schemeClr w14:val="tx1"/>
            </w14:solidFill>
          </w14:textFill>
        </w:rPr>
        <w:t>28.4</w:t>
      </w:r>
      <w:r>
        <w:rPr>
          <w:rFonts w:hint="eastAsia" w:ascii="宋体" w:hAnsi="宋体"/>
          <w:color w:val="000000" w:themeColor="text1"/>
          <w:sz w:val="24"/>
          <w:szCs w:val="32"/>
          <w14:textFill>
            <w14:solidFill>
              <w14:schemeClr w14:val="tx1"/>
            </w14:solidFill>
          </w14:textFill>
        </w:rPr>
        <w:t>万吨，单井首轮注碳13500t，第二轮注碳9000t，第三轮注碳9000t，焖井30天，生产12个月，控产生产（初期日产&lt;15t），生产至平均地层压力26MPa，开始下一轮次注气。吞吐井注气期间，JHW00421井（140m</w:t>
      </w:r>
      <w:r>
        <w:rPr>
          <w:rFonts w:hint="eastAsia" w:ascii="宋体" w:hAnsi="宋体"/>
          <w:color w:val="000000" w:themeColor="text1"/>
          <w:sz w:val="24"/>
          <w:szCs w:val="32"/>
          <w:vertAlign w:val="superscript"/>
          <w14:textFill>
            <w14:solidFill>
              <w14:schemeClr w14:val="tx1"/>
            </w14:solidFill>
          </w14:textFill>
        </w:rPr>
        <w:t>3</w:t>
      </w:r>
      <w:r>
        <w:rPr>
          <w:rFonts w:hint="eastAsia" w:ascii="宋体" w:hAnsi="宋体"/>
          <w:color w:val="000000" w:themeColor="text1"/>
          <w:sz w:val="24"/>
          <w:szCs w:val="32"/>
          <w14:textFill>
            <w14:solidFill>
              <w14:schemeClr w14:val="tx1"/>
            </w14:solidFill>
          </w14:textFill>
        </w:rPr>
        <w:t>/d）、JHW034井（90m</w:t>
      </w:r>
      <w:r>
        <w:rPr>
          <w:rFonts w:hint="eastAsia" w:ascii="宋体" w:hAnsi="宋体"/>
          <w:color w:val="000000" w:themeColor="text1"/>
          <w:sz w:val="24"/>
          <w:szCs w:val="32"/>
          <w:vertAlign w:val="superscript"/>
          <w14:textFill>
            <w14:solidFill>
              <w14:schemeClr w14:val="tx1"/>
            </w14:solidFill>
          </w14:textFill>
        </w:rPr>
        <w:t>3</w:t>
      </w:r>
      <w:r>
        <w:rPr>
          <w:rFonts w:hint="eastAsia" w:ascii="宋体" w:hAnsi="宋体"/>
          <w:color w:val="000000" w:themeColor="text1"/>
          <w:sz w:val="24"/>
          <w:szCs w:val="32"/>
          <w14:textFill>
            <w14:solidFill>
              <w14:schemeClr w14:val="tx1"/>
            </w14:solidFill>
          </w14:textFill>
        </w:rPr>
        <w:t>/d）提前3～5天开始注水，注水、注气同步结束，可维持封堵井井底流压高于注气井井底压力，满足封闭要求。</w:t>
      </w:r>
      <w:r>
        <w:rPr>
          <w:rFonts w:ascii="宋体" w:hAnsi="宋体"/>
          <w:color w:val="000000" w:themeColor="text1"/>
          <w:sz w:val="24"/>
          <w:szCs w:val="32"/>
          <w14:textFill>
            <w14:solidFill>
              <w14:schemeClr w14:val="tx1"/>
            </w14:solidFill>
          </w14:textFill>
        </w:rPr>
        <w:t>CO</w:t>
      </w:r>
      <w:r>
        <w:rPr>
          <w:rFonts w:ascii="宋体" w:hAnsi="宋体"/>
          <w:color w:val="000000" w:themeColor="text1"/>
          <w:sz w:val="24"/>
          <w:szCs w:val="32"/>
          <w:vertAlign w:val="subscript"/>
          <w14:textFill>
            <w14:solidFill>
              <w14:schemeClr w14:val="tx1"/>
            </w14:solidFill>
          </w14:textFill>
        </w:rPr>
        <w:t>2</w:t>
      </w:r>
      <w:r>
        <w:rPr>
          <w:rFonts w:ascii="宋体" w:hAnsi="宋体"/>
          <w:color w:val="000000" w:themeColor="text1"/>
          <w:sz w:val="24"/>
          <w:szCs w:val="32"/>
          <w14:textFill>
            <w14:solidFill>
              <w14:schemeClr w14:val="tx1"/>
            </w14:solidFill>
          </w14:textFill>
        </w:rPr>
        <w:t>吞吐轮次生产情况见表</w:t>
      </w:r>
      <w:r>
        <w:rPr>
          <w:rFonts w:hint="eastAsia" w:ascii="宋体" w:hAnsi="宋体"/>
          <w:color w:val="000000" w:themeColor="text1"/>
          <w:sz w:val="24"/>
          <w:szCs w:val="32"/>
          <w14:textFill>
            <w14:solidFill>
              <w14:schemeClr w14:val="tx1"/>
            </w14:solidFill>
          </w14:textFill>
        </w:rPr>
        <w:t>3.2-2</w:t>
      </w:r>
      <w:r>
        <w:rPr>
          <w:rFonts w:ascii="宋体" w:hAnsi="宋体"/>
          <w:color w:val="000000" w:themeColor="text1"/>
          <w:sz w:val="24"/>
          <w:szCs w:val="32"/>
          <w14:textFill>
            <w14:solidFill>
              <w14:schemeClr w14:val="tx1"/>
            </w14:solidFill>
          </w14:textFill>
        </w:rPr>
        <w:t>，注CO</w:t>
      </w:r>
      <w:r>
        <w:rPr>
          <w:rFonts w:ascii="宋体" w:hAnsi="宋体"/>
          <w:color w:val="000000" w:themeColor="text1"/>
          <w:sz w:val="24"/>
          <w:szCs w:val="32"/>
          <w:vertAlign w:val="subscript"/>
          <w14:textFill>
            <w14:solidFill>
              <w14:schemeClr w14:val="tx1"/>
            </w14:solidFill>
          </w14:textFill>
        </w:rPr>
        <w:t>2</w:t>
      </w:r>
      <w:r>
        <w:rPr>
          <w:rFonts w:ascii="宋体" w:hAnsi="宋体"/>
          <w:color w:val="000000" w:themeColor="text1"/>
          <w:sz w:val="24"/>
          <w:szCs w:val="32"/>
          <w14:textFill>
            <w14:solidFill>
              <w14:schemeClr w14:val="tx1"/>
            </w14:solidFill>
          </w14:textFill>
        </w:rPr>
        <w:t>指标：为保证施工安全，注入压力应控制在21.8MPa以内，要求注入气CO</w:t>
      </w:r>
      <w:r>
        <w:rPr>
          <w:rFonts w:ascii="宋体" w:hAnsi="宋体"/>
          <w:color w:val="000000" w:themeColor="text1"/>
          <w:sz w:val="24"/>
          <w:szCs w:val="32"/>
          <w:vertAlign w:val="subscript"/>
          <w14:textFill>
            <w14:solidFill>
              <w14:schemeClr w14:val="tx1"/>
            </w14:solidFill>
          </w14:textFill>
        </w:rPr>
        <w:t>2</w:t>
      </w:r>
      <w:r>
        <w:rPr>
          <w:rFonts w:ascii="宋体" w:hAnsi="宋体"/>
          <w:color w:val="000000" w:themeColor="text1"/>
          <w:sz w:val="24"/>
          <w:szCs w:val="32"/>
          <w14:textFill>
            <w14:solidFill>
              <w14:schemeClr w14:val="tx1"/>
            </w14:solidFill>
          </w14:textFill>
        </w:rPr>
        <w:t>含量≥90%</w:t>
      </w:r>
      <w:r>
        <w:rPr>
          <w:rFonts w:hint="eastAsia" w:ascii="宋体" w:hAnsi="宋体"/>
          <w:color w:val="000000" w:themeColor="text1"/>
          <w:sz w:val="24"/>
          <w:szCs w:val="32"/>
          <w14:textFill>
            <w14:solidFill>
              <w14:schemeClr w14:val="tx1"/>
            </w14:solidFill>
          </w14:textFill>
        </w:rPr>
        <w:t>，采出气</w:t>
      </w:r>
      <w:r>
        <w:rPr>
          <w:rFonts w:ascii="宋体" w:hAnsi="宋体"/>
          <w:color w:val="000000" w:themeColor="text1"/>
          <w:sz w:val="24"/>
          <w:szCs w:val="32"/>
          <w14:textFill>
            <w14:solidFill>
              <w14:schemeClr w14:val="tx1"/>
            </w14:solidFill>
          </w14:textFill>
        </w:rPr>
        <w:t>注入压力应控制在</w:t>
      </w:r>
      <w:r>
        <w:rPr>
          <w:rFonts w:hint="eastAsia" w:ascii="宋体" w:hAnsi="宋体"/>
          <w:color w:val="000000" w:themeColor="text1"/>
          <w:sz w:val="24"/>
          <w:szCs w:val="32"/>
          <w14:textFill>
            <w14:solidFill>
              <w14:schemeClr w14:val="tx1"/>
            </w14:solidFill>
          </w14:textFill>
        </w:rPr>
        <w:t>5</w:t>
      </w:r>
      <w:r>
        <w:rPr>
          <w:rFonts w:ascii="宋体" w:hAnsi="宋体"/>
          <w:color w:val="000000" w:themeColor="text1"/>
          <w:sz w:val="24"/>
          <w:szCs w:val="32"/>
          <w14:textFill>
            <w14:solidFill>
              <w14:schemeClr w14:val="tx1"/>
            </w14:solidFill>
          </w14:textFill>
        </w:rPr>
        <w:t>MPa。</w:t>
      </w:r>
    </w:p>
    <w:p w14:paraId="5410D0B2">
      <w:pPr>
        <w:widowControl/>
        <w:adjustRightInd w:val="0"/>
        <w:snapToGrid w:val="0"/>
        <w:spacing w:line="500" w:lineRule="exact"/>
        <w:jc w:val="center"/>
        <w:rPr>
          <w:rFonts w:hint="eastAsia" w:ascii="黑体" w:hAnsi="黑体" w:eastAsia="黑体"/>
          <w:color w:val="000000" w:themeColor="text1"/>
          <w14:textFill>
            <w14:solidFill>
              <w14:schemeClr w14:val="tx1"/>
            </w14:solidFill>
          </w14:textFill>
        </w:rPr>
      </w:pPr>
    </w:p>
    <w:p w14:paraId="2423256A">
      <w:pPr>
        <w:widowControl/>
        <w:adjustRightInd w:val="0"/>
        <w:snapToGrid w:val="0"/>
        <w:spacing w:line="500" w:lineRule="exact"/>
        <w:jc w:val="center"/>
        <w:rPr>
          <w:rFonts w:hint="eastAsia" w:ascii="黑体" w:hAnsi="黑体" w:eastAsia="黑体"/>
          <w:color w:val="000000" w:themeColor="text1"/>
          <w14:textFill>
            <w14:solidFill>
              <w14:schemeClr w14:val="tx1"/>
            </w14:solidFill>
          </w14:textFill>
        </w:rPr>
      </w:pPr>
    </w:p>
    <w:p w14:paraId="735F2ACC">
      <w:pPr>
        <w:widowControl/>
        <w:adjustRightInd w:val="0"/>
        <w:snapToGrid w:val="0"/>
        <w:spacing w:line="500" w:lineRule="exact"/>
        <w:jc w:val="center"/>
        <w:rPr>
          <w:rFonts w:hint="eastAsia" w:ascii="黑体" w:hAnsi="黑体" w:eastAsia="黑体"/>
          <w:color w:val="000000" w:themeColor="text1"/>
          <w14:textFill>
            <w14:solidFill>
              <w14:schemeClr w14:val="tx1"/>
            </w14:solidFill>
          </w14:textFill>
        </w:rPr>
      </w:pPr>
      <w:r>
        <w:rPr>
          <w:rFonts w:ascii="黑体" w:hAnsi="黑体" w:eastAsia="黑体"/>
          <w:color w:val="000000" w:themeColor="text1"/>
          <w14:textFill>
            <w14:solidFill>
              <w14:schemeClr w14:val="tx1"/>
            </w14:solidFill>
          </w14:textFill>
        </w:rPr>
        <w:t>表</w:t>
      </w:r>
      <w:r>
        <w:rPr>
          <w:rFonts w:hint="eastAsia" w:ascii="黑体" w:hAnsi="黑体" w:eastAsia="黑体"/>
          <w:color w:val="000000" w:themeColor="text1"/>
          <w14:textFill>
            <w14:solidFill>
              <w14:schemeClr w14:val="tx1"/>
            </w14:solidFill>
          </w14:textFill>
        </w:rPr>
        <w:t>3.2-2</w:t>
      </w:r>
      <w:r>
        <w:rPr>
          <w:rFonts w:ascii="黑体" w:hAnsi="黑体" w:eastAsia="黑体"/>
          <w:color w:val="000000" w:themeColor="text1"/>
          <w14:textFill>
            <w14:solidFill>
              <w14:schemeClr w14:val="tx1"/>
            </w14:solidFill>
          </w14:textFill>
        </w:rPr>
        <w:t xml:space="preserve">  CO</w:t>
      </w:r>
      <w:r>
        <w:rPr>
          <w:rFonts w:ascii="黑体" w:hAnsi="黑体" w:eastAsia="黑体"/>
          <w:color w:val="000000" w:themeColor="text1"/>
          <w:vertAlign w:val="subscript"/>
          <w14:textFill>
            <w14:solidFill>
              <w14:schemeClr w14:val="tx1"/>
            </w14:solidFill>
          </w14:textFill>
        </w:rPr>
        <w:t>2</w:t>
      </w:r>
      <w:r>
        <w:rPr>
          <w:rFonts w:ascii="黑体" w:hAnsi="黑体" w:eastAsia="黑体"/>
          <w:color w:val="000000" w:themeColor="text1"/>
          <w14:textFill>
            <w14:solidFill>
              <w14:schemeClr w14:val="tx1"/>
            </w14:solidFill>
          </w14:textFill>
        </w:rPr>
        <w:t>吞吐轮次生产情况表（第一年至第</w:t>
      </w:r>
      <w:r>
        <w:rPr>
          <w:rFonts w:hint="eastAsia" w:ascii="黑体" w:hAnsi="黑体" w:eastAsia="黑体"/>
          <w:color w:val="000000" w:themeColor="text1"/>
          <w14:textFill>
            <w14:solidFill>
              <w14:schemeClr w14:val="tx1"/>
            </w14:solidFill>
          </w14:textFill>
        </w:rPr>
        <w:t>三</w:t>
      </w:r>
      <w:r>
        <w:rPr>
          <w:rFonts w:ascii="黑体" w:hAnsi="黑体" w:eastAsia="黑体"/>
          <w:color w:val="000000" w:themeColor="text1"/>
          <w14:textFill>
            <w14:solidFill>
              <w14:schemeClr w14:val="tx1"/>
            </w14:solidFill>
          </w14:textFill>
        </w:rPr>
        <w:t>年）</w:t>
      </w:r>
    </w:p>
    <w:tbl>
      <w:tblPr>
        <w:tblStyle w:val="51"/>
        <w:tblW w:w="8935"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41"/>
        <w:gridCol w:w="1679"/>
        <w:gridCol w:w="1557"/>
        <w:gridCol w:w="1371"/>
        <w:gridCol w:w="1371"/>
        <w:gridCol w:w="1716"/>
      </w:tblGrid>
      <w:tr w14:paraId="19C3DC4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blHeader/>
          <w:jc w:val="center"/>
        </w:trPr>
        <w:tc>
          <w:tcPr>
            <w:tcW w:w="1241" w:type="dxa"/>
            <w:vAlign w:val="center"/>
          </w:tcPr>
          <w:p w14:paraId="24F9C567">
            <w:pPr>
              <w:jc w:val="center"/>
              <w:rPr>
                <w:rFonts w:hint="eastAsia" w:ascii="宋体" w:hAnsi="宋体"/>
                <w:color w:val="000000" w:themeColor="text1"/>
                <w:szCs w:val="21"/>
                <w14:textFill>
                  <w14:solidFill>
                    <w14:schemeClr w14:val="tx1"/>
                  </w14:solidFill>
                </w14:textFill>
              </w:rPr>
            </w:pPr>
            <w:r>
              <w:rPr>
                <w:rFonts w:ascii="宋体" w:hAnsi="宋体"/>
                <w:color w:val="000000" w:themeColor="text1"/>
                <w:szCs w:val="21"/>
                <w:shd w:val="clear" w:color="auto" w:fill="FFFFFF"/>
                <w14:textFill>
                  <w14:solidFill>
                    <w14:schemeClr w14:val="tx1"/>
                  </w14:solidFill>
                </w14:textFill>
              </w:rPr>
              <w:t>CO</w:t>
            </w:r>
            <w:r>
              <w:rPr>
                <w:rFonts w:ascii="宋体" w:hAnsi="宋体"/>
                <w:color w:val="000000" w:themeColor="text1"/>
                <w:szCs w:val="21"/>
                <w:shd w:val="clear" w:color="auto" w:fill="FFFFFF"/>
                <w:vertAlign w:val="subscript"/>
                <w14:textFill>
                  <w14:solidFill>
                    <w14:schemeClr w14:val="tx1"/>
                  </w14:solidFill>
                </w14:textFill>
              </w:rPr>
              <w:t>2</w:t>
            </w:r>
            <w:r>
              <w:rPr>
                <w:rFonts w:ascii="宋体" w:hAnsi="宋体"/>
                <w:color w:val="000000" w:themeColor="text1"/>
                <w:szCs w:val="21"/>
                <w14:textFill>
                  <w14:solidFill>
                    <w14:schemeClr w14:val="tx1"/>
                  </w14:solidFill>
                </w14:textFill>
              </w:rPr>
              <w:t>吞吐轮次</w:t>
            </w:r>
          </w:p>
        </w:tc>
        <w:tc>
          <w:tcPr>
            <w:tcW w:w="1679" w:type="dxa"/>
            <w:vAlign w:val="center"/>
          </w:tcPr>
          <w:p w14:paraId="1D16CC79">
            <w:pPr>
              <w:jc w:val="center"/>
              <w:rPr>
                <w:rFonts w:hint="eastAsia" w:ascii="宋体" w:hAnsi="宋体"/>
                <w:color w:val="000000" w:themeColor="text1"/>
                <w:szCs w:val="21"/>
                <w14:textFill>
                  <w14:solidFill>
                    <w14:schemeClr w14:val="tx1"/>
                  </w14:solidFill>
                </w14:textFill>
              </w:rPr>
            </w:pPr>
            <w:r>
              <w:rPr>
                <w:rFonts w:ascii="宋体" w:hAnsi="宋体"/>
                <w:color w:val="000000" w:themeColor="text1"/>
                <w:szCs w:val="21"/>
                <w:shd w:val="clear" w:color="auto" w:fill="FFFFFF"/>
                <w14:textFill>
                  <w14:solidFill>
                    <w14:schemeClr w14:val="tx1"/>
                  </w14:solidFill>
                </w14:textFill>
              </w:rPr>
              <w:t>CO</w:t>
            </w:r>
            <w:r>
              <w:rPr>
                <w:rFonts w:ascii="宋体" w:hAnsi="宋体"/>
                <w:color w:val="000000" w:themeColor="text1"/>
                <w:szCs w:val="21"/>
                <w:shd w:val="clear" w:color="auto" w:fill="FFFFFF"/>
                <w:vertAlign w:val="subscript"/>
                <w14:textFill>
                  <w14:solidFill>
                    <w14:schemeClr w14:val="tx1"/>
                  </w14:solidFill>
                </w14:textFill>
              </w:rPr>
              <w:t>2</w:t>
            </w:r>
            <w:r>
              <w:rPr>
                <w:rFonts w:ascii="宋体" w:hAnsi="宋体"/>
                <w:color w:val="000000" w:themeColor="text1"/>
                <w:szCs w:val="21"/>
                <w14:textFill>
                  <w14:solidFill>
                    <w14:schemeClr w14:val="tx1"/>
                  </w14:solidFill>
                </w14:textFill>
              </w:rPr>
              <w:t>用量</w:t>
            </w:r>
          </w:p>
          <w:p w14:paraId="0EAEFF73">
            <w:pPr>
              <w:jc w:val="center"/>
              <w:rPr>
                <w:rFonts w:hint="eastAsia"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（万吨）</w:t>
            </w:r>
          </w:p>
        </w:tc>
        <w:tc>
          <w:tcPr>
            <w:tcW w:w="1557" w:type="dxa"/>
            <w:vAlign w:val="center"/>
          </w:tcPr>
          <w:p w14:paraId="6A8A88CF">
            <w:pPr>
              <w:jc w:val="center"/>
              <w:rPr>
                <w:rFonts w:hint="eastAsia"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单井日注气（t/d）</w:t>
            </w:r>
          </w:p>
        </w:tc>
        <w:tc>
          <w:tcPr>
            <w:tcW w:w="1371" w:type="dxa"/>
            <w:vAlign w:val="center"/>
          </w:tcPr>
          <w:p w14:paraId="5FAF6994">
            <w:pPr>
              <w:jc w:val="center"/>
              <w:rPr>
                <w:rFonts w:hint="eastAsia"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注气时间（</w:t>
            </w:r>
            <w:r>
              <w:rPr>
                <w:rFonts w:hint="eastAsia" w:ascii="宋体" w:hAnsi="宋体"/>
                <w:color w:val="000000" w:themeColor="text1"/>
                <w:szCs w:val="21"/>
                <w14:textFill>
                  <w14:solidFill>
                    <w14:schemeClr w14:val="tx1"/>
                  </w14:solidFill>
                </w14:textFill>
              </w:rPr>
              <w:t>月</w:t>
            </w:r>
            <w:r>
              <w:rPr>
                <w:rFonts w:ascii="宋体" w:hAnsi="宋体"/>
                <w:color w:val="000000" w:themeColor="text1"/>
                <w:szCs w:val="21"/>
                <w14:textFill>
                  <w14:solidFill>
                    <w14:schemeClr w14:val="tx1"/>
                  </w14:solidFill>
                </w14:textFill>
              </w:rPr>
              <w:t>）</w:t>
            </w:r>
          </w:p>
        </w:tc>
        <w:tc>
          <w:tcPr>
            <w:tcW w:w="1371" w:type="dxa"/>
            <w:vAlign w:val="center"/>
          </w:tcPr>
          <w:p w14:paraId="677240AF">
            <w:pPr>
              <w:jc w:val="center"/>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焖井</w:t>
            </w:r>
            <w:r>
              <w:rPr>
                <w:rFonts w:ascii="宋体" w:hAnsi="宋体"/>
                <w:color w:val="000000" w:themeColor="text1"/>
                <w:szCs w:val="21"/>
                <w14:textFill>
                  <w14:solidFill>
                    <w14:schemeClr w14:val="tx1"/>
                  </w14:solidFill>
                </w14:textFill>
              </w:rPr>
              <w:t>时间（</w:t>
            </w:r>
            <w:r>
              <w:rPr>
                <w:rFonts w:hint="eastAsia" w:ascii="宋体" w:hAnsi="宋体"/>
                <w:color w:val="000000" w:themeColor="text1"/>
                <w:szCs w:val="21"/>
                <w14:textFill>
                  <w14:solidFill>
                    <w14:schemeClr w14:val="tx1"/>
                  </w14:solidFill>
                </w14:textFill>
              </w:rPr>
              <w:t>天</w:t>
            </w:r>
            <w:r>
              <w:rPr>
                <w:rFonts w:ascii="宋体" w:hAnsi="宋体"/>
                <w:color w:val="000000" w:themeColor="text1"/>
                <w:szCs w:val="21"/>
                <w14:textFill>
                  <w14:solidFill>
                    <w14:schemeClr w14:val="tx1"/>
                  </w14:solidFill>
                </w14:textFill>
              </w:rPr>
              <w:t>）</w:t>
            </w:r>
          </w:p>
        </w:tc>
        <w:tc>
          <w:tcPr>
            <w:tcW w:w="1716" w:type="dxa"/>
            <w:vAlign w:val="center"/>
          </w:tcPr>
          <w:p w14:paraId="25286553">
            <w:pPr>
              <w:jc w:val="center"/>
              <w:rPr>
                <w:rFonts w:hint="eastAsia"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轮次生产时间（月）</w:t>
            </w:r>
          </w:p>
        </w:tc>
      </w:tr>
      <w:tr w14:paraId="55A39DA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241" w:type="dxa"/>
            <w:vAlign w:val="center"/>
          </w:tcPr>
          <w:p w14:paraId="09E628F9">
            <w:pPr>
              <w:jc w:val="center"/>
              <w:rPr>
                <w:rFonts w:hint="eastAsia"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1</w:t>
            </w:r>
          </w:p>
        </w:tc>
        <w:tc>
          <w:tcPr>
            <w:tcW w:w="1679" w:type="dxa"/>
            <w:vAlign w:val="center"/>
          </w:tcPr>
          <w:p w14:paraId="5DBE8D21">
            <w:pPr>
              <w:jc w:val="center"/>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12.2</w:t>
            </w:r>
          </w:p>
        </w:tc>
        <w:tc>
          <w:tcPr>
            <w:tcW w:w="1557" w:type="dxa"/>
            <w:vAlign w:val="center"/>
          </w:tcPr>
          <w:p w14:paraId="72391F6D">
            <w:pPr>
              <w:jc w:val="center"/>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150</w:t>
            </w:r>
          </w:p>
        </w:tc>
        <w:tc>
          <w:tcPr>
            <w:tcW w:w="1371" w:type="dxa"/>
            <w:vAlign w:val="center"/>
          </w:tcPr>
          <w:p w14:paraId="14777CC8">
            <w:pPr>
              <w:jc w:val="center"/>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3</w:t>
            </w:r>
          </w:p>
        </w:tc>
        <w:tc>
          <w:tcPr>
            <w:tcW w:w="1371" w:type="dxa"/>
            <w:vAlign w:val="center"/>
          </w:tcPr>
          <w:p w14:paraId="46FAB296">
            <w:pPr>
              <w:jc w:val="center"/>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30</w:t>
            </w:r>
          </w:p>
        </w:tc>
        <w:tc>
          <w:tcPr>
            <w:tcW w:w="1716" w:type="dxa"/>
            <w:vAlign w:val="center"/>
          </w:tcPr>
          <w:p w14:paraId="1AA20B99">
            <w:pPr>
              <w:jc w:val="center"/>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12</w:t>
            </w:r>
          </w:p>
        </w:tc>
      </w:tr>
      <w:tr w14:paraId="63EA20F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241" w:type="dxa"/>
            <w:vAlign w:val="center"/>
          </w:tcPr>
          <w:p w14:paraId="00E43543">
            <w:pPr>
              <w:jc w:val="center"/>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2</w:t>
            </w:r>
          </w:p>
        </w:tc>
        <w:tc>
          <w:tcPr>
            <w:tcW w:w="1679" w:type="dxa"/>
            <w:vAlign w:val="center"/>
          </w:tcPr>
          <w:p w14:paraId="4DDC0F26">
            <w:pPr>
              <w:jc w:val="center"/>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8.1</w:t>
            </w:r>
          </w:p>
        </w:tc>
        <w:tc>
          <w:tcPr>
            <w:tcW w:w="1557" w:type="dxa"/>
            <w:vAlign w:val="center"/>
          </w:tcPr>
          <w:p w14:paraId="0E3E0D69">
            <w:pPr>
              <w:jc w:val="center"/>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150</w:t>
            </w:r>
          </w:p>
        </w:tc>
        <w:tc>
          <w:tcPr>
            <w:tcW w:w="1371" w:type="dxa"/>
            <w:vAlign w:val="center"/>
          </w:tcPr>
          <w:p w14:paraId="7D952399">
            <w:pPr>
              <w:jc w:val="center"/>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2</w:t>
            </w:r>
          </w:p>
        </w:tc>
        <w:tc>
          <w:tcPr>
            <w:tcW w:w="1371" w:type="dxa"/>
            <w:vAlign w:val="center"/>
          </w:tcPr>
          <w:p w14:paraId="5D839619">
            <w:pPr>
              <w:jc w:val="center"/>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30</w:t>
            </w:r>
          </w:p>
        </w:tc>
        <w:tc>
          <w:tcPr>
            <w:tcW w:w="1716" w:type="dxa"/>
            <w:vAlign w:val="center"/>
          </w:tcPr>
          <w:p w14:paraId="1C221E1E">
            <w:pPr>
              <w:jc w:val="center"/>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12</w:t>
            </w:r>
          </w:p>
        </w:tc>
      </w:tr>
      <w:tr w14:paraId="11B47B7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241" w:type="dxa"/>
            <w:vAlign w:val="center"/>
          </w:tcPr>
          <w:p w14:paraId="28007DAD">
            <w:pPr>
              <w:jc w:val="center"/>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3</w:t>
            </w:r>
          </w:p>
        </w:tc>
        <w:tc>
          <w:tcPr>
            <w:tcW w:w="1679" w:type="dxa"/>
            <w:vAlign w:val="center"/>
          </w:tcPr>
          <w:p w14:paraId="35E221AD">
            <w:pPr>
              <w:jc w:val="center"/>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8.1</w:t>
            </w:r>
          </w:p>
        </w:tc>
        <w:tc>
          <w:tcPr>
            <w:tcW w:w="1557" w:type="dxa"/>
            <w:vAlign w:val="center"/>
          </w:tcPr>
          <w:p w14:paraId="3F32BCCB">
            <w:pPr>
              <w:jc w:val="center"/>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150</w:t>
            </w:r>
          </w:p>
        </w:tc>
        <w:tc>
          <w:tcPr>
            <w:tcW w:w="1371" w:type="dxa"/>
            <w:vAlign w:val="center"/>
          </w:tcPr>
          <w:p w14:paraId="18819483">
            <w:pPr>
              <w:jc w:val="center"/>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2</w:t>
            </w:r>
          </w:p>
        </w:tc>
        <w:tc>
          <w:tcPr>
            <w:tcW w:w="1371" w:type="dxa"/>
            <w:vAlign w:val="center"/>
          </w:tcPr>
          <w:p w14:paraId="3E2B141F">
            <w:pPr>
              <w:jc w:val="center"/>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30</w:t>
            </w:r>
          </w:p>
        </w:tc>
        <w:tc>
          <w:tcPr>
            <w:tcW w:w="1716" w:type="dxa"/>
            <w:vAlign w:val="center"/>
          </w:tcPr>
          <w:p w14:paraId="15AFBB63">
            <w:pPr>
              <w:jc w:val="center"/>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12</w:t>
            </w:r>
          </w:p>
        </w:tc>
      </w:tr>
    </w:tbl>
    <w:p w14:paraId="53F0538C">
      <w:pPr>
        <w:pStyle w:val="117"/>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（7）产品方案</w:t>
      </w:r>
    </w:p>
    <w:p w14:paraId="45C21639">
      <w:pPr>
        <w:pStyle w:val="117"/>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产品主要为原油，产生量为</w:t>
      </w:r>
      <w:r>
        <w:rPr>
          <w:rFonts w:hint="eastAsia"/>
          <w:color w:val="000000" w:themeColor="text1"/>
          <w:kern w:val="0"/>
          <w14:textFill>
            <w14:solidFill>
              <w14:schemeClr w14:val="tx1"/>
            </w14:solidFill>
          </w14:textFill>
        </w:rPr>
        <w:t>2.68×10</w:t>
      </w:r>
      <w:r>
        <w:rPr>
          <w:rFonts w:hint="eastAsia"/>
          <w:color w:val="000000" w:themeColor="text1"/>
          <w:kern w:val="0"/>
          <w:vertAlign w:val="superscript"/>
          <w14:textFill>
            <w14:solidFill>
              <w14:schemeClr w14:val="tx1"/>
            </w14:solidFill>
          </w14:textFill>
        </w:rPr>
        <w:t>4</w:t>
      </w:r>
      <w:r>
        <w:rPr>
          <w:rFonts w:hint="eastAsia"/>
          <w:color w:val="000000" w:themeColor="text1"/>
          <w:kern w:val="0"/>
          <w14:textFill>
            <w14:solidFill>
              <w14:schemeClr w14:val="tx1"/>
            </w14:solidFill>
          </w14:textFill>
        </w:rPr>
        <w:t>t/a</w:t>
      </w:r>
      <w:r>
        <w:rPr>
          <w:rFonts w:hint="eastAsia"/>
          <w:color w:val="000000" w:themeColor="text1"/>
          <w14:textFill>
            <w14:solidFill>
              <w14:schemeClr w14:val="tx1"/>
            </w14:solidFill>
          </w14:textFill>
        </w:rPr>
        <w:t>，原油最终管输至页岩油联合站原油处理系统处理。</w:t>
      </w:r>
    </w:p>
    <w:bookmarkEnd w:id="241"/>
    <w:p w14:paraId="41DB65EB">
      <w:pPr>
        <w:pStyle w:val="117"/>
        <w:adjustRightInd w:val="0"/>
        <w:snapToGrid w:val="0"/>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（8）建设周期</w:t>
      </w:r>
    </w:p>
    <w:p w14:paraId="18E1C0B7">
      <w:pPr>
        <w:pStyle w:val="117"/>
        <w:adjustRightInd w:val="0"/>
        <w:snapToGrid w:val="0"/>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地面工程建设周期为24个月，施工人数</w:t>
      </w:r>
      <w:r>
        <w:rPr>
          <w:color w:val="000000" w:themeColor="text1"/>
          <w14:textFill>
            <w14:solidFill>
              <w14:schemeClr w14:val="tx1"/>
            </w14:solidFill>
          </w14:textFill>
        </w:rPr>
        <w:t>30</w:t>
      </w:r>
      <w:r>
        <w:rPr>
          <w:rFonts w:hint="eastAsia"/>
          <w:color w:val="000000" w:themeColor="text1"/>
          <w14:textFill>
            <w14:solidFill>
              <w14:schemeClr w14:val="tx1"/>
            </w14:solidFill>
          </w14:textFill>
        </w:rPr>
        <w:t>人，施工现场不设施工营地，施工人员食宿在红旗农场。</w:t>
      </w:r>
    </w:p>
    <w:p w14:paraId="27AAE5E1">
      <w:pPr>
        <w:pStyle w:val="117"/>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（9）劳动定员和工作制度</w:t>
      </w:r>
    </w:p>
    <w:p w14:paraId="6241A175">
      <w:pPr>
        <w:pStyle w:val="117"/>
        <w:ind w:firstLine="480"/>
        <w:rPr>
          <w:rFonts w:hint="eastAsia"/>
          <w:color w:val="000000" w:themeColor="text1"/>
          <w14:textFill>
            <w14:solidFill>
              <w14:schemeClr w14:val="tx1"/>
            </w14:solidFill>
          </w14:textFill>
        </w:rPr>
      </w:pPr>
      <w:bookmarkStart w:id="250" w:name="OLE_LINK60"/>
      <w:r>
        <w:rPr>
          <w:rFonts w:hint="eastAsia"/>
          <w:color w:val="000000" w:themeColor="text1"/>
          <w14:textFill>
            <w14:solidFill>
              <w14:schemeClr w14:val="tx1"/>
            </w14:solidFill>
          </w14:textFill>
        </w:rPr>
        <w:t>预处理注入站设工作人员10名，每座井场设工作人员10名，年运行时间300天（7200h）。</w:t>
      </w:r>
    </w:p>
    <w:bookmarkEnd w:id="250"/>
    <w:p w14:paraId="0ADBF29A">
      <w:pPr>
        <w:pStyle w:val="117"/>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（10）工程投资</w:t>
      </w:r>
    </w:p>
    <w:p w14:paraId="32F6C368">
      <w:pPr>
        <w:pStyle w:val="117"/>
        <w:ind w:firstLine="480"/>
        <w:rPr>
          <w:rFonts w:hint="eastAsia"/>
          <w:color w:val="000000" w:themeColor="text1"/>
          <w14:textFill>
            <w14:solidFill>
              <w14:schemeClr w14:val="tx1"/>
            </w14:solidFill>
          </w14:textFill>
        </w:rPr>
      </w:pPr>
      <w:bookmarkStart w:id="251" w:name="OLE_LINK61"/>
      <w:bookmarkStart w:id="252" w:name="_Hlk148004996"/>
      <w:r>
        <w:rPr>
          <w:rFonts w:hint="eastAsia"/>
          <w:color w:val="000000" w:themeColor="text1"/>
          <w14:textFill>
            <w14:solidFill>
              <w14:schemeClr w14:val="tx1"/>
            </w14:solidFill>
          </w14:textFill>
        </w:rPr>
        <w:t>项目总投资5908.52万元，</w:t>
      </w:r>
      <w:r>
        <w:rPr>
          <w:color w:val="000000" w:themeColor="text1"/>
          <w14:textFill>
            <w14:solidFill>
              <w14:schemeClr w14:val="tx1"/>
            </w14:solidFill>
          </w14:textFill>
        </w:rPr>
        <w:t>环保投资约</w:t>
      </w:r>
      <w:r>
        <w:rPr>
          <w:rFonts w:hint="eastAsia"/>
          <w:color w:val="000000" w:themeColor="text1"/>
          <w14:textFill>
            <w14:solidFill>
              <w14:schemeClr w14:val="tx1"/>
            </w14:solidFill>
          </w14:textFill>
        </w:rPr>
        <w:t>281万</w:t>
      </w:r>
      <w:r>
        <w:rPr>
          <w:color w:val="000000" w:themeColor="text1"/>
          <w14:textFill>
            <w14:solidFill>
              <w14:schemeClr w14:val="tx1"/>
            </w14:solidFill>
          </w14:textFill>
        </w:rPr>
        <w:t>元，占总投资的</w:t>
      </w:r>
      <w:r>
        <w:rPr>
          <w:rFonts w:hint="eastAsia"/>
          <w:color w:val="000000" w:themeColor="text1"/>
          <w14:textFill>
            <w14:solidFill>
              <w14:schemeClr w14:val="tx1"/>
            </w14:solidFill>
          </w14:textFill>
        </w:rPr>
        <w:t>4.76</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w:t>
      </w:r>
    </w:p>
    <w:p w14:paraId="3FB32EDE">
      <w:pPr>
        <w:pStyle w:val="117"/>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（11）原辅材料消耗</w:t>
      </w:r>
    </w:p>
    <w:p w14:paraId="5819DC6E">
      <w:pPr>
        <w:pStyle w:val="117"/>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施工期和运营期原辅材料消耗情况见表3.2-3。</w:t>
      </w:r>
    </w:p>
    <w:p w14:paraId="732A435F">
      <w:pPr>
        <w:pStyle w:val="191"/>
        <w:ind w:firstLine="0" w:firstLineChars="0"/>
        <w:jc w:val="center"/>
        <w:rPr>
          <w:rFonts w:hint="eastAsia"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表3.2-3  原辅材料消耗情况一览表</w:t>
      </w:r>
    </w:p>
    <w:tbl>
      <w:tblPr>
        <w:tblStyle w:val="51"/>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1" w:type="dxa"/>
          <w:bottom w:w="0" w:type="dxa"/>
          <w:right w:w="11" w:type="dxa"/>
        </w:tblCellMar>
      </w:tblPr>
      <w:tblGrid>
        <w:gridCol w:w="568"/>
        <w:gridCol w:w="3410"/>
        <w:gridCol w:w="2134"/>
        <w:gridCol w:w="2640"/>
      </w:tblGrid>
      <w:tr w14:paraId="3DD3390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1" w:type="dxa"/>
            <w:bottom w:w="0" w:type="dxa"/>
            <w:right w:w="11" w:type="dxa"/>
          </w:tblCellMar>
        </w:tblPrEx>
        <w:trPr>
          <w:cantSplit/>
          <w:trHeight w:val="340" w:hRule="atLeast"/>
          <w:jc w:val="center"/>
        </w:trPr>
        <w:tc>
          <w:tcPr>
            <w:tcW w:w="325" w:type="pct"/>
            <w:tcBorders>
              <w:right w:val="single" w:color="auto" w:sz="4" w:space="0"/>
            </w:tcBorders>
            <w:vAlign w:val="center"/>
          </w:tcPr>
          <w:p w14:paraId="3767846E">
            <w:pPr>
              <w:pStyle w:val="286"/>
              <w:adjustRightInd w:val="0"/>
              <w:snapToGrid w:val="0"/>
              <w:rPr>
                <w:rFonts w:hint="eastAsia"/>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阶段</w:t>
            </w:r>
          </w:p>
        </w:tc>
        <w:tc>
          <w:tcPr>
            <w:tcW w:w="1948" w:type="pct"/>
            <w:tcBorders>
              <w:right w:val="single" w:color="auto" w:sz="4" w:space="0"/>
            </w:tcBorders>
            <w:vAlign w:val="center"/>
          </w:tcPr>
          <w:p w14:paraId="19503F9D">
            <w:pPr>
              <w:pStyle w:val="286"/>
              <w:adjustRightInd w:val="0"/>
              <w:snapToGrid w:val="0"/>
              <w:rPr>
                <w:rFonts w:hint="eastAsia"/>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名称</w:t>
            </w:r>
          </w:p>
        </w:tc>
        <w:tc>
          <w:tcPr>
            <w:tcW w:w="1219" w:type="pct"/>
            <w:tcBorders>
              <w:left w:val="single" w:color="auto" w:sz="4" w:space="0"/>
            </w:tcBorders>
            <w:vAlign w:val="center"/>
          </w:tcPr>
          <w:p w14:paraId="36A520BC">
            <w:pPr>
              <w:pStyle w:val="286"/>
              <w:adjustRightInd w:val="0"/>
              <w:snapToGrid w:val="0"/>
              <w:rPr>
                <w:rFonts w:hint="eastAsia"/>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消耗量</w:t>
            </w:r>
          </w:p>
        </w:tc>
        <w:tc>
          <w:tcPr>
            <w:tcW w:w="1508" w:type="pct"/>
            <w:vAlign w:val="center"/>
          </w:tcPr>
          <w:p w14:paraId="77E596B3">
            <w:pPr>
              <w:pStyle w:val="286"/>
              <w:adjustRightInd w:val="0"/>
              <w:snapToGrid w:val="0"/>
              <w:rPr>
                <w:rFonts w:hint="eastAsia"/>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来源</w:t>
            </w:r>
          </w:p>
        </w:tc>
      </w:tr>
      <w:tr w14:paraId="7E45FCA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1" w:type="dxa"/>
            <w:bottom w:w="0" w:type="dxa"/>
            <w:right w:w="11" w:type="dxa"/>
          </w:tblCellMar>
        </w:tblPrEx>
        <w:trPr>
          <w:cantSplit/>
          <w:trHeight w:val="340" w:hRule="atLeast"/>
          <w:jc w:val="center"/>
        </w:trPr>
        <w:tc>
          <w:tcPr>
            <w:tcW w:w="325" w:type="pct"/>
            <w:vMerge w:val="restart"/>
            <w:tcBorders>
              <w:right w:val="single" w:color="auto" w:sz="4" w:space="0"/>
            </w:tcBorders>
            <w:vAlign w:val="center"/>
          </w:tcPr>
          <w:p w14:paraId="6B3F9FE0">
            <w:pPr>
              <w:pStyle w:val="286"/>
              <w:adjustRightInd w:val="0"/>
              <w:snapToGrid w:val="0"/>
              <w:rPr>
                <w:rFonts w:hint="eastAsia"/>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施工期</w:t>
            </w:r>
          </w:p>
        </w:tc>
        <w:tc>
          <w:tcPr>
            <w:tcW w:w="1948" w:type="pct"/>
            <w:tcBorders>
              <w:right w:val="single" w:color="auto" w:sz="4" w:space="0"/>
            </w:tcBorders>
            <w:vAlign w:val="center"/>
          </w:tcPr>
          <w:p w14:paraId="02E54885">
            <w:pPr>
              <w:pStyle w:val="286"/>
              <w:adjustRightInd w:val="0"/>
              <w:snapToGrid w:val="0"/>
              <w:rPr>
                <w:rFonts w:hint="eastAsia"/>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水基环空保护液</w:t>
            </w:r>
          </w:p>
        </w:tc>
        <w:tc>
          <w:tcPr>
            <w:tcW w:w="1219" w:type="pct"/>
            <w:tcBorders>
              <w:left w:val="single" w:color="auto" w:sz="4" w:space="0"/>
            </w:tcBorders>
            <w:vAlign w:val="center"/>
          </w:tcPr>
          <w:p w14:paraId="311BB869">
            <w:pPr>
              <w:pStyle w:val="286"/>
              <w:adjustRightInd w:val="0"/>
              <w:snapToGrid w:val="0"/>
              <w:rPr>
                <w:rFonts w:hint="eastAsia"/>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500t</w:t>
            </w:r>
          </w:p>
        </w:tc>
        <w:tc>
          <w:tcPr>
            <w:tcW w:w="1508" w:type="pct"/>
            <w:vAlign w:val="center"/>
          </w:tcPr>
          <w:p w14:paraId="0F7E606D">
            <w:pPr>
              <w:pStyle w:val="286"/>
              <w:adjustRightInd w:val="0"/>
              <w:snapToGrid w:val="0"/>
              <w:rPr>
                <w:rFonts w:hint="eastAsia"/>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外购，汽车拉运</w:t>
            </w:r>
          </w:p>
        </w:tc>
      </w:tr>
      <w:tr w14:paraId="2CB7366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1" w:type="dxa"/>
            <w:bottom w:w="0" w:type="dxa"/>
            <w:right w:w="11" w:type="dxa"/>
          </w:tblCellMar>
        </w:tblPrEx>
        <w:trPr>
          <w:cantSplit/>
          <w:trHeight w:val="340" w:hRule="atLeast"/>
          <w:jc w:val="center"/>
        </w:trPr>
        <w:tc>
          <w:tcPr>
            <w:tcW w:w="325" w:type="pct"/>
            <w:vMerge w:val="continue"/>
            <w:tcBorders>
              <w:right w:val="single" w:color="auto" w:sz="4" w:space="0"/>
            </w:tcBorders>
            <w:vAlign w:val="center"/>
          </w:tcPr>
          <w:p w14:paraId="5DF98DD2">
            <w:pPr>
              <w:pStyle w:val="286"/>
              <w:adjustRightInd w:val="0"/>
              <w:snapToGrid w:val="0"/>
              <w:rPr>
                <w:rFonts w:hint="eastAsia"/>
                <w:color w:val="000000" w:themeColor="text1"/>
                <w:sz w:val="21"/>
                <w14:textFill>
                  <w14:solidFill>
                    <w14:schemeClr w14:val="tx1"/>
                  </w14:solidFill>
                </w14:textFill>
              </w:rPr>
            </w:pPr>
          </w:p>
        </w:tc>
        <w:tc>
          <w:tcPr>
            <w:tcW w:w="1948" w:type="pct"/>
            <w:tcBorders>
              <w:right w:val="single" w:color="auto" w:sz="4" w:space="0"/>
            </w:tcBorders>
            <w:vAlign w:val="center"/>
          </w:tcPr>
          <w:p w14:paraId="49C28954">
            <w:pPr>
              <w:pStyle w:val="286"/>
              <w:adjustRightInd w:val="0"/>
              <w:snapToGrid w:val="0"/>
              <w:rPr>
                <w:rFonts w:hint="eastAsia"/>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防膨液</w:t>
            </w:r>
          </w:p>
        </w:tc>
        <w:tc>
          <w:tcPr>
            <w:tcW w:w="1219" w:type="pct"/>
            <w:tcBorders>
              <w:left w:val="single" w:color="auto" w:sz="4" w:space="0"/>
            </w:tcBorders>
            <w:vAlign w:val="center"/>
          </w:tcPr>
          <w:p w14:paraId="471B45C4">
            <w:pPr>
              <w:pStyle w:val="286"/>
              <w:adjustRightInd w:val="0"/>
              <w:snapToGrid w:val="0"/>
              <w:rPr>
                <w:rFonts w:hint="eastAsia"/>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200t</w:t>
            </w:r>
          </w:p>
        </w:tc>
        <w:tc>
          <w:tcPr>
            <w:tcW w:w="1508" w:type="pct"/>
            <w:vAlign w:val="center"/>
          </w:tcPr>
          <w:p w14:paraId="7C503968">
            <w:pPr>
              <w:pStyle w:val="286"/>
              <w:adjustRightInd w:val="0"/>
              <w:snapToGrid w:val="0"/>
              <w:rPr>
                <w:rFonts w:hint="eastAsia"/>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外购，汽车拉运</w:t>
            </w:r>
          </w:p>
        </w:tc>
      </w:tr>
      <w:tr w14:paraId="0B8B910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1" w:type="dxa"/>
            <w:bottom w:w="0" w:type="dxa"/>
            <w:right w:w="11" w:type="dxa"/>
          </w:tblCellMar>
        </w:tblPrEx>
        <w:trPr>
          <w:cantSplit/>
          <w:trHeight w:val="340" w:hRule="atLeast"/>
          <w:jc w:val="center"/>
        </w:trPr>
        <w:tc>
          <w:tcPr>
            <w:tcW w:w="325" w:type="pct"/>
            <w:vMerge w:val="restart"/>
            <w:tcBorders>
              <w:right w:val="single" w:color="auto" w:sz="4" w:space="0"/>
            </w:tcBorders>
            <w:vAlign w:val="center"/>
          </w:tcPr>
          <w:p w14:paraId="0BADFAC9">
            <w:pPr>
              <w:pStyle w:val="286"/>
              <w:adjustRightInd w:val="0"/>
              <w:snapToGrid w:val="0"/>
              <w:rPr>
                <w:rFonts w:hint="eastAsia"/>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运营期</w:t>
            </w:r>
          </w:p>
        </w:tc>
        <w:tc>
          <w:tcPr>
            <w:tcW w:w="1948" w:type="pct"/>
            <w:tcBorders>
              <w:right w:val="single" w:color="auto" w:sz="4" w:space="0"/>
            </w:tcBorders>
            <w:vAlign w:val="center"/>
          </w:tcPr>
          <w:p w14:paraId="2C7AB8CD">
            <w:pPr>
              <w:pStyle w:val="286"/>
              <w:adjustRightInd w:val="0"/>
              <w:snapToGrid w:val="0"/>
              <w:rPr>
                <w:rFonts w:hint="eastAsia"/>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采出液</w:t>
            </w:r>
          </w:p>
        </w:tc>
        <w:tc>
          <w:tcPr>
            <w:tcW w:w="1219" w:type="pct"/>
            <w:tcBorders>
              <w:left w:val="single" w:color="auto" w:sz="4" w:space="0"/>
            </w:tcBorders>
            <w:vAlign w:val="center"/>
          </w:tcPr>
          <w:p w14:paraId="7B106AC2">
            <w:pPr>
              <w:pStyle w:val="286"/>
              <w:adjustRightInd w:val="0"/>
              <w:snapToGrid w:val="0"/>
              <w:rPr>
                <w:rFonts w:hint="eastAsia"/>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6.70×10</w:t>
            </w:r>
            <w:r>
              <w:rPr>
                <w:rFonts w:hint="eastAsia"/>
                <w:color w:val="000000" w:themeColor="text1"/>
                <w:sz w:val="21"/>
                <w:vertAlign w:val="superscript"/>
                <w14:textFill>
                  <w14:solidFill>
                    <w14:schemeClr w14:val="tx1"/>
                  </w14:solidFill>
                </w14:textFill>
              </w:rPr>
              <w:t>4</w:t>
            </w:r>
            <w:r>
              <w:rPr>
                <w:rFonts w:hint="eastAsia"/>
                <w:color w:val="000000" w:themeColor="text1"/>
                <w:sz w:val="21"/>
                <w14:textFill>
                  <w14:solidFill>
                    <w14:schemeClr w14:val="tx1"/>
                  </w14:solidFill>
                </w14:textFill>
              </w:rPr>
              <w:t>t/a（最大）</w:t>
            </w:r>
          </w:p>
        </w:tc>
        <w:tc>
          <w:tcPr>
            <w:tcW w:w="1508" w:type="pct"/>
            <w:vAlign w:val="center"/>
          </w:tcPr>
          <w:p w14:paraId="3FDC8FF5">
            <w:pPr>
              <w:pStyle w:val="286"/>
              <w:adjustRightInd w:val="0"/>
              <w:snapToGrid w:val="0"/>
              <w:rPr>
                <w:rFonts w:hint="eastAsia"/>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w:t>
            </w:r>
          </w:p>
        </w:tc>
      </w:tr>
      <w:tr w14:paraId="3D75A38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1" w:type="dxa"/>
            <w:bottom w:w="0" w:type="dxa"/>
            <w:right w:w="11" w:type="dxa"/>
          </w:tblCellMar>
        </w:tblPrEx>
        <w:trPr>
          <w:cantSplit/>
          <w:trHeight w:val="340" w:hRule="atLeast"/>
          <w:jc w:val="center"/>
        </w:trPr>
        <w:tc>
          <w:tcPr>
            <w:tcW w:w="325" w:type="pct"/>
            <w:vMerge w:val="continue"/>
            <w:tcBorders>
              <w:right w:val="single" w:color="auto" w:sz="4" w:space="0"/>
            </w:tcBorders>
            <w:vAlign w:val="center"/>
          </w:tcPr>
          <w:p w14:paraId="0447B062">
            <w:pPr>
              <w:pStyle w:val="286"/>
              <w:adjustRightInd w:val="0"/>
              <w:snapToGrid w:val="0"/>
              <w:rPr>
                <w:rFonts w:hint="eastAsia" w:cs="宋体"/>
                <w:color w:val="000000" w:themeColor="text1"/>
                <w:sz w:val="21"/>
                <w14:textFill>
                  <w14:solidFill>
                    <w14:schemeClr w14:val="tx1"/>
                  </w14:solidFill>
                </w14:textFill>
              </w:rPr>
            </w:pPr>
          </w:p>
        </w:tc>
        <w:tc>
          <w:tcPr>
            <w:tcW w:w="1948" w:type="pct"/>
            <w:tcBorders>
              <w:right w:val="single" w:color="auto" w:sz="4" w:space="0"/>
            </w:tcBorders>
            <w:vAlign w:val="center"/>
          </w:tcPr>
          <w:p w14:paraId="4D465639">
            <w:pPr>
              <w:pStyle w:val="286"/>
              <w:adjustRightInd w:val="0"/>
              <w:snapToGrid w:val="0"/>
              <w:rPr>
                <w:rFonts w:hint="eastAsia" w:cs="宋体"/>
                <w:color w:val="000000" w:themeColor="text1"/>
                <w:sz w:val="21"/>
                <w14:textFill>
                  <w14:solidFill>
                    <w14:schemeClr w14:val="tx1"/>
                  </w14:solidFill>
                </w14:textFill>
              </w:rPr>
            </w:pPr>
            <w:r>
              <w:rPr>
                <w:rFonts w:hint="eastAsia" w:cs="宋体"/>
                <w:color w:val="000000" w:themeColor="text1"/>
                <w:sz w:val="21"/>
                <w14:textFill>
                  <w14:solidFill>
                    <w14:schemeClr w14:val="tx1"/>
                  </w14:solidFill>
                </w14:textFill>
              </w:rPr>
              <w:t>液态CO</w:t>
            </w:r>
            <w:r>
              <w:rPr>
                <w:rFonts w:hint="eastAsia" w:cs="宋体"/>
                <w:color w:val="000000" w:themeColor="text1"/>
                <w:sz w:val="21"/>
                <w:vertAlign w:val="superscript"/>
                <w14:textFill>
                  <w14:solidFill>
                    <w14:schemeClr w14:val="tx1"/>
                  </w14:solidFill>
                </w14:textFill>
              </w:rPr>
              <w:t>2</w:t>
            </w:r>
          </w:p>
        </w:tc>
        <w:tc>
          <w:tcPr>
            <w:tcW w:w="1219" w:type="pct"/>
            <w:vAlign w:val="center"/>
          </w:tcPr>
          <w:p w14:paraId="1E66B282">
            <w:pPr>
              <w:pStyle w:val="286"/>
              <w:adjustRightInd w:val="0"/>
              <w:snapToGrid w:val="0"/>
              <w:rPr>
                <w:rFonts w:hint="eastAsia" w:cs="宋体"/>
                <w:color w:val="000000" w:themeColor="text1"/>
                <w:sz w:val="21"/>
                <w14:textFill>
                  <w14:solidFill>
                    <w14:schemeClr w14:val="tx1"/>
                  </w14:solidFill>
                </w14:textFill>
              </w:rPr>
            </w:pPr>
            <w:r>
              <w:rPr>
                <w:rFonts w:hint="eastAsia" w:cs="宋体"/>
                <w:color w:val="000000" w:themeColor="text1"/>
                <w:sz w:val="21"/>
                <w14:textFill>
                  <w14:solidFill>
                    <w14:schemeClr w14:val="tx1"/>
                  </w14:solidFill>
                </w14:textFill>
              </w:rPr>
              <w:t>28.4</w:t>
            </w:r>
            <w:r>
              <w:rPr>
                <w:rFonts w:hint="eastAsia"/>
                <w:color w:val="000000" w:themeColor="text1"/>
                <w:sz w:val="21"/>
                <w14:textFill>
                  <w14:solidFill>
                    <w14:schemeClr w14:val="tx1"/>
                  </w14:solidFill>
                </w14:textFill>
              </w:rPr>
              <w:t>×10</w:t>
            </w:r>
            <w:r>
              <w:rPr>
                <w:rFonts w:hint="eastAsia"/>
                <w:color w:val="000000" w:themeColor="text1"/>
                <w:sz w:val="21"/>
                <w:vertAlign w:val="superscript"/>
                <w14:textFill>
                  <w14:solidFill>
                    <w14:schemeClr w14:val="tx1"/>
                  </w14:solidFill>
                </w14:textFill>
              </w:rPr>
              <w:t>4</w:t>
            </w:r>
            <w:r>
              <w:rPr>
                <w:rFonts w:hint="eastAsia"/>
                <w:color w:val="000000" w:themeColor="text1"/>
                <w:sz w:val="21"/>
                <w14:textFill>
                  <w14:solidFill>
                    <w14:schemeClr w14:val="tx1"/>
                  </w14:solidFill>
                </w14:textFill>
              </w:rPr>
              <w:t>t（最大）</w:t>
            </w:r>
          </w:p>
        </w:tc>
        <w:tc>
          <w:tcPr>
            <w:tcW w:w="1508" w:type="pct"/>
            <w:vAlign w:val="center"/>
          </w:tcPr>
          <w:p w14:paraId="64DAEAFC">
            <w:pPr>
              <w:pStyle w:val="286"/>
              <w:adjustRightInd w:val="0"/>
              <w:snapToGrid w:val="0"/>
              <w:rPr>
                <w:rFonts w:hint="eastAsia"/>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外购、罐车拉运</w:t>
            </w:r>
          </w:p>
        </w:tc>
      </w:tr>
      <w:tr w14:paraId="2A92776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1" w:type="dxa"/>
            <w:bottom w:w="0" w:type="dxa"/>
            <w:right w:w="11" w:type="dxa"/>
          </w:tblCellMar>
        </w:tblPrEx>
        <w:trPr>
          <w:cantSplit/>
          <w:trHeight w:val="340" w:hRule="atLeast"/>
          <w:jc w:val="center"/>
        </w:trPr>
        <w:tc>
          <w:tcPr>
            <w:tcW w:w="325" w:type="pct"/>
            <w:vMerge w:val="continue"/>
            <w:tcBorders>
              <w:right w:val="single" w:color="auto" w:sz="4" w:space="0"/>
            </w:tcBorders>
            <w:vAlign w:val="center"/>
          </w:tcPr>
          <w:p w14:paraId="650E8386">
            <w:pPr>
              <w:pStyle w:val="286"/>
              <w:adjustRightInd w:val="0"/>
              <w:snapToGrid w:val="0"/>
              <w:rPr>
                <w:rFonts w:hint="eastAsia" w:cs="宋体"/>
                <w:color w:val="000000" w:themeColor="text1"/>
                <w:sz w:val="21"/>
                <w14:textFill>
                  <w14:solidFill>
                    <w14:schemeClr w14:val="tx1"/>
                  </w14:solidFill>
                </w14:textFill>
              </w:rPr>
            </w:pPr>
          </w:p>
        </w:tc>
        <w:tc>
          <w:tcPr>
            <w:tcW w:w="1948" w:type="pct"/>
            <w:tcBorders>
              <w:right w:val="single" w:color="auto" w:sz="4" w:space="0"/>
            </w:tcBorders>
            <w:vAlign w:val="center"/>
          </w:tcPr>
          <w:p w14:paraId="78D88896">
            <w:pPr>
              <w:pStyle w:val="286"/>
              <w:adjustRightInd w:val="0"/>
              <w:snapToGrid w:val="0"/>
              <w:rPr>
                <w:rFonts w:hint="eastAsia" w:cs="宋体"/>
                <w:color w:val="000000" w:themeColor="text1"/>
                <w:sz w:val="21"/>
                <w14:textFill>
                  <w14:solidFill>
                    <w14:schemeClr w14:val="tx1"/>
                  </w14:solidFill>
                </w14:textFill>
              </w:rPr>
            </w:pPr>
            <w:r>
              <w:rPr>
                <w:rFonts w:hint="eastAsia" w:cs="宋体"/>
                <w:color w:val="000000" w:themeColor="text1"/>
                <w:sz w:val="21"/>
                <w14:textFill>
                  <w14:solidFill>
                    <w14:schemeClr w14:val="tx1"/>
                  </w14:solidFill>
                </w14:textFill>
              </w:rPr>
              <w:t>回注水</w:t>
            </w:r>
          </w:p>
        </w:tc>
        <w:tc>
          <w:tcPr>
            <w:tcW w:w="1219" w:type="pct"/>
            <w:vAlign w:val="center"/>
          </w:tcPr>
          <w:p w14:paraId="25FCEBB0">
            <w:pPr>
              <w:pStyle w:val="286"/>
              <w:adjustRightInd w:val="0"/>
              <w:snapToGrid w:val="0"/>
              <w:rPr>
                <w:rFonts w:hint="eastAsia" w:cs="宋体"/>
                <w:color w:val="000000" w:themeColor="text1"/>
                <w:sz w:val="21"/>
                <w14:textFill>
                  <w14:solidFill>
                    <w14:schemeClr w14:val="tx1"/>
                  </w14:solidFill>
                </w14:textFill>
              </w:rPr>
            </w:pPr>
            <w:r>
              <w:rPr>
                <w:rFonts w:hint="eastAsia" w:cs="宋体"/>
                <w:color w:val="000000" w:themeColor="text1"/>
                <w:sz w:val="21"/>
                <w14:textFill>
                  <w14:solidFill>
                    <w14:schemeClr w14:val="tx1"/>
                  </w14:solidFill>
                </w14:textFill>
              </w:rPr>
              <w:t>48300m</w:t>
            </w:r>
            <w:r>
              <w:rPr>
                <w:rFonts w:hint="eastAsia" w:cs="宋体"/>
                <w:color w:val="000000" w:themeColor="text1"/>
                <w:sz w:val="21"/>
                <w:vertAlign w:val="superscript"/>
                <w14:textFill>
                  <w14:solidFill>
                    <w14:schemeClr w14:val="tx1"/>
                  </w14:solidFill>
                </w14:textFill>
              </w:rPr>
              <w:t>3</w:t>
            </w:r>
          </w:p>
        </w:tc>
        <w:tc>
          <w:tcPr>
            <w:tcW w:w="1508" w:type="pct"/>
            <w:vAlign w:val="center"/>
          </w:tcPr>
          <w:p w14:paraId="72EA88E4">
            <w:pPr>
              <w:pStyle w:val="286"/>
              <w:adjustRightInd w:val="0"/>
              <w:snapToGrid w:val="0"/>
              <w:rPr>
                <w:rFonts w:hint="eastAsia"/>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压裂返排液处理装置处理达标后的净化水，由罐车拉运</w:t>
            </w:r>
          </w:p>
        </w:tc>
      </w:tr>
      <w:tr w14:paraId="145331A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1" w:type="dxa"/>
            <w:bottom w:w="0" w:type="dxa"/>
            <w:right w:w="11" w:type="dxa"/>
          </w:tblCellMar>
        </w:tblPrEx>
        <w:trPr>
          <w:cantSplit/>
          <w:trHeight w:val="340" w:hRule="atLeast"/>
          <w:jc w:val="center"/>
        </w:trPr>
        <w:tc>
          <w:tcPr>
            <w:tcW w:w="325" w:type="pct"/>
            <w:vMerge w:val="continue"/>
            <w:tcBorders>
              <w:right w:val="single" w:color="auto" w:sz="4" w:space="0"/>
            </w:tcBorders>
            <w:vAlign w:val="center"/>
          </w:tcPr>
          <w:p w14:paraId="4FFABB73">
            <w:pPr>
              <w:pStyle w:val="286"/>
              <w:adjustRightInd w:val="0"/>
              <w:snapToGrid w:val="0"/>
              <w:rPr>
                <w:rFonts w:hint="eastAsia" w:cs="宋体"/>
                <w:color w:val="000000" w:themeColor="text1"/>
                <w:sz w:val="21"/>
                <w14:textFill>
                  <w14:solidFill>
                    <w14:schemeClr w14:val="tx1"/>
                  </w14:solidFill>
                </w14:textFill>
              </w:rPr>
            </w:pPr>
          </w:p>
        </w:tc>
        <w:tc>
          <w:tcPr>
            <w:tcW w:w="1948" w:type="pct"/>
            <w:tcBorders>
              <w:right w:val="single" w:color="auto" w:sz="4" w:space="0"/>
            </w:tcBorders>
            <w:vAlign w:val="center"/>
          </w:tcPr>
          <w:p w14:paraId="60F6043D">
            <w:pPr>
              <w:pStyle w:val="286"/>
              <w:adjustRightInd w:val="0"/>
              <w:snapToGrid w:val="0"/>
              <w:rPr>
                <w:rFonts w:hint="eastAsia" w:cs="宋体"/>
                <w:color w:val="000000" w:themeColor="text1"/>
                <w:sz w:val="21"/>
                <w14:textFill>
                  <w14:solidFill>
                    <w14:schemeClr w14:val="tx1"/>
                  </w14:solidFill>
                </w14:textFill>
              </w:rPr>
            </w:pPr>
            <w:r>
              <w:rPr>
                <w:rFonts w:hint="eastAsia" w:cs="宋体"/>
                <w:color w:val="000000" w:themeColor="text1"/>
                <w:sz w:val="21"/>
                <w14:textFill>
                  <w14:solidFill>
                    <w14:schemeClr w14:val="tx1"/>
                  </w14:solidFill>
                </w14:textFill>
              </w:rPr>
              <w:t>除硫剂</w:t>
            </w:r>
          </w:p>
        </w:tc>
        <w:tc>
          <w:tcPr>
            <w:tcW w:w="1219" w:type="pct"/>
            <w:vAlign w:val="center"/>
          </w:tcPr>
          <w:p w14:paraId="590D93B7">
            <w:pPr>
              <w:pStyle w:val="286"/>
              <w:adjustRightInd w:val="0"/>
              <w:snapToGrid w:val="0"/>
              <w:rPr>
                <w:rFonts w:hint="eastAsia" w:cs="宋体"/>
                <w:color w:val="000000" w:themeColor="text1"/>
                <w:sz w:val="21"/>
                <w14:textFill>
                  <w14:solidFill>
                    <w14:schemeClr w14:val="tx1"/>
                  </w14:solidFill>
                </w14:textFill>
              </w:rPr>
            </w:pPr>
            <w:r>
              <w:rPr>
                <w:rFonts w:hint="eastAsia" w:cs="宋体"/>
                <w:color w:val="000000" w:themeColor="text1"/>
                <w14:textFill>
                  <w14:solidFill>
                    <w14:schemeClr w14:val="tx1"/>
                  </w14:solidFill>
                </w14:textFill>
              </w:rPr>
              <w:t>6750m</w:t>
            </w:r>
            <w:r>
              <w:rPr>
                <w:rFonts w:hint="eastAsia" w:cs="宋体"/>
                <w:color w:val="000000" w:themeColor="text1"/>
                <w:vertAlign w:val="superscript"/>
                <w14:textFill>
                  <w14:solidFill>
                    <w14:schemeClr w14:val="tx1"/>
                  </w14:solidFill>
                </w14:textFill>
              </w:rPr>
              <w:t>3</w:t>
            </w:r>
            <w:r>
              <w:rPr>
                <w:rFonts w:hint="eastAsia" w:cs="宋体"/>
                <w:color w:val="000000" w:themeColor="text1"/>
                <w14:textFill>
                  <w14:solidFill>
                    <w14:schemeClr w14:val="tx1"/>
                  </w14:solidFill>
                </w14:textFill>
              </w:rPr>
              <w:t>/a</w:t>
            </w:r>
          </w:p>
        </w:tc>
        <w:tc>
          <w:tcPr>
            <w:tcW w:w="1508" w:type="pct"/>
            <w:vAlign w:val="center"/>
          </w:tcPr>
          <w:p w14:paraId="78E8C179">
            <w:pPr>
              <w:pStyle w:val="286"/>
              <w:adjustRightInd w:val="0"/>
              <w:snapToGrid w:val="0"/>
              <w:rPr>
                <w:rFonts w:hint="eastAsia"/>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外购，汽车拉运</w:t>
            </w:r>
          </w:p>
        </w:tc>
      </w:tr>
      <w:tr w14:paraId="4667562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1" w:type="dxa"/>
            <w:bottom w:w="0" w:type="dxa"/>
            <w:right w:w="11" w:type="dxa"/>
          </w:tblCellMar>
        </w:tblPrEx>
        <w:trPr>
          <w:cantSplit/>
          <w:trHeight w:val="340" w:hRule="atLeast"/>
          <w:jc w:val="center"/>
        </w:trPr>
        <w:tc>
          <w:tcPr>
            <w:tcW w:w="325" w:type="pct"/>
            <w:vMerge w:val="continue"/>
            <w:tcBorders>
              <w:right w:val="single" w:color="auto" w:sz="4" w:space="0"/>
            </w:tcBorders>
            <w:vAlign w:val="center"/>
          </w:tcPr>
          <w:p w14:paraId="56A570EB">
            <w:pPr>
              <w:pStyle w:val="286"/>
              <w:adjustRightInd w:val="0"/>
              <w:snapToGrid w:val="0"/>
              <w:rPr>
                <w:rFonts w:hint="eastAsia" w:cs="宋体"/>
                <w:color w:val="000000" w:themeColor="text1"/>
                <w:sz w:val="21"/>
                <w14:textFill>
                  <w14:solidFill>
                    <w14:schemeClr w14:val="tx1"/>
                  </w14:solidFill>
                </w14:textFill>
              </w:rPr>
            </w:pPr>
          </w:p>
        </w:tc>
        <w:tc>
          <w:tcPr>
            <w:tcW w:w="1948" w:type="pct"/>
            <w:tcBorders>
              <w:right w:val="single" w:color="auto" w:sz="4" w:space="0"/>
            </w:tcBorders>
            <w:vAlign w:val="center"/>
          </w:tcPr>
          <w:p w14:paraId="23E9D49E">
            <w:pPr>
              <w:pStyle w:val="286"/>
              <w:adjustRightInd w:val="0"/>
              <w:snapToGrid w:val="0"/>
              <w:rPr>
                <w:rFonts w:hint="eastAsia" w:cs="宋体"/>
                <w:color w:val="000000" w:themeColor="text1"/>
                <w:sz w:val="21"/>
                <w14:textFill>
                  <w14:solidFill>
                    <w14:schemeClr w14:val="tx1"/>
                  </w14:solidFill>
                </w14:textFill>
              </w:rPr>
            </w:pPr>
            <w:r>
              <w:rPr>
                <w:rFonts w:hint="eastAsia" w:cs="宋体"/>
                <w:color w:val="000000" w:themeColor="text1"/>
                <w:sz w:val="21"/>
                <w14:textFill>
                  <w14:solidFill>
                    <w14:schemeClr w14:val="tx1"/>
                  </w14:solidFill>
                </w14:textFill>
              </w:rPr>
              <w:t>封堵剂</w:t>
            </w:r>
          </w:p>
        </w:tc>
        <w:tc>
          <w:tcPr>
            <w:tcW w:w="1219" w:type="pct"/>
            <w:vAlign w:val="center"/>
          </w:tcPr>
          <w:p w14:paraId="5C8E84CB">
            <w:pPr>
              <w:pStyle w:val="286"/>
              <w:adjustRightInd w:val="0"/>
              <w:snapToGrid w:val="0"/>
              <w:rPr>
                <w:rFonts w:hint="eastAsia" w:cs="宋体"/>
                <w:color w:val="000000" w:themeColor="text1"/>
                <w:sz w:val="21"/>
                <w14:textFill>
                  <w14:solidFill>
                    <w14:schemeClr w14:val="tx1"/>
                  </w14:solidFill>
                </w14:textFill>
              </w:rPr>
            </w:pPr>
            <w:r>
              <w:rPr>
                <w:rFonts w:hint="eastAsia" w:cs="宋体"/>
                <w:color w:val="000000" w:themeColor="text1"/>
                <w:sz w:val="21"/>
                <w14:textFill>
                  <w14:solidFill>
                    <w14:schemeClr w14:val="tx1"/>
                  </w14:solidFill>
                </w14:textFill>
              </w:rPr>
              <w:t>1936m</w:t>
            </w:r>
            <w:r>
              <w:rPr>
                <w:rFonts w:hint="eastAsia" w:cs="宋体"/>
                <w:color w:val="000000" w:themeColor="text1"/>
                <w:sz w:val="21"/>
                <w:vertAlign w:val="superscript"/>
                <w14:textFill>
                  <w14:solidFill>
                    <w14:schemeClr w14:val="tx1"/>
                  </w14:solidFill>
                </w14:textFill>
              </w:rPr>
              <w:t>3</w:t>
            </w:r>
            <w:r>
              <w:rPr>
                <w:rFonts w:hint="eastAsia" w:cs="宋体"/>
                <w:color w:val="000000" w:themeColor="text1"/>
                <w:sz w:val="21"/>
                <w14:textFill>
                  <w14:solidFill>
                    <w14:schemeClr w14:val="tx1"/>
                  </w14:solidFill>
                </w14:textFill>
              </w:rPr>
              <w:t>/a</w:t>
            </w:r>
          </w:p>
        </w:tc>
        <w:tc>
          <w:tcPr>
            <w:tcW w:w="1508" w:type="pct"/>
            <w:vAlign w:val="center"/>
          </w:tcPr>
          <w:p w14:paraId="62893FF4">
            <w:pPr>
              <w:pStyle w:val="286"/>
              <w:adjustRightInd w:val="0"/>
              <w:snapToGrid w:val="0"/>
              <w:rPr>
                <w:rFonts w:hint="eastAsia"/>
                <w:color w:val="000000" w:themeColor="text1"/>
                <w:sz w:val="21"/>
                <w14:textFill>
                  <w14:solidFill>
                    <w14:schemeClr w14:val="tx1"/>
                  </w14:solidFill>
                </w14:textFill>
              </w:rPr>
            </w:pPr>
            <w:bookmarkStart w:id="253" w:name="OLE_LINK99"/>
            <w:r>
              <w:rPr>
                <w:rFonts w:hint="eastAsia"/>
                <w:color w:val="000000" w:themeColor="text1"/>
                <w:sz w:val="21"/>
                <w14:textFill>
                  <w14:solidFill>
                    <w14:schemeClr w14:val="tx1"/>
                  </w14:solidFill>
                </w14:textFill>
              </w:rPr>
              <w:t>外购，汽车拉运</w:t>
            </w:r>
            <w:bookmarkEnd w:id="253"/>
          </w:p>
        </w:tc>
      </w:tr>
      <w:tr w14:paraId="1AD5550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1" w:type="dxa"/>
            <w:bottom w:w="0" w:type="dxa"/>
            <w:right w:w="11" w:type="dxa"/>
          </w:tblCellMar>
        </w:tblPrEx>
        <w:trPr>
          <w:cantSplit/>
          <w:trHeight w:val="340" w:hRule="atLeast"/>
          <w:jc w:val="center"/>
        </w:trPr>
        <w:tc>
          <w:tcPr>
            <w:tcW w:w="325" w:type="pct"/>
            <w:vMerge w:val="continue"/>
            <w:tcBorders>
              <w:right w:val="single" w:color="auto" w:sz="4" w:space="0"/>
            </w:tcBorders>
            <w:vAlign w:val="center"/>
          </w:tcPr>
          <w:p w14:paraId="0561AA5C">
            <w:pPr>
              <w:pStyle w:val="286"/>
              <w:adjustRightInd w:val="0"/>
              <w:snapToGrid w:val="0"/>
              <w:rPr>
                <w:rFonts w:hint="eastAsia" w:cs="宋体"/>
                <w:color w:val="000000" w:themeColor="text1"/>
                <w:sz w:val="21"/>
                <w14:textFill>
                  <w14:solidFill>
                    <w14:schemeClr w14:val="tx1"/>
                  </w14:solidFill>
                </w14:textFill>
              </w:rPr>
            </w:pPr>
          </w:p>
        </w:tc>
        <w:tc>
          <w:tcPr>
            <w:tcW w:w="1948" w:type="pct"/>
            <w:tcBorders>
              <w:right w:val="single" w:color="auto" w:sz="4" w:space="0"/>
            </w:tcBorders>
            <w:vAlign w:val="center"/>
          </w:tcPr>
          <w:p w14:paraId="0ED12CC5">
            <w:pPr>
              <w:pStyle w:val="286"/>
              <w:adjustRightInd w:val="0"/>
              <w:snapToGrid w:val="0"/>
              <w:rPr>
                <w:rFonts w:hint="eastAsia" w:cs="宋体"/>
                <w:color w:val="000000" w:themeColor="text1"/>
                <w:sz w:val="21"/>
                <w14:textFill>
                  <w14:solidFill>
                    <w14:schemeClr w14:val="tx1"/>
                  </w14:solidFill>
                </w14:textFill>
              </w:rPr>
            </w:pPr>
            <w:r>
              <w:rPr>
                <w:rFonts w:hint="eastAsia" w:cs="宋体"/>
                <w:color w:val="000000" w:themeColor="text1"/>
                <w:sz w:val="21"/>
                <w14:textFill>
                  <w14:solidFill>
                    <w14:schemeClr w14:val="tx1"/>
                  </w14:solidFill>
                </w14:textFill>
              </w:rPr>
              <w:t>缓蚀剂（</w:t>
            </w:r>
            <w:r>
              <w:rPr>
                <w:rFonts w:hint="eastAsia" w:cs="宋体"/>
                <w:color w:val="000000" w:themeColor="text1"/>
                <w:lang w:val="zh-CN"/>
                <w14:textFill>
                  <w14:solidFill>
                    <w14:schemeClr w14:val="tx1"/>
                  </w14:solidFill>
                </w14:textFill>
              </w:rPr>
              <w:t>主要成分为</w:t>
            </w:r>
            <w:r>
              <w:rPr>
                <w:rFonts w:ascii="Times New Roman" w:hAnsi="Times New Roman"/>
                <w:color w:val="000000" w:themeColor="text1"/>
                <w:szCs w:val="22"/>
                <w14:textFill>
                  <w14:solidFill>
                    <w14:schemeClr w14:val="tx1"/>
                  </w14:solidFill>
                </w14:textFill>
              </w:rPr>
              <w:t>喹啉季铵盐缓蚀剂+HEDP（羟基亚乙基二膦酸）</w:t>
            </w:r>
            <w:r>
              <w:rPr>
                <w:rFonts w:hint="eastAsia" w:cs="宋体"/>
                <w:color w:val="000000" w:themeColor="text1"/>
                <w:sz w:val="21"/>
                <w14:textFill>
                  <w14:solidFill>
                    <w14:schemeClr w14:val="tx1"/>
                  </w14:solidFill>
                </w14:textFill>
              </w:rPr>
              <w:t>）</w:t>
            </w:r>
          </w:p>
        </w:tc>
        <w:tc>
          <w:tcPr>
            <w:tcW w:w="1219" w:type="pct"/>
            <w:vAlign w:val="center"/>
          </w:tcPr>
          <w:p w14:paraId="09AF2E87">
            <w:pPr>
              <w:pStyle w:val="286"/>
              <w:adjustRightInd w:val="0"/>
              <w:snapToGrid w:val="0"/>
              <w:rPr>
                <w:rFonts w:hint="eastAsia" w:cs="宋体"/>
                <w:color w:val="000000" w:themeColor="text1"/>
                <w:sz w:val="21"/>
                <w14:textFill>
                  <w14:solidFill>
                    <w14:schemeClr w14:val="tx1"/>
                  </w14:solidFill>
                </w14:textFill>
              </w:rPr>
            </w:pPr>
            <w:r>
              <w:rPr>
                <w:rFonts w:hint="eastAsia" w:cs="宋体"/>
                <w:color w:val="000000" w:themeColor="text1"/>
                <w:sz w:val="21"/>
                <w14:textFill>
                  <w14:solidFill>
                    <w14:schemeClr w14:val="tx1"/>
                  </w14:solidFill>
                </w14:textFill>
              </w:rPr>
              <w:t>27t</w:t>
            </w:r>
          </w:p>
        </w:tc>
        <w:tc>
          <w:tcPr>
            <w:tcW w:w="1508" w:type="pct"/>
            <w:vAlign w:val="center"/>
          </w:tcPr>
          <w:p w14:paraId="2098A3EC">
            <w:pPr>
              <w:pStyle w:val="286"/>
              <w:adjustRightInd w:val="0"/>
              <w:snapToGrid w:val="0"/>
              <w:rPr>
                <w:rFonts w:hint="eastAsia"/>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外购，汽车拉运</w:t>
            </w:r>
          </w:p>
        </w:tc>
      </w:tr>
      <w:bookmarkEnd w:id="251"/>
    </w:tbl>
    <w:p w14:paraId="052B9B2E">
      <w:pPr>
        <w:pStyle w:val="4"/>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勘探开发现状及油气水性质</w:t>
      </w:r>
    </w:p>
    <w:p w14:paraId="74ECD893">
      <w:pPr>
        <w:pStyle w:val="117"/>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（1）勘探开发概况、地质构造、层系、储层特征</w:t>
      </w:r>
    </w:p>
    <w:p w14:paraId="3D3D6754">
      <w:pPr>
        <w:pStyle w:val="117"/>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勘探开发概况、地质构造、层系、储层特征、油藏类型及开发进程见表3.2-4。</w:t>
      </w:r>
    </w:p>
    <w:p w14:paraId="77B1D8F4">
      <w:pPr>
        <w:widowControl/>
        <w:adjustRightInd w:val="0"/>
        <w:snapToGrid w:val="0"/>
        <w:spacing w:line="500" w:lineRule="exact"/>
        <w:jc w:val="center"/>
        <w:rPr>
          <w:color w:val="000000" w:themeColor="text1"/>
          <w14:textFill>
            <w14:solidFill>
              <w14:schemeClr w14:val="tx1"/>
            </w14:solidFill>
          </w14:textFill>
        </w:rPr>
      </w:pPr>
      <w:r>
        <w:rPr>
          <w:rFonts w:hint="eastAsia" w:ascii="黑体" w:hAnsi="黑体" w:eastAsia="黑体"/>
          <w:color w:val="000000" w:themeColor="text1"/>
          <w14:textFill>
            <w14:solidFill>
              <w14:schemeClr w14:val="tx1"/>
            </w14:solidFill>
          </w14:textFill>
        </w:rPr>
        <w:t>表3</w:t>
      </w:r>
      <w:r>
        <w:rPr>
          <w:rFonts w:ascii="黑体" w:hAnsi="黑体" w:eastAsia="黑体"/>
          <w:color w:val="000000" w:themeColor="text1"/>
          <w14:textFill>
            <w14:solidFill>
              <w14:schemeClr w14:val="tx1"/>
            </w14:solidFill>
          </w14:textFill>
        </w:rPr>
        <w:t>.2</w:t>
      </w:r>
      <w:r>
        <w:rPr>
          <w:rFonts w:hint="eastAsia" w:ascii="黑体" w:hAnsi="黑体" w:eastAsia="黑体"/>
          <w:color w:val="000000" w:themeColor="text1"/>
          <w14:textFill>
            <w14:solidFill>
              <w14:schemeClr w14:val="tx1"/>
            </w14:solidFill>
          </w14:textFill>
        </w:rPr>
        <w:t xml:space="preserve">-4 </w:t>
      </w:r>
      <w:r>
        <w:rPr>
          <w:rFonts w:ascii="黑体" w:hAnsi="黑体" w:eastAsia="黑体"/>
          <w:color w:val="000000" w:themeColor="text1"/>
          <w14:textFill>
            <w14:solidFill>
              <w14:schemeClr w14:val="tx1"/>
            </w14:solidFill>
          </w14:textFill>
        </w:rPr>
        <w:t xml:space="preserve"> </w:t>
      </w:r>
      <w:bookmarkStart w:id="254" w:name="_Hlk164170345"/>
      <w:r>
        <w:rPr>
          <w:rFonts w:hint="eastAsia" w:ascii="黑体" w:hAnsi="黑体" w:eastAsia="黑体"/>
          <w:color w:val="000000" w:themeColor="text1"/>
          <w14:textFill>
            <w14:solidFill>
              <w14:schemeClr w14:val="tx1"/>
            </w14:solidFill>
          </w14:textFill>
        </w:rPr>
        <w:t>勘探开发概况、地质构造、层系、储层特征、油藏类型及开发进程一览表</w:t>
      </w:r>
    </w:p>
    <w:bookmarkEnd w:id="254"/>
    <w:tbl>
      <w:tblPr>
        <w:tblStyle w:val="425"/>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0" w:type="dxa"/>
          <w:bottom w:w="0" w:type="dxa"/>
          <w:right w:w="0" w:type="dxa"/>
        </w:tblCellMar>
      </w:tblPr>
      <w:tblGrid>
        <w:gridCol w:w="850"/>
        <w:gridCol w:w="7880"/>
      </w:tblGrid>
      <w:tr w14:paraId="468255B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cantSplit/>
          <w:trHeight w:val="340" w:hRule="atLeast"/>
          <w:jc w:val="center"/>
        </w:trPr>
        <w:tc>
          <w:tcPr>
            <w:tcW w:w="487" w:type="pct"/>
            <w:vAlign w:val="center"/>
          </w:tcPr>
          <w:p w14:paraId="7CDD07DE">
            <w:pPr>
              <w:pStyle w:val="342"/>
              <w:overflowPunct w:val="0"/>
              <w:snapToGrid w:val="0"/>
              <w:spacing w:line="300" w:lineRule="exact"/>
              <w:rPr>
                <w:rFonts w:hint="eastAsia" w:hAnsi="宋体"/>
                <w:color w:val="000000" w:themeColor="text1"/>
                <w:sz w:val="21"/>
                <w:szCs w:val="21"/>
                <w14:textFill>
                  <w14:solidFill>
                    <w14:schemeClr w14:val="tx1"/>
                  </w14:solidFill>
                </w14:textFill>
              </w:rPr>
            </w:pPr>
            <w:r>
              <w:rPr>
                <w:rFonts w:hint="eastAsia" w:hAnsi="宋体"/>
                <w:color w:val="000000" w:themeColor="text1"/>
                <w:sz w:val="21"/>
                <w:szCs w:val="21"/>
                <w14:textFill>
                  <w14:solidFill>
                    <w14:schemeClr w14:val="tx1"/>
                  </w14:solidFill>
                </w14:textFill>
              </w:rPr>
              <w:t>类别</w:t>
            </w:r>
          </w:p>
        </w:tc>
        <w:tc>
          <w:tcPr>
            <w:tcW w:w="4513" w:type="pct"/>
            <w:vAlign w:val="center"/>
          </w:tcPr>
          <w:p w14:paraId="4683B9F9">
            <w:pPr>
              <w:pStyle w:val="342"/>
              <w:overflowPunct w:val="0"/>
              <w:snapToGrid w:val="0"/>
              <w:spacing w:line="300" w:lineRule="exact"/>
              <w:rPr>
                <w:rFonts w:hint="eastAsia" w:hAnsi="宋体"/>
                <w:color w:val="000000" w:themeColor="text1"/>
                <w:w w:val="110"/>
                <w:sz w:val="21"/>
                <w:szCs w:val="21"/>
                <w14:textFill>
                  <w14:solidFill>
                    <w14:schemeClr w14:val="tx1"/>
                  </w14:solidFill>
                </w14:textFill>
              </w:rPr>
            </w:pPr>
            <w:r>
              <w:rPr>
                <w:rFonts w:hint="eastAsia" w:hAnsi="宋体"/>
                <w:color w:val="000000" w:themeColor="text1"/>
                <w:w w:val="110"/>
                <w:sz w:val="21"/>
                <w:szCs w:val="21"/>
                <w14:textFill>
                  <w14:solidFill>
                    <w14:schemeClr w14:val="tx1"/>
                  </w14:solidFill>
                </w14:textFill>
              </w:rPr>
              <w:t>内容</w:t>
            </w:r>
          </w:p>
        </w:tc>
      </w:tr>
      <w:tr w14:paraId="06A85E2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cantSplit/>
          <w:trHeight w:val="340" w:hRule="atLeast"/>
          <w:jc w:val="center"/>
        </w:trPr>
        <w:tc>
          <w:tcPr>
            <w:tcW w:w="487" w:type="pct"/>
            <w:vAlign w:val="center"/>
          </w:tcPr>
          <w:p w14:paraId="111EC8D7">
            <w:pPr>
              <w:pStyle w:val="342"/>
              <w:overflowPunct w:val="0"/>
              <w:snapToGrid w:val="0"/>
              <w:spacing w:line="300" w:lineRule="exact"/>
              <w:rPr>
                <w:rFonts w:hint="eastAsia" w:hAnsi="宋体"/>
                <w:color w:val="000000" w:themeColor="text1"/>
                <w:sz w:val="21"/>
                <w:szCs w:val="21"/>
                <w14:textFill>
                  <w14:solidFill>
                    <w14:schemeClr w14:val="tx1"/>
                  </w14:solidFill>
                </w14:textFill>
              </w:rPr>
            </w:pPr>
            <w:r>
              <w:rPr>
                <w:rFonts w:hint="eastAsia" w:hAnsi="宋体"/>
                <w:color w:val="000000" w:themeColor="text1"/>
                <w:sz w:val="21"/>
                <w:szCs w:val="21"/>
                <w14:textFill>
                  <w14:solidFill>
                    <w14:schemeClr w14:val="tx1"/>
                  </w14:solidFill>
                </w14:textFill>
              </w:rPr>
              <w:t>勘探开发概况</w:t>
            </w:r>
          </w:p>
        </w:tc>
        <w:tc>
          <w:tcPr>
            <w:tcW w:w="4513" w:type="pct"/>
            <w:vAlign w:val="center"/>
          </w:tcPr>
          <w:p w14:paraId="650B898A">
            <w:pPr>
              <w:overflowPunct w:val="0"/>
              <w:autoSpaceDE w:val="0"/>
              <w:autoSpaceDN w:val="0"/>
              <w:adjustRightInd w:val="0"/>
              <w:snapToGrid w:val="0"/>
              <w:spacing w:line="300" w:lineRule="exact"/>
              <w:rPr>
                <w:rFonts w:hint="eastAsia" w:ascii="宋体" w:hAnsi="宋体"/>
                <w:color w:val="000000" w:themeColor="text1"/>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吉木萨尔页岩油二叠系芦草沟组2011年吉25井发现页岩油，历经勘探及开发先导试验、评价及工业化试验、示范区成立及规模化建产阶段三个阶段，实现了技术、产量、效益突破，曲折探索历程可归结为“两下三上”。</w:t>
            </w:r>
            <w:r>
              <w:rPr>
                <w:rFonts w:hint="eastAsia" w:ascii="宋体" w:hAnsi="宋体"/>
                <w:color w:val="000000" w:themeColor="text1"/>
                <w:szCs w:val="21"/>
                <w14:textFill>
                  <w14:solidFill>
                    <w14:schemeClr w14:val="tx1"/>
                  </w14:solidFill>
                </w14:textFill>
              </w:rPr>
              <w:t>2011-2015年为勘探及开发先导试验阶段，认识到满凹含油，具备效益开发潜力但有极大技术难度，开始积极探索水平井工厂化建产模式；2016-2020年为评价及工业化试验阶段，以上甜点为主体，开展200m井距水平井试验，认识到甜点强非均质性，确定密切割、高强度压裂方式，2020年1月23日国家能源局、自然资源部批复同意设立“新疆吉木萨尔国家级陆相页岩油示范区”，要求中国石油加大工作力度，努力实现示范区目标。2020年3月20日中国石油戴厚良董事长批示“示范区不仅要解决技术上可行，更要树立经济可行的目标，学习借鉴国外页岩油开发的成本倒逼机制，增强示范区的竞争力”；2020年至目前为规模化建产阶段，实现了薄层甜点可动性分级评价，落实以下甜点为建产主体。</w:t>
            </w:r>
          </w:p>
        </w:tc>
      </w:tr>
      <w:tr w14:paraId="041802E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cantSplit/>
          <w:trHeight w:val="340" w:hRule="atLeast"/>
          <w:jc w:val="center"/>
        </w:trPr>
        <w:tc>
          <w:tcPr>
            <w:tcW w:w="487" w:type="pct"/>
            <w:vAlign w:val="center"/>
          </w:tcPr>
          <w:p w14:paraId="04300084">
            <w:pPr>
              <w:pStyle w:val="342"/>
              <w:overflowPunct w:val="0"/>
              <w:snapToGrid w:val="0"/>
              <w:spacing w:line="300" w:lineRule="exact"/>
              <w:rPr>
                <w:rFonts w:hint="eastAsia" w:hAnsi="宋体"/>
                <w:color w:val="000000" w:themeColor="text1"/>
                <w:sz w:val="21"/>
                <w:szCs w:val="21"/>
                <w14:textFill>
                  <w14:solidFill>
                    <w14:schemeClr w14:val="tx1"/>
                  </w14:solidFill>
                </w14:textFill>
              </w:rPr>
            </w:pPr>
            <w:r>
              <w:rPr>
                <w:rFonts w:hint="eastAsia" w:hAnsi="宋体"/>
                <w:color w:val="000000" w:themeColor="text1"/>
                <w:sz w:val="21"/>
                <w:szCs w:val="21"/>
                <w14:textFill>
                  <w14:solidFill>
                    <w14:schemeClr w14:val="tx1"/>
                  </w14:solidFill>
                </w14:textFill>
              </w:rPr>
              <w:t>地层特征</w:t>
            </w:r>
          </w:p>
        </w:tc>
        <w:tc>
          <w:tcPr>
            <w:tcW w:w="4513" w:type="pct"/>
            <w:vAlign w:val="center"/>
          </w:tcPr>
          <w:p w14:paraId="40908A57">
            <w:pPr>
              <w:overflowPunct w:val="0"/>
              <w:autoSpaceDE w:val="0"/>
              <w:autoSpaceDN w:val="0"/>
              <w:adjustRightInd w:val="0"/>
              <w:snapToGrid w:val="0"/>
              <w:spacing w:line="300" w:lineRule="exact"/>
              <w:rPr>
                <w:rFonts w:hint="eastAsia" w:ascii="宋体" w:hAnsi="宋体" w:cs="宋体"/>
                <w:color w:val="000000" w:themeColor="text1"/>
                <w:kern w:val="0"/>
                <w:szCs w:val="21"/>
                <w14:textFill>
                  <w14:solidFill>
                    <w14:schemeClr w14:val="tx1"/>
                  </w14:solidFill>
                </w14:textFill>
              </w:rPr>
            </w:pPr>
            <w:r>
              <w:rPr>
                <w:rFonts w:ascii="宋体" w:hAnsi="宋体"/>
                <w:color w:val="000000" w:themeColor="text1"/>
                <w:szCs w:val="21"/>
                <w14:textFill>
                  <w14:solidFill>
                    <w14:schemeClr w14:val="tx1"/>
                  </w14:solidFill>
                </w14:textFill>
              </w:rPr>
              <w:t>先导试验</w:t>
            </w:r>
            <w:r>
              <w:rPr>
                <w:rFonts w:hint="eastAsia" w:ascii="宋体" w:hAnsi="宋体"/>
                <w:color w:val="000000" w:themeColor="text1"/>
                <w:szCs w:val="21"/>
                <w14:textFill>
                  <w14:solidFill>
                    <w14:schemeClr w14:val="tx1"/>
                  </w14:solidFill>
                </w14:textFill>
              </w:rPr>
              <w:t>区</w:t>
            </w:r>
            <w:r>
              <w:rPr>
                <w:rFonts w:ascii="宋体" w:hAnsi="宋体"/>
                <w:color w:val="000000" w:themeColor="text1"/>
                <w:szCs w:val="21"/>
                <w14:textFill>
                  <w14:solidFill>
                    <w14:schemeClr w14:val="tx1"/>
                  </w14:solidFill>
                </w14:textFill>
              </w:rPr>
              <w:t>目标层为芦二段二亚段P</w:t>
            </w:r>
            <w:r>
              <w:rPr>
                <w:rFonts w:ascii="宋体" w:hAnsi="宋体"/>
                <w:color w:val="000000" w:themeColor="text1"/>
                <w:szCs w:val="21"/>
                <w:vertAlign w:val="subscript"/>
                <w14:textFill>
                  <w14:solidFill>
                    <w14:schemeClr w14:val="tx1"/>
                  </w14:solidFill>
                </w14:textFill>
              </w:rPr>
              <w:t>2</w:t>
            </w:r>
            <w:r>
              <w:rPr>
                <w:rFonts w:ascii="宋体" w:hAnsi="宋体"/>
                <w:i/>
                <w:iCs/>
                <w:color w:val="000000" w:themeColor="text1"/>
                <w:szCs w:val="21"/>
                <w14:textFill>
                  <w14:solidFill>
                    <w14:schemeClr w14:val="tx1"/>
                  </w14:solidFill>
                </w14:textFill>
              </w:rPr>
              <w:t>l</w:t>
            </w:r>
            <w:r>
              <w:rPr>
                <w:rFonts w:ascii="宋体" w:hAnsi="宋体"/>
                <w:color w:val="000000" w:themeColor="text1"/>
                <w:szCs w:val="21"/>
                <w:vertAlign w:val="subscript"/>
                <w14:textFill>
                  <w14:solidFill>
                    <w14:schemeClr w14:val="tx1"/>
                  </w14:solidFill>
                </w14:textFill>
              </w:rPr>
              <w:t>2</w:t>
            </w:r>
            <w:r>
              <w:rPr>
                <w:rFonts w:ascii="宋体" w:hAnsi="宋体"/>
                <w:color w:val="000000" w:themeColor="text1"/>
                <w:szCs w:val="21"/>
                <w:vertAlign w:val="superscript"/>
                <w14:textFill>
                  <w14:solidFill>
                    <w14:schemeClr w14:val="tx1"/>
                  </w14:solidFill>
                </w14:textFill>
              </w:rPr>
              <w:t>2</w:t>
            </w:r>
            <w:r>
              <w:rPr>
                <w:rFonts w:ascii="宋体" w:hAnsi="宋体"/>
                <w:color w:val="000000" w:themeColor="text1"/>
                <w:szCs w:val="21"/>
                <w14:textFill>
                  <w14:solidFill>
                    <w14:schemeClr w14:val="tx1"/>
                  </w14:solidFill>
                </w14:textFill>
              </w:rPr>
              <w:t>，平均地层厚度50m，进一步划分为三个小层P</w:t>
            </w:r>
            <w:r>
              <w:rPr>
                <w:rFonts w:ascii="宋体" w:hAnsi="宋体"/>
                <w:color w:val="000000" w:themeColor="text1"/>
                <w:szCs w:val="21"/>
                <w:vertAlign w:val="subscript"/>
                <w14:textFill>
                  <w14:solidFill>
                    <w14:schemeClr w14:val="tx1"/>
                  </w14:solidFill>
                </w14:textFill>
              </w:rPr>
              <w:t>2</w:t>
            </w:r>
            <w:r>
              <w:rPr>
                <w:rFonts w:ascii="宋体" w:hAnsi="宋体"/>
                <w:i/>
                <w:iCs/>
                <w:color w:val="000000" w:themeColor="text1"/>
                <w:szCs w:val="21"/>
                <w14:textFill>
                  <w14:solidFill>
                    <w14:schemeClr w14:val="tx1"/>
                  </w14:solidFill>
                </w14:textFill>
              </w:rPr>
              <w:t>l</w:t>
            </w:r>
            <w:r>
              <w:rPr>
                <w:rFonts w:ascii="宋体" w:hAnsi="宋体"/>
                <w:color w:val="000000" w:themeColor="text1"/>
                <w:szCs w:val="21"/>
                <w:vertAlign w:val="subscript"/>
                <w14:textFill>
                  <w14:solidFill>
                    <w14:schemeClr w14:val="tx1"/>
                  </w14:solidFill>
                </w14:textFill>
              </w:rPr>
              <w:t>2</w:t>
            </w:r>
            <w:r>
              <w:rPr>
                <w:rFonts w:ascii="宋体" w:hAnsi="宋体"/>
                <w:color w:val="000000" w:themeColor="text1"/>
                <w:szCs w:val="21"/>
                <w:vertAlign w:val="superscript"/>
                <w14:textFill>
                  <w14:solidFill>
                    <w14:schemeClr w14:val="tx1"/>
                  </w14:solidFill>
                </w14:textFill>
              </w:rPr>
              <w:t>2-1</w:t>
            </w:r>
            <w:r>
              <w:rPr>
                <w:rFonts w:ascii="宋体" w:hAnsi="宋体"/>
                <w:color w:val="000000" w:themeColor="text1"/>
                <w:szCs w:val="21"/>
                <w14:textFill>
                  <w14:solidFill>
                    <w14:schemeClr w14:val="tx1"/>
                  </w14:solidFill>
                </w14:textFill>
              </w:rPr>
              <w:t>、P</w:t>
            </w:r>
            <w:r>
              <w:rPr>
                <w:rFonts w:ascii="宋体" w:hAnsi="宋体"/>
                <w:color w:val="000000" w:themeColor="text1"/>
                <w:szCs w:val="21"/>
                <w:vertAlign w:val="subscript"/>
                <w14:textFill>
                  <w14:solidFill>
                    <w14:schemeClr w14:val="tx1"/>
                  </w14:solidFill>
                </w14:textFill>
              </w:rPr>
              <w:t>2</w:t>
            </w:r>
            <w:r>
              <w:rPr>
                <w:rFonts w:ascii="宋体" w:hAnsi="宋体"/>
                <w:i/>
                <w:iCs/>
                <w:color w:val="000000" w:themeColor="text1"/>
                <w:szCs w:val="21"/>
                <w14:textFill>
                  <w14:solidFill>
                    <w14:schemeClr w14:val="tx1"/>
                  </w14:solidFill>
                </w14:textFill>
              </w:rPr>
              <w:t>l</w:t>
            </w:r>
            <w:r>
              <w:rPr>
                <w:rFonts w:ascii="宋体" w:hAnsi="宋体"/>
                <w:color w:val="000000" w:themeColor="text1"/>
                <w:szCs w:val="21"/>
                <w:vertAlign w:val="subscript"/>
                <w14:textFill>
                  <w14:solidFill>
                    <w14:schemeClr w14:val="tx1"/>
                  </w14:solidFill>
                </w14:textFill>
              </w:rPr>
              <w:t>2</w:t>
            </w:r>
            <w:r>
              <w:rPr>
                <w:rFonts w:ascii="宋体" w:hAnsi="宋体"/>
                <w:color w:val="000000" w:themeColor="text1"/>
                <w:szCs w:val="21"/>
                <w:vertAlign w:val="superscript"/>
                <w14:textFill>
                  <w14:solidFill>
                    <w14:schemeClr w14:val="tx1"/>
                  </w14:solidFill>
                </w14:textFill>
              </w:rPr>
              <w:t>2-2</w:t>
            </w:r>
            <w:r>
              <w:rPr>
                <w:rFonts w:ascii="宋体" w:hAnsi="宋体"/>
                <w:color w:val="000000" w:themeColor="text1"/>
                <w:szCs w:val="21"/>
                <w14:textFill>
                  <w14:solidFill>
                    <w14:schemeClr w14:val="tx1"/>
                  </w14:solidFill>
                </w14:textFill>
              </w:rPr>
              <w:t>、P</w:t>
            </w:r>
            <w:r>
              <w:rPr>
                <w:rFonts w:ascii="宋体" w:hAnsi="宋体"/>
                <w:color w:val="000000" w:themeColor="text1"/>
                <w:szCs w:val="21"/>
                <w:vertAlign w:val="subscript"/>
                <w14:textFill>
                  <w14:solidFill>
                    <w14:schemeClr w14:val="tx1"/>
                  </w14:solidFill>
                </w14:textFill>
              </w:rPr>
              <w:t>2</w:t>
            </w:r>
            <w:r>
              <w:rPr>
                <w:rFonts w:ascii="宋体" w:hAnsi="宋体"/>
                <w:i/>
                <w:iCs/>
                <w:color w:val="000000" w:themeColor="text1"/>
                <w:szCs w:val="21"/>
                <w14:textFill>
                  <w14:solidFill>
                    <w14:schemeClr w14:val="tx1"/>
                  </w14:solidFill>
                </w14:textFill>
              </w:rPr>
              <w:t>l</w:t>
            </w:r>
            <w:r>
              <w:rPr>
                <w:rFonts w:ascii="宋体" w:hAnsi="宋体"/>
                <w:color w:val="000000" w:themeColor="text1"/>
                <w:szCs w:val="21"/>
                <w:vertAlign w:val="subscript"/>
                <w14:textFill>
                  <w14:solidFill>
                    <w14:schemeClr w14:val="tx1"/>
                  </w14:solidFill>
                </w14:textFill>
              </w:rPr>
              <w:t>2</w:t>
            </w:r>
            <w:r>
              <w:rPr>
                <w:rFonts w:ascii="宋体" w:hAnsi="宋体"/>
                <w:color w:val="000000" w:themeColor="text1"/>
                <w:szCs w:val="21"/>
                <w:vertAlign w:val="superscript"/>
                <w14:textFill>
                  <w14:solidFill>
                    <w14:schemeClr w14:val="tx1"/>
                  </w14:solidFill>
                </w14:textFill>
              </w:rPr>
              <w:t>2-3</w:t>
            </w:r>
            <w:r>
              <w:rPr>
                <w:rFonts w:ascii="宋体" w:hAnsi="宋体"/>
                <w:color w:val="000000" w:themeColor="text1"/>
                <w:szCs w:val="21"/>
                <w14:textFill>
                  <w14:solidFill>
                    <w14:schemeClr w14:val="tx1"/>
                  </w14:solidFill>
                </w14:textFill>
              </w:rPr>
              <w:t>，水平井轨迹位于P</w:t>
            </w:r>
            <w:r>
              <w:rPr>
                <w:rFonts w:ascii="宋体" w:hAnsi="宋体"/>
                <w:color w:val="000000" w:themeColor="text1"/>
                <w:szCs w:val="21"/>
                <w:vertAlign w:val="subscript"/>
                <w14:textFill>
                  <w14:solidFill>
                    <w14:schemeClr w14:val="tx1"/>
                  </w14:solidFill>
                </w14:textFill>
              </w:rPr>
              <w:t>2</w:t>
            </w:r>
            <w:r>
              <w:rPr>
                <w:rFonts w:ascii="宋体" w:hAnsi="宋体"/>
                <w:i/>
                <w:iCs/>
                <w:color w:val="000000" w:themeColor="text1"/>
                <w:szCs w:val="21"/>
                <w14:textFill>
                  <w14:solidFill>
                    <w14:schemeClr w14:val="tx1"/>
                  </w14:solidFill>
                </w14:textFill>
              </w:rPr>
              <w:t>l</w:t>
            </w:r>
            <w:r>
              <w:rPr>
                <w:rFonts w:ascii="宋体" w:hAnsi="宋体"/>
                <w:color w:val="000000" w:themeColor="text1"/>
                <w:szCs w:val="21"/>
                <w:vertAlign w:val="subscript"/>
                <w14:textFill>
                  <w14:solidFill>
                    <w14:schemeClr w14:val="tx1"/>
                  </w14:solidFill>
                </w14:textFill>
              </w:rPr>
              <w:t>2</w:t>
            </w:r>
            <w:r>
              <w:rPr>
                <w:rFonts w:ascii="宋体" w:hAnsi="宋体"/>
                <w:color w:val="000000" w:themeColor="text1"/>
                <w:szCs w:val="21"/>
                <w:vertAlign w:val="superscript"/>
                <w14:textFill>
                  <w14:solidFill>
                    <w14:schemeClr w14:val="tx1"/>
                  </w14:solidFill>
                </w14:textFill>
              </w:rPr>
              <w:t>2-2</w:t>
            </w:r>
            <w:r>
              <w:rPr>
                <w:rFonts w:hint="eastAsia" w:ascii="宋体" w:hAnsi="宋体"/>
                <w:color w:val="000000" w:themeColor="text1"/>
                <w:szCs w:val="21"/>
                <w14:textFill>
                  <w14:solidFill>
                    <w14:schemeClr w14:val="tx1"/>
                  </w14:solidFill>
                </w14:textFill>
              </w:rPr>
              <w:t>。</w:t>
            </w:r>
          </w:p>
        </w:tc>
      </w:tr>
      <w:tr w14:paraId="13B9BFF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cantSplit/>
          <w:trHeight w:val="340" w:hRule="atLeast"/>
          <w:jc w:val="center"/>
        </w:trPr>
        <w:tc>
          <w:tcPr>
            <w:tcW w:w="487" w:type="pct"/>
            <w:vAlign w:val="center"/>
          </w:tcPr>
          <w:p w14:paraId="2833FC7C">
            <w:pPr>
              <w:pStyle w:val="342"/>
              <w:overflowPunct w:val="0"/>
              <w:snapToGrid w:val="0"/>
              <w:spacing w:line="300" w:lineRule="exact"/>
              <w:rPr>
                <w:rFonts w:hint="eastAsia" w:hAnsi="宋体"/>
                <w:color w:val="000000" w:themeColor="text1"/>
                <w:sz w:val="21"/>
                <w:szCs w:val="21"/>
                <w14:textFill>
                  <w14:solidFill>
                    <w14:schemeClr w14:val="tx1"/>
                  </w14:solidFill>
                </w14:textFill>
              </w:rPr>
            </w:pPr>
            <w:r>
              <w:rPr>
                <w:rFonts w:hint="eastAsia" w:hAnsi="宋体"/>
                <w:color w:val="000000" w:themeColor="text1"/>
                <w:sz w:val="21"/>
                <w:szCs w:val="21"/>
                <w14:textFill>
                  <w14:solidFill>
                    <w14:schemeClr w14:val="tx1"/>
                  </w14:solidFill>
                </w14:textFill>
              </w:rPr>
              <w:t>构造及断裂特征</w:t>
            </w:r>
          </w:p>
        </w:tc>
        <w:tc>
          <w:tcPr>
            <w:tcW w:w="4513" w:type="pct"/>
            <w:vAlign w:val="center"/>
          </w:tcPr>
          <w:p w14:paraId="6D69ED19">
            <w:pPr>
              <w:overflowPunct w:val="0"/>
              <w:autoSpaceDE w:val="0"/>
              <w:autoSpaceDN w:val="0"/>
              <w:adjustRightInd w:val="0"/>
              <w:snapToGrid w:val="0"/>
              <w:spacing w:line="300" w:lineRule="exact"/>
              <w:rPr>
                <w:rFonts w:hint="eastAsia" w:ascii="宋体" w:hAnsi="宋体" w:cs="宋体"/>
                <w:color w:val="000000" w:themeColor="text1"/>
                <w:kern w:val="0"/>
                <w:szCs w:val="21"/>
                <w14:textFill>
                  <w14:solidFill>
                    <w14:schemeClr w14:val="tx1"/>
                  </w14:solidFill>
                </w14:textFill>
              </w:rPr>
            </w:pPr>
            <w:r>
              <w:rPr>
                <w:rFonts w:ascii="宋体" w:hAnsi="宋体"/>
                <w:color w:val="000000" w:themeColor="text1"/>
                <w:szCs w:val="21"/>
                <w14:textFill>
                  <w14:solidFill>
                    <w14:schemeClr w14:val="tx1"/>
                  </w14:solidFill>
                </w14:textFill>
              </w:rPr>
              <w:t>目的层二叠系芦草沟组二段二</w:t>
            </w:r>
            <w:r>
              <w:rPr>
                <w:rFonts w:hint="eastAsia" w:ascii="宋体" w:hAnsi="宋体"/>
                <w:color w:val="000000" w:themeColor="text1"/>
                <w:szCs w:val="21"/>
                <w14:textFill>
                  <w14:solidFill>
                    <w14:schemeClr w14:val="tx1"/>
                  </w14:solidFill>
                </w14:textFill>
              </w:rPr>
              <w:t>亚段</w:t>
            </w:r>
            <w:r>
              <w:rPr>
                <w:rFonts w:ascii="宋体" w:hAnsi="宋体"/>
                <w:color w:val="000000" w:themeColor="text1"/>
                <w:szCs w:val="21"/>
                <w14:textFill>
                  <w14:solidFill>
                    <w14:schemeClr w14:val="tx1"/>
                  </w14:solidFill>
                </w14:textFill>
              </w:rPr>
              <w:t>（P</w:t>
            </w:r>
            <w:r>
              <w:rPr>
                <w:rFonts w:ascii="宋体" w:hAnsi="宋体"/>
                <w:color w:val="000000" w:themeColor="text1"/>
                <w:szCs w:val="21"/>
                <w:vertAlign w:val="subscript"/>
                <w14:textFill>
                  <w14:solidFill>
                    <w14:schemeClr w14:val="tx1"/>
                  </w14:solidFill>
                </w14:textFill>
              </w:rPr>
              <w:t>2</w:t>
            </w:r>
            <w:r>
              <w:rPr>
                <w:rFonts w:ascii="宋体" w:hAnsi="宋体"/>
                <w:i/>
                <w:iCs/>
                <w:color w:val="000000" w:themeColor="text1"/>
                <w:szCs w:val="21"/>
                <w14:textFill>
                  <w14:solidFill>
                    <w14:schemeClr w14:val="tx1"/>
                  </w14:solidFill>
                </w14:textFill>
              </w:rPr>
              <w:t>l</w:t>
            </w:r>
            <w:r>
              <w:rPr>
                <w:rFonts w:ascii="宋体" w:hAnsi="宋体"/>
                <w:color w:val="000000" w:themeColor="text1"/>
                <w:szCs w:val="21"/>
                <w:vertAlign w:val="subscript"/>
                <w14:textFill>
                  <w14:solidFill>
                    <w14:schemeClr w14:val="tx1"/>
                  </w14:solidFill>
                </w14:textFill>
              </w:rPr>
              <w:t>2</w:t>
            </w:r>
            <w:r>
              <w:rPr>
                <w:rFonts w:ascii="宋体" w:hAnsi="宋体"/>
                <w:color w:val="000000" w:themeColor="text1"/>
                <w:szCs w:val="21"/>
                <w:vertAlign w:val="superscript"/>
                <w14:textFill>
                  <w14:solidFill>
                    <w14:schemeClr w14:val="tx1"/>
                  </w14:solidFill>
                </w14:textFill>
              </w:rPr>
              <w:t>2</w:t>
            </w:r>
            <w:r>
              <w:rPr>
                <w:rFonts w:ascii="宋体" w:hAnsi="宋体"/>
                <w:color w:val="000000" w:themeColor="text1"/>
                <w:szCs w:val="21"/>
                <w14:textFill>
                  <w14:solidFill>
                    <w14:schemeClr w14:val="tx1"/>
                  </w14:solidFill>
                </w14:textFill>
              </w:rPr>
              <w:t>）</w:t>
            </w:r>
            <w:r>
              <w:rPr>
                <w:rFonts w:hint="eastAsia" w:ascii="宋体" w:hAnsi="宋体"/>
                <w:color w:val="000000" w:themeColor="text1"/>
                <w:szCs w:val="21"/>
                <w14:textFill>
                  <w14:solidFill>
                    <w14:schemeClr w14:val="tx1"/>
                  </w14:solidFill>
                </w14:textFill>
              </w:rPr>
              <w:t>，</w:t>
            </w:r>
            <w:r>
              <w:rPr>
                <w:rFonts w:ascii="宋体" w:hAnsi="宋体"/>
                <w:color w:val="000000" w:themeColor="text1"/>
                <w:szCs w:val="21"/>
                <w14:textFill>
                  <w14:solidFill>
                    <w14:schemeClr w14:val="tx1"/>
                  </w14:solidFill>
                </w14:textFill>
              </w:rPr>
              <w:t>顶界构造形态表现为东高西低、东陡西缓的西倾单斜，地层倾角为4°~8°</w:t>
            </w:r>
            <w:r>
              <w:rPr>
                <w:rFonts w:hint="eastAsia" w:ascii="宋体" w:hAnsi="宋体"/>
                <w:color w:val="000000" w:themeColor="text1"/>
                <w:szCs w:val="21"/>
                <w14:textFill>
                  <w14:solidFill>
                    <w14:schemeClr w14:val="tx1"/>
                  </w14:solidFill>
                </w14:textFill>
              </w:rPr>
              <w:t>。</w:t>
            </w:r>
          </w:p>
        </w:tc>
      </w:tr>
      <w:tr w14:paraId="469D7EE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cantSplit/>
          <w:trHeight w:val="340" w:hRule="atLeast"/>
          <w:jc w:val="center"/>
        </w:trPr>
        <w:tc>
          <w:tcPr>
            <w:tcW w:w="487" w:type="pct"/>
            <w:vAlign w:val="center"/>
          </w:tcPr>
          <w:p w14:paraId="5805045F">
            <w:pPr>
              <w:pStyle w:val="342"/>
              <w:overflowPunct w:val="0"/>
              <w:snapToGrid w:val="0"/>
              <w:spacing w:line="300" w:lineRule="exact"/>
              <w:rPr>
                <w:rFonts w:hint="eastAsia" w:hAnsi="宋体"/>
                <w:color w:val="000000" w:themeColor="text1"/>
                <w:sz w:val="21"/>
                <w:szCs w:val="21"/>
                <w14:textFill>
                  <w14:solidFill>
                    <w14:schemeClr w14:val="tx1"/>
                  </w14:solidFill>
                </w14:textFill>
              </w:rPr>
            </w:pPr>
            <w:r>
              <w:rPr>
                <w:rFonts w:hint="eastAsia" w:hAnsi="宋体"/>
                <w:color w:val="000000" w:themeColor="text1"/>
                <w:sz w:val="21"/>
                <w:szCs w:val="21"/>
                <w14:textFill>
                  <w14:solidFill>
                    <w14:schemeClr w14:val="tx1"/>
                  </w14:solidFill>
                </w14:textFill>
              </w:rPr>
              <w:t>储层特征</w:t>
            </w:r>
          </w:p>
        </w:tc>
        <w:tc>
          <w:tcPr>
            <w:tcW w:w="4513" w:type="pct"/>
            <w:vAlign w:val="center"/>
          </w:tcPr>
          <w:p w14:paraId="53859477">
            <w:pPr>
              <w:overflowPunct w:val="0"/>
              <w:autoSpaceDE w:val="0"/>
              <w:autoSpaceDN w:val="0"/>
              <w:adjustRightInd w:val="0"/>
              <w:snapToGrid w:val="0"/>
              <w:spacing w:line="300" w:lineRule="exact"/>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试验区P</w:t>
            </w:r>
            <w:r>
              <w:rPr>
                <w:rFonts w:hint="eastAsia" w:ascii="宋体" w:hAnsi="宋体"/>
                <w:color w:val="000000" w:themeColor="text1"/>
                <w:szCs w:val="21"/>
                <w:vertAlign w:val="subscript"/>
                <w14:textFill>
                  <w14:solidFill>
                    <w14:schemeClr w14:val="tx1"/>
                  </w14:solidFill>
                </w14:textFill>
              </w:rPr>
              <w:t>2</w:t>
            </w:r>
            <w:r>
              <w:rPr>
                <w:rFonts w:hint="eastAsia" w:ascii="宋体" w:hAnsi="宋体"/>
                <w:i/>
                <w:iCs/>
                <w:color w:val="000000" w:themeColor="text1"/>
                <w:szCs w:val="21"/>
                <w14:textFill>
                  <w14:solidFill>
                    <w14:schemeClr w14:val="tx1"/>
                  </w14:solidFill>
                </w14:textFill>
              </w:rPr>
              <w:t>l</w:t>
            </w:r>
            <w:r>
              <w:rPr>
                <w:rFonts w:hint="eastAsia" w:ascii="宋体" w:hAnsi="宋体"/>
                <w:color w:val="000000" w:themeColor="text1"/>
                <w:szCs w:val="21"/>
                <w:vertAlign w:val="subscript"/>
                <w14:textFill>
                  <w14:solidFill>
                    <w14:schemeClr w14:val="tx1"/>
                  </w14:solidFill>
                </w14:textFill>
              </w:rPr>
              <w:t>2</w:t>
            </w:r>
            <w:r>
              <w:rPr>
                <w:rFonts w:hint="eastAsia" w:ascii="宋体" w:hAnsi="宋体"/>
                <w:color w:val="000000" w:themeColor="text1"/>
                <w:szCs w:val="21"/>
                <w:vertAlign w:val="superscript"/>
                <w14:textFill>
                  <w14:solidFill>
                    <w14:schemeClr w14:val="tx1"/>
                  </w14:solidFill>
                </w14:textFill>
              </w:rPr>
              <w:t>2-1</w:t>
            </w:r>
            <w:r>
              <w:rPr>
                <w:rFonts w:hint="eastAsia" w:ascii="宋体" w:hAnsi="宋体"/>
                <w:color w:val="000000" w:themeColor="text1"/>
                <w:szCs w:val="21"/>
                <w14:textFill>
                  <w14:solidFill>
                    <w14:schemeClr w14:val="tx1"/>
                  </w14:solidFill>
                </w14:textFill>
              </w:rPr>
              <w:t>储层主要为粉砂质云岩，P</w:t>
            </w:r>
            <w:r>
              <w:rPr>
                <w:rFonts w:hint="eastAsia" w:ascii="宋体" w:hAnsi="宋体"/>
                <w:color w:val="000000" w:themeColor="text1"/>
                <w:szCs w:val="21"/>
                <w:vertAlign w:val="subscript"/>
                <w14:textFill>
                  <w14:solidFill>
                    <w14:schemeClr w14:val="tx1"/>
                  </w14:solidFill>
                </w14:textFill>
              </w:rPr>
              <w:t>2</w:t>
            </w:r>
            <w:r>
              <w:rPr>
                <w:rFonts w:hint="eastAsia" w:ascii="宋体" w:hAnsi="宋体"/>
                <w:i/>
                <w:iCs/>
                <w:color w:val="000000" w:themeColor="text1"/>
                <w:szCs w:val="21"/>
                <w14:textFill>
                  <w14:solidFill>
                    <w14:schemeClr w14:val="tx1"/>
                  </w14:solidFill>
                </w14:textFill>
              </w:rPr>
              <w:t>l</w:t>
            </w:r>
            <w:r>
              <w:rPr>
                <w:rFonts w:hint="eastAsia" w:ascii="宋体" w:hAnsi="宋体"/>
                <w:color w:val="000000" w:themeColor="text1"/>
                <w:szCs w:val="21"/>
                <w:vertAlign w:val="subscript"/>
                <w14:textFill>
                  <w14:solidFill>
                    <w14:schemeClr w14:val="tx1"/>
                  </w14:solidFill>
                </w14:textFill>
              </w:rPr>
              <w:t>2</w:t>
            </w:r>
            <w:r>
              <w:rPr>
                <w:rFonts w:hint="eastAsia" w:ascii="宋体" w:hAnsi="宋体"/>
                <w:color w:val="000000" w:themeColor="text1"/>
                <w:szCs w:val="21"/>
                <w:vertAlign w:val="superscript"/>
                <w14:textFill>
                  <w14:solidFill>
                    <w14:schemeClr w14:val="tx1"/>
                  </w14:solidFill>
                </w14:textFill>
              </w:rPr>
              <w:t>2-</w:t>
            </w:r>
            <w:r>
              <w:rPr>
                <w:rFonts w:ascii="宋体" w:hAnsi="宋体"/>
                <w:color w:val="000000" w:themeColor="text1"/>
                <w:szCs w:val="21"/>
                <w:vertAlign w:val="superscript"/>
                <w14:textFill>
                  <w14:solidFill>
                    <w14:schemeClr w14:val="tx1"/>
                  </w14:solidFill>
                </w14:textFill>
              </w:rPr>
              <w:t>2</w:t>
            </w:r>
            <w:r>
              <w:rPr>
                <w:rFonts w:hint="eastAsia" w:ascii="宋体" w:hAnsi="宋体"/>
                <w:color w:val="000000" w:themeColor="text1"/>
                <w:szCs w:val="21"/>
                <w14:textFill>
                  <w14:solidFill>
                    <w14:schemeClr w14:val="tx1"/>
                  </w14:solidFill>
                </w14:textFill>
              </w:rPr>
              <w:t>储层主要为粉细砂岩，P</w:t>
            </w:r>
            <w:r>
              <w:rPr>
                <w:rFonts w:hint="eastAsia" w:ascii="宋体" w:hAnsi="宋体"/>
                <w:color w:val="000000" w:themeColor="text1"/>
                <w:szCs w:val="21"/>
                <w:vertAlign w:val="subscript"/>
                <w14:textFill>
                  <w14:solidFill>
                    <w14:schemeClr w14:val="tx1"/>
                  </w14:solidFill>
                </w14:textFill>
              </w:rPr>
              <w:t>2</w:t>
            </w:r>
            <w:r>
              <w:rPr>
                <w:rFonts w:hint="eastAsia" w:ascii="宋体" w:hAnsi="宋体"/>
                <w:i/>
                <w:iCs/>
                <w:color w:val="000000" w:themeColor="text1"/>
                <w:szCs w:val="21"/>
                <w14:textFill>
                  <w14:solidFill>
                    <w14:schemeClr w14:val="tx1"/>
                  </w14:solidFill>
                </w14:textFill>
              </w:rPr>
              <w:t>l</w:t>
            </w:r>
            <w:r>
              <w:rPr>
                <w:rFonts w:hint="eastAsia" w:ascii="宋体" w:hAnsi="宋体"/>
                <w:color w:val="000000" w:themeColor="text1"/>
                <w:szCs w:val="21"/>
                <w:vertAlign w:val="subscript"/>
                <w14:textFill>
                  <w14:solidFill>
                    <w14:schemeClr w14:val="tx1"/>
                  </w14:solidFill>
                </w14:textFill>
              </w:rPr>
              <w:t>2</w:t>
            </w:r>
            <w:r>
              <w:rPr>
                <w:rFonts w:hint="eastAsia" w:ascii="宋体" w:hAnsi="宋体"/>
                <w:color w:val="000000" w:themeColor="text1"/>
                <w:szCs w:val="21"/>
                <w:vertAlign w:val="superscript"/>
                <w14:textFill>
                  <w14:solidFill>
                    <w14:schemeClr w14:val="tx1"/>
                  </w14:solidFill>
                </w14:textFill>
              </w:rPr>
              <w:t>2-</w:t>
            </w:r>
            <w:r>
              <w:rPr>
                <w:rFonts w:ascii="宋体" w:hAnsi="宋体"/>
                <w:color w:val="000000" w:themeColor="text1"/>
                <w:szCs w:val="21"/>
                <w:vertAlign w:val="superscript"/>
                <w14:textFill>
                  <w14:solidFill>
                    <w14:schemeClr w14:val="tx1"/>
                  </w14:solidFill>
                </w14:textFill>
              </w:rPr>
              <w:t>3</w:t>
            </w:r>
            <w:r>
              <w:rPr>
                <w:rFonts w:hint="eastAsia" w:ascii="宋体" w:hAnsi="宋体"/>
                <w:color w:val="000000" w:themeColor="text1"/>
                <w:szCs w:val="21"/>
                <w14:textFill>
                  <w14:solidFill>
                    <w14:schemeClr w14:val="tx1"/>
                  </w14:solidFill>
                </w14:textFill>
              </w:rPr>
              <w:t>储层主要为云质粉砂岩，隔夹层（烃源岩）岩性主要为云质泥岩和粉砂质泥岩，含少量碳质泥岩。试验区储集空间以剩余粒间孔和溶蚀孔为主，</w:t>
            </w:r>
            <w:r>
              <w:rPr>
                <w:rFonts w:ascii="宋体" w:hAnsi="宋体"/>
                <w:color w:val="000000" w:themeColor="text1"/>
                <w:szCs w:val="21"/>
                <w14:textFill>
                  <w14:solidFill>
                    <w14:schemeClr w14:val="tx1"/>
                  </w14:solidFill>
                </w14:textFill>
              </w:rPr>
              <w:t>呈微米孔、纳米喉特征，</w:t>
            </w:r>
            <w:r>
              <w:rPr>
                <w:rFonts w:hint="eastAsia" w:ascii="宋体" w:hAnsi="宋体"/>
                <w:color w:val="000000" w:themeColor="text1"/>
                <w:szCs w:val="21"/>
                <w14:textFill>
                  <w14:solidFill>
                    <w14:schemeClr w14:val="tx1"/>
                  </w14:solidFill>
                </w14:textFill>
              </w:rPr>
              <w:t>孔隙半径多介于0.04-0.16</w:t>
            </w:r>
            <w:r>
              <w:rPr>
                <w:rFonts w:ascii="宋体" w:hAnsi="宋体"/>
                <w:color w:val="000000" w:themeColor="text1"/>
                <w:szCs w:val="21"/>
                <w14:textFill>
                  <w14:solidFill>
                    <w14:schemeClr w14:val="tx1"/>
                  </w14:solidFill>
                </w14:textFill>
              </w:rPr>
              <w:t>μ</w:t>
            </w:r>
            <w:r>
              <w:rPr>
                <w:rFonts w:hint="eastAsia" w:ascii="宋体" w:hAnsi="宋体"/>
                <w:color w:val="000000" w:themeColor="text1"/>
                <w:szCs w:val="21"/>
                <w14:textFill>
                  <w14:solidFill>
                    <w14:schemeClr w14:val="tx1"/>
                  </w14:solidFill>
                </w14:textFill>
              </w:rPr>
              <w:t>m之间，略大于上甜点整体。油层水平渗透率为0.061mD，属于低孔、特低超低渗储层；试验区有效孔隙度均值为14.4%，油层水平渗透率0.22mD，整体略优于上甜点。</w:t>
            </w:r>
          </w:p>
        </w:tc>
      </w:tr>
      <w:tr w14:paraId="52B06AB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cantSplit/>
          <w:trHeight w:val="340" w:hRule="atLeast"/>
          <w:jc w:val="center"/>
        </w:trPr>
        <w:tc>
          <w:tcPr>
            <w:tcW w:w="487" w:type="pct"/>
            <w:vAlign w:val="center"/>
          </w:tcPr>
          <w:p w14:paraId="231A76C8">
            <w:pPr>
              <w:pStyle w:val="342"/>
              <w:overflowPunct w:val="0"/>
              <w:snapToGrid w:val="0"/>
              <w:spacing w:line="300" w:lineRule="exact"/>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油藏</w:t>
            </w:r>
          </w:p>
          <w:p w14:paraId="494B8ABB">
            <w:pPr>
              <w:pStyle w:val="342"/>
              <w:overflowPunct w:val="0"/>
              <w:snapToGrid w:val="0"/>
              <w:spacing w:line="300" w:lineRule="exact"/>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类型</w:t>
            </w:r>
          </w:p>
        </w:tc>
        <w:tc>
          <w:tcPr>
            <w:tcW w:w="4513" w:type="pct"/>
            <w:vAlign w:val="center"/>
          </w:tcPr>
          <w:p w14:paraId="72160AFC">
            <w:pPr>
              <w:pStyle w:val="342"/>
              <w:overflowPunct w:val="0"/>
              <w:snapToGrid w:val="0"/>
              <w:spacing w:line="300" w:lineRule="exact"/>
              <w:jc w:val="both"/>
              <w:rPr>
                <w:rFonts w:hint="eastAsia" w:hAnsi="宋体"/>
                <w:color w:val="000000" w:themeColor="text1"/>
                <w:sz w:val="21"/>
                <w:szCs w:val="21"/>
                <w14:textFill>
                  <w14:solidFill>
                    <w14:schemeClr w14:val="tx1"/>
                  </w14:solidFill>
                </w14:textFill>
              </w:rPr>
            </w:pPr>
            <w:r>
              <w:rPr>
                <w:rFonts w:hint="eastAsia" w:hAnsi="宋体"/>
                <w:color w:val="000000" w:themeColor="text1"/>
                <w:sz w:val="21"/>
                <w:szCs w:val="21"/>
                <w14:textFill>
                  <w14:solidFill>
                    <w14:schemeClr w14:val="tx1"/>
                  </w14:solidFill>
                </w14:textFill>
              </w:rPr>
              <w:t>中深层常温高压常规稀油源内页岩油藏</w:t>
            </w:r>
          </w:p>
        </w:tc>
      </w:tr>
    </w:tbl>
    <w:p w14:paraId="54F9FFF6">
      <w:pPr>
        <w:pStyle w:val="117"/>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（3）流体性质</w:t>
      </w:r>
    </w:p>
    <w:p w14:paraId="15DD5D48">
      <w:pPr>
        <w:pStyle w:val="117"/>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本次参照页岩油区块已建吞吐井的原油性质来确定本项目原油性质，详见表3.2-5；吞吐井采出气中CO</w:t>
      </w:r>
      <w:r>
        <w:rPr>
          <w:rFonts w:hint="eastAsia"/>
          <w:color w:val="000000" w:themeColor="text1"/>
          <w:vertAlign w:val="subscript"/>
          <w14:textFill>
            <w14:solidFill>
              <w14:schemeClr w14:val="tx1"/>
            </w14:solidFill>
          </w14:textFill>
        </w:rPr>
        <w:t>2</w:t>
      </w:r>
      <w:r>
        <w:rPr>
          <w:rFonts w:hint="eastAsia"/>
          <w:color w:val="000000" w:themeColor="text1"/>
          <w14:textFill>
            <w14:solidFill>
              <w14:schemeClr w14:val="tx1"/>
            </w14:solidFill>
          </w14:textFill>
        </w:rPr>
        <w:t>含量较高，伴生气性质见表3.2-6，伴生气硫化氢的浓度在0～30ppm；采出水水型为重碳酸钠，矿化度较高，性质见表3.2-7。</w:t>
      </w:r>
    </w:p>
    <w:p w14:paraId="68504F9F">
      <w:pPr>
        <w:widowControl/>
        <w:adjustRightInd w:val="0"/>
        <w:snapToGrid w:val="0"/>
        <w:spacing w:line="500" w:lineRule="exact"/>
        <w:jc w:val="center"/>
        <w:rPr>
          <w:rFonts w:hint="eastAsia" w:ascii="黑体" w:hAnsi="黑体" w:eastAsia="黑体"/>
          <w:color w:val="000000" w:themeColor="text1"/>
          <w14:textFill>
            <w14:solidFill>
              <w14:schemeClr w14:val="tx1"/>
            </w14:solidFill>
          </w14:textFill>
        </w:rPr>
      </w:pPr>
      <w:r>
        <w:rPr>
          <w:rFonts w:hint="eastAsia" w:ascii="黑体" w:hAnsi="黑体" w:eastAsia="黑体"/>
          <w:color w:val="000000" w:themeColor="text1"/>
          <w14:textFill>
            <w14:solidFill>
              <w14:schemeClr w14:val="tx1"/>
            </w14:solidFill>
          </w14:textFill>
        </w:rPr>
        <w:t>3.2-5  吞吐井原油性质一览表</w:t>
      </w:r>
    </w:p>
    <w:tbl>
      <w:tblPr>
        <w:tblStyle w:val="51"/>
        <w:tblW w:w="5000" w:type="pct"/>
        <w:tblInd w:w="0" w:type="dxa"/>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0" w:type="dxa"/>
          <w:bottom w:w="0" w:type="dxa"/>
          <w:right w:w="0" w:type="dxa"/>
        </w:tblCellMar>
      </w:tblPr>
      <w:tblGrid>
        <w:gridCol w:w="1284"/>
        <w:gridCol w:w="885"/>
        <w:gridCol w:w="1033"/>
        <w:gridCol w:w="1088"/>
        <w:gridCol w:w="1075"/>
        <w:gridCol w:w="1047"/>
        <w:gridCol w:w="967"/>
        <w:gridCol w:w="819"/>
        <w:gridCol w:w="819"/>
      </w:tblGrid>
      <w:tr w14:paraId="765BB8BC">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c>
          <w:tcPr>
            <w:tcW w:w="712" w:type="pct"/>
            <w:shd w:val="clear" w:color="auto" w:fill="FFFFFF"/>
            <w:tcMar>
              <w:top w:w="72" w:type="dxa"/>
              <w:left w:w="144" w:type="dxa"/>
              <w:bottom w:w="72" w:type="dxa"/>
              <w:right w:w="144" w:type="dxa"/>
            </w:tcMar>
            <w:vAlign w:val="center"/>
          </w:tcPr>
          <w:p w14:paraId="6C0B7700">
            <w:pPr>
              <w:jc w:val="center"/>
              <w:rPr>
                <w:rFonts w:hint="eastAsia"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名称</w:t>
            </w:r>
          </w:p>
        </w:tc>
        <w:tc>
          <w:tcPr>
            <w:tcW w:w="491" w:type="pct"/>
            <w:shd w:val="clear" w:color="auto" w:fill="FFFFFF"/>
            <w:tcMar>
              <w:top w:w="57" w:type="dxa"/>
              <w:left w:w="144" w:type="dxa"/>
              <w:bottom w:w="57" w:type="dxa"/>
              <w:right w:w="144" w:type="dxa"/>
            </w:tcMar>
            <w:vAlign w:val="center"/>
          </w:tcPr>
          <w:p w14:paraId="0EE13EF4">
            <w:pPr>
              <w:jc w:val="center"/>
              <w:rPr>
                <w:rFonts w:hint="eastAsia"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层位</w:t>
            </w:r>
          </w:p>
        </w:tc>
        <w:tc>
          <w:tcPr>
            <w:tcW w:w="573" w:type="pct"/>
            <w:shd w:val="clear" w:color="auto" w:fill="FFFFFF"/>
            <w:tcMar>
              <w:top w:w="72" w:type="dxa"/>
              <w:left w:w="144" w:type="dxa"/>
              <w:bottom w:w="72" w:type="dxa"/>
              <w:right w:w="144" w:type="dxa"/>
            </w:tcMar>
            <w:vAlign w:val="center"/>
          </w:tcPr>
          <w:p w14:paraId="7238C52B">
            <w:pPr>
              <w:jc w:val="center"/>
              <w:rPr>
                <w:rFonts w:hint="eastAsia"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密度</w:t>
            </w:r>
          </w:p>
          <w:p w14:paraId="06F0FB1C">
            <w:pPr>
              <w:jc w:val="center"/>
              <w:rPr>
                <w:rFonts w:hint="eastAsia"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(g/cm</w:t>
            </w:r>
            <w:r>
              <w:rPr>
                <w:rFonts w:hint="eastAsia" w:ascii="宋体" w:hAnsi="宋体"/>
                <w:color w:val="000000" w:themeColor="text1"/>
                <w:vertAlign w:val="superscript"/>
                <w14:textFill>
                  <w14:solidFill>
                    <w14:schemeClr w14:val="tx1"/>
                  </w14:solidFill>
                </w14:textFill>
              </w:rPr>
              <w:t>3</w:t>
            </w:r>
            <w:r>
              <w:rPr>
                <w:rFonts w:hint="eastAsia" w:ascii="宋体" w:hAnsi="宋体"/>
                <w:color w:val="000000" w:themeColor="text1"/>
                <w14:textFill>
                  <w14:solidFill>
                    <w14:schemeClr w14:val="tx1"/>
                  </w14:solidFill>
                </w14:textFill>
              </w:rPr>
              <w:t>)</w:t>
            </w:r>
          </w:p>
        </w:tc>
        <w:tc>
          <w:tcPr>
            <w:tcW w:w="603" w:type="pct"/>
            <w:shd w:val="clear" w:color="auto" w:fill="FFFFFF"/>
            <w:tcMar>
              <w:top w:w="72" w:type="dxa"/>
              <w:left w:w="144" w:type="dxa"/>
              <w:bottom w:w="72" w:type="dxa"/>
              <w:right w:w="144" w:type="dxa"/>
            </w:tcMar>
            <w:vAlign w:val="center"/>
          </w:tcPr>
          <w:p w14:paraId="65DE17A5">
            <w:pPr>
              <w:jc w:val="center"/>
              <w:rPr>
                <w:rFonts w:hint="eastAsia"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40℃粘度(mPa.s)</w:t>
            </w:r>
          </w:p>
        </w:tc>
        <w:tc>
          <w:tcPr>
            <w:tcW w:w="596" w:type="pct"/>
            <w:shd w:val="clear" w:color="auto" w:fill="FFFFFF"/>
            <w:tcMar>
              <w:top w:w="72" w:type="dxa"/>
              <w:left w:w="144" w:type="dxa"/>
              <w:bottom w:w="72" w:type="dxa"/>
              <w:right w:w="144" w:type="dxa"/>
            </w:tcMar>
            <w:vAlign w:val="center"/>
          </w:tcPr>
          <w:p w14:paraId="143DF0CE">
            <w:pPr>
              <w:jc w:val="center"/>
              <w:rPr>
                <w:rFonts w:hint="eastAsia"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50℃粘度(mPa.s)</w:t>
            </w:r>
          </w:p>
        </w:tc>
        <w:tc>
          <w:tcPr>
            <w:tcW w:w="581" w:type="pct"/>
            <w:shd w:val="clear" w:color="auto" w:fill="FFFFFF"/>
            <w:tcMar>
              <w:top w:w="72" w:type="dxa"/>
              <w:left w:w="144" w:type="dxa"/>
              <w:bottom w:w="72" w:type="dxa"/>
              <w:right w:w="144" w:type="dxa"/>
            </w:tcMar>
            <w:vAlign w:val="center"/>
          </w:tcPr>
          <w:p w14:paraId="274BDCD7">
            <w:pPr>
              <w:jc w:val="center"/>
              <w:rPr>
                <w:rFonts w:hint="eastAsia"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含蜡</w:t>
            </w:r>
          </w:p>
          <w:p w14:paraId="2463DAF4">
            <w:pPr>
              <w:jc w:val="center"/>
              <w:rPr>
                <w:rFonts w:hint="eastAsia"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w:t>
            </w:r>
          </w:p>
        </w:tc>
        <w:tc>
          <w:tcPr>
            <w:tcW w:w="536" w:type="pct"/>
            <w:shd w:val="clear" w:color="auto" w:fill="FFFFFF"/>
            <w:tcMar>
              <w:top w:w="72" w:type="dxa"/>
              <w:left w:w="144" w:type="dxa"/>
              <w:bottom w:w="72" w:type="dxa"/>
              <w:right w:w="144" w:type="dxa"/>
            </w:tcMar>
            <w:vAlign w:val="center"/>
          </w:tcPr>
          <w:p w14:paraId="25D39AFC">
            <w:pPr>
              <w:jc w:val="center"/>
              <w:rPr>
                <w:rFonts w:hint="eastAsia"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凝固点</w:t>
            </w:r>
          </w:p>
          <w:p w14:paraId="41ED6EF1">
            <w:pPr>
              <w:jc w:val="center"/>
              <w:rPr>
                <w:rFonts w:hint="eastAsia"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w:t>
            </w:r>
          </w:p>
        </w:tc>
        <w:tc>
          <w:tcPr>
            <w:tcW w:w="454" w:type="pct"/>
            <w:shd w:val="clear" w:color="auto" w:fill="FFFFFF"/>
            <w:tcMar>
              <w:top w:w="72" w:type="dxa"/>
              <w:left w:w="144" w:type="dxa"/>
              <w:bottom w:w="72" w:type="dxa"/>
              <w:right w:w="144" w:type="dxa"/>
            </w:tcMar>
            <w:vAlign w:val="center"/>
          </w:tcPr>
          <w:p w14:paraId="4CC5F2A2">
            <w:pPr>
              <w:jc w:val="center"/>
              <w:rPr>
                <w:rFonts w:hint="eastAsia"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初馏点(℃)</w:t>
            </w:r>
          </w:p>
        </w:tc>
        <w:tc>
          <w:tcPr>
            <w:tcW w:w="454" w:type="pct"/>
            <w:shd w:val="clear" w:color="auto" w:fill="FFFFFF"/>
            <w:tcMar>
              <w:top w:w="72" w:type="dxa"/>
              <w:left w:w="144" w:type="dxa"/>
              <w:bottom w:w="72" w:type="dxa"/>
              <w:right w:w="144" w:type="dxa"/>
            </w:tcMar>
            <w:vAlign w:val="center"/>
          </w:tcPr>
          <w:p w14:paraId="60FA1DF2">
            <w:pPr>
              <w:jc w:val="center"/>
              <w:rPr>
                <w:rFonts w:hint="eastAsia"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析蜡点(℃)</w:t>
            </w:r>
          </w:p>
        </w:tc>
      </w:tr>
      <w:tr w14:paraId="39B55A78">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c>
          <w:tcPr>
            <w:tcW w:w="712" w:type="pct"/>
            <w:shd w:val="clear" w:color="auto" w:fill="FFFFFF"/>
            <w:tcMar>
              <w:top w:w="15" w:type="dxa"/>
              <w:left w:w="108" w:type="dxa"/>
              <w:right w:w="108" w:type="dxa"/>
            </w:tcMar>
            <w:vAlign w:val="center"/>
          </w:tcPr>
          <w:p w14:paraId="37CAECBF">
            <w:pPr>
              <w:jc w:val="center"/>
              <w:rPr>
                <w:rFonts w:hint="eastAsia"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JHW00722</w:t>
            </w:r>
          </w:p>
        </w:tc>
        <w:tc>
          <w:tcPr>
            <w:tcW w:w="491" w:type="pct"/>
            <w:vMerge w:val="restart"/>
            <w:shd w:val="clear" w:color="auto" w:fill="FFFFFF"/>
            <w:tcMar>
              <w:top w:w="57" w:type="dxa"/>
              <w:left w:w="144" w:type="dxa"/>
              <w:bottom w:w="57" w:type="dxa"/>
              <w:right w:w="144" w:type="dxa"/>
            </w:tcMar>
            <w:vAlign w:val="center"/>
          </w:tcPr>
          <w:p w14:paraId="7EE93D51">
            <w:pPr>
              <w:jc w:val="center"/>
              <w:rPr>
                <w:rFonts w:hint="eastAsia"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上甜点</w:t>
            </w:r>
          </w:p>
        </w:tc>
        <w:tc>
          <w:tcPr>
            <w:tcW w:w="573" w:type="pct"/>
            <w:shd w:val="clear" w:color="auto" w:fill="FFFFFF"/>
            <w:tcMar>
              <w:top w:w="57" w:type="dxa"/>
              <w:left w:w="6" w:type="dxa"/>
              <w:bottom w:w="57" w:type="dxa"/>
              <w:right w:w="6" w:type="dxa"/>
            </w:tcMar>
            <w:vAlign w:val="center"/>
          </w:tcPr>
          <w:p w14:paraId="54E235C6">
            <w:pPr>
              <w:jc w:val="center"/>
              <w:rPr>
                <w:rFonts w:hint="eastAsia"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0.8935</w:t>
            </w:r>
          </w:p>
        </w:tc>
        <w:tc>
          <w:tcPr>
            <w:tcW w:w="603" w:type="pct"/>
            <w:shd w:val="clear" w:color="auto" w:fill="FFFFFF"/>
            <w:tcMar>
              <w:top w:w="15" w:type="dxa"/>
              <w:left w:w="108" w:type="dxa"/>
              <w:right w:w="108" w:type="dxa"/>
            </w:tcMar>
            <w:vAlign w:val="center"/>
          </w:tcPr>
          <w:p w14:paraId="0535D5C2">
            <w:pPr>
              <w:jc w:val="center"/>
              <w:rPr>
                <w:rFonts w:hint="eastAsia"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122</w:t>
            </w:r>
          </w:p>
        </w:tc>
        <w:tc>
          <w:tcPr>
            <w:tcW w:w="596" w:type="pct"/>
            <w:shd w:val="clear" w:color="auto" w:fill="FFFFFF"/>
            <w:tcMar>
              <w:top w:w="15" w:type="dxa"/>
              <w:left w:w="108" w:type="dxa"/>
              <w:right w:w="108" w:type="dxa"/>
            </w:tcMar>
            <w:vAlign w:val="center"/>
          </w:tcPr>
          <w:p w14:paraId="7D562B5F">
            <w:pPr>
              <w:jc w:val="center"/>
              <w:rPr>
                <w:rFonts w:hint="eastAsia"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74</w:t>
            </w:r>
          </w:p>
        </w:tc>
        <w:tc>
          <w:tcPr>
            <w:tcW w:w="581" w:type="pct"/>
            <w:shd w:val="clear" w:color="auto" w:fill="FFFFFF"/>
            <w:tcMar>
              <w:top w:w="57" w:type="dxa"/>
              <w:left w:w="15" w:type="dxa"/>
              <w:bottom w:w="57" w:type="dxa"/>
              <w:right w:w="15" w:type="dxa"/>
            </w:tcMar>
            <w:vAlign w:val="center"/>
          </w:tcPr>
          <w:p w14:paraId="6DCAC8AE">
            <w:pPr>
              <w:jc w:val="center"/>
              <w:rPr>
                <w:rFonts w:hint="eastAsia"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6.97</w:t>
            </w:r>
          </w:p>
        </w:tc>
        <w:tc>
          <w:tcPr>
            <w:tcW w:w="536" w:type="pct"/>
            <w:shd w:val="clear" w:color="auto" w:fill="FFFFFF"/>
            <w:tcMar>
              <w:top w:w="15" w:type="dxa"/>
              <w:left w:w="108" w:type="dxa"/>
              <w:right w:w="108" w:type="dxa"/>
            </w:tcMar>
            <w:vAlign w:val="center"/>
          </w:tcPr>
          <w:p w14:paraId="1781AE14">
            <w:pPr>
              <w:jc w:val="center"/>
              <w:rPr>
                <w:rFonts w:hint="eastAsia"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34</w:t>
            </w:r>
          </w:p>
        </w:tc>
        <w:tc>
          <w:tcPr>
            <w:tcW w:w="454" w:type="pct"/>
            <w:shd w:val="clear" w:color="auto" w:fill="FFFFFF"/>
            <w:tcMar>
              <w:top w:w="15" w:type="dxa"/>
              <w:left w:w="108" w:type="dxa"/>
              <w:right w:w="108" w:type="dxa"/>
            </w:tcMar>
            <w:vAlign w:val="center"/>
          </w:tcPr>
          <w:p w14:paraId="64FFFA46">
            <w:pPr>
              <w:jc w:val="center"/>
              <w:rPr>
                <w:rFonts w:hint="eastAsia"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150</w:t>
            </w:r>
          </w:p>
        </w:tc>
        <w:tc>
          <w:tcPr>
            <w:tcW w:w="454" w:type="pct"/>
            <w:shd w:val="clear" w:color="auto" w:fill="FFFFFF"/>
            <w:tcMar>
              <w:top w:w="15" w:type="dxa"/>
              <w:left w:w="108" w:type="dxa"/>
              <w:right w:w="108" w:type="dxa"/>
            </w:tcMar>
            <w:vAlign w:val="center"/>
          </w:tcPr>
          <w:p w14:paraId="4B31346F">
            <w:pPr>
              <w:jc w:val="center"/>
              <w:rPr>
                <w:rFonts w:hint="eastAsia"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42</w:t>
            </w:r>
          </w:p>
        </w:tc>
      </w:tr>
      <w:tr w14:paraId="7FA97AEC">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c>
          <w:tcPr>
            <w:tcW w:w="712" w:type="pct"/>
            <w:shd w:val="clear" w:color="auto" w:fill="FFFFFF"/>
            <w:tcMar>
              <w:top w:w="15" w:type="dxa"/>
              <w:left w:w="108" w:type="dxa"/>
              <w:right w:w="108" w:type="dxa"/>
            </w:tcMar>
            <w:vAlign w:val="center"/>
          </w:tcPr>
          <w:p w14:paraId="7D5C86C1">
            <w:pPr>
              <w:jc w:val="center"/>
              <w:rPr>
                <w:rFonts w:hint="eastAsia"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JHW00724</w:t>
            </w:r>
          </w:p>
        </w:tc>
        <w:tc>
          <w:tcPr>
            <w:tcW w:w="491" w:type="pct"/>
            <w:vMerge w:val="continue"/>
            <w:shd w:val="clear" w:color="auto" w:fill="FFFFFF"/>
            <w:tcMar>
              <w:top w:w="57" w:type="dxa"/>
              <w:left w:w="144" w:type="dxa"/>
              <w:bottom w:w="57" w:type="dxa"/>
              <w:right w:w="144" w:type="dxa"/>
            </w:tcMar>
            <w:vAlign w:val="center"/>
          </w:tcPr>
          <w:p w14:paraId="61AAA029">
            <w:pPr>
              <w:jc w:val="center"/>
              <w:rPr>
                <w:rFonts w:hint="eastAsia" w:ascii="宋体" w:hAnsi="宋体"/>
                <w:color w:val="000000" w:themeColor="text1"/>
                <w14:textFill>
                  <w14:solidFill>
                    <w14:schemeClr w14:val="tx1"/>
                  </w14:solidFill>
                </w14:textFill>
              </w:rPr>
            </w:pPr>
          </w:p>
        </w:tc>
        <w:tc>
          <w:tcPr>
            <w:tcW w:w="573" w:type="pct"/>
            <w:shd w:val="clear" w:color="auto" w:fill="FFFFFF"/>
            <w:tcMar>
              <w:top w:w="57" w:type="dxa"/>
              <w:left w:w="6" w:type="dxa"/>
              <w:bottom w:w="57" w:type="dxa"/>
              <w:right w:w="6" w:type="dxa"/>
            </w:tcMar>
            <w:vAlign w:val="center"/>
          </w:tcPr>
          <w:p w14:paraId="69CF1D15">
            <w:pPr>
              <w:jc w:val="center"/>
              <w:rPr>
                <w:rFonts w:hint="eastAsia"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0.8988</w:t>
            </w:r>
          </w:p>
        </w:tc>
        <w:tc>
          <w:tcPr>
            <w:tcW w:w="603" w:type="pct"/>
            <w:shd w:val="clear" w:color="auto" w:fill="FFFFFF"/>
            <w:tcMar>
              <w:top w:w="15" w:type="dxa"/>
              <w:left w:w="108" w:type="dxa"/>
              <w:right w:w="108" w:type="dxa"/>
            </w:tcMar>
            <w:vAlign w:val="center"/>
          </w:tcPr>
          <w:p w14:paraId="499BA6D0">
            <w:pPr>
              <w:jc w:val="center"/>
              <w:rPr>
                <w:rFonts w:hint="eastAsia"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113</w:t>
            </w:r>
          </w:p>
        </w:tc>
        <w:tc>
          <w:tcPr>
            <w:tcW w:w="596" w:type="pct"/>
            <w:shd w:val="clear" w:color="auto" w:fill="FFFFFF"/>
            <w:tcMar>
              <w:top w:w="15" w:type="dxa"/>
              <w:left w:w="108" w:type="dxa"/>
              <w:right w:w="108" w:type="dxa"/>
            </w:tcMar>
            <w:vAlign w:val="center"/>
          </w:tcPr>
          <w:p w14:paraId="735B60E3">
            <w:pPr>
              <w:jc w:val="center"/>
              <w:rPr>
                <w:rFonts w:hint="eastAsia"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69.5</w:t>
            </w:r>
          </w:p>
        </w:tc>
        <w:tc>
          <w:tcPr>
            <w:tcW w:w="581" w:type="pct"/>
            <w:shd w:val="clear" w:color="auto" w:fill="FFFFFF"/>
            <w:tcMar>
              <w:top w:w="57" w:type="dxa"/>
              <w:left w:w="15" w:type="dxa"/>
              <w:bottom w:w="57" w:type="dxa"/>
              <w:right w:w="15" w:type="dxa"/>
            </w:tcMar>
            <w:vAlign w:val="center"/>
          </w:tcPr>
          <w:p w14:paraId="13A0D0D0">
            <w:pPr>
              <w:jc w:val="center"/>
              <w:rPr>
                <w:rFonts w:hint="eastAsia"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4.07</w:t>
            </w:r>
          </w:p>
        </w:tc>
        <w:tc>
          <w:tcPr>
            <w:tcW w:w="536" w:type="pct"/>
            <w:shd w:val="clear" w:color="auto" w:fill="FFFFFF"/>
            <w:tcMar>
              <w:top w:w="15" w:type="dxa"/>
              <w:left w:w="108" w:type="dxa"/>
              <w:right w:w="108" w:type="dxa"/>
            </w:tcMar>
            <w:vAlign w:val="center"/>
          </w:tcPr>
          <w:p w14:paraId="1B778837">
            <w:pPr>
              <w:jc w:val="center"/>
              <w:rPr>
                <w:rFonts w:hint="eastAsia"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22</w:t>
            </w:r>
          </w:p>
        </w:tc>
        <w:tc>
          <w:tcPr>
            <w:tcW w:w="454" w:type="pct"/>
            <w:shd w:val="clear" w:color="auto" w:fill="FFFFFF"/>
            <w:tcMar>
              <w:top w:w="15" w:type="dxa"/>
              <w:left w:w="108" w:type="dxa"/>
              <w:right w:w="108" w:type="dxa"/>
            </w:tcMar>
            <w:vAlign w:val="center"/>
          </w:tcPr>
          <w:p w14:paraId="53B178DA">
            <w:pPr>
              <w:jc w:val="center"/>
              <w:rPr>
                <w:rFonts w:hint="eastAsia"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142</w:t>
            </w:r>
          </w:p>
        </w:tc>
        <w:tc>
          <w:tcPr>
            <w:tcW w:w="454" w:type="pct"/>
            <w:shd w:val="clear" w:color="auto" w:fill="FFFFFF"/>
            <w:tcMar>
              <w:top w:w="15" w:type="dxa"/>
              <w:left w:w="108" w:type="dxa"/>
              <w:right w:w="108" w:type="dxa"/>
            </w:tcMar>
            <w:vAlign w:val="center"/>
          </w:tcPr>
          <w:p w14:paraId="5A7618FD">
            <w:pPr>
              <w:jc w:val="center"/>
              <w:rPr>
                <w:rFonts w:hint="eastAsia"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30</w:t>
            </w:r>
          </w:p>
        </w:tc>
      </w:tr>
      <w:tr w14:paraId="3CC65F51">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c>
          <w:tcPr>
            <w:tcW w:w="712" w:type="pct"/>
            <w:shd w:val="clear" w:color="auto" w:fill="FFFFFF"/>
            <w:tcMar>
              <w:top w:w="15" w:type="dxa"/>
              <w:left w:w="108" w:type="dxa"/>
              <w:right w:w="108" w:type="dxa"/>
            </w:tcMar>
            <w:vAlign w:val="center"/>
          </w:tcPr>
          <w:p w14:paraId="23DDA7D9">
            <w:pPr>
              <w:jc w:val="center"/>
              <w:rPr>
                <w:rFonts w:hint="eastAsia"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均值</w:t>
            </w:r>
          </w:p>
        </w:tc>
        <w:tc>
          <w:tcPr>
            <w:tcW w:w="491" w:type="pct"/>
            <w:vMerge w:val="continue"/>
            <w:shd w:val="clear" w:color="auto" w:fill="FFFFFF"/>
            <w:tcMar>
              <w:top w:w="57" w:type="dxa"/>
              <w:left w:w="144" w:type="dxa"/>
              <w:bottom w:w="57" w:type="dxa"/>
              <w:right w:w="144" w:type="dxa"/>
            </w:tcMar>
            <w:vAlign w:val="center"/>
          </w:tcPr>
          <w:p w14:paraId="097CE9E8">
            <w:pPr>
              <w:jc w:val="center"/>
              <w:rPr>
                <w:rFonts w:hint="eastAsia" w:ascii="宋体" w:hAnsi="宋体"/>
                <w:color w:val="000000" w:themeColor="text1"/>
                <w14:textFill>
                  <w14:solidFill>
                    <w14:schemeClr w14:val="tx1"/>
                  </w14:solidFill>
                </w14:textFill>
              </w:rPr>
            </w:pPr>
          </w:p>
        </w:tc>
        <w:tc>
          <w:tcPr>
            <w:tcW w:w="573" w:type="pct"/>
            <w:shd w:val="clear" w:color="auto" w:fill="FFFFFF"/>
            <w:tcMar>
              <w:top w:w="57" w:type="dxa"/>
              <w:left w:w="6" w:type="dxa"/>
              <w:bottom w:w="57" w:type="dxa"/>
              <w:right w:w="6" w:type="dxa"/>
            </w:tcMar>
            <w:vAlign w:val="center"/>
          </w:tcPr>
          <w:p w14:paraId="182613FE">
            <w:pPr>
              <w:jc w:val="center"/>
              <w:rPr>
                <w:rFonts w:hint="eastAsia"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0.89615</w:t>
            </w:r>
          </w:p>
        </w:tc>
        <w:tc>
          <w:tcPr>
            <w:tcW w:w="603" w:type="pct"/>
            <w:shd w:val="clear" w:color="auto" w:fill="FFFFFF"/>
            <w:tcMar>
              <w:top w:w="15" w:type="dxa"/>
              <w:left w:w="108" w:type="dxa"/>
              <w:right w:w="108" w:type="dxa"/>
            </w:tcMar>
            <w:vAlign w:val="center"/>
          </w:tcPr>
          <w:p w14:paraId="07D9BF49">
            <w:pPr>
              <w:jc w:val="center"/>
              <w:rPr>
                <w:rFonts w:hint="eastAsia"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117.5</w:t>
            </w:r>
          </w:p>
        </w:tc>
        <w:tc>
          <w:tcPr>
            <w:tcW w:w="596" w:type="pct"/>
            <w:shd w:val="clear" w:color="auto" w:fill="FFFFFF"/>
            <w:tcMar>
              <w:top w:w="15" w:type="dxa"/>
              <w:left w:w="108" w:type="dxa"/>
              <w:right w:w="108" w:type="dxa"/>
            </w:tcMar>
            <w:vAlign w:val="center"/>
          </w:tcPr>
          <w:p w14:paraId="478BF5FD">
            <w:pPr>
              <w:jc w:val="center"/>
              <w:rPr>
                <w:rFonts w:hint="eastAsia"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71.75</w:t>
            </w:r>
          </w:p>
        </w:tc>
        <w:tc>
          <w:tcPr>
            <w:tcW w:w="581" w:type="pct"/>
            <w:shd w:val="clear" w:color="auto" w:fill="FFFFFF"/>
            <w:tcMar>
              <w:top w:w="57" w:type="dxa"/>
              <w:left w:w="15" w:type="dxa"/>
              <w:bottom w:w="57" w:type="dxa"/>
              <w:right w:w="15" w:type="dxa"/>
            </w:tcMar>
            <w:vAlign w:val="center"/>
          </w:tcPr>
          <w:p w14:paraId="5F68B3AA">
            <w:pPr>
              <w:jc w:val="center"/>
              <w:rPr>
                <w:rFonts w:hint="eastAsia"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5.52</w:t>
            </w:r>
          </w:p>
        </w:tc>
        <w:tc>
          <w:tcPr>
            <w:tcW w:w="536" w:type="pct"/>
            <w:shd w:val="clear" w:color="auto" w:fill="FFFFFF"/>
            <w:tcMar>
              <w:top w:w="15" w:type="dxa"/>
              <w:left w:w="108" w:type="dxa"/>
              <w:right w:w="108" w:type="dxa"/>
            </w:tcMar>
            <w:vAlign w:val="center"/>
          </w:tcPr>
          <w:p w14:paraId="4EC168E8">
            <w:pPr>
              <w:jc w:val="center"/>
              <w:rPr>
                <w:rFonts w:hint="eastAsia"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28</w:t>
            </w:r>
          </w:p>
        </w:tc>
        <w:tc>
          <w:tcPr>
            <w:tcW w:w="454" w:type="pct"/>
            <w:shd w:val="clear" w:color="auto" w:fill="FFFFFF"/>
            <w:tcMar>
              <w:top w:w="15" w:type="dxa"/>
              <w:left w:w="108" w:type="dxa"/>
              <w:right w:w="108" w:type="dxa"/>
            </w:tcMar>
            <w:vAlign w:val="center"/>
          </w:tcPr>
          <w:p w14:paraId="6CE2788D">
            <w:pPr>
              <w:jc w:val="center"/>
              <w:rPr>
                <w:rFonts w:hint="eastAsia"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146</w:t>
            </w:r>
          </w:p>
        </w:tc>
        <w:tc>
          <w:tcPr>
            <w:tcW w:w="454" w:type="pct"/>
            <w:shd w:val="clear" w:color="auto" w:fill="FFFFFF"/>
            <w:tcMar>
              <w:top w:w="15" w:type="dxa"/>
              <w:left w:w="108" w:type="dxa"/>
              <w:right w:w="108" w:type="dxa"/>
            </w:tcMar>
            <w:vAlign w:val="center"/>
          </w:tcPr>
          <w:p w14:paraId="4737A51F">
            <w:pPr>
              <w:jc w:val="center"/>
              <w:rPr>
                <w:rFonts w:hint="eastAsia"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36</w:t>
            </w:r>
          </w:p>
        </w:tc>
      </w:tr>
      <w:bookmarkEnd w:id="252"/>
    </w:tbl>
    <w:p w14:paraId="21438417">
      <w:pPr>
        <w:widowControl/>
        <w:adjustRightInd w:val="0"/>
        <w:snapToGrid w:val="0"/>
        <w:spacing w:line="500" w:lineRule="exact"/>
        <w:jc w:val="center"/>
        <w:rPr>
          <w:rFonts w:hint="eastAsia" w:ascii="黑体" w:hAnsi="黑体" w:eastAsia="黑体"/>
          <w:color w:val="000000" w:themeColor="text1"/>
          <w14:textFill>
            <w14:solidFill>
              <w14:schemeClr w14:val="tx1"/>
            </w14:solidFill>
          </w14:textFill>
        </w:rPr>
      </w:pPr>
      <w:r>
        <w:rPr>
          <w:rFonts w:hint="eastAsia" w:ascii="黑体" w:hAnsi="黑体" w:eastAsia="黑体"/>
          <w:color w:val="000000" w:themeColor="text1"/>
          <w14:textFill>
            <w14:solidFill>
              <w14:schemeClr w14:val="tx1"/>
            </w14:solidFill>
          </w14:textFill>
        </w:rPr>
        <w:t>表3.2-6  吞吐井伴生气性质一览表</w:t>
      </w:r>
    </w:p>
    <w:tbl>
      <w:tblPr>
        <w:tblStyle w:val="51"/>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1103"/>
        <w:gridCol w:w="777"/>
        <w:gridCol w:w="552"/>
        <w:gridCol w:w="863"/>
        <w:gridCol w:w="630"/>
        <w:gridCol w:w="698"/>
        <w:gridCol w:w="697"/>
        <w:gridCol w:w="648"/>
        <w:gridCol w:w="697"/>
        <w:gridCol w:w="698"/>
        <w:gridCol w:w="698"/>
        <w:gridCol w:w="669"/>
      </w:tblGrid>
      <w:tr w14:paraId="19A2F83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jc w:val="center"/>
        </w:trPr>
        <w:tc>
          <w:tcPr>
            <w:tcW w:w="632" w:type="pct"/>
            <w:vMerge w:val="restart"/>
            <w:vAlign w:val="center"/>
          </w:tcPr>
          <w:p w14:paraId="362F1BC8">
            <w:pPr>
              <w:adjustRightInd w:val="0"/>
              <w:snapToGrid w:val="0"/>
              <w:spacing w:line="300" w:lineRule="exact"/>
              <w:jc w:val="center"/>
              <w:rPr>
                <w:rFonts w:hint="eastAsia" w:ascii="宋体" w:hAnsi="宋体"/>
                <w:color w:val="000000" w:themeColor="text1"/>
                <w:kern w:val="0"/>
                <w:szCs w:val="21"/>
                <w14:textFill>
                  <w14:solidFill>
                    <w14:schemeClr w14:val="tx1"/>
                  </w14:solidFill>
                </w14:textFill>
              </w:rPr>
            </w:pPr>
            <w:r>
              <w:rPr>
                <w:rFonts w:ascii="宋体" w:hAnsi="宋体"/>
                <w:color w:val="000000" w:themeColor="text1"/>
                <w:kern w:val="0"/>
                <w:szCs w:val="21"/>
                <w14:textFill>
                  <w14:solidFill>
                    <w14:schemeClr w14:val="tx1"/>
                  </w14:solidFill>
                </w14:textFill>
              </w:rPr>
              <w:t>层位</w:t>
            </w:r>
          </w:p>
        </w:tc>
        <w:tc>
          <w:tcPr>
            <w:tcW w:w="445" w:type="pct"/>
            <w:vMerge w:val="restart"/>
            <w:vAlign w:val="center"/>
          </w:tcPr>
          <w:p w14:paraId="48498EB0">
            <w:pPr>
              <w:adjustRightInd w:val="0"/>
              <w:snapToGrid w:val="0"/>
              <w:spacing w:line="300" w:lineRule="exact"/>
              <w:jc w:val="center"/>
              <w:rPr>
                <w:rFonts w:hint="eastAsia" w:ascii="宋体" w:hAnsi="宋体"/>
                <w:color w:val="000000" w:themeColor="text1"/>
                <w:kern w:val="0"/>
                <w:szCs w:val="21"/>
                <w14:textFill>
                  <w14:solidFill>
                    <w14:schemeClr w14:val="tx1"/>
                  </w14:solidFill>
                </w14:textFill>
              </w:rPr>
            </w:pPr>
            <w:r>
              <w:rPr>
                <w:rFonts w:ascii="宋体" w:hAnsi="宋体"/>
                <w:color w:val="000000" w:themeColor="text1"/>
                <w:kern w:val="0"/>
                <w:szCs w:val="21"/>
                <w14:textFill>
                  <w14:solidFill>
                    <w14:schemeClr w14:val="tx1"/>
                  </w14:solidFill>
                </w14:textFill>
              </w:rPr>
              <w:t>相对</w:t>
            </w:r>
          </w:p>
          <w:p w14:paraId="48F3D745">
            <w:pPr>
              <w:adjustRightInd w:val="0"/>
              <w:snapToGrid w:val="0"/>
              <w:spacing w:line="300" w:lineRule="exact"/>
              <w:jc w:val="center"/>
              <w:rPr>
                <w:rFonts w:hint="eastAsia" w:ascii="宋体" w:hAnsi="宋体"/>
                <w:color w:val="000000" w:themeColor="text1"/>
                <w:kern w:val="0"/>
                <w:szCs w:val="21"/>
                <w14:textFill>
                  <w14:solidFill>
                    <w14:schemeClr w14:val="tx1"/>
                  </w14:solidFill>
                </w14:textFill>
              </w:rPr>
            </w:pPr>
            <w:r>
              <w:rPr>
                <w:rFonts w:ascii="宋体" w:hAnsi="宋体"/>
                <w:color w:val="000000" w:themeColor="text1"/>
                <w:kern w:val="0"/>
                <w:szCs w:val="21"/>
                <w14:textFill>
                  <w14:solidFill>
                    <w14:schemeClr w14:val="tx1"/>
                  </w14:solidFill>
                </w14:textFill>
              </w:rPr>
              <w:t>密度</w:t>
            </w:r>
          </w:p>
        </w:tc>
        <w:tc>
          <w:tcPr>
            <w:tcW w:w="3923" w:type="pct"/>
            <w:gridSpan w:val="10"/>
            <w:vAlign w:val="center"/>
          </w:tcPr>
          <w:p w14:paraId="4D964A08">
            <w:pPr>
              <w:adjustRightInd w:val="0"/>
              <w:snapToGrid w:val="0"/>
              <w:spacing w:line="300" w:lineRule="exact"/>
              <w:jc w:val="center"/>
              <w:rPr>
                <w:rFonts w:hint="eastAsia" w:ascii="宋体" w:hAnsi="宋体"/>
                <w:color w:val="000000" w:themeColor="text1"/>
                <w:kern w:val="0"/>
                <w:szCs w:val="21"/>
                <w14:textFill>
                  <w14:solidFill>
                    <w14:schemeClr w14:val="tx1"/>
                  </w14:solidFill>
                </w14:textFill>
              </w:rPr>
            </w:pPr>
            <w:r>
              <w:rPr>
                <w:rFonts w:ascii="宋体" w:hAnsi="宋体"/>
                <w:color w:val="000000" w:themeColor="text1"/>
                <w:kern w:val="0"/>
                <w:szCs w:val="21"/>
                <w14:textFill>
                  <w14:solidFill>
                    <w14:schemeClr w14:val="tx1"/>
                  </w14:solidFill>
                </w14:textFill>
              </w:rPr>
              <w:t>烃类组份（%）</w:t>
            </w:r>
          </w:p>
        </w:tc>
      </w:tr>
      <w:tr w14:paraId="46D2D49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jc w:val="center"/>
        </w:trPr>
        <w:tc>
          <w:tcPr>
            <w:tcW w:w="632" w:type="pct"/>
            <w:vMerge w:val="continue"/>
            <w:vAlign w:val="center"/>
          </w:tcPr>
          <w:p w14:paraId="1C1816C4">
            <w:pPr>
              <w:adjustRightInd w:val="0"/>
              <w:snapToGrid w:val="0"/>
              <w:spacing w:line="300" w:lineRule="exact"/>
              <w:jc w:val="center"/>
              <w:rPr>
                <w:rFonts w:hint="eastAsia" w:ascii="宋体" w:hAnsi="宋体"/>
                <w:color w:val="000000" w:themeColor="text1"/>
                <w:szCs w:val="21"/>
                <w14:textFill>
                  <w14:solidFill>
                    <w14:schemeClr w14:val="tx1"/>
                  </w14:solidFill>
                </w14:textFill>
              </w:rPr>
            </w:pPr>
          </w:p>
        </w:tc>
        <w:tc>
          <w:tcPr>
            <w:tcW w:w="445" w:type="pct"/>
            <w:vMerge w:val="continue"/>
            <w:vAlign w:val="center"/>
          </w:tcPr>
          <w:p w14:paraId="632E220F">
            <w:pPr>
              <w:adjustRightInd w:val="0"/>
              <w:snapToGrid w:val="0"/>
              <w:spacing w:line="300" w:lineRule="exact"/>
              <w:jc w:val="center"/>
              <w:rPr>
                <w:rFonts w:hint="eastAsia" w:ascii="宋体" w:hAnsi="宋体"/>
                <w:color w:val="000000" w:themeColor="text1"/>
                <w:szCs w:val="21"/>
                <w14:textFill>
                  <w14:solidFill>
                    <w14:schemeClr w14:val="tx1"/>
                  </w14:solidFill>
                </w14:textFill>
              </w:rPr>
            </w:pPr>
          </w:p>
        </w:tc>
        <w:tc>
          <w:tcPr>
            <w:tcW w:w="316" w:type="pct"/>
            <w:vAlign w:val="center"/>
          </w:tcPr>
          <w:p w14:paraId="7BDD96E0">
            <w:pPr>
              <w:widowControl/>
              <w:adjustRightInd w:val="0"/>
              <w:snapToGrid w:val="0"/>
              <w:spacing w:line="300" w:lineRule="exact"/>
              <w:jc w:val="center"/>
              <w:textAlignment w:val="baseline"/>
              <w:rPr>
                <w:rFonts w:hint="eastAsia" w:ascii="宋体" w:hAnsi="宋体"/>
                <w:color w:val="000000" w:themeColor="text1"/>
                <w:kern w:val="24"/>
                <w:szCs w:val="21"/>
                <w14:textFill>
                  <w14:solidFill>
                    <w14:schemeClr w14:val="tx1"/>
                  </w14:solidFill>
                </w14:textFill>
              </w:rPr>
            </w:pPr>
            <w:r>
              <w:rPr>
                <w:rFonts w:ascii="宋体" w:hAnsi="宋体"/>
                <w:color w:val="000000" w:themeColor="text1"/>
                <w:kern w:val="24"/>
                <w:szCs w:val="21"/>
                <w14:textFill>
                  <w14:solidFill>
                    <w14:schemeClr w14:val="tx1"/>
                  </w14:solidFill>
                </w14:textFill>
              </w:rPr>
              <w:t>甲烷</w:t>
            </w:r>
          </w:p>
        </w:tc>
        <w:tc>
          <w:tcPr>
            <w:tcW w:w="494" w:type="pct"/>
            <w:vAlign w:val="center"/>
          </w:tcPr>
          <w:p w14:paraId="7EF2121F">
            <w:pPr>
              <w:widowControl/>
              <w:adjustRightInd w:val="0"/>
              <w:snapToGrid w:val="0"/>
              <w:spacing w:line="300" w:lineRule="exact"/>
              <w:jc w:val="center"/>
              <w:textAlignment w:val="baseline"/>
              <w:rPr>
                <w:rFonts w:hint="eastAsia" w:ascii="宋体" w:hAnsi="宋体"/>
                <w:color w:val="000000" w:themeColor="text1"/>
                <w:kern w:val="24"/>
                <w:szCs w:val="21"/>
                <w14:textFill>
                  <w14:solidFill>
                    <w14:schemeClr w14:val="tx1"/>
                  </w14:solidFill>
                </w14:textFill>
              </w:rPr>
            </w:pPr>
            <w:r>
              <w:rPr>
                <w:rFonts w:ascii="宋体" w:hAnsi="宋体"/>
                <w:color w:val="000000" w:themeColor="text1"/>
                <w:kern w:val="24"/>
                <w:szCs w:val="21"/>
                <w14:textFill>
                  <w14:solidFill>
                    <w14:schemeClr w14:val="tx1"/>
                  </w14:solidFill>
                </w14:textFill>
              </w:rPr>
              <w:t>乙烷</w:t>
            </w:r>
          </w:p>
        </w:tc>
        <w:tc>
          <w:tcPr>
            <w:tcW w:w="361" w:type="pct"/>
            <w:vAlign w:val="center"/>
          </w:tcPr>
          <w:p w14:paraId="27AE2E1E">
            <w:pPr>
              <w:widowControl/>
              <w:adjustRightInd w:val="0"/>
              <w:snapToGrid w:val="0"/>
              <w:spacing w:line="300" w:lineRule="exact"/>
              <w:jc w:val="center"/>
              <w:textAlignment w:val="baseline"/>
              <w:rPr>
                <w:rFonts w:hint="eastAsia" w:ascii="宋体" w:hAnsi="宋体"/>
                <w:color w:val="000000" w:themeColor="text1"/>
                <w:kern w:val="24"/>
                <w:szCs w:val="21"/>
                <w14:textFill>
                  <w14:solidFill>
                    <w14:schemeClr w14:val="tx1"/>
                  </w14:solidFill>
                </w14:textFill>
              </w:rPr>
            </w:pPr>
            <w:r>
              <w:rPr>
                <w:rFonts w:ascii="宋体" w:hAnsi="宋体"/>
                <w:color w:val="000000" w:themeColor="text1"/>
                <w:kern w:val="24"/>
                <w:szCs w:val="21"/>
                <w14:textFill>
                  <w14:solidFill>
                    <w14:schemeClr w14:val="tx1"/>
                  </w14:solidFill>
                </w14:textFill>
              </w:rPr>
              <w:t>丙烷</w:t>
            </w:r>
          </w:p>
        </w:tc>
        <w:tc>
          <w:tcPr>
            <w:tcW w:w="400" w:type="pct"/>
            <w:vAlign w:val="center"/>
          </w:tcPr>
          <w:p w14:paraId="602BFC4E">
            <w:pPr>
              <w:widowControl/>
              <w:adjustRightInd w:val="0"/>
              <w:snapToGrid w:val="0"/>
              <w:spacing w:line="300" w:lineRule="exact"/>
              <w:jc w:val="center"/>
              <w:textAlignment w:val="baseline"/>
              <w:rPr>
                <w:rFonts w:hint="eastAsia" w:ascii="宋体" w:hAnsi="宋体"/>
                <w:color w:val="000000" w:themeColor="text1"/>
                <w:kern w:val="24"/>
                <w:szCs w:val="21"/>
                <w14:textFill>
                  <w14:solidFill>
                    <w14:schemeClr w14:val="tx1"/>
                  </w14:solidFill>
                </w14:textFill>
              </w:rPr>
            </w:pPr>
            <w:r>
              <w:rPr>
                <w:rFonts w:hint="eastAsia" w:ascii="宋体" w:hAnsi="宋体"/>
                <w:color w:val="000000" w:themeColor="text1"/>
                <w:kern w:val="24"/>
                <w:szCs w:val="21"/>
                <w14:textFill>
                  <w14:solidFill>
                    <w14:schemeClr w14:val="tx1"/>
                  </w14:solidFill>
                </w14:textFill>
              </w:rPr>
              <w:t>异丁烷</w:t>
            </w:r>
          </w:p>
        </w:tc>
        <w:tc>
          <w:tcPr>
            <w:tcW w:w="399" w:type="pct"/>
            <w:vAlign w:val="center"/>
          </w:tcPr>
          <w:p w14:paraId="127B1A26">
            <w:pPr>
              <w:widowControl/>
              <w:adjustRightInd w:val="0"/>
              <w:snapToGrid w:val="0"/>
              <w:spacing w:line="300" w:lineRule="exact"/>
              <w:jc w:val="center"/>
              <w:textAlignment w:val="baseline"/>
              <w:rPr>
                <w:rFonts w:hint="eastAsia" w:ascii="宋体" w:hAnsi="宋体"/>
                <w:color w:val="000000" w:themeColor="text1"/>
                <w:kern w:val="24"/>
                <w:szCs w:val="21"/>
                <w14:textFill>
                  <w14:solidFill>
                    <w14:schemeClr w14:val="tx1"/>
                  </w14:solidFill>
                </w14:textFill>
              </w:rPr>
            </w:pPr>
            <w:r>
              <w:rPr>
                <w:rFonts w:ascii="宋体" w:hAnsi="宋体"/>
                <w:color w:val="000000" w:themeColor="text1"/>
                <w:kern w:val="24"/>
                <w:szCs w:val="21"/>
                <w14:textFill>
                  <w14:solidFill>
                    <w14:schemeClr w14:val="tx1"/>
                  </w14:solidFill>
                </w14:textFill>
              </w:rPr>
              <w:t>正丁烷</w:t>
            </w:r>
          </w:p>
        </w:tc>
        <w:tc>
          <w:tcPr>
            <w:tcW w:w="371" w:type="pct"/>
            <w:vAlign w:val="center"/>
          </w:tcPr>
          <w:p w14:paraId="17A6E72B">
            <w:pPr>
              <w:widowControl/>
              <w:adjustRightInd w:val="0"/>
              <w:snapToGrid w:val="0"/>
              <w:spacing w:line="300" w:lineRule="exact"/>
              <w:jc w:val="center"/>
              <w:textAlignment w:val="baseline"/>
              <w:rPr>
                <w:rFonts w:hint="eastAsia" w:ascii="宋体" w:hAnsi="宋体"/>
                <w:color w:val="000000" w:themeColor="text1"/>
                <w:kern w:val="24"/>
                <w:szCs w:val="21"/>
                <w14:textFill>
                  <w14:solidFill>
                    <w14:schemeClr w14:val="tx1"/>
                  </w14:solidFill>
                </w14:textFill>
              </w:rPr>
            </w:pPr>
            <w:r>
              <w:rPr>
                <w:rFonts w:hint="eastAsia" w:ascii="宋体" w:hAnsi="宋体"/>
                <w:color w:val="000000" w:themeColor="text1"/>
                <w:kern w:val="24"/>
                <w:szCs w:val="21"/>
                <w14:textFill>
                  <w14:solidFill>
                    <w14:schemeClr w14:val="tx1"/>
                  </w14:solidFill>
                </w14:textFill>
              </w:rPr>
              <w:t>异戊烷</w:t>
            </w:r>
          </w:p>
        </w:tc>
        <w:tc>
          <w:tcPr>
            <w:tcW w:w="399" w:type="pct"/>
            <w:vAlign w:val="center"/>
          </w:tcPr>
          <w:p w14:paraId="78FF1B68">
            <w:pPr>
              <w:widowControl/>
              <w:adjustRightInd w:val="0"/>
              <w:snapToGrid w:val="0"/>
              <w:spacing w:line="300" w:lineRule="exact"/>
              <w:jc w:val="center"/>
              <w:textAlignment w:val="baseline"/>
              <w:rPr>
                <w:rFonts w:hint="eastAsia" w:ascii="宋体" w:hAnsi="宋体"/>
                <w:color w:val="000000" w:themeColor="text1"/>
                <w:kern w:val="24"/>
                <w:szCs w:val="21"/>
                <w14:textFill>
                  <w14:solidFill>
                    <w14:schemeClr w14:val="tx1"/>
                  </w14:solidFill>
                </w14:textFill>
              </w:rPr>
            </w:pPr>
            <w:r>
              <w:rPr>
                <w:rFonts w:hint="eastAsia" w:ascii="宋体" w:hAnsi="宋体"/>
                <w:color w:val="000000" w:themeColor="text1"/>
                <w:kern w:val="24"/>
                <w:szCs w:val="21"/>
                <w14:textFill>
                  <w14:solidFill>
                    <w14:schemeClr w14:val="tx1"/>
                  </w14:solidFill>
                </w14:textFill>
              </w:rPr>
              <w:t>正</w:t>
            </w:r>
            <w:r>
              <w:rPr>
                <w:rFonts w:ascii="宋体" w:hAnsi="宋体"/>
                <w:color w:val="000000" w:themeColor="text1"/>
                <w:kern w:val="24"/>
                <w:szCs w:val="21"/>
                <w14:textFill>
                  <w14:solidFill>
                    <w14:schemeClr w14:val="tx1"/>
                  </w14:solidFill>
                </w14:textFill>
              </w:rPr>
              <w:t>戊烷</w:t>
            </w:r>
          </w:p>
        </w:tc>
        <w:tc>
          <w:tcPr>
            <w:tcW w:w="400" w:type="pct"/>
            <w:vAlign w:val="center"/>
          </w:tcPr>
          <w:p w14:paraId="6DCB6D39">
            <w:pPr>
              <w:widowControl/>
              <w:adjustRightInd w:val="0"/>
              <w:snapToGrid w:val="0"/>
              <w:spacing w:line="300" w:lineRule="exact"/>
              <w:jc w:val="center"/>
              <w:textAlignment w:val="baseline"/>
              <w:rPr>
                <w:rFonts w:hint="eastAsia" w:ascii="宋体" w:hAnsi="宋体"/>
                <w:color w:val="000000" w:themeColor="text1"/>
                <w:kern w:val="24"/>
                <w:szCs w:val="21"/>
                <w14:textFill>
                  <w14:solidFill>
                    <w14:schemeClr w14:val="tx1"/>
                  </w14:solidFill>
                </w14:textFill>
              </w:rPr>
            </w:pPr>
            <w:r>
              <w:rPr>
                <w:rFonts w:ascii="宋体" w:hAnsi="宋体"/>
                <w:color w:val="000000" w:themeColor="text1"/>
                <w:kern w:val="24"/>
                <w:szCs w:val="21"/>
                <w14:textFill>
                  <w14:solidFill>
                    <w14:schemeClr w14:val="tx1"/>
                  </w14:solidFill>
                </w14:textFill>
              </w:rPr>
              <w:t>己烷</w:t>
            </w:r>
            <w:r>
              <w:rPr>
                <w:rFonts w:hint="eastAsia" w:ascii="宋体" w:hAnsi="宋体"/>
                <w:color w:val="000000" w:themeColor="text1"/>
                <w:kern w:val="24"/>
                <w:szCs w:val="21"/>
                <w14:textFill>
                  <w14:solidFill>
                    <w14:schemeClr w14:val="tx1"/>
                  </w14:solidFill>
                </w14:textFill>
              </w:rPr>
              <w:t>以上</w:t>
            </w:r>
          </w:p>
        </w:tc>
        <w:tc>
          <w:tcPr>
            <w:tcW w:w="400" w:type="pct"/>
            <w:vAlign w:val="center"/>
          </w:tcPr>
          <w:p w14:paraId="302A1B12">
            <w:pPr>
              <w:widowControl/>
              <w:adjustRightInd w:val="0"/>
              <w:snapToGrid w:val="0"/>
              <w:spacing w:line="300" w:lineRule="exact"/>
              <w:jc w:val="center"/>
              <w:textAlignment w:val="baseline"/>
              <w:rPr>
                <w:rFonts w:hint="eastAsia" w:ascii="宋体" w:hAnsi="宋体"/>
                <w:color w:val="000000" w:themeColor="text1"/>
                <w:kern w:val="24"/>
                <w:szCs w:val="21"/>
                <w14:textFill>
                  <w14:solidFill>
                    <w14:schemeClr w14:val="tx1"/>
                  </w14:solidFill>
                </w14:textFill>
              </w:rPr>
            </w:pPr>
            <w:r>
              <w:rPr>
                <w:rFonts w:hint="eastAsia" w:ascii="宋体" w:hAnsi="宋体"/>
                <w:color w:val="000000" w:themeColor="text1"/>
                <w:kern w:val="24"/>
                <w:szCs w:val="21"/>
                <w14:textFill>
                  <w14:solidFill>
                    <w14:schemeClr w14:val="tx1"/>
                  </w14:solidFill>
                </w14:textFill>
              </w:rPr>
              <w:t>二氧化碳</w:t>
            </w:r>
          </w:p>
        </w:tc>
        <w:tc>
          <w:tcPr>
            <w:tcW w:w="383" w:type="pct"/>
            <w:vAlign w:val="center"/>
          </w:tcPr>
          <w:p w14:paraId="5A5D42A7">
            <w:pPr>
              <w:widowControl/>
              <w:adjustRightInd w:val="0"/>
              <w:snapToGrid w:val="0"/>
              <w:spacing w:line="300" w:lineRule="exact"/>
              <w:jc w:val="center"/>
              <w:textAlignment w:val="baseline"/>
              <w:rPr>
                <w:rFonts w:hint="eastAsia" w:ascii="宋体" w:hAnsi="宋体"/>
                <w:color w:val="000000" w:themeColor="text1"/>
                <w:kern w:val="24"/>
                <w:szCs w:val="21"/>
                <w14:textFill>
                  <w14:solidFill>
                    <w14:schemeClr w14:val="tx1"/>
                  </w14:solidFill>
                </w14:textFill>
              </w:rPr>
            </w:pPr>
            <w:r>
              <w:rPr>
                <w:rFonts w:hint="eastAsia" w:ascii="宋体" w:hAnsi="宋体"/>
                <w:color w:val="000000" w:themeColor="text1"/>
                <w:kern w:val="24"/>
                <w:szCs w:val="21"/>
                <w14:textFill>
                  <w14:solidFill>
                    <w14:schemeClr w14:val="tx1"/>
                  </w14:solidFill>
                </w14:textFill>
              </w:rPr>
              <w:t>氮</w:t>
            </w:r>
          </w:p>
        </w:tc>
      </w:tr>
      <w:tr w14:paraId="52C2419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jc w:val="center"/>
        </w:trPr>
        <w:tc>
          <w:tcPr>
            <w:tcW w:w="632" w:type="pct"/>
            <w:vAlign w:val="center"/>
          </w:tcPr>
          <w:p w14:paraId="2132691E">
            <w:pPr>
              <w:widowControl/>
              <w:adjustRightInd w:val="0"/>
              <w:snapToGrid w:val="0"/>
              <w:spacing w:line="300" w:lineRule="exact"/>
              <w:jc w:val="center"/>
              <w:textAlignment w:val="baseline"/>
              <w:rPr>
                <w:rFonts w:hint="eastAsia" w:ascii="宋体" w:hAnsi="宋体"/>
                <w:color w:val="000000" w:themeColor="text1"/>
                <w:kern w:val="24"/>
                <w:szCs w:val="21"/>
                <w14:textFill>
                  <w14:solidFill>
                    <w14:schemeClr w14:val="tx1"/>
                  </w14:solidFill>
                </w14:textFill>
              </w:rPr>
            </w:pPr>
            <w:r>
              <w:rPr>
                <w:rFonts w:hint="eastAsia" w:ascii="宋体" w:hAnsi="宋体"/>
                <w:color w:val="000000" w:themeColor="text1"/>
                <w:kern w:val="24"/>
                <w:szCs w:val="21"/>
                <w14:textFill>
                  <w14:solidFill>
                    <w14:schemeClr w14:val="tx1"/>
                  </w14:solidFill>
                </w14:textFill>
              </w:rPr>
              <w:t>JHW00724</w:t>
            </w:r>
          </w:p>
        </w:tc>
        <w:tc>
          <w:tcPr>
            <w:tcW w:w="445" w:type="pct"/>
            <w:vAlign w:val="center"/>
          </w:tcPr>
          <w:p w14:paraId="25F76995">
            <w:pPr>
              <w:widowControl/>
              <w:adjustRightInd w:val="0"/>
              <w:snapToGrid w:val="0"/>
              <w:spacing w:line="300" w:lineRule="exact"/>
              <w:jc w:val="center"/>
              <w:textAlignment w:val="baseline"/>
              <w:rPr>
                <w:rFonts w:hint="eastAsia" w:ascii="宋体" w:hAnsi="宋体"/>
                <w:color w:val="000000" w:themeColor="text1"/>
                <w:kern w:val="24"/>
                <w:szCs w:val="21"/>
                <w14:textFill>
                  <w14:solidFill>
                    <w14:schemeClr w14:val="tx1"/>
                  </w14:solidFill>
                </w14:textFill>
              </w:rPr>
            </w:pPr>
            <w:r>
              <w:rPr>
                <w:rFonts w:hint="eastAsia" w:ascii="宋体" w:hAnsi="宋体"/>
                <w:color w:val="000000" w:themeColor="text1"/>
                <w:kern w:val="24"/>
                <w:szCs w:val="21"/>
                <w14:textFill>
                  <w14:solidFill>
                    <w14:schemeClr w14:val="tx1"/>
                  </w14:solidFill>
                </w14:textFill>
              </w:rPr>
              <w:t>1.4422</w:t>
            </w:r>
          </w:p>
        </w:tc>
        <w:tc>
          <w:tcPr>
            <w:tcW w:w="316" w:type="pct"/>
            <w:vAlign w:val="center"/>
          </w:tcPr>
          <w:p w14:paraId="1F9A501F">
            <w:pPr>
              <w:widowControl/>
              <w:adjustRightInd w:val="0"/>
              <w:snapToGrid w:val="0"/>
              <w:spacing w:line="300" w:lineRule="exact"/>
              <w:jc w:val="center"/>
              <w:textAlignment w:val="baseline"/>
              <w:rPr>
                <w:rFonts w:hint="eastAsia" w:ascii="宋体" w:hAnsi="宋体"/>
                <w:color w:val="000000" w:themeColor="text1"/>
                <w:kern w:val="24"/>
                <w:szCs w:val="21"/>
                <w14:textFill>
                  <w14:solidFill>
                    <w14:schemeClr w14:val="tx1"/>
                  </w14:solidFill>
                </w14:textFill>
              </w:rPr>
            </w:pPr>
            <w:r>
              <w:rPr>
                <w:rFonts w:hint="eastAsia" w:ascii="宋体" w:hAnsi="宋体"/>
                <w:color w:val="000000" w:themeColor="text1"/>
                <w:kern w:val="24"/>
                <w:szCs w:val="21"/>
                <w14:textFill>
                  <w14:solidFill>
                    <w14:schemeClr w14:val="tx1"/>
                  </w14:solidFill>
                </w14:textFill>
              </w:rPr>
              <w:t>7.46</w:t>
            </w:r>
          </w:p>
        </w:tc>
        <w:tc>
          <w:tcPr>
            <w:tcW w:w="494" w:type="pct"/>
            <w:vAlign w:val="center"/>
          </w:tcPr>
          <w:p w14:paraId="7E008AAD">
            <w:pPr>
              <w:widowControl/>
              <w:adjustRightInd w:val="0"/>
              <w:snapToGrid w:val="0"/>
              <w:spacing w:line="300" w:lineRule="exact"/>
              <w:jc w:val="center"/>
              <w:textAlignment w:val="baseline"/>
              <w:rPr>
                <w:rFonts w:hint="eastAsia" w:ascii="宋体" w:hAnsi="宋体"/>
                <w:color w:val="000000" w:themeColor="text1"/>
                <w:kern w:val="24"/>
                <w:szCs w:val="21"/>
                <w14:textFill>
                  <w14:solidFill>
                    <w14:schemeClr w14:val="tx1"/>
                  </w14:solidFill>
                </w14:textFill>
              </w:rPr>
            </w:pPr>
            <w:r>
              <w:rPr>
                <w:rFonts w:hint="eastAsia" w:ascii="宋体" w:hAnsi="宋体"/>
                <w:color w:val="000000" w:themeColor="text1"/>
                <w:kern w:val="24"/>
                <w:szCs w:val="21"/>
                <w14:textFill>
                  <w14:solidFill>
                    <w14:schemeClr w14:val="tx1"/>
                  </w14:solidFill>
                </w14:textFill>
              </w:rPr>
              <w:t>3.58</w:t>
            </w:r>
          </w:p>
        </w:tc>
        <w:tc>
          <w:tcPr>
            <w:tcW w:w="361" w:type="pct"/>
            <w:vAlign w:val="center"/>
          </w:tcPr>
          <w:p w14:paraId="75D511BF">
            <w:pPr>
              <w:widowControl/>
              <w:adjustRightInd w:val="0"/>
              <w:snapToGrid w:val="0"/>
              <w:spacing w:line="300" w:lineRule="exact"/>
              <w:jc w:val="center"/>
              <w:textAlignment w:val="baseline"/>
              <w:rPr>
                <w:rFonts w:hint="eastAsia" w:ascii="宋体" w:hAnsi="宋体"/>
                <w:color w:val="000000" w:themeColor="text1"/>
                <w:kern w:val="24"/>
                <w:szCs w:val="21"/>
                <w14:textFill>
                  <w14:solidFill>
                    <w14:schemeClr w14:val="tx1"/>
                  </w14:solidFill>
                </w14:textFill>
              </w:rPr>
            </w:pPr>
            <w:r>
              <w:rPr>
                <w:rFonts w:hint="eastAsia" w:ascii="宋体" w:hAnsi="宋体"/>
                <w:color w:val="000000" w:themeColor="text1"/>
                <w:kern w:val="24"/>
                <w:szCs w:val="21"/>
                <w14:textFill>
                  <w14:solidFill>
                    <w14:schemeClr w14:val="tx1"/>
                  </w14:solidFill>
                </w14:textFill>
              </w:rPr>
              <w:t>3.88</w:t>
            </w:r>
          </w:p>
        </w:tc>
        <w:tc>
          <w:tcPr>
            <w:tcW w:w="400" w:type="pct"/>
            <w:vAlign w:val="center"/>
          </w:tcPr>
          <w:p w14:paraId="0A16B2D1">
            <w:pPr>
              <w:widowControl/>
              <w:adjustRightInd w:val="0"/>
              <w:snapToGrid w:val="0"/>
              <w:spacing w:line="300" w:lineRule="exact"/>
              <w:jc w:val="center"/>
              <w:textAlignment w:val="baseline"/>
              <w:rPr>
                <w:rFonts w:hint="eastAsia" w:ascii="宋体" w:hAnsi="宋体"/>
                <w:color w:val="000000" w:themeColor="text1"/>
                <w:kern w:val="24"/>
                <w:szCs w:val="21"/>
                <w14:textFill>
                  <w14:solidFill>
                    <w14:schemeClr w14:val="tx1"/>
                  </w14:solidFill>
                </w14:textFill>
              </w:rPr>
            </w:pPr>
            <w:r>
              <w:rPr>
                <w:rFonts w:hint="eastAsia" w:ascii="宋体" w:hAnsi="宋体"/>
                <w:color w:val="000000" w:themeColor="text1"/>
                <w:kern w:val="24"/>
                <w:szCs w:val="21"/>
                <w14:textFill>
                  <w14:solidFill>
                    <w14:schemeClr w14:val="tx1"/>
                  </w14:solidFill>
                </w14:textFill>
              </w:rPr>
              <w:t>0.57</w:t>
            </w:r>
          </w:p>
        </w:tc>
        <w:tc>
          <w:tcPr>
            <w:tcW w:w="399" w:type="pct"/>
            <w:vAlign w:val="center"/>
          </w:tcPr>
          <w:p w14:paraId="23D6BB18">
            <w:pPr>
              <w:widowControl/>
              <w:adjustRightInd w:val="0"/>
              <w:snapToGrid w:val="0"/>
              <w:spacing w:line="300" w:lineRule="exact"/>
              <w:jc w:val="center"/>
              <w:textAlignment w:val="baseline"/>
              <w:rPr>
                <w:rFonts w:hint="eastAsia" w:ascii="宋体" w:hAnsi="宋体"/>
                <w:color w:val="000000" w:themeColor="text1"/>
                <w:kern w:val="24"/>
                <w:szCs w:val="21"/>
                <w14:textFill>
                  <w14:solidFill>
                    <w14:schemeClr w14:val="tx1"/>
                  </w14:solidFill>
                </w14:textFill>
              </w:rPr>
            </w:pPr>
            <w:r>
              <w:rPr>
                <w:rFonts w:hint="eastAsia" w:ascii="宋体" w:hAnsi="宋体"/>
                <w:color w:val="000000" w:themeColor="text1"/>
                <w:kern w:val="24"/>
                <w:szCs w:val="21"/>
                <w14:textFill>
                  <w14:solidFill>
                    <w14:schemeClr w14:val="tx1"/>
                  </w14:solidFill>
                </w14:textFill>
              </w:rPr>
              <w:t>0.94</w:t>
            </w:r>
          </w:p>
        </w:tc>
        <w:tc>
          <w:tcPr>
            <w:tcW w:w="371" w:type="pct"/>
            <w:vAlign w:val="center"/>
          </w:tcPr>
          <w:p w14:paraId="7FD43FE9">
            <w:pPr>
              <w:widowControl/>
              <w:adjustRightInd w:val="0"/>
              <w:snapToGrid w:val="0"/>
              <w:spacing w:line="300" w:lineRule="exact"/>
              <w:jc w:val="center"/>
              <w:textAlignment w:val="baseline"/>
              <w:rPr>
                <w:rFonts w:hint="eastAsia" w:ascii="宋体" w:hAnsi="宋体"/>
                <w:color w:val="000000" w:themeColor="text1"/>
                <w:kern w:val="24"/>
                <w:szCs w:val="21"/>
                <w14:textFill>
                  <w14:solidFill>
                    <w14:schemeClr w14:val="tx1"/>
                  </w14:solidFill>
                </w14:textFill>
              </w:rPr>
            </w:pPr>
            <w:r>
              <w:rPr>
                <w:rFonts w:hint="eastAsia" w:ascii="宋体" w:hAnsi="宋体"/>
                <w:color w:val="000000" w:themeColor="text1"/>
                <w:kern w:val="24"/>
                <w:szCs w:val="21"/>
                <w14:textFill>
                  <w14:solidFill>
                    <w14:schemeClr w14:val="tx1"/>
                  </w14:solidFill>
                </w14:textFill>
              </w:rPr>
              <w:t>0.19</w:t>
            </w:r>
          </w:p>
        </w:tc>
        <w:tc>
          <w:tcPr>
            <w:tcW w:w="399" w:type="pct"/>
            <w:vAlign w:val="center"/>
          </w:tcPr>
          <w:p w14:paraId="0CA4D6B1">
            <w:pPr>
              <w:widowControl/>
              <w:adjustRightInd w:val="0"/>
              <w:snapToGrid w:val="0"/>
              <w:spacing w:line="300" w:lineRule="exact"/>
              <w:jc w:val="center"/>
              <w:textAlignment w:val="baseline"/>
              <w:rPr>
                <w:rFonts w:hint="eastAsia" w:ascii="宋体" w:hAnsi="宋体"/>
                <w:color w:val="000000" w:themeColor="text1"/>
                <w:kern w:val="24"/>
                <w:szCs w:val="21"/>
                <w14:textFill>
                  <w14:solidFill>
                    <w14:schemeClr w14:val="tx1"/>
                  </w14:solidFill>
                </w14:textFill>
              </w:rPr>
            </w:pPr>
            <w:r>
              <w:rPr>
                <w:rFonts w:hint="eastAsia" w:ascii="宋体" w:hAnsi="宋体"/>
                <w:color w:val="000000" w:themeColor="text1"/>
                <w:kern w:val="24"/>
                <w:szCs w:val="21"/>
                <w14:textFill>
                  <w14:solidFill>
                    <w14:schemeClr w14:val="tx1"/>
                  </w14:solidFill>
                </w14:textFill>
              </w:rPr>
              <w:t>0.17</w:t>
            </w:r>
          </w:p>
        </w:tc>
        <w:tc>
          <w:tcPr>
            <w:tcW w:w="400" w:type="pct"/>
            <w:vAlign w:val="center"/>
          </w:tcPr>
          <w:p w14:paraId="2ACD0052">
            <w:pPr>
              <w:widowControl/>
              <w:adjustRightInd w:val="0"/>
              <w:snapToGrid w:val="0"/>
              <w:spacing w:line="300" w:lineRule="exact"/>
              <w:jc w:val="center"/>
              <w:textAlignment w:val="baseline"/>
              <w:rPr>
                <w:rFonts w:hint="eastAsia" w:ascii="宋体" w:hAnsi="宋体"/>
                <w:color w:val="000000" w:themeColor="text1"/>
                <w:kern w:val="24"/>
                <w:szCs w:val="21"/>
                <w14:textFill>
                  <w14:solidFill>
                    <w14:schemeClr w14:val="tx1"/>
                  </w14:solidFill>
                </w14:textFill>
              </w:rPr>
            </w:pPr>
            <w:r>
              <w:rPr>
                <w:rFonts w:hint="eastAsia" w:ascii="宋体" w:hAnsi="宋体"/>
                <w:color w:val="000000" w:themeColor="text1"/>
                <w:kern w:val="24"/>
                <w:szCs w:val="21"/>
                <w14:textFill>
                  <w14:solidFill>
                    <w14:schemeClr w14:val="tx1"/>
                  </w14:solidFill>
                </w14:textFill>
              </w:rPr>
              <w:t>0.03</w:t>
            </w:r>
          </w:p>
        </w:tc>
        <w:tc>
          <w:tcPr>
            <w:tcW w:w="400" w:type="pct"/>
            <w:vAlign w:val="center"/>
          </w:tcPr>
          <w:p w14:paraId="15921039">
            <w:pPr>
              <w:widowControl/>
              <w:adjustRightInd w:val="0"/>
              <w:snapToGrid w:val="0"/>
              <w:spacing w:line="300" w:lineRule="exact"/>
              <w:jc w:val="center"/>
              <w:textAlignment w:val="baseline"/>
              <w:rPr>
                <w:rFonts w:hint="eastAsia" w:ascii="宋体" w:hAnsi="宋体"/>
                <w:color w:val="000000" w:themeColor="text1"/>
                <w:kern w:val="24"/>
                <w:szCs w:val="21"/>
                <w14:textFill>
                  <w14:solidFill>
                    <w14:schemeClr w14:val="tx1"/>
                  </w14:solidFill>
                </w14:textFill>
              </w:rPr>
            </w:pPr>
            <w:r>
              <w:rPr>
                <w:rFonts w:hint="eastAsia" w:ascii="宋体" w:hAnsi="宋体"/>
                <w:color w:val="000000" w:themeColor="text1"/>
                <w:kern w:val="24"/>
                <w:szCs w:val="21"/>
                <w14:textFill>
                  <w14:solidFill>
                    <w14:schemeClr w14:val="tx1"/>
                  </w14:solidFill>
                </w14:textFill>
              </w:rPr>
              <w:t>81.93</w:t>
            </w:r>
          </w:p>
        </w:tc>
        <w:tc>
          <w:tcPr>
            <w:tcW w:w="383" w:type="pct"/>
            <w:vAlign w:val="center"/>
          </w:tcPr>
          <w:p w14:paraId="1F852AA8">
            <w:pPr>
              <w:widowControl/>
              <w:adjustRightInd w:val="0"/>
              <w:snapToGrid w:val="0"/>
              <w:spacing w:line="300" w:lineRule="exact"/>
              <w:jc w:val="center"/>
              <w:textAlignment w:val="baseline"/>
              <w:rPr>
                <w:rFonts w:hint="eastAsia" w:ascii="宋体" w:hAnsi="宋体"/>
                <w:color w:val="000000" w:themeColor="text1"/>
                <w:kern w:val="24"/>
                <w:szCs w:val="21"/>
                <w14:textFill>
                  <w14:solidFill>
                    <w14:schemeClr w14:val="tx1"/>
                  </w14:solidFill>
                </w14:textFill>
              </w:rPr>
            </w:pPr>
            <w:r>
              <w:rPr>
                <w:rFonts w:hint="eastAsia" w:ascii="宋体" w:hAnsi="宋体"/>
                <w:color w:val="000000" w:themeColor="text1"/>
                <w:kern w:val="24"/>
                <w:szCs w:val="21"/>
                <w14:textFill>
                  <w14:solidFill>
                    <w14:schemeClr w14:val="tx1"/>
                  </w14:solidFill>
                </w14:textFill>
              </w:rPr>
              <w:t>1.25</w:t>
            </w:r>
          </w:p>
        </w:tc>
      </w:tr>
      <w:tr w14:paraId="24C2FAE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jc w:val="center"/>
        </w:trPr>
        <w:tc>
          <w:tcPr>
            <w:tcW w:w="632" w:type="pct"/>
            <w:vAlign w:val="center"/>
          </w:tcPr>
          <w:p w14:paraId="015B913B">
            <w:pPr>
              <w:widowControl/>
              <w:adjustRightInd w:val="0"/>
              <w:snapToGrid w:val="0"/>
              <w:spacing w:line="300" w:lineRule="exact"/>
              <w:jc w:val="center"/>
              <w:textAlignment w:val="baseline"/>
              <w:rPr>
                <w:rFonts w:hint="eastAsia" w:ascii="宋体" w:hAnsi="宋体"/>
                <w:color w:val="000000" w:themeColor="text1"/>
                <w:kern w:val="24"/>
                <w:szCs w:val="21"/>
                <w:lang w:eastAsia="en-US"/>
                <w14:textFill>
                  <w14:solidFill>
                    <w14:schemeClr w14:val="tx1"/>
                  </w14:solidFill>
                </w14:textFill>
              </w:rPr>
            </w:pPr>
            <w:r>
              <w:rPr>
                <w:rFonts w:hint="eastAsia" w:ascii="宋体" w:hAnsi="宋体"/>
                <w:color w:val="000000" w:themeColor="text1"/>
                <w:kern w:val="24"/>
                <w:szCs w:val="21"/>
                <w14:textFill>
                  <w14:solidFill>
                    <w14:schemeClr w14:val="tx1"/>
                  </w14:solidFill>
                </w14:textFill>
              </w:rPr>
              <w:t>JHW00722</w:t>
            </w:r>
          </w:p>
        </w:tc>
        <w:tc>
          <w:tcPr>
            <w:tcW w:w="445" w:type="pct"/>
            <w:vAlign w:val="center"/>
          </w:tcPr>
          <w:p w14:paraId="30DF4792">
            <w:pPr>
              <w:widowControl/>
              <w:adjustRightInd w:val="0"/>
              <w:snapToGrid w:val="0"/>
              <w:spacing w:line="300" w:lineRule="exact"/>
              <w:jc w:val="center"/>
              <w:textAlignment w:val="baseline"/>
              <w:rPr>
                <w:rFonts w:hint="eastAsia" w:ascii="宋体" w:hAnsi="宋体"/>
                <w:color w:val="000000" w:themeColor="text1"/>
                <w:kern w:val="24"/>
                <w:szCs w:val="21"/>
                <w:lang w:eastAsia="en-US"/>
                <w14:textFill>
                  <w14:solidFill>
                    <w14:schemeClr w14:val="tx1"/>
                  </w14:solidFill>
                </w14:textFill>
              </w:rPr>
            </w:pPr>
            <w:r>
              <w:rPr>
                <w:rFonts w:hint="eastAsia" w:ascii="宋体" w:hAnsi="宋体"/>
                <w:color w:val="000000" w:themeColor="text1"/>
                <w:kern w:val="24"/>
                <w:szCs w:val="21"/>
                <w14:textFill>
                  <w14:solidFill>
                    <w14:schemeClr w14:val="tx1"/>
                  </w14:solidFill>
                </w14:textFill>
              </w:rPr>
              <w:t>1.4405</w:t>
            </w:r>
          </w:p>
        </w:tc>
        <w:tc>
          <w:tcPr>
            <w:tcW w:w="316" w:type="pct"/>
            <w:vAlign w:val="center"/>
          </w:tcPr>
          <w:p w14:paraId="00C97C4B">
            <w:pPr>
              <w:widowControl/>
              <w:adjustRightInd w:val="0"/>
              <w:snapToGrid w:val="0"/>
              <w:spacing w:line="300" w:lineRule="exact"/>
              <w:jc w:val="center"/>
              <w:textAlignment w:val="baseline"/>
              <w:rPr>
                <w:rFonts w:hint="eastAsia" w:ascii="宋体" w:hAnsi="宋体"/>
                <w:color w:val="000000" w:themeColor="text1"/>
                <w:kern w:val="24"/>
                <w:szCs w:val="21"/>
                <w14:textFill>
                  <w14:solidFill>
                    <w14:schemeClr w14:val="tx1"/>
                  </w14:solidFill>
                </w14:textFill>
              </w:rPr>
            </w:pPr>
            <w:r>
              <w:rPr>
                <w:rFonts w:hint="eastAsia" w:ascii="宋体" w:hAnsi="宋体"/>
                <w:color w:val="000000" w:themeColor="text1"/>
                <w:kern w:val="24"/>
                <w:szCs w:val="21"/>
                <w14:textFill>
                  <w14:solidFill>
                    <w14:schemeClr w14:val="tx1"/>
                  </w14:solidFill>
                </w14:textFill>
              </w:rPr>
              <w:t>8.03</w:t>
            </w:r>
          </w:p>
        </w:tc>
        <w:tc>
          <w:tcPr>
            <w:tcW w:w="494" w:type="pct"/>
            <w:vAlign w:val="center"/>
          </w:tcPr>
          <w:p w14:paraId="4CB1F677">
            <w:pPr>
              <w:widowControl/>
              <w:adjustRightInd w:val="0"/>
              <w:snapToGrid w:val="0"/>
              <w:spacing w:line="300" w:lineRule="exact"/>
              <w:jc w:val="center"/>
              <w:textAlignment w:val="baseline"/>
              <w:rPr>
                <w:rFonts w:hint="eastAsia" w:ascii="宋体" w:hAnsi="宋体"/>
                <w:color w:val="000000" w:themeColor="text1"/>
                <w:kern w:val="24"/>
                <w:szCs w:val="21"/>
                <w14:textFill>
                  <w14:solidFill>
                    <w14:schemeClr w14:val="tx1"/>
                  </w14:solidFill>
                </w14:textFill>
              </w:rPr>
            </w:pPr>
            <w:r>
              <w:rPr>
                <w:rFonts w:hint="eastAsia" w:ascii="宋体" w:hAnsi="宋体"/>
                <w:color w:val="000000" w:themeColor="text1"/>
                <w:kern w:val="24"/>
                <w:szCs w:val="21"/>
                <w14:textFill>
                  <w14:solidFill>
                    <w14:schemeClr w14:val="tx1"/>
                  </w14:solidFill>
                </w14:textFill>
              </w:rPr>
              <w:t>2.26</w:t>
            </w:r>
          </w:p>
        </w:tc>
        <w:tc>
          <w:tcPr>
            <w:tcW w:w="361" w:type="pct"/>
            <w:vAlign w:val="center"/>
          </w:tcPr>
          <w:p w14:paraId="624911AD">
            <w:pPr>
              <w:widowControl/>
              <w:adjustRightInd w:val="0"/>
              <w:snapToGrid w:val="0"/>
              <w:spacing w:line="300" w:lineRule="exact"/>
              <w:jc w:val="center"/>
              <w:textAlignment w:val="baseline"/>
              <w:rPr>
                <w:rFonts w:hint="eastAsia" w:ascii="宋体" w:hAnsi="宋体"/>
                <w:color w:val="000000" w:themeColor="text1"/>
                <w:kern w:val="24"/>
                <w:szCs w:val="21"/>
                <w:lang w:eastAsia="en-US"/>
                <w14:textFill>
                  <w14:solidFill>
                    <w14:schemeClr w14:val="tx1"/>
                  </w14:solidFill>
                </w14:textFill>
              </w:rPr>
            </w:pPr>
            <w:r>
              <w:rPr>
                <w:rFonts w:hint="eastAsia" w:ascii="宋体" w:hAnsi="宋体"/>
                <w:color w:val="000000" w:themeColor="text1"/>
                <w:kern w:val="24"/>
                <w:szCs w:val="21"/>
                <w14:textFill>
                  <w14:solidFill>
                    <w14:schemeClr w14:val="tx1"/>
                  </w14:solidFill>
                </w14:textFill>
              </w:rPr>
              <w:t>2.69</w:t>
            </w:r>
          </w:p>
        </w:tc>
        <w:tc>
          <w:tcPr>
            <w:tcW w:w="400" w:type="pct"/>
            <w:vAlign w:val="center"/>
          </w:tcPr>
          <w:p w14:paraId="283810C3">
            <w:pPr>
              <w:widowControl/>
              <w:adjustRightInd w:val="0"/>
              <w:snapToGrid w:val="0"/>
              <w:spacing w:line="300" w:lineRule="exact"/>
              <w:jc w:val="center"/>
              <w:textAlignment w:val="baseline"/>
              <w:rPr>
                <w:rFonts w:hint="eastAsia" w:ascii="宋体" w:hAnsi="宋体"/>
                <w:color w:val="000000" w:themeColor="text1"/>
                <w:kern w:val="24"/>
                <w:szCs w:val="21"/>
                <w:lang w:eastAsia="en-US"/>
                <w14:textFill>
                  <w14:solidFill>
                    <w14:schemeClr w14:val="tx1"/>
                  </w14:solidFill>
                </w14:textFill>
              </w:rPr>
            </w:pPr>
            <w:r>
              <w:rPr>
                <w:rFonts w:hint="eastAsia" w:ascii="宋体" w:hAnsi="宋体"/>
                <w:color w:val="000000" w:themeColor="text1"/>
                <w:kern w:val="24"/>
                <w:szCs w:val="21"/>
                <w14:textFill>
                  <w14:solidFill>
                    <w14:schemeClr w14:val="tx1"/>
                  </w14:solidFill>
                </w14:textFill>
              </w:rPr>
              <w:t>0.55</w:t>
            </w:r>
          </w:p>
        </w:tc>
        <w:tc>
          <w:tcPr>
            <w:tcW w:w="399" w:type="pct"/>
            <w:vAlign w:val="center"/>
          </w:tcPr>
          <w:p w14:paraId="09E7C66F">
            <w:pPr>
              <w:widowControl/>
              <w:adjustRightInd w:val="0"/>
              <w:snapToGrid w:val="0"/>
              <w:spacing w:line="300" w:lineRule="exact"/>
              <w:jc w:val="center"/>
              <w:textAlignment w:val="baseline"/>
              <w:rPr>
                <w:rFonts w:hint="eastAsia" w:ascii="宋体" w:hAnsi="宋体"/>
                <w:color w:val="000000" w:themeColor="text1"/>
                <w:kern w:val="24"/>
                <w:szCs w:val="21"/>
                <w:lang w:eastAsia="en-US"/>
                <w14:textFill>
                  <w14:solidFill>
                    <w14:schemeClr w14:val="tx1"/>
                  </w14:solidFill>
                </w14:textFill>
              </w:rPr>
            </w:pPr>
            <w:r>
              <w:rPr>
                <w:rFonts w:hint="eastAsia" w:ascii="宋体" w:hAnsi="宋体"/>
                <w:color w:val="000000" w:themeColor="text1"/>
                <w:kern w:val="24"/>
                <w:szCs w:val="21"/>
                <w14:textFill>
                  <w14:solidFill>
                    <w14:schemeClr w14:val="tx1"/>
                  </w14:solidFill>
                </w14:textFill>
              </w:rPr>
              <w:t>1.12</w:t>
            </w:r>
          </w:p>
        </w:tc>
        <w:tc>
          <w:tcPr>
            <w:tcW w:w="371" w:type="pct"/>
            <w:vAlign w:val="center"/>
          </w:tcPr>
          <w:p w14:paraId="1BB44FA4">
            <w:pPr>
              <w:widowControl/>
              <w:adjustRightInd w:val="0"/>
              <w:snapToGrid w:val="0"/>
              <w:spacing w:line="300" w:lineRule="exact"/>
              <w:jc w:val="center"/>
              <w:textAlignment w:val="baseline"/>
              <w:rPr>
                <w:rFonts w:hint="eastAsia" w:ascii="宋体" w:hAnsi="宋体"/>
                <w:color w:val="000000" w:themeColor="text1"/>
                <w:kern w:val="24"/>
                <w:szCs w:val="21"/>
                <w:lang w:eastAsia="en-US"/>
                <w14:textFill>
                  <w14:solidFill>
                    <w14:schemeClr w14:val="tx1"/>
                  </w14:solidFill>
                </w14:textFill>
              </w:rPr>
            </w:pPr>
            <w:r>
              <w:rPr>
                <w:rFonts w:hint="eastAsia" w:ascii="宋体" w:hAnsi="宋体"/>
                <w:color w:val="000000" w:themeColor="text1"/>
                <w:kern w:val="24"/>
                <w:szCs w:val="21"/>
                <w14:textFill>
                  <w14:solidFill>
                    <w14:schemeClr w14:val="tx1"/>
                  </w14:solidFill>
                </w14:textFill>
              </w:rPr>
              <w:t>0.32</w:t>
            </w:r>
          </w:p>
        </w:tc>
        <w:tc>
          <w:tcPr>
            <w:tcW w:w="399" w:type="pct"/>
            <w:vAlign w:val="center"/>
          </w:tcPr>
          <w:p w14:paraId="6F600CB5">
            <w:pPr>
              <w:widowControl/>
              <w:adjustRightInd w:val="0"/>
              <w:snapToGrid w:val="0"/>
              <w:spacing w:line="300" w:lineRule="exact"/>
              <w:jc w:val="center"/>
              <w:textAlignment w:val="baseline"/>
              <w:rPr>
                <w:rFonts w:hint="eastAsia" w:ascii="宋体" w:hAnsi="宋体"/>
                <w:color w:val="000000" w:themeColor="text1"/>
                <w:kern w:val="24"/>
                <w:szCs w:val="21"/>
                <w:lang w:eastAsia="en-US"/>
                <w14:textFill>
                  <w14:solidFill>
                    <w14:schemeClr w14:val="tx1"/>
                  </w14:solidFill>
                </w14:textFill>
              </w:rPr>
            </w:pPr>
            <w:r>
              <w:rPr>
                <w:rFonts w:hint="eastAsia" w:ascii="宋体" w:hAnsi="宋体"/>
                <w:color w:val="000000" w:themeColor="text1"/>
                <w:kern w:val="24"/>
                <w:szCs w:val="21"/>
                <w14:textFill>
                  <w14:solidFill>
                    <w14:schemeClr w14:val="tx1"/>
                  </w14:solidFill>
                </w14:textFill>
              </w:rPr>
              <w:t>0.32</w:t>
            </w:r>
          </w:p>
        </w:tc>
        <w:tc>
          <w:tcPr>
            <w:tcW w:w="400" w:type="pct"/>
            <w:vAlign w:val="center"/>
          </w:tcPr>
          <w:p w14:paraId="52D47C8E">
            <w:pPr>
              <w:widowControl/>
              <w:adjustRightInd w:val="0"/>
              <w:snapToGrid w:val="0"/>
              <w:spacing w:line="300" w:lineRule="exact"/>
              <w:jc w:val="center"/>
              <w:textAlignment w:val="baseline"/>
              <w:rPr>
                <w:rFonts w:hint="eastAsia" w:ascii="宋体" w:hAnsi="宋体"/>
                <w:color w:val="000000" w:themeColor="text1"/>
                <w:kern w:val="24"/>
                <w:szCs w:val="21"/>
                <w:lang w:eastAsia="en-US"/>
                <w14:textFill>
                  <w14:solidFill>
                    <w14:schemeClr w14:val="tx1"/>
                  </w14:solidFill>
                </w14:textFill>
              </w:rPr>
            </w:pPr>
            <w:r>
              <w:rPr>
                <w:rFonts w:hint="eastAsia" w:ascii="宋体" w:hAnsi="宋体"/>
                <w:color w:val="000000" w:themeColor="text1"/>
                <w:kern w:val="24"/>
                <w:szCs w:val="21"/>
                <w14:textFill>
                  <w14:solidFill>
                    <w14:schemeClr w14:val="tx1"/>
                  </w14:solidFill>
                </w14:textFill>
              </w:rPr>
              <w:t>0.06</w:t>
            </w:r>
          </w:p>
        </w:tc>
        <w:tc>
          <w:tcPr>
            <w:tcW w:w="400" w:type="pct"/>
            <w:vAlign w:val="center"/>
          </w:tcPr>
          <w:p w14:paraId="3CBB36B7">
            <w:pPr>
              <w:widowControl/>
              <w:adjustRightInd w:val="0"/>
              <w:snapToGrid w:val="0"/>
              <w:spacing w:line="300" w:lineRule="exact"/>
              <w:jc w:val="center"/>
              <w:textAlignment w:val="baseline"/>
              <w:rPr>
                <w:rFonts w:hint="eastAsia" w:ascii="宋体" w:hAnsi="宋体"/>
                <w:color w:val="000000" w:themeColor="text1"/>
                <w:kern w:val="24"/>
                <w:szCs w:val="21"/>
                <w:lang w:eastAsia="en-US"/>
                <w14:textFill>
                  <w14:solidFill>
                    <w14:schemeClr w14:val="tx1"/>
                  </w14:solidFill>
                </w14:textFill>
              </w:rPr>
            </w:pPr>
            <w:r>
              <w:rPr>
                <w:rFonts w:hint="eastAsia" w:ascii="宋体" w:hAnsi="宋体"/>
                <w:color w:val="000000" w:themeColor="text1"/>
                <w:kern w:val="24"/>
                <w:szCs w:val="21"/>
                <w14:textFill>
                  <w14:solidFill>
                    <w14:schemeClr w14:val="tx1"/>
                  </w14:solidFill>
                </w14:textFill>
              </w:rPr>
              <w:t>82.26</w:t>
            </w:r>
          </w:p>
        </w:tc>
        <w:tc>
          <w:tcPr>
            <w:tcW w:w="383" w:type="pct"/>
            <w:vAlign w:val="center"/>
          </w:tcPr>
          <w:p w14:paraId="752EF03B">
            <w:pPr>
              <w:widowControl/>
              <w:adjustRightInd w:val="0"/>
              <w:snapToGrid w:val="0"/>
              <w:spacing w:line="300" w:lineRule="exact"/>
              <w:jc w:val="center"/>
              <w:textAlignment w:val="baseline"/>
              <w:rPr>
                <w:rFonts w:hint="eastAsia" w:ascii="宋体" w:hAnsi="宋体"/>
                <w:color w:val="000000" w:themeColor="text1"/>
                <w:kern w:val="24"/>
                <w:szCs w:val="21"/>
                <w:lang w:eastAsia="en-US"/>
                <w14:textFill>
                  <w14:solidFill>
                    <w14:schemeClr w14:val="tx1"/>
                  </w14:solidFill>
                </w14:textFill>
              </w:rPr>
            </w:pPr>
            <w:r>
              <w:rPr>
                <w:rFonts w:hint="eastAsia" w:ascii="宋体" w:hAnsi="宋体"/>
                <w:color w:val="000000" w:themeColor="text1"/>
                <w:kern w:val="24"/>
                <w:szCs w:val="21"/>
                <w14:textFill>
                  <w14:solidFill>
                    <w14:schemeClr w14:val="tx1"/>
                  </w14:solidFill>
                </w14:textFill>
              </w:rPr>
              <w:t>2.4</w:t>
            </w:r>
          </w:p>
        </w:tc>
      </w:tr>
      <w:tr w14:paraId="3931855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jc w:val="center"/>
        </w:trPr>
        <w:tc>
          <w:tcPr>
            <w:tcW w:w="632" w:type="pct"/>
            <w:vAlign w:val="center"/>
          </w:tcPr>
          <w:p w14:paraId="67201FF2">
            <w:pPr>
              <w:widowControl/>
              <w:adjustRightInd w:val="0"/>
              <w:snapToGrid w:val="0"/>
              <w:spacing w:line="300" w:lineRule="exact"/>
              <w:jc w:val="center"/>
              <w:textAlignment w:val="baseline"/>
              <w:rPr>
                <w:rFonts w:hint="eastAsia" w:ascii="宋体" w:hAnsi="宋体"/>
                <w:color w:val="000000" w:themeColor="text1"/>
                <w:kern w:val="24"/>
                <w:szCs w:val="21"/>
                <w14:textFill>
                  <w14:solidFill>
                    <w14:schemeClr w14:val="tx1"/>
                  </w14:solidFill>
                </w14:textFill>
              </w:rPr>
            </w:pPr>
            <w:r>
              <w:rPr>
                <w:rFonts w:hint="eastAsia" w:ascii="宋体" w:hAnsi="宋体"/>
                <w:color w:val="000000" w:themeColor="text1"/>
                <w:kern w:val="24"/>
                <w:szCs w:val="21"/>
                <w14:textFill>
                  <w14:solidFill>
                    <w14:schemeClr w14:val="tx1"/>
                  </w14:solidFill>
                </w14:textFill>
              </w:rPr>
              <w:t>均值</w:t>
            </w:r>
          </w:p>
        </w:tc>
        <w:tc>
          <w:tcPr>
            <w:tcW w:w="445" w:type="pct"/>
            <w:vAlign w:val="center"/>
          </w:tcPr>
          <w:p w14:paraId="56767150">
            <w:pPr>
              <w:widowControl/>
              <w:adjustRightInd w:val="0"/>
              <w:snapToGrid w:val="0"/>
              <w:spacing w:line="300" w:lineRule="exact"/>
              <w:jc w:val="center"/>
              <w:textAlignment w:val="baseline"/>
              <w:rPr>
                <w:rFonts w:hint="eastAsia" w:ascii="宋体" w:hAnsi="宋体"/>
                <w:color w:val="000000" w:themeColor="text1"/>
                <w:kern w:val="24"/>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1.44135</w:t>
            </w:r>
          </w:p>
        </w:tc>
        <w:tc>
          <w:tcPr>
            <w:tcW w:w="316" w:type="pct"/>
            <w:vAlign w:val="center"/>
          </w:tcPr>
          <w:p w14:paraId="18E5E135">
            <w:pPr>
              <w:widowControl/>
              <w:adjustRightInd w:val="0"/>
              <w:snapToGrid w:val="0"/>
              <w:spacing w:line="300" w:lineRule="exact"/>
              <w:jc w:val="center"/>
              <w:textAlignment w:val="baseline"/>
              <w:rPr>
                <w:rFonts w:hint="eastAsia" w:ascii="宋体" w:hAnsi="宋体"/>
                <w:color w:val="000000" w:themeColor="text1"/>
                <w:kern w:val="24"/>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7.745</w:t>
            </w:r>
          </w:p>
        </w:tc>
        <w:tc>
          <w:tcPr>
            <w:tcW w:w="494" w:type="pct"/>
            <w:vAlign w:val="center"/>
          </w:tcPr>
          <w:p w14:paraId="45FD6B3F">
            <w:pPr>
              <w:widowControl/>
              <w:adjustRightInd w:val="0"/>
              <w:snapToGrid w:val="0"/>
              <w:spacing w:line="300" w:lineRule="exact"/>
              <w:jc w:val="center"/>
              <w:textAlignment w:val="baseline"/>
              <w:rPr>
                <w:rFonts w:hint="eastAsia" w:ascii="宋体" w:hAnsi="宋体"/>
                <w:color w:val="000000" w:themeColor="text1"/>
                <w:kern w:val="24"/>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2.92</w:t>
            </w:r>
          </w:p>
        </w:tc>
        <w:tc>
          <w:tcPr>
            <w:tcW w:w="361" w:type="pct"/>
            <w:vAlign w:val="center"/>
          </w:tcPr>
          <w:p w14:paraId="2608242F">
            <w:pPr>
              <w:widowControl/>
              <w:adjustRightInd w:val="0"/>
              <w:snapToGrid w:val="0"/>
              <w:spacing w:line="300" w:lineRule="exact"/>
              <w:jc w:val="center"/>
              <w:textAlignment w:val="baseline"/>
              <w:rPr>
                <w:rFonts w:hint="eastAsia" w:ascii="宋体" w:hAnsi="宋体"/>
                <w:color w:val="000000" w:themeColor="text1"/>
                <w:kern w:val="24"/>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3.285</w:t>
            </w:r>
          </w:p>
        </w:tc>
        <w:tc>
          <w:tcPr>
            <w:tcW w:w="400" w:type="pct"/>
            <w:vAlign w:val="center"/>
          </w:tcPr>
          <w:p w14:paraId="2160DFD1">
            <w:pPr>
              <w:widowControl/>
              <w:adjustRightInd w:val="0"/>
              <w:snapToGrid w:val="0"/>
              <w:spacing w:line="300" w:lineRule="exact"/>
              <w:jc w:val="center"/>
              <w:textAlignment w:val="baseline"/>
              <w:rPr>
                <w:rFonts w:hint="eastAsia" w:ascii="宋体" w:hAnsi="宋体"/>
                <w:color w:val="000000" w:themeColor="text1"/>
                <w:kern w:val="24"/>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0.56</w:t>
            </w:r>
          </w:p>
        </w:tc>
        <w:tc>
          <w:tcPr>
            <w:tcW w:w="399" w:type="pct"/>
            <w:vAlign w:val="center"/>
          </w:tcPr>
          <w:p w14:paraId="1C770602">
            <w:pPr>
              <w:widowControl/>
              <w:adjustRightInd w:val="0"/>
              <w:snapToGrid w:val="0"/>
              <w:spacing w:line="300" w:lineRule="exact"/>
              <w:jc w:val="center"/>
              <w:textAlignment w:val="baseline"/>
              <w:rPr>
                <w:rFonts w:hint="eastAsia" w:ascii="宋体" w:hAnsi="宋体"/>
                <w:color w:val="000000" w:themeColor="text1"/>
                <w:kern w:val="24"/>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1.03</w:t>
            </w:r>
          </w:p>
        </w:tc>
        <w:tc>
          <w:tcPr>
            <w:tcW w:w="371" w:type="pct"/>
            <w:vAlign w:val="center"/>
          </w:tcPr>
          <w:p w14:paraId="1D2E2D3B">
            <w:pPr>
              <w:widowControl/>
              <w:adjustRightInd w:val="0"/>
              <w:snapToGrid w:val="0"/>
              <w:spacing w:line="300" w:lineRule="exact"/>
              <w:jc w:val="center"/>
              <w:textAlignment w:val="baseline"/>
              <w:rPr>
                <w:rFonts w:hint="eastAsia" w:ascii="宋体" w:hAnsi="宋体"/>
                <w:color w:val="000000" w:themeColor="text1"/>
                <w:kern w:val="24"/>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0.255</w:t>
            </w:r>
          </w:p>
        </w:tc>
        <w:tc>
          <w:tcPr>
            <w:tcW w:w="399" w:type="pct"/>
            <w:vAlign w:val="center"/>
          </w:tcPr>
          <w:p w14:paraId="0F89F43F">
            <w:pPr>
              <w:widowControl/>
              <w:adjustRightInd w:val="0"/>
              <w:snapToGrid w:val="0"/>
              <w:spacing w:line="300" w:lineRule="exact"/>
              <w:jc w:val="center"/>
              <w:textAlignment w:val="baseline"/>
              <w:rPr>
                <w:rFonts w:hint="eastAsia" w:ascii="宋体" w:hAnsi="宋体"/>
                <w:color w:val="000000" w:themeColor="text1"/>
                <w:kern w:val="24"/>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0.245</w:t>
            </w:r>
          </w:p>
        </w:tc>
        <w:tc>
          <w:tcPr>
            <w:tcW w:w="400" w:type="pct"/>
            <w:vAlign w:val="center"/>
          </w:tcPr>
          <w:p w14:paraId="3A6BD720">
            <w:pPr>
              <w:widowControl/>
              <w:adjustRightInd w:val="0"/>
              <w:snapToGrid w:val="0"/>
              <w:spacing w:line="300" w:lineRule="exact"/>
              <w:jc w:val="center"/>
              <w:textAlignment w:val="baseline"/>
              <w:rPr>
                <w:rFonts w:hint="eastAsia" w:ascii="宋体" w:hAnsi="宋体"/>
                <w:color w:val="000000" w:themeColor="text1"/>
                <w:kern w:val="24"/>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0.045</w:t>
            </w:r>
          </w:p>
        </w:tc>
        <w:tc>
          <w:tcPr>
            <w:tcW w:w="400" w:type="pct"/>
            <w:vAlign w:val="center"/>
          </w:tcPr>
          <w:p w14:paraId="5628AFFB">
            <w:pPr>
              <w:widowControl/>
              <w:adjustRightInd w:val="0"/>
              <w:snapToGrid w:val="0"/>
              <w:spacing w:line="300" w:lineRule="exact"/>
              <w:jc w:val="center"/>
              <w:textAlignment w:val="baseline"/>
              <w:rPr>
                <w:rFonts w:hint="eastAsia" w:ascii="宋体" w:hAnsi="宋体"/>
                <w:color w:val="000000" w:themeColor="text1"/>
                <w:kern w:val="24"/>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82.095</w:t>
            </w:r>
          </w:p>
        </w:tc>
        <w:tc>
          <w:tcPr>
            <w:tcW w:w="383" w:type="pct"/>
            <w:vAlign w:val="center"/>
          </w:tcPr>
          <w:p w14:paraId="71F4035A">
            <w:pPr>
              <w:widowControl/>
              <w:adjustRightInd w:val="0"/>
              <w:snapToGrid w:val="0"/>
              <w:spacing w:line="300" w:lineRule="exact"/>
              <w:jc w:val="center"/>
              <w:textAlignment w:val="baseline"/>
              <w:rPr>
                <w:rFonts w:hint="eastAsia" w:ascii="宋体" w:hAnsi="宋体"/>
                <w:color w:val="000000" w:themeColor="text1"/>
                <w:kern w:val="24"/>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1.825</w:t>
            </w:r>
          </w:p>
        </w:tc>
      </w:tr>
    </w:tbl>
    <w:p w14:paraId="3BD60964">
      <w:pPr>
        <w:widowControl/>
        <w:adjustRightInd w:val="0"/>
        <w:snapToGrid w:val="0"/>
        <w:spacing w:line="500" w:lineRule="exact"/>
        <w:jc w:val="center"/>
        <w:rPr>
          <w:color w:val="000000" w:themeColor="text1"/>
          <w14:textFill>
            <w14:solidFill>
              <w14:schemeClr w14:val="tx1"/>
            </w14:solidFill>
          </w14:textFill>
        </w:rPr>
      </w:pPr>
      <w:r>
        <w:rPr>
          <w:rFonts w:hint="eastAsia" w:ascii="黑体" w:hAnsi="黑体" w:eastAsia="黑体"/>
          <w:color w:val="000000" w:themeColor="text1"/>
          <w14:textFill>
            <w14:solidFill>
              <w14:schemeClr w14:val="tx1"/>
            </w14:solidFill>
          </w14:textFill>
        </w:rPr>
        <w:t>表3.2-7  采出水性质一览表</w:t>
      </w:r>
    </w:p>
    <w:tbl>
      <w:tblPr>
        <w:tblStyle w:val="51"/>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1985"/>
        <w:gridCol w:w="1983"/>
        <w:gridCol w:w="2146"/>
        <w:gridCol w:w="2616"/>
      </w:tblGrid>
      <w:tr w14:paraId="2AFFFEA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blHeader/>
        </w:trPr>
        <w:tc>
          <w:tcPr>
            <w:tcW w:w="1137" w:type="pct"/>
            <w:vAlign w:val="center"/>
          </w:tcPr>
          <w:p w14:paraId="1D331B8B">
            <w:pPr>
              <w:autoSpaceDE w:val="0"/>
              <w:autoSpaceDN w:val="0"/>
              <w:adjustRightInd w:val="0"/>
              <w:snapToGrid w:val="0"/>
              <w:spacing w:line="300" w:lineRule="exact"/>
              <w:jc w:val="center"/>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检测项目</w:t>
            </w:r>
          </w:p>
        </w:tc>
        <w:tc>
          <w:tcPr>
            <w:tcW w:w="1136" w:type="pct"/>
            <w:vAlign w:val="center"/>
          </w:tcPr>
          <w:p w14:paraId="4CB471A5">
            <w:pPr>
              <w:autoSpaceDE w:val="0"/>
              <w:autoSpaceDN w:val="0"/>
              <w:adjustRightInd w:val="0"/>
              <w:snapToGrid w:val="0"/>
              <w:spacing w:line="300" w:lineRule="exact"/>
              <w:jc w:val="center"/>
              <w:rPr>
                <w:rFonts w:hint="eastAsia" w:ascii="宋体" w:hAnsi="宋体"/>
                <w:b/>
                <w:bCs/>
                <w:color w:val="000000" w:themeColor="text1"/>
                <w:szCs w:val="21"/>
                <w14:textFill>
                  <w14:solidFill>
                    <w14:schemeClr w14:val="tx1"/>
                  </w14:solidFill>
                </w14:textFill>
              </w:rPr>
            </w:pPr>
            <w:r>
              <w:rPr>
                <w:rFonts w:hint="eastAsia" w:ascii="宋体" w:hAnsi="宋体"/>
                <w:color w:val="000000" w:themeColor="text1"/>
                <w:kern w:val="24"/>
                <w:szCs w:val="21"/>
                <w14:textFill>
                  <w14:solidFill>
                    <w14:schemeClr w14:val="tx1"/>
                  </w14:solidFill>
                </w14:textFill>
              </w:rPr>
              <w:t>站外池进口</w:t>
            </w:r>
            <w:r>
              <w:rPr>
                <w:rFonts w:hint="eastAsia" w:ascii="宋体" w:hAnsi="宋体"/>
                <w:color w:val="000000" w:themeColor="text1"/>
                <w:szCs w:val="21"/>
                <w14:textFill>
                  <w14:solidFill>
                    <w14:schemeClr w14:val="tx1"/>
                  </w14:solidFill>
                </w14:textFill>
              </w:rPr>
              <w:t>检测结果</w:t>
            </w:r>
          </w:p>
        </w:tc>
        <w:tc>
          <w:tcPr>
            <w:tcW w:w="1229" w:type="pct"/>
            <w:vAlign w:val="center"/>
          </w:tcPr>
          <w:p w14:paraId="4178B217">
            <w:pPr>
              <w:autoSpaceDE w:val="0"/>
              <w:autoSpaceDN w:val="0"/>
              <w:adjustRightInd w:val="0"/>
              <w:snapToGrid w:val="0"/>
              <w:spacing w:line="300" w:lineRule="exact"/>
              <w:jc w:val="center"/>
              <w:rPr>
                <w:rFonts w:hint="eastAsia" w:ascii="宋体" w:hAnsi="宋体"/>
                <w:color w:val="000000" w:themeColor="text1"/>
                <w:kern w:val="24"/>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检测项目</w:t>
            </w:r>
          </w:p>
        </w:tc>
        <w:tc>
          <w:tcPr>
            <w:tcW w:w="1498" w:type="pct"/>
            <w:vAlign w:val="center"/>
          </w:tcPr>
          <w:p w14:paraId="4E54EC74">
            <w:pPr>
              <w:autoSpaceDE w:val="0"/>
              <w:autoSpaceDN w:val="0"/>
              <w:adjustRightInd w:val="0"/>
              <w:snapToGrid w:val="0"/>
              <w:spacing w:line="300" w:lineRule="exact"/>
              <w:jc w:val="center"/>
              <w:rPr>
                <w:rFonts w:hint="eastAsia" w:ascii="宋体" w:hAnsi="宋体"/>
                <w:color w:val="000000" w:themeColor="text1"/>
                <w:kern w:val="24"/>
                <w:szCs w:val="21"/>
                <w14:textFill>
                  <w14:solidFill>
                    <w14:schemeClr w14:val="tx1"/>
                  </w14:solidFill>
                </w14:textFill>
              </w:rPr>
            </w:pPr>
            <w:r>
              <w:rPr>
                <w:rFonts w:hint="eastAsia" w:ascii="宋体" w:hAnsi="宋体"/>
                <w:color w:val="000000" w:themeColor="text1"/>
                <w:kern w:val="24"/>
                <w:szCs w:val="21"/>
                <w14:textFill>
                  <w14:solidFill>
                    <w14:schemeClr w14:val="tx1"/>
                  </w14:solidFill>
                </w14:textFill>
              </w:rPr>
              <w:t>站外池进口</w:t>
            </w:r>
            <w:r>
              <w:rPr>
                <w:rFonts w:hint="eastAsia" w:ascii="宋体" w:hAnsi="宋体"/>
                <w:color w:val="000000" w:themeColor="text1"/>
                <w:szCs w:val="21"/>
                <w14:textFill>
                  <w14:solidFill>
                    <w14:schemeClr w14:val="tx1"/>
                  </w14:solidFill>
                </w14:textFill>
              </w:rPr>
              <w:t>检测结果</w:t>
            </w:r>
          </w:p>
        </w:tc>
      </w:tr>
      <w:tr w14:paraId="19981F0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Pr>
        <w:tc>
          <w:tcPr>
            <w:tcW w:w="1137" w:type="pct"/>
            <w:vAlign w:val="center"/>
          </w:tcPr>
          <w:p w14:paraId="39D8FE59">
            <w:pPr>
              <w:widowControl/>
              <w:adjustRightInd w:val="0"/>
              <w:snapToGrid w:val="0"/>
              <w:spacing w:line="300" w:lineRule="exact"/>
              <w:jc w:val="center"/>
              <w:textAlignment w:val="baseline"/>
              <w:rPr>
                <w:rFonts w:hint="eastAsia" w:ascii="宋体" w:hAnsi="宋体"/>
                <w:color w:val="000000" w:themeColor="text1"/>
                <w:kern w:val="24"/>
                <w:szCs w:val="21"/>
                <w:lang w:val="zh-CN"/>
                <w14:textFill>
                  <w14:solidFill>
                    <w14:schemeClr w14:val="tx1"/>
                  </w14:solidFill>
                </w14:textFill>
              </w:rPr>
            </w:pPr>
            <w:r>
              <w:rPr>
                <w:rFonts w:hint="eastAsia" w:ascii="宋体" w:hAnsi="宋体"/>
                <w:color w:val="000000" w:themeColor="text1"/>
                <w:kern w:val="24"/>
                <w:szCs w:val="21"/>
                <w14:textFill>
                  <w14:solidFill>
                    <w14:schemeClr w14:val="tx1"/>
                  </w14:solidFill>
                </w14:textFill>
              </w:rPr>
              <w:t>温度，</w:t>
            </w:r>
            <w:r>
              <w:rPr>
                <w:rFonts w:ascii="宋体" w:hAnsi="宋体"/>
                <w:color w:val="000000" w:themeColor="text1"/>
                <w:szCs w:val="24"/>
                <w14:textFill>
                  <w14:solidFill>
                    <w14:schemeClr w14:val="tx1"/>
                  </w14:solidFill>
                </w14:textFill>
              </w:rPr>
              <w:t>℃</w:t>
            </w:r>
          </w:p>
        </w:tc>
        <w:tc>
          <w:tcPr>
            <w:tcW w:w="1136" w:type="pct"/>
            <w:vAlign w:val="center"/>
          </w:tcPr>
          <w:p w14:paraId="54A26037">
            <w:pPr>
              <w:widowControl/>
              <w:adjustRightInd w:val="0"/>
              <w:snapToGrid w:val="0"/>
              <w:spacing w:line="300" w:lineRule="exact"/>
              <w:jc w:val="center"/>
              <w:textAlignment w:val="baseline"/>
              <w:rPr>
                <w:rFonts w:hint="eastAsia" w:ascii="宋体" w:hAnsi="宋体"/>
                <w:color w:val="000000" w:themeColor="text1"/>
                <w:kern w:val="24"/>
                <w:szCs w:val="21"/>
                <w:lang w:val="zh-CN"/>
                <w14:textFill>
                  <w14:solidFill>
                    <w14:schemeClr w14:val="tx1"/>
                  </w14:solidFill>
                </w14:textFill>
              </w:rPr>
            </w:pPr>
            <w:r>
              <w:rPr>
                <w:rFonts w:hint="eastAsia" w:ascii="宋体" w:hAnsi="宋体"/>
                <w:color w:val="000000" w:themeColor="text1"/>
                <w:kern w:val="24"/>
                <w:szCs w:val="21"/>
                <w14:textFill>
                  <w14:solidFill>
                    <w14:schemeClr w14:val="tx1"/>
                  </w14:solidFill>
                </w14:textFill>
              </w:rPr>
              <w:t>50</w:t>
            </w:r>
          </w:p>
        </w:tc>
        <w:tc>
          <w:tcPr>
            <w:tcW w:w="1229" w:type="pct"/>
            <w:vAlign w:val="center"/>
          </w:tcPr>
          <w:p w14:paraId="74520D8C">
            <w:pPr>
              <w:widowControl/>
              <w:adjustRightInd w:val="0"/>
              <w:snapToGrid w:val="0"/>
              <w:spacing w:line="300" w:lineRule="exact"/>
              <w:jc w:val="center"/>
              <w:textAlignment w:val="baseline"/>
              <w:rPr>
                <w:rFonts w:hint="eastAsia" w:ascii="宋体" w:hAnsi="宋体"/>
                <w:color w:val="000000" w:themeColor="text1"/>
                <w:kern w:val="24"/>
                <w:szCs w:val="21"/>
                <w14:textFill>
                  <w14:solidFill>
                    <w14:schemeClr w14:val="tx1"/>
                  </w14:solidFill>
                </w14:textFill>
              </w:rPr>
            </w:pPr>
            <w:r>
              <w:rPr>
                <w:rFonts w:hint="eastAsia" w:ascii="宋体" w:hAnsi="宋体"/>
                <w:color w:val="000000" w:themeColor="text1"/>
                <w:kern w:val="24"/>
                <w:szCs w:val="21"/>
                <w14:textFill>
                  <w14:solidFill>
                    <w14:schemeClr w14:val="tx1"/>
                  </w14:solidFill>
                </w14:textFill>
              </w:rPr>
              <w:t>钾+钠离子，mg/L</w:t>
            </w:r>
          </w:p>
        </w:tc>
        <w:tc>
          <w:tcPr>
            <w:tcW w:w="1498" w:type="pct"/>
            <w:vAlign w:val="center"/>
          </w:tcPr>
          <w:p w14:paraId="0ADE9F76">
            <w:pPr>
              <w:widowControl/>
              <w:adjustRightInd w:val="0"/>
              <w:snapToGrid w:val="0"/>
              <w:spacing w:line="300" w:lineRule="exact"/>
              <w:jc w:val="center"/>
              <w:textAlignment w:val="baseline"/>
              <w:rPr>
                <w:rFonts w:hint="eastAsia" w:ascii="宋体" w:hAnsi="宋体"/>
                <w:color w:val="000000" w:themeColor="text1"/>
                <w:kern w:val="24"/>
                <w:szCs w:val="21"/>
                <w14:textFill>
                  <w14:solidFill>
                    <w14:schemeClr w14:val="tx1"/>
                  </w14:solidFill>
                </w14:textFill>
              </w:rPr>
            </w:pPr>
            <w:r>
              <w:rPr>
                <w:rFonts w:hint="eastAsia" w:ascii="宋体" w:hAnsi="宋体"/>
                <w:color w:val="000000" w:themeColor="text1"/>
                <w:kern w:val="24"/>
                <w:szCs w:val="21"/>
                <w14:textFill>
                  <w14:solidFill>
                    <w14:schemeClr w14:val="tx1"/>
                  </w14:solidFill>
                </w14:textFill>
              </w:rPr>
              <w:t>4131.6</w:t>
            </w:r>
          </w:p>
        </w:tc>
      </w:tr>
      <w:tr w14:paraId="312B9D3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Pr>
        <w:tc>
          <w:tcPr>
            <w:tcW w:w="1137" w:type="pct"/>
            <w:vAlign w:val="center"/>
          </w:tcPr>
          <w:p w14:paraId="7BEBFD80">
            <w:pPr>
              <w:widowControl/>
              <w:adjustRightInd w:val="0"/>
              <w:snapToGrid w:val="0"/>
              <w:spacing w:line="300" w:lineRule="exact"/>
              <w:jc w:val="center"/>
              <w:textAlignment w:val="baseline"/>
              <w:rPr>
                <w:rFonts w:hint="eastAsia" w:ascii="宋体" w:hAnsi="宋体"/>
                <w:color w:val="000000" w:themeColor="text1"/>
                <w:kern w:val="24"/>
                <w:szCs w:val="21"/>
                <w:lang w:val="zh-CN"/>
                <w14:textFill>
                  <w14:solidFill>
                    <w14:schemeClr w14:val="tx1"/>
                  </w14:solidFill>
                </w14:textFill>
              </w:rPr>
            </w:pPr>
            <w:r>
              <w:rPr>
                <w:rFonts w:hint="eastAsia" w:ascii="宋体" w:hAnsi="宋体"/>
                <w:color w:val="000000" w:themeColor="text1"/>
                <w:kern w:val="24"/>
                <w:szCs w:val="21"/>
                <w14:textFill>
                  <w14:solidFill>
                    <w14:schemeClr w14:val="tx1"/>
                  </w14:solidFill>
                </w14:textFill>
              </w:rPr>
              <w:t>pH</w:t>
            </w:r>
          </w:p>
        </w:tc>
        <w:tc>
          <w:tcPr>
            <w:tcW w:w="1136" w:type="pct"/>
            <w:vAlign w:val="center"/>
          </w:tcPr>
          <w:p w14:paraId="27691827">
            <w:pPr>
              <w:widowControl/>
              <w:adjustRightInd w:val="0"/>
              <w:snapToGrid w:val="0"/>
              <w:spacing w:line="300" w:lineRule="exact"/>
              <w:jc w:val="center"/>
              <w:textAlignment w:val="baseline"/>
              <w:rPr>
                <w:rFonts w:hint="eastAsia" w:ascii="宋体" w:hAnsi="宋体"/>
                <w:color w:val="000000" w:themeColor="text1"/>
                <w:kern w:val="24"/>
                <w:szCs w:val="21"/>
                <w:lang w:val="zh-CN"/>
                <w14:textFill>
                  <w14:solidFill>
                    <w14:schemeClr w14:val="tx1"/>
                  </w14:solidFill>
                </w14:textFill>
              </w:rPr>
            </w:pPr>
            <w:r>
              <w:rPr>
                <w:rFonts w:hint="eastAsia" w:ascii="宋体" w:hAnsi="宋体"/>
                <w:color w:val="000000" w:themeColor="text1"/>
                <w:kern w:val="24"/>
                <w:szCs w:val="21"/>
                <w14:textFill>
                  <w14:solidFill>
                    <w14:schemeClr w14:val="tx1"/>
                  </w14:solidFill>
                </w14:textFill>
              </w:rPr>
              <w:t>8.22</w:t>
            </w:r>
          </w:p>
        </w:tc>
        <w:tc>
          <w:tcPr>
            <w:tcW w:w="1229" w:type="pct"/>
            <w:vAlign w:val="center"/>
          </w:tcPr>
          <w:p w14:paraId="05D0655E">
            <w:pPr>
              <w:widowControl/>
              <w:adjustRightInd w:val="0"/>
              <w:snapToGrid w:val="0"/>
              <w:spacing w:line="300" w:lineRule="exact"/>
              <w:jc w:val="center"/>
              <w:textAlignment w:val="baseline"/>
              <w:rPr>
                <w:rFonts w:hint="eastAsia" w:ascii="宋体" w:hAnsi="宋体"/>
                <w:color w:val="000000" w:themeColor="text1"/>
                <w:kern w:val="24"/>
                <w:szCs w:val="21"/>
                <w14:textFill>
                  <w14:solidFill>
                    <w14:schemeClr w14:val="tx1"/>
                  </w14:solidFill>
                </w14:textFill>
              </w:rPr>
            </w:pPr>
            <w:r>
              <w:rPr>
                <w:rFonts w:hint="eastAsia" w:ascii="宋体" w:hAnsi="宋体"/>
                <w:color w:val="000000" w:themeColor="text1"/>
                <w:kern w:val="24"/>
                <w:szCs w:val="21"/>
                <w14:textFill>
                  <w14:solidFill>
                    <w14:schemeClr w14:val="tx1"/>
                  </w14:solidFill>
                </w14:textFill>
              </w:rPr>
              <w:t>矿化度，mg/L</w:t>
            </w:r>
          </w:p>
        </w:tc>
        <w:tc>
          <w:tcPr>
            <w:tcW w:w="1498" w:type="pct"/>
            <w:vAlign w:val="center"/>
          </w:tcPr>
          <w:p w14:paraId="26CD686B">
            <w:pPr>
              <w:widowControl/>
              <w:adjustRightInd w:val="0"/>
              <w:snapToGrid w:val="0"/>
              <w:spacing w:line="300" w:lineRule="exact"/>
              <w:jc w:val="center"/>
              <w:textAlignment w:val="baseline"/>
              <w:rPr>
                <w:rFonts w:hint="eastAsia" w:ascii="宋体" w:hAnsi="宋体"/>
                <w:color w:val="000000" w:themeColor="text1"/>
                <w:kern w:val="24"/>
                <w:szCs w:val="21"/>
                <w14:textFill>
                  <w14:solidFill>
                    <w14:schemeClr w14:val="tx1"/>
                  </w14:solidFill>
                </w14:textFill>
              </w:rPr>
            </w:pPr>
            <w:r>
              <w:rPr>
                <w:rFonts w:hint="eastAsia" w:ascii="宋体" w:hAnsi="宋体"/>
                <w:color w:val="000000" w:themeColor="text1"/>
                <w:kern w:val="24"/>
                <w:szCs w:val="21"/>
                <w14:textFill>
                  <w14:solidFill>
                    <w14:schemeClr w14:val="tx1"/>
                  </w14:solidFill>
                </w14:textFill>
              </w:rPr>
              <w:t>12919.6</w:t>
            </w:r>
          </w:p>
        </w:tc>
      </w:tr>
      <w:tr w14:paraId="383A063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Pr>
        <w:tc>
          <w:tcPr>
            <w:tcW w:w="1137" w:type="pct"/>
            <w:vAlign w:val="center"/>
          </w:tcPr>
          <w:p w14:paraId="713B7111">
            <w:pPr>
              <w:widowControl/>
              <w:adjustRightInd w:val="0"/>
              <w:snapToGrid w:val="0"/>
              <w:spacing w:line="300" w:lineRule="exact"/>
              <w:jc w:val="center"/>
              <w:textAlignment w:val="baseline"/>
              <w:rPr>
                <w:rFonts w:hint="eastAsia" w:ascii="宋体" w:hAnsi="宋体"/>
                <w:color w:val="000000" w:themeColor="text1"/>
                <w:kern w:val="24"/>
                <w:szCs w:val="21"/>
                <w:lang w:val="zh-CN"/>
                <w14:textFill>
                  <w14:solidFill>
                    <w14:schemeClr w14:val="tx1"/>
                  </w14:solidFill>
                </w14:textFill>
              </w:rPr>
            </w:pPr>
            <w:r>
              <w:rPr>
                <w:rFonts w:hint="eastAsia" w:ascii="宋体" w:hAnsi="宋体"/>
                <w:color w:val="000000" w:themeColor="text1"/>
                <w:kern w:val="24"/>
                <w:szCs w:val="21"/>
                <w14:textFill>
                  <w14:solidFill>
                    <w14:schemeClr w14:val="tx1"/>
                  </w14:solidFill>
                </w14:textFill>
              </w:rPr>
              <w:t>碳酸根，mg/L</w:t>
            </w:r>
          </w:p>
        </w:tc>
        <w:tc>
          <w:tcPr>
            <w:tcW w:w="1136" w:type="pct"/>
            <w:vAlign w:val="center"/>
          </w:tcPr>
          <w:p w14:paraId="106D7F75">
            <w:pPr>
              <w:widowControl/>
              <w:adjustRightInd w:val="0"/>
              <w:snapToGrid w:val="0"/>
              <w:spacing w:line="300" w:lineRule="exact"/>
              <w:jc w:val="center"/>
              <w:textAlignment w:val="baseline"/>
              <w:rPr>
                <w:rFonts w:hint="eastAsia" w:ascii="宋体" w:hAnsi="宋体"/>
                <w:color w:val="000000" w:themeColor="text1"/>
                <w:kern w:val="24"/>
                <w:szCs w:val="21"/>
                <w:lang w:val="zh-CN"/>
                <w14:textFill>
                  <w14:solidFill>
                    <w14:schemeClr w14:val="tx1"/>
                  </w14:solidFill>
                </w14:textFill>
              </w:rPr>
            </w:pPr>
            <w:r>
              <w:rPr>
                <w:rFonts w:hint="eastAsia" w:ascii="宋体" w:hAnsi="宋体"/>
                <w:color w:val="000000" w:themeColor="text1"/>
                <w:kern w:val="24"/>
                <w:szCs w:val="21"/>
                <w14:textFill>
                  <w14:solidFill>
                    <w14:schemeClr w14:val="tx1"/>
                  </w14:solidFill>
                </w14:textFill>
              </w:rPr>
              <w:t>未检出</w:t>
            </w:r>
          </w:p>
        </w:tc>
        <w:tc>
          <w:tcPr>
            <w:tcW w:w="1229" w:type="pct"/>
            <w:vAlign w:val="center"/>
          </w:tcPr>
          <w:p w14:paraId="53BF5CBB">
            <w:pPr>
              <w:widowControl/>
              <w:adjustRightInd w:val="0"/>
              <w:snapToGrid w:val="0"/>
              <w:spacing w:line="300" w:lineRule="exact"/>
              <w:jc w:val="center"/>
              <w:textAlignment w:val="baseline"/>
              <w:rPr>
                <w:rFonts w:hint="eastAsia" w:ascii="宋体" w:hAnsi="宋体"/>
                <w:color w:val="000000" w:themeColor="text1"/>
                <w:kern w:val="24"/>
                <w:szCs w:val="21"/>
                <w14:textFill>
                  <w14:solidFill>
                    <w14:schemeClr w14:val="tx1"/>
                  </w14:solidFill>
                </w14:textFill>
              </w:rPr>
            </w:pPr>
            <w:r>
              <w:rPr>
                <w:rFonts w:hint="eastAsia" w:ascii="宋体" w:hAnsi="宋体"/>
                <w:color w:val="000000" w:themeColor="text1"/>
                <w:kern w:val="24"/>
                <w:szCs w:val="21"/>
                <w14:textFill>
                  <w14:solidFill>
                    <w14:schemeClr w14:val="tx1"/>
                  </w14:solidFill>
                </w14:textFill>
              </w:rPr>
              <w:t>水型</w:t>
            </w:r>
          </w:p>
        </w:tc>
        <w:tc>
          <w:tcPr>
            <w:tcW w:w="1498" w:type="pct"/>
            <w:vAlign w:val="center"/>
          </w:tcPr>
          <w:p w14:paraId="6F5558BC">
            <w:pPr>
              <w:widowControl/>
              <w:adjustRightInd w:val="0"/>
              <w:snapToGrid w:val="0"/>
              <w:spacing w:line="300" w:lineRule="exact"/>
              <w:jc w:val="center"/>
              <w:textAlignment w:val="baseline"/>
              <w:rPr>
                <w:rFonts w:hint="eastAsia" w:ascii="宋体" w:hAnsi="宋体"/>
                <w:color w:val="000000" w:themeColor="text1"/>
                <w:kern w:val="24"/>
                <w:szCs w:val="21"/>
                <w14:textFill>
                  <w14:solidFill>
                    <w14:schemeClr w14:val="tx1"/>
                  </w14:solidFill>
                </w14:textFill>
              </w:rPr>
            </w:pPr>
            <w:r>
              <w:rPr>
                <w:rFonts w:hint="eastAsia" w:ascii="宋体" w:hAnsi="宋体"/>
                <w:color w:val="000000" w:themeColor="text1"/>
                <w:kern w:val="24"/>
                <w:szCs w:val="21"/>
                <w14:textFill>
                  <w14:solidFill>
                    <w14:schemeClr w14:val="tx1"/>
                  </w14:solidFill>
                </w14:textFill>
              </w:rPr>
              <w:t>重碳酸钠</w:t>
            </w:r>
          </w:p>
        </w:tc>
      </w:tr>
      <w:tr w14:paraId="323D00A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Pr>
        <w:tc>
          <w:tcPr>
            <w:tcW w:w="1137" w:type="pct"/>
            <w:vAlign w:val="center"/>
          </w:tcPr>
          <w:p w14:paraId="250DC87F">
            <w:pPr>
              <w:widowControl/>
              <w:adjustRightInd w:val="0"/>
              <w:snapToGrid w:val="0"/>
              <w:spacing w:line="300" w:lineRule="exact"/>
              <w:jc w:val="center"/>
              <w:textAlignment w:val="baseline"/>
              <w:rPr>
                <w:rFonts w:hint="eastAsia" w:ascii="宋体" w:hAnsi="宋体"/>
                <w:color w:val="000000" w:themeColor="text1"/>
                <w:kern w:val="24"/>
                <w:szCs w:val="21"/>
                <w:lang w:val="zh-CN"/>
                <w14:textFill>
                  <w14:solidFill>
                    <w14:schemeClr w14:val="tx1"/>
                  </w14:solidFill>
                </w14:textFill>
              </w:rPr>
            </w:pPr>
            <w:r>
              <w:rPr>
                <w:rFonts w:hint="eastAsia" w:ascii="宋体" w:hAnsi="宋体"/>
                <w:color w:val="000000" w:themeColor="text1"/>
                <w:kern w:val="24"/>
                <w:szCs w:val="21"/>
                <w14:textFill>
                  <w14:solidFill>
                    <w14:schemeClr w14:val="tx1"/>
                  </w14:solidFill>
                </w14:textFill>
              </w:rPr>
              <w:t>碳酸氢根，mg/L</w:t>
            </w:r>
          </w:p>
        </w:tc>
        <w:tc>
          <w:tcPr>
            <w:tcW w:w="1136" w:type="pct"/>
            <w:vAlign w:val="center"/>
          </w:tcPr>
          <w:p w14:paraId="1CD1796B">
            <w:pPr>
              <w:widowControl/>
              <w:adjustRightInd w:val="0"/>
              <w:snapToGrid w:val="0"/>
              <w:spacing w:line="300" w:lineRule="exact"/>
              <w:jc w:val="center"/>
              <w:textAlignment w:val="baseline"/>
              <w:rPr>
                <w:rFonts w:hint="eastAsia" w:ascii="宋体" w:hAnsi="宋体"/>
                <w:color w:val="000000" w:themeColor="text1"/>
                <w:kern w:val="24"/>
                <w:szCs w:val="21"/>
                <w:lang w:val="zh-CN"/>
                <w14:textFill>
                  <w14:solidFill>
                    <w14:schemeClr w14:val="tx1"/>
                  </w14:solidFill>
                </w14:textFill>
              </w:rPr>
            </w:pPr>
            <w:r>
              <w:rPr>
                <w:rFonts w:hint="eastAsia" w:ascii="宋体" w:hAnsi="宋体"/>
                <w:color w:val="000000" w:themeColor="text1"/>
                <w:kern w:val="24"/>
                <w:szCs w:val="21"/>
                <w14:textFill>
                  <w14:solidFill>
                    <w14:schemeClr w14:val="tx1"/>
                  </w14:solidFill>
                </w14:textFill>
              </w:rPr>
              <w:t>5327.8</w:t>
            </w:r>
          </w:p>
        </w:tc>
        <w:tc>
          <w:tcPr>
            <w:tcW w:w="1229" w:type="pct"/>
            <w:vAlign w:val="center"/>
          </w:tcPr>
          <w:p w14:paraId="2B2BCA13">
            <w:pPr>
              <w:widowControl/>
              <w:adjustRightInd w:val="0"/>
              <w:snapToGrid w:val="0"/>
              <w:spacing w:line="300" w:lineRule="exact"/>
              <w:jc w:val="center"/>
              <w:textAlignment w:val="baseline"/>
              <w:rPr>
                <w:rFonts w:hint="eastAsia" w:ascii="宋体" w:hAnsi="宋体"/>
                <w:color w:val="000000" w:themeColor="text1"/>
                <w:kern w:val="24"/>
                <w:szCs w:val="21"/>
                <w14:textFill>
                  <w14:solidFill>
                    <w14:schemeClr w14:val="tx1"/>
                  </w14:solidFill>
                </w14:textFill>
              </w:rPr>
            </w:pPr>
            <w:r>
              <w:rPr>
                <w:rFonts w:hint="eastAsia" w:ascii="宋体" w:hAnsi="宋体"/>
                <w:color w:val="000000" w:themeColor="text1"/>
                <w:kern w:val="24"/>
                <w:szCs w:val="21"/>
                <w14:textFill>
                  <w14:solidFill>
                    <w14:schemeClr w14:val="tx1"/>
                  </w14:solidFill>
                </w14:textFill>
              </w:rPr>
              <w:t>含油量，mg/L</w:t>
            </w:r>
          </w:p>
        </w:tc>
        <w:tc>
          <w:tcPr>
            <w:tcW w:w="1498" w:type="pct"/>
            <w:vAlign w:val="center"/>
          </w:tcPr>
          <w:p w14:paraId="49F40A53">
            <w:pPr>
              <w:widowControl/>
              <w:adjustRightInd w:val="0"/>
              <w:snapToGrid w:val="0"/>
              <w:spacing w:line="300" w:lineRule="exact"/>
              <w:jc w:val="center"/>
              <w:textAlignment w:val="baseline"/>
              <w:rPr>
                <w:rFonts w:hint="eastAsia" w:ascii="宋体" w:hAnsi="宋体"/>
                <w:color w:val="000000" w:themeColor="text1"/>
                <w:kern w:val="24"/>
                <w:szCs w:val="21"/>
                <w14:textFill>
                  <w14:solidFill>
                    <w14:schemeClr w14:val="tx1"/>
                  </w14:solidFill>
                </w14:textFill>
              </w:rPr>
            </w:pPr>
            <w:r>
              <w:rPr>
                <w:rFonts w:hint="eastAsia" w:ascii="宋体" w:hAnsi="宋体"/>
                <w:color w:val="000000" w:themeColor="text1"/>
                <w:kern w:val="24"/>
                <w:szCs w:val="21"/>
                <w14:textFill>
                  <w14:solidFill>
                    <w14:schemeClr w14:val="tx1"/>
                  </w14:solidFill>
                </w14:textFill>
              </w:rPr>
              <w:t>224</w:t>
            </w:r>
          </w:p>
        </w:tc>
      </w:tr>
      <w:tr w14:paraId="0FF5195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Pr>
        <w:tc>
          <w:tcPr>
            <w:tcW w:w="1137" w:type="pct"/>
            <w:vAlign w:val="center"/>
          </w:tcPr>
          <w:p w14:paraId="694F9D40">
            <w:pPr>
              <w:widowControl/>
              <w:adjustRightInd w:val="0"/>
              <w:snapToGrid w:val="0"/>
              <w:spacing w:line="300" w:lineRule="exact"/>
              <w:jc w:val="center"/>
              <w:textAlignment w:val="baseline"/>
              <w:rPr>
                <w:rFonts w:hint="eastAsia" w:ascii="宋体" w:hAnsi="宋体"/>
                <w:color w:val="000000" w:themeColor="text1"/>
                <w:kern w:val="24"/>
                <w:szCs w:val="21"/>
                <w14:textFill>
                  <w14:solidFill>
                    <w14:schemeClr w14:val="tx1"/>
                  </w14:solidFill>
                </w14:textFill>
              </w:rPr>
            </w:pPr>
            <w:r>
              <w:rPr>
                <w:rFonts w:hint="eastAsia" w:ascii="宋体" w:hAnsi="宋体"/>
                <w:color w:val="000000" w:themeColor="text1"/>
                <w:kern w:val="24"/>
                <w:szCs w:val="21"/>
                <w14:textFill>
                  <w14:solidFill>
                    <w14:schemeClr w14:val="tx1"/>
                  </w14:solidFill>
                </w14:textFill>
              </w:rPr>
              <w:t>氢氧根，mg/L</w:t>
            </w:r>
          </w:p>
        </w:tc>
        <w:tc>
          <w:tcPr>
            <w:tcW w:w="1136" w:type="pct"/>
            <w:vAlign w:val="center"/>
          </w:tcPr>
          <w:p w14:paraId="2E508721">
            <w:pPr>
              <w:widowControl/>
              <w:adjustRightInd w:val="0"/>
              <w:snapToGrid w:val="0"/>
              <w:spacing w:line="300" w:lineRule="exact"/>
              <w:jc w:val="center"/>
              <w:textAlignment w:val="baseline"/>
              <w:rPr>
                <w:rFonts w:hint="eastAsia" w:ascii="宋体" w:hAnsi="宋体"/>
                <w:color w:val="000000" w:themeColor="text1"/>
                <w:kern w:val="24"/>
                <w:szCs w:val="21"/>
                <w14:textFill>
                  <w14:solidFill>
                    <w14:schemeClr w14:val="tx1"/>
                  </w14:solidFill>
                </w14:textFill>
              </w:rPr>
            </w:pPr>
            <w:r>
              <w:rPr>
                <w:rFonts w:hint="eastAsia" w:ascii="宋体" w:hAnsi="宋体"/>
                <w:color w:val="000000" w:themeColor="text1"/>
                <w:kern w:val="24"/>
                <w:szCs w:val="21"/>
                <w14:textFill>
                  <w14:solidFill>
                    <w14:schemeClr w14:val="tx1"/>
                  </w14:solidFill>
                </w14:textFill>
              </w:rPr>
              <w:t>未检出</w:t>
            </w:r>
          </w:p>
        </w:tc>
        <w:tc>
          <w:tcPr>
            <w:tcW w:w="1229" w:type="pct"/>
            <w:vAlign w:val="center"/>
          </w:tcPr>
          <w:p w14:paraId="625CBF86">
            <w:pPr>
              <w:widowControl/>
              <w:adjustRightInd w:val="0"/>
              <w:snapToGrid w:val="0"/>
              <w:spacing w:line="300" w:lineRule="exact"/>
              <w:jc w:val="center"/>
              <w:textAlignment w:val="baseline"/>
              <w:rPr>
                <w:rFonts w:hint="eastAsia" w:ascii="宋体" w:hAnsi="宋体"/>
                <w:color w:val="000000" w:themeColor="text1"/>
                <w:kern w:val="24"/>
                <w:szCs w:val="21"/>
                <w14:textFill>
                  <w14:solidFill>
                    <w14:schemeClr w14:val="tx1"/>
                  </w14:solidFill>
                </w14:textFill>
              </w:rPr>
            </w:pPr>
            <w:r>
              <w:rPr>
                <w:rFonts w:hint="eastAsia" w:ascii="宋体" w:hAnsi="宋体"/>
                <w:color w:val="000000" w:themeColor="text1"/>
                <w:kern w:val="24"/>
                <w:szCs w:val="21"/>
                <w14:textFill>
                  <w14:solidFill>
                    <w14:schemeClr w14:val="tx1"/>
                  </w14:solidFill>
                </w14:textFill>
              </w:rPr>
              <w:t>悬浮物，mg/L</w:t>
            </w:r>
          </w:p>
        </w:tc>
        <w:tc>
          <w:tcPr>
            <w:tcW w:w="1498" w:type="pct"/>
            <w:vAlign w:val="center"/>
          </w:tcPr>
          <w:p w14:paraId="1B2C5CE9">
            <w:pPr>
              <w:widowControl/>
              <w:adjustRightInd w:val="0"/>
              <w:snapToGrid w:val="0"/>
              <w:spacing w:line="300" w:lineRule="exact"/>
              <w:jc w:val="center"/>
              <w:textAlignment w:val="baseline"/>
              <w:rPr>
                <w:rFonts w:hint="eastAsia" w:ascii="宋体" w:hAnsi="宋体"/>
                <w:color w:val="000000" w:themeColor="text1"/>
                <w:kern w:val="24"/>
                <w:szCs w:val="21"/>
                <w14:textFill>
                  <w14:solidFill>
                    <w14:schemeClr w14:val="tx1"/>
                  </w14:solidFill>
                </w14:textFill>
              </w:rPr>
            </w:pPr>
            <w:r>
              <w:rPr>
                <w:rFonts w:hint="eastAsia" w:ascii="宋体" w:hAnsi="宋体"/>
                <w:color w:val="000000" w:themeColor="text1"/>
                <w:kern w:val="24"/>
                <w:szCs w:val="21"/>
                <w14:textFill>
                  <w14:solidFill>
                    <w14:schemeClr w14:val="tx1"/>
                  </w14:solidFill>
                </w14:textFill>
              </w:rPr>
              <w:t>240</w:t>
            </w:r>
          </w:p>
        </w:tc>
      </w:tr>
      <w:tr w14:paraId="3FCE25D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Pr>
        <w:tc>
          <w:tcPr>
            <w:tcW w:w="1137" w:type="pct"/>
            <w:vAlign w:val="center"/>
          </w:tcPr>
          <w:p w14:paraId="48D99EAE">
            <w:pPr>
              <w:widowControl/>
              <w:adjustRightInd w:val="0"/>
              <w:snapToGrid w:val="0"/>
              <w:spacing w:line="300" w:lineRule="exact"/>
              <w:jc w:val="center"/>
              <w:textAlignment w:val="baseline"/>
              <w:rPr>
                <w:rFonts w:hint="eastAsia" w:ascii="宋体" w:hAnsi="宋体"/>
                <w:color w:val="000000" w:themeColor="text1"/>
                <w:kern w:val="24"/>
                <w:szCs w:val="21"/>
                <w14:textFill>
                  <w14:solidFill>
                    <w14:schemeClr w14:val="tx1"/>
                  </w14:solidFill>
                </w14:textFill>
              </w:rPr>
            </w:pPr>
            <w:r>
              <w:rPr>
                <w:rFonts w:hint="eastAsia" w:ascii="宋体" w:hAnsi="宋体"/>
                <w:color w:val="000000" w:themeColor="text1"/>
                <w:kern w:val="24"/>
                <w:szCs w:val="21"/>
                <w14:textFill>
                  <w14:solidFill>
                    <w14:schemeClr w14:val="tx1"/>
                  </w14:solidFill>
                </w14:textFill>
              </w:rPr>
              <w:t>钙离子，mg/L</w:t>
            </w:r>
          </w:p>
        </w:tc>
        <w:tc>
          <w:tcPr>
            <w:tcW w:w="1136" w:type="pct"/>
            <w:vAlign w:val="center"/>
          </w:tcPr>
          <w:p w14:paraId="5FA95A04">
            <w:pPr>
              <w:widowControl/>
              <w:adjustRightInd w:val="0"/>
              <w:snapToGrid w:val="0"/>
              <w:spacing w:line="300" w:lineRule="exact"/>
              <w:jc w:val="center"/>
              <w:textAlignment w:val="baseline"/>
              <w:rPr>
                <w:rFonts w:hint="eastAsia" w:ascii="宋体" w:hAnsi="宋体"/>
                <w:color w:val="000000" w:themeColor="text1"/>
                <w:kern w:val="24"/>
                <w:szCs w:val="21"/>
                <w14:textFill>
                  <w14:solidFill>
                    <w14:schemeClr w14:val="tx1"/>
                  </w14:solidFill>
                </w14:textFill>
              </w:rPr>
            </w:pPr>
            <w:r>
              <w:rPr>
                <w:rFonts w:hint="eastAsia" w:ascii="宋体" w:hAnsi="宋体"/>
                <w:color w:val="000000" w:themeColor="text1"/>
                <w:kern w:val="24"/>
                <w:szCs w:val="21"/>
                <w14:textFill>
                  <w14:solidFill>
                    <w14:schemeClr w14:val="tx1"/>
                  </w14:solidFill>
                </w14:textFill>
              </w:rPr>
              <w:t>37.7</w:t>
            </w:r>
          </w:p>
        </w:tc>
        <w:tc>
          <w:tcPr>
            <w:tcW w:w="1229" w:type="pct"/>
            <w:vAlign w:val="center"/>
          </w:tcPr>
          <w:p w14:paraId="7EEF3F5D">
            <w:pPr>
              <w:widowControl/>
              <w:adjustRightInd w:val="0"/>
              <w:snapToGrid w:val="0"/>
              <w:spacing w:line="300" w:lineRule="exact"/>
              <w:jc w:val="center"/>
              <w:textAlignment w:val="baseline"/>
              <w:rPr>
                <w:rFonts w:hint="eastAsia" w:ascii="宋体" w:hAnsi="宋体"/>
                <w:color w:val="000000" w:themeColor="text1"/>
                <w:kern w:val="24"/>
                <w:szCs w:val="21"/>
                <w14:textFill>
                  <w14:solidFill>
                    <w14:schemeClr w14:val="tx1"/>
                  </w14:solidFill>
                </w14:textFill>
              </w:rPr>
            </w:pPr>
            <w:r>
              <w:rPr>
                <w:rFonts w:hint="eastAsia" w:ascii="宋体" w:hAnsi="宋体"/>
                <w:color w:val="000000" w:themeColor="text1"/>
                <w:kern w:val="24"/>
                <w:szCs w:val="21"/>
                <w14:textFill>
                  <w14:solidFill>
                    <w14:schemeClr w14:val="tx1"/>
                  </w14:solidFill>
                </w14:textFill>
              </w:rPr>
              <w:t>COD, mg/L</w:t>
            </w:r>
          </w:p>
        </w:tc>
        <w:tc>
          <w:tcPr>
            <w:tcW w:w="1498" w:type="pct"/>
            <w:vAlign w:val="center"/>
          </w:tcPr>
          <w:p w14:paraId="3B5ED2EA">
            <w:pPr>
              <w:widowControl/>
              <w:adjustRightInd w:val="0"/>
              <w:snapToGrid w:val="0"/>
              <w:spacing w:line="300" w:lineRule="exact"/>
              <w:jc w:val="center"/>
              <w:textAlignment w:val="baseline"/>
              <w:rPr>
                <w:rFonts w:hint="eastAsia" w:ascii="宋体" w:hAnsi="宋体"/>
                <w:color w:val="000000" w:themeColor="text1"/>
                <w:kern w:val="24"/>
                <w:szCs w:val="21"/>
                <w14:textFill>
                  <w14:solidFill>
                    <w14:schemeClr w14:val="tx1"/>
                  </w14:solidFill>
                </w14:textFill>
              </w:rPr>
            </w:pPr>
            <w:r>
              <w:rPr>
                <w:rFonts w:hint="eastAsia" w:ascii="宋体" w:hAnsi="宋体"/>
                <w:color w:val="000000" w:themeColor="text1"/>
                <w:kern w:val="24"/>
                <w:szCs w:val="21"/>
                <w14:textFill>
                  <w14:solidFill>
                    <w14:schemeClr w14:val="tx1"/>
                  </w14:solidFill>
                </w14:textFill>
              </w:rPr>
              <w:t>2473</w:t>
            </w:r>
          </w:p>
        </w:tc>
      </w:tr>
      <w:tr w14:paraId="52ABF89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Pr>
        <w:tc>
          <w:tcPr>
            <w:tcW w:w="1137" w:type="pct"/>
            <w:vAlign w:val="center"/>
          </w:tcPr>
          <w:p w14:paraId="628F545E">
            <w:pPr>
              <w:widowControl/>
              <w:adjustRightInd w:val="0"/>
              <w:snapToGrid w:val="0"/>
              <w:spacing w:line="300" w:lineRule="exact"/>
              <w:jc w:val="center"/>
              <w:textAlignment w:val="baseline"/>
              <w:rPr>
                <w:rFonts w:hint="eastAsia" w:ascii="宋体" w:hAnsi="宋体"/>
                <w:color w:val="000000" w:themeColor="text1"/>
                <w:kern w:val="24"/>
                <w:szCs w:val="21"/>
                <w14:textFill>
                  <w14:solidFill>
                    <w14:schemeClr w14:val="tx1"/>
                  </w14:solidFill>
                </w14:textFill>
              </w:rPr>
            </w:pPr>
            <w:r>
              <w:rPr>
                <w:rFonts w:hint="eastAsia" w:ascii="宋体" w:hAnsi="宋体"/>
                <w:color w:val="000000" w:themeColor="text1"/>
                <w:kern w:val="24"/>
                <w:szCs w:val="21"/>
                <w14:textFill>
                  <w14:solidFill>
                    <w14:schemeClr w14:val="tx1"/>
                  </w14:solidFill>
                </w14:textFill>
              </w:rPr>
              <w:t>镁离子，mg/L</w:t>
            </w:r>
          </w:p>
        </w:tc>
        <w:tc>
          <w:tcPr>
            <w:tcW w:w="1136" w:type="pct"/>
            <w:vAlign w:val="center"/>
          </w:tcPr>
          <w:p w14:paraId="2FA4861F">
            <w:pPr>
              <w:widowControl/>
              <w:adjustRightInd w:val="0"/>
              <w:snapToGrid w:val="0"/>
              <w:spacing w:line="300" w:lineRule="exact"/>
              <w:jc w:val="center"/>
              <w:textAlignment w:val="baseline"/>
              <w:rPr>
                <w:rFonts w:hint="eastAsia" w:ascii="宋体" w:hAnsi="宋体"/>
                <w:color w:val="000000" w:themeColor="text1"/>
                <w:kern w:val="24"/>
                <w:szCs w:val="21"/>
                <w14:textFill>
                  <w14:solidFill>
                    <w14:schemeClr w14:val="tx1"/>
                  </w14:solidFill>
                </w14:textFill>
              </w:rPr>
            </w:pPr>
            <w:r>
              <w:rPr>
                <w:rFonts w:hint="eastAsia" w:ascii="宋体" w:hAnsi="宋体"/>
                <w:color w:val="000000" w:themeColor="text1"/>
                <w:kern w:val="24"/>
                <w:szCs w:val="21"/>
                <w14:textFill>
                  <w14:solidFill>
                    <w14:schemeClr w14:val="tx1"/>
                  </w14:solidFill>
                </w14:textFill>
              </w:rPr>
              <w:t>13.2</w:t>
            </w:r>
          </w:p>
        </w:tc>
        <w:tc>
          <w:tcPr>
            <w:tcW w:w="1229" w:type="pct"/>
            <w:vAlign w:val="center"/>
          </w:tcPr>
          <w:p w14:paraId="55BA2349">
            <w:pPr>
              <w:widowControl/>
              <w:adjustRightInd w:val="0"/>
              <w:snapToGrid w:val="0"/>
              <w:spacing w:line="300" w:lineRule="exact"/>
              <w:jc w:val="center"/>
              <w:textAlignment w:val="baseline"/>
              <w:rPr>
                <w:rFonts w:hint="eastAsia" w:ascii="宋体" w:hAnsi="宋体"/>
                <w:color w:val="000000" w:themeColor="text1"/>
                <w:kern w:val="24"/>
                <w:szCs w:val="21"/>
                <w14:textFill>
                  <w14:solidFill>
                    <w14:schemeClr w14:val="tx1"/>
                  </w14:solidFill>
                </w14:textFill>
              </w:rPr>
            </w:pPr>
            <w:r>
              <w:rPr>
                <w:rFonts w:hint="eastAsia" w:ascii="宋体" w:hAnsi="宋体"/>
                <w:color w:val="000000" w:themeColor="text1"/>
                <w:kern w:val="24"/>
                <w:szCs w:val="21"/>
                <w14:textFill>
                  <w14:solidFill>
                    <w14:schemeClr w14:val="tx1"/>
                  </w14:solidFill>
                </w14:textFill>
              </w:rPr>
              <w:t>Zeta 电位，mV</w:t>
            </w:r>
          </w:p>
        </w:tc>
        <w:tc>
          <w:tcPr>
            <w:tcW w:w="1498" w:type="pct"/>
            <w:vAlign w:val="center"/>
          </w:tcPr>
          <w:p w14:paraId="60E8810F">
            <w:pPr>
              <w:widowControl/>
              <w:adjustRightInd w:val="0"/>
              <w:snapToGrid w:val="0"/>
              <w:spacing w:line="300" w:lineRule="exact"/>
              <w:jc w:val="center"/>
              <w:textAlignment w:val="baseline"/>
              <w:rPr>
                <w:rFonts w:hint="eastAsia" w:ascii="宋体" w:hAnsi="宋体"/>
                <w:color w:val="000000" w:themeColor="text1"/>
                <w:kern w:val="24"/>
                <w:szCs w:val="21"/>
                <w14:textFill>
                  <w14:solidFill>
                    <w14:schemeClr w14:val="tx1"/>
                  </w14:solidFill>
                </w14:textFill>
              </w:rPr>
            </w:pPr>
            <w:r>
              <w:rPr>
                <w:rFonts w:hint="eastAsia" w:ascii="宋体" w:hAnsi="宋体"/>
                <w:color w:val="000000" w:themeColor="text1"/>
                <w:kern w:val="24"/>
                <w:szCs w:val="21"/>
                <w14:textFill>
                  <w14:solidFill>
                    <w14:schemeClr w14:val="tx1"/>
                  </w14:solidFill>
                </w14:textFill>
              </w:rPr>
              <w:t>-39.3</w:t>
            </w:r>
          </w:p>
        </w:tc>
      </w:tr>
      <w:tr w14:paraId="241B699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Pr>
        <w:tc>
          <w:tcPr>
            <w:tcW w:w="1137" w:type="pct"/>
            <w:vAlign w:val="center"/>
          </w:tcPr>
          <w:p w14:paraId="2A6D628C">
            <w:pPr>
              <w:widowControl/>
              <w:adjustRightInd w:val="0"/>
              <w:snapToGrid w:val="0"/>
              <w:spacing w:line="300" w:lineRule="exact"/>
              <w:jc w:val="center"/>
              <w:textAlignment w:val="baseline"/>
              <w:rPr>
                <w:rFonts w:hint="eastAsia" w:ascii="宋体" w:hAnsi="宋体"/>
                <w:color w:val="000000" w:themeColor="text1"/>
                <w:kern w:val="24"/>
                <w:szCs w:val="21"/>
                <w14:textFill>
                  <w14:solidFill>
                    <w14:schemeClr w14:val="tx1"/>
                  </w14:solidFill>
                </w14:textFill>
              </w:rPr>
            </w:pPr>
            <w:r>
              <w:rPr>
                <w:rFonts w:hint="eastAsia" w:ascii="宋体" w:hAnsi="宋体"/>
                <w:color w:val="000000" w:themeColor="text1"/>
                <w:kern w:val="24"/>
                <w:szCs w:val="21"/>
                <w14:textFill>
                  <w14:solidFill>
                    <w14:schemeClr w14:val="tx1"/>
                  </w14:solidFill>
                </w14:textFill>
              </w:rPr>
              <w:t>氯离子，mg/L</w:t>
            </w:r>
          </w:p>
        </w:tc>
        <w:tc>
          <w:tcPr>
            <w:tcW w:w="1136" w:type="pct"/>
            <w:vAlign w:val="center"/>
          </w:tcPr>
          <w:p w14:paraId="416A6196">
            <w:pPr>
              <w:widowControl/>
              <w:adjustRightInd w:val="0"/>
              <w:snapToGrid w:val="0"/>
              <w:spacing w:line="300" w:lineRule="exact"/>
              <w:jc w:val="center"/>
              <w:textAlignment w:val="baseline"/>
              <w:rPr>
                <w:rFonts w:hint="eastAsia" w:ascii="宋体" w:hAnsi="宋体"/>
                <w:color w:val="000000" w:themeColor="text1"/>
                <w:kern w:val="24"/>
                <w:szCs w:val="21"/>
                <w14:textFill>
                  <w14:solidFill>
                    <w14:schemeClr w14:val="tx1"/>
                  </w14:solidFill>
                </w14:textFill>
              </w:rPr>
            </w:pPr>
            <w:r>
              <w:rPr>
                <w:rFonts w:hint="eastAsia" w:ascii="宋体" w:hAnsi="宋体"/>
                <w:color w:val="000000" w:themeColor="text1"/>
                <w:kern w:val="24"/>
                <w:szCs w:val="21"/>
                <w14:textFill>
                  <w14:solidFill>
                    <w14:schemeClr w14:val="tx1"/>
                  </w14:solidFill>
                </w14:textFill>
              </w:rPr>
              <w:t>3290.7</w:t>
            </w:r>
          </w:p>
        </w:tc>
        <w:tc>
          <w:tcPr>
            <w:tcW w:w="1229" w:type="pct"/>
            <w:vAlign w:val="center"/>
          </w:tcPr>
          <w:p w14:paraId="292E9155">
            <w:pPr>
              <w:widowControl/>
              <w:adjustRightInd w:val="0"/>
              <w:snapToGrid w:val="0"/>
              <w:spacing w:line="300" w:lineRule="exact"/>
              <w:jc w:val="center"/>
              <w:textAlignment w:val="baseline"/>
              <w:rPr>
                <w:rFonts w:hint="eastAsia" w:ascii="宋体" w:hAnsi="宋体"/>
                <w:color w:val="000000" w:themeColor="text1"/>
                <w:kern w:val="24"/>
                <w:szCs w:val="21"/>
                <w14:textFill>
                  <w14:solidFill>
                    <w14:schemeClr w14:val="tx1"/>
                  </w14:solidFill>
                </w14:textFill>
              </w:rPr>
            </w:pPr>
            <w:r>
              <w:rPr>
                <w:rFonts w:hint="eastAsia" w:ascii="宋体" w:hAnsi="宋体"/>
                <w:color w:val="000000" w:themeColor="text1"/>
                <w:kern w:val="24"/>
                <w:szCs w:val="21"/>
                <w14:textFill>
                  <w14:solidFill>
                    <w14:schemeClr w14:val="tx1"/>
                  </w14:solidFill>
                </w14:textFill>
              </w:rPr>
              <w:t>聚合物分子量，g/mol</w:t>
            </w:r>
          </w:p>
        </w:tc>
        <w:tc>
          <w:tcPr>
            <w:tcW w:w="1498" w:type="pct"/>
            <w:vAlign w:val="center"/>
          </w:tcPr>
          <w:p w14:paraId="7A8A3B8C">
            <w:pPr>
              <w:widowControl/>
              <w:adjustRightInd w:val="0"/>
              <w:snapToGrid w:val="0"/>
              <w:spacing w:line="300" w:lineRule="exact"/>
              <w:jc w:val="center"/>
              <w:textAlignment w:val="baseline"/>
              <w:rPr>
                <w:rFonts w:hint="eastAsia" w:ascii="宋体" w:hAnsi="宋体"/>
                <w:color w:val="000000" w:themeColor="text1"/>
                <w:kern w:val="24"/>
                <w:szCs w:val="21"/>
                <w14:textFill>
                  <w14:solidFill>
                    <w14:schemeClr w14:val="tx1"/>
                  </w14:solidFill>
                </w14:textFill>
              </w:rPr>
            </w:pPr>
            <w:r>
              <w:rPr>
                <w:rFonts w:hint="eastAsia" w:ascii="宋体" w:hAnsi="宋体"/>
                <w:color w:val="000000" w:themeColor="text1"/>
                <w:kern w:val="24"/>
                <w:szCs w:val="21"/>
                <w14:textFill>
                  <w14:solidFill>
                    <w14:schemeClr w14:val="tx1"/>
                  </w14:solidFill>
                </w14:textFill>
              </w:rPr>
              <w:t>1197</w:t>
            </w:r>
          </w:p>
        </w:tc>
      </w:tr>
      <w:tr w14:paraId="67BC2BE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Pr>
        <w:tc>
          <w:tcPr>
            <w:tcW w:w="1137" w:type="pct"/>
            <w:vAlign w:val="center"/>
          </w:tcPr>
          <w:p w14:paraId="4AAF7A56">
            <w:pPr>
              <w:widowControl/>
              <w:adjustRightInd w:val="0"/>
              <w:snapToGrid w:val="0"/>
              <w:spacing w:line="300" w:lineRule="exact"/>
              <w:jc w:val="center"/>
              <w:textAlignment w:val="baseline"/>
              <w:rPr>
                <w:rFonts w:hint="eastAsia" w:ascii="宋体" w:hAnsi="宋体"/>
                <w:color w:val="000000" w:themeColor="text1"/>
                <w:kern w:val="24"/>
                <w:szCs w:val="21"/>
                <w14:textFill>
                  <w14:solidFill>
                    <w14:schemeClr w14:val="tx1"/>
                  </w14:solidFill>
                </w14:textFill>
              </w:rPr>
            </w:pPr>
            <w:r>
              <w:rPr>
                <w:rFonts w:hint="eastAsia" w:ascii="宋体" w:hAnsi="宋体"/>
                <w:color w:val="000000" w:themeColor="text1"/>
                <w:kern w:val="24"/>
                <w:szCs w:val="21"/>
                <w14:textFill>
                  <w14:solidFill>
                    <w14:schemeClr w14:val="tx1"/>
                  </w14:solidFill>
                </w14:textFill>
              </w:rPr>
              <w:t>硫酸根离子，mg/L</w:t>
            </w:r>
          </w:p>
        </w:tc>
        <w:tc>
          <w:tcPr>
            <w:tcW w:w="1136" w:type="pct"/>
            <w:vAlign w:val="center"/>
          </w:tcPr>
          <w:p w14:paraId="48F507F6">
            <w:pPr>
              <w:widowControl/>
              <w:adjustRightInd w:val="0"/>
              <w:snapToGrid w:val="0"/>
              <w:spacing w:line="300" w:lineRule="exact"/>
              <w:jc w:val="center"/>
              <w:textAlignment w:val="baseline"/>
              <w:rPr>
                <w:rFonts w:hint="eastAsia" w:ascii="宋体" w:hAnsi="宋体"/>
                <w:color w:val="000000" w:themeColor="text1"/>
                <w:kern w:val="24"/>
                <w:szCs w:val="21"/>
                <w14:textFill>
                  <w14:solidFill>
                    <w14:schemeClr w14:val="tx1"/>
                  </w14:solidFill>
                </w14:textFill>
              </w:rPr>
            </w:pPr>
            <w:r>
              <w:rPr>
                <w:rFonts w:hint="eastAsia" w:ascii="宋体" w:hAnsi="宋体"/>
                <w:color w:val="000000" w:themeColor="text1"/>
                <w:kern w:val="24"/>
                <w:szCs w:val="21"/>
                <w14:textFill>
                  <w14:solidFill>
                    <w14:schemeClr w14:val="tx1"/>
                  </w14:solidFill>
                </w14:textFill>
              </w:rPr>
              <w:t>118.5</w:t>
            </w:r>
          </w:p>
        </w:tc>
        <w:tc>
          <w:tcPr>
            <w:tcW w:w="1229" w:type="pct"/>
            <w:vAlign w:val="center"/>
          </w:tcPr>
          <w:p w14:paraId="7B3F5695">
            <w:pPr>
              <w:widowControl/>
              <w:adjustRightInd w:val="0"/>
              <w:snapToGrid w:val="0"/>
              <w:spacing w:line="300" w:lineRule="exact"/>
              <w:jc w:val="center"/>
              <w:textAlignment w:val="baseline"/>
              <w:rPr>
                <w:rFonts w:hint="eastAsia" w:ascii="宋体" w:hAnsi="宋体"/>
                <w:color w:val="000000" w:themeColor="text1"/>
                <w:kern w:val="24"/>
                <w:szCs w:val="21"/>
                <w14:textFill>
                  <w14:solidFill>
                    <w14:schemeClr w14:val="tx1"/>
                  </w14:solidFill>
                </w14:textFill>
              </w:rPr>
            </w:pPr>
            <w:r>
              <w:rPr>
                <w:rFonts w:hint="eastAsia" w:ascii="宋体" w:hAnsi="宋体"/>
                <w:color w:val="000000" w:themeColor="text1"/>
                <w:kern w:val="24"/>
                <w:szCs w:val="21"/>
                <w14:textFill>
                  <w14:solidFill>
                    <w14:schemeClr w14:val="tx1"/>
                  </w14:solidFill>
                </w14:textFill>
              </w:rPr>
              <w:t>粘度，mPa·s</w:t>
            </w:r>
          </w:p>
        </w:tc>
        <w:tc>
          <w:tcPr>
            <w:tcW w:w="1498" w:type="pct"/>
            <w:vAlign w:val="center"/>
          </w:tcPr>
          <w:p w14:paraId="47E999C0">
            <w:pPr>
              <w:widowControl/>
              <w:adjustRightInd w:val="0"/>
              <w:snapToGrid w:val="0"/>
              <w:spacing w:line="300" w:lineRule="exact"/>
              <w:jc w:val="center"/>
              <w:textAlignment w:val="baseline"/>
              <w:rPr>
                <w:rFonts w:hint="eastAsia" w:ascii="宋体" w:hAnsi="宋体"/>
                <w:color w:val="000000" w:themeColor="text1"/>
                <w:kern w:val="24"/>
                <w:szCs w:val="21"/>
                <w14:textFill>
                  <w14:solidFill>
                    <w14:schemeClr w14:val="tx1"/>
                  </w14:solidFill>
                </w14:textFill>
              </w:rPr>
            </w:pPr>
            <w:r>
              <w:rPr>
                <w:rFonts w:hint="eastAsia" w:ascii="宋体" w:hAnsi="宋体"/>
                <w:color w:val="000000" w:themeColor="text1"/>
                <w:kern w:val="24"/>
                <w:szCs w:val="21"/>
                <w14:textFill>
                  <w14:solidFill>
                    <w14:schemeClr w14:val="tx1"/>
                  </w14:solidFill>
                </w14:textFill>
              </w:rPr>
              <w:t>13</w:t>
            </w:r>
          </w:p>
        </w:tc>
      </w:tr>
    </w:tbl>
    <w:p w14:paraId="38ECE588">
      <w:pPr>
        <w:pStyle w:val="4"/>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建设内容</w:t>
      </w:r>
    </w:p>
    <w:p w14:paraId="732E571D">
      <w:pPr>
        <w:pStyle w:val="117"/>
        <w:adjustRightInd w:val="0"/>
        <w:snapToGrid w:val="0"/>
        <w:ind w:firstLine="480"/>
        <w:rPr>
          <w:rFonts w:hint="eastAsia" w:ascii="黑体" w:hAnsi="黑体" w:eastAsia="黑体"/>
          <w:color w:val="000000" w:themeColor="text1"/>
          <w:sz w:val="21"/>
          <w:szCs w:val="21"/>
          <w14:textFill>
            <w14:solidFill>
              <w14:schemeClr w14:val="tx1"/>
            </w14:solidFill>
          </w14:textFill>
        </w:rPr>
      </w:pPr>
      <w:r>
        <w:rPr>
          <w:rFonts w:hint="eastAsia"/>
          <w:color w:val="000000" w:themeColor="text1"/>
          <w14:textFill>
            <w14:solidFill>
              <w14:schemeClr w14:val="tx1"/>
            </w14:solidFill>
          </w14:textFill>
        </w:rPr>
        <w:t>建设内容包括主体工程、公用工程、依托工程和环保工程四个部分，工程组成汇总见表</w:t>
      </w:r>
      <w:bookmarkStart w:id="255" w:name="_Ref77035750"/>
      <w:r>
        <w:rPr>
          <w:rFonts w:hint="eastAsia"/>
          <w:color w:val="000000" w:themeColor="text1"/>
          <w14:textFill>
            <w14:solidFill>
              <w14:schemeClr w14:val="tx1"/>
            </w14:solidFill>
          </w14:textFill>
        </w:rPr>
        <w:t>3.2-8。</w:t>
      </w:r>
    </w:p>
    <w:p w14:paraId="53D0E307">
      <w:pPr>
        <w:pStyle w:val="191"/>
        <w:ind w:firstLine="0" w:firstLineChars="0"/>
        <w:jc w:val="center"/>
        <w:rPr>
          <w:rFonts w:hint="eastAsia" w:ascii="黑体" w:hAnsi="黑体" w:eastAsia="黑体"/>
          <w:color w:val="000000" w:themeColor="text1"/>
          <w:sz w:val="21"/>
          <w:szCs w:val="21"/>
          <w:lang w:bidi="ar"/>
          <w14:textFill>
            <w14:solidFill>
              <w14:schemeClr w14:val="tx1"/>
            </w14:solidFill>
          </w14:textFill>
        </w:rPr>
      </w:pPr>
      <w:bookmarkStart w:id="256" w:name="_Hlk173404104"/>
      <w:r>
        <w:rPr>
          <w:rFonts w:hint="eastAsia" w:ascii="黑体" w:hAnsi="黑体" w:eastAsia="黑体"/>
          <w:color w:val="000000" w:themeColor="text1"/>
          <w:sz w:val="21"/>
          <w:szCs w:val="21"/>
          <w14:textFill>
            <w14:solidFill>
              <w14:schemeClr w14:val="tx1"/>
            </w14:solidFill>
          </w14:textFill>
        </w:rPr>
        <w:t>表</w:t>
      </w:r>
      <w:bookmarkEnd w:id="255"/>
      <w:r>
        <w:rPr>
          <w:rFonts w:ascii="黑体" w:hAnsi="黑体" w:eastAsia="黑体"/>
          <w:color w:val="000000" w:themeColor="text1"/>
          <w:sz w:val="21"/>
          <w:szCs w:val="21"/>
          <w14:textFill>
            <w14:solidFill>
              <w14:schemeClr w14:val="tx1"/>
            </w14:solidFill>
          </w14:textFill>
        </w:rPr>
        <w:t>3.2</w:t>
      </w:r>
      <w:r>
        <w:rPr>
          <w:rFonts w:hint="eastAsia" w:ascii="黑体" w:hAnsi="黑体" w:eastAsia="黑体"/>
          <w:color w:val="000000" w:themeColor="text1"/>
          <w:sz w:val="21"/>
          <w:szCs w:val="21"/>
          <w14:textFill>
            <w14:solidFill>
              <w14:schemeClr w14:val="tx1"/>
            </w14:solidFill>
          </w14:textFill>
        </w:rPr>
        <w:t>-8</w:t>
      </w:r>
      <w:r>
        <w:rPr>
          <w:rFonts w:ascii="黑体" w:hAnsi="黑体" w:eastAsia="黑体"/>
          <w:color w:val="000000" w:themeColor="text1"/>
          <w:sz w:val="21"/>
          <w:szCs w:val="21"/>
          <w:lang w:bidi="ar"/>
          <w14:textFill>
            <w14:solidFill>
              <w14:schemeClr w14:val="tx1"/>
            </w14:solidFill>
          </w14:textFill>
        </w:rPr>
        <w:t xml:space="preserve">  </w:t>
      </w:r>
      <w:r>
        <w:rPr>
          <w:rFonts w:hint="eastAsia" w:ascii="黑体" w:hAnsi="黑体" w:eastAsia="黑体"/>
          <w:color w:val="000000" w:themeColor="text1"/>
          <w:sz w:val="21"/>
          <w:szCs w:val="21"/>
          <w:lang w:bidi="ar"/>
          <w14:textFill>
            <w14:solidFill>
              <w14:schemeClr w14:val="tx1"/>
            </w14:solidFill>
          </w14:textFill>
        </w:rPr>
        <w:t>工程组成一览表</w:t>
      </w:r>
    </w:p>
    <w:tbl>
      <w:tblPr>
        <w:tblStyle w:val="51"/>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28" w:type="dxa"/>
          <w:bottom w:w="0" w:type="dxa"/>
          <w:right w:w="28" w:type="dxa"/>
        </w:tblCellMar>
      </w:tblPr>
      <w:tblGrid>
        <w:gridCol w:w="716"/>
        <w:gridCol w:w="996"/>
        <w:gridCol w:w="7074"/>
      </w:tblGrid>
      <w:tr w14:paraId="18FAC91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tblHeader/>
          <w:jc w:val="center"/>
        </w:trPr>
        <w:tc>
          <w:tcPr>
            <w:tcW w:w="407" w:type="pct"/>
            <w:vAlign w:val="center"/>
          </w:tcPr>
          <w:p w14:paraId="0FA2682D">
            <w:pPr>
              <w:widowControl/>
              <w:overflowPunct w:val="0"/>
              <w:adjustRightInd w:val="0"/>
              <w:snapToGrid w:val="0"/>
              <w:spacing w:line="300" w:lineRule="exact"/>
              <w:jc w:val="center"/>
              <w:rPr>
                <w:rFonts w:hint="eastAsia" w:ascii="宋体" w:hAnsi="宋体"/>
                <w:snapToGrid w:val="0"/>
                <w:color w:val="000000" w:themeColor="text1"/>
                <w:kern w:val="0"/>
                <w:szCs w:val="21"/>
                <w14:textFill>
                  <w14:solidFill>
                    <w14:schemeClr w14:val="tx1"/>
                  </w14:solidFill>
                </w14:textFill>
              </w:rPr>
            </w:pPr>
            <w:bookmarkStart w:id="257" w:name="_Hlk63094264"/>
            <w:r>
              <w:rPr>
                <w:rFonts w:ascii="宋体" w:hAnsi="宋体"/>
                <w:snapToGrid w:val="0"/>
                <w:color w:val="000000" w:themeColor="text1"/>
                <w:kern w:val="0"/>
                <w:szCs w:val="21"/>
                <w14:textFill>
                  <w14:solidFill>
                    <w14:schemeClr w14:val="tx1"/>
                  </w14:solidFill>
                </w14:textFill>
              </w:rPr>
              <w:t>类别</w:t>
            </w:r>
          </w:p>
        </w:tc>
        <w:tc>
          <w:tcPr>
            <w:tcW w:w="4593" w:type="pct"/>
            <w:gridSpan w:val="2"/>
            <w:vAlign w:val="center"/>
          </w:tcPr>
          <w:p w14:paraId="648337A6">
            <w:pPr>
              <w:widowControl/>
              <w:overflowPunct w:val="0"/>
              <w:adjustRightInd w:val="0"/>
              <w:snapToGrid w:val="0"/>
              <w:spacing w:line="300" w:lineRule="exact"/>
              <w:jc w:val="center"/>
              <w:rPr>
                <w:rFonts w:hint="eastAsia" w:ascii="宋体" w:hAnsi="宋体"/>
                <w:snapToGrid w:val="0"/>
                <w:color w:val="000000" w:themeColor="text1"/>
                <w:kern w:val="0"/>
                <w:szCs w:val="21"/>
                <w14:textFill>
                  <w14:solidFill>
                    <w14:schemeClr w14:val="tx1"/>
                  </w14:solidFill>
                </w14:textFill>
              </w:rPr>
            </w:pPr>
            <w:r>
              <w:rPr>
                <w:rFonts w:hint="eastAsia" w:ascii="宋体" w:hAnsi="宋体"/>
                <w:snapToGrid w:val="0"/>
                <w:color w:val="000000" w:themeColor="text1"/>
                <w:kern w:val="0"/>
                <w:szCs w:val="21"/>
                <w14:textFill>
                  <w14:solidFill>
                    <w14:schemeClr w14:val="tx1"/>
                  </w14:solidFill>
                </w14:textFill>
              </w:rPr>
              <w:t>具体内容</w:t>
            </w:r>
          </w:p>
        </w:tc>
      </w:tr>
      <w:bookmarkEnd w:id="256"/>
      <w:tr w14:paraId="58EA191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407" w:type="pct"/>
            <w:vMerge w:val="restart"/>
            <w:vAlign w:val="center"/>
          </w:tcPr>
          <w:p w14:paraId="6800BBB6">
            <w:pPr>
              <w:widowControl/>
              <w:overflowPunct w:val="0"/>
              <w:adjustRightInd w:val="0"/>
              <w:snapToGrid w:val="0"/>
              <w:spacing w:line="300" w:lineRule="exact"/>
              <w:jc w:val="center"/>
              <w:rPr>
                <w:rFonts w:hint="eastAsia" w:ascii="宋体" w:hAnsi="宋体"/>
                <w:snapToGrid w:val="0"/>
                <w:color w:val="000000" w:themeColor="text1"/>
                <w:kern w:val="0"/>
                <w:szCs w:val="21"/>
                <w14:textFill>
                  <w14:solidFill>
                    <w14:schemeClr w14:val="tx1"/>
                  </w14:solidFill>
                </w14:textFill>
              </w:rPr>
            </w:pPr>
            <w:r>
              <w:rPr>
                <w:rFonts w:hint="eastAsia" w:ascii="宋体" w:hAnsi="宋体"/>
                <w:snapToGrid w:val="0"/>
                <w:color w:val="000000" w:themeColor="text1"/>
                <w:kern w:val="0"/>
                <w:szCs w:val="21"/>
                <w14:textFill>
                  <w14:solidFill>
                    <w14:schemeClr w14:val="tx1"/>
                  </w14:solidFill>
                </w14:textFill>
              </w:rPr>
              <w:t>主体</w:t>
            </w:r>
          </w:p>
          <w:p w14:paraId="7F2E1ED6">
            <w:pPr>
              <w:widowControl/>
              <w:overflowPunct w:val="0"/>
              <w:adjustRightInd w:val="0"/>
              <w:snapToGrid w:val="0"/>
              <w:spacing w:line="300" w:lineRule="exact"/>
              <w:jc w:val="center"/>
              <w:rPr>
                <w:rFonts w:hint="eastAsia" w:ascii="宋体" w:hAnsi="宋体"/>
                <w:snapToGrid w:val="0"/>
                <w:color w:val="000000" w:themeColor="text1"/>
                <w:kern w:val="0"/>
                <w:szCs w:val="21"/>
                <w14:textFill>
                  <w14:solidFill>
                    <w14:schemeClr w14:val="tx1"/>
                  </w14:solidFill>
                </w14:textFill>
              </w:rPr>
            </w:pPr>
            <w:r>
              <w:rPr>
                <w:rFonts w:hint="eastAsia" w:ascii="宋体" w:hAnsi="宋体"/>
                <w:snapToGrid w:val="0"/>
                <w:color w:val="000000" w:themeColor="text1"/>
                <w:kern w:val="0"/>
                <w:szCs w:val="21"/>
                <w14:textFill>
                  <w14:solidFill>
                    <w14:schemeClr w14:val="tx1"/>
                  </w14:solidFill>
                </w14:textFill>
              </w:rPr>
              <w:t>工程</w:t>
            </w:r>
          </w:p>
        </w:tc>
        <w:tc>
          <w:tcPr>
            <w:tcW w:w="567" w:type="pct"/>
            <w:vAlign w:val="center"/>
          </w:tcPr>
          <w:p w14:paraId="27620343">
            <w:pPr>
              <w:adjustRightInd w:val="0"/>
              <w:snapToGrid w:val="0"/>
              <w:spacing w:line="300" w:lineRule="exact"/>
              <w:jc w:val="center"/>
              <w:rPr>
                <w:rFonts w:hint="eastAsia" w:ascii="宋体" w:hAnsi="宋体"/>
                <w:snapToGrid w:val="0"/>
                <w:color w:val="000000" w:themeColor="text1"/>
                <w:kern w:val="0"/>
                <w:szCs w:val="21"/>
                <w14:textFill>
                  <w14:solidFill>
                    <w14:schemeClr w14:val="tx1"/>
                  </w14:solidFill>
                </w14:textFill>
              </w:rPr>
            </w:pPr>
            <w:r>
              <w:rPr>
                <w:rFonts w:hint="eastAsia" w:ascii="宋体" w:hAnsi="宋体"/>
                <w:snapToGrid w:val="0"/>
                <w:color w:val="000000" w:themeColor="text1"/>
                <w:kern w:val="0"/>
                <w:szCs w:val="21"/>
                <w14:textFill>
                  <w14:solidFill>
                    <w14:schemeClr w14:val="tx1"/>
                  </w14:solidFill>
                </w14:textFill>
              </w:rPr>
              <w:t>井筒改造</w:t>
            </w:r>
          </w:p>
        </w:tc>
        <w:tc>
          <w:tcPr>
            <w:tcW w:w="4026" w:type="pct"/>
            <w:vAlign w:val="center"/>
          </w:tcPr>
          <w:p w14:paraId="7623DD34">
            <w:pPr>
              <w:pStyle w:val="117"/>
              <w:adjustRightInd w:val="0"/>
              <w:snapToGrid w:val="0"/>
              <w:spacing w:line="300" w:lineRule="exact"/>
              <w:ind w:firstLine="0" w:firstLineChars="0"/>
              <w:rPr>
                <w:rFonts w:hint="eastAsia" w:cs="宋体"/>
                <w:snapToGrid w:val="0"/>
                <w:color w:val="000000" w:themeColor="text1"/>
                <w:kern w:val="0"/>
                <w:sz w:val="21"/>
                <w:szCs w:val="21"/>
                <w14:textFill>
                  <w14:solidFill>
                    <w14:schemeClr w14:val="tx1"/>
                  </w14:solidFill>
                </w14:textFill>
              </w:rPr>
            </w:pPr>
            <w:r>
              <w:rPr>
                <w:rFonts w:hint="eastAsia"/>
                <w:color w:val="000000" w:themeColor="text1"/>
                <w:sz w:val="21"/>
                <w:szCs w:val="21"/>
                <w14:textFill>
                  <w14:solidFill>
                    <w14:schemeClr w14:val="tx1"/>
                  </w14:solidFill>
                </w14:textFill>
              </w:rPr>
              <w:t>对注采井和回注井进行改造，注采井管柱结构采用笼统注入工艺，交替注采，自喷生产；完井管柱由Φ</w:t>
            </w:r>
            <w:r>
              <w:rPr>
                <w:color w:val="000000" w:themeColor="text1"/>
                <w:sz w:val="21"/>
                <w:szCs w:val="21"/>
                <w14:textFill>
                  <w14:solidFill>
                    <w14:schemeClr w14:val="tx1"/>
                  </w14:solidFill>
                </w14:textFill>
              </w:rPr>
              <w:t>73mm</w:t>
            </w:r>
            <w:r>
              <w:rPr>
                <w:rFonts w:hint="eastAsia"/>
                <w:color w:val="000000" w:themeColor="text1"/>
                <w:sz w:val="21"/>
                <w:szCs w:val="21"/>
                <w14:textFill>
                  <w14:solidFill>
                    <w14:schemeClr w14:val="tx1"/>
                  </w14:solidFill>
                </w14:textFill>
              </w:rPr>
              <w:t>×</w:t>
            </w:r>
            <w:r>
              <w:rPr>
                <w:color w:val="000000" w:themeColor="text1"/>
                <w:sz w:val="21"/>
                <w:szCs w:val="21"/>
                <w14:textFill>
                  <w14:solidFill>
                    <w14:schemeClr w14:val="tx1"/>
                  </w14:solidFill>
                </w14:textFill>
              </w:rPr>
              <w:t>5.51mmP110</w:t>
            </w:r>
            <w:r>
              <w:rPr>
                <w:rFonts w:hint="eastAsia"/>
                <w:color w:val="000000" w:themeColor="text1"/>
                <w:sz w:val="21"/>
                <w:szCs w:val="21"/>
                <w14:textFill>
                  <w14:solidFill>
                    <w14:schemeClr w14:val="tx1"/>
                  </w14:solidFill>
                </w14:textFill>
              </w:rPr>
              <w:t>镍钨镀层防腐油管</w:t>
            </w:r>
            <w:r>
              <w:rPr>
                <w:color w:val="000000" w:themeColor="text1"/>
                <w:sz w:val="21"/>
                <w:szCs w:val="21"/>
                <w14:textFill>
                  <w14:solidFill>
                    <w14:schemeClr w14:val="tx1"/>
                  </w14:solidFill>
                </w14:textFill>
              </w:rPr>
              <w:t>+</w:t>
            </w:r>
            <w:r>
              <w:rPr>
                <w:rFonts w:hint="eastAsia"/>
                <w:color w:val="000000" w:themeColor="text1"/>
                <w:sz w:val="21"/>
                <w:szCs w:val="21"/>
                <w14:textFill>
                  <w14:solidFill>
                    <w14:schemeClr w14:val="tx1"/>
                  </w14:solidFill>
                </w14:textFill>
              </w:rPr>
              <w:t>封隔器</w:t>
            </w:r>
            <w:r>
              <w:rPr>
                <w:color w:val="000000" w:themeColor="text1"/>
                <w:sz w:val="21"/>
                <w:szCs w:val="21"/>
                <w14:textFill>
                  <w14:solidFill>
                    <w14:schemeClr w14:val="tx1"/>
                  </w14:solidFill>
                </w14:textFill>
              </w:rPr>
              <w:t>+</w:t>
            </w:r>
            <w:r>
              <w:rPr>
                <w:rFonts w:hint="eastAsia"/>
                <w:color w:val="000000" w:themeColor="text1"/>
                <w:sz w:val="21"/>
                <w:szCs w:val="21"/>
                <w14:textFill>
                  <w14:solidFill>
                    <w14:schemeClr w14:val="tx1"/>
                  </w14:solidFill>
                </w14:textFill>
              </w:rPr>
              <w:t>剪切球座</w:t>
            </w:r>
            <w:r>
              <w:rPr>
                <w:color w:val="000000" w:themeColor="text1"/>
                <w:sz w:val="21"/>
                <w:szCs w:val="21"/>
                <w14:textFill>
                  <w14:solidFill>
                    <w14:schemeClr w14:val="tx1"/>
                  </w14:solidFill>
                </w14:textFill>
              </w:rPr>
              <w:t>+</w:t>
            </w:r>
            <w:r>
              <w:rPr>
                <w:rFonts w:hint="eastAsia"/>
                <w:color w:val="000000" w:themeColor="text1"/>
                <w:sz w:val="21"/>
                <w:szCs w:val="21"/>
                <w14:textFill>
                  <w14:solidFill>
                    <w14:schemeClr w14:val="tx1"/>
                  </w14:solidFill>
                </w14:textFill>
              </w:rPr>
              <w:t>腐蚀测试筒</w:t>
            </w:r>
            <w:r>
              <w:rPr>
                <w:color w:val="000000" w:themeColor="text1"/>
                <w:sz w:val="21"/>
                <w:szCs w:val="21"/>
                <w14:textFill>
                  <w14:solidFill>
                    <w14:schemeClr w14:val="tx1"/>
                  </w14:solidFill>
                </w14:textFill>
              </w:rPr>
              <w:t>+</w:t>
            </w:r>
            <w:r>
              <w:rPr>
                <w:rFonts w:hint="eastAsia"/>
                <w:color w:val="000000" w:themeColor="text1"/>
                <w:sz w:val="21"/>
                <w:szCs w:val="21"/>
                <w14:textFill>
                  <w14:solidFill>
                    <w14:schemeClr w14:val="tx1"/>
                  </w14:solidFill>
                </w14:textFill>
              </w:rPr>
              <w:t>引鞋等组成。封隔器推荐采用半永久式或永久式插管耐腐蚀、气密封封隔器；自喷生产阶段可沿用注气管柱。回注井油管采用Φ</w:t>
            </w:r>
            <w:r>
              <w:rPr>
                <w:color w:val="000000" w:themeColor="text1"/>
                <w:sz w:val="21"/>
                <w:szCs w:val="21"/>
                <w14:textFill>
                  <w14:solidFill>
                    <w14:schemeClr w14:val="tx1"/>
                  </w14:solidFill>
                </w14:textFill>
              </w:rPr>
              <w:t>73mm</w:t>
            </w:r>
            <w:r>
              <w:rPr>
                <w:rFonts w:hint="eastAsia"/>
                <w:color w:val="000000" w:themeColor="text1"/>
                <w:sz w:val="21"/>
                <w:szCs w:val="21"/>
                <w14:textFill>
                  <w14:solidFill>
                    <w14:schemeClr w14:val="tx1"/>
                  </w14:solidFill>
                </w14:textFill>
              </w:rPr>
              <w:t>×</w:t>
            </w:r>
            <w:r>
              <w:rPr>
                <w:color w:val="000000" w:themeColor="text1"/>
                <w:sz w:val="21"/>
                <w:szCs w:val="21"/>
                <w14:textFill>
                  <w14:solidFill>
                    <w14:schemeClr w14:val="tx1"/>
                  </w14:solidFill>
                </w14:textFill>
              </w:rPr>
              <w:t>5.51mmP110</w:t>
            </w:r>
            <w:r>
              <w:rPr>
                <w:rFonts w:hint="eastAsia"/>
                <w:color w:val="000000" w:themeColor="text1"/>
                <w:sz w:val="21"/>
                <w:szCs w:val="21"/>
                <w14:textFill>
                  <w14:solidFill>
                    <w14:schemeClr w14:val="tx1"/>
                  </w14:solidFill>
                </w14:textFill>
              </w:rPr>
              <w:t>钨镍合金镀层气密封油管</w:t>
            </w:r>
            <w:r>
              <w:rPr>
                <w:color w:val="000000" w:themeColor="text1"/>
                <w:sz w:val="21"/>
                <w:szCs w:val="21"/>
                <w14:textFill>
                  <w14:solidFill>
                    <w14:schemeClr w14:val="tx1"/>
                  </w14:solidFill>
                </w14:textFill>
              </w:rPr>
              <w:t>+</w:t>
            </w:r>
            <w:r>
              <w:rPr>
                <w:rFonts w:hint="eastAsia"/>
                <w:color w:val="000000" w:themeColor="text1"/>
                <w:sz w:val="21"/>
                <w:szCs w:val="21"/>
                <w14:textFill>
                  <w14:solidFill>
                    <w14:schemeClr w14:val="tx1"/>
                  </w14:solidFill>
                </w14:textFill>
              </w:rPr>
              <w:t>气密封耐蚀封隔器</w:t>
            </w:r>
            <w:r>
              <w:rPr>
                <w:color w:val="000000" w:themeColor="text1"/>
                <w:sz w:val="21"/>
                <w:szCs w:val="21"/>
                <w14:textFill>
                  <w14:solidFill>
                    <w14:schemeClr w14:val="tx1"/>
                  </w14:solidFill>
                </w14:textFill>
              </w:rPr>
              <w:t>+</w:t>
            </w:r>
            <w:r>
              <w:rPr>
                <w:rFonts w:hint="eastAsia"/>
                <w:color w:val="000000" w:themeColor="text1"/>
                <w:sz w:val="21"/>
                <w:szCs w:val="21"/>
                <w14:textFill>
                  <w14:solidFill>
                    <w14:schemeClr w14:val="tx1"/>
                  </w14:solidFill>
                </w14:textFill>
              </w:rPr>
              <w:t>剪切球座</w:t>
            </w:r>
            <w:r>
              <w:rPr>
                <w:color w:val="000000" w:themeColor="text1"/>
                <w:sz w:val="21"/>
                <w:szCs w:val="21"/>
                <w14:textFill>
                  <w14:solidFill>
                    <w14:schemeClr w14:val="tx1"/>
                  </w14:solidFill>
                </w14:textFill>
              </w:rPr>
              <w:t>+</w:t>
            </w:r>
            <w:r>
              <w:rPr>
                <w:rFonts w:hint="eastAsia"/>
                <w:color w:val="000000" w:themeColor="text1"/>
                <w:sz w:val="21"/>
                <w:szCs w:val="21"/>
                <w14:textFill>
                  <w14:solidFill>
                    <w14:schemeClr w14:val="tx1"/>
                  </w14:solidFill>
                </w14:textFill>
              </w:rPr>
              <w:t>腐蚀测试筒</w:t>
            </w:r>
            <w:r>
              <w:rPr>
                <w:color w:val="000000" w:themeColor="text1"/>
                <w:sz w:val="21"/>
                <w:szCs w:val="21"/>
                <w14:textFill>
                  <w14:solidFill>
                    <w14:schemeClr w14:val="tx1"/>
                  </w14:solidFill>
                </w14:textFill>
              </w:rPr>
              <w:t>+</w:t>
            </w:r>
            <w:r>
              <w:rPr>
                <w:rFonts w:hint="eastAsia"/>
                <w:color w:val="000000" w:themeColor="text1"/>
                <w:sz w:val="21"/>
                <w:szCs w:val="21"/>
                <w14:textFill>
                  <w14:solidFill>
                    <w14:schemeClr w14:val="tx1"/>
                  </w14:solidFill>
                </w14:textFill>
              </w:rPr>
              <w:t>引鞋等组成，采用半永久式或永久式插管气密封封隔器，防腐采用油套环空添加水基环空保护液。</w:t>
            </w:r>
          </w:p>
        </w:tc>
      </w:tr>
      <w:tr w14:paraId="77355C6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407" w:type="pct"/>
            <w:vMerge w:val="continue"/>
            <w:vAlign w:val="center"/>
          </w:tcPr>
          <w:p w14:paraId="27D245E1">
            <w:pPr>
              <w:widowControl/>
              <w:overflowPunct w:val="0"/>
              <w:adjustRightInd w:val="0"/>
              <w:snapToGrid w:val="0"/>
              <w:spacing w:line="300" w:lineRule="exact"/>
              <w:jc w:val="center"/>
              <w:rPr>
                <w:rFonts w:hint="eastAsia" w:ascii="宋体" w:hAnsi="宋体"/>
                <w:snapToGrid w:val="0"/>
                <w:color w:val="000000" w:themeColor="text1"/>
                <w:kern w:val="0"/>
                <w:szCs w:val="21"/>
                <w14:textFill>
                  <w14:solidFill>
                    <w14:schemeClr w14:val="tx1"/>
                  </w14:solidFill>
                </w14:textFill>
              </w:rPr>
            </w:pPr>
          </w:p>
        </w:tc>
        <w:tc>
          <w:tcPr>
            <w:tcW w:w="567" w:type="pct"/>
            <w:vAlign w:val="center"/>
          </w:tcPr>
          <w:p w14:paraId="48CF8222">
            <w:pPr>
              <w:adjustRightInd w:val="0"/>
              <w:snapToGrid w:val="0"/>
              <w:spacing w:line="300" w:lineRule="exact"/>
              <w:jc w:val="center"/>
              <w:rPr>
                <w:rFonts w:hint="eastAsia" w:ascii="宋体" w:hAnsi="宋体"/>
                <w:snapToGrid w:val="0"/>
                <w:color w:val="000000" w:themeColor="text1"/>
                <w:kern w:val="0"/>
                <w:szCs w:val="21"/>
                <w14:textFill>
                  <w14:solidFill>
                    <w14:schemeClr w14:val="tx1"/>
                  </w14:solidFill>
                </w14:textFill>
              </w:rPr>
            </w:pPr>
            <w:r>
              <w:rPr>
                <w:rFonts w:hint="eastAsia" w:ascii="宋体" w:hAnsi="宋体"/>
                <w:snapToGrid w:val="0"/>
                <w:color w:val="000000" w:themeColor="text1"/>
                <w:kern w:val="0"/>
                <w:szCs w:val="21"/>
                <w14:textFill>
                  <w14:solidFill>
                    <w14:schemeClr w14:val="tx1"/>
                  </w14:solidFill>
                </w14:textFill>
              </w:rPr>
              <w:t>注采井场</w:t>
            </w:r>
          </w:p>
        </w:tc>
        <w:tc>
          <w:tcPr>
            <w:tcW w:w="4026" w:type="pct"/>
            <w:vAlign w:val="center"/>
          </w:tcPr>
          <w:p w14:paraId="5BC0316F">
            <w:pPr>
              <w:pStyle w:val="117"/>
              <w:adjustRightInd w:val="0"/>
              <w:snapToGrid w:val="0"/>
              <w:spacing w:line="300" w:lineRule="exact"/>
              <w:ind w:firstLine="0" w:firstLineChars="0"/>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新建注采井场9座，注采井采用</w:t>
            </w:r>
            <w:r>
              <w:rPr>
                <w:color w:val="000000" w:themeColor="text1"/>
                <w:sz w:val="21"/>
                <w:szCs w:val="21"/>
                <w14:textFill>
                  <w14:solidFill>
                    <w14:schemeClr w14:val="tx1"/>
                  </w14:solidFill>
                </w14:textFill>
              </w:rPr>
              <w:t>DN65 35MPa</w:t>
            </w:r>
            <w:r>
              <w:rPr>
                <w:rFonts w:hint="eastAsia"/>
                <w:color w:val="000000" w:themeColor="text1"/>
                <w:sz w:val="21"/>
                <w:szCs w:val="21"/>
                <w14:textFill>
                  <w14:solidFill>
                    <w14:schemeClr w14:val="tx1"/>
                  </w14:solidFill>
                </w14:textFill>
              </w:rPr>
              <w:t>采油井口，井口利旧已建投捞式电潜螺杆泵，配套电机功率</w:t>
            </w:r>
            <w:r>
              <w:rPr>
                <w:color w:val="000000" w:themeColor="text1"/>
                <w:sz w:val="21"/>
                <w:szCs w:val="21"/>
                <w14:textFill>
                  <w14:solidFill>
                    <w14:schemeClr w14:val="tx1"/>
                  </w14:solidFill>
                </w14:textFill>
              </w:rPr>
              <w:t>22kW</w:t>
            </w:r>
            <w:r>
              <w:rPr>
                <w:rFonts w:hint="eastAsia"/>
                <w:color w:val="000000" w:themeColor="text1"/>
                <w:sz w:val="21"/>
                <w:szCs w:val="21"/>
                <w14:textFill>
                  <w14:solidFill>
                    <w14:schemeClr w14:val="tx1"/>
                  </w14:solidFill>
                </w14:textFill>
              </w:rPr>
              <w:t>；井口采用保温盒进行保温，保温盒内设</w:t>
            </w:r>
            <w:r>
              <w:rPr>
                <w:color w:val="000000" w:themeColor="text1"/>
                <w:sz w:val="21"/>
                <w:szCs w:val="21"/>
                <w14:textFill>
                  <w14:solidFill>
                    <w14:schemeClr w14:val="tx1"/>
                  </w14:solidFill>
                </w14:textFill>
              </w:rPr>
              <w:t>150W</w:t>
            </w:r>
            <w:r>
              <w:rPr>
                <w:rFonts w:hint="eastAsia"/>
                <w:color w:val="000000" w:themeColor="text1"/>
                <w:sz w:val="21"/>
                <w:szCs w:val="21"/>
                <w14:textFill>
                  <w14:solidFill>
                    <w14:schemeClr w14:val="tx1"/>
                  </w14:solidFill>
                </w14:textFill>
              </w:rPr>
              <w:t>防爆电加热器，同时设置热洗清蜡接口及安全标示牌，井口采用保温油嘴套。每座井场内设1座</w:t>
            </w:r>
            <w:r>
              <w:rPr>
                <w:color w:val="000000" w:themeColor="text1"/>
                <w:sz w:val="21"/>
                <w:szCs w:val="21"/>
                <w14:textFill>
                  <w14:solidFill>
                    <w14:schemeClr w14:val="tx1"/>
                  </w14:solidFill>
                </w14:textFill>
              </w:rPr>
              <w:t>DN65 35MPa</w:t>
            </w:r>
            <w:r>
              <w:rPr>
                <w:rFonts w:hint="eastAsia"/>
                <w:color w:val="000000" w:themeColor="text1"/>
                <w:sz w:val="21"/>
                <w:szCs w:val="21"/>
                <w14:textFill>
                  <w14:solidFill>
                    <w14:schemeClr w14:val="tx1"/>
                  </w14:solidFill>
                </w14:textFill>
              </w:rPr>
              <w:t>井口装置、井口设1座60kW电加热器、利旧井场现有1座除硫加药橇</w:t>
            </w:r>
            <w:r>
              <w:rPr>
                <w:rFonts w:hint="eastAsia"/>
                <w:color w:val="000000" w:themeColor="text1"/>
                <w:kern w:val="0"/>
                <w:sz w:val="21"/>
                <w:szCs w:val="21"/>
                <w14:textFill>
                  <w14:solidFill>
                    <w14:schemeClr w14:val="tx1"/>
                  </w14:solidFill>
                </w14:textFill>
              </w:rPr>
              <w:t>（采用第</w:t>
            </w:r>
            <w:r>
              <w:rPr>
                <w:rFonts w:hint="eastAsia"/>
                <w:color w:val="000000" w:themeColor="text1"/>
                <w:sz w:val="21"/>
                <w:szCs w:val="21"/>
                <w14:textFill>
                  <w14:solidFill>
                    <w14:schemeClr w14:val="tx1"/>
                  </w14:solidFill>
                </w14:textFill>
              </w:rPr>
              <w:t>三代三嗪类硫化氢处理剂）；CO</w:t>
            </w:r>
            <w:r>
              <w:rPr>
                <w:rFonts w:hint="eastAsia"/>
                <w:color w:val="000000" w:themeColor="text1"/>
                <w:sz w:val="21"/>
                <w:szCs w:val="21"/>
                <w:vertAlign w:val="subscript"/>
                <w14:textFill>
                  <w14:solidFill>
                    <w14:schemeClr w14:val="tx1"/>
                  </w14:solidFill>
                </w14:textFill>
              </w:rPr>
              <w:t>2</w:t>
            </w:r>
            <w:r>
              <w:rPr>
                <w:rFonts w:hint="eastAsia"/>
                <w:color w:val="000000" w:themeColor="text1"/>
                <w:sz w:val="21"/>
                <w:szCs w:val="21"/>
                <w14:textFill>
                  <w14:solidFill>
                    <w14:schemeClr w14:val="tx1"/>
                  </w14:solidFill>
                </w14:textFill>
              </w:rPr>
              <w:t>注入部分建设内容主要为每座注采井场内设2座50m</w:t>
            </w:r>
            <w:r>
              <w:rPr>
                <w:rFonts w:hint="eastAsia"/>
                <w:color w:val="000000" w:themeColor="text1"/>
                <w:sz w:val="21"/>
                <w:szCs w:val="21"/>
                <w:vertAlign w:val="superscript"/>
                <w14:textFill>
                  <w14:solidFill>
                    <w14:schemeClr w14:val="tx1"/>
                  </w14:solidFill>
                </w14:textFill>
              </w:rPr>
              <w:t>3</w:t>
            </w:r>
            <w:r>
              <w:rPr>
                <w:rFonts w:hint="eastAsia"/>
                <w:color w:val="000000" w:themeColor="text1"/>
                <w:sz w:val="21"/>
                <w:szCs w:val="21"/>
                <w14:textFill>
                  <w14:solidFill>
                    <w14:schemeClr w14:val="tx1"/>
                  </w14:solidFill>
                </w14:textFill>
              </w:rPr>
              <w:t>液体二氧化碳储罐、2台高压往复泵、2台二氧化碳专用泵、1台隔爆屏蔽泵，CO</w:t>
            </w:r>
            <w:r>
              <w:rPr>
                <w:rFonts w:hint="eastAsia"/>
                <w:color w:val="000000" w:themeColor="text1"/>
                <w:sz w:val="21"/>
                <w:szCs w:val="21"/>
                <w:vertAlign w:val="subscript"/>
                <w14:textFill>
                  <w14:solidFill>
                    <w14:schemeClr w14:val="tx1"/>
                  </w14:solidFill>
                </w14:textFill>
              </w:rPr>
              <w:t>2</w:t>
            </w:r>
            <w:r>
              <w:rPr>
                <w:rFonts w:hint="eastAsia"/>
                <w:color w:val="000000" w:themeColor="text1"/>
                <w:sz w:val="21"/>
                <w:szCs w:val="21"/>
                <w14:textFill>
                  <w14:solidFill>
                    <w14:schemeClr w14:val="tx1"/>
                  </w14:solidFill>
                </w14:textFill>
              </w:rPr>
              <w:t>采用汽车拉运至井场。</w:t>
            </w:r>
          </w:p>
        </w:tc>
      </w:tr>
      <w:tr w14:paraId="23438FB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407" w:type="pct"/>
            <w:vMerge w:val="continue"/>
            <w:vAlign w:val="center"/>
          </w:tcPr>
          <w:p w14:paraId="552760B1">
            <w:pPr>
              <w:widowControl/>
              <w:overflowPunct w:val="0"/>
              <w:adjustRightInd w:val="0"/>
              <w:snapToGrid w:val="0"/>
              <w:spacing w:line="300" w:lineRule="exact"/>
              <w:jc w:val="center"/>
              <w:rPr>
                <w:rFonts w:hint="eastAsia" w:ascii="宋体" w:hAnsi="宋体"/>
                <w:snapToGrid w:val="0"/>
                <w:color w:val="000000" w:themeColor="text1"/>
                <w:kern w:val="0"/>
                <w:szCs w:val="21"/>
                <w14:textFill>
                  <w14:solidFill>
                    <w14:schemeClr w14:val="tx1"/>
                  </w14:solidFill>
                </w14:textFill>
              </w:rPr>
            </w:pPr>
          </w:p>
        </w:tc>
        <w:tc>
          <w:tcPr>
            <w:tcW w:w="567" w:type="pct"/>
            <w:vAlign w:val="center"/>
          </w:tcPr>
          <w:p w14:paraId="62B54ED3">
            <w:pPr>
              <w:adjustRightInd w:val="0"/>
              <w:snapToGrid w:val="0"/>
              <w:spacing w:line="300" w:lineRule="exact"/>
              <w:jc w:val="center"/>
              <w:rPr>
                <w:rFonts w:hint="eastAsia" w:ascii="宋体" w:hAnsi="宋体"/>
                <w:snapToGrid w:val="0"/>
                <w:color w:val="000000" w:themeColor="text1"/>
                <w:kern w:val="0"/>
                <w:szCs w:val="21"/>
                <w14:textFill>
                  <w14:solidFill>
                    <w14:schemeClr w14:val="tx1"/>
                  </w14:solidFill>
                </w14:textFill>
              </w:rPr>
            </w:pPr>
            <w:r>
              <w:rPr>
                <w:rFonts w:hint="eastAsia" w:ascii="宋体" w:hAnsi="宋体"/>
                <w:snapToGrid w:val="0"/>
                <w:color w:val="000000" w:themeColor="text1"/>
                <w:kern w:val="0"/>
                <w:szCs w:val="21"/>
                <w14:textFill>
                  <w14:solidFill>
                    <w14:schemeClr w14:val="tx1"/>
                  </w14:solidFill>
                </w14:textFill>
              </w:rPr>
              <w:t>计量站</w:t>
            </w:r>
          </w:p>
        </w:tc>
        <w:tc>
          <w:tcPr>
            <w:tcW w:w="4026" w:type="pct"/>
            <w:vAlign w:val="center"/>
          </w:tcPr>
          <w:p w14:paraId="609DDD67">
            <w:pPr>
              <w:pStyle w:val="117"/>
              <w:adjustRightInd w:val="0"/>
              <w:snapToGrid w:val="0"/>
              <w:spacing w:line="300" w:lineRule="exact"/>
              <w:ind w:firstLine="0" w:firstLineChars="0"/>
              <w:rPr>
                <w:rFonts w:hint="eastAsia"/>
                <w:snapToGrid w:val="0"/>
                <w:color w:val="000000" w:themeColor="text1"/>
                <w:sz w:val="21"/>
                <w:szCs w:val="21"/>
                <w14:textFill>
                  <w14:solidFill>
                    <w14:schemeClr w14:val="tx1"/>
                  </w14:solidFill>
                </w14:textFill>
              </w:rPr>
            </w:pPr>
            <w:bookmarkStart w:id="258" w:name="OLE_LINK81"/>
            <w:r>
              <w:rPr>
                <w:rFonts w:hint="eastAsia"/>
                <w:color w:val="000000" w:themeColor="text1"/>
                <w:sz w:val="21"/>
                <w:szCs w:val="21"/>
                <w14:textFill>
                  <w14:solidFill>
                    <w14:schemeClr w14:val="tx1"/>
                  </w14:solidFill>
                </w14:textFill>
              </w:rPr>
              <w:t>新建2座计量站，编号分别为1号计量站和2号计量站，其中2号计量站与预处理注入站合建，每座计量站内设8井式一体化自动选井计量装置。</w:t>
            </w:r>
            <w:bookmarkEnd w:id="258"/>
          </w:p>
        </w:tc>
      </w:tr>
      <w:tr w14:paraId="523D89E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407" w:type="pct"/>
            <w:vMerge w:val="continue"/>
            <w:vAlign w:val="center"/>
          </w:tcPr>
          <w:p w14:paraId="71ED040B">
            <w:pPr>
              <w:widowControl/>
              <w:overflowPunct w:val="0"/>
              <w:adjustRightInd w:val="0"/>
              <w:snapToGrid w:val="0"/>
              <w:spacing w:line="300" w:lineRule="exact"/>
              <w:jc w:val="center"/>
              <w:rPr>
                <w:rFonts w:hint="eastAsia" w:ascii="宋体" w:hAnsi="宋体"/>
                <w:snapToGrid w:val="0"/>
                <w:color w:val="000000" w:themeColor="text1"/>
                <w:kern w:val="0"/>
                <w:szCs w:val="21"/>
                <w14:textFill>
                  <w14:solidFill>
                    <w14:schemeClr w14:val="tx1"/>
                  </w14:solidFill>
                </w14:textFill>
              </w:rPr>
            </w:pPr>
          </w:p>
        </w:tc>
        <w:tc>
          <w:tcPr>
            <w:tcW w:w="567" w:type="pct"/>
            <w:tcBorders>
              <w:top w:val="single" w:color="auto" w:sz="4" w:space="0"/>
            </w:tcBorders>
            <w:vAlign w:val="center"/>
          </w:tcPr>
          <w:p w14:paraId="2CC10C6A">
            <w:pPr>
              <w:adjustRightInd w:val="0"/>
              <w:snapToGrid w:val="0"/>
              <w:spacing w:line="300" w:lineRule="exact"/>
              <w:jc w:val="center"/>
              <w:rPr>
                <w:rFonts w:hint="eastAsia" w:ascii="宋体" w:hAnsi="宋体"/>
                <w:snapToGrid w:val="0"/>
                <w:color w:val="000000" w:themeColor="text1"/>
                <w:kern w:val="0"/>
                <w:szCs w:val="21"/>
                <w14:textFill>
                  <w14:solidFill>
                    <w14:schemeClr w14:val="tx1"/>
                  </w14:solidFill>
                </w14:textFill>
              </w:rPr>
            </w:pPr>
            <w:r>
              <w:rPr>
                <w:rFonts w:hint="eastAsia" w:ascii="宋体" w:hAnsi="宋体"/>
                <w:snapToGrid w:val="0"/>
                <w:color w:val="000000" w:themeColor="text1"/>
                <w:kern w:val="0"/>
                <w:szCs w:val="21"/>
                <w14:textFill>
                  <w14:solidFill>
                    <w14:schemeClr w14:val="tx1"/>
                  </w14:solidFill>
                </w14:textFill>
              </w:rPr>
              <w:t>集输管线</w:t>
            </w:r>
          </w:p>
        </w:tc>
        <w:tc>
          <w:tcPr>
            <w:tcW w:w="4026" w:type="pct"/>
            <w:vAlign w:val="center"/>
          </w:tcPr>
          <w:p w14:paraId="05060013">
            <w:pPr>
              <w:pStyle w:val="191"/>
              <w:adjustRightInd w:val="0"/>
              <w:snapToGrid w:val="0"/>
              <w:spacing w:line="300" w:lineRule="exact"/>
              <w:ind w:firstLine="0" w:firstLineChars="0"/>
              <w:rPr>
                <w:rFonts w:hint="eastAsia"/>
                <w:snapToGrid w:val="0"/>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JHW031</w:t>
            </w:r>
            <w:r>
              <w:rPr>
                <w:rFonts w:hint="eastAsia"/>
                <w:color w:val="000000" w:themeColor="text1"/>
                <w:sz w:val="21"/>
                <w:szCs w:val="21"/>
                <w14:textFill>
                  <w14:solidFill>
                    <w14:schemeClr w14:val="tx1"/>
                  </w14:solidFill>
                </w14:textFill>
              </w:rPr>
              <w:t>、</w:t>
            </w:r>
            <w:r>
              <w:rPr>
                <w:color w:val="000000" w:themeColor="text1"/>
                <w:sz w:val="21"/>
                <w:szCs w:val="21"/>
                <w14:textFill>
                  <w14:solidFill>
                    <w14:schemeClr w14:val="tx1"/>
                  </w14:solidFill>
                </w14:textFill>
              </w:rPr>
              <w:t>JHW032</w:t>
            </w:r>
            <w:r>
              <w:rPr>
                <w:rFonts w:hint="eastAsia"/>
                <w:color w:val="000000" w:themeColor="text1"/>
                <w:sz w:val="21"/>
                <w:szCs w:val="21"/>
                <w14:textFill>
                  <w14:solidFill>
                    <w14:schemeClr w14:val="tx1"/>
                  </w14:solidFill>
                </w14:textFill>
              </w:rPr>
              <w:t>、</w:t>
            </w:r>
            <w:r>
              <w:rPr>
                <w:color w:val="000000" w:themeColor="text1"/>
                <w:sz w:val="21"/>
                <w:szCs w:val="21"/>
                <w14:textFill>
                  <w14:solidFill>
                    <w14:schemeClr w14:val="tx1"/>
                  </w14:solidFill>
                </w14:textFill>
              </w:rPr>
              <w:t>JHW033</w:t>
            </w:r>
            <w:r>
              <w:rPr>
                <w:rFonts w:hint="eastAsia"/>
                <w:color w:val="000000" w:themeColor="text1"/>
                <w:sz w:val="21"/>
                <w:szCs w:val="21"/>
                <w14:textFill>
                  <w14:solidFill>
                    <w14:schemeClr w14:val="tx1"/>
                  </w14:solidFill>
                </w14:textFill>
              </w:rPr>
              <w:t>、</w:t>
            </w:r>
            <w:r>
              <w:rPr>
                <w:color w:val="000000" w:themeColor="text1"/>
                <w:sz w:val="21"/>
                <w:szCs w:val="21"/>
                <w14:textFill>
                  <w14:solidFill>
                    <w14:schemeClr w14:val="tx1"/>
                  </w14:solidFill>
                </w14:textFill>
              </w:rPr>
              <w:t>JHW035</w:t>
            </w:r>
            <w:r>
              <w:rPr>
                <w:rFonts w:hint="eastAsia"/>
                <w:color w:val="000000" w:themeColor="text1"/>
                <w:sz w:val="21"/>
                <w:szCs w:val="21"/>
                <w14:textFill>
                  <w14:solidFill>
                    <w14:schemeClr w14:val="tx1"/>
                  </w14:solidFill>
                </w14:textFill>
              </w:rPr>
              <w:t>、</w:t>
            </w:r>
            <w:r>
              <w:rPr>
                <w:color w:val="000000" w:themeColor="text1"/>
                <w:sz w:val="21"/>
                <w:szCs w:val="21"/>
                <w14:textFill>
                  <w14:solidFill>
                    <w14:schemeClr w14:val="tx1"/>
                  </w14:solidFill>
                </w14:textFill>
              </w:rPr>
              <w:t>JHW036</w:t>
            </w:r>
            <w:r>
              <w:rPr>
                <w:rFonts w:hint="eastAsia"/>
                <w:color w:val="000000" w:themeColor="text1"/>
                <w:sz w:val="21"/>
                <w:szCs w:val="21"/>
                <w14:textFill>
                  <w14:solidFill>
                    <w14:schemeClr w14:val="tx1"/>
                  </w14:solidFill>
                </w14:textFill>
              </w:rPr>
              <w:t>注采井的单井采油管线利旧，该5口井的单井采油管线材质为柔性复合管，本次将5口注采井的已建单井出油管道的钢接头更换为</w:t>
            </w:r>
            <w:r>
              <w:rPr>
                <w:color w:val="000000" w:themeColor="text1"/>
                <w:sz w:val="21"/>
                <w:szCs w:val="21"/>
                <w14:textFill>
                  <w14:solidFill>
                    <w14:schemeClr w14:val="tx1"/>
                  </w14:solidFill>
                </w14:textFill>
              </w:rPr>
              <w:t>S31603</w:t>
            </w:r>
            <w:r>
              <w:rPr>
                <w:rFonts w:hint="eastAsia"/>
                <w:color w:val="000000" w:themeColor="text1"/>
                <w:sz w:val="21"/>
                <w:szCs w:val="21"/>
                <w14:textFill>
                  <w14:solidFill>
                    <w14:schemeClr w14:val="tx1"/>
                  </w14:solidFill>
                </w14:textFill>
              </w:rPr>
              <w:t>不锈钢接头。新建</w:t>
            </w:r>
            <w:r>
              <w:rPr>
                <w:snapToGrid w:val="0"/>
                <w:color w:val="000000" w:themeColor="text1"/>
                <w:sz w:val="21"/>
                <w:szCs w:val="21"/>
                <w14:textFill>
                  <w14:solidFill>
                    <w14:schemeClr w14:val="tx1"/>
                  </w14:solidFill>
                </w14:textFill>
              </w:rPr>
              <w:t>J10002_H</w:t>
            </w:r>
            <w:r>
              <w:rPr>
                <w:rFonts w:hint="eastAsia"/>
                <w:snapToGrid w:val="0"/>
                <w:color w:val="000000" w:themeColor="text1"/>
                <w:sz w:val="21"/>
                <w:szCs w:val="21"/>
                <w14:textFill>
                  <w14:solidFill>
                    <w14:schemeClr w14:val="tx1"/>
                  </w14:solidFill>
                </w14:textFill>
              </w:rPr>
              <w:t>、</w:t>
            </w:r>
            <w:r>
              <w:rPr>
                <w:snapToGrid w:val="0"/>
                <w:color w:val="000000" w:themeColor="text1"/>
                <w:sz w:val="21"/>
                <w:szCs w:val="21"/>
                <w14:textFill>
                  <w14:solidFill>
                    <w14:schemeClr w14:val="tx1"/>
                  </w14:solidFill>
                </w14:textFill>
              </w:rPr>
              <w:t>J10064_H、JHW00525、JHW00526</w:t>
            </w:r>
            <w:r>
              <w:rPr>
                <w:rFonts w:hint="eastAsia"/>
                <w:snapToGrid w:val="0"/>
                <w:color w:val="000000" w:themeColor="text1"/>
                <w:sz w:val="21"/>
                <w:szCs w:val="21"/>
                <w14:textFill>
                  <w14:solidFill>
                    <w14:schemeClr w14:val="tx1"/>
                  </w14:solidFill>
                </w14:textFill>
              </w:rPr>
              <w:t>注采井至计量站的单井采油管线4.64km，</w:t>
            </w:r>
            <w:r>
              <w:rPr>
                <w:rFonts w:hint="eastAsia"/>
                <w:color w:val="000000" w:themeColor="text1"/>
                <w:sz w:val="21"/>
                <w:szCs w:val="21"/>
                <w14:textFill>
                  <w14:solidFill>
                    <w14:schemeClr w14:val="tx1"/>
                  </w14:solidFill>
                </w14:textFill>
              </w:rPr>
              <w:t>采用DN50 PN2.5MPa的柔性复合管；新建计量站至预处理注入站的集油干线2.3km，采用DN100 PN4.0MPa的高压玻璃纤维管。</w:t>
            </w:r>
          </w:p>
        </w:tc>
      </w:tr>
      <w:tr w14:paraId="01F32DB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407" w:type="pct"/>
            <w:vMerge w:val="continue"/>
            <w:vAlign w:val="center"/>
          </w:tcPr>
          <w:p w14:paraId="1DE05B2E">
            <w:pPr>
              <w:widowControl/>
              <w:overflowPunct w:val="0"/>
              <w:adjustRightInd w:val="0"/>
              <w:snapToGrid w:val="0"/>
              <w:spacing w:line="300" w:lineRule="exact"/>
              <w:jc w:val="center"/>
              <w:rPr>
                <w:rFonts w:hint="eastAsia" w:ascii="宋体" w:hAnsi="宋体"/>
                <w:snapToGrid w:val="0"/>
                <w:color w:val="000000" w:themeColor="text1"/>
                <w:kern w:val="0"/>
                <w:szCs w:val="21"/>
                <w14:textFill>
                  <w14:solidFill>
                    <w14:schemeClr w14:val="tx1"/>
                  </w14:solidFill>
                </w14:textFill>
              </w:rPr>
            </w:pPr>
          </w:p>
        </w:tc>
        <w:tc>
          <w:tcPr>
            <w:tcW w:w="567" w:type="pct"/>
            <w:vAlign w:val="center"/>
          </w:tcPr>
          <w:p w14:paraId="4316BBA4">
            <w:pPr>
              <w:adjustRightInd w:val="0"/>
              <w:snapToGrid w:val="0"/>
              <w:spacing w:line="300" w:lineRule="exact"/>
              <w:jc w:val="center"/>
              <w:rPr>
                <w:rFonts w:hint="eastAsia" w:ascii="宋体" w:hAnsi="宋体"/>
                <w:snapToGrid w:val="0"/>
                <w:color w:val="000000" w:themeColor="text1"/>
                <w:kern w:val="0"/>
                <w:szCs w:val="21"/>
                <w14:textFill>
                  <w14:solidFill>
                    <w14:schemeClr w14:val="tx1"/>
                  </w14:solidFill>
                </w14:textFill>
              </w:rPr>
            </w:pPr>
            <w:r>
              <w:rPr>
                <w:rFonts w:hint="eastAsia" w:ascii="宋体" w:hAnsi="宋体"/>
                <w:snapToGrid w:val="0"/>
                <w:color w:val="000000" w:themeColor="text1"/>
                <w:kern w:val="0"/>
                <w:szCs w:val="21"/>
                <w14:textFill>
                  <w14:solidFill>
                    <w14:schemeClr w14:val="tx1"/>
                  </w14:solidFill>
                </w14:textFill>
              </w:rPr>
              <w:t>采出气回注井场及管线</w:t>
            </w:r>
          </w:p>
        </w:tc>
        <w:tc>
          <w:tcPr>
            <w:tcW w:w="4026" w:type="pct"/>
            <w:vAlign w:val="center"/>
          </w:tcPr>
          <w:p w14:paraId="5A296ACD">
            <w:pPr>
              <w:pStyle w:val="117"/>
              <w:adjustRightInd w:val="0"/>
              <w:snapToGrid w:val="0"/>
              <w:spacing w:line="300" w:lineRule="exact"/>
              <w:ind w:firstLine="0" w:firstLineChars="0"/>
              <w:rPr>
                <w:rFonts w:hint="eastAsia"/>
                <w:snapToGrid w:val="0"/>
                <w:color w:val="000000" w:themeColor="text1"/>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新建采出气回注井场1座（井号为</w:t>
            </w:r>
            <w:r>
              <w:rPr>
                <w:color w:val="000000" w:themeColor="text1"/>
                <w:kern w:val="0"/>
                <w:sz w:val="21"/>
                <w:szCs w:val="21"/>
                <w14:textFill>
                  <w14:solidFill>
                    <w14:schemeClr w14:val="tx1"/>
                  </w14:solidFill>
                </w14:textFill>
              </w:rPr>
              <w:t>JHW00422</w:t>
            </w:r>
            <w:r>
              <w:rPr>
                <w:rFonts w:hint="eastAsia"/>
                <w:color w:val="000000" w:themeColor="text1"/>
                <w:kern w:val="0"/>
                <w:sz w:val="21"/>
                <w:szCs w:val="21"/>
                <w14:textFill>
                  <w14:solidFill>
                    <w14:schemeClr w14:val="tx1"/>
                  </w14:solidFill>
                </w14:textFill>
              </w:rPr>
              <w:t>），采用</w:t>
            </w:r>
            <w:r>
              <w:rPr>
                <w:color w:val="000000" w:themeColor="text1"/>
                <w:kern w:val="0"/>
                <w:sz w:val="21"/>
                <w:szCs w:val="21"/>
                <w14:textFill>
                  <w14:solidFill>
                    <w14:schemeClr w14:val="tx1"/>
                  </w14:solidFill>
                </w14:textFill>
              </w:rPr>
              <w:t>DN65</w:t>
            </w:r>
            <w:r>
              <w:rPr>
                <w:rFonts w:hint="eastAsia"/>
                <w:color w:val="000000" w:themeColor="text1"/>
                <w:kern w:val="0"/>
                <w:sz w:val="21"/>
                <w:szCs w:val="21"/>
                <w14:textFill>
                  <w14:solidFill>
                    <w14:schemeClr w14:val="tx1"/>
                  </w14:solidFill>
                </w14:textFill>
              </w:rPr>
              <w:t xml:space="preserve"> </w:t>
            </w:r>
            <w:r>
              <w:rPr>
                <w:color w:val="000000" w:themeColor="text1"/>
                <w:kern w:val="0"/>
                <w:sz w:val="21"/>
                <w:szCs w:val="21"/>
                <w14:textFill>
                  <w14:solidFill>
                    <w14:schemeClr w14:val="tx1"/>
                  </w14:solidFill>
                </w14:textFill>
              </w:rPr>
              <w:t>35MPa</w:t>
            </w:r>
            <w:r>
              <w:rPr>
                <w:rFonts w:hint="eastAsia"/>
                <w:color w:val="000000" w:themeColor="text1"/>
                <w:kern w:val="0"/>
                <w:sz w:val="21"/>
                <w:szCs w:val="21"/>
                <w14:textFill>
                  <w14:solidFill>
                    <w14:schemeClr w14:val="tx1"/>
                  </w14:solidFill>
                </w14:textFill>
              </w:rPr>
              <w:t>井口，注入管道设止回阀</w:t>
            </w:r>
            <w:r>
              <w:rPr>
                <w:rFonts w:hint="eastAsia"/>
                <w:snapToGrid w:val="0"/>
                <w:color w:val="000000" w:themeColor="text1"/>
                <w:kern w:val="0"/>
                <w:sz w:val="21"/>
                <w:szCs w:val="21"/>
                <w14:textFill>
                  <w14:solidFill>
                    <w14:schemeClr w14:val="tx1"/>
                  </w14:solidFill>
                </w14:textFill>
              </w:rPr>
              <w:t>。</w:t>
            </w:r>
            <w:r>
              <w:rPr>
                <w:rFonts w:hint="eastAsia"/>
                <w:color w:val="000000" w:themeColor="text1"/>
                <w:kern w:val="0"/>
                <w:sz w:val="21"/>
                <w:szCs w:val="21"/>
                <w14:textFill>
                  <w14:solidFill>
                    <w14:schemeClr w14:val="tx1"/>
                  </w14:solidFill>
                </w14:textFill>
              </w:rPr>
              <w:t>新建预处理注入站至采出气回注井场的单井注气管线1.2km，</w:t>
            </w:r>
            <w:r>
              <w:rPr>
                <w:color w:val="000000" w:themeColor="text1"/>
                <w:kern w:val="0"/>
                <w:sz w:val="21"/>
                <w:szCs w:val="21"/>
                <w14:textFill>
                  <w14:solidFill>
                    <w14:schemeClr w14:val="tx1"/>
                  </w14:solidFill>
                </w14:textFill>
              </w:rPr>
              <w:t>管径选用D</w:t>
            </w:r>
            <w:r>
              <w:rPr>
                <w:rFonts w:hint="eastAsia"/>
                <w:color w:val="000000" w:themeColor="text1"/>
                <w:kern w:val="0"/>
                <w:sz w:val="21"/>
                <w:szCs w:val="21"/>
                <w14:textFill>
                  <w14:solidFill>
                    <w14:schemeClr w14:val="tx1"/>
                  </w14:solidFill>
                </w14:textFill>
              </w:rPr>
              <w:t>60</w:t>
            </w:r>
            <w:r>
              <w:rPr>
                <w:color w:val="000000" w:themeColor="text1"/>
                <w:kern w:val="0"/>
                <w:sz w:val="21"/>
                <w:szCs w:val="21"/>
                <w14:textFill>
                  <w14:solidFill>
                    <w14:schemeClr w14:val="tx1"/>
                  </w14:solidFill>
                </w14:textFill>
              </w:rPr>
              <w:t>×</w:t>
            </w:r>
            <w:r>
              <w:rPr>
                <w:rFonts w:hint="eastAsia"/>
                <w:color w:val="000000" w:themeColor="text1"/>
                <w:kern w:val="0"/>
                <w:sz w:val="21"/>
                <w:szCs w:val="21"/>
                <w14:textFill>
                  <w14:solidFill>
                    <w14:schemeClr w14:val="tx1"/>
                  </w14:solidFill>
                </w14:textFill>
              </w:rPr>
              <w:t>3.5</w:t>
            </w:r>
            <w:r>
              <w:rPr>
                <w:color w:val="000000" w:themeColor="text1"/>
                <w:kern w:val="0"/>
                <w:sz w:val="21"/>
                <w:szCs w:val="21"/>
                <w14:textFill>
                  <w14:solidFill>
                    <w14:schemeClr w14:val="tx1"/>
                  </w14:solidFill>
                </w14:textFill>
              </w:rPr>
              <w:t>mm</w:t>
            </w:r>
            <w:r>
              <w:rPr>
                <w:rFonts w:hint="eastAsia"/>
                <w:color w:val="000000" w:themeColor="text1"/>
                <w:kern w:val="0"/>
                <w:sz w:val="21"/>
                <w:szCs w:val="21"/>
                <w14:textFill>
                  <w14:solidFill>
                    <w14:schemeClr w14:val="tx1"/>
                  </w14:solidFill>
                </w14:textFill>
              </w:rPr>
              <w:t>、</w:t>
            </w:r>
            <w:r>
              <w:rPr>
                <w:color w:val="000000" w:themeColor="text1"/>
                <w:kern w:val="0"/>
                <w:sz w:val="21"/>
                <w:szCs w:val="21"/>
                <w14:textFill>
                  <w14:solidFill>
                    <w14:schemeClr w14:val="tx1"/>
                  </w14:solidFill>
                </w14:textFill>
              </w:rPr>
              <w:t>管道材质选用</w:t>
            </w:r>
            <w:r>
              <w:rPr>
                <w:rFonts w:hint="eastAsia"/>
                <w:color w:val="000000" w:themeColor="text1"/>
                <w:kern w:val="0"/>
                <w:sz w:val="21"/>
                <w:szCs w:val="21"/>
                <w14:textFill>
                  <w14:solidFill>
                    <w14:schemeClr w14:val="tx1"/>
                  </w14:solidFill>
                </w14:textFill>
              </w:rPr>
              <w:t>20#无缝钢管。</w:t>
            </w:r>
          </w:p>
        </w:tc>
      </w:tr>
      <w:tr w14:paraId="0163BE6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407" w:type="pct"/>
            <w:vMerge w:val="continue"/>
            <w:vAlign w:val="center"/>
          </w:tcPr>
          <w:p w14:paraId="692D86E4">
            <w:pPr>
              <w:widowControl/>
              <w:overflowPunct w:val="0"/>
              <w:adjustRightInd w:val="0"/>
              <w:snapToGrid w:val="0"/>
              <w:spacing w:line="300" w:lineRule="exact"/>
              <w:jc w:val="center"/>
              <w:rPr>
                <w:rFonts w:hint="eastAsia" w:ascii="宋体" w:hAnsi="宋体"/>
                <w:snapToGrid w:val="0"/>
                <w:color w:val="000000" w:themeColor="text1"/>
                <w:kern w:val="0"/>
                <w:szCs w:val="21"/>
                <w14:textFill>
                  <w14:solidFill>
                    <w14:schemeClr w14:val="tx1"/>
                  </w14:solidFill>
                </w14:textFill>
              </w:rPr>
            </w:pPr>
          </w:p>
        </w:tc>
        <w:tc>
          <w:tcPr>
            <w:tcW w:w="567" w:type="pct"/>
            <w:vAlign w:val="center"/>
          </w:tcPr>
          <w:p w14:paraId="129CC8A0">
            <w:pPr>
              <w:adjustRightInd w:val="0"/>
              <w:snapToGrid w:val="0"/>
              <w:spacing w:line="300" w:lineRule="exact"/>
              <w:jc w:val="center"/>
              <w:rPr>
                <w:rFonts w:hint="eastAsia" w:ascii="宋体" w:hAnsi="宋体"/>
                <w:snapToGrid w:val="0"/>
                <w:color w:val="000000" w:themeColor="text1"/>
                <w:kern w:val="0"/>
                <w:szCs w:val="21"/>
                <w14:textFill>
                  <w14:solidFill>
                    <w14:schemeClr w14:val="tx1"/>
                  </w14:solidFill>
                </w14:textFill>
              </w:rPr>
            </w:pPr>
            <w:r>
              <w:rPr>
                <w:rFonts w:hint="eastAsia" w:ascii="宋体" w:hAnsi="宋体"/>
                <w:snapToGrid w:val="0"/>
                <w:color w:val="000000" w:themeColor="text1"/>
                <w:kern w:val="0"/>
                <w:szCs w:val="21"/>
                <w14:textFill>
                  <w14:solidFill>
                    <w14:schemeClr w14:val="tx1"/>
                  </w14:solidFill>
                </w14:textFill>
              </w:rPr>
              <w:t>注水工程</w:t>
            </w:r>
          </w:p>
        </w:tc>
        <w:tc>
          <w:tcPr>
            <w:tcW w:w="4026" w:type="pct"/>
            <w:vAlign w:val="center"/>
          </w:tcPr>
          <w:p w14:paraId="23C96CE8">
            <w:pPr>
              <w:pStyle w:val="117"/>
              <w:adjustRightInd w:val="0"/>
              <w:snapToGrid w:val="0"/>
              <w:spacing w:line="300" w:lineRule="exact"/>
              <w:ind w:firstLine="0" w:firstLineChars="0"/>
              <w:rPr>
                <w:rFonts w:hint="eastAsia"/>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新建注水井场2座，</w:t>
            </w:r>
            <w:bookmarkStart w:id="259" w:name="OLE_LINK166"/>
            <w:r>
              <w:rPr>
                <w:rFonts w:hint="eastAsia"/>
                <w:color w:val="000000" w:themeColor="text1"/>
                <w:kern w:val="0"/>
                <w:sz w:val="21"/>
                <w:szCs w:val="21"/>
                <w14:textFill>
                  <w14:solidFill>
                    <w14:schemeClr w14:val="tx1"/>
                  </w14:solidFill>
                </w14:textFill>
              </w:rPr>
              <w:t>井号分别为</w:t>
            </w:r>
            <w:r>
              <w:rPr>
                <w:color w:val="000000" w:themeColor="text1"/>
                <w:kern w:val="0"/>
                <w:sz w:val="21"/>
                <w:szCs w:val="21"/>
                <w14:textFill>
                  <w14:solidFill>
                    <w14:schemeClr w14:val="tx1"/>
                  </w14:solidFill>
                </w14:textFill>
              </w:rPr>
              <w:t>JHW00421</w:t>
            </w:r>
            <w:r>
              <w:rPr>
                <w:rFonts w:hint="eastAsia"/>
                <w:color w:val="000000" w:themeColor="text1"/>
                <w:kern w:val="0"/>
                <w:sz w:val="21"/>
                <w:szCs w:val="21"/>
                <w14:textFill>
                  <w14:solidFill>
                    <w14:schemeClr w14:val="tx1"/>
                  </w14:solidFill>
                </w14:textFill>
              </w:rPr>
              <w:t>和</w:t>
            </w:r>
            <w:r>
              <w:rPr>
                <w:color w:val="000000" w:themeColor="text1"/>
                <w:kern w:val="0"/>
                <w:sz w:val="21"/>
                <w:szCs w:val="21"/>
                <w14:textFill>
                  <w14:solidFill>
                    <w14:schemeClr w14:val="tx1"/>
                  </w14:solidFill>
                </w14:textFill>
              </w:rPr>
              <w:t>JHW034</w:t>
            </w:r>
            <w:r>
              <w:rPr>
                <w:rFonts w:hint="eastAsia"/>
                <w:color w:val="000000" w:themeColor="text1"/>
                <w:kern w:val="0"/>
                <w:sz w:val="21"/>
                <w:szCs w:val="21"/>
                <w14:textFill>
                  <w14:solidFill>
                    <w14:schemeClr w14:val="tx1"/>
                  </w14:solidFill>
                </w14:textFill>
              </w:rPr>
              <w:t>井，设计注水规模分别为140m</w:t>
            </w:r>
            <w:r>
              <w:rPr>
                <w:rFonts w:hint="eastAsia"/>
                <w:color w:val="000000" w:themeColor="text1"/>
                <w:kern w:val="0"/>
                <w:sz w:val="21"/>
                <w:szCs w:val="21"/>
                <w:vertAlign w:val="superscript"/>
                <w14:textFill>
                  <w14:solidFill>
                    <w14:schemeClr w14:val="tx1"/>
                  </w14:solidFill>
                </w14:textFill>
              </w:rPr>
              <w:t>3</w:t>
            </w:r>
            <w:r>
              <w:rPr>
                <w:rFonts w:hint="eastAsia"/>
                <w:color w:val="000000" w:themeColor="text1"/>
                <w:kern w:val="0"/>
                <w:sz w:val="21"/>
                <w:szCs w:val="21"/>
                <w14:textFill>
                  <w14:solidFill>
                    <w14:schemeClr w14:val="tx1"/>
                  </w14:solidFill>
                </w14:textFill>
              </w:rPr>
              <w:t>/d、90m</w:t>
            </w:r>
            <w:r>
              <w:rPr>
                <w:rFonts w:hint="eastAsia"/>
                <w:color w:val="000000" w:themeColor="text1"/>
                <w:kern w:val="0"/>
                <w:sz w:val="21"/>
                <w:szCs w:val="21"/>
                <w:vertAlign w:val="superscript"/>
                <w14:textFill>
                  <w14:solidFill>
                    <w14:schemeClr w14:val="tx1"/>
                  </w14:solidFill>
                </w14:textFill>
              </w:rPr>
              <w:t>3</w:t>
            </w:r>
            <w:r>
              <w:rPr>
                <w:rFonts w:hint="eastAsia"/>
                <w:color w:val="000000" w:themeColor="text1"/>
                <w:kern w:val="0"/>
                <w:sz w:val="21"/>
                <w:szCs w:val="21"/>
                <w14:textFill>
                  <w14:solidFill>
                    <w14:schemeClr w14:val="tx1"/>
                  </w14:solidFill>
                </w14:textFill>
              </w:rPr>
              <w:t>/d</w:t>
            </w:r>
            <w:bookmarkEnd w:id="259"/>
            <w:r>
              <w:rPr>
                <w:rFonts w:hint="eastAsia"/>
                <w:color w:val="000000" w:themeColor="text1"/>
                <w:kern w:val="0"/>
                <w:sz w:val="21"/>
                <w:szCs w:val="21"/>
                <w14:textFill>
                  <w14:solidFill>
                    <w14:schemeClr w14:val="tx1"/>
                  </w14:solidFill>
                </w14:textFill>
              </w:rPr>
              <w:t>，每座井场内新建撬装注水泵橇2座（1座转液泵、1座注水泵）、4座60m</w:t>
            </w:r>
            <w:r>
              <w:rPr>
                <w:rFonts w:hint="eastAsia"/>
                <w:color w:val="000000" w:themeColor="text1"/>
                <w:kern w:val="0"/>
                <w:sz w:val="21"/>
                <w:szCs w:val="21"/>
                <w:vertAlign w:val="superscript"/>
                <w14:textFill>
                  <w14:solidFill>
                    <w14:schemeClr w14:val="tx1"/>
                  </w14:solidFill>
                </w14:textFill>
              </w:rPr>
              <w:t>3</w:t>
            </w:r>
            <w:r>
              <w:rPr>
                <w:rFonts w:hint="eastAsia"/>
                <w:color w:val="000000" w:themeColor="text1"/>
                <w:kern w:val="0"/>
                <w:sz w:val="21"/>
                <w:szCs w:val="21"/>
                <w14:textFill>
                  <w14:solidFill>
                    <w14:schemeClr w14:val="tx1"/>
                  </w14:solidFill>
                </w14:textFill>
              </w:rPr>
              <w:t>水罐等设施，回注水由罐车拉运至注水井场。作用</w:t>
            </w:r>
            <w:r>
              <w:rPr>
                <w:rFonts w:hint="eastAsia"/>
                <w:color w:val="000000" w:themeColor="text1"/>
                <w:sz w:val="21"/>
                <w:szCs w:val="21"/>
                <w14:textFill>
                  <w14:solidFill>
                    <w14:schemeClr w14:val="tx1"/>
                  </w14:solidFill>
                </w14:textFill>
              </w:rPr>
              <w:t>主要为</w:t>
            </w:r>
            <w:r>
              <w:rPr>
                <w:rFonts w:hint="eastAsia"/>
                <w:color w:val="000000" w:themeColor="text1"/>
                <w:sz w:val="21"/>
                <w:szCs w:val="21"/>
                <w:lang w:val="zh-CN"/>
                <w14:textFill>
                  <w14:solidFill>
                    <w14:schemeClr w14:val="tx1"/>
                  </w14:solidFill>
                </w14:textFill>
              </w:rPr>
              <w:t>注水封堵防窜</w:t>
            </w:r>
          </w:p>
        </w:tc>
      </w:tr>
      <w:tr w14:paraId="183C60B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407" w:type="pct"/>
            <w:vMerge w:val="continue"/>
            <w:vAlign w:val="center"/>
          </w:tcPr>
          <w:p w14:paraId="6A8C18C8">
            <w:pPr>
              <w:widowControl/>
              <w:overflowPunct w:val="0"/>
              <w:adjustRightInd w:val="0"/>
              <w:snapToGrid w:val="0"/>
              <w:spacing w:line="300" w:lineRule="exact"/>
              <w:jc w:val="center"/>
              <w:rPr>
                <w:rFonts w:hint="eastAsia" w:ascii="宋体" w:hAnsi="宋体"/>
                <w:snapToGrid w:val="0"/>
                <w:color w:val="000000" w:themeColor="text1"/>
                <w:kern w:val="0"/>
                <w:szCs w:val="21"/>
                <w14:textFill>
                  <w14:solidFill>
                    <w14:schemeClr w14:val="tx1"/>
                  </w14:solidFill>
                </w14:textFill>
              </w:rPr>
            </w:pPr>
          </w:p>
        </w:tc>
        <w:tc>
          <w:tcPr>
            <w:tcW w:w="567" w:type="pct"/>
            <w:vAlign w:val="center"/>
          </w:tcPr>
          <w:p w14:paraId="1B9FA6AC">
            <w:pPr>
              <w:adjustRightInd w:val="0"/>
              <w:snapToGrid w:val="0"/>
              <w:spacing w:line="300" w:lineRule="exact"/>
              <w:jc w:val="center"/>
              <w:rPr>
                <w:rFonts w:hint="eastAsia" w:ascii="宋体" w:hAnsi="宋体"/>
                <w:snapToGrid w:val="0"/>
                <w:color w:val="000000" w:themeColor="text1"/>
                <w:kern w:val="0"/>
                <w:szCs w:val="21"/>
                <w14:textFill>
                  <w14:solidFill>
                    <w14:schemeClr w14:val="tx1"/>
                  </w14:solidFill>
                </w14:textFill>
              </w:rPr>
            </w:pPr>
            <w:r>
              <w:rPr>
                <w:rFonts w:hint="eastAsia" w:ascii="宋体" w:hAnsi="宋体"/>
                <w:snapToGrid w:val="0"/>
                <w:color w:val="000000" w:themeColor="text1"/>
                <w:kern w:val="0"/>
                <w:szCs w:val="21"/>
                <w14:textFill>
                  <w14:solidFill>
                    <w14:schemeClr w14:val="tx1"/>
                  </w14:solidFill>
                </w14:textFill>
              </w:rPr>
              <w:t>预处理注入站</w:t>
            </w:r>
          </w:p>
        </w:tc>
        <w:tc>
          <w:tcPr>
            <w:tcW w:w="4026" w:type="pct"/>
            <w:vAlign w:val="center"/>
          </w:tcPr>
          <w:p w14:paraId="56C9D6A5">
            <w:pPr>
              <w:pStyle w:val="191"/>
              <w:adjustRightInd w:val="0"/>
              <w:snapToGrid w:val="0"/>
              <w:spacing w:line="300" w:lineRule="exact"/>
              <w:ind w:firstLine="0" w:firstLineChars="0"/>
              <w:rPr>
                <w:rFonts w:hint="eastAsia"/>
                <w:snapToGrid w:val="0"/>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新建1座预处理注入站（预处理注入站与2号计量橇合建），包括采出物预处理系统、注入系统和辅助系统，其中预处理系统主要设备为2座油气分离橇、1台除液器橇、1台200kW电磁加热器、1座转油泵橇等，设计转液能力为263t/d；注入系统设备主要为1座分子筛脱水装置、2座往复式压缩机（单台能力为1.0</w:t>
            </w:r>
            <w:r>
              <w:rPr>
                <w:color w:val="000000" w:themeColor="text1"/>
                <w:sz w:val="21"/>
                <w:szCs w:val="21"/>
                <w14:textFill>
                  <w14:solidFill>
                    <w14:schemeClr w14:val="tx1"/>
                  </w14:solidFill>
                </w14:textFill>
              </w:rPr>
              <w:t>×10</w:t>
            </w:r>
            <w:r>
              <w:rPr>
                <w:color w:val="000000" w:themeColor="text1"/>
                <w:sz w:val="21"/>
                <w:szCs w:val="21"/>
                <w:vertAlign w:val="superscript"/>
                <w14:textFill>
                  <w14:solidFill>
                    <w14:schemeClr w14:val="tx1"/>
                  </w14:solidFill>
                </w14:textFill>
              </w:rPr>
              <w:t>4</w:t>
            </w:r>
            <w:r>
              <w:rPr>
                <w:color w:val="000000" w:themeColor="text1"/>
                <w:sz w:val="21"/>
                <w:szCs w:val="21"/>
                <w14:textFill>
                  <w14:solidFill>
                    <w14:schemeClr w14:val="tx1"/>
                  </w14:solidFill>
                </w14:textFill>
              </w:rPr>
              <w:t>Nm</w:t>
            </w:r>
            <w:r>
              <w:rPr>
                <w:color w:val="000000" w:themeColor="text1"/>
                <w:sz w:val="21"/>
                <w:szCs w:val="21"/>
                <w:vertAlign w:val="superscript"/>
                <w14:textFill>
                  <w14:solidFill>
                    <w14:schemeClr w14:val="tx1"/>
                  </w14:solidFill>
                </w14:textFill>
              </w:rPr>
              <w:t>3</w:t>
            </w:r>
            <w:r>
              <w:rPr>
                <w:color w:val="000000" w:themeColor="text1"/>
                <w:sz w:val="21"/>
                <w:szCs w:val="21"/>
                <w14:textFill>
                  <w14:solidFill>
                    <w14:schemeClr w14:val="tx1"/>
                  </w14:solidFill>
                </w14:textFill>
              </w:rPr>
              <w:t>/d</w:t>
            </w:r>
            <w:r>
              <w:rPr>
                <w:rFonts w:hint="eastAsia"/>
                <w:color w:val="000000" w:themeColor="text1"/>
                <w:sz w:val="21"/>
                <w:szCs w:val="21"/>
                <w14:textFill>
                  <w14:solidFill>
                    <w14:schemeClr w14:val="tx1"/>
                  </w14:solidFill>
                </w14:textFill>
              </w:rPr>
              <w:t>），设计注气规模1.65×10</w:t>
            </w:r>
            <w:r>
              <w:rPr>
                <w:rFonts w:hint="eastAsia"/>
                <w:color w:val="000000" w:themeColor="text1"/>
                <w:sz w:val="21"/>
                <w:szCs w:val="21"/>
                <w:vertAlign w:val="superscript"/>
                <w14:textFill>
                  <w14:solidFill>
                    <w14:schemeClr w14:val="tx1"/>
                  </w14:solidFill>
                </w14:textFill>
              </w:rPr>
              <w:t>4</w:t>
            </w:r>
            <w:r>
              <w:rPr>
                <w:rFonts w:hint="eastAsia"/>
                <w:color w:val="000000" w:themeColor="text1"/>
                <w:sz w:val="21"/>
                <w:szCs w:val="21"/>
                <w14:textFill>
                  <w14:solidFill>
                    <w14:schemeClr w14:val="tx1"/>
                  </w14:solidFill>
                </w14:textFill>
              </w:rPr>
              <w:t>m</w:t>
            </w:r>
            <w:r>
              <w:rPr>
                <w:rFonts w:hint="eastAsia"/>
                <w:color w:val="000000" w:themeColor="text1"/>
                <w:sz w:val="21"/>
                <w:szCs w:val="21"/>
                <w:vertAlign w:val="superscript"/>
                <w14:textFill>
                  <w14:solidFill>
                    <w14:schemeClr w14:val="tx1"/>
                  </w14:solidFill>
                </w14:textFill>
              </w:rPr>
              <w:t>3</w:t>
            </w:r>
            <w:r>
              <w:rPr>
                <w:rFonts w:hint="eastAsia"/>
                <w:color w:val="000000" w:themeColor="text1"/>
                <w:sz w:val="21"/>
                <w:szCs w:val="21"/>
                <w14:textFill>
                  <w14:solidFill>
                    <w14:schemeClr w14:val="tx1"/>
                  </w14:solidFill>
                </w14:textFill>
              </w:rPr>
              <w:t>/d；1套缓蚀剂加药橇（</w:t>
            </w:r>
            <w:r>
              <w:rPr>
                <w:color w:val="000000" w:themeColor="text1"/>
                <w:sz w:val="21"/>
                <w:szCs w:val="21"/>
                <w14:textFill>
                  <w14:solidFill>
                    <w14:schemeClr w14:val="tx1"/>
                  </w14:solidFill>
                </w14:textFill>
              </w:rPr>
              <w:t>包括1座2</w:t>
            </w:r>
            <w:r>
              <w:rPr>
                <w:rFonts w:hint="eastAsia"/>
                <w:color w:val="000000" w:themeColor="text1"/>
                <w:sz w:val="21"/>
                <w:szCs w:val="21"/>
                <w14:textFill>
                  <w14:solidFill>
                    <w14:schemeClr w14:val="tx1"/>
                  </w14:solidFill>
                </w14:textFill>
              </w:rPr>
              <w:t>.5</w:t>
            </w:r>
            <w:r>
              <w:rPr>
                <w:color w:val="000000" w:themeColor="text1"/>
                <w:sz w:val="21"/>
                <w:szCs w:val="21"/>
                <w14:textFill>
                  <w14:solidFill>
                    <w14:schemeClr w14:val="tx1"/>
                  </w14:solidFill>
                </w14:textFill>
              </w:rPr>
              <w:t>m</w:t>
            </w:r>
            <w:r>
              <w:rPr>
                <w:color w:val="000000" w:themeColor="text1"/>
                <w:sz w:val="21"/>
                <w:szCs w:val="21"/>
                <w:vertAlign w:val="superscript"/>
                <w14:textFill>
                  <w14:solidFill>
                    <w14:schemeClr w14:val="tx1"/>
                  </w14:solidFill>
                </w14:textFill>
              </w:rPr>
              <w:t>3</w:t>
            </w:r>
            <w:r>
              <w:rPr>
                <w:color w:val="000000" w:themeColor="text1"/>
                <w:sz w:val="21"/>
                <w:szCs w:val="21"/>
                <w14:textFill>
                  <w14:solidFill>
                    <w14:schemeClr w14:val="tx1"/>
                  </w14:solidFill>
                </w14:textFill>
              </w:rPr>
              <w:t>的</w:t>
            </w:r>
            <w:r>
              <w:rPr>
                <w:rFonts w:hint="eastAsia"/>
                <w:color w:val="000000" w:themeColor="text1"/>
                <w:sz w:val="21"/>
                <w:szCs w:val="21"/>
                <w14:textFill>
                  <w14:solidFill>
                    <w14:schemeClr w14:val="tx1"/>
                  </w14:solidFill>
                </w14:textFill>
              </w:rPr>
              <w:t>加药</w:t>
            </w:r>
            <w:r>
              <w:rPr>
                <w:color w:val="000000" w:themeColor="text1"/>
                <w:sz w:val="21"/>
                <w:szCs w:val="21"/>
                <w14:textFill>
                  <w14:solidFill>
                    <w14:schemeClr w14:val="tx1"/>
                  </w14:solidFill>
                </w14:textFill>
              </w:rPr>
              <w:t>罐、</w:t>
            </w:r>
            <w:r>
              <w:rPr>
                <w:rFonts w:hint="eastAsia"/>
                <w:color w:val="000000" w:themeColor="text1"/>
                <w:sz w:val="21"/>
                <w:szCs w:val="21"/>
                <w14:textFill>
                  <w14:solidFill>
                    <w14:schemeClr w14:val="tx1"/>
                  </w14:solidFill>
                </w14:textFill>
              </w:rPr>
              <w:t>2</w:t>
            </w:r>
            <w:r>
              <w:rPr>
                <w:color w:val="000000" w:themeColor="text1"/>
                <w:sz w:val="21"/>
                <w:szCs w:val="21"/>
                <w14:textFill>
                  <w14:solidFill>
                    <w14:schemeClr w14:val="tx1"/>
                  </w14:solidFill>
                </w14:textFill>
              </w:rPr>
              <w:t>台</w:t>
            </w:r>
            <w:r>
              <w:rPr>
                <w:rFonts w:hint="eastAsia"/>
                <w:color w:val="000000" w:themeColor="text1"/>
                <w:sz w:val="21"/>
                <w:szCs w:val="21"/>
                <w14:textFill>
                  <w14:solidFill>
                    <w14:schemeClr w14:val="tx1"/>
                  </w14:solidFill>
                </w14:textFill>
              </w:rPr>
              <w:t>加药</w:t>
            </w:r>
            <w:r>
              <w:rPr>
                <w:color w:val="000000" w:themeColor="text1"/>
                <w:sz w:val="21"/>
                <w:szCs w:val="21"/>
                <w14:textFill>
                  <w14:solidFill>
                    <w14:schemeClr w14:val="tx1"/>
                  </w14:solidFill>
                </w14:textFill>
              </w:rPr>
              <w:t>泵</w:t>
            </w:r>
            <w:r>
              <w:rPr>
                <w:rFonts w:hint="eastAsia"/>
                <w:color w:val="000000" w:themeColor="text1"/>
                <w:sz w:val="21"/>
                <w:szCs w:val="21"/>
                <w14:textFill>
                  <w14:solidFill>
                    <w14:schemeClr w14:val="tx1"/>
                  </w14:solidFill>
                </w14:textFill>
              </w:rPr>
              <w:t>）、放空系统（包括火炬除液器、15m高放空火炬）和排污系统（主要包括</w:t>
            </w:r>
            <w:r>
              <w:rPr>
                <w:color w:val="000000" w:themeColor="text1"/>
                <w:sz w:val="21"/>
                <w:szCs w:val="21"/>
                <w14:textFill>
                  <w14:solidFill>
                    <w14:schemeClr w14:val="tx1"/>
                  </w14:solidFill>
                </w14:textFill>
              </w:rPr>
              <w:t>1座污油罐、1台污油泵</w:t>
            </w:r>
            <w:r>
              <w:rPr>
                <w:rFonts w:hint="eastAsia"/>
                <w:color w:val="000000" w:themeColor="text1"/>
                <w:sz w:val="21"/>
                <w:szCs w:val="21"/>
                <w14:textFill>
                  <w14:solidFill>
                    <w14:schemeClr w14:val="tx1"/>
                  </w14:solidFill>
                </w14:textFill>
              </w:rPr>
              <w:t>）</w:t>
            </w:r>
          </w:p>
        </w:tc>
      </w:tr>
      <w:tr w14:paraId="3281F56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407" w:type="pct"/>
            <w:vMerge w:val="continue"/>
            <w:vAlign w:val="center"/>
          </w:tcPr>
          <w:p w14:paraId="5F563D97">
            <w:pPr>
              <w:widowControl/>
              <w:overflowPunct w:val="0"/>
              <w:adjustRightInd w:val="0"/>
              <w:snapToGrid w:val="0"/>
              <w:spacing w:line="300" w:lineRule="exact"/>
              <w:jc w:val="center"/>
              <w:rPr>
                <w:rFonts w:hint="eastAsia" w:ascii="宋体" w:hAnsi="宋体"/>
                <w:snapToGrid w:val="0"/>
                <w:color w:val="000000" w:themeColor="text1"/>
                <w:kern w:val="0"/>
                <w:szCs w:val="21"/>
                <w14:textFill>
                  <w14:solidFill>
                    <w14:schemeClr w14:val="tx1"/>
                  </w14:solidFill>
                </w14:textFill>
              </w:rPr>
            </w:pPr>
          </w:p>
        </w:tc>
        <w:tc>
          <w:tcPr>
            <w:tcW w:w="567" w:type="pct"/>
            <w:vAlign w:val="center"/>
          </w:tcPr>
          <w:p w14:paraId="0A85BB27">
            <w:pPr>
              <w:adjustRightInd w:val="0"/>
              <w:snapToGrid w:val="0"/>
              <w:spacing w:line="300" w:lineRule="exact"/>
              <w:jc w:val="center"/>
              <w:rPr>
                <w:rFonts w:hint="eastAsia" w:ascii="宋体" w:hAnsi="宋体"/>
                <w:snapToGrid w:val="0"/>
                <w:color w:val="000000" w:themeColor="text1"/>
                <w:kern w:val="0"/>
                <w:szCs w:val="21"/>
                <w14:textFill>
                  <w14:solidFill>
                    <w14:schemeClr w14:val="tx1"/>
                  </w14:solidFill>
                </w14:textFill>
              </w:rPr>
            </w:pPr>
            <w:r>
              <w:rPr>
                <w:rFonts w:hint="eastAsia" w:ascii="宋体" w:hAnsi="宋体"/>
                <w:snapToGrid w:val="0"/>
                <w:color w:val="000000" w:themeColor="text1"/>
                <w:kern w:val="0"/>
                <w:szCs w:val="21"/>
                <w14:textFill>
                  <w14:solidFill>
                    <w14:schemeClr w14:val="tx1"/>
                  </w14:solidFill>
                </w14:textFill>
              </w:rPr>
              <w:t>转液管线</w:t>
            </w:r>
          </w:p>
        </w:tc>
        <w:tc>
          <w:tcPr>
            <w:tcW w:w="4026" w:type="pct"/>
            <w:vAlign w:val="center"/>
          </w:tcPr>
          <w:p w14:paraId="47696CDB">
            <w:pPr>
              <w:pStyle w:val="191"/>
              <w:adjustRightInd w:val="0"/>
              <w:snapToGrid w:val="0"/>
              <w:spacing w:line="300" w:lineRule="exact"/>
              <w:ind w:firstLine="0" w:firstLineChars="0"/>
              <w:rPr>
                <w:rFonts w:hint="eastAsia"/>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新建预处理注入站至已建4号采油平台预留阀池空头处的转液管线1.2km，选用</w:t>
            </w:r>
            <w:r>
              <w:rPr>
                <w:rFonts w:cs="宋体"/>
                <w:color w:val="000000" w:themeColor="text1"/>
                <w:sz w:val="21"/>
                <w:szCs w:val="21"/>
                <w14:textFill>
                  <w14:solidFill>
                    <w14:schemeClr w14:val="tx1"/>
                  </w14:solidFill>
                </w14:textFill>
              </w:rPr>
              <w:t xml:space="preserve">DN100 3.5MPa </w:t>
            </w:r>
            <w:r>
              <w:rPr>
                <w:rFonts w:hint="eastAsia" w:cs="宋体"/>
                <w:color w:val="000000" w:themeColor="text1"/>
                <w:sz w:val="21"/>
                <w:szCs w:val="21"/>
                <w14:textFill>
                  <w14:solidFill>
                    <w14:schemeClr w14:val="tx1"/>
                  </w14:solidFill>
                </w14:textFill>
              </w:rPr>
              <w:t>玻璃纤维管线管</w:t>
            </w:r>
            <w:r>
              <w:rPr>
                <w:rFonts w:cs="宋体"/>
                <w:color w:val="000000" w:themeColor="text1"/>
                <w:sz w:val="21"/>
                <w:szCs w:val="21"/>
                <w14:textFill>
                  <w14:solidFill>
                    <w14:schemeClr w14:val="tx1"/>
                  </w14:solidFill>
                </w14:textFill>
              </w:rPr>
              <w:t>(</w:t>
            </w:r>
            <w:r>
              <w:rPr>
                <w:rFonts w:hint="eastAsia" w:cs="宋体"/>
                <w:color w:val="000000" w:themeColor="text1"/>
                <w:sz w:val="21"/>
                <w:szCs w:val="21"/>
                <w14:textFill>
                  <w14:solidFill>
                    <w14:schemeClr w14:val="tx1"/>
                  </w14:solidFill>
                </w14:textFill>
              </w:rPr>
              <w:t>耐温</w:t>
            </w:r>
            <w:r>
              <w:rPr>
                <w:rFonts w:cs="宋体"/>
                <w:color w:val="000000" w:themeColor="text1"/>
                <w:sz w:val="21"/>
                <w:szCs w:val="21"/>
                <w14:textFill>
                  <w14:solidFill>
                    <w14:schemeClr w14:val="tx1"/>
                  </w14:solidFill>
                </w14:textFill>
              </w:rPr>
              <w:t>65</w:t>
            </w:r>
            <w:r>
              <w:rPr>
                <w:rFonts w:hint="eastAsia" w:cs="宋体"/>
                <w:color w:val="000000" w:themeColor="text1"/>
                <w:sz w:val="21"/>
                <w:szCs w:val="21"/>
                <w14:textFill>
                  <w14:solidFill>
                    <w14:schemeClr w14:val="tx1"/>
                  </w14:solidFill>
                </w14:textFill>
              </w:rPr>
              <w:t>℃</w:t>
            </w:r>
            <w:r>
              <w:rPr>
                <w:rFonts w:cs="宋体"/>
                <w:color w:val="000000" w:themeColor="text1"/>
                <w:sz w:val="21"/>
                <w:szCs w:val="21"/>
                <w14:textFill>
                  <w14:solidFill>
                    <w14:schemeClr w14:val="tx1"/>
                  </w14:solidFill>
                </w14:textFill>
              </w:rPr>
              <w:t>)</w:t>
            </w:r>
            <w:r>
              <w:rPr>
                <w:rFonts w:hint="eastAsia" w:cs="宋体"/>
                <w:color w:val="000000" w:themeColor="text1"/>
                <w:sz w:val="21"/>
                <w:szCs w:val="21"/>
                <w14:textFill>
                  <w14:solidFill>
                    <w14:schemeClr w14:val="tx1"/>
                  </w14:solidFill>
                </w14:textFill>
              </w:rPr>
              <w:t>，新建玻璃钢管钢塑转换接头材质选用</w:t>
            </w:r>
            <w:r>
              <w:rPr>
                <w:rFonts w:cs="宋体"/>
                <w:color w:val="000000" w:themeColor="text1"/>
                <w:sz w:val="21"/>
                <w:szCs w:val="21"/>
                <w14:textFill>
                  <w14:solidFill>
                    <w14:schemeClr w14:val="tx1"/>
                  </w14:solidFill>
                </w14:textFill>
              </w:rPr>
              <w:t xml:space="preserve">S31603 </w:t>
            </w:r>
            <w:r>
              <w:rPr>
                <w:rFonts w:hint="eastAsia" w:cs="宋体"/>
                <w:color w:val="000000" w:themeColor="text1"/>
                <w:sz w:val="21"/>
                <w:szCs w:val="21"/>
                <w14:textFill>
                  <w14:solidFill>
                    <w14:schemeClr w14:val="tx1"/>
                  </w14:solidFill>
                </w14:textFill>
              </w:rPr>
              <w:t>不锈钢。</w:t>
            </w:r>
          </w:p>
        </w:tc>
      </w:tr>
      <w:tr w14:paraId="7273F36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407" w:type="pct"/>
            <w:vMerge w:val="restart"/>
            <w:vAlign w:val="center"/>
          </w:tcPr>
          <w:p w14:paraId="3EB08D8B">
            <w:pPr>
              <w:overflowPunct w:val="0"/>
              <w:adjustRightInd w:val="0"/>
              <w:snapToGrid w:val="0"/>
              <w:spacing w:line="300" w:lineRule="exact"/>
              <w:jc w:val="center"/>
              <w:rPr>
                <w:rFonts w:hint="eastAsia" w:ascii="宋体" w:hAnsi="宋体"/>
                <w:snapToGrid w:val="0"/>
                <w:color w:val="000000" w:themeColor="text1"/>
                <w:kern w:val="0"/>
                <w:szCs w:val="21"/>
                <w14:textFill>
                  <w14:solidFill>
                    <w14:schemeClr w14:val="tx1"/>
                  </w14:solidFill>
                </w14:textFill>
              </w:rPr>
            </w:pPr>
            <w:r>
              <w:rPr>
                <w:rFonts w:hint="eastAsia" w:ascii="宋体" w:hAnsi="宋体"/>
                <w:snapToGrid w:val="0"/>
                <w:color w:val="000000" w:themeColor="text1"/>
                <w:kern w:val="0"/>
                <w:szCs w:val="21"/>
                <w14:textFill>
                  <w14:solidFill>
                    <w14:schemeClr w14:val="tx1"/>
                  </w14:solidFill>
                </w14:textFill>
              </w:rPr>
              <w:t>公用</w:t>
            </w:r>
          </w:p>
          <w:p w14:paraId="1632E384">
            <w:pPr>
              <w:overflowPunct w:val="0"/>
              <w:adjustRightInd w:val="0"/>
              <w:snapToGrid w:val="0"/>
              <w:spacing w:line="300" w:lineRule="exact"/>
              <w:jc w:val="center"/>
              <w:rPr>
                <w:rFonts w:hint="eastAsia" w:ascii="宋体" w:hAnsi="宋体"/>
                <w:snapToGrid w:val="0"/>
                <w:color w:val="000000" w:themeColor="text1"/>
                <w:kern w:val="0"/>
                <w:szCs w:val="21"/>
                <w14:textFill>
                  <w14:solidFill>
                    <w14:schemeClr w14:val="tx1"/>
                  </w14:solidFill>
                </w14:textFill>
              </w:rPr>
            </w:pPr>
            <w:r>
              <w:rPr>
                <w:rFonts w:hint="eastAsia" w:ascii="宋体" w:hAnsi="宋体"/>
                <w:snapToGrid w:val="0"/>
                <w:color w:val="000000" w:themeColor="text1"/>
                <w:kern w:val="0"/>
                <w:szCs w:val="21"/>
                <w14:textFill>
                  <w14:solidFill>
                    <w14:schemeClr w14:val="tx1"/>
                  </w14:solidFill>
                </w14:textFill>
              </w:rPr>
              <w:t>工程</w:t>
            </w:r>
          </w:p>
        </w:tc>
        <w:tc>
          <w:tcPr>
            <w:tcW w:w="567" w:type="pct"/>
            <w:vAlign w:val="center"/>
          </w:tcPr>
          <w:p w14:paraId="394F0683">
            <w:pPr>
              <w:adjustRightInd w:val="0"/>
              <w:snapToGrid w:val="0"/>
              <w:spacing w:line="300" w:lineRule="exact"/>
              <w:jc w:val="center"/>
              <w:rPr>
                <w:rFonts w:hint="eastAsia" w:ascii="宋体" w:hAnsi="宋体"/>
                <w:snapToGrid w:val="0"/>
                <w:color w:val="000000" w:themeColor="text1"/>
                <w:kern w:val="0"/>
                <w:szCs w:val="21"/>
                <w14:textFill>
                  <w14:solidFill>
                    <w14:schemeClr w14:val="tx1"/>
                  </w14:solidFill>
                </w14:textFill>
              </w:rPr>
            </w:pPr>
            <w:r>
              <w:rPr>
                <w:rFonts w:hint="eastAsia" w:ascii="宋体" w:hAnsi="宋体" w:cs="宋体"/>
                <w:snapToGrid w:val="0"/>
                <w:color w:val="000000" w:themeColor="text1"/>
                <w:kern w:val="0"/>
                <w:szCs w:val="21"/>
                <w14:textFill>
                  <w14:solidFill>
                    <w14:schemeClr w14:val="tx1"/>
                  </w14:solidFill>
                </w14:textFill>
              </w:rPr>
              <w:t>供配电</w:t>
            </w:r>
          </w:p>
        </w:tc>
        <w:tc>
          <w:tcPr>
            <w:tcW w:w="4026" w:type="pct"/>
            <w:vAlign w:val="center"/>
          </w:tcPr>
          <w:p w14:paraId="27B994FA">
            <w:pPr>
              <w:pStyle w:val="117"/>
              <w:adjustRightInd w:val="0"/>
              <w:snapToGrid w:val="0"/>
              <w:spacing w:line="300" w:lineRule="exact"/>
              <w:ind w:firstLine="0" w:firstLineChars="0"/>
              <w:rPr>
                <w:rFonts w:hint="eastAsia" w:cs="宋体"/>
                <w:color w:val="000000" w:themeColor="text1"/>
                <w:kern w:val="0"/>
                <w:sz w:val="21"/>
                <w:szCs w:val="21"/>
                <w14:textFill>
                  <w14:solidFill>
                    <w14:schemeClr w14:val="tx1"/>
                  </w14:solidFill>
                </w14:textFill>
              </w:rPr>
            </w:pPr>
            <w:r>
              <w:rPr>
                <w:rFonts w:hint="eastAsia" w:cs="宋体"/>
                <w:color w:val="000000" w:themeColor="text1"/>
                <w:kern w:val="0"/>
                <w:sz w:val="21"/>
                <w:szCs w:val="21"/>
                <w14:textFill>
                  <w14:solidFill>
                    <w14:schemeClr w14:val="tx1"/>
                  </w14:solidFill>
                </w14:textFill>
              </w:rPr>
              <w:t>集油区用电负荷为三级负荷，预处理注入站用电负荷以二级负荷为主，站内仪控用电负荷为重要负荷，采用UPS供电；用电负荷电压等级为AC10/0.38/0.22kV。年有功耗电量为521×10</w:t>
            </w:r>
            <w:r>
              <w:rPr>
                <w:rFonts w:hint="eastAsia" w:cs="宋体"/>
                <w:color w:val="000000" w:themeColor="text1"/>
                <w:kern w:val="0"/>
                <w:sz w:val="21"/>
                <w:szCs w:val="21"/>
                <w:vertAlign w:val="superscript"/>
                <w14:textFill>
                  <w14:solidFill>
                    <w14:schemeClr w14:val="tx1"/>
                  </w14:solidFill>
                </w14:textFill>
              </w:rPr>
              <w:t>4</w:t>
            </w:r>
            <w:r>
              <w:rPr>
                <w:rFonts w:hint="eastAsia" w:cs="宋体"/>
                <w:color w:val="000000" w:themeColor="text1"/>
                <w:kern w:val="0"/>
                <w:sz w:val="21"/>
                <w:szCs w:val="21"/>
                <w14:textFill>
                  <w14:solidFill>
                    <w14:schemeClr w14:val="tx1"/>
                  </w14:solidFill>
                </w14:textFill>
              </w:rPr>
              <w:t>（kW</w:t>
            </w:r>
            <w:r>
              <w:rPr>
                <w:rFonts w:hint="eastAsia" w:ascii="微软雅黑" w:hAnsi="微软雅黑" w:eastAsia="微软雅黑" w:cs="微软雅黑"/>
                <w:color w:val="000000" w:themeColor="text1"/>
                <w:kern w:val="0"/>
                <w:sz w:val="21"/>
                <w:szCs w:val="21"/>
                <w14:textFill>
                  <w14:solidFill>
                    <w14:schemeClr w14:val="tx1"/>
                  </w14:solidFill>
                </w14:textFill>
              </w:rPr>
              <w:t>▪</w:t>
            </w:r>
            <w:r>
              <w:rPr>
                <w:rFonts w:hint="eastAsia" w:cs="宋体"/>
                <w:color w:val="000000" w:themeColor="text1"/>
                <w:kern w:val="0"/>
                <w:sz w:val="21"/>
                <w:szCs w:val="21"/>
                <w14:textFill>
                  <w14:solidFill>
                    <w14:schemeClr w14:val="tx1"/>
                  </w14:solidFill>
                </w14:textFill>
              </w:rPr>
              <w:t>h）。</w:t>
            </w:r>
          </w:p>
          <w:p w14:paraId="1594F5F1">
            <w:pPr>
              <w:pStyle w:val="117"/>
              <w:adjustRightInd w:val="0"/>
              <w:snapToGrid w:val="0"/>
              <w:spacing w:line="300" w:lineRule="exact"/>
              <w:ind w:firstLine="0" w:firstLineChars="0"/>
              <w:rPr>
                <w:rFonts w:hint="eastAsia" w:cs="宋体"/>
                <w:color w:val="000000" w:themeColor="text1"/>
                <w:kern w:val="0"/>
                <w:sz w:val="21"/>
                <w:szCs w:val="21"/>
                <w14:textFill>
                  <w14:solidFill>
                    <w14:schemeClr w14:val="tx1"/>
                  </w14:solidFill>
                </w14:textFill>
              </w:rPr>
            </w:pPr>
            <w:r>
              <w:rPr>
                <w:rFonts w:cs="宋体"/>
                <w:color w:val="000000" w:themeColor="text1"/>
                <w:kern w:val="0"/>
                <w:sz w:val="21"/>
                <w:szCs w:val="21"/>
                <w14:textFill>
                  <w14:solidFill>
                    <w14:schemeClr w14:val="tx1"/>
                  </w14:solidFill>
                </w14:textFill>
              </w:rPr>
              <w:t>JHW035</w:t>
            </w:r>
            <w:r>
              <w:rPr>
                <w:rFonts w:hint="eastAsia" w:cs="宋体"/>
                <w:color w:val="000000" w:themeColor="text1"/>
                <w:kern w:val="0"/>
                <w:sz w:val="21"/>
                <w:szCs w:val="21"/>
                <w14:textFill>
                  <w14:solidFill>
                    <w14:schemeClr w14:val="tx1"/>
                  </w14:solidFill>
                </w14:textFill>
              </w:rPr>
              <w:t>、</w:t>
            </w:r>
            <w:r>
              <w:rPr>
                <w:rFonts w:cs="宋体"/>
                <w:color w:val="000000" w:themeColor="text1"/>
                <w:kern w:val="0"/>
                <w:sz w:val="21"/>
                <w:szCs w:val="21"/>
                <w14:textFill>
                  <w14:solidFill>
                    <w14:schemeClr w14:val="tx1"/>
                  </w14:solidFill>
                </w14:textFill>
              </w:rPr>
              <w:t>JHW036</w:t>
            </w:r>
            <w:r>
              <w:rPr>
                <w:rFonts w:hint="eastAsia" w:cs="宋体"/>
                <w:color w:val="000000" w:themeColor="text1"/>
                <w:kern w:val="0"/>
                <w:sz w:val="21"/>
                <w:szCs w:val="21"/>
                <w14:textFill>
                  <w14:solidFill>
                    <w14:schemeClr w14:val="tx1"/>
                  </w14:solidFill>
                </w14:textFill>
              </w:rPr>
              <w:t>、</w:t>
            </w:r>
            <w:r>
              <w:rPr>
                <w:rFonts w:cs="宋体"/>
                <w:color w:val="000000" w:themeColor="text1"/>
                <w:kern w:val="0"/>
                <w:sz w:val="21"/>
                <w:szCs w:val="21"/>
                <w14:textFill>
                  <w14:solidFill>
                    <w14:schemeClr w14:val="tx1"/>
                  </w14:solidFill>
                </w14:textFill>
              </w:rPr>
              <w:t>JHW00526</w:t>
            </w:r>
            <w:r>
              <w:rPr>
                <w:rFonts w:hint="eastAsia" w:cs="宋体"/>
                <w:color w:val="000000" w:themeColor="text1"/>
                <w:kern w:val="0"/>
                <w:sz w:val="21"/>
                <w:szCs w:val="21"/>
                <w14:textFill>
                  <w14:solidFill>
                    <w14:schemeClr w14:val="tx1"/>
                  </w14:solidFill>
                </w14:textFill>
              </w:rPr>
              <w:t>、</w:t>
            </w:r>
            <w:r>
              <w:rPr>
                <w:rFonts w:cs="宋体"/>
                <w:color w:val="000000" w:themeColor="text1"/>
                <w:kern w:val="0"/>
                <w:sz w:val="21"/>
                <w:szCs w:val="21"/>
                <w14:textFill>
                  <w14:solidFill>
                    <w14:schemeClr w14:val="tx1"/>
                  </w14:solidFill>
                </w14:textFill>
              </w:rPr>
              <w:t>JHW033</w:t>
            </w:r>
            <w:r>
              <w:rPr>
                <w:rFonts w:hint="eastAsia" w:cs="宋体"/>
                <w:color w:val="000000" w:themeColor="text1"/>
                <w:kern w:val="0"/>
                <w:sz w:val="21"/>
                <w:szCs w:val="21"/>
                <w14:textFill>
                  <w14:solidFill>
                    <w14:schemeClr w14:val="tx1"/>
                  </w14:solidFill>
                </w14:textFill>
              </w:rPr>
              <w:t>井将已建杆架式变电站变压器容量均调整为</w:t>
            </w:r>
            <w:r>
              <w:rPr>
                <w:rFonts w:cs="宋体"/>
                <w:color w:val="000000" w:themeColor="text1"/>
                <w:kern w:val="0"/>
                <w:sz w:val="21"/>
                <w:szCs w:val="21"/>
                <w14:textFill>
                  <w14:solidFill>
                    <w14:schemeClr w14:val="tx1"/>
                  </w14:solidFill>
                </w14:textFill>
              </w:rPr>
              <w:t>250kVA</w:t>
            </w:r>
            <w:r>
              <w:rPr>
                <w:rFonts w:hint="eastAsia" w:cs="宋体"/>
                <w:color w:val="000000" w:themeColor="text1"/>
                <w:kern w:val="0"/>
                <w:sz w:val="21"/>
                <w:szCs w:val="21"/>
                <w14:textFill>
                  <w14:solidFill>
                    <w14:schemeClr w14:val="tx1"/>
                  </w14:solidFill>
                </w14:textFill>
              </w:rPr>
              <w:t>，变压器采用二级能效型变压器，电源引接自原有</w:t>
            </w:r>
            <w:r>
              <w:rPr>
                <w:rFonts w:cs="宋体"/>
                <w:color w:val="000000" w:themeColor="text1"/>
                <w:kern w:val="0"/>
                <w:sz w:val="21"/>
                <w:szCs w:val="21"/>
                <w14:textFill>
                  <w14:solidFill>
                    <w14:schemeClr w14:val="tx1"/>
                  </w14:solidFill>
                </w14:textFill>
              </w:rPr>
              <w:t>10kV</w:t>
            </w:r>
            <w:r>
              <w:rPr>
                <w:rFonts w:hint="eastAsia" w:cs="宋体"/>
                <w:color w:val="000000" w:themeColor="text1"/>
                <w:kern w:val="0"/>
                <w:sz w:val="21"/>
                <w:szCs w:val="21"/>
                <w14:textFill>
                  <w14:solidFill>
                    <w14:schemeClr w14:val="tx1"/>
                  </w14:solidFill>
                </w14:textFill>
              </w:rPr>
              <w:t>架空线路并更换配电箱，其余井更换配电箱。</w:t>
            </w:r>
          </w:p>
          <w:p w14:paraId="0EABDE18">
            <w:pPr>
              <w:pStyle w:val="117"/>
              <w:adjustRightInd w:val="0"/>
              <w:snapToGrid w:val="0"/>
              <w:spacing w:line="300" w:lineRule="exact"/>
              <w:ind w:firstLine="0" w:firstLineChars="0"/>
              <w:rPr>
                <w:rFonts w:hint="eastAsia"/>
                <w:snapToGrid w:val="0"/>
                <w:color w:val="000000" w:themeColor="text1"/>
                <w:sz w:val="21"/>
                <w:szCs w:val="21"/>
                <w14:textFill>
                  <w14:solidFill>
                    <w14:schemeClr w14:val="tx1"/>
                  </w14:solidFill>
                </w14:textFill>
              </w:rPr>
            </w:pPr>
            <w:r>
              <w:rPr>
                <w:rFonts w:hint="eastAsia" w:cs="宋体"/>
                <w:color w:val="000000" w:themeColor="text1"/>
                <w:kern w:val="0"/>
                <w:sz w:val="21"/>
                <w:szCs w:val="21"/>
                <w14:textFill>
                  <w14:solidFill>
                    <w14:schemeClr w14:val="tx1"/>
                  </w14:solidFill>
                </w14:textFill>
              </w:rPr>
              <w:t>预处理注入站区内设置</w:t>
            </w:r>
            <w:r>
              <w:rPr>
                <w:rFonts w:cs="宋体"/>
                <w:color w:val="000000" w:themeColor="text1"/>
                <w:kern w:val="0"/>
                <w:sz w:val="21"/>
                <w:szCs w:val="21"/>
                <w14:textFill>
                  <w14:solidFill>
                    <w14:schemeClr w14:val="tx1"/>
                  </w14:solidFill>
                </w14:textFill>
              </w:rPr>
              <w:t>1</w:t>
            </w:r>
            <w:r>
              <w:rPr>
                <w:rFonts w:hint="eastAsia" w:cs="宋体"/>
                <w:color w:val="000000" w:themeColor="text1"/>
                <w:kern w:val="0"/>
                <w:sz w:val="21"/>
                <w:szCs w:val="21"/>
                <w14:textFill>
                  <w14:solidFill>
                    <w14:schemeClr w14:val="tx1"/>
                  </w14:solidFill>
                </w14:textFill>
              </w:rPr>
              <w:t>座</w:t>
            </w:r>
            <w:r>
              <w:rPr>
                <w:rFonts w:cs="宋体"/>
                <w:color w:val="000000" w:themeColor="text1"/>
                <w:kern w:val="0"/>
                <w:sz w:val="21"/>
                <w:szCs w:val="21"/>
                <w14:textFill>
                  <w14:solidFill>
                    <w14:schemeClr w14:val="tx1"/>
                  </w14:solidFill>
                </w14:textFill>
              </w:rPr>
              <w:t>10/0.4kV</w:t>
            </w:r>
            <w:r>
              <w:rPr>
                <w:rFonts w:hint="eastAsia" w:cs="宋体"/>
                <w:color w:val="000000" w:themeColor="text1"/>
                <w:kern w:val="0"/>
                <w:sz w:val="21"/>
                <w:szCs w:val="21"/>
                <w14:textFill>
                  <w14:solidFill>
                    <w14:schemeClr w14:val="tx1"/>
                  </w14:solidFill>
                </w14:textFill>
              </w:rPr>
              <w:t>预装式变电站，内含</w:t>
            </w:r>
            <w:r>
              <w:rPr>
                <w:rFonts w:cs="宋体"/>
                <w:color w:val="000000" w:themeColor="text1"/>
                <w:kern w:val="0"/>
                <w:sz w:val="21"/>
                <w:szCs w:val="21"/>
                <w14:textFill>
                  <w14:solidFill>
                    <w14:schemeClr w14:val="tx1"/>
                  </w14:solidFill>
                </w14:textFill>
              </w:rPr>
              <w:t>1</w:t>
            </w:r>
            <w:r>
              <w:rPr>
                <w:rFonts w:hint="eastAsia" w:cs="宋体"/>
                <w:color w:val="000000" w:themeColor="text1"/>
                <w:kern w:val="0"/>
                <w:sz w:val="21"/>
                <w:szCs w:val="21"/>
                <w14:textFill>
                  <w14:solidFill>
                    <w14:schemeClr w14:val="tx1"/>
                  </w14:solidFill>
                </w14:textFill>
              </w:rPr>
              <w:t>间</w:t>
            </w:r>
            <w:r>
              <w:rPr>
                <w:rFonts w:cs="宋体"/>
                <w:color w:val="000000" w:themeColor="text1"/>
                <w:kern w:val="0"/>
                <w:sz w:val="21"/>
                <w:szCs w:val="21"/>
                <w14:textFill>
                  <w14:solidFill>
                    <w14:schemeClr w14:val="tx1"/>
                  </w14:solidFill>
                </w14:textFill>
              </w:rPr>
              <w:t>10kV</w:t>
            </w:r>
            <w:r>
              <w:rPr>
                <w:rFonts w:hint="eastAsia" w:cs="宋体"/>
                <w:color w:val="000000" w:themeColor="text1"/>
                <w:kern w:val="0"/>
                <w:sz w:val="21"/>
                <w:szCs w:val="21"/>
                <w14:textFill>
                  <w14:solidFill>
                    <w14:schemeClr w14:val="tx1"/>
                  </w14:solidFill>
                </w14:textFill>
              </w:rPr>
              <w:t>配电室、</w:t>
            </w:r>
            <w:r>
              <w:rPr>
                <w:rFonts w:cs="宋体"/>
                <w:color w:val="000000" w:themeColor="text1"/>
                <w:kern w:val="0"/>
                <w:sz w:val="21"/>
                <w:szCs w:val="21"/>
                <w14:textFill>
                  <w14:solidFill>
                    <w14:schemeClr w14:val="tx1"/>
                  </w14:solidFill>
                </w14:textFill>
              </w:rPr>
              <w:t>2</w:t>
            </w:r>
            <w:r>
              <w:rPr>
                <w:rFonts w:hint="eastAsia" w:cs="宋体"/>
                <w:color w:val="000000" w:themeColor="text1"/>
                <w:kern w:val="0"/>
                <w:sz w:val="21"/>
                <w:szCs w:val="21"/>
                <w14:textFill>
                  <w14:solidFill>
                    <w14:schemeClr w14:val="tx1"/>
                  </w14:solidFill>
                </w14:textFill>
              </w:rPr>
              <w:t>间变压器室、</w:t>
            </w:r>
            <w:r>
              <w:rPr>
                <w:rFonts w:cs="宋体"/>
                <w:color w:val="000000" w:themeColor="text1"/>
                <w:kern w:val="0"/>
                <w:sz w:val="21"/>
                <w:szCs w:val="21"/>
                <w14:textFill>
                  <w14:solidFill>
                    <w14:schemeClr w14:val="tx1"/>
                  </w14:solidFill>
                </w14:textFill>
              </w:rPr>
              <w:t>1</w:t>
            </w:r>
            <w:r>
              <w:rPr>
                <w:rFonts w:hint="eastAsia" w:cs="宋体"/>
                <w:color w:val="000000" w:themeColor="text1"/>
                <w:kern w:val="0"/>
                <w:sz w:val="21"/>
                <w:szCs w:val="21"/>
                <w14:textFill>
                  <w14:solidFill>
                    <w14:schemeClr w14:val="tx1"/>
                  </w14:solidFill>
                </w14:textFill>
              </w:rPr>
              <w:t>间</w:t>
            </w:r>
            <w:r>
              <w:rPr>
                <w:rFonts w:cs="宋体"/>
                <w:color w:val="000000" w:themeColor="text1"/>
                <w:kern w:val="0"/>
                <w:sz w:val="21"/>
                <w:szCs w:val="21"/>
                <w14:textFill>
                  <w14:solidFill>
                    <w14:schemeClr w14:val="tx1"/>
                  </w14:solidFill>
                </w14:textFill>
              </w:rPr>
              <w:t>0.4kV</w:t>
            </w:r>
            <w:r>
              <w:rPr>
                <w:rFonts w:hint="eastAsia" w:cs="宋体"/>
                <w:color w:val="000000" w:themeColor="text1"/>
                <w:kern w:val="0"/>
                <w:sz w:val="21"/>
                <w:szCs w:val="21"/>
                <w14:textFill>
                  <w14:solidFill>
                    <w14:schemeClr w14:val="tx1"/>
                  </w14:solidFill>
                </w14:textFill>
              </w:rPr>
              <w:t>配电室，新建</w:t>
            </w:r>
            <w:r>
              <w:rPr>
                <w:rFonts w:cs="宋体"/>
                <w:color w:val="000000" w:themeColor="text1"/>
                <w:kern w:val="0"/>
                <w:sz w:val="21"/>
                <w:szCs w:val="21"/>
                <w14:textFill>
                  <w14:solidFill>
                    <w14:schemeClr w14:val="tx1"/>
                  </w14:solidFill>
                </w14:textFill>
              </w:rPr>
              <w:t>10kV</w:t>
            </w:r>
            <w:r>
              <w:rPr>
                <w:rFonts w:hint="eastAsia" w:cs="宋体"/>
                <w:color w:val="000000" w:themeColor="text1"/>
                <w:kern w:val="0"/>
                <w:sz w:val="21"/>
                <w:szCs w:val="21"/>
                <w14:textFill>
                  <w14:solidFill>
                    <w14:schemeClr w14:val="tx1"/>
                  </w14:solidFill>
                </w14:textFill>
              </w:rPr>
              <w:t>架空线路长度约为</w:t>
            </w:r>
            <w:r>
              <w:rPr>
                <w:rFonts w:cs="宋体"/>
                <w:color w:val="000000" w:themeColor="text1"/>
                <w:kern w:val="0"/>
                <w:sz w:val="21"/>
                <w:szCs w:val="21"/>
                <w14:textFill>
                  <w14:solidFill>
                    <w14:schemeClr w14:val="tx1"/>
                  </w14:solidFill>
                </w14:textFill>
              </w:rPr>
              <w:t>5.3km</w:t>
            </w:r>
            <w:r>
              <w:rPr>
                <w:rFonts w:hint="eastAsia" w:cs="宋体"/>
                <w:color w:val="000000" w:themeColor="text1"/>
                <w:kern w:val="0"/>
                <w:sz w:val="21"/>
                <w:szCs w:val="21"/>
                <w14:textFill>
                  <w14:solidFill>
                    <w14:schemeClr w14:val="tx1"/>
                  </w14:solidFill>
                </w14:textFill>
              </w:rPr>
              <w:t>，导线采用</w:t>
            </w:r>
            <w:r>
              <w:rPr>
                <w:rFonts w:cs="宋体"/>
                <w:color w:val="000000" w:themeColor="text1"/>
                <w:kern w:val="0"/>
                <w:sz w:val="21"/>
                <w:szCs w:val="21"/>
                <w14:textFill>
                  <w14:solidFill>
                    <w14:schemeClr w14:val="tx1"/>
                  </w14:solidFill>
                </w14:textFill>
              </w:rPr>
              <w:t>JL/G1A-95/20</w:t>
            </w:r>
            <w:r>
              <w:rPr>
                <w:rFonts w:hint="eastAsia" w:cs="宋体"/>
                <w:color w:val="000000" w:themeColor="text1"/>
                <w:kern w:val="0"/>
                <w:sz w:val="21"/>
                <w:szCs w:val="21"/>
                <w14:textFill>
                  <w14:solidFill>
                    <w14:schemeClr w14:val="tx1"/>
                  </w14:solidFill>
                </w14:textFill>
              </w:rPr>
              <w:t>，线路距离为</w:t>
            </w:r>
            <w:r>
              <w:rPr>
                <w:rFonts w:cs="宋体"/>
                <w:color w:val="000000" w:themeColor="text1"/>
                <w:kern w:val="0"/>
                <w:sz w:val="21"/>
                <w:szCs w:val="21"/>
                <w14:textFill>
                  <w14:solidFill>
                    <w14:schemeClr w14:val="tx1"/>
                  </w14:solidFill>
                </w14:textFill>
              </w:rPr>
              <w:t>45</w:t>
            </w:r>
            <w:r>
              <w:rPr>
                <w:rFonts w:hint="eastAsia" w:cs="宋体"/>
                <w:color w:val="000000" w:themeColor="text1"/>
                <w:kern w:val="0"/>
                <w:sz w:val="21"/>
                <w:szCs w:val="21"/>
                <w14:textFill>
                  <w14:solidFill>
                    <w14:schemeClr w14:val="tx1"/>
                  </w14:solidFill>
                </w14:textFill>
              </w:rPr>
              <w:t>～</w:t>
            </w:r>
            <w:r>
              <w:rPr>
                <w:rFonts w:cs="宋体"/>
                <w:color w:val="000000" w:themeColor="text1"/>
                <w:kern w:val="0"/>
                <w:sz w:val="21"/>
                <w:szCs w:val="21"/>
                <w14:textFill>
                  <w14:solidFill>
                    <w14:schemeClr w14:val="tx1"/>
                  </w14:solidFill>
                </w14:textFill>
              </w:rPr>
              <w:t>55m</w:t>
            </w:r>
            <w:r>
              <w:rPr>
                <w:rFonts w:hint="eastAsia" w:cs="宋体"/>
                <w:color w:val="000000" w:themeColor="text1"/>
                <w:kern w:val="0"/>
                <w:sz w:val="21"/>
                <w:szCs w:val="21"/>
                <w14:textFill>
                  <w14:solidFill>
                    <w14:schemeClr w14:val="tx1"/>
                  </w14:solidFill>
                </w14:textFill>
              </w:rPr>
              <w:t>，采用复合绝缘子。</w:t>
            </w:r>
          </w:p>
        </w:tc>
      </w:tr>
      <w:tr w14:paraId="5588B43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407" w:type="pct"/>
            <w:vMerge w:val="continue"/>
            <w:vAlign w:val="center"/>
          </w:tcPr>
          <w:p w14:paraId="654D37C4">
            <w:pPr>
              <w:overflowPunct w:val="0"/>
              <w:adjustRightInd w:val="0"/>
              <w:snapToGrid w:val="0"/>
              <w:spacing w:line="300" w:lineRule="exact"/>
              <w:jc w:val="center"/>
              <w:rPr>
                <w:rFonts w:hint="eastAsia" w:ascii="宋体" w:hAnsi="宋体"/>
                <w:snapToGrid w:val="0"/>
                <w:color w:val="000000" w:themeColor="text1"/>
                <w:kern w:val="0"/>
                <w:szCs w:val="21"/>
                <w14:textFill>
                  <w14:solidFill>
                    <w14:schemeClr w14:val="tx1"/>
                  </w14:solidFill>
                </w14:textFill>
              </w:rPr>
            </w:pPr>
          </w:p>
        </w:tc>
        <w:tc>
          <w:tcPr>
            <w:tcW w:w="567" w:type="pct"/>
            <w:vAlign w:val="center"/>
          </w:tcPr>
          <w:p w14:paraId="5E613E88">
            <w:pPr>
              <w:pStyle w:val="117"/>
              <w:adjustRightInd w:val="0"/>
              <w:snapToGrid w:val="0"/>
              <w:spacing w:line="300" w:lineRule="exact"/>
              <w:ind w:firstLine="0" w:firstLineChars="0"/>
              <w:jc w:val="center"/>
              <w:rPr>
                <w:rFonts w:hint="eastAsia"/>
                <w:snapToGrid w:val="0"/>
                <w:color w:val="000000" w:themeColor="text1"/>
                <w:kern w:val="0"/>
                <w:sz w:val="21"/>
                <w:szCs w:val="21"/>
                <w14:textFill>
                  <w14:solidFill>
                    <w14:schemeClr w14:val="tx1"/>
                  </w14:solidFill>
                </w14:textFill>
              </w:rPr>
            </w:pPr>
            <w:r>
              <w:rPr>
                <w:rFonts w:hint="eastAsia" w:cs="宋体"/>
                <w:snapToGrid w:val="0"/>
                <w:color w:val="000000" w:themeColor="text1"/>
                <w:kern w:val="0"/>
                <w:sz w:val="21"/>
                <w:szCs w:val="21"/>
                <w14:textFill>
                  <w14:solidFill>
                    <w14:schemeClr w14:val="tx1"/>
                  </w14:solidFill>
                </w14:textFill>
              </w:rPr>
              <w:t>给排水</w:t>
            </w:r>
          </w:p>
        </w:tc>
        <w:tc>
          <w:tcPr>
            <w:tcW w:w="4026" w:type="pct"/>
            <w:vAlign w:val="center"/>
          </w:tcPr>
          <w:p w14:paraId="53A8C990">
            <w:pPr>
              <w:pStyle w:val="117"/>
              <w:adjustRightInd w:val="0"/>
              <w:snapToGrid w:val="0"/>
              <w:spacing w:line="300" w:lineRule="exact"/>
              <w:ind w:firstLine="0" w:firstLineChars="0"/>
              <w:rPr>
                <w:rFonts w:hint="eastAsia" w:cs="宋体"/>
                <w:color w:val="000000" w:themeColor="text1"/>
                <w:kern w:val="0"/>
                <w:sz w:val="21"/>
                <w:szCs w:val="21"/>
                <w14:textFill>
                  <w14:solidFill>
                    <w14:schemeClr w14:val="tx1"/>
                  </w14:solidFill>
                </w14:textFill>
              </w:rPr>
            </w:pPr>
            <w:r>
              <w:rPr>
                <w:rFonts w:hint="eastAsia" w:cs="宋体"/>
                <w:color w:val="000000" w:themeColor="text1"/>
                <w:kern w:val="0"/>
                <w:sz w:val="21"/>
                <w:szCs w:val="21"/>
                <w14:textFill>
                  <w14:solidFill>
                    <w14:schemeClr w14:val="tx1"/>
                  </w14:solidFill>
                </w14:textFill>
              </w:rPr>
              <w:t>施工期给水主要为管道试压用水、混凝土养护用水和洗井用水；运营期用水主要为生活用水和井下作业用水。井区位于荒漠地区，周围无成熟的供水管网，用水由罐车</w:t>
            </w:r>
            <w:r>
              <w:rPr>
                <w:rFonts w:hint="eastAsia" w:cs="宋体"/>
                <w:snapToGrid w:val="0"/>
                <w:color w:val="000000" w:themeColor="text1"/>
                <w:kern w:val="0"/>
                <w:sz w:val="21"/>
                <w:szCs w:val="21"/>
                <w14:textFill>
                  <w14:solidFill>
                    <w14:schemeClr w14:val="tx1"/>
                  </w14:solidFill>
                </w14:textFill>
              </w:rPr>
              <w:t>从周边村庄供水点拉运。</w:t>
            </w:r>
          </w:p>
          <w:p w14:paraId="0D497135">
            <w:pPr>
              <w:pStyle w:val="117"/>
              <w:adjustRightInd w:val="0"/>
              <w:snapToGrid w:val="0"/>
              <w:spacing w:line="300" w:lineRule="exact"/>
              <w:ind w:firstLine="0" w:firstLineChars="0"/>
              <w:rPr>
                <w:rFonts w:hint="eastAsia"/>
                <w:snapToGrid w:val="0"/>
                <w:color w:val="000000" w:themeColor="text1"/>
                <w:kern w:val="0"/>
                <w:sz w:val="21"/>
                <w:szCs w:val="21"/>
                <w14:textFill>
                  <w14:solidFill>
                    <w14:schemeClr w14:val="tx1"/>
                  </w14:solidFill>
                </w14:textFill>
              </w:rPr>
            </w:pPr>
            <w:r>
              <w:rPr>
                <w:rFonts w:hint="eastAsia" w:cs="宋体"/>
                <w:color w:val="000000" w:themeColor="text1"/>
                <w:kern w:val="0"/>
                <w:sz w:val="21"/>
                <w:szCs w:val="21"/>
                <w14:textFill>
                  <w14:solidFill>
                    <w14:schemeClr w14:val="tx1"/>
                  </w14:solidFill>
                </w14:textFill>
              </w:rPr>
              <w:t>施工期排水主要为混凝土养护废水、管道试压废水和洗井废水，管道试压废水和混凝土养护废水的污染物主要为悬浮物，用于项目区的洒水抑尘；洗井废水由罐车拉运至压裂返排液处理装置处理。运营期排水主要为洗井废水、井下作业废液和生活污水，洗井废水和井下作业废液由罐车拉运至页岩油联合站压裂返排液处理系统处理，经处理后出水水质满足</w:t>
            </w:r>
            <w:r>
              <w:rPr>
                <w:rFonts w:hint="eastAsia"/>
                <w:color w:val="000000" w:themeColor="text1"/>
                <w:sz w:val="21"/>
                <w:szCs w:val="21"/>
                <w:lang w:val="zh-CN"/>
                <w14:textFill>
                  <w14:solidFill>
                    <w14:schemeClr w14:val="tx1"/>
                  </w14:solidFill>
                </w14:textFill>
              </w:rPr>
              <w:t>《压裂酸化返排液处理技术规范》（Q/SY02012-2016）</w:t>
            </w:r>
            <w:r>
              <w:rPr>
                <w:rFonts w:hint="eastAsia" w:cs="宋体"/>
                <w:color w:val="000000" w:themeColor="text1"/>
                <w:kern w:val="0"/>
                <w:sz w:val="21"/>
                <w:szCs w:val="21"/>
                <w14:textFill>
                  <w14:solidFill>
                    <w14:schemeClr w14:val="tx1"/>
                  </w14:solidFill>
                </w14:textFill>
              </w:rPr>
              <w:t>中相关标准后，用于压裂液复配，不外排。生活污水送至吉木萨尔县污水处理厂处理。</w:t>
            </w:r>
          </w:p>
        </w:tc>
      </w:tr>
      <w:tr w14:paraId="694346F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407" w:type="pct"/>
            <w:vMerge w:val="continue"/>
            <w:vAlign w:val="center"/>
          </w:tcPr>
          <w:p w14:paraId="78760056">
            <w:pPr>
              <w:overflowPunct w:val="0"/>
              <w:adjustRightInd w:val="0"/>
              <w:snapToGrid w:val="0"/>
              <w:spacing w:line="300" w:lineRule="exact"/>
              <w:jc w:val="center"/>
              <w:rPr>
                <w:rFonts w:hint="eastAsia" w:ascii="宋体" w:hAnsi="宋体"/>
                <w:snapToGrid w:val="0"/>
                <w:color w:val="000000" w:themeColor="text1"/>
                <w:kern w:val="0"/>
                <w:szCs w:val="21"/>
                <w14:textFill>
                  <w14:solidFill>
                    <w14:schemeClr w14:val="tx1"/>
                  </w14:solidFill>
                </w14:textFill>
              </w:rPr>
            </w:pPr>
          </w:p>
        </w:tc>
        <w:tc>
          <w:tcPr>
            <w:tcW w:w="567" w:type="pct"/>
            <w:vAlign w:val="center"/>
          </w:tcPr>
          <w:p w14:paraId="61F7CE17">
            <w:pPr>
              <w:pStyle w:val="117"/>
              <w:adjustRightInd w:val="0"/>
              <w:snapToGrid w:val="0"/>
              <w:spacing w:line="300" w:lineRule="exact"/>
              <w:ind w:firstLine="0" w:firstLineChars="0"/>
              <w:jc w:val="center"/>
              <w:rPr>
                <w:rFonts w:hint="eastAsia"/>
                <w:snapToGrid w:val="0"/>
                <w:color w:val="000000" w:themeColor="text1"/>
                <w:kern w:val="0"/>
                <w:sz w:val="21"/>
                <w:szCs w:val="21"/>
                <w14:textFill>
                  <w14:solidFill>
                    <w14:schemeClr w14:val="tx1"/>
                  </w14:solidFill>
                </w14:textFill>
              </w:rPr>
            </w:pPr>
            <w:r>
              <w:rPr>
                <w:rFonts w:hint="eastAsia" w:cs="宋体"/>
                <w:snapToGrid w:val="0"/>
                <w:color w:val="000000" w:themeColor="text1"/>
                <w:kern w:val="0"/>
                <w:sz w:val="21"/>
                <w:szCs w:val="21"/>
                <w14:textFill>
                  <w14:solidFill>
                    <w14:schemeClr w14:val="tx1"/>
                  </w14:solidFill>
                </w14:textFill>
              </w:rPr>
              <w:t>仪表自动化</w:t>
            </w:r>
          </w:p>
        </w:tc>
        <w:tc>
          <w:tcPr>
            <w:tcW w:w="4026" w:type="pct"/>
            <w:vAlign w:val="center"/>
          </w:tcPr>
          <w:p w14:paraId="7AAA2317">
            <w:pPr>
              <w:pStyle w:val="117"/>
              <w:adjustRightInd w:val="0"/>
              <w:snapToGrid w:val="0"/>
              <w:spacing w:line="300" w:lineRule="exact"/>
              <w:ind w:firstLine="0" w:firstLineChars="0"/>
              <w:rPr>
                <w:rFonts w:hint="eastAsia" w:cs="宋体"/>
                <w:color w:val="000000" w:themeColor="text1"/>
                <w:kern w:val="0"/>
                <w:sz w:val="21"/>
                <w:szCs w:val="21"/>
                <w14:textFill>
                  <w14:solidFill>
                    <w14:schemeClr w14:val="tx1"/>
                  </w14:solidFill>
                </w14:textFill>
              </w:rPr>
            </w:pPr>
            <w:r>
              <w:rPr>
                <w:rFonts w:hint="eastAsia" w:cs="宋体"/>
                <w:color w:val="000000" w:themeColor="text1"/>
                <w:kern w:val="0"/>
                <w:sz w:val="21"/>
                <w:szCs w:val="21"/>
                <w14:textFill>
                  <w14:solidFill>
                    <w14:schemeClr w14:val="tx1"/>
                  </w14:solidFill>
                </w14:textFill>
              </w:rPr>
              <w:t>采油井场采用“</w:t>
            </w:r>
            <w:r>
              <w:rPr>
                <w:rFonts w:cs="宋体"/>
                <w:color w:val="000000" w:themeColor="text1"/>
                <w:kern w:val="0"/>
                <w:sz w:val="21"/>
                <w:szCs w:val="21"/>
                <w14:textFill>
                  <w14:solidFill>
                    <w14:schemeClr w14:val="tx1"/>
                  </w14:solidFill>
                </w14:textFill>
              </w:rPr>
              <w:t>LoRa+2.0</w:t>
            </w:r>
            <w:r>
              <w:rPr>
                <w:rFonts w:hint="eastAsia" w:cs="宋体"/>
                <w:color w:val="000000" w:themeColor="text1"/>
                <w:kern w:val="0"/>
                <w:sz w:val="21"/>
                <w:szCs w:val="21"/>
                <w14:textFill>
                  <w14:solidFill>
                    <w14:schemeClr w14:val="tx1"/>
                  </w14:solidFill>
                </w14:textFill>
              </w:rPr>
              <w:t>”协议的无线仪表</w:t>
            </w:r>
            <w:r>
              <w:rPr>
                <w:rFonts w:cs="宋体"/>
                <w:color w:val="000000" w:themeColor="text1"/>
                <w:kern w:val="0"/>
                <w:sz w:val="21"/>
                <w:szCs w:val="21"/>
                <w14:textFill>
                  <w14:solidFill>
                    <w14:schemeClr w14:val="tx1"/>
                  </w14:solidFill>
                </w14:textFill>
              </w:rPr>
              <w:t>+</w:t>
            </w:r>
            <w:r>
              <w:rPr>
                <w:rFonts w:hint="eastAsia" w:cs="宋体"/>
                <w:color w:val="000000" w:themeColor="text1"/>
                <w:kern w:val="0"/>
                <w:sz w:val="21"/>
                <w:szCs w:val="21"/>
                <w14:textFill>
                  <w14:solidFill>
                    <w14:schemeClr w14:val="tx1"/>
                  </w14:solidFill>
                </w14:textFill>
              </w:rPr>
              <w:t>“</w:t>
            </w:r>
            <w:r>
              <w:rPr>
                <w:rFonts w:cs="宋体"/>
                <w:color w:val="000000" w:themeColor="text1"/>
                <w:kern w:val="0"/>
                <w:sz w:val="21"/>
                <w:szCs w:val="21"/>
                <w14:textFill>
                  <w14:solidFill>
                    <w14:schemeClr w14:val="tx1"/>
                  </w14:solidFill>
                </w14:textFill>
              </w:rPr>
              <w:t>LoRa+2.0</w:t>
            </w:r>
            <w:r>
              <w:rPr>
                <w:rFonts w:hint="eastAsia" w:cs="宋体"/>
                <w:color w:val="000000" w:themeColor="text1"/>
                <w:kern w:val="0"/>
                <w:sz w:val="21"/>
                <w:szCs w:val="21"/>
                <w14:textFill>
                  <w14:solidFill>
                    <w14:schemeClr w14:val="tx1"/>
                  </w14:solidFill>
                </w14:textFill>
              </w:rPr>
              <w:t>”网关的数据采集模式，用于采油平台无线仪表数据采集。单座计量站合适位置设置监控杆，杆上设置“</w:t>
            </w:r>
            <w:r>
              <w:rPr>
                <w:rFonts w:cs="宋体"/>
                <w:color w:val="000000" w:themeColor="text1"/>
                <w:kern w:val="0"/>
                <w:sz w:val="21"/>
                <w:szCs w:val="21"/>
                <w14:textFill>
                  <w14:solidFill>
                    <w14:schemeClr w14:val="tx1"/>
                  </w14:solidFill>
                </w14:textFill>
              </w:rPr>
              <w:t>LoRa+2.0</w:t>
            </w:r>
            <w:r>
              <w:rPr>
                <w:rFonts w:hint="eastAsia" w:cs="宋体"/>
                <w:color w:val="000000" w:themeColor="text1"/>
                <w:kern w:val="0"/>
                <w:sz w:val="21"/>
                <w:szCs w:val="21"/>
                <w14:textFill>
                  <w14:solidFill>
                    <w14:schemeClr w14:val="tx1"/>
                  </w14:solidFill>
                </w14:textFill>
              </w:rPr>
              <w:t>”无线网关（部分井站设置）及监控摄像机和音柱，实时采集井场生产数据和视频信号。“</w:t>
            </w:r>
            <w:r>
              <w:rPr>
                <w:rFonts w:cs="宋体"/>
                <w:color w:val="000000" w:themeColor="text1"/>
                <w:kern w:val="0"/>
                <w:sz w:val="21"/>
                <w:szCs w:val="21"/>
                <w14:textFill>
                  <w14:solidFill>
                    <w14:schemeClr w14:val="tx1"/>
                  </w14:solidFill>
                </w14:textFill>
              </w:rPr>
              <w:t>LoRa+2.0</w:t>
            </w:r>
            <w:r>
              <w:rPr>
                <w:rFonts w:hint="eastAsia" w:cs="宋体"/>
                <w:color w:val="000000" w:themeColor="text1"/>
                <w:kern w:val="0"/>
                <w:sz w:val="21"/>
                <w:szCs w:val="21"/>
                <w14:textFill>
                  <w14:solidFill>
                    <w14:schemeClr w14:val="tx1"/>
                  </w14:solidFill>
                </w14:textFill>
              </w:rPr>
              <w:t>”网关数据通过光缆上传至页岩油联合站已建生产监控系统集中监控，再通过骨干光缆上传至吉庆油田作业区生产监控平台集中监控。</w:t>
            </w:r>
          </w:p>
          <w:p w14:paraId="6C112848">
            <w:pPr>
              <w:pStyle w:val="117"/>
              <w:adjustRightInd w:val="0"/>
              <w:snapToGrid w:val="0"/>
              <w:spacing w:line="300" w:lineRule="exact"/>
              <w:ind w:firstLine="0" w:firstLineChars="0"/>
              <w:rPr>
                <w:rFonts w:hint="eastAsia"/>
                <w:snapToGrid w:val="0"/>
                <w:color w:val="000000" w:themeColor="text1"/>
                <w:kern w:val="0"/>
                <w:sz w:val="21"/>
                <w:szCs w:val="21"/>
                <w14:textFill>
                  <w14:solidFill>
                    <w14:schemeClr w14:val="tx1"/>
                  </w14:solidFill>
                </w14:textFill>
              </w:rPr>
            </w:pPr>
            <w:r>
              <w:rPr>
                <w:rFonts w:hint="eastAsia" w:cs="宋体"/>
                <w:color w:val="000000" w:themeColor="text1"/>
                <w:kern w:val="0"/>
                <w:sz w:val="21"/>
                <w:szCs w:val="21"/>
                <w14:textFill>
                  <w14:solidFill>
                    <w14:schemeClr w14:val="tx1"/>
                  </w14:solidFill>
                </w14:textFill>
              </w:rPr>
              <w:t>在预处理注入站内新建</w:t>
            </w:r>
            <w:r>
              <w:rPr>
                <w:rFonts w:cs="宋体"/>
                <w:color w:val="000000" w:themeColor="text1"/>
                <w:kern w:val="0"/>
                <w:sz w:val="21"/>
                <w:szCs w:val="21"/>
                <w14:textFill>
                  <w14:solidFill>
                    <w14:schemeClr w14:val="tx1"/>
                  </w14:solidFill>
                </w14:textFill>
              </w:rPr>
              <w:t>1</w:t>
            </w:r>
            <w:r>
              <w:rPr>
                <w:rFonts w:hint="eastAsia" w:cs="宋体"/>
                <w:color w:val="000000" w:themeColor="text1"/>
                <w:kern w:val="0"/>
                <w:sz w:val="21"/>
                <w:szCs w:val="21"/>
                <w14:textFill>
                  <w14:solidFill>
                    <w14:schemeClr w14:val="tx1"/>
                  </w14:solidFill>
                </w14:textFill>
              </w:rPr>
              <w:t>套</w:t>
            </w:r>
            <w:r>
              <w:rPr>
                <w:rFonts w:cs="宋体"/>
                <w:color w:val="000000" w:themeColor="text1"/>
                <w:kern w:val="0"/>
                <w:sz w:val="21"/>
                <w:szCs w:val="21"/>
                <w14:textFill>
                  <w14:solidFill>
                    <w14:schemeClr w14:val="tx1"/>
                  </w14:solidFill>
                </w14:textFill>
              </w:rPr>
              <w:t>BPCS</w:t>
            </w:r>
            <w:r>
              <w:rPr>
                <w:rFonts w:hint="eastAsia" w:cs="宋体"/>
                <w:color w:val="000000" w:themeColor="text1"/>
                <w:kern w:val="0"/>
                <w:sz w:val="21"/>
                <w:szCs w:val="21"/>
                <w14:textFill>
                  <w14:solidFill>
                    <w14:schemeClr w14:val="tx1"/>
                  </w14:solidFill>
                </w14:textFill>
              </w:rPr>
              <w:t>系统、1套</w:t>
            </w:r>
            <w:r>
              <w:rPr>
                <w:rFonts w:cs="宋体"/>
                <w:color w:val="000000" w:themeColor="text1"/>
                <w:kern w:val="0"/>
                <w:sz w:val="21"/>
                <w:szCs w:val="21"/>
                <w14:textFill>
                  <w14:solidFill>
                    <w14:schemeClr w14:val="tx1"/>
                  </w14:solidFill>
                </w14:textFill>
              </w:rPr>
              <w:t>GDS</w:t>
            </w:r>
            <w:r>
              <w:rPr>
                <w:rFonts w:hint="eastAsia" w:cs="宋体"/>
                <w:color w:val="000000" w:themeColor="text1"/>
                <w:kern w:val="0"/>
                <w:sz w:val="21"/>
                <w:szCs w:val="21"/>
                <w14:textFill>
                  <w14:solidFill>
                    <w14:schemeClr w14:val="tx1"/>
                  </w14:solidFill>
                </w14:textFill>
              </w:rPr>
              <w:t>系统（</w:t>
            </w:r>
            <w:r>
              <w:rPr>
                <w:rFonts w:cs="宋体"/>
                <w:color w:val="000000" w:themeColor="text1"/>
                <w:kern w:val="0"/>
                <w:sz w:val="21"/>
                <w:szCs w:val="21"/>
                <w14:textFill>
                  <w14:solidFill>
                    <w14:schemeClr w14:val="tx1"/>
                  </w14:solidFill>
                </w14:textFill>
              </w:rPr>
              <w:t>GDS</w:t>
            </w:r>
            <w:r>
              <w:rPr>
                <w:rFonts w:hint="eastAsia" w:cs="宋体"/>
                <w:color w:val="000000" w:themeColor="text1"/>
                <w:kern w:val="0"/>
                <w:sz w:val="21"/>
                <w:szCs w:val="21"/>
                <w14:textFill>
                  <w14:solidFill>
                    <w14:schemeClr w14:val="tx1"/>
                  </w14:solidFill>
                </w14:textFill>
              </w:rPr>
              <w:t>系统包括现场可燃</w:t>
            </w:r>
            <w:r>
              <w:rPr>
                <w:rFonts w:cs="宋体"/>
                <w:color w:val="000000" w:themeColor="text1"/>
                <w:kern w:val="0"/>
                <w:sz w:val="21"/>
                <w:szCs w:val="21"/>
                <w14:textFill>
                  <w14:solidFill>
                    <w14:schemeClr w14:val="tx1"/>
                  </w14:solidFill>
                </w14:textFill>
              </w:rPr>
              <w:t>/</w:t>
            </w:r>
            <w:r>
              <w:rPr>
                <w:rFonts w:hint="eastAsia" w:cs="宋体"/>
                <w:color w:val="000000" w:themeColor="text1"/>
                <w:kern w:val="0"/>
                <w:sz w:val="21"/>
                <w:szCs w:val="21"/>
                <w14:textFill>
                  <w14:solidFill>
                    <w14:schemeClr w14:val="tx1"/>
                  </w14:solidFill>
                </w14:textFill>
              </w:rPr>
              <w:t>有毒气体探测器、声光报警器及气体报警控制器等），</w:t>
            </w:r>
            <w:r>
              <w:rPr>
                <w:rFonts w:cs="宋体"/>
                <w:color w:val="000000" w:themeColor="text1"/>
                <w:kern w:val="0"/>
                <w:sz w:val="21"/>
                <w:szCs w:val="21"/>
                <w14:textFill>
                  <w14:solidFill>
                    <w14:schemeClr w14:val="tx1"/>
                  </w14:solidFill>
                </w14:textFill>
              </w:rPr>
              <w:t>BPCS</w:t>
            </w:r>
            <w:r>
              <w:rPr>
                <w:rFonts w:hint="eastAsia" w:cs="宋体"/>
                <w:color w:val="000000" w:themeColor="text1"/>
                <w:kern w:val="0"/>
                <w:sz w:val="21"/>
                <w:szCs w:val="21"/>
                <w14:textFill>
                  <w14:solidFill>
                    <w14:schemeClr w14:val="tx1"/>
                  </w14:solidFill>
                </w14:textFill>
              </w:rPr>
              <w:t>系统完成预处理注入站内工艺设施数据采集处理、集中监控，实现对站内生产场所有毒气体泄漏的实时监测、报警；数据通过新建通信链路上传至吉庆油田作业区生产调度中心生产监控系统集中监控。</w:t>
            </w:r>
          </w:p>
        </w:tc>
      </w:tr>
      <w:tr w14:paraId="6277688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407" w:type="pct"/>
            <w:vMerge w:val="continue"/>
            <w:vAlign w:val="center"/>
          </w:tcPr>
          <w:p w14:paraId="550678D3">
            <w:pPr>
              <w:overflowPunct w:val="0"/>
              <w:adjustRightInd w:val="0"/>
              <w:snapToGrid w:val="0"/>
              <w:spacing w:line="300" w:lineRule="exact"/>
              <w:jc w:val="center"/>
              <w:rPr>
                <w:rFonts w:hint="eastAsia" w:ascii="宋体" w:hAnsi="宋体"/>
                <w:snapToGrid w:val="0"/>
                <w:color w:val="000000" w:themeColor="text1"/>
                <w:kern w:val="0"/>
                <w:szCs w:val="21"/>
                <w14:textFill>
                  <w14:solidFill>
                    <w14:schemeClr w14:val="tx1"/>
                  </w14:solidFill>
                </w14:textFill>
              </w:rPr>
            </w:pPr>
          </w:p>
        </w:tc>
        <w:tc>
          <w:tcPr>
            <w:tcW w:w="567" w:type="pct"/>
            <w:vAlign w:val="center"/>
          </w:tcPr>
          <w:p w14:paraId="74562398">
            <w:pPr>
              <w:pStyle w:val="117"/>
              <w:adjustRightInd w:val="0"/>
              <w:snapToGrid w:val="0"/>
              <w:spacing w:line="300" w:lineRule="exact"/>
              <w:ind w:firstLine="0" w:firstLineChars="0"/>
              <w:jc w:val="center"/>
              <w:rPr>
                <w:rFonts w:hint="eastAsia" w:cs="宋体"/>
                <w:snapToGrid w:val="0"/>
                <w:color w:val="000000" w:themeColor="text1"/>
                <w:kern w:val="0"/>
                <w:sz w:val="21"/>
                <w:szCs w:val="21"/>
                <w14:textFill>
                  <w14:solidFill>
                    <w14:schemeClr w14:val="tx1"/>
                  </w14:solidFill>
                </w14:textFill>
              </w:rPr>
            </w:pPr>
            <w:r>
              <w:rPr>
                <w:rFonts w:hint="eastAsia" w:cs="宋体"/>
                <w:snapToGrid w:val="0"/>
                <w:color w:val="000000" w:themeColor="text1"/>
                <w:kern w:val="0"/>
                <w:sz w:val="21"/>
                <w:szCs w:val="21"/>
                <w14:textFill>
                  <w14:solidFill>
                    <w14:schemeClr w14:val="tx1"/>
                  </w14:solidFill>
                </w14:textFill>
              </w:rPr>
              <w:t>通信</w:t>
            </w:r>
          </w:p>
        </w:tc>
        <w:tc>
          <w:tcPr>
            <w:tcW w:w="4026" w:type="pct"/>
            <w:vAlign w:val="center"/>
          </w:tcPr>
          <w:p w14:paraId="27A08278">
            <w:pPr>
              <w:pStyle w:val="117"/>
              <w:adjustRightInd w:val="0"/>
              <w:snapToGrid w:val="0"/>
              <w:spacing w:line="300" w:lineRule="exact"/>
              <w:ind w:firstLine="0" w:firstLineChars="0"/>
              <w:rPr>
                <w:rFonts w:hint="eastAsia" w:cs="宋体"/>
                <w:color w:val="000000" w:themeColor="text1"/>
                <w:kern w:val="0"/>
                <w:sz w:val="21"/>
                <w:szCs w:val="21"/>
                <w14:textFill>
                  <w14:solidFill>
                    <w14:schemeClr w14:val="tx1"/>
                  </w14:solidFill>
                </w14:textFill>
              </w:rPr>
            </w:pPr>
            <w:r>
              <w:rPr>
                <w:rFonts w:hint="eastAsia" w:cs="宋体"/>
                <w:color w:val="000000" w:themeColor="text1"/>
                <w:kern w:val="0"/>
                <w:sz w:val="21"/>
                <w:szCs w:val="21"/>
                <w14:textFill>
                  <w14:solidFill>
                    <w14:schemeClr w14:val="tx1"/>
                  </w14:solidFill>
                </w14:textFill>
              </w:rPr>
              <w:t>油区：在新建</w:t>
            </w:r>
            <w:r>
              <w:rPr>
                <w:rFonts w:cs="宋体"/>
                <w:color w:val="000000" w:themeColor="text1"/>
                <w:kern w:val="0"/>
                <w:sz w:val="21"/>
                <w:szCs w:val="21"/>
                <w14:textFill>
                  <w14:solidFill>
                    <w14:schemeClr w14:val="tx1"/>
                  </w14:solidFill>
                </w14:textFill>
              </w:rPr>
              <w:t>1</w:t>
            </w:r>
            <w:r>
              <w:rPr>
                <w:rFonts w:hint="eastAsia" w:cs="宋体"/>
                <w:color w:val="000000" w:themeColor="text1"/>
                <w:kern w:val="0"/>
                <w:sz w:val="21"/>
                <w:szCs w:val="21"/>
                <w14:textFill>
                  <w14:solidFill>
                    <w14:schemeClr w14:val="tx1"/>
                  </w14:solidFill>
                </w14:textFill>
              </w:rPr>
              <w:t>号计量站内设置</w:t>
            </w:r>
            <w:r>
              <w:rPr>
                <w:rFonts w:cs="宋体"/>
                <w:color w:val="000000" w:themeColor="text1"/>
                <w:kern w:val="0"/>
                <w:sz w:val="21"/>
                <w:szCs w:val="21"/>
                <w14:textFill>
                  <w14:solidFill>
                    <w14:schemeClr w14:val="tx1"/>
                  </w14:solidFill>
                </w14:textFill>
              </w:rPr>
              <w:t>1</w:t>
            </w:r>
            <w:r>
              <w:rPr>
                <w:rFonts w:hint="eastAsia" w:cs="宋体"/>
                <w:color w:val="000000" w:themeColor="text1"/>
                <w:kern w:val="0"/>
                <w:sz w:val="21"/>
                <w:szCs w:val="21"/>
                <w14:textFill>
                  <w14:solidFill>
                    <w14:schemeClr w14:val="tx1"/>
                  </w14:solidFill>
                </w14:textFill>
              </w:rPr>
              <w:t>套落地式通信网络机柜，柜内设置</w:t>
            </w:r>
            <w:r>
              <w:rPr>
                <w:rFonts w:cs="宋体"/>
                <w:color w:val="000000" w:themeColor="text1"/>
                <w:kern w:val="0"/>
                <w:sz w:val="21"/>
                <w:szCs w:val="21"/>
                <w14:textFill>
                  <w14:solidFill>
                    <w14:schemeClr w14:val="tx1"/>
                  </w14:solidFill>
                </w14:textFill>
              </w:rPr>
              <w:t>2</w:t>
            </w:r>
            <w:r>
              <w:rPr>
                <w:rFonts w:hint="eastAsia" w:cs="宋体"/>
                <w:color w:val="000000" w:themeColor="text1"/>
                <w:kern w:val="0"/>
                <w:sz w:val="21"/>
                <w:szCs w:val="21"/>
                <w14:textFill>
                  <w14:solidFill>
                    <w14:schemeClr w14:val="tx1"/>
                  </w14:solidFill>
                </w14:textFill>
              </w:rPr>
              <w:t>套工业以太网交换机，</w:t>
            </w:r>
            <w:r>
              <w:rPr>
                <w:rFonts w:cs="宋体"/>
                <w:color w:val="000000" w:themeColor="text1"/>
                <w:kern w:val="0"/>
                <w:sz w:val="21"/>
                <w:szCs w:val="21"/>
                <w14:textFill>
                  <w14:solidFill>
                    <w14:schemeClr w14:val="tx1"/>
                  </w14:solidFill>
                </w14:textFill>
              </w:rPr>
              <w:t>1</w:t>
            </w:r>
            <w:r>
              <w:rPr>
                <w:rFonts w:hint="eastAsia" w:cs="宋体"/>
                <w:color w:val="000000" w:themeColor="text1"/>
                <w:kern w:val="0"/>
                <w:sz w:val="21"/>
                <w:szCs w:val="21"/>
                <w14:textFill>
                  <w14:solidFill>
                    <w14:schemeClr w14:val="tx1"/>
                  </w14:solidFill>
                </w14:textFill>
              </w:rPr>
              <w:t>套用于自控数据传输；新建交换机通过新建光缆接入预处理注入站拟建交换机，经拟建传输通道接入新疆油田逻辑专网，将自控及视频数据上传至吉庆作业区公寓中心机房。</w:t>
            </w:r>
          </w:p>
          <w:p w14:paraId="53B9FFFF">
            <w:pPr>
              <w:pStyle w:val="117"/>
              <w:adjustRightInd w:val="0"/>
              <w:snapToGrid w:val="0"/>
              <w:spacing w:line="300" w:lineRule="exact"/>
              <w:ind w:firstLine="0" w:firstLineChars="0"/>
              <w:rPr>
                <w:rFonts w:hint="eastAsia" w:cs="宋体"/>
                <w:color w:val="000000" w:themeColor="text1"/>
                <w:kern w:val="0"/>
                <w:sz w:val="21"/>
                <w:szCs w:val="21"/>
                <w14:textFill>
                  <w14:solidFill>
                    <w14:schemeClr w14:val="tx1"/>
                  </w14:solidFill>
                </w14:textFill>
              </w:rPr>
            </w:pPr>
            <w:r>
              <w:rPr>
                <w:rFonts w:hint="eastAsia" w:cs="宋体"/>
                <w:color w:val="000000" w:themeColor="text1"/>
                <w:kern w:val="0"/>
                <w:sz w:val="21"/>
                <w:szCs w:val="21"/>
                <w14:textFill>
                  <w14:solidFill>
                    <w14:schemeClr w14:val="tx1"/>
                  </w14:solidFill>
                </w14:textFill>
              </w:rPr>
              <w:t>预处理注入站：在预处理注入站新建仪控间内设置</w:t>
            </w:r>
            <w:r>
              <w:rPr>
                <w:rFonts w:cs="宋体"/>
                <w:color w:val="000000" w:themeColor="text1"/>
                <w:kern w:val="0"/>
                <w:sz w:val="21"/>
                <w:szCs w:val="21"/>
                <w14:textFill>
                  <w14:solidFill>
                    <w14:schemeClr w14:val="tx1"/>
                  </w14:solidFill>
                </w14:textFill>
              </w:rPr>
              <w:t xml:space="preserve">1 </w:t>
            </w:r>
            <w:r>
              <w:rPr>
                <w:rFonts w:hint="eastAsia" w:cs="宋体"/>
                <w:color w:val="000000" w:themeColor="text1"/>
                <w:kern w:val="0"/>
                <w:sz w:val="21"/>
                <w:szCs w:val="21"/>
                <w14:textFill>
                  <w14:solidFill>
                    <w14:schemeClr w14:val="tx1"/>
                  </w14:solidFill>
                </w14:textFill>
              </w:rPr>
              <w:t>套落地式通信网络机柜，柜内设置</w:t>
            </w:r>
            <w:r>
              <w:rPr>
                <w:rFonts w:cs="宋体"/>
                <w:color w:val="000000" w:themeColor="text1"/>
                <w:kern w:val="0"/>
                <w:sz w:val="21"/>
                <w:szCs w:val="21"/>
                <w14:textFill>
                  <w14:solidFill>
                    <w14:schemeClr w14:val="tx1"/>
                  </w14:solidFill>
                </w14:textFill>
              </w:rPr>
              <w:t>2</w:t>
            </w:r>
            <w:r>
              <w:rPr>
                <w:rFonts w:hint="eastAsia" w:cs="宋体"/>
                <w:color w:val="000000" w:themeColor="text1"/>
                <w:kern w:val="0"/>
                <w:sz w:val="21"/>
                <w:szCs w:val="21"/>
                <w14:textFill>
                  <w14:solidFill>
                    <w14:schemeClr w14:val="tx1"/>
                  </w14:solidFill>
                </w14:textFill>
              </w:rPr>
              <w:t>套工业以太网交换机，新建交换机通过新建光缆接入</w:t>
            </w:r>
            <w:r>
              <w:rPr>
                <w:rFonts w:cs="宋体"/>
                <w:color w:val="000000" w:themeColor="text1"/>
                <w:kern w:val="0"/>
                <w:sz w:val="21"/>
                <w:szCs w:val="21"/>
                <w14:textFill>
                  <w14:solidFill>
                    <w14:schemeClr w14:val="tx1"/>
                  </w14:solidFill>
                </w14:textFill>
              </w:rPr>
              <w:t xml:space="preserve">1 </w:t>
            </w:r>
            <w:r>
              <w:rPr>
                <w:rFonts w:hint="eastAsia" w:cs="宋体"/>
                <w:color w:val="000000" w:themeColor="text1"/>
                <w:kern w:val="0"/>
                <w:sz w:val="21"/>
                <w:szCs w:val="21"/>
                <w14:textFill>
                  <w14:solidFill>
                    <w14:schemeClr w14:val="tx1"/>
                  </w14:solidFill>
                </w14:textFill>
              </w:rPr>
              <w:t>号混输站已建交换机，经已建传输通道接入新疆油田逻辑专网，将自控及视频数据上传至吉庆作业区公寓中心机房。</w:t>
            </w:r>
          </w:p>
          <w:p w14:paraId="219EC1A4">
            <w:pPr>
              <w:pStyle w:val="117"/>
              <w:adjustRightInd w:val="0"/>
              <w:snapToGrid w:val="0"/>
              <w:spacing w:line="300" w:lineRule="exact"/>
              <w:ind w:firstLine="0" w:firstLineChars="0"/>
              <w:rPr>
                <w:rFonts w:hint="eastAsia" w:cs="宋体"/>
                <w:color w:val="000000" w:themeColor="text1"/>
                <w:kern w:val="0"/>
                <w:sz w:val="21"/>
                <w:szCs w:val="21"/>
                <w14:textFill>
                  <w14:solidFill>
                    <w14:schemeClr w14:val="tx1"/>
                  </w14:solidFill>
                </w14:textFill>
              </w:rPr>
            </w:pPr>
            <w:r>
              <w:rPr>
                <w:rFonts w:hint="eastAsia" w:cs="宋体"/>
                <w:color w:val="000000" w:themeColor="text1"/>
                <w:kern w:val="0"/>
                <w:sz w:val="21"/>
                <w:szCs w:val="21"/>
                <w14:textFill>
                  <w14:solidFill>
                    <w14:schemeClr w14:val="tx1"/>
                  </w14:solidFill>
                </w14:textFill>
              </w:rPr>
              <w:t>在预处理注入站新建</w:t>
            </w:r>
            <w:r>
              <w:rPr>
                <w:rFonts w:cs="宋体"/>
                <w:color w:val="000000" w:themeColor="text1"/>
                <w:kern w:val="0"/>
                <w:sz w:val="21"/>
                <w:szCs w:val="21"/>
                <w14:textFill>
                  <w14:solidFill>
                    <w14:schemeClr w14:val="tx1"/>
                  </w14:solidFill>
                </w14:textFill>
              </w:rPr>
              <w:t>1</w:t>
            </w:r>
            <w:r>
              <w:rPr>
                <w:rFonts w:hint="eastAsia" w:cs="宋体"/>
                <w:color w:val="000000" w:themeColor="text1"/>
                <w:kern w:val="0"/>
                <w:sz w:val="21"/>
                <w:szCs w:val="21"/>
                <w14:textFill>
                  <w14:solidFill>
                    <w14:schemeClr w14:val="tx1"/>
                  </w14:solidFill>
                </w14:textFill>
              </w:rPr>
              <w:t>套区域型火灾自动报警系统，壁挂式火灾报警控制器及智能电源箱安装在</w:t>
            </w:r>
            <w:r>
              <w:rPr>
                <w:rFonts w:cs="宋体"/>
                <w:color w:val="000000" w:themeColor="text1"/>
                <w:kern w:val="0"/>
                <w:sz w:val="21"/>
                <w:szCs w:val="21"/>
                <w14:textFill>
                  <w14:solidFill>
                    <w14:schemeClr w14:val="tx1"/>
                  </w14:solidFill>
                </w14:textFill>
              </w:rPr>
              <w:t>24h</w:t>
            </w:r>
            <w:r>
              <w:rPr>
                <w:rFonts w:hint="eastAsia" w:cs="宋体"/>
                <w:color w:val="000000" w:themeColor="text1"/>
                <w:kern w:val="0"/>
                <w:sz w:val="21"/>
                <w:szCs w:val="21"/>
                <w14:textFill>
                  <w14:solidFill>
                    <w14:schemeClr w14:val="tx1"/>
                  </w14:solidFill>
                </w14:textFill>
              </w:rPr>
              <w:t>有人值守的仪控间，在橇装仪控间内设置感烟火灾探测器、手动报警按钮、声光警报器及消防电话分机，火灾报警信号接入仪控间火灾报警控制器。在各配电室内设置感烟火灾探测器、手动报警按钮及声光警报器，变压器室及电缆沟内设置缆式线型感温探测器，火灾报警信号接入仪控间火灾报警控制器。在压缩机房设置隔爆型火焰探测器、隔爆型手动报警按钮及隔爆型声光报警器。</w:t>
            </w:r>
          </w:p>
        </w:tc>
      </w:tr>
      <w:tr w14:paraId="73811A4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407" w:type="pct"/>
            <w:vMerge w:val="continue"/>
            <w:vAlign w:val="center"/>
          </w:tcPr>
          <w:p w14:paraId="19F2B700">
            <w:pPr>
              <w:overflowPunct w:val="0"/>
              <w:adjustRightInd w:val="0"/>
              <w:snapToGrid w:val="0"/>
              <w:spacing w:line="300" w:lineRule="exact"/>
              <w:jc w:val="center"/>
              <w:rPr>
                <w:rFonts w:hint="eastAsia" w:ascii="宋体" w:hAnsi="宋体"/>
                <w:snapToGrid w:val="0"/>
                <w:color w:val="000000" w:themeColor="text1"/>
                <w:kern w:val="0"/>
                <w:szCs w:val="21"/>
                <w14:textFill>
                  <w14:solidFill>
                    <w14:schemeClr w14:val="tx1"/>
                  </w14:solidFill>
                </w14:textFill>
              </w:rPr>
            </w:pPr>
          </w:p>
        </w:tc>
        <w:tc>
          <w:tcPr>
            <w:tcW w:w="567" w:type="pct"/>
            <w:vAlign w:val="center"/>
          </w:tcPr>
          <w:p w14:paraId="0F63434F">
            <w:pPr>
              <w:pStyle w:val="191"/>
              <w:adjustRightInd w:val="0"/>
              <w:snapToGrid w:val="0"/>
              <w:spacing w:line="300" w:lineRule="exact"/>
              <w:ind w:firstLine="0" w:firstLineChars="0"/>
              <w:jc w:val="center"/>
              <w:rPr>
                <w:rFonts w:hint="eastAsia"/>
                <w:snapToGrid w:val="0"/>
                <w:color w:val="000000" w:themeColor="text1"/>
                <w:sz w:val="21"/>
                <w:szCs w:val="21"/>
                <w14:textFill>
                  <w14:solidFill>
                    <w14:schemeClr w14:val="tx1"/>
                  </w14:solidFill>
                </w14:textFill>
              </w:rPr>
            </w:pPr>
            <w:r>
              <w:rPr>
                <w:rFonts w:hint="eastAsia" w:cs="宋体"/>
                <w:snapToGrid w:val="0"/>
                <w:color w:val="000000" w:themeColor="text1"/>
                <w:sz w:val="21"/>
                <w:szCs w:val="21"/>
                <w14:textFill>
                  <w14:solidFill>
                    <w14:schemeClr w14:val="tx1"/>
                  </w14:solidFill>
                </w14:textFill>
              </w:rPr>
              <w:t>消防</w:t>
            </w:r>
          </w:p>
        </w:tc>
        <w:tc>
          <w:tcPr>
            <w:tcW w:w="4026" w:type="pct"/>
            <w:vAlign w:val="center"/>
          </w:tcPr>
          <w:p w14:paraId="6E19EC09">
            <w:pPr>
              <w:pStyle w:val="117"/>
              <w:adjustRightInd w:val="0"/>
              <w:snapToGrid w:val="0"/>
              <w:spacing w:line="300" w:lineRule="exact"/>
              <w:ind w:firstLine="0" w:firstLineChars="0"/>
              <w:rPr>
                <w:rFonts w:hint="eastAsia" w:cs="宋体"/>
                <w:color w:val="000000" w:themeColor="text1"/>
                <w:kern w:val="0"/>
                <w:sz w:val="21"/>
                <w:szCs w:val="21"/>
                <w14:textFill>
                  <w14:solidFill>
                    <w14:schemeClr w14:val="tx1"/>
                  </w14:solidFill>
                </w14:textFill>
              </w:rPr>
            </w:pPr>
            <w:r>
              <w:rPr>
                <w:rFonts w:hint="eastAsia" w:cs="宋体"/>
                <w:color w:val="000000" w:themeColor="text1"/>
                <w:kern w:val="0"/>
                <w:sz w:val="21"/>
                <w:szCs w:val="21"/>
                <w14:textFill>
                  <w14:solidFill>
                    <w14:schemeClr w14:val="tx1"/>
                  </w14:solidFill>
                </w14:textFill>
              </w:rPr>
              <w:t>预处理注入站属于五级站场，站场不设置消防给水设施，配备18具</w:t>
            </w:r>
            <w:r>
              <w:rPr>
                <w:rFonts w:cs="宋体"/>
                <w:color w:val="000000" w:themeColor="text1"/>
                <w:kern w:val="0"/>
                <w:sz w:val="21"/>
                <w:szCs w:val="21"/>
                <w14:textFill>
                  <w14:solidFill>
                    <w14:schemeClr w14:val="tx1"/>
                  </w14:solidFill>
                </w14:textFill>
              </w:rPr>
              <w:t>MF/ABCE8P</w:t>
            </w:r>
            <w:r>
              <w:rPr>
                <w:rFonts w:hint="eastAsia" w:cs="宋体"/>
                <w:color w:val="000000" w:themeColor="text1"/>
                <w:kern w:val="0"/>
                <w:sz w:val="21"/>
                <w:szCs w:val="21"/>
                <w14:textFill>
                  <w14:solidFill>
                    <w14:schemeClr w14:val="tx1"/>
                  </w14:solidFill>
                </w14:textFill>
              </w:rPr>
              <w:t>手提式磷酸铵盐干粉灭火器、2具</w:t>
            </w:r>
            <w:r>
              <w:rPr>
                <w:rFonts w:cs="宋体"/>
                <w:color w:val="000000" w:themeColor="text1"/>
                <w:kern w:val="0"/>
                <w:sz w:val="21"/>
                <w:szCs w:val="21"/>
                <w14:textFill>
                  <w14:solidFill>
                    <w14:schemeClr w14:val="tx1"/>
                  </w14:solidFill>
                </w14:textFill>
              </w:rPr>
              <w:t>MT/BE7</w:t>
            </w:r>
            <w:r>
              <w:rPr>
                <w:rFonts w:hint="eastAsia" w:cs="宋体"/>
                <w:color w:val="000000" w:themeColor="text1"/>
                <w:kern w:val="0"/>
                <w:sz w:val="21"/>
                <w:szCs w:val="21"/>
                <w14:textFill>
                  <w14:solidFill>
                    <w14:schemeClr w14:val="tx1"/>
                  </w14:solidFill>
                </w14:textFill>
              </w:rPr>
              <w:t>手提式二氧化碳灭火器和1套消防工具架。</w:t>
            </w:r>
          </w:p>
        </w:tc>
      </w:tr>
      <w:tr w14:paraId="0C5D939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407" w:type="pct"/>
            <w:vMerge w:val="continue"/>
            <w:vAlign w:val="center"/>
          </w:tcPr>
          <w:p w14:paraId="3AD98C6D">
            <w:pPr>
              <w:overflowPunct w:val="0"/>
              <w:adjustRightInd w:val="0"/>
              <w:snapToGrid w:val="0"/>
              <w:spacing w:line="300" w:lineRule="exact"/>
              <w:jc w:val="center"/>
              <w:rPr>
                <w:rFonts w:hint="eastAsia" w:ascii="宋体" w:hAnsi="宋体"/>
                <w:snapToGrid w:val="0"/>
                <w:color w:val="000000" w:themeColor="text1"/>
                <w:kern w:val="0"/>
                <w:szCs w:val="21"/>
                <w14:textFill>
                  <w14:solidFill>
                    <w14:schemeClr w14:val="tx1"/>
                  </w14:solidFill>
                </w14:textFill>
              </w:rPr>
            </w:pPr>
          </w:p>
        </w:tc>
        <w:tc>
          <w:tcPr>
            <w:tcW w:w="567" w:type="pct"/>
            <w:vAlign w:val="center"/>
          </w:tcPr>
          <w:p w14:paraId="46ED16D3">
            <w:pPr>
              <w:pStyle w:val="117"/>
              <w:adjustRightInd w:val="0"/>
              <w:snapToGrid w:val="0"/>
              <w:spacing w:line="300" w:lineRule="exact"/>
              <w:ind w:firstLine="0" w:firstLineChars="0"/>
              <w:jc w:val="center"/>
              <w:rPr>
                <w:rFonts w:hint="eastAsia" w:cs="宋体"/>
                <w:color w:val="000000" w:themeColor="text1"/>
                <w:kern w:val="0"/>
                <w:sz w:val="21"/>
                <w:szCs w:val="21"/>
                <w14:textFill>
                  <w14:solidFill>
                    <w14:schemeClr w14:val="tx1"/>
                  </w14:solidFill>
                </w14:textFill>
              </w:rPr>
            </w:pPr>
            <w:r>
              <w:rPr>
                <w:rFonts w:hint="eastAsia" w:cs="宋体"/>
                <w:color w:val="000000" w:themeColor="text1"/>
                <w:kern w:val="0"/>
                <w:sz w:val="21"/>
                <w:szCs w:val="21"/>
                <w14:textFill>
                  <w14:solidFill>
                    <w14:schemeClr w14:val="tx1"/>
                  </w14:solidFill>
                </w14:textFill>
              </w:rPr>
              <w:t>供热及</w:t>
            </w:r>
          </w:p>
          <w:p w14:paraId="109185B4">
            <w:pPr>
              <w:pStyle w:val="117"/>
              <w:adjustRightInd w:val="0"/>
              <w:snapToGrid w:val="0"/>
              <w:spacing w:line="300" w:lineRule="exact"/>
              <w:ind w:firstLine="0" w:firstLineChars="0"/>
              <w:jc w:val="center"/>
              <w:rPr>
                <w:rFonts w:hint="eastAsia" w:cs="宋体"/>
                <w:snapToGrid w:val="0"/>
                <w:color w:val="000000" w:themeColor="text1"/>
                <w:kern w:val="0"/>
                <w:sz w:val="21"/>
                <w:szCs w:val="21"/>
                <w14:textFill>
                  <w14:solidFill>
                    <w14:schemeClr w14:val="tx1"/>
                  </w14:solidFill>
                </w14:textFill>
              </w:rPr>
            </w:pPr>
            <w:r>
              <w:rPr>
                <w:rFonts w:hint="eastAsia" w:cs="宋体"/>
                <w:color w:val="000000" w:themeColor="text1"/>
                <w:kern w:val="0"/>
                <w:sz w:val="21"/>
                <w:szCs w:val="21"/>
                <w14:textFill>
                  <w14:solidFill>
                    <w14:schemeClr w14:val="tx1"/>
                  </w14:solidFill>
                </w14:textFill>
              </w:rPr>
              <w:t>采暖</w:t>
            </w:r>
          </w:p>
        </w:tc>
        <w:tc>
          <w:tcPr>
            <w:tcW w:w="4026" w:type="pct"/>
            <w:vAlign w:val="center"/>
          </w:tcPr>
          <w:p w14:paraId="39C31731">
            <w:pPr>
              <w:pStyle w:val="117"/>
              <w:adjustRightInd w:val="0"/>
              <w:snapToGrid w:val="0"/>
              <w:spacing w:line="300" w:lineRule="exact"/>
              <w:ind w:firstLine="0" w:firstLineChars="0"/>
              <w:rPr>
                <w:rFonts w:hint="eastAsia" w:cs="宋体"/>
                <w:color w:val="000000" w:themeColor="text1"/>
                <w:kern w:val="0"/>
                <w:sz w:val="21"/>
                <w:szCs w:val="21"/>
                <w14:textFill>
                  <w14:solidFill>
                    <w14:schemeClr w14:val="tx1"/>
                  </w14:solidFill>
                </w14:textFill>
              </w:rPr>
            </w:pPr>
            <w:r>
              <w:rPr>
                <w:rFonts w:hint="eastAsia" w:cs="宋体"/>
                <w:color w:val="000000" w:themeColor="text1"/>
                <w:kern w:val="0"/>
                <w:sz w:val="21"/>
                <w:szCs w:val="21"/>
                <w14:textFill>
                  <w14:solidFill>
                    <w14:schemeClr w14:val="tx1"/>
                  </w14:solidFill>
                </w14:textFill>
              </w:rPr>
              <w:t>供暖建筑为</w:t>
            </w:r>
            <w:r>
              <w:rPr>
                <w:rFonts w:cs="宋体"/>
                <w:color w:val="000000" w:themeColor="text1"/>
                <w:kern w:val="0"/>
                <w:sz w:val="21"/>
                <w:szCs w:val="21"/>
                <w14:textFill>
                  <w14:solidFill>
                    <w14:schemeClr w14:val="tx1"/>
                  </w14:solidFill>
                </w14:textFill>
              </w:rPr>
              <w:t>值班室</w:t>
            </w:r>
            <w:r>
              <w:rPr>
                <w:rFonts w:hint="eastAsia" w:cs="宋体"/>
                <w:color w:val="000000" w:themeColor="text1"/>
                <w:kern w:val="0"/>
                <w:sz w:val="21"/>
                <w:szCs w:val="21"/>
                <w14:textFill>
                  <w14:solidFill>
                    <w14:schemeClr w14:val="tx1"/>
                  </w14:solidFill>
                </w14:textFill>
              </w:rPr>
              <w:t>、仪柜间、变频器室，</w:t>
            </w:r>
            <w:r>
              <w:rPr>
                <w:rFonts w:cs="宋体"/>
                <w:color w:val="000000" w:themeColor="text1"/>
                <w:kern w:val="0"/>
                <w:sz w:val="21"/>
                <w:szCs w:val="21"/>
                <w14:textFill>
                  <w14:solidFill>
                    <w14:schemeClr w14:val="tx1"/>
                  </w14:solidFill>
                </w14:textFill>
              </w:rPr>
              <w:t>供暖热负荷</w:t>
            </w:r>
            <w:r>
              <w:rPr>
                <w:rFonts w:hint="eastAsia" w:cs="宋体"/>
                <w:color w:val="000000" w:themeColor="text1"/>
                <w:kern w:val="0"/>
                <w:sz w:val="21"/>
                <w:szCs w:val="21"/>
                <w14:textFill>
                  <w14:solidFill>
                    <w14:schemeClr w14:val="tx1"/>
                  </w14:solidFill>
                </w14:textFill>
              </w:rPr>
              <w:t>19.3</w:t>
            </w:r>
            <w:r>
              <w:rPr>
                <w:rFonts w:cs="宋体"/>
                <w:color w:val="000000" w:themeColor="text1"/>
                <w:kern w:val="0"/>
                <w:sz w:val="21"/>
                <w:szCs w:val="21"/>
                <w14:textFill>
                  <w14:solidFill>
                    <w14:schemeClr w14:val="tx1"/>
                  </w14:solidFill>
                </w14:textFill>
              </w:rPr>
              <w:t>kW，</w:t>
            </w:r>
            <w:r>
              <w:rPr>
                <w:rFonts w:hint="eastAsia" w:cs="宋体"/>
                <w:color w:val="000000" w:themeColor="text1"/>
                <w:kern w:val="0"/>
                <w:sz w:val="21"/>
                <w:szCs w:val="21"/>
                <w14:textFill>
                  <w14:solidFill>
                    <w14:schemeClr w14:val="tx1"/>
                  </w14:solidFill>
                </w14:textFill>
              </w:rPr>
              <w:t>周围无可依托的供热热源，本次采用电采暖。</w:t>
            </w:r>
          </w:p>
        </w:tc>
      </w:tr>
      <w:tr w14:paraId="686ABB1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407" w:type="pct"/>
            <w:vMerge w:val="restart"/>
            <w:vAlign w:val="center"/>
          </w:tcPr>
          <w:p w14:paraId="7CF49538">
            <w:pPr>
              <w:overflowPunct w:val="0"/>
              <w:adjustRightInd w:val="0"/>
              <w:snapToGrid w:val="0"/>
              <w:spacing w:line="300" w:lineRule="exact"/>
              <w:jc w:val="center"/>
              <w:rPr>
                <w:rFonts w:hint="eastAsia" w:ascii="宋体" w:hAnsi="宋体"/>
                <w:snapToGrid w:val="0"/>
                <w:color w:val="000000" w:themeColor="text1"/>
                <w:kern w:val="0"/>
                <w:szCs w:val="21"/>
                <w14:textFill>
                  <w14:solidFill>
                    <w14:schemeClr w14:val="tx1"/>
                  </w14:solidFill>
                </w14:textFill>
              </w:rPr>
            </w:pPr>
            <w:r>
              <w:rPr>
                <w:rFonts w:hint="eastAsia" w:ascii="宋体" w:hAnsi="宋体"/>
                <w:snapToGrid w:val="0"/>
                <w:color w:val="000000" w:themeColor="text1"/>
                <w:kern w:val="0"/>
                <w:szCs w:val="21"/>
                <w14:textFill>
                  <w14:solidFill>
                    <w14:schemeClr w14:val="tx1"/>
                  </w14:solidFill>
                </w14:textFill>
              </w:rPr>
              <w:t>环保</w:t>
            </w:r>
          </w:p>
          <w:p w14:paraId="4E0D8578">
            <w:pPr>
              <w:overflowPunct w:val="0"/>
              <w:adjustRightInd w:val="0"/>
              <w:snapToGrid w:val="0"/>
              <w:spacing w:line="300" w:lineRule="exact"/>
              <w:jc w:val="center"/>
              <w:rPr>
                <w:rFonts w:hint="eastAsia" w:ascii="宋体" w:hAnsi="宋体"/>
                <w:snapToGrid w:val="0"/>
                <w:color w:val="000000" w:themeColor="text1"/>
                <w:kern w:val="0"/>
                <w:szCs w:val="21"/>
                <w14:textFill>
                  <w14:solidFill>
                    <w14:schemeClr w14:val="tx1"/>
                  </w14:solidFill>
                </w14:textFill>
              </w:rPr>
            </w:pPr>
            <w:r>
              <w:rPr>
                <w:rFonts w:hint="eastAsia" w:ascii="宋体" w:hAnsi="宋体"/>
                <w:snapToGrid w:val="0"/>
                <w:color w:val="000000" w:themeColor="text1"/>
                <w:kern w:val="0"/>
                <w:szCs w:val="21"/>
                <w14:textFill>
                  <w14:solidFill>
                    <w14:schemeClr w14:val="tx1"/>
                  </w14:solidFill>
                </w14:textFill>
              </w:rPr>
              <w:t>工程</w:t>
            </w:r>
          </w:p>
        </w:tc>
        <w:tc>
          <w:tcPr>
            <w:tcW w:w="567" w:type="pct"/>
            <w:vAlign w:val="center"/>
          </w:tcPr>
          <w:p w14:paraId="77C63DCF">
            <w:pPr>
              <w:adjustRightInd w:val="0"/>
              <w:snapToGrid w:val="0"/>
              <w:spacing w:line="300" w:lineRule="exact"/>
              <w:jc w:val="center"/>
              <w:rPr>
                <w:rFonts w:hint="eastAsia" w:ascii="宋体" w:hAnsi="宋体"/>
                <w:snapToGrid w:val="0"/>
                <w:color w:val="000000" w:themeColor="text1"/>
                <w:kern w:val="0"/>
                <w:szCs w:val="21"/>
                <w14:textFill>
                  <w14:solidFill>
                    <w14:schemeClr w14:val="tx1"/>
                  </w14:solidFill>
                </w14:textFill>
              </w:rPr>
            </w:pPr>
            <w:r>
              <w:rPr>
                <w:rFonts w:hint="eastAsia" w:ascii="宋体" w:hAnsi="宋体"/>
                <w:snapToGrid w:val="0"/>
                <w:color w:val="000000" w:themeColor="text1"/>
                <w:kern w:val="0"/>
                <w:szCs w:val="21"/>
                <w14:textFill>
                  <w14:solidFill>
                    <w14:schemeClr w14:val="tx1"/>
                  </w14:solidFill>
                </w14:textFill>
              </w:rPr>
              <w:t>废气</w:t>
            </w:r>
          </w:p>
        </w:tc>
        <w:tc>
          <w:tcPr>
            <w:tcW w:w="4026" w:type="pct"/>
            <w:vAlign w:val="center"/>
          </w:tcPr>
          <w:p w14:paraId="0B3E19A6">
            <w:pPr>
              <w:pStyle w:val="117"/>
              <w:adjustRightInd w:val="0"/>
              <w:snapToGrid w:val="0"/>
              <w:spacing w:line="300" w:lineRule="exact"/>
              <w:ind w:firstLine="0" w:firstLineChars="0"/>
              <w:jc w:val="left"/>
              <w:rPr>
                <w:rFonts w:hint="eastAsia"/>
                <w:snapToGrid w:val="0"/>
                <w:color w:val="000000" w:themeColor="text1"/>
                <w:kern w:val="0"/>
                <w:sz w:val="21"/>
                <w:szCs w:val="21"/>
                <w14:textFill>
                  <w14:solidFill>
                    <w14:schemeClr w14:val="tx1"/>
                  </w14:solidFill>
                </w14:textFill>
              </w:rPr>
            </w:pPr>
            <w:r>
              <w:rPr>
                <w:rFonts w:hint="eastAsia" w:cs="宋体"/>
                <w:color w:val="000000" w:themeColor="text1"/>
                <w:kern w:val="0"/>
                <w:sz w:val="21"/>
                <w:szCs w:val="21"/>
                <w14:textFill>
                  <w14:solidFill>
                    <w14:schemeClr w14:val="tx1"/>
                  </w14:solidFill>
                </w14:textFill>
              </w:rPr>
              <w:t>施工期材料及临时土方采用防尘布覆盖，逸散性材料运输采用苫布遮盖；运营期井口设置除硫加药装置；</w:t>
            </w:r>
          </w:p>
        </w:tc>
      </w:tr>
      <w:tr w14:paraId="579DD80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407" w:type="pct"/>
            <w:vMerge w:val="continue"/>
            <w:vAlign w:val="center"/>
          </w:tcPr>
          <w:p w14:paraId="619732C5">
            <w:pPr>
              <w:overflowPunct w:val="0"/>
              <w:adjustRightInd w:val="0"/>
              <w:snapToGrid w:val="0"/>
              <w:spacing w:line="300" w:lineRule="exact"/>
              <w:jc w:val="center"/>
              <w:rPr>
                <w:rFonts w:hint="eastAsia" w:ascii="宋体" w:hAnsi="宋体"/>
                <w:snapToGrid w:val="0"/>
                <w:color w:val="000000" w:themeColor="text1"/>
                <w:kern w:val="0"/>
                <w:szCs w:val="21"/>
                <w14:textFill>
                  <w14:solidFill>
                    <w14:schemeClr w14:val="tx1"/>
                  </w14:solidFill>
                </w14:textFill>
              </w:rPr>
            </w:pPr>
          </w:p>
        </w:tc>
        <w:tc>
          <w:tcPr>
            <w:tcW w:w="567" w:type="pct"/>
            <w:vAlign w:val="center"/>
          </w:tcPr>
          <w:p w14:paraId="0083A73B">
            <w:pPr>
              <w:adjustRightInd w:val="0"/>
              <w:snapToGrid w:val="0"/>
              <w:spacing w:line="300" w:lineRule="exact"/>
              <w:jc w:val="center"/>
              <w:rPr>
                <w:rFonts w:hint="eastAsia" w:ascii="宋体" w:hAnsi="宋体"/>
                <w:snapToGrid w:val="0"/>
                <w:color w:val="000000" w:themeColor="text1"/>
                <w:kern w:val="0"/>
                <w:szCs w:val="21"/>
                <w14:textFill>
                  <w14:solidFill>
                    <w14:schemeClr w14:val="tx1"/>
                  </w14:solidFill>
                </w14:textFill>
              </w:rPr>
            </w:pPr>
            <w:r>
              <w:rPr>
                <w:rFonts w:hint="eastAsia" w:ascii="宋体" w:hAnsi="宋体"/>
                <w:snapToGrid w:val="0"/>
                <w:color w:val="000000" w:themeColor="text1"/>
                <w:kern w:val="0"/>
                <w:szCs w:val="21"/>
                <w14:textFill>
                  <w14:solidFill>
                    <w14:schemeClr w14:val="tx1"/>
                  </w14:solidFill>
                </w14:textFill>
              </w:rPr>
              <w:t>噪声</w:t>
            </w:r>
          </w:p>
        </w:tc>
        <w:tc>
          <w:tcPr>
            <w:tcW w:w="4026" w:type="pct"/>
            <w:vAlign w:val="center"/>
          </w:tcPr>
          <w:p w14:paraId="55B338FB">
            <w:pPr>
              <w:pStyle w:val="117"/>
              <w:adjustRightInd w:val="0"/>
              <w:snapToGrid w:val="0"/>
              <w:spacing w:line="300" w:lineRule="exact"/>
              <w:ind w:firstLine="0" w:firstLineChars="0"/>
              <w:jc w:val="left"/>
              <w:rPr>
                <w:rFonts w:hint="eastAsia"/>
                <w:snapToGrid w:val="0"/>
                <w:color w:val="000000" w:themeColor="text1"/>
                <w:kern w:val="0"/>
                <w:sz w:val="21"/>
                <w:szCs w:val="21"/>
                <w14:textFill>
                  <w14:solidFill>
                    <w14:schemeClr w14:val="tx1"/>
                  </w14:solidFill>
                </w14:textFill>
              </w:rPr>
            </w:pPr>
            <w:r>
              <w:rPr>
                <w:rFonts w:hint="eastAsia" w:cs="宋体"/>
                <w:color w:val="000000" w:themeColor="text1"/>
                <w:kern w:val="0"/>
                <w:sz w:val="21"/>
                <w:szCs w:val="21"/>
                <w14:textFill>
                  <w14:solidFill>
                    <w14:schemeClr w14:val="tx1"/>
                  </w14:solidFill>
                </w14:textFill>
              </w:rPr>
              <w:t>转油泵和排污泵采取基础减振，井下作业时各机泵设置的基础减振。</w:t>
            </w:r>
          </w:p>
        </w:tc>
      </w:tr>
      <w:tr w14:paraId="2E369FE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407" w:type="pct"/>
            <w:vMerge w:val="continue"/>
            <w:vAlign w:val="center"/>
          </w:tcPr>
          <w:p w14:paraId="5D74E6CC">
            <w:pPr>
              <w:overflowPunct w:val="0"/>
              <w:adjustRightInd w:val="0"/>
              <w:snapToGrid w:val="0"/>
              <w:spacing w:line="300" w:lineRule="exact"/>
              <w:jc w:val="center"/>
              <w:rPr>
                <w:rFonts w:hint="eastAsia" w:ascii="宋体" w:hAnsi="宋体"/>
                <w:snapToGrid w:val="0"/>
                <w:color w:val="000000" w:themeColor="text1"/>
                <w:kern w:val="0"/>
                <w:szCs w:val="21"/>
                <w14:textFill>
                  <w14:solidFill>
                    <w14:schemeClr w14:val="tx1"/>
                  </w14:solidFill>
                </w14:textFill>
              </w:rPr>
            </w:pPr>
          </w:p>
        </w:tc>
        <w:tc>
          <w:tcPr>
            <w:tcW w:w="567" w:type="pct"/>
            <w:vAlign w:val="center"/>
          </w:tcPr>
          <w:p w14:paraId="68C6F5AD">
            <w:pPr>
              <w:adjustRightInd w:val="0"/>
              <w:snapToGrid w:val="0"/>
              <w:spacing w:line="300" w:lineRule="exact"/>
              <w:jc w:val="center"/>
              <w:rPr>
                <w:rFonts w:hint="eastAsia" w:ascii="宋体" w:hAnsi="宋体"/>
                <w:snapToGrid w:val="0"/>
                <w:color w:val="000000" w:themeColor="text1"/>
                <w:kern w:val="0"/>
                <w:szCs w:val="21"/>
                <w14:textFill>
                  <w14:solidFill>
                    <w14:schemeClr w14:val="tx1"/>
                  </w14:solidFill>
                </w14:textFill>
              </w:rPr>
            </w:pPr>
            <w:r>
              <w:rPr>
                <w:rFonts w:hint="eastAsia" w:ascii="宋体" w:hAnsi="宋体"/>
                <w:snapToGrid w:val="0"/>
                <w:color w:val="000000" w:themeColor="text1"/>
                <w:kern w:val="0"/>
                <w:szCs w:val="21"/>
                <w14:textFill>
                  <w14:solidFill>
                    <w14:schemeClr w14:val="tx1"/>
                  </w14:solidFill>
                </w14:textFill>
              </w:rPr>
              <w:t>地下水</w:t>
            </w:r>
          </w:p>
        </w:tc>
        <w:tc>
          <w:tcPr>
            <w:tcW w:w="4026" w:type="pct"/>
            <w:vAlign w:val="center"/>
          </w:tcPr>
          <w:p w14:paraId="33CBD852">
            <w:pPr>
              <w:pStyle w:val="117"/>
              <w:adjustRightInd w:val="0"/>
              <w:snapToGrid w:val="0"/>
              <w:spacing w:line="300" w:lineRule="exact"/>
              <w:ind w:firstLine="0" w:firstLineChars="0"/>
              <w:jc w:val="left"/>
              <w:rPr>
                <w:rFonts w:hint="eastAsia"/>
                <w:snapToGrid w:val="0"/>
                <w:color w:val="000000" w:themeColor="text1"/>
                <w:kern w:val="0"/>
                <w:sz w:val="21"/>
                <w:szCs w:val="21"/>
                <w14:textFill>
                  <w14:solidFill>
                    <w14:schemeClr w14:val="tx1"/>
                  </w14:solidFill>
                </w14:textFill>
              </w:rPr>
            </w:pPr>
            <w:r>
              <w:rPr>
                <w:rFonts w:hint="eastAsia" w:cs="宋体"/>
                <w:color w:val="000000" w:themeColor="text1"/>
                <w:kern w:val="0"/>
                <w:sz w:val="21"/>
                <w:szCs w:val="21"/>
                <w14:textFill>
                  <w14:solidFill>
                    <w14:schemeClr w14:val="tx1"/>
                  </w14:solidFill>
                </w14:textFill>
              </w:rPr>
              <w:t>井场和预处理注入站的防渗措施以及井下作业过程中铺设的防渗材料；</w:t>
            </w:r>
          </w:p>
        </w:tc>
      </w:tr>
      <w:tr w14:paraId="29F723A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407" w:type="pct"/>
            <w:vMerge w:val="continue"/>
            <w:vAlign w:val="center"/>
          </w:tcPr>
          <w:p w14:paraId="00A119CB">
            <w:pPr>
              <w:overflowPunct w:val="0"/>
              <w:adjustRightInd w:val="0"/>
              <w:snapToGrid w:val="0"/>
              <w:spacing w:line="300" w:lineRule="exact"/>
              <w:jc w:val="center"/>
              <w:rPr>
                <w:rFonts w:hint="eastAsia" w:ascii="宋体" w:hAnsi="宋体"/>
                <w:snapToGrid w:val="0"/>
                <w:color w:val="000000" w:themeColor="text1"/>
                <w:kern w:val="0"/>
                <w:szCs w:val="21"/>
                <w14:textFill>
                  <w14:solidFill>
                    <w14:schemeClr w14:val="tx1"/>
                  </w14:solidFill>
                </w14:textFill>
              </w:rPr>
            </w:pPr>
          </w:p>
        </w:tc>
        <w:tc>
          <w:tcPr>
            <w:tcW w:w="567" w:type="pct"/>
            <w:vAlign w:val="center"/>
          </w:tcPr>
          <w:p w14:paraId="3F672F0D">
            <w:pPr>
              <w:adjustRightInd w:val="0"/>
              <w:snapToGrid w:val="0"/>
              <w:spacing w:line="300" w:lineRule="exact"/>
              <w:jc w:val="center"/>
              <w:rPr>
                <w:rFonts w:hint="eastAsia" w:ascii="宋体" w:hAnsi="宋体"/>
                <w:snapToGrid w:val="0"/>
                <w:color w:val="000000" w:themeColor="text1"/>
                <w:kern w:val="0"/>
                <w:szCs w:val="21"/>
                <w14:textFill>
                  <w14:solidFill>
                    <w14:schemeClr w14:val="tx1"/>
                  </w14:solidFill>
                </w14:textFill>
              </w:rPr>
            </w:pPr>
            <w:r>
              <w:rPr>
                <w:rFonts w:hint="eastAsia" w:ascii="宋体" w:hAnsi="宋体"/>
                <w:snapToGrid w:val="0"/>
                <w:color w:val="000000" w:themeColor="text1"/>
                <w:kern w:val="0"/>
                <w:szCs w:val="21"/>
                <w14:textFill>
                  <w14:solidFill>
                    <w14:schemeClr w14:val="tx1"/>
                  </w14:solidFill>
                </w14:textFill>
              </w:rPr>
              <w:t>环境风险</w:t>
            </w:r>
          </w:p>
        </w:tc>
        <w:tc>
          <w:tcPr>
            <w:tcW w:w="4026" w:type="pct"/>
            <w:vAlign w:val="center"/>
          </w:tcPr>
          <w:p w14:paraId="7484E94D">
            <w:pPr>
              <w:pStyle w:val="117"/>
              <w:adjustRightInd w:val="0"/>
              <w:snapToGrid w:val="0"/>
              <w:spacing w:line="300" w:lineRule="exact"/>
              <w:ind w:firstLine="0" w:firstLineChars="0"/>
              <w:rPr>
                <w:rFonts w:hint="eastAsia"/>
                <w:snapToGrid w:val="0"/>
                <w:color w:val="000000" w:themeColor="text1"/>
                <w:kern w:val="0"/>
                <w:sz w:val="21"/>
                <w:szCs w:val="21"/>
                <w14:textFill>
                  <w14:solidFill>
                    <w14:schemeClr w14:val="tx1"/>
                  </w14:solidFill>
                </w14:textFill>
              </w:rPr>
            </w:pPr>
            <w:r>
              <w:rPr>
                <w:rFonts w:hint="eastAsia" w:cs="宋体"/>
                <w:color w:val="000000" w:themeColor="text1"/>
                <w:kern w:val="0"/>
                <w:sz w:val="21"/>
                <w:szCs w:val="21"/>
                <w14:textFill>
                  <w14:solidFill>
                    <w14:schemeClr w14:val="tx1"/>
                  </w14:solidFill>
                </w14:textFill>
              </w:rPr>
              <w:t>安装防喷器和井控装置，配备一定数量的消防器材。</w:t>
            </w:r>
          </w:p>
        </w:tc>
      </w:tr>
      <w:tr w14:paraId="11C7AED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407" w:type="pct"/>
            <w:vMerge w:val="restart"/>
            <w:vAlign w:val="center"/>
          </w:tcPr>
          <w:p w14:paraId="091EF704">
            <w:pPr>
              <w:overflowPunct w:val="0"/>
              <w:adjustRightInd w:val="0"/>
              <w:snapToGrid w:val="0"/>
              <w:spacing w:line="300" w:lineRule="exact"/>
              <w:jc w:val="center"/>
              <w:rPr>
                <w:rFonts w:hint="eastAsia" w:ascii="宋体" w:hAnsi="宋体"/>
                <w:snapToGrid w:val="0"/>
                <w:color w:val="000000" w:themeColor="text1"/>
                <w:kern w:val="0"/>
                <w:szCs w:val="21"/>
                <w14:textFill>
                  <w14:solidFill>
                    <w14:schemeClr w14:val="tx1"/>
                  </w14:solidFill>
                </w14:textFill>
              </w:rPr>
            </w:pPr>
            <w:bookmarkStart w:id="260" w:name="_Hlk205374515"/>
            <w:r>
              <w:rPr>
                <w:rFonts w:hint="eastAsia" w:ascii="宋体" w:hAnsi="宋体"/>
                <w:snapToGrid w:val="0"/>
                <w:color w:val="000000" w:themeColor="text1"/>
                <w:kern w:val="0"/>
                <w:szCs w:val="21"/>
                <w14:textFill>
                  <w14:solidFill>
                    <w14:schemeClr w14:val="tx1"/>
                  </w14:solidFill>
                </w14:textFill>
              </w:rPr>
              <w:t>依托工程</w:t>
            </w:r>
          </w:p>
        </w:tc>
        <w:tc>
          <w:tcPr>
            <w:tcW w:w="567" w:type="pct"/>
            <w:vAlign w:val="center"/>
          </w:tcPr>
          <w:p w14:paraId="03F6FCEB">
            <w:pPr>
              <w:adjustRightInd w:val="0"/>
              <w:snapToGrid w:val="0"/>
              <w:spacing w:line="300" w:lineRule="exact"/>
              <w:jc w:val="center"/>
              <w:rPr>
                <w:rFonts w:hint="eastAsia" w:ascii="宋体" w:hAnsi="宋体"/>
                <w:snapToGrid w:val="0"/>
                <w:color w:val="000000" w:themeColor="text1"/>
                <w:kern w:val="0"/>
                <w:szCs w:val="21"/>
                <w14:textFill>
                  <w14:solidFill>
                    <w14:schemeClr w14:val="tx1"/>
                  </w14:solidFill>
                </w14:textFill>
              </w:rPr>
            </w:pPr>
            <w:r>
              <w:rPr>
                <w:rFonts w:hint="eastAsia" w:ascii="宋体" w:hAnsi="宋体"/>
                <w:snapToGrid w:val="0"/>
                <w:color w:val="000000" w:themeColor="text1"/>
                <w:kern w:val="0"/>
                <w:szCs w:val="21"/>
                <w14:textFill>
                  <w14:solidFill>
                    <w14:schemeClr w14:val="tx1"/>
                  </w14:solidFill>
                </w14:textFill>
              </w:rPr>
              <w:t>原油</w:t>
            </w:r>
          </w:p>
        </w:tc>
        <w:tc>
          <w:tcPr>
            <w:tcW w:w="4026" w:type="pct"/>
            <w:vAlign w:val="center"/>
          </w:tcPr>
          <w:p w14:paraId="35517A25">
            <w:pPr>
              <w:pStyle w:val="117"/>
              <w:adjustRightInd w:val="0"/>
              <w:snapToGrid w:val="0"/>
              <w:spacing w:line="300" w:lineRule="exact"/>
              <w:ind w:firstLine="0" w:firstLineChars="0"/>
              <w:jc w:val="left"/>
              <w:rPr>
                <w:rFonts w:hint="eastAsia"/>
                <w:snapToGrid w:val="0"/>
                <w:color w:val="000000" w:themeColor="text1"/>
                <w:kern w:val="0"/>
                <w:sz w:val="21"/>
                <w:szCs w:val="21"/>
                <w14:textFill>
                  <w14:solidFill>
                    <w14:schemeClr w14:val="tx1"/>
                  </w14:solidFill>
                </w14:textFill>
              </w:rPr>
            </w:pPr>
            <w:r>
              <w:rPr>
                <w:rFonts w:hint="eastAsia"/>
                <w:snapToGrid w:val="0"/>
                <w:color w:val="000000" w:themeColor="text1"/>
                <w:kern w:val="0"/>
                <w:sz w:val="21"/>
                <w:szCs w:val="21"/>
                <w14:textFill>
                  <w14:solidFill>
                    <w14:schemeClr w14:val="tx1"/>
                  </w14:solidFill>
                </w14:textFill>
              </w:rPr>
              <w:t>原油依托1号混输泵站转输，处理依托页岩油联合站进行处理；净化油外输依托页岩油联合站内现有净化油外输系统。</w:t>
            </w:r>
          </w:p>
        </w:tc>
      </w:tr>
      <w:tr w14:paraId="5F1FD7C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407" w:type="pct"/>
            <w:vMerge w:val="continue"/>
            <w:vAlign w:val="center"/>
          </w:tcPr>
          <w:p w14:paraId="348A4571">
            <w:pPr>
              <w:overflowPunct w:val="0"/>
              <w:adjustRightInd w:val="0"/>
              <w:snapToGrid w:val="0"/>
              <w:spacing w:line="300" w:lineRule="exact"/>
              <w:jc w:val="center"/>
              <w:rPr>
                <w:rFonts w:hint="eastAsia" w:ascii="宋体" w:hAnsi="宋体"/>
                <w:snapToGrid w:val="0"/>
                <w:color w:val="000000" w:themeColor="text1"/>
                <w:kern w:val="0"/>
                <w:szCs w:val="21"/>
                <w14:textFill>
                  <w14:solidFill>
                    <w14:schemeClr w14:val="tx1"/>
                  </w14:solidFill>
                </w14:textFill>
              </w:rPr>
            </w:pPr>
          </w:p>
        </w:tc>
        <w:tc>
          <w:tcPr>
            <w:tcW w:w="567" w:type="pct"/>
            <w:vAlign w:val="center"/>
          </w:tcPr>
          <w:p w14:paraId="3796DEC3">
            <w:pPr>
              <w:adjustRightInd w:val="0"/>
              <w:snapToGrid w:val="0"/>
              <w:spacing w:line="300" w:lineRule="exact"/>
              <w:jc w:val="center"/>
              <w:rPr>
                <w:rFonts w:hint="eastAsia" w:ascii="宋体" w:hAnsi="宋体"/>
                <w:snapToGrid w:val="0"/>
                <w:color w:val="000000" w:themeColor="text1"/>
                <w:kern w:val="0"/>
                <w:szCs w:val="21"/>
                <w14:textFill>
                  <w14:solidFill>
                    <w14:schemeClr w14:val="tx1"/>
                  </w14:solidFill>
                </w14:textFill>
              </w:rPr>
            </w:pPr>
            <w:r>
              <w:rPr>
                <w:rFonts w:hint="eastAsia" w:ascii="宋体" w:hAnsi="宋体"/>
                <w:snapToGrid w:val="0"/>
                <w:color w:val="000000" w:themeColor="text1"/>
                <w:kern w:val="0"/>
                <w:szCs w:val="21"/>
                <w14:textFill>
                  <w14:solidFill>
                    <w14:schemeClr w14:val="tx1"/>
                  </w14:solidFill>
                </w14:textFill>
              </w:rPr>
              <w:t>采出水、洗井废水和井下作业废液</w:t>
            </w:r>
          </w:p>
        </w:tc>
        <w:tc>
          <w:tcPr>
            <w:tcW w:w="4026" w:type="pct"/>
            <w:vAlign w:val="center"/>
          </w:tcPr>
          <w:p w14:paraId="31ECA918">
            <w:pPr>
              <w:pStyle w:val="117"/>
              <w:adjustRightInd w:val="0"/>
              <w:snapToGrid w:val="0"/>
              <w:spacing w:line="300" w:lineRule="exact"/>
              <w:ind w:firstLine="0" w:firstLineChars="0"/>
              <w:jc w:val="left"/>
              <w:rPr>
                <w:rFonts w:hint="eastAsia"/>
                <w:snapToGrid w:val="0"/>
                <w:color w:val="000000" w:themeColor="text1"/>
                <w:kern w:val="0"/>
                <w:sz w:val="21"/>
                <w:szCs w:val="21"/>
                <w14:textFill>
                  <w14:solidFill>
                    <w14:schemeClr w14:val="tx1"/>
                  </w14:solidFill>
                </w14:textFill>
              </w:rPr>
            </w:pPr>
            <w:r>
              <w:rPr>
                <w:rFonts w:hint="eastAsia"/>
                <w:snapToGrid w:val="0"/>
                <w:color w:val="000000" w:themeColor="text1"/>
                <w:kern w:val="0"/>
                <w:sz w:val="21"/>
                <w:szCs w:val="21"/>
                <w14:textFill>
                  <w14:solidFill>
                    <w14:schemeClr w14:val="tx1"/>
                  </w14:solidFill>
                </w14:textFill>
              </w:rPr>
              <w:t>压裂返排液处理装置处理</w:t>
            </w:r>
          </w:p>
        </w:tc>
      </w:tr>
      <w:tr w14:paraId="4E5059A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407" w:type="pct"/>
            <w:vMerge w:val="continue"/>
            <w:vAlign w:val="center"/>
          </w:tcPr>
          <w:p w14:paraId="63A5FA3B">
            <w:pPr>
              <w:overflowPunct w:val="0"/>
              <w:adjustRightInd w:val="0"/>
              <w:snapToGrid w:val="0"/>
              <w:spacing w:line="300" w:lineRule="exact"/>
              <w:jc w:val="center"/>
              <w:rPr>
                <w:rFonts w:hint="eastAsia" w:ascii="宋体" w:hAnsi="宋体"/>
                <w:snapToGrid w:val="0"/>
                <w:color w:val="000000" w:themeColor="text1"/>
                <w:kern w:val="0"/>
                <w:szCs w:val="21"/>
                <w14:textFill>
                  <w14:solidFill>
                    <w14:schemeClr w14:val="tx1"/>
                  </w14:solidFill>
                </w14:textFill>
              </w:rPr>
            </w:pPr>
          </w:p>
        </w:tc>
        <w:tc>
          <w:tcPr>
            <w:tcW w:w="567" w:type="pct"/>
            <w:vAlign w:val="center"/>
          </w:tcPr>
          <w:p w14:paraId="717D9CD2">
            <w:pPr>
              <w:adjustRightInd w:val="0"/>
              <w:snapToGrid w:val="0"/>
              <w:spacing w:line="300" w:lineRule="exact"/>
              <w:jc w:val="center"/>
              <w:rPr>
                <w:rFonts w:hint="eastAsia" w:ascii="宋体" w:hAnsi="宋体"/>
                <w:snapToGrid w:val="0"/>
                <w:color w:val="000000" w:themeColor="text1"/>
                <w:kern w:val="0"/>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废分子筛、废润滑油、废油桶、含油废抹布劳保用品和沾油废防渗材料</w:t>
            </w:r>
          </w:p>
        </w:tc>
        <w:tc>
          <w:tcPr>
            <w:tcW w:w="4026" w:type="pct"/>
            <w:vAlign w:val="center"/>
          </w:tcPr>
          <w:p w14:paraId="7AF61A00">
            <w:pPr>
              <w:pStyle w:val="117"/>
              <w:adjustRightInd w:val="0"/>
              <w:snapToGrid w:val="0"/>
              <w:spacing w:line="300" w:lineRule="exact"/>
              <w:ind w:firstLine="0" w:firstLineChars="0"/>
              <w:jc w:val="left"/>
              <w:rPr>
                <w:rFonts w:hint="eastAsia"/>
                <w:snapToGrid w:val="0"/>
                <w:color w:val="000000" w:themeColor="text1"/>
                <w:kern w:val="0"/>
                <w:sz w:val="21"/>
                <w:szCs w:val="21"/>
                <w14:textFill>
                  <w14:solidFill>
                    <w14:schemeClr w14:val="tx1"/>
                  </w14:solidFill>
                </w14:textFill>
              </w:rPr>
            </w:pPr>
            <w:r>
              <w:rPr>
                <w:rFonts w:hint="eastAsia"/>
                <w:snapToGrid w:val="0"/>
                <w:color w:val="000000" w:themeColor="text1"/>
                <w:kern w:val="0"/>
                <w:sz w:val="21"/>
                <w:szCs w:val="21"/>
                <w14:textFill>
                  <w14:solidFill>
                    <w14:schemeClr w14:val="tx1"/>
                  </w14:solidFill>
                </w14:textFill>
              </w:rPr>
              <w:t>暂存依托页岩油联合站内危险废物暂存场暂存，处置依托有相应危险废物处理资质的单位回收处置。</w:t>
            </w:r>
          </w:p>
        </w:tc>
      </w:tr>
      <w:tr w14:paraId="33B2961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407" w:type="pct"/>
            <w:vMerge w:val="continue"/>
            <w:vAlign w:val="center"/>
          </w:tcPr>
          <w:p w14:paraId="7B8B310E">
            <w:pPr>
              <w:overflowPunct w:val="0"/>
              <w:adjustRightInd w:val="0"/>
              <w:snapToGrid w:val="0"/>
              <w:spacing w:line="300" w:lineRule="exact"/>
              <w:jc w:val="center"/>
              <w:rPr>
                <w:rFonts w:hint="eastAsia" w:ascii="宋体" w:hAnsi="宋体"/>
                <w:snapToGrid w:val="0"/>
                <w:color w:val="000000" w:themeColor="text1"/>
                <w:kern w:val="0"/>
                <w:szCs w:val="21"/>
                <w14:textFill>
                  <w14:solidFill>
                    <w14:schemeClr w14:val="tx1"/>
                  </w14:solidFill>
                </w14:textFill>
              </w:rPr>
            </w:pPr>
          </w:p>
        </w:tc>
        <w:tc>
          <w:tcPr>
            <w:tcW w:w="567" w:type="pct"/>
            <w:vAlign w:val="center"/>
          </w:tcPr>
          <w:p w14:paraId="25E5CF70">
            <w:pPr>
              <w:adjustRightInd w:val="0"/>
              <w:snapToGrid w:val="0"/>
              <w:spacing w:line="300" w:lineRule="exact"/>
              <w:jc w:val="center"/>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生活污水</w:t>
            </w:r>
          </w:p>
        </w:tc>
        <w:tc>
          <w:tcPr>
            <w:tcW w:w="4026" w:type="pct"/>
            <w:vAlign w:val="center"/>
          </w:tcPr>
          <w:p w14:paraId="7C53BE25">
            <w:pPr>
              <w:pStyle w:val="117"/>
              <w:adjustRightInd w:val="0"/>
              <w:snapToGrid w:val="0"/>
              <w:spacing w:line="300" w:lineRule="exact"/>
              <w:ind w:firstLine="0" w:firstLineChars="0"/>
              <w:jc w:val="left"/>
              <w:rPr>
                <w:rFonts w:hint="eastAsia"/>
                <w:snapToGrid w:val="0"/>
                <w:color w:val="000000" w:themeColor="text1"/>
                <w:kern w:val="0"/>
                <w:sz w:val="21"/>
                <w:szCs w:val="21"/>
                <w14:textFill>
                  <w14:solidFill>
                    <w14:schemeClr w14:val="tx1"/>
                  </w14:solidFill>
                </w14:textFill>
              </w:rPr>
            </w:pPr>
            <w:r>
              <w:rPr>
                <w:rFonts w:hint="eastAsia"/>
                <w:snapToGrid w:val="0"/>
                <w:color w:val="000000" w:themeColor="text1"/>
                <w:kern w:val="0"/>
                <w:sz w:val="21"/>
                <w:szCs w:val="21"/>
                <w14:textFill>
                  <w14:solidFill>
                    <w14:schemeClr w14:val="tx1"/>
                  </w14:solidFill>
                </w14:textFill>
              </w:rPr>
              <w:t>依托吉木萨尔县污水处理厂处理</w:t>
            </w:r>
          </w:p>
        </w:tc>
      </w:tr>
      <w:tr w14:paraId="3A80DC9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407" w:type="pct"/>
            <w:vMerge w:val="continue"/>
            <w:vAlign w:val="center"/>
          </w:tcPr>
          <w:p w14:paraId="6533D122">
            <w:pPr>
              <w:overflowPunct w:val="0"/>
              <w:adjustRightInd w:val="0"/>
              <w:snapToGrid w:val="0"/>
              <w:spacing w:line="300" w:lineRule="exact"/>
              <w:jc w:val="center"/>
              <w:rPr>
                <w:rFonts w:hint="eastAsia" w:ascii="宋体" w:hAnsi="宋体"/>
                <w:snapToGrid w:val="0"/>
                <w:color w:val="000000" w:themeColor="text1"/>
                <w:kern w:val="0"/>
                <w:szCs w:val="21"/>
                <w14:textFill>
                  <w14:solidFill>
                    <w14:schemeClr w14:val="tx1"/>
                  </w14:solidFill>
                </w14:textFill>
              </w:rPr>
            </w:pPr>
          </w:p>
        </w:tc>
        <w:tc>
          <w:tcPr>
            <w:tcW w:w="567" w:type="pct"/>
            <w:vAlign w:val="center"/>
          </w:tcPr>
          <w:p w14:paraId="0FEADFB8">
            <w:pPr>
              <w:adjustRightInd w:val="0"/>
              <w:snapToGrid w:val="0"/>
              <w:spacing w:line="300" w:lineRule="exact"/>
              <w:jc w:val="center"/>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生活垃圾</w:t>
            </w:r>
          </w:p>
        </w:tc>
        <w:tc>
          <w:tcPr>
            <w:tcW w:w="4026" w:type="pct"/>
            <w:vAlign w:val="center"/>
          </w:tcPr>
          <w:p w14:paraId="40954B91">
            <w:pPr>
              <w:pStyle w:val="117"/>
              <w:adjustRightInd w:val="0"/>
              <w:snapToGrid w:val="0"/>
              <w:spacing w:line="300" w:lineRule="exact"/>
              <w:ind w:firstLine="0" w:firstLineChars="0"/>
              <w:jc w:val="left"/>
              <w:rPr>
                <w:rFonts w:hint="eastAsia"/>
                <w:snapToGrid w:val="0"/>
                <w:color w:val="000000" w:themeColor="text1"/>
                <w:kern w:val="0"/>
                <w:sz w:val="21"/>
                <w:szCs w:val="21"/>
                <w14:textFill>
                  <w14:solidFill>
                    <w14:schemeClr w14:val="tx1"/>
                  </w14:solidFill>
                </w14:textFill>
              </w:rPr>
            </w:pPr>
            <w:r>
              <w:rPr>
                <w:rFonts w:hint="eastAsia"/>
                <w:snapToGrid w:val="0"/>
                <w:color w:val="000000" w:themeColor="text1"/>
                <w:kern w:val="0"/>
                <w:sz w:val="21"/>
                <w:szCs w:val="21"/>
                <w14:textFill>
                  <w14:solidFill>
                    <w14:schemeClr w14:val="tx1"/>
                  </w14:solidFill>
                </w14:textFill>
              </w:rPr>
              <w:t>依托吉木萨尔县生活垃圾填埋场处理</w:t>
            </w:r>
          </w:p>
        </w:tc>
      </w:tr>
      <w:bookmarkEnd w:id="257"/>
      <w:bookmarkEnd w:id="260"/>
    </w:tbl>
    <w:p w14:paraId="7C9B10F9">
      <w:pPr>
        <w:pStyle w:val="117"/>
        <w:adjustRightInd w:val="0"/>
        <w:snapToGrid w:val="0"/>
        <w:ind w:firstLine="480"/>
        <w:rPr>
          <w:rFonts w:hint="eastAsia"/>
          <w:color w:val="000000" w:themeColor="text1"/>
          <w14:textFill>
            <w14:solidFill>
              <w14:schemeClr w14:val="tx1"/>
            </w14:solidFill>
          </w14:textFill>
        </w:rPr>
      </w:pPr>
      <w:bookmarkStart w:id="261" w:name="OLE_LINK79"/>
      <w:bookmarkStart w:id="262" w:name="OLE_LINK32"/>
      <w:r>
        <w:rPr>
          <w:rFonts w:hint="eastAsia"/>
          <w:color w:val="000000" w:themeColor="text1"/>
          <w14:textFill>
            <w14:solidFill>
              <w14:schemeClr w14:val="tx1"/>
            </w14:solidFill>
          </w14:textFill>
        </w:rPr>
        <w:t>（1）主体工程</w:t>
      </w:r>
    </w:p>
    <w:p w14:paraId="63E72048">
      <w:pPr>
        <w:pStyle w:val="117"/>
        <w:adjustRightInd w:val="0"/>
        <w:snapToGrid w:val="0"/>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拟部署井均为老井利用，主体工程主要包括井筒改造、新建注采井场、计量橇、集输管线、采出气回注井场和预处理注入站。</w:t>
      </w:r>
    </w:p>
    <w:p w14:paraId="34CE65DD">
      <w:pPr>
        <w:pStyle w:val="117"/>
        <w:adjustRightInd w:val="0"/>
        <w:snapToGrid w:val="0"/>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①井筒改造</w:t>
      </w:r>
    </w:p>
    <w:p w14:paraId="6D26A4DA">
      <w:pPr>
        <w:pStyle w:val="117"/>
        <w:snapToGrid w:val="0"/>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拟部署注采井固井质量合格、采用平式油管，井况良好，但</w:t>
      </w:r>
      <w:r>
        <w:rPr>
          <w:rFonts w:ascii="Times New Roman" w:hAnsi="Times New Roman"/>
          <w:color w:val="000000" w:themeColor="text1"/>
          <w:szCs w:val="22"/>
          <w14:textFill>
            <w14:solidFill>
              <w14:schemeClr w14:val="tx1"/>
            </w14:solidFill>
          </w14:textFill>
        </w:rPr>
        <w:t>CO</w:t>
      </w:r>
      <w:r>
        <w:rPr>
          <w:rFonts w:ascii="Times New Roman" w:hAnsi="Times New Roman"/>
          <w:color w:val="000000" w:themeColor="text1"/>
          <w:szCs w:val="22"/>
          <w:vertAlign w:val="subscript"/>
          <w14:textFill>
            <w14:solidFill>
              <w14:schemeClr w14:val="tx1"/>
            </w14:solidFill>
          </w14:textFill>
        </w:rPr>
        <w:t>2</w:t>
      </w:r>
      <w:r>
        <w:rPr>
          <w:rFonts w:ascii="Times New Roman" w:hAnsi="Times New Roman"/>
          <w:color w:val="000000" w:themeColor="text1"/>
          <w:szCs w:val="22"/>
          <w14:textFill>
            <w14:solidFill>
              <w14:schemeClr w14:val="tx1"/>
            </w14:solidFill>
          </w14:textFill>
        </w:rPr>
        <w:t>吞吐</w:t>
      </w:r>
      <w:r>
        <w:rPr>
          <w:rFonts w:hint="eastAsia" w:ascii="Times New Roman" w:hAnsi="Times New Roman"/>
          <w:color w:val="000000" w:themeColor="text1"/>
          <w:szCs w:val="22"/>
          <w14:textFill>
            <w14:solidFill>
              <w14:schemeClr w14:val="tx1"/>
            </w14:solidFill>
          </w14:textFill>
        </w:rPr>
        <w:t>时</w:t>
      </w:r>
      <w:r>
        <w:rPr>
          <w:rFonts w:ascii="Times New Roman" w:hAnsi="Times New Roman"/>
          <w:color w:val="000000" w:themeColor="text1"/>
          <w:szCs w:val="22"/>
          <w14:textFill>
            <w14:solidFill>
              <w14:schemeClr w14:val="tx1"/>
            </w14:solidFill>
          </w14:textFill>
        </w:rPr>
        <w:t>存在腐蚀</w:t>
      </w:r>
      <w:r>
        <w:rPr>
          <w:rFonts w:hint="eastAsia" w:ascii="Times New Roman" w:hAnsi="Times New Roman"/>
          <w:color w:val="000000" w:themeColor="text1"/>
          <w:szCs w:val="22"/>
          <w14:textFill>
            <w14:solidFill>
              <w14:schemeClr w14:val="tx1"/>
            </w14:solidFill>
          </w14:textFill>
        </w:rPr>
        <w:t>、气体漏失、气窜</w:t>
      </w:r>
      <w:r>
        <w:rPr>
          <w:rFonts w:ascii="Times New Roman" w:hAnsi="Times New Roman"/>
          <w:color w:val="000000" w:themeColor="text1"/>
          <w:szCs w:val="22"/>
          <w14:textFill>
            <w14:solidFill>
              <w14:schemeClr w14:val="tx1"/>
            </w14:solidFill>
          </w14:textFill>
        </w:rPr>
        <w:t>风险</w:t>
      </w:r>
      <w:r>
        <w:rPr>
          <w:rFonts w:hint="eastAsia" w:ascii="Times New Roman" w:hAnsi="Times New Roman"/>
          <w:color w:val="000000" w:themeColor="text1"/>
          <w:szCs w:val="22"/>
          <w14:textFill>
            <w14:solidFill>
              <w14:schemeClr w14:val="tx1"/>
            </w14:solidFill>
          </w14:textFill>
        </w:rPr>
        <w:t>，为此需对井筒进行改造，</w:t>
      </w:r>
      <w:r>
        <w:rPr>
          <w:rFonts w:hint="eastAsia"/>
          <w:color w:val="000000" w:themeColor="text1"/>
          <w14:textFill>
            <w14:solidFill>
              <w14:schemeClr w14:val="tx1"/>
            </w14:solidFill>
          </w14:textFill>
        </w:rPr>
        <w:t>对注采井和回注井进行改造，注采井管柱结构采用笼统注入工艺，交替注采，自喷生产；完井管柱由Φ</w:t>
      </w:r>
      <w:r>
        <w:rPr>
          <w:color w:val="000000" w:themeColor="text1"/>
          <w14:textFill>
            <w14:solidFill>
              <w14:schemeClr w14:val="tx1"/>
            </w14:solidFill>
          </w14:textFill>
        </w:rPr>
        <w:t>73mm</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5.51mmP110</w:t>
      </w:r>
      <w:r>
        <w:rPr>
          <w:rFonts w:hint="eastAsia"/>
          <w:color w:val="000000" w:themeColor="text1"/>
          <w14:textFill>
            <w14:solidFill>
              <w14:schemeClr w14:val="tx1"/>
            </w14:solidFill>
          </w14:textFill>
        </w:rPr>
        <w:t>镍钨镀层防腐油管</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封隔器</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剪切球座</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腐蚀测试筒</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引鞋等组成。封隔器推荐采用半永久式或永久式插管耐腐蚀、气密封封隔器；自喷生产阶段可沿用注气管柱。回注井油管采用Φ</w:t>
      </w:r>
      <w:r>
        <w:rPr>
          <w:color w:val="000000" w:themeColor="text1"/>
          <w14:textFill>
            <w14:solidFill>
              <w14:schemeClr w14:val="tx1"/>
            </w14:solidFill>
          </w14:textFill>
        </w:rPr>
        <w:t>73mm</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5.51mmP110</w:t>
      </w:r>
      <w:r>
        <w:rPr>
          <w:rFonts w:hint="eastAsia"/>
          <w:color w:val="000000" w:themeColor="text1"/>
          <w14:textFill>
            <w14:solidFill>
              <w14:schemeClr w14:val="tx1"/>
            </w14:solidFill>
          </w14:textFill>
        </w:rPr>
        <w:t>钨镍合金镀层气密封油管</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气密封耐蚀封隔器</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剪切球座</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腐蚀测试筒</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引鞋等组成，采用半永久式或永久式插管气密封封隔器，防腐采用油套环空添加水基环空保护液。</w:t>
      </w:r>
    </w:p>
    <w:p w14:paraId="7E8F29AA">
      <w:pPr>
        <w:pStyle w:val="117"/>
        <w:numPr>
          <w:ilvl w:val="0"/>
          <w:numId w:val="3"/>
        </w:numPr>
        <w:adjustRightInd w:val="0"/>
        <w:snapToGrid w:val="0"/>
        <w:ind w:firstLineChars="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注采井场</w:t>
      </w:r>
    </w:p>
    <w:p w14:paraId="553E634E">
      <w:pPr>
        <w:pStyle w:val="117"/>
        <w:snapToGrid w:val="0"/>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新建注采井场9座，注采井采用</w:t>
      </w:r>
      <w:bookmarkStart w:id="263" w:name="OLE_LINK66"/>
      <w:r>
        <w:rPr>
          <w:color w:val="000000" w:themeColor="text1"/>
          <w14:textFill>
            <w14:solidFill>
              <w14:schemeClr w14:val="tx1"/>
            </w14:solidFill>
          </w14:textFill>
        </w:rPr>
        <w:t>DN65 35MPa</w:t>
      </w:r>
      <w:bookmarkEnd w:id="263"/>
      <w:r>
        <w:rPr>
          <w:rFonts w:hint="eastAsia"/>
          <w:color w:val="000000" w:themeColor="text1"/>
          <w14:textFill>
            <w14:solidFill>
              <w14:schemeClr w14:val="tx1"/>
            </w14:solidFill>
          </w14:textFill>
        </w:rPr>
        <w:t>采油井口，井口利旧已建投捞式电潜螺杆泵，配套电机功率</w:t>
      </w:r>
      <w:r>
        <w:rPr>
          <w:color w:val="000000" w:themeColor="text1"/>
          <w14:textFill>
            <w14:solidFill>
              <w14:schemeClr w14:val="tx1"/>
            </w14:solidFill>
          </w14:textFill>
        </w:rPr>
        <w:t>22kW</w:t>
      </w:r>
      <w:r>
        <w:rPr>
          <w:rFonts w:hint="eastAsia"/>
          <w:color w:val="000000" w:themeColor="text1"/>
          <w14:textFill>
            <w14:solidFill>
              <w14:schemeClr w14:val="tx1"/>
            </w14:solidFill>
          </w14:textFill>
        </w:rPr>
        <w:t>；井口采用保温盒进行保温，保温盒内设</w:t>
      </w:r>
      <w:r>
        <w:rPr>
          <w:color w:val="000000" w:themeColor="text1"/>
          <w14:textFill>
            <w14:solidFill>
              <w14:schemeClr w14:val="tx1"/>
            </w14:solidFill>
          </w14:textFill>
        </w:rPr>
        <w:t>150W</w:t>
      </w:r>
      <w:r>
        <w:rPr>
          <w:rFonts w:hint="eastAsia"/>
          <w:color w:val="000000" w:themeColor="text1"/>
          <w14:textFill>
            <w14:solidFill>
              <w14:schemeClr w14:val="tx1"/>
            </w14:solidFill>
          </w14:textFill>
        </w:rPr>
        <w:t>防爆电加热器，同时设置热洗清蜡接口及安全标识牌，井口采用保温油嘴套。每座井场内设1座</w:t>
      </w:r>
      <w:r>
        <w:rPr>
          <w:color w:val="000000" w:themeColor="text1"/>
          <w14:textFill>
            <w14:solidFill>
              <w14:schemeClr w14:val="tx1"/>
            </w14:solidFill>
          </w14:textFill>
        </w:rPr>
        <w:t>DN65 35MPa</w:t>
      </w:r>
      <w:r>
        <w:rPr>
          <w:rFonts w:hint="eastAsia"/>
          <w:color w:val="000000" w:themeColor="text1"/>
          <w14:textFill>
            <w14:solidFill>
              <w14:schemeClr w14:val="tx1"/>
            </w14:solidFill>
          </w14:textFill>
        </w:rPr>
        <w:t>井口装置、井口设1座60kW电加热器、利旧井场现有1座除硫加药橇</w:t>
      </w:r>
      <w:r>
        <w:rPr>
          <w:rFonts w:hint="eastAsia"/>
          <w:color w:val="000000" w:themeColor="text1"/>
          <w:kern w:val="0"/>
          <w14:textFill>
            <w14:solidFill>
              <w14:schemeClr w14:val="tx1"/>
            </w14:solidFill>
          </w14:textFill>
        </w:rPr>
        <w:t>（采用第</w:t>
      </w:r>
      <w:r>
        <w:rPr>
          <w:rFonts w:hint="eastAsia"/>
          <w:color w:val="000000" w:themeColor="text1"/>
          <w14:textFill>
            <w14:solidFill>
              <w14:schemeClr w14:val="tx1"/>
            </w14:solidFill>
          </w14:textFill>
        </w:rPr>
        <w:t>三代三嗪类硫化氢处理剂）；CO</w:t>
      </w:r>
      <w:r>
        <w:rPr>
          <w:rFonts w:hint="eastAsia"/>
          <w:color w:val="000000" w:themeColor="text1"/>
          <w:vertAlign w:val="subscript"/>
          <w14:textFill>
            <w14:solidFill>
              <w14:schemeClr w14:val="tx1"/>
            </w14:solidFill>
          </w14:textFill>
        </w:rPr>
        <w:t>2</w:t>
      </w:r>
      <w:r>
        <w:rPr>
          <w:rFonts w:hint="eastAsia"/>
          <w:color w:val="000000" w:themeColor="text1"/>
          <w14:textFill>
            <w14:solidFill>
              <w14:schemeClr w14:val="tx1"/>
            </w14:solidFill>
          </w14:textFill>
        </w:rPr>
        <w:t>注入部分建设内容主要为每座注采井场内设2座50m</w:t>
      </w:r>
      <w:r>
        <w:rPr>
          <w:rFonts w:hint="eastAsia"/>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液体二氧化碳储罐、</w:t>
      </w:r>
      <w:bookmarkStart w:id="264" w:name="OLE_LINK223"/>
      <w:r>
        <w:rPr>
          <w:rFonts w:hint="eastAsia"/>
          <w:color w:val="000000" w:themeColor="text1"/>
          <w14:textFill>
            <w14:solidFill>
              <w14:schemeClr w14:val="tx1"/>
            </w14:solidFill>
          </w14:textFill>
        </w:rPr>
        <w:t>2台高压往复泵（型号Q400RC-10/55、排气量10m</w:t>
      </w:r>
      <w:r>
        <w:rPr>
          <w:rFonts w:hint="eastAsia"/>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/h）、2台二氧化碳专用泵[型号GPB-90E(GTB-230)]、1台隔爆屏蔽泵</w:t>
      </w:r>
      <w:bookmarkEnd w:id="264"/>
      <w:r>
        <w:rPr>
          <w:rFonts w:hint="eastAsia"/>
          <w:color w:val="000000" w:themeColor="text1"/>
          <w14:textFill>
            <w14:solidFill>
              <w14:schemeClr w14:val="tx1"/>
            </w14:solidFill>
          </w14:textFill>
        </w:rPr>
        <w:t>（型号N34-222HBM-40-25-200-F，流量12m</w:t>
      </w:r>
      <w:r>
        <w:rPr>
          <w:rFonts w:hint="eastAsia"/>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/h），CO</w:t>
      </w:r>
      <w:r>
        <w:rPr>
          <w:rFonts w:hint="eastAsia"/>
          <w:color w:val="000000" w:themeColor="text1"/>
          <w:vertAlign w:val="subscript"/>
          <w14:textFill>
            <w14:solidFill>
              <w14:schemeClr w14:val="tx1"/>
            </w14:solidFill>
          </w14:textFill>
        </w:rPr>
        <w:t>2</w:t>
      </w:r>
      <w:r>
        <w:rPr>
          <w:rFonts w:hint="eastAsia"/>
          <w:color w:val="000000" w:themeColor="text1"/>
          <w14:textFill>
            <w14:solidFill>
              <w14:schemeClr w14:val="tx1"/>
            </w14:solidFill>
          </w14:textFill>
        </w:rPr>
        <w:t>采用汽车拉运至井场。井场平面布置见图3.2-2。</w:t>
      </w:r>
    </w:p>
    <w:p w14:paraId="34E7DC0F">
      <w:pPr>
        <w:pStyle w:val="117"/>
        <w:numPr>
          <w:ilvl w:val="0"/>
          <w:numId w:val="3"/>
        </w:numPr>
        <w:snapToGrid w:val="0"/>
        <w:ind w:firstLineChars="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计量橇</w:t>
      </w:r>
    </w:p>
    <w:p w14:paraId="3DF1EB37">
      <w:pPr>
        <w:pStyle w:val="117"/>
        <w:snapToGrid w:val="0"/>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新建2座计量站，编号分别为1号计量站和2号计量站，其中2号计量站与预处理注入站合建，每座计量站内设8井式一体化自动选井计量装置，自动计量装置含各类测控仪表、可燃有毒气体泄漏检测及报警系统、</w:t>
      </w:r>
      <w:r>
        <w:rPr>
          <w:color w:val="000000" w:themeColor="text1"/>
          <w14:textFill>
            <w14:solidFill>
              <w14:schemeClr w14:val="tx1"/>
            </w14:solidFill>
          </w14:textFill>
        </w:rPr>
        <w:t>PLC</w:t>
      </w:r>
      <w:r>
        <w:rPr>
          <w:rFonts w:hint="eastAsia"/>
          <w:color w:val="000000" w:themeColor="text1"/>
          <w14:textFill>
            <w14:solidFill>
              <w14:schemeClr w14:val="tx1"/>
            </w14:solidFill>
          </w14:textFill>
        </w:rPr>
        <w:t>控制系统等。集中计量站内工艺流程为：单井来气液先进一体化自动选井计量装置，在装置内对需要计量的单井进行自动选井计量，将计量后的原油和天然气与未计量的油井来液混合后进入集油支线输至新建预处理注入站进行转输。1号计量站平面布置见图3.2-3。</w:t>
      </w:r>
    </w:p>
    <w:p w14:paraId="04D96690">
      <w:pPr>
        <w:pStyle w:val="117"/>
        <w:adjustRightInd w:val="0"/>
        <w:snapToGrid w:val="0"/>
        <w:ind w:firstLine="0" w:firstLineChars="0"/>
        <w:jc w:val="center"/>
        <w:rPr>
          <w:rFonts w:hint="eastAsia"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表3.2-9  9口注采井进计量站情况一览表</w:t>
      </w:r>
    </w:p>
    <w:tbl>
      <w:tblPr>
        <w:tblStyle w:val="545"/>
        <w:tblW w:w="5000" w:type="pct"/>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1519"/>
        <w:gridCol w:w="6263"/>
        <w:gridCol w:w="948"/>
      </w:tblGrid>
      <w:tr w14:paraId="69963F2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70" w:type="pct"/>
            <w:vAlign w:val="center"/>
          </w:tcPr>
          <w:p w14:paraId="23406407">
            <w:pPr>
              <w:pStyle w:val="117"/>
              <w:adjustRightInd w:val="0"/>
              <w:snapToGrid w:val="0"/>
              <w:spacing w:after="0" w:line="300" w:lineRule="exact"/>
              <w:ind w:firstLine="0" w:firstLineChars="0"/>
              <w:jc w:val="center"/>
              <w:rPr>
                <w:rFonts w:hint="eastAsia" w:cs="Arial" w:eastAsiaTheme="minorEastAsia"/>
                <w:snapToGrid/>
                <w:color w:val="000000" w:themeColor="text1"/>
                <w:sz w:val="21"/>
                <w:szCs w:val="21"/>
                <w:lang w:eastAsia="en-US"/>
                <w14:textFill>
                  <w14:solidFill>
                    <w14:schemeClr w14:val="tx1"/>
                  </w14:solidFill>
                </w14:textFill>
              </w:rPr>
            </w:pPr>
            <w:r>
              <w:rPr>
                <w:rFonts w:cs="Arial" w:eastAsiaTheme="minorEastAsia"/>
                <w:snapToGrid/>
                <w:color w:val="000000" w:themeColor="text1"/>
                <w:sz w:val="21"/>
                <w:szCs w:val="21"/>
                <w:lang w:eastAsia="en-US"/>
                <w14:textFill>
                  <w14:solidFill>
                    <w14:schemeClr w14:val="tx1"/>
                  </w14:solidFill>
                </w14:textFill>
              </w:rPr>
              <w:t>计量站号</w:t>
            </w:r>
          </w:p>
        </w:tc>
        <w:tc>
          <w:tcPr>
            <w:tcW w:w="3587" w:type="pct"/>
            <w:vAlign w:val="center"/>
          </w:tcPr>
          <w:p w14:paraId="784A1F7B">
            <w:pPr>
              <w:pStyle w:val="117"/>
              <w:adjustRightInd w:val="0"/>
              <w:snapToGrid w:val="0"/>
              <w:spacing w:after="0" w:line="300" w:lineRule="exact"/>
              <w:ind w:firstLine="0" w:firstLineChars="0"/>
              <w:jc w:val="center"/>
              <w:rPr>
                <w:rFonts w:hint="eastAsia" w:cs="Arial" w:eastAsiaTheme="minorEastAsia"/>
                <w:snapToGrid/>
                <w:color w:val="000000" w:themeColor="text1"/>
                <w:sz w:val="21"/>
                <w:szCs w:val="21"/>
                <w:lang w:eastAsia="en-US"/>
                <w14:textFill>
                  <w14:solidFill>
                    <w14:schemeClr w14:val="tx1"/>
                  </w14:solidFill>
                </w14:textFill>
              </w:rPr>
            </w:pPr>
            <w:r>
              <w:rPr>
                <w:rFonts w:cs="Arial" w:eastAsiaTheme="minorEastAsia"/>
                <w:snapToGrid/>
                <w:color w:val="000000" w:themeColor="text1"/>
                <w:sz w:val="21"/>
                <w:szCs w:val="21"/>
                <w:lang w:eastAsia="en-US"/>
                <w14:textFill>
                  <w14:solidFill>
                    <w14:schemeClr w14:val="tx1"/>
                  </w14:solidFill>
                </w14:textFill>
              </w:rPr>
              <w:t>井号</w:t>
            </w:r>
          </w:p>
        </w:tc>
        <w:tc>
          <w:tcPr>
            <w:tcW w:w="543" w:type="pct"/>
            <w:vAlign w:val="center"/>
          </w:tcPr>
          <w:p w14:paraId="4EA6A1B3">
            <w:pPr>
              <w:pStyle w:val="117"/>
              <w:adjustRightInd w:val="0"/>
              <w:snapToGrid w:val="0"/>
              <w:spacing w:after="0" w:line="300" w:lineRule="exact"/>
              <w:ind w:firstLine="0" w:firstLineChars="0"/>
              <w:jc w:val="center"/>
              <w:rPr>
                <w:rFonts w:hint="eastAsia" w:cs="Arial" w:eastAsiaTheme="minorEastAsia"/>
                <w:snapToGrid/>
                <w:color w:val="000000" w:themeColor="text1"/>
                <w:sz w:val="21"/>
                <w:szCs w:val="21"/>
                <w:lang w:eastAsia="en-US"/>
                <w14:textFill>
                  <w14:solidFill>
                    <w14:schemeClr w14:val="tx1"/>
                  </w14:solidFill>
                </w14:textFill>
              </w:rPr>
            </w:pPr>
            <w:r>
              <w:rPr>
                <w:rFonts w:cs="Arial" w:eastAsiaTheme="minorEastAsia"/>
                <w:snapToGrid/>
                <w:color w:val="000000" w:themeColor="text1"/>
                <w:sz w:val="21"/>
                <w:szCs w:val="21"/>
                <w:lang w:eastAsia="en-US"/>
                <w14:textFill>
                  <w14:solidFill>
                    <w14:schemeClr w14:val="tx1"/>
                  </w14:solidFill>
                </w14:textFill>
              </w:rPr>
              <w:t>井数</w:t>
            </w:r>
          </w:p>
        </w:tc>
      </w:tr>
      <w:tr w14:paraId="13F3BBB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70" w:type="pct"/>
            <w:vAlign w:val="center"/>
          </w:tcPr>
          <w:p w14:paraId="44015698">
            <w:pPr>
              <w:pStyle w:val="117"/>
              <w:adjustRightInd w:val="0"/>
              <w:snapToGrid w:val="0"/>
              <w:spacing w:after="0" w:line="300" w:lineRule="exact"/>
              <w:ind w:firstLine="0" w:firstLineChars="0"/>
              <w:jc w:val="center"/>
              <w:rPr>
                <w:rFonts w:hint="eastAsia" w:cs="Arial" w:eastAsiaTheme="minorEastAsia"/>
                <w:snapToGrid/>
                <w:color w:val="000000" w:themeColor="text1"/>
                <w:sz w:val="21"/>
                <w:szCs w:val="21"/>
                <w:lang w:eastAsia="en-US"/>
                <w14:textFill>
                  <w14:solidFill>
                    <w14:schemeClr w14:val="tx1"/>
                  </w14:solidFill>
                </w14:textFill>
              </w:rPr>
            </w:pPr>
            <w:r>
              <w:rPr>
                <w:rFonts w:cs="Arial" w:eastAsiaTheme="minorEastAsia"/>
                <w:snapToGrid/>
                <w:color w:val="000000" w:themeColor="text1"/>
                <w:sz w:val="21"/>
                <w:szCs w:val="21"/>
                <w:lang w:eastAsia="en-US"/>
                <w14:textFill>
                  <w14:solidFill>
                    <w14:schemeClr w14:val="tx1"/>
                  </w14:solidFill>
                </w14:textFill>
              </w:rPr>
              <w:t>1号计量站</w:t>
            </w:r>
          </w:p>
        </w:tc>
        <w:tc>
          <w:tcPr>
            <w:tcW w:w="3587" w:type="pct"/>
            <w:vAlign w:val="center"/>
          </w:tcPr>
          <w:p w14:paraId="0263CB22">
            <w:pPr>
              <w:pStyle w:val="117"/>
              <w:adjustRightInd w:val="0"/>
              <w:snapToGrid w:val="0"/>
              <w:spacing w:after="0" w:line="300" w:lineRule="exact"/>
              <w:ind w:firstLine="0" w:firstLineChars="0"/>
              <w:jc w:val="center"/>
              <w:rPr>
                <w:rFonts w:hint="eastAsia" w:cs="Arial" w:eastAsiaTheme="minorEastAsia"/>
                <w:snapToGrid/>
                <w:color w:val="000000" w:themeColor="text1"/>
                <w:sz w:val="21"/>
                <w:szCs w:val="21"/>
                <w:lang w:eastAsia="en-US"/>
                <w14:textFill>
                  <w14:solidFill>
                    <w14:schemeClr w14:val="tx1"/>
                  </w14:solidFill>
                </w14:textFill>
              </w:rPr>
            </w:pPr>
            <w:r>
              <w:rPr>
                <w:rFonts w:cs="Arial" w:eastAsiaTheme="minorEastAsia"/>
                <w:snapToGrid/>
                <w:color w:val="000000" w:themeColor="text1"/>
                <w:sz w:val="21"/>
                <w:szCs w:val="21"/>
                <w:lang w:eastAsia="en-US"/>
                <w14:textFill>
                  <w14:solidFill>
                    <w14:schemeClr w14:val="tx1"/>
                  </w14:solidFill>
                </w14:textFill>
              </w:rPr>
              <w:t>JHW031、JHW032、JHW033、JHW035、JHW036、J10002_H</w:t>
            </w:r>
          </w:p>
        </w:tc>
        <w:tc>
          <w:tcPr>
            <w:tcW w:w="543" w:type="pct"/>
            <w:vAlign w:val="center"/>
          </w:tcPr>
          <w:p w14:paraId="49747686">
            <w:pPr>
              <w:pStyle w:val="117"/>
              <w:adjustRightInd w:val="0"/>
              <w:snapToGrid w:val="0"/>
              <w:spacing w:after="0" w:line="300" w:lineRule="exact"/>
              <w:ind w:firstLine="0" w:firstLineChars="0"/>
              <w:jc w:val="center"/>
              <w:rPr>
                <w:rFonts w:hint="eastAsia" w:cs="Arial" w:eastAsiaTheme="minorEastAsia"/>
                <w:snapToGrid/>
                <w:color w:val="000000" w:themeColor="text1"/>
                <w:sz w:val="21"/>
                <w:szCs w:val="21"/>
                <w:lang w:eastAsia="en-US"/>
                <w14:textFill>
                  <w14:solidFill>
                    <w14:schemeClr w14:val="tx1"/>
                  </w14:solidFill>
                </w14:textFill>
              </w:rPr>
            </w:pPr>
            <w:r>
              <w:rPr>
                <w:rFonts w:cs="Arial" w:eastAsiaTheme="minorEastAsia"/>
                <w:snapToGrid/>
                <w:color w:val="000000" w:themeColor="text1"/>
                <w:sz w:val="21"/>
                <w:szCs w:val="21"/>
                <w:lang w:eastAsia="en-US"/>
                <w14:textFill>
                  <w14:solidFill>
                    <w14:schemeClr w14:val="tx1"/>
                  </w14:solidFill>
                </w14:textFill>
              </w:rPr>
              <w:t>6</w:t>
            </w:r>
          </w:p>
        </w:tc>
      </w:tr>
      <w:tr w14:paraId="748F85D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70" w:type="pct"/>
            <w:vAlign w:val="center"/>
          </w:tcPr>
          <w:p w14:paraId="08760FF7">
            <w:pPr>
              <w:pStyle w:val="117"/>
              <w:adjustRightInd w:val="0"/>
              <w:snapToGrid w:val="0"/>
              <w:spacing w:after="0" w:line="300" w:lineRule="exact"/>
              <w:ind w:firstLine="0" w:firstLineChars="0"/>
              <w:jc w:val="center"/>
              <w:rPr>
                <w:rFonts w:hint="eastAsia" w:cs="Arial" w:eastAsiaTheme="minorEastAsia"/>
                <w:snapToGrid/>
                <w:color w:val="000000" w:themeColor="text1"/>
                <w:sz w:val="21"/>
                <w:szCs w:val="21"/>
                <w:lang w:eastAsia="en-US"/>
                <w14:textFill>
                  <w14:solidFill>
                    <w14:schemeClr w14:val="tx1"/>
                  </w14:solidFill>
                </w14:textFill>
              </w:rPr>
            </w:pPr>
            <w:r>
              <w:rPr>
                <w:rFonts w:cs="Arial" w:eastAsiaTheme="minorEastAsia"/>
                <w:snapToGrid/>
                <w:color w:val="000000" w:themeColor="text1"/>
                <w:sz w:val="21"/>
                <w:szCs w:val="21"/>
                <w:lang w:eastAsia="en-US"/>
                <w14:textFill>
                  <w14:solidFill>
                    <w14:schemeClr w14:val="tx1"/>
                  </w14:solidFill>
                </w14:textFill>
              </w:rPr>
              <w:t>2号计量站</w:t>
            </w:r>
          </w:p>
        </w:tc>
        <w:tc>
          <w:tcPr>
            <w:tcW w:w="3587" w:type="pct"/>
            <w:vAlign w:val="center"/>
          </w:tcPr>
          <w:p w14:paraId="344F2317">
            <w:pPr>
              <w:pStyle w:val="117"/>
              <w:adjustRightInd w:val="0"/>
              <w:snapToGrid w:val="0"/>
              <w:spacing w:after="0" w:line="300" w:lineRule="exact"/>
              <w:ind w:firstLine="0" w:firstLineChars="0"/>
              <w:jc w:val="center"/>
              <w:rPr>
                <w:rFonts w:hint="eastAsia" w:cs="Arial" w:eastAsiaTheme="minorEastAsia"/>
                <w:snapToGrid/>
                <w:color w:val="000000" w:themeColor="text1"/>
                <w:sz w:val="21"/>
                <w:szCs w:val="21"/>
                <w:lang w:eastAsia="en-US"/>
                <w14:textFill>
                  <w14:solidFill>
                    <w14:schemeClr w14:val="tx1"/>
                  </w14:solidFill>
                </w14:textFill>
              </w:rPr>
            </w:pPr>
            <w:r>
              <w:rPr>
                <w:rFonts w:cs="Arial" w:eastAsiaTheme="minorEastAsia"/>
                <w:snapToGrid/>
                <w:color w:val="000000" w:themeColor="text1"/>
                <w:sz w:val="21"/>
                <w:szCs w:val="21"/>
                <w:lang w:eastAsia="en-US"/>
                <w14:textFill>
                  <w14:solidFill>
                    <w14:schemeClr w14:val="tx1"/>
                  </w14:solidFill>
                </w14:textFill>
              </w:rPr>
              <w:t>J10064_H、JHW00525、JHW00526</w:t>
            </w:r>
          </w:p>
        </w:tc>
        <w:tc>
          <w:tcPr>
            <w:tcW w:w="543" w:type="pct"/>
            <w:vAlign w:val="center"/>
          </w:tcPr>
          <w:p w14:paraId="5B01F136">
            <w:pPr>
              <w:pStyle w:val="117"/>
              <w:adjustRightInd w:val="0"/>
              <w:snapToGrid w:val="0"/>
              <w:spacing w:after="0" w:line="300" w:lineRule="exact"/>
              <w:ind w:firstLine="0" w:firstLineChars="0"/>
              <w:jc w:val="center"/>
              <w:rPr>
                <w:rFonts w:hint="eastAsia" w:cs="Arial" w:eastAsiaTheme="minorEastAsia"/>
                <w:snapToGrid/>
                <w:color w:val="000000" w:themeColor="text1"/>
                <w:sz w:val="21"/>
                <w:szCs w:val="21"/>
                <w:lang w:eastAsia="en-US"/>
                <w14:textFill>
                  <w14:solidFill>
                    <w14:schemeClr w14:val="tx1"/>
                  </w14:solidFill>
                </w14:textFill>
              </w:rPr>
            </w:pPr>
            <w:r>
              <w:rPr>
                <w:rFonts w:cs="Arial" w:eastAsiaTheme="minorEastAsia"/>
                <w:snapToGrid/>
                <w:color w:val="000000" w:themeColor="text1"/>
                <w:sz w:val="21"/>
                <w:szCs w:val="21"/>
                <w:lang w:eastAsia="en-US"/>
                <w14:textFill>
                  <w14:solidFill>
                    <w14:schemeClr w14:val="tx1"/>
                  </w14:solidFill>
                </w14:textFill>
              </w:rPr>
              <w:t>3</w:t>
            </w:r>
          </w:p>
        </w:tc>
      </w:tr>
    </w:tbl>
    <w:p w14:paraId="34BAFFD5">
      <w:pPr>
        <w:pStyle w:val="117"/>
        <w:adjustRightInd w:val="0"/>
        <w:snapToGrid w:val="0"/>
        <w:ind w:firstLine="480" w:firstLineChars="0"/>
        <w:rPr>
          <w:rFonts w:hint="eastAsia"/>
          <w:color w:val="000000" w:themeColor="text1"/>
          <w:kern w:val="0"/>
          <w14:textFill>
            <w14:solidFill>
              <w14:schemeClr w14:val="tx1"/>
            </w14:solidFill>
          </w14:textFill>
        </w:rPr>
      </w:pPr>
      <w:r>
        <w:rPr>
          <w:rFonts w:hint="eastAsia"/>
          <w:color w:val="000000" w:themeColor="text1"/>
          <w:kern w:val="0"/>
          <w14:textFill>
            <w14:solidFill>
              <w14:schemeClr w14:val="tx1"/>
            </w14:solidFill>
          </w14:textFill>
        </w:rPr>
        <w:t>③集输管线</w:t>
      </w:r>
    </w:p>
    <w:p w14:paraId="04F552A4">
      <w:pPr>
        <w:pStyle w:val="117"/>
        <w:snapToGrid w:val="0"/>
        <w:ind w:firstLine="480"/>
        <w:rPr>
          <w:rFonts w:hint="eastAsia"/>
          <w:color w:val="000000" w:themeColor="text1"/>
          <w:kern w:val="0"/>
          <w14:textFill>
            <w14:solidFill>
              <w14:schemeClr w14:val="tx1"/>
            </w14:solidFill>
          </w14:textFill>
        </w:rPr>
      </w:pPr>
      <w:r>
        <w:rPr>
          <w:color w:val="000000" w:themeColor="text1"/>
          <w:kern w:val="0"/>
          <w14:textFill>
            <w14:solidFill>
              <w14:schemeClr w14:val="tx1"/>
            </w14:solidFill>
          </w14:textFill>
        </w:rPr>
        <w:t>JHW031</w:t>
      </w:r>
      <w:r>
        <w:rPr>
          <w:rFonts w:hint="eastAsia"/>
          <w:color w:val="000000" w:themeColor="text1"/>
          <w:kern w:val="0"/>
          <w14:textFill>
            <w14:solidFill>
              <w14:schemeClr w14:val="tx1"/>
            </w14:solidFill>
          </w14:textFill>
        </w:rPr>
        <w:t>、</w:t>
      </w:r>
      <w:r>
        <w:rPr>
          <w:color w:val="000000" w:themeColor="text1"/>
          <w:kern w:val="0"/>
          <w14:textFill>
            <w14:solidFill>
              <w14:schemeClr w14:val="tx1"/>
            </w14:solidFill>
          </w14:textFill>
        </w:rPr>
        <w:t>JHW032</w:t>
      </w:r>
      <w:r>
        <w:rPr>
          <w:rFonts w:hint="eastAsia"/>
          <w:color w:val="000000" w:themeColor="text1"/>
          <w:kern w:val="0"/>
          <w14:textFill>
            <w14:solidFill>
              <w14:schemeClr w14:val="tx1"/>
            </w14:solidFill>
          </w14:textFill>
        </w:rPr>
        <w:t>、</w:t>
      </w:r>
      <w:r>
        <w:rPr>
          <w:color w:val="000000" w:themeColor="text1"/>
          <w:kern w:val="0"/>
          <w14:textFill>
            <w14:solidFill>
              <w14:schemeClr w14:val="tx1"/>
            </w14:solidFill>
          </w14:textFill>
        </w:rPr>
        <w:t>JHW033</w:t>
      </w:r>
      <w:r>
        <w:rPr>
          <w:rFonts w:hint="eastAsia"/>
          <w:color w:val="000000" w:themeColor="text1"/>
          <w:kern w:val="0"/>
          <w14:textFill>
            <w14:solidFill>
              <w14:schemeClr w14:val="tx1"/>
            </w14:solidFill>
          </w14:textFill>
        </w:rPr>
        <w:t>、</w:t>
      </w:r>
      <w:r>
        <w:rPr>
          <w:color w:val="000000" w:themeColor="text1"/>
          <w:kern w:val="0"/>
          <w14:textFill>
            <w14:solidFill>
              <w14:schemeClr w14:val="tx1"/>
            </w14:solidFill>
          </w14:textFill>
        </w:rPr>
        <w:t>JHW035</w:t>
      </w:r>
      <w:r>
        <w:rPr>
          <w:rFonts w:hint="eastAsia"/>
          <w:color w:val="000000" w:themeColor="text1"/>
          <w:kern w:val="0"/>
          <w14:textFill>
            <w14:solidFill>
              <w14:schemeClr w14:val="tx1"/>
            </w14:solidFill>
          </w14:textFill>
        </w:rPr>
        <w:t>、</w:t>
      </w:r>
      <w:r>
        <w:rPr>
          <w:color w:val="000000" w:themeColor="text1"/>
          <w:kern w:val="0"/>
          <w14:textFill>
            <w14:solidFill>
              <w14:schemeClr w14:val="tx1"/>
            </w14:solidFill>
          </w14:textFill>
        </w:rPr>
        <w:t>JHW036</w:t>
      </w:r>
      <w:r>
        <w:rPr>
          <w:rFonts w:hint="eastAsia"/>
          <w:color w:val="000000" w:themeColor="text1"/>
          <w:kern w:val="0"/>
          <w14:textFill>
            <w14:solidFill>
              <w14:schemeClr w14:val="tx1"/>
            </w14:solidFill>
          </w14:textFill>
        </w:rPr>
        <w:t>注采井的单井采油管线利旧，该5口井的单井采油管线材质为柔性复合管，本次将5口注采井的已建单井出油管道的钢接头更换为</w:t>
      </w:r>
      <w:r>
        <w:rPr>
          <w:color w:val="000000" w:themeColor="text1"/>
          <w:kern w:val="0"/>
          <w14:textFill>
            <w14:solidFill>
              <w14:schemeClr w14:val="tx1"/>
            </w14:solidFill>
          </w14:textFill>
        </w:rPr>
        <w:t>S31603</w:t>
      </w:r>
      <w:r>
        <w:rPr>
          <w:rFonts w:hint="eastAsia"/>
          <w:color w:val="000000" w:themeColor="text1"/>
          <w:kern w:val="0"/>
          <w14:textFill>
            <w14:solidFill>
              <w14:schemeClr w14:val="tx1"/>
            </w14:solidFill>
          </w14:textFill>
        </w:rPr>
        <w:t>不锈钢接头。新建</w:t>
      </w:r>
      <w:r>
        <w:rPr>
          <w:snapToGrid w:val="0"/>
          <w:color w:val="000000" w:themeColor="text1"/>
          <w14:textFill>
            <w14:solidFill>
              <w14:schemeClr w14:val="tx1"/>
            </w14:solidFill>
          </w14:textFill>
        </w:rPr>
        <w:t>J10002_H</w:t>
      </w:r>
      <w:r>
        <w:rPr>
          <w:rFonts w:hint="eastAsia"/>
          <w:snapToGrid w:val="0"/>
          <w:color w:val="000000" w:themeColor="text1"/>
          <w14:textFill>
            <w14:solidFill>
              <w14:schemeClr w14:val="tx1"/>
            </w14:solidFill>
          </w14:textFill>
        </w:rPr>
        <w:t>、</w:t>
      </w:r>
      <w:r>
        <w:rPr>
          <w:snapToGrid w:val="0"/>
          <w:color w:val="000000" w:themeColor="text1"/>
          <w14:textFill>
            <w14:solidFill>
              <w14:schemeClr w14:val="tx1"/>
            </w14:solidFill>
          </w14:textFill>
        </w:rPr>
        <w:t>J10064_H、JHW00525、JHW00526</w:t>
      </w:r>
      <w:r>
        <w:rPr>
          <w:rFonts w:hint="eastAsia"/>
          <w:snapToGrid w:val="0"/>
          <w:color w:val="000000" w:themeColor="text1"/>
          <w14:textFill>
            <w14:solidFill>
              <w14:schemeClr w14:val="tx1"/>
            </w14:solidFill>
          </w14:textFill>
        </w:rPr>
        <w:t>注采井至计量站的单井采油管线4.64km，</w:t>
      </w:r>
      <w:r>
        <w:rPr>
          <w:rFonts w:hint="eastAsia"/>
          <w:color w:val="000000" w:themeColor="text1"/>
          <w:kern w:val="0"/>
          <w14:textFill>
            <w14:solidFill>
              <w14:schemeClr w14:val="tx1"/>
            </w14:solidFill>
          </w14:textFill>
        </w:rPr>
        <w:t>采用DN50 PN2.5MPa的柔性复合管（接头材质选用</w:t>
      </w:r>
      <w:r>
        <w:rPr>
          <w:color w:val="000000" w:themeColor="text1"/>
          <w:kern w:val="0"/>
          <w14:textFill>
            <w14:solidFill>
              <w14:schemeClr w14:val="tx1"/>
            </w14:solidFill>
          </w14:textFill>
        </w:rPr>
        <w:t>S31603</w:t>
      </w:r>
      <w:r>
        <w:rPr>
          <w:rFonts w:hint="eastAsia"/>
          <w:color w:val="000000" w:themeColor="text1"/>
          <w:kern w:val="0"/>
          <w14:textFill>
            <w14:solidFill>
              <w14:schemeClr w14:val="tx1"/>
            </w14:solidFill>
          </w14:textFill>
        </w:rPr>
        <w:t>不锈钢）；新建计量站至预处理注入站的集油干线2.3km，采用DN100 PN4.0MPa的高压玻璃纤维管（耐温</w:t>
      </w:r>
      <w:r>
        <w:rPr>
          <w:color w:val="000000" w:themeColor="text1"/>
          <w:kern w:val="0"/>
          <w14:textFill>
            <w14:solidFill>
              <w14:schemeClr w14:val="tx1"/>
            </w14:solidFill>
          </w14:textFill>
        </w:rPr>
        <w:t>65</w:t>
      </w:r>
      <w:r>
        <w:rPr>
          <w:rFonts w:hint="eastAsia"/>
          <w:color w:val="000000" w:themeColor="text1"/>
          <w:kern w:val="0"/>
          <w14:textFill>
            <w14:solidFill>
              <w14:schemeClr w14:val="tx1"/>
            </w14:solidFill>
          </w14:textFill>
        </w:rPr>
        <w:t>℃，钢塑转换接头材质选用</w:t>
      </w:r>
      <w:r>
        <w:rPr>
          <w:color w:val="000000" w:themeColor="text1"/>
          <w:kern w:val="0"/>
          <w14:textFill>
            <w14:solidFill>
              <w14:schemeClr w14:val="tx1"/>
            </w14:solidFill>
          </w14:textFill>
        </w:rPr>
        <w:t>S31603</w:t>
      </w:r>
      <w:r>
        <w:rPr>
          <w:rFonts w:hint="eastAsia"/>
          <w:color w:val="000000" w:themeColor="text1"/>
          <w:kern w:val="0"/>
          <w14:textFill>
            <w14:solidFill>
              <w14:schemeClr w14:val="tx1"/>
            </w14:solidFill>
          </w14:textFill>
        </w:rPr>
        <w:t>不锈钢）。管道均保温后埋地敷设，柔性复合管保温层由厂家自带，玻璃钢管保温层为</w:t>
      </w:r>
      <w:r>
        <w:rPr>
          <w:color w:val="000000" w:themeColor="text1"/>
          <w:kern w:val="0"/>
          <w14:textFill>
            <w14:solidFill>
              <w14:schemeClr w14:val="tx1"/>
            </w14:solidFill>
          </w14:textFill>
        </w:rPr>
        <w:t>30mm</w:t>
      </w:r>
      <w:r>
        <w:rPr>
          <w:rFonts w:hint="eastAsia"/>
          <w:color w:val="000000" w:themeColor="text1"/>
          <w:kern w:val="0"/>
          <w14:textFill>
            <w14:solidFill>
              <w14:schemeClr w14:val="tx1"/>
            </w14:solidFill>
          </w14:textFill>
        </w:rPr>
        <w:t>厚聚氨酯泡沫塑料、防护层采用高密度聚乙烯塑料，新建单井出油管道管底埋深</w:t>
      </w:r>
      <w:r>
        <w:rPr>
          <w:color w:val="000000" w:themeColor="text1"/>
          <w:kern w:val="0"/>
          <w14:textFill>
            <w14:solidFill>
              <w14:schemeClr w14:val="tx1"/>
            </w14:solidFill>
          </w14:textFill>
        </w:rPr>
        <w:t>-1.7m</w:t>
      </w:r>
      <w:r>
        <w:rPr>
          <w:rFonts w:hint="eastAsia"/>
          <w:color w:val="000000" w:themeColor="text1"/>
          <w:kern w:val="0"/>
          <w14:textFill>
            <w14:solidFill>
              <w14:schemeClr w14:val="tx1"/>
            </w14:solidFill>
          </w14:textFill>
        </w:rPr>
        <w:t>，新建集油干支线管底埋深</w:t>
      </w:r>
      <w:r>
        <w:rPr>
          <w:color w:val="000000" w:themeColor="text1"/>
          <w:kern w:val="0"/>
          <w14:textFill>
            <w14:solidFill>
              <w14:schemeClr w14:val="tx1"/>
            </w14:solidFill>
          </w14:textFill>
        </w:rPr>
        <w:t>-1.9m</w:t>
      </w:r>
      <w:r>
        <w:rPr>
          <w:rFonts w:hint="eastAsia"/>
          <w:color w:val="000000" w:themeColor="text1"/>
          <w:kern w:val="0"/>
          <w14:textFill>
            <w14:solidFill>
              <w14:schemeClr w14:val="tx1"/>
            </w14:solidFill>
          </w14:textFill>
        </w:rPr>
        <w:t>。</w:t>
      </w:r>
    </w:p>
    <w:p w14:paraId="52702343">
      <w:pPr>
        <w:pStyle w:val="117"/>
        <w:adjustRightInd w:val="0"/>
        <w:snapToGrid w:val="0"/>
        <w:ind w:firstLine="480" w:firstLineChars="0"/>
        <w:rPr>
          <w:rFonts w:hint="eastAsia"/>
          <w:color w:val="000000" w:themeColor="text1"/>
          <w:kern w:val="0"/>
          <w14:textFill>
            <w14:solidFill>
              <w14:schemeClr w14:val="tx1"/>
            </w14:solidFill>
          </w14:textFill>
        </w:rPr>
      </w:pPr>
      <w:r>
        <w:rPr>
          <w:rFonts w:hint="eastAsia"/>
          <w:color w:val="000000" w:themeColor="text1"/>
          <w:kern w:val="0"/>
          <w14:textFill>
            <w14:solidFill>
              <w14:schemeClr w14:val="tx1"/>
            </w14:solidFill>
          </w14:textFill>
        </w:rPr>
        <w:t>④采出气回注井场及管线</w:t>
      </w:r>
    </w:p>
    <w:p w14:paraId="33059855">
      <w:pPr>
        <w:pStyle w:val="117"/>
        <w:adjustRightInd w:val="0"/>
        <w:snapToGrid w:val="0"/>
        <w:ind w:firstLine="480" w:firstLineChars="0"/>
        <w:rPr>
          <w:rFonts w:hint="eastAsia"/>
          <w:color w:val="000000" w:themeColor="text1"/>
          <w:kern w:val="0"/>
          <w14:textFill>
            <w14:solidFill>
              <w14:schemeClr w14:val="tx1"/>
            </w14:solidFill>
          </w14:textFill>
        </w:rPr>
      </w:pPr>
      <w:r>
        <w:rPr>
          <w:rFonts w:hint="eastAsia"/>
          <w:color w:val="000000" w:themeColor="text1"/>
          <w:kern w:val="0"/>
          <w14:textFill>
            <w14:solidFill>
              <w14:schemeClr w14:val="tx1"/>
            </w14:solidFill>
          </w14:textFill>
        </w:rPr>
        <w:t>新建采出气回注井场1座（井号为</w:t>
      </w:r>
      <w:r>
        <w:rPr>
          <w:color w:val="000000" w:themeColor="text1"/>
          <w:kern w:val="0"/>
          <w14:textFill>
            <w14:solidFill>
              <w14:schemeClr w14:val="tx1"/>
            </w14:solidFill>
          </w14:textFill>
        </w:rPr>
        <w:t>JHW00422</w:t>
      </w:r>
      <w:r>
        <w:rPr>
          <w:rFonts w:hint="eastAsia"/>
          <w:color w:val="000000" w:themeColor="text1"/>
          <w:kern w:val="0"/>
          <w14:textFill>
            <w14:solidFill>
              <w14:schemeClr w14:val="tx1"/>
            </w14:solidFill>
          </w14:textFill>
        </w:rPr>
        <w:t>），采用</w:t>
      </w:r>
      <w:r>
        <w:rPr>
          <w:color w:val="000000" w:themeColor="text1"/>
          <w:kern w:val="0"/>
          <w14:textFill>
            <w14:solidFill>
              <w14:schemeClr w14:val="tx1"/>
            </w14:solidFill>
          </w14:textFill>
        </w:rPr>
        <w:t>DN65</w:t>
      </w:r>
      <w:r>
        <w:rPr>
          <w:rFonts w:hint="eastAsia"/>
          <w:color w:val="000000" w:themeColor="text1"/>
          <w:kern w:val="0"/>
          <w14:textFill>
            <w14:solidFill>
              <w14:schemeClr w14:val="tx1"/>
            </w14:solidFill>
          </w14:textFill>
        </w:rPr>
        <w:t xml:space="preserve"> </w:t>
      </w:r>
      <w:r>
        <w:rPr>
          <w:color w:val="000000" w:themeColor="text1"/>
          <w:kern w:val="0"/>
          <w14:textFill>
            <w14:solidFill>
              <w14:schemeClr w14:val="tx1"/>
            </w14:solidFill>
          </w14:textFill>
        </w:rPr>
        <w:t>35MPa</w:t>
      </w:r>
      <w:r>
        <w:rPr>
          <w:rFonts w:hint="eastAsia"/>
          <w:color w:val="000000" w:themeColor="text1"/>
          <w:kern w:val="0"/>
          <w14:textFill>
            <w14:solidFill>
              <w14:schemeClr w14:val="tx1"/>
            </w14:solidFill>
          </w14:textFill>
        </w:rPr>
        <w:t>井口，注入管道设止回阀，防止伴生气倒流，井口采用保温盒进行保温。</w:t>
      </w:r>
    </w:p>
    <w:p w14:paraId="78B1CA4B">
      <w:pPr>
        <w:pStyle w:val="117"/>
        <w:snapToGrid w:val="0"/>
        <w:ind w:firstLine="480"/>
        <w:rPr>
          <w:rFonts w:hint="eastAsia"/>
          <w:color w:val="000000" w:themeColor="text1"/>
          <w:kern w:val="0"/>
          <w14:textFill>
            <w14:solidFill>
              <w14:schemeClr w14:val="tx1"/>
            </w14:solidFill>
          </w14:textFill>
        </w:rPr>
      </w:pPr>
      <w:r>
        <w:rPr>
          <w:rFonts w:hint="eastAsia"/>
          <w:color w:val="000000" w:themeColor="text1"/>
          <w:kern w:val="0"/>
          <w14:textFill>
            <w14:solidFill>
              <w14:schemeClr w14:val="tx1"/>
            </w14:solidFill>
          </w14:textFill>
        </w:rPr>
        <w:t>新建预处理注入站至采出气回注井场的单井注气管线1.2km，</w:t>
      </w:r>
      <w:r>
        <w:rPr>
          <w:color w:val="000000" w:themeColor="text1"/>
          <w:kern w:val="0"/>
          <w14:textFill>
            <w14:solidFill>
              <w14:schemeClr w14:val="tx1"/>
            </w14:solidFill>
          </w14:textFill>
        </w:rPr>
        <w:t>管径选用D</w:t>
      </w:r>
      <w:r>
        <w:rPr>
          <w:rFonts w:hint="eastAsia"/>
          <w:color w:val="000000" w:themeColor="text1"/>
          <w:kern w:val="0"/>
          <w14:textFill>
            <w14:solidFill>
              <w14:schemeClr w14:val="tx1"/>
            </w14:solidFill>
          </w14:textFill>
        </w:rPr>
        <w:t>60</w:t>
      </w:r>
      <w:r>
        <w:rPr>
          <w:color w:val="000000" w:themeColor="text1"/>
          <w:kern w:val="0"/>
          <w14:textFill>
            <w14:solidFill>
              <w14:schemeClr w14:val="tx1"/>
            </w14:solidFill>
          </w14:textFill>
        </w:rPr>
        <w:t>×</w:t>
      </w:r>
      <w:r>
        <w:rPr>
          <w:rFonts w:hint="eastAsia"/>
          <w:color w:val="000000" w:themeColor="text1"/>
          <w:kern w:val="0"/>
          <w14:textFill>
            <w14:solidFill>
              <w14:schemeClr w14:val="tx1"/>
            </w14:solidFill>
          </w14:textFill>
        </w:rPr>
        <w:t>3.5</w:t>
      </w:r>
      <w:r>
        <w:rPr>
          <w:color w:val="000000" w:themeColor="text1"/>
          <w:kern w:val="0"/>
          <w14:textFill>
            <w14:solidFill>
              <w14:schemeClr w14:val="tx1"/>
            </w14:solidFill>
          </w14:textFill>
        </w:rPr>
        <w:t>mm</w:t>
      </w:r>
      <w:r>
        <w:rPr>
          <w:rFonts w:hint="eastAsia"/>
          <w:color w:val="000000" w:themeColor="text1"/>
          <w:kern w:val="0"/>
          <w14:textFill>
            <w14:solidFill>
              <w14:schemeClr w14:val="tx1"/>
            </w14:solidFill>
          </w14:textFill>
        </w:rPr>
        <w:t>、</w:t>
      </w:r>
      <w:r>
        <w:rPr>
          <w:color w:val="000000" w:themeColor="text1"/>
          <w:kern w:val="0"/>
          <w14:textFill>
            <w14:solidFill>
              <w14:schemeClr w14:val="tx1"/>
            </w14:solidFill>
          </w14:textFill>
        </w:rPr>
        <w:t>管道材质选用</w:t>
      </w:r>
      <w:r>
        <w:rPr>
          <w:rFonts w:hint="eastAsia"/>
          <w:color w:val="000000" w:themeColor="text1"/>
          <w:kern w:val="0"/>
          <w14:textFill>
            <w14:solidFill>
              <w14:schemeClr w14:val="tx1"/>
            </w14:solidFill>
          </w14:textFill>
        </w:rPr>
        <w:t>20#无缝钢管。管线保温后埋地敷设，保温层采用</w:t>
      </w:r>
      <w:r>
        <w:rPr>
          <w:color w:val="000000" w:themeColor="text1"/>
          <w:kern w:val="0"/>
          <w14:textFill>
            <w14:solidFill>
              <w14:schemeClr w14:val="tx1"/>
            </w14:solidFill>
          </w14:textFill>
        </w:rPr>
        <w:t>30mm</w:t>
      </w:r>
      <w:r>
        <w:rPr>
          <w:rFonts w:hint="eastAsia"/>
          <w:color w:val="000000" w:themeColor="text1"/>
          <w:kern w:val="0"/>
          <w14:textFill>
            <w14:solidFill>
              <w14:schemeClr w14:val="tx1"/>
            </w14:solidFill>
          </w14:textFill>
        </w:rPr>
        <w:t>厚聚氨酯泡沫塑料、防护层采用高密度聚乙烯塑料，管底埋深</w:t>
      </w:r>
      <w:r>
        <w:rPr>
          <w:color w:val="000000" w:themeColor="text1"/>
          <w:kern w:val="0"/>
          <w14:textFill>
            <w14:solidFill>
              <w14:schemeClr w14:val="tx1"/>
            </w14:solidFill>
          </w14:textFill>
        </w:rPr>
        <w:t>-1.9m</w:t>
      </w:r>
      <w:r>
        <w:rPr>
          <w:rFonts w:hint="eastAsia"/>
          <w:color w:val="000000" w:themeColor="text1"/>
          <w:kern w:val="0"/>
          <w14:textFill>
            <w14:solidFill>
              <w14:schemeClr w14:val="tx1"/>
            </w14:solidFill>
          </w14:textFill>
        </w:rPr>
        <w:t>，与新建转液管线同沟敷设。</w:t>
      </w:r>
    </w:p>
    <w:p w14:paraId="5A3A691A">
      <w:pPr>
        <w:pStyle w:val="117"/>
        <w:numPr>
          <w:ilvl w:val="0"/>
          <w:numId w:val="3"/>
        </w:numPr>
        <w:adjustRightInd w:val="0"/>
        <w:snapToGrid w:val="0"/>
        <w:ind w:firstLineChars="0"/>
        <w:rPr>
          <w:rFonts w:hint="eastAsia"/>
          <w:color w:val="000000" w:themeColor="text1"/>
          <w:kern w:val="0"/>
          <w14:textFill>
            <w14:solidFill>
              <w14:schemeClr w14:val="tx1"/>
            </w14:solidFill>
          </w14:textFill>
        </w:rPr>
      </w:pPr>
      <w:r>
        <w:rPr>
          <w:rFonts w:hint="eastAsia"/>
          <w:color w:val="000000" w:themeColor="text1"/>
          <w:kern w:val="0"/>
          <w14:textFill>
            <w14:solidFill>
              <w14:schemeClr w14:val="tx1"/>
            </w14:solidFill>
          </w14:textFill>
        </w:rPr>
        <w:t>注水井场</w:t>
      </w:r>
    </w:p>
    <w:p w14:paraId="0DDEE20A">
      <w:pPr>
        <w:pStyle w:val="117"/>
        <w:snapToGrid w:val="0"/>
        <w:ind w:firstLine="480"/>
        <w:rPr>
          <w:rFonts w:hint="eastAsia"/>
          <w:color w:val="000000" w:themeColor="text1"/>
          <w:kern w:val="0"/>
          <w14:textFill>
            <w14:solidFill>
              <w14:schemeClr w14:val="tx1"/>
            </w14:solidFill>
          </w14:textFill>
        </w:rPr>
      </w:pPr>
      <w:r>
        <w:rPr>
          <w:rFonts w:hint="eastAsia"/>
          <w:color w:val="000000" w:themeColor="text1"/>
          <w:kern w:val="0"/>
          <w14:textFill>
            <w14:solidFill>
              <w14:schemeClr w14:val="tx1"/>
            </w14:solidFill>
          </w14:textFill>
        </w:rPr>
        <w:t>新建2座注水井场，井号分别为</w:t>
      </w:r>
      <w:r>
        <w:rPr>
          <w:color w:val="000000" w:themeColor="text1"/>
          <w:kern w:val="0"/>
          <w14:textFill>
            <w14:solidFill>
              <w14:schemeClr w14:val="tx1"/>
            </w14:solidFill>
          </w14:textFill>
        </w:rPr>
        <w:t>JHW00421</w:t>
      </w:r>
      <w:r>
        <w:rPr>
          <w:rFonts w:hint="eastAsia"/>
          <w:color w:val="000000" w:themeColor="text1"/>
          <w:kern w:val="0"/>
          <w14:textFill>
            <w14:solidFill>
              <w14:schemeClr w14:val="tx1"/>
            </w14:solidFill>
          </w14:textFill>
        </w:rPr>
        <w:t>和</w:t>
      </w:r>
      <w:r>
        <w:rPr>
          <w:color w:val="000000" w:themeColor="text1"/>
          <w:kern w:val="0"/>
          <w14:textFill>
            <w14:solidFill>
              <w14:schemeClr w14:val="tx1"/>
            </w14:solidFill>
          </w14:textFill>
        </w:rPr>
        <w:t>JHW034</w:t>
      </w:r>
      <w:r>
        <w:rPr>
          <w:rFonts w:hint="eastAsia"/>
          <w:color w:val="000000" w:themeColor="text1"/>
          <w:kern w:val="0"/>
          <w14:textFill>
            <w14:solidFill>
              <w14:schemeClr w14:val="tx1"/>
            </w14:solidFill>
          </w14:textFill>
        </w:rPr>
        <w:t>井，设计注水规模分别为140m</w:t>
      </w:r>
      <w:r>
        <w:rPr>
          <w:rFonts w:hint="eastAsia"/>
          <w:color w:val="000000" w:themeColor="text1"/>
          <w:kern w:val="0"/>
          <w:vertAlign w:val="superscript"/>
          <w14:textFill>
            <w14:solidFill>
              <w14:schemeClr w14:val="tx1"/>
            </w14:solidFill>
          </w14:textFill>
        </w:rPr>
        <w:t>3</w:t>
      </w:r>
      <w:r>
        <w:rPr>
          <w:rFonts w:hint="eastAsia"/>
          <w:color w:val="000000" w:themeColor="text1"/>
          <w:kern w:val="0"/>
          <w14:textFill>
            <w14:solidFill>
              <w14:schemeClr w14:val="tx1"/>
            </w14:solidFill>
          </w14:textFill>
        </w:rPr>
        <w:t>/d、90m</w:t>
      </w:r>
      <w:r>
        <w:rPr>
          <w:rFonts w:hint="eastAsia"/>
          <w:color w:val="000000" w:themeColor="text1"/>
          <w:kern w:val="0"/>
          <w:vertAlign w:val="superscript"/>
          <w14:textFill>
            <w14:solidFill>
              <w14:schemeClr w14:val="tx1"/>
            </w14:solidFill>
          </w14:textFill>
        </w:rPr>
        <w:t>3</w:t>
      </w:r>
      <w:r>
        <w:rPr>
          <w:rFonts w:hint="eastAsia"/>
          <w:color w:val="000000" w:themeColor="text1"/>
          <w:kern w:val="0"/>
          <w14:textFill>
            <w14:solidFill>
              <w14:schemeClr w14:val="tx1"/>
            </w14:solidFill>
          </w14:textFill>
        </w:rPr>
        <w:t>/d，每座井场内新建撬装注水泵橇2座（每座内设1台</w:t>
      </w:r>
      <w:r>
        <w:rPr>
          <w:color w:val="000000" w:themeColor="text1"/>
          <w:kern w:val="0"/>
          <w14:textFill>
            <w14:solidFill>
              <w14:schemeClr w14:val="tx1"/>
            </w14:solidFill>
          </w14:textFill>
        </w:rPr>
        <w:t>Q=6m</w:t>
      </w:r>
      <w:r>
        <w:rPr>
          <w:color w:val="000000" w:themeColor="text1"/>
          <w:kern w:val="0"/>
          <w:vertAlign w:val="superscript"/>
          <w14:textFill>
            <w14:solidFill>
              <w14:schemeClr w14:val="tx1"/>
            </w14:solidFill>
          </w14:textFill>
        </w:rPr>
        <w:t>3</w:t>
      </w:r>
      <w:r>
        <w:rPr>
          <w:color w:val="000000" w:themeColor="text1"/>
          <w:kern w:val="0"/>
          <w14:textFill>
            <w14:solidFill>
              <w14:schemeClr w14:val="tx1"/>
            </w14:solidFill>
          </w14:textFill>
        </w:rPr>
        <w:t>/h</w:t>
      </w:r>
      <w:r>
        <w:rPr>
          <w:rFonts w:hint="eastAsia"/>
          <w:color w:val="000000" w:themeColor="text1"/>
          <w:kern w:val="0"/>
          <w14:textFill>
            <w14:solidFill>
              <w14:schemeClr w14:val="tx1"/>
            </w14:solidFill>
          </w14:textFill>
        </w:rPr>
        <w:t>、</w:t>
      </w:r>
      <w:r>
        <w:rPr>
          <w:color w:val="000000" w:themeColor="text1"/>
          <w:kern w:val="0"/>
          <w14:textFill>
            <w14:solidFill>
              <w14:schemeClr w14:val="tx1"/>
            </w14:solidFill>
          </w14:textFill>
        </w:rPr>
        <w:t>25MPa</w:t>
      </w:r>
      <w:r>
        <w:rPr>
          <w:rFonts w:hint="eastAsia"/>
          <w:color w:val="000000" w:themeColor="text1"/>
          <w:kern w:val="0"/>
          <w14:textFill>
            <w14:solidFill>
              <w14:schemeClr w14:val="tx1"/>
            </w14:solidFill>
          </w14:textFill>
        </w:rPr>
        <w:t>柱塞泵、</w:t>
      </w:r>
      <w:r>
        <w:rPr>
          <w:color w:val="000000" w:themeColor="text1"/>
          <w:kern w:val="0"/>
          <w14:textFill>
            <w14:solidFill>
              <w14:schemeClr w14:val="tx1"/>
            </w14:solidFill>
          </w14:textFill>
        </w:rPr>
        <w:t>1</w:t>
      </w:r>
      <w:r>
        <w:rPr>
          <w:rFonts w:hint="eastAsia"/>
          <w:color w:val="000000" w:themeColor="text1"/>
          <w:kern w:val="0"/>
          <w14:textFill>
            <w14:solidFill>
              <w14:schemeClr w14:val="tx1"/>
            </w14:solidFill>
          </w14:textFill>
        </w:rPr>
        <w:t>套变频器）、4座60m</w:t>
      </w:r>
      <w:r>
        <w:rPr>
          <w:rFonts w:hint="eastAsia"/>
          <w:color w:val="000000" w:themeColor="text1"/>
          <w:kern w:val="0"/>
          <w:vertAlign w:val="superscript"/>
          <w14:textFill>
            <w14:solidFill>
              <w14:schemeClr w14:val="tx1"/>
            </w14:solidFill>
          </w14:textFill>
        </w:rPr>
        <w:t>3</w:t>
      </w:r>
      <w:r>
        <w:rPr>
          <w:rFonts w:hint="eastAsia"/>
          <w:color w:val="000000" w:themeColor="text1"/>
          <w:kern w:val="0"/>
          <w14:textFill>
            <w14:solidFill>
              <w14:schemeClr w14:val="tx1"/>
            </w14:solidFill>
          </w14:textFill>
        </w:rPr>
        <w:t>水罐等设施，回注水由罐车拉运至注水井场。平面布置见图3.2-5。</w:t>
      </w:r>
    </w:p>
    <w:p w14:paraId="6F1A52F1">
      <w:pPr>
        <w:pStyle w:val="117"/>
        <w:numPr>
          <w:ilvl w:val="0"/>
          <w:numId w:val="3"/>
        </w:numPr>
        <w:adjustRightInd w:val="0"/>
        <w:snapToGrid w:val="0"/>
        <w:ind w:firstLineChars="0"/>
        <w:rPr>
          <w:rFonts w:hint="eastAsia"/>
          <w:color w:val="000000" w:themeColor="text1"/>
          <w:kern w:val="0"/>
          <w14:textFill>
            <w14:solidFill>
              <w14:schemeClr w14:val="tx1"/>
            </w14:solidFill>
          </w14:textFill>
        </w:rPr>
      </w:pPr>
      <w:r>
        <w:rPr>
          <w:rFonts w:hint="eastAsia"/>
          <w:color w:val="000000" w:themeColor="text1"/>
          <w:kern w:val="0"/>
          <w14:textFill>
            <w14:solidFill>
              <w14:schemeClr w14:val="tx1"/>
            </w14:solidFill>
          </w14:textFill>
        </w:rPr>
        <w:t>预处理注入站</w:t>
      </w:r>
    </w:p>
    <w:p w14:paraId="5FECD039">
      <w:pPr>
        <w:pStyle w:val="117"/>
        <w:adjustRightInd w:val="0"/>
        <w:snapToGrid w:val="0"/>
        <w:ind w:firstLine="480" w:firstLineChars="0"/>
        <w:rPr>
          <w:rFonts w:hint="eastAsia"/>
          <w:color w:val="000000" w:themeColor="text1"/>
          <w:kern w:val="0"/>
          <w14:textFill>
            <w14:solidFill>
              <w14:schemeClr w14:val="tx1"/>
            </w14:solidFill>
          </w14:textFill>
        </w:rPr>
      </w:pPr>
      <w:r>
        <w:rPr>
          <w:rFonts w:hint="eastAsia"/>
          <w:color w:val="000000" w:themeColor="text1"/>
          <w:kern w:val="0"/>
          <w14:textFill>
            <w14:solidFill>
              <w14:schemeClr w14:val="tx1"/>
            </w14:solidFill>
          </w14:textFill>
        </w:rPr>
        <w:t>在拟部署油区新建1座预处理注入站（预处理注入站与2号计量橇合建），包括采出物预处理系统、注入系统和辅助系统，其中预处理系统主要设备为2座油气分离橇、1台除液器橇、1台200kW电磁加热器、1座转油泵橇等，设计转液能力为</w:t>
      </w:r>
      <w:r>
        <w:rPr>
          <w:rFonts w:hint="eastAsia"/>
          <w:color w:val="000000" w:themeColor="text1"/>
          <w:szCs w:val="21"/>
          <w14:textFill>
            <w14:solidFill>
              <w14:schemeClr w14:val="tx1"/>
            </w14:solidFill>
          </w14:textFill>
        </w:rPr>
        <w:t>263t/d</w:t>
      </w:r>
      <w:r>
        <w:rPr>
          <w:rFonts w:hint="eastAsia"/>
          <w:color w:val="000000" w:themeColor="text1"/>
          <w:kern w:val="0"/>
          <w14:textFill>
            <w14:solidFill>
              <w14:schemeClr w14:val="tx1"/>
            </w14:solidFill>
          </w14:textFill>
        </w:rPr>
        <w:t>；注入系统设备主要为1座分子筛脱水装置、2座往复式压缩机（单台能力为1.0</w:t>
      </w:r>
      <w:r>
        <w:rPr>
          <w:color w:val="000000" w:themeColor="text1"/>
          <w:kern w:val="0"/>
          <w14:textFill>
            <w14:solidFill>
              <w14:schemeClr w14:val="tx1"/>
            </w14:solidFill>
          </w14:textFill>
        </w:rPr>
        <w:t>×10</w:t>
      </w:r>
      <w:r>
        <w:rPr>
          <w:color w:val="000000" w:themeColor="text1"/>
          <w:kern w:val="0"/>
          <w:vertAlign w:val="superscript"/>
          <w14:textFill>
            <w14:solidFill>
              <w14:schemeClr w14:val="tx1"/>
            </w14:solidFill>
          </w14:textFill>
        </w:rPr>
        <w:t>4</w:t>
      </w:r>
      <w:r>
        <w:rPr>
          <w:color w:val="000000" w:themeColor="text1"/>
          <w:kern w:val="0"/>
          <w14:textFill>
            <w14:solidFill>
              <w14:schemeClr w14:val="tx1"/>
            </w14:solidFill>
          </w14:textFill>
        </w:rPr>
        <w:t>Nm</w:t>
      </w:r>
      <w:r>
        <w:rPr>
          <w:color w:val="000000" w:themeColor="text1"/>
          <w:kern w:val="0"/>
          <w:vertAlign w:val="superscript"/>
          <w14:textFill>
            <w14:solidFill>
              <w14:schemeClr w14:val="tx1"/>
            </w14:solidFill>
          </w14:textFill>
        </w:rPr>
        <w:t>3</w:t>
      </w:r>
      <w:r>
        <w:rPr>
          <w:color w:val="000000" w:themeColor="text1"/>
          <w:kern w:val="0"/>
          <w14:textFill>
            <w14:solidFill>
              <w14:schemeClr w14:val="tx1"/>
            </w14:solidFill>
          </w14:textFill>
        </w:rPr>
        <w:t>/d</w:t>
      </w:r>
      <w:r>
        <w:rPr>
          <w:rFonts w:hint="eastAsia"/>
          <w:color w:val="000000" w:themeColor="text1"/>
          <w:kern w:val="0"/>
          <w14:textFill>
            <w14:solidFill>
              <w14:schemeClr w14:val="tx1"/>
            </w14:solidFill>
          </w14:textFill>
        </w:rPr>
        <w:t>），设计注气规模1.65×10</w:t>
      </w:r>
      <w:r>
        <w:rPr>
          <w:rFonts w:hint="eastAsia"/>
          <w:color w:val="000000" w:themeColor="text1"/>
          <w:kern w:val="0"/>
          <w:vertAlign w:val="superscript"/>
          <w14:textFill>
            <w14:solidFill>
              <w14:schemeClr w14:val="tx1"/>
            </w14:solidFill>
          </w14:textFill>
        </w:rPr>
        <w:t>4</w:t>
      </w:r>
      <w:r>
        <w:rPr>
          <w:rFonts w:hint="eastAsia"/>
          <w:color w:val="000000" w:themeColor="text1"/>
          <w:kern w:val="0"/>
          <w14:textFill>
            <w14:solidFill>
              <w14:schemeClr w14:val="tx1"/>
            </w14:solidFill>
          </w14:textFill>
        </w:rPr>
        <w:t>m</w:t>
      </w:r>
      <w:r>
        <w:rPr>
          <w:rFonts w:hint="eastAsia"/>
          <w:color w:val="000000" w:themeColor="text1"/>
          <w:kern w:val="0"/>
          <w:vertAlign w:val="superscript"/>
          <w14:textFill>
            <w14:solidFill>
              <w14:schemeClr w14:val="tx1"/>
            </w14:solidFill>
          </w14:textFill>
        </w:rPr>
        <w:t>3</w:t>
      </w:r>
      <w:r>
        <w:rPr>
          <w:rFonts w:hint="eastAsia"/>
          <w:color w:val="000000" w:themeColor="text1"/>
          <w:kern w:val="0"/>
          <w14:textFill>
            <w14:solidFill>
              <w14:schemeClr w14:val="tx1"/>
            </w14:solidFill>
          </w14:textFill>
        </w:rPr>
        <w:t>/d；1套缓蚀剂加药橇（</w:t>
      </w:r>
      <w:r>
        <w:rPr>
          <w:color w:val="000000" w:themeColor="text1"/>
          <w14:textFill>
            <w14:solidFill>
              <w14:schemeClr w14:val="tx1"/>
            </w14:solidFill>
          </w14:textFill>
        </w:rPr>
        <w:t>包括1座2</w:t>
      </w:r>
      <w:r>
        <w:rPr>
          <w:rFonts w:hint="eastAsia"/>
          <w:color w:val="000000" w:themeColor="text1"/>
          <w14:textFill>
            <w14:solidFill>
              <w14:schemeClr w14:val="tx1"/>
            </w14:solidFill>
          </w14:textFill>
        </w:rPr>
        <w:t>.5</w:t>
      </w:r>
      <w:r>
        <w:rPr>
          <w:color w:val="000000" w:themeColor="text1"/>
          <w14:textFill>
            <w14:solidFill>
              <w14:schemeClr w14:val="tx1"/>
            </w14:solidFill>
          </w14:textFill>
        </w:rPr>
        <w:t>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的</w:t>
      </w:r>
      <w:r>
        <w:rPr>
          <w:rFonts w:hint="eastAsia"/>
          <w:color w:val="000000" w:themeColor="text1"/>
          <w14:textFill>
            <w14:solidFill>
              <w14:schemeClr w14:val="tx1"/>
            </w14:solidFill>
          </w14:textFill>
        </w:rPr>
        <w:t>加药</w:t>
      </w:r>
      <w:r>
        <w:rPr>
          <w:color w:val="000000" w:themeColor="text1"/>
          <w14:textFill>
            <w14:solidFill>
              <w14:schemeClr w14:val="tx1"/>
            </w14:solidFill>
          </w14:textFill>
        </w:rPr>
        <w:t>罐、</w:t>
      </w:r>
      <w:r>
        <w:rPr>
          <w:rFonts w:hint="eastAsia"/>
          <w:color w:val="000000" w:themeColor="text1"/>
          <w14:textFill>
            <w14:solidFill>
              <w14:schemeClr w14:val="tx1"/>
            </w14:solidFill>
          </w14:textFill>
        </w:rPr>
        <w:t>2</w:t>
      </w:r>
      <w:r>
        <w:rPr>
          <w:color w:val="000000" w:themeColor="text1"/>
          <w14:textFill>
            <w14:solidFill>
              <w14:schemeClr w14:val="tx1"/>
            </w14:solidFill>
          </w14:textFill>
        </w:rPr>
        <w:t>台</w:t>
      </w:r>
      <w:r>
        <w:rPr>
          <w:rFonts w:hint="eastAsia"/>
          <w:color w:val="000000" w:themeColor="text1"/>
          <w14:textFill>
            <w14:solidFill>
              <w14:schemeClr w14:val="tx1"/>
            </w14:solidFill>
          </w14:textFill>
        </w:rPr>
        <w:t>加药</w:t>
      </w:r>
      <w:r>
        <w:rPr>
          <w:color w:val="000000" w:themeColor="text1"/>
          <w14:textFill>
            <w14:solidFill>
              <w14:schemeClr w14:val="tx1"/>
            </w14:solidFill>
          </w14:textFill>
        </w:rPr>
        <w:t>泵</w:t>
      </w:r>
      <w:r>
        <w:rPr>
          <w:rFonts w:hint="eastAsia"/>
          <w:color w:val="000000" w:themeColor="text1"/>
          <w:kern w:val="0"/>
          <w14:textFill>
            <w14:solidFill>
              <w14:schemeClr w14:val="tx1"/>
            </w14:solidFill>
          </w14:textFill>
        </w:rPr>
        <w:t>）、放空系统（包括火炬除液器、15m高放空火炬）和排污系统（主要包括</w:t>
      </w:r>
      <w:r>
        <w:rPr>
          <w:color w:val="000000" w:themeColor="text1"/>
          <w14:textFill>
            <w14:solidFill>
              <w14:schemeClr w14:val="tx1"/>
            </w14:solidFill>
          </w14:textFill>
        </w:rPr>
        <w:t>1座污油罐、1台污油泵</w:t>
      </w:r>
      <w:r>
        <w:rPr>
          <w:rFonts w:hint="eastAsia"/>
          <w:color w:val="000000" w:themeColor="text1"/>
          <w:kern w:val="0"/>
          <w14:textFill>
            <w14:solidFill>
              <w14:schemeClr w14:val="tx1"/>
            </w14:solidFill>
          </w14:textFill>
        </w:rPr>
        <w:t>）。主要设备参数见表3.2-10，平面布置见图3.2-6，占地面积6651m</w:t>
      </w:r>
      <w:r>
        <w:rPr>
          <w:rFonts w:hint="eastAsia"/>
          <w:color w:val="000000" w:themeColor="text1"/>
          <w:kern w:val="0"/>
          <w:vertAlign w:val="superscript"/>
          <w14:textFill>
            <w14:solidFill>
              <w14:schemeClr w14:val="tx1"/>
            </w14:solidFill>
          </w14:textFill>
        </w:rPr>
        <w:t>2</w:t>
      </w:r>
      <w:r>
        <w:rPr>
          <w:rFonts w:hint="eastAsia"/>
          <w:color w:val="000000" w:themeColor="text1"/>
          <w:kern w:val="0"/>
          <w14:textFill>
            <w14:solidFill>
              <w14:schemeClr w14:val="tx1"/>
            </w14:solidFill>
          </w14:textFill>
        </w:rPr>
        <w:t>。</w:t>
      </w:r>
    </w:p>
    <w:p w14:paraId="1AFD1179">
      <w:pPr>
        <w:pStyle w:val="117"/>
        <w:adjustRightInd w:val="0"/>
        <w:snapToGrid w:val="0"/>
        <w:ind w:firstLine="0" w:firstLineChars="0"/>
        <w:jc w:val="center"/>
        <w:rPr>
          <w:rFonts w:hint="eastAsia" w:ascii="黑体" w:hAnsi="黑体" w:eastAsia="黑体"/>
          <w:color w:val="000000" w:themeColor="text1"/>
          <w:kern w:val="0"/>
          <w:sz w:val="21"/>
          <w:szCs w:val="21"/>
          <w14:textFill>
            <w14:solidFill>
              <w14:schemeClr w14:val="tx1"/>
            </w14:solidFill>
          </w14:textFill>
        </w:rPr>
      </w:pPr>
    </w:p>
    <w:p w14:paraId="7993FE9C">
      <w:pPr>
        <w:pStyle w:val="117"/>
        <w:adjustRightInd w:val="0"/>
        <w:snapToGrid w:val="0"/>
        <w:ind w:firstLine="0" w:firstLineChars="0"/>
        <w:jc w:val="center"/>
        <w:rPr>
          <w:rFonts w:hint="eastAsia" w:ascii="黑体" w:hAnsi="黑体" w:eastAsia="黑体"/>
          <w:color w:val="000000" w:themeColor="text1"/>
          <w:kern w:val="0"/>
          <w:sz w:val="21"/>
          <w:szCs w:val="21"/>
          <w14:textFill>
            <w14:solidFill>
              <w14:schemeClr w14:val="tx1"/>
            </w14:solidFill>
          </w14:textFill>
        </w:rPr>
      </w:pPr>
      <w:r>
        <w:rPr>
          <w:rFonts w:hint="eastAsia" w:ascii="黑体" w:hAnsi="黑体" w:eastAsia="黑体"/>
          <w:color w:val="000000" w:themeColor="text1"/>
          <w:kern w:val="0"/>
          <w:sz w:val="21"/>
          <w:szCs w:val="21"/>
          <w14:textFill>
            <w14:solidFill>
              <w14:schemeClr w14:val="tx1"/>
            </w14:solidFill>
          </w14:textFill>
        </w:rPr>
        <w:t>表3.2-10  主要设备一览表</w:t>
      </w:r>
    </w:p>
    <w:tbl>
      <w:tblPr>
        <w:tblStyle w:val="51"/>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568"/>
        <w:gridCol w:w="3262"/>
        <w:gridCol w:w="707"/>
        <w:gridCol w:w="567"/>
        <w:gridCol w:w="3626"/>
      </w:tblGrid>
      <w:tr w14:paraId="066B049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70" w:hRule="atLeast"/>
          <w:tblHeader/>
        </w:trPr>
        <w:tc>
          <w:tcPr>
            <w:tcW w:w="325" w:type="pct"/>
            <w:vAlign w:val="center"/>
          </w:tcPr>
          <w:p w14:paraId="3D9B9498">
            <w:pPr>
              <w:widowControl/>
              <w:adjustRightInd w:val="0"/>
              <w:snapToGrid w:val="0"/>
              <w:spacing w:line="300" w:lineRule="exact"/>
              <w:jc w:val="center"/>
              <w:rPr>
                <w:rFonts w:hint="eastAsia" w:ascii="宋体" w:hAnsi="宋体"/>
                <w:color w:val="000000" w:themeColor="text1"/>
                <w:kern w:val="0"/>
                <w:szCs w:val="21"/>
                <w14:textFill>
                  <w14:solidFill>
                    <w14:schemeClr w14:val="tx1"/>
                  </w14:solidFill>
                </w14:textFill>
              </w:rPr>
            </w:pPr>
            <w:bookmarkStart w:id="265" w:name="_Hlk205377515"/>
            <w:r>
              <w:rPr>
                <w:rFonts w:ascii="宋体" w:hAnsi="宋体"/>
                <w:color w:val="000000" w:themeColor="text1"/>
                <w:kern w:val="0"/>
                <w:szCs w:val="21"/>
                <w14:textFill>
                  <w14:solidFill>
                    <w14:schemeClr w14:val="tx1"/>
                  </w14:solidFill>
                </w14:textFill>
              </w:rPr>
              <w:t>序号</w:t>
            </w:r>
          </w:p>
        </w:tc>
        <w:tc>
          <w:tcPr>
            <w:tcW w:w="1868" w:type="pct"/>
            <w:vAlign w:val="center"/>
          </w:tcPr>
          <w:p w14:paraId="14A050AE">
            <w:pPr>
              <w:widowControl/>
              <w:adjustRightInd w:val="0"/>
              <w:snapToGrid w:val="0"/>
              <w:spacing w:line="300" w:lineRule="exact"/>
              <w:jc w:val="center"/>
              <w:rPr>
                <w:rFonts w:hint="eastAsia" w:ascii="宋体" w:hAnsi="宋体"/>
                <w:color w:val="000000" w:themeColor="text1"/>
                <w:kern w:val="0"/>
                <w:szCs w:val="21"/>
                <w14:textFill>
                  <w14:solidFill>
                    <w14:schemeClr w14:val="tx1"/>
                  </w14:solidFill>
                </w14:textFill>
              </w:rPr>
            </w:pPr>
            <w:r>
              <w:rPr>
                <w:rFonts w:ascii="宋体" w:hAnsi="宋体"/>
                <w:color w:val="000000" w:themeColor="text1"/>
                <w:kern w:val="0"/>
                <w:szCs w:val="21"/>
                <w14:textFill>
                  <w14:solidFill>
                    <w14:schemeClr w14:val="tx1"/>
                  </w14:solidFill>
                </w14:textFill>
              </w:rPr>
              <w:t>项目名称</w:t>
            </w:r>
          </w:p>
        </w:tc>
        <w:tc>
          <w:tcPr>
            <w:tcW w:w="405" w:type="pct"/>
            <w:vAlign w:val="center"/>
          </w:tcPr>
          <w:p w14:paraId="6543E54C">
            <w:pPr>
              <w:widowControl/>
              <w:adjustRightInd w:val="0"/>
              <w:snapToGrid w:val="0"/>
              <w:spacing w:line="300" w:lineRule="exact"/>
              <w:jc w:val="center"/>
              <w:rPr>
                <w:rFonts w:hint="eastAsia"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数量</w:t>
            </w:r>
          </w:p>
        </w:tc>
        <w:tc>
          <w:tcPr>
            <w:tcW w:w="325" w:type="pct"/>
            <w:vAlign w:val="center"/>
          </w:tcPr>
          <w:p w14:paraId="78C07663">
            <w:pPr>
              <w:widowControl/>
              <w:adjustRightInd w:val="0"/>
              <w:snapToGrid w:val="0"/>
              <w:spacing w:line="300" w:lineRule="exact"/>
              <w:jc w:val="center"/>
              <w:rPr>
                <w:rFonts w:hint="eastAsia" w:ascii="宋体" w:hAnsi="宋体"/>
                <w:color w:val="000000" w:themeColor="text1"/>
                <w:kern w:val="0"/>
                <w:szCs w:val="21"/>
                <w14:textFill>
                  <w14:solidFill>
                    <w14:schemeClr w14:val="tx1"/>
                  </w14:solidFill>
                </w14:textFill>
              </w:rPr>
            </w:pPr>
            <w:r>
              <w:rPr>
                <w:rFonts w:ascii="宋体" w:hAnsi="宋体"/>
                <w:color w:val="000000" w:themeColor="text1"/>
                <w:kern w:val="0"/>
                <w:szCs w:val="21"/>
                <w14:textFill>
                  <w14:solidFill>
                    <w14:schemeClr w14:val="tx1"/>
                  </w14:solidFill>
                </w14:textFill>
              </w:rPr>
              <w:t>单位</w:t>
            </w:r>
          </w:p>
        </w:tc>
        <w:tc>
          <w:tcPr>
            <w:tcW w:w="2077" w:type="pct"/>
            <w:vAlign w:val="center"/>
          </w:tcPr>
          <w:p w14:paraId="0A8AB5BF">
            <w:pPr>
              <w:widowControl/>
              <w:adjustRightInd w:val="0"/>
              <w:snapToGrid w:val="0"/>
              <w:spacing w:line="300" w:lineRule="exact"/>
              <w:jc w:val="center"/>
              <w:rPr>
                <w:rFonts w:hint="eastAsia"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型号或参数</w:t>
            </w:r>
          </w:p>
        </w:tc>
      </w:tr>
      <w:bookmarkEnd w:id="265"/>
      <w:tr w14:paraId="25B3695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325" w:type="pct"/>
            <w:vAlign w:val="center"/>
          </w:tcPr>
          <w:p w14:paraId="529B7157">
            <w:pPr>
              <w:widowControl/>
              <w:adjustRightInd w:val="0"/>
              <w:snapToGrid w:val="0"/>
              <w:spacing w:line="300" w:lineRule="exact"/>
              <w:jc w:val="center"/>
              <w:rPr>
                <w:rFonts w:hint="eastAsia"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1</w:t>
            </w:r>
          </w:p>
        </w:tc>
        <w:tc>
          <w:tcPr>
            <w:tcW w:w="1868" w:type="pct"/>
            <w:vAlign w:val="center"/>
          </w:tcPr>
          <w:p w14:paraId="3057ECB3">
            <w:pPr>
              <w:widowControl/>
              <w:adjustRightInd w:val="0"/>
              <w:snapToGrid w:val="0"/>
              <w:spacing w:line="300" w:lineRule="exact"/>
              <w:jc w:val="center"/>
              <w:rPr>
                <w:rFonts w:hint="eastAsia"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8井式1一体化自动选井计量装置</w:t>
            </w:r>
          </w:p>
        </w:tc>
        <w:tc>
          <w:tcPr>
            <w:tcW w:w="405" w:type="pct"/>
            <w:vAlign w:val="center"/>
          </w:tcPr>
          <w:p w14:paraId="38205D8E">
            <w:pPr>
              <w:widowControl/>
              <w:adjustRightInd w:val="0"/>
              <w:snapToGrid w:val="0"/>
              <w:spacing w:line="300" w:lineRule="exact"/>
              <w:jc w:val="center"/>
              <w:rPr>
                <w:rFonts w:hint="eastAsia"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座</w:t>
            </w:r>
          </w:p>
        </w:tc>
        <w:tc>
          <w:tcPr>
            <w:tcW w:w="325" w:type="pct"/>
            <w:vAlign w:val="center"/>
          </w:tcPr>
          <w:p w14:paraId="4CB1D1D9">
            <w:pPr>
              <w:widowControl/>
              <w:adjustRightInd w:val="0"/>
              <w:snapToGrid w:val="0"/>
              <w:spacing w:line="300" w:lineRule="exact"/>
              <w:jc w:val="center"/>
              <w:rPr>
                <w:rFonts w:hint="eastAsia"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1</w:t>
            </w:r>
          </w:p>
        </w:tc>
        <w:tc>
          <w:tcPr>
            <w:tcW w:w="2077" w:type="pct"/>
            <w:vAlign w:val="center"/>
          </w:tcPr>
          <w:p w14:paraId="5CCC53B0">
            <w:pPr>
              <w:widowControl/>
              <w:adjustRightInd w:val="0"/>
              <w:snapToGrid w:val="0"/>
              <w:spacing w:line="300" w:lineRule="exact"/>
              <w:jc w:val="center"/>
              <w:rPr>
                <w:rFonts w:hint="eastAsia" w:ascii="宋体" w:hAnsi="宋体"/>
                <w:color w:val="000000" w:themeColor="text1"/>
                <w:kern w:val="0"/>
                <w:szCs w:val="21"/>
                <w14:textFill>
                  <w14:solidFill>
                    <w14:schemeClr w14:val="tx1"/>
                  </w14:solidFill>
                </w14:textFill>
              </w:rPr>
            </w:pPr>
          </w:p>
        </w:tc>
      </w:tr>
      <w:tr w14:paraId="46E60D7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325" w:type="pct"/>
            <w:vAlign w:val="center"/>
          </w:tcPr>
          <w:p w14:paraId="6EDC3538">
            <w:pPr>
              <w:widowControl/>
              <w:adjustRightInd w:val="0"/>
              <w:snapToGrid w:val="0"/>
              <w:spacing w:line="300" w:lineRule="exact"/>
              <w:jc w:val="center"/>
              <w:rPr>
                <w:rFonts w:hint="eastAsia"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2</w:t>
            </w:r>
          </w:p>
        </w:tc>
        <w:tc>
          <w:tcPr>
            <w:tcW w:w="1868" w:type="pct"/>
            <w:vAlign w:val="center"/>
          </w:tcPr>
          <w:p w14:paraId="10F29BA9">
            <w:pPr>
              <w:widowControl/>
              <w:adjustRightInd w:val="0"/>
              <w:snapToGrid w:val="0"/>
              <w:spacing w:line="300" w:lineRule="exact"/>
              <w:jc w:val="center"/>
              <w:rPr>
                <w:rFonts w:hint="eastAsia" w:ascii="宋体" w:hAnsi="宋体"/>
                <w:color w:val="000000" w:themeColor="text1"/>
                <w:kern w:val="0"/>
                <w:szCs w:val="21"/>
                <w14:textFill>
                  <w14:solidFill>
                    <w14:schemeClr w14:val="tx1"/>
                  </w14:solidFill>
                </w14:textFill>
              </w:rPr>
            </w:pPr>
            <w:r>
              <w:rPr>
                <w:rFonts w:ascii="宋体" w:hAnsi="宋体"/>
                <w:color w:val="000000" w:themeColor="text1"/>
                <w:kern w:val="0"/>
                <w:szCs w:val="21"/>
                <w14:textFill>
                  <w14:solidFill>
                    <w14:schemeClr w14:val="tx1"/>
                  </w14:solidFill>
                </w14:textFill>
              </w:rPr>
              <w:t>预处理系统</w:t>
            </w:r>
          </w:p>
        </w:tc>
        <w:tc>
          <w:tcPr>
            <w:tcW w:w="405" w:type="pct"/>
            <w:vAlign w:val="center"/>
          </w:tcPr>
          <w:p w14:paraId="464A4EAD">
            <w:pPr>
              <w:widowControl/>
              <w:adjustRightInd w:val="0"/>
              <w:snapToGrid w:val="0"/>
              <w:spacing w:line="300" w:lineRule="exact"/>
              <w:jc w:val="center"/>
              <w:rPr>
                <w:rFonts w:hint="eastAsia" w:ascii="宋体" w:hAnsi="宋体"/>
                <w:color w:val="000000" w:themeColor="text1"/>
                <w:kern w:val="0"/>
                <w:szCs w:val="21"/>
                <w14:textFill>
                  <w14:solidFill>
                    <w14:schemeClr w14:val="tx1"/>
                  </w14:solidFill>
                </w14:textFill>
              </w:rPr>
            </w:pPr>
          </w:p>
        </w:tc>
        <w:tc>
          <w:tcPr>
            <w:tcW w:w="325" w:type="pct"/>
            <w:vAlign w:val="center"/>
          </w:tcPr>
          <w:p w14:paraId="2BB92A1A">
            <w:pPr>
              <w:widowControl/>
              <w:adjustRightInd w:val="0"/>
              <w:snapToGrid w:val="0"/>
              <w:spacing w:line="300" w:lineRule="exact"/>
              <w:jc w:val="center"/>
              <w:rPr>
                <w:rFonts w:hint="eastAsia" w:ascii="宋体" w:hAnsi="宋体"/>
                <w:color w:val="000000" w:themeColor="text1"/>
                <w:kern w:val="0"/>
                <w:szCs w:val="21"/>
                <w14:textFill>
                  <w14:solidFill>
                    <w14:schemeClr w14:val="tx1"/>
                  </w14:solidFill>
                </w14:textFill>
              </w:rPr>
            </w:pPr>
          </w:p>
        </w:tc>
        <w:tc>
          <w:tcPr>
            <w:tcW w:w="2077" w:type="pct"/>
            <w:vAlign w:val="center"/>
          </w:tcPr>
          <w:p w14:paraId="7990E675">
            <w:pPr>
              <w:widowControl/>
              <w:adjustRightInd w:val="0"/>
              <w:snapToGrid w:val="0"/>
              <w:spacing w:line="300" w:lineRule="exact"/>
              <w:jc w:val="center"/>
              <w:rPr>
                <w:rFonts w:hint="eastAsia" w:ascii="宋体" w:hAnsi="宋体"/>
                <w:color w:val="000000" w:themeColor="text1"/>
                <w:kern w:val="0"/>
                <w:szCs w:val="21"/>
                <w14:textFill>
                  <w14:solidFill>
                    <w14:schemeClr w14:val="tx1"/>
                  </w14:solidFill>
                </w14:textFill>
              </w:rPr>
            </w:pPr>
          </w:p>
        </w:tc>
      </w:tr>
      <w:tr w14:paraId="2E3FF95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325" w:type="pct"/>
            <w:vAlign w:val="center"/>
          </w:tcPr>
          <w:p w14:paraId="02A05F56">
            <w:pPr>
              <w:widowControl/>
              <w:adjustRightInd w:val="0"/>
              <w:snapToGrid w:val="0"/>
              <w:spacing w:line="300" w:lineRule="exact"/>
              <w:jc w:val="center"/>
              <w:rPr>
                <w:rFonts w:hint="eastAsia"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1）</w:t>
            </w:r>
          </w:p>
        </w:tc>
        <w:tc>
          <w:tcPr>
            <w:tcW w:w="1868" w:type="pct"/>
            <w:vAlign w:val="center"/>
          </w:tcPr>
          <w:p w14:paraId="5D76216F">
            <w:pPr>
              <w:widowControl/>
              <w:adjustRightInd w:val="0"/>
              <w:snapToGrid w:val="0"/>
              <w:spacing w:line="300" w:lineRule="exact"/>
              <w:jc w:val="center"/>
              <w:rPr>
                <w:rFonts w:hint="eastAsia" w:ascii="宋体" w:hAnsi="宋体"/>
                <w:color w:val="000000" w:themeColor="text1"/>
                <w:kern w:val="0"/>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油气分离橇</w:t>
            </w:r>
          </w:p>
        </w:tc>
        <w:tc>
          <w:tcPr>
            <w:tcW w:w="405" w:type="pct"/>
            <w:vAlign w:val="center"/>
          </w:tcPr>
          <w:p w14:paraId="17ED8C33">
            <w:pPr>
              <w:widowControl/>
              <w:adjustRightInd w:val="0"/>
              <w:snapToGrid w:val="0"/>
              <w:spacing w:line="300" w:lineRule="exact"/>
              <w:jc w:val="center"/>
              <w:rPr>
                <w:rFonts w:hint="eastAsia"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2</w:t>
            </w:r>
          </w:p>
        </w:tc>
        <w:tc>
          <w:tcPr>
            <w:tcW w:w="325" w:type="pct"/>
            <w:vAlign w:val="center"/>
          </w:tcPr>
          <w:p w14:paraId="0F284816">
            <w:pPr>
              <w:widowControl/>
              <w:adjustRightInd w:val="0"/>
              <w:snapToGrid w:val="0"/>
              <w:spacing w:line="300" w:lineRule="exact"/>
              <w:jc w:val="center"/>
              <w:rPr>
                <w:rFonts w:hint="eastAsia" w:ascii="宋体" w:hAnsi="宋体"/>
                <w:color w:val="000000" w:themeColor="text1"/>
                <w:kern w:val="0"/>
                <w:szCs w:val="21"/>
                <w14:textFill>
                  <w14:solidFill>
                    <w14:schemeClr w14:val="tx1"/>
                  </w14:solidFill>
                </w14:textFill>
              </w:rPr>
            </w:pPr>
            <w:r>
              <w:rPr>
                <w:rFonts w:ascii="宋体" w:hAnsi="宋体"/>
                <w:color w:val="000000" w:themeColor="text1"/>
                <w:kern w:val="0"/>
                <w:szCs w:val="21"/>
                <w14:textFill>
                  <w14:solidFill>
                    <w14:schemeClr w14:val="tx1"/>
                  </w14:solidFill>
                </w14:textFill>
              </w:rPr>
              <w:t>座</w:t>
            </w:r>
          </w:p>
        </w:tc>
        <w:tc>
          <w:tcPr>
            <w:tcW w:w="2077" w:type="pct"/>
            <w:vAlign w:val="center"/>
          </w:tcPr>
          <w:p w14:paraId="17623961">
            <w:pPr>
              <w:widowControl/>
              <w:adjustRightInd w:val="0"/>
              <w:snapToGrid w:val="0"/>
              <w:spacing w:line="300" w:lineRule="exact"/>
              <w:jc w:val="center"/>
              <w:rPr>
                <w:rFonts w:hint="eastAsia" w:ascii="宋体" w:hAnsi="宋体"/>
                <w:color w:val="000000" w:themeColor="text1"/>
                <w:kern w:val="0"/>
                <w:szCs w:val="21"/>
                <w14:textFill>
                  <w14:solidFill>
                    <w14:schemeClr w14:val="tx1"/>
                  </w14:solidFill>
                </w14:textFill>
              </w:rPr>
            </w:pPr>
            <w:r>
              <w:rPr>
                <w:rFonts w:ascii="宋体" w:hAnsi="宋体"/>
                <w:color w:val="000000" w:themeColor="text1"/>
                <w:szCs w:val="21"/>
                <w14:textFill>
                  <w14:solidFill>
                    <w14:schemeClr w14:val="tx1"/>
                  </w14:solidFill>
                </w14:textFill>
              </w:rPr>
              <w:t>D</w:t>
            </w:r>
            <w:r>
              <w:rPr>
                <w:rFonts w:hint="eastAsia" w:ascii="宋体" w:hAnsi="宋体"/>
                <w:color w:val="000000" w:themeColor="text1"/>
                <w:szCs w:val="21"/>
                <w14:textFill>
                  <w14:solidFill>
                    <w14:schemeClr w14:val="tx1"/>
                  </w14:solidFill>
                </w14:textFill>
              </w:rPr>
              <w:t>20</w:t>
            </w:r>
            <w:r>
              <w:rPr>
                <w:rFonts w:ascii="宋体" w:hAnsi="宋体"/>
                <w:color w:val="000000" w:themeColor="text1"/>
                <w:szCs w:val="21"/>
                <w14:textFill>
                  <w14:solidFill>
                    <w14:schemeClr w14:val="tx1"/>
                  </w14:solidFill>
                </w14:textFill>
              </w:rPr>
              <w:t>00×</w:t>
            </w:r>
            <w:r>
              <w:rPr>
                <w:rFonts w:hint="eastAsia" w:ascii="宋体" w:hAnsi="宋体"/>
                <w:color w:val="000000" w:themeColor="text1"/>
                <w:szCs w:val="21"/>
                <w14:textFill>
                  <w14:solidFill>
                    <w14:schemeClr w14:val="tx1"/>
                  </w14:solidFill>
                </w14:textFill>
              </w:rPr>
              <w:t>6000，1.6</w:t>
            </w:r>
            <w:r>
              <w:rPr>
                <w:rFonts w:ascii="宋体" w:hAnsi="宋体"/>
                <w:color w:val="000000" w:themeColor="text1"/>
                <w:szCs w:val="21"/>
                <w14:textFill>
                  <w14:solidFill>
                    <w14:schemeClr w14:val="tx1"/>
                  </w14:solidFill>
                </w14:textFill>
              </w:rPr>
              <w:t>MPa，</w:t>
            </w:r>
            <w:r>
              <w:rPr>
                <w:rFonts w:hint="eastAsia" w:ascii="宋体" w:hAnsi="宋体"/>
                <w:color w:val="000000" w:themeColor="text1"/>
                <w:szCs w:val="21"/>
                <w14:textFill>
                  <w14:solidFill>
                    <w14:schemeClr w14:val="tx1"/>
                  </w14:solidFill>
                </w14:textFill>
              </w:rPr>
              <w:t>设计液量处理能力</w:t>
            </w:r>
            <w:bookmarkStart w:id="266" w:name="OLE_LINK67"/>
            <w:r>
              <w:rPr>
                <w:rFonts w:hint="eastAsia" w:ascii="宋体" w:hAnsi="宋体"/>
                <w:color w:val="000000" w:themeColor="text1"/>
                <w:szCs w:val="21"/>
                <w14:textFill>
                  <w14:solidFill>
                    <w14:schemeClr w14:val="tx1"/>
                  </w14:solidFill>
                </w14:textFill>
              </w:rPr>
              <w:t>263t/d，</w:t>
            </w:r>
            <w:bookmarkEnd w:id="266"/>
            <w:r>
              <w:rPr>
                <w:rFonts w:hint="eastAsia" w:ascii="宋体" w:hAnsi="宋体"/>
                <w:color w:val="000000" w:themeColor="text1"/>
                <w:szCs w:val="21"/>
                <w14:textFill>
                  <w14:solidFill>
                    <w14:schemeClr w14:val="tx1"/>
                  </w14:solidFill>
                </w14:textFill>
              </w:rPr>
              <w:t>气量</w:t>
            </w:r>
            <w:r>
              <w:rPr>
                <w:rFonts w:ascii="宋体" w:hAnsi="宋体"/>
                <w:color w:val="000000" w:themeColor="text1"/>
                <w:szCs w:val="21"/>
                <w14:textFill>
                  <w14:solidFill>
                    <w14:schemeClr w14:val="tx1"/>
                  </w14:solidFill>
                </w14:textFill>
              </w:rPr>
              <w:t>16533Nm</w:t>
            </w:r>
            <w:r>
              <w:rPr>
                <w:rFonts w:ascii="宋体" w:hAnsi="宋体"/>
                <w:color w:val="000000" w:themeColor="text1"/>
                <w:szCs w:val="21"/>
                <w:vertAlign w:val="superscript"/>
                <w14:textFill>
                  <w14:solidFill>
                    <w14:schemeClr w14:val="tx1"/>
                  </w14:solidFill>
                </w14:textFill>
              </w:rPr>
              <w:t>3</w:t>
            </w:r>
            <w:r>
              <w:rPr>
                <w:rFonts w:ascii="宋体" w:hAnsi="宋体"/>
                <w:color w:val="000000" w:themeColor="text1"/>
                <w:szCs w:val="21"/>
                <w14:textFill>
                  <w14:solidFill>
                    <w14:schemeClr w14:val="tx1"/>
                  </w14:solidFill>
                </w14:textFill>
              </w:rPr>
              <w:t>/d</w:t>
            </w:r>
            <w:r>
              <w:rPr>
                <w:rFonts w:hint="eastAsia" w:ascii="宋体" w:hAnsi="宋体"/>
                <w:color w:val="000000" w:themeColor="text1"/>
                <w:szCs w:val="21"/>
                <w14:textFill>
                  <w14:solidFill>
                    <w14:schemeClr w14:val="tx1"/>
                  </w14:solidFill>
                </w14:textFill>
              </w:rPr>
              <w:t>，</w:t>
            </w:r>
            <w:r>
              <w:rPr>
                <w:rFonts w:ascii="宋体" w:hAnsi="宋体"/>
                <w:color w:val="000000" w:themeColor="text1"/>
                <w:szCs w:val="21"/>
                <w14:textFill>
                  <w14:solidFill>
                    <w14:schemeClr w14:val="tx1"/>
                  </w14:solidFill>
                </w14:textFill>
              </w:rPr>
              <w:t>材质选用</w:t>
            </w:r>
            <w:r>
              <w:rPr>
                <w:rFonts w:hint="eastAsia" w:ascii="宋体" w:hAnsi="宋体"/>
                <w:color w:val="000000" w:themeColor="text1"/>
                <w:szCs w:val="21"/>
                <w14:textFill>
                  <w14:solidFill>
                    <w14:schemeClr w14:val="tx1"/>
                  </w14:solidFill>
                </w14:textFill>
              </w:rPr>
              <w:t>S31603</w:t>
            </w:r>
          </w:p>
        </w:tc>
      </w:tr>
      <w:tr w14:paraId="7385609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325" w:type="pct"/>
            <w:vAlign w:val="center"/>
          </w:tcPr>
          <w:p w14:paraId="674DFDF6">
            <w:pPr>
              <w:widowControl/>
              <w:adjustRightInd w:val="0"/>
              <w:snapToGrid w:val="0"/>
              <w:spacing w:line="300" w:lineRule="exact"/>
              <w:jc w:val="center"/>
              <w:rPr>
                <w:rFonts w:hint="eastAsia"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2）</w:t>
            </w:r>
          </w:p>
        </w:tc>
        <w:tc>
          <w:tcPr>
            <w:tcW w:w="1868" w:type="pct"/>
            <w:vAlign w:val="center"/>
          </w:tcPr>
          <w:p w14:paraId="3614A168">
            <w:pPr>
              <w:widowControl/>
              <w:adjustRightInd w:val="0"/>
              <w:snapToGrid w:val="0"/>
              <w:spacing w:line="300" w:lineRule="exact"/>
              <w:jc w:val="center"/>
              <w:rPr>
                <w:rFonts w:hint="eastAsia" w:ascii="宋体" w:hAnsi="宋体"/>
                <w:color w:val="000000" w:themeColor="text1"/>
                <w:kern w:val="0"/>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采出气</w:t>
            </w:r>
            <w:r>
              <w:rPr>
                <w:rFonts w:ascii="宋体" w:hAnsi="宋体"/>
                <w:color w:val="000000" w:themeColor="text1"/>
                <w:szCs w:val="21"/>
                <w14:textFill>
                  <w14:solidFill>
                    <w14:schemeClr w14:val="tx1"/>
                  </w14:solidFill>
                </w14:textFill>
              </w:rPr>
              <w:t>除液器</w:t>
            </w:r>
            <w:r>
              <w:rPr>
                <w:rFonts w:hint="eastAsia" w:ascii="宋体" w:hAnsi="宋体"/>
                <w:color w:val="000000" w:themeColor="text1"/>
                <w:szCs w:val="21"/>
                <w14:textFill>
                  <w14:solidFill>
                    <w14:schemeClr w14:val="tx1"/>
                  </w14:solidFill>
                </w14:textFill>
              </w:rPr>
              <w:t>橇</w:t>
            </w:r>
          </w:p>
        </w:tc>
        <w:tc>
          <w:tcPr>
            <w:tcW w:w="405" w:type="pct"/>
            <w:vAlign w:val="center"/>
          </w:tcPr>
          <w:p w14:paraId="5080E0DB">
            <w:pPr>
              <w:widowControl/>
              <w:adjustRightInd w:val="0"/>
              <w:snapToGrid w:val="0"/>
              <w:spacing w:line="300" w:lineRule="exact"/>
              <w:jc w:val="center"/>
              <w:rPr>
                <w:rFonts w:hint="eastAsia" w:ascii="宋体" w:hAnsi="宋体"/>
                <w:color w:val="000000" w:themeColor="text1"/>
                <w:kern w:val="0"/>
                <w:szCs w:val="21"/>
                <w14:textFill>
                  <w14:solidFill>
                    <w14:schemeClr w14:val="tx1"/>
                  </w14:solidFill>
                </w14:textFill>
              </w:rPr>
            </w:pPr>
            <w:r>
              <w:rPr>
                <w:rFonts w:ascii="宋体" w:hAnsi="宋体"/>
                <w:color w:val="000000" w:themeColor="text1"/>
                <w:szCs w:val="21"/>
                <w14:textFill>
                  <w14:solidFill>
                    <w14:schemeClr w14:val="tx1"/>
                  </w14:solidFill>
                </w14:textFill>
              </w:rPr>
              <w:t>1</w:t>
            </w:r>
          </w:p>
        </w:tc>
        <w:tc>
          <w:tcPr>
            <w:tcW w:w="325" w:type="pct"/>
            <w:vAlign w:val="center"/>
          </w:tcPr>
          <w:p w14:paraId="7B3F15BC">
            <w:pPr>
              <w:widowControl/>
              <w:adjustRightInd w:val="0"/>
              <w:snapToGrid w:val="0"/>
              <w:spacing w:line="300" w:lineRule="exact"/>
              <w:jc w:val="center"/>
              <w:rPr>
                <w:rFonts w:hint="eastAsia" w:ascii="宋体" w:hAnsi="宋体"/>
                <w:color w:val="000000" w:themeColor="text1"/>
                <w:kern w:val="0"/>
                <w:szCs w:val="21"/>
                <w14:textFill>
                  <w14:solidFill>
                    <w14:schemeClr w14:val="tx1"/>
                  </w14:solidFill>
                </w14:textFill>
              </w:rPr>
            </w:pPr>
            <w:r>
              <w:rPr>
                <w:rFonts w:ascii="宋体" w:hAnsi="宋体"/>
                <w:color w:val="000000" w:themeColor="text1"/>
                <w:kern w:val="0"/>
                <w:szCs w:val="21"/>
                <w14:textFill>
                  <w14:solidFill>
                    <w14:schemeClr w14:val="tx1"/>
                  </w14:solidFill>
                </w14:textFill>
              </w:rPr>
              <w:t>台</w:t>
            </w:r>
          </w:p>
        </w:tc>
        <w:tc>
          <w:tcPr>
            <w:tcW w:w="2077" w:type="pct"/>
            <w:vAlign w:val="center"/>
          </w:tcPr>
          <w:p w14:paraId="3E31C7E1">
            <w:pPr>
              <w:widowControl/>
              <w:adjustRightInd w:val="0"/>
              <w:snapToGrid w:val="0"/>
              <w:spacing w:line="300" w:lineRule="exact"/>
              <w:jc w:val="center"/>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Ф</w:t>
            </w:r>
            <w:r>
              <w:rPr>
                <w:rFonts w:ascii="宋体" w:hAnsi="宋体"/>
                <w:color w:val="000000" w:themeColor="text1"/>
                <w:szCs w:val="21"/>
                <w14:textFill>
                  <w14:solidFill>
                    <w14:schemeClr w14:val="tx1"/>
                  </w14:solidFill>
                </w14:textFill>
              </w:rPr>
              <w:t>1m</w:t>
            </w:r>
            <w:r>
              <w:rPr>
                <w:rFonts w:hint="eastAsia" w:ascii="宋体" w:hAnsi="宋体"/>
                <w:color w:val="000000" w:themeColor="text1"/>
                <w:szCs w:val="21"/>
                <w14:textFill>
                  <w14:solidFill>
                    <w14:schemeClr w14:val="tx1"/>
                  </w14:solidFill>
                </w14:textFill>
              </w:rPr>
              <w:t>×</w:t>
            </w:r>
            <w:r>
              <w:rPr>
                <w:rFonts w:ascii="宋体" w:hAnsi="宋体"/>
                <w:color w:val="000000" w:themeColor="text1"/>
                <w:szCs w:val="21"/>
                <w14:textFill>
                  <w14:solidFill>
                    <w14:schemeClr w14:val="tx1"/>
                  </w14:solidFill>
                </w14:textFill>
              </w:rPr>
              <w:t>3m，</w:t>
            </w:r>
            <w:r>
              <w:rPr>
                <w:rFonts w:hint="eastAsia" w:ascii="宋体" w:hAnsi="宋体"/>
                <w:color w:val="000000" w:themeColor="text1"/>
                <w:szCs w:val="21"/>
                <w14:textFill>
                  <w14:solidFill>
                    <w14:schemeClr w14:val="tx1"/>
                  </w14:solidFill>
                </w14:textFill>
              </w:rPr>
              <w:t>设计处理能力为2×10</w:t>
            </w:r>
            <w:r>
              <w:rPr>
                <w:rFonts w:hint="eastAsia" w:ascii="宋体" w:hAnsi="宋体"/>
                <w:color w:val="000000" w:themeColor="text1"/>
                <w:szCs w:val="21"/>
                <w:vertAlign w:val="superscript"/>
                <w14:textFill>
                  <w14:solidFill>
                    <w14:schemeClr w14:val="tx1"/>
                  </w14:solidFill>
                </w14:textFill>
              </w:rPr>
              <w:t>4</w:t>
            </w:r>
            <w:r>
              <w:rPr>
                <w:rFonts w:hint="eastAsia" w:ascii="宋体" w:hAnsi="宋体"/>
                <w:color w:val="000000" w:themeColor="text1"/>
                <w:szCs w:val="21"/>
                <w14:textFill>
                  <w14:solidFill>
                    <w14:schemeClr w14:val="tx1"/>
                  </w14:solidFill>
                </w14:textFill>
              </w:rPr>
              <w:t>m</w:t>
            </w:r>
            <w:r>
              <w:rPr>
                <w:rFonts w:hint="eastAsia" w:ascii="宋体" w:hAnsi="宋体"/>
                <w:color w:val="000000" w:themeColor="text1"/>
                <w:szCs w:val="21"/>
                <w:vertAlign w:val="superscript"/>
                <w14:textFill>
                  <w14:solidFill>
                    <w14:schemeClr w14:val="tx1"/>
                  </w14:solidFill>
                </w14:textFill>
              </w:rPr>
              <w:t>3</w:t>
            </w:r>
            <w:r>
              <w:rPr>
                <w:rFonts w:hint="eastAsia" w:ascii="宋体" w:hAnsi="宋体"/>
                <w:color w:val="000000" w:themeColor="text1"/>
                <w:szCs w:val="21"/>
                <w14:textFill>
                  <w14:solidFill>
                    <w14:schemeClr w14:val="tx1"/>
                  </w14:solidFill>
                </w14:textFill>
              </w:rPr>
              <w:t>/d，设计压力1.0</w:t>
            </w:r>
            <w:r>
              <w:rPr>
                <w:rFonts w:ascii="宋体" w:hAnsi="宋体"/>
                <w:color w:val="000000" w:themeColor="text1"/>
                <w:szCs w:val="21"/>
                <w14:textFill>
                  <w14:solidFill>
                    <w14:schemeClr w14:val="tx1"/>
                  </w14:solidFill>
                </w14:textFill>
              </w:rPr>
              <w:t>MPa，</w:t>
            </w:r>
            <w:r>
              <w:rPr>
                <w:rFonts w:hint="eastAsia" w:ascii="宋体" w:hAnsi="宋体"/>
                <w:color w:val="000000" w:themeColor="text1"/>
                <w:szCs w:val="21"/>
                <w14:textFill>
                  <w14:solidFill>
                    <w14:schemeClr w14:val="tx1"/>
                  </w14:solidFill>
                </w14:textFill>
              </w:rPr>
              <w:t>操作压力0.2～0.3MPa，操作温度为15～30℃</w:t>
            </w:r>
          </w:p>
          <w:p w14:paraId="16CDE2E0">
            <w:pPr>
              <w:widowControl/>
              <w:adjustRightInd w:val="0"/>
              <w:snapToGrid w:val="0"/>
              <w:spacing w:line="300" w:lineRule="exact"/>
              <w:jc w:val="center"/>
              <w:rPr>
                <w:rFonts w:hint="eastAsia" w:ascii="宋体" w:hAnsi="宋体"/>
                <w:color w:val="000000" w:themeColor="text1"/>
                <w:kern w:val="0"/>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设备及管道材质选用</w:t>
            </w:r>
            <w:r>
              <w:rPr>
                <w:rFonts w:ascii="宋体" w:hAnsi="宋体"/>
                <w:color w:val="000000" w:themeColor="text1"/>
                <w:szCs w:val="21"/>
                <w14:textFill>
                  <w14:solidFill>
                    <w14:schemeClr w14:val="tx1"/>
                  </w14:solidFill>
                </w14:textFill>
              </w:rPr>
              <w:t>S31603</w:t>
            </w:r>
            <w:r>
              <w:rPr>
                <w:rFonts w:hint="eastAsia" w:ascii="宋体" w:hAnsi="宋体"/>
                <w:color w:val="000000" w:themeColor="text1"/>
                <w:szCs w:val="21"/>
                <w14:textFill>
                  <w14:solidFill>
                    <w14:schemeClr w14:val="tx1"/>
                  </w14:solidFill>
                </w14:textFill>
              </w:rPr>
              <w:t>。</w:t>
            </w:r>
            <w:r>
              <w:rPr>
                <w:color w:val="000000" w:themeColor="text1"/>
                <w:szCs w:val="9"/>
                <w14:textFill>
                  <w14:solidFill>
                    <w14:schemeClr w14:val="tx1"/>
                  </w14:solidFill>
                </w14:textFill>
              </w:rPr>
              <w:t>出液口设置开关阀与除液器液位连锁；出气口设置调节阀控制设备压力稳定在0.2</w:t>
            </w:r>
            <w:r>
              <w:rPr>
                <w:rFonts w:hint="eastAsia"/>
                <w:color w:val="000000" w:themeColor="text1"/>
                <w:szCs w:val="9"/>
                <w14:textFill>
                  <w14:solidFill>
                    <w14:schemeClr w14:val="tx1"/>
                  </w14:solidFill>
                </w14:textFill>
              </w:rPr>
              <w:t>~</w:t>
            </w:r>
            <w:r>
              <w:rPr>
                <w:color w:val="000000" w:themeColor="text1"/>
                <w:szCs w:val="9"/>
                <w14:textFill>
                  <w14:solidFill>
                    <w14:schemeClr w14:val="tx1"/>
                  </w14:solidFill>
                </w14:textFill>
              </w:rPr>
              <w:t>0.</w:t>
            </w:r>
            <w:r>
              <w:rPr>
                <w:rFonts w:hint="eastAsia"/>
                <w:color w:val="000000" w:themeColor="text1"/>
                <w:szCs w:val="9"/>
                <w14:textFill>
                  <w14:solidFill>
                    <w14:schemeClr w14:val="tx1"/>
                  </w14:solidFill>
                </w14:textFill>
              </w:rPr>
              <w:t>25</w:t>
            </w:r>
            <w:r>
              <w:rPr>
                <w:color w:val="000000" w:themeColor="text1"/>
                <w:szCs w:val="9"/>
                <w14:textFill>
                  <w14:solidFill>
                    <w14:schemeClr w14:val="tx1"/>
                  </w14:solidFill>
                </w14:textFill>
              </w:rPr>
              <w:t>MPa</w:t>
            </w:r>
            <w:r>
              <w:rPr>
                <w:rFonts w:hint="eastAsia"/>
                <w:color w:val="000000" w:themeColor="text1"/>
                <w:szCs w:val="9"/>
                <w14:textFill>
                  <w14:solidFill>
                    <w14:schemeClr w14:val="tx1"/>
                  </w14:solidFill>
                </w14:textFill>
              </w:rPr>
              <w:t>，</w:t>
            </w:r>
            <w:r>
              <w:rPr>
                <w:color w:val="000000" w:themeColor="text1"/>
                <w:szCs w:val="9"/>
                <w14:textFill>
                  <w14:solidFill>
                    <w14:schemeClr w14:val="tx1"/>
                  </w14:solidFill>
                </w14:textFill>
              </w:rPr>
              <w:t>S31603</w:t>
            </w:r>
            <w:r>
              <w:rPr>
                <w:rFonts w:hint="eastAsia"/>
                <w:color w:val="000000" w:themeColor="text1"/>
                <w:szCs w:val="9"/>
                <w14:textFill>
                  <w14:solidFill>
                    <w14:schemeClr w14:val="tx1"/>
                  </w14:solidFill>
                </w14:textFill>
              </w:rPr>
              <w:t>不锈钢材质。</w:t>
            </w:r>
          </w:p>
        </w:tc>
      </w:tr>
      <w:tr w14:paraId="65AD665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325" w:type="pct"/>
            <w:vAlign w:val="center"/>
          </w:tcPr>
          <w:p w14:paraId="5ED6BFE4">
            <w:pPr>
              <w:widowControl/>
              <w:adjustRightInd w:val="0"/>
              <w:snapToGrid w:val="0"/>
              <w:spacing w:line="300" w:lineRule="exact"/>
              <w:jc w:val="center"/>
              <w:rPr>
                <w:rFonts w:hint="eastAsia"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3）</w:t>
            </w:r>
          </w:p>
        </w:tc>
        <w:tc>
          <w:tcPr>
            <w:tcW w:w="1868" w:type="pct"/>
            <w:vAlign w:val="center"/>
          </w:tcPr>
          <w:p w14:paraId="6F8C7B98">
            <w:pPr>
              <w:widowControl/>
              <w:adjustRightInd w:val="0"/>
              <w:snapToGrid w:val="0"/>
              <w:spacing w:line="300" w:lineRule="exact"/>
              <w:jc w:val="center"/>
              <w:rPr>
                <w:rFonts w:hint="eastAsia" w:ascii="宋体" w:hAnsi="宋体"/>
                <w:color w:val="000000" w:themeColor="text1"/>
                <w:kern w:val="0"/>
                <w:szCs w:val="21"/>
                <w14:textFill>
                  <w14:solidFill>
                    <w14:schemeClr w14:val="tx1"/>
                  </w14:solidFill>
                </w14:textFill>
              </w:rPr>
            </w:pPr>
            <w:r>
              <w:rPr>
                <w:rFonts w:ascii="宋体" w:hAnsi="宋体"/>
                <w:color w:val="000000" w:themeColor="text1"/>
                <w:szCs w:val="21"/>
                <w14:textFill>
                  <w14:solidFill>
                    <w14:schemeClr w14:val="tx1"/>
                  </w14:solidFill>
                </w14:textFill>
              </w:rPr>
              <w:t>缓蚀剂</w:t>
            </w:r>
            <w:r>
              <w:rPr>
                <w:rFonts w:hint="eastAsia" w:ascii="宋体" w:hAnsi="宋体"/>
                <w:color w:val="000000" w:themeColor="text1"/>
                <w:szCs w:val="21"/>
                <w14:textFill>
                  <w14:solidFill>
                    <w14:schemeClr w14:val="tx1"/>
                  </w14:solidFill>
                </w14:textFill>
              </w:rPr>
              <w:t>加药</w:t>
            </w:r>
            <w:r>
              <w:rPr>
                <w:rFonts w:ascii="宋体" w:hAnsi="宋体"/>
                <w:color w:val="000000" w:themeColor="text1"/>
                <w:szCs w:val="21"/>
                <w14:textFill>
                  <w14:solidFill>
                    <w14:schemeClr w14:val="tx1"/>
                  </w14:solidFill>
                </w14:textFill>
              </w:rPr>
              <w:t>橇</w:t>
            </w:r>
          </w:p>
        </w:tc>
        <w:tc>
          <w:tcPr>
            <w:tcW w:w="405" w:type="pct"/>
            <w:vAlign w:val="center"/>
          </w:tcPr>
          <w:p w14:paraId="7B6E7A64">
            <w:pPr>
              <w:widowControl/>
              <w:adjustRightInd w:val="0"/>
              <w:snapToGrid w:val="0"/>
              <w:spacing w:line="300" w:lineRule="exact"/>
              <w:jc w:val="center"/>
              <w:rPr>
                <w:rFonts w:hint="eastAsia" w:ascii="宋体" w:hAnsi="宋体"/>
                <w:color w:val="000000" w:themeColor="text1"/>
                <w:kern w:val="0"/>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1</w:t>
            </w:r>
          </w:p>
        </w:tc>
        <w:tc>
          <w:tcPr>
            <w:tcW w:w="325" w:type="pct"/>
            <w:vAlign w:val="center"/>
          </w:tcPr>
          <w:p w14:paraId="585A380D">
            <w:pPr>
              <w:widowControl/>
              <w:adjustRightInd w:val="0"/>
              <w:snapToGrid w:val="0"/>
              <w:spacing w:line="300" w:lineRule="exact"/>
              <w:jc w:val="center"/>
              <w:rPr>
                <w:rFonts w:hint="eastAsia" w:ascii="宋体" w:hAnsi="宋体"/>
                <w:color w:val="000000" w:themeColor="text1"/>
                <w:kern w:val="0"/>
                <w:szCs w:val="21"/>
                <w14:textFill>
                  <w14:solidFill>
                    <w14:schemeClr w14:val="tx1"/>
                  </w14:solidFill>
                </w14:textFill>
              </w:rPr>
            </w:pPr>
            <w:r>
              <w:rPr>
                <w:rFonts w:ascii="宋体" w:hAnsi="宋体"/>
                <w:color w:val="000000" w:themeColor="text1"/>
                <w:kern w:val="0"/>
                <w:szCs w:val="21"/>
                <w14:textFill>
                  <w14:solidFill>
                    <w14:schemeClr w14:val="tx1"/>
                  </w14:solidFill>
                </w14:textFill>
              </w:rPr>
              <w:t>套</w:t>
            </w:r>
          </w:p>
        </w:tc>
        <w:tc>
          <w:tcPr>
            <w:tcW w:w="2077" w:type="pct"/>
            <w:vAlign w:val="center"/>
          </w:tcPr>
          <w:p w14:paraId="18252FF4">
            <w:pPr>
              <w:widowControl/>
              <w:adjustRightInd w:val="0"/>
              <w:snapToGrid w:val="0"/>
              <w:spacing w:line="300" w:lineRule="exact"/>
              <w:jc w:val="center"/>
              <w:rPr>
                <w:color w:val="000000" w:themeColor="text1"/>
                <w14:textFill>
                  <w14:solidFill>
                    <w14:schemeClr w14:val="tx1"/>
                  </w14:solidFill>
                </w14:textFill>
              </w:rPr>
            </w:pPr>
            <w:r>
              <w:rPr>
                <w:rFonts w:hint="eastAsia" w:ascii="宋体" w:hAnsi="宋体"/>
                <w:color w:val="000000" w:themeColor="text1"/>
                <w:szCs w:val="21"/>
                <w14:textFill>
                  <w14:solidFill>
                    <w14:schemeClr w14:val="tx1"/>
                  </w14:solidFill>
                </w14:textFill>
              </w:rPr>
              <w:t>设计加药量为2L/h，出口压力0.6MPa，</w:t>
            </w:r>
            <w:r>
              <w:rPr>
                <w:rFonts w:ascii="宋体" w:hAnsi="宋体"/>
                <w:color w:val="000000" w:themeColor="text1"/>
                <w:szCs w:val="21"/>
                <w14:textFill>
                  <w14:solidFill>
                    <w14:schemeClr w14:val="tx1"/>
                  </w14:solidFill>
                </w14:textFill>
              </w:rPr>
              <w:t>缓蚀剂</w:t>
            </w:r>
            <w:r>
              <w:rPr>
                <w:rFonts w:hint="eastAsia" w:ascii="宋体" w:hAnsi="宋体"/>
                <w:color w:val="000000" w:themeColor="text1"/>
                <w:szCs w:val="21"/>
                <w14:textFill>
                  <w14:solidFill>
                    <w14:schemeClr w14:val="tx1"/>
                  </w14:solidFill>
                </w14:textFill>
              </w:rPr>
              <w:t>加药</w:t>
            </w:r>
            <w:r>
              <w:rPr>
                <w:rFonts w:ascii="宋体" w:hAnsi="宋体"/>
                <w:color w:val="000000" w:themeColor="text1"/>
                <w:szCs w:val="21"/>
                <w14:textFill>
                  <w14:solidFill>
                    <w14:schemeClr w14:val="tx1"/>
                  </w14:solidFill>
                </w14:textFill>
              </w:rPr>
              <w:t>橇内包括1座2</w:t>
            </w:r>
            <w:r>
              <w:rPr>
                <w:rFonts w:hint="eastAsia" w:ascii="宋体" w:hAnsi="宋体"/>
                <w:color w:val="000000" w:themeColor="text1"/>
                <w:szCs w:val="21"/>
                <w14:textFill>
                  <w14:solidFill>
                    <w14:schemeClr w14:val="tx1"/>
                  </w14:solidFill>
                </w14:textFill>
              </w:rPr>
              <w:t>.5</w:t>
            </w:r>
            <w:r>
              <w:rPr>
                <w:rFonts w:ascii="宋体" w:hAnsi="宋体"/>
                <w:color w:val="000000" w:themeColor="text1"/>
                <w:szCs w:val="21"/>
                <w14:textFill>
                  <w14:solidFill>
                    <w14:schemeClr w14:val="tx1"/>
                  </w14:solidFill>
                </w14:textFill>
              </w:rPr>
              <w:t>m</w:t>
            </w:r>
            <w:r>
              <w:rPr>
                <w:rFonts w:ascii="宋体" w:hAnsi="宋体"/>
                <w:color w:val="000000" w:themeColor="text1"/>
                <w:szCs w:val="21"/>
                <w:vertAlign w:val="superscript"/>
                <w14:textFill>
                  <w14:solidFill>
                    <w14:schemeClr w14:val="tx1"/>
                  </w14:solidFill>
                </w14:textFill>
              </w:rPr>
              <w:t>3</w:t>
            </w:r>
            <w:r>
              <w:rPr>
                <w:rFonts w:ascii="宋体" w:hAnsi="宋体"/>
                <w:color w:val="000000" w:themeColor="text1"/>
                <w:szCs w:val="21"/>
                <w14:textFill>
                  <w14:solidFill>
                    <w14:schemeClr w14:val="tx1"/>
                  </w14:solidFill>
                </w14:textFill>
              </w:rPr>
              <w:t>的缓蚀剂</w:t>
            </w:r>
            <w:r>
              <w:rPr>
                <w:rFonts w:hint="eastAsia" w:ascii="宋体" w:hAnsi="宋体"/>
                <w:color w:val="000000" w:themeColor="text1"/>
                <w:szCs w:val="21"/>
                <w14:textFill>
                  <w14:solidFill>
                    <w14:schemeClr w14:val="tx1"/>
                  </w14:solidFill>
                </w14:textFill>
              </w:rPr>
              <w:t>加药罐（</w:t>
            </w:r>
            <w:r>
              <w:rPr>
                <w:rFonts w:ascii="宋体" w:hAnsi="宋体"/>
                <w:color w:val="000000" w:themeColor="text1"/>
                <w:szCs w:val="21"/>
                <w14:textFill>
                  <w14:solidFill>
                    <w14:schemeClr w14:val="tx1"/>
                  </w14:solidFill>
                </w14:textFill>
              </w:rPr>
              <w:t>D1.5m</w:t>
            </w:r>
            <w:r>
              <w:rPr>
                <w:rFonts w:hint="eastAsia" w:ascii="宋体" w:hAnsi="宋体"/>
                <w:color w:val="000000" w:themeColor="text1"/>
                <w:szCs w:val="21"/>
                <w14:textFill>
                  <w14:solidFill>
                    <w14:schemeClr w14:val="tx1"/>
                  </w14:solidFill>
                </w14:textFill>
              </w:rPr>
              <w:t>×</w:t>
            </w:r>
            <w:r>
              <w:rPr>
                <w:rFonts w:ascii="宋体" w:hAnsi="宋体"/>
                <w:color w:val="000000" w:themeColor="text1"/>
                <w:szCs w:val="21"/>
                <w14:textFill>
                  <w14:solidFill>
                    <w14:schemeClr w14:val="tx1"/>
                  </w14:solidFill>
                </w14:textFill>
              </w:rPr>
              <w:t>1.5m</w:t>
            </w:r>
            <w:r>
              <w:rPr>
                <w:rFonts w:hint="eastAsia" w:ascii="宋体" w:hAnsi="宋体"/>
                <w:color w:val="000000" w:themeColor="text1"/>
                <w:szCs w:val="21"/>
                <w14:textFill>
                  <w14:solidFill>
                    <w14:schemeClr w14:val="tx1"/>
                  </w14:solidFill>
                </w14:textFill>
              </w:rPr>
              <w:t>、钢质圆罐）</w:t>
            </w:r>
            <w:r>
              <w:rPr>
                <w:rFonts w:ascii="宋体" w:hAnsi="宋体"/>
                <w:color w:val="000000" w:themeColor="text1"/>
                <w:szCs w:val="21"/>
                <w14:textFill>
                  <w14:solidFill>
                    <w14:schemeClr w14:val="tx1"/>
                  </w14:solidFill>
                </w14:textFill>
              </w:rPr>
              <w:t>、</w:t>
            </w:r>
            <w:r>
              <w:rPr>
                <w:rFonts w:hint="eastAsia" w:ascii="宋体" w:hAnsi="宋体"/>
                <w:color w:val="000000" w:themeColor="text1"/>
                <w:szCs w:val="21"/>
                <w14:textFill>
                  <w14:solidFill>
                    <w14:schemeClr w14:val="tx1"/>
                  </w14:solidFill>
                </w14:textFill>
              </w:rPr>
              <w:t>2</w:t>
            </w:r>
            <w:r>
              <w:rPr>
                <w:rFonts w:ascii="宋体" w:hAnsi="宋体"/>
                <w:color w:val="000000" w:themeColor="text1"/>
                <w:szCs w:val="21"/>
                <w14:textFill>
                  <w14:solidFill>
                    <w14:schemeClr w14:val="tx1"/>
                  </w14:solidFill>
                </w14:textFill>
              </w:rPr>
              <w:t>台</w:t>
            </w:r>
            <w:r>
              <w:rPr>
                <w:rFonts w:hint="eastAsia" w:ascii="宋体" w:hAnsi="宋体"/>
                <w:color w:val="000000" w:themeColor="text1"/>
                <w:szCs w:val="21"/>
                <w14:textFill>
                  <w14:solidFill>
                    <w14:schemeClr w14:val="tx1"/>
                  </w14:solidFill>
                </w14:textFill>
              </w:rPr>
              <w:t>加药泵</w:t>
            </w:r>
            <w:r>
              <w:rPr>
                <w:rFonts w:ascii="宋体" w:hAnsi="宋体"/>
                <w:color w:val="000000" w:themeColor="text1"/>
                <w:szCs w:val="21"/>
                <w14:textFill>
                  <w14:solidFill>
                    <w14:schemeClr w14:val="tx1"/>
                  </w14:solidFill>
                </w14:textFill>
              </w:rPr>
              <w:t>（</w:t>
            </w:r>
            <w:r>
              <w:rPr>
                <w:rFonts w:hint="eastAsia" w:ascii="宋体" w:hAnsi="宋体"/>
                <w:color w:val="000000" w:themeColor="text1"/>
                <w:szCs w:val="21"/>
                <w14:textFill>
                  <w14:solidFill>
                    <w14:schemeClr w14:val="tx1"/>
                  </w14:solidFill>
                </w14:textFill>
              </w:rPr>
              <w:t>计量隔膜泵，</w:t>
            </w:r>
            <w:r>
              <w:rPr>
                <w:rFonts w:ascii="宋体" w:hAnsi="宋体"/>
                <w:color w:val="000000" w:themeColor="text1"/>
                <w:szCs w:val="21"/>
                <w14:textFill>
                  <w14:solidFill>
                    <w14:schemeClr w14:val="tx1"/>
                  </w14:solidFill>
                </w14:textFill>
              </w:rPr>
              <w:t>1</w:t>
            </w:r>
            <w:r>
              <w:rPr>
                <w:rFonts w:hint="eastAsia" w:ascii="宋体" w:hAnsi="宋体"/>
                <w:color w:val="000000" w:themeColor="text1"/>
                <w:szCs w:val="21"/>
                <w14:textFill>
                  <w14:solidFill>
                    <w14:schemeClr w14:val="tx1"/>
                  </w14:solidFill>
                </w14:textFill>
              </w:rPr>
              <w:t>用</w:t>
            </w:r>
            <w:r>
              <w:rPr>
                <w:rFonts w:ascii="宋体" w:hAnsi="宋体"/>
                <w:color w:val="000000" w:themeColor="text1"/>
                <w:szCs w:val="21"/>
                <w14:textFill>
                  <w14:solidFill>
                    <w14:schemeClr w14:val="tx1"/>
                  </w14:solidFill>
                </w14:textFill>
              </w:rPr>
              <w:t>1</w:t>
            </w:r>
            <w:r>
              <w:rPr>
                <w:rFonts w:hint="eastAsia" w:ascii="宋体" w:hAnsi="宋体"/>
                <w:color w:val="000000" w:themeColor="text1"/>
                <w:szCs w:val="21"/>
                <w14:textFill>
                  <w14:solidFill>
                    <w14:schemeClr w14:val="tx1"/>
                  </w14:solidFill>
                </w14:textFill>
              </w:rPr>
              <w:t>备</w:t>
            </w:r>
            <w:r>
              <w:rPr>
                <w:rFonts w:ascii="宋体" w:hAnsi="宋体"/>
                <w:color w:val="000000" w:themeColor="text1"/>
                <w:szCs w:val="21"/>
                <w14:textFill>
                  <w14:solidFill>
                    <w14:schemeClr w14:val="tx1"/>
                  </w14:solidFill>
                </w14:textFill>
              </w:rPr>
              <w:t>），</w:t>
            </w:r>
          </w:p>
        </w:tc>
      </w:tr>
      <w:tr w14:paraId="3493498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325" w:type="pct"/>
            <w:vAlign w:val="center"/>
          </w:tcPr>
          <w:p w14:paraId="483B7151">
            <w:pPr>
              <w:widowControl/>
              <w:adjustRightInd w:val="0"/>
              <w:snapToGrid w:val="0"/>
              <w:spacing w:line="300" w:lineRule="exact"/>
              <w:jc w:val="center"/>
              <w:rPr>
                <w:rFonts w:hint="eastAsia"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4）</w:t>
            </w:r>
          </w:p>
        </w:tc>
        <w:tc>
          <w:tcPr>
            <w:tcW w:w="1868" w:type="pct"/>
            <w:vAlign w:val="center"/>
          </w:tcPr>
          <w:p w14:paraId="2B77113C">
            <w:pPr>
              <w:widowControl/>
              <w:adjustRightInd w:val="0"/>
              <w:snapToGrid w:val="0"/>
              <w:spacing w:line="300" w:lineRule="exact"/>
              <w:jc w:val="center"/>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200kW电磁加热器</w:t>
            </w:r>
          </w:p>
        </w:tc>
        <w:tc>
          <w:tcPr>
            <w:tcW w:w="405" w:type="pct"/>
            <w:vAlign w:val="center"/>
          </w:tcPr>
          <w:p w14:paraId="11DCF85A">
            <w:pPr>
              <w:widowControl/>
              <w:adjustRightInd w:val="0"/>
              <w:snapToGrid w:val="0"/>
              <w:spacing w:line="300" w:lineRule="exact"/>
              <w:jc w:val="center"/>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1</w:t>
            </w:r>
          </w:p>
        </w:tc>
        <w:tc>
          <w:tcPr>
            <w:tcW w:w="325" w:type="pct"/>
            <w:vAlign w:val="center"/>
          </w:tcPr>
          <w:p w14:paraId="65304818">
            <w:pPr>
              <w:widowControl/>
              <w:adjustRightInd w:val="0"/>
              <w:snapToGrid w:val="0"/>
              <w:spacing w:line="300" w:lineRule="exact"/>
              <w:jc w:val="center"/>
              <w:rPr>
                <w:rFonts w:hint="eastAsia"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座</w:t>
            </w:r>
          </w:p>
        </w:tc>
        <w:tc>
          <w:tcPr>
            <w:tcW w:w="2077" w:type="pct"/>
            <w:vAlign w:val="center"/>
          </w:tcPr>
          <w:p w14:paraId="084AB1CA">
            <w:pPr>
              <w:widowControl/>
              <w:adjustRightInd w:val="0"/>
              <w:snapToGrid w:val="0"/>
              <w:spacing w:line="300" w:lineRule="exact"/>
              <w:jc w:val="center"/>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电磁加热器由2根100kW电加热棒组成，当</w:t>
            </w:r>
            <w:r>
              <w:rPr>
                <w:rFonts w:ascii="宋体" w:hAnsi="宋体"/>
                <w:color w:val="000000" w:themeColor="text1"/>
                <w:szCs w:val="21"/>
                <w14:textFill>
                  <w14:solidFill>
                    <w14:schemeClr w14:val="tx1"/>
                  </w14:solidFill>
                </w14:textFill>
              </w:rPr>
              <w:t>1</w:t>
            </w:r>
            <w:r>
              <w:rPr>
                <w:rFonts w:hint="eastAsia" w:ascii="宋体" w:hAnsi="宋体"/>
                <w:color w:val="000000" w:themeColor="text1"/>
                <w:szCs w:val="21"/>
                <w14:textFill>
                  <w14:solidFill>
                    <w14:schemeClr w14:val="tx1"/>
                  </w14:solidFill>
                </w14:textFill>
              </w:rPr>
              <w:t>根</w:t>
            </w:r>
            <w:r>
              <w:rPr>
                <w:rFonts w:ascii="宋体" w:hAnsi="宋体"/>
                <w:color w:val="000000" w:themeColor="text1"/>
                <w:szCs w:val="21"/>
                <w14:textFill>
                  <w14:solidFill>
                    <w14:schemeClr w14:val="tx1"/>
                  </w14:solidFill>
                </w14:textFill>
              </w:rPr>
              <w:t>100kW</w:t>
            </w:r>
            <w:r>
              <w:rPr>
                <w:rFonts w:hint="eastAsia" w:ascii="宋体" w:hAnsi="宋体"/>
                <w:color w:val="000000" w:themeColor="text1"/>
                <w:szCs w:val="21"/>
                <w14:textFill>
                  <w14:solidFill>
                    <w14:schemeClr w14:val="tx1"/>
                  </w14:solidFill>
                </w14:textFill>
              </w:rPr>
              <w:t>电加热棒检维修时，另外</w:t>
            </w:r>
            <w:r>
              <w:rPr>
                <w:rFonts w:ascii="宋体" w:hAnsi="宋体"/>
                <w:color w:val="000000" w:themeColor="text1"/>
                <w:szCs w:val="21"/>
                <w14:textFill>
                  <w14:solidFill>
                    <w14:schemeClr w14:val="tx1"/>
                  </w14:solidFill>
                </w14:textFill>
              </w:rPr>
              <w:t>1</w:t>
            </w:r>
            <w:r>
              <w:rPr>
                <w:rFonts w:hint="eastAsia" w:ascii="宋体" w:hAnsi="宋体"/>
                <w:color w:val="000000" w:themeColor="text1"/>
                <w:szCs w:val="21"/>
                <w14:textFill>
                  <w14:solidFill>
                    <w14:schemeClr w14:val="tx1"/>
                  </w14:solidFill>
                </w14:textFill>
              </w:rPr>
              <w:t>根</w:t>
            </w:r>
            <w:r>
              <w:rPr>
                <w:rFonts w:ascii="宋体" w:hAnsi="宋体"/>
                <w:color w:val="000000" w:themeColor="text1"/>
                <w:szCs w:val="21"/>
                <w14:textFill>
                  <w14:solidFill>
                    <w14:schemeClr w14:val="tx1"/>
                  </w14:solidFill>
                </w14:textFill>
              </w:rPr>
              <w:t>100kW</w:t>
            </w:r>
            <w:r>
              <w:rPr>
                <w:rFonts w:hint="eastAsia" w:ascii="宋体" w:hAnsi="宋体"/>
                <w:color w:val="000000" w:themeColor="text1"/>
                <w:szCs w:val="21"/>
                <w14:textFill>
                  <w14:solidFill>
                    <w14:schemeClr w14:val="tx1"/>
                  </w14:solidFill>
                </w14:textFill>
              </w:rPr>
              <w:t>电加热棒可满足加热需求。</w:t>
            </w:r>
          </w:p>
        </w:tc>
      </w:tr>
      <w:tr w14:paraId="213C624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5" w:hRule="atLeast"/>
        </w:trPr>
        <w:tc>
          <w:tcPr>
            <w:tcW w:w="325" w:type="pct"/>
            <w:vAlign w:val="center"/>
          </w:tcPr>
          <w:p w14:paraId="1178B443">
            <w:pPr>
              <w:widowControl/>
              <w:adjustRightInd w:val="0"/>
              <w:snapToGrid w:val="0"/>
              <w:spacing w:line="300" w:lineRule="exact"/>
              <w:jc w:val="center"/>
              <w:rPr>
                <w:rFonts w:hint="eastAsia"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5）</w:t>
            </w:r>
          </w:p>
        </w:tc>
        <w:tc>
          <w:tcPr>
            <w:tcW w:w="1868" w:type="pct"/>
            <w:vAlign w:val="center"/>
          </w:tcPr>
          <w:p w14:paraId="5EA81740">
            <w:pPr>
              <w:widowControl/>
              <w:adjustRightInd w:val="0"/>
              <w:snapToGrid w:val="0"/>
              <w:spacing w:line="300" w:lineRule="exact"/>
              <w:jc w:val="center"/>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转油泵撬</w:t>
            </w:r>
          </w:p>
        </w:tc>
        <w:tc>
          <w:tcPr>
            <w:tcW w:w="405" w:type="pct"/>
            <w:vAlign w:val="center"/>
          </w:tcPr>
          <w:p w14:paraId="7190D2D4">
            <w:pPr>
              <w:widowControl/>
              <w:adjustRightInd w:val="0"/>
              <w:snapToGrid w:val="0"/>
              <w:spacing w:line="300" w:lineRule="exact"/>
              <w:jc w:val="center"/>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1</w:t>
            </w:r>
          </w:p>
        </w:tc>
        <w:tc>
          <w:tcPr>
            <w:tcW w:w="325" w:type="pct"/>
            <w:vAlign w:val="center"/>
          </w:tcPr>
          <w:p w14:paraId="5BF51463">
            <w:pPr>
              <w:widowControl/>
              <w:adjustRightInd w:val="0"/>
              <w:snapToGrid w:val="0"/>
              <w:spacing w:line="300" w:lineRule="exact"/>
              <w:jc w:val="center"/>
              <w:rPr>
                <w:rFonts w:hint="eastAsia"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座</w:t>
            </w:r>
          </w:p>
        </w:tc>
        <w:tc>
          <w:tcPr>
            <w:tcW w:w="2077" w:type="pct"/>
            <w:vAlign w:val="center"/>
          </w:tcPr>
          <w:p w14:paraId="641C0017">
            <w:pPr>
              <w:widowControl/>
              <w:adjustRightInd w:val="0"/>
              <w:snapToGrid w:val="0"/>
              <w:spacing w:line="300" w:lineRule="exact"/>
              <w:jc w:val="center"/>
              <w:rPr>
                <w:color w:val="000000" w:themeColor="text1"/>
                <w14:textFill>
                  <w14:solidFill>
                    <w14:schemeClr w14:val="tx1"/>
                  </w14:solidFill>
                </w14:textFill>
              </w:rPr>
            </w:pPr>
            <w:r>
              <w:rPr>
                <w:rFonts w:hint="eastAsia" w:ascii="宋体" w:hAnsi="宋体"/>
                <w:color w:val="000000" w:themeColor="text1"/>
                <w:szCs w:val="21"/>
                <w14:textFill>
                  <w14:solidFill>
                    <w14:schemeClr w14:val="tx1"/>
                  </w14:solidFill>
                </w14:textFill>
              </w:rPr>
              <w:t>转油泵撬内设2台单螺杆泵，单泵规格为</w:t>
            </w:r>
            <w:r>
              <w:rPr>
                <w:rFonts w:ascii="宋体" w:hAnsi="宋体"/>
                <w:color w:val="000000" w:themeColor="text1"/>
                <w:szCs w:val="21"/>
                <w14:textFill>
                  <w14:solidFill>
                    <w14:schemeClr w14:val="tx1"/>
                  </w14:solidFill>
                </w14:textFill>
              </w:rPr>
              <w:t>Q=14m</w:t>
            </w:r>
            <w:r>
              <w:rPr>
                <w:rFonts w:ascii="宋体" w:hAnsi="宋体"/>
                <w:color w:val="000000" w:themeColor="text1"/>
                <w:szCs w:val="21"/>
                <w:vertAlign w:val="superscript"/>
                <w14:textFill>
                  <w14:solidFill>
                    <w14:schemeClr w14:val="tx1"/>
                  </w14:solidFill>
                </w14:textFill>
              </w:rPr>
              <w:t>3</w:t>
            </w:r>
            <w:r>
              <w:rPr>
                <w:rFonts w:ascii="宋体" w:hAnsi="宋体"/>
                <w:color w:val="000000" w:themeColor="text1"/>
                <w:szCs w:val="21"/>
                <w14:textFill>
                  <w14:solidFill>
                    <w14:schemeClr w14:val="tx1"/>
                  </w14:solidFill>
                </w14:textFill>
              </w:rPr>
              <w:t>/h</w:t>
            </w:r>
            <w:r>
              <w:rPr>
                <w:rFonts w:hint="eastAsia" w:ascii="宋体" w:hAnsi="宋体"/>
                <w:color w:val="000000" w:themeColor="text1"/>
                <w:szCs w:val="21"/>
                <w14:textFill>
                  <w14:solidFill>
                    <w14:schemeClr w14:val="tx1"/>
                  </w14:solidFill>
                </w14:textFill>
              </w:rPr>
              <w:t xml:space="preserve"> </w:t>
            </w:r>
            <w:r>
              <w:rPr>
                <w:rFonts w:ascii="宋体" w:hAnsi="宋体"/>
                <w:color w:val="000000" w:themeColor="text1"/>
                <w:szCs w:val="21"/>
                <w14:textFill>
                  <w14:solidFill>
                    <w14:schemeClr w14:val="tx1"/>
                  </w14:solidFill>
                </w14:textFill>
              </w:rPr>
              <w:t>P=1.2MPa</w:t>
            </w:r>
            <w:r>
              <w:rPr>
                <w:rFonts w:hint="eastAsia" w:ascii="宋体" w:hAnsi="宋体"/>
                <w:color w:val="000000" w:themeColor="text1"/>
                <w:szCs w:val="21"/>
                <w14:textFill>
                  <w14:solidFill>
                    <w14:schemeClr w14:val="tx1"/>
                  </w14:solidFill>
                </w14:textFill>
              </w:rPr>
              <w:t>，</w:t>
            </w:r>
            <w:r>
              <w:rPr>
                <w:rFonts w:ascii="宋体" w:hAnsi="宋体"/>
                <w:color w:val="000000" w:themeColor="text1"/>
                <w:szCs w:val="21"/>
                <w14:textFill>
                  <w14:solidFill>
                    <w14:schemeClr w14:val="tx1"/>
                  </w14:solidFill>
                </w14:textFill>
              </w:rPr>
              <w:t>1</w:t>
            </w:r>
            <w:r>
              <w:rPr>
                <w:rFonts w:hint="eastAsia" w:ascii="宋体" w:hAnsi="宋体"/>
                <w:color w:val="000000" w:themeColor="text1"/>
                <w:szCs w:val="21"/>
                <w14:textFill>
                  <w14:solidFill>
                    <w14:schemeClr w14:val="tx1"/>
                  </w14:solidFill>
                </w14:textFill>
              </w:rPr>
              <w:t>用</w:t>
            </w:r>
            <w:r>
              <w:rPr>
                <w:rFonts w:ascii="宋体" w:hAnsi="宋体"/>
                <w:color w:val="000000" w:themeColor="text1"/>
                <w:szCs w:val="21"/>
                <w14:textFill>
                  <w14:solidFill>
                    <w14:schemeClr w14:val="tx1"/>
                  </w14:solidFill>
                </w14:textFill>
              </w:rPr>
              <w:t>1</w:t>
            </w:r>
            <w:r>
              <w:rPr>
                <w:rFonts w:hint="eastAsia" w:ascii="宋体" w:hAnsi="宋体"/>
                <w:color w:val="000000" w:themeColor="text1"/>
                <w:szCs w:val="21"/>
                <w14:textFill>
                  <w14:solidFill>
                    <w14:schemeClr w14:val="tx1"/>
                  </w14:solidFill>
                </w14:textFill>
              </w:rPr>
              <w:t>备，变频</w:t>
            </w:r>
            <w:r>
              <w:rPr>
                <w:rFonts w:ascii="宋体" w:hAnsi="宋体"/>
                <w:color w:val="000000" w:themeColor="text1"/>
                <w:szCs w:val="21"/>
                <w14:textFill>
                  <w14:solidFill>
                    <w14:schemeClr w14:val="tx1"/>
                  </w14:solidFill>
                </w14:textFill>
              </w:rPr>
              <w:t>1</w:t>
            </w:r>
            <w:r>
              <w:rPr>
                <w:rFonts w:hint="eastAsia" w:ascii="宋体" w:hAnsi="宋体"/>
                <w:color w:val="000000" w:themeColor="text1"/>
                <w:szCs w:val="21"/>
                <w14:textFill>
                  <w14:solidFill>
                    <w14:schemeClr w14:val="tx1"/>
                  </w14:solidFill>
                </w14:textFill>
              </w:rPr>
              <w:t>拖</w:t>
            </w:r>
            <w:r>
              <w:rPr>
                <w:rFonts w:ascii="宋体" w:hAnsi="宋体"/>
                <w:color w:val="000000" w:themeColor="text1"/>
                <w:szCs w:val="21"/>
                <w14:textFill>
                  <w14:solidFill>
                    <w14:schemeClr w14:val="tx1"/>
                  </w14:solidFill>
                </w14:textFill>
              </w:rPr>
              <w:t>1</w:t>
            </w:r>
            <w:r>
              <w:rPr>
                <w:rFonts w:hint="eastAsia" w:ascii="宋体" w:hAnsi="宋体"/>
                <w:color w:val="000000" w:themeColor="text1"/>
                <w:szCs w:val="21"/>
                <w14:textFill>
                  <w14:solidFill>
                    <w14:schemeClr w14:val="tx1"/>
                  </w14:solidFill>
                </w14:textFill>
              </w:rPr>
              <w:t>运行。</w:t>
            </w:r>
            <w:r>
              <w:rPr>
                <w:rFonts w:ascii="宋体" w:hAnsi="宋体"/>
                <w:color w:val="000000" w:themeColor="text1"/>
                <w:szCs w:val="21"/>
                <w14:textFill>
                  <w14:solidFill>
                    <w14:schemeClr w14:val="tx1"/>
                  </w14:solidFill>
                </w14:textFill>
              </w:rPr>
              <w:t>S31603</w:t>
            </w:r>
            <w:r>
              <w:rPr>
                <w:rFonts w:hint="eastAsia" w:ascii="宋体" w:hAnsi="宋体"/>
                <w:color w:val="000000" w:themeColor="text1"/>
                <w:szCs w:val="21"/>
                <w14:textFill>
                  <w14:solidFill>
                    <w14:schemeClr w14:val="tx1"/>
                  </w14:solidFill>
                </w14:textFill>
              </w:rPr>
              <w:t>不锈钢材质。</w:t>
            </w:r>
          </w:p>
        </w:tc>
      </w:tr>
      <w:tr w14:paraId="2B8286C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325" w:type="pct"/>
            <w:vAlign w:val="center"/>
          </w:tcPr>
          <w:p w14:paraId="2493E5B0">
            <w:pPr>
              <w:widowControl/>
              <w:adjustRightInd w:val="0"/>
              <w:snapToGrid w:val="0"/>
              <w:spacing w:line="300" w:lineRule="exact"/>
              <w:jc w:val="center"/>
              <w:rPr>
                <w:rFonts w:hint="eastAsia"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6)</w:t>
            </w:r>
          </w:p>
        </w:tc>
        <w:tc>
          <w:tcPr>
            <w:tcW w:w="1868" w:type="pct"/>
            <w:vAlign w:val="center"/>
          </w:tcPr>
          <w:p w14:paraId="58DF4FE0">
            <w:pPr>
              <w:widowControl/>
              <w:adjustRightInd w:val="0"/>
              <w:snapToGrid w:val="0"/>
              <w:spacing w:line="300" w:lineRule="exact"/>
              <w:jc w:val="center"/>
              <w:rPr>
                <w:rFonts w:hint="eastAsia" w:ascii="宋体" w:hAnsi="宋体"/>
                <w:color w:val="000000" w:themeColor="text1"/>
                <w:kern w:val="0"/>
                <w:szCs w:val="21"/>
                <w14:textFill>
                  <w14:solidFill>
                    <w14:schemeClr w14:val="tx1"/>
                  </w14:solidFill>
                </w14:textFill>
              </w:rPr>
            </w:pPr>
            <w:r>
              <w:rPr>
                <w:rFonts w:ascii="宋体" w:hAnsi="宋体"/>
                <w:color w:val="000000" w:themeColor="text1"/>
                <w:szCs w:val="21"/>
                <w14:textFill>
                  <w14:solidFill>
                    <w14:schemeClr w14:val="tx1"/>
                  </w14:solidFill>
                </w14:textFill>
              </w:rPr>
              <w:t>不锈钢快开篮式过滤器</w:t>
            </w:r>
          </w:p>
        </w:tc>
        <w:tc>
          <w:tcPr>
            <w:tcW w:w="405" w:type="pct"/>
            <w:vAlign w:val="center"/>
          </w:tcPr>
          <w:p w14:paraId="0A083465">
            <w:pPr>
              <w:widowControl/>
              <w:adjustRightInd w:val="0"/>
              <w:snapToGrid w:val="0"/>
              <w:spacing w:line="300" w:lineRule="exact"/>
              <w:jc w:val="center"/>
              <w:rPr>
                <w:rFonts w:hint="eastAsia"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2</w:t>
            </w:r>
          </w:p>
        </w:tc>
        <w:tc>
          <w:tcPr>
            <w:tcW w:w="325" w:type="pct"/>
            <w:vAlign w:val="center"/>
          </w:tcPr>
          <w:p w14:paraId="77CECF5E">
            <w:pPr>
              <w:widowControl/>
              <w:adjustRightInd w:val="0"/>
              <w:snapToGrid w:val="0"/>
              <w:spacing w:line="300" w:lineRule="exact"/>
              <w:jc w:val="center"/>
              <w:rPr>
                <w:rFonts w:hint="eastAsia" w:ascii="宋体" w:hAnsi="宋体"/>
                <w:color w:val="000000" w:themeColor="text1"/>
                <w:kern w:val="0"/>
                <w:szCs w:val="21"/>
                <w14:textFill>
                  <w14:solidFill>
                    <w14:schemeClr w14:val="tx1"/>
                  </w14:solidFill>
                </w14:textFill>
              </w:rPr>
            </w:pPr>
            <w:r>
              <w:rPr>
                <w:rFonts w:ascii="宋体" w:hAnsi="宋体"/>
                <w:color w:val="000000" w:themeColor="text1"/>
                <w:kern w:val="0"/>
                <w:szCs w:val="21"/>
                <w14:textFill>
                  <w14:solidFill>
                    <w14:schemeClr w14:val="tx1"/>
                  </w14:solidFill>
                </w14:textFill>
              </w:rPr>
              <w:t>套</w:t>
            </w:r>
          </w:p>
        </w:tc>
        <w:tc>
          <w:tcPr>
            <w:tcW w:w="2077" w:type="pct"/>
            <w:vAlign w:val="center"/>
          </w:tcPr>
          <w:p w14:paraId="53F650B1">
            <w:pPr>
              <w:widowControl/>
              <w:adjustRightInd w:val="0"/>
              <w:snapToGrid w:val="0"/>
              <w:spacing w:line="300" w:lineRule="exact"/>
              <w:jc w:val="center"/>
              <w:rPr>
                <w:rFonts w:hint="eastAsia" w:ascii="宋体" w:hAnsi="宋体"/>
                <w:color w:val="000000" w:themeColor="text1"/>
                <w:kern w:val="0"/>
                <w:szCs w:val="21"/>
                <w14:textFill>
                  <w14:solidFill>
                    <w14:schemeClr w14:val="tx1"/>
                  </w14:solidFill>
                </w14:textFill>
              </w:rPr>
            </w:pPr>
            <w:r>
              <w:rPr>
                <w:rFonts w:ascii="宋体" w:hAnsi="宋体"/>
                <w:color w:val="000000" w:themeColor="text1"/>
                <w:szCs w:val="21"/>
                <w14:textFill>
                  <w14:solidFill>
                    <w14:schemeClr w14:val="tx1"/>
                  </w14:solidFill>
                </w14:textFill>
              </w:rPr>
              <w:t>DN65 1.6MPa</w:t>
            </w:r>
          </w:p>
        </w:tc>
      </w:tr>
      <w:tr w14:paraId="0BDBEA6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270" w:hRule="atLeast"/>
        </w:trPr>
        <w:tc>
          <w:tcPr>
            <w:tcW w:w="325" w:type="pct"/>
            <w:vAlign w:val="center"/>
          </w:tcPr>
          <w:p w14:paraId="4978FFB1">
            <w:pPr>
              <w:widowControl/>
              <w:adjustRightInd w:val="0"/>
              <w:snapToGrid w:val="0"/>
              <w:spacing w:line="300" w:lineRule="exact"/>
              <w:jc w:val="center"/>
              <w:rPr>
                <w:rFonts w:hint="eastAsia"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7)</w:t>
            </w:r>
          </w:p>
        </w:tc>
        <w:tc>
          <w:tcPr>
            <w:tcW w:w="1868" w:type="pct"/>
            <w:vAlign w:val="center"/>
          </w:tcPr>
          <w:p w14:paraId="41F6181F">
            <w:pPr>
              <w:widowControl/>
              <w:adjustRightInd w:val="0"/>
              <w:snapToGrid w:val="0"/>
              <w:spacing w:line="300" w:lineRule="exact"/>
              <w:jc w:val="center"/>
              <w:rPr>
                <w:rFonts w:hint="eastAsia" w:ascii="宋体" w:hAnsi="宋体"/>
                <w:color w:val="000000" w:themeColor="text1"/>
                <w:kern w:val="0"/>
                <w:szCs w:val="21"/>
                <w14:textFill>
                  <w14:solidFill>
                    <w14:schemeClr w14:val="tx1"/>
                  </w14:solidFill>
                </w14:textFill>
              </w:rPr>
            </w:pPr>
            <w:r>
              <w:rPr>
                <w:rFonts w:ascii="宋体" w:hAnsi="宋体"/>
                <w:color w:val="000000" w:themeColor="text1"/>
                <w:szCs w:val="21"/>
                <w14:textFill>
                  <w14:solidFill>
                    <w14:schemeClr w14:val="tx1"/>
                  </w14:solidFill>
                </w14:textFill>
              </w:rPr>
              <w:t>腐蚀挂片检测</w:t>
            </w:r>
          </w:p>
        </w:tc>
        <w:tc>
          <w:tcPr>
            <w:tcW w:w="405" w:type="pct"/>
            <w:vAlign w:val="center"/>
          </w:tcPr>
          <w:p w14:paraId="1908298B">
            <w:pPr>
              <w:widowControl/>
              <w:adjustRightInd w:val="0"/>
              <w:snapToGrid w:val="0"/>
              <w:spacing w:line="300" w:lineRule="exact"/>
              <w:jc w:val="center"/>
              <w:rPr>
                <w:rFonts w:hint="eastAsia"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10</w:t>
            </w:r>
          </w:p>
        </w:tc>
        <w:tc>
          <w:tcPr>
            <w:tcW w:w="325" w:type="pct"/>
            <w:vAlign w:val="center"/>
          </w:tcPr>
          <w:p w14:paraId="692E6986">
            <w:pPr>
              <w:widowControl/>
              <w:adjustRightInd w:val="0"/>
              <w:snapToGrid w:val="0"/>
              <w:spacing w:line="300" w:lineRule="exact"/>
              <w:jc w:val="center"/>
              <w:rPr>
                <w:rFonts w:hint="eastAsia" w:ascii="宋体" w:hAnsi="宋体"/>
                <w:color w:val="000000" w:themeColor="text1"/>
                <w:kern w:val="0"/>
                <w:szCs w:val="21"/>
                <w14:textFill>
                  <w14:solidFill>
                    <w14:schemeClr w14:val="tx1"/>
                  </w14:solidFill>
                </w14:textFill>
              </w:rPr>
            </w:pPr>
            <w:r>
              <w:rPr>
                <w:rFonts w:ascii="宋体" w:hAnsi="宋体"/>
                <w:color w:val="000000" w:themeColor="text1"/>
                <w:kern w:val="0"/>
                <w:szCs w:val="21"/>
                <w14:textFill>
                  <w14:solidFill>
                    <w14:schemeClr w14:val="tx1"/>
                  </w14:solidFill>
                </w14:textFill>
              </w:rPr>
              <w:t>套</w:t>
            </w:r>
          </w:p>
        </w:tc>
        <w:tc>
          <w:tcPr>
            <w:tcW w:w="2077" w:type="pct"/>
            <w:vAlign w:val="center"/>
          </w:tcPr>
          <w:p w14:paraId="34932414">
            <w:pPr>
              <w:widowControl/>
              <w:adjustRightInd w:val="0"/>
              <w:snapToGrid w:val="0"/>
              <w:spacing w:line="300" w:lineRule="exact"/>
              <w:jc w:val="center"/>
              <w:rPr>
                <w:rFonts w:hint="eastAsia"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w:t>
            </w:r>
          </w:p>
        </w:tc>
      </w:tr>
      <w:tr w14:paraId="690F1A5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325" w:type="pct"/>
            <w:vAlign w:val="center"/>
          </w:tcPr>
          <w:p w14:paraId="0EBC7B24">
            <w:pPr>
              <w:widowControl/>
              <w:adjustRightInd w:val="0"/>
              <w:snapToGrid w:val="0"/>
              <w:spacing w:line="300" w:lineRule="exact"/>
              <w:jc w:val="center"/>
              <w:rPr>
                <w:rFonts w:hint="eastAsia"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8)</w:t>
            </w:r>
          </w:p>
        </w:tc>
        <w:tc>
          <w:tcPr>
            <w:tcW w:w="1868" w:type="pct"/>
            <w:vAlign w:val="center"/>
          </w:tcPr>
          <w:p w14:paraId="6FCCC202">
            <w:pPr>
              <w:widowControl/>
              <w:adjustRightInd w:val="0"/>
              <w:snapToGrid w:val="0"/>
              <w:spacing w:line="300" w:lineRule="exact"/>
              <w:jc w:val="center"/>
              <w:rPr>
                <w:rFonts w:hint="eastAsia" w:ascii="宋体" w:hAnsi="宋体"/>
                <w:color w:val="000000" w:themeColor="text1"/>
                <w:kern w:val="0"/>
                <w:szCs w:val="21"/>
                <w14:textFill>
                  <w14:solidFill>
                    <w14:schemeClr w14:val="tx1"/>
                  </w14:solidFill>
                </w14:textFill>
              </w:rPr>
            </w:pPr>
            <w:r>
              <w:rPr>
                <w:rFonts w:ascii="宋体" w:hAnsi="宋体"/>
                <w:color w:val="000000" w:themeColor="text1"/>
                <w:szCs w:val="21"/>
                <w14:textFill>
                  <w14:solidFill>
                    <w14:schemeClr w14:val="tx1"/>
                  </w14:solidFill>
                </w14:textFill>
              </w:rPr>
              <w:t>流体用不锈钢无缝钢管</w:t>
            </w:r>
            <w:r>
              <w:rPr>
                <w:rFonts w:hint="eastAsia" w:ascii="宋体" w:hAnsi="宋体"/>
                <w:color w:val="000000" w:themeColor="text1"/>
                <w:szCs w:val="21"/>
                <w14:textFill>
                  <w14:solidFill>
                    <w14:schemeClr w14:val="tx1"/>
                  </w14:solidFill>
                </w14:textFill>
              </w:rPr>
              <w:t>34</w:t>
            </w:r>
            <w:r>
              <w:rPr>
                <w:rFonts w:ascii="宋体" w:hAnsi="宋体"/>
                <w:color w:val="000000" w:themeColor="text1"/>
                <w:szCs w:val="21"/>
                <w14:textFill>
                  <w14:solidFill>
                    <w14:schemeClr w14:val="tx1"/>
                  </w14:solidFill>
                </w14:textFill>
              </w:rPr>
              <w:t>*</w:t>
            </w:r>
            <w:r>
              <w:rPr>
                <w:rFonts w:hint="eastAsia" w:ascii="宋体" w:hAnsi="宋体"/>
                <w:color w:val="000000" w:themeColor="text1"/>
                <w:szCs w:val="21"/>
                <w14:textFill>
                  <w14:solidFill>
                    <w14:schemeClr w14:val="tx1"/>
                  </w14:solidFill>
                </w14:textFill>
              </w:rPr>
              <w:t>3</w:t>
            </w:r>
            <w:r>
              <w:rPr>
                <w:rFonts w:ascii="宋体" w:hAnsi="宋体"/>
                <w:color w:val="000000" w:themeColor="text1"/>
                <w:szCs w:val="21"/>
                <w14:textFill>
                  <w14:solidFill>
                    <w14:schemeClr w14:val="tx1"/>
                  </w14:solidFill>
                </w14:textFill>
              </w:rPr>
              <w:t>mm</w:t>
            </w:r>
          </w:p>
        </w:tc>
        <w:tc>
          <w:tcPr>
            <w:tcW w:w="405" w:type="pct"/>
            <w:vAlign w:val="center"/>
          </w:tcPr>
          <w:p w14:paraId="1D3BADD5">
            <w:pPr>
              <w:widowControl/>
              <w:adjustRightInd w:val="0"/>
              <w:snapToGrid w:val="0"/>
              <w:spacing w:line="300" w:lineRule="exact"/>
              <w:jc w:val="center"/>
              <w:rPr>
                <w:rFonts w:hint="eastAsia"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0.2</w:t>
            </w:r>
          </w:p>
        </w:tc>
        <w:tc>
          <w:tcPr>
            <w:tcW w:w="325" w:type="pct"/>
            <w:vAlign w:val="center"/>
          </w:tcPr>
          <w:p w14:paraId="15887576">
            <w:pPr>
              <w:widowControl/>
              <w:adjustRightInd w:val="0"/>
              <w:snapToGrid w:val="0"/>
              <w:spacing w:line="300" w:lineRule="exact"/>
              <w:jc w:val="center"/>
              <w:rPr>
                <w:rFonts w:hint="eastAsia"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k</w:t>
            </w:r>
            <w:r>
              <w:rPr>
                <w:rFonts w:ascii="宋体" w:hAnsi="宋体"/>
                <w:color w:val="000000" w:themeColor="text1"/>
                <w:kern w:val="0"/>
                <w:szCs w:val="21"/>
                <w14:textFill>
                  <w14:solidFill>
                    <w14:schemeClr w14:val="tx1"/>
                  </w14:solidFill>
                </w14:textFill>
              </w:rPr>
              <w:t>m</w:t>
            </w:r>
          </w:p>
        </w:tc>
        <w:tc>
          <w:tcPr>
            <w:tcW w:w="2077" w:type="pct"/>
          </w:tcPr>
          <w:p w14:paraId="2F0EE25F">
            <w:pPr>
              <w:widowControl/>
              <w:adjustRightInd w:val="0"/>
              <w:snapToGrid w:val="0"/>
              <w:spacing w:line="300" w:lineRule="exact"/>
              <w:jc w:val="center"/>
              <w:rPr>
                <w:rFonts w:hint="eastAsia"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w:t>
            </w:r>
          </w:p>
        </w:tc>
      </w:tr>
      <w:tr w14:paraId="428533A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325" w:type="pct"/>
            <w:vAlign w:val="center"/>
          </w:tcPr>
          <w:p w14:paraId="0371A465">
            <w:pPr>
              <w:widowControl/>
              <w:adjustRightInd w:val="0"/>
              <w:snapToGrid w:val="0"/>
              <w:spacing w:line="300" w:lineRule="exact"/>
              <w:jc w:val="center"/>
              <w:rPr>
                <w:rFonts w:hint="eastAsia"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9)</w:t>
            </w:r>
          </w:p>
        </w:tc>
        <w:tc>
          <w:tcPr>
            <w:tcW w:w="1868" w:type="pct"/>
            <w:vAlign w:val="center"/>
          </w:tcPr>
          <w:p w14:paraId="39BC59AF">
            <w:pPr>
              <w:widowControl/>
              <w:adjustRightInd w:val="0"/>
              <w:snapToGrid w:val="0"/>
              <w:spacing w:line="300" w:lineRule="exact"/>
              <w:jc w:val="center"/>
              <w:rPr>
                <w:rFonts w:hint="eastAsia" w:ascii="宋体" w:hAnsi="宋体"/>
                <w:color w:val="000000" w:themeColor="text1"/>
                <w:kern w:val="0"/>
                <w:szCs w:val="21"/>
                <w14:textFill>
                  <w14:solidFill>
                    <w14:schemeClr w14:val="tx1"/>
                  </w14:solidFill>
                </w14:textFill>
              </w:rPr>
            </w:pPr>
            <w:r>
              <w:rPr>
                <w:rFonts w:ascii="宋体" w:hAnsi="宋体"/>
                <w:color w:val="000000" w:themeColor="text1"/>
                <w:szCs w:val="21"/>
                <w14:textFill>
                  <w14:solidFill>
                    <w14:schemeClr w14:val="tx1"/>
                  </w14:solidFill>
                </w14:textFill>
              </w:rPr>
              <w:t>流体用不锈钢无缝钢管</w:t>
            </w:r>
            <w:r>
              <w:rPr>
                <w:rFonts w:hint="eastAsia" w:ascii="宋体" w:hAnsi="宋体"/>
                <w:color w:val="000000" w:themeColor="text1"/>
                <w:szCs w:val="21"/>
                <w14:textFill>
                  <w14:solidFill>
                    <w14:schemeClr w14:val="tx1"/>
                  </w14:solidFill>
                </w14:textFill>
              </w:rPr>
              <w:t>60</w:t>
            </w:r>
            <w:r>
              <w:rPr>
                <w:rFonts w:ascii="宋体" w:hAnsi="宋体"/>
                <w:color w:val="000000" w:themeColor="text1"/>
                <w:szCs w:val="21"/>
                <w14:textFill>
                  <w14:solidFill>
                    <w14:schemeClr w14:val="tx1"/>
                  </w14:solidFill>
                </w14:textFill>
              </w:rPr>
              <w:t>*</w:t>
            </w:r>
            <w:r>
              <w:rPr>
                <w:rFonts w:hint="eastAsia" w:ascii="宋体" w:hAnsi="宋体"/>
                <w:color w:val="000000" w:themeColor="text1"/>
                <w:szCs w:val="21"/>
                <w14:textFill>
                  <w14:solidFill>
                    <w14:schemeClr w14:val="tx1"/>
                  </w14:solidFill>
                </w14:textFill>
              </w:rPr>
              <w:t>3.</w:t>
            </w:r>
            <w:r>
              <w:rPr>
                <w:rFonts w:ascii="宋体" w:hAnsi="宋体"/>
                <w:color w:val="000000" w:themeColor="text1"/>
                <w:szCs w:val="21"/>
                <w14:textFill>
                  <w14:solidFill>
                    <w14:schemeClr w14:val="tx1"/>
                  </w14:solidFill>
                </w14:textFill>
              </w:rPr>
              <w:t>5mm</w:t>
            </w:r>
          </w:p>
        </w:tc>
        <w:tc>
          <w:tcPr>
            <w:tcW w:w="405" w:type="pct"/>
            <w:vAlign w:val="center"/>
          </w:tcPr>
          <w:p w14:paraId="09C961C0">
            <w:pPr>
              <w:widowControl/>
              <w:adjustRightInd w:val="0"/>
              <w:snapToGrid w:val="0"/>
              <w:spacing w:line="300" w:lineRule="exact"/>
              <w:jc w:val="center"/>
              <w:rPr>
                <w:rFonts w:hint="eastAsia"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0.2</w:t>
            </w:r>
          </w:p>
        </w:tc>
        <w:tc>
          <w:tcPr>
            <w:tcW w:w="325" w:type="pct"/>
            <w:vAlign w:val="center"/>
          </w:tcPr>
          <w:p w14:paraId="0DB7A7B1">
            <w:pPr>
              <w:widowControl/>
              <w:adjustRightInd w:val="0"/>
              <w:snapToGrid w:val="0"/>
              <w:spacing w:line="300" w:lineRule="exact"/>
              <w:jc w:val="center"/>
              <w:rPr>
                <w:rFonts w:hint="eastAsia"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k</w:t>
            </w:r>
            <w:r>
              <w:rPr>
                <w:rFonts w:ascii="宋体" w:hAnsi="宋体"/>
                <w:color w:val="000000" w:themeColor="text1"/>
                <w:kern w:val="0"/>
                <w:szCs w:val="21"/>
                <w14:textFill>
                  <w14:solidFill>
                    <w14:schemeClr w14:val="tx1"/>
                  </w14:solidFill>
                </w14:textFill>
              </w:rPr>
              <w:t>m</w:t>
            </w:r>
          </w:p>
        </w:tc>
        <w:tc>
          <w:tcPr>
            <w:tcW w:w="2077" w:type="pct"/>
          </w:tcPr>
          <w:p w14:paraId="59A8F9D5">
            <w:pPr>
              <w:widowControl/>
              <w:adjustRightInd w:val="0"/>
              <w:snapToGrid w:val="0"/>
              <w:spacing w:line="300" w:lineRule="exact"/>
              <w:jc w:val="center"/>
              <w:rPr>
                <w:rFonts w:hint="eastAsia"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w:t>
            </w:r>
          </w:p>
        </w:tc>
      </w:tr>
      <w:tr w14:paraId="7A192A1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325" w:type="pct"/>
            <w:vAlign w:val="center"/>
          </w:tcPr>
          <w:p w14:paraId="0B1A5366">
            <w:pPr>
              <w:widowControl/>
              <w:adjustRightInd w:val="0"/>
              <w:snapToGrid w:val="0"/>
              <w:spacing w:line="300" w:lineRule="exact"/>
              <w:jc w:val="center"/>
              <w:rPr>
                <w:rFonts w:hint="eastAsia"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10)</w:t>
            </w:r>
          </w:p>
        </w:tc>
        <w:tc>
          <w:tcPr>
            <w:tcW w:w="1868" w:type="pct"/>
            <w:vAlign w:val="center"/>
          </w:tcPr>
          <w:p w14:paraId="0BFE3478">
            <w:pPr>
              <w:widowControl/>
              <w:adjustRightInd w:val="0"/>
              <w:snapToGrid w:val="0"/>
              <w:spacing w:line="300" w:lineRule="exact"/>
              <w:jc w:val="center"/>
              <w:rPr>
                <w:rFonts w:hint="eastAsia" w:ascii="宋体" w:hAnsi="宋体"/>
                <w:color w:val="000000" w:themeColor="text1"/>
                <w:kern w:val="0"/>
                <w:szCs w:val="21"/>
                <w14:textFill>
                  <w14:solidFill>
                    <w14:schemeClr w14:val="tx1"/>
                  </w14:solidFill>
                </w14:textFill>
              </w:rPr>
            </w:pPr>
            <w:r>
              <w:rPr>
                <w:rFonts w:ascii="宋体" w:hAnsi="宋体"/>
                <w:color w:val="000000" w:themeColor="text1"/>
                <w:szCs w:val="21"/>
                <w14:textFill>
                  <w14:solidFill>
                    <w14:schemeClr w14:val="tx1"/>
                  </w14:solidFill>
                </w14:textFill>
              </w:rPr>
              <w:t>流体用不锈钢无缝钢管</w:t>
            </w:r>
            <w:r>
              <w:rPr>
                <w:rFonts w:hint="eastAsia" w:ascii="宋体" w:hAnsi="宋体"/>
                <w:color w:val="000000" w:themeColor="text1"/>
                <w:szCs w:val="21"/>
                <w14:textFill>
                  <w14:solidFill>
                    <w14:schemeClr w14:val="tx1"/>
                  </w14:solidFill>
                </w14:textFill>
              </w:rPr>
              <w:t>89</w:t>
            </w:r>
            <w:r>
              <w:rPr>
                <w:rFonts w:ascii="宋体" w:hAnsi="宋体"/>
                <w:color w:val="000000" w:themeColor="text1"/>
                <w:szCs w:val="21"/>
                <w14:textFill>
                  <w14:solidFill>
                    <w14:schemeClr w14:val="tx1"/>
                  </w14:solidFill>
                </w14:textFill>
              </w:rPr>
              <w:t>*</w:t>
            </w:r>
            <w:r>
              <w:rPr>
                <w:rFonts w:hint="eastAsia" w:ascii="宋体" w:hAnsi="宋体"/>
                <w:color w:val="000000" w:themeColor="text1"/>
                <w:szCs w:val="21"/>
                <w14:textFill>
                  <w14:solidFill>
                    <w14:schemeClr w14:val="tx1"/>
                  </w14:solidFill>
                </w14:textFill>
              </w:rPr>
              <w:t>3.</w:t>
            </w:r>
            <w:r>
              <w:rPr>
                <w:rFonts w:ascii="宋体" w:hAnsi="宋体"/>
                <w:color w:val="000000" w:themeColor="text1"/>
                <w:szCs w:val="21"/>
                <w14:textFill>
                  <w14:solidFill>
                    <w14:schemeClr w14:val="tx1"/>
                  </w14:solidFill>
                </w14:textFill>
              </w:rPr>
              <w:t>5mm</w:t>
            </w:r>
          </w:p>
        </w:tc>
        <w:tc>
          <w:tcPr>
            <w:tcW w:w="405" w:type="pct"/>
            <w:vAlign w:val="center"/>
          </w:tcPr>
          <w:p w14:paraId="322F8CDA">
            <w:pPr>
              <w:widowControl/>
              <w:adjustRightInd w:val="0"/>
              <w:snapToGrid w:val="0"/>
              <w:spacing w:line="300" w:lineRule="exact"/>
              <w:jc w:val="center"/>
              <w:rPr>
                <w:rFonts w:hint="eastAsia"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0.2</w:t>
            </w:r>
          </w:p>
        </w:tc>
        <w:tc>
          <w:tcPr>
            <w:tcW w:w="325" w:type="pct"/>
            <w:vAlign w:val="center"/>
          </w:tcPr>
          <w:p w14:paraId="653B55F1">
            <w:pPr>
              <w:widowControl/>
              <w:adjustRightInd w:val="0"/>
              <w:snapToGrid w:val="0"/>
              <w:spacing w:line="300" w:lineRule="exact"/>
              <w:jc w:val="center"/>
              <w:rPr>
                <w:rFonts w:hint="eastAsia"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k</w:t>
            </w:r>
            <w:r>
              <w:rPr>
                <w:rFonts w:ascii="宋体" w:hAnsi="宋体"/>
                <w:color w:val="000000" w:themeColor="text1"/>
                <w:kern w:val="0"/>
                <w:szCs w:val="21"/>
                <w14:textFill>
                  <w14:solidFill>
                    <w14:schemeClr w14:val="tx1"/>
                  </w14:solidFill>
                </w14:textFill>
              </w:rPr>
              <w:t>m</w:t>
            </w:r>
          </w:p>
        </w:tc>
        <w:tc>
          <w:tcPr>
            <w:tcW w:w="2077" w:type="pct"/>
          </w:tcPr>
          <w:p w14:paraId="305CFB15">
            <w:pPr>
              <w:widowControl/>
              <w:adjustRightInd w:val="0"/>
              <w:snapToGrid w:val="0"/>
              <w:spacing w:line="300" w:lineRule="exact"/>
              <w:jc w:val="center"/>
              <w:rPr>
                <w:rFonts w:hint="eastAsia"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w:t>
            </w:r>
          </w:p>
        </w:tc>
      </w:tr>
      <w:tr w14:paraId="6FAE890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325" w:type="pct"/>
            <w:vAlign w:val="center"/>
          </w:tcPr>
          <w:p w14:paraId="3271CAC5">
            <w:pPr>
              <w:widowControl/>
              <w:adjustRightInd w:val="0"/>
              <w:snapToGrid w:val="0"/>
              <w:spacing w:line="300" w:lineRule="exact"/>
              <w:jc w:val="center"/>
              <w:rPr>
                <w:rFonts w:hint="eastAsia"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11)</w:t>
            </w:r>
          </w:p>
        </w:tc>
        <w:tc>
          <w:tcPr>
            <w:tcW w:w="1868" w:type="pct"/>
            <w:vAlign w:val="center"/>
          </w:tcPr>
          <w:p w14:paraId="527CA36F">
            <w:pPr>
              <w:widowControl/>
              <w:adjustRightInd w:val="0"/>
              <w:snapToGrid w:val="0"/>
              <w:spacing w:line="300" w:lineRule="exact"/>
              <w:jc w:val="center"/>
              <w:rPr>
                <w:rFonts w:hint="eastAsia" w:ascii="宋体" w:hAnsi="宋体"/>
                <w:color w:val="000000" w:themeColor="text1"/>
                <w:kern w:val="0"/>
                <w:szCs w:val="21"/>
                <w14:textFill>
                  <w14:solidFill>
                    <w14:schemeClr w14:val="tx1"/>
                  </w14:solidFill>
                </w14:textFill>
              </w:rPr>
            </w:pPr>
            <w:r>
              <w:rPr>
                <w:rFonts w:ascii="宋体" w:hAnsi="宋体"/>
                <w:color w:val="000000" w:themeColor="text1"/>
                <w:szCs w:val="21"/>
                <w14:textFill>
                  <w14:solidFill>
                    <w14:schemeClr w14:val="tx1"/>
                  </w14:solidFill>
                </w14:textFill>
              </w:rPr>
              <w:t>流体用不锈钢无缝钢管</w:t>
            </w:r>
            <w:r>
              <w:rPr>
                <w:rFonts w:hint="eastAsia" w:ascii="宋体" w:hAnsi="宋体"/>
                <w:color w:val="000000" w:themeColor="text1"/>
                <w:szCs w:val="21"/>
                <w14:textFill>
                  <w14:solidFill>
                    <w14:schemeClr w14:val="tx1"/>
                  </w14:solidFill>
                </w14:textFill>
              </w:rPr>
              <w:t>114</w:t>
            </w:r>
            <w:r>
              <w:rPr>
                <w:rFonts w:ascii="宋体" w:hAnsi="宋体"/>
                <w:color w:val="000000" w:themeColor="text1"/>
                <w:szCs w:val="21"/>
                <w14:textFill>
                  <w14:solidFill>
                    <w14:schemeClr w14:val="tx1"/>
                  </w14:solidFill>
                </w14:textFill>
              </w:rPr>
              <w:t>*</w:t>
            </w:r>
            <w:r>
              <w:rPr>
                <w:rFonts w:hint="eastAsia" w:ascii="宋体" w:hAnsi="宋体"/>
                <w:color w:val="000000" w:themeColor="text1"/>
                <w:szCs w:val="21"/>
                <w14:textFill>
                  <w14:solidFill>
                    <w14:schemeClr w14:val="tx1"/>
                  </w14:solidFill>
                </w14:textFill>
              </w:rPr>
              <w:t>4</w:t>
            </w:r>
            <w:r>
              <w:rPr>
                <w:rFonts w:ascii="宋体" w:hAnsi="宋体"/>
                <w:color w:val="000000" w:themeColor="text1"/>
                <w:szCs w:val="21"/>
                <w14:textFill>
                  <w14:solidFill>
                    <w14:schemeClr w14:val="tx1"/>
                  </w14:solidFill>
                </w14:textFill>
              </w:rPr>
              <w:t>mm</w:t>
            </w:r>
          </w:p>
        </w:tc>
        <w:tc>
          <w:tcPr>
            <w:tcW w:w="405" w:type="pct"/>
            <w:vAlign w:val="center"/>
          </w:tcPr>
          <w:p w14:paraId="1296B830">
            <w:pPr>
              <w:widowControl/>
              <w:adjustRightInd w:val="0"/>
              <w:snapToGrid w:val="0"/>
              <w:spacing w:line="300" w:lineRule="exact"/>
              <w:jc w:val="center"/>
              <w:rPr>
                <w:rFonts w:hint="eastAsia"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0.2</w:t>
            </w:r>
          </w:p>
        </w:tc>
        <w:tc>
          <w:tcPr>
            <w:tcW w:w="325" w:type="pct"/>
            <w:vAlign w:val="center"/>
          </w:tcPr>
          <w:p w14:paraId="3B24BB44">
            <w:pPr>
              <w:widowControl/>
              <w:adjustRightInd w:val="0"/>
              <w:snapToGrid w:val="0"/>
              <w:spacing w:line="300" w:lineRule="exact"/>
              <w:jc w:val="center"/>
              <w:rPr>
                <w:rFonts w:hint="eastAsia"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k</w:t>
            </w:r>
            <w:r>
              <w:rPr>
                <w:rFonts w:ascii="宋体" w:hAnsi="宋体"/>
                <w:color w:val="000000" w:themeColor="text1"/>
                <w:kern w:val="0"/>
                <w:szCs w:val="21"/>
                <w14:textFill>
                  <w14:solidFill>
                    <w14:schemeClr w14:val="tx1"/>
                  </w14:solidFill>
                </w14:textFill>
              </w:rPr>
              <w:t>m</w:t>
            </w:r>
          </w:p>
        </w:tc>
        <w:tc>
          <w:tcPr>
            <w:tcW w:w="2077" w:type="pct"/>
          </w:tcPr>
          <w:p w14:paraId="0B30F187">
            <w:pPr>
              <w:widowControl/>
              <w:adjustRightInd w:val="0"/>
              <w:snapToGrid w:val="0"/>
              <w:spacing w:line="300" w:lineRule="exact"/>
              <w:jc w:val="center"/>
              <w:rPr>
                <w:rFonts w:hint="eastAsia"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w:t>
            </w:r>
          </w:p>
        </w:tc>
      </w:tr>
      <w:tr w14:paraId="182AF2C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325" w:type="pct"/>
            <w:vAlign w:val="center"/>
          </w:tcPr>
          <w:p w14:paraId="15CAD7B6">
            <w:pPr>
              <w:widowControl/>
              <w:adjustRightInd w:val="0"/>
              <w:snapToGrid w:val="0"/>
              <w:spacing w:line="300" w:lineRule="exact"/>
              <w:jc w:val="center"/>
              <w:rPr>
                <w:rFonts w:hint="eastAsia"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12)</w:t>
            </w:r>
          </w:p>
        </w:tc>
        <w:tc>
          <w:tcPr>
            <w:tcW w:w="1868" w:type="pct"/>
            <w:vAlign w:val="center"/>
          </w:tcPr>
          <w:p w14:paraId="21C22DC5">
            <w:pPr>
              <w:widowControl/>
              <w:adjustRightInd w:val="0"/>
              <w:snapToGrid w:val="0"/>
              <w:spacing w:line="300" w:lineRule="exact"/>
              <w:jc w:val="center"/>
              <w:rPr>
                <w:rFonts w:hint="eastAsia" w:ascii="宋体" w:hAnsi="宋体"/>
                <w:color w:val="000000" w:themeColor="text1"/>
                <w:kern w:val="0"/>
                <w:szCs w:val="21"/>
                <w14:textFill>
                  <w14:solidFill>
                    <w14:schemeClr w14:val="tx1"/>
                  </w14:solidFill>
                </w14:textFill>
              </w:rPr>
            </w:pPr>
            <w:r>
              <w:rPr>
                <w:rFonts w:ascii="宋体" w:hAnsi="宋体"/>
                <w:color w:val="000000" w:themeColor="text1"/>
                <w:szCs w:val="21"/>
                <w14:textFill>
                  <w14:solidFill>
                    <w14:schemeClr w14:val="tx1"/>
                  </w14:solidFill>
                </w14:textFill>
              </w:rPr>
              <w:t>流体用不锈钢无缝钢管</w:t>
            </w:r>
            <w:r>
              <w:rPr>
                <w:rFonts w:hint="eastAsia" w:ascii="宋体" w:hAnsi="宋体"/>
                <w:color w:val="000000" w:themeColor="text1"/>
                <w:szCs w:val="21"/>
                <w14:textFill>
                  <w14:solidFill>
                    <w14:schemeClr w14:val="tx1"/>
                  </w14:solidFill>
                </w14:textFill>
              </w:rPr>
              <w:t>168</w:t>
            </w:r>
            <w:r>
              <w:rPr>
                <w:rFonts w:ascii="宋体" w:hAnsi="宋体"/>
                <w:color w:val="000000" w:themeColor="text1"/>
                <w:szCs w:val="21"/>
                <w14:textFill>
                  <w14:solidFill>
                    <w14:schemeClr w14:val="tx1"/>
                  </w14:solidFill>
                </w14:textFill>
              </w:rPr>
              <w:t>*</w:t>
            </w:r>
            <w:r>
              <w:rPr>
                <w:rFonts w:hint="eastAsia" w:ascii="宋体" w:hAnsi="宋体"/>
                <w:color w:val="000000" w:themeColor="text1"/>
                <w:szCs w:val="21"/>
                <w14:textFill>
                  <w14:solidFill>
                    <w14:schemeClr w14:val="tx1"/>
                  </w14:solidFill>
                </w14:textFill>
              </w:rPr>
              <w:t>4</w:t>
            </w:r>
            <w:r>
              <w:rPr>
                <w:rFonts w:ascii="宋体" w:hAnsi="宋体"/>
                <w:color w:val="000000" w:themeColor="text1"/>
                <w:szCs w:val="21"/>
                <w14:textFill>
                  <w14:solidFill>
                    <w14:schemeClr w14:val="tx1"/>
                  </w14:solidFill>
                </w14:textFill>
              </w:rPr>
              <w:t>mm</w:t>
            </w:r>
          </w:p>
        </w:tc>
        <w:tc>
          <w:tcPr>
            <w:tcW w:w="405" w:type="pct"/>
            <w:vAlign w:val="center"/>
          </w:tcPr>
          <w:p w14:paraId="3162B170">
            <w:pPr>
              <w:widowControl/>
              <w:adjustRightInd w:val="0"/>
              <w:snapToGrid w:val="0"/>
              <w:spacing w:line="300" w:lineRule="exact"/>
              <w:jc w:val="center"/>
              <w:rPr>
                <w:rFonts w:hint="eastAsia"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0.2</w:t>
            </w:r>
          </w:p>
        </w:tc>
        <w:tc>
          <w:tcPr>
            <w:tcW w:w="325" w:type="pct"/>
            <w:vAlign w:val="center"/>
          </w:tcPr>
          <w:p w14:paraId="323DEB7B">
            <w:pPr>
              <w:widowControl/>
              <w:adjustRightInd w:val="0"/>
              <w:snapToGrid w:val="0"/>
              <w:spacing w:line="300" w:lineRule="exact"/>
              <w:jc w:val="center"/>
              <w:rPr>
                <w:rFonts w:hint="eastAsia"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k</w:t>
            </w:r>
            <w:r>
              <w:rPr>
                <w:rFonts w:ascii="宋体" w:hAnsi="宋体"/>
                <w:color w:val="000000" w:themeColor="text1"/>
                <w:kern w:val="0"/>
                <w:szCs w:val="21"/>
                <w14:textFill>
                  <w14:solidFill>
                    <w14:schemeClr w14:val="tx1"/>
                  </w14:solidFill>
                </w14:textFill>
              </w:rPr>
              <w:t>m</w:t>
            </w:r>
          </w:p>
        </w:tc>
        <w:tc>
          <w:tcPr>
            <w:tcW w:w="2077" w:type="pct"/>
          </w:tcPr>
          <w:p w14:paraId="0C7FA6B4">
            <w:pPr>
              <w:widowControl/>
              <w:adjustRightInd w:val="0"/>
              <w:snapToGrid w:val="0"/>
              <w:spacing w:line="300" w:lineRule="exact"/>
              <w:jc w:val="center"/>
              <w:rPr>
                <w:rFonts w:hint="eastAsia"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w:t>
            </w:r>
          </w:p>
        </w:tc>
      </w:tr>
      <w:tr w14:paraId="446ED76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270" w:hRule="atLeast"/>
        </w:trPr>
        <w:tc>
          <w:tcPr>
            <w:tcW w:w="325" w:type="pct"/>
            <w:vAlign w:val="center"/>
          </w:tcPr>
          <w:p w14:paraId="42B0764A">
            <w:pPr>
              <w:widowControl/>
              <w:adjustRightInd w:val="0"/>
              <w:snapToGrid w:val="0"/>
              <w:spacing w:line="300" w:lineRule="exact"/>
              <w:jc w:val="center"/>
              <w:rPr>
                <w:rFonts w:hint="eastAsia"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13)</w:t>
            </w:r>
          </w:p>
        </w:tc>
        <w:tc>
          <w:tcPr>
            <w:tcW w:w="1868" w:type="pct"/>
            <w:vAlign w:val="center"/>
          </w:tcPr>
          <w:p w14:paraId="06B6BEFE">
            <w:pPr>
              <w:widowControl/>
              <w:adjustRightInd w:val="0"/>
              <w:snapToGrid w:val="0"/>
              <w:spacing w:line="300" w:lineRule="exact"/>
              <w:jc w:val="center"/>
              <w:rPr>
                <w:rFonts w:hint="eastAsia" w:ascii="宋体" w:hAnsi="宋体"/>
                <w:color w:val="000000" w:themeColor="text1"/>
                <w:kern w:val="0"/>
                <w:szCs w:val="21"/>
                <w14:textFill>
                  <w14:solidFill>
                    <w14:schemeClr w14:val="tx1"/>
                  </w14:solidFill>
                </w14:textFill>
              </w:rPr>
            </w:pPr>
            <w:r>
              <w:rPr>
                <w:rFonts w:ascii="宋体" w:hAnsi="宋体"/>
                <w:color w:val="000000" w:themeColor="text1"/>
                <w:szCs w:val="21"/>
                <w14:textFill>
                  <w14:solidFill>
                    <w14:schemeClr w14:val="tx1"/>
                  </w14:solidFill>
                </w14:textFill>
              </w:rPr>
              <w:t>流体用不锈钢无缝钢管219*5mm</w:t>
            </w:r>
          </w:p>
        </w:tc>
        <w:tc>
          <w:tcPr>
            <w:tcW w:w="405" w:type="pct"/>
            <w:vAlign w:val="center"/>
          </w:tcPr>
          <w:p w14:paraId="2BC9BC0A">
            <w:pPr>
              <w:widowControl/>
              <w:adjustRightInd w:val="0"/>
              <w:snapToGrid w:val="0"/>
              <w:spacing w:line="300" w:lineRule="exact"/>
              <w:jc w:val="center"/>
              <w:rPr>
                <w:rFonts w:hint="eastAsia"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0.2</w:t>
            </w:r>
          </w:p>
        </w:tc>
        <w:tc>
          <w:tcPr>
            <w:tcW w:w="325" w:type="pct"/>
            <w:vAlign w:val="center"/>
          </w:tcPr>
          <w:p w14:paraId="753F9416">
            <w:pPr>
              <w:widowControl/>
              <w:adjustRightInd w:val="0"/>
              <w:snapToGrid w:val="0"/>
              <w:spacing w:line="300" w:lineRule="exact"/>
              <w:jc w:val="center"/>
              <w:rPr>
                <w:rFonts w:hint="eastAsia"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k</w:t>
            </w:r>
            <w:r>
              <w:rPr>
                <w:rFonts w:ascii="宋体" w:hAnsi="宋体"/>
                <w:color w:val="000000" w:themeColor="text1"/>
                <w:kern w:val="0"/>
                <w:szCs w:val="21"/>
                <w14:textFill>
                  <w14:solidFill>
                    <w14:schemeClr w14:val="tx1"/>
                  </w14:solidFill>
                </w14:textFill>
              </w:rPr>
              <w:t>m</w:t>
            </w:r>
          </w:p>
        </w:tc>
        <w:tc>
          <w:tcPr>
            <w:tcW w:w="2077" w:type="pct"/>
          </w:tcPr>
          <w:p w14:paraId="232102A2">
            <w:pPr>
              <w:widowControl/>
              <w:adjustRightInd w:val="0"/>
              <w:snapToGrid w:val="0"/>
              <w:spacing w:line="300" w:lineRule="exact"/>
              <w:jc w:val="center"/>
              <w:rPr>
                <w:rFonts w:hint="eastAsia"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w:t>
            </w:r>
          </w:p>
        </w:tc>
      </w:tr>
      <w:tr w14:paraId="72067CE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325" w:type="pct"/>
            <w:vAlign w:val="center"/>
          </w:tcPr>
          <w:p w14:paraId="6B4A0FA9">
            <w:pPr>
              <w:widowControl/>
              <w:adjustRightInd w:val="0"/>
              <w:snapToGrid w:val="0"/>
              <w:spacing w:line="300" w:lineRule="exact"/>
              <w:jc w:val="center"/>
              <w:rPr>
                <w:rFonts w:hint="eastAsia"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14)</w:t>
            </w:r>
          </w:p>
        </w:tc>
        <w:tc>
          <w:tcPr>
            <w:tcW w:w="1868" w:type="pct"/>
            <w:vAlign w:val="center"/>
          </w:tcPr>
          <w:p w14:paraId="1347BBA9">
            <w:pPr>
              <w:widowControl/>
              <w:adjustRightInd w:val="0"/>
              <w:snapToGrid w:val="0"/>
              <w:spacing w:line="300" w:lineRule="exact"/>
              <w:jc w:val="center"/>
              <w:rPr>
                <w:rFonts w:hint="eastAsia" w:ascii="宋体" w:hAnsi="宋体"/>
                <w:color w:val="000000" w:themeColor="text1"/>
                <w:kern w:val="0"/>
                <w:szCs w:val="21"/>
                <w14:textFill>
                  <w14:solidFill>
                    <w14:schemeClr w14:val="tx1"/>
                  </w14:solidFill>
                </w14:textFill>
              </w:rPr>
            </w:pPr>
            <w:r>
              <w:rPr>
                <w:rFonts w:ascii="宋体" w:hAnsi="宋体"/>
                <w:color w:val="000000" w:themeColor="text1"/>
                <w:szCs w:val="21"/>
                <w14:textFill>
                  <w14:solidFill>
                    <w14:schemeClr w14:val="tx1"/>
                  </w14:solidFill>
                </w14:textFill>
              </w:rPr>
              <w:t>流体用不锈钢无缝钢管2</w:t>
            </w:r>
            <w:r>
              <w:rPr>
                <w:rFonts w:hint="eastAsia" w:ascii="宋体" w:hAnsi="宋体"/>
                <w:color w:val="000000" w:themeColor="text1"/>
                <w:szCs w:val="21"/>
                <w14:textFill>
                  <w14:solidFill>
                    <w14:schemeClr w14:val="tx1"/>
                  </w14:solidFill>
                </w14:textFill>
              </w:rPr>
              <w:t>73</w:t>
            </w:r>
            <w:r>
              <w:rPr>
                <w:rFonts w:ascii="宋体" w:hAnsi="宋体"/>
                <w:color w:val="000000" w:themeColor="text1"/>
                <w:szCs w:val="21"/>
                <w14:textFill>
                  <w14:solidFill>
                    <w14:schemeClr w14:val="tx1"/>
                  </w14:solidFill>
                </w14:textFill>
              </w:rPr>
              <w:t>*</w:t>
            </w:r>
            <w:r>
              <w:rPr>
                <w:rFonts w:hint="eastAsia" w:ascii="宋体" w:hAnsi="宋体"/>
                <w:color w:val="000000" w:themeColor="text1"/>
                <w:szCs w:val="21"/>
                <w14:textFill>
                  <w14:solidFill>
                    <w14:schemeClr w14:val="tx1"/>
                  </w14:solidFill>
                </w14:textFill>
              </w:rPr>
              <w:t>6</w:t>
            </w:r>
            <w:r>
              <w:rPr>
                <w:rFonts w:ascii="宋体" w:hAnsi="宋体"/>
                <w:color w:val="000000" w:themeColor="text1"/>
                <w:szCs w:val="21"/>
                <w14:textFill>
                  <w14:solidFill>
                    <w14:schemeClr w14:val="tx1"/>
                  </w14:solidFill>
                </w14:textFill>
              </w:rPr>
              <w:t>mm</w:t>
            </w:r>
          </w:p>
        </w:tc>
        <w:tc>
          <w:tcPr>
            <w:tcW w:w="405" w:type="pct"/>
            <w:vAlign w:val="center"/>
          </w:tcPr>
          <w:p w14:paraId="41F70036">
            <w:pPr>
              <w:widowControl/>
              <w:adjustRightInd w:val="0"/>
              <w:snapToGrid w:val="0"/>
              <w:spacing w:line="300" w:lineRule="exact"/>
              <w:jc w:val="center"/>
              <w:rPr>
                <w:rFonts w:hint="eastAsia"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0.2</w:t>
            </w:r>
          </w:p>
        </w:tc>
        <w:tc>
          <w:tcPr>
            <w:tcW w:w="325" w:type="pct"/>
            <w:vAlign w:val="center"/>
          </w:tcPr>
          <w:p w14:paraId="3BCFEBD6">
            <w:pPr>
              <w:widowControl/>
              <w:adjustRightInd w:val="0"/>
              <w:snapToGrid w:val="0"/>
              <w:spacing w:line="300" w:lineRule="exact"/>
              <w:jc w:val="center"/>
              <w:rPr>
                <w:rFonts w:hint="eastAsia"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k</w:t>
            </w:r>
            <w:r>
              <w:rPr>
                <w:rFonts w:ascii="宋体" w:hAnsi="宋体"/>
                <w:color w:val="000000" w:themeColor="text1"/>
                <w:kern w:val="0"/>
                <w:szCs w:val="21"/>
                <w14:textFill>
                  <w14:solidFill>
                    <w14:schemeClr w14:val="tx1"/>
                  </w14:solidFill>
                </w14:textFill>
              </w:rPr>
              <w:t>m</w:t>
            </w:r>
          </w:p>
        </w:tc>
        <w:tc>
          <w:tcPr>
            <w:tcW w:w="2077" w:type="pct"/>
          </w:tcPr>
          <w:p w14:paraId="329750E0">
            <w:pPr>
              <w:widowControl/>
              <w:adjustRightInd w:val="0"/>
              <w:snapToGrid w:val="0"/>
              <w:spacing w:line="300" w:lineRule="exact"/>
              <w:jc w:val="center"/>
              <w:rPr>
                <w:rFonts w:hint="eastAsia"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w:t>
            </w:r>
          </w:p>
        </w:tc>
      </w:tr>
      <w:tr w14:paraId="02EF2BB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325" w:type="pct"/>
            <w:vAlign w:val="center"/>
          </w:tcPr>
          <w:p w14:paraId="7DF3DBAD">
            <w:pPr>
              <w:widowControl/>
              <w:adjustRightInd w:val="0"/>
              <w:snapToGrid w:val="0"/>
              <w:spacing w:line="300" w:lineRule="exact"/>
              <w:jc w:val="center"/>
              <w:rPr>
                <w:rFonts w:hint="eastAsia"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3</w:t>
            </w:r>
          </w:p>
        </w:tc>
        <w:tc>
          <w:tcPr>
            <w:tcW w:w="1868" w:type="pct"/>
            <w:vAlign w:val="center"/>
          </w:tcPr>
          <w:p w14:paraId="0F3F699F">
            <w:pPr>
              <w:widowControl/>
              <w:adjustRightInd w:val="0"/>
              <w:snapToGrid w:val="0"/>
              <w:spacing w:line="300" w:lineRule="exact"/>
              <w:jc w:val="center"/>
              <w:rPr>
                <w:rFonts w:hint="eastAsia"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采出气</w:t>
            </w:r>
            <w:r>
              <w:rPr>
                <w:rFonts w:ascii="宋体" w:hAnsi="宋体"/>
                <w:color w:val="000000" w:themeColor="text1"/>
                <w:kern w:val="0"/>
                <w:szCs w:val="21"/>
                <w14:textFill>
                  <w14:solidFill>
                    <w14:schemeClr w14:val="tx1"/>
                  </w14:solidFill>
                </w14:textFill>
              </w:rPr>
              <w:t>回注系统</w:t>
            </w:r>
          </w:p>
        </w:tc>
        <w:tc>
          <w:tcPr>
            <w:tcW w:w="405" w:type="pct"/>
            <w:vAlign w:val="center"/>
          </w:tcPr>
          <w:p w14:paraId="0EC3B049">
            <w:pPr>
              <w:widowControl/>
              <w:adjustRightInd w:val="0"/>
              <w:snapToGrid w:val="0"/>
              <w:spacing w:line="300" w:lineRule="exact"/>
              <w:jc w:val="center"/>
              <w:rPr>
                <w:rFonts w:hint="eastAsia" w:ascii="宋体" w:hAnsi="宋体"/>
                <w:color w:val="000000" w:themeColor="text1"/>
                <w:kern w:val="0"/>
                <w:szCs w:val="21"/>
                <w14:textFill>
                  <w14:solidFill>
                    <w14:schemeClr w14:val="tx1"/>
                  </w14:solidFill>
                </w14:textFill>
              </w:rPr>
            </w:pPr>
          </w:p>
        </w:tc>
        <w:tc>
          <w:tcPr>
            <w:tcW w:w="325" w:type="pct"/>
            <w:vAlign w:val="center"/>
          </w:tcPr>
          <w:p w14:paraId="044EAADA">
            <w:pPr>
              <w:widowControl/>
              <w:adjustRightInd w:val="0"/>
              <w:snapToGrid w:val="0"/>
              <w:spacing w:line="300" w:lineRule="exact"/>
              <w:jc w:val="center"/>
              <w:rPr>
                <w:rFonts w:hint="eastAsia" w:ascii="宋体" w:hAnsi="宋体"/>
                <w:color w:val="000000" w:themeColor="text1"/>
                <w:kern w:val="0"/>
                <w:szCs w:val="21"/>
                <w14:textFill>
                  <w14:solidFill>
                    <w14:schemeClr w14:val="tx1"/>
                  </w14:solidFill>
                </w14:textFill>
              </w:rPr>
            </w:pPr>
          </w:p>
        </w:tc>
        <w:tc>
          <w:tcPr>
            <w:tcW w:w="2077" w:type="pct"/>
          </w:tcPr>
          <w:p w14:paraId="58FD27DD">
            <w:pPr>
              <w:widowControl/>
              <w:adjustRightInd w:val="0"/>
              <w:snapToGrid w:val="0"/>
              <w:spacing w:line="300" w:lineRule="exact"/>
              <w:jc w:val="center"/>
              <w:rPr>
                <w:rFonts w:hint="eastAsia" w:ascii="宋体" w:hAnsi="宋体"/>
                <w:color w:val="000000" w:themeColor="text1"/>
                <w:kern w:val="0"/>
                <w:szCs w:val="21"/>
                <w14:textFill>
                  <w14:solidFill>
                    <w14:schemeClr w14:val="tx1"/>
                  </w14:solidFill>
                </w14:textFill>
              </w:rPr>
            </w:pPr>
          </w:p>
        </w:tc>
      </w:tr>
      <w:tr w14:paraId="402DF66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325" w:type="pct"/>
            <w:vAlign w:val="center"/>
          </w:tcPr>
          <w:p w14:paraId="2C6DE56D">
            <w:pPr>
              <w:widowControl/>
              <w:adjustRightInd w:val="0"/>
              <w:snapToGrid w:val="0"/>
              <w:spacing w:line="300" w:lineRule="exact"/>
              <w:jc w:val="center"/>
              <w:rPr>
                <w:rFonts w:hint="eastAsia"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1)</w:t>
            </w:r>
          </w:p>
        </w:tc>
        <w:tc>
          <w:tcPr>
            <w:tcW w:w="1868" w:type="pct"/>
            <w:vAlign w:val="center"/>
          </w:tcPr>
          <w:p w14:paraId="0F07526E">
            <w:pPr>
              <w:widowControl/>
              <w:adjustRightInd w:val="0"/>
              <w:snapToGrid w:val="0"/>
              <w:spacing w:line="300" w:lineRule="exact"/>
              <w:jc w:val="center"/>
              <w:rPr>
                <w:rFonts w:hint="eastAsia"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分子筛脱水装置</w:t>
            </w:r>
          </w:p>
        </w:tc>
        <w:tc>
          <w:tcPr>
            <w:tcW w:w="405" w:type="pct"/>
            <w:vAlign w:val="center"/>
          </w:tcPr>
          <w:p w14:paraId="26F2098C">
            <w:pPr>
              <w:widowControl/>
              <w:adjustRightInd w:val="0"/>
              <w:snapToGrid w:val="0"/>
              <w:spacing w:line="300" w:lineRule="exact"/>
              <w:jc w:val="center"/>
              <w:rPr>
                <w:rFonts w:hint="eastAsia"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1</w:t>
            </w:r>
          </w:p>
        </w:tc>
        <w:tc>
          <w:tcPr>
            <w:tcW w:w="325" w:type="pct"/>
            <w:vAlign w:val="center"/>
          </w:tcPr>
          <w:p w14:paraId="2E65138E">
            <w:pPr>
              <w:widowControl/>
              <w:adjustRightInd w:val="0"/>
              <w:snapToGrid w:val="0"/>
              <w:spacing w:line="300" w:lineRule="exact"/>
              <w:jc w:val="center"/>
              <w:rPr>
                <w:rFonts w:hint="eastAsia"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座</w:t>
            </w:r>
          </w:p>
        </w:tc>
        <w:tc>
          <w:tcPr>
            <w:tcW w:w="2077" w:type="pct"/>
            <w:vAlign w:val="center"/>
          </w:tcPr>
          <w:p w14:paraId="76AC044D">
            <w:pPr>
              <w:widowControl/>
              <w:adjustRightInd w:val="0"/>
              <w:snapToGrid w:val="0"/>
              <w:spacing w:line="300" w:lineRule="exact"/>
              <w:jc w:val="center"/>
              <w:rPr>
                <w:rFonts w:hint="eastAsia"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包括干燥塔2台、再生气压缩机2台、再生器电加热器1台、再生气冷却器1台、再生气分离器1套及出口粉尘过滤器2台，干燥塔单塔装填分子筛1m</w:t>
            </w:r>
            <w:r>
              <w:rPr>
                <w:rFonts w:hint="eastAsia" w:ascii="宋体" w:hAnsi="宋体"/>
                <w:color w:val="000000" w:themeColor="text1"/>
                <w:kern w:val="0"/>
                <w:szCs w:val="21"/>
                <w:vertAlign w:val="superscript"/>
                <w14:textFill>
                  <w14:solidFill>
                    <w14:schemeClr w14:val="tx1"/>
                  </w14:solidFill>
                </w14:textFill>
              </w:rPr>
              <w:t>3</w:t>
            </w:r>
            <w:r>
              <w:rPr>
                <w:rFonts w:hint="eastAsia" w:ascii="宋体" w:hAnsi="宋体"/>
                <w:color w:val="000000" w:themeColor="text1"/>
                <w:kern w:val="0"/>
                <w:szCs w:val="21"/>
                <w14:textFill>
                  <w14:solidFill>
                    <w14:schemeClr w14:val="tx1"/>
                  </w14:solidFill>
                </w14:textFill>
              </w:rPr>
              <w:t>。设计能力2×10</w:t>
            </w:r>
            <w:r>
              <w:rPr>
                <w:rFonts w:hint="eastAsia" w:ascii="宋体" w:hAnsi="宋体"/>
                <w:color w:val="000000" w:themeColor="text1"/>
                <w:kern w:val="0"/>
                <w:szCs w:val="21"/>
                <w:vertAlign w:val="superscript"/>
                <w14:textFill>
                  <w14:solidFill>
                    <w14:schemeClr w14:val="tx1"/>
                  </w14:solidFill>
                </w14:textFill>
              </w:rPr>
              <w:t>4</w:t>
            </w:r>
            <w:r>
              <w:rPr>
                <w:rFonts w:hint="eastAsia" w:ascii="宋体" w:hAnsi="宋体"/>
                <w:color w:val="000000" w:themeColor="text1"/>
                <w:kern w:val="0"/>
                <w:szCs w:val="21"/>
                <w14:textFill>
                  <w14:solidFill>
                    <w14:schemeClr w14:val="tx1"/>
                  </w14:solidFill>
                </w14:textFill>
              </w:rPr>
              <w:t>m</w:t>
            </w:r>
            <w:r>
              <w:rPr>
                <w:rFonts w:hint="eastAsia" w:ascii="宋体" w:hAnsi="宋体"/>
                <w:color w:val="000000" w:themeColor="text1"/>
                <w:kern w:val="0"/>
                <w:szCs w:val="21"/>
                <w:vertAlign w:val="superscript"/>
                <w14:textFill>
                  <w14:solidFill>
                    <w14:schemeClr w14:val="tx1"/>
                  </w14:solidFill>
                </w14:textFill>
              </w:rPr>
              <w:t>3</w:t>
            </w:r>
            <w:r>
              <w:rPr>
                <w:rFonts w:hint="eastAsia" w:ascii="宋体" w:hAnsi="宋体"/>
                <w:color w:val="000000" w:themeColor="text1"/>
                <w:kern w:val="0"/>
                <w:szCs w:val="21"/>
                <w14:textFill>
                  <w14:solidFill>
                    <w14:schemeClr w14:val="tx1"/>
                  </w14:solidFill>
                </w14:textFill>
              </w:rPr>
              <w:t>/d，进气压力0.25～3MPa、进气温度≤40℃、出气压力0.2～0.25MPa。</w:t>
            </w:r>
          </w:p>
        </w:tc>
      </w:tr>
      <w:tr w14:paraId="002E9D9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325" w:type="pct"/>
            <w:vAlign w:val="center"/>
          </w:tcPr>
          <w:p w14:paraId="3E51E38B">
            <w:pPr>
              <w:widowControl/>
              <w:adjustRightInd w:val="0"/>
              <w:snapToGrid w:val="0"/>
              <w:spacing w:line="300" w:lineRule="exact"/>
              <w:jc w:val="center"/>
              <w:rPr>
                <w:rFonts w:hint="eastAsia"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2)</w:t>
            </w:r>
          </w:p>
        </w:tc>
        <w:tc>
          <w:tcPr>
            <w:tcW w:w="1868" w:type="pct"/>
            <w:vAlign w:val="center"/>
          </w:tcPr>
          <w:p w14:paraId="66933272">
            <w:pPr>
              <w:widowControl/>
              <w:adjustRightInd w:val="0"/>
              <w:snapToGrid w:val="0"/>
              <w:spacing w:line="300" w:lineRule="exact"/>
              <w:jc w:val="center"/>
              <w:rPr>
                <w:rFonts w:hint="eastAsia"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往复式压缩机</w:t>
            </w:r>
          </w:p>
        </w:tc>
        <w:tc>
          <w:tcPr>
            <w:tcW w:w="405" w:type="pct"/>
            <w:vAlign w:val="center"/>
          </w:tcPr>
          <w:p w14:paraId="38032F48">
            <w:pPr>
              <w:widowControl/>
              <w:adjustRightInd w:val="0"/>
              <w:snapToGrid w:val="0"/>
              <w:spacing w:line="300" w:lineRule="exact"/>
              <w:jc w:val="center"/>
              <w:rPr>
                <w:rFonts w:hint="eastAsia"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2</w:t>
            </w:r>
          </w:p>
        </w:tc>
        <w:tc>
          <w:tcPr>
            <w:tcW w:w="325" w:type="pct"/>
            <w:vAlign w:val="center"/>
          </w:tcPr>
          <w:p w14:paraId="6D39BE43">
            <w:pPr>
              <w:widowControl/>
              <w:adjustRightInd w:val="0"/>
              <w:snapToGrid w:val="0"/>
              <w:spacing w:line="300" w:lineRule="exact"/>
              <w:jc w:val="center"/>
              <w:rPr>
                <w:rFonts w:hint="eastAsia"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座</w:t>
            </w:r>
          </w:p>
        </w:tc>
        <w:tc>
          <w:tcPr>
            <w:tcW w:w="2077" w:type="pct"/>
            <w:vAlign w:val="center"/>
          </w:tcPr>
          <w:p w14:paraId="5B44F9C3">
            <w:pPr>
              <w:widowControl/>
              <w:adjustRightInd w:val="0"/>
              <w:snapToGrid w:val="0"/>
              <w:spacing w:line="300" w:lineRule="exact"/>
              <w:rPr>
                <w:rFonts w:hint="eastAsia"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电驱压缩机，单座处理规模1×10</w:t>
            </w:r>
            <w:r>
              <w:rPr>
                <w:rFonts w:hint="eastAsia" w:ascii="宋体" w:hAnsi="宋体"/>
                <w:color w:val="000000" w:themeColor="text1"/>
                <w:kern w:val="0"/>
                <w:szCs w:val="21"/>
                <w:vertAlign w:val="superscript"/>
                <w14:textFill>
                  <w14:solidFill>
                    <w14:schemeClr w14:val="tx1"/>
                  </w14:solidFill>
                </w14:textFill>
              </w:rPr>
              <w:t>4</w:t>
            </w:r>
            <w:r>
              <w:rPr>
                <w:rFonts w:hint="eastAsia" w:ascii="宋体" w:hAnsi="宋体"/>
                <w:color w:val="000000" w:themeColor="text1"/>
                <w:kern w:val="0"/>
                <w:szCs w:val="21"/>
                <w14:textFill>
                  <w14:solidFill>
                    <w14:schemeClr w14:val="tx1"/>
                  </w14:solidFill>
                </w14:textFill>
              </w:rPr>
              <w:t>m</w:t>
            </w:r>
            <w:r>
              <w:rPr>
                <w:rFonts w:hint="eastAsia" w:ascii="宋体" w:hAnsi="宋体"/>
                <w:color w:val="000000" w:themeColor="text1"/>
                <w:kern w:val="0"/>
                <w:szCs w:val="21"/>
                <w:vertAlign w:val="superscript"/>
                <w14:textFill>
                  <w14:solidFill>
                    <w14:schemeClr w14:val="tx1"/>
                  </w14:solidFill>
                </w14:textFill>
              </w:rPr>
              <w:t>3</w:t>
            </w:r>
            <w:r>
              <w:rPr>
                <w:rFonts w:hint="eastAsia" w:ascii="宋体" w:hAnsi="宋体"/>
                <w:color w:val="000000" w:themeColor="text1"/>
                <w:kern w:val="0"/>
                <w:szCs w:val="21"/>
                <w14:textFill>
                  <w14:solidFill>
                    <w14:schemeClr w14:val="tx1"/>
                  </w14:solidFill>
                </w14:textFill>
              </w:rPr>
              <w:t>/d，合计设计处理气量2×10</w:t>
            </w:r>
            <w:r>
              <w:rPr>
                <w:rFonts w:hint="eastAsia" w:ascii="宋体" w:hAnsi="宋体"/>
                <w:color w:val="000000" w:themeColor="text1"/>
                <w:kern w:val="0"/>
                <w:szCs w:val="21"/>
                <w:vertAlign w:val="superscript"/>
                <w14:textFill>
                  <w14:solidFill>
                    <w14:schemeClr w14:val="tx1"/>
                  </w14:solidFill>
                </w14:textFill>
              </w:rPr>
              <w:t>4</w:t>
            </w:r>
            <w:r>
              <w:rPr>
                <w:rFonts w:hint="eastAsia" w:ascii="宋体" w:hAnsi="宋体"/>
                <w:color w:val="000000" w:themeColor="text1"/>
                <w:kern w:val="0"/>
                <w:szCs w:val="21"/>
                <w14:textFill>
                  <w14:solidFill>
                    <w14:schemeClr w14:val="tx1"/>
                  </w14:solidFill>
                </w14:textFill>
              </w:rPr>
              <w:t>m</w:t>
            </w:r>
            <w:r>
              <w:rPr>
                <w:rFonts w:hint="eastAsia" w:ascii="宋体" w:hAnsi="宋体"/>
                <w:color w:val="000000" w:themeColor="text1"/>
                <w:kern w:val="0"/>
                <w:szCs w:val="21"/>
                <w:vertAlign w:val="superscript"/>
                <w14:textFill>
                  <w14:solidFill>
                    <w14:schemeClr w14:val="tx1"/>
                  </w14:solidFill>
                </w14:textFill>
              </w:rPr>
              <w:t>3</w:t>
            </w:r>
            <w:r>
              <w:rPr>
                <w:rFonts w:hint="eastAsia" w:ascii="宋体" w:hAnsi="宋体"/>
                <w:color w:val="000000" w:themeColor="text1"/>
                <w:kern w:val="0"/>
                <w:szCs w:val="21"/>
                <w14:textFill>
                  <w14:solidFill>
                    <w14:schemeClr w14:val="tx1"/>
                  </w14:solidFill>
                </w14:textFill>
              </w:rPr>
              <w:t>/d，进气压力0.25～3MPa、进气温度35～40℃、排气压力5.1～5.5MPa，排气温度≤80℃，冷却方式为空冷。</w:t>
            </w:r>
          </w:p>
        </w:tc>
      </w:tr>
      <w:tr w14:paraId="7BA782B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325" w:type="pct"/>
            <w:vAlign w:val="center"/>
          </w:tcPr>
          <w:p w14:paraId="175F4A1F">
            <w:pPr>
              <w:widowControl/>
              <w:adjustRightInd w:val="0"/>
              <w:snapToGrid w:val="0"/>
              <w:spacing w:line="300" w:lineRule="exact"/>
              <w:jc w:val="center"/>
              <w:rPr>
                <w:rFonts w:hint="eastAsia"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3)</w:t>
            </w:r>
          </w:p>
        </w:tc>
        <w:tc>
          <w:tcPr>
            <w:tcW w:w="1868" w:type="pct"/>
            <w:vAlign w:val="center"/>
          </w:tcPr>
          <w:p w14:paraId="3DAB5291">
            <w:pPr>
              <w:widowControl/>
              <w:adjustRightInd w:val="0"/>
              <w:snapToGrid w:val="0"/>
              <w:spacing w:line="300" w:lineRule="exact"/>
              <w:jc w:val="center"/>
              <w:rPr>
                <w:rFonts w:hint="eastAsia"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旋进旋涡流量计</w:t>
            </w:r>
          </w:p>
        </w:tc>
        <w:tc>
          <w:tcPr>
            <w:tcW w:w="405" w:type="pct"/>
            <w:vAlign w:val="center"/>
          </w:tcPr>
          <w:p w14:paraId="708B5B92">
            <w:pPr>
              <w:widowControl/>
              <w:adjustRightInd w:val="0"/>
              <w:snapToGrid w:val="0"/>
              <w:spacing w:line="300" w:lineRule="exact"/>
              <w:jc w:val="center"/>
              <w:rPr>
                <w:rFonts w:hint="eastAsia"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1</w:t>
            </w:r>
          </w:p>
        </w:tc>
        <w:tc>
          <w:tcPr>
            <w:tcW w:w="325" w:type="pct"/>
            <w:vAlign w:val="center"/>
          </w:tcPr>
          <w:p w14:paraId="2D44ECB9">
            <w:pPr>
              <w:widowControl/>
              <w:adjustRightInd w:val="0"/>
              <w:snapToGrid w:val="0"/>
              <w:spacing w:line="300" w:lineRule="exact"/>
              <w:jc w:val="center"/>
              <w:rPr>
                <w:rFonts w:hint="eastAsia"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台</w:t>
            </w:r>
          </w:p>
        </w:tc>
        <w:tc>
          <w:tcPr>
            <w:tcW w:w="2077" w:type="pct"/>
            <w:vAlign w:val="center"/>
          </w:tcPr>
          <w:p w14:paraId="483A3246">
            <w:pPr>
              <w:widowControl/>
              <w:adjustRightInd w:val="0"/>
              <w:snapToGrid w:val="0"/>
              <w:spacing w:line="300" w:lineRule="exact"/>
              <w:jc w:val="center"/>
              <w:rPr>
                <w:rFonts w:hint="eastAsia"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压缩机进口流量计</w:t>
            </w:r>
          </w:p>
        </w:tc>
      </w:tr>
      <w:tr w14:paraId="39A22B8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325" w:type="pct"/>
            <w:vAlign w:val="center"/>
          </w:tcPr>
          <w:p w14:paraId="644DA347">
            <w:pPr>
              <w:widowControl/>
              <w:adjustRightInd w:val="0"/>
              <w:snapToGrid w:val="0"/>
              <w:spacing w:line="300" w:lineRule="exact"/>
              <w:jc w:val="center"/>
              <w:rPr>
                <w:rFonts w:hint="eastAsia"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4)</w:t>
            </w:r>
          </w:p>
        </w:tc>
        <w:tc>
          <w:tcPr>
            <w:tcW w:w="1868" w:type="pct"/>
            <w:vAlign w:val="center"/>
          </w:tcPr>
          <w:p w14:paraId="117DD90D">
            <w:pPr>
              <w:widowControl/>
              <w:adjustRightInd w:val="0"/>
              <w:snapToGrid w:val="0"/>
              <w:spacing w:line="300" w:lineRule="exact"/>
              <w:jc w:val="center"/>
              <w:rPr>
                <w:rFonts w:hint="eastAsia"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放空系统</w:t>
            </w:r>
          </w:p>
        </w:tc>
        <w:tc>
          <w:tcPr>
            <w:tcW w:w="405" w:type="pct"/>
            <w:vAlign w:val="center"/>
          </w:tcPr>
          <w:p w14:paraId="23FC7DAC">
            <w:pPr>
              <w:widowControl/>
              <w:adjustRightInd w:val="0"/>
              <w:snapToGrid w:val="0"/>
              <w:spacing w:line="300" w:lineRule="exact"/>
              <w:jc w:val="center"/>
              <w:rPr>
                <w:rFonts w:hint="eastAsia"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1</w:t>
            </w:r>
          </w:p>
        </w:tc>
        <w:tc>
          <w:tcPr>
            <w:tcW w:w="325" w:type="pct"/>
            <w:vAlign w:val="center"/>
          </w:tcPr>
          <w:p w14:paraId="286E00EF">
            <w:pPr>
              <w:widowControl/>
              <w:adjustRightInd w:val="0"/>
              <w:snapToGrid w:val="0"/>
              <w:spacing w:line="300" w:lineRule="exact"/>
              <w:jc w:val="center"/>
              <w:rPr>
                <w:rFonts w:hint="eastAsia"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座</w:t>
            </w:r>
          </w:p>
        </w:tc>
        <w:tc>
          <w:tcPr>
            <w:tcW w:w="2077" w:type="pct"/>
            <w:vAlign w:val="center"/>
          </w:tcPr>
          <w:p w14:paraId="1F269550">
            <w:pPr>
              <w:widowControl/>
              <w:adjustRightInd w:val="0"/>
              <w:snapToGrid w:val="0"/>
              <w:spacing w:line="300" w:lineRule="exact"/>
              <w:jc w:val="center"/>
              <w:rPr>
                <w:rFonts w:hint="eastAsia"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1套2×10</w:t>
            </w:r>
            <w:r>
              <w:rPr>
                <w:rFonts w:hint="eastAsia" w:ascii="宋体" w:hAnsi="宋体"/>
                <w:color w:val="000000" w:themeColor="text1"/>
                <w:kern w:val="0"/>
                <w:szCs w:val="21"/>
                <w:vertAlign w:val="superscript"/>
                <w14:textFill>
                  <w14:solidFill>
                    <w14:schemeClr w14:val="tx1"/>
                  </w14:solidFill>
                </w14:textFill>
              </w:rPr>
              <w:t>4</w:t>
            </w:r>
            <w:r>
              <w:rPr>
                <w:rFonts w:hint="eastAsia" w:ascii="宋体" w:hAnsi="宋体"/>
                <w:color w:val="000000" w:themeColor="text1"/>
                <w:kern w:val="0"/>
                <w:szCs w:val="21"/>
                <w14:textFill>
                  <w14:solidFill>
                    <w14:schemeClr w14:val="tx1"/>
                  </w14:solidFill>
                </w14:textFill>
              </w:rPr>
              <w:t>m</w:t>
            </w:r>
            <w:r>
              <w:rPr>
                <w:rFonts w:hint="eastAsia" w:ascii="宋体" w:hAnsi="宋体"/>
                <w:color w:val="000000" w:themeColor="text1"/>
                <w:kern w:val="0"/>
                <w:szCs w:val="21"/>
                <w:vertAlign w:val="superscript"/>
                <w14:textFill>
                  <w14:solidFill>
                    <w14:schemeClr w14:val="tx1"/>
                  </w14:solidFill>
                </w14:textFill>
              </w:rPr>
              <w:t>3</w:t>
            </w:r>
            <w:r>
              <w:rPr>
                <w:rFonts w:hint="eastAsia" w:ascii="宋体" w:hAnsi="宋体"/>
                <w:color w:val="000000" w:themeColor="text1"/>
                <w:kern w:val="0"/>
                <w:szCs w:val="21"/>
                <w14:textFill>
                  <w14:solidFill>
                    <w14:schemeClr w14:val="tx1"/>
                  </w14:solidFill>
                </w14:textFill>
              </w:rPr>
              <w:t>/d，含火炬除液器、放空火炬等，除液器采用立式重力分离器结构，设计规格</w:t>
            </w:r>
            <w:r>
              <w:rPr>
                <w:rFonts w:ascii="宋体" w:hAnsi="宋体"/>
                <w:color w:val="000000" w:themeColor="text1"/>
                <w:kern w:val="0"/>
                <w:szCs w:val="21"/>
                <w14:textFill>
                  <w14:solidFill>
                    <w14:schemeClr w14:val="tx1"/>
                  </w14:solidFill>
                </w14:textFill>
              </w:rPr>
              <w:t>D0.6m</w:t>
            </w:r>
            <w:r>
              <w:rPr>
                <w:rFonts w:hint="eastAsia" w:ascii="宋体" w:hAnsi="宋体"/>
                <w:color w:val="000000" w:themeColor="text1"/>
                <w:kern w:val="0"/>
                <w:szCs w:val="21"/>
                <w14:textFill>
                  <w14:solidFill>
                    <w14:schemeClr w14:val="tx1"/>
                  </w14:solidFill>
                </w14:textFill>
              </w:rPr>
              <w:t>×</w:t>
            </w:r>
            <w:r>
              <w:rPr>
                <w:rFonts w:ascii="宋体" w:hAnsi="宋体"/>
                <w:color w:val="000000" w:themeColor="text1"/>
                <w:kern w:val="0"/>
                <w:szCs w:val="21"/>
                <w14:textFill>
                  <w14:solidFill>
                    <w14:schemeClr w14:val="tx1"/>
                  </w14:solidFill>
                </w14:textFill>
              </w:rPr>
              <w:t>1.8m-0.6</w:t>
            </w:r>
            <w:r>
              <w:rPr>
                <w:rFonts w:hint="eastAsia" w:ascii="宋体" w:hAnsi="宋体"/>
                <w:color w:val="000000" w:themeColor="text1"/>
                <w:kern w:val="0"/>
                <w:szCs w:val="21"/>
                <w14:textFill>
                  <w14:solidFill>
                    <w14:schemeClr w14:val="tx1"/>
                  </w14:solidFill>
                </w14:textFill>
              </w:rPr>
              <w:t>。低热值放空火炬DN50 H=15m。站内设有高低压两套放空管线，压力≤</w:t>
            </w:r>
            <w:r>
              <w:rPr>
                <w:rFonts w:ascii="宋体" w:hAnsi="宋体"/>
                <w:color w:val="000000" w:themeColor="text1"/>
                <w:kern w:val="0"/>
                <w:szCs w:val="21"/>
                <w14:textFill>
                  <w14:solidFill>
                    <w14:schemeClr w14:val="tx1"/>
                  </w14:solidFill>
                </w14:textFill>
              </w:rPr>
              <w:t xml:space="preserve">4MPag </w:t>
            </w:r>
            <w:r>
              <w:rPr>
                <w:rFonts w:hint="eastAsia" w:ascii="宋体" w:hAnsi="宋体"/>
                <w:color w:val="000000" w:themeColor="text1"/>
                <w:kern w:val="0"/>
                <w:szCs w:val="21"/>
                <w14:textFill>
                  <w14:solidFill>
                    <w14:schemeClr w14:val="tx1"/>
                  </w14:solidFill>
                </w14:textFill>
              </w:rPr>
              <w:t>放空气进入低压放空管线，压力＞</w:t>
            </w:r>
            <w:r>
              <w:rPr>
                <w:rFonts w:ascii="宋体" w:hAnsi="宋体"/>
                <w:color w:val="000000" w:themeColor="text1"/>
                <w:kern w:val="0"/>
                <w:szCs w:val="21"/>
                <w14:textFill>
                  <w14:solidFill>
                    <w14:schemeClr w14:val="tx1"/>
                  </w14:solidFill>
                </w14:textFill>
              </w:rPr>
              <w:t>4MPag</w:t>
            </w:r>
          </w:p>
          <w:p w14:paraId="263AD24A">
            <w:pPr>
              <w:widowControl/>
              <w:adjustRightInd w:val="0"/>
              <w:snapToGrid w:val="0"/>
              <w:spacing w:line="300" w:lineRule="exact"/>
              <w:jc w:val="center"/>
              <w:rPr>
                <w:rFonts w:hint="eastAsia"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放空气进入高压放空管线，两条放空管线分别出站，在火炬除液器前端汇合后进入火炬除液器。</w:t>
            </w:r>
          </w:p>
        </w:tc>
      </w:tr>
      <w:tr w14:paraId="7109B4F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325" w:type="pct"/>
            <w:vAlign w:val="center"/>
          </w:tcPr>
          <w:p w14:paraId="1D6C1722">
            <w:pPr>
              <w:widowControl/>
              <w:adjustRightInd w:val="0"/>
              <w:snapToGrid w:val="0"/>
              <w:spacing w:line="300" w:lineRule="exact"/>
              <w:jc w:val="center"/>
              <w:rPr>
                <w:rFonts w:hint="eastAsia"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5)</w:t>
            </w:r>
          </w:p>
        </w:tc>
        <w:tc>
          <w:tcPr>
            <w:tcW w:w="1868" w:type="pct"/>
            <w:vAlign w:val="center"/>
          </w:tcPr>
          <w:p w14:paraId="56C04552">
            <w:pPr>
              <w:widowControl/>
              <w:adjustRightInd w:val="0"/>
              <w:snapToGrid w:val="0"/>
              <w:spacing w:line="300" w:lineRule="exact"/>
              <w:jc w:val="center"/>
              <w:rPr>
                <w:rFonts w:hint="eastAsia" w:ascii="宋体" w:hAnsi="宋体"/>
                <w:color w:val="000000" w:themeColor="text1"/>
                <w:kern w:val="0"/>
                <w:szCs w:val="21"/>
                <w14:textFill>
                  <w14:solidFill>
                    <w14:schemeClr w14:val="tx1"/>
                  </w14:solidFill>
                </w14:textFill>
              </w:rPr>
            </w:pPr>
            <w:r>
              <w:rPr>
                <w:rFonts w:ascii="宋体" w:hAnsi="宋体"/>
                <w:color w:val="000000" w:themeColor="text1"/>
                <w:szCs w:val="21"/>
                <w14:textFill>
                  <w14:solidFill>
                    <w14:schemeClr w14:val="tx1"/>
                  </w14:solidFill>
                </w14:textFill>
              </w:rPr>
              <w:t>WE</w:t>
            </w:r>
            <w:r>
              <w:rPr>
                <w:rFonts w:hint="eastAsia" w:ascii="宋体" w:hAnsi="宋体"/>
                <w:color w:val="000000" w:themeColor="text1"/>
                <w:szCs w:val="21"/>
                <w14:textFill>
                  <w14:solidFill>
                    <w14:schemeClr w14:val="tx1"/>
                  </w14:solidFill>
                </w14:textFill>
              </w:rPr>
              <w:t>0.4</w:t>
            </w:r>
            <w:r>
              <w:rPr>
                <w:rFonts w:ascii="宋体" w:hAnsi="宋体"/>
                <w:color w:val="000000" w:themeColor="text1"/>
                <w:szCs w:val="21"/>
                <w14:textFill>
                  <w14:solidFill>
                    <w14:schemeClr w14:val="tx1"/>
                  </w14:solidFill>
                </w14:textFill>
              </w:rPr>
              <w:t>X</w:t>
            </w:r>
            <w:r>
              <w:rPr>
                <w:rFonts w:hint="eastAsia" w:ascii="宋体" w:hAnsi="宋体"/>
                <w:color w:val="000000" w:themeColor="text1"/>
                <w:szCs w:val="21"/>
                <w14:textFill>
                  <w14:solidFill>
                    <w14:schemeClr w14:val="tx1"/>
                  </w14:solidFill>
                </w14:textFill>
              </w:rPr>
              <w:t>1.2</w:t>
            </w:r>
            <w:r>
              <w:rPr>
                <w:rFonts w:ascii="宋体" w:hAnsi="宋体"/>
                <w:color w:val="000000" w:themeColor="text1"/>
                <w:szCs w:val="21"/>
                <w14:textFill>
                  <w14:solidFill>
                    <w14:schemeClr w14:val="tx1"/>
                  </w14:solidFill>
                </w14:textFill>
              </w:rPr>
              <w:t>-0.6火炬除液器</w:t>
            </w:r>
          </w:p>
        </w:tc>
        <w:tc>
          <w:tcPr>
            <w:tcW w:w="405" w:type="pct"/>
            <w:vAlign w:val="center"/>
          </w:tcPr>
          <w:p w14:paraId="2930500E">
            <w:pPr>
              <w:widowControl/>
              <w:adjustRightInd w:val="0"/>
              <w:snapToGrid w:val="0"/>
              <w:spacing w:line="300" w:lineRule="exact"/>
              <w:jc w:val="center"/>
              <w:rPr>
                <w:rFonts w:hint="eastAsia"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1</w:t>
            </w:r>
          </w:p>
        </w:tc>
        <w:tc>
          <w:tcPr>
            <w:tcW w:w="325" w:type="pct"/>
            <w:vAlign w:val="center"/>
          </w:tcPr>
          <w:p w14:paraId="3D7BE6D4">
            <w:pPr>
              <w:widowControl/>
              <w:adjustRightInd w:val="0"/>
              <w:snapToGrid w:val="0"/>
              <w:spacing w:line="300" w:lineRule="exact"/>
              <w:jc w:val="center"/>
              <w:rPr>
                <w:rFonts w:hint="eastAsia"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座</w:t>
            </w:r>
          </w:p>
        </w:tc>
        <w:tc>
          <w:tcPr>
            <w:tcW w:w="2077" w:type="pct"/>
          </w:tcPr>
          <w:p w14:paraId="55532044">
            <w:pPr>
              <w:widowControl/>
              <w:adjustRightInd w:val="0"/>
              <w:snapToGrid w:val="0"/>
              <w:spacing w:line="300" w:lineRule="exact"/>
              <w:jc w:val="center"/>
              <w:rPr>
                <w:rFonts w:hint="eastAsia"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w:t>
            </w:r>
          </w:p>
        </w:tc>
      </w:tr>
      <w:tr w14:paraId="4974AC9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325" w:type="pct"/>
            <w:vAlign w:val="center"/>
          </w:tcPr>
          <w:p w14:paraId="1C6FF632">
            <w:pPr>
              <w:widowControl/>
              <w:adjustRightInd w:val="0"/>
              <w:snapToGrid w:val="0"/>
              <w:spacing w:line="300" w:lineRule="exact"/>
              <w:jc w:val="center"/>
              <w:rPr>
                <w:rFonts w:hint="eastAsia"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6)</w:t>
            </w:r>
          </w:p>
        </w:tc>
        <w:tc>
          <w:tcPr>
            <w:tcW w:w="1868" w:type="pct"/>
            <w:vAlign w:val="center"/>
          </w:tcPr>
          <w:p w14:paraId="0E4491E4">
            <w:pPr>
              <w:widowControl/>
              <w:adjustRightInd w:val="0"/>
              <w:snapToGrid w:val="0"/>
              <w:spacing w:line="300" w:lineRule="exact"/>
              <w:jc w:val="center"/>
              <w:rPr>
                <w:rFonts w:hint="eastAsia" w:ascii="宋体" w:hAnsi="宋体"/>
                <w:color w:val="000000" w:themeColor="text1"/>
                <w:kern w:val="0"/>
                <w:szCs w:val="21"/>
                <w14:textFill>
                  <w14:solidFill>
                    <w14:schemeClr w14:val="tx1"/>
                  </w14:solidFill>
                </w14:textFill>
              </w:rPr>
            </w:pPr>
            <w:r>
              <w:rPr>
                <w:rFonts w:ascii="宋体" w:hAnsi="宋体"/>
                <w:color w:val="000000" w:themeColor="text1"/>
                <w:szCs w:val="21"/>
                <w14:textFill>
                  <w14:solidFill>
                    <w14:schemeClr w14:val="tx1"/>
                  </w14:solidFill>
                </w14:textFill>
              </w:rPr>
              <w:t>流体用不锈钢无缝钢管</w:t>
            </w:r>
            <w:r>
              <w:rPr>
                <w:rFonts w:hint="eastAsia" w:ascii="宋体" w:hAnsi="宋体"/>
                <w:color w:val="000000" w:themeColor="text1"/>
                <w:szCs w:val="21"/>
                <w14:textFill>
                  <w14:solidFill>
                    <w14:schemeClr w14:val="tx1"/>
                  </w14:solidFill>
                </w14:textFill>
              </w:rPr>
              <w:t>89×3.</w:t>
            </w:r>
            <w:r>
              <w:rPr>
                <w:rFonts w:ascii="宋体" w:hAnsi="宋体"/>
                <w:color w:val="000000" w:themeColor="text1"/>
                <w:szCs w:val="21"/>
                <w14:textFill>
                  <w14:solidFill>
                    <w14:schemeClr w14:val="tx1"/>
                  </w14:solidFill>
                </w14:textFill>
              </w:rPr>
              <w:t>5mm</w:t>
            </w:r>
          </w:p>
        </w:tc>
        <w:tc>
          <w:tcPr>
            <w:tcW w:w="405" w:type="pct"/>
            <w:vAlign w:val="center"/>
          </w:tcPr>
          <w:p w14:paraId="779D945E">
            <w:pPr>
              <w:widowControl/>
              <w:adjustRightInd w:val="0"/>
              <w:snapToGrid w:val="0"/>
              <w:spacing w:line="300" w:lineRule="exact"/>
              <w:jc w:val="center"/>
              <w:rPr>
                <w:rFonts w:hint="eastAsia"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0.1</w:t>
            </w:r>
          </w:p>
        </w:tc>
        <w:tc>
          <w:tcPr>
            <w:tcW w:w="325" w:type="pct"/>
            <w:vAlign w:val="center"/>
          </w:tcPr>
          <w:p w14:paraId="7351D15B">
            <w:pPr>
              <w:widowControl/>
              <w:adjustRightInd w:val="0"/>
              <w:snapToGrid w:val="0"/>
              <w:spacing w:line="300" w:lineRule="exact"/>
              <w:jc w:val="center"/>
              <w:rPr>
                <w:rFonts w:hint="eastAsia"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k</w:t>
            </w:r>
            <w:r>
              <w:rPr>
                <w:rFonts w:ascii="宋体" w:hAnsi="宋体"/>
                <w:color w:val="000000" w:themeColor="text1"/>
                <w:kern w:val="0"/>
                <w:szCs w:val="21"/>
                <w14:textFill>
                  <w14:solidFill>
                    <w14:schemeClr w14:val="tx1"/>
                  </w14:solidFill>
                </w14:textFill>
              </w:rPr>
              <w:t>m</w:t>
            </w:r>
          </w:p>
        </w:tc>
        <w:tc>
          <w:tcPr>
            <w:tcW w:w="2077" w:type="pct"/>
          </w:tcPr>
          <w:p w14:paraId="24D98FF7">
            <w:pPr>
              <w:widowControl/>
              <w:adjustRightInd w:val="0"/>
              <w:snapToGrid w:val="0"/>
              <w:spacing w:line="300" w:lineRule="exact"/>
              <w:jc w:val="center"/>
              <w:rPr>
                <w:rFonts w:hint="eastAsia"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w:t>
            </w:r>
          </w:p>
        </w:tc>
      </w:tr>
      <w:tr w14:paraId="2EA3BC5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325" w:type="pct"/>
            <w:vAlign w:val="center"/>
          </w:tcPr>
          <w:p w14:paraId="1C0E80CA">
            <w:pPr>
              <w:widowControl/>
              <w:adjustRightInd w:val="0"/>
              <w:snapToGrid w:val="0"/>
              <w:spacing w:line="300" w:lineRule="exact"/>
              <w:jc w:val="center"/>
              <w:rPr>
                <w:rFonts w:hint="eastAsia"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7)</w:t>
            </w:r>
          </w:p>
        </w:tc>
        <w:tc>
          <w:tcPr>
            <w:tcW w:w="1868" w:type="pct"/>
            <w:vAlign w:val="center"/>
          </w:tcPr>
          <w:p w14:paraId="736F8DFC">
            <w:pPr>
              <w:widowControl/>
              <w:adjustRightInd w:val="0"/>
              <w:snapToGrid w:val="0"/>
              <w:spacing w:line="300" w:lineRule="exact"/>
              <w:jc w:val="center"/>
              <w:rPr>
                <w:rFonts w:hint="eastAsia"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流体用不锈钢无缝钢管</w:t>
            </w:r>
            <w:r>
              <w:rPr>
                <w:rFonts w:hint="eastAsia" w:ascii="宋体" w:hAnsi="宋体"/>
                <w:color w:val="000000" w:themeColor="text1"/>
                <w:szCs w:val="21"/>
                <w14:textFill>
                  <w14:solidFill>
                    <w14:schemeClr w14:val="tx1"/>
                  </w14:solidFill>
                </w14:textFill>
              </w:rPr>
              <w:t>105×5.5</w:t>
            </w:r>
            <w:r>
              <w:rPr>
                <w:rFonts w:ascii="宋体" w:hAnsi="宋体"/>
                <w:color w:val="000000" w:themeColor="text1"/>
                <w:szCs w:val="21"/>
                <w14:textFill>
                  <w14:solidFill>
                    <w14:schemeClr w14:val="tx1"/>
                  </w14:solidFill>
                </w14:textFill>
              </w:rPr>
              <w:t>mm</w:t>
            </w:r>
          </w:p>
        </w:tc>
        <w:tc>
          <w:tcPr>
            <w:tcW w:w="405" w:type="pct"/>
            <w:vAlign w:val="center"/>
          </w:tcPr>
          <w:p w14:paraId="19A6FD20">
            <w:pPr>
              <w:widowControl/>
              <w:adjustRightInd w:val="0"/>
              <w:snapToGrid w:val="0"/>
              <w:spacing w:line="300" w:lineRule="exact"/>
              <w:jc w:val="center"/>
              <w:rPr>
                <w:rFonts w:hint="eastAsia"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0.1</w:t>
            </w:r>
          </w:p>
        </w:tc>
        <w:tc>
          <w:tcPr>
            <w:tcW w:w="325" w:type="pct"/>
            <w:vAlign w:val="center"/>
          </w:tcPr>
          <w:p w14:paraId="364982C7">
            <w:pPr>
              <w:widowControl/>
              <w:adjustRightInd w:val="0"/>
              <w:snapToGrid w:val="0"/>
              <w:spacing w:line="300" w:lineRule="exact"/>
              <w:jc w:val="center"/>
              <w:rPr>
                <w:rFonts w:hint="eastAsia"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k</w:t>
            </w:r>
            <w:r>
              <w:rPr>
                <w:rFonts w:ascii="宋体" w:hAnsi="宋体"/>
                <w:color w:val="000000" w:themeColor="text1"/>
                <w:kern w:val="0"/>
                <w:szCs w:val="21"/>
                <w14:textFill>
                  <w14:solidFill>
                    <w14:schemeClr w14:val="tx1"/>
                  </w14:solidFill>
                </w14:textFill>
              </w:rPr>
              <w:t>m</w:t>
            </w:r>
          </w:p>
        </w:tc>
        <w:tc>
          <w:tcPr>
            <w:tcW w:w="2077" w:type="pct"/>
          </w:tcPr>
          <w:p w14:paraId="3D2AD114">
            <w:pPr>
              <w:widowControl/>
              <w:adjustRightInd w:val="0"/>
              <w:snapToGrid w:val="0"/>
              <w:spacing w:line="300" w:lineRule="exact"/>
              <w:jc w:val="center"/>
              <w:rPr>
                <w:rFonts w:hint="eastAsia"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w:t>
            </w:r>
          </w:p>
        </w:tc>
      </w:tr>
      <w:tr w14:paraId="3A44BCC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325" w:type="pct"/>
            <w:vAlign w:val="center"/>
          </w:tcPr>
          <w:p w14:paraId="5A7E1C4B">
            <w:pPr>
              <w:widowControl/>
              <w:adjustRightInd w:val="0"/>
              <w:snapToGrid w:val="0"/>
              <w:spacing w:line="300" w:lineRule="exact"/>
              <w:jc w:val="center"/>
              <w:rPr>
                <w:rFonts w:hint="eastAsia"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8)</w:t>
            </w:r>
          </w:p>
        </w:tc>
        <w:tc>
          <w:tcPr>
            <w:tcW w:w="1868" w:type="pct"/>
            <w:vAlign w:val="center"/>
          </w:tcPr>
          <w:p w14:paraId="3310414A">
            <w:pPr>
              <w:widowControl/>
              <w:adjustRightInd w:val="0"/>
              <w:snapToGrid w:val="0"/>
              <w:spacing w:line="300" w:lineRule="exact"/>
              <w:jc w:val="center"/>
              <w:rPr>
                <w:rFonts w:hint="eastAsia" w:ascii="宋体" w:hAnsi="宋体"/>
                <w:color w:val="000000" w:themeColor="text1"/>
                <w:kern w:val="0"/>
                <w:szCs w:val="21"/>
                <w14:textFill>
                  <w14:solidFill>
                    <w14:schemeClr w14:val="tx1"/>
                  </w14:solidFill>
                </w14:textFill>
              </w:rPr>
            </w:pPr>
            <w:r>
              <w:rPr>
                <w:rFonts w:ascii="宋体" w:hAnsi="宋体"/>
                <w:color w:val="000000" w:themeColor="text1"/>
                <w:szCs w:val="21"/>
                <w14:textFill>
                  <w14:solidFill>
                    <w14:schemeClr w14:val="tx1"/>
                  </w14:solidFill>
                </w14:textFill>
              </w:rPr>
              <w:t>流体用不锈钢无缝钢管</w:t>
            </w:r>
            <w:r>
              <w:rPr>
                <w:rFonts w:hint="eastAsia" w:ascii="宋体" w:hAnsi="宋体"/>
                <w:color w:val="000000" w:themeColor="text1"/>
                <w:szCs w:val="21"/>
                <w14:textFill>
                  <w14:solidFill>
                    <w14:schemeClr w14:val="tx1"/>
                  </w14:solidFill>
                </w14:textFill>
              </w:rPr>
              <w:t>168×4</w:t>
            </w:r>
            <w:r>
              <w:rPr>
                <w:rFonts w:ascii="宋体" w:hAnsi="宋体"/>
                <w:color w:val="000000" w:themeColor="text1"/>
                <w:szCs w:val="21"/>
                <w14:textFill>
                  <w14:solidFill>
                    <w14:schemeClr w14:val="tx1"/>
                  </w14:solidFill>
                </w14:textFill>
              </w:rPr>
              <w:t>mm</w:t>
            </w:r>
          </w:p>
        </w:tc>
        <w:tc>
          <w:tcPr>
            <w:tcW w:w="405" w:type="pct"/>
            <w:vAlign w:val="center"/>
          </w:tcPr>
          <w:p w14:paraId="11A577C5">
            <w:pPr>
              <w:widowControl/>
              <w:adjustRightInd w:val="0"/>
              <w:snapToGrid w:val="0"/>
              <w:spacing w:line="300" w:lineRule="exact"/>
              <w:jc w:val="center"/>
              <w:rPr>
                <w:rFonts w:hint="eastAsia"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0.1</w:t>
            </w:r>
          </w:p>
        </w:tc>
        <w:tc>
          <w:tcPr>
            <w:tcW w:w="325" w:type="pct"/>
            <w:vAlign w:val="center"/>
          </w:tcPr>
          <w:p w14:paraId="13F089C6">
            <w:pPr>
              <w:widowControl/>
              <w:adjustRightInd w:val="0"/>
              <w:snapToGrid w:val="0"/>
              <w:spacing w:line="300" w:lineRule="exact"/>
              <w:jc w:val="center"/>
              <w:rPr>
                <w:rFonts w:hint="eastAsia"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k</w:t>
            </w:r>
            <w:r>
              <w:rPr>
                <w:rFonts w:ascii="宋体" w:hAnsi="宋体"/>
                <w:color w:val="000000" w:themeColor="text1"/>
                <w:kern w:val="0"/>
                <w:szCs w:val="21"/>
                <w14:textFill>
                  <w14:solidFill>
                    <w14:schemeClr w14:val="tx1"/>
                  </w14:solidFill>
                </w14:textFill>
              </w:rPr>
              <w:t>m</w:t>
            </w:r>
          </w:p>
        </w:tc>
        <w:tc>
          <w:tcPr>
            <w:tcW w:w="2077" w:type="pct"/>
          </w:tcPr>
          <w:p w14:paraId="0DE2362B">
            <w:pPr>
              <w:widowControl/>
              <w:adjustRightInd w:val="0"/>
              <w:snapToGrid w:val="0"/>
              <w:spacing w:line="300" w:lineRule="exact"/>
              <w:jc w:val="center"/>
              <w:rPr>
                <w:rFonts w:hint="eastAsia"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w:t>
            </w:r>
          </w:p>
        </w:tc>
      </w:tr>
      <w:tr w14:paraId="2388A8F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325" w:type="pct"/>
            <w:vAlign w:val="center"/>
          </w:tcPr>
          <w:p w14:paraId="7A0BF29D">
            <w:pPr>
              <w:widowControl/>
              <w:adjustRightInd w:val="0"/>
              <w:snapToGrid w:val="0"/>
              <w:spacing w:line="300" w:lineRule="exact"/>
              <w:jc w:val="center"/>
              <w:rPr>
                <w:rFonts w:hint="eastAsia"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9)</w:t>
            </w:r>
          </w:p>
        </w:tc>
        <w:tc>
          <w:tcPr>
            <w:tcW w:w="1868" w:type="pct"/>
            <w:vAlign w:val="center"/>
          </w:tcPr>
          <w:p w14:paraId="376771B0">
            <w:pPr>
              <w:widowControl/>
              <w:adjustRightInd w:val="0"/>
              <w:snapToGrid w:val="0"/>
              <w:spacing w:line="300" w:lineRule="exact"/>
              <w:jc w:val="center"/>
              <w:rPr>
                <w:rFonts w:hint="eastAsia" w:ascii="宋体" w:hAnsi="宋体"/>
                <w:color w:val="000000" w:themeColor="text1"/>
                <w:kern w:val="0"/>
                <w:szCs w:val="21"/>
                <w14:textFill>
                  <w14:solidFill>
                    <w14:schemeClr w14:val="tx1"/>
                  </w14:solidFill>
                </w14:textFill>
              </w:rPr>
            </w:pPr>
            <w:r>
              <w:rPr>
                <w:rFonts w:ascii="宋体" w:hAnsi="宋体"/>
                <w:color w:val="000000" w:themeColor="text1"/>
                <w:szCs w:val="21"/>
                <w14:textFill>
                  <w14:solidFill>
                    <w14:schemeClr w14:val="tx1"/>
                  </w14:solidFill>
                </w14:textFill>
              </w:rPr>
              <w:t>流体用不锈钢无缝钢管219</w:t>
            </w:r>
            <w:r>
              <w:rPr>
                <w:rFonts w:hint="eastAsia" w:ascii="宋体" w:hAnsi="宋体"/>
                <w:color w:val="000000" w:themeColor="text1"/>
                <w:szCs w:val="21"/>
                <w14:textFill>
                  <w14:solidFill>
                    <w14:schemeClr w14:val="tx1"/>
                  </w14:solidFill>
                </w14:textFill>
              </w:rPr>
              <w:t>×</w:t>
            </w:r>
            <w:r>
              <w:rPr>
                <w:rFonts w:ascii="宋体" w:hAnsi="宋体"/>
                <w:color w:val="000000" w:themeColor="text1"/>
                <w:szCs w:val="21"/>
                <w14:textFill>
                  <w14:solidFill>
                    <w14:schemeClr w14:val="tx1"/>
                  </w14:solidFill>
                </w14:textFill>
              </w:rPr>
              <w:t>5mm</w:t>
            </w:r>
          </w:p>
        </w:tc>
        <w:tc>
          <w:tcPr>
            <w:tcW w:w="405" w:type="pct"/>
            <w:vAlign w:val="center"/>
          </w:tcPr>
          <w:p w14:paraId="16814222">
            <w:pPr>
              <w:widowControl/>
              <w:adjustRightInd w:val="0"/>
              <w:snapToGrid w:val="0"/>
              <w:spacing w:line="300" w:lineRule="exact"/>
              <w:jc w:val="center"/>
              <w:rPr>
                <w:rFonts w:hint="eastAsia"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0.1</w:t>
            </w:r>
          </w:p>
        </w:tc>
        <w:tc>
          <w:tcPr>
            <w:tcW w:w="325" w:type="pct"/>
            <w:vAlign w:val="center"/>
          </w:tcPr>
          <w:p w14:paraId="77D2D9FB">
            <w:pPr>
              <w:widowControl/>
              <w:adjustRightInd w:val="0"/>
              <w:snapToGrid w:val="0"/>
              <w:spacing w:line="300" w:lineRule="exact"/>
              <w:jc w:val="center"/>
              <w:rPr>
                <w:rFonts w:hint="eastAsia"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k</w:t>
            </w:r>
            <w:r>
              <w:rPr>
                <w:rFonts w:ascii="宋体" w:hAnsi="宋体"/>
                <w:color w:val="000000" w:themeColor="text1"/>
                <w:kern w:val="0"/>
                <w:szCs w:val="21"/>
                <w14:textFill>
                  <w14:solidFill>
                    <w14:schemeClr w14:val="tx1"/>
                  </w14:solidFill>
                </w14:textFill>
              </w:rPr>
              <w:t>m</w:t>
            </w:r>
          </w:p>
        </w:tc>
        <w:tc>
          <w:tcPr>
            <w:tcW w:w="2077" w:type="pct"/>
          </w:tcPr>
          <w:p w14:paraId="6F0164E5">
            <w:pPr>
              <w:widowControl/>
              <w:adjustRightInd w:val="0"/>
              <w:snapToGrid w:val="0"/>
              <w:spacing w:line="300" w:lineRule="exact"/>
              <w:jc w:val="center"/>
              <w:rPr>
                <w:rFonts w:hint="eastAsia"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w:t>
            </w:r>
          </w:p>
        </w:tc>
      </w:tr>
      <w:tr w14:paraId="7050896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325" w:type="pct"/>
            <w:vAlign w:val="center"/>
          </w:tcPr>
          <w:p w14:paraId="4CC7DF3B">
            <w:pPr>
              <w:widowControl/>
              <w:adjustRightInd w:val="0"/>
              <w:snapToGrid w:val="0"/>
              <w:spacing w:line="300" w:lineRule="exact"/>
              <w:jc w:val="center"/>
              <w:rPr>
                <w:rFonts w:hint="eastAsia"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10)</w:t>
            </w:r>
          </w:p>
        </w:tc>
        <w:tc>
          <w:tcPr>
            <w:tcW w:w="1868" w:type="pct"/>
            <w:vAlign w:val="center"/>
          </w:tcPr>
          <w:p w14:paraId="2ACBB4CC">
            <w:pPr>
              <w:widowControl/>
              <w:adjustRightInd w:val="0"/>
              <w:snapToGrid w:val="0"/>
              <w:spacing w:line="300" w:lineRule="exact"/>
              <w:jc w:val="center"/>
              <w:rPr>
                <w:rFonts w:hint="eastAsia" w:ascii="宋体" w:hAnsi="宋体"/>
                <w:color w:val="000000" w:themeColor="text1"/>
                <w:kern w:val="0"/>
                <w:szCs w:val="21"/>
                <w14:textFill>
                  <w14:solidFill>
                    <w14:schemeClr w14:val="tx1"/>
                  </w14:solidFill>
                </w14:textFill>
              </w:rPr>
            </w:pPr>
            <w:r>
              <w:rPr>
                <w:rFonts w:ascii="宋体" w:hAnsi="宋体"/>
                <w:color w:val="000000" w:themeColor="text1"/>
                <w:szCs w:val="21"/>
                <w14:textFill>
                  <w14:solidFill>
                    <w14:schemeClr w14:val="tx1"/>
                  </w14:solidFill>
                </w14:textFill>
              </w:rPr>
              <w:t>流体用不锈钢无缝钢管2</w:t>
            </w:r>
            <w:r>
              <w:rPr>
                <w:rFonts w:hint="eastAsia" w:ascii="宋体" w:hAnsi="宋体"/>
                <w:color w:val="000000" w:themeColor="text1"/>
                <w:szCs w:val="21"/>
                <w14:textFill>
                  <w14:solidFill>
                    <w14:schemeClr w14:val="tx1"/>
                  </w14:solidFill>
                </w14:textFill>
              </w:rPr>
              <w:t>73×6</w:t>
            </w:r>
            <w:r>
              <w:rPr>
                <w:rFonts w:ascii="宋体" w:hAnsi="宋体"/>
                <w:color w:val="000000" w:themeColor="text1"/>
                <w:szCs w:val="21"/>
                <w14:textFill>
                  <w14:solidFill>
                    <w14:schemeClr w14:val="tx1"/>
                  </w14:solidFill>
                </w14:textFill>
              </w:rPr>
              <w:t>mm</w:t>
            </w:r>
          </w:p>
        </w:tc>
        <w:tc>
          <w:tcPr>
            <w:tcW w:w="405" w:type="pct"/>
            <w:vAlign w:val="center"/>
          </w:tcPr>
          <w:p w14:paraId="63E3D232">
            <w:pPr>
              <w:widowControl/>
              <w:adjustRightInd w:val="0"/>
              <w:snapToGrid w:val="0"/>
              <w:spacing w:line="300" w:lineRule="exact"/>
              <w:jc w:val="center"/>
              <w:rPr>
                <w:rFonts w:hint="eastAsia"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0.1</w:t>
            </w:r>
          </w:p>
        </w:tc>
        <w:tc>
          <w:tcPr>
            <w:tcW w:w="325" w:type="pct"/>
            <w:vAlign w:val="center"/>
          </w:tcPr>
          <w:p w14:paraId="3603AB12">
            <w:pPr>
              <w:widowControl/>
              <w:adjustRightInd w:val="0"/>
              <w:snapToGrid w:val="0"/>
              <w:spacing w:line="300" w:lineRule="exact"/>
              <w:jc w:val="center"/>
              <w:rPr>
                <w:rFonts w:hint="eastAsia"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k</w:t>
            </w:r>
            <w:r>
              <w:rPr>
                <w:rFonts w:ascii="宋体" w:hAnsi="宋体"/>
                <w:color w:val="000000" w:themeColor="text1"/>
                <w:kern w:val="0"/>
                <w:szCs w:val="21"/>
                <w14:textFill>
                  <w14:solidFill>
                    <w14:schemeClr w14:val="tx1"/>
                  </w14:solidFill>
                </w14:textFill>
              </w:rPr>
              <w:t>m</w:t>
            </w:r>
          </w:p>
        </w:tc>
        <w:tc>
          <w:tcPr>
            <w:tcW w:w="2077" w:type="pct"/>
          </w:tcPr>
          <w:p w14:paraId="45C6A263">
            <w:pPr>
              <w:widowControl/>
              <w:adjustRightInd w:val="0"/>
              <w:snapToGrid w:val="0"/>
              <w:spacing w:line="300" w:lineRule="exact"/>
              <w:jc w:val="center"/>
              <w:rPr>
                <w:rFonts w:hint="eastAsia"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w:t>
            </w:r>
          </w:p>
        </w:tc>
      </w:tr>
      <w:tr w14:paraId="72E6F41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00" w:hRule="atLeast"/>
        </w:trPr>
        <w:tc>
          <w:tcPr>
            <w:tcW w:w="325" w:type="pct"/>
            <w:vAlign w:val="center"/>
          </w:tcPr>
          <w:p w14:paraId="5CB51627">
            <w:pPr>
              <w:widowControl/>
              <w:adjustRightInd w:val="0"/>
              <w:snapToGrid w:val="0"/>
              <w:spacing w:line="300" w:lineRule="exact"/>
              <w:jc w:val="center"/>
              <w:rPr>
                <w:rFonts w:hint="eastAsia"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4</w:t>
            </w:r>
          </w:p>
        </w:tc>
        <w:tc>
          <w:tcPr>
            <w:tcW w:w="1868" w:type="pct"/>
            <w:vAlign w:val="center"/>
          </w:tcPr>
          <w:p w14:paraId="2A1FC43D">
            <w:pPr>
              <w:widowControl/>
              <w:adjustRightInd w:val="0"/>
              <w:snapToGrid w:val="0"/>
              <w:spacing w:line="300" w:lineRule="exact"/>
              <w:jc w:val="center"/>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排污系统</w:t>
            </w:r>
          </w:p>
        </w:tc>
        <w:tc>
          <w:tcPr>
            <w:tcW w:w="405" w:type="pct"/>
            <w:vAlign w:val="center"/>
          </w:tcPr>
          <w:p w14:paraId="1FB82B7C">
            <w:pPr>
              <w:widowControl/>
              <w:adjustRightInd w:val="0"/>
              <w:snapToGrid w:val="0"/>
              <w:spacing w:line="300" w:lineRule="exact"/>
              <w:jc w:val="center"/>
              <w:rPr>
                <w:rFonts w:hint="eastAsia" w:ascii="宋体" w:hAnsi="宋体"/>
                <w:color w:val="000000" w:themeColor="text1"/>
                <w:kern w:val="0"/>
                <w:szCs w:val="21"/>
                <w14:textFill>
                  <w14:solidFill>
                    <w14:schemeClr w14:val="tx1"/>
                  </w14:solidFill>
                </w14:textFill>
              </w:rPr>
            </w:pPr>
          </w:p>
        </w:tc>
        <w:tc>
          <w:tcPr>
            <w:tcW w:w="325" w:type="pct"/>
            <w:vAlign w:val="center"/>
          </w:tcPr>
          <w:p w14:paraId="7768E6EC">
            <w:pPr>
              <w:widowControl/>
              <w:adjustRightInd w:val="0"/>
              <w:snapToGrid w:val="0"/>
              <w:spacing w:line="300" w:lineRule="exact"/>
              <w:jc w:val="center"/>
              <w:rPr>
                <w:rFonts w:hint="eastAsia" w:ascii="宋体" w:hAnsi="宋体"/>
                <w:color w:val="000000" w:themeColor="text1"/>
                <w:kern w:val="0"/>
                <w:szCs w:val="21"/>
                <w14:textFill>
                  <w14:solidFill>
                    <w14:schemeClr w14:val="tx1"/>
                  </w14:solidFill>
                </w14:textFill>
              </w:rPr>
            </w:pPr>
          </w:p>
        </w:tc>
        <w:tc>
          <w:tcPr>
            <w:tcW w:w="2077" w:type="pct"/>
            <w:vAlign w:val="center"/>
          </w:tcPr>
          <w:p w14:paraId="0E6FD264">
            <w:pPr>
              <w:widowControl/>
              <w:adjustRightInd w:val="0"/>
              <w:snapToGrid w:val="0"/>
              <w:spacing w:line="300" w:lineRule="exact"/>
              <w:jc w:val="center"/>
              <w:rPr>
                <w:rFonts w:hint="eastAsia" w:ascii="宋体" w:hAnsi="宋体"/>
                <w:color w:val="000000" w:themeColor="text1"/>
                <w:kern w:val="0"/>
                <w:szCs w:val="21"/>
                <w14:textFill>
                  <w14:solidFill>
                    <w14:schemeClr w14:val="tx1"/>
                  </w14:solidFill>
                </w14:textFill>
              </w:rPr>
            </w:pPr>
          </w:p>
        </w:tc>
      </w:tr>
      <w:tr w14:paraId="0277705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01" w:hRule="atLeast"/>
        </w:trPr>
        <w:tc>
          <w:tcPr>
            <w:tcW w:w="325" w:type="pct"/>
            <w:vAlign w:val="center"/>
          </w:tcPr>
          <w:p w14:paraId="212FAF57">
            <w:pPr>
              <w:widowControl/>
              <w:adjustRightInd w:val="0"/>
              <w:snapToGrid w:val="0"/>
              <w:spacing w:line="300" w:lineRule="exact"/>
              <w:jc w:val="center"/>
              <w:rPr>
                <w:rFonts w:hint="eastAsia"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1</w:t>
            </w:r>
            <w:r>
              <w:rPr>
                <w:rFonts w:ascii="宋体" w:hAnsi="宋体"/>
                <w:color w:val="000000" w:themeColor="text1"/>
                <w:kern w:val="0"/>
                <w:szCs w:val="21"/>
                <w14:textFill>
                  <w14:solidFill>
                    <w14:schemeClr w14:val="tx1"/>
                  </w14:solidFill>
                </w14:textFill>
              </w:rPr>
              <w:t>)</w:t>
            </w:r>
          </w:p>
        </w:tc>
        <w:tc>
          <w:tcPr>
            <w:tcW w:w="1868" w:type="pct"/>
            <w:vAlign w:val="center"/>
          </w:tcPr>
          <w:p w14:paraId="3D665613">
            <w:pPr>
              <w:widowControl/>
              <w:adjustRightInd w:val="0"/>
              <w:snapToGrid w:val="0"/>
              <w:spacing w:line="300" w:lineRule="exact"/>
              <w:jc w:val="center"/>
              <w:rPr>
                <w:rFonts w:hint="eastAsia"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排污罐</w:t>
            </w:r>
            <w:r>
              <w:rPr>
                <w:rFonts w:hint="eastAsia" w:ascii="宋体" w:hAnsi="宋体"/>
                <w:color w:val="000000" w:themeColor="text1"/>
                <w:szCs w:val="21"/>
                <w14:textFill>
                  <w14:solidFill>
                    <w14:schemeClr w14:val="tx1"/>
                  </w14:solidFill>
                </w14:textFill>
              </w:rPr>
              <w:t>（装置排污含油污水）</w:t>
            </w:r>
          </w:p>
        </w:tc>
        <w:tc>
          <w:tcPr>
            <w:tcW w:w="405" w:type="pct"/>
            <w:vAlign w:val="center"/>
          </w:tcPr>
          <w:p w14:paraId="1A00FCF5">
            <w:pPr>
              <w:widowControl/>
              <w:adjustRightInd w:val="0"/>
              <w:snapToGrid w:val="0"/>
              <w:spacing w:line="300" w:lineRule="exact"/>
              <w:jc w:val="center"/>
              <w:rPr>
                <w:rFonts w:hint="eastAsia"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1</w:t>
            </w:r>
          </w:p>
        </w:tc>
        <w:tc>
          <w:tcPr>
            <w:tcW w:w="325" w:type="pct"/>
            <w:vAlign w:val="center"/>
          </w:tcPr>
          <w:p w14:paraId="32F5059E">
            <w:pPr>
              <w:widowControl/>
              <w:adjustRightInd w:val="0"/>
              <w:snapToGrid w:val="0"/>
              <w:spacing w:line="300" w:lineRule="exact"/>
              <w:jc w:val="center"/>
              <w:rPr>
                <w:rFonts w:hint="eastAsia"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座</w:t>
            </w:r>
          </w:p>
        </w:tc>
        <w:tc>
          <w:tcPr>
            <w:tcW w:w="2077" w:type="pct"/>
            <w:vAlign w:val="center"/>
          </w:tcPr>
          <w:p w14:paraId="7CE5443A">
            <w:pPr>
              <w:widowControl/>
              <w:adjustRightInd w:val="0"/>
              <w:snapToGrid w:val="0"/>
              <w:spacing w:line="300" w:lineRule="exact"/>
              <w:jc w:val="center"/>
              <w:rPr>
                <w:rFonts w:hint="eastAsia" w:ascii="宋体" w:hAnsi="宋体"/>
                <w:color w:val="000000" w:themeColor="text1"/>
                <w:kern w:val="0"/>
                <w:szCs w:val="21"/>
                <w14:textFill>
                  <w14:solidFill>
                    <w14:schemeClr w14:val="tx1"/>
                  </w14:solidFill>
                </w14:textFill>
              </w:rPr>
            </w:pPr>
            <w:r>
              <w:rPr>
                <w:rFonts w:ascii="宋体" w:hAnsi="宋体"/>
                <w:color w:val="000000" w:themeColor="text1"/>
                <w:szCs w:val="21"/>
                <w14:textFill>
                  <w14:solidFill>
                    <w14:schemeClr w14:val="tx1"/>
                  </w14:solidFill>
                </w14:textFill>
              </w:rPr>
              <w:t>D1.2m</w:t>
            </w:r>
            <w:r>
              <w:rPr>
                <w:rFonts w:hint="eastAsia" w:ascii="宋体" w:hAnsi="宋体"/>
                <w:color w:val="000000" w:themeColor="text1"/>
                <w:szCs w:val="21"/>
                <w14:textFill>
                  <w14:solidFill>
                    <w14:schemeClr w14:val="tx1"/>
                  </w14:solidFill>
                </w14:textFill>
              </w:rPr>
              <w:t>×</w:t>
            </w:r>
            <w:r>
              <w:rPr>
                <w:rFonts w:ascii="宋体" w:hAnsi="宋体"/>
                <w:color w:val="000000" w:themeColor="text1"/>
                <w:szCs w:val="21"/>
                <w14:textFill>
                  <w14:solidFill>
                    <w14:schemeClr w14:val="tx1"/>
                  </w14:solidFill>
                </w14:textFill>
              </w:rPr>
              <w:t>4.2m-0.6，</w:t>
            </w:r>
            <w:r>
              <w:rPr>
                <w:rFonts w:hint="eastAsia" w:ascii="宋体" w:hAnsi="宋体"/>
                <w:color w:val="000000" w:themeColor="text1"/>
                <w:szCs w:val="21"/>
                <w14:textFill>
                  <w14:solidFill>
                    <w14:schemeClr w14:val="tx1"/>
                  </w14:solidFill>
                </w14:textFill>
              </w:rPr>
              <w:t>布置在污油坑内，</w:t>
            </w:r>
            <w:r>
              <w:rPr>
                <w:rFonts w:ascii="宋体" w:hAnsi="宋体"/>
                <w:color w:val="000000" w:themeColor="text1"/>
                <w:szCs w:val="21"/>
                <w14:textFill>
                  <w14:solidFill>
                    <w14:schemeClr w14:val="tx1"/>
                  </w14:solidFill>
                </w14:textFill>
              </w:rPr>
              <w:t>材质S31603不锈钢</w:t>
            </w:r>
          </w:p>
        </w:tc>
      </w:tr>
      <w:tr w14:paraId="360C541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00" w:hRule="atLeast"/>
        </w:trPr>
        <w:tc>
          <w:tcPr>
            <w:tcW w:w="325" w:type="pct"/>
            <w:vAlign w:val="center"/>
          </w:tcPr>
          <w:p w14:paraId="3B1E6D09">
            <w:pPr>
              <w:widowControl/>
              <w:adjustRightInd w:val="0"/>
              <w:snapToGrid w:val="0"/>
              <w:spacing w:line="300" w:lineRule="exact"/>
              <w:jc w:val="center"/>
              <w:rPr>
                <w:rFonts w:hint="eastAsia"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2</w:t>
            </w:r>
            <w:r>
              <w:rPr>
                <w:rFonts w:ascii="宋体" w:hAnsi="宋体"/>
                <w:color w:val="000000" w:themeColor="text1"/>
                <w:kern w:val="0"/>
                <w:szCs w:val="21"/>
                <w14:textFill>
                  <w14:solidFill>
                    <w14:schemeClr w14:val="tx1"/>
                  </w14:solidFill>
                </w14:textFill>
              </w:rPr>
              <w:t>)</w:t>
            </w:r>
          </w:p>
        </w:tc>
        <w:tc>
          <w:tcPr>
            <w:tcW w:w="1868" w:type="pct"/>
            <w:vAlign w:val="center"/>
          </w:tcPr>
          <w:p w14:paraId="1949D687">
            <w:pPr>
              <w:widowControl/>
              <w:adjustRightInd w:val="0"/>
              <w:snapToGrid w:val="0"/>
              <w:spacing w:line="300" w:lineRule="exact"/>
              <w:jc w:val="center"/>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lang w:val="zh-CN"/>
                <w14:textFill>
                  <w14:solidFill>
                    <w14:schemeClr w14:val="tx1"/>
                  </w14:solidFill>
                </w14:textFill>
              </w:rPr>
              <w:t>污油泵</w:t>
            </w:r>
          </w:p>
        </w:tc>
        <w:tc>
          <w:tcPr>
            <w:tcW w:w="405" w:type="pct"/>
            <w:vAlign w:val="center"/>
          </w:tcPr>
          <w:p w14:paraId="40B7C4DF">
            <w:pPr>
              <w:widowControl/>
              <w:adjustRightInd w:val="0"/>
              <w:snapToGrid w:val="0"/>
              <w:spacing w:line="300" w:lineRule="exact"/>
              <w:jc w:val="center"/>
              <w:rPr>
                <w:rFonts w:hint="eastAsia"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1</w:t>
            </w:r>
          </w:p>
        </w:tc>
        <w:tc>
          <w:tcPr>
            <w:tcW w:w="325" w:type="pct"/>
            <w:vAlign w:val="center"/>
          </w:tcPr>
          <w:p w14:paraId="650871F5">
            <w:pPr>
              <w:widowControl/>
              <w:adjustRightInd w:val="0"/>
              <w:snapToGrid w:val="0"/>
              <w:spacing w:line="300" w:lineRule="exact"/>
              <w:jc w:val="center"/>
              <w:rPr>
                <w:rFonts w:hint="eastAsia"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座</w:t>
            </w:r>
          </w:p>
        </w:tc>
        <w:tc>
          <w:tcPr>
            <w:tcW w:w="2077" w:type="pct"/>
            <w:vAlign w:val="center"/>
          </w:tcPr>
          <w:p w14:paraId="1008A0C5">
            <w:pPr>
              <w:widowControl/>
              <w:adjustRightInd w:val="0"/>
              <w:snapToGrid w:val="0"/>
              <w:spacing w:line="300" w:lineRule="exact"/>
              <w:jc w:val="center"/>
              <w:rPr>
                <w:rFonts w:hint="eastAsia" w:ascii="宋体" w:hAnsi="宋体"/>
                <w:color w:val="000000" w:themeColor="text1"/>
                <w:kern w:val="0"/>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Q=4m</w:t>
            </w:r>
            <w:r>
              <w:rPr>
                <w:rFonts w:hint="eastAsia" w:ascii="宋体" w:hAnsi="宋体"/>
                <w:color w:val="000000" w:themeColor="text1"/>
                <w:szCs w:val="21"/>
                <w:vertAlign w:val="superscript"/>
                <w14:textFill>
                  <w14:solidFill>
                    <w14:schemeClr w14:val="tx1"/>
                  </w14:solidFill>
                </w14:textFill>
              </w:rPr>
              <w:t>3</w:t>
            </w:r>
            <w:r>
              <w:rPr>
                <w:rFonts w:hint="eastAsia" w:ascii="宋体" w:hAnsi="宋体"/>
                <w:color w:val="000000" w:themeColor="text1"/>
                <w:szCs w:val="21"/>
                <w14:textFill>
                  <w14:solidFill>
                    <w14:schemeClr w14:val="tx1"/>
                  </w14:solidFill>
                </w14:textFill>
              </w:rPr>
              <w:t>/h，P=0.6MPa</w:t>
            </w:r>
            <w:r>
              <w:rPr>
                <w:rFonts w:ascii="宋体" w:hAnsi="宋体"/>
                <w:color w:val="000000" w:themeColor="text1"/>
                <w:szCs w:val="21"/>
                <w14:textFill>
                  <w14:solidFill>
                    <w14:schemeClr w14:val="tx1"/>
                  </w14:solidFill>
                </w14:textFill>
              </w:rPr>
              <w:t>，功率3kW</w:t>
            </w:r>
          </w:p>
        </w:tc>
      </w:tr>
    </w:tbl>
    <w:p w14:paraId="185FE36F">
      <w:pPr>
        <w:pStyle w:val="117"/>
        <w:adjustRightInd w:val="0"/>
        <w:snapToGrid w:val="0"/>
        <w:ind w:firstLine="480"/>
        <w:rPr>
          <w:rFonts w:hint="eastAsia" w:cs="宋体"/>
          <w:color w:val="000000" w:themeColor="text1"/>
          <w:kern w:val="0"/>
          <w14:textFill>
            <w14:solidFill>
              <w14:schemeClr w14:val="tx1"/>
            </w14:solidFill>
          </w14:textFill>
        </w:rPr>
      </w:pPr>
      <w:r>
        <w:rPr>
          <w:rFonts w:hint="eastAsia" w:cs="宋体"/>
          <w:color w:val="000000" w:themeColor="text1"/>
          <w:kern w:val="0"/>
          <w14:textFill>
            <w14:solidFill>
              <w14:schemeClr w14:val="tx1"/>
            </w14:solidFill>
          </w14:textFill>
        </w:rPr>
        <w:t>⑦转液管线</w:t>
      </w:r>
    </w:p>
    <w:p w14:paraId="31A4E753">
      <w:pPr>
        <w:pStyle w:val="117"/>
        <w:snapToGrid w:val="0"/>
        <w:ind w:firstLine="480"/>
        <w:rPr>
          <w:rFonts w:hint="eastAsia" w:cs="宋体"/>
          <w:color w:val="000000" w:themeColor="text1"/>
          <w:kern w:val="0"/>
          <w14:textFill>
            <w14:solidFill>
              <w14:schemeClr w14:val="tx1"/>
            </w14:solidFill>
          </w14:textFill>
        </w:rPr>
      </w:pPr>
      <w:r>
        <w:rPr>
          <w:rFonts w:hint="eastAsia" w:cs="宋体"/>
          <w:color w:val="000000" w:themeColor="text1"/>
          <w:kern w:val="0"/>
          <w14:textFill>
            <w14:solidFill>
              <w14:schemeClr w14:val="tx1"/>
            </w14:solidFill>
          </w14:textFill>
        </w:rPr>
        <w:t>新建预处理注入站至已建4号采油平台预留阀池空头处的转液管线1.2km，选用</w:t>
      </w:r>
      <w:r>
        <w:rPr>
          <w:rFonts w:cs="宋体"/>
          <w:color w:val="000000" w:themeColor="text1"/>
          <w:kern w:val="0"/>
          <w14:textFill>
            <w14:solidFill>
              <w14:schemeClr w14:val="tx1"/>
            </w14:solidFill>
          </w14:textFill>
        </w:rPr>
        <w:t xml:space="preserve">DN100 3.5MPa </w:t>
      </w:r>
      <w:r>
        <w:rPr>
          <w:rFonts w:hint="eastAsia" w:cs="宋体"/>
          <w:color w:val="000000" w:themeColor="text1"/>
          <w:kern w:val="0"/>
          <w14:textFill>
            <w14:solidFill>
              <w14:schemeClr w14:val="tx1"/>
            </w14:solidFill>
          </w14:textFill>
        </w:rPr>
        <w:t>玻璃纤维管线管</w:t>
      </w:r>
      <w:r>
        <w:rPr>
          <w:rFonts w:cs="宋体"/>
          <w:color w:val="000000" w:themeColor="text1"/>
          <w:kern w:val="0"/>
          <w14:textFill>
            <w14:solidFill>
              <w14:schemeClr w14:val="tx1"/>
            </w14:solidFill>
          </w14:textFill>
        </w:rPr>
        <w:t>(</w:t>
      </w:r>
      <w:r>
        <w:rPr>
          <w:rFonts w:hint="eastAsia" w:cs="宋体"/>
          <w:color w:val="000000" w:themeColor="text1"/>
          <w:kern w:val="0"/>
          <w14:textFill>
            <w14:solidFill>
              <w14:schemeClr w14:val="tx1"/>
            </w14:solidFill>
          </w14:textFill>
        </w:rPr>
        <w:t>耐温</w:t>
      </w:r>
      <w:r>
        <w:rPr>
          <w:rFonts w:cs="宋体"/>
          <w:color w:val="000000" w:themeColor="text1"/>
          <w:kern w:val="0"/>
          <w14:textFill>
            <w14:solidFill>
              <w14:schemeClr w14:val="tx1"/>
            </w14:solidFill>
          </w14:textFill>
        </w:rPr>
        <w:t>65</w:t>
      </w:r>
      <w:r>
        <w:rPr>
          <w:rFonts w:hint="eastAsia" w:cs="宋体"/>
          <w:color w:val="000000" w:themeColor="text1"/>
          <w:kern w:val="0"/>
          <w14:textFill>
            <w14:solidFill>
              <w14:schemeClr w14:val="tx1"/>
            </w14:solidFill>
          </w14:textFill>
        </w:rPr>
        <w:t>℃</w:t>
      </w:r>
      <w:r>
        <w:rPr>
          <w:rFonts w:cs="宋体"/>
          <w:color w:val="000000" w:themeColor="text1"/>
          <w:kern w:val="0"/>
          <w14:textFill>
            <w14:solidFill>
              <w14:schemeClr w14:val="tx1"/>
            </w14:solidFill>
          </w14:textFill>
        </w:rPr>
        <w:t>)</w:t>
      </w:r>
      <w:r>
        <w:rPr>
          <w:rFonts w:hint="eastAsia" w:cs="宋体"/>
          <w:color w:val="000000" w:themeColor="text1"/>
          <w:kern w:val="0"/>
          <w14:textFill>
            <w14:solidFill>
              <w14:schemeClr w14:val="tx1"/>
            </w14:solidFill>
          </w14:textFill>
        </w:rPr>
        <w:t>，新建玻璃钢管钢塑转换接头材质选用</w:t>
      </w:r>
      <w:r>
        <w:rPr>
          <w:rFonts w:cs="宋体"/>
          <w:color w:val="000000" w:themeColor="text1"/>
          <w:kern w:val="0"/>
          <w14:textFill>
            <w14:solidFill>
              <w14:schemeClr w14:val="tx1"/>
            </w14:solidFill>
          </w14:textFill>
        </w:rPr>
        <w:t xml:space="preserve">S31603 </w:t>
      </w:r>
      <w:r>
        <w:rPr>
          <w:rFonts w:hint="eastAsia" w:cs="宋体"/>
          <w:color w:val="000000" w:themeColor="text1"/>
          <w:kern w:val="0"/>
          <w14:textFill>
            <w14:solidFill>
              <w14:schemeClr w14:val="tx1"/>
            </w14:solidFill>
          </w14:textFill>
        </w:rPr>
        <w:t>不锈钢。管道保温后埋地敷设，保温层为</w:t>
      </w:r>
      <w:r>
        <w:rPr>
          <w:rFonts w:cs="宋体"/>
          <w:color w:val="000000" w:themeColor="text1"/>
          <w:kern w:val="0"/>
          <w14:textFill>
            <w14:solidFill>
              <w14:schemeClr w14:val="tx1"/>
            </w14:solidFill>
          </w14:textFill>
        </w:rPr>
        <w:t>30mm</w:t>
      </w:r>
      <w:r>
        <w:rPr>
          <w:rFonts w:hint="eastAsia" w:cs="宋体"/>
          <w:color w:val="000000" w:themeColor="text1"/>
          <w:kern w:val="0"/>
          <w14:textFill>
            <w14:solidFill>
              <w14:schemeClr w14:val="tx1"/>
            </w14:solidFill>
          </w14:textFill>
        </w:rPr>
        <w:t>厚聚氨酯泡沫塑料、防护层采用高密度聚乙烯塑料，管底埋深</w:t>
      </w:r>
      <w:r>
        <w:rPr>
          <w:rFonts w:cs="宋体"/>
          <w:color w:val="000000" w:themeColor="text1"/>
          <w:kern w:val="0"/>
          <w14:textFill>
            <w14:solidFill>
              <w14:schemeClr w14:val="tx1"/>
            </w14:solidFill>
          </w14:textFill>
        </w:rPr>
        <w:t>-1.9m</w:t>
      </w:r>
      <w:r>
        <w:rPr>
          <w:rFonts w:hint="eastAsia" w:cs="宋体"/>
          <w:color w:val="000000" w:themeColor="text1"/>
          <w:kern w:val="0"/>
          <w14:textFill>
            <w14:solidFill>
              <w14:schemeClr w14:val="tx1"/>
            </w14:solidFill>
          </w14:textFill>
        </w:rPr>
        <w:t>。</w:t>
      </w:r>
    </w:p>
    <w:p w14:paraId="1E4B385E">
      <w:pPr>
        <w:pStyle w:val="117"/>
        <w:adjustRightInd w:val="0"/>
        <w:snapToGrid w:val="0"/>
        <w:ind w:firstLine="480"/>
        <w:rPr>
          <w:rFonts w:hint="eastAsia" w:cs="宋体"/>
          <w:color w:val="000000" w:themeColor="text1"/>
          <w:kern w:val="0"/>
          <w14:textFill>
            <w14:solidFill>
              <w14:schemeClr w14:val="tx1"/>
            </w14:solidFill>
          </w14:textFill>
        </w:rPr>
      </w:pPr>
      <w:r>
        <w:rPr>
          <w:rFonts w:hint="eastAsia" w:cs="宋体"/>
          <w:color w:val="000000" w:themeColor="text1"/>
          <w:kern w:val="0"/>
          <w14:textFill>
            <w14:solidFill>
              <w14:schemeClr w14:val="tx1"/>
            </w14:solidFill>
          </w14:textFill>
        </w:rPr>
        <w:t>各井场及管线走向见图3.2-7。</w:t>
      </w:r>
    </w:p>
    <w:p w14:paraId="06E34B63">
      <w:pPr>
        <w:pStyle w:val="117"/>
        <w:adjustRightInd w:val="0"/>
        <w:snapToGrid w:val="0"/>
        <w:ind w:firstLine="480"/>
        <w:rPr>
          <w:rFonts w:hint="eastAsia" w:cs="宋体"/>
          <w:color w:val="000000" w:themeColor="text1"/>
          <w:kern w:val="0"/>
          <w14:textFill>
            <w14:solidFill>
              <w14:schemeClr w14:val="tx1"/>
            </w14:solidFill>
          </w14:textFill>
        </w:rPr>
      </w:pPr>
      <w:r>
        <w:rPr>
          <w:rFonts w:hint="eastAsia" w:cs="宋体"/>
          <w:color w:val="000000" w:themeColor="text1"/>
          <w:kern w:val="0"/>
          <w14:textFill>
            <w14:solidFill>
              <w14:schemeClr w14:val="tx1"/>
            </w14:solidFill>
          </w14:textFill>
        </w:rPr>
        <w:t>（2）公用工程</w:t>
      </w:r>
    </w:p>
    <w:p w14:paraId="58CFCDAF">
      <w:pPr>
        <w:pStyle w:val="117"/>
        <w:adjustRightInd w:val="0"/>
        <w:snapToGrid w:val="0"/>
        <w:ind w:firstLine="480"/>
        <w:rPr>
          <w:rFonts w:hint="eastAsia" w:cs="宋体"/>
          <w:color w:val="000000" w:themeColor="text1"/>
          <w:kern w:val="0"/>
          <w14:textFill>
            <w14:solidFill>
              <w14:schemeClr w14:val="tx1"/>
            </w14:solidFill>
          </w14:textFill>
        </w:rPr>
      </w:pPr>
      <w:r>
        <w:rPr>
          <w:rFonts w:hint="eastAsia" w:cs="宋体"/>
          <w:color w:val="000000" w:themeColor="text1"/>
          <w:kern w:val="0"/>
          <w14:textFill>
            <w14:solidFill>
              <w14:schemeClr w14:val="tx1"/>
            </w14:solidFill>
          </w14:textFill>
        </w:rPr>
        <w:t>①供配电</w:t>
      </w:r>
    </w:p>
    <w:p w14:paraId="37129FAC">
      <w:pPr>
        <w:pStyle w:val="117"/>
        <w:adjustRightInd w:val="0"/>
        <w:snapToGrid w:val="0"/>
        <w:ind w:firstLine="480"/>
        <w:rPr>
          <w:rFonts w:hint="eastAsia" w:cs="宋体"/>
          <w:color w:val="000000" w:themeColor="text1"/>
          <w:kern w:val="0"/>
          <w14:textFill>
            <w14:solidFill>
              <w14:schemeClr w14:val="tx1"/>
            </w14:solidFill>
          </w14:textFill>
        </w:rPr>
      </w:pPr>
      <w:r>
        <w:rPr>
          <w:rFonts w:hint="eastAsia" w:cs="宋体"/>
          <w:color w:val="000000" w:themeColor="text1"/>
          <w:kern w:val="0"/>
          <w14:textFill>
            <w14:solidFill>
              <w14:schemeClr w14:val="tx1"/>
            </w14:solidFill>
          </w14:textFill>
        </w:rPr>
        <w:t>集油区用电负荷为三级负荷，预处理注入站用电负荷以二级负荷为主，站内仪控用电负荷为重要负荷，采用UPS供电；用电负荷电压等级为AC10/0.38/0.22kV。年有功耗电量为521×10</w:t>
      </w:r>
      <w:r>
        <w:rPr>
          <w:rFonts w:hint="eastAsia" w:cs="宋体"/>
          <w:color w:val="000000" w:themeColor="text1"/>
          <w:kern w:val="0"/>
          <w:vertAlign w:val="superscript"/>
          <w14:textFill>
            <w14:solidFill>
              <w14:schemeClr w14:val="tx1"/>
            </w14:solidFill>
          </w14:textFill>
        </w:rPr>
        <w:t>4</w:t>
      </w:r>
      <w:r>
        <w:rPr>
          <w:rFonts w:hint="eastAsia" w:cs="宋体"/>
          <w:color w:val="000000" w:themeColor="text1"/>
          <w:kern w:val="0"/>
          <w14:textFill>
            <w14:solidFill>
              <w14:schemeClr w14:val="tx1"/>
            </w14:solidFill>
          </w14:textFill>
        </w:rPr>
        <w:t>kW</w:t>
      </w:r>
      <w:r>
        <w:rPr>
          <w:rFonts w:hint="eastAsia" w:ascii="微软雅黑" w:hAnsi="微软雅黑" w:eastAsia="微软雅黑" w:cs="微软雅黑"/>
          <w:color w:val="000000" w:themeColor="text1"/>
          <w:kern w:val="0"/>
          <w14:textFill>
            <w14:solidFill>
              <w14:schemeClr w14:val="tx1"/>
            </w14:solidFill>
          </w14:textFill>
        </w:rPr>
        <w:t>▪</w:t>
      </w:r>
      <w:r>
        <w:rPr>
          <w:rFonts w:hint="eastAsia" w:cs="宋体"/>
          <w:color w:val="000000" w:themeColor="text1"/>
          <w:kern w:val="0"/>
          <w14:textFill>
            <w14:solidFill>
              <w14:schemeClr w14:val="tx1"/>
            </w14:solidFill>
          </w14:textFill>
        </w:rPr>
        <w:t>h。</w:t>
      </w:r>
    </w:p>
    <w:p w14:paraId="60844EF1">
      <w:pPr>
        <w:pStyle w:val="117"/>
        <w:snapToGrid w:val="0"/>
        <w:ind w:firstLine="480"/>
        <w:rPr>
          <w:rFonts w:hint="eastAsia" w:cs="宋体"/>
          <w:color w:val="000000" w:themeColor="text1"/>
          <w:kern w:val="0"/>
          <w14:textFill>
            <w14:solidFill>
              <w14:schemeClr w14:val="tx1"/>
            </w14:solidFill>
          </w14:textFill>
        </w:rPr>
      </w:pPr>
      <w:r>
        <w:rPr>
          <w:rFonts w:cs="宋体"/>
          <w:color w:val="000000" w:themeColor="text1"/>
          <w:kern w:val="0"/>
          <w14:textFill>
            <w14:solidFill>
              <w14:schemeClr w14:val="tx1"/>
            </w14:solidFill>
          </w14:textFill>
        </w:rPr>
        <w:t>JHW035</w:t>
      </w:r>
      <w:r>
        <w:rPr>
          <w:rFonts w:hint="eastAsia" w:cs="宋体"/>
          <w:color w:val="000000" w:themeColor="text1"/>
          <w:kern w:val="0"/>
          <w14:textFill>
            <w14:solidFill>
              <w14:schemeClr w14:val="tx1"/>
            </w14:solidFill>
          </w14:textFill>
        </w:rPr>
        <w:t>、</w:t>
      </w:r>
      <w:r>
        <w:rPr>
          <w:rFonts w:cs="宋体"/>
          <w:color w:val="000000" w:themeColor="text1"/>
          <w:kern w:val="0"/>
          <w14:textFill>
            <w14:solidFill>
              <w14:schemeClr w14:val="tx1"/>
            </w14:solidFill>
          </w14:textFill>
        </w:rPr>
        <w:t>JHW036</w:t>
      </w:r>
      <w:r>
        <w:rPr>
          <w:rFonts w:hint="eastAsia" w:cs="宋体"/>
          <w:color w:val="000000" w:themeColor="text1"/>
          <w:kern w:val="0"/>
          <w14:textFill>
            <w14:solidFill>
              <w14:schemeClr w14:val="tx1"/>
            </w14:solidFill>
          </w14:textFill>
        </w:rPr>
        <w:t>、</w:t>
      </w:r>
      <w:r>
        <w:rPr>
          <w:rFonts w:cs="宋体"/>
          <w:color w:val="000000" w:themeColor="text1"/>
          <w:kern w:val="0"/>
          <w14:textFill>
            <w14:solidFill>
              <w14:schemeClr w14:val="tx1"/>
            </w14:solidFill>
          </w14:textFill>
        </w:rPr>
        <w:t>JHW00526</w:t>
      </w:r>
      <w:r>
        <w:rPr>
          <w:rFonts w:hint="eastAsia" w:cs="宋体"/>
          <w:color w:val="000000" w:themeColor="text1"/>
          <w:kern w:val="0"/>
          <w14:textFill>
            <w14:solidFill>
              <w14:schemeClr w14:val="tx1"/>
            </w14:solidFill>
          </w14:textFill>
        </w:rPr>
        <w:t>、</w:t>
      </w:r>
      <w:r>
        <w:rPr>
          <w:rFonts w:cs="宋体"/>
          <w:color w:val="000000" w:themeColor="text1"/>
          <w:kern w:val="0"/>
          <w14:textFill>
            <w14:solidFill>
              <w14:schemeClr w14:val="tx1"/>
            </w14:solidFill>
          </w14:textFill>
        </w:rPr>
        <w:t>JHW033</w:t>
      </w:r>
      <w:r>
        <w:rPr>
          <w:rFonts w:hint="eastAsia" w:cs="宋体"/>
          <w:color w:val="000000" w:themeColor="text1"/>
          <w:kern w:val="0"/>
          <w14:textFill>
            <w14:solidFill>
              <w14:schemeClr w14:val="tx1"/>
            </w14:solidFill>
          </w14:textFill>
        </w:rPr>
        <w:t>井将已建杆架式变电站变压器容量均调整为</w:t>
      </w:r>
      <w:r>
        <w:rPr>
          <w:rFonts w:cs="宋体"/>
          <w:color w:val="000000" w:themeColor="text1"/>
          <w:kern w:val="0"/>
          <w14:textFill>
            <w14:solidFill>
              <w14:schemeClr w14:val="tx1"/>
            </w14:solidFill>
          </w14:textFill>
        </w:rPr>
        <w:t>250kVA</w:t>
      </w:r>
      <w:r>
        <w:rPr>
          <w:rFonts w:hint="eastAsia" w:cs="宋体"/>
          <w:color w:val="000000" w:themeColor="text1"/>
          <w:kern w:val="0"/>
          <w14:textFill>
            <w14:solidFill>
              <w14:schemeClr w14:val="tx1"/>
            </w14:solidFill>
          </w14:textFill>
        </w:rPr>
        <w:t>，变压器采用二级能效型变压器，电源引接自原有</w:t>
      </w:r>
      <w:r>
        <w:rPr>
          <w:rFonts w:cs="宋体"/>
          <w:color w:val="000000" w:themeColor="text1"/>
          <w:kern w:val="0"/>
          <w14:textFill>
            <w14:solidFill>
              <w14:schemeClr w14:val="tx1"/>
            </w14:solidFill>
          </w14:textFill>
        </w:rPr>
        <w:t>10kV</w:t>
      </w:r>
      <w:r>
        <w:rPr>
          <w:rFonts w:hint="eastAsia" w:cs="宋体"/>
          <w:color w:val="000000" w:themeColor="text1"/>
          <w:kern w:val="0"/>
          <w14:textFill>
            <w14:solidFill>
              <w14:schemeClr w14:val="tx1"/>
            </w14:solidFill>
          </w14:textFill>
        </w:rPr>
        <w:t>架空线路并更换配电箱，其余井更换配电箱。</w:t>
      </w:r>
    </w:p>
    <w:p w14:paraId="4ED55C00">
      <w:pPr>
        <w:pStyle w:val="117"/>
        <w:snapToGrid w:val="0"/>
        <w:ind w:firstLine="480"/>
        <w:rPr>
          <w:rFonts w:hint="eastAsia" w:cs="宋体"/>
          <w:color w:val="000000" w:themeColor="text1"/>
          <w:kern w:val="0"/>
          <w14:textFill>
            <w14:solidFill>
              <w14:schemeClr w14:val="tx1"/>
            </w14:solidFill>
          </w14:textFill>
        </w:rPr>
      </w:pPr>
      <w:r>
        <w:rPr>
          <w:rFonts w:hint="eastAsia" w:cs="宋体"/>
          <w:color w:val="000000" w:themeColor="text1"/>
          <w:kern w:val="0"/>
          <w14:textFill>
            <w14:solidFill>
              <w14:schemeClr w14:val="tx1"/>
            </w14:solidFill>
          </w14:textFill>
        </w:rPr>
        <w:t>预处理注入站区内设置</w:t>
      </w:r>
      <w:r>
        <w:rPr>
          <w:rFonts w:cs="宋体"/>
          <w:color w:val="000000" w:themeColor="text1"/>
          <w:kern w:val="0"/>
          <w14:textFill>
            <w14:solidFill>
              <w14:schemeClr w14:val="tx1"/>
            </w14:solidFill>
          </w14:textFill>
        </w:rPr>
        <w:t>1</w:t>
      </w:r>
      <w:r>
        <w:rPr>
          <w:rFonts w:hint="eastAsia" w:cs="宋体"/>
          <w:color w:val="000000" w:themeColor="text1"/>
          <w:kern w:val="0"/>
          <w14:textFill>
            <w14:solidFill>
              <w14:schemeClr w14:val="tx1"/>
            </w14:solidFill>
          </w14:textFill>
        </w:rPr>
        <w:t>座</w:t>
      </w:r>
      <w:r>
        <w:rPr>
          <w:rFonts w:cs="宋体"/>
          <w:color w:val="000000" w:themeColor="text1"/>
          <w:kern w:val="0"/>
          <w14:textFill>
            <w14:solidFill>
              <w14:schemeClr w14:val="tx1"/>
            </w14:solidFill>
          </w14:textFill>
        </w:rPr>
        <w:t>10/0.4kV</w:t>
      </w:r>
      <w:r>
        <w:rPr>
          <w:rFonts w:hint="eastAsia" w:cs="宋体"/>
          <w:color w:val="000000" w:themeColor="text1"/>
          <w:kern w:val="0"/>
          <w14:textFill>
            <w14:solidFill>
              <w14:schemeClr w14:val="tx1"/>
            </w14:solidFill>
          </w14:textFill>
        </w:rPr>
        <w:t>预装式变电站，内含</w:t>
      </w:r>
      <w:r>
        <w:rPr>
          <w:rFonts w:cs="宋体"/>
          <w:color w:val="000000" w:themeColor="text1"/>
          <w:kern w:val="0"/>
          <w14:textFill>
            <w14:solidFill>
              <w14:schemeClr w14:val="tx1"/>
            </w14:solidFill>
          </w14:textFill>
        </w:rPr>
        <w:t>1</w:t>
      </w:r>
      <w:r>
        <w:rPr>
          <w:rFonts w:hint="eastAsia" w:cs="宋体"/>
          <w:color w:val="000000" w:themeColor="text1"/>
          <w:kern w:val="0"/>
          <w14:textFill>
            <w14:solidFill>
              <w14:schemeClr w14:val="tx1"/>
            </w14:solidFill>
          </w14:textFill>
        </w:rPr>
        <w:t>间</w:t>
      </w:r>
      <w:r>
        <w:rPr>
          <w:rFonts w:cs="宋体"/>
          <w:color w:val="000000" w:themeColor="text1"/>
          <w:kern w:val="0"/>
          <w14:textFill>
            <w14:solidFill>
              <w14:schemeClr w14:val="tx1"/>
            </w14:solidFill>
          </w14:textFill>
        </w:rPr>
        <w:t>10kV</w:t>
      </w:r>
      <w:r>
        <w:rPr>
          <w:rFonts w:hint="eastAsia" w:cs="宋体"/>
          <w:color w:val="000000" w:themeColor="text1"/>
          <w:kern w:val="0"/>
          <w14:textFill>
            <w14:solidFill>
              <w14:schemeClr w14:val="tx1"/>
            </w14:solidFill>
          </w14:textFill>
        </w:rPr>
        <w:t>配电室、</w:t>
      </w:r>
      <w:r>
        <w:rPr>
          <w:rFonts w:cs="宋体"/>
          <w:color w:val="000000" w:themeColor="text1"/>
          <w:kern w:val="0"/>
          <w14:textFill>
            <w14:solidFill>
              <w14:schemeClr w14:val="tx1"/>
            </w14:solidFill>
          </w14:textFill>
        </w:rPr>
        <w:t>2</w:t>
      </w:r>
      <w:r>
        <w:rPr>
          <w:rFonts w:hint="eastAsia" w:cs="宋体"/>
          <w:color w:val="000000" w:themeColor="text1"/>
          <w:kern w:val="0"/>
          <w14:textFill>
            <w14:solidFill>
              <w14:schemeClr w14:val="tx1"/>
            </w14:solidFill>
          </w14:textFill>
        </w:rPr>
        <w:t>间变压器室、</w:t>
      </w:r>
      <w:r>
        <w:rPr>
          <w:rFonts w:cs="宋体"/>
          <w:color w:val="000000" w:themeColor="text1"/>
          <w:kern w:val="0"/>
          <w14:textFill>
            <w14:solidFill>
              <w14:schemeClr w14:val="tx1"/>
            </w14:solidFill>
          </w14:textFill>
        </w:rPr>
        <w:t>1</w:t>
      </w:r>
      <w:r>
        <w:rPr>
          <w:rFonts w:hint="eastAsia" w:cs="宋体"/>
          <w:color w:val="000000" w:themeColor="text1"/>
          <w:kern w:val="0"/>
          <w14:textFill>
            <w14:solidFill>
              <w14:schemeClr w14:val="tx1"/>
            </w14:solidFill>
          </w14:textFill>
        </w:rPr>
        <w:t>间</w:t>
      </w:r>
      <w:r>
        <w:rPr>
          <w:rFonts w:cs="宋体"/>
          <w:color w:val="000000" w:themeColor="text1"/>
          <w:kern w:val="0"/>
          <w14:textFill>
            <w14:solidFill>
              <w14:schemeClr w14:val="tx1"/>
            </w14:solidFill>
          </w14:textFill>
        </w:rPr>
        <w:t>0.4kV</w:t>
      </w:r>
      <w:r>
        <w:rPr>
          <w:rFonts w:hint="eastAsia" w:cs="宋体"/>
          <w:color w:val="000000" w:themeColor="text1"/>
          <w:kern w:val="0"/>
          <w14:textFill>
            <w14:solidFill>
              <w14:schemeClr w14:val="tx1"/>
            </w14:solidFill>
          </w14:textFill>
        </w:rPr>
        <w:t>配电室，新建</w:t>
      </w:r>
      <w:r>
        <w:rPr>
          <w:rFonts w:cs="宋体"/>
          <w:color w:val="000000" w:themeColor="text1"/>
          <w:kern w:val="0"/>
          <w14:textFill>
            <w14:solidFill>
              <w14:schemeClr w14:val="tx1"/>
            </w14:solidFill>
          </w14:textFill>
        </w:rPr>
        <w:t>10kV</w:t>
      </w:r>
      <w:r>
        <w:rPr>
          <w:rFonts w:hint="eastAsia" w:cs="宋体"/>
          <w:color w:val="000000" w:themeColor="text1"/>
          <w:kern w:val="0"/>
          <w14:textFill>
            <w14:solidFill>
              <w14:schemeClr w14:val="tx1"/>
            </w14:solidFill>
          </w14:textFill>
        </w:rPr>
        <w:t>架空线路长度约为</w:t>
      </w:r>
      <w:r>
        <w:rPr>
          <w:rFonts w:cs="宋体"/>
          <w:color w:val="000000" w:themeColor="text1"/>
          <w:kern w:val="0"/>
          <w14:textFill>
            <w14:solidFill>
              <w14:schemeClr w14:val="tx1"/>
            </w14:solidFill>
          </w14:textFill>
        </w:rPr>
        <w:t>5.3km</w:t>
      </w:r>
      <w:r>
        <w:rPr>
          <w:rFonts w:hint="eastAsia" w:cs="宋体"/>
          <w:color w:val="000000" w:themeColor="text1"/>
          <w:kern w:val="0"/>
          <w14:textFill>
            <w14:solidFill>
              <w14:schemeClr w14:val="tx1"/>
            </w14:solidFill>
          </w14:textFill>
        </w:rPr>
        <w:t>，导线采用</w:t>
      </w:r>
      <w:r>
        <w:rPr>
          <w:rFonts w:cs="宋体"/>
          <w:color w:val="000000" w:themeColor="text1"/>
          <w:kern w:val="0"/>
          <w14:textFill>
            <w14:solidFill>
              <w14:schemeClr w14:val="tx1"/>
            </w14:solidFill>
          </w14:textFill>
        </w:rPr>
        <w:t>JL/G1A-95/20</w:t>
      </w:r>
      <w:r>
        <w:rPr>
          <w:rFonts w:hint="eastAsia" w:cs="宋体"/>
          <w:color w:val="000000" w:themeColor="text1"/>
          <w:kern w:val="0"/>
          <w14:textFill>
            <w14:solidFill>
              <w14:schemeClr w14:val="tx1"/>
            </w14:solidFill>
          </w14:textFill>
        </w:rPr>
        <w:t>，线路档距为</w:t>
      </w:r>
      <w:r>
        <w:rPr>
          <w:rFonts w:cs="宋体"/>
          <w:color w:val="000000" w:themeColor="text1"/>
          <w:kern w:val="0"/>
          <w14:textFill>
            <w14:solidFill>
              <w14:schemeClr w14:val="tx1"/>
            </w14:solidFill>
          </w14:textFill>
        </w:rPr>
        <w:t>45</w:t>
      </w:r>
      <w:r>
        <w:rPr>
          <w:rFonts w:hint="eastAsia" w:cs="宋体"/>
          <w:color w:val="000000" w:themeColor="text1"/>
          <w:kern w:val="0"/>
          <w14:textFill>
            <w14:solidFill>
              <w14:schemeClr w14:val="tx1"/>
            </w14:solidFill>
          </w14:textFill>
        </w:rPr>
        <w:t>～</w:t>
      </w:r>
      <w:r>
        <w:rPr>
          <w:rFonts w:cs="宋体"/>
          <w:color w:val="000000" w:themeColor="text1"/>
          <w:kern w:val="0"/>
          <w14:textFill>
            <w14:solidFill>
              <w14:schemeClr w14:val="tx1"/>
            </w14:solidFill>
          </w14:textFill>
        </w:rPr>
        <w:t>55m</w:t>
      </w:r>
      <w:r>
        <w:rPr>
          <w:rFonts w:hint="eastAsia" w:cs="宋体"/>
          <w:color w:val="000000" w:themeColor="text1"/>
          <w:kern w:val="0"/>
          <w14:textFill>
            <w14:solidFill>
              <w14:schemeClr w14:val="tx1"/>
            </w14:solidFill>
          </w14:textFill>
        </w:rPr>
        <w:t>，采用复合绝缘子。</w:t>
      </w:r>
    </w:p>
    <w:p w14:paraId="6A374DC7">
      <w:pPr>
        <w:pStyle w:val="117"/>
        <w:adjustRightInd w:val="0"/>
        <w:snapToGrid w:val="0"/>
        <w:ind w:firstLine="480"/>
        <w:rPr>
          <w:rFonts w:hint="eastAsia" w:cs="宋体"/>
          <w:color w:val="000000" w:themeColor="text1"/>
          <w:kern w:val="0"/>
          <w14:textFill>
            <w14:solidFill>
              <w14:schemeClr w14:val="tx1"/>
            </w14:solidFill>
          </w14:textFill>
        </w:rPr>
      </w:pPr>
      <w:r>
        <w:rPr>
          <w:rFonts w:hint="eastAsia" w:cs="宋体"/>
          <w:color w:val="000000" w:themeColor="text1"/>
          <w:kern w:val="0"/>
          <w14:textFill>
            <w14:solidFill>
              <w14:schemeClr w14:val="tx1"/>
            </w14:solidFill>
          </w14:textFill>
        </w:rPr>
        <w:t>②给排水</w:t>
      </w:r>
    </w:p>
    <w:p w14:paraId="66AFCD11">
      <w:pPr>
        <w:pStyle w:val="117"/>
        <w:adjustRightInd w:val="0"/>
        <w:snapToGrid w:val="0"/>
        <w:ind w:firstLine="480"/>
        <w:rPr>
          <w:rFonts w:hint="eastAsia" w:cs="宋体"/>
          <w:color w:val="000000" w:themeColor="text1"/>
          <w:kern w:val="0"/>
          <w14:textFill>
            <w14:solidFill>
              <w14:schemeClr w14:val="tx1"/>
            </w14:solidFill>
          </w14:textFill>
        </w:rPr>
      </w:pPr>
      <w:r>
        <w:rPr>
          <w:rFonts w:hint="eastAsia" w:cs="宋体"/>
          <w:color w:val="000000" w:themeColor="text1"/>
          <w:kern w:val="0"/>
          <w14:textFill>
            <w14:solidFill>
              <w14:schemeClr w14:val="tx1"/>
            </w14:solidFill>
          </w14:textFill>
        </w:rPr>
        <w:t>施工期给水主要为管道试压用水、混凝土养护用水和洗井用水；运营期用水主要为生活用水和井下作业用水。井区位于荒漠地区，周围无成熟的供水管网，用水由罐车</w:t>
      </w:r>
      <w:r>
        <w:rPr>
          <w:rFonts w:hint="eastAsia" w:cs="宋体"/>
          <w:snapToGrid w:val="0"/>
          <w:color w:val="000000" w:themeColor="text1"/>
          <w:kern w:val="0"/>
          <w:szCs w:val="21"/>
          <w14:textFill>
            <w14:solidFill>
              <w14:schemeClr w14:val="tx1"/>
            </w14:solidFill>
          </w14:textFill>
        </w:rPr>
        <w:t>从周边村庄供水点拉运。</w:t>
      </w:r>
    </w:p>
    <w:p w14:paraId="015AF619">
      <w:pPr>
        <w:pStyle w:val="117"/>
        <w:adjustRightInd w:val="0"/>
        <w:snapToGrid w:val="0"/>
        <w:ind w:firstLine="480"/>
        <w:rPr>
          <w:rFonts w:hint="eastAsia" w:cs="宋体"/>
          <w:color w:val="000000" w:themeColor="text1"/>
          <w:kern w:val="0"/>
          <w14:textFill>
            <w14:solidFill>
              <w14:schemeClr w14:val="tx1"/>
            </w14:solidFill>
          </w14:textFill>
        </w:rPr>
      </w:pPr>
      <w:r>
        <w:rPr>
          <w:rFonts w:hint="eastAsia" w:cs="宋体"/>
          <w:color w:val="000000" w:themeColor="text1"/>
          <w:kern w:val="0"/>
          <w14:textFill>
            <w14:solidFill>
              <w14:schemeClr w14:val="tx1"/>
            </w14:solidFill>
          </w14:textFill>
        </w:rPr>
        <w:t>施工期排水主要为混凝土养护废水、管道试压废水和洗井废水，管道试压废水和混凝土养护废水的污染物主要为悬浮物，用于项目区的洒水抑尘；洗井废水由罐车拉运至压裂返排液处理装置处理。运营期排水主要为洗井废水、井下作业废液和生活污水，洗井废水和井下作业废液由罐车拉运至页岩油联合站压裂返排液处理系统处理，经处理后出水水质满足</w:t>
      </w:r>
      <w:r>
        <w:rPr>
          <w:rFonts w:hint="eastAsia"/>
          <w:color w:val="000000" w:themeColor="text1"/>
          <w:lang w:val="zh-CN"/>
          <w14:textFill>
            <w14:solidFill>
              <w14:schemeClr w14:val="tx1"/>
            </w14:solidFill>
          </w14:textFill>
        </w:rPr>
        <w:t>《压裂酸化返排液处理技术规范》（Q/SY02012-2016）</w:t>
      </w:r>
      <w:r>
        <w:rPr>
          <w:rFonts w:hint="eastAsia" w:cs="宋体"/>
          <w:color w:val="000000" w:themeColor="text1"/>
          <w:kern w:val="0"/>
          <w14:textFill>
            <w14:solidFill>
              <w14:schemeClr w14:val="tx1"/>
            </w14:solidFill>
          </w14:textFill>
        </w:rPr>
        <w:t>中相关标准后，用于压裂液复配，不外排。生活污水送至吉木萨尔县污水处理厂处理。</w:t>
      </w:r>
    </w:p>
    <w:p w14:paraId="2D3C5926">
      <w:pPr>
        <w:pStyle w:val="117"/>
        <w:adjustRightInd w:val="0"/>
        <w:snapToGrid w:val="0"/>
        <w:ind w:firstLine="480"/>
        <w:rPr>
          <w:rFonts w:hint="eastAsia" w:cs="宋体"/>
          <w:color w:val="000000" w:themeColor="text1"/>
          <w:kern w:val="0"/>
          <w14:textFill>
            <w14:solidFill>
              <w14:schemeClr w14:val="tx1"/>
            </w14:solidFill>
          </w14:textFill>
        </w:rPr>
      </w:pPr>
      <w:r>
        <w:rPr>
          <w:rFonts w:hint="eastAsia" w:cs="宋体"/>
          <w:color w:val="000000" w:themeColor="text1"/>
          <w:kern w:val="0"/>
          <w14:textFill>
            <w14:solidFill>
              <w14:schemeClr w14:val="tx1"/>
            </w14:solidFill>
          </w14:textFill>
        </w:rPr>
        <w:t>③仪表自动化</w:t>
      </w:r>
    </w:p>
    <w:p w14:paraId="7F34C644">
      <w:pPr>
        <w:pStyle w:val="117"/>
        <w:snapToGrid w:val="0"/>
        <w:ind w:firstLine="480"/>
        <w:rPr>
          <w:rFonts w:hint="eastAsia" w:cs="宋体"/>
          <w:color w:val="000000" w:themeColor="text1"/>
          <w:kern w:val="0"/>
          <w14:textFill>
            <w14:solidFill>
              <w14:schemeClr w14:val="tx1"/>
            </w14:solidFill>
          </w14:textFill>
        </w:rPr>
      </w:pPr>
      <w:r>
        <w:rPr>
          <w:rFonts w:hint="eastAsia" w:cs="宋体"/>
          <w:color w:val="000000" w:themeColor="text1"/>
          <w:kern w:val="0"/>
          <w14:textFill>
            <w14:solidFill>
              <w14:schemeClr w14:val="tx1"/>
            </w14:solidFill>
          </w14:textFill>
        </w:rPr>
        <w:t>采油井场采用“</w:t>
      </w:r>
      <w:r>
        <w:rPr>
          <w:rFonts w:cs="宋体"/>
          <w:color w:val="000000" w:themeColor="text1"/>
          <w:kern w:val="0"/>
          <w14:textFill>
            <w14:solidFill>
              <w14:schemeClr w14:val="tx1"/>
            </w14:solidFill>
          </w14:textFill>
        </w:rPr>
        <w:t>LoRa+2.0</w:t>
      </w:r>
      <w:r>
        <w:rPr>
          <w:rFonts w:hint="eastAsia" w:cs="宋体"/>
          <w:color w:val="000000" w:themeColor="text1"/>
          <w:kern w:val="0"/>
          <w14:textFill>
            <w14:solidFill>
              <w14:schemeClr w14:val="tx1"/>
            </w14:solidFill>
          </w14:textFill>
        </w:rPr>
        <w:t>”协议的无线仪表</w:t>
      </w:r>
      <w:r>
        <w:rPr>
          <w:rFonts w:cs="宋体"/>
          <w:color w:val="000000" w:themeColor="text1"/>
          <w:kern w:val="0"/>
          <w14:textFill>
            <w14:solidFill>
              <w14:schemeClr w14:val="tx1"/>
            </w14:solidFill>
          </w14:textFill>
        </w:rPr>
        <w:t>+</w:t>
      </w:r>
      <w:r>
        <w:rPr>
          <w:rFonts w:hint="eastAsia" w:cs="宋体"/>
          <w:color w:val="000000" w:themeColor="text1"/>
          <w:kern w:val="0"/>
          <w14:textFill>
            <w14:solidFill>
              <w14:schemeClr w14:val="tx1"/>
            </w14:solidFill>
          </w14:textFill>
        </w:rPr>
        <w:t>“</w:t>
      </w:r>
      <w:r>
        <w:rPr>
          <w:rFonts w:cs="宋体"/>
          <w:color w:val="000000" w:themeColor="text1"/>
          <w:kern w:val="0"/>
          <w14:textFill>
            <w14:solidFill>
              <w14:schemeClr w14:val="tx1"/>
            </w14:solidFill>
          </w14:textFill>
        </w:rPr>
        <w:t>LoRa+2.0</w:t>
      </w:r>
      <w:r>
        <w:rPr>
          <w:rFonts w:hint="eastAsia" w:cs="宋体"/>
          <w:color w:val="000000" w:themeColor="text1"/>
          <w:kern w:val="0"/>
          <w14:textFill>
            <w14:solidFill>
              <w14:schemeClr w14:val="tx1"/>
            </w14:solidFill>
          </w14:textFill>
        </w:rPr>
        <w:t>”网关的数据采集模式，用于采油平台无线仪表数据采集。单座计量站合适位置设置监控杆，杆上设置“</w:t>
      </w:r>
      <w:r>
        <w:rPr>
          <w:rFonts w:cs="宋体"/>
          <w:color w:val="000000" w:themeColor="text1"/>
          <w:kern w:val="0"/>
          <w14:textFill>
            <w14:solidFill>
              <w14:schemeClr w14:val="tx1"/>
            </w14:solidFill>
          </w14:textFill>
        </w:rPr>
        <w:t>LoRa+2.0</w:t>
      </w:r>
      <w:r>
        <w:rPr>
          <w:rFonts w:hint="eastAsia" w:cs="宋体"/>
          <w:color w:val="000000" w:themeColor="text1"/>
          <w:kern w:val="0"/>
          <w14:textFill>
            <w14:solidFill>
              <w14:schemeClr w14:val="tx1"/>
            </w14:solidFill>
          </w14:textFill>
        </w:rPr>
        <w:t>”无线网关（部分井站设置）及监控摄像机和音柱，实时采集井场生产数据和视频信号。“</w:t>
      </w:r>
      <w:r>
        <w:rPr>
          <w:rFonts w:cs="宋体"/>
          <w:color w:val="000000" w:themeColor="text1"/>
          <w:kern w:val="0"/>
          <w14:textFill>
            <w14:solidFill>
              <w14:schemeClr w14:val="tx1"/>
            </w14:solidFill>
          </w14:textFill>
        </w:rPr>
        <w:t>LoRa+2.0</w:t>
      </w:r>
      <w:r>
        <w:rPr>
          <w:rFonts w:hint="eastAsia" w:cs="宋体"/>
          <w:color w:val="000000" w:themeColor="text1"/>
          <w:kern w:val="0"/>
          <w14:textFill>
            <w14:solidFill>
              <w14:schemeClr w14:val="tx1"/>
            </w14:solidFill>
          </w14:textFill>
        </w:rPr>
        <w:t>”网关数据通过光缆上传至页岩油联合站已建生产监控系统集中监控，再通过骨干光缆上传至吉庆油田作业区生产监控平台集中监控。</w:t>
      </w:r>
    </w:p>
    <w:p w14:paraId="26A71923">
      <w:pPr>
        <w:pStyle w:val="117"/>
        <w:snapToGrid w:val="0"/>
        <w:ind w:firstLine="480"/>
        <w:rPr>
          <w:rFonts w:hint="eastAsia" w:cs="宋体"/>
          <w:color w:val="000000" w:themeColor="text1"/>
          <w:kern w:val="0"/>
          <w14:textFill>
            <w14:solidFill>
              <w14:schemeClr w14:val="tx1"/>
            </w14:solidFill>
          </w14:textFill>
        </w:rPr>
      </w:pPr>
      <w:r>
        <w:rPr>
          <w:rFonts w:hint="eastAsia" w:cs="宋体"/>
          <w:color w:val="000000" w:themeColor="text1"/>
          <w:kern w:val="0"/>
          <w14:textFill>
            <w14:solidFill>
              <w14:schemeClr w14:val="tx1"/>
            </w14:solidFill>
          </w14:textFill>
        </w:rPr>
        <w:t>在预处理注入站内新建</w:t>
      </w:r>
      <w:r>
        <w:rPr>
          <w:rFonts w:cs="宋体"/>
          <w:color w:val="000000" w:themeColor="text1"/>
          <w:kern w:val="0"/>
          <w14:textFill>
            <w14:solidFill>
              <w14:schemeClr w14:val="tx1"/>
            </w14:solidFill>
          </w14:textFill>
        </w:rPr>
        <w:t>1</w:t>
      </w:r>
      <w:r>
        <w:rPr>
          <w:rFonts w:hint="eastAsia" w:cs="宋体"/>
          <w:color w:val="000000" w:themeColor="text1"/>
          <w:kern w:val="0"/>
          <w14:textFill>
            <w14:solidFill>
              <w14:schemeClr w14:val="tx1"/>
            </w14:solidFill>
          </w14:textFill>
        </w:rPr>
        <w:t>套</w:t>
      </w:r>
      <w:bookmarkStart w:id="267" w:name="OLE_LINK69"/>
      <w:r>
        <w:rPr>
          <w:rFonts w:cs="宋体"/>
          <w:color w:val="000000" w:themeColor="text1"/>
          <w:kern w:val="0"/>
          <w14:textFill>
            <w14:solidFill>
              <w14:schemeClr w14:val="tx1"/>
            </w14:solidFill>
          </w14:textFill>
        </w:rPr>
        <w:t>BPCS</w:t>
      </w:r>
      <w:r>
        <w:rPr>
          <w:rFonts w:hint="eastAsia" w:cs="宋体"/>
          <w:color w:val="000000" w:themeColor="text1"/>
          <w:kern w:val="0"/>
          <w14:textFill>
            <w14:solidFill>
              <w14:schemeClr w14:val="tx1"/>
            </w14:solidFill>
          </w14:textFill>
        </w:rPr>
        <w:t>系统</w:t>
      </w:r>
      <w:bookmarkEnd w:id="267"/>
      <w:r>
        <w:rPr>
          <w:rFonts w:hint="eastAsia" w:cs="宋体"/>
          <w:color w:val="000000" w:themeColor="text1"/>
          <w:kern w:val="0"/>
          <w14:textFill>
            <w14:solidFill>
              <w14:schemeClr w14:val="tx1"/>
            </w14:solidFill>
          </w14:textFill>
        </w:rPr>
        <w:t>、1套</w:t>
      </w:r>
      <w:r>
        <w:rPr>
          <w:rFonts w:cs="宋体"/>
          <w:color w:val="000000" w:themeColor="text1"/>
          <w:kern w:val="0"/>
          <w14:textFill>
            <w14:solidFill>
              <w14:schemeClr w14:val="tx1"/>
            </w14:solidFill>
          </w14:textFill>
        </w:rPr>
        <w:t>GDS</w:t>
      </w:r>
      <w:r>
        <w:rPr>
          <w:rFonts w:hint="eastAsia" w:cs="宋体"/>
          <w:color w:val="000000" w:themeColor="text1"/>
          <w:kern w:val="0"/>
          <w14:textFill>
            <w14:solidFill>
              <w14:schemeClr w14:val="tx1"/>
            </w14:solidFill>
          </w14:textFill>
        </w:rPr>
        <w:t>系统（</w:t>
      </w:r>
      <w:r>
        <w:rPr>
          <w:rFonts w:cs="宋体"/>
          <w:color w:val="000000" w:themeColor="text1"/>
          <w:kern w:val="0"/>
          <w14:textFill>
            <w14:solidFill>
              <w14:schemeClr w14:val="tx1"/>
            </w14:solidFill>
          </w14:textFill>
        </w:rPr>
        <w:t>GDS</w:t>
      </w:r>
      <w:r>
        <w:rPr>
          <w:rFonts w:hint="eastAsia" w:cs="宋体"/>
          <w:color w:val="000000" w:themeColor="text1"/>
          <w:kern w:val="0"/>
          <w14:textFill>
            <w14:solidFill>
              <w14:schemeClr w14:val="tx1"/>
            </w14:solidFill>
          </w14:textFill>
        </w:rPr>
        <w:t>系统包括现场可燃</w:t>
      </w:r>
      <w:r>
        <w:rPr>
          <w:rFonts w:cs="宋体"/>
          <w:color w:val="000000" w:themeColor="text1"/>
          <w:kern w:val="0"/>
          <w14:textFill>
            <w14:solidFill>
              <w14:schemeClr w14:val="tx1"/>
            </w14:solidFill>
          </w14:textFill>
        </w:rPr>
        <w:t>/</w:t>
      </w:r>
      <w:r>
        <w:rPr>
          <w:rFonts w:hint="eastAsia" w:cs="宋体"/>
          <w:color w:val="000000" w:themeColor="text1"/>
          <w:kern w:val="0"/>
          <w14:textFill>
            <w14:solidFill>
              <w14:schemeClr w14:val="tx1"/>
            </w14:solidFill>
          </w14:textFill>
        </w:rPr>
        <w:t>有毒气体探测器、声光报警器及气体报警控制器等），</w:t>
      </w:r>
      <w:r>
        <w:rPr>
          <w:rFonts w:cs="宋体"/>
          <w:color w:val="000000" w:themeColor="text1"/>
          <w:kern w:val="0"/>
          <w14:textFill>
            <w14:solidFill>
              <w14:schemeClr w14:val="tx1"/>
            </w14:solidFill>
          </w14:textFill>
        </w:rPr>
        <w:t>BPCS</w:t>
      </w:r>
      <w:r>
        <w:rPr>
          <w:rFonts w:hint="eastAsia" w:cs="宋体"/>
          <w:color w:val="000000" w:themeColor="text1"/>
          <w:kern w:val="0"/>
          <w14:textFill>
            <w14:solidFill>
              <w14:schemeClr w14:val="tx1"/>
            </w14:solidFill>
          </w14:textFill>
        </w:rPr>
        <w:t>系统完成预处理注入站内工艺设施数据采集处理、集中监控，实现对站内生产场所有毒气体泄漏的实时监测、报警；数据通过新建通信链路上传至吉庆油田作业区生产调度中心生产监控系统集中监控。</w:t>
      </w:r>
    </w:p>
    <w:p w14:paraId="737C260F">
      <w:pPr>
        <w:pStyle w:val="117"/>
        <w:adjustRightInd w:val="0"/>
        <w:snapToGrid w:val="0"/>
        <w:ind w:firstLine="480"/>
        <w:rPr>
          <w:rFonts w:hint="eastAsia" w:cs="宋体"/>
          <w:color w:val="000000" w:themeColor="text1"/>
          <w:kern w:val="0"/>
          <w14:textFill>
            <w14:solidFill>
              <w14:schemeClr w14:val="tx1"/>
            </w14:solidFill>
          </w14:textFill>
        </w:rPr>
      </w:pPr>
      <w:r>
        <w:rPr>
          <w:rFonts w:hint="eastAsia" w:cs="宋体"/>
          <w:color w:val="000000" w:themeColor="text1"/>
          <w:kern w:val="0"/>
          <w14:textFill>
            <w14:solidFill>
              <w14:schemeClr w14:val="tx1"/>
            </w14:solidFill>
          </w14:textFill>
        </w:rPr>
        <w:t>④通信</w:t>
      </w:r>
    </w:p>
    <w:p w14:paraId="7CCCFF30">
      <w:pPr>
        <w:pStyle w:val="117"/>
        <w:snapToGrid w:val="0"/>
        <w:ind w:firstLine="480"/>
        <w:rPr>
          <w:rFonts w:hint="eastAsia" w:cs="宋体"/>
          <w:color w:val="000000" w:themeColor="text1"/>
          <w:kern w:val="0"/>
          <w14:textFill>
            <w14:solidFill>
              <w14:schemeClr w14:val="tx1"/>
            </w14:solidFill>
          </w14:textFill>
        </w:rPr>
      </w:pPr>
      <w:r>
        <w:rPr>
          <w:rFonts w:hint="eastAsia" w:cs="宋体"/>
          <w:color w:val="000000" w:themeColor="text1"/>
          <w:kern w:val="0"/>
          <w14:textFill>
            <w14:solidFill>
              <w14:schemeClr w14:val="tx1"/>
            </w14:solidFill>
          </w14:textFill>
        </w:rPr>
        <w:t>油区：在新建</w:t>
      </w:r>
      <w:r>
        <w:rPr>
          <w:rFonts w:cs="宋体"/>
          <w:color w:val="000000" w:themeColor="text1"/>
          <w:kern w:val="0"/>
          <w14:textFill>
            <w14:solidFill>
              <w14:schemeClr w14:val="tx1"/>
            </w14:solidFill>
          </w14:textFill>
        </w:rPr>
        <w:t>1</w:t>
      </w:r>
      <w:r>
        <w:rPr>
          <w:rFonts w:hint="eastAsia" w:cs="宋体"/>
          <w:color w:val="000000" w:themeColor="text1"/>
          <w:kern w:val="0"/>
          <w14:textFill>
            <w14:solidFill>
              <w14:schemeClr w14:val="tx1"/>
            </w14:solidFill>
          </w14:textFill>
        </w:rPr>
        <w:t>号计量站内设置</w:t>
      </w:r>
      <w:r>
        <w:rPr>
          <w:rFonts w:cs="宋体"/>
          <w:color w:val="000000" w:themeColor="text1"/>
          <w:kern w:val="0"/>
          <w14:textFill>
            <w14:solidFill>
              <w14:schemeClr w14:val="tx1"/>
            </w14:solidFill>
          </w14:textFill>
        </w:rPr>
        <w:t>1</w:t>
      </w:r>
      <w:r>
        <w:rPr>
          <w:rFonts w:hint="eastAsia" w:cs="宋体"/>
          <w:color w:val="000000" w:themeColor="text1"/>
          <w:kern w:val="0"/>
          <w14:textFill>
            <w14:solidFill>
              <w14:schemeClr w14:val="tx1"/>
            </w14:solidFill>
          </w14:textFill>
        </w:rPr>
        <w:t>套落地式通信网络机柜，柜内设置</w:t>
      </w:r>
      <w:r>
        <w:rPr>
          <w:rFonts w:cs="宋体"/>
          <w:color w:val="000000" w:themeColor="text1"/>
          <w:kern w:val="0"/>
          <w14:textFill>
            <w14:solidFill>
              <w14:schemeClr w14:val="tx1"/>
            </w14:solidFill>
          </w14:textFill>
        </w:rPr>
        <w:t>2</w:t>
      </w:r>
      <w:r>
        <w:rPr>
          <w:rFonts w:hint="eastAsia" w:cs="宋体"/>
          <w:color w:val="000000" w:themeColor="text1"/>
          <w:kern w:val="0"/>
          <w14:textFill>
            <w14:solidFill>
              <w14:schemeClr w14:val="tx1"/>
            </w14:solidFill>
          </w14:textFill>
        </w:rPr>
        <w:t>套工业以太网交换机，</w:t>
      </w:r>
      <w:r>
        <w:rPr>
          <w:rFonts w:cs="宋体"/>
          <w:color w:val="000000" w:themeColor="text1"/>
          <w:kern w:val="0"/>
          <w14:textFill>
            <w14:solidFill>
              <w14:schemeClr w14:val="tx1"/>
            </w14:solidFill>
          </w14:textFill>
        </w:rPr>
        <w:t>1</w:t>
      </w:r>
      <w:r>
        <w:rPr>
          <w:rFonts w:hint="eastAsia" w:cs="宋体"/>
          <w:color w:val="000000" w:themeColor="text1"/>
          <w:kern w:val="0"/>
          <w14:textFill>
            <w14:solidFill>
              <w14:schemeClr w14:val="tx1"/>
            </w14:solidFill>
          </w14:textFill>
        </w:rPr>
        <w:t>套用于自控数据传输；新建交换机通过新建光缆接入预处理注入站拟建交换机，经拟建传输通道接入新疆油田逻辑专网，将自控及视频数据上传至吉庆作业区公寓中心机房。</w:t>
      </w:r>
    </w:p>
    <w:p w14:paraId="5F66CA73">
      <w:pPr>
        <w:pStyle w:val="117"/>
        <w:snapToGrid w:val="0"/>
        <w:ind w:firstLine="480"/>
        <w:rPr>
          <w:rFonts w:hint="eastAsia" w:cs="宋体"/>
          <w:color w:val="000000" w:themeColor="text1"/>
          <w:kern w:val="0"/>
          <w14:textFill>
            <w14:solidFill>
              <w14:schemeClr w14:val="tx1"/>
            </w14:solidFill>
          </w14:textFill>
        </w:rPr>
      </w:pPr>
      <w:r>
        <w:rPr>
          <w:rFonts w:hint="eastAsia" w:cs="宋体"/>
          <w:color w:val="000000" w:themeColor="text1"/>
          <w:kern w:val="0"/>
          <w14:textFill>
            <w14:solidFill>
              <w14:schemeClr w14:val="tx1"/>
            </w14:solidFill>
          </w14:textFill>
        </w:rPr>
        <w:t>预处理注入站：在预处理注入站新建仪控间内设置</w:t>
      </w:r>
      <w:r>
        <w:rPr>
          <w:rFonts w:cs="宋体"/>
          <w:color w:val="000000" w:themeColor="text1"/>
          <w:kern w:val="0"/>
          <w14:textFill>
            <w14:solidFill>
              <w14:schemeClr w14:val="tx1"/>
            </w14:solidFill>
          </w14:textFill>
        </w:rPr>
        <w:t xml:space="preserve">1 </w:t>
      </w:r>
      <w:r>
        <w:rPr>
          <w:rFonts w:hint="eastAsia" w:cs="宋体"/>
          <w:color w:val="000000" w:themeColor="text1"/>
          <w:kern w:val="0"/>
          <w14:textFill>
            <w14:solidFill>
              <w14:schemeClr w14:val="tx1"/>
            </w14:solidFill>
          </w14:textFill>
        </w:rPr>
        <w:t>套落地式通信网络机柜，柜内设置</w:t>
      </w:r>
      <w:r>
        <w:rPr>
          <w:rFonts w:cs="宋体"/>
          <w:color w:val="000000" w:themeColor="text1"/>
          <w:kern w:val="0"/>
          <w14:textFill>
            <w14:solidFill>
              <w14:schemeClr w14:val="tx1"/>
            </w14:solidFill>
          </w14:textFill>
        </w:rPr>
        <w:t>2</w:t>
      </w:r>
      <w:r>
        <w:rPr>
          <w:rFonts w:hint="eastAsia" w:cs="宋体"/>
          <w:color w:val="000000" w:themeColor="text1"/>
          <w:kern w:val="0"/>
          <w14:textFill>
            <w14:solidFill>
              <w14:schemeClr w14:val="tx1"/>
            </w14:solidFill>
          </w14:textFill>
        </w:rPr>
        <w:t>套工业以太网交换机，新建交换机通过新建光缆接入</w:t>
      </w:r>
      <w:r>
        <w:rPr>
          <w:rFonts w:cs="宋体"/>
          <w:color w:val="000000" w:themeColor="text1"/>
          <w:kern w:val="0"/>
          <w14:textFill>
            <w14:solidFill>
              <w14:schemeClr w14:val="tx1"/>
            </w14:solidFill>
          </w14:textFill>
        </w:rPr>
        <w:t xml:space="preserve">1 </w:t>
      </w:r>
      <w:r>
        <w:rPr>
          <w:rFonts w:hint="eastAsia" w:cs="宋体"/>
          <w:color w:val="000000" w:themeColor="text1"/>
          <w:kern w:val="0"/>
          <w14:textFill>
            <w14:solidFill>
              <w14:schemeClr w14:val="tx1"/>
            </w14:solidFill>
          </w14:textFill>
        </w:rPr>
        <w:t>号混输站已建交换机，经已建传输通道接入新疆油田逻辑专网，将自控及视频数据上传至吉庆作业区公寓中心机房。</w:t>
      </w:r>
    </w:p>
    <w:p w14:paraId="05717AEB">
      <w:pPr>
        <w:pStyle w:val="117"/>
        <w:snapToGrid w:val="0"/>
        <w:ind w:firstLine="480"/>
        <w:rPr>
          <w:rFonts w:hint="eastAsia" w:cs="宋体"/>
          <w:color w:val="000000" w:themeColor="text1"/>
          <w:kern w:val="0"/>
          <w14:textFill>
            <w14:solidFill>
              <w14:schemeClr w14:val="tx1"/>
            </w14:solidFill>
          </w14:textFill>
        </w:rPr>
      </w:pPr>
      <w:r>
        <w:rPr>
          <w:rFonts w:hint="eastAsia" w:cs="宋体"/>
          <w:color w:val="000000" w:themeColor="text1"/>
          <w:kern w:val="0"/>
          <w14:textFill>
            <w14:solidFill>
              <w14:schemeClr w14:val="tx1"/>
            </w14:solidFill>
          </w14:textFill>
        </w:rPr>
        <w:t>在预处理注入站新建</w:t>
      </w:r>
      <w:r>
        <w:rPr>
          <w:rFonts w:cs="宋体"/>
          <w:color w:val="000000" w:themeColor="text1"/>
          <w:kern w:val="0"/>
          <w14:textFill>
            <w14:solidFill>
              <w14:schemeClr w14:val="tx1"/>
            </w14:solidFill>
          </w14:textFill>
        </w:rPr>
        <w:t>1</w:t>
      </w:r>
      <w:r>
        <w:rPr>
          <w:rFonts w:hint="eastAsia" w:cs="宋体"/>
          <w:color w:val="000000" w:themeColor="text1"/>
          <w:kern w:val="0"/>
          <w14:textFill>
            <w14:solidFill>
              <w14:schemeClr w14:val="tx1"/>
            </w14:solidFill>
          </w14:textFill>
        </w:rPr>
        <w:t>套区域型火灾自动报警系统，壁挂式火灾报警控制器及智能电源箱安装在</w:t>
      </w:r>
      <w:r>
        <w:rPr>
          <w:rFonts w:cs="宋体"/>
          <w:color w:val="000000" w:themeColor="text1"/>
          <w:kern w:val="0"/>
          <w14:textFill>
            <w14:solidFill>
              <w14:schemeClr w14:val="tx1"/>
            </w14:solidFill>
          </w14:textFill>
        </w:rPr>
        <w:t>24h</w:t>
      </w:r>
      <w:r>
        <w:rPr>
          <w:rFonts w:hint="eastAsia" w:cs="宋体"/>
          <w:color w:val="000000" w:themeColor="text1"/>
          <w:kern w:val="0"/>
          <w14:textFill>
            <w14:solidFill>
              <w14:schemeClr w14:val="tx1"/>
            </w14:solidFill>
          </w14:textFill>
        </w:rPr>
        <w:t>有人值守的仪控间，在橇装仪控间内设置感烟火灾探测器、手动报警按钮、声光警报器及消防电话分机，火灾报警信号接入仪控间火灾报警控制器。在各配电室内设置感烟火灾探测器、手动报警按钮及声光警报器，变压器室及电缆沟内设置缆式线型感温探测器，火灾报警信号接入仪控间火灾报警控制器。在压缩机房设置隔爆型火焰探测器、隔爆型手动报警按钮及隔爆型声光报警器。</w:t>
      </w:r>
    </w:p>
    <w:p w14:paraId="6D853461">
      <w:pPr>
        <w:pStyle w:val="117"/>
        <w:adjustRightInd w:val="0"/>
        <w:snapToGrid w:val="0"/>
        <w:ind w:firstLine="480"/>
        <w:rPr>
          <w:rFonts w:hint="eastAsia" w:cs="宋体"/>
          <w:color w:val="000000" w:themeColor="text1"/>
          <w:kern w:val="0"/>
          <w14:textFill>
            <w14:solidFill>
              <w14:schemeClr w14:val="tx1"/>
            </w14:solidFill>
          </w14:textFill>
        </w:rPr>
      </w:pPr>
      <w:r>
        <w:rPr>
          <w:rFonts w:hint="eastAsia" w:cs="宋体"/>
          <w:color w:val="000000" w:themeColor="text1"/>
          <w:kern w:val="0"/>
          <w14:textFill>
            <w14:solidFill>
              <w14:schemeClr w14:val="tx1"/>
            </w14:solidFill>
          </w14:textFill>
        </w:rPr>
        <w:t>⑤消防</w:t>
      </w:r>
    </w:p>
    <w:p w14:paraId="2A37511F">
      <w:pPr>
        <w:pStyle w:val="117"/>
        <w:snapToGrid w:val="0"/>
        <w:ind w:firstLine="480"/>
        <w:rPr>
          <w:rFonts w:hint="eastAsia" w:cs="宋体"/>
          <w:color w:val="000000" w:themeColor="text1"/>
          <w:kern w:val="0"/>
          <w14:textFill>
            <w14:solidFill>
              <w14:schemeClr w14:val="tx1"/>
            </w14:solidFill>
          </w14:textFill>
        </w:rPr>
      </w:pPr>
      <w:r>
        <w:rPr>
          <w:rFonts w:hint="eastAsia" w:cs="宋体"/>
          <w:color w:val="000000" w:themeColor="text1"/>
          <w:kern w:val="0"/>
          <w14:textFill>
            <w14:solidFill>
              <w14:schemeClr w14:val="tx1"/>
            </w14:solidFill>
          </w14:textFill>
        </w:rPr>
        <w:t>预处理注入站属于五级站场，站场不设置消防给水设施，配备18具</w:t>
      </w:r>
      <w:r>
        <w:rPr>
          <w:rFonts w:cs="宋体"/>
          <w:color w:val="000000" w:themeColor="text1"/>
          <w:kern w:val="0"/>
          <w14:textFill>
            <w14:solidFill>
              <w14:schemeClr w14:val="tx1"/>
            </w14:solidFill>
          </w14:textFill>
        </w:rPr>
        <w:t>MF/ABCE8P</w:t>
      </w:r>
      <w:r>
        <w:rPr>
          <w:rFonts w:hint="eastAsia" w:cs="宋体"/>
          <w:color w:val="000000" w:themeColor="text1"/>
          <w:kern w:val="0"/>
          <w14:textFill>
            <w14:solidFill>
              <w14:schemeClr w14:val="tx1"/>
            </w14:solidFill>
          </w14:textFill>
        </w:rPr>
        <w:t>手提式磷酸铵盐干粉灭火器、2具</w:t>
      </w:r>
      <w:r>
        <w:rPr>
          <w:rFonts w:cs="宋体"/>
          <w:color w:val="000000" w:themeColor="text1"/>
          <w:kern w:val="0"/>
          <w14:textFill>
            <w14:solidFill>
              <w14:schemeClr w14:val="tx1"/>
            </w14:solidFill>
          </w14:textFill>
        </w:rPr>
        <w:t>MT/BE7</w:t>
      </w:r>
      <w:r>
        <w:rPr>
          <w:rFonts w:hint="eastAsia" w:cs="宋体"/>
          <w:color w:val="000000" w:themeColor="text1"/>
          <w:kern w:val="0"/>
          <w14:textFill>
            <w14:solidFill>
              <w14:schemeClr w14:val="tx1"/>
            </w14:solidFill>
          </w14:textFill>
        </w:rPr>
        <w:t>手提式二氧化碳灭火器和1套消防工具架。</w:t>
      </w:r>
    </w:p>
    <w:p w14:paraId="272FCAAF">
      <w:pPr>
        <w:pStyle w:val="117"/>
        <w:adjustRightInd w:val="0"/>
        <w:snapToGrid w:val="0"/>
        <w:ind w:firstLine="480"/>
        <w:rPr>
          <w:rFonts w:hint="eastAsia" w:cs="宋体"/>
          <w:color w:val="000000" w:themeColor="text1"/>
          <w:kern w:val="0"/>
          <w14:textFill>
            <w14:solidFill>
              <w14:schemeClr w14:val="tx1"/>
            </w14:solidFill>
          </w14:textFill>
        </w:rPr>
      </w:pPr>
      <w:r>
        <w:rPr>
          <w:rFonts w:hint="eastAsia" w:cs="宋体"/>
          <w:color w:val="000000" w:themeColor="text1"/>
          <w:kern w:val="0"/>
          <w14:textFill>
            <w14:solidFill>
              <w14:schemeClr w14:val="tx1"/>
            </w14:solidFill>
          </w14:textFill>
        </w:rPr>
        <w:t>⑥供热及采暖</w:t>
      </w:r>
    </w:p>
    <w:p w14:paraId="6F7F6CCB">
      <w:pPr>
        <w:pStyle w:val="117"/>
        <w:adjustRightInd w:val="0"/>
        <w:snapToGrid w:val="0"/>
        <w:ind w:firstLine="480"/>
        <w:rPr>
          <w:rFonts w:hint="eastAsia" w:cs="宋体"/>
          <w:color w:val="000000" w:themeColor="text1"/>
          <w:kern w:val="0"/>
          <w14:textFill>
            <w14:solidFill>
              <w14:schemeClr w14:val="tx1"/>
            </w14:solidFill>
          </w14:textFill>
        </w:rPr>
      </w:pPr>
      <w:r>
        <w:rPr>
          <w:rFonts w:hint="eastAsia" w:cs="宋体"/>
          <w:color w:val="000000" w:themeColor="text1"/>
          <w:kern w:val="0"/>
          <w14:textFill>
            <w14:solidFill>
              <w14:schemeClr w14:val="tx1"/>
            </w14:solidFill>
          </w14:textFill>
        </w:rPr>
        <w:t>供暖建筑为</w:t>
      </w:r>
      <w:r>
        <w:rPr>
          <w:rFonts w:cs="宋体"/>
          <w:color w:val="000000" w:themeColor="text1"/>
          <w:kern w:val="0"/>
          <w14:textFill>
            <w14:solidFill>
              <w14:schemeClr w14:val="tx1"/>
            </w14:solidFill>
          </w14:textFill>
        </w:rPr>
        <w:t>值班室</w:t>
      </w:r>
      <w:r>
        <w:rPr>
          <w:rFonts w:hint="eastAsia" w:cs="宋体"/>
          <w:color w:val="000000" w:themeColor="text1"/>
          <w:kern w:val="0"/>
          <w14:textFill>
            <w14:solidFill>
              <w14:schemeClr w14:val="tx1"/>
            </w14:solidFill>
          </w14:textFill>
        </w:rPr>
        <w:t>、仪柜间、变频器室，</w:t>
      </w:r>
      <w:r>
        <w:rPr>
          <w:rFonts w:cs="宋体"/>
          <w:color w:val="000000" w:themeColor="text1"/>
          <w:kern w:val="0"/>
          <w14:textFill>
            <w14:solidFill>
              <w14:schemeClr w14:val="tx1"/>
            </w14:solidFill>
          </w14:textFill>
        </w:rPr>
        <w:t>供暖热负荷</w:t>
      </w:r>
      <w:r>
        <w:rPr>
          <w:rFonts w:hint="eastAsia" w:cs="宋体"/>
          <w:color w:val="000000" w:themeColor="text1"/>
          <w:kern w:val="0"/>
          <w14:textFill>
            <w14:solidFill>
              <w14:schemeClr w14:val="tx1"/>
            </w14:solidFill>
          </w14:textFill>
        </w:rPr>
        <w:t>19.3</w:t>
      </w:r>
      <w:r>
        <w:rPr>
          <w:rFonts w:cs="宋体"/>
          <w:color w:val="000000" w:themeColor="text1"/>
          <w:kern w:val="0"/>
          <w14:textFill>
            <w14:solidFill>
              <w14:schemeClr w14:val="tx1"/>
            </w14:solidFill>
          </w14:textFill>
        </w:rPr>
        <w:t>kW，</w:t>
      </w:r>
      <w:r>
        <w:rPr>
          <w:rFonts w:hint="eastAsia" w:cs="宋体"/>
          <w:color w:val="000000" w:themeColor="text1"/>
          <w:kern w:val="0"/>
          <w14:textFill>
            <w14:solidFill>
              <w14:schemeClr w14:val="tx1"/>
            </w14:solidFill>
          </w14:textFill>
        </w:rPr>
        <w:t>周围无可依托的供热热源，本次采用电采暖。</w:t>
      </w:r>
    </w:p>
    <w:p w14:paraId="067DA40E">
      <w:pPr>
        <w:pStyle w:val="117"/>
        <w:adjustRightInd w:val="0"/>
        <w:snapToGrid w:val="0"/>
        <w:ind w:firstLine="480"/>
        <w:rPr>
          <w:rFonts w:hint="eastAsia" w:cs="宋体"/>
          <w:color w:val="000000" w:themeColor="text1"/>
          <w:kern w:val="0"/>
          <w14:textFill>
            <w14:solidFill>
              <w14:schemeClr w14:val="tx1"/>
            </w14:solidFill>
          </w14:textFill>
        </w:rPr>
      </w:pPr>
      <w:r>
        <w:rPr>
          <w:rFonts w:hint="eastAsia" w:cs="宋体"/>
          <w:color w:val="000000" w:themeColor="text1"/>
          <w:kern w:val="0"/>
          <w14:textFill>
            <w14:solidFill>
              <w14:schemeClr w14:val="tx1"/>
            </w14:solidFill>
          </w14:textFill>
        </w:rPr>
        <w:t>⑦防腐</w:t>
      </w:r>
    </w:p>
    <w:p w14:paraId="1D0B6DC0">
      <w:pPr>
        <w:pStyle w:val="117"/>
        <w:snapToGrid w:val="0"/>
        <w:ind w:firstLine="480"/>
        <w:rPr>
          <w:rFonts w:hint="eastAsia" w:cs="宋体"/>
          <w:color w:val="000000" w:themeColor="text1"/>
          <w:kern w:val="0"/>
          <w14:textFill>
            <w14:solidFill>
              <w14:schemeClr w14:val="tx1"/>
            </w14:solidFill>
          </w14:textFill>
        </w:rPr>
      </w:pPr>
      <w:r>
        <w:rPr>
          <w:rFonts w:hint="eastAsia" w:cs="宋体"/>
          <w:color w:val="000000" w:themeColor="text1"/>
          <w:kern w:val="0"/>
          <w14:textFill>
            <w14:solidFill>
              <w14:schemeClr w14:val="tx1"/>
            </w14:solidFill>
          </w14:textFill>
        </w:rPr>
        <w:t>集油区：埋地无缝钢管外壁：防腐层采用熔结环氧粉末一次成膜结构，防腐层厚度≥</w:t>
      </w:r>
      <w:r>
        <w:rPr>
          <w:rFonts w:cs="宋体"/>
          <w:color w:val="000000" w:themeColor="text1"/>
          <w:kern w:val="0"/>
          <w14:textFill>
            <w14:solidFill>
              <w14:schemeClr w14:val="tx1"/>
            </w14:solidFill>
          </w14:textFill>
        </w:rPr>
        <w:t>300</w:t>
      </w:r>
      <w:r>
        <w:rPr>
          <w:rFonts w:hint="eastAsia" w:cs="宋体"/>
          <w:color w:val="000000" w:themeColor="text1"/>
          <w:kern w:val="0"/>
          <w14:textFill>
            <w14:solidFill>
              <w14:schemeClr w14:val="tx1"/>
            </w14:solidFill>
          </w14:textFill>
        </w:rPr>
        <w:t>μ</w:t>
      </w:r>
      <w:r>
        <w:rPr>
          <w:rFonts w:cs="宋体"/>
          <w:color w:val="000000" w:themeColor="text1"/>
          <w:kern w:val="0"/>
          <w14:textFill>
            <w14:solidFill>
              <w14:schemeClr w14:val="tx1"/>
            </w14:solidFill>
          </w14:textFill>
        </w:rPr>
        <w:t>m</w:t>
      </w:r>
      <w:r>
        <w:rPr>
          <w:rFonts w:hint="eastAsia" w:cs="宋体"/>
          <w:color w:val="000000" w:themeColor="text1"/>
          <w:kern w:val="0"/>
          <w14:textFill>
            <w14:solidFill>
              <w14:schemeClr w14:val="tx1"/>
            </w14:solidFill>
          </w14:textFill>
        </w:rPr>
        <w:t>；保温层采用聚氨酯泡沫塑料，厚度≥</w:t>
      </w:r>
      <w:r>
        <w:rPr>
          <w:rFonts w:cs="宋体"/>
          <w:color w:val="000000" w:themeColor="text1"/>
          <w:kern w:val="0"/>
          <w14:textFill>
            <w14:solidFill>
              <w14:schemeClr w14:val="tx1"/>
            </w14:solidFill>
          </w14:textFill>
        </w:rPr>
        <w:t>30mm</w:t>
      </w:r>
      <w:r>
        <w:rPr>
          <w:rFonts w:hint="eastAsia" w:cs="宋体"/>
          <w:color w:val="000000" w:themeColor="text1"/>
          <w:kern w:val="0"/>
          <w14:textFill>
            <w14:solidFill>
              <w14:schemeClr w14:val="tx1"/>
            </w14:solidFill>
          </w14:textFill>
        </w:rPr>
        <w:t>，保温管轴向偏心量±</w:t>
      </w:r>
      <w:r>
        <w:rPr>
          <w:rFonts w:cs="宋体"/>
          <w:color w:val="000000" w:themeColor="text1"/>
          <w:kern w:val="0"/>
          <w14:textFill>
            <w14:solidFill>
              <w14:schemeClr w14:val="tx1"/>
            </w14:solidFill>
          </w14:textFill>
        </w:rPr>
        <w:t>3mm</w:t>
      </w:r>
      <w:r>
        <w:rPr>
          <w:rFonts w:hint="eastAsia" w:cs="宋体"/>
          <w:color w:val="000000" w:themeColor="text1"/>
          <w:kern w:val="0"/>
          <w14:textFill>
            <w14:solidFill>
              <w14:schemeClr w14:val="tx1"/>
            </w14:solidFill>
          </w14:textFill>
        </w:rPr>
        <w:t>；防护层采用聚乙烯专用料，厚度≥</w:t>
      </w:r>
      <w:r>
        <w:rPr>
          <w:rFonts w:cs="宋体"/>
          <w:color w:val="000000" w:themeColor="text1"/>
          <w:kern w:val="0"/>
          <w14:textFill>
            <w14:solidFill>
              <w14:schemeClr w14:val="tx1"/>
            </w14:solidFill>
          </w14:textFill>
        </w:rPr>
        <w:t>1.4mm</w:t>
      </w:r>
      <w:r>
        <w:rPr>
          <w:rFonts w:hint="eastAsia" w:cs="宋体"/>
          <w:color w:val="000000" w:themeColor="text1"/>
          <w:kern w:val="0"/>
          <w14:textFill>
            <w14:solidFill>
              <w14:schemeClr w14:val="tx1"/>
            </w14:solidFill>
          </w14:textFill>
        </w:rPr>
        <w:t>。采用“一步法”成型工艺。补口防腐层采用无溶剂环氧涂料和辐射交联聚乙烯热缩补口带，保温层材料同管体，外防护层采用补口套。集油区埋地无缝钢管保温管单根预制合格后，端面必须加防水帽密封防水，然后方可出厂。钢接头外壁防腐：弹性聚氨酯防腐漆一道底漆</w:t>
      </w:r>
      <w:r>
        <w:rPr>
          <w:rFonts w:cs="宋体"/>
          <w:color w:val="000000" w:themeColor="text1"/>
          <w:kern w:val="0"/>
          <w14:textFill>
            <w14:solidFill>
              <w14:schemeClr w14:val="tx1"/>
            </w14:solidFill>
          </w14:textFill>
        </w:rPr>
        <w:t>-</w:t>
      </w:r>
      <w:r>
        <w:rPr>
          <w:rFonts w:hint="eastAsia" w:cs="宋体"/>
          <w:color w:val="000000" w:themeColor="text1"/>
          <w:kern w:val="0"/>
          <w14:textFill>
            <w14:solidFill>
              <w14:schemeClr w14:val="tx1"/>
            </w14:solidFill>
          </w14:textFill>
        </w:rPr>
        <w:t>二道面漆，防腐层干膜厚度≥</w:t>
      </w:r>
      <w:r>
        <w:rPr>
          <w:rFonts w:cs="宋体"/>
          <w:color w:val="000000" w:themeColor="text1"/>
          <w:kern w:val="0"/>
          <w14:textFill>
            <w14:solidFill>
              <w14:schemeClr w14:val="tx1"/>
            </w14:solidFill>
          </w14:textFill>
        </w:rPr>
        <w:t>0.20mm</w:t>
      </w:r>
      <w:r>
        <w:rPr>
          <w:rFonts w:hint="eastAsia" w:cs="宋体"/>
          <w:color w:val="000000" w:themeColor="text1"/>
          <w:kern w:val="0"/>
          <w14:textFill>
            <w14:solidFill>
              <w14:schemeClr w14:val="tx1"/>
            </w14:solidFill>
          </w14:textFill>
        </w:rPr>
        <w:t>。柔性复合管保温层补口采用</w:t>
      </w:r>
      <w:r>
        <w:rPr>
          <w:rFonts w:cs="宋体"/>
          <w:color w:val="000000" w:themeColor="text1"/>
          <w:kern w:val="0"/>
          <w14:textFill>
            <w14:solidFill>
              <w14:schemeClr w14:val="tx1"/>
            </w14:solidFill>
          </w14:textFill>
        </w:rPr>
        <w:t>30mm</w:t>
      </w:r>
      <w:r>
        <w:rPr>
          <w:rFonts w:hint="eastAsia" w:cs="宋体"/>
          <w:color w:val="000000" w:themeColor="text1"/>
          <w:kern w:val="0"/>
          <w14:textFill>
            <w14:solidFill>
              <w14:schemeClr w14:val="tx1"/>
            </w14:solidFill>
          </w14:textFill>
        </w:rPr>
        <w:t>厚憎水型复合硅酸盐毡。保温层外缠弹性聚氨酯漆及玻璃布做防护层，防护层结构为：一层玻璃布～二道聚氨酯涂料面漆～一层玻璃布～二道聚氨酯涂料面漆，防护层干膜厚度≥</w:t>
      </w:r>
      <w:r>
        <w:rPr>
          <w:rFonts w:cs="宋体"/>
          <w:color w:val="000000" w:themeColor="text1"/>
          <w:kern w:val="0"/>
          <w14:textFill>
            <w14:solidFill>
              <w14:schemeClr w14:val="tx1"/>
            </w14:solidFill>
          </w14:textFill>
        </w:rPr>
        <w:t>0.4mm</w:t>
      </w:r>
      <w:r>
        <w:rPr>
          <w:rFonts w:hint="eastAsia" w:cs="宋体"/>
          <w:color w:val="000000" w:themeColor="text1"/>
          <w:kern w:val="0"/>
          <w14:textFill>
            <w14:solidFill>
              <w14:schemeClr w14:val="tx1"/>
            </w14:solidFill>
          </w14:textFill>
        </w:rPr>
        <w:t>。</w:t>
      </w:r>
    </w:p>
    <w:p w14:paraId="5A7E2F39">
      <w:pPr>
        <w:pStyle w:val="117"/>
        <w:snapToGrid w:val="0"/>
        <w:ind w:firstLine="480"/>
        <w:rPr>
          <w:rFonts w:hint="eastAsia" w:cs="宋体"/>
          <w:color w:val="000000" w:themeColor="text1"/>
          <w:kern w:val="0"/>
          <w14:textFill>
            <w14:solidFill>
              <w14:schemeClr w14:val="tx1"/>
            </w14:solidFill>
          </w14:textFill>
        </w:rPr>
      </w:pPr>
      <w:r>
        <w:rPr>
          <w:rFonts w:hint="eastAsia" w:cs="宋体"/>
          <w:color w:val="000000" w:themeColor="text1"/>
          <w:kern w:val="0"/>
          <w14:textFill>
            <w14:solidFill>
              <w14:schemeClr w14:val="tx1"/>
            </w14:solidFill>
          </w14:textFill>
        </w:rPr>
        <w:t>其余埋地保温管道外壁：保温层采用聚氨酯泡沫塑料，厚度为</w:t>
      </w:r>
      <w:r>
        <w:rPr>
          <w:rFonts w:cs="宋体"/>
          <w:color w:val="000000" w:themeColor="text1"/>
          <w:kern w:val="0"/>
          <w14:textFill>
            <w14:solidFill>
              <w14:schemeClr w14:val="tx1"/>
            </w14:solidFill>
          </w14:textFill>
        </w:rPr>
        <w:t>30mm</w:t>
      </w:r>
      <w:r>
        <w:rPr>
          <w:rFonts w:hint="eastAsia" w:cs="宋体"/>
          <w:color w:val="000000" w:themeColor="text1"/>
          <w:kern w:val="0"/>
          <w14:textFill>
            <w14:solidFill>
              <w14:schemeClr w14:val="tx1"/>
            </w14:solidFill>
          </w14:textFill>
        </w:rPr>
        <w:t>，保温管轴向偏心量±</w:t>
      </w:r>
      <w:r>
        <w:rPr>
          <w:rFonts w:cs="宋体"/>
          <w:color w:val="000000" w:themeColor="text1"/>
          <w:kern w:val="0"/>
          <w14:textFill>
            <w14:solidFill>
              <w14:schemeClr w14:val="tx1"/>
            </w14:solidFill>
          </w14:textFill>
        </w:rPr>
        <w:t>3mm</w:t>
      </w:r>
      <w:r>
        <w:rPr>
          <w:rFonts w:hint="eastAsia" w:cs="宋体"/>
          <w:color w:val="000000" w:themeColor="text1"/>
          <w:kern w:val="0"/>
          <w14:textFill>
            <w14:solidFill>
              <w14:schemeClr w14:val="tx1"/>
            </w14:solidFill>
          </w14:textFill>
        </w:rPr>
        <w:t>；防护层采用聚乙烯专用料，厚度≥</w:t>
      </w:r>
      <w:r>
        <w:rPr>
          <w:rFonts w:cs="宋体"/>
          <w:color w:val="000000" w:themeColor="text1"/>
          <w:kern w:val="0"/>
          <w14:textFill>
            <w14:solidFill>
              <w14:schemeClr w14:val="tx1"/>
            </w14:solidFill>
          </w14:textFill>
        </w:rPr>
        <w:t>3mm</w:t>
      </w:r>
      <w:r>
        <w:rPr>
          <w:rFonts w:hint="eastAsia" w:cs="宋体"/>
          <w:color w:val="000000" w:themeColor="text1"/>
          <w:kern w:val="0"/>
          <w14:textFill>
            <w14:solidFill>
              <w14:schemeClr w14:val="tx1"/>
            </w14:solidFill>
          </w14:textFill>
        </w:rPr>
        <w:t>。采用“管中管”施工工艺。保温层材料及结构同管体，外防护层采用聚乙烯补口套。其余埋地保温管道保温管端面：弹性聚氨酯防腐漆一道底漆</w:t>
      </w:r>
      <w:r>
        <w:rPr>
          <w:rFonts w:cs="宋体"/>
          <w:color w:val="000000" w:themeColor="text1"/>
          <w:kern w:val="0"/>
          <w14:textFill>
            <w14:solidFill>
              <w14:schemeClr w14:val="tx1"/>
            </w14:solidFill>
          </w14:textFill>
        </w:rPr>
        <w:t>-</w:t>
      </w:r>
      <w:r>
        <w:rPr>
          <w:rFonts w:hint="eastAsia" w:cs="宋体"/>
          <w:color w:val="000000" w:themeColor="text1"/>
          <w:kern w:val="0"/>
          <w14:textFill>
            <w14:solidFill>
              <w14:schemeClr w14:val="tx1"/>
            </w14:solidFill>
          </w14:textFill>
        </w:rPr>
        <w:t>二道面漆，防腐层干膜厚度≥</w:t>
      </w:r>
      <w:r>
        <w:rPr>
          <w:rFonts w:cs="宋体"/>
          <w:color w:val="000000" w:themeColor="text1"/>
          <w:kern w:val="0"/>
          <w14:textFill>
            <w14:solidFill>
              <w14:schemeClr w14:val="tx1"/>
            </w14:solidFill>
          </w14:textFill>
        </w:rPr>
        <w:t>0.2mm</w:t>
      </w:r>
      <w:r>
        <w:rPr>
          <w:rFonts w:hint="eastAsia" w:cs="宋体"/>
          <w:color w:val="000000" w:themeColor="text1"/>
          <w:kern w:val="0"/>
          <w14:textFill>
            <w14:solidFill>
              <w14:schemeClr w14:val="tx1"/>
            </w14:solidFill>
          </w14:textFill>
        </w:rPr>
        <w:t>。地面保温碳钢管道外壁防腐层：采用无溶剂环氧防腐涂料，喷涂二道，防腐层干膜厚度≥</w:t>
      </w:r>
      <w:r>
        <w:rPr>
          <w:rFonts w:cs="宋体"/>
          <w:color w:val="000000" w:themeColor="text1"/>
          <w:kern w:val="0"/>
          <w14:textFill>
            <w14:solidFill>
              <w14:schemeClr w14:val="tx1"/>
            </w14:solidFill>
          </w14:textFill>
        </w:rPr>
        <w:t>300</w:t>
      </w:r>
      <w:r>
        <w:rPr>
          <w:rFonts w:hint="eastAsia" w:cs="宋体"/>
          <w:color w:val="000000" w:themeColor="text1"/>
          <w:kern w:val="0"/>
          <w14:textFill>
            <w14:solidFill>
              <w14:schemeClr w14:val="tx1"/>
            </w14:solidFill>
          </w14:textFill>
        </w:rPr>
        <w:t>μ</w:t>
      </w:r>
      <w:r>
        <w:rPr>
          <w:rFonts w:cs="宋体"/>
          <w:color w:val="000000" w:themeColor="text1"/>
          <w:kern w:val="0"/>
          <w14:textFill>
            <w14:solidFill>
              <w14:schemeClr w14:val="tx1"/>
            </w14:solidFill>
          </w14:textFill>
        </w:rPr>
        <w:t>m</w:t>
      </w:r>
      <w:r>
        <w:rPr>
          <w:rFonts w:hint="eastAsia" w:cs="宋体"/>
          <w:color w:val="000000" w:themeColor="text1"/>
          <w:kern w:val="0"/>
          <w14:textFill>
            <w14:solidFill>
              <w14:schemeClr w14:val="tx1"/>
            </w14:solidFill>
          </w14:textFill>
        </w:rPr>
        <w:t>。管道防腐层补口结构同管体。碳钢表面采用喷砂除锈方式，除锈后的表面应达到</w:t>
      </w:r>
      <w:r>
        <w:rPr>
          <w:rFonts w:cs="宋体"/>
          <w:color w:val="000000" w:themeColor="text1"/>
          <w:kern w:val="0"/>
          <w14:textFill>
            <w14:solidFill>
              <w14:schemeClr w14:val="tx1"/>
            </w14:solidFill>
          </w14:textFill>
        </w:rPr>
        <w:t>GB/T8923.1</w:t>
      </w:r>
      <w:r>
        <w:rPr>
          <w:rFonts w:hint="eastAsia" w:cs="宋体"/>
          <w:color w:val="000000" w:themeColor="text1"/>
          <w:kern w:val="0"/>
          <w14:textFill>
            <w14:solidFill>
              <w14:schemeClr w14:val="tx1"/>
            </w14:solidFill>
          </w14:textFill>
        </w:rPr>
        <w:t>中</w:t>
      </w:r>
      <w:r>
        <w:rPr>
          <w:rFonts w:cs="宋体"/>
          <w:color w:val="000000" w:themeColor="text1"/>
          <w:kern w:val="0"/>
          <w14:textFill>
            <w14:solidFill>
              <w14:schemeClr w14:val="tx1"/>
            </w14:solidFill>
          </w14:textFill>
        </w:rPr>
        <w:t>Sa2.5</w:t>
      </w:r>
      <w:r>
        <w:rPr>
          <w:rFonts w:hint="eastAsia" w:cs="宋体"/>
          <w:color w:val="000000" w:themeColor="text1"/>
          <w:kern w:val="0"/>
          <w14:textFill>
            <w14:solidFill>
              <w14:schemeClr w14:val="tx1"/>
            </w14:solidFill>
          </w14:textFill>
        </w:rPr>
        <w:t>级，喷砂除锈的金属表面粗糙度宜在</w:t>
      </w:r>
      <w:r>
        <w:rPr>
          <w:rFonts w:cs="宋体"/>
          <w:color w:val="000000" w:themeColor="text1"/>
          <w:kern w:val="0"/>
          <w14:textFill>
            <w14:solidFill>
              <w14:schemeClr w14:val="tx1"/>
            </w14:solidFill>
          </w14:textFill>
        </w:rPr>
        <w:t>40</w:t>
      </w:r>
      <w:r>
        <w:rPr>
          <w:rFonts w:hint="eastAsia" w:cs="宋体"/>
          <w:color w:val="000000" w:themeColor="text1"/>
          <w:kern w:val="0"/>
          <w14:textFill>
            <w14:solidFill>
              <w14:schemeClr w14:val="tx1"/>
            </w14:solidFill>
          </w14:textFill>
        </w:rPr>
        <w:t>～</w:t>
      </w:r>
      <w:r>
        <w:rPr>
          <w:rFonts w:cs="宋体"/>
          <w:color w:val="000000" w:themeColor="text1"/>
          <w:kern w:val="0"/>
          <w14:textFill>
            <w14:solidFill>
              <w14:schemeClr w14:val="tx1"/>
            </w14:solidFill>
          </w14:textFill>
        </w:rPr>
        <w:t>75</w:t>
      </w:r>
      <w:r>
        <w:rPr>
          <w:rFonts w:hint="eastAsia" w:cs="宋体"/>
          <w:color w:val="000000" w:themeColor="text1"/>
          <w:kern w:val="0"/>
          <w14:textFill>
            <w14:solidFill>
              <w14:schemeClr w14:val="tx1"/>
            </w14:solidFill>
          </w14:textFill>
        </w:rPr>
        <w:t>μ</w:t>
      </w:r>
      <w:r>
        <w:rPr>
          <w:rFonts w:cs="宋体"/>
          <w:color w:val="000000" w:themeColor="text1"/>
          <w:kern w:val="0"/>
          <w14:textFill>
            <w14:solidFill>
              <w14:schemeClr w14:val="tx1"/>
            </w14:solidFill>
          </w14:textFill>
        </w:rPr>
        <w:t>m</w:t>
      </w:r>
      <w:r>
        <w:rPr>
          <w:rFonts w:hint="eastAsia" w:cs="宋体"/>
          <w:color w:val="000000" w:themeColor="text1"/>
          <w:kern w:val="0"/>
          <w14:textFill>
            <w14:solidFill>
              <w14:schemeClr w14:val="tx1"/>
            </w14:solidFill>
          </w14:textFill>
        </w:rPr>
        <w:t>。钢接头外壁采用机械除锈，除锈等级不低于</w:t>
      </w:r>
      <w:r>
        <w:rPr>
          <w:rFonts w:cs="宋体"/>
          <w:color w:val="000000" w:themeColor="text1"/>
          <w:kern w:val="0"/>
          <w14:textFill>
            <w14:solidFill>
              <w14:schemeClr w14:val="tx1"/>
            </w14:solidFill>
          </w14:textFill>
        </w:rPr>
        <w:t>St3</w:t>
      </w:r>
      <w:r>
        <w:rPr>
          <w:rFonts w:hint="eastAsia" w:cs="宋体"/>
          <w:color w:val="000000" w:themeColor="text1"/>
          <w:kern w:val="0"/>
          <w14:textFill>
            <w14:solidFill>
              <w14:schemeClr w14:val="tx1"/>
            </w14:solidFill>
          </w14:textFill>
        </w:rPr>
        <w:t>级</w:t>
      </w:r>
    </w:p>
    <w:p w14:paraId="35E67AB2">
      <w:pPr>
        <w:pStyle w:val="117"/>
        <w:adjustRightInd w:val="0"/>
        <w:snapToGrid w:val="0"/>
        <w:ind w:firstLine="480"/>
        <w:rPr>
          <w:rFonts w:hint="eastAsia" w:cs="宋体"/>
          <w:color w:val="000000" w:themeColor="text1"/>
          <w:kern w:val="0"/>
          <w14:textFill>
            <w14:solidFill>
              <w14:schemeClr w14:val="tx1"/>
            </w14:solidFill>
          </w14:textFill>
        </w:rPr>
      </w:pPr>
      <w:r>
        <w:rPr>
          <w:rFonts w:hint="eastAsia" w:cs="宋体"/>
          <w:color w:val="000000" w:themeColor="text1"/>
          <w:kern w:val="0"/>
          <w14:textFill>
            <w14:solidFill>
              <w14:schemeClr w14:val="tx1"/>
            </w14:solidFill>
          </w14:textFill>
        </w:rPr>
        <w:t>预处理注入站：保温碳钢管道外壁防腐层：采用无溶剂环氧防腐涂料，喷涂二道，防腐层干膜厚度≥</w:t>
      </w:r>
      <w:r>
        <w:rPr>
          <w:rFonts w:cs="宋体"/>
          <w:color w:val="000000" w:themeColor="text1"/>
          <w:kern w:val="0"/>
          <w14:textFill>
            <w14:solidFill>
              <w14:schemeClr w14:val="tx1"/>
            </w14:solidFill>
          </w14:textFill>
        </w:rPr>
        <w:t>300</w:t>
      </w:r>
      <w:r>
        <w:rPr>
          <w:rFonts w:hint="eastAsia" w:cs="宋体"/>
          <w:color w:val="000000" w:themeColor="text1"/>
          <w:kern w:val="0"/>
          <w14:textFill>
            <w14:solidFill>
              <w14:schemeClr w14:val="tx1"/>
            </w14:solidFill>
          </w14:textFill>
        </w:rPr>
        <w:t>μ</w:t>
      </w:r>
      <w:r>
        <w:rPr>
          <w:rFonts w:cs="宋体"/>
          <w:color w:val="000000" w:themeColor="text1"/>
          <w:kern w:val="0"/>
          <w14:textFill>
            <w14:solidFill>
              <w14:schemeClr w14:val="tx1"/>
            </w14:solidFill>
          </w14:textFill>
        </w:rPr>
        <w:t>m</w:t>
      </w:r>
      <w:r>
        <w:rPr>
          <w:rFonts w:hint="eastAsia" w:cs="宋体"/>
          <w:color w:val="000000" w:themeColor="text1"/>
          <w:kern w:val="0"/>
          <w14:textFill>
            <w14:solidFill>
              <w14:schemeClr w14:val="tx1"/>
            </w14:solidFill>
          </w14:textFill>
        </w:rPr>
        <w:t>。管道防腐层补口结构同管体。埋地保温管道外壁：保温层采用聚氨酯泡沫塑料，厚度为</w:t>
      </w:r>
      <w:r>
        <w:rPr>
          <w:rFonts w:cs="宋体"/>
          <w:color w:val="000000" w:themeColor="text1"/>
          <w:kern w:val="0"/>
          <w14:textFill>
            <w14:solidFill>
              <w14:schemeClr w14:val="tx1"/>
            </w14:solidFill>
          </w14:textFill>
        </w:rPr>
        <w:t>30mm</w:t>
      </w:r>
      <w:r>
        <w:rPr>
          <w:rFonts w:hint="eastAsia" w:cs="宋体"/>
          <w:color w:val="000000" w:themeColor="text1"/>
          <w:kern w:val="0"/>
          <w14:textFill>
            <w14:solidFill>
              <w14:schemeClr w14:val="tx1"/>
            </w14:solidFill>
          </w14:textFill>
        </w:rPr>
        <w:t>，保温管轴向偏心量±</w:t>
      </w:r>
      <w:r>
        <w:rPr>
          <w:rFonts w:cs="宋体"/>
          <w:color w:val="000000" w:themeColor="text1"/>
          <w:kern w:val="0"/>
          <w14:textFill>
            <w14:solidFill>
              <w14:schemeClr w14:val="tx1"/>
            </w14:solidFill>
          </w14:textFill>
        </w:rPr>
        <w:t>3mm</w:t>
      </w:r>
      <w:r>
        <w:rPr>
          <w:rFonts w:hint="eastAsia" w:cs="宋体"/>
          <w:color w:val="000000" w:themeColor="text1"/>
          <w:kern w:val="0"/>
          <w14:textFill>
            <w14:solidFill>
              <w14:schemeClr w14:val="tx1"/>
            </w14:solidFill>
          </w14:textFill>
        </w:rPr>
        <w:t>；防护层采用聚乙烯专用料，厚度≥</w:t>
      </w:r>
      <w:r>
        <w:rPr>
          <w:rFonts w:cs="宋体"/>
          <w:color w:val="000000" w:themeColor="text1"/>
          <w:kern w:val="0"/>
          <w14:textFill>
            <w14:solidFill>
              <w14:schemeClr w14:val="tx1"/>
            </w14:solidFill>
          </w14:textFill>
        </w:rPr>
        <w:t>3mm</w:t>
      </w:r>
      <w:r>
        <w:rPr>
          <w:rFonts w:hint="eastAsia" w:cs="宋体"/>
          <w:color w:val="000000" w:themeColor="text1"/>
          <w:kern w:val="0"/>
          <w14:textFill>
            <w14:solidFill>
              <w14:schemeClr w14:val="tx1"/>
            </w14:solidFill>
          </w14:textFill>
        </w:rPr>
        <w:t>。采用“管中管”施工工艺。保温层材料及结构同管体，外防护层采用聚乙烯补口套。碳钢表面采用喷砂除锈方式，除锈后的表面应达到</w:t>
      </w:r>
      <w:r>
        <w:rPr>
          <w:rFonts w:cs="宋体"/>
          <w:color w:val="000000" w:themeColor="text1"/>
          <w:kern w:val="0"/>
          <w14:textFill>
            <w14:solidFill>
              <w14:schemeClr w14:val="tx1"/>
            </w14:solidFill>
          </w14:textFill>
        </w:rPr>
        <w:t>GB/T8923.1</w:t>
      </w:r>
      <w:r>
        <w:rPr>
          <w:rFonts w:hint="eastAsia" w:cs="宋体"/>
          <w:color w:val="000000" w:themeColor="text1"/>
          <w:kern w:val="0"/>
          <w14:textFill>
            <w14:solidFill>
              <w14:schemeClr w14:val="tx1"/>
            </w14:solidFill>
          </w14:textFill>
        </w:rPr>
        <w:t>中</w:t>
      </w:r>
      <w:r>
        <w:rPr>
          <w:rFonts w:cs="宋体"/>
          <w:color w:val="000000" w:themeColor="text1"/>
          <w:kern w:val="0"/>
          <w14:textFill>
            <w14:solidFill>
              <w14:schemeClr w14:val="tx1"/>
            </w14:solidFill>
          </w14:textFill>
        </w:rPr>
        <w:t>Sa2.5</w:t>
      </w:r>
      <w:r>
        <w:rPr>
          <w:rFonts w:hint="eastAsia" w:cs="宋体"/>
          <w:color w:val="000000" w:themeColor="text1"/>
          <w:kern w:val="0"/>
          <w14:textFill>
            <w14:solidFill>
              <w14:schemeClr w14:val="tx1"/>
            </w14:solidFill>
          </w14:textFill>
        </w:rPr>
        <w:t>级，喷砂除锈的金属表面粗糙度宜在</w:t>
      </w:r>
      <w:r>
        <w:rPr>
          <w:rFonts w:cs="宋体"/>
          <w:color w:val="000000" w:themeColor="text1"/>
          <w:kern w:val="0"/>
          <w14:textFill>
            <w14:solidFill>
              <w14:schemeClr w14:val="tx1"/>
            </w14:solidFill>
          </w14:textFill>
        </w:rPr>
        <w:t>40</w:t>
      </w:r>
      <w:r>
        <w:rPr>
          <w:rFonts w:hint="eastAsia" w:cs="宋体"/>
          <w:color w:val="000000" w:themeColor="text1"/>
          <w:kern w:val="0"/>
          <w14:textFill>
            <w14:solidFill>
              <w14:schemeClr w14:val="tx1"/>
            </w14:solidFill>
          </w14:textFill>
        </w:rPr>
        <w:t>～</w:t>
      </w:r>
      <w:r>
        <w:rPr>
          <w:rFonts w:cs="宋体"/>
          <w:color w:val="000000" w:themeColor="text1"/>
          <w:kern w:val="0"/>
          <w14:textFill>
            <w14:solidFill>
              <w14:schemeClr w14:val="tx1"/>
            </w14:solidFill>
          </w14:textFill>
        </w:rPr>
        <w:t>75</w:t>
      </w:r>
      <w:r>
        <w:rPr>
          <w:rFonts w:hint="eastAsia" w:cs="宋体"/>
          <w:color w:val="000000" w:themeColor="text1"/>
          <w:kern w:val="0"/>
          <w14:textFill>
            <w14:solidFill>
              <w14:schemeClr w14:val="tx1"/>
            </w14:solidFill>
          </w14:textFill>
        </w:rPr>
        <w:t>μ</w:t>
      </w:r>
      <w:r>
        <w:rPr>
          <w:rFonts w:cs="宋体"/>
          <w:color w:val="000000" w:themeColor="text1"/>
          <w:kern w:val="0"/>
          <w14:textFill>
            <w14:solidFill>
              <w14:schemeClr w14:val="tx1"/>
            </w14:solidFill>
          </w14:textFill>
        </w:rPr>
        <w:t>m</w:t>
      </w:r>
      <w:r>
        <w:rPr>
          <w:rFonts w:hint="eastAsia" w:cs="宋体"/>
          <w:color w:val="000000" w:themeColor="text1"/>
          <w:kern w:val="0"/>
          <w14:textFill>
            <w14:solidFill>
              <w14:schemeClr w14:val="tx1"/>
            </w14:solidFill>
          </w14:textFill>
        </w:rPr>
        <w:t>。</w:t>
      </w:r>
    </w:p>
    <w:bookmarkEnd w:id="261"/>
    <w:p w14:paraId="65FDC219">
      <w:pPr>
        <w:pStyle w:val="117"/>
        <w:adjustRightInd w:val="0"/>
        <w:snapToGrid w:val="0"/>
        <w:ind w:firstLine="480"/>
        <w:rPr>
          <w:rFonts w:hint="eastAsia" w:cs="宋体"/>
          <w:color w:val="000000" w:themeColor="text1"/>
          <w:kern w:val="0"/>
          <w14:textFill>
            <w14:solidFill>
              <w14:schemeClr w14:val="tx1"/>
            </w14:solidFill>
          </w14:textFill>
        </w:rPr>
      </w:pPr>
      <w:bookmarkStart w:id="268" w:name="_Hlk33456988"/>
      <w:bookmarkStart w:id="269" w:name="_Ref494273744"/>
      <w:r>
        <w:rPr>
          <w:rFonts w:hint="eastAsia" w:cs="宋体"/>
          <w:color w:val="000000" w:themeColor="text1"/>
          <w:kern w:val="0"/>
          <w14:textFill>
            <w14:solidFill>
              <w14:schemeClr w14:val="tx1"/>
            </w14:solidFill>
          </w14:textFill>
        </w:rPr>
        <w:t>（3）环保工程</w:t>
      </w:r>
    </w:p>
    <w:p w14:paraId="530C2534">
      <w:pPr>
        <w:pStyle w:val="117"/>
        <w:adjustRightInd w:val="0"/>
        <w:snapToGrid w:val="0"/>
        <w:ind w:firstLine="480"/>
        <w:rPr>
          <w:rFonts w:hint="eastAsia" w:cs="宋体"/>
          <w:color w:val="000000" w:themeColor="text1"/>
          <w:kern w:val="0"/>
          <w14:textFill>
            <w14:solidFill>
              <w14:schemeClr w14:val="tx1"/>
            </w14:solidFill>
          </w14:textFill>
        </w:rPr>
      </w:pPr>
      <w:r>
        <w:rPr>
          <w:rFonts w:hint="eastAsia" w:cs="宋体"/>
          <w:color w:val="000000" w:themeColor="text1"/>
          <w:kern w:val="0"/>
          <w14:textFill>
            <w14:solidFill>
              <w14:schemeClr w14:val="tx1"/>
            </w14:solidFill>
          </w14:textFill>
        </w:rPr>
        <w:t>环保工程主要为施工期材料及临时土方采用防尘布覆盖，逸散性材料运输采用苫布遮盖；运营期井口设置除硫加药装置；预处理站内转油泵、排污泵的基础减振，井下作业时各机泵设置的基础减振。井下作业时带罐作业；井场和预处理注入站的防渗措施以及井下作业过程中铺设的防渗材料；安装防喷器和井控装置，配备的消防器材。</w:t>
      </w:r>
    </w:p>
    <w:p w14:paraId="13FC19DB">
      <w:pPr>
        <w:pStyle w:val="117"/>
        <w:adjustRightInd w:val="0"/>
        <w:snapToGrid w:val="0"/>
        <w:ind w:firstLine="480"/>
        <w:rPr>
          <w:rFonts w:hint="eastAsia" w:cs="宋体"/>
          <w:color w:val="000000" w:themeColor="text1"/>
          <w:kern w:val="0"/>
          <w14:textFill>
            <w14:solidFill>
              <w14:schemeClr w14:val="tx1"/>
            </w14:solidFill>
          </w14:textFill>
        </w:rPr>
      </w:pPr>
      <w:bookmarkStart w:id="270" w:name="OLE_LINK146"/>
      <w:bookmarkStart w:id="271" w:name="_Hlk147581420"/>
      <w:r>
        <w:rPr>
          <w:rFonts w:hint="eastAsia" w:cs="宋体"/>
          <w:color w:val="000000" w:themeColor="text1"/>
          <w:kern w:val="0"/>
          <w14:textFill>
            <w14:solidFill>
              <w14:schemeClr w14:val="tx1"/>
            </w14:solidFill>
          </w14:textFill>
        </w:rPr>
        <w:t>（4）依托工程</w:t>
      </w:r>
    </w:p>
    <w:p w14:paraId="4978917E">
      <w:pPr>
        <w:pStyle w:val="117"/>
        <w:adjustRightInd w:val="0"/>
        <w:snapToGrid w:val="0"/>
        <w:ind w:firstLine="480"/>
        <w:rPr>
          <w:rFonts w:hint="eastAsia"/>
          <w:color w:val="000000" w:themeColor="text1"/>
          <w14:textFill>
            <w14:solidFill>
              <w14:schemeClr w14:val="tx1"/>
            </w14:solidFill>
          </w14:textFill>
        </w:rPr>
      </w:pPr>
      <w:r>
        <w:rPr>
          <w:rFonts w:hint="eastAsia" w:cs="宋体"/>
          <w:color w:val="000000" w:themeColor="text1"/>
          <w:kern w:val="0"/>
          <w14:textFill>
            <w14:solidFill>
              <w14:schemeClr w14:val="tx1"/>
            </w14:solidFill>
          </w14:textFill>
        </w:rPr>
        <w:t>原油转输依托1号混输泵站转输，处理依托页岩油联合站进行处理；净化油外输依托页岩油联合站内现有净化油外输系统；原油处理系统分离出的采出水、洗井废水和井下作业废液依托压裂返排液处理系统处理；废润滑油、废油桶、含油废抹布劳保用品和沾油废防渗材料贮存依托页岩油联合站在建危险废物暂存场</w:t>
      </w:r>
      <w:bookmarkEnd w:id="262"/>
      <w:r>
        <w:rPr>
          <w:rFonts w:hint="eastAsia" w:cs="宋体"/>
          <w:color w:val="000000" w:themeColor="text1"/>
          <w:kern w:val="0"/>
          <w14:textFill>
            <w14:solidFill>
              <w14:schemeClr w14:val="tx1"/>
            </w14:solidFill>
          </w14:textFill>
        </w:rPr>
        <w:t>，危险废物处置依托有相应危险废物处理资质的单位回收处置；生活污水依托吉木萨尔县污水处理厂处理，生活垃圾依托吉木萨尔县生活垃圾填埋场。</w:t>
      </w:r>
      <w:r>
        <w:rPr>
          <w:rFonts w:hint="eastAsia"/>
          <w:color w:val="000000" w:themeColor="text1"/>
          <w14:textFill>
            <w14:solidFill>
              <w14:schemeClr w14:val="tx1"/>
            </w14:solidFill>
          </w14:textFill>
        </w:rPr>
        <w:t>各依托工程环保手续见表3.2-11，依托可行性分析如下：</w:t>
      </w:r>
      <w:bookmarkStart w:id="272" w:name="_Ref160048321"/>
      <w:bookmarkStart w:id="273" w:name="OLE_LINK46"/>
    </w:p>
    <w:p w14:paraId="31726BB0">
      <w:pPr>
        <w:pStyle w:val="15"/>
        <w:rPr>
          <w:rFonts w:hint="eastAsia"/>
          <w:color w:val="000000" w:themeColor="text1"/>
          <w14:textFill>
            <w14:solidFill>
              <w14:schemeClr w14:val="tx1"/>
            </w14:solidFill>
          </w14:textFill>
        </w:rPr>
      </w:pPr>
      <w:r>
        <w:rPr>
          <w:color w:val="000000" w:themeColor="text1"/>
          <w14:textFill>
            <w14:solidFill>
              <w14:schemeClr w14:val="tx1"/>
            </w14:solidFill>
          </w14:textFill>
        </w:rPr>
        <w:t>表</w:t>
      </w:r>
      <w:bookmarkEnd w:id="272"/>
      <w:r>
        <w:rPr>
          <w:rFonts w:hint="eastAsia"/>
          <w:color w:val="000000" w:themeColor="text1"/>
          <w14:textFill>
            <w14:solidFill>
              <w14:schemeClr w14:val="tx1"/>
            </w14:solidFill>
          </w14:textFill>
        </w:rPr>
        <w:t>3.2-11</w:t>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项目依托工程环保手续履行情况一览表</w:t>
      </w:r>
    </w:p>
    <w:tbl>
      <w:tblPr>
        <w:tblStyle w:val="51"/>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147"/>
        <w:gridCol w:w="3157"/>
        <w:gridCol w:w="2871"/>
        <w:gridCol w:w="1663"/>
      </w:tblGrid>
      <w:tr w14:paraId="3930D18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49" w:type="pct"/>
            <w:vAlign w:val="center"/>
          </w:tcPr>
          <w:p w14:paraId="0D99FB68">
            <w:pPr>
              <w:pStyle w:val="278"/>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类别</w:t>
            </w:r>
          </w:p>
        </w:tc>
        <w:tc>
          <w:tcPr>
            <w:tcW w:w="1786" w:type="pct"/>
            <w:tcMar>
              <w:left w:w="0" w:type="dxa"/>
              <w:right w:w="0" w:type="dxa"/>
            </w:tcMar>
            <w:vAlign w:val="center"/>
          </w:tcPr>
          <w:p w14:paraId="674E8EA9">
            <w:pPr>
              <w:pStyle w:val="278"/>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环评文件名称</w:t>
            </w:r>
          </w:p>
        </w:tc>
        <w:tc>
          <w:tcPr>
            <w:tcW w:w="1624" w:type="pct"/>
            <w:tcMar>
              <w:left w:w="0" w:type="dxa"/>
              <w:right w:w="0" w:type="dxa"/>
            </w:tcMar>
            <w:vAlign w:val="center"/>
          </w:tcPr>
          <w:p w14:paraId="4BC3C6FB">
            <w:pPr>
              <w:pStyle w:val="278"/>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环评批复机关、文号及时间</w:t>
            </w:r>
          </w:p>
        </w:tc>
        <w:tc>
          <w:tcPr>
            <w:tcW w:w="941" w:type="pct"/>
            <w:tcMar>
              <w:left w:w="0" w:type="dxa"/>
              <w:right w:w="0" w:type="dxa"/>
            </w:tcMar>
            <w:vAlign w:val="center"/>
          </w:tcPr>
          <w:p w14:paraId="30B56001">
            <w:pPr>
              <w:pStyle w:val="278"/>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验收批复机关、文号及时间</w:t>
            </w:r>
          </w:p>
        </w:tc>
      </w:tr>
      <w:tr w14:paraId="162238B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49" w:type="pct"/>
            <w:vMerge w:val="restart"/>
            <w:vAlign w:val="center"/>
          </w:tcPr>
          <w:p w14:paraId="20E295EA">
            <w:pPr>
              <w:pStyle w:val="278"/>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原油、采出水、洗井废水和井下作业废液</w:t>
            </w:r>
          </w:p>
        </w:tc>
        <w:tc>
          <w:tcPr>
            <w:tcW w:w="1786" w:type="pct"/>
            <w:tcMar>
              <w:left w:w="0" w:type="dxa"/>
              <w:right w:w="0" w:type="dxa"/>
            </w:tcMar>
            <w:vAlign w:val="center"/>
          </w:tcPr>
          <w:p w14:paraId="2F9DE722">
            <w:pPr>
              <w:pStyle w:val="278"/>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吉木萨尔凹陷芦草沟组油藏吉305-吉17-吉37井区联合站建设工程重大变更环境影响报告表</w:t>
            </w:r>
          </w:p>
        </w:tc>
        <w:tc>
          <w:tcPr>
            <w:tcW w:w="1624" w:type="pct"/>
            <w:tcMar>
              <w:left w:w="0" w:type="dxa"/>
              <w:right w:w="0" w:type="dxa"/>
            </w:tcMar>
            <w:vAlign w:val="center"/>
          </w:tcPr>
          <w:p w14:paraId="57B8D4DF">
            <w:pPr>
              <w:pStyle w:val="278"/>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第六师五家渠市生态环境局</w:t>
            </w:r>
          </w:p>
          <w:p w14:paraId="68CB60D3">
            <w:pPr>
              <w:pStyle w:val="278"/>
              <w:spacing w:line="300" w:lineRule="exact"/>
              <w:rPr>
                <w:rFonts w:hint="eastAsia"/>
                <w:color w:val="000000" w:themeColor="text1"/>
                <w14:textFill>
                  <w14:solidFill>
                    <w14:schemeClr w14:val="tx1"/>
                  </w14:solidFill>
                </w14:textFill>
              </w:rPr>
            </w:pPr>
            <w:bookmarkStart w:id="274" w:name="OLE_LINK36"/>
            <w:r>
              <w:rPr>
                <w:rFonts w:hint="eastAsia"/>
                <w:color w:val="000000" w:themeColor="text1"/>
                <w14:textFill>
                  <w14:solidFill>
                    <w14:schemeClr w14:val="tx1"/>
                  </w14:solidFill>
                </w14:textFill>
              </w:rPr>
              <w:t>师环监函</w:t>
            </w:r>
            <w:bookmarkStart w:id="275" w:name="OLE_LINK1"/>
            <w:r>
              <w:rPr>
                <w:rFonts w:hint="eastAsia"/>
                <w:color w:val="000000" w:themeColor="text1"/>
                <w14:textFill>
                  <w14:solidFill>
                    <w14:schemeClr w14:val="tx1"/>
                  </w14:solidFill>
                </w14:textFill>
              </w:rPr>
              <w:t>〔2019〕38</w:t>
            </w:r>
            <w:bookmarkEnd w:id="275"/>
            <w:r>
              <w:rPr>
                <w:rFonts w:hint="eastAsia"/>
                <w:color w:val="000000" w:themeColor="text1"/>
                <w14:textFill>
                  <w14:solidFill>
                    <w14:schemeClr w14:val="tx1"/>
                  </w14:solidFill>
                </w14:textFill>
              </w:rPr>
              <w:t>号</w:t>
            </w:r>
          </w:p>
          <w:bookmarkEnd w:id="274"/>
          <w:p w14:paraId="5D4E7B7B">
            <w:pPr>
              <w:pStyle w:val="278"/>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2019年6月17日</w:t>
            </w:r>
          </w:p>
        </w:tc>
        <w:tc>
          <w:tcPr>
            <w:tcW w:w="941" w:type="pct"/>
            <w:tcMar>
              <w:left w:w="0" w:type="dxa"/>
              <w:right w:w="0" w:type="dxa"/>
            </w:tcMar>
            <w:vAlign w:val="center"/>
          </w:tcPr>
          <w:p w14:paraId="26E40F0D">
            <w:pPr>
              <w:pStyle w:val="278"/>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2</w:t>
            </w:r>
            <w:r>
              <w:rPr>
                <w:color w:val="000000" w:themeColor="text1"/>
                <w14:textFill>
                  <w14:solidFill>
                    <w14:schemeClr w14:val="tx1"/>
                  </w14:solidFill>
                </w14:textFill>
              </w:rPr>
              <w:t>021</w:t>
            </w:r>
            <w:r>
              <w:rPr>
                <w:rFonts w:hint="eastAsia"/>
                <w:color w:val="000000" w:themeColor="text1"/>
                <w14:textFill>
                  <w14:solidFill>
                    <w14:schemeClr w14:val="tx1"/>
                  </w14:solidFill>
                </w14:textFill>
              </w:rPr>
              <w:t>年</w:t>
            </w:r>
            <w:r>
              <w:rPr>
                <w:color w:val="000000" w:themeColor="text1"/>
                <w14:textFill>
                  <w14:solidFill>
                    <w14:schemeClr w14:val="tx1"/>
                  </w14:solidFill>
                </w14:textFill>
              </w:rPr>
              <w:t>10</w:t>
            </w:r>
            <w:r>
              <w:rPr>
                <w:rFonts w:hint="eastAsia"/>
                <w:color w:val="000000" w:themeColor="text1"/>
                <w14:textFill>
                  <w14:solidFill>
                    <w14:schemeClr w14:val="tx1"/>
                  </w14:solidFill>
                </w14:textFill>
              </w:rPr>
              <w:t>月</w:t>
            </w:r>
            <w:r>
              <w:rPr>
                <w:color w:val="000000" w:themeColor="text1"/>
                <w14:textFill>
                  <w14:solidFill>
                    <w14:schemeClr w14:val="tx1"/>
                  </w14:solidFill>
                </w14:textFill>
              </w:rPr>
              <w:t>28</w:t>
            </w:r>
            <w:r>
              <w:rPr>
                <w:rFonts w:hint="eastAsia"/>
                <w:color w:val="000000" w:themeColor="text1"/>
                <w14:textFill>
                  <w14:solidFill>
                    <w14:schemeClr w14:val="tx1"/>
                  </w14:solidFill>
                </w14:textFill>
              </w:rPr>
              <w:t>日通过了企业自主竣工环境保护验收</w:t>
            </w:r>
          </w:p>
        </w:tc>
      </w:tr>
      <w:tr w14:paraId="65CA5C3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49" w:type="pct"/>
            <w:vMerge w:val="continue"/>
            <w:vAlign w:val="center"/>
          </w:tcPr>
          <w:p w14:paraId="39E7B4C1">
            <w:pPr>
              <w:pStyle w:val="278"/>
              <w:spacing w:line="300" w:lineRule="exact"/>
              <w:rPr>
                <w:rFonts w:hint="eastAsia"/>
                <w:color w:val="000000" w:themeColor="text1"/>
                <w14:textFill>
                  <w14:solidFill>
                    <w14:schemeClr w14:val="tx1"/>
                  </w14:solidFill>
                </w14:textFill>
              </w:rPr>
            </w:pPr>
          </w:p>
        </w:tc>
        <w:tc>
          <w:tcPr>
            <w:tcW w:w="1786" w:type="pct"/>
            <w:tcMar>
              <w:left w:w="0" w:type="dxa"/>
              <w:right w:w="0" w:type="dxa"/>
            </w:tcMar>
            <w:vAlign w:val="center"/>
          </w:tcPr>
          <w:p w14:paraId="090E20E4">
            <w:pPr>
              <w:pStyle w:val="278"/>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新疆油田昌吉油田吉305-吉17井区芦草沟组页岩油产能建设项目（页岩油联合站二期扩建工程）</w:t>
            </w:r>
          </w:p>
        </w:tc>
        <w:tc>
          <w:tcPr>
            <w:tcW w:w="1624" w:type="pct"/>
            <w:tcMar>
              <w:left w:w="0" w:type="dxa"/>
              <w:right w:w="0" w:type="dxa"/>
            </w:tcMar>
            <w:vAlign w:val="center"/>
          </w:tcPr>
          <w:p w14:paraId="7E1076F5">
            <w:pPr>
              <w:pStyle w:val="278"/>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新疆生产建设兵团生态环境局</w:t>
            </w:r>
          </w:p>
          <w:p w14:paraId="58B094AE">
            <w:pPr>
              <w:pStyle w:val="278"/>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兵环审〔2024〕16号</w:t>
            </w:r>
          </w:p>
          <w:p w14:paraId="0944C4D6">
            <w:pPr>
              <w:pStyle w:val="278"/>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2</w:t>
            </w:r>
            <w:r>
              <w:rPr>
                <w:color w:val="000000" w:themeColor="text1"/>
                <w14:textFill>
                  <w14:solidFill>
                    <w14:schemeClr w14:val="tx1"/>
                  </w14:solidFill>
                </w14:textFill>
              </w:rPr>
              <w:t>0</w:t>
            </w:r>
            <w:r>
              <w:rPr>
                <w:rFonts w:hint="eastAsia"/>
                <w:color w:val="000000" w:themeColor="text1"/>
                <w14:textFill>
                  <w14:solidFill>
                    <w14:schemeClr w14:val="tx1"/>
                  </w14:solidFill>
                </w14:textFill>
              </w:rPr>
              <w:t>24年</w:t>
            </w:r>
            <w:r>
              <w:rPr>
                <w:color w:val="000000" w:themeColor="text1"/>
                <w14:textFill>
                  <w14:solidFill>
                    <w14:schemeClr w14:val="tx1"/>
                  </w14:solidFill>
                </w14:textFill>
              </w:rPr>
              <w:t>0</w:t>
            </w:r>
            <w:r>
              <w:rPr>
                <w:rFonts w:hint="eastAsia"/>
                <w:color w:val="000000" w:themeColor="text1"/>
                <w14:textFill>
                  <w14:solidFill>
                    <w14:schemeClr w14:val="tx1"/>
                  </w14:solidFill>
                </w14:textFill>
              </w:rPr>
              <w:t>6月14日</w:t>
            </w:r>
          </w:p>
        </w:tc>
        <w:tc>
          <w:tcPr>
            <w:tcW w:w="941" w:type="pct"/>
            <w:tcMar>
              <w:left w:w="0" w:type="dxa"/>
              <w:right w:w="0" w:type="dxa"/>
            </w:tcMar>
            <w:vAlign w:val="center"/>
          </w:tcPr>
          <w:p w14:paraId="2E3FEF41">
            <w:pPr>
              <w:pStyle w:val="278"/>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正在建设</w:t>
            </w:r>
          </w:p>
        </w:tc>
      </w:tr>
      <w:tr w14:paraId="42C25D8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49" w:type="pct"/>
            <w:vAlign w:val="center"/>
          </w:tcPr>
          <w:p w14:paraId="1F408E63">
            <w:pPr>
              <w:pStyle w:val="278"/>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净化油外输系统</w:t>
            </w:r>
          </w:p>
        </w:tc>
        <w:tc>
          <w:tcPr>
            <w:tcW w:w="1786" w:type="pct"/>
            <w:tcMar>
              <w:left w:w="0" w:type="dxa"/>
              <w:right w:w="0" w:type="dxa"/>
            </w:tcMar>
            <w:vAlign w:val="center"/>
          </w:tcPr>
          <w:p w14:paraId="0AA32EBB">
            <w:pPr>
              <w:pStyle w:val="278"/>
              <w:spacing w:line="300" w:lineRule="exact"/>
              <w:jc w:val="both"/>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北三台油库扩建工程及吉</w:t>
            </w:r>
            <w:r>
              <w:rPr>
                <w:color w:val="000000" w:themeColor="text1"/>
                <w14:textFill>
                  <w14:solidFill>
                    <w14:schemeClr w14:val="tx1"/>
                  </w14:solidFill>
                </w14:textFill>
              </w:rPr>
              <w:t>305-</w:t>
            </w:r>
            <w:r>
              <w:rPr>
                <w:rFonts w:hint="eastAsia"/>
                <w:color w:val="000000" w:themeColor="text1"/>
                <w14:textFill>
                  <w14:solidFill>
                    <w14:schemeClr w14:val="tx1"/>
                  </w14:solidFill>
                </w14:textFill>
              </w:rPr>
              <w:t>吉</w:t>
            </w:r>
            <w:r>
              <w:rPr>
                <w:color w:val="000000" w:themeColor="text1"/>
                <w14:textFill>
                  <w14:solidFill>
                    <w14:schemeClr w14:val="tx1"/>
                  </w14:solidFill>
                </w14:textFill>
              </w:rPr>
              <w:t>17-</w:t>
            </w:r>
            <w:r>
              <w:rPr>
                <w:rFonts w:hint="eastAsia"/>
                <w:color w:val="000000" w:themeColor="text1"/>
                <w14:textFill>
                  <w14:solidFill>
                    <w14:schemeClr w14:val="tx1"/>
                  </w14:solidFill>
                </w14:textFill>
              </w:rPr>
              <w:t>吉</w:t>
            </w:r>
            <w:r>
              <w:rPr>
                <w:color w:val="000000" w:themeColor="text1"/>
                <w14:textFill>
                  <w14:solidFill>
                    <w14:schemeClr w14:val="tx1"/>
                  </w14:solidFill>
                </w14:textFill>
              </w:rPr>
              <w:t>37</w:t>
            </w:r>
            <w:r>
              <w:rPr>
                <w:rFonts w:hint="eastAsia"/>
                <w:color w:val="000000" w:themeColor="text1"/>
                <w14:textFill>
                  <w14:solidFill>
                    <w14:schemeClr w14:val="tx1"/>
                  </w14:solidFill>
                </w14:textFill>
              </w:rPr>
              <w:t>井区联合站至北三台油库输油管线（吉木萨尔县、阜康市境内）建设项目</w:t>
            </w:r>
          </w:p>
        </w:tc>
        <w:tc>
          <w:tcPr>
            <w:tcW w:w="1624" w:type="pct"/>
            <w:tcMar>
              <w:left w:w="0" w:type="dxa"/>
              <w:right w:w="0" w:type="dxa"/>
            </w:tcMar>
            <w:vAlign w:val="center"/>
          </w:tcPr>
          <w:p w14:paraId="31446957">
            <w:pPr>
              <w:pStyle w:val="278"/>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昌吉回族自治州生态环境局</w:t>
            </w:r>
          </w:p>
          <w:p w14:paraId="288A0B4B">
            <w:pPr>
              <w:pStyle w:val="278"/>
              <w:spacing w:line="300" w:lineRule="exact"/>
              <w:rPr>
                <w:rFonts w:hint="eastAsia"/>
                <w:color w:val="000000" w:themeColor="text1"/>
                <w14:textFill>
                  <w14:solidFill>
                    <w14:schemeClr w14:val="tx1"/>
                  </w14:solidFill>
                </w14:textFill>
              </w:rPr>
            </w:pPr>
            <w:bookmarkStart w:id="276" w:name="OLE_LINK51"/>
            <w:r>
              <w:rPr>
                <w:rFonts w:hint="eastAsia"/>
                <w:color w:val="000000" w:themeColor="text1"/>
                <w14:textFill>
                  <w14:solidFill>
                    <w14:schemeClr w14:val="tx1"/>
                  </w14:solidFill>
                </w14:textFill>
              </w:rPr>
              <w:t>昌州环评〔</w:t>
            </w:r>
            <w:r>
              <w:rPr>
                <w:color w:val="000000" w:themeColor="text1"/>
                <w14:textFill>
                  <w14:solidFill>
                    <w14:schemeClr w14:val="tx1"/>
                  </w14:solidFill>
                </w14:textFill>
              </w:rPr>
              <w:t>2019</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32</w:t>
            </w:r>
            <w:r>
              <w:rPr>
                <w:rFonts w:hint="eastAsia"/>
                <w:color w:val="000000" w:themeColor="text1"/>
                <w14:textFill>
                  <w14:solidFill>
                    <w14:schemeClr w14:val="tx1"/>
                  </w14:solidFill>
                </w14:textFill>
              </w:rPr>
              <w:t>号</w:t>
            </w:r>
          </w:p>
          <w:bookmarkEnd w:id="276"/>
          <w:p w14:paraId="52E00A2C">
            <w:pPr>
              <w:pStyle w:val="278"/>
              <w:spacing w:line="300" w:lineRule="exact"/>
              <w:rPr>
                <w:rFonts w:hint="eastAsia"/>
                <w:color w:val="000000" w:themeColor="text1"/>
                <w14:textFill>
                  <w14:solidFill>
                    <w14:schemeClr w14:val="tx1"/>
                  </w14:solidFill>
                </w14:textFill>
              </w:rPr>
            </w:pPr>
            <w:r>
              <w:rPr>
                <w:color w:val="000000" w:themeColor="text1"/>
                <w14:textFill>
                  <w14:solidFill>
                    <w14:schemeClr w14:val="tx1"/>
                  </w14:solidFill>
                </w14:textFill>
              </w:rPr>
              <w:t>2019</w:t>
            </w:r>
            <w:r>
              <w:rPr>
                <w:rFonts w:hint="eastAsia"/>
                <w:color w:val="000000" w:themeColor="text1"/>
                <w14:textFill>
                  <w14:solidFill>
                    <w14:schemeClr w14:val="tx1"/>
                  </w14:solidFill>
                </w14:textFill>
              </w:rPr>
              <w:t>年</w:t>
            </w:r>
            <w:r>
              <w:rPr>
                <w:color w:val="000000" w:themeColor="text1"/>
                <w14:textFill>
                  <w14:solidFill>
                    <w14:schemeClr w14:val="tx1"/>
                  </w14:solidFill>
                </w14:textFill>
              </w:rPr>
              <w:t>5</w:t>
            </w:r>
            <w:r>
              <w:rPr>
                <w:rFonts w:hint="eastAsia"/>
                <w:color w:val="000000" w:themeColor="text1"/>
                <w14:textFill>
                  <w14:solidFill>
                    <w14:schemeClr w14:val="tx1"/>
                  </w14:solidFill>
                </w14:textFill>
              </w:rPr>
              <w:t>月</w:t>
            </w:r>
            <w:r>
              <w:rPr>
                <w:color w:val="000000" w:themeColor="text1"/>
                <w14:textFill>
                  <w14:solidFill>
                    <w14:schemeClr w14:val="tx1"/>
                  </w14:solidFill>
                </w14:textFill>
              </w:rPr>
              <w:t>7</w:t>
            </w:r>
            <w:r>
              <w:rPr>
                <w:rFonts w:hint="eastAsia"/>
                <w:color w:val="000000" w:themeColor="text1"/>
                <w14:textFill>
                  <w14:solidFill>
                    <w14:schemeClr w14:val="tx1"/>
                  </w14:solidFill>
                </w14:textFill>
              </w:rPr>
              <w:t>日</w:t>
            </w:r>
          </w:p>
        </w:tc>
        <w:tc>
          <w:tcPr>
            <w:tcW w:w="941" w:type="pct"/>
            <w:tcMar>
              <w:left w:w="0" w:type="dxa"/>
              <w:right w:w="0" w:type="dxa"/>
            </w:tcMar>
            <w:vAlign w:val="center"/>
          </w:tcPr>
          <w:p w14:paraId="77F31039">
            <w:pPr>
              <w:pStyle w:val="278"/>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2021年10月27日通过了企业自主竣工环境保护验收</w:t>
            </w:r>
          </w:p>
        </w:tc>
      </w:tr>
      <w:tr w14:paraId="4CC08E0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49" w:type="pct"/>
            <w:vAlign w:val="center"/>
          </w:tcPr>
          <w:p w14:paraId="358B09F1">
            <w:pPr>
              <w:pStyle w:val="278"/>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危险废物暂存</w:t>
            </w:r>
          </w:p>
        </w:tc>
        <w:tc>
          <w:tcPr>
            <w:tcW w:w="1786" w:type="pct"/>
            <w:tcMar>
              <w:left w:w="0" w:type="dxa"/>
              <w:right w:w="0" w:type="dxa"/>
            </w:tcMar>
            <w:vAlign w:val="center"/>
          </w:tcPr>
          <w:p w14:paraId="32092CBB">
            <w:pPr>
              <w:pStyle w:val="278"/>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新疆油田昌吉油田吉305-吉17井区芦草沟组页岩油产能建设项目（页岩油联合站二期扩建工程）</w:t>
            </w:r>
          </w:p>
        </w:tc>
        <w:tc>
          <w:tcPr>
            <w:tcW w:w="1624" w:type="pct"/>
            <w:tcMar>
              <w:left w:w="0" w:type="dxa"/>
              <w:right w:w="0" w:type="dxa"/>
            </w:tcMar>
            <w:vAlign w:val="center"/>
          </w:tcPr>
          <w:p w14:paraId="2505D508">
            <w:pPr>
              <w:pStyle w:val="278"/>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新疆生产建设兵团生态环境局</w:t>
            </w:r>
          </w:p>
          <w:p w14:paraId="6BCA583D">
            <w:pPr>
              <w:pStyle w:val="278"/>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兵环审〔2024〕16号</w:t>
            </w:r>
          </w:p>
          <w:p w14:paraId="4CA80F2D">
            <w:pPr>
              <w:pStyle w:val="278"/>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2</w:t>
            </w:r>
            <w:r>
              <w:rPr>
                <w:color w:val="000000" w:themeColor="text1"/>
                <w14:textFill>
                  <w14:solidFill>
                    <w14:schemeClr w14:val="tx1"/>
                  </w14:solidFill>
                </w14:textFill>
              </w:rPr>
              <w:t>0</w:t>
            </w:r>
            <w:r>
              <w:rPr>
                <w:rFonts w:hint="eastAsia"/>
                <w:color w:val="000000" w:themeColor="text1"/>
                <w14:textFill>
                  <w14:solidFill>
                    <w14:schemeClr w14:val="tx1"/>
                  </w14:solidFill>
                </w14:textFill>
              </w:rPr>
              <w:t>24年</w:t>
            </w:r>
            <w:r>
              <w:rPr>
                <w:color w:val="000000" w:themeColor="text1"/>
                <w14:textFill>
                  <w14:solidFill>
                    <w14:schemeClr w14:val="tx1"/>
                  </w14:solidFill>
                </w14:textFill>
              </w:rPr>
              <w:t>0</w:t>
            </w:r>
            <w:r>
              <w:rPr>
                <w:rFonts w:hint="eastAsia"/>
                <w:color w:val="000000" w:themeColor="text1"/>
                <w14:textFill>
                  <w14:solidFill>
                    <w14:schemeClr w14:val="tx1"/>
                  </w14:solidFill>
                </w14:textFill>
              </w:rPr>
              <w:t>6月14日</w:t>
            </w:r>
          </w:p>
        </w:tc>
        <w:tc>
          <w:tcPr>
            <w:tcW w:w="941" w:type="pct"/>
            <w:tcMar>
              <w:left w:w="0" w:type="dxa"/>
              <w:right w:w="0" w:type="dxa"/>
            </w:tcMar>
            <w:vAlign w:val="center"/>
          </w:tcPr>
          <w:p w14:paraId="665B044B">
            <w:pPr>
              <w:pStyle w:val="278"/>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正在建设</w:t>
            </w:r>
          </w:p>
        </w:tc>
      </w:tr>
      <w:tr w14:paraId="6D978C2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49" w:type="pct"/>
            <w:vAlign w:val="center"/>
          </w:tcPr>
          <w:p w14:paraId="1214B7A0">
            <w:pPr>
              <w:pStyle w:val="278"/>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生活污水</w:t>
            </w:r>
          </w:p>
        </w:tc>
        <w:tc>
          <w:tcPr>
            <w:tcW w:w="1786" w:type="pct"/>
            <w:tcMar>
              <w:left w:w="0" w:type="dxa"/>
              <w:right w:w="0" w:type="dxa"/>
            </w:tcMar>
            <w:vAlign w:val="center"/>
          </w:tcPr>
          <w:p w14:paraId="3FD520E2">
            <w:pPr>
              <w:pStyle w:val="278"/>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生活污水</w:t>
            </w:r>
          </w:p>
        </w:tc>
        <w:tc>
          <w:tcPr>
            <w:tcW w:w="1624" w:type="pct"/>
            <w:tcMar>
              <w:left w:w="0" w:type="dxa"/>
              <w:right w:w="0" w:type="dxa"/>
            </w:tcMar>
            <w:vAlign w:val="center"/>
          </w:tcPr>
          <w:p w14:paraId="6E5B5AEF">
            <w:pPr>
              <w:pStyle w:val="278"/>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吉木萨尔县污水处理厂工程</w:t>
            </w:r>
          </w:p>
        </w:tc>
        <w:tc>
          <w:tcPr>
            <w:tcW w:w="941" w:type="pct"/>
            <w:tcMar>
              <w:left w:w="0" w:type="dxa"/>
              <w:right w:w="0" w:type="dxa"/>
            </w:tcMar>
            <w:vAlign w:val="center"/>
          </w:tcPr>
          <w:p w14:paraId="41BC850D">
            <w:pPr>
              <w:spacing w:line="300" w:lineRule="exact"/>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原</w:t>
            </w:r>
            <w:r>
              <w:rPr>
                <w:rFonts w:hint="eastAsia" w:ascii="宋体" w:hAnsi="宋体" w:cs="宋体"/>
                <w:color w:val="000000" w:themeColor="text1"/>
                <w:kern w:val="0"/>
                <w:szCs w:val="21"/>
                <w14:textFill>
                  <w14:solidFill>
                    <w14:schemeClr w14:val="tx1"/>
                  </w14:solidFill>
                </w14:textFill>
              </w:rPr>
              <w:t>昌吉回族自治州环境保护局</w:t>
            </w:r>
          </w:p>
          <w:p w14:paraId="784911DF">
            <w:pPr>
              <w:spacing w:line="300" w:lineRule="exact"/>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昌州环评〔2015〕48号</w:t>
            </w:r>
          </w:p>
          <w:p w14:paraId="263F8329">
            <w:pPr>
              <w:pStyle w:val="278"/>
              <w:spacing w:line="300" w:lineRule="exact"/>
              <w:rPr>
                <w:rFonts w:hint="eastAsia"/>
                <w:color w:val="000000" w:themeColor="text1"/>
                <w14:textFill>
                  <w14:solidFill>
                    <w14:schemeClr w14:val="tx1"/>
                  </w14:solidFill>
                </w14:textFill>
              </w:rPr>
            </w:pPr>
            <w:r>
              <w:rPr>
                <w:rFonts w:hint="eastAsia" w:cs="宋体"/>
                <w:color w:val="000000" w:themeColor="text1"/>
                <w14:textFill>
                  <w14:solidFill>
                    <w14:schemeClr w14:val="tx1"/>
                  </w14:solidFill>
                </w14:textFill>
              </w:rPr>
              <w:t>2015年6月1日</w:t>
            </w:r>
          </w:p>
        </w:tc>
      </w:tr>
      <w:tr w14:paraId="0FD0F36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49" w:type="pct"/>
            <w:vAlign w:val="center"/>
          </w:tcPr>
          <w:p w14:paraId="69E82F85">
            <w:pPr>
              <w:pStyle w:val="278"/>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生活垃圾</w:t>
            </w:r>
          </w:p>
        </w:tc>
        <w:tc>
          <w:tcPr>
            <w:tcW w:w="1786" w:type="pct"/>
            <w:tcMar>
              <w:left w:w="0" w:type="dxa"/>
              <w:right w:w="0" w:type="dxa"/>
            </w:tcMar>
            <w:vAlign w:val="center"/>
          </w:tcPr>
          <w:p w14:paraId="0B73F7A2">
            <w:pPr>
              <w:pStyle w:val="278"/>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生活垃圾</w:t>
            </w:r>
          </w:p>
        </w:tc>
        <w:tc>
          <w:tcPr>
            <w:tcW w:w="1624" w:type="pct"/>
            <w:tcMar>
              <w:left w:w="0" w:type="dxa"/>
              <w:right w:w="0" w:type="dxa"/>
            </w:tcMar>
            <w:vAlign w:val="center"/>
          </w:tcPr>
          <w:p w14:paraId="7AEFAE0E">
            <w:pPr>
              <w:pStyle w:val="278"/>
              <w:spacing w:line="300" w:lineRule="exact"/>
              <w:rPr>
                <w:rFonts w:hint="eastAsia"/>
                <w:color w:val="000000" w:themeColor="text1"/>
                <w14:textFill>
                  <w14:solidFill>
                    <w14:schemeClr w14:val="tx1"/>
                  </w14:solidFill>
                </w14:textFill>
              </w:rPr>
            </w:pPr>
            <w:r>
              <w:rPr>
                <w:rFonts w:hint="eastAsia" w:cs="宋体"/>
                <w:color w:val="000000" w:themeColor="text1"/>
                <w14:textFill>
                  <w14:solidFill>
                    <w14:schemeClr w14:val="tx1"/>
                  </w14:solidFill>
                </w14:textFill>
              </w:rPr>
              <w:t>吉木萨尔县生活垃圾处理工程</w:t>
            </w:r>
          </w:p>
        </w:tc>
        <w:tc>
          <w:tcPr>
            <w:tcW w:w="941" w:type="pct"/>
            <w:tcMar>
              <w:left w:w="0" w:type="dxa"/>
              <w:right w:w="0" w:type="dxa"/>
            </w:tcMar>
            <w:vAlign w:val="center"/>
          </w:tcPr>
          <w:p w14:paraId="57F555BB">
            <w:pPr>
              <w:spacing w:line="300" w:lineRule="exact"/>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原新疆维吾尔自治区环境保护厅</w:t>
            </w:r>
          </w:p>
          <w:p w14:paraId="79E6D081">
            <w:pPr>
              <w:spacing w:line="300" w:lineRule="exact"/>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新环监函〔2008〕537号</w:t>
            </w:r>
          </w:p>
          <w:p w14:paraId="26D9E272">
            <w:pPr>
              <w:pStyle w:val="278"/>
              <w:spacing w:line="300" w:lineRule="exact"/>
              <w:rPr>
                <w:rFonts w:hint="eastAsia"/>
                <w:color w:val="000000" w:themeColor="text1"/>
                <w14:textFill>
                  <w14:solidFill>
                    <w14:schemeClr w14:val="tx1"/>
                  </w14:solidFill>
                </w14:textFill>
              </w:rPr>
            </w:pPr>
            <w:r>
              <w:rPr>
                <w:rFonts w:hint="eastAsia" w:cs="宋体"/>
                <w:color w:val="000000" w:themeColor="text1"/>
                <w14:textFill>
                  <w14:solidFill>
                    <w14:schemeClr w14:val="tx1"/>
                  </w14:solidFill>
                </w14:textFill>
              </w:rPr>
              <w:t>2008年12月</w:t>
            </w:r>
          </w:p>
        </w:tc>
      </w:tr>
      <w:bookmarkEnd w:id="273"/>
    </w:tbl>
    <w:p w14:paraId="5E157A0C">
      <w:pPr>
        <w:pStyle w:val="191"/>
        <w:ind w:firstLine="480" w:firstLineChars="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①采出液转输依托可行性分析</w:t>
      </w:r>
    </w:p>
    <w:p w14:paraId="78F805D5">
      <w:pPr>
        <w:pStyle w:val="191"/>
        <w:ind w:firstLine="480" w:firstLineChars="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预处理注入站分离出的采出液通过1号混输泵站转输至页岩油联合站，1号混输泵站内转输工艺流程为：油区来气液进入进站汇管，汇管出液进入一体化加热接转装置，通过一体化加热接转装置加热缓冲后，经一体化加热接转装置上的混输泵增压，再通过混输管道混输至页岩油联合站。一体化加热接转装置加热缓冲罐分离出的伴生气经除油器进一步处理后分离出的伴生气作为加热缓冲罐燃料气用，剩下的伴生气进入混输泵增压外输。</w:t>
      </w:r>
    </w:p>
    <w:p w14:paraId="5E04B6A9">
      <w:pPr>
        <w:pStyle w:val="191"/>
        <w:ind w:firstLine="480" w:firstLineChars="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1号混输泵站设计转液规模为</w:t>
      </w:r>
      <w:r>
        <w:rPr>
          <w:color w:val="000000" w:themeColor="text1"/>
          <w14:textFill>
            <w14:solidFill>
              <w14:schemeClr w14:val="tx1"/>
            </w14:solidFill>
          </w14:textFill>
        </w:rPr>
        <w:t>100</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10</w:t>
      </w:r>
      <w:r>
        <w:rPr>
          <w:color w:val="000000" w:themeColor="text1"/>
          <w:vertAlign w:val="superscript"/>
          <w14:textFill>
            <w14:solidFill>
              <w14:schemeClr w14:val="tx1"/>
            </w14:solidFill>
          </w14:textFill>
        </w:rPr>
        <w:t>4</w:t>
      </w:r>
      <w:r>
        <w:rPr>
          <w:color w:val="000000" w:themeColor="text1"/>
          <w14:textFill>
            <w14:solidFill>
              <w14:schemeClr w14:val="tx1"/>
            </w14:solidFill>
          </w14:textFill>
        </w:rPr>
        <w:t>t/a</w:t>
      </w:r>
      <w:r>
        <w:rPr>
          <w:rFonts w:hint="eastAsia"/>
          <w:color w:val="000000" w:themeColor="text1"/>
          <w14:textFill>
            <w14:solidFill>
              <w14:schemeClr w14:val="tx1"/>
            </w14:solidFill>
          </w14:textFill>
        </w:rPr>
        <w:t>，实际转液量</w:t>
      </w:r>
      <w:r>
        <w:rPr>
          <w:color w:val="000000" w:themeColor="text1"/>
          <w14:textFill>
            <w14:solidFill>
              <w14:schemeClr w14:val="tx1"/>
            </w14:solidFill>
          </w14:textFill>
        </w:rPr>
        <w:t>5.92</w:t>
      </w:r>
      <w:bookmarkStart w:id="277" w:name="OLE_LINK75"/>
      <w:r>
        <w:rPr>
          <w:rFonts w:hint="eastAsia"/>
          <w:color w:val="000000" w:themeColor="text1"/>
          <w14:textFill>
            <w14:solidFill>
              <w14:schemeClr w14:val="tx1"/>
            </w14:solidFill>
          </w14:textFill>
        </w:rPr>
        <w:t>×</w:t>
      </w:r>
      <w:r>
        <w:rPr>
          <w:color w:val="000000" w:themeColor="text1"/>
          <w14:textFill>
            <w14:solidFill>
              <w14:schemeClr w14:val="tx1"/>
            </w14:solidFill>
          </w14:textFill>
        </w:rPr>
        <w:t>10</w:t>
      </w:r>
      <w:r>
        <w:rPr>
          <w:color w:val="000000" w:themeColor="text1"/>
          <w:vertAlign w:val="superscript"/>
          <w14:textFill>
            <w14:solidFill>
              <w14:schemeClr w14:val="tx1"/>
            </w14:solidFill>
          </w14:textFill>
        </w:rPr>
        <w:t>4</w:t>
      </w:r>
      <w:r>
        <w:rPr>
          <w:color w:val="000000" w:themeColor="text1"/>
          <w14:textFill>
            <w14:solidFill>
              <w14:schemeClr w14:val="tx1"/>
            </w14:solidFill>
          </w14:textFill>
        </w:rPr>
        <w:t>t/a</w:t>
      </w:r>
      <w:r>
        <w:rPr>
          <w:rFonts w:hint="eastAsia"/>
          <w:color w:val="000000" w:themeColor="text1"/>
          <w14:textFill>
            <w14:solidFill>
              <w14:schemeClr w14:val="tx1"/>
            </w14:solidFill>
          </w14:textFill>
        </w:rPr>
        <w:t>，</w:t>
      </w:r>
      <w:bookmarkEnd w:id="277"/>
      <w:r>
        <w:rPr>
          <w:rFonts w:hint="eastAsia"/>
          <w:color w:val="000000" w:themeColor="text1"/>
          <w14:textFill>
            <w14:solidFill>
              <w14:schemeClr w14:val="tx1"/>
            </w14:solidFill>
          </w14:textFill>
        </w:rPr>
        <w:t>富余能力94.08×</w:t>
      </w:r>
      <w:r>
        <w:rPr>
          <w:color w:val="000000" w:themeColor="text1"/>
          <w14:textFill>
            <w14:solidFill>
              <w14:schemeClr w14:val="tx1"/>
            </w14:solidFill>
          </w14:textFill>
        </w:rPr>
        <w:t>10</w:t>
      </w:r>
      <w:r>
        <w:rPr>
          <w:color w:val="000000" w:themeColor="text1"/>
          <w:vertAlign w:val="superscript"/>
          <w14:textFill>
            <w14:solidFill>
              <w14:schemeClr w14:val="tx1"/>
            </w14:solidFill>
          </w14:textFill>
        </w:rPr>
        <w:t>4</w:t>
      </w:r>
      <w:r>
        <w:rPr>
          <w:color w:val="000000" w:themeColor="text1"/>
          <w14:textFill>
            <w14:solidFill>
              <w14:schemeClr w14:val="tx1"/>
            </w14:solidFill>
          </w14:textFill>
        </w:rPr>
        <w:t>t/a</w:t>
      </w:r>
      <w:r>
        <w:rPr>
          <w:rFonts w:hint="eastAsia"/>
          <w:color w:val="000000" w:themeColor="text1"/>
          <w14:textFill>
            <w14:solidFill>
              <w14:schemeClr w14:val="tx1"/>
            </w14:solidFill>
          </w14:textFill>
        </w:rPr>
        <w:t>，本项目新增转液量为8×</w:t>
      </w:r>
      <w:r>
        <w:rPr>
          <w:color w:val="000000" w:themeColor="text1"/>
          <w14:textFill>
            <w14:solidFill>
              <w14:schemeClr w14:val="tx1"/>
            </w14:solidFill>
          </w14:textFill>
        </w:rPr>
        <w:t>10</w:t>
      </w:r>
      <w:r>
        <w:rPr>
          <w:color w:val="000000" w:themeColor="text1"/>
          <w:vertAlign w:val="superscript"/>
          <w14:textFill>
            <w14:solidFill>
              <w14:schemeClr w14:val="tx1"/>
            </w14:solidFill>
          </w14:textFill>
        </w:rPr>
        <w:t>4</w:t>
      </w:r>
      <w:r>
        <w:rPr>
          <w:color w:val="000000" w:themeColor="text1"/>
          <w14:textFill>
            <w14:solidFill>
              <w14:schemeClr w14:val="tx1"/>
            </w14:solidFill>
          </w14:textFill>
        </w:rPr>
        <w:t>t/a</w:t>
      </w:r>
      <w:r>
        <w:rPr>
          <w:rFonts w:hint="eastAsia"/>
          <w:color w:val="000000" w:themeColor="text1"/>
          <w14:textFill>
            <w14:solidFill>
              <w14:schemeClr w14:val="tx1"/>
            </w14:solidFill>
          </w14:textFill>
        </w:rPr>
        <w:t>，1号混输泵站富余转液能力可满足本项目需求。</w:t>
      </w:r>
    </w:p>
    <w:p w14:paraId="75E05C04">
      <w:pPr>
        <w:pStyle w:val="191"/>
        <w:ind w:firstLine="480" w:firstLineChars="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②原油处理系统依托可行性分析</w:t>
      </w:r>
    </w:p>
    <w:p w14:paraId="3B36F180">
      <w:pPr>
        <w:pStyle w:val="191"/>
        <w:ind w:firstLine="472"/>
        <w:rPr>
          <w:rFonts w:hint="eastAsia"/>
          <w:color w:val="000000" w:themeColor="text1"/>
          <w:spacing w:val="-4"/>
          <w14:textFill>
            <w14:solidFill>
              <w14:schemeClr w14:val="tx1"/>
            </w14:solidFill>
          </w14:textFill>
        </w:rPr>
      </w:pPr>
      <w:r>
        <w:rPr>
          <w:rFonts w:hint="eastAsia"/>
          <w:color w:val="000000" w:themeColor="text1"/>
          <w:spacing w:val="-4"/>
          <w14:textFill>
            <w14:solidFill>
              <w14:schemeClr w14:val="tx1"/>
            </w14:solidFill>
          </w14:textFill>
        </w:rPr>
        <w:t>页岩油联合站主要负责处理页岩油井区采出物，原油处理系统</w:t>
      </w:r>
      <w:bookmarkStart w:id="278" w:name="_Hlk173751721"/>
      <w:r>
        <w:rPr>
          <w:rFonts w:hint="eastAsia"/>
          <w:color w:val="000000" w:themeColor="text1"/>
          <w:spacing w:val="-4"/>
          <w14:textFill>
            <w14:solidFill>
              <w14:schemeClr w14:val="tx1"/>
            </w14:solidFill>
          </w14:textFill>
        </w:rPr>
        <w:t>设计规模</w:t>
      </w:r>
      <w:r>
        <w:rPr>
          <w:color w:val="000000" w:themeColor="text1"/>
          <w:spacing w:val="-4"/>
          <w14:textFill>
            <w14:solidFill>
              <w14:schemeClr w14:val="tx1"/>
            </w14:solidFill>
          </w14:textFill>
        </w:rPr>
        <w:t>100</w:t>
      </w:r>
      <w:r>
        <w:rPr>
          <w:rFonts w:hint="eastAsia"/>
          <w:color w:val="000000" w:themeColor="text1"/>
          <w:spacing w:val="-4"/>
          <w14:textFill>
            <w14:solidFill>
              <w14:schemeClr w14:val="tx1"/>
            </w14:solidFill>
          </w14:textFill>
        </w:rPr>
        <w:t>×</w:t>
      </w:r>
      <w:r>
        <w:rPr>
          <w:color w:val="000000" w:themeColor="text1"/>
          <w:spacing w:val="-4"/>
          <w14:textFill>
            <w14:solidFill>
              <w14:schemeClr w14:val="tx1"/>
            </w14:solidFill>
          </w14:textFill>
        </w:rPr>
        <w:t>10</w:t>
      </w:r>
      <w:r>
        <w:rPr>
          <w:color w:val="000000" w:themeColor="text1"/>
          <w:spacing w:val="-4"/>
          <w:vertAlign w:val="superscript"/>
          <w14:textFill>
            <w14:solidFill>
              <w14:schemeClr w14:val="tx1"/>
            </w14:solidFill>
          </w14:textFill>
        </w:rPr>
        <w:t>4</w:t>
      </w:r>
      <w:r>
        <w:rPr>
          <w:color w:val="000000" w:themeColor="text1"/>
          <w:spacing w:val="-4"/>
          <w14:textFill>
            <w14:solidFill>
              <w14:schemeClr w14:val="tx1"/>
            </w14:solidFill>
          </w14:textFill>
        </w:rPr>
        <w:t>t/a</w:t>
      </w:r>
      <w:r>
        <w:rPr>
          <w:rFonts w:hint="eastAsia"/>
          <w:color w:val="000000" w:themeColor="text1"/>
          <w:spacing w:val="-4"/>
          <w14:textFill>
            <w14:solidFill>
              <w14:schemeClr w14:val="tx1"/>
            </w14:solidFill>
          </w14:textFill>
        </w:rPr>
        <w:t>（有</w:t>
      </w:r>
      <w:r>
        <w:rPr>
          <w:color w:val="000000" w:themeColor="text1"/>
          <w:spacing w:val="-4"/>
          <w14:textFill>
            <w14:solidFill>
              <w14:schemeClr w14:val="tx1"/>
            </w14:solidFill>
          </w14:textFill>
        </w:rPr>
        <w:t>1.2</w:t>
      </w:r>
      <w:r>
        <w:rPr>
          <w:rFonts w:hint="eastAsia"/>
          <w:color w:val="000000" w:themeColor="text1"/>
          <w:spacing w:val="-4"/>
          <w14:textFill>
            <w14:solidFill>
              <w14:schemeClr w14:val="tx1"/>
            </w14:solidFill>
          </w14:textFill>
        </w:rPr>
        <w:t>倍的弹性系数，最大处理能力可达</w:t>
      </w:r>
      <w:r>
        <w:rPr>
          <w:color w:val="000000" w:themeColor="text1"/>
          <w:spacing w:val="-4"/>
          <w14:textFill>
            <w14:solidFill>
              <w14:schemeClr w14:val="tx1"/>
            </w14:solidFill>
          </w14:textFill>
        </w:rPr>
        <w:t>120</w:t>
      </w:r>
      <w:r>
        <w:rPr>
          <w:rFonts w:hint="eastAsia"/>
          <w:color w:val="000000" w:themeColor="text1"/>
          <w:spacing w:val="-4"/>
          <w14:textFill>
            <w14:solidFill>
              <w14:schemeClr w14:val="tx1"/>
            </w14:solidFill>
          </w14:textFill>
        </w:rPr>
        <w:t>×</w:t>
      </w:r>
      <w:r>
        <w:rPr>
          <w:color w:val="000000" w:themeColor="text1"/>
          <w:spacing w:val="-4"/>
          <w14:textFill>
            <w14:solidFill>
              <w14:schemeClr w14:val="tx1"/>
            </w14:solidFill>
          </w14:textFill>
        </w:rPr>
        <w:t>10</w:t>
      </w:r>
      <w:r>
        <w:rPr>
          <w:color w:val="000000" w:themeColor="text1"/>
          <w:spacing w:val="-4"/>
          <w:vertAlign w:val="superscript"/>
          <w14:textFill>
            <w14:solidFill>
              <w14:schemeClr w14:val="tx1"/>
            </w14:solidFill>
          </w14:textFill>
        </w:rPr>
        <w:t>4</w:t>
      </w:r>
      <w:r>
        <w:rPr>
          <w:color w:val="000000" w:themeColor="text1"/>
          <w:spacing w:val="-4"/>
          <w14:textFill>
            <w14:solidFill>
              <w14:schemeClr w14:val="tx1"/>
            </w14:solidFill>
          </w14:textFill>
        </w:rPr>
        <w:t>t/a</w:t>
      </w:r>
      <w:r>
        <w:rPr>
          <w:rFonts w:hint="eastAsia"/>
          <w:color w:val="000000" w:themeColor="text1"/>
          <w:spacing w:val="-4"/>
          <w14:textFill>
            <w14:solidFill>
              <w14:schemeClr w14:val="tx1"/>
            </w14:solidFill>
          </w14:textFill>
        </w:rPr>
        <w:t>），目前处理量为</w:t>
      </w:r>
      <w:r>
        <w:rPr>
          <w:color w:val="000000" w:themeColor="text1"/>
          <w:spacing w:val="-4"/>
          <w14:textFill>
            <w14:solidFill>
              <w14:schemeClr w14:val="tx1"/>
            </w14:solidFill>
          </w14:textFill>
        </w:rPr>
        <w:t>71</w:t>
      </w:r>
      <w:r>
        <w:rPr>
          <w:rFonts w:hint="eastAsia"/>
          <w:color w:val="000000" w:themeColor="text1"/>
          <w:spacing w:val="-4"/>
          <w14:textFill>
            <w14:solidFill>
              <w14:schemeClr w14:val="tx1"/>
            </w14:solidFill>
          </w14:textFill>
        </w:rPr>
        <w:t>×</w:t>
      </w:r>
      <w:r>
        <w:rPr>
          <w:color w:val="000000" w:themeColor="text1"/>
          <w:spacing w:val="-4"/>
          <w14:textFill>
            <w14:solidFill>
              <w14:schemeClr w14:val="tx1"/>
            </w14:solidFill>
          </w14:textFill>
        </w:rPr>
        <w:t>10</w:t>
      </w:r>
      <w:r>
        <w:rPr>
          <w:color w:val="000000" w:themeColor="text1"/>
          <w:spacing w:val="-4"/>
          <w:vertAlign w:val="superscript"/>
          <w14:textFill>
            <w14:solidFill>
              <w14:schemeClr w14:val="tx1"/>
            </w14:solidFill>
          </w14:textFill>
        </w:rPr>
        <w:t>4</w:t>
      </w:r>
      <w:r>
        <w:rPr>
          <w:color w:val="000000" w:themeColor="text1"/>
          <w:spacing w:val="-4"/>
          <w14:textFill>
            <w14:solidFill>
              <w14:schemeClr w14:val="tx1"/>
            </w14:solidFill>
          </w14:textFill>
        </w:rPr>
        <w:t>t/a</w:t>
      </w:r>
      <w:r>
        <w:rPr>
          <w:rFonts w:hint="eastAsia"/>
          <w:color w:val="000000" w:themeColor="text1"/>
          <w:spacing w:val="-4"/>
          <w14:textFill>
            <w14:solidFill>
              <w14:schemeClr w14:val="tx1"/>
            </w14:solidFill>
          </w14:textFill>
        </w:rPr>
        <w:t>。</w:t>
      </w:r>
      <w:bookmarkEnd w:id="278"/>
      <w:r>
        <w:rPr>
          <w:rFonts w:hint="eastAsia"/>
          <w:color w:val="000000" w:themeColor="text1"/>
          <w:spacing w:val="-4"/>
          <w14:textFill>
            <w14:solidFill>
              <w14:schemeClr w14:val="tx1"/>
            </w14:solidFill>
          </w14:textFill>
        </w:rPr>
        <w:t>原油处理采用“热电化学沉降脱水”工艺，集油区气液密闭混输进站（</w:t>
      </w:r>
      <w:r>
        <w:rPr>
          <w:color w:val="000000" w:themeColor="text1"/>
          <w:spacing w:val="-4"/>
          <w14:textFill>
            <w14:solidFill>
              <w14:schemeClr w14:val="tx1"/>
            </w14:solidFill>
          </w14:textFill>
        </w:rPr>
        <w:t>40</w:t>
      </w:r>
      <w:r>
        <w:rPr>
          <w:rFonts w:hint="eastAsia"/>
          <w:color w:val="000000" w:themeColor="text1"/>
          <w:spacing w:val="-4"/>
          <w14:textFill>
            <w14:solidFill>
              <w14:schemeClr w14:val="tx1"/>
            </w14:solidFill>
          </w14:textFill>
        </w:rPr>
        <w:t>℃～</w:t>
      </w:r>
      <w:r>
        <w:rPr>
          <w:color w:val="000000" w:themeColor="text1"/>
          <w:spacing w:val="-4"/>
          <w14:textFill>
            <w14:solidFill>
              <w14:schemeClr w14:val="tx1"/>
            </w14:solidFill>
          </w14:textFill>
        </w:rPr>
        <w:t>45</w:t>
      </w:r>
      <w:r>
        <w:rPr>
          <w:rFonts w:hint="eastAsia"/>
          <w:color w:val="000000" w:themeColor="text1"/>
          <w:spacing w:val="-4"/>
          <w14:textFill>
            <w14:solidFill>
              <w14:schemeClr w14:val="tx1"/>
            </w14:solidFill>
          </w14:textFill>
        </w:rPr>
        <w:t>℃，</w:t>
      </w:r>
      <w:r>
        <w:rPr>
          <w:color w:val="000000" w:themeColor="text1"/>
          <w:spacing w:val="-4"/>
          <w14:textFill>
            <w14:solidFill>
              <w14:schemeClr w14:val="tx1"/>
            </w14:solidFill>
          </w14:textFill>
        </w:rPr>
        <w:t>0.4MPa</w:t>
      </w:r>
      <w:r>
        <w:rPr>
          <w:rFonts w:hint="eastAsia"/>
          <w:color w:val="000000" w:themeColor="text1"/>
          <w:spacing w:val="-4"/>
          <w14:textFill>
            <w14:solidFill>
              <w14:schemeClr w14:val="tx1"/>
            </w14:solidFill>
          </w14:textFill>
        </w:rPr>
        <w:t>）与卸油缓冲罐来液（</w:t>
      </w:r>
      <w:r>
        <w:rPr>
          <w:color w:val="000000" w:themeColor="text1"/>
          <w:spacing w:val="-4"/>
          <w14:textFill>
            <w14:solidFill>
              <w14:schemeClr w14:val="tx1"/>
            </w14:solidFill>
          </w14:textFill>
        </w:rPr>
        <w:t>40</w:t>
      </w:r>
      <w:r>
        <w:rPr>
          <w:rFonts w:hint="eastAsia"/>
          <w:color w:val="000000" w:themeColor="text1"/>
          <w:spacing w:val="-4"/>
          <w14:textFill>
            <w14:solidFill>
              <w14:schemeClr w14:val="tx1"/>
            </w14:solidFill>
          </w14:textFill>
        </w:rPr>
        <w:t>℃～</w:t>
      </w:r>
      <w:r>
        <w:rPr>
          <w:color w:val="000000" w:themeColor="text1"/>
          <w:spacing w:val="-4"/>
          <w14:textFill>
            <w14:solidFill>
              <w14:schemeClr w14:val="tx1"/>
            </w14:solidFill>
          </w14:textFill>
        </w:rPr>
        <w:t>45</w:t>
      </w:r>
      <w:r>
        <w:rPr>
          <w:rFonts w:hint="eastAsia"/>
          <w:color w:val="000000" w:themeColor="text1"/>
          <w:spacing w:val="-4"/>
          <w14:textFill>
            <w14:solidFill>
              <w14:schemeClr w14:val="tx1"/>
            </w14:solidFill>
          </w14:textFill>
        </w:rPr>
        <w:t>℃，</w:t>
      </w:r>
      <w:r>
        <w:rPr>
          <w:color w:val="000000" w:themeColor="text1"/>
          <w:spacing w:val="-4"/>
          <w14:textFill>
            <w14:solidFill>
              <w14:schemeClr w14:val="tx1"/>
            </w14:solidFill>
          </w14:textFill>
        </w:rPr>
        <w:t>0.4MPa</w:t>
      </w:r>
      <w:r>
        <w:rPr>
          <w:rFonts w:hint="eastAsia"/>
          <w:color w:val="000000" w:themeColor="text1"/>
          <w:spacing w:val="-4"/>
          <w14:textFill>
            <w14:solidFill>
              <w14:schemeClr w14:val="tx1"/>
            </w14:solidFill>
          </w14:textFill>
        </w:rPr>
        <w:t>）在进站管汇混合后，先进三相分离器，分离出来的低含水原油（</w:t>
      </w:r>
      <w:r>
        <w:rPr>
          <w:color w:val="000000" w:themeColor="text1"/>
          <w:spacing w:val="-4"/>
          <w14:textFill>
            <w14:solidFill>
              <w14:schemeClr w14:val="tx1"/>
            </w14:solidFill>
          </w14:textFill>
        </w:rPr>
        <w:t>40</w:t>
      </w:r>
      <w:r>
        <w:rPr>
          <w:rFonts w:hint="eastAsia"/>
          <w:color w:val="000000" w:themeColor="text1"/>
          <w:spacing w:val="-4"/>
          <w14:textFill>
            <w14:solidFill>
              <w14:schemeClr w14:val="tx1"/>
            </w14:solidFill>
          </w14:textFill>
        </w:rPr>
        <w:t>℃～</w:t>
      </w:r>
      <w:r>
        <w:rPr>
          <w:color w:val="000000" w:themeColor="text1"/>
          <w:spacing w:val="-4"/>
          <w14:textFill>
            <w14:solidFill>
              <w14:schemeClr w14:val="tx1"/>
            </w14:solidFill>
          </w14:textFill>
        </w:rPr>
        <w:t>45</w:t>
      </w:r>
      <w:r>
        <w:rPr>
          <w:rFonts w:hint="eastAsia"/>
          <w:color w:val="000000" w:themeColor="text1"/>
          <w:spacing w:val="-4"/>
          <w14:textFill>
            <w14:solidFill>
              <w14:schemeClr w14:val="tx1"/>
            </w14:solidFill>
          </w14:textFill>
        </w:rPr>
        <w:t>℃）添加破乳剂后进入多功能处理装置。原油在多功能处理装置内经加热（</w:t>
      </w:r>
      <w:r>
        <w:rPr>
          <w:color w:val="000000" w:themeColor="text1"/>
          <w:spacing w:val="-4"/>
          <w14:textFill>
            <w14:solidFill>
              <w14:schemeClr w14:val="tx1"/>
            </w14:solidFill>
          </w14:textFill>
        </w:rPr>
        <w:t>60</w:t>
      </w:r>
      <w:r>
        <w:rPr>
          <w:rFonts w:hint="eastAsia"/>
          <w:color w:val="000000" w:themeColor="text1"/>
          <w:spacing w:val="-4"/>
          <w14:textFill>
            <w14:solidFill>
              <w14:schemeClr w14:val="tx1"/>
            </w14:solidFill>
          </w14:textFill>
        </w:rPr>
        <w:t>℃）、化学脱水和电脱水后出净化油进入外输系统。三相分离器及多功能处理油气水分离段分离出的伴生气经除油器除油、天然气处理装置处理后供站内使用。三相器分离出的水去压裂返排液处理装置，处理合格后用于压裂液复配；多功能处理装置分离出的水与卸油台来液在卸油缓冲罐混合后回掺至进站管汇。</w:t>
      </w:r>
    </w:p>
    <w:p w14:paraId="45DB92A4">
      <w:pPr>
        <w:pStyle w:val="191"/>
        <w:ind w:firstLine="472"/>
        <w:rPr>
          <w:rFonts w:hint="eastAsia"/>
          <w:color w:val="000000" w:themeColor="text1"/>
          <w14:textFill>
            <w14:solidFill>
              <w14:schemeClr w14:val="tx1"/>
            </w14:solidFill>
          </w14:textFill>
        </w:rPr>
      </w:pPr>
      <w:r>
        <w:rPr>
          <w:rFonts w:hint="eastAsia"/>
          <w:color w:val="000000" w:themeColor="text1"/>
          <w:spacing w:val="-4"/>
          <w14:textFill>
            <w14:solidFill>
              <w14:schemeClr w14:val="tx1"/>
            </w14:solidFill>
          </w14:textFill>
        </w:rPr>
        <w:t>原油处理系统设计规模200×</w:t>
      </w:r>
      <w:r>
        <w:rPr>
          <w:color w:val="000000" w:themeColor="text1"/>
          <w:spacing w:val="-4"/>
          <w14:textFill>
            <w14:solidFill>
              <w14:schemeClr w14:val="tx1"/>
            </w14:solidFill>
          </w14:textFill>
        </w:rPr>
        <w:t>10</w:t>
      </w:r>
      <w:r>
        <w:rPr>
          <w:color w:val="000000" w:themeColor="text1"/>
          <w:spacing w:val="-4"/>
          <w:vertAlign w:val="superscript"/>
          <w14:textFill>
            <w14:solidFill>
              <w14:schemeClr w14:val="tx1"/>
            </w14:solidFill>
          </w14:textFill>
        </w:rPr>
        <w:t>4</w:t>
      </w:r>
      <w:r>
        <w:rPr>
          <w:color w:val="000000" w:themeColor="text1"/>
          <w:spacing w:val="-4"/>
          <w14:textFill>
            <w14:solidFill>
              <w14:schemeClr w14:val="tx1"/>
            </w14:solidFill>
          </w14:textFill>
        </w:rPr>
        <w:t>t/a</w:t>
      </w:r>
      <w:r>
        <w:rPr>
          <w:rFonts w:hint="eastAsia"/>
          <w:color w:val="000000" w:themeColor="text1"/>
          <w:spacing w:val="-4"/>
          <w14:textFill>
            <w14:solidFill>
              <w14:schemeClr w14:val="tx1"/>
            </w14:solidFill>
          </w14:textFill>
        </w:rPr>
        <w:t>（</w:t>
      </w:r>
      <w:r>
        <w:rPr>
          <w:rFonts w:hint="eastAsia" w:cs="宋体"/>
          <w:color w:val="000000" w:themeColor="text1"/>
          <w:kern w:val="2"/>
          <w14:textFill>
            <w14:solidFill>
              <w14:schemeClr w14:val="tx1"/>
            </w14:solidFill>
          </w14:textFill>
        </w:rPr>
        <w:t>已建2列5</w:t>
      </w:r>
      <w:r>
        <w:rPr>
          <w:rFonts w:cs="宋体"/>
          <w:color w:val="000000" w:themeColor="text1"/>
          <w:kern w:val="2"/>
          <w14:textFill>
            <w14:solidFill>
              <w14:schemeClr w14:val="tx1"/>
            </w14:solidFill>
          </w14:textFill>
        </w:rPr>
        <w:t>0</w:t>
      </w:r>
      <w:r>
        <w:rPr>
          <w:rFonts w:hint="eastAsia" w:cs="宋体"/>
          <w:color w:val="000000" w:themeColor="text1"/>
          <w:kern w:val="2"/>
          <w14:textFill>
            <w14:solidFill>
              <w14:schemeClr w14:val="tx1"/>
            </w14:solidFill>
          </w14:textFill>
        </w:rPr>
        <w:t>×</w:t>
      </w:r>
      <w:r>
        <w:rPr>
          <w:rFonts w:cs="宋体"/>
          <w:color w:val="000000" w:themeColor="text1"/>
          <w:kern w:val="2"/>
          <w14:textFill>
            <w14:solidFill>
              <w14:schemeClr w14:val="tx1"/>
            </w14:solidFill>
          </w14:textFill>
        </w:rPr>
        <w:t>10</w:t>
      </w:r>
      <w:r>
        <w:rPr>
          <w:rFonts w:cs="宋体"/>
          <w:color w:val="000000" w:themeColor="text1"/>
          <w:kern w:val="2"/>
          <w:vertAlign w:val="superscript"/>
          <w14:textFill>
            <w14:solidFill>
              <w14:schemeClr w14:val="tx1"/>
            </w14:solidFill>
          </w14:textFill>
        </w:rPr>
        <w:t>4</w:t>
      </w:r>
      <w:r>
        <w:rPr>
          <w:rFonts w:hint="eastAsia" w:cs="宋体"/>
          <w:color w:val="000000" w:themeColor="text1"/>
          <w:kern w:val="2"/>
          <w14:textFill>
            <w14:solidFill>
              <w14:schemeClr w14:val="tx1"/>
            </w14:solidFill>
          </w14:textFill>
        </w:rPr>
        <w:t>t</w:t>
      </w:r>
      <w:r>
        <w:rPr>
          <w:rFonts w:cs="宋体"/>
          <w:color w:val="000000" w:themeColor="text1"/>
          <w:kern w:val="2"/>
          <w14:textFill>
            <w14:solidFill>
              <w14:schemeClr w14:val="tx1"/>
            </w14:solidFill>
          </w14:textFill>
        </w:rPr>
        <w:t>/a</w:t>
      </w:r>
      <w:r>
        <w:rPr>
          <w:rFonts w:hint="eastAsia" w:cs="宋体"/>
          <w:color w:val="000000" w:themeColor="text1"/>
          <w:kern w:val="2"/>
          <w14:textFill>
            <w14:solidFill>
              <w14:schemeClr w14:val="tx1"/>
            </w14:solidFill>
          </w14:textFill>
        </w:rPr>
        <w:t>的原油处理系统，在建2列5</w:t>
      </w:r>
      <w:r>
        <w:rPr>
          <w:rFonts w:cs="宋体"/>
          <w:color w:val="000000" w:themeColor="text1"/>
          <w:kern w:val="2"/>
          <w14:textFill>
            <w14:solidFill>
              <w14:schemeClr w14:val="tx1"/>
            </w14:solidFill>
          </w14:textFill>
        </w:rPr>
        <w:t>0</w:t>
      </w:r>
      <w:r>
        <w:rPr>
          <w:rFonts w:hint="eastAsia" w:cs="宋体"/>
          <w:color w:val="000000" w:themeColor="text1"/>
          <w:kern w:val="2"/>
          <w14:textFill>
            <w14:solidFill>
              <w14:schemeClr w14:val="tx1"/>
            </w14:solidFill>
          </w14:textFill>
        </w:rPr>
        <w:t>×</w:t>
      </w:r>
      <w:r>
        <w:rPr>
          <w:rFonts w:cs="宋体"/>
          <w:color w:val="000000" w:themeColor="text1"/>
          <w:kern w:val="2"/>
          <w14:textFill>
            <w14:solidFill>
              <w14:schemeClr w14:val="tx1"/>
            </w14:solidFill>
          </w14:textFill>
        </w:rPr>
        <w:t>10</w:t>
      </w:r>
      <w:r>
        <w:rPr>
          <w:rFonts w:cs="宋体"/>
          <w:color w:val="000000" w:themeColor="text1"/>
          <w:kern w:val="2"/>
          <w:vertAlign w:val="superscript"/>
          <w14:textFill>
            <w14:solidFill>
              <w14:schemeClr w14:val="tx1"/>
            </w14:solidFill>
          </w14:textFill>
        </w:rPr>
        <w:t>4</w:t>
      </w:r>
      <w:r>
        <w:rPr>
          <w:rFonts w:hint="eastAsia" w:cs="宋体"/>
          <w:color w:val="000000" w:themeColor="text1"/>
          <w:kern w:val="2"/>
          <w14:textFill>
            <w14:solidFill>
              <w14:schemeClr w14:val="tx1"/>
            </w14:solidFill>
          </w14:textFill>
        </w:rPr>
        <w:t>t</w:t>
      </w:r>
      <w:r>
        <w:rPr>
          <w:rFonts w:cs="宋体"/>
          <w:color w:val="000000" w:themeColor="text1"/>
          <w:kern w:val="2"/>
          <w14:textFill>
            <w14:solidFill>
              <w14:schemeClr w14:val="tx1"/>
            </w14:solidFill>
          </w14:textFill>
        </w:rPr>
        <w:t>/a</w:t>
      </w:r>
      <w:r>
        <w:rPr>
          <w:rFonts w:hint="eastAsia" w:cs="宋体"/>
          <w:color w:val="000000" w:themeColor="text1"/>
          <w:kern w:val="2"/>
          <w14:textFill>
            <w14:solidFill>
              <w14:schemeClr w14:val="tx1"/>
            </w14:solidFill>
          </w14:textFill>
        </w:rPr>
        <w:t>原油处理系统，总处理能力150×</w:t>
      </w:r>
      <w:r>
        <w:rPr>
          <w:rFonts w:cs="宋体"/>
          <w:color w:val="000000" w:themeColor="text1"/>
          <w:kern w:val="2"/>
          <w14:textFill>
            <w14:solidFill>
              <w14:schemeClr w14:val="tx1"/>
            </w14:solidFill>
          </w14:textFill>
        </w:rPr>
        <w:t>10</w:t>
      </w:r>
      <w:r>
        <w:rPr>
          <w:rFonts w:cs="宋体"/>
          <w:color w:val="000000" w:themeColor="text1"/>
          <w:kern w:val="2"/>
          <w:vertAlign w:val="superscript"/>
          <w14:textFill>
            <w14:solidFill>
              <w14:schemeClr w14:val="tx1"/>
            </w14:solidFill>
          </w14:textFill>
        </w:rPr>
        <w:t>4</w:t>
      </w:r>
      <w:r>
        <w:rPr>
          <w:rFonts w:hint="eastAsia" w:cs="宋体"/>
          <w:color w:val="000000" w:themeColor="text1"/>
          <w:kern w:val="2"/>
          <w14:textFill>
            <w14:solidFill>
              <w14:schemeClr w14:val="tx1"/>
            </w14:solidFill>
          </w14:textFill>
        </w:rPr>
        <w:t>t</w:t>
      </w:r>
      <w:r>
        <w:rPr>
          <w:rFonts w:cs="宋体"/>
          <w:color w:val="000000" w:themeColor="text1"/>
          <w:kern w:val="2"/>
          <w14:textFill>
            <w14:solidFill>
              <w14:schemeClr w14:val="tx1"/>
            </w14:solidFill>
          </w14:textFill>
        </w:rPr>
        <w:t>/a</w:t>
      </w:r>
      <w:r>
        <w:rPr>
          <w:rFonts w:hint="eastAsia"/>
          <w:color w:val="000000" w:themeColor="text1"/>
          <w:spacing w:val="-4"/>
          <w14:textFill>
            <w14:solidFill>
              <w14:schemeClr w14:val="tx1"/>
            </w14:solidFill>
          </w14:textFill>
        </w:rPr>
        <w:t>），</w:t>
      </w:r>
      <w:r>
        <w:rPr>
          <w:rFonts w:hint="eastAsia" w:cs="宋体"/>
          <w:color w:val="000000" w:themeColor="text1"/>
          <w:kern w:val="2"/>
          <w14:textFill>
            <w14:solidFill>
              <w14:schemeClr w14:val="tx1"/>
            </w14:solidFill>
          </w14:textFill>
        </w:rPr>
        <w:t>实际处理量为141.47×</w:t>
      </w:r>
      <w:r>
        <w:rPr>
          <w:rFonts w:cs="宋体"/>
          <w:color w:val="000000" w:themeColor="text1"/>
          <w:kern w:val="2"/>
          <w14:textFill>
            <w14:solidFill>
              <w14:schemeClr w14:val="tx1"/>
            </w14:solidFill>
          </w14:textFill>
        </w:rPr>
        <w:t>10</w:t>
      </w:r>
      <w:r>
        <w:rPr>
          <w:rFonts w:cs="宋体"/>
          <w:color w:val="000000" w:themeColor="text1"/>
          <w:kern w:val="2"/>
          <w:vertAlign w:val="superscript"/>
          <w14:textFill>
            <w14:solidFill>
              <w14:schemeClr w14:val="tx1"/>
            </w14:solidFill>
          </w14:textFill>
        </w:rPr>
        <w:t>4</w:t>
      </w:r>
      <w:r>
        <w:rPr>
          <w:rFonts w:hint="eastAsia" w:cs="宋体"/>
          <w:color w:val="000000" w:themeColor="text1"/>
          <w:kern w:val="2"/>
          <w14:textFill>
            <w14:solidFill>
              <w14:schemeClr w14:val="tx1"/>
            </w14:solidFill>
          </w14:textFill>
        </w:rPr>
        <w:t>t</w:t>
      </w:r>
      <w:r>
        <w:rPr>
          <w:rFonts w:cs="宋体"/>
          <w:color w:val="000000" w:themeColor="text1"/>
          <w:kern w:val="2"/>
          <w14:textFill>
            <w14:solidFill>
              <w14:schemeClr w14:val="tx1"/>
            </w14:solidFill>
          </w14:textFill>
        </w:rPr>
        <w:t>/a</w:t>
      </w:r>
      <w:r>
        <w:rPr>
          <w:rFonts w:hint="eastAsia" w:cs="宋体"/>
          <w:color w:val="000000" w:themeColor="text1"/>
          <w:kern w:val="2"/>
          <w14:textFill>
            <w14:solidFill>
              <w14:schemeClr w14:val="tx1"/>
            </w14:solidFill>
          </w14:textFill>
        </w:rPr>
        <w:t>，</w:t>
      </w:r>
      <w:r>
        <w:rPr>
          <w:rFonts w:hint="eastAsia"/>
          <w:color w:val="000000" w:themeColor="text1"/>
          <w14:textFill>
            <w14:solidFill>
              <w14:schemeClr w14:val="tx1"/>
            </w14:solidFill>
          </w14:textFill>
        </w:rPr>
        <w:t>本项目新增产能为2.68×10</w:t>
      </w:r>
      <w:r>
        <w:rPr>
          <w:rFonts w:hint="eastAsia"/>
          <w:color w:val="000000" w:themeColor="text1"/>
          <w:vertAlign w:val="superscript"/>
          <w14:textFill>
            <w14:solidFill>
              <w14:schemeClr w14:val="tx1"/>
            </w14:solidFill>
          </w14:textFill>
        </w:rPr>
        <w:t>4</w:t>
      </w:r>
      <w:r>
        <w:rPr>
          <w:rFonts w:hint="eastAsia"/>
          <w:color w:val="000000" w:themeColor="text1"/>
          <w14:textFill>
            <w14:solidFill>
              <w14:schemeClr w14:val="tx1"/>
            </w14:solidFill>
          </w14:textFill>
        </w:rPr>
        <w:t>t/a，富余处理能力可满足需求。</w:t>
      </w:r>
    </w:p>
    <w:p w14:paraId="139580F0">
      <w:pPr>
        <w:pStyle w:val="191"/>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②压裂返排液处理装置</w:t>
      </w:r>
    </w:p>
    <w:p w14:paraId="6980251E">
      <w:pPr>
        <w:pStyle w:val="191"/>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压裂返排液暂存在处理区的1座15万方暂存池，吉庆油田作业区压裂返排液处理目前委托第三方处置单位进行处理，处理区位于页岩油联合站南侧约60m处。</w:t>
      </w:r>
    </w:p>
    <w:p w14:paraId="741CD6FF">
      <w:pPr>
        <w:pStyle w:val="191"/>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压裂返排液处理装置负责处理联合站内来水及罐车拉运来的压裂返排液，采用氧化破胶+两级气浮+过滤处理工艺，在混凝沉淀箱中分别投加pH调整剂、破胶剂、有机混凝絮凝剂等通过沉淀去除污水中的悬浮物和浮油，再通过两级气浮进一步去除乳化油和悬浮物，出水经双滤料过滤器进一步处理后出水，出水计划优先回用于压裂液复配，使用不完时送至吉7井区进行回注，页岩油联合站至吉祥联合站采出水外输规模设计为4500m</w:t>
      </w:r>
      <w:r>
        <w:rPr>
          <w:rFonts w:hint="eastAsia"/>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/d。根据运行实际，井区压裂用水需求较高，净化水全部用于压裂液复配，未向吉7井区输送。</w:t>
      </w:r>
    </w:p>
    <w:p w14:paraId="1170F272">
      <w:pPr>
        <w:pStyle w:val="191"/>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另外吉庆油田作业区正在实施《新疆油田昌吉油田吉305-吉17井区芦草沟组页岩油产能建设项目（页岩油联合站二期扩建工程）》，该工程拟在页岩油联合站内新建1套3000m</w:t>
      </w:r>
      <w:r>
        <w:rPr>
          <w:rFonts w:hint="eastAsia"/>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d压裂返排液处理系统，建成后站内分离出的采出水全部进入新建系统处理，同时还可承担部分压裂返排液的处理任务，采用重力除油+电化学处理+生物处理的组合处理工艺。该工程已取得新疆生产建设兵团生态环境局出具的《关于新疆油田昌吉油田吉305-吉17井区芦草沟组页岩油产能建设项目（页岩油联合站二期扩建工程）环境影响报告书的批复》兵环审〔2024〕16号。该项目实施过程中因压裂返排液处理装置的设计处理规模及处理工艺发生变动，目前变更项目的环境影响报告书已上报至五家渠市生态环境局，正在审批过程中。</w:t>
      </w:r>
    </w:p>
    <w:p w14:paraId="3511B1FE">
      <w:pPr>
        <w:pStyle w:val="191"/>
        <w:ind w:firstLine="480"/>
        <w:rPr>
          <w:rFonts w:hint="eastAsia"/>
          <w:color w:val="000000" w:themeColor="text1"/>
          <w14:textFill>
            <w14:solidFill>
              <w14:schemeClr w14:val="tx1"/>
            </w14:solidFill>
          </w14:textFill>
        </w:rPr>
      </w:pPr>
      <w:bookmarkStart w:id="279" w:name="OLE_LINK39"/>
      <w:r>
        <w:rPr>
          <w:rFonts w:hint="eastAsia"/>
          <w:color w:val="000000" w:themeColor="text1"/>
          <w14:textFill>
            <w14:solidFill>
              <w14:schemeClr w14:val="tx1"/>
            </w14:solidFill>
          </w14:textFill>
        </w:rPr>
        <w:t>压裂返排液处理装置设计处理规模为</w:t>
      </w:r>
      <w:bookmarkStart w:id="280" w:name="OLE_LINK63"/>
      <w:r>
        <w:rPr>
          <w:rFonts w:hint="eastAsia"/>
          <w:color w:val="000000" w:themeColor="text1"/>
          <w14:textFill>
            <w14:solidFill>
              <w14:schemeClr w14:val="tx1"/>
            </w14:solidFill>
          </w14:textFill>
        </w:rPr>
        <w:t>4500m</w:t>
      </w:r>
      <w:r>
        <w:rPr>
          <w:rFonts w:hint="eastAsia"/>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/d，</w:t>
      </w:r>
      <w:bookmarkEnd w:id="280"/>
      <w:r>
        <w:rPr>
          <w:rFonts w:hint="eastAsia"/>
          <w:color w:val="000000" w:themeColor="text1"/>
          <w14:textFill>
            <w14:solidFill>
              <w14:schemeClr w14:val="tx1"/>
            </w14:solidFill>
          </w14:textFill>
        </w:rPr>
        <w:t>目前实际处理量为5268m</w:t>
      </w:r>
      <w:r>
        <w:rPr>
          <w:rFonts w:hint="eastAsia"/>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/d，</w:t>
      </w:r>
      <w:bookmarkEnd w:id="279"/>
      <w:r>
        <w:rPr>
          <w:rFonts w:hint="eastAsia"/>
          <w:color w:val="000000" w:themeColor="text1"/>
          <w14:textFill>
            <w14:solidFill>
              <w14:schemeClr w14:val="tx1"/>
            </w14:solidFill>
          </w14:textFill>
        </w:rPr>
        <w:t>在建压裂返排液处理装置设计处理规模为4800m</w:t>
      </w:r>
      <w:r>
        <w:rPr>
          <w:rFonts w:hint="eastAsia"/>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/d。本项目新增采出水量为4.2</w:t>
      </w:r>
      <w:r>
        <w:rPr>
          <w:rFonts w:hint="eastAsia" w:cs="宋体"/>
          <w:color w:val="000000" w:themeColor="text1"/>
          <w14:textFill>
            <w14:solidFill>
              <w14:schemeClr w14:val="tx1"/>
            </w14:solidFill>
          </w14:textFill>
        </w:rPr>
        <w:t>×</w:t>
      </w:r>
      <w:r>
        <w:rPr>
          <w:rFonts w:cs="宋体"/>
          <w:color w:val="000000" w:themeColor="text1"/>
          <w14:textFill>
            <w14:solidFill>
              <w14:schemeClr w14:val="tx1"/>
            </w14:solidFill>
          </w14:textFill>
        </w:rPr>
        <w:t>10</w:t>
      </w:r>
      <w:r>
        <w:rPr>
          <w:rFonts w:cs="宋体"/>
          <w:color w:val="000000" w:themeColor="text1"/>
          <w:vertAlign w:val="superscript"/>
          <w14:textFill>
            <w14:solidFill>
              <w14:schemeClr w14:val="tx1"/>
            </w14:solidFill>
          </w14:textFill>
        </w:rPr>
        <w:t>4</w:t>
      </w:r>
      <w:r>
        <w:rPr>
          <w:rFonts w:cs="宋体"/>
          <w:color w:val="000000" w:themeColor="text1"/>
          <w14:textFill>
            <w14:solidFill>
              <w14:schemeClr w14:val="tx1"/>
            </w14:solidFill>
          </w14:textFill>
        </w:rPr>
        <w:t>m</w:t>
      </w:r>
      <w:r>
        <w:rPr>
          <w:rFonts w:cs="宋体"/>
          <w:color w:val="000000" w:themeColor="text1"/>
          <w:vertAlign w:val="superscript"/>
          <w14:textFill>
            <w14:solidFill>
              <w14:schemeClr w14:val="tx1"/>
            </w14:solidFill>
          </w14:textFill>
        </w:rPr>
        <w:t>3</w:t>
      </w:r>
      <w:r>
        <w:rPr>
          <w:rFonts w:cs="宋体"/>
          <w:color w:val="000000" w:themeColor="text1"/>
          <w14:textFill>
            <w14:solidFill>
              <w14:schemeClr w14:val="tx1"/>
            </w14:solidFill>
          </w14:textFill>
        </w:rPr>
        <w:t>/</w:t>
      </w:r>
      <w:r>
        <w:rPr>
          <w:rFonts w:hint="eastAsia" w:cs="宋体"/>
          <w:color w:val="000000" w:themeColor="text1"/>
          <w14:textFill>
            <w14:solidFill>
              <w14:schemeClr w14:val="tx1"/>
            </w14:solidFill>
          </w14:textFill>
        </w:rPr>
        <w:t>a（140m</w:t>
      </w:r>
      <w:r>
        <w:rPr>
          <w:rFonts w:hint="eastAsia" w:cs="宋体"/>
          <w:color w:val="000000" w:themeColor="text1"/>
          <w:vertAlign w:val="superscript"/>
          <w14:textFill>
            <w14:solidFill>
              <w14:schemeClr w14:val="tx1"/>
            </w14:solidFill>
          </w14:textFill>
        </w:rPr>
        <w:t>3</w:t>
      </w:r>
      <w:r>
        <w:rPr>
          <w:rFonts w:hint="eastAsia" w:cs="宋体"/>
          <w:color w:val="000000" w:themeColor="text1"/>
          <w14:textFill>
            <w14:solidFill>
              <w14:schemeClr w14:val="tx1"/>
            </w14:solidFill>
          </w14:textFill>
        </w:rPr>
        <w:t>/d）</w:t>
      </w:r>
      <w:r>
        <w:rPr>
          <w:rFonts w:hint="eastAsia"/>
          <w:color w:val="000000" w:themeColor="text1"/>
          <w14:textFill>
            <w14:solidFill>
              <w14:schemeClr w14:val="tx1"/>
            </w14:solidFill>
          </w14:textFill>
        </w:rPr>
        <w:t>、洗井废水和井下作业废液合计量为1932.06m</w:t>
      </w:r>
      <w:r>
        <w:rPr>
          <w:rFonts w:hint="eastAsia"/>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/a（193.206m</w:t>
      </w:r>
      <w:r>
        <w:rPr>
          <w:rFonts w:hint="eastAsia"/>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/d，井下作业时间按照10天考虑），富余处理能力可满足需求，依托可行。</w:t>
      </w:r>
    </w:p>
    <w:p w14:paraId="02E6280E">
      <w:pPr>
        <w:pStyle w:val="191"/>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③净化油外输系统依托可行性分析</w:t>
      </w:r>
    </w:p>
    <w:p w14:paraId="529B5F33">
      <w:pPr>
        <w:pStyle w:val="191"/>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本项目原油经页岩油联合站原油处理系统处理合格后，依托现有净化油外输管线管输至北三台油库，</w:t>
      </w:r>
      <w:bookmarkStart w:id="281" w:name="OLE_LINK52"/>
      <w:r>
        <w:rPr>
          <w:rFonts w:hint="eastAsia"/>
          <w:color w:val="000000" w:themeColor="text1"/>
          <w:kern w:val="2"/>
          <w14:textFill>
            <w14:solidFill>
              <w14:schemeClr w14:val="tx1"/>
            </w14:solidFill>
          </w14:textFill>
        </w:rPr>
        <w:t>净化油外输系统设计规模为260×10</w:t>
      </w:r>
      <w:r>
        <w:rPr>
          <w:rFonts w:hint="eastAsia"/>
          <w:color w:val="000000" w:themeColor="text1"/>
          <w:kern w:val="2"/>
          <w:vertAlign w:val="superscript"/>
          <w14:textFill>
            <w14:solidFill>
              <w14:schemeClr w14:val="tx1"/>
            </w14:solidFill>
          </w14:textFill>
        </w:rPr>
        <w:t>4</w:t>
      </w:r>
      <w:r>
        <w:rPr>
          <w:rFonts w:hint="eastAsia"/>
          <w:color w:val="000000" w:themeColor="text1"/>
          <w:kern w:val="2"/>
          <w14:textFill>
            <w14:solidFill>
              <w14:schemeClr w14:val="tx1"/>
            </w14:solidFill>
          </w14:textFill>
        </w:rPr>
        <w:t>t/a，实际外输规模为107×</w:t>
      </w:r>
      <w:r>
        <w:rPr>
          <w:color w:val="000000" w:themeColor="text1"/>
          <w:kern w:val="2"/>
          <w14:textFill>
            <w14:solidFill>
              <w14:schemeClr w14:val="tx1"/>
            </w14:solidFill>
          </w14:textFill>
        </w:rPr>
        <w:t>10</w:t>
      </w:r>
      <w:r>
        <w:rPr>
          <w:color w:val="000000" w:themeColor="text1"/>
          <w:kern w:val="2"/>
          <w:vertAlign w:val="superscript"/>
          <w14:textFill>
            <w14:solidFill>
              <w14:schemeClr w14:val="tx1"/>
            </w14:solidFill>
          </w14:textFill>
        </w:rPr>
        <w:t>4</w:t>
      </w:r>
      <w:r>
        <w:rPr>
          <w:rFonts w:hint="eastAsia"/>
          <w:color w:val="000000" w:themeColor="text1"/>
          <w:kern w:val="2"/>
          <w14:textFill>
            <w14:solidFill>
              <w14:schemeClr w14:val="tx1"/>
            </w14:solidFill>
          </w14:textFill>
        </w:rPr>
        <w:t>t</w:t>
      </w:r>
      <w:r>
        <w:rPr>
          <w:color w:val="000000" w:themeColor="text1"/>
          <w:kern w:val="2"/>
          <w14:textFill>
            <w14:solidFill>
              <w14:schemeClr w14:val="tx1"/>
            </w14:solidFill>
          </w14:textFill>
        </w:rPr>
        <w:t>/a</w:t>
      </w:r>
      <w:r>
        <w:rPr>
          <w:rFonts w:hint="eastAsia"/>
          <w:color w:val="000000" w:themeColor="text1"/>
          <w:kern w:val="2"/>
          <w14:textFill>
            <w14:solidFill>
              <w14:schemeClr w14:val="tx1"/>
            </w14:solidFill>
          </w14:textFill>
        </w:rPr>
        <w:t>，</w:t>
      </w:r>
      <w:bookmarkEnd w:id="281"/>
      <w:r>
        <w:rPr>
          <w:rFonts w:hint="eastAsia"/>
          <w:color w:val="000000" w:themeColor="text1"/>
          <w:kern w:val="2"/>
          <w14:textFill>
            <w14:solidFill>
              <w14:schemeClr w14:val="tx1"/>
            </w14:solidFill>
          </w14:textFill>
        </w:rPr>
        <w:t>富余外输能力为153×</w:t>
      </w:r>
      <w:r>
        <w:rPr>
          <w:color w:val="000000" w:themeColor="text1"/>
          <w:kern w:val="2"/>
          <w14:textFill>
            <w14:solidFill>
              <w14:schemeClr w14:val="tx1"/>
            </w14:solidFill>
          </w14:textFill>
        </w:rPr>
        <w:t>10</w:t>
      </w:r>
      <w:r>
        <w:rPr>
          <w:color w:val="000000" w:themeColor="text1"/>
          <w:kern w:val="2"/>
          <w:vertAlign w:val="superscript"/>
          <w14:textFill>
            <w14:solidFill>
              <w14:schemeClr w14:val="tx1"/>
            </w14:solidFill>
          </w14:textFill>
        </w:rPr>
        <w:t>4</w:t>
      </w:r>
      <w:r>
        <w:rPr>
          <w:rFonts w:hint="eastAsia"/>
          <w:color w:val="000000" w:themeColor="text1"/>
          <w:kern w:val="2"/>
          <w14:textFill>
            <w14:solidFill>
              <w14:schemeClr w14:val="tx1"/>
            </w14:solidFill>
          </w14:textFill>
        </w:rPr>
        <w:t>t</w:t>
      </w:r>
      <w:r>
        <w:rPr>
          <w:color w:val="000000" w:themeColor="text1"/>
          <w:kern w:val="2"/>
          <w14:textFill>
            <w14:solidFill>
              <w14:schemeClr w14:val="tx1"/>
            </w14:solidFill>
          </w14:textFill>
        </w:rPr>
        <w:t>/a</w:t>
      </w:r>
      <w:r>
        <w:rPr>
          <w:rFonts w:hint="eastAsia"/>
          <w:color w:val="000000" w:themeColor="text1"/>
          <w:kern w:val="2"/>
          <w14:textFill>
            <w14:solidFill>
              <w14:schemeClr w14:val="tx1"/>
            </w14:solidFill>
          </w14:textFill>
        </w:rPr>
        <w:t>，本项目新增产能为</w:t>
      </w:r>
      <w:r>
        <w:rPr>
          <w:rFonts w:hint="eastAsia"/>
          <w:color w:val="000000" w:themeColor="text1"/>
          <w14:textFill>
            <w14:solidFill>
              <w14:schemeClr w14:val="tx1"/>
            </w14:solidFill>
          </w14:textFill>
        </w:rPr>
        <w:t>2.68×10</w:t>
      </w:r>
      <w:r>
        <w:rPr>
          <w:rFonts w:hint="eastAsia"/>
          <w:color w:val="000000" w:themeColor="text1"/>
          <w:vertAlign w:val="superscript"/>
          <w14:textFill>
            <w14:solidFill>
              <w14:schemeClr w14:val="tx1"/>
            </w14:solidFill>
          </w14:textFill>
        </w:rPr>
        <w:t>4</w:t>
      </w:r>
      <w:r>
        <w:rPr>
          <w:rFonts w:hint="eastAsia"/>
          <w:color w:val="000000" w:themeColor="text1"/>
          <w14:textFill>
            <w14:solidFill>
              <w14:schemeClr w14:val="tx1"/>
            </w14:solidFill>
          </w14:textFill>
        </w:rPr>
        <w:t>t/a，现有外输系统可满足输送需求，依托可行。</w:t>
      </w:r>
    </w:p>
    <w:p w14:paraId="2DA017A0">
      <w:pPr>
        <w:pStyle w:val="191"/>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北三台油库最大设计周转量为359.04</w:t>
      </w:r>
      <w:r>
        <w:rPr>
          <w:rFonts w:hint="eastAsia"/>
          <w:color w:val="000000" w:themeColor="text1"/>
          <w:kern w:val="2"/>
          <w14:textFill>
            <w14:solidFill>
              <w14:schemeClr w14:val="tx1"/>
            </w14:solidFill>
          </w14:textFill>
        </w:rPr>
        <w:t>×10</w:t>
      </w:r>
      <w:r>
        <w:rPr>
          <w:rFonts w:hint="eastAsia"/>
          <w:color w:val="000000" w:themeColor="text1"/>
          <w:kern w:val="2"/>
          <w:vertAlign w:val="superscript"/>
          <w14:textFill>
            <w14:solidFill>
              <w14:schemeClr w14:val="tx1"/>
            </w14:solidFill>
          </w14:textFill>
        </w:rPr>
        <w:t>4</w:t>
      </w:r>
      <w:r>
        <w:rPr>
          <w:rFonts w:hint="eastAsia"/>
          <w:color w:val="000000" w:themeColor="text1"/>
          <w:kern w:val="2"/>
          <w14:textFill>
            <w14:solidFill>
              <w14:schemeClr w14:val="tx1"/>
            </w14:solidFill>
          </w14:textFill>
        </w:rPr>
        <w:t>t/a，本项目新增产能为</w:t>
      </w:r>
      <w:r>
        <w:rPr>
          <w:rFonts w:hint="eastAsia"/>
          <w:color w:val="000000" w:themeColor="text1"/>
          <w14:textFill>
            <w14:solidFill>
              <w14:schemeClr w14:val="tx1"/>
            </w14:solidFill>
          </w14:textFill>
        </w:rPr>
        <w:t>2.68×10</w:t>
      </w:r>
      <w:r>
        <w:rPr>
          <w:rFonts w:hint="eastAsia"/>
          <w:color w:val="000000" w:themeColor="text1"/>
          <w:vertAlign w:val="superscript"/>
          <w14:textFill>
            <w14:solidFill>
              <w14:schemeClr w14:val="tx1"/>
            </w14:solidFill>
          </w14:textFill>
        </w:rPr>
        <w:t>4</w:t>
      </w:r>
      <w:r>
        <w:rPr>
          <w:rFonts w:hint="eastAsia"/>
          <w:color w:val="000000" w:themeColor="text1"/>
          <w14:textFill>
            <w14:solidFill>
              <w14:schemeClr w14:val="tx1"/>
            </w14:solidFill>
          </w14:textFill>
        </w:rPr>
        <w:t>t/a，项目新增产能占北三台油库最大设计周转量比例相对较小，北三台油库现有设施可满足本项目需求，依托可行。</w:t>
      </w:r>
    </w:p>
    <w:p w14:paraId="71B71569">
      <w:pPr>
        <w:pStyle w:val="191"/>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④危险废物贮存依托可行性分析</w:t>
      </w:r>
    </w:p>
    <w:p w14:paraId="17BD5781">
      <w:pPr>
        <w:pStyle w:val="191"/>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废分子筛、废润滑油、废油桶、含油废抹布劳保用品、沾油废防渗材料贮存依托</w:t>
      </w:r>
      <w:r>
        <w:rPr>
          <w:rFonts w:hint="eastAsia" w:cs="宋体"/>
          <w:color w:val="000000" w:themeColor="text1"/>
          <w:lang w:val="zh-CN"/>
          <w14:textFill>
            <w14:solidFill>
              <w14:schemeClr w14:val="tx1"/>
            </w14:solidFill>
          </w14:textFill>
        </w:rPr>
        <w:t>页岩油联合站在建的危险废物暂存场。</w:t>
      </w:r>
      <w:bookmarkStart w:id="282" w:name="_Hlk173429259"/>
      <w:r>
        <w:rPr>
          <w:rFonts w:hint="eastAsia" w:cs="宋体"/>
          <w:color w:val="000000" w:themeColor="text1"/>
          <w:lang w:val="zh-CN"/>
          <w14:textFill>
            <w14:solidFill>
              <w14:schemeClr w14:val="tx1"/>
            </w14:solidFill>
          </w14:textFill>
        </w:rPr>
        <w:t>新建</w:t>
      </w:r>
      <w:r>
        <w:rPr>
          <w:rFonts w:hint="eastAsia"/>
          <w:color w:val="000000" w:themeColor="text1"/>
          <w:spacing w:val="-2"/>
          <w14:textFill>
            <w14:solidFill>
              <w14:schemeClr w14:val="tx1"/>
            </w14:solidFill>
          </w14:textFill>
        </w:rPr>
        <w:t>危险废物暂存场，</w:t>
      </w:r>
      <w:r>
        <w:rPr>
          <w:rFonts w:hint="eastAsia"/>
          <w:color w:val="000000" w:themeColor="text1"/>
          <w14:textFill>
            <w14:solidFill>
              <w14:schemeClr w14:val="tx1"/>
            </w14:solidFill>
          </w14:textFill>
        </w:rPr>
        <w:t>新建危废暂存设施</w:t>
      </w:r>
      <w:r>
        <w:rPr>
          <w:rFonts w:hint="eastAsia"/>
          <w:color w:val="000000" w:themeColor="text1"/>
          <w:spacing w:val="-2"/>
          <w14:textFill>
            <w14:solidFill>
              <w14:schemeClr w14:val="tx1"/>
            </w14:solidFill>
          </w14:textFill>
        </w:rPr>
        <w:t>占地1200m</w:t>
      </w:r>
      <w:r>
        <w:rPr>
          <w:rFonts w:hint="eastAsia"/>
          <w:color w:val="000000" w:themeColor="text1"/>
          <w:spacing w:val="-2"/>
          <w:vertAlign w:val="superscript"/>
          <w14:textFill>
            <w14:solidFill>
              <w14:schemeClr w14:val="tx1"/>
            </w14:solidFill>
          </w14:textFill>
        </w:rPr>
        <w:t>2</w:t>
      </w:r>
      <w:r>
        <w:rPr>
          <w:rFonts w:hint="eastAsia"/>
          <w:color w:val="000000" w:themeColor="text1"/>
          <w:spacing w:val="-2"/>
          <w14:textFill>
            <w14:solidFill>
              <w14:schemeClr w14:val="tx1"/>
            </w14:solidFill>
          </w14:textFill>
        </w:rPr>
        <w:t>，</w:t>
      </w:r>
      <w:r>
        <w:rPr>
          <w:rFonts w:hint="eastAsia"/>
          <w:color w:val="000000" w:themeColor="text1"/>
          <w14:textFill>
            <w14:solidFill>
              <w14:schemeClr w14:val="tx1"/>
            </w14:solidFill>
          </w14:textFill>
        </w:rPr>
        <w:t>为棚式设计，为单层门钢架结构，三面建设钢混墙（高1m），一面为钢铁门，方便运输车辆进出；顶部加盖彩钢板顶棚，具备防风、防雨、防晒功能，配套建设渗滤液收集池，池体、暂存场基础、地面及围墙采用人工防渗材料+抗渗混凝土，抗渗等级设计为P8，总体防渗系数小于10</w:t>
      </w:r>
      <w:r>
        <w:rPr>
          <w:rFonts w:hint="eastAsia"/>
          <w:color w:val="000000" w:themeColor="text1"/>
          <w:vertAlign w:val="superscript"/>
          <w14:textFill>
            <w14:solidFill>
              <w14:schemeClr w14:val="tx1"/>
            </w14:solidFill>
          </w14:textFill>
        </w:rPr>
        <w:t>-10</w:t>
      </w:r>
      <w:r>
        <w:rPr>
          <w:rFonts w:hint="eastAsia"/>
          <w:color w:val="000000" w:themeColor="text1"/>
          <w14:textFill>
            <w14:solidFill>
              <w14:schemeClr w14:val="tx1"/>
            </w14:solidFill>
          </w14:textFill>
        </w:rPr>
        <w:t>cm/s，危险废物暂存场满足《危险废物贮存污染控制标准》（GB18597-2023）中相关要求。该工程已取得新疆生产建设兵团生态环境局出具的《关于新疆油田昌吉油田吉305-吉17井区芦草沟组页岩油产能建设项目（页岩油联合站二期扩建工程）环境影响报告书的批复》兵环审〔2024〕16号，目前正在准备建设。拟建危险废物暂存场可满足本项目危险废物的贮存需求，依托可行。</w:t>
      </w:r>
    </w:p>
    <w:bookmarkEnd w:id="270"/>
    <w:bookmarkEnd w:id="282"/>
    <w:p w14:paraId="55D2BB2A">
      <w:pPr>
        <w:pStyle w:val="191"/>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⑤危险废物处理</w:t>
      </w:r>
    </w:p>
    <w:p w14:paraId="10632928">
      <w:pPr>
        <w:pStyle w:val="191"/>
        <w:spacing w:line="480" w:lineRule="exact"/>
        <w:ind w:firstLine="480"/>
        <w:rPr>
          <w:rFonts w:hint="eastAsia"/>
          <w:color w:val="000000" w:themeColor="text1"/>
          <w14:textFill>
            <w14:solidFill>
              <w14:schemeClr w14:val="tx1"/>
            </w14:solidFill>
          </w14:textFill>
        </w:rPr>
      </w:pPr>
      <w:bookmarkStart w:id="283" w:name="OLE_LINK50"/>
      <w:r>
        <w:rPr>
          <w:rFonts w:hint="eastAsia"/>
          <w:color w:val="000000" w:themeColor="text1"/>
          <w14:textFill>
            <w14:solidFill>
              <w14:schemeClr w14:val="tx1"/>
            </w14:solidFill>
          </w14:textFill>
        </w:rPr>
        <w:t>2</w:t>
      </w:r>
      <w:r>
        <w:rPr>
          <w:color w:val="000000" w:themeColor="text1"/>
          <w14:textFill>
            <w14:solidFill>
              <w14:schemeClr w14:val="tx1"/>
            </w14:solidFill>
          </w14:textFill>
        </w:rPr>
        <w:t>02</w:t>
      </w:r>
      <w:r>
        <w:rPr>
          <w:rFonts w:hint="eastAsia"/>
          <w:color w:val="000000" w:themeColor="text1"/>
          <w14:textFill>
            <w14:solidFill>
              <w14:schemeClr w14:val="tx1"/>
            </w14:solidFill>
          </w14:textFill>
        </w:rPr>
        <w:t>5年吉庆油田作业区与克拉玛依博达生态环保科技有限责任公司签订了危废处置协议。</w:t>
      </w:r>
      <w:bookmarkEnd w:id="283"/>
      <w:r>
        <w:rPr>
          <w:rFonts w:hint="eastAsia"/>
          <w:color w:val="000000" w:themeColor="text1"/>
          <w14:textFill>
            <w14:solidFill>
              <w14:schemeClr w14:val="tx1"/>
            </w14:solidFill>
          </w14:textFill>
        </w:rPr>
        <w:t>克拉玛依博达生态环保科技有限责任公司（危险废物经营许可证编号：</w:t>
      </w:r>
      <w:r>
        <w:rPr>
          <w:color w:val="000000" w:themeColor="text1"/>
          <w14:textFill>
            <w14:solidFill>
              <w14:schemeClr w14:val="tx1"/>
            </w14:solidFill>
          </w14:textFill>
        </w:rPr>
        <w:t>65020</w:t>
      </w:r>
      <w:r>
        <w:rPr>
          <w:rFonts w:hint="eastAsia"/>
          <w:color w:val="000000" w:themeColor="text1"/>
          <w14:textFill>
            <w14:solidFill>
              <w14:schemeClr w14:val="tx1"/>
            </w14:solidFill>
          </w14:textFill>
        </w:rPr>
        <w:t>40117，有效期2022年2月11日—2027年2月10日）经营危险废物类别包括HW08废矿物油与含矿物油废物、HW13有机树脂类废物和HW49其他废物，具体类别包括本工程产生的</w:t>
      </w:r>
      <w:r>
        <w:rPr>
          <w:color w:val="000000" w:themeColor="text1"/>
          <w14:textFill>
            <w14:solidFill>
              <w14:schemeClr w14:val="tx1"/>
            </w14:solidFill>
          </w14:textFill>
        </w:rPr>
        <w:t>900-214-08</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071-001-08</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900-249-08</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900-041-49</w:t>
      </w:r>
      <w:r>
        <w:rPr>
          <w:rFonts w:hint="eastAsia"/>
          <w:color w:val="000000" w:themeColor="text1"/>
          <w14:textFill>
            <w14:solidFill>
              <w14:schemeClr w14:val="tx1"/>
            </w14:solidFill>
          </w14:textFill>
        </w:rPr>
        <w:t>。总经营规模138.5万吨/年（其中，含油污泥30万吨/年，含油泥废液34万吨/年，干化油泥及废矿物油40.5万吨/年、含油钻井废弃物10.5万吨/年、废防渗膜和废树脂3.5万吨/年，废油基泥浆20万吨/年）。</w:t>
      </w:r>
    </w:p>
    <w:p w14:paraId="472E906A">
      <w:pPr>
        <w:pStyle w:val="191"/>
        <w:spacing w:line="480" w:lineRule="exact"/>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本工程H</w:t>
      </w:r>
      <w:r>
        <w:rPr>
          <w:color w:val="000000" w:themeColor="text1"/>
          <w14:textFill>
            <w14:solidFill>
              <w14:schemeClr w14:val="tx1"/>
            </w14:solidFill>
          </w14:textFill>
        </w:rPr>
        <w:t>W08</w:t>
      </w:r>
      <w:r>
        <w:rPr>
          <w:rFonts w:hint="eastAsia"/>
          <w:color w:val="000000" w:themeColor="text1"/>
          <w14:textFill>
            <w14:solidFill>
              <w14:schemeClr w14:val="tx1"/>
            </w14:solidFill>
          </w14:textFill>
        </w:rPr>
        <w:t>类危废产生总量约1.71t</w:t>
      </w:r>
      <w:r>
        <w:rPr>
          <w:color w:val="000000" w:themeColor="text1"/>
          <w14:textFill>
            <w14:solidFill>
              <w14:schemeClr w14:val="tx1"/>
            </w14:solidFill>
          </w14:textFill>
        </w:rPr>
        <w:t>/a</w:t>
      </w:r>
      <w:r>
        <w:rPr>
          <w:rFonts w:hint="eastAsia"/>
          <w:color w:val="000000" w:themeColor="text1"/>
          <w14:textFill>
            <w14:solidFill>
              <w14:schemeClr w14:val="tx1"/>
            </w14:solidFill>
          </w14:textFill>
        </w:rPr>
        <w:t>，HW49类危险废物约1.25t/a，相较于克拉玛依博达生态环保科技有限责任公司总体处理能力占比很小。此外，克拉玛依市附近多家具有相应处理资质及处理能力的危废处理单位，吉庆油田作业区可根据需求及各危废处置单位接纳能力选择满足本工程及各项依托设施的危险废物处理需要。综上所述，项目危废处置依托可行。</w:t>
      </w:r>
    </w:p>
    <w:p w14:paraId="606704C7">
      <w:pPr>
        <w:pStyle w:val="191"/>
        <w:spacing w:line="480" w:lineRule="exact"/>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⑥</w:t>
      </w:r>
      <w:r>
        <w:rPr>
          <w:color w:val="000000" w:themeColor="text1"/>
          <w14:textFill>
            <w14:solidFill>
              <w14:schemeClr w14:val="tx1"/>
            </w14:solidFill>
          </w14:textFill>
        </w:rPr>
        <w:t>生活污水</w:t>
      </w:r>
      <w:r>
        <w:rPr>
          <w:rFonts w:hint="eastAsia"/>
          <w:color w:val="000000" w:themeColor="text1"/>
          <w14:textFill>
            <w14:solidFill>
              <w14:schemeClr w14:val="tx1"/>
            </w14:solidFill>
          </w14:textFill>
        </w:rPr>
        <w:t>处理</w:t>
      </w:r>
      <w:r>
        <w:rPr>
          <w:color w:val="000000" w:themeColor="text1"/>
          <w14:textFill>
            <w14:solidFill>
              <w14:schemeClr w14:val="tx1"/>
            </w14:solidFill>
          </w14:textFill>
        </w:rPr>
        <w:t>依托可行性分析</w:t>
      </w:r>
    </w:p>
    <w:p w14:paraId="6B2F3110">
      <w:pPr>
        <w:snapToGrid w:val="0"/>
        <w:spacing w:line="500" w:lineRule="exact"/>
        <w:ind w:firstLine="480" w:firstLineChars="200"/>
        <w:rPr>
          <w:rFonts w:hint="eastAsia" w:ascii="宋体" w:hAnsi="宋体"/>
          <w:color w:val="000000" w:themeColor="text1"/>
          <w:sz w:val="24"/>
          <w:szCs w:val="24"/>
          <w14:textFill>
            <w14:solidFill>
              <w14:schemeClr w14:val="tx1"/>
            </w14:solidFill>
          </w14:textFill>
        </w:rPr>
      </w:pPr>
      <w:r>
        <w:rPr>
          <w:rFonts w:ascii="宋体" w:hAnsi="宋体"/>
          <w:color w:val="000000" w:themeColor="text1"/>
          <w:kern w:val="0"/>
          <w:sz w:val="24"/>
          <w:szCs w:val="24"/>
          <w14:textFill>
            <w14:solidFill>
              <w14:schemeClr w14:val="tx1"/>
            </w14:solidFill>
          </w14:textFill>
        </w:rPr>
        <w:t>吉木萨尔县污水处理厂位于吉木萨尔县城东北15km处（张家庄子村北侧500m），设计污水处理规模为3万m</w:t>
      </w:r>
      <w:r>
        <w:rPr>
          <w:rFonts w:ascii="宋体" w:hAnsi="宋体"/>
          <w:color w:val="000000" w:themeColor="text1"/>
          <w:kern w:val="0"/>
          <w:sz w:val="24"/>
          <w:szCs w:val="24"/>
          <w:vertAlign w:val="superscript"/>
          <w14:textFill>
            <w14:solidFill>
              <w14:schemeClr w14:val="tx1"/>
            </w14:solidFill>
          </w14:textFill>
        </w:rPr>
        <w:t>3</w:t>
      </w:r>
      <w:r>
        <w:rPr>
          <w:rFonts w:ascii="宋体" w:hAnsi="宋体"/>
          <w:color w:val="000000" w:themeColor="text1"/>
          <w:kern w:val="0"/>
          <w:sz w:val="24"/>
          <w:szCs w:val="24"/>
          <w14:textFill>
            <w14:solidFill>
              <w14:schemeClr w14:val="tx1"/>
            </w14:solidFill>
          </w14:textFill>
        </w:rPr>
        <w:t>/d，实际处理规模约1万m</w:t>
      </w:r>
      <w:r>
        <w:rPr>
          <w:rFonts w:ascii="宋体" w:hAnsi="宋体"/>
          <w:color w:val="000000" w:themeColor="text1"/>
          <w:kern w:val="0"/>
          <w:sz w:val="24"/>
          <w:szCs w:val="24"/>
          <w:vertAlign w:val="superscript"/>
          <w14:textFill>
            <w14:solidFill>
              <w14:schemeClr w14:val="tx1"/>
            </w14:solidFill>
          </w14:textFill>
        </w:rPr>
        <w:t>3</w:t>
      </w:r>
      <w:r>
        <w:rPr>
          <w:rFonts w:ascii="宋体" w:hAnsi="宋体"/>
          <w:color w:val="000000" w:themeColor="text1"/>
          <w:kern w:val="0"/>
          <w:sz w:val="24"/>
          <w:szCs w:val="24"/>
          <w14:textFill>
            <w14:solidFill>
              <w14:schemeClr w14:val="tx1"/>
            </w14:solidFill>
          </w14:textFill>
        </w:rPr>
        <w:t>/d，采用“强化脱氮改良A</w:t>
      </w:r>
      <w:r>
        <w:rPr>
          <w:rFonts w:ascii="宋体" w:hAnsi="宋体"/>
          <w:color w:val="000000" w:themeColor="text1"/>
          <w:kern w:val="0"/>
          <w:sz w:val="24"/>
          <w:szCs w:val="24"/>
          <w:vertAlign w:val="superscript"/>
          <w14:textFill>
            <w14:solidFill>
              <w14:schemeClr w14:val="tx1"/>
            </w14:solidFill>
          </w14:textFill>
        </w:rPr>
        <w:t>2</w:t>
      </w:r>
      <w:r>
        <w:rPr>
          <w:rFonts w:ascii="宋体" w:hAnsi="宋体"/>
          <w:color w:val="000000" w:themeColor="text1"/>
          <w:kern w:val="0"/>
          <w:sz w:val="24"/>
          <w:szCs w:val="24"/>
          <w14:textFill>
            <w14:solidFill>
              <w14:schemeClr w14:val="tx1"/>
            </w14:solidFill>
          </w14:textFill>
        </w:rPr>
        <w:t>/O+絮凝沉淀滤布滤池工艺”，目前正常运行，该厂可处理服务范围内的生活污水和工业企业污水，出水符合《城镇污水处理厂污染物排放标准》（GB18918-2002）表1中的一级A标准的要求。生活污水产生量约</w:t>
      </w:r>
      <w:r>
        <w:rPr>
          <w:rFonts w:hint="eastAsia" w:ascii="宋体" w:hAnsi="宋体"/>
          <w:color w:val="000000" w:themeColor="text1"/>
          <w:kern w:val="0"/>
          <w:sz w:val="24"/>
          <w:szCs w:val="24"/>
          <w14:textFill>
            <w14:solidFill>
              <w14:schemeClr w14:val="tx1"/>
            </w14:solidFill>
          </w14:textFill>
        </w:rPr>
        <w:t>624</w:t>
      </w:r>
      <w:r>
        <w:rPr>
          <w:rFonts w:ascii="宋体" w:hAnsi="宋体"/>
          <w:color w:val="000000" w:themeColor="text1"/>
          <w:kern w:val="0"/>
          <w:sz w:val="24"/>
          <w:szCs w:val="24"/>
          <w14:textFill>
            <w14:solidFill>
              <w14:schemeClr w14:val="tx1"/>
            </w14:solidFill>
          </w14:textFill>
        </w:rPr>
        <w:t>m</w:t>
      </w:r>
      <w:r>
        <w:rPr>
          <w:rFonts w:ascii="宋体" w:hAnsi="宋体"/>
          <w:color w:val="000000" w:themeColor="text1"/>
          <w:kern w:val="0"/>
          <w:sz w:val="24"/>
          <w:szCs w:val="24"/>
          <w:vertAlign w:val="superscript"/>
          <w14:textFill>
            <w14:solidFill>
              <w14:schemeClr w14:val="tx1"/>
            </w14:solidFill>
          </w14:textFill>
        </w:rPr>
        <w:t>3</w:t>
      </w:r>
      <w:r>
        <w:rPr>
          <w:rFonts w:ascii="宋体" w:hAnsi="宋体"/>
          <w:color w:val="000000" w:themeColor="text1"/>
          <w:kern w:val="0"/>
          <w:sz w:val="24"/>
          <w:szCs w:val="24"/>
          <w14:textFill>
            <w14:solidFill>
              <w14:schemeClr w14:val="tx1"/>
            </w14:solidFill>
          </w14:textFill>
        </w:rPr>
        <w:t>/a，</w:t>
      </w:r>
      <w:r>
        <w:rPr>
          <w:rFonts w:ascii="宋体" w:hAnsi="宋体"/>
          <w:color w:val="000000" w:themeColor="text1"/>
          <w:sz w:val="24"/>
          <w:szCs w:val="24"/>
          <w14:textFill>
            <w14:solidFill>
              <w14:schemeClr w14:val="tx1"/>
            </w14:solidFill>
          </w14:textFill>
        </w:rPr>
        <w:t>该污水处理厂富余处理能力可以满足项目处理需求，依托可行。</w:t>
      </w:r>
    </w:p>
    <w:p w14:paraId="0C7A2CCD">
      <w:pPr>
        <w:snapToGrid w:val="0"/>
        <w:spacing w:line="500" w:lineRule="exact"/>
        <w:ind w:firstLine="420" w:firstLineChars="200"/>
        <w:rPr>
          <w:rFonts w:hint="eastAsia" w:ascii="宋体" w:hAnsi="宋体"/>
          <w:color w:val="000000" w:themeColor="text1"/>
          <w:sz w:val="24"/>
          <w:szCs w:val="24"/>
          <w14:textFill>
            <w14:solidFill>
              <w14:schemeClr w14:val="tx1"/>
            </w14:solidFill>
          </w14:textFill>
        </w:rPr>
      </w:pPr>
      <w:r>
        <w:rPr>
          <w:rFonts w:hint="eastAsia"/>
          <w:color w:val="000000" w:themeColor="text1"/>
          <w14:textFill>
            <w14:solidFill>
              <w14:schemeClr w14:val="tx1"/>
            </w14:solidFill>
          </w14:textFill>
        </w:rPr>
        <w:t>⑦</w:t>
      </w:r>
      <w:r>
        <w:rPr>
          <w:rFonts w:ascii="宋体" w:hAnsi="宋体"/>
          <w:color w:val="000000" w:themeColor="text1"/>
          <w:sz w:val="24"/>
          <w:szCs w:val="24"/>
          <w14:textFill>
            <w14:solidFill>
              <w14:schemeClr w14:val="tx1"/>
            </w14:solidFill>
          </w14:textFill>
        </w:rPr>
        <w:t>生活垃圾</w:t>
      </w:r>
      <w:r>
        <w:rPr>
          <w:rFonts w:hint="eastAsia" w:ascii="宋体" w:hAnsi="宋体"/>
          <w:color w:val="000000" w:themeColor="text1"/>
          <w:sz w:val="24"/>
          <w:szCs w:val="24"/>
          <w14:textFill>
            <w14:solidFill>
              <w14:schemeClr w14:val="tx1"/>
            </w14:solidFill>
          </w14:textFill>
        </w:rPr>
        <w:t>处置</w:t>
      </w:r>
      <w:r>
        <w:rPr>
          <w:rFonts w:ascii="宋体" w:hAnsi="宋体"/>
          <w:color w:val="000000" w:themeColor="text1"/>
          <w:sz w:val="24"/>
          <w:szCs w:val="24"/>
          <w14:textFill>
            <w14:solidFill>
              <w14:schemeClr w14:val="tx1"/>
            </w14:solidFill>
          </w14:textFill>
        </w:rPr>
        <w:t>依托可行性分析</w:t>
      </w:r>
    </w:p>
    <w:p w14:paraId="46155CDC">
      <w:pPr>
        <w:snapToGrid w:val="0"/>
        <w:spacing w:line="500" w:lineRule="exact"/>
        <w:ind w:firstLine="480" w:firstLineChars="200"/>
        <w:rPr>
          <w:rFonts w:hint="eastAsia" w:ascii="宋体" w:hAnsi="宋体"/>
          <w:color w:val="000000" w:themeColor="text1"/>
          <w:sz w:val="24"/>
          <w:szCs w:val="24"/>
          <w14:textFill>
            <w14:solidFill>
              <w14:schemeClr w14:val="tx1"/>
            </w14:solidFill>
          </w14:textFill>
        </w:rPr>
      </w:pPr>
      <w:r>
        <w:rPr>
          <w:rFonts w:ascii="宋体" w:hAnsi="宋体"/>
          <w:color w:val="000000" w:themeColor="text1"/>
          <w:sz w:val="24"/>
          <w:szCs w:val="24"/>
          <w14:textFill>
            <w14:solidFill>
              <w14:schemeClr w14:val="tx1"/>
            </w14:solidFill>
          </w14:textFill>
        </w:rPr>
        <w:t>吉木萨尔县生活垃圾填埋场位于吉木萨尔县新地乡，中心地理坐标为东经，近期工程生活垃圾清运处理量100t/d，总库容63×10</w:t>
      </w:r>
      <w:r>
        <w:rPr>
          <w:rFonts w:ascii="宋体" w:hAnsi="宋体"/>
          <w:color w:val="000000" w:themeColor="text1"/>
          <w:sz w:val="24"/>
          <w:szCs w:val="24"/>
          <w:vertAlign w:val="superscript"/>
          <w14:textFill>
            <w14:solidFill>
              <w14:schemeClr w14:val="tx1"/>
            </w14:solidFill>
          </w14:textFill>
        </w:rPr>
        <w:t>4</w:t>
      </w:r>
      <w:r>
        <w:rPr>
          <w:rFonts w:ascii="宋体" w:hAnsi="宋体"/>
          <w:color w:val="000000" w:themeColor="text1"/>
          <w:sz w:val="24"/>
          <w:szCs w:val="24"/>
          <w14:textFill>
            <w14:solidFill>
              <w14:schemeClr w14:val="tx1"/>
            </w14:solidFill>
          </w14:textFill>
        </w:rPr>
        <w:t>m</w:t>
      </w:r>
      <w:r>
        <w:rPr>
          <w:rFonts w:ascii="宋体" w:hAnsi="宋体"/>
          <w:color w:val="000000" w:themeColor="text1"/>
          <w:sz w:val="24"/>
          <w:szCs w:val="24"/>
          <w:vertAlign w:val="superscript"/>
          <w14:textFill>
            <w14:solidFill>
              <w14:schemeClr w14:val="tx1"/>
            </w14:solidFill>
          </w14:textFill>
        </w:rPr>
        <w:t>3</w:t>
      </w:r>
      <w:r>
        <w:rPr>
          <w:rFonts w:ascii="宋体" w:hAnsi="宋体"/>
          <w:color w:val="000000" w:themeColor="text1"/>
          <w:sz w:val="24"/>
          <w:szCs w:val="24"/>
          <w14:textFill>
            <w14:solidFill>
              <w14:schemeClr w14:val="tx1"/>
            </w14:solidFill>
          </w14:textFill>
        </w:rPr>
        <w:t>，服务年限11年；远期工程生活垃圾清运处理量130t/d，总库容94.5×10</w:t>
      </w:r>
      <w:r>
        <w:rPr>
          <w:rFonts w:ascii="宋体" w:hAnsi="宋体"/>
          <w:color w:val="000000" w:themeColor="text1"/>
          <w:sz w:val="24"/>
          <w:szCs w:val="24"/>
          <w:vertAlign w:val="superscript"/>
          <w14:textFill>
            <w14:solidFill>
              <w14:schemeClr w14:val="tx1"/>
            </w14:solidFill>
          </w14:textFill>
        </w:rPr>
        <w:t>4</w:t>
      </w:r>
      <w:r>
        <w:rPr>
          <w:rFonts w:ascii="宋体" w:hAnsi="宋体"/>
          <w:color w:val="000000" w:themeColor="text1"/>
          <w:sz w:val="24"/>
          <w:szCs w:val="24"/>
          <w14:textFill>
            <w14:solidFill>
              <w14:schemeClr w14:val="tx1"/>
            </w14:solidFill>
          </w14:textFill>
        </w:rPr>
        <w:t>m</w:t>
      </w:r>
      <w:r>
        <w:rPr>
          <w:rFonts w:ascii="宋体" w:hAnsi="宋体"/>
          <w:color w:val="000000" w:themeColor="text1"/>
          <w:sz w:val="24"/>
          <w:szCs w:val="24"/>
          <w:vertAlign w:val="superscript"/>
          <w14:textFill>
            <w14:solidFill>
              <w14:schemeClr w14:val="tx1"/>
            </w14:solidFill>
          </w14:textFill>
        </w:rPr>
        <w:t>3</w:t>
      </w:r>
      <w:r>
        <w:rPr>
          <w:rFonts w:ascii="宋体" w:hAnsi="宋体"/>
          <w:color w:val="000000" w:themeColor="text1"/>
          <w:sz w:val="24"/>
          <w:szCs w:val="24"/>
          <w14:textFill>
            <w14:solidFill>
              <w14:schemeClr w14:val="tx1"/>
            </w14:solidFill>
          </w14:textFill>
        </w:rPr>
        <w:t>，服务年限12年，采用卫生填埋工艺，主要处置城镇生活垃圾，不作为工业固体废物和危险废弃物处置场所。本项目生活垃圾产生量为</w:t>
      </w:r>
      <w:r>
        <w:rPr>
          <w:rFonts w:hint="eastAsia" w:ascii="宋体" w:hAnsi="宋体"/>
          <w:color w:val="000000" w:themeColor="text1"/>
          <w:sz w:val="24"/>
          <w:szCs w:val="24"/>
          <w14:textFill>
            <w14:solidFill>
              <w14:schemeClr w14:val="tx1"/>
            </w14:solidFill>
          </w14:textFill>
        </w:rPr>
        <w:t>19.5</w:t>
      </w:r>
      <w:r>
        <w:rPr>
          <w:rFonts w:ascii="宋体" w:hAnsi="宋体"/>
          <w:color w:val="000000" w:themeColor="text1"/>
          <w:sz w:val="24"/>
          <w:szCs w:val="24"/>
          <w14:textFill>
            <w14:solidFill>
              <w14:schemeClr w14:val="tx1"/>
            </w14:solidFill>
          </w14:textFill>
        </w:rPr>
        <w:t>t/a，生活垃圾填埋场富余处理规模可满足项目需求，依托可行。</w:t>
      </w:r>
    </w:p>
    <w:bookmarkEnd w:id="268"/>
    <w:bookmarkEnd w:id="269"/>
    <w:bookmarkEnd w:id="271"/>
    <w:p w14:paraId="3C983A17">
      <w:pPr>
        <w:pStyle w:val="4"/>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主要技术经济指标</w:t>
      </w:r>
    </w:p>
    <w:p w14:paraId="36F959D9">
      <w:pPr>
        <w:pStyle w:val="117"/>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主要技术经济指标见表</w:t>
      </w:r>
      <w:r>
        <w:rPr>
          <w:color w:val="000000" w:themeColor="text1"/>
          <w14:textFill>
            <w14:solidFill>
              <w14:schemeClr w14:val="tx1"/>
            </w14:solidFill>
          </w14:textFill>
        </w:rPr>
        <w:t>3.2</w:t>
      </w:r>
      <w:r>
        <w:rPr>
          <w:rFonts w:hint="eastAsia"/>
          <w:color w:val="000000" w:themeColor="text1"/>
          <w14:textFill>
            <w14:solidFill>
              <w14:schemeClr w14:val="tx1"/>
            </w14:solidFill>
          </w14:textFill>
        </w:rPr>
        <w:t>-12。</w:t>
      </w:r>
    </w:p>
    <w:p w14:paraId="16F8BD57">
      <w:pPr>
        <w:pStyle w:val="191"/>
        <w:ind w:firstLine="0" w:firstLineChars="0"/>
        <w:jc w:val="center"/>
        <w:rPr>
          <w:rFonts w:hint="eastAsia"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表3</w:t>
      </w:r>
      <w:r>
        <w:rPr>
          <w:rFonts w:ascii="黑体" w:hAnsi="黑体" w:eastAsia="黑体"/>
          <w:color w:val="000000" w:themeColor="text1"/>
          <w:sz w:val="21"/>
          <w:szCs w:val="21"/>
          <w14:textFill>
            <w14:solidFill>
              <w14:schemeClr w14:val="tx1"/>
            </w14:solidFill>
          </w14:textFill>
        </w:rPr>
        <w:t>.2</w:t>
      </w:r>
      <w:r>
        <w:rPr>
          <w:rFonts w:hint="eastAsia" w:ascii="黑体" w:hAnsi="黑体" w:eastAsia="黑体"/>
          <w:color w:val="000000" w:themeColor="text1"/>
          <w:sz w:val="21"/>
          <w:szCs w:val="21"/>
          <w14:textFill>
            <w14:solidFill>
              <w14:schemeClr w14:val="tx1"/>
            </w14:solidFill>
          </w14:textFill>
        </w:rPr>
        <w:t xml:space="preserve">-12 </w:t>
      </w:r>
      <w:r>
        <w:rPr>
          <w:rFonts w:ascii="黑体" w:hAnsi="黑体" w:eastAsia="黑体"/>
          <w:color w:val="000000" w:themeColor="text1"/>
          <w:sz w:val="21"/>
          <w:szCs w:val="21"/>
          <w14:textFill>
            <w14:solidFill>
              <w14:schemeClr w14:val="tx1"/>
            </w14:solidFill>
          </w14:textFill>
        </w:rPr>
        <w:t xml:space="preserve"> </w:t>
      </w:r>
      <w:r>
        <w:rPr>
          <w:rFonts w:hint="eastAsia" w:ascii="黑体" w:hAnsi="黑体" w:eastAsia="黑体"/>
          <w:color w:val="000000" w:themeColor="text1"/>
          <w:sz w:val="21"/>
          <w:szCs w:val="21"/>
          <w14:textFill>
            <w14:solidFill>
              <w14:schemeClr w14:val="tx1"/>
            </w14:solidFill>
          </w14:textFill>
        </w:rPr>
        <w:t>主要技术经济指标一览表</w:t>
      </w:r>
    </w:p>
    <w:tbl>
      <w:tblPr>
        <w:tblStyle w:val="51"/>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28" w:type="dxa"/>
          <w:bottom w:w="0" w:type="dxa"/>
          <w:right w:w="28" w:type="dxa"/>
        </w:tblCellMar>
      </w:tblPr>
      <w:tblGrid>
        <w:gridCol w:w="1916"/>
        <w:gridCol w:w="2792"/>
        <w:gridCol w:w="2283"/>
        <w:gridCol w:w="1795"/>
      </w:tblGrid>
      <w:tr w14:paraId="0BFF320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1090" w:type="pct"/>
            <w:vAlign w:val="center"/>
          </w:tcPr>
          <w:p w14:paraId="5F846E79">
            <w:pPr>
              <w:widowControl/>
              <w:overflowPunct w:val="0"/>
              <w:adjustRightInd w:val="0"/>
              <w:snapToGrid w:val="0"/>
              <w:spacing w:line="300" w:lineRule="exact"/>
              <w:jc w:val="center"/>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类别</w:t>
            </w:r>
          </w:p>
        </w:tc>
        <w:tc>
          <w:tcPr>
            <w:tcW w:w="1589" w:type="pct"/>
            <w:vAlign w:val="center"/>
          </w:tcPr>
          <w:p w14:paraId="768EF6D0">
            <w:pPr>
              <w:overflowPunct w:val="0"/>
              <w:adjustRightInd w:val="0"/>
              <w:snapToGrid w:val="0"/>
              <w:spacing w:line="300" w:lineRule="exact"/>
              <w:jc w:val="center"/>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数量</w:t>
            </w:r>
          </w:p>
        </w:tc>
        <w:tc>
          <w:tcPr>
            <w:tcW w:w="1299" w:type="pct"/>
            <w:vAlign w:val="center"/>
          </w:tcPr>
          <w:p w14:paraId="659F881D">
            <w:pPr>
              <w:overflowPunct w:val="0"/>
              <w:adjustRightInd w:val="0"/>
              <w:snapToGrid w:val="0"/>
              <w:spacing w:line="300" w:lineRule="exact"/>
              <w:jc w:val="center"/>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类别</w:t>
            </w:r>
          </w:p>
        </w:tc>
        <w:tc>
          <w:tcPr>
            <w:tcW w:w="1022" w:type="pct"/>
            <w:vAlign w:val="center"/>
          </w:tcPr>
          <w:p w14:paraId="3435B8CC">
            <w:pPr>
              <w:overflowPunct w:val="0"/>
              <w:adjustRightInd w:val="0"/>
              <w:snapToGrid w:val="0"/>
              <w:spacing w:line="300" w:lineRule="exact"/>
              <w:jc w:val="center"/>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数量</w:t>
            </w:r>
          </w:p>
        </w:tc>
      </w:tr>
      <w:tr w14:paraId="3945DA5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1090" w:type="pct"/>
            <w:vAlign w:val="center"/>
          </w:tcPr>
          <w:p w14:paraId="582F91DB">
            <w:pPr>
              <w:widowControl/>
              <w:overflowPunct w:val="0"/>
              <w:adjustRightInd w:val="0"/>
              <w:snapToGrid w:val="0"/>
              <w:spacing w:line="300" w:lineRule="exact"/>
              <w:jc w:val="center"/>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设计动用资源储量</w:t>
            </w:r>
          </w:p>
        </w:tc>
        <w:tc>
          <w:tcPr>
            <w:tcW w:w="1589" w:type="pct"/>
            <w:vAlign w:val="center"/>
          </w:tcPr>
          <w:p w14:paraId="33FB71CD">
            <w:pPr>
              <w:widowControl/>
              <w:overflowPunct w:val="0"/>
              <w:adjustRightInd w:val="0"/>
              <w:snapToGrid w:val="0"/>
              <w:spacing w:line="300" w:lineRule="exact"/>
              <w:jc w:val="center"/>
              <w:rPr>
                <w:rFonts w:hint="eastAsia" w:ascii="宋体" w:hAnsi="宋体"/>
                <w:color w:val="000000" w:themeColor="text1"/>
                <w:szCs w:val="21"/>
                <w14:textFill>
                  <w14:solidFill>
                    <w14:schemeClr w14:val="tx1"/>
                  </w14:solidFill>
                </w14:textFill>
              </w:rPr>
            </w:pPr>
            <w:r>
              <w:rPr>
                <w:rFonts w:hint="eastAsia" w:ascii="宋体" w:hAnsi="宋体"/>
                <w:color w:val="000000" w:themeColor="text1"/>
                <w:kern w:val="0"/>
                <w14:textFill>
                  <w14:solidFill>
                    <w14:schemeClr w14:val="tx1"/>
                  </w14:solidFill>
                </w14:textFill>
              </w:rPr>
              <w:t>2.68×10</w:t>
            </w:r>
            <w:r>
              <w:rPr>
                <w:rFonts w:hint="eastAsia" w:ascii="宋体" w:hAnsi="宋体"/>
                <w:color w:val="000000" w:themeColor="text1"/>
                <w:kern w:val="0"/>
                <w:vertAlign w:val="superscript"/>
                <w14:textFill>
                  <w14:solidFill>
                    <w14:schemeClr w14:val="tx1"/>
                  </w14:solidFill>
                </w14:textFill>
              </w:rPr>
              <w:t>4</w:t>
            </w:r>
            <w:r>
              <w:rPr>
                <w:rFonts w:hint="eastAsia" w:ascii="宋体" w:hAnsi="宋体"/>
                <w:color w:val="000000" w:themeColor="text1"/>
                <w:kern w:val="0"/>
                <w14:textFill>
                  <w14:solidFill>
                    <w14:schemeClr w14:val="tx1"/>
                  </w14:solidFill>
                </w14:textFill>
              </w:rPr>
              <w:t>t/a</w:t>
            </w:r>
          </w:p>
        </w:tc>
        <w:tc>
          <w:tcPr>
            <w:tcW w:w="1299" w:type="pct"/>
            <w:vAlign w:val="center"/>
          </w:tcPr>
          <w:p w14:paraId="504986E2">
            <w:pPr>
              <w:overflowPunct w:val="0"/>
              <w:adjustRightInd w:val="0"/>
              <w:snapToGrid w:val="0"/>
              <w:spacing w:line="300" w:lineRule="exact"/>
              <w:jc w:val="center"/>
              <w:rPr>
                <w:rFonts w:hint="eastAsia" w:ascii="宋体" w:hAnsi="宋体"/>
                <w:color w:val="000000" w:themeColor="text1"/>
                <w:szCs w:val="21"/>
                <w14:textFill>
                  <w14:solidFill>
                    <w14:schemeClr w14:val="tx1"/>
                  </w14:solidFill>
                </w14:textFill>
              </w:rPr>
            </w:pPr>
            <w:r>
              <w:rPr>
                <w:rFonts w:hint="eastAsia" w:ascii="宋体" w:hAnsi="宋体"/>
                <w:color w:val="000000" w:themeColor="text1"/>
                <w:kern w:val="0"/>
                <w:szCs w:val="21"/>
                <w:lang w:bidi="ar"/>
                <w14:textFill>
                  <w14:solidFill>
                    <w14:schemeClr w14:val="tx1"/>
                  </w14:solidFill>
                </w14:textFill>
              </w:rPr>
              <w:t>临时占地面积</w:t>
            </w:r>
          </w:p>
        </w:tc>
        <w:tc>
          <w:tcPr>
            <w:tcW w:w="1022" w:type="pct"/>
            <w:vAlign w:val="center"/>
          </w:tcPr>
          <w:p w14:paraId="2FC87BE5">
            <w:pPr>
              <w:overflowPunct w:val="0"/>
              <w:adjustRightInd w:val="0"/>
              <w:snapToGrid w:val="0"/>
              <w:spacing w:line="300" w:lineRule="exact"/>
              <w:jc w:val="center"/>
              <w:rPr>
                <w:rFonts w:hint="eastAsia" w:ascii="宋体" w:hAnsi="宋体"/>
                <w:color w:val="000000" w:themeColor="text1"/>
                <w:szCs w:val="21"/>
                <w14:textFill>
                  <w14:solidFill>
                    <w14:schemeClr w14:val="tx1"/>
                  </w14:solidFill>
                </w14:textFill>
              </w:rPr>
            </w:pPr>
            <w:r>
              <w:rPr>
                <w:rFonts w:hint="eastAsia" w:ascii="宋体" w:hAnsi="宋体"/>
                <w:bCs/>
                <w:color w:val="000000" w:themeColor="text1"/>
                <w14:textFill>
                  <w14:solidFill>
                    <w14:schemeClr w14:val="tx1"/>
                  </w14:solidFill>
                </w14:textFill>
              </w:rPr>
              <w:t>112080m</w:t>
            </w:r>
            <w:r>
              <w:rPr>
                <w:rFonts w:hint="eastAsia" w:ascii="宋体" w:hAnsi="宋体"/>
                <w:bCs/>
                <w:color w:val="000000" w:themeColor="text1"/>
                <w:vertAlign w:val="superscript"/>
                <w14:textFill>
                  <w14:solidFill>
                    <w14:schemeClr w14:val="tx1"/>
                  </w14:solidFill>
                </w14:textFill>
              </w:rPr>
              <w:t>2</w:t>
            </w:r>
          </w:p>
        </w:tc>
      </w:tr>
      <w:tr w14:paraId="0A2DBA0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1090" w:type="pct"/>
            <w:vAlign w:val="center"/>
          </w:tcPr>
          <w:p w14:paraId="47D5B610">
            <w:pPr>
              <w:widowControl/>
              <w:overflowPunct w:val="0"/>
              <w:adjustRightInd w:val="0"/>
              <w:snapToGrid w:val="0"/>
              <w:spacing w:line="300" w:lineRule="exact"/>
              <w:jc w:val="center"/>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设计井数</w:t>
            </w:r>
          </w:p>
        </w:tc>
        <w:tc>
          <w:tcPr>
            <w:tcW w:w="1589" w:type="pct"/>
            <w:vAlign w:val="center"/>
          </w:tcPr>
          <w:p w14:paraId="6CB64CB7">
            <w:pPr>
              <w:overflowPunct w:val="0"/>
              <w:adjustRightInd w:val="0"/>
              <w:snapToGrid w:val="0"/>
              <w:spacing w:line="300" w:lineRule="exact"/>
              <w:jc w:val="center"/>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12口</w:t>
            </w:r>
          </w:p>
        </w:tc>
        <w:tc>
          <w:tcPr>
            <w:tcW w:w="1299" w:type="pct"/>
            <w:vAlign w:val="center"/>
          </w:tcPr>
          <w:p w14:paraId="28A9FE92">
            <w:pPr>
              <w:overflowPunct w:val="0"/>
              <w:adjustRightInd w:val="0"/>
              <w:snapToGrid w:val="0"/>
              <w:spacing w:line="300" w:lineRule="exact"/>
              <w:jc w:val="center"/>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永久占地面积</w:t>
            </w:r>
          </w:p>
        </w:tc>
        <w:tc>
          <w:tcPr>
            <w:tcW w:w="1022" w:type="pct"/>
            <w:vAlign w:val="center"/>
          </w:tcPr>
          <w:p w14:paraId="1C97E4B5">
            <w:pPr>
              <w:overflowPunct w:val="0"/>
              <w:adjustRightInd w:val="0"/>
              <w:snapToGrid w:val="0"/>
              <w:spacing w:line="300" w:lineRule="exact"/>
              <w:jc w:val="center"/>
              <w:rPr>
                <w:rFonts w:hint="eastAsia" w:ascii="宋体" w:hAnsi="宋体"/>
                <w:color w:val="000000" w:themeColor="text1"/>
                <w:szCs w:val="21"/>
                <w14:textFill>
                  <w14:solidFill>
                    <w14:schemeClr w14:val="tx1"/>
                  </w14:solidFill>
                </w14:textFill>
              </w:rPr>
            </w:pPr>
            <w:r>
              <w:rPr>
                <w:rFonts w:hint="eastAsia" w:ascii="宋体" w:hAnsi="宋体"/>
                <w:bCs/>
                <w:color w:val="000000" w:themeColor="text1"/>
                <w14:textFill>
                  <w14:solidFill>
                    <w14:schemeClr w14:val="tx1"/>
                  </w14:solidFill>
                </w14:textFill>
              </w:rPr>
              <w:t>6801m</w:t>
            </w:r>
            <w:r>
              <w:rPr>
                <w:rFonts w:hint="eastAsia" w:ascii="宋体" w:hAnsi="宋体"/>
                <w:bCs/>
                <w:color w:val="000000" w:themeColor="text1"/>
                <w:vertAlign w:val="superscript"/>
                <w14:textFill>
                  <w14:solidFill>
                    <w14:schemeClr w14:val="tx1"/>
                  </w14:solidFill>
                </w14:textFill>
              </w:rPr>
              <w:t>2</w:t>
            </w:r>
          </w:p>
        </w:tc>
      </w:tr>
      <w:tr w14:paraId="71CCB42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1090" w:type="pct"/>
            <w:vAlign w:val="center"/>
          </w:tcPr>
          <w:p w14:paraId="1746D3A6">
            <w:pPr>
              <w:widowControl/>
              <w:overflowPunct w:val="0"/>
              <w:adjustRightInd w:val="0"/>
              <w:snapToGrid w:val="0"/>
              <w:spacing w:line="300" w:lineRule="exact"/>
              <w:jc w:val="center"/>
              <w:rPr>
                <w:rFonts w:hint="eastAsia" w:ascii="宋体" w:hAnsi="宋体"/>
                <w:color w:val="000000" w:themeColor="text1"/>
                <w:kern w:val="0"/>
                <w:szCs w:val="21"/>
                <w:lang w:bidi="ar"/>
                <w14:textFill>
                  <w14:solidFill>
                    <w14:schemeClr w14:val="tx1"/>
                  </w14:solidFill>
                </w14:textFill>
              </w:rPr>
            </w:pPr>
            <w:r>
              <w:rPr>
                <w:rFonts w:hint="eastAsia" w:ascii="宋体" w:hAnsi="宋体"/>
                <w:color w:val="000000" w:themeColor="text1"/>
                <w:kern w:val="0"/>
                <w:szCs w:val="21"/>
                <w:lang w:bidi="ar"/>
                <w14:textFill>
                  <w14:solidFill>
                    <w14:schemeClr w14:val="tx1"/>
                  </w14:solidFill>
                </w14:textFill>
              </w:rPr>
              <w:t>不同规模站场数</w:t>
            </w:r>
          </w:p>
        </w:tc>
        <w:tc>
          <w:tcPr>
            <w:tcW w:w="1589" w:type="pct"/>
            <w:vAlign w:val="center"/>
          </w:tcPr>
          <w:p w14:paraId="13323BC2">
            <w:pPr>
              <w:overflowPunct w:val="0"/>
              <w:adjustRightInd w:val="0"/>
              <w:snapToGrid w:val="0"/>
              <w:spacing w:line="300" w:lineRule="exact"/>
              <w:jc w:val="center"/>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2座（1座计量站、2号计量站和预处理注入站合建）</w:t>
            </w:r>
          </w:p>
        </w:tc>
        <w:tc>
          <w:tcPr>
            <w:tcW w:w="1299" w:type="pct"/>
            <w:vAlign w:val="center"/>
          </w:tcPr>
          <w:p w14:paraId="092B3AA7">
            <w:pPr>
              <w:overflowPunct w:val="0"/>
              <w:adjustRightInd w:val="0"/>
              <w:snapToGrid w:val="0"/>
              <w:spacing w:line="300" w:lineRule="exact"/>
              <w:jc w:val="center"/>
              <w:rPr>
                <w:rFonts w:hint="eastAsia" w:ascii="宋体" w:hAnsi="宋体"/>
                <w:color w:val="000000" w:themeColor="text1"/>
                <w:szCs w:val="21"/>
                <w14:textFill>
                  <w14:solidFill>
                    <w14:schemeClr w14:val="tx1"/>
                  </w14:solidFill>
                </w14:textFill>
              </w:rPr>
            </w:pPr>
            <w:r>
              <w:rPr>
                <w:rFonts w:hint="eastAsia" w:ascii="宋体" w:hAnsi="宋体"/>
                <w:color w:val="000000" w:themeColor="text1"/>
                <w:kern w:val="0"/>
                <w:szCs w:val="21"/>
                <w:lang w:bidi="ar"/>
                <w14:textFill>
                  <w14:solidFill>
                    <w14:schemeClr w14:val="tx1"/>
                  </w14:solidFill>
                </w14:textFill>
              </w:rPr>
              <w:t>电能消耗量</w:t>
            </w:r>
          </w:p>
        </w:tc>
        <w:tc>
          <w:tcPr>
            <w:tcW w:w="1022" w:type="pct"/>
            <w:vAlign w:val="center"/>
          </w:tcPr>
          <w:p w14:paraId="5A75BC7B">
            <w:pPr>
              <w:overflowPunct w:val="0"/>
              <w:adjustRightInd w:val="0"/>
              <w:snapToGrid w:val="0"/>
              <w:spacing w:line="300" w:lineRule="exact"/>
              <w:jc w:val="center"/>
              <w:rPr>
                <w:rFonts w:hint="eastAsia" w:ascii="宋体" w:hAnsi="宋体"/>
                <w:color w:val="000000" w:themeColor="text1"/>
                <w:szCs w:val="21"/>
                <w14:textFill>
                  <w14:solidFill>
                    <w14:schemeClr w14:val="tx1"/>
                  </w14:solidFill>
                </w14:textFill>
              </w:rPr>
            </w:pPr>
            <w:r>
              <w:rPr>
                <w:rFonts w:hint="eastAsia" w:ascii="宋体" w:hAnsi="宋体"/>
                <w:color w:val="000000" w:themeColor="text1"/>
                <w:kern w:val="0"/>
                <w:szCs w:val="21"/>
                <w:lang w:bidi="ar"/>
                <w14:textFill>
                  <w14:solidFill>
                    <w14:schemeClr w14:val="tx1"/>
                  </w14:solidFill>
                </w14:textFill>
              </w:rPr>
              <w:t>521×</w:t>
            </w:r>
            <w:r>
              <w:rPr>
                <w:rFonts w:hint="eastAsia" w:cs="宋体"/>
                <w:color w:val="000000" w:themeColor="text1"/>
                <w:kern w:val="0"/>
                <w14:textFill>
                  <w14:solidFill>
                    <w14:schemeClr w14:val="tx1"/>
                  </w14:solidFill>
                </w14:textFill>
              </w:rPr>
              <w:t>1</w:t>
            </w:r>
            <w:r>
              <w:rPr>
                <w:rFonts w:ascii="宋体" w:hAnsi="宋体"/>
                <w:color w:val="000000" w:themeColor="text1"/>
                <w:szCs w:val="21"/>
                <w14:textFill>
                  <w14:solidFill>
                    <w14:schemeClr w14:val="tx1"/>
                  </w14:solidFill>
                </w14:textFill>
              </w:rPr>
              <w:t>0</w:t>
            </w:r>
            <w:r>
              <w:rPr>
                <w:rFonts w:ascii="宋体" w:hAnsi="宋体"/>
                <w:color w:val="000000" w:themeColor="text1"/>
                <w:szCs w:val="21"/>
                <w:vertAlign w:val="superscript"/>
                <w14:textFill>
                  <w14:solidFill>
                    <w14:schemeClr w14:val="tx1"/>
                  </w14:solidFill>
                </w14:textFill>
              </w:rPr>
              <w:t>4</w:t>
            </w:r>
            <w:r>
              <w:rPr>
                <w:rFonts w:ascii="宋体" w:hAnsi="宋体"/>
                <w:color w:val="000000" w:themeColor="text1"/>
                <w:szCs w:val="21"/>
                <w14:textFill>
                  <w14:solidFill>
                    <w14:schemeClr w14:val="tx1"/>
                  </w14:solidFill>
                </w14:textFill>
              </w:rPr>
              <w:t>kW</w:t>
            </w:r>
            <w:r>
              <w:rPr>
                <w:rFonts w:hint="eastAsia" w:ascii="微软雅黑" w:hAnsi="微软雅黑" w:eastAsia="微软雅黑" w:cs="微软雅黑"/>
                <w:color w:val="000000" w:themeColor="text1"/>
                <w:szCs w:val="21"/>
                <w14:textFill>
                  <w14:solidFill>
                    <w14:schemeClr w14:val="tx1"/>
                  </w14:solidFill>
                </w14:textFill>
              </w:rPr>
              <w:t>▪</w:t>
            </w:r>
            <w:r>
              <w:rPr>
                <w:rFonts w:ascii="宋体" w:hAnsi="宋体"/>
                <w:color w:val="000000" w:themeColor="text1"/>
                <w:szCs w:val="21"/>
                <w14:textFill>
                  <w14:solidFill>
                    <w14:schemeClr w14:val="tx1"/>
                  </w14:solidFill>
                </w14:textFill>
              </w:rPr>
              <w:t>h</w:t>
            </w:r>
            <w:r>
              <w:rPr>
                <w:rFonts w:hint="eastAsia" w:ascii="宋体" w:hAnsi="宋体"/>
                <w:color w:val="000000" w:themeColor="text1"/>
                <w:szCs w:val="21"/>
                <w14:textFill>
                  <w14:solidFill>
                    <w14:schemeClr w14:val="tx1"/>
                  </w14:solidFill>
                </w14:textFill>
              </w:rPr>
              <w:t>/a</w:t>
            </w:r>
          </w:p>
        </w:tc>
      </w:tr>
      <w:tr w14:paraId="467FE75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1090" w:type="pct"/>
            <w:vAlign w:val="center"/>
          </w:tcPr>
          <w:p w14:paraId="5527B3C6">
            <w:pPr>
              <w:widowControl/>
              <w:overflowPunct w:val="0"/>
              <w:adjustRightInd w:val="0"/>
              <w:snapToGrid w:val="0"/>
              <w:spacing w:line="300" w:lineRule="exact"/>
              <w:jc w:val="center"/>
              <w:rPr>
                <w:rFonts w:hint="eastAsia" w:ascii="宋体" w:hAnsi="宋体"/>
                <w:color w:val="000000" w:themeColor="text1"/>
                <w:kern w:val="0"/>
                <w:szCs w:val="21"/>
                <w:lang w:bidi="ar"/>
                <w14:textFill>
                  <w14:solidFill>
                    <w14:schemeClr w14:val="tx1"/>
                  </w14:solidFill>
                </w14:textFill>
              </w:rPr>
            </w:pPr>
            <w:r>
              <w:rPr>
                <w:rFonts w:hint="eastAsia" w:ascii="宋体" w:hAnsi="宋体"/>
                <w:color w:val="000000" w:themeColor="text1"/>
                <w:kern w:val="0"/>
                <w:szCs w:val="21"/>
                <w:lang w:bidi="ar"/>
                <w14:textFill>
                  <w14:solidFill>
                    <w14:schemeClr w14:val="tx1"/>
                  </w14:solidFill>
                </w14:textFill>
              </w:rPr>
              <w:t>管道长度</w:t>
            </w:r>
          </w:p>
        </w:tc>
        <w:tc>
          <w:tcPr>
            <w:tcW w:w="1589" w:type="pct"/>
            <w:vAlign w:val="center"/>
          </w:tcPr>
          <w:p w14:paraId="6F28A5F1">
            <w:pPr>
              <w:widowControl/>
              <w:overflowPunct w:val="0"/>
              <w:adjustRightInd w:val="0"/>
              <w:snapToGrid w:val="0"/>
              <w:spacing w:line="300" w:lineRule="exact"/>
              <w:jc w:val="center"/>
              <w:rPr>
                <w:rFonts w:hint="eastAsia" w:ascii="宋体" w:hAnsi="宋体"/>
                <w:color w:val="000000" w:themeColor="text1"/>
                <w:kern w:val="0"/>
                <w:szCs w:val="21"/>
                <w:lang w:bidi="ar"/>
                <w14:textFill>
                  <w14:solidFill>
                    <w14:schemeClr w14:val="tx1"/>
                  </w14:solidFill>
                </w14:textFill>
              </w:rPr>
            </w:pPr>
            <w:r>
              <w:rPr>
                <w:rFonts w:hint="eastAsia" w:ascii="宋体" w:hAnsi="宋体"/>
                <w:color w:val="000000" w:themeColor="text1"/>
                <w:kern w:val="0"/>
                <w:szCs w:val="21"/>
                <w:lang w:bidi="ar"/>
                <w14:textFill>
                  <w14:solidFill>
                    <w14:schemeClr w14:val="tx1"/>
                  </w14:solidFill>
                </w14:textFill>
              </w:rPr>
              <w:t>11.8km</w:t>
            </w:r>
          </w:p>
        </w:tc>
        <w:tc>
          <w:tcPr>
            <w:tcW w:w="1299" w:type="pct"/>
            <w:tcBorders>
              <w:bottom w:val="single" w:color="auto" w:sz="4" w:space="0"/>
            </w:tcBorders>
            <w:vAlign w:val="center"/>
          </w:tcPr>
          <w:p w14:paraId="057307CA">
            <w:pPr>
              <w:overflowPunct w:val="0"/>
              <w:adjustRightInd w:val="0"/>
              <w:snapToGrid w:val="0"/>
              <w:spacing w:line="300" w:lineRule="exact"/>
              <w:jc w:val="center"/>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总投资</w:t>
            </w:r>
          </w:p>
        </w:tc>
        <w:tc>
          <w:tcPr>
            <w:tcW w:w="1022" w:type="pct"/>
            <w:vAlign w:val="center"/>
          </w:tcPr>
          <w:p w14:paraId="28FE7FF7">
            <w:pPr>
              <w:overflowPunct w:val="0"/>
              <w:adjustRightInd w:val="0"/>
              <w:snapToGrid w:val="0"/>
              <w:spacing w:line="300" w:lineRule="exact"/>
              <w:jc w:val="center"/>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5908.52万元</w:t>
            </w:r>
          </w:p>
        </w:tc>
      </w:tr>
      <w:tr w14:paraId="48E5A0B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1090" w:type="pct"/>
            <w:vAlign w:val="center"/>
          </w:tcPr>
          <w:p w14:paraId="33D9FE4B">
            <w:pPr>
              <w:widowControl/>
              <w:overflowPunct w:val="0"/>
              <w:adjustRightInd w:val="0"/>
              <w:snapToGrid w:val="0"/>
              <w:spacing w:line="300" w:lineRule="exact"/>
              <w:jc w:val="center"/>
              <w:rPr>
                <w:rFonts w:hint="eastAsia" w:ascii="宋体" w:hAnsi="宋体"/>
                <w:color w:val="000000" w:themeColor="text1"/>
                <w:kern w:val="0"/>
                <w:szCs w:val="21"/>
                <w:lang w:bidi="ar"/>
                <w14:textFill>
                  <w14:solidFill>
                    <w14:schemeClr w14:val="tx1"/>
                  </w14:solidFill>
                </w14:textFill>
              </w:rPr>
            </w:pPr>
            <w:r>
              <w:rPr>
                <w:rFonts w:hint="eastAsia" w:ascii="宋体" w:hAnsi="宋体"/>
                <w:color w:val="000000" w:themeColor="text1"/>
                <w:szCs w:val="21"/>
                <w14:textFill>
                  <w14:solidFill>
                    <w14:schemeClr w14:val="tx1"/>
                  </w14:solidFill>
                </w14:textFill>
              </w:rPr>
              <w:t>劳动定员</w:t>
            </w:r>
          </w:p>
        </w:tc>
        <w:tc>
          <w:tcPr>
            <w:tcW w:w="1589" w:type="pct"/>
            <w:tcBorders>
              <w:bottom w:val="single" w:color="auto" w:sz="4" w:space="0"/>
            </w:tcBorders>
            <w:vAlign w:val="center"/>
          </w:tcPr>
          <w:p w14:paraId="4CFD645A">
            <w:pPr>
              <w:overflowPunct w:val="0"/>
              <w:adjustRightInd w:val="0"/>
              <w:snapToGrid w:val="0"/>
              <w:spacing w:line="300" w:lineRule="exact"/>
              <w:jc w:val="center"/>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新增工作人员130名</w:t>
            </w:r>
          </w:p>
        </w:tc>
        <w:tc>
          <w:tcPr>
            <w:tcW w:w="1299" w:type="pct"/>
            <w:tcBorders>
              <w:top w:val="single" w:color="auto" w:sz="4" w:space="0"/>
              <w:bottom w:val="single" w:color="auto" w:sz="4" w:space="0"/>
            </w:tcBorders>
            <w:vAlign w:val="center"/>
          </w:tcPr>
          <w:p w14:paraId="2FFFBA1F">
            <w:pPr>
              <w:overflowPunct w:val="0"/>
              <w:adjustRightInd w:val="0"/>
              <w:snapToGrid w:val="0"/>
              <w:spacing w:line="300" w:lineRule="exact"/>
              <w:jc w:val="center"/>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环保投资</w:t>
            </w:r>
          </w:p>
        </w:tc>
        <w:tc>
          <w:tcPr>
            <w:tcW w:w="1022" w:type="pct"/>
            <w:vAlign w:val="center"/>
          </w:tcPr>
          <w:p w14:paraId="0094008C">
            <w:pPr>
              <w:overflowPunct w:val="0"/>
              <w:adjustRightInd w:val="0"/>
              <w:snapToGrid w:val="0"/>
              <w:spacing w:line="300" w:lineRule="exact"/>
              <w:jc w:val="center"/>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281万元</w:t>
            </w:r>
          </w:p>
        </w:tc>
      </w:tr>
      <w:tr w14:paraId="5A64C08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1090" w:type="pct"/>
            <w:vAlign w:val="center"/>
          </w:tcPr>
          <w:p w14:paraId="2C52C274">
            <w:pPr>
              <w:widowControl/>
              <w:overflowPunct w:val="0"/>
              <w:adjustRightInd w:val="0"/>
              <w:snapToGrid w:val="0"/>
              <w:spacing w:line="300" w:lineRule="exact"/>
              <w:jc w:val="center"/>
              <w:rPr>
                <w:rFonts w:hint="eastAsia" w:ascii="宋体" w:hAnsi="宋体"/>
                <w:color w:val="000000" w:themeColor="text1"/>
                <w:kern w:val="0"/>
                <w:szCs w:val="21"/>
                <w:lang w:bidi="ar"/>
                <w14:textFill>
                  <w14:solidFill>
                    <w14:schemeClr w14:val="tx1"/>
                  </w14:solidFill>
                </w14:textFill>
              </w:rPr>
            </w:pPr>
            <w:r>
              <w:rPr>
                <w:rFonts w:hint="eastAsia" w:ascii="宋体" w:hAnsi="宋体"/>
                <w:color w:val="000000" w:themeColor="text1"/>
                <w:szCs w:val="21"/>
                <w14:textFill>
                  <w14:solidFill>
                    <w14:schemeClr w14:val="tx1"/>
                  </w14:solidFill>
                </w14:textFill>
              </w:rPr>
              <w:t>工作制度</w:t>
            </w:r>
          </w:p>
        </w:tc>
        <w:tc>
          <w:tcPr>
            <w:tcW w:w="1589" w:type="pct"/>
            <w:tcBorders>
              <w:top w:val="single" w:color="auto" w:sz="4" w:space="0"/>
            </w:tcBorders>
            <w:vAlign w:val="center"/>
          </w:tcPr>
          <w:p w14:paraId="7DFAAFC2">
            <w:pPr>
              <w:overflowPunct w:val="0"/>
              <w:adjustRightInd w:val="0"/>
              <w:snapToGrid w:val="0"/>
              <w:spacing w:line="300" w:lineRule="exact"/>
              <w:jc w:val="center"/>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年运行30</w:t>
            </w:r>
            <w:r>
              <w:rPr>
                <w:rFonts w:ascii="宋体" w:hAnsi="宋体"/>
                <w:color w:val="000000" w:themeColor="text1"/>
                <w:szCs w:val="21"/>
                <w14:textFill>
                  <w14:solidFill>
                    <w14:schemeClr w14:val="tx1"/>
                  </w14:solidFill>
                </w14:textFill>
              </w:rPr>
              <w:t>0</w:t>
            </w:r>
            <w:r>
              <w:rPr>
                <w:rFonts w:hint="eastAsia" w:ascii="宋体" w:hAnsi="宋体"/>
                <w:color w:val="000000" w:themeColor="text1"/>
                <w:szCs w:val="21"/>
                <w14:textFill>
                  <w14:solidFill>
                    <w14:schemeClr w14:val="tx1"/>
                  </w14:solidFill>
                </w14:textFill>
              </w:rPr>
              <w:t>天</w:t>
            </w:r>
          </w:p>
        </w:tc>
        <w:tc>
          <w:tcPr>
            <w:tcW w:w="1299" w:type="pct"/>
            <w:tcBorders>
              <w:top w:val="single" w:color="auto" w:sz="4" w:space="0"/>
            </w:tcBorders>
            <w:vAlign w:val="center"/>
          </w:tcPr>
          <w:p w14:paraId="15359A98">
            <w:pPr>
              <w:overflowPunct w:val="0"/>
              <w:adjustRightInd w:val="0"/>
              <w:snapToGrid w:val="0"/>
              <w:spacing w:line="300" w:lineRule="exact"/>
              <w:jc w:val="center"/>
              <w:rPr>
                <w:rFonts w:hint="eastAsia" w:ascii="宋体" w:hAnsi="宋体"/>
                <w:color w:val="000000" w:themeColor="text1"/>
                <w:szCs w:val="21"/>
                <w14:textFill>
                  <w14:solidFill>
                    <w14:schemeClr w14:val="tx1"/>
                  </w14:solidFill>
                </w14:textFill>
              </w:rPr>
            </w:pPr>
          </w:p>
        </w:tc>
        <w:tc>
          <w:tcPr>
            <w:tcW w:w="1022" w:type="pct"/>
            <w:vAlign w:val="center"/>
          </w:tcPr>
          <w:p w14:paraId="44786919">
            <w:pPr>
              <w:overflowPunct w:val="0"/>
              <w:adjustRightInd w:val="0"/>
              <w:snapToGrid w:val="0"/>
              <w:spacing w:line="300" w:lineRule="exact"/>
              <w:jc w:val="center"/>
              <w:rPr>
                <w:rFonts w:hint="eastAsia" w:ascii="宋体" w:hAnsi="宋体"/>
                <w:bCs/>
                <w:color w:val="000000" w:themeColor="text1"/>
                <w14:textFill>
                  <w14:solidFill>
                    <w14:schemeClr w14:val="tx1"/>
                  </w14:solidFill>
                </w14:textFill>
              </w:rPr>
            </w:pPr>
          </w:p>
        </w:tc>
      </w:tr>
    </w:tbl>
    <w:p w14:paraId="663B73E1">
      <w:pPr>
        <w:pStyle w:val="4"/>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生产工艺及环境影响因素分析</w:t>
      </w:r>
    </w:p>
    <w:p w14:paraId="11D96159">
      <w:pPr>
        <w:pStyle w:val="117"/>
        <w:adjustRightInd w:val="0"/>
        <w:snapToGrid w:val="0"/>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（1）井筒改造施工工艺及环境影响因素分析</w:t>
      </w:r>
    </w:p>
    <w:p w14:paraId="5B78484E">
      <w:pPr>
        <w:pStyle w:val="117"/>
        <w:adjustRightInd w:val="0"/>
        <w:snapToGrid w:val="0"/>
        <w:ind w:firstLine="480"/>
        <w:rPr>
          <w:rFonts w:hint="eastAsia"/>
          <w:color w:val="000000" w:themeColor="text1"/>
          <w:szCs w:val="22"/>
          <w14:textFill>
            <w14:solidFill>
              <w14:schemeClr w14:val="tx1"/>
            </w14:solidFill>
          </w14:textFill>
        </w:rPr>
      </w:pPr>
      <w:r>
        <w:rPr>
          <w:rFonts w:hint="eastAsia"/>
          <w:color w:val="000000" w:themeColor="text1"/>
          <w14:textFill>
            <w14:solidFill>
              <w14:schemeClr w14:val="tx1"/>
            </w14:solidFill>
          </w14:textFill>
        </w:rPr>
        <w:t>拟部署井固井质量合格，井况良好，但</w:t>
      </w:r>
      <w:r>
        <w:rPr>
          <w:color w:val="000000" w:themeColor="text1"/>
          <w:szCs w:val="22"/>
          <w14:textFill>
            <w14:solidFill>
              <w14:schemeClr w14:val="tx1"/>
            </w14:solidFill>
          </w14:textFill>
        </w:rPr>
        <w:t>套管均为非气密封丝扣套管，并且水泥返高较低（主要在800-1300m之间），存在丝扣气体漏失的风险和套外窜风险。油套管均不防腐，存在油管和套管腐蚀的风险，随CO</w:t>
      </w:r>
      <w:r>
        <w:rPr>
          <w:color w:val="000000" w:themeColor="text1"/>
          <w:szCs w:val="22"/>
          <w:vertAlign w:val="subscript"/>
          <w14:textFill>
            <w14:solidFill>
              <w14:schemeClr w14:val="tx1"/>
            </w14:solidFill>
          </w14:textFill>
        </w:rPr>
        <w:t>2</w:t>
      </w:r>
      <w:r>
        <w:rPr>
          <w:color w:val="000000" w:themeColor="text1"/>
          <w:szCs w:val="22"/>
          <w14:textFill>
            <w14:solidFill>
              <w14:schemeClr w14:val="tx1"/>
            </w14:solidFill>
          </w14:textFill>
        </w:rPr>
        <w:t>分压增加，腐蚀速率加剧</w:t>
      </w:r>
      <w:r>
        <w:rPr>
          <w:rFonts w:hint="eastAsia"/>
          <w:color w:val="000000" w:themeColor="text1"/>
          <w:szCs w:val="22"/>
          <w14:textFill>
            <w14:solidFill>
              <w14:schemeClr w14:val="tx1"/>
            </w14:solidFill>
          </w14:textFill>
        </w:rPr>
        <w:t>，</w:t>
      </w:r>
      <w:r>
        <w:rPr>
          <w:color w:val="000000" w:themeColor="text1"/>
          <w:szCs w:val="22"/>
          <w14:textFill>
            <w14:solidFill>
              <w14:schemeClr w14:val="tx1"/>
            </w14:solidFill>
          </w14:textFill>
        </w:rPr>
        <w:t>并且使用的固井水泥是非防CO</w:t>
      </w:r>
      <w:r>
        <w:rPr>
          <w:color w:val="000000" w:themeColor="text1"/>
          <w:szCs w:val="22"/>
          <w:vertAlign w:val="subscript"/>
          <w14:textFill>
            <w14:solidFill>
              <w14:schemeClr w14:val="tx1"/>
            </w14:solidFill>
          </w14:textFill>
        </w:rPr>
        <w:t>2</w:t>
      </w:r>
      <w:r>
        <w:rPr>
          <w:color w:val="000000" w:themeColor="text1"/>
          <w:szCs w:val="22"/>
          <w14:textFill>
            <w14:solidFill>
              <w14:schemeClr w14:val="tx1"/>
            </w14:solidFill>
          </w14:textFill>
        </w:rPr>
        <w:t>腐蚀水泥，存在着套管外腐蚀的问题</w:t>
      </w:r>
      <w:r>
        <w:rPr>
          <w:rFonts w:hint="eastAsia"/>
          <w:color w:val="000000" w:themeColor="text1"/>
          <w:szCs w:val="22"/>
          <w14:textFill>
            <w14:solidFill>
              <w14:schemeClr w14:val="tx1"/>
            </w14:solidFill>
          </w14:textFill>
        </w:rPr>
        <w:t>；</w:t>
      </w:r>
      <w:r>
        <w:rPr>
          <w:color w:val="000000" w:themeColor="text1"/>
          <w:szCs w:val="22"/>
          <w14:textFill>
            <w14:solidFill>
              <w14:schemeClr w14:val="tx1"/>
            </w14:solidFill>
          </w14:textFill>
        </w:rPr>
        <w:t>采用固井桥塞分段压裂工艺，单段3簇，储层改造规模较大，CO</w:t>
      </w:r>
      <w:r>
        <w:rPr>
          <w:color w:val="000000" w:themeColor="text1"/>
          <w:szCs w:val="22"/>
          <w:vertAlign w:val="subscript"/>
          <w14:textFill>
            <w14:solidFill>
              <w14:schemeClr w14:val="tx1"/>
            </w14:solidFill>
          </w14:textFill>
        </w:rPr>
        <w:t>2</w:t>
      </w:r>
      <w:r>
        <w:rPr>
          <w:color w:val="000000" w:themeColor="text1"/>
          <w:szCs w:val="22"/>
          <w14:textFill>
            <w14:solidFill>
              <w14:schemeClr w14:val="tx1"/>
            </w14:solidFill>
          </w14:textFill>
        </w:rPr>
        <w:t>吞吐存在气窜风险。</w:t>
      </w:r>
      <w:r>
        <w:rPr>
          <w:rFonts w:hint="eastAsia"/>
          <w:color w:val="000000" w:themeColor="text1"/>
          <w:szCs w:val="22"/>
          <w14:textFill>
            <w14:solidFill>
              <w14:schemeClr w14:val="tx1"/>
            </w14:solidFill>
          </w14:textFill>
        </w:rPr>
        <w:t>为此，施工期需对井筒进行改造，施工工艺主要为：</w:t>
      </w:r>
      <w:r>
        <w:rPr>
          <w:color w:val="000000" w:themeColor="text1"/>
          <w:szCs w:val="22"/>
          <w14:textFill>
            <w14:solidFill>
              <w14:schemeClr w14:val="tx1"/>
            </w14:solidFill>
          </w14:textFill>
        </w:rPr>
        <w:t>施工准备→停井静压测试→挤压井→下入油管堵塞器→拆卸井口采油树→安装防喷作业设备→打捞堵塞器→</w:t>
      </w:r>
      <w:r>
        <w:rPr>
          <w:bCs/>
          <w:color w:val="000000" w:themeColor="text1"/>
          <w:szCs w:val="22"/>
          <w14:textFill>
            <w14:solidFill>
              <w14:schemeClr w14:val="tx1"/>
            </w14:solidFill>
          </w14:textFill>
        </w:rPr>
        <w:t>循环压井</w:t>
      </w:r>
      <w:r>
        <w:rPr>
          <w:color w:val="000000" w:themeColor="text1"/>
          <w:szCs w:val="22"/>
          <w14:textFill>
            <w14:solidFill>
              <w14:schemeClr w14:val="tx1"/>
            </w14:solidFill>
          </w14:textFill>
        </w:rPr>
        <w:t>→防喷</w:t>
      </w:r>
      <w:r>
        <w:rPr>
          <w:bCs/>
          <w:color w:val="000000" w:themeColor="text1"/>
          <w:szCs w:val="22"/>
          <w14:textFill>
            <w14:solidFill>
              <w14:schemeClr w14:val="tx1"/>
            </w14:solidFill>
          </w14:textFill>
        </w:rPr>
        <w:t>起管</w:t>
      </w:r>
      <w:r>
        <w:rPr>
          <w:color w:val="000000" w:themeColor="text1"/>
          <w:szCs w:val="22"/>
          <w14:textFill>
            <w14:solidFill>
              <w14:schemeClr w14:val="tx1"/>
            </w14:solidFill>
          </w14:textFill>
        </w:rPr>
        <w:t>→通井、刮削、洗井→井况检测→下注气管柱至预定井段→连接双公短节、坐好油管挂、上全拧紧顶丝→</w:t>
      </w:r>
      <w:r>
        <w:rPr>
          <w:rFonts w:hint="eastAsia"/>
          <w:color w:val="000000" w:themeColor="text1"/>
          <w:szCs w:val="22"/>
          <w14:textFill>
            <w14:solidFill>
              <w14:schemeClr w14:val="tx1"/>
            </w14:solidFill>
          </w14:textFill>
        </w:rPr>
        <w:t>拆除</w:t>
      </w:r>
      <w:r>
        <w:rPr>
          <w:color w:val="000000" w:themeColor="text1"/>
          <w:szCs w:val="22"/>
          <w14:textFill>
            <w14:solidFill>
              <w14:schemeClr w14:val="tx1"/>
            </w14:solidFill>
          </w14:textFill>
        </w:rPr>
        <w:t>作业设备→安装采油树并试压合格→替油套环空保护液→投球、封隔器坐封、验封→打掉坐封钢球及球座→交井。</w:t>
      </w:r>
      <w:r>
        <w:rPr>
          <w:rFonts w:hint="eastAsia"/>
          <w:color w:val="000000" w:themeColor="text1"/>
          <w:szCs w:val="22"/>
          <w14:textFill>
            <w14:solidFill>
              <w14:schemeClr w14:val="tx1"/>
            </w14:solidFill>
          </w14:textFill>
        </w:rPr>
        <w:t>其中通洗井、通径、刮管、下注气管柱、按照采油树要求如下：</w:t>
      </w:r>
    </w:p>
    <w:p w14:paraId="307AC249">
      <w:pPr>
        <w:pStyle w:val="117"/>
        <w:adjustRightInd w:val="0"/>
        <w:snapToGrid w:val="0"/>
        <w:ind w:firstLine="480"/>
        <w:rPr>
          <w:rFonts w:hint="eastAsia"/>
          <w:color w:val="000000" w:themeColor="text1"/>
          <w:szCs w:val="22"/>
          <w14:textFill>
            <w14:solidFill>
              <w14:schemeClr w14:val="tx1"/>
            </w14:solidFill>
          </w14:textFill>
        </w:rPr>
      </w:pPr>
      <w:r>
        <w:rPr>
          <w:rFonts w:hint="eastAsia"/>
          <w:color w:val="000000" w:themeColor="text1"/>
          <w:szCs w:val="22"/>
          <w14:textFill>
            <w14:solidFill>
              <w14:schemeClr w14:val="tx1"/>
            </w14:solidFill>
          </w14:textFill>
        </w:rPr>
        <w:t>①</w:t>
      </w:r>
      <w:r>
        <w:rPr>
          <w:color w:val="000000" w:themeColor="text1"/>
          <w:szCs w:val="22"/>
          <w14:textFill>
            <w14:solidFill>
              <w14:schemeClr w14:val="tx1"/>
            </w14:solidFill>
          </w14:textFill>
        </w:rPr>
        <w:t>通洗井要求</w:t>
      </w:r>
    </w:p>
    <w:p w14:paraId="707C3E36">
      <w:pPr>
        <w:pStyle w:val="117"/>
        <w:adjustRightInd w:val="0"/>
        <w:snapToGrid w:val="0"/>
        <w:ind w:firstLine="480"/>
        <w:rPr>
          <w:rFonts w:hint="eastAsia"/>
          <w:color w:val="000000" w:themeColor="text1"/>
          <w:szCs w:val="22"/>
          <w14:textFill>
            <w14:solidFill>
              <w14:schemeClr w14:val="tx1"/>
            </w14:solidFill>
          </w14:textFill>
        </w:rPr>
      </w:pPr>
      <w:r>
        <w:rPr>
          <w:color w:val="000000" w:themeColor="text1"/>
          <w:szCs w:val="22"/>
          <w14:textFill>
            <w14:solidFill>
              <w14:schemeClr w14:val="tx1"/>
            </w14:solidFill>
          </w14:textFill>
        </w:rPr>
        <w:t>按规范要求进行通洗井作业</w:t>
      </w:r>
      <w:r>
        <w:rPr>
          <w:rFonts w:hint="eastAsia"/>
          <w:color w:val="000000" w:themeColor="text1"/>
          <w:szCs w:val="22"/>
          <w14:textFill>
            <w14:solidFill>
              <w14:schemeClr w14:val="tx1"/>
            </w14:solidFill>
          </w14:textFill>
        </w:rPr>
        <w:t>，</w:t>
      </w:r>
      <w:r>
        <w:rPr>
          <w:color w:val="000000" w:themeColor="text1"/>
          <w:szCs w:val="22"/>
          <w14:textFill>
            <w14:solidFill>
              <w14:schemeClr w14:val="tx1"/>
            </w14:solidFill>
          </w14:textFill>
        </w:rPr>
        <w:t>必须用不小于60℃的清水充分冲洗井筒，避免地层流体及杂质附着在套管上或残留在井筒，从而导致CO</w:t>
      </w:r>
      <w:r>
        <w:rPr>
          <w:color w:val="000000" w:themeColor="text1"/>
          <w:szCs w:val="22"/>
          <w:vertAlign w:val="subscript"/>
          <w14:textFill>
            <w14:solidFill>
              <w14:schemeClr w14:val="tx1"/>
            </w14:solidFill>
          </w14:textFill>
        </w:rPr>
        <w:t>2</w:t>
      </w:r>
      <w:r>
        <w:rPr>
          <w:color w:val="000000" w:themeColor="text1"/>
          <w:szCs w:val="22"/>
          <w14:textFill>
            <w14:solidFill>
              <w14:schemeClr w14:val="tx1"/>
            </w14:solidFill>
          </w14:textFill>
        </w:rPr>
        <w:t>注入后引起井筒堵塞或腐蚀。</w:t>
      </w:r>
    </w:p>
    <w:p w14:paraId="696B99B2">
      <w:pPr>
        <w:pStyle w:val="117"/>
        <w:adjustRightInd w:val="0"/>
        <w:snapToGrid w:val="0"/>
        <w:ind w:firstLine="480"/>
        <w:rPr>
          <w:rFonts w:hint="eastAsia"/>
          <w:color w:val="000000" w:themeColor="text1"/>
          <w:szCs w:val="22"/>
          <w14:textFill>
            <w14:solidFill>
              <w14:schemeClr w14:val="tx1"/>
            </w14:solidFill>
          </w14:textFill>
        </w:rPr>
      </w:pPr>
      <w:r>
        <w:rPr>
          <w:rFonts w:hint="eastAsia"/>
          <w:color w:val="000000" w:themeColor="text1"/>
          <w:szCs w:val="22"/>
          <w14:textFill>
            <w14:solidFill>
              <w14:schemeClr w14:val="tx1"/>
            </w14:solidFill>
          </w14:textFill>
        </w:rPr>
        <w:t>②</w:t>
      </w:r>
      <w:r>
        <w:rPr>
          <w:color w:val="000000" w:themeColor="text1"/>
          <w:szCs w:val="22"/>
          <w14:textFill>
            <w14:solidFill>
              <w14:schemeClr w14:val="tx1"/>
            </w14:solidFill>
          </w14:textFill>
        </w:rPr>
        <w:t>通径、刮管要求</w:t>
      </w:r>
    </w:p>
    <w:p w14:paraId="5FF43A12">
      <w:pPr>
        <w:pStyle w:val="117"/>
        <w:adjustRightInd w:val="0"/>
        <w:snapToGrid w:val="0"/>
        <w:ind w:firstLine="480"/>
        <w:rPr>
          <w:rFonts w:hint="eastAsia"/>
          <w:color w:val="000000" w:themeColor="text1"/>
          <w:szCs w:val="22"/>
          <w14:textFill>
            <w14:solidFill>
              <w14:schemeClr w14:val="tx1"/>
            </w14:solidFill>
          </w14:textFill>
        </w:rPr>
      </w:pPr>
      <w:r>
        <w:rPr>
          <w:color w:val="000000" w:themeColor="text1"/>
          <w:szCs w:val="22"/>
          <w14:textFill>
            <w14:solidFill>
              <w14:schemeClr w14:val="tx1"/>
            </w14:solidFill>
          </w14:textFill>
        </w:rPr>
        <w:t>下入通径管柱，通径至封隔器坐封处以下10m，用Φ139.7mm套管刮管器，对封隔器坐封段上下反复刮管6次，同时下入试注管柱。</w:t>
      </w:r>
    </w:p>
    <w:p w14:paraId="3764C0C5">
      <w:pPr>
        <w:pStyle w:val="117"/>
        <w:adjustRightInd w:val="0"/>
        <w:snapToGrid w:val="0"/>
        <w:ind w:firstLine="480"/>
        <w:rPr>
          <w:rFonts w:hint="eastAsia"/>
          <w:color w:val="000000" w:themeColor="text1"/>
          <w:szCs w:val="22"/>
          <w14:textFill>
            <w14:solidFill>
              <w14:schemeClr w14:val="tx1"/>
            </w14:solidFill>
          </w14:textFill>
        </w:rPr>
      </w:pPr>
      <w:r>
        <w:rPr>
          <w:rFonts w:hint="eastAsia"/>
          <w:color w:val="000000" w:themeColor="text1"/>
          <w:szCs w:val="22"/>
          <w14:textFill>
            <w14:solidFill>
              <w14:schemeClr w14:val="tx1"/>
            </w14:solidFill>
          </w14:textFill>
        </w:rPr>
        <w:t>③</w:t>
      </w:r>
      <w:r>
        <w:rPr>
          <w:color w:val="000000" w:themeColor="text1"/>
          <w:szCs w:val="22"/>
          <w14:textFill>
            <w14:solidFill>
              <w14:schemeClr w14:val="tx1"/>
            </w14:solidFill>
          </w14:textFill>
        </w:rPr>
        <w:t>下注气管柱要求</w:t>
      </w:r>
    </w:p>
    <w:p w14:paraId="2F44258D">
      <w:pPr>
        <w:pStyle w:val="117"/>
        <w:adjustRightInd w:val="0"/>
        <w:snapToGrid w:val="0"/>
        <w:ind w:firstLine="480"/>
        <w:rPr>
          <w:rFonts w:hint="eastAsia"/>
          <w:color w:val="000000" w:themeColor="text1"/>
          <w:szCs w:val="22"/>
          <w14:textFill>
            <w14:solidFill>
              <w14:schemeClr w14:val="tx1"/>
            </w14:solidFill>
          </w14:textFill>
        </w:rPr>
      </w:pPr>
      <w:bookmarkStart w:id="284" w:name="OLE_LINK34"/>
      <w:r>
        <w:rPr>
          <w:rFonts w:hint="eastAsia"/>
          <w:color w:val="000000" w:themeColor="text1"/>
          <w:szCs w:val="22"/>
          <w14:textFill>
            <w14:solidFill>
              <w14:schemeClr w14:val="tx1"/>
            </w14:solidFill>
          </w14:textFill>
        </w:rPr>
        <w:t>※</w:t>
      </w:r>
      <w:bookmarkEnd w:id="284"/>
      <w:r>
        <w:rPr>
          <w:color w:val="000000" w:themeColor="text1"/>
          <w:szCs w:val="22"/>
          <w14:textFill>
            <w14:solidFill>
              <w14:schemeClr w14:val="tx1"/>
            </w14:solidFill>
          </w14:textFill>
        </w:rPr>
        <w:t>按标准检查全部预下井管柱，确认油管完好后，采用10m以上的钢卷尺，反复丈量3次，丈量误差在0.2m/1000m以下；</w:t>
      </w:r>
    </w:p>
    <w:p w14:paraId="64615FD9">
      <w:pPr>
        <w:pStyle w:val="117"/>
        <w:adjustRightInd w:val="0"/>
        <w:snapToGrid w:val="0"/>
        <w:ind w:firstLine="480"/>
        <w:rPr>
          <w:rFonts w:hint="eastAsia"/>
          <w:color w:val="000000" w:themeColor="text1"/>
          <w:szCs w:val="22"/>
          <w14:textFill>
            <w14:solidFill>
              <w14:schemeClr w14:val="tx1"/>
            </w14:solidFill>
          </w14:textFill>
        </w:rPr>
      </w:pPr>
      <w:r>
        <w:rPr>
          <w:rFonts w:hint="eastAsia"/>
          <w:color w:val="000000" w:themeColor="text1"/>
          <w:szCs w:val="22"/>
          <w14:textFill>
            <w14:solidFill>
              <w14:schemeClr w14:val="tx1"/>
            </w14:solidFill>
          </w14:textFill>
        </w:rPr>
        <w:t>※</w:t>
      </w:r>
      <w:r>
        <w:rPr>
          <w:color w:val="000000" w:themeColor="text1"/>
          <w:szCs w:val="22"/>
          <w14:textFill>
            <w14:solidFill>
              <w14:schemeClr w14:val="tx1"/>
            </w14:solidFill>
          </w14:textFill>
        </w:rPr>
        <w:t>在地面用Φ59mm的通径规将全部下井油管逐根通管；</w:t>
      </w:r>
    </w:p>
    <w:p w14:paraId="06A6E891">
      <w:pPr>
        <w:pStyle w:val="117"/>
        <w:adjustRightInd w:val="0"/>
        <w:snapToGrid w:val="0"/>
        <w:ind w:firstLine="480"/>
        <w:rPr>
          <w:rFonts w:hint="eastAsia"/>
          <w:color w:val="000000" w:themeColor="text1"/>
          <w:szCs w:val="22"/>
          <w14:textFill>
            <w14:solidFill>
              <w14:schemeClr w14:val="tx1"/>
            </w14:solidFill>
          </w14:textFill>
        </w:rPr>
      </w:pPr>
      <w:r>
        <w:rPr>
          <w:rFonts w:hint="eastAsia"/>
          <w:color w:val="000000" w:themeColor="text1"/>
          <w:szCs w:val="22"/>
          <w14:textFill>
            <w14:solidFill>
              <w14:schemeClr w14:val="tx1"/>
            </w14:solidFill>
          </w14:textFill>
        </w:rPr>
        <w:t>※</w:t>
      </w:r>
      <w:r>
        <w:rPr>
          <w:color w:val="000000" w:themeColor="text1"/>
          <w:szCs w:val="22"/>
          <w14:textFill>
            <w14:solidFill>
              <w14:schemeClr w14:val="tx1"/>
            </w14:solidFill>
          </w14:textFill>
        </w:rPr>
        <w:t>油管下井前丝扣要清洗干净，涂匀丝扣油，油管丝扣要按标准扭矩上牢上紧，防止管柱漏失；</w:t>
      </w:r>
    </w:p>
    <w:p w14:paraId="4C34C942">
      <w:pPr>
        <w:pStyle w:val="117"/>
        <w:adjustRightInd w:val="0"/>
        <w:snapToGrid w:val="0"/>
        <w:ind w:firstLine="480"/>
        <w:rPr>
          <w:rFonts w:hint="eastAsia"/>
          <w:color w:val="000000" w:themeColor="text1"/>
          <w:szCs w:val="22"/>
          <w14:textFill>
            <w14:solidFill>
              <w14:schemeClr w14:val="tx1"/>
            </w14:solidFill>
          </w14:textFill>
        </w:rPr>
      </w:pPr>
      <w:r>
        <w:rPr>
          <w:rFonts w:hint="eastAsia"/>
          <w:color w:val="000000" w:themeColor="text1"/>
          <w:szCs w:val="22"/>
          <w14:textFill>
            <w14:solidFill>
              <w14:schemeClr w14:val="tx1"/>
            </w14:solidFill>
          </w14:textFill>
        </w:rPr>
        <w:t>※</w:t>
      </w:r>
      <w:r>
        <w:rPr>
          <w:color w:val="000000" w:themeColor="text1"/>
          <w:szCs w:val="22"/>
          <w14:textFill>
            <w14:solidFill>
              <w14:schemeClr w14:val="tx1"/>
            </w14:solidFill>
          </w14:textFill>
        </w:rPr>
        <w:t>下放注气管柱时严格按照气密封油管作业要求，下放速度控制在2m/s以内；</w:t>
      </w:r>
    </w:p>
    <w:p w14:paraId="2019C6DD">
      <w:pPr>
        <w:pStyle w:val="117"/>
        <w:adjustRightInd w:val="0"/>
        <w:snapToGrid w:val="0"/>
        <w:ind w:firstLine="480"/>
        <w:rPr>
          <w:rFonts w:hint="eastAsia"/>
          <w:color w:val="000000" w:themeColor="text1"/>
          <w:szCs w:val="22"/>
          <w14:textFill>
            <w14:solidFill>
              <w14:schemeClr w14:val="tx1"/>
            </w14:solidFill>
          </w14:textFill>
        </w:rPr>
      </w:pPr>
      <w:r>
        <w:rPr>
          <w:rFonts w:hint="eastAsia"/>
          <w:color w:val="000000" w:themeColor="text1"/>
          <w:szCs w:val="22"/>
          <w14:textFill>
            <w14:solidFill>
              <w14:schemeClr w14:val="tx1"/>
            </w14:solidFill>
          </w14:textFill>
        </w:rPr>
        <w:t>※</w:t>
      </w:r>
      <w:r>
        <w:rPr>
          <w:color w:val="000000" w:themeColor="text1"/>
          <w:szCs w:val="22"/>
          <w14:textFill>
            <w14:solidFill>
              <w14:schemeClr w14:val="tx1"/>
            </w14:solidFill>
          </w14:textFill>
        </w:rPr>
        <w:t>完井施工时，每个扣必须严格按照上扣扭矩要求进行上扣和气密封检测，发现不合格的扣及时更换；</w:t>
      </w:r>
    </w:p>
    <w:p w14:paraId="17EED69E">
      <w:pPr>
        <w:pStyle w:val="117"/>
        <w:adjustRightInd w:val="0"/>
        <w:snapToGrid w:val="0"/>
        <w:ind w:firstLine="480"/>
        <w:rPr>
          <w:rFonts w:hint="eastAsia"/>
          <w:color w:val="000000" w:themeColor="text1"/>
          <w:szCs w:val="22"/>
          <w14:textFill>
            <w14:solidFill>
              <w14:schemeClr w14:val="tx1"/>
            </w14:solidFill>
          </w14:textFill>
        </w:rPr>
      </w:pPr>
      <w:r>
        <w:rPr>
          <w:rFonts w:hint="eastAsia"/>
          <w:color w:val="000000" w:themeColor="text1"/>
          <w:szCs w:val="22"/>
          <w14:textFill>
            <w14:solidFill>
              <w14:schemeClr w14:val="tx1"/>
            </w14:solidFill>
          </w14:textFill>
        </w:rPr>
        <w:t>※</w:t>
      </w:r>
      <w:r>
        <w:rPr>
          <w:color w:val="000000" w:themeColor="text1"/>
          <w:szCs w:val="22"/>
          <w14:textFill>
            <w14:solidFill>
              <w14:schemeClr w14:val="tx1"/>
            </w14:solidFill>
          </w14:textFill>
        </w:rPr>
        <w:t>注气封隔器下至预定座封位置后，测上提下放负荷并作记录，并进行校深，确认入井管柱数量和深度无误；封隔器座封前，从油套环空挤注水基环空保护液，将封隔器以上的油套环空内全部充满环空保护液；</w:t>
      </w:r>
    </w:p>
    <w:p w14:paraId="40AC2611">
      <w:pPr>
        <w:pStyle w:val="117"/>
        <w:adjustRightInd w:val="0"/>
        <w:snapToGrid w:val="0"/>
        <w:ind w:firstLine="480"/>
        <w:rPr>
          <w:rFonts w:hint="eastAsia"/>
          <w:color w:val="000000" w:themeColor="text1"/>
          <w:szCs w:val="22"/>
          <w14:textFill>
            <w14:solidFill>
              <w14:schemeClr w14:val="tx1"/>
            </w14:solidFill>
          </w14:textFill>
        </w:rPr>
      </w:pPr>
      <w:r>
        <w:rPr>
          <w:rFonts w:hint="eastAsia"/>
          <w:color w:val="000000" w:themeColor="text1"/>
          <w:szCs w:val="22"/>
          <w14:textFill>
            <w14:solidFill>
              <w14:schemeClr w14:val="tx1"/>
            </w14:solidFill>
          </w14:textFill>
        </w:rPr>
        <w:t>※</w:t>
      </w:r>
      <w:r>
        <w:rPr>
          <w:color w:val="000000" w:themeColor="text1"/>
          <w:szCs w:val="22"/>
          <w14:textFill>
            <w14:solidFill>
              <w14:schemeClr w14:val="tx1"/>
            </w14:solidFill>
          </w14:textFill>
        </w:rPr>
        <w:t>连接双公短节、油管挂，在油管挂上面连接提升油管，慢慢下放管柱，坐入油管挂，坐好井口附件。</w:t>
      </w:r>
    </w:p>
    <w:p w14:paraId="273D3CA2">
      <w:pPr>
        <w:pStyle w:val="117"/>
        <w:adjustRightInd w:val="0"/>
        <w:snapToGrid w:val="0"/>
        <w:ind w:firstLine="480"/>
        <w:rPr>
          <w:rFonts w:hint="eastAsia"/>
          <w:color w:val="000000" w:themeColor="text1"/>
          <w:szCs w:val="22"/>
          <w14:textFill>
            <w14:solidFill>
              <w14:schemeClr w14:val="tx1"/>
            </w14:solidFill>
          </w14:textFill>
        </w:rPr>
      </w:pPr>
      <w:r>
        <w:rPr>
          <w:rFonts w:hint="eastAsia"/>
          <w:color w:val="000000" w:themeColor="text1"/>
          <w:szCs w:val="22"/>
          <w14:textFill>
            <w14:solidFill>
              <w14:schemeClr w14:val="tx1"/>
            </w14:solidFill>
          </w14:textFill>
        </w:rPr>
        <w:t>④安装采油树</w:t>
      </w:r>
    </w:p>
    <w:p w14:paraId="734BE040">
      <w:pPr>
        <w:pStyle w:val="117"/>
        <w:adjustRightInd w:val="0"/>
        <w:snapToGrid w:val="0"/>
        <w:ind w:firstLine="480"/>
        <w:rPr>
          <w:rFonts w:hint="eastAsia"/>
          <w:color w:val="000000" w:themeColor="text1"/>
          <w:szCs w:val="22"/>
          <w14:textFill>
            <w14:solidFill>
              <w14:schemeClr w14:val="tx1"/>
            </w14:solidFill>
          </w14:textFill>
        </w:rPr>
      </w:pPr>
      <w:r>
        <w:rPr>
          <w:color w:val="000000" w:themeColor="text1"/>
          <w:szCs w:val="22"/>
          <w14:textFill>
            <w14:solidFill>
              <w14:schemeClr w14:val="tx1"/>
            </w14:solidFill>
          </w14:textFill>
        </w:rPr>
        <w:t>安装井口采</w:t>
      </w:r>
      <w:r>
        <w:rPr>
          <w:rFonts w:hint="eastAsia"/>
          <w:color w:val="000000" w:themeColor="text1"/>
          <w:szCs w:val="22"/>
          <w14:textFill>
            <w14:solidFill>
              <w14:schemeClr w14:val="tx1"/>
            </w14:solidFill>
          </w14:textFill>
        </w:rPr>
        <w:t>油</w:t>
      </w:r>
      <w:r>
        <w:rPr>
          <w:color w:val="000000" w:themeColor="text1"/>
          <w:szCs w:val="22"/>
          <w14:textFill>
            <w14:solidFill>
              <w14:schemeClr w14:val="tx1"/>
            </w14:solidFill>
          </w14:textFill>
        </w:rPr>
        <w:t>树，根据GB/T22513-2013标准执行，保证气密封合格，符合工程安装和生产要求。井口装置安装完毕后地面用清水或高压气对井口进行试压，保证不渗不漏，气密封合格，确保投产后井口装置密封良好。</w:t>
      </w:r>
    </w:p>
    <w:p w14:paraId="40E6E971">
      <w:pPr>
        <w:pStyle w:val="117"/>
        <w:adjustRightInd w:val="0"/>
        <w:snapToGrid w:val="0"/>
        <w:ind w:firstLine="480"/>
        <w:rPr>
          <w:rFonts w:hint="eastAsia"/>
          <w:color w:val="000000" w:themeColor="text1"/>
          <w:szCs w:val="22"/>
          <w14:textFill>
            <w14:solidFill>
              <w14:schemeClr w14:val="tx1"/>
            </w14:solidFill>
          </w14:textFill>
        </w:rPr>
      </w:pPr>
      <w:r>
        <w:rPr>
          <w:color w:val="000000" w:themeColor="text1"/>
          <w:szCs w:val="22"/>
          <w14:textFill>
            <w14:solidFill>
              <w14:schemeClr w14:val="tx1"/>
            </w14:solidFill>
          </w14:textFill>
        </w:rPr>
        <w:t>油管采用钨镍镀层防腐油管，封隔器以上环空加注环空保护液，注CO2期间不同时间段注入缓蚀剂溶液段塞，生产时产出保护井下管柱。推荐采用防冻型水基环空保护液对套管防腐保护</w:t>
      </w:r>
      <w:r>
        <w:rPr>
          <w:rFonts w:hint="eastAsia"/>
          <w:color w:val="000000" w:themeColor="text1"/>
          <w:szCs w:val="22"/>
          <w14:textFill>
            <w14:solidFill>
              <w14:schemeClr w14:val="tx1"/>
            </w14:solidFill>
          </w14:textFill>
        </w:rPr>
        <w:t>。</w:t>
      </w:r>
    </w:p>
    <w:p w14:paraId="759666FE">
      <w:pPr>
        <w:pStyle w:val="117"/>
        <w:adjustRightInd w:val="0"/>
        <w:snapToGrid w:val="0"/>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废气主要为施工机械及车辆尾气，废水主要为通洗井废水，噪声源主要为各类施工机械及车辆，本次改造不涉及原有设备拆除，固体废物主要为</w:t>
      </w:r>
      <w:bookmarkStart w:id="285" w:name="OLE_LINK169"/>
      <w:r>
        <w:rPr>
          <w:rFonts w:hint="eastAsia"/>
          <w:color w:val="000000" w:themeColor="text1"/>
          <w14:textFill>
            <w14:solidFill>
              <w14:schemeClr w14:val="tx1"/>
            </w14:solidFill>
          </w14:textFill>
        </w:rPr>
        <w:t>通井、刮井时产生的含油废渣</w:t>
      </w:r>
      <w:bookmarkEnd w:id="285"/>
      <w:r>
        <w:rPr>
          <w:rFonts w:hint="eastAsia"/>
          <w:color w:val="000000" w:themeColor="text1"/>
          <w14:textFill>
            <w14:solidFill>
              <w14:schemeClr w14:val="tx1"/>
            </w14:solidFill>
          </w14:textFill>
        </w:rPr>
        <w:t>和建筑垃圾。</w:t>
      </w:r>
    </w:p>
    <w:p w14:paraId="25FA2166">
      <w:pPr>
        <w:pStyle w:val="117"/>
        <w:adjustRightInd w:val="0"/>
        <w:snapToGrid w:val="0"/>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（2）对A、B区的边部井</w:t>
      </w:r>
      <w:r>
        <w:rPr>
          <w:color w:val="000000" w:themeColor="text1"/>
          <w14:textFill>
            <w14:solidFill>
              <w14:schemeClr w14:val="tx1"/>
            </w14:solidFill>
          </w14:textFill>
        </w:rPr>
        <w:t>JHW00421</w:t>
      </w:r>
      <w:r>
        <w:rPr>
          <w:rFonts w:hint="eastAsia"/>
          <w:color w:val="000000" w:themeColor="text1"/>
          <w14:textFill>
            <w14:solidFill>
              <w14:schemeClr w14:val="tx1"/>
            </w14:solidFill>
          </w14:textFill>
        </w:rPr>
        <w:t>井、JHW034井采用注水封堵防窜，选择“CO</w:t>
      </w:r>
      <w:r>
        <w:rPr>
          <w:rFonts w:hint="eastAsia"/>
          <w:color w:val="000000" w:themeColor="text1"/>
          <w:vertAlign w:val="subscript"/>
          <w14:textFill>
            <w14:solidFill>
              <w14:schemeClr w14:val="tx1"/>
            </w14:solidFill>
          </w14:textFill>
        </w:rPr>
        <w:t>2</w:t>
      </w:r>
      <w:r>
        <w:rPr>
          <w:rFonts w:hint="eastAsia"/>
          <w:color w:val="000000" w:themeColor="text1"/>
          <w14:textFill>
            <w14:solidFill>
              <w14:schemeClr w14:val="tx1"/>
            </w14:solidFill>
          </w14:textFill>
        </w:rPr>
        <w:t>响应型柔性颗粒+CO</w:t>
      </w:r>
      <w:r>
        <w:rPr>
          <w:rFonts w:hint="eastAsia"/>
          <w:color w:val="000000" w:themeColor="text1"/>
          <w:vertAlign w:val="subscript"/>
          <w14:textFill>
            <w14:solidFill>
              <w14:schemeClr w14:val="tx1"/>
            </w14:solidFill>
          </w14:textFill>
        </w:rPr>
        <w:t>2</w:t>
      </w:r>
      <w:r>
        <w:rPr>
          <w:rFonts w:hint="eastAsia"/>
          <w:color w:val="000000" w:themeColor="text1"/>
          <w14:textFill>
            <w14:solidFill>
              <w14:schemeClr w14:val="tx1"/>
            </w14:solidFill>
          </w14:textFill>
        </w:rPr>
        <w:t>响应凝胶+CO</w:t>
      </w:r>
      <w:r>
        <w:rPr>
          <w:rFonts w:hint="eastAsia"/>
          <w:color w:val="000000" w:themeColor="text1"/>
          <w:vertAlign w:val="subscript"/>
          <w14:textFill>
            <w14:solidFill>
              <w14:schemeClr w14:val="tx1"/>
            </w14:solidFill>
          </w14:textFill>
        </w:rPr>
        <w:t>2</w:t>
      </w:r>
      <w:r>
        <w:rPr>
          <w:rFonts w:hint="eastAsia"/>
          <w:color w:val="000000" w:themeColor="text1"/>
          <w14:textFill>
            <w14:solidFill>
              <w14:schemeClr w14:val="tx1"/>
            </w14:solidFill>
          </w14:textFill>
        </w:rPr>
        <w:t>响应自增稠流体”三级控窜组合段塞，实现多级控缝，一级段塞采用CO</w:t>
      </w:r>
      <w:r>
        <w:rPr>
          <w:rFonts w:hint="eastAsia"/>
          <w:color w:val="000000" w:themeColor="text1"/>
          <w:vertAlign w:val="subscript"/>
          <w14:textFill>
            <w14:solidFill>
              <w14:schemeClr w14:val="tx1"/>
            </w14:solidFill>
          </w14:textFill>
        </w:rPr>
        <w:t>2</w:t>
      </w:r>
      <w:r>
        <w:rPr>
          <w:rFonts w:hint="eastAsia"/>
          <w:color w:val="000000" w:themeColor="text1"/>
          <w14:textFill>
            <w14:solidFill>
              <w14:schemeClr w14:val="tx1"/>
            </w14:solidFill>
          </w14:textFill>
        </w:rPr>
        <w:t>响应型柔性颗粒体系，深部封堵主窜流通道；二级段塞采用CO</w:t>
      </w:r>
      <w:r>
        <w:rPr>
          <w:rFonts w:hint="eastAsia"/>
          <w:color w:val="000000" w:themeColor="text1"/>
          <w:vertAlign w:val="subscript"/>
          <w14:textFill>
            <w14:solidFill>
              <w14:schemeClr w14:val="tx1"/>
            </w14:solidFill>
          </w14:textFill>
        </w:rPr>
        <w:t>2</w:t>
      </w:r>
      <w:r>
        <w:rPr>
          <w:rFonts w:hint="eastAsia"/>
          <w:color w:val="000000" w:themeColor="text1"/>
          <w14:textFill>
            <w14:solidFill>
              <w14:schemeClr w14:val="tx1"/>
            </w14:solidFill>
          </w14:textFill>
        </w:rPr>
        <w:t>响应凝胶体系，封堵主体气窜通道；三级段塞采用响应增稠体系，维持封堵主流窜流通道时间及封堵次级窜流通道，延缓绕流时间。封堵剂用量及各段塞用量见表3.2-13和表3.2-14。</w:t>
      </w:r>
    </w:p>
    <w:p w14:paraId="07E01B1A">
      <w:pPr>
        <w:pStyle w:val="45"/>
        <w:jc w:val="center"/>
        <w:textAlignment w:val="baseline"/>
        <w:rPr>
          <w:rFonts w:hint="eastAsia" w:ascii="黑体" w:hAnsi="黑体" w:eastAsia="黑体" w:cs="Times New Roman"/>
          <w:color w:val="000000" w:themeColor="text1"/>
          <w14:textFill>
            <w14:solidFill>
              <w14:schemeClr w14:val="tx1"/>
            </w14:solidFill>
          </w14:textFill>
        </w:rPr>
      </w:pPr>
      <w:r>
        <w:rPr>
          <w:rFonts w:ascii="黑体" w:hAnsi="黑体" w:eastAsia="黑体" w:cs="Times New Roman"/>
          <w:color w:val="000000" w:themeColor="text1"/>
          <w:sz w:val="21"/>
          <w:szCs w:val="20"/>
          <w14:textFill>
            <w14:solidFill>
              <w14:schemeClr w14:val="tx1"/>
            </w14:solidFill>
          </w14:textFill>
        </w:rPr>
        <w:t>表</w:t>
      </w:r>
      <w:r>
        <w:rPr>
          <w:rFonts w:hint="eastAsia" w:ascii="黑体" w:hAnsi="黑体" w:eastAsia="黑体" w:cs="Times New Roman"/>
          <w:color w:val="000000" w:themeColor="text1"/>
          <w:sz w:val="21"/>
          <w:szCs w:val="20"/>
          <w14:textFill>
            <w14:solidFill>
              <w14:schemeClr w14:val="tx1"/>
            </w14:solidFill>
          </w14:textFill>
        </w:rPr>
        <w:t>3.2-13</w:t>
      </w:r>
      <w:r>
        <w:rPr>
          <w:rFonts w:ascii="黑体" w:hAnsi="黑体" w:eastAsia="黑体" w:cs="Times New Roman"/>
          <w:color w:val="000000" w:themeColor="text1"/>
          <w:sz w:val="21"/>
          <w:szCs w:val="20"/>
          <w14:textFill>
            <w14:solidFill>
              <w14:schemeClr w14:val="tx1"/>
            </w14:solidFill>
          </w14:textFill>
        </w:rPr>
        <w:t xml:space="preserve">  封堵剂</w:t>
      </w:r>
      <w:r>
        <w:rPr>
          <w:rFonts w:hint="eastAsia" w:ascii="黑体" w:hAnsi="黑体" w:eastAsia="黑体" w:cs="Times New Roman"/>
          <w:color w:val="000000" w:themeColor="text1"/>
          <w:sz w:val="21"/>
          <w:szCs w:val="20"/>
          <w14:textFill>
            <w14:solidFill>
              <w14:schemeClr w14:val="tx1"/>
            </w14:solidFill>
          </w14:textFill>
        </w:rPr>
        <w:t>用量设计表</w:t>
      </w:r>
    </w:p>
    <w:tbl>
      <w:tblPr>
        <w:tblStyle w:val="51"/>
        <w:tblW w:w="8858"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1404"/>
        <w:gridCol w:w="1725"/>
        <w:gridCol w:w="2535"/>
        <w:gridCol w:w="1555"/>
        <w:gridCol w:w="1639"/>
      </w:tblGrid>
      <w:tr w14:paraId="3C867D4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04" w:type="dxa"/>
            <w:tcMar>
              <w:top w:w="15" w:type="dxa"/>
              <w:left w:w="108" w:type="dxa"/>
              <w:right w:w="108" w:type="dxa"/>
            </w:tcMar>
            <w:vAlign w:val="center"/>
          </w:tcPr>
          <w:p w14:paraId="3B7C6E24">
            <w:pPr>
              <w:jc w:val="center"/>
              <w:rPr>
                <w:rFonts w:hint="eastAsia" w:ascii="宋体" w:hAnsi="宋体"/>
                <w:color w:val="000000" w:themeColor="text1"/>
                <w:kern w:val="24"/>
                <w:szCs w:val="21"/>
                <w14:textFill>
                  <w14:solidFill>
                    <w14:schemeClr w14:val="tx1"/>
                  </w14:solidFill>
                </w14:textFill>
              </w:rPr>
            </w:pPr>
            <w:r>
              <w:rPr>
                <w:rFonts w:ascii="宋体" w:hAnsi="宋体"/>
                <w:color w:val="000000" w:themeColor="text1"/>
                <w:kern w:val="24"/>
                <w:szCs w:val="21"/>
                <w14:textFill>
                  <w14:solidFill>
                    <w14:schemeClr w14:val="tx1"/>
                  </w14:solidFill>
                </w14:textFill>
              </w:rPr>
              <w:t>井号</w:t>
            </w:r>
          </w:p>
        </w:tc>
        <w:tc>
          <w:tcPr>
            <w:tcW w:w="1725" w:type="dxa"/>
            <w:tcMar>
              <w:top w:w="15" w:type="dxa"/>
              <w:left w:w="108" w:type="dxa"/>
              <w:right w:w="108" w:type="dxa"/>
            </w:tcMar>
            <w:vAlign w:val="center"/>
          </w:tcPr>
          <w:p w14:paraId="2F9A2FAC">
            <w:pPr>
              <w:jc w:val="center"/>
              <w:rPr>
                <w:rFonts w:hint="eastAsia" w:ascii="宋体" w:hAnsi="宋体"/>
                <w:color w:val="000000" w:themeColor="text1"/>
                <w:kern w:val="24"/>
                <w:szCs w:val="21"/>
                <w14:textFill>
                  <w14:solidFill>
                    <w14:schemeClr w14:val="tx1"/>
                  </w14:solidFill>
                </w14:textFill>
              </w:rPr>
            </w:pPr>
            <w:r>
              <w:rPr>
                <w:rFonts w:hint="eastAsia" w:ascii="宋体" w:hAnsi="宋体"/>
                <w:color w:val="000000" w:themeColor="text1"/>
                <w:kern w:val="24"/>
                <w:szCs w:val="21"/>
                <w14:textFill>
                  <w14:solidFill>
                    <w14:schemeClr w14:val="tx1"/>
                  </w14:solidFill>
                </w14:textFill>
              </w:rPr>
              <w:t>压裂砂量</w:t>
            </w:r>
          </w:p>
          <w:p w14:paraId="4923B618">
            <w:pPr>
              <w:jc w:val="center"/>
              <w:rPr>
                <w:rFonts w:hint="eastAsia" w:ascii="宋体" w:hAnsi="宋体"/>
                <w:color w:val="000000" w:themeColor="text1"/>
                <w:kern w:val="24"/>
                <w:szCs w:val="21"/>
                <w14:textFill>
                  <w14:solidFill>
                    <w14:schemeClr w14:val="tx1"/>
                  </w14:solidFill>
                </w14:textFill>
              </w:rPr>
            </w:pPr>
            <w:r>
              <w:rPr>
                <w:rFonts w:hint="eastAsia" w:ascii="宋体" w:hAnsi="宋体"/>
                <w:color w:val="000000" w:themeColor="text1"/>
                <w:kern w:val="24"/>
                <w:szCs w:val="21"/>
                <w14:textFill>
                  <w14:solidFill>
                    <w14:schemeClr w14:val="tx1"/>
                  </w14:solidFill>
                </w14:textFill>
              </w:rPr>
              <w:t>(m</w:t>
            </w:r>
            <w:r>
              <w:rPr>
                <w:rFonts w:hint="eastAsia" w:ascii="宋体" w:hAnsi="宋体"/>
                <w:color w:val="000000" w:themeColor="text1"/>
                <w:kern w:val="24"/>
                <w:szCs w:val="21"/>
                <w:vertAlign w:val="superscript"/>
                <w14:textFill>
                  <w14:solidFill>
                    <w14:schemeClr w14:val="tx1"/>
                  </w14:solidFill>
                </w14:textFill>
              </w:rPr>
              <w:t>3</w:t>
            </w:r>
            <w:r>
              <w:rPr>
                <w:rFonts w:hint="eastAsia" w:ascii="宋体" w:hAnsi="宋体"/>
                <w:color w:val="000000" w:themeColor="text1"/>
                <w:kern w:val="24"/>
                <w:szCs w:val="21"/>
                <w14:textFill>
                  <w14:solidFill>
                    <w14:schemeClr w14:val="tx1"/>
                  </w14:solidFill>
                </w14:textFill>
              </w:rPr>
              <w:t>)</w:t>
            </w:r>
          </w:p>
        </w:tc>
        <w:tc>
          <w:tcPr>
            <w:tcW w:w="2535" w:type="dxa"/>
            <w:tcMar>
              <w:top w:w="15" w:type="dxa"/>
              <w:left w:w="108" w:type="dxa"/>
              <w:right w:w="108" w:type="dxa"/>
            </w:tcMar>
            <w:vAlign w:val="center"/>
          </w:tcPr>
          <w:p w14:paraId="7A0DA409">
            <w:pPr>
              <w:jc w:val="center"/>
              <w:rPr>
                <w:rFonts w:hint="eastAsia" w:ascii="宋体" w:hAnsi="宋体"/>
                <w:color w:val="000000" w:themeColor="text1"/>
                <w:kern w:val="24"/>
                <w:szCs w:val="21"/>
                <w14:textFill>
                  <w14:solidFill>
                    <w14:schemeClr w14:val="tx1"/>
                  </w14:solidFill>
                </w14:textFill>
              </w:rPr>
            </w:pPr>
            <w:r>
              <w:rPr>
                <w:rFonts w:hint="eastAsia" w:ascii="宋体" w:hAnsi="宋体"/>
                <w:color w:val="000000" w:themeColor="text1"/>
                <w:kern w:val="24"/>
                <w:szCs w:val="21"/>
                <w14:textFill>
                  <w14:solidFill>
                    <w14:schemeClr w14:val="tx1"/>
                  </w14:solidFill>
                </w14:textFill>
              </w:rPr>
              <w:t>35%孔隙度裂缝孔隙体积</w:t>
            </w:r>
          </w:p>
          <w:p w14:paraId="785AEDFE">
            <w:pPr>
              <w:jc w:val="center"/>
              <w:rPr>
                <w:rFonts w:hint="eastAsia" w:ascii="宋体" w:hAnsi="宋体"/>
                <w:color w:val="000000" w:themeColor="text1"/>
                <w:kern w:val="24"/>
                <w:szCs w:val="21"/>
                <w14:textFill>
                  <w14:solidFill>
                    <w14:schemeClr w14:val="tx1"/>
                  </w14:solidFill>
                </w14:textFill>
              </w:rPr>
            </w:pPr>
            <w:r>
              <w:rPr>
                <w:rFonts w:hint="eastAsia" w:ascii="宋体" w:hAnsi="宋体"/>
                <w:color w:val="000000" w:themeColor="text1"/>
                <w:kern w:val="24"/>
                <w:szCs w:val="21"/>
                <w14:textFill>
                  <w14:solidFill>
                    <w14:schemeClr w14:val="tx1"/>
                  </w14:solidFill>
                </w14:textFill>
              </w:rPr>
              <w:t>(m</w:t>
            </w:r>
            <w:r>
              <w:rPr>
                <w:rFonts w:hint="eastAsia" w:ascii="宋体" w:hAnsi="宋体"/>
                <w:color w:val="000000" w:themeColor="text1"/>
                <w:kern w:val="24"/>
                <w:szCs w:val="21"/>
                <w:vertAlign w:val="superscript"/>
                <w14:textFill>
                  <w14:solidFill>
                    <w14:schemeClr w14:val="tx1"/>
                  </w14:solidFill>
                </w14:textFill>
              </w:rPr>
              <w:t>3</w:t>
            </w:r>
            <w:r>
              <w:rPr>
                <w:rFonts w:hint="eastAsia" w:ascii="宋体" w:hAnsi="宋体"/>
                <w:color w:val="000000" w:themeColor="text1"/>
                <w:kern w:val="24"/>
                <w:szCs w:val="21"/>
                <w14:textFill>
                  <w14:solidFill>
                    <w14:schemeClr w14:val="tx1"/>
                  </w14:solidFill>
                </w14:textFill>
              </w:rPr>
              <w:t>)</w:t>
            </w:r>
          </w:p>
        </w:tc>
        <w:tc>
          <w:tcPr>
            <w:tcW w:w="1555" w:type="dxa"/>
            <w:tcMar>
              <w:top w:w="15" w:type="dxa"/>
              <w:left w:w="108" w:type="dxa"/>
              <w:right w:w="108" w:type="dxa"/>
            </w:tcMar>
            <w:vAlign w:val="center"/>
          </w:tcPr>
          <w:p w14:paraId="53692BDF">
            <w:pPr>
              <w:jc w:val="center"/>
              <w:rPr>
                <w:rFonts w:hint="eastAsia" w:ascii="宋体" w:hAnsi="宋体"/>
                <w:color w:val="000000" w:themeColor="text1"/>
                <w:kern w:val="24"/>
                <w:szCs w:val="21"/>
                <w14:textFill>
                  <w14:solidFill>
                    <w14:schemeClr w14:val="tx1"/>
                  </w14:solidFill>
                </w14:textFill>
              </w:rPr>
            </w:pPr>
            <w:r>
              <w:rPr>
                <w:rFonts w:hint="eastAsia" w:ascii="宋体" w:hAnsi="宋体"/>
                <w:color w:val="000000" w:themeColor="text1"/>
                <w:kern w:val="24"/>
                <w:szCs w:val="21"/>
                <w14:textFill>
                  <w14:solidFill>
                    <w14:schemeClr w14:val="tx1"/>
                  </w14:solidFill>
                </w14:textFill>
              </w:rPr>
              <w:t>堵剂用量</w:t>
            </w:r>
          </w:p>
          <w:p w14:paraId="04C4FAEF">
            <w:pPr>
              <w:jc w:val="center"/>
              <w:rPr>
                <w:rFonts w:hint="eastAsia" w:ascii="宋体" w:hAnsi="宋体"/>
                <w:color w:val="000000" w:themeColor="text1"/>
                <w:kern w:val="24"/>
                <w:szCs w:val="21"/>
                <w14:textFill>
                  <w14:solidFill>
                    <w14:schemeClr w14:val="tx1"/>
                  </w14:solidFill>
                </w14:textFill>
              </w:rPr>
            </w:pPr>
            <w:r>
              <w:rPr>
                <w:rFonts w:hint="eastAsia" w:ascii="宋体" w:hAnsi="宋体"/>
                <w:color w:val="000000" w:themeColor="text1"/>
                <w:kern w:val="24"/>
                <w:szCs w:val="21"/>
                <w14:textFill>
                  <w14:solidFill>
                    <w14:schemeClr w14:val="tx1"/>
                  </w14:solidFill>
                </w14:textFill>
              </w:rPr>
              <w:t>占比</w:t>
            </w:r>
          </w:p>
        </w:tc>
        <w:tc>
          <w:tcPr>
            <w:tcW w:w="1639" w:type="dxa"/>
            <w:tcMar>
              <w:top w:w="15" w:type="dxa"/>
              <w:left w:w="108" w:type="dxa"/>
              <w:right w:w="108" w:type="dxa"/>
            </w:tcMar>
            <w:vAlign w:val="center"/>
          </w:tcPr>
          <w:p w14:paraId="13DB4C0A">
            <w:pPr>
              <w:jc w:val="center"/>
              <w:rPr>
                <w:rFonts w:hint="eastAsia" w:ascii="宋体" w:hAnsi="宋体"/>
                <w:color w:val="000000" w:themeColor="text1"/>
                <w:kern w:val="24"/>
                <w:szCs w:val="21"/>
                <w14:textFill>
                  <w14:solidFill>
                    <w14:schemeClr w14:val="tx1"/>
                  </w14:solidFill>
                </w14:textFill>
              </w:rPr>
            </w:pPr>
            <w:r>
              <w:rPr>
                <w:rFonts w:hint="eastAsia" w:ascii="宋体" w:hAnsi="宋体"/>
                <w:color w:val="000000" w:themeColor="text1"/>
                <w:kern w:val="24"/>
                <w:szCs w:val="21"/>
                <w14:textFill>
                  <w14:solidFill>
                    <w14:schemeClr w14:val="tx1"/>
                  </w14:solidFill>
                </w14:textFill>
              </w:rPr>
              <w:t>堵剂用量</w:t>
            </w:r>
          </w:p>
          <w:p w14:paraId="5F00CB5C">
            <w:pPr>
              <w:jc w:val="center"/>
              <w:rPr>
                <w:rFonts w:hint="eastAsia" w:ascii="宋体" w:hAnsi="宋体"/>
                <w:color w:val="000000" w:themeColor="text1"/>
                <w:kern w:val="24"/>
                <w:szCs w:val="21"/>
                <w14:textFill>
                  <w14:solidFill>
                    <w14:schemeClr w14:val="tx1"/>
                  </w14:solidFill>
                </w14:textFill>
              </w:rPr>
            </w:pPr>
            <w:r>
              <w:rPr>
                <w:rFonts w:hint="eastAsia" w:ascii="宋体" w:hAnsi="宋体"/>
                <w:color w:val="000000" w:themeColor="text1"/>
                <w:kern w:val="24"/>
                <w:szCs w:val="21"/>
                <w14:textFill>
                  <w14:solidFill>
                    <w14:schemeClr w14:val="tx1"/>
                  </w14:solidFill>
                </w14:textFill>
              </w:rPr>
              <w:t>(m</w:t>
            </w:r>
            <w:r>
              <w:rPr>
                <w:rFonts w:hint="eastAsia" w:ascii="宋体" w:hAnsi="宋体"/>
                <w:color w:val="000000" w:themeColor="text1"/>
                <w:kern w:val="24"/>
                <w:szCs w:val="21"/>
                <w:vertAlign w:val="superscript"/>
                <w14:textFill>
                  <w14:solidFill>
                    <w14:schemeClr w14:val="tx1"/>
                  </w14:solidFill>
                </w14:textFill>
              </w:rPr>
              <w:t>3</w:t>
            </w:r>
            <w:r>
              <w:rPr>
                <w:rFonts w:hint="eastAsia" w:ascii="宋体" w:hAnsi="宋体"/>
                <w:color w:val="000000" w:themeColor="text1"/>
                <w:kern w:val="24"/>
                <w:szCs w:val="21"/>
                <w14:textFill>
                  <w14:solidFill>
                    <w14:schemeClr w14:val="tx1"/>
                  </w14:solidFill>
                </w14:textFill>
              </w:rPr>
              <w:t>)</w:t>
            </w:r>
          </w:p>
        </w:tc>
      </w:tr>
      <w:tr w14:paraId="45DB088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04" w:type="dxa"/>
            <w:tcMar>
              <w:top w:w="15" w:type="dxa"/>
              <w:left w:w="108" w:type="dxa"/>
              <w:right w:w="108" w:type="dxa"/>
            </w:tcMar>
            <w:vAlign w:val="center"/>
          </w:tcPr>
          <w:p w14:paraId="0E822754">
            <w:pPr>
              <w:jc w:val="center"/>
              <w:rPr>
                <w:rFonts w:hint="eastAsia" w:ascii="宋体" w:hAnsi="宋体"/>
                <w:color w:val="000000" w:themeColor="text1"/>
                <w:kern w:val="24"/>
                <w:szCs w:val="21"/>
                <w14:textFill>
                  <w14:solidFill>
                    <w14:schemeClr w14:val="tx1"/>
                  </w14:solidFill>
                </w14:textFill>
              </w:rPr>
            </w:pPr>
            <w:r>
              <w:rPr>
                <w:rFonts w:hint="eastAsia" w:ascii="宋体" w:hAnsi="宋体"/>
                <w:color w:val="000000" w:themeColor="text1"/>
                <w:kern w:val="24"/>
                <w:szCs w:val="21"/>
                <w14:textFill>
                  <w14:solidFill>
                    <w14:schemeClr w14:val="tx1"/>
                  </w14:solidFill>
                </w14:textFill>
              </w:rPr>
              <w:t>JHW00421</w:t>
            </w:r>
          </w:p>
        </w:tc>
        <w:tc>
          <w:tcPr>
            <w:tcW w:w="1725" w:type="dxa"/>
            <w:tcMar>
              <w:top w:w="15" w:type="dxa"/>
              <w:left w:w="108" w:type="dxa"/>
              <w:right w:w="108" w:type="dxa"/>
            </w:tcMar>
            <w:vAlign w:val="center"/>
          </w:tcPr>
          <w:p w14:paraId="322B7D03">
            <w:pPr>
              <w:jc w:val="center"/>
              <w:rPr>
                <w:rFonts w:hint="eastAsia" w:ascii="宋体" w:hAnsi="宋体"/>
                <w:color w:val="000000" w:themeColor="text1"/>
                <w:kern w:val="24"/>
                <w:szCs w:val="21"/>
                <w14:textFill>
                  <w14:solidFill>
                    <w14:schemeClr w14:val="tx1"/>
                  </w14:solidFill>
                </w14:textFill>
              </w:rPr>
            </w:pPr>
            <w:r>
              <w:rPr>
                <w:rFonts w:hint="eastAsia" w:ascii="宋体" w:hAnsi="宋体"/>
                <w:color w:val="000000" w:themeColor="text1"/>
                <w:kern w:val="24"/>
                <w:szCs w:val="21"/>
                <w14:textFill>
                  <w14:solidFill>
                    <w14:schemeClr w14:val="tx1"/>
                  </w14:solidFill>
                </w14:textFill>
              </w:rPr>
              <w:t>4781</w:t>
            </w:r>
          </w:p>
        </w:tc>
        <w:tc>
          <w:tcPr>
            <w:tcW w:w="2535" w:type="dxa"/>
            <w:tcMar>
              <w:top w:w="15" w:type="dxa"/>
              <w:left w:w="108" w:type="dxa"/>
              <w:right w:w="108" w:type="dxa"/>
            </w:tcMar>
            <w:vAlign w:val="center"/>
          </w:tcPr>
          <w:p w14:paraId="4967981B">
            <w:pPr>
              <w:jc w:val="center"/>
              <w:rPr>
                <w:rFonts w:hint="eastAsia" w:ascii="宋体" w:hAnsi="宋体"/>
                <w:color w:val="000000" w:themeColor="text1"/>
                <w:kern w:val="24"/>
                <w:szCs w:val="21"/>
                <w14:textFill>
                  <w14:solidFill>
                    <w14:schemeClr w14:val="tx1"/>
                  </w14:solidFill>
                </w14:textFill>
              </w:rPr>
            </w:pPr>
            <w:r>
              <w:rPr>
                <w:rFonts w:hint="eastAsia" w:ascii="宋体" w:hAnsi="宋体"/>
                <w:color w:val="000000" w:themeColor="text1"/>
                <w:kern w:val="24"/>
                <w:szCs w:val="21"/>
                <w14:textFill>
                  <w14:solidFill>
                    <w14:schemeClr w14:val="tx1"/>
                  </w14:solidFill>
                </w14:textFill>
              </w:rPr>
              <w:t>1674</w:t>
            </w:r>
          </w:p>
        </w:tc>
        <w:tc>
          <w:tcPr>
            <w:tcW w:w="1555" w:type="dxa"/>
            <w:tcMar>
              <w:top w:w="15" w:type="dxa"/>
              <w:left w:w="108" w:type="dxa"/>
              <w:right w:w="108" w:type="dxa"/>
            </w:tcMar>
            <w:vAlign w:val="center"/>
          </w:tcPr>
          <w:p w14:paraId="2643309B">
            <w:pPr>
              <w:jc w:val="center"/>
              <w:rPr>
                <w:rFonts w:hint="eastAsia" w:ascii="宋体" w:hAnsi="宋体"/>
                <w:color w:val="000000" w:themeColor="text1"/>
                <w:kern w:val="24"/>
                <w:szCs w:val="21"/>
                <w14:textFill>
                  <w14:solidFill>
                    <w14:schemeClr w14:val="tx1"/>
                  </w14:solidFill>
                </w14:textFill>
              </w:rPr>
            </w:pPr>
            <w:r>
              <w:rPr>
                <w:rFonts w:hint="eastAsia" w:ascii="宋体" w:hAnsi="宋体"/>
                <w:color w:val="000000" w:themeColor="text1"/>
                <w:kern w:val="24"/>
                <w:szCs w:val="21"/>
                <w14:textFill>
                  <w14:solidFill>
                    <w14:schemeClr w14:val="tx1"/>
                  </w14:solidFill>
                </w14:textFill>
              </w:rPr>
              <w:t>2/3</w:t>
            </w:r>
          </w:p>
        </w:tc>
        <w:tc>
          <w:tcPr>
            <w:tcW w:w="1639" w:type="dxa"/>
            <w:tcMar>
              <w:top w:w="15" w:type="dxa"/>
              <w:left w:w="108" w:type="dxa"/>
              <w:right w:w="108" w:type="dxa"/>
            </w:tcMar>
            <w:vAlign w:val="center"/>
          </w:tcPr>
          <w:p w14:paraId="7AAC7A41">
            <w:pPr>
              <w:jc w:val="center"/>
              <w:rPr>
                <w:rFonts w:hint="eastAsia" w:ascii="宋体" w:hAnsi="宋体"/>
                <w:color w:val="000000" w:themeColor="text1"/>
                <w:kern w:val="24"/>
                <w:szCs w:val="21"/>
                <w14:textFill>
                  <w14:solidFill>
                    <w14:schemeClr w14:val="tx1"/>
                  </w14:solidFill>
                </w14:textFill>
              </w:rPr>
            </w:pPr>
            <w:r>
              <w:rPr>
                <w:rFonts w:hint="eastAsia" w:ascii="宋体" w:hAnsi="宋体"/>
                <w:color w:val="000000" w:themeColor="text1"/>
                <w:kern w:val="24"/>
                <w:szCs w:val="21"/>
                <w14:textFill>
                  <w14:solidFill>
                    <w14:schemeClr w14:val="tx1"/>
                  </w14:solidFill>
                </w14:textFill>
              </w:rPr>
              <w:t>1116</w:t>
            </w:r>
          </w:p>
        </w:tc>
      </w:tr>
      <w:tr w14:paraId="36A1333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04" w:type="dxa"/>
            <w:tcMar>
              <w:top w:w="15" w:type="dxa"/>
              <w:left w:w="108" w:type="dxa"/>
              <w:right w:w="108" w:type="dxa"/>
            </w:tcMar>
            <w:vAlign w:val="center"/>
          </w:tcPr>
          <w:p w14:paraId="7EE3C34A">
            <w:pPr>
              <w:jc w:val="center"/>
              <w:rPr>
                <w:rFonts w:hint="eastAsia" w:ascii="宋体" w:hAnsi="宋体"/>
                <w:color w:val="000000" w:themeColor="text1"/>
                <w:kern w:val="24"/>
                <w:szCs w:val="21"/>
                <w14:textFill>
                  <w14:solidFill>
                    <w14:schemeClr w14:val="tx1"/>
                  </w14:solidFill>
                </w14:textFill>
              </w:rPr>
            </w:pPr>
            <w:r>
              <w:rPr>
                <w:rFonts w:hint="eastAsia" w:ascii="宋体" w:hAnsi="宋体"/>
                <w:color w:val="000000" w:themeColor="text1"/>
                <w:kern w:val="24"/>
                <w:szCs w:val="21"/>
                <w14:textFill>
                  <w14:solidFill>
                    <w14:schemeClr w14:val="tx1"/>
                  </w14:solidFill>
                </w14:textFill>
              </w:rPr>
              <w:t>JHW034</w:t>
            </w:r>
          </w:p>
        </w:tc>
        <w:tc>
          <w:tcPr>
            <w:tcW w:w="1725" w:type="dxa"/>
            <w:tcMar>
              <w:top w:w="15" w:type="dxa"/>
              <w:left w:w="108" w:type="dxa"/>
              <w:right w:w="108" w:type="dxa"/>
            </w:tcMar>
            <w:vAlign w:val="center"/>
          </w:tcPr>
          <w:p w14:paraId="02C7E553">
            <w:pPr>
              <w:jc w:val="center"/>
              <w:rPr>
                <w:rFonts w:hint="eastAsia" w:ascii="宋体" w:hAnsi="宋体"/>
                <w:color w:val="000000" w:themeColor="text1"/>
                <w:kern w:val="24"/>
                <w:szCs w:val="21"/>
                <w14:textFill>
                  <w14:solidFill>
                    <w14:schemeClr w14:val="tx1"/>
                  </w14:solidFill>
                </w14:textFill>
              </w:rPr>
            </w:pPr>
            <w:r>
              <w:rPr>
                <w:rFonts w:hint="eastAsia" w:ascii="宋体" w:hAnsi="宋体"/>
                <w:color w:val="000000" w:themeColor="text1"/>
                <w:kern w:val="24"/>
                <w:szCs w:val="21"/>
                <w14:textFill>
                  <w14:solidFill>
                    <w14:schemeClr w14:val="tx1"/>
                  </w14:solidFill>
                </w14:textFill>
              </w:rPr>
              <w:t>3510</w:t>
            </w:r>
          </w:p>
        </w:tc>
        <w:tc>
          <w:tcPr>
            <w:tcW w:w="2535" w:type="dxa"/>
            <w:tcMar>
              <w:top w:w="15" w:type="dxa"/>
              <w:left w:w="108" w:type="dxa"/>
              <w:right w:w="108" w:type="dxa"/>
            </w:tcMar>
            <w:vAlign w:val="center"/>
          </w:tcPr>
          <w:p w14:paraId="49B542F2">
            <w:pPr>
              <w:jc w:val="center"/>
              <w:rPr>
                <w:rFonts w:hint="eastAsia" w:ascii="宋体" w:hAnsi="宋体"/>
                <w:color w:val="000000" w:themeColor="text1"/>
                <w:kern w:val="24"/>
                <w:szCs w:val="21"/>
                <w14:textFill>
                  <w14:solidFill>
                    <w14:schemeClr w14:val="tx1"/>
                  </w14:solidFill>
                </w14:textFill>
              </w:rPr>
            </w:pPr>
            <w:r>
              <w:rPr>
                <w:rFonts w:hint="eastAsia" w:ascii="宋体" w:hAnsi="宋体"/>
                <w:color w:val="000000" w:themeColor="text1"/>
                <w:kern w:val="24"/>
                <w:szCs w:val="21"/>
                <w14:textFill>
                  <w14:solidFill>
                    <w14:schemeClr w14:val="tx1"/>
                  </w14:solidFill>
                </w14:textFill>
              </w:rPr>
              <w:t>1229</w:t>
            </w:r>
          </w:p>
        </w:tc>
        <w:tc>
          <w:tcPr>
            <w:tcW w:w="1555" w:type="dxa"/>
            <w:tcMar>
              <w:top w:w="15" w:type="dxa"/>
              <w:left w:w="108" w:type="dxa"/>
              <w:right w:w="108" w:type="dxa"/>
            </w:tcMar>
            <w:vAlign w:val="center"/>
          </w:tcPr>
          <w:p w14:paraId="49D614AF">
            <w:pPr>
              <w:jc w:val="center"/>
              <w:rPr>
                <w:rFonts w:hint="eastAsia" w:ascii="宋体" w:hAnsi="宋体"/>
                <w:color w:val="000000" w:themeColor="text1"/>
                <w:kern w:val="24"/>
                <w:szCs w:val="21"/>
                <w14:textFill>
                  <w14:solidFill>
                    <w14:schemeClr w14:val="tx1"/>
                  </w14:solidFill>
                </w14:textFill>
              </w:rPr>
            </w:pPr>
            <w:r>
              <w:rPr>
                <w:rFonts w:hint="eastAsia" w:ascii="宋体" w:hAnsi="宋体"/>
                <w:color w:val="000000" w:themeColor="text1"/>
                <w:kern w:val="24"/>
                <w:szCs w:val="21"/>
                <w14:textFill>
                  <w14:solidFill>
                    <w14:schemeClr w14:val="tx1"/>
                  </w14:solidFill>
                </w14:textFill>
              </w:rPr>
              <w:t>2/3</w:t>
            </w:r>
          </w:p>
        </w:tc>
        <w:tc>
          <w:tcPr>
            <w:tcW w:w="1639" w:type="dxa"/>
            <w:tcMar>
              <w:top w:w="15" w:type="dxa"/>
              <w:left w:w="108" w:type="dxa"/>
              <w:right w:w="108" w:type="dxa"/>
            </w:tcMar>
            <w:vAlign w:val="center"/>
          </w:tcPr>
          <w:p w14:paraId="34E45517">
            <w:pPr>
              <w:jc w:val="center"/>
              <w:rPr>
                <w:rFonts w:hint="eastAsia" w:ascii="宋体" w:hAnsi="宋体"/>
                <w:color w:val="000000" w:themeColor="text1"/>
                <w:kern w:val="24"/>
                <w:szCs w:val="21"/>
                <w14:textFill>
                  <w14:solidFill>
                    <w14:schemeClr w14:val="tx1"/>
                  </w14:solidFill>
                </w14:textFill>
              </w:rPr>
            </w:pPr>
            <w:r>
              <w:rPr>
                <w:rFonts w:hint="eastAsia" w:ascii="宋体" w:hAnsi="宋体"/>
                <w:color w:val="000000" w:themeColor="text1"/>
                <w:kern w:val="24"/>
                <w:szCs w:val="21"/>
                <w14:textFill>
                  <w14:solidFill>
                    <w14:schemeClr w14:val="tx1"/>
                  </w14:solidFill>
                </w14:textFill>
              </w:rPr>
              <w:t>820</w:t>
            </w:r>
          </w:p>
        </w:tc>
      </w:tr>
    </w:tbl>
    <w:p w14:paraId="61359E7D">
      <w:pPr>
        <w:pStyle w:val="45"/>
        <w:jc w:val="center"/>
        <w:textAlignment w:val="baseline"/>
        <w:rPr>
          <w:rFonts w:hint="eastAsia" w:ascii="黑体" w:hAnsi="黑体" w:eastAsia="黑体" w:cs="Times New Roman"/>
          <w:color w:val="000000" w:themeColor="text1"/>
          <w:sz w:val="21"/>
          <w:szCs w:val="20"/>
          <w14:textFill>
            <w14:solidFill>
              <w14:schemeClr w14:val="tx1"/>
            </w14:solidFill>
          </w14:textFill>
        </w:rPr>
      </w:pPr>
      <w:r>
        <w:rPr>
          <w:rFonts w:hint="eastAsia" w:ascii="黑体" w:hAnsi="黑体" w:eastAsia="黑体" w:cs="Times New Roman"/>
          <w:color w:val="000000" w:themeColor="text1"/>
          <w:sz w:val="21"/>
          <w:szCs w:val="20"/>
          <w14:textFill>
            <w14:solidFill>
              <w14:schemeClr w14:val="tx1"/>
            </w14:solidFill>
          </w14:textFill>
        </w:rPr>
        <w:t>表3.2-14  气窜封堵段塞设计</w:t>
      </w:r>
    </w:p>
    <w:tbl>
      <w:tblPr>
        <w:tblStyle w:val="51"/>
        <w:tblW w:w="5000" w:type="pct"/>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1330"/>
        <w:gridCol w:w="2612"/>
        <w:gridCol w:w="1815"/>
        <w:gridCol w:w="1356"/>
        <w:gridCol w:w="1740"/>
      </w:tblGrid>
      <w:tr w14:paraId="3FC1FE5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61" w:hRule="atLeast"/>
        </w:trPr>
        <w:tc>
          <w:tcPr>
            <w:tcW w:w="751" w:type="pct"/>
            <w:vMerge w:val="restart"/>
            <w:tcMar>
              <w:top w:w="15" w:type="dxa"/>
              <w:left w:w="15" w:type="dxa"/>
              <w:right w:w="15" w:type="dxa"/>
            </w:tcMar>
            <w:vAlign w:val="center"/>
          </w:tcPr>
          <w:p w14:paraId="610E0A62">
            <w:pPr>
              <w:jc w:val="center"/>
              <w:rPr>
                <w:rFonts w:hint="eastAsia" w:ascii="宋体" w:hAnsi="宋体"/>
                <w:color w:val="000000" w:themeColor="text1"/>
                <w:kern w:val="24"/>
                <w:szCs w:val="21"/>
                <w14:textFill>
                  <w14:solidFill>
                    <w14:schemeClr w14:val="tx1"/>
                  </w14:solidFill>
                </w14:textFill>
              </w:rPr>
            </w:pPr>
            <w:r>
              <w:rPr>
                <w:rFonts w:hint="eastAsia" w:ascii="宋体" w:hAnsi="宋体"/>
                <w:color w:val="000000" w:themeColor="text1"/>
                <w:kern w:val="24"/>
                <w:szCs w:val="21"/>
                <w14:textFill>
                  <w14:solidFill>
                    <w14:schemeClr w14:val="tx1"/>
                  </w14:solidFill>
                </w14:textFill>
              </w:rPr>
              <w:t>段塞名称</w:t>
            </w:r>
          </w:p>
        </w:tc>
        <w:tc>
          <w:tcPr>
            <w:tcW w:w="1475" w:type="pct"/>
            <w:vMerge w:val="restart"/>
            <w:tcMar>
              <w:top w:w="15" w:type="dxa"/>
              <w:left w:w="15" w:type="dxa"/>
              <w:right w:w="15" w:type="dxa"/>
            </w:tcMar>
            <w:vAlign w:val="center"/>
          </w:tcPr>
          <w:p w14:paraId="72B13DCC">
            <w:pPr>
              <w:jc w:val="center"/>
              <w:rPr>
                <w:rFonts w:hint="eastAsia" w:ascii="宋体" w:hAnsi="宋体"/>
                <w:color w:val="000000" w:themeColor="text1"/>
                <w:kern w:val="24"/>
                <w:szCs w:val="21"/>
                <w14:textFill>
                  <w14:solidFill>
                    <w14:schemeClr w14:val="tx1"/>
                  </w14:solidFill>
                </w14:textFill>
              </w:rPr>
            </w:pPr>
            <w:r>
              <w:rPr>
                <w:rFonts w:hint="eastAsia" w:ascii="宋体" w:hAnsi="宋体"/>
                <w:color w:val="000000" w:themeColor="text1"/>
                <w:kern w:val="24"/>
                <w:szCs w:val="21"/>
                <w14:textFill>
                  <w14:solidFill>
                    <w14:schemeClr w14:val="tx1"/>
                  </w14:solidFill>
                </w14:textFill>
              </w:rPr>
              <w:t>段塞组成</w:t>
            </w:r>
          </w:p>
        </w:tc>
        <w:tc>
          <w:tcPr>
            <w:tcW w:w="1791" w:type="pct"/>
            <w:gridSpan w:val="2"/>
            <w:tcMar>
              <w:top w:w="15" w:type="dxa"/>
              <w:left w:w="108" w:type="dxa"/>
              <w:right w:w="108" w:type="dxa"/>
            </w:tcMar>
            <w:vAlign w:val="center"/>
          </w:tcPr>
          <w:p w14:paraId="149CA00A">
            <w:pPr>
              <w:jc w:val="center"/>
              <w:rPr>
                <w:rFonts w:hint="eastAsia" w:ascii="宋体" w:hAnsi="宋体"/>
                <w:color w:val="000000" w:themeColor="text1"/>
                <w:kern w:val="24"/>
                <w:szCs w:val="21"/>
                <w14:textFill>
                  <w14:solidFill>
                    <w14:schemeClr w14:val="tx1"/>
                  </w14:solidFill>
                </w14:textFill>
              </w:rPr>
            </w:pPr>
            <w:r>
              <w:rPr>
                <w:rFonts w:hint="eastAsia" w:ascii="宋体" w:hAnsi="宋体"/>
                <w:color w:val="000000" w:themeColor="text1"/>
                <w:kern w:val="24"/>
                <w:szCs w:val="21"/>
                <w14:textFill>
                  <w14:solidFill>
                    <w14:schemeClr w14:val="tx1"/>
                  </w14:solidFill>
                </w14:textFill>
              </w:rPr>
              <w:t>用量（m</w:t>
            </w:r>
            <w:r>
              <w:rPr>
                <w:rFonts w:hint="eastAsia" w:ascii="宋体" w:hAnsi="宋体"/>
                <w:color w:val="000000" w:themeColor="text1"/>
                <w:kern w:val="24"/>
                <w:szCs w:val="21"/>
                <w:vertAlign w:val="superscript"/>
                <w14:textFill>
                  <w14:solidFill>
                    <w14:schemeClr w14:val="tx1"/>
                  </w14:solidFill>
                </w14:textFill>
              </w:rPr>
              <w:t>3</w:t>
            </w:r>
            <w:r>
              <w:rPr>
                <w:rFonts w:hint="eastAsia" w:ascii="宋体" w:hAnsi="宋体"/>
                <w:color w:val="000000" w:themeColor="text1"/>
                <w:kern w:val="24"/>
                <w:szCs w:val="21"/>
                <w14:textFill>
                  <w14:solidFill>
                    <w14:schemeClr w14:val="tx1"/>
                  </w14:solidFill>
                </w14:textFill>
              </w:rPr>
              <w:t>）</w:t>
            </w:r>
          </w:p>
        </w:tc>
        <w:tc>
          <w:tcPr>
            <w:tcW w:w="983" w:type="pct"/>
            <w:vMerge w:val="restart"/>
            <w:tcMar>
              <w:top w:w="15" w:type="dxa"/>
              <w:left w:w="108" w:type="dxa"/>
              <w:right w:w="108" w:type="dxa"/>
            </w:tcMar>
            <w:vAlign w:val="center"/>
          </w:tcPr>
          <w:p w14:paraId="57B46CE2">
            <w:pPr>
              <w:jc w:val="center"/>
              <w:rPr>
                <w:rFonts w:hint="eastAsia" w:ascii="宋体" w:hAnsi="宋体"/>
                <w:color w:val="000000" w:themeColor="text1"/>
                <w:kern w:val="24"/>
                <w:szCs w:val="21"/>
                <w14:textFill>
                  <w14:solidFill>
                    <w14:schemeClr w14:val="tx1"/>
                  </w14:solidFill>
                </w14:textFill>
              </w:rPr>
            </w:pPr>
            <w:r>
              <w:rPr>
                <w:rFonts w:hint="eastAsia" w:ascii="宋体" w:hAnsi="宋体"/>
                <w:color w:val="000000" w:themeColor="text1"/>
                <w:kern w:val="24"/>
                <w:szCs w:val="21"/>
                <w14:textFill>
                  <w14:solidFill>
                    <w14:schemeClr w14:val="tx1"/>
                  </w14:solidFill>
                </w14:textFill>
              </w:rPr>
              <w:t>备注</w:t>
            </w:r>
          </w:p>
        </w:tc>
      </w:tr>
      <w:tr w14:paraId="1871004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66" w:hRule="atLeast"/>
        </w:trPr>
        <w:tc>
          <w:tcPr>
            <w:tcW w:w="751" w:type="pct"/>
            <w:vMerge w:val="continue"/>
            <w:tcMar>
              <w:top w:w="15" w:type="dxa"/>
              <w:left w:w="15" w:type="dxa"/>
              <w:right w:w="15" w:type="dxa"/>
            </w:tcMar>
            <w:vAlign w:val="center"/>
          </w:tcPr>
          <w:p w14:paraId="1047C440">
            <w:pPr>
              <w:jc w:val="center"/>
              <w:rPr>
                <w:rFonts w:hint="eastAsia" w:ascii="宋体" w:hAnsi="宋体"/>
                <w:color w:val="000000" w:themeColor="text1"/>
                <w:kern w:val="24"/>
                <w:szCs w:val="21"/>
                <w14:textFill>
                  <w14:solidFill>
                    <w14:schemeClr w14:val="tx1"/>
                  </w14:solidFill>
                </w14:textFill>
              </w:rPr>
            </w:pPr>
          </w:p>
        </w:tc>
        <w:tc>
          <w:tcPr>
            <w:tcW w:w="1475" w:type="pct"/>
            <w:vMerge w:val="continue"/>
            <w:tcMar>
              <w:top w:w="15" w:type="dxa"/>
              <w:left w:w="15" w:type="dxa"/>
              <w:right w:w="15" w:type="dxa"/>
            </w:tcMar>
            <w:vAlign w:val="center"/>
          </w:tcPr>
          <w:p w14:paraId="2C4080E6">
            <w:pPr>
              <w:jc w:val="center"/>
              <w:rPr>
                <w:rFonts w:hint="eastAsia" w:ascii="宋体" w:hAnsi="宋体"/>
                <w:color w:val="000000" w:themeColor="text1"/>
                <w:kern w:val="24"/>
                <w:szCs w:val="21"/>
                <w14:textFill>
                  <w14:solidFill>
                    <w14:schemeClr w14:val="tx1"/>
                  </w14:solidFill>
                </w14:textFill>
              </w:rPr>
            </w:pPr>
          </w:p>
        </w:tc>
        <w:tc>
          <w:tcPr>
            <w:tcW w:w="1025" w:type="pct"/>
            <w:tcMar>
              <w:top w:w="15" w:type="dxa"/>
              <w:left w:w="108" w:type="dxa"/>
              <w:right w:w="108" w:type="dxa"/>
            </w:tcMar>
            <w:vAlign w:val="center"/>
          </w:tcPr>
          <w:p w14:paraId="419DD37E">
            <w:pPr>
              <w:jc w:val="center"/>
              <w:rPr>
                <w:rFonts w:hint="eastAsia" w:ascii="宋体" w:hAnsi="宋体"/>
                <w:color w:val="000000" w:themeColor="text1"/>
                <w:kern w:val="24"/>
                <w:szCs w:val="21"/>
                <w14:textFill>
                  <w14:solidFill>
                    <w14:schemeClr w14:val="tx1"/>
                  </w14:solidFill>
                </w14:textFill>
              </w:rPr>
            </w:pPr>
            <w:r>
              <w:rPr>
                <w:rFonts w:hint="eastAsia" w:ascii="宋体" w:hAnsi="宋体"/>
                <w:color w:val="000000" w:themeColor="text1"/>
                <w:kern w:val="24"/>
                <w:szCs w:val="21"/>
                <w14:textFill>
                  <w14:solidFill>
                    <w14:schemeClr w14:val="tx1"/>
                  </w14:solidFill>
                </w14:textFill>
              </w:rPr>
              <w:t>JHW00421</w:t>
            </w:r>
          </w:p>
        </w:tc>
        <w:tc>
          <w:tcPr>
            <w:tcW w:w="766" w:type="pct"/>
            <w:tcMar>
              <w:top w:w="15" w:type="dxa"/>
              <w:left w:w="108" w:type="dxa"/>
              <w:right w:w="108" w:type="dxa"/>
            </w:tcMar>
            <w:vAlign w:val="center"/>
          </w:tcPr>
          <w:p w14:paraId="5EC75DBE">
            <w:pPr>
              <w:jc w:val="center"/>
              <w:rPr>
                <w:rFonts w:hint="eastAsia" w:ascii="宋体" w:hAnsi="宋体"/>
                <w:color w:val="000000" w:themeColor="text1"/>
                <w:kern w:val="24"/>
                <w:szCs w:val="21"/>
                <w14:textFill>
                  <w14:solidFill>
                    <w14:schemeClr w14:val="tx1"/>
                  </w14:solidFill>
                </w14:textFill>
              </w:rPr>
            </w:pPr>
            <w:r>
              <w:rPr>
                <w:rFonts w:hint="eastAsia" w:ascii="宋体" w:hAnsi="宋体"/>
                <w:color w:val="000000" w:themeColor="text1"/>
                <w:kern w:val="24"/>
                <w:szCs w:val="21"/>
                <w14:textFill>
                  <w14:solidFill>
                    <w14:schemeClr w14:val="tx1"/>
                  </w14:solidFill>
                </w14:textFill>
              </w:rPr>
              <w:t>JHW034</w:t>
            </w:r>
          </w:p>
        </w:tc>
        <w:tc>
          <w:tcPr>
            <w:tcW w:w="983" w:type="pct"/>
            <w:vMerge w:val="continue"/>
            <w:tcMar>
              <w:top w:w="15" w:type="dxa"/>
              <w:left w:w="108" w:type="dxa"/>
              <w:right w:w="108" w:type="dxa"/>
            </w:tcMar>
            <w:vAlign w:val="center"/>
          </w:tcPr>
          <w:p w14:paraId="21641B1E">
            <w:pPr>
              <w:jc w:val="center"/>
              <w:rPr>
                <w:rFonts w:hint="eastAsia" w:ascii="宋体" w:hAnsi="宋体"/>
                <w:color w:val="000000" w:themeColor="text1"/>
                <w:kern w:val="24"/>
                <w:szCs w:val="21"/>
                <w14:textFill>
                  <w14:solidFill>
                    <w14:schemeClr w14:val="tx1"/>
                  </w14:solidFill>
                </w14:textFill>
              </w:rPr>
            </w:pPr>
          </w:p>
        </w:tc>
      </w:tr>
      <w:tr w14:paraId="60A2E84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02" w:hRule="atLeast"/>
        </w:trPr>
        <w:tc>
          <w:tcPr>
            <w:tcW w:w="751" w:type="pct"/>
            <w:tcMar>
              <w:top w:w="15" w:type="dxa"/>
              <w:left w:w="15" w:type="dxa"/>
              <w:right w:w="15" w:type="dxa"/>
            </w:tcMar>
            <w:vAlign w:val="center"/>
          </w:tcPr>
          <w:p w14:paraId="4223737D">
            <w:pPr>
              <w:jc w:val="center"/>
              <w:rPr>
                <w:rFonts w:hint="eastAsia" w:ascii="宋体" w:hAnsi="宋体"/>
                <w:color w:val="000000" w:themeColor="text1"/>
                <w:kern w:val="24"/>
                <w:szCs w:val="21"/>
                <w14:textFill>
                  <w14:solidFill>
                    <w14:schemeClr w14:val="tx1"/>
                  </w14:solidFill>
                </w14:textFill>
              </w:rPr>
            </w:pPr>
            <w:r>
              <w:rPr>
                <w:rFonts w:hint="eastAsia" w:ascii="宋体" w:hAnsi="宋体"/>
                <w:color w:val="000000" w:themeColor="text1"/>
                <w:kern w:val="24"/>
                <w:szCs w:val="21"/>
                <w14:textFill>
                  <w14:solidFill>
                    <w14:schemeClr w14:val="tx1"/>
                  </w14:solidFill>
                </w14:textFill>
              </w:rPr>
              <w:t>段塞1</w:t>
            </w:r>
          </w:p>
        </w:tc>
        <w:tc>
          <w:tcPr>
            <w:tcW w:w="1475" w:type="pct"/>
            <w:tcMar>
              <w:top w:w="15" w:type="dxa"/>
              <w:left w:w="15" w:type="dxa"/>
              <w:right w:w="15" w:type="dxa"/>
            </w:tcMar>
            <w:vAlign w:val="center"/>
          </w:tcPr>
          <w:p w14:paraId="65124CE3">
            <w:pPr>
              <w:jc w:val="center"/>
              <w:rPr>
                <w:rFonts w:hint="eastAsia" w:ascii="宋体" w:hAnsi="宋体"/>
                <w:color w:val="000000" w:themeColor="text1"/>
                <w:kern w:val="24"/>
                <w:szCs w:val="21"/>
                <w14:textFill>
                  <w14:solidFill>
                    <w14:schemeClr w14:val="tx1"/>
                  </w14:solidFill>
                </w14:textFill>
              </w:rPr>
            </w:pPr>
            <w:r>
              <w:rPr>
                <w:rFonts w:hint="eastAsia" w:ascii="宋体" w:hAnsi="宋体"/>
                <w:color w:val="000000" w:themeColor="text1"/>
                <w:kern w:val="24"/>
                <w:szCs w:val="21"/>
                <w14:textFill>
                  <w14:solidFill>
                    <w14:schemeClr w14:val="tx1"/>
                  </w14:solidFill>
                </w14:textFill>
              </w:rPr>
              <w:t>CO</w:t>
            </w:r>
            <w:r>
              <w:rPr>
                <w:rFonts w:hint="eastAsia" w:ascii="宋体" w:hAnsi="宋体"/>
                <w:color w:val="000000" w:themeColor="text1"/>
                <w:kern w:val="24"/>
                <w:szCs w:val="21"/>
                <w:vertAlign w:val="subscript"/>
                <w14:textFill>
                  <w14:solidFill>
                    <w14:schemeClr w14:val="tx1"/>
                  </w14:solidFill>
                </w14:textFill>
              </w:rPr>
              <w:t>2</w:t>
            </w:r>
            <w:r>
              <w:rPr>
                <w:rFonts w:hint="eastAsia" w:ascii="宋体" w:hAnsi="宋体"/>
                <w:color w:val="000000" w:themeColor="text1"/>
                <w:kern w:val="24"/>
                <w:szCs w:val="21"/>
                <w14:textFill>
                  <w14:solidFill>
                    <w14:schemeClr w14:val="tx1"/>
                  </w14:solidFill>
                </w14:textFill>
              </w:rPr>
              <w:t>响应型柔性颗粒</w:t>
            </w:r>
          </w:p>
        </w:tc>
        <w:tc>
          <w:tcPr>
            <w:tcW w:w="1025" w:type="pct"/>
            <w:tcMar>
              <w:top w:w="15" w:type="dxa"/>
              <w:left w:w="15" w:type="dxa"/>
              <w:right w:w="15" w:type="dxa"/>
            </w:tcMar>
            <w:vAlign w:val="center"/>
          </w:tcPr>
          <w:p w14:paraId="0A1C8F70">
            <w:pPr>
              <w:jc w:val="center"/>
              <w:rPr>
                <w:rFonts w:hint="eastAsia" w:ascii="宋体" w:hAnsi="宋体"/>
                <w:color w:val="000000" w:themeColor="text1"/>
                <w:kern w:val="24"/>
                <w:szCs w:val="21"/>
                <w14:textFill>
                  <w14:solidFill>
                    <w14:schemeClr w14:val="tx1"/>
                  </w14:solidFill>
                </w14:textFill>
              </w:rPr>
            </w:pPr>
            <w:r>
              <w:rPr>
                <w:rFonts w:hint="eastAsia" w:ascii="宋体" w:hAnsi="宋体"/>
                <w:color w:val="000000" w:themeColor="text1"/>
                <w:kern w:val="24"/>
                <w:szCs w:val="21"/>
                <w14:textFill>
                  <w14:solidFill>
                    <w14:schemeClr w14:val="tx1"/>
                  </w14:solidFill>
                </w14:textFill>
              </w:rPr>
              <w:t>200</w:t>
            </w:r>
          </w:p>
        </w:tc>
        <w:tc>
          <w:tcPr>
            <w:tcW w:w="766" w:type="pct"/>
            <w:tcMar>
              <w:top w:w="15" w:type="dxa"/>
              <w:left w:w="15" w:type="dxa"/>
              <w:right w:w="15" w:type="dxa"/>
            </w:tcMar>
            <w:vAlign w:val="center"/>
          </w:tcPr>
          <w:p w14:paraId="04B76F8B">
            <w:pPr>
              <w:jc w:val="center"/>
              <w:rPr>
                <w:rFonts w:hint="eastAsia" w:ascii="宋体" w:hAnsi="宋体"/>
                <w:color w:val="000000" w:themeColor="text1"/>
                <w:kern w:val="24"/>
                <w:szCs w:val="21"/>
                <w14:textFill>
                  <w14:solidFill>
                    <w14:schemeClr w14:val="tx1"/>
                  </w14:solidFill>
                </w14:textFill>
              </w:rPr>
            </w:pPr>
            <w:r>
              <w:rPr>
                <w:rFonts w:hint="eastAsia" w:ascii="宋体" w:hAnsi="宋体"/>
                <w:color w:val="000000" w:themeColor="text1"/>
                <w:kern w:val="24"/>
                <w:szCs w:val="21"/>
                <w14:textFill>
                  <w14:solidFill>
                    <w14:schemeClr w14:val="tx1"/>
                  </w14:solidFill>
                </w14:textFill>
              </w:rPr>
              <w:t>100</w:t>
            </w:r>
          </w:p>
        </w:tc>
        <w:tc>
          <w:tcPr>
            <w:tcW w:w="983" w:type="pct"/>
            <w:tcMar>
              <w:top w:w="15" w:type="dxa"/>
              <w:left w:w="15" w:type="dxa"/>
              <w:right w:w="15" w:type="dxa"/>
            </w:tcMar>
            <w:vAlign w:val="center"/>
          </w:tcPr>
          <w:p w14:paraId="0C3ECF49">
            <w:pPr>
              <w:jc w:val="center"/>
              <w:rPr>
                <w:rFonts w:hint="eastAsia" w:ascii="宋体" w:hAnsi="宋体"/>
                <w:color w:val="000000" w:themeColor="text1"/>
                <w:kern w:val="24"/>
                <w:szCs w:val="21"/>
                <w14:textFill>
                  <w14:solidFill>
                    <w14:schemeClr w14:val="tx1"/>
                  </w14:solidFill>
                </w14:textFill>
              </w:rPr>
            </w:pPr>
            <w:r>
              <w:rPr>
                <w:rFonts w:hint="eastAsia" w:ascii="宋体" w:hAnsi="宋体"/>
                <w:color w:val="000000" w:themeColor="text1"/>
                <w:kern w:val="24"/>
                <w:szCs w:val="21"/>
                <w14:textFill>
                  <w14:solidFill>
                    <w14:schemeClr w14:val="tx1"/>
                  </w14:solidFill>
                </w14:textFill>
              </w:rPr>
              <w:t>控缝</w:t>
            </w:r>
          </w:p>
        </w:tc>
      </w:tr>
      <w:tr w14:paraId="609D9AD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27" w:hRule="atLeast"/>
        </w:trPr>
        <w:tc>
          <w:tcPr>
            <w:tcW w:w="751" w:type="pct"/>
            <w:tcMar>
              <w:top w:w="15" w:type="dxa"/>
              <w:left w:w="15" w:type="dxa"/>
              <w:right w:w="15" w:type="dxa"/>
            </w:tcMar>
            <w:vAlign w:val="center"/>
          </w:tcPr>
          <w:p w14:paraId="64B6C86F">
            <w:pPr>
              <w:jc w:val="center"/>
              <w:rPr>
                <w:rFonts w:hint="eastAsia" w:ascii="宋体" w:hAnsi="宋体"/>
                <w:color w:val="000000" w:themeColor="text1"/>
                <w:kern w:val="24"/>
                <w:szCs w:val="21"/>
                <w14:textFill>
                  <w14:solidFill>
                    <w14:schemeClr w14:val="tx1"/>
                  </w14:solidFill>
                </w14:textFill>
              </w:rPr>
            </w:pPr>
            <w:r>
              <w:rPr>
                <w:rFonts w:hint="eastAsia" w:ascii="宋体" w:hAnsi="宋体"/>
                <w:color w:val="000000" w:themeColor="text1"/>
                <w:kern w:val="24"/>
                <w:szCs w:val="21"/>
                <w14:textFill>
                  <w14:solidFill>
                    <w14:schemeClr w14:val="tx1"/>
                  </w14:solidFill>
                </w14:textFill>
              </w:rPr>
              <w:t>段塞2</w:t>
            </w:r>
          </w:p>
        </w:tc>
        <w:tc>
          <w:tcPr>
            <w:tcW w:w="1475" w:type="pct"/>
            <w:tcMar>
              <w:top w:w="15" w:type="dxa"/>
              <w:left w:w="15" w:type="dxa"/>
              <w:right w:w="15" w:type="dxa"/>
            </w:tcMar>
            <w:vAlign w:val="center"/>
          </w:tcPr>
          <w:p w14:paraId="53342AD5">
            <w:pPr>
              <w:jc w:val="center"/>
              <w:rPr>
                <w:rFonts w:hint="eastAsia" w:ascii="宋体" w:hAnsi="宋体"/>
                <w:color w:val="000000" w:themeColor="text1"/>
                <w:kern w:val="24"/>
                <w:szCs w:val="21"/>
                <w14:textFill>
                  <w14:solidFill>
                    <w14:schemeClr w14:val="tx1"/>
                  </w14:solidFill>
                </w14:textFill>
              </w:rPr>
            </w:pPr>
            <w:r>
              <w:rPr>
                <w:rFonts w:hint="eastAsia" w:ascii="宋体" w:hAnsi="宋体"/>
                <w:color w:val="000000" w:themeColor="text1"/>
                <w:kern w:val="24"/>
                <w:szCs w:val="21"/>
                <w14:textFill>
                  <w14:solidFill>
                    <w14:schemeClr w14:val="tx1"/>
                  </w14:solidFill>
                </w14:textFill>
              </w:rPr>
              <w:t>CO</w:t>
            </w:r>
            <w:r>
              <w:rPr>
                <w:rFonts w:hint="eastAsia" w:ascii="宋体" w:hAnsi="宋体"/>
                <w:color w:val="000000" w:themeColor="text1"/>
                <w:kern w:val="24"/>
                <w:szCs w:val="21"/>
                <w:vertAlign w:val="subscript"/>
                <w14:textFill>
                  <w14:solidFill>
                    <w14:schemeClr w14:val="tx1"/>
                  </w14:solidFill>
                </w14:textFill>
              </w:rPr>
              <w:t>2</w:t>
            </w:r>
            <w:r>
              <w:rPr>
                <w:rFonts w:hint="eastAsia" w:ascii="宋体" w:hAnsi="宋体"/>
                <w:color w:val="000000" w:themeColor="text1"/>
                <w:kern w:val="24"/>
                <w:szCs w:val="21"/>
                <w14:textFill>
                  <w14:solidFill>
                    <w14:schemeClr w14:val="tx1"/>
                  </w14:solidFill>
                </w14:textFill>
              </w:rPr>
              <w:t>响应凝胶</w:t>
            </w:r>
          </w:p>
        </w:tc>
        <w:tc>
          <w:tcPr>
            <w:tcW w:w="1025" w:type="pct"/>
            <w:tcMar>
              <w:top w:w="15" w:type="dxa"/>
              <w:left w:w="15" w:type="dxa"/>
              <w:right w:w="15" w:type="dxa"/>
            </w:tcMar>
            <w:vAlign w:val="center"/>
          </w:tcPr>
          <w:p w14:paraId="135C056C">
            <w:pPr>
              <w:jc w:val="center"/>
              <w:rPr>
                <w:rFonts w:hint="eastAsia" w:ascii="宋体" w:hAnsi="宋体"/>
                <w:color w:val="000000" w:themeColor="text1"/>
                <w:kern w:val="24"/>
                <w:szCs w:val="21"/>
                <w14:textFill>
                  <w14:solidFill>
                    <w14:schemeClr w14:val="tx1"/>
                  </w14:solidFill>
                </w14:textFill>
              </w:rPr>
            </w:pPr>
            <w:r>
              <w:rPr>
                <w:rFonts w:hint="eastAsia" w:ascii="宋体" w:hAnsi="宋体"/>
                <w:color w:val="000000" w:themeColor="text1"/>
                <w:kern w:val="24"/>
                <w:szCs w:val="21"/>
                <w14:textFill>
                  <w14:solidFill>
                    <w14:schemeClr w14:val="tx1"/>
                  </w14:solidFill>
                </w14:textFill>
              </w:rPr>
              <w:t>816</w:t>
            </w:r>
          </w:p>
        </w:tc>
        <w:tc>
          <w:tcPr>
            <w:tcW w:w="766" w:type="pct"/>
            <w:tcMar>
              <w:top w:w="15" w:type="dxa"/>
              <w:left w:w="15" w:type="dxa"/>
              <w:right w:w="15" w:type="dxa"/>
            </w:tcMar>
            <w:vAlign w:val="center"/>
          </w:tcPr>
          <w:p w14:paraId="4C48C41E">
            <w:pPr>
              <w:jc w:val="center"/>
              <w:rPr>
                <w:rFonts w:hint="eastAsia" w:ascii="宋体" w:hAnsi="宋体"/>
                <w:color w:val="000000" w:themeColor="text1"/>
                <w:kern w:val="24"/>
                <w:szCs w:val="21"/>
                <w14:textFill>
                  <w14:solidFill>
                    <w14:schemeClr w14:val="tx1"/>
                  </w14:solidFill>
                </w14:textFill>
              </w:rPr>
            </w:pPr>
            <w:r>
              <w:rPr>
                <w:rFonts w:hint="eastAsia" w:ascii="宋体" w:hAnsi="宋体"/>
                <w:color w:val="000000" w:themeColor="text1"/>
                <w:kern w:val="24"/>
                <w:szCs w:val="21"/>
                <w14:textFill>
                  <w14:solidFill>
                    <w14:schemeClr w14:val="tx1"/>
                  </w14:solidFill>
                </w14:textFill>
              </w:rPr>
              <w:t>620</w:t>
            </w:r>
          </w:p>
        </w:tc>
        <w:tc>
          <w:tcPr>
            <w:tcW w:w="983" w:type="pct"/>
            <w:tcMar>
              <w:top w:w="15" w:type="dxa"/>
              <w:left w:w="15" w:type="dxa"/>
              <w:right w:w="15" w:type="dxa"/>
            </w:tcMar>
            <w:vAlign w:val="center"/>
          </w:tcPr>
          <w:p w14:paraId="1E98A278">
            <w:pPr>
              <w:jc w:val="center"/>
              <w:rPr>
                <w:rFonts w:hint="eastAsia" w:ascii="宋体" w:hAnsi="宋体"/>
                <w:color w:val="000000" w:themeColor="text1"/>
                <w:kern w:val="24"/>
                <w:szCs w:val="21"/>
                <w14:textFill>
                  <w14:solidFill>
                    <w14:schemeClr w14:val="tx1"/>
                  </w14:solidFill>
                </w14:textFill>
              </w:rPr>
            </w:pPr>
            <w:r>
              <w:rPr>
                <w:rFonts w:hint="eastAsia" w:ascii="宋体" w:hAnsi="宋体"/>
                <w:color w:val="000000" w:themeColor="text1"/>
                <w:kern w:val="24"/>
                <w:szCs w:val="21"/>
                <w14:textFill>
                  <w14:solidFill>
                    <w14:schemeClr w14:val="tx1"/>
                  </w14:solidFill>
                </w14:textFill>
              </w:rPr>
              <w:t>控主流通道</w:t>
            </w:r>
          </w:p>
        </w:tc>
      </w:tr>
      <w:tr w14:paraId="1B23EF9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34" w:hRule="atLeast"/>
        </w:trPr>
        <w:tc>
          <w:tcPr>
            <w:tcW w:w="751" w:type="pct"/>
            <w:tcMar>
              <w:top w:w="15" w:type="dxa"/>
              <w:left w:w="15" w:type="dxa"/>
              <w:right w:w="15" w:type="dxa"/>
            </w:tcMar>
            <w:vAlign w:val="center"/>
          </w:tcPr>
          <w:p w14:paraId="19498A90">
            <w:pPr>
              <w:jc w:val="center"/>
              <w:rPr>
                <w:rFonts w:hint="eastAsia" w:ascii="宋体" w:hAnsi="宋体"/>
                <w:color w:val="000000" w:themeColor="text1"/>
                <w:kern w:val="24"/>
                <w:szCs w:val="21"/>
                <w14:textFill>
                  <w14:solidFill>
                    <w14:schemeClr w14:val="tx1"/>
                  </w14:solidFill>
                </w14:textFill>
              </w:rPr>
            </w:pPr>
            <w:r>
              <w:rPr>
                <w:rFonts w:hint="eastAsia" w:ascii="宋体" w:hAnsi="宋体"/>
                <w:color w:val="000000" w:themeColor="text1"/>
                <w:kern w:val="24"/>
                <w:szCs w:val="21"/>
                <w14:textFill>
                  <w14:solidFill>
                    <w14:schemeClr w14:val="tx1"/>
                  </w14:solidFill>
                </w14:textFill>
              </w:rPr>
              <w:t>段塞3</w:t>
            </w:r>
          </w:p>
        </w:tc>
        <w:tc>
          <w:tcPr>
            <w:tcW w:w="1475" w:type="pct"/>
            <w:tcMar>
              <w:top w:w="15" w:type="dxa"/>
              <w:left w:w="15" w:type="dxa"/>
              <w:right w:w="15" w:type="dxa"/>
            </w:tcMar>
            <w:vAlign w:val="center"/>
          </w:tcPr>
          <w:p w14:paraId="35557E18">
            <w:pPr>
              <w:jc w:val="center"/>
              <w:rPr>
                <w:rFonts w:hint="eastAsia" w:ascii="宋体" w:hAnsi="宋体"/>
                <w:color w:val="000000" w:themeColor="text1"/>
                <w:kern w:val="24"/>
                <w:szCs w:val="21"/>
                <w14:textFill>
                  <w14:solidFill>
                    <w14:schemeClr w14:val="tx1"/>
                  </w14:solidFill>
                </w14:textFill>
              </w:rPr>
            </w:pPr>
            <w:r>
              <w:rPr>
                <w:rFonts w:hint="eastAsia" w:ascii="宋体" w:hAnsi="宋体"/>
                <w:color w:val="000000" w:themeColor="text1"/>
                <w:kern w:val="24"/>
                <w:szCs w:val="21"/>
                <w14:textFill>
                  <w14:solidFill>
                    <w14:schemeClr w14:val="tx1"/>
                  </w14:solidFill>
                </w14:textFill>
              </w:rPr>
              <w:t>CO</w:t>
            </w:r>
            <w:r>
              <w:rPr>
                <w:rFonts w:hint="eastAsia" w:ascii="宋体" w:hAnsi="宋体"/>
                <w:color w:val="000000" w:themeColor="text1"/>
                <w:kern w:val="24"/>
                <w:szCs w:val="21"/>
                <w:vertAlign w:val="subscript"/>
                <w14:textFill>
                  <w14:solidFill>
                    <w14:schemeClr w14:val="tx1"/>
                  </w14:solidFill>
                </w14:textFill>
              </w:rPr>
              <w:t>2</w:t>
            </w:r>
            <w:r>
              <w:rPr>
                <w:rFonts w:hint="eastAsia" w:ascii="宋体" w:hAnsi="宋体"/>
                <w:color w:val="000000" w:themeColor="text1"/>
                <w:kern w:val="24"/>
                <w:szCs w:val="21"/>
                <w14:textFill>
                  <w14:solidFill>
                    <w14:schemeClr w14:val="tx1"/>
                  </w14:solidFill>
                </w14:textFill>
              </w:rPr>
              <w:t>响应自增稠流体</w:t>
            </w:r>
          </w:p>
        </w:tc>
        <w:tc>
          <w:tcPr>
            <w:tcW w:w="1025" w:type="pct"/>
            <w:tcMar>
              <w:top w:w="15" w:type="dxa"/>
              <w:left w:w="15" w:type="dxa"/>
              <w:right w:w="15" w:type="dxa"/>
            </w:tcMar>
            <w:vAlign w:val="center"/>
          </w:tcPr>
          <w:p w14:paraId="2BD33902">
            <w:pPr>
              <w:jc w:val="center"/>
              <w:rPr>
                <w:rFonts w:hint="eastAsia" w:ascii="宋体" w:hAnsi="宋体"/>
                <w:color w:val="000000" w:themeColor="text1"/>
                <w:kern w:val="24"/>
                <w:szCs w:val="21"/>
                <w14:textFill>
                  <w14:solidFill>
                    <w14:schemeClr w14:val="tx1"/>
                  </w14:solidFill>
                </w14:textFill>
              </w:rPr>
            </w:pPr>
            <w:r>
              <w:rPr>
                <w:rFonts w:hint="eastAsia" w:ascii="宋体" w:hAnsi="宋体"/>
                <w:color w:val="000000" w:themeColor="text1"/>
                <w:kern w:val="24"/>
                <w:szCs w:val="21"/>
                <w14:textFill>
                  <w14:solidFill>
                    <w14:schemeClr w14:val="tx1"/>
                  </w14:solidFill>
                </w14:textFill>
              </w:rPr>
              <w:t>100</w:t>
            </w:r>
          </w:p>
        </w:tc>
        <w:tc>
          <w:tcPr>
            <w:tcW w:w="766" w:type="pct"/>
            <w:tcMar>
              <w:top w:w="15" w:type="dxa"/>
              <w:left w:w="15" w:type="dxa"/>
              <w:right w:w="15" w:type="dxa"/>
            </w:tcMar>
            <w:vAlign w:val="center"/>
          </w:tcPr>
          <w:p w14:paraId="613ED6D8">
            <w:pPr>
              <w:jc w:val="center"/>
              <w:rPr>
                <w:rFonts w:hint="eastAsia" w:ascii="宋体" w:hAnsi="宋体"/>
                <w:color w:val="000000" w:themeColor="text1"/>
                <w:kern w:val="24"/>
                <w:szCs w:val="21"/>
                <w14:textFill>
                  <w14:solidFill>
                    <w14:schemeClr w14:val="tx1"/>
                  </w14:solidFill>
                </w14:textFill>
              </w:rPr>
            </w:pPr>
            <w:r>
              <w:rPr>
                <w:rFonts w:hint="eastAsia" w:ascii="宋体" w:hAnsi="宋体"/>
                <w:color w:val="000000" w:themeColor="text1"/>
                <w:kern w:val="24"/>
                <w:szCs w:val="21"/>
                <w14:textFill>
                  <w14:solidFill>
                    <w14:schemeClr w14:val="tx1"/>
                  </w14:solidFill>
                </w14:textFill>
              </w:rPr>
              <w:t>100</w:t>
            </w:r>
          </w:p>
        </w:tc>
        <w:tc>
          <w:tcPr>
            <w:tcW w:w="983" w:type="pct"/>
            <w:tcMar>
              <w:top w:w="15" w:type="dxa"/>
              <w:left w:w="15" w:type="dxa"/>
              <w:right w:w="15" w:type="dxa"/>
            </w:tcMar>
            <w:vAlign w:val="center"/>
          </w:tcPr>
          <w:p w14:paraId="42C5037F">
            <w:pPr>
              <w:jc w:val="center"/>
              <w:rPr>
                <w:rFonts w:hint="eastAsia" w:ascii="宋体" w:hAnsi="宋体"/>
                <w:color w:val="000000" w:themeColor="text1"/>
                <w:kern w:val="24"/>
                <w:szCs w:val="21"/>
                <w14:textFill>
                  <w14:solidFill>
                    <w14:schemeClr w14:val="tx1"/>
                  </w14:solidFill>
                </w14:textFill>
              </w:rPr>
            </w:pPr>
            <w:r>
              <w:rPr>
                <w:rFonts w:hint="eastAsia" w:ascii="宋体" w:hAnsi="宋体"/>
                <w:color w:val="000000" w:themeColor="text1"/>
                <w:kern w:val="24"/>
                <w:szCs w:val="21"/>
                <w14:textFill>
                  <w14:solidFill>
                    <w14:schemeClr w14:val="tx1"/>
                  </w14:solidFill>
                </w14:textFill>
              </w:rPr>
              <w:t>延缓绕流</w:t>
            </w:r>
          </w:p>
        </w:tc>
      </w:tr>
    </w:tbl>
    <w:p w14:paraId="4CAC10A8">
      <w:pPr>
        <w:pStyle w:val="117"/>
        <w:adjustRightInd w:val="0"/>
        <w:snapToGrid w:val="0"/>
        <w:ind w:firstLine="480"/>
        <w:rPr>
          <w:rFonts w:ascii="Times New Roman" w:hAnsi="Times New Roman"/>
          <w:color w:val="000000" w:themeColor="text1"/>
          <w14:textFill>
            <w14:solidFill>
              <w14:schemeClr w14:val="tx1"/>
            </w14:solidFill>
          </w14:textFill>
        </w:rPr>
      </w:pPr>
      <w:r>
        <w:rPr>
          <w:rFonts w:hint="eastAsia"/>
          <w:color w:val="000000" w:themeColor="text1"/>
          <w14:textFill>
            <w14:solidFill>
              <w14:schemeClr w14:val="tx1"/>
            </w14:solidFill>
          </w14:textFill>
        </w:rPr>
        <w:t>考虑地层各段渗透性差异，采用笼统注入工艺，让封堵剂自适应封堵。注入压力低于地层破裂压力，注入速度与前期临井注水/气速度持平，满足安全施工要求。水平井气窜封堵工艺参数可根据试验井气窜情况调整，具体按照单井封窜工程设计执行。</w:t>
      </w:r>
    </w:p>
    <w:p w14:paraId="0007E6D6">
      <w:pPr>
        <w:pStyle w:val="117"/>
        <w:adjustRightInd w:val="0"/>
        <w:snapToGrid w:val="0"/>
        <w:ind w:firstLine="480"/>
        <w:rPr>
          <w:rFonts w:ascii="Times New Roman" w:hAnsi="Times New Roman"/>
          <w:color w:val="000000" w:themeColor="text1"/>
          <w:szCs w:val="22"/>
          <w14:textFill>
            <w14:solidFill>
              <w14:schemeClr w14:val="tx1"/>
            </w14:solidFill>
          </w14:textFill>
        </w:rPr>
      </w:pPr>
      <w:r>
        <w:rPr>
          <w:rFonts w:hint="eastAsia" w:ascii="Times New Roman" w:hAnsi="Times New Roman"/>
          <w:color w:val="000000" w:themeColor="text1"/>
          <w:szCs w:val="22"/>
          <w14:textFill>
            <w14:solidFill>
              <w14:schemeClr w14:val="tx1"/>
            </w14:solidFill>
          </w14:textFill>
        </w:rPr>
        <w:t>（3）地面工程施工工艺流程及产污环节示意图</w:t>
      </w:r>
    </w:p>
    <w:p w14:paraId="4A2F3F23">
      <w:pPr>
        <w:pStyle w:val="117"/>
        <w:adjustRightInd w:val="0"/>
        <w:snapToGrid w:val="0"/>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施工期主要包括井场、预处理注入站建设、管线建设及公用工程建设，其施工工艺及产污节点见图</w:t>
      </w:r>
      <w:r>
        <w:rPr>
          <w:color w:val="000000" w:themeColor="text1"/>
          <w14:textFill>
            <w14:solidFill>
              <w14:schemeClr w14:val="tx1"/>
            </w14:solidFill>
          </w14:textFill>
        </w:rPr>
        <w:t>3.2</w:t>
      </w:r>
      <w:r>
        <w:rPr>
          <w:rFonts w:hint="eastAsia"/>
          <w:color w:val="000000" w:themeColor="text1"/>
          <w14:textFill>
            <w14:solidFill>
              <w14:schemeClr w14:val="tx1"/>
            </w14:solidFill>
          </w14:textFill>
        </w:rPr>
        <w:t>-8。</w:t>
      </w:r>
    </w:p>
    <w:p w14:paraId="076CCDD2">
      <w:pPr>
        <w:pStyle w:val="117"/>
        <w:adjustRightInd w:val="0"/>
        <w:snapToGrid w:val="0"/>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管线保温后埋地敷设，单井采油管线、注气管线埋深-1.7m，集油干线和转液管线埋深-</w:t>
      </w:r>
      <w:r>
        <w:rPr>
          <w:color w:val="000000" w:themeColor="text1"/>
          <w14:textFill>
            <w14:solidFill>
              <w14:schemeClr w14:val="tx1"/>
            </w14:solidFill>
          </w14:textFill>
        </w:rPr>
        <w:t>1.</w:t>
      </w:r>
      <w:r>
        <w:rPr>
          <w:rFonts w:hint="eastAsia"/>
          <w:color w:val="000000" w:themeColor="text1"/>
          <w14:textFill>
            <w14:solidFill>
              <w14:schemeClr w14:val="tx1"/>
            </w14:solidFill>
          </w14:textFill>
        </w:rPr>
        <w:t>9</w:t>
      </w:r>
      <w:r>
        <w:rPr>
          <w:color w:val="000000" w:themeColor="text1"/>
          <w14:textFill>
            <w14:solidFill>
              <w14:schemeClr w14:val="tx1"/>
            </w14:solidFill>
          </w14:textFill>
        </w:rPr>
        <w:t>m</w:t>
      </w:r>
      <w:r>
        <w:rPr>
          <w:rFonts w:hint="eastAsia"/>
          <w:color w:val="000000" w:themeColor="text1"/>
          <w14:textFill>
            <w14:solidFill>
              <w14:schemeClr w14:val="tx1"/>
            </w14:solidFill>
          </w14:textFill>
        </w:rPr>
        <w:t>，保温层均采用30mm厚聚氨酯泡沫塑料，防护层采用高密度聚乙烯塑料；穿越沥青路面采用顶管穿越，穿越简易道路采用大开挖方式，穿越道路时加套管；施工作业带宽度控制在8</w:t>
      </w:r>
      <w:r>
        <w:rPr>
          <w:color w:val="000000" w:themeColor="text1"/>
          <w14:textFill>
            <w14:solidFill>
              <w14:schemeClr w14:val="tx1"/>
            </w14:solidFill>
          </w14:textFill>
        </w:rPr>
        <w:t>m</w:t>
      </w:r>
      <w:r>
        <w:rPr>
          <w:rFonts w:hint="eastAsia"/>
          <w:color w:val="000000" w:themeColor="text1"/>
          <w14:textFill>
            <w14:solidFill>
              <w14:schemeClr w14:val="tx1"/>
            </w14:solidFill>
          </w14:textFill>
        </w:rPr>
        <w:t>范围内。</w:t>
      </w:r>
    </w:p>
    <w:p w14:paraId="742098A0">
      <w:pPr>
        <w:pStyle w:val="117"/>
        <w:adjustRightInd w:val="0"/>
        <w:snapToGrid w:val="0"/>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废气主要为施工扬尘、施工机械及车辆尾气和焊接废气，废水主要为管道试压废水、混凝土养护废水，固体废物主要为建筑垃圾，噪声源主要为施工机械及车辆。</w:t>
      </w:r>
    </w:p>
    <w:p w14:paraId="218C19D4">
      <w:pPr>
        <w:pStyle w:val="117"/>
        <w:adjustRightInd w:val="0"/>
        <w:snapToGrid w:val="0"/>
        <w:ind w:firstLine="480"/>
        <w:rPr>
          <w:rFonts w:hint="eastAsia"/>
          <w:color w:val="000000" w:themeColor="text1"/>
          <w14:textFill>
            <w14:solidFill>
              <w14:schemeClr w14:val="tx1"/>
            </w14:solidFill>
          </w14:textFill>
        </w:rPr>
      </w:pPr>
      <w:bookmarkStart w:id="286" w:name="_Hlk147581788"/>
      <w:r>
        <w:rPr>
          <w:rFonts w:hint="eastAsia"/>
          <w:color w:val="000000" w:themeColor="text1"/>
          <w14:textFill>
            <w14:solidFill>
              <w14:schemeClr w14:val="tx1"/>
            </w14:solidFill>
          </w14:textFill>
        </w:rPr>
        <w:t>（</w:t>
      </w:r>
      <w:r>
        <w:rPr>
          <w:color w:val="000000" w:themeColor="text1"/>
          <w14:textFill>
            <w14:solidFill>
              <w14:schemeClr w14:val="tx1"/>
            </w14:solidFill>
          </w14:textFill>
        </w:rPr>
        <w:t>2</w:t>
      </w:r>
      <w:r>
        <w:rPr>
          <w:rFonts w:hint="eastAsia"/>
          <w:color w:val="000000" w:themeColor="text1"/>
          <w14:textFill>
            <w14:solidFill>
              <w14:schemeClr w14:val="tx1"/>
            </w14:solidFill>
          </w14:textFill>
        </w:rPr>
        <w:t>）运营期工艺流程及环境影响因素分析</w:t>
      </w:r>
    </w:p>
    <w:bookmarkEnd w:id="286"/>
    <w:p w14:paraId="16C79C7B">
      <w:pPr>
        <w:pStyle w:val="117"/>
        <w:adjustRightInd w:val="0"/>
        <w:snapToGrid w:val="0"/>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①油气集输工艺</w:t>
      </w:r>
    </w:p>
    <w:p w14:paraId="02CAD296">
      <w:pPr>
        <w:pStyle w:val="117"/>
        <w:adjustRightInd w:val="0"/>
        <w:snapToGrid w:val="0"/>
        <w:ind w:firstLine="480"/>
        <w:rPr>
          <w:rFonts w:hint="eastAsia"/>
          <w:color w:val="000000" w:themeColor="text1"/>
          <w14:textFill>
            <w14:solidFill>
              <w14:schemeClr w14:val="tx1"/>
            </w14:solidFill>
          </w14:textFill>
        </w:rPr>
      </w:pPr>
      <w:bookmarkStart w:id="287" w:name="OLE_LINK59"/>
      <w:r>
        <w:rPr>
          <w:rFonts w:hint="eastAsia"/>
          <w:color w:val="000000" w:themeColor="text1"/>
          <w14:textFill>
            <w14:solidFill>
              <w14:schemeClr w14:val="tx1"/>
            </w14:solidFill>
          </w14:textFill>
        </w:rPr>
        <w:t>单井采用加热密闭集输工艺，油气集输采用“井口</w:t>
      </w:r>
      <w:bookmarkStart w:id="288" w:name="OLE_LINK82"/>
      <w:r>
        <w:rPr>
          <w:rFonts w:hint="eastAsia"/>
          <w:color w:val="000000" w:themeColor="text1"/>
          <w14:textFill>
            <w14:solidFill>
              <w14:schemeClr w14:val="tx1"/>
            </w14:solidFill>
          </w14:textFill>
        </w:rPr>
        <w:t>→</w:t>
      </w:r>
      <w:bookmarkEnd w:id="288"/>
      <w:r>
        <w:rPr>
          <w:rFonts w:hint="eastAsia"/>
          <w:color w:val="000000" w:themeColor="text1"/>
          <w14:textFill>
            <w14:solidFill>
              <w14:schemeClr w14:val="tx1"/>
            </w14:solidFill>
          </w14:textFill>
        </w:rPr>
        <w:t>计量站→新建预处理注入站→1号混输泵站→处理站”三级布站加热密闭集输工艺，具体流程如下：页岩油</w:t>
      </w:r>
      <w:r>
        <w:rPr>
          <w:color w:val="000000" w:themeColor="text1"/>
          <w14:textFill>
            <w14:solidFill>
              <w14:schemeClr w14:val="tx1"/>
            </w14:solidFill>
          </w14:textFill>
        </w:rPr>
        <w:t>井区采油井来气液混合物通过单井</w:t>
      </w:r>
      <w:r>
        <w:rPr>
          <w:rFonts w:hint="eastAsia"/>
          <w:color w:val="000000" w:themeColor="text1"/>
          <w14:textFill>
            <w14:solidFill>
              <w14:schemeClr w14:val="tx1"/>
            </w14:solidFill>
          </w14:textFill>
        </w:rPr>
        <w:t>采油管线</w:t>
      </w:r>
      <w:r>
        <w:rPr>
          <w:color w:val="000000" w:themeColor="text1"/>
          <w14:textFill>
            <w14:solidFill>
              <w14:schemeClr w14:val="tx1"/>
            </w14:solidFill>
          </w14:textFill>
        </w:rPr>
        <w:t>先进入计量</w:t>
      </w:r>
      <w:r>
        <w:rPr>
          <w:rFonts w:hint="eastAsia"/>
          <w:color w:val="000000" w:themeColor="text1"/>
          <w14:textFill>
            <w14:solidFill>
              <w14:schemeClr w14:val="tx1"/>
            </w14:solidFill>
          </w14:textFill>
        </w:rPr>
        <w:t>站</w:t>
      </w:r>
      <w:r>
        <w:rPr>
          <w:color w:val="000000" w:themeColor="text1"/>
          <w14:textFill>
            <w14:solidFill>
              <w14:schemeClr w14:val="tx1"/>
            </w14:solidFill>
          </w14:textFill>
        </w:rPr>
        <w:t>计量后</w:t>
      </w:r>
      <w:r>
        <w:rPr>
          <w:rFonts w:hint="eastAsia"/>
          <w:color w:val="000000" w:themeColor="text1"/>
          <w14:textFill>
            <w14:solidFill>
              <w14:schemeClr w14:val="tx1"/>
            </w14:solidFill>
          </w14:textFill>
        </w:rPr>
        <w:t>进入</w:t>
      </w:r>
      <w:r>
        <w:rPr>
          <w:color w:val="000000" w:themeColor="text1"/>
          <w14:textFill>
            <w14:solidFill>
              <w14:schemeClr w14:val="tx1"/>
            </w14:solidFill>
          </w14:textFill>
        </w:rPr>
        <w:t>集输</w:t>
      </w:r>
      <w:r>
        <w:rPr>
          <w:rFonts w:hint="eastAsia"/>
          <w:color w:val="000000" w:themeColor="text1"/>
          <w14:textFill>
            <w14:solidFill>
              <w14:schemeClr w14:val="tx1"/>
            </w14:solidFill>
          </w14:textFill>
        </w:rPr>
        <w:t>干线</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采出</w:t>
      </w:r>
      <w:r>
        <w:rPr>
          <w:color w:val="000000" w:themeColor="text1"/>
          <w14:textFill>
            <w14:solidFill>
              <w14:schemeClr w14:val="tx1"/>
            </w14:solidFill>
          </w14:textFill>
        </w:rPr>
        <w:t>阶段采出气液先通过新建集输管道进入新建</w:t>
      </w:r>
      <w:r>
        <w:rPr>
          <w:rFonts w:hint="eastAsia"/>
          <w:color w:val="000000" w:themeColor="text1"/>
          <w14:textFill>
            <w14:solidFill>
              <w14:schemeClr w14:val="tx1"/>
            </w14:solidFill>
          </w14:textFill>
        </w:rPr>
        <w:t>预处理注入装置区</w:t>
      </w:r>
      <w:r>
        <w:rPr>
          <w:color w:val="000000" w:themeColor="text1"/>
          <w14:textFill>
            <w14:solidFill>
              <w14:schemeClr w14:val="tx1"/>
            </w14:solidFill>
          </w14:textFill>
        </w:rPr>
        <w:t>，经</w:t>
      </w:r>
      <w:r>
        <w:rPr>
          <w:rFonts w:hint="eastAsia"/>
          <w:color w:val="000000" w:themeColor="text1"/>
          <w14:textFill>
            <w14:solidFill>
              <w14:schemeClr w14:val="tx1"/>
            </w14:solidFill>
          </w14:textFill>
        </w:rPr>
        <w:t>油气</w:t>
      </w:r>
      <w:r>
        <w:rPr>
          <w:color w:val="000000" w:themeColor="text1"/>
          <w14:textFill>
            <w14:solidFill>
              <w14:schemeClr w14:val="tx1"/>
            </w14:solidFill>
          </w14:textFill>
        </w:rPr>
        <w:t>分离器进行气液分离后，分离出的液</w:t>
      </w:r>
      <w:r>
        <w:rPr>
          <w:rFonts w:hint="eastAsia"/>
          <w:color w:val="000000" w:themeColor="text1"/>
          <w14:textFill>
            <w14:solidFill>
              <w14:schemeClr w14:val="tx1"/>
            </w14:solidFill>
          </w14:textFill>
        </w:rPr>
        <w:t>经加热、增压后管输至1号混输泵站进行转输，最终管输至页岩油联合站原油处理系统进行处理</w:t>
      </w:r>
      <w:r>
        <w:rPr>
          <w:color w:val="000000" w:themeColor="text1"/>
          <w14:textFill>
            <w14:solidFill>
              <w14:schemeClr w14:val="tx1"/>
            </w14:solidFill>
          </w14:textFill>
        </w:rPr>
        <w:t>；分离出的气去采出气</w:t>
      </w:r>
      <w:r>
        <w:rPr>
          <w:rFonts w:hint="eastAsia"/>
          <w:color w:val="000000" w:themeColor="text1"/>
          <w14:textFill>
            <w14:solidFill>
              <w14:schemeClr w14:val="tx1"/>
            </w14:solidFill>
          </w14:textFill>
        </w:rPr>
        <w:t>回注</w:t>
      </w:r>
      <w:r>
        <w:rPr>
          <w:color w:val="000000" w:themeColor="text1"/>
          <w14:textFill>
            <w14:solidFill>
              <w14:schemeClr w14:val="tx1"/>
            </w14:solidFill>
          </w14:textFill>
        </w:rPr>
        <w:t>系统，通过增压后注入指定的注入井。</w:t>
      </w:r>
    </w:p>
    <w:p w14:paraId="6F94DD5D">
      <w:pPr>
        <w:pStyle w:val="117"/>
        <w:adjustRightInd w:val="0"/>
        <w:snapToGrid w:val="0"/>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废气主要为油气集输过程中产生的无组织挥发性有机物和硫化氢；脱硫产物为水溶性液体，与采出物一同管输至页岩油联合站，除硫加药装置无废水产生，废水主要为井下作业时产生的洗井废水和井下作业废液，固体废物主要废润滑油、废油桶、沾油废防渗材料。</w:t>
      </w:r>
    </w:p>
    <w:p w14:paraId="3CFD383D">
      <w:pPr>
        <w:pStyle w:val="117"/>
        <w:adjustRightInd w:val="0"/>
        <w:snapToGrid w:val="0"/>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②井场除硫工艺</w:t>
      </w:r>
    </w:p>
    <w:p w14:paraId="596354F3">
      <w:pPr>
        <w:adjustRightInd w:val="0"/>
        <w:snapToGrid w:val="0"/>
        <w:spacing w:line="500" w:lineRule="exact"/>
        <w:ind w:firstLine="480" w:firstLineChars="200"/>
        <w:rPr>
          <w:rFonts w:hint="eastAsia"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※除硫原理</w:t>
      </w:r>
    </w:p>
    <w:p w14:paraId="52BED17B">
      <w:pPr>
        <w:adjustRightInd w:val="0"/>
        <w:snapToGrid w:val="0"/>
        <w:spacing w:line="500" w:lineRule="exact"/>
        <w:ind w:firstLine="480" w:firstLineChars="200"/>
        <w:rPr>
          <w:rFonts w:hint="eastAsia"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除硫采用三嗪化合物，三嗪化合物是一种大分子活性剂，分子链上富含氮原子，并且含有活泼氢原子，能与H</w:t>
      </w:r>
      <w:r>
        <w:rPr>
          <w:rFonts w:hint="eastAsia" w:ascii="宋体" w:hAnsi="宋体"/>
          <w:color w:val="000000" w:themeColor="text1"/>
          <w:sz w:val="24"/>
          <w:szCs w:val="24"/>
          <w:vertAlign w:val="subscript"/>
          <w14:textFill>
            <w14:solidFill>
              <w14:schemeClr w14:val="tx1"/>
            </w14:solidFill>
          </w14:textFill>
        </w:rPr>
        <w:t>2</w:t>
      </w:r>
      <w:r>
        <w:rPr>
          <w:rFonts w:hint="eastAsia" w:ascii="宋体" w:hAnsi="宋体"/>
          <w:color w:val="000000" w:themeColor="text1"/>
          <w:sz w:val="24"/>
          <w:szCs w:val="24"/>
          <w14:textFill>
            <w14:solidFill>
              <w14:schemeClr w14:val="tx1"/>
            </w14:solidFill>
          </w14:textFill>
        </w:rPr>
        <w:t>S里的S</w:t>
      </w:r>
      <w:r>
        <w:rPr>
          <w:rFonts w:hint="eastAsia" w:ascii="宋体" w:hAnsi="宋体"/>
          <w:color w:val="000000" w:themeColor="text1"/>
          <w:sz w:val="24"/>
          <w:szCs w:val="24"/>
          <w:vertAlign w:val="superscript"/>
          <w14:textFill>
            <w14:solidFill>
              <w14:schemeClr w14:val="tx1"/>
            </w14:solidFill>
          </w14:textFill>
        </w:rPr>
        <w:t>2-</w:t>
      </w:r>
      <w:r>
        <w:rPr>
          <w:rFonts w:hint="eastAsia" w:ascii="宋体" w:hAnsi="宋体"/>
          <w:color w:val="000000" w:themeColor="text1"/>
          <w:sz w:val="24"/>
          <w:szCs w:val="24"/>
          <w14:textFill>
            <w14:solidFill>
              <w14:schemeClr w14:val="tx1"/>
            </w14:solidFill>
          </w14:textFill>
        </w:rPr>
        <w:t>发生不可逆化学反应生成噻二嗪，从而达到去除天然气中H</w:t>
      </w:r>
      <w:r>
        <w:rPr>
          <w:rFonts w:hint="eastAsia" w:ascii="宋体" w:hAnsi="宋体"/>
          <w:color w:val="000000" w:themeColor="text1"/>
          <w:sz w:val="24"/>
          <w:szCs w:val="24"/>
          <w:vertAlign w:val="subscript"/>
          <w14:textFill>
            <w14:solidFill>
              <w14:schemeClr w14:val="tx1"/>
            </w14:solidFill>
          </w14:textFill>
        </w:rPr>
        <w:t>2</w:t>
      </w:r>
      <w:r>
        <w:rPr>
          <w:rFonts w:hint="eastAsia" w:ascii="宋体" w:hAnsi="宋体"/>
          <w:color w:val="000000" w:themeColor="text1"/>
          <w:sz w:val="24"/>
          <w:szCs w:val="24"/>
          <w14:textFill>
            <w14:solidFill>
              <w14:schemeClr w14:val="tx1"/>
            </w14:solidFill>
          </w14:textFill>
        </w:rPr>
        <w:t>S的目的。其脱硫产物均为水溶性液体，安全性高，而且不需回收，可直接回注地层。三嗪及其衍生物的合成示意图见图3.2-10，三嗪脱硫剂和H</w:t>
      </w:r>
      <w:r>
        <w:rPr>
          <w:rFonts w:hint="eastAsia" w:ascii="宋体" w:hAnsi="宋体"/>
          <w:color w:val="000000" w:themeColor="text1"/>
          <w:sz w:val="24"/>
          <w:szCs w:val="24"/>
          <w:vertAlign w:val="subscript"/>
          <w14:textFill>
            <w14:solidFill>
              <w14:schemeClr w14:val="tx1"/>
            </w14:solidFill>
          </w14:textFill>
        </w:rPr>
        <w:t>2</w:t>
      </w:r>
      <w:r>
        <w:rPr>
          <w:rFonts w:hint="eastAsia" w:ascii="宋体" w:hAnsi="宋体"/>
          <w:color w:val="000000" w:themeColor="text1"/>
          <w:sz w:val="24"/>
          <w:szCs w:val="24"/>
          <w14:textFill>
            <w14:solidFill>
              <w14:schemeClr w14:val="tx1"/>
            </w14:solidFill>
          </w14:textFill>
        </w:rPr>
        <w:t>S亲核取代反应见图3.2-11。三嗪类硫化氢处理剂与硫化氢反应产物可以很好地溶解在水中，不会生成不溶性沉淀物。</w:t>
      </w:r>
    </w:p>
    <w:p w14:paraId="426326A1">
      <w:pPr>
        <w:pStyle w:val="117"/>
        <w:ind w:firstLine="480"/>
        <w:rPr>
          <w:rFonts w:hint="eastAsia" w:cs="宋体"/>
          <w:color w:val="000000" w:themeColor="text1"/>
          <w14:textFill>
            <w14:solidFill>
              <w14:schemeClr w14:val="tx1"/>
            </w14:solidFill>
          </w14:textFill>
        </w:rPr>
      </w:pPr>
      <w:r>
        <w:rPr>
          <w:rFonts w:hint="eastAsia"/>
          <w:color w:val="000000" w:themeColor="text1"/>
          <w14:textFill>
            <w14:solidFill>
              <w14:schemeClr w14:val="tx1"/>
            </w14:solidFill>
          </w14:textFill>
        </w:rPr>
        <w:t>三嗪类硫化氢处理剂是一种非再生型新型高效硫化氢处理剂</w:t>
      </w:r>
      <w:r>
        <w:rPr>
          <w:color w:val="000000" w:themeColor="text1"/>
          <w14:textFill>
            <w14:solidFill>
              <w14:schemeClr w14:val="tx1"/>
            </w14:solidFill>
          </w14:textFill>
        </w:rPr>
        <w:t>，通常为无色或淡黄色透明</w:t>
      </w:r>
      <w:r>
        <w:rPr>
          <w:rFonts w:hint="eastAsia"/>
          <w:color w:val="000000" w:themeColor="text1"/>
          <w14:textFill>
            <w14:solidFill>
              <w14:schemeClr w14:val="tx1"/>
            </w14:solidFill>
          </w14:textFill>
        </w:rPr>
        <w:t>粘</w:t>
      </w:r>
      <w:r>
        <w:rPr>
          <w:color w:val="000000" w:themeColor="text1"/>
          <w14:textFill>
            <w14:solidFill>
              <w14:schemeClr w14:val="tx1"/>
            </w14:solidFill>
          </w14:textFill>
        </w:rPr>
        <w:t>稠状液体，无</w:t>
      </w:r>
      <w:r>
        <w:rPr>
          <w:rFonts w:hint="eastAsia"/>
          <w:color w:val="000000" w:themeColor="text1"/>
          <w14:textFill>
            <w14:solidFill>
              <w14:schemeClr w14:val="tx1"/>
            </w14:solidFill>
          </w14:textFill>
        </w:rPr>
        <w:t>刺激性</w:t>
      </w:r>
      <w:r>
        <w:rPr>
          <w:color w:val="000000" w:themeColor="text1"/>
          <w14:textFill>
            <w14:solidFill>
              <w14:schemeClr w14:val="tx1"/>
            </w14:solidFill>
          </w14:textFill>
        </w:rPr>
        <w:t>气味。三嗪化合物是一种大分子活性剂，分子链上富含氮原子，并且含有活泼氢原子，能与</w:t>
      </w:r>
      <w:r>
        <w:rPr>
          <w:rFonts w:hint="eastAsia"/>
          <w:color w:val="000000" w:themeColor="text1"/>
          <w14:textFill>
            <w14:solidFill>
              <w14:schemeClr w14:val="tx1"/>
            </w14:solidFill>
          </w14:textFill>
        </w:rPr>
        <w:t>H</w:t>
      </w:r>
      <w:r>
        <w:rPr>
          <w:rFonts w:hint="eastAsia"/>
          <w:color w:val="000000" w:themeColor="text1"/>
          <w:vertAlign w:val="subscript"/>
          <w14:textFill>
            <w14:solidFill>
              <w14:schemeClr w14:val="tx1"/>
            </w14:solidFill>
          </w14:textFill>
        </w:rPr>
        <w:t>2</w:t>
      </w:r>
      <w:r>
        <w:rPr>
          <w:rFonts w:hint="eastAsia"/>
          <w:color w:val="000000" w:themeColor="text1"/>
          <w14:textFill>
            <w14:solidFill>
              <w14:schemeClr w14:val="tx1"/>
            </w14:solidFill>
          </w14:textFill>
        </w:rPr>
        <w:t>S</w:t>
      </w:r>
      <w:r>
        <w:rPr>
          <w:color w:val="000000" w:themeColor="text1"/>
          <w14:textFill>
            <w14:solidFill>
              <w14:schemeClr w14:val="tx1"/>
            </w14:solidFill>
          </w14:textFill>
        </w:rPr>
        <w:t>里的S</w:t>
      </w:r>
      <w:r>
        <w:rPr>
          <w:color w:val="000000" w:themeColor="text1"/>
          <w:vertAlign w:val="superscript"/>
          <w14:textFill>
            <w14:solidFill>
              <w14:schemeClr w14:val="tx1"/>
            </w14:solidFill>
          </w14:textFill>
        </w:rPr>
        <w:t>2-</w:t>
      </w:r>
      <w:r>
        <w:rPr>
          <w:color w:val="000000" w:themeColor="text1"/>
          <w14:textFill>
            <w14:solidFill>
              <w14:schemeClr w14:val="tx1"/>
            </w14:solidFill>
          </w14:textFill>
        </w:rPr>
        <w:t>发生不可逆化学反应生成噻二嗪，从而达到</w:t>
      </w:r>
      <w:r>
        <w:rPr>
          <w:rFonts w:hint="eastAsia"/>
          <w:color w:val="000000" w:themeColor="text1"/>
          <w14:textFill>
            <w14:solidFill>
              <w14:schemeClr w14:val="tx1"/>
            </w14:solidFill>
          </w14:textFill>
        </w:rPr>
        <w:t>去</w:t>
      </w:r>
      <w:r>
        <w:rPr>
          <w:color w:val="000000" w:themeColor="text1"/>
          <w14:textFill>
            <w14:solidFill>
              <w14:schemeClr w14:val="tx1"/>
            </w14:solidFill>
          </w14:textFill>
        </w:rPr>
        <w:t>除天然气中H</w:t>
      </w:r>
      <w:r>
        <w:rPr>
          <w:color w:val="000000" w:themeColor="text1"/>
          <w:vertAlign w:val="subscript"/>
          <w14:textFill>
            <w14:solidFill>
              <w14:schemeClr w14:val="tx1"/>
            </w14:solidFill>
          </w14:textFill>
        </w:rPr>
        <w:t>2</w:t>
      </w:r>
      <w:r>
        <w:rPr>
          <w:color w:val="000000" w:themeColor="text1"/>
          <w14:textFill>
            <w14:solidFill>
              <w14:schemeClr w14:val="tx1"/>
            </w14:solidFill>
          </w14:textFill>
        </w:rPr>
        <w:t>S的目的。</w:t>
      </w:r>
      <w:r>
        <w:rPr>
          <w:rFonts w:hint="eastAsia" w:cs="宋体"/>
          <w:color w:val="000000" w:themeColor="text1"/>
          <w14:textFill>
            <w14:solidFill>
              <w14:schemeClr w14:val="tx1"/>
            </w14:solidFill>
          </w14:textFill>
        </w:rPr>
        <w:t>该除硫剂及其脱硫产物均为水溶性液体，安全性高，而且不需回收，同采出物由管线管输至页岩油联合站进行处理。井场不储存除硫剂，由工作人员根据每个除硫加药装置除硫剂的使用情况进行添加。除硫剂技术指标见表3.2-15。本项目除硫剂消耗量为</w:t>
      </w:r>
      <w:bookmarkStart w:id="289" w:name="OLE_LINK95"/>
      <w:r>
        <w:rPr>
          <w:rFonts w:hint="eastAsia" w:cs="宋体"/>
          <w:color w:val="000000" w:themeColor="text1"/>
          <w14:textFill>
            <w14:solidFill>
              <w14:schemeClr w14:val="tx1"/>
            </w14:solidFill>
          </w14:textFill>
        </w:rPr>
        <w:t>6750m</w:t>
      </w:r>
      <w:r>
        <w:rPr>
          <w:rFonts w:hint="eastAsia" w:cs="宋体"/>
          <w:color w:val="000000" w:themeColor="text1"/>
          <w:vertAlign w:val="superscript"/>
          <w14:textFill>
            <w14:solidFill>
              <w14:schemeClr w14:val="tx1"/>
            </w14:solidFill>
          </w14:textFill>
        </w:rPr>
        <w:t>3</w:t>
      </w:r>
      <w:r>
        <w:rPr>
          <w:rFonts w:hint="eastAsia" w:cs="宋体"/>
          <w:color w:val="000000" w:themeColor="text1"/>
          <w14:textFill>
            <w14:solidFill>
              <w14:schemeClr w14:val="tx1"/>
            </w14:solidFill>
          </w14:textFill>
        </w:rPr>
        <w:t>/a。</w:t>
      </w:r>
      <w:bookmarkEnd w:id="289"/>
    </w:p>
    <w:p w14:paraId="70CDCBEC">
      <w:pPr>
        <w:pStyle w:val="117"/>
        <w:adjustRightInd w:val="0"/>
        <w:snapToGrid w:val="0"/>
        <w:ind w:firstLine="0" w:firstLineChars="0"/>
        <w:jc w:val="center"/>
        <w:rPr>
          <w:rFonts w:hint="eastAsia"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表3.2-15  硫化氢处理剂技术指标</w:t>
      </w:r>
    </w:p>
    <w:tbl>
      <w:tblPr>
        <w:tblStyle w:val="51"/>
        <w:tblW w:w="4999"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521"/>
        <w:gridCol w:w="4423"/>
      </w:tblGrid>
      <w:tr w14:paraId="7A448EB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27" w:type="pct"/>
            <w:vAlign w:val="center"/>
          </w:tcPr>
          <w:p w14:paraId="221509FB">
            <w:pPr>
              <w:pStyle w:val="286"/>
              <w:adjustRightInd w:val="0"/>
              <w:snapToGrid w:val="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项目</w:t>
            </w:r>
          </w:p>
        </w:tc>
        <w:tc>
          <w:tcPr>
            <w:tcW w:w="2472" w:type="pct"/>
            <w:vAlign w:val="center"/>
          </w:tcPr>
          <w:p w14:paraId="1C2CB5BB">
            <w:pPr>
              <w:pStyle w:val="286"/>
              <w:adjustRightInd w:val="0"/>
              <w:snapToGrid w:val="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指标</w:t>
            </w:r>
          </w:p>
        </w:tc>
      </w:tr>
      <w:tr w14:paraId="077C6E7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27" w:type="pct"/>
            <w:vAlign w:val="center"/>
          </w:tcPr>
          <w:p w14:paraId="3323DCC5">
            <w:pPr>
              <w:pStyle w:val="286"/>
              <w:adjustRightInd w:val="0"/>
              <w:snapToGrid w:val="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外观</w:t>
            </w:r>
          </w:p>
        </w:tc>
        <w:tc>
          <w:tcPr>
            <w:tcW w:w="2472" w:type="pct"/>
            <w:vAlign w:val="center"/>
          </w:tcPr>
          <w:p w14:paraId="01D946C4">
            <w:pPr>
              <w:pStyle w:val="286"/>
              <w:adjustRightInd w:val="0"/>
              <w:snapToGrid w:val="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均匀液体</w:t>
            </w:r>
          </w:p>
        </w:tc>
      </w:tr>
      <w:tr w14:paraId="598FAA0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27" w:type="pct"/>
            <w:vAlign w:val="center"/>
          </w:tcPr>
          <w:p w14:paraId="4BA6E450">
            <w:pPr>
              <w:pStyle w:val="286"/>
              <w:adjustRightInd w:val="0"/>
              <w:snapToGrid w:val="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pH值</w:t>
            </w:r>
          </w:p>
        </w:tc>
        <w:tc>
          <w:tcPr>
            <w:tcW w:w="2472" w:type="pct"/>
            <w:vAlign w:val="center"/>
          </w:tcPr>
          <w:p w14:paraId="5C919F0D">
            <w:pPr>
              <w:pStyle w:val="286"/>
              <w:adjustRightInd w:val="0"/>
              <w:snapToGrid w:val="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6.0～9.0</w:t>
            </w:r>
          </w:p>
        </w:tc>
      </w:tr>
      <w:tr w14:paraId="5E0E212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27" w:type="pct"/>
            <w:vAlign w:val="center"/>
          </w:tcPr>
          <w:p w14:paraId="777A0B54">
            <w:pPr>
              <w:pStyle w:val="286"/>
              <w:adjustRightInd w:val="0"/>
              <w:snapToGrid w:val="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密度（</w:t>
            </w:r>
            <w:r>
              <w:rPr>
                <w:color w:val="000000" w:themeColor="text1"/>
                <w14:textFill>
                  <w14:solidFill>
                    <w14:schemeClr w14:val="tx1"/>
                  </w14:solidFill>
                </w14:textFill>
              </w:rPr>
              <w:t>20℃），g/cm</w:t>
            </w:r>
            <w:r>
              <w:rPr>
                <w:color w:val="000000" w:themeColor="text1"/>
                <w:vertAlign w:val="superscript"/>
                <w14:textFill>
                  <w14:solidFill>
                    <w14:schemeClr w14:val="tx1"/>
                  </w14:solidFill>
                </w14:textFill>
              </w:rPr>
              <w:t>3</w:t>
            </w:r>
          </w:p>
        </w:tc>
        <w:tc>
          <w:tcPr>
            <w:tcW w:w="2472" w:type="pct"/>
            <w:vAlign w:val="center"/>
          </w:tcPr>
          <w:p w14:paraId="20119858">
            <w:pPr>
              <w:pStyle w:val="286"/>
              <w:adjustRightInd w:val="0"/>
              <w:snapToGrid w:val="0"/>
              <w:rPr>
                <w:rFonts w:hint="eastAsia"/>
                <w:color w:val="000000" w:themeColor="text1"/>
                <w14:textFill>
                  <w14:solidFill>
                    <w14:schemeClr w14:val="tx1"/>
                  </w14:solidFill>
                </w14:textFill>
              </w:rPr>
            </w:pPr>
            <w:r>
              <w:rPr>
                <w:color w:val="000000" w:themeColor="text1"/>
                <w14:textFill>
                  <w14:solidFill>
                    <w14:schemeClr w14:val="tx1"/>
                  </w14:solidFill>
                </w14:textFill>
              </w:rPr>
              <w:t>1.0</w:t>
            </w:r>
            <w:r>
              <w:rPr>
                <w:rFonts w:hint="eastAsia"/>
                <w:color w:val="000000" w:themeColor="text1"/>
                <w14:textFill>
                  <w14:solidFill>
                    <w14:schemeClr w14:val="tx1"/>
                  </w14:solidFill>
                </w14:textFill>
              </w:rPr>
              <w:t>0</w:t>
            </w:r>
            <w:r>
              <w:rPr>
                <w:color w:val="000000" w:themeColor="text1"/>
                <w14:textFill>
                  <w14:solidFill>
                    <w14:schemeClr w14:val="tx1"/>
                  </w14:solidFill>
                </w14:textFill>
              </w:rPr>
              <w:t>～1.2</w:t>
            </w:r>
            <w:r>
              <w:rPr>
                <w:rFonts w:hint="eastAsia"/>
                <w:color w:val="000000" w:themeColor="text1"/>
                <w14:textFill>
                  <w14:solidFill>
                    <w14:schemeClr w14:val="tx1"/>
                  </w14:solidFill>
                </w14:textFill>
              </w:rPr>
              <w:t>0</w:t>
            </w:r>
          </w:p>
        </w:tc>
      </w:tr>
      <w:tr w14:paraId="2382A43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27" w:type="pct"/>
            <w:vAlign w:val="center"/>
          </w:tcPr>
          <w:p w14:paraId="5F1A2C41">
            <w:pPr>
              <w:pStyle w:val="286"/>
              <w:adjustRightInd w:val="0"/>
              <w:snapToGrid w:val="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残余硫化氢，mg/m</w:t>
            </w:r>
            <w:r>
              <w:rPr>
                <w:rFonts w:hint="eastAsia"/>
                <w:color w:val="000000" w:themeColor="text1"/>
                <w:vertAlign w:val="superscript"/>
                <w14:textFill>
                  <w14:solidFill>
                    <w14:schemeClr w14:val="tx1"/>
                  </w14:solidFill>
                </w14:textFill>
              </w:rPr>
              <w:t>3</w:t>
            </w:r>
          </w:p>
        </w:tc>
        <w:tc>
          <w:tcPr>
            <w:tcW w:w="2472" w:type="pct"/>
            <w:vAlign w:val="center"/>
          </w:tcPr>
          <w:p w14:paraId="0A20B313">
            <w:pPr>
              <w:pStyle w:val="286"/>
              <w:adjustRightInd w:val="0"/>
              <w:snapToGrid w:val="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≤5</w:t>
            </w:r>
          </w:p>
        </w:tc>
      </w:tr>
      <w:tr w14:paraId="75E3621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27" w:type="pct"/>
            <w:vAlign w:val="center"/>
          </w:tcPr>
          <w:p w14:paraId="65E384CF">
            <w:pPr>
              <w:pStyle w:val="286"/>
              <w:adjustRightInd w:val="0"/>
              <w:snapToGrid w:val="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可溶性硫化物去除率，%</w:t>
            </w:r>
          </w:p>
        </w:tc>
        <w:tc>
          <w:tcPr>
            <w:tcW w:w="2472" w:type="pct"/>
            <w:vAlign w:val="center"/>
          </w:tcPr>
          <w:p w14:paraId="646AF26E">
            <w:pPr>
              <w:pStyle w:val="286"/>
              <w:adjustRightInd w:val="0"/>
              <w:snapToGrid w:val="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≥95</w:t>
            </w:r>
          </w:p>
        </w:tc>
      </w:tr>
      <w:tr w14:paraId="45F41F7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27" w:type="pct"/>
            <w:vAlign w:val="center"/>
          </w:tcPr>
          <w:p w14:paraId="2F37F1EA">
            <w:pPr>
              <w:pStyle w:val="286"/>
              <w:adjustRightInd w:val="0"/>
              <w:snapToGrid w:val="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硫容，mg/L</w:t>
            </w:r>
          </w:p>
        </w:tc>
        <w:tc>
          <w:tcPr>
            <w:tcW w:w="2472" w:type="pct"/>
            <w:vAlign w:val="center"/>
          </w:tcPr>
          <w:p w14:paraId="10486FC2">
            <w:pPr>
              <w:pStyle w:val="286"/>
              <w:adjustRightInd w:val="0"/>
              <w:snapToGrid w:val="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≥50</w:t>
            </w:r>
          </w:p>
        </w:tc>
      </w:tr>
    </w:tbl>
    <w:p w14:paraId="41682F10">
      <w:pPr>
        <w:adjustRightInd w:val="0"/>
        <w:snapToGrid w:val="0"/>
        <w:spacing w:line="500" w:lineRule="exact"/>
        <w:ind w:firstLine="480" w:firstLineChars="200"/>
        <w:rPr>
          <w:rFonts w:hint="eastAsia"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※除硫工艺</w:t>
      </w:r>
    </w:p>
    <w:p w14:paraId="54E244F0">
      <w:pPr>
        <w:adjustRightInd w:val="0"/>
        <w:snapToGrid w:val="0"/>
        <w:spacing w:line="500" w:lineRule="exact"/>
        <w:ind w:firstLine="480" w:firstLineChars="200"/>
        <w:rPr>
          <w:rFonts w:hint="eastAsia"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本项目采用连续加药除硫工艺，除硫剂通过加药撬加入井口采出物中，能够有效清除硫化氢井的H</w:t>
      </w:r>
      <w:r>
        <w:rPr>
          <w:rFonts w:hint="eastAsia" w:ascii="宋体" w:hAnsi="宋体" w:cs="宋体"/>
          <w:color w:val="000000" w:themeColor="text1"/>
          <w:sz w:val="24"/>
          <w:szCs w:val="24"/>
          <w:vertAlign w:val="subscript"/>
          <w14:textFill>
            <w14:solidFill>
              <w14:schemeClr w14:val="tx1"/>
            </w14:solidFill>
          </w14:textFill>
        </w:rPr>
        <w:t>2</w:t>
      </w:r>
      <w:r>
        <w:rPr>
          <w:rFonts w:hint="eastAsia" w:ascii="宋体" w:hAnsi="宋体" w:cs="宋体"/>
          <w:color w:val="000000" w:themeColor="text1"/>
          <w:sz w:val="24"/>
          <w:szCs w:val="24"/>
          <w14:textFill>
            <w14:solidFill>
              <w14:schemeClr w14:val="tx1"/>
            </w14:solidFill>
          </w14:textFill>
        </w:rPr>
        <w:t>S气体，井口H</w:t>
      </w:r>
      <w:r>
        <w:rPr>
          <w:rFonts w:hint="eastAsia" w:ascii="宋体" w:hAnsi="宋体" w:cs="宋体"/>
          <w:color w:val="000000" w:themeColor="text1"/>
          <w:sz w:val="24"/>
          <w:szCs w:val="24"/>
          <w:vertAlign w:val="subscript"/>
          <w14:textFill>
            <w14:solidFill>
              <w14:schemeClr w14:val="tx1"/>
            </w14:solidFill>
          </w14:textFill>
        </w:rPr>
        <w:t>2</w:t>
      </w:r>
      <w:r>
        <w:rPr>
          <w:rFonts w:hint="eastAsia" w:ascii="宋体" w:hAnsi="宋体" w:cs="宋体"/>
          <w:color w:val="000000" w:themeColor="text1"/>
          <w:sz w:val="24"/>
          <w:szCs w:val="24"/>
          <w14:textFill>
            <w14:solidFill>
              <w14:schemeClr w14:val="tx1"/>
            </w14:solidFill>
          </w14:textFill>
        </w:rPr>
        <w:t>S浓度低于安全限值，含除硫剂的采出物管输至预处理注入站进行预处理，最终管输至页岩油联合站处理。</w:t>
      </w:r>
    </w:p>
    <w:p w14:paraId="077B9A03">
      <w:pPr>
        <w:pStyle w:val="117"/>
        <w:adjustRightInd w:val="0"/>
        <w:snapToGrid w:val="0"/>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脱硫过程中无废气、废水和噪声产生，固体废物主要为废脱硫剂包装物。</w:t>
      </w:r>
    </w:p>
    <w:p w14:paraId="2BD00B01">
      <w:pPr>
        <w:pStyle w:val="117"/>
        <w:adjustRightInd w:val="0"/>
        <w:snapToGrid w:val="0"/>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③CO</w:t>
      </w:r>
      <w:r>
        <w:rPr>
          <w:rFonts w:hint="eastAsia"/>
          <w:color w:val="000000" w:themeColor="text1"/>
          <w:vertAlign w:val="subscript"/>
          <w14:textFill>
            <w14:solidFill>
              <w14:schemeClr w14:val="tx1"/>
            </w14:solidFill>
          </w14:textFill>
        </w:rPr>
        <w:t>2</w:t>
      </w:r>
      <w:r>
        <w:rPr>
          <w:rFonts w:hint="eastAsia"/>
          <w:color w:val="000000" w:themeColor="text1"/>
          <w14:textFill>
            <w14:solidFill>
              <w14:schemeClr w14:val="tx1"/>
            </w14:solidFill>
          </w14:textFill>
        </w:rPr>
        <w:t>注入工艺</w:t>
      </w:r>
    </w:p>
    <w:p w14:paraId="6742FBC1">
      <w:pPr>
        <w:pStyle w:val="117"/>
        <w:adjustRightInd w:val="0"/>
        <w:snapToGrid w:val="0"/>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CO</w:t>
      </w:r>
      <w:r>
        <w:rPr>
          <w:rFonts w:hint="eastAsia"/>
          <w:color w:val="000000" w:themeColor="text1"/>
          <w:vertAlign w:val="subscript"/>
          <w14:textFill>
            <w14:solidFill>
              <w14:schemeClr w14:val="tx1"/>
            </w14:solidFill>
          </w14:textFill>
        </w:rPr>
        <w:t>2</w:t>
      </w:r>
      <w:r>
        <w:rPr>
          <w:rFonts w:hint="eastAsia"/>
          <w:color w:val="000000" w:themeColor="text1"/>
          <w14:textFill>
            <w14:solidFill>
              <w14:schemeClr w14:val="tx1"/>
            </w14:solidFill>
          </w14:textFill>
        </w:rPr>
        <w:t>注入采用单泵单井增压注入工艺，具体工艺流程为：罐车拉运的液相CO</w:t>
      </w:r>
      <w:r>
        <w:rPr>
          <w:rFonts w:hint="eastAsia"/>
          <w:color w:val="000000" w:themeColor="text1"/>
          <w:vertAlign w:val="subscript"/>
          <w14:textFill>
            <w14:solidFill>
              <w14:schemeClr w14:val="tx1"/>
            </w14:solidFill>
          </w14:textFill>
        </w:rPr>
        <w:t>2</w:t>
      </w:r>
      <w:r>
        <w:rPr>
          <w:rFonts w:hint="eastAsia"/>
          <w:color w:val="000000" w:themeColor="text1"/>
          <w14:textFill>
            <w14:solidFill>
              <w14:schemeClr w14:val="tx1"/>
            </w14:solidFill>
          </w14:textFill>
        </w:rPr>
        <w:t>卸至</w:t>
      </w:r>
      <w:bookmarkStart w:id="290" w:name="OLE_LINK30"/>
      <w:r>
        <w:rPr>
          <w:rFonts w:hint="eastAsia"/>
          <w:color w:val="000000" w:themeColor="text1"/>
          <w14:textFill>
            <w14:solidFill>
              <w14:schemeClr w14:val="tx1"/>
            </w14:solidFill>
          </w14:textFill>
        </w:rPr>
        <w:t>液相CO</w:t>
      </w:r>
      <w:r>
        <w:rPr>
          <w:rFonts w:hint="eastAsia"/>
          <w:color w:val="000000" w:themeColor="text1"/>
          <w:vertAlign w:val="subscript"/>
          <w14:textFill>
            <w14:solidFill>
              <w14:schemeClr w14:val="tx1"/>
            </w14:solidFill>
          </w14:textFill>
        </w:rPr>
        <w:t>2</w:t>
      </w:r>
      <w:bookmarkEnd w:id="290"/>
      <w:r>
        <w:rPr>
          <w:rFonts w:hint="eastAsia"/>
          <w:color w:val="000000" w:themeColor="text1"/>
          <w14:textFill>
            <w14:solidFill>
              <w14:schemeClr w14:val="tx1"/>
            </w14:solidFill>
          </w14:textFill>
        </w:rPr>
        <w:t>储罐，再由泵将液相CO</w:t>
      </w:r>
      <w:r>
        <w:rPr>
          <w:rFonts w:hint="eastAsia"/>
          <w:color w:val="000000" w:themeColor="text1"/>
          <w:vertAlign w:val="subscript"/>
          <w14:textFill>
            <w14:solidFill>
              <w14:schemeClr w14:val="tx1"/>
            </w14:solidFill>
          </w14:textFill>
        </w:rPr>
        <w:t>2</w:t>
      </w:r>
      <w:r>
        <w:rPr>
          <w:rFonts w:hint="eastAsia"/>
          <w:color w:val="000000" w:themeColor="text1"/>
          <w14:textFill>
            <w14:solidFill>
              <w14:schemeClr w14:val="tx1"/>
            </w14:solidFill>
          </w14:textFill>
        </w:rPr>
        <w:t>注入井内。</w:t>
      </w:r>
    </w:p>
    <w:p w14:paraId="0FC10584">
      <w:pPr>
        <w:pStyle w:val="117"/>
        <w:adjustRightInd w:val="0"/>
        <w:snapToGrid w:val="0"/>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④预处理注入站工艺</w:t>
      </w:r>
    </w:p>
    <w:p w14:paraId="7AFD49BA">
      <w:pPr>
        <w:pStyle w:val="117"/>
        <w:snapToGrid w:val="0"/>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※主体工艺：集油区来气液（</w:t>
      </w:r>
      <w:r>
        <w:rPr>
          <w:color w:val="000000" w:themeColor="text1"/>
          <w14:textFill>
            <w14:solidFill>
              <w14:schemeClr w14:val="tx1"/>
            </w14:solidFill>
          </w14:textFill>
        </w:rPr>
        <w:t>Q</w:t>
      </w:r>
      <w:r>
        <w:rPr>
          <w:rFonts w:hint="eastAsia"/>
          <w:color w:val="000000" w:themeColor="text1"/>
          <w:vertAlign w:val="subscript"/>
          <w14:textFill>
            <w14:solidFill>
              <w14:schemeClr w14:val="tx1"/>
            </w14:solidFill>
          </w14:textFill>
        </w:rPr>
        <w:t>液</w:t>
      </w:r>
      <w:r>
        <w:rPr>
          <w:color w:val="000000" w:themeColor="text1"/>
          <w14:textFill>
            <w14:solidFill>
              <w14:schemeClr w14:val="tx1"/>
            </w14:solidFill>
          </w14:textFill>
        </w:rPr>
        <w:t>=263t/d</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Q</w:t>
      </w:r>
      <w:r>
        <w:rPr>
          <w:rFonts w:hint="eastAsia"/>
          <w:color w:val="000000" w:themeColor="text1"/>
          <w:vertAlign w:val="subscript"/>
          <w14:textFill>
            <w14:solidFill>
              <w14:schemeClr w14:val="tx1"/>
            </w14:solidFill>
          </w14:textFill>
        </w:rPr>
        <w:t>气</w:t>
      </w:r>
      <w:r>
        <w:rPr>
          <w:color w:val="000000" w:themeColor="text1"/>
          <w14:textFill>
            <w14:solidFill>
              <w14:schemeClr w14:val="tx1"/>
            </w14:solidFill>
          </w14:textFill>
        </w:rPr>
        <w:t>=16533Nm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/d</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P=0.3</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0.35MPa</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T=30</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40</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CO</w:t>
      </w:r>
      <w:r>
        <w:rPr>
          <w:color w:val="000000" w:themeColor="text1"/>
          <w:vertAlign w:val="subscript"/>
          <w14:textFill>
            <w14:solidFill>
              <w14:schemeClr w14:val="tx1"/>
            </w14:solidFill>
          </w14:textFill>
        </w:rPr>
        <w:t>2</w:t>
      </w:r>
      <w:r>
        <w:rPr>
          <w:rFonts w:hint="eastAsia"/>
          <w:color w:val="000000" w:themeColor="text1"/>
          <w14:textFill>
            <w14:solidFill>
              <w14:schemeClr w14:val="tx1"/>
            </w14:solidFill>
          </w14:textFill>
        </w:rPr>
        <w:t>浓度</w:t>
      </w:r>
      <w:r>
        <w:rPr>
          <w:color w:val="000000" w:themeColor="text1"/>
          <w14:textFill>
            <w14:solidFill>
              <w14:schemeClr w14:val="tx1"/>
            </w14:solidFill>
          </w14:textFill>
        </w:rPr>
        <w:t>79.6%</w:t>
      </w:r>
      <w:r>
        <w:rPr>
          <w:rFonts w:hint="eastAsia"/>
          <w:color w:val="000000" w:themeColor="text1"/>
          <w14:textFill>
            <w14:solidFill>
              <w14:schemeClr w14:val="tx1"/>
            </w14:solidFill>
          </w14:textFill>
        </w:rPr>
        <w:t>）加入缓蚀剂后进入站内生产分离器进行气液分离，液相（</w:t>
      </w:r>
      <w:r>
        <w:rPr>
          <w:color w:val="000000" w:themeColor="text1"/>
          <w14:textFill>
            <w14:solidFill>
              <w14:schemeClr w14:val="tx1"/>
            </w14:solidFill>
          </w14:textFill>
        </w:rPr>
        <w:t>0.25</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0.3MPa</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30</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40</w:t>
      </w:r>
      <w:r>
        <w:rPr>
          <w:rFonts w:hint="eastAsia"/>
          <w:color w:val="000000" w:themeColor="text1"/>
          <w14:textFill>
            <w14:solidFill>
              <w14:schemeClr w14:val="tx1"/>
            </w14:solidFill>
          </w14:textFill>
        </w:rPr>
        <w:t>℃）通过转油泵增压至</w:t>
      </w:r>
      <w:r>
        <w:rPr>
          <w:color w:val="000000" w:themeColor="text1"/>
          <w14:textFill>
            <w14:solidFill>
              <w14:schemeClr w14:val="tx1"/>
            </w14:solidFill>
          </w14:textFill>
        </w:rPr>
        <w:t>0.6MPa</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0.9MPa</w:t>
      </w:r>
      <w:r>
        <w:rPr>
          <w:rFonts w:hint="eastAsia"/>
          <w:color w:val="000000" w:themeColor="text1"/>
          <w14:textFill>
            <w14:solidFill>
              <w14:schemeClr w14:val="tx1"/>
            </w14:solidFill>
          </w14:textFill>
        </w:rPr>
        <w:t>后，经加热（</w:t>
      </w:r>
      <w:r>
        <w:rPr>
          <w:color w:val="000000" w:themeColor="text1"/>
          <w14:textFill>
            <w14:solidFill>
              <w14:schemeClr w14:val="tx1"/>
            </w14:solidFill>
          </w14:textFill>
        </w:rPr>
        <w:t>T=40</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50</w:t>
      </w:r>
      <w:r>
        <w:rPr>
          <w:rFonts w:hint="eastAsia"/>
          <w:color w:val="000000" w:themeColor="text1"/>
          <w14:textFill>
            <w14:solidFill>
              <w14:schemeClr w14:val="tx1"/>
            </w14:solidFill>
          </w14:textFill>
        </w:rPr>
        <w:t>℃）、计量后输往</w:t>
      </w:r>
      <w:r>
        <w:rPr>
          <w:color w:val="000000" w:themeColor="text1"/>
          <w14:textFill>
            <w14:solidFill>
              <w14:schemeClr w14:val="tx1"/>
            </w14:solidFill>
          </w14:textFill>
        </w:rPr>
        <w:t>1</w:t>
      </w:r>
      <w:r>
        <w:rPr>
          <w:rFonts w:hint="eastAsia"/>
          <w:color w:val="000000" w:themeColor="text1"/>
          <w14:textFill>
            <w14:solidFill>
              <w14:schemeClr w14:val="tx1"/>
            </w14:solidFill>
          </w14:textFill>
        </w:rPr>
        <w:t>号混输站；分离出的气相进入除油器进一步除液，除油器出气（</w:t>
      </w:r>
      <w:r>
        <w:rPr>
          <w:color w:val="000000" w:themeColor="text1"/>
          <w14:textFill>
            <w14:solidFill>
              <w14:schemeClr w14:val="tx1"/>
            </w14:solidFill>
          </w14:textFill>
        </w:rPr>
        <w:t>Q</w:t>
      </w:r>
      <w:r>
        <w:rPr>
          <w:rFonts w:hint="eastAsia"/>
          <w:color w:val="000000" w:themeColor="text1"/>
          <w:vertAlign w:val="subscript"/>
          <w14:textFill>
            <w14:solidFill>
              <w14:schemeClr w14:val="tx1"/>
            </w14:solidFill>
          </w14:textFill>
        </w:rPr>
        <w:t>气</w:t>
      </w:r>
      <w:r>
        <w:rPr>
          <w:color w:val="000000" w:themeColor="text1"/>
          <w14:textFill>
            <w14:solidFill>
              <w14:schemeClr w14:val="tx1"/>
            </w14:solidFill>
          </w14:textFill>
        </w:rPr>
        <w:t>=16533Nm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/d</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P=0.25</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0.3MPa</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T=30</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40</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CO</w:t>
      </w:r>
      <w:r>
        <w:rPr>
          <w:color w:val="000000" w:themeColor="text1"/>
          <w:vertAlign w:val="subscript"/>
          <w14:textFill>
            <w14:solidFill>
              <w14:schemeClr w14:val="tx1"/>
            </w14:solidFill>
          </w14:textFill>
        </w:rPr>
        <w:t>2</w:t>
      </w:r>
      <w:r>
        <w:rPr>
          <w:rFonts w:hint="eastAsia"/>
          <w:color w:val="000000" w:themeColor="text1"/>
          <w14:textFill>
            <w14:solidFill>
              <w14:schemeClr w14:val="tx1"/>
            </w14:solidFill>
          </w14:textFill>
        </w:rPr>
        <w:t>浓度：</w:t>
      </w:r>
      <w:r>
        <w:rPr>
          <w:color w:val="000000" w:themeColor="text1"/>
          <w14:textFill>
            <w14:solidFill>
              <w14:schemeClr w14:val="tx1"/>
            </w14:solidFill>
          </w14:textFill>
        </w:rPr>
        <w:t>79.6%</w:t>
      </w:r>
      <w:r>
        <w:rPr>
          <w:rFonts w:hint="eastAsia"/>
          <w:color w:val="000000" w:themeColor="text1"/>
          <w14:textFill>
            <w14:solidFill>
              <w14:schemeClr w14:val="tx1"/>
            </w14:solidFill>
          </w14:textFill>
        </w:rPr>
        <w:t>）去分子筛脱水装置脱水，脱水后干气（水露点≤-40℃）经伴生气压缩机增压至5.1～5.5MPa、温度</w:t>
      </w:r>
      <w:r>
        <w:rPr>
          <w:color w:val="000000" w:themeColor="text1"/>
          <w14:textFill>
            <w14:solidFill>
              <w14:schemeClr w14:val="tx1"/>
            </w14:solidFill>
          </w14:textFill>
        </w:rPr>
        <w:t>50</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60</w:t>
      </w:r>
      <w:r>
        <w:rPr>
          <w:rFonts w:hint="eastAsia"/>
          <w:color w:val="000000" w:themeColor="text1"/>
          <w14:textFill>
            <w14:solidFill>
              <w14:schemeClr w14:val="tx1"/>
            </w14:solidFill>
          </w14:textFill>
        </w:rPr>
        <w:t>℃后经单井注气管线管输至采出气回注井回注。</w:t>
      </w:r>
    </w:p>
    <w:p w14:paraId="62026E49">
      <w:pPr>
        <w:pStyle w:val="117"/>
        <w:adjustRightInd w:val="0"/>
        <w:snapToGrid w:val="0"/>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事故流程：事故状态下，自动打开转输泵进、出口越站电动旁通阀，旁通阀与两相分离器液位进行联锁，采出液自压通过越站旁通直接出站去开除液器出口紧急放空阀，通过除液器气相稳压阀稳定两相分离器压力调整为0.9MPa。</w:t>
      </w:r>
    </w:p>
    <w:p w14:paraId="124DE155">
      <w:pPr>
        <w:pStyle w:val="117"/>
        <w:snapToGrid w:val="0"/>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※加药系统</w:t>
      </w:r>
    </w:p>
    <w:p w14:paraId="50CA2231">
      <w:pPr>
        <w:pStyle w:val="117"/>
        <w:snapToGrid w:val="0"/>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为减缓</w:t>
      </w:r>
      <w:r>
        <w:rPr>
          <w:color w:val="000000" w:themeColor="text1"/>
          <w14:textFill>
            <w14:solidFill>
              <w14:schemeClr w14:val="tx1"/>
            </w14:solidFill>
          </w14:textFill>
        </w:rPr>
        <w:t>CO</w:t>
      </w:r>
      <w:r>
        <w:rPr>
          <w:color w:val="000000" w:themeColor="text1"/>
          <w:vertAlign w:val="subscript"/>
          <w14:textFill>
            <w14:solidFill>
              <w14:schemeClr w14:val="tx1"/>
            </w14:solidFill>
          </w14:textFill>
        </w:rPr>
        <w:t>2</w:t>
      </w:r>
      <w:r>
        <w:rPr>
          <w:rFonts w:hint="eastAsia"/>
          <w:color w:val="000000" w:themeColor="text1"/>
          <w14:textFill>
            <w14:solidFill>
              <w14:schemeClr w14:val="tx1"/>
            </w14:solidFill>
          </w14:textFill>
        </w:rPr>
        <w:t>对预处理站及后端管线和设备的腐蚀，在站内加入缓蚀剂。</w:t>
      </w:r>
    </w:p>
    <w:p w14:paraId="758E80FF">
      <w:pPr>
        <w:pStyle w:val="117"/>
        <w:snapToGrid w:val="0"/>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※放空系统</w:t>
      </w:r>
    </w:p>
    <w:p w14:paraId="76F7B69C">
      <w:pPr>
        <w:pStyle w:val="117"/>
        <w:snapToGrid w:val="0"/>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放空系统主要用于排放生产分离器、除液器和压缩机组事故泄压状态安全阀排出的油田伴生气，站内来放空气先进入放空除液器除去伴生气中大于燃烧后放空。</w:t>
      </w:r>
    </w:p>
    <w:p w14:paraId="1825882B">
      <w:pPr>
        <w:pStyle w:val="117"/>
        <w:snapToGrid w:val="0"/>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※排污系统</w:t>
      </w:r>
    </w:p>
    <w:p w14:paraId="72E59915">
      <w:pPr>
        <w:pStyle w:val="117"/>
        <w:snapToGrid w:val="0"/>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排污系统用于收集站内各单位检维修过程的排污，设污油罐当液位达到设定值时自动启动污油泵，将污油罐内含水污油回掺至进站管汇。</w:t>
      </w:r>
    </w:p>
    <w:p w14:paraId="6D2EB50F">
      <w:pPr>
        <w:pStyle w:val="117"/>
        <w:adjustRightInd w:val="0"/>
        <w:snapToGrid w:val="0"/>
        <w:ind w:firstLine="480"/>
        <w:rPr>
          <w:rFonts w:hint="eastAsia"/>
          <w:color w:val="000000" w:themeColor="text1"/>
          <w14:textFill>
            <w14:solidFill>
              <w14:schemeClr w14:val="tx1"/>
            </w14:solidFill>
          </w14:textFill>
        </w:rPr>
      </w:pPr>
      <w:r>
        <w:rPr>
          <w:color w:val="000000" w:themeColor="text1"/>
          <w14:textFill>
            <w14:solidFill>
              <w14:schemeClr w14:val="tx1"/>
            </w14:solidFill>
          </w14:textFill>
        </w:rPr>
        <w:t>预处理</w:t>
      </w:r>
      <w:r>
        <w:rPr>
          <w:rFonts w:hint="eastAsia"/>
          <w:color w:val="000000" w:themeColor="text1"/>
          <w14:textFill>
            <w14:solidFill>
              <w14:schemeClr w14:val="tx1"/>
            </w14:solidFill>
          </w14:textFill>
        </w:rPr>
        <w:t>工艺及采出气回注</w:t>
      </w:r>
      <w:r>
        <w:rPr>
          <w:color w:val="000000" w:themeColor="text1"/>
          <w14:textFill>
            <w14:solidFill>
              <w14:schemeClr w14:val="tx1"/>
            </w14:solidFill>
          </w14:textFill>
        </w:rPr>
        <w:t>工艺流程见图</w:t>
      </w:r>
      <w:r>
        <w:rPr>
          <w:rFonts w:hint="eastAsia"/>
          <w:color w:val="000000" w:themeColor="text1"/>
          <w14:textFill>
            <w14:solidFill>
              <w14:schemeClr w14:val="tx1"/>
            </w14:solidFill>
          </w14:textFill>
        </w:rPr>
        <w:t>3.2-12</w:t>
      </w:r>
      <w:r>
        <w:rPr>
          <w:color w:val="000000" w:themeColor="text1"/>
          <w14:textFill>
            <w14:solidFill>
              <w14:schemeClr w14:val="tx1"/>
            </w14:solidFill>
          </w14:textFill>
        </w:rPr>
        <w:t>。</w:t>
      </w:r>
    </w:p>
    <w:p w14:paraId="5237DDCC">
      <w:pPr>
        <w:pStyle w:val="117"/>
        <w:adjustRightInd w:val="0"/>
        <w:snapToGrid w:val="0"/>
        <w:spacing w:line="360" w:lineRule="auto"/>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废气主要为油气处理过程中产生的无组织挥发性有机物和硫化氢；废水主要为装置排污水，固体废物主要为废分子筛、废润滑油、废油桶、沾油废防渗材料。</w:t>
      </w:r>
    </w:p>
    <w:bookmarkEnd w:id="287"/>
    <w:p w14:paraId="4444CCA0">
      <w:pPr>
        <w:pStyle w:val="117"/>
        <w:adjustRightInd w:val="0"/>
        <w:snapToGrid w:val="0"/>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⑤注水工艺流程及产污环节</w:t>
      </w:r>
    </w:p>
    <w:p w14:paraId="1E6AF716">
      <w:pPr>
        <w:pStyle w:val="117"/>
        <w:adjustRightInd w:val="0"/>
        <w:snapToGrid w:val="0"/>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注水水源由罐车拉运至井场，卸入转液罐中，由转液泵泵送至储液罐中，再由撬装泵泵送至注水井口进行回注，工艺流程及产污环境见图3.2-13。注水井井号分别为</w:t>
      </w:r>
      <w:r>
        <w:rPr>
          <w:color w:val="000000" w:themeColor="text1"/>
          <w14:textFill>
            <w14:solidFill>
              <w14:schemeClr w14:val="tx1"/>
            </w14:solidFill>
          </w14:textFill>
        </w:rPr>
        <w:t>JHW00421</w:t>
      </w:r>
      <w:r>
        <w:rPr>
          <w:rFonts w:hint="eastAsia"/>
          <w:color w:val="000000" w:themeColor="text1"/>
          <w14:textFill>
            <w14:solidFill>
              <w14:schemeClr w14:val="tx1"/>
            </w14:solidFill>
          </w14:textFill>
        </w:rPr>
        <w:t>和</w:t>
      </w:r>
      <w:r>
        <w:rPr>
          <w:color w:val="000000" w:themeColor="text1"/>
          <w14:textFill>
            <w14:solidFill>
              <w14:schemeClr w14:val="tx1"/>
            </w14:solidFill>
          </w14:textFill>
        </w:rPr>
        <w:t>JHW034</w:t>
      </w:r>
      <w:r>
        <w:rPr>
          <w:rFonts w:hint="eastAsia"/>
          <w:color w:val="000000" w:themeColor="text1"/>
          <w14:textFill>
            <w14:solidFill>
              <w14:schemeClr w14:val="tx1"/>
            </w14:solidFill>
          </w14:textFill>
        </w:rPr>
        <w:t>井，设计注水规模分别为140m</w:t>
      </w:r>
      <w:r>
        <w:rPr>
          <w:rFonts w:hint="eastAsia"/>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/d、90m</w:t>
      </w:r>
      <w:r>
        <w:rPr>
          <w:rFonts w:hint="eastAsia"/>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/d</w:t>
      </w:r>
    </w:p>
    <w:p w14:paraId="143E847C">
      <w:pPr>
        <w:pStyle w:val="117"/>
        <w:adjustRightInd w:val="0"/>
        <w:snapToGrid w:val="0"/>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（3）役期运营期工艺流程及环境影响因素分析</w:t>
      </w:r>
    </w:p>
    <w:p w14:paraId="3D6D34A8">
      <w:pPr>
        <w:pStyle w:val="117"/>
        <w:adjustRightInd w:val="0"/>
        <w:snapToGrid w:val="0"/>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退役期主要包括注采井和采出气回注井、预处理注入站各设备及其他公用工程等设施的拆除、清理等施工活动，管线封堵等。</w:t>
      </w:r>
      <w:bookmarkStart w:id="291" w:name="_Hlk160375431"/>
      <w:r>
        <w:rPr>
          <w:rFonts w:hint="eastAsia"/>
          <w:color w:val="000000" w:themeColor="text1"/>
          <w14:textFill>
            <w14:solidFill>
              <w14:schemeClr w14:val="tx1"/>
            </w14:solidFill>
          </w14:textFill>
        </w:rPr>
        <w:t>工艺及产污节点分析见图3.2-14。</w:t>
      </w:r>
    </w:p>
    <w:p w14:paraId="30BD34EE">
      <w:pPr>
        <w:pStyle w:val="191"/>
        <w:ind w:firstLine="480" w:firstLineChars="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退役期废气主要为施工扬尘、施工机械及车辆尾气、吹扫废水、噪声、建筑垃圾等。</w:t>
      </w:r>
    </w:p>
    <w:bookmarkEnd w:id="291"/>
    <w:p w14:paraId="65A44C5A">
      <w:pPr>
        <w:pStyle w:val="2"/>
        <w:ind w:left="0"/>
        <w:rPr>
          <w:rFonts w:hint="eastAsia"/>
          <w:color w:val="000000" w:themeColor="text1"/>
          <w14:textFill>
            <w14:solidFill>
              <w14:schemeClr w14:val="tx1"/>
            </w14:solidFill>
          </w14:textFill>
        </w:rPr>
      </w:pPr>
      <w:bookmarkStart w:id="292" w:name="_Toc216260246"/>
      <w:bookmarkStart w:id="293" w:name="_Hlk80182474"/>
      <w:r>
        <w:rPr>
          <w:rFonts w:hint="eastAsia"/>
          <w:color w:val="000000" w:themeColor="text1"/>
          <w14:textFill>
            <w14:solidFill>
              <w14:schemeClr w14:val="tx1"/>
            </w14:solidFill>
          </w14:textFill>
        </w:rPr>
        <w:t>污染源源强核算</w:t>
      </w:r>
      <w:bookmarkEnd w:id="292"/>
    </w:p>
    <w:bookmarkEnd w:id="293"/>
    <w:p w14:paraId="6B11F3E1">
      <w:pPr>
        <w:pStyle w:val="4"/>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施工期污染源源强核算</w:t>
      </w:r>
    </w:p>
    <w:p w14:paraId="2AC6011D">
      <w:pPr>
        <w:pStyle w:val="117"/>
        <w:spacing w:line="480" w:lineRule="exact"/>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（1）废气</w:t>
      </w:r>
    </w:p>
    <w:p w14:paraId="0925917A">
      <w:pPr>
        <w:pStyle w:val="117"/>
        <w:spacing w:line="480" w:lineRule="exact"/>
        <w:ind w:firstLine="480"/>
        <w:rPr>
          <w:rFonts w:hint="eastAsia" w:cs="Arial"/>
          <w:color w:val="000000" w:themeColor="text1"/>
          <w14:textFill>
            <w14:solidFill>
              <w14:schemeClr w14:val="tx1"/>
            </w14:solidFill>
          </w14:textFill>
        </w:rPr>
      </w:pPr>
      <w:r>
        <w:rPr>
          <w:rFonts w:hint="eastAsia" w:cs="Arial"/>
          <w:color w:val="000000" w:themeColor="text1"/>
          <w14:textFill>
            <w14:solidFill>
              <w14:schemeClr w14:val="tx1"/>
            </w14:solidFill>
          </w14:textFill>
        </w:rPr>
        <w:t>废气主要为施工扬尘、施工机械及车辆尾气</w:t>
      </w:r>
      <w:bookmarkStart w:id="294" w:name="OLE_LINK119"/>
      <w:r>
        <w:rPr>
          <w:rFonts w:hint="eastAsia" w:cs="Arial"/>
          <w:color w:val="000000" w:themeColor="text1"/>
          <w14:textFill>
            <w14:solidFill>
              <w14:schemeClr w14:val="tx1"/>
            </w14:solidFill>
          </w14:textFill>
        </w:rPr>
        <w:t>和焊接废气</w:t>
      </w:r>
      <w:bookmarkEnd w:id="294"/>
      <w:r>
        <w:rPr>
          <w:rFonts w:hint="eastAsia" w:cs="Arial"/>
          <w:color w:val="000000" w:themeColor="text1"/>
          <w14:textFill>
            <w14:solidFill>
              <w14:schemeClr w14:val="tx1"/>
            </w14:solidFill>
          </w14:textFill>
        </w:rPr>
        <w:t>。</w:t>
      </w:r>
    </w:p>
    <w:p w14:paraId="014AA3EE">
      <w:pPr>
        <w:pStyle w:val="117"/>
        <w:ind w:firstLine="480"/>
        <w:rPr>
          <w:rFonts w:hint="eastAsia"/>
          <w:snapToGrid w:val="0"/>
          <w:color w:val="000000" w:themeColor="text1"/>
          <w14:textFill>
            <w14:solidFill>
              <w14:schemeClr w14:val="tx1"/>
            </w14:solidFill>
          </w14:textFill>
        </w:rPr>
      </w:pPr>
      <w:r>
        <w:rPr>
          <w:rFonts w:hint="eastAsia"/>
          <w:color w:val="000000" w:themeColor="text1"/>
          <w14:textFill>
            <w14:solidFill>
              <w14:schemeClr w14:val="tx1"/>
            </w14:solidFill>
          </w14:textFill>
        </w:rPr>
        <w:t>①</w:t>
      </w:r>
      <w:r>
        <w:rPr>
          <w:rFonts w:hint="eastAsia"/>
          <w:snapToGrid w:val="0"/>
          <w:color w:val="000000" w:themeColor="text1"/>
          <w14:textFill>
            <w14:solidFill>
              <w14:schemeClr w14:val="tx1"/>
            </w14:solidFill>
          </w14:textFill>
        </w:rPr>
        <w:t>施工扬尘</w:t>
      </w:r>
    </w:p>
    <w:p w14:paraId="277F9430">
      <w:pPr>
        <w:pStyle w:val="117"/>
        <w:ind w:firstLine="480"/>
        <w:rPr>
          <w:rFonts w:hint="eastAsia" w:cs="宋体"/>
          <w:color w:val="000000" w:themeColor="text1"/>
          <w14:textFill>
            <w14:solidFill>
              <w14:schemeClr w14:val="tx1"/>
            </w14:solidFill>
          </w14:textFill>
        </w:rPr>
      </w:pPr>
      <w:r>
        <w:rPr>
          <w:rFonts w:hint="eastAsia"/>
          <w:color w:val="000000" w:themeColor="text1"/>
          <w14:textFill>
            <w14:solidFill>
              <w14:schemeClr w14:val="tx1"/>
            </w14:solidFill>
          </w14:textFill>
        </w:rPr>
        <w:t>扬尘主要来自施工场地的清理、平整，施工建筑材料、设备及管线的装卸、运输、堆放以及施工车辆运输，</w:t>
      </w:r>
      <w:r>
        <w:rPr>
          <w:rFonts w:hint="eastAsia" w:cs="宋体"/>
          <w:color w:val="000000" w:themeColor="text1"/>
          <w14:textFill>
            <w14:solidFill>
              <w14:schemeClr w14:val="tx1"/>
            </w14:solidFill>
          </w14:textFill>
        </w:rPr>
        <w:t>污染物主要为TSP。</w:t>
      </w:r>
    </w:p>
    <w:p w14:paraId="6464CE27">
      <w:pPr>
        <w:pStyle w:val="117"/>
        <w:ind w:firstLine="480"/>
        <w:rPr>
          <w:rFonts w:hint="eastAsia"/>
          <w:snapToGrid w:val="0"/>
          <w:color w:val="000000" w:themeColor="text1"/>
          <w14:textFill>
            <w14:solidFill>
              <w14:schemeClr w14:val="tx1"/>
            </w14:solidFill>
          </w14:textFill>
        </w:rPr>
      </w:pPr>
      <w:r>
        <w:rPr>
          <w:rFonts w:hint="eastAsia"/>
          <w:color w:val="000000" w:themeColor="text1"/>
          <w14:textFill>
            <w14:solidFill>
              <w14:schemeClr w14:val="tx1"/>
            </w14:solidFill>
          </w14:textFill>
        </w:rPr>
        <w:t>②</w:t>
      </w:r>
      <w:r>
        <w:rPr>
          <w:rFonts w:hint="eastAsia"/>
          <w:snapToGrid w:val="0"/>
          <w:color w:val="000000" w:themeColor="text1"/>
          <w14:textFill>
            <w14:solidFill>
              <w14:schemeClr w14:val="tx1"/>
            </w14:solidFill>
          </w14:textFill>
        </w:rPr>
        <w:t>施工机械及施工车辆尾气</w:t>
      </w:r>
    </w:p>
    <w:p w14:paraId="0A4595E9">
      <w:pPr>
        <w:pStyle w:val="117"/>
        <w:ind w:firstLine="480"/>
        <w:rPr>
          <w:rFonts w:hint="eastAsia"/>
          <w:color w:val="000000" w:themeColor="text1"/>
          <w14:textFill>
            <w14:solidFill>
              <w14:schemeClr w14:val="tx1"/>
            </w14:solidFill>
          </w14:textFill>
        </w:rPr>
      </w:pPr>
      <w:r>
        <w:rPr>
          <w:color w:val="000000" w:themeColor="text1"/>
          <w14:textFill>
            <w14:solidFill>
              <w14:schemeClr w14:val="tx1"/>
            </w14:solidFill>
          </w14:textFill>
        </w:rPr>
        <w:t>施工期各类</w:t>
      </w:r>
      <w:r>
        <w:rPr>
          <w:rFonts w:hint="eastAsia"/>
          <w:color w:val="000000" w:themeColor="text1"/>
          <w14:textFill>
            <w14:solidFill>
              <w14:schemeClr w14:val="tx1"/>
            </w14:solidFill>
          </w14:textFill>
        </w:rPr>
        <w:t>机械</w:t>
      </w:r>
      <w:r>
        <w:rPr>
          <w:color w:val="000000" w:themeColor="text1"/>
          <w14:textFill>
            <w14:solidFill>
              <w14:schemeClr w14:val="tx1"/>
            </w14:solidFill>
          </w14:textFill>
        </w:rPr>
        <w:t>及运输车辆较多，</w:t>
      </w:r>
      <w:r>
        <w:rPr>
          <w:rFonts w:hint="eastAsia"/>
          <w:color w:val="000000" w:themeColor="text1"/>
          <w14:textFill>
            <w14:solidFill>
              <w14:schemeClr w14:val="tx1"/>
            </w14:solidFill>
          </w14:textFill>
        </w:rPr>
        <w:t>车辆</w:t>
      </w:r>
      <w:r>
        <w:rPr>
          <w:color w:val="000000" w:themeColor="text1"/>
          <w14:textFill>
            <w14:solidFill>
              <w14:schemeClr w14:val="tx1"/>
            </w14:solidFill>
          </w14:textFill>
        </w:rPr>
        <w:t>排放的尾气会对大气环境造成一定污染</w:t>
      </w:r>
      <w:r>
        <w:rPr>
          <w:rFonts w:hint="eastAsia"/>
          <w:color w:val="000000" w:themeColor="text1"/>
          <w14:textFill>
            <w14:solidFill>
              <w14:schemeClr w14:val="tx1"/>
            </w14:solidFill>
          </w14:textFill>
        </w:rPr>
        <w:t>。</w:t>
      </w:r>
    </w:p>
    <w:p w14:paraId="2A94BE73">
      <w:pPr>
        <w:pStyle w:val="117"/>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③管线焊接废气</w:t>
      </w:r>
    </w:p>
    <w:p w14:paraId="275AFB19">
      <w:pPr>
        <w:pStyle w:val="117"/>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无缝钢管管道组对连接过程中将产生一定量的焊接烟尘，对周围大气环境产生一定的影响。但由于施工期短暂，区域大气环境扩散条件好，管线焊接废气对环境空气质量影响不大。</w:t>
      </w:r>
      <w:r>
        <w:rPr>
          <w:color w:val="000000" w:themeColor="text1"/>
          <w14:textFill>
            <w14:solidFill>
              <w14:schemeClr w14:val="tx1"/>
            </w14:solidFill>
          </w14:textFill>
        </w:rPr>
        <w:t xml:space="preserve"> </w:t>
      </w:r>
    </w:p>
    <w:p w14:paraId="685FC632">
      <w:pPr>
        <w:pStyle w:val="117"/>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（2）废水</w:t>
      </w:r>
    </w:p>
    <w:p w14:paraId="3D435D62">
      <w:pPr>
        <w:pStyle w:val="191"/>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施工期不设施工营地，无生活污水产生，废水主要为管道试压废水、混凝土养护废水和洗井废水。管道试压采用清水试压，从附近村庄拉运至施工区，根据新建管线管径计算出管道试压用水量约为12.4</w:t>
      </w:r>
      <w:r>
        <w:rPr>
          <w:color w:val="000000" w:themeColor="text1"/>
          <w14:textFill>
            <w14:solidFill>
              <w14:schemeClr w14:val="tx1"/>
            </w14:solidFill>
          </w14:textFill>
        </w:rPr>
        <w:t>m</w:t>
      </w:r>
      <w:r>
        <w:rPr>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；试压完毕后产生少量的试压废水，主要污染物为悬浮物，浓度在</w:t>
      </w:r>
      <w:r>
        <w:rPr>
          <w:color w:val="000000" w:themeColor="text1"/>
          <w14:textFill>
            <w14:solidFill>
              <w14:schemeClr w14:val="tx1"/>
            </w14:solidFill>
          </w14:textFill>
        </w:rPr>
        <w:t>40～60mg/L，产生的废水</w:t>
      </w:r>
      <w:bookmarkStart w:id="295" w:name="OLE_LINK40"/>
      <w:r>
        <w:rPr>
          <w:color w:val="000000" w:themeColor="text1"/>
          <w14:textFill>
            <w14:solidFill>
              <w14:schemeClr w14:val="tx1"/>
            </w14:solidFill>
          </w14:textFill>
        </w:rPr>
        <w:t>用于施工区域内的洒水降尘</w:t>
      </w:r>
      <w:bookmarkEnd w:id="295"/>
      <w:r>
        <w:rPr>
          <w:color w:val="000000" w:themeColor="text1"/>
          <w14:textFill>
            <w14:solidFill>
              <w14:schemeClr w14:val="tx1"/>
            </w14:solidFill>
          </w14:textFill>
        </w:rPr>
        <w:t>。</w:t>
      </w:r>
      <w:r>
        <w:rPr>
          <w:rFonts w:hint="eastAsia"/>
          <w:color w:val="000000" w:themeColor="text1"/>
          <w14:textFill>
            <w14:solidFill>
              <w14:schemeClr w14:val="tx1"/>
            </w14:solidFill>
          </w14:textFill>
        </w:rPr>
        <w:t>混凝土养护过程中会产生少量的混凝土养护废水，属于清净下水，自然蒸发处理；洗井废水排至专用储罐中，由罐车拉运至页岩油联合站压裂返排液处理装置处理。</w:t>
      </w:r>
    </w:p>
    <w:p w14:paraId="5C623DAF">
      <w:pPr>
        <w:pStyle w:val="117"/>
        <w:spacing w:line="480" w:lineRule="exact"/>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（3）噪声</w:t>
      </w:r>
    </w:p>
    <w:p w14:paraId="3FE54E8C">
      <w:pPr>
        <w:pStyle w:val="117"/>
        <w:spacing w:line="480" w:lineRule="exact"/>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噪声源主要为施工机械及施工车辆噪声，噪声级在</w:t>
      </w:r>
      <w:r>
        <w:rPr>
          <w:color w:val="000000" w:themeColor="text1"/>
          <w14:textFill>
            <w14:solidFill>
              <w14:schemeClr w14:val="tx1"/>
            </w14:solidFill>
          </w14:textFill>
        </w:rPr>
        <w:t>60</w:t>
      </w:r>
      <w:r>
        <w:rPr>
          <w:rFonts w:hint="eastAsia"/>
          <w:color w:val="000000" w:themeColor="text1"/>
          <w14:textFill>
            <w14:solidFill>
              <w14:schemeClr w14:val="tx1"/>
            </w14:solidFill>
          </w14:textFill>
        </w:rPr>
        <w:t>dB（A）～10</w:t>
      </w:r>
      <w:r>
        <w:rPr>
          <w:color w:val="000000" w:themeColor="text1"/>
          <w14:textFill>
            <w14:solidFill>
              <w14:schemeClr w14:val="tx1"/>
            </w14:solidFill>
          </w14:textFill>
        </w:rPr>
        <w:t>0</w:t>
      </w:r>
      <w:r>
        <w:rPr>
          <w:rFonts w:hint="eastAsia"/>
          <w:color w:val="000000" w:themeColor="text1"/>
          <w14:textFill>
            <w14:solidFill>
              <w14:schemeClr w14:val="tx1"/>
            </w14:solidFill>
          </w14:textFill>
        </w:rPr>
        <w:t>dB（A）之间。各噪声源噪声排放情况见表</w:t>
      </w:r>
      <w:r>
        <w:rPr>
          <w:color w:val="000000" w:themeColor="text1"/>
          <w14:textFill>
            <w14:solidFill>
              <w14:schemeClr w14:val="tx1"/>
            </w14:solidFill>
          </w14:textFill>
        </w:rPr>
        <w:t>3.3-1</w:t>
      </w:r>
      <w:r>
        <w:rPr>
          <w:rFonts w:hint="eastAsia"/>
          <w:color w:val="000000" w:themeColor="text1"/>
          <w14:textFill>
            <w14:solidFill>
              <w14:schemeClr w14:val="tx1"/>
            </w14:solidFill>
          </w14:textFill>
        </w:rPr>
        <w:t>。</w:t>
      </w:r>
    </w:p>
    <w:p w14:paraId="5B0320E2">
      <w:pPr>
        <w:pStyle w:val="109"/>
        <w:rPr>
          <w:rFonts w:hint="eastAsia"/>
          <w:color w:val="000000" w:themeColor="text1"/>
          <w14:textFill>
            <w14:solidFill>
              <w14:schemeClr w14:val="tx1"/>
            </w14:solidFill>
          </w14:textFill>
        </w:rPr>
      </w:pPr>
      <w:r>
        <w:rPr>
          <w:color w:val="000000" w:themeColor="text1"/>
          <w14:textFill>
            <w14:solidFill>
              <w14:schemeClr w14:val="tx1"/>
            </w14:solidFill>
          </w14:textFill>
        </w:rPr>
        <w:t>表3.3</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 xml:space="preserve">1  </w:t>
      </w:r>
      <w:bookmarkStart w:id="296" w:name="_Hlk117529678"/>
      <w:r>
        <w:rPr>
          <w:rFonts w:hint="eastAsia"/>
          <w:color w:val="000000" w:themeColor="text1"/>
          <w14:textFill>
            <w14:solidFill>
              <w14:schemeClr w14:val="tx1"/>
            </w14:solidFill>
          </w14:textFill>
        </w:rPr>
        <w:t>施工期噪声排放情况一览表</w:t>
      </w:r>
      <w:bookmarkEnd w:id="296"/>
    </w:p>
    <w:tbl>
      <w:tblPr>
        <w:tblStyle w:val="51"/>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1" w:type="dxa"/>
          <w:bottom w:w="0" w:type="dxa"/>
          <w:right w:w="11" w:type="dxa"/>
        </w:tblCellMar>
      </w:tblPr>
      <w:tblGrid>
        <w:gridCol w:w="1136"/>
        <w:gridCol w:w="1991"/>
        <w:gridCol w:w="994"/>
        <w:gridCol w:w="1278"/>
        <w:gridCol w:w="3353"/>
      </w:tblGrid>
      <w:tr w14:paraId="79344F7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1" w:type="dxa"/>
            <w:bottom w:w="0" w:type="dxa"/>
            <w:right w:w="11" w:type="dxa"/>
          </w:tblCellMar>
        </w:tblPrEx>
        <w:trPr>
          <w:cantSplit/>
          <w:trHeight w:val="340" w:hRule="atLeast"/>
          <w:jc w:val="center"/>
        </w:trPr>
        <w:tc>
          <w:tcPr>
            <w:tcW w:w="649" w:type="pct"/>
            <w:tcBorders>
              <w:right w:val="single" w:color="auto" w:sz="4" w:space="0"/>
            </w:tcBorders>
            <w:vAlign w:val="center"/>
          </w:tcPr>
          <w:p w14:paraId="221157A5">
            <w:pPr>
              <w:pStyle w:val="286"/>
              <w:adjustRightInd w:val="0"/>
              <w:snapToGrid w:val="0"/>
              <w:rPr>
                <w:rFonts w:hint="eastAsia"/>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噪声源名称</w:t>
            </w:r>
          </w:p>
        </w:tc>
        <w:tc>
          <w:tcPr>
            <w:tcW w:w="1137" w:type="pct"/>
            <w:tcBorders>
              <w:left w:val="single" w:color="auto" w:sz="4" w:space="0"/>
            </w:tcBorders>
            <w:vAlign w:val="center"/>
          </w:tcPr>
          <w:p w14:paraId="0E5C0ABE">
            <w:pPr>
              <w:pStyle w:val="286"/>
              <w:adjustRightInd w:val="0"/>
              <w:snapToGrid w:val="0"/>
              <w:rPr>
                <w:rFonts w:hint="eastAsia"/>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声功率级[dB（A）]</w:t>
            </w:r>
          </w:p>
        </w:tc>
        <w:tc>
          <w:tcPr>
            <w:tcW w:w="568" w:type="pct"/>
            <w:vAlign w:val="center"/>
          </w:tcPr>
          <w:p w14:paraId="7C14DE88">
            <w:pPr>
              <w:pStyle w:val="286"/>
              <w:adjustRightInd w:val="0"/>
              <w:snapToGrid w:val="0"/>
              <w:rPr>
                <w:rFonts w:hint="eastAsia"/>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排放规律</w:t>
            </w:r>
          </w:p>
        </w:tc>
        <w:tc>
          <w:tcPr>
            <w:tcW w:w="730" w:type="pct"/>
            <w:vAlign w:val="center"/>
          </w:tcPr>
          <w:p w14:paraId="47A9FA7F">
            <w:pPr>
              <w:pStyle w:val="286"/>
              <w:adjustRightInd w:val="0"/>
              <w:snapToGrid w:val="0"/>
              <w:rPr>
                <w:rFonts w:hint="eastAsia"/>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噪声特性</w:t>
            </w:r>
          </w:p>
        </w:tc>
        <w:tc>
          <w:tcPr>
            <w:tcW w:w="1915" w:type="pct"/>
            <w:vAlign w:val="center"/>
          </w:tcPr>
          <w:p w14:paraId="5EFBB3F9">
            <w:pPr>
              <w:pStyle w:val="286"/>
              <w:adjustRightInd w:val="0"/>
              <w:snapToGrid w:val="0"/>
              <w:rPr>
                <w:rFonts w:hint="eastAsia"/>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降噪措施</w:t>
            </w:r>
          </w:p>
        </w:tc>
      </w:tr>
      <w:tr w14:paraId="5EC0EE4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1" w:type="dxa"/>
            <w:bottom w:w="0" w:type="dxa"/>
            <w:right w:w="11" w:type="dxa"/>
          </w:tblCellMar>
        </w:tblPrEx>
        <w:trPr>
          <w:cantSplit/>
          <w:trHeight w:val="340" w:hRule="atLeast"/>
          <w:jc w:val="center"/>
        </w:trPr>
        <w:tc>
          <w:tcPr>
            <w:tcW w:w="649" w:type="pct"/>
            <w:tcBorders>
              <w:right w:val="single" w:color="auto" w:sz="4" w:space="0"/>
            </w:tcBorders>
            <w:vAlign w:val="center"/>
          </w:tcPr>
          <w:p w14:paraId="66DA6E29">
            <w:pPr>
              <w:pStyle w:val="286"/>
              <w:adjustRightInd w:val="0"/>
              <w:snapToGrid w:val="0"/>
              <w:rPr>
                <w:rFonts w:hint="eastAsia" w:cs="宋体"/>
                <w:color w:val="000000" w:themeColor="text1"/>
                <w:sz w:val="21"/>
                <w14:textFill>
                  <w14:solidFill>
                    <w14:schemeClr w14:val="tx1"/>
                  </w14:solidFill>
                </w14:textFill>
              </w:rPr>
            </w:pPr>
            <w:r>
              <w:rPr>
                <w:rFonts w:hint="eastAsia" w:cs="宋体"/>
                <w:color w:val="000000" w:themeColor="text1"/>
                <w:sz w:val="21"/>
                <w14:textFill>
                  <w14:solidFill>
                    <w14:schemeClr w14:val="tx1"/>
                  </w14:solidFill>
                </w14:textFill>
              </w:rPr>
              <w:t>施工机械</w:t>
            </w:r>
          </w:p>
        </w:tc>
        <w:tc>
          <w:tcPr>
            <w:tcW w:w="1137" w:type="pct"/>
            <w:vAlign w:val="center"/>
          </w:tcPr>
          <w:p w14:paraId="64C10F8E">
            <w:pPr>
              <w:pStyle w:val="286"/>
              <w:adjustRightInd w:val="0"/>
              <w:snapToGrid w:val="0"/>
              <w:rPr>
                <w:rFonts w:hint="eastAsia"/>
                <w:color w:val="000000" w:themeColor="text1"/>
                <w:sz w:val="21"/>
                <w14:textFill>
                  <w14:solidFill>
                    <w14:schemeClr w14:val="tx1"/>
                  </w14:solidFill>
                </w14:textFill>
              </w:rPr>
            </w:pPr>
            <w:r>
              <w:rPr>
                <w:rFonts w:hint="eastAsia" w:cs="宋体"/>
                <w:color w:val="000000" w:themeColor="text1"/>
                <w:sz w:val="21"/>
                <w14:textFill>
                  <w14:solidFill>
                    <w14:schemeClr w14:val="tx1"/>
                  </w14:solidFill>
                </w14:textFill>
              </w:rPr>
              <w:t>85～100</w:t>
            </w:r>
          </w:p>
        </w:tc>
        <w:tc>
          <w:tcPr>
            <w:tcW w:w="568" w:type="pct"/>
            <w:vAlign w:val="center"/>
          </w:tcPr>
          <w:p w14:paraId="5D7EB3AB">
            <w:pPr>
              <w:pStyle w:val="286"/>
              <w:adjustRightInd w:val="0"/>
              <w:snapToGrid w:val="0"/>
              <w:rPr>
                <w:rFonts w:hint="eastAsia"/>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间歇</w:t>
            </w:r>
          </w:p>
        </w:tc>
        <w:tc>
          <w:tcPr>
            <w:tcW w:w="730" w:type="pct"/>
            <w:vAlign w:val="center"/>
          </w:tcPr>
          <w:p w14:paraId="60BF9557">
            <w:pPr>
              <w:pStyle w:val="286"/>
              <w:adjustRightInd w:val="0"/>
              <w:snapToGrid w:val="0"/>
              <w:rPr>
                <w:rFonts w:hint="eastAsia"/>
                <w:color w:val="000000" w:themeColor="text1"/>
                <w:sz w:val="21"/>
                <w14:textFill>
                  <w14:solidFill>
                    <w14:schemeClr w14:val="tx1"/>
                  </w14:solidFill>
                </w14:textFill>
              </w:rPr>
            </w:pPr>
            <w:r>
              <w:rPr>
                <w:color w:val="000000" w:themeColor="text1"/>
                <w:sz w:val="21"/>
                <w14:textFill>
                  <w14:solidFill>
                    <w14:schemeClr w14:val="tx1"/>
                  </w14:solidFill>
                </w14:textFill>
              </w:rPr>
              <w:t>机械</w:t>
            </w:r>
          </w:p>
        </w:tc>
        <w:tc>
          <w:tcPr>
            <w:tcW w:w="1915" w:type="pct"/>
            <w:vAlign w:val="center"/>
          </w:tcPr>
          <w:p w14:paraId="30D10BDD">
            <w:pPr>
              <w:pStyle w:val="286"/>
              <w:adjustRightInd w:val="0"/>
              <w:snapToGrid w:val="0"/>
              <w:rPr>
                <w:rFonts w:hint="eastAsia"/>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设备选型上要求采用低噪声的设备，施工设备要经常检查维修，对噪声较大的设备采取基础减振措施</w:t>
            </w:r>
          </w:p>
        </w:tc>
      </w:tr>
      <w:tr w14:paraId="5D84982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1" w:type="dxa"/>
            <w:bottom w:w="0" w:type="dxa"/>
            <w:right w:w="11" w:type="dxa"/>
          </w:tblCellMar>
        </w:tblPrEx>
        <w:trPr>
          <w:cantSplit/>
          <w:trHeight w:val="340" w:hRule="atLeast"/>
          <w:jc w:val="center"/>
        </w:trPr>
        <w:tc>
          <w:tcPr>
            <w:tcW w:w="649" w:type="pct"/>
            <w:tcBorders>
              <w:right w:val="single" w:color="auto" w:sz="4" w:space="0"/>
            </w:tcBorders>
            <w:vAlign w:val="center"/>
          </w:tcPr>
          <w:p w14:paraId="2A82278F">
            <w:pPr>
              <w:pStyle w:val="286"/>
              <w:adjustRightInd w:val="0"/>
              <w:snapToGrid w:val="0"/>
              <w:rPr>
                <w:rFonts w:hint="eastAsia" w:cs="宋体"/>
                <w:color w:val="000000" w:themeColor="text1"/>
                <w:sz w:val="21"/>
                <w14:textFill>
                  <w14:solidFill>
                    <w14:schemeClr w14:val="tx1"/>
                  </w14:solidFill>
                </w14:textFill>
              </w:rPr>
            </w:pPr>
            <w:r>
              <w:rPr>
                <w:rFonts w:hint="eastAsia" w:cs="宋体"/>
                <w:color w:val="000000" w:themeColor="text1"/>
                <w:sz w:val="21"/>
                <w14:textFill>
                  <w14:solidFill>
                    <w14:schemeClr w14:val="tx1"/>
                  </w14:solidFill>
                </w14:textFill>
              </w:rPr>
              <w:t>施工车辆</w:t>
            </w:r>
          </w:p>
        </w:tc>
        <w:tc>
          <w:tcPr>
            <w:tcW w:w="1137" w:type="pct"/>
            <w:vAlign w:val="center"/>
          </w:tcPr>
          <w:p w14:paraId="5E3465E6">
            <w:pPr>
              <w:pStyle w:val="286"/>
              <w:adjustRightInd w:val="0"/>
              <w:snapToGrid w:val="0"/>
              <w:rPr>
                <w:rFonts w:hint="eastAsia" w:cs="宋体"/>
                <w:color w:val="000000" w:themeColor="text1"/>
                <w:sz w:val="21"/>
                <w14:textFill>
                  <w14:solidFill>
                    <w14:schemeClr w14:val="tx1"/>
                  </w14:solidFill>
                </w14:textFill>
              </w:rPr>
            </w:pPr>
            <w:r>
              <w:rPr>
                <w:color w:val="000000" w:themeColor="text1"/>
                <w:sz w:val="21"/>
                <w14:textFill>
                  <w14:solidFill>
                    <w14:schemeClr w14:val="tx1"/>
                  </w14:solidFill>
                </w14:textFill>
              </w:rPr>
              <w:t>60～90</w:t>
            </w:r>
          </w:p>
        </w:tc>
        <w:tc>
          <w:tcPr>
            <w:tcW w:w="568" w:type="pct"/>
            <w:vAlign w:val="center"/>
          </w:tcPr>
          <w:p w14:paraId="1B36174D">
            <w:pPr>
              <w:pStyle w:val="286"/>
              <w:adjustRightInd w:val="0"/>
              <w:snapToGrid w:val="0"/>
              <w:rPr>
                <w:rFonts w:hint="eastAsia"/>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间歇</w:t>
            </w:r>
          </w:p>
        </w:tc>
        <w:tc>
          <w:tcPr>
            <w:tcW w:w="730" w:type="pct"/>
            <w:vAlign w:val="center"/>
          </w:tcPr>
          <w:p w14:paraId="0528AA49">
            <w:pPr>
              <w:pStyle w:val="286"/>
              <w:adjustRightInd w:val="0"/>
              <w:snapToGrid w:val="0"/>
              <w:rPr>
                <w:rFonts w:hint="eastAsia"/>
                <w:color w:val="000000" w:themeColor="text1"/>
                <w:sz w:val="21"/>
                <w14:textFill>
                  <w14:solidFill>
                    <w14:schemeClr w14:val="tx1"/>
                  </w14:solidFill>
                </w14:textFill>
              </w:rPr>
            </w:pPr>
            <w:r>
              <w:rPr>
                <w:color w:val="000000" w:themeColor="text1"/>
                <w:sz w:val="21"/>
                <w14:textFill>
                  <w14:solidFill>
                    <w14:schemeClr w14:val="tx1"/>
                  </w14:solidFill>
                </w14:textFill>
              </w:rPr>
              <w:t>机械</w:t>
            </w:r>
          </w:p>
        </w:tc>
        <w:tc>
          <w:tcPr>
            <w:tcW w:w="1915" w:type="pct"/>
          </w:tcPr>
          <w:p w14:paraId="041966AC">
            <w:pPr>
              <w:pStyle w:val="286"/>
              <w:adjustRightInd w:val="0"/>
              <w:snapToGrid w:val="0"/>
              <w:rPr>
                <w:rFonts w:hint="eastAsia"/>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加强保养维修</w:t>
            </w:r>
          </w:p>
        </w:tc>
      </w:tr>
    </w:tbl>
    <w:p w14:paraId="42CD9E1B">
      <w:pPr>
        <w:pStyle w:val="117"/>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（4）固体废物</w:t>
      </w:r>
    </w:p>
    <w:p w14:paraId="65374367">
      <w:pPr>
        <w:pStyle w:val="117"/>
        <w:spacing w:line="520" w:lineRule="exact"/>
        <w:ind w:firstLine="480"/>
        <w:rPr>
          <w:rFonts w:hint="eastAsia"/>
          <w:bCs/>
          <w:color w:val="000000" w:themeColor="text1"/>
          <w14:textFill>
            <w14:solidFill>
              <w14:schemeClr w14:val="tx1"/>
            </w14:solidFill>
          </w14:textFill>
        </w:rPr>
      </w:pPr>
      <w:bookmarkStart w:id="297" w:name="_Hlk40734687"/>
      <w:r>
        <w:rPr>
          <w:rFonts w:hint="eastAsia"/>
          <w:bCs/>
          <w:color w:val="000000" w:themeColor="text1"/>
          <w14:textFill>
            <w14:solidFill>
              <w14:schemeClr w14:val="tx1"/>
            </w14:solidFill>
          </w14:textFill>
        </w:rPr>
        <w:t>施工期不设施工营地，无生活垃圾产生，施工产生的土石方全部回填，无弃方产生；固体废物主要为建筑垃圾</w:t>
      </w:r>
      <w:bookmarkStart w:id="298" w:name="OLE_LINK157"/>
      <w:r>
        <w:rPr>
          <w:rFonts w:hint="eastAsia"/>
          <w:bCs/>
          <w:color w:val="000000" w:themeColor="text1"/>
          <w14:textFill>
            <w14:solidFill>
              <w14:schemeClr w14:val="tx1"/>
            </w14:solidFill>
          </w14:textFill>
        </w:rPr>
        <w:t>和</w:t>
      </w:r>
      <w:r>
        <w:rPr>
          <w:rFonts w:hint="eastAsia"/>
          <w:color w:val="000000" w:themeColor="text1"/>
          <w14:textFill>
            <w14:solidFill>
              <w14:schemeClr w14:val="tx1"/>
            </w14:solidFill>
          </w14:textFill>
        </w:rPr>
        <w:t>通井、刮井时产生的含油废渣</w:t>
      </w:r>
      <w:r>
        <w:rPr>
          <w:rFonts w:hint="eastAsia"/>
          <w:bCs/>
          <w:color w:val="000000" w:themeColor="text1"/>
          <w14:textFill>
            <w14:solidFill>
              <w14:schemeClr w14:val="tx1"/>
            </w14:solidFill>
          </w14:textFill>
        </w:rPr>
        <w:t>，</w:t>
      </w:r>
      <w:bookmarkStart w:id="299" w:name="_Hlk111760850"/>
      <w:r>
        <w:rPr>
          <w:rFonts w:hint="eastAsia"/>
          <w:bCs/>
          <w:color w:val="000000" w:themeColor="text1"/>
          <w14:textFill>
            <w14:solidFill>
              <w14:schemeClr w14:val="tx1"/>
            </w14:solidFill>
          </w14:textFill>
        </w:rPr>
        <w:t>建筑垃圾主要为废边角料、废包装物等，产生量较少，集中收集后由施工单位清运，</w:t>
      </w:r>
      <w:r>
        <w:rPr>
          <w:rFonts w:hint="eastAsia" w:cs="宋体"/>
          <w:color w:val="000000" w:themeColor="text1"/>
          <w:lang w:val="zh-CN"/>
          <w14:textFill>
            <w14:solidFill>
              <w14:schemeClr w14:val="tx1"/>
            </w14:solidFill>
          </w14:textFill>
        </w:rPr>
        <w:t>根据</w:t>
      </w:r>
      <w:r>
        <w:rPr>
          <w:rFonts w:hint="eastAsia" w:cs="宋体"/>
          <w:color w:val="000000" w:themeColor="text1"/>
          <w14:textFill>
            <w14:solidFill>
              <w14:schemeClr w14:val="tx1"/>
            </w14:solidFill>
          </w14:textFill>
        </w:rPr>
        <w:t>《固体废物分类与代码目录》</w:t>
      </w:r>
      <w:r>
        <w:rPr>
          <w:rFonts w:hint="eastAsia" w:cs="宋体"/>
          <w:color w:val="000000" w:themeColor="text1"/>
          <w:lang w:val="zh-CN"/>
          <w14:textFill>
            <w14:solidFill>
              <w14:schemeClr w14:val="tx1"/>
            </w14:solidFill>
          </w14:textFill>
        </w:rPr>
        <w:t>可知</w:t>
      </w:r>
      <w:r>
        <w:rPr>
          <w:rFonts w:hint="eastAsia"/>
          <w:bCs/>
          <w:color w:val="000000" w:themeColor="text1"/>
          <w14:textFill>
            <w14:solidFill>
              <w14:schemeClr w14:val="tx1"/>
            </w14:solidFill>
          </w14:textFill>
        </w:rPr>
        <w:t>建筑垃圾废物代码为</w:t>
      </w:r>
      <w:r>
        <w:rPr>
          <w:bCs/>
          <w:color w:val="000000" w:themeColor="text1"/>
          <w14:textFill>
            <w14:solidFill>
              <w14:schemeClr w14:val="tx1"/>
            </w14:solidFill>
          </w14:textFill>
        </w:rPr>
        <w:t>900-</w:t>
      </w:r>
      <w:r>
        <w:rPr>
          <w:rFonts w:hint="eastAsia"/>
          <w:bCs/>
          <w:color w:val="000000" w:themeColor="text1"/>
          <w14:textFill>
            <w14:solidFill>
              <w14:schemeClr w14:val="tx1"/>
            </w14:solidFill>
          </w14:textFill>
        </w:rPr>
        <w:t>001</w:t>
      </w:r>
      <w:r>
        <w:rPr>
          <w:bCs/>
          <w:color w:val="000000" w:themeColor="text1"/>
          <w14:textFill>
            <w14:solidFill>
              <w14:schemeClr w14:val="tx1"/>
            </w14:solidFill>
          </w14:textFill>
        </w:rPr>
        <w:t>-</w:t>
      </w:r>
      <w:r>
        <w:rPr>
          <w:rFonts w:hint="eastAsia"/>
          <w:bCs/>
          <w:color w:val="000000" w:themeColor="text1"/>
          <w14:textFill>
            <w14:solidFill>
              <w14:schemeClr w14:val="tx1"/>
            </w14:solidFill>
          </w14:textFill>
        </w:rPr>
        <w:t>S72。</w:t>
      </w:r>
      <w:r>
        <w:rPr>
          <w:rFonts w:hint="eastAsia"/>
          <w:color w:val="000000" w:themeColor="text1"/>
          <w14:textFill>
            <w14:solidFill>
              <w14:schemeClr w14:val="tx1"/>
            </w14:solidFill>
          </w14:textFill>
        </w:rPr>
        <w:t>通井、刮井时产生的含油废渣属于《国家危险废物名录（2025年版）》HW08类废矿物油与含矿物油废物，废物代码为</w:t>
      </w:r>
      <w:r>
        <w:rPr>
          <w:color w:val="000000" w:themeColor="text1"/>
          <w14:textFill>
            <w14:solidFill>
              <w14:schemeClr w14:val="tx1"/>
            </w14:solidFill>
          </w14:textFill>
        </w:rPr>
        <w:t>900-249-08</w:t>
      </w:r>
      <w:r>
        <w:rPr>
          <w:rFonts w:hint="eastAsia"/>
          <w:color w:val="000000" w:themeColor="text1"/>
          <w14:textFill>
            <w14:solidFill>
              <w14:schemeClr w14:val="tx1"/>
            </w14:solidFill>
          </w14:textFill>
        </w:rPr>
        <w:t>，危险特性为</w:t>
      </w:r>
      <w:r>
        <w:rPr>
          <w:color w:val="000000" w:themeColor="text1"/>
          <w14:textFill>
            <w14:solidFill>
              <w14:schemeClr w14:val="tx1"/>
            </w14:solidFill>
          </w14:textFill>
        </w:rPr>
        <w:t>T</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I</w:t>
      </w:r>
      <w:r>
        <w:rPr>
          <w:rFonts w:hint="eastAsia"/>
          <w:color w:val="000000" w:themeColor="text1"/>
          <w14:textFill>
            <w14:solidFill>
              <w14:schemeClr w14:val="tx1"/>
            </w14:solidFill>
          </w14:textFill>
        </w:rPr>
        <w:t>，不在项目区暂存，临时暂存在吉祥联合站危险废物暂存间暂存，最终交由有相应危险废物处理资质的单位回收处置。</w:t>
      </w:r>
    </w:p>
    <w:bookmarkEnd w:id="297"/>
    <w:bookmarkEnd w:id="298"/>
    <w:bookmarkEnd w:id="299"/>
    <w:p w14:paraId="1421BF35">
      <w:pPr>
        <w:pStyle w:val="117"/>
        <w:spacing w:line="520" w:lineRule="exact"/>
        <w:ind w:firstLine="480"/>
        <w:rPr>
          <w:rFonts w:hint="eastAsia"/>
          <w:color w:val="000000" w:themeColor="text1"/>
          <w14:textFill>
            <w14:solidFill>
              <w14:schemeClr w14:val="tx1"/>
            </w14:solidFill>
          </w14:textFill>
        </w:rPr>
      </w:pPr>
      <w:bookmarkStart w:id="300" w:name="_Hlk160379837"/>
      <w:r>
        <w:rPr>
          <w:rFonts w:hint="eastAsia"/>
          <w:color w:val="000000" w:themeColor="text1"/>
          <w14:textFill>
            <w14:solidFill>
              <w14:schemeClr w14:val="tx1"/>
            </w14:solidFill>
          </w14:textFill>
        </w:rPr>
        <w:t>（5）生态影响分析</w:t>
      </w:r>
    </w:p>
    <w:bookmarkEnd w:id="300"/>
    <w:p w14:paraId="6DB1003C">
      <w:pPr>
        <w:pStyle w:val="117"/>
        <w:spacing w:line="520" w:lineRule="exact"/>
        <w:ind w:firstLine="480"/>
        <w:rPr>
          <w:rFonts w:hint="eastAsia"/>
          <w:bCs/>
          <w:color w:val="000000" w:themeColor="text1"/>
          <w14:textFill>
            <w14:solidFill>
              <w14:schemeClr w14:val="tx1"/>
            </w14:solidFill>
          </w14:textFill>
        </w:rPr>
      </w:pPr>
      <w:bookmarkStart w:id="301" w:name="_Hlk35693953"/>
      <w:bookmarkStart w:id="302" w:name="_Hlk147581732"/>
      <w:r>
        <w:rPr>
          <w:rFonts w:hint="eastAsia"/>
          <w:color w:val="000000" w:themeColor="text1"/>
          <w14:textFill>
            <w14:solidFill>
              <w14:schemeClr w14:val="tx1"/>
            </w14:solidFill>
          </w14:textFill>
        </w:rPr>
        <w:t>①</w:t>
      </w:r>
      <w:r>
        <w:rPr>
          <w:rFonts w:hint="eastAsia"/>
          <w:bCs/>
          <w:color w:val="000000" w:themeColor="text1"/>
          <w14:textFill>
            <w14:solidFill>
              <w14:schemeClr w14:val="tx1"/>
            </w14:solidFill>
          </w14:textFill>
        </w:rPr>
        <w:t>工程占地</w:t>
      </w:r>
    </w:p>
    <w:p w14:paraId="3A62EF8A">
      <w:pPr>
        <w:pStyle w:val="117"/>
        <w:spacing w:line="520" w:lineRule="exact"/>
        <w:ind w:firstLine="480"/>
        <w:rPr>
          <w:rFonts w:hint="eastAsia"/>
          <w:color w:val="000000" w:themeColor="text1"/>
          <w14:textFill>
            <w14:solidFill>
              <w14:schemeClr w14:val="tx1"/>
            </w14:solidFill>
          </w14:textFill>
        </w:rPr>
      </w:pPr>
      <w:bookmarkStart w:id="303" w:name="OLE_LINK154"/>
      <w:r>
        <w:rPr>
          <w:rFonts w:hint="eastAsia"/>
          <w:bCs/>
          <w:color w:val="000000" w:themeColor="text1"/>
          <w14:textFill>
            <w14:solidFill>
              <w14:schemeClr w14:val="tx1"/>
            </w14:solidFill>
          </w14:textFill>
        </w:rPr>
        <w:t>本项目部署井均为老井利用，井场占地已进行过环境影响评价，本次不再重复计算，本次工程占地主要为</w:t>
      </w:r>
      <w:bookmarkStart w:id="304" w:name="OLE_LINK215"/>
      <w:r>
        <w:rPr>
          <w:rFonts w:hint="eastAsia"/>
          <w:bCs/>
          <w:color w:val="000000" w:themeColor="text1"/>
          <w14:textFill>
            <w14:solidFill>
              <w14:schemeClr w14:val="tx1"/>
            </w14:solidFill>
          </w14:textFill>
        </w:rPr>
        <w:t>1号计量站、预处理注入站（包括2号计量站）</w:t>
      </w:r>
      <w:bookmarkEnd w:id="304"/>
      <w:r>
        <w:rPr>
          <w:rFonts w:hint="eastAsia"/>
          <w:bCs/>
          <w:color w:val="000000" w:themeColor="text1"/>
          <w14:textFill>
            <w14:solidFill>
              <w14:schemeClr w14:val="tx1"/>
            </w14:solidFill>
          </w14:textFill>
        </w:rPr>
        <w:t>、单井采油管线、集油干线</w:t>
      </w:r>
      <w:bookmarkStart w:id="305" w:name="_Hlk140781340"/>
      <w:r>
        <w:rPr>
          <w:rFonts w:hint="eastAsia"/>
          <w:bCs/>
          <w:color w:val="000000" w:themeColor="text1"/>
          <w14:textFill>
            <w14:solidFill>
              <w14:schemeClr w14:val="tx1"/>
            </w14:solidFill>
          </w14:textFill>
        </w:rPr>
        <w:t>、转液管线、单井注气管线等，总占地面积为</w:t>
      </w:r>
      <w:bookmarkEnd w:id="301"/>
      <w:r>
        <w:rPr>
          <w:rFonts w:hint="eastAsia"/>
          <w:color w:val="000000" w:themeColor="text1"/>
          <w14:textFill>
            <w14:solidFill>
              <w14:schemeClr w14:val="tx1"/>
            </w14:solidFill>
          </w14:textFill>
        </w:rPr>
        <w:t>118881</w:t>
      </w:r>
      <w:r>
        <w:rPr>
          <w:rFonts w:hint="eastAsia"/>
          <w:bCs/>
          <w:color w:val="000000" w:themeColor="text1"/>
          <w14:textFill>
            <w14:solidFill>
              <w14:schemeClr w14:val="tx1"/>
            </w14:solidFill>
          </w14:textFill>
        </w:rPr>
        <w:t>m</w:t>
      </w:r>
      <w:r>
        <w:rPr>
          <w:rFonts w:hint="eastAsia"/>
          <w:bCs/>
          <w:color w:val="000000" w:themeColor="text1"/>
          <w:vertAlign w:val="superscript"/>
          <w14:textFill>
            <w14:solidFill>
              <w14:schemeClr w14:val="tx1"/>
            </w14:solidFill>
          </w14:textFill>
        </w:rPr>
        <w:t>2</w:t>
      </w:r>
      <w:r>
        <w:rPr>
          <w:rFonts w:hint="eastAsia"/>
          <w:bCs/>
          <w:color w:val="000000" w:themeColor="text1"/>
          <w14:textFill>
            <w14:solidFill>
              <w14:schemeClr w14:val="tx1"/>
            </w14:solidFill>
          </w14:textFill>
        </w:rPr>
        <w:t>，其中永久占地6801m</w:t>
      </w:r>
      <w:r>
        <w:rPr>
          <w:rFonts w:hint="eastAsia"/>
          <w:bCs/>
          <w:color w:val="000000" w:themeColor="text1"/>
          <w:vertAlign w:val="superscript"/>
          <w14:textFill>
            <w14:solidFill>
              <w14:schemeClr w14:val="tx1"/>
            </w14:solidFill>
          </w14:textFill>
        </w:rPr>
        <w:t>2</w:t>
      </w:r>
      <w:r>
        <w:rPr>
          <w:rFonts w:hint="eastAsia"/>
          <w:bCs/>
          <w:color w:val="000000" w:themeColor="text1"/>
          <w14:textFill>
            <w14:solidFill>
              <w14:schemeClr w14:val="tx1"/>
            </w14:solidFill>
          </w14:textFill>
        </w:rPr>
        <w:t>，临时占地112080m</w:t>
      </w:r>
      <w:r>
        <w:rPr>
          <w:rFonts w:hint="eastAsia"/>
          <w:bCs/>
          <w:color w:val="000000" w:themeColor="text1"/>
          <w:vertAlign w:val="superscript"/>
          <w14:textFill>
            <w14:solidFill>
              <w14:schemeClr w14:val="tx1"/>
            </w14:solidFill>
          </w14:textFill>
        </w:rPr>
        <w:t>2</w:t>
      </w:r>
      <w:bookmarkEnd w:id="305"/>
      <w:r>
        <w:rPr>
          <w:rFonts w:hint="eastAsia"/>
          <w:bCs/>
          <w:color w:val="000000" w:themeColor="text1"/>
          <w14:textFill>
            <w14:solidFill>
              <w14:schemeClr w14:val="tx1"/>
            </w14:solidFill>
          </w14:textFill>
        </w:rPr>
        <w:t>，</w:t>
      </w:r>
      <w:bookmarkEnd w:id="303"/>
      <w:r>
        <w:rPr>
          <w:color w:val="000000" w:themeColor="text1"/>
          <w14:textFill>
            <w14:solidFill>
              <w14:schemeClr w14:val="tx1"/>
            </w14:solidFill>
          </w14:textFill>
        </w:rPr>
        <w:t>详见</w:t>
      </w:r>
      <w:r>
        <w:rPr>
          <w:rFonts w:hint="eastAsia"/>
          <w:color w:val="000000" w:themeColor="text1"/>
          <w14:textFill>
            <w14:solidFill>
              <w14:schemeClr w14:val="tx1"/>
            </w14:solidFill>
          </w14:textFill>
        </w:rPr>
        <w:t>表</w:t>
      </w:r>
      <w:r>
        <w:rPr>
          <w:color w:val="000000" w:themeColor="text1"/>
          <w14:textFill>
            <w14:solidFill>
              <w14:schemeClr w14:val="tx1"/>
            </w14:solidFill>
          </w14:textFill>
        </w:rPr>
        <w:t>3.3</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2</w:t>
      </w:r>
      <w:r>
        <w:rPr>
          <w:rFonts w:hint="eastAsia"/>
          <w:color w:val="000000" w:themeColor="text1"/>
          <w14:textFill>
            <w14:solidFill>
              <w14:schemeClr w14:val="tx1"/>
            </w14:solidFill>
          </w14:textFill>
        </w:rPr>
        <w:t>。</w:t>
      </w:r>
    </w:p>
    <w:p w14:paraId="008C50C9">
      <w:pPr>
        <w:pStyle w:val="15"/>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表</w:t>
      </w:r>
      <w:r>
        <w:rPr>
          <w:color w:val="000000" w:themeColor="text1"/>
          <w14:textFill>
            <w14:solidFill>
              <w14:schemeClr w14:val="tx1"/>
            </w14:solidFill>
          </w14:textFill>
        </w:rPr>
        <w:t>3.3</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 xml:space="preserve">2  </w:t>
      </w:r>
      <w:r>
        <w:rPr>
          <w:rFonts w:hint="eastAsia"/>
          <w:color w:val="000000" w:themeColor="text1"/>
          <w14:textFill>
            <w14:solidFill>
              <w14:schemeClr w14:val="tx1"/>
            </w14:solidFill>
          </w14:textFill>
        </w:rPr>
        <w:t>占地概况一览表</w:t>
      </w:r>
    </w:p>
    <w:tbl>
      <w:tblPr>
        <w:tblStyle w:val="51"/>
        <w:tblW w:w="5000"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568"/>
        <w:gridCol w:w="1701"/>
        <w:gridCol w:w="707"/>
        <w:gridCol w:w="852"/>
        <w:gridCol w:w="1072"/>
        <w:gridCol w:w="847"/>
        <w:gridCol w:w="1921"/>
        <w:gridCol w:w="1062"/>
      </w:tblGrid>
      <w:tr w14:paraId="6346F56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25" w:type="pct"/>
            <w:vMerge w:val="restart"/>
            <w:vAlign w:val="center"/>
          </w:tcPr>
          <w:p w14:paraId="2203E5B8">
            <w:pPr>
              <w:pStyle w:val="342"/>
              <w:overflowPunct w:val="0"/>
              <w:snapToGrid w:val="0"/>
              <w:spacing w:line="300" w:lineRule="exact"/>
              <w:rPr>
                <w:rFonts w:hint="eastAsia" w:hAnsi="宋体"/>
                <w:color w:val="000000" w:themeColor="text1"/>
                <w:sz w:val="21"/>
                <w:szCs w:val="21"/>
                <w14:textFill>
                  <w14:solidFill>
                    <w14:schemeClr w14:val="tx1"/>
                  </w14:solidFill>
                </w14:textFill>
              </w:rPr>
            </w:pPr>
            <w:bookmarkStart w:id="306" w:name="_Hlk93663307"/>
            <w:r>
              <w:rPr>
                <w:rFonts w:hint="eastAsia" w:hAnsi="宋体"/>
                <w:color w:val="000000" w:themeColor="text1"/>
                <w:sz w:val="21"/>
                <w:szCs w:val="21"/>
                <w14:textFill>
                  <w14:solidFill>
                    <w14:schemeClr w14:val="tx1"/>
                  </w14:solidFill>
                </w14:textFill>
              </w:rPr>
              <w:t>序号</w:t>
            </w:r>
          </w:p>
        </w:tc>
        <w:tc>
          <w:tcPr>
            <w:tcW w:w="974" w:type="pct"/>
            <w:vMerge w:val="restart"/>
            <w:vAlign w:val="center"/>
          </w:tcPr>
          <w:p w14:paraId="0A908E41">
            <w:pPr>
              <w:pStyle w:val="342"/>
              <w:overflowPunct w:val="0"/>
              <w:snapToGrid w:val="0"/>
              <w:spacing w:line="300" w:lineRule="exact"/>
              <w:rPr>
                <w:rFonts w:hint="eastAsia" w:hAnsi="宋体"/>
                <w:color w:val="000000" w:themeColor="text1"/>
                <w:sz w:val="21"/>
                <w:szCs w:val="21"/>
                <w14:textFill>
                  <w14:solidFill>
                    <w14:schemeClr w14:val="tx1"/>
                  </w14:solidFill>
                </w14:textFill>
              </w:rPr>
            </w:pPr>
            <w:r>
              <w:rPr>
                <w:rFonts w:hint="eastAsia" w:hAnsi="宋体"/>
                <w:color w:val="000000" w:themeColor="text1"/>
                <w:sz w:val="21"/>
                <w:szCs w:val="21"/>
                <w14:textFill>
                  <w14:solidFill>
                    <w14:schemeClr w14:val="tx1"/>
                  </w14:solidFill>
                </w14:textFill>
              </w:rPr>
              <w:t>建设内容</w:t>
            </w:r>
          </w:p>
        </w:tc>
        <w:tc>
          <w:tcPr>
            <w:tcW w:w="405" w:type="pct"/>
            <w:vMerge w:val="restart"/>
          </w:tcPr>
          <w:p w14:paraId="66ADFA63">
            <w:pPr>
              <w:pStyle w:val="342"/>
              <w:overflowPunct w:val="0"/>
              <w:snapToGrid w:val="0"/>
              <w:spacing w:line="300" w:lineRule="exact"/>
              <w:rPr>
                <w:rFonts w:hint="eastAsia" w:hAnsi="宋体"/>
                <w:color w:val="000000" w:themeColor="text1"/>
                <w:sz w:val="21"/>
                <w:szCs w:val="21"/>
                <w14:textFill>
                  <w14:solidFill>
                    <w14:schemeClr w14:val="tx1"/>
                  </w14:solidFill>
                </w14:textFill>
              </w:rPr>
            </w:pPr>
            <w:r>
              <w:rPr>
                <w:rFonts w:hint="eastAsia" w:hAnsi="宋体"/>
                <w:color w:val="000000" w:themeColor="text1"/>
                <w:sz w:val="21"/>
                <w:szCs w:val="21"/>
                <w14:textFill>
                  <w14:solidFill>
                    <w14:schemeClr w14:val="tx1"/>
                  </w14:solidFill>
                </w14:textFill>
              </w:rPr>
              <w:t>数量</w:t>
            </w:r>
          </w:p>
        </w:tc>
        <w:tc>
          <w:tcPr>
            <w:tcW w:w="1587" w:type="pct"/>
            <w:gridSpan w:val="3"/>
            <w:tcBorders>
              <w:bottom w:val="single" w:color="auto" w:sz="4" w:space="0"/>
              <w:right w:val="single" w:color="auto" w:sz="4" w:space="0"/>
            </w:tcBorders>
            <w:vAlign w:val="center"/>
          </w:tcPr>
          <w:p w14:paraId="3B6B94F3">
            <w:pPr>
              <w:pStyle w:val="342"/>
              <w:overflowPunct w:val="0"/>
              <w:snapToGrid w:val="0"/>
              <w:spacing w:line="300" w:lineRule="exact"/>
              <w:rPr>
                <w:rFonts w:hint="eastAsia" w:hAnsi="宋体"/>
                <w:color w:val="000000" w:themeColor="text1"/>
                <w:sz w:val="21"/>
                <w:szCs w:val="21"/>
                <w14:textFill>
                  <w14:solidFill>
                    <w14:schemeClr w14:val="tx1"/>
                  </w14:solidFill>
                </w14:textFill>
              </w:rPr>
            </w:pPr>
            <w:r>
              <w:rPr>
                <w:rFonts w:hint="eastAsia" w:hAnsi="宋体"/>
                <w:color w:val="000000" w:themeColor="text1"/>
                <w:sz w:val="21"/>
                <w:szCs w:val="21"/>
                <w14:textFill>
                  <w14:solidFill>
                    <w14:schemeClr w14:val="tx1"/>
                  </w14:solidFill>
                </w14:textFill>
              </w:rPr>
              <w:t>占地面积（m</w:t>
            </w:r>
            <w:r>
              <w:rPr>
                <w:rFonts w:hAnsi="宋体"/>
                <w:color w:val="000000" w:themeColor="text1"/>
                <w:sz w:val="21"/>
                <w:szCs w:val="21"/>
                <w:vertAlign w:val="superscript"/>
                <w14:textFill>
                  <w14:solidFill>
                    <w14:schemeClr w14:val="tx1"/>
                  </w14:solidFill>
                </w14:textFill>
              </w:rPr>
              <w:t>2</w:t>
            </w:r>
            <w:r>
              <w:rPr>
                <w:rFonts w:hint="eastAsia" w:hAnsi="宋体"/>
                <w:color w:val="000000" w:themeColor="text1"/>
                <w:sz w:val="21"/>
                <w:szCs w:val="21"/>
                <w14:textFill>
                  <w14:solidFill>
                    <w14:schemeClr w14:val="tx1"/>
                  </w14:solidFill>
                </w14:textFill>
              </w:rPr>
              <w:t>）</w:t>
            </w:r>
          </w:p>
        </w:tc>
        <w:tc>
          <w:tcPr>
            <w:tcW w:w="1100" w:type="pct"/>
            <w:vMerge w:val="restart"/>
            <w:tcBorders>
              <w:left w:val="single" w:color="auto" w:sz="4" w:space="0"/>
            </w:tcBorders>
            <w:vAlign w:val="center"/>
          </w:tcPr>
          <w:p w14:paraId="293DFC81">
            <w:pPr>
              <w:pStyle w:val="342"/>
              <w:overflowPunct w:val="0"/>
              <w:snapToGrid w:val="0"/>
              <w:spacing w:line="300" w:lineRule="exact"/>
              <w:rPr>
                <w:rFonts w:hint="eastAsia" w:hAnsi="宋体"/>
                <w:color w:val="000000" w:themeColor="text1"/>
                <w:sz w:val="21"/>
                <w:szCs w:val="21"/>
                <w14:textFill>
                  <w14:solidFill>
                    <w14:schemeClr w14:val="tx1"/>
                  </w14:solidFill>
                </w14:textFill>
              </w:rPr>
            </w:pPr>
            <w:r>
              <w:rPr>
                <w:rFonts w:hint="eastAsia" w:hAnsi="宋体"/>
                <w:color w:val="000000" w:themeColor="text1"/>
                <w:sz w:val="21"/>
                <w:szCs w:val="21"/>
                <w14:textFill>
                  <w14:solidFill>
                    <w14:schemeClr w14:val="tx1"/>
                  </w14:solidFill>
                </w14:textFill>
              </w:rPr>
              <w:t>备注</w:t>
            </w:r>
          </w:p>
        </w:tc>
        <w:tc>
          <w:tcPr>
            <w:tcW w:w="608" w:type="pct"/>
            <w:vMerge w:val="restart"/>
            <w:tcBorders>
              <w:left w:val="single" w:color="auto" w:sz="4" w:space="0"/>
            </w:tcBorders>
            <w:vAlign w:val="center"/>
          </w:tcPr>
          <w:p w14:paraId="4A0CAC9E">
            <w:pPr>
              <w:pStyle w:val="342"/>
              <w:overflowPunct w:val="0"/>
              <w:snapToGrid w:val="0"/>
              <w:spacing w:line="300" w:lineRule="exact"/>
              <w:rPr>
                <w:rFonts w:hint="eastAsia" w:hAnsi="宋体"/>
                <w:color w:val="000000" w:themeColor="text1"/>
                <w:sz w:val="21"/>
                <w:szCs w:val="21"/>
                <w14:textFill>
                  <w14:solidFill>
                    <w14:schemeClr w14:val="tx1"/>
                  </w14:solidFill>
                </w14:textFill>
              </w:rPr>
            </w:pPr>
            <w:r>
              <w:rPr>
                <w:rFonts w:hint="eastAsia" w:hAnsi="宋体"/>
                <w:color w:val="000000" w:themeColor="text1"/>
                <w:sz w:val="21"/>
                <w:szCs w:val="21"/>
                <w14:textFill>
                  <w14:solidFill>
                    <w14:schemeClr w14:val="tx1"/>
                  </w14:solidFill>
                </w14:textFill>
              </w:rPr>
              <w:t>占地类型</w:t>
            </w:r>
          </w:p>
        </w:tc>
      </w:tr>
      <w:tr w14:paraId="0E3F5D8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25" w:type="pct"/>
            <w:vMerge w:val="continue"/>
            <w:vAlign w:val="center"/>
          </w:tcPr>
          <w:p w14:paraId="344044C2">
            <w:pPr>
              <w:pStyle w:val="19"/>
              <w:overflowPunct w:val="0"/>
              <w:adjustRightInd w:val="0"/>
              <w:snapToGrid w:val="0"/>
              <w:spacing w:after="0" w:line="300" w:lineRule="exact"/>
              <w:jc w:val="center"/>
              <w:rPr>
                <w:rFonts w:hint="eastAsia" w:ascii="宋体" w:hAnsi="宋体" w:cs="宋体"/>
                <w:b/>
                <w:color w:val="000000" w:themeColor="text1"/>
                <w:szCs w:val="21"/>
                <w14:textFill>
                  <w14:solidFill>
                    <w14:schemeClr w14:val="tx1"/>
                  </w14:solidFill>
                </w14:textFill>
              </w:rPr>
            </w:pPr>
          </w:p>
        </w:tc>
        <w:tc>
          <w:tcPr>
            <w:tcW w:w="974" w:type="pct"/>
            <w:vMerge w:val="continue"/>
            <w:vAlign w:val="center"/>
          </w:tcPr>
          <w:p w14:paraId="209A9AFF">
            <w:pPr>
              <w:pStyle w:val="19"/>
              <w:overflowPunct w:val="0"/>
              <w:adjustRightInd w:val="0"/>
              <w:snapToGrid w:val="0"/>
              <w:spacing w:after="0" w:line="300" w:lineRule="exact"/>
              <w:jc w:val="center"/>
              <w:rPr>
                <w:rFonts w:hint="eastAsia" w:ascii="宋体" w:hAnsi="宋体" w:cs="宋体"/>
                <w:b/>
                <w:color w:val="000000" w:themeColor="text1"/>
                <w:szCs w:val="21"/>
                <w14:textFill>
                  <w14:solidFill>
                    <w14:schemeClr w14:val="tx1"/>
                  </w14:solidFill>
                </w14:textFill>
              </w:rPr>
            </w:pPr>
          </w:p>
        </w:tc>
        <w:tc>
          <w:tcPr>
            <w:tcW w:w="405" w:type="pct"/>
            <w:vMerge w:val="continue"/>
          </w:tcPr>
          <w:p w14:paraId="6638FE47">
            <w:pPr>
              <w:pStyle w:val="342"/>
              <w:overflowPunct w:val="0"/>
              <w:snapToGrid w:val="0"/>
              <w:spacing w:line="300" w:lineRule="exact"/>
              <w:rPr>
                <w:rFonts w:hint="eastAsia" w:hAnsi="宋体"/>
                <w:color w:val="000000" w:themeColor="text1"/>
                <w:sz w:val="21"/>
                <w:szCs w:val="21"/>
                <w14:textFill>
                  <w14:solidFill>
                    <w14:schemeClr w14:val="tx1"/>
                  </w14:solidFill>
                </w14:textFill>
              </w:rPr>
            </w:pPr>
          </w:p>
        </w:tc>
        <w:tc>
          <w:tcPr>
            <w:tcW w:w="488" w:type="pct"/>
            <w:tcBorders>
              <w:top w:val="single" w:color="auto" w:sz="4" w:space="0"/>
            </w:tcBorders>
            <w:vAlign w:val="center"/>
          </w:tcPr>
          <w:p w14:paraId="337FDB3C">
            <w:pPr>
              <w:pStyle w:val="342"/>
              <w:overflowPunct w:val="0"/>
              <w:snapToGrid w:val="0"/>
              <w:spacing w:line="300" w:lineRule="exact"/>
              <w:rPr>
                <w:rFonts w:hint="eastAsia" w:hAnsi="宋体"/>
                <w:b/>
                <w:color w:val="000000" w:themeColor="text1"/>
                <w:sz w:val="21"/>
                <w:szCs w:val="21"/>
                <w14:textFill>
                  <w14:solidFill>
                    <w14:schemeClr w14:val="tx1"/>
                  </w14:solidFill>
                </w14:textFill>
              </w:rPr>
            </w:pPr>
            <w:r>
              <w:rPr>
                <w:rFonts w:hint="eastAsia" w:hAnsi="宋体"/>
                <w:color w:val="000000" w:themeColor="text1"/>
                <w:sz w:val="21"/>
                <w:szCs w:val="21"/>
                <w14:textFill>
                  <w14:solidFill>
                    <w14:schemeClr w14:val="tx1"/>
                  </w14:solidFill>
                </w14:textFill>
              </w:rPr>
              <w:t>永久征地</w:t>
            </w:r>
          </w:p>
        </w:tc>
        <w:tc>
          <w:tcPr>
            <w:tcW w:w="614" w:type="pct"/>
            <w:vAlign w:val="center"/>
          </w:tcPr>
          <w:p w14:paraId="4B0A66C9">
            <w:pPr>
              <w:pStyle w:val="342"/>
              <w:overflowPunct w:val="0"/>
              <w:snapToGrid w:val="0"/>
              <w:spacing w:line="300" w:lineRule="exact"/>
              <w:rPr>
                <w:rFonts w:hint="eastAsia" w:hAnsi="宋体"/>
                <w:color w:val="000000" w:themeColor="text1"/>
                <w:sz w:val="21"/>
                <w:szCs w:val="21"/>
                <w14:textFill>
                  <w14:solidFill>
                    <w14:schemeClr w14:val="tx1"/>
                  </w14:solidFill>
                </w14:textFill>
              </w:rPr>
            </w:pPr>
            <w:r>
              <w:rPr>
                <w:rFonts w:hint="eastAsia" w:hAnsi="宋体"/>
                <w:color w:val="000000" w:themeColor="text1"/>
                <w:sz w:val="21"/>
                <w:szCs w:val="21"/>
                <w14:textFill>
                  <w14:solidFill>
                    <w14:schemeClr w14:val="tx1"/>
                  </w14:solidFill>
                </w14:textFill>
              </w:rPr>
              <w:t>临时占地</w:t>
            </w:r>
          </w:p>
        </w:tc>
        <w:tc>
          <w:tcPr>
            <w:tcW w:w="485" w:type="pct"/>
            <w:tcBorders>
              <w:right w:val="single" w:color="auto" w:sz="4" w:space="0"/>
            </w:tcBorders>
            <w:vAlign w:val="center"/>
          </w:tcPr>
          <w:p w14:paraId="69160CA0">
            <w:pPr>
              <w:pStyle w:val="342"/>
              <w:overflowPunct w:val="0"/>
              <w:snapToGrid w:val="0"/>
              <w:spacing w:line="300" w:lineRule="exact"/>
              <w:rPr>
                <w:rFonts w:hint="eastAsia" w:hAnsi="宋体"/>
                <w:color w:val="000000" w:themeColor="text1"/>
                <w:sz w:val="21"/>
                <w:szCs w:val="21"/>
                <w14:textFill>
                  <w14:solidFill>
                    <w14:schemeClr w14:val="tx1"/>
                  </w14:solidFill>
                </w14:textFill>
              </w:rPr>
            </w:pPr>
            <w:r>
              <w:rPr>
                <w:rFonts w:hint="eastAsia" w:hAnsi="宋体"/>
                <w:color w:val="000000" w:themeColor="text1"/>
                <w:sz w:val="21"/>
                <w:szCs w:val="21"/>
                <w14:textFill>
                  <w14:solidFill>
                    <w14:schemeClr w14:val="tx1"/>
                  </w14:solidFill>
                </w14:textFill>
              </w:rPr>
              <w:t>合计</w:t>
            </w:r>
          </w:p>
        </w:tc>
        <w:tc>
          <w:tcPr>
            <w:tcW w:w="1100" w:type="pct"/>
            <w:vMerge w:val="continue"/>
            <w:tcBorders>
              <w:left w:val="single" w:color="auto" w:sz="4" w:space="0"/>
            </w:tcBorders>
            <w:vAlign w:val="center"/>
          </w:tcPr>
          <w:p w14:paraId="0DEF4DA4">
            <w:pPr>
              <w:pStyle w:val="342"/>
              <w:overflowPunct w:val="0"/>
              <w:snapToGrid w:val="0"/>
              <w:spacing w:line="300" w:lineRule="exact"/>
              <w:rPr>
                <w:rFonts w:hint="eastAsia" w:hAnsi="宋体"/>
                <w:color w:val="000000" w:themeColor="text1"/>
                <w:sz w:val="21"/>
                <w:szCs w:val="21"/>
                <w14:textFill>
                  <w14:solidFill>
                    <w14:schemeClr w14:val="tx1"/>
                  </w14:solidFill>
                </w14:textFill>
              </w:rPr>
            </w:pPr>
          </w:p>
        </w:tc>
        <w:tc>
          <w:tcPr>
            <w:tcW w:w="608" w:type="pct"/>
            <w:vMerge w:val="continue"/>
            <w:tcBorders>
              <w:left w:val="single" w:color="auto" w:sz="4" w:space="0"/>
            </w:tcBorders>
            <w:vAlign w:val="center"/>
          </w:tcPr>
          <w:p w14:paraId="30823531">
            <w:pPr>
              <w:pStyle w:val="342"/>
              <w:overflowPunct w:val="0"/>
              <w:snapToGrid w:val="0"/>
              <w:spacing w:line="300" w:lineRule="exact"/>
              <w:rPr>
                <w:rFonts w:hint="eastAsia" w:hAnsi="宋体"/>
                <w:color w:val="000000" w:themeColor="text1"/>
                <w:sz w:val="21"/>
                <w:szCs w:val="21"/>
                <w14:textFill>
                  <w14:solidFill>
                    <w14:schemeClr w14:val="tx1"/>
                  </w14:solidFill>
                </w14:textFill>
              </w:rPr>
            </w:pPr>
          </w:p>
        </w:tc>
      </w:tr>
      <w:tr w14:paraId="79886D1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25" w:type="pct"/>
            <w:vAlign w:val="center"/>
          </w:tcPr>
          <w:p w14:paraId="2FF333B9">
            <w:pPr>
              <w:pStyle w:val="342"/>
              <w:overflowPunct w:val="0"/>
              <w:snapToGrid w:val="0"/>
              <w:spacing w:line="300" w:lineRule="exact"/>
              <w:rPr>
                <w:rFonts w:hint="eastAsia" w:hAnsi="宋体"/>
                <w:color w:val="000000" w:themeColor="text1"/>
                <w:sz w:val="21"/>
                <w:szCs w:val="21"/>
                <w14:textFill>
                  <w14:solidFill>
                    <w14:schemeClr w14:val="tx1"/>
                  </w14:solidFill>
                </w14:textFill>
              </w:rPr>
            </w:pPr>
            <w:r>
              <w:rPr>
                <w:rFonts w:hint="eastAsia" w:hAnsi="宋体"/>
                <w:color w:val="000000" w:themeColor="text1"/>
                <w:sz w:val="21"/>
                <w:szCs w:val="21"/>
                <w14:textFill>
                  <w14:solidFill>
                    <w14:schemeClr w14:val="tx1"/>
                  </w14:solidFill>
                </w14:textFill>
              </w:rPr>
              <w:t>1</w:t>
            </w:r>
          </w:p>
        </w:tc>
        <w:tc>
          <w:tcPr>
            <w:tcW w:w="974" w:type="pct"/>
            <w:vAlign w:val="center"/>
          </w:tcPr>
          <w:p w14:paraId="2013FE7A">
            <w:pPr>
              <w:pStyle w:val="342"/>
              <w:overflowPunct w:val="0"/>
              <w:snapToGrid w:val="0"/>
              <w:spacing w:line="300" w:lineRule="exact"/>
              <w:rPr>
                <w:rFonts w:hint="eastAsia" w:hAnsi="宋体"/>
                <w:color w:val="000000" w:themeColor="text1"/>
                <w:sz w:val="21"/>
                <w:szCs w:val="21"/>
                <w14:textFill>
                  <w14:solidFill>
                    <w14:schemeClr w14:val="tx1"/>
                  </w14:solidFill>
                </w14:textFill>
              </w:rPr>
            </w:pPr>
            <w:r>
              <w:rPr>
                <w:rFonts w:hint="eastAsia" w:hAnsi="宋体"/>
                <w:color w:val="000000" w:themeColor="text1"/>
                <w:sz w:val="21"/>
                <w:szCs w:val="21"/>
                <w14:textFill>
                  <w14:solidFill>
                    <w14:schemeClr w14:val="tx1"/>
                  </w14:solidFill>
                </w14:textFill>
              </w:rPr>
              <w:t>1号计量站</w:t>
            </w:r>
          </w:p>
        </w:tc>
        <w:tc>
          <w:tcPr>
            <w:tcW w:w="405" w:type="pct"/>
          </w:tcPr>
          <w:p w14:paraId="3A163FA0">
            <w:pPr>
              <w:pStyle w:val="342"/>
              <w:overflowPunct w:val="0"/>
              <w:snapToGrid w:val="0"/>
              <w:spacing w:line="300" w:lineRule="exact"/>
              <w:rPr>
                <w:rFonts w:hint="eastAsia" w:hAnsi="宋体"/>
                <w:color w:val="000000" w:themeColor="text1"/>
                <w:sz w:val="21"/>
                <w:szCs w:val="21"/>
                <w14:textFill>
                  <w14:solidFill>
                    <w14:schemeClr w14:val="tx1"/>
                  </w14:solidFill>
                </w14:textFill>
              </w:rPr>
            </w:pPr>
            <w:r>
              <w:rPr>
                <w:rFonts w:hint="eastAsia" w:hAnsi="宋体"/>
                <w:color w:val="000000" w:themeColor="text1"/>
                <w:sz w:val="21"/>
                <w:szCs w:val="21"/>
                <w14:textFill>
                  <w14:solidFill>
                    <w14:schemeClr w14:val="tx1"/>
                  </w14:solidFill>
                </w14:textFill>
              </w:rPr>
              <w:t>1座</w:t>
            </w:r>
          </w:p>
        </w:tc>
        <w:tc>
          <w:tcPr>
            <w:tcW w:w="488" w:type="pct"/>
            <w:vAlign w:val="center"/>
          </w:tcPr>
          <w:p w14:paraId="0293A489">
            <w:pPr>
              <w:pStyle w:val="342"/>
              <w:overflowPunct w:val="0"/>
              <w:snapToGrid w:val="0"/>
              <w:spacing w:line="300" w:lineRule="exact"/>
              <w:rPr>
                <w:rFonts w:hint="eastAsia" w:hAnsi="宋体"/>
                <w:color w:val="000000" w:themeColor="text1"/>
                <w:sz w:val="21"/>
                <w:szCs w:val="21"/>
                <w14:textFill>
                  <w14:solidFill>
                    <w14:schemeClr w14:val="tx1"/>
                  </w14:solidFill>
                </w14:textFill>
              </w:rPr>
            </w:pPr>
            <w:r>
              <w:rPr>
                <w:rFonts w:hint="eastAsia" w:hAnsi="宋体"/>
                <w:color w:val="000000" w:themeColor="text1"/>
                <w:sz w:val="21"/>
                <w:szCs w:val="21"/>
                <w14:textFill>
                  <w14:solidFill>
                    <w14:schemeClr w14:val="tx1"/>
                  </w14:solidFill>
                </w14:textFill>
              </w:rPr>
              <w:t>150</w:t>
            </w:r>
          </w:p>
        </w:tc>
        <w:tc>
          <w:tcPr>
            <w:tcW w:w="614" w:type="pct"/>
            <w:vAlign w:val="center"/>
          </w:tcPr>
          <w:p w14:paraId="751BD337">
            <w:pPr>
              <w:pStyle w:val="342"/>
              <w:overflowPunct w:val="0"/>
              <w:snapToGrid w:val="0"/>
              <w:spacing w:line="300" w:lineRule="exact"/>
              <w:rPr>
                <w:rFonts w:hint="eastAsia" w:hAnsi="宋体"/>
                <w:color w:val="000000" w:themeColor="text1"/>
                <w:sz w:val="21"/>
                <w:szCs w:val="21"/>
                <w14:textFill>
                  <w14:solidFill>
                    <w14:schemeClr w14:val="tx1"/>
                  </w14:solidFill>
                </w14:textFill>
              </w:rPr>
            </w:pPr>
            <w:r>
              <w:rPr>
                <w:rFonts w:hint="eastAsia" w:hAnsi="宋体"/>
                <w:color w:val="000000" w:themeColor="text1"/>
                <w:sz w:val="21"/>
                <w:szCs w:val="21"/>
                <w14:textFill>
                  <w14:solidFill>
                    <w14:schemeClr w14:val="tx1"/>
                  </w14:solidFill>
                </w14:textFill>
              </w:rPr>
              <w:t>0</w:t>
            </w:r>
          </w:p>
        </w:tc>
        <w:tc>
          <w:tcPr>
            <w:tcW w:w="485" w:type="pct"/>
            <w:tcBorders>
              <w:right w:val="single" w:color="auto" w:sz="4" w:space="0"/>
            </w:tcBorders>
            <w:vAlign w:val="center"/>
          </w:tcPr>
          <w:p w14:paraId="4782CEB5">
            <w:pPr>
              <w:pStyle w:val="342"/>
              <w:overflowPunct w:val="0"/>
              <w:snapToGrid w:val="0"/>
              <w:spacing w:line="300" w:lineRule="exact"/>
              <w:rPr>
                <w:rFonts w:hint="eastAsia" w:hAnsi="宋体"/>
                <w:color w:val="000000" w:themeColor="text1"/>
                <w:sz w:val="21"/>
                <w:szCs w:val="21"/>
                <w14:textFill>
                  <w14:solidFill>
                    <w14:schemeClr w14:val="tx1"/>
                  </w14:solidFill>
                </w14:textFill>
              </w:rPr>
            </w:pPr>
            <w:r>
              <w:rPr>
                <w:rFonts w:hint="eastAsia" w:hAnsi="宋体"/>
                <w:color w:val="000000" w:themeColor="text1"/>
                <w:sz w:val="21"/>
                <w:szCs w:val="21"/>
                <w14:textFill>
                  <w14:solidFill>
                    <w14:schemeClr w14:val="tx1"/>
                  </w14:solidFill>
                </w14:textFill>
              </w:rPr>
              <w:t>150</w:t>
            </w:r>
          </w:p>
        </w:tc>
        <w:tc>
          <w:tcPr>
            <w:tcW w:w="1100" w:type="pct"/>
            <w:tcBorders>
              <w:left w:val="single" w:color="auto" w:sz="4" w:space="0"/>
            </w:tcBorders>
            <w:vAlign w:val="center"/>
          </w:tcPr>
          <w:p w14:paraId="0040CB8D">
            <w:pPr>
              <w:pStyle w:val="278"/>
              <w:adjustRightInd w:val="0"/>
              <w:snapToGrid w:val="0"/>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尺寸15m×10m</w:t>
            </w:r>
          </w:p>
        </w:tc>
        <w:tc>
          <w:tcPr>
            <w:tcW w:w="608" w:type="pct"/>
            <w:tcBorders>
              <w:left w:val="single" w:color="auto" w:sz="4" w:space="0"/>
            </w:tcBorders>
            <w:vAlign w:val="center"/>
          </w:tcPr>
          <w:p w14:paraId="50CD92E0">
            <w:pPr>
              <w:pStyle w:val="278"/>
              <w:adjustRightInd w:val="0"/>
              <w:snapToGrid w:val="0"/>
              <w:spacing w:line="300" w:lineRule="exact"/>
              <w:rPr>
                <w:rFonts w:hint="eastAsia"/>
                <w:color w:val="000000" w:themeColor="text1"/>
                <w14:textFill>
                  <w14:solidFill>
                    <w14:schemeClr w14:val="tx1"/>
                  </w14:solidFill>
                </w14:textFill>
              </w:rPr>
            </w:pPr>
          </w:p>
        </w:tc>
      </w:tr>
      <w:tr w14:paraId="7F1FCB5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25" w:type="pct"/>
            <w:vAlign w:val="center"/>
          </w:tcPr>
          <w:p w14:paraId="01CF2D03">
            <w:pPr>
              <w:pStyle w:val="342"/>
              <w:overflowPunct w:val="0"/>
              <w:snapToGrid w:val="0"/>
              <w:spacing w:line="300" w:lineRule="exact"/>
              <w:rPr>
                <w:rFonts w:hint="eastAsia" w:hAnsi="宋体"/>
                <w:color w:val="000000" w:themeColor="text1"/>
                <w:sz w:val="21"/>
                <w:szCs w:val="21"/>
                <w14:textFill>
                  <w14:solidFill>
                    <w14:schemeClr w14:val="tx1"/>
                  </w14:solidFill>
                </w14:textFill>
              </w:rPr>
            </w:pPr>
            <w:r>
              <w:rPr>
                <w:rFonts w:hint="eastAsia" w:hAnsi="宋体"/>
                <w:color w:val="000000" w:themeColor="text1"/>
                <w:sz w:val="21"/>
                <w:szCs w:val="21"/>
                <w14:textFill>
                  <w14:solidFill>
                    <w14:schemeClr w14:val="tx1"/>
                  </w14:solidFill>
                </w14:textFill>
              </w:rPr>
              <w:t>2</w:t>
            </w:r>
          </w:p>
        </w:tc>
        <w:tc>
          <w:tcPr>
            <w:tcW w:w="974" w:type="pct"/>
            <w:vAlign w:val="center"/>
          </w:tcPr>
          <w:p w14:paraId="03FE6B30">
            <w:pPr>
              <w:pStyle w:val="342"/>
              <w:overflowPunct w:val="0"/>
              <w:snapToGrid w:val="0"/>
              <w:spacing w:line="300" w:lineRule="exact"/>
              <w:rPr>
                <w:rFonts w:hint="eastAsia" w:hAnsi="宋体"/>
                <w:color w:val="000000" w:themeColor="text1"/>
                <w:sz w:val="21"/>
                <w:szCs w:val="21"/>
                <w14:textFill>
                  <w14:solidFill>
                    <w14:schemeClr w14:val="tx1"/>
                  </w14:solidFill>
                </w14:textFill>
              </w:rPr>
            </w:pPr>
            <w:r>
              <w:rPr>
                <w:rFonts w:hint="eastAsia" w:hAnsi="宋体"/>
                <w:color w:val="000000" w:themeColor="text1"/>
                <w:sz w:val="21"/>
                <w:szCs w:val="21"/>
                <w14:textFill>
                  <w14:solidFill>
                    <w14:schemeClr w14:val="tx1"/>
                  </w14:solidFill>
                </w14:textFill>
              </w:rPr>
              <w:t>预处理注入站（包括2号计量站）</w:t>
            </w:r>
          </w:p>
        </w:tc>
        <w:tc>
          <w:tcPr>
            <w:tcW w:w="405" w:type="pct"/>
          </w:tcPr>
          <w:p w14:paraId="5262D287">
            <w:pPr>
              <w:pStyle w:val="342"/>
              <w:overflowPunct w:val="0"/>
              <w:snapToGrid w:val="0"/>
              <w:spacing w:line="300" w:lineRule="exact"/>
              <w:rPr>
                <w:rFonts w:hint="eastAsia" w:hAnsi="宋体"/>
                <w:color w:val="000000" w:themeColor="text1"/>
                <w:sz w:val="21"/>
                <w:szCs w:val="21"/>
                <w14:textFill>
                  <w14:solidFill>
                    <w14:schemeClr w14:val="tx1"/>
                  </w14:solidFill>
                </w14:textFill>
              </w:rPr>
            </w:pPr>
            <w:r>
              <w:rPr>
                <w:rFonts w:hint="eastAsia" w:hAnsi="宋体"/>
                <w:color w:val="000000" w:themeColor="text1"/>
                <w:sz w:val="21"/>
                <w:szCs w:val="21"/>
                <w14:textFill>
                  <w14:solidFill>
                    <w14:schemeClr w14:val="tx1"/>
                  </w14:solidFill>
                </w14:textFill>
              </w:rPr>
              <w:t>1座</w:t>
            </w:r>
          </w:p>
        </w:tc>
        <w:tc>
          <w:tcPr>
            <w:tcW w:w="488" w:type="pct"/>
            <w:vAlign w:val="center"/>
          </w:tcPr>
          <w:p w14:paraId="34335775">
            <w:pPr>
              <w:pStyle w:val="342"/>
              <w:overflowPunct w:val="0"/>
              <w:snapToGrid w:val="0"/>
              <w:spacing w:line="300" w:lineRule="exact"/>
              <w:rPr>
                <w:rFonts w:hint="eastAsia" w:hAnsi="宋体"/>
                <w:color w:val="000000" w:themeColor="text1"/>
                <w:sz w:val="21"/>
                <w:szCs w:val="21"/>
                <w14:textFill>
                  <w14:solidFill>
                    <w14:schemeClr w14:val="tx1"/>
                  </w14:solidFill>
                </w14:textFill>
              </w:rPr>
            </w:pPr>
            <w:r>
              <w:rPr>
                <w:rFonts w:hint="eastAsia" w:hAnsi="宋体"/>
                <w:color w:val="000000" w:themeColor="text1"/>
                <w:sz w:val="21"/>
                <w:szCs w:val="21"/>
                <w14:textFill>
                  <w14:solidFill>
                    <w14:schemeClr w14:val="tx1"/>
                  </w14:solidFill>
                </w14:textFill>
              </w:rPr>
              <w:t>6651</w:t>
            </w:r>
          </w:p>
        </w:tc>
        <w:tc>
          <w:tcPr>
            <w:tcW w:w="614" w:type="pct"/>
            <w:vAlign w:val="center"/>
          </w:tcPr>
          <w:p w14:paraId="30AEE691">
            <w:pPr>
              <w:pStyle w:val="342"/>
              <w:overflowPunct w:val="0"/>
              <w:snapToGrid w:val="0"/>
              <w:spacing w:line="300" w:lineRule="exact"/>
              <w:rPr>
                <w:rFonts w:hint="eastAsia" w:hAnsi="宋体"/>
                <w:color w:val="000000" w:themeColor="text1"/>
                <w:sz w:val="21"/>
                <w:szCs w:val="21"/>
                <w14:textFill>
                  <w14:solidFill>
                    <w14:schemeClr w14:val="tx1"/>
                  </w14:solidFill>
                </w14:textFill>
              </w:rPr>
            </w:pPr>
            <w:r>
              <w:rPr>
                <w:rFonts w:hint="eastAsia" w:hAnsi="宋体"/>
                <w:color w:val="000000" w:themeColor="text1"/>
                <w:sz w:val="21"/>
                <w:szCs w:val="21"/>
                <w14:textFill>
                  <w14:solidFill>
                    <w14:schemeClr w14:val="tx1"/>
                  </w14:solidFill>
                </w14:textFill>
              </w:rPr>
              <w:t>0</w:t>
            </w:r>
          </w:p>
        </w:tc>
        <w:tc>
          <w:tcPr>
            <w:tcW w:w="485" w:type="pct"/>
            <w:tcBorders>
              <w:right w:val="single" w:color="auto" w:sz="4" w:space="0"/>
            </w:tcBorders>
            <w:vAlign w:val="center"/>
          </w:tcPr>
          <w:p w14:paraId="40D011F5">
            <w:pPr>
              <w:pStyle w:val="342"/>
              <w:overflowPunct w:val="0"/>
              <w:snapToGrid w:val="0"/>
              <w:spacing w:line="300" w:lineRule="exact"/>
              <w:rPr>
                <w:rFonts w:hint="eastAsia" w:hAnsi="宋体"/>
                <w:color w:val="000000" w:themeColor="text1"/>
                <w:sz w:val="21"/>
                <w:szCs w:val="21"/>
                <w14:textFill>
                  <w14:solidFill>
                    <w14:schemeClr w14:val="tx1"/>
                  </w14:solidFill>
                </w14:textFill>
              </w:rPr>
            </w:pPr>
            <w:r>
              <w:rPr>
                <w:rFonts w:hint="eastAsia" w:hAnsi="宋体"/>
                <w:color w:val="000000" w:themeColor="text1"/>
                <w:sz w:val="21"/>
                <w:szCs w:val="21"/>
                <w14:textFill>
                  <w14:solidFill>
                    <w14:schemeClr w14:val="tx1"/>
                  </w14:solidFill>
                </w14:textFill>
              </w:rPr>
              <w:t>6651</w:t>
            </w:r>
          </w:p>
        </w:tc>
        <w:tc>
          <w:tcPr>
            <w:tcW w:w="1100" w:type="pct"/>
            <w:tcBorders>
              <w:left w:val="single" w:color="auto" w:sz="4" w:space="0"/>
            </w:tcBorders>
          </w:tcPr>
          <w:p w14:paraId="094DB036">
            <w:pPr>
              <w:pStyle w:val="278"/>
              <w:adjustRightInd w:val="0"/>
              <w:snapToGrid w:val="0"/>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608" w:type="pct"/>
            <w:tcBorders>
              <w:left w:val="single" w:color="auto" w:sz="4" w:space="0"/>
            </w:tcBorders>
          </w:tcPr>
          <w:p w14:paraId="046DB0AF">
            <w:pPr>
              <w:pStyle w:val="278"/>
              <w:adjustRightInd w:val="0"/>
              <w:snapToGrid w:val="0"/>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牧草地</w:t>
            </w:r>
          </w:p>
        </w:tc>
      </w:tr>
      <w:tr w14:paraId="345D28F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25" w:type="pct"/>
            <w:vAlign w:val="center"/>
          </w:tcPr>
          <w:p w14:paraId="01C9ABEB">
            <w:pPr>
              <w:pStyle w:val="342"/>
              <w:overflowPunct w:val="0"/>
              <w:snapToGrid w:val="0"/>
              <w:spacing w:line="300" w:lineRule="exact"/>
              <w:rPr>
                <w:rFonts w:hint="eastAsia" w:hAnsi="宋体"/>
                <w:color w:val="000000" w:themeColor="text1"/>
                <w:sz w:val="21"/>
                <w:szCs w:val="21"/>
                <w14:textFill>
                  <w14:solidFill>
                    <w14:schemeClr w14:val="tx1"/>
                  </w14:solidFill>
                </w14:textFill>
              </w:rPr>
            </w:pPr>
            <w:r>
              <w:rPr>
                <w:rFonts w:hint="eastAsia" w:hAnsi="宋体"/>
                <w:color w:val="000000" w:themeColor="text1"/>
                <w:sz w:val="21"/>
                <w:szCs w:val="21"/>
                <w14:textFill>
                  <w14:solidFill>
                    <w14:schemeClr w14:val="tx1"/>
                  </w14:solidFill>
                </w14:textFill>
              </w:rPr>
              <w:t>3</w:t>
            </w:r>
          </w:p>
        </w:tc>
        <w:tc>
          <w:tcPr>
            <w:tcW w:w="974" w:type="pct"/>
            <w:vAlign w:val="center"/>
          </w:tcPr>
          <w:p w14:paraId="30D51709">
            <w:pPr>
              <w:pStyle w:val="342"/>
              <w:overflowPunct w:val="0"/>
              <w:snapToGrid w:val="0"/>
              <w:spacing w:line="300" w:lineRule="exact"/>
              <w:rPr>
                <w:rFonts w:hint="eastAsia" w:hAnsi="宋体"/>
                <w:color w:val="000000" w:themeColor="text1"/>
                <w:sz w:val="21"/>
                <w:szCs w:val="21"/>
                <w14:textFill>
                  <w14:solidFill>
                    <w14:schemeClr w14:val="tx1"/>
                  </w14:solidFill>
                </w14:textFill>
              </w:rPr>
            </w:pPr>
            <w:r>
              <w:rPr>
                <w:rFonts w:hint="eastAsia" w:hAnsi="宋体"/>
                <w:color w:val="000000" w:themeColor="text1"/>
                <w:sz w:val="21"/>
                <w:szCs w:val="21"/>
                <w14:textFill>
                  <w14:solidFill>
                    <w14:schemeClr w14:val="tx1"/>
                  </w14:solidFill>
                </w14:textFill>
              </w:rPr>
              <w:t>单井采油管线</w:t>
            </w:r>
          </w:p>
        </w:tc>
        <w:tc>
          <w:tcPr>
            <w:tcW w:w="405" w:type="pct"/>
          </w:tcPr>
          <w:p w14:paraId="79E184BE">
            <w:pPr>
              <w:pStyle w:val="342"/>
              <w:overflowPunct w:val="0"/>
              <w:snapToGrid w:val="0"/>
              <w:spacing w:line="300" w:lineRule="exact"/>
              <w:rPr>
                <w:rFonts w:hint="eastAsia" w:hAnsi="宋体"/>
                <w:color w:val="000000" w:themeColor="text1"/>
                <w:sz w:val="21"/>
                <w:szCs w:val="21"/>
                <w14:textFill>
                  <w14:solidFill>
                    <w14:schemeClr w14:val="tx1"/>
                  </w14:solidFill>
                </w14:textFill>
              </w:rPr>
            </w:pPr>
            <w:r>
              <w:rPr>
                <w:rFonts w:hint="eastAsia" w:hAnsi="宋体"/>
                <w:color w:val="000000" w:themeColor="text1"/>
                <w:sz w:val="21"/>
                <w:szCs w:val="21"/>
                <w14:textFill>
                  <w14:solidFill>
                    <w14:schemeClr w14:val="tx1"/>
                  </w14:solidFill>
                </w14:textFill>
              </w:rPr>
              <w:t>4.64km</w:t>
            </w:r>
          </w:p>
        </w:tc>
        <w:tc>
          <w:tcPr>
            <w:tcW w:w="488" w:type="pct"/>
            <w:vAlign w:val="center"/>
          </w:tcPr>
          <w:p w14:paraId="5BAE6103">
            <w:pPr>
              <w:pStyle w:val="342"/>
              <w:overflowPunct w:val="0"/>
              <w:snapToGrid w:val="0"/>
              <w:spacing w:line="300" w:lineRule="exact"/>
              <w:rPr>
                <w:rFonts w:hint="eastAsia" w:hAnsi="宋体"/>
                <w:color w:val="000000" w:themeColor="text1"/>
                <w:sz w:val="21"/>
                <w:szCs w:val="21"/>
                <w14:textFill>
                  <w14:solidFill>
                    <w14:schemeClr w14:val="tx1"/>
                  </w14:solidFill>
                </w14:textFill>
              </w:rPr>
            </w:pPr>
            <w:r>
              <w:rPr>
                <w:rFonts w:hint="eastAsia" w:hAnsi="宋体"/>
                <w:color w:val="000000" w:themeColor="text1"/>
                <w:sz w:val="21"/>
                <w:szCs w:val="21"/>
                <w14:textFill>
                  <w14:solidFill>
                    <w14:schemeClr w14:val="tx1"/>
                  </w14:solidFill>
                </w14:textFill>
              </w:rPr>
              <w:t>0</w:t>
            </w:r>
          </w:p>
        </w:tc>
        <w:tc>
          <w:tcPr>
            <w:tcW w:w="614" w:type="pct"/>
            <w:vAlign w:val="center"/>
          </w:tcPr>
          <w:p w14:paraId="4BCC90D2">
            <w:pPr>
              <w:pStyle w:val="342"/>
              <w:overflowPunct w:val="0"/>
              <w:snapToGrid w:val="0"/>
              <w:spacing w:line="300" w:lineRule="exact"/>
              <w:rPr>
                <w:rFonts w:hint="eastAsia" w:hAnsi="宋体"/>
                <w:color w:val="000000" w:themeColor="text1"/>
                <w:sz w:val="21"/>
                <w:szCs w:val="21"/>
                <w14:textFill>
                  <w14:solidFill>
                    <w14:schemeClr w14:val="tx1"/>
                  </w14:solidFill>
                </w14:textFill>
              </w:rPr>
            </w:pPr>
            <w:r>
              <w:rPr>
                <w:rFonts w:hint="eastAsia" w:hAnsi="宋体"/>
                <w:color w:val="000000" w:themeColor="text1"/>
                <w:sz w:val="21"/>
                <w:szCs w:val="21"/>
                <w14:textFill>
                  <w14:solidFill>
                    <w14:schemeClr w14:val="tx1"/>
                  </w14:solidFill>
                </w14:textFill>
              </w:rPr>
              <w:t>55680</w:t>
            </w:r>
          </w:p>
        </w:tc>
        <w:tc>
          <w:tcPr>
            <w:tcW w:w="485" w:type="pct"/>
            <w:tcBorders>
              <w:right w:val="single" w:color="auto" w:sz="4" w:space="0"/>
            </w:tcBorders>
            <w:vAlign w:val="center"/>
          </w:tcPr>
          <w:p w14:paraId="01DCB53D">
            <w:pPr>
              <w:pStyle w:val="342"/>
              <w:overflowPunct w:val="0"/>
              <w:snapToGrid w:val="0"/>
              <w:spacing w:line="300" w:lineRule="exact"/>
              <w:rPr>
                <w:rFonts w:hint="eastAsia" w:hAnsi="宋体"/>
                <w:color w:val="000000" w:themeColor="text1"/>
                <w:sz w:val="21"/>
                <w:szCs w:val="21"/>
                <w14:textFill>
                  <w14:solidFill>
                    <w14:schemeClr w14:val="tx1"/>
                  </w14:solidFill>
                </w14:textFill>
              </w:rPr>
            </w:pPr>
            <w:r>
              <w:rPr>
                <w:rFonts w:hint="eastAsia" w:hAnsi="宋体"/>
                <w:color w:val="000000" w:themeColor="text1"/>
                <w:sz w:val="21"/>
                <w:szCs w:val="21"/>
                <w14:textFill>
                  <w14:solidFill>
                    <w14:schemeClr w14:val="tx1"/>
                  </w14:solidFill>
                </w14:textFill>
              </w:rPr>
              <w:t>55680</w:t>
            </w:r>
          </w:p>
        </w:tc>
        <w:tc>
          <w:tcPr>
            <w:tcW w:w="1100" w:type="pct"/>
            <w:tcBorders>
              <w:left w:val="single" w:color="auto" w:sz="4" w:space="0"/>
            </w:tcBorders>
            <w:vAlign w:val="center"/>
          </w:tcPr>
          <w:p w14:paraId="0B219CB0">
            <w:pPr>
              <w:pStyle w:val="278"/>
              <w:adjustRightInd w:val="0"/>
              <w:snapToGrid w:val="0"/>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施工作业带宽度12m</w:t>
            </w:r>
          </w:p>
        </w:tc>
        <w:tc>
          <w:tcPr>
            <w:tcW w:w="608" w:type="pct"/>
            <w:tcBorders>
              <w:left w:val="single" w:color="auto" w:sz="4" w:space="0"/>
            </w:tcBorders>
          </w:tcPr>
          <w:p w14:paraId="2384AFE8">
            <w:pPr>
              <w:pStyle w:val="278"/>
              <w:adjustRightInd w:val="0"/>
              <w:snapToGrid w:val="0"/>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牧草地</w:t>
            </w:r>
          </w:p>
        </w:tc>
      </w:tr>
      <w:tr w14:paraId="60FF06A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25" w:type="pct"/>
            <w:vAlign w:val="center"/>
          </w:tcPr>
          <w:p w14:paraId="74F8960D">
            <w:pPr>
              <w:pStyle w:val="342"/>
              <w:overflowPunct w:val="0"/>
              <w:snapToGrid w:val="0"/>
              <w:spacing w:line="300" w:lineRule="exact"/>
              <w:rPr>
                <w:rFonts w:hint="eastAsia" w:hAnsi="宋体"/>
                <w:color w:val="000000" w:themeColor="text1"/>
                <w:sz w:val="21"/>
                <w:szCs w:val="21"/>
                <w14:textFill>
                  <w14:solidFill>
                    <w14:schemeClr w14:val="tx1"/>
                  </w14:solidFill>
                </w14:textFill>
              </w:rPr>
            </w:pPr>
            <w:bookmarkStart w:id="307" w:name="_Hlk206759084"/>
            <w:r>
              <w:rPr>
                <w:rFonts w:hint="eastAsia" w:hAnsi="宋体"/>
                <w:color w:val="000000" w:themeColor="text1"/>
                <w:sz w:val="21"/>
                <w:szCs w:val="21"/>
                <w14:textFill>
                  <w14:solidFill>
                    <w14:schemeClr w14:val="tx1"/>
                  </w14:solidFill>
                </w14:textFill>
              </w:rPr>
              <w:t>4</w:t>
            </w:r>
          </w:p>
        </w:tc>
        <w:tc>
          <w:tcPr>
            <w:tcW w:w="974" w:type="pct"/>
            <w:vAlign w:val="center"/>
          </w:tcPr>
          <w:p w14:paraId="7FA179E0">
            <w:pPr>
              <w:pStyle w:val="342"/>
              <w:overflowPunct w:val="0"/>
              <w:snapToGrid w:val="0"/>
              <w:spacing w:line="300" w:lineRule="exact"/>
              <w:rPr>
                <w:rFonts w:hint="eastAsia" w:hAnsi="宋体"/>
                <w:color w:val="000000" w:themeColor="text1"/>
                <w:sz w:val="21"/>
                <w:szCs w:val="21"/>
                <w14:textFill>
                  <w14:solidFill>
                    <w14:schemeClr w14:val="tx1"/>
                  </w14:solidFill>
                </w14:textFill>
              </w:rPr>
            </w:pPr>
            <w:r>
              <w:rPr>
                <w:rFonts w:hint="eastAsia" w:hAnsi="宋体"/>
                <w:color w:val="000000" w:themeColor="text1"/>
                <w:sz w:val="21"/>
                <w:szCs w:val="21"/>
                <w14:textFill>
                  <w14:solidFill>
                    <w14:schemeClr w14:val="tx1"/>
                  </w14:solidFill>
                </w14:textFill>
              </w:rPr>
              <w:t>集油干线</w:t>
            </w:r>
          </w:p>
        </w:tc>
        <w:tc>
          <w:tcPr>
            <w:tcW w:w="405" w:type="pct"/>
          </w:tcPr>
          <w:p w14:paraId="70CD866D">
            <w:pPr>
              <w:pStyle w:val="342"/>
              <w:overflowPunct w:val="0"/>
              <w:snapToGrid w:val="0"/>
              <w:spacing w:line="300" w:lineRule="exact"/>
              <w:rPr>
                <w:rFonts w:hint="eastAsia" w:hAnsi="宋体"/>
                <w:color w:val="000000" w:themeColor="text1"/>
                <w:sz w:val="21"/>
                <w:szCs w:val="21"/>
                <w14:textFill>
                  <w14:solidFill>
                    <w14:schemeClr w14:val="tx1"/>
                  </w14:solidFill>
                </w14:textFill>
              </w:rPr>
            </w:pPr>
            <w:r>
              <w:rPr>
                <w:rFonts w:hint="eastAsia" w:hAnsi="宋体"/>
                <w:color w:val="000000" w:themeColor="text1"/>
                <w:sz w:val="21"/>
                <w:szCs w:val="21"/>
                <w14:textFill>
                  <w14:solidFill>
                    <w14:schemeClr w14:val="tx1"/>
                  </w14:solidFill>
                </w14:textFill>
              </w:rPr>
              <w:t>2.3km</w:t>
            </w:r>
          </w:p>
        </w:tc>
        <w:tc>
          <w:tcPr>
            <w:tcW w:w="488" w:type="pct"/>
            <w:vAlign w:val="center"/>
          </w:tcPr>
          <w:p w14:paraId="17AAEDC6">
            <w:pPr>
              <w:pStyle w:val="342"/>
              <w:overflowPunct w:val="0"/>
              <w:snapToGrid w:val="0"/>
              <w:spacing w:line="300" w:lineRule="exact"/>
              <w:rPr>
                <w:rFonts w:hint="eastAsia" w:hAnsi="宋体"/>
                <w:color w:val="000000" w:themeColor="text1"/>
                <w:sz w:val="21"/>
                <w:szCs w:val="21"/>
                <w14:textFill>
                  <w14:solidFill>
                    <w14:schemeClr w14:val="tx1"/>
                  </w14:solidFill>
                </w14:textFill>
              </w:rPr>
            </w:pPr>
            <w:r>
              <w:rPr>
                <w:rFonts w:hint="eastAsia" w:hAnsi="宋体"/>
                <w:color w:val="000000" w:themeColor="text1"/>
                <w:sz w:val="21"/>
                <w:szCs w:val="21"/>
                <w14:textFill>
                  <w14:solidFill>
                    <w14:schemeClr w14:val="tx1"/>
                  </w14:solidFill>
                </w14:textFill>
              </w:rPr>
              <w:t>0</w:t>
            </w:r>
          </w:p>
        </w:tc>
        <w:tc>
          <w:tcPr>
            <w:tcW w:w="614" w:type="pct"/>
            <w:vAlign w:val="center"/>
          </w:tcPr>
          <w:p w14:paraId="1370873F">
            <w:pPr>
              <w:pStyle w:val="342"/>
              <w:overflowPunct w:val="0"/>
              <w:snapToGrid w:val="0"/>
              <w:spacing w:line="300" w:lineRule="exact"/>
              <w:rPr>
                <w:rFonts w:hint="eastAsia" w:hAnsi="宋体"/>
                <w:color w:val="000000" w:themeColor="text1"/>
                <w:sz w:val="21"/>
                <w:szCs w:val="21"/>
                <w14:textFill>
                  <w14:solidFill>
                    <w14:schemeClr w14:val="tx1"/>
                  </w14:solidFill>
                </w14:textFill>
              </w:rPr>
            </w:pPr>
            <w:r>
              <w:rPr>
                <w:rFonts w:hint="eastAsia" w:hAnsi="宋体"/>
                <w:color w:val="000000" w:themeColor="text1"/>
                <w:sz w:val="21"/>
                <w:szCs w:val="21"/>
                <w14:textFill>
                  <w14:solidFill>
                    <w14:schemeClr w14:val="tx1"/>
                  </w14:solidFill>
                </w14:textFill>
              </w:rPr>
              <w:t>27600</w:t>
            </w:r>
          </w:p>
        </w:tc>
        <w:tc>
          <w:tcPr>
            <w:tcW w:w="485" w:type="pct"/>
            <w:tcBorders>
              <w:right w:val="single" w:color="auto" w:sz="4" w:space="0"/>
            </w:tcBorders>
            <w:vAlign w:val="center"/>
          </w:tcPr>
          <w:p w14:paraId="5F0125D8">
            <w:pPr>
              <w:pStyle w:val="342"/>
              <w:overflowPunct w:val="0"/>
              <w:snapToGrid w:val="0"/>
              <w:spacing w:line="300" w:lineRule="exact"/>
              <w:rPr>
                <w:rFonts w:hint="eastAsia" w:hAnsi="宋体"/>
                <w:color w:val="000000" w:themeColor="text1"/>
                <w:sz w:val="21"/>
                <w:szCs w:val="21"/>
                <w14:textFill>
                  <w14:solidFill>
                    <w14:schemeClr w14:val="tx1"/>
                  </w14:solidFill>
                </w14:textFill>
              </w:rPr>
            </w:pPr>
            <w:r>
              <w:rPr>
                <w:rFonts w:hint="eastAsia" w:hAnsi="宋体"/>
                <w:color w:val="000000" w:themeColor="text1"/>
                <w:sz w:val="21"/>
                <w:szCs w:val="21"/>
                <w14:textFill>
                  <w14:solidFill>
                    <w14:schemeClr w14:val="tx1"/>
                  </w14:solidFill>
                </w14:textFill>
              </w:rPr>
              <w:t>27600</w:t>
            </w:r>
          </w:p>
        </w:tc>
        <w:tc>
          <w:tcPr>
            <w:tcW w:w="1100" w:type="pct"/>
            <w:tcBorders>
              <w:left w:val="single" w:color="auto" w:sz="4" w:space="0"/>
            </w:tcBorders>
            <w:vAlign w:val="center"/>
          </w:tcPr>
          <w:p w14:paraId="4A15C4E2">
            <w:pPr>
              <w:pStyle w:val="278"/>
              <w:adjustRightInd w:val="0"/>
              <w:snapToGrid w:val="0"/>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施工作业带宽度12</w:t>
            </w:r>
            <w:r>
              <w:rPr>
                <w:color w:val="000000" w:themeColor="text1"/>
                <w14:textFill>
                  <w14:solidFill>
                    <w14:schemeClr w14:val="tx1"/>
                  </w14:solidFill>
                </w14:textFill>
              </w:rPr>
              <w:t>m</w:t>
            </w:r>
          </w:p>
        </w:tc>
        <w:tc>
          <w:tcPr>
            <w:tcW w:w="608" w:type="pct"/>
            <w:tcBorders>
              <w:left w:val="single" w:color="auto" w:sz="4" w:space="0"/>
            </w:tcBorders>
          </w:tcPr>
          <w:p w14:paraId="402EDDC8">
            <w:pPr>
              <w:pStyle w:val="278"/>
              <w:adjustRightInd w:val="0"/>
              <w:snapToGrid w:val="0"/>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牧草地</w:t>
            </w:r>
          </w:p>
        </w:tc>
      </w:tr>
      <w:bookmarkEnd w:id="307"/>
      <w:tr w14:paraId="27071D8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25" w:type="pct"/>
            <w:vAlign w:val="center"/>
          </w:tcPr>
          <w:p w14:paraId="32AF8CC3">
            <w:pPr>
              <w:pStyle w:val="342"/>
              <w:overflowPunct w:val="0"/>
              <w:snapToGrid w:val="0"/>
              <w:spacing w:line="300" w:lineRule="exact"/>
              <w:rPr>
                <w:rFonts w:hint="eastAsia" w:hAnsi="宋体"/>
                <w:color w:val="000000" w:themeColor="text1"/>
                <w:sz w:val="21"/>
                <w:szCs w:val="21"/>
                <w14:textFill>
                  <w14:solidFill>
                    <w14:schemeClr w14:val="tx1"/>
                  </w14:solidFill>
                </w14:textFill>
              </w:rPr>
            </w:pPr>
            <w:r>
              <w:rPr>
                <w:rFonts w:hint="eastAsia" w:hAnsi="宋体"/>
                <w:color w:val="000000" w:themeColor="text1"/>
                <w:sz w:val="21"/>
                <w:szCs w:val="21"/>
                <w14:textFill>
                  <w14:solidFill>
                    <w14:schemeClr w14:val="tx1"/>
                  </w14:solidFill>
                </w14:textFill>
              </w:rPr>
              <w:t>5</w:t>
            </w:r>
          </w:p>
        </w:tc>
        <w:tc>
          <w:tcPr>
            <w:tcW w:w="974" w:type="pct"/>
            <w:vAlign w:val="center"/>
          </w:tcPr>
          <w:p w14:paraId="13B7E8FD">
            <w:pPr>
              <w:pStyle w:val="342"/>
              <w:overflowPunct w:val="0"/>
              <w:snapToGrid w:val="0"/>
              <w:spacing w:line="300" w:lineRule="exact"/>
              <w:rPr>
                <w:rFonts w:hint="eastAsia" w:hAnsi="宋体"/>
                <w:color w:val="000000" w:themeColor="text1"/>
                <w:sz w:val="21"/>
                <w:szCs w:val="21"/>
                <w14:textFill>
                  <w14:solidFill>
                    <w14:schemeClr w14:val="tx1"/>
                  </w14:solidFill>
                </w14:textFill>
              </w:rPr>
            </w:pPr>
            <w:r>
              <w:rPr>
                <w:rFonts w:hint="eastAsia" w:hAnsi="宋体"/>
                <w:color w:val="000000" w:themeColor="text1"/>
                <w:sz w:val="21"/>
                <w:szCs w:val="21"/>
                <w14:textFill>
                  <w14:solidFill>
                    <w14:schemeClr w14:val="tx1"/>
                  </w14:solidFill>
                </w14:textFill>
              </w:rPr>
              <w:t>单井注气管线</w:t>
            </w:r>
          </w:p>
        </w:tc>
        <w:tc>
          <w:tcPr>
            <w:tcW w:w="405" w:type="pct"/>
          </w:tcPr>
          <w:p w14:paraId="1171E4B7">
            <w:pPr>
              <w:pStyle w:val="342"/>
              <w:overflowPunct w:val="0"/>
              <w:snapToGrid w:val="0"/>
              <w:spacing w:line="300" w:lineRule="exact"/>
              <w:rPr>
                <w:rFonts w:hint="eastAsia" w:hAnsi="宋体"/>
                <w:color w:val="000000" w:themeColor="text1"/>
                <w:sz w:val="21"/>
                <w:szCs w:val="21"/>
                <w14:textFill>
                  <w14:solidFill>
                    <w14:schemeClr w14:val="tx1"/>
                  </w14:solidFill>
                </w14:textFill>
              </w:rPr>
            </w:pPr>
            <w:r>
              <w:rPr>
                <w:rFonts w:hint="eastAsia" w:hAnsi="宋体"/>
                <w:color w:val="000000" w:themeColor="text1"/>
                <w:sz w:val="21"/>
                <w:szCs w:val="21"/>
                <w14:textFill>
                  <w14:solidFill>
                    <w14:schemeClr w14:val="tx1"/>
                  </w14:solidFill>
                </w14:textFill>
              </w:rPr>
              <w:t>1.2km</w:t>
            </w:r>
          </w:p>
        </w:tc>
        <w:tc>
          <w:tcPr>
            <w:tcW w:w="488" w:type="pct"/>
            <w:vAlign w:val="center"/>
          </w:tcPr>
          <w:p w14:paraId="595FF9CD">
            <w:pPr>
              <w:pStyle w:val="342"/>
              <w:overflowPunct w:val="0"/>
              <w:snapToGrid w:val="0"/>
              <w:spacing w:line="300" w:lineRule="exact"/>
              <w:rPr>
                <w:rFonts w:hint="eastAsia" w:hAnsi="宋体"/>
                <w:color w:val="000000" w:themeColor="text1"/>
                <w:sz w:val="21"/>
                <w:szCs w:val="21"/>
                <w14:textFill>
                  <w14:solidFill>
                    <w14:schemeClr w14:val="tx1"/>
                  </w14:solidFill>
                </w14:textFill>
              </w:rPr>
            </w:pPr>
            <w:r>
              <w:rPr>
                <w:rFonts w:hint="eastAsia" w:hAnsi="宋体"/>
                <w:color w:val="000000" w:themeColor="text1"/>
                <w:sz w:val="21"/>
                <w:szCs w:val="21"/>
                <w14:textFill>
                  <w14:solidFill>
                    <w14:schemeClr w14:val="tx1"/>
                  </w14:solidFill>
                </w14:textFill>
              </w:rPr>
              <w:t>0</w:t>
            </w:r>
          </w:p>
        </w:tc>
        <w:tc>
          <w:tcPr>
            <w:tcW w:w="614" w:type="pct"/>
            <w:vAlign w:val="center"/>
          </w:tcPr>
          <w:p w14:paraId="51FF0596">
            <w:pPr>
              <w:pStyle w:val="342"/>
              <w:overflowPunct w:val="0"/>
              <w:snapToGrid w:val="0"/>
              <w:spacing w:line="300" w:lineRule="exact"/>
              <w:rPr>
                <w:rFonts w:hint="eastAsia" w:hAnsi="宋体"/>
                <w:color w:val="000000" w:themeColor="text1"/>
                <w:sz w:val="21"/>
                <w:szCs w:val="21"/>
                <w14:textFill>
                  <w14:solidFill>
                    <w14:schemeClr w14:val="tx1"/>
                  </w14:solidFill>
                </w14:textFill>
              </w:rPr>
            </w:pPr>
            <w:r>
              <w:rPr>
                <w:rFonts w:hint="eastAsia" w:hAnsi="宋体"/>
                <w:color w:val="000000" w:themeColor="text1"/>
                <w:sz w:val="21"/>
                <w:szCs w:val="21"/>
                <w14:textFill>
                  <w14:solidFill>
                    <w14:schemeClr w14:val="tx1"/>
                  </w14:solidFill>
                </w14:textFill>
              </w:rPr>
              <w:t>14400</w:t>
            </w:r>
          </w:p>
        </w:tc>
        <w:tc>
          <w:tcPr>
            <w:tcW w:w="485" w:type="pct"/>
            <w:tcBorders>
              <w:right w:val="single" w:color="auto" w:sz="4" w:space="0"/>
            </w:tcBorders>
            <w:vAlign w:val="center"/>
          </w:tcPr>
          <w:p w14:paraId="3F863CB6">
            <w:pPr>
              <w:pStyle w:val="342"/>
              <w:overflowPunct w:val="0"/>
              <w:snapToGrid w:val="0"/>
              <w:spacing w:line="300" w:lineRule="exact"/>
              <w:rPr>
                <w:rFonts w:hint="eastAsia" w:hAnsi="宋体"/>
                <w:color w:val="000000" w:themeColor="text1"/>
                <w:sz w:val="21"/>
                <w:szCs w:val="21"/>
                <w14:textFill>
                  <w14:solidFill>
                    <w14:schemeClr w14:val="tx1"/>
                  </w14:solidFill>
                </w14:textFill>
              </w:rPr>
            </w:pPr>
            <w:r>
              <w:rPr>
                <w:rFonts w:hint="eastAsia" w:hAnsi="宋体"/>
                <w:color w:val="000000" w:themeColor="text1"/>
                <w:sz w:val="21"/>
                <w:szCs w:val="21"/>
                <w14:textFill>
                  <w14:solidFill>
                    <w14:schemeClr w14:val="tx1"/>
                  </w14:solidFill>
                </w14:textFill>
              </w:rPr>
              <w:t>14400</w:t>
            </w:r>
          </w:p>
        </w:tc>
        <w:tc>
          <w:tcPr>
            <w:tcW w:w="1100" w:type="pct"/>
            <w:tcBorders>
              <w:left w:val="single" w:color="auto" w:sz="4" w:space="0"/>
            </w:tcBorders>
            <w:vAlign w:val="center"/>
          </w:tcPr>
          <w:p w14:paraId="1BD3D734">
            <w:pPr>
              <w:pStyle w:val="278"/>
              <w:adjustRightInd w:val="0"/>
              <w:snapToGrid w:val="0"/>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施工作业带宽度12</w:t>
            </w:r>
            <w:r>
              <w:rPr>
                <w:color w:val="000000" w:themeColor="text1"/>
                <w14:textFill>
                  <w14:solidFill>
                    <w14:schemeClr w14:val="tx1"/>
                  </w14:solidFill>
                </w14:textFill>
              </w:rPr>
              <w:t>m</w:t>
            </w:r>
          </w:p>
        </w:tc>
        <w:tc>
          <w:tcPr>
            <w:tcW w:w="608" w:type="pct"/>
            <w:tcBorders>
              <w:left w:val="single" w:color="auto" w:sz="4" w:space="0"/>
            </w:tcBorders>
          </w:tcPr>
          <w:p w14:paraId="28F3AB80">
            <w:pPr>
              <w:pStyle w:val="278"/>
              <w:adjustRightInd w:val="0"/>
              <w:snapToGrid w:val="0"/>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牧草地</w:t>
            </w:r>
          </w:p>
        </w:tc>
      </w:tr>
      <w:tr w14:paraId="2C177EF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25" w:type="pct"/>
            <w:vAlign w:val="center"/>
          </w:tcPr>
          <w:p w14:paraId="57047738">
            <w:pPr>
              <w:pStyle w:val="342"/>
              <w:overflowPunct w:val="0"/>
              <w:snapToGrid w:val="0"/>
              <w:spacing w:line="300" w:lineRule="exact"/>
              <w:rPr>
                <w:rFonts w:hint="eastAsia" w:hAnsi="宋体"/>
                <w:color w:val="000000" w:themeColor="text1"/>
                <w:sz w:val="21"/>
                <w:szCs w:val="21"/>
                <w14:textFill>
                  <w14:solidFill>
                    <w14:schemeClr w14:val="tx1"/>
                  </w14:solidFill>
                </w14:textFill>
              </w:rPr>
            </w:pPr>
            <w:r>
              <w:rPr>
                <w:rFonts w:hint="eastAsia" w:hAnsi="宋体"/>
                <w:color w:val="000000" w:themeColor="text1"/>
                <w:sz w:val="21"/>
                <w:szCs w:val="21"/>
                <w14:textFill>
                  <w14:solidFill>
                    <w14:schemeClr w14:val="tx1"/>
                  </w14:solidFill>
                </w14:textFill>
              </w:rPr>
              <w:t>6</w:t>
            </w:r>
          </w:p>
        </w:tc>
        <w:tc>
          <w:tcPr>
            <w:tcW w:w="974" w:type="pct"/>
            <w:vAlign w:val="center"/>
          </w:tcPr>
          <w:p w14:paraId="615E7B81">
            <w:pPr>
              <w:pStyle w:val="342"/>
              <w:overflowPunct w:val="0"/>
              <w:snapToGrid w:val="0"/>
              <w:spacing w:line="300" w:lineRule="exact"/>
              <w:rPr>
                <w:rFonts w:hint="eastAsia" w:hAnsi="宋体"/>
                <w:color w:val="000000" w:themeColor="text1"/>
                <w:sz w:val="21"/>
                <w:szCs w:val="21"/>
                <w14:textFill>
                  <w14:solidFill>
                    <w14:schemeClr w14:val="tx1"/>
                  </w14:solidFill>
                </w14:textFill>
              </w:rPr>
            </w:pPr>
            <w:r>
              <w:rPr>
                <w:rFonts w:hint="eastAsia" w:hAnsi="宋体"/>
                <w:color w:val="000000" w:themeColor="text1"/>
                <w:sz w:val="21"/>
                <w:szCs w:val="21"/>
                <w14:textFill>
                  <w14:solidFill>
                    <w14:schemeClr w14:val="tx1"/>
                  </w14:solidFill>
                </w14:textFill>
              </w:rPr>
              <w:t>转液管线</w:t>
            </w:r>
          </w:p>
        </w:tc>
        <w:tc>
          <w:tcPr>
            <w:tcW w:w="405" w:type="pct"/>
          </w:tcPr>
          <w:p w14:paraId="00B4EDBE">
            <w:pPr>
              <w:pStyle w:val="342"/>
              <w:overflowPunct w:val="0"/>
              <w:snapToGrid w:val="0"/>
              <w:spacing w:line="300" w:lineRule="exact"/>
              <w:rPr>
                <w:rFonts w:hint="eastAsia" w:hAnsi="宋体"/>
                <w:color w:val="000000" w:themeColor="text1"/>
                <w:sz w:val="21"/>
                <w:szCs w:val="21"/>
                <w14:textFill>
                  <w14:solidFill>
                    <w14:schemeClr w14:val="tx1"/>
                  </w14:solidFill>
                </w14:textFill>
              </w:rPr>
            </w:pPr>
            <w:r>
              <w:rPr>
                <w:rFonts w:hint="eastAsia" w:hAnsi="宋体"/>
                <w:color w:val="000000" w:themeColor="text1"/>
                <w:sz w:val="21"/>
                <w:szCs w:val="21"/>
                <w14:textFill>
                  <w14:solidFill>
                    <w14:schemeClr w14:val="tx1"/>
                  </w14:solidFill>
                </w14:textFill>
              </w:rPr>
              <w:t>1.2km</w:t>
            </w:r>
          </w:p>
        </w:tc>
        <w:tc>
          <w:tcPr>
            <w:tcW w:w="488" w:type="pct"/>
            <w:vAlign w:val="center"/>
          </w:tcPr>
          <w:p w14:paraId="38113863">
            <w:pPr>
              <w:pStyle w:val="342"/>
              <w:overflowPunct w:val="0"/>
              <w:snapToGrid w:val="0"/>
              <w:spacing w:line="300" w:lineRule="exact"/>
              <w:rPr>
                <w:rFonts w:hint="eastAsia" w:hAnsi="宋体"/>
                <w:color w:val="000000" w:themeColor="text1"/>
                <w:sz w:val="21"/>
                <w:szCs w:val="21"/>
                <w14:textFill>
                  <w14:solidFill>
                    <w14:schemeClr w14:val="tx1"/>
                  </w14:solidFill>
                </w14:textFill>
              </w:rPr>
            </w:pPr>
            <w:r>
              <w:rPr>
                <w:rFonts w:hint="eastAsia" w:hAnsi="宋体"/>
                <w:color w:val="000000" w:themeColor="text1"/>
                <w:sz w:val="21"/>
                <w:szCs w:val="21"/>
                <w14:textFill>
                  <w14:solidFill>
                    <w14:schemeClr w14:val="tx1"/>
                  </w14:solidFill>
                </w14:textFill>
              </w:rPr>
              <w:t>0</w:t>
            </w:r>
          </w:p>
        </w:tc>
        <w:tc>
          <w:tcPr>
            <w:tcW w:w="614" w:type="pct"/>
            <w:vAlign w:val="center"/>
          </w:tcPr>
          <w:p w14:paraId="07AD07CF">
            <w:pPr>
              <w:pStyle w:val="342"/>
              <w:overflowPunct w:val="0"/>
              <w:snapToGrid w:val="0"/>
              <w:spacing w:line="300" w:lineRule="exact"/>
              <w:rPr>
                <w:rFonts w:hint="eastAsia" w:hAnsi="宋体"/>
                <w:color w:val="000000" w:themeColor="text1"/>
                <w:sz w:val="21"/>
                <w:szCs w:val="21"/>
                <w14:textFill>
                  <w14:solidFill>
                    <w14:schemeClr w14:val="tx1"/>
                  </w14:solidFill>
                </w14:textFill>
              </w:rPr>
            </w:pPr>
            <w:r>
              <w:rPr>
                <w:rFonts w:hint="eastAsia" w:hAnsi="宋体"/>
                <w:color w:val="000000" w:themeColor="text1"/>
                <w:sz w:val="21"/>
                <w:szCs w:val="21"/>
                <w14:textFill>
                  <w14:solidFill>
                    <w14:schemeClr w14:val="tx1"/>
                  </w14:solidFill>
                </w14:textFill>
              </w:rPr>
              <w:t>14400</w:t>
            </w:r>
          </w:p>
        </w:tc>
        <w:tc>
          <w:tcPr>
            <w:tcW w:w="485" w:type="pct"/>
            <w:tcBorders>
              <w:right w:val="single" w:color="auto" w:sz="4" w:space="0"/>
            </w:tcBorders>
            <w:vAlign w:val="center"/>
          </w:tcPr>
          <w:p w14:paraId="141146FA">
            <w:pPr>
              <w:pStyle w:val="342"/>
              <w:overflowPunct w:val="0"/>
              <w:snapToGrid w:val="0"/>
              <w:spacing w:line="300" w:lineRule="exact"/>
              <w:rPr>
                <w:rFonts w:hint="eastAsia" w:hAnsi="宋体"/>
                <w:color w:val="000000" w:themeColor="text1"/>
                <w:sz w:val="21"/>
                <w:szCs w:val="21"/>
                <w14:textFill>
                  <w14:solidFill>
                    <w14:schemeClr w14:val="tx1"/>
                  </w14:solidFill>
                </w14:textFill>
              </w:rPr>
            </w:pPr>
            <w:r>
              <w:rPr>
                <w:rFonts w:hint="eastAsia" w:hAnsi="宋体"/>
                <w:color w:val="000000" w:themeColor="text1"/>
                <w:sz w:val="21"/>
                <w:szCs w:val="21"/>
                <w14:textFill>
                  <w14:solidFill>
                    <w14:schemeClr w14:val="tx1"/>
                  </w14:solidFill>
                </w14:textFill>
              </w:rPr>
              <w:t>14400</w:t>
            </w:r>
          </w:p>
        </w:tc>
        <w:tc>
          <w:tcPr>
            <w:tcW w:w="1100" w:type="pct"/>
            <w:tcBorders>
              <w:left w:val="single" w:color="auto" w:sz="4" w:space="0"/>
            </w:tcBorders>
            <w:vAlign w:val="center"/>
          </w:tcPr>
          <w:p w14:paraId="75DC8FD4">
            <w:pPr>
              <w:pStyle w:val="278"/>
              <w:adjustRightInd w:val="0"/>
              <w:snapToGrid w:val="0"/>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施工作业带宽度12</w:t>
            </w:r>
            <w:r>
              <w:rPr>
                <w:color w:val="000000" w:themeColor="text1"/>
                <w14:textFill>
                  <w14:solidFill>
                    <w14:schemeClr w14:val="tx1"/>
                  </w14:solidFill>
                </w14:textFill>
              </w:rPr>
              <w:t>m</w:t>
            </w:r>
          </w:p>
        </w:tc>
        <w:tc>
          <w:tcPr>
            <w:tcW w:w="608" w:type="pct"/>
            <w:tcBorders>
              <w:left w:val="single" w:color="auto" w:sz="4" w:space="0"/>
            </w:tcBorders>
          </w:tcPr>
          <w:p w14:paraId="29869BE6">
            <w:pPr>
              <w:pStyle w:val="278"/>
              <w:adjustRightInd w:val="0"/>
              <w:snapToGrid w:val="0"/>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牧草地</w:t>
            </w:r>
          </w:p>
        </w:tc>
      </w:tr>
      <w:tr w14:paraId="01D8E7C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25" w:type="pct"/>
            <w:vAlign w:val="center"/>
          </w:tcPr>
          <w:p w14:paraId="1C6F0E0C">
            <w:pPr>
              <w:pStyle w:val="342"/>
              <w:overflowPunct w:val="0"/>
              <w:snapToGrid w:val="0"/>
              <w:spacing w:line="300" w:lineRule="exact"/>
              <w:rPr>
                <w:rFonts w:hint="eastAsia" w:hAnsi="宋体"/>
                <w:color w:val="000000" w:themeColor="text1"/>
                <w:sz w:val="21"/>
                <w:szCs w:val="21"/>
                <w14:textFill>
                  <w14:solidFill>
                    <w14:schemeClr w14:val="tx1"/>
                  </w14:solidFill>
                </w14:textFill>
              </w:rPr>
            </w:pPr>
          </w:p>
        </w:tc>
        <w:tc>
          <w:tcPr>
            <w:tcW w:w="974" w:type="pct"/>
            <w:vAlign w:val="center"/>
          </w:tcPr>
          <w:p w14:paraId="6B7A91F0">
            <w:pPr>
              <w:pStyle w:val="342"/>
              <w:overflowPunct w:val="0"/>
              <w:snapToGrid w:val="0"/>
              <w:spacing w:line="300" w:lineRule="exact"/>
              <w:rPr>
                <w:rFonts w:hint="eastAsia" w:hAnsi="宋体"/>
                <w:color w:val="000000" w:themeColor="text1"/>
                <w:sz w:val="21"/>
                <w:szCs w:val="21"/>
                <w14:textFill>
                  <w14:solidFill>
                    <w14:schemeClr w14:val="tx1"/>
                  </w14:solidFill>
                </w14:textFill>
              </w:rPr>
            </w:pPr>
            <w:r>
              <w:rPr>
                <w:rFonts w:hint="eastAsia" w:hAnsi="宋体"/>
                <w:color w:val="000000" w:themeColor="text1"/>
                <w:sz w:val="21"/>
                <w:szCs w:val="21"/>
                <w14:textFill>
                  <w14:solidFill>
                    <w14:schemeClr w14:val="tx1"/>
                  </w14:solidFill>
                </w14:textFill>
              </w:rPr>
              <w:t>合计</w:t>
            </w:r>
          </w:p>
        </w:tc>
        <w:tc>
          <w:tcPr>
            <w:tcW w:w="405" w:type="pct"/>
          </w:tcPr>
          <w:p w14:paraId="583D8B23">
            <w:pPr>
              <w:pStyle w:val="342"/>
              <w:overflowPunct w:val="0"/>
              <w:snapToGrid w:val="0"/>
              <w:spacing w:line="300" w:lineRule="exact"/>
              <w:rPr>
                <w:rFonts w:hint="eastAsia" w:hAnsi="宋体"/>
                <w:color w:val="000000" w:themeColor="text1"/>
                <w:sz w:val="21"/>
                <w:szCs w:val="21"/>
                <w14:textFill>
                  <w14:solidFill>
                    <w14:schemeClr w14:val="tx1"/>
                  </w14:solidFill>
                </w14:textFill>
              </w:rPr>
            </w:pPr>
            <w:r>
              <w:rPr>
                <w:rFonts w:hint="eastAsia" w:hAnsi="宋体"/>
                <w:color w:val="000000" w:themeColor="text1"/>
                <w:sz w:val="21"/>
                <w:szCs w:val="21"/>
                <w14:textFill>
                  <w14:solidFill>
                    <w14:schemeClr w14:val="tx1"/>
                  </w14:solidFill>
                </w14:textFill>
              </w:rPr>
              <w:t>/</w:t>
            </w:r>
          </w:p>
        </w:tc>
        <w:tc>
          <w:tcPr>
            <w:tcW w:w="488" w:type="pct"/>
            <w:vAlign w:val="center"/>
          </w:tcPr>
          <w:p w14:paraId="4C0FADBB">
            <w:pPr>
              <w:pStyle w:val="342"/>
              <w:overflowPunct w:val="0"/>
              <w:snapToGrid w:val="0"/>
              <w:spacing w:line="300" w:lineRule="exact"/>
              <w:rPr>
                <w:rFonts w:hint="eastAsia" w:hAnsi="宋体"/>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6801</w:t>
            </w:r>
          </w:p>
        </w:tc>
        <w:tc>
          <w:tcPr>
            <w:tcW w:w="614" w:type="pct"/>
            <w:vAlign w:val="center"/>
          </w:tcPr>
          <w:p w14:paraId="1088CDFB">
            <w:pPr>
              <w:pStyle w:val="342"/>
              <w:overflowPunct w:val="0"/>
              <w:snapToGrid w:val="0"/>
              <w:spacing w:line="300" w:lineRule="exact"/>
              <w:rPr>
                <w:rFonts w:hint="eastAsia" w:hAnsi="宋体"/>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112080</w:t>
            </w:r>
          </w:p>
        </w:tc>
        <w:tc>
          <w:tcPr>
            <w:tcW w:w="485" w:type="pct"/>
            <w:tcBorders>
              <w:right w:val="single" w:color="auto" w:sz="4" w:space="0"/>
            </w:tcBorders>
            <w:vAlign w:val="center"/>
          </w:tcPr>
          <w:p w14:paraId="6B52D100">
            <w:pPr>
              <w:pStyle w:val="342"/>
              <w:overflowPunct w:val="0"/>
              <w:snapToGrid w:val="0"/>
              <w:spacing w:line="300" w:lineRule="exact"/>
              <w:rPr>
                <w:rFonts w:hint="eastAsia" w:hAnsi="宋体"/>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118881</w:t>
            </w:r>
          </w:p>
        </w:tc>
        <w:tc>
          <w:tcPr>
            <w:tcW w:w="1100" w:type="pct"/>
            <w:tcBorders>
              <w:left w:val="single" w:color="auto" w:sz="4" w:space="0"/>
            </w:tcBorders>
            <w:vAlign w:val="center"/>
          </w:tcPr>
          <w:p w14:paraId="6328DD64">
            <w:pPr>
              <w:pStyle w:val="278"/>
              <w:adjustRightInd w:val="0"/>
              <w:snapToGrid w:val="0"/>
              <w:spacing w:line="300" w:lineRule="exact"/>
              <w:rPr>
                <w:rFonts w:hint="eastAsia"/>
                <w:color w:val="000000" w:themeColor="text1"/>
                <w14:textFill>
                  <w14:solidFill>
                    <w14:schemeClr w14:val="tx1"/>
                  </w14:solidFill>
                </w14:textFill>
              </w:rPr>
            </w:pPr>
            <w:r>
              <w:rPr>
                <w:color w:val="000000" w:themeColor="text1"/>
                <w14:textFill>
                  <w14:solidFill>
                    <w14:schemeClr w14:val="tx1"/>
                  </w14:solidFill>
                </w14:textFill>
              </w:rPr>
              <w:t>/</w:t>
            </w:r>
          </w:p>
        </w:tc>
        <w:tc>
          <w:tcPr>
            <w:tcW w:w="608" w:type="pct"/>
            <w:tcBorders>
              <w:left w:val="single" w:color="auto" w:sz="4" w:space="0"/>
            </w:tcBorders>
            <w:vAlign w:val="center"/>
          </w:tcPr>
          <w:p w14:paraId="31C230DA">
            <w:pPr>
              <w:pStyle w:val="278"/>
              <w:adjustRightInd w:val="0"/>
              <w:snapToGrid w:val="0"/>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w:t>
            </w:r>
          </w:p>
        </w:tc>
      </w:tr>
      <w:bookmarkEnd w:id="302"/>
      <w:bookmarkEnd w:id="306"/>
    </w:tbl>
    <w:p w14:paraId="794062D4">
      <w:pPr>
        <w:pStyle w:val="117"/>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※土石方平衡</w:t>
      </w:r>
    </w:p>
    <w:p w14:paraId="361C5F4C">
      <w:pPr>
        <w:pStyle w:val="117"/>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土石方主要产生于单井采油管线、集油支线、单井注气管线、预处理注入站等建设过程中，土石方全部回填，无弃方产生。具体土石方平衡见表3.3-3。</w:t>
      </w:r>
    </w:p>
    <w:p w14:paraId="7980AFF6">
      <w:pPr>
        <w:pStyle w:val="15"/>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表3.3-3  土石方平衡一览表</w:t>
      </w:r>
    </w:p>
    <w:tbl>
      <w:tblPr>
        <w:tblStyle w:val="51"/>
        <w:tblW w:w="5000"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427"/>
        <w:gridCol w:w="1275"/>
        <w:gridCol w:w="850"/>
        <w:gridCol w:w="709"/>
        <w:gridCol w:w="3262"/>
        <w:gridCol w:w="1007"/>
        <w:gridCol w:w="1200"/>
      </w:tblGrid>
      <w:tr w14:paraId="590029B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245" w:type="pct"/>
            <w:vAlign w:val="center"/>
          </w:tcPr>
          <w:p w14:paraId="58EB69E6">
            <w:pPr>
              <w:pStyle w:val="19"/>
              <w:overflowPunct w:val="0"/>
              <w:adjustRightInd w:val="0"/>
              <w:snapToGrid w:val="0"/>
              <w:spacing w:after="0" w:line="300" w:lineRule="exact"/>
              <w:jc w:val="center"/>
              <w:rPr>
                <w:rFonts w:hint="eastAsia" w:ascii="宋体" w:hAnsi="宋体" w:cs="宋体"/>
                <w:b/>
                <w:color w:val="000000" w:themeColor="text1"/>
                <w:szCs w:val="21"/>
                <w14:textFill>
                  <w14:solidFill>
                    <w14:schemeClr w14:val="tx1"/>
                  </w14:solidFill>
                </w14:textFill>
              </w:rPr>
            </w:pPr>
            <w:r>
              <w:rPr>
                <w:rFonts w:hint="eastAsia" w:hAnsi="宋体"/>
                <w:color w:val="000000" w:themeColor="text1"/>
                <w:szCs w:val="21"/>
                <w14:textFill>
                  <w14:solidFill>
                    <w14:schemeClr w14:val="tx1"/>
                  </w14:solidFill>
                </w14:textFill>
              </w:rPr>
              <w:t>序号</w:t>
            </w:r>
          </w:p>
        </w:tc>
        <w:tc>
          <w:tcPr>
            <w:tcW w:w="730" w:type="pct"/>
            <w:vAlign w:val="center"/>
          </w:tcPr>
          <w:p w14:paraId="5A4A8E5F">
            <w:pPr>
              <w:pStyle w:val="19"/>
              <w:overflowPunct w:val="0"/>
              <w:adjustRightInd w:val="0"/>
              <w:snapToGrid w:val="0"/>
              <w:spacing w:after="0" w:line="300" w:lineRule="exact"/>
              <w:jc w:val="center"/>
              <w:rPr>
                <w:rFonts w:hint="eastAsia" w:ascii="宋体" w:hAnsi="宋体" w:cs="宋体"/>
                <w:b/>
                <w:color w:val="000000" w:themeColor="text1"/>
                <w:szCs w:val="21"/>
                <w14:textFill>
                  <w14:solidFill>
                    <w14:schemeClr w14:val="tx1"/>
                  </w14:solidFill>
                </w14:textFill>
              </w:rPr>
            </w:pPr>
            <w:r>
              <w:rPr>
                <w:rFonts w:hint="eastAsia" w:hAnsi="宋体"/>
                <w:color w:val="000000" w:themeColor="text1"/>
                <w:szCs w:val="21"/>
                <w14:textFill>
                  <w14:solidFill>
                    <w14:schemeClr w14:val="tx1"/>
                  </w14:solidFill>
                </w14:textFill>
              </w:rPr>
              <w:t>建设内容</w:t>
            </w:r>
          </w:p>
        </w:tc>
        <w:tc>
          <w:tcPr>
            <w:tcW w:w="487" w:type="pct"/>
            <w:vAlign w:val="center"/>
          </w:tcPr>
          <w:p w14:paraId="7944A8FA">
            <w:pPr>
              <w:pStyle w:val="342"/>
              <w:overflowPunct w:val="0"/>
              <w:snapToGrid w:val="0"/>
              <w:spacing w:line="300" w:lineRule="exact"/>
              <w:rPr>
                <w:rFonts w:hint="eastAsia" w:hAnsi="宋体"/>
                <w:color w:val="000000" w:themeColor="text1"/>
                <w:sz w:val="21"/>
                <w:szCs w:val="21"/>
                <w14:textFill>
                  <w14:solidFill>
                    <w14:schemeClr w14:val="tx1"/>
                  </w14:solidFill>
                </w14:textFill>
              </w:rPr>
            </w:pPr>
            <w:r>
              <w:rPr>
                <w:rFonts w:hint="eastAsia" w:hAnsi="宋体"/>
                <w:color w:val="000000" w:themeColor="text1"/>
                <w:sz w:val="21"/>
                <w:szCs w:val="21"/>
                <w14:textFill>
                  <w14:solidFill>
                    <w14:schemeClr w14:val="tx1"/>
                  </w14:solidFill>
                </w14:textFill>
              </w:rPr>
              <w:t>数量</w:t>
            </w:r>
          </w:p>
        </w:tc>
        <w:tc>
          <w:tcPr>
            <w:tcW w:w="406" w:type="pct"/>
            <w:vAlign w:val="center"/>
          </w:tcPr>
          <w:p w14:paraId="5A137030">
            <w:pPr>
              <w:pStyle w:val="342"/>
              <w:overflowPunct w:val="0"/>
              <w:snapToGrid w:val="0"/>
              <w:spacing w:line="300" w:lineRule="exact"/>
              <w:rPr>
                <w:rFonts w:hint="eastAsia" w:hAnsi="宋体"/>
                <w:color w:val="000000" w:themeColor="text1"/>
                <w:sz w:val="21"/>
                <w:szCs w:val="21"/>
                <w14:textFill>
                  <w14:solidFill>
                    <w14:schemeClr w14:val="tx1"/>
                  </w14:solidFill>
                </w14:textFill>
              </w:rPr>
            </w:pPr>
            <w:r>
              <w:rPr>
                <w:rFonts w:hint="eastAsia" w:hAnsi="宋体"/>
                <w:color w:val="000000" w:themeColor="text1"/>
                <w:sz w:val="21"/>
                <w:szCs w:val="21"/>
                <w14:textFill>
                  <w14:solidFill>
                    <w14:schemeClr w14:val="tx1"/>
                  </w14:solidFill>
                </w14:textFill>
              </w:rPr>
              <w:t>埋深</w:t>
            </w:r>
          </w:p>
        </w:tc>
        <w:tc>
          <w:tcPr>
            <w:tcW w:w="1868" w:type="pct"/>
            <w:vAlign w:val="center"/>
          </w:tcPr>
          <w:p w14:paraId="36C3B489">
            <w:pPr>
              <w:pStyle w:val="342"/>
              <w:overflowPunct w:val="0"/>
              <w:snapToGrid w:val="0"/>
              <w:spacing w:line="300" w:lineRule="exact"/>
              <w:rPr>
                <w:rFonts w:hint="eastAsia" w:hAnsi="宋体"/>
                <w:color w:val="000000" w:themeColor="text1"/>
                <w:sz w:val="21"/>
                <w:szCs w:val="21"/>
                <w14:textFill>
                  <w14:solidFill>
                    <w14:schemeClr w14:val="tx1"/>
                  </w14:solidFill>
                </w14:textFill>
              </w:rPr>
            </w:pPr>
            <w:r>
              <w:rPr>
                <w:rFonts w:hint="eastAsia" w:hAnsi="宋体"/>
                <w:color w:val="000000" w:themeColor="text1"/>
                <w:sz w:val="21"/>
                <w:szCs w:val="21"/>
                <w14:textFill>
                  <w14:solidFill>
                    <w14:schemeClr w14:val="tx1"/>
                  </w14:solidFill>
                </w14:textFill>
              </w:rPr>
              <w:t>管线施工方案</w:t>
            </w:r>
          </w:p>
        </w:tc>
        <w:tc>
          <w:tcPr>
            <w:tcW w:w="577" w:type="pct"/>
            <w:vAlign w:val="center"/>
          </w:tcPr>
          <w:p w14:paraId="0CF1B01C">
            <w:pPr>
              <w:pStyle w:val="342"/>
              <w:overflowPunct w:val="0"/>
              <w:snapToGrid w:val="0"/>
              <w:spacing w:line="300" w:lineRule="exact"/>
              <w:rPr>
                <w:rFonts w:hint="eastAsia" w:hAnsi="宋体"/>
                <w:color w:val="000000" w:themeColor="text1"/>
                <w:sz w:val="21"/>
                <w:szCs w:val="21"/>
                <w14:textFill>
                  <w14:solidFill>
                    <w14:schemeClr w14:val="tx1"/>
                  </w14:solidFill>
                </w14:textFill>
              </w:rPr>
            </w:pPr>
            <w:r>
              <w:rPr>
                <w:rFonts w:hint="eastAsia" w:hAnsi="宋体"/>
                <w:color w:val="000000" w:themeColor="text1"/>
                <w:sz w:val="21"/>
                <w:szCs w:val="21"/>
                <w14:textFill>
                  <w14:solidFill>
                    <w14:schemeClr w14:val="tx1"/>
                  </w14:solidFill>
                </w14:textFill>
              </w:rPr>
              <w:t>挖方量（m</w:t>
            </w:r>
            <w:r>
              <w:rPr>
                <w:rFonts w:hint="eastAsia" w:hAnsi="宋体"/>
                <w:color w:val="000000" w:themeColor="text1"/>
                <w:sz w:val="21"/>
                <w:szCs w:val="21"/>
                <w:vertAlign w:val="superscript"/>
                <w14:textFill>
                  <w14:solidFill>
                    <w14:schemeClr w14:val="tx1"/>
                  </w14:solidFill>
                </w14:textFill>
              </w:rPr>
              <w:t>3</w:t>
            </w:r>
            <w:r>
              <w:rPr>
                <w:rFonts w:hint="eastAsia" w:hAnsi="宋体"/>
                <w:color w:val="000000" w:themeColor="text1"/>
                <w:sz w:val="21"/>
                <w:szCs w:val="21"/>
                <w14:textFill>
                  <w14:solidFill>
                    <w14:schemeClr w14:val="tx1"/>
                  </w14:solidFill>
                </w14:textFill>
              </w:rPr>
              <w:t>）</w:t>
            </w:r>
          </w:p>
        </w:tc>
        <w:tc>
          <w:tcPr>
            <w:tcW w:w="687" w:type="pct"/>
            <w:vAlign w:val="center"/>
          </w:tcPr>
          <w:p w14:paraId="2EFDC876">
            <w:pPr>
              <w:pStyle w:val="342"/>
              <w:overflowPunct w:val="0"/>
              <w:snapToGrid w:val="0"/>
              <w:spacing w:line="300" w:lineRule="exact"/>
              <w:rPr>
                <w:rFonts w:hint="eastAsia" w:hAnsi="宋体"/>
                <w:color w:val="000000" w:themeColor="text1"/>
                <w:sz w:val="21"/>
                <w:szCs w:val="21"/>
                <w14:textFill>
                  <w14:solidFill>
                    <w14:schemeClr w14:val="tx1"/>
                  </w14:solidFill>
                </w14:textFill>
              </w:rPr>
            </w:pPr>
            <w:r>
              <w:rPr>
                <w:rFonts w:hint="eastAsia" w:hAnsi="宋体"/>
                <w:color w:val="000000" w:themeColor="text1"/>
                <w:sz w:val="21"/>
                <w:szCs w:val="21"/>
                <w14:textFill>
                  <w14:solidFill>
                    <w14:schemeClr w14:val="tx1"/>
                  </w14:solidFill>
                </w14:textFill>
              </w:rPr>
              <w:t>填方量（m</w:t>
            </w:r>
            <w:r>
              <w:rPr>
                <w:rFonts w:hint="eastAsia" w:hAnsi="宋体"/>
                <w:color w:val="000000" w:themeColor="text1"/>
                <w:sz w:val="21"/>
                <w:szCs w:val="21"/>
                <w:vertAlign w:val="superscript"/>
                <w14:textFill>
                  <w14:solidFill>
                    <w14:schemeClr w14:val="tx1"/>
                  </w14:solidFill>
                </w14:textFill>
              </w:rPr>
              <w:t>3</w:t>
            </w:r>
            <w:r>
              <w:rPr>
                <w:rFonts w:hint="eastAsia" w:hAnsi="宋体"/>
                <w:color w:val="000000" w:themeColor="text1"/>
                <w:sz w:val="21"/>
                <w:szCs w:val="21"/>
                <w14:textFill>
                  <w14:solidFill>
                    <w14:schemeClr w14:val="tx1"/>
                  </w14:solidFill>
                </w14:textFill>
              </w:rPr>
              <w:t>）</w:t>
            </w:r>
          </w:p>
        </w:tc>
      </w:tr>
      <w:tr w14:paraId="106FA31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245" w:type="pct"/>
            <w:vAlign w:val="center"/>
          </w:tcPr>
          <w:p w14:paraId="764E0D73">
            <w:pPr>
              <w:pStyle w:val="342"/>
              <w:overflowPunct w:val="0"/>
              <w:snapToGrid w:val="0"/>
              <w:spacing w:line="300" w:lineRule="exact"/>
              <w:rPr>
                <w:rFonts w:hint="eastAsia" w:hAnsi="宋体"/>
                <w:color w:val="000000" w:themeColor="text1"/>
                <w:sz w:val="21"/>
                <w:szCs w:val="21"/>
                <w14:textFill>
                  <w14:solidFill>
                    <w14:schemeClr w14:val="tx1"/>
                  </w14:solidFill>
                </w14:textFill>
              </w:rPr>
            </w:pPr>
            <w:r>
              <w:rPr>
                <w:rFonts w:hint="eastAsia" w:hAnsi="宋体"/>
                <w:color w:val="000000" w:themeColor="text1"/>
                <w:sz w:val="21"/>
                <w:szCs w:val="21"/>
                <w14:textFill>
                  <w14:solidFill>
                    <w14:schemeClr w14:val="tx1"/>
                  </w14:solidFill>
                </w14:textFill>
              </w:rPr>
              <w:t>1</w:t>
            </w:r>
          </w:p>
        </w:tc>
        <w:tc>
          <w:tcPr>
            <w:tcW w:w="730" w:type="pct"/>
            <w:vAlign w:val="center"/>
          </w:tcPr>
          <w:p w14:paraId="2B66F428">
            <w:pPr>
              <w:pStyle w:val="342"/>
              <w:overflowPunct w:val="0"/>
              <w:snapToGrid w:val="0"/>
              <w:spacing w:line="300" w:lineRule="exact"/>
              <w:rPr>
                <w:rFonts w:hint="eastAsia" w:hAnsi="宋体"/>
                <w:color w:val="000000" w:themeColor="text1"/>
                <w:sz w:val="21"/>
                <w:szCs w:val="21"/>
                <w14:textFill>
                  <w14:solidFill>
                    <w14:schemeClr w14:val="tx1"/>
                  </w14:solidFill>
                </w14:textFill>
              </w:rPr>
            </w:pPr>
            <w:r>
              <w:rPr>
                <w:rFonts w:hint="eastAsia" w:hAnsi="宋体"/>
                <w:color w:val="000000" w:themeColor="text1"/>
                <w:sz w:val="21"/>
                <w:szCs w:val="21"/>
                <w14:textFill>
                  <w14:solidFill>
                    <w14:schemeClr w14:val="tx1"/>
                  </w14:solidFill>
                </w14:textFill>
              </w:rPr>
              <w:t>单井采油管线</w:t>
            </w:r>
          </w:p>
        </w:tc>
        <w:tc>
          <w:tcPr>
            <w:tcW w:w="487" w:type="pct"/>
            <w:vAlign w:val="center"/>
          </w:tcPr>
          <w:p w14:paraId="27B17448">
            <w:pPr>
              <w:pStyle w:val="342"/>
              <w:overflowPunct w:val="0"/>
              <w:snapToGrid w:val="0"/>
              <w:spacing w:line="300" w:lineRule="exact"/>
              <w:rPr>
                <w:rFonts w:hint="eastAsia" w:hAnsi="宋体"/>
                <w:color w:val="000000" w:themeColor="text1"/>
                <w:sz w:val="21"/>
                <w:szCs w:val="21"/>
                <w14:textFill>
                  <w14:solidFill>
                    <w14:schemeClr w14:val="tx1"/>
                  </w14:solidFill>
                </w14:textFill>
              </w:rPr>
            </w:pPr>
            <w:r>
              <w:rPr>
                <w:rFonts w:hint="eastAsia" w:hAnsi="宋体"/>
                <w:color w:val="000000" w:themeColor="text1"/>
                <w:sz w:val="21"/>
                <w:szCs w:val="21"/>
                <w14:textFill>
                  <w14:solidFill>
                    <w14:schemeClr w14:val="tx1"/>
                  </w14:solidFill>
                </w14:textFill>
              </w:rPr>
              <w:t>4.64km</w:t>
            </w:r>
          </w:p>
        </w:tc>
        <w:tc>
          <w:tcPr>
            <w:tcW w:w="406" w:type="pct"/>
            <w:vAlign w:val="center"/>
          </w:tcPr>
          <w:p w14:paraId="5DC6A826">
            <w:pPr>
              <w:pStyle w:val="342"/>
              <w:overflowPunct w:val="0"/>
              <w:snapToGrid w:val="0"/>
              <w:spacing w:line="300" w:lineRule="exact"/>
              <w:rPr>
                <w:rFonts w:hint="eastAsia" w:hAnsi="宋体"/>
                <w:color w:val="000000" w:themeColor="text1"/>
                <w:sz w:val="21"/>
                <w:szCs w:val="21"/>
                <w14:textFill>
                  <w14:solidFill>
                    <w14:schemeClr w14:val="tx1"/>
                  </w14:solidFill>
                </w14:textFill>
              </w:rPr>
            </w:pPr>
            <w:r>
              <w:rPr>
                <w:rFonts w:hint="eastAsia" w:hAnsi="宋体"/>
                <w:color w:val="000000" w:themeColor="text1"/>
                <w:sz w:val="21"/>
                <w:szCs w:val="21"/>
                <w14:textFill>
                  <w14:solidFill>
                    <w14:schemeClr w14:val="tx1"/>
                  </w14:solidFill>
                </w14:textFill>
              </w:rPr>
              <w:t>-1.7m</w:t>
            </w:r>
          </w:p>
        </w:tc>
        <w:tc>
          <w:tcPr>
            <w:tcW w:w="1868" w:type="pct"/>
            <w:vAlign w:val="center"/>
          </w:tcPr>
          <w:p w14:paraId="292DAA46">
            <w:pPr>
              <w:pStyle w:val="342"/>
              <w:overflowPunct w:val="0"/>
              <w:snapToGrid w:val="0"/>
              <w:spacing w:line="300" w:lineRule="exact"/>
              <w:rPr>
                <w:rFonts w:hint="eastAsia" w:hAnsi="宋体"/>
                <w:color w:val="000000" w:themeColor="text1"/>
                <w:sz w:val="21"/>
                <w:szCs w:val="21"/>
                <w14:textFill>
                  <w14:solidFill>
                    <w14:schemeClr w14:val="tx1"/>
                  </w14:solidFill>
                </w14:textFill>
              </w:rPr>
            </w:pPr>
            <w:bookmarkStart w:id="308" w:name="OLE_LINK65"/>
            <w:r>
              <w:rPr>
                <w:rFonts w:hint="eastAsia" w:hAnsi="宋体"/>
                <w:color w:val="000000" w:themeColor="text1"/>
                <w:sz w:val="21"/>
                <w:szCs w:val="21"/>
                <w14:textFill>
                  <w14:solidFill>
                    <w14:schemeClr w14:val="tx1"/>
                  </w14:solidFill>
                </w14:textFill>
              </w:rPr>
              <w:t>沟底开挖宽度0.9m，坡比1:0.33</w:t>
            </w:r>
            <w:bookmarkEnd w:id="308"/>
          </w:p>
        </w:tc>
        <w:tc>
          <w:tcPr>
            <w:tcW w:w="577" w:type="pct"/>
            <w:vAlign w:val="center"/>
          </w:tcPr>
          <w:p w14:paraId="57EA0B8E">
            <w:pPr>
              <w:pStyle w:val="342"/>
              <w:overflowPunct w:val="0"/>
              <w:snapToGrid w:val="0"/>
              <w:spacing w:line="300" w:lineRule="exact"/>
              <w:rPr>
                <w:rFonts w:hint="eastAsia" w:hAnsi="宋体"/>
                <w:color w:val="000000" w:themeColor="text1"/>
                <w:sz w:val="21"/>
                <w:szCs w:val="21"/>
                <w14:textFill>
                  <w14:solidFill>
                    <w14:schemeClr w14:val="tx1"/>
                  </w14:solidFill>
                </w14:textFill>
              </w:rPr>
            </w:pPr>
            <w:r>
              <w:rPr>
                <w:rFonts w:hint="eastAsia" w:hAnsi="宋体"/>
                <w:color w:val="000000" w:themeColor="text1"/>
                <w:sz w:val="21"/>
                <w:szCs w:val="21"/>
                <w14:textFill>
                  <w14:solidFill>
                    <w14:schemeClr w14:val="tx1"/>
                  </w14:solidFill>
                </w14:textFill>
              </w:rPr>
              <w:t>12478</w:t>
            </w:r>
          </w:p>
        </w:tc>
        <w:tc>
          <w:tcPr>
            <w:tcW w:w="687" w:type="pct"/>
            <w:vAlign w:val="center"/>
          </w:tcPr>
          <w:p w14:paraId="48CA3568">
            <w:pPr>
              <w:pStyle w:val="342"/>
              <w:overflowPunct w:val="0"/>
              <w:snapToGrid w:val="0"/>
              <w:spacing w:line="300" w:lineRule="exact"/>
              <w:rPr>
                <w:rFonts w:hint="eastAsia" w:hAnsi="宋体"/>
                <w:color w:val="000000" w:themeColor="text1"/>
                <w:sz w:val="21"/>
                <w:szCs w:val="21"/>
                <w14:textFill>
                  <w14:solidFill>
                    <w14:schemeClr w14:val="tx1"/>
                  </w14:solidFill>
                </w14:textFill>
              </w:rPr>
            </w:pPr>
            <w:r>
              <w:rPr>
                <w:rFonts w:hint="eastAsia" w:hAnsi="宋体"/>
                <w:color w:val="000000" w:themeColor="text1"/>
                <w:sz w:val="21"/>
                <w:szCs w:val="21"/>
                <w14:textFill>
                  <w14:solidFill>
                    <w14:schemeClr w14:val="tx1"/>
                  </w14:solidFill>
                </w14:textFill>
              </w:rPr>
              <w:t>12478</w:t>
            </w:r>
          </w:p>
        </w:tc>
      </w:tr>
      <w:tr w14:paraId="6FE7871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245" w:type="pct"/>
            <w:vAlign w:val="center"/>
          </w:tcPr>
          <w:p w14:paraId="25CF4CD8">
            <w:pPr>
              <w:pStyle w:val="342"/>
              <w:overflowPunct w:val="0"/>
              <w:snapToGrid w:val="0"/>
              <w:spacing w:line="300" w:lineRule="exact"/>
              <w:rPr>
                <w:rFonts w:hint="eastAsia" w:hAnsi="宋体"/>
                <w:color w:val="000000" w:themeColor="text1"/>
                <w:sz w:val="21"/>
                <w:szCs w:val="21"/>
                <w14:textFill>
                  <w14:solidFill>
                    <w14:schemeClr w14:val="tx1"/>
                  </w14:solidFill>
                </w14:textFill>
              </w:rPr>
            </w:pPr>
            <w:r>
              <w:rPr>
                <w:rFonts w:hAnsi="宋体"/>
                <w:color w:val="000000" w:themeColor="text1"/>
                <w:sz w:val="21"/>
                <w:szCs w:val="21"/>
                <w14:textFill>
                  <w14:solidFill>
                    <w14:schemeClr w14:val="tx1"/>
                  </w14:solidFill>
                </w14:textFill>
              </w:rPr>
              <w:t>2</w:t>
            </w:r>
          </w:p>
        </w:tc>
        <w:tc>
          <w:tcPr>
            <w:tcW w:w="730" w:type="pct"/>
            <w:vAlign w:val="center"/>
          </w:tcPr>
          <w:p w14:paraId="1CC3BE82">
            <w:pPr>
              <w:pStyle w:val="342"/>
              <w:overflowPunct w:val="0"/>
              <w:snapToGrid w:val="0"/>
              <w:spacing w:line="300" w:lineRule="exact"/>
              <w:rPr>
                <w:rFonts w:hint="eastAsia" w:hAnsi="宋体"/>
                <w:color w:val="000000" w:themeColor="text1"/>
                <w:sz w:val="21"/>
                <w:szCs w:val="21"/>
                <w14:textFill>
                  <w14:solidFill>
                    <w14:schemeClr w14:val="tx1"/>
                  </w14:solidFill>
                </w14:textFill>
              </w:rPr>
            </w:pPr>
            <w:r>
              <w:rPr>
                <w:rFonts w:hint="eastAsia" w:hAnsi="宋体"/>
                <w:color w:val="000000" w:themeColor="text1"/>
                <w:sz w:val="21"/>
                <w:szCs w:val="21"/>
                <w14:textFill>
                  <w14:solidFill>
                    <w14:schemeClr w14:val="tx1"/>
                  </w14:solidFill>
                </w14:textFill>
              </w:rPr>
              <w:t>集油支线</w:t>
            </w:r>
          </w:p>
        </w:tc>
        <w:tc>
          <w:tcPr>
            <w:tcW w:w="487" w:type="pct"/>
            <w:vAlign w:val="center"/>
          </w:tcPr>
          <w:p w14:paraId="1C703202">
            <w:pPr>
              <w:pStyle w:val="342"/>
              <w:overflowPunct w:val="0"/>
              <w:snapToGrid w:val="0"/>
              <w:spacing w:line="300" w:lineRule="exact"/>
              <w:rPr>
                <w:rFonts w:hint="eastAsia" w:hAnsi="宋体"/>
                <w:color w:val="000000" w:themeColor="text1"/>
                <w:sz w:val="21"/>
                <w:szCs w:val="21"/>
                <w14:textFill>
                  <w14:solidFill>
                    <w14:schemeClr w14:val="tx1"/>
                  </w14:solidFill>
                </w14:textFill>
              </w:rPr>
            </w:pPr>
            <w:r>
              <w:rPr>
                <w:rFonts w:hint="eastAsia" w:hAnsi="宋体"/>
                <w:color w:val="000000" w:themeColor="text1"/>
                <w:sz w:val="21"/>
                <w:szCs w:val="21"/>
                <w14:textFill>
                  <w14:solidFill>
                    <w14:schemeClr w14:val="tx1"/>
                  </w14:solidFill>
                </w14:textFill>
              </w:rPr>
              <w:t>2.3km</w:t>
            </w:r>
          </w:p>
        </w:tc>
        <w:tc>
          <w:tcPr>
            <w:tcW w:w="406" w:type="pct"/>
            <w:vAlign w:val="center"/>
          </w:tcPr>
          <w:p w14:paraId="173B33B9">
            <w:pPr>
              <w:pStyle w:val="342"/>
              <w:overflowPunct w:val="0"/>
              <w:snapToGrid w:val="0"/>
              <w:spacing w:line="300" w:lineRule="exact"/>
              <w:rPr>
                <w:rFonts w:hint="eastAsia" w:hAnsi="宋体"/>
                <w:color w:val="000000" w:themeColor="text1"/>
                <w:sz w:val="21"/>
                <w:szCs w:val="21"/>
                <w14:textFill>
                  <w14:solidFill>
                    <w14:schemeClr w14:val="tx1"/>
                  </w14:solidFill>
                </w14:textFill>
              </w:rPr>
            </w:pPr>
            <w:r>
              <w:rPr>
                <w:rFonts w:hint="eastAsia" w:hAnsi="宋体"/>
                <w:color w:val="000000" w:themeColor="text1"/>
                <w:sz w:val="21"/>
                <w:szCs w:val="21"/>
                <w14:textFill>
                  <w14:solidFill>
                    <w14:schemeClr w14:val="tx1"/>
                  </w14:solidFill>
                </w14:textFill>
              </w:rPr>
              <w:t>-1.9m</w:t>
            </w:r>
          </w:p>
        </w:tc>
        <w:tc>
          <w:tcPr>
            <w:tcW w:w="1868" w:type="pct"/>
            <w:vAlign w:val="center"/>
          </w:tcPr>
          <w:p w14:paraId="553BEE23">
            <w:pPr>
              <w:pStyle w:val="342"/>
              <w:overflowPunct w:val="0"/>
              <w:snapToGrid w:val="0"/>
              <w:spacing w:line="300" w:lineRule="exact"/>
              <w:rPr>
                <w:rFonts w:hint="eastAsia" w:hAnsi="宋体"/>
                <w:color w:val="000000" w:themeColor="text1"/>
                <w:sz w:val="21"/>
                <w:szCs w:val="21"/>
                <w14:textFill>
                  <w14:solidFill>
                    <w14:schemeClr w14:val="tx1"/>
                  </w14:solidFill>
                </w14:textFill>
              </w:rPr>
            </w:pPr>
            <w:r>
              <w:rPr>
                <w:rFonts w:hint="eastAsia" w:hAnsi="宋体"/>
                <w:color w:val="000000" w:themeColor="text1"/>
                <w:sz w:val="21"/>
                <w:szCs w:val="21"/>
                <w14:textFill>
                  <w14:solidFill>
                    <w14:schemeClr w14:val="tx1"/>
                  </w14:solidFill>
                </w14:textFill>
              </w:rPr>
              <w:t>沟底开挖宽度1m，坡比1:0.33</w:t>
            </w:r>
          </w:p>
        </w:tc>
        <w:tc>
          <w:tcPr>
            <w:tcW w:w="577" w:type="pct"/>
            <w:vAlign w:val="center"/>
          </w:tcPr>
          <w:p w14:paraId="772B9BD0">
            <w:pPr>
              <w:pStyle w:val="342"/>
              <w:overflowPunct w:val="0"/>
              <w:snapToGrid w:val="0"/>
              <w:spacing w:line="300" w:lineRule="exact"/>
              <w:rPr>
                <w:rFonts w:hint="eastAsia" w:hAnsi="宋体"/>
                <w:color w:val="000000" w:themeColor="text1"/>
                <w:sz w:val="21"/>
                <w:szCs w:val="21"/>
                <w14:textFill>
                  <w14:solidFill>
                    <w14:schemeClr w14:val="tx1"/>
                  </w14:solidFill>
                </w14:textFill>
              </w:rPr>
            </w:pPr>
            <w:r>
              <w:rPr>
                <w:rFonts w:hint="eastAsia" w:hAnsi="宋体"/>
                <w:color w:val="000000" w:themeColor="text1"/>
                <w:sz w:val="21"/>
                <w:szCs w:val="21"/>
                <w14:textFill>
                  <w14:solidFill>
                    <w14:schemeClr w14:val="tx1"/>
                  </w14:solidFill>
                </w14:textFill>
              </w:rPr>
              <w:t>7110</w:t>
            </w:r>
          </w:p>
        </w:tc>
        <w:tc>
          <w:tcPr>
            <w:tcW w:w="687" w:type="pct"/>
            <w:vAlign w:val="center"/>
          </w:tcPr>
          <w:p w14:paraId="5F05785E">
            <w:pPr>
              <w:pStyle w:val="342"/>
              <w:overflowPunct w:val="0"/>
              <w:snapToGrid w:val="0"/>
              <w:spacing w:line="300" w:lineRule="exact"/>
              <w:rPr>
                <w:rFonts w:hint="eastAsia" w:hAnsi="宋体"/>
                <w:color w:val="000000" w:themeColor="text1"/>
                <w:sz w:val="21"/>
                <w:szCs w:val="21"/>
                <w14:textFill>
                  <w14:solidFill>
                    <w14:schemeClr w14:val="tx1"/>
                  </w14:solidFill>
                </w14:textFill>
              </w:rPr>
            </w:pPr>
            <w:r>
              <w:rPr>
                <w:rFonts w:hint="eastAsia" w:hAnsi="宋体"/>
                <w:color w:val="000000" w:themeColor="text1"/>
                <w:sz w:val="21"/>
                <w:szCs w:val="21"/>
                <w14:textFill>
                  <w14:solidFill>
                    <w14:schemeClr w14:val="tx1"/>
                  </w14:solidFill>
                </w14:textFill>
              </w:rPr>
              <w:t>7110</w:t>
            </w:r>
          </w:p>
        </w:tc>
      </w:tr>
      <w:tr w14:paraId="65287D4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245" w:type="pct"/>
            <w:vAlign w:val="center"/>
          </w:tcPr>
          <w:p w14:paraId="20364823">
            <w:pPr>
              <w:pStyle w:val="342"/>
              <w:overflowPunct w:val="0"/>
              <w:snapToGrid w:val="0"/>
              <w:spacing w:line="300" w:lineRule="exact"/>
              <w:rPr>
                <w:rFonts w:hint="eastAsia" w:hAnsi="宋体"/>
                <w:color w:val="000000" w:themeColor="text1"/>
                <w:sz w:val="21"/>
                <w:szCs w:val="21"/>
                <w14:textFill>
                  <w14:solidFill>
                    <w14:schemeClr w14:val="tx1"/>
                  </w14:solidFill>
                </w14:textFill>
              </w:rPr>
            </w:pPr>
            <w:r>
              <w:rPr>
                <w:rFonts w:hint="eastAsia" w:hAnsi="宋体"/>
                <w:color w:val="000000" w:themeColor="text1"/>
                <w:sz w:val="21"/>
                <w:szCs w:val="21"/>
                <w14:textFill>
                  <w14:solidFill>
                    <w14:schemeClr w14:val="tx1"/>
                  </w14:solidFill>
                </w14:textFill>
              </w:rPr>
              <w:t>3</w:t>
            </w:r>
          </w:p>
        </w:tc>
        <w:tc>
          <w:tcPr>
            <w:tcW w:w="730" w:type="pct"/>
            <w:vAlign w:val="center"/>
          </w:tcPr>
          <w:p w14:paraId="5D7A24FB">
            <w:pPr>
              <w:pStyle w:val="342"/>
              <w:overflowPunct w:val="0"/>
              <w:snapToGrid w:val="0"/>
              <w:spacing w:line="300" w:lineRule="exact"/>
              <w:rPr>
                <w:rFonts w:hint="eastAsia" w:hAnsi="宋体"/>
                <w:color w:val="000000" w:themeColor="text1"/>
                <w:sz w:val="21"/>
                <w:szCs w:val="21"/>
                <w14:textFill>
                  <w14:solidFill>
                    <w14:schemeClr w14:val="tx1"/>
                  </w14:solidFill>
                </w14:textFill>
              </w:rPr>
            </w:pPr>
            <w:r>
              <w:rPr>
                <w:rFonts w:hint="eastAsia" w:hAnsi="宋体"/>
                <w:color w:val="000000" w:themeColor="text1"/>
                <w:sz w:val="21"/>
                <w:szCs w:val="21"/>
                <w14:textFill>
                  <w14:solidFill>
                    <w14:schemeClr w14:val="tx1"/>
                  </w14:solidFill>
                </w14:textFill>
              </w:rPr>
              <w:t>单井注气管线</w:t>
            </w:r>
          </w:p>
        </w:tc>
        <w:tc>
          <w:tcPr>
            <w:tcW w:w="487" w:type="pct"/>
            <w:vAlign w:val="center"/>
          </w:tcPr>
          <w:p w14:paraId="31E988DA">
            <w:pPr>
              <w:pStyle w:val="342"/>
              <w:overflowPunct w:val="0"/>
              <w:snapToGrid w:val="0"/>
              <w:spacing w:line="300" w:lineRule="exact"/>
              <w:rPr>
                <w:rFonts w:hint="eastAsia" w:hAnsi="宋体"/>
                <w:color w:val="000000" w:themeColor="text1"/>
                <w:sz w:val="21"/>
                <w:szCs w:val="21"/>
                <w14:textFill>
                  <w14:solidFill>
                    <w14:schemeClr w14:val="tx1"/>
                  </w14:solidFill>
                </w14:textFill>
              </w:rPr>
            </w:pPr>
            <w:r>
              <w:rPr>
                <w:rFonts w:hint="eastAsia" w:hAnsi="宋体"/>
                <w:color w:val="000000" w:themeColor="text1"/>
                <w:sz w:val="21"/>
                <w:szCs w:val="21"/>
                <w14:textFill>
                  <w14:solidFill>
                    <w14:schemeClr w14:val="tx1"/>
                  </w14:solidFill>
                </w14:textFill>
              </w:rPr>
              <w:t>1.2km</w:t>
            </w:r>
          </w:p>
        </w:tc>
        <w:tc>
          <w:tcPr>
            <w:tcW w:w="406" w:type="pct"/>
            <w:vAlign w:val="center"/>
          </w:tcPr>
          <w:p w14:paraId="6733DA9A">
            <w:pPr>
              <w:pStyle w:val="342"/>
              <w:overflowPunct w:val="0"/>
              <w:snapToGrid w:val="0"/>
              <w:spacing w:line="300" w:lineRule="exact"/>
              <w:rPr>
                <w:rFonts w:hint="eastAsia" w:hAnsi="宋体"/>
                <w:color w:val="000000" w:themeColor="text1"/>
                <w:sz w:val="21"/>
                <w:szCs w:val="21"/>
                <w14:textFill>
                  <w14:solidFill>
                    <w14:schemeClr w14:val="tx1"/>
                  </w14:solidFill>
                </w14:textFill>
              </w:rPr>
            </w:pPr>
            <w:r>
              <w:rPr>
                <w:rFonts w:hint="eastAsia" w:hAnsi="宋体"/>
                <w:color w:val="000000" w:themeColor="text1"/>
                <w:sz w:val="21"/>
                <w:szCs w:val="21"/>
                <w14:textFill>
                  <w14:solidFill>
                    <w14:schemeClr w14:val="tx1"/>
                  </w14:solidFill>
                </w14:textFill>
              </w:rPr>
              <w:t>-1.9m</w:t>
            </w:r>
          </w:p>
        </w:tc>
        <w:tc>
          <w:tcPr>
            <w:tcW w:w="1868" w:type="pct"/>
            <w:vAlign w:val="center"/>
          </w:tcPr>
          <w:p w14:paraId="4B5623C1">
            <w:pPr>
              <w:pStyle w:val="342"/>
              <w:overflowPunct w:val="0"/>
              <w:snapToGrid w:val="0"/>
              <w:spacing w:line="300" w:lineRule="exact"/>
              <w:rPr>
                <w:rFonts w:hint="eastAsia" w:hAnsi="宋体"/>
                <w:color w:val="000000" w:themeColor="text1"/>
                <w:sz w:val="21"/>
                <w:szCs w:val="21"/>
                <w14:textFill>
                  <w14:solidFill>
                    <w14:schemeClr w14:val="tx1"/>
                  </w14:solidFill>
                </w14:textFill>
              </w:rPr>
            </w:pPr>
            <w:r>
              <w:rPr>
                <w:rFonts w:hint="eastAsia" w:hAnsi="宋体"/>
                <w:color w:val="000000" w:themeColor="text1"/>
                <w:sz w:val="21"/>
                <w:szCs w:val="21"/>
                <w14:textFill>
                  <w14:solidFill>
                    <w14:schemeClr w14:val="tx1"/>
                  </w14:solidFill>
                </w14:textFill>
              </w:rPr>
              <w:t>沟底开挖宽度1m，坡比1:0.33</w:t>
            </w:r>
          </w:p>
        </w:tc>
        <w:tc>
          <w:tcPr>
            <w:tcW w:w="577" w:type="pct"/>
            <w:vAlign w:val="center"/>
          </w:tcPr>
          <w:p w14:paraId="42A68CD6">
            <w:pPr>
              <w:pStyle w:val="342"/>
              <w:overflowPunct w:val="0"/>
              <w:snapToGrid w:val="0"/>
              <w:spacing w:line="300" w:lineRule="exact"/>
              <w:rPr>
                <w:rFonts w:hint="eastAsia" w:hAnsi="宋体"/>
                <w:color w:val="000000" w:themeColor="text1"/>
                <w:sz w:val="21"/>
                <w:szCs w:val="21"/>
                <w14:textFill>
                  <w14:solidFill>
                    <w14:schemeClr w14:val="tx1"/>
                  </w14:solidFill>
                </w14:textFill>
              </w:rPr>
            </w:pPr>
            <w:r>
              <w:rPr>
                <w:rFonts w:hint="eastAsia" w:hAnsi="宋体"/>
                <w:color w:val="000000" w:themeColor="text1"/>
                <w:sz w:val="21"/>
                <w:szCs w:val="21"/>
                <w14:textFill>
                  <w14:solidFill>
                    <w14:schemeClr w14:val="tx1"/>
                  </w14:solidFill>
                </w14:textFill>
              </w:rPr>
              <w:t>3710</w:t>
            </w:r>
          </w:p>
        </w:tc>
        <w:tc>
          <w:tcPr>
            <w:tcW w:w="687" w:type="pct"/>
            <w:vAlign w:val="center"/>
          </w:tcPr>
          <w:p w14:paraId="0A75D2E6">
            <w:pPr>
              <w:pStyle w:val="342"/>
              <w:overflowPunct w:val="0"/>
              <w:snapToGrid w:val="0"/>
              <w:spacing w:line="300" w:lineRule="exact"/>
              <w:rPr>
                <w:rFonts w:hint="eastAsia" w:hAnsi="宋体"/>
                <w:color w:val="000000" w:themeColor="text1"/>
                <w:sz w:val="21"/>
                <w:szCs w:val="21"/>
                <w14:textFill>
                  <w14:solidFill>
                    <w14:schemeClr w14:val="tx1"/>
                  </w14:solidFill>
                </w14:textFill>
              </w:rPr>
            </w:pPr>
            <w:r>
              <w:rPr>
                <w:rFonts w:hint="eastAsia" w:hAnsi="宋体"/>
                <w:color w:val="000000" w:themeColor="text1"/>
                <w:sz w:val="21"/>
                <w:szCs w:val="21"/>
                <w14:textFill>
                  <w14:solidFill>
                    <w14:schemeClr w14:val="tx1"/>
                  </w14:solidFill>
                </w14:textFill>
              </w:rPr>
              <w:t>3710</w:t>
            </w:r>
          </w:p>
        </w:tc>
      </w:tr>
      <w:tr w14:paraId="5C2F8AF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245" w:type="pct"/>
            <w:vAlign w:val="center"/>
          </w:tcPr>
          <w:p w14:paraId="5D5AB75A">
            <w:pPr>
              <w:pStyle w:val="342"/>
              <w:overflowPunct w:val="0"/>
              <w:snapToGrid w:val="0"/>
              <w:spacing w:line="300" w:lineRule="exact"/>
              <w:rPr>
                <w:rFonts w:hint="eastAsia" w:hAnsi="宋体"/>
                <w:color w:val="000000" w:themeColor="text1"/>
                <w:sz w:val="21"/>
                <w:szCs w:val="21"/>
                <w14:textFill>
                  <w14:solidFill>
                    <w14:schemeClr w14:val="tx1"/>
                  </w14:solidFill>
                </w14:textFill>
              </w:rPr>
            </w:pPr>
            <w:r>
              <w:rPr>
                <w:rFonts w:hint="eastAsia" w:hAnsi="宋体"/>
                <w:color w:val="000000" w:themeColor="text1"/>
                <w:sz w:val="21"/>
                <w:szCs w:val="21"/>
                <w14:textFill>
                  <w14:solidFill>
                    <w14:schemeClr w14:val="tx1"/>
                  </w14:solidFill>
                </w14:textFill>
              </w:rPr>
              <w:t>4</w:t>
            </w:r>
          </w:p>
        </w:tc>
        <w:tc>
          <w:tcPr>
            <w:tcW w:w="730" w:type="pct"/>
            <w:vAlign w:val="center"/>
          </w:tcPr>
          <w:p w14:paraId="7C38D820">
            <w:pPr>
              <w:pStyle w:val="342"/>
              <w:overflowPunct w:val="0"/>
              <w:snapToGrid w:val="0"/>
              <w:spacing w:line="300" w:lineRule="exact"/>
              <w:rPr>
                <w:rFonts w:hint="eastAsia" w:hAnsi="宋体"/>
                <w:color w:val="000000" w:themeColor="text1"/>
                <w:sz w:val="21"/>
                <w:szCs w:val="21"/>
                <w14:textFill>
                  <w14:solidFill>
                    <w14:schemeClr w14:val="tx1"/>
                  </w14:solidFill>
                </w14:textFill>
              </w:rPr>
            </w:pPr>
            <w:r>
              <w:rPr>
                <w:rFonts w:hint="eastAsia" w:hAnsi="宋体"/>
                <w:color w:val="000000" w:themeColor="text1"/>
                <w:sz w:val="21"/>
                <w:szCs w:val="21"/>
                <w14:textFill>
                  <w14:solidFill>
                    <w14:schemeClr w14:val="tx1"/>
                  </w14:solidFill>
                </w14:textFill>
              </w:rPr>
              <w:t>转液管线</w:t>
            </w:r>
          </w:p>
        </w:tc>
        <w:tc>
          <w:tcPr>
            <w:tcW w:w="487" w:type="pct"/>
            <w:vAlign w:val="center"/>
          </w:tcPr>
          <w:p w14:paraId="2BC83B10">
            <w:pPr>
              <w:pStyle w:val="342"/>
              <w:overflowPunct w:val="0"/>
              <w:snapToGrid w:val="0"/>
              <w:spacing w:line="300" w:lineRule="exact"/>
              <w:rPr>
                <w:rFonts w:hint="eastAsia" w:hAnsi="宋体"/>
                <w:color w:val="000000" w:themeColor="text1"/>
                <w:sz w:val="21"/>
                <w:szCs w:val="21"/>
                <w14:textFill>
                  <w14:solidFill>
                    <w14:schemeClr w14:val="tx1"/>
                  </w14:solidFill>
                </w14:textFill>
              </w:rPr>
            </w:pPr>
            <w:r>
              <w:rPr>
                <w:rFonts w:hint="eastAsia" w:hAnsi="宋体"/>
                <w:color w:val="000000" w:themeColor="text1"/>
                <w:sz w:val="21"/>
                <w:szCs w:val="21"/>
                <w14:textFill>
                  <w14:solidFill>
                    <w14:schemeClr w14:val="tx1"/>
                  </w14:solidFill>
                </w14:textFill>
              </w:rPr>
              <w:t>1.2km</w:t>
            </w:r>
          </w:p>
        </w:tc>
        <w:tc>
          <w:tcPr>
            <w:tcW w:w="406" w:type="pct"/>
            <w:vAlign w:val="center"/>
          </w:tcPr>
          <w:p w14:paraId="3B8E9CF8">
            <w:pPr>
              <w:pStyle w:val="342"/>
              <w:overflowPunct w:val="0"/>
              <w:snapToGrid w:val="0"/>
              <w:spacing w:line="300" w:lineRule="exact"/>
              <w:rPr>
                <w:rFonts w:hint="eastAsia" w:hAnsi="宋体"/>
                <w:color w:val="000000" w:themeColor="text1"/>
                <w:sz w:val="21"/>
                <w:szCs w:val="21"/>
                <w14:textFill>
                  <w14:solidFill>
                    <w14:schemeClr w14:val="tx1"/>
                  </w14:solidFill>
                </w14:textFill>
              </w:rPr>
            </w:pPr>
            <w:r>
              <w:rPr>
                <w:rFonts w:hint="eastAsia" w:hAnsi="宋体"/>
                <w:color w:val="000000" w:themeColor="text1"/>
                <w:sz w:val="21"/>
                <w:szCs w:val="21"/>
                <w14:textFill>
                  <w14:solidFill>
                    <w14:schemeClr w14:val="tx1"/>
                  </w14:solidFill>
                </w14:textFill>
              </w:rPr>
              <w:t>-1.9m</w:t>
            </w:r>
          </w:p>
        </w:tc>
        <w:tc>
          <w:tcPr>
            <w:tcW w:w="1868" w:type="pct"/>
            <w:vAlign w:val="center"/>
          </w:tcPr>
          <w:p w14:paraId="6928ACDC">
            <w:pPr>
              <w:pStyle w:val="342"/>
              <w:overflowPunct w:val="0"/>
              <w:snapToGrid w:val="0"/>
              <w:spacing w:line="300" w:lineRule="exact"/>
              <w:rPr>
                <w:rFonts w:hint="eastAsia" w:hAnsi="宋体"/>
                <w:color w:val="000000" w:themeColor="text1"/>
                <w:sz w:val="21"/>
                <w:szCs w:val="21"/>
                <w14:textFill>
                  <w14:solidFill>
                    <w14:schemeClr w14:val="tx1"/>
                  </w14:solidFill>
                </w14:textFill>
              </w:rPr>
            </w:pPr>
            <w:r>
              <w:rPr>
                <w:rFonts w:hint="eastAsia" w:hAnsi="宋体"/>
                <w:color w:val="000000" w:themeColor="text1"/>
                <w:sz w:val="21"/>
                <w:szCs w:val="21"/>
                <w14:textFill>
                  <w14:solidFill>
                    <w14:schemeClr w14:val="tx1"/>
                  </w14:solidFill>
                </w14:textFill>
              </w:rPr>
              <w:t>沟底开挖宽度1m，坡比1:0.33</w:t>
            </w:r>
          </w:p>
        </w:tc>
        <w:tc>
          <w:tcPr>
            <w:tcW w:w="577" w:type="pct"/>
            <w:vAlign w:val="center"/>
          </w:tcPr>
          <w:p w14:paraId="587C5ACC">
            <w:pPr>
              <w:pStyle w:val="342"/>
              <w:overflowPunct w:val="0"/>
              <w:snapToGrid w:val="0"/>
              <w:spacing w:line="300" w:lineRule="exact"/>
              <w:rPr>
                <w:rFonts w:hint="eastAsia" w:hAnsi="宋体"/>
                <w:color w:val="000000" w:themeColor="text1"/>
                <w:sz w:val="21"/>
                <w:szCs w:val="21"/>
                <w14:textFill>
                  <w14:solidFill>
                    <w14:schemeClr w14:val="tx1"/>
                  </w14:solidFill>
                </w14:textFill>
              </w:rPr>
            </w:pPr>
            <w:r>
              <w:rPr>
                <w:rFonts w:hint="eastAsia" w:hAnsi="宋体"/>
                <w:color w:val="000000" w:themeColor="text1"/>
                <w:sz w:val="21"/>
                <w:szCs w:val="21"/>
                <w14:textFill>
                  <w14:solidFill>
                    <w14:schemeClr w14:val="tx1"/>
                  </w14:solidFill>
                </w14:textFill>
              </w:rPr>
              <w:t>3710</w:t>
            </w:r>
          </w:p>
        </w:tc>
        <w:tc>
          <w:tcPr>
            <w:tcW w:w="687" w:type="pct"/>
            <w:vAlign w:val="center"/>
          </w:tcPr>
          <w:p w14:paraId="35B42D03">
            <w:pPr>
              <w:pStyle w:val="342"/>
              <w:overflowPunct w:val="0"/>
              <w:snapToGrid w:val="0"/>
              <w:spacing w:line="300" w:lineRule="exact"/>
              <w:rPr>
                <w:rFonts w:hint="eastAsia" w:hAnsi="宋体"/>
                <w:color w:val="000000" w:themeColor="text1"/>
                <w:sz w:val="21"/>
                <w:szCs w:val="21"/>
                <w14:textFill>
                  <w14:solidFill>
                    <w14:schemeClr w14:val="tx1"/>
                  </w14:solidFill>
                </w14:textFill>
              </w:rPr>
            </w:pPr>
            <w:r>
              <w:rPr>
                <w:rFonts w:hint="eastAsia" w:hAnsi="宋体"/>
                <w:color w:val="000000" w:themeColor="text1"/>
                <w:sz w:val="21"/>
                <w:szCs w:val="21"/>
                <w14:textFill>
                  <w14:solidFill>
                    <w14:schemeClr w14:val="tx1"/>
                  </w14:solidFill>
                </w14:textFill>
              </w:rPr>
              <w:t>3710</w:t>
            </w:r>
          </w:p>
        </w:tc>
      </w:tr>
      <w:tr w14:paraId="5B1DC7E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245" w:type="pct"/>
            <w:vAlign w:val="center"/>
          </w:tcPr>
          <w:p w14:paraId="26F29BB1">
            <w:pPr>
              <w:pStyle w:val="342"/>
              <w:overflowPunct w:val="0"/>
              <w:snapToGrid w:val="0"/>
              <w:spacing w:line="300" w:lineRule="exact"/>
              <w:rPr>
                <w:rFonts w:hint="eastAsia" w:hAnsi="宋体"/>
                <w:color w:val="000000" w:themeColor="text1"/>
                <w:sz w:val="21"/>
                <w:szCs w:val="21"/>
                <w14:textFill>
                  <w14:solidFill>
                    <w14:schemeClr w14:val="tx1"/>
                  </w14:solidFill>
                </w14:textFill>
              </w:rPr>
            </w:pPr>
            <w:r>
              <w:rPr>
                <w:rFonts w:hint="eastAsia" w:hAnsi="宋体"/>
                <w:color w:val="000000" w:themeColor="text1"/>
                <w:sz w:val="21"/>
                <w:szCs w:val="21"/>
                <w14:textFill>
                  <w14:solidFill>
                    <w14:schemeClr w14:val="tx1"/>
                  </w14:solidFill>
                </w14:textFill>
              </w:rPr>
              <w:t>5</w:t>
            </w:r>
          </w:p>
        </w:tc>
        <w:tc>
          <w:tcPr>
            <w:tcW w:w="730" w:type="pct"/>
            <w:vAlign w:val="center"/>
          </w:tcPr>
          <w:p w14:paraId="444BA21A">
            <w:pPr>
              <w:pStyle w:val="342"/>
              <w:overflowPunct w:val="0"/>
              <w:snapToGrid w:val="0"/>
              <w:spacing w:line="300" w:lineRule="exact"/>
              <w:rPr>
                <w:rFonts w:hint="eastAsia" w:hAnsi="宋体"/>
                <w:color w:val="000000" w:themeColor="text1"/>
                <w:sz w:val="21"/>
                <w:szCs w:val="21"/>
                <w14:textFill>
                  <w14:solidFill>
                    <w14:schemeClr w14:val="tx1"/>
                  </w14:solidFill>
                </w14:textFill>
              </w:rPr>
            </w:pPr>
            <w:r>
              <w:rPr>
                <w:rFonts w:hint="eastAsia" w:hAnsi="宋体"/>
                <w:color w:val="000000" w:themeColor="text1"/>
                <w:sz w:val="21"/>
                <w:szCs w:val="21"/>
                <w14:textFill>
                  <w14:solidFill>
                    <w14:schemeClr w14:val="tx1"/>
                  </w14:solidFill>
                </w14:textFill>
              </w:rPr>
              <w:t>预处理注入站</w:t>
            </w:r>
          </w:p>
        </w:tc>
        <w:tc>
          <w:tcPr>
            <w:tcW w:w="487" w:type="pct"/>
            <w:vAlign w:val="center"/>
          </w:tcPr>
          <w:p w14:paraId="2496A041">
            <w:pPr>
              <w:pStyle w:val="342"/>
              <w:overflowPunct w:val="0"/>
              <w:snapToGrid w:val="0"/>
              <w:spacing w:line="300" w:lineRule="exact"/>
              <w:rPr>
                <w:rFonts w:hint="eastAsia" w:hAnsi="宋体"/>
                <w:color w:val="000000" w:themeColor="text1"/>
                <w:sz w:val="21"/>
                <w:szCs w:val="21"/>
                <w14:textFill>
                  <w14:solidFill>
                    <w14:schemeClr w14:val="tx1"/>
                  </w14:solidFill>
                </w14:textFill>
              </w:rPr>
            </w:pPr>
            <w:r>
              <w:rPr>
                <w:rFonts w:hint="eastAsia" w:hAnsi="宋体"/>
                <w:color w:val="000000" w:themeColor="text1"/>
                <w:sz w:val="21"/>
                <w:szCs w:val="21"/>
                <w14:textFill>
                  <w14:solidFill>
                    <w14:schemeClr w14:val="tx1"/>
                  </w14:solidFill>
                </w14:textFill>
              </w:rPr>
              <w:t>1座</w:t>
            </w:r>
          </w:p>
        </w:tc>
        <w:tc>
          <w:tcPr>
            <w:tcW w:w="406" w:type="pct"/>
            <w:vAlign w:val="center"/>
          </w:tcPr>
          <w:p w14:paraId="418EAB2A">
            <w:pPr>
              <w:pStyle w:val="342"/>
              <w:overflowPunct w:val="0"/>
              <w:snapToGrid w:val="0"/>
              <w:spacing w:line="300" w:lineRule="exact"/>
              <w:rPr>
                <w:rFonts w:hint="eastAsia" w:hAnsi="宋体"/>
                <w:color w:val="000000" w:themeColor="text1"/>
                <w:sz w:val="21"/>
                <w:szCs w:val="21"/>
                <w14:textFill>
                  <w14:solidFill>
                    <w14:schemeClr w14:val="tx1"/>
                  </w14:solidFill>
                </w14:textFill>
              </w:rPr>
            </w:pPr>
            <w:r>
              <w:rPr>
                <w:rFonts w:hint="eastAsia" w:hAnsi="宋体"/>
                <w:color w:val="000000" w:themeColor="text1"/>
                <w:sz w:val="21"/>
                <w:szCs w:val="21"/>
                <w14:textFill>
                  <w14:solidFill>
                    <w14:schemeClr w14:val="tx1"/>
                  </w14:solidFill>
                </w14:textFill>
              </w:rPr>
              <w:t>/</w:t>
            </w:r>
          </w:p>
        </w:tc>
        <w:tc>
          <w:tcPr>
            <w:tcW w:w="1868" w:type="pct"/>
            <w:vAlign w:val="center"/>
          </w:tcPr>
          <w:p w14:paraId="19494406">
            <w:pPr>
              <w:pStyle w:val="342"/>
              <w:overflowPunct w:val="0"/>
              <w:snapToGrid w:val="0"/>
              <w:spacing w:line="300" w:lineRule="exact"/>
              <w:rPr>
                <w:rFonts w:hint="eastAsia" w:hAnsi="宋体"/>
                <w:color w:val="000000" w:themeColor="text1"/>
                <w:sz w:val="21"/>
                <w:szCs w:val="21"/>
                <w14:textFill>
                  <w14:solidFill>
                    <w14:schemeClr w14:val="tx1"/>
                  </w14:solidFill>
                </w14:textFill>
              </w:rPr>
            </w:pPr>
            <w:r>
              <w:rPr>
                <w:rFonts w:hint="eastAsia" w:hAnsi="宋体"/>
                <w:color w:val="000000" w:themeColor="text1"/>
                <w:sz w:val="21"/>
                <w:szCs w:val="21"/>
                <w14:textFill>
                  <w14:solidFill>
                    <w14:schemeClr w14:val="tx1"/>
                  </w14:solidFill>
                </w14:textFill>
              </w:rPr>
              <w:t>/</w:t>
            </w:r>
          </w:p>
        </w:tc>
        <w:tc>
          <w:tcPr>
            <w:tcW w:w="577" w:type="pct"/>
            <w:vAlign w:val="center"/>
          </w:tcPr>
          <w:p w14:paraId="2AC364E3">
            <w:pPr>
              <w:pStyle w:val="342"/>
              <w:overflowPunct w:val="0"/>
              <w:snapToGrid w:val="0"/>
              <w:spacing w:line="300" w:lineRule="exact"/>
              <w:rPr>
                <w:rFonts w:hint="eastAsia" w:hAnsi="宋体"/>
                <w:color w:val="000000" w:themeColor="text1"/>
                <w:sz w:val="21"/>
                <w:szCs w:val="21"/>
                <w14:textFill>
                  <w14:solidFill>
                    <w14:schemeClr w14:val="tx1"/>
                  </w14:solidFill>
                </w14:textFill>
              </w:rPr>
            </w:pPr>
            <w:r>
              <w:rPr>
                <w:rFonts w:hint="eastAsia" w:hAnsi="宋体"/>
                <w:color w:val="000000" w:themeColor="text1"/>
                <w:sz w:val="21"/>
                <w:szCs w:val="21"/>
                <w14:textFill>
                  <w14:solidFill>
                    <w14:schemeClr w14:val="tx1"/>
                  </w14:solidFill>
                </w14:textFill>
              </w:rPr>
              <w:t>1995</w:t>
            </w:r>
          </w:p>
        </w:tc>
        <w:tc>
          <w:tcPr>
            <w:tcW w:w="687" w:type="pct"/>
            <w:vAlign w:val="center"/>
          </w:tcPr>
          <w:p w14:paraId="25020F9D">
            <w:pPr>
              <w:pStyle w:val="342"/>
              <w:overflowPunct w:val="0"/>
              <w:snapToGrid w:val="0"/>
              <w:spacing w:line="300" w:lineRule="exact"/>
              <w:rPr>
                <w:rFonts w:hint="eastAsia" w:hAnsi="宋体"/>
                <w:color w:val="000000" w:themeColor="text1"/>
                <w:sz w:val="21"/>
                <w:szCs w:val="21"/>
                <w14:textFill>
                  <w14:solidFill>
                    <w14:schemeClr w14:val="tx1"/>
                  </w14:solidFill>
                </w14:textFill>
              </w:rPr>
            </w:pPr>
            <w:r>
              <w:rPr>
                <w:rFonts w:hint="eastAsia" w:hAnsi="宋体"/>
                <w:color w:val="000000" w:themeColor="text1"/>
                <w:sz w:val="21"/>
                <w:szCs w:val="21"/>
                <w14:textFill>
                  <w14:solidFill>
                    <w14:schemeClr w14:val="tx1"/>
                  </w14:solidFill>
                </w14:textFill>
              </w:rPr>
              <w:t>1995</w:t>
            </w:r>
          </w:p>
        </w:tc>
      </w:tr>
      <w:tr w14:paraId="78AEB4E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245" w:type="pct"/>
            <w:vAlign w:val="center"/>
          </w:tcPr>
          <w:p w14:paraId="208A1EBE">
            <w:pPr>
              <w:pStyle w:val="342"/>
              <w:overflowPunct w:val="0"/>
              <w:snapToGrid w:val="0"/>
              <w:spacing w:line="300" w:lineRule="exact"/>
              <w:rPr>
                <w:rFonts w:hint="eastAsia" w:hAnsi="宋体"/>
                <w:color w:val="000000" w:themeColor="text1"/>
                <w:sz w:val="21"/>
                <w:szCs w:val="21"/>
                <w14:textFill>
                  <w14:solidFill>
                    <w14:schemeClr w14:val="tx1"/>
                  </w14:solidFill>
                </w14:textFill>
              </w:rPr>
            </w:pPr>
            <w:r>
              <w:rPr>
                <w:rFonts w:hint="eastAsia" w:hAnsi="宋体"/>
                <w:color w:val="000000" w:themeColor="text1"/>
                <w:sz w:val="21"/>
                <w:szCs w:val="21"/>
                <w14:textFill>
                  <w14:solidFill>
                    <w14:schemeClr w14:val="tx1"/>
                  </w14:solidFill>
                </w14:textFill>
              </w:rPr>
              <w:t>6</w:t>
            </w:r>
          </w:p>
        </w:tc>
        <w:tc>
          <w:tcPr>
            <w:tcW w:w="730" w:type="pct"/>
            <w:vAlign w:val="center"/>
          </w:tcPr>
          <w:p w14:paraId="6DCA193E">
            <w:pPr>
              <w:pStyle w:val="342"/>
              <w:overflowPunct w:val="0"/>
              <w:snapToGrid w:val="0"/>
              <w:spacing w:line="300" w:lineRule="exact"/>
              <w:rPr>
                <w:rFonts w:hint="eastAsia" w:hAnsi="宋体"/>
                <w:color w:val="000000" w:themeColor="text1"/>
                <w:sz w:val="21"/>
                <w:szCs w:val="21"/>
                <w14:textFill>
                  <w14:solidFill>
                    <w14:schemeClr w14:val="tx1"/>
                  </w14:solidFill>
                </w14:textFill>
              </w:rPr>
            </w:pPr>
            <w:r>
              <w:rPr>
                <w:rFonts w:hint="eastAsia" w:hAnsi="宋体"/>
                <w:color w:val="000000" w:themeColor="text1"/>
                <w:sz w:val="21"/>
                <w:szCs w:val="21"/>
                <w14:textFill>
                  <w14:solidFill>
                    <w14:schemeClr w14:val="tx1"/>
                  </w14:solidFill>
                </w14:textFill>
              </w:rPr>
              <w:t>合计</w:t>
            </w:r>
          </w:p>
        </w:tc>
        <w:tc>
          <w:tcPr>
            <w:tcW w:w="487" w:type="pct"/>
            <w:vAlign w:val="center"/>
          </w:tcPr>
          <w:p w14:paraId="7D373E87">
            <w:pPr>
              <w:pStyle w:val="342"/>
              <w:overflowPunct w:val="0"/>
              <w:snapToGrid w:val="0"/>
              <w:spacing w:line="300" w:lineRule="exact"/>
              <w:rPr>
                <w:rFonts w:hint="eastAsia" w:hAnsi="宋体"/>
                <w:color w:val="000000" w:themeColor="text1"/>
                <w:sz w:val="21"/>
                <w:szCs w:val="21"/>
                <w14:textFill>
                  <w14:solidFill>
                    <w14:schemeClr w14:val="tx1"/>
                  </w14:solidFill>
                </w14:textFill>
              </w:rPr>
            </w:pPr>
            <w:r>
              <w:rPr>
                <w:rFonts w:hint="eastAsia" w:hAnsi="宋体"/>
                <w:color w:val="000000" w:themeColor="text1"/>
                <w:sz w:val="21"/>
                <w:szCs w:val="21"/>
                <w14:textFill>
                  <w14:solidFill>
                    <w14:schemeClr w14:val="tx1"/>
                  </w14:solidFill>
                </w14:textFill>
              </w:rPr>
              <w:t>/</w:t>
            </w:r>
          </w:p>
        </w:tc>
        <w:tc>
          <w:tcPr>
            <w:tcW w:w="406" w:type="pct"/>
            <w:vAlign w:val="center"/>
          </w:tcPr>
          <w:p w14:paraId="4B66CD88">
            <w:pPr>
              <w:pStyle w:val="342"/>
              <w:overflowPunct w:val="0"/>
              <w:snapToGrid w:val="0"/>
              <w:spacing w:line="300" w:lineRule="exact"/>
              <w:rPr>
                <w:rFonts w:hint="eastAsia" w:hAnsi="宋体"/>
                <w:color w:val="000000" w:themeColor="text1"/>
                <w:sz w:val="21"/>
                <w:szCs w:val="21"/>
                <w14:textFill>
                  <w14:solidFill>
                    <w14:schemeClr w14:val="tx1"/>
                  </w14:solidFill>
                </w14:textFill>
              </w:rPr>
            </w:pPr>
            <w:r>
              <w:rPr>
                <w:rFonts w:hint="eastAsia" w:hAnsi="宋体"/>
                <w:color w:val="000000" w:themeColor="text1"/>
                <w:sz w:val="21"/>
                <w:szCs w:val="21"/>
                <w14:textFill>
                  <w14:solidFill>
                    <w14:schemeClr w14:val="tx1"/>
                  </w14:solidFill>
                </w14:textFill>
              </w:rPr>
              <w:t>/</w:t>
            </w:r>
          </w:p>
        </w:tc>
        <w:tc>
          <w:tcPr>
            <w:tcW w:w="1868" w:type="pct"/>
            <w:vAlign w:val="center"/>
          </w:tcPr>
          <w:p w14:paraId="41E7CA6D">
            <w:pPr>
              <w:pStyle w:val="342"/>
              <w:overflowPunct w:val="0"/>
              <w:snapToGrid w:val="0"/>
              <w:spacing w:line="300" w:lineRule="exact"/>
              <w:rPr>
                <w:rFonts w:hint="eastAsia" w:hAnsi="宋体"/>
                <w:color w:val="000000" w:themeColor="text1"/>
                <w:sz w:val="21"/>
                <w:szCs w:val="21"/>
                <w14:textFill>
                  <w14:solidFill>
                    <w14:schemeClr w14:val="tx1"/>
                  </w14:solidFill>
                </w14:textFill>
              </w:rPr>
            </w:pPr>
            <w:r>
              <w:rPr>
                <w:rFonts w:hint="eastAsia" w:hAnsi="宋体"/>
                <w:color w:val="000000" w:themeColor="text1"/>
                <w:sz w:val="21"/>
                <w:szCs w:val="21"/>
                <w14:textFill>
                  <w14:solidFill>
                    <w14:schemeClr w14:val="tx1"/>
                  </w14:solidFill>
                </w14:textFill>
              </w:rPr>
              <w:t>/</w:t>
            </w:r>
          </w:p>
        </w:tc>
        <w:tc>
          <w:tcPr>
            <w:tcW w:w="577" w:type="pct"/>
            <w:vAlign w:val="center"/>
          </w:tcPr>
          <w:p w14:paraId="744D8046">
            <w:pPr>
              <w:pStyle w:val="342"/>
              <w:overflowPunct w:val="0"/>
              <w:snapToGrid w:val="0"/>
              <w:spacing w:line="300" w:lineRule="exact"/>
              <w:rPr>
                <w:rFonts w:hint="eastAsia" w:hAnsi="宋体"/>
                <w:color w:val="000000" w:themeColor="text1"/>
                <w:sz w:val="21"/>
                <w:szCs w:val="21"/>
                <w14:textFill>
                  <w14:solidFill>
                    <w14:schemeClr w14:val="tx1"/>
                  </w14:solidFill>
                </w14:textFill>
              </w:rPr>
            </w:pPr>
            <w:r>
              <w:rPr>
                <w:rFonts w:hint="eastAsia" w:hAnsi="宋体"/>
                <w:color w:val="000000" w:themeColor="text1"/>
                <w:sz w:val="21"/>
                <w:szCs w:val="21"/>
                <w14:textFill>
                  <w14:solidFill>
                    <w14:schemeClr w14:val="tx1"/>
                  </w14:solidFill>
                </w14:textFill>
              </w:rPr>
              <w:t>29003</w:t>
            </w:r>
          </w:p>
        </w:tc>
        <w:tc>
          <w:tcPr>
            <w:tcW w:w="687" w:type="pct"/>
            <w:vAlign w:val="center"/>
          </w:tcPr>
          <w:p w14:paraId="5C3F04F9">
            <w:pPr>
              <w:pStyle w:val="342"/>
              <w:overflowPunct w:val="0"/>
              <w:snapToGrid w:val="0"/>
              <w:spacing w:line="300" w:lineRule="exact"/>
              <w:rPr>
                <w:rFonts w:hint="eastAsia" w:hAnsi="宋体"/>
                <w:color w:val="000000" w:themeColor="text1"/>
                <w:sz w:val="21"/>
                <w:szCs w:val="21"/>
                <w14:textFill>
                  <w14:solidFill>
                    <w14:schemeClr w14:val="tx1"/>
                  </w14:solidFill>
                </w14:textFill>
              </w:rPr>
            </w:pPr>
            <w:r>
              <w:rPr>
                <w:rFonts w:hint="eastAsia" w:hAnsi="宋体"/>
                <w:color w:val="000000" w:themeColor="text1"/>
                <w:sz w:val="21"/>
                <w:szCs w:val="21"/>
                <w14:textFill>
                  <w14:solidFill>
                    <w14:schemeClr w14:val="tx1"/>
                  </w14:solidFill>
                </w14:textFill>
              </w:rPr>
              <w:t>29003</w:t>
            </w:r>
          </w:p>
        </w:tc>
      </w:tr>
    </w:tbl>
    <w:p w14:paraId="615FB439">
      <w:pPr>
        <w:pStyle w:val="4"/>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运营期污染源源强核算</w:t>
      </w:r>
    </w:p>
    <w:p w14:paraId="2F91DD87">
      <w:pPr>
        <w:pStyle w:val="117"/>
        <w:ind w:firstLine="480"/>
        <w:rPr>
          <w:rFonts w:hint="eastAsia"/>
          <w:color w:val="000000" w:themeColor="text1"/>
          <w14:textFill>
            <w14:solidFill>
              <w14:schemeClr w14:val="tx1"/>
            </w14:solidFill>
          </w14:textFill>
        </w:rPr>
      </w:pPr>
      <w:bookmarkStart w:id="309" w:name="_Hlk128559881"/>
      <w:bookmarkStart w:id="310" w:name="_Hlk129686223"/>
      <w:bookmarkStart w:id="311" w:name="_Hlk129592962"/>
      <w:bookmarkStart w:id="312" w:name="_Hlk129356350"/>
      <w:r>
        <w:rPr>
          <w:rFonts w:hint="eastAsia"/>
          <w:color w:val="000000" w:themeColor="text1"/>
          <w14:textFill>
            <w14:solidFill>
              <w14:schemeClr w14:val="tx1"/>
            </w14:solidFill>
          </w14:textFill>
        </w:rPr>
        <w:t>（1）废气</w:t>
      </w:r>
    </w:p>
    <w:p w14:paraId="09EC5053">
      <w:pPr>
        <w:adjustRightInd w:val="0"/>
        <w:snapToGrid w:val="0"/>
        <w:spacing w:line="500" w:lineRule="exact"/>
        <w:ind w:firstLine="480" w:firstLineChars="200"/>
        <w:textAlignment w:val="baseline"/>
        <w:rPr>
          <w:rFonts w:hint="eastAsia" w:ascii="宋体" w:hAnsi="宋体"/>
          <w:color w:val="000000" w:themeColor="text1"/>
          <w:sz w:val="24"/>
          <w14:textFill>
            <w14:solidFill>
              <w14:schemeClr w14:val="tx1"/>
            </w14:solidFill>
          </w14:textFill>
        </w:rPr>
      </w:pPr>
      <w:bookmarkStart w:id="313" w:name="_Hlk482206006"/>
      <w:bookmarkStart w:id="314" w:name="_Hlk129276672"/>
      <w:r>
        <w:rPr>
          <w:rFonts w:hint="eastAsia" w:ascii="宋体" w:hAnsi="宋体"/>
          <w:color w:val="000000" w:themeColor="text1"/>
          <w:sz w:val="24"/>
          <w14:textFill>
            <w14:solidFill>
              <w14:schemeClr w14:val="tx1"/>
            </w14:solidFill>
          </w14:textFill>
        </w:rPr>
        <w:t>本次拟改造井均为现有生产井改造，9口改造为注采井，井口阀门、法兰等连接件数量未发生变化，故无新增废气产生，9口井的废气已进行核算过，本次不再重复核算；</w:t>
      </w:r>
      <w:r>
        <w:rPr>
          <w:rFonts w:hint="eastAsia" w:ascii="宋体" w:hAnsi="宋体"/>
          <w:color w:val="000000" w:themeColor="text1"/>
          <w:sz w:val="24"/>
          <w:szCs w:val="24"/>
          <w14:textFill>
            <w14:solidFill>
              <w14:schemeClr w14:val="tx1"/>
            </w14:solidFill>
          </w14:textFill>
        </w:rPr>
        <w:t>拟将JHW</w:t>
      </w:r>
      <w:r>
        <w:rPr>
          <w:rFonts w:ascii="宋体" w:hAnsi="宋体"/>
          <w:color w:val="000000" w:themeColor="text1"/>
          <w:sz w:val="24"/>
          <w:szCs w:val="24"/>
          <w14:textFill>
            <w14:solidFill>
              <w14:schemeClr w14:val="tx1"/>
            </w14:solidFill>
          </w14:textFill>
        </w:rPr>
        <w:t>00421</w:t>
      </w:r>
      <w:r>
        <w:rPr>
          <w:rFonts w:hint="eastAsia" w:ascii="宋体" w:hAnsi="宋体"/>
          <w:color w:val="000000" w:themeColor="text1"/>
          <w:sz w:val="24"/>
          <w:szCs w:val="24"/>
          <w14:textFill>
            <w14:solidFill>
              <w14:schemeClr w14:val="tx1"/>
            </w14:solidFill>
          </w14:textFill>
        </w:rPr>
        <w:t>井、JHW</w:t>
      </w:r>
      <w:r>
        <w:rPr>
          <w:rFonts w:ascii="宋体" w:hAnsi="宋体"/>
          <w:color w:val="000000" w:themeColor="text1"/>
          <w:sz w:val="24"/>
          <w:szCs w:val="24"/>
          <w14:textFill>
            <w14:solidFill>
              <w14:schemeClr w14:val="tx1"/>
            </w14:solidFill>
          </w14:textFill>
        </w:rPr>
        <w:t>034</w:t>
      </w:r>
      <w:r>
        <w:rPr>
          <w:rFonts w:hint="eastAsia" w:ascii="宋体" w:hAnsi="宋体"/>
          <w:color w:val="000000" w:themeColor="text1"/>
          <w:sz w:val="24"/>
          <w:szCs w:val="24"/>
          <w14:textFill>
            <w14:solidFill>
              <w14:schemeClr w14:val="tx1"/>
            </w14:solidFill>
          </w14:textFill>
        </w:rPr>
        <w:t>共2口生产井改造为注水井，注水井运行过程中无废气产生；</w:t>
      </w:r>
      <w:bookmarkStart w:id="315" w:name="OLE_LINK113"/>
      <w:r>
        <w:rPr>
          <w:rFonts w:hint="eastAsia" w:ascii="宋体" w:hAnsi="宋体"/>
          <w:color w:val="000000" w:themeColor="text1"/>
          <w:sz w:val="24"/>
          <w14:textFill>
            <w14:solidFill>
              <w14:schemeClr w14:val="tx1"/>
            </w14:solidFill>
          </w14:textFill>
        </w:rPr>
        <w:t>将JHW00422改造为采出气回注井，采出气回注井的阀门、法兰等连接件数量未发生变化，但回注气中</w:t>
      </w:r>
      <w:r>
        <w:rPr>
          <w:rFonts w:ascii="宋体" w:hAnsi="宋体"/>
          <w:color w:val="000000" w:themeColor="text1"/>
          <w:kern w:val="0"/>
          <w:sz w:val="24"/>
          <w14:textFill>
            <w14:solidFill>
              <w14:schemeClr w14:val="tx1"/>
            </w14:solidFill>
          </w14:textFill>
        </w:rPr>
        <w:t>WF</w:t>
      </w:r>
      <w:r>
        <w:rPr>
          <w:rFonts w:hint="eastAsia" w:ascii="宋体" w:hAnsi="宋体"/>
          <w:color w:val="000000" w:themeColor="text1"/>
          <w:kern w:val="0"/>
          <w:sz w:val="24"/>
          <w:vertAlign w:val="subscript"/>
          <w14:textFill>
            <w14:solidFill>
              <w14:schemeClr w14:val="tx1"/>
            </w14:solidFill>
          </w14:textFill>
        </w:rPr>
        <w:t>VOCs,i</w:t>
      </w:r>
      <w:r>
        <w:rPr>
          <w:rFonts w:hint="eastAsia" w:ascii="宋体" w:hAnsi="宋体"/>
          <w:color w:val="000000" w:themeColor="text1"/>
          <w:kern w:val="0"/>
          <w:sz w:val="24"/>
          <w14:textFill>
            <w14:solidFill>
              <w14:schemeClr w14:val="tx1"/>
            </w14:solidFill>
          </w14:textFill>
        </w:rPr>
        <w:t>（流经密封点i的物料中挥发性有机物平均质量分数）/</w:t>
      </w:r>
      <w:r>
        <w:rPr>
          <w:rFonts w:ascii="宋体" w:hAnsi="宋体"/>
          <w:color w:val="000000" w:themeColor="text1"/>
          <w:kern w:val="0"/>
          <w:sz w:val="24"/>
          <w14:textFill>
            <w14:solidFill>
              <w14:schemeClr w14:val="tx1"/>
            </w14:solidFill>
          </w14:textFill>
        </w:rPr>
        <w:t>WF</w:t>
      </w:r>
      <w:r>
        <w:rPr>
          <w:rFonts w:ascii="宋体" w:hAnsi="宋体"/>
          <w:color w:val="000000" w:themeColor="text1"/>
          <w:kern w:val="0"/>
          <w:sz w:val="24"/>
          <w:vertAlign w:val="subscript"/>
          <w14:textFill>
            <w14:solidFill>
              <w14:schemeClr w14:val="tx1"/>
            </w14:solidFill>
          </w14:textFill>
        </w:rPr>
        <w:t>TOC</w:t>
      </w:r>
      <w:r>
        <w:rPr>
          <w:rFonts w:hint="eastAsia" w:ascii="宋体" w:hAnsi="宋体"/>
          <w:color w:val="000000" w:themeColor="text1"/>
          <w:kern w:val="0"/>
          <w:sz w:val="24"/>
          <w:vertAlign w:val="subscript"/>
          <w14:textFill>
            <w14:solidFill>
              <w14:schemeClr w14:val="tx1"/>
            </w14:solidFill>
          </w14:textFill>
        </w:rPr>
        <w:t>,i</w:t>
      </w:r>
      <w:r>
        <w:rPr>
          <w:rFonts w:hint="eastAsia" w:ascii="宋体" w:hAnsi="宋体"/>
          <w:color w:val="000000" w:themeColor="text1"/>
          <w:kern w:val="0"/>
          <w:sz w:val="24"/>
          <w14:textFill>
            <w14:solidFill>
              <w14:schemeClr w14:val="tx1"/>
            </w14:solidFill>
          </w14:textFill>
        </w:rPr>
        <w:t>（流经密封点i的物料中总有机碳（TOC）平均质量分数）的比值相比于采油井减少了，故采出气回注井由阀门、法兰等连接件产生的无组织非甲烷总烃排放量减少了。</w:t>
      </w:r>
      <w:bookmarkEnd w:id="315"/>
      <w:r>
        <w:rPr>
          <w:rFonts w:hint="eastAsia" w:ascii="宋体" w:hAnsi="宋体"/>
          <w:color w:val="000000" w:themeColor="text1"/>
          <w:sz w:val="24"/>
          <w14:textFill>
            <w14:solidFill>
              <w14:schemeClr w14:val="tx1"/>
            </w14:solidFill>
          </w14:textFill>
        </w:rPr>
        <w:t>废气主要为1号计量站、预处理注入站（包括2号计量站）油气集输、处理过程中阀门、法兰等部位产生的无组织挥发性有机物（以非甲烷总烃计）和无组织硫化氢。</w:t>
      </w:r>
    </w:p>
    <w:p w14:paraId="49D2302E">
      <w:pPr>
        <w:adjustRightInd w:val="0"/>
        <w:snapToGrid w:val="0"/>
        <w:spacing w:line="500" w:lineRule="exact"/>
        <w:ind w:firstLine="480"/>
        <w:textAlignment w:val="baseline"/>
        <w:rPr>
          <w:rFonts w:hint="eastAsia"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①无组织挥发性有机物</w:t>
      </w:r>
    </w:p>
    <w:p w14:paraId="1F8F3F1D">
      <w:pPr>
        <w:adjustRightInd w:val="0"/>
        <w:snapToGrid w:val="0"/>
        <w:spacing w:line="500" w:lineRule="exact"/>
        <w:ind w:firstLine="480" w:firstLineChars="200"/>
        <w:textAlignment w:val="baseline"/>
        <w:rPr>
          <w:rFonts w:hint="eastAsia"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无组织挥发性有机物目前无相应的源强核算技术指南，本次参考</w:t>
      </w:r>
      <w:bookmarkStart w:id="316" w:name="_Hlk85450421"/>
      <w:r>
        <w:rPr>
          <w:rFonts w:hint="eastAsia" w:ascii="宋体" w:hAnsi="宋体"/>
          <w:color w:val="000000" w:themeColor="text1"/>
          <w:sz w:val="24"/>
          <w14:textFill>
            <w14:solidFill>
              <w14:schemeClr w14:val="tx1"/>
            </w14:solidFill>
          </w14:textFill>
        </w:rPr>
        <w:t>《污染源源强核算技术指南</w:t>
      </w:r>
      <w:r>
        <w:rPr>
          <w:rFonts w:ascii="宋体" w:hAnsi="宋体"/>
          <w:color w:val="000000" w:themeColor="text1"/>
          <w:sz w:val="24"/>
          <w14:textFill>
            <w14:solidFill>
              <w14:schemeClr w14:val="tx1"/>
            </w14:solidFill>
          </w14:textFill>
        </w:rPr>
        <w:t xml:space="preserve"> 石油炼制工业</w:t>
      </w:r>
      <w:r>
        <w:rPr>
          <w:rFonts w:hint="eastAsia" w:ascii="宋体" w:hAnsi="宋体"/>
          <w:color w:val="000000" w:themeColor="text1"/>
          <w:sz w:val="24"/>
          <w14:textFill>
            <w14:solidFill>
              <w14:schemeClr w14:val="tx1"/>
            </w14:solidFill>
          </w14:textFill>
        </w:rPr>
        <w:t>》（</w:t>
      </w:r>
      <w:r>
        <w:rPr>
          <w:rFonts w:ascii="宋体" w:hAnsi="宋体"/>
          <w:color w:val="000000" w:themeColor="text1"/>
          <w:sz w:val="24"/>
          <w14:textFill>
            <w14:solidFill>
              <w14:schemeClr w14:val="tx1"/>
            </w14:solidFill>
          </w14:textFill>
        </w:rPr>
        <w:t>HJ982-2018</w:t>
      </w:r>
      <w:r>
        <w:rPr>
          <w:rFonts w:hint="eastAsia" w:ascii="宋体" w:hAnsi="宋体"/>
          <w:color w:val="000000" w:themeColor="text1"/>
          <w:sz w:val="24"/>
          <w14:textFill>
            <w14:solidFill>
              <w14:schemeClr w14:val="tx1"/>
            </w14:solidFill>
          </w14:textFill>
        </w:rPr>
        <w:t>）中设备动静密封点泄漏平均排放系数法进行核算，计算公式具体如下：</w:t>
      </w:r>
    </w:p>
    <w:p w14:paraId="5574EC50">
      <w:pPr>
        <w:adjustRightInd w:val="0"/>
        <w:snapToGrid w:val="0"/>
        <w:spacing w:line="360" w:lineRule="auto"/>
        <w:jc w:val="center"/>
        <w:textAlignment w:val="baseline"/>
        <w:rPr>
          <w:rFonts w:hint="eastAsia" w:ascii="宋体" w:hAnsi="宋体"/>
          <w:color w:val="000000" w:themeColor="text1"/>
          <w:sz w:val="24"/>
          <w14:textFill>
            <w14:solidFill>
              <w14:schemeClr w14:val="tx1"/>
            </w14:solidFill>
          </w14:textFill>
        </w:rPr>
      </w:pPr>
      <w:r>
        <w:rPr>
          <w:rFonts w:ascii="宋体" w:hAnsi="宋体"/>
          <w:color w:val="000000" w:themeColor="text1"/>
          <w:sz w:val="24"/>
          <w14:textFill>
            <w14:solidFill>
              <w14:schemeClr w14:val="tx1"/>
            </w14:solidFill>
          </w14:textFill>
        </w:rPr>
        <w:drawing>
          <wp:inline distT="0" distB="0" distL="0" distR="0">
            <wp:extent cx="2339340" cy="465455"/>
            <wp:effectExtent l="0" t="0" r="0" b="0"/>
            <wp:docPr id="18"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2339340" cy="465455"/>
                    </a:xfrm>
                    <a:prstGeom prst="rect">
                      <a:avLst/>
                    </a:prstGeom>
                    <a:noFill/>
                    <a:ln>
                      <a:noFill/>
                    </a:ln>
                  </pic:spPr>
                </pic:pic>
              </a:graphicData>
            </a:graphic>
          </wp:inline>
        </w:drawing>
      </w:r>
    </w:p>
    <w:p w14:paraId="019A9C6C">
      <w:pPr>
        <w:adjustRightInd w:val="0"/>
        <w:snapToGrid w:val="0"/>
        <w:spacing w:line="500" w:lineRule="exact"/>
        <w:ind w:firstLine="480" w:firstLineChars="200"/>
        <w:jc w:val="left"/>
        <w:textAlignment w:val="baseline"/>
        <w:rPr>
          <w:rFonts w:hint="eastAsia"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式中：</w:t>
      </w:r>
      <w:r>
        <w:rPr>
          <w:rFonts w:ascii="宋体" w:hAnsi="宋体"/>
          <w:color w:val="000000" w:themeColor="text1"/>
          <w:kern w:val="0"/>
          <w:sz w:val="24"/>
          <w14:textFill>
            <w14:solidFill>
              <w14:schemeClr w14:val="tx1"/>
            </w14:solidFill>
          </w14:textFill>
        </w:rPr>
        <w:t>D</w:t>
      </w:r>
      <w:r>
        <w:rPr>
          <w:rFonts w:hint="eastAsia" w:ascii="宋体" w:hAnsi="宋体"/>
          <w:color w:val="000000" w:themeColor="text1"/>
          <w:kern w:val="0"/>
          <w:sz w:val="24"/>
          <w:vertAlign w:val="subscript"/>
          <w14:textFill>
            <w14:solidFill>
              <w14:schemeClr w14:val="tx1"/>
            </w14:solidFill>
          </w14:textFill>
        </w:rPr>
        <w:t>设备</w:t>
      </w:r>
      <w:r>
        <w:rPr>
          <w:rFonts w:hint="eastAsia" w:ascii="宋体" w:hAnsi="宋体"/>
          <w:color w:val="000000" w:themeColor="text1"/>
          <w:kern w:val="0"/>
          <w:sz w:val="24"/>
          <w14:textFill>
            <w14:solidFill>
              <w14:schemeClr w14:val="tx1"/>
            </w14:solidFill>
          </w14:textFill>
        </w:rPr>
        <w:t>：—核算时段内设备与管线组件密封点泄漏的挥发性有机物的量，kg；</w:t>
      </w:r>
    </w:p>
    <w:p w14:paraId="236F892B">
      <w:pPr>
        <w:adjustRightInd w:val="0"/>
        <w:snapToGrid w:val="0"/>
        <w:spacing w:line="500" w:lineRule="exact"/>
        <w:ind w:firstLine="480" w:firstLineChars="200"/>
        <w:jc w:val="left"/>
        <w:textAlignment w:val="baseline"/>
        <w:rPr>
          <w:rFonts w:hint="eastAsia"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α—设备与管线组件密封点的泄漏比例，本次取0</w:t>
      </w:r>
      <w:r>
        <w:rPr>
          <w:rFonts w:ascii="宋体" w:hAnsi="宋体"/>
          <w:color w:val="000000" w:themeColor="text1"/>
          <w:kern w:val="0"/>
          <w:sz w:val="24"/>
          <w14:textFill>
            <w14:solidFill>
              <w14:schemeClr w14:val="tx1"/>
            </w14:solidFill>
          </w14:textFill>
        </w:rPr>
        <w:t>.003</w:t>
      </w:r>
      <w:r>
        <w:rPr>
          <w:rFonts w:hint="eastAsia" w:ascii="宋体" w:hAnsi="宋体"/>
          <w:color w:val="000000" w:themeColor="text1"/>
          <w:kern w:val="0"/>
          <w:sz w:val="24"/>
          <w14:textFill>
            <w14:solidFill>
              <w14:schemeClr w14:val="tx1"/>
            </w14:solidFill>
          </w14:textFill>
        </w:rPr>
        <w:t>；</w:t>
      </w:r>
    </w:p>
    <w:p w14:paraId="08EDF75D">
      <w:pPr>
        <w:adjustRightInd w:val="0"/>
        <w:snapToGrid w:val="0"/>
        <w:spacing w:line="500" w:lineRule="exact"/>
        <w:ind w:firstLine="480" w:firstLineChars="200"/>
        <w:jc w:val="left"/>
        <w:textAlignment w:val="baseline"/>
        <w:rPr>
          <w:rFonts w:hint="eastAsia" w:ascii="宋体" w:hAnsi="宋体"/>
          <w:color w:val="000000" w:themeColor="text1"/>
          <w:kern w:val="0"/>
          <w:sz w:val="24"/>
          <w14:textFill>
            <w14:solidFill>
              <w14:schemeClr w14:val="tx1"/>
            </w14:solidFill>
          </w14:textFill>
        </w:rPr>
      </w:pPr>
      <w:bookmarkStart w:id="317" w:name="OLE_LINK94"/>
      <w:r>
        <w:rPr>
          <w:rFonts w:ascii="宋体" w:hAnsi="宋体"/>
          <w:color w:val="000000" w:themeColor="text1"/>
          <w:kern w:val="0"/>
          <w:sz w:val="24"/>
          <w14:textFill>
            <w14:solidFill>
              <w14:schemeClr w14:val="tx1"/>
            </w14:solidFill>
          </w14:textFill>
        </w:rPr>
        <w:t>WF</w:t>
      </w:r>
      <w:r>
        <w:rPr>
          <w:rFonts w:hint="eastAsia" w:ascii="宋体" w:hAnsi="宋体"/>
          <w:color w:val="000000" w:themeColor="text1"/>
          <w:kern w:val="0"/>
          <w:sz w:val="24"/>
          <w:vertAlign w:val="subscript"/>
          <w14:textFill>
            <w14:solidFill>
              <w14:schemeClr w14:val="tx1"/>
            </w14:solidFill>
          </w14:textFill>
        </w:rPr>
        <w:t>VOCs,i</w:t>
      </w:r>
      <w:r>
        <w:rPr>
          <w:rFonts w:hint="eastAsia" w:ascii="宋体" w:hAnsi="宋体"/>
          <w:color w:val="000000" w:themeColor="text1"/>
          <w:kern w:val="0"/>
          <w:sz w:val="24"/>
          <w14:textFill>
            <w14:solidFill>
              <w14:schemeClr w14:val="tx1"/>
            </w14:solidFill>
          </w14:textFill>
        </w:rPr>
        <w:t>—流经密封点i的物料中挥发性有机物平均质量分数；</w:t>
      </w:r>
    </w:p>
    <w:p w14:paraId="2C37675E">
      <w:pPr>
        <w:adjustRightInd w:val="0"/>
        <w:snapToGrid w:val="0"/>
        <w:spacing w:line="500" w:lineRule="exact"/>
        <w:ind w:firstLine="480" w:firstLineChars="200"/>
        <w:textAlignment w:val="baseline"/>
        <w:rPr>
          <w:rFonts w:hint="eastAsia" w:ascii="宋体" w:hAnsi="宋体"/>
          <w:color w:val="000000" w:themeColor="text1"/>
          <w:kern w:val="0"/>
          <w:sz w:val="24"/>
          <w14:textFill>
            <w14:solidFill>
              <w14:schemeClr w14:val="tx1"/>
            </w14:solidFill>
          </w14:textFill>
        </w:rPr>
      </w:pPr>
      <w:r>
        <w:rPr>
          <w:rFonts w:ascii="宋体" w:hAnsi="宋体"/>
          <w:color w:val="000000" w:themeColor="text1"/>
          <w:kern w:val="0"/>
          <w:sz w:val="24"/>
          <w14:textFill>
            <w14:solidFill>
              <w14:schemeClr w14:val="tx1"/>
            </w14:solidFill>
          </w14:textFill>
        </w:rPr>
        <w:t>WF</w:t>
      </w:r>
      <w:r>
        <w:rPr>
          <w:rFonts w:ascii="宋体" w:hAnsi="宋体"/>
          <w:color w:val="000000" w:themeColor="text1"/>
          <w:kern w:val="0"/>
          <w:sz w:val="24"/>
          <w:vertAlign w:val="subscript"/>
          <w14:textFill>
            <w14:solidFill>
              <w14:schemeClr w14:val="tx1"/>
            </w14:solidFill>
          </w14:textFill>
        </w:rPr>
        <w:t>TOC</w:t>
      </w:r>
      <w:r>
        <w:rPr>
          <w:rFonts w:hint="eastAsia" w:ascii="宋体" w:hAnsi="宋体"/>
          <w:color w:val="000000" w:themeColor="text1"/>
          <w:kern w:val="0"/>
          <w:sz w:val="24"/>
          <w:vertAlign w:val="subscript"/>
          <w14:textFill>
            <w14:solidFill>
              <w14:schemeClr w14:val="tx1"/>
            </w14:solidFill>
          </w14:textFill>
        </w:rPr>
        <w:t>,i</w:t>
      </w:r>
      <w:r>
        <w:rPr>
          <w:rFonts w:hint="eastAsia" w:ascii="宋体" w:hAnsi="宋体"/>
          <w:color w:val="000000" w:themeColor="text1"/>
          <w:kern w:val="0"/>
          <w:sz w:val="24"/>
          <w14:textFill>
            <w14:solidFill>
              <w14:schemeClr w14:val="tx1"/>
            </w14:solidFill>
          </w14:textFill>
        </w:rPr>
        <w:t>—流经密封点i的物料中总有机碳（TOC）平均质量分数</w:t>
      </w:r>
      <w:r>
        <w:rPr>
          <w:rFonts w:ascii="宋体" w:hAnsi="宋体"/>
          <w:color w:val="000000" w:themeColor="text1"/>
          <w:kern w:val="0"/>
          <w:sz w:val="24"/>
          <w14:textFill>
            <w14:solidFill>
              <w14:schemeClr w14:val="tx1"/>
            </w14:solidFill>
          </w14:textFill>
        </w:rPr>
        <w:t>；</w:t>
      </w:r>
    </w:p>
    <w:bookmarkEnd w:id="317"/>
    <w:p w14:paraId="6485424C">
      <w:pPr>
        <w:adjustRightInd w:val="0"/>
        <w:snapToGrid w:val="0"/>
        <w:spacing w:line="500" w:lineRule="exact"/>
        <w:ind w:firstLine="480" w:firstLineChars="200"/>
        <w:jc w:val="left"/>
        <w:textAlignment w:val="baseline"/>
        <w:rPr>
          <w:rFonts w:hint="eastAsia" w:ascii="宋体" w:hAnsi="宋体"/>
          <w:color w:val="000000" w:themeColor="text1"/>
          <w:kern w:val="0"/>
          <w:sz w:val="24"/>
          <w14:textFill>
            <w14:solidFill>
              <w14:schemeClr w14:val="tx1"/>
            </w14:solidFill>
          </w14:textFill>
        </w:rPr>
      </w:pPr>
      <w:r>
        <w:rPr>
          <w:rFonts w:ascii="宋体" w:hAnsi="宋体"/>
          <w:color w:val="000000" w:themeColor="text1"/>
          <w:kern w:val="0"/>
          <w:sz w:val="24"/>
          <w14:textFill>
            <w14:solidFill>
              <w14:schemeClr w14:val="tx1"/>
            </w14:solidFill>
          </w14:textFill>
        </w:rPr>
        <w:t>e</w:t>
      </w:r>
      <w:r>
        <w:rPr>
          <w:rFonts w:ascii="宋体" w:hAnsi="宋体"/>
          <w:color w:val="000000" w:themeColor="text1"/>
          <w:kern w:val="0"/>
          <w:sz w:val="24"/>
          <w:vertAlign w:val="subscript"/>
          <w14:textFill>
            <w14:solidFill>
              <w14:schemeClr w14:val="tx1"/>
            </w14:solidFill>
          </w14:textFill>
        </w:rPr>
        <w:t>TOC,i</w:t>
      </w:r>
      <w:r>
        <w:rPr>
          <w:rFonts w:ascii="宋体" w:hAnsi="宋体"/>
          <w:color w:val="000000" w:themeColor="text1"/>
          <w:kern w:val="0"/>
          <w:sz w:val="24"/>
          <w14:textFill>
            <w14:solidFill>
              <w14:schemeClr w14:val="tx1"/>
            </w14:solidFill>
          </w14:textFill>
        </w:rPr>
        <w:t>一密封点i的总有机碳（TOC</w:t>
      </w:r>
      <w:r>
        <w:rPr>
          <w:rFonts w:hint="eastAsia" w:ascii="宋体" w:hAnsi="宋体"/>
          <w:color w:val="000000" w:themeColor="text1"/>
          <w:kern w:val="0"/>
          <w:sz w:val="24"/>
          <w14:textFill>
            <w14:solidFill>
              <w14:schemeClr w14:val="tx1"/>
            </w14:solidFill>
          </w14:textFill>
        </w:rPr>
        <w:t>）</w:t>
      </w:r>
      <w:r>
        <w:rPr>
          <w:rFonts w:ascii="宋体" w:hAnsi="宋体"/>
          <w:color w:val="000000" w:themeColor="text1"/>
          <w:kern w:val="0"/>
          <w:sz w:val="24"/>
          <w14:textFill>
            <w14:solidFill>
              <w14:schemeClr w14:val="tx1"/>
            </w14:solidFill>
          </w14:textFill>
        </w:rPr>
        <w:t>排放速率（泄漏浓度大于10000umol/mol</w:t>
      </w:r>
      <w:r>
        <w:rPr>
          <w:rFonts w:hint="eastAsia" w:ascii="宋体" w:hAnsi="宋体"/>
          <w:color w:val="000000" w:themeColor="text1"/>
          <w:kern w:val="0"/>
          <w:sz w:val="24"/>
          <w14:textFill>
            <w14:solidFill>
              <w14:schemeClr w14:val="tx1"/>
            </w14:solidFill>
          </w14:textFill>
        </w:rPr>
        <w:t>）</w:t>
      </w:r>
      <w:r>
        <w:rPr>
          <w:rFonts w:ascii="宋体" w:hAnsi="宋体"/>
          <w:color w:val="000000" w:themeColor="text1"/>
          <w:kern w:val="0"/>
          <w:sz w:val="24"/>
          <w14:textFill>
            <w14:solidFill>
              <w14:schemeClr w14:val="tx1"/>
            </w14:solidFill>
          </w14:textFill>
        </w:rPr>
        <w:t>，kg/h</w:t>
      </w:r>
      <w:r>
        <w:rPr>
          <w:rFonts w:hint="eastAsia" w:ascii="宋体" w:hAnsi="宋体"/>
          <w:color w:val="000000" w:themeColor="text1"/>
          <w:kern w:val="0"/>
          <w:sz w:val="24"/>
          <w14:textFill>
            <w14:solidFill>
              <w14:schemeClr w14:val="tx1"/>
            </w14:solidFill>
          </w14:textFill>
        </w:rPr>
        <w:t>；</w:t>
      </w:r>
    </w:p>
    <w:p w14:paraId="674D4831">
      <w:pPr>
        <w:adjustRightInd w:val="0"/>
        <w:snapToGrid w:val="0"/>
        <w:spacing w:line="500" w:lineRule="exact"/>
        <w:ind w:firstLine="480" w:firstLineChars="200"/>
        <w:jc w:val="left"/>
        <w:textAlignment w:val="baseline"/>
        <w:rPr>
          <w:rFonts w:hint="eastAsia"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n—挥发性有机物流经的设备与管线组件密封点数。</w:t>
      </w:r>
    </w:p>
    <w:p w14:paraId="1AD77B96">
      <w:pPr>
        <w:adjustRightInd w:val="0"/>
        <w:snapToGrid w:val="0"/>
        <w:spacing w:line="500" w:lineRule="exact"/>
        <w:ind w:firstLine="480" w:firstLineChars="200"/>
        <w:jc w:val="left"/>
        <w:textAlignment w:val="baseline"/>
        <w:rPr>
          <w:rFonts w:hint="eastAsia"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t</w:t>
      </w:r>
      <w:r>
        <w:rPr>
          <w:rFonts w:hint="eastAsia" w:ascii="宋体" w:hAnsi="宋体"/>
          <w:color w:val="000000" w:themeColor="text1"/>
          <w:kern w:val="0"/>
          <w:sz w:val="24"/>
          <w:vertAlign w:val="subscript"/>
          <w14:textFill>
            <w14:solidFill>
              <w14:schemeClr w14:val="tx1"/>
            </w14:solidFill>
          </w14:textFill>
        </w:rPr>
        <w:t>i</w:t>
      </w:r>
      <w:r>
        <w:rPr>
          <w:rFonts w:hint="eastAsia" w:ascii="宋体" w:hAnsi="宋体"/>
          <w:color w:val="000000" w:themeColor="text1"/>
          <w:kern w:val="0"/>
          <w:sz w:val="24"/>
          <w14:textFill>
            <w14:solidFill>
              <w14:schemeClr w14:val="tx1"/>
            </w14:solidFill>
          </w14:textFill>
        </w:rPr>
        <w:t>—核算时段内密封点i的运行时间，h，本次取7200h。</w:t>
      </w:r>
    </w:p>
    <w:bookmarkEnd w:id="316"/>
    <w:p w14:paraId="57ACDFAA">
      <w:pPr>
        <w:adjustRightInd w:val="0"/>
        <w:snapToGrid w:val="0"/>
        <w:spacing w:line="500" w:lineRule="exact"/>
        <w:ind w:firstLine="480" w:firstLineChars="200"/>
        <w:jc w:val="left"/>
        <w:textAlignment w:val="baseline"/>
        <w:rPr>
          <w:rStyle w:val="190"/>
          <w:rFonts w:hint="eastAsia"/>
          <w:color w:val="000000" w:themeColor="text1"/>
          <w14:textFill>
            <w14:solidFill>
              <w14:schemeClr w14:val="tx1"/>
            </w14:solidFill>
          </w14:textFill>
        </w:rPr>
      </w:pPr>
      <w:r>
        <w:rPr>
          <w:rFonts w:hint="eastAsia" w:ascii="宋体" w:hAnsi="宋体"/>
          <w:color w:val="000000" w:themeColor="text1"/>
          <w:kern w:val="0"/>
          <w:sz w:val="24"/>
          <w14:textFill>
            <w14:solidFill>
              <w14:schemeClr w14:val="tx1"/>
            </w14:solidFill>
          </w14:textFill>
        </w:rPr>
        <w:t>根据上述公式计算油气集输过程中的无组织挥发性废气产生</w:t>
      </w:r>
      <w:r>
        <w:rPr>
          <w:rStyle w:val="190"/>
          <w:rFonts w:hint="eastAsia"/>
          <w:color w:val="000000" w:themeColor="text1"/>
          <w14:textFill>
            <w14:solidFill>
              <w14:schemeClr w14:val="tx1"/>
            </w14:solidFill>
          </w14:textFill>
        </w:rPr>
        <w:t>量见表</w:t>
      </w:r>
      <w:r>
        <w:rPr>
          <w:rStyle w:val="190"/>
          <w:color w:val="000000" w:themeColor="text1"/>
          <w14:textFill>
            <w14:solidFill>
              <w14:schemeClr w14:val="tx1"/>
            </w14:solidFill>
          </w14:textFill>
        </w:rPr>
        <w:t>3.3</w:t>
      </w:r>
      <w:r>
        <w:rPr>
          <w:rStyle w:val="190"/>
          <w:rFonts w:hint="eastAsia"/>
          <w:color w:val="000000" w:themeColor="text1"/>
          <w14:textFill>
            <w14:solidFill>
              <w14:schemeClr w14:val="tx1"/>
            </w14:solidFill>
          </w14:textFill>
        </w:rPr>
        <w:t>-4。</w:t>
      </w:r>
    </w:p>
    <w:p w14:paraId="1E0D631D">
      <w:pPr>
        <w:pStyle w:val="109"/>
        <w:rPr>
          <w:rFonts w:hint="eastAsia"/>
          <w:color w:val="000000" w:themeColor="text1"/>
          <w14:textFill>
            <w14:solidFill>
              <w14:schemeClr w14:val="tx1"/>
            </w14:solidFill>
          </w14:textFill>
        </w:rPr>
      </w:pPr>
      <w:bookmarkStart w:id="318" w:name="_Hlk166020982"/>
      <w:bookmarkStart w:id="319" w:name="_Hlk141714413"/>
      <w:r>
        <w:rPr>
          <w:rFonts w:hint="eastAsia"/>
          <w:color w:val="000000" w:themeColor="text1"/>
          <w14:textFill>
            <w14:solidFill>
              <w14:schemeClr w14:val="tx1"/>
            </w14:solidFill>
          </w14:textFill>
        </w:rPr>
        <w:t>表</w:t>
      </w:r>
      <w:r>
        <w:rPr>
          <w:color w:val="000000" w:themeColor="text1"/>
          <w14:textFill>
            <w14:solidFill>
              <w14:schemeClr w14:val="tx1"/>
            </w14:solidFill>
          </w14:textFill>
        </w:rPr>
        <w:t>3.3</w:t>
      </w:r>
      <w:r>
        <w:rPr>
          <w:rFonts w:hint="eastAsia"/>
          <w:color w:val="000000" w:themeColor="text1"/>
          <w14:textFill>
            <w14:solidFill>
              <w14:schemeClr w14:val="tx1"/>
            </w14:solidFill>
          </w14:textFill>
        </w:rPr>
        <w:t>-4</w:t>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排放系数、设备类型数量及污染物排放量</w:t>
      </w:r>
    </w:p>
    <w:tbl>
      <w:tblPr>
        <w:tblStyle w:val="51"/>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039"/>
        <w:gridCol w:w="1191"/>
        <w:gridCol w:w="1758"/>
        <w:gridCol w:w="2242"/>
        <w:gridCol w:w="1500"/>
      </w:tblGrid>
      <w:tr w14:paraId="27FF7B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850" w:type="pct"/>
            <w:gridSpan w:val="2"/>
            <w:tcBorders>
              <w:top w:val="single" w:color="000000" w:sz="12" w:space="0"/>
              <w:left w:val="nil"/>
              <w:bottom w:val="single" w:color="000000" w:sz="4" w:space="0"/>
              <w:right w:val="single" w:color="000000" w:sz="4" w:space="0"/>
            </w:tcBorders>
            <w:vAlign w:val="center"/>
          </w:tcPr>
          <w:p w14:paraId="02A007A9">
            <w:pPr>
              <w:pStyle w:val="322"/>
              <w:adjustRightInd w:val="0"/>
              <w:snapToGrid w:val="0"/>
              <w:spacing w:line="300" w:lineRule="exact"/>
              <w:rPr>
                <w:rFonts w:hint="eastAsia" w:cs="宋体"/>
                <w:bCs/>
                <w:snapToGrid w:val="0"/>
                <w:color w:val="000000" w:themeColor="text1"/>
                <w:w w:val="100"/>
                <w:kern w:val="0"/>
                <w:sz w:val="21"/>
                <w:szCs w:val="21"/>
                <w14:textFill>
                  <w14:solidFill>
                    <w14:schemeClr w14:val="tx1"/>
                  </w14:solidFill>
                </w14:textFill>
              </w:rPr>
            </w:pPr>
            <w:r>
              <w:rPr>
                <w:rFonts w:hint="eastAsia" w:cs="宋体"/>
                <w:bCs/>
                <w:snapToGrid w:val="0"/>
                <w:color w:val="000000" w:themeColor="text1"/>
                <w:w w:val="100"/>
                <w:kern w:val="0"/>
                <w:sz w:val="21"/>
                <w:szCs w:val="21"/>
                <w14:textFill>
                  <w14:solidFill>
                    <w14:schemeClr w14:val="tx1"/>
                  </w14:solidFill>
                </w14:textFill>
              </w:rPr>
              <w:t>设备类型</w:t>
            </w:r>
          </w:p>
        </w:tc>
        <w:tc>
          <w:tcPr>
            <w:tcW w:w="1007" w:type="pct"/>
            <w:tcBorders>
              <w:top w:val="single" w:color="000000" w:sz="12" w:space="0"/>
              <w:left w:val="single" w:color="000000" w:sz="4" w:space="0"/>
              <w:bottom w:val="single" w:color="000000" w:sz="4" w:space="0"/>
              <w:right w:val="single" w:color="auto" w:sz="4" w:space="0"/>
            </w:tcBorders>
            <w:vAlign w:val="center"/>
          </w:tcPr>
          <w:p w14:paraId="505293BE">
            <w:pPr>
              <w:pStyle w:val="322"/>
              <w:adjustRightInd w:val="0"/>
              <w:snapToGrid w:val="0"/>
              <w:spacing w:line="300" w:lineRule="exact"/>
              <w:rPr>
                <w:rFonts w:hint="eastAsia" w:cs="宋体"/>
                <w:bCs/>
                <w:snapToGrid w:val="0"/>
                <w:color w:val="000000" w:themeColor="text1"/>
                <w:w w:val="100"/>
                <w:kern w:val="0"/>
                <w:sz w:val="21"/>
                <w:szCs w:val="21"/>
                <w14:textFill>
                  <w14:solidFill>
                    <w14:schemeClr w14:val="tx1"/>
                  </w14:solidFill>
                </w14:textFill>
              </w:rPr>
            </w:pPr>
            <w:r>
              <w:rPr>
                <w:rFonts w:hint="eastAsia" w:cs="宋体"/>
                <w:bCs/>
                <w:snapToGrid w:val="0"/>
                <w:color w:val="000000" w:themeColor="text1"/>
                <w:w w:val="100"/>
                <w:kern w:val="0"/>
                <w:sz w:val="21"/>
                <w:szCs w:val="21"/>
                <w14:textFill>
                  <w14:solidFill>
                    <w14:schemeClr w14:val="tx1"/>
                  </w14:solidFill>
                </w14:textFill>
              </w:rPr>
              <w:t>排放速率</w:t>
            </w:r>
          </w:p>
          <w:p w14:paraId="0AFAC675">
            <w:pPr>
              <w:pStyle w:val="322"/>
              <w:adjustRightInd w:val="0"/>
              <w:snapToGrid w:val="0"/>
              <w:spacing w:line="300" w:lineRule="exact"/>
              <w:rPr>
                <w:rFonts w:hint="eastAsia" w:cs="宋体"/>
                <w:bCs/>
                <w:snapToGrid w:val="0"/>
                <w:color w:val="000000" w:themeColor="text1"/>
                <w:w w:val="100"/>
                <w:kern w:val="0"/>
                <w:sz w:val="21"/>
                <w:szCs w:val="21"/>
                <w14:textFill>
                  <w14:solidFill>
                    <w14:schemeClr w14:val="tx1"/>
                  </w14:solidFill>
                </w14:textFill>
              </w:rPr>
            </w:pPr>
            <w:r>
              <w:rPr>
                <w:rFonts w:hint="eastAsia" w:cs="宋体"/>
                <w:bCs/>
                <w:snapToGrid w:val="0"/>
                <w:color w:val="000000" w:themeColor="text1"/>
                <w:w w:val="100"/>
                <w:kern w:val="0"/>
                <w:sz w:val="21"/>
                <w:szCs w:val="21"/>
                <w14:textFill>
                  <w14:solidFill>
                    <w14:schemeClr w14:val="tx1"/>
                  </w14:solidFill>
                </w14:textFill>
              </w:rPr>
              <w:t>（kg/h/排放源）</w:t>
            </w:r>
          </w:p>
        </w:tc>
        <w:tc>
          <w:tcPr>
            <w:tcW w:w="1284" w:type="pct"/>
            <w:tcBorders>
              <w:top w:val="single" w:color="000000" w:sz="12" w:space="0"/>
              <w:left w:val="single" w:color="auto" w:sz="4" w:space="0"/>
              <w:bottom w:val="single" w:color="000000" w:sz="4" w:space="0"/>
              <w:right w:val="single" w:color="auto" w:sz="4" w:space="0"/>
            </w:tcBorders>
            <w:vAlign w:val="center"/>
          </w:tcPr>
          <w:p w14:paraId="519C263C">
            <w:pPr>
              <w:pStyle w:val="322"/>
              <w:adjustRightInd w:val="0"/>
              <w:snapToGrid w:val="0"/>
              <w:spacing w:line="300" w:lineRule="exact"/>
              <w:rPr>
                <w:rFonts w:hint="eastAsia" w:cs="宋体"/>
                <w:bCs/>
                <w:snapToGrid w:val="0"/>
                <w:color w:val="000000" w:themeColor="text1"/>
                <w:w w:val="100"/>
                <w:kern w:val="0"/>
                <w:sz w:val="21"/>
                <w:szCs w:val="21"/>
                <w14:textFill>
                  <w14:solidFill>
                    <w14:schemeClr w14:val="tx1"/>
                  </w14:solidFill>
                </w14:textFill>
              </w:rPr>
            </w:pPr>
            <w:r>
              <w:rPr>
                <w:rFonts w:hint="eastAsia" w:cs="宋体"/>
                <w:bCs/>
                <w:snapToGrid w:val="0"/>
                <w:color w:val="000000" w:themeColor="text1"/>
                <w:w w:val="100"/>
                <w:kern w:val="0"/>
                <w:sz w:val="21"/>
                <w:szCs w:val="21"/>
                <w14:textFill>
                  <w14:solidFill>
                    <w14:schemeClr w14:val="tx1"/>
                  </w14:solidFill>
                </w14:textFill>
              </w:rPr>
              <w:t>设备数量</w:t>
            </w:r>
          </w:p>
          <w:p w14:paraId="6E739A52">
            <w:pPr>
              <w:pStyle w:val="322"/>
              <w:adjustRightInd w:val="0"/>
              <w:snapToGrid w:val="0"/>
              <w:spacing w:line="300" w:lineRule="exact"/>
              <w:rPr>
                <w:rFonts w:hint="eastAsia" w:cs="宋体"/>
                <w:bCs/>
                <w:snapToGrid w:val="0"/>
                <w:color w:val="000000" w:themeColor="text1"/>
                <w:w w:val="100"/>
                <w:kern w:val="0"/>
                <w:sz w:val="21"/>
                <w:szCs w:val="21"/>
                <w14:textFill>
                  <w14:solidFill>
                    <w14:schemeClr w14:val="tx1"/>
                  </w14:solidFill>
                </w14:textFill>
              </w:rPr>
            </w:pPr>
            <w:r>
              <w:rPr>
                <w:rFonts w:hint="eastAsia" w:cs="宋体"/>
                <w:bCs/>
                <w:snapToGrid w:val="0"/>
                <w:color w:val="000000" w:themeColor="text1"/>
                <w:w w:val="100"/>
                <w:kern w:val="0"/>
                <w:sz w:val="21"/>
                <w:szCs w:val="21"/>
                <w14:textFill>
                  <w14:solidFill>
                    <w14:schemeClr w14:val="tx1"/>
                  </w14:solidFill>
                </w14:textFill>
              </w:rPr>
              <w:t>（个/台）</w:t>
            </w:r>
          </w:p>
        </w:tc>
        <w:tc>
          <w:tcPr>
            <w:tcW w:w="859" w:type="pct"/>
            <w:tcBorders>
              <w:top w:val="single" w:color="000000" w:sz="12" w:space="0"/>
              <w:left w:val="single" w:color="auto" w:sz="4" w:space="0"/>
              <w:bottom w:val="single" w:color="000000" w:sz="4" w:space="0"/>
              <w:right w:val="nil"/>
            </w:tcBorders>
            <w:vAlign w:val="center"/>
          </w:tcPr>
          <w:p w14:paraId="63F4236A">
            <w:pPr>
              <w:pStyle w:val="322"/>
              <w:adjustRightInd w:val="0"/>
              <w:snapToGrid w:val="0"/>
              <w:spacing w:line="300" w:lineRule="exact"/>
              <w:rPr>
                <w:rFonts w:hint="eastAsia" w:cs="宋体"/>
                <w:snapToGrid w:val="0"/>
                <w:color w:val="000000" w:themeColor="text1"/>
                <w:w w:val="100"/>
                <w:kern w:val="0"/>
                <w:sz w:val="21"/>
                <w:szCs w:val="21"/>
                <w14:textFill>
                  <w14:solidFill>
                    <w14:schemeClr w14:val="tx1"/>
                  </w14:solidFill>
                </w14:textFill>
              </w:rPr>
            </w:pPr>
            <w:r>
              <w:rPr>
                <w:rFonts w:hint="eastAsia" w:cs="宋体"/>
                <w:snapToGrid w:val="0"/>
                <w:color w:val="000000" w:themeColor="text1"/>
                <w:w w:val="100"/>
                <w:kern w:val="0"/>
                <w:sz w:val="21"/>
                <w:szCs w:val="21"/>
                <w14:textFill>
                  <w14:solidFill>
                    <w14:schemeClr w14:val="tx1"/>
                  </w14:solidFill>
                </w14:textFill>
              </w:rPr>
              <w:t>污染物排放量（t/a）</w:t>
            </w:r>
          </w:p>
        </w:tc>
      </w:tr>
      <w:tr w14:paraId="677BAC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168" w:type="pct"/>
            <w:vMerge w:val="restart"/>
            <w:tcBorders>
              <w:left w:val="nil"/>
              <w:right w:val="single" w:color="auto" w:sz="4" w:space="0"/>
            </w:tcBorders>
            <w:vAlign w:val="center"/>
          </w:tcPr>
          <w:p w14:paraId="0F2F610A">
            <w:pPr>
              <w:pStyle w:val="322"/>
              <w:adjustRightInd w:val="0"/>
              <w:snapToGrid w:val="0"/>
              <w:spacing w:line="300" w:lineRule="exact"/>
              <w:rPr>
                <w:rFonts w:hint="eastAsia" w:cs="宋体"/>
                <w:snapToGrid w:val="0"/>
                <w:color w:val="000000" w:themeColor="text1"/>
                <w:w w:val="100"/>
                <w:kern w:val="0"/>
                <w:sz w:val="21"/>
                <w:szCs w:val="21"/>
                <w14:textFill>
                  <w14:solidFill>
                    <w14:schemeClr w14:val="tx1"/>
                  </w14:solidFill>
                </w14:textFill>
              </w:rPr>
            </w:pPr>
            <w:bookmarkStart w:id="320" w:name="OLE_LINK92"/>
            <w:r>
              <w:rPr>
                <w:rFonts w:hint="eastAsia" w:cs="宋体"/>
                <w:snapToGrid w:val="0"/>
                <w:color w:val="000000" w:themeColor="text1"/>
                <w:w w:val="100"/>
                <w:kern w:val="0"/>
                <w:sz w:val="21"/>
                <w:szCs w:val="21"/>
                <w14:textFill>
                  <w14:solidFill>
                    <w14:schemeClr w14:val="tx1"/>
                  </w14:solidFill>
                </w14:textFill>
              </w:rPr>
              <w:t>1号计量站</w:t>
            </w:r>
            <w:bookmarkEnd w:id="320"/>
          </w:p>
        </w:tc>
        <w:tc>
          <w:tcPr>
            <w:tcW w:w="682" w:type="pct"/>
            <w:tcBorders>
              <w:top w:val="single" w:color="000000" w:sz="4" w:space="0"/>
              <w:left w:val="single" w:color="auto" w:sz="4" w:space="0"/>
              <w:bottom w:val="single" w:color="000000" w:sz="4" w:space="0"/>
              <w:right w:val="single" w:color="000000" w:sz="4" w:space="0"/>
            </w:tcBorders>
            <w:vAlign w:val="center"/>
          </w:tcPr>
          <w:p w14:paraId="27AA7EF2">
            <w:pPr>
              <w:pStyle w:val="322"/>
              <w:adjustRightInd w:val="0"/>
              <w:snapToGrid w:val="0"/>
              <w:spacing w:line="300" w:lineRule="exact"/>
              <w:rPr>
                <w:rFonts w:hint="eastAsia" w:cs="宋体"/>
                <w:snapToGrid w:val="0"/>
                <w:color w:val="000000" w:themeColor="text1"/>
                <w:w w:val="100"/>
                <w:kern w:val="0"/>
                <w:sz w:val="21"/>
                <w:szCs w:val="21"/>
                <w14:textFill>
                  <w14:solidFill>
                    <w14:schemeClr w14:val="tx1"/>
                  </w14:solidFill>
                </w14:textFill>
              </w:rPr>
            </w:pPr>
            <w:r>
              <w:rPr>
                <w:rFonts w:hint="eastAsia" w:cs="宋体"/>
                <w:snapToGrid w:val="0"/>
                <w:color w:val="000000" w:themeColor="text1"/>
                <w:w w:val="100"/>
                <w:kern w:val="0"/>
                <w:sz w:val="21"/>
                <w:szCs w:val="21"/>
                <w14:textFill>
                  <w14:solidFill>
                    <w14:schemeClr w14:val="tx1"/>
                  </w14:solidFill>
                </w14:textFill>
              </w:rPr>
              <w:t>阀门</w:t>
            </w:r>
          </w:p>
        </w:tc>
        <w:tc>
          <w:tcPr>
            <w:tcW w:w="1007" w:type="pct"/>
            <w:tcBorders>
              <w:top w:val="single" w:color="000000" w:sz="4" w:space="0"/>
              <w:left w:val="single" w:color="000000" w:sz="4" w:space="0"/>
              <w:bottom w:val="single" w:color="000000" w:sz="4" w:space="0"/>
              <w:right w:val="single" w:color="auto" w:sz="4" w:space="0"/>
            </w:tcBorders>
            <w:vAlign w:val="center"/>
          </w:tcPr>
          <w:p w14:paraId="52D4DA3D">
            <w:pPr>
              <w:pStyle w:val="322"/>
              <w:adjustRightInd w:val="0"/>
              <w:snapToGrid w:val="0"/>
              <w:spacing w:line="300" w:lineRule="exact"/>
              <w:rPr>
                <w:rFonts w:hint="eastAsia" w:cs="宋体"/>
                <w:snapToGrid w:val="0"/>
                <w:color w:val="000000" w:themeColor="text1"/>
                <w:w w:val="100"/>
                <w:kern w:val="0"/>
                <w:sz w:val="21"/>
                <w:szCs w:val="21"/>
                <w14:textFill>
                  <w14:solidFill>
                    <w14:schemeClr w14:val="tx1"/>
                  </w14:solidFill>
                </w14:textFill>
              </w:rPr>
            </w:pPr>
            <w:r>
              <w:rPr>
                <w:rFonts w:hint="eastAsia" w:cs="宋体"/>
                <w:snapToGrid w:val="0"/>
                <w:color w:val="000000" w:themeColor="text1"/>
                <w:w w:val="100"/>
                <w:kern w:val="0"/>
                <w:sz w:val="21"/>
                <w:szCs w:val="21"/>
                <w14:textFill>
                  <w14:solidFill>
                    <w14:schemeClr w14:val="tx1"/>
                  </w14:solidFill>
                </w14:textFill>
              </w:rPr>
              <w:t>0.064</w:t>
            </w:r>
          </w:p>
        </w:tc>
        <w:tc>
          <w:tcPr>
            <w:tcW w:w="1284" w:type="pct"/>
            <w:tcBorders>
              <w:top w:val="single" w:color="000000" w:sz="4" w:space="0"/>
              <w:left w:val="single" w:color="auto" w:sz="4" w:space="0"/>
              <w:bottom w:val="single" w:color="000000" w:sz="4" w:space="0"/>
              <w:right w:val="single" w:color="auto" w:sz="4" w:space="0"/>
            </w:tcBorders>
            <w:vAlign w:val="center"/>
          </w:tcPr>
          <w:p w14:paraId="4AC52536">
            <w:pPr>
              <w:pStyle w:val="322"/>
              <w:adjustRightInd w:val="0"/>
              <w:snapToGrid w:val="0"/>
              <w:spacing w:line="300" w:lineRule="exact"/>
              <w:rPr>
                <w:rFonts w:hint="eastAsia" w:cs="宋体"/>
                <w:snapToGrid w:val="0"/>
                <w:color w:val="000000" w:themeColor="text1"/>
                <w:w w:val="100"/>
                <w:kern w:val="0"/>
                <w:sz w:val="21"/>
                <w:szCs w:val="21"/>
                <w14:textFill>
                  <w14:solidFill>
                    <w14:schemeClr w14:val="tx1"/>
                  </w14:solidFill>
                </w14:textFill>
              </w:rPr>
            </w:pPr>
            <w:r>
              <w:rPr>
                <w:rFonts w:hint="eastAsia" w:cs="宋体"/>
                <w:snapToGrid w:val="0"/>
                <w:color w:val="000000" w:themeColor="text1"/>
                <w:w w:val="100"/>
                <w:kern w:val="0"/>
                <w:sz w:val="21"/>
                <w:szCs w:val="21"/>
                <w14:textFill>
                  <w14:solidFill>
                    <w14:schemeClr w14:val="tx1"/>
                  </w14:solidFill>
                </w14:textFill>
              </w:rPr>
              <w:t>8</w:t>
            </w:r>
          </w:p>
        </w:tc>
        <w:tc>
          <w:tcPr>
            <w:tcW w:w="859" w:type="pct"/>
            <w:tcBorders>
              <w:top w:val="single" w:color="000000" w:sz="4" w:space="0"/>
              <w:left w:val="single" w:color="auto" w:sz="4" w:space="0"/>
              <w:bottom w:val="single" w:color="000000" w:sz="4" w:space="0"/>
              <w:right w:val="nil"/>
            </w:tcBorders>
            <w:vAlign w:val="center"/>
          </w:tcPr>
          <w:p w14:paraId="0831544C">
            <w:pPr>
              <w:pStyle w:val="322"/>
              <w:adjustRightInd w:val="0"/>
              <w:snapToGrid w:val="0"/>
              <w:spacing w:line="300" w:lineRule="exact"/>
              <w:rPr>
                <w:rFonts w:hint="eastAsia" w:cs="宋体"/>
                <w:snapToGrid w:val="0"/>
                <w:color w:val="000000" w:themeColor="text1"/>
                <w:w w:val="100"/>
                <w:kern w:val="0"/>
                <w:sz w:val="21"/>
                <w:szCs w:val="21"/>
                <w14:textFill>
                  <w14:solidFill>
                    <w14:schemeClr w14:val="tx1"/>
                  </w14:solidFill>
                </w14:textFill>
              </w:rPr>
            </w:pPr>
            <w:r>
              <w:rPr>
                <w:rFonts w:hint="eastAsia" w:cs="宋体"/>
                <w:snapToGrid w:val="0"/>
                <w:color w:val="000000" w:themeColor="text1"/>
                <w:w w:val="100"/>
                <w:kern w:val="0"/>
                <w:sz w:val="21"/>
                <w:szCs w:val="21"/>
                <w14:textFill>
                  <w14:solidFill>
                    <w14:schemeClr w14:val="tx1"/>
                  </w14:solidFill>
                </w14:textFill>
              </w:rPr>
              <w:t>0.011</w:t>
            </w:r>
          </w:p>
        </w:tc>
      </w:tr>
      <w:tr w14:paraId="504CB1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168" w:type="pct"/>
            <w:vMerge w:val="continue"/>
            <w:tcBorders>
              <w:left w:val="nil"/>
              <w:right w:val="single" w:color="auto" w:sz="4" w:space="0"/>
            </w:tcBorders>
            <w:vAlign w:val="center"/>
          </w:tcPr>
          <w:p w14:paraId="0E9A0E68">
            <w:pPr>
              <w:pStyle w:val="322"/>
              <w:adjustRightInd w:val="0"/>
              <w:snapToGrid w:val="0"/>
              <w:spacing w:line="300" w:lineRule="exact"/>
              <w:rPr>
                <w:rFonts w:hint="eastAsia" w:cs="宋体"/>
                <w:snapToGrid w:val="0"/>
                <w:color w:val="000000" w:themeColor="text1"/>
                <w:w w:val="100"/>
                <w:kern w:val="0"/>
                <w:sz w:val="21"/>
                <w:szCs w:val="21"/>
                <w14:textFill>
                  <w14:solidFill>
                    <w14:schemeClr w14:val="tx1"/>
                  </w14:solidFill>
                </w14:textFill>
              </w:rPr>
            </w:pPr>
          </w:p>
        </w:tc>
        <w:tc>
          <w:tcPr>
            <w:tcW w:w="682" w:type="pct"/>
            <w:tcBorders>
              <w:top w:val="single" w:color="000000" w:sz="4" w:space="0"/>
              <w:left w:val="single" w:color="auto" w:sz="4" w:space="0"/>
              <w:bottom w:val="single" w:color="000000" w:sz="4" w:space="0"/>
              <w:right w:val="single" w:color="000000" w:sz="4" w:space="0"/>
            </w:tcBorders>
            <w:vAlign w:val="center"/>
          </w:tcPr>
          <w:p w14:paraId="47275990">
            <w:pPr>
              <w:pStyle w:val="322"/>
              <w:adjustRightInd w:val="0"/>
              <w:snapToGrid w:val="0"/>
              <w:spacing w:line="300" w:lineRule="exact"/>
              <w:rPr>
                <w:rFonts w:hint="eastAsia" w:cs="宋体"/>
                <w:snapToGrid w:val="0"/>
                <w:color w:val="000000" w:themeColor="text1"/>
                <w:w w:val="100"/>
                <w:kern w:val="0"/>
                <w:sz w:val="21"/>
                <w:szCs w:val="21"/>
                <w14:textFill>
                  <w14:solidFill>
                    <w14:schemeClr w14:val="tx1"/>
                  </w14:solidFill>
                </w14:textFill>
              </w:rPr>
            </w:pPr>
            <w:r>
              <w:rPr>
                <w:rFonts w:hint="eastAsia" w:cs="宋体"/>
                <w:snapToGrid w:val="0"/>
                <w:color w:val="000000" w:themeColor="text1"/>
                <w:w w:val="100"/>
                <w:kern w:val="0"/>
                <w:sz w:val="21"/>
                <w:szCs w:val="21"/>
                <w14:textFill>
                  <w14:solidFill>
                    <w14:schemeClr w14:val="tx1"/>
                  </w14:solidFill>
                </w14:textFill>
              </w:rPr>
              <w:t>法兰</w:t>
            </w:r>
          </w:p>
        </w:tc>
        <w:tc>
          <w:tcPr>
            <w:tcW w:w="1007" w:type="pct"/>
            <w:tcBorders>
              <w:top w:val="single" w:color="000000" w:sz="4" w:space="0"/>
              <w:left w:val="single" w:color="000000" w:sz="4" w:space="0"/>
              <w:bottom w:val="single" w:color="000000" w:sz="4" w:space="0"/>
              <w:right w:val="single" w:color="auto" w:sz="4" w:space="0"/>
            </w:tcBorders>
            <w:vAlign w:val="center"/>
          </w:tcPr>
          <w:p w14:paraId="4BA3C27A">
            <w:pPr>
              <w:pStyle w:val="322"/>
              <w:adjustRightInd w:val="0"/>
              <w:snapToGrid w:val="0"/>
              <w:spacing w:line="300" w:lineRule="exact"/>
              <w:rPr>
                <w:rFonts w:hint="eastAsia" w:cs="宋体"/>
                <w:snapToGrid w:val="0"/>
                <w:color w:val="000000" w:themeColor="text1"/>
                <w:w w:val="100"/>
                <w:kern w:val="0"/>
                <w:sz w:val="21"/>
                <w:szCs w:val="21"/>
                <w14:textFill>
                  <w14:solidFill>
                    <w14:schemeClr w14:val="tx1"/>
                  </w14:solidFill>
                </w14:textFill>
              </w:rPr>
            </w:pPr>
            <w:r>
              <w:rPr>
                <w:rFonts w:hint="eastAsia" w:cs="宋体"/>
                <w:snapToGrid w:val="0"/>
                <w:color w:val="000000" w:themeColor="text1"/>
                <w:w w:val="100"/>
                <w:kern w:val="0"/>
                <w:sz w:val="21"/>
                <w:szCs w:val="21"/>
                <w14:textFill>
                  <w14:solidFill>
                    <w14:schemeClr w14:val="tx1"/>
                  </w14:solidFill>
                </w14:textFill>
              </w:rPr>
              <w:t>0.085</w:t>
            </w:r>
          </w:p>
        </w:tc>
        <w:tc>
          <w:tcPr>
            <w:tcW w:w="1284" w:type="pct"/>
            <w:tcBorders>
              <w:top w:val="single" w:color="000000" w:sz="4" w:space="0"/>
              <w:left w:val="single" w:color="auto" w:sz="4" w:space="0"/>
              <w:bottom w:val="single" w:color="000000" w:sz="4" w:space="0"/>
              <w:right w:val="single" w:color="auto" w:sz="4" w:space="0"/>
            </w:tcBorders>
            <w:vAlign w:val="center"/>
          </w:tcPr>
          <w:p w14:paraId="6468A200">
            <w:pPr>
              <w:pStyle w:val="322"/>
              <w:adjustRightInd w:val="0"/>
              <w:snapToGrid w:val="0"/>
              <w:spacing w:line="300" w:lineRule="exact"/>
              <w:rPr>
                <w:rFonts w:hint="eastAsia" w:cs="宋体"/>
                <w:snapToGrid w:val="0"/>
                <w:color w:val="000000" w:themeColor="text1"/>
                <w:w w:val="100"/>
                <w:kern w:val="0"/>
                <w:sz w:val="21"/>
                <w:szCs w:val="21"/>
                <w14:textFill>
                  <w14:solidFill>
                    <w14:schemeClr w14:val="tx1"/>
                  </w14:solidFill>
                </w14:textFill>
              </w:rPr>
            </w:pPr>
            <w:r>
              <w:rPr>
                <w:rFonts w:hint="eastAsia" w:cs="宋体"/>
                <w:snapToGrid w:val="0"/>
                <w:color w:val="000000" w:themeColor="text1"/>
                <w:w w:val="100"/>
                <w:kern w:val="0"/>
                <w:sz w:val="21"/>
                <w:szCs w:val="21"/>
                <w14:textFill>
                  <w14:solidFill>
                    <w14:schemeClr w14:val="tx1"/>
                  </w14:solidFill>
                </w14:textFill>
              </w:rPr>
              <w:t>16</w:t>
            </w:r>
          </w:p>
        </w:tc>
        <w:tc>
          <w:tcPr>
            <w:tcW w:w="859" w:type="pct"/>
            <w:tcBorders>
              <w:top w:val="single" w:color="000000" w:sz="4" w:space="0"/>
              <w:left w:val="single" w:color="auto" w:sz="4" w:space="0"/>
              <w:bottom w:val="single" w:color="000000" w:sz="4" w:space="0"/>
              <w:right w:val="nil"/>
            </w:tcBorders>
            <w:vAlign w:val="center"/>
          </w:tcPr>
          <w:p w14:paraId="1D1BD87B">
            <w:pPr>
              <w:pStyle w:val="322"/>
              <w:adjustRightInd w:val="0"/>
              <w:snapToGrid w:val="0"/>
              <w:spacing w:line="300" w:lineRule="exact"/>
              <w:rPr>
                <w:rFonts w:hint="eastAsia" w:cs="宋体"/>
                <w:snapToGrid w:val="0"/>
                <w:color w:val="000000" w:themeColor="text1"/>
                <w:w w:val="100"/>
                <w:kern w:val="0"/>
                <w:sz w:val="21"/>
                <w:szCs w:val="21"/>
                <w14:textFill>
                  <w14:solidFill>
                    <w14:schemeClr w14:val="tx1"/>
                  </w14:solidFill>
                </w14:textFill>
              </w:rPr>
            </w:pPr>
            <w:r>
              <w:rPr>
                <w:rFonts w:hint="eastAsia" w:cs="宋体"/>
                <w:snapToGrid w:val="0"/>
                <w:color w:val="000000" w:themeColor="text1"/>
                <w:w w:val="100"/>
                <w:kern w:val="0"/>
                <w:sz w:val="21"/>
                <w:szCs w:val="21"/>
                <w14:textFill>
                  <w14:solidFill>
                    <w14:schemeClr w14:val="tx1"/>
                  </w14:solidFill>
                </w14:textFill>
              </w:rPr>
              <w:t>0.029</w:t>
            </w:r>
          </w:p>
        </w:tc>
      </w:tr>
      <w:tr w14:paraId="052696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168" w:type="pct"/>
            <w:vMerge w:val="continue"/>
            <w:tcBorders>
              <w:left w:val="nil"/>
              <w:right w:val="single" w:color="auto" w:sz="4" w:space="0"/>
            </w:tcBorders>
            <w:vAlign w:val="center"/>
          </w:tcPr>
          <w:p w14:paraId="2943C038">
            <w:pPr>
              <w:pStyle w:val="322"/>
              <w:adjustRightInd w:val="0"/>
              <w:snapToGrid w:val="0"/>
              <w:spacing w:line="300" w:lineRule="exact"/>
              <w:rPr>
                <w:rFonts w:hint="eastAsia" w:cs="宋体"/>
                <w:snapToGrid w:val="0"/>
                <w:color w:val="000000" w:themeColor="text1"/>
                <w:w w:val="100"/>
                <w:kern w:val="0"/>
                <w:sz w:val="21"/>
                <w:szCs w:val="21"/>
                <w14:textFill>
                  <w14:solidFill>
                    <w14:schemeClr w14:val="tx1"/>
                  </w14:solidFill>
                </w14:textFill>
              </w:rPr>
            </w:pPr>
          </w:p>
        </w:tc>
        <w:tc>
          <w:tcPr>
            <w:tcW w:w="682" w:type="pct"/>
            <w:tcBorders>
              <w:top w:val="single" w:color="000000" w:sz="4" w:space="0"/>
              <w:left w:val="single" w:color="auto" w:sz="4" w:space="0"/>
              <w:bottom w:val="single" w:color="000000" w:sz="4" w:space="0"/>
              <w:right w:val="single" w:color="000000" w:sz="4" w:space="0"/>
            </w:tcBorders>
            <w:vAlign w:val="center"/>
          </w:tcPr>
          <w:p w14:paraId="2731E9F4">
            <w:pPr>
              <w:pStyle w:val="322"/>
              <w:adjustRightInd w:val="0"/>
              <w:snapToGrid w:val="0"/>
              <w:spacing w:line="300" w:lineRule="exact"/>
              <w:rPr>
                <w:rFonts w:hint="eastAsia" w:cs="宋体"/>
                <w:snapToGrid w:val="0"/>
                <w:color w:val="000000" w:themeColor="text1"/>
                <w:w w:val="100"/>
                <w:kern w:val="0"/>
                <w:sz w:val="21"/>
                <w:szCs w:val="21"/>
                <w14:textFill>
                  <w14:solidFill>
                    <w14:schemeClr w14:val="tx1"/>
                  </w14:solidFill>
                </w14:textFill>
              </w:rPr>
            </w:pPr>
            <w:r>
              <w:rPr>
                <w:rFonts w:hint="eastAsia" w:cs="宋体"/>
                <w:snapToGrid w:val="0"/>
                <w:color w:val="000000" w:themeColor="text1"/>
                <w:w w:val="100"/>
                <w:kern w:val="0"/>
                <w:sz w:val="21"/>
                <w:szCs w:val="21"/>
                <w14:textFill>
                  <w14:solidFill>
                    <w14:schemeClr w14:val="tx1"/>
                  </w14:solidFill>
                </w14:textFill>
              </w:rPr>
              <w:t>连接件</w:t>
            </w:r>
          </w:p>
        </w:tc>
        <w:tc>
          <w:tcPr>
            <w:tcW w:w="1007" w:type="pct"/>
            <w:tcBorders>
              <w:top w:val="single" w:color="000000" w:sz="4" w:space="0"/>
              <w:left w:val="single" w:color="000000" w:sz="4" w:space="0"/>
              <w:bottom w:val="single" w:color="000000" w:sz="4" w:space="0"/>
              <w:right w:val="single" w:color="auto" w:sz="4" w:space="0"/>
            </w:tcBorders>
            <w:vAlign w:val="center"/>
          </w:tcPr>
          <w:p w14:paraId="40E905AA">
            <w:pPr>
              <w:pStyle w:val="322"/>
              <w:adjustRightInd w:val="0"/>
              <w:snapToGrid w:val="0"/>
              <w:spacing w:line="300" w:lineRule="exact"/>
              <w:rPr>
                <w:rFonts w:hint="eastAsia" w:cs="宋体"/>
                <w:snapToGrid w:val="0"/>
                <w:color w:val="000000" w:themeColor="text1"/>
                <w:w w:val="100"/>
                <w:kern w:val="0"/>
                <w:sz w:val="21"/>
                <w:szCs w:val="21"/>
                <w14:textFill>
                  <w14:solidFill>
                    <w14:schemeClr w14:val="tx1"/>
                  </w14:solidFill>
                </w14:textFill>
              </w:rPr>
            </w:pPr>
            <w:r>
              <w:rPr>
                <w:rFonts w:hint="eastAsia" w:cs="宋体"/>
                <w:snapToGrid w:val="0"/>
                <w:color w:val="000000" w:themeColor="text1"/>
                <w:w w:val="100"/>
                <w:kern w:val="0"/>
                <w:sz w:val="21"/>
                <w:szCs w:val="21"/>
                <w14:textFill>
                  <w14:solidFill>
                    <w14:schemeClr w14:val="tx1"/>
                  </w14:solidFill>
                </w14:textFill>
              </w:rPr>
              <w:t>0.028</w:t>
            </w:r>
          </w:p>
        </w:tc>
        <w:tc>
          <w:tcPr>
            <w:tcW w:w="1284" w:type="pct"/>
            <w:tcBorders>
              <w:top w:val="single" w:color="000000" w:sz="4" w:space="0"/>
              <w:left w:val="single" w:color="auto" w:sz="4" w:space="0"/>
              <w:bottom w:val="single" w:color="000000" w:sz="4" w:space="0"/>
              <w:right w:val="single" w:color="auto" w:sz="4" w:space="0"/>
            </w:tcBorders>
            <w:vAlign w:val="center"/>
          </w:tcPr>
          <w:p w14:paraId="468B244C">
            <w:pPr>
              <w:pStyle w:val="322"/>
              <w:adjustRightInd w:val="0"/>
              <w:snapToGrid w:val="0"/>
              <w:spacing w:line="300" w:lineRule="exact"/>
              <w:rPr>
                <w:rFonts w:hint="eastAsia" w:cs="宋体"/>
                <w:snapToGrid w:val="0"/>
                <w:color w:val="000000" w:themeColor="text1"/>
                <w:w w:val="100"/>
                <w:kern w:val="0"/>
                <w:sz w:val="21"/>
                <w:szCs w:val="21"/>
                <w14:textFill>
                  <w14:solidFill>
                    <w14:schemeClr w14:val="tx1"/>
                  </w14:solidFill>
                </w14:textFill>
              </w:rPr>
            </w:pPr>
            <w:r>
              <w:rPr>
                <w:rFonts w:hint="eastAsia" w:cs="宋体"/>
                <w:snapToGrid w:val="0"/>
                <w:color w:val="000000" w:themeColor="text1"/>
                <w:w w:val="100"/>
                <w:kern w:val="0"/>
                <w:sz w:val="21"/>
                <w:szCs w:val="21"/>
                <w14:textFill>
                  <w14:solidFill>
                    <w14:schemeClr w14:val="tx1"/>
                  </w14:solidFill>
                </w14:textFill>
              </w:rPr>
              <w:t>96</w:t>
            </w:r>
          </w:p>
        </w:tc>
        <w:tc>
          <w:tcPr>
            <w:tcW w:w="859" w:type="pct"/>
            <w:tcBorders>
              <w:top w:val="single" w:color="000000" w:sz="4" w:space="0"/>
              <w:left w:val="single" w:color="auto" w:sz="4" w:space="0"/>
              <w:bottom w:val="single" w:color="000000" w:sz="4" w:space="0"/>
              <w:right w:val="nil"/>
            </w:tcBorders>
            <w:vAlign w:val="center"/>
          </w:tcPr>
          <w:p w14:paraId="62FC53C5">
            <w:pPr>
              <w:pStyle w:val="322"/>
              <w:adjustRightInd w:val="0"/>
              <w:snapToGrid w:val="0"/>
              <w:spacing w:line="300" w:lineRule="exact"/>
              <w:rPr>
                <w:rFonts w:hint="eastAsia" w:cs="宋体"/>
                <w:snapToGrid w:val="0"/>
                <w:color w:val="000000" w:themeColor="text1"/>
                <w:w w:val="100"/>
                <w:kern w:val="0"/>
                <w:sz w:val="21"/>
                <w:szCs w:val="21"/>
                <w14:textFill>
                  <w14:solidFill>
                    <w14:schemeClr w14:val="tx1"/>
                  </w14:solidFill>
                </w14:textFill>
              </w:rPr>
            </w:pPr>
            <w:r>
              <w:rPr>
                <w:rFonts w:hint="eastAsia" w:cs="宋体"/>
                <w:snapToGrid w:val="0"/>
                <w:color w:val="000000" w:themeColor="text1"/>
                <w:w w:val="100"/>
                <w:kern w:val="0"/>
                <w:sz w:val="21"/>
                <w:szCs w:val="21"/>
                <w14:textFill>
                  <w14:solidFill>
                    <w14:schemeClr w14:val="tx1"/>
                  </w14:solidFill>
                </w14:textFill>
              </w:rPr>
              <w:t>0.058</w:t>
            </w:r>
          </w:p>
        </w:tc>
      </w:tr>
      <w:tr w14:paraId="112E29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168" w:type="pct"/>
            <w:vMerge w:val="continue"/>
            <w:tcBorders>
              <w:left w:val="nil"/>
              <w:right w:val="single" w:color="auto" w:sz="4" w:space="0"/>
            </w:tcBorders>
            <w:vAlign w:val="center"/>
          </w:tcPr>
          <w:p w14:paraId="346639C7">
            <w:pPr>
              <w:pStyle w:val="322"/>
              <w:adjustRightInd w:val="0"/>
              <w:snapToGrid w:val="0"/>
              <w:spacing w:line="300" w:lineRule="exact"/>
              <w:rPr>
                <w:rFonts w:hint="eastAsia" w:cs="宋体"/>
                <w:snapToGrid w:val="0"/>
                <w:color w:val="000000" w:themeColor="text1"/>
                <w:w w:val="100"/>
                <w:kern w:val="0"/>
                <w:sz w:val="21"/>
                <w:szCs w:val="21"/>
                <w14:textFill>
                  <w14:solidFill>
                    <w14:schemeClr w14:val="tx1"/>
                  </w14:solidFill>
                </w14:textFill>
              </w:rPr>
            </w:pPr>
          </w:p>
        </w:tc>
        <w:tc>
          <w:tcPr>
            <w:tcW w:w="682" w:type="pct"/>
            <w:tcBorders>
              <w:top w:val="single" w:color="000000" w:sz="4" w:space="0"/>
              <w:left w:val="single" w:color="auto" w:sz="4" w:space="0"/>
              <w:bottom w:val="single" w:color="000000" w:sz="4" w:space="0"/>
              <w:right w:val="single" w:color="000000" w:sz="4" w:space="0"/>
            </w:tcBorders>
            <w:vAlign w:val="center"/>
          </w:tcPr>
          <w:p w14:paraId="50C36122">
            <w:pPr>
              <w:pStyle w:val="322"/>
              <w:adjustRightInd w:val="0"/>
              <w:snapToGrid w:val="0"/>
              <w:spacing w:line="300" w:lineRule="exact"/>
              <w:rPr>
                <w:rFonts w:hint="eastAsia" w:cs="宋体"/>
                <w:snapToGrid w:val="0"/>
                <w:color w:val="000000" w:themeColor="text1"/>
                <w:w w:val="100"/>
                <w:kern w:val="0"/>
                <w:sz w:val="21"/>
                <w:szCs w:val="21"/>
                <w14:textFill>
                  <w14:solidFill>
                    <w14:schemeClr w14:val="tx1"/>
                  </w14:solidFill>
                </w14:textFill>
              </w:rPr>
            </w:pPr>
            <w:r>
              <w:rPr>
                <w:rFonts w:hint="eastAsia" w:cs="宋体"/>
                <w:snapToGrid w:val="0"/>
                <w:color w:val="000000" w:themeColor="text1"/>
                <w:w w:val="100"/>
                <w:kern w:val="0"/>
                <w:sz w:val="21"/>
                <w:szCs w:val="21"/>
                <w14:textFill>
                  <w14:solidFill>
                    <w14:schemeClr w14:val="tx1"/>
                  </w14:solidFill>
                </w14:textFill>
              </w:rPr>
              <w:t>小计</w:t>
            </w:r>
          </w:p>
        </w:tc>
        <w:tc>
          <w:tcPr>
            <w:tcW w:w="1007" w:type="pct"/>
            <w:tcBorders>
              <w:top w:val="single" w:color="000000" w:sz="4" w:space="0"/>
              <w:left w:val="single" w:color="000000" w:sz="4" w:space="0"/>
              <w:bottom w:val="single" w:color="000000" w:sz="4" w:space="0"/>
              <w:right w:val="single" w:color="auto" w:sz="4" w:space="0"/>
            </w:tcBorders>
            <w:vAlign w:val="center"/>
          </w:tcPr>
          <w:p w14:paraId="72722705">
            <w:pPr>
              <w:pStyle w:val="322"/>
              <w:adjustRightInd w:val="0"/>
              <w:snapToGrid w:val="0"/>
              <w:spacing w:line="300" w:lineRule="exact"/>
              <w:rPr>
                <w:rFonts w:hint="eastAsia" w:cs="宋体"/>
                <w:snapToGrid w:val="0"/>
                <w:color w:val="000000" w:themeColor="text1"/>
                <w:w w:val="100"/>
                <w:kern w:val="0"/>
                <w:sz w:val="21"/>
                <w:szCs w:val="21"/>
                <w14:textFill>
                  <w14:solidFill>
                    <w14:schemeClr w14:val="tx1"/>
                  </w14:solidFill>
                </w14:textFill>
              </w:rPr>
            </w:pPr>
            <w:r>
              <w:rPr>
                <w:rFonts w:hint="eastAsia" w:cs="宋体"/>
                <w:snapToGrid w:val="0"/>
                <w:color w:val="000000" w:themeColor="text1"/>
                <w:w w:val="100"/>
                <w:kern w:val="0"/>
                <w:sz w:val="21"/>
                <w:szCs w:val="21"/>
                <w14:textFill>
                  <w14:solidFill>
                    <w14:schemeClr w14:val="tx1"/>
                  </w14:solidFill>
                </w14:textFill>
              </w:rPr>
              <w:t>/</w:t>
            </w:r>
          </w:p>
        </w:tc>
        <w:tc>
          <w:tcPr>
            <w:tcW w:w="1284" w:type="pct"/>
            <w:tcBorders>
              <w:top w:val="single" w:color="000000" w:sz="4" w:space="0"/>
              <w:left w:val="single" w:color="auto" w:sz="4" w:space="0"/>
              <w:bottom w:val="single" w:color="000000" w:sz="4" w:space="0"/>
              <w:right w:val="single" w:color="auto" w:sz="4" w:space="0"/>
            </w:tcBorders>
            <w:vAlign w:val="center"/>
          </w:tcPr>
          <w:p w14:paraId="204FEA92">
            <w:pPr>
              <w:pStyle w:val="322"/>
              <w:adjustRightInd w:val="0"/>
              <w:snapToGrid w:val="0"/>
              <w:spacing w:line="300" w:lineRule="exact"/>
              <w:rPr>
                <w:rFonts w:hint="eastAsia" w:cs="宋体"/>
                <w:snapToGrid w:val="0"/>
                <w:color w:val="000000" w:themeColor="text1"/>
                <w:w w:val="100"/>
                <w:kern w:val="0"/>
                <w:sz w:val="21"/>
                <w:szCs w:val="21"/>
                <w14:textFill>
                  <w14:solidFill>
                    <w14:schemeClr w14:val="tx1"/>
                  </w14:solidFill>
                </w14:textFill>
              </w:rPr>
            </w:pPr>
            <w:r>
              <w:rPr>
                <w:rFonts w:hint="eastAsia" w:cs="宋体"/>
                <w:snapToGrid w:val="0"/>
                <w:color w:val="000000" w:themeColor="text1"/>
                <w:w w:val="100"/>
                <w:kern w:val="0"/>
                <w:sz w:val="21"/>
                <w:szCs w:val="21"/>
                <w14:textFill>
                  <w14:solidFill>
                    <w14:schemeClr w14:val="tx1"/>
                  </w14:solidFill>
                </w14:textFill>
              </w:rPr>
              <w:t>/</w:t>
            </w:r>
          </w:p>
        </w:tc>
        <w:tc>
          <w:tcPr>
            <w:tcW w:w="859" w:type="pct"/>
            <w:tcBorders>
              <w:top w:val="single" w:color="000000" w:sz="4" w:space="0"/>
              <w:left w:val="single" w:color="auto" w:sz="4" w:space="0"/>
              <w:bottom w:val="single" w:color="000000" w:sz="4" w:space="0"/>
              <w:right w:val="nil"/>
            </w:tcBorders>
            <w:vAlign w:val="center"/>
          </w:tcPr>
          <w:p w14:paraId="34E6B157">
            <w:pPr>
              <w:pStyle w:val="322"/>
              <w:adjustRightInd w:val="0"/>
              <w:snapToGrid w:val="0"/>
              <w:spacing w:line="300" w:lineRule="exact"/>
              <w:rPr>
                <w:rFonts w:hint="eastAsia" w:cs="宋体"/>
                <w:snapToGrid w:val="0"/>
                <w:color w:val="000000" w:themeColor="text1"/>
                <w:w w:val="100"/>
                <w:kern w:val="0"/>
                <w:sz w:val="21"/>
                <w:szCs w:val="21"/>
                <w14:textFill>
                  <w14:solidFill>
                    <w14:schemeClr w14:val="tx1"/>
                  </w14:solidFill>
                </w14:textFill>
              </w:rPr>
            </w:pPr>
            <w:r>
              <w:rPr>
                <w:rFonts w:hint="eastAsia" w:cs="宋体"/>
                <w:snapToGrid w:val="0"/>
                <w:color w:val="000000" w:themeColor="text1"/>
                <w:w w:val="100"/>
                <w:kern w:val="0"/>
                <w:sz w:val="21"/>
                <w:szCs w:val="21"/>
                <w14:textFill>
                  <w14:solidFill>
                    <w14:schemeClr w14:val="tx1"/>
                  </w14:solidFill>
                </w14:textFill>
              </w:rPr>
              <w:t>0.098</w:t>
            </w:r>
          </w:p>
        </w:tc>
      </w:tr>
      <w:tr w14:paraId="373914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168" w:type="pct"/>
            <w:vMerge w:val="restart"/>
            <w:tcBorders>
              <w:left w:val="nil"/>
              <w:right w:val="single" w:color="auto" w:sz="4" w:space="0"/>
            </w:tcBorders>
            <w:vAlign w:val="center"/>
          </w:tcPr>
          <w:p w14:paraId="32F4435F">
            <w:pPr>
              <w:pStyle w:val="322"/>
              <w:adjustRightInd w:val="0"/>
              <w:snapToGrid w:val="0"/>
              <w:spacing w:line="300" w:lineRule="exact"/>
              <w:rPr>
                <w:rFonts w:hint="eastAsia" w:cs="宋体"/>
                <w:snapToGrid w:val="0"/>
                <w:color w:val="000000" w:themeColor="text1"/>
                <w:w w:val="100"/>
                <w:kern w:val="0"/>
                <w:sz w:val="21"/>
                <w:szCs w:val="21"/>
                <w14:textFill>
                  <w14:solidFill>
                    <w14:schemeClr w14:val="tx1"/>
                  </w14:solidFill>
                </w14:textFill>
              </w:rPr>
            </w:pPr>
            <w:bookmarkStart w:id="321" w:name="_Hlk211093363"/>
            <w:r>
              <w:rPr>
                <w:rFonts w:hint="eastAsia" w:cs="宋体"/>
                <w:snapToGrid w:val="0"/>
                <w:color w:val="000000" w:themeColor="text1"/>
                <w:w w:val="100"/>
                <w:kern w:val="0"/>
                <w:sz w:val="21"/>
                <w:szCs w:val="21"/>
                <w14:textFill>
                  <w14:solidFill>
                    <w14:schemeClr w14:val="tx1"/>
                  </w14:solidFill>
                </w14:textFill>
              </w:rPr>
              <w:t>预处理注入站（包括计量橇）</w:t>
            </w:r>
          </w:p>
        </w:tc>
        <w:tc>
          <w:tcPr>
            <w:tcW w:w="682" w:type="pct"/>
            <w:tcBorders>
              <w:top w:val="single" w:color="000000" w:sz="4" w:space="0"/>
              <w:left w:val="single" w:color="auto" w:sz="4" w:space="0"/>
              <w:bottom w:val="single" w:color="000000" w:sz="4" w:space="0"/>
              <w:right w:val="single" w:color="000000" w:sz="4" w:space="0"/>
            </w:tcBorders>
            <w:vAlign w:val="center"/>
          </w:tcPr>
          <w:p w14:paraId="5FC974C4">
            <w:pPr>
              <w:pStyle w:val="322"/>
              <w:adjustRightInd w:val="0"/>
              <w:snapToGrid w:val="0"/>
              <w:spacing w:line="300" w:lineRule="exact"/>
              <w:rPr>
                <w:rFonts w:hint="eastAsia" w:cs="宋体"/>
                <w:snapToGrid w:val="0"/>
                <w:color w:val="000000" w:themeColor="text1"/>
                <w:w w:val="100"/>
                <w:kern w:val="0"/>
                <w:sz w:val="21"/>
                <w:szCs w:val="21"/>
                <w14:textFill>
                  <w14:solidFill>
                    <w14:schemeClr w14:val="tx1"/>
                  </w14:solidFill>
                </w14:textFill>
              </w:rPr>
            </w:pPr>
            <w:r>
              <w:rPr>
                <w:rFonts w:hint="eastAsia" w:cs="宋体"/>
                <w:snapToGrid w:val="0"/>
                <w:color w:val="000000" w:themeColor="text1"/>
                <w:w w:val="100"/>
                <w:kern w:val="0"/>
                <w:sz w:val="21"/>
                <w:szCs w:val="21"/>
                <w14:textFill>
                  <w14:solidFill>
                    <w14:schemeClr w14:val="tx1"/>
                  </w14:solidFill>
                </w14:textFill>
              </w:rPr>
              <w:t>阀门</w:t>
            </w:r>
          </w:p>
        </w:tc>
        <w:tc>
          <w:tcPr>
            <w:tcW w:w="1007" w:type="pct"/>
            <w:tcBorders>
              <w:top w:val="single" w:color="000000" w:sz="4" w:space="0"/>
              <w:left w:val="single" w:color="000000" w:sz="4" w:space="0"/>
              <w:bottom w:val="single" w:color="000000" w:sz="4" w:space="0"/>
              <w:right w:val="single" w:color="auto" w:sz="4" w:space="0"/>
            </w:tcBorders>
            <w:vAlign w:val="center"/>
          </w:tcPr>
          <w:p w14:paraId="4E917A90">
            <w:pPr>
              <w:pStyle w:val="322"/>
              <w:adjustRightInd w:val="0"/>
              <w:snapToGrid w:val="0"/>
              <w:spacing w:line="300" w:lineRule="exact"/>
              <w:rPr>
                <w:rFonts w:hint="eastAsia" w:cs="宋体"/>
                <w:snapToGrid w:val="0"/>
                <w:color w:val="000000" w:themeColor="text1"/>
                <w:w w:val="100"/>
                <w:kern w:val="0"/>
                <w:sz w:val="21"/>
                <w:szCs w:val="21"/>
                <w14:textFill>
                  <w14:solidFill>
                    <w14:schemeClr w14:val="tx1"/>
                  </w14:solidFill>
                </w14:textFill>
              </w:rPr>
            </w:pPr>
            <w:r>
              <w:rPr>
                <w:rFonts w:hint="eastAsia" w:cs="宋体"/>
                <w:snapToGrid w:val="0"/>
                <w:color w:val="000000" w:themeColor="text1"/>
                <w:w w:val="100"/>
                <w:kern w:val="0"/>
                <w:sz w:val="21"/>
                <w:szCs w:val="21"/>
                <w14:textFill>
                  <w14:solidFill>
                    <w14:schemeClr w14:val="tx1"/>
                  </w14:solidFill>
                </w14:textFill>
              </w:rPr>
              <w:t>0.064</w:t>
            </w:r>
          </w:p>
        </w:tc>
        <w:tc>
          <w:tcPr>
            <w:tcW w:w="1284" w:type="pct"/>
            <w:tcBorders>
              <w:top w:val="single" w:color="000000" w:sz="4" w:space="0"/>
              <w:left w:val="single" w:color="auto" w:sz="4" w:space="0"/>
              <w:bottom w:val="single" w:color="000000" w:sz="4" w:space="0"/>
              <w:right w:val="single" w:color="auto" w:sz="4" w:space="0"/>
            </w:tcBorders>
            <w:vAlign w:val="center"/>
          </w:tcPr>
          <w:p w14:paraId="3E17CDB7">
            <w:pPr>
              <w:pStyle w:val="322"/>
              <w:adjustRightInd w:val="0"/>
              <w:snapToGrid w:val="0"/>
              <w:spacing w:line="300" w:lineRule="exact"/>
              <w:rPr>
                <w:rFonts w:hint="eastAsia" w:cs="宋体"/>
                <w:snapToGrid w:val="0"/>
                <w:color w:val="000000" w:themeColor="text1"/>
                <w:w w:val="100"/>
                <w:kern w:val="0"/>
                <w:sz w:val="21"/>
                <w:szCs w:val="21"/>
                <w14:textFill>
                  <w14:solidFill>
                    <w14:schemeClr w14:val="tx1"/>
                  </w14:solidFill>
                </w14:textFill>
              </w:rPr>
            </w:pPr>
            <w:r>
              <w:rPr>
                <w:rFonts w:hint="eastAsia" w:cs="宋体"/>
                <w:snapToGrid w:val="0"/>
                <w:color w:val="000000" w:themeColor="text1"/>
                <w:w w:val="100"/>
                <w:kern w:val="0"/>
                <w:sz w:val="21"/>
                <w:szCs w:val="21"/>
                <w14:textFill>
                  <w14:solidFill>
                    <w14:schemeClr w14:val="tx1"/>
                  </w14:solidFill>
                </w14:textFill>
              </w:rPr>
              <w:t>100</w:t>
            </w:r>
          </w:p>
        </w:tc>
        <w:tc>
          <w:tcPr>
            <w:tcW w:w="859" w:type="pct"/>
            <w:tcBorders>
              <w:top w:val="single" w:color="000000" w:sz="4" w:space="0"/>
              <w:left w:val="single" w:color="auto" w:sz="4" w:space="0"/>
              <w:bottom w:val="single" w:color="000000" w:sz="4" w:space="0"/>
              <w:right w:val="nil"/>
            </w:tcBorders>
            <w:vAlign w:val="center"/>
          </w:tcPr>
          <w:p w14:paraId="323BB26F">
            <w:pPr>
              <w:pStyle w:val="322"/>
              <w:adjustRightInd w:val="0"/>
              <w:snapToGrid w:val="0"/>
              <w:spacing w:line="300" w:lineRule="exact"/>
              <w:rPr>
                <w:rFonts w:hint="eastAsia" w:cs="宋体"/>
                <w:snapToGrid w:val="0"/>
                <w:color w:val="000000" w:themeColor="text1"/>
                <w:w w:val="100"/>
                <w:kern w:val="0"/>
                <w:sz w:val="21"/>
                <w:szCs w:val="21"/>
                <w14:textFill>
                  <w14:solidFill>
                    <w14:schemeClr w14:val="tx1"/>
                  </w14:solidFill>
                </w14:textFill>
              </w:rPr>
            </w:pPr>
            <w:r>
              <w:rPr>
                <w:rFonts w:hint="eastAsia" w:cs="宋体"/>
                <w:snapToGrid w:val="0"/>
                <w:color w:val="000000" w:themeColor="text1"/>
                <w:w w:val="100"/>
                <w:kern w:val="0"/>
                <w:sz w:val="21"/>
                <w:szCs w:val="21"/>
                <w14:textFill>
                  <w14:solidFill>
                    <w14:schemeClr w14:val="tx1"/>
                  </w14:solidFill>
                </w14:textFill>
              </w:rPr>
              <w:t>0.138</w:t>
            </w:r>
          </w:p>
        </w:tc>
      </w:tr>
      <w:tr w14:paraId="455EBE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168" w:type="pct"/>
            <w:vMerge w:val="continue"/>
            <w:tcBorders>
              <w:left w:val="nil"/>
              <w:right w:val="single" w:color="auto" w:sz="4" w:space="0"/>
            </w:tcBorders>
            <w:vAlign w:val="center"/>
          </w:tcPr>
          <w:p w14:paraId="23DC2911">
            <w:pPr>
              <w:pStyle w:val="322"/>
              <w:adjustRightInd w:val="0"/>
              <w:snapToGrid w:val="0"/>
              <w:spacing w:line="300" w:lineRule="exact"/>
              <w:rPr>
                <w:rFonts w:hint="eastAsia" w:cs="宋体"/>
                <w:snapToGrid w:val="0"/>
                <w:color w:val="000000" w:themeColor="text1"/>
                <w:w w:val="100"/>
                <w:kern w:val="0"/>
                <w:sz w:val="21"/>
                <w:szCs w:val="21"/>
                <w14:textFill>
                  <w14:solidFill>
                    <w14:schemeClr w14:val="tx1"/>
                  </w14:solidFill>
                </w14:textFill>
              </w:rPr>
            </w:pPr>
          </w:p>
        </w:tc>
        <w:tc>
          <w:tcPr>
            <w:tcW w:w="682" w:type="pct"/>
            <w:tcBorders>
              <w:top w:val="single" w:color="000000" w:sz="4" w:space="0"/>
              <w:left w:val="single" w:color="auto" w:sz="4" w:space="0"/>
              <w:bottom w:val="single" w:color="000000" w:sz="4" w:space="0"/>
              <w:right w:val="single" w:color="000000" w:sz="4" w:space="0"/>
            </w:tcBorders>
            <w:vAlign w:val="center"/>
          </w:tcPr>
          <w:p w14:paraId="50202553">
            <w:pPr>
              <w:pStyle w:val="322"/>
              <w:adjustRightInd w:val="0"/>
              <w:snapToGrid w:val="0"/>
              <w:spacing w:line="300" w:lineRule="exact"/>
              <w:rPr>
                <w:rFonts w:hint="eastAsia" w:cs="宋体"/>
                <w:snapToGrid w:val="0"/>
                <w:color w:val="000000" w:themeColor="text1"/>
                <w:w w:val="100"/>
                <w:kern w:val="0"/>
                <w:sz w:val="21"/>
                <w:szCs w:val="21"/>
                <w14:textFill>
                  <w14:solidFill>
                    <w14:schemeClr w14:val="tx1"/>
                  </w14:solidFill>
                </w14:textFill>
              </w:rPr>
            </w:pPr>
            <w:r>
              <w:rPr>
                <w:rFonts w:hint="eastAsia" w:cs="宋体"/>
                <w:snapToGrid w:val="0"/>
                <w:color w:val="000000" w:themeColor="text1"/>
                <w:w w:val="100"/>
                <w:kern w:val="0"/>
                <w:sz w:val="21"/>
                <w:szCs w:val="21"/>
                <w14:textFill>
                  <w14:solidFill>
                    <w14:schemeClr w14:val="tx1"/>
                  </w14:solidFill>
                </w14:textFill>
              </w:rPr>
              <w:t>法兰</w:t>
            </w:r>
          </w:p>
        </w:tc>
        <w:tc>
          <w:tcPr>
            <w:tcW w:w="1007" w:type="pct"/>
            <w:tcBorders>
              <w:top w:val="single" w:color="000000" w:sz="4" w:space="0"/>
              <w:left w:val="single" w:color="000000" w:sz="4" w:space="0"/>
              <w:bottom w:val="single" w:color="000000" w:sz="4" w:space="0"/>
              <w:right w:val="single" w:color="auto" w:sz="4" w:space="0"/>
            </w:tcBorders>
            <w:vAlign w:val="center"/>
          </w:tcPr>
          <w:p w14:paraId="7C44CB2C">
            <w:pPr>
              <w:pStyle w:val="322"/>
              <w:adjustRightInd w:val="0"/>
              <w:snapToGrid w:val="0"/>
              <w:spacing w:line="300" w:lineRule="exact"/>
              <w:rPr>
                <w:rFonts w:hint="eastAsia" w:cs="宋体"/>
                <w:snapToGrid w:val="0"/>
                <w:color w:val="000000" w:themeColor="text1"/>
                <w:w w:val="100"/>
                <w:kern w:val="0"/>
                <w:sz w:val="21"/>
                <w:szCs w:val="21"/>
                <w14:textFill>
                  <w14:solidFill>
                    <w14:schemeClr w14:val="tx1"/>
                  </w14:solidFill>
                </w14:textFill>
              </w:rPr>
            </w:pPr>
            <w:r>
              <w:rPr>
                <w:rFonts w:hint="eastAsia" w:cs="宋体"/>
                <w:snapToGrid w:val="0"/>
                <w:color w:val="000000" w:themeColor="text1"/>
                <w:w w:val="100"/>
                <w:kern w:val="0"/>
                <w:sz w:val="21"/>
                <w:szCs w:val="21"/>
                <w14:textFill>
                  <w14:solidFill>
                    <w14:schemeClr w14:val="tx1"/>
                  </w14:solidFill>
                </w14:textFill>
              </w:rPr>
              <w:t>0.085</w:t>
            </w:r>
          </w:p>
        </w:tc>
        <w:tc>
          <w:tcPr>
            <w:tcW w:w="1284" w:type="pct"/>
            <w:tcBorders>
              <w:top w:val="single" w:color="000000" w:sz="4" w:space="0"/>
              <w:left w:val="single" w:color="auto" w:sz="4" w:space="0"/>
              <w:bottom w:val="single" w:color="000000" w:sz="4" w:space="0"/>
              <w:right w:val="single" w:color="auto" w:sz="4" w:space="0"/>
            </w:tcBorders>
            <w:vAlign w:val="center"/>
          </w:tcPr>
          <w:p w14:paraId="76335802">
            <w:pPr>
              <w:pStyle w:val="322"/>
              <w:adjustRightInd w:val="0"/>
              <w:snapToGrid w:val="0"/>
              <w:spacing w:line="300" w:lineRule="exact"/>
              <w:rPr>
                <w:rFonts w:hint="eastAsia" w:cs="宋体"/>
                <w:snapToGrid w:val="0"/>
                <w:color w:val="000000" w:themeColor="text1"/>
                <w:w w:val="100"/>
                <w:kern w:val="0"/>
                <w:sz w:val="21"/>
                <w:szCs w:val="21"/>
                <w14:textFill>
                  <w14:solidFill>
                    <w14:schemeClr w14:val="tx1"/>
                  </w14:solidFill>
                </w14:textFill>
              </w:rPr>
            </w:pPr>
            <w:r>
              <w:rPr>
                <w:rFonts w:hint="eastAsia" w:cs="宋体"/>
                <w:snapToGrid w:val="0"/>
                <w:color w:val="000000" w:themeColor="text1"/>
                <w:w w:val="100"/>
                <w:kern w:val="0"/>
                <w:sz w:val="21"/>
                <w:szCs w:val="21"/>
                <w14:textFill>
                  <w14:solidFill>
                    <w14:schemeClr w14:val="tx1"/>
                  </w14:solidFill>
                </w14:textFill>
              </w:rPr>
              <w:t>200</w:t>
            </w:r>
          </w:p>
        </w:tc>
        <w:tc>
          <w:tcPr>
            <w:tcW w:w="859" w:type="pct"/>
            <w:tcBorders>
              <w:top w:val="single" w:color="000000" w:sz="4" w:space="0"/>
              <w:left w:val="single" w:color="auto" w:sz="4" w:space="0"/>
              <w:bottom w:val="single" w:color="000000" w:sz="4" w:space="0"/>
              <w:right w:val="nil"/>
            </w:tcBorders>
            <w:vAlign w:val="center"/>
          </w:tcPr>
          <w:p w14:paraId="2AC43CD7">
            <w:pPr>
              <w:pStyle w:val="322"/>
              <w:adjustRightInd w:val="0"/>
              <w:snapToGrid w:val="0"/>
              <w:spacing w:line="300" w:lineRule="exact"/>
              <w:rPr>
                <w:rFonts w:hint="eastAsia" w:cs="宋体"/>
                <w:snapToGrid w:val="0"/>
                <w:color w:val="000000" w:themeColor="text1"/>
                <w:w w:val="100"/>
                <w:kern w:val="0"/>
                <w:sz w:val="21"/>
                <w:szCs w:val="21"/>
                <w14:textFill>
                  <w14:solidFill>
                    <w14:schemeClr w14:val="tx1"/>
                  </w14:solidFill>
                </w14:textFill>
              </w:rPr>
            </w:pPr>
            <w:r>
              <w:rPr>
                <w:rFonts w:hint="eastAsia" w:cs="宋体"/>
                <w:snapToGrid w:val="0"/>
                <w:color w:val="000000" w:themeColor="text1"/>
                <w:w w:val="100"/>
                <w:kern w:val="0"/>
                <w:sz w:val="21"/>
                <w:szCs w:val="21"/>
                <w14:textFill>
                  <w14:solidFill>
                    <w14:schemeClr w14:val="tx1"/>
                  </w14:solidFill>
                </w14:textFill>
              </w:rPr>
              <w:t>0.367</w:t>
            </w:r>
          </w:p>
        </w:tc>
      </w:tr>
      <w:tr w14:paraId="52C713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168" w:type="pct"/>
            <w:vMerge w:val="continue"/>
            <w:tcBorders>
              <w:left w:val="nil"/>
              <w:right w:val="single" w:color="auto" w:sz="4" w:space="0"/>
            </w:tcBorders>
            <w:vAlign w:val="center"/>
          </w:tcPr>
          <w:p w14:paraId="5EB2956B">
            <w:pPr>
              <w:pStyle w:val="322"/>
              <w:adjustRightInd w:val="0"/>
              <w:snapToGrid w:val="0"/>
              <w:spacing w:line="300" w:lineRule="exact"/>
              <w:rPr>
                <w:rFonts w:hint="eastAsia" w:cs="宋体"/>
                <w:snapToGrid w:val="0"/>
                <w:color w:val="000000" w:themeColor="text1"/>
                <w:w w:val="100"/>
                <w:kern w:val="0"/>
                <w:sz w:val="21"/>
                <w:szCs w:val="21"/>
                <w14:textFill>
                  <w14:solidFill>
                    <w14:schemeClr w14:val="tx1"/>
                  </w14:solidFill>
                </w14:textFill>
              </w:rPr>
            </w:pPr>
          </w:p>
        </w:tc>
        <w:tc>
          <w:tcPr>
            <w:tcW w:w="682" w:type="pct"/>
            <w:tcBorders>
              <w:top w:val="single" w:color="000000" w:sz="4" w:space="0"/>
              <w:left w:val="single" w:color="auto" w:sz="4" w:space="0"/>
              <w:bottom w:val="single" w:color="000000" w:sz="4" w:space="0"/>
              <w:right w:val="single" w:color="000000" w:sz="4" w:space="0"/>
            </w:tcBorders>
            <w:vAlign w:val="center"/>
          </w:tcPr>
          <w:p w14:paraId="041B183F">
            <w:pPr>
              <w:pStyle w:val="322"/>
              <w:adjustRightInd w:val="0"/>
              <w:snapToGrid w:val="0"/>
              <w:spacing w:line="300" w:lineRule="exact"/>
              <w:rPr>
                <w:rFonts w:hint="eastAsia" w:cs="宋体"/>
                <w:snapToGrid w:val="0"/>
                <w:color w:val="000000" w:themeColor="text1"/>
                <w:w w:val="100"/>
                <w:kern w:val="0"/>
                <w:sz w:val="21"/>
                <w:szCs w:val="21"/>
                <w14:textFill>
                  <w14:solidFill>
                    <w14:schemeClr w14:val="tx1"/>
                  </w14:solidFill>
                </w14:textFill>
              </w:rPr>
            </w:pPr>
            <w:r>
              <w:rPr>
                <w:rFonts w:hint="eastAsia" w:cs="宋体"/>
                <w:snapToGrid w:val="0"/>
                <w:color w:val="000000" w:themeColor="text1"/>
                <w:w w:val="100"/>
                <w:kern w:val="0"/>
                <w:sz w:val="21"/>
                <w:szCs w:val="21"/>
                <w14:textFill>
                  <w14:solidFill>
                    <w14:schemeClr w14:val="tx1"/>
                  </w14:solidFill>
                </w14:textFill>
              </w:rPr>
              <w:t>连接件</w:t>
            </w:r>
          </w:p>
        </w:tc>
        <w:tc>
          <w:tcPr>
            <w:tcW w:w="1007" w:type="pct"/>
            <w:tcBorders>
              <w:top w:val="single" w:color="000000" w:sz="4" w:space="0"/>
              <w:left w:val="single" w:color="000000" w:sz="4" w:space="0"/>
              <w:bottom w:val="single" w:color="000000" w:sz="4" w:space="0"/>
              <w:right w:val="single" w:color="auto" w:sz="4" w:space="0"/>
            </w:tcBorders>
            <w:vAlign w:val="center"/>
          </w:tcPr>
          <w:p w14:paraId="1E7DCB5B">
            <w:pPr>
              <w:pStyle w:val="322"/>
              <w:adjustRightInd w:val="0"/>
              <w:snapToGrid w:val="0"/>
              <w:spacing w:line="300" w:lineRule="exact"/>
              <w:rPr>
                <w:rFonts w:hint="eastAsia" w:cs="宋体"/>
                <w:snapToGrid w:val="0"/>
                <w:color w:val="000000" w:themeColor="text1"/>
                <w:w w:val="100"/>
                <w:kern w:val="0"/>
                <w:sz w:val="21"/>
                <w:szCs w:val="21"/>
                <w14:textFill>
                  <w14:solidFill>
                    <w14:schemeClr w14:val="tx1"/>
                  </w14:solidFill>
                </w14:textFill>
              </w:rPr>
            </w:pPr>
            <w:r>
              <w:rPr>
                <w:rFonts w:hint="eastAsia" w:cs="宋体"/>
                <w:snapToGrid w:val="0"/>
                <w:color w:val="000000" w:themeColor="text1"/>
                <w:w w:val="100"/>
                <w:kern w:val="0"/>
                <w:sz w:val="21"/>
                <w:szCs w:val="21"/>
                <w14:textFill>
                  <w14:solidFill>
                    <w14:schemeClr w14:val="tx1"/>
                  </w14:solidFill>
                </w14:textFill>
              </w:rPr>
              <w:t>0.028</w:t>
            </w:r>
          </w:p>
        </w:tc>
        <w:tc>
          <w:tcPr>
            <w:tcW w:w="1284" w:type="pct"/>
            <w:tcBorders>
              <w:top w:val="single" w:color="000000" w:sz="4" w:space="0"/>
              <w:left w:val="single" w:color="auto" w:sz="4" w:space="0"/>
              <w:bottom w:val="single" w:color="000000" w:sz="4" w:space="0"/>
              <w:right w:val="single" w:color="auto" w:sz="4" w:space="0"/>
            </w:tcBorders>
            <w:vAlign w:val="center"/>
          </w:tcPr>
          <w:p w14:paraId="5AEF2AD0">
            <w:pPr>
              <w:pStyle w:val="322"/>
              <w:adjustRightInd w:val="0"/>
              <w:snapToGrid w:val="0"/>
              <w:spacing w:line="300" w:lineRule="exact"/>
              <w:rPr>
                <w:rFonts w:hint="eastAsia" w:cs="宋体"/>
                <w:snapToGrid w:val="0"/>
                <w:color w:val="000000" w:themeColor="text1"/>
                <w:w w:val="100"/>
                <w:kern w:val="0"/>
                <w:sz w:val="21"/>
                <w:szCs w:val="21"/>
                <w14:textFill>
                  <w14:solidFill>
                    <w14:schemeClr w14:val="tx1"/>
                  </w14:solidFill>
                </w14:textFill>
              </w:rPr>
            </w:pPr>
            <w:r>
              <w:rPr>
                <w:rFonts w:hint="eastAsia" w:cs="宋体"/>
                <w:snapToGrid w:val="0"/>
                <w:color w:val="000000" w:themeColor="text1"/>
                <w:w w:val="100"/>
                <w:kern w:val="0"/>
                <w:sz w:val="21"/>
                <w:szCs w:val="21"/>
                <w14:textFill>
                  <w14:solidFill>
                    <w14:schemeClr w14:val="tx1"/>
                  </w14:solidFill>
                </w14:textFill>
              </w:rPr>
              <w:t>1200</w:t>
            </w:r>
          </w:p>
        </w:tc>
        <w:tc>
          <w:tcPr>
            <w:tcW w:w="859" w:type="pct"/>
            <w:tcBorders>
              <w:top w:val="single" w:color="000000" w:sz="4" w:space="0"/>
              <w:left w:val="single" w:color="auto" w:sz="4" w:space="0"/>
              <w:bottom w:val="single" w:color="000000" w:sz="4" w:space="0"/>
              <w:right w:val="nil"/>
            </w:tcBorders>
            <w:vAlign w:val="center"/>
          </w:tcPr>
          <w:p w14:paraId="244A55B7">
            <w:pPr>
              <w:pStyle w:val="322"/>
              <w:adjustRightInd w:val="0"/>
              <w:snapToGrid w:val="0"/>
              <w:spacing w:line="300" w:lineRule="exact"/>
              <w:rPr>
                <w:rFonts w:hint="eastAsia" w:cs="宋体"/>
                <w:snapToGrid w:val="0"/>
                <w:color w:val="000000" w:themeColor="text1"/>
                <w:w w:val="100"/>
                <w:kern w:val="0"/>
                <w:sz w:val="21"/>
                <w:szCs w:val="21"/>
                <w14:textFill>
                  <w14:solidFill>
                    <w14:schemeClr w14:val="tx1"/>
                  </w14:solidFill>
                </w14:textFill>
              </w:rPr>
            </w:pPr>
            <w:r>
              <w:rPr>
                <w:rFonts w:hint="eastAsia" w:cs="宋体"/>
                <w:snapToGrid w:val="0"/>
                <w:color w:val="000000" w:themeColor="text1"/>
                <w:w w:val="100"/>
                <w:kern w:val="0"/>
                <w:sz w:val="21"/>
                <w:szCs w:val="21"/>
                <w14:textFill>
                  <w14:solidFill>
                    <w14:schemeClr w14:val="tx1"/>
                  </w14:solidFill>
                </w14:textFill>
              </w:rPr>
              <w:t>0.726</w:t>
            </w:r>
          </w:p>
        </w:tc>
      </w:tr>
      <w:tr w14:paraId="7342D6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168" w:type="pct"/>
            <w:vMerge w:val="continue"/>
            <w:tcBorders>
              <w:left w:val="nil"/>
              <w:right w:val="single" w:color="auto" w:sz="4" w:space="0"/>
            </w:tcBorders>
            <w:vAlign w:val="center"/>
          </w:tcPr>
          <w:p w14:paraId="3A3FA8DD">
            <w:pPr>
              <w:pStyle w:val="322"/>
              <w:adjustRightInd w:val="0"/>
              <w:snapToGrid w:val="0"/>
              <w:spacing w:line="300" w:lineRule="exact"/>
              <w:rPr>
                <w:rFonts w:hint="eastAsia" w:cs="宋体"/>
                <w:snapToGrid w:val="0"/>
                <w:color w:val="000000" w:themeColor="text1"/>
                <w:w w:val="100"/>
                <w:kern w:val="0"/>
                <w:sz w:val="21"/>
                <w:szCs w:val="21"/>
                <w14:textFill>
                  <w14:solidFill>
                    <w14:schemeClr w14:val="tx1"/>
                  </w14:solidFill>
                </w14:textFill>
              </w:rPr>
            </w:pPr>
          </w:p>
        </w:tc>
        <w:tc>
          <w:tcPr>
            <w:tcW w:w="682" w:type="pct"/>
            <w:tcBorders>
              <w:top w:val="single" w:color="000000" w:sz="4" w:space="0"/>
              <w:left w:val="single" w:color="auto" w:sz="4" w:space="0"/>
              <w:bottom w:val="single" w:color="000000" w:sz="4" w:space="0"/>
              <w:right w:val="single" w:color="000000" w:sz="4" w:space="0"/>
            </w:tcBorders>
            <w:vAlign w:val="center"/>
          </w:tcPr>
          <w:p w14:paraId="373DEF57">
            <w:pPr>
              <w:pStyle w:val="322"/>
              <w:adjustRightInd w:val="0"/>
              <w:snapToGrid w:val="0"/>
              <w:spacing w:line="300" w:lineRule="exact"/>
              <w:rPr>
                <w:rFonts w:hint="eastAsia" w:cs="宋体"/>
                <w:snapToGrid w:val="0"/>
                <w:color w:val="000000" w:themeColor="text1"/>
                <w:w w:val="100"/>
                <w:kern w:val="0"/>
                <w:sz w:val="21"/>
                <w:szCs w:val="21"/>
                <w14:textFill>
                  <w14:solidFill>
                    <w14:schemeClr w14:val="tx1"/>
                  </w14:solidFill>
                </w14:textFill>
              </w:rPr>
            </w:pPr>
            <w:r>
              <w:rPr>
                <w:rFonts w:hint="eastAsia" w:cs="宋体"/>
                <w:snapToGrid w:val="0"/>
                <w:color w:val="000000" w:themeColor="text1"/>
                <w:w w:val="100"/>
                <w:kern w:val="0"/>
                <w:sz w:val="21"/>
                <w:szCs w:val="21"/>
                <w14:textFill>
                  <w14:solidFill>
                    <w14:schemeClr w14:val="tx1"/>
                  </w14:solidFill>
                </w14:textFill>
              </w:rPr>
              <w:t>压缩机</w:t>
            </w:r>
          </w:p>
        </w:tc>
        <w:tc>
          <w:tcPr>
            <w:tcW w:w="1007" w:type="pct"/>
            <w:tcBorders>
              <w:top w:val="single" w:color="000000" w:sz="4" w:space="0"/>
              <w:left w:val="single" w:color="000000" w:sz="4" w:space="0"/>
              <w:bottom w:val="single" w:color="000000" w:sz="4" w:space="0"/>
              <w:right w:val="single" w:color="auto" w:sz="4" w:space="0"/>
            </w:tcBorders>
            <w:vAlign w:val="center"/>
          </w:tcPr>
          <w:p w14:paraId="5E13BA44">
            <w:pPr>
              <w:pStyle w:val="322"/>
              <w:adjustRightInd w:val="0"/>
              <w:snapToGrid w:val="0"/>
              <w:spacing w:line="300" w:lineRule="exact"/>
              <w:rPr>
                <w:rFonts w:hint="eastAsia" w:cs="宋体"/>
                <w:snapToGrid w:val="0"/>
                <w:color w:val="000000" w:themeColor="text1"/>
                <w:w w:val="100"/>
                <w:kern w:val="0"/>
                <w:sz w:val="21"/>
                <w:szCs w:val="21"/>
                <w14:textFill>
                  <w14:solidFill>
                    <w14:schemeClr w14:val="tx1"/>
                  </w14:solidFill>
                </w14:textFill>
              </w:rPr>
            </w:pPr>
            <w:r>
              <w:rPr>
                <w:rFonts w:hint="eastAsia" w:cs="宋体"/>
                <w:snapToGrid w:val="0"/>
                <w:color w:val="000000" w:themeColor="text1"/>
                <w:w w:val="100"/>
                <w:kern w:val="0"/>
                <w:sz w:val="21"/>
                <w:szCs w:val="21"/>
                <w14:textFill>
                  <w14:solidFill>
                    <w14:schemeClr w14:val="tx1"/>
                  </w14:solidFill>
                </w14:textFill>
              </w:rPr>
              <w:t>0.073</w:t>
            </w:r>
          </w:p>
        </w:tc>
        <w:tc>
          <w:tcPr>
            <w:tcW w:w="1284" w:type="pct"/>
            <w:tcBorders>
              <w:top w:val="single" w:color="000000" w:sz="4" w:space="0"/>
              <w:left w:val="single" w:color="auto" w:sz="4" w:space="0"/>
              <w:bottom w:val="single" w:color="000000" w:sz="4" w:space="0"/>
              <w:right w:val="single" w:color="auto" w:sz="4" w:space="0"/>
            </w:tcBorders>
            <w:vAlign w:val="center"/>
          </w:tcPr>
          <w:p w14:paraId="35DD9E7E">
            <w:pPr>
              <w:pStyle w:val="322"/>
              <w:adjustRightInd w:val="0"/>
              <w:snapToGrid w:val="0"/>
              <w:spacing w:line="300" w:lineRule="exact"/>
              <w:rPr>
                <w:rFonts w:hint="eastAsia" w:cs="宋体"/>
                <w:snapToGrid w:val="0"/>
                <w:color w:val="000000" w:themeColor="text1"/>
                <w:w w:val="100"/>
                <w:kern w:val="0"/>
                <w:sz w:val="21"/>
                <w:szCs w:val="21"/>
                <w14:textFill>
                  <w14:solidFill>
                    <w14:schemeClr w14:val="tx1"/>
                  </w14:solidFill>
                </w14:textFill>
              </w:rPr>
            </w:pPr>
            <w:r>
              <w:rPr>
                <w:rFonts w:hint="eastAsia" w:cs="宋体"/>
                <w:snapToGrid w:val="0"/>
                <w:color w:val="000000" w:themeColor="text1"/>
                <w:w w:val="100"/>
                <w:kern w:val="0"/>
                <w:sz w:val="21"/>
                <w:szCs w:val="21"/>
                <w14:textFill>
                  <w14:solidFill>
                    <w14:schemeClr w14:val="tx1"/>
                  </w14:solidFill>
                </w14:textFill>
              </w:rPr>
              <w:t>2</w:t>
            </w:r>
          </w:p>
        </w:tc>
        <w:tc>
          <w:tcPr>
            <w:tcW w:w="859" w:type="pct"/>
            <w:tcBorders>
              <w:top w:val="single" w:color="000000" w:sz="4" w:space="0"/>
              <w:left w:val="single" w:color="auto" w:sz="4" w:space="0"/>
              <w:bottom w:val="single" w:color="000000" w:sz="4" w:space="0"/>
              <w:right w:val="nil"/>
            </w:tcBorders>
            <w:vAlign w:val="center"/>
          </w:tcPr>
          <w:p w14:paraId="12160ECF">
            <w:pPr>
              <w:pStyle w:val="322"/>
              <w:adjustRightInd w:val="0"/>
              <w:snapToGrid w:val="0"/>
              <w:spacing w:line="300" w:lineRule="exact"/>
              <w:rPr>
                <w:rFonts w:hint="eastAsia" w:cs="宋体"/>
                <w:snapToGrid w:val="0"/>
                <w:color w:val="000000" w:themeColor="text1"/>
                <w:w w:val="100"/>
                <w:kern w:val="0"/>
                <w:sz w:val="21"/>
                <w:szCs w:val="21"/>
                <w14:textFill>
                  <w14:solidFill>
                    <w14:schemeClr w14:val="tx1"/>
                  </w14:solidFill>
                </w14:textFill>
              </w:rPr>
            </w:pPr>
            <w:r>
              <w:rPr>
                <w:rFonts w:hint="eastAsia" w:cs="宋体"/>
                <w:snapToGrid w:val="0"/>
                <w:color w:val="000000" w:themeColor="text1"/>
                <w:w w:val="100"/>
                <w:kern w:val="0"/>
                <w:sz w:val="21"/>
                <w:szCs w:val="21"/>
                <w14:textFill>
                  <w14:solidFill>
                    <w14:schemeClr w14:val="tx1"/>
                  </w14:solidFill>
                </w14:textFill>
              </w:rPr>
              <w:t>0.003</w:t>
            </w:r>
          </w:p>
        </w:tc>
      </w:tr>
      <w:tr w14:paraId="128385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168" w:type="pct"/>
            <w:vMerge w:val="continue"/>
            <w:tcBorders>
              <w:left w:val="nil"/>
              <w:right w:val="single" w:color="auto" w:sz="4" w:space="0"/>
            </w:tcBorders>
            <w:vAlign w:val="center"/>
          </w:tcPr>
          <w:p w14:paraId="661F0796">
            <w:pPr>
              <w:pStyle w:val="322"/>
              <w:adjustRightInd w:val="0"/>
              <w:snapToGrid w:val="0"/>
              <w:spacing w:line="300" w:lineRule="exact"/>
              <w:rPr>
                <w:rFonts w:hint="eastAsia" w:cs="宋体"/>
                <w:snapToGrid w:val="0"/>
                <w:color w:val="000000" w:themeColor="text1"/>
                <w:w w:val="100"/>
                <w:kern w:val="0"/>
                <w:sz w:val="21"/>
                <w:szCs w:val="21"/>
                <w14:textFill>
                  <w14:solidFill>
                    <w14:schemeClr w14:val="tx1"/>
                  </w14:solidFill>
                </w14:textFill>
              </w:rPr>
            </w:pPr>
          </w:p>
        </w:tc>
        <w:tc>
          <w:tcPr>
            <w:tcW w:w="682" w:type="pct"/>
            <w:tcBorders>
              <w:top w:val="single" w:color="000000" w:sz="4" w:space="0"/>
              <w:left w:val="single" w:color="auto" w:sz="4" w:space="0"/>
              <w:bottom w:val="single" w:color="000000" w:sz="4" w:space="0"/>
              <w:right w:val="single" w:color="000000" w:sz="4" w:space="0"/>
            </w:tcBorders>
            <w:vAlign w:val="center"/>
          </w:tcPr>
          <w:p w14:paraId="4F72E8EC">
            <w:pPr>
              <w:pStyle w:val="322"/>
              <w:adjustRightInd w:val="0"/>
              <w:snapToGrid w:val="0"/>
              <w:spacing w:line="300" w:lineRule="exact"/>
              <w:rPr>
                <w:rFonts w:hint="eastAsia" w:cs="宋体"/>
                <w:snapToGrid w:val="0"/>
                <w:color w:val="000000" w:themeColor="text1"/>
                <w:w w:val="100"/>
                <w:kern w:val="0"/>
                <w:sz w:val="21"/>
                <w:szCs w:val="21"/>
                <w14:textFill>
                  <w14:solidFill>
                    <w14:schemeClr w14:val="tx1"/>
                  </w14:solidFill>
                </w14:textFill>
              </w:rPr>
            </w:pPr>
            <w:r>
              <w:rPr>
                <w:rFonts w:hint="eastAsia" w:cs="宋体"/>
                <w:snapToGrid w:val="0"/>
                <w:color w:val="000000" w:themeColor="text1"/>
                <w:w w:val="100"/>
                <w:kern w:val="0"/>
                <w:sz w:val="21"/>
                <w:szCs w:val="21"/>
                <w14:textFill>
                  <w14:solidFill>
                    <w14:schemeClr w14:val="tx1"/>
                  </w14:solidFill>
                </w14:textFill>
              </w:rPr>
              <w:t>泵</w:t>
            </w:r>
          </w:p>
        </w:tc>
        <w:tc>
          <w:tcPr>
            <w:tcW w:w="1007" w:type="pct"/>
            <w:tcBorders>
              <w:top w:val="single" w:color="000000" w:sz="4" w:space="0"/>
              <w:left w:val="single" w:color="000000" w:sz="4" w:space="0"/>
              <w:bottom w:val="single" w:color="000000" w:sz="4" w:space="0"/>
              <w:right w:val="single" w:color="auto" w:sz="4" w:space="0"/>
            </w:tcBorders>
            <w:vAlign w:val="center"/>
          </w:tcPr>
          <w:p w14:paraId="065E8100">
            <w:pPr>
              <w:pStyle w:val="322"/>
              <w:adjustRightInd w:val="0"/>
              <w:snapToGrid w:val="0"/>
              <w:spacing w:line="300" w:lineRule="exact"/>
              <w:rPr>
                <w:rFonts w:hint="eastAsia" w:cs="宋体"/>
                <w:snapToGrid w:val="0"/>
                <w:color w:val="000000" w:themeColor="text1"/>
                <w:w w:val="100"/>
                <w:kern w:val="0"/>
                <w:sz w:val="21"/>
                <w:szCs w:val="21"/>
                <w14:textFill>
                  <w14:solidFill>
                    <w14:schemeClr w14:val="tx1"/>
                  </w14:solidFill>
                </w14:textFill>
              </w:rPr>
            </w:pPr>
            <w:r>
              <w:rPr>
                <w:rFonts w:hint="eastAsia" w:cs="宋体"/>
                <w:snapToGrid w:val="0"/>
                <w:color w:val="000000" w:themeColor="text1"/>
                <w:w w:val="100"/>
                <w:kern w:val="0"/>
                <w:sz w:val="21"/>
                <w:szCs w:val="21"/>
                <w14:textFill>
                  <w14:solidFill>
                    <w14:schemeClr w14:val="tx1"/>
                  </w14:solidFill>
                </w14:textFill>
              </w:rPr>
              <w:t>0.074</w:t>
            </w:r>
          </w:p>
        </w:tc>
        <w:tc>
          <w:tcPr>
            <w:tcW w:w="1284" w:type="pct"/>
            <w:tcBorders>
              <w:top w:val="single" w:color="000000" w:sz="4" w:space="0"/>
              <w:left w:val="single" w:color="auto" w:sz="4" w:space="0"/>
              <w:bottom w:val="single" w:color="000000" w:sz="4" w:space="0"/>
              <w:right w:val="single" w:color="auto" w:sz="4" w:space="0"/>
            </w:tcBorders>
            <w:vAlign w:val="center"/>
          </w:tcPr>
          <w:p w14:paraId="7287999D">
            <w:pPr>
              <w:pStyle w:val="322"/>
              <w:adjustRightInd w:val="0"/>
              <w:snapToGrid w:val="0"/>
              <w:spacing w:line="300" w:lineRule="exact"/>
              <w:rPr>
                <w:rFonts w:hint="eastAsia" w:cs="宋体"/>
                <w:snapToGrid w:val="0"/>
                <w:color w:val="000000" w:themeColor="text1"/>
                <w:w w:val="100"/>
                <w:kern w:val="0"/>
                <w:sz w:val="21"/>
                <w:szCs w:val="21"/>
                <w14:textFill>
                  <w14:solidFill>
                    <w14:schemeClr w14:val="tx1"/>
                  </w14:solidFill>
                </w14:textFill>
              </w:rPr>
            </w:pPr>
            <w:r>
              <w:rPr>
                <w:rFonts w:hint="eastAsia" w:cs="宋体"/>
                <w:snapToGrid w:val="0"/>
                <w:color w:val="000000" w:themeColor="text1"/>
                <w:w w:val="100"/>
                <w:kern w:val="0"/>
                <w:sz w:val="21"/>
                <w:szCs w:val="21"/>
                <w14:textFill>
                  <w14:solidFill>
                    <w14:schemeClr w14:val="tx1"/>
                  </w14:solidFill>
                </w14:textFill>
              </w:rPr>
              <w:t>4</w:t>
            </w:r>
          </w:p>
        </w:tc>
        <w:tc>
          <w:tcPr>
            <w:tcW w:w="859" w:type="pct"/>
            <w:tcBorders>
              <w:top w:val="single" w:color="000000" w:sz="4" w:space="0"/>
              <w:left w:val="single" w:color="auto" w:sz="4" w:space="0"/>
              <w:bottom w:val="single" w:color="000000" w:sz="4" w:space="0"/>
              <w:right w:val="nil"/>
            </w:tcBorders>
            <w:vAlign w:val="center"/>
          </w:tcPr>
          <w:p w14:paraId="571D1A37">
            <w:pPr>
              <w:pStyle w:val="322"/>
              <w:adjustRightInd w:val="0"/>
              <w:snapToGrid w:val="0"/>
              <w:spacing w:line="300" w:lineRule="exact"/>
              <w:rPr>
                <w:rFonts w:hint="eastAsia" w:cs="宋体"/>
                <w:snapToGrid w:val="0"/>
                <w:color w:val="000000" w:themeColor="text1"/>
                <w:w w:val="100"/>
                <w:kern w:val="0"/>
                <w:sz w:val="21"/>
                <w:szCs w:val="21"/>
                <w14:textFill>
                  <w14:solidFill>
                    <w14:schemeClr w14:val="tx1"/>
                  </w14:solidFill>
                </w14:textFill>
              </w:rPr>
            </w:pPr>
            <w:r>
              <w:rPr>
                <w:rFonts w:hint="eastAsia" w:cs="宋体"/>
                <w:snapToGrid w:val="0"/>
                <w:color w:val="000000" w:themeColor="text1"/>
                <w:w w:val="100"/>
                <w:kern w:val="0"/>
                <w:sz w:val="21"/>
                <w:szCs w:val="21"/>
                <w14:textFill>
                  <w14:solidFill>
                    <w14:schemeClr w14:val="tx1"/>
                  </w14:solidFill>
                </w14:textFill>
              </w:rPr>
              <w:t>0.006</w:t>
            </w:r>
          </w:p>
        </w:tc>
      </w:tr>
      <w:bookmarkEnd w:id="321"/>
      <w:tr w14:paraId="73E314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168" w:type="pct"/>
            <w:vMerge w:val="continue"/>
            <w:tcBorders>
              <w:left w:val="nil"/>
              <w:right w:val="single" w:color="auto" w:sz="4" w:space="0"/>
            </w:tcBorders>
            <w:vAlign w:val="center"/>
          </w:tcPr>
          <w:p w14:paraId="5A9E96B8">
            <w:pPr>
              <w:pStyle w:val="322"/>
              <w:adjustRightInd w:val="0"/>
              <w:snapToGrid w:val="0"/>
              <w:spacing w:line="300" w:lineRule="exact"/>
              <w:rPr>
                <w:rFonts w:hint="eastAsia" w:cs="宋体"/>
                <w:snapToGrid w:val="0"/>
                <w:color w:val="000000" w:themeColor="text1"/>
                <w:w w:val="100"/>
                <w:kern w:val="0"/>
                <w:sz w:val="21"/>
                <w:szCs w:val="21"/>
                <w14:textFill>
                  <w14:solidFill>
                    <w14:schemeClr w14:val="tx1"/>
                  </w14:solidFill>
                </w14:textFill>
              </w:rPr>
            </w:pPr>
          </w:p>
        </w:tc>
        <w:tc>
          <w:tcPr>
            <w:tcW w:w="682" w:type="pct"/>
            <w:tcBorders>
              <w:top w:val="single" w:color="000000" w:sz="4" w:space="0"/>
              <w:left w:val="single" w:color="auto" w:sz="4" w:space="0"/>
              <w:bottom w:val="single" w:color="000000" w:sz="4" w:space="0"/>
              <w:right w:val="single" w:color="000000" w:sz="4" w:space="0"/>
            </w:tcBorders>
            <w:vAlign w:val="center"/>
          </w:tcPr>
          <w:p w14:paraId="1108FB52">
            <w:pPr>
              <w:pStyle w:val="322"/>
              <w:adjustRightInd w:val="0"/>
              <w:snapToGrid w:val="0"/>
              <w:spacing w:line="300" w:lineRule="exact"/>
              <w:rPr>
                <w:rFonts w:hint="eastAsia" w:cs="宋体"/>
                <w:snapToGrid w:val="0"/>
                <w:color w:val="000000" w:themeColor="text1"/>
                <w:w w:val="100"/>
                <w:kern w:val="0"/>
                <w:sz w:val="21"/>
                <w:szCs w:val="21"/>
                <w14:textFill>
                  <w14:solidFill>
                    <w14:schemeClr w14:val="tx1"/>
                  </w14:solidFill>
                </w14:textFill>
              </w:rPr>
            </w:pPr>
            <w:r>
              <w:rPr>
                <w:rFonts w:hint="eastAsia" w:cs="宋体"/>
                <w:snapToGrid w:val="0"/>
                <w:color w:val="000000" w:themeColor="text1"/>
                <w:w w:val="100"/>
                <w:kern w:val="0"/>
                <w:sz w:val="21"/>
                <w:szCs w:val="21"/>
                <w14:textFill>
                  <w14:solidFill>
                    <w14:schemeClr w14:val="tx1"/>
                  </w14:solidFill>
                </w14:textFill>
              </w:rPr>
              <w:t>小计</w:t>
            </w:r>
          </w:p>
        </w:tc>
        <w:tc>
          <w:tcPr>
            <w:tcW w:w="1007" w:type="pct"/>
            <w:tcBorders>
              <w:top w:val="single" w:color="000000" w:sz="4" w:space="0"/>
              <w:left w:val="single" w:color="000000" w:sz="4" w:space="0"/>
              <w:bottom w:val="single" w:color="000000" w:sz="4" w:space="0"/>
              <w:right w:val="single" w:color="auto" w:sz="4" w:space="0"/>
            </w:tcBorders>
            <w:vAlign w:val="center"/>
          </w:tcPr>
          <w:p w14:paraId="209E308A">
            <w:pPr>
              <w:pStyle w:val="322"/>
              <w:adjustRightInd w:val="0"/>
              <w:snapToGrid w:val="0"/>
              <w:spacing w:line="300" w:lineRule="exact"/>
              <w:rPr>
                <w:rFonts w:hint="eastAsia" w:cs="宋体"/>
                <w:snapToGrid w:val="0"/>
                <w:color w:val="000000" w:themeColor="text1"/>
                <w:w w:val="100"/>
                <w:kern w:val="0"/>
                <w:sz w:val="21"/>
                <w:szCs w:val="21"/>
                <w14:textFill>
                  <w14:solidFill>
                    <w14:schemeClr w14:val="tx1"/>
                  </w14:solidFill>
                </w14:textFill>
              </w:rPr>
            </w:pPr>
            <w:r>
              <w:rPr>
                <w:rFonts w:hint="eastAsia" w:cs="宋体"/>
                <w:snapToGrid w:val="0"/>
                <w:color w:val="000000" w:themeColor="text1"/>
                <w:w w:val="100"/>
                <w:kern w:val="0"/>
                <w:sz w:val="21"/>
                <w:szCs w:val="21"/>
                <w14:textFill>
                  <w14:solidFill>
                    <w14:schemeClr w14:val="tx1"/>
                  </w14:solidFill>
                </w14:textFill>
              </w:rPr>
              <w:t>/</w:t>
            </w:r>
          </w:p>
        </w:tc>
        <w:tc>
          <w:tcPr>
            <w:tcW w:w="1284" w:type="pct"/>
            <w:tcBorders>
              <w:top w:val="single" w:color="000000" w:sz="4" w:space="0"/>
              <w:left w:val="single" w:color="auto" w:sz="4" w:space="0"/>
              <w:bottom w:val="single" w:color="000000" w:sz="4" w:space="0"/>
              <w:right w:val="single" w:color="auto" w:sz="4" w:space="0"/>
            </w:tcBorders>
            <w:vAlign w:val="center"/>
          </w:tcPr>
          <w:p w14:paraId="6FB8D700">
            <w:pPr>
              <w:pStyle w:val="322"/>
              <w:adjustRightInd w:val="0"/>
              <w:snapToGrid w:val="0"/>
              <w:spacing w:line="300" w:lineRule="exact"/>
              <w:rPr>
                <w:rFonts w:hint="eastAsia" w:cs="宋体"/>
                <w:snapToGrid w:val="0"/>
                <w:color w:val="000000" w:themeColor="text1"/>
                <w:w w:val="100"/>
                <w:kern w:val="0"/>
                <w:sz w:val="21"/>
                <w:szCs w:val="21"/>
                <w14:textFill>
                  <w14:solidFill>
                    <w14:schemeClr w14:val="tx1"/>
                  </w14:solidFill>
                </w14:textFill>
              </w:rPr>
            </w:pPr>
            <w:r>
              <w:rPr>
                <w:rFonts w:hint="eastAsia" w:cs="宋体"/>
                <w:snapToGrid w:val="0"/>
                <w:color w:val="000000" w:themeColor="text1"/>
                <w:w w:val="100"/>
                <w:kern w:val="0"/>
                <w:sz w:val="21"/>
                <w:szCs w:val="21"/>
                <w14:textFill>
                  <w14:solidFill>
                    <w14:schemeClr w14:val="tx1"/>
                  </w14:solidFill>
                </w14:textFill>
              </w:rPr>
              <w:t>/</w:t>
            </w:r>
          </w:p>
        </w:tc>
        <w:tc>
          <w:tcPr>
            <w:tcW w:w="859" w:type="pct"/>
            <w:tcBorders>
              <w:top w:val="single" w:color="000000" w:sz="4" w:space="0"/>
              <w:left w:val="single" w:color="auto" w:sz="4" w:space="0"/>
              <w:bottom w:val="single" w:color="000000" w:sz="4" w:space="0"/>
              <w:right w:val="nil"/>
            </w:tcBorders>
            <w:vAlign w:val="center"/>
          </w:tcPr>
          <w:p w14:paraId="211D1609">
            <w:pPr>
              <w:pStyle w:val="322"/>
              <w:adjustRightInd w:val="0"/>
              <w:snapToGrid w:val="0"/>
              <w:spacing w:line="300" w:lineRule="exact"/>
              <w:rPr>
                <w:rFonts w:hint="eastAsia" w:cs="宋体"/>
                <w:snapToGrid w:val="0"/>
                <w:color w:val="000000" w:themeColor="text1"/>
                <w:w w:val="100"/>
                <w:kern w:val="0"/>
                <w:sz w:val="21"/>
                <w:szCs w:val="21"/>
                <w14:textFill>
                  <w14:solidFill>
                    <w14:schemeClr w14:val="tx1"/>
                  </w14:solidFill>
                </w14:textFill>
              </w:rPr>
            </w:pPr>
            <w:r>
              <w:rPr>
                <w:rFonts w:hint="eastAsia" w:cs="宋体"/>
                <w:snapToGrid w:val="0"/>
                <w:color w:val="000000" w:themeColor="text1"/>
                <w:w w:val="100"/>
                <w:kern w:val="0"/>
                <w:sz w:val="21"/>
                <w:szCs w:val="21"/>
                <w14:textFill>
                  <w14:solidFill>
                    <w14:schemeClr w14:val="tx1"/>
                  </w14:solidFill>
                </w14:textFill>
              </w:rPr>
              <w:t>1.24</w:t>
            </w:r>
          </w:p>
        </w:tc>
      </w:tr>
      <w:tr w14:paraId="42ECE7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168" w:type="pct"/>
            <w:tcBorders>
              <w:left w:val="nil"/>
              <w:right w:val="single" w:color="auto" w:sz="4" w:space="0"/>
            </w:tcBorders>
            <w:vAlign w:val="center"/>
          </w:tcPr>
          <w:p w14:paraId="699B81FC">
            <w:pPr>
              <w:pStyle w:val="322"/>
              <w:adjustRightInd w:val="0"/>
              <w:snapToGrid w:val="0"/>
              <w:spacing w:line="300" w:lineRule="exact"/>
              <w:rPr>
                <w:rFonts w:hint="eastAsia" w:cs="宋体"/>
                <w:snapToGrid w:val="0"/>
                <w:color w:val="000000" w:themeColor="text1"/>
                <w:w w:val="100"/>
                <w:kern w:val="0"/>
                <w:sz w:val="21"/>
                <w:szCs w:val="21"/>
                <w14:textFill>
                  <w14:solidFill>
                    <w14:schemeClr w14:val="tx1"/>
                  </w14:solidFill>
                </w14:textFill>
              </w:rPr>
            </w:pPr>
            <w:r>
              <w:rPr>
                <w:rFonts w:hint="eastAsia" w:cs="宋体"/>
                <w:snapToGrid w:val="0"/>
                <w:color w:val="000000" w:themeColor="text1"/>
                <w:w w:val="100"/>
                <w:kern w:val="0"/>
                <w:sz w:val="21"/>
                <w:szCs w:val="21"/>
                <w14:textFill>
                  <w14:solidFill>
                    <w14:schemeClr w14:val="tx1"/>
                  </w14:solidFill>
                </w14:textFill>
              </w:rPr>
              <w:t>合计</w:t>
            </w:r>
          </w:p>
        </w:tc>
        <w:tc>
          <w:tcPr>
            <w:tcW w:w="682" w:type="pct"/>
            <w:tcBorders>
              <w:top w:val="single" w:color="000000" w:sz="4" w:space="0"/>
              <w:left w:val="single" w:color="auto" w:sz="4" w:space="0"/>
              <w:bottom w:val="single" w:color="000000" w:sz="4" w:space="0"/>
              <w:right w:val="single" w:color="000000" w:sz="4" w:space="0"/>
            </w:tcBorders>
            <w:vAlign w:val="center"/>
          </w:tcPr>
          <w:p w14:paraId="0DD6998F">
            <w:pPr>
              <w:pStyle w:val="322"/>
              <w:adjustRightInd w:val="0"/>
              <w:snapToGrid w:val="0"/>
              <w:spacing w:line="300" w:lineRule="exact"/>
              <w:rPr>
                <w:rFonts w:hint="eastAsia" w:cs="宋体"/>
                <w:snapToGrid w:val="0"/>
                <w:color w:val="000000" w:themeColor="text1"/>
                <w:w w:val="100"/>
                <w:kern w:val="0"/>
                <w:sz w:val="21"/>
                <w:szCs w:val="21"/>
                <w14:textFill>
                  <w14:solidFill>
                    <w14:schemeClr w14:val="tx1"/>
                  </w14:solidFill>
                </w14:textFill>
              </w:rPr>
            </w:pPr>
            <w:r>
              <w:rPr>
                <w:rFonts w:hint="eastAsia" w:cs="宋体"/>
                <w:snapToGrid w:val="0"/>
                <w:color w:val="000000" w:themeColor="text1"/>
                <w:w w:val="100"/>
                <w:kern w:val="0"/>
                <w:sz w:val="21"/>
                <w:szCs w:val="21"/>
                <w14:textFill>
                  <w14:solidFill>
                    <w14:schemeClr w14:val="tx1"/>
                  </w14:solidFill>
                </w14:textFill>
              </w:rPr>
              <w:t>/</w:t>
            </w:r>
          </w:p>
        </w:tc>
        <w:tc>
          <w:tcPr>
            <w:tcW w:w="1007" w:type="pct"/>
            <w:tcBorders>
              <w:top w:val="single" w:color="000000" w:sz="4" w:space="0"/>
              <w:left w:val="single" w:color="000000" w:sz="4" w:space="0"/>
              <w:bottom w:val="single" w:color="000000" w:sz="4" w:space="0"/>
              <w:right w:val="single" w:color="auto" w:sz="4" w:space="0"/>
            </w:tcBorders>
            <w:vAlign w:val="center"/>
          </w:tcPr>
          <w:p w14:paraId="7CCDC3D5">
            <w:pPr>
              <w:pStyle w:val="322"/>
              <w:adjustRightInd w:val="0"/>
              <w:snapToGrid w:val="0"/>
              <w:spacing w:line="300" w:lineRule="exact"/>
              <w:rPr>
                <w:rFonts w:hint="eastAsia" w:cs="宋体"/>
                <w:snapToGrid w:val="0"/>
                <w:color w:val="000000" w:themeColor="text1"/>
                <w:w w:val="100"/>
                <w:kern w:val="0"/>
                <w:sz w:val="21"/>
                <w:szCs w:val="21"/>
                <w14:textFill>
                  <w14:solidFill>
                    <w14:schemeClr w14:val="tx1"/>
                  </w14:solidFill>
                </w14:textFill>
              </w:rPr>
            </w:pPr>
            <w:r>
              <w:rPr>
                <w:rFonts w:hint="eastAsia" w:cs="宋体"/>
                <w:snapToGrid w:val="0"/>
                <w:color w:val="000000" w:themeColor="text1"/>
                <w:w w:val="100"/>
                <w:kern w:val="0"/>
                <w:sz w:val="21"/>
                <w:szCs w:val="21"/>
                <w14:textFill>
                  <w14:solidFill>
                    <w14:schemeClr w14:val="tx1"/>
                  </w14:solidFill>
                </w14:textFill>
              </w:rPr>
              <w:t>/</w:t>
            </w:r>
          </w:p>
        </w:tc>
        <w:tc>
          <w:tcPr>
            <w:tcW w:w="1284" w:type="pct"/>
            <w:tcBorders>
              <w:top w:val="single" w:color="000000" w:sz="4" w:space="0"/>
              <w:left w:val="single" w:color="auto" w:sz="4" w:space="0"/>
              <w:bottom w:val="single" w:color="000000" w:sz="4" w:space="0"/>
              <w:right w:val="single" w:color="auto" w:sz="4" w:space="0"/>
            </w:tcBorders>
            <w:vAlign w:val="center"/>
          </w:tcPr>
          <w:p w14:paraId="7CDECE1E">
            <w:pPr>
              <w:pStyle w:val="322"/>
              <w:adjustRightInd w:val="0"/>
              <w:snapToGrid w:val="0"/>
              <w:spacing w:line="300" w:lineRule="exact"/>
              <w:rPr>
                <w:rFonts w:hint="eastAsia" w:cs="宋体"/>
                <w:snapToGrid w:val="0"/>
                <w:color w:val="000000" w:themeColor="text1"/>
                <w:w w:val="100"/>
                <w:kern w:val="0"/>
                <w:sz w:val="21"/>
                <w:szCs w:val="21"/>
                <w14:textFill>
                  <w14:solidFill>
                    <w14:schemeClr w14:val="tx1"/>
                  </w14:solidFill>
                </w14:textFill>
              </w:rPr>
            </w:pPr>
            <w:r>
              <w:rPr>
                <w:rFonts w:hint="eastAsia" w:cs="宋体"/>
                <w:snapToGrid w:val="0"/>
                <w:color w:val="000000" w:themeColor="text1"/>
                <w:w w:val="100"/>
                <w:kern w:val="0"/>
                <w:sz w:val="21"/>
                <w:szCs w:val="21"/>
                <w14:textFill>
                  <w14:solidFill>
                    <w14:schemeClr w14:val="tx1"/>
                  </w14:solidFill>
                </w14:textFill>
              </w:rPr>
              <w:t>/</w:t>
            </w:r>
          </w:p>
        </w:tc>
        <w:tc>
          <w:tcPr>
            <w:tcW w:w="859" w:type="pct"/>
            <w:tcBorders>
              <w:top w:val="single" w:color="000000" w:sz="4" w:space="0"/>
              <w:left w:val="single" w:color="auto" w:sz="4" w:space="0"/>
              <w:bottom w:val="single" w:color="000000" w:sz="4" w:space="0"/>
              <w:right w:val="nil"/>
            </w:tcBorders>
            <w:vAlign w:val="center"/>
          </w:tcPr>
          <w:p w14:paraId="0A964BF7">
            <w:pPr>
              <w:pStyle w:val="322"/>
              <w:adjustRightInd w:val="0"/>
              <w:snapToGrid w:val="0"/>
              <w:spacing w:line="300" w:lineRule="exact"/>
              <w:rPr>
                <w:rFonts w:hint="eastAsia" w:cs="宋体"/>
                <w:snapToGrid w:val="0"/>
                <w:color w:val="000000" w:themeColor="text1"/>
                <w:w w:val="100"/>
                <w:kern w:val="0"/>
                <w:sz w:val="21"/>
                <w:szCs w:val="21"/>
                <w14:textFill>
                  <w14:solidFill>
                    <w14:schemeClr w14:val="tx1"/>
                  </w14:solidFill>
                </w14:textFill>
              </w:rPr>
            </w:pPr>
            <w:r>
              <w:rPr>
                <w:rFonts w:hint="eastAsia" w:cs="宋体"/>
                <w:snapToGrid w:val="0"/>
                <w:color w:val="000000" w:themeColor="text1"/>
                <w:w w:val="100"/>
                <w:kern w:val="0"/>
                <w:sz w:val="21"/>
                <w:szCs w:val="21"/>
                <w14:textFill>
                  <w14:solidFill>
                    <w14:schemeClr w14:val="tx1"/>
                  </w14:solidFill>
                </w14:textFill>
              </w:rPr>
              <w:t>1.338</w:t>
            </w:r>
          </w:p>
        </w:tc>
      </w:tr>
      <w:bookmarkEnd w:id="313"/>
      <w:bookmarkEnd w:id="318"/>
    </w:tbl>
    <w:p w14:paraId="158BF980">
      <w:pPr>
        <w:adjustRightInd w:val="0"/>
        <w:snapToGrid w:val="0"/>
        <w:spacing w:line="500" w:lineRule="exact"/>
        <w:ind w:firstLine="480" w:firstLineChars="200"/>
        <w:jc w:val="left"/>
        <w:textAlignment w:val="baseline"/>
        <w:rPr>
          <w:rFonts w:hint="eastAsia"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②硫化氢</w:t>
      </w:r>
    </w:p>
    <w:p w14:paraId="35EF6643">
      <w:pPr>
        <w:adjustRightInd w:val="0"/>
        <w:snapToGrid w:val="0"/>
        <w:spacing w:line="500" w:lineRule="exact"/>
        <w:ind w:firstLine="480" w:firstLineChars="200"/>
        <w:jc w:val="left"/>
        <w:textAlignment w:val="baseline"/>
        <w:rPr>
          <w:color w:val="000000" w:themeColor="text1"/>
          <w14:textFill>
            <w14:solidFill>
              <w14:schemeClr w14:val="tx1"/>
            </w14:solidFill>
          </w14:textFill>
        </w:rPr>
      </w:pPr>
      <w:r>
        <w:rPr>
          <w:rFonts w:hint="eastAsia" w:ascii="宋体" w:hAnsi="宋体"/>
          <w:color w:val="000000" w:themeColor="text1"/>
          <w:kern w:val="0"/>
          <w:sz w:val="24"/>
          <w14:textFill>
            <w14:solidFill>
              <w14:schemeClr w14:val="tx1"/>
            </w14:solidFill>
          </w14:textFill>
        </w:rPr>
        <w:t>根据伴生气性质可知，伴生气硫化氢的浓度在0～30ppm（41.7mg/m</w:t>
      </w:r>
      <w:r>
        <w:rPr>
          <w:rFonts w:hint="eastAsia" w:ascii="宋体" w:hAnsi="宋体"/>
          <w:color w:val="000000" w:themeColor="text1"/>
          <w:kern w:val="0"/>
          <w:sz w:val="24"/>
          <w:vertAlign w:val="superscript"/>
          <w14:textFill>
            <w14:solidFill>
              <w14:schemeClr w14:val="tx1"/>
            </w14:solidFill>
          </w14:textFill>
        </w:rPr>
        <w:t>3</w:t>
      </w:r>
      <w:r>
        <w:rPr>
          <w:rFonts w:hint="eastAsia" w:ascii="宋体" w:hAnsi="宋体"/>
          <w:color w:val="000000" w:themeColor="text1"/>
          <w:kern w:val="0"/>
          <w:sz w:val="24"/>
          <w14:textFill>
            <w14:solidFill>
              <w14:schemeClr w14:val="tx1"/>
            </w14:solidFill>
          </w14:textFill>
        </w:rPr>
        <w:t>），本次按照不利因素考虑，硫化氢浓度取值为30ppm（41.7mg/m</w:t>
      </w:r>
      <w:r>
        <w:rPr>
          <w:rFonts w:hint="eastAsia" w:ascii="宋体" w:hAnsi="宋体"/>
          <w:color w:val="000000" w:themeColor="text1"/>
          <w:kern w:val="0"/>
          <w:sz w:val="24"/>
          <w:vertAlign w:val="superscript"/>
          <w14:textFill>
            <w14:solidFill>
              <w14:schemeClr w14:val="tx1"/>
            </w14:solidFill>
          </w14:textFill>
        </w:rPr>
        <w:t>3</w:t>
      </w:r>
      <w:r>
        <w:rPr>
          <w:rFonts w:hint="eastAsia" w:ascii="宋体" w:hAnsi="宋体"/>
          <w:color w:val="000000" w:themeColor="text1"/>
          <w:kern w:val="0"/>
          <w:sz w:val="24"/>
          <w14:textFill>
            <w14:solidFill>
              <w14:schemeClr w14:val="tx1"/>
            </w14:solidFill>
          </w14:textFill>
        </w:rPr>
        <w:t>）；硫化氢目前无相应的源强核算技术指南，本次根据硫化氢含量及通过阀门、法兰等逸散的伴生气量核算硫化氢的产生量，首先根据计算出的无组织非甲烷总烃产生量及非甲烷总烃在伴生气中的占比计算出泄漏的伴生气量，再根据伴生气的泄漏量和伴生气中的硫化氢浓度计算出硫化氢的产生量，计算结果详见表3.3-5。</w:t>
      </w:r>
    </w:p>
    <w:p w14:paraId="3C32EC1C">
      <w:pPr>
        <w:pStyle w:val="109"/>
        <w:rPr>
          <w:rFonts w:hint="eastAsia"/>
          <w:color w:val="000000" w:themeColor="text1"/>
          <w14:textFill>
            <w14:solidFill>
              <w14:schemeClr w14:val="tx1"/>
            </w14:solidFill>
          </w14:textFill>
        </w:rPr>
      </w:pPr>
      <w:bookmarkStart w:id="322" w:name="OLE_LINK183"/>
      <w:r>
        <w:rPr>
          <w:rFonts w:hint="eastAsia"/>
          <w:color w:val="000000" w:themeColor="text1"/>
          <w14:textFill>
            <w14:solidFill>
              <w14:schemeClr w14:val="tx1"/>
            </w14:solidFill>
          </w14:textFill>
        </w:rPr>
        <w:t>表</w:t>
      </w:r>
      <w:r>
        <w:rPr>
          <w:color w:val="000000" w:themeColor="text1"/>
          <w14:textFill>
            <w14:solidFill>
              <w14:schemeClr w14:val="tx1"/>
            </w14:solidFill>
          </w14:textFill>
        </w:rPr>
        <w:t>3.3</w:t>
      </w:r>
      <w:r>
        <w:rPr>
          <w:rFonts w:hint="eastAsia"/>
          <w:color w:val="000000" w:themeColor="text1"/>
          <w14:textFill>
            <w14:solidFill>
              <w14:schemeClr w14:val="tx1"/>
            </w14:solidFill>
          </w14:textFill>
        </w:rPr>
        <w:t>-5</w:t>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硫化氢产生情况一览表</w:t>
      </w:r>
    </w:p>
    <w:tbl>
      <w:tblPr>
        <w:tblStyle w:val="51"/>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2326"/>
        <w:gridCol w:w="1598"/>
        <w:gridCol w:w="1678"/>
        <w:gridCol w:w="1673"/>
        <w:gridCol w:w="1671"/>
      </w:tblGrid>
      <w:tr w14:paraId="79E742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300" w:type="pct"/>
            <w:tcBorders>
              <w:top w:val="single" w:color="000000" w:sz="12" w:space="0"/>
              <w:left w:val="nil"/>
              <w:bottom w:val="single" w:color="000000" w:sz="4" w:space="0"/>
              <w:right w:val="single" w:color="auto" w:sz="4" w:space="0"/>
            </w:tcBorders>
            <w:vAlign w:val="center"/>
          </w:tcPr>
          <w:p w14:paraId="0898CADD">
            <w:pPr>
              <w:pStyle w:val="322"/>
              <w:adjustRightInd w:val="0"/>
              <w:snapToGrid w:val="0"/>
              <w:spacing w:line="300" w:lineRule="exact"/>
              <w:rPr>
                <w:rFonts w:hint="eastAsia" w:cs="宋体"/>
                <w:bCs/>
                <w:snapToGrid w:val="0"/>
                <w:color w:val="000000" w:themeColor="text1"/>
                <w:w w:val="100"/>
                <w:kern w:val="0"/>
                <w:sz w:val="21"/>
                <w:szCs w:val="21"/>
                <w14:textFill>
                  <w14:solidFill>
                    <w14:schemeClr w14:val="tx1"/>
                  </w14:solidFill>
                </w14:textFill>
              </w:rPr>
            </w:pPr>
            <w:r>
              <w:rPr>
                <w:rFonts w:hint="eastAsia" w:cs="宋体"/>
                <w:bCs/>
                <w:snapToGrid w:val="0"/>
                <w:color w:val="000000" w:themeColor="text1"/>
                <w:w w:val="100"/>
                <w:kern w:val="0"/>
                <w:sz w:val="21"/>
                <w:szCs w:val="21"/>
                <w14:textFill>
                  <w14:solidFill>
                    <w14:schemeClr w14:val="tx1"/>
                  </w14:solidFill>
                </w14:textFill>
              </w:rPr>
              <w:t>名称</w:t>
            </w:r>
          </w:p>
        </w:tc>
        <w:tc>
          <w:tcPr>
            <w:tcW w:w="893" w:type="pct"/>
            <w:tcBorders>
              <w:top w:val="single" w:color="000000" w:sz="12" w:space="0"/>
              <w:left w:val="single" w:color="000000" w:sz="4" w:space="0"/>
              <w:bottom w:val="single" w:color="000000" w:sz="4" w:space="0"/>
              <w:right w:val="single" w:color="auto" w:sz="4" w:space="0"/>
            </w:tcBorders>
            <w:vAlign w:val="center"/>
          </w:tcPr>
          <w:p w14:paraId="68AB27D8">
            <w:pPr>
              <w:pStyle w:val="322"/>
              <w:adjustRightInd w:val="0"/>
              <w:snapToGrid w:val="0"/>
              <w:spacing w:line="300" w:lineRule="exact"/>
              <w:rPr>
                <w:rFonts w:hint="eastAsia" w:cs="宋体"/>
                <w:bCs/>
                <w:snapToGrid w:val="0"/>
                <w:color w:val="000000" w:themeColor="text1"/>
                <w:w w:val="100"/>
                <w:kern w:val="0"/>
                <w:sz w:val="21"/>
                <w:szCs w:val="21"/>
                <w14:textFill>
                  <w14:solidFill>
                    <w14:schemeClr w14:val="tx1"/>
                  </w14:solidFill>
                </w14:textFill>
              </w:rPr>
            </w:pPr>
            <w:r>
              <w:rPr>
                <w:rFonts w:hint="eastAsia" w:cs="宋体"/>
                <w:bCs/>
                <w:snapToGrid w:val="0"/>
                <w:color w:val="000000" w:themeColor="text1"/>
                <w:w w:val="100"/>
                <w:kern w:val="0"/>
                <w:sz w:val="21"/>
                <w:szCs w:val="21"/>
                <w14:textFill>
                  <w14:solidFill>
                    <w14:schemeClr w14:val="tx1"/>
                  </w14:solidFill>
                </w14:textFill>
              </w:rPr>
              <w:t>硫化氢含量（mg/m</w:t>
            </w:r>
            <w:r>
              <w:rPr>
                <w:rFonts w:hint="eastAsia" w:cs="宋体"/>
                <w:bCs/>
                <w:snapToGrid w:val="0"/>
                <w:color w:val="000000" w:themeColor="text1"/>
                <w:w w:val="100"/>
                <w:kern w:val="0"/>
                <w:sz w:val="21"/>
                <w:szCs w:val="21"/>
                <w:vertAlign w:val="superscript"/>
                <w14:textFill>
                  <w14:solidFill>
                    <w14:schemeClr w14:val="tx1"/>
                  </w14:solidFill>
                </w14:textFill>
              </w:rPr>
              <w:t>3</w:t>
            </w:r>
            <w:r>
              <w:rPr>
                <w:rFonts w:hint="eastAsia" w:cs="宋体"/>
                <w:bCs/>
                <w:snapToGrid w:val="0"/>
                <w:color w:val="000000" w:themeColor="text1"/>
                <w:w w:val="100"/>
                <w:kern w:val="0"/>
                <w:sz w:val="21"/>
                <w:szCs w:val="21"/>
                <w14:textFill>
                  <w14:solidFill>
                    <w14:schemeClr w14:val="tx1"/>
                  </w14:solidFill>
                </w14:textFill>
              </w:rPr>
              <w:t>）</w:t>
            </w:r>
          </w:p>
        </w:tc>
        <w:tc>
          <w:tcPr>
            <w:tcW w:w="938" w:type="pct"/>
            <w:tcBorders>
              <w:top w:val="single" w:color="000000" w:sz="12" w:space="0"/>
              <w:left w:val="single" w:color="auto" w:sz="4" w:space="0"/>
              <w:bottom w:val="single" w:color="000000" w:sz="4" w:space="0"/>
              <w:right w:val="single" w:color="auto" w:sz="4" w:space="0"/>
            </w:tcBorders>
            <w:vAlign w:val="center"/>
          </w:tcPr>
          <w:p w14:paraId="09248614">
            <w:pPr>
              <w:pStyle w:val="322"/>
              <w:adjustRightInd w:val="0"/>
              <w:snapToGrid w:val="0"/>
              <w:spacing w:line="300" w:lineRule="exact"/>
              <w:rPr>
                <w:rFonts w:hint="eastAsia" w:cs="宋体"/>
                <w:bCs/>
                <w:snapToGrid w:val="0"/>
                <w:color w:val="000000" w:themeColor="text1"/>
                <w:w w:val="100"/>
                <w:kern w:val="0"/>
                <w:sz w:val="21"/>
                <w:szCs w:val="21"/>
                <w14:textFill>
                  <w14:solidFill>
                    <w14:schemeClr w14:val="tx1"/>
                  </w14:solidFill>
                </w14:textFill>
              </w:rPr>
            </w:pPr>
            <w:r>
              <w:rPr>
                <w:rFonts w:hint="eastAsia" w:cs="宋体"/>
                <w:bCs/>
                <w:snapToGrid w:val="0"/>
                <w:color w:val="000000" w:themeColor="text1"/>
                <w:w w:val="100"/>
                <w:kern w:val="0"/>
                <w:sz w:val="21"/>
                <w:szCs w:val="21"/>
                <w14:textFill>
                  <w14:solidFill>
                    <w14:schemeClr w14:val="tx1"/>
                  </w14:solidFill>
                </w14:textFill>
              </w:rPr>
              <w:t>无组织废气产生量</w:t>
            </w:r>
            <w:r>
              <w:rPr>
                <w:rFonts w:hint="eastAsia" w:cs="宋体"/>
                <w:snapToGrid w:val="0"/>
                <w:color w:val="000000" w:themeColor="text1"/>
                <w:w w:val="100"/>
                <w:kern w:val="0"/>
                <w:sz w:val="21"/>
                <w:szCs w:val="21"/>
                <w14:textFill>
                  <w14:solidFill>
                    <w14:schemeClr w14:val="tx1"/>
                  </w14:solidFill>
                </w14:textFill>
              </w:rPr>
              <w:t>（t/a）</w:t>
            </w:r>
          </w:p>
        </w:tc>
        <w:tc>
          <w:tcPr>
            <w:tcW w:w="935" w:type="pct"/>
            <w:tcBorders>
              <w:top w:val="single" w:color="000000" w:sz="12" w:space="0"/>
              <w:left w:val="single" w:color="auto" w:sz="4" w:space="0"/>
              <w:bottom w:val="single" w:color="000000" w:sz="4" w:space="0"/>
              <w:right w:val="single" w:color="auto" w:sz="4" w:space="0"/>
            </w:tcBorders>
          </w:tcPr>
          <w:p w14:paraId="5938635D">
            <w:pPr>
              <w:pStyle w:val="322"/>
              <w:adjustRightInd w:val="0"/>
              <w:snapToGrid w:val="0"/>
              <w:spacing w:line="300" w:lineRule="exact"/>
              <w:rPr>
                <w:rFonts w:hint="eastAsia" w:cs="宋体"/>
                <w:snapToGrid w:val="0"/>
                <w:color w:val="000000" w:themeColor="text1"/>
                <w:w w:val="100"/>
                <w:kern w:val="0"/>
                <w:sz w:val="21"/>
                <w:szCs w:val="21"/>
                <w14:textFill>
                  <w14:solidFill>
                    <w14:schemeClr w14:val="tx1"/>
                  </w14:solidFill>
                </w14:textFill>
              </w:rPr>
            </w:pPr>
            <w:r>
              <w:rPr>
                <w:rFonts w:hint="eastAsia" w:cs="宋体"/>
                <w:snapToGrid w:val="0"/>
                <w:color w:val="000000" w:themeColor="text1"/>
                <w:w w:val="100"/>
                <w:kern w:val="0"/>
                <w:sz w:val="21"/>
                <w:szCs w:val="21"/>
                <w14:textFill>
                  <w14:solidFill>
                    <w14:schemeClr w14:val="tx1"/>
                  </w14:solidFill>
                </w14:textFill>
              </w:rPr>
              <w:t>伴生气泄漏量（m</w:t>
            </w:r>
            <w:r>
              <w:rPr>
                <w:rFonts w:hint="eastAsia" w:cs="宋体"/>
                <w:snapToGrid w:val="0"/>
                <w:color w:val="000000" w:themeColor="text1"/>
                <w:w w:val="100"/>
                <w:kern w:val="0"/>
                <w:sz w:val="21"/>
                <w:szCs w:val="21"/>
                <w:vertAlign w:val="superscript"/>
                <w14:textFill>
                  <w14:solidFill>
                    <w14:schemeClr w14:val="tx1"/>
                  </w14:solidFill>
                </w14:textFill>
              </w:rPr>
              <w:t>3</w:t>
            </w:r>
            <w:r>
              <w:rPr>
                <w:rFonts w:hint="eastAsia" w:cs="宋体"/>
                <w:snapToGrid w:val="0"/>
                <w:color w:val="000000" w:themeColor="text1"/>
                <w:w w:val="100"/>
                <w:kern w:val="0"/>
                <w:sz w:val="21"/>
                <w:szCs w:val="21"/>
                <w14:textFill>
                  <w14:solidFill>
                    <w14:schemeClr w14:val="tx1"/>
                  </w14:solidFill>
                </w14:textFill>
              </w:rPr>
              <w:t>/a）</w:t>
            </w:r>
          </w:p>
        </w:tc>
        <w:tc>
          <w:tcPr>
            <w:tcW w:w="934" w:type="pct"/>
            <w:tcBorders>
              <w:top w:val="single" w:color="000000" w:sz="12" w:space="0"/>
              <w:left w:val="single" w:color="auto" w:sz="4" w:space="0"/>
              <w:bottom w:val="single" w:color="000000" w:sz="4" w:space="0"/>
              <w:right w:val="nil"/>
            </w:tcBorders>
            <w:vAlign w:val="center"/>
          </w:tcPr>
          <w:p w14:paraId="6348C62B">
            <w:pPr>
              <w:pStyle w:val="322"/>
              <w:adjustRightInd w:val="0"/>
              <w:snapToGrid w:val="0"/>
              <w:spacing w:line="300" w:lineRule="exact"/>
              <w:rPr>
                <w:rFonts w:hint="eastAsia" w:cs="宋体"/>
                <w:snapToGrid w:val="0"/>
                <w:color w:val="000000" w:themeColor="text1"/>
                <w:w w:val="100"/>
                <w:kern w:val="0"/>
                <w:sz w:val="21"/>
                <w:szCs w:val="21"/>
                <w14:textFill>
                  <w14:solidFill>
                    <w14:schemeClr w14:val="tx1"/>
                  </w14:solidFill>
                </w14:textFill>
              </w:rPr>
            </w:pPr>
            <w:r>
              <w:rPr>
                <w:rFonts w:hint="eastAsia" w:cs="宋体"/>
                <w:snapToGrid w:val="0"/>
                <w:color w:val="000000" w:themeColor="text1"/>
                <w:w w:val="100"/>
                <w:kern w:val="0"/>
                <w:sz w:val="21"/>
                <w:szCs w:val="21"/>
                <w14:textFill>
                  <w14:solidFill>
                    <w14:schemeClr w14:val="tx1"/>
                  </w14:solidFill>
                </w14:textFill>
              </w:rPr>
              <w:t>硫化氢产生量（kg/a）</w:t>
            </w:r>
          </w:p>
        </w:tc>
      </w:tr>
      <w:tr w14:paraId="1B822E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300" w:type="pct"/>
            <w:tcBorders>
              <w:left w:val="nil"/>
              <w:right w:val="single" w:color="auto" w:sz="4" w:space="0"/>
            </w:tcBorders>
            <w:vAlign w:val="center"/>
          </w:tcPr>
          <w:p w14:paraId="37E48669">
            <w:pPr>
              <w:pStyle w:val="322"/>
              <w:adjustRightInd w:val="0"/>
              <w:snapToGrid w:val="0"/>
              <w:spacing w:line="300" w:lineRule="exact"/>
              <w:rPr>
                <w:rFonts w:hint="eastAsia" w:cs="宋体"/>
                <w:snapToGrid w:val="0"/>
                <w:color w:val="000000" w:themeColor="text1"/>
                <w:w w:val="100"/>
                <w:kern w:val="0"/>
                <w:sz w:val="21"/>
                <w:szCs w:val="21"/>
                <w14:textFill>
                  <w14:solidFill>
                    <w14:schemeClr w14:val="tx1"/>
                  </w14:solidFill>
                </w14:textFill>
              </w:rPr>
            </w:pPr>
            <w:bookmarkStart w:id="323" w:name="_Hlk211093756"/>
            <w:r>
              <w:rPr>
                <w:rFonts w:hint="eastAsia" w:cs="宋体"/>
                <w:snapToGrid w:val="0"/>
                <w:color w:val="000000" w:themeColor="text1"/>
                <w:w w:val="100"/>
                <w:kern w:val="0"/>
                <w:sz w:val="21"/>
                <w:szCs w:val="21"/>
                <w14:textFill>
                  <w14:solidFill>
                    <w14:schemeClr w14:val="tx1"/>
                  </w14:solidFill>
                </w14:textFill>
              </w:rPr>
              <w:t>1号计量站</w:t>
            </w:r>
          </w:p>
        </w:tc>
        <w:tc>
          <w:tcPr>
            <w:tcW w:w="893" w:type="pct"/>
            <w:tcBorders>
              <w:top w:val="single" w:color="000000" w:sz="4" w:space="0"/>
              <w:left w:val="single" w:color="000000" w:sz="4" w:space="0"/>
              <w:bottom w:val="single" w:color="000000" w:sz="4" w:space="0"/>
              <w:right w:val="single" w:color="auto" w:sz="4" w:space="0"/>
            </w:tcBorders>
            <w:vAlign w:val="center"/>
          </w:tcPr>
          <w:p w14:paraId="55052DCE">
            <w:pPr>
              <w:pStyle w:val="322"/>
              <w:adjustRightInd w:val="0"/>
              <w:snapToGrid w:val="0"/>
              <w:spacing w:line="300" w:lineRule="exact"/>
              <w:rPr>
                <w:rFonts w:hint="eastAsia" w:cs="宋体"/>
                <w:snapToGrid w:val="0"/>
                <w:color w:val="000000" w:themeColor="text1"/>
                <w:w w:val="100"/>
                <w:kern w:val="0"/>
                <w:sz w:val="21"/>
                <w:szCs w:val="21"/>
                <w14:textFill>
                  <w14:solidFill>
                    <w14:schemeClr w14:val="tx1"/>
                  </w14:solidFill>
                </w14:textFill>
              </w:rPr>
            </w:pPr>
            <w:r>
              <w:rPr>
                <w:rFonts w:hint="eastAsia" w:cs="宋体"/>
                <w:bCs/>
                <w:snapToGrid w:val="0"/>
                <w:color w:val="000000" w:themeColor="text1"/>
                <w:w w:val="100"/>
                <w:kern w:val="0"/>
                <w:sz w:val="21"/>
                <w:szCs w:val="21"/>
                <w14:textFill>
                  <w14:solidFill>
                    <w14:schemeClr w14:val="tx1"/>
                  </w14:solidFill>
                </w14:textFill>
              </w:rPr>
              <w:t>41.7</w:t>
            </w:r>
          </w:p>
        </w:tc>
        <w:tc>
          <w:tcPr>
            <w:tcW w:w="938" w:type="pct"/>
            <w:tcBorders>
              <w:top w:val="single" w:color="000000" w:sz="4" w:space="0"/>
              <w:left w:val="single" w:color="auto" w:sz="4" w:space="0"/>
              <w:bottom w:val="single" w:color="000000" w:sz="4" w:space="0"/>
              <w:right w:val="single" w:color="auto" w:sz="4" w:space="0"/>
            </w:tcBorders>
            <w:vAlign w:val="center"/>
          </w:tcPr>
          <w:p w14:paraId="42BB1280">
            <w:pPr>
              <w:pStyle w:val="322"/>
              <w:adjustRightInd w:val="0"/>
              <w:snapToGrid w:val="0"/>
              <w:spacing w:line="300" w:lineRule="exact"/>
              <w:rPr>
                <w:rFonts w:hint="eastAsia" w:cs="宋体"/>
                <w:bCs/>
                <w:snapToGrid w:val="0"/>
                <w:color w:val="000000" w:themeColor="text1"/>
                <w:w w:val="100"/>
                <w:kern w:val="0"/>
                <w:sz w:val="21"/>
                <w:szCs w:val="21"/>
                <w14:textFill>
                  <w14:solidFill>
                    <w14:schemeClr w14:val="tx1"/>
                  </w14:solidFill>
                </w14:textFill>
              </w:rPr>
            </w:pPr>
            <w:r>
              <w:rPr>
                <w:rFonts w:hint="eastAsia" w:cs="宋体"/>
                <w:snapToGrid w:val="0"/>
                <w:color w:val="000000" w:themeColor="text1"/>
                <w:w w:val="100"/>
                <w:kern w:val="0"/>
                <w:sz w:val="21"/>
                <w:szCs w:val="21"/>
                <w14:textFill>
                  <w14:solidFill>
                    <w14:schemeClr w14:val="tx1"/>
                  </w14:solidFill>
                </w14:textFill>
              </w:rPr>
              <w:t>0.098</w:t>
            </w:r>
          </w:p>
        </w:tc>
        <w:tc>
          <w:tcPr>
            <w:tcW w:w="935" w:type="pct"/>
            <w:tcBorders>
              <w:top w:val="single" w:color="000000" w:sz="4" w:space="0"/>
              <w:left w:val="single" w:color="auto" w:sz="4" w:space="0"/>
              <w:bottom w:val="single" w:color="000000" w:sz="4" w:space="0"/>
              <w:right w:val="single" w:color="auto" w:sz="4" w:space="0"/>
            </w:tcBorders>
            <w:vAlign w:val="center"/>
          </w:tcPr>
          <w:p w14:paraId="1DC18A19">
            <w:pPr>
              <w:pStyle w:val="322"/>
              <w:adjustRightInd w:val="0"/>
              <w:snapToGrid w:val="0"/>
              <w:spacing w:line="300" w:lineRule="exact"/>
              <w:rPr>
                <w:rFonts w:hint="eastAsia" w:cs="宋体"/>
                <w:bCs/>
                <w:snapToGrid w:val="0"/>
                <w:color w:val="000000" w:themeColor="text1"/>
                <w:w w:val="100"/>
                <w:kern w:val="0"/>
                <w:sz w:val="21"/>
                <w:szCs w:val="21"/>
                <w14:textFill>
                  <w14:solidFill>
                    <w14:schemeClr w14:val="tx1"/>
                  </w14:solidFill>
                </w14:textFill>
              </w:rPr>
            </w:pPr>
            <w:r>
              <w:rPr>
                <w:rFonts w:hint="eastAsia" w:cs="宋体"/>
                <w:bCs/>
                <w:snapToGrid w:val="0"/>
                <w:color w:val="000000" w:themeColor="text1"/>
                <w:w w:val="100"/>
                <w:kern w:val="0"/>
                <w:sz w:val="21"/>
                <w:szCs w:val="21"/>
                <w14:textFill>
                  <w14:solidFill>
                    <w14:schemeClr w14:val="tx1"/>
                  </w14:solidFill>
                </w14:textFill>
              </w:rPr>
              <w:t>631.957</w:t>
            </w:r>
          </w:p>
        </w:tc>
        <w:tc>
          <w:tcPr>
            <w:tcW w:w="934" w:type="pct"/>
            <w:tcBorders>
              <w:top w:val="single" w:color="000000" w:sz="4" w:space="0"/>
              <w:left w:val="single" w:color="auto" w:sz="4" w:space="0"/>
              <w:bottom w:val="single" w:color="000000" w:sz="4" w:space="0"/>
              <w:right w:val="nil"/>
            </w:tcBorders>
            <w:vAlign w:val="center"/>
          </w:tcPr>
          <w:p w14:paraId="24DBB381">
            <w:pPr>
              <w:pStyle w:val="322"/>
              <w:adjustRightInd w:val="0"/>
              <w:snapToGrid w:val="0"/>
              <w:spacing w:line="300" w:lineRule="exact"/>
              <w:rPr>
                <w:rFonts w:hint="eastAsia" w:cs="宋体"/>
                <w:bCs/>
                <w:snapToGrid w:val="0"/>
                <w:color w:val="000000" w:themeColor="text1"/>
                <w:w w:val="100"/>
                <w:kern w:val="0"/>
                <w:sz w:val="21"/>
                <w:szCs w:val="21"/>
                <w14:textFill>
                  <w14:solidFill>
                    <w14:schemeClr w14:val="tx1"/>
                  </w14:solidFill>
                </w14:textFill>
              </w:rPr>
            </w:pPr>
            <w:r>
              <w:rPr>
                <w:rFonts w:hint="eastAsia" w:cs="宋体"/>
                <w:bCs/>
                <w:snapToGrid w:val="0"/>
                <w:color w:val="000000" w:themeColor="text1"/>
                <w:w w:val="100"/>
                <w:kern w:val="0"/>
                <w:sz w:val="21"/>
                <w:szCs w:val="21"/>
                <w14:textFill>
                  <w14:solidFill>
                    <w14:schemeClr w14:val="tx1"/>
                  </w14:solidFill>
                </w14:textFill>
              </w:rPr>
              <w:t>0.026</w:t>
            </w:r>
          </w:p>
        </w:tc>
      </w:tr>
      <w:tr w14:paraId="6CE1DE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300" w:type="pct"/>
            <w:tcBorders>
              <w:left w:val="nil"/>
              <w:right w:val="single" w:color="auto" w:sz="4" w:space="0"/>
            </w:tcBorders>
            <w:vAlign w:val="center"/>
          </w:tcPr>
          <w:p w14:paraId="6C3398FE">
            <w:pPr>
              <w:pStyle w:val="322"/>
              <w:adjustRightInd w:val="0"/>
              <w:snapToGrid w:val="0"/>
              <w:spacing w:line="300" w:lineRule="exact"/>
              <w:rPr>
                <w:rFonts w:hint="eastAsia" w:cs="宋体"/>
                <w:snapToGrid w:val="0"/>
                <w:color w:val="000000" w:themeColor="text1"/>
                <w:w w:val="100"/>
                <w:kern w:val="0"/>
                <w:sz w:val="21"/>
                <w:szCs w:val="21"/>
                <w14:textFill>
                  <w14:solidFill>
                    <w14:schemeClr w14:val="tx1"/>
                  </w14:solidFill>
                </w14:textFill>
              </w:rPr>
            </w:pPr>
            <w:r>
              <w:rPr>
                <w:rFonts w:hint="eastAsia" w:cs="宋体"/>
                <w:snapToGrid w:val="0"/>
                <w:color w:val="000000" w:themeColor="text1"/>
                <w:w w:val="100"/>
                <w:kern w:val="0"/>
                <w:sz w:val="21"/>
                <w:szCs w:val="21"/>
                <w14:textFill>
                  <w14:solidFill>
                    <w14:schemeClr w14:val="tx1"/>
                  </w14:solidFill>
                </w14:textFill>
              </w:rPr>
              <w:t>预处理注入站</w:t>
            </w:r>
          </w:p>
        </w:tc>
        <w:tc>
          <w:tcPr>
            <w:tcW w:w="893" w:type="pct"/>
            <w:tcBorders>
              <w:top w:val="single" w:color="000000" w:sz="4" w:space="0"/>
              <w:left w:val="single" w:color="000000" w:sz="4" w:space="0"/>
              <w:bottom w:val="single" w:color="000000" w:sz="4" w:space="0"/>
              <w:right w:val="single" w:color="auto" w:sz="4" w:space="0"/>
            </w:tcBorders>
          </w:tcPr>
          <w:p w14:paraId="12813E24">
            <w:pPr>
              <w:pStyle w:val="322"/>
              <w:adjustRightInd w:val="0"/>
              <w:snapToGrid w:val="0"/>
              <w:spacing w:line="300" w:lineRule="exact"/>
              <w:rPr>
                <w:rFonts w:hint="eastAsia" w:cs="宋体"/>
                <w:snapToGrid w:val="0"/>
                <w:color w:val="000000" w:themeColor="text1"/>
                <w:w w:val="100"/>
                <w:kern w:val="0"/>
                <w:sz w:val="21"/>
                <w:szCs w:val="21"/>
                <w14:textFill>
                  <w14:solidFill>
                    <w14:schemeClr w14:val="tx1"/>
                  </w14:solidFill>
                </w14:textFill>
              </w:rPr>
            </w:pPr>
            <w:r>
              <w:rPr>
                <w:rFonts w:hint="eastAsia" w:cs="宋体"/>
                <w:snapToGrid w:val="0"/>
                <w:color w:val="000000" w:themeColor="text1"/>
                <w:w w:val="100"/>
                <w:kern w:val="0"/>
                <w:sz w:val="21"/>
                <w:szCs w:val="21"/>
                <w14:textFill>
                  <w14:solidFill>
                    <w14:schemeClr w14:val="tx1"/>
                  </w14:solidFill>
                </w14:textFill>
              </w:rPr>
              <w:t>41.7</w:t>
            </w:r>
          </w:p>
        </w:tc>
        <w:tc>
          <w:tcPr>
            <w:tcW w:w="938" w:type="pct"/>
            <w:tcBorders>
              <w:top w:val="single" w:color="000000" w:sz="4" w:space="0"/>
              <w:left w:val="single" w:color="auto" w:sz="4" w:space="0"/>
              <w:bottom w:val="single" w:color="000000" w:sz="4" w:space="0"/>
              <w:right w:val="single" w:color="auto" w:sz="4" w:space="0"/>
            </w:tcBorders>
            <w:vAlign w:val="center"/>
          </w:tcPr>
          <w:p w14:paraId="033993EB">
            <w:pPr>
              <w:pStyle w:val="322"/>
              <w:adjustRightInd w:val="0"/>
              <w:snapToGrid w:val="0"/>
              <w:spacing w:line="300" w:lineRule="exact"/>
              <w:rPr>
                <w:rFonts w:hint="eastAsia" w:cs="宋体"/>
                <w:bCs/>
                <w:snapToGrid w:val="0"/>
                <w:color w:val="000000" w:themeColor="text1"/>
                <w:w w:val="100"/>
                <w:kern w:val="0"/>
                <w:sz w:val="21"/>
                <w:szCs w:val="21"/>
                <w14:textFill>
                  <w14:solidFill>
                    <w14:schemeClr w14:val="tx1"/>
                  </w14:solidFill>
                </w14:textFill>
              </w:rPr>
            </w:pPr>
            <w:r>
              <w:rPr>
                <w:rFonts w:hint="eastAsia" w:cs="宋体"/>
                <w:snapToGrid w:val="0"/>
                <w:color w:val="000000" w:themeColor="text1"/>
                <w:w w:val="100"/>
                <w:kern w:val="0"/>
                <w:sz w:val="21"/>
                <w:szCs w:val="21"/>
                <w14:textFill>
                  <w14:solidFill>
                    <w14:schemeClr w14:val="tx1"/>
                  </w14:solidFill>
                </w14:textFill>
              </w:rPr>
              <w:t>1.24</w:t>
            </w:r>
          </w:p>
        </w:tc>
        <w:tc>
          <w:tcPr>
            <w:tcW w:w="935" w:type="pct"/>
            <w:tcBorders>
              <w:top w:val="single" w:color="000000" w:sz="4" w:space="0"/>
              <w:left w:val="single" w:color="auto" w:sz="4" w:space="0"/>
              <w:bottom w:val="single" w:color="000000" w:sz="4" w:space="0"/>
              <w:right w:val="single" w:color="auto" w:sz="4" w:space="0"/>
            </w:tcBorders>
            <w:vAlign w:val="center"/>
          </w:tcPr>
          <w:p w14:paraId="52EC519F">
            <w:pPr>
              <w:pStyle w:val="322"/>
              <w:adjustRightInd w:val="0"/>
              <w:snapToGrid w:val="0"/>
              <w:spacing w:line="300" w:lineRule="exact"/>
              <w:rPr>
                <w:rFonts w:hint="eastAsia" w:cs="宋体"/>
                <w:bCs/>
                <w:snapToGrid w:val="0"/>
                <w:color w:val="000000" w:themeColor="text1"/>
                <w:w w:val="100"/>
                <w:kern w:val="0"/>
                <w:sz w:val="21"/>
                <w:szCs w:val="21"/>
                <w14:textFill>
                  <w14:solidFill>
                    <w14:schemeClr w14:val="tx1"/>
                  </w14:solidFill>
                </w14:textFill>
              </w:rPr>
            </w:pPr>
            <w:r>
              <w:rPr>
                <w:rFonts w:hint="eastAsia" w:cs="宋体"/>
                <w:bCs/>
                <w:snapToGrid w:val="0"/>
                <w:color w:val="000000" w:themeColor="text1"/>
                <w:w w:val="100"/>
                <w:kern w:val="0"/>
                <w:sz w:val="21"/>
                <w:szCs w:val="21"/>
                <w14:textFill>
                  <w14:solidFill>
                    <w14:schemeClr w14:val="tx1"/>
                  </w14:solidFill>
                </w14:textFill>
              </w:rPr>
              <w:t>7996.16</w:t>
            </w:r>
          </w:p>
        </w:tc>
        <w:tc>
          <w:tcPr>
            <w:tcW w:w="934" w:type="pct"/>
            <w:tcBorders>
              <w:top w:val="single" w:color="000000" w:sz="4" w:space="0"/>
              <w:left w:val="single" w:color="auto" w:sz="4" w:space="0"/>
              <w:bottom w:val="single" w:color="000000" w:sz="4" w:space="0"/>
              <w:right w:val="nil"/>
            </w:tcBorders>
            <w:vAlign w:val="center"/>
          </w:tcPr>
          <w:p w14:paraId="4F0423E5">
            <w:pPr>
              <w:pStyle w:val="322"/>
              <w:adjustRightInd w:val="0"/>
              <w:snapToGrid w:val="0"/>
              <w:spacing w:line="300" w:lineRule="exact"/>
              <w:rPr>
                <w:rFonts w:hint="eastAsia" w:cs="宋体"/>
                <w:bCs/>
                <w:snapToGrid w:val="0"/>
                <w:color w:val="000000" w:themeColor="text1"/>
                <w:w w:val="100"/>
                <w:kern w:val="0"/>
                <w:sz w:val="21"/>
                <w:szCs w:val="21"/>
                <w14:textFill>
                  <w14:solidFill>
                    <w14:schemeClr w14:val="tx1"/>
                  </w14:solidFill>
                </w14:textFill>
              </w:rPr>
            </w:pPr>
            <w:r>
              <w:rPr>
                <w:rFonts w:hint="eastAsia" w:cs="宋体"/>
                <w:bCs/>
                <w:snapToGrid w:val="0"/>
                <w:color w:val="000000" w:themeColor="text1"/>
                <w:w w:val="100"/>
                <w:kern w:val="0"/>
                <w:sz w:val="21"/>
                <w:szCs w:val="21"/>
                <w14:textFill>
                  <w14:solidFill>
                    <w14:schemeClr w14:val="tx1"/>
                  </w14:solidFill>
                </w14:textFill>
              </w:rPr>
              <w:t>0.333</w:t>
            </w:r>
          </w:p>
        </w:tc>
      </w:tr>
      <w:bookmarkEnd w:id="323"/>
      <w:tr w14:paraId="05F613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300" w:type="pct"/>
            <w:tcBorders>
              <w:left w:val="nil"/>
              <w:right w:val="single" w:color="auto" w:sz="4" w:space="0"/>
            </w:tcBorders>
            <w:vAlign w:val="center"/>
          </w:tcPr>
          <w:p w14:paraId="3024E487">
            <w:pPr>
              <w:pStyle w:val="322"/>
              <w:adjustRightInd w:val="0"/>
              <w:snapToGrid w:val="0"/>
              <w:spacing w:line="300" w:lineRule="exact"/>
              <w:rPr>
                <w:rFonts w:hint="eastAsia" w:cs="宋体"/>
                <w:snapToGrid w:val="0"/>
                <w:color w:val="000000" w:themeColor="text1"/>
                <w:w w:val="100"/>
                <w:kern w:val="0"/>
                <w:sz w:val="21"/>
                <w:szCs w:val="21"/>
                <w14:textFill>
                  <w14:solidFill>
                    <w14:schemeClr w14:val="tx1"/>
                  </w14:solidFill>
                </w14:textFill>
              </w:rPr>
            </w:pPr>
            <w:r>
              <w:rPr>
                <w:rFonts w:hint="eastAsia" w:cs="宋体"/>
                <w:snapToGrid w:val="0"/>
                <w:color w:val="000000" w:themeColor="text1"/>
                <w:w w:val="100"/>
                <w:kern w:val="0"/>
                <w:sz w:val="21"/>
                <w:szCs w:val="21"/>
                <w14:textFill>
                  <w14:solidFill>
                    <w14:schemeClr w14:val="tx1"/>
                  </w14:solidFill>
                </w14:textFill>
              </w:rPr>
              <w:t>合计</w:t>
            </w:r>
          </w:p>
        </w:tc>
        <w:tc>
          <w:tcPr>
            <w:tcW w:w="893" w:type="pct"/>
            <w:tcBorders>
              <w:top w:val="single" w:color="000000" w:sz="4" w:space="0"/>
              <w:left w:val="single" w:color="000000" w:sz="4" w:space="0"/>
              <w:bottom w:val="single" w:color="000000" w:sz="4" w:space="0"/>
              <w:right w:val="single" w:color="auto" w:sz="4" w:space="0"/>
            </w:tcBorders>
          </w:tcPr>
          <w:p w14:paraId="125FE630">
            <w:pPr>
              <w:pStyle w:val="322"/>
              <w:adjustRightInd w:val="0"/>
              <w:snapToGrid w:val="0"/>
              <w:spacing w:line="300" w:lineRule="exact"/>
              <w:rPr>
                <w:rFonts w:hint="eastAsia" w:cs="宋体"/>
                <w:bCs/>
                <w:snapToGrid w:val="0"/>
                <w:color w:val="000000" w:themeColor="text1"/>
                <w:w w:val="100"/>
                <w:kern w:val="0"/>
                <w:sz w:val="21"/>
                <w:szCs w:val="21"/>
                <w14:textFill>
                  <w14:solidFill>
                    <w14:schemeClr w14:val="tx1"/>
                  </w14:solidFill>
                </w14:textFill>
              </w:rPr>
            </w:pPr>
            <w:r>
              <w:rPr>
                <w:rFonts w:hint="eastAsia" w:cs="宋体"/>
                <w:bCs/>
                <w:snapToGrid w:val="0"/>
                <w:color w:val="000000" w:themeColor="text1"/>
                <w:w w:val="100"/>
                <w:kern w:val="0"/>
                <w:sz w:val="21"/>
                <w:szCs w:val="21"/>
                <w14:textFill>
                  <w14:solidFill>
                    <w14:schemeClr w14:val="tx1"/>
                  </w14:solidFill>
                </w14:textFill>
              </w:rPr>
              <w:t>/</w:t>
            </w:r>
          </w:p>
        </w:tc>
        <w:tc>
          <w:tcPr>
            <w:tcW w:w="938" w:type="pct"/>
            <w:tcBorders>
              <w:top w:val="single" w:color="000000" w:sz="4" w:space="0"/>
              <w:left w:val="single" w:color="auto" w:sz="4" w:space="0"/>
              <w:bottom w:val="single" w:color="000000" w:sz="4" w:space="0"/>
              <w:right w:val="single" w:color="auto" w:sz="4" w:space="0"/>
            </w:tcBorders>
            <w:vAlign w:val="center"/>
          </w:tcPr>
          <w:p w14:paraId="040E7C6F">
            <w:pPr>
              <w:pStyle w:val="322"/>
              <w:adjustRightInd w:val="0"/>
              <w:snapToGrid w:val="0"/>
              <w:spacing w:line="300" w:lineRule="exact"/>
              <w:rPr>
                <w:rFonts w:hint="eastAsia" w:cs="宋体"/>
                <w:bCs/>
                <w:snapToGrid w:val="0"/>
                <w:color w:val="000000" w:themeColor="text1"/>
                <w:w w:val="100"/>
                <w:kern w:val="0"/>
                <w:sz w:val="21"/>
                <w:szCs w:val="21"/>
                <w14:textFill>
                  <w14:solidFill>
                    <w14:schemeClr w14:val="tx1"/>
                  </w14:solidFill>
                </w14:textFill>
              </w:rPr>
            </w:pPr>
            <w:r>
              <w:rPr>
                <w:rFonts w:hint="eastAsia" w:cs="宋体"/>
                <w:bCs/>
                <w:snapToGrid w:val="0"/>
                <w:color w:val="000000" w:themeColor="text1"/>
                <w:w w:val="100"/>
                <w:kern w:val="0"/>
                <w:sz w:val="21"/>
                <w:szCs w:val="21"/>
                <w14:textFill>
                  <w14:solidFill>
                    <w14:schemeClr w14:val="tx1"/>
                  </w14:solidFill>
                </w14:textFill>
              </w:rPr>
              <w:t>1.338</w:t>
            </w:r>
          </w:p>
        </w:tc>
        <w:tc>
          <w:tcPr>
            <w:tcW w:w="935" w:type="pct"/>
            <w:tcBorders>
              <w:top w:val="single" w:color="000000" w:sz="4" w:space="0"/>
              <w:left w:val="single" w:color="auto" w:sz="4" w:space="0"/>
              <w:bottom w:val="single" w:color="000000" w:sz="4" w:space="0"/>
              <w:right w:val="single" w:color="auto" w:sz="4" w:space="0"/>
            </w:tcBorders>
            <w:vAlign w:val="center"/>
          </w:tcPr>
          <w:p w14:paraId="3AC85C42">
            <w:pPr>
              <w:pStyle w:val="322"/>
              <w:adjustRightInd w:val="0"/>
              <w:snapToGrid w:val="0"/>
              <w:spacing w:line="300" w:lineRule="exact"/>
              <w:rPr>
                <w:rFonts w:hint="eastAsia" w:cs="宋体"/>
                <w:bCs/>
                <w:snapToGrid w:val="0"/>
                <w:color w:val="000000" w:themeColor="text1"/>
                <w:w w:val="100"/>
                <w:kern w:val="0"/>
                <w:sz w:val="21"/>
                <w:szCs w:val="21"/>
                <w14:textFill>
                  <w14:solidFill>
                    <w14:schemeClr w14:val="tx1"/>
                  </w14:solidFill>
                </w14:textFill>
              </w:rPr>
            </w:pPr>
            <w:r>
              <w:rPr>
                <w:rFonts w:hint="eastAsia" w:cs="宋体"/>
                <w:bCs/>
                <w:snapToGrid w:val="0"/>
                <w:color w:val="000000" w:themeColor="text1"/>
                <w:w w:val="100"/>
                <w:kern w:val="0"/>
                <w:sz w:val="21"/>
                <w:szCs w:val="21"/>
                <w14:textFill>
                  <w14:solidFill>
                    <w14:schemeClr w14:val="tx1"/>
                  </w14:solidFill>
                </w14:textFill>
              </w:rPr>
              <w:t>8628.117</w:t>
            </w:r>
          </w:p>
        </w:tc>
        <w:tc>
          <w:tcPr>
            <w:tcW w:w="934" w:type="pct"/>
            <w:tcBorders>
              <w:top w:val="single" w:color="000000" w:sz="4" w:space="0"/>
              <w:left w:val="single" w:color="auto" w:sz="4" w:space="0"/>
              <w:bottom w:val="single" w:color="000000" w:sz="4" w:space="0"/>
              <w:right w:val="nil"/>
            </w:tcBorders>
            <w:vAlign w:val="center"/>
          </w:tcPr>
          <w:p w14:paraId="338810B7">
            <w:pPr>
              <w:pStyle w:val="322"/>
              <w:adjustRightInd w:val="0"/>
              <w:snapToGrid w:val="0"/>
              <w:spacing w:line="300" w:lineRule="exact"/>
              <w:rPr>
                <w:rFonts w:hint="eastAsia" w:cs="宋体"/>
                <w:bCs/>
                <w:snapToGrid w:val="0"/>
                <w:color w:val="000000" w:themeColor="text1"/>
                <w:w w:val="100"/>
                <w:kern w:val="0"/>
                <w:sz w:val="21"/>
                <w:szCs w:val="21"/>
                <w14:textFill>
                  <w14:solidFill>
                    <w14:schemeClr w14:val="tx1"/>
                  </w14:solidFill>
                </w14:textFill>
              </w:rPr>
            </w:pPr>
            <w:r>
              <w:rPr>
                <w:rFonts w:hint="eastAsia" w:cs="宋体"/>
                <w:bCs/>
                <w:snapToGrid w:val="0"/>
                <w:color w:val="000000" w:themeColor="text1"/>
                <w:w w:val="100"/>
                <w:kern w:val="0"/>
                <w:sz w:val="21"/>
                <w:szCs w:val="21"/>
                <w14:textFill>
                  <w14:solidFill>
                    <w14:schemeClr w14:val="tx1"/>
                  </w14:solidFill>
                </w14:textFill>
              </w:rPr>
              <w:t>0.359</w:t>
            </w:r>
          </w:p>
        </w:tc>
      </w:tr>
      <w:bookmarkEnd w:id="322"/>
    </w:tbl>
    <w:p w14:paraId="4C671D99">
      <w:pPr>
        <w:adjustRightInd w:val="0"/>
        <w:snapToGrid w:val="0"/>
        <w:spacing w:line="500" w:lineRule="exact"/>
        <w:ind w:firstLine="480" w:firstLineChars="200"/>
        <w:jc w:val="left"/>
        <w:textAlignment w:val="baseline"/>
        <w:rPr>
          <w:rFonts w:hint="eastAsia"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③温室气体排放</w:t>
      </w:r>
    </w:p>
    <w:p w14:paraId="2AE760C2">
      <w:pPr>
        <w:pStyle w:val="191"/>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根据</w:t>
      </w:r>
      <w:bookmarkStart w:id="324" w:name="_Hlk164162522"/>
      <w:r>
        <w:rPr>
          <w:rFonts w:hint="eastAsia"/>
          <w:color w:val="000000" w:themeColor="text1"/>
          <w14:textFill>
            <w14:solidFill>
              <w14:schemeClr w14:val="tx1"/>
            </w14:solidFill>
          </w14:textFill>
        </w:rPr>
        <w:t>《中国石油天然气生产企业温室气体排放核算方法与报告指南（试行）》</w:t>
      </w:r>
      <w:bookmarkEnd w:id="324"/>
      <w:r>
        <w:rPr>
          <w:rFonts w:hint="eastAsia"/>
          <w:color w:val="000000" w:themeColor="text1"/>
          <w14:textFill>
            <w14:solidFill>
              <w14:schemeClr w14:val="tx1"/>
            </w14:solidFill>
          </w14:textFill>
        </w:rPr>
        <w:t>，石油天然气开采企业碳排放源主要包括：燃料燃烧</w:t>
      </w:r>
      <w:bookmarkStart w:id="325" w:name="OLE_LINK84"/>
      <w:r>
        <w:rPr>
          <w:rFonts w:hint="eastAsia"/>
          <w:color w:val="000000" w:themeColor="text1"/>
          <w14:textFill>
            <w14:solidFill>
              <w14:schemeClr w14:val="tx1"/>
            </w14:solidFill>
          </w14:textFill>
        </w:rPr>
        <w:t>CO</w:t>
      </w:r>
      <w:r>
        <w:rPr>
          <w:rFonts w:hint="eastAsia"/>
          <w:color w:val="000000" w:themeColor="text1"/>
          <w:vertAlign w:val="subscript"/>
          <w14:textFill>
            <w14:solidFill>
              <w14:schemeClr w14:val="tx1"/>
            </w14:solidFill>
          </w14:textFill>
        </w:rPr>
        <w:t>2</w:t>
      </w:r>
      <w:r>
        <w:rPr>
          <w:rFonts w:hint="eastAsia"/>
          <w:color w:val="000000" w:themeColor="text1"/>
          <w14:textFill>
            <w14:solidFill>
              <w14:schemeClr w14:val="tx1"/>
            </w14:solidFill>
          </w14:textFill>
        </w:rPr>
        <w:t>排放</w:t>
      </w:r>
      <w:bookmarkEnd w:id="325"/>
      <w:r>
        <w:rPr>
          <w:rFonts w:hint="eastAsia"/>
          <w:color w:val="000000" w:themeColor="text1"/>
          <w14:textFill>
            <w14:solidFill>
              <w14:schemeClr w14:val="tx1"/>
            </w14:solidFill>
          </w14:textFill>
        </w:rPr>
        <w:t>、火炬燃烧和CH</w:t>
      </w:r>
      <w:r>
        <w:rPr>
          <w:rFonts w:hint="eastAsia"/>
          <w:color w:val="000000" w:themeColor="text1"/>
          <w:vertAlign w:val="subscript"/>
          <w14:textFill>
            <w14:solidFill>
              <w14:schemeClr w14:val="tx1"/>
            </w14:solidFill>
          </w14:textFill>
        </w:rPr>
        <w:t>4</w:t>
      </w:r>
      <w:r>
        <w:rPr>
          <w:rFonts w:hint="eastAsia"/>
          <w:color w:val="000000" w:themeColor="text1"/>
          <w14:textFill>
            <w14:solidFill>
              <w14:schemeClr w14:val="tx1"/>
            </w14:solidFill>
          </w14:textFill>
        </w:rPr>
        <w:t>排放、</w:t>
      </w:r>
      <w:bookmarkStart w:id="326" w:name="OLE_LINK76"/>
      <w:r>
        <w:rPr>
          <w:rFonts w:hint="eastAsia"/>
          <w:color w:val="000000" w:themeColor="text1"/>
          <w14:textFill>
            <w14:solidFill>
              <w14:schemeClr w14:val="tx1"/>
            </w14:solidFill>
          </w14:textFill>
        </w:rPr>
        <w:t>工艺放空CO</w:t>
      </w:r>
      <w:r>
        <w:rPr>
          <w:rFonts w:hint="eastAsia"/>
          <w:color w:val="000000" w:themeColor="text1"/>
          <w:vertAlign w:val="subscript"/>
          <w14:textFill>
            <w14:solidFill>
              <w14:schemeClr w14:val="tx1"/>
            </w14:solidFill>
          </w14:textFill>
        </w:rPr>
        <w:t>2</w:t>
      </w:r>
      <w:r>
        <w:rPr>
          <w:rFonts w:hint="eastAsia"/>
          <w:color w:val="000000" w:themeColor="text1"/>
          <w14:textFill>
            <w14:solidFill>
              <w14:schemeClr w14:val="tx1"/>
            </w14:solidFill>
          </w14:textFill>
        </w:rPr>
        <w:t>和CH</w:t>
      </w:r>
      <w:r>
        <w:rPr>
          <w:rFonts w:hint="eastAsia"/>
          <w:color w:val="000000" w:themeColor="text1"/>
          <w:vertAlign w:val="subscript"/>
          <w14:textFill>
            <w14:solidFill>
              <w14:schemeClr w14:val="tx1"/>
            </w14:solidFill>
          </w14:textFill>
        </w:rPr>
        <w:t>4</w:t>
      </w:r>
      <w:r>
        <w:rPr>
          <w:rFonts w:hint="eastAsia"/>
          <w:color w:val="000000" w:themeColor="text1"/>
          <w14:textFill>
            <w14:solidFill>
              <w14:schemeClr w14:val="tx1"/>
            </w14:solidFill>
          </w14:textFill>
        </w:rPr>
        <w:t>排放</w:t>
      </w:r>
      <w:bookmarkEnd w:id="326"/>
      <w:r>
        <w:rPr>
          <w:rFonts w:hint="eastAsia"/>
          <w:color w:val="000000" w:themeColor="text1"/>
          <w14:textFill>
            <w14:solidFill>
              <w14:schemeClr w14:val="tx1"/>
            </w14:solidFill>
          </w14:textFill>
        </w:rPr>
        <w:t>、设备泄漏CH</w:t>
      </w:r>
      <w:r>
        <w:rPr>
          <w:rFonts w:hint="eastAsia"/>
          <w:color w:val="000000" w:themeColor="text1"/>
          <w:vertAlign w:val="subscript"/>
          <w14:textFill>
            <w14:solidFill>
              <w14:schemeClr w14:val="tx1"/>
            </w14:solidFill>
          </w14:textFill>
        </w:rPr>
        <w:t>4</w:t>
      </w:r>
      <w:r>
        <w:rPr>
          <w:rFonts w:hint="eastAsia"/>
          <w:color w:val="000000" w:themeColor="text1"/>
          <w14:textFill>
            <w14:solidFill>
              <w14:schemeClr w14:val="tx1"/>
            </w14:solidFill>
          </w14:textFill>
        </w:rPr>
        <w:t>逃逸排放、CH</w:t>
      </w:r>
      <w:r>
        <w:rPr>
          <w:rFonts w:hint="eastAsia"/>
          <w:color w:val="000000" w:themeColor="text1"/>
          <w:vertAlign w:val="subscript"/>
          <w14:textFill>
            <w14:solidFill>
              <w14:schemeClr w14:val="tx1"/>
            </w14:solidFill>
          </w14:textFill>
        </w:rPr>
        <w:t>4</w:t>
      </w:r>
      <w:r>
        <w:rPr>
          <w:rFonts w:hint="eastAsia"/>
          <w:color w:val="000000" w:themeColor="text1"/>
          <w14:textFill>
            <w14:solidFill>
              <w14:schemeClr w14:val="tx1"/>
            </w14:solidFill>
          </w14:textFill>
        </w:rPr>
        <w:t>回收利用量、CO</w:t>
      </w:r>
      <w:r>
        <w:rPr>
          <w:rFonts w:hint="eastAsia"/>
          <w:color w:val="000000" w:themeColor="text1"/>
          <w:vertAlign w:val="subscript"/>
          <w14:textFill>
            <w14:solidFill>
              <w14:schemeClr w14:val="tx1"/>
            </w14:solidFill>
          </w14:textFill>
        </w:rPr>
        <w:t>2</w:t>
      </w:r>
      <w:r>
        <w:rPr>
          <w:rFonts w:hint="eastAsia"/>
          <w:color w:val="000000" w:themeColor="text1"/>
          <w14:textFill>
            <w14:solidFill>
              <w14:schemeClr w14:val="tx1"/>
            </w14:solidFill>
          </w14:textFill>
        </w:rPr>
        <w:t>回收利用量、净购入电力和热力隐含的CO</w:t>
      </w:r>
      <w:r>
        <w:rPr>
          <w:rFonts w:hint="eastAsia"/>
          <w:color w:val="000000" w:themeColor="text1"/>
          <w:vertAlign w:val="subscript"/>
          <w14:textFill>
            <w14:solidFill>
              <w14:schemeClr w14:val="tx1"/>
            </w14:solidFill>
          </w14:textFill>
        </w:rPr>
        <w:t>2</w:t>
      </w:r>
      <w:r>
        <w:rPr>
          <w:rFonts w:hint="eastAsia"/>
          <w:color w:val="000000" w:themeColor="text1"/>
          <w14:textFill>
            <w14:solidFill>
              <w14:schemeClr w14:val="tx1"/>
            </w14:solidFill>
          </w14:textFill>
        </w:rPr>
        <w:t>排放，公式如下：</w:t>
      </w:r>
    </w:p>
    <w:p w14:paraId="0977B4B8">
      <w:pPr>
        <w:pStyle w:val="191"/>
        <w:spacing w:line="360" w:lineRule="auto"/>
        <w:ind w:firstLine="0" w:firstLineChars="0"/>
        <w:jc w:val="center"/>
        <w:rPr>
          <w:rFonts w:hint="eastAsia"/>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5437505" cy="980440"/>
            <wp:effectExtent l="0" t="0" r="0" b="0"/>
            <wp:docPr id="900" name="图片 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0" name="图片 900"/>
                    <pic:cNvPicPr>
                      <a:picLocks noChangeAspect="1"/>
                    </pic:cNvPicPr>
                  </pic:nvPicPr>
                  <pic:blipFill>
                    <a:blip r:embed="rId12"/>
                    <a:stretch>
                      <a:fillRect/>
                    </a:stretch>
                  </pic:blipFill>
                  <pic:spPr>
                    <a:xfrm>
                      <a:off x="0" y="0"/>
                      <a:ext cx="5438095" cy="980952"/>
                    </a:xfrm>
                    <a:prstGeom prst="rect">
                      <a:avLst/>
                    </a:prstGeom>
                  </pic:spPr>
                </pic:pic>
              </a:graphicData>
            </a:graphic>
          </wp:inline>
        </w:drawing>
      </w:r>
    </w:p>
    <w:p w14:paraId="505C99D6">
      <w:pPr>
        <w:pStyle w:val="191"/>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本项目无燃料燃烧CO</w:t>
      </w:r>
      <w:r>
        <w:rPr>
          <w:rFonts w:hint="eastAsia"/>
          <w:color w:val="000000" w:themeColor="text1"/>
          <w:vertAlign w:val="subscript"/>
          <w14:textFill>
            <w14:solidFill>
              <w14:schemeClr w14:val="tx1"/>
            </w14:solidFill>
          </w14:textFill>
        </w:rPr>
        <w:t>2</w:t>
      </w:r>
      <w:r>
        <w:rPr>
          <w:rFonts w:hint="eastAsia"/>
          <w:color w:val="000000" w:themeColor="text1"/>
          <w14:textFill>
            <w14:solidFill>
              <w14:schemeClr w14:val="tx1"/>
            </w14:solidFill>
          </w14:textFill>
        </w:rPr>
        <w:t>排放、工艺回收工艺放空CO</w:t>
      </w:r>
      <w:r>
        <w:rPr>
          <w:rFonts w:hint="eastAsia"/>
          <w:color w:val="000000" w:themeColor="text1"/>
          <w:vertAlign w:val="subscript"/>
          <w14:textFill>
            <w14:solidFill>
              <w14:schemeClr w14:val="tx1"/>
            </w14:solidFill>
          </w14:textFill>
        </w:rPr>
        <w:t>2</w:t>
      </w:r>
      <w:r>
        <w:rPr>
          <w:rFonts w:hint="eastAsia"/>
          <w:color w:val="000000" w:themeColor="text1"/>
          <w14:textFill>
            <w14:solidFill>
              <w14:schemeClr w14:val="tx1"/>
            </w14:solidFill>
          </w14:textFill>
        </w:rPr>
        <w:t>和CH</w:t>
      </w:r>
      <w:r>
        <w:rPr>
          <w:rFonts w:hint="eastAsia"/>
          <w:color w:val="000000" w:themeColor="text1"/>
          <w:vertAlign w:val="subscript"/>
          <w14:textFill>
            <w14:solidFill>
              <w14:schemeClr w14:val="tx1"/>
            </w14:solidFill>
          </w14:textFill>
        </w:rPr>
        <w:t>4</w:t>
      </w:r>
      <w:r>
        <w:rPr>
          <w:rFonts w:hint="eastAsia"/>
          <w:color w:val="000000" w:themeColor="text1"/>
          <w14:textFill>
            <w14:solidFill>
              <w14:schemeClr w14:val="tx1"/>
            </w14:solidFill>
          </w14:textFill>
        </w:rPr>
        <w:t>排放、无净购热力隐含的CO</w:t>
      </w:r>
      <w:r>
        <w:rPr>
          <w:rFonts w:hint="eastAsia"/>
          <w:color w:val="000000" w:themeColor="text1"/>
          <w:vertAlign w:val="subscript"/>
          <w14:textFill>
            <w14:solidFill>
              <w14:schemeClr w14:val="tx1"/>
            </w14:solidFill>
          </w14:textFill>
        </w:rPr>
        <w:t>2</w:t>
      </w:r>
      <w:r>
        <w:rPr>
          <w:rFonts w:hint="eastAsia"/>
          <w:color w:val="000000" w:themeColor="text1"/>
          <w14:textFill>
            <w14:solidFill>
              <w14:schemeClr w14:val="tx1"/>
            </w14:solidFill>
          </w14:textFill>
        </w:rPr>
        <w:t>排放，涉及温室气体排放的环节为原油开采、处理过程中CH</w:t>
      </w:r>
      <w:r>
        <w:rPr>
          <w:rFonts w:hint="eastAsia"/>
          <w:color w:val="000000" w:themeColor="text1"/>
          <w:vertAlign w:val="subscript"/>
          <w14:textFill>
            <w14:solidFill>
              <w14:schemeClr w14:val="tx1"/>
            </w14:solidFill>
          </w14:textFill>
        </w:rPr>
        <w:t>4</w:t>
      </w:r>
      <w:r>
        <w:rPr>
          <w:rFonts w:hint="eastAsia"/>
          <w:color w:val="000000" w:themeColor="text1"/>
          <w14:textFill>
            <w14:solidFill>
              <w14:schemeClr w14:val="tx1"/>
            </w14:solidFill>
          </w14:textFill>
        </w:rPr>
        <w:t>排放、火炬燃烧CO</w:t>
      </w:r>
      <w:r>
        <w:rPr>
          <w:rFonts w:hint="eastAsia"/>
          <w:color w:val="000000" w:themeColor="text1"/>
          <w:vertAlign w:val="subscript"/>
          <w14:textFill>
            <w14:solidFill>
              <w14:schemeClr w14:val="tx1"/>
            </w14:solidFill>
          </w14:textFill>
        </w:rPr>
        <w:t>2</w:t>
      </w:r>
      <w:r>
        <w:rPr>
          <w:rFonts w:hint="eastAsia"/>
          <w:color w:val="000000" w:themeColor="text1"/>
          <w14:textFill>
            <w14:solidFill>
              <w14:schemeClr w14:val="tx1"/>
            </w14:solidFill>
          </w14:textFill>
        </w:rPr>
        <w:t>排放和CH</w:t>
      </w:r>
      <w:r>
        <w:rPr>
          <w:rFonts w:hint="eastAsia"/>
          <w:color w:val="000000" w:themeColor="text1"/>
          <w:vertAlign w:val="subscript"/>
          <w14:textFill>
            <w14:solidFill>
              <w14:schemeClr w14:val="tx1"/>
            </w14:solidFill>
          </w14:textFill>
        </w:rPr>
        <w:t>4</w:t>
      </w:r>
      <w:r>
        <w:rPr>
          <w:rFonts w:hint="eastAsia"/>
          <w:color w:val="000000" w:themeColor="text1"/>
          <w14:textFill>
            <w14:solidFill>
              <w14:schemeClr w14:val="tx1"/>
            </w14:solidFill>
          </w14:textFill>
        </w:rPr>
        <w:t>排放</w:t>
      </w:r>
      <w:bookmarkStart w:id="327" w:name="_Hlk162001575"/>
      <w:r>
        <w:rPr>
          <w:rFonts w:hint="eastAsia"/>
          <w:color w:val="000000" w:themeColor="text1"/>
          <w14:textFill>
            <w14:solidFill>
              <w14:schemeClr w14:val="tx1"/>
            </w14:solidFill>
          </w14:textFill>
        </w:rPr>
        <w:t>、净购入电力隐含的CO</w:t>
      </w:r>
      <w:r>
        <w:rPr>
          <w:rFonts w:hint="eastAsia"/>
          <w:color w:val="000000" w:themeColor="text1"/>
          <w:vertAlign w:val="subscript"/>
          <w14:textFill>
            <w14:solidFill>
              <w14:schemeClr w14:val="tx1"/>
            </w14:solidFill>
          </w14:textFill>
        </w:rPr>
        <w:t>2</w:t>
      </w:r>
      <w:r>
        <w:rPr>
          <w:rFonts w:hint="eastAsia"/>
          <w:color w:val="000000" w:themeColor="text1"/>
          <w14:textFill>
            <w14:solidFill>
              <w14:schemeClr w14:val="tx1"/>
            </w14:solidFill>
          </w14:textFill>
        </w:rPr>
        <w:t>排放</w:t>
      </w:r>
      <w:bookmarkEnd w:id="327"/>
      <w:r>
        <w:rPr>
          <w:rFonts w:hint="eastAsia"/>
          <w:color w:val="000000" w:themeColor="text1"/>
          <w14:textFill>
            <w14:solidFill>
              <w14:schemeClr w14:val="tx1"/>
            </w14:solidFill>
          </w14:textFill>
        </w:rPr>
        <w:t>。</w:t>
      </w:r>
    </w:p>
    <w:p w14:paraId="0B8679EB">
      <w:pPr>
        <w:pStyle w:val="191"/>
        <w:ind w:firstLine="480"/>
        <w:rPr>
          <w:rFonts w:hint="eastAsia"/>
          <w:color w:val="000000" w:themeColor="text1"/>
          <w14:textFill>
            <w14:solidFill>
              <w14:schemeClr w14:val="tx1"/>
            </w14:solidFill>
          </w14:textFill>
        </w:rPr>
      </w:pPr>
      <w:bookmarkStart w:id="328" w:name="OLE_LINK127"/>
      <w:r>
        <w:rPr>
          <w:rFonts w:hint="eastAsia"/>
          <w:color w:val="000000" w:themeColor="text1"/>
          <w14:textFill>
            <w14:solidFill>
              <w14:schemeClr w14:val="tx1"/>
            </w14:solidFill>
          </w14:textFill>
        </w:rPr>
        <w:t>※</w:t>
      </w:r>
      <w:bookmarkEnd w:id="328"/>
      <w:r>
        <w:rPr>
          <w:rFonts w:hint="eastAsia"/>
          <w:color w:val="000000" w:themeColor="text1"/>
          <w14:textFill>
            <w14:solidFill>
              <w14:schemeClr w14:val="tx1"/>
            </w14:solidFill>
          </w14:textFill>
        </w:rPr>
        <w:t>原油开采过程中CH</w:t>
      </w:r>
      <w:r>
        <w:rPr>
          <w:rFonts w:hint="eastAsia"/>
          <w:color w:val="000000" w:themeColor="text1"/>
          <w:vertAlign w:val="subscript"/>
          <w14:textFill>
            <w14:solidFill>
              <w14:schemeClr w14:val="tx1"/>
            </w14:solidFill>
          </w14:textFill>
        </w:rPr>
        <w:t>4</w:t>
      </w:r>
      <w:r>
        <w:rPr>
          <w:rFonts w:hint="eastAsia"/>
          <w:color w:val="000000" w:themeColor="text1"/>
          <w14:textFill>
            <w14:solidFill>
              <w14:schemeClr w14:val="tx1"/>
            </w14:solidFill>
          </w14:textFill>
        </w:rPr>
        <w:t>逃逸排放量</w:t>
      </w:r>
    </w:p>
    <w:p w14:paraId="40FFD150">
      <w:pPr>
        <w:pStyle w:val="191"/>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页岩油开采过程中CH</w:t>
      </w:r>
      <w:r>
        <w:rPr>
          <w:rFonts w:hint="eastAsia"/>
          <w:color w:val="000000" w:themeColor="text1"/>
          <w:vertAlign w:val="subscript"/>
          <w14:textFill>
            <w14:solidFill>
              <w14:schemeClr w14:val="tx1"/>
            </w14:solidFill>
          </w14:textFill>
        </w:rPr>
        <w:t>4</w:t>
      </w:r>
      <w:r>
        <w:rPr>
          <w:rFonts w:hint="eastAsia"/>
          <w:color w:val="000000" w:themeColor="text1"/>
          <w14:textFill>
            <w14:solidFill>
              <w14:schemeClr w14:val="tx1"/>
            </w14:solidFill>
          </w14:textFill>
        </w:rPr>
        <w:t>逃逸排放量按照下式计算：</w:t>
      </w:r>
    </w:p>
    <w:p w14:paraId="310DB298">
      <w:pPr>
        <w:pStyle w:val="191"/>
        <w:ind w:firstLine="480"/>
        <w:rPr>
          <w:rFonts w:hint="eastAsia"/>
          <w:color w:val="000000" w:themeColor="text1"/>
          <w14:textFill>
            <w14:solidFill>
              <w14:schemeClr w14:val="tx1"/>
            </w14:solidFill>
          </w14:textFill>
        </w:rPr>
      </w:pPr>
      <w:r>
        <w:rPr>
          <w:color w:val="000000" w:themeColor="text1"/>
          <w14:textFill>
            <w14:solidFill>
              <w14:schemeClr w14:val="tx1"/>
            </w14:solidFill>
          </w14:textFill>
        </w:rPr>
        <w:drawing>
          <wp:anchor distT="0" distB="0" distL="114300" distR="114300" simplePos="0" relativeHeight="251671552" behindDoc="1" locked="0" layoutInCell="1" allowOverlap="1">
            <wp:simplePos x="0" y="0"/>
            <wp:positionH relativeFrom="margin">
              <wp:align>center</wp:align>
            </wp:positionH>
            <wp:positionV relativeFrom="paragraph">
              <wp:posOffset>50800</wp:posOffset>
            </wp:positionV>
            <wp:extent cx="4709160" cy="662940"/>
            <wp:effectExtent l="0" t="0" r="0" b="3810"/>
            <wp:wrapNone/>
            <wp:docPr id="899" name="图片 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 name="图片 89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4709160" cy="662940"/>
                    </a:xfrm>
                    <a:prstGeom prst="rect">
                      <a:avLst/>
                    </a:prstGeom>
                    <a:noFill/>
                    <a:ln>
                      <a:noFill/>
                    </a:ln>
                  </pic:spPr>
                </pic:pic>
              </a:graphicData>
            </a:graphic>
          </wp:anchor>
        </w:drawing>
      </w:r>
    </w:p>
    <w:p w14:paraId="75894476">
      <w:pPr>
        <w:pStyle w:val="191"/>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式中：E</w:t>
      </w:r>
      <w:r>
        <w:rPr>
          <w:rFonts w:hint="eastAsia"/>
          <w:color w:val="000000" w:themeColor="text1"/>
          <w:vertAlign w:val="subscript"/>
          <w14:textFill>
            <w14:solidFill>
              <w14:schemeClr w14:val="tx1"/>
            </w14:solidFill>
          </w14:textFill>
        </w:rPr>
        <w:t>CH4-开采逃逸</w:t>
      </w:r>
      <w:r>
        <w:rPr>
          <w:rFonts w:hint="eastAsia"/>
          <w:color w:val="000000" w:themeColor="text1"/>
          <w14:textFill>
            <w14:solidFill>
              <w14:schemeClr w14:val="tx1"/>
            </w14:solidFill>
          </w14:textFill>
        </w:rPr>
        <w:t>为原油开采或天然气开采中所有设施类型产生的CH</w:t>
      </w:r>
      <w:r>
        <w:rPr>
          <w:rFonts w:hint="eastAsia"/>
          <w:color w:val="000000" w:themeColor="text1"/>
          <w:vertAlign w:val="subscript"/>
          <w14:textFill>
            <w14:solidFill>
              <w14:schemeClr w14:val="tx1"/>
            </w14:solidFill>
          </w14:textFill>
        </w:rPr>
        <w:t>4</w:t>
      </w:r>
      <w:r>
        <w:rPr>
          <w:rFonts w:hint="eastAsia"/>
          <w:color w:val="000000" w:themeColor="text1"/>
          <w14:textFill>
            <w14:solidFill>
              <w14:schemeClr w14:val="tx1"/>
            </w14:solidFill>
          </w14:textFill>
        </w:rPr>
        <w:t>逃逸排放，单位为吨CH</w:t>
      </w:r>
      <w:r>
        <w:rPr>
          <w:rFonts w:hint="eastAsia"/>
          <w:color w:val="000000" w:themeColor="text1"/>
          <w:vertAlign w:val="subscript"/>
          <w14:textFill>
            <w14:solidFill>
              <w14:schemeClr w14:val="tx1"/>
            </w14:solidFill>
          </w14:textFill>
        </w:rPr>
        <w:t>4</w:t>
      </w:r>
      <w:r>
        <w:rPr>
          <w:rFonts w:hint="eastAsia"/>
          <w:color w:val="000000" w:themeColor="text1"/>
          <w14:textFill>
            <w14:solidFill>
              <w14:schemeClr w14:val="tx1"/>
            </w14:solidFill>
          </w14:textFill>
        </w:rPr>
        <w:t>；</w:t>
      </w:r>
    </w:p>
    <w:p w14:paraId="2E145B81">
      <w:pPr>
        <w:pStyle w:val="191"/>
        <w:ind w:firstLine="1200" w:firstLineChars="50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j为不同的设施类型；</w:t>
      </w:r>
    </w:p>
    <w:p w14:paraId="5E07286C">
      <w:pPr>
        <w:pStyle w:val="191"/>
        <w:ind w:firstLine="1200" w:firstLineChars="50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Num</w:t>
      </w:r>
      <w:r>
        <w:rPr>
          <w:rFonts w:hint="eastAsia"/>
          <w:color w:val="000000" w:themeColor="text1"/>
          <w:vertAlign w:val="subscript"/>
          <w14:textFill>
            <w14:solidFill>
              <w14:schemeClr w14:val="tx1"/>
            </w14:solidFill>
          </w14:textFill>
        </w:rPr>
        <w:t>oil,j</w:t>
      </w:r>
      <w:r>
        <w:rPr>
          <w:rFonts w:hint="eastAsia"/>
          <w:color w:val="000000" w:themeColor="text1"/>
          <w14:textFill>
            <w14:solidFill>
              <w14:schemeClr w14:val="tx1"/>
            </w14:solidFill>
          </w14:textFill>
        </w:rPr>
        <w:t>为原油开采业务所涉及的泄漏设施类型数量，单位为个；</w:t>
      </w:r>
    </w:p>
    <w:p w14:paraId="53A698CA">
      <w:pPr>
        <w:pStyle w:val="191"/>
        <w:ind w:firstLine="1200" w:firstLineChars="50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EF</w:t>
      </w:r>
      <w:r>
        <w:rPr>
          <w:rFonts w:hint="eastAsia"/>
          <w:color w:val="000000" w:themeColor="text1"/>
          <w:vertAlign w:val="subscript"/>
          <w14:textFill>
            <w14:solidFill>
              <w14:schemeClr w14:val="tx1"/>
            </w14:solidFill>
          </w14:textFill>
        </w:rPr>
        <w:t>oil,j</w:t>
      </w:r>
      <w:r>
        <w:rPr>
          <w:rFonts w:hint="eastAsia"/>
          <w:color w:val="000000" w:themeColor="text1"/>
          <w14:textFill>
            <w14:solidFill>
              <w14:schemeClr w14:val="tx1"/>
            </w14:solidFill>
          </w14:textFill>
        </w:rPr>
        <w:t>为原油开采业务中涉及的每种设施类型j的CH</w:t>
      </w:r>
      <w:r>
        <w:rPr>
          <w:rFonts w:hint="eastAsia"/>
          <w:color w:val="000000" w:themeColor="text1"/>
          <w:vertAlign w:val="subscript"/>
          <w14:textFill>
            <w14:solidFill>
              <w14:schemeClr w14:val="tx1"/>
            </w14:solidFill>
          </w14:textFill>
        </w:rPr>
        <w:t>4</w:t>
      </w:r>
      <w:r>
        <w:rPr>
          <w:rFonts w:hint="eastAsia"/>
          <w:color w:val="000000" w:themeColor="text1"/>
          <w14:textFill>
            <w14:solidFill>
              <w14:schemeClr w14:val="tx1"/>
            </w14:solidFill>
          </w14:textFill>
        </w:rPr>
        <w:t>逃逸排放因子，单位为吨CH</w:t>
      </w:r>
      <w:r>
        <w:rPr>
          <w:rFonts w:hint="eastAsia"/>
          <w:color w:val="000000" w:themeColor="text1"/>
          <w:vertAlign w:val="subscript"/>
          <w14:textFill>
            <w14:solidFill>
              <w14:schemeClr w14:val="tx1"/>
            </w14:solidFill>
          </w14:textFill>
        </w:rPr>
        <w:t>4</w:t>
      </w:r>
      <w:r>
        <w:rPr>
          <w:rFonts w:hint="eastAsia"/>
          <w:color w:val="000000" w:themeColor="text1"/>
          <w14:textFill>
            <w14:solidFill>
              <w14:schemeClr w14:val="tx1"/>
            </w14:solidFill>
          </w14:textFill>
        </w:rPr>
        <w:t>/（年·个）；</w:t>
      </w:r>
    </w:p>
    <w:p w14:paraId="39406A41">
      <w:pPr>
        <w:pStyle w:val="191"/>
        <w:ind w:firstLine="1200" w:firstLineChars="50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Num</w:t>
      </w:r>
      <w:r>
        <w:rPr>
          <w:rFonts w:hint="eastAsia"/>
          <w:color w:val="000000" w:themeColor="text1"/>
          <w:vertAlign w:val="subscript"/>
          <w14:textFill>
            <w14:solidFill>
              <w14:schemeClr w14:val="tx1"/>
            </w14:solidFill>
          </w14:textFill>
        </w:rPr>
        <w:t>gas,j</w:t>
      </w:r>
      <w:r>
        <w:rPr>
          <w:rFonts w:hint="eastAsia"/>
          <w:color w:val="000000" w:themeColor="text1"/>
          <w14:textFill>
            <w14:solidFill>
              <w14:schemeClr w14:val="tx1"/>
            </w14:solidFill>
          </w14:textFill>
        </w:rPr>
        <w:t>为天然气开采业务所涉及的泄漏设施类型数量，单位为个；</w:t>
      </w:r>
    </w:p>
    <w:p w14:paraId="77391687">
      <w:pPr>
        <w:pStyle w:val="191"/>
        <w:ind w:firstLine="1200" w:firstLineChars="50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EF</w:t>
      </w:r>
      <w:r>
        <w:rPr>
          <w:rFonts w:hint="eastAsia"/>
          <w:color w:val="000000" w:themeColor="text1"/>
          <w:vertAlign w:val="subscript"/>
          <w14:textFill>
            <w14:solidFill>
              <w14:schemeClr w14:val="tx1"/>
            </w14:solidFill>
          </w14:textFill>
        </w:rPr>
        <w:t>gas,j</w:t>
      </w:r>
      <w:r>
        <w:rPr>
          <w:rFonts w:hint="eastAsia"/>
          <w:color w:val="000000" w:themeColor="text1"/>
          <w14:textFill>
            <w14:solidFill>
              <w14:schemeClr w14:val="tx1"/>
            </w14:solidFill>
          </w14:textFill>
        </w:rPr>
        <w:t>为天然气开采业务中涉及的每种设施类型j的CH</w:t>
      </w:r>
      <w:r>
        <w:rPr>
          <w:rFonts w:hint="eastAsia"/>
          <w:color w:val="000000" w:themeColor="text1"/>
          <w:vertAlign w:val="subscript"/>
          <w14:textFill>
            <w14:solidFill>
              <w14:schemeClr w14:val="tx1"/>
            </w14:solidFill>
          </w14:textFill>
        </w:rPr>
        <w:t>4</w:t>
      </w:r>
      <w:r>
        <w:rPr>
          <w:rFonts w:hint="eastAsia"/>
          <w:color w:val="000000" w:themeColor="text1"/>
          <w14:textFill>
            <w14:solidFill>
              <w14:schemeClr w14:val="tx1"/>
            </w14:solidFill>
          </w14:textFill>
        </w:rPr>
        <w:t>逃逸排放因子，单位为吨CH</w:t>
      </w:r>
      <w:r>
        <w:rPr>
          <w:rFonts w:hint="eastAsia"/>
          <w:color w:val="000000" w:themeColor="text1"/>
          <w:vertAlign w:val="subscript"/>
          <w14:textFill>
            <w14:solidFill>
              <w14:schemeClr w14:val="tx1"/>
            </w14:solidFill>
          </w14:textFill>
        </w:rPr>
        <w:t>4</w:t>
      </w:r>
      <w:r>
        <w:rPr>
          <w:rFonts w:hint="eastAsia"/>
          <w:color w:val="000000" w:themeColor="text1"/>
          <w14:textFill>
            <w14:solidFill>
              <w14:schemeClr w14:val="tx1"/>
            </w14:solidFill>
          </w14:textFill>
        </w:rPr>
        <w:t>/（年·个）。</w:t>
      </w:r>
    </w:p>
    <w:p w14:paraId="64222DDB">
      <w:pPr>
        <w:pStyle w:val="191"/>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本项目为页岩油开采，亦属于原油开采，涉及CH</w:t>
      </w:r>
      <w:r>
        <w:rPr>
          <w:rFonts w:hint="eastAsia"/>
          <w:color w:val="000000" w:themeColor="text1"/>
          <w:vertAlign w:val="subscript"/>
          <w14:textFill>
            <w14:solidFill>
              <w14:schemeClr w14:val="tx1"/>
            </w14:solidFill>
          </w14:textFill>
        </w:rPr>
        <w:t>4</w:t>
      </w:r>
      <w:r>
        <w:rPr>
          <w:rFonts w:hint="eastAsia"/>
          <w:color w:val="000000" w:themeColor="text1"/>
          <w14:textFill>
            <w14:solidFill>
              <w14:schemeClr w14:val="tx1"/>
            </w14:solidFill>
          </w14:textFill>
        </w:rPr>
        <w:t>排放的设施主要为井口装置和预处理注入站，9口注采井均为现有采油井改造，故本次不考虑9口注采井的温室气体排放，相关参数取值及计算结果见表3.3-6。</w:t>
      </w:r>
    </w:p>
    <w:p w14:paraId="0E460B4B">
      <w:pPr>
        <w:pStyle w:val="15"/>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表3.3-6  页岩油开采过程甲烷逃逸排放排放量计算参数及结果一览表</w:t>
      </w:r>
    </w:p>
    <w:tbl>
      <w:tblPr>
        <w:tblStyle w:val="51"/>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013"/>
        <w:gridCol w:w="1857"/>
        <w:gridCol w:w="1941"/>
        <w:gridCol w:w="1612"/>
        <w:gridCol w:w="1523"/>
      </w:tblGrid>
      <w:tr w14:paraId="40AF646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25" w:type="pct"/>
            <w:vAlign w:val="center"/>
          </w:tcPr>
          <w:p w14:paraId="302C02D4">
            <w:pPr>
              <w:pStyle w:val="278"/>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场所</w:t>
            </w:r>
          </w:p>
        </w:tc>
        <w:tc>
          <w:tcPr>
            <w:tcW w:w="1038" w:type="pct"/>
            <w:vAlign w:val="center"/>
          </w:tcPr>
          <w:p w14:paraId="23755CE7">
            <w:pPr>
              <w:pStyle w:val="278"/>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逃逸设施</w:t>
            </w:r>
          </w:p>
        </w:tc>
        <w:tc>
          <w:tcPr>
            <w:tcW w:w="1085" w:type="pct"/>
            <w:vAlign w:val="center"/>
          </w:tcPr>
          <w:p w14:paraId="6879D43F">
            <w:pPr>
              <w:pStyle w:val="278"/>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设施逃逸</w:t>
            </w:r>
          </w:p>
        </w:tc>
        <w:tc>
          <w:tcPr>
            <w:tcW w:w="901" w:type="pct"/>
            <w:vAlign w:val="center"/>
          </w:tcPr>
          <w:p w14:paraId="24D055EC">
            <w:pPr>
              <w:pStyle w:val="278"/>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数量（座）</w:t>
            </w:r>
          </w:p>
        </w:tc>
        <w:tc>
          <w:tcPr>
            <w:tcW w:w="851" w:type="pct"/>
            <w:vAlign w:val="center"/>
          </w:tcPr>
          <w:p w14:paraId="677CFAD3">
            <w:pPr>
              <w:pStyle w:val="278"/>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甲烷排放量（t/a）</w:t>
            </w:r>
          </w:p>
        </w:tc>
      </w:tr>
      <w:tr w14:paraId="207DE33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25" w:type="pct"/>
            <w:vAlign w:val="center"/>
          </w:tcPr>
          <w:p w14:paraId="23AC28B3">
            <w:pPr>
              <w:pStyle w:val="278"/>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1口注气井</w:t>
            </w:r>
          </w:p>
          <w:p w14:paraId="1EA22DFA">
            <w:pPr>
              <w:pStyle w:val="278"/>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（参照采气井）</w:t>
            </w:r>
          </w:p>
        </w:tc>
        <w:tc>
          <w:tcPr>
            <w:tcW w:w="1038" w:type="pct"/>
            <w:vAlign w:val="center"/>
          </w:tcPr>
          <w:p w14:paraId="4ECA8638">
            <w:pPr>
              <w:pStyle w:val="278"/>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井口装置</w:t>
            </w:r>
          </w:p>
        </w:tc>
        <w:tc>
          <w:tcPr>
            <w:tcW w:w="1085" w:type="pct"/>
            <w:vAlign w:val="center"/>
          </w:tcPr>
          <w:p w14:paraId="4A8BE73D">
            <w:pPr>
              <w:pStyle w:val="278"/>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2.5t/年</w:t>
            </w:r>
            <w:r>
              <w:rPr>
                <w:rFonts w:hint="eastAsia" w:cs="宋体"/>
                <w:color w:val="000000" w:themeColor="text1"/>
                <w14:textFill>
                  <w14:solidFill>
                    <w14:schemeClr w14:val="tx1"/>
                  </w14:solidFill>
                </w14:textFill>
              </w:rPr>
              <w:t>·</w:t>
            </w:r>
            <w:r>
              <w:rPr>
                <w:rFonts w:hint="eastAsia"/>
                <w:color w:val="000000" w:themeColor="text1"/>
                <w14:textFill>
                  <w14:solidFill>
                    <w14:schemeClr w14:val="tx1"/>
                  </w14:solidFill>
                </w14:textFill>
              </w:rPr>
              <w:t>个</w:t>
            </w:r>
          </w:p>
        </w:tc>
        <w:tc>
          <w:tcPr>
            <w:tcW w:w="901" w:type="pct"/>
            <w:vAlign w:val="center"/>
          </w:tcPr>
          <w:p w14:paraId="7432E147">
            <w:pPr>
              <w:pStyle w:val="278"/>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1</w:t>
            </w:r>
          </w:p>
        </w:tc>
        <w:tc>
          <w:tcPr>
            <w:tcW w:w="851" w:type="pct"/>
            <w:vAlign w:val="center"/>
          </w:tcPr>
          <w:p w14:paraId="5EF963FE">
            <w:pPr>
              <w:pStyle w:val="278"/>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2.5</w:t>
            </w:r>
          </w:p>
        </w:tc>
      </w:tr>
      <w:tr w14:paraId="255B988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25" w:type="pct"/>
            <w:vAlign w:val="center"/>
          </w:tcPr>
          <w:p w14:paraId="18826397">
            <w:pPr>
              <w:pStyle w:val="278"/>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预处理注入站</w:t>
            </w:r>
          </w:p>
        </w:tc>
        <w:tc>
          <w:tcPr>
            <w:tcW w:w="1038" w:type="pct"/>
            <w:vAlign w:val="center"/>
          </w:tcPr>
          <w:p w14:paraId="5D334A95">
            <w:pPr>
              <w:pStyle w:val="278"/>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联合站</w:t>
            </w:r>
          </w:p>
        </w:tc>
        <w:tc>
          <w:tcPr>
            <w:tcW w:w="1085" w:type="pct"/>
            <w:vAlign w:val="center"/>
          </w:tcPr>
          <w:p w14:paraId="13C10ED9">
            <w:pPr>
              <w:pStyle w:val="278"/>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1.40t/年</w:t>
            </w:r>
            <w:r>
              <w:rPr>
                <w:rFonts w:hint="eastAsia" w:cs="宋体"/>
                <w:color w:val="000000" w:themeColor="text1"/>
                <w14:textFill>
                  <w14:solidFill>
                    <w14:schemeClr w14:val="tx1"/>
                  </w14:solidFill>
                </w14:textFill>
              </w:rPr>
              <w:t>·</w:t>
            </w:r>
            <w:r>
              <w:rPr>
                <w:rFonts w:hint="eastAsia"/>
                <w:color w:val="000000" w:themeColor="text1"/>
                <w14:textFill>
                  <w14:solidFill>
                    <w14:schemeClr w14:val="tx1"/>
                  </w14:solidFill>
                </w14:textFill>
              </w:rPr>
              <w:t>个</w:t>
            </w:r>
          </w:p>
        </w:tc>
        <w:tc>
          <w:tcPr>
            <w:tcW w:w="901" w:type="pct"/>
            <w:vAlign w:val="center"/>
          </w:tcPr>
          <w:p w14:paraId="706350B4">
            <w:pPr>
              <w:pStyle w:val="278"/>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1</w:t>
            </w:r>
          </w:p>
        </w:tc>
        <w:tc>
          <w:tcPr>
            <w:tcW w:w="851" w:type="pct"/>
            <w:vAlign w:val="center"/>
          </w:tcPr>
          <w:p w14:paraId="2D1BFA3C">
            <w:pPr>
              <w:pStyle w:val="278"/>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1.40</w:t>
            </w:r>
          </w:p>
        </w:tc>
      </w:tr>
    </w:tbl>
    <w:p w14:paraId="45F8415F">
      <w:pPr>
        <w:pStyle w:val="191"/>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根据表中参数，结合公式计算可知，CH</w:t>
      </w:r>
      <w:r>
        <w:rPr>
          <w:rFonts w:hint="eastAsia"/>
          <w:color w:val="000000" w:themeColor="text1"/>
          <w:vertAlign w:val="subscript"/>
          <w14:textFill>
            <w14:solidFill>
              <w14:schemeClr w14:val="tx1"/>
            </w14:solidFill>
          </w14:textFill>
        </w:rPr>
        <w:t>4</w:t>
      </w:r>
      <w:r>
        <w:rPr>
          <w:rFonts w:hint="eastAsia"/>
          <w:color w:val="000000" w:themeColor="text1"/>
          <w14:textFill>
            <w14:solidFill>
              <w14:schemeClr w14:val="tx1"/>
            </w14:solidFill>
          </w14:textFill>
        </w:rPr>
        <w:t>逃逸排放量为3.9t。</w:t>
      </w:r>
    </w:p>
    <w:p w14:paraId="5FF0C5C8">
      <w:pPr>
        <w:pStyle w:val="191"/>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※火炬燃烧CO</w:t>
      </w:r>
      <w:r>
        <w:rPr>
          <w:rFonts w:hint="eastAsia"/>
          <w:color w:val="000000" w:themeColor="text1"/>
          <w:vertAlign w:val="subscript"/>
          <w14:textFill>
            <w14:solidFill>
              <w14:schemeClr w14:val="tx1"/>
            </w14:solidFill>
          </w14:textFill>
        </w:rPr>
        <w:t>2</w:t>
      </w:r>
      <w:r>
        <w:rPr>
          <w:rFonts w:hint="eastAsia"/>
          <w:color w:val="000000" w:themeColor="text1"/>
          <w14:textFill>
            <w14:solidFill>
              <w14:schemeClr w14:val="tx1"/>
            </w14:solidFill>
          </w14:textFill>
        </w:rPr>
        <w:t>排放和CH</w:t>
      </w:r>
      <w:r>
        <w:rPr>
          <w:rFonts w:hint="eastAsia"/>
          <w:color w:val="000000" w:themeColor="text1"/>
          <w:vertAlign w:val="subscript"/>
          <w14:textFill>
            <w14:solidFill>
              <w14:schemeClr w14:val="tx1"/>
            </w14:solidFill>
          </w14:textFill>
        </w:rPr>
        <w:t>4</w:t>
      </w:r>
      <w:r>
        <w:rPr>
          <w:rFonts w:hint="eastAsia"/>
          <w:color w:val="000000" w:themeColor="text1"/>
          <w14:textFill>
            <w14:solidFill>
              <w14:schemeClr w14:val="tx1"/>
            </w14:solidFill>
          </w14:textFill>
        </w:rPr>
        <w:t>排放</w:t>
      </w:r>
    </w:p>
    <w:p w14:paraId="32E0758E">
      <w:pPr>
        <w:pStyle w:val="191"/>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事故火炬燃烧放空过程中</w:t>
      </w:r>
      <w:r>
        <w:rPr>
          <w:color w:val="000000" w:themeColor="text1"/>
          <w14:textFill>
            <w14:solidFill>
              <w14:schemeClr w14:val="tx1"/>
            </w14:solidFill>
          </w14:textFill>
        </w:rPr>
        <w:t>CO</w:t>
      </w:r>
      <w:r>
        <w:rPr>
          <w:color w:val="000000" w:themeColor="text1"/>
          <w:vertAlign w:val="subscript"/>
          <w14:textFill>
            <w14:solidFill>
              <w14:schemeClr w14:val="tx1"/>
            </w14:solidFill>
          </w14:textFill>
        </w:rPr>
        <w:t>2</w:t>
      </w:r>
      <w:r>
        <w:rPr>
          <w:rFonts w:hint="eastAsia"/>
          <w:color w:val="000000" w:themeColor="text1"/>
          <w14:textFill>
            <w14:solidFill>
              <w14:schemeClr w14:val="tx1"/>
            </w14:solidFill>
          </w14:textFill>
        </w:rPr>
        <w:t>和</w:t>
      </w:r>
      <w:r>
        <w:rPr>
          <w:color w:val="000000" w:themeColor="text1"/>
          <w14:textFill>
            <w14:solidFill>
              <w14:schemeClr w14:val="tx1"/>
            </w14:solidFill>
          </w14:textFill>
        </w:rPr>
        <w:t>CH</w:t>
      </w:r>
      <w:r>
        <w:rPr>
          <w:color w:val="000000" w:themeColor="text1"/>
          <w:vertAlign w:val="subscript"/>
          <w14:textFill>
            <w14:solidFill>
              <w14:schemeClr w14:val="tx1"/>
            </w14:solidFill>
          </w14:textFill>
        </w:rPr>
        <w:t>4</w:t>
      </w:r>
      <w:r>
        <w:rPr>
          <w:rFonts w:hint="eastAsia"/>
          <w:color w:val="000000" w:themeColor="text1"/>
          <w14:textFill>
            <w14:solidFill>
              <w14:schemeClr w14:val="tx1"/>
            </w14:solidFill>
          </w14:textFill>
        </w:rPr>
        <w:t>的排放量公式如下：</w:t>
      </w:r>
    </w:p>
    <w:p w14:paraId="680A91A4">
      <w:pPr>
        <w:pStyle w:val="191"/>
        <w:spacing w:line="360" w:lineRule="auto"/>
        <w:ind w:firstLine="0" w:firstLineChars="0"/>
        <w:jc w:val="center"/>
        <w:rPr>
          <w:rFonts w:hint="eastAsia"/>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5543550" cy="532130"/>
            <wp:effectExtent l="0" t="0" r="0" b="1270"/>
            <wp:docPr id="2127717700" name="图片 2127717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7717700" name="图片 2127717700"/>
                    <pic:cNvPicPr>
                      <a:picLocks noChangeAspect="1"/>
                    </pic:cNvPicPr>
                  </pic:nvPicPr>
                  <pic:blipFill>
                    <a:blip r:embed="rId14"/>
                    <a:stretch>
                      <a:fillRect/>
                    </a:stretch>
                  </pic:blipFill>
                  <pic:spPr>
                    <a:xfrm>
                      <a:off x="0" y="0"/>
                      <a:ext cx="5543550" cy="532130"/>
                    </a:xfrm>
                    <a:prstGeom prst="rect">
                      <a:avLst/>
                    </a:prstGeom>
                  </pic:spPr>
                </pic:pic>
              </a:graphicData>
            </a:graphic>
          </wp:inline>
        </w:drawing>
      </w:r>
    </w:p>
    <w:p w14:paraId="78821E3C">
      <w:pPr>
        <w:pStyle w:val="191"/>
        <w:spacing w:line="360" w:lineRule="auto"/>
        <w:ind w:firstLine="0" w:firstLineChars="0"/>
        <w:jc w:val="center"/>
        <w:rPr>
          <w:rFonts w:hint="eastAsia"/>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5543550" cy="571500"/>
            <wp:effectExtent l="0" t="0" r="0" b="0"/>
            <wp:docPr id="69219913" name="图片 69219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19913" name="图片 69219913"/>
                    <pic:cNvPicPr>
                      <a:picLocks noChangeAspect="1"/>
                    </pic:cNvPicPr>
                  </pic:nvPicPr>
                  <pic:blipFill>
                    <a:blip r:embed="rId15"/>
                    <a:stretch>
                      <a:fillRect/>
                    </a:stretch>
                  </pic:blipFill>
                  <pic:spPr>
                    <a:xfrm>
                      <a:off x="0" y="0"/>
                      <a:ext cx="5543550" cy="571500"/>
                    </a:xfrm>
                    <a:prstGeom prst="rect">
                      <a:avLst/>
                    </a:prstGeom>
                  </pic:spPr>
                </pic:pic>
              </a:graphicData>
            </a:graphic>
          </wp:inline>
        </w:drawing>
      </w:r>
    </w:p>
    <w:p w14:paraId="32CEE5F3">
      <w:pPr>
        <w:pStyle w:val="191"/>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式中：</w:t>
      </w:r>
      <w:r>
        <w:rPr>
          <w:color w:val="000000" w:themeColor="text1"/>
          <w14:textFill>
            <w14:solidFill>
              <w14:schemeClr w14:val="tx1"/>
            </w14:solidFill>
          </w14:textFill>
        </w:rPr>
        <w:t>E</w:t>
      </w:r>
      <w:r>
        <w:rPr>
          <w:rFonts w:ascii="Cambria Math" w:hAnsi="Cambria Math" w:cs="Cambria Math"/>
          <w:color w:val="000000" w:themeColor="text1"/>
          <w:vertAlign w:val="subscript"/>
          <w14:textFill>
            <w14:solidFill>
              <w14:schemeClr w14:val="tx1"/>
            </w14:solidFill>
          </w14:textFill>
        </w:rPr>
        <w:t>𝐶𝑂</w:t>
      </w:r>
      <w:r>
        <w:rPr>
          <w:color w:val="000000" w:themeColor="text1"/>
          <w:vertAlign w:val="subscript"/>
          <w14:textFill>
            <w14:solidFill>
              <w14:schemeClr w14:val="tx1"/>
            </w14:solidFill>
          </w14:textFill>
        </w:rPr>
        <w:t>2_</w:t>
      </w:r>
      <w:r>
        <w:rPr>
          <w:rFonts w:hint="eastAsia"/>
          <w:color w:val="000000" w:themeColor="text1"/>
          <w:vertAlign w:val="subscript"/>
          <w14:textFill>
            <w14:solidFill>
              <w14:schemeClr w14:val="tx1"/>
            </w14:solidFill>
          </w14:textFill>
        </w:rPr>
        <w:t>事故火炬</w:t>
      </w:r>
      <w:r>
        <w:rPr>
          <w:rFonts w:hint="eastAsia"/>
          <w:color w:val="000000" w:themeColor="text1"/>
          <w14:textFill>
            <w14:solidFill>
              <w14:schemeClr w14:val="tx1"/>
            </w14:solidFill>
          </w14:textFill>
        </w:rPr>
        <w:t>为由于事故火炬产生的</w:t>
      </w:r>
      <w:r>
        <w:rPr>
          <w:color w:val="000000" w:themeColor="text1"/>
          <w14:textFill>
            <w14:solidFill>
              <w14:schemeClr w14:val="tx1"/>
            </w14:solidFill>
          </w14:textFill>
        </w:rPr>
        <w:t>CO</w:t>
      </w:r>
      <w:r>
        <w:rPr>
          <w:color w:val="000000" w:themeColor="text1"/>
          <w:vertAlign w:val="subscript"/>
          <w14:textFill>
            <w14:solidFill>
              <w14:schemeClr w14:val="tx1"/>
            </w14:solidFill>
          </w14:textFill>
        </w:rPr>
        <w:t>2</w:t>
      </w:r>
      <w:r>
        <w:rPr>
          <w:rFonts w:hint="eastAsia"/>
          <w:color w:val="000000" w:themeColor="text1"/>
          <w14:textFill>
            <w14:solidFill>
              <w14:schemeClr w14:val="tx1"/>
            </w14:solidFill>
          </w14:textFill>
        </w:rPr>
        <w:t>排放，单位为吨</w:t>
      </w:r>
      <w:r>
        <w:rPr>
          <w:color w:val="000000" w:themeColor="text1"/>
          <w14:textFill>
            <w14:solidFill>
              <w14:schemeClr w14:val="tx1"/>
            </w14:solidFill>
          </w14:textFill>
        </w:rPr>
        <w:t>CO</w:t>
      </w:r>
      <w:r>
        <w:rPr>
          <w:color w:val="000000" w:themeColor="text1"/>
          <w:vertAlign w:val="subscript"/>
          <w14:textFill>
            <w14:solidFill>
              <w14:schemeClr w14:val="tx1"/>
            </w14:solidFill>
          </w14:textFill>
        </w:rPr>
        <w:t>2</w:t>
      </w:r>
      <w:r>
        <w:rPr>
          <w:rFonts w:hint="eastAsia"/>
          <w:color w:val="000000" w:themeColor="text1"/>
          <w14:textFill>
            <w14:solidFill>
              <w14:schemeClr w14:val="tx1"/>
            </w14:solidFill>
          </w14:textFill>
        </w:rPr>
        <w:t>；</w:t>
      </w:r>
    </w:p>
    <w:p w14:paraId="46586262">
      <w:pPr>
        <w:pStyle w:val="191"/>
        <w:ind w:firstLine="1200" w:firstLineChars="500"/>
        <w:rPr>
          <w:rFonts w:hint="eastAsia"/>
          <w:color w:val="000000" w:themeColor="text1"/>
          <w14:textFill>
            <w14:solidFill>
              <w14:schemeClr w14:val="tx1"/>
            </w14:solidFill>
          </w14:textFill>
        </w:rPr>
      </w:pPr>
      <w:r>
        <w:rPr>
          <w:color w:val="000000" w:themeColor="text1"/>
          <w14:textFill>
            <w14:solidFill>
              <w14:schemeClr w14:val="tx1"/>
            </w14:solidFill>
          </w14:textFill>
        </w:rPr>
        <w:t>E</w:t>
      </w:r>
      <w:r>
        <w:rPr>
          <w:rFonts w:ascii="Cambria Math" w:hAnsi="Cambria Math" w:cs="Cambria Math"/>
          <w:color w:val="000000" w:themeColor="text1"/>
          <w:vertAlign w:val="subscript"/>
          <w14:textFill>
            <w14:solidFill>
              <w14:schemeClr w14:val="tx1"/>
            </w14:solidFill>
          </w14:textFill>
        </w:rPr>
        <w:t>𝐶𝐻</w:t>
      </w:r>
      <w:r>
        <w:rPr>
          <w:color w:val="000000" w:themeColor="text1"/>
          <w:vertAlign w:val="subscript"/>
          <w14:textFill>
            <w14:solidFill>
              <w14:schemeClr w14:val="tx1"/>
            </w14:solidFill>
          </w14:textFill>
        </w:rPr>
        <w:t>4_</w:t>
      </w:r>
      <w:r>
        <w:rPr>
          <w:rFonts w:hint="eastAsia"/>
          <w:color w:val="000000" w:themeColor="text1"/>
          <w:vertAlign w:val="subscript"/>
          <w14:textFill>
            <w14:solidFill>
              <w14:schemeClr w14:val="tx1"/>
            </w14:solidFill>
          </w14:textFill>
        </w:rPr>
        <w:t>事故火炬</w:t>
      </w:r>
      <w:r>
        <w:rPr>
          <w:rFonts w:hint="eastAsia"/>
          <w:color w:val="000000" w:themeColor="text1"/>
          <w14:textFill>
            <w14:solidFill>
              <w14:schemeClr w14:val="tx1"/>
            </w14:solidFill>
          </w14:textFill>
        </w:rPr>
        <w:t>为事故火炬产生的</w:t>
      </w:r>
      <w:r>
        <w:rPr>
          <w:color w:val="000000" w:themeColor="text1"/>
          <w14:textFill>
            <w14:solidFill>
              <w14:schemeClr w14:val="tx1"/>
            </w14:solidFill>
          </w14:textFill>
        </w:rPr>
        <w:t>CH</w:t>
      </w:r>
      <w:r>
        <w:rPr>
          <w:color w:val="000000" w:themeColor="text1"/>
          <w:vertAlign w:val="subscript"/>
          <w14:textFill>
            <w14:solidFill>
              <w14:schemeClr w14:val="tx1"/>
            </w14:solidFill>
          </w14:textFill>
        </w:rPr>
        <w:t>4</w:t>
      </w:r>
      <w:r>
        <w:rPr>
          <w:rFonts w:hint="eastAsia"/>
          <w:color w:val="000000" w:themeColor="text1"/>
          <w14:textFill>
            <w14:solidFill>
              <w14:schemeClr w14:val="tx1"/>
            </w14:solidFill>
          </w14:textFill>
        </w:rPr>
        <w:t>排放，单位为吨</w:t>
      </w:r>
      <w:r>
        <w:rPr>
          <w:color w:val="000000" w:themeColor="text1"/>
          <w14:textFill>
            <w14:solidFill>
              <w14:schemeClr w14:val="tx1"/>
            </w14:solidFill>
          </w14:textFill>
        </w:rPr>
        <w:t>CH</w:t>
      </w:r>
      <w:r>
        <w:rPr>
          <w:color w:val="000000" w:themeColor="text1"/>
          <w:vertAlign w:val="subscript"/>
          <w14:textFill>
            <w14:solidFill>
              <w14:schemeClr w14:val="tx1"/>
            </w14:solidFill>
          </w14:textFill>
        </w:rPr>
        <w:t>4</w:t>
      </w:r>
      <w:r>
        <w:rPr>
          <w:rFonts w:hint="eastAsia"/>
          <w:color w:val="000000" w:themeColor="text1"/>
          <w14:textFill>
            <w14:solidFill>
              <w14:schemeClr w14:val="tx1"/>
            </w14:solidFill>
          </w14:textFill>
        </w:rPr>
        <w:t>。</w:t>
      </w:r>
    </w:p>
    <w:p w14:paraId="47C331E7">
      <w:pPr>
        <w:pStyle w:val="191"/>
        <w:ind w:firstLine="1200" w:firstLineChars="500"/>
        <w:rPr>
          <w:rFonts w:hint="eastAsia"/>
          <w:color w:val="000000" w:themeColor="text1"/>
          <w14:textFill>
            <w14:solidFill>
              <w14:schemeClr w14:val="tx1"/>
            </w14:solidFill>
          </w14:textFill>
        </w:rPr>
      </w:pPr>
      <w:r>
        <w:rPr>
          <w:color w:val="000000" w:themeColor="text1"/>
          <w14:textFill>
            <w14:solidFill>
              <w14:schemeClr w14:val="tx1"/>
            </w14:solidFill>
          </w14:textFill>
        </w:rPr>
        <w:t>j</w:t>
      </w:r>
      <w:r>
        <w:rPr>
          <w:rFonts w:hint="eastAsia"/>
          <w:color w:val="000000" w:themeColor="text1"/>
          <w14:textFill>
            <w14:solidFill>
              <w14:schemeClr w14:val="tx1"/>
            </w14:solidFill>
          </w14:textFill>
        </w:rPr>
        <w:t>为事故次数；</w:t>
      </w:r>
    </w:p>
    <w:p w14:paraId="265E3EC4">
      <w:pPr>
        <w:autoSpaceDE w:val="0"/>
        <w:autoSpaceDN w:val="0"/>
        <w:adjustRightInd w:val="0"/>
        <w:spacing w:line="500" w:lineRule="exact"/>
        <w:ind w:firstLine="1200" w:firstLineChars="500"/>
        <w:jc w:val="left"/>
        <w:rPr>
          <w:rFonts w:hint="eastAsia" w:ascii="宋体" w:hAnsi="宋体" w:cs="仿宋e眠副浡渀."/>
          <w:color w:val="000000" w:themeColor="text1"/>
          <w:kern w:val="0"/>
          <w:sz w:val="24"/>
          <w:szCs w:val="24"/>
          <w14:textFill>
            <w14:solidFill>
              <w14:schemeClr w14:val="tx1"/>
            </w14:solidFill>
          </w14:textFill>
        </w:rPr>
      </w:pPr>
      <w:r>
        <w:rPr>
          <w:rFonts w:ascii="Cambria Math" w:hAnsi="Cambria Math" w:cs="Cambria Math"/>
          <w:color w:val="000000" w:themeColor="text1"/>
          <w:kern w:val="0"/>
          <w:sz w:val="24"/>
          <w:szCs w:val="24"/>
          <w14:textFill>
            <w14:solidFill>
              <w14:schemeClr w14:val="tx1"/>
            </w14:solidFill>
          </w14:textFill>
        </w:rPr>
        <w:t>𝐺𝐹</w:t>
      </w:r>
      <w:r>
        <w:rPr>
          <w:rFonts w:hint="eastAsia" w:ascii="宋体" w:hAnsi="宋体" w:cs="仿宋e眠副浡渀."/>
          <w:color w:val="000000" w:themeColor="text1"/>
          <w:kern w:val="0"/>
          <w:sz w:val="24"/>
          <w:szCs w:val="24"/>
          <w:vertAlign w:val="subscript"/>
          <w14:textFill>
            <w14:solidFill>
              <w14:schemeClr w14:val="tx1"/>
            </w14:solidFill>
          </w14:textFill>
        </w:rPr>
        <w:t>事故，</w:t>
      </w:r>
      <w:r>
        <w:rPr>
          <w:rFonts w:ascii="Cambria Math" w:hAnsi="Cambria Math" w:cs="Cambria Math"/>
          <w:color w:val="000000" w:themeColor="text1"/>
          <w:kern w:val="0"/>
          <w:sz w:val="24"/>
          <w:szCs w:val="24"/>
          <w:vertAlign w:val="subscript"/>
          <w14:textFill>
            <w14:solidFill>
              <w14:schemeClr w14:val="tx1"/>
            </w14:solidFill>
          </w14:textFill>
        </w:rPr>
        <w:t>𝑗</w:t>
      </w:r>
      <w:r>
        <w:rPr>
          <w:rFonts w:hint="eastAsia" w:ascii="宋体" w:hAnsi="宋体" w:cs="仿宋e眠副浡渀."/>
          <w:color w:val="000000" w:themeColor="text1"/>
          <w:kern w:val="0"/>
          <w:sz w:val="24"/>
          <w:szCs w:val="24"/>
          <w14:textFill>
            <w14:solidFill>
              <w14:schemeClr w14:val="tx1"/>
            </w14:solidFill>
          </w14:textFill>
        </w:rPr>
        <w:t>为报告期内第</w:t>
      </w:r>
      <w:r>
        <w:rPr>
          <w:rFonts w:ascii="宋体" w:hAnsi="宋体"/>
          <w:color w:val="000000" w:themeColor="text1"/>
          <w:kern w:val="0"/>
          <w:sz w:val="24"/>
          <w:szCs w:val="24"/>
          <w14:textFill>
            <w14:solidFill>
              <w14:schemeClr w14:val="tx1"/>
            </w14:solidFill>
          </w14:textFill>
        </w:rPr>
        <w:t>j</w:t>
      </w:r>
      <w:r>
        <w:rPr>
          <w:rFonts w:hint="eastAsia" w:ascii="宋体" w:hAnsi="宋体" w:cs="仿宋e眠副浡渀."/>
          <w:color w:val="000000" w:themeColor="text1"/>
          <w:kern w:val="0"/>
          <w:sz w:val="24"/>
          <w:szCs w:val="24"/>
          <w14:textFill>
            <w14:solidFill>
              <w14:schemeClr w14:val="tx1"/>
            </w14:solidFill>
          </w14:textFill>
        </w:rPr>
        <w:t>次事故状态时的火炬气流速度，单位为万</w:t>
      </w:r>
      <w:r>
        <w:rPr>
          <w:rFonts w:ascii="宋体" w:hAnsi="宋体"/>
          <w:color w:val="000000" w:themeColor="text1"/>
          <w:kern w:val="0"/>
          <w:sz w:val="24"/>
          <w:szCs w:val="24"/>
          <w14:textFill>
            <w14:solidFill>
              <w14:schemeClr w14:val="tx1"/>
            </w14:solidFill>
          </w14:textFill>
        </w:rPr>
        <w:t>m</w:t>
      </w:r>
      <w:r>
        <w:rPr>
          <w:rFonts w:ascii="宋体" w:hAnsi="宋体"/>
          <w:color w:val="000000" w:themeColor="text1"/>
          <w:kern w:val="0"/>
          <w:sz w:val="24"/>
          <w:szCs w:val="24"/>
          <w:vertAlign w:val="superscript"/>
          <w14:textFill>
            <w14:solidFill>
              <w14:schemeClr w14:val="tx1"/>
            </w14:solidFill>
          </w14:textFill>
        </w:rPr>
        <w:t>3</w:t>
      </w:r>
      <w:r>
        <w:rPr>
          <w:rFonts w:ascii="宋体" w:hAnsi="宋体"/>
          <w:color w:val="000000" w:themeColor="text1"/>
          <w:kern w:val="0"/>
          <w:sz w:val="24"/>
          <w:szCs w:val="24"/>
          <w14:textFill>
            <w14:solidFill>
              <w14:schemeClr w14:val="tx1"/>
            </w14:solidFill>
          </w14:textFill>
        </w:rPr>
        <w:t>/</w:t>
      </w:r>
      <w:r>
        <w:rPr>
          <w:rFonts w:hint="eastAsia" w:ascii="宋体" w:hAnsi="宋体" w:cs="仿宋e眠副浡渀."/>
          <w:color w:val="000000" w:themeColor="text1"/>
          <w:kern w:val="0"/>
          <w:sz w:val="24"/>
          <w:szCs w:val="24"/>
          <w14:textFill>
            <w14:solidFill>
              <w14:schemeClr w14:val="tx1"/>
            </w14:solidFill>
          </w14:textFill>
        </w:rPr>
        <w:t>小时，本次取0.06875万m</w:t>
      </w:r>
      <w:r>
        <w:rPr>
          <w:rFonts w:hint="eastAsia" w:ascii="宋体" w:hAnsi="宋体" w:cs="仿宋e眠副浡渀."/>
          <w:color w:val="000000" w:themeColor="text1"/>
          <w:kern w:val="0"/>
          <w:sz w:val="24"/>
          <w:szCs w:val="24"/>
          <w:vertAlign w:val="superscript"/>
          <w14:textFill>
            <w14:solidFill>
              <w14:schemeClr w14:val="tx1"/>
            </w14:solidFill>
          </w14:textFill>
        </w:rPr>
        <w:t>3</w:t>
      </w:r>
      <w:r>
        <w:rPr>
          <w:rFonts w:hint="eastAsia" w:ascii="宋体" w:hAnsi="宋体" w:cs="仿宋e眠副浡渀."/>
          <w:color w:val="000000" w:themeColor="text1"/>
          <w:kern w:val="0"/>
          <w:sz w:val="24"/>
          <w:szCs w:val="24"/>
          <w14:textFill>
            <w14:solidFill>
              <w14:schemeClr w14:val="tx1"/>
            </w14:solidFill>
          </w14:textFill>
        </w:rPr>
        <w:t>/h；</w:t>
      </w:r>
    </w:p>
    <w:p w14:paraId="089AA280">
      <w:pPr>
        <w:autoSpaceDE w:val="0"/>
        <w:autoSpaceDN w:val="0"/>
        <w:adjustRightInd w:val="0"/>
        <w:spacing w:line="500" w:lineRule="exact"/>
        <w:ind w:firstLine="1200" w:firstLineChars="500"/>
        <w:jc w:val="left"/>
        <w:rPr>
          <w:rFonts w:hint="eastAsia" w:ascii="宋体" w:hAnsi="宋体" w:cs="仿宋e眠副浡渀."/>
          <w:color w:val="000000" w:themeColor="text1"/>
          <w:kern w:val="0"/>
          <w:sz w:val="24"/>
          <w:szCs w:val="24"/>
          <w14:textFill>
            <w14:solidFill>
              <w14:schemeClr w14:val="tx1"/>
            </w14:solidFill>
          </w14:textFill>
        </w:rPr>
      </w:pPr>
      <w:r>
        <w:rPr>
          <w:rFonts w:ascii="Cambria Math" w:hAnsi="Cambria Math" w:cs="Cambria Math"/>
          <w:color w:val="000000" w:themeColor="text1"/>
          <w:kern w:val="0"/>
          <w:sz w:val="24"/>
          <w:szCs w:val="24"/>
          <w14:textFill>
            <w14:solidFill>
              <w14:schemeClr w14:val="tx1"/>
            </w14:solidFill>
          </w14:textFill>
        </w:rPr>
        <w:t>𝑇</w:t>
      </w:r>
      <w:r>
        <w:rPr>
          <w:rFonts w:hint="eastAsia" w:ascii="宋体" w:hAnsi="宋体" w:cs="仿宋e眠副浡渀."/>
          <w:color w:val="000000" w:themeColor="text1"/>
          <w:kern w:val="0"/>
          <w:sz w:val="24"/>
          <w:szCs w:val="24"/>
          <w:vertAlign w:val="subscript"/>
          <w14:textFill>
            <w14:solidFill>
              <w14:schemeClr w14:val="tx1"/>
            </w14:solidFill>
          </w14:textFill>
        </w:rPr>
        <w:t>事故，</w:t>
      </w:r>
      <w:r>
        <w:rPr>
          <w:rFonts w:ascii="Cambria Math" w:hAnsi="Cambria Math" w:cs="Cambria Math"/>
          <w:color w:val="000000" w:themeColor="text1"/>
          <w:kern w:val="0"/>
          <w:sz w:val="24"/>
          <w:szCs w:val="24"/>
          <w:vertAlign w:val="subscript"/>
          <w14:textFill>
            <w14:solidFill>
              <w14:schemeClr w14:val="tx1"/>
            </w14:solidFill>
          </w14:textFill>
        </w:rPr>
        <w:t>𝑗</w:t>
      </w:r>
      <w:r>
        <w:rPr>
          <w:rFonts w:hint="eastAsia" w:ascii="宋体" w:hAnsi="宋体" w:cs="仿宋e眠副浡渀."/>
          <w:color w:val="000000" w:themeColor="text1"/>
          <w:kern w:val="0"/>
          <w:sz w:val="24"/>
          <w:szCs w:val="24"/>
          <w14:textFill>
            <w14:solidFill>
              <w14:schemeClr w14:val="tx1"/>
            </w14:solidFill>
          </w14:textFill>
        </w:rPr>
        <w:t>为报告期内第</w:t>
      </w:r>
      <w:r>
        <w:rPr>
          <w:rFonts w:ascii="宋体" w:hAnsi="宋体"/>
          <w:color w:val="000000" w:themeColor="text1"/>
          <w:kern w:val="0"/>
          <w:sz w:val="24"/>
          <w:szCs w:val="24"/>
          <w14:textFill>
            <w14:solidFill>
              <w14:schemeClr w14:val="tx1"/>
            </w14:solidFill>
          </w14:textFill>
        </w:rPr>
        <w:t>j</w:t>
      </w:r>
      <w:r>
        <w:rPr>
          <w:rFonts w:hint="eastAsia" w:ascii="宋体" w:hAnsi="宋体" w:cs="仿宋e眠副浡渀."/>
          <w:color w:val="000000" w:themeColor="text1"/>
          <w:kern w:val="0"/>
          <w:sz w:val="24"/>
          <w:szCs w:val="24"/>
          <w14:textFill>
            <w14:solidFill>
              <w14:schemeClr w14:val="tx1"/>
            </w14:solidFill>
          </w14:textFill>
        </w:rPr>
        <w:t>次事故的持续时间，单位为小时；本次取6小时；</w:t>
      </w:r>
    </w:p>
    <w:p w14:paraId="2F58ABF1">
      <w:pPr>
        <w:autoSpaceDE w:val="0"/>
        <w:autoSpaceDN w:val="0"/>
        <w:adjustRightInd w:val="0"/>
        <w:spacing w:line="500" w:lineRule="exact"/>
        <w:ind w:firstLine="1200" w:firstLineChars="500"/>
        <w:jc w:val="left"/>
        <w:rPr>
          <w:rFonts w:hint="eastAsia" w:ascii="宋体" w:hAnsi="宋体" w:cs="仿宋e眠副浡渀."/>
          <w:color w:val="000000" w:themeColor="text1"/>
          <w:kern w:val="0"/>
          <w:sz w:val="24"/>
          <w:szCs w:val="24"/>
          <w14:textFill>
            <w14:solidFill>
              <w14:schemeClr w14:val="tx1"/>
            </w14:solidFill>
          </w14:textFill>
        </w:rPr>
      </w:pPr>
      <w:r>
        <w:rPr>
          <w:rFonts w:ascii="Cambria Math" w:hAnsi="Cambria Math" w:cs="Cambria Math"/>
          <w:color w:val="000000" w:themeColor="text1"/>
          <w:kern w:val="0"/>
          <w:sz w:val="24"/>
          <w:szCs w:val="24"/>
          <w14:textFill>
            <w14:solidFill>
              <w14:schemeClr w14:val="tx1"/>
            </w14:solidFill>
          </w14:textFill>
        </w:rPr>
        <w:t>𝐶𝐶</w:t>
      </w:r>
      <w:r>
        <w:rPr>
          <w:rFonts w:hint="eastAsia" w:ascii="Cambria Math" w:hAnsi="Cambria Math" w:cs="Cambria Math"/>
          <w:color w:val="000000" w:themeColor="text1"/>
          <w:kern w:val="0"/>
          <w:sz w:val="24"/>
          <w:szCs w:val="24"/>
          <w:vertAlign w:val="subscript"/>
          <w14:textFill>
            <w14:solidFill>
              <w14:schemeClr w14:val="tx1"/>
            </w14:solidFill>
          </w14:textFill>
        </w:rPr>
        <w:t>（</w:t>
      </w:r>
      <w:r>
        <w:rPr>
          <w:rFonts w:hint="eastAsia" w:ascii="宋体" w:hAnsi="宋体" w:cs="仿宋e眠副浡渀."/>
          <w:color w:val="000000" w:themeColor="text1"/>
          <w:kern w:val="0"/>
          <w:sz w:val="24"/>
          <w:szCs w:val="24"/>
          <w:vertAlign w:val="subscript"/>
          <w14:textFill>
            <w14:solidFill>
              <w14:schemeClr w14:val="tx1"/>
            </w14:solidFill>
          </w14:textFill>
        </w:rPr>
        <w:t>非</w:t>
      </w:r>
      <w:r>
        <w:rPr>
          <w:rFonts w:ascii="Cambria Math" w:hAnsi="Cambria Math" w:cs="Cambria Math"/>
          <w:color w:val="000000" w:themeColor="text1"/>
          <w:kern w:val="0"/>
          <w:sz w:val="24"/>
          <w:szCs w:val="24"/>
          <w:vertAlign w:val="subscript"/>
          <w14:textFill>
            <w14:solidFill>
              <w14:schemeClr w14:val="tx1"/>
            </w14:solidFill>
          </w14:textFill>
        </w:rPr>
        <w:t>𝐶𝑂</w:t>
      </w:r>
      <w:r>
        <w:rPr>
          <w:rFonts w:ascii="宋体" w:hAnsi="宋体" w:cs="Cambria Math"/>
          <w:color w:val="000000" w:themeColor="text1"/>
          <w:kern w:val="0"/>
          <w:sz w:val="24"/>
          <w:szCs w:val="24"/>
          <w:vertAlign w:val="subscript"/>
          <w14:textFill>
            <w14:solidFill>
              <w14:schemeClr w14:val="tx1"/>
            </w14:solidFill>
          </w14:textFill>
        </w:rPr>
        <w:t>2</w:t>
      </w:r>
      <w:r>
        <w:rPr>
          <w:rFonts w:hint="eastAsia" w:ascii="宋体" w:hAnsi="宋体" w:cs="Cambria Math"/>
          <w:color w:val="000000" w:themeColor="text1"/>
          <w:kern w:val="0"/>
          <w:sz w:val="24"/>
          <w:szCs w:val="24"/>
          <w:vertAlign w:val="subscript"/>
          <w14:textFill>
            <w14:solidFill>
              <w14:schemeClr w14:val="tx1"/>
            </w14:solidFill>
          </w14:textFill>
        </w:rPr>
        <w:t>）</w:t>
      </w:r>
      <w:r>
        <w:rPr>
          <w:rFonts w:hint="eastAsia" w:ascii="宋体" w:hAnsi="宋体" w:cs="宋体"/>
          <w:color w:val="000000" w:themeColor="text1"/>
          <w:kern w:val="0"/>
          <w:sz w:val="24"/>
          <w:szCs w:val="24"/>
          <w:vertAlign w:val="subscript"/>
          <w14:textFill>
            <w14:solidFill>
              <w14:schemeClr w14:val="tx1"/>
            </w14:solidFill>
          </w14:textFill>
        </w:rPr>
        <w:t>j</w:t>
      </w:r>
      <w:r>
        <w:rPr>
          <w:rFonts w:hint="eastAsia" w:ascii="宋体" w:hAnsi="宋体" w:cs="仿宋e眠副浡渀."/>
          <w:color w:val="000000" w:themeColor="text1"/>
          <w:kern w:val="0"/>
          <w:sz w:val="24"/>
          <w:szCs w:val="24"/>
          <w14:textFill>
            <w14:solidFill>
              <w14:schemeClr w14:val="tx1"/>
            </w14:solidFill>
          </w14:textFill>
        </w:rPr>
        <w:t>为第</w:t>
      </w:r>
      <w:r>
        <w:rPr>
          <w:rFonts w:ascii="宋体" w:hAnsi="宋体"/>
          <w:color w:val="000000" w:themeColor="text1"/>
          <w:kern w:val="0"/>
          <w:sz w:val="24"/>
          <w:szCs w:val="24"/>
          <w14:textFill>
            <w14:solidFill>
              <w14:schemeClr w14:val="tx1"/>
            </w14:solidFill>
          </w14:textFill>
        </w:rPr>
        <w:t>j</w:t>
      </w:r>
      <w:r>
        <w:rPr>
          <w:rFonts w:hint="eastAsia" w:ascii="宋体" w:hAnsi="宋体" w:cs="仿宋e眠副浡渀."/>
          <w:color w:val="000000" w:themeColor="text1"/>
          <w:kern w:val="0"/>
          <w:sz w:val="24"/>
          <w:szCs w:val="24"/>
          <w14:textFill>
            <w14:solidFill>
              <w14:schemeClr w14:val="tx1"/>
            </w14:solidFill>
          </w14:textFill>
        </w:rPr>
        <w:t>次事故火炬气中除</w:t>
      </w:r>
      <w:r>
        <w:rPr>
          <w:rFonts w:ascii="宋体" w:hAnsi="宋体"/>
          <w:color w:val="000000" w:themeColor="text1"/>
          <w:kern w:val="0"/>
          <w:sz w:val="24"/>
          <w:szCs w:val="24"/>
          <w14:textFill>
            <w14:solidFill>
              <w14:schemeClr w14:val="tx1"/>
            </w14:solidFill>
          </w14:textFill>
        </w:rPr>
        <w:t>CO</w:t>
      </w:r>
      <w:r>
        <w:rPr>
          <w:rFonts w:ascii="宋体" w:hAnsi="宋体"/>
          <w:color w:val="000000" w:themeColor="text1"/>
          <w:kern w:val="0"/>
          <w:sz w:val="24"/>
          <w:szCs w:val="24"/>
          <w:vertAlign w:val="subscript"/>
          <w14:textFill>
            <w14:solidFill>
              <w14:schemeClr w14:val="tx1"/>
            </w14:solidFill>
          </w14:textFill>
        </w:rPr>
        <w:t>2</w:t>
      </w:r>
      <w:r>
        <w:rPr>
          <w:rFonts w:hint="eastAsia" w:ascii="宋体" w:hAnsi="宋体" w:cs="仿宋e眠副浡渀."/>
          <w:color w:val="000000" w:themeColor="text1"/>
          <w:kern w:val="0"/>
          <w:sz w:val="24"/>
          <w:szCs w:val="24"/>
          <w14:textFill>
            <w14:solidFill>
              <w14:schemeClr w14:val="tx1"/>
            </w14:solidFill>
          </w14:textFill>
        </w:rPr>
        <w:t>外其他含碳化合物的总含碳量，单位为吨碳</w:t>
      </w:r>
      <w:r>
        <w:rPr>
          <w:rFonts w:ascii="宋体" w:hAnsi="宋体"/>
          <w:color w:val="000000" w:themeColor="text1"/>
          <w:kern w:val="0"/>
          <w:sz w:val="24"/>
          <w:szCs w:val="24"/>
          <w14:textFill>
            <w14:solidFill>
              <w14:schemeClr w14:val="tx1"/>
            </w14:solidFill>
          </w14:textFill>
        </w:rPr>
        <w:t>/</w:t>
      </w:r>
      <w:r>
        <w:rPr>
          <w:rFonts w:hint="eastAsia" w:ascii="宋体" w:hAnsi="宋体" w:cs="仿宋e眠副浡渀."/>
          <w:color w:val="000000" w:themeColor="text1"/>
          <w:kern w:val="0"/>
          <w:sz w:val="24"/>
          <w:szCs w:val="24"/>
          <w14:textFill>
            <w14:solidFill>
              <w14:schemeClr w14:val="tx1"/>
            </w14:solidFill>
          </w14:textFill>
        </w:rPr>
        <w:t>万</w:t>
      </w:r>
      <w:r>
        <w:rPr>
          <w:rFonts w:ascii="宋体" w:hAnsi="宋体"/>
          <w:color w:val="000000" w:themeColor="text1"/>
          <w:kern w:val="0"/>
          <w:sz w:val="24"/>
          <w:szCs w:val="24"/>
          <w14:textFill>
            <w14:solidFill>
              <w14:schemeClr w14:val="tx1"/>
            </w14:solidFill>
          </w14:textFill>
        </w:rPr>
        <w:t>m</w:t>
      </w:r>
      <w:r>
        <w:rPr>
          <w:rFonts w:ascii="宋体" w:hAnsi="宋体"/>
          <w:color w:val="000000" w:themeColor="text1"/>
          <w:kern w:val="0"/>
          <w:sz w:val="24"/>
          <w:szCs w:val="24"/>
          <w:vertAlign w:val="superscript"/>
          <w14:textFill>
            <w14:solidFill>
              <w14:schemeClr w14:val="tx1"/>
            </w14:solidFill>
          </w14:textFill>
        </w:rPr>
        <w:t>3</w:t>
      </w:r>
      <w:r>
        <w:rPr>
          <w:rFonts w:hint="eastAsia" w:ascii="宋体" w:hAnsi="宋体" w:cs="仿宋e眠副浡渀."/>
          <w:color w:val="000000" w:themeColor="text1"/>
          <w:kern w:val="0"/>
          <w:sz w:val="24"/>
          <w:szCs w:val="24"/>
          <w14:textFill>
            <w14:solidFill>
              <w14:schemeClr w14:val="tx1"/>
            </w14:solidFill>
          </w14:textFill>
        </w:rPr>
        <w:t>，计算公式如下：</w:t>
      </w:r>
    </w:p>
    <w:p w14:paraId="77C9132A">
      <w:pPr>
        <w:autoSpaceDE w:val="0"/>
        <w:autoSpaceDN w:val="0"/>
        <w:adjustRightInd w:val="0"/>
        <w:spacing w:line="360" w:lineRule="auto"/>
        <w:jc w:val="center"/>
        <w:rPr>
          <w:rFonts w:hint="eastAsia" w:ascii="宋体" w:hAnsi="宋体" w:cs="仿宋e眠副浡渀."/>
          <w:color w:val="000000" w:themeColor="text1"/>
          <w:kern w:val="0"/>
          <w:sz w:val="24"/>
          <w:szCs w:val="24"/>
          <w14:textFill>
            <w14:solidFill>
              <w14:schemeClr w14:val="tx1"/>
            </w14:solidFill>
          </w14:textFill>
        </w:rPr>
      </w:pPr>
      <w:r>
        <w:rPr>
          <w:color w:val="000000" w:themeColor="text1"/>
          <w14:textFill>
            <w14:solidFill>
              <w14:schemeClr w14:val="tx1"/>
            </w14:solidFill>
          </w14:textFill>
        </w:rPr>
        <w:drawing>
          <wp:inline distT="0" distB="0" distL="0" distR="0">
            <wp:extent cx="2228850" cy="382270"/>
            <wp:effectExtent l="0" t="0" r="0" b="0"/>
            <wp:docPr id="1631051906" name="图片 1631051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1051906" name="图片 1631051906"/>
                    <pic:cNvPicPr>
                      <a:picLocks noChangeAspect="1"/>
                    </pic:cNvPicPr>
                  </pic:nvPicPr>
                  <pic:blipFill>
                    <a:blip r:embed="rId16"/>
                    <a:stretch>
                      <a:fillRect/>
                    </a:stretch>
                  </pic:blipFill>
                  <pic:spPr>
                    <a:xfrm>
                      <a:off x="0" y="0"/>
                      <a:ext cx="2289983" cy="393176"/>
                    </a:xfrm>
                    <a:prstGeom prst="rect">
                      <a:avLst/>
                    </a:prstGeom>
                  </pic:spPr>
                </pic:pic>
              </a:graphicData>
            </a:graphic>
          </wp:inline>
        </w:drawing>
      </w:r>
    </w:p>
    <w:p w14:paraId="77F1318F">
      <w:pPr>
        <w:autoSpaceDE w:val="0"/>
        <w:autoSpaceDN w:val="0"/>
        <w:adjustRightInd w:val="0"/>
        <w:spacing w:line="500" w:lineRule="exact"/>
        <w:ind w:firstLine="1200" w:firstLineChars="500"/>
        <w:jc w:val="left"/>
        <w:rPr>
          <w:rFonts w:hint="eastAsia" w:ascii="宋体" w:hAnsi="宋体" w:cs="仿宋e眠副浡渀."/>
          <w:color w:val="000000" w:themeColor="text1"/>
          <w:kern w:val="0"/>
          <w:sz w:val="24"/>
          <w:szCs w:val="24"/>
          <w14:textFill>
            <w14:solidFill>
              <w14:schemeClr w14:val="tx1"/>
            </w14:solidFill>
          </w14:textFill>
        </w:rPr>
      </w:pPr>
      <w:r>
        <w:rPr>
          <w:rFonts w:ascii="宋体" w:hAnsi="宋体" w:cs="仿宋e眠副浡渀."/>
          <w:color w:val="000000" w:themeColor="text1"/>
          <w:kern w:val="0"/>
          <w:sz w:val="24"/>
          <w:szCs w:val="24"/>
          <w14:textFill>
            <w14:solidFill>
              <w14:schemeClr w14:val="tx1"/>
            </w14:solidFill>
          </w14:textFill>
        </w:rPr>
        <w:t>V</w:t>
      </w:r>
      <w:r>
        <w:rPr>
          <w:rFonts w:ascii="Cambria Math" w:hAnsi="Cambria Math" w:cs="Cambria Math"/>
          <w:color w:val="000000" w:themeColor="text1"/>
          <w:kern w:val="0"/>
          <w:sz w:val="24"/>
          <w:szCs w:val="24"/>
          <w:vertAlign w:val="subscript"/>
          <w14:textFill>
            <w14:solidFill>
              <w14:schemeClr w14:val="tx1"/>
            </w14:solidFill>
          </w14:textFill>
        </w:rPr>
        <w:t>𝑛</w:t>
      </w:r>
      <w:r>
        <w:rPr>
          <w:rFonts w:hint="eastAsia" w:ascii="宋体" w:hAnsi="宋体" w:cs="仿宋e眠副浡渀."/>
          <w:color w:val="000000" w:themeColor="text1"/>
          <w:kern w:val="0"/>
          <w:sz w:val="24"/>
          <w:szCs w:val="24"/>
          <w14:textFill>
            <w14:solidFill>
              <w14:schemeClr w14:val="tx1"/>
            </w14:solidFill>
          </w14:textFill>
        </w:rPr>
        <w:t>为火炬气中除</w:t>
      </w:r>
      <w:r>
        <w:rPr>
          <w:rFonts w:ascii="宋体" w:hAnsi="宋体" w:cs="仿宋e眠副浡渀."/>
          <w:color w:val="000000" w:themeColor="text1"/>
          <w:kern w:val="0"/>
          <w:sz w:val="24"/>
          <w:szCs w:val="24"/>
          <w14:textFill>
            <w14:solidFill>
              <w14:schemeClr w14:val="tx1"/>
            </w14:solidFill>
          </w14:textFill>
        </w:rPr>
        <w:t>CO</w:t>
      </w:r>
      <w:r>
        <w:rPr>
          <w:rFonts w:ascii="宋体" w:hAnsi="宋体" w:cs="仿宋e眠副浡渀."/>
          <w:color w:val="000000" w:themeColor="text1"/>
          <w:kern w:val="0"/>
          <w:sz w:val="24"/>
          <w:szCs w:val="24"/>
          <w:vertAlign w:val="subscript"/>
          <w14:textFill>
            <w14:solidFill>
              <w14:schemeClr w14:val="tx1"/>
            </w14:solidFill>
          </w14:textFill>
        </w:rPr>
        <w:t>2</w:t>
      </w:r>
      <w:r>
        <w:rPr>
          <w:rFonts w:hint="eastAsia" w:ascii="宋体" w:hAnsi="宋体" w:cs="仿宋e眠副浡渀."/>
          <w:color w:val="000000" w:themeColor="text1"/>
          <w:kern w:val="0"/>
          <w:sz w:val="24"/>
          <w:szCs w:val="24"/>
          <w14:textFill>
            <w14:solidFill>
              <w14:schemeClr w14:val="tx1"/>
            </w14:solidFill>
          </w14:textFill>
        </w:rPr>
        <w:t>外的第</w:t>
      </w:r>
      <w:r>
        <w:rPr>
          <w:rFonts w:ascii="宋体" w:hAnsi="宋体" w:cs="仿宋e眠副浡渀."/>
          <w:color w:val="000000" w:themeColor="text1"/>
          <w:kern w:val="0"/>
          <w:sz w:val="24"/>
          <w:szCs w:val="24"/>
          <w14:textFill>
            <w14:solidFill>
              <w14:schemeClr w14:val="tx1"/>
            </w14:solidFill>
          </w14:textFill>
        </w:rPr>
        <w:t>n</w:t>
      </w:r>
      <w:r>
        <w:rPr>
          <w:rFonts w:hint="eastAsia" w:ascii="宋体" w:hAnsi="宋体" w:cs="仿宋e眠副浡渀."/>
          <w:color w:val="000000" w:themeColor="text1"/>
          <w:kern w:val="0"/>
          <w:sz w:val="24"/>
          <w:szCs w:val="24"/>
          <w14:textFill>
            <w14:solidFill>
              <w14:schemeClr w14:val="tx1"/>
            </w14:solidFill>
          </w14:textFill>
        </w:rPr>
        <w:t>种含碳化合物（包括一氧化碳）的体积浓度，取值范围</w:t>
      </w:r>
      <w:r>
        <w:rPr>
          <w:rFonts w:ascii="宋体" w:hAnsi="宋体" w:cs="仿宋e眠副浡渀."/>
          <w:color w:val="000000" w:themeColor="text1"/>
          <w:kern w:val="0"/>
          <w:sz w:val="24"/>
          <w:szCs w:val="24"/>
          <w14:textFill>
            <w14:solidFill>
              <w14:schemeClr w14:val="tx1"/>
            </w14:solidFill>
          </w14:textFill>
        </w:rPr>
        <w:t>0</w:t>
      </w:r>
      <w:r>
        <w:rPr>
          <w:rFonts w:hint="eastAsia" w:ascii="宋体" w:hAnsi="宋体" w:cs="仿宋e眠副浡渀."/>
          <w:color w:val="000000" w:themeColor="text1"/>
          <w:kern w:val="0"/>
          <w:sz w:val="24"/>
          <w:szCs w:val="24"/>
          <w14:textFill>
            <w14:solidFill>
              <w14:schemeClr w14:val="tx1"/>
            </w14:solidFill>
          </w14:textFill>
        </w:rPr>
        <w:t>～</w:t>
      </w:r>
      <w:r>
        <w:rPr>
          <w:rFonts w:ascii="宋体" w:hAnsi="宋体" w:cs="仿宋e眠副浡渀."/>
          <w:color w:val="000000" w:themeColor="text1"/>
          <w:kern w:val="0"/>
          <w:sz w:val="24"/>
          <w:szCs w:val="24"/>
          <w14:textFill>
            <w14:solidFill>
              <w14:schemeClr w14:val="tx1"/>
            </w14:solidFill>
          </w14:textFill>
        </w:rPr>
        <w:t>1</w:t>
      </w:r>
      <w:r>
        <w:rPr>
          <w:rFonts w:hint="eastAsia" w:ascii="宋体" w:hAnsi="宋体" w:cs="仿宋e眠副浡渀."/>
          <w:color w:val="000000" w:themeColor="text1"/>
          <w:kern w:val="0"/>
          <w:sz w:val="24"/>
          <w:szCs w:val="24"/>
          <w14:textFill>
            <w14:solidFill>
              <w14:schemeClr w14:val="tx1"/>
            </w14:solidFill>
          </w14:textFill>
        </w:rPr>
        <w:t>，如某含碳化合物的体积浓度为</w:t>
      </w:r>
      <w:r>
        <w:rPr>
          <w:rFonts w:ascii="宋体" w:hAnsi="宋体" w:cs="仿宋e眠副浡渀."/>
          <w:color w:val="000000" w:themeColor="text1"/>
          <w:kern w:val="0"/>
          <w:sz w:val="24"/>
          <w:szCs w:val="24"/>
          <w14:textFill>
            <w14:solidFill>
              <w14:schemeClr w14:val="tx1"/>
            </w14:solidFill>
          </w14:textFill>
        </w:rPr>
        <w:t>90%</w:t>
      </w:r>
      <w:r>
        <w:rPr>
          <w:rFonts w:hint="eastAsia" w:ascii="宋体" w:hAnsi="宋体" w:cs="仿宋e眠副浡渀."/>
          <w:color w:val="000000" w:themeColor="text1"/>
          <w:kern w:val="0"/>
          <w:sz w:val="24"/>
          <w:szCs w:val="24"/>
          <w14:textFill>
            <w14:solidFill>
              <w14:schemeClr w14:val="tx1"/>
            </w14:solidFill>
          </w14:textFill>
        </w:rPr>
        <w:t>；根据伴生气中各组分含量计算出</w:t>
      </w:r>
      <w:r>
        <w:rPr>
          <w:rFonts w:ascii="Cambria Math" w:hAnsi="Cambria Math" w:cs="Cambria Math"/>
          <w:color w:val="000000" w:themeColor="text1"/>
          <w:kern w:val="0"/>
          <w:sz w:val="24"/>
          <w:szCs w:val="24"/>
          <w14:textFill>
            <w14:solidFill>
              <w14:schemeClr w14:val="tx1"/>
            </w14:solidFill>
          </w14:textFill>
        </w:rPr>
        <w:t>𝐶𝐶</w:t>
      </w:r>
      <w:r>
        <w:rPr>
          <w:rFonts w:hint="eastAsia" w:ascii="Cambria Math" w:hAnsi="Cambria Math" w:cs="Cambria Math"/>
          <w:color w:val="000000" w:themeColor="text1"/>
          <w:kern w:val="0"/>
          <w:sz w:val="24"/>
          <w:szCs w:val="24"/>
          <w:vertAlign w:val="subscript"/>
          <w14:textFill>
            <w14:solidFill>
              <w14:schemeClr w14:val="tx1"/>
            </w14:solidFill>
          </w14:textFill>
        </w:rPr>
        <w:t>（</w:t>
      </w:r>
      <w:r>
        <w:rPr>
          <w:rFonts w:hint="eastAsia" w:ascii="宋体" w:hAnsi="宋体" w:cs="仿宋e眠副浡渀."/>
          <w:color w:val="000000" w:themeColor="text1"/>
          <w:kern w:val="0"/>
          <w:sz w:val="24"/>
          <w:szCs w:val="24"/>
          <w:vertAlign w:val="subscript"/>
          <w14:textFill>
            <w14:solidFill>
              <w14:schemeClr w14:val="tx1"/>
            </w14:solidFill>
          </w14:textFill>
        </w:rPr>
        <w:t>非</w:t>
      </w:r>
      <w:r>
        <w:rPr>
          <w:rFonts w:ascii="Cambria Math" w:hAnsi="Cambria Math" w:cs="Cambria Math"/>
          <w:color w:val="000000" w:themeColor="text1"/>
          <w:kern w:val="0"/>
          <w:sz w:val="24"/>
          <w:szCs w:val="24"/>
          <w:vertAlign w:val="subscript"/>
          <w14:textFill>
            <w14:solidFill>
              <w14:schemeClr w14:val="tx1"/>
            </w14:solidFill>
          </w14:textFill>
        </w:rPr>
        <w:t>𝐶𝑂</w:t>
      </w:r>
      <w:r>
        <w:rPr>
          <w:rFonts w:ascii="宋体" w:hAnsi="宋体" w:cs="Cambria Math"/>
          <w:color w:val="000000" w:themeColor="text1"/>
          <w:kern w:val="0"/>
          <w:sz w:val="24"/>
          <w:szCs w:val="24"/>
          <w:vertAlign w:val="subscript"/>
          <w14:textFill>
            <w14:solidFill>
              <w14:schemeClr w14:val="tx1"/>
            </w14:solidFill>
          </w14:textFill>
        </w:rPr>
        <w:t>2</w:t>
      </w:r>
      <w:r>
        <w:rPr>
          <w:rFonts w:hint="eastAsia" w:ascii="宋体" w:hAnsi="宋体" w:cs="Cambria Math"/>
          <w:color w:val="000000" w:themeColor="text1"/>
          <w:kern w:val="0"/>
          <w:sz w:val="24"/>
          <w:szCs w:val="24"/>
          <w:vertAlign w:val="subscript"/>
          <w14:textFill>
            <w14:solidFill>
              <w14:schemeClr w14:val="tx1"/>
            </w14:solidFill>
          </w14:textFill>
        </w:rPr>
        <w:t>）</w:t>
      </w:r>
      <w:r>
        <w:rPr>
          <w:rFonts w:hint="eastAsia" w:ascii="宋体" w:hAnsi="宋体" w:cs="Cambria Math"/>
          <w:color w:val="000000" w:themeColor="text1"/>
          <w:kern w:val="0"/>
          <w:sz w:val="24"/>
          <w:szCs w:val="24"/>
          <w14:textFill>
            <w14:solidFill>
              <w14:schemeClr w14:val="tx1"/>
            </w14:solidFill>
          </w14:textFill>
        </w:rPr>
        <w:t>为11.288；</w:t>
      </w:r>
    </w:p>
    <w:p w14:paraId="7B072C2A">
      <w:pPr>
        <w:autoSpaceDE w:val="0"/>
        <w:autoSpaceDN w:val="0"/>
        <w:adjustRightInd w:val="0"/>
        <w:spacing w:line="500" w:lineRule="exact"/>
        <w:ind w:firstLine="1200" w:firstLineChars="500"/>
        <w:jc w:val="left"/>
        <w:rPr>
          <w:rFonts w:hint="eastAsia" w:ascii="宋体" w:hAnsi="宋体" w:cs="仿宋e眠副浡渀."/>
          <w:color w:val="000000" w:themeColor="text1"/>
          <w:kern w:val="0"/>
          <w:sz w:val="24"/>
          <w:szCs w:val="24"/>
          <w14:textFill>
            <w14:solidFill>
              <w14:schemeClr w14:val="tx1"/>
            </w14:solidFill>
          </w14:textFill>
        </w:rPr>
      </w:pPr>
      <w:r>
        <w:rPr>
          <w:rFonts w:ascii="Cambria Math" w:hAnsi="Cambria Math" w:cs="Cambria Math"/>
          <w:color w:val="000000" w:themeColor="text1"/>
          <w:kern w:val="0"/>
          <w:sz w:val="24"/>
          <w:szCs w:val="24"/>
          <w14:textFill>
            <w14:solidFill>
              <w14:schemeClr w14:val="tx1"/>
            </w14:solidFill>
          </w14:textFill>
        </w:rPr>
        <w:t>𝐶𝑁</w:t>
      </w:r>
      <w:r>
        <w:rPr>
          <w:rFonts w:ascii="Cambria Math" w:hAnsi="Cambria Math" w:cs="Cambria Math"/>
          <w:color w:val="000000" w:themeColor="text1"/>
          <w:kern w:val="0"/>
          <w:sz w:val="24"/>
          <w:szCs w:val="24"/>
          <w:vertAlign w:val="subscript"/>
          <w14:textFill>
            <w14:solidFill>
              <w14:schemeClr w14:val="tx1"/>
            </w14:solidFill>
          </w14:textFill>
        </w:rPr>
        <w:t>𝑛</w:t>
      </w:r>
      <w:r>
        <w:rPr>
          <w:rFonts w:hint="eastAsia" w:ascii="宋体" w:hAnsi="宋体" w:cs="仿宋e眠副浡渀."/>
          <w:color w:val="000000" w:themeColor="text1"/>
          <w:kern w:val="0"/>
          <w:sz w:val="24"/>
          <w:szCs w:val="24"/>
          <w14:textFill>
            <w14:solidFill>
              <w14:schemeClr w14:val="tx1"/>
            </w14:solidFill>
          </w14:textFill>
        </w:rPr>
        <w:t>为火炬气中第</w:t>
      </w:r>
      <w:r>
        <w:rPr>
          <w:rFonts w:ascii="宋体" w:hAnsi="宋体" w:cs="仿宋e眠副浡渀."/>
          <w:color w:val="000000" w:themeColor="text1"/>
          <w:kern w:val="0"/>
          <w:sz w:val="24"/>
          <w:szCs w:val="24"/>
          <w14:textFill>
            <w14:solidFill>
              <w14:schemeClr w14:val="tx1"/>
            </w14:solidFill>
          </w14:textFill>
        </w:rPr>
        <w:t>n</w:t>
      </w:r>
      <w:r>
        <w:rPr>
          <w:rFonts w:hint="eastAsia" w:ascii="宋体" w:hAnsi="宋体" w:cs="仿宋e眠副浡渀."/>
          <w:color w:val="000000" w:themeColor="text1"/>
          <w:kern w:val="0"/>
          <w:sz w:val="24"/>
          <w:szCs w:val="24"/>
          <w14:textFill>
            <w14:solidFill>
              <w14:schemeClr w14:val="tx1"/>
            </w14:solidFill>
          </w14:textFill>
        </w:rPr>
        <w:t>种含碳化合物（包括一氧化碳）化学分子式中的碳原子数目。</w:t>
      </w:r>
    </w:p>
    <w:p w14:paraId="5D3632C7">
      <w:pPr>
        <w:autoSpaceDE w:val="0"/>
        <w:autoSpaceDN w:val="0"/>
        <w:adjustRightInd w:val="0"/>
        <w:spacing w:line="500" w:lineRule="exact"/>
        <w:ind w:firstLine="1200" w:firstLineChars="500"/>
        <w:jc w:val="left"/>
        <w:rPr>
          <w:rFonts w:hint="eastAsia" w:ascii="宋体" w:hAnsi="宋体" w:cs="仿宋e眠副浡渀."/>
          <w:color w:val="000000" w:themeColor="text1"/>
          <w:kern w:val="0"/>
          <w:sz w:val="24"/>
          <w:szCs w:val="24"/>
          <w14:textFill>
            <w14:solidFill>
              <w14:schemeClr w14:val="tx1"/>
            </w14:solidFill>
          </w14:textFill>
        </w:rPr>
      </w:pPr>
      <w:r>
        <w:rPr>
          <w:rFonts w:ascii="宋体" w:hAnsi="宋体" w:cs="Cambria Math"/>
          <w:color w:val="000000" w:themeColor="text1"/>
          <w:kern w:val="0"/>
          <w:sz w:val="24"/>
          <w:szCs w:val="24"/>
          <w14:textFill>
            <w14:solidFill>
              <w14:schemeClr w14:val="tx1"/>
            </w14:solidFill>
          </w14:textFill>
        </w:rPr>
        <w:t>OF</w:t>
      </w:r>
      <w:r>
        <w:rPr>
          <w:rFonts w:hint="eastAsia" w:ascii="宋体" w:hAnsi="宋体" w:cs="仿宋e眠副浡渀."/>
          <w:color w:val="000000" w:themeColor="text1"/>
          <w:kern w:val="0"/>
          <w:sz w:val="24"/>
          <w:szCs w:val="24"/>
          <w14:textFill>
            <w14:solidFill>
              <w14:schemeClr w14:val="tx1"/>
            </w14:solidFill>
          </w14:textFill>
        </w:rPr>
        <w:t>为火炬燃烧的碳氧化率，如无实测数据可采用缺省值</w:t>
      </w:r>
      <w:r>
        <w:rPr>
          <w:rFonts w:ascii="宋体" w:hAnsi="宋体"/>
          <w:color w:val="000000" w:themeColor="text1"/>
          <w:kern w:val="0"/>
          <w:sz w:val="24"/>
          <w:szCs w:val="24"/>
          <w14:textFill>
            <w14:solidFill>
              <w14:schemeClr w14:val="tx1"/>
            </w14:solidFill>
          </w14:textFill>
        </w:rPr>
        <w:t>0.98</w:t>
      </w:r>
      <w:r>
        <w:rPr>
          <w:rFonts w:hint="eastAsia" w:ascii="宋体" w:hAnsi="宋体" w:cs="仿宋e眠副浡渀."/>
          <w:color w:val="000000" w:themeColor="text1"/>
          <w:kern w:val="0"/>
          <w:sz w:val="24"/>
          <w:szCs w:val="24"/>
          <w14:textFill>
            <w14:solidFill>
              <w14:schemeClr w14:val="tx1"/>
            </w14:solidFill>
          </w14:textFill>
        </w:rPr>
        <w:t>；</w:t>
      </w:r>
      <w:r>
        <w:rPr>
          <w:rFonts w:ascii="宋体" w:hAnsi="宋体" w:cs="仿宋e眠副浡渀."/>
          <w:color w:val="000000" w:themeColor="text1"/>
          <w:kern w:val="0"/>
          <w:sz w:val="24"/>
          <w:szCs w:val="24"/>
          <w14:textFill>
            <w14:solidFill>
              <w14:schemeClr w14:val="tx1"/>
            </w14:solidFill>
          </w14:textFill>
        </w:rPr>
        <w:t xml:space="preserve"> </w:t>
      </w:r>
    </w:p>
    <w:p w14:paraId="0346EF50">
      <w:pPr>
        <w:pStyle w:val="191"/>
        <w:adjustRightInd w:val="0"/>
        <w:ind w:firstLine="1200" w:firstLineChars="500"/>
        <w:rPr>
          <w:rFonts w:hint="eastAsia"/>
          <w:color w:val="000000" w:themeColor="text1"/>
          <w14:textFill>
            <w14:solidFill>
              <w14:schemeClr w14:val="tx1"/>
            </w14:solidFill>
          </w14:textFill>
        </w:rPr>
      </w:pPr>
      <w:r>
        <w:rPr>
          <w:rFonts w:ascii="Cambria Math" w:hAnsi="Cambria Math" w:cs="Cambria Math"/>
          <w:color w:val="000000" w:themeColor="text1"/>
          <w14:textFill>
            <w14:solidFill>
              <w14:schemeClr w14:val="tx1"/>
            </w14:solidFill>
          </w14:textFill>
        </w:rPr>
        <w:t>𝑉</w:t>
      </w:r>
      <w:r>
        <w:rPr>
          <w:rFonts w:cs="Cambria Math"/>
          <w:color w:val="000000" w:themeColor="text1"/>
          <w:vertAlign w:val="subscript"/>
          <w14:textFill>
            <w14:solidFill>
              <w14:schemeClr w14:val="tx1"/>
            </w14:solidFill>
          </w14:textFill>
        </w:rPr>
        <w:t>(</w:t>
      </w:r>
      <w:r>
        <w:rPr>
          <w:rFonts w:ascii="Cambria Math" w:hAnsi="Cambria Math" w:cs="Cambria Math"/>
          <w:color w:val="000000" w:themeColor="text1"/>
          <w:vertAlign w:val="subscript"/>
          <w14:textFill>
            <w14:solidFill>
              <w14:schemeClr w14:val="tx1"/>
            </w14:solidFill>
          </w14:textFill>
        </w:rPr>
        <w:t>𝐶𝑂</w:t>
      </w:r>
      <w:r>
        <w:rPr>
          <w:rFonts w:cs="Cambria Math"/>
          <w:color w:val="000000" w:themeColor="text1"/>
          <w:vertAlign w:val="subscript"/>
          <w14:textFill>
            <w14:solidFill>
              <w14:schemeClr w14:val="tx1"/>
            </w14:solidFill>
          </w14:textFill>
        </w:rPr>
        <w:t>2)</w:t>
      </w:r>
      <w:r>
        <w:rPr>
          <w:rFonts w:ascii="Cambria Math" w:hAnsi="Cambria Math" w:cs="Cambria Math"/>
          <w:color w:val="000000" w:themeColor="text1"/>
          <w:vertAlign w:val="subscript"/>
          <w14:textFill>
            <w14:solidFill>
              <w14:schemeClr w14:val="tx1"/>
            </w14:solidFill>
          </w14:textFill>
        </w:rPr>
        <w:t>𝑗</w:t>
      </w:r>
      <w:r>
        <w:rPr>
          <w:rFonts w:hint="eastAsia" w:cs="仿宋e眠副浡渀."/>
          <w:color w:val="000000" w:themeColor="text1"/>
          <w14:textFill>
            <w14:solidFill>
              <w14:schemeClr w14:val="tx1"/>
            </w14:solidFill>
          </w14:textFill>
        </w:rPr>
        <w:t>为第</w:t>
      </w:r>
      <w:r>
        <w:rPr>
          <w:color w:val="000000" w:themeColor="text1"/>
          <w14:textFill>
            <w14:solidFill>
              <w14:schemeClr w14:val="tx1"/>
            </w14:solidFill>
          </w14:textFill>
        </w:rPr>
        <w:t>j</w:t>
      </w:r>
      <w:r>
        <w:rPr>
          <w:rFonts w:hint="eastAsia" w:cs="仿宋e眠副浡渀."/>
          <w:color w:val="000000" w:themeColor="text1"/>
          <w14:textFill>
            <w14:solidFill>
              <w14:schemeClr w14:val="tx1"/>
            </w14:solidFill>
          </w14:textFill>
        </w:rPr>
        <w:t>次事故火炬气中</w:t>
      </w:r>
      <w:r>
        <w:rPr>
          <w:color w:val="000000" w:themeColor="text1"/>
          <w14:textFill>
            <w14:solidFill>
              <w14:schemeClr w14:val="tx1"/>
            </w14:solidFill>
          </w14:textFill>
        </w:rPr>
        <w:t>CO</w:t>
      </w:r>
      <w:r>
        <w:rPr>
          <w:color w:val="000000" w:themeColor="text1"/>
          <w:vertAlign w:val="subscript"/>
          <w14:textFill>
            <w14:solidFill>
              <w14:schemeClr w14:val="tx1"/>
            </w14:solidFill>
          </w14:textFill>
        </w:rPr>
        <w:t>2</w:t>
      </w:r>
      <w:r>
        <w:rPr>
          <w:rFonts w:hint="eastAsia" w:cs="仿宋e眠副浡渀."/>
          <w:color w:val="000000" w:themeColor="text1"/>
          <w14:textFill>
            <w14:solidFill>
              <w14:schemeClr w14:val="tx1"/>
            </w14:solidFill>
          </w14:textFill>
        </w:rPr>
        <w:t>的体积浓度，本次取1%；</w:t>
      </w:r>
    </w:p>
    <w:p w14:paraId="53577C92">
      <w:pPr>
        <w:pStyle w:val="191"/>
        <w:adjustRightInd w:val="0"/>
        <w:ind w:firstLine="1200" w:firstLineChars="500"/>
        <w:rPr>
          <w:rFonts w:hint="eastAsia"/>
          <w:color w:val="000000" w:themeColor="text1"/>
          <w14:textFill>
            <w14:solidFill>
              <w14:schemeClr w14:val="tx1"/>
            </w14:solidFill>
          </w14:textFill>
        </w:rPr>
      </w:pPr>
      <w:r>
        <w:rPr>
          <w:rFonts w:ascii="Cambria Math" w:hAnsi="Cambria Math" w:cs="Cambria Math"/>
          <w:color w:val="000000" w:themeColor="text1"/>
          <w14:textFill>
            <w14:solidFill>
              <w14:schemeClr w14:val="tx1"/>
            </w14:solidFill>
          </w14:textFill>
        </w:rPr>
        <w:t>𝑉</w:t>
      </w:r>
      <w:r>
        <w:rPr>
          <w:rFonts w:ascii="Cambria Math" w:hAnsi="Cambria Math" w:cs="Cambria Math"/>
          <w:color w:val="000000" w:themeColor="text1"/>
          <w:vertAlign w:val="subscript"/>
          <w14:textFill>
            <w14:solidFill>
              <w14:schemeClr w14:val="tx1"/>
            </w14:solidFill>
          </w14:textFill>
        </w:rPr>
        <w:t>𝐶𝐻</w:t>
      </w:r>
      <w:r>
        <w:rPr>
          <w:color w:val="000000" w:themeColor="text1"/>
          <w:vertAlign w:val="subscript"/>
          <w14:textFill>
            <w14:solidFill>
              <w14:schemeClr w14:val="tx1"/>
            </w14:solidFill>
          </w14:textFill>
        </w:rPr>
        <w:t>4</w:t>
      </w:r>
      <w:r>
        <w:rPr>
          <w:rFonts w:hint="eastAsia" w:cs="仿宋 .瑨.."/>
          <w:color w:val="000000" w:themeColor="text1"/>
          <w14:textFill>
            <w14:solidFill>
              <w14:schemeClr w14:val="tx1"/>
            </w14:solidFill>
          </w14:textFill>
        </w:rPr>
        <w:t>为事故火炬气中</w:t>
      </w:r>
      <w:r>
        <w:rPr>
          <w:color w:val="000000" w:themeColor="text1"/>
          <w14:textFill>
            <w14:solidFill>
              <w14:schemeClr w14:val="tx1"/>
            </w14:solidFill>
          </w14:textFill>
        </w:rPr>
        <w:t>CH</w:t>
      </w:r>
      <w:r>
        <w:rPr>
          <w:color w:val="000000" w:themeColor="text1"/>
          <w:vertAlign w:val="subscript"/>
          <w14:textFill>
            <w14:solidFill>
              <w14:schemeClr w14:val="tx1"/>
            </w14:solidFill>
          </w14:textFill>
        </w:rPr>
        <w:t>4</w:t>
      </w:r>
      <w:r>
        <w:rPr>
          <w:rFonts w:hint="eastAsia" w:cs="仿宋 .瑨.."/>
          <w:color w:val="000000" w:themeColor="text1"/>
          <w14:textFill>
            <w14:solidFill>
              <w14:schemeClr w14:val="tx1"/>
            </w14:solidFill>
          </w14:textFill>
        </w:rPr>
        <w:t>的体积浓度，本次取71.07%。</w:t>
      </w:r>
    </w:p>
    <w:p w14:paraId="5E52C2D5">
      <w:pPr>
        <w:pStyle w:val="191"/>
        <w:ind w:firstLine="476"/>
        <w:rPr>
          <w:rFonts w:hint="eastAsia"/>
          <w:color w:val="000000" w:themeColor="text1"/>
          <w:spacing w:val="-2"/>
          <w14:textFill>
            <w14:solidFill>
              <w14:schemeClr w14:val="tx1"/>
            </w14:solidFill>
          </w14:textFill>
        </w:rPr>
      </w:pPr>
      <w:r>
        <w:rPr>
          <w:rFonts w:hint="eastAsia"/>
          <w:color w:val="000000" w:themeColor="text1"/>
          <w:spacing w:val="-2"/>
          <w14:textFill>
            <w14:solidFill>
              <w14:schemeClr w14:val="tx1"/>
            </w14:solidFill>
          </w14:textFill>
        </w:rPr>
        <w:t>根据上述公式计算出CH</w:t>
      </w:r>
      <w:r>
        <w:rPr>
          <w:rFonts w:hint="eastAsia"/>
          <w:color w:val="000000" w:themeColor="text1"/>
          <w:spacing w:val="-2"/>
          <w:vertAlign w:val="subscript"/>
          <w14:textFill>
            <w14:solidFill>
              <w14:schemeClr w14:val="tx1"/>
            </w14:solidFill>
          </w14:textFill>
        </w:rPr>
        <w:t>4</w:t>
      </w:r>
      <w:r>
        <w:rPr>
          <w:rFonts w:hint="eastAsia"/>
          <w:color w:val="000000" w:themeColor="text1"/>
          <w:spacing w:val="-2"/>
          <w14:textFill>
            <w14:solidFill>
              <w14:schemeClr w14:val="tx1"/>
            </w14:solidFill>
          </w14:textFill>
        </w:rPr>
        <w:t>和CO</w:t>
      </w:r>
      <w:r>
        <w:rPr>
          <w:rFonts w:hint="eastAsia"/>
          <w:color w:val="000000" w:themeColor="text1"/>
          <w:spacing w:val="-2"/>
          <w:vertAlign w:val="subscript"/>
          <w14:textFill>
            <w14:solidFill>
              <w14:schemeClr w14:val="tx1"/>
            </w14:solidFill>
          </w14:textFill>
        </w:rPr>
        <w:t>2</w:t>
      </w:r>
      <w:r>
        <w:rPr>
          <w:rFonts w:hint="eastAsia"/>
          <w:color w:val="000000" w:themeColor="text1"/>
          <w:spacing w:val="-2"/>
          <w14:textFill>
            <w14:solidFill>
              <w14:schemeClr w14:val="tx1"/>
            </w14:solidFill>
          </w14:textFill>
        </w:rPr>
        <w:t>排放量分别为0.04t、16.8t。</w:t>
      </w:r>
    </w:p>
    <w:p w14:paraId="28095566">
      <w:pPr>
        <w:pStyle w:val="191"/>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※净购入电力隐含的CO</w:t>
      </w:r>
      <w:r>
        <w:rPr>
          <w:rFonts w:hint="eastAsia"/>
          <w:color w:val="000000" w:themeColor="text1"/>
          <w:vertAlign w:val="subscript"/>
          <w14:textFill>
            <w14:solidFill>
              <w14:schemeClr w14:val="tx1"/>
            </w14:solidFill>
          </w14:textFill>
        </w:rPr>
        <w:t>2</w:t>
      </w:r>
      <w:r>
        <w:rPr>
          <w:rFonts w:hint="eastAsia"/>
          <w:color w:val="000000" w:themeColor="text1"/>
          <w14:textFill>
            <w14:solidFill>
              <w14:schemeClr w14:val="tx1"/>
            </w14:solidFill>
          </w14:textFill>
        </w:rPr>
        <w:t>排放量</w:t>
      </w:r>
    </w:p>
    <w:p w14:paraId="091DF2BD">
      <w:pPr>
        <w:pStyle w:val="191"/>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购入电力生产的二氧化碳排放量按如下公式计算：</w:t>
      </w:r>
    </w:p>
    <w:p w14:paraId="5CF5F77A">
      <w:pPr>
        <w:pStyle w:val="19"/>
        <w:kinsoku w:val="0"/>
        <w:overflowPunct w:val="0"/>
        <w:spacing w:before="3"/>
        <w:jc w:val="center"/>
        <w:rPr>
          <w:color w:val="000000" w:themeColor="text1"/>
          <w:sz w:val="17"/>
          <w:szCs w:val="17"/>
          <w14:textFill>
            <w14:solidFill>
              <w14:schemeClr w14:val="tx1"/>
            </w14:solidFill>
          </w14:textFill>
        </w:rPr>
      </w:pPr>
      <w:r>
        <w:rPr>
          <w:color w:val="000000" w:themeColor="text1"/>
          <w14:textFill>
            <w14:solidFill>
              <w14:schemeClr w14:val="tx1"/>
            </w14:solidFill>
          </w14:textFill>
        </w:rPr>
        <w:drawing>
          <wp:inline distT="0" distB="0" distL="0" distR="0">
            <wp:extent cx="2361565" cy="445135"/>
            <wp:effectExtent l="0" t="0" r="635" b="0"/>
            <wp:docPr id="897" name="图片 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7" name="图片 89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2361565" cy="445135"/>
                    </a:xfrm>
                    <a:prstGeom prst="rect">
                      <a:avLst/>
                    </a:prstGeom>
                    <a:noFill/>
                    <a:ln>
                      <a:noFill/>
                    </a:ln>
                  </pic:spPr>
                </pic:pic>
              </a:graphicData>
            </a:graphic>
          </wp:inline>
        </w:drawing>
      </w:r>
    </w:p>
    <w:p w14:paraId="6323F3B6">
      <w:pPr>
        <w:pStyle w:val="191"/>
        <w:ind w:firstLine="476"/>
        <w:rPr>
          <w:rFonts w:hint="eastAsia"/>
          <w:color w:val="000000" w:themeColor="text1"/>
          <w14:textFill>
            <w14:solidFill>
              <w14:schemeClr w14:val="tx1"/>
            </w14:solidFill>
          </w14:textFill>
        </w:rPr>
      </w:pPr>
      <w:r>
        <w:rPr>
          <w:rFonts w:hint="eastAsia"/>
          <w:color w:val="000000" w:themeColor="text1"/>
          <w:spacing w:val="-2"/>
          <w:position w:val="2"/>
          <w14:textFill>
            <w14:solidFill>
              <w14:schemeClr w14:val="tx1"/>
            </w14:solidFill>
          </w14:textFill>
        </w:rPr>
        <w:t>式中：</w:t>
      </w:r>
      <w:r>
        <w:rPr>
          <w:rFonts w:hint="eastAsia"/>
          <w:color w:val="000000" w:themeColor="text1"/>
          <w14:textFill>
            <w14:solidFill>
              <w14:schemeClr w14:val="tx1"/>
            </w14:solidFill>
          </w14:textFill>
        </w:rPr>
        <w:t>E</w:t>
      </w:r>
      <w:r>
        <w:rPr>
          <w:rFonts w:hint="eastAsia"/>
          <w:color w:val="000000" w:themeColor="text1"/>
          <w:vertAlign w:val="subscript"/>
          <w14:textFill>
            <w14:solidFill>
              <w14:schemeClr w14:val="tx1"/>
            </w14:solidFill>
          </w14:textFill>
        </w:rPr>
        <w:t>C02-净电</w:t>
      </w:r>
      <w:r>
        <w:rPr>
          <w:rFonts w:hint="eastAsia"/>
          <w:color w:val="000000" w:themeColor="text1"/>
          <w14:textFill>
            <w14:solidFill>
              <w14:schemeClr w14:val="tx1"/>
            </w14:solidFill>
          </w14:textFill>
        </w:rPr>
        <w:t>为报告主体净购入电力隐含的C0</w:t>
      </w:r>
      <w:r>
        <w:rPr>
          <w:rFonts w:hint="eastAsia"/>
          <w:color w:val="000000" w:themeColor="text1"/>
          <w:vertAlign w:val="subscript"/>
          <w14:textFill>
            <w14:solidFill>
              <w14:schemeClr w14:val="tx1"/>
            </w14:solidFill>
          </w14:textFill>
        </w:rPr>
        <w:t>2</w:t>
      </w:r>
      <w:r>
        <w:rPr>
          <w:rFonts w:hint="eastAsia"/>
          <w:color w:val="000000" w:themeColor="text1"/>
          <w14:textFill>
            <w14:solidFill>
              <w14:schemeClr w14:val="tx1"/>
            </w14:solidFill>
          </w14:textFill>
        </w:rPr>
        <w:t>排放量，单位为吨C0</w:t>
      </w:r>
      <w:r>
        <w:rPr>
          <w:rFonts w:hint="eastAsia"/>
          <w:color w:val="000000" w:themeColor="text1"/>
          <w:vertAlign w:val="subscript"/>
          <w14:textFill>
            <w14:solidFill>
              <w14:schemeClr w14:val="tx1"/>
            </w14:solidFill>
          </w14:textFill>
        </w:rPr>
        <w:t>2</w:t>
      </w:r>
      <w:r>
        <w:rPr>
          <w:rFonts w:hint="eastAsia"/>
          <w:color w:val="000000" w:themeColor="text1"/>
          <w14:textFill>
            <w14:solidFill>
              <w14:schemeClr w14:val="tx1"/>
            </w14:solidFill>
          </w14:textFill>
        </w:rPr>
        <w:t>；</w:t>
      </w:r>
    </w:p>
    <w:p w14:paraId="754978A3">
      <w:pPr>
        <w:pStyle w:val="191"/>
        <w:ind w:firstLine="1200" w:firstLineChars="50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AD</w:t>
      </w:r>
      <w:r>
        <w:rPr>
          <w:rFonts w:hint="eastAsia"/>
          <w:color w:val="000000" w:themeColor="text1"/>
          <w:vertAlign w:val="subscript"/>
          <w14:textFill>
            <w14:solidFill>
              <w14:schemeClr w14:val="tx1"/>
            </w14:solidFill>
          </w14:textFill>
        </w:rPr>
        <w:t>电力</w:t>
      </w:r>
      <w:r>
        <w:rPr>
          <w:rFonts w:hint="eastAsia"/>
          <w:color w:val="000000" w:themeColor="text1"/>
          <w14:textFill>
            <w14:solidFill>
              <w14:schemeClr w14:val="tx1"/>
            </w14:solidFill>
          </w14:textFill>
        </w:rPr>
        <w:t>为企业净购入的电力消费量，单位为兆瓦时（MWh）；</w:t>
      </w:r>
    </w:p>
    <w:p w14:paraId="1EA5F828">
      <w:pPr>
        <w:pStyle w:val="191"/>
        <w:ind w:firstLine="1200" w:firstLineChars="50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EF</w:t>
      </w:r>
      <w:r>
        <w:rPr>
          <w:rFonts w:hint="eastAsia"/>
          <w:color w:val="000000" w:themeColor="text1"/>
          <w:vertAlign w:val="subscript"/>
          <w14:textFill>
            <w14:solidFill>
              <w14:schemeClr w14:val="tx1"/>
            </w14:solidFill>
          </w14:textFill>
        </w:rPr>
        <w:t>电力</w:t>
      </w:r>
      <w:r>
        <w:rPr>
          <w:rFonts w:hint="eastAsia"/>
          <w:color w:val="000000" w:themeColor="text1"/>
          <w14:textFill>
            <w14:solidFill>
              <w14:schemeClr w14:val="tx1"/>
            </w14:solidFill>
          </w14:textFill>
        </w:rPr>
        <w:t>为电力供应的C0</w:t>
      </w:r>
      <w:r>
        <w:rPr>
          <w:rFonts w:hint="eastAsia"/>
          <w:color w:val="000000" w:themeColor="text1"/>
          <w:vertAlign w:val="subscript"/>
          <w14:textFill>
            <w14:solidFill>
              <w14:schemeClr w14:val="tx1"/>
            </w14:solidFill>
          </w14:textFill>
        </w:rPr>
        <w:t>2</w:t>
      </w:r>
      <w:r>
        <w:rPr>
          <w:rFonts w:hint="eastAsia"/>
          <w:color w:val="000000" w:themeColor="text1"/>
          <w14:textFill>
            <w14:solidFill>
              <w14:schemeClr w14:val="tx1"/>
            </w14:solidFill>
          </w14:textFill>
        </w:rPr>
        <w:t>排放因子，单位为吨C0</w:t>
      </w:r>
      <w:r>
        <w:rPr>
          <w:rFonts w:hint="eastAsia"/>
          <w:color w:val="000000" w:themeColor="text1"/>
          <w:vertAlign w:val="subscript"/>
          <w14:textFill>
            <w14:solidFill>
              <w14:schemeClr w14:val="tx1"/>
            </w14:solidFill>
          </w14:textFill>
        </w:rPr>
        <w:t>2</w:t>
      </w:r>
      <w:r>
        <w:rPr>
          <w:rFonts w:hint="eastAsia"/>
          <w:color w:val="000000" w:themeColor="text1"/>
          <w14:textFill>
            <w14:solidFill>
              <w14:schemeClr w14:val="tx1"/>
            </w14:solidFill>
          </w14:textFill>
        </w:rPr>
        <w:t>/MWh。</w:t>
      </w:r>
    </w:p>
    <w:p w14:paraId="602DE295">
      <w:pPr>
        <w:pStyle w:val="191"/>
        <w:ind w:firstLine="456"/>
        <w:rPr>
          <w:rFonts w:hint="eastAsia"/>
          <w:color w:val="000000" w:themeColor="text1"/>
          <w14:textFill>
            <w14:solidFill>
              <w14:schemeClr w14:val="tx1"/>
            </w14:solidFill>
          </w14:textFill>
        </w:rPr>
      </w:pPr>
      <w:r>
        <w:rPr>
          <w:rFonts w:hint="eastAsia"/>
          <w:color w:val="000000" w:themeColor="text1"/>
          <w:spacing w:val="-12"/>
          <w14:textFill>
            <w14:solidFill>
              <w14:schemeClr w14:val="tx1"/>
            </w14:solidFill>
          </w14:textFill>
        </w:rPr>
        <w:t>本工程电力消耗约5210MW</w:t>
      </w:r>
      <w:bookmarkStart w:id="329" w:name="OLE_LINK137"/>
      <w:r>
        <w:rPr>
          <w:rFonts w:hint="eastAsia"/>
          <w:color w:val="000000" w:themeColor="text1"/>
          <w:spacing w:val="-12"/>
          <w14:textFill>
            <w14:solidFill>
              <w14:schemeClr w14:val="tx1"/>
            </w14:solidFill>
          </w14:textFill>
        </w:rPr>
        <w:t>·</w:t>
      </w:r>
      <w:bookmarkEnd w:id="329"/>
      <w:r>
        <w:rPr>
          <w:rFonts w:hint="eastAsia"/>
          <w:color w:val="000000" w:themeColor="text1"/>
          <w:spacing w:val="-12"/>
          <w14:textFill>
            <w14:solidFill>
              <w14:schemeClr w14:val="tx1"/>
            </w14:solidFill>
          </w14:textFill>
        </w:rPr>
        <w:t>h/a，据此计算购入电力所产生的二氧化碳，详见表3.3-7。</w:t>
      </w:r>
    </w:p>
    <w:p w14:paraId="5B5A55FA">
      <w:pPr>
        <w:pStyle w:val="15"/>
        <w:rPr>
          <w:rFonts w:hint="eastAsia" w:ascii="黑体" w:cs="黑体"/>
          <w:color w:val="000000" w:themeColor="text1"/>
          <w:spacing w:val="-1"/>
          <w:szCs w:val="21"/>
          <w14:textFill>
            <w14:solidFill>
              <w14:schemeClr w14:val="tx1"/>
            </w14:solidFill>
          </w14:textFill>
        </w:rPr>
      </w:pPr>
      <w:r>
        <w:rPr>
          <w:color w:val="000000" w:themeColor="text1"/>
          <w14:textFill>
            <w14:solidFill>
              <w14:schemeClr w14:val="tx1"/>
            </w14:solidFill>
          </w14:textFill>
        </w:rPr>
        <w:t>表</w:t>
      </w:r>
      <w:r>
        <w:rPr>
          <w:rFonts w:hint="eastAsia"/>
          <w:color w:val="000000" w:themeColor="text1"/>
          <w14:textFill>
            <w14:solidFill>
              <w14:schemeClr w14:val="tx1"/>
            </w14:solidFill>
          </w14:textFill>
        </w:rPr>
        <w:t xml:space="preserve">3.3-7 </w:t>
      </w:r>
      <w:r>
        <w:rPr>
          <w:color w:val="000000" w:themeColor="text1"/>
          <w14:textFill>
            <w14:solidFill>
              <w14:schemeClr w14:val="tx1"/>
            </w14:solidFill>
          </w14:textFill>
        </w:rPr>
        <w:t xml:space="preserve"> </w:t>
      </w:r>
      <w:r>
        <w:rPr>
          <w:rFonts w:hint="eastAsia" w:ascii="黑体" w:cs="黑体"/>
          <w:color w:val="000000" w:themeColor="text1"/>
          <w:spacing w:val="-1"/>
          <w:szCs w:val="21"/>
          <w14:textFill>
            <w14:solidFill>
              <w14:schemeClr w14:val="tx1"/>
            </w14:solidFill>
          </w14:textFill>
        </w:rPr>
        <w:t>年净购入电力所产生的二氧化碳排放情况</w:t>
      </w:r>
    </w:p>
    <w:tbl>
      <w:tblPr>
        <w:tblStyle w:val="51"/>
        <w:tblW w:w="8789" w:type="dxa"/>
        <w:tblInd w:w="208"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938"/>
        <w:gridCol w:w="2911"/>
        <w:gridCol w:w="2940"/>
      </w:tblGrid>
      <w:tr w14:paraId="1A7B2A2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938" w:type="dxa"/>
            <w:vAlign w:val="center"/>
          </w:tcPr>
          <w:p w14:paraId="33A14E95">
            <w:pPr>
              <w:pStyle w:val="278"/>
              <w:adjustRightInd w:val="0"/>
              <w:snapToGrid w:val="0"/>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净购入电量（</w:t>
            </w:r>
            <w:r>
              <w:rPr>
                <w:color w:val="000000" w:themeColor="text1"/>
                <w14:textFill>
                  <w14:solidFill>
                    <w14:schemeClr w14:val="tx1"/>
                  </w14:solidFill>
                </w14:textFill>
              </w:rPr>
              <w:t>MW</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h</w:t>
            </w:r>
            <w:r>
              <w:rPr>
                <w:rFonts w:hint="eastAsia"/>
                <w:color w:val="000000" w:themeColor="text1"/>
                <w14:textFill>
                  <w14:solidFill>
                    <w14:schemeClr w14:val="tx1"/>
                  </w14:solidFill>
                </w14:textFill>
              </w:rPr>
              <w:t>）</w:t>
            </w:r>
          </w:p>
        </w:tc>
        <w:tc>
          <w:tcPr>
            <w:tcW w:w="2911" w:type="dxa"/>
            <w:vAlign w:val="center"/>
          </w:tcPr>
          <w:p w14:paraId="4E508025">
            <w:pPr>
              <w:pStyle w:val="278"/>
              <w:adjustRightInd w:val="0"/>
              <w:snapToGrid w:val="0"/>
              <w:spacing w:line="300" w:lineRule="exact"/>
              <w:rPr>
                <w:rFonts w:hint="eastAsia"/>
                <w:color w:val="000000" w:themeColor="text1"/>
                <w:position w:val="1"/>
                <w14:textFill>
                  <w14:solidFill>
                    <w14:schemeClr w14:val="tx1"/>
                  </w14:solidFill>
                </w14:textFill>
              </w:rPr>
            </w:pPr>
            <w:r>
              <w:rPr>
                <w:rFonts w:hint="eastAsia"/>
                <w:color w:val="000000" w:themeColor="text1"/>
                <w:position w:val="1"/>
                <w14:textFill>
                  <w14:solidFill>
                    <w14:schemeClr w14:val="tx1"/>
                  </w14:solidFill>
                </w14:textFill>
              </w:rPr>
              <w:t>排放因子（</w:t>
            </w:r>
            <w:r>
              <w:rPr>
                <w:color w:val="000000" w:themeColor="text1"/>
                <w:position w:val="1"/>
                <w14:textFill>
                  <w14:solidFill>
                    <w14:schemeClr w14:val="tx1"/>
                  </w14:solidFill>
                </w14:textFill>
              </w:rPr>
              <w:t>tCO</w:t>
            </w:r>
            <w:r>
              <w:rPr>
                <w:color w:val="000000" w:themeColor="text1"/>
                <w:sz w:val="11"/>
                <w:szCs w:val="11"/>
                <w14:textFill>
                  <w14:solidFill>
                    <w14:schemeClr w14:val="tx1"/>
                  </w14:solidFill>
                </w14:textFill>
              </w:rPr>
              <w:t>2</w:t>
            </w:r>
            <w:r>
              <w:rPr>
                <w:color w:val="000000" w:themeColor="text1"/>
                <w:position w:val="1"/>
                <w14:textFill>
                  <w14:solidFill>
                    <w14:schemeClr w14:val="tx1"/>
                  </w14:solidFill>
                </w14:textFill>
              </w:rPr>
              <w:t>/MW</w:t>
            </w:r>
            <w:r>
              <w:rPr>
                <w:rFonts w:hint="eastAsia"/>
                <w:color w:val="000000" w:themeColor="text1"/>
                <w:position w:val="1"/>
                <w14:textFill>
                  <w14:solidFill>
                    <w14:schemeClr w14:val="tx1"/>
                  </w14:solidFill>
                </w14:textFill>
              </w:rPr>
              <w:t>·</w:t>
            </w:r>
            <w:r>
              <w:rPr>
                <w:color w:val="000000" w:themeColor="text1"/>
                <w:position w:val="1"/>
                <w14:textFill>
                  <w14:solidFill>
                    <w14:schemeClr w14:val="tx1"/>
                  </w14:solidFill>
                </w14:textFill>
              </w:rPr>
              <w:t>h</w:t>
            </w:r>
            <w:r>
              <w:rPr>
                <w:rFonts w:hint="eastAsia"/>
                <w:color w:val="000000" w:themeColor="text1"/>
                <w:position w:val="1"/>
                <w14:textFill>
                  <w14:solidFill>
                    <w14:schemeClr w14:val="tx1"/>
                  </w14:solidFill>
                </w14:textFill>
              </w:rPr>
              <w:t>）</w:t>
            </w:r>
          </w:p>
        </w:tc>
        <w:tc>
          <w:tcPr>
            <w:tcW w:w="2940" w:type="dxa"/>
            <w:vAlign w:val="center"/>
          </w:tcPr>
          <w:p w14:paraId="0150F95E">
            <w:pPr>
              <w:pStyle w:val="278"/>
              <w:adjustRightInd w:val="0"/>
              <w:snapToGrid w:val="0"/>
              <w:spacing w:line="300" w:lineRule="exact"/>
              <w:rPr>
                <w:rFonts w:hint="eastAsia"/>
                <w:color w:val="000000" w:themeColor="text1"/>
                <w:position w:val="1"/>
                <w14:textFill>
                  <w14:solidFill>
                    <w14:schemeClr w14:val="tx1"/>
                  </w14:solidFill>
                </w14:textFill>
              </w:rPr>
            </w:pPr>
            <w:r>
              <w:rPr>
                <w:rFonts w:hint="eastAsia"/>
                <w:color w:val="000000" w:themeColor="text1"/>
                <w:position w:val="1"/>
                <w14:textFill>
                  <w14:solidFill>
                    <w14:schemeClr w14:val="tx1"/>
                  </w14:solidFill>
                </w14:textFill>
              </w:rPr>
              <w:t>排放量（</w:t>
            </w:r>
            <w:r>
              <w:rPr>
                <w:color w:val="000000" w:themeColor="text1"/>
                <w:position w:val="1"/>
                <w14:textFill>
                  <w14:solidFill>
                    <w14:schemeClr w14:val="tx1"/>
                  </w14:solidFill>
                </w14:textFill>
              </w:rPr>
              <w:t>tCO</w:t>
            </w:r>
            <w:r>
              <w:rPr>
                <w:color w:val="000000" w:themeColor="text1"/>
                <w:sz w:val="11"/>
                <w:szCs w:val="11"/>
                <w14:textFill>
                  <w14:solidFill>
                    <w14:schemeClr w14:val="tx1"/>
                  </w14:solidFill>
                </w14:textFill>
              </w:rPr>
              <w:t>2</w:t>
            </w:r>
            <w:r>
              <w:rPr>
                <w:rFonts w:hint="eastAsia"/>
                <w:color w:val="000000" w:themeColor="text1"/>
                <w:position w:val="1"/>
                <w14:textFill>
                  <w14:solidFill>
                    <w14:schemeClr w14:val="tx1"/>
                  </w14:solidFill>
                </w14:textFill>
              </w:rPr>
              <w:t>）</w:t>
            </w:r>
          </w:p>
        </w:tc>
      </w:tr>
      <w:tr w14:paraId="06D7B8C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938" w:type="dxa"/>
            <w:vAlign w:val="center"/>
          </w:tcPr>
          <w:p w14:paraId="020D951C">
            <w:pPr>
              <w:pStyle w:val="278"/>
              <w:adjustRightInd w:val="0"/>
              <w:snapToGrid w:val="0"/>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5210</w:t>
            </w:r>
          </w:p>
        </w:tc>
        <w:tc>
          <w:tcPr>
            <w:tcW w:w="2911" w:type="dxa"/>
            <w:vAlign w:val="center"/>
          </w:tcPr>
          <w:p w14:paraId="5E1DF7D9">
            <w:pPr>
              <w:pStyle w:val="278"/>
              <w:adjustRightInd w:val="0"/>
              <w:snapToGrid w:val="0"/>
              <w:spacing w:line="300" w:lineRule="exact"/>
              <w:rPr>
                <w:rFonts w:hint="eastAsia"/>
                <w:color w:val="000000" w:themeColor="text1"/>
                <w14:textFill>
                  <w14:solidFill>
                    <w14:schemeClr w14:val="tx1"/>
                  </w14:solidFill>
                </w14:textFill>
              </w:rPr>
            </w:pPr>
            <w:r>
              <w:rPr>
                <w:color w:val="000000" w:themeColor="text1"/>
                <w14:textFill>
                  <w14:solidFill>
                    <w14:schemeClr w14:val="tx1"/>
                  </w14:solidFill>
                </w14:textFill>
              </w:rPr>
              <w:t>0.8922</w:t>
            </w:r>
          </w:p>
        </w:tc>
        <w:tc>
          <w:tcPr>
            <w:tcW w:w="2940" w:type="dxa"/>
            <w:vAlign w:val="center"/>
          </w:tcPr>
          <w:p w14:paraId="3EBA2985">
            <w:pPr>
              <w:pStyle w:val="278"/>
              <w:adjustRightInd w:val="0"/>
              <w:snapToGrid w:val="0"/>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4648.362</w:t>
            </w:r>
          </w:p>
        </w:tc>
      </w:tr>
      <w:tr w14:paraId="2D7C265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789" w:type="dxa"/>
            <w:gridSpan w:val="3"/>
            <w:vAlign w:val="center"/>
          </w:tcPr>
          <w:p w14:paraId="1CD83529">
            <w:pPr>
              <w:pStyle w:val="278"/>
              <w:keepNext/>
              <w:adjustRightInd w:val="0"/>
              <w:snapToGrid w:val="0"/>
              <w:spacing w:line="300" w:lineRule="exact"/>
              <w:jc w:val="left"/>
              <w:rPr>
                <w:rFonts w:hint="eastAsia"/>
                <w:color w:val="000000" w:themeColor="text1"/>
                <w14:textFill>
                  <w14:solidFill>
                    <w14:schemeClr w14:val="tx1"/>
                  </w14:solidFill>
                </w14:textFill>
              </w:rPr>
            </w:pPr>
            <w:r>
              <w:rPr>
                <w:rFonts w:hint="eastAsia"/>
                <w:color w:val="000000" w:themeColor="text1"/>
                <w:spacing w:val="-3"/>
                <w14:textFill>
                  <w14:solidFill>
                    <w14:schemeClr w14:val="tx1"/>
                  </w14:solidFill>
                </w14:textFill>
              </w:rPr>
              <w:t>备注：排放因子来源于生态环境部</w:t>
            </w:r>
            <w:r>
              <w:rPr>
                <w:color w:val="000000" w:themeColor="text1"/>
                <w14:textFill>
                  <w14:solidFill>
                    <w14:schemeClr w14:val="tx1"/>
                  </w14:solidFill>
                </w14:textFill>
              </w:rPr>
              <w:t>2020</w:t>
            </w:r>
            <w:r>
              <w:rPr>
                <w:rFonts w:hint="eastAsia"/>
                <w:color w:val="000000" w:themeColor="text1"/>
                <w:spacing w:val="-37"/>
                <w14:textFill>
                  <w14:solidFill>
                    <w14:schemeClr w14:val="tx1"/>
                  </w14:solidFill>
                </w14:textFill>
              </w:rPr>
              <w:t>年</w:t>
            </w:r>
            <w:r>
              <w:rPr>
                <w:color w:val="000000" w:themeColor="text1"/>
                <w14:textFill>
                  <w14:solidFill>
                    <w14:schemeClr w14:val="tx1"/>
                  </w14:solidFill>
                </w14:textFill>
              </w:rPr>
              <w:t>12</w:t>
            </w:r>
            <w:r>
              <w:rPr>
                <w:rFonts w:hint="eastAsia"/>
                <w:color w:val="000000" w:themeColor="text1"/>
                <w14:textFill>
                  <w14:solidFill>
                    <w14:schemeClr w14:val="tx1"/>
                  </w14:solidFill>
                </w14:textFill>
              </w:rPr>
              <w:t>月</w:t>
            </w:r>
            <w:r>
              <w:rPr>
                <w:color w:val="000000" w:themeColor="text1"/>
                <w14:textFill>
                  <w14:solidFill>
                    <w14:schemeClr w14:val="tx1"/>
                  </w14:solidFill>
                </w14:textFill>
              </w:rPr>
              <w:t>29</w:t>
            </w:r>
            <w:r>
              <w:rPr>
                <w:rFonts w:hint="eastAsia"/>
                <w:color w:val="000000" w:themeColor="text1"/>
                <w:spacing w:val="-10"/>
                <w14:textFill>
                  <w14:solidFill>
                    <w14:schemeClr w14:val="tx1"/>
                  </w14:solidFill>
                </w14:textFill>
              </w:rPr>
              <w:t>日发布的《</w:t>
            </w:r>
            <w:r>
              <w:rPr>
                <w:color w:val="000000" w:themeColor="text1"/>
                <w14:textFill>
                  <w14:solidFill>
                    <w14:schemeClr w14:val="tx1"/>
                  </w14:solidFill>
                </w14:textFill>
              </w:rPr>
              <w:t>2019</w:t>
            </w:r>
            <w:r>
              <w:rPr>
                <w:rFonts w:hint="eastAsia"/>
                <w:color w:val="000000" w:themeColor="text1"/>
                <w:spacing w:val="-14"/>
                <w14:textFill>
                  <w14:solidFill>
                    <w14:schemeClr w14:val="tx1"/>
                  </w14:solidFill>
                </w14:textFill>
              </w:rPr>
              <w:t>年度减排</w:t>
            </w:r>
            <w:r>
              <w:rPr>
                <w:rFonts w:hint="eastAsia"/>
                <w:color w:val="000000" w:themeColor="text1"/>
                <w14:textFill>
                  <w14:solidFill>
                    <w14:schemeClr w14:val="tx1"/>
                  </w14:solidFill>
                </w14:textFill>
              </w:rPr>
              <w:t>项目中国区域电网基准线排放因子》中规定的西北电网的排放因子</w:t>
            </w:r>
          </w:p>
        </w:tc>
      </w:tr>
    </w:tbl>
    <w:p w14:paraId="0ED76CD0">
      <w:pPr>
        <w:pStyle w:val="191"/>
        <w:ind w:firstLine="480"/>
        <w:rPr>
          <w:rFonts w:hint="eastAsia"/>
          <w:color w:val="000000" w:themeColor="text1"/>
          <w:lang w:val="zh-CN"/>
          <w14:textFill>
            <w14:solidFill>
              <w14:schemeClr w14:val="tx1"/>
            </w14:solidFill>
          </w14:textFill>
        </w:rPr>
      </w:pPr>
      <w:r>
        <w:rPr>
          <w:rFonts w:hint="eastAsia"/>
          <w:color w:val="000000" w:themeColor="text1"/>
          <w14:textFill>
            <w14:solidFill>
              <w14:schemeClr w14:val="tx1"/>
            </w14:solidFill>
          </w14:textFill>
        </w:rPr>
        <w:t>根据上述计算可知，本项目</w:t>
      </w:r>
      <w:r>
        <w:rPr>
          <w:rFonts w:hint="eastAsia"/>
          <w:color w:val="000000" w:themeColor="text1"/>
          <w:lang w:val="zh-CN"/>
          <w14:textFill>
            <w14:solidFill>
              <w14:schemeClr w14:val="tx1"/>
            </w14:solidFill>
          </w14:textFill>
        </w:rPr>
        <w:t>CH</w:t>
      </w:r>
      <w:r>
        <w:rPr>
          <w:rFonts w:hint="eastAsia"/>
          <w:color w:val="000000" w:themeColor="text1"/>
          <w:vertAlign w:val="subscript"/>
          <w:lang w:val="zh-CN"/>
          <w14:textFill>
            <w14:solidFill>
              <w14:schemeClr w14:val="tx1"/>
            </w14:solidFill>
          </w14:textFill>
        </w:rPr>
        <w:t>4</w:t>
      </w:r>
      <w:r>
        <w:rPr>
          <w:rFonts w:hint="eastAsia"/>
          <w:color w:val="000000" w:themeColor="text1"/>
          <w:lang w:val="zh-CN"/>
          <w14:textFill>
            <w14:solidFill>
              <w14:schemeClr w14:val="tx1"/>
            </w14:solidFill>
          </w14:textFill>
        </w:rPr>
        <w:t>排放量为3.94t/a，</w:t>
      </w:r>
      <w:r>
        <w:rPr>
          <w:rFonts w:hint="eastAsia"/>
          <w:color w:val="000000" w:themeColor="text1"/>
          <w14:textFill>
            <w14:solidFill>
              <w14:schemeClr w14:val="tx1"/>
            </w14:solidFill>
          </w14:textFill>
        </w:rPr>
        <w:t>CO</w:t>
      </w:r>
      <w:r>
        <w:rPr>
          <w:rFonts w:hint="eastAsia"/>
          <w:color w:val="000000" w:themeColor="text1"/>
          <w:vertAlign w:val="subscript"/>
          <w14:textFill>
            <w14:solidFill>
              <w14:schemeClr w14:val="tx1"/>
            </w14:solidFill>
          </w14:textFill>
        </w:rPr>
        <w:t>2</w:t>
      </w:r>
      <w:r>
        <w:rPr>
          <w:rFonts w:hint="eastAsia"/>
          <w:color w:val="000000" w:themeColor="text1"/>
          <w14:textFill>
            <w14:solidFill>
              <w14:schemeClr w14:val="tx1"/>
            </w14:solidFill>
          </w14:textFill>
        </w:rPr>
        <w:t>排放量为4664.562t/a。</w:t>
      </w:r>
    </w:p>
    <w:p w14:paraId="79762A8C">
      <w:pPr>
        <w:pStyle w:val="191"/>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④区域削减量</w:t>
      </w:r>
    </w:p>
    <w:p w14:paraId="454B2589">
      <w:pPr>
        <w:pStyle w:val="191"/>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本次拟将</w:t>
      </w:r>
      <w:bookmarkStart w:id="330" w:name="OLE_LINK106"/>
      <w:r>
        <w:rPr>
          <w:rFonts w:hint="eastAsia"/>
          <w:color w:val="000000" w:themeColor="text1"/>
          <w14:textFill>
            <w14:solidFill>
              <w14:schemeClr w14:val="tx1"/>
            </w14:solidFill>
          </w14:textFill>
        </w:rPr>
        <w:t>JHW</w:t>
      </w:r>
      <w:r>
        <w:rPr>
          <w:color w:val="000000" w:themeColor="text1"/>
          <w14:textFill>
            <w14:solidFill>
              <w14:schemeClr w14:val="tx1"/>
            </w14:solidFill>
          </w14:textFill>
        </w:rPr>
        <w:t>00421</w:t>
      </w:r>
      <w:r>
        <w:rPr>
          <w:rFonts w:hint="eastAsia"/>
          <w:color w:val="000000" w:themeColor="text1"/>
          <w14:textFill>
            <w14:solidFill>
              <w14:schemeClr w14:val="tx1"/>
            </w14:solidFill>
          </w14:textFill>
        </w:rPr>
        <w:t>井、JHW</w:t>
      </w:r>
      <w:r>
        <w:rPr>
          <w:color w:val="000000" w:themeColor="text1"/>
          <w14:textFill>
            <w14:solidFill>
              <w14:schemeClr w14:val="tx1"/>
            </w14:solidFill>
          </w14:textFill>
        </w:rPr>
        <w:t>034</w:t>
      </w:r>
      <w:bookmarkEnd w:id="330"/>
      <w:r>
        <w:rPr>
          <w:rFonts w:hint="eastAsia"/>
          <w:color w:val="000000" w:themeColor="text1"/>
          <w14:textFill>
            <w14:solidFill>
              <w14:schemeClr w14:val="tx1"/>
            </w14:solidFill>
          </w14:textFill>
        </w:rPr>
        <w:t>共2口采油井改造为注水井，注水井运行过程中无废气产生，由采油时产生的无组织非甲烷总烃和硫化氢也随之消失，则由采油井改造为注水井时非甲烷总烃的削减量为0.148t/a、硫化氢削减量为0.04kg/a；</w:t>
      </w:r>
      <w:r>
        <w:rPr>
          <w:rFonts w:hint="eastAsia"/>
          <w:color w:val="000000" w:themeColor="text1"/>
          <w:szCs w:val="22"/>
          <w14:textFill>
            <w14:solidFill>
              <w14:schemeClr w14:val="tx1"/>
            </w14:solidFill>
          </w14:textFill>
        </w:rPr>
        <w:t>将</w:t>
      </w:r>
      <w:r>
        <w:rPr>
          <w:rFonts w:hint="eastAsia"/>
          <w:color w:val="000000" w:themeColor="text1"/>
          <w14:textFill>
            <w14:solidFill>
              <w14:schemeClr w14:val="tx1"/>
            </w14:solidFill>
          </w14:textFill>
        </w:rPr>
        <w:t>JHW00422改造为采出气回注井，采出气回注井的阀门、法兰等连接件数量未发生变化，但回注气中</w:t>
      </w:r>
      <w:r>
        <w:rPr>
          <w:color w:val="000000" w:themeColor="text1"/>
          <w14:textFill>
            <w14:solidFill>
              <w14:schemeClr w14:val="tx1"/>
            </w14:solidFill>
          </w14:textFill>
        </w:rPr>
        <w:t>WF</w:t>
      </w:r>
      <w:r>
        <w:rPr>
          <w:rFonts w:hint="eastAsia"/>
          <w:color w:val="000000" w:themeColor="text1"/>
          <w:vertAlign w:val="subscript"/>
          <w14:textFill>
            <w14:solidFill>
              <w14:schemeClr w14:val="tx1"/>
            </w14:solidFill>
          </w14:textFill>
        </w:rPr>
        <w:t>VOCs,i</w:t>
      </w:r>
      <w:r>
        <w:rPr>
          <w:rFonts w:hint="eastAsia"/>
          <w:color w:val="000000" w:themeColor="text1"/>
          <w14:textFill>
            <w14:solidFill>
              <w14:schemeClr w14:val="tx1"/>
            </w14:solidFill>
          </w14:textFill>
        </w:rPr>
        <w:t>（流经密封点i的物料中挥发性有机物平均质量分数）/</w:t>
      </w:r>
      <w:r>
        <w:rPr>
          <w:color w:val="000000" w:themeColor="text1"/>
          <w14:textFill>
            <w14:solidFill>
              <w14:schemeClr w14:val="tx1"/>
            </w14:solidFill>
          </w14:textFill>
        </w:rPr>
        <w:t>WF</w:t>
      </w:r>
      <w:r>
        <w:rPr>
          <w:color w:val="000000" w:themeColor="text1"/>
          <w:vertAlign w:val="subscript"/>
          <w14:textFill>
            <w14:solidFill>
              <w14:schemeClr w14:val="tx1"/>
            </w14:solidFill>
          </w14:textFill>
        </w:rPr>
        <w:t>TOC</w:t>
      </w:r>
      <w:r>
        <w:rPr>
          <w:rFonts w:hint="eastAsia"/>
          <w:color w:val="000000" w:themeColor="text1"/>
          <w:vertAlign w:val="subscript"/>
          <w14:textFill>
            <w14:solidFill>
              <w14:schemeClr w14:val="tx1"/>
            </w14:solidFill>
          </w14:textFill>
        </w:rPr>
        <w:t>,i</w:t>
      </w:r>
      <w:r>
        <w:rPr>
          <w:rFonts w:hint="eastAsia"/>
          <w:color w:val="000000" w:themeColor="text1"/>
          <w14:textFill>
            <w14:solidFill>
              <w14:schemeClr w14:val="tx1"/>
            </w14:solidFill>
          </w14:textFill>
        </w:rPr>
        <w:t>（流经密封点i的物料中总有机碳（TOC）平均质量分数）的比值相比于采油井减少了，则非甲烷总烃和硫化氢排放量亦减少，减少量分别为0.01t/a、0.003kg/a。综上所述，本项目实施后区域非甲烷总烃削减量为0.158t/a、硫化氢削减量为0.043kg/a。</w:t>
      </w:r>
    </w:p>
    <w:p w14:paraId="6EEBC92A">
      <w:pPr>
        <w:pStyle w:val="191"/>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项目实施后无组织废气排放量核算表见表3</w:t>
      </w:r>
      <w:r>
        <w:rPr>
          <w:color w:val="000000" w:themeColor="text1"/>
          <w14:textFill>
            <w14:solidFill>
              <w14:schemeClr w14:val="tx1"/>
            </w14:solidFill>
          </w14:textFill>
        </w:rPr>
        <w:t>.3</w:t>
      </w:r>
      <w:r>
        <w:rPr>
          <w:rFonts w:hint="eastAsia"/>
          <w:color w:val="000000" w:themeColor="text1"/>
          <w14:textFill>
            <w14:solidFill>
              <w14:schemeClr w14:val="tx1"/>
            </w14:solidFill>
          </w14:textFill>
        </w:rPr>
        <w:t>-8。</w:t>
      </w:r>
    </w:p>
    <w:p w14:paraId="66914CA3">
      <w:pPr>
        <w:adjustRightInd w:val="0"/>
        <w:snapToGrid w:val="0"/>
        <w:spacing w:line="500" w:lineRule="exact"/>
        <w:jc w:val="center"/>
        <w:textAlignment w:val="baseline"/>
        <w:rPr>
          <w:rFonts w:hint="eastAsia" w:ascii="黑体" w:hAnsi="黑体" w:eastAsia="黑体"/>
          <w:color w:val="000000" w:themeColor="text1"/>
          <w:kern w:val="0"/>
          <w:szCs w:val="21"/>
          <w14:textFill>
            <w14:solidFill>
              <w14:schemeClr w14:val="tx1"/>
            </w14:solidFill>
          </w14:textFill>
        </w:rPr>
      </w:pPr>
      <w:r>
        <w:rPr>
          <w:rFonts w:hint="eastAsia" w:ascii="黑体" w:hAnsi="黑体" w:eastAsia="黑体"/>
          <w:color w:val="000000" w:themeColor="text1"/>
          <w:kern w:val="0"/>
          <w:szCs w:val="21"/>
          <w14:textFill>
            <w14:solidFill>
              <w14:schemeClr w14:val="tx1"/>
            </w14:solidFill>
          </w14:textFill>
        </w:rPr>
        <w:t>表</w:t>
      </w:r>
      <w:r>
        <w:rPr>
          <w:rFonts w:ascii="黑体" w:hAnsi="黑体" w:eastAsia="黑体"/>
          <w:color w:val="000000" w:themeColor="text1"/>
          <w:kern w:val="0"/>
          <w:szCs w:val="21"/>
          <w14:textFill>
            <w14:solidFill>
              <w14:schemeClr w14:val="tx1"/>
            </w14:solidFill>
          </w14:textFill>
        </w:rPr>
        <w:t>3.3</w:t>
      </w:r>
      <w:r>
        <w:rPr>
          <w:rFonts w:hint="eastAsia" w:ascii="黑体" w:hAnsi="黑体" w:eastAsia="黑体"/>
          <w:color w:val="000000" w:themeColor="text1"/>
          <w:kern w:val="0"/>
          <w:szCs w:val="21"/>
          <w14:textFill>
            <w14:solidFill>
              <w14:schemeClr w14:val="tx1"/>
            </w14:solidFill>
          </w14:textFill>
        </w:rPr>
        <w:t>-8  大气污染物无组织排放量核算表</w:t>
      </w:r>
    </w:p>
    <w:tbl>
      <w:tblPr>
        <w:tblStyle w:val="51"/>
        <w:tblW w:w="5000"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425"/>
        <w:gridCol w:w="753"/>
        <w:gridCol w:w="1081"/>
        <w:gridCol w:w="800"/>
        <w:gridCol w:w="1763"/>
        <w:gridCol w:w="1556"/>
        <w:gridCol w:w="1088"/>
        <w:gridCol w:w="1264"/>
      </w:tblGrid>
      <w:tr w14:paraId="6FCA725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blHeader/>
          <w:jc w:val="center"/>
        </w:trPr>
        <w:tc>
          <w:tcPr>
            <w:tcW w:w="243" w:type="pct"/>
            <w:vMerge w:val="restart"/>
            <w:vAlign w:val="center"/>
          </w:tcPr>
          <w:p w14:paraId="6F35F722">
            <w:pPr>
              <w:pStyle w:val="322"/>
              <w:adjustRightInd w:val="0"/>
              <w:snapToGrid w:val="0"/>
              <w:spacing w:line="300" w:lineRule="exact"/>
              <w:rPr>
                <w:rFonts w:hint="eastAsia" w:cs="宋体"/>
                <w:bCs/>
                <w:snapToGrid w:val="0"/>
                <w:color w:val="000000" w:themeColor="text1"/>
                <w:w w:val="100"/>
                <w:sz w:val="21"/>
                <w:szCs w:val="21"/>
                <w14:textFill>
                  <w14:solidFill>
                    <w14:schemeClr w14:val="tx1"/>
                  </w14:solidFill>
                </w14:textFill>
              </w:rPr>
            </w:pPr>
            <w:r>
              <w:rPr>
                <w:rFonts w:hint="eastAsia" w:cs="宋体"/>
                <w:bCs/>
                <w:snapToGrid w:val="0"/>
                <w:color w:val="000000" w:themeColor="text1"/>
                <w:w w:val="100"/>
                <w:sz w:val="21"/>
                <w:szCs w:val="21"/>
                <w14:textFill>
                  <w14:solidFill>
                    <w14:schemeClr w14:val="tx1"/>
                  </w14:solidFill>
                </w14:textFill>
              </w:rPr>
              <w:t>序号</w:t>
            </w:r>
          </w:p>
        </w:tc>
        <w:tc>
          <w:tcPr>
            <w:tcW w:w="431" w:type="pct"/>
            <w:vMerge w:val="restart"/>
            <w:vAlign w:val="center"/>
          </w:tcPr>
          <w:p w14:paraId="0456BF1A">
            <w:pPr>
              <w:pStyle w:val="322"/>
              <w:adjustRightInd w:val="0"/>
              <w:snapToGrid w:val="0"/>
              <w:spacing w:line="300" w:lineRule="exact"/>
              <w:rPr>
                <w:rFonts w:hint="eastAsia" w:cs="宋体"/>
                <w:bCs/>
                <w:snapToGrid w:val="0"/>
                <w:color w:val="000000" w:themeColor="text1"/>
                <w:w w:val="100"/>
                <w:sz w:val="21"/>
                <w:szCs w:val="21"/>
                <w14:textFill>
                  <w14:solidFill>
                    <w14:schemeClr w14:val="tx1"/>
                  </w14:solidFill>
                </w14:textFill>
              </w:rPr>
            </w:pPr>
            <w:r>
              <w:rPr>
                <w:rFonts w:hint="eastAsia" w:cs="宋体"/>
                <w:bCs/>
                <w:snapToGrid w:val="0"/>
                <w:color w:val="000000" w:themeColor="text1"/>
                <w:w w:val="100"/>
                <w:sz w:val="21"/>
                <w:szCs w:val="21"/>
                <w14:textFill>
                  <w14:solidFill>
                    <w14:schemeClr w14:val="tx1"/>
                  </w14:solidFill>
                </w14:textFill>
              </w:rPr>
              <w:t>排放口编号</w:t>
            </w:r>
          </w:p>
        </w:tc>
        <w:tc>
          <w:tcPr>
            <w:tcW w:w="619" w:type="pct"/>
            <w:vMerge w:val="restart"/>
            <w:vAlign w:val="center"/>
          </w:tcPr>
          <w:p w14:paraId="0EEE03B8">
            <w:pPr>
              <w:pStyle w:val="322"/>
              <w:adjustRightInd w:val="0"/>
              <w:snapToGrid w:val="0"/>
              <w:spacing w:line="300" w:lineRule="exact"/>
              <w:rPr>
                <w:rFonts w:hint="eastAsia" w:cs="宋体"/>
                <w:bCs/>
                <w:snapToGrid w:val="0"/>
                <w:color w:val="000000" w:themeColor="text1"/>
                <w:w w:val="100"/>
                <w:sz w:val="21"/>
                <w:szCs w:val="21"/>
                <w14:textFill>
                  <w14:solidFill>
                    <w14:schemeClr w14:val="tx1"/>
                  </w14:solidFill>
                </w14:textFill>
              </w:rPr>
            </w:pPr>
            <w:r>
              <w:rPr>
                <w:rFonts w:hint="eastAsia" w:cs="宋体"/>
                <w:bCs/>
                <w:snapToGrid w:val="0"/>
                <w:color w:val="000000" w:themeColor="text1"/>
                <w:w w:val="100"/>
                <w:sz w:val="21"/>
                <w:szCs w:val="21"/>
                <w14:textFill>
                  <w14:solidFill>
                    <w14:schemeClr w14:val="tx1"/>
                  </w14:solidFill>
                </w14:textFill>
              </w:rPr>
              <w:t>产污环节</w:t>
            </w:r>
          </w:p>
        </w:tc>
        <w:tc>
          <w:tcPr>
            <w:tcW w:w="458" w:type="pct"/>
            <w:vMerge w:val="restart"/>
            <w:vAlign w:val="center"/>
          </w:tcPr>
          <w:p w14:paraId="5C1150F4">
            <w:pPr>
              <w:pStyle w:val="322"/>
              <w:adjustRightInd w:val="0"/>
              <w:snapToGrid w:val="0"/>
              <w:spacing w:line="300" w:lineRule="exact"/>
              <w:rPr>
                <w:rFonts w:hint="eastAsia" w:cs="宋体"/>
                <w:bCs/>
                <w:snapToGrid w:val="0"/>
                <w:color w:val="000000" w:themeColor="text1"/>
                <w:w w:val="100"/>
                <w:sz w:val="21"/>
                <w:szCs w:val="21"/>
                <w14:textFill>
                  <w14:solidFill>
                    <w14:schemeClr w14:val="tx1"/>
                  </w14:solidFill>
                </w14:textFill>
              </w:rPr>
            </w:pPr>
            <w:r>
              <w:rPr>
                <w:rFonts w:hint="eastAsia" w:cs="宋体"/>
                <w:bCs/>
                <w:snapToGrid w:val="0"/>
                <w:color w:val="000000" w:themeColor="text1"/>
                <w:w w:val="100"/>
                <w:sz w:val="21"/>
                <w:szCs w:val="21"/>
                <w14:textFill>
                  <w14:solidFill>
                    <w14:schemeClr w14:val="tx1"/>
                  </w14:solidFill>
                </w14:textFill>
              </w:rPr>
              <w:t>污染物</w:t>
            </w:r>
          </w:p>
        </w:tc>
        <w:tc>
          <w:tcPr>
            <w:tcW w:w="1010" w:type="pct"/>
            <w:vMerge w:val="restart"/>
            <w:vAlign w:val="center"/>
          </w:tcPr>
          <w:p w14:paraId="1F5B99CD">
            <w:pPr>
              <w:pStyle w:val="322"/>
              <w:adjustRightInd w:val="0"/>
              <w:snapToGrid w:val="0"/>
              <w:spacing w:line="300" w:lineRule="exact"/>
              <w:rPr>
                <w:rFonts w:hint="eastAsia" w:cs="宋体"/>
                <w:bCs/>
                <w:snapToGrid w:val="0"/>
                <w:color w:val="000000" w:themeColor="text1"/>
                <w:w w:val="100"/>
                <w:sz w:val="21"/>
                <w:szCs w:val="21"/>
                <w14:textFill>
                  <w14:solidFill>
                    <w14:schemeClr w14:val="tx1"/>
                  </w14:solidFill>
                </w14:textFill>
              </w:rPr>
            </w:pPr>
            <w:r>
              <w:rPr>
                <w:rFonts w:hint="eastAsia" w:cs="宋体"/>
                <w:bCs/>
                <w:snapToGrid w:val="0"/>
                <w:color w:val="000000" w:themeColor="text1"/>
                <w:w w:val="100"/>
                <w:sz w:val="21"/>
                <w:szCs w:val="21"/>
                <w14:textFill>
                  <w14:solidFill>
                    <w14:schemeClr w14:val="tx1"/>
                  </w14:solidFill>
                </w14:textFill>
              </w:rPr>
              <w:t>主要污染</w:t>
            </w:r>
          </w:p>
          <w:p w14:paraId="18281C4D">
            <w:pPr>
              <w:pStyle w:val="322"/>
              <w:adjustRightInd w:val="0"/>
              <w:snapToGrid w:val="0"/>
              <w:spacing w:line="300" w:lineRule="exact"/>
              <w:rPr>
                <w:rFonts w:hint="eastAsia" w:cs="宋体"/>
                <w:bCs/>
                <w:snapToGrid w:val="0"/>
                <w:color w:val="000000" w:themeColor="text1"/>
                <w:w w:val="100"/>
                <w:sz w:val="21"/>
                <w:szCs w:val="21"/>
                <w14:textFill>
                  <w14:solidFill>
                    <w14:schemeClr w14:val="tx1"/>
                  </w14:solidFill>
                </w14:textFill>
              </w:rPr>
            </w:pPr>
            <w:r>
              <w:rPr>
                <w:rFonts w:hint="eastAsia" w:cs="宋体"/>
                <w:bCs/>
                <w:snapToGrid w:val="0"/>
                <w:color w:val="000000" w:themeColor="text1"/>
                <w:w w:val="100"/>
                <w:sz w:val="21"/>
                <w:szCs w:val="21"/>
                <w14:textFill>
                  <w14:solidFill>
                    <w14:schemeClr w14:val="tx1"/>
                  </w14:solidFill>
                </w14:textFill>
              </w:rPr>
              <w:t>防治措施</w:t>
            </w:r>
          </w:p>
        </w:tc>
        <w:tc>
          <w:tcPr>
            <w:tcW w:w="1514" w:type="pct"/>
            <w:gridSpan w:val="2"/>
            <w:vAlign w:val="center"/>
          </w:tcPr>
          <w:p w14:paraId="55D26CBF">
            <w:pPr>
              <w:pStyle w:val="322"/>
              <w:adjustRightInd w:val="0"/>
              <w:snapToGrid w:val="0"/>
              <w:spacing w:line="300" w:lineRule="exact"/>
              <w:rPr>
                <w:rFonts w:hint="eastAsia" w:cs="宋体"/>
                <w:bCs/>
                <w:snapToGrid w:val="0"/>
                <w:color w:val="000000" w:themeColor="text1"/>
                <w:w w:val="100"/>
                <w:sz w:val="21"/>
                <w:szCs w:val="21"/>
                <w14:textFill>
                  <w14:solidFill>
                    <w14:schemeClr w14:val="tx1"/>
                  </w14:solidFill>
                </w14:textFill>
              </w:rPr>
            </w:pPr>
            <w:r>
              <w:rPr>
                <w:rFonts w:hint="eastAsia" w:cs="宋体"/>
                <w:bCs/>
                <w:snapToGrid w:val="0"/>
                <w:color w:val="000000" w:themeColor="text1"/>
                <w:w w:val="100"/>
                <w:sz w:val="21"/>
                <w:szCs w:val="21"/>
                <w14:textFill>
                  <w14:solidFill>
                    <w14:schemeClr w14:val="tx1"/>
                  </w14:solidFill>
                </w14:textFill>
              </w:rPr>
              <w:t>国家污染物排放标准</w:t>
            </w:r>
          </w:p>
        </w:tc>
        <w:tc>
          <w:tcPr>
            <w:tcW w:w="724" w:type="pct"/>
            <w:vMerge w:val="restart"/>
            <w:vAlign w:val="center"/>
          </w:tcPr>
          <w:p w14:paraId="04A2ACC3">
            <w:pPr>
              <w:pStyle w:val="322"/>
              <w:adjustRightInd w:val="0"/>
              <w:snapToGrid w:val="0"/>
              <w:spacing w:line="300" w:lineRule="exact"/>
              <w:rPr>
                <w:rFonts w:hint="eastAsia" w:cs="宋体"/>
                <w:bCs/>
                <w:snapToGrid w:val="0"/>
                <w:color w:val="000000" w:themeColor="text1"/>
                <w:w w:val="100"/>
                <w:sz w:val="21"/>
                <w:szCs w:val="21"/>
                <w14:textFill>
                  <w14:solidFill>
                    <w14:schemeClr w14:val="tx1"/>
                  </w14:solidFill>
                </w14:textFill>
              </w:rPr>
            </w:pPr>
            <w:r>
              <w:rPr>
                <w:rFonts w:hint="eastAsia" w:cs="宋体"/>
                <w:bCs/>
                <w:snapToGrid w:val="0"/>
                <w:color w:val="000000" w:themeColor="text1"/>
                <w:w w:val="100"/>
                <w:sz w:val="21"/>
                <w:szCs w:val="21"/>
                <w14:textFill>
                  <w14:solidFill>
                    <w14:schemeClr w14:val="tx1"/>
                  </w14:solidFill>
                </w14:textFill>
              </w:rPr>
              <w:t>年排放量</w:t>
            </w:r>
          </w:p>
        </w:tc>
      </w:tr>
      <w:tr w14:paraId="782B63E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blHeader/>
          <w:jc w:val="center"/>
        </w:trPr>
        <w:tc>
          <w:tcPr>
            <w:tcW w:w="243" w:type="pct"/>
            <w:vMerge w:val="continue"/>
            <w:vAlign w:val="center"/>
          </w:tcPr>
          <w:p w14:paraId="4491EBC5">
            <w:pPr>
              <w:pStyle w:val="322"/>
              <w:adjustRightInd w:val="0"/>
              <w:snapToGrid w:val="0"/>
              <w:spacing w:line="300" w:lineRule="exact"/>
              <w:rPr>
                <w:rFonts w:hint="eastAsia" w:cs="宋体"/>
                <w:bCs/>
                <w:snapToGrid w:val="0"/>
                <w:color w:val="000000" w:themeColor="text1"/>
                <w:w w:val="100"/>
                <w:sz w:val="21"/>
                <w:szCs w:val="21"/>
                <w14:textFill>
                  <w14:solidFill>
                    <w14:schemeClr w14:val="tx1"/>
                  </w14:solidFill>
                </w14:textFill>
              </w:rPr>
            </w:pPr>
          </w:p>
        </w:tc>
        <w:tc>
          <w:tcPr>
            <w:tcW w:w="431" w:type="pct"/>
            <w:vMerge w:val="continue"/>
            <w:vAlign w:val="center"/>
          </w:tcPr>
          <w:p w14:paraId="2D0EAED2">
            <w:pPr>
              <w:pStyle w:val="322"/>
              <w:adjustRightInd w:val="0"/>
              <w:snapToGrid w:val="0"/>
              <w:spacing w:line="300" w:lineRule="exact"/>
              <w:rPr>
                <w:rFonts w:hint="eastAsia" w:cs="宋体"/>
                <w:bCs/>
                <w:snapToGrid w:val="0"/>
                <w:color w:val="000000" w:themeColor="text1"/>
                <w:w w:val="100"/>
                <w:sz w:val="21"/>
                <w:szCs w:val="21"/>
                <w14:textFill>
                  <w14:solidFill>
                    <w14:schemeClr w14:val="tx1"/>
                  </w14:solidFill>
                </w14:textFill>
              </w:rPr>
            </w:pPr>
          </w:p>
        </w:tc>
        <w:tc>
          <w:tcPr>
            <w:tcW w:w="619" w:type="pct"/>
            <w:vMerge w:val="continue"/>
            <w:vAlign w:val="center"/>
          </w:tcPr>
          <w:p w14:paraId="2755885B">
            <w:pPr>
              <w:pStyle w:val="322"/>
              <w:adjustRightInd w:val="0"/>
              <w:snapToGrid w:val="0"/>
              <w:spacing w:line="300" w:lineRule="exact"/>
              <w:rPr>
                <w:rFonts w:hint="eastAsia" w:cs="宋体"/>
                <w:bCs/>
                <w:snapToGrid w:val="0"/>
                <w:color w:val="000000" w:themeColor="text1"/>
                <w:w w:val="100"/>
                <w:sz w:val="21"/>
                <w:szCs w:val="21"/>
                <w14:textFill>
                  <w14:solidFill>
                    <w14:schemeClr w14:val="tx1"/>
                  </w14:solidFill>
                </w14:textFill>
              </w:rPr>
            </w:pPr>
          </w:p>
        </w:tc>
        <w:tc>
          <w:tcPr>
            <w:tcW w:w="458" w:type="pct"/>
            <w:vMerge w:val="continue"/>
            <w:vAlign w:val="center"/>
          </w:tcPr>
          <w:p w14:paraId="175CCB46">
            <w:pPr>
              <w:pStyle w:val="322"/>
              <w:adjustRightInd w:val="0"/>
              <w:snapToGrid w:val="0"/>
              <w:spacing w:line="300" w:lineRule="exact"/>
              <w:rPr>
                <w:rFonts w:hint="eastAsia" w:cs="宋体"/>
                <w:bCs/>
                <w:snapToGrid w:val="0"/>
                <w:color w:val="000000" w:themeColor="text1"/>
                <w:w w:val="100"/>
                <w:sz w:val="21"/>
                <w:szCs w:val="21"/>
                <w14:textFill>
                  <w14:solidFill>
                    <w14:schemeClr w14:val="tx1"/>
                  </w14:solidFill>
                </w14:textFill>
              </w:rPr>
            </w:pPr>
          </w:p>
        </w:tc>
        <w:tc>
          <w:tcPr>
            <w:tcW w:w="1010" w:type="pct"/>
            <w:vMerge w:val="continue"/>
            <w:vAlign w:val="center"/>
          </w:tcPr>
          <w:p w14:paraId="5DEF0974">
            <w:pPr>
              <w:pStyle w:val="322"/>
              <w:adjustRightInd w:val="0"/>
              <w:snapToGrid w:val="0"/>
              <w:spacing w:line="300" w:lineRule="exact"/>
              <w:rPr>
                <w:rFonts w:hint="eastAsia" w:cs="宋体"/>
                <w:bCs/>
                <w:snapToGrid w:val="0"/>
                <w:color w:val="000000" w:themeColor="text1"/>
                <w:w w:val="100"/>
                <w:sz w:val="21"/>
                <w:szCs w:val="21"/>
                <w14:textFill>
                  <w14:solidFill>
                    <w14:schemeClr w14:val="tx1"/>
                  </w14:solidFill>
                </w14:textFill>
              </w:rPr>
            </w:pPr>
          </w:p>
        </w:tc>
        <w:tc>
          <w:tcPr>
            <w:tcW w:w="891" w:type="pct"/>
            <w:vAlign w:val="center"/>
          </w:tcPr>
          <w:p w14:paraId="364A9CDB">
            <w:pPr>
              <w:pStyle w:val="322"/>
              <w:adjustRightInd w:val="0"/>
              <w:snapToGrid w:val="0"/>
              <w:spacing w:line="300" w:lineRule="exact"/>
              <w:rPr>
                <w:rFonts w:hint="eastAsia" w:cs="宋体"/>
                <w:bCs/>
                <w:snapToGrid w:val="0"/>
                <w:color w:val="000000" w:themeColor="text1"/>
                <w:w w:val="100"/>
                <w:sz w:val="21"/>
                <w:szCs w:val="21"/>
                <w14:textFill>
                  <w14:solidFill>
                    <w14:schemeClr w14:val="tx1"/>
                  </w14:solidFill>
                </w14:textFill>
              </w:rPr>
            </w:pPr>
            <w:r>
              <w:rPr>
                <w:rFonts w:hint="eastAsia" w:cs="宋体"/>
                <w:bCs/>
                <w:snapToGrid w:val="0"/>
                <w:color w:val="000000" w:themeColor="text1"/>
                <w:w w:val="100"/>
                <w:sz w:val="21"/>
                <w:szCs w:val="21"/>
                <w14:textFill>
                  <w14:solidFill>
                    <w14:schemeClr w14:val="tx1"/>
                  </w14:solidFill>
                </w14:textFill>
              </w:rPr>
              <w:t>标准名称</w:t>
            </w:r>
          </w:p>
        </w:tc>
        <w:tc>
          <w:tcPr>
            <w:tcW w:w="623" w:type="pct"/>
            <w:vAlign w:val="center"/>
          </w:tcPr>
          <w:p w14:paraId="67703EBE">
            <w:pPr>
              <w:pStyle w:val="322"/>
              <w:adjustRightInd w:val="0"/>
              <w:snapToGrid w:val="0"/>
              <w:spacing w:line="300" w:lineRule="exact"/>
              <w:rPr>
                <w:rFonts w:hint="eastAsia" w:cs="宋体"/>
                <w:bCs/>
                <w:snapToGrid w:val="0"/>
                <w:color w:val="000000" w:themeColor="text1"/>
                <w:w w:val="100"/>
                <w:sz w:val="21"/>
                <w:szCs w:val="21"/>
                <w14:textFill>
                  <w14:solidFill>
                    <w14:schemeClr w14:val="tx1"/>
                  </w14:solidFill>
                </w14:textFill>
              </w:rPr>
            </w:pPr>
            <w:r>
              <w:rPr>
                <w:rFonts w:hint="eastAsia" w:cs="宋体"/>
                <w:bCs/>
                <w:snapToGrid w:val="0"/>
                <w:color w:val="000000" w:themeColor="text1"/>
                <w:w w:val="100"/>
                <w:sz w:val="21"/>
                <w:szCs w:val="21"/>
                <w14:textFill>
                  <w14:solidFill>
                    <w14:schemeClr w14:val="tx1"/>
                  </w14:solidFill>
                </w14:textFill>
              </w:rPr>
              <w:t>浓度限值（mg/m</w:t>
            </w:r>
            <w:r>
              <w:rPr>
                <w:rFonts w:hint="eastAsia" w:cs="宋体"/>
                <w:bCs/>
                <w:snapToGrid w:val="0"/>
                <w:color w:val="000000" w:themeColor="text1"/>
                <w:w w:val="100"/>
                <w:sz w:val="21"/>
                <w:szCs w:val="21"/>
                <w:vertAlign w:val="superscript"/>
                <w14:textFill>
                  <w14:solidFill>
                    <w14:schemeClr w14:val="tx1"/>
                  </w14:solidFill>
                </w14:textFill>
              </w:rPr>
              <w:t>3</w:t>
            </w:r>
            <w:r>
              <w:rPr>
                <w:rFonts w:hint="eastAsia" w:cs="宋体"/>
                <w:bCs/>
                <w:snapToGrid w:val="0"/>
                <w:color w:val="000000" w:themeColor="text1"/>
                <w:w w:val="100"/>
                <w:sz w:val="21"/>
                <w:szCs w:val="21"/>
                <w14:textFill>
                  <w14:solidFill>
                    <w14:schemeClr w14:val="tx1"/>
                  </w14:solidFill>
                </w14:textFill>
              </w:rPr>
              <w:t>）</w:t>
            </w:r>
          </w:p>
        </w:tc>
        <w:tc>
          <w:tcPr>
            <w:tcW w:w="724" w:type="pct"/>
            <w:vMerge w:val="continue"/>
            <w:vAlign w:val="center"/>
          </w:tcPr>
          <w:p w14:paraId="58240046">
            <w:pPr>
              <w:pStyle w:val="322"/>
              <w:adjustRightInd w:val="0"/>
              <w:snapToGrid w:val="0"/>
              <w:spacing w:line="300" w:lineRule="exact"/>
              <w:rPr>
                <w:rFonts w:hint="eastAsia" w:cs="宋体"/>
                <w:bCs/>
                <w:snapToGrid w:val="0"/>
                <w:color w:val="000000" w:themeColor="text1"/>
                <w:w w:val="100"/>
                <w:sz w:val="21"/>
                <w:szCs w:val="21"/>
                <w14:textFill>
                  <w14:solidFill>
                    <w14:schemeClr w14:val="tx1"/>
                  </w14:solidFill>
                </w14:textFill>
              </w:rPr>
            </w:pPr>
          </w:p>
        </w:tc>
      </w:tr>
      <w:bookmarkEnd w:id="314"/>
      <w:tr w14:paraId="365EB8D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243" w:type="pct"/>
            <w:vMerge w:val="restart"/>
            <w:vAlign w:val="center"/>
          </w:tcPr>
          <w:p w14:paraId="33A58DE2">
            <w:pPr>
              <w:pStyle w:val="322"/>
              <w:adjustRightInd w:val="0"/>
              <w:snapToGrid w:val="0"/>
              <w:spacing w:line="300" w:lineRule="exact"/>
              <w:rPr>
                <w:rFonts w:hint="eastAsia" w:cs="宋体"/>
                <w:bCs/>
                <w:snapToGrid w:val="0"/>
                <w:color w:val="000000" w:themeColor="text1"/>
                <w:w w:val="100"/>
                <w:sz w:val="21"/>
                <w:szCs w:val="21"/>
                <w14:textFill>
                  <w14:solidFill>
                    <w14:schemeClr w14:val="tx1"/>
                  </w14:solidFill>
                </w14:textFill>
              </w:rPr>
            </w:pPr>
            <w:r>
              <w:rPr>
                <w:rFonts w:hint="eastAsia" w:cs="宋体"/>
                <w:bCs/>
                <w:snapToGrid w:val="0"/>
                <w:color w:val="000000" w:themeColor="text1"/>
                <w:w w:val="100"/>
                <w:sz w:val="21"/>
                <w:szCs w:val="21"/>
                <w14:textFill>
                  <w14:solidFill>
                    <w14:schemeClr w14:val="tx1"/>
                  </w14:solidFill>
                </w14:textFill>
              </w:rPr>
              <w:t>1</w:t>
            </w:r>
          </w:p>
        </w:tc>
        <w:tc>
          <w:tcPr>
            <w:tcW w:w="431" w:type="pct"/>
            <w:vMerge w:val="restart"/>
            <w:vAlign w:val="center"/>
          </w:tcPr>
          <w:p w14:paraId="7140EAA5">
            <w:pPr>
              <w:adjustRightInd w:val="0"/>
              <w:snapToGrid w:val="0"/>
              <w:spacing w:line="300" w:lineRule="exact"/>
              <w:jc w:val="center"/>
              <w:rPr>
                <w:rFonts w:hint="eastAsia" w:ascii="宋体" w:hAnsi="宋体" w:cs="宋体"/>
                <w:bCs/>
                <w:snapToGrid w:val="0"/>
                <w:color w:val="000000" w:themeColor="text1"/>
                <w:szCs w:val="21"/>
                <w14:textFill>
                  <w14:solidFill>
                    <w14:schemeClr w14:val="tx1"/>
                  </w14:solidFill>
                </w14:textFill>
              </w:rPr>
            </w:pPr>
            <w:r>
              <w:rPr>
                <w:rFonts w:hint="eastAsia" w:ascii="宋体" w:hAnsi="宋体" w:cs="宋体"/>
                <w:bCs/>
                <w:snapToGrid w:val="0"/>
                <w:color w:val="000000" w:themeColor="text1"/>
                <w:szCs w:val="21"/>
                <w14:textFill>
                  <w14:solidFill>
                    <w14:schemeClr w14:val="tx1"/>
                  </w14:solidFill>
                </w14:textFill>
              </w:rPr>
              <w:t>M1</w:t>
            </w:r>
          </w:p>
        </w:tc>
        <w:tc>
          <w:tcPr>
            <w:tcW w:w="619" w:type="pct"/>
            <w:vMerge w:val="restart"/>
            <w:vAlign w:val="center"/>
          </w:tcPr>
          <w:p w14:paraId="6276AA16">
            <w:pPr>
              <w:adjustRightInd w:val="0"/>
              <w:snapToGrid w:val="0"/>
              <w:spacing w:line="300" w:lineRule="exact"/>
              <w:jc w:val="center"/>
              <w:rPr>
                <w:rFonts w:hint="eastAsia" w:ascii="宋体" w:hAnsi="宋体" w:cs="宋体"/>
                <w:bCs/>
                <w:snapToGrid w:val="0"/>
                <w:color w:val="000000" w:themeColor="text1"/>
                <w:szCs w:val="21"/>
                <w14:textFill>
                  <w14:solidFill>
                    <w14:schemeClr w14:val="tx1"/>
                  </w14:solidFill>
                </w14:textFill>
              </w:rPr>
            </w:pPr>
            <w:r>
              <w:rPr>
                <w:rFonts w:hint="eastAsia" w:ascii="宋体" w:hAnsi="宋体" w:cs="宋体"/>
                <w:snapToGrid w:val="0"/>
                <w:color w:val="000000" w:themeColor="text1"/>
                <w:kern w:val="0"/>
                <w:szCs w:val="21"/>
                <w14:textFill>
                  <w14:solidFill>
                    <w14:schemeClr w14:val="tx1"/>
                  </w14:solidFill>
                </w14:textFill>
              </w:rPr>
              <w:t>1号计量站阀门、法兰及连接件等</w:t>
            </w:r>
          </w:p>
        </w:tc>
        <w:tc>
          <w:tcPr>
            <w:tcW w:w="458" w:type="pct"/>
            <w:vAlign w:val="center"/>
          </w:tcPr>
          <w:p w14:paraId="7D67E86D">
            <w:pPr>
              <w:adjustRightInd w:val="0"/>
              <w:snapToGrid w:val="0"/>
              <w:spacing w:line="300" w:lineRule="exact"/>
              <w:jc w:val="center"/>
              <w:rPr>
                <w:rFonts w:hint="eastAsia" w:ascii="宋体" w:hAnsi="宋体" w:cs="宋体"/>
                <w:bCs/>
                <w:snapToGrid w:val="0"/>
                <w:color w:val="000000" w:themeColor="text1"/>
                <w:szCs w:val="21"/>
                <w14:textFill>
                  <w14:solidFill>
                    <w14:schemeClr w14:val="tx1"/>
                  </w14:solidFill>
                </w14:textFill>
              </w:rPr>
            </w:pPr>
            <w:r>
              <w:rPr>
                <w:rFonts w:hint="eastAsia" w:ascii="宋体" w:hAnsi="宋体" w:cs="宋体"/>
                <w:bCs/>
                <w:snapToGrid w:val="0"/>
                <w:color w:val="000000" w:themeColor="text1"/>
                <w:szCs w:val="21"/>
                <w14:textFill>
                  <w14:solidFill>
                    <w14:schemeClr w14:val="tx1"/>
                  </w14:solidFill>
                </w14:textFill>
              </w:rPr>
              <w:t>N</w:t>
            </w:r>
            <w:r>
              <w:rPr>
                <w:rFonts w:ascii="宋体" w:hAnsi="宋体" w:cs="宋体"/>
                <w:bCs/>
                <w:snapToGrid w:val="0"/>
                <w:color w:val="000000" w:themeColor="text1"/>
                <w:szCs w:val="21"/>
                <w14:textFill>
                  <w14:solidFill>
                    <w14:schemeClr w14:val="tx1"/>
                  </w14:solidFill>
                </w14:textFill>
              </w:rPr>
              <w:t>MHC</w:t>
            </w:r>
          </w:p>
        </w:tc>
        <w:tc>
          <w:tcPr>
            <w:tcW w:w="1010" w:type="pct"/>
            <w:vMerge w:val="restart"/>
            <w:vAlign w:val="center"/>
          </w:tcPr>
          <w:p w14:paraId="164CA705">
            <w:pPr>
              <w:pStyle w:val="322"/>
              <w:adjustRightInd w:val="0"/>
              <w:snapToGrid w:val="0"/>
              <w:spacing w:line="300" w:lineRule="exact"/>
              <w:rPr>
                <w:rFonts w:hint="eastAsia" w:cs="宋体"/>
                <w:bCs/>
                <w:snapToGrid w:val="0"/>
                <w:color w:val="000000" w:themeColor="text1"/>
                <w:w w:val="100"/>
                <w:sz w:val="21"/>
                <w:szCs w:val="21"/>
                <w14:textFill>
                  <w14:solidFill>
                    <w14:schemeClr w14:val="tx1"/>
                  </w14:solidFill>
                </w14:textFill>
              </w:rPr>
            </w:pPr>
            <w:r>
              <w:rPr>
                <w:rFonts w:hint="eastAsia" w:cs="宋体"/>
                <w:bCs/>
                <w:snapToGrid w:val="0"/>
                <w:color w:val="000000" w:themeColor="text1"/>
                <w:w w:val="100"/>
                <w:sz w:val="21"/>
                <w:szCs w:val="21"/>
                <w14:textFill>
                  <w14:solidFill>
                    <w14:schemeClr w14:val="tx1"/>
                  </w14:solidFill>
                </w14:textFill>
              </w:rPr>
              <w:t>选用质量可靠的设备、仪表、阀门等；定期对站场的设备、阀门等检查</w:t>
            </w:r>
          </w:p>
        </w:tc>
        <w:tc>
          <w:tcPr>
            <w:tcW w:w="891" w:type="pct"/>
            <w:vAlign w:val="center"/>
          </w:tcPr>
          <w:p w14:paraId="15B02364">
            <w:pPr>
              <w:pStyle w:val="322"/>
              <w:adjustRightInd w:val="0"/>
              <w:snapToGrid w:val="0"/>
              <w:spacing w:line="300" w:lineRule="exact"/>
              <w:rPr>
                <w:rFonts w:hint="eastAsia" w:cs="宋体"/>
                <w:bCs/>
                <w:snapToGrid w:val="0"/>
                <w:color w:val="000000" w:themeColor="text1"/>
                <w:w w:val="100"/>
                <w:sz w:val="21"/>
                <w:szCs w:val="21"/>
                <w14:textFill>
                  <w14:solidFill>
                    <w14:schemeClr w14:val="tx1"/>
                  </w14:solidFill>
                </w14:textFill>
              </w:rPr>
            </w:pPr>
            <w:r>
              <w:rPr>
                <w:rFonts w:hint="eastAsia" w:cs="宋体"/>
                <w:bCs/>
                <w:snapToGrid w:val="0"/>
                <w:color w:val="000000" w:themeColor="text1"/>
                <w:w w:val="100"/>
                <w:sz w:val="21"/>
                <w:szCs w:val="21"/>
                <w14:textFill>
                  <w14:solidFill>
                    <w14:schemeClr w14:val="tx1"/>
                  </w14:solidFill>
                </w14:textFill>
              </w:rPr>
              <w:t>GB39728—2020</w:t>
            </w:r>
          </w:p>
        </w:tc>
        <w:tc>
          <w:tcPr>
            <w:tcW w:w="623" w:type="pct"/>
            <w:vAlign w:val="center"/>
          </w:tcPr>
          <w:p w14:paraId="214A6C20">
            <w:pPr>
              <w:pStyle w:val="322"/>
              <w:adjustRightInd w:val="0"/>
              <w:snapToGrid w:val="0"/>
              <w:spacing w:line="300" w:lineRule="exact"/>
              <w:rPr>
                <w:rFonts w:hint="eastAsia" w:cs="宋体"/>
                <w:bCs/>
                <w:snapToGrid w:val="0"/>
                <w:color w:val="000000" w:themeColor="text1"/>
                <w:w w:val="100"/>
                <w:sz w:val="21"/>
                <w:szCs w:val="21"/>
                <w14:textFill>
                  <w14:solidFill>
                    <w14:schemeClr w14:val="tx1"/>
                  </w14:solidFill>
                </w14:textFill>
              </w:rPr>
            </w:pPr>
            <w:r>
              <w:rPr>
                <w:rFonts w:hint="eastAsia" w:cs="宋体"/>
                <w:bCs/>
                <w:snapToGrid w:val="0"/>
                <w:color w:val="000000" w:themeColor="text1"/>
                <w:w w:val="100"/>
                <w:sz w:val="21"/>
                <w:szCs w:val="21"/>
                <w14:textFill>
                  <w14:solidFill>
                    <w14:schemeClr w14:val="tx1"/>
                  </w14:solidFill>
                </w14:textFill>
              </w:rPr>
              <w:t>4</w:t>
            </w:r>
          </w:p>
        </w:tc>
        <w:tc>
          <w:tcPr>
            <w:tcW w:w="724" w:type="pct"/>
            <w:vAlign w:val="center"/>
          </w:tcPr>
          <w:p w14:paraId="3F22D553">
            <w:pPr>
              <w:pStyle w:val="322"/>
              <w:adjustRightInd w:val="0"/>
              <w:snapToGrid w:val="0"/>
              <w:spacing w:line="300" w:lineRule="exact"/>
              <w:rPr>
                <w:rFonts w:hint="eastAsia" w:cs="宋体"/>
                <w:bCs/>
                <w:snapToGrid w:val="0"/>
                <w:color w:val="000000" w:themeColor="text1"/>
                <w:w w:val="100"/>
                <w:sz w:val="21"/>
                <w:szCs w:val="21"/>
                <w14:textFill>
                  <w14:solidFill>
                    <w14:schemeClr w14:val="tx1"/>
                  </w14:solidFill>
                </w14:textFill>
              </w:rPr>
            </w:pPr>
            <w:r>
              <w:rPr>
                <w:rFonts w:hint="eastAsia" w:cs="宋体"/>
                <w:bCs/>
                <w:snapToGrid w:val="0"/>
                <w:color w:val="000000" w:themeColor="text1"/>
                <w:w w:val="100"/>
                <w:sz w:val="21"/>
                <w:szCs w:val="21"/>
                <w14:textFill>
                  <w14:solidFill>
                    <w14:schemeClr w14:val="tx1"/>
                  </w14:solidFill>
                </w14:textFill>
              </w:rPr>
              <w:t>0.098t/a</w:t>
            </w:r>
          </w:p>
        </w:tc>
      </w:tr>
      <w:tr w14:paraId="7548E71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243" w:type="pct"/>
            <w:vMerge w:val="continue"/>
            <w:vAlign w:val="center"/>
          </w:tcPr>
          <w:p w14:paraId="6AE66C05">
            <w:pPr>
              <w:pStyle w:val="322"/>
              <w:adjustRightInd w:val="0"/>
              <w:snapToGrid w:val="0"/>
              <w:spacing w:line="300" w:lineRule="exact"/>
              <w:rPr>
                <w:rFonts w:hint="eastAsia" w:cs="宋体"/>
                <w:bCs/>
                <w:snapToGrid w:val="0"/>
                <w:color w:val="000000" w:themeColor="text1"/>
                <w:w w:val="100"/>
                <w:sz w:val="21"/>
                <w:szCs w:val="21"/>
                <w14:textFill>
                  <w14:solidFill>
                    <w14:schemeClr w14:val="tx1"/>
                  </w14:solidFill>
                </w14:textFill>
              </w:rPr>
            </w:pPr>
          </w:p>
        </w:tc>
        <w:tc>
          <w:tcPr>
            <w:tcW w:w="431" w:type="pct"/>
            <w:vMerge w:val="continue"/>
            <w:vAlign w:val="center"/>
          </w:tcPr>
          <w:p w14:paraId="24CADA14">
            <w:pPr>
              <w:adjustRightInd w:val="0"/>
              <w:snapToGrid w:val="0"/>
              <w:spacing w:line="300" w:lineRule="exact"/>
              <w:jc w:val="center"/>
              <w:rPr>
                <w:rFonts w:hint="eastAsia" w:ascii="宋体" w:hAnsi="宋体" w:cs="宋体"/>
                <w:bCs/>
                <w:snapToGrid w:val="0"/>
                <w:color w:val="000000" w:themeColor="text1"/>
                <w:szCs w:val="21"/>
                <w14:textFill>
                  <w14:solidFill>
                    <w14:schemeClr w14:val="tx1"/>
                  </w14:solidFill>
                </w14:textFill>
              </w:rPr>
            </w:pPr>
          </w:p>
        </w:tc>
        <w:tc>
          <w:tcPr>
            <w:tcW w:w="619" w:type="pct"/>
            <w:vMerge w:val="continue"/>
            <w:vAlign w:val="center"/>
          </w:tcPr>
          <w:p w14:paraId="151CF83A">
            <w:pPr>
              <w:adjustRightInd w:val="0"/>
              <w:snapToGrid w:val="0"/>
              <w:spacing w:line="300" w:lineRule="exact"/>
              <w:jc w:val="center"/>
              <w:rPr>
                <w:rFonts w:hint="eastAsia" w:ascii="宋体" w:hAnsi="宋体" w:cs="宋体"/>
                <w:snapToGrid w:val="0"/>
                <w:color w:val="000000" w:themeColor="text1"/>
                <w:kern w:val="0"/>
                <w:szCs w:val="21"/>
                <w14:textFill>
                  <w14:solidFill>
                    <w14:schemeClr w14:val="tx1"/>
                  </w14:solidFill>
                </w14:textFill>
              </w:rPr>
            </w:pPr>
          </w:p>
        </w:tc>
        <w:tc>
          <w:tcPr>
            <w:tcW w:w="458" w:type="pct"/>
            <w:vAlign w:val="center"/>
          </w:tcPr>
          <w:p w14:paraId="136B7D13">
            <w:pPr>
              <w:adjustRightInd w:val="0"/>
              <w:snapToGrid w:val="0"/>
              <w:spacing w:line="300" w:lineRule="exact"/>
              <w:jc w:val="center"/>
              <w:rPr>
                <w:rFonts w:hint="eastAsia" w:ascii="宋体" w:hAnsi="宋体" w:cs="宋体"/>
                <w:bCs/>
                <w:snapToGrid w:val="0"/>
                <w:color w:val="000000" w:themeColor="text1"/>
                <w:szCs w:val="21"/>
                <w14:textFill>
                  <w14:solidFill>
                    <w14:schemeClr w14:val="tx1"/>
                  </w14:solidFill>
                </w14:textFill>
              </w:rPr>
            </w:pPr>
            <w:r>
              <w:rPr>
                <w:rFonts w:hint="eastAsia" w:ascii="宋体" w:hAnsi="宋体" w:cs="宋体"/>
                <w:bCs/>
                <w:snapToGrid w:val="0"/>
                <w:color w:val="000000" w:themeColor="text1"/>
                <w:szCs w:val="21"/>
                <w14:textFill>
                  <w14:solidFill>
                    <w14:schemeClr w14:val="tx1"/>
                  </w14:solidFill>
                </w14:textFill>
              </w:rPr>
              <w:t>硫化氢</w:t>
            </w:r>
          </w:p>
        </w:tc>
        <w:tc>
          <w:tcPr>
            <w:tcW w:w="1010" w:type="pct"/>
            <w:vMerge w:val="continue"/>
            <w:vAlign w:val="center"/>
          </w:tcPr>
          <w:p w14:paraId="1DA9F7A1">
            <w:pPr>
              <w:pStyle w:val="322"/>
              <w:adjustRightInd w:val="0"/>
              <w:snapToGrid w:val="0"/>
              <w:spacing w:line="300" w:lineRule="exact"/>
              <w:rPr>
                <w:rFonts w:hint="eastAsia" w:cs="宋体"/>
                <w:bCs/>
                <w:snapToGrid w:val="0"/>
                <w:color w:val="000000" w:themeColor="text1"/>
                <w:w w:val="100"/>
                <w:sz w:val="21"/>
                <w:szCs w:val="21"/>
                <w14:textFill>
                  <w14:solidFill>
                    <w14:schemeClr w14:val="tx1"/>
                  </w14:solidFill>
                </w14:textFill>
              </w:rPr>
            </w:pPr>
          </w:p>
        </w:tc>
        <w:tc>
          <w:tcPr>
            <w:tcW w:w="891" w:type="pct"/>
            <w:vAlign w:val="center"/>
          </w:tcPr>
          <w:p w14:paraId="1C8D9808">
            <w:pPr>
              <w:pStyle w:val="322"/>
              <w:adjustRightInd w:val="0"/>
              <w:snapToGrid w:val="0"/>
              <w:spacing w:line="300" w:lineRule="exact"/>
              <w:rPr>
                <w:rFonts w:hint="eastAsia" w:cs="宋体"/>
                <w:bCs/>
                <w:snapToGrid w:val="0"/>
                <w:color w:val="000000" w:themeColor="text1"/>
                <w:w w:val="100"/>
                <w:sz w:val="21"/>
                <w:szCs w:val="21"/>
                <w14:textFill>
                  <w14:solidFill>
                    <w14:schemeClr w14:val="tx1"/>
                  </w14:solidFill>
                </w14:textFill>
              </w:rPr>
            </w:pPr>
            <w:r>
              <w:rPr>
                <w:rFonts w:hint="eastAsia" w:cs="宋体"/>
                <w:bCs/>
                <w:snapToGrid w:val="0"/>
                <w:color w:val="000000" w:themeColor="text1"/>
                <w:w w:val="100"/>
                <w:sz w:val="21"/>
                <w:szCs w:val="21"/>
                <w14:textFill>
                  <w14:solidFill>
                    <w14:schemeClr w14:val="tx1"/>
                  </w14:solidFill>
                </w14:textFill>
              </w:rPr>
              <w:t>GB14554-93表1</w:t>
            </w:r>
          </w:p>
        </w:tc>
        <w:tc>
          <w:tcPr>
            <w:tcW w:w="623" w:type="pct"/>
            <w:vAlign w:val="center"/>
          </w:tcPr>
          <w:p w14:paraId="7F0E3BC0">
            <w:pPr>
              <w:pStyle w:val="322"/>
              <w:adjustRightInd w:val="0"/>
              <w:snapToGrid w:val="0"/>
              <w:spacing w:line="300" w:lineRule="exact"/>
              <w:rPr>
                <w:rFonts w:hint="eastAsia" w:cs="宋体"/>
                <w:bCs/>
                <w:snapToGrid w:val="0"/>
                <w:color w:val="000000" w:themeColor="text1"/>
                <w:w w:val="100"/>
                <w:sz w:val="21"/>
                <w:szCs w:val="21"/>
                <w14:textFill>
                  <w14:solidFill>
                    <w14:schemeClr w14:val="tx1"/>
                  </w14:solidFill>
                </w14:textFill>
              </w:rPr>
            </w:pPr>
            <w:r>
              <w:rPr>
                <w:rFonts w:hint="eastAsia" w:cs="宋体"/>
                <w:bCs/>
                <w:snapToGrid w:val="0"/>
                <w:color w:val="000000" w:themeColor="text1"/>
                <w:w w:val="100"/>
                <w:sz w:val="21"/>
                <w:szCs w:val="21"/>
                <w14:textFill>
                  <w14:solidFill>
                    <w14:schemeClr w14:val="tx1"/>
                  </w14:solidFill>
                </w14:textFill>
              </w:rPr>
              <w:t>0.06</w:t>
            </w:r>
          </w:p>
        </w:tc>
        <w:tc>
          <w:tcPr>
            <w:tcW w:w="724" w:type="pct"/>
            <w:vAlign w:val="center"/>
          </w:tcPr>
          <w:p w14:paraId="60173493">
            <w:pPr>
              <w:pStyle w:val="322"/>
              <w:adjustRightInd w:val="0"/>
              <w:snapToGrid w:val="0"/>
              <w:spacing w:line="300" w:lineRule="exact"/>
              <w:rPr>
                <w:rFonts w:hint="eastAsia" w:cs="宋体"/>
                <w:bCs/>
                <w:snapToGrid w:val="0"/>
                <w:color w:val="000000" w:themeColor="text1"/>
                <w:w w:val="100"/>
                <w:sz w:val="21"/>
                <w:szCs w:val="21"/>
                <w14:textFill>
                  <w14:solidFill>
                    <w14:schemeClr w14:val="tx1"/>
                  </w14:solidFill>
                </w14:textFill>
              </w:rPr>
            </w:pPr>
            <w:r>
              <w:rPr>
                <w:rFonts w:hint="eastAsia" w:cs="宋体"/>
                <w:bCs/>
                <w:snapToGrid w:val="0"/>
                <w:color w:val="000000" w:themeColor="text1"/>
                <w:w w:val="100"/>
                <w:sz w:val="21"/>
                <w:szCs w:val="21"/>
                <w14:textFill>
                  <w14:solidFill>
                    <w14:schemeClr w14:val="tx1"/>
                  </w14:solidFill>
                </w14:textFill>
              </w:rPr>
              <w:t>0.026kg/a</w:t>
            </w:r>
          </w:p>
        </w:tc>
      </w:tr>
      <w:tr w14:paraId="4427946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243" w:type="pct"/>
            <w:vMerge w:val="restart"/>
            <w:vAlign w:val="center"/>
          </w:tcPr>
          <w:p w14:paraId="08D6F2BE">
            <w:pPr>
              <w:pStyle w:val="322"/>
              <w:adjustRightInd w:val="0"/>
              <w:snapToGrid w:val="0"/>
              <w:spacing w:line="300" w:lineRule="exact"/>
              <w:rPr>
                <w:rFonts w:hint="eastAsia" w:cs="宋体"/>
                <w:bCs/>
                <w:snapToGrid w:val="0"/>
                <w:color w:val="000000" w:themeColor="text1"/>
                <w:w w:val="100"/>
                <w:sz w:val="21"/>
                <w:szCs w:val="21"/>
                <w14:textFill>
                  <w14:solidFill>
                    <w14:schemeClr w14:val="tx1"/>
                  </w14:solidFill>
                </w14:textFill>
              </w:rPr>
            </w:pPr>
            <w:r>
              <w:rPr>
                <w:rFonts w:hint="eastAsia" w:cs="宋体"/>
                <w:bCs/>
                <w:snapToGrid w:val="0"/>
                <w:color w:val="000000" w:themeColor="text1"/>
                <w:w w:val="100"/>
                <w:sz w:val="21"/>
                <w:szCs w:val="21"/>
                <w14:textFill>
                  <w14:solidFill>
                    <w14:schemeClr w14:val="tx1"/>
                  </w14:solidFill>
                </w14:textFill>
              </w:rPr>
              <w:t>3</w:t>
            </w:r>
          </w:p>
        </w:tc>
        <w:tc>
          <w:tcPr>
            <w:tcW w:w="431" w:type="pct"/>
            <w:vMerge w:val="restart"/>
            <w:vAlign w:val="center"/>
          </w:tcPr>
          <w:p w14:paraId="392B2749">
            <w:pPr>
              <w:adjustRightInd w:val="0"/>
              <w:snapToGrid w:val="0"/>
              <w:spacing w:line="300" w:lineRule="exact"/>
              <w:jc w:val="center"/>
              <w:rPr>
                <w:rFonts w:hint="eastAsia" w:ascii="宋体" w:hAnsi="宋体" w:cs="宋体"/>
                <w:bCs/>
                <w:snapToGrid w:val="0"/>
                <w:color w:val="000000" w:themeColor="text1"/>
                <w:szCs w:val="21"/>
                <w14:textFill>
                  <w14:solidFill>
                    <w14:schemeClr w14:val="tx1"/>
                  </w14:solidFill>
                </w14:textFill>
              </w:rPr>
            </w:pPr>
            <w:r>
              <w:rPr>
                <w:rFonts w:hint="eastAsia" w:ascii="宋体" w:hAnsi="宋体" w:cs="宋体"/>
                <w:bCs/>
                <w:snapToGrid w:val="0"/>
                <w:color w:val="000000" w:themeColor="text1"/>
                <w:szCs w:val="21"/>
                <w14:textFill>
                  <w14:solidFill>
                    <w14:schemeClr w14:val="tx1"/>
                  </w14:solidFill>
                </w14:textFill>
              </w:rPr>
              <w:t>M2</w:t>
            </w:r>
          </w:p>
        </w:tc>
        <w:tc>
          <w:tcPr>
            <w:tcW w:w="619" w:type="pct"/>
            <w:vMerge w:val="restart"/>
            <w:vAlign w:val="center"/>
          </w:tcPr>
          <w:p w14:paraId="478EE134">
            <w:pPr>
              <w:adjustRightInd w:val="0"/>
              <w:snapToGrid w:val="0"/>
              <w:spacing w:line="300" w:lineRule="exact"/>
              <w:jc w:val="center"/>
              <w:rPr>
                <w:rFonts w:hint="eastAsia" w:ascii="宋体" w:hAnsi="宋体" w:cs="宋体"/>
                <w:snapToGrid w:val="0"/>
                <w:color w:val="000000" w:themeColor="text1"/>
                <w:kern w:val="0"/>
                <w:szCs w:val="21"/>
                <w14:textFill>
                  <w14:solidFill>
                    <w14:schemeClr w14:val="tx1"/>
                  </w14:solidFill>
                </w14:textFill>
              </w:rPr>
            </w:pPr>
            <w:r>
              <w:rPr>
                <w:rFonts w:hint="eastAsia" w:ascii="宋体" w:hAnsi="宋体" w:cs="宋体"/>
                <w:snapToGrid w:val="0"/>
                <w:color w:val="000000" w:themeColor="text1"/>
                <w:kern w:val="0"/>
                <w:szCs w:val="21"/>
                <w14:textFill>
                  <w14:solidFill>
                    <w14:schemeClr w14:val="tx1"/>
                  </w14:solidFill>
                </w14:textFill>
              </w:rPr>
              <w:t>预处理注入站阀门、法兰及连接件等</w:t>
            </w:r>
          </w:p>
        </w:tc>
        <w:tc>
          <w:tcPr>
            <w:tcW w:w="458" w:type="pct"/>
            <w:vAlign w:val="center"/>
          </w:tcPr>
          <w:p w14:paraId="4F625EE2">
            <w:pPr>
              <w:adjustRightInd w:val="0"/>
              <w:snapToGrid w:val="0"/>
              <w:spacing w:line="300" w:lineRule="exact"/>
              <w:jc w:val="center"/>
              <w:rPr>
                <w:rFonts w:hint="eastAsia" w:ascii="宋体" w:hAnsi="宋体" w:cs="宋体"/>
                <w:bCs/>
                <w:snapToGrid w:val="0"/>
                <w:color w:val="000000" w:themeColor="text1"/>
                <w:szCs w:val="21"/>
                <w14:textFill>
                  <w14:solidFill>
                    <w14:schemeClr w14:val="tx1"/>
                  </w14:solidFill>
                </w14:textFill>
              </w:rPr>
            </w:pPr>
            <w:r>
              <w:rPr>
                <w:rFonts w:hint="eastAsia" w:ascii="宋体" w:hAnsi="宋体" w:cs="宋体"/>
                <w:bCs/>
                <w:snapToGrid w:val="0"/>
                <w:color w:val="000000" w:themeColor="text1"/>
                <w:szCs w:val="21"/>
                <w14:textFill>
                  <w14:solidFill>
                    <w14:schemeClr w14:val="tx1"/>
                  </w14:solidFill>
                </w14:textFill>
              </w:rPr>
              <w:t>N</w:t>
            </w:r>
            <w:r>
              <w:rPr>
                <w:rFonts w:ascii="宋体" w:hAnsi="宋体" w:cs="宋体"/>
                <w:bCs/>
                <w:snapToGrid w:val="0"/>
                <w:color w:val="000000" w:themeColor="text1"/>
                <w:szCs w:val="21"/>
                <w14:textFill>
                  <w14:solidFill>
                    <w14:schemeClr w14:val="tx1"/>
                  </w14:solidFill>
                </w14:textFill>
              </w:rPr>
              <w:t>MHC</w:t>
            </w:r>
          </w:p>
        </w:tc>
        <w:tc>
          <w:tcPr>
            <w:tcW w:w="1010" w:type="pct"/>
            <w:vMerge w:val="restart"/>
            <w:vAlign w:val="center"/>
          </w:tcPr>
          <w:p w14:paraId="0BDED986">
            <w:pPr>
              <w:pStyle w:val="322"/>
              <w:adjustRightInd w:val="0"/>
              <w:snapToGrid w:val="0"/>
              <w:spacing w:line="300" w:lineRule="exact"/>
              <w:rPr>
                <w:rFonts w:hint="eastAsia" w:cs="宋体"/>
                <w:bCs/>
                <w:snapToGrid w:val="0"/>
                <w:color w:val="000000" w:themeColor="text1"/>
                <w:w w:val="100"/>
                <w:sz w:val="21"/>
                <w:szCs w:val="21"/>
                <w14:textFill>
                  <w14:solidFill>
                    <w14:schemeClr w14:val="tx1"/>
                  </w14:solidFill>
                </w14:textFill>
              </w:rPr>
            </w:pPr>
            <w:r>
              <w:rPr>
                <w:rFonts w:hint="eastAsia" w:cs="宋体"/>
                <w:bCs/>
                <w:snapToGrid w:val="0"/>
                <w:color w:val="000000" w:themeColor="text1"/>
                <w:w w:val="100"/>
                <w:sz w:val="21"/>
                <w:szCs w:val="21"/>
                <w14:textFill>
                  <w14:solidFill>
                    <w14:schemeClr w14:val="tx1"/>
                  </w14:solidFill>
                </w14:textFill>
              </w:rPr>
              <w:t>选用质量可靠的设备、仪表、阀门等；定期对站场的设备、阀门等检查</w:t>
            </w:r>
          </w:p>
        </w:tc>
        <w:tc>
          <w:tcPr>
            <w:tcW w:w="891" w:type="pct"/>
            <w:vAlign w:val="center"/>
          </w:tcPr>
          <w:p w14:paraId="7F4B9FD9">
            <w:pPr>
              <w:pStyle w:val="322"/>
              <w:adjustRightInd w:val="0"/>
              <w:snapToGrid w:val="0"/>
              <w:spacing w:line="300" w:lineRule="exact"/>
              <w:rPr>
                <w:rFonts w:hint="eastAsia" w:cs="宋体"/>
                <w:bCs/>
                <w:snapToGrid w:val="0"/>
                <w:color w:val="000000" w:themeColor="text1"/>
                <w:w w:val="100"/>
                <w:sz w:val="21"/>
                <w:szCs w:val="21"/>
                <w14:textFill>
                  <w14:solidFill>
                    <w14:schemeClr w14:val="tx1"/>
                  </w14:solidFill>
                </w14:textFill>
              </w:rPr>
            </w:pPr>
            <w:r>
              <w:rPr>
                <w:rFonts w:hint="eastAsia" w:cs="宋体"/>
                <w:bCs/>
                <w:snapToGrid w:val="0"/>
                <w:color w:val="000000" w:themeColor="text1"/>
                <w:w w:val="100"/>
                <w:sz w:val="21"/>
                <w:szCs w:val="21"/>
                <w14:textFill>
                  <w14:solidFill>
                    <w14:schemeClr w14:val="tx1"/>
                  </w14:solidFill>
                </w14:textFill>
              </w:rPr>
              <w:t>GB39728—2020</w:t>
            </w:r>
          </w:p>
        </w:tc>
        <w:tc>
          <w:tcPr>
            <w:tcW w:w="623" w:type="pct"/>
            <w:vAlign w:val="center"/>
          </w:tcPr>
          <w:p w14:paraId="1340548D">
            <w:pPr>
              <w:pStyle w:val="322"/>
              <w:adjustRightInd w:val="0"/>
              <w:snapToGrid w:val="0"/>
              <w:spacing w:line="300" w:lineRule="exact"/>
              <w:rPr>
                <w:rFonts w:hint="eastAsia" w:cs="宋体"/>
                <w:bCs/>
                <w:snapToGrid w:val="0"/>
                <w:color w:val="000000" w:themeColor="text1"/>
                <w:w w:val="100"/>
                <w:sz w:val="21"/>
                <w:szCs w:val="21"/>
                <w14:textFill>
                  <w14:solidFill>
                    <w14:schemeClr w14:val="tx1"/>
                  </w14:solidFill>
                </w14:textFill>
              </w:rPr>
            </w:pPr>
            <w:r>
              <w:rPr>
                <w:rFonts w:hint="eastAsia" w:cs="宋体"/>
                <w:bCs/>
                <w:snapToGrid w:val="0"/>
                <w:color w:val="000000" w:themeColor="text1"/>
                <w:w w:val="100"/>
                <w:sz w:val="21"/>
                <w:szCs w:val="21"/>
                <w14:textFill>
                  <w14:solidFill>
                    <w14:schemeClr w14:val="tx1"/>
                  </w14:solidFill>
                </w14:textFill>
              </w:rPr>
              <w:t>4</w:t>
            </w:r>
          </w:p>
        </w:tc>
        <w:tc>
          <w:tcPr>
            <w:tcW w:w="724" w:type="pct"/>
            <w:vAlign w:val="center"/>
          </w:tcPr>
          <w:p w14:paraId="25F85D7F">
            <w:pPr>
              <w:pStyle w:val="322"/>
              <w:adjustRightInd w:val="0"/>
              <w:snapToGrid w:val="0"/>
              <w:spacing w:line="300" w:lineRule="exact"/>
              <w:rPr>
                <w:rFonts w:hint="eastAsia" w:cs="宋体"/>
                <w:bCs/>
                <w:snapToGrid w:val="0"/>
                <w:color w:val="000000" w:themeColor="text1"/>
                <w:w w:val="100"/>
                <w:sz w:val="21"/>
                <w:szCs w:val="21"/>
                <w14:textFill>
                  <w14:solidFill>
                    <w14:schemeClr w14:val="tx1"/>
                  </w14:solidFill>
                </w14:textFill>
              </w:rPr>
            </w:pPr>
            <w:r>
              <w:rPr>
                <w:rFonts w:hint="eastAsia" w:cs="宋体"/>
                <w:bCs/>
                <w:snapToGrid w:val="0"/>
                <w:color w:val="000000" w:themeColor="text1"/>
                <w:w w:val="100"/>
                <w:sz w:val="21"/>
                <w:szCs w:val="21"/>
                <w14:textFill>
                  <w14:solidFill>
                    <w14:schemeClr w14:val="tx1"/>
                  </w14:solidFill>
                </w14:textFill>
              </w:rPr>
              <w:t>1.24t/a</w:t>
            </w:r>
          </w:p>
        </w:tc>
      </w:tr>
      <w:tr w14:paraId="66D6EFE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243" w:type="pct"/>
            <w:vMerge w:val="continue"/>
            <w:vAlign w:val="center"/>
          </w:tcPr>
          <w:p w14:paraId="3D75D16B">
            <w:pPr>
              <w:pStyle w:val="322"/>
              <w:adjustRightInd w:val="0"/>
              <w:snapToGrid w:val="0"/>
              <w:spacing w:line="300" w:lineRule="exact"/>
              <w:rPr>
                <w:rFonts w:hint="eastAsia" w:cs="宋体"/>
                <w:bCs/>
                <w:snapToGrid w:val="0"/>
                <w:color w:val="000000" w:themeColor="text1"/>
                <w:w w:val="100"/>
                <w:sz w:val="21"/>
                <w:szCs w:val="21"/>
                <w14:textFill>
                  <w14:solidFill>
                    <w14:schemeClr w14:val="tx1"/>
                  </w14:solidFill>
                </w14:textFill>
              </w:rPr>
            </w:pPr>
          </w:p>
        </w:tc>
        <w:tc>
          <w:tcPr>
            <w:tcW w:w="431" w:type="pct"/>
            <w:vMerge w:val="continue"/>
            <w:vAlign w:val="center"/>
          </w:tcPr>
          <w:p w14:paraId="6BEFDC12">
            <w:pPr>
              <w:adjustRightInd w:val="0"/>
              <w:snapToGrid w:val="0"/>
              <w:spacing w:line="300" w:lineRule="exact"/>
              <w:jc w:val="center"/>
              <w:rPr>
                <w:rFonts w:hint="eastAsia" w:ascii="宋体" w:hAnsi="宋体" w:cs="宋体"/>
                <w:bCs/>
                <w:snapToGrid w:val="0"/>
                <w:color w:val="000000" w:themeColor="text1"/>
                <w:szCs w:val="21"/>
                <w14:textFill>
                  <w14:solidFill>
                    <w14:schemeClr w14:val="tx1"/>
                  </w14:solidFill>
                </w14:textFill>
              </w:rPr>
            </w:pPr>
          </w:p>
        </w:tc>
        <w:tc>
          <w:tcPr>
            <w:tcW w:w="619" w:type="pct"/>
            <w:vMerge w:val="continue"/>
            <w:vAlign w:val="center"/>
          </w:tcPr>
          <w:p w14:paraId="6BDA9573">
            <w:pPr>
              <w:adjustRightInd w:val="0"/>
              <w:snapToGrid w:val="0"/>
              <w:spacing w:line="300" w:lineRule="exact"/>
              <w:jc w:val="center"/>
              <w:rPr>
                <w:rFonts w:hint="eastAsia" w:ascii="宋体" w:hAnsi="宋体" w:cs="宋体"/>
                <w:snapToGrid w:val="0"/>
                <w:color w:val="000000" w:themeColor="text1"/>
                <w:kern w:val="0"/>
                <w:szCs w:val="21"/>
                <w14:textFill>
                  <w14:solidFill>
                    <w14:schemeClr w14:val="tx1"/>
                  </w14:solidFill>
                </w14:textFill>
              </w:rPr>
            </w:pPr>
          </w:p>
        </w:tc>
        <w:tc>
          <w:tcPr>
            <w:tcW w:w="458" w:type="pct"/>
            <w:vAlign w:val="center"/>
          </w:tcPr>
          <w:p w14:paraId="3BA440CF">
            <w:pPr>
              <w:adjustRightInd w:val="0"/>
              <w:snapToGrid w:val="0"/>
              <w:spacing w:line="300" w:lineRule="exact"/>
              <w:jc w:val="center"/>
              <w:rPr>
                <w:rFonts w:hint="eastAsia" w:ascii="宋体" w:hAnsi="宋体" w:cs="宋体"/>
                <w:bCs/>
                <w:snapToGrid w:val="0"/>
                <w:color w:val="000000" w:themeColor="text1"/>
                <w:szCs w:val="21"/>
                <w14:textFill>
                  <w14:solidFill>
                    <w14:schemeClr w14:val="tx1"/>
                  </w14:solidFill>
                </w14:textFill>
              </w:rPr>
            </w:pPr>
            <w:r>
              <w:rPr>
                <w:rFonts w:hint="eastAsia" w:ascii="宋体" w:hAnsi="宋体" w:cs="宋体"/>
                <w:bCs/>
                <w:snapToGrid w:val="0"/>
                <w:color w:val="000000" w:themeColor="text1"/>
                <w:szCs w:val="21"/>
                <w14:textFill>
                  <w14:solidFill>
                    <w14:schemeClr w14:val="tx1"/>
                  </w14:solidFill>
                </w14:textFill>
              </w:rPr>
              <w:t>硫化氢</w:t>
            </w:r>
          </w:p>
        </w:tc>
        <w:tc>
          <w:tcPr>
            <w:tcW w:w="1010" w:type="pct"/>
            <w:vMerge w:val="continue"/>
            <w:vAlign w:val="center"/>
          </w:tcPr>
          <w:p w14:paraId="27570B8F">
            <w:pPr>
              <w:pStyle w:val="322"/>
              <w:adjustRightInd w:val="0"/>
              <w:snapToGrid w:val="0"/>
              <w:spacing w:line="300" w:lineRule="exact"/>
              <w:rPr>
                <w:rFonts w:hint="eastAsia" w:cs="宋体"/>
                <w:bCs/>
                <w:snapToGrid w:val="0"/>
                <w:color w:val="000000" w:themeColor="text1"/>
                <w:w w:val="100"/>
                <w:sz w:val="21"/>
                <w:szCs w:val="21"/>
                <w14:textFill>
                  <w14:solidFill>
                    <w14:schemeClr w14:val="tx1"/>
                  </w14:solidFill>
                </w14:textFill>
              </w:rPr>
            </w:pPr>
          </w:p>
        </w:tc>
        <w:tc>
          <w:tcPr>
            <w:tcW w:w="891" w:type="pct"/>
            <w:vAlign w:val="center"/>
          </w:tcPr>
          <w:p w14:paraId="516335EE">
            <w:pPr>
              <w:pStyle w:val="322"/>
              <w:adjustRightInd w:val="0"/>
              <w:snapToGrid w:val="0"/>
              <w:spacing w:line="300" w:lineRule="exact"/>
              <w:rPr>
                <w:rFonts w:hint="eastAsia" w:cs="宋体"/>
                <w:bCs/>
                <w:snapToGrid w:val="0"/>
                <w:color w:val="000000" w:themeColor="text1"/>
                <w:w w:val="100"/>
                <w:sz w:val="21"/>
                <w:szCs w:val="21"/>
                <w14:textFill>
                  <w14:solidFill>
                    <w14:schemeClr w14:val="tx1"/>
                  </w14:solidFill>
                </w14:textFill>
              </w:rPr>
            </w:pPr>
            <w:r>
              <w:rPr>
                <w:rFonts w:hint="eastAsia" w:cs="宋体"/>
                <w:bCs/>
                <w:snapToGrid w:val="0"/>
                <w:color w:val="000000" w:themeColor="text1"/>
                <w:w w:val="100"/>
                <w:sz w:val="21"/>
                <w:szCs w:val="21"/>
                <w14:textFill>
                  <w14:solidFill>
                    <w14:schemeClr w14:val="tx1"/>
                  </w14:solidFill>
                </w14:textFill>
              </w:rPr>
              <w:t>GB14554-93表1</w:t>
            </w:r>
          </w:p>
        </w:tc>
        <w:tc>
          <w:tcPr>
            <w:tcW w:w="623" w:type="pct"/>
            <w:vAlign w:val="center"/>
          </w:tcPr>
          <w:p w14:paraId="6618C227">
            <w:pPr>
              <w:pStyle w:val="322"/>
              <w:adjustRightInd w:val="0"/>
              <w:snapToGrid w:val="0"/>
              <w:spacing w:line="300" w:lineRule="exact"/>
              <w:rPr>
                <w:rFonts w:hint="eastAsia" w:cs="宋体"/>
                <w:bCs/>
                <w:snapToGrid w:val="0"/>
                <w:color w:val="000000" w:themeColor="text1"/>
                <w:w w:val="100"/>
                <w:sz w:val="21"/>
                <w:szCs w:val="21"/>
                <w14:textFill>
                  <w14:solidFill>
                    <w14:schemeClr w14:val="tx1"/>
                  </w14:solidFill>
                </w14:textFill>
              </w:rPr>
            </w:pPr>
            <w:r>
              <w:rPr>
                <w:rFonts w:hint="eastAsia" w:cs="宋体"/>
                <w:bCs/>
                <w:snapToGrid w:val="0"/>
                <w:color w:val="000000" w:themeColor="text1"/>
                <w:w w:val="100"/>
                <w:sz w:val="21"/>
                <w:szCs w:val="21"/>
                <w14:textFill>
                  <w14:solidFill>
                    <w14:schemeClr w14:val="tx1"/>
                  </w14:solidFill>
                </w14:textFill>
              </w:rPr>
              <w:t>0.06</w:t>
            </w:r>
          </w:p>
        </w:tc>
        <w:tc>
          <w:tcPr>
            <w:tcW w:w="724" w:type="pct"/>
            <w:vAlign w:val="center"/>
          </w:tcPr>
          <w:p w14:paraId="5EDD3213">
            <w:pPr>
              <w:pStyle w:val="322"/>
              <w:adjustRightInd w:val="0"/>
              <w:snapToGrid w:val="0"/>
              <w:spacing w:line="300" w:lineRule="exact"/>
              <w:rPr>
                <w:rFonts w:hint="eastAsia" w:cs="宋体"/>
                <w:bCs/>
                <w:snapToGrid w:val="0"/>
                <w:color w:val="000000" w:themeColor="text1"/>
                <w:w w:val="100"/>
                <w:sz w:val="21"/>
                <w:szCs w:val="21"/>
                <w14:textFill>
                  <w14:solidFill>
                    <w14:schemeClr w14:val="tx1"/>
                  </w14:solidFill>
                </w14:textFill>
              </w:rPr>
            </w:pPr>
            <w:r>
              <w:rPr>
                <w:rFonts w:hint="eastAsia" w:cs="宋体"/>
                <w:bCs/>
                <w:snapToGrid w:val="0"/>
                <w:color w:val="000000" w:themeColor="text1"/>
                <w:w w:val="100"/>
                <w:sz w:val="21"/>
                <w:szCs w:val="21"/>
                <w14:textFill>
                  <w14:solidFill>
                    <w14:schemeClr w14:val="tx1"/>
                  </w14:solidFill>
                </w14:textFill>
              </w:rPr>
              <w:t>0.333kg/a</w:t>
            </w:r>
          </w:p>
        </w:tc>
      </w:tr>
    </w:tbl>
    <w:p w14:paraId="5EBF1596">
      <w:pPr>
        <w:pStyle w:val="117"/>
        <w:ind w:firstLine="480"/>
        <w:rPr>
          <w:rFonts w:hint="eastAsia"/>
          <w:color w:val="000000" w:themeColor="text1"/>
          <w14:textFill>
            <w14:solidFill>
              <w14:schemeClr w14:val="tx1"/>
            </w14:solidFill>
          </w14:textFill>
        </w:rPr>
      </w:pPr>
      <w:bookmarkStart w:id="331" w:name="_Hlk160375551"/>
      <w:r>
        <w:rPr>
          <w:rFonts w:hint="eastAsia"/>
          <w:color w:val="000000" w:themeColor="text1"/>
          <w:kern w:val="0"/>
          <w:szCs w:val="22"/>
          <w14:textFill>
            <w14:solidFill>
              <w14:schemeClr w14:val="tx1"/>
            </w14:solidFill>
          </w14:textFill>
        </w:rPr>
        <w:t>（2）</w:t>
      </w:r>
      <w:r>
        <w:rPr>
          <w:rFonts w:hint="eastAsia"/>
          <w:color w:val="000000" w:themeColor="text1"/>
          <w14:textFill>
            <w14:solidFill>
              <w14:schemeClr w14:val="tx1"/>
            </w14:solidFill>
          </w14:textFill>
        </w:rPr>
        <w:t>废水</w:t>
      </w:r>
    </w:p>
    <w:bookmarkEnd w:id="319"/>
    <w:p w14:paraId="63AC0810">
      <w:pPr>
        <w:pStyle w:val="117"/>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废水主要为洗井废水和井下作业废液（压裂返排液和废洗井液）和生活污水。</w:t>
      </w:r>
    </w:p>
    <w:p w14:paraId="59BE2F38">
      <w:pPr>
        <w:pStyle w:val="117"/>
        <w:ind w:firstLine="480" w:firstLineChars="0"/>
        <w:rPr>
          <w:rFonts w:hint="eastAsia"/>
          <w:color w:val="000000" w:themeColor="text1"/>
          <w14:textFill>
            <w14:solidFill>
              <w14:schemeClr w14:val="tx1"/>
            </w14:solidFill>
          </w14:textFill>
        </w:rPr>
      </w:pPr>
      <w:bookmarkStart w:id="332" w:name="_Hlk173404227"/>
      <w:r>
        <w:rPr>
          <w:rFonts w:hint="eastAsia"/>
          <w:color w:val="000000" w:themeColor="text1"/>
          <w14:textFill>
            <w14:solidFill>
              <w14:schemeClr w14:val="tx1"/>
            </w14:solidFill>
          </w14:textFill>
        </w:rPr>
        <w:t>①</w:t>
      </w:r>
      <w:bookmarkEnd w:id="332"/>
      <w:r>
        <w:rPr>
          <w:rFonts w:hint="eastAsia"/>
          <w:color w:val="000000" w:themeColor="text1"/>
          <w14:textFill>
            <w14:solidFill>
              <w14:schemeClr w14:val="tx1"/>
            </w14:solidFill>
          </w14:textFill>
        </w:rPr>
        <w:t>洗井废水</w:t>
      </w:r>
    </w:p>
    <w:p w14:paraId="70265646">
      <w:pPr>
        <w:pStyle w:val="117"/>
        <w:ind w:firstLine="480"/>
        <w:rPr>
          <w:rFonts w:hint="eastAsia" w:cs="黑体"/>
          <w:color w:val="000000" w:themeColor="text1"/>
          <w14:textFill>
            <w14:solidFill>
              <w14:schemeClr w14:val="tx1"/>
            </w14:solidFill>
          </w14:textFill>
        </w:rPr>
      </w:pPr>
      <w:r>
        <w:rPr>
          <w:rFonts w:hint="eastAsia"/>
          <w:color w:val="000000" w:themeColor="text1"/>
          <w14:textFill>
            <w14:solidFill>
              <w14:schemeClr w14:val="tx1"/>
            </w14:solidFill>
          </w14:textFill>
        </w:rPr>
        <w:t>洗井废水产生量无相应的源强核算技术指南，本次评价参照《排放源统计调查产排污核算方法和系数手册》（</w:t>
      </w:r>
      <w:r>
        <w:rPr>
          <w:color w:val="000000" w:themeColor="text1"/>
          <w14:textFill>
            <w14:solidFill>
              <w14:schemeClr w14:val="tx1"/>
            </w14:solidFill>
          </w14:textFill>
        </w:rPr>
        <w:t>2021</w:t>
      </w:r>
      <w:r>
        <w:rPr>
          <w:rFonts w:hint="eastAsia"/>
          <w:color w:val="000000" w:themeColor="text1"/>
          <w14:textFill>
            <w14:solidFill>
              <w14:schemeClr w14:val="tx1"/>
            </w14:solidFill>
          </w14:textFill>
        </w:rPr>
        <w:t>年第</w:t>
      </w:r>
      <w:r>
        <w:rPr>
          <w:color w:val="000000" w:themeColor="text1"/>
          <w14:textFill>
            <w14:solidFill>
              <w14:schemeClr w14:val="tx1"/>
            </w14:solidFill>
          </w14:textFill>
        </w:rPr>
        <w:t>24</w:t>
      </w:r>
      <w:r>
        <w:rPr>
          <w:rFonts w:hint="eastAsia"/>
          <w:color w:val="000000" w:themeColor="text1"/>
          <w14:textFill>
            <w14:solidFill>
              <w14:schemeClr w14:val="tx1"/>
            </w14:solidFill>
          </w14:textFill>
        </w:rPr>
        <w:t>号）中的《工业源产排污核算方法和系数手册》</w:t>
      </w:r>
      <w:r>
        <w:rPr>
          <w:color w:val="000000" w:themeColor="text1"/>
          <w14:textFill>
            <w14:solidFill>
              <w14:schemeClr w14:val="tx1"/>
            </w14:solidFill>
          </w14:textFill>
        </w:rPr>
        <w:t>-1120</w:t>
      </w:r>
      <w:r>
        <w:rPr>
          <w:rFonts w:hint="eastAsia"/>
          <w:color w:val="000000" w:themeColor="text1"/>
          <w14:textFill>
            <w14:solidFill>
              <w14:schemeClr w14:val="tx1"/>
            </w14:solidFill>
          </w14:textFill>
        </w:rPr>
        <w:t>石油和天然气开采专业及辅助性活动行业系数手册中的产排污系数（见表</w:t>
      </w:r>
      <w:r>
        <w:rPr>
          <w:color w:val="000000" w:themeColor="text1"/>
          <w14:textFill>
            <w14:solidFill>
              <w14:schemeClr w14:val="tx1"/>
            </w14:solidFill>
          </w14:textFill>
        </w:rPr>
        <w:t>3.3</w:t>
      </w:r>
      <w:r>
        <w:rPr>
          <w:rFonts w:hint="eastAsia"/>
          <w:color w:val="000000" w:themeColor="text1"/>
          <w14:textFill>
            <w14:solidFill>
              <w14:schemeClr w14:val="tx1"/>
            </w14:solidFill>
          </w14:textFill>
        </w:rPr>
        <w:t>-9）进行核算。</w:t>
      </w:r>
    </w:p>
    <w:p w14:paraId="09C8C0F5">
      <w:pPr>
        <w:pStyle w:val="109"/>
        <w:adjustRightInd w:val="0"/>
        <w:snapToGrid w:val="0"/>
        <w:spacing w:line="500" w:lineRule="exact"/>
        <w:rPr>
          <w:rFonts w:hint="eastAsia" w:cs="黑体"/>
          <w:color w:val="000000" w:themeColor="text1"/>
          <w14:textFill>
            <w14:solidFill>
              <w14:schemeClr w14:val="tx1"/>
            </w14:solidFill>
          </w14:textFill>
        </w:rPr>
      </w:pPr>
      <w:r>
        <w:rPr>
          <w:rFonts w:hint="eastAsia" w:cs="黑体"/>
          <w:color w:val="000000" w:themeColor="text1"/>
          <w14:textFill>
            <w14:solidFill>
              <w14:schemeClr w14:val="tx1"/>
            </w14:solidFill>
          </w14:textFill>
        </w:rPr>
        <w:t>表</w:t>
      </w:r>
      <w:r>
        <w:rPr>
          <w:rFonts w:cs="黑体"/>
          <w:color w:val="000000" w:themeColor="text1"/>
          <w14:textFill>
            <w14:solidFill>
              <w14:schemeClr w14:val="tx1"/>
            </w14:solidFill>
          </w14:textFill>
        </w:rPr>
        <w:t>3.3</w:t>
      </w:r>
      <w:r>
        <w:rPr>
          <w:rFonts w:hint="eastAsia" w:cs="黑体"/>
          <w:color w:val="000000" w:themeColor="text1"/>
          <w14:textFill>
            <w14:solidFill>
              <w14:schemeClr w14:val="tx1"/>
            </w14:solidFill>
          </w14:textFill>
        </w:rPr>
        <w:t>-9  与石油和天然气开采有关的服务活动产排污系数一览表</w:t>
      </w:r>
    </w:p>
    <w:tbl>
      <w:tblPr>
        <w:tblStyle w:val="51"/>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315"/>
        <w:gridCol w:w="863"/>
        <w:gridCol w:w="1569"/>
        <w:gridCol w:w="1788"/>
        <w:gridCol w:w="1262"/>
        <w:gridCol w:w="1364"/>
        <w:gridCol w:w="785"/>
      </w:tblGrid>
      <w:tr w14:paraId="4F88B11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15" w:type="dxa"/>
            <w:vAlign w:val="center"/>
          </w:tcPr>
          <w:p w14:paraId="759F1E7D">
            <w:pPr>
              <w:pStyle w:val="45"/>
              <w:widowControl w:val="0"/>
              <w:adjustRightInd w:val="0"/>
              <w:snapToGrid w:val="0"/>
              <w:spacing w:line="280" w:lineRule="exact"/>
              <w:jc w:val="center"/>
              <w:rPr>
                <w:rFonts w:hint="eastAsia" w:ascii="宋体" w:hAnsi="宋体"/>
                <w:color w:val="000000" w:themeColor="text1"/>
                <w:kern w:val="2"/>
                <w:sz w:val="21"/>
                <w:szCs w:val="21"/>
                <w:lang w:bidi="ar"/>
                <w14:textFill>
                  <w14:solidFill>
                    <w14:schemeClr w14:val="tx1"/>
                  </w14:solidFill>
                </w14:textFill>
              </w:rPr>
            </w:pPr>
            <w:bookmarkStart w:id="333" w:name="_Hlk36741739"/>
            <w:r>
              <w:rPr>
                <w:rFonts w:hint="eastAsia" w:ascii="宋体" w:hAnsi="宋体"/>
                <w:color w:val="000000" w:themeColor="text1"/>
                <w:kern w:val="2"/>
                <w:sz w:val="21"/>
                <w:szCs w:val="21"/>
                <w:lang w:bidi="ar"/>
                <w14:textFill>
                  <w14:solidFill>
                    <w14:schemeClr w14:val="tx1"/>
                  </w14:solidFill>
                </w14:textFill>
              </w:rPr>
              <w:t>工艺名称</w:t>
            </w:r>
          </w:p>
        </w:tc>
        <w:tc>
          <w:tcPr>
            <w:tcW w:w="863" w:type="dxa"/>
            <w:vAlign w:val="center"/>
          </w:tcPr>
          <w:p w14:paraId="7461970B">
            <w:pPr>
              <w:pStyle w:val="45"/>
              <w:widowControl w:val="0"/>
              <w:adjustRightInd w:val="0"/>
              <w:snapToGrid w:val="0"/>
              <w:spacing w:line="280" w:lineRule="exact"/>
              <w:jc w:val="center"/>
              <w:rPr>
                <w:rFonts w:hint="eastAsia" w:ascii="宋体" w:hAnsi="宋体"/>
                <w:color w:val="000000" w:themeColor="text1"/>
                <w:kern w:val="2"/>
                <w:sz w:val="21"/>
                <w:szCs w:val="21"/>
                <w:lang w:bidi="ar"/>
                <w14:textFill>
                  <w14:solidFill>
                    <w14:schemeClr w14:val="tx1"/>
                  </w14:solidFill>
                </w14:textFill>
              </w:rPr>
            </w:pPr>
            <w:r>
              <w:rPr>
                <w:rFonts w:hint="eastAsia" w:ascii="宋体" w:hAnsi="宋体"/>
                <w:color w:val="000000" w:themeColor="text1"/>
                <w:kern w:val="2"/>
                <w:sz w:val="21"/>
                <w:szCs w:val="21"/>
                <w:lang w:bidi="ar"/>
                <w14:textFill>
                  <w14:solidFill>
                    <w14:schemeClr w14:val="tx1"/>
                  </w14:solidFill>
                </w14:textFill>
              </w:rPr>
              <w:t>规模</w:t>
            </w:r>
          </w:p>
          <w:p w14:paraId="5EEC8817">
            <w:pPr>
              <w:pStyle w:val="45"/>
              <w:widowControl w:val="0"/>
              <w:adjustRightInd w:val="0"/>
              <w:snapToGrid w:val="0"/>
              <w:spacing w:line="280" w:lineRule="exact"/>
              <w:jc w:val="center"/>
              <w:rPr>
                <w:rFonts w:hint="eastAsia" w:ascii="宋体" w:hAnsi="宋体"/>
                <w:color w:val="000000" w:themeColor="text1"/>
                <w:kern w:val="2"/>
                <w:sz w:val="21"/>
                <w:szCs w:val="21"/>
                <w:lang w:bidi="ar"/>
                <w14:textFill>
                  <w14:solidFill>
                    <w14:schemeClr w14:val="tx1"/>
                  </w14:solidFill>
                </w14:textFill>
              </w:rPr>
            </w:pPr>
            <w:r>
              <w:rPr>
                <w:rFonts w:hint="eastAsia" w:ascii="宋体" w:hAnsi="宋体"/>
                <w:color w:val="000000" w:themeColor="text1"/>
                <w:kern w:val="2"/>
                <w:sz w:val="21"/>
                <w:szCs w:val="21"/>
                <w:lang w:bidi="ar"/>
                <w14:textFill>
                  <w14:solidFill>
                    <w14:schemeClr w14:val="tx1"/>
                  </w14:solidFill>
                </w14:textFill>
              </w:rPr>
              <w:t>等级</w:t>
            </w:r>
          </w:p>
        </w:tc>
        <w:tc>
          <w:tcPr>
            <w:tcW w:w="1569" w:type="dxa"/>
            <w:vAlign w:val="center"/>
          </w:tcPr>
          <w:p w14:paraId="332DC761">
            <w:pPr>
              <w:pStyle w:val="45"/>
              <w:widowControl w:val="0"/>
              <w:adjustRightInd w:val="0"/>
              <w:snapToGrid w:val="0"/>
              <w:spacing w:line="280" w:lineRule="exact"/>
              <w:jc w:val="center"/>
              <w:rPr>
                <w:rFonts w:hint="eastAsia" w:ascii="宋体" w:hAnsi="宋体"/>
                <w:color w:val="000000" w:themeColor="text1"/>
                <w:kern w:val="2"/>
                <w:sz w:val="21"/>
                <w:szCs w:val="21"/>
                <w:lang w:bidi="ar"/>
                <w14:textFill>
                  <w14:solidFill>
                    <w14:schemeClr w14:val="tx1"/>
                  </w14:solidFill>
                </w14:textFill>
              </w:rPr>
            </w:pPr>
            <w:r>
              <w:rPr>
                <w:rFonts w:hint="eastAsia" w:ascii="宋体" w:hAnsi="宋体"/>
                <w:color w:val="000000" w:themeColor="text1"/>
                <w:kern w:val="2"/>
                <w:sz w:val="21"/>
                <w:szCs w:val="21"/>
                <w:lang w:bidi="ar"/>
                <w14:textFill>
                  <w14:solidFill>
                    <w14:schemeClr w14:val="tx1"/>
                  </w14:solidFill>
                </w14:textFill>
              </w:rPr>
              <w:t>污染物指标</w:t>
            </w:r>
          </w:p>
        </w:tc>
        <w:tc>
          <w:tcPr>
            <w:tcW w:w="1788" w:type="dxa"/>
            <w:vAlign w:val="center"/>
          </w:tcPr>
          <w:p w14:paraId="7E4692BA">
            <w:pPr>
              <w:pStyle w:val="45"/>
              <w:widowControl w:val="0"/>
              <w:adjustRightInd w:val="0"/>
              <w:snapToGrid w:val="0"/>
              <w:spacing w:line="280" w:lineRule="exact"/>
              <w:jc w:val="center"/>
              <w:rPr>
                <w:rFonts w:hint="eastAsia" w:ascii="宋体" w:hAnsi="宋体"/>
                <w:color w:val="000000" w:themeColor="text1"/>
                <w:kern w:val="2"/>
                <w:sz w:val="21"/>
                <w:szCs w:val="21"/>
                <w:lang w:bidi="ar"/>
                <w14:textFill>
                  <w14:solidFill>
                    <w14:schemeClr w14:val="tx1"/>
                  </w14:solidFill>
                </w14:textFill>
              </w:rPr>
            </w:pPr>
            <w:r>
              <w:rPr>
                <w:rFonts w:hint="eastAsia" w:ascii="宋体" w:hAnsi="宋体"/>
                <w:color w:val="000000" w:themeColor="text1"/>
                <w:kern w:val="2"/>
                <w:sz w:val="21"/>
                <w:szCs w:val="21"/>
                <w:lang w:bidi="ar"/>
                <w14:textFill>
                  <w14:solidFill>
                    <w14:schemeClr w14:val="tx1"/>
                  </w14:solidFill>
                </w14:textFill>
              </w:rPr>
              <w:t>单位</w:t>
            </w:r>
          </w:p>
        </w:tc>
        <w:tc>
          <w:tcPr>
            <w:tcW w:w="1262" w:type="dxa"/>
            <w:vAlign w:val="center"/>
          </w:tcPr>
          <w:p w14:paraId="7477D623">
            <w:pPr>
              <w:pStyle w:val="45"/>
              <w:widowControl w:val="0"/>
              <w:adjustRightInd w:val="0"/>
              <w:snapToGrid w:val="0"/>
              <w:spacing w:line="280" w:lineRule="exact"/>
              <w:jc w:val="center"/>
              <w:rPr>
                <w:rFonts w:hint="eastAsia" w:ascii="宋体" w:hAnsi="宋体"/>
                <w:color w:val="000000" w:themeColor="text1"/>
                <w:kern w:val="2"/>
                <w:sz w:val="21"/>
                <w:szCs w:val="21"/>
                <w:lang w:bidi="ar"/>
                <w14:textFill>
                  <w14:solidFill>
                    <w14:schemeClr w14:val="tx1"/>
                  </w14:solidFill>
                </w14:textFill>
              </w:rPr>
            </w:pPr>
            <w:r>
              <w:rPr>
                <w:rFonts w:hint="eastAsia" w:ascii="宋体" w:hAnsi="宋体"/>
                <w:color w:val="000000" w:themeColor="text1"/>
                <w:kern w:val="2"/>
                <w:sz w:val="21"/>
                <w:szCs w:val="21"/>
                <w:lang w:bidi="ar"/>
                <w14:textFill>
                  <w14:solidFill>
                    <w14:schemeClr w14:val="tx1"/>
                  </w14:solidFill>
                </w14:textFill>
              </w:rPr>
              <w:t>产污系数</w:t>
            </w:r>
          </w:p>
        </w:tc>
        <w:tc>
          <w:tcPr>
            <w:tcW w:w="1364" w:type="dxa"/>
            <w:vAlign w:val="center"/>
          </w:tcPr>
          <w:p w14:paraId="345F0490">
            <w:pPr>
              <w:pStyle w:val="45"/>
              <w:widowControl w:val="0"/>
              <w:adjustRightInd w:val="0"/>
              <w:snapToGrid w:val="0"/>
              <w:spacing w:line="280" w:lineRule="exact"/>
              <w:jc w:val="center"/>
              <w:rPr>
                <w:rFonts w:hint="eastAsia" w:ascii="宋体" w:hAnsi="宋体"/>
                <w:color w:val="000000" w:themeColor="text1"/>
                <w:kern w:val="2"/>
                <w:sz w:val="21"/>
                <w:szCs w:val="21"/>
                <w:lang w:bidi="ar"/>
                <w14:textFill>
                  <w14:solidFill>
                    <w14:schemeClr w14:val="tx1"/>
                  </w14:solidFill>
                </w14:textFill>
              </w:rPr>
            </w:pPr>
            <w:r>
              <w:rPr>
                <w:rFonts w:hint="eastAsia" w:ascii="宋体" w:hAnsi="宋体"/>
                <w:color w:val="000000" w:themeColor="text1"/>
                <w:kern w:val="2"/>
                <w:sz w:val="21"/>
                <w:szCs w:val="21"/>
                <w:lang w:bidi="ar"/>
                <w14:textFill>
                  <w14:solidFill>
                    <w14:schemeClr w14:val="tx1"/>
                  </w14:solidFill>
                </w14:textFill>
              </w:rPr>
              <w:t>末端治理技术名称</w:t>
            </w:r>
          </w:p>
        </w:tc>
        <w:tc>
          <w:tcPr>
            <w:tcW w:w="785" w:type="dxa"/>
            <w:vAlign w:val="center"/>
          </w:tcPr>
          <w:p w14:paraId="3C3EC7ED">
            <w:pPr>
              <w:pStyle w:val="45"/>
              <w:widowControl w:val="0"/>
              <w:adjustRightInd w:val="0"/>
              <w:snapToGrid w:val="0"/>
              <w:spacing w:line="280" w:lineRule="exact"/>
              <w:jc w:val="center"/>
              <w:rPr>
                <w:rFonts w:hint="eastAsia" w:ascii="宋体" w:hAnsi="宋体"/>
                <w:color w:val="000000" w:themeColor="text1"/>
                <w:kern w:val="2"/>
                <w:sz w:val="21"/>
                <w:szCs w:val="21"/>
                <w:lang w:bidi="ar"/>
                <w14:textFill>
                  <w14:solidFill>
                    <w14:schemeClr w14:val="tx1"/>
                  </w14:solidFill>
                </w14:textFill>
              </w:rPr>
            </w:pPr>
            <w:r>
              <w:rPr>
                <w:rFonts w:hint="eastAsia" w:ascii="宋体" w:hAnsi="宋体"/>
                <w:color w:val="000000" w:themeColor="text1"/>
                <w:kern w:val="2"/>
                <w:sz w:val="21"/>
                <w:szCs w:val="21"/>
                <w:lang w:bidi="ar"/>
                <w14:textFill>
                  <w14:solidFill>
                    <w14:schemeClr w14:val="tx1"/>
                  </w14:solidFill>
                </w14:textFill>
              </w:rPr>
              <w:t>排污系数</w:t>
            </w:r>
          </w:p>
        </w:tc>
      </w:tr>
      <w:tr w14:paraId="44A01BC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15" w:type="dxa"/>
            <w:vMerge w:val="restart"/>
            <w:vAlign w:val="center"/>
          </w:tcPr>
          <w:p w14:paraId="49FF22C3">
            <w:pPr>
              <w:pStyle w:val="45"/>
              <w:widowControl w:val="0"/>
              <w:adjustRightInd w:val="0"/>
              <w:snapToGrid w:val="0"/>
              <w:spacing w:line="280" w:lineRule="exact"/>
              <w:jc w:val="center"/>
              <w:rPr>
                <w:rFonts w:hint="eastAsia" w:ascii="宋体" w:hAnsi="宋体"/>
                <w:color w:val="000000" w:themeColor="text1"/>
                <w:kern w:val="2"/>
                <w:sz w:val="21"/>
                <w:szCs w:val="21"/>
                <w:lang w:bidi="ar"/>
                <w14:textFill>
                  <w14:solidFill>
                    <w14:schemeClr w14:val="tx1"/>
                  </w14:solidFill>
                </w14:textFill>
              </w:rPr>
            </w:pPr>
            <w:r>
              <w:rPr>
                <w:rFonts w:hint="eastAsia" w:ascii="宋体" w:hAnsi="宋体"/>
                <w:color w:val="000000" w:themeColor="text1"/>
                <w:kern w:val="2"/>
                <w:sz w:val="21"/>
                <w:szCs w:val="21"/>
                <w:lang w:bidi="ar"/>
                <w14:textFill>
                  <w14:solidFill>
                    <w14:schemeClr w14:val="tx1"/>
                  </w14:solidFill>
                </w14:textFill>
              </w:rPr>
              <w:t>非低渗透油井洗井作业</w:t>
            </w:r>
          </w:p>
        </w:tc>
        <w:tc>
          <w:tcPr>
            <w:tcW w:w="863" w:type="dxa"/>
            <w:vMerge w:val="restart"/>
            <w:vAlign w:val="center"/>
          </w:tcPr>
          <w:p w14:paraId="5BE57764">
            <w:pPr>
              <w:pStyle w:val="45"/>
              <w:widowControl w:val="0"/>
              <w:adjustRightInd w:val="0"/>
              <w:snapToGrid w:val="0"/>
              <w:spacing w:line="280" w:lineRule="exact"/>
              <w:jc w:val="center"/>
              <w:rPr>
                <w:rFonts w:hint="eastAsia" w:ascii="宋体" w:hAnsi="宋体"/>
                <w:color w:val="000000" w:themeColor="text1"/>
                <w:kern w:val="2"/>
                <w:sz w:val="21"/>
                <w:szCs w:val="21"/>
                <w:lang w:bidi="ar"/>
                <w14:textFill>
                  <w14:solidFill>
                    <w14:schemeClr w14:val="tx1"/>
                  </w14:solidFill>
                </w14:textFill>
              </w:rPr>
            </w:pPr>
            <w:r>
              <w:rPr>
                <w:rFonts w:hint="eastAsia" w:ascii="宋体" w:hAnsi="宋体"/>
                <w:color w:val="000000" w:themeColor="text1"/>
                <w:kern w:val="2"/>
                <w:sz w:val="21"/>
                <w:szCs w:val="21"/>
                <w:lang w:bidi="ar"/>
                <w14:textFill>
                  <w14:solidFill>
                    <w14:schemeClr w14:val="tx1"/>
                  </w14:solidFill>
                </w14:textFill>
              </w:rPr>
              <w:t>所有</w:t>
            </w:r>
          </w:p>
          <w:p w14:paraId="0D222E65">
            <w:pPr>
              <w:pStyle w:val="45"/>
              <w:widowControl w:val="0"/>
              <w:adjustRightInd w:val="0"/>
              <w:snapToGrid w:val="0"/>
              <w:spacing w:line="280" w:lineRule="exact"/>
              <w:jc w:val="center"/>
              <w:rPr>
                <w:rFonts w:hint="eastAsia" w:ascii="宋体" w:hAnsi="宋体"/>
                <w:color w:val="000000" w:themeColor="text1"/>
                <w:kern w:val="2"/>
                <w:sz w:val="21"/>
                <w:szCs w:val="21"/>
                <w:lang w:bidi="ar"/>
                <w14:textFill>
                  <w14:solidFill>
                    <w14:schemeClr w14:val="tx1"/>
                  </w14:solidFill>
                </w14:textFill>
              </w:rPr>
            </w:pPr>
            <w:r>
              <w:rPr>
                <w:rFonts w:hint="eastAsia" w:ascii="宋体" w:hAnsi="宋体"/>
                <w:color w:val="000000" w:themeColor="text1"/>
                <w:kern w:val="2"/>
                <w:sz w:val="21"/>
                <w:szCs w:val="21"/>
                <w:lang w:bidi="ar"/>
                <w14:textFill>
                  <w14:solidFill>
                    <w14:schemeClr w14:val="tx1"/>
                  </w14:solidFill>
                </w14:textFill>
              </w:rPr>
              <w:t>规模</w:t>
            </w:r>
          </w:p>
        </w:tc>
        <w:tc>
          <w:tcPr>
            <w:tcW w:w="1569" w:type="dxa"/>
            <w:vAlign w:val="center"/>
          </w:tcPr>
          <w:p w14:paraId="735A7DDA">
            <w:pPr>
              <w:pStyle w:val="45"/>
              <w:widowControl w:val="0"/>
              <w:adjustRightInd w:val="0"/>
              <w:snapToGrid w:val="0"/>
              <w:spacing w:line="280" w:lineRule="exact"/>
              <w:jc w:val="center"/>
              <w:rPr>
                <w:rFonts w:hint="eastAsia" w:ascii="宋体" w:hAnsi="宋体"/>
                <w:color w:val="000000" w:themeColor="text1"/>
                <w:kern w:val="2"/>
                <w:sz w:val="21"/>
                <w:szCs w:val="21"/>
                <w:lang w:bidi="ar"/>
                <w14:textFill>
                  <w14:solidFill>
                    <w14:schemeClr w14:val="tx1"/>
                  </w14:solidFill>
                </w14:textFill>
              </w:rPr>
            </w:pPr>
            <w:r>
              <w:rPr>
                <w:rFonts w:hint="eastAsia" w:ascii="宋体" w:hAnsi="宋体"/>
                <w:color w:val="000000" w:themeColor="text1"/>
                <w:kern w:val="2"/>
                <w:sz w:val="21"/>
                <w:szCs w:val="21"/>
                <w:lang w:bidi="ar"/>
                <w14:textFill>
                  <w14:solidFill>
                    <w14:schemeClr w14:val="tx1"/>
                  </w14:solidFill>
                </w14:textFill>
              </w:rPr>
              <w:t>工业废水量</w:t>
            </w:r>
          </w:p>
        </w:tc>
        <w:tc>
          <w:tcPr>
            <w:tcW w:w="1788" w:type="dxa"/>
            <w:vAlign w:val="center"/>
          </w:tcPr>
          <w:p w14:paraId="719B17FE">
            <w:pPr>
              <w:pStyle w:val="45"/>
              <w:widowControl w:val="0"/>
              <w:adjustRightInd w:val="0"/>
              <w:snapToGrid w:val="0"/>
              <w:spacing w:line="280" w:lineRule="exact"/>
              <w:jc w:val="center"/>
              <w:rPr>
                <w:rFonts w:hint="eastAsia" w:ascii="宋体" w:hAnsi="宋体"/>
                <w:color w:val="000000" w:themeColor="text1"/>
                <w:kern w:val="2"/>
                <w:sz w:val="21"/>
                <w:szCs w:val="21"/>
                <w:lang w:bidi="ar"/>
                <w14:textFill>
                  <w14:solidFill>
                    <w14:schemeClr w14:val="tx1"/>
                  </w14:solidFill>
                </w14:textFill>
              </w:rPr>
            </w:pPr>
            <w:r>
              <w:rPr>
                <w:rFonts w:hint="eastAsia" w:ascii="宋体" w:hAnsi="宋体"/>
                <w:color w:val="000000" w:themeColor="text1"/>
                <w:kern w:val="2"/>
                <w:sz w:val="21"/>
                <w:szCs w:val="21"/>
                <w:lang w:bidi="ar"/>
                <w14:textFill>
                  <w14:solidFill>
                    <w14:schemeClr w14:val="tx1"/>
                  </w14:solidFill>
                </w14:textFill>
              </w:rPr>
              <w:t>t/井次-产品</w:t>
            </w:r>
          </w:p>
        </w:tc>
        <w:tc>
          <w:tcPr>
            <w:tcW w:w="1262" w:type="dxa"/>
            <w:vAlign w:val="center"/>
          </w:tcPr>
          <w:p w14:paraId="65F45898">
            <w:pPr>
              <w:pStyle w:val="45"/>
              <w:widowControl w:val="0"/>
              <w:adjustRightInd w:val="0"/>
              <w:snapToGrid w:val="0"/>
              <w:spacing w:line="280" w:lineRule="exact"/>
              <w:jc w:val="center"/>
              <w:rPr>
                <w:rFonts w:hint="eastAsia" w:ascii="宋体" w:hAnsi="宋体"/>
                <w:color w:val="000000" w:themeColor="text1"/>
                <w:kern w:val="2"/>
                <w:sz w:val="21"/>
                <w:szCs w:val="21"/>
                <w:lang w:bidi="ar"/>
                <w14:textFill>
                  <w14:solidFill>
                    <w14:schemeClr w14:val="tx1"/>
                  </w14:solidFill>
                </w14:textFill>
              </w:rPr>
            </w:pPr>
            <w:r>
              <w:rPr>
                <w:rFonts w:hint="eastAsia" w:ascii="宋体" w:hAnsi="宋体"/>
                <w:color w:val="000000" w:themeColor="text1"/>
                <w:kern w:val="2"/>
                <w:sz w:val="21"/>
                <w:szCs w:val="21"/>
                <w:lang w:bidi="ar"/>
                <w14:textFill>
                  <w14:solidFill>
                    <w14:schemeClr w14:val="tx1"/>
                  </w14:solidFill>
                </w14:textFill>
              </w:rPr>
              <w:t>76.0</w:t>
            </w:r>
          </w:p>
        </w:tc>
        <w:tc>
          <w:tcPr>
            <w:tcW w:w="1364" w:type="dxa"/>
            <w:vAlign w:val="center"/>
          </w:tcPr>
          <w:p w14:paraId="69F799A8">
            <w:pPr>
              <w:pStyle w:val="45"/>
              <w:widowControl w:val="0"/>
              <w:adjustRightInd w:val="0"/>
              <w:snapToGrid w:val="0"/>
              <w:spacing w:line="280" w:lineRule="exact"/>
              <w:jc w:val="center"/>
              <w:rPr>
                <w:rFonts w:hint="eastAsia" w:ascii="宋体" w:hAnsi="宋体"/>
                <w:color w:val="000000" w:themeColor="text1"/>
                <w:kern w:val="2"/>
                <w:sz w:val="21"/>
                <w:szCs w:val="21"/>
                <w:lang w:bidi="ar"/>
                <w14:textFill>
                  <w14:solidFill>
                    <w14:schemeClr w14:val="tx1"/>
                  </w14:solidFill>
                </w14:textFill>
              </w:rPr>
            </w:pPr>
            <w:r>
              <w:rPr>
                <w:rFonts w:hint="eastAsia" w:ascii="宋体" w:hAnsi="宋体"/>
                <w:color w:val="000000" w:themeColor="text1"/>
                <w:kern w:val="2"/>
                <w:sz w:val="21"/>
                <w:szCs w:val="21"/>
                <w:lang w:bidi="ar"/>
                <w14:textFill>
                  <w14:solidFill>
                    <w14:schemeClr w14:val="tx1"/>
                  </w14:solidFill>
                </w14:textFill>
              </w:rPr>
              <w:t>回收回注</w:t>
            </w:r>
          </w:p>
        </w:tc>
        <w:tc>
          <w:tcPr>
            <w:tcW w:w="785" w:type="dxa"/>
            <w:vAlign w:val="center"/>
          </w:tcPr>
          <w:p w14:paraId="5ACEA516">
            <w:pPr>
              <w:pStyle w:val="45"/>
              <w:widowControl w:val="0"/>
              <w:adjustRightInd w:val="0"/>
              <w:snapToGrid w:val="0"/>
              <w:spacing w:line="280" w:lineRule="exact"/>
              <w:jc w:val="center"/>
              <w:rPr>
                <w:rFonts w:hint="eastAsia" w:ascii="宋体" w:hAnsi="宋体"/>
                <w:color w:val="000000" w:themeColor="text1"/>
                <w:kern w:val="2"/>
                <w:sz w:val="21"/>
                <w:szCs w:val="21"/>
                <w:lang w:bidi="ar"/>
                <w14:textFill>
                  <w14:solidFill>
                    <w14:schemeClr w14:val="tx1"/>
                  </w14:solidFill>
                </w14:textFill>
              </w:rPr>
            </w:pPr>
            <w:r>
              <w:rPr>
                <w:rFonts w:hint="eastAsia" w:ascii="宋体" w:hAnsi="宋体"/>
                <w:color w:val="000000" w:themeColor="text1"/>
                <w:kern w:val="2"/>
                <w:sz w:val="21"/>
                <w:szCs w:val="21"/>
                <w:lang w:bidi="ar"/>
                <w14:textFill>
                  <w14:solidFill>
                    <w14:schemeClr w14:val="tx1"/>
                  </w14:solidFill>
                </w14:textFill>
              </w:rPr>
              <w:t>0</w:t>
            </w:r>
          </w:p>
        </w:tc>
      </w:tr>
      <w:tr w14:paraId="306F8F5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15" w:type="dxa"/>
            <w:vMerge w:val="continue"/>
            <w:vAlign w:val="center"/>
          </w:tcPr>
          <w:p w14:paraId="4D567284">
            <w:pPr>
              <w:pStyle w:val="45"/>
              <w:widowControl w:val="0"/>
              <w:adjustRightInd w:val="0"/>
              <w:snapToGrid w:val="0"/>
              <w:spacing w:line="280" w:lineRule="exact"/>
              <w:jc w:val="center"/>
              <w:rPr>
                <w:rFonts w:hint="eastAsia" w:ascii="宋体" w:hAnsi="宋体"/>
                <w:color w:val="000000" w:themeColor="text1"/>
                <w:kern w:val="2"/>
                <w:sz w:val="21"/>
                <w:szCs w:val="21"/>
                <w:lang w:bidi="ar"/>
                <w14:textFill>
                  <w14:solidFill>
                    <w14:schemeClr w14:val="tx1"/>
                  </w14:solidFill>
                </w14:textFill>
              </w:rPr>
            </w:pPr>
          </w:p>
        </w:tc>
        <w:tc>
          <w:tcPr>
            <w:tcW w:w="863" w:type="dxa"/>
            <w:vMerge w:val="continue"/>
            <w:vAlign w:val="center"/>
          </w:tcPr>
          <w:p w14:paraId="087407E6">
            <w:pPr>
              <w:pStyle w:val="45"/>
              <w:widowControl w:val="0"/>
              <w:adjustRightInd w:val="0"/>
              <w:snapToGrid w:val="0"/>
              <w:spacing w:line="280" w:lineRule="exact"/>
              <w:jc w:val="center"/>
              <w:rPr>
                <w:rFonts w:hint="eastAsia" w:ascii="宋体" w:hAnsi="宋体"/>
                <w:color w:val="000000" w:themeColor="text1"/>
                <w:kern w:val="2"/>
                <w:sz w:val="21"/>
                <w:szCs w:val="21"/>
                <w:lang w:bidi="ar"/>
                <w14:textFill>
                  <w14:solidFill>
                    <w14:schemeClr w14:val="tx1"/>
                  </w14:solidFill>
                </w14:textFill>
              </w:rPr>
            </w:pPr>
          </w:p>
        </w:tc>
        <w:tc>
          <w:tcPr>
            <w:tcW w:w="1569" w:type="dxa"/>
            <w:vAlign w:val="center"/>
          </w:tcPr>
          <w:p w14:paraId="665FC324">
            <w:pPr>
              <w:pStyle w:val="45"/>
              <w:widowControl w:val="0"/>
              <w:adjustRightInd w:val="0"/>
              <w:snapToGrid w:val="0"/>
              <w:spacing w:line="280" w:lineRule="exact"/>
              <w:jc w:val="center"/>
              <w:rPr>
                <w:rFonts w:hint="eastAsia" w:ascii="宋体" w:hAnsi="宋体"/>
                <w:color w:val="000000" w:themeColor="text1"/>
                <w:kern w:val="2"/>
                <w:sz w:val="21"/>
                <w:szCs w:val="21"/>
                <w:lang w:bidi="ar"/>
                <w14:textFill>
                  <w14:solidFill>
                    <w14:schemeClr w14:val="tx1"/>
                  </w14:solidFill>
                </w14:textFill>
              </w:rPr>
            </w:pPr>
            <w:r>
              <w:rPr>
                <w:rFonts w:hint="eastAsia" w:ascii="宋体" w:hAnsi="宋体"/>
                <w:color w:val="000000" w:themeColor="text1"/>
                <w:kern w:val="2"/>
                <w:sz w:val="21"/>
                <w:szCs w:val="21"/>
                <w:lang w:bidi="ar"/>
                <w14:textFill>
                  <w14:solidFill>
                    <w14:schemeClr w14:val="tx1"/>
                  </w14:solidFill>
                </w14:textFill>
              </w:rPr>
              <w:t>化学需氧量</w:t>
            </w:r>
          </w:p>
        </w:tc>
        <w:tc>
          <w:tcPr>
            <w:tcW w:w="1788" w:type="dxa"/>
            <w:vAlign w:val="center"/>
          </w:tcPr>
          <w:p w14:paraId="02CE2BF3">
            <w:pPr>
              <w:pStyle w:val="45"/>
              <w:widowControl w:val="0"/>
              <w:adjustRightInd w:val="0"/>
              <w:snapToGrid w:val="0"/>
              <w:spacing w:line="280" w:lineRule="exact"/>
              <w:jc w:val="center"/>
              <w:rPr>
                <w:rFonts w:hint="eastAsia" w:ascii="宋体" w:hAnsi="宋体"/>
                <w:color w:val="000000" w:themeColor="text1"/>
                <w:kern w:val="2"/>
                <w:sz w:val="21"/>
                <w:szCs w:val="21"/>
                <w:lang w:bidi="ar"/>
                <w14:textFill>
                  <w14:solidFill>
                    <w14:schemeClr w14:val="tx1"/>
                  </w14:solidFill>
                </w14:textFill>
              </w:rPr>
            </w:pPr>
            <w:r>
              <w:rPr>
                <w:rFonts w:hint="eastAsia" w:ascii="宋体" w:hAnsi="宋体"/>
                <w:color w:val="000000" w:themeColor="text1"/>
                <w:kern w:val="2"/>
                <w:sz w:val="21"/>
                <w:szCs w:val="21"/>
                <w:lang w:bidi="ar"/>
                <w14:textFill>
                  <w14:solidFill>
                    <w14:schemeClr w14:val="tx1"/>
                  </w14:solidFill>
                </w14:textFill>
              </w:rPr>
              <w:t>g/井次-产品</w:t>
            </w:r>
          </w:p>
        </w:tc>
        <w:tc>
          <w:tcPr>
            <w:tcW w:w="1262" w:type="dxa"/>
            <w:vAlign w:val="center"/>
          </w:tcPr>
          <w:p w14:paraId="3A78C406">
            <w:pPr>
              <w:pStyle w:val="45"/>
              <w:widowControl w:val="0"/>
              <w:adjustRightInd w:val="0"/>
              <w:snapToGrid w:val="0"/>
              <w:spacing w:line="280" w:lineRule="exact"/>
              <w:jc w:val="center"/>
              <w:rPr>
                <w:rFonts w:hint="eastAsia" w:ascii="宋体" w:hAnsi="宋体"/>
                <w:color w:val="000000" w:themeColor="text1"/>
                <w:kern w:val="2"/>
                <w:sz w:val="21"/>
                <w:szCs w:val="21"/>
                <w:lang w:bidi="ar"/>
                <w14:textFill>
                  <w14:solidFill>
                    <w14:schemeClr w14:val="tx1"/>
                  </w14:solidFill>
                </w14:textFill>
              </w:rPr>
            </w:pPr>
            <w:r>
              <w:rPr>
                <w:rFonts w:hint="eastAsia" w:ascii="宋体" w:hAnsi="宋体"/>
                <w:color w:val="000000" w:themeColor="text1"/>
                <w:kern w:val="2"/>
                <w:sz w:val="21"/>
                <w:szCs w:val="21"/>
                <w:lang w:bidi="ar"/>
                <w14:textFill>
                  <w14:solidFill>
                    <w14:schemeClr w14:val="tx1"/>
                  </w14:solidFill>
                </w14:textFill>
              </w:rPr>
              <w:t>104525</w:t>
            </w:r>
          </w:p>
        </w:tc>
        <w:tc>
          <w:tcPr>
            <w:tcW w:w="1364" w:type="dxa"/>
            <w:vAlign w:val="center"/>
          </w:tcPr>
          <w:p w14:paraId="4604DD3E">
            <w:pPr>
              <w:adjustRightInd w:val="0"/>
              <w:snapToGrid w:val="0"/>
              <w:spacing w:line="280" w:lineRule="exact"/>
              <w:jc w:val="center"/>
              <w:rPr>
                <w:rFonts w:hint="eastAsia" w:ascii="宋体" w:hAnsi="宋体" w:cs="宋体"/>
                <w:color w:val="000000" w:themeColor="text1"/>
                <w:lang w:bidi="ar"/>
                <w14:textFill>
                  <w14:solidFill>
                    <w14:schemeClr w14:val="tx1"/>
                  </w14:solidFill>
                </w14:textFill>
              </w:rPr>
            </w:pPr>
            <w:r>
              <w:rPr>
                <w:rFonts w:hint="eastAsia" w:ascii="宋体" w:hAnsi="宋体" w:cs="宋体"/>
                <w:color w:val="000000" w:themeColor="text1"/>
                <w:lang w:bidi="ar"/>
                <w14:textFill>
                  <w14:solidFill>
                    <w14:schemeClr w14:val="tx1"/>
                  </w14:solidFill>
                </w14:textFill>
              </w:rPr>
              <w:t>回收回注</w:t>
            </w:r>
          </w:p>
        </w:tc>
        <w:tc>
          <w:tcPr>
            <w:tcW w:w="785" w:type="dxa"/>
            <w:vAlign w:val="center"/>
          </w:tcPr>
          <w:p w14:paraId="43A873CE">
            <w:pPr>
              <w:pStyle w:val="45"/>
              <w:widowControl w:val="0"/>
              <w:adjustRightInd w:val="0"/>
              <w:snapToGrid w:val="0"/>
              <w:spacing w:line="280" w:lineRule="exact"/>
              <w:jc w:val="center"/>
              <w:rPr>
                <w:rFonts w:hint="eastAsia" w:ascii="宋体" w:hAnsi="宋体"/>
                <w:color w:val="000000" w:themeColor="text1"/>
                <w:kern w:val="2"/>
                <w:sz w:val="21"/>
                <w:szCs w:val="21"/>
                <w:lang w:bidi="ar"/>
                <w14:textFill>
                  <w14:solidFill>
                    <w14:schemeClr w14:val="tx1"/>
                  </w14:solidFill>
                </w14:textFill>
              </w:rPr>
            </w:pPr>
            <w:r>
              <w:rPr>
                <w:rFonts w:hint="eastAsia" w:ascii="宋体" w:hAnsi="宋体"/>
                <w:color w:val="000000" w:themeColor="text1"/>
                <w:kern w:val="2"/>
                <w:sz w:val="21"/>
                <w:szCs w:val="21"/>
                <w:lang w:bidi="ar"/>
                <w14:textFill>
                  <w14:solidFill>
                    <w14:schemeClr w14:val="tx1"/>
                  </w14:solidFill>
                </w14:textFill>
              </w:rPr>
              <w:t>0</w:t>
            </w:r>
          </w:p>
        </w:tc>
      </w:tr>
      <w:tr w14:paraId="20270DD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15" w:type="dxa"/>
            <w:vMerge w:val="continue"/>
            <w:vAlign w:val="center"/>
          </w:tcPr>
          <w:p w14:paraId="42DAA67E">
            <w:pPr>
              <w:pStyle w:val="45"/>
              <w:widowControl w:val="0"/>
              <w:adjustRightInd w:val="0"/>
              <w:snapToGrid w:val="0"/>
              <w:spacing w:line="280" w:lineRule="exact"/>
              <w:jc w:val="center"/>
              <w:rPr>
                <w:rFonts w:hint="eastAsia" w:ascii="宋体" w:hAnsi="宋体"/>
                <w:color w:val="000000" w:themeColor="text1"/>
                <w:kern w:val="2"/>
                <w:sz w:val="21"/>
                <w:szCs w:val="21"/>
                <w:lang w:bidi="ar"/>
                <w14:textFill>
                  <w14:solidFill>
                    <w14:schemeClr w14:val="tx1"/>
                  </w14:solidFill>
                </w14:textFill>
              </w:rPr>
            </w:pPr>
          </w:p>
        </w:tc>
        <w:tc>
          <w:tcPr>
            <w:tcW w:w="863" w:type="dxa"/>
            <w:vMerge w:val="continue"/>
            <w:vAlign w:val="center"/>
          </w:tcPr>
          <w:p w14:paraId="5931F7DA">
            <w:pPr>
              <w:pStyle w:val="45"/>
              <w:widowControl w:val="0"/>
              <w:adjustRightInd w:val="0"/>
              <w:snapToGrid w:val="0"/>
              <w:spacing w:line="280" w:lineRule="exact"/>
              <w:jc w:val="center"/>
              <w:rPr>
                <w:rFonts w:hint="eastAsia" w:ascii="宋体" w:hAnsi="宋体"/>
                <w:color w:val="000000" w:themeColor="text1"/>
                <w:kern w:val="2"/>
                <w:sz w:val="21"/>
                <w:szCs w:val="21"/>
                <w:lang w:bidi="ar"/>
                <w14:textFill>
                  <w14:solidFill>
                    <w14:schemeClr w14:val="tx1"/>
                  </w14:solidFill>
                </w14:textFill>
              </w:rPr>
            </w:pPr>
          </w:p>
        </w:tc>
        <w:tc>
          <w:tcPr>
            <w:tcW w:w="1569" w:type="dxa"/>
            <w:vAlign w:val="center"/>
          </w:tcPr>
          <w:p w14:paraId="6CFE5C5B">
            <w:pPr>
              <w:pStyle w:val="45"/>
              <w:widowControl w:val="0"/>
              <w:adjustRightInd w:val="0"/>
              <w:snapToGrid w:val="0"/>
              <w:spacing w:line="280" w:lineRule="exact"/>
              <w:jc w:val="center"/>
              <w:rPr>
                <w:rFonts w:hint="eastAsia" w:ascii="宋体" w:hAnsi="宋体"/>
                <w:color w:val="000000" w:themeColor="text1"/>
                <w:kern w:val="2"/>
                <w:sz w:val="21"/>
                <w:szCs w:val="21"/>
                <w:lang w:bidi="ar"/>
                <w14:textFill>
                  <w14:solidFill>
                    <w14:schemeClr w14:val="tx1"/>
                  </w14:solidFill>
                </w14:textFill>
              </w:rPr>
            </w:pPr>
            <w:r>
              <w:rPr>
                <w:rFonts w:hint="eastAsia" w:ascii="宋体" w:hAnsi="宋体"/>
                <w:color w:val="000000" w:themeColor="text1"/>
                <w:kern w:val="2"/>
                <w:sz w:val="21"/>
                <w:szCs w:val="21"/>
                <w:lang w:bidi="ar"/>
                <w14:textFill>
                  <w14:solidFill>
                    <w14:schemeClr w14:val="tx1"/>
                  </w14:solidFill>
                </w14:textFill>
              </w:rPr>
              <w:t>石油类</w:t>
            </w:r>
          </w:p>
        </w:tc>
        <w:tc>
          <w:tcPr>
            <w:tcW w:w="1788" w:type="dxa"/>
            <w:vAlign w:val="center"/>
          </w:tcPr>
          <w:p w14:paraId="7529FA0E">
            <w:pPr>
              <w:pStyle w:val="45"/>
              <w:widowControl w:val="0"/>
              <w:adjustRightInd w:val="0"/>
              <w:snapToGrid w:val="0"/>
              <w:spacing w:line="280" w:lineRule="exact"/>
              <w:jc w:val="center"/>
              <w:rPr>
                <w:rFonts w:hint="eastAsia" w:ascii="宋体" w:hAnsi="宋体"/>
                <w:color w:val="000000" w:themeColor="text1"/>
                <w:kern w:val="2"/>
                <w:sz w:val="21"/>
                <w:szCs w:val="21"/>
                <w:lang w:bidi="ar"/>
                <w14:textFill>
                  <w14:solidFill>
                    <w14:schemeClr w14:val="tx1"/>
                  </w14:solidFill>
                </w14:textFill>
              </w:rPr>
            </w:pPr>
            <w:r>
              <w:rPr>
                <w:rFonts w:hint="eastAsia" w:ascii="宋体" w:hAnsi="宋体"/>
                <w:color w:val="000000" w:themeColor="text1"/>
                <w:kern w:val="2"/>
                <w:sz w:val="21"/>
                <w:szCs w:val="21"/>
                <w:lang w:bidi="ar"/>
                <w14:textFill>
                  <w14:solidFill>
                    <w14:schemeClr w14:val="tx1"/>
                  </w14:solidFill>
                </w14:textFill>
              </w:rPr>
              <w:t>g/井次-产品</w:t>
            </w:r>
          </w:p>
        </w:tc>
        <w:tc>
          <w:tcPr>
            <w:tcW w:w="1262" w:type="dxa"/>
            <w:vAlign w:val="center"/>
          </w:tcPr>
          <w:p w14:paraId="666AD39C">
            <w:pPr>
              <w:pStyle w:val="45"/>
              <w:widowControl w:val="0"/>
              <w:adjustRightInd w:val="0"/>
              <w:snapToGrid w:val="0"/>
              <w:spacing w:line="280" w:lineRule="exact"/>
              <w:jc w:val="center"/>
              <w:rPr>
                <w:rFonts w:hint="eastAsia" w:ascii="宋体" w:hAnsi="宋体"/>
                <w:color w:val="000000" w:themeColor="text1"/>
                <w:kern w:val="2"/>
                <w:sz w:val="21"/>
                <w:szCs w:val="21"/>
                <w:lang w:bidi="ar"/>
                <w14:textFill>
                  <w14:solidFill>
                    <w14:schemeClr w14:val="tx1"/>
                  </w14:solidFill>
                </w14:textFill>
              </w:rPr>
            </w:pPr>
            <w:r>
              <w:rPr>
                <w:rFonts w:hint="eastAsia" w:ascii="宋体" w:hAnsi="宋体"/>
                <w:color w:val="000000" w:themeColor="text1"/>
                <w:kern w:val="2"/>
                <w:sz w:val="21"/>
                <w:szCs w:val="21"/>
                <w:lang w:bidi="ar"/>
                <w14:textFill>
                  <w14:solidFill>
                    <w14:schemeClr w14:val="tx1"/>
                  </w14:solidFill>
                </w14:textFill>
              </w:rPr>
              <w:t>17645</w:t>
            </w:r>
          </w:p>
        </w:tc>
        <w:tc>
          <w:tcPr>
            <w:tcW w:w="1364" w:type="dxa"/>
            <w:vAlign w:val="center"/>
          </w:tcPr>
          <w:p w14:paraId="2B44F080">
            <w:pPr>
              <w:adjustRightInd w:val="0"/>
              <w:snapToGrid w:val="0"/>
              <w:spacing w:line="280" w:lineRule="exact"/>
              <w:jc w:val="center"/>
              <w:rPr>
                <w:rFonts w:hint="eastAsia" w:ascii="宋体" w:hAnsi="宋体" w:cs="宋体"/>
                <w:color w:val="000000" w:themeColor="text1"/>
                <w:lang w:bidi="ar"/>
                <w14:textFill>
                  <w14:solidFill>
                    <w14:schemeClr w14:val="tx1"/>
                  </w14:solidFill>
                </w14:textFill>
              </w:rPr>
            </w:pPr>
            <w:r>
              <w:rPr>
                <w:rFonts w:hint="eastAsia" w:ascii="宋体" w:hAnsi="宋体" w:cs="宋体"/>
                <w:color w:val="000000" w:themeColor="text1"/>
                <w:lang w:bidi="ar"/>
                <w14:textFill>
                  <w14:solidFill>
                    <w14:schemeClr w14:val="tx1"/>
                  </w14:solidFill>
                </w14:textFill>
              </w:rPr>
              <w:t>回收回注</w:t>
            </w:r>
          </w:p>
        </w:tc>
        <w:tc>
          <w:tcPr>
            <w:tcW w:w="785" w:type="dxa"/>
            <w:vAlign w:val="center"/>
          </w:tcPr>
          <w:p w14:paraId="0ECB1666">
            <w:pPr>
              <w:pStyle w:val="45"/>
              <w:widowControl w:val="0"/>
              <w:adjustRightInd w:val="0"/>
              <w:snapToGrid w:val="0"/>
              <w:spacing w:line="280" w:lineRule="exact"/>
              <w:jc w:val="center"/>
              <w:rPr>
                <w:rFonts w:hint="eastAsia" w:ascii="宋体" w:hAnsi="宋体"/>
                <w:color w:val="000000" w:themeColor="text1"/>
                <w:kern w:val="2"/>
                <w:sz w:val="21"/>
                <w:szCs w:val="21"/>
                <w:lang w:bidi="ar"/>
                <w14:textFill>
                  <w14:solidFill>
                    <w14:schemeClr w14:val="tx1"/>
                  </w14:solidFill>
                </w14:textFill>
              </w:rPr>
            </w:pPr>
            <w:r>
              <w:rPr>
                <w:rFonts w:hint="eastAsia" w:ascii="宋体" w:hAnsi="宋体"/>
                <w:color w:val="000000" w:themeColor="text1"/>
                <w:kern w:val="2"/>
                <w:sz w:val="21"/>
                <w:szCs w:val="21"/>
                <w:lang w:bidi="ar"/>
                <w14:textFill>
                  <w14:solidFill>
                    <w14:schemeClr w14:val="tx1"/>
                  </w14:solidFill>
                </w14:textFill>
              </w:rPr>
              <w:t>0</w:t>
            </w:r>
          </w:p>
        </w:tc>
      </w:tr>
      <w:tr w14:paraId="1B437BB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15" w:type="dxa"/>
            <w:vMerge w:val="restart"/>
            <w:vAlign w:val="center"/>
          </w:tcPr>
          <w:p w14:paraId="154BA3B7">
            <w:pPr>
              <w:pStyle w:val="45"/>
              <w:widowControl w:val="0"/>
              <w:adjustRightInd w:val="0"/>
              <w:snapToGrid w:val="0"/>
              <w:spacing w:line="280" w:lineRule="exact"/>
              <w:jc w:val="center"/>
              <w:rPr>
                <w:rFonts w:hint="eastAsia" w:ascii="宋体" w:hAnsi="宋体"/>
                <w:color w:val="000000" w:themeColor="text1"/>
                <w:kern w:val="2"/>
                <w:sz w:val="21"/>
                <w:szCs w:val="21"/>
                <w:lang w:bidi="ar"/>
                <w14:textFill>
                  <w14:solidFill>
                    <w14:schemeClr w14:val="tx1"/>
                  </w14:solidFill>
                </w14:textFill>
              </w:rPr>
            </w:pPr>
            <w:r>
              <w:rPr>
                <w:rFonts w:hint="eastAsia" w:ascii="宋体" w:hAnsi="宋体"/>
                <w:color w:val="000000" w:themeColor="text1"/>
                <w:kern w:val="2"/>
                <w:sz w:val="21"/>
                <w:szCs w:val="21"/>
                <w:lang w:bidi="ar"/>
                <w14:textFill>
                  <w14:solidFill>
                    <w14:schemeClr w14:val="tx1"/>
                  </w14:solidFill>
                </w14:textFill>
              </w:rPr>
              <w:t>低渗透油井洗井作业</w:t>
            </w:r>
          </w:p>
        </w:tc>
        <w:tc>
          <w:tcPr>
            <w:tcW w:w="863" w:type="dxa"/>
            <w:vMerge w:val="restart"/>
            <w:vAlign w:val="center"/>
          </w:tcPr>
          <w:p w14:paraId="11D46173">
            <w:pPr>
              <w:pStyle w:val="45"/>
              <w:widowControl w:val="0"/>
              <w:adjustRightInd w:val="0"/>
              <w:snapToGrid w:val="0"/>
              <w:spacing w:line="280" w:lineRule="exact"/>
              <w:jc w:val="center"/>
              <w:rPr>
                <w:rFonts w:hint="eastAsia" w:ascii="宋体" w:hAnsi="宋体"/>
                <w:color w:val="000000" w:themeColor="text1"/>
                <w:kern w:val="2"/>
                <w:sz w:val="21"/>
                <w:szCs w:val="21"/>
                <w:lang w:bidi="ar"/>
                <w14:textFill>
                  <w14:solidFill>
                    <w14:schemeClr w14:val="tx1"/>
                  </w14:solidFill>
                </w14:textFill>
              </w:rPr>
            </w:pPr>
            <w:r>
              <w:rPr>
                <w:rFonts w:hint="eastAsia" w:ascii="宋体" w:hAnsi="宋体"/>
                <w:color w:val="000000" w:themeColor="text1"/>
                <w:kern w:val="2"/>
                <w:sz w:val="21"/>
                <w:szCs w:val="21"/>
                <w:lang w:bidi="ar"/>
                <w14:textFill>
                  <w14:solidFill>
                    <w14:schemeClr w14:val="tx1"/>
                  </w14:solidFill>
                </w14:textFill>
              </w:rPr>
              <w:t>所有</w:t>
            </w:r>
          </w:p>
          <w:p w14:paraId="1BAB3493">
            <w:pPr>
              <w:pStyle w:val="45"/>
              <w:widowControl w:val="0"/>
              <w:adjustRightInd w:val="0"/>
              <w:snapToGrid w:val="0"/>
              <w:spacing w:line="280" w:lineRule="exact"/>
              <w:jc w:val="center"/>
              <w:rPr>
                <w:rFonts w:hint="eastAsia" w:ascii="宋体" w:hAnsi="宋体"/>
                <w:color w:val="000000" w:themeColor="text1"/>
                <w:kern w:val="2"/>
                <w:sz w:val="21"/>
                <w:szCs w:val="21"/>
                <w:lang w:bidi="ar"/>
                <w14:textFill>
                  <w14:solidFill>
                    <w14:schemeClr w14:val="tx1"/>
                  </w14:solidFill>
                </w14:textFill>
              </w:rPr>
            </w:pPr>
            <w:r>
              <w:rPr>
                <w:rFonts w:hint="eastAsia" w:ascii="宋体" w:hAnsi="宋体"/>
                <w:color w:val="000000" w:themeColor="text1"/>
                <w:kern w:val="2"/>
                <w:sz w:val="21"/>
                <w:szCs w:val="21"/>
                <w:lang w:bidi="ar"/>
                <w14:textFill>
                  <w14:solidFill>
                    <w14:schemeClr w14:val="tx1"/>
                  </w14:solidFill>
                </w14:textFill>
              </w:rPr>
              <w:t>规模</w:t>
            </w:r>
          </w:p>
        </w:tc>
        <w:tc>
          <w:tcPr>
            <w:tcW w:w="1569" w:type="dxa"/>
            <w:vAlign w:val="center"/>
          </w:tcPr>
          <w:p w14:paraId="120C9CEF">
            <w:pPr>
              <w:pStyle w:val="45"/>
              <w:widowControl w:val="0"/>
              <w:adjustRightInd w:val="0"/>
              <w:snapToGrid w:val="0"/>
              <w:spacing w:line="280" w:lineRule="exact"/>
              <w:jc w:val="center"/>
              <w:rPr>
                <w:rFonts w:hint="eastAsia" w:ascii="宋体" w:hAnsi="宋体"/>
                <w:color w:val="000000" w:themeColor="text1"/>
                <w:kern w:val="2"/>
                <w:sz w:val="21"/>
                <w:szCs w:val="21"/>
                <w:lang w:bidi="ar"/>
                <w14:textFill>
                  <w14:solidFill>
                    <w14:schemeClr w14:val="tx1"/>
                  </w14:solidFill>
                </w14:textFill>
              </w:rPr>
            </w:pPr>
            <w:r>
              <w:rPr>
                <w:rFonts w:hint="eastAsia" w:ascii="宋体" w:hAnsi="宋体"/>
                <w:color w:val="000000" w:themeColor="text1"/>
                <w:kern w:val="2"/>
                <w:sz w:val="21"/>
                <w:szCs w:val="21"/>
                <w:lang w:bidi="ar"/>
                <w14:textFill>
                  <w14:solidFill>
                    <w14:schemeClr w14:val="tx1"/>
                  </w14:solidFill>
                </w14:textFill>
              </w:rPr>
              <w:t>工业废水量</w:t>
            </w:r>
          </w:p>
        </w:tc>
        <w:tc>
          <w:tcPr>
            <w:tcW w:w="1788" w:type="dxa"/>
            <w:vAlign w:val="center"/>
          </w:tcPr>
          <w:p w14:paraId="08ED32C7">
            <w:pPr>
              <w:pStyle w:val="45"/>
              <w:widowControl w:val="0"/>
              <w:adjustRightInd w:val="0"/>
              <w:snapToGrid w:val="0"/>
              <w:spacing w:line="280" w:lineRule="exact"/>
              <w:jc w:val="center"/>
              <w:rPr>
                <w:rFonts w:hint="eastAsia" w:ascii="宋体" w:hAnsi="宋体"/>
                <w:color w:val="000000" w:themeColor="text1"/>
                <w:kern w:val="2"/>
                <w:sz w:val="21"/>
                <w:szCs w:val="21"/>
                <w:lang w:bidi="ar"/>
                <w14:textFill>
                  <w14:solidFill>
                    <w14:schemeClr w14:val="tx1"/>
                  </w14:solidFill>
                </w14:textFill>
              </w:rPr>
            </w:pPr>
            <w:r>
              <w:rPr>
                <w:rFonts w:hint="eastAsia" w:ascii="宋体" w:hAnsi="宋体"/>
                <w:color w:val="000000" w:themeColor="text1"/>
                <w:kern w:val="2"/>
                <w:sz w:val="21"/>
                <w:szCs w:val="21"/>
                <w:lang w:bidi="ar"/>
                <w14:textFill>
                  <w14:solidFill>
                    <w14:schemeClr w14:val="tx1"/>
                  </w14:solidFill>
                </w14:textFill>
              </w:rPr>
              <w:t>t/井次-产品</w:t>
            </w:r>
          </w:p>
        </w:tc>
        <w:tc>
          <w:tcPr>
            <w:tcW w:w="1262" w:type="dxa"/>
            <w:vAlign w:val="center"/>
          </w:tcPr>
          <w:p w14:paraId="0EC1A761">
            <w:pPr>
              <w:pStyle w:val="45"/>
              <w:widowControl w:val="0"/>
              <w:adjustRightInd w:val="0"/>
              <w:snapToGrid w:val="0"/>
              <w:spacing w:line="280" w:lineRule="exact"/>
              <w:jc w:val="center"/>
              <w:rPr>
                <w:rFonts w:hint="eastAsia" w:ascii="宋体" w:hAnsi="宋体"/>
                <w:color w:val="000000" w:themeColor="text1"/>
                <w:kern w:val="2"/>
                <w:sz w:val="21"/>
                <w:szCs w:val="21"/>
                <w:lang w:bidi="ar"/>
                <w14:textFill>
                  <w14:solidFill>
                    <w14:schemeClr w14:val="tx1"/>
                  </w14:solidFill>
                </w14:textFill>
              </w:rPr>
            </w:pPr>
            <w:r>
              <w:rPr>
                <w:rFonts w:hint="eastAsia" w:ascii="宋体" w:hAnsi="宋体"/>
                <w:color w:val="000000" w:themeColor="text1"/>
                <w:kern w:val="2"/>
                <w:sz w:val="21"/>
                <w:szCs w:val="21"/>
                <w:lang w:bidi="ar"/>
                <w14:textFill>
                  <w14:solidFill>
                    <w14:schemeClr w14:val="tx1"/>
                  </w14:solidFill>
                </w14:textFill>
              </w:rPr>
              <w:t>27.13</w:t>
            </w:r>
          </w:p>
        </w:tc>
        <w:tc>
          <w:tcPr>
            <w:tcW w:w="1364" w:type="dxa"/>
            <w:vAlign w:val="center"/>
          </w:tcPr>
          <w:p w14:paraId="363EF8B9">
            <w:pPr>
              <w:adjustRightInd w:val="0"/>
              <w:snapToGrid w:val="0"/>
              <w:spacing w:line="280" w:lineRule="exact"/>
              <w:jc w:val="center"/>
              <w:rPr>
                <w:rFonts w:hint="eastAsia" w:ascii="宋体" w:hAnsi="宋体" w:cs="宋体"/>
                <w:color w:val="000000" w:themeColor="text1"/>
                <w:lang w:bidi="ar"/>
                <w14:textFill>
                  <w14:solidFill>
                    <w14:schemeClr w14:val="tx1"/>
                  </w14:solidFill>
                </w14:textFill>
              </w:rPr>
            </w:pPr>
            <w:r>
              <w:rPr>
                <w:rFonts w:hint="eastAsia" w:ascii="宋体" w:hAnsi="宋体" w:cs="宋体"/>
                <w:color w:val="000000" w:themeColor="text1"/>
                <w:lang w:bidi="ar"/>
                <w14:textFill>
                  <w14:solidFill>
                    <w14:schemeClr w14:val="tx1"/>
                  </w14:solidFill>
                </w14:textFill>
              </w:rPr>
              <w:t>回收回注</w:t>
            </w:r>
          </w:p>
        </w:tc>
        <w:tc>
          <w:tcPr>
            <w:tcW w:w="785" w:type="dxa"/>
            <w:vAlign w:val="center"/>
          </w:tcPr>
          <w:p w14:paraId="28D8ABCC">
            <w:pPr>
              <w:pStyle w:val="45"/>
              <w:widowControl w:val="0"/>
              <w:adjustRightInd w:val="0"/>
              <w:snapToGrid w:val="0"/>
              <w:spacing w:line="280" w:lineRule="exact"/>
              <w:jc w:val="center"/>
              <w:rPr>
                <w:rFonts w:hint="eastAsia" w:ascii="宋体" w:hAnsi="宋体"/>
                <w:color w:val="000000" w:themeColor="text1"/>
                <w:kern w:val="2"/>
                <w:sz w:val="21"/>
                <w:szCs w:val="21"/>
                <w:lang w:bidi="ar"/>
                <w14:textFill>
                  <w14:solidFill>
                    <w14:schemeClr w14:val="tx1"/>
                  </w14:solidFill>
                </w14:textFill>
              </w:rPr>
            </w:pPr>
            <w:r>
              <w:rPr>
                <w:rFonts w:hint="eastAsia" w:ascii="宋体" w:hAnsi="宋体"/>
                <w:color w:val="000000" w:themeColor="text1"/>
                <w:kern w:val="2"/>
                <w:sz w:val="21"/>
                <w:szCs w:val="21"/>
                <w:lang w:bidi="ar"/>
                <w14:textFill>
                  <w14:solidFill>
                    <w14:schemeClr w14:val="tx1"/>
                  </w14:solidFill>
                </w14:textFill>
              </w:rPr>
              <w:t>0</w:t>
            </w:r>
          </w:p>
        </w:tc>
      </w:tr>
      <w:tr w14:paraId="68DC402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15" w:type="dxa"/>
            <w:vMerge w:val="continue"/>
            <w:vAlign w:val="center"/>
          </w:tcPr>
          <w:p w14:paraId="06EED835">
            <w:pPr>
              <w:pStyle w:val="45"/>
              <w:widowControl w:val="0"/>
              <w:adjustRightInd w:val="0"/>
              <w:snapToGrid w:val="0"/>
              <w:spacing w:line="280" w:lineRule="exact"/>
              <w:jc w:val="center"/>
              <w:rPr>
                <w:rFonts w:hint="eastAsia" w:ascii="宋体" w:hAnsi="宋体"/>
                <w:color w:val="000000" w:themeColor="text1"/>
                <w:kern w:val="2"/>
                <w:sz w:val="21"/>
                <w:szCs w:val="21"/>
                <w:lang w:bidi="ar"/>
                <w14:textFill>
                  <w14:solidFill>
                    <w14:schemeClr w14:val="tx1"/>
                  </w14:solidFill>
                </w14:textFill>
              </w:rPr>
            </w:pPr>
          </w:p>
        </w:tc>
        <w:tc>
          <w:tcPr>
            <w:tcW w:w="863" w:type="dxa"/>
            <w:vMerge w:val="continue"/>
            <w:vAlign w:val="center"/>
          </w:tcPr>
          <w:p w14:paraId="13E914DD">
            <w:pPr>
              <w:pStyle w:val="45"/>
              <w:widowControl w:val="0"/>
              <w:adjustRightInd w:val="0"/>
              <w:snapToGrid w:val="0"/>
              <w:spacing w:line="280" w:lineRule="exact"/>
              <w:jc w:val="center"/>
              <w:rPr>
                <w:rFonts w:hint="eastAsia" w:ascii="宋体" w:hAnsi="宋体"/>
                <w:color w:val="000000" w:themeColor="text1"/>
                <w:kern w:val="2"/>
                <w:sz w:val="21"/>
                <w:szCs w:val="21"/>
                <w:lang w:bidi="ar"/>
                <w14:textFill>
                  <w14:solidFill>
                    <w14:schemeClr w14:val="tx1"/>
                  </w14:solidFill>
                </w14:textFill>
              </w:rPr>
            </w:pPr>
          </w:p>
        </w:tc>
        <w:tc>
          <w:tcPr>
            <w:tcW w:w="1569" w:type="dxa"/>
            <w:vAlign w:val="center"/>
          </w:tcPr>
          <w:p w14:paraId="6FD2312F">
            <w:pPr>
              <w:pStyle w:val="45"/>
              <w:widowControl w:val="0"/>
              <w:adjustRightInd w:val="0"/>
              <w:snapToGrid w:val="0"/>
              <w:spacing w:line="280" w:lineRule="exact"/>
              <w:jc w:val="center"/>
              <w:rPr>
                <w:rFonts w:hint="eastAsia" w:ascii="宋体" w:hAnsi="宋体"/>
                <w:color w:val="000000" w:themeColor="text1"/>
                <w:kern w:val="2"/>
                <w:sz w:val="21"/>
                <w:szCs w:val="21"/>
                <w:lang w:bidi="ar"/>
                <w14:textFill>
                  <w14:solidFill>
                    <w14:schemeClr w14:val="tx1"/>
                  </w14:solidFill>
                </w14:textFill>
              </w:rPr>
            </w:pPr>
            <w:r>
              <w:rPr>
                <w:rFonts w:hint="eastAsia" w:ascii="宋体" w:hAnsi="宋体"/>
                <w:color w:val="000000" w:themeColor="text1"/>
                <w:kern w:val="2"/>
                <w:sz w:val="21"/>
                <w:szCs w:val="21"/>
                <w:lang w:bidi="ar"/>
                <w14:textFill>
                  <w14:solidFill>
                    <w14:schemeClr w14:val="tx1"/>
                  </w14:solidFill>
                </w14:textFill>
              </w:rPr>
              <w:t>化学需氧量</w:t>
            </w:r>
          </w:p>
        </w:tc>
        <w:tc>
          <w:tcPr>
            <w:tcW w:w="1788" w:type="dxa"/>
            <w:vAlign w:val="center"/>
          </w:tcPr>
          <w:p w14:paraId="6DB5BC2D">
            <w:pPr>
              <w:pStyle w:val="45"/>
              <w:widowControl w:val="0"/>
              <w:adjustRightInd w:val="0"/>
              <w:snapToGrid w:val="0"/>
              <w:spacing w:line="280" w:lineRule="exact"/>
              <w:jc w:val="center"/>
              <w:rPr>
                <w:rFonts w:hint="eastAsia" w:ascii="宋体" w:hAnsi="宋体"/>
                <w:color w:val="000000" w:themeColor="text1"/>
                <w:kern w:val="2"/>
                <w:sz w:val="21"/>
                <w:szCs w:val="21"/>
                <w:lang w:bidi="ar"/>
                <w14:textFill>
                  <w14:solidFill>
                    <w14:schemeClr w14:val="tx1"/>
                  </w14:solidFill>
                </w14:textFill>
              </w:rPr>
            </w:pPr>
            <w:r>
              <w:rPr>
                <w:rFonts w:hint="eastAsia" w:ascii="宋体" w:hAnsi="宋体"/>
                <w:color w:val="000000" w:themeColor="text1"/>
                <w:kern w:val="2"/>
                <w:sz w:val="21"/>
                <w:szCs w:val="21"/>
                <w:lang w:bidi="ar"/>
                <w14:textFill>
                  <w14:solidFill>
                    <w14:schemeClr w14:val="tx1"/>
                  </w14:solidFill>
                </w14:textFill>
              </w:rPr>
              <w:t>g/井次-产品</w:t>
            </w:r>
          </w:p>
        </w:tc>
        <w:tc>
          <w:tcPr>
            <w:tcW w:w="1262" w:type="dxa"/>
            <w:vAlign w:val="center"/>
          </w:tcPr>
          <w:p w14:paraId="7000FDF6">
            <w:pPr>
              <w:pStyle w:val="45"/>
              <w:widowControl w:val="0"/>
              <w:adjustRightInd w:val="0"/>
              <w:snapToGrid w:val="0"/>
              <w:spacing w:line="280" w:lineRule="exact"/>
              <w:jc w:val="center"/>
              <w:rPr>
                <w:rFonts w:hint="eastAsia" w:ascii="宋体" w:hAnsi="宋体"/>
                <w:color w:val="000000" w:themeColor="text1"/>
                <w:kern w:val="2"/>
                <w:sz w:val="21"/>
                <w:szCs w:val="21"/>
                <w:lang w:bidi="ar"/>
                <w14:textFill>
                  <w14:solidFill>
                    <w14:schemeClr w14:val="tx1"/>
                  </w14:solidFill>
                </w14:textFill>
              </w:rPr>
            </w:pPr>
            <w:r>
              <w:rPr>
                <w:rFonts w:hint="eastAsia" w:ascii="宋体" w:hAnsi="宋体"/>
                <w:color w:val="000000" w:themeColor="text1"/>
                <w:kern w:val="2"/>
                <w:sz w:val="21"/>
                <w:szCs w:val="21"/>
                <w:lang w:bidi="ar"/>
                <w14:textFill>
                  <w14:solidFill>
                    <w14:schemeClr w14:val="tx1"/>
                  </w14:solidFill>
                </w14:textFill>
              </w:rPr>
              <w:t>34679</w:t>
            </w:r>
          </w:p>
        </w:tc>
        <w:tc>
          <w:tcPr>
            <w:tcW w:w="1364" w:type="dxa"/>
            <w:vAlign w:val="center"/>
          </w:tcPr>
          <w:p w14:paraId="711BAAB2">
            <w:pPr>
              <w:adjustRightInd w:val="0"/>
              <w:snapToGrid w:val="0"/>
              <w:spacing w:line="280" w:lineRule="exact"/>
              <w:jc w:val="center"/>
              <w:rPr>
                <w:rFonts w:hint="eastAsia" w:ascii="宋体" w:hAnsi="宋体" w:cs="宋体"/>
                <w:color w:val="000000" w:themeColor="text1"/>
                <w:lang w:bidi="ar"/>
                <w14:textFill>
                  <w14:solidFill>
                    <w14:schemeClr w14:val="tx1"/>
                  </w14:solidFill>
                </w14:textFill>
              </w:rPr>
            </w:pPr>
            <w:r>
              <w:rPr>
                <w:rFonts w:hint="eastAsia" w:ascii="宋体" w:hAnsi="宋体" w:cs="宋体"/>
                <w:color w:val="000000" w:themeColor="text1"/>
                <w:lang w:bidi="ar"/>
                <w14:textFill>
                  <w14:solidFill>
                    <w14:schemeClr w14:val="tx1"/>
                  </w14:solidFill>
                </w14:textFill>
              </w:rPr>
              <w:t>回收回注</w:t>
            </w:r>
          </w:p>
        </w:tc>
        <w:tc>
          <w:tcPr>
            <w:tcW w:w="785" w:type="dxa"/>
            <w:vAlign w:val="center"/>
          </w:tcPr>
          <w:p w14:paraId="4D7050E5">
            <w:pPr>
              <w:pStyle w:val="45"/>
              <w:widowControl w:val="0"/>
              <w:adjustRightInd w:val="0"/>
              <w:snapToGrid w:val="0"/>
              <w:spacing w:line="280" w:lineRule="exact"/>
              <w:jc w:val="center"/>
              <w:rPr>
                <w:rFonts w:hint="eastAsia" w:ascii="宋体" w:hAnsi="宋体"/>
                <w:color w:val="000000" w:themeColor="text1"/>
                <w:kern w:val="2"/>
                <w:sz w:val="21"/>
                <w:szCs w:val="21"/>
                <w:lang w:bidi="ar"/>
                <w14:textFill>
                  <w14:solidFill>
                    <w14:schemeClr w14:val="tx1"/>
                  </w14:solidFill>
                </w14:textFill>
              </w:rPr>
            </w:pPr>
            <w:r>
              <w:rPr>
                <w:rFonts w:hint="eastAsia" w:ascii="宋体" w:hAnsi="宋体"/>
                <w:color w:val="000000" w:themeColor="text1"/>
                <w:kern w:val="2"/>
                <w:sz w:val="21"/>
                <w:szCs w:val="21"/>
                <w:lang w:bidi="ar"/>
                <w14:textFill>
                  <w14:solidFill>
                    <w14:schemeClr w14:val="tx1"/>
                  </w14:solidFill>
                </w14:textFill>
              </w:rPr>
              <w:t>0</w:t>
            </w:r>
          </w:p>
        </w:tc>
      </w:tr>
      <w:tr w14:paraId="28CFAEB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15" w:type="dxa"/>
            <w:vMerge w:val="continue"/>
            <w:vAlign w:val="center"/>
          </w:tcPr>
          <w:p w14:paraId="6494EAC8">
            <w:pPr>
              <w:pStyle w:val="45"/>
              <w:widowControl w:val="0"/>
              <w:adjustRightInd w:val="0"/>
              <w:snapToGrid w:val="0"/>
              <w:spacing w:line="280" w:lineRule="exact"/>
              <w:jc w:val="center"/>
              <w:rPr>
                <w:rFonts w:hint="eastAsia" w:ascii="宋体" w:hAnsi="宋体"/>
                <w:color w:val="000000" w:themeColor="text1"/>
                <w:kern w:val="2"/>
                <w:sz w:val="21"/>
                <w:szCs w:val="21"/>
                <w:lang w:bidi="ar"/>
                <w14:textFill>
                  <w14:solidFill>
                    <w14:schemeClr w14:val="tx1"/>
                  </w14:solidFill>
                </w14:textFill>
              </w:rPr>
            </w:pPr>
          </w:p>
        </w:tc>
        <w:tc>
          <w:tcPr>
            <w:tcW w:w="863" w:type="dxa"/>
            <w:vMerge w:val="continue"/>
            <w:vAlign w:val="center"/>
          </w:tcPr>
          <w:p w14:paraId="3FFFEEB8">
            <w:pPr>
              <w:pStyle w:val="45"/>
              <w:widowControl w:val="0"/>
              <w:adjustRightInd w:val="0"/>
              <w:snapToGrid w:val="0"/>
              <w:spacing w:line="280" w:lineRule="exact"/>
              <w:jc w:val="center"/>
              <w:rPr>
                <w:rFonts w:hint="eastAsia" w:ascii="宋体" w:hAnsi="宋体"/>
                <w:color w:val="000000" w:themeColor="text1"/>
                <w:kern w:val="2"/>
                <w:sz w:val="21"/>
                <w:szCs w:val="21"/>
                <w:lang w:bidi="ar"/>
                <w14:textFill>
                  <w14:solidFill>
                    <w14:schemeClr w14:val="tx1"/>
                  </w14:solidFill>
                </w14:textFill>
              </w:rPr>
            </w:pPr>
          </w:p>
        </w:tc>
        <w:tc>
          <w:tcPr>
            <w:tcW w:w="1569" w:type="dxa"/>
            <w:vAlign w:val="center"/>
          </w:tcPr>
          <w:p w14:paraId="5875F08B">
            <w:pPr>
              <w:pStyle w:val="45"/>
              <w:widowControl w:val="0"/>
              <w:adjustRightInd w:val="0"/>
              <w:snapToGrid w:val="0"/>
              <w:spacing w:line="280" w:lineRule="exact"/>
              <w:jc w:val="center"/>
              <w:rPr>
                <w:rFonts w:hint="eastAsia" w:ascii="宋体" w:hAnsi="宋体"/>
                <w:color w:val="000000" w:themeColor="text1"/>
                <w:kern w:val="2"/>
                <w:sz w:val="21"/>
                <w:szCs w:val="21"/>
                <w:lang w:bidi="ar"/>
                <w14:textFill>
                  <w14:solidFill>
                    <w14:schemeClr w14:val="tx1"/>
                  </w14:solidFill>
                </w14:textFill>
              </w:rPr>
            </w:pPr>
            <w:r>
              <w:rPr>
                <w:rFonts w:hint="eastAsia" w:ascii="宋体" w:hAnsi="宋体"/>
                <w:color w:val="000000" w:themeColor="text1"/>
                <w:kern w:val="2"/>
                <w:sz w:val="21"/>
                <w:szCs w:val="21"/>
                <w:lang w:bidi="ar"/>
                <w14:textFill>
                  <w14:solidFill>
                    <w14:schemeClr w14:val="tx1"/>
                  </w14:solidFill>
                </w14:textFill>
              </w:rPr>
              <w:t>石油类</w:t>
            </w:r>
          </w:p>
        </w:tc>
        <w:tc>
          <w:tcPr>
            <w:tcW w:w="1788" w:type="dxa"/>
            <w:vAlign w:val="center"/>
          </w:tcPr>
          <w:p w14:paraId="3F99ED52">
            <w:pPr>
              <w:pStyle w:val="45"/>
              <w:widowControl w:val="0"/>
              <w:adjustRightInd w:val="0"/>
              <w:snapToGrid w:val="0"/>
              <w:spacing w:line="280" w:lineRule="exact"/>
              <w:jc w:val="center"/>
              <w:rPr>
                <w:rFonts w:hint="eastAsia" w:ascii="宋体" w:hAnsi="宋体"/>
                <w:color w:val="000000" w:themeColor="text1"/>
                <w:kern w:val="2"/>
                <w:sz w:val="21"/>
                <w:szCs w:val="21"/>
                <w:lang w:bidi="ar"/>
                <w14:textFill>
                  <w14:solidFill>
                    <w14:schemeClr w14:val="tx1"/>
                  </w14:solidFill>
                </w14:textFill>
              </w:rPr>
            </w:pPr>
            <w:r>
              <w:rPr>
                <w:rFonts w:hint="eastAsia" w:ascii="宋体" w:hAnsi="宋体"/>
                <w:color w:val="000000" w:themeColor="text1"/>
                <w:kern w:val="2"/>
                <w:sz w:val="21"/>
                <w:szCs w:val="21"/>
                <w:lang w:bidi="ar"/>
                <w14:textFill>
                  <w14:solidFill>
                    <w14:schemeClr w14:val="tx1"/>
                  </w14:solidFill>
                </w14:textFill>
              </w:rPr>
              <w:t>g/井次-产品</w:t>
            </w:r>
          </w:p>
        </w:tc>
        <w:tc>
          <w:tcPr>
            <w:tcW w:w="1262" w:type="dxa"/>
            <w:vAlign w:val="center"/>
          </w:tcPr>
          <w:p w14:paraId="0F32410D">
            <w:pPr>
              <w:pStyle w:val="45"/>
              <w:widowControl w:val="0"/>
              <w:adjustRightInd w:val="0"/>
              <w:snapToGrid w:val="0"/>
              <w:spacing w:line="280" w:lineRule="exact"/>
              <w:jc w:val="center"/>
              <w:rPr>
                <w:rFonts w:hint="eastAsia" w:ascii="宋体" w:hAnsi="宋体"/>
                <w:color w:val="000000" w:themeColor="text1"/>
                <w:kern w:val="2"/>
                <w:sz w:val="21"/>
                <w:szCs w:val="21"/>
                <w:lang w:bidi="ar"/>
                <w14:textFill>
                  <w14:solidFill>
                    <w14:schemeClr w14:val="tx1"/>
                  </w14:solidFill>
                </w14:textFill>
              </w:rPr>
            </w:pPr>
            <w:r>
              <w:rPr>
                <w:rFonts w:hint="eastAsia" w:ascii="宋体" w:hAnsi="宋体"/>
                <w:color w:val="000000" w:themeColor="text1"/>
                <w:kern w:val="2"/>
                <w:sz w:val="21"/>
                <w:szCs w:val="21"/>
                <w:lang w:bidi="ar"/>
                <w14:textFill>
                  <w14:solidFill>
                    <w14:schemeClr w14:val="tx1"/>
                  </w14:solidFill>
                </w14:textFill>
              </w:rPr>
              <w:t>6122</w:t>
            </w:r>
          </w:p>
        </w:tc>
        <w:tc>
          <w:tcPr>
            <w:tcW w:w="1364" w:type="dxa"/>
            <w:vAlign w:val="center"/>
          </w:tcPr>
          <w:p w14:paraId="15F65688">
            <w:pPr>
              <w:adjustRightInd w:val="0"/>
              <w:snapToGrid w:val="0"/>
              <w:spacing w:line="280" w:lineRule="exact"/>
              <w:jc w:val="center"/>
              <w:rPr>
                <w:rFonts w:hint="eastAsia" w:ascii="宋体" w:hAnsi="宋体" w:cs="宋体"/>
                <w:color w:val="000000" w:themeColor="text1"/>
                <w:lang w:bidi="ar"/>
                <w14:textFill>
                  <w14:solidFill>
                    <w14:schemeClr w14:val="tx1"/>
                  </w14:solidFill>
                </w14:textFill>
              </w:rPr>
            </w:pPr>
            <w:r>
              <w:rPr>
                <w:rFonts w:hint="eastAsia" w:ascii="宋体" w:hAnsi="宋体" w:cs="宋体"/>
                <w:color w:val="000000" w:themeColor="text1"/>
                <w:lang w:bidi="ar"/>
                <w14:textFill>
                  <w14:solidFill>
                    <w14:schemeClr w14:val="tx1"/>
                  </w14:solidFill>
                </w14:textFill>
              </w:rPr>
              <w:t>回收回注</w:t>
            </w:r>
          </w:p>
        </w:tc>
        <w:tc>
          <w:tcPr>
            <w:tcW w:w="785" w:type="dxa"/>
            <w:vAlign w:val="center"/>
          </w:tcPr>
          <w:p w14:paraId="26626BD6">
            <w:pPr>
              <w:pStyle w:val="45"/>
              <w:widowControl w:val="0"/>
              <w:adjustRightInd w:val="0"/>
              <w:snapToGrid w:val="0"/>
              <w:spacing w:line="280" w:lineRule="exact"/>
              <w:jc w:val="center"/>
              <w:rPr>
                <w:rFonts w:hint="eastAsia" w:ascii="宋体" w:hAnsi="宋体"/>
                <w:color w:val="000000" w:themeColor="text1"/>
                <w:kern w:val="2"/>
                <w:sz w:val="21"/>
                <w:szCs w:val="21"/>
                <w:lang w:bidi="ar"/>
                <w14:textFill>
                  <w14:solidFill>
                    <w14:schemeClr w14:val="tx1"/>
                  </w14:solidFill>
                </w14:textFill>
              </w:rPr>
            </w:pPr>
            <w:r>
              <w:rPr>
                <w:rFonts w:hint="eastAsia" w:ascii="宋体" w:hAnsi="宋体"/>
                <w:color w:val="000000" w:themeColor="text1"/>
                <w:kern w:val="2"/>
                <w:sz w:val="21"/>
                <w:szCs w:val="21"/>
                <w:lang w:bidi="ar"/>
                <w14:textFill>
                  <w14:solidFill>
                    <w14:schemeClr w14:val="tx1"/>
                  </w14:solidFill>
                </w14:textFill>
              </w:rPr>
              <w:t>0</w:t>
            </w:r>
          </w:p>
        </w:tc>
      </w:tr>
      <w:bookmarkEnd w:id="333"/>
    </w:tbl>
    <w:p w14:paraId="426E37E9">
      <w:pPr>
        <w:pStyle w:val="117"/>
        <w:ind w:firstLine="480"/>
        <w:rPr>
          <w:rFonts w:hint="eastAsia" w:cs="黑体"/>
          <w:color w:val="000000" w:themeColor="text1"/>
          <w14:textFill>
            <w14:solidFill>
              <w14:schemeClr w14:val="tx1"/>
            </w14:solidFill>
          </w14:textFill>
        </w:rPr>
      </w:pPr>
      <w:r>
        <w:rPr>
          <w:rFonts w:hint="eastAsia"/>
          <w:color w:val="000000" w:themeColor="text1"/>
          <w14:textFill>
            <w14:solidFill>
              <w14:schemeClr w14:val="tx1"/>
            </w14:solidFill>
          </w14:textFill>
        </w:rPr>
        <w:t>项目区为低渗透油井，</w:t>
      </w:r>
      <w:r>
        <w:rPr>
          <w:rFonts w:hint="eastAsia" w:cs="宋体"/>
          <w:color w:val="000000" w:themeColor="text1"/>
          <w14:textFill>
            <w14:solidFill>
              <w14:schemeClr w14:val="tx1"/>
            </w14:solidFill>
          </w14:textFill>
        </w:rPr>
        <w:t>采用表</w:t>
      </w:r>
      <w:r>
        <w:rPr>
          <w:rFonts w:cs="宋体"/>
          <w:color w:val="000000" w:themeColor="text1"/>
          <w14:textFill>
            <w14:solidFill>
              <w14:schemeClr w14:val="tx1"/>
            </w14:solidFill>
          </w14:textFill>
        </w:rPr>
        <w:t>3.3</w:t>
      </w:r>
      <w:r>
        <w:rPr>
          <w:rFonts w:hint="eastAsia" w:cs="宋体"/>
          <w:color w:val="000000" w:themeColor="text1"/>
          <w14:textFill>
            <w14:solidFill>
              <w14:schemeClr w14:val="tx1"/>
            </w14:solidFill>
          </w14:textFill>
        </w:rPr>
        <w:t>-9低渗透油井洗井作业产污系数计算洗井废水及废水中各污染物的产生量，计算结果详见表</w:t>
      </w:r>
      <w:r>
        <w:rPr>
          <w:rFonts w:cs="宋体"/>
          <w:color w:val="000000" w:themeColor="text1"/>
          <w14:textFill>
            <w14:solidFill>
              <w14:schemeClr w14:val="tx1"/>
            </w14:solidFill>
          </w14:textFill>
        </w:rPr>
        <w:t>3.3</w:t>
      </w:r>
      <w:r>
        <w:rPr>
          <w:rFonts w:hint="eastAsia" w:cs="宋体"/>
          <w:color w:val="000000" w:themeColor="text1"/>
          <w14:textFill>
            <w14:solidFill>
              <w14:schemeClr w14:val="tx1"/>
            </w14:solidFill>
          </w14:textFill>
        </w:rPr>
        <w:t>-</w:t>
      </w:r>
      <w:r>
        <w:rPr>
          <w:rFonts w:cs="宋体"/>
          <w:color w:val="000000" w:themeColor="text1"/>
          <w14:textFill>
            <w14:solidFill>
              <w14:schemeClr w14:val="tx1"/>
            </w14:solidFill>
          </w14:textFill>
        </w:rPr>
        <w:t>1</w:t>
      </w:r>
      <w:r>
        <w:rPr>
          <w:rFonts w:hint="eastAsia" w:cs="宋体"/>
          <w:color w:val="000000" w:themeColor="text1"/>
          <w14:textFill>
            <w14:solidFill>
              <w14:schemeClr w14:val="tx1"/>
            </w14:solidFill>
          </w14:textFill>
        </w:rPr>
        <w:t>0。</w:t>
      </w:r>
      <w:bookmarkStart w:id="334" w:name="_Hlk20135089"/>
    </w:p>
    <w:p w14:paraId="740FF85A">
      <w:pPr>
        <w:pStyle w:val="109"/>
        <w:adjustRightInd w:val="0"/>
        <w:snapToGrid w:val="0"/>
        <w:spacing w:line="500" w:lineRule="exact"/>
        <w:rPr>
          <w:rFonts w:hint="eastAsia" w:cs="黑体"/>
          <w:color w:val="000000" w:themeColor="text1"/>
          <w14:textFill>
            <w14:solidFill>
              <w14:schemeClr w14:val="tx1"/>
            </w14:solidFill>
          </w14:textFill>
        </w:rPr>
      </w:pPr>
    </w:p>
    <w:p w14:paraId="1963BD8A">
      <w:pPr>
        <w:pStyle w:val="109"/>
        <w:adjustRightInd w:val="0"/>
        <w:snapToGrid w:val="0"/>
        <w:spacing w:line="500" w:lineRule="exact"/>
        <w:rPr>
          <w:rFonts w:hint="eastAsia" w:cs="黑体"/>
          <w:color w:val="000000" w:themeColor="text1"/>
          <w14:textFill>
            <w14:solidFill>
              <w14:schemeClr w14:val="tx1"/>
            </w14:solidFill>
          </w14:textFill>
        </w:rPr>
      </w:pPr>
      <w:r>
        <w:rPr>
          <w:rFonts w:hint="eastAsia" w:cs="黑体"/>
          <w:color w:val="000000" w:themeColor="text1"/>
          <w14:textFill>
            <w14:solidFill>
              <w14:schemeClr w14:val="tx1"/>
            </w14:solidFill>
          </w14:textFill>
        </w:rPr>
        <w:t>表</w:t>
      </w:r>
      <w:r>
        <w:rPr>
          <w:rFonts w:cs="黑体"/>
          <w:color w:val="000000" w:themeColor="text1"/>
          <w14:textFill>
            <w14:solidFill>
              <w14:schemeClr w14:val="tx1"/>
            </w14:solidFill>
          </w14:textFill>
        </w:rPr>
        <w:t>3.3</w:t>
      </w:r>
      <w:r>
        <w:rPr>
          <w:rFonts w:hint="eastAsia" w:cs="黑体"/>
          <w:color w:val="000000" w:themeColor="text1"/>
          <w14:textFill>
            <w14:solidFill>
              <w14:schemeClr w14:val="tx1"/>
            </w14:solidFill>
          </w14:textFill>
        </w:rPr>
        <w:t>-</w:t>
      </w:r>
      <w:r>
        <w:rPr>
          <w:rFonts w:cs="黑体"/>
          <w:color w:val="000000" w:themeColor="text1"/>
          <w14:textFill>
            <w14:solidFill>
              <w14:schemeClr w14:val="tx1"/>
            </w14:solidFill>
          </w14:textFill>
        </w:rPr>
        <w:t>1</w:t>
      </w:r>
      <w:r>
        <w:rPr>
          <w:rFonts w:hint="eastAsia" w:cs="黑体"/>
          <w:color w:val="000000" w:themeColor="text1"/>
          <w14:textFill>
            <w14:solidFill>
              <w14:schemeClr w14:val="tx1"/>
            </w14:solidFill>
          </w14:textFill>
        </w:rPr>
        <w:t>0  洗井废水产生量一览表</w:t>
      </w:r>
    </w:p>
    <w:tbl>
      <w:tblPr>
        <w:tblStyle w:val="51"/>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862"/>
        <w:gridCol w:w="2836"/>
        <w:gridCol w:w="4248"/>
      </w:tblGrid>
      <w:tr w14:paraId="1DF8A77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41" w:type="pct"/>
            <w:vAlign w:val="center"/>
          </w:tcPr>
          <w:p w14:paraId="226B0D15">
            <w:pPr>
              <w:pStyle w:val="45"/>
              <w:widowControl w:val="0"/>
              <w:adjustRightInd w:val="0"/>
              <w:snapToGrid w:val="0"/>
              <w:spacing w:line="240" w:lineRule="exact"/>
              <w:jc w:val="center"/>
              <w:rPr>
                <w:rFonts w:hint="eastAsia" w:ascii="宋体" w:hAnsi="宋体"/>
                <w:color w:val="000000" w:themeColor="text1"/>
                <w:kern w:val="2"/>
                <w:sz w:val="21"/>
                <w:szCs w:val="21"/>
                <w:lang w:bidi="ar"/>
                <w14:textFill>
                  <w14:solidFill>
                    <w14:schemeClr w14:val="tx1"/>
                  </w14:solidFill>
                </w14:textFill>
              </w:rPr>
            </w:pPr>
            <w:bookmarkStart w:id="335" w:name="_Hlk35868192"/>
            <w:r>
              <w:rPr>
                <w:rFonts w:hint="eastAsia" w:ascii="宋体" w:hAnsi="宋体"/>
                <w:color w:val="000000" w:themeColor="text1"/>
                <w:sz w:val="21"/>
                <w:szCs w:val="21"/>
                <w14:textFill>
                  <w14:solidFill>
                    <w14:schemeClr w14:val="tx1"/>
                  </w14:solidFill>
                </w14:textFill>
              </w:rPr>
              <w:t>污染物指标</w:t>
            </w:r>
          </w:p>
        </w:tc>
        <w:tc>
          <w:tcPr>
            <w:tcW w:w="1585" w:type="pct"/>
            <w:vAlign w:val="center"/>
          </w:tcPr>
          <w:p w14:paraId="7FE1B013">
            <w:pPr>
              <w:pStyle w:val="45"/>
              <w:widowControl w:val="0"/>
              <w:adjustRightInd w:val="0"/>
              <w:snapToGrid w:val="0"/>
              <w:spacing w:line="240" w:lineRule="exact"/>
              <w:jc w:val="center"/>
              <w:rPr>
                <w:rFonts w:hint="eastAsia" w:ascii="宋体" w:hAnsi="宋体"/>
                <w:color w:val="000000" w:themeColor="text1"/>
                <w:kern w:val="2"/>
                <w:sz w:val="21"/>
                <w:szCs w:val="21"/>
                <w:lang w:bidi="ar"/>
                <w14:textFill>
                  <w14:solidFill>
                    <w14:schemeClr w14:val="tx1"/>
                  </w14:solidFill>
                </w14:textFill>
              </w:rPr>
            </w:pPr>
            <w:r>
              <w:rPr>
                <w:rFonts w:hint="eastAsia" w:ascii="宋体" w:hAnsi="宋体"/>
                <w:color w:val="000000" w:themeColor="text1"/>
                <w:sz w:val="21"/>
                <w:szCs w:val="21"/>
                <w14:textFill>
                  <w14:solidFill>
                    <w14:schemeClr w14:val="tx1"/>
                  </w14:solidFill>
                </w14:textFill>
              </w:rPr>
              <w:t>产污系数</w:t>
            </w:r>
          </w:p>
        </w:tc>
        <w:tc>
          <w:tcPr>
            <w:tcW w:w="2374" w:type="pct"/>
            <w:vAlign w:val="center"/>
          </w:tcPr>
          <w:p w14:paraId="102CB3C1">
            <w:pPr>
              <w:pStyle w:val="45"/>
              <w:widowControl w:val="0"/>
              <w:adjustRightInd w:val="0"/>
              <w:snapToGrid w:val="0"/>
              <w:spacing w:line="240" w:lineRule="exact"/>
              <w:jc w:val="center"/>
              <w:rPr>
                <w:rFonts w:hint="eastAsia" w:ascii="宋体" w:hAnsi="宋体"/>
                <w:color w:val="000000" w:themeColor="text1"/>
                <w:kern w:val="2"/>
                <w:sz w:val="21"/>
                <w:szCs w:val="21"/>
                <w:lang w:bidi="ar"/>
                <w14:textFill>
                  <w14:solidFill>
                    <w14:schemeClr w14:val="tx1"/>
                  </w14:solidFill>
                </w14:textFill>
              </w:rPr>
            </w:pPr>
            <w:r>
              <w:rPr>
                <w:rFonts w:hint="eastAsia" w:ascii="宋体" w:hAnsi="宋体"/>
                <w:color w:val="000000" w:themeColor="text1"/>
                <w:sz w:val="21"/>
                <w:szCs w:val="21"/>
                <w14:textFill>
                  <w14:solidFill>
                    <w14:schemeClr w14:val="tx1"/>
                  </w14:solidFill>
                </w14:textFill>
              </w:rPr>
              <w:t>12井合计产生量（t</w:t>
            </w:r>
            <w:r>
              <w:rPr>
                <w:rFonts w:ascii="宋体" w:hAnsi="宋体"/>
                <w:color w:val="000000" w:themeColor="text1"/>
                <w:sz w:val="21"/>
                <w:szCs w:val="21"/>
                <w14:textFill>
                  <w14:solidFill>
                    <w14:schemeClr w14:val="tx1"/>
                  </w14:solidFill>
                </w14:textFill>
              </w:rPr>
              <w:t>/a</w:t>
            </w:r>
            <w:r>
              <w:rPr>
                <w:rFonts w:hint="eastAsia" w:ascii="宋体" w:hAnsi="宋体"/>
                <w:color w:val="000000" w:themeColor="text1"/>
                <w:sz w:val="21"/>
                <w:szCs w:val="21"/>
                <w14:textFill>
                  <w14:solidFill>
                    <w14:schemeClr w14:val="tx1"/>
                  </w14:solidFill>
                </w14:textFill>
              </w:rPr>
              <w:t>）</w:t>
            </w:r>
          </w:p>
        </w:tc>
      </w:tr>
      <w:tr w14:paraId="3945296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41" w:type="pct"/>
            <w:vAlign w:val="center"/>
          </w:tcPr>
          <w:p w14:paraId="673E3EF9">
            <w:pPr>
              <w:pStyle w:val="45"/>
              <w:widowControl w:val="0"/>
              <w:adjustRightInd w:val="0"/>
              <w:snapToGrid w:val="0"/>
              <w:spacing w:line="240" w:lineRule="exact"/>
              <w:jc w:val="center"/>
              <w:rPr>
                <w:rFonts w:hint="eastAsia" w:ascii="宋体" w:hAnsi="宋体"/>
                <w:color w:val="000000" w:themeColor="text1"/>
                <w:kern w:val="2"/>
                <w:sz w:val="21"/>
                <w:szCs w:val="21"/>
                <w:lang w:bidi="ar"/>
                <w14:textFill>
                  <w14:solidFill>
                    <w14:schemeClr w14:val="tx1"/>
                  </w14:solidFill>
                </w14:textFill>
              </w:rPr>
            </w:pPr>
            <w:r>
              <w:rPr>
                <w:rFonts w:hint="eastAsia" w:ascii="宋体" w:hAnsi="宋体"/>
                <w:color w:val="000000" w:themeColor="text1"/>
                <w:sz w:val="21"/>
                <w:szCs w:val="21"/>
                <w14:textFill>
                  <w14:solidFill>
                    <w14:schemeClr w14:val="tx1"/>
                  </w14:solidFill>
                </w14:textFill>
              </w:rPr>
              <w:t>工业废水量</w:t>
            </w:r>
          </w:p>
        </w:tc>
        <w:tc>
          <w:tcPr>
            <w:tcW w:w="1585" w:type="pct"/>
            <w:vAlign w:val="center"/>
          </w:tcPr>
          <w:p w14:paraId="5A02CB1E">
            <w:pPr>
              <w:pStyle w:val="45"/>
              <w:widowControl w:val="0"/>
              <w:adjustRightInd w:val="0"/>
              <w:snapToGrid w:val="0"/>
              <w:spacing w:line="240" w:lineRule="exact"/>
              <w:jc w:val="center"/>
              <w:rPr>
                <w:rFonts w:hint="eastAsia" w:ascii="宋体" w:hAnsi="宋体"/>
                <w:color w:val="000000" w:themeColor="text1"/>
                <w:kern w:val="2"/>
                <w:sz w:val="21"/>
                <w:szCs w:val="21"/>
                <w:lang w:bidi="ar"/>
                <w14:textFill>
                  <w14:solidFill>
                    <w14:schemeClr w14:val="tx1"/>
                  </w14:solidFill>
                </w14:textFill>
              </w:rPr>
            </w:pPr>
            <w:r>
              <w:rPr>
                <w:rFonts w:hint="eastAsia" w:ascii="宋体" w:hAnsi="宋体"/>
                <w:color w:val="000000" w:themeColor="text1"/>
                <w:sz w:val="21"/>
                <w:szCs w:val="21"/>
                <w14:textFill>
                  <w14:solidFill>
                    <w14:schemeClr w14:val="tx1"/>
                  </w14:solidFill>
                </w14:textFill>
              </w:rPr>
              <w:t>27.13t/井次-产品</w:t>
            </w:r>
          </w:p>
        </w:tc>
        <w:tc>
          <w:tcPr>
            <w:tcW w:w="2374" w:type="pct"/>
            <w:vAlign w:val="center"/>
          </w:tcPr>
          <w:p w14:paraId="383736FC">
            <w:pPr>
              <w:widowControl/>
              <w:jc w:val="center"/>
              <w:textAlignment w:val="center"/>
              <w:rPr>
                <w:rFonts w:hint="eastAsia" w:ascii="宋体" w:hAnsi="宋体"/>
                <w:color w:val="000000" w:themeColor="text1"/>
                <w:szCs w:val="21"/>
                <w:lang w:bidi="ar"/>
                <w14:textFill>
                  <w14:solidFill>
                    <w14:schemeClr w14:val="tx1"/>
                  </w14:solidFill>
                </w14:textFill>
              </w:rPr>
            </w:pPr>
            <w:r>
              <w:rPr>
                <w:rFonts w:hint="eastAsia" w:ascii="宋体" w:hAnsi="宋体"/>
                <w:color w:val="000000" w:themeColor="text1"/>
                <w:szCs w:val="21"/>
                <w:lang w:bidi="ar"/>
                <w14:textFill>
                  <w14:solidFill>
                    <w14:schemeClr w14:val="tx1"/>
                  </w14:solidFill>
                </w14:textFill>
              </w:rPr>
              <w:t>325.56</w:t>
            </w:r>
          </w:p>
        </w:tc>
      </w:tr>
      <w:tr w14:paraId="6BD4B6F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41" w:type="pct"/>
            <w:vAlign w:val="center"/>
          </w:tcPr>
          <w:p w14:paraId="2D5235AD">
            <w:pPr>
              <w:pStyle w:val="45"/>
              <w:widowControl w:val="0"/>
              <w:adjustRightInd w:val="0"/>
              <w:snapToGrid w:val="0"/>
              <w:spacing w:line="240" w:lineRule="exact"/>
              <w:jc w:val="center"/>
              <w:rPr>
                <w:rFonts w:hint="eastAsia" w:ascii="宋体" w:hAnsi="宋体"/>
                <w:color w:val="000000" w:themeColor="text1"/>
                <w:kern w:val="2"/>
                <w:sz w:val="21"/>
                <w:szCs w:val="21"/>
                <w:lang w:bidi="ar"/>
                <w14:textFill>
                  <w14:solidFill>
                    <w14:schemeClr w14:val="tx1"/>
                  </w14:solidFill>
                </w14:textFill>
              </w:rPr>
            </w:pPr>
            <w:r>
              <w:rPr>
                <w:rFonts w:hint="eastAsia" w:ascii="宋体" w:hAnsi="宋体"/>
                <w:color w:val="000000" w:themeColor="text1"/>
                <w:sz w:val="21"/>
                <w:szCs w:val="21"/>
                <w14:textFill>
                  <w14:solidFill>
                    <w14:schemeClr w14:val="tx1"/>
                  </w14:solidFill>
                </w14:textFill>
              </w:rPr>
              <w:t>化学需氧量</w:t>
            </w:r>
          </w:p>
        </w:tc>
        <w:tc>
          <w:tcPr>
            <w:tcW w:w="1585" w:type="pct"/>
            <w:vAlign w:val="center"/>
          </w:tcPr>
          <w:p w14:paraId="45E1FED8">
            <w:pPr>
              <w:pStyle w:val="45"/>
              <w:widowControl w:val="0"/>
              <w:adjustRightInd w:val="0"/>
              <w:snapToGrid w:val="0"/>
              <w:spacing w:line="240" w:lineRule="exact"/>
              <w:jc w:val="center"/>
              <w:rPr>
                <w:rFonts w:hint="eastAsia" w:ascii="宋体" w:hAnsi="宋体"/>
                <w:color w:val="000000" w:themeColor="text1"/>
                <w:sz w:val="21"/>
                <w:szCs w:val="21"/>
                <w14:textFill>
                  <w14:solidFill>
                    <w14:schemeClr w14:val="tx1"/>
                  </w14:solidFill>
                </w14:textFill>
              </w:rPr>
            </w:pPr>
            <w:r>
              <w:rPr>
                <w:rFonts w:hint="eastAsia" w:ascii="宋体" w:hAnsi="宋体"/>
                <w:color w:val="000000" w:themeColor="text1"/>
                <w:kern w:val="2"/>
                <w:sz w:val="21"/>
                <w:szCs w:val="21"/>
                <w:lang w:bidi="ar"/>
                <w14:textFill>
                  <w14:solidFill>
                    <w14:schemeClr w14:val="tx1"/>
                  </w14:solidFill>
                </w14:textFill>
              </w:rPr>
              <w:t>34679</w:t>
            </w:r>
            <w:r>
              <w:rPr>
                <w:rFonts w:ascii="宋体" w:hAnsi="宋体"/>
                <w:color w:val="000000" w:themeColor="text1"/>
                <w:kern w:val="2"/>
                <w:sz w:val="21"/>
                <w:szCs w:val="21"/>
                <w:lang w:bidi="ar"/>
                <w14:textFill>
                  <w14:solidFill>
                    <w14:schemeClr w14:val="tx1"/>
                  </w14:solidFill>
                </w14:textFill>
              </w:rPr>
              <w:t>g</w:t>
            </w:r>
            <w:r>
              <w:rPr>
                <w:rFonts w:hint="eastAsia" w:ascii="宋体" w:hAnsi="宋体"/>
                <w:color w:val="000000" w:themeColor="text1"/>
                <w:sz w:val="21"/>
                <w:szCs w:val="21"/>
                <w14:textFill>
                  <w14:solidFill>
                    <w14:schemeClr w14:val="tx1"/>
                  </w14:solidFill>
                </w14:textFill>
              </w:rPr>
              <w:t>/井次-产品</w:t>
            </w:r>
          </w:p>
        </w:tc>
        <w:tc>
          <w:tcPr>
            <w:tcW w:w="2374" w:type="pct"/>
            <w:vAlign w:val="center"/>
          </w:tcPr>
          <w:p w14:paraId="09FA8BE0">
            <w:pPr>
              <w:widowControl/>
              <w:jc w:val="center"/>
              <w:textAlignment w:val="center"/>
              <w:rPr>
                <w:rFonts w:hint="eastAsia" w:ascii="宋体" w:hAnsi="宋体"/>
                <w:color w:val="000000" w:themeColor="text1"/>
                <w:szCs w:val="21"/>
                <w:lang w:bidi="ar"/>
                <w14:textFill>
                  <w14:solidFill>
                    <w14:schemeClr w14:val="tx1"/>
                  </w14:solidFill>
                </w14:textFill>
              </w:rPr>
            </w:pPr>
            <w:r>
              <w:rPr>
                <w:rFonts w:hint="eastAsia" w:ascii="宋体" w:hAnsi="宋体"/>
                <w:color w:val="000000" w:themeColor="text1"/>
                <w:szCs w:val="21"/>
                <w:lang w:bidi="ar"/>
                <w14:textFill>
                  <w14:solidFill>
                    <w14:schemeClr w14:val="tx1"/>
                  </w14:solidFill>
                </w14:textFill>
              </w:rPr>
              <w:t>0.416</w:t>
            </w:r>
          </w:p>
        </w:tc>
      </w:tr>
      <w:tr w14:paraId="049109F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41" w:type="pct"/>
            <w:vAlign w:val="center"/>
          </w:tcPr>
          <w:p w14:paraId="5A7BEA1C">
            <w:pPr>
              <w:pStyle w:val="45"/>
              <w:widowControl w:val="0"/>
              <w:adjustRightInd w:val="0"/>
              <w:snapToGrid w:val="0"/>
              <w:spacing w:line="240" w:lineRule="exact"/>
              <w:jc w:val="center"/>
              <w:rPr>
                <w:rFonts w:hint="eastAsia" w:ascii="宋体" w:hAnsi="宋体"/>
                <w:color w:val="000000" w:themeColor="text1"/>
                <w:sz w:val="21"/>
                <w:szCs w:val="21"/>
                <w14:textFill>
                  <w14:solidFill>
                    <w14:schemeClr w14:val="tx1"/>
                  </w14:solidFill>
                </w14:textFill>
              </w:rPr>
            </w:pPr>
            <w:r>
              <w:rPr>
                <w:rFonts w:hint="eastAsia" w:ascii="宋体" w:hAnsi="宋体"/>
                <w:color w:val="000000" w:themeColor="text1"/>
                <w:sz w:val="21"/>
                <w:szCs w:val="21"/>
                <w14:textFill>
                  <w14:solidFill>
                    <w14:schemeClr w14:val="tx1"/>
                  </w14:solidFill>
                </w14:textFill>
              </w:rPr>
              <w:t>石油类</w:t>
            </w:r>
          </w:p>
        </w:tc>
        <w:tc>
          <w:tcPr>
            <w:tcW w:w="1585" w:type="pct"/>
            <w:vAlign w:val="center"/>
          </w:tcPr>
          <w:p w14:paraId="5ED11FFE">
            <w:pPr>
              <w:pStyle w:val="45"/>
              <w:widowControl w:val="0"/>
              <w:adjustRightInd w:val="0"/>
              <w:snapToGrid w:val="0"/>
              <w:spacing w:line="240" w:lineRule="exact"/>
              <w:jc w:val="center"/>
              <w:rPr>
                <w:rFonts w:hint="eastAsia" w:ascii="宋体" w:hAnsi="宋体"/>
                <w:color w:val="000000" w:themeColor="text1"/>
                <w:sz w:val="21"/>
                <w:szCs w:val="21"/>
                <w14:textFill>
                  <w14:solidFill>
                    <w14:schemeClr w14:val="tx1"/>
                  </w14:solidFill>
                </w14:textFill>
              </w:rPr>
            </w:pPr>
            <w:r>
              <w:rPr>
                <w:rFonts w:hint="eastAsia" w:ascii="宋体" w:hAnsi="宋体"/>
                <w:color w:val="000000" w:themeColor="text1"/>
                <w:kern w:val="2"/>
                <w:sz w:val="21"/>
                <w:szCs w:val="21"/>
                <w:lang w:bidi="ar"/>
                <w14:textFill>
                  <w14:solidFill>
                    <w14:schemeClr w14:val="tx1"/>
                  </w14:solidFill>
                </w14:textFill>
              </w:rPr>
              <w:t>6122g/井次-产品</w:t>
            </w:r>
          </w:p>
        </w:tc>
        <w:tc>
          <w:tcPr>
            <w:tcW w:w="2374" w:type="pct"/>
            <w:vAlign w:val="center"/>
          </w:tcPr>
          <w:p w14:paraId="17C53BBA">
            <w:pPr>
              <w:widowControl/>
              <w:jc w:val="center"/>
              <w:textAlignment w:val="center"/>
              <w:rPr>
                <w:rFonts w:hint="eastAsia" w:ascii="宋体" w:hAnsi="宋体"/>
                <w:color w:val="000000" w:themeColor="text1"/>
                <w:szCs w:val="21"/>
                <w:lang w:bidi="ar"/>
                <w14:textFill>
                  <w14:solidFill>
                    <w14:schemeClr w14:val="tx1"/>
                  </w14:solidFill>
                </w14:textFill>
              </w:rPr>
            </w:pPr>
            <w:r>
              <w:rPr>
                <w:rFonts w:hint="eastAsia" w:ascii="宋体" w:hAnsi="宋体"/>
                <w:color w:val="000000" w:themeColor="text1"/>
                <w:szCs w:val="21"/>
                <w:lang w:bidi="ar"/>
                <w14:textFill>
                  <w14:solidFill>
                    <w14:schemeClr w14:val="tx1"/>
                  </w14:solidFill>
                </w14:textFill>
              </w:rPr>
              <w:t>0.073</w:t>
            </w:r>
          </w:p>
        </w:tc>
      </w:tr>
      <w:bookmarkEnd w:id="334"/>
      <w:bookmarkEnd w:id="335"/>
    </w:tbl>
    <w:p w14:paraId="4B390A53">
      <w:pPr>
        <w:pStyle w:val="117"/>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②井下作业废液</w:t>
      </w:r>
    </w:p>
    <w:p w14:paraId="664DDCB4">
      <w:pPr>
        <w:pStyle w:val="117"/>
        <w:ind w:firstLine="480"/>
        <w:rPr>
          <w:rFonts w:hint="eastAsia" w:ascii="黑体" w:hAnsi="黑体"/>
          <w:color w:val="000000" w:themeColor="text1"/>
          <w:szCs w:val="21"/>
          <w14:textFill>
            <w14:solidFill>
              <w14:schemeClr w14:val="tx1"/>
            </w14:solidFill>
          </w14:textFill>
        </w:rPr>
      </w:pPr>
      <w:r>
        <w:rPr>
          <w:rFonts w:hint="eastAsia" w:cs="宋体"/>
          <w:color w:val="000000" w:themeColor="text1"/>
          <w14:textFill>
            <w14:solidFill>
              <w14:schemeClr w14:val="tx1"/>
            </w14:solidFill>
          </w14:textFill>
        </w:rPr>
        <w:t>注气井户和注水井不进行压裂作业，无井下作业废液产生；注采井井下作业进行压裂工序时，根据建设单位提供资料可知，压裂过程中不使用酸化液，故无酸化压裂返排液产生，压裂时会产生一定的压裂返排液，修井时会产生一定的废洗井液，</w:t>
      </w:r>
      <w:r>
        <w:rPr>
          <w:rFonts w:hint="eastAsia"/>
          <w:color w:val="000000" w:themeColor="text1"/>
          <w14:textFill>
            <w14:solidFill>
              <w14:schemeClr w14:val="tx1"/>
            </w14:solidFill>
          </w14:textFill>
        </w:rPr>
        <w:t>井下作业废液主要包括压裂返排液和废洗井液，</w:t>
      </w:r>
      <w:r>
        <w:rPr>
          <w:rFonts w:hint="eastAsia" w:cs="宋体"/>
          <w:color w:val="000000" w:themeColor="text1"/>
          <w14:textFill>
            <w14:solidFill>
              <w14:schemeClr w14:val="tx1"/>
            </w14:solidFill>
          </w14:textFill>
        </w:rPr>
        <w:t>其产生量无相应的源强核算指南，本次评价</w:t>
      </w:r>
      <w:r>
        <w:rPr>
          <w:rFonts w:hint="eastAsia"/>
          <w:color w:val="000000" w:themeColor="text1"/>
          <w14:textFill>
            <w14:solidFill>
              <w14:schemeClr w14:val="tx1"/>
            </w14:solidFill>
          </w14:textFill>
        </w:rPr>
        <w:t>采用《排放源统计调查产排污核算方法和系数手册》中的《工业源产排污核算方法和系数手册》</w:t>
      </w:r>
      <w:r>
        <w:rPr>
          <w:color w:val="000000" w:themeColor="text1"/>
          <w14:textFill>
            <w14:solidFill>
              <w14:schemeClr w14:val="tx1"/>
            </w14:solidFill>
          </w14:textFill>
        </w:rPr>
        <w:t>-1120</w:t>
      </w:r>
      <w:r>
        <w:rPr>
          <w:rFonts w:hint="eastAsia"/>
          <w:color w:val="000000" w:themeColor="text1"/>
          <w14:textFill>
            <w14:solidFill>
              <w14:schemeClr w14:val="tx1"/>
            </w14:solidFill>
          </w14:textFill>
        </w:rPr>
        <w:t>石油和天然气开采专业及辅助性活动行业系数手册中的产排污系数进行核算</w:t>
      </w:r>
      <w:r>
        <w:rPr>
          <w:rFonts w:hint="eastAsia" w:cs="宋体"/>
          <w:color w:val="000000" w:themeColor="text1"/>
          <w14:textFill>
            <w14:solidFill>
              <w14:schemeClr w14:val="tx1"/>
            </w14:solidFill>
          </w14:textFill>
        </w:rPr>
        <w:t>，产污系数见表</w:t>
      </w:r>
      <w:r>
        <w:rPr>
          <w:color w:val="000000" w:themeColor="text1"/>
          <w14:textFill>
            <w14:solidFill>
              <w14:schemeClr w14:val="tx1"/>
            </w14:solidFill>
          </w14:textFill>
        </w:rPr>
        <w:t>3.3</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1</w:t>
      </w:r>
      <w:r>
        <w:rPr>
          <w:rFonts w:hint="eastAsia"/>
          <w:color w:val="000000" w:themeColor="text1"/>
          <w14:textFill>
            <w14:solidFill>
              <w14:schemeClr w14:val="tx1"/>
            </w14:solidFill>
          </w14:textFill>
        </w:rPr>
        <w:t>1。</w:t>
      </w:r>
    </w:p>
    <w:p w14:paraId="5418DB54">
      <w:pPr>
        <w:pStyle w:val="15"/>
        <w:rPr>
          <w:rFonts w:hint="eastAsia" w:ascii="黑体" w:hAnsi="黑体"/>
          <w:color w:val="000000" w:themeColor="text1"/>
          <w:szCs w:val="21"/>
          <w14:textFill>
            <w14:solidFill>
              <w14:schemeClr w14:val="tx1"/>
            </w14:solidFill>
          </w14:textFill>
        </w:rPr>
      </w:pPr>
      <w:r>
        <w:rPr>
          <w:rFonts w:hint="eastAsia" w:ascii="黑体" w:hAnsi="黑体"/>
          <w:color w:val="000000" w:themeColor="text1"/>
          <w:szCs w:val="21"/>
          <w14:textFill>
            <w14:solidFill>
              <w14:schemeClr w14:val="tx1"/>
            </w14:solidFill>
          </w14:textFill>
        </w:rPr>
        <w:t>表</w:t>
      </w:r>
      <w:r>
        <w:rPr>
          <w:rFonts w:ascii="黑体" w:hAnsi="黑体"/>
          <w:color w:val="000000" w:themeColor="text1"/>
          <w:szCs w:val="21"/>
          <w14:textFill>
            <w14:solidFill>
              <w14:schemeClr w14:val="tx1"/>
            </w14:solidFill>
          </w14:textFill>
        </w:rPr>
        <w:t>3.3</w:t>
      </w:r>
      <w:r>
        <w:rPr>
          <w:rFonts w:hint="eastAsia" w:ascii="黑体" w:hAnsi="黑体"/>
          <w:color w:val="000000" w:themeColor="text1"/>
          <w:szCs w:val="21"/>
          <w14:textFill>
            <w14:solidFill>
              <w14:schemeClr w14:val="tx1"/>
            </w14:solidFill>
          </w14:textFill>
        </w:rPr>
        <w:t>-</w:t>
      </w:r>
      <w:r>
        <w:rPr>
          <w:rFonts w:ascii="黑体" w:hAnsi="黑体"/>
          <w:color w:val="000000" w:themeColor="text1"/>
          <w:szCs w:val="21"/>
          <w14:textFill>
            <w14:solidFill>
              <w14:schemeClr w14:val="tx1"/>
            </w14:solidFill>
          </w14:textFill>
        </w:rPr>
        <w:t>1</w:t>
      </w:r>
      <w:r>
        <w:rPr>
          <w:rFonts w:hint="eastAsia" w:ascii="黑体" w:hAnsi="黑体"/>
          <w:color w:val="000000" w:themeColor="text1"/>
          <w:szCs w:val="21"/>
          <w14:textFill>
            <w14:solidFill>
              <w14:schemeClr w14:val="tx1"/>
            </w14:solidFill>
          </w14:textFill>
        </w:rPr>
        <w:t xml:space="preserve">1 </w:t>
      </w:r>
      <w:r>
        <w:rPr>
          <w:rFonts w:ascii="黑体" w:hAnsi="黑体"/>
          <w:color w:val="000000" w:themeColor="text1"/>
          <w:szCs w:val="21"/>
          <w14:textFill>
            <w14:solidFill>
              <w14:schemeClr w14:val="tx1"/>
            </w14:solidFill>
          </w14:textFill>
        </w:rPr>
        <w:t xml:space="preserve"> </w:t>
      </w:r>
      <w:r>
        <w:rPr>
          <w:rFonts w:hint="eastAsia" w:ascii="黑体" w:hAnsi="黑体"/>
          <w:color w:val="000000" w:themeColor="text1"/>
          <w:szCs w:val="21"/>
          <w14:textFill>
            <w14:solidFill>
              <w14:schemeClr w14:val="tx1"/>
            </w14:solidFill>
          </w14:textFill>
        </w:rPr>
        <w:t>压裂返排液及废洗井液产生量一览表</w:t>
      </w:r>
    </w:p>
    <w:tbl>
      <w:tblPr>
        <w:tblStyle w:val="51"/>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369"/>
        <w:gridCol w:w="1818"/>
        <w:gridCol w:w="2827"/>
        <w:gridCol w:w="2932"/>
      </w:tblGrid>
      <w:tr w14:paraId="7FF4A64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781" w:type="pct"/>
            <w:gridSpan w:val="2"/>
            <w:vAlign w:val="center"/>
          </w:tcPr>
          <w:p w14:paraId="58A2FB9B">
            <w:pPr>
              <w:pStyle w:val="286"/>
              <w:adjustRightInd w:val="0"/>
              <w:snapToGrid w:val="0"/>
              <w:rPr>
                <w:rFonts w:hint="eastAsia" w:cs="Arial"/>
                <w:color w:val="000000" w:themeColor="text1"/>
                <w:kern w:val="2"/>
                <w:sz w:val="21"/>
                <w14:textFill>
                  <w14:solidFill>
                    <w14:schemeClr w14:val="tx1"/>
                  </w14:solidFill>
                </w14:textFill>
              </w:rPr>
            </w:pPr>
            <w:r>
              <w:rPr>
                <w:rFonts w:hint="eastAsia" w:cs="Arial"/>
                <w:color w:val="000000" w:themeColor="text1"/>
                <w:kern w:val="2"/>
                <w:sz w:val="21"/>
                <w14:textFill>
                  <w14:solidFill>
                    <w14:schemeClr w14:val="tx1"/>
                  </w14:solidFill>
                </w14:textFill>
              </w:rPr>
              <w:t>污染物名称</w:t>
            </w:r>
          </w:p>
        </w:tc>
        <w:tc>
          <w:tcPr>
            <w:tcW w:w="1580" w:type="pct"/>
            <w:vAlign w:val="center"/>
          </w:tcPr>
          <w:p w14:paraId="7F9B5E31">
            <w:pPr>
              <w:pStyle w:val="286"/>
              <w:adjustRightInd w:val="0"/>
              <w:snapToGrid w:val="0"/>
              <w:rPr>
                <w:rFonts w:hint="eastAsia" w:cs="Arial"/>
                <w:color w:val="000000" w:themeColor="text1"/>
                <w:kern w:val="2"/>
                <w:sz w:val="21"/>
                <w14:textFill>
                  <w14:solidFill>
                    <w14:schemeClr w14:val="tx1"/>
                  </w14:solidFill>
                </w14:textFill>
              </w:rPr>
            </w:pPr>
            <w:r>
              <w:rPr>
                <w:rFonts w:hint="eastAsia" w:cs="Arial"/>
                <w:color w:val="000000" w:themeColor="text1"/>
                <w:kern w:val="2"/>
                <w:sz w:val="21"/>
                <w14:textFill>
                  <w14:solidFill>
                    <w14:schemeClr w14:val="tx1"/>
                  </w14:solidFill>
                </w14:textFill>
              </w:rPr>
              <w:t>产污系数</w:t>
            </w:r>
          </w:p>
        </w:tc>
        <w:tc>
          <w:tcPr>
            <w:tcW w:w="1639" w:type="pct"/>
            <w:vAlign w:val="center"/>
          </w:tcPr>
          <w:p w14:paraId="06798BCB">
            <w:pPr>
              <w:pStyle w:val="286"/>
              <w:adjustRightInd w:val="0"/>
              <w:snapToGrid w:val="0"/>
              <w:rPr>
                <w:rFonts w:hint="eastAsia" w:cs="Arial"/>
                <w:color w:val="000000" w:themeColor="text1"/>
                <w:kern w:val="2"/>
                <w:sz w:val="21"/>
                <w14:textFill>
                  <w14:solidFill>
                    <w14:schemeClr w14:val="tx1"/>
                  </w14:solidFill>
                </w14:textFill>
              </w:rPr>
            </w:pPr>
            <w:r>
              <w:rPr>
                <w:rFonts w:hint="eastAsia" w:cs="Arial"/>
                <w:color w:val="000000" w:themeColor="text1"/>
                <w:kern w:val="2"/>
                <w:sz w:val="21"/>
                <w14:textFill>
                  <w14:solidFill>
                    <w14:schemeClr w14:val="tx1"/>
                  </w14:solidFill>
                </w14:textFill>
              </w:rPr>
              <w:t>9口井合计产生量</w:t>
            </w:r>
          </w:p>
        </w:tc>
      </w:tr>
      <w:tr w14:paraId="0C7F261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65" w:type="pct"/>
            <w:vMerge w:val="restart"/>
            <w:vAlign w:val="center"/>
          </w:tcPr>
          <w:p w14:paraId="679D3469">
            <w:pPr>
              <w:pStyle w:val="286"/>
              <w:adjustRightInd w:val="0"/>
              <w:snapToGrid w:val="0"/>
              <w:rPr>
                <w:rFonts w:hint="eastAsia" w:cs="Arial"/>
                <w:color w:val="000000" w:themeColor="text1"/>
                <w:kern w:val="2"/>
                <w:sz w:val="21"/>
                <w14:textFill>
                  <w14:solidFill>
                    <w14:schemeClr w14:val="tx1"/>
                  </w14:solidFill>
                </w14:textFill>
              </w:rPr>
            </w:pPr>
            <w:bookmarkStart w:id="336" w:name="_Hlk174010636"/>
            <w:r>
              <w:rPr>
                <w:rFonts w:hint="eastAsia" w:cs="Arial"/>
                <w:color w:val="000000" w:themeColor="text1"/>
                <w:kern w:val="2"/>
                <w:sz w:val="21"/>
                <w14:textFill>
                  <w14:solidFill>
                    <w14:schemeClr w14:val="tx1"/>
                  </w14:solidFill>
                </w14:textFill>
              </w:rPr>
              <w:t>低渗透油井</w:t>
            </w:r>
          </w:p>
        </w:tc>
        <w:tc>
          <w:tcPr>
            <w:tcW w:w="1016" w:type="pct"/>
            <w:vAlign w:val="center"/>
          </w:tcPr>
          <w:p w14:paraId="14F088F9">
            <w:pPr>
              <w:pStyle w:val="286"/>
              <w:adjustRightInd w:val="0"/>
              <w:snapToGrid w:val="0"/>
              <w:rPr>
                <w:rFonts w:hint="eastAsia" w:cs="Arial"/>
                <w:color w:val="000000" w:themeColor="text1"/>
                <w:kern w:val="2"/>
                <w:sz w:val="21"/>
                <w14:textFill>
                  <w14:solidFill>
                    <w14:schemeClr w14:val="tx1"/>
                  </w14:solidFill>
                </w14:textFill>
              </w:rPr>
            </w:pPr>
            <w:r>
              <w:rPr>
                <w:rFonts w:hint="eastAsia" w:cs="Arial"/>
                <w:color w:val="000000" w:themeColor="text1"/>
                <w:kern w:val="2"/>
                <w:sz w:val="21"/>
                <w14:textFill>
                  <w14:solidFill>
                    <w14:schemeClr w14:val="tx1"/>
                  </w14:solidFill>
                </w14:textFill>
              </w:rPr>
              <w:t>压裂返排液</w:t>
            </w:r>
          </w:p>
        </w:tc>
        <w:tc>
          <w:tcPr>
            <w:tcW w:w="1580" w:type="pct"/>
            <w:vAlign w:val="center"/>
          </w:tcPr>
          <w:p w14:paraId="6AC3705A">
            <w:pPr>
              <w:pStyle w:val="286"/>
              <w:adjustRightInd w:val="0"/>
              <w:snapToGrid w:val="0"/>
              <w:rPr>
                <w:rFonts w:hint="eastAsia" w:cs="Arial"/>
                <w:color w:val="000000" w:themeColor="text1"/>
                <w:kern w:val="2"/>
                <w:sz w:val="21"/>
                <w14:textFill>
                  <w14:solidFill>
                    <w14:schemeClr w14:val="tx1"/>
                  </w14:solidFill>
                </w14:textFill>
              </w:rPr>
            </w:pPr>
            <w:r>
              <w:rPr>
                <w:rFonts w:hint="eastAsia" w:cs="Arial"/>
                <w:color w:val="000000" w:themeColor="text1"/>
                <w:kern w:val="2"/>
                <w:sz w:val="21"/>
                <w14:textFill>
                  <w14:solidFill>
                    <w14:schemeClr w14:val="tx1"/>
                  </w14:solidFill>
                </w14:textFill>
              </w:rPr>
              <w:t>153.21m</w:t>
            </w:r>
            <w:r>
              <w:rPr>
                <w:rFonts w:hint="eastAsia" w:cs="Arial"/>
                <w:color w:val="000000" w:themeColor="text1"/>
                <w:kern w:val="2"/>
                <w:sz w:val="21"/>
                <w:vertAlign w:val="superscript"/>
                <w14:textFill>
                  <w14:solidFill>
                    <w14:schemeClr w14:val="tx1"/>
                  </w14:solidFill>
                </w14:textFill>
              </w:rPr>
              <w:t>3</w:t>
            </w:r>
            <w:r>
              <w:rPr>
                <w:rFonts w:hint="eastAsia" w:cs="Arial"/>
                <w:color w:val="000000" w:themeColor="text1"/>
                <w:kern w:val="2"/>
                <w:sz w:val="21"/>
                <w14:textFill>
                  <w14:solidFill>
                    <w14:schemeClr w14:val="tx1"/>
                  </w14:solidFill>
                </w14:textFill>
              </w:rPr>
              <w:t>/井·次</w:t>
            </w:r>
          </w:p>
        </w:tc>
        <w:tc>
          <w:tcPr>
            <w:tcW w:w="1639" w:type="pct"/>
            <w:vAlign w:val="center"/>
          </w:tcPr>
          <w:p w14:paraId="66BA19DD">
            <w:pPr>
              <w:pStyle w:val="286"/>
              <w:adjustRightInd w:val="0"/>
              <w:snapToGrid w:val="0"/>
              <w:rPr>
                <w:rFonts w:hint="eastAsia" w:cs="Arial"/>
                <w:color w:val="000000" w:themeColor="text1"/>
                <w:kern w:val="2"/>
                <w:sz w:val="21"/>
                <w14:textFill>
                  <w14:solidFill>
                    <w14:schemeClr w14:val="tx1"/>
                  </w14:solidFill>
                </w14:textFill>
              </w:rPr>
            </w:pPr>
            <w:bookmarkStart w:id="337" w:name="OLE_LINK68"/>
            <w:r>
              <w:rPr>
                <w:rFonts w:hint="eastAsia" w:cs="宋体"/>
                <w:color w:val="000000" w:themeColor="text1"/>
                <w:sz w:val="21"/>
                <w14:textFill>
                  <w14:solidFill>
                    <w14:schemeClr w14:val="tx1"/>
                  </w14:solidFill>
                </w14:textFill>
              </w:rPr>
              <w:t>1378.89m</w:t>
            </w:r>
            <w:r>
              <w:rPr>
                <w:rFonts w:hint="eastAsia" w:cs="宋体"/>
                <w:color w:val="000000" w:themeColor="text1"/>
                <w:sz w:val="21"/>
                <w:vertAlign w:val="superscript"/>
                <w14:textFill>
                  <w14:solidFill>
                    <w14:schemeClr w14:val="tx1"/>
                  </w14:solidFill>
                </w14:textFill>
              </w:rPr>
              <w:t>3</w:t>
            </w:r>
            <w:r>
              <w:rPr>
                <w:rFonts w:hint="eastAsia" w:cs="宋体"/>
                <w:color w:val="000000" w:themeColor="text1"/>
                <w:sz w:val="21"/>
                <w14:textFill>
                  <w14:solidFill>
                    <w14:schemeClr w14:val="tx1"/>
                  </w14:solidFill>
                </w14:textFill>
              </w:rPr>
              <w:t>/a</w:t>
            </w:r>
            <w:bookmarkEnd w:id="337"/>
          </w:p>
        </w:tc>
      </w:tr>
      <w:tr w14:paraId="7563A37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65" w:type="pct"/>
            <w:vMerge w:val="continue"/>
            <w:vAlign w:val="center"/>
          </w:tcPr>
          <w:p w14:paraId="04E48B3C">
            <w:pPr>
              <w:pStyle w:val="286"/>
              <w:adjustRightInd w:val="0"/>
              <w:snapToGrid w:val="0"/>
              <w:rPr>
                <w:rFonts w:hint="eastAsia"/>
                <w:color w:val="000000" w:themeColor="text1"/>
                <w:sz w:val="21"/>
                <w14:textFill>
                  <w14:solidFill>
                    <w14:schemeClr w14:val="tx1"/>
                  </w14:solidFill>
                </w14:textFill>
              </w:rPr>
            </w:pPr>
          </w:p>
        </w:tc>
        <w:tc>
          <w:tcPr>
            <w:tcW w:w="1016" w:type="pct"/>
            <w:vAlign w:val="center"/>
          </w:tcPr>
          <w:p w14:paraId="4EBE3897">
            <w:pPr>
              <w:pStyle w:val="286"/>
              <w:adjustRightInd w:val="0"/>
              <w:snapToGrid w:val="0"/>
              <w:rPr>
                <w:rFonts w:hint="eastAsia"/>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废洗井液</w:t>
            </w:r>
          </w:p>
        </w:tc>
        <w:tc>
          <w:tcPr>
            <w:tcW w:w="1580" w:type="pct"/>
            <w:vAlign w:val="center"/>
          </w:tcPr>
          <w:p w14:paraId="728DD0BE">
            <w:pPr>
              <w:pStyle w:val="286"/>
              <w:adjustRightInd w:val="0"/>
              <w:snapToGrid w:val="0"/>
              <w:rPr>
                <w:rFonts w:hint="eastAsia" w:cs="Arial"/>
                <w:color w:val="000000" w:themeColor="text1"/>
                <w:kern w:val="2"/>
                <w:sz w:val="21"/>
                <w14:textFill>
                  <w14:solidFill>
                    <w14:schemeClr w14:val="tx1"/>
                  </w14:solidFill>
                </w14:textFill>
              </w:rPr>
            </w:pPr>
            <w:r>
              <w:rPr>
                <w:rFonts w:hint="eastAsia" w:cs="Arial"/>
                <w:color w:val="000000" w:themeColor="text1"/>
                <w:kern w:val="2"/>
                <w:sz w:val="21"/>
                <w14:textFill>
                  <w14:solidFill>
                    <w14:schemeClr w14:val="tx1"/>
                  </w14:solidFill>
                </w14:textFill>
              </w:rPr>
              <w:t>2</w:t>
            </w:r>
            <w:r>
              <w:rPr>
                <w:rFonts w:cs="Arial"/>
                <w:color w:val="000000" w:themeColor="text1"/>
                <w:kern w:val="2"/>
                <w:sz w:val="21"/>
                <w14:textFill>
                  <w14:solidFill>
                    <w14:schemeClr w14:val="tx1"/>
                  </w14:solidFill>
                </w14:textFill>
              </w:rPr>
              <w:t>5.29</w:t>
            </w:r>
            <w:r>
              <w:rPr>
                <w:rFonts w:hint="eastAsia" w:cs="Arial"/>
                <w:color w:val="000000" w:themeColor="text1"/>
                <w:kern w:val="2"/>
                <w:sz w:val="21"/>
                <w14:textFill>
                  <w14:solidFill>
                    <w14:schemeClr w14:val="tx1"/>
                  </w14:solidFill>
                </w14:textFill>
              </w:rPr>
              <w:t>t</w:t>
            </w:r>
            <w:r>
              <w:rPr>
                <w:rFonts w:cs="Arial"/>
                <w:color w:val="000000" w:themeColor="text1"/>
                <w:kern w:val="2"/>
                <w:sz w:val="21"/>
                <w14:textFill>
                  <w14:solidFill>
                    <w14:schemeClr w14:val="tx1"/>
                  </w14:solidFill>
                </w14:textFill>
              </w:rPr>
              <w:t>/</w:t>
            </w:r>
            <w:r>
              <w:rPr>
                <w:rFonts w:hint="eastAsia" w:cs="Arial"/>
                <w:color w:val="000000" w:themeColor="text1"/>
                <w:kern w:val="2"/>
                <w:sz w:val="21"/>
                <w14:textFill>
                  <w14:solidFill>
                    <w14:schemeClr w14:val="tx1"/>
                  </w14:solidFill>
                </w14:textFill>
              </w:rPr>
              <w:t>井</w:t>
            </w:r>
          </w:p>
        </w:tc>
        <w:tc>
          <w:tcPr>
            <w:tcW w:w="1639" w:type="pct"/>
            <w:vAlign w:val="center"/>
          </w:tcPr>
          <w:p w14:paraId="458E0BB3">
            <w:pPr>
              <w:pStyle w:val="286"/>
              <w:adjustRightInd w:val="0"/>
              <w:snapToGrid w:val="0"/>
              <w:rPr>
                <w:rFonts w:hint="eastAsia" w:cs="Arial"/>
                <w:color w:val="000000" w:themeColor="text1"/>
                <w:kern w:val="2"/>
                <w:sz w:val="21"/>
                <w14:textFill>
                  <w14:solidFill>
                    <w14:schemeClr w14:val="tx1"/>
                  </w14:solidFill>
                </w14:textFill>
              </w:rPr>
            </w:pPr>
            <w:bookmarkStart w:id="338" w:name="OLE_LINK70"/>
            <w:r>
              <w:rPr>
                <w:rFonts w:hint="eastAsia" w:cs="Arial"/>
                <w:color w:val="000000" w:themeColor="text1"/>
                <w:kern w:val="2"/>
                <w:sz w:val="21"/>
                <w14:textFill>
                  <w14:solidFill>
                    <w14:schemeClr w14:val="tx1"/>
                  </w14:solidFill>
                </w14:textFill>
              </w:rPr>
              <w:t>227.61t/</w:t>
            </w:r>
            <w:r>
              <w:rPr>
                <w:rFonts w:cs="Arial"/>
                <w:color w:val="000000" w:themeColor="text1"/>
                <w:kern w:val="2"/>
                <w:sz w:val="21"/>
                <w14:textFill>
                  <w14:solidFill>
                    <w14:schemeClr w14:val="tx1"/>
                  </w14:solidFill>
                </w14:textFill>
              </w:rPr>
              <w:t>a</w:t>
            </w:r>
            <w:bookmarkEnd w:id="338"/>
          </w:p>
        </w:tc>
      </w:tr>
      <w:bookmarkEnd w:id="336"/>
    </w:tbl>
    <w:p w14:paraId="0A8343CF">
      <w:pPr>
        <w:pStyle w:val="117"/>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压裂返排液及废洗井液收集至专用储罐中，由罐车拉运至压裂返排液处理系统处理，出水水质达到</w:t>
      </w:r>
      <w:r>
        <w:rPr>
          <w:rFonts w:hint="eastAsia"/>
          <w:color w:val="000000" w:themeColor="text1"/>
          <w:lang w:val="zh-CN"/>
          <w14:textFill>
            <w14:solidFill>
              <w14:schemeClr w14:val="tx1"/>
            </w14:solidFill>
          </w14:textFill>
        </w:rPr>
        <w:t>《压裂酸化返排液处理技术规范》（Q/SY02012-2016）</w:t>
      </w:r>
      <w:r>
        <w:rPr>
          <w:rFonts w:hint="eastAsia"/>
          <w:color w:val="000000" w:themeColor="text1"/>
          <w14:textFill>
            <w14:solidFill>
              <w14:schemeClr w14:val="tx1"/>
            </w14:solidFill>
          </w14:textFill>
        </w:rPr>
        <w:t>后用于压裂液复配。</w:t>
      </w:r>
    </w:p>
    <w:bookmarkEnd w:id="331"/>
    <w:p w14:paraId="68CD1092">
      <w:pPr>
        <w:adjustRightInd w:val="0"/>
        <w:snapToGrid w:val="0"/>
        <w:spacing w:line="500" w:lineRule="exact"/>
        <w:ind w:firstLine="480" w:firstLineChars="200"/>
        <w:jc w:val="left"/>
        <w:textAlignment w:val="baseline"/>
        <w:rPr>
          <w:rFonts w:hint="eastAsia"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③装置排污水</w:t>
      </w:r>
    </w:p>
    <w:p w14:paraId="1E01AFF8">
      <w:pPr>
        <w:adjustRightInd w:val="0"/>
        <w:snapToGrid w:val="0"/>
        <w:spacing w:line="500" w:lineRule="exact"/>
        <w:ind w:firstLine="480" w:firstLineChars="200"/>
        <w:jc w:val="left"/>
        <w:textAlignment w:val="baseline"/>
        <w:rPr>
          <w:rFonts w:hint="eastAsia"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预处理注入站内各设备检维修时会产生装置排污水，主要为含油污水，产生量约为45.6m</w:t>
      </w:r>
      <w:r>
        <w:rPr>
          <w:rFonts w:hint="eastAsia" w:ascii="宋体" w:hAnsi="宋体"/>
          <w:color w:val="000000" w:themeColor="text1"/>
          <w:kern w:val="0"/>
          <w:sz w:val="24"/>
          <w:vertAlign w:val="superscript"/>
          <w14:textFill>
            <w14:solidFill>
              <w14:schemeClr w14:val="tx1"/>
            </w14:solidFill>
          </w14:textFill>
        </w:rPr>
        <w:t>3</w:t>
      </w:r>
      <w:r>
        <w:rPr>
          <w:rFonts w:hint="eastAsia" w:ascii="宋体" w:hAnsi="宋体"/>
          <w:color w:val="000000" w:themeColor="text1"/>
          <w:kern w:val="0"/>
          <w:sz w:val="24"/>
          <w14:textFill>
            <w14:solidFill>
              <w14:schemeClr w14:val="tx1"/>
            </w14:solidFill>
          </w14:textFill>
        </w:rPr>
        <w:t>/a，污染物主要为石油类和悬浮物，参照采出水的浓度可知，装置排污水中石油类和悬浮物的产生浓度及产生量分别为石油类254mg/L、0.0116t/a，悬浮物289mg/L、0.0132t/a。装置排污水排至排污罐中，由污油泵将排污罐中的液体管输至进站管汇。</w:t>
      </w:r>
    </w:p>
    <w:p w14:paraId="41C88B65">
      <w:pPr>
        <w:adjustRightInd w:val="0"/>
        <w:snapToGrid w:val="0"/>
        <w:spacing w:line="500" w:lineRule="exact"/>
        <w:ind w:firstLine="480" w:firstLineChars="200"/>
        <w:jc w:val="left"/>
        <w:textAlignment w:val="baseline"/>
        <w:rPr>
          <w:rFonts w:hint="eastAsia"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④生活污水</w:t>
      </w:r>
    </w:p>
    <w:p w14:paraId="4598746A">
      <w:pPr>
        <w:pStyle w:val="117"/>
        <w:spacing w:line="480" w:lineRule="exact"/>
        <w:ind w:firstLine="480"/>
        <w:rPr>
          <w:rFonts w:hint="eastAsia"/>
          <w:color w:val="000000" w:themeColor="text1"/>
          <w14:textFill>
            <w14:solidFill>
              <w14:schemeClr w14:val="tx1"/>
            </w14:solidFill>
          </w14:textFill>
        </w:rPr>
      </w:pPr>
      <w:r>
        <w:rPr>
          <w:rFonts w:hint="eastAsia" w:cs="宋体"/>
          <w:color w:val="000000" w:themeColor="text1"/>
          <w14:textFill>
            <w14:solidFill>
              <w14:schemeClr w14:val="tx1"/>
            </w14:solidFill>
          </w14:textFill>
        </w:rPr>
        <w:t>预处理注入站和每座井场均设有10名劳动定员，共设有130名劳动定员，</w:t>
      </w:r>
      <w:r>
        <w:rPr>
          <w:color w:val="000000" w:themeColor="text1"/>
          <w14:textFill>
            <w14:solidFill>
              <w14:schemeClr w14:val="tx1"/>
            </w14:solidFill>
          </w14:textFill>
        </w:rPr>
        <w:t>根据《新疆维吾尔自治区生活用水定额》按每人每天用水量20L计算，</w:t>
      </w:r>
      <w:r>
        <w:rPr>
          <w:rFonts w:hint="eastAsia"/>
          <w:bCs/>
          <w:snapToGrid w:val="0"/>
          <w:color w:val="000000" w:themeColor="text1"/>
          <w:kern w:val="0"/>
          <w14:textFill>
            <w14:solidFill>
              <w14:schemeClr w14:val="tx1"/>
            </w14:solidFill>
          </w14:textFill>
        </w:rPr>
        <w:t>单座站场</w:t>
      </w:r>
      <w:r>
        <w:rPr>
          <w:bCs/>
          <w:snapToGrid w:val="0"/>
          <w:color w:val="000000" w:themeColor="text1"/>
          <w:kern w:val="0"/>
          <w14:textFill>
            <w14:solidFill>
              <w14:schemeClr w14:val="tx1"/>
            </w14:solidFill>
          </w14:textFill>
        </w:rPr>
        <w:t>生活用水量</w:t>
      </w:r>
      <w:r>
        <w:rPr>
          <w:rFonts w:hint="eastAsia"/>
          <w:bCs/>
          <w:snapToGrid w:val="0"/>
          <w:color w:val="000000" w:themeColor="text1"/>
          <w:kern w:val="0"/>
          <w14:textFill>
            <w14:solidFill>
              <w14:schemeClr w14:val="tx1"/>
            </w14:solidFill>
          </w14:textFill>
        </w:rPr>
        <w:t>60</w:t>
      </w:r>
      <w:r>
        <w:rPr>
          <w:bCs/>
          <w:snapToGrid w:val="0"/>
          <w:color w:val="000000" w:themeColor="text1"/>
          <w:kern w:val="0"/>
          <w14:textFill>
            <w14:solidFill>
              <w14:schemeClr w14:val="tx1"/>
            </w14:solidFill>
          </w14:textFill>
        </w:rPr>
        <w:t>m</w:t>
      </w:r>
      <w:r>
        <w:rPr>
          <w:bCs/>
          <w:snapToGrid w:val="0"/>
          <w:color w:val="000000" w:themeColor="text1"/>
          <w:kern w:val="0"/>
          <w:vertAlign w:val="superscript"/>
          <w14:textFill>
            <w14:solidFill>
              <w14:schemeClr w14:val="tx1"/>
            </w14:solidFill>
          </w14:textFill>
        </w:rPr>
        <w:t>3</w:t>
      </w:r>
      <w:r>
        <w:rPr>
          <w:bCs/>
          <w:snapToGrid w:val="0"/>
          <w:color w:val="000000" w:themeColor="text1"/>
          <w:kern w:val="0"/>
          <w14:textFill>
            <w14:solidFill>
              <w14:schemeClr w14:val="tx1"/>
            </w14:solidFill>
          </w14:textFill>
        </w:rPr>
        <w:t>/a，</w:t>
      </w:r>
      <w:r>
        <w:rPr>
          <w:rFonts w:hint="eastAsia"/>
          <w:bCs/>
          <w:snapToGrid w:val="0"/>
          <w:color w:val="000000" w:themeColor="text1"/>
          <w:kern w:val="0"/>
          <w14:textFill>
            <w14:solidFill>
              <w14:schemeClr w14:val="tx1"/>
            </w14:solidFill>
          </w14:textFill>
        </w:rPr>
        <w:t>本项目合计生活用水量为780m</w:t>
      </w:r>
      <w:r>
        <w:rPr>
          <w:rFonts w:hint="eastAsia"/>
          <w:bCs/>
          <w:snapToGrid w:val="0"/>
          <w:color w:val="000000" w:themeColor="text1"/>
          <w:kern w:val="0"/>
          <w:vertAlign w:val="superscript"/>
          <w14:textFill>
            <w14:solidFill>
              <w14:schemeClr w14:val="tx1"/>
            </w14:solidFill>
          </w14:textFill>
        </w:rPr>
        <w:t>3</w:t>
      </w:r>
      <w:r>
        <w:rPr>
          <w:rFonts w:hint="eastAsia"/>
          <w:bCs/>
          <w:snapToGrid w:val="0"/>
          <w:color w:val="000000" w:themeColor="text1"/>
          <w:kern w:val="0"/>
          <w14:textFill>
            <w14:solidFill>
              <w14:schemeClr w14:val="tx1"/>
            </w14:solidFill>
          </w14:textFill>
        </w:rPr>
        <w:t>/a；生活污水</w:t>
      </w:r>
      <w:r>
        <w:rPr>
          <w:color w:val="000000" w:themeColor="text1"/>
          <w:kern w:val="0"/>
          <w14:textFill>
            <w14:solidFill>
              <w14:schemeClr w14:val="tx1"/>
            </w14:solidFill>
          </w14:textFill>
        </w:rPr>
        <w:t>排水系数取0.8，则</w:t>
      </w:r>
      <w:r>
        <w:rPr>
          <w:rFonts w:hint="eastAsia"/>
          <w:color w:val="000000" w:themeColor="text1"/>
          <w:kern w:val="0"/>
          <w14:textFill>
            <w14:solidFill>
              <w14:schemeClr w14:val="tx1"/>
            </w14:solidFill>
          </w14:textFill>
        </w:rPr>
        <w:t>单座站场</w:t>
      </w:r>
      <w:r>
        <w:rPr>
          <w:color w:val="000000" w:themeColor="text1"/>
          <w:kern w:val="0"/>
          <w14:textFill>
            <w14:solidFill>
              <w14:schemeClr w14:val="tx1"/>
            </w14:solidFill>
          </w14:textFill>
        </w:rPr>
        <w:t>生活污水产生量约</w:t>
      </w:r>
      <w:r>
        <w:rPr>
          <w:rFonts w:hint="eastAsia"/>
          <w:color w:val="000000" w:themeColor="text1"/>
          <w:kern w:val="0"/>
          <w14:textFill>
            <w14:solidFill>
              <w14:schemeClr w14:val="tx1"/>
            </w14:solidFill>
          </w14:textFill>
        </w:rPr>
        <w:t>48</w:t>
      </w:r>
      <w:r>
        <w:rPr>
          <w:bCs/>
          <w:snapToGrid w:val="0"/>
          <w:color w:val="000000" w:themeColor="text1"/>
          <w:kern w:val="0"/>
          <w14:textFill>
            <w14:solidFill>
              <w14:schemeClr w14:val="tx1"/>
            </w14:solidFill>
          </w14:textFill>
        </w:rPr>
        <w:t>m³/a</w:t>
      </w:r>
      <w:r>
        <w:rPr>
          <w:rFonts w:hint="eastAsia"/>
          <w:bCs/>
          <w:snapToGrid w:val="0"/>
          <w:color w:val="000000" w:themeColor="text1"/>
          <w:kern w:val="0"/>
          <w14:textFill>
            <w14:solidFill>
              <w14:schemeClr w14:val="tx1"/>
            </w14:solidFill>
          </w14:textFill>
        </w:rPr>
        <w:t>，本项目合计生活污水产生量为624m</w:t>
      </w:r>
      <w:r>
        <w:rPr>
          <w:rFonts w:hint="eastAsia"/>
          <w:bCs/>
          <w:snapToGrid w:val="0"/>
          <w:color w:val="000000" w:themeColor="text1"/>
          <w:kern w:val="0"/>
          <w:vertAlign w:val="superscript"/>
          <w14:textFill>
            <w14:solidFill>
              <w14:schemeClr w14:val="tx1"/>
            </w14:solidFill>
          </w14:textFill>
        </w:rPr>
        <w:t>3</w:t>
      </w:r>
      <w:r>
        <w:rPr>
          <w:rFonts w:hint="eastAsia"/>
          <w:bCs/>
          <w:snapToGrid w:val="0"/>
          <w:color w:val="000000" w:themeColor="text1"/>
          <w:kern w:val="0"/>
          <w14:textFill>
            <w14:solidFill>
              <w14:schemeClr w14:val="tx1"/>
            </w14:solidFill>
          </w14:textFill>
        </w:rPr>
        <w:t>/a</w:t>
      </w:r>
      <w:r>
        <w:rPr>
          <w:color w:val="000000" w:themeColor="text1"/>
          <w14:textFill>
            <w14:solidFill>
              <w14:schemeClr w14:val="tx1"/>
            </w14:solidFill>
          </w14:textFill>
        </w:rPr>
        <w:t>。生活污水水质与一般城市生活污水相类似，主要的污染物为化学需氧量</w:t>
      </w:r>
      <w:r>
        <w:rPr>
          <w:rFonts w:hint="eastAsia"/>
          <w:color w:val="000000" w:themeColor="text1"/>
          <w14:textFill>
            <w14:solidFill>
              <w14:schemeClr w14:val="tx1"/>
            </w14:solidFill>
          </w14:textFill>
        </w:rPr>
        <w:t>、悬浮物和氨氮，排放浓度和排放量分别为化学需氧量</w:t>
      </w:r>
      <w:r>
        <w:rPr>
          <w:color w:val="000000" w:themeColor="text1"/>
          <w14:textFill>
            <w14:solidFill>
              <w14:schemeClr w14:val="tx1"/>
            </w14:solidFill>
          </w14:textFill>
        </w:rPr>
        <w:t>350mg/L</w:t>
      </w:r>
      <w:r>
        <w:rPr>
          <w:rFonts w:hint="eastAsia"/>
          <w:color w:val="000000" w:themeColor="text1"/>
          <w14:textFill>
            <w14:solidFill>
              <w14:schemeClr w14:val="tx1"/>
            </w14:solidFill>
          </w14:textFill>
        </w:rPr>
        <w:t>、0.218t/a，</w:t>
      </w:r>
      <w:r>
        <w:rPr>
          <w:color w:val="000000" w:themeColor="text1"/>
          <w14:textFill>
            <w14:solidFill>
              <w14:schemeClr w14:val="tx1"/>
            </w14:solidFill>
          </w14:textFill>
        </w:rPr>
        <w:t>悬浮物200mg/L</w:t>
      </w:r>
      <w:r>
        <w:rPr>
          <w:rFonts w:hint="eastAsia"/>
          <w:color w:val="000000" w:themeColor="text1"/>
          <w14:textFill>
            <w14:solidFill>
              <w14:schemeClr w14:val="tx1"/>
            </w14:solidFill>
          </w14:textFill>
        </w:rPr>
        <w:t>、0.125t/a，</w:t>
      </w:r>
      <w:r>
        <w:rPr>
          <w:color w:val="000000" w:themeColor="text1"/>
          <w14:textFill>
            <w14:solidFill>
              <w14:schemeClr w14:val="tx1"/>
            </w14:solidFill>
          </w14:textFill>
        </w:rPr>
        <w:t>氨氮30mg/L</w:t>
      </w:r>
      <w:r>
        <w:rPr>
          <w:rFonts w:hint="eastAsia"/>
          <w:color w:val="000000" w:themeColor="text1"/>
          <w14:textFill>
            <w14:solidFill>
              <w14:schemeClr w14:val="tx1"/>
            </w14:solidFill>
          </w14:textFill>
        </w:rPr>
        <w:t>、0.019t/a</w:t>
      </w:r>
      <w:r>
        <w:rPr>
          <w:color w:val="000000" w:themeColor="text1"/>
          <w14:textFill>
            <w14:solidFill>
              <w14:schemeClr w14:val="tx1"/>
            </w14:solidFill>
          </w14:textFill>
        </w:rPr>
        <w:t>。</w:t>
      </w:r>
      <w:bookmarkStart w:id="339" w:name="OLE_LINK55"/>
      <w:r>
        <w:rPr>
          <w:color w:val="000000" w:themeColor="text1"/>
          <w14:textFill>
            <w14:solidFill>
              <w14:schemeClr w14:val="tx1"/>
            </w14:solidFill>
          </w14:textFill>
        </w:rPr>
        <w:t>生活污水排至</w:t>
      </w:r>
      <w:r>
        <w:rPr>
          <w:rFonts w:hint="eastAsia"/>
          <w:color w:val="000000" w:themeColor="text1"/>
          <w14:textFill>
            <w14:solidFill>
              <w14:schemeClr w14:val="tx1"/>
            </w14:solidFill>
          </w14:textFill>
        </w:rPr>
        <w:t>站场外</w:t>
      </w:r>
      <w:r>
        <w:rPr>
          <w:color w:val="000000" w:themeColor="text1"/>
          <w14:textFill>
            <w14:solidFill>
              <w14:schemeClr w14:val="tx1"/>
            </w14:solidFill>
          </w14:textFill>
        </w:rPr>
        <w:t>化粪池内，</w:t>
      </w:r>
      <w:r>
        <w:rPr>
          <w:rFonts w:hint="eastAsia"/>
          <w:color w:val="000000" w:themeColor="text1"/>
          <w14:textFill>
            <w14:solidFill>
              <w14:schemeClr w14:val="tx1"/>
            </w14:solidFill>
          </w14:textFill>
        </w:rPr>
        <w:t>最终</w:t>
      </w:r>
      <w:r>
        <w:rPr>
          <w:color w:val="000000" w:themeColor="text1"/>
          <w14:textFill>
            <w14:solidFill>
              <w14:schemeClr w14:val="tx1"/>
            </w14:solidFill>
          </w14:textFill>
        </w:rPr>
        <w:t>清运至吉木萨尔县生活污水处理厂处理。</w:t>
      </w:r>
    </w:p>
    <w:bookmarkEnd w:id="339"/>
    <w:p w14:paraId="04B6CE5E">
      <w:pPr>
        <w:adjustRightInd w:val="0"/>
        <w:snapToGrid w:val="0"/>
        <w:spacing w:line="500" w:lineRule="exact"/>
        <w:ind w:firstLine="480" w:firstLineChars="200"/>
        <w:jc w:val="left"/>
        <w:textAlignment w:val="baseline"/>
        <w:rPr>
          <w:rFonts w:hint="eastAsia"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（3）噪声</w:t>
      </w:r>
    </w:p>
    <w:p w14:paraId="7417A70A">
      <w:pPr>
        <w:pStyle w:val="117"/>
        <w:ind w:firstLine="480"/>
        <w:rPr>
          <w:rFonts w:hint="eastAsia"/>
          <w:color w:val="000000" w:themeColor="text1"/>
          <w14:textFill>
            <w14:solidFill>
              <w14:schemeClr w14:val="tx1"/>
            </w14:solidFill>
          </w14:textFill>
        </w:rPr>
      </w:pPr>
      <w:bookmarkStart w:id="340" w:name="_Hlk148008301"/>
      <w:r>
        <w:rPr>
          <w:rFonts w:hint="eastAsia"/>
          <w:color w:val="000000" w:themeColor="text1"/>
          <w14:textFill>
            <w14:solidFill>
              <w14:schemeClr w14:val="tx1"/>
            </w14:solidFill>
          </w14:textFill>
        </w:rPr>
        <w:t>噪声源主要为井场内的机泵、巡检车辆等，</w:t>
      </w:r>
      <w:bookmarkEnd w:id="340"/>
      <w:r>
        <w:rPr>
          <w:rFonts w:hint="eastAsia"/>
          <w:color w:val="000000" w:themeColor="text1"/>
          <w14:textFill>
            <w14:solidFill>
              <w14:schemeClr w14:val="tx1"/>
            </w14:solidFill>
          </w14:textFill>
        </w:rPr>
        <w:t>噪声排放情况见表</w:t>
      </w:r>
      <w:r>
        <w:rPr>
          <w:color w:val="000000" w:themeColor="text1"/>
          <w14:textFill>
            <w14:solidFill>
              <w14:schemeClr w14:val="tx1"/>
            </w14:solidFill>
          </w14:textFill>
        </w:rPr>
        <w:t>3.3</w:t>
      </w:r>
      <w:r>
        <w:rPr>
          <w:rFonts w:hint="eastAsia"/>
          <w:color w:val="000000" w:themeColor="text1"/>
          <w14:textFill>
            <w14:solidFill>
              <w14:schemeClr w14:val="tx1"/>
            </w14:solidFill>
          </w14:textFill>
        </w:rPr>
        <w:t>-12。</w:t>
      </w:r>
    </w:p>
    <w:p w14:paraId="4A7021FE">
      <w:pPr>
        <w:pStyle w:val="109"/>
        <w:rPr>
          <w:rFonts w:hint="eastAsia"/>
          <w:color w:val="000000" w:themeColor="text1"/>
          <w14:textFill>
            <w14:solidFill>
              <w14:schemeClr w14:val="tx1"/>
            </w14:solidFill>
          </w14:textFill>
        </w:rPr>
      </w:pPr>
      <w:bookmarkStart w:id="341" w:name="OLE_LINK187"/>
      <w:r>
        <w:rPr>
          <w:rFonts w:hint="eastAsia"/>
          <w:color w:val="000000" w:themeColor="text1"/>
          <w14:textFill>
            <w14:solidFill>
              <w14:schemeClr w14:val="tx1"/>
            </w14:solidFill>
          </w14:textFill>
        </w:rPr>
        <w:t>表</w:t>
      </w:r>
      <w:r>
        <w:rPr>
          <w:color w:val="000000" w:themeColor="text1"/>
          <w14:textFill>
            <w14:solidFill>
              <w14:schemeClr w14:val="tx1"/>
            </w14:solidFill>
          </w14:textFill>
        </w:rPr>
        <w:t>3.3</w:t>
      </w:r>
      <w:r>
        <w:rPr>
          <w:rFonts w:hint="eastAsia"/>
          <w:color w:val="000000" w:themeColor="text1"/>
          <w14:textFill>
            <w14:solidFill>
              <w14:schemeClr w14:val="tx1"/>
            </w14:solidFill>
          </w14:textFill>
        </w:rPr>
        <w:t>-12</w:t>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运营期噪声排放情况一览表</w:t>
      </w:r>
    </w:p>
    <w:tbl>
      <w:tblPr>
        <w:tblStyle w:val="425"/>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1138"/>
        <w:gridCol w:w="2013"/>
        <w:gridCol w:w="868"/>
        <w:gridCol w:w="929"/>
        <w:gridCol w:w="590"/>
        <w:gridCol w:w="590"/>
        <w:gridCol w:w="589"/>
        <w:gridCol w:w="1227"/>
        <w:gridCol w:w="1002"/>
      </w:tblGrid>
      <w:tr w14:paraId="415E05C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636" w:type="pct"/>
            <w:vMerge w:val="restart"/>
            <w:vAlign w:val="center"/>
          </w:tcPr>
          <w:p w14:paraId="4AD4F4C0">
            <w:pPr>
              <w:pStyle w:val="342"/>
              <w:tabs>
                <w:tab w:val="left" w:pos="1333"/>
              </w:tabs>
              <w:overflowPunct w:val="0"/>
              <w:snapToGrid w:val="0"/>
              <w:spacing w:line="300" w:lineRule="exact"/>
              <w:rPr>
                <w:snapToGrid w:val="0"/>
                <w:color w:val="000000" w:themeColor="text1"/>
                <w:sz w:val="21"/>
                <w:szCs w:val="21"/>
                <w14:textFill>
                  <w14:solidFill>
                    <w14:schemeClr w14:val="tx1"/>
                  </w14:solidFill>
                </w14:textFill>
              </w:rPr>
            </w:pPr>
            <w:r>
              <w:rPr>
                <w:rFonts w:hint="eastAsia"/>
                <w:snapToGrid w:val="0"/>
                <w:color w:val="000000" w:themeColor="text1"/>
                <w:sz w:val="21"/>
                <w:szCs w:val="21"/>
                <w14:textFill>
                  <w14:solidFill>
                    <w14:schemeClr w14:val="tx1"/>
                  </w14:solidFill>
                </w14:textFill>
              </w:rPr>
              <w:t>井号</w:t>
            </w:r>
          </w:p>
        </w:tc>
        <w:tc>
          <w:tcPr>
            <w:tcW w:w="1125" w:type="pct"/>
            <w:vMerge w:val="restart"/>
            <w:vAlign w:val="center"/>
          </w:tcPr>
          <w:p w14:paraId="66BE3DAB">
            <w:pPr>
              <w:pStyle w:val="342"/>
              <w:tabs>
                <w:tab w:val="left" w:pos="1333"/>
              </w:tabs>
              <w:overflowPunct w:val="0"/>
              <w:snapToGrid w:val="0"/>
              <w:spacing w:line="300" w:lineRule="exact"/>
              <w:rPr>
                <w:snapToGrid w:val="0"/>
                <w:color w:val="000000" w:themeColor="text1"/>
                <w:sz w:val="21"/>
                <w:szCs w:val="21"/>
                <w14:textFill>
                  <w14:solidFill>
                    <w14:schemeClr w14:val="tx1"/>
                  </w14:solidFill>
                </w14:textFill>
              </w:rPr>
            </w:pPr>
            <w:r>
              <w:rPr>
                <w:rFonts w:hint="eastAsia"/>
                <w:snapToGrid w:val="0"/>
                <w:color w:val="000000" w:themeColor="text1"/>
                <w:sz w:val="21"/>
                <w:szCs w:val="21"/>
                <w14:textFill>
                  <w14:solidFill>
                    <w14:schemeClr w14:val="tx1"/>
                  </w14:solidFill>
                </w14:textFill>
              </w:rPr>
              <w:t>名称</w:t>
            </w:r>
          </w:p>
        </w:tc>
        <w:tc>
          <w:tcPr>
            <w:tcW w:w="485" w:type="pct"/>
            <w:vMerge w:val="restart"/>
            <w:vAlign w:val="center"/>
          </w:tcPr>
          <w:p w14:paraId="2B50B3BF">
            <w:pPr>
              <w:pStyle w:val="342"/>
              <w:overflowPunct w:val="0"/>
              <w:snapToGrid w:val="0"/>
              <w:spacing w:line="300" w:lineRule="exact"/>
              <w:rPr>
                <w:rFonts w:hint="eastAsia" w:hAnsi="宋体"/>
                <w:snapToGrid w:val="0"/>
                <w:color w:val="000000" w:themeColor="text1"/>
                <w:sz w:val="21"/>
                <w:szCs w:val="21"/>
                <w14:textFill>
                  <w14:solidFill>
                    <w14:schemeClr w14:val="tx1"/>
                  </w14:solidFill>
                </w14:textFill>
              </w:rPr>
            </w:pPr>
            <w:r>
              <w:rPr>
                <w:rFonts w:hint="eastAsia" w:hAnsi="宋体"/>
                <w:snapToGrid w:val="0"/>
                <w:color w:val="000000" w:themeColor="text1"/>
                <w:sz w:val="21"/>
                <w:szCs w:val="21"/>
                <w14:textFill>
                  <w14:solidFill>
                    <w14:schemeClr w14:val="tx1"/>
                  </w14:solidFill>
                </w14:textFill>
              </w:rPr>
              <w:t>数量（台）</w:t>
            </w:r>
          </w:p>
        </w:tc>
        <w:tc>
          <w:tcPr>
            <w:tcW w:w="519" w:type="pct"/>
            <w:vMerge w:val="restart"/>
            <w:vAlign w:val="center"/>
          </w:tcPr>
          <w:p w14:paraId="520C6C12">
            <w:pPr>
              <w:pStyle w:val="342"/>
              <w:overflowPunct w:val="0"/>
              <w:snapToGrid w:val="0"/>
              <w:spacing w:line="300" w:lineRule="exact"/>
              <w:rPr>
                <w:rFonts w:hint="eastAsia" w:hAnsi="宋体"/>
                <w:snapToGrid w:val="0"/>
                <w:color w:val="000000" w:themeColor="text1"/>
                <w:sz w:val="21"/>
                <w:szCs w:val="21"/>
                <w14:textFill>
                  <w14:solidFill>
                    <w14:schemeClr w14:val="tx1"/>
                  </w14:solidFill>
                </w14:textFill>
              </w:rPr>
            </w:pPr>
            <w:r>
              <w:rPr>
                <w:rFonts w:hint="eastAsia" w:hAnsi="宋体"/>
                <w:snapToGrid w:val="0"/>
                <w:color w:val="000000" w:themeColor="text1"/>
                <w:sz w:val="21"/>
                <w:szCs w:val="21"/>
                <w14:textFill>
                  <w14:solidFill>
                    <w14:schemeClr w14:val="tx1"/>
                  </w14:solidFill>
                </w14:textFill>
              </w:rPr>
              <w:t>源强d</w:t>
            </w:r>
            <w:r>
              <w:rPr>
                <w:rFonts w:hAnsi="宋体"/>
                <w:snapToGrid w:val="0"/>
                <w:color w:val="000000" w:themeColor="text1"/>
                <w:sz w:val="21"/>
                <w:szCs w:val="21"/>
                <w14:textFill>
                  <w14:solidFill>
                    <w14:schemeClr w14:val="tx1"/>
                  </w14:solidFill>
                </w14:textFill>
              </w:rPr>
              <w:t>B</w:t>
            </w:r>
            <w:r>
              <w:rPr>
                <w:rFonts w:hint="eastAsia" w:hAnsi="宋体"/>
                <w:snapToGrid w:val="0"/>
                <w:color w:val="000000" w:themeColor="text1"/>
                <w:sz w:val="21"/>
                <w:szCs w:val="21"/>
                <w14:textFill>
                  <w14:solidFill>
                    <w14:schemeClr w14:val="tx1"/>
                  </w14:solidFill>
                </w14:textFill>
              </w:rPr>
              <w:t>（A）</w:t>
            </w:r>
          </w:p>
        </w:tc>
        <w:tc>
          <w:tcPr>
            <w:tcW w:w="989" w:type="pct"/>
            <w:gridSpan w:val="3"/>
            <w:vAlign w:val="center"/>
          </w:tcPr>
          <w:p w14:paraId="419AC588">
            <w:pPr>
              <w:pStyle w:val="342"/>
              <w:overflowPunct w:val="0"/>
              <w:snapToGrid w:val="0"/>
              <w:spacing w:line="300" w:lineRule="exact"/>
              <w:rPr>
                <w:rFonts w:hint="eastAsia" w:hAnsi="宋体"/>
                <w:snapToGrid w:val="0"/>
                <w:color w:val="000000" w:themeColor="text1"/>
                <w:sz w:val="21"/>
                <w:szCs w:val="21"/>
                <w14:textFill>
                  <w14:solidFill>
                    <w14:schemeClr w14:val="tx1"/>
                  </w14:solidFill>
                </w14:textFill>
              </w:rPr>
            </w:pPr>
            <w:r>
              <w:rPr>
                <w:rFonts w:hint="eastAsia" w:hAnsi="宋体"/>
                <w:snapToGrid w:val="0"/>
                <w:color w:val="000000" w:themeColor="text1"/>
                <w:sz w:val="21"/>
                <w:szCs w:val="21"/>
                <w14:textFill>
                  <w14:solidFill>
                    <w14:schemeClr w14:val="tx1"/>
                  </w14:solidFill>
                </w14:textFill>
              </w:rPr>
              <w:t>空间位置</w:t>
            </w:r>
          </w:p>
        </w:tc>
        <w:tc>
          <w:tcPr>
            <w:tcW w:w="686" w:type="pct"/>
            <w:vMerge w:val="restart"/>
            <w:vAlign w:val="center"/>
          </w:tcPr>
          <w:p w14:paraId="6998C7D3">
            <w:pPr>
              <w:pStyle w:val="342"/>
              <w:overflowPunct w:val="0"/>
              <w:snapToGrid w:val="0"/>
              <w:spacing w:line="300" w:lineRule="exact"/>
              <w:rPr>
                <w:rFonts w:hint="eastAsia" w:hAnsi="宋体"/>
                <w:snapToGrid w:val="0"/>
                <w:color w:val="000000" w:themeColor="text1"/>
                <w:sz w:val="21"/>
                <w:szCs w:val="21"/>
                <w14:textFill>
                  <w14:solidFill>
                    <w14:schemeClr w14:val="tx1"/>
                  </w14:solidFill>
                </w14:textFill>
              </w:rPr>
            </w:pPr>
            <w:r>
              <w:rPr>
                <w:rFonts w:hint="eastAsia" w:hAnsi="宋体"/>
                <w:snapToGrid w:val="0"/>
                <w:color w:val="000000" w:themeColor="text1"/>
                <w:sz w:val="21"/>
                <w:szCs w:val="21"/>
                <w14:textFill>
                  <w14:solidFill>
                    <w14:schemeClr w14:val="tx1"/>
                  </w14:solidFill>
                </w14:textFill>
              </w:rPr>
              <w:t>声源控制措施</w:t>
            </w:r>
          </w:p>
        </w:tc>
        <w:tc>
          <w:tcPr>
            <w:tcW w:w="560" w:type="pct"/>
            <w:vMerge w:val="restart"/>
            <w:vAlign w:val="center"/>
          </w:tcPr>
          <w:p w14:paraId="2536C631">
            <w:pPr>
              <w:pStyle w:val="342"/>
              <w:overflowPunct w:val="0"/>
              <w:snapToGrid w:val="0"/>
              <w:spacing w:line="300" w:lineRule="exact"/>
              <w:rPr>
                <w:rFonts w:hint="eastAsia" w:hAnsi="宋体"/>
                <w:snapToGrid w:val="0"/>
                <w:color w:val="000000" w:themeColor="text1"/>
                <w:sz w:val="21"/>
                <w:szCs w:val="21"/>
                <w14:textFill>
                  <w14:solidFill>
                    <w14:schemeClr w14:val="tx1"/>
                  </w14:solidFill>
                </w14:textFill>
              </w:rPr>
            </w:pPr>
            <w:r>
              <w:rPr>
                <w:rFonts w:hint="eastAsia" w:hAnsi="宋体"/>
                <w:snapToGrid w:val="0"/>
                <w:color w:val="000000" w:themeColor="text1"/>
                <w:sz w:val="21"/>
                <w:szCs w:val="21"/>
                <w14:textFill>
                  <w14:solidFill>
                    <w14:schemeClr w14:val="tx1"/>
                  </w14:solidFill>
                </w14:textFill>
              </w:rPr>
              <w:t>运行时段</w:t>
            </w:r>
          </w:p>
        </w:tc>
      </w:tr>
      <w:tr w14:paraId="464083C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636" w:type="pct"/>
            <w:vMerge w:val="continue"/>
            <w:vAlign w:val="center"/>
          </w:tcPr>
          <w:p w14:paraId="4F10F4DE">
            <w:pPr>
              <w:pStyle w:val="342"/>
              <w:tabs>
                <w:tab w:val="left" w:pos="1333"/>
              </w:tabs>
              <w:overflowPunct w:val="0"/>
              <w:snapToGrid w:val="0"/>
              <w:spacing w:line="300" w:lineRule="exact"/>
              <w:rPr>
                <w:snapToGrid w:val="0"/>
                <w:color w:val="000000" w:themeColor="text1"/>
                <w:sz w:val="21"/>
                <w:szCs w:val="21"/>
                <w14:textFill>
                  <w14:solidFill>
                    <w14:schemeClr w14:val="tx1"/>
                  </w14:solidFill>
                </w14:textFill>
              </w:rPr>
            </w:pPr>
          </w:p>
        </w:tc>
        <w:tc>
          <w:tcPr>
            <w:tcW w:w="1125" w:type="pct"/>
            <w:vMerge w:val="continue"/>
            <w:vAlign w:val="center"/>
          </w:tcPr>
          <w:p w14:paraId="588EC45C">
            <w:pPr>
              <w:pStyle w:val="342"/>
              <w:tabs>
                <w:tab w:val="left" w:pos="1333"/>
              </w:tabs>
              <w:overflowPunct w:val="0"/>
              <w:snapToGrid w:val="0"/>
              <w:spacing w:line="300" w:lineRule="exact"/>
              <w:rPr>
                <w:snapToGrid w:val="0"/>
                <w:color w:val="000000" w:themeColor="text1"/>
                <w:sz w:val="21"/>
                <w:szCs w:val="21"/>
                <w14:textFill>
                  <w14:solidFill>
                    <w14:schemeClr w14:val="tx1"/>
                  </w14:solidFill>
                </w14:textFill>
              </w:rPr>
            </w:pPr>
          </w:p>
        </w:tc>
        <w:tc>
          <w:tcPr>
            <w:tcW w:w="485" w:type="pct"/>
            <w:vMerge w:val="continue"/>
            <w:vAlign w:val="center"/>
          </w:tcPr>
          <w:p w14:paraId="780FE3D9">
            <w:pPr>
              <w:pStyle w:val="342"/>
              <w:overflowPunct w:val="0"/>
              <w:snapToGrid w:val="0"/>
              <w:spacing w:line="300" w:lineRule="exact"/>
              <w:rPr>
                <w:rFonts w:hint="eastAsia" w:hAnsi="宋体"/>
                <w:snapToGrid w:val="0"/>
                <w:color w:val="000000" w:themeColor="text1"/>
                <w:sz w:val="21"/>
                <w:szCs w:val="21"/>
                <w14:textFill>
                  <w14:solidFill>
                    <w14:schemeClr w14:val="tx1"/>
                  </w14:solidFill>
                </w14:textFill>
              </w:rPr>
            </w:pPr>
          </w:p>
        </w:tc>
        <w:tc>
          <w:tcPr>
            <w:tcW w:w="519" w:type="pct"/>
            <w:vMerge w:val="continue"/>
            <w:vAlign w:val="center"/>
          </w:tcPr>
          <w:p w14:paraId="14A4E14A">
            <w:pPr>
              <w:pStyle w:val="342"/>
              <w:overflowPunct w:val="0"/>
              <w:snapToGrid w:val="0"/>
              <w:spacing w:line="300" w:lineRule="exact"/>
              <w:rPr>
                <w:rFonts w:hint="eastAsia" w:hAnsi="宋体"/>
                <w:snapToGrid w:val="0"/>
                <w:color w:val="000000" w:themeColor="text1"/>
                <w:sz w:val="21"/>
                <w:szCs w:val="21"/>
                <w14:textFill>
                  <w14:solidFill>
                    <w14:schemeClr w14:val="tx1"/>
                  </w14:solidFill>
                </w14:textFill>
              </w:rPr>
            </w:pPr>
          </w:p>
        </w:tc>
        <w:tc>
          <w:tcPr>
            <w:tcW w:w="330" w:type="pct"/>
            <w:vAlign w:val="center"/>
          </w:tcPr>
          <w:p w14:paraId="14638543">
            <w:pPr>
              <w:pStyle w:val="342"/>
              <w:overflowPunct w:val="0"/>
              <w:snapToGrid w:val="0"/>
              <w:spacing w:line="300" w:lineRule="exact"/>
              <w:rPr>
                <w:rFonts w:hint="eastAsia" w:hAnsi="宋体"/>
                <w:snapToGrid w:val="0"/>
                <w:color w:val="000000" w:themeColor="text1"/>
                <w:sz w:val="21"/>
                <w:szCs w:val="21"/>
                <w14:textFill>
                  <w14:solidFill>
                    <w14:schemeClr w14:val="tx1"/>
                  </w14:solidFill>
                </w14:textFill>
              </w:rPr>
            </w:pPr>
            <w:r>
              <w:rPr>
                <w:rFonts w:hint="eastAsia" w:hAnsi="宋体"/>
                <w:snapToGrid w:val="0"/>
                <w:color w:val="000000" w:themeColor="text1"/>
                <w:sz w:val="21"/>
                <w:szCs w:val="21"/>
                <w14:textFill>
                  <w14:solidFill>
                    <w14:schemeClr w14:val="tx1"/>
                  </w14:solidFill>
                </w14:textFill>
              </w:rPr>
              <w:t>X</w:t>
            </w:r>
          </w:p>
        </w:tc>
        <w:tc>
          <w:tcPr>
            <w:tcW w:w="330" w:type="pct"/>
            <w:vAlign w:val="center"/>
          </w:tcPr>
          <w:p w14:paraId="48FC29B7">
            <w:pPr>
              <w:pStyle w:val="342"/>
              <w:overflowPunct w:val="0"/>
              <w:snapToGrid w:val="0"/>
              <w:spacing w:line="300" w:lineRule="exact"/>
              <w:rPr>
                <w:rFonts w:hint="eastAsia" w:hAnsi="宋体"/>
                <w:snapToGrid w:val="0"/>
                <w:color w:val="000000" w:themeColor="text1"/>
                <w:sz w:val="21"/>
                <w:szCs w:val="21"/>
                <w14:textFill>
                  <w14:solidFill>
                    <w14:schemeClr w14:val="tx1"/>
                  </w14:solidFill>
                </w14:textFill>
              </w:rPr>
            </w:pPr>
            <w:r>
              <w:rPr>
                <w:rFonts w:hint="eastAsia" w:hAnsi="宋体"/>
                <w:snapToGrid w:val="0"/>
                <w:color w:val="000000" w:themeColor="text1"/>
                <w:sz w:val="21"/>
                <w:szCs w:val="21"/>
                <w14:textFill>
                  <w14:solidFill>
                    <w14:schemeClr w14:val="tx1"/>
                  </w14:solidFill>
                </w14:textFill>
              </w:rPr>
              <w:t>Y</w:t>
            </w:r>
          </w:p>
        </w:tc>
        <w:tc>
          <w:tcPr>
            <w:tcW w:w="329" w:type="pct"/>
            <w:vAlign w:val="center"/>
          </w:tcPr>
          <w:p w14:paraId="0CD92B2C">
            <w:pPr>
              <w:pStyle w:val="342"/>
              <w:overflowPunct w:val="0"/>
              <w:snapToGrid w:val="0"/>
              <w:spacing w:line="300" w:lineRule="exact"/>
              <w:rPr>
                <w:rFonts w:hint="eastAsia" w:hAnsi="宋体"/>
                <w:snapToGrid w:val="0"/>
                <w:color w:val="000000" w:themeColor="text1"/>
                <w:sz w:val="21"/>
                <w:szCs w:val="21"/>
                <w14:textFill>
                  <w14:solidFill>
                    <w14:schemeClr w14:val="tx1"/>
                  </w14:solidFill>
                </w14:textFill>
              </w:rPr>
            </w:pPr>
            <w:r>
              <w:rPr>
                <w:rFonts w:hint="eastAsia" w:hAnsi="宋体"/>
                <w:snapToGrid w:val="0"/>
                <w:color w:val="000000" w:themeColor="text1"/>
                <w:sz w:val="21"/>
                <w:szCs w:val="21"/>
                <w14:textFill>
                  <w14:solidFill>
                    <w14:schemeClr w14:val="tx1"/>
                  </w14:solidFill>
                </w14:textFill>
              </w:rPr>
              <w:t>Z</w:t>
            </w:r>
          </w:p>
        </w:tc>
        <w:tc>
          <w:tcPr>
            <w:tcW w:w="686" w:type="pct"/>
            <w:vMerge w:val="continue"/>
            <w:vAlign w:val="center"/>
          </w:tcPr>
          <w:p w14:paraId="0259FAB9">
            <w:pPr>
              <w:pStyle w:val="342"/>
              <w:overflowPunct w:val="0"/>
              <w:snapToGrid w:val="0"/>
              <w:spacing w:line="300" w:lineRule="exact"/>
              <w:rPr>
                <w:rFonts w:hint="eastAsia" w:hAnsi="宋体"/>
                <w:snapToGrid w:val="0"/>
                <w:color w:val="000000" w:themeColor="text1"/>
                <w:sz w:val="21"/>
                <w:szCs w:val="21"/>
                <w14:textFill>
                  <w14:solidFill>
                    <w14:schemeClr w14:val="tx1"/>
                  </w14:solidFill>
                </w14:textFill>
              </w:rPr>
            </w:pPr>
          </w:p>
        </w:tc>
        <w:tc>
          <w:tcPr>
            <w:tcW w:w="560" w:type="pct"/>
            <w:vMerge w:val="continue"/>
            <w:vAlign w:val="center"/>
          </w:tcPr>
          <w:p w14:paraId="50F44679">
            <w:pPr>
              <w:pStyle w:val="342"/>
              <w:overflowPunct w:val="0"/>
              <w:snapToGrid w:val="0"/>
              <w:spacing w:line="300" w:lineRule="exact"/>
              <w:rPr>
                <w:rFonts w:hint="eastAsia" w:hAnsi="宋体"/>
                <w:snapToGrid w:val="0"/>
                <w:color w:val="000000" w:themeColor="text1"/>
                <w:sz w:val="21"/>
                <w:szCs w:val="21"/>
                <w14:textFill>
                  <w14:solidFill>
                    <w14:schemeClr w14:val="tx1"/>
                  </w14:solidFill>
                </w14:textFill>
              </w:rPr>
            </w:pPr>
          </w:p>
        </w:tc>
      </w:tr>
      <w:tr w14:paraId="02DCB4E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636" w:type="pct"/>
            <w:vMerge w:val="restart"/>
            <w:vAlign w:val="center"/>
          </w:tcPr>
          <w:p w14:paraId="340D12E9">
            <w:pPr>
              <w:pStyle w:val="342"/>
              <w:tabs>
                <w:tab w:val="left" w:pos="1333"/>
              </w:tabs>
              <w:overflowPunct w:val="0"/>
              <w:snapToGrid w:val="0"/>
              <w:spacing w:line="300" w:lineRule="exact"/>
              <w:rPr>
                <w:snapToGrid w:val="0"/>
                <w:color w:val="000000" w:themeColor="text1"/>
                <w:sz w:val="21"/>
                <w:szCs w:val="21"/>
                <w14:textFill>
                  <w14:solidFill>
                    <w14:schemeClr w14:val="tx1"/>
                  </w14:solidFill>
                </w14:textFill>
              </w:rPr>
            </w:pPr>
            <w:r>
              <w:rPr>
                <w:rFonts w:hint="eastAsia"/>
                <w:snapToGrid w:val="0"/>
                <w:color w:val="000000" w:themeColor="text1"/>
                <w:sz w:val="21"/>
                <w:szCs w:val="21"/>
                <w14:textFill>
                  <w14:solidFill>
                    <w14:schemeClr w14:val="tx1"/>
                  </w14:solidFill>
                </w14:textFill>
              </w:rPr>
              <w:t>JHW</w:t>
            </w:r>
            <w:r>
              <w:rPr>
                <w:snapToGrid w:val="0"/>
                <w:color w:val="000000" w:themeColor="text1"/>
                <w:sz w:val="21"/>
                <w:szCs w:val="21"/>
                <w14:textFill>
                  <w14:solidFill>
                    <w14:schemeClr w14:val="tx1"/>
                  </w14:solidFill>
                </w14:textFill>
              </w:rPr>
              <w:t>035</w:t>
            </w:r>
          </w:p>
        </w:tc>
        <w:tc>
          <w:tcPr>
            <w:tcW w:w="1125" w:type="pct"/>
            <w:vAlign w:val="center"/>
          </w:tcPr>
          <w:p w14:paraId="749B3A66">
            <w:pPr>
              <w:pStyle w:val="342"/>
              <w:tabs>
                <w:tab w:val="left" w:pos="1333"/>
              </w:tabs>
              <w:overflowPunct w:val="0"/>
              <w:snapToGrid w:val="0"/>
              <w:spacing w:line="300" w:lineRule="exact"/>
              <w:rPr>
                <w:snapToGrid w:val="0"/>
                <w:color w:val="000000" w:themeColor="text1"/>
                <w:sz w:val="21"/>
                <w:szCs w:val="21"/>
                <w14:textFill>
                  <w14:solidFill>
                    <w14:schemeClr w14:val="tx1"/>
                  </w14:solidFill>
                </w14:textFill>
              </w:rPr>
            </w:pPr>
            <w:r>
              <w:rPr>
                <w:rFonts w:hint="eastAsia"/>
                <w:snapToGrid w:val="0"/>
                <w:color w:val="000000" w:themeColor="text1"/>
                <w:sz w:val="21"/>
                <w:szCs w:val="21"/>
                <w14:textFill>
                  <w14:solidFill>
                    <w14:schemeClr w14:val="tx1"/>
                  </w14:solidFill>
                </w14:textFill>
              </w:rPr>
              <w:t>投捞式电潜螺杆泵</w:t>
            </w:r>
          </w:p>
        </w:tc>
        <w:tc>
          <w:tcPr>
            <w:tcW w:w="485" w:type="pct"/>
            <w:vAlign w:val="center"/>
          </w:tcPr>
          <w:p w14:paraId="021C5F62">
            <w:pPr>
              <w:pStyle w:val="342"/>
              <w:tabs>
                <w:tab w:val="left" w:pos="1333"/>
              </w:tabs>
              <w:overflowPunct w:val="0"/>
              <w:snapToGrid w:val="0"/>
              <w:spacing w:line="300" w:lineRule="exact"/>
              <w:rPr>
                <w:rFonts w:hint="eastAsia" w:hAnsi="宋体" w:cs="Times New Roman"/>
                <w:snapToGrid w:val="0"/>
                <w:color w:val="000000" w:themeColor="text1"/>
                <w:sz w:val="21"/>
                <w:szCs w:val="21"/>
                <w14:textFill>
                  <w14:solidFill>
                    <w14:schemeClr w14:val="tx1"/>
                  </w14:solidFill>
                </w14:textFill>
              </w:rPr>
            </w:pPr>
            <w:r>
              <w:rPr>
                <w:rFonts w:hint="eastAsia"/>
                <w:snapToGrid w:val="0"/>
                <w:color w:val="000000" w:themeColor="text1"/>
                <w:sz w:val="21"/>
                <w:szCs w:val="21"/>
                <w14:textFill>
                  <w14:solidFill>
                    <w14:schemeClr w14:val="tx1"/>
                  </w14:solidFill>
                </w14:textFill>
              </w:rPr>
              <w:t>1</w:t>
            </w:r>
          </w:p>
        </w:tc>
        <w:tc>
          <w:tcPr>
            <w:tcW w:w="519" w:type="pct"/>
            <w:vAlign w:val="top"/>
          </w:tcPr>
          <w:p w14:paraId="1583DDB0">
            <w:pPr>
              <w:pStyle w:val="342"/>
              <w:overflowPunct w:val="0"/>
              <w:snapToGrid w:val="0"/>
              <w:spacing w:line="300" w:lineRule="exact"/>
              <w:rPr>
                <w:rFonts w:hint="eastAsia" w:hAnsi="宋体"/>
                <w:snapToGrid w:val="0"/>
                <w:color w:val="000000" w:themeColor="text1"/>
                <w:sz w:val="21"/>
                <w:szCs w:val="21"/>
                <w14:textFill>
                  <w14:solidFill>
                    <w14:schemeClr w14:val="tx1"/>
                  </w14:solidFill>
                </w14:textFill>
              </w:rPr>
            </w:pPr>
            <w:r>
              <w:rPr>
                <w:rFonts w:hint="eastAsia" w:hAnsi="宋体"/>
                <w:snapToGrid w:val="0"/>
                <w:color w:val="000000" w:themeColor="text1"/>
                <w:sz w:val="21"/>
                <w:szCs w:val="21"/>
                <w14:textFill>
                  <w14:solidFill>
                    <w14:schemeClr w14:val="tx1"/>
                  </w14:solidFill>
                </w14:textFill>
              </w:rPr>
              <w:t>85-90</w:t>
            </w:r>
          </w:p>
        </w:tc>
        <w:tc>
          <w:tcPr>
            <w:tcW w:w="330" w:type="pct"/>
            <w:vAlign w:val="center"/>
          </w:tcPr>
          <w:p w14:paraId="7EDC6D6C">
            <w:pPr>
              <w:pStyle w:val="342"/>
              <w:overflowPunct w:val="0"/>
              <w:snapToGrid w:val="0"/>
              <w:spacing w:line="300" w:lineRule="exact"/>
              <w:rPr>
                <w:rFonts w:hint="eastAsia" w:hAnsi="宋体"/>
                <w:snapToGrid w:val="0"/>
                <w:color w:val="000000" w:themeColor="text1"/>
                <w:sz w:val="21"/>
                <w:szCs w:val="21"/>
                <w14:textFill>
                  <w14:solidFill>
                    <w14:schemeClr w14:val="tx1"/>
                  </w14:solidFill>
                </w14:textFill>
              </w:rPr>
            </w:pPr>
            <w:r>
              <w:rPr>
                <w:rFonts w:hint="eastAsia" w:hAnsi="宋体"/>
                <w:snapToGrid w:val="0"/>
                <w:color w:val="000000" w:themeColor="text1"/>
                <w:sz w:val="21"/>
                <w:szCs w:val="21"/>
                <w14:textFill>
                  <w14:solidFill>
                    <w14:schemeClr w14:val="tx1"/>
                  </w14:solidFill>
                </w14:textFill>
              </w:rPr>
              <w:t>27</w:t>
            </w:r>
          </w:p>
        </w:tc>
        <w:tc>
          <w:tcPr>
            <w:tcW w:w="330" w:type="pct"/>
            <w:vAlign w:val="center"/>
          </w:tcPr>
          <w:p w14:paraId="695EB9D3">
            <w:pPr>
              <w:pStyle w:val="342"/>
              <w:overflowPunct w:val="0"/>
              <w:snapToGrid w:val="0"/>
              <w:spacing w:line="300" w:lineRule="exact"/>
              <w:rPr>
                <w:rFonts w:hint="eastAsia" w:hAnsi="宋体"/>
                <w:snapToGrid w:val="0"/>
                <w:color w:val="000000" w:themeColor="text1"/>
                <w:sz w:val="21"/>
                <w:szCs w:val="21"/>
                <w14:textFill>
                  <w14:solidFill>
                    <w14:schemeClr w14:val="tx1"/>
                  </w14:solidFill>
                </w14:textFill>
              </w:rPr>
            </w:pPr>
            <w:r>
              <w:rPr>
                <w:rFonts w:hint="eastAsia" w:hAnsi="宋体"/>
                <w:snapToGrid w:val="0"/>
                <w:color w:val="000000" w:themeColor="text1"/>
                <w:sz w:val="21"/>
                <w:szCs w:val="21"/>
                <w14:textFill>
                  <w14:solidFill>
                    <w14:schemeClr w14:val="tx1"/>
                  </w14:solidFill>
                </w14:textFill>
              </w:rPr>
              <w:t>25</w:t>
            </w:r>
          </w:p>
        </w:tc>
        <w:tc>
          <w:tcPr>
            <w:tcW w:w="329" w:type="pct"/>
            <w:vAlign w:val="center"/>
          </w:tcPr>
          <w:p w14:paraId="720BBB93">
            <w:pPr>
              <w:pStyle w:val="342"/>
              <w:overflowPunct w:val="0"/>
              <w:snapToGrid w:val="0"/>
              <w:spacing w:line="300" w:lineRule="exact"/>
              <w:rPr>
                <w:rFonts w:hint="eastAsia" w:hAnsi="宋体"/>
                <w:snapToGrid w:val="0"/>
                <w:color w:val="000000" w:themeColor="text1"/>
                <w:sz w:val="21"/>
                <w:szCs w:val="21"/>
                <w14:textFill>
                  <w14:solidFill>
                    <w14:schemeClr w14:val="tx1"/>
                  </w14:solidFill>
                </w14:textFill>
              </w:rPr>
            </w:pPr>
            <w:r>
              <w:rPr>
                <w:rFonts w:hint="eastAsia" w:hAnsi="宋体"/>
                <w:snapToGrid w:val="0"/>
                <w:color w:val="000000" w:themeColor="text1"/>
                <w:sz w:val="21"/>
                <w:szCs w:val="21"/>
                <w14:textFill>
                  <w14:solidFill>
                    <w14:schemeClr w14:val="tx1"/>
                  </w14:solidFill>
                </w14:textFill>
              </w:rPr>
              <w:t>0.5</w:t>
            </w:r>
          </w:p>
        </w:tc>
        <w:tc>
          <w:tcPr>
            <w:tcW w:w="686" w:type="pct"/>
            <w:vMerge w:val="restart"/>
            <w:vAlign w:val="center"/>
          </w:tcPr>
          <w:p w14:paraId="4727F422">
            <w:pPr>
              <w:pStyle w:val="342"/>
              <w:overflowPunct w:val="0"/>
              <w:snapToGrid w:val="0"/>
              <w:spacing w:line="300" w:lineRule="exact"/>
              <w:rPr>
                <w:rFonts w:hint="eastAsia" w:hAnsi="宋体"/>
                <w:snapToGrid w:val="0"/>
                <w:color w:val="000000" w:themeColor="text1"/>
                <w:sz w:val="21"/>
                <w:szCs w:val="21"/>
                <w14:textFill>
                  <w14:solidFill>
                    <w14:schemeClr w14:val="tx1"/>
                  </w14:solidFill>
                </w14:textFill>
              </w:rPr>
            </w:pPr>
            <w:r>
              <w:rPr>
                <w:rFonts w:hint="eastAsia" w:hAnsi="宋体"/>
                <w:snapToGrid w:val="0"/>
                <w:color w:val="000000" w:themeColor="text1"/>
                <w:sz w:val="21"/>
                <w:szCs w:val="21"/>
                <w14:textFill>
                  <w14:solidFill>
                    <w14:schemeClr w14:val="tx1"/>
                  </w14:solidFill>
                </w14:textFill>
              </w:rPr>
              <w:t>优化站场总图布置，采用低噪声设备、基础减振</w:t>
            </w:r>
          </w:p>
        </w:tc>
        <w:tc>
          <w:tcPr>
            <w:tcW w:w="560" w:type="pct"/>
            <w:vMerge w:val="restart"/>
            <w:vAlign w:val="center"/>
          </w:tcPr>
          <w:p w14:paraId="62CD8E65">
            <w:pPr>
              <w:pStyle w:val="342"/>
              <w:overflowPunct w:val="0"/>
              <w:snapToGrid w:val="0"/>
              <w:spacing w:line="300" w:lineRule="exact"/>
              <w:rPr>
                <w:rFonts w:hint="eastAsia" w:hAnsi="宋体"/>
                <w:snapToGrid w:val="0"/>
                <w:color w:val="000000" w:themeColor="text1"/>
                <w:sz w:val="21"/>
                <w:szCs w:val="21"/>
                <w14:textFill>
                  <w14:solidFill>
                    <w14:schemeClr w14:val="tx1"/>
                  </w14:solidFill>
                </w14:textFill>
              </w:rPr>
            </w:pPr>
            <w:r>
              <w:rPr>
                <w:rFonts w:hint="eastAsia" w:hAnsi="宋体"/>
                <w:snapToGrid w:val="0"/>
                <w:color w:val="000000" w:themeColor="text1"/>
                <w:sz w:val="21"/>
                <w:szCs w:val="21"/>
                <w14:textFill>
                  <w14:solidFill>
                    <w14:schemeClr w14:val="tx1"/>
                  </w14:solidFill>
                </w14:textFill>
              </w:rPr>
              <w:t>昼夜连续运行</w:t>
            </w:r>
          </w:p>
        </w:tc>
      </w:tr>
      <w:tr w14:paraId="6DCF71D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636" w:type="pct"/>
            <w:vMerge w:val="continue"/>
            <w:vAlign w:val="center"/>
          </w:tcPr>
          <w:p w14:paraId="6815A1B7">
            <w:pPr>
              <w:pStyle w:val="342"/>
              <w:tabs>
                <w:tab w:val="left" w:pos="1333"/>
              </w:tabs>
              <w:overflowPunct w:val="0"/>
              <w:snapToGrid w:val="0"/>
              <w:spacing w:line="300" w:lineRule="exact"/>
              <w:rPr>
                <w:snapToGrid w:val="0"/>
                <w:color w:val="000000" w:themeColor="text1"/>
                <w:sz w:val="21"/>
                <w:szCs w:val="21"/>
                <w14:textFill>
                  <w14:solidFill>
                    <w14:schemeClr w14:val="tx1"/>
                  </w14:solidFill>
                </w14:textFill>
              </w:rPr>
            </w:pPr>
          </w:p>
        </w:tc>
        <w:tc>
          <w:tcPr>
            <w:tcW w:w="1125" w:type="pct"/>
            <w:vAlign w:val="center"/>
          </w:tcPr>
          <w:p w14:paraId="20E9DD79">
            <w:pPr>
              <w:pStyle w:val="342"/>
              <w:tabs>
                <w:tab w:val="left" w:pos="1333"/>
              </w:tabs>
              <w:overflowPunct w:val="0"/>
              <w:snapToGrid w:val="0"/>
              <w:spacing w:line="300" w:lineRule="exact"/>
              <w:rPr>
                <w:snapToGrid w:val="0"/>
                <w:color w:val="000000" w:themeColor="text1"/>
                <w:sz w:val="21"/>
                <w:szCs w:val="21"/>
                <w14:textFill>
                  <w14:solidFill>
                    <w14:schemeClr w14:val="tx1"/>
                  </w14:solidFill>
                </w14:textFill>
              </w:rPr>
            </w:pPr>
            <w:r>
              <w:rPr>
                <w:rFonts w:hint="eastAsia"/>
                <w:snapToGrid w:val="0"/>
                <w:color w:val="000000" w:themeColor="text1"/>
                <w:sz w:val="21"/>
                <w:szCs w:val="21"/>
                <w14:textFill>
                  <w14:solidFill>
                    <w14:schemeClr w14:val="tx1"/>
                  </w14:solidFill>
                </w14:textFill>
              </w:rPr>
              <w:t>高压往复泵</w:t>
            </w:r>
          </w:p>
        </w:tc>
        <w:tc>
          <w:tcPr>
            <w:tcW w:w="485" w:type="pct"/>
            <w:vAlign w:val="center"/>
          </w:tcPr>
          <w:p w14:paraId="46E23C54">
            <w:pPr>
              <w:pStyle w:val="342"/>
              <w:tabs>
                <w:tab w:val="left" w:pos="1333"/>
              </w:tabs>
              <w:overflowPunct w:val="0"/>
              <w:snapToGrid w:val="0"/>
              <w:spacing w:line="300" w:lineRule="exact"/>
              <w:rPr>
                <w:snapToGrid w:val="0"/>
                <w:color w:val="000000" w:themeColor="text1"/>
                <w:sz w:val="21"/>
                <w:szCs w:val="21"/>
                <w14:textFill>
                  <w14:solidFill>
                    <w14:schemeClr w14:val="tx1"/>
                  </w14:solidFill>
                </w14:textFill>
              </w:rPr>
            </w:pPr>
            <w:r>
              <w:rPr>
                <w:rFonts w:hint="eastAsia"/>
                <w:snapToGrid w:val="0"/>
                <w:color w:val="000000" w:themeColor="text1"/>
                <w:sz w:val="21"/>
                <w:szCs w:val="21"/>
                <w14:textFill>
                  <w14:solidFill>
                    <w14:schemeClr w14:val="tx1"/>
                  </w14:solidFill>
                </w14:textFill>
              </w:rPr>
              <w:t>2</w:t>
            </w:r>
          </w:p>
        </w:tc>
        <w:tc>
          <w:tcPr>
            <w:tcW w:w="519" w:type="pct"/>
            <w:vAlign w:val="top"/>
          </w:tcPr>
          <w:p w14:paraId="70314664">
            <w:pPr>
              <w:pStyle w:val="342"/>
              <w:overflowPunct w:val="0"/>
              <w:snapToGrid w:val="0"/>
              <w:spacing w:line="300" w:lineRule="exact"/>
              <w:rPr>
                <w:rFonts w:hint="eastAsia" w:hAnsi="宋体"/>
                <w:snapToGrid w:val="0"/>
                <w:color w:val="000000" w:themeColor="text1"/>
                <w:sz w:val="21"/>
                <w:szCs w:val="21"/>
                <w14:textFill>
                  <w14:solidFill>
                    <w14:schemeClr w14:val="tx1"/>
                  </w14:solidFill>
                </w14:textFill>
              </w:rPr>
            </w:pPr>
            <w:r>
              <w:rPr>
                <w:rFonts w:hint="eastAsia" w:hAnsi="宋体"/>
                <w:snapToGrid w:val="0"/>
                <w:color w:val="000000" w:themeColor="text1"/>
                <w:sz w:val="21"/>
                <w:szCs w:val="21"/>
                <w14:textFill>
                  <w14:solidFill>
                    <w14:schemeClr w14:val="tx1"/>
                  </w14:solidFill>
                </w14:textFill>
              </w:rPr>
              <w:t>85-90</w:t>
            </w:r>
          </w:p>
        </w:tc>
        <w:tc>
          <w:tcPr>
            <w:tcW w:w="330" w:type="pct"/>
            <w:vAlign w:val="center"/>
          </w:tcPr>
          <w:p w14:paraId="2D666F67">
            <w:pPr>
              <w:pStyle w:val="342"/>
              <w:overflowPunct w:val="0"/>
              <w:snapToGrid w:val="0"/>
              <w:spacing w:line="300" w:lineRule="exact"/>
              <w:rPr>
                <w:rFonts w:hint="eastAsia" w:hAnsi="宋体"/>
                <w:snapToGrid w:val="0"/>
                <w:color w:val="000000" w:themeColor="text1"/>
                <w:sz w:val="21"/>
                <w:szCs w:val="21"/>
                <w14:textFill>
                  <w14:solidFill>
                    <w14:schemeClr w14:val="tx1"/>
                  </w14:solidFill>
                </w14:textFill>
              </w:rPr>
            </w:pPr>
            <w:r>
              <w:rPr>
                <w:rFonts w:hint="eastAsia" w:hAnsi="宋体"/>
                <w:snapToGrid w:val="0"/>
                <w:color w:val="000000" w:themeColor="text1"/>
                <w:sz w:val="21"/>
                <w:szCs w:val="21"/>
                <w14:textFill>
                  <w14:solidFill>
                    <w14:schemeClr w14:val="tx1"/>
                  </w14:solidFill>
                </w14:textFill>
              </w:rPr>
              <w:t>14</w:t>
            </w:r>
          </w:p>
        </w:tc>
        <w:tc>
          <w:tcPr>
            <w:tcW w:w="330" w:type="pct"/>
            <w:vAlign w:val="center"/>
          </w:tcPr>
          <w:p w14:paraId="4DCC8CAC">
            <w:pPr>
              <w:pStyle w:val="342"/>
              <w:overflowPunct w:val="0"/>
              <w:snapToGrid w:val="0"/>
              <w:spacing w:line="300" w:lineRule="exact"/>
              <w:rPr>
                <w:rFonts w:hint="eastAsia" w:hAnsi="宋体"/>
                <w:snapToGrid w:val="0"/>
                <w:color w:val="000000" w:themeColor="text1"/>
                <w:sz w:val="21"/>
                <w:szCs w:val="21"/>
                <w14:textFill>
                  <w14:solidFill>
                    <w14:schemeClr w14:val="tx1"/>
                  </w14:solidFill>
                </w14:textFill>
              </w:rPr>
            </w:pPr>
            <w:r>
              <w:rPr>
                <w:rFonts w:hint="eastAsia" w:hAnsi="宋体"/>
                <w:snapToGrid w:val="0"/>
                <w:color w:val="000000" w:themeColor="text1"/>
                <w:sz w:val="21"/>
                <w:szCs w:val="21"/>
                <w14:textFill>
                  <w14:solidFill>
                    <w14:schemeClr w14:val="tx1"/>
                  </w14:solidFill>
                </w14:textFill>
              </w:rPr>
              <w:t>12</w:t>
            </w:r>
          </w:p>
        </w:tc>
        <w:tc>
          <w:tcPr>
            <w:tcW w:w="329" w:type="pct"/>
            <w:vAlign w:val="center"/>
          </w:tcPr>
          <w:p w14:paraId="3B3D7C8C">
            <w:pPr>
              <w:pStyle w:val="342"/>
              <w:overflowPunct w:val="0"/>
              <w:snapToGrid w:val="0"/>
              <w:spacing w:line="300" w:lineRule="exact"/>
              <w:rPr>
                <w:rFonts w:hint="eastAsia" w:hAnsi="宋体"/>
                <w:snapToGrid w:val="0"/>
                <w:color w:val="000000" w:themeColor="text1"/>
                <w:sz w:val="21"/>
                <w:szCs w:val="21"/>
                <w14:textFill>
                  <w14:solidFill>
                    <w14:schemeClr w14:val="tx1"/>
                  </w14:solidFill>
                </w14:textFill>
              </w:rPr>
            </w:pPr>
            <w:r>
              <w:rPr>
                <w:rFonts w:hint="eastAsia" w:hAnsi="宋体"/>
                <w:snapToGrid w:val="0"/>
                <w:color w:val="000000" w:themeColor="text1"/>
                <w:sz w:val="21"/>
                <w:szCs w:val="21"/>
                <w14:textFill>
                  <w14:solidFill>
                    <w14:schemeClr w14:val="tx1"/>
                  </w14:solidFill>
                </w14:textFill>
              </w:rPr>
              <w:t>0.5</w:t>
            </w:r>
          </w:p>
        </w:tc>
        <w:tc>
          <w:tcPr>
            <w:tcW w:w="686" w:type="pct"/>
            <w:vMerge w:val="continue"/>
            <w:vAlign w:val="center"/>
          </w:tcPr>
          <w:p w14:paraId="40DFED70">
            <w:pPr>
              <w:pStyle w:val="342"/>
              <w:overflowPunct w:val="0"/>
              <w:snapToGrid w:val="0"/>
              <w:spacing w:line="300" w:lineRule="exact"/>
              <w:rPr>
                <w:rFonts w:hint="eastAsia" w:hAnsi="宋体"/>
                <w:snapToGrid w:val="0"/>
                <w:color w:val="000000" w:themeColor="text1"/>
                <w:sz w:val="21"/>
                <w:szCs w:val="21"/>
                <w14:textFill>
                  <w14:solidFill>
                    <w14:schemeClr w14:val="tx1"/>
                  </w14:solidFill>
                </w14:textFill>
              </w:rPr>
            </w:pPr>
          </w:p>
        </w:tc>
        <w:tc>
          <w:tcPr>
            <w:tcW w:w="560" w:type="pct"/>
            <w:vMerge w:val="continue"/>
            <w:vAlign w:val="center"/>
          </w:tcPr>
          <w:p w14:paraId="69A4AEB6">
            <w:pPr>
              <w:pStyle w:val="342"/>
              <w:overflowPunct w:val="0"/>
              <w:snapToGrid w:val="0"/>
              <w:spacing w:line="300" w:lineRule="exact"/>
              <w:rPr>
                <w:rFonts w:hint="eastAsia" w:hAnsi="宋体"/>
                <w:snapToGrid w:val="0"/>
                <w:color w:val="000000" w:themeColor="text1"/>
                <w:sz w:val="21"/>
                <w:szCs w:val="21"/>
                <w14:textFill>
                  <w14:solidFill>
                    <w14:schemeClr w14:val="tx1"/>
                  </w14:solidFill>
                </w14:textFill>
              </w:rPr>
            </w:pPr>
          </w:p>
        </w:tc>
      </w:tr>
      <w:tr w14:paraId="09143D3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636" w:type="pct"/>
            <w:vMerge w:val="continue"/>
            <w:vAlign w:val="center"/>
          </w:tcPr>
          <w:p w14:paraId="4A4EB991">
            <w:pPr>
              <w:pStyle w:val="342"/>
              <w:tabs>
                <w:tab w:val="left" w:pos="1333"/>
              </w:tabs>
              <w:overflowPunct w:val="0"/>
              <w:snapToGrid w:val="0"/>
              <w:spacing w:line="300" w:lineRule="exact"/>
              <w:rPr>
                <w:snapToGrid w:val="0"/>
                <w:color w:val="000000" w:themeColor="text1"/>
                <w:sz w:val="21"/>
                <w:szCs w:val="21"/>
                <w14:textFill>
                  <w14:solidFill>
                    <w14:schemeClr w14:val="tx1"/>
                  </w14:solidFill>
                </w14:textFill>
              </w:rPr>
            </w:pPr>
          </w:p>
        </w:tc>
        <w:tc>
          <w:tcPr>
            <w:tcW w:w="1125" w:type="pct"/>
            <w:vAlign w:val="center"/>
          </w:tcPr>
          <w:p w14:paraId="4931CAB7">
            <w:pPr>
              <w:pStyle w:val="342"/>
              <w:tabs>
                <w:tab w:val="left" w:pos="1333"/>
              </w:tabs>
              <w:overflowPunct w:val="0"/>
              <w:snapToGrid w:val="0"/>
              <w:spacing w:line="300" w:lineRule="exact"/>
              <w:rPr>
                <w:snapToGrid w:val="0"/>
                <w:color w:val="000000" w:themeColor="text1"/>
                <w:sz w:val="21"/>
                <w:szCs w:val="21"/>
                <w14:textFill>
                  <w14:solidFill>
                    <w14:schemeClr w14:val="tx1"/>
                  </w14:solidFill>
                </w14:textFill>
              </w:rPr>
            </w:pPr>
            <w:r>
              <w:rPr>
                <w:rFonts w:hint="eastAsia"/>
                <w:snapToGrid w:val="0"/>
                <w:color w:val="000000" w:themeColor="text1"/>
                <w:sz w:val="21"/>
                <w:szCs w:val="21"/>
                <w14:textFill>
                  <w14:solidFill>
                    <w14:schemeClr w14:val="tx1"/>
                  </w14:solidFill>
                </w14:textFill>
              </w:rPr>
              <w:t>二氧化碳专用泵</w:t>
            </w:r>
          </w:p>
        </w:tc>
        <w:tc>
          <w:tcPr>
            <w:tcW w:w="485" w:type="pct"/>
            <w:vAlign w:val="center"/>
          </w:tcPr>
          <w:p w14:paraId="163A9C8F">
            <w:pPr>
              <w:pStyle w:val="342"/>
              <w:tabs>
                <w:tab w:val="left" w:pos="1333"/>
              </w:tabs>
              <w:overflowPunct w:val="0"/>
              <w:snapToGrid w:val="0"/>
              <w:spacing w:line="300" w:lineRule="exact"/>
              <w:rPr>
                <w:snapToGrid w:val="0"/>
                <w:color w:val="000000" w:themeColor="text1"/>
                <w:sz w:val="21"/>
                <w:szCs w:val="21"/>
                <w14:textFill>
                  <w14:solidFill>
                    <w14:schemeClr w14:val="tx1"/>
                  </w14:solidFill>
                </w14:textFill>
              </w:rPr>
            </w:pPr>
            <w:r>
              <w:rPr>
                <w:rFonts w:hint="eastAsia"/>
                <w:snapToGrid w:val="0"/>
                <w:color w:val="000000" w:themeColor="text1"/>
                <w:sz w:val="21"/>
                <w:szCs w:val="21"/>
                <w14:textFill>
                  <w14:solidFill>
                    <w14:schemeClr w14:val="tx1"/>
                  </w14:solidFill>
                </w14:textFill>
              </w:rPr>
              <w:t>2</w:t>
            </w:r>
          </w:p>
        </w:tc>
        <w:tc>
          <w:tcPr>
            <w:tcW w:w="519" w:type="pct"/>
            <w:vAlign w:val="top"/>
          </w:tcPr>
          <w:p w14:paraId="6194D7C3">
            <w:pPr>
              <w:pStyle w:val="342"/>
              <w:overflowPunct w:val="0"/>
              <w:snapToGrid w:val="0"/>
              <w:spacing w:line="300" w:lineRule="exact"/>
              <w:rPr>
                <w:rFonts w:hint="eastAsia" w:hAnsi="宋体"/>
                <w:snapToGrid w:val="0"/>
                <w:color w:val="000000" w:themeColor="text1"/>
                <w:sz w:val="21"/>
                <w:szCs w:val="21"/>
                <w14:textFill>
                  <w14:solidFill>
                    <w14:schemeClr w14:val="tx1"/>
                  </w14:solidFill>
                </w14:textFill>
              </w:rPr>
            </w:pPr>
            <w:r>
              <w:rPr>
                <w:rFonts w:hint="eastAsia" w:hAnsi="宋体"/>
                <w:snapToGrid w:val="0"/>
                <w:color w:val="000000" w:themeColor="text1"/>
                <w:sz w:val="21"/>
                <w:szCs w:val="21"/>
                <w14:textFill>
                  <w14:solidFill>
                    <w14:schemeClr w14:val="tx1"/>
                  </w14:solidFill>
                </w14:textFill>
              </w:rPr>
              <w:t>85-90</w:t>
            </w:r>
          </w:p>
        </w:tc>
        <w:tc>
          <w:tcPr>
            <w:tcW w:w="330" w:type="pct"/>
            <w:vAlign w:val="center"/>
          </w:tcPr>
          <w:p w14:paraId="26264E6D">
            <w:pPr>
              <w:pStyle w:val="342"/>
              <w:overflowPunct w:val="0"/>
              <w:snapToGrid w:val="0"/>
              <w:spacing w:line="300" w:lineRule="exact"/>
              <w:rPr>
                <w:rFonts w:hint="eastAsia" w:hAnsi="宋体"/>
                <w:snapToGrid w:val="0"/>
                <w:color w:val="000000" w:themeColor="text1"/>
                <w:sz w:val="21"/>
                <w:szCs w:val="21"/>
                <w14:textFill>
                  <w14:solidFill>
                    <w14:schemeClr w14:val="tx1"/>
                  </w14:solidFill>
                </w14:textFill>
              </w:rPr>
            </w:pPr>
            <w:r>
              <w:rPr>
                <w:rFonts w:hint="eastAsia" w:hAnsi="宋体"/>
                <w:snapToGrid w:val="0"/>
                <w:color w:val="000000" w:themeColor="text1"/>
                <w:sz w:val="21"/>
                <w:szCs w:val="21"/>
                <w14:textFill>
                  <w14:solidFill>
                    <w14:schemeClr w14:val="tx1"/>
                  </w14:solidFill>
                </w14:textFill>
              </w:rPr>
              <w:t>14</w:t>
            </w:r>
          </w:p>
        </w:tc>
        <w:tc>
          <w:tcPr>
            <w:tcW w:w="330" w:type="pct"/>
            <w:vAlign w:val="center"/>
          </w:tcPr>
          <w:p w14:paraId="269B655F">
            <w:pPr>
              <w:pStyle w:val="342"/>
              <w:overflowPunct w:val="0"/>
              <w:snapToGrid w:val="0"/>
              <w:spacing w:line="300" w:lineRule="exact"/>
              <w:rPr>
                <w:rFonts w:hint="eastAsia" w:hAnsi="宋体"/>
                <w:snapToGrid w:val="0"/>
                <w:color w:val="000000" w:themeColor="text1"/>
                <w:sz w:val="21"/>
                <w:szCs w:val="21"/>
                <w14:textFill>
                  <w14:solidFill>
                    <w14:schemeClr w14:val="tx1"/>
                  </w14:solidFill>
                </w14:textFill>
              </w:rPr>
            </w:pPr>
            <w:r>
              <w:rPr>
                <w:rFonts w:hint="eastAsia" w:hAnsi="宋体"/>
                <w:snapToGrid w:val="0"/>
                <w:color w:val="000000" w:themeColor="text1"/>
                <w:sz w:val="21"/>
                <w:szCs w:val="21"/>
                <w14:textFill>
                  <w14:solidFill>
                    <w14:schemeClr w14:val="tx1"/>
                  </w14:solidFill>
                </w14:textFill>
              </w:rPr>
              <w:t>8</w:t>
            </w:r>
          </w:p>
        </w:tc>
        <w:tc>
          <w:tcPr>
            <w:tcW w:w="329" w:type="pct"/>
            <w:vAlign w:val="center"/>
          </w:tcPr>
          <w:p w14:paraId="328CA2B6">
            <w:pPr>
              <w:pStyle w:val="342"/>
              <w:overflowPunct w:val="0"/>
              <w:snapToGrid w:val="0"/>
              <w:spacing w:line="300" w:lineRule="exact"/>
              <w:rPr>
                <w:rFonts w:hint="eastAsia" w:hAnsi="宋体"/>
                <w:snapToGrid w:val="0"/>
                <w:color w:val="000000" w:themeColor="text1"/>
                <w:sz w:val="21"/>
                <w:szCs w:val="21"/>
                <w14:textFill>
                  <w14:solidFill>
                    <w14:schemeClr w14:val="tx1"/>
                  </w14:solidFill>
                </w14:textFill>
              </w:rPr>
            </w:pPr>
            <w:r>
              <w:rPr>
                <w:rFonts w:hint="eastAsia" w:hAnsi="宋体"/>
                <w:snapToGrid w:val="0"/>
                <w:color w:val="000000" w:themeColor="text1"/>
                <w:sz w:val="21"/>
                <w:szCs w:val="21"/>
                <w14:textFill>
                  <w14:solidFill>
                    <w14:schemeClr w14:val="tx1"/>
                  </w14:solidFill>
                </w14:textFill>
              </w:rPr>
              <w:t>0.5</w:t>
            </w:r>
          </w:p>
        </w:tc>
        <w:tc>
          <w:tcPr>
            <w:tcW w:w="686" w:type="pct"/>
            <w:vMerge w:val="continue"/>
            <w:vAlign w:val="center"/>
          </w:tcPr>
          <w:p w14:paraId="584AF89B">
            <w:pPr>
              <w:pStyle w:val="342"/>
              <w:overflowPunct w:val="0"/>
              <w:snapToGrid w:val="0"/>
              <w:spacing w:line="300" w:lineRule="exact"/>
              <w:rPr>
                <w:rFonts w:hint="eastAsia" w:hAnsi="宋体"/>
                <w:snapToGrid w:val="0"/>
                <w:color w:val="000000" w:themeColor="text1"/>
                <w:sz w:val="21"/>
                <w:szCs w:val="21"/>
                <w14:textFill>
                  <w14:solidFill>
                    <w14:schemeClr w14:val="tx1"/>
                  </w14:solidFill>
                </w14:textFill>
              </w:rPr>
            </w:pPr>
          </w:p>
        </w:tc>
        <w:tc>
          <w:tcPr>
            <w:tcW w:w="560" w:type="pct"/>
            <w:vMerge w:val="continue"/>
            <w:vAlign w:val="center"/>
          </w:tcPr>
          <w:p w14:paraId="4F304001">
            <w:pPr>
              <w:pStyle w:val="342"/>
              <w:overflowPunct w:val="0"/>
              <w:snapToGrid w:val="0"/>
              <w:spacing w:line="300" w:lineRule="exact"/>
              <w:rPr>
                <w:rFonts w:hint="eastAsia" w:hAnsi="宋体"/>
                <w:snapToGrid w:val="0"/>
                <w:color w:val="000000" w:themeColor="text1"/>
                <w:sz w:val="21"/>
                <w:szCs w:val="21"/>
                <w14:textFill>
                  <w14:solidFill>
                    <w14:schemeClr w14:val="tx1"/>
                  </w14:solidFill>
                </w14:textFill>
              </w:rPr>
            </w:pPr>
          </w:p>
        </w:tc>
      </w:tr>
      <w:tr w14:paraId="79BD13E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636" w:type="pct"/>
            <w:vMerge w:val="continue"/>
            <w:vAlign w:val="center"/>
          </w:tcPr>
          <w:p w14:paraId="687CE1BC">
            <w:pPr>
              <w:pStyle w:val="342"/>
              <w:tabs>
                <w:tab w:val="left" w:pos="1333"/>
              </w:tabs>
              <w:overflowPunct w:val="0"/>
              <w:snapToGrid w:val="0"/>
              <w:spacing w:line="300" w:lineRule="exact"/>
              <w:rPr>
                <w:snapToGrid w:val="0"/>
                <w:color w:val="000000" w:themeColor="text1"/>
                <w:sz w:val="21"/>
                <w:szCs w:val="21"/>
                <w14:textFill>
                  <w14:solidFill>
                    <w14:schemeClr w14:val="tx1"/>
                  </w14:solidFill>
                </w14:textFill>
              </w:rPr>
            </w:pPr>
          </w:p>
        </w:tc>
        <w:tc>
          <w:tcPr>
            <w:tcW w:w="1125" w:type="pct"/>
            <w:vAlign w:val="center"/>
          </w:tcPr>
          <w:p w14:paraId="19ECCE14">
            <w:pPr>
              <w:pStyle w:val="342"/>
              <w:tabs>
                <w:tab w:val="left" w:pos="1333"/>
              </w:tabs>
              <w:overflowPunct w:val="0"/>
              <w:snapToGrid w:val="0"/>
              <w:spacing w:line="300" w:lineRule="exact"/>
              <w:rPr>
                <w:snapToGrid w:val="0"/>
                <w:color w:val="000000" w:themeColor="text1"/>
                <w:sz w:val="21"/>
                <w:szCs w:val="21"/>
                <w14:textFill>
                  <w14:solidFill>
                    <w14:schemeClr w14:val="tx1"/>
                  </w14:solidFill>
                </w14:textFill>
              </w:rPr>
            </w:pPr>
            <w:r>
              <w:rPr>
                <w:rFonts w:hint="eastAsia"/>
                <w:snapToGrid w:val="0"/>
                <w:color w:val="000000" w:themeColor="text1"/>
                <w:sz w:val="21"/>
                <w:szCs w:val="21"/>
                <w14:textFill>
                  <w14:solidFill>
                    <w14:schemeClr w14:val="tx1"/>
                  </w14:solidFill>
                </w14:textFill>
              </w:rPr>
              <w:t>隔爆屏蔽泵</w:t>
            </w:r>
          </w:p>
        </w:tc>
        <w:tc>
          <w:tcPr>
            <w:tcW w:w="485" w:type="pct"/>
            <w:vAlign w:val="center"/>
          </w:tcPr>
          <w:p w14:paraId="2CAA9482">
            <w:pPr>
              <w:pStyle w:val="342"/>
              <w:tabs>
                <w:tab w:val="left" w:pos="1333"/>
              </w:tabs>
              <w:overflowPunct w:val="0"/>
              <w:snapToGrid w:val="0"/>
              <w:spacing w:line="300" w:lineRule="exact"/>
              <w:rPr>
                <w:snapToGrid w:val="0"/>
                <w:color w:val="000000" w:themeColor="text1"/>
                <w:sz w:val="21"/>
                <w:szCs w:val="21"/>
                <w14:textFill>
                  <w14:solidFill>
                    <w14:schemeClr w14:val="tx1"/>
                  </w14:solidFill>
                </w14:textFill>
              </w:rPr>
            </w:pPr>
            <w:r>
              <w:rPr>
                <w:rFonts w:hint="eastAsia"/>
                <w:snapToGrid w:val="0"/>
                <w:color w:val="000000" w:themeColor="text1"/>
                <w:sz w:val="21"/>
                <w:szCs w:val="21"/>
                <w14:textFill>
                  <w14:solidFill>
                    <w14:schemeClr w14:val="tx1"/>
                  </w14:solidFill>
                </w14:textFill>
              </w:rPr>
              <w:t>1</w:t>
            </w:r>
          </w:p>
        </w:tc>
        <w:tc>
          <w:tcPr>
            <w:tcW w:w="519" w:type="pct"/>
            <w:vAlign w:val="top"/>
          </w:tcPr>
          <w:p w14:paraId="270FFE65">
            <w:pPr>
              <w:pStyle w:val="342"/>
              <w:overflowPunct w:val="0"/>
              <w:snapToGrid w:val="0"/>
              <w:spacing w:line="300" w:lineRule="exact"/>
              <w:rPr>
                <w:rFonts w:hint="eastAsia" w:hAnsi="宋体"/>
                <w:snapToGrid w:val="0"/>
                <w:color w:val="000000" w:themeColor="text1"/>
                <w:sz w:val="21"/>
                <w:szCs w:val="21"/>
                <w14:textFill>
                  <w14:solidFill>
                    <w14:schemeClr w14:val="tx1"/>
                  </w14:solidFill>
                </w14:textFill>
              </w:rPr>
            </w:pPr>
            <w:r>
              <w:rPr>
                <w:rFonts w:hint="eastAsia" w:hAnsi="宋体"/>
                <w:snapToGrid w:val="0"/>
                <w:color w:val="000000" w:themeColor="text1"/>
                <w:sz w:val="21"/>
                <w:szCs w:val="21"/>
                <w14:textFill>
                  <w14:solidFill>
                    <w14:schemeClr w14:val="tx1"/>
                  </w14:solidFill>
                </w14:textFill>
              </w:rPr>
              <w:t>85-90</w:t>
            </w:r>
          </w:p>
        </w:tc>
        <w:tc>
          <w:tcPr>
            <w:tcW w:w="330" w:type="pct"/>
            <w:vAlign w:val="center"/>
          </w:tcPr>
          <w:p w14:paraId="2B9F20E4">
            <w:pPr>
              <w:pStyle w:val="342"/>
              <w:overflowPunct w:val="0"/>
              <w:snapToGrid w:val="0"/>
              <w:spacing w:line="300" w:lineRule="exact"/>
              <w:rPr>
                <w:rFonts w:hint="eastAsia" w:hAnsi="宋体"/>
                <w:snapToGrid w:val="0"/>
                <w:color w:val="000000" w:themeColor="text1"/>
                <w:sz w:val="21"/>
                <w:szCs w:val="21"/>
                <w14:textFill>
                  <w14:solidFill>
                    <w14:schemeClr w14:val="tx1"/>
                  </w14:solidFill>
                </w14:textFill>
              </w:rPr>
            </w:pPr>
            <w:r>
              <w:rPr>
                <w:rFonts w:hint="eastAsia" w:hAnsi="宋体"/>
                <w:snapToGrid w:val="0"/>
                <w:color w:val="000000" w:themeColor="text1"/>
                <w:sz w:val="21"/>
                <w:szCs w:val="21"/>
                <w14:textFill>
                  <w14:solidFill>
                    <w14:schemeClr w14:val="tx1"/>
                  </w14:solidFill>
                </w14:textFill>
              </w:rPr>
              <w:t>20</w:t>
            </w:r>
          </w:p>
        </w:tc>
        <w:tc>
          <w:tcPr>
            <w:tcW w:w="330" w:type="pct"/>
            <w:vAlign w:val="center"/>
          </w:tcPr>
          <w:p w14:paraId="12BD8726">
            <w:pPr>
              <w:pStyle w:val="342"/>
              <w:overflowPunct w:val="0"/>
              <w:snapToGrid w:val="0"/>
              <w:spacing w:line="300" w:lineRule="exact"/>
              <w:rPr>
                <w:rFonts w:hint="eastAsia" w:hAnsi="宋体"/>
                <w:snapToGrid w:val="0"/>
                <w:color w:val="000000" w:themeColor="text1"/>
                <w:sz w:val="21"/>
                <w:szCs w:val="21"/>
                <w14:textFill>
                  <w14:solidFill>
                    <w14:schemeClr w14:val="tx1"/>
                  </w14:solidFill>
                </w14:textFill>
              </w:rPr>
            </w:pPr>
            <w:r>
              <w:rPr>
                <w:rFonts w:hint="eastAsia" w:hAnsi="宋体"/>
                <w:snapToGrid w:val="0"/>
                <w:color w:val="000000" w:themeColor="text1"/>
                <w:sz w:val="21"/>
                <w:szCs w:val="21"/>
                <w14:textFill>
                  <w14:solidFill>
                    <w14:schemeClr w14:val="tx1"/>
                  </w14:solidFill>
                </w14:textFill>
              </w:rPr>
              <w:t>21</w:t>
            </w:r>
          </w:p>
        </w:tc>
        <w:tc>
          <w:tcPr>
            <w:tcW w:w="329" w:type="pct"/>
            <w:vAlign w:val="center"/>
          </w:tcPr>
          <w:p w14:paraId="0BF678C0">
            <w:pPr>
              <w:pStyle w:val="342"/>
              <w:overflowPunct w:val="0"/>
              <w:snapToGrid w:val="0"/>
              <w:spacing w:line="300" w:lineRule="exact"/>
              <w:rPr>
                <w:rFonts w:hint="eastAsia" w:hAnsi="宋体"/>
                <w:snapToGrid w:val="0"/>
                <w:color w:val="000000" w:themeColor="text1"/>
                <w:sz w:val="21"/>
                <w:szCs w:val="21"/>
                <w14:textFill>
                  <w14:solidFill>
                    <w14:schemeClr w14:val="tx1"/>
                  </w14:solidFill>
                </w14:textFill>
              </w:rPr>
            </w:pPr>
            <w:r>
              <w:rPr>
                <w:rFonts w:hint="eastAsia" w:hAnsi="宋体"/>
                <w:snapToGrid w:val="0"/>
                <w:color w:val="000000" w:themeColor="text1"/>
                <w:sz w:val="21"/>
                <w:szCs w:val="21"/>
                <w14:textFill>
                  <w14:solidFill>
                    <w14:schemeClr w14:val="tx1"/>
                  </w14:solidFill>
                </w14:textFill>
              </w:rPr>
              <w:t>0.5</w:t>
            </w:r>
          </w:p>
        </w:tc>
        <w:tc>
          <w:tcPr>
            <w:tcW w:w="686" w:type="pct"/>
            <w:vMerge w:val="continue"/>
            <w:vAlign w:val="center"/>
          </w:tcPr>
          <w:p w14:paraId="09831D38">
            <w:pPr>
              <w:pStyle w:val="342"/>
              <w:overflowPunct w:val="0"/>
              <w:snapToGrid w:val="0"/>
              <w:spacing w:line="300" w:lineRule="exact"/>
              <w:rPr>
                <w:rFonts w:hint="eastAsia" w:hAnsi="宋体"/>
                <w:snapToGrid w:val="0"/>
                <w:color w:val="000000" w:themeColor="text1"/>
                <w:sz w:val="21"/>
                <w:szCs w:val="21"/>
                <w14:textFill>
                  <w14:solidFill>
                    <w14:schemeClr w14:val="tx1"/>
                  </w14:solidFill>
                </w14:textFill>
              </w:rPr>
            </w:pPr>
          </w:p>
        </w:tc>
        <w:tc>
          <w:tcPr>
            <w:tcW w:w="560" w:type="pct"/>
            <w:vMerge w:val="continue"/>
            <w:vAlign w:val="center"/>
          </w:tcPr>
          <w:p w14:paraId="06049B0E">
            <w:pPr>
              <w:pStyle w:val="342"/>
              <w:overflowPunct w:val="0"/>
              <w:snapToGrid w:val="0"/>
              <w:spacing w:line="300" w:lineRule="exact"/>
              <w:rPr>
                <w:rFonts w:hint="eastAsia" w:hAnsi="宋体"/>
                <w:snapToGrid w:val="0"/>
                <w:color w:val="000000" w:themeColor="text1"/>
                <w:sz w:val="21"/>
                <w:szCs w:val="21"/>
                <w14:textFill>
                  <w14:solidFill>
                    <w14:schemeClr w14:val="tx1"/>
                  </w14:solidFill>
                </w14:textFill>
              </w:rPr>
            </w:pPr>
          </w:p>
        </w:tc>
      </w:tr>
      <w:tr w14:paraId="7191529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636" w:type="pct"/>
            <w:vMerge w:val="restart"/>
            <w:vAlign w:val="center"/>
          </w:tcPr>
          <w:p w14:paraId="65B2022C">
            <w:pPr>
              <w:pStyle w:val="342"/>
              <w:tabs>
                <w:tab w:val="left" w:pos="1333"/>
              </w:tabs>
              <w:overflowPunct w:val="0"/>
              <w:snapToGrid w:val="0"/>
              <w:spacing w:line="300" w:lineRule="exact"/>
              <w:rPr>
                <w:snapToGrid w:val="0"/>
                <w:color w:val="000000" w:themeColor="text1"/>
                <w:sz w:val="21"/>
                <w:szCs w:val="21"/>
                <w14:textFill>
                  <w14:solidFill>
                    <w14:schemeClr w14:val="tx1"/>
                  </w14:solidFill>
                </w14:textFill>
              </w:rPr>
            </w:pPr>
            <w:r>
              <w:rPr>
                <w:rFonts w:hint="eastAsia"/>
                <w:snapToGrid w:val="0"/>
                <w:color w:val="000000" w:themeColor="text1"/>
                <w:sz w:val="21"/>
                <w:szCs w:val="21"/>
                <w14:textFill>
                  <w14:solidFill>
                    <w14:schemeClr w14:val="tx1"/>
                  </w14:solidFill>
                </w14:textFill>
              </w:rPr>
              <w:t>JHW</w:t>
            </w:r>
            <w:r>
              <w:rPr>
                <w:snapToGrid w:val="0"/>
                <w:color w:val="000000" w:themeColor="text1"/>
                <w:sz w:val="21"/>
                <w:szCs w:val="21"/>
                <w14:textFill>
                  <w14:solidFill>
                    <w14:schemeClr w14:val="tx1"/>
                  </w14:solidFill>
                </w14:textFill>
              </w:rPr>
              <w:t>036</w:t>
            </w:r>
          </w:p>
        </w:tc>
        <w:tc>
          <w:tcPr>
            <w:tcW w:w="1125" w:type="pct"/>
            <w:vAlign w:val="center"/>
          </w:tcPr>
          <w:p w14:paraId="790A5016">
            <w:pPr>
              <w:pStyle w:val="342"/>
              <w:tabs>
                <w:tab w:val="left" w:pos="1333"/>
              </w:tabs>
              <w:overflowPunct w:val="0"/>
              <w:snapToGrid w:val="0"/>
              <w:spacing w:line="300" w:lineRule="exact"/>
              <w:rPr>
                <w:snapToGrid w:val="0"/>
                <w:color w:val="000000" w:themeColor="text1"/>
                <w:sz w:val="21"/>
                <w:szCs w:val="21"/>
                <w14:textFill>
                  <w14:solidFill>
                    <w14:schemeClr w14:val="tx1"/>
                  </w14:solidFill>
                </w14:textFill>
              </w:rPr>
            </w:pPr>
            <w:r>
              <w:rPr>
                <w:rFonts w:hint="eastAsia"/>
                <w:snapToGrid w:val="0"/>
                <w:color w:val="000000" w:themeColor="text1"/>
                <w:sz w:val="21"/>
                <w:szCs w:val="21"/>
                <w14:textFill>
                  <w14:solidFill>
                    <w14:schemeClr w14:val="tx1"/>
                  </w14:solidFill>
                </w14:textFill>
              </w:rPr>
              <w:t>投捞式电潜螺杆泵</w:t>
            </w:r>
          </w:p>
        </w:tc>
        <w:tc>
          <w:tcPr>
            <w:tcW w:w="485" w:type="pct"/>
            <w:vAlign w:val="center"/>
          </w:tcPr>
          <w:p w14:paraId="1BAF50BC">
            <w:pPr>
              <w:pStyle w:val="342"/>
              <w:tabs>
                <w:tab w:val="left" w:pos="1333"/>
              </w:tabs>
              <w:overflowPunct w:val="0"/>
              <w:snapToGrid w:val="0"/>
              <w:spacing w:line="300" w:lineRule="exact"/>
              <w:rPr>
                <w:snapToGrid w:val="0"/>
                <w:color w:val="000000" w:themeColor="text1"/>
                <w:sz w:val="21"/>
                <w:szCs w:val="21"/>
                <w14:textFill>
                  <w14:solidFill>
                    <w14:schemeClr w14:val="tx1"/>
                  </w14:solidFill>
                </w14:textFill>
              </w:rPr>
            </w:pPr>
            <w:r>
              <w:rPr>
                <w:rFonts w:hint="eastAsia"/>
                <w:snapToGrid w:val="0"/>
                <w:color w:val="000000" w:themeColor="text1"/>
                <w:sz w:val="21"/>
                <w:szCs w:val="21"/>
                <w14:textFill>
                  <w14:solidFill>
                    <w14:schemeClr w14:val="tx1"/>
                  </w14:solidFill>
                </w14:textFill>
              </w:rPr>
              <w:t>1</w:t>
            </w:r>
          </w:p>
        </w:tc>
        <w:tc>
          <w:tcPr>
            <w:tcW w:w="519" w:type="pct"/>
            <w:vAlign w:val="top"/>
          </w:tcPr>
          <w:p w14:paraId="2FB8EFC6">
            <w:pPr>
              <w:pStyle w:val="342"/>
              <w:overflowPunct w:val="0"/>
              <w:snapToGrid w:val="0"/>
              <w:spacing w:line="300" w:lineRule="exact"/>
              <w:rPr>
                <w:rFonts w:hint="eastAsia" w:hAnsi="宋体"/>
                <w:snapToGrid w:val="0"/>
                <w:color w:val="000000" w:themeColor="text1"/>
                <w:sz w:val="21"/>
                <w:szCs w:val="21"/>
                <w14:textFill>
                  <w14:solidFill>
                    <w14:schemeClr w14:val="tx1"/>
                  </w14:solidFill>
                </w14:textFill>
              </w:rPr>
            </w:pPr>
            <w:r>
              <w:rPr>
                <w:rFonts w:hint="eastAsia" w:hAnsi="宋体"/>
                <w:snapToGrid w:val="0"/>
                <w:color w:val="000000" w:themeColor="text1"/>
                <w:sz w:val="21"/>
                <w:szCs w:val="21"/>
                <w14:textFill>
                  <w14:solidFill>
                    <w14:schemeClr w14:val="tx1"/>
                  </w14:solidFill>
                </w14:textFill>
              </w:rPr>
              <w:t>85-90</w:t>
            </w:r>
          </w:p>
        </w:tc>
        <w:tc>
          <w:tcPr>
            <w:tcW w:w="330" w:type="pct"/>
            <w:vAlign w:val="center"/>
          </w:tcPr>
          <w:p w14:paraId="64D35099">
            <w:pPr>
              <w:pStyle w:val="342"/>
              <w:overflowPunct w:val="0"/>
              <w:snapToGrid w:val="0"/>
              <w:spacing w:line="300" w:lineRule="exact"/>
              <w:rPr>
                <w:rFonts w:hint="eastAsia" w:hAnsi="宋体"/>
                <w:snapToGrid w:val="0"/>
                <w:color w:val="000000" w:themeColor="text1"/>
                <w:sz w:val="21"/>
                <w:szCs w:val="21"/>
                <w14:textFill>
                  <w14:solidFill>
                    <w14:schemeClr w14:val="tx1"/>
                  </w14:solidFill>
                </w14:textFill>
              </w:rPr>
            </w:pPr>
            <w:r>
              <w:rPr>
                <w:rFonts w:hint="eastAsia" w:hAnsi="宋体"/>
                <w:snapToGrid w:val="0"/>
                <w:color w:val="000000" w:themeColor="text1"/>
                <w:sz w:val="21"/>
                <w:szCs w:val="21"/>
                <w14:textFill>
                  <w14:solidFill>
                    <w14:schemeClr w14:val="tx1"/>
                  </w14:solidFill>
                </w14:textFill>
              </w:rPr>
              <w:t>27</w:t>
            </w:r>
          </w:p>
        </w:tc>
        <w:tc>
          <w:tcPr>
            <w:tcW w:w="330" w:type="pct"/>
            <w:vAlign w:val="center"/>
          </w:tcPr>
          <w:p w14:paraId="19C7FD56">
            <w:pPr>
              <w:pStyle w:val="342"/>
              <w:overflowPunct w:val="0"/>
              <w:snapToGrid w:val="0"/>
              <w:spacing w:line="300" w:lineRule="exact"/>
              <w:rPr>
                <w:rFonts w:hint="eastAsia" w:hAnsi="宋体"/>
                <w:snapToGrid w:val="0"/>
                <w:color w:val="000000" w:themeColor="text1"/>
                <w:sz w:val="21"/>
                <w:szCs w:val="21"/>
                <w14:textFill>
                  <w14:solidFill>
                    <w14:schemeClr w14:val="tx1"/>
                  </w14:solidFill>
                </w14:textFill>
              </w:rPr>
            </w:pPr>
            <w:r>
              <w:rPr>
                <w:rFonts w:hint="eastAsia" w:hAnsi="宋体"/>
                <w:snapToGrid w:val="0"/>
                <w:color w:val="000000" w:themeColor="text1"/>
                <w:sz w:val="21"/>
                <w:szCs w:val="21"/>
                <w14:textFill>
                  <w14:solidFill>
                    <w14:schemeClr w14:val="tx1"/>
                  </w14:solidFill>
                </w14:textFill>
              </w:rPr>
              <w:t>25</w:t>
            </w:r>
          </w:p>
        </w:tc>
        <w:tc>
          <w:tcPr>
            <w:tcW w:w="329" w:type="pct"/>
            <w:vAlign w:val="center"/>
          </w:tcPr>
          <w:p w14:paraId="284E9A78">
            <w:pPr>
              <w:pStyle w:val="342"/>
              <w:overflowPunct w:val="0"/>
              <w:snapToGrid w:val="0"/>
              <w:spacing w:line="300" w:lineRule="exact"/>
              <w:rPr>
                <w:rFonts w:hint="eastAsia" w:hAnsi="宋体"/>
                <w:snapToGrid w:val="0"/>
                <w:color w:val="000000" w:themeColor="text1"/>
                <w:sz w:val="21"/>
                <w:szCs w:val="21"/>
                <w14:textFill>
                  <w14:solidFill>
                    <w14:schemeClr w14:val="tx1"/>
                  </w14:solidFill>
                </w14:textFill>
              </w:rPr>
            </w:pPr>
            <w:r>
              <w:rPr>
                <w:rFonts w:hint="eastAsia" w:hAnsi="宋体"/>
                <w:snapToGrid w:val="0"/>
                <w:color w:val="000000" w:themeColor="text1"/>
                <w:sz w:val="21"/>
                <w:szCs w:val="21"/>
                <w14:textFill>
                  <w14:solidFill>
                    <w14:schemeClr w14:val="tx1"/>
                  </w14:solidFill>
                </w14:textFill>
              </w:rPr>
              <w:t>0.5</w:t>
            </w:r>
          </w:p>
        </w:tc>
        <w:tc>
          <w:tcPr>
            <w:tcW w:w="686" w:type="pct"/>
            <w:vMerge w:val="continue"/>
            <w:vAlign w:val="center"/>
          </w:tcPr>
          <w:p w14:paraId="6A88B958">
            <w:pPr>
              <w:pStyle w:val="342"/>
              <w:overflowPunct w:val="0"/>
              <w:snapToGrid w:val="0"/>
              <w:spacing w:line="300" w:lineRule="exact"/>
              <w:rPr>
                <w:rFonts w:hint="eastAsia" w:hAnsi="宋体"/>
                <w:snapToGrid w:val="0"/>
                <w:color w:val="000000" w:themeColor="text1"/>
                <w:sz w:val="21"/>
                <w:szCs w:val="21"/>
                <w14:textFill>
                  <w14:solidFill>
                    <w14:schemeClr w14:val="tx1"/>
                  </w14:solidFill>
                </w14:textFill>
              </w:rPr>
            </w:pPr>
          </w:p>
        </w:tc>
        <w:tc>
          <w:tcPr>
            <w:tcW w:w="560" w:type="pct"/>
            <w:vMerge w:val="continue"/>
            <w:vAlign w:val="center"/>
          </w:tcPr>
          <w:p w14:paraId="1A3B5750">
            <w:pPr>
              <w:pStyle w:val="342"/>
              <w:overflowPunct w:val="0"/>
              <w:snapToGrid w:val="0"/>
              <w:spacing w:line="300" w:lineRule="exact"/>
              <w:rPr>
                <w:rFonts w:hint="eastAsia" w:hAnsi="宋体"/>
                <w:snapToGrid w:val="0"/>
                <w:color w:val="000000" w:themeColor="text1"/>
                <w:sz w:val="21"/>
                <w:szCs w:val="21"/>
                <w14:textFill>
                  <w14:solidFill>
                    <w14:schemeClr w14:val="tx1"/>
                  </w14:solidFill>
                </w14:textFill>
              </w:rPr>
            </w:pPr>
          </w:p>
        </w:tc>
      </w:tr>
      <w:tr w14:paraId="7EAEC61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636" w:type="pct"/>
            <w:vMerge w:val="continue"/>
            <w:vAlign w:val="center"/>
          </w:tcPr>
          <w:p w14:paraId="6F19F2A5">
            <w:pPr>
              <w:pStyle w:val="342"/>
              <w:tabs>
                <w:tab w:val="left" w:pos="1333"/>
              </w:tabs>
              <w:overflowPunct w:val="0"/>
              <w:snapToGrid w:val="0"/>
              <w:spacing w:line="300" w:lineRule="exact"/>
              <w:rPr>
                <w:snapToGrid w:val="0"/>
                <w:color w:val="000000" w:themeColor="text1"/>
                <w:sz w:val="21"/>
                <w:szCs w:val="21"/>
                <w14:textFill>
                  <w14:solidFill>
                    <w14:schemeClr w14:val="tx1"/>
                  </w14:solidFill>
                </w14:textFill>
              </w:rPr>
            </w:pPr>
          </w:p>
        </w:tc>
        <w:tc>
          <w:tcPr>
            <w:tcW w:w="1125" w:type="pct"/>
            <w:vAlign w:val="center"/>
          </w:tcPr>
          <w:p w14:paraId="517E9FF2">
            <w:pPr>
              <w:pStyle w:val="342"/>
              <w:tabs>
                <w:tab w:val="left" w:pos="1333"/>
              </w:tabs>
              <w:overflowPunct w:val="0"/>
              <w:snapToGrid w:val="0"/>
              <w:spacing w:line="300" w:lineRule="exact"/>
              <w:rPr>
                <w:snapToGrid w:val="0"/>
                <w:color w:val="000000" w:themeColor="text1"/>
                <w:sz w:val="21"/>
                <w:szCs w:val="21"/>
                <w14:textFill>
                  <w14:solidFill>
                    <w14:schemeClr w14:val="tx1"/>
                  </w14:solidFill>
                </w14:textFill>
              </w:rPr>
            </w:pPr>
            <w:r>
              <w:rPr>
                <w:rFonts w:hint="eastAsia"/>
                <w:snapToGrid w:val="0"/>
                <w:color w:val="000000" w:themeColor="text1"/>
                <w:sz w:val="21"/>
                <w:szCs w:val="21"/>
                <w14:textFill>
                  <w14:solidFill>
                    <w14:schemeClr w14:val="tx1"/>
                  </w14:solidFill>
                </w14:textFill>
              </w:rPr>
              <w:t>高压往复泵</w:t>
            </w:r>
          </w:p>
        </w:tc>
        <w:tc>
          <w:tcPr>
            <w:tcW w:w="485" w:type="pct"/>
            <w:vAlign w:val="center"/>
          </w:tcPr>
          <w:p w14:paraId="01CAF86F">
            <w:pPr>
              <w:pStyle w:val="342"/>
              <w:tabs>
                <w:tab w:val="left" w:pos="1333"/>
              </w:tabs>
              <w:overflowPunct w:val="0"/>
              <w:snapToGrid w:val="0"/>
              <w:spacing w:line="300" w:lineRule="exact"/>
              <w:rPr>
                <w:snapToGrid w:val="0"/>
                <w:color w:val="000000" w:themeColor="text1"/>
                <w:sz w:val="21"/>
                <w:szCs w:val="21"/>
                <w14:textFill>
                  <w14:solidFill>
                    <w14:schemeClr w14:val="tx1"/>
                  </w14:solidFill>
                </w14:textFill>
              </w:rPr>
            </w:pPr>
            <w:r>
              <w:rPr>
                <w:rFonts w:hint="eastAsia"/>
                <w:snapToGrid w:val="0"/>
                <w:color w:val="000000" w:themeColor="text1"/>
                <w:sz w:val="21"/>
                <w:szCs w:val="21"/>
                <w14:textFill>
                  <w14:solidFill>
                    <w14:schemeClr w14:val="tx1"/>
                  </w14:solidFill>
                </w14:textFill>
              </w:rPr>
              <w:t>2</w:t>
            </w:r>
          </w:p>
        </w:tc>
        <w:tc>
          <w:tcPr>
            <w:tcW w:w="519" w:type="pct"/>
            <w:vAlign w:val="top"/>
          </w:tcPr>
          <w:p w14:paraId="62A974EB">
            <w:pPr>
              <w:pStyle w:val="342"/>
              <w:overflowPunct w:val="0"/>
              <w:snapToGrid w:val="0"/>
              <w:spacing w:line="300" w:lineRule="exact"/>
              <w:rPr>
                <w:rFonts w:hint="eastAsia" w:hAnsi="宋体"/>
                <w:snapToGrid w:val="0"/>
                <w:color w:val="000000" w:themeColor="text1"/>
                <w:sz w:val="21"/>
                <w:szCs w:val="21"/>
                <w14:textFill>
                  <w14:solidFill>
                    <w14:schemeClr w14:val="tx1"/>
                  </w14:solidFill>
                </w14:textFill>
              </w:rPr>
            </w:pPr>
            <w:r>
              <w:rPr>
                <w:rFonts w:hint="eastAsia" w:hAnsi="宋体"/>
                <w:snapToGrid w:val="0"/>
                <w:color w:val="000000" w:themeColor="text1"/>
                <w:sz w:val="21"/>
                <w:szCs w:val="21"/>
                <w14:textFill>
                  <w14:solidFill>
                    <w14:schemeClr w14:val="tx1"/>
                  </w14:solidFill>
                </w14:textFill>
              </w:rPr>
              <w:t>85-90</w:t>
            </w:r>
          </w:p>
        </w:tc>
        <w:tc>
          <w:tcPr>
            <w:tcW w:w="330" w:type="pct"/>
            <w:vAlign w:val="center"/>
          </w:tcPr>
          <w:p w14:paraId="19F736DD">
            <w:pPr>
              <w:pStyle w:val="342"/>
              <w:overflowPunct w:val="0"/>
              <w:snapToGrid w:val="0"/>
              <w:spacing w:line="300" w:lineRule="exact"/>
              <w:rPr>
                <w:rFonts w:hint="eastAsia" w:hAnsi="宋体"/>
                <w:snapToGrid w:val="0"/>
                <w:color w:val="000000" w:themeColor="text1"/>
                <w:sz w:val="21"/>
                <w:szCs w:val="21"/>
                <w14:textFill>
                  <w14:solidFill>
                    <w14:schemeClr w14:val="tx1"/>
                  </w14:solidFill>
                </w14:textFill>
              </w:rPr>
            </w:pPr>
            <w:r>
              <w:rPr>
                <w:rFonts w:hint="eastAsia" w:hAnsi="宋体"/>
                <w:snapToGrid w:val="0"/>
                <w:color w:val="000000" w:themeColor="text1"/>
                <w:sz w:val="21"/>
                <w:szCs w:val="21"/>
                <w14:textFill>
                  <w14:solidFill>
                    <w14:schemeClr w14:val="tx1"/>
                  </w14:solidFill>
                </w14:textFill>
              </w:rPr>
              <w:t>14</w:t>
            </w:r>
          </w:p>
        </w:tc>
        <w:tc>
          <w:tcPr>
            <w:tcW w:w="330" w:type="pct"/>
            <w:vAlign w:val="center"/>
          </w:tcPr>
          <w:p w14:paraId="3C007E73">
            <w:pPr>
              <w:pStyle w:val="342"/>
              <w:overflowPunct w:val="0"/>
              <w:snapToGrid w:val="0"/>
              <w:spacing w:line="300" w:lineRule="exact"/>
              <w:rPr>
                <w:rFonts w:hint="eastAsia" w:hAnsi="宋体"/>
                <w:snapToGrid w:val="0"/>
                <w:color w:val="000000" w:themeColor="text1"/>
                <w:sz w:val="21"/>
                <w:szCs w:val="21"/>
                <w14:textFill>
                  <w14:solidFill>
                    <w14:schemeClr w14:val="tx1"/>
                  </w14:solidFill>
                </w14:textFill>
              </w:rPr>
            </w:pPr>
            <w:r>
              <w:rPr>
                <w:rFonts w:hint="eastAsia" w:hAnsi="宋体"/>
                <w:snapToGrid w:val="0"/>
                <w:color w:val="000000" w:themeColor="text1"/>
                <w:sz w:val="21"/>
                <w:szCs w:val="21"/>
                <w14:textFill>
                  <w14:solidFill>
                    <w14:schemeClr w14:val="tx1"/>
                  </w14:solidFill>
                </w14:textFill>
              </w:rPr>
              <w:t>12</w:t>
            </w:r>
          </w:p>
        </w:tc>
        <w:tc>
          <w:tcPr>
            <w:tcW w:w="329" w:type="pct"/>
            <w:vAlign w:val="center"/>
          </w:tcPr>
          <w:p w14:paraId="79FFC429">
            <w:pPr>
              <w:pStyle w:val="342"/>
              <w:overflowPunct w:val="0"/>
              <w:snapToGrid w:val="0"/>
              <w:spacing w:line="300" w:lineRule="exact"/>
              <w:rPr>
                <w:rFonts w:hint="eastAsia" w:hAnsi="宋体"/>
                <w:snapToGrid w:val="0"/>
                <w:color w:val="000000" w:themeColor="text1"/>
                <w:sz w:val="21"/>
                <w:szCs w:val="21"/>
                <w14:textFill>
                  <w14:solidFill>
                    <w14:schemeClr w14:val="tx1"/>
                  </w14:solidFill>
                </w14:textFill>
              </w:rPr>
            </w:pPr>
            <w:r>
              <w:rPr>
                <w:rFonts w:hint="eastAsia" w:hAnsi="宋体"/>
                <w:snapToGrid w:val="0"/>
                <w:color w:val="000000" w:themeColor="text1"/>
                <w:sz w:val="21"/>
                <w:szCs w:val="21"/>
                <w14:textFill>
                  <w14:solidFill>
                    <w14:schemeClr w14:val="tx1"/>
                  </w14:solidFill>
                </w14:textFill>
              </w:rPr>
              <w:t>0.5</w:t>
            </w:r>
          </w:p>
        </w:tc>
        <w:tc>
          <w:tcPr>
            <w:tcW w:w="686" w:type="pct"/>
            <w:vMerge w:val="continue"/>
            <w:vAlign w:val="center"/>
          </w:tcPr>
          <w:p w14:paraId="6415568C">
            <w:pPr>
              <w:pStyle w:val="342"/>
              <w:overflowPunct w:val="0"/>
              <w:snapToGrid w:val="0"/>
              <w:spacing w:line="300" w:lineRule="exact"/>
              <w:rPr>
                <w:rFonts w:hint="eastAsia" w:hAnsi="宋体"/>
                <w:snapToGrid w:val="0"/>
                <w:color w:val="000000" w:themeColor="text1"/>
                <w:sz w:val="21"/>
                <w:szCs w:val="21"/>
                <w14:textFill>
                  <w14:solidFill>
                    <w14:schemeClr w14:val="tx1"/>
                  </w14:solidFill>
                </w14:textFill>
              </w:rPr>
            </w:pPr>
          </w:p>
        </w:tc>
        <w:tc>
          <w:tcPr>
            <w:tcW w:w="560" w:type="pct"/>
            <w:vMerge w:val="continue"/>
            <w:vAlign w:val="center"/>
          </w:tcPr>
          <w:p w14:paraId="21A62A3A">
            <w:pPr>
              <w:pStyle w:val="342"/>
              <w:overflowPunct w:val="0"/>
              <w:snapToGrid w:val="0"/>
              <w:spacing w:line="300" w:lineRule="exact"/>
              <w:rPr>
                <w:rFonts w:hint="eastAsia" w:hAnsi="宋体"/>
                <w:snapToGrid w:val="0"/>
                <w:color w:val="000000" w:themeColor="text1"/>
                <w:sz w:val="21"/>
                <w:szCs w:val="21"/>
                <w14:textFill>
                  <w14:solidFill>
                    <w14:schemeClr w14:val="tx1"/>
                  </w14:solidFill>
                </w14:textFill>
              </w:rPr>
            </w:pPr>
          </w:p>
        </w:tc>
      </w:tr>
      <w:tr w14:paraId="7DD7976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636" w:type="pct"/>
            <w:vMerge w:val="continue"/>
            <w:vAlign w:val="center"/>
          </w:tcPr>
          <w:p w14:paraId="11F24417">
            <w:pPr>
              <w:pStyle w:val="342"/>
              <w:tabs>
                <w:tab w:val="left" w:pos="1333"/>
              </w:tabs>
              <w:overflowPunct w:val="0"/>
              <w:snapToGrid w:val="0"/>
              <w:spacing w:line="300" w:lineRule="exact"/>
              <w:rPr>
                <w:snapToGrid w:val="0"/>
                <w:color w:val="000000" w:themeColor="text1"/>
                <w:sz w:val="21"/>
                <w:szCs w:val="21"/>
                <w14:textFill>
                  <w14:solidFill>
                    <w14:schemeClr w14:val="tx1"/>
                  </w14:solidFill>
                </w14:textFill>
              </w:rPr>
            </w:pPr>
          </w:p>
        </w:tc>
        <w:tc>
          <w:tcPr>
            <w:tcW w:w="1125" w:type="pct"/>
            <w:vAlign w:val="center"/>
          </w:tcPr>
          <w:p w14:paraId="162AD0D8">
            <w:pPr>
              <w:pStyle w:val="342"/>
              <w:tabs>
                <w:tab w:val="left" w:pos="1333"/>
              </w:tabs>
              <w:overflowPunct w:val="0"/>
              <w:snapToGrid w:val="0"/>
              <w:spacing w:line="300" w:lineRule="exact"/>
              <w:rPr>
                <w:snapToGrid w:val="0"/>
                <w:color w:val="000000" w:themeColor="text1"/>
                <w:sz w:val="21"/>
                <w:szCs w:val="21"/>
                <w14:textFill>
                  <w14:solidFill>
                    <w14:schemeClr w14:val="tx1"/>
                  </w14:solidFill>
                </w14:textFill>
              </w:rPr>
            </w:pPr>
            <w:r>
              <w:rPr>
                <w:rFonts w:hint="eastAsia"/>
                <w:snapToGrid w:val="0"/>
                <w:color w:val="000000" w:themeColor="text1"/>
                <w:sz w:val="21"/>
                <w:szCs w:val="21"/>
                <w14:textFill>
                  <w14:solidFill>
                    <w14:schemeClr w14:val="tx1"/>
                  </w14:solidFill>
                </w14:textFill>
              </w:rPr>
              <w:t>二氧化碳专用泵</w:t>
            </w:r>
          </w:p>
        </w:tc>
        <w:tc>
          <w:tcPr>
            <w:tcW w:w="485" w:type="pct"/>
            <w:vAlign w:val="center"/>
          </w:tcPr>
          <w:p w14:paraId="039AA193">
            <w:pPr>
              <w:pStyle w:val="342"/>
              <w:tabs>
                <w:tab w:val="left" w:pos="1333"/>
              </w:tabs>
              <w:overflowPunct w:val="0"/>
              <w:snapToGrid w:val="0"/>
              <w:spacing w:line="300" w:lineRule="exact"/>
              <w:rPr>
                <w:snapToGrid w:val="0"/>
                <w:color w:val="000000" w:themeColor="text1"/>
                <w:sz w:val="21"/>
                <w:szCs w:val="21"/>
                <w14:textFill>
                  <w14:solidFill>
                    <w14:schemeClr w14:val="tx1"/>
                  </w14:solidFill>
                </w14:textFill>
              </w:rPr>
            </w:pPr>
            <w:r>
              <w:rPr>
                <w:rFonts w:hint="eastAsia"/>
                <w:snapToGrid w:val="0"/>
                <w:color w:val="000000" w:themeColor="text1"/>
                <w:sz w:val="21"/>
                <w:szCs w:val="21"/>
                <w14:textFill>
                  <w14:solidFill>
                    <w14:schemeClr w14:val="tx1"/>
                  </w14:solidFill>
                </w14:textFill>
              </w:rPr>
              <w:t>2</w:t>
            </w:r>
          </w:p>
        </w:tc>
        <w:tc>
          <w:tcPr>
            <w:tcW w:w="519" w:type="pct"/>
            <w:vAlign w:val="top"/>
          </w:tcPr>
          <w:p w14:paraId="5E35333B">
            <w:pPr>
              <w:pStyle w:val="342"/>
              <w:overflowPunct w:val="0"/>
              <w:snapToGrid w:val="0"/>
              <w:spacing w:line="300" w:lineRule="exact"/>
              <w:rPr>
                <w:rFonts w:hint="eastAsia" w:hAnsi="宋体"/>
                <w:snapToGrid w:val="0"/>
                <w:color w:val="000000" w:themeColor="text1"/>
                <w:sz w:val="21"/>
                <w:szCs w:val="21"/>
                <w14:textFill>
                  <w14:solidFill>
                    <w14:schemeClr w14:val="tx1"/>
                  </w14:solidFill>
                </w14:textFill>
              </w:rPr>
            </w:pPr>
            <w:r>
              <w:rPr>
                <w:rFonts w:hint="eastAsia" w:hAnsi="宋体"/>
                <w:snapToGrid w:val="0"/>
                <w:color w:val="000000" w:themeColor="text1"/>
                <w:sz w:val="21"/>
                <w:szCs w:val="21"/>
                <w14:textFill>
                  <w14:solidFill>
                    <w14:schemeClr w14:val="tx1"/>
                  </w14:solidFill>
                </w14:textFill>
              </w:rPr>
              <w:t>85-90</w:t>
            </w:r>
          </w:p>
        </w:tc>
        <w:tc>
          <w:tcPr>
            <w:tcW w:w="330" w:type="pct"/>
            <w:vAlign w:val="center"/>
          </w:tcPr>
          <w:p w14:paraId="39FB4C6E">
            <w:pPr>
              <w:pStyle w:val="342"/>
              <w:overflowPunct w:val="0"/>
              <w:snapToGrid w:val="0"/>
              <w:spacing w:line="300" w:lineRule="exact"/>
              <w:rPr>
                <w:rFonts w:hint="eastAsia" w:hAnsi="宋体"/>
                <w:snapToGrid w:val="0"/>
                <w:color w:val="000000" w:themeColor="text1"/>
                <w:sz w:val="21"/>
                <w:szCs w:val="21"/>
                <w14:textFill>
                  <w14:solidFill>
                    <w14:schemeClr w14:val="tx1"/>
                  </w14:solidFill>
                </w14:textFill>
              </w:rPr>
            </w:pPr>
            <w:r>
              <w:rPr>
                <w:rFonts w:hint="eastAsia" w:hAnsi="宋体"/>
                <w:snapToGrid w:val="0"/>
                <w:color w:val="000000" w:themeColor="text1"/>
                <w:sz w:val="21"/>
                <w:szCs w:val="21"/>
                <w14:textFill>
                  <w14:solidFill>
                    <w14:schemeClr w14:val="tx1"/>
                  </w14:solidFill>
                </w14:textFill>
              </w:rPr>
              <w:t>14</w:t>
            </w:r>
          </w:p>
        </w:tc>
        <w:tc>
          <w:tcPr>
            <w:tcW w:w="330" w:type="pct"/>
            <w:vAlign w:val="center"/>
          </w:tcPr>
          <w:p w14:paraId="78AFE44F">
            <w:pPr>
              <w:pStyle w:val="342"/>
              <w:overflowPunct w:val="0"/>
              <w:snapToGrid w:val="0"/>
              <w:spacing w:line="300" w:lineRule="exact"/>
              <w:rPr>
                <w:rFonts w:hint="eastAsia" w:hAnsi="宋体"/>
                <w:snapToGrid w:val="0"/>
                <w:color w:val="000000" w:themeColor="text1"/>
                <w:sz w:val="21"/>
                <w:szCs w:val="21"/>
                <w14:textFill>
                  <w14:solidFill>
                    <w14:schemeClr w14:val="tx1"/>
                  </w14:solidFill>
                </w14:textFill>
              </w:rPr>
            </w:pPr>
            <w:r>
              <w:rPr>
                <w:rFonts w:hint="eastAsia" w:hAnsi="宋体"/>
                <w:snapToGrid w:val="0"/>
                <w:color w:val="000000" w:themeColor="text1"/>
                <w:sz w:val="21"/>
                <w:szCs w:val="21"/>
                <w14:textFill>
                  <w14:solidFill>
                    <w14:schemeClr w14:val="tx1"/>
                  </w14:solidFill>
                </w14:textFill>
              </w:rPr>
              <w:t>8</w:t>
            </w:r>
          </w:p>
        </w:tc>
        <w:tc>
          <w:tcPr>
            <w:tcW w:w="329" w:type="pct"/>
            <w:vAlign w:val="center"/>
          </w:tcPr>
          <w:p w14:paraId="0ED6AE6D">
            <w:pPr>
              <w:pStyle w:val="342"/>
              <w:overflowPunct w:val="0"/>
              <w:snapToGrid w:val="0"/>
              <w:spacing w:line="300" w:lineRule="exact"/>
              <w:rPr>
                <w:rFonts w:hint="eastAsia" w:hAnsi="宋体"/>
                <w:snapToGrid w:val="0"/>
                <w:color w:val="000000" w:themeColor="text1"/>
                <w:sz w:val="21"/>
                <w:szCs w:val="21"/>
                <w14:textFill>
                  <w14:solidFill>
                    <w14:schemeClr w14:val="tx1"/>
                  </w14:solidFill>
                </w14:textFill>
              </w:rPr>
            </w:pPr>
            <w:r>
              <w:rPr>
                <w:rFonts w:hint="eastAsia" w:hAnsi="宋体"/>
                <w:snapToGrid w:val="0"/>
                <w:color w:val="000000" w:themeColor="text1"/>
                <w:sz w:val="21"/>
                <w:szCs w:val="21"/>
                <w14:textFill>
                  <w14:solidFill>
                    <w14:schemeClr w14:val="tx1"/>
                  </w14:solidFill>
                </w14:textFill>
              </w:rPr>
              <w:t>0.5</w:t>
            </w:r>
          </w:p>
        </w:tc>
        <w:tc>
          <w:tcPr>
            <w:tcW w:w="686" w:type="pct"/>
            <w:vMerge w:val="continue"/>
            <w:vAlign w:val="center"/>
          </w:tcPr>
          <w:p w14:paraId="5CEE4BA9">
            <w:pPr>
              <w:pStyle w:val="342"/>
              <w:overflowPunct w:val="0"/>
              <w:snapToGrid w:val="0"/>
              <w:spacing w:line="300" w:lineRule="exact"/>
              <w:rPr>
                <w:rFonts w:hint="eastAsia" w:hAnsi="宋体"/>
                <w:snapToGrid w:val="0"/>
                <w:color w:val="000000" w:themeColor="text1"/>
                <w:sz w:val="21"/>
                <w:szCs w:val="21"/>
                <w14:textFill>
                  <w14:solidFill>
                    <w14:schemeClr w14:val="tx1"/>
                  </w14:solidFill>
                </w14:textFill>
              </w:rPr>
            </w:pPr>
          </w:p>
        </w:tc>
        <w:tc>
          <w:tcPr>
            <w:tcW w:w="560" w:type="pct"/>
            <w:vMerge w:val="continue"/>
            <w:vAlign w:val="center"/>
          </w:tcPr>
          <w:p w14:paraId="3CD977D9">
            <w:pPr>
              <w:pStyle w:val="342"/>
              <w:overflowPunct w:val="0"/>
              <w:snapToGrid w:val="0"/>
              <w:spacing w:line="300" w:lineRule="exact"/>
              <w:rPr>
                <w:rFonts w:hint="eastAsia" w:hAnsi="宋体"/>
                <w:snapToGrid w:val="0"/>
                <w:color w:val="000000" w:themeColor="text1"/>
                <w:sz w:val="21"/>
                <w:szCs w:val="21"/>
                <w14:textFill>
                  <w14:solidFill>
                    <w14:schemeClr w14:val="tx1"/>
                  </w14:solidFill>
                </w14:textFill>
              </w:rPr>
            </w:pPr>
          </w:p>
        </w:tc>
      </w:tr>
      <w:tr w14:paraId="33A7173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636" w:type="pct"/>
            <w:vMerge w:val="continue"/>
            <w:vAlign w:val="center"/>
          </w:tcPr>
          <w:p w14:paraId="52D8F109">
            <w:pPr>
              <w:pStyle w:val="342"/>
              <w:tabs>
                <w:tab w:val="left" w:pos="1333"/>
              </w:tabs>
              <w:overflowPunct w:val="0"/>
              <w:snapToGrid w:val="0"/>
              <w:spacing w:line="300" w:lineRule="exact"/>
              <w:rPr>
                <w:snapToGrid w:val="0"/>
                <w:color w:val="000000" w:themeColor="text1"/>
                <w:sz w:val="21"/>
                <w:szCs w:val="21"/>
                <w14:textFill>
                  <w14:solidFill>
                    <w14:schemeClr w14:val="tx1"/>
                  </w14:solidFill>
                </w14:textFill>
              </w:rPr>
            </w:pPr>
          </w:p>
        </w:tc>
        <w:tc>
          <w:tcPr>
            <w:tcW w:w="1125" w:type="pct"/>
            <w:vAlign w:val="center"/>
          </w:tcPr>
          <w:p w14:paraId="67A3C833">
            <w:pPr>
              <w:pStyle w:val="342"/>
              <w:tabs>
                <w:tab w:val="left" w:pos="1333"/>
              </w:tabs>
              <w:overflowPunct w:val="0"/>
              <w:snapToGrid w:val="0"/>
              <w:spacing w:line="300" w:lineRule="exact"/>
              <w:rPr>
                <w:snapToGrid w:val="0"/>
                <w:color w:val="000000" w:themeColor="text1"/>
                <w:sz w:val="21"/>
                <w:szCs w:val="21"/>
                <w14:textFill>
                  <w14:solidFill>
                    <w14:schemeClr w14:val="tx1"/>
                  </w14:solidFill>
                </w14:textFill>
              </w:rPr>
            </w:pPr>
            <w:r>
              <w:rPr>
                <w:rFonts w:hint="eastAsia"/>
                <w:snapToGrid w:val="0"/>
                <w:color w:val="000000" w:themeColor="text1"/>
                <w:sz w:val="21"/>
                <w:szCs w:val="21"/>
                <w14:textFill>
                  <w14:solidFill>
                    <w14:schemeClr w14:val="tx1"/>
                  </w14:solidFill>
                </w14:textFill>
              </w:rPr>
              <w:t>隔爆屏蔽泵</w:t>
            </w:r>
          </w:p>
        </w:tc>
        <w:tc>
          <w:tcPr>
            <w:tcW w:w="485" w:type="pct"/>
            <w:vAlign w:val="center"/>
          </w:tcPr>
          <w:p w14:paraId="114435E1">
            <w:pPr>
              <w:pStyle w:val="342"/>
              <w:tabs>
                <w:tab w:val="left" w:pos="1333"/>
              </w:tabs>
              <w:overflowPunct w:val="0"/>
              <w:snapToGrid w:val="0"/>
              <w:spacing w:line="300" w:lineRule="exact"/>
              <w:rPr>
                <w:snapToGrid w:val="0"/>
                <w:color w:val="000000" w:themeColor="text1"/>
                <w:sz w:val="21"/>
                <w:szCs w:val="21"/>
                <w14:textFill>
                  <w14:solidFill>
                    <w14:schemeClr w14:val="tx1"/>
                  </w14:solidFill>
                </w14:textFill>
              </w:rPr>
            </w:pPr>
            <w:r>
              <w:rPr>
                <w:rFonts w:hint="eastAsia"/>
                <w:snapToGrid w:val="0"/>
                <w:color w:val="000000" w:themeColor="text1"/>
                <w:sz w:val="21"/>
                <w:szCs w:val="21"/>
                <w14:textFill>
                  <w14:solidFill>
                    <w14:schemeClr w14:val="tx1"/>
                  </w14:solidFill>
                </w14:textFill>
              </w:rPr>
              <w:t>1</w:t>
            </w:r>
          </w:p>
        </w:tc>
        <w:tc>
          <w:tcPr>
            <w:tcW w:w="519" w:type="pct"/>
            <w:vAlign w:val="top"/>
          </w:tcPr>
          <w:p w14:paraId="00D3BB0E">
            <w:pPr>
              <w:pStyle w:val="342"/>
              <w:overflowPunct w:val="0"/>
              <w:snapToGrid w:val="0"/>
              <w:spacing w:line="300" w:lineRule="exact"/>
              <w:rPr>
                <w:rFonts w:hint="eastAsia" w:hAnsi="宋体"/>
                <w:snapToGrid w:val="0"/>
                <w:color w:val="000000" w:themeColor="text1"/>
                <w:sz w:val="21"/>
                <w:szCs w:val="21"/>
                <w14:textFill>
                  <w14:solidFill>
                    <w14:schemeClr w14:val="tx1"/>
                  </w14:solidFill>
                </w14:textFill>
              </w:rPr>
            </w:pPr>
            <w:r>
              <w:rPr>
                <w:rFonts w:hint="eastAsia" w:hAnsi="宋体"/>
                <w:snapToGrid w:val="0"/>
                <w:color w:val="000000" w:themeColor="text1"/>
                <w:sz w:val="21"/>
                <w:szCs w:val="21"/>
                <w14:textFill>
                  <w14:solidFill>
                    <w14:schemeClr w14:val="tx1"/>
                  </w14:solidFill>
                </w14:textFill>
              </w:rPr>
              <w:t>85-90</w:t>
            </w:r>
          </w:p>
        </w:tc>
        <w:tc>
          <w:tcPr>
            <w:tcW w:w="330" w:type="pct"/>
            <w:vAlign w:val="center"/>
          </w:tcPr>
          <w:p w14:paraId="55BBB20B">
            <w:pPr>
              <w:pStyle w:val="342"/>
              <w:overflowPunct w:val="0"/>
              <w:snapToGrid w:val="0"/>
              <w:spacing w:line="300" w:lineRule="exact"/>
              <w:rPr>
                <w:rFonts w:hint="eastAsia" w:hAnsi="宋体"/>
                <w:snapToGrid w:val="0"/>
                <w:color w:val="000000" w:themeColor="text1"/>
                <w:sz w:val="21"/>
                <w:szCs w:val="21"/>
                <w14:textFill>
                  <w14:solidFill>
                    <w14:schemeClr w14:val="tx1"/>
                  </w14:solidFill>
                </w14:textFill>
              </w:rPr>
            </w:pPr>
            <w:r>
              <w:rPr>
                <w:rFonts w:hint="eastAsia" w:hAnsi="宋体"/>
                <w:snapToGrid w:val="0"/>
                <w:color w:val="000000" w:themeColor="text1"/>
                <w:sz w:val="21"/>
                <w:szCs w:val="21"/>
                <w14:textFill>
                  <w14:solidFill>
                    <w14:schemeClr w14:val="tx1"/>
                  </w14:solidFill>
                </w14:textFill>
              </w:rPr>
              <w:t>20</w:t>
            </w:r>
          </w:p>
        </w:tc>
        <w:tc>
          <w:tcPr>
            <w:tcW w:w="330" w:type="pct"/>
            <w:vAlign w:val="center"/>
          </w:tcPr>
          <w:p w14:paraId="1CAA456A">
            <w:pPr>
              <w:pStyle w:val="342"/>
              <w:overflowPunct w:val="0"/>
              <w:snapToGrid w:val="0"/>
              <w:spacing w:line="300" w:lineRule="exact"/>
              <w:rPr>
                <w:rFonts w:hint="eastAsia" w:hAnsi="宋体"/>
                <w:snapToGrid w:val="0"/>
                <w:color w:val="000000" w:themeColor="text1"/>
                <w:sz w:val="21"/>
                <w:szCs w:val="21"/>
                <w14:textFill>
                  <w14:solidFill>
                    <w14:schemeClr w14:val="tx1"/>
                  </w14:solidFill>
                </w14:textFill>
              </w:rPr>
            </w:pPr>
            <w:r>
              <w:rPr>
                <w:rFonts w:hint="eastAsia" w:hAnsi="宋体"/>
                <w:snapToGrid w:val="0"/>
                <w:color w:val="000000" w:themeColor="text1"/>
                <w:sz w:val="21"/>
                <w:szCs w:val="21"/>
                <w14:textFill>
                  <w14:solidFill>
                    <w14:schemeClr w14:val="tx1"/>
                  </w14:solidFill>
                </w14:textFill>
              </w:rPr>
              <w:t>21</w:t>
            </w:r>
          </w:p>
        </w:tc>
        <w:tc>
          <w:tcPr>
            <w:tcW w:w="329" w:type="pct"/>
            <w:vAlign w:val="center"/>
          </w:tcPr>
          <w:p w14:paraId="4B35A449">
            <w:pPr>
              <w:pStyle w:val="342"/>
              <w:overflowPunct w:val="0"/>
              <w:snapToGrid w:val="0"/>
              <w:spacing w:line="300" w:lineRule="exact"/>
              <w:rPr>
                <w:rFonts w:hint="eastAsia" w:hAnsi="宋体"/>
                <w:snapToGrid w:val="0"/>
                <w:color w:val="000000" w:themeColor="text1"/>
                <w:sz w:val="21"/>
                <w:szCs w:val="21"/>
                <w14:textFill>
                  <w14:solidFill>
                    <w14:schemeClr w14:val="tx1"/>
                  </w14:solidFill>
                </w14:textFill>
              </w:rPr>
            </w:pPr>
            <w:r>
              <w:rPr>
                <w:rFonts w:hint="eastAsia" w:hAnsi="宋体"/>
                <w:snapToGrid w:val="0"/>
                <w:color w:val="000000" w:themeColor="text1"/>
                <w:sz w:val="21"/>
                <w:szCs w:val="21"/>
                <w14:textFill>
                  <w14:solidFill>
                    <w14:schemeClr w14:val="tx1"/>
                  </w14:solidFill>
                </w14:textFill>
              </w:rPr>
              <w:t>0.5</w:t>
            </w:r>
          </w:p>
        </w:tc>
        <w:tc>
          <w:tcPr>
            <w:tcW w:w="686" w:type="pct"/>
            <w:vMerge w:val="continue"/>
            <w:vAlign w:val="center"/>
          </w:tcPr>
          <w:p w14:paraId="63EC67DF">
            <w:pPr>
              <w:pStyle w:val="342"/>
              <w:overflowPunct w:val="0"/>
              <w:snapToGrid w:val="0"/>
              <w:spacing w:line="300" w:lineRule="exact"/>
              <w:rPr>
                <w:rFonts w:hint="eastAsia" w:hAnsi="宋体"/>
                <w:snapToGrid w:val="0"/>
                <w:color w:val="000000" w:themeColor="text1"/>
                <w:sz w:val="21"/>
                <w:szCs w:val="21"/>
                <w14:textFill>
                  <w14:solidFill>
                    <w14:schemeClr w14:val="tx1"/>
                  </w14:solidFill>
                </w14:textFill>
              </w:rPr>
            </w:pPr>
          </w:p>
        </w:tc>
        <w:tc>
          <w:tcPr>
            <w:tcW w:w="560" w:type="pct"/>
            <w:vMerge w:val="continue"/>
            <w:vAlign w:val="center"/>
          </w:tcPr>
          <w:p w14:paraId="7F59D0AA">
            <w:pPr>
              <w:pStyle w:val="342"/>
              <w:overflowPunct w:val="0"/>
              <w:snapToGrid w:val="0"/>
              <w:spacing w:line="300" w:lineRule="exact"/>
              <w:rPr>
                <w:rFonts w:hint="eastAsia" w:hAnsi="宋体"/>
                <w:snapToGrid w:val="0"/>
                <w:color w:val="000000" w:themeColor="text1"/>
                <w:sz w:val="21"/>
                <w:szCs w:val="21"/>
                <w14:textFill>
                  <w14:solidFill>
                    <w14:schemeClr w14:val="tx1"/>
                  </w14:solidFill>
                </w14:textFill>
              </w:rPr>
            </w:pPr>
          </w:p>
        </w:tc>
      </w:tr>
      <w:tr w14:paraId="792B6CE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636" w:type="pct"/>
            <w:vMerge w:val="restart"/>
            <w:vAlign w:val="center"/>
          </w:tcPr>
          <w:p w14:paraId="2C32BD26">
            <w:pPr>
              <w:pStyle w:val="342"/>
              <w:tabs>
                <w:tab w:val="left" w:pos="1333"/>
              </w:tabs>
              <w:overflowPunct w:val="0"/>
              <w:snapToGrid w:val="0"/>
              <w:spacing w:line="300" w:lineRule="exact"/>
              <w:rPr>
                <w:snapToGrid w:val="0"/>
                <w:color w:val="000000" w:themeColor="text1"/>
                <w:sz w:val="21"/>
                <w:szCs w:val="21"/>
                <w14:textFill>
                  <w14:solidFill>
                    <w14:schemeClr w14:val="tx1"/>
                  </w14:solidFill>
                </w14:textFill>
              </w:rPr>
            </w:pPr>
            <w:r>
              <w:rPr>
                <w:rFonts w:hint="eastAsia"/>
                <w:snapToGrid w:val="0"/>
                <w:color w:val="000000" w:themeColor="text1"/>
                <w:sz w:val="21"/>
                <w:szCs w:val="21"/>
                <w14:textFill>
                  <w14:solidFill>
                    <w14:schemeClr w14:val="tx1"/>
                  </w14:solidFill>
                </w14:textFill>
              </w:rPr>
              <w:t>JHW</w:t>
            </w:r>
            <w:r>
              <w:rPr>
                <w:snapToGrid w:val="0"/>
                <w:color w:val="000000" w:themeColor="text1"/>
                <w:sz w:val="21"/>
                <w:szCs w:val="21"/>
                <w14:textFill>
                  <w14:solidFill>
                    <w14:schemeClr w14:val="tx1"/>
                  </w14:solidFill>
                </w14:textFill>
              </w:rPr>
              <w:t>00526</w:t>
            </w:r>
          </w:p>
        </w:tc>
        <w:tc>
          <w:tcPr>
            <w:tcW w:w="1125" w:type="pct"/>
            <w:vAlign w:val="center"/>
          </w:tcPr>
          <w:p w14:paraId="318F33AC">
            <w:pPr>
              <w:pStyle w:val="342"/>
              <w:tabs>
                <w:tab w:val="left" w:pos="1333"/>
              </w:tabs>
              <w:overflowPunct w:val="0"/>
              <w:snapToGrid w:val="0"/>
              <w:spacing w:line="300" w:lineRule="exact"/>
              <w:rPr>
                <w:snapToGrid w:val="0"/>
                <w:color w:val="000000" w:themeColor="text1"/>
                <w:sz w:val="21"/>
                <w:szCs w:val="21"/>
                <w14:textFill>
                  <w14:solidFill>
                    <w14:schemeClr w14:val="tx1"/>
                  </w14:solidFill>
                </w14:textFill>
              </w:rPr>
            </w:pPr>
            <w:r>
              <w:rPr>
                <w:rFonts w:hint="eastAsia"/>
                <w:snapToGrid w:val="0"/>
                <w:color w:val="000000" w:themeColor="text1"/>
                <w:sz w:val="21"/>
                <w:szCs w:val="21"/>
                <w14:textFill>
                  <w14:solidFill>
                    <w14:schemeClr w14:val="tx1"/>
                  </w14:solidFill>
                </w14:textFill>
              </w:rPr>
              <w:t>投捞式电潜螺杆泵</w:t>
            </w:r>
          </w:p>
        </w:tc>
        <w:tc>
          <w:tcPr>
            <w:tcW w:w="485" w:type="pct"/>
            <w:vAlign w:val="center"/>
          </w:tcPr>
          <w:p w14:paraId="5DBE114B">
            <w:pPr>
              <w:pStyle w:val="342"/>
              <w:tabs>
                <w:tab w:val="left" w:pos="1333"/>
              </w:tabs>
              <w:overflowPunct w:val="0"/>
              <w:snapToGrid w:val="0"/>
              <w:spacing w:line="300" w:lineRule="exact"/>
              <w:rPr>
                <w:snapToGrid w:val="0"/>
                <w:color w:val="000000" w:themeColor="text1"/>
                <w:sz w:val="21"/>
                <w:szCs w:val="21"/>
                <w14:textFill>
                  <w14:solidFill>
                    <w14:schemeClr w14:val="tx1"/>
                  </w14:solidFill>
                </w14:textFill>
              </w:rPr>
            </w:pPr>
            <w:r>
              <w:rPr>
                <w:rFonts w:hint="eastAsia"/>
                <w:snapToGrid w:val="0"/>
                <w:color w:val="000000" w:themeColor="text1"/>
                <w:sz w:val="21"/>
                <w:szCs w:val="21"/>
                <w14:textFill>
                  <w14:solidFill>
                    <w14:schemeClr w14:val="tx1"/>
                  </w14:solidFill>
                </w14:textFill>
              </w:rPr>
              <w:t>1</w:t>
            </w:r>
          </w:p>
        </w:tc>
        <w:tc>
          <w:tcPr>
            <w:tcW w:w="519" w:type="pct"/>
            <w:vAlign w:val="top"/>
          </w:tcPr>
          <w:p w14:paraId="5FAA52D8">
            <w:pPr>
              <w:pStyle w:val="342"/>
              <w:overflowPunct w:val="0"/>
              <w:snapToGrid w:val="0"/>
              <w:spacing w:line="300" w:lineRule="exact"/>
              <w:rPr>
                <w:rFonts w:hint="eastAsia" w:hAnsi="宋体"/>
                <w:snapToGrid w:val="0"/>
                <w:color w:val="000000" w:themeColor="text1"/>
                <w:sz w:val="21"/>
                <w:szCs w:val="21"/>
                <w14:textFill>
                  <w14:solidFill>
                    <w14:schemeClr w14:val="tx1"/>
                  </w14:solidFill>
                </w14:textFill>
              </w:rPr>
            </w:pPr>
            <w:r>
              <w:rPr>
                <w:rFonts w:hint="eastAsia" w:hAnsi="宋体"/>
                <w:snapToGrid w:val="0"/>
                <w:color w:val="000000" w:themeColor="text1"/>
                <w:sz w:val="21"/>
                <w:szCs w:val="21"/>
                <w14:textFill>
                  <w14:solidFill>
                    <w14:schemeClr w14:val="tx1"/>
                  </w14:solidFill>
                </w14:textFill>
              </w:rPr>
              <w:t>85-90</w:t>
            </w:r>
          </w:p>
        </w:tc>
        <w:tc>
          <w:tcPr>
            <w:tcW w:w="330" w:type="pct"/>
            <w:vAlign w:val="center"/>
          </w:tcPr>
          <w:p w14:paraId="24391830">
            <w:pPr>
              <w:pStyle w:val="342"/>
              <w:overflowPunct w:val="0"/>
              <w:snapToGrid w:val="0"/>
              <w:spacing w:line="300" w:lineRule="exact"/>
              <w:rPr>
                <w:rFonts w:hint="eastAsia" w:hAnsi="宋体"/>
                <w:snapToGrid w:val="0"/>
                <w:color w:val="000000" w:themeColor="text1"/>
                <w:sz w:val="21"/>
                <w:szCs w:val="21"/>
                <w14:textFill>
                  <w14:solidFill>
                    <w14:schemeClr w14:val="tx1"/>
                  </w14:solidFill>
                </w14:textFill>
              </w:rPr>
            </w:pPr>
            <w:r>
              <w:rPr>
                <w:rFonts w:hint="eastAsia" w:hAnsi="宋体"/>
                <w:snapToGrid w:val="0"/>
                <w:color w:val="000000" w:themeColor="text1"/>
                <w:sz w:val="21"/>
                <w:szCs w:val="21"/>
                <w14:textFill>
                  <w14:solidFill>
                    <w14:schemeClr w14:val="tx1"/>
                  </w14:solidFill>
                </w14:textFill>
              </w:rPr>
              <w:t>27</w:t>
            </w:r>
          </w:p>
        </w:tc>
        <w:tc>
          <w:tcPr>
            <w:tcW w:w="330" w:type="pct"/>
            <w:vAlign w:val="center"/>
          </w:tcPr>
          <w:p w14:paraId="3D61BC9C">
            <w:pPr>
              <w:pStyle w:val="342"/>
              <w:overflowPunct w:val="0"/>
              <w:snapToGrid w:val="0"/>
              <w:spacing w:line="300" w:lineRule="exact"/>
              <w:rPr>
                <w:rFonts w:hint="eastAsia" w:hAnsi="宋体"/>
                <w:snapToGrid w:val="0"/>
                <w:color w:val="000000" w:themeColor="text1"/>
                <w:sz w:val="21"/>
                <w:szCs w:val="21"/>
                <w14:textFill>
                  <w14:solidFill>
                    <w14:schemeClr w14:val="tx1"/>
                  </w14:solidFill>
                </w14:textFill>
              </w:rPr>
            </w:pPr>
            <w:r>
              <w:rPr>
                <w:rFonts w:hint="eastAsia" w:hAnsi="宋体"/>
                <w:snapToGrid w:val="0"/>
                <w:color w:val="000000" w:themeColor="text1"/>
                <w:sz w:val="21"/>
                <w:szCs w:val="21"/>
                <w14:textFill>
                  <w14:solidFill>
                    <w14:schemeClr w14:val="tx1"/>
                  </w14:solidFill>
                </w14:textFill>
              </w:rPr>
              <w:t>25</w:t>
            </w:r>
          </w:p>
        </w:tc>
        <w:tc>
          <w:tcPr>
            <w:tcW w:w="329" w:type="pct"/>
            <w:vAlign w:val="center"/>
          </w:tcPr>
          <w:p w14:paraId="698D77F9">
            <w:pPr>
              <w:pStyle w:val="342"/>
              <w:overflowPunct w:val="0"/>
              <w:snapToGrid w:val="0"/>
              <w:spacing w:line="300" w:lineRule="exact"/>
              <w:rPr>
                <w:rFonts w:hint="eastAsia" w:hAnsi="宋体"/>
                <w:snapToGrid w:val="0"/>
                <w:color w:val="000000" w:themeColor="text1"/>
                <w:sz w:val="21"/>
                <w:szCs w:val="21"/>
                <w14:textFill>
                  <w14:solidFill>
                    <w14:schemeClr w14:val="tx1"/>
                  </w14:solidFill>
                </w14:textFill>
              </w:rPr>
            </w:pPr>
            <w:r>
              <w:rPr>
                <w:rFonts w:hint="eastAsia" w:hAnsi="宋体"/>
                <w:snapToGrid w:val="0"/>
                <w:color w:val="000000" w:themeColor="text1"/>
                <w:sz w:val="21"/>
                <w:szCs w:val="21"/>
                <w14:textFill>
                  <w14:solidFill>
                    <w14:schemeClr w14:val="tx1"/>
                  </w14:solidFill>
                </w14:textFill>
              </w:rPr>
              <w:t>0.5</w:t>
            </w:r>
          </w:p>
        </w:tc>
        <w:tc>
          <w:tcPr>
            <w:tcW w:w="686" w:type="pct"/>
            <w:vMerge w:val="continue"/>
            <w:vAlign w:val="center"/>
          </w:tcPr>
          <w:p w14:paraId="73407A59">
            <w:pPr>
              <w:pStyle w:val="342"/>
              <w:overflowPunct w:val="0"/>
              <w:snapToGrid w:val="0"/>
              <w:spacing w:line="300" w:lineRule="exact"/>
              <w:rPr>
                <w:rFonts w:hint="eastAsia" w:hAnsi="宋体"/>
                <w:snapToGrid w:val="0"/>
                <w:color w:val="000000" w:themeColor="text1"/>
                <w:sz w:val="21"/>
                <w:szCs w:val="21"/>
                <w14:textFill>
                  <w14:solidFill>
                    <w14:schemeClr w14:val="tx1"/>
                  </w14:solidFill>
                </w14:textFill>
              </w:rPr>
            </w:pPr>
          </w:p>
        </w:tc>
        <w:tc>
          <w:tcPr>
            <w:tcW w:w="560" w:type="pct"/>
            <w:vMerge w:val="continue"/>
            <w:vAlign w:val="center"/>
          </w:tcPr>
          <w:p w14:paraId="0BA2A1F2">
            <w:pPr>
              <w:pStyle w:val="342"/>
              <w:overflowPunct w:val="0"/>
              <w:snapToGrid w:val="0"/>
              <w:spacing w:line="300" w:lineRule="exact"/>
              <w:rPr>
                <w:rFonts w:hint="eastAsia" w:hAnsi="宋体"/>
                <w:snapToGrid w:val="0"/>
                <w:color w:val="000000" w:themeColor="text1"/>
                <w:sz w:val="21"/>
                <w:szCs w:val="21"/>
                <w14:textFill>
                  <w14:solidFill>
                    <w14:schemeClr w14:val="tx1"/>
                  </w14:solidFill>
                </w14:textFill>
              </w:rPr>
            </w:pPr>
          </w:p>
        </w:tc>
      </w:tr>
      <w:tr w14:paraId="1603151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636" w:type="pct"/>
            <w:vMerge w:val="continue"/>
            <w:vAlign w:val="center"/>
          </w:tcPr>
          <w:p w14:paraId="11FD7EF0">
            <w:pPr>
              <w:pStyle w:val="342"/>
              <w:tabs>
                <w:tab w:val="left" w:pos="1333"/>
              </w:tabs>
              <w:overflowPunct w:val="0"/>
              <w:snapToGrid w:val="0"/>
              <w:spacing w:line="300" w:lineRule="exact"/>
              <w:rPr>
                <w:snapToGrid w:val="0"/>
                <w:color w:val="000000" w:themeColor="text1"/>
                <w:sz w:val="21"/>
                <w:szCs w:val="21"/>
                <w14:textFill>
                  <w14:solidFill>
                    <w14:schemeClr w14:val="tx1"/>
                  </w14:solidFill>
                </w14:textFill>
              </w:rPr>
            </w:pPr>
          </w:p>
        </w:tc>
        <w:tc>
          <w:tcPr>
            <w:tcW w:w="1125" w:type="pct"/>
            <w:vAlign w:val="center"/>
          </w:tcPr>
          <w:p w14:paraId="44FB6679">
            <w:pPr>
              <w:pStyle w:val="342"/>
              <w:tabs>
                <w:tab w:val="left" w:pos="1333"/>
              </w:tabs>
              <w:overflowPunct w:val="0"/>
              <w:snapToGrid w:val="0"/>
              <w:spacing w:line="300" w:lineRule="exact"/>
              <w:rPr>
                <w:snapToGrid w:val="0"/>
                <w:color w:val="000000" w:themeColor="text1"/>
                <w:sz w:val="21"/>
                <w:szCs w:val="21"/>
                <w14:textFill>
                  <w14:solidFill>
                    <w14:schemeClr w14:val="tx1"/>
                  </w14:solidFill>
                </w14:textFill>
              </w:rPr>
            </w:pPr>
            <w:r>
              <w:rPr>
                <w:rFonts w:hint="eastAsia"/>
                <w:snapToGrid w:val="0"/>
                <w:color w:val="000000" w:themeColor="text1"/>
                <w:sz w:val="21"/>
                <w:szCs w:val="21"/>
                <w14:textFill>
                  <w14:solidFill>
                    <w14:schemeClr w14:val="tx1"/>
                  </w14:solidFill>
                </w14:textFill>
              </w:rPr>
              <w:t>高压往复泵</w:t>
            </w:r>
          </w:p>
        </w:tc>
        <w:tc>
          <w:tcPr>
            <w:tcW w:w="485" w:type="pct"/>
            <w:vAlign w:val="center"/>
          </w:tcPr>
          <w:p w14:paraId="7B970D04">
            <w:pPr>
              <w:pStyle w:val="342"/>
              <w:tabs>
                <w:tab w:val="left" w:pos="1333"/>
              </w:tabs>
              <w:overflowPunct w:val="0"/>
              <w:snapToGrid w:val="0"/>
              <w:spacing w:line="300" w:lineRule="exact"/>
              <w:rPr>
                <w:snapToGrid w:val="0"/>
                <w:color w:val="000000" w:themeColor="text1"/>
                <w:sz w:val="21"/>
                <w:szCs w:val="21"/>
                <w14:textFill>
                  <w14:solidFill>
                    <w14:schemeClr w14:val="tx1"/>
                  </w14:solidFill>
                </w14:textFill>
              </w:rPr>
            </w:pPr>
            <w:r>
              <w:rPr>
                <w:rFonts w:hint="eastAsia"/>
                <w:snapToGrid w:val="0"/>
                <w:color w:val="000000" w:themeColor="text1"/>
                <w:sz w:val="21"/>
                <w:szCs w:val="21"/>
                <w14:textFill>
                  <w14:solidFill>
                    <w14:schemeClr w14:val="tx1"/>
                  </w14:solidFill>
                </w14:textFill>
              </w:rPr>
              <w:t>2</w:t>
            </w:r>
          </w:p>
        </w:tc>
        <w:tc>
          <w:tcPr>
            <w:tcW w:w="519" w:type="pct"/>
            <w:vAlign w:val="top"/>
          </w:tcPr>
          <w:p w14:paraId="6CDB4338">
            <w:pPr>
              <w:pStyle w:val="342"/>
              <w:overflowPunct w:val="0"/>
              <w:snapToGrid w:val="0"/>
              <w:spacing w:line="300" w:lineRule="exact"/>
              <w:rPr>
                <w:rFonts w:hint="eastAsia" w:hAnsi="宋体"/>
                <w:snapToGrid w:val="0"/>
                <w:color w:val="000000" w:themeColor="text1"/>
                <w:sz w:val="21"/>
                <w:szCs w:val="21"/>
                <w14:textFill>
                  <w14:solidFill>
                    <w14:schemeClr w14:val="tx1"/>
                  </w14:solidFill>
                </w14:textFill>
              </w:rPr>
            </w:pPr>
            <w:r>
              <w:rPr>
                <w:rFonts w:hint="eastAsia" w:hAnsi="宋体"/>
                <w:snapToGrid w:val="0"/>
                <w:color w:val="000000" w:themeColor="text1"/>
                <w:sz w:val="21"/>
                <w:szCs w:val="21"/>
                <w14:textFill>
                  <w14:solidFill>
                    <w14:schemeClr w14:val="tx1"/>
                  </w14:solidFill>
                </w14:textFill>
              </w:rPr>
              <w:t>85-90</w:t>
            </w:r>
          </w:p>
        </w:tc>
        <w:tc>
          <w:tcPr>
            <w:tcW w:w="330" w:type="pct"/>
            <w:vAlign w:val="center"/>
          </w:tcPr>
          <w:p w14:paraId="32AEA36C">
            <w:pPr>
              <w:pStyle w:val="342"/>
              <w:overflowPunct w:val="0"/>
              <w:snapToGrid w:val="0"/>
              <w:spacing w:line="300" w:lineRule="exact"/>
              <w:rPr>
                <w:rFonts w:hint="eastAsia" w:hAnsi="宋体"/>
                <w:snapToGrid w:val="0"/>
                <w:color w:val="000000" w:themeColor="text1"/>
                <w:sz w:val="21"/>
                <w:szCs w:val="21"/>
                <w14:textFill>
                  <w14:solidFill>
                    <w14:schemeClr w14:val="tx1"/>
                  </w14:solidFill>
                </w14:textFill>
              </w:rPr>
            </w:pPr>
            <w:r>
              <w:rPr>
                <w:rFonts w:hint="eastAsia" w:hAnsi="宋体"/>
                <w:snapToGrid w:val="0"/>
                <w:color w:val="000000" w:themeColor="text1"/>
                <w:sz w:val="21"/>
                <w:szCs w:val="21"/>
                <w14:textFill>
                  <w14:solidFill>
                    <w14:schemeClr w14:val="tx1"/>
                  </w14:solidFill>
                </w14:textFill>
              </w:rPr>
              <w:t>14</w:t>
            </w:r>
          </w:p>
        </w:tc>
        <w:tc>
          <w:tcPr>
            <w:tcW w:w="330" w:type="pct"/>
            <w:vAlign w:val="center"/>
          </w:tcPr>
          <w:p w14:paraId="70C0253F">
            <w:pPr>
              <w:pStyle w:val="342"/>
              <w:overflowPunct w:val="0"/>
              <w:snapToGrid w:val="0"/>
              <w:spacing w:line="300" w:lineRule="exact"/>
              <w:rPr>
                <w:rFonts w:hint="eastAsia" w:hAnsi="宋体"/>
                <w:snapToGrid w:val="0"/>
                <w:color w:val="000000" w:themeColor="text1"/>
                <w:sz w:val="21"/>
                <w:szCs w:val="21"/>
                <w14:textFill>
                  <w14:solidFill>
                    <w14:schemeClr w14:val="tx1"/>
                  </w14:solidFill>
                </w14:textFill>
              </w:rPr>
            </w:pPr>
            <w:r>
              <w:rPr>
                <w:rFonts w:hint="eastAsia" w:hAnsi="宋体"/>
                <w:snapToGrid w:val="0"/>
                <w:color w:val="000000" w:themeColor="text1"/>
                <w:sz w:val="21"/>
                <w:szCs w:val="21"/>
                <w14:textFill>
                  <w14:solidFill>
                    <w14:schemeClr w14:val="tx1"/>
                  </w14:solidFill>
                </w14:textFill>
              </w:rPr>
              <w:t>12</w:t>
            </w:r>
          </w:p>
        </w:tc>
        <w:tc>
          <w:tcPr>
            <w:tcW w:w="329" w:type="pct"/>
            <w:vAlign w:val="center"/>
          </w:tcPr>
          <w:p w14:paraId="1661D8E0">
            <w:pPr>
              <w:pStyle w:val="342"/>
              <w:overflowPunct w:val="0"/>
              <w:snapToGrid w:val="0"/>
              <w:spacing w:line="300" w:lineRule="exact"/>
              <w:rPr>
                <w:rFonts w:hint="eastAsia" w:hAnsi="宋体"/>
                <w:snapToGrid w:val="0"/>
                <w:color w:val="000000" w:themeColor="text1"/>
                <w:sz w:val="21"/>
                <w:szCs w:val="21"/>
                <w14:textFill>
                  <w14:solidFill>
                    <w14:schemeClr w14:val="tx1"/>
                  </w14:solidFill>
                </w14:textFill>
              </w:rPr>
            </w:pPr>
            <w:r>
              <w:rPr>
                <w:rFonts w:hint="eastAsia" w:hAnsi="宋体"/>
                <w:snapToGrid w:val="0"/>
                <w:color w:val="000000" w:themeColor="text1"/>
                <w:sz w:val="21"/>
                <w:szCs w:val="21"/>
                <w14:textFill>
                  <w14:solidFill>
                    <w14:schemeClr w14:val="tx1"/>
                  </w14:solidFill>
                </w14:textFill>
              </w:rPr>
              <w:t>0.5</w:t>
            </w:r>
          </w:p>
        </w:tc>
        <w:tc>
          <w:tcPr>
            <w:tcW w:w="686" w:type="pct"/>
            <w:vMerge w:val="continue"/>
            <w:vAlign w:val="center"/>
          </w:tcPr>
          <w:p w14:paraId="42C9CDEF">
            <w:pPr>
              <w:pStyle w:val="342"/>
              <w:overflowPunct w:val="0"/>
              <w:snapToGrid w:val="0"/>
              <w:spacing w:line="300" w:lineRule="exact"/>
              <w:rPr>
                <w:rFonts w:hint="eastAsia" w:hAnsi="宋体"/>
                <w:snapToGrid w:val="0"/>
                <w:color w:val="000000" w:themeColor="text1"/>
                <w:sz w:val="21"/>
                <w:szCs w:val="21"/>
                <w14:textFill>
                  <w14:solidFill>
                    <w14:schemeClr w14:val="tx1"/>
                  </w14:solidFill>
                </w14:textFill>
              </w:rPr>
            </w:pPr>
          </w:p>
        </w:tc>
        <w:tc>
          <w:tcPr>
            <w:tcW w:w="560" w:type="pct"/>
            <w:vMerge w:val="continue"/>
            <w:vAlign w:val="center"/>
          </w:tcPr>
          <w:p w14:paraId="52EE2B61">
            <w:pPr>
              <w:pStyle w:val="342"/>
              <w:overflowPunct w:val="0"/>
              <w:snapToGrid w:val="0"/>
              <w:spacing w:line="300" w:lineRule="exact"/>
              <w:rPr>
                <w:rFonts w:hint="eastAsia" w:hAnsi="宋体"/>
                <w:snapToGrid w:val="0"/>
                <w:color w:val="000000" w:themeColor="text1"/>
                <w:sz w:val="21"/>
                <w:szCs w:val="21"/>
                <w14:textFill>
                  <w14:solidFill>
                    <w14:schemeClr w14:val="tx1"/>
                  </w14:solidFill>
                </w14:textFill>
              </w:rPr>
            </w:pPr>
          </w:p>
        </w:tc>
      </w:tr>
      <w:tr w14:paraId="2BAA709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636" w:type="pct"/>
            <w:vMerge w:val="continue"/>
            <w:vAlign w:val="center"/>
          </w:tcPr>
          <w:p w14:paraId="0F4DAA18">
            <w:pPr>
              <w:pStyle w:val="342"/>
              <w:tabs>
                <w:tab w:val="left" w:pos="1333"/>
              </w:tabs>
              <w:overflowPunct w:val="0"/>
              <w:snapToGrid w:val="0"/>
              <w:spacing w:line="300" w:lineRule="exact"/>
              <w:rPr>
                <w:snapToGrid w:val="0"/>
                <w:color w:val="000000" w:themeColor="text1"/>
                <w:sz w:val="21"/>
                <w:szCs w:val="21"/>
                <w14:textFill>
                  <w14:solidFill>
                    <w14:schemeClr w14:val="tx1"/>
                  </w14:solidFill>
                </w14:textFill>
              </w:rPr>
            </w:pPr>
          </w:p>
        </w:tc>
        <w:tc>
          <w:tcPr>
            <w:tcW w:w="1125" w:type="pct"/>
            <w:vAlign w:val="center"/>
          </w:tcPr>
          <w:p w14:paraId="318302CE">
            <w:pPr>
              <w:pStyle w:val="342"/>
              <w:tabs>
                <w:tab w:val="left" w:pos="1333"/>
              </w:tabs>
              <w:overflowPunct w:val="0"/>
              <w:snapToGrid w:val="0"/>
              <w:spacing w:line="300" w:lineRule="exact"/>
              <w:rPr>
                <w:snapToGrid w:val="0"/>
                <w:color w:val="000000" w:themeColor="text1"/>
                <w:sz w:val="21"/>
                <w:szCs w:val="21"/>
                <w14:textFill>
                  <w14:solidFill>
                    <w14:schemeClr w14:val="tx1"/>
                  </w14:solidFill>
                </w14:textFill>
              </w:rPr>
            </w:pPr>
            <w:r>
              <w:rPr>
                <w:rFonts w:hint="eastAsia"/>
                <w:snapToGrid w:val="0"/>
                <w:color w:val="000000" w:themeColor="text1"/>
                <w:sz w:val="21"/>
                <w:szCs w:val="21"/>
                <w14:textFill>
                  <w14:solidFill>
                    <w14:schemeClr w14:val="tx1"/>
                  </w14:solidFill>
                </w14:textFill>
              </w:rPr>
              <w:t>二氧化碳专用泵</w:t>
            </w:r>
          </w:p>
        </w:tc>
        <w:tc>
          <w:tcPr>
            <w:tcW w:w="485" w:type="pct"/>
            <w:vAlign w:val="center"/>
          </w:tcPr>
          <w:p w14:paraId="0A0F797F">
            <w:pPr>
              <w:pStyle w:val="342"/>
              <w:tabs>
                <w:tab w:val="left" w:pos="1333"/>
              </w:tabs>
              <w:overflowPunct w:val="0"/>
              <w:snapToGrid w:val="0"/>
              <w:spacing w:line="300" w:lineRule="exact"/>
              <w:rPr>
                <w:snapToGrid w:val="0"/>
                <w:color w:val="000000" w:themeColor="text1"/>
                <w:sz w:val="21"/>
                <w:szCs w:val="21"/>
                <w14:textFill>
                  <w14:solidFill>
                    <w14:schemeClr w14:val="tx1"/>
                  </w14:solidFill>
                </w14:textFill>
              </w:rPr>
            </w:pPr>
            <w:r>
              <w:rPr>
                <w:rFonts w:hint="eastAsia"/>
                <w:snapToGrid w:val="0"/>
                <w:color w:val="000000" w:themeColor="text1"/>
                <w:sz w:val="21"/>
                <w:szCs w:val="21"/>
                <w14:textFill>
                  <w14:solidFill>
                    <w14:schemeClr w14:val="tx1"/>
                  </w14:solidFill>
                </w14:textFill>
              </w:rPr>
              <w:t>2</w:t>
            </w:r>
          </w:p>
        </w:tc>
        <w:tc>
          <w:tcPr>
            <w:tcW w:w="519" w:type="pct"/>
            <w:vAlign w:val="top"/>
          </w:tcPr>
          <w:p w14:paraId="0EB4BCC1">
            <w:pPr>
              <w:pStyle w:val="342"/>
              <w:overflowPunct w:val="0"/>
              <w:snapToGrid w:val="0"/>
              <w:spacing w:line="300" w:lineRule="exact"/>
              <w:rPr>
                <w:rFonts w:hint="eastAsia" w:hAnsi="宋体"/>
                <w:snapToGrid w:val="0"/>
                <w:color w:val="000000" w:themeColor="text1"/>
                <w:sz w:val="21"/>
                <w:szCs w:val="21"/>
                <w14:textFill>
                  <w14:solidFill>
                    <w14:schemeClr w14:val="tx1"/>
                  </w14:solidFill>
                </w14:textFill>
              </w:rPr>
            </w:pPr>
            <w:r>
              <w:rPr>
                <w:rFonts w:hint="eastAsia" w:hAnsi="宋体"/>
                <w:snapToGrid w:val="0"/>
                <w:color w:val="000000" w:themeColor="text1"/>
                <w:sz w:val="21"/>
                <w:szCs w:val="21"/>
                <w14:textFill>
                  <w14:solidFill>
                    <w14:schemeClr w14:val="tx1"/>
                  </w14:solidFill>
                </w14:textFill>
              </w:rPr>
              <w:t>85-90</w:t>
            </w:r>
          </w:p>
        </w:tc>
        <w:tc>
          <w:tcPr>
            <w:tcW w:w="330" w:type="pct"/>
            <w:vAlign w:val="center"/>
          </w:tcPr>
          <w:p w14:paraId="46B9F3C2">
            <w:pPr>
              <w:pStyle w:val="342"/>
              <w:overflowPunct w:val="0"/>
              <w:snapToGrid w:val="0"/>
              <w:spacing w:line="300" w:lineRule="exact"/>
              <w:rPr>
                <w:rFonts w:hint="eastAsia" w:hAnsi="宋体"/>
                <w:snapToGrid w:val="0"/>
                <w:color w:val="000000" w:themeColor="text1"/>
                <w:sz w:val="21"/>
                <w:szCs w:val="21"/>
                <w14:textFill>
                  <w14:solidFill>
                    <w14:schemeClr w14:val="tx1"/>
                  </w14:solidFill>
                </w14:textFill>
              </w:rPr>
            </w:pPr>
            <w:r>
              <w:rPr>
                <w:rFonts w:hint="eastAsia" w:hAnsi="宋体"/>
                <w:snapToGrid w:val="0"/>
                <w:color w:val="000000" w:themeColor="text1"/>
                <w:sz w:val="21"/>
                <w:szCs w:val="21"/>
                <w14:textFill>
                  <w14:solidFill>
                    <w14:schemeClr w14:val="tx1"/>
                  </w14:solidFill>
                </w14:textFill>
              </w:rPr>
              <w:t>14</w:t>
            </w:r>
          </w:p>
        </w:tc>
        <w:tc>
          <w:tcPr>
            <w:tcW w:w="330" w:type="pct"/>
            <w:vAlign w:val="center"/>
          </w:tcPr>
          <w:p w14:paraId="66C9236E">
            <w:pPr>
              <w:pStyle w:val="342"/>
              <w:overflowPunct w:val="0"/>
              <w:snapToGrid w:val="0"/>
              <w:spacing w:line="300" w:lineRule="exact"/>
              <w:rPr>
                <w:rFonts w:hint="eastAsia" w:hAnsi="宋体"/>
                <w:snapToGrid w:val="0"/>
                <w:color w:val="000000" w:themeColor="text1"/>
                <w:sz w:val="21"/>
                <w:szCs w:val="21"/>
                <w14:textFill>
                  <w14:solidFill>
                    <w14:schemeClr w14:val="tx1"/>
                  </w14:solidFill>
                </w14:textFill>
              </w:rPr>
            </w:pPr>
            <w:r>
              <w:rPr>
                <w:rFonts w:hint="eastAsia" w:hAnsi="宋体"/>
                <w:snapToGrid w:val="0"/>
                <w:color w:val="000000" w:themeColor="text1"/>
                <w:sz w:val="21"/>
                <w:szCs w:val="21"/>
                <w14:textFill>
                  <w14:solidFill>
                    <w14:schemeClr w14:val="tx1"/>
                  </w14:solidFill>
                </w14:textFill>
              </w:rPr>
              <w:t>8</w:t>
            </w:r>
          </w:p>
        </w:tc>
        <w:tc>
          <w:tcPr>
            <w:tcW w:w="329" w:type="pct"/>
            <w:vAlign w:val="center"/>
          </w:tcPr>
          <w:p w14:paraId="4D611784">
            <w:pPr>
              <w:pStyle w:val="342"/>
              <w:overflowPunct w:val="0"/>
              <w:snapToGrid w:val="0"/>
              <w:spacing w:line="300" w:lineRule="exact"/>
              <w:rPr>
                <w:rFonts w:hint="eastAsia" w:hAnsi="宋体"/>
                <w:snapToGrid w:val="0"/>
                <w:color w:val="000000" w:themeColor="text1"/>
                <w:sz w:val="21"/>
                <w:szCs w:val="21"/>
                <w14:textFill>
                  <w14:solidFill>
                    <w14:schemeClr w14:val="tx1"/>
                  </w14:solidFill>
                </w14:textFill>
              </w:rPr>
            </w:pPr>
            <w:r>
              <w:rPr>
                <w:rFonts w:hint="eastAsia" w:hAnsi="宋体"/>
                <w:snapToGrid w:val="0"/>
                <w:color w:val="000000" w:themeColor="text1"/>
                <w:sz w:val="21"/>
                <w:szCs w:val="21"/>
                <w14:textFill>
                  <w14:solidFill>
                    <w14:schemeClr w14:val="tx1"/>
                  </w14:solidFill>
                </w14:textFill>
              </w:rPr>
              <w:t>0.5</w:t>
            </w:r>
          </w:p>
        </w:tc>
        <w:tc>
          <w:tcPr>
            <w:tcW w:w="686" w:type="pct"/>
            <w:vMerge w:val="continue"/>
            <w:vAlign w:val="center"/>
          </w:tcPr>
          <w:p w14:paraId="20CFF3A7">
            <w:pPr>
              <w:pStyle w:val="342"/>
              <w:overflowPunct w:val="0"/>
              <w:snapToGrid w:val="0"/>
              <w:spacing w:line="300" w:lineRule="exact"/>
              <w:rPr>
                <w:rFonts w:hint="eastAsia" w:hAnsi="宋体"/>
                <w:snapToGrid w:val="0"/>
                <w:color w:val="000000" w:themeColor="text1"/>
                <w:sz w:val="21"/>
                <w:szCs w:val="21"/>
                <w14:textFill>
                  <w14:solidFill>
                    <w14:schemeClr w14:val="tx1"/>
                  </w14:solidFill>
                </w14:textFill>
              </w:rPr>
            </w:pPr>
          </w:p>
        </w:tc>
        <w:tc>
          <w:tcPr>
            <w:tcW w:w="560" w:type="pct"/>
            <w:vMerge w:val="continue"/>
            <w:vAlign w:val="center"/>
          </w:tcPr>
          <w:p w14:paraId="64C31932">
            <w:pPr>
              <w:pStyle w:val="342"/>
              <w:overflowPunct w:val="0"/>
              <w:snapToGrid w:val="0"/>
              <w:spacing w:line="300" w:lineRule="exact"/>
              <w:rPr>
                <w:rFonts w:hint="eastAsia" w:hAnsi="宋体"/>
                <w:snapToGrid w:val="0"/>
                <w:color w:val="000000" w:themeColor="text1"/>
                <w:sz w:val="21"/>
                <w:szCs w:val="21"/>
                <w14:textFill>
                  <w14:solidFill>
                    <w14:schemeClr w14:val="tx1"/>
                  </w14:solidFill>
                </w14:textFill>
              </w:rPr>
            </w:pPr>
          </w:p>
        </w:tc>
      </w:tr>
      <w:tr w14:paraId="543AA38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636" w:type="pct"/>
            <w:vMerge w:val="continue"/>
            <w:vAlign w:val="center"/>
          </w:tcPr>
          <w:p w14:paraId="44AE8AD4">
            <w:pPr>
              <w:pStyle w:val="342"/>
              <w:tabs>
                <w:tab w:val="left" w:pos="1333"/>
              </w:tabs>
              <w:overflowPunct w:val="0"/>
              <w:snapToGrid w:val="0"/>
              <w:spacing w:line="300" w:lineRule="exact"/>
              <w:rPr>
                <w:snapToGrid w:val="0"/>
                <w:color w:val="000000" w:themeColor="text1"/>
                <w:sz w:val="21"/>
                <w:szCs w:val="21"/>
                <w14:textFill>
                  <w14:solidFill>
                    <w14:schemeClr w14:val="tx1"/>
                  </w14:solidFill>
                </w14:textFill>
              </w:rPr>
            </w:pPr>
          </w:p>
        </w:tc>
        <w:tc>
          <w:tcPr>
            <w:tcW w:w="1125" w:type="pct"/>
            <w:vAlign w:val="center"/>
          </w:tcPr>
          <w:p w14:paraId="7710BA68">
            <w:pPr>
              <w:pStyle w:val="342"/>
              <w:tabs>
                <w:tab w:val="left" w:pos="1333"/>
              </w:tabs>
              <w:overflowPunct w:val="0"/>
              <w:snapToGrid w:val="0"/>
              <w:spacing w:line="300" w:lineRule="exact"/>
              <w:rPr>
                <w:snapToGrid w:val="0"/>
                <w:color w:val="000000" w:themeColor="text1"/>
                <w:sz w:val="21"/>
                <w:szCs w:val="21"/>
                <w14:textFill>
                  <w14:solidFill>
                    <w14:schemeClr w14:val="tx1"/>
                  </w14:solidFill>
                </w14:textFill>
              </w:rPr>
            </w:pPr>
            <w:r>
              <w:rPr>
                <w:rFonts w:hint="eastAsia"/>
                <w:snapToGrid w:val="0"/>
                <w:color w:val="000000" w:themeColor="text1"/>
                <w:sz w:val="21"/>
                <w:szCs w:val="21"/>
                <w14:textFill>
                  <w14:solidFill>
                    <w14:schemeClr w14:val="tx1"/>
                  </w14:solidFill>
                </w14:textFill>
              </w:rPr>
              <w:t>隔爆屏蔽泵</w:t>
            </w:r>
          </w:p>
        </w:tc>
        <w:tc>
          <w:tcPr>
            <w:tcW w:w="485" w:type="pct"/>
            <w:vAlign w:val="center"/>
          </w:tcPr>
          <w:p w14:paraId="57CC2E5A">
            <w:pPr>
              <w:pStyle w:val="342"/>
              <w:tabs>
                <w:tab w:val="left" w:pos="1333"/>
              </w:tabs>
              <w:overflowPunct w:val="0"/>
              <w:snapToGrid w:val="0"/>
              <w:spacing w:line="300" w:lineRule="exact"/>
              <w:rPr>
                <w:snapToGrid w:val="0"/>
                <w:color w:val="000000" w:themeColor="text1"/>
                <w:sz w:val="21"/>
                <w:szCs w:val="21"/>
                <w14:textFill>
                  <w14:solidFill>
                    <w14:schemeClr w14:val="tx1"/>
                  </w14:solidFill>
                </w14:textFill>
              </w:rPr>
            </w:pPr>
            <w:r>
              <w:rPr>
                <w:rFonts w:hint="eastAsia"/>
                <w:snapToGrid w:val="0"/>
                <w:color w:val="000000" w:themeColor="text1"/>
                <w:sz w:val="21"/>
                <w:szCs w:val="21"/>
                <w14:textFill>
                  <w14:solidFill>
                    <w14:schemeClr w14:val="tx1"/>
                  </w14:solidFill>
                </w14:textFill>
              </w:rPr>
              <w:t>1</w:t>
            </w:r>
          </w:p>
        </w:tc>
        <w:tc>
          <w:tcPr>
            <w:tcW w:w="519" w:type="pct"/>
            <w:vAlign w:val="top"/>
          </w:tcPr>
          <w:p w14:paraId="4F1B153A">
            <w:pPr>
              <w:pStyle w:val="342"/>
              <w:overflowPunct w:val="0"/>
              <w:snapToGrid w:val="0"/>
              <w:spacing w:line="300" w:lineRule="exact"/>
              <w:rPr>
                <w:rFonts w:hint="eastAsia" w:hAnsi="宋体"/>
                <w:snapToGrid w:val="0"/>
                <w:color w:val="000000" w:themeColor="text1"/>
                <w:sz w:val="21"/>
                <w:szCs w:val="21"/>
                <w14:textFill>
                  <w14:solidFill>
                    <w14:schemeClr w14:val="tx1"/>
                  </w14:solidFill>
                </w14:textFill>
              </w:rPr>
            </w:pPr>
            <w:r>
              <w:rPr>
                <w:rFonts w:hint="eastAsia" w:hAnsi="宋体"/>
                <w:snapToGrid w:val="0"/>
                <w:color w:val="000000" w:themeColor="text1"/>
                <w:sz w:val="21"/>
                <w:szCs w:val="21"/>
                <w14:textFill>
                  <w14:solidFill>
                    <w14:schemeClr w14:val="tx1"/>
                  </w14:solidFill>
                </w14:textFill>
              </w:rPr>
              <w:t>85-90</w:t>
            </w:r>
          </w:p>
        </w:tc>
        <w:tc>
          <w:tcPr>
            <w:tcW w:w="330" w:type="pct"/>
            <w:vAlign w:val="center"/>
          </w:tcPr>
          <w:p w14:paraId="5D0A2670">
            <w:pPr>
              <w:pStyle w:val="342"/>
              <w:overflowPunct w:val="0"/>
              <w:snapToGrid w:val="0"/>
              <w:spacing w:line="300" w:lineRule="exact"/>
              <w:rPr>
                <w:rFonts w:hint="eastAsia" w:hAnsi="宋体"/>
                <w:snapToGrid w:val="0"/>
                <w:color w:val="000000" w:themeColor="text1"/>
                <w:sz w:val="21"/>
                <w:szCs w:val="21"/>
                <w14:textFill>
                  <w14:solidFill>
                    <w14:schemeClr w14:val="tx1"/>
                  </w14:solidFill>
                </w14:textFill>
              </w:rPr>
            </w:pPr>
            <w:r>
              <w:rPr>
                <w:rFonts w:hint="eastAsia" w:hAnsi="宋体"/>
                <w:snapToGrid w:val="0"/>
                <w:color w:val="000000" w:themeColor="text1"/>
                <w:sz w:val="21"/>
                <w:szCs w:val="21"/>
                <w14:textFill>
                  <w14:solidFill>
                    <w14:schemeClr w14:val="tx1"/>
                  </w14:solidFill>
                </w14:textFill>
              </w:rPr>
              <w:t>20</w:t>
            </w:r>
          </w:p>
        </w:tc>
        <w:tc>
          <w:tcPr>
            <w:tcW w:w="330" w:type="pct"/>
            <w:vAlign w:val="center"/>
          </w:tcPr>
          <w:p w14:paraId="697184C1">
            <w:pPr>
              <w:pStyle w:val="342"/>
              <w:overflowPunct w:val="0"/>
              <w:snapToGrid w:val="0"/>
              <w:spacing w:line="300" w:lineRule="exact"/>
              <w:rPr>
                <w:rFonts w:hint="eastAsia" w:hAnsi="宋体"/>
                <w:snapToGrid w:val="0"/>
                <w:color w:val="000000" w:themeColor="text1"/>
                <w:sz w:val="21"/>
                <w:szCs w:val="21"/>
                <w14:textFill>
                  <w14:solidFill>
                    <w14:schemeClr w14:val="tx1"/>
                  </w14:solidFill>
                </w14:textFill>
              </w:rPr>
            </w:pPr>
            <w:r>
              <w:rPr>
                <w:rFonts w:hint="eastAsia" w:hAnsi="宋体"/>
                <w:snapToGrid w:val="0"/>
                <w:color w:val="000000" w:themeColor="text1"/>
                <w:sz w:val="21"/>
                <w:szCs w:val="21"/>
                <w14:textFill>
                  <w14:solidFill>
                    <w14:schemeClr w14:val="tx1"/>
                  </w14:solidFill>
                </w14:textFill>
              </w:rPr>
              <w:t>21</w:t>
            </w:r>
          </w:p>
        </w:tc>
        <w:tc>
          <w:tcPr>
            <w:tcW w:w="329" w:type="pct"/>
            <w:vAlign w:val="center"/>
          </w:tcPr>
          <w:p w14:paraId="42FED9CC">
            <w:pPr>
              <w:pStyle w:val="342"/>
              <w:overflowPunct w:val="0"/>
              <w:snapToGrid w:val="0"/>
              <w:spacing w:line="300" w:lineRule="exact"/>
              <w:rPr>
                <w:rFonts w:hint="eastAsia" w:hAnsi="宋体"/>
                <w:snapToGrid w:val="0"/>
                <w:color w:val="000000" w:themeColor="text1"/>
                <w:sz w:val="21"/>
                <w:szCs w:val="21"/>
                <w14:textFill>
                  <w14:solidFill>
                    <w14:schemeClr w14:val="tx1"/>
                  </w14:solidFill>
                </w14:textFill>
              </w:rPr>
            </w:pPr>
            <w:r>
              <w:rPr>
                <w:rFonts w:hint="eastAsia" w:hAnsi="宋体"/>
                <w:snapToGrid w:val="0"/>
                <w:color w:val="000000" w:themeColor="text1"/>
                <w:sz w:val="21"/>
                <w:szCs w:val="21"/>
                <w14:textFill>
                  <w14:solidFill>
                    <w14:schemeClr w14:val="tx1"/>
                  </w14:solidFill>
                </w14:textFill>
              </w:rPr>
              <w:t>0.5</w:t>
            </w:r>
          </w:p>
        </w:tc>
        <w:tc>
          <w:tcPr>
            <w:tcW w:w="686" w:type="pct"/>
            <w:vMerge w:val="continue"/>
            <w:vAlign w:val="center"/>
          </w:tcPr>
          <w:p w14:paraId="45F64059">
            <w:pPr>
              <w:pStyle w:val="342"/>
              <w:overflowPunct w:val="0"/>
              <w:snapToGrid w:val="0"/>
              <w:spacing w:line="300" w:lineRule="exact"/>
              <w:rPr>
                <w:rFonts w:hint="eastAsia" w:hAnsi="宋体"/>
                <w:snapToGrid w:val="0"/>
                <w:color w:val="000000" w:themeColor="text1"/>
                <w:sz w:val="21"/>
                <w:szCs w:val="21"/>
                <w14:textFill>
                  <w14:solidFill>
                    <w14:schemeClr w14:val="tx1"/>
                  </w14:solidFill>
                </w14:textFill>
              </w:rPr>
            </w:pPr>
          </w:p>
        </w:tc>
        <w:tc>
          <w:tcPr>
            <w:tcW w:w="560" w:type="pct"/>
            <w:vMerge w:val="continue"/>
            <w:vAlign w:val="center"/>
          </w:tcPr>
          <w:p w14:paraId="130F7CFD">
            <w:pPr>
              <w:pStyle w:val="342"/>
              <w:overflowPunct w:val="0"/>
              <w:snapToGrid w:val="0"/>
              <w:spacing w:line="300" w:lineRule="exact"/>
              <w:rPr>
                <w:rFonts w:hint="eastAsia" w:hAnsi="宋体"/>
                <w:snapToGrid w:val="0"/>
                <w:color w:val="000000" w:themeColor="text1"/>
                <w:sz w:val="21"/>
                <w:szCs w:val="21"/>
                <w14:textFill>
                  <w14:solidFill>
                    <w14:schemeClr w14:val="tx1"/>
                  </w14:solidFill>
                </w14:textFill>
              </w:rPr>
            </w:pPr>
          </w:p>
        </w:tc>
      </w:tr>
      <w:tr w14:paraId="73C81F4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636" w:type="pct"/>
            <w:vMerge w:val="restart"/>
            <w:vAlign w:val="center"/>
          </w:tcPr>
          <w:p w14:paraId="68A0D6B9">
            <w:pPr>
              <w:pStyle w:val="342"/>
              <w:tabs>
                <w:tab w:val="left" w:pos="1333"/>
              </w:tabs>
              <w:overflowPunct w:val="0"/>
              <w:snapToGrid w:val="0"/>
              <w:spacing w:line="300" w:lineRule="exact"/>
              <w:rPr>
                <w:snapToGrid w:val="0"/>
                <w:color w:val="000000" w:themeColor="text1"/>
                <w:sz w:val="21"/>
                <w:szCs w:val="21"/>
                <w14:textFill>
                  <w14:solidFill>
                    <w14:schemeClr w14:val="tx1"/>
                  </w14:solidFill>
                </w14:textFill>
              </w:rPr>
            </w:pPr>
            <w:r>
              <w:rPr>
                <w:rFonts w:hint="eastAsia"/>
                <w:snapToGrid w:val="0"/>
                <w:color w:val="000000" w:themeColor="text1"/>
                <w:sz w:val="21"/>
                <w:szCs w:val="21"/>
                <w14:textFill>
                  <w14:solidFill>
                    <w14:schemeClr w14:val="tx1"/>
                  </w14:solidFill>
                </w14:textFill>
              </w:rPr>
              <w:t>JHW</w:t>
            </w:r>
            <w:r>
              <w:rPr>
                <w:snapToGrid w:val="0"/>
                <w:color w:val="000000" w:themeColor="text1"/>
                <w:sz w:val="21"/>
                <w:szCs w:val="21"/>
                <w14:textFill>
                  <w14:solidFill>
                    <w14:schemeClr w14:val="tx1"/>
                  </w14:solidFill>
                </w14:textFill>
              </w:rPr>
              <w:t>00525</w:t>
            </w:r>
          </w:p>
        </w:tc>
        <w:tc>
          <w:tcPr>
            <w:tcW w:w="1125" w:type="pct"/>
            <w:vAlign w:val="center"/>
          </w:tcPr>
          <w:p w14:paraId="7D5A5F21">
            <w:pPr>
              <w:pStyle w:val="342"/>
              <w:tabs>
                <w:tab w:val="left" w:pos="1333"/>
              </w:tabs>
              <w:overflowPunct w:val="0"/>
              <w:snapToGrid w:val="0"/>
              <w:spacing w:line="300" w:lineRule="exact"/>
              <w:rPr>
                <w:snapToGrid w:val="0"/>
                <w:color w:val="000000" w:themeColor="text1"/>
                <w:sz w:val="21"/>
                <w:szCs w:val="21"/>
                <w14:textFill>
                  <w14:solidFill>
                    <w14:schemeClr w14:val="tx1"/>
                  </w14:solidFill>
                </w14:textFill>
              </w:rPr>
            </w:pPr>
            <w:r>
              <w:rPr>
                <w:rFonts w:hint="eastAsia"/>
                <w:snapToGrid w:val="0"/>
                <w:color w:val="000000" w:themeColor="text1"/>
                <w:sz w:val="21"/>
                <w:szCs w:val="21"/>
                <w14:textFill>
                  <w14:solidFill>
                    <w14:schemeClr w14:val="tx1"/>
                  </w14:solidFill>
                </w14:textFill>
              </w:rPr>
              <w:t>投捞式电潜螺杆泵</w:t>
            </w:r>
          </w:p>
        </w:tc>
        <w:tc>
          <w:tcPr>
            <w:tcW w:w="485" w:type="pct"/>
            <w:vAlign w:val="center"/>
          </w:tcPr>
          <w:p w14:paraId="0F0072B9">
            <w:pPr>
              <w:pStyle w:val="342"/>
              <w:tabs>
                <w:tab w:val="left" w:pos="1333"/>
              </w:tabs>
              <w:overflowPunct w:val="0"/>
              <w:snapToGrid w:val="0"/>
              <w:spacing w:line="300" w:lineRule="exact"/>
              <w:rPr>
                <w:snapToGrid w:val="0"/>
                <w:color w:val="000000" w:themeColor="text1"/>
                <w:sz w:val="21"/>
                <w:szCs w:val="21"/>
                <w14:textFill>
                  <w14:solidFill>
                    <w14:schemeClr w14:val="tx1"/>
                  </w14:solidFill>
                </w14:textFill>
              </w:rPr>
            </w:pPr>
            <w:r>
              <w:rPr>
                <w:rFonts w:hint="eastAsia"/>
                <w:snapToGrid w:val="0"/>
                <w:color w:val="000000" w:themeColor="text1"/>
                <w:sz w:val="21"/>
                <w:szCs w:val="21"/>
                <w14:textFill>
                  <w14:solidFill>
                    <w14:schemeClr w14:val="tx1"/>
                  </w14:solidFill>
                </w14:textFill>
              </w:rPr>
              <w:t>1</w:t>
            </w:r>
          </w:p>
        </w:tc>
        <w:tc>
          <w:tcPr>
            <w:tcW w:w="519" w:type="pct"/>
            <w:vAlign w:val="top"/>
          </w:tcPr>
          <w:p w14:paraId="1F3DCEE4">
            <w:pPr>
              <w:pStyle w:val="342"/>
              <w:overflowPunct w:val="0"/>
              <w:snapToGrid w:val="0"/>
              <w:spacing w:line="300" w:lineRule="exact"/>
              <w:rPr>
                <w:rFonts w:hint="eastAsia" w:hAnsi="宋体"/>
                <w:snapToGrid w:val="0"/>
                <w:color w:val="000000" w:themeColor="text1"/>
                <w:sz w:val="21"/>
                <w:szCs w:val="21"/>
                <w14:textFill>
                  <w14:solidFill>
                    <w14:schemeClr w14:val="tx1"/>
                  </w14:solidFill>
                </w14:textFill>
              </w:rPr>
            </w:pPr>
            <w:r>
              <w:rPr>
                <w:rFonts w:hint="eastAsia" w:hAnsi="宋体"/>
                <w:snapToGrid w:val="0"/>
                <w:color w:val="000000" w:themeColor="text1"/>
                <w:sz w:val="21"/>
                <w:szCs w:val="21"/>
                <w14:textFill>
                  <w14:solidFill>
                    <w14:schemeClr w14:val="tx1"/>
                  </w14:solidFill>
                </w14:textFill>
              </w:rPr>
              <w:t>85-90</w:t>
            </w:r>
          </w:p>
        </w:tc>
        <w:tc>
          <w:tcPr>
            <w:tcW w:w="330" w:type="pct"/>
            <w:vAlign w:val="center"/>
          </w:tcPr>
          <w:p w14:paraId="2136D6B3">
            <w:pPr>
              <w:pStyle w:val="342"/>
              <w:overflowPunct w:val="0"/>
              <w:snapToGrid w:val="0"/>
              <w:spacing w:line="300" w:lineRule="exact"/>
              <w:rPr>
                <w:rFonts w:hint="eastAsia" w:hAnsi="宋体"/>
                <w:snapToGrid w:val="0"/>
                <w:color w:val="000000" w:themeColor="text1"/>
                <w:sz w:val="21"/>
                <w:szCs w:val="21"/>
                <w14:textFill>
                  <w14:solidFill>
                    <w14:schemeClr w14:val="tx1"/>
                  </w14:solidFill>
                </w14:textFill>
              </w:rPr>
            </w:pPr>
            <w:r>
              <w:rPr>
                <w:rFonts w:hint="eastAsia" w:hAnsi="宋体"/>
                <w:snapToGrid w:val="0"/>
                <w:color w:val="000000" w:themeColor="text1"/>
                <w:sz w:val="21"/>
                <w:szCs w:val="21"/>
                <w14:textFill>
                  <w14:solidFill>
                    <w14:schemeClr w14:val="tx1"/>
                  </w14:solidFill>
                </w14:textFill>
              </w:rPr>
              <w:t>27</w:t>
            </w:r>
          </w:p>
        </w:tc>
        <w:tc>
          <w:tcPr>
            <w:tcW w:w="330" w:type="pct"/>
            <w:vAlign w:val="center"/>
          </w:tcPr>
          <w:p w14:paraId="4FD74AA6">
            <w:pPr>
              <w:pStyle w:val="342"/>
              <w:overflowPunct w:val="0"/>
              <w:snapToGrid w:val="0"/>
              <w:spacing w:line="300" w:lineRule="exact"/>
              <w:rPr>
                <w:rFonts w:hint="eastAsia" w:hAnsi="宋体"/>
                <w:snapToGrid w:val="0"/>
                <w:color w:val="000000" w:themeColor="text1"/>
                <w:sz w:val="21"/>
                <w:szCs w:val="21"/>
                <w14:textFill>
                  <w14:solidFill>
                    <w14:schemeClr w14:val="tx1"/>
                  </w14:solidFill>
                </w14:textFill>
              </w:rPr>
            </w:pPr>
            <w:r>
              <w:rPr>
                <w:rFonts w:hint="eastAsia" w:hAnsi="宋体"/>
                <w:snapToGrid w:val="0"/>
                <w:color w:val="000000" w:themeColor="text1"/>
                <w:sz w:val="21"/>
                <w:szCs w:val="21"/>
                <w14:textFill>
                  <w14:solidFill>
                    <w14:schemeClr w14:val="tx1"/>
                  </w14:solidFill>
                </w14:textFill>
              </w:rPr>
              <w:t>25</w:t>
            </w:r>
          </w:p>
        </w:tc>
        <w:tc>
          <w:tcPr>
            <w:tcW w:w="329" w:type="pct"/>
            <w:vAlign w:val="center"/>
          </w:tcPr>
          <w:p w14:paraId="11578FEF">
            <w:pPr>
              <w:pStyle w:val="342"/>
              <w:overflowPunct w:val="0"/>
              <w:snapToGrid w:val="0"/>
              <w:spacing w:line="300" w:lineRule="exact"/>
              <w:rPr>
                <w:rFonts w:hint="eastAsia" w:hAnsi="宋体"/>
                <w:snapToGrid w:val="0"/>
                <w:color w:val="000000" w:themeColor="text1"/>
                <w:sz w:val="21"/>
                <w:szCs w:val="21"/>
                <w14:textFill>
                  <w14:solidFill>
                    <w14:schemeClr w14:val="tx1"/>
                  </w14:solidFill>
                </w14:textFill>
              </w:rPr>
            </w:pPr>
            <w:r>
              <w:rPr>
                <w:rFonts w:hint="eastAsia" w:hAnsi="宋体"/>
                <w:snapToGrid w:val="0"/>
                <w:color w:val="000000" w:themeColor="text1"/>
                <w:sz w:val="21"/>
                <w:szCs w:val="21"/>
                <w14:textFill>
                  <w14:solidFill>
                    <w14:schemeClr w14:val="tx1"/>
                  </w14:solidFill>
                </w14:textFill>
              </w:rPr>
              <w:t>0.5</w:t>
            </w:r>
          </w:p>
        </w:tc>
        <w:tc>
          <w:tcPr>
            <w:tcW w:w="686" w:type="pct"/>
            <w:vMerge w:val="continue"/>
            <w:vAlign w:val="center"/>
          </w:tcPr>
          <w:p w14:paraId="67397E31">
            <w:pPr>
              <w:pStyle w:val="342"/>
              <w:overflowPunct w:val="0"/>
              <w:snapToGrid w:val="0"/>
              <w:spacing w:line="300" w:lineRule="exact"/>
              <w:rPr>
                <w:rFonts w:hint="eastAsia" w:hAnsi="宋体"/>
                <w:snapToGrid w:val="0"/>
                <w:color w:val="000000" w:themeColor="text1"/>
                <w:sz w:val="21"/>
                <w:szCs w:val="21"/>
                <w14:textFill>
                  <w14:solidFill>
                    <w14:schemeClr w14:val="tx1"/>
                  </w14:solidFill>
                </w14:textFill>
              </w:rPr>
            </w:pPr>
          </w:p>
        </w:tc>
        <w:tc>
          <w:tcPr>
            <w:tcW w:w="560" w:type="pct"/>
            <w:vMerge w:val="continue"/>
            <w:vAlign w:val="center"/>
          </w:tcPr>
          <w:p w14:paraId="23AB0AC0">
            <w:pPr>
              <w:pStyle w:val="342"/>
              <w:overflowPunct w:val="0"/>
              <w:snapToGrid w:val="0"/>
              <w:spacing w:line="300" w:lineRule="exact"/>
              <w:rPr>
                <w:rFonts w:hint="eastAsia" w:hAnsi="宋体"/>
                <w:snapToGrid w:val="0"/>
                <w:color w:val="000000" w:themeColor="text1"/>
                <w:sz w:val="21"/>
                <w:szCs w:val="21"/>
                <w14:textFill>
                  <w14:solidFill>
                    <w14:schemeClr w14:val="tx1"/>
                  </w14:solidFill>
                </w14:textFill>
              </w:rPr>
            </w:pPr>
          </w:p>
        </w:tc>
      </w:tr>
      <w:tr w14:paraId="6F44466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636" w:type="pct"/>
            <w:vMerge w:val="continue"/>
            <w:vAlign w:val="center"/>
          </w:tcPr>
          <w:p w14:paraId="5F648AC2">
            <w:pPr>
              <w:pStyle w:val="342"/>
              <w:tabs>
                <w:tab w:val="left" w:pos="1333"/>
              </w:tabs>
              <w:overflowPunct w:val="0"/>
              <w:snapToGrid w:val="0"/>
              <w:spacing w:line="300" w:lineRule="exact"/>
              <w:rPr>
                <w:snapToGrid w:val="0"/>
                <w:color w:val="000000" w:themeColor="text1"/>
                <w:sz w:val="21"/>
                <w:szCs w:val="21"/>
                <w14:textFill>
                  <w14:solidFill>
                    <w14:schemeClr w14:val="tx1"/>
                  </w14:solidFill>
                </w14:textFill>
              </w:rPr>
            </w:pPr>
          </w:p>
        </w:tc>
        <w:tc>
          <w:tcPr>
            <w:tcW w:w="1125" w:type="pct"/>
            <w:vAlign w:val="center"/>
          </w:tcPr>
          <w:p w14:paraId="2F2C1583">
            <w:pPr>
              <w:pStyle w:val="342"/>
              <w:tabs>
                <w:tab w:val="left" w:pos="1333"/>
              </w:tabs>
              <w:overflowPunct w:val="0"/>
              <w:snapToGrid w:val="0"/>
              <w:spacing w:line="300" w:lineRule="exact"/>
              <w:rPr>
                <w:snapToGrid w:val="0"/>
                <w:color w:val="000000" w:themeColor="text1"/>
                <w:sz w:val="21"/>
                <w:szCs w:val="21"/>
                <w14:textFill>
                  <w14:solidFill>
                    <w14:schemeClr w14:val="tx1"/>
                  </w14:solidFill>
                </w14:textFill>
              </w:rPr>
            </w:pPr>
            <w:r>
              <w:rPr>
                <w:rFonts w:hint="eastAsia"/>
                <w:snapToGrid w:val="0"/>
                <w:color w:val="000000" w:themeColor="text1"/>
                <w:sz w:val="21"/>
                <w:szCs w:val="21"/>
                <w14:textFill>
                  <w14:solidFill>
                    <w14:schemeClr w14:val="tx1"/>
                  </w14:solidFill>
                </w14:textFill>
              </w:rPr>
              <w:t>高压往复泵</w:t>
            </w:r>
          </w:p>
        </w:tc>
        <w:tc>
          <w:tcPr>
            <w:tcW w:w="485" w:type="pct"/>
            <w:vAlign w:val="center"/>
          </w:tcPr>
          <w:p w14:paraId="4941FEAF">
            <w:pPr>
              <w:pStyle w:val="342"/>
              <w:tabs>
                <w:tab w:val="left" w:pos="1333"/>
              </w:tabs>
              <w:overflowPunct w:val="0"/>
              <w:snapToGrid w:val="0"/>
              <w:spacing w:line="300" w:lineRule="exact"/>
              <w:rPr>
                <w:snapToGrid w:val="0"/>
                <w:color w:val="000000" w:themeColor="text1"/>
                <w:sz w:val="21"/>
                <w:szCs w:val="21"/>
                <w14:textFill>
                  <w14:solidFill>
                    <w14:schemeClr w14:val="tx1"/>
                  </w14:solidFill>
                </w14:textFill>
              </w:rPr>
            </w:pPr>
            <w:r>
              <w:rPr>
                <w:rFonts w:hint="eastAsia"/>
                <w:snapToGrid w:val="0"/>
                <w:color w:val="000000" w:themeColor="text1"/>
                <w:sz w:val="21"/>
                <w:szCs w:val="21"/>
                <w14:textFill>
                  <w14:solidFill>
                    <w14:schemeClr w14:val="tx1"/>
                  </w14:solidFill>
                </w14:textFill>
              </w:rPr>
              <w:t>2</w:t>
            </w:r>
          </w:p>
        </w:tc>
        <w:tc>
          <w:tcPr>
            <w:tcW w:w="519" w:type="pct"/>
            <w:vAlign w:val="top"/>
          </w:tcPr>
          <w:p w14:paraId="03D44CFB">
            <w:pPr>
              <w:pStyle w:val="342"/>
              <w:overflowPunct w:val="0"/>
              <w:snapToGrid w:val="0"/>
              <w:spacing w:line="300" w:lineRule="exact"/>
              <w:rPr>
                <w:rFonts w:hint="eastAsia" w:hAnsi="宋体"/>
                <w:snapToGrid w:val="0"/>
                <w:color w:val="000000" w:themeColor="text1"/>
                <w:sz w:val="21"/>
                <w:szCs w:val="21"/>
                <w14:textFill>
                  <w14:solidFill>
                    <w14:schemeClr w14:val="tx1"/>
                  </w14:solidFill>
                </w14:textFill>
              </w:rPr>
            </w:pPr>
            <w:r>
              <w:rPr>
                <w:rFonts w:hint="eastAsia" w:hAnsi="宋体"/>
                <w:snapToGrid w:val="0"/>
                <w:color w:val="000000" w:themeColor="text1"/>
                <w:sz w:val="21"/>
                <w:szCs w:val="21"/>
                <w14:textFill>
                  <w14:solidFill>
                    <w14:schemeClr w14:val="tx1"/>
                  </w14:solidFill>
                </w14:textFill>
              </w:rPr>
              <w:t>85-90</w:t>
            </w:r>
          </w:p>
        </w:tc>
        <w:tc>
          <w:tcPr>
            <w:tcW w:w="330" w:type="pct"/>
            <w:vAlign w:val="center"/>
          </w:tcPr>
          <w:p w14:paraId="0299DEA7">
            <w:pPr>
              <w:pStyle w:val="342"/>
              <w:overflowPunct w:val="0"/>
              <w:snapToGrid w:val="0"/>
              <w:spacing w:line="300" w:lineRule="exact"/>
              <w:rPr>
                <w:rFonts w:hint="eastAsia" w:hAnsi="宋体"/>
                <w:snapToGrid w:val="0"/>
                <w:color w:val="000000" w:themeColor="text1"/>
                <w:sz w:val="21"/>
                <w:szCs w:val="21"/>
                <w14:textFill>
                  <w14:solidFill>
                    <w14:schemeClr w14:val="tx1"/>
                  </w14:solidFill>
                </w14:textFill>
              </w:rPr>
            </w:pPr>
            <w:r>
              <w:rPr>
                <w:rFonts w:hint="eastAsia" w:hAnsi="宋体"/>
                <w:snapToGrid w:val="0"/>
                <w:color w:val="000000" w:themeColor="text1"/>
                <w:sz w:val="21"/>
                <w:szCs w:val="21"/>
                <w14:textFill>
                  <w14:solidFill>
                    <w14:schemeClr w14:val="tx1"/>
                  </w14:solidFill>
                </w14:textFill>
              </w:rPr>
              <w:t>14</w:t>
            </w:r>
          </w:p>
        </w:tc>
        <w:tc>
          <w:tcPr>
            <w:tcW w:w="330" w:type="pct"/>
            <w:vAlign w:val="center"/>
          </w:tcPr>
          <w:p w14:paraId="63FF5940">
            <w:pPr>
              <w:pStyle w:val="342"/>
              <w:overflowPunct w:val="0"/>
              <w:snapToGrid w:val="0"/>
              <w:spacing w:line="300" w:lineRule="exact"/>
              <w:rPr>
                <w:rFonts w:hint="eastAsia" w:hAnsi="宋体"/>
                <w:snapToGrid w:val="0"/>
                <w:color w:val="000000" w:themeColor="text1"/>
                <w:sz w:val="21"/>
                <w:szCs w:val="21"/>
                <w14:textFill>
                  <w14:solidFill>
                    <w14:schemeClr w14:val="tx1"/>
                  </w14:solidFill>
                </w14:textFill>
              </w:rPr>
            </w:pPr>
            <w:r>
              <w:rPr>
                <w:rFonts w:hint="eastAsia" w:hAnsi="宋体"/>
                <w:snapToGrid w:val="0"/>
                <w:color w:val="000000" w:themeColor="text1"/>
                <w:sz w:val="21"/>
                <w:szCs w:val="21"/>
                <w14:textFill>
                  <w14:solidFill>
                    <w14:schemeClr w14:val="tx1"/>
                  </w14:solidFill>
                </w14:textFill>
              </w:rPr>
              <w:t>12</w:t>
            </w:r>
          </w:p>
        </w:tc>
        <w:tc>
          <w:tcPr>
            <w:tcW w:w="329" w:type="pct"/>
            <w:vAlign w:val="center"/>
          </w:tcPr>
          <w:p w14:paraId="560FC903">
            <w:pPr>
              <w:pStyle w:val="342"/>
              <w:overflowPunct w:val="0"/>
              <w:snapToGrid w:val="0"/>
              <w:spacing w:line="300" w:lineRule="exact"/>
              <w:rPr>
                <w:rFonts w:hint="eastAsia" w:hAnsi="宋体"/>
                <w:snapToGrid w:val="0"/>
                <w:color w:val="000000" w:themeColor="text1"/>
                <w:sz w:val="21"/>
                <w:szCs w:val="21"/>
                <w14:textFill>
                  <w14:solidFill>
                    <w14:schemeClr w14:val="tx1"/>
                  </w14:solidFill>
                </w14:textFill>
              </w:rPr>
            </w:pPr>
            <w:r>
              <w:rPr>
                <w:rFonts w:hint="eastAsia" w:hAnsi="宋体"/>
                <w:snapToGrid w:val="0"/>
                <w:color w:val="000000" w:themeColor="text1"/>
                <w:sz w:val="21"/>
                <w:szCs w:val="21"/>
                <w14:textFill>
                  <w14:solidFill>
                    <w14:schemeClr w14:val="tx1"/>
                  </w14:solidFill>
                </w14:textFill>
              </w:rPr>
              <w:t>0.5</w:t>
            </w:r>
          </w:p>
        </w:tc>
        <w:tc>
          <w:tcPr>
            <w:tcW w:w="686" w:type="pct"/>
            <w:vMerge w:val="continue"/>
            <w:vAlign w:val="center"/>
          </w:tcPr>
          <w:p w14:paraId="369F63FD">
            <w:pPr>
              <w:pStyle w:val="342"/>
              <w:overflowPunct w:val="0"/>
              <w:snapToGrid w:val="0"/>
              <w:spacing w:line="300" w:lineRule="exact"/>
              <w:rPr>
                <w:rFonts w:hint="eastAsia" w:hAnsi="宋体"/>
                <w:snapToGrid w:val="0"/>
                <w:color w:val="000000" w:themeColor="text1"/>
                <w:sz w:val="21"/>
                <w:szCs w:val="21"/>
                <w14:textFill>
                  <w14:solidFill>
                    <w14:schemeClr w14:val="tx1"/>
                  </w14:solidFill>
                </w14:textFill>
              </w:rPr>
            </w:pPr>
          </w:p>
        </w:tc>
        <w:tc>
          <w:tcPr>
            <w:tcW w:w="560" w:type="pct"/>
            <w:vMerge w:val="continue"/>
            <w:vAlign w:val="center"/>
          </w:tcPr>
          <w:p w14:paraId="1BCBA9F8">
            <w:pPr>
              <w:pStyle w:val="342"/>
              <w:overflowPunct w:val="0"/>
              <w:snapToGrid w:val="0"/>
              <w:spacing w:line="300" w:lineRule="exact"/>
              <w:rPr>
                <w:rFonts w:hint="eastAsia" w:hAnsi="宋体"/>
                <w:snapToGrid w:val="0"/>
                <w:color w:val="000000" w:themeColor="text1"/>
                <w:sz w:val="21"/>
                <w:szCs w:val="21"/>
                <w14:textFill>
                  <w14:solidFill>
                    <w14:schemeClr w14:val="tx1"/>
                  </w14:solidFill>
                </w14:textFill>
              </w:rPr>
            </w:pPr>
          </w:p>
        </w:tc>
      </w:tr>
      <w:tr w14:paraId="00EC323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636" w:type="pct"/>
            <w:vMerge w:val="continue"/>
            <w:vAlign w:val="center"/>
          </w:tcPr>
          <w:p w14:paraId="294D461E">
            <w:pPr>
              <w:pStyle w:val="342"/>
              <w:tabs>
                <w:tab w:val="left" w:pos="1333"/>
              </w:tabs>
              <w:overflowPunct w:val="0"/>
              <w:snapToGrid w:val="0"/>
              <w:spacing w:line="300" w:lineRule="exact"/>
              <w:rPr>
                <w:snapToGrid w:val="0"/>
                <w:color w:val="000000" w:themeColor="text1"/>
                <w:sz w:val="21"/>
                <w:szCs w:val="21"/>
                <w14:textFill>
                  <w14:solidFill>
                    <w14:schemeClr w14:val="tx1"/>
                  </w14:solidFill>
                </w14:textFill>
              </w:rPr>
            </w:pPr>
          </w:p>
        </w:tc>
        <w:tc>
          <w:tcPr>
            <w:tcW w:w="1125" w:type="pct"/>
            <w:vAlign w:val="center"/>
          </w:tcPr>
          <w:p w14:paraId="1487B402">
            <w:pPr>
              <w:pStyle w:val="342"/>
              <w:tabs>
                <w:tab w:val="left" w:pos="1333"/>
              </w:tabs>
              <w:overflowPunct w:val="0"/>
              <w:snapToGrid w:val="0"/>
              <w:spacing w:line="300" w:lineRule="exact"/>
              <w:rPr>
                <w:snapToGrid w:val="0"/>
                <w:color w:val="000000" w:themeColor="text1"/>
                <w:sz w:val="21"/>
                <w:szCs w:val="21"/>
                <w14:textFill>
                  <w14:solidFill>
                    <w14:schemeClr w14:val="tx1"/>
                  </w14:solidFill>
                </w14:textFill>
              </w:rPr>
            </w:pPr>
            <w:r>
              <w:rPr>
                <w:rFonts w:hint="eastAsia"/>
                <w:snapToGrid w:val="0"/>
                <w:color w:val="000000" w:themeColor="text1"/>
                <w:sz w:val="21"/>
                <w:szCs w:val="21"/>
                <w14:textFill>
                  <w14:solidFill>
                    <w14:schemeClr w14:val="tx1"/>
                  </w14:solidFill>
                </w14:textFill>
              </w:rPr>
              <w:t>二氧化碳专用泵</w:t>
            </w:r>
          </w:p>
        </w:tc>
        <w:tc>
          <w:tcPr>
            <w:tcW w:w="485" w:type="pct"/>
            <w:vAlign w:val="center"/>
          </w:tcPr>
          <w:p w14:paraId="351172AA">
            <w:pPr>
              <w:pStyle w:val="342"/>
              <w:tabs>
                <w:tab w:val="left" w:pos="1333"/>
              </w:tabs>
              <w:overflowPunct w:val="0"/>
              <w:snapToGrid w:val="0"/>
              <w:spacing w:line="300" w:lineRule="exact"/>
              <w:rPr>
                <w:snapToGrid w:val="0"/>
                <w:color w:val="000000" w:themeColor="text1"/>
                <w:sz w:val="21"/>
                <w:szCs w:val="21"/>
                <w14:textFill>
                  <w14:solidFill>
                    <w14:schemeClr w14:val="tx1"/>
                  </w14:solidFill>
                </w14:textFill>
              </w:rPr>
            </w:pPr>
            <w:r>
              <w:rPr>
                <w:rFonts w:hint="eastAsia"/>
                <w:snapToGrid w:val="0"/>
                <w:color w:val="000000" w:themeColor="text1"/>
                <w:sz w:val="21"/>
                <w:szCs w:val="21"/>
                <w14:textFill>
                  <w14:solidFill>
                    <w14:schemeClr w14:val="tx1"/>
                  </w14:solidFill>
                </w14:textFill>
              </w:rPr>
              <w:t>2</w:t>
            </w:r>
          </w:p>
        </w:tc>
        <w:tc>
          <w:tcPr>
            <w:tcW w:w="519" w:type="pct"/>
            <w:vAlign w:val="top"/>
          </w:tcPr>
          <w:p w14:paraId="7968B799">
            <w:pPr>
              <w:pStyle w:val="342"/>
              <w:overflowPunct w:val="0"/>
              <w:snapToGrid w:val="0"/>
              <w:spacing w:line="300" w:lineRule="exact"/>
              <w:rPr>
                <w:rFonts w:hint="eastAsia" w:hAnsi="宋体"/>
                <w:snapToGrid w:val="0"/>
                <w:color w:val="000000" w:themeColor="text1"/>
                <w:sz w:val="21"/>
                <w:szCs w:val="21"/>
                <w14:textFill>
                  <w14:solidFill>
                    <w14:schemeClr w14:val="tx1"/>
                  </w14:solidFill>
                </w14:textFill>
              </w:rPr>
            </w:pPr>
            <w:r>
              <w:rPr>
                <w:rFonts w:hint="eastAsia" w:hAnsi="宋体"/>
                <w:snapToGrid w:val="0"/>
                <w:color w:val="000000" w:themeColor="text1"/>
                <w:sz w:val="21"/>
                <w:szCs w:val="21"/>
                <w14:textFill>
                  <w14:solidFill>
                    <w14:schemeClr w14:val="tx1"/>
                  </w14:solidFill>
                </w14:textFill>
              </w:rPr>
              <w:t>85-90</w:t>
            </w:r>
          </w:p>
        </w:tc>
        <w:tc>
          <w:tcPr>
            <w:tcW w:w="330" w:type="pct"/>
            <w:vAlign w:val="center"/>
          </w:tcPr>
          <w:p w14:paraId="4158729A">
            <w:pPr>
              <w:pStyle w:val="342"/>
              <w:overflowPunct w:val="0"/>
              <w:snapToGrid w:val="0"/>
              <w:spacing w:line="300" w:lineRule="exact"/>
              <w:rPr>
                <w:rFonts w:hint="eastAsia" w:hAnsi="宋体"/>
                <w:snapToGrid w:val="0"/>
                <w:color w:val="000000" w:themeColor="text1"/>
                <w:sz w:val="21"/>
                <w:szCs w:val="21"/>
                <w14:textFill>
                  <w14:solidFill>
                    <w14:schemeClr w14:val="tx1"/>
                  </w14:solidFill>
                </w14:textFill>
              </w:rPr>
            </w:pPr>
            <w:r>
              <w:rPr>
                <w:rFonts w:hint="eastAsia" w:hAnsi="宋体"/>
                <w:snapToGrid w:val="0"/>
                <w:color w:val="000000" w:themeColor="text1"/>
                <w:sz w:val="21"/>
                <w:szCs w:val="21"/>
                <w14:textFill>
                  <w14:solidFill>
                    <w14:schemeClr w14:val="tx1"/>
                  </w14:solidFill>
                </w14:textFill>
              </w:rPr>
              <w:t>14</w:t>
            </w:r>
          </w:p>
        </w:tc>
        <w:tc>
          <w:tcPr>
            <w:tcW w:w="330" w:type="pct"/>
            <w:vAlign w:val="center"/>
          </w:tcPr>
          <w:p w14:paraId="793147E5">
            <w:pPr>
              <w:pStyle w:val="342"/>
              <w:overflowPunct w:val="0"/>
              <w:snapToGrid w:val="0"/>
              <w:spacing w:line="300" w:lineRule="exact"/>
              <w:rPr>
                <w:rFonts w:hint="eastAsia" w:hAnsi="宋体"/>
                <w:snapToGrid w:val="0"/>
                <w:color w:val="000000" w:themeColor="text1"/>
                <w:sz w:val="21"/>
                <w:szCs w:val="21"/>
                <w14:textFill>
                  <w14:solidFill>
                    <w14:schemeClr w14:val="tx1"/>
                  </w14:solidFill>
                </w14:textFill>
              </w:rPr>
            </w:pPr>
            <w:r>
              <w:rPr>
                <w:rFonts w:hint="eastAsia" w:hAnsi="宋体"/>
                <w:snapToGrid w:val="0"/>
                <w:color w:val="000000" w:themeColor="text1"/>
                <w:sz w:val="21"/>
                <w:szCs w:val="21"/>
                <w14:textFill>
                  <w14:solidFill>
                    <w14:schemeClr w14:val="tx1"/>
                  </w14:solidFill>
                </w14:textFill>
              </w:rPr>
              <w:t>8</w:t>
            </w:r>
          </w:p>
        </w:tc>
        <w:tc>
          <w:tcPr>
            <w:tcW w:w="329" w:type="pct"/>
            <w:vAlign w:val="center"/>
          </w:tcPr>
          <w:p w14:paraId="72A0271B">
            <w:pPr>
              <w:pStyle w:val="342"/>
              <w:overflowPunct w:val="0"/>
              <w:snapToGrid w:val="0"/>
              <w:spacing w:line="300" w:lineRule="exact"/>
              <w:rPr>
                <w:rFonts w:hint="eastAsia" w:hAnsi="宋体"/>
                <w:snapToGrid w:val="0"/>
                <w:color w:val="000000" w:themeColor="text1"/>
                <w:sz w:val="21"/>
                <w:szCs w:val="21"/>
                <w14:textFill>
                  <w14:solidFill>
                    <w14:schemeClr w14:val="tx1"/>
                  </w14:solidFill>
                </w14:textFill>
              </w:rPr>
            </w:pPr>
            <w:r>
              <w:rPr>
                <w:rFonts w:hint="eastAsia" w:hAnsi="宋体"/>
                <w:snapToGrid w:val="0"/>
                <w:color w:val="000000" w:themeColor="text1"/>
                <w:sz w:val="21"/>
                <w:szCs w:val="21"/>
                <w14:textFill>
                  <w14:solidFill>
                    <w14:schemeClr w14:val="tx1"/>
                  </w14:solidFill>
                </w14:textFill>
              </w:rPr>
              <w:t>0.5</w:t>
            </w:r>
          </w:p>
        </w:tc>
        <w:tc>
          <w:tcPr>
            <w:tcW w:w="686" w:type="pct"/>
            <w:vMerge w:val="continue"/>
            <w:vAlign w:val="center"/>
          </w:tcPr>
          <w:p w14:paraId="05092E06">
            <w:pPr>
              <w:pStyle w:val="342"/>
              <w:overflowPunct w:val="0"/>
              <w:snapToGrid w:val="0"/>
              <w:spacing w:line="300" w:lineRule="exact"/>
              <w:rPr>
                <w:rFonts w:hint="eastAsia" w:hAnsi="宋体"/>
                <w:snapToGrid w:val="0"/>
                <w:color w:val="000000" w:themeColor="text1"/>
                <w:sz w:val="21"/>
                <w:szCs w:val="21"/>
                <w14:textFill>
                  <w14:solidFill>
                    <w14:schemeClr w14:val="tx1"/>
                  </w14:solidFill>
                </w14:textFill>
              </w:rPr>
            </w:pPr>
          </w:p>
        </w:tc>
        <w:tc>
          <w:tcPr>
            <w:tcW w:w="560" w:type="pct"/>
            <w:vMerge w:val="continue"/>
            <w:vAlign w:val="center"/>
          </w:tcPr>
          <w:p w14:paraId="4C374F5B">
            <w:pPr>
              <w:pStyle w:val="342"/>
              <w:overflowPunct w:val="0"/>
              <w:snapToGrid w:val="0"/>
              <w:spacing w:line="300" w:lineRule="exact"/>
              <w:rPr>
                <w:rFonts w:hint="eastAsia" w:hAnsi="宋体"/>
                <w:snapToGrid w:val="0"/>
                <w:color w:val="000000" w:themeColor="text1"/>
                <w:sz w:val="21"/>
                <w:szCs w:val="21"/>
                <w14:textFill>
                  <w14:solidFill>
                    <w14:schemeClr w14:val="tx1"/>
                  </w14:solidFill>
                </w14:textFill>
              </w:rPr>
            </w:pPr>
          </w:p>
        </w:tc>
      </w:tr>
      <w:tr w14:paraId="5360FCE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636" w:type="pct"/>
            <w:vMerge w:val="continue"/>
            <w:vAlign w:val="center"/>
          </w:tcPr>
          <w:p w14:paraId="004F7839">
            <w:pPr>
              <w:pStyle w:val="342"/>
              <w:tabs>
                <w:tab w:val="left" w:pos="1333"/>
              </w:tabs>
              <w:overflowPunct w:val="0"/>
              <w:snapToGrid w:val="0"/>
              <w:spacing w:line="300" w:lineRule="exact"/>
              <w:rPr>
                <w:snapToGrid w:val="0"/>
                <w:color w:val="000000" w:themeColor="text1"/>
                <w:sz w:val="21"/>
                <w:szCs w:val="21"/>
                <w14:textFill>
                  <w14:solidFill>
                    <w14:schemeClr w14:val="tx1"/>
                  </w14:solidFill>
                </w14:textFill>
              </w:rPr>
            </w:pPr>
          </w:p>
        </w:tc>
        <w:tc>
          <w:tcPr>
            <w:tcW w:w="1125" w:type="pct"/>
            <w:vAlign w:val="center"/>
          </w:tcPr>
          <w:p w14:paraId="03C3C913">
            <w:pPr>
              <w:pStyle w:val="342"/>
              <w:tabs>
                <w:tab w:val="left" w:pos="1333"/>
              </w:tabs>
              <w:overflowPunct w:val="0"/>
              <w:snapToGrid w:val="0"/>
              <w:spacing w:line="300" w:lineRule="exact"/>
              <w:rPr>
                <w:snapToGrid w:val="0"/>
                <w:color w:val="000000" w:themeColor="text1"/>
                <w:sz w:val="21"/>
                <w:szCs w:val="21"/>
                <w14:textFill>
                  <w14:solidFill>
                    <w14:schemeClr w14:val="tx1"/>
                  </w14:solidFill>
                </w14:textFill>
              </w:rPr>
            </w:pPr>
            <w:r>
              <w:rPr>
                <w:rFonts w:hint="eastAsia"/>
                <w:snapToGrid w:val="0"/>
                <w:color w:val="000000" w:themeColor="text1"/>
                <w:sz w:val="21"/>
                <w:szCs w:val="21"/>
                <w14:textFill>
                  <w14:solidFill>
                    <w14:schemeClr w14:val="tx1"/>
                  </w14:solidFill>
                </w14:textFill>
              </w:rPr>
              <w:t>隔爆屏蔽泵</w:t>
            </w:r>
          </w:p>
        </w:tc>
        <w:tc>
          <w:tcPr>
            <w:tcW w:w="485" w:type="pct"/>
            <w:vAlign w:val="center"/>
          </w:tcPr>
          <w:p w14:paraId="09059CE2">
            <w:pPr>
              <w:pStyle w:val="342"/>
              <w:tabs>
                <w:tab w:val="left" w:pos="1333"/>
              </w:tabs>
              <w:overflowPunct w:val="0"/>
              <w:snapToGrid w:val="0"/>
              <w:spacing w:line="300" w:lineRule="exact"/>
              <w:rPr>
                <w:snapToGrid w:val="0"/>
                <w:color w:val="000000" w:themeColor="text1"/>
                <w:sz w:val="21"/>
                <w:szCs w:val="21"/>
                <w14:textFill>
                  <w14:solidFill>
                    <w14:schemeClr w14:val="tx1"/>
                  </w14:solidFill>
                </w14:textFill>
              </w:rPr>
            </w:pPr>
            <w:r>
              <w:rPr>
                <w:rFonts w:hint="eastAsia"/>
                <w:snapToGrid w:val="0"/>
                <w:color w:val="000000" w:themeColor="text1"/>
                <w:sz w:val="21"/>
                <w:szCs w:val="21"/>
                <w14:textFill>
                  <w14:solidFill>
                    <w14:schemeClr w14:val="tx1"/>
                  </w14:solidFill>
                </w14:textFill>
              </w:rPr>
              <w:t>1</w:t>
            </w:r>
          </w:p>
        </w:tc>
        <w:tc>
          <w:tcPr>
            <w:tcW w:w="519" w:type="pct"/>
            <w:vAlign w:val="top"/>
          </w:tcPr>
          <w:p w14:paraId="37602FF0">
            <w:pPr>
              <w:pStyle w:val="342"/>
              <w:overflowPunct w:val="0"/>
              <w:snapToGrid w:val="0"/>
              <w:spacing w:line="300" w:lineRule="exact"/>
              <w:rPr>
                <w:rFonts w:hint="eastAsia" w:hAnsi="宋体"/>
                <w:snapToGrid w:val="0"/>
                <w:color w:val="000000" w:themeColor="text1"/>
                <w:sz w:val="21"/>
                <w:szCs w:val="21"/>
                <w14:textFill>
                  <w14:solidFill>
                    <w14:schemeClr w14:val="tx1"/>
                  </w14:solidFill>
                </w14:textFill>
              </w:rPr>
            </w:pPr>
            <w:r>
              <w:rPr>
                <w:rFonts w:hint="eastAsia" w:hAnsi="宋体"/>
                <w:snapToGrid w:val="0"/>
                <w:color w:val="000000" w:themeColor="text1"/>
                <w:sz w:val="21"/>
                <w:szCs w:val="21"/>
                <w14:textFill>
                  <w14:solidFill>
                    <w14:schemeClr w14:val="tx1"/>
                  </w14:solidFill>
                </w14:textFill>
              </w:rPr>
              <w:t>85-90</w:t>
            </w:r>
          </w:p>
        </w:tc>
        <w:tc>
          <w:tcPr>
            <w:tcW w:w="330" w:type="pct"/>
            <w:vAlign w:val="center"/>
          </w:tcPr>
          <w:p w14:paraId="001BD1FE">
            <w:pPr>
              <w:pStyle w:val="342"/>
              <w:overflowPunct w:val="0"/>
              <w:snapToGrid w:val="0"/>
              <w:spacing w:line="300" w:lineRule="exact"/>
              <w:rPr>
                <w:rFonts w:hint="eastAsia" w:hAnsi="宋体"/>
                <w:snapToGrid w:val="0"/>
                <w:color w:val="000000" w:themeColor="text1"/>
                <w:sz w:val="21"/>
                <w:szCs w:val="21"/>
                <w14:textFill>
                  <w14:solidFill>
                    <w14:schemeClr w14:val="tx1"/>
                  </w14:solidFill>
                </w14:textFill>
              </w:rPr>
            </w:pPr>
            <w:r>
              <w:rPr>
                <w:rFonts w:hint="eastAsia" w:hAnsi="宋体"/>
                <w:snapToGrid w:val="0"/>
                <w:color w:val="000000" w:themeColor="text1"/>
                <w:sz w:val="21"/>
                <w:szCs w:val="21"/>
                <w14:textFill>
                  <w14:solidFill>
                    <w14:schemeClr w14:val="tx1"/>
                  </w14:solidFill>
                </w14:textFill>
              </w:rPr>
              <w:t>20</w:t>
            </w:r>
          </w:p>
        </w:tc>
        <w:tc>
          <w:tcPr>
            <w:tcW w:w="330" w:type="pct"/>
            <w:vAlign w:val="center"/>
          </w:tcPr>
          <w:p w14:paraId="4653A955">
            <w:pPr>
              <w:pStyle w:val="342"/>
              <w:overflowPunct w:val="0"/>
              <w:snapToGrid w:val="0"/>
              <w:spacing w:line="300" w:lineRule="exact"/>
              <w:rPr>
                <w:rFonts w:hint="eastAsia" w:hAnsi="宋体"/>
                <w:snapToGrid w:val="0"/>
                <w:color w:val="000000" w:themeColor="text1"/>
                <w:sz w:val="21"/>
                <w:szCs w:val="21"/>
                <w14:textFill>
                  <w14:solidFill>
                    <w14:schemeClr w14:val="tx1"/>
                  </w14:solidFill>
                </w14:textFill>
              </w:rPr>
            </w:pPr>
            <w:r>
              <w:rPr>
                <w:rFonts w:hint="eastAsia" w:hAnsi="宋体"/>
                <w:snapToGrid w:val="0"/>
                <w:color w:val="000000" w:themeColor="text1"/>
                <w:sz w:val="21"/>
                <w:szCs w:val="21"/>
                <w14:textFill>
                  <w14:solidFill>
                    <w14:schemeClr w14:val="tx1"/>
                  </w14:solidFill>
                </w14:textFill>
              </w:rPr>
              <w:t>21</w:t>
            </w:r>
          </w:p>
        </w:tc>
        <w:tc>
          <w:tcPr>
            <w:tcW w:w="329" w:type="pct"/>
            <w:vAlign w:val="center"/>
          </w:tcPr>
          <w:p w14:paraId="1293F43B">
            <w:pPr>
              <w:pStyle w:val="342"/>
              <w:overflowPunct w:val="0"/>
              <w:snapToGrid w:val="0"/>
              <w:spacing w:line="300" w:lineRule="exact"/>
              <w:rPr>
                <w:rFonts w:hint="eastAsia" w:hAnsi="宋体"/>
                <w:snapToGrid w:val="0"/>
                <w:color w:val="000000" w:themeColor="text1"/>
                <w:sz w:val="21"/>
                <w:szCs w:val="21"/>
                <w14:textFill>
                  <w14:solidFill>
                    <w14:schemeClr w14:val="tx1"/>
                  </w14:solidFill>
                </w14:textFill>
              </w:rPr>
            </w:pPr>
            <w:r>
              <w:rPr>
                <w:rFonts w:hint="eastAsia" w:hAnsi="宋体"/>
                <w:snapToGrid w:val="0"/>
                <w:color w:val="000000" w:themeColor="text1"/>
                <w:sz w:val="21"/>
                <w:szCs w:val="21"/>
                <w14:textFill>
                  <w14:solidFill>
                    <w14:schemeClr w14:val="tx1"/>
                  </w14:solidFill>
                </w14:textFill>
              </w:rPr>
              <w:t>0.5</w:t>
            </w:r>
          </w:p>
        </w:tc>
        <w:tc>
          <w:tcPr>
            <w:tcW w:w="686" w:type="pct"/>
            <w:vMerge w:val="continue"/>
            <w:vAlign w:val="center"/>
          </w:tcPr>
          <w:p w14:paraId="510D2ED5">
            <w:pPr>
              <w:pStyle w:val="342"/>
              <w:overflowPunct w:val="0"/>
              <w:snapToGrid w:val="0"/>
              <w:spacing w:line="300" w:lineRule="exact"/>
              <w:rPr>
                <w:rFonts w:hint="eastAsia" w:hAnsi="宋体"/>
                <w:snapToGrid w:val="0"/>
                <w:color w:val="000000" w:themeColor="text1"/>
                <w:sz w:val="21"/>
                <w:szCs w:val="21"/>
                <w14:textFill>
                  <w14:solidFill>
                    <w14:schemeClr w14:val="tx1"/>
                  </w14:solidFill>
                </w14:textFill>
              </w:rPr>
            </w:pPr>
          </w:p>
        </w:tc>
        <w:tc>
          <w:tcPr>
            <w:tcW w:w="560" w:type="pct"/>
            <w:vMerge w:val="continue"/>
            <w:vAlign w:val="center"/>
          </w:tcPr>
          <w:p w14:paraId="01CA9273">
            <w:pPr>
              <w:pStyle w:val="342"/>
              <w:overflowPunct w:val="0"/>
              <w:snapToGrid w:val="0"/>
              <w:spacing w:line="300" w:lineRule="exact"/>
              <w:rPr>
                <w:rFonts w:hint="eastAsia" w:hAnsi="宋体"/>
                <w:snapToGrid w:val="0"/>
                <w:color w:val="000000" w:themeColor="text1"/>
                <w:sz w:val="21"/>
                <w:szCs w:val="21"/>
                <w14:textFill>
                  <w14:solidFill>
                    <w14:schemeClr w14:val="tx1"/>
                  </w14:solidFill>
                </w14:textFill>
              </w:rPr>
            </w:pPr>
          </w:p>
        </w:tc>
      </w:tr>
      <w:tr w14:paraId="31EB201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636" w:type="pct"/>
            <w:vMerge w:val="restart"/>
            <w:vAlign w:val="center"/>
          </w:tcPr>
          <w:p w14:paraId="4AD3DDF3">
            <w:pPr>
              <w:pStyle w:val="342"/>
              <w:tabs>
                <w:tab w:val="left" w:pos="1333"/>
              </w:tabs>
              <w:overflowPunct w:val="0"/>
              <w:snapToGrid w:val="0"/>
              <w:spacing w:line="300" w:lineRule="exact"/>
              <w:rPr>
                <w:snapToGrid w:val="0"/>
                <w:color w:val="000000" w:themeColor="text1"/>
                <w:sz w:val="21"/>
                <w:szCs w:val="21"/>
                <w14:textFill>
                  <w14:solidFill>
                    <w14:schemeClr w14:val="tx1"/>
                  </w14:solidFill>
                </w14:textFill>
              </w:rPr>
            </w:pPr>
            <w:r>
              <w:rPr>
                <w:rFonts w:hint="eastAsia"/>
                <w:snapToGrid w:val="0"/>
                <w:color w:val="000000" w:themeColor="text1"/>
                <w:sz w:val="21"/>
                <w:szCs w:val="21"/>
                <w14:textFill>
                  <w14:solidFill>
                    <w14:schemeClr w14:val="tx1"/>
                  </w14:solidFill>
                </w14:textFill>
              </w:rPr>
              <w:t>J</w:t>
            </w:r>
            <w:r>
              <w:rPr>
                <w:snapToGrid w:val="0"/>
                <w:color w:val="000000" w:themeColor="text1"/>
                <w:sz w:val="21"/>
                <w:szCs w:val="21"/>
                <w14:textFill>
                  <w14:solidFill>
                    <w14:schemeClr w14:val="tx1"/>
                  </w14:solidFill>
                </w14:textFill>
              </w:rPr>
              <w:t>10064_H</w:t>
            </w:r>
          </w:p>
        </w:tc>
        <w:tc>
          <w:tcPr>
            <w:tcW w:w="1125" w:type="pct"/>
            <w:vAlign w:val="center"/>
          </w:tcPr>
          <w:p w14:paraId="3CF6998E">
            <w:pPr>
              <w:pStyle w:val="342"/>
              <w:tabs>
                <w:tab w:val="left" w:pos="1333"/>
              </w:tabs>
              <w:overflowPunct w:val="0"/>
              <w:snapToGrid w:val="0"/>
              <w:spacing w:line="300" w:lineRule="exact"/>
              <w:rPr>
                <w:snapToGrid w:val="0"/>
                <w:color w:val="000000" w:themeColor="text1"/>
                <w:sz w:val="21"/>
                <w:szCs w:val="21"/>
                <w14:textFill>
                  <w14:solidFill>
                    <w14:schemeClr w14:val="tx1"/>
                  </w14:solidFill>
                </w14:textFill>
              </w:rPr>
            </w:pPr>
            <w:r>
              <w:rPr>
                <w:rFonts w:hint="eastAsia"/>
                <w:snapToGrid w:val="0"/>
                <w:color w:val="000000" w:themeColor="text1"/>
                <w:sz w:val="21"/>
                <w:szCs w:val="21"/>
                <w14:textFill>
                  <w14:solidFill>
                    <w14:schemeClr w14:val="tx1"/>
                  </w14:solidFill>
                </w14:textFill>
              </w:rPr>
              <w:t>投捞式电潜螺杆泵</w:t>
            </w:r>
          </w:p>
        </w:tc>
        <w:tc>
          <w:tcPr>
            <w:tcW w:w="485" w:type="pct"/>
            <w:vAlign w:val="center"/>
          </w:tcPr>
          <w:p w14:paraId="5B6DB41A">
            <w:pPr>
              <w:pStyle w:val="342"/>
              <w:tabs>
                <w:tab w:val="left" w:pos="1333"/>
              </w:tabs>
              <w:overflowPunct w:val="0"/>
              <w:snapToGrid w:val="0"/>
              <w:spacing w:line="300" w:lineRule="exact"/>
              <w:rPr>
                <w:snapToGrid w:val="0"/>
                <w:color w:val="000000" w:themeColor="text1"/>
                <w:sz w:val="21"/>
                <w:szCs w:val="21"/>
                <w14:textFill>
                  <w14:solidFill>
                    <w14:schemeClr w14:val="tx1"/>
                  </w14:solidFill>
                </w14:textFill>
              </w:rPr>
            </w:pPr>
            <w:r>
              <w:rPr>
                <w:rFonts w:hint="eastAsia"/>
                <w:snapToGrid w:val="0"/>
                <w:color w:val="000000" w:themeColor="text1"/>
                <w:sz w:val="21"/>
                <w:szCs w:val="21"/>
                <w14:textFill>
                  <w14:solidFill>
                    <w14:schemeClr w14:val="tx1"/>
                  </w14:solidFill>
                </w14:textFill>
              </w:rPr>
              <w:t>1</w:t>
            </w:r>
          </w:p>
        </w:tc>
        <w:tc>
          <w:tcPr>
            <w:tcW w:w="519" w:type="pct"/>
            <w:vAlign w:val="top"/>
          </w:tcPr>
          <w:p w14:paraId="1AA32948">
            <w:pPr>
              <w:pStyle w:val="342"/>
              <w:overflowPunct w:val="0"/>
              <w:snapToGrid w:val="0"/>
              <w:spacing w:line="300" w:lineRule="exact"/>
              <w:rPr>
                <w:rFonts w:hint="eastAsia" w:hAnsi="宋体"/>
                <w:snapToGrid w:val="0"/>
                <w:color w:val="000000" w:themeColor="text1"/>
                <w:sz w:val="21"/>
                <w:szCs w:val="21"/>
                <w14:textFill>
                  <w14:solidFill>
                    <w14:schemeClr w14:val="tx1"/>
                  </w14:solidFill>
                </w14:textFill>
              </w:rPr>
            </w:pPr>
            <w:r>
              <w:rPr>
                <w:rFonts w:hint="eastAsia" w:hAnsi="宋体"/>
                <w:snapToGrid w:val="0"/>
                <w:color w:val="000000" w:themeColor="text1"/>
                <w:sz w:val="21"/>
                <w:szCs w:val="21"/>
                <w14:textFill>
                  <w14:solidFill>
                    <w14:schemeClr w14:val="tx1"/>
                  </w14:solidFill>
                </w14:textFill>
              </w:rPr>
              <w:t>85-90</w:t>
            </w:r>
          </w:p>
        </w:tc>
        <w:tc>
          <w:tcPr>
            <w:tcW w:w="330" w:type="pct"/>
            <w:vAlign w:val="center"/>
          </w:tcPr>
          <w:p w14:paraId="00736ED9">
            <w:pPr>
              <w:pStyle w:val="342"/>
              <w:overflowPunct w:val="0"/>
              <w:snapToGrid w:val="0"/>
              <w:spacing w:line="300" w:lineRule="exact"/>
              <w:rPr>
                <w:rFonts w:hint="eastAsia" w:hAnsi="宋体"/>
                <w:snapToGrid w:val="0"/>
                <w:color w:val="000000" w:themeColor="text1"/>
                <w:sz w:val="21"/>
                <w:szCs w:val="21"/>
                <w14:textFill>
                  <w14:solidFill>
                    <w14:schemeClr w14:val="tx1"/>
                  </w14:solidFill>
                </w14:textFill>
              </w:rPr>
            </w:pPr>
            <w:r>
              <w:rPr>
                <w:rFonts w:hint="eastAsia" w:hAnsi="宋体"/>
                <w:snapToGrid w:val="0"/>
                <w:color w:val="000000" w:themeColor="text1"/>
                <w:sz w:val="21"/>
                <w:szCs w:val="21"/>
                <w14:textFill>
                  <w14:solidFill>
                    <w14:schemeClr w14:val="tx1"/>
                  </w14:solidFill>
                </w14:textFill>
              </w:rPr>
              <w:t>27</w:t>
            </w:r>
          </w:p>
        </w:tc>
        <w:tc>
          <w:tcPr>
            <w:tcW w:w="330" w:type="pct"/>
            <w:vAlign w:val="center"/>
          </w:tcPr>
          <w:p w14:paraId="67703D71">
            <w:pPr>
              <w:pStyle w:val="342"/>
              <w:overflowPunct w:val="0"/>
              <w:snapToGrid w:val="0"/>
              <w:spacing w:line="300" w:lineRule="exact"/>
              <w:rPr>
                <w:rFonts w:hint="eastAsia" w:hAnsi="宋体"/>
                <w:snapToGrid w:val="0"/>
                <w:color w:val="000000" w:themeColor="text1"/>
                <w:sz w:val="21"/>
                <w:szCs w:val="21"/>
                <w14:textFill>
                  <w14:solidFill>
                    <w14:schemeClr w14:val="tx1"/>
                  </w14:solidFill>
                </w14:textFill>
              </w:rPr>
            </w:pPr>
            <w:r>
              <w:rPr>
                <w:rFonts w:hint="eastAsia" w:hAnsi="宋体"/>
                <w:snapToGrid w:val="0"/>
                <w:color w:val="000000" w:themeColor="text1"/>
                <w:sz w:val="21"/>
                <w:szCs w:val="21"/>
                <w14:textFill>
                  <w14:solidFill>
                    <w14:schemeClr w14:val="tx1"/>
                  </w14:solidFill>
                </w14:textFill>
              </w:rPr>
              <w:t>25</w:t>
            </w:r>
          </w:p>
        </w:tc>
        <w:tc>
          <w:tcPr>
            <w:tcW w:w="329" w:type="pct"/>
            <w:vAlign w:val="center"/>
          </w:tcPr>
          <w:p w14:paraId="57F2043F">
            <w:pPr>
              <w:pStyle w:val="342"/>
              <w:overflowPunct w:val="0"/>
              <w:snapToGrid w:val="0"/>
              <w:spacing w:line="300" w:lineRule="exact"/>
              <w:rPr>
                <w:rFonts w:hint="eastAsia" w:hAnsi="宋体"/>
                <w:snapToGrid w:val="0"/>
                <w:color w:val="000000" w:themeColor="text1"/>
                <w:sz w:val="21"/>
                <w:szCs w:val="21"/>
                <w14:textFill>
                  <w14:solidFill>
                    <w14:schemeClr w14:val="tx1"/>
                  </w14:solidFill>
                </w14:textFill>
              </w:rPr>
            </w:pPr>
            <w:r>
              <w:rPr>
                <w:rFonts w:hint="eastAsia" w:hAnsi="宋体"/>
                <w:snapToGrid w:val="0"/>
                <w:color w:val="000000" w:themeColor="text1"/>
                <w:sz w:val="21"/>
                <w:szCs w:val="21"/>
                <w14:textFill>
                  <w14:solidFill>
                    <w14:schemeClr w14:val="tx1"/>
                  </w14:solidFill>
                </w14:textFill>
              </w:rPr>
              <w:t>0.5</w:t>
            </w:r>
          </w:p>
        </w:tc>
        <w:tc>
          <w:tcPr>
            <w:tcW w:w="686" w:type="pct"/>
            <w:vMerge w:val="continue"/>
            <w:vAlign w:val="center"/>
          </w:tcPr>
          <w:p w14:paraId="7A99D547">
            <w:pPr>
              <w:pStyle w:val="342"/>
              <w:overflowPunct w:val="0"/>
              <w:snapToGrid w:val="0"/>
              <w:spacing w:line="300" w:lineRule="exact"/>
              <w:rPr>
                <w:rFonts w:hint="eastAsia" w:hAnsi="宋体"/>
                <w:snapToGrid w:val="0"/>
                <w:color w:val="000000" w:themeColor="text1"/>
                <w:sz w:val="21"/>
                <w:szCs w:val="21"/>
                <w14:textFill>
                  <w14:solidFill>
                    <w14:schemeClr w14:val="tx1"/>
                  </w14:solidFill>
                </w14:textFill>
              </w:rPr>
            </w:pPr>
          </w:p>
        </w:tc>
        <w:tc>
          <w:tcPr>
            <w:tcW w:w="560" w:type="pct"/>
            <w:vMerge w:val="continue"/>
            <w:vAlign w:val="center"/>
          </w:tcPr>
          <w:p w14:paraId="7A97F050">
            <w:pPr>
              <w:pStyle w:val="342"/>
              <w:overflowPunct w:val="0"/>
              <w:snapToGrid w:val="0"/>
              <w:spacing w:line="300" w:lineRule="exact"/>
              <w:rPr>
                <w:rFonts w:hint="eastAsia" w:hAnsi="宋体"/>
                <w:snapToGrid w:val="0"/>
                <w:color w:val="000000" w:themeColor="text1"/>
                <w:sz w:val="21"/>
                <w:szCs w:val="21"/>
                <w14:textFill>
                  <w14:solidFill>
                    <w14:schemeClr w14:val="tx1"/>
                  </w14:solidFill>
                </w14:textFill>
              </w:rPr>
            </w:pPr>
          </w:p>
        </w:tc>
      </w:tr>
      <w:tr w14:paraId="16A376E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636" w:type="pct"/>
            <w:vMerge w:val="continue"/>
            <w:vAlign w:val="center"/>
          </w:tcPr>
          <w:p w14:paraId="243A7237">
            <w:pPr>
              <w:pStyle w:val="342"/>
              <w:tabs>
                <w:tab w:val="left" w:pos="1333"/>
              </w:tabs>
              <w:overflowPunct w:val="0"/>
              <w:snapToGrid w:val="0"/>
              <w:spacing w:line="300" w:lineRule="exact"/>
              <w:rPr>
                <w:snapToGrid w:val="0"/>
                <w:color w:val="000000" w:themeColor="text1"/>
                <w:sz w:val="21"/>
                <w:szCs w:val="21"/>
                <w14:textFill>
                  <w14:solidFill>
                    <w14:schemeClr w14:val="tx1"/>
                  </w14:solidFill>
                </w14:textFill>
              </w:rPr>
            </w:pPr>
          </w:p>
        </w:tc>
        <w:tc>
          <w:tcPr>
            <w:tcW w:w="1125" w:type="pct"/>
            <w:vAlign w:val="center"/>
          </w:tcPr>
          <w:p w14:paraId="713C5E60">
            <w:pPr>
              <w:pStyle w:val="342"/>
              <w:tabs>
                <w:tab w:val="left" w:pos="1333"/>
              </w:tabs>
              <w:overflowPunct w:val="0"/>
              <w:snapToGrid w:val="0"/>
              <w:spacing w:line="300" w:lineRule="exact"/>
              <w:rPr>
                <w:snapToGrid w:val="0"/>
                <w:color w:val="000000" w:themeColor="text1"/>
                <w:sz w:val="21"/>
                <w:szCs w:val="21"/>
                <w14:textFill>
                  <w14:solidFill>
                    <w14:schemeClr w14:val="tx1"/>
                  </w14:solidFill>
                </w14:textFill>
              </w:rPr>
            </w:pPr>
            <w:r>
              <w:rPr>
                <w:rFonts w:hint="eastAsia"/>
                <w:snapToGrid w:val="0"/>
                <w:color w:val="000000" w:themeColor="text1"/>
                <w:sz w:val="21"/>
                <w:szCs w:val="21"/>
                <w14:textFill>
                  <w14:solidFill>
                    <w14:schemeClr w14:val="tx1"/>
                  </w14:solidFill>
                </w14:textFill>
              </w:rPr>
              <w:t>高压往复泵</w:t>
            </w:r>
          </w:p>
        </w:tc>
        <w:tc>
          <w:tcPr>
            <w:tcW w:w="485" w:type="pct"/>
            <w:vAlign w:val="center"/>
          </w:tcPr>
          <w:p w14:paraId="33FD8422">
            <w:pPr>
              <w:pStyle w:val="342"/>
              <w:tabs>
                <w:tab w:val="left" w:pos="1333"/>
              </w:tabs>
              <w:overflowPunct w:val="0"/>
              <w:snapToGrid w:val="0"/>
              <w:spacing w:line="300" w:lineRule="exact"/>
              <w:rPr>
                <w:snapToGrid w:val="0"/>
                <w:color w:val="000000" w:themeColor="text1"/>
                <w:sz w:val="21"/>
                <w:szCs w:val="21"/>
                <w14:textFill>
                  <w14:solidFill>
                    <w14:schemeClr w14:val="tx1"/>
                  </w14:solidFill>
                </w14:textFill>
              </w:rPr>
            </w:pPr>
            <w:r>
              <w:rPr>
                <w:rFonts w:hint="eastAsia"/>
                <w:snapToGrid w:val="0"/>
                <w:color w:val="000000" w:themeColor="text1"/>
                <w:sz w:val="21"/>
                <w:szCs w:val="21"/>
                <w14:textFill>
                  <w14:solidFill>
                    <w14:schemeClr w14:val="tx1"/>
                  </w14:solidFill>
                </w14:textFill>
              </w:rPr>
              <w:t>2</w:t>
            </w:r>
          </w:p>
        </w:tc>
        <w:tc>
          <w:tcPr>
            <w:tcW w:w="519" w:type="pct"/>
            <w:vAlign w:val="top"/>
          </w:tcPr>
          <w:p w14:paraId="1FC2DE8D">
            <w:pPr>
              <w:pStyle w:val="342"/>
              <w:overflowPunct w:val="0"/>
              <w:snapToGrid w:val="0"/>
              <w:spacing w:line="300" w:lineRule="exact"/>
              <w:rPr>
                <w:rFonts w:hint="eastAsia" w:hAnsi="宋体"/>
                <w:snapToGrid w:val="0"/>
                <w:color w:val="000000" w:themeColor="text1"/>
                <w:sz w:val="21"/>
                <w:szCs w:val="21"/>
                <w14:textFill>
                  <w14:solidFill>
                    <w14:schemeClr w14:val="tx1"/>
                  </w14:solidFill>
                </w14:textFill>
              </w:rPr>
            </w:pPr>
            <w:r>
              <w:rPr>
                <w:rFonts w:hint="eastAsia" w:hAnsi="宋体"/>
                <w:snapToGrid w:val="0"/>
                <w:color w:val="000000" w:themeColor="text1"/>
                <w:sz w:val="21"/>
                <w:szCs w:val="21"/>
                <w14:textFill>
                  <w14:solidFill>
                    <w14:schemeClr w14:val="tx1"/>
                  </w14:solidFill>
                </w14:textFill>
              </w:rPr>
              <w:t>85-90</w:t>
            </w:r>
          </w:p>
        </w:tc>
        <w:tc>
          <w:tcPr>
            <w:tcW w:w="330" w:type="pct"/>
            <w:vAlign w:val="center"/>
          </w:tcPr>
          <w:p w14:paraId="11E084AB">
            <w:pPr>
              <w:pStyle w:val="342"/>
              <w:overflowPunct w:val="0"/>
              <w:snapToGrid w:val="0"/>
              <w:spacing w:line="300" w:lineRule="exact"/>
              <w:rPr>
                <w:rFonts w:hint="eastAsia" w:hAnsi="宋体"/>
                <w:snapToGrid w:val="0"/>
                <w:color w:val="000000" w:themeColor="text1"/>
                <w:sz w:val="21"/>
                <w:szCs w:val="21"/>
                <w14:textFill>
                  <w14:solidFill>
                    <w14:schemeClr w14:val="tx1"/>
                  </w14:solidFill>
                </w14:textFill>
              </w:rPr>
            </w:pPr>
            <w:r>
              <w:rPr>
                <w:rFonts w:hint="eastAsia" w:hAnsi="宋体"/>
                <w:snapToGrid w:val="0"/>
                <w:color w:val="000000" w:themeColor="text1"/>
                <w:sz w:val="21"/>
                <w:szCs w:val="21"/>
                <w14:textFill>
                  <w14:solidFill>
                    <w14:schemeClr w14:val="tx1"/>
                  </w14:solidFill>
                </w14:textFill>
              </w:rPr>
              <w:t>14</w:t>
            </w:r>
          </w:p>
        </w:tc>
        <w:tc>
          <w:tcPr>
            <w:tcW w:w="330" w:type="pct"/>
            <w:vAlign w:val="center"/>
          </w:tcPr>
          <w:p w14:paraId="6D4E457F">
            <w:pPr>
              <w:pStyle w:val="342"/>
              <w:overflowPunct w:val="0"/>
              <w:snapToGrid w:val="0"/>
              <w:spacing w:line="300" w:lineRule="exact"/>
              <w:rPr>
                <w:rFonts w:hint="eastAsia" w:hAnsi="宋体"/>
                <w:snapToGrid w:val="0"/>
                <w:color w:val="000000" w:themeColor="text1"/>
                <w:sz w:val="21"/>
                <w:szCs w:val="21"/>
                <w14:textFill>
                  <w14:solidFill>
                    <w14:schemeClr w14:val="tx1"/>
                  </w14:solidFill>
                </w14:textFill>
              </w:rPr>
            </w:pPr>
            <w:r>
              <w:rPr>
                <w:rFonts w:hint="eastAsia" w:hAnsi="宋体"/>
                <w:snapToGrid w:val="0"/>
                <w:color w:val="000000" w:themeColor="text1"/>
                <w:sz w:val="21"/>
                <w:szCs w:val="21"/>
                <w14:textFill>
                  <w14:solidFill>
                    <w14:schemeClr w14:val="tx1"/>
                  </w14:solidFill>
                </w14:textFill>
              </w:rPr>
              <w:t>12</w:t>
            </w:r>
          </w:p>
        </w:tc>
        <w:tc>
          <w:tcPr>
            <w:tcW w:w="329" w:type="pct"/>
            <w:vAlign w:val="center"/>
          </w:tcPr>
          <w:p w14:paraId="6ECD0DDF">
            <w:pPr>
              <w:pStyle w:val="342"/>
              <w:overflowPunct w:val="0"/>
              <w:snapToGrid w:val="0"/>
              <w:spacing w:line="300" w:lineRule="exact"/>
              <w:rPr>
                <w:rFonts w:hint="eastAsia" w:hAnsi="宋体"/>
                <w:snapToGrid w:val="0"/>
                <w:color w:val="000000" w:themeColor="text1"/>
                <w:sz w:val="21"/>
                <w:szCs w:val="21"/>
                <w14:textFill>
                  <w14:solidFill>
                    <w14:schemeClr w14:val="tx1"/>
                  </w14:solidFill>
                </w14:textFill>
              </w:rPr>
            </w:pPr>
            <w:r>
              <w:rPr>
                <w:rFonts w:hint="eastAsia" w:hAnsi="宋体"/>
                <w:snapToGrid w:val="0"/>
                <w:color w:val="000000" w:themeColor="text1"/>
                <w:sz w:val="21"/>
                <w:szCs w:val="21"/>
                <w14:textFill>
                  <w14:solidFill>
                    <w14:schemeClr w14:val="tx1"/>
                  </w14:solidFill>
                </w14:textFill>
              </w:rPr>
              <w:t>0.5</w:t>
            </w:r>
          </w:p>
        </w:tc>
        <w:tc>
          <w:tcPr>
            <w:tcW w:w="686" w:type="pct"/>
            <w:vMerge w:val="continue"/>
            <w:vAlign w:val="center"/>
          </w:tcPr>
          <w:p w14:paraId="4B9A2437">
            <w:pPr>
              <w:pStyle w:val="342"/>
              <w:overflowPunct w:val="0"/>
              <w:snapToGrid w:val="0"/>
              <w:spacing w:line="300" w:lineRule="exact"/>
              <w:rPr>
                <w:rFonts w:hint="eastAsia" w:hAnsi="宋体"/>
                <w:snapToGrid w:val="0"/>
                <w:color w:val="000000" w:themeColor="text1"/>
                <w:sz w:val="21"/>
                <w:szCs w:val="21"/>
                <w14:textFill>
                  <w14:solidFill>
                    <w14:schemeClr w14:val="tx1"/>
                  </w14:solidFill>
                </w14:textFill>
              </w:rPr>
            </w:pPr>
          </w:p>
        </w:tc>
        <w:tc>
          <w:tcPr>
            <w:tcW w:w="560" w:type="pct"/>
            <w:vMerge w:val="continue"/>
            <w:vAlign w:val="center"/>
          </w:tcPr>
          <w:p w14:paraId="736C23B9">
            <w:pPr>
              <w:pStyle w:val="342"/>
              <w:overflowPunct w:val="0"/>
              <w:snapToGrid w:val="0"/>
              <w:spacing w:line="300" w:lineRule="exact"/>
              <w:rPr>
                <w:rFonts w:hint="eastAsia" w:hAnsi="宋体"/>
                <w:snapToGrid w:val="0"/>
                <w:color w:val="000000" w:themeColor="text1"/>
                <w:sz w:val="21"/>
                <w:szCs w:val="21"/>
                <w14:textFill>
                  <w14:solidFill>
                    <w14:schemeClr w14:val="tx1"/>
                  </w14:solidFill>
                </w14:textFill>
              </w:rPr>
            </w:pPr>
          </w:p>
        </w:tc>
      </w:tr>
      <w:tr w14:paraId="30E2E96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636" w:type="pct"/>
            <w:vMerge w:val="continue"/>
            <w:vAlign w:val="center"/>
          </w:tcPr>
          <w:p w14:paraId="181652B8">
            <w:pPr>
              <w:pStyle w:val="342"/>
              <w:tabs>
                <w:tab w:val="left" w:pos="1333"/>
              </w:tabs>
              <w:overflowPunct w:val="0"/>
              <w:snapToGrid w:val="0"/>
              <w:spacing w:line="300" w:lineRule="exact"/>
              <w:rPr>
                <w:snapToGrid w:val="0"/>
                <w:color w:val="000000" w:themeColor="text1"/>
                <w:sz w:val="21"/>
                <w:szCs w:val="21"/>
                <w14:textFill>
                  <w14:solidFill>
                    <w14:schemeClr w14:val="tx1"/>
                  </w14:solidFill>
                </w14:textFill>
              </w:rPr>
            </w:pPr>
          </w:p>
        </w:tc>
        <w:tc>
          <w:tcPr>
            <w:tcW w:w="1125" w:type="pct"/>
            <w:vAlign w:val="center"/>
          </w:tcPr>
          <w:p w14:paraId="2B70108C">
            <w:pPr>
              <w:pStyle w:val="342"/>
              <w:tabs>
                <w:tab w:val="left" w:pos="1333"/>
              </w:tabs>
              <w:overflowPunct w:val="0"/>
              <w:snapToGrid w:val="0"/>
              <w:spacing w:line="300" w:lineRule="exact"/>
              <w:rPr>
                <w:snapToGrid w:val="0"/>
                <w:color w:val="000000" w:themeColor="text1"/>
                <w:sz w:val="21"/>
                <w:szCs w:val="21"/>
                <w14:textFill>
                  <w14:solidFill>
                    <w14:schemeClr w14:val="tx1"/>
                  </w14:solidFill>
                </w14:textFill>
              </w:rPr>
            </w:pPr>
            <w:r>
              <w:rPr>
                <w:rFonts w:hint="eastAsia"/>
                <w:snapToGrid w:val="0"/>
                <w:color w:val="000000" w:themeColor="text1"/>
                <w:sz w:val="21"/>
                <w:szCs w:val="21"/>
                <w14:textFill>
                  <w14:solidFill>
                    <w14:schemeClr w14:val="tx1"/>
                  </w14:solidFill>
                </w14:textFill>
              </w:rPr>
              <w:t>二氧化碳专用泵</w:t>
            </w:r>
          </w:p>
        </w:tc>
        <w:tc>
          <w:tcPr>
            <w:tcW w:w="485" w:type="pct"/>
            <w:vAlign w:val="center"/>
          </w:tcPr>
          <w:p w14:paraId="05378B14">
            <w:pPr>
              <w:pStyle w:val="342"/>
              <w:tabs>
                <w:tab w:val="left" w:pos="1333"/>
              </w:tabs>
              <w:overflowPunct w:val="0"/>
              <w:snapToGrid w:val="0"/>
              <w:spacing w:line="300" w:lineRule="exact"/>
              <w:rPr>
                <w:snapToGrid w:val="0"/>
                <w:color w:val="000000" w:themeColor="text1"/>
                <w:sz w:val="21"/>
                <w:szCs w:val="21"/>
                <w14:textFill>
                  <w14:solidFill>
                    <w14:schemeClr w14:val="tx1"/>
                  </w14:solidFill>
                </w14:textFill>
              </w:rPr>
            </w:pPr>
            <w:r>
              <w:rPr>
                <w:rFonts w:hint="eastAsia"/>
                <w:snapToGrid w:val="0"/>
                <w:color w:val="000000" w:themeColor="text1"/>
                <w:sz w:val="21"/>
                <w:szCs w:val="21"/>
                <w14:textFill>
                  <w14:solidFill>
                    <w14:schemeClr w14:val="tx1"/>
                  </w14:solidFill>
                </w14:textFill>
              </w:rPr>
              <w:t>2</w:t>
            </w:r>
          </w:p>
        </w:tc>
        <w:tc>
          <w:tcPr>
            <w:tcW w:w="519" w:type="pct"/>
            <w:vAlign w:val="top"/>
          </w:tcPr>
          <w:p w14:paraId="3EDF24EE">
            <w:pPr>
              <w:pStyle w:val="342"/>
              <w:overflowPunct w:val="0"/>
              <w:snapToGrid w:val="0"/>
              <w:spacing w:line="300" w:lineRule="exact"/>
              <w:rPr>
                <w:rFonts w:hint="eastAsia" w:hAnsi="宋体"/>
                <w:snapToGrid w:val="0"/>
                <w:color w:val="000000" w:themeColor="text1"/>
                <w:sz w:val="21"/>
                <w:szCs w:val="21"/>
                <w14:textFill>
                  <w14:solidFill>
                    <w14:schemeClr w14:val="tx1"/>
                  </w14:solidFill>
                </w14:textFill>
              </w:rPr>
            </w:pPr>
            <w:r>
              <w:rPr>
                <w:rFonts w:hint="eastAsia" w:hAnsi="宋体"/>
                <w:snapToGrid w:val="0"/>
                <w:color w:val="000000" w:themeColor="text1"/>
                <w:sz w:val="21"/>
                <w:szCs w:val="21"/>
                <w14:textFill>
                  <w14:solidFill>
                    <w14:schemeClr w14:val="tx1"/>
                  </w14:solidFill>
                </w14:textFill>
              </w:rPr>
              <w:t>85-90</w:t>
            </w:r>
          </w:p>
        </w:tc>
        <w:tc>
          <w:tcPr>
            <w:tcW w:w="330" w:type="pct"/>
            <w:vAlign w:val="center"/>
          </w:tcPr>
          <w:p w14:paraId="11988DD0">
            <w:pPr>
              <w:pStyle w:val="342"/>
              <w:overflowPunct w:val="0"/>
              <w:snapToGrid w:val="0"/>
              <w:spacing w:line="300" w:lineRule="exact"/>
              <w:rPr>
                <w:rFonts w:hint="eastAsia" w:hAnsi="宋体"/>
                <w:snapToGrid w:val="0"/>
                <w:color w:val="000000" w:themeColor="text1"/>
                <w:sz w:val="21"/>
                <w:szCs w:val="21"/>
                <w14:textFill>
                  <w14:solidFill>
                    <w14:schemeClr w14:val="tx1"/>
                  </w14:solidFill>
                </w14:textFill>
              </w:rPr>
            </w:pPr>
            <w:r>
              <w:rPr>
                <w:rFonts w:hint="eastAsia" w:hAnsi="宋体"/>
                <w:snapToGrid w:val="0"/>
                <w:color w:val="000000" w:themeColor="text1"/>
                <w:sz w:val="21"/>
                <w:szCs w:val="21"/>
                <w14:textFill>
                  <w14:solidFill>
                    <w14:schemeClr w14:val="tx1"/>
                  </w14:solidFill>
                </w14:textFill>
              </w:rPr>
              <w:t>14</w:t>
            </w:r>
          </w:p>
        </w:tc>
        <w:tc>
          <w:tcPr>
            <w:tcW w:w="330" w:type="pct"/>
            <w:vAlign w:val="center"/>
          </w:tcPr>
          <w:p w14:paraId="248525C1">
            <w:pPr>
              <w:pStyle w:val="342"/>
              <w:overflowPunct w:val="0"/>
              <w:snapToGrid w:val="0"/>
              <w:spacing w:line="300" w:lineRule="exact"/>
              <w:rPr>
                <w:rFonts w:hint="eastAsia" w:hAnsi="宋体"/>
                <w:snapToGrid w:val="0"/>
                <w:color w:val="000000" w:themeColor="text1"/>
                <w:sz w:val="21"/>
                <w:szCs w:val="21"/>
                <w14:textFill>
                  <w14:solidFill>
                    <w14:schemeClr w14:val="tx1"/>
                  </w14:solidFill>
                </w14:textFill>
              </w:rPr>
            </w:pPr>
            <w:r>
              <w:rPr>
                <w:rFonts w:hint="eastAsia" w:hAnsi="宋体"/>
                <w:snapToGrid w:val="0"/>
                <w:color w:val="000000" w:themeColor="text1"/>
                <w:sz w:val="21"/>
                <w:szCs w:val="21"/>
                <w14:textFill>
                  <w14:solidFill>
                    <w14:schemeClr w14:val="tx1"/>
                  </w14:solidFill>
                </w14:textFill>
              </w:rPr>
              <w:t>8</w:t>
            </w:r>
          </w:p>
        </w:tc>
        <w:tc>
          <w:tcPr>
            <w:tcW w:w="329" w:type="pct"/>
            <w:vAlign w:val="center"/>
          </w:tcPr>
          <w:p w14:paraId="230611A4">
            <w:pPr>
              <w:pStyle w:val="342"/>
              <w:overflowPunct w:val="0"/>
              <w:snapToGrid w:val="0"/>
              <w:spacing w:line="300" w:lineRule="exact"/>
              <w:rPr>
                <w:rFonts w:hint="eastAsia" w:hAnsi="宋体"/>
                <w:snapToGrid w:val="0"/>
                <w:color w:val="000000" w:themeColor="text1"/>
                <w:sz w:val="21"/>
                <w:szCs w:val="21"/>
                <w14:textFill>
                  <w14:solidFill>
                    <w14:schemeClr w14:val="tx1"/>
                  </w14:solidFill>
                </w14:textFill>
              </w:rPr>
            </w:pPr>
            <w:r>
              <w:rPr>
                <w:rFonts w:hint="eastAsia" w:hAnsi="宋体"/>
                <w:snapToGrid w:val="0"/>
                <w:color w:val="000000" w:themeColor="text1"/>
                <w:sz w:val="21"/>
                <w:szCs w:val="21"/>
                <w14:textFill>
                  <w14:solidFill>
                    <w14:schemeClr w14:val="tx1"/>
                  </w14:solidFill>
                </w14:textFill>
              </w:rPr>
              <w:t>0.5</w:t>
            </w:r>
          </w:p>
        </w:tc>
        <w:tc>
          <w:tcPr>
            <w:tcW w:w="686" w:type="pct"/>
            <w:vMerge w:val="continue"/>
            <w:vAlign w:val="center"/>
          </w:tcPr>
          <w:p w14:paraId="3ADF80B8">
            <w:pPr>
              <w:pStyle w:val="342"/>
              <w:overflowPunct w:val="0"/>
              <w:snapToGrid w:val="0"/>
              <w:spacing w:line="300" w:lineRule="exact"/>
              <w:rPr>
                <w:rFonts w:hint="eastAsia" w:hAnsi="宋体"/>
                <w:snapToGrid w:val="0"/>
                <w:color w:val="000000" w:themeColor="text1"/>
                <w:sz w:val="21"/>
                <w:szCs w:val="21"/>
                <w14:textFill>
                  <w14:solidFill>
                    <w14:schemeClr w14:val="tx1"/>
                  </w14:solidFill>
                </w14:textFill>
              </w:rPr>
            </w:pPr>
          </w:p>
        </w:tc>
        <w:tc>
          <w:tcPr>
            <w:tcW w:w="560" w:type="pct"/>
            <w:vMerge w:val="continue"/>
            <w:vAlign w:val="center"/>
          </w:tcPr>
          <w:p w14:paraId="2B59D8E7">
            <w:pPr>
              <w:pStyle w:val="342"/>
              <w:overflowPunct w:val="0"/>
              <w:snapToGrid w:val="0"/>
              <w:spacing w:line="300" w:lineRule="exact"/>
              <w:rPr>
                <w:rFonts w:hint="eastAsia" w:hAnsi="宋体"/>
                <w:snapToGrid w:val="0"/>
                <w:color w:val="000000" w:themeColor="text1"/>
                <w:sz w:val="21"/>
                <w:szCs w:val="21"/>
                <w14:textFill>
                  <w14:solidFill>
                    <w14:schemeClr w14:val="tx1"/>
                  </w14:solidFill>
                </w14:textFill>
              </w:rPr>
            </w:pPr>
          </w:p>
        </w:tc>
      </w:tr>
      <w:tr w14:paraId="5875F9A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636" w:type="pct"/>
            <w:vMerge w:val="continue"/>
            <w:vAlign w:val="center"/>
          </w:tcPr>
          <w:p w14:paraId="0C206225">
            <w:pPr>
              <w:pStyle w:val="342"/>
              <w:tabs>
                <w:tab w:val="left" w:pos="1333"/>
              </w:tabs>
              <w:overflowPunct w:val="0"/>
              <w:snapToGrid w:val="0"/>
              <w:spacing w:line="300" w:lineRule="exact"/>
              <w:rPr>
                <w:snapToGrid w:val="0"/>
                <w:color w:val="000000" w:themeColor="text1"/>
                <w:sz w:val="21"/>
                <w:szCs w:val="21"/>
                <w14:textFill>
                  <w14:solidFill>
                    <w14:schemeClr w14:val="tx1"/>
                  </w14:solidFill>
                </w14:textFill>
              </w:rPr>
            </w:pPr>
          </w:p>
        </w:tc>
        <w:tc>
          <w:tcPr>
            <w:tcW w:w="1125" w:type="pct"/>
            <w:vAlign w:val="center"/>
          </w:tcPr>
          <w:p w14:paraId="5161DD7D">
            <w:pPr>
              <w:pStyle w:val="342"/>
              <w:tabs>
                <w:tab w:val="left" w:pos="1333"/>
              </w:tabs>
              <w:overflowPunct w:val="0"/>
              <w:snapToGrid w:val="0"/>
              <w:spacing w:line="300" w:lineRule="exact"/>
              <w:rPr>
                <w:snapToGrid w:val="0"/>
                <w:color w:val="000000" w:themeColor="text1"/>
                <w:sz w:val="21"/>
                <w:szCs w:val="21"/>
                <w14:textFill>
                  <w14:solidFill>
                    <w14:schemeClr w14:val="tx1"/>
                  </w14:solidFill>
                </w14:textFill>
              </w:rPr>
            </w:pPr>
            <w:r>
              <w:rPr>
                <w:rFonts w:hint="eastAsia"/>
                <w:snapToGrid w:val="0"/>
                <w:color w:val="000000" w:themeColor="text1"/>
                <w:sz w:val="21"/>
                <w:szCs w:val="21"/>
                <w14:textFill>
                  <w14:solidFill>
                    <w14:schemeClr w14:val="tx1"/>
                  </w14:solidFill>
                </w14:textFill>
              </w:rPr>
              <w:t>隔爆屏蔽泵</w:t>
            </w:r>
          </w:p>
        </w:tc>
        <w:tc>
          <w:tcPr>
            <w:tcW w:w="485" w:type="pct"/>
            <w:vAlign w:val="center"/>
          </w:tcPr>
          <w:p w14:paraId="327AD928">
            <w:pPr>
              <w:pStyle w:val="342"/>
              <w:tabs>
                <w:tab w:val="left" w:pos="1333"/>
              </w:tabs>
              <w:overflowPunct w:val="0"/>
              <w:snapToGrid w:val="0"/>
              <w:spacing w:line="300" w:lineRule="exact"/>
              <w:rPr>
                <w:snapToGrid w:val="0"/>
                <w:color w:val="000000" w:themeColor="text1"/>
                <w:sz w:val="21"/>
                <w:szCs w:val="21"/>
                <w14:textFill>
                  <w14:solidFill>
                    <w14:schemeClr w14:val="tx1"/>
                  </w14:solidFill>
                </w14:textFill>
              </w:rPr>
            </w:pPr>
            <w:r>
              <w:rPr>
                <w:rFonts w:hint="eastAsia"/>
                <w:snapToGrid w:val="0"/>
                <w:color w:val="000000" w:themeColor="text1"/>
                <w:sz w:val="21"/>
                <w:szCs w:val="21"/>
                <w14:textFill>
                  <w14:solidFill>
                    <w14:schemeClr w14:val="tx1"/>
                  </w14:solidFill>
                </w14:textFill>
              </w:rPr>
              <w:t>1</w:t>
            </w:r>
          </w:p>
        </w:tc>
        <w:tc>
          <w:tcPr>
            <w:tcW w:w="519" w:type="pct"/>
            <w:vAlign w:val="top"/>
          </w:tcPr>
          <w:p w14:paraId="2DE997B8">
            <w:pPr>
              <w:pStyle w:val="342"/>
              <w:overflowPunct w:val="0"/>
              <w:snapToGrid w:val="0"/>
              <w:spacing w:line="300" w:lineRule="exact"/>
              <w:rPr>
                <w:rFonts w:hint="eastAsia" w:hAnsi="宋体"/>
                <w:snapToGrid w:val="0"/>
                <w:color w:val="000000" w:themeColor="text1"/>
                <w:sz w:val="21"/>
                <w:szCs w:val="21"/>
                <w14:textFill>
                  <w14:solidFill>
                    <w14:schemeClr w14:val="tx1"/>
                  </w14:solidFill>
                </w14:textFill>
              </w:rPr>
            </w:pPr>
            <w:r>
              <w:rPr>
                <w:rFonts w:hint="eastAsia" w:hAnsi="宋体"/>
                <w:snapToGrid w:val="0"/>
                <w:color w:val="000000" w:themeColor="text1"/>
                <w:sz w:val="21"/>
                <w:szCs w:val="21"/>
                <w14:textFill>
                  <w14:solidFill>
                    <w14:schemeClr w14:val="tx1"/>
                  </w14:solidFill>
                </w14:textFill>
              </w:rPr>
              <w:t>85-90</w:t>
            </w:r>
          </w:p>
        </w:tc>
        <w:tc>
          <w:tcPr>
            <w:tcW w:w="330" w:type="pct"/>
            <w:vAlign w:val="center"/>
          </w:tcPr>
          <w:p w14:paraId="756E2C8E">
            <w:pPr>
              <w:pStyle w:val="342"/>
              <w:overflowPunct w:val="0"/>
              <w:snapToGrid w:val="0"/>
              <w:spacing w:line="300" w:lineRule="exact"/>
              <w:rPr>
                <w:rFonts w:hint="eastAsia" w:hAnsi="宋体"/>
                <w:snapToGrid w:val="0"/>
                <w:color w:val="000000" w:themeColor="text1"/>
                <w:sz w:val="21"/>
                <w:szCs w:val="21"/>
                <w14:textFill>
                  <w14:solidFill>
                    <w14:schemeClr w14:val="tx1"/>
                  </w14:solidFill>
                </w14:textFill>
              </w:rPr>
            </w:pPr>
            <w:r>
              <w:rPr>
                <w:rFonts w:hint="eastAsia" w:hAnsi="宋体"/>
                <w:snapToGrid w:val="0"/>
                <w:color w:val="000000" w:themeColor="text1"/>
                <w:sz w:val="21"/>
                <w:szCs w:val="21"/>
                <w14:textFill>
                  <w14:solidFill>
                    <w14:schemeClr w14:val="tx1"/>
                  </w14:solidFill>
                </w14:textFill>
              </w:rPr>
              <w:t>20</w:t>
            </w:r>
          </w:p>
        </w:tc>
        <w:tc>
          <w:tcPr>
            <w:tcW w:w="330" w:type="pct"/>
            <w:vAlign w:val="center"/>
          </w:tcPr>
          <w:p w14:paraId="1EB04510">
            <w:pPr>
              <w:pStyle w:val="342"/>
              <w:overflowPunct w:val="0"/>
              <w:snapToGrid w:val="0"/>
              <w:spacing w:line="300" w:lineRule="exact"/>
              <w:rPr>
                <w:rFonts w:hint="eastAsia" w:hAnsi="宋体"/>
                <w:snapToGrid w:val="0"/>
                <w:color w:val="000000" w:themeColor="text1"/>
                <w:sz w:val="21"/>
                <w:szCs w:val="21"/>
                <w14:textFill>
                  <w14:solidFill>
                    <w14:schemeClr w14:val="tx1"/>
                  </w14:solidFill>
                </w14:textFill>
              </w:rPr>
            </w:pPr>
            <w:r>
              <w:rPr>
                <w:rFonts w:hint="eastAsia" w:hAnsi="宋体"/>
                <w:snapToGrid w:val="0"/>
                <w:color w:val="000000" w:themeColor="text1"/>
                <w:sz w:val="21"/>
                <w:szCs w:val="21"/>
                <w14:textFill>
                  <w14:solidFill>
                    <w14:schemeClr w14:val="tx1"/>
                  </w14:solidFill>
                </w14:textFill>
              </w:rPr>
              <w:t>21</w:t>
            </w:r>
          </w:p>
        </w:tc>
        <w:tc>
          <w:tcPr>
            <w:tcW w:w="329" w:type="pct"/>
            <w:vAlign w:val="center"/>
          </w:tcPr>
          <w:p w14:paraId="6B564BDB">
            <w:pPr>
              <w:pStyle w:val="342"/>
              <w:overflowPunct w:val="0"/>
              <w:snapToGrid w:val="0"/>
              <w:spacing w:line="300" w:lineRule="exact"/>
              <w:rPr>
                <w:rFonts w:hint="eastAsia" w:hAnsi="宋体"/>
                <w:snapToGrid w:val="0"/>
                <w:color w:val="000000" w:themeColor="text1"/>
                <w:sz w:val="21"/>
                <w:szCs w:val="21"/>
                <w14:textFill>
                  <w14:solidFill>
                    <w14:schemeClr w14:val="tx1"/>
                  </w14:solidFill>
                </w14:textFill>
              </w:rPr>
            </w:pPr>
            <w:r>
              <w:rPr>
                <w:rFonts w:hint="eastAsia" w:hAnsi="宋体"/>
                <w:snapToGrid w:val="0"/>
                <w:color w:val="000000" w:themeColor="text1"/>
                <w:sz w:val="21"/>
                <w:szCs w:val="21"/>
                <w14:textFill>
                  <w14:solidFill>
                    <w14:schemeClr w14:val="tx1"/>
                  </w14:solidFill>
                </w14:textFill>
              </w:rPr>
              <w:t>0.5</w:t>
            </w:r>
          </w:p>
        </w:tc>
        <w:tc>
          <w:tcPr>
            <w:tcW w:w="686" w:type="pct"/>
            <w:vMerge w:val="continue"/>
            <w:vAlign w:val="center"/>
          </w:tcPr>
          <w:p w14:paraId="68A8F09D">
            <w:pPr>
              <w:pStyle w:val="342"/>
              <w:overflowPunct w:val="0"/>
              <w:snapToGrid w:val="0"/>
              <w:spacing w:line="300" w:lineRule="exact"/>
              <w:rPr>
                <w:rFonts w:hint="eastAsia" w:hAnsi="宋体"/>
                <w:snapToGrid w:val="0"/>
                <w:color w:val="000000" w:themeColor="text1"/>
                <w:sz w:val="21"/>
                <w:szCs w:val="21"/>
                <w14:textFill>
                  <w14:solidFill>
                    <w14:schemeClr w14:val="tx1"/>
                  </w14:solidFill>
                </w14:textFill>
              </w:rPr>
            </w:pPr>
          </w:p>
        </w:tc>
        <w:tc>
          <w:tcPr>
            <w:tcW w:w="560" w:type="pct"/>
            <w:vMerge w:val="continue"/>
            <w:vAlign w:val="center"/>
          </w:tcPr>
          <w:p w14:paraId="3423B225">
            <w:pPr>
              <w:pStyle w:val="342"/>
              <w:overflowPunct w:val="0"/>
              <w:snapToGrid w:val="0"/>
              <w:spacing w:line="300" w:lineRule="exact"/>
              <w:rPr>
                <w:rFonts w:hint="eastAsia" w:hAnsi="宋体"/>
                <w:snapToGrid w:val="0"/>
                <w:color w:val="000000" w:themeColor="text1"/>
                <w:sz w:val="21"/>
                <w:szCs w:val="21"/>
                <w14:textFill>
                  <w14:solidFill>
                    <w14:schemeClr w14:val="tx1"/>
                  </w14:solidFill>
                </w14:textFill>
              </w:rPr>
            </w:pPr>
          </w:p>
        </w:tc>
      </w:tr>
      <w:tr w14:paraId="7F5F2C5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636" w:type="pct"/>
            <w:vMerge w:val="restart"/>
            <w:vAlign w:val="center"/>
          </w:tcPr>
          <w:p w14:paraId="40F65434">
            <w:pPr>
              <w:pStyle w:val="342"/>
              <w:tabs>
                <w:tab w:val="left" w:pos="1333"/>
              </w:tabs>
              <w:overflowPunct w:val="0"/>
              <w:snapToGrid w:val="0"/>
              <w:spacing w:line="300" w:lineRule="exact"/>
              <w:rPr>
                <w:snapToGrid w:val="0"/>
                <w:color w:val="000000" w:themeColor="text1"/>
                <w:sz w:val="21"/>
                <w:szCs w:val="21"/>
                <w14:textFill>
                  <w14:solidFill>
                    <w14:schemeClr w14:val="tx1"/>
                  </w14:solidFill>
                </w14:textFill>
              </w:rPr>
            </w:pPr>
            <w:r>
              <w:rPr>
                <w:rFonts w:hint="eastAsia"/>
                <w:snapToGrid w:val="0"/>
                <w:color w:val="000000" w:themeColor="text1"/>
                <w:sz w:val="21"/>
                <w:szCs w:val="21"/>
                <w14:textFill>
                  <w14:solidFill>
                    <w14:schemeClr w14:val="tx1"/>
                  </w14:solidFill>
                </w14:textFill>
              </w:rPr>
              <w:t>JHW</w:t>
            </w:r>
            <w:r>
              <w:rPr>
                <w:snapToGrid w:val="0"/>
                <w:color w:val="000000" w:themeColor="text1"/>
                <w:sz w:val="21"/>
                <w:szCs w:val="21"/>
                <w14:textFill>
                  <w14:solidFill>
                    <w14:schemeClr w14:val="tx1"/>
                  </w14:solidFill>
                </w14:textFill>
              </w:rPr>
              <w:t>032</w:t>
            </w:r>
          </w:p>
        </w:tc>
        <w:tc>
          <w:tcPr>
            <w:tcW w:w="1125" w:type="pct"/>
            <w:vAlign w:val="center"/>
          </w:tcPr>
          <w:p w14:paraId="45092A01">
            <w:pPr>
              <w:pStyle w:val="342"/>
              <w:tabs>
                <w:tab w:val="left" w:pos="1333"/>
              </w:tabs>
              <w:overflowPunct w:val="0"/>
              <w:snapToGrid w:val="0"/>
              <w:spacing w:line="300" w:lineRule="exact"/>
              <w:rPr>
                <w:snapToGrid w:val="0"/>
                <w:color w:val="000000" w:themeColor="text1"/>
                <w:sz w:val="21"/>
                <w:szCs w:val="21"/>
                <w14:textFill>
                  <w14:solidFill>
                    <w14:schemeClr w14:val="tx1"/>
                  </w14:solidFill>
                </w14:textFill>
              </w:rPr>
            </w:pPr>
            <w:r>
              <w:rPr>
                <w:rFonts w:hint="eastAsia"/>
                <w:snapToGrid w:val="0"/>
                <w:color w:val="000000" w:themeColor="text1"/>
                <w:sz w:val="21"/>
                <w:szCs w:val="21"/>
                <w14:textFill>
                  <w14:solidFill>
                    <w14:schemeClr w14:val="tx1"/>
                  </w14:solidFill>
                </w14:textFill>
              </w:rPr>
              <w:t>投捞式电潜螺杆泵</w:t>
            </w:r>
          </w:p>
        </w:tc>
        <w:tc>
          <w:tcPr>
            <w:tcW w:w="485" w:type="pct"/>
            <w:vAlign w:val="center"/>
          </w:tcPr>
          <w:p w14:paraId="0B9D3D69">
            <w:pPr>
              <w:pStyle w:val="342"/>
              <w:tabs>
                <w:tab w:val="left" w:pos="1333"/>
              </w:tabs>
              <w:overflowPunct w:val="0"/>
              <w:snapToGrid w:val="0"/>
              <w:spacing w:line="300" w:lineRule="exact"/>
              <w:rPr>
                <w:snapToGrid w:val="0"/>
                <w:color w:val="000000" w:themeColor="text1"/>
                <w:sz w:val="21"/>
                <w:szCs w:val="21"/>
                <w14:textFill>
                  <w14:solidFill>
                    <w14:schemeClr w14:val="tx1"/>
                  </w14:solidFill>
                </w14:textFill>
              </w:rPr>
            </w:pPr>
            <w:r>
              <w:rPr>
                <w:rFonts w:hint="eastAsia"/>
                <w:snapToGrid w:val="0"/>
                <w:color w:val="000000" w:themeColor="text1"/>
                <w:sz w:val="21"/>
                <w:szCs w:val="21"/>
                <w14:textFill>
                  <w14:solidFill>
                    <w14:schemeClr w14:val="tx1"/>
                  </w14:solidFill>
                </w14:textFill>
              </w:rPr>
              <w:t>1</w:t>
            </w:r>
          </w:p>
        </w:tc>
        <w:tc>
          <w:tcPr>
            <w:tcW w:w="519" w:type="pct"/>
            <w:vAlign w:val="top"/>
          </w:tcPr>
          <w:p w14:paraId="2A499ED7">
            <w:pPr>
              <w:pStyle w:val="342"/>
              <w:overflowPunct w:val="0"/>
              <w:snapToGrid w:val="0"/>
              <w:spacing w:line="300" w:lineRule="exact"/>
              <w:rPr>
                <w:rFonts w:hint="eastAsia" w:hAnsi="宋体"/>
                <w:snapToGrid w:val="0"/>
                <w:color w:val="000000" w:themeColor="text1"/>
                <w:sz w:val="21"/>
                <w:szCs w:val="21"/>
                <w14:textFill>
                  <w14:solidFill>
                    <w14:schemeClr w14:val="tx1"/>
                  </w14:solidFill>
                </w14:textFill>
              </w:rPr>
            </w:pPr>
            <w:r>
              <w:rPr>
                <w:rFonts w:hint="eastAsia" w:hAnsi="宋体"/>
                <w:snapToGrid w:val="0"/>
                <w:color w:val="000000" w:themeColor="text1"/>
                <w:sz w:val="21"/>
                <w:szCs w:val="21"/>
                <w14:textFill>
                  <w14:solidFill>
                    <w14:schemeClr w14:val="tx1"/>
                  </w14:solidFill>
                </w14:textFill>
              </w:rPr>
              <w:t>85-90</w:t>
            </w:r>
          </w:p>
        </w:tc>
        <w:tc>
          <w:tcPr>
            <w:tcW w:w="330" w:type="pct"/>
            <w:vAlign w:val="center"/>
          </w:tcPr>
          <w:p w14:paraId="655F72B3">
            <w:pPr>
              <w:pStyle w:val="342"/>
              <w:overflowPunct w:val="0"/>
              <w:snapToGrid w:val="0"/>
              <w:spacing w:line="300" w:lineRule="exact"/>
              <w:rPr>
                <w:rFonts w:hint="eastAsia" w:hAnsi="宋体"/>
                <w:snapToGrid w:val="0"/>
                <w:color w:val="000000" w:themeColor="text1"/>
                <w:sz w:val="21"/>
                <w:szCs w:val="21"/>
                <w14:textFill>
                  <w14:solidFill>
                    <w14:schemeClr w14:val="tx1"/>
                  </w14:solidFill>
                </w14:textFill>
              </w:rPr>
            </w:pPr>
            <w:r>
              <w:rPr>
                <w:rFonts w:hint="eastAsia" w:hAnsi="宋体"/>
                <w:snapToGrid w:val="0"/>
                <w:color w:val="000000" w:themeColor="text1"/>
                <w:sz w:val="21"/>
                <w:szCs w:val="21"/>
                <w14:textFill>
                  <w14:solidFill>
                    <w14:schemeClr w14:val="tx1"/>
                  </w14:solidFill>
                </w14:textFill>
              </w:rPr>
              <w:t>27</w:t>
            </w:r>
          </w:p>
        </w:tc>
        <w:tc>
          <w:tcPr>
            <w:tcW w:w="330" w:type="pct"/>
            <w:vAlign w:val="center"/>
          </w:tcPr>
          <w:p w14:paraId="19C019A4">
            <w:pPr>
              <w:pStyle w:val="342"/>
              <w:overflowPunct w:val="0"/>
              <w:snapToGrid w:val="0"/>
              <w:spacing w:line="300" w:lineRule="exact"/>
              <w:rPr>
                <w:rFonts w:hint="eastAsia" w:hAnsi="宋体"/>
                <w:snapToGrid w:val="0"/>
                <w:color w:val="000000" w:themeColor="text1"/>
                <w:sz w:val="21"/>
                <w:szCs w:val="21"/>
                <w14:textFill>
                  <w14:solidFill>
                    <w14:schemeClr w14:val="tx1"/>
                  </w14:solidFill>
                </w14:textFill>
              </w:rPr>
            </w:pPr>
            <w:r>
              <w:rPr>
                <w:rFonts w:hint="eastAsia" w:hAnsi="宋体"/>
                <w:snapToGrid w:val="0"/>
                <w:color w:val="000000" w:themeColor="text1"/>
                <w:sz w:val="21"/>
                <w:szCs w:val="21"/>
                <w14:textFill>
                  <w14:solidFill>
                    <w14:schemeClr w14:val="tx1"/>
                  </w14:solidFill>
                </w14:textFill>
              </w:rPr>
              <w:t>25</w:t>
            </w:r>
          </w:p>
        </w:tc>
        <w:tc>
          <w:tcPr>
            <w:tcW w:w="329" w:type="pct"/>
            <w:vAlign w:val="center"/>
          </w:tcPr>
          <w:p w14:paraId="79A46F88">
            <w:pPr>
              <w:pStyle w:val="342"/>
              <w:overflowPunct w:val="0"/>
              <w:snapToGrid w:val="0"/>
              <w:spacing w:line="300" w:lineRule="exact"/>
              <w:rPr>
                <w:rFonts w:hint="eastAsia" w:hAnsi="宋体"/>
                <w:snapToGrid w:val="0"/>
                <w:color w:val="000000" w:themeColor="text1"/>
                <w:sz w:val="21"/>
                <w:szCs w:val="21"/>
                <w14:textFill>
                  <w14:solidFill>
                    <w14:schemeClr w14:val="tx1"/>
                  </w14:solidFill>
                </w14:textFill>
              </w:rPr>
            </w:pPr>
            <w:r>
              <w:rPr>
                <w:rFonts w:hint="eastAsia" w:hAnsi="宋体"/>
                <w:snapToGrid w:val="0"/>
                <w:color w:val="000000" w:themeColor="text1"/>
                <w:sz w:val="21"/>
                <w:szCs w:val="21"/>
                <w14:textFill>
                  <w14:solidFill>
                    <w14:schemeClr w14:val="tx1"/>
                  </w14:solidFill>
                </w14:textFill>
              </w:rPr>
              <w:t>0.5</w:t>
            </w:r>
          </w:p>
        </w:tc>
        <w:tc>
          <w:tcPr>
            <w:tcW w:w="686" w:type="pct"/>
            <w:vMerge w:val="continue"/>
            <w:vAlign w:val="center"/>
          </w:tcPr>
          <w:p w14:paraId="3457B522">
            <w:pPr>
              <w:pStyle w:val="342"/>
              <w:overflowPunct w:val="0"/>
              <w:snapToGrid w:val="0"/>
              <w:spacing w:line="300" w:lineRule="exact"/>
              <w:rPr>
                <w:rFonts w:hint="eastAsia" w:hAnsi="宋体"/>
                <w:snapToGrid w:val="0"/>
                <w:color w:val="000000" w:themeColor="text1"/>
                <w:sz w:val="21"/>
                <w:szCs w:val="21"/>
                <w14:textFill>
                  <w14:solidFill>
                    <w14:schemeClr w14:val="tx1"/>
                  </w14:solidFill>
                </w14:textFill>
              </w:rPr>
            </w:pPr>
          </w:p>
        </w:tc>
        <w:tc>
          <w:tcPr>
            <w:tcW w:w="560" w:type="pct"/>
            <w:vMerge w:val="continue"/>
            <w:vAlign w:val="center"/>
          </w:tcPr>
          <w:p w14:paraId="23CCB597">
            <w:pPr>
              <w:pStyle w:val="342"/>
              <w:overflowPunct w:val="0"/>
              <w:snapToGrid w:val="0"/>
              <w:spacing w:line="300" w:lineRule="exact"/>
              <w:rPr>
                <w:rFonts w:hint="eastAsia" w:hAnsi="宋体"/>
                <w:snapToGrid w:val="0"/>
                <w:color w:val="000000" w:themeColor="text1"/>
                <w:sz w:val="21"/>
                <w:szCs w:val="21"/>
                <w14:textFill>
                  <w14:solidFill>
                    <w14:schemeClr w14:val="tx1"/>
                  </w14:solidFill>
                </w14:textFill>
              </w:rPr>
            </w:pPr>
          </w:p>
        </w:tc>
      </w:tr>
      <w:tr w14:paraId="73B2340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636" w:type="pct"/>
            <w:vMerge w:val="continue"/>
            <w:vAlign w:val="center"/>
          </w:tcPr>
          <w:p w14:paraId="0134A7DA">
            <w:pPr>
              <w:pStyle w:val="342"/>
              <w:tabs>
                <w:tab w:val="left" w:pos="1333"/>
              </w:tabs>
              <w:overflowPunct w:val="0"/>
              <w:snapToGrid w:val="0"/>
              <w:spacing w:line="300" w:lineRule="exact"/>
              <w:rPr>
                <w:snapToGrid w:val="0"/>
                <w:color w:val="000000" w:themeColor="text1"/>
                <w:sz w:val="21"/>
                <w:szCs w:val="21"/>
                <w14:textFill>
                  <w14:solidFill>
                    <w14:schemeClr w14:val="tx1"/>
                  </w14:solidFill>
                </w14:textFill>
              </w:rPr>
            </w:pPr>
          </w:p>
        </w:tc>
        <w:tc>
          <w:tcPr>
            <w:tcW w:w="1125" w:type="pct"/>
            <w:vAlign w:val="center"/>
          </w:tcPr>
          <w:p w14:paraId="5C180A1F">
            <w:pPr>
              <w:pStyle w:val="342"/>
              <w:tabs>
                <w:tab w:val="left" w:pos="1333"/>
              </w:tabs>
              <w:overflowPunct w:val="0"/>
              <w:snapToGrid w:val="0"/>
              <w:spacing w:line="300" w:lineRule="exact"/>
              <w:rPr>
                <w:snapToGrid w:val="0"/>
                <w:color w:val="000000" w:themeColor="text1"/>
                <w:sz w:val="21"/>
                <w:szCs w:val="21"/>
                <w14:textFill>
                  <w14:solidFill>
                    <w14:schemeClr w14:val="tx1"/>
                  </w14:solidFill>
                </w14:textFill>
              </w:rPr>
            </w:pPr>
            <w:r>
              <w:rPr>
                <w:rFonts w:hint="eastAsia"/>
                <w:snapToGrid w:val="0"/>
                <w:color w:val="000000" w:themeColor="text1"/>
                <w:sz w:val="21"/>
                <w:szCs w:val="21"/>
                <w14:textFill>
                  <w14:solidFill>
                    <w14:schemeClr w14:val="tx1"/>
                  </w14:solidFill>
                </w14:textFill>
              </w:rPr>
              <w:t>高压往复泵</w:t>
            </w:r>
          </w:p>
        </w:tc>
        <w:tc>
          <w:tcPr>
            <w:tcW w:w="485" w:type="pct"/>
            <w:vAlign w:val="center"/>
          </w:tcPr>
          <w:p w14:paraId="21491C62">
            <w:pPr>
              <w:pStyle w:val="342"/>
              <w:tabs>
                <w:tab w:val="left" w:pos="1333"/>
              </w:tabs>
              <w:overflowPunct w:val="0"/>
              <w:snapToGrid w:val="0"/>
              <w:spacing w:line="300" w:lineRule="exact"/>
              <w:rPr>
                <w:snapToGrid w:val="0"/>
                <w:color w:val="000000" w:themeColor="text1"/>
                <w:sz w:val="21"/>
                <w:szCs w:val="21"/>
                <w14:textFill>
                  <w14:solidFill>
                    <w14:schemeClr w14:val="tx1"/>
                  </w14:solidFill>
                </w14:textFill>
              </w:rPr>
            </w:pPr>
            <w:r>
              <w:rPr>
                <w:rFonts w:hint="eastAsia"/>
                <w:snapToGrid w:val="0"/>
                <w:color w:val="000000" w:themeColor="text1"/>
                <w:sz w:val="21"/>
                <w:szCs w:val="21"/>
                <w14:textFill>
                  <w14:solidFill>
                    <w14:schemeClr w14:val="tx1"/>
                  </w14:solidFill>
                </w14:textFill>
              </w:rPr>
              <w:t>2</w:t>
            </w:r>
          </w:p>
        </w:tc>
        <w:tc>
          <w:tcPr>
            <w:tcW w:w="519" w:type="pct"/>
            <w:vAlign w:val="top"/>
          </w:tcPr>
          <w:p w14:paraId="0CD2A7BB">
            <w:pPr>
              <w:pStyle w:val="342"/>
              <w:overflowPunct w:val="0"/>
              <w:snapToGrid w:val="0"/>
              <w:spacing w:line="300" w:lineRule="exact"/>
              <w:rPr>
                <w:rFonts w:hint="eastAsia" w:hAnsi="宋体"/>
                <w:snapToGrid w:val="0"/>
                <w:color w:val="000000" w:themeColor="text1"/>
                <w:sz w:val="21"/>
                <w:szCs w:val="21"/>
                <w14:textFill>
                  <w14:solidFill>
                    <w14:schemeClr w14:val="tx1"/>
                  </w14:solidFill>
                </w14:textFill>
              </w:rPr>
            </w:pPr>
            <w:r>
              <w:rPr>
                <w:rFonts w:hint="eastAsia" w:hAnsi="宋体"/>
                <w:snapToGrid w:val="0"/>
                <w:color w:val="000000" w:themeColor="text1"/>
                <w:sz w:val="21"/>
                <w:szCs w:val="21"/>
                <w14:textFill>
                  <w14:solidFill>
                    <w14:schemeClr w14:val="tx1"/>
                  </w14:solidFill>
                </w14:textFill>
              </w:rPr>
              <w:t>85-90</w:t>
            </w:r>
          </w:p>
        </w:tc>
        <w:tc>
          <w:tcPr>
            <w:tcW w:w="330" w:type="pct"/>
            <w:vAlign w:val="center"/>
          </w:tcPr>
          <w:p w14:paraId="08797965">
            <w:pPr>
              <w:pStyle w:val="342"/>
              <w:overflowPunct w:val="0"/>
              <w:snapToGrid w:val="0"/>
              <w:spacing w:line="300" w:lineRule="exact"/>
              <w:rPr>
                <w:rFonts w:hint="eastAsia" w:hAnsi="宋体"/>
                <w:snapToGrid w:val="0"/>
                <w:color w:val="000000" w:themeColor="text1"/>
                <w:sz w:val="21"/>
                <w:szCs w:val="21"/>
                <w14:textFill>
                  <w14:solidFill>
                    <w14:schemeClr w14:val="tx1"/>
                  </w14:solidFill>
                </w14:textFill>
              </w:rPr>
            </w:pPr>
            <w:r>
              <w:rPr>
                <w:rFonts w:hint="eastAsia" w:hAnsi="宋体"/>
                <w:snapToGrid w:val="0"/>
                <w:color w:val="000000" w:themeColor="text1"/>
                <w:sz w:val="21"/>
                <w:szCs w:val="21"/>
                <w14:textFill>
                  <w14:solidFill>
                    <w14:schemeClr w14:val="tx1"/>
                  </w14:solidFill>
                </w14:textFill>
              </w:rPr>
              <w:t>14</w:t>
            </w:r>
          </w:p>
        </w:tc>
        <w:tc>
          <w:tcPr>
            <w:tcW w:w="330" w:type="pct"/>
            <w:vAlign w:val="center"/>
          </w:tcPr>
          <w:p w14:paraId="3732BD9B">
            <w:pPr>
              <w:pStyle w:val="342"/>
              <w:overflowPunct w:val="0"/>
              <w:snapToGrid w:val="0"/>
              <w:spacing w:line="300" w:lineRule="exact"/>
              <w:rPr>
                <w:rFonts w:hint="eastAsia" w:hAnsi="宋体"/>
                <w:snapToGrid w:val="0"/>
                <w:color w:val="000000" w:themeColor="text1"/>
                <w:sz w:val="21"/>
                <w:szCs w:val="21"/>
                <w14:textFill>
                  <w14:solidFill>
                    <w14:schemeClr w14:val="tx1"/>
                  </w14:solidFill>
                </w14:textFill>
              </w:rPr>
            </w:pPr>
            <w:r>
              <w:rPr>
                <w:rFonts w:hint="eastAsia" w:hAnsi="宋体"/>
                <w:snapToGrid w:val="0"/>
                <w:color w:val="000000" w:themeColor="text1"/>
                <w:sz w:val="21"/>
                <w:szCs w:val="21"/>
                <w14:textFill>
                  <w14:solidFill>
                    <w14:schemeClr w14:val="tx1"/>
                  </w14:solidFill>
                </w14:textFill>
              </w:rPr>
              <w:t>12</w:t>
            </w:r>
          </w:p>
        </w:tc>
        <w:tc>
          <w:tcPr>
            <w:tcW w:w="329" w:type="pct"/>
            <w:vAlign w:val="center"/>
          </w:tcPr>
          <w:p w14:paraId="30A0B9B4">
            <w:pPr>
              <w:pStyle w:val="342"/>
              <w:overflowPunct w:val="0"/>
              <w:snapToGrid w:val="0"/>
              <w:spacing w:line="300" w:lineRule="exact"/>
              <w:rPr>
                <w:rFonts w:hint="eastAsia" w:hAnsi="宋体"/>
                <w:snapToGrid w:val="0"/>
                <w:color w:val="000000" w:themeColor="text1"/>
                <w:sz w:val="21"/>
                <w:szCs w:val="21"/>
                <w14:textFill>
                  <w14:solidFill>
                    <w14:schemeClr w14:val="tx1"/>
                  </w14:solidFill>
                </w14:textFill>
              </w:rPr>
            </w:pPr>
            <w:r>
              <w:rPr>
                <w:rFonts w:hint="eastAsia" w:hAnsi="宋体"/>
                <w:snapToGrid w:val="0"/>
                <w:color w:val="000000" w:themeColor="text1"/>
                <w:sz w:val="21"/>
                <w:szCs w:val="21"/>
                <w14:textFill>
                  <w14:solidFill>
                    <w14:schemeClr w14:val="tx1"/>
                  </w14:solidFill>
                </w14:textFill>
              </w:rPr>
              <w:t>0.5</w:t>
            </w:r>
          </w:p>
        </w:tc>
        <w:tc>
          <w:tcPr>
            <w:tcW w:w="686" w:type="pct"/>
            <w:vMerge w:val="continue"/>
            <w:vAlign w:val="center"/>
          </w:tcPr>
          <w:p w14:paraId="2100F26D">
            <w:pPr>
              <w:pStyle w:val="342"/>
              <w:overflowPunct w:val="0"/>
              <w:snapToGrid w:val="0"/>
              <w:spacing w:line="300" w:lineRule="exact"/>
              <w:rPr>
                <w:rFonts w:hint="eastAsia" w:hAnsi="宋体"/>
                <w:snapToGrid w:val="0"/>
                <w:color w:val="000000" w:themeColor="text1"/>
                <w:sz w:val="21"/>
                <w:szCs w:val="21"/>
                <w14:textFill>
                  <w14:solidFill>
                    <w14:schemeClr w14:val="tx1"/>
                  </w14:solidFill>
                </w14:textFill>
              </w:rPr>
            </w:pPr>
          </w:p>
        </w:tc>
        <w:tc>
          <w:tcPr>
            <w:tcW w:w="560" w:type="pct"/>
            <w:vMerge w:val="continue"/>
            <w:vAlign w:val="center"/>
          </w:tcPr>
          <w:p w14:paraId="3C6116BD">
            <w:pPr>
              <w:pStyle w:val="342"/>
              <w:overflowPunct w:val="0"/>
              <w:snapToGrid w:val="0"/>
              <w:spacing w:line="300" w:lineRule="exact"/>
              <w:rPr>
                <w:rFonts w:hint="eastAsia" w:hAnsi="宋体"/>
                <w:snapToGrid w:val="0"/>
                <w:color w:val="000000" w:themeColor="text1"/>
                <w:sz w:val="21"/>
                <w:szCs w:val="21"/>
                <w14:textFill>
                  <w14:solidFill>
                    <w14:schemeClr w14:val="tx1"/>
                  </w14:solidFill>
                </w14:textFill>
              </w:rPr>
            </w:pPr>
          </w:p>
        </w:tc>
      </w:tr>
      <w:tr w14:paraId="7E4A89D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636" w:type="pct"/>
            <w:vMerge w:val="continue"/>
            <w:vAlign w:val="center"/>
          </w:tcPr>
          <w:p w14:paraId="168251C0">
            <w:pPr>
              <w:pStyle w:val="342"/>
              <w:tabs>
                <w:tab w:val="left" w:pos="1333"/>
              </w:tabs>
              <w:overflowPunct w:val="0"/>
              <w:snapToGrid w:val="0"/>
              <w:spacing w:line="300" w:lineRule="exact"/>
              <w:rPr>
                <w:snapToGrid w:val="0"/>
                <w:color w:val="000000" w:themeColor="text1"/>
                <w:sz w:val="21"/>
                <w:szCs w:val="21"/>
                <w14:textFill>
                  <w14:solidFill>
                    <w14:schemeClr w14:val="tx1"/>
                  </w14:solidFill>
                </w14:textFill>
              </w:rPr>
            </w:pPr>
          </w:p>
        </w:tc>
        <w:tc>
          <w:tcPr>
            <w:tcW w:w="1125" w:type="pct"/>
            <w:vAlign w:val="center"/>
          </w:tcPr>
          <w:p w14:paraId="2086F391">
            <w:pPr>
              <w:pStyle w:val="342"/>
              <w:tabs>
                <w:tab w:val="left" w:pos="1333"/>
              </w:tabs>
              <w:overflowPunct w:val="0"/>
              <w:snapToGrid w:val="0"/>
              <w:spacing w:line="300" w:lineRule="exact"/>
              <w:rPr>
                <w:snapToGrid w:val="0"/>
                <w:color w:val="000000" w:themeColor="text1"/>
                <w:sz w:val="21"/>
                <w:szCs w:val="21"/>
                <w14:textFill>
                  <w14:solidFill>
                    <w14:schemeClr w14:val="tx1"/>
                  </w14:solidFill>
                </w14:textFill>
              </w:rPr>
            </w:pPr>
            <w:r>
              <w:rPr>
                <w:rFonts w:hint="eastAsia"/>
                <w:snapToGrid w:val="0"/>
                <w:color w:val="000000" w:themeColor="text1"/>
                <w:sz w:val="21"/>
                <w:szCs w:val="21"/>
                <w14:textFill>
                  <w14:solidFill>
                    <w14:schemeClr w14:val="tx1"/>
                  </w14:solidFill>
                </w14:textFill>
              </w:rPr>
              <w:t>二氧化碳专用泵</w:t>
            </w:r>
          </w:p>
        </w:tc>
        <w:tc>
          <w:tcPr>
            <w:tcW w:w="485" w:type="pct"/>
            <w:vAlign w:val="center"/>
          </w:tcPr>
          <w:p w14:paraId="743AB9B8">
            <w:pPr>
              <w:pStyle w:val="342"/>
              <w:tabs>
                <w:tab w:val="left" w:pos="1333"/>
              </w:tabs>
              <w:overflowPunct w:val="0"/>
              <w:snapToGrid w:val="0"/>
              <w:spacing w:line="300" w:lineRule="exact"/>
              <w:rPr>
                <w:snapToGrid w:val="0"/>
                <w:color w:val="000000" w:themeColor="text1"/>
                <w:sz w:val="21"/>
                <w:szCs w:val="21"/>
                <w14:textFill>
                  <w14:solidFill>
                    <w14:schemeClr w14:val="tx1"/>
                  </w14:solidFill>
                </w14:textFill>
              </w:rPr>
            </w:pPr>
            <w:r>
              <w:rPr>
                <w:rFonts w:hint="eastAsia"/>
                <w:snapToGrid w:val="0"/>
                <w:color w:val="000000" w:themeColor="text1"/>
                <w:sz w:val="21"/>
                <w:szCs w:val="21"/>
                <w14:textFill>
                  <w14:solidFill>
                    <w14:schemeClr w14:val="tx1"/>
                  </w14:solidFill>
                </w14:textFill>
              </w:rPr>
              <w:t>2</w:t>
            </w:r>
          </w:p>
        </w:tc>
        <w:tc>
          <w:tcPr>
            <w:tcW w:w="519" w:type="pct"/>
            <w:vAlign w:val="top"/>
          </w:tcPr>
          <w:p w14:paraId="0BF3C2F4">
            <w:pPr>
              <w:pStyle w:val="342"/>
              <w:overflowPunct w:val="0"/>
              <w:snapToGrid w:val="0"/>
              <w:spacing w:line="300" w:lineRule="exact"/>
              <w:rPr>
                <w:rFonts w:hint="eastAsia" w:hAnsi="宋体"/>
                <w:snapToGrid w:val="0"/>
                <w:color w:val="000000" w:themeColor="text1"/>
                <w:sz w:val="21"/>
                <w:szCs w:val="21"/>
                <w14:textFill>
                  <w14:solidFill>
                    <w14:schemeClr w14:val="tx1"/>
                  </w14:solidFill>
                </w14:textFill>
              </w:rPr>
            </w:pPr>
            <w:r>
              <w:rPr>
                <w:rFonts w:hint="eastAsia" w:hAnsi="宋体"/>
                <w:snapToGrid w:val="0"/>
                <w:color w:val="000000" w:themeColor="text1"/>
                <w:sz w:val="21"/>
                <w:szCs w:val="21"/>
                <w14:textFill>
                  <w14:solidFill>
                    <w14:schemeClr w14:val="tx1"/>
                  </w14:solidFill>
                </w14:textFill>
              </w:rPr>
              <w:t>85-90</w:t>
            </w:r>
          </w:p>
        </w:tc>
        <w:tc>
          <w:tcPr>
            <w:tcW w:w="330" w:type="pct"/>
            <w:vAlign w:val="center"/>
          </w:tcPr>
          <w:p w14:paraId="218ACEE7">
            <w:pPr>
              <w:pStyle w:val="342"/>
              <w:overflowPunct w:val="0"/>
              <w:snapToGrid w:val="0"/>
              <w:spacing w:line="300" w:lineRule="exact"/>
              <w:rPr>
                <w:rFonts w:hint="eastAsia" w:hAnsi="宋体"/>
                <w:snapToGrid w:val="0"/>
                <w:color w:val="000000" w:themeColor="text1"/>
                <w:sz w:val="21"/>
                <w:szCs w:val="21"/>
                <w14:textFill>
                  <w14:solidFill>
                    <w14:schemeClr w14:val="tx1"/>
                  </w14:solidFill>
                </w14:textFill>
              </w:rPr>
            </w:pPr>
            <w:r>
              <w:rPr>
                <w:rFonts w:hint="eastAsia" w:hAnsi="宋体"/>
                <w:snapToGrid w:val="0"/>
                <w:color w:val="000000" w:themeColor="text1"/>
                <w:sz w:val="21"/>
                <w:szCs w:val="21"/>
                <w14:textFill>
                  <w14:solidFill>
                    <w14:schemeClr w14:val="tx1"/>
                  </w14:solidFill>
                </w14:textFill>
              </w:rPr>
              <w:t>14</w:t>
            </w:r>
          </w:p>
        </w:tc>
        <w:tc>
          <w:tcPr>
            <w:tcW w:w="330" w:type="pct"/>
            <w:vAlign w:val="center"/>
          </w:tcPr>
          <w:p w14:paraId="65303999">
            <w:pPr>
              <w:pStyle w:val="342"/>
              <w:overflowPunct w:val="0"/>
              <w:snapToGrid w:val="0"/>
              <w:spacing w:line="300" w:lineRule="exact"/>
              <w:rPr>
                <w:rFonts w:hint="eastAsia" w:hAnsi="宋体"/>
                <w:snapToGrid w:val="0"/>
                <w:color w:val="000000" w:themeColor="text1"/>
                <w:sz w:val="21"/>
                <w:szCs w:val="21"/>
                <w14:textFill>
                  <w14:solidFill>
                    <w14:schemeClr w14:val="tx1"/>
                  </w14:solidFill>
                </w14:textFill>
              </w:rPr>
            </w:pPr>
            <w:r>
              <w:rPr>
                <w:rFonts w:hint="eastAsia" w:hAnsi="宋体"/>
                <w:snapToGrid w:val="0"/>
                <w:color w:val="000000" w:themeColor="text1"/>
                <w:sz w:val="21"/>
                <w:szCs w:val="21"/>
                <w14:textFill>
                  <w14:solidFill>
                    <w14:schemeClr w14:val="tx1"/>
                  </w14:solidFill>
                </w14:textFill>
              </w:rPr>
              <w:t>8</w:t>
            </w:r>
          </w:p>
        </w:tc>
        <w:tc>
          <w:tcPr>
            <w:tcW w:w="329" w:type="pct"/>
            <w:vAlign w:val="center"/>
          </w:tcPr>
          <w:p w14:paraId="061E9FF1">
            <w:pPr>
              <w:pStyle w:val="342"/>
              <w:overflowPunct w:val="0"/>
              <w:snapToGrid w:val="0"/>
              <w:spacing w:line="300" w:lineRule="exact"/>
              <w:rPr>
                <w:rFonts w:hint="eastAsia" w:hAnsi="宋体"/>
                <w:snapToGrid w:val="0"/>
                <w:color w:val="000000" w:themeColor="text1"/>
                <w:sz w:val="21"/>
                <w:szCs w:val="21"/>
                <w14:textFill>
                  <w14:solidFill>
                    <w14:schemeClr w14:val="tx1"/>
                  </w14:solidFill>
                </w14:textFill>
              </w:rPr>
            </w:pPr>
            <w:r>
              <w:rPr>
                <w:rFonts w:hint="eastAsia" w:hAnsi="宋体"/>
                <w:snapToGrid w:val="0"/>
                <w:color w:val="000000" w:themeColor="text1"/>
                <w:sz w:val="21"/>
                <w:szCs w:val="21"/>
                <w14:textFill>
                  <w14:solidFill>
                    <w14:schemeClr w14:val="tx1"/>
                  </w14:solidFill>
                </w14:textFill>
              </w:rPr>
              <w:t>0.5</w:t>
            </w:r>
          </w:p>
        </w:tc>
        <w:tc>
          <w:tcPr>
            <w:tcW w:w="686" w:type="pct"/>
            <w:vMerge w:val="continue"/>
            <w:vAlign w:val="center"/>
          </w:tcPr>
          <w:p w14:paraId="5FEA8F9B">
            <w:pPr>
              <w:pStyle w:val="342"/>
              <w:overflowPunct w:val="0"/>
              <w:snapToGrid w:val="0"/>
              <w:spacing w:line="300" w:lineRule="exact"/>
              <w:rPr>
                <w:rFonts w:hint="eastAsia" w:hAnsi="宋体"/>
                <w:snapToGrid w:val="0"/>
                <w:color w:val="000000" w:themeColor="text1"/>
                <w:sz w:val="21"/>
                <w:szCs w:val="21"/>
                <w14:textFill>
                  <w14:solidFill>
                    <w14:schemeClr w14:val="tx1"/>
                  </w14:solidFill>
                </w14:textFill>
              </w:rPr>
            </w:pPr>
          </w:p>
        </w:tc>
        <w:tc>
          <w:tcPr>
            <w:tcW w:w="560" w:type="pct"/>
            <w:vMerge w:val="continue"/>
            <w:vAlign w:val="center"/>
          </w:tcPr>
          <w:p w14:paraId="449409D8">
            <w:pPr>
              <w:pStyle w:val="342"/>
              <w:overflowPunct w:val="0"/>
              <w:snapToGrid w:val="0"/>
              <w:spacing w:line="300" w:lineRule="exact"/>
              <w:rPr>
                <w:rFonts w:hint="eastAsia" w:hAnsi="宋体"/>
                <w:snapToGrid w:val="0"/>
                <w:color w:val="000000" w:themeColor="text1"/>
                <w:sz w:val="21"/>
                <w:szCs w:val="21"/>
                <w14:textFill>
                  <w14:solidFill>
                    <w14:schemeClr w14:val="tx1"/>
                  </w14:solidFill>
                </w14:textFill>
              </w:rPr>
            </w:pPr>
          </w:p>
        </w:tc>
      </w:tr>
      <w:tr w14:paraId="6C32F34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636" w:type="pct"/>
            <w:vMerge w:val="continue"/>
            <w:vAlign w:val="center"/>
          </w:tcPr>
          <w:p w14:paraId="0C961BC7">
            <w:pPr>
              <w:pStyle w:val="342"/>
              <w:tabs>
                <w:tab w:val="left" w:pos="1333"/>
              </w:tabs>
              <w:overflowPunct w:val="0"/>
              <w:snapToGrid w:val="0"/>
              <w:spacing w:line="300" w:lineRule="exact"/>
              <w:rPr>
                <w:snapToGrid w:val="0"/>
                <w:color w:val="000000" w:themeColor="text1"/>
                <w:sz w:val="21"/>
                <w:szCs w:val="21"/>
                <w14:textFill>
                  <w14:solidFill>
                    <w14:schemeClr w14:val="tx1"/>
                  </w14:solidFill>
                </w14:textFill>
              </w:rPr>
            </w:pPr>
          </w:p>
        </w:tc>
        <w:tc>
          <w:tcPr>
            <w:tcW w:w="1125" w:type="pct"/>
            <w:vAlign w:val="center"/>
          </w:tcPr>
          <w:p w14:paraId="75B456B7">
            <w:pPr>
              <w:pStyle w:val="342"/>
              <w:tabs>
                <w:tab w:val="left" w:pos="1333"/>
              </w:tabs>
              <w:overflowPunct w:val="0"/>
              <w:snapToGrid w:val="0"/>
              <w:spacing w:line="300" w:lineRule="exact"/>
              <w:rPr>
                <w:snapToGrid w:val="0"/>
                <w:color w:val="000000" w:themeColor="text1"/>
                <w:sz w:val="21"/>
                <w:szCs w:val="21"/>
                <w14:textFill>
                  <w14:solidFill>
                    <w14:schemeClr w14:val="tx1"/>
                  </w14:solidFill>
                </w14:textFill>
              </w:rPr>
            </w:pPr>
            <w:r>
              <w:rPr>
                <w:rFonts w:hint="eastAsia"/>
                <w:snapToGrid w:val="0"/>
                <w:color w:val="000000" w:themeColor="text1"/>
                <w:sz w:val="21"/>
                <w:szCs w:val="21"/>
                <w14:textFill>
                  <w14:solidFill>
                    <w14:schemeClr w14:val="tx1"/>
                  </w14:solidFill>
                </w14:textFill>
              </w:rPr>
              <w:t>隔爆屏蔽泵</w:t>
            </w:r>
          </w:p>
        </w:tc>
        <w:tc>
          <w:tcPr>
            <w:tcW w:w="485" w:type="pct"/>
            <w:vAlign w:val="center"/>
          </w:tcPr>
          <w:p w14:paraId="226F97E1">
            <w:pPr>
              <w:pStyle w:val="342"/>
              <w:tabs>
                <w:tab w:val="left" w:pos="1333"/>
              </w:tabs>
              <w:overflowPunct w:val="0"/>
              <w:snapToGrid w:val="0"/>
              <w:spacing w:line="300" w:lineRule="exact"/>
              <w:rPr>
                <w:snapToGrid w:val="0"/>
                <w:color w:val="000000" w:themeColor="text1"/>
                <w:sz w:val="21"/>
                <w:szCs w:val="21"/>
                <w14:textFill>
                  <w14:solidFill>
                    <w14:schemeClr w14:val="tx1"/>
                  </w14:solidFill>
                </w14:textFill>
              </w:rPr>
            </w:pPr>
            <w:r>
              <w:rPr>
                <w:rFonts w:hint="eastAsia"/>
                <w:snapToGrid w:val="0"/>
                <w:color w:val="000000" w:themeColor="text1"/>
                <w:sz w:val="21"/>
                <w:szCs w:val="21"/>
                <w14:textFill>
                  <w14:solidFill>
                    <w14:schemeClr w14:val="tx1"/>
                  </w14:solidFill>
                </w14:textFill>
              </w:rPr>
              <w:t>1</w:t>
            </w:r>
          </w:p>
        </w:tc>
        <w:tc>
          <w:tcPr>
            <w:tcW w:w="519" w:type="pct"/>
            <w:vAlign w:val="top"/>
          </w:tcPr>
          <w:p w14:paraId="2E224DB5">
            <w:pPr>
              <w:pStyle w:val="342"/>
              <w:overflowPunct w:val="0"/>
              <w:snapToGrid w:val="0"/>
              <w:spacing w:line="300" w:lineRule="exact"/>
              <w:rPr>
                <w:rFonts w:hint="eastAsia" w:hAnsi="宋体"/>
                <w:snapToGrid w:val="0"/>
                <w:color w:val="000000" w:themeColor="text1"/>
                <w:sz w:val="21"/>
                <w:szCs w:val="21"/>
                <w14:textFill>
                  <w14:solidFill>
                    <w14:schemeClr w14:val="tx1"/>
                  </w14:solidFill>
                </w14:textFill>
              </w:rPr>
            </w:pPr>
            <w:r>
              <w:rPr>
                <w:rFonts w:hint="eastAsia" w:hAnsi="宋体"/>
                <w:snapToGrid w:val="0"/>
                <w:color w:val="000000" w:themeColor="text1"/>
                <w:sz w:val="21"/>
                <w:szCs w:val="21"/>
                <w14:textFill>
                  <w14:solidFill>
                    <w14:schemeClr w14:val="tx1"/>
                  </w14:solidFill>
                </w14:textFill>
              </w:rPr>
              <w:t>85-90</w:t>
            </w:r>
          </w:p>
        </w:tc>
        <w:tc>
          <w:tcPr>
            <w:tcW w:w="330" w:type="pct"/>
            <w:vAlign w:val="center"/>
          </w:tcPr>
          <w:p w14:paraId="750BF0B8">
            <w:pPr>
              <w:pStyle w:val="342"/>
              <w:overflowPunct w:val="0"/>
              <w:snapToGrid w:val="0"/>
              <w:spacing w:line="300" w:lineRule="exact"/>
              <w:rPr>
                <w:rFonts w:hint="eastAsia" w:hAnsi="宋体"/>
                <w:snapToGrid w:val="0"/>
                <w:color w:val="000000" w:themeColor="text1"/>
                <w:sz w:val="21"/>
                <w:szCs w:val="21"/>
                <w14:textFill>
                  <w14:solidFill>
                    <w14:schemeClr w14:val="tx1"/>
                  </w14:solidFill>
                </w14:textFill>
              </w:rPr>
            </w:pPr>
            <w:r>
              <w:rPr>
                <w:rFonts w:hint="eastAsia" w:hAnsi="宋体"/>
                <w:snapToGrid w:val="0"/>
                <w:color w:val="000000" w:themeColor="text1"/>
                <w:sz w:val="21"/>
                <w:szCs w:val="21"/>
                <w14:textFill>
                  <w14:solidFill>
                    <w14:schemeClr w14:val="tx1"/>
                  </w14:solidFill>
                </w14:textFill>
              </w:rPr>
              <w:t>20</w:t>
            </w:r>
          </w:p>
        </w:tc>
        <w:tc>
          <w:tcPr>
            <w:tcW w:w="330" w:type="pct"/>
            <w:vAlign w:val="center"/>
          </w:tcPr>
          <w:p w14:paraId="661EA61F">
            <w:pPr>
              <w:pStyle w:val="342"/>
              <w:overflowPunct w:val="0"/>
              <w:snapToGrid w:val="0"/>
              <w:spacing w:line="300" w:lineRule="exact"/>
              <w:rPr>
                <w:rFonts w:hint="eastAsia" w:hAnsi="宋体"/>
                <w:snapToGrid w:val="0"/>
                <w:color w:val="000000" w:themeColor="text1"/>
                <w:sz w:val="21"/>
                <w:szCs w:val="21"/>
                <w14:textFill>
                  <w14:solidFill>
                    <w14:schemeClr w14:val="tx1"/>
                  </w14:solidFill>
                </w14:textFill>
              </w:rPr>
            </w:pPr>
            <w:r>
              <w:rPr>
                <w:rFonts w:hint="eastAsia" w:hAnsi="宋体"/>
                <w:snapToGrid w:val="0"/>
                <w:color w:val="000000" w:themeColor="text1"/>
                <w:sz w:val="21"/>
                <w:szCs w:val="21"/>
                <w14:textFill>
                  <w14:solidFill>
                    <w14:schemeClr w14:val="tx1"/>
                  </w14:solidFill>
                </w14:textFill>
              </w:rPr>
              <w:t>21</w:t>
            </w:r>
          </w:p>
        </w:tc>
        <w:tc>
          <w:tcPr>
            <w:tcW w:w="329" w:type="pct"/>
            <w:vAlign w:val="center"/>
          </w:tcPr>
          <w:p w14:paraId="40D7E707">
            <w:pPr>
              <w:pStyle w:val="342"/>
              <w:overflowPunct w:val="0"/>
              <w:snapToGrid w:val="0"/>
              <w:spacing w:line="300" w:lineRule="exact"/>
              <w:rPr>
                <w:rFonts w:hint="eastAsia" w:hAnsi="宋体"/>
                <w:snapToGrid w:val="0"/>
                <w:color w:val="000000" w:themeColor="text1"/>
                <w:sz w:val="21"/>
                <w:szCs w:val="21"/>
                <w14:textFill>
                  <w14:solidFill>
                    <w14:schemeClr w14:val="tx1"/>
                  </w14:solidFill>
                </w14:textFill>
              </w:rPr>
            </w:pPr>
            <w:r>
              <w:rPr>
                <w:rFonts w:hint="eastAsia" w:hAnsi="宋体"/>
                <w:snapToGrid w:val="0"/>
                <w:color w:val="000000" w:themeColor="text1"/>
                <w:sz w:val="21"/>
                <w:szCs w:val="21"/>
                <w14:textFill>
                  <w14:solidFill>
                    <w14:schemeClr w14:val="tx1"/>
                  </w14:solidFill>
                </w14:textFill>
              </w:rPr>
              <w:t>0.5</w:t>
            </w:r>
          </w:p>
        </w:tc>
        <w:tc>
          <w:tcPr>
            <w:tcW w:w="686" w:type="pct"/>
            <w:vMerge w:val="continue"/>
            <w:vAlign w:val="center"/>
          </w:tcPr>
          <w:p w14:paraId="35C6C35F">
            <w:pPr>
              <w:pStyle w:val="342"/>
              <w:overflowPunct w:val="0"/>
              <w:snapToGrid w:val="0"/>
              <w:spacing w:line="300" w:lineRule="exact"/>
              <w:rPr>
                <w:rFonts w:hint="eastAsia" w:hAnsi="宋体"/>
                <w:snapToGrid w:val="0"/>
                <w:color w:val="000000" w:themeColor="text1"/>
                <w:sz w:val="21"/>
                <w:szCs w:val="21"/>
                <w14:textFill>
                  <w14:solidFill>
                    <w14:schemeClr w14:val="tx1"/>
                  </w14:solidFill>
                </w14:textFill>
              </w:rPr>
            </w:pPr>
          </w:p>
        </w:tc>
        <w:tc>
          <w:tcPr>
            <w:tcW w:w="560" w:type="pct"/>
            <w:vMerge w:val="continue"/>
            <w:vAlign w:val="center"/>
          </w:tcPr>
          <w:p w14:paraId="2541E676">
            <w:pPr>
              <w:pStyle w:val="342"/>
              <w:overflowPunct w:val="0"/>
              <w:snapToGrid w:val="0"/>
              <w:spacing w:line="300" w:lineRule="exact"/>
              <w:rPr>
                <w:rFonts w:hint="eastAsia" w:hAnsi="宋体"/>
                <w:snapToGrid w:val="0"/>
                <w:color w:val="000000" w:themeColor="text1"/>
                <w:sz w:val="21"/>
                <w:szCs w:val="21"/>
                <w14:textFill>
                  <w14:solidFill>
                    <w14:schemeClr w14:val="tx1"/>
                  </w14:solidFill>
                </w14:textFill>
              </w:rPr>
            </w:pPr>
          </w:p>
        </w:tc>
      </w:tr>
      <w:tr w14:paraId="102A88E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636" w:type="pct"/>
            <w:vMerge w:val="restart"/>
            <w:vAlign w:val="center"/>
          </w:tcPr>
          <w:p w14:paraId="79AB4C98">
            <w:pPr>
              <w:pStyle w:val="342"/>
              <w:tabs>
                <w:tab w:val="left" w:pos="1333"/>
              </w:tabs>
              <w:overflowPunct w:val="0"/>
              <w:snapToGrid w:val="0"/>
              <w:spacing w:line="300" w:lineRule="exact"/>
              <w:rPr>
                <w:snapToGrid w:val="0"/>
                <w:color w:val="000000" w:themeColor="text1"/>
                <w:sz w:val="21"/>
                <w:szCs w:val="21"/>
                <w14:textFill>
                  <w14:solidFill>
                    <w14:schemeClr w14:val="tx1"/>
                  </w14:solidFill>
                </w14:textFill>
              </w:rPr>
            </w:pPr>
            <w:r>
              <w:rPr>
                <w:rFonts w:hint="eastAsia"/>
                <w:snapToGrid w:val="0"/>
                <w:color w:val="000000" w:themeColor="text1"/>
                <w:sz w:val="21"/>
                <w:szCs w:val="21"/>
                <w14:textFill>
                  <w14:solidFill>
                    <w14:schemeClr w14:val="tx1"/>
                  </w14:solidFill>
                </w14:textFill>
              </w:rPr>
              <w:t>JHW</w:t>
            </w:r>
            <w:r>
              <w:rPr>
                <w:snapToGrid w:val="0"/>
                <w:color w:val="000000" w:themeColor="text1"/>
                <w:sz w:val="21"/>
                <w:szCs w:val="21"/>
                <w14:textFill>
                  <w14:solidFill>
                    <w14:schemeClr w14:val="tx1"/>
                  </w14:solidFill>
                </w14:textFill>
              </w:rPr>
              <w:t>033</w:t>
            </w:r>
          </w:p>
        </w:tc>
        <w:tc>
          <w:tcPr>
            <w:tcW w:w="1125" w:type="pct"/>
            <w:vAlign w:val="center"/>
          </w:tcPr>
          <w:p w14:paraId="3BA65BC7">
            <w:pPr>
              <w:pStyle w:val="342"/>
              <w:tabs>
                <w:tab w:val="left" w:pos="1333"/>
              </w:tabs>
              <w:overflowPunct w:val="0"/>
              <w:snapToGrid w:val="0"/>
              <w:spacing w:line="300" w:lineRule="exact"/>
              <w:rPr>
                <w:snapToGrid w:val="0"/>
                <w:color w:val="000000" w:themeColor="text1"/>
                <w:sz w:val="21"/>
                <w:szCs w:val="21"/>
                <w14:textFill>
                  <w14:solidFill>
                    <w14:schemeClr w14:val="tx1"/>
                  </w14:solidFill>
                </w14:textFill>
              </w:rPr>
            </w:pPr>
            <w:r>
              <w:rPr>
                <w:rFonts w:hint="eastAsia"/>
                <w:snapToGrid w:val="0"/>
                <w:color w:val="000000" w:themeColor="text1"/>
                <w:sz w:val="21"/>
                <w:szCs w:val="21"/>
                <w14:textFill>
                  <w14:solidFill>
                    <w14:schemeClr w14:val="tx1"/>
                  </w14:solidFill>
                </w14:textFill>
              </w:rPr>
              <w:t>投捞式电潜螺杆泵</w:t>
            </w:r>
          </w:p>
        </w:tc>
        <w:tc>
          <w:tcPr>
            <w:tcW w:w="485" w:type="pct"/>
            <w:vAlign w:val="center"/>
          </w:tcPr>
          <w:p w14:paraId="781BC52B">
            <w:pPr>
              <w:pStyle w:val="342"/>
              <w:tabs>
                <w:tab w:val="left" w:pos="1333"/>
              </w:tabs>
              <w:overflowPunct w:val="0"/>
              <w:snapToGrid w:val="0"/>
              <w:spacing w:line="300" w:lineRule="exact"/>
              <w:rPr>
                <w:snapToGrid w:val="0"/>
                <w:color w:val="000000" w:themeColor="text1"/>
                <w:sz w:val="21"/>
                <w:szCs w:val="21"/>
                <w14:textFill>
                  <w14:solidFill>
                    <w14:schemeClr w14:val="tx1"/>
                  </w14:solidFill>
                </w14:textFill>
              </w:rPr>
            </w:pPr>
            <w:r>
              <w:rPr>
                <w:rFonts w:hint="eastAsia"/>
                <w:snapToGrid w:val="0"/>
                <w:color w:val="000000" w:themeColor="text1"/>
                <w:sz w:val="21"/>
                <w:szCs w:val="21"/>
                <w14:textFill>
                  <w14:solidFill>
                    <w14:schemeClr w14:val="tx1"/>
                  </w14:solidFill>
                </w14:textFill>
              </w:rPr>
              <w:t>1</w:t>
            </w:r>
          </w:p>
        </w:tc>
        <w:tc>
          <w:tcPr>
            <w:tcW w:w="519" w:type="pct"/>
            <w:vAlign w:val="top"/>
          </w:tcPr>
          <w:p w14:paraId="5C6807B1">
            <w:pPr>
              <w:pStyle w:val="342"/>
              <w:overflowPunct w:val="0"/>
              <w:snapToGrid w:val="0"/>
              <w:spacing w:line="300" w:lineRule="exact"/>
              <w:rPr>
                <w:rFonts w:hint="eastAsia" w:hAnsi="宋体"/>
                <w:snapToGrid w:val="0"/>
                <w:color w:val="000000" w:themeColor="text1"/>
                <w:sz w:val="21"/>
                <w:szCs w:val="21"/>
                <w14:textFill>
                  <w14:solidFill>
                    <w14:schemeClr w14:val="tx1"/>
                  </w14:solidFill>
                </w14:textFill>
              </w:rPr>
            </w:pPr>
            <w:r>
              <w:rPr>
                <w:rFonts w:hint="eastAsia" w:hAnsi="宋体"/>
                <w:snapToGrid w:val="0"/>
                <w:color w:val="000000" w:themeColor="text1"/>
                <w:sz w:val="21"/>
                <w:szCs w:val="21"/>
                <w14:textFill>
                  <w14:solidFill>
                    <w14:schemeClr w14:val="tx1"/>
                  </w14:solidFill>
                </w14:textFill>
              </w:rPr>
              <w:t>85-90</w:t>
            </w:r>
          </w:p>
        </w:tc>
        <w:tc>
          <w:tcPr>
            <w:tcW w:w="330" w:type="pct"/>
            <w:vAlign w:val="center"/>
          </w:tcPr>
          <w:p w14:paraId="1DFC01EC">
            <w:pPr>
              <w:pStyle w:val="342"/>
              <w:overflowPunct w:val="0"/>
              <w:snapToGrid w:val="0"/>
              <w:spacing w:line="300" w:lineRule="exact"/>
              <w:rPr>
                <w:rFonts w:hint="eastAsia" w:hAnsi="宋体"/>
                <w:snapToGrid w:val="0"/>
                <w:color w:val="000000" w:themeColor="text1"/>
                <w:sz w:val="21"/>
                <w:szCs w:val="21"/>
                <w14:textFill>
                  <w14:solidFill>
                    <w14:schemeClr w14:val="tx1"/>
                  </w14:solidFill>
                </w14:textFill>
              </w:rPr>
            </w:pPr>
            <w:r>
              <w:rPr>
                <w:rFonts w:hint="eastAsia" w:hAnsi="宋体"/>
                <w:snapToGrid w:val="0"/>
                <w:color w:val="000000" w:themeColor="text1"/>
                <w:sz w:val="21"/>
                <w:szCs w:val="21"/>
                <w14:textFill>
                  <w14:solidFill>
                    <w14:schemeClr w14:val="tx1"/>
                  </w14:solidFill>
                </w14:textFill>
              </w:rPr>
              <w:t>27</w:t>
            </w:r>
          </w:p>
        </w:tc>
        <w:tc>
          <w:tcPr>
            <w:tcW w:w="330" w:type="pct"/>
            <w:vAlign w:val="center"/>
          </w:tcPr>
          <w:p w14:paraId="67E26E6F">
            <w:pPr>
              <w:pStyle w:val="342"/>
              <w:overflowPunct w:val="0"/>
              <w:snapToGrid w:val="0"/>
              <w:spacing w:line="300" w:lineRule="exact"/>
              <w:rPr>
                <w:rFonts w:hint="eastAsia" w:hAnsi="宋体"/>
                <w:snapToGrid w:val="0"/>
                <w:color w:val="000000" w:themeColor="text1"/>
                <w:sz w:val="21"/>
                <w:szCs w:val="21"/>
                <w14:textFill>
                  <w14:solidFill>
                    <w14:schemeClr w14:val="tx1"/>
                  </w14:solidFill>
                </w14:textFill>
              </w:rPr>
            </w:pPr>
            <w:r>
              <w:rPr>
                <w:rFonts w:hint="eastAsia" w:hAnsi="宋体"/>
                <w:snapToGrid w:val="0"/>
                <w:color w:val="000000" w:themeColor="text1"/>
                <w:sz w:val="21"/>
                <w:szCs w:val="21"/>
                <w14:textFill>
                  <w14:solidFill>
                    <w14:schemeClr w14:val="tx1"/>
                  </w14:solidFill>
                </w14:textFill>
              </w:rPr>
              <w:t>25</w:t>
            </w:r>
          </w:p>
        </w:tc>
        <w:tc>
          <w:tcPr>
            <w:tcW w:w="329" w:type="pct"/>
            <w:vAlign w:val="center"/>
          </w:tcPr>
          <w:p w14:paraId="74B37EE6">
            <w:pPr>
              <w:pStyle w:val="342"/>
              <w:overflowPunct w:val="0"/>
              <w:snapToGrid w:val="0"/>
              <w:spacing w:line="300" w:lineRule="exact"/>
              <w:rPr>
                <w:rFonts w:hint="eastAsia" w:hAnsi="宋体"/>
                <w:snapToGrid w:val="0"/>
                <w:color w:val="000000" w:themeColor="text1"/>
                <w:sz w:val="21"/>
                <w:szCs w:val="21"/>
                <w14:textFill>
                  <w14:solidFill>
                    <w14:schemeClr w14:val="tx1"/>
                  </w14:solidFill>
                </w14:textFill>
              </w:rPr>
            </w:pPr>
            <w:r>
              <w:rPr>
                <w:rFonts w:hint="eastAsia" w:hAnsi="宋体"/>
                <w:snapToGrid w:val="0"/>
                <w:color w:val="000000" w:themeColor="text1"/>
                <w:sz w:val="21"/>
                <w:szCs w:val="21"/>
                <w14:textFill>
                  <w14:solidFill>
                    <w14:schemeClr w14:val="tx1"/>
                  </w14:solidFill>
                </w14:textFill>
              </w:rPr>
              <w:t>0.5</w:t>
            </w:r>
          </w:p>
        </w:tc>
        <w:tc>
          <w:tcPr>
            <w:tcW w:w="686" w:type="pct"/>
            <w:vMerge w:val="continue"/>
            <w:vAlign w:val="center"/>
          </w:tcPr>
          <w:p w14:paraId="251830F2">
            <w:pPr>
              <w:pStyle w:val="342"/>
              <w:overflowPunct w:val="0"/>
              <w:snapToGrid w:val="0"/>
              <w:spacing w:line="300" w:lineRule="exact"/>
              <w:rPr>
                <w:rFonts w:hint="eastAsia" w:hAnsi="宋体"/>
                <w:snapToGrid w:val="0"/>
                <w:color w:val="000000" w:themeColor="text1"/>
                <w:sz w:val="21"/>
                <w:szCs w:val="21"/>
                <w14:textFill>
                  <w14:solidFill>
                    <w14:schemeClr w14:val="tx1"/>
                  </w14:solidFill>
                </w14:textFill>
              </w:rPr>
            </w:pPr>
          </w:p>
        </w:tc>
        <w:tc>
          <w:tcPr>
            <w:tcW w:w="560" w:type="pct"/>
            <w:vMerge w:val="continue"/>
            <w:vAlign w:val="center"/>
          </w:tcPr>
          <w:p w14:paraId="2C1A8344">
            <w:pPr>
              <w:pStyle w:val="342"/>
              <w:overflowPunct w:val="0"/>
              <w:snapToGrid w:val="0"/>
              <w:spacing w:line="300" w:lineRule="exact"/>
              <w:rPr>
                <w:rFonts w:hint="eastAsia" w:hAnsi="宋体"/>
                <w:snapToGrid w:val="0"/>
                <w:color w:val="000000" w:themeColor="text1"/>
                <w:sz w:val="21"/>
                <w:szCs w:val="21"/>
                <w14:textFill>
                  <w14:solidFill>
                    <w14:schemeClr w14:val="tx1"/>
                  </w14:solidFill>
                </w14:textFill>
              </w:rPr>
            </w:pPr>
          </w:p>
        </w:tc>
      </w:tr>
      <w:tr w14:paraId="62A1F23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636" w:type="pct"/>
            <w:vMerge w:val="continue"/>
            <w:vAlign w:val="center"/>
          </w:tcPr>
          <w:p w14:paraId="4AD26DB7">
            <w:pPr>
              <w:pStyle w:val="342"/>
              <w:tabs>
                <w:tab w:val="left" w:pos="1333"/>
              </w:tabs>
              <w:overflowPunct w:val="0"/>
              <w:snapToGrid w:val="0"/>
              <w:spacing w:line="300" w:lineRule="exact"/>
              <w:rPr>
                <w:snapToGrid w:val="0"/>
                <w:color w:val="000000" w:themeColor="text1"/>
                <w:sz w:val="21"/>
                <w:szCs w:val="21"/>
                <w14:textFill>
                  <w14:solidFill>
                    <w14:schemeClr w14:val="tx1"/>
                  </w14:solidFill>
                </w14:textFill>
              </w:rPr>
            </w:pPr>
          </w:p>
        </w:tc>
        <w:tc>
          <w:tcPr>
            <w:tcW w:w="1125" w:type="pct"/>
            <w:vAlign w:val="center"/>
          </w:tcPr>
          <w:p w14:paraId="05C7EBFC">
            <w:pPr>
              <w:pStyle w:val="342"/>
              <w:tabs>
                <w:tab w:val="left" w:pos="1333"/>
              </w:tabs>
              <w:overflowPunct w:val="0"/>
              <w:snapToGrid w:val="0"/>
              <w:spacing w:line="300" w:lineRule="exact"/>
              <w:rPr>
                <w:snapToGrid w:val="0"/>
                <w:color w:val="000000" w:themeColor="text1"/>
                <w:sz w:val="21"/>
                <w:szCs w:val="21"/>
                <w14:textFill>
                  <w14:solidFill>
                    <w14:schemeClr w14:val="tx1"/>
                  </w14:solidFill>
                </w14:textFill>
              </w:rPr>
            </w:pPr>
            <w:r>
              <w:rPr>
                <w:rFonts w:hint="eastAsia"/>
                <w:snapToGrid w:val="0"/>
                <w:color w:val="000000" w:themeColor="text1"/>
                <w:sz w:val="21"/>
                <w:szCs w:val="21"/>
                <w14:textFill>
                  <w14:solidFill>
                    <w14:schemeClr w14:val="tx1"/>
                  </w14:solidFill>
                </w14:textFill>
              </w:rPr>
              <w:t>高压往复泵</w:t>
            </w:r>
          </w:p>
        </w:tc>
        <w:tc>
          <w:tcPr>
            <w:tcW w:w="485" w:type="pct"/>
            <w:vAlign w:val="center"/>
          </w:tcPr>
          <w:p w14:paraId="61B4E89A">
            <w:pPr>
              <w:pStyle w:val="342"/>
              <w:tabs>
                <w:tab w:val="left" w:pos="1333"/>
              </w:tabs>
              <w:overflowPunct w:val="0"/>
              <w:snapToGrid w:val="0"/>
              <w:spacing w:line="300" w:lineRule="exact"/>
              <w:rPr>
                <w:snapToGrid w:val="0"/>
                <w:color w:val="000000" w:themeColor="text1"/>
                <w:sz w:val="21"/>
                <w:szCs w:val="21"/>
                <w14:textFill>
                  <w14:solidFill>
                    <w14:schemeClr w14:val="tx1"/>
                  </w14:solidFill>
                </w14:textFill>
              </w:rPr>
            </w:pPr>
            <w:r>
              <w:rPr>
                <w:rFonts w:hint="eastAsia"/>
                <w:snapToGrid w:val="0"/>
                <w:color w:val="000000" w:themeColor="text1"/>
                <w:sz w:val="21"/>
                <w:szCs w:val="21"/>
                <w14:textFill>
                  <w14:solidFill>
                    <w14:schemeClr w14:val="tx1"/>
                  </w14:solidFill>
                </w14:textFill>
              </w:rPr>
              <w:t>2</w:t>
            </w:r>
          </w:p>
        </w:tc>
        <w:tc>
          <w:tcPr>
            <w:tcW w:w="519" w:type="pct"/>
            <w:vAlign w:val="top"/>
          </w:tcPr>
          <w:p w14:paraId="744C55C7">
            <w:pPr>
              <w:pStyle w:val="342"/>
              <w:overflowPunct w:val="0"/>
              <w:snapToGrid w:val="0"/>
              <w:spacing w:line="300" w:lineRule="exact"/>
              <w:rPr>
                <w:rFonts w:hint="eastAsia" w:hAnsi="宋体"/>
                <w:snapToGrid w:val="0"/>
                <w:color w:val="000000" w:themeColor="text1"/>
                <w:sz w:val="21"/>
                <w:szCs w:val="21"/>
                <w14:textFill>
                  <w14:solidFill>
                    <w14:schemeClr w14:val="tx1"/>
                  </w14:solidFill>
                </w14:textFill>
              </w:rPr>
            </w:pPr>
            <w:r>
              <w:rPr>
                <w:rFonts w:hint="eastAsia" w:hAnsi="宋体"/>
                <w:snapToGrid w:val="0"/>
                <w:color w:val="000000" w:themeColor="text1"/>
                <w:sz w:val="21"/>
                <w:szCs w:val="21"/>
                <w14:textFill>
                  <w14:solidFill>
                    <w14:schemeClr w14:val="tx1"/>
                  </w14:solidFill>
                </w14:textFill>
              </w:rPr>
              <w:t>85-90</w:t>
            </w:r>
          </w:p>
        </w:tc>
        <w:tc>
          <w:tcPr>
            <w:tcW w:w="330" w:type="pct"/>
            <w:vAlign w:val="center"/>
          </w:tcPr>
          <w:p w14:paraId="2F839A78">
            <w:pPr>
              <w:pStyle w:val="342"/>
              <w:overflowPunct w:val="0"/>
              <w:snapToGrid w:val="0"/>
              <w:spacing w:line="300" w:lineRule="exact"/>
              <w:rPr>
                <w:rFonts w:hint="eastAsia" w:hAnsi="宋体"/>
                <w:snapToGrid w:val="0"/>
                <w:color w:val="000000" w:themeColor="text1"/>
                <w:sz w:val="21"/>
                <w:szCs w:val="21"/>
                <w14:textFill>
                  <w14:solidFill>
                    <w14:schemeClr w14:val="tx1"/>
                  </w14:solidFill>
                </w14:textFill>
              </w:rPr>
            </w:pPr>
            <w:r>
              <w:rPr>
                <w:rFonts w:hint="eastAsia" w:hAnsi="宋体"/>
                <w:snapToGrid w:val="0"/>
                <w:color w:val="000000" w:themeColor="text1"/>
                <w:sz w:val="21"/>
                <w:szCs w:val="21"/>
                <w14:textFill>
                  <w14:solidFill>
                    <w14:schemeClr w14:val="tx1"/>
                  </w14:solidFill>
                </w14:textFill>
              </w:rPr>
              <w:t>14</w:t>
            </w:r>
          </w:p>
        </w:tc>
        <w:tc>
          <w:tcPr>
            <w:tcW w:w="330" w:type="pct"/>
            <w:vAlign w:val="center"/>
          </w:tcPr>
          <w:p w14:paraId="66C9CC14">
            <w:pPr>
              <w:pStyle w:val="342"/>
              <w:overflowPunct w:val="0"/>
              <w:snapToGrid w:val="0"/>
              <w:spacing w:line="300" w:lineRule="exact"/>
              <w:rPr>
                <w:rFonts w:hint="eastAsia" w:hAnsi="宋体"/>
                <w:snapToGrid w:val="0"/>
                <w:color w:val="000000" w:themeColor="text1"/>
                <w:sz w:val="21"/>
                <w:szCs w:val="21"/>
                <w14:textFill>
                  <w14:solidFill>
                    <w14:schemeClr w14:val="tx1"/>
                  </w14:solidFill>
                </w14:textFill>
              </w:rPr>
            </w:pPr>
            <w:r>
              <w:rPr>
                <w:rFonts w:hint="eastAsia" w:hAnsi="宋体"/>
                <w:snapToGrid w:val="0"/>
                <w:color w:val="000000" w:themeColor="text1"/>
                <w:sz w:val="21"/>
                <w:szCs w:val="21"/>
                <w14:textFill>
                  <w14:solidFill>
                    <w14:schemeClr w14:val="tx1"/>
                  </w14:solidFill>
                </w14:textFill>
              </w:rPr>
              <w:t>12</w:t>
            </w:r>
          </w:p>
        </w:tc>
        <w:tc>
          <w:tcPr>
            <w:tcW w:w="329" w:type="pct"/>
            <w:vAlign w:val="center"/>
          </w:tcPr>
          <w:p w14:paraId="66A6F6FA">
            <w:pPr>
              <w:pStyle w:val="342"/>
              <w:overflowPunct w:val="0"/>
              <w:snapToGrid w:val="0"/>
              <w:spacing w:line="300" w:lineRule="exact"/>
              <w:rPr>
                <w:rFonts w:hint="eastAsia" w:hAnsi="宋体"/>
                <w:snapToGrid w:val="0"/>
                <w:color w:val="000000" w:themeColor="text1"/>
                <w:sz w:val="21"/>
                <w:szCs w:val="21"/>
                <w14:textFill>
                  <w14:solidFill>
                    <w14:schemeClr w14:val="tx1"/>
                  </w14:solidFill>
                </w14:textFill>
              </w:rPr>
            </w:pPr>
            <w:r>
              <w:rPr>
                <w:rFonts w:hint="eastAsia" w:hAnsi="宋体"/>
                <w:snapToGrid w:val="0"/>
                <w:color w:val="000000" w:themeColor="text1"/>
                <w:sz w:val="21"/>
                <w:szCs w:val="21"/>
                <w14:textFill>
                  <w14:solidFill>
                    <w14:schemeClr w14:val="tx1"/>
                  </w14:solidFill>
                </w14:textFill>
              </w:rPr>
              <w:t>0.5</w:t>
            </w:r>
          </w:p>
        </w:tc>
        <w:tc>
          <w:tcPr>
            <w:tcW w:w="686" w:type="pct"/>
            <w:vMerge w:val="continue"/>
            <w:vAlign w:val="center"/>
          </w:tcPr>
          <w:p w14:paraId="2E5DBB40">
            <w:pPr>
              <w:pStyle w:val="342"/>
              <w:overflowPunct w:val="0"/>
              <w:snapToGrid w:val="0"/>
              <w:spacing w:line="300" w:lineRule="exact"/>
              <w:rPr>
                <w:rFonts w:hint="eastAsia" w:hAnsi="宋体"/>
                <w:snapToGrid w:val="0"/>
                <w:color w:val="000000" w:themeColor="text1"/>
                <w:sz w:val="21"/>
                <w:szCs w:val="21"/>
                <w14:textFill>
                  <w14:solidFill>
                    <w14:schemeClr w14:val="tx1"/>
                  </w14:solidFill>
                </w14:textFill>
              </w:rPr>
            </w:pPr>
          </w:p>
        </w:tc>
        <w:tc>
          <w:tcPr>
            <w:tcW w:w="560" w:type="pct"/>
            <w:vMerge w:val="continue"/>
            <w:vAlign w:val="center"/>
          </w:tcPr>
          <w:p w14:paraId="5CE54557">
            <w:pPr>
              <w:pStyle w:val="342"/>
              <w:overflowPunct w:val="0"/>
              <w:snapToGrid w:val="0"/>
              <w:spacing w:line="300" w:lineRule="exact"/>
              <w:rPr>
                <w:rFonts w:hint="eastAsia" w:hAnsi="宋体"/>
                <w:snapToGrid w:val="0"/>
                <w:color w:val="000000" w:themeColor="text1"/>
                <w:sz w:val="21"/>
                <w:szCs w:val="21"/>
                <w14:textFill>
                  <w14:solidFill>
                    <w14:schemeClr w14:val="tx1"/>
                  </w14:solidFill>
                </w14:textFill>
              </w:rPr>
            </w:pPr>
          </w:p>
        </w:tc>
      </w:tr>
      <w:tr w14:paraId="5A10294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636" w:type="pct"/>
            <w:vMerge w:val="continue"/>
            <w:vAlign w:val="center"/>
          </w:tcPr>
          <w:p w14:paraId="79D54EF6">
            <w:pPr>
              <w:pStyle w:val="342"/>
              <w:tabs>
                <w:tab w:val="left" w:pos="1333"/>
              </w:tabs>
              <w:overflowPunct w:val="0"/>
              <w:snapToGrid w:val="0"/>
              <w:spacing w:line="300" w:lineRule="exact"/>
              <w:rPr>
                <w:snapToGrid w:val="0"/>
                <w:color w:val="000000" w:themeColor="text1"/>
                <w:sz w:val="21"/>
                <w:szCs w:val="21"/>
                <w14:textFill>
                  <w14:solidFill>
                    <w14:schemeClr w14:val="tx1"/>
                  </w14:solidFill>
                </w14:textFill>
              </w:rPr>
            </w:pPr>
          </w:p>
        </w:tc>
        <w:tc>
          <w:tcPr>
            <w:tcW w:w="1125" w:type="pct"/>
            <w:vAlign w:val="center"/>
          </w:tcPr>
          <w:p w14:paraId="07433BAA">
            <w:pPr>
              <w:pStyle w:val="342"/>
              <w:tabs>
                <w:tab w:val="left" w:pos="1333"/>
              </w:tabs>
              <w:overflowPunct w:val="0"/>
              <w:snapToGrid w:val="0"/>
              <w:spacing w:line="300" w:lineRule="exact"/>
              <w:rPr>
                <w:snapToGrid w:val="0"/>
                <w:color w:val="000000" w:themeColor="text1"/>
                <w:sz w:val="21"/>
                <w:szCs w:val="21"/>
                <w14:textFill>
                  <w14:solidFill>
                    <w14:schemeClr w14:val="tx1"/>
                  </w14:solidFill>
                </w14:textFill>
              </w:rPr>
            </w:pPr>
            <w:r>
              <w:rPr>
                <w:rFonts w:hint="eastAsia"/>
                <w:snapToGrid w:val="0"/>
                <w:color w:val="000000" w:themeColor="text1"/>
                <w:sz w:val="21"/>
                <w:szCs w:val="21"/>
                <w14:textFill>
                  <w14:solidFill>
                    <w14:schemeClr w14:val="tx1"/>
                  </w14:solidFill>
                </w14:textFill>
              </w:rPr>
              <w:t>二氧化碳专用泵</w:t>
            </w:r>
          </w:p>
        </w:tc>
        <w:tc>
          <w:tcPr>
            <w:tcW w:w="485" w:type="pct"/>
            <w:vAlign w:val="center"/>
          </w:tcPr>
          <w:p w14:paraId="3954ABD2">
            <w:pPr>
              <w:pStyle w:val="342"/>
              <w:tabs>
                <w:tab w:val="left" w:pos="1333"/>
              </w:tabs>
              <w:overflowPunct w:val="0"/>
              <w:snapToGrid w:val="0"/>
              <w:spacing w:line="300" w:lineRule="exact"/>
              <w:rPr>
                <w:snapToGrid w:val="0"/>
                <w:color w:val="000000" w:themeColor="text1"/>
                <w:sz w:val="21"/>
                <w:szCs w:val="21"/>
                <w14:textFill>
                  <w14:solidFill>
                    <w14:schemeClr w14:val="tx1"/>
                  </w14:solidFill>
                </w14:textFill>
              </w:rPr>
            </w:pPr>
            <w:r>
              <w:rPr>
                <w:rFonts w:hint="eastAsia"/>
                <w:snapToGrid w:val="0"/>
                <w:color w:val="000000" w:themeColor="text1"/>
                <w:sz w:val="21"/>
                <w:szCs w:val="21"/>
                <w14:textFill>
                  <w14:solidFill>
                    <w14:schemeClr w14:val="tx1"/>
                  </w14:solidFill>
                </w14:textFill>
              </w:rPr>
              <w:t>2</w:t>
            </w:r>
          </w:p>
        </w:tc>
        <w:tc>
          <w:tcPr>
            <w:tcW w:w="519" w:type="pct"/>
            <w:vAlign w:val="top"/>
          </w:tcPr>
          <w:p w14:paraId="00506093">
            <w:pPr>
              <w:pStyle w:val="342"/>
              <w:overflowPunct w:val="0"/>
              <w:snapToGrid w:val="0"/>
              <w:spacing w:line="300" w:lineRule="exact"/>
              <w:rPr>
                <w:rFonts w:hint="eastAsia" w:hAnsi="宋体"/>
                <w:snapToGrid w:val="0"/>
                <w:color w:val="000000" w:themeColor="text1"/>
                <w:sz w:val="21"/>
                <w:szCs w:val="21"/>
                <w14:textFill>
                  <w14:solidFill>
                    <w14:schemeClr w14:val="tx1"/>
                  </w14:solidFill>
                </w14:textFill>
              </w:rPr>
            </w:pPr>
            <w:r>
              <w:rPr>
                <w:rFonts w:hint="eastAsia" w:hAnsi="宋体"/>
                <w:snapToGrid w:val="0"/>
                <w:color w:val="000000" w:themeColor="text1"/>
                <w:sz w:val="21"/>
                <w:szCs w:val="21"/>
                <w14:textFill>
                  <w14:solidFill>
                    <w14:schemeClr w14:val="tx1"/>
                  </w14:solidFill>
                </w14:textFill>
              </w:rPr>
              <w:t>85-90</w:t>
            </w:r>
          </w:p>
        </w:tc>
        <w:tc>
          <w:tcPr>
            <w:tcW w:w="330" w:type="pct"/>
            <w:vAlign w:val="center"/>
          </w:tcPr>
          <w:p w14:paraId="26958D3E">
            <w:pPr>
              <w:pStyle w:val="342"/>
              <w:overflowPunct w:val="0"/>
              <w:snapToGrid w:val="0"/>
              <w:spacing w:line="300" w:lineRule="exact"/>
              <w:rPr>
                <w:rFonts w:hint="eastAsia" w:hAnsi="宋体"/>
                <w:snapToGrid w:val="0"/>
                <w:color w:val="000000" w:themeColor="text1"/>
                <w:sz w:val="21"/>
                <w:szCs w:val="21"/>
                <w14:textFill>
                  <w14:solidFill>
                    <w14:schemeClr w14:val="tx1"/>
                  </w14:solidFill>
                </w14:textFill>
              </w:rPr>
            </w:pPr>
            <w:r>
              <w:rPr>
                <w:rFonts w:hint="eastAsia" w:hAnsi="宋体"/>
                <w:snapToGrid w:val="0"/>
                <w:color w:val="000000" w:themeColor="text1"/>
                <w:sz w:val="21"/>
                <w:szCs w:val="21"/>
                <w14:textFill>
                  <w14:solidFill>
                    <w14:schemeClr w14:val="tx1"/>
                  </w14:solidFill>
                </w14:textFill>
              </w:rPr>
              <w:t>14</w:t>
            </w:r>
          </w:p>
        </w:tc>
        <w:tc>
          <w:tcPr>
            <w:tcW w:w="330" w:type="pct"/>
            <w:vAlign w:val="center"/>
          </w:tcPr>
          <w:p w14:paraId="525852F3">
            <w:pPr>
              <w:pStyle w:val="342"/>
              <w:overflowPunct w:val="0"/>
              <w:snapToGrid w:val="0"/>
              <w:spacing w:line="300" w:lineRule="exact"/>
              <w:rPr>
                <w:rFonts w:hint="eastAsia" w:hAnsi="宋体"/>
                <w:snapToGrid w:val="0"/>
                <w:color w:val="000000" w:themeColor="text1"/>
                <w:sz w:val="21"/>
                <w:szCs w:val="21"/>
                <w14:textFill>
                  <w14:solidFill>
                    <w14:schemeClr w14:val="tx1"/>
                  </w14:solidFill>
                </w14:textFill>
              </w:rPr>
            </w:pPr>
            <w:r>
              <w:rPr>
                <w:rFonts w:hint="eastAsia" w:hAnsi="宋体"/>
                <w:snapToGrid w:val="0"/>
                <w:color w:val="000000" w:themeColor="text1"/>
                <w:sz w:val="21"/>
                <w:szCs w:val="21"/>
                <w14:textFill>
                  <w14:solidFill>
                    <w14:schemeClr w14:val="tx1"/>
                  </w14:solidFill>
                </w14:textFill>
              </w:rPr>
              <w:t>8</w:t>
            </w:r>
          </w:p>
        </w:tc>
        <w:tc>
          <w:tcPr>
            <w:tcW w:w="329" w:type="pct"/>
            <w:vAlign w:val="center"/>
          </w:tcPr>
          <w:p w14:paraId="21730AD2">
            <w:pPr>
              <w:pStyle w:val="342"/>
              <w:overflowPunct w:val="0"/>
              <w:snapToGrid w:val="0"/>
              <w:spacing w:line="300" w:lineRule="exact"/>
              <w:rPr>
                <w:rFonts w:hint="eastAsia" w:hAnsi="宋体"/>
                <w:snapToGrid w:val="0"/>
                <w:color w:val="000000" w:themeColor="text1"/>
                <w:sz w:val="21"/>
                <w:szCs w:val="21"/>
                <w14:textFill>
                  <w14:solidFill>
                    <w14:schemeClr w14:val="tx1"/>
                  </w14:solidFill>
                </w14:textFill>
              </w:rPr>
            </w:pPr>
            <w:r>
              <w:rPr>
                <w:rFonts w:hint="eastAsia" w:hAnsi="宋体"/>
                <w:snapToGrid w:val="0"/>
                <w:color w:val="000000" w:themeColor="text1"/>
                <w:sz w:val="21"/>
                <w:szCs w:val="21"/>
                <w14:textFill>
                  <w14:solidFill>
                    <w14:schemeClr w14:val="tx1"/>
                  </w14:solidFill>
                </w14:textFill>
              </w:rPr>
              <w:t>0.5</w:t>
            </w:r>
          </w:p>
        </w:tc>
        <w:tc>
          <w:tcPr>
            <w:tcW w:w="686" w:type="pct"/>
            <w:vMerge w:val="continue"/>
            <w:vAlign w:val="center"/>
          </w:tcPr>
          <w:p w14:paraId="5572EC42">
            <w:pPr>
              <w:pStyle w:val="342"/>
              <w:overflowPunct w:val="0"/>
              <w:snapToGrid w:val="0"/>
              <w:spacing w:line="300" w:lineRule="exact"/>
              <w:rPr>
                <w:rFonts w:hint="eastAsia" w:hAnsi="宋体"/>
                <w:snapToGrid w:val="0"/>
                <w:color w:val="000000" w:themeColor="text1"/>
                <w:sz w:val="21"/>
                <w:szCs w:val="21"/>
                <w14:textFill>
                  <w14:solidFill>
                    <w14:schemeClr w14:val="tx1"/>
                  </w14:solidFill>
                </w14:textFill>
              </w:rPr>
            </w:pPr>
          </w:p>
        </w:tc>
        <w:tc>
          <w:tcPr>
            <w:tcW w:w="560" w:type="pct"/>
            <w:vMerge w:val="continue"/>
            <w:vAlign w:val="center"/>
          </w:tcPr>
          <w:p w14:paraId="34DE953E">
            <w:pPr>
              <w:pStyle w:val="342"/>
              <w:overflowPunct w:val="0"/>
              <w:snapToGrid w:val="0"/>
              <w:spacing w:line="300" w:lineRule="exact"/>
              <w:rPr>
                <w:rFonts w:hint="eastAsia" w:hAnsi="宋体"/>
                <w:snapToGrid w:val="0"/>
                <w:color w:val="000000" w:themeColor="text1"/>
                <w:sz w:val="21"/>
                <w:szCs w:val="21"/>
                <w14:textFill>
                  <w14:solidFill>
                    <w14:schemeClr w14:val="tx1"/>
                  </w14:solidFill>
                </w14:textFill>
              </w:rPr>
            </w:pPr>
          </w:p>
        </w:tc>
      </w:tr>
      <w:tr w14:paraId="34F29EB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636" w:type="pct"/>
            <w:vMerge w:val="continue"/>
            <w:vAlign w:val="center"/>
          </w:tcPr>
          <w:p w14:paraId="390BE2F4">
            <w:pPr>
              <w:pStyle w:val="342"/>
              <w:tabs>
                <w:tab w:val="left" w:pos="1333"/>
              </w:tabs>
              <w:overflowPunct w:val="0"/>
              <w:snapToGrid w:val="0"/>
              <w:spacing w:line="300" w:lineRule="exact"/>
              <w:rPr>
                <w:snapToGrid w:val="0"/>
                <w:color w:val="000000" w:themeColor="text1"/>
                <w:sz w:val="21"/>
                <w:szCs w:val="21"/>
                <w14:textFill>
                  <w14:solidFill>
                    <w14:schemeClr w14:val="tx1"/>
                  </w14:solidFill>
                </w14:textFill>
              </w:rPr>
            </w:pPr>
          </w:p>
        </w:tc>
        <w:tc>
          <w:tcPr>
            <w:tcW w:w="1125" w:type="pct"/>
            <w:vAlign w:val="center"/>
          </w:tcPr>
          <w:p w14:paraId="180E8EE6">
            <w:pPr>
              <w:pStyle w:val="342"/>
              <w:tabs>
                <w:tab w:val="left" w:pos="1333"/>
              </w:tabs>
              <w:overflowPunct w:val="0"/>
              <w:snapToGrid w:val="0"/>
              <w:spacing w:line="300" w:lineRule="exact"/>
              <w:rPr>
                <w:snapToGrid w:val="0"/>
                <w:color w:val="000000" w:themeColor="text1"/>
                <w:sz w:val="21"/>
                <w:szCs w:val="21"/>
                <w14:textFill>
                  <w14:solidFill>
                    <w14:schemeClr w14:val="tx1"/>
                  </w14:solidFill>
                </w14:textFill>
              </w:rPr>
            </w:pPr>
            <w:r>
              <w:rPr>
                <w:rFonts w:hint="eastAsia"/>
                <w:snapToGrid w:val="0"/>
                <w:color w:val="000000" w:themeColor="text1"/>
                <w:sz w:val="21"/>
                <w:szCs w:val="21"/>
                <w14:textFill>
                  <w14:solidFill>
                    <w14:schemeClr w14:val="tx1"/>
                  </w14:solidFill>
                </w14:textFill>
              </w:rPr>
              <w:t>隔爆屏蔽泵</w:t>
            </w:r>
          </w:p>
        </w:tc>
        <w:tc>
          <w:tcPr>
            <w:tcW w:w="485" w:type="pct"/>
            <w:vAlign w:val="center"/>
          </w:tcPr>
          <w:p w14:paraId="018CC262">
            <w:pPr>
              <w:pStyle w:val="342"/>
              <w:tabs>
                <w:tab w:val="left" w:pos="1333"/>
              </w:tabs>
              <w:overflowPunct w:val="0"/>
              <w:snapToGrid w:val="0"/>
              <w:spacing w:line="300" w:lineRule="exact"/>
              <w:rPr>
                <w:snapToGrid w:val="0"/>
                <w:color w:val="000000" w:themeColor="text1"/>
                <w:sz w:val="21"/>
                <w:szCs w:val="21"/>
                <w14:textFill>
                  <w14:solidFill>
                    <w14:schemeClr w14:val="tx1"/>
                  </w14:solidFill>
                </w14:textFill>
              </w:rPr>
            </w:pPr>
            <w:r>
              <w:rPr>
                <w:rFonts w:hint="eastAsia"/>
                <w:snapToGrid w:val="0"/>
                <w:color w:val="000000" w:themeColor="text1"/>
                <w:sz w:val="21"/>
                <w:szCs w:val="21"/>
                <w14:textFill>
                  <w14:solidFill>
                    <w14:schemeClr w14:val="tx1"/>
                  </w14:solidFill>
                </w14:textFill>
              </w:rPr>
              <w:t>1</w:t>
            </w:r>
          </w:p>
        </w:tc>
        <w:tc>
          <w:tcPr>
            <w:tcW w:w="519" w:type="pct"/>
            <w:vAlign w:val="top"/>
          </w:tcPr>
          <w:p w14:paraId="1009DF41">
            <w:pPr>
              <w:pStyle w:val="342"/>
              <w:overflowPunct w:val="0"/>
              <w:snapToGrid w:val="0"/>
              <w:spacing w:line="300" w:lineRule="exact"/>
              <w:rPr>
                <w:rFonts w:hint="eastAsia" w:hAnsi="宋体"/>
                <w:snapToGrid w:val="0"/>
                <w:color w:val="000000" w:themeColor="text1"/>
                <w:sz w:val="21"/>
                <w:szCs w:val="21"/>
                <w14:textFill>
                  <w14:solidFill>
                    <w14:schemeClr w14:val="tx1"/>
                  </w14:solidFill>
                </w14:textFill>
              </w:rPr>
            </w:pPr>
            <w:r>
              <w:rPr>
                <w:rFonts w:hint="eastAsia" w:hAnsi="宋体"/>
                <w:snapToGrid w:val="0"/>
                <w:color w:val="000000" w:themeColor="text1"/>
                <w:sz w:val="21"/>
                <w:szCs w:val="21"/>
                <w14:textFill>
                  <w14:solidFill>
                    <w14:schemeClr w14:val="tx1"/>
                  </w14:solidFill>
                </w14:textFill>
              </w:rPr>
              <w:t>85-90</w:t>
            </w:r>
          </w:p>
        </w:tc>
        <w:tc>
          <w:tcPr>
            <w:tcW w:w="330" w:type="pct"/>
            <w:vAlign w:val="center"/>
          </w:tcPr>
          <w:p w14:paraId="65C67630">
            <w:pPr>
              <w:pStyle w:val="342"/>
              <w:overflowPunct w:val="0"/>
              <w:snapToGrid w:val="0"/>
              <w:spacing w:line="300" w:lineRule="exact"/>
              <w:rPr>
                <w:rFonts w:hint="eastAsia" w:hAnsi="宋体"/>
                <w:snapToGrid w:val="0"/>
                <w:color w:val="000000" w:themeColor="text1"/>
                <w:sz w:val="21"/>
                <w:szCs w:val="21"/>
                <w14:textFill>
                  <w14:solidFill>
                    <w14:schemeClr w14:val="tx1"/>
                  </w14:solidFill>
                </w14:textFill>
              </w:rPr>
            </w:pPr>
            <w:r>
              <w:rPr>
                <w:rFonts w:hint="eastAsia" w:hAnsi="宋体"/>
                <w:snapToGrid w:val="0"/>
                <w:color w:val="000000" w:themeColor="text1"/>
                <w:sz w:val="21"/>
                <w:szCs w:val="21"/>
                <w14:textFill>
                  <w14:solidFill>
                    <w14:schemeClr w14:val="tx1"/>
                  </w14:solidFill>
                </w14:textFill>
              </w:rPr>
              <w:t>20</w:t>
            </w:r>
          </w:p>
        </w:tc>
        <w:tc>
          <w:tcPr>
            <w:tcW w:w="330" w:type="pct"/>
            <w:vAlign w:val="center"/>
          </w:tcPr>
          <w:p w14:paraId="09B0EFE9">
            <w:pPr>
              <w:pStyle w:val="342"/>
              <w:overflowPunct w:val="0"/>
              <w:snapToGrid w:val="0"/>
              <w:spacing w:line="300" w:lineRule="exact"/>
              <w:rPr>
                <w:rFonts w:hint="eastAsia" w:hAnsi="宋体"/>
                <w:snapToGrid w:val="0"/>
                <w:color w:val="000000" w:themeColor="text1"/>
                <w:sz w:val="21"/>
                <w:szCs w:val="21"/>
                <w14:textFill>
                  <w14:solidFill>
                    <w14:schemeClr w14:val="tx1"/>
                  </w14:solidFill>
                </w14:textFill>
              </w:rPr>
            </w:pPr>
            <w:r>
              <w:rPr>
                <w:rFonts w:hint="eastAsia" w:hAnsi="宋体"/>
                <w:snapToGrid w:val="0"/>
                <w:color w:val="000000" w:themeColor="text1"/>
                <w:sz w:val="21"/>
                <w:szCs w:val="21"/>
                <w14:textFill>
                  <w14:solidFill>
                    <w14:schemeClr w14:val="tx1"/>
                  </w14:solidFill>
                </w14:textFill>
              </w:rPr>
              <w:t>21</w:t>
            </w:r>
          </w:p>
        </w:tc>
        <w:tc>
          <w:tcPr>
            <w:tcW w:w="329" w:type="pct"/>
            <w:vAlign w:val="center"/>
          </w:tcPr>
          <w:p w14:paraId="63F07EFB">
            <w:pPr>
              <w:pStyle w:val="342"/>
              <w:overflowPunct w:val="0"/>
              <w:snapToGrid w:val="0"/>
              <w:spacing w:line="300" w:lineRule="exact"/>
              <w:rPr>
                <w:rFonts w:hint="eastAsia" w:hAnsi="宋体"/>
                <w:snapToGrid w:val="0"/>
                <w:color w:val="000000" w:themeColor="text1"/>
                <w:sz w:val="21"/>
                <w:szCs w:val="21"/>
                <w14:textFill>
                  <w14:solidFill>
                    <w14:schemeClr w14:val="tx1"/>
                  </w14:solidFill>
                </w14:textFill>
              </w:rPr>
            </w:pPr>
            <w:r>
              <w:rPr>
                <w:rFonts w:hint="eastAsia" w:hAnsi="宋体"/>
                <w:snapToGrid w:val="0"/>
                <w:color w:val="000000" w:themeColor="text1"/>
                <w:sz w:val="21"/>
                <w:szCs w:val="21"/>
                <w14:textFill>
                  <w14:solidFill>
                    <w14:schemeClr w14:val="tx1"/>
                  </w14:solidFill>
                </w14:textFill>
              </w:rPr>
              <w:t>0.5</w:t>
            </w:r>
          </w:p>
        </w:tc>
        <w:tc>
          <w:tcPr>
            <w:tcW w:w="686" w:type="pct"/>
            <w:vMerge w:val="continue"/>
            <w:vAlign w:val="center"/>
          </w:tcPr>
          <w:p w14:paraId="1C444C03">
            <w:pPr>
              <w:pStyle w:val="342"/>
              <w:overflowPunct w:val="0"/>
              <w:snapToGrid w:val="0"/>
              <w:spacing w:line="300" w:lineRule="exact"/>
              <w:rPr>
                <w:rFonts w:hint="eastAsia" w:hAnsi="宋体"/>
                <w:snapToGrid w:val="0"/>
                <w:color w:val="000000" w:themeColor="text1"/>
                <w:sz w:val="21"/>
                <w:szCs w:val="21"/>
                <w14:textFill>
                  <w14:solidFill>
                    <w14:schemeClr w14:val="tx1"/>
                  </w14:solidFill>
                </w14:textFill>
              </w:rPr>
            </w:pPr>
          </w:p>
        </w:tc>
        <w:tc>
          <w:tcPr>
            <w:tcW w:w="560" w:type="pct"/>
            <w:vMerge w:val="continue"/>
            <w:vAlign w:val="center"/>
          </w:tcPr>
          <w:p w14:paraId="0324C6FE">
            <w:pPr>
              <w:pStyle w:val="342"/>
              <w:overflowPunct w:val="0"/>
              <w:snapToGrid w:val="0"/>
              <w:spacing w:line="300" w:lineRule="exact"/>
              <w:rPr>
                <w:rFonts w:hint="eastAsia" w:hAnsi="宋体"/>
                <w:snapToGrid w:val="0"/>
                <w:color w:val="000000" w:themeColor="text1"/>
                <w:sz w:val="21"/>
                <w:szCs w:val="21"/>
                <w14:textFill>
                  <w14:solidFill>
                    <w14:schemeClr w14:val="tx1"/>
                  </w14:solidFill>
                </w14:textFill>
              </w:rPr>
            </w:pPr>
          </w:p>
        </w:tc>
      </w:tr>
      <w:tr w14:paraId="0F5CB70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636" w:type="pct"/>
            <w:vMerge w:val="restart"/>
            <w:vAlign w:val="center"/>
          </w:tcPr>
          <w:p w14:paraId="5ABFC546">
            <w:pPr>
              <w:pStyle w:val="342"/>
              <w:tabs>
                <w:tab w:val="left" w:pos="1333"/>
              </w:tabs>
              <w:overflowPunct w:val="0"/>
              <w:snapToGrid w:val="0"/>
              <w:spacing w:line="300" w:lineRule="exact"/>
              <w:rPr>
                <w:snapToGrid w:val="0"/>
                <w:color w:val="000000" w:themeColor="text1"/>
                <w:sz w:val="21"/>
                <w:szCs w:val="21"/>
                <w14:textFill>
                  <w14:solidFill>
                    <w14:schemeClr w14:val="tx1"/>
                  </w14:solidFill>
                </w14:textFill>
              </w:rPr>
            </w:pPr>
            <w:r>
              <w:rPr>
                <w:rFonts w:hint="eastAsia"/>
                <w:snapToGrid w:val="0"/>
                <w:color w:val="000000" w:themeColor="text1"/>
                <w:sz w:val="21"/>
                <w:szCs w:val="21"/>
                <w14:textFill>
                  <w14:solidFill>
                    <w14:schemeClr w14:val="tx1"/>
                  </w14:solidFill>
                </w14:textFill>
              </w:rPr>
              <w:t>JHW</w:t>
            </w:r>
            <w:r>
              <w:rPr>
                <w:snapToGrid w:val="0"/>
                <w:color w:val="000000" w:themeColor="text1"/>
                <w:sz w:val="21"/>
                <w:szCs w:val="21"/>
                <w14:textFill>
                  <w14:solidFill>
                    <w14:schemeClr w14:val="tx1"/>
                  </w14:solidFill>
                </w14:textFill>
              </w:rPr>
              <w:t>031</w:t>
            </w:r>
            <w:r>
              <w:rPr>
                <w:rFonts w:hint="eastAsia"/>
                <w:snapToGrid w:val="0"/>
                <w:color w:val="000000" w:themeColor="text1"/>
                <w:sz w:val="21"/>
                <w:szCs w:val="21"/>
                <w14:textFill>
                  <w14:solidFill>
                    <w14:schemeClr w14:val="tx1"/>
                  </w14:solidFill>
                </w14:textFill>
              </w:rPr>
              <w:t>和JHW</w:t>
            </w:r>
            <w:r>
              <w:rPr>
                <w:snapToGrid w:val="0"/>
                <w:color w:val="000000" w:themeColor="text1"/>
                <w:sz w:val="21"/>
                <w:szCs w:val="21"/>
                <w14:textFill>
                  <w14:solidFill>
                    <w14:schemeClr w14:val="tx1"/>
                  </w14:solidFill>
                </w14:textFill>
              </w:rPr>
              <w:t>03</w:t>
            </w:r>
            <w:r>
              <w:rPr>
                <w:rFonts w:hint="eastAsia"/>
                <w:snapToGrid w:val="0"/>
                <w:color w:val="000000" w:themeColor="text1"/>
                <w:sz w:val="21"/>
                <w:szCs w:val="21"/>
                <w14:textFill>
                  <w14:solidFill>
                    <w14:schemeClr w14:val="tx1"/>
                  </w14:solidFill>
                </w14:textFill>
              </w:rPr>
              <w:t>2</w:t>
            </w:r>
          </w:p>
        </w:tc>
        <w:tc>
          <w:tcPr>
            <w:tcW w:w="1125" w:type="pct"/>
            <w:vAlign w:val="center"/>
          </w:tcPr>
          <w:p w14:paraId="09FFE367">
            <w:pPr>
              <w:pStyle w:val="342"/>
              <w:tabs>
                <w:tab w:val="left" w:pos="1333"/>
              </w:tabs>
              <w:overflowPunct w:val="0"/>
              <w:snapToGrid w:val="0"/>
              <w:spacing w:line="300" w:lineRule="exact"/>
              <w:rPr>
                <w:snapToGrid w:val="0"/>
                <w:color w:val="000000" w:themeColor="text1"/>
                <w:sz w:val="21"/>
                <w:szCs w:val="21"/>
                <w14:textFill>
                  <w14:solidFill>
                    <w14:schemeClr w14:val="tx1"/>
                  </w14:solidFill>
                </w14:textFill>
              </w:rPr>
            </w:pPr>
            <w:r>
              <w:rPr>
                <w:rFonts w:hint="eastAsia"/>
                <w:snapToGrid w:val="0"/>
                <w:color w:val="000000" w:themeColor="text1"/>
                <w:sz w:val="21"/>
                <w:szCs w:val="21"/>
                <w14:textFill>
                  <w14:solidFill>
                    <w14:schemeClr w14:val="tx1"/>
                  </w14:solidFill>
                </w14:textFill>
              </w:rPr>
              <w:t>投捞式电潜螺杆泵</w:t>
            </w:r>
          </w:p>
        </w:tc>
        <w:tc>
          <w:tcPr>
            <w:tcW w:w="485" w:type="pct"/>
            <w:vAlign w:val="center"/>
          </w:tcPr>
          <w:p w14:paraId="38C39925">
            <w:pPr>
              <w:pStyle w:val="342"/>
              <w:tabs>
                <w:tab w:val="left" w:pos="1333"/>
              </w:tabs>
              <w:overflowPunct w:val="0"/>
              <w:snapToGrid w:val="0"/>
              <w:spacing w:line="300" w:lineRule="exact"/>
              <w:rPr>
                <w:snapToGrid w:val="0"/>
                <w:color w:val="000000" w:themeColor="text1"/>
                <w:sz w:val="21"/>
                <w:szCs w:val="21"/>
                <w14:textFill>
                  <w14:solidFill>
                    <w14:schemeClr w14:val="tx1"/>
                  </w14:solidFill>
                </w14:textFill>
              </w:rPr>
            </w:pPr>
            <w:r>
              <w:rPr>
                <w:rFonts w:hint="eastAsia"/>
                <w:snapToGrid w:val="0"/>
                <w:color w:val="000000" w:themeColor="text1"/>
                <w:sz w:val="21"/>
                <w:szCs w:val="21"/>
                <w14:textFill>
                  <w14:solidFill>
                    <w14:schemeClr w14:val="tx1"/>
                  </w14:solidFill>
                </w14:textFill>
              </w:rPr>
              <w:t>2</w:t>
            </w:r>
          </w:p>
        </w:tc>
        <w:tc>
          <w:tcPr>
            <w:tcW w:w="519" w:type="pct"/>
            <w:vAlign w:val="top"/>
          </w:tcPr>
          <w:p w14:paraId="42D6F928">
            <w:pPr>
              <w:pStyle w:val="342"/>
              <w:overflowPunct w:val="0"/>
              <w:snapToGrid w:val="0"/>
              <w:spacing w:line="300" w:lineRule="exact"/>
              <w:rPr>
                <w:rFonts w:hint="eastAsia" w:hAnsi="宋体"/>
                <w:snapToGrid w:val="0"/>
                <w:color w:val="000000" w:themeColor="text1"/>
                <w:sz w:val="21"/>
                <w:szCs w:val="21"/>
                <w14:textFill>
                  <w14:solidFill>
                    <w14:schemeClr w14:val="tx1"/>
                  </w14:solidFill>
                </w14:textFill>
              </w:rPr>
            </w:pPr>
            <w:r>
              <w:rPr>
                <w:rFonts w:hint="eastAsia" w:hAnsi="宋体"/>
                <w:snapToGrid w:val="0"/>
                <w:color w:val="000000" w:themeColor="text1"/>
                <w:sz w:val="21"/>
                <w:szCs w:val="21"/>
                <w14:textFill>
                  <w14:solidFill>
                    <w14:schemeClr w14:val="tx1"/>
                  </w14:solidFill>
                </w14:textFill>
              </w:rPr>
              <w:t>85-90</w:t>
            </w:r>
          </w:p>
        </w:tc>
        <w:tc>
          <w:tcPr>
            <w:tcW w:w="330" w:type="pct"/>
            <w:vAlign w:val="center"/>
          </w:tcPr>
          <w:p w14:paraId="4C214FC4">
            <w:pPr>
              <w:pStyle w:val="342"/>
              <w:overflowPunct w:val="0"/>
              <w:snapToGrid w:val="0"/>
              <w:spacing w:line="300" w:lineRule="exact"/>
              <w:rPr>
                <w:rFonts w:hint="eastAsia" w:hAnsi="宋体"/>
                <w:snapToGrid w:val="0"/>
                <w:color w:val="000000" w:themeColor="text1"/>
                <w:sz w:val="21"/>
                <w:szCs w:val="21"/>
                <w14:textFill>
                  <w14:solidFill>
                    <w14:schemeClr w14:val="tx1"/>
                  </w14:solidFill>
                </w14:textFill>
              </w:rPr>
            </w:pPr>
            <w:r>
              <w:rPr>
                <w:rFonts w:hint="eastAsia" w:hAnsi="宋体"/>
                <w:snapToGrid w:val="0"/>
                <w:color w:val="000000" w:themeColor="text1"/>
                <w:sz w:val="21"/>
                <w:szCs w:val="21"/>
                <w14:textFill>
                  <w14:solidFill>
                    <w14:schemeClr w14:val="tx1"/>
                  </w14:solidFill>
                </w14:textFill>
              </w:rPr>
              <w:t>27</w:t>
            </w:r>
          </w:p>
        </w:tc>
        <w:tc>
          <w:tcPr>
            <w:tcW w:w="330" w:type="pct"/>
            <w:vAlign w:val="center"/>
          </w:tcPr>
          <w:p w14:paraId="34FE030C">
            <w:pPr>
              <w:pStyle w:val="342"/>
              <w:overflowPunct w:val="0"/>
              <w:snapToGrid w:val="0"/>
              <w:spacing w:line="300" w:lineRule="exact"/>
              <w:rPr>
                <w:rFonts w:hint="eastAsia" w:hAnsi="宋体"/>
                <w:snapToGrid w:val="0"/>
                <w:color w:val="000000" w:themeColor="text1"/>
                <w:sz w:val="21"/>
                <w:szCs w:val="21"/>
                <w14:textFill>
                  <w14:solidFill>
                    <w14:schemeClr w14:val="tx1"/>
                  </w14:solidFill>
                </w14:textFill>
              </w:rPr>
            </w:pPr>
            <w:r>
              <w:rPr>
                <w:rFonts w:hint="eastAsia" w:hAnsi="宋体"/>
                <w:snapToGrid w:val="0"/>
                <w:color w:val="000000" w:themeColor="text1"/>
                <w:sz w:val="21"/>
                <w:szCs w:val="21"/>
                <w14:textFill>
                  <w14:solidFill>
                    <w14:schemeClr w14:val="tx1"/>
                  </w14:solidFill>
                </w14:textFill>
              </w:rPr>
              <w:t>25</w:t>
            </w:r>
          </w:p>
        </w:tc>
        <w:tc>
          <w:tcPr>
            <w:tcW w:w="329" w:type="pct"/>
            <w:vAlign w:val="center"/>
          </w:tcPr>
          <w:p w14:paraId="0FC7ABF8">
            <w:pPr>
              <w:pStyle w:val="342"/>
              <w:overflowPunct w:val="0"/>
              <w:snapToGrid w:val="0"/>
              <w:spacing w:line="300" w:lineRule="exact"/>
              <w:rPr>
                <w:rFonts w:hint="eastAsia" w:hAnsi="宋体"/>
                <w:snapToGrid w:val="0"/>
                <w:color w:val="000000" w:themeColor="text1"/>
                <w:sz w:val="21"/>
                <w:szCs w:val="21"/>
                <w14:textFill>
                  <w14:solidFill>
                    <w14:schemeClr w14:val="tx1"/>
                  </w14:solidFill>
                </w14:textFill>
              </w:rPr>
            </w:pPr>
            <w:r>
              <w:rPr>
                <w:rFonts w:hint="eastAsia" w:hAnsi="宋体"/>
                <w:snapToGrid w:val="0"/>
                <w:color w:val="000000" w:themeColor="text1"/>
                <w:sz w:val="21"/>
                <w:szCs w:val="21"/>
                <w14:textFill>
                  <w14:solidFill>
                    <w14:schemeClr w14:val="tx1"/>
                  </w14:solidFill>
                </w14:textFill>
              </w:rPr>
              <w:t>0.5</w:t>
            </w:r>
          </w:p>
        </w:tc>
        <w:tc>
          <w:tcPr>
            <w:tcW w:w="686" w:type="pct"/>
            <w:vMerge w:val="continue"/>
            <w:vAlign w:val="center"/>
          </w:tcPr>
          <w:p w14:paraId="7A1CFCF1">
            <w:pPr>
              <w:pStyle w:val="342"/>
              <w:overflowPunct w:val="0"/>
              <w:snapToGrid w:val="0"/>
              <w:spacing w:line="300" w:lineRule="exact"/>
              <w:rPr>
                <w:rFonts w:hint="eastAsia" w:hAnsi="宋体"/>
                <w:snapToGrid w:val="0"/>
                <w:color w:val="000000" w:themeColor="text1"/>
                <w:sz w:val="21"/>
                <w:szCs w:val="21"/>
                <w14:textFill>
                  <w14:solidFill>
                    <w14:schemeClr w14:val="tx1"/>
                  </w14:solidFill>
                </w14:textFill>
              </w:rPr>
            </w:pPr>
          </w:p>
        </w:tc>
        <w:tc>
          <w:tcPr>
            <w:tcW w:w="560" w:type="pct"/>
            <w:vMerge w:val="continue"/>
            <w:vAlign w:val="center"/>
          </w:tcPr>
          <w:p w14:paraId="45209E10">
            <w:pPr>
              <w:pStyle w:val="342"/>
              <w:overflowPunct w:val="0"/>
              <w:snapToGrid w:val="0"/>
              <w:spacing w:line="300" w:lineRule="exact"/>
              <w:rPr>
                <w:rFonts w:hint="eastAsia" w:hAnsi="宋体"/>
                <w:snapToGrid w:val="0"/>
                <w:color w:val="000000" w:themeColor="text1"/>
                <w:sz w:val="21"/>
                <w:szCs w:val="21"/>
                <w14:textFill>
                  <w14:solidFill>
                    <w14:schemeClr w14:val="tx1"/>
                  </w14:solidFill>
                </w14:textFill>
              </w:rPr>
            </w:pPr>
          </w:p>
        </w:tc>
      </w:tr>
      <w:tr w14:paraId="28A117C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636" w:type="pct"/>
            <w:vMerge w:val="continue"/>
            <w:vAlign w:val="center"/>
          </w:tcPr>
          <w:p w14:paraId="72E6AB55">
            <w:pPr>
              <w:pStyle w:val="342"/>
              <w:tabs>
                <w:tab w:val="left" w:pos="1333"/>
              </w:tabs>
              <w:overflowPunct w:val="0"/>
              <w:snapToGrid w:val="0"/>
              <w:spacing w:line="300" w:lineRule="exact"/>
              <w:rPr>
                <w:snapToGrid w:val="0"/>
                <w:color w:val="000000" w:themeColor="text1"/>
                <w:sz w:val="21"/>
                <w:szCs w:val="21"/>
                <w14:textFill>
                  <w14:solidFill>
                    <w14:schemeClr w14:val="tx1"/>
                  </w14:solidFill>
                </w14:textFill>
              </w:rPr>
            </w:pPr>
          </w:p>
        </w:tc>
        <w:tc>
          <w:tcPr>
            <w:tcW w:w="1125" w:type="pct"/>
            <w:vAlign w:val="center"/>
          </w:tcPr>
          <w:p w14:paraId="1647DEA2">
            <w:pPr>
              <w:pStyle w:val="342"/>
              <w:tabs>
                <w:tab w:val="left" w:pos="1333"/>
              </w:tabs>
              <w:overflowPunct w:val="0"/>
              <w:snapToGrid w:val="0"/>
              <w:spacing w:line="300" w:lineRule="exact"/>
              <w:rPr>
                <w:snapToGrid w:val="0"/>
                <w:color w:val="000000" w:themeColor="text1"/>
                <w:sz w:val="21"/>
                <w:szCs w:val="21"/>
                <w14:textFill>
                  <w14:solidFill>
                    <w14:schemeClr w14:val="tx1"/>
                  </w14:solidFill>
                </w14:textFill>
              </w:rPr>
            </w:pPr>
            <w:r>
              <w:rPr>
                <w:rFonts w:hint="eastAsia"/>
                <w:snapToGrid w:val="0"/>
                <w:color w:val="000000" w:themeColor="text1"/>
                <w:sz w:val="21"/>
                <w:szCs w:val="21"/>
                <w14:textFill>
                  <w14:solidFill>
                    <w14:schemeClr w14:val="tx1"/>
                  </w14:solidFill>
                </w14:textFill>
              </w:rPr>
              <w:t>高压往复泵</w:t>
            </w:r>
          </w:p>
        </w:tc>
        <w:tc>
          <w:tcPr>
            <w:tcW w:w="485" w:type="pct"/>
            <w:vAlign w:val="center"/>
          </w:tcPr>
          <w:p w14:paraId="5E349EFA">
            <w:pPr>
              <w:pStyle w:val="342"/>
              <w:tabs>
                <w:tab w:val="left" w:pos="1333"/>
              </w:tabs>
              <w:overflowPunct w:val="0"/>
              <w:snapToGrid w:val="0"/>
              <w:spacing w:line="300" w:lineRule="exact"/>
              <w:rPr>
                <w:snapToGrid w:val="0"/>
                <w:color w:val="000000" w:themeColor="text1"/>
                <w:sz w:val="21"/>
                <w:szCs w:val="21"/>
                <w14:textFill>
                  <w14:solidFill>
                    <w14:schemeClr w14:val="tx1"/>
                  </w14:solidFill>
                </w14:textFill>
              </w:rPr>
            </w:pPr>
            <w:r>
              <w:rPr>
                <w:rFonts w:hint="eastAsia"/>
                <w:snapToGrid w:val="0"/>
                <w:color w:val="000000" w:themeColor="text1"/>
                <w:sz w:val="21"/>
                <w:szCs w:val="21"/>
                <w14:textFill>
                  <w14:solidFill>
                    <w14:schemeClr w14:val="tx1"/>
                  </w14:solidFill>
                </w14:textFill>
              </w:rPr>
              <w:t>2</w:t>
            </w:r>
          </w:p>
        </w:tc>
        <w:tc>
          <w:tcPr>
            <w:tcW w:w="519" w:type="pct"/>
            <w:vAlign w:val="top"/>
          </w:tcPr>
          <w:p w14:paraId="23C3CA84">
            <w:pPr>
              <w:pStyle w:val="342"/>
              <w:overflowPunct w:val="0"/>
              <w:snapToGrid w:val="0"/>
              <w:spacing w:line="300" w:lineRule="exact"/>
              <w:rPr>
                <w:rFonts w:hint="eastAsia" w:hAnsi="宋体"/>
                <w:snapToGrid w:val="0"/>
                <w:color w:val="000000" w:themeColor="text1"/>
                <w:sz w:val="21"/>
                <w:szCs w:val="21"/>
                <w14:textFill>
                  <w14:solidFill>
                    <w14:schemeClr w14:val="tx1"/>
                  </w14:solidFill>
                </w14:textFill>
              </w:rPr>
            </w:pPr>
            <w:r>
              <w:rPr>
                <w:rFonts w:hint="eastAsia" w:hAnsi="宋体"/>
                <w:snapToGrid w:val="0"/>
                <w:color w:val="000000" w:themeColor="text1"/>
                <w:sz w:val="21"/>
                <w:szCs w:val="21"/>
                <w14:textFill>
                  <w14:solidFill>
                    <w14:schemeClr w14:val="tx1"/>
                  </w14:solidFill>
                </w14:textFill>
              </w:rPr>
              <w:t>85-90</w:t>
            </w:r>
          </w:p>
        </w:tc>
        <w:tc>
          <w:tcPr>
            <w:tcW w:w="330" w:type="pct"/>
            <w:vAlign w:val="center"/>
          </w:tcPr>
          <w:p w14:paraId="293D00CC">
            <w:pPr>
              <w:pStyle w:val="342"/>
              <w:overflowPunct w:val="0"/>
              <w:snapToGrid w:val="0"/>
              <w:spacing w:line="300" w:lineRule="exact"/>
              <w:rPr>
                <w:rFonts w:hint="eastAsia" w:hAnsi="宋体"/>
                <w:snapToGrid w:val="0"/>
                <w:color w:val="000000" w:themeColor="text1"/>
                <w:sz w:val="21"/>
                <w:szCs w:val="21"/>
                <w14:textFill>
                  <w14:solidFill>
                    <w14:schemeClr w14:val="tx1"/>
                  </w14:solidFill>
                </w14:textFill>
              </w:rPr>
            </w:pPr>
            <w:r>
              <w:rPr>
                <w:rFonts w:hint="eastAsia" w:hAnsi="宋体"/>
                <w:snapToGrid w:val="0"/>
                <w:color w:val="000000" w:themeColor="text1"/>
                <w:sz w:val="21"/>
                <w:szCs w:val="21"/>
                <w14:textFill>
                  <w14:solidFill>
                    <w14:schemeClr w14:val="tx1"/>
                  </w14:solidFill>
                </w14:textFill>
              </w:rPr>
              <w:t>14</w:t>
            </w:r>
          </w:p>
        </w:tc>
        <w:tc>
          <w:tcPr>
            <w:tcW w:w="330" w:type="pct"/>
            <w:vAlign w:val="center"/>
          </w:tcPr>
          <w:p w14:paraId="24545998">
            <w:pPr>
              <w:pStyle w:val="342"/>
              <w:overflowPunct w:val="0"/>
              <w:snapToGrid w:val="0"/>
              <w:spacing w:line="300" w:lineRule="exact"/>
              <w:rPr>
                <w:rFonts w:hint="eastAsia" w:hAnsi="宋体"/>
                <w:snapToGrid w:val="0"/>
                <w:color w:val="000000" w:themeColor="text1"/>
                <w:sz w:val="21"/>
                <w:szCs w:val="21"/>
                <w14:textFill>
                  <w14:solidFill>
                    <w14:schemeClr w14:val="tx1"/>
                  </w14:solidFill>
                </w14:textFill>
              </w:rPr>
            </w:pPr>
            <w:r>
              <w:rPr>
                <w:rFonts w:hint="eastAsia" w:hAnsi="宋体"/>
                <w:snapToGrid w:val="0"/>
                <w:color w:val="000000" w:themeColor="text1"/>
                <w:sz w:val="21"/>
                <w:szCs w:val="21"/>
                <w14:textFill>
                  <w14:solidFill>
                    <w14:schemeClr w14:val="tx1"/>
                  </w14:solidFill>
                </w14:textFill>
              </w:rPr>
              <w:t>12</w:t>
            </w:r>
          </w:p>
        </w:tc>
        <w:tc>
          <w:tcPr>
            <w:tcW w:w="329" w:type="pct"/>
            <w:vAlign w:val="center"/>
          </w:tcPr>
          <w:p w14:paraId="52FDDAA2">
            <w:pPr>
              <w:pStyle w:val="342"/>
              <w:overflowPunct w:val="0"/>
              <w:snapToGrid w:val="0"/>
              <w:spacing w:line="300" w:lineRule="exact"/>
              <w:rPr>
                <w:rFonts w:hint="eastAsia" w:hAnsi="宋体"/>
                <w:snapToGrid w:val="0"/>
                <w:color w:val="000000" w:themeColor="text1"/>
                <w:sz w:val="21"/>
                <w:szCs w:val="21"/>
                <w14:textFill>
                  <w14:solidFill>
                    <w14:schemeClr w14:val="tx1"/>
                  </w14:solidFill>
                </w14:textFill>
              </w:rPr>
            </w:pPr>
            <w:r>
              <w:rPr>
                <w:rFonts w:hint="eastAsia" w:hAnsi="宋体"/>
                <w:snapToGrid w:val="0"/>
                <w:color w:val="000000" w:themeColor="text1"/>
                <w:sz w:val="21"/>
                <w:szCs w:val="21"/>
                <w14:textFill>
                  <w14:solidFill>
                    <w14:schemeClr w14:val="tx1"/>
                  </w14:solidFill>
                </w14:textFill>
              </w:rPr>
              <w:t>0.5</w:t>
            </w:r>
          </w:p>
        </w:tc>
        <w:tc>
          <w:tcPr>
            <w:tcW w:w="686" w:type="pct"/>
            <w:vMerge w:val="continue"/>
            <w:vAlign w:val="center"/>
          </w:tcPr>
          <w:p w14:paraId="6FB95E74">
            <w:pPr>
              <w:pStyle w:val="342"/>
              <w:overflowPunct w:val="0"/>
              <w:snapToGrid w:val="0"/>
              <w:spacing w:line="300" w:lineRule="exact"/>
              <w:rPr>
                <w:rFonts w:hint="eastAsia" w:hAnsi="宋体"/>
                <w:snapToGrid w:val="0"/>
                <w:color w:val="000000" w:themeColor="text1"/>
                <w:sz w:val="21"/>
                <w:szCs w:val="21"/>
                <w14:textFill>
                  <w14:solidFill>
                    <w14:schemeClr w14:val="tx1"/>
                  </w14:solidFill>
                </w14:textFill>
              </w:rPr>
            </w:pPr>
          </w:p>
        </w:tc>
        <w:tc>
          <w:tcPr>
            <w:tcW w:w="560" w:type="pct"/>
            <w:vMerge w:val="continue"/>
            <w:vAlign w:val="center"/>
          </w:tcPr>
          <w:p w14:paraId="35696DAB">
            <w:pPr>
              <w:pStyle w:val="342"/>
              <w:overflowPunct w:val="0"/>
              <w:snapToGrid w:val="0"/>
              <w:spacing w:line="300" w:lineRule="exact"/>
              <w:rPr>
                <w:rFonts w:hint="eastAsia" w:hAnsi="宋体"/>
                <w:snapToGrid w:val="0"/>
                <w:color w:val="000000" w:themeColor="text1"/>
                <w:sz w:val="21"/>
                <w:szCs w:val="21"/>
                <w14:textFill>
                  <w14:solidFill>
                    <w14:schemeClr w14:val="tx1"/>
                  </w14:solidFill>
                </w14:textFill>
              </w:rPr>
            </w:pPr>
          </w:p>
        </w:tc>
      </w:tr>
      <w:tr w14:paraId="1D00170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636" w:type="pct"/>
            <w:vMerge w:val="continue"/>
            <w:vAlign w:val="center"/>
          </w:tcPr>
          <w:p w14:paraId="471930C3">
            <w:pPr>
              <w:pStyle w:val="342"/>
              <w:tabs>
                <w:tab w:val="left" w:pos="1333"/>
              </w:tabs>
              <w:overflowPunct w:val="0"/>
              <w:snapToGrid w:val="0"/>
              <w:spacing w:line="300" w:lineRule="exact"/>
              <w:rPr>
                <w:snapToGrid w:val="0"/>
                <w:color w:val="000000" w:themeColor="text1"/>
                <w:sz w:val="21"/>
                <w:szCs w:val="21"/>
                <w14:textFill>
                  <w14:solidFill>
                    <w14:schemeClr w14:val="tx1"/>
                  </w14:solidFill>
                </w14:textFill>
              </w:rPr>
            </w:pPr>
          </w:p>
        </w:tc>
        <w:tc>
          <w:tcPr>
            <w:tcW w:w="1125" w:type="pct"/>
            <w:vAlign w:val="center"/>
          </w:tcPr>
          <w:p w14:paraId="2C708707">
            <w:pPr>
              <w:pStyle w:val="342"/>
              <w:tabs>
                <w:tab w:val="left" w:pos="1333"/>
              </w:tabs>
              <w:overflowPunct w:val="0"/>
              <w:snapToGrid w:val="0"/>
              <w:spacing w:line="300" w:lineRule="exact"/>
              <w:rPr>
                <w:snapToGrid w:val="0"/>
                <w:color w:val="000000" w:themeColor="text1"/>
                <w:sz w:val="21"/>
                <w:szCs w:val="21"/>
                <w14:textFill>
                  <w14:solidFill>
                    <w14:schemeClr w14:val="tx1"/>
                  </w14:solidFill>
                </w14:textFill>
              </w:rPr>
            </w:pPr>
            <w:r>
              <w:rPr>
                <w:rFonts w:hint="eastAsia"/>
                <w:snapToGrid w:val="0"/>
                <w:color w:val="000000" w:themeColor="text1"/>
                <w:sz w:val="21"/>
                <w:szCs w:val="21"/>
                <w14:textFill>
                  <w14:solidFill>
                    <w14:schemeClr w14:val="tx1"/>
                  </w14:solidFill>
                </w14:textFill>
              </w:rPr>
              <w:t>二氧化碳专用泵</w:t>
            </w:r>
          </w:p>
        </w:tc>
        <w:tc>
          <w:tcPr>
            <w:tcW w:w="485" w:type="pct"/>
            <w:vAlign w:val="center"/>
          </w:tcPr>
          <w:p w14:paraId="73F8D761">
            <w:pPr>
              <w:pStyle w:val="342"/>
              <w:tabs>
                <w:tab w:val="left" w:pos="1333"/>
              </w:tabs>
              <w:overflowPunct w:val="0"/>
              <w:snapToGrid w:val="0"/>
              <w:spacing w:line="300" w:lineRule="exact"/>
              <w:rPr>
                <w:snapToGrid w:val="0"/>
                <w:color w:val="000000" w:themeColor="text1"/>
                <w:sz w:val="21"/>
                <w:szCs w:val="21"/>
                <w14:textFill>
                  <w14:solidFill>
                    <w14:schemeClr w14:val="tx1"/>
                  </w14:solidFill>
                </w14:textFill>
              </w:rPr>
            </w:pPr>
            <w:r>
              <w:rPr>
                <w:rFonts w:hint="eastAsia"/>
                <w:snapToGrid w:val="0"/>
                <w:color w:val="000000" w:themeColor="text1"/>
                <w:sz w:val="21"/>
                <w:szCs w:val="21"/>
                <w14:textFill>
                  <w14:solidFill>
                    <w14:schemeClr w14:val="tx1"/>
                  </w14:solidFill>
                </w14:textFill>
              </w:rPr>
              <w:t>2</w:t>
            </w:r>
          </w:p>
        </w:tc>
        <w:tc>
          <w:tcPr>
            <w:tcW w:w="519" w:type="pct"/>
            <w:vAlign w:val="top"/>
          </w:tcPr>
          <w:p w14:paraId="2C6B9B27">
            <w:pPr>
              <w:pStyle w:val="342"/>
              <w:overflowPunct w:val="0"/>
              <w:snapToGrid w:val="0"/>
              <w:spacing w:line="300" w:lineRule="exact"/>
              <w:rPr>
                <w:rFonts w:hint="eastAsia" w:hAnsi="宋体"/>
                <w:snapToGrid w:val="0"/>
                <w:color w:val="000000" w:themeColor="text1"/>
                <w:sz w:val="21"/>
                <w:szCs w:val="21"/>
                <w14:textFill>
                  <w14:solidFill>
                    <w14:schemeClr w14:val="tx1"/>
                  </w14:solidFill>
                </w14:textFill>
              </w:rPr>
            </w:pPr>
            <w:r>
              <w:rPr>
                <w:rFonts w:hint="eastAsia" w:hAnsi="宋体"/>
                <w:snapToGrid w:val="0"/>
                <w:color w:val="000000" w:themeColor="text1"/>
                <w:sz w:val="21"/>
                <w:szCs w:val="21"/>
                <w14:textFill>
                  <w14:solidFill>
                    <w14:schemeClr w14:val="tx1"/>
                  </w14:solidFill>
                </w14:textFill>
              </w:rPr>
              <w:t>85-90</w:t>
            </w:r>
          </w:p>
        </w:tc>
        <w:tc>
          <w:tcPr>
            <w:tcW w:w="330" w:type="pct"/>
            <w:vAlign w:val="center"/>
          </w:tcPr>
          <w:p w14:paraId="372BE4D6">
            <w:pPr>
              <w:pStyle w:val="342"/>
              <w:overflowPunct w:val="0"/>
              <w:snapToGrid w:val="0"/>
              <w:spacing w:line="300" w:lineRule="exact"/>
              <w:rPr>
                <w:rFonts w:hint="eastAsia" w:hAnsi="宋体"/>
                <w:snapToGrid w:val="0"/>
                <w:color w:val="000000" w:themeColor="text1"/>
                <w:sz w:val="21"/>
                <w:szCs w:val="21"/>
                <w14:textFill>
                  <w14:solidFill>
                    <w14:schemeClr w14:val="tx1"/>
                  </w14:solidFill>
                </w14:textFill>
              </w:rPr>
            </w:pPr>
            <w:r>
              <w:rPr>
                <w:rFonts w:hint="eastAsia" w:hAnsi="宋体"/>
                <w:snapToGrid w:val="0"/>
                <w:color w:val="000000" w:themeColor="text1"/>
                <w:sz w:val="21"/>
                <w:szCs w:val="21"/>
                <w14:textFill>
                  <w14:solidFill>
                    <w14:schemeClr w14:val="tx1"/>
                  </w14:solidFill>
                </w14:textFill>
              </w:rPr>
              <w:t>14</w:t>
            </w:r>
          </w:p>
        </w:tc>
        <w:tc>
          <w:tcPr>
            <w:tcW w:w="330" w:type="pct"/>
            <w:vAlign w:val="center"/>
          </w:tcPr>
          <w:p w14:paraId="29F6AC07">
            <w:pPr>
              <w:pStyle w:val="342"/>
              <w:overflowPunct w:val="0"/>
              <w:snapToGrid w:val="0"/>
              <w:spacing w:line="300" w:lineRule="exact"/>
              <w:rPr>
                <w:rFonts w:hint="eastAsia" w:hAnsi="宋体"/>
                <w:snapToGrid w:val="0"/>
                <w:color w:val="000000" w:themeColor="text1"/>
                <w:sz w:val="21"/>
                <w:szCs w:val="21"/>
                <w14:textFill>
                  <w14:solidFill>
                    <w14:schemeClr w14:val="tx1"/>
                  </w14:solidFill>
                </w14:textFill>
              </w:rPr>
            </w:pPr>
            <w:r>
              <w:rPr>
                <w:rFonts w:hint="eastAsia" w:hAnsi="宋体"/>
                <w:snapToGrid w:val="0"/>
                <w:color w:val="000000" w:themeColor="text1"/>
                <w:sz w:val="21"/>
                <w:szCs w:val="21"/>
                <w14:textFill>
                  <w14:solidFill>
                    <w14:schemeClr w14:val="tx1"/>
                  </w14:solidFill>
                </w14:textFill>
              </w:rPr>
              <w:t>8</w:t>
            </w:r>
          </w:p>
        </w:tc>
        <w:tc>
          <w:tcPr>
            <w:tcW w:w="329" w:type="pct"/>
            <w:vAlign w:val="center"/>
          </w:tcPr>
          <w:p w14:paraId="77324A8D">
            <w:pPr>
              <w:pStyle w:val="342"/>
              <w:overflowPunct w:val="0"/>
              <w:snapToGrid w:val="0"/>
              <w:spacing w:line="300" w:lineRule="exact"/>
              <w:rPr>
                <w:rFonts w:hint="eastAsia" w:hAnsi="宋体"/>
                <w:snapToGrid w:val="0"/>
                <w:color w:val="000000" w:themeColor="text1"/>
                <w:sz w:val="21"/>
                <w:szCs w:val="21"/>
                <w14:textFill>
                  <w14:solidFill>
                    <w14:schemeClr w14:val="tx1"/>
                  </w14:solidFill>
                </w14:textFill>
              </w:rPr>
            </w:pPr>
            <w:r>
              <w:rPr>
                <w:rFonts w:hint="eastAsia" w:hAnsi="宋体"/>
                <w:snapToGrid w:val="0"/>
                <w:color w:val="000000" w:themeColor="text1"/>
                <w:sz w:val="21"/>
                <w:szCs w:val="21"/>
                <w14:textFill>
                  <w14:solidFill>
                    <w14:schemeClr w14:val="tx1"/>
                  </w14:solidFill>
                </w14:textFill>
              </w:rPr>
              <w:t>0.5</w:t>
            </w:r>
          </w:p>
        </w:tc>
        <w:tc>
          <w:tcPr>
            <w:tcW w:w="686" w:type="pct"/>
            <w:vMerge w:val="continue"/>
            <w:vAlign w:val="center"/>
          </w:tcPr>
          <w:p w14:paraId="5F630466">
            <w:pPr>
              <w:pStyle w:val="342"/>
              <w:overflowPunct w:val="0"/>
              <w:snapToGrid w:val="0"/>
              <w:spacing w:line="300" w:lineRule="exact"/>
              <w:rPr>
                <w:rFonts w:hint="eastAsia" w:hAnsi="宋体"/>
                <w:snapToGrid w:val="0"/>
                <w:color w:val="000000" w:themeColor="text1"/>
                <w:sz w:val="21"/>
                <w:szCs w:val="21"/>
                <w14:textFill>
                  <w14:solidFill>
                    <w14:schemeClr w14:val="tx1"/>
                  </w14:solidFill>
                </w14:textFill>
              </w:rPr>
            </w:pPr>
          </w:p>
        </w:tc>
        <w:tc>
          <w:tcPr>
            <w:tcW w:w="560" w:type="pct"/>
            <w:vMerge w:val="continue"/>
            <w:vAlign w:val="center"/>
          </w:tcPr>
          <w:p w14:paraId="74AC9C96">
            <w:pPr>
              <w:pStyle w:val="342"/>
              <w:overflowPunct w:val="0"/>
              <w:snapToGrid w:val="0"/>
              <w:spacing w:line="300" w:lineRule="exact"/>
              <w:rPr>
                <w:rFonts w:hint="eastAsia" w:hAnsi="宋体"/>
                <w:snapToGrid w:val="0"/>
                <w:color w:val="000000" w:themeColor="text1"/>
                <w:sz w:val="21"/>
                <w:szCs w:val="21"/>
                <w14:textFill>
                  <w14:solidFill>
                    <w14:schemeClr w14:val="tx1"/>
                  </w14:solidFill>
                </w14:textFill>
              </w:rPr>
            </w:pPr>
          </w:p>
        </w:tc>
      </w:tr>
      <w:tr w14:paraId="64EA0E9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636" w:type="pct"/>
            <w:vMerge w:val="continue"/>
            <w:vAlign w:val="center"/>
          </w:tcPr>
          <w:p w14:paraId="27808784">
            <w:pPr>
              <w:pStyle w:val="342"/>
              <w:tabs>
                <w:tab w:val="left" w:pos="1333"/>
              </w:tabs>
              <w:overflowPunct w:val="0"/>
              <w:snapToGrid w:val="0"/>
              <w:spacing w:line="300" w:lineRule="exact"/>
              <w:rPr>
                <w:snapToGrid w:val="0"/>
                <w:color w:val="000000" w:themeColor="text1"/>
                <w:sz w:val="21"/>
                <w:szCs w:val="21"/>
                <w14:textFill>
                  <w14:solidFill>
                    <w14:schemeClr w14:val="tx1"/>
                  </w14:solidFill>
                </w14:textFill>
              </w:rPr>
            </w:pPr>
          </w:p>
        </w:tc>
        <w:tc>
          <w:tcPr>
            <w:tcW w:w="1125" w:type="pct"/>
            <w:vAlign w:val="center"/>
          </w:tcPr>
          <w:p w14:paraId="08DBA53A">
            <w:pPr>
              <w:pStyle w:val="342"/>
              <w:tabs>
                <w:tab w:val="left" w:pos="1333"/>
              </w:tabs>
              <w:overflowPunct w:val="0"/>
              <w:snapToGrid w:val="0"/>
              <w:spacing w:line="300" w:lineRule="exact"/>
              <w:rPr>
                <w:snapToGrid w:val="0"/>
                <w:color w:val="000000" w:themeColor="text1"/>
                <w:sz w:val="21"/>
                <w:szCs w:val="21"/>
                <w14:textFill>
                  <w14:solidFill>
                    <w14:schemeClr w14:val="tx1"/>
                  </w14:solidFill>
                </w14:textFill>
              </w:rPr>
            </w:pPr>
            <w:r>
              <w:rPr>
                <w:rFonts w:hint="eastAsia"/>
                <w:snapToGrid w:val="0"/>
                <w:color w:val="000000" w:themeColor="text1"/>
                <w:sz w:val="21"/>
                <w:szCs w:val="21"/>
                <w14:textFill>
                  <w14:solidFill>
                    <w14:schemeClr w14:val="tx1"/>
                  </w14:solidFill>
                </w14:textFill>
              </w:rPr>
              <w:t>隔爆屏蔽泵</w:t>
            </w:r>
          </w:p>
        </w:tc>
        <w:tc>
          <w:tcPr>
            <w:tcW w:w="485" w:type="pct"/>
            <w:vAlign w:val="center"/>
          </w:tcPr>
          <w:p w14:paraId="6D5E667A">
            <w:pPr>
              <w:pStyle w:val="342"/>
              <w:tabs>
                <w:tab w:val="left" w:pos="1333"/>
              </w:tabs>
              <w:overflowPunct w:val="0"/>
              <w:snapToGrid w:val="0"/>
              <w:spacing w:line="300" w:lineRule="exact"/>
              <w:rPr>
                <w:snapToGrid w:val="0"/>
                <w:color w:val="000000" w:themeColor="text1"/>
                <w:sz w:val="21"/>
                <w:szCs w:val="21"/>
                <w14:textFill>
                  <w14:solidFill>
                    <w14:schemeClr w14:val="tx1"/>
                  </w14:solidFill>
                </w14:textFill>
              </w:rPr>
            </w:pPr>
            <w:r>
              <w:rPr>
                <w:rFonts w:hint="eastAsia"/>
                <w:snapToGrid w:val="0"/>
                <w:color w:val="000000" w:themeColor="text1"/>
                <w:sz w:val="21"/>
                <w:szCs w:val="21"/>
                <w14:textFill>
                  <w14:solidFill>
                    <w14:schemeClr w14:val="tx1"/>
                  </w14:solidFill>
                </w14:textFill>
              </w:rPr>
              <w:t>1</w:t>
            </w:r>
          </w:p>
        </w:tc>
        <w:tc>
          <w:tcPr>
            <w:tcW w:w="519" w:type="pct"/>
            <w:vAlign w:val="top"/>
          </w:tcPr>
          <w:p w14:paraId="598E504D">
            <w:pPr>
              <w:pStyle w:val="342"/>
              <w:overflowPunct w:val="0"/>
              <w:snapToGrid w:val="0"/>
              <w:spacing w:line="300" w:lineRule="exact"/>
              <w:rPr>
                <w:rFonts w:hint="eastAsia" w:hAnsi="宋体"/>
                <w:snapToGrid w:val="0"/>
                <w:color w:val="000000" w:themeColor="text1"/>
                <w:sz w:val="21"/>
                <w:szCs w:val="21"/>
                <w14:textFill>
                  <w14:solidFill>
                    <w14:schemeClr w14:val="tx1"/>
                  </w14:solidFill>
                </w14:textFill>
              </w:rPr>
            </w:pPr>
            <w:r>
              <w:rPr>
                <w:rFonts w:hint="eastAsia" w:hAnsi="宋体"/>
                <w:snapToGrid w:val="0"/>
                <w:color w:val="000000" w:themeColor="text1"/>
                <w:sz w:val="21"/>
                <w:szCs w:val="21"/>
                <w14:textFill>
                  <w14:solidFill>
                    <w14:schemeClr w14:val="tx1"/>
                  </w14:solidFill>
                </w14:textFill>
              </w:rPr>
              <w:t>85-90</w:t>
            </w:r>
          </w:p>
        </w:tc>
        <w:tc>
          <w:tcPr>
            <w:tcW w:w="330" w:type="pct"/>
            <w:vAlign w:val="center"/>
          </w:tcPr>
          <w:p w14:paraId="43AB8F16">
            <w:pPr>
              <w:pStyle w:val="342"/>
              <w:overflowPunct w:val="0"/>
              <w:snapToGrid w:val="0"/>
              <w:spacing w:line="300" w:lineRule="exact"/>
              <w:rPr>
                <w:rFonts w:hint="eastAsia" w:hAnsi="宋体"/>
                <w:snapToGrid w:val="0"/>
                <w:color w:val="000000" w:themeColor="text1"/>
                <w:sz w:val="21"/>
                <w:szCs w:val="21"/>
                <w14:textFill>
                  <w14:solidFill>
                    <w14:schemeClr w14:val="tx1"/>
                  </w14:solidFill>
                </w14:textFill>
              </w:rPr>
            </w:pPr>
            <w:r>
              <w:rPr>
                <w:rFonts w:hint="eastAsia" w:hAnsi="宋体"/>
                <w:snapToGrid w:val="0"/>
                <w:color w:val="000000" w:themeColor="text1"/>
                <w:sz w:val="21"/>
                <w:szCs w:val="21"/>
                <w14:textFill>
                  <w14:solidFill>
                    <w14:schemeClr w14:val="tx1"/>
                  </w14:solidFill>
                </w14:textFill>
              </w:rPr>
              <w:t>20</w:t>
            </w:r>
          </w:p>
        </w:tc>
        <w:tc>
          <w:tcPr>
            <w:tcW w:w="330" w:type="pct"/>
            <w:vAlign w:val="center"/>
          </w:tcPr>
          <w:p w14:paraId="279D1529">
            <w:pPr>
              <w:pStyle w:val="342"/>
              <w:overflowPunct w:val="0"/>
              <w:snapToGrid w:val="0"/>
              <w:spacing w:line="300" w:lineRule="exact"/>
              <w:rPr>
                <w:rFonts w:hint="eastAsia" w:hAnsi="宋体"/>
                <w:snapToGrid w:val="0"/>
                <w:color w:val="000000" w:themeColor="text1"/>
                <w:sz w:val="21"/>
                <w:szCs w:val="21"/>
                <w14:textFill>
                  <w14:solidFill>
                    <w14:schemeClr w14:val="tx1"/>
                  </w14:solidFill>
                </w14:textFill>
              </w:rPr>
            </w:pPr>
            <w:r>
              <w:rPr>
                <w:rFonts w:hint="eastAsia" w:hAnsi="宋体"/>
                <w:snapToGrid w:val="0"/>
                <w:color w:val="000000" w:themeColor="text1"/>
                <w:sz w:val="21"/>
                <w:szCs w:val="21"/>
                <w14:textFill>
                  <w14:solidFill>
                    <w14:schemeClr w14:val="tx1"/>
                  </w14:solidFill>
                </w14:textFill>
              </w:rPr>
              <w:t>21</w:t>
            </w:r>
          </w:p>
        </w:tc>
        <w:tc>
          <w:tcPr>
            <w:tcW w:w="329" w:type="pct"/>
            <w:vAlign w:val="center"/>
          </w:tcPr>
          <w:p w14:paraId="50419B63">
            <w:pPr>
              <w:pStyle w:val="342"/>
              <w:overflowPunct w:val="0"/>
              <w:snapToGrid w:val="0"/>
              <w:spacing w:line="300" w:lineRule="exact"/>
              <w:rPr>
                <w:rFonts w:hint="eastAsia" w:hAnsi="宋体"/>
                <w:snapToGrid w:val="0"/>
                <w:color w:val="000000" w:themeColor="text1"/>
                <w:sz w:val="21"/>
                <w:szCs w:val="21"/>
                <w14:textFill>
                  <w14:solidFill>
                    <w14:schemeClr w14:val="tx1"/>
                  </w14:solidFill>
                </w14:textFill>
              </w:rPr>
            </w:pPr>
            <w:r>
              <w:rPr>
                <w:rFonts w:hint="eastAsia" w:hAnsi="宋体"/>
                <w:snapToGrid w:val="0"/>
                <w:color w:val="000000" w:themeColor="text1"/>
                <w:sz w:val="21"/>
                <w:szCs w:val="21"/>
                <w14:textFill>
                  <w14:solidFill>
                    <w14:schemeClr w14:val="tx1"/>
                  </w14:solidFill>
                </w14:textFill>
              </w:rPr>
              <w:t>0.5</w:t>
            </w:r>
          </w:p>
        </w:tc>
        <w:tc>
          <w:tcPr>
            <w:tcW w:w="686" w:type="pct"/>
            <w:vMerge w:val="continue"/>
            <w:vAlign w:val="center"/>
          </w:tcPr>
          <w:p w14:paraId="7FF30877">
            <w:pPr>
              <w:pStyle w:val="342"/>
              <w:overflowPunct w:val="0"/>
              <w:snapToGrid w:val="0"/>
              <w:spacing w:line="300" w:lineRule="exact"/>
              <w:rPr>
                <w:rFonts w:hint="eastAsia" w:hAnsi="宋体"/>
                <w:snapToGrid w:val="0"/>
                <w:color w:val="000000" w:themeColor="text1"/>
                <w:sz w:val="21"/>
                <w:szCs w:val="21"/>
                <w14:textFill>
                  <w14:solidFill>
                    <w14:schemeClr w14:val="tx1"/>
                  </w14:solidFill>
                </w14:textFill>
              </w:rPr>
            </w:pPr>
          </w:p>
        </w:tc>
        <w:tc>
          <w:tcPr>
            <w:tcW w:w="560" w:type="pct"/>
            <w:vMerge w:val="continue"/>
            <w:vAlign w:val="center"/>
          </w:tcPr>
          <w:p w14:paraId="2998C5D4">
            <w:pPr>
              <w:pStyle w:val="342"/>
              <w:overflowPunct w:val="0"/>
              <w:snapToGrid w:val="0"/>
              <w:spacing w:line="300" w:lineRule="exact"/>
              <w:rPr>
                <w:rFonts w:hint="eastAsia" w:hAnsi="宋体"/>
                <w:snapToGrid w:val="0"/>
                <w:color w:val="000000" w:themeColor="text1"/>
                <w:sz w:val="21"/>
                <w:szCs w:val="21"/>
                <w14:textFill>
                  <w14:solidFill>
                    <w14:schemeClr w14:val="tx1"/>
                  </w14:solidFill>
                </w14:textFill>
              </w:rPr>
            </w:pPr>
          </w:p>
        </w:tc>
      </w:tr>
      <w:tr w14:paraId="0E40473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636" w:type="pct"/>
            <w:vMerge w:val="restart"/>
            <w:vAlign w:val="center"/>
          </w:tcPr>
          <w:p w14:paraId="023E6FA8">
            <w:pPr>
              <w:pStyle w:val="342"/>
              <w:tabs>
                <w:tab w:val="left" w:pos="1333"/>
              </w:tabs>
              <w:overflowPunct w:val="0"/>
              <w:snapToGrid w:val="0"/>
              <w:spacing w:line="300" w:lineRule="exact"/>
              <w:rPr>
                <w:snapToGrid w:val="0"/>
                <w:color w:val="000000" w:themeColor="text1"/>
                <w:sz w:val="21"/>
                <w:szCs w:val="21"/>
                <w14:textFill>
                  <w14:solidFill>
                    <w14:schemeClr w14:val="tx1"/>
                  </w14:solidFill>
                </w14:textFill>
              </w:rPr>
            </w:pPr>
            <w:r>
              <w:rPr>
                <w:rFonts w:hint="eastAsia"/>
                <w:snapToGrid w:val="0"/>
                <w:color w:val="000000" w:themeColor="text1"/>
                <w:sz w:val="21"/>
                <w:szCs w:val="21"/>
                <w14:textFill>
                  <w14:solidFill>
                    <w14:schemeClr w14:val="tx1"/>
                  </w14:solidFill>
                </w14:textFill>
              </w:rPr>
              <w:t>J</w:t>
            </w:r>
            <w:r>
              <w:rPr>
                <w:snapToGrid w:val="0"/>
                <w:color w:val="000000" w:themeColor="text1"/>
                <w:sz w:val="21"/>
                <w:szCs w:val="21"/>
                <w14:textFill>
                  <w14:solidFill>
                    <w14:schemeClr w14:val="tx1"/>
                  </w14:solidFill>
                </w14:textFill>
              </w:rPr>
              <w:t>10002_H</w:t>
            </w:r>
          </w:p>
        </w:tc>
        <w:tc>
          <w:tcPr>
            <w:tcW w:w="1125" w:type="pct"/>
            <w:vAlign w:val="center"/>
          </w:tcPr>
          <w:p w14:paraId="304E275F">
            <w:pPr>
              <w:pStyle w:val="342"/>
              <w:tabs>
                <w:tab w:val="left" w:pos="1333"/>
              </w:tabs>
              <w:overflowPunct w:val="0"/>
              <w:snapToGrid w:val="0"/>
              <w:spacing w:line="300" w:lineRule="exact"/>
              <w:rPr>
                <w:snapToGrid w:val="0"/>
                <w:color w:val="000000" w:themeColor="text1"/>
                <w:sz w:val="21"/>
                <w:szCs w:val="21"/>
                <w14:textFill>
                  <w14:solidFill>
                    <w14:schemeClr w14:val="tx1"/>
                  </w14:solidFill>
                </w14:textFill>
              </w:rPr>
            </w:pPr>
            <w:r>
              <w:rPr>
                <w:rFonts w:hint="eastAsia"/>
                <w:snapToGrid w:val="0"/>
                <w:color w:val="000000" w:themeColor="text1"/>
                <w:sz w:val="21"/>
                <w:szCs w:val="21"/>
                <w14:textFill>
                  <w14:solidFill>
                    <w14:schemeClr w14:val="tx1"/>
                  </w14:solidFill>
                </w14:textFill>
              </w:rPr>
              <w:t>投捞式电潜螺杆泵</w:t>
            </w:r>
          </w:p>
        </w:tc>
        <w:tc>
          <w:tcPr>
            <w:tcW w:w="485" w:type="pct"/>
            <w:vAlign w:val="center"/>
          </w:tcPr>
          <w:p w14:paraId="414928DA">
            <w:pPr>
              <w:pStyle w:val="342"/>
              <w:tabs>
                <w:tab w:val="left" w:pos="1333"/>
              </w:tabs>
              <w:overflowPunct w:val="0"/>
              <w:snapToGrid w:val="0"/>
              <w:spacing w:line="300" w:lineRule="exact"/>
              <w:rPr>
                <w:snapToGrid w:val="0"/>
                <w:color w:val="000000" w:themeColor="text1"/>
                <w:sz w:val="21"/>
                <w:szCs w:val="21"/>
                <w14:textFill>
                  <w14:solidFill>
                    <w14:schemeClr w14:val="tx1"/>
                  </w14:solidFill>
                </w14:textFill>
              </w:rPr>
            </w:pPr>
            <w:r>
              <w:rPr>
                <w:rFonts w:hint="eastAsia"/>
                <w:snapToGrid w:val="0"/>
                <w:color w:val="000000" w:themeColor="text1"/>
                <w:sz w:val="21"/>
                <w:szCs w:val="21"/>
                <w14:textFill>
                  <w14:solidFill>
                    <w14:schemeClr w14:val="tx1"/>
                  </w14:solidFill>
                </w14:textFill>
              </w:rPr>
              <w:t>1</w:t>
            </w:r>
          </w:p>
        </w:tc>
        <w:tc>
          <w:tcPr>
            <w:tcW w:w="519" w:type="pct"/>
            <w:vAlign w:val="top"/>
          </w:tcPr>
          <w:p w14:paraId="2EB10CA9">
            <w:pPr>
              <w:pStyle w:val="342"/>
              <w:overflowPunct w:val="0"/>
              <w:snapToGrid w:val="0"/>
              <w:spacing w:line="300" w:lineRule="exact"/>
              <w:rPr>
                <w:rFonts w:hint="eastAsia" w:hAnsi="宋体"/>
                <w:snapToGrid w:val="0"/>
                <w:color w:val="000000" w:themeColor="text1"/>
                <w:sz w:val="21"/>
                <w:szCs w:val="21"/>
                <w14:textFill>
                  <w14:solidFill>
                    <w14:schemeClr w14:val="tx1"/>
                  </w14:solidFill>
                </w14:textFill>
              </w:rPr>
            </w:pPr>
            <w:r>
              <w:rPr>
                <w:rFonts w:hint="eastAsia" w:hAnsi="宋体"/>
                <w:snapToGrid w:val="0"/>
                <w:color w:val="000000" w:themeColor="text1"/>
                <w:sz w:val="21"/>
                <w:szCs w:val="21"/>
                <w14:textFill>
                  <w14:solidFill>
                    <w14:schemeClr w14:val="tx1"/>
                  </w14:solidFill>
                </w14:textFill>
              </w:rPr>
              <w:t>85-90</w:t>
            </w:r>
          </w:p>
        </w:tc>
        <w:tc>
          <w:tcPr>
            <w:tcW w:w="330" w:type="pct"/>
            <w:vAlign w:val="center"/>
          </w:tcPr>
          <w:p w14:paraId="593F8496">
            <w:pPr>
              <w:pStyle w:val="342"/>
              <w:overflowPunct w:val="0"/>
              <w:snapToGrid w:val="0"/>
              <w:spacing w:line="300" w:lineRule="exact"/>
              <w:rPr>
                <w:rFonts w:hint="eastAsia" w:hAnsi="宋体"/>
                <w:snapToGrid w:val="0"/>
                <w:color w:val="000000" w:themeColor="text1"/>
                <w:sz w:val="21"/>
                <w:szCs w:val="21"/>
                <w14:textFill>
                  <w14:solidFill>
                    <w14:schemeClr w14:val="tx1"/>
                  </w14:solidFill>
                </w14:textFill>
              </w:rPr>
            </w:pPr>
            <w:r>
              <w:rPr>
                <w:rFonts w:hint="eastAsia" w:hAnsi="宋体"/>
                <w:snapToGrid w:val="0"/>
                <w:color w:val="000000" w:themeColor="text1"/>
                <w:sz w:val="21"/>
                <w:szCs w:val="21"/>
                <w14:textFill>
                  <w14:solidFill>
                    <w14:schemeClr w14:val="tx1"/>
                  </w14:solidFill>
                </w14:textFill>
              </w:rPr>
              <w:t>27</w:t>
            </w:r>
          </w:p>
        </w:tc>
        <w:tc>
          <w:tcPr>
            <w:tcW w:w="330" w:type="pct"/>
            <w:vAlign w:val="center"/>
          </w:tcPr>
          <w:p w14:paraId="74CE5C7C">
            <w:pPr>
              <w:pStyle w:val="342"/>
              <w:overflowPunct w:val="0"/>
              <w:snapToGrid w:val="0"/>
              <w:spacing w:line="300" w:lineRule="exact"/>
              <w:rPr>
                <w:rFonts w:hint="eastAsia" w:hAnsi="宋体"/>
                <w:snapToGrid w:val="0"/>
                <w:color w:val="000000" w:themeColor="text1"/>
                <w:sz w:val="21"/>
                <w:szCs w:val="21"/>
                <w14:textFill>
                  <w14:solidFill>
                    <w14:schemeClr w14:val="tx1"/>
                  </w14:solidFill>
                </w14:textFill>
              </w:rPr>
            </w:pPr>
            <w:r>
              <w:rPr>
                <w:rFonts w:hint="eastAsia" w:hAnsi="宋体"/>
                <w:snapToGrid w:val="0"/>
                <w:color w:val="000000" w:themeColor="text1"/>
                <w:sz w:val="21"/>
                <w:szCs w:val="21"/>
                <w14:textFill>
                  <w14:solidFill>
                    <w14:schemeClr w14:val="tx1"/>
                  </w14:solidFill>
                </w14:textFill>
              </w:rPr>
              <w:t>25</w:t>
            </w:r>
          </w:p>
        </w:tc>
        <w:tc>
          <w:tcPr>
            <w:tcW w:w="329" w:type="pct"/>
            <w:vAlign w:val="center"/>
          </w:tcPr>
          <w:p w14:paraId="2BBEF3C3">
            <w:pPr>
              <w:pStyle w:val="342"/>
              <w:overflowPunct w:val="0"/>
              <w:snapToGrid w:val="0"/>
              <w:spacing w:line="300" w:lineRule="exact"/>
              <w:rPr>
                <w:rFonts w:hint="eastAsia" w:hAnsi="宋体"/>
                <w:snapToGrid w:val="0"/>
                <w:color w:val="000000" w:themeColor="text1"/>
                <w:sz w:val="21"/>
                <w:szCs w:val="21"/>
                <w14:textFill>
                  <w14:solidFill>
                    <w14:schemeClr w14:val="tx1"/>
                  </w14:solidFill>
                </w14:textFill>
              </w:rPr>
            </w:pPr>
            <w:r>
              <w:rPr>
                <w:rFonts w:hint="eastAsia" w:hAnsi="宋体"/>
                <w:snapToGrid w:val="0"/>
                <w:color w:val="000000" w:themeColor="text1"/>
                <w:sz w:val="21"/>
                <w:szCs w:val="21"/>
                <w14:textFill>
                  <w14:solidFill>
                    <w14:schemeClr w14:val="tx1"/>
                  </w14:solidFill>
                </w14:textFill>
              </w:rPr>
              <w:t>0.5</w:t>
            </w:r>
          </w:p>
        </w:tc>
        <w:tc>
          <w:tcPr>
            <w:tcW w:w="686" w:type="pct"/>
            <w:vMerge w:val="continue"/>
            <w:vAlign w:val="center"/>
          </w:tcPr>
          <w:p w14:paraId="579A5D46">
            <w:pPr>
              <w:pStyle w:val="342"/>
              <w:overflowPunct w:val="0"/>
              <w:snapToGrid w:val="0"/>
              <w:spacing w:line="300" w:lineRule="exact"/>
              <w:rPr>
                <w:rFonts w:hint="eastAsia" w:hAnsi="宋体"/>
                <w:snapToGrid w:val="0"/>
                <w:color w:val="000000" w:themeColor="text1"/>
                <w:sz w:val="21"/>
                <w:szCs w:val="21"/>
                <w14:textFill>
                  <w14:solidFill>
                    <w14:schemeClr w14:val="tx1"/>
                  </w14:solidFill>
                </w14:textFill>
              </w:rPr>
            </w:pPr>
          </w:p>
        </w:tc>
        <w:tc>
          <w:tcPr>
            <w:tcW w:w="560" w:type="pct"/>
            <w:vMerge w:val="continue"/>
            <w:vAlign w:val="center"/>
          </w:tcPr>
          <w:p w14:paraId="57F933AD">
            <w:pPr>
              <w:pStyle w:val="342"/>
              <w:overflowPunct w:val="0"/>
              <w:snapToGrid w:val="0"/>
              <w:spacing w:line="300" w:lineRule="exact"/>
              <w:rPr>
                <w:rFonts w:hint="eastAsia" w:hAnsi="宋体"/>
                <w:snapToGrid w:val="0"/>
                <w:color w:val="000000" w:themeColor="text1"/>
                <w:sz w:val="21"/>
                <w:szCs w:val="21"/>
                <w14:textFill>
                  <w14:solidFill>
                    <w14:schemeClr w14:val="tx1"/>
                  </w14:solidFill>
                </w14:textFill>
              </w:rPr>
            </w:pPr>
          </w:p>
        </w:tc>
      </w:tr>
      <w:tr w14:paraId="074DA1B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636" w:type="pct"/>
            <w:vMerge w:val="continue"/>
            <w:vAlign w:val="center"/>
          </w:tcPr>
          <w:p w14:paraId="52F9F5BB">
            <w:pPr>
              <w:pStyle w:val="342"/>
              <w:tabs>
                <w:tab w:val="left" w:pos="1333"/>
              </w:tabs>
              <w:overflowPunct w:val="0"/>
              <w:snapToGrid w:val="0"/>
              <w:spacing w:line="300" w:lineRule="exact"/>
              <w:rPr>
                <w:snapToGrid w:val="0"/>
                <w:color w:val="000000" w:themeColor="text1"/>
                <w:sz w:val="21"/>
                <w:szCs w:val="21"/>
                <w14:textFill>
                  <w14:solidFill>
                    <w14:schemeClr w14:val="tx1"/>
                  </w14:solidFill>
                </w14:textFill>
              </w:rPr>
            </w:pPr>
          </w:p>
        </w:tc>
        <w:tc>
          <w:tcPr>
            <w:tcW w:w="1125" w:type="pct"/>
            <w:vAlign w:val="center"/>
          </w:tcPr>
          <w:p w14:paraId="5A54E977">
            <w:pPr>
              <w:pStyle w:val="342"/>
              <w:tabs>
                <w:tab w:val="left" w:pos="1333"/>
              </w:tabs>
              <w:overflowPunct w:val="0"/>
              <w:snapToGrid w:val="0"/>
              <w:spacing w:line="300" w:lineRule="exact"/>
              <w:rPr>
                <w:snapToGrid w:val="0"/>
                <w:color w:val="000000" w:themeColor="text1"/>
                <w:sz w:val="21"/>
                <w:szCs w:val="21"/>
                <w14:textFill>
                  <w14:solidFill>
                    <w14:schemeClr w14:val="tx1"/>
                  </w14:solidFill>
                </w14:textFill>
              </w:rPr>
            </w:pPr>
            <w:r>
              <w:rPr>
                <w:rFonts w:hint="eastAsia"/>
                <w:snapToGrid w:val="0"/>
                <w:color w:val="000000" w:themeColor="text1"/>
                <w:sz w:val="21"/>
                <w:szCs w:val="21"/>
                <w14:textFill>
                  <w14:solidFill>
                    <w14:schemeClr w14:val="tx1"/>
                  </w14:solidFill>
                </w14:textFill>
              </w:rPr>
              <w:t>高压往复泵</w:t>
            </w:r>
          </w:p>
        </w:tc>
        <w:tc>
          <w:tcPr>
            <w:tcW w:w="485" w:type="pct"/>
            <w:vAlign w:val="center"/>
          </w:tcPr>
          <w:p w14:paraId="068D4E9B">
            <w:pPr>
              <w:pStyle w:val="342"/>
              <w:tabs>
                <w:tab w:val="left" w:pos="1333"/>
              </w:tabs>
              <w:overflowPunct w:val="0"/>
              <w:snapToGrid w:val="0"/>
              <w:spacing w:line="300" w:lineRule="exact"/>
              <w:rPr>
                <w:snapToGrid w:val="0"/>
                <w:color w:val="000000" w:themeColor="text1"/>
                <w:sz w:val="21"/>
                <w:szCs w:val="21"/>
                <w14:textFill>
                  <w14:solidFill>
                    <w14:schemeClr w14:val="tx1"/>
                  </w14:solidFill>
                </w14:textFill>
              </w:rPr>
            </w:pPr>
            <w:r>
              <w:rPr>
                <w:rFonts w:hint="eastAsia"/>
                <w:snapToGrid w:val="0"/>
                <w:color w:val="000000" w:themeColor="text1"/>
                <w:sz w:val="21"/>
                <w:szCs w:val="21"/>
                <w14:textFill>
                  <w14:solidFill>
                    <w14:schemeClr w14:val="tx1"/>
                  </w14:solidFill>
                </w14:textFill>
              </w:rPr>
              <w:t>2</w:t>
            </w:r>
          </w:p>
        </w:tc>
        <w:tc>
          <w:tcPr>
            <w:tcW w:w="519" w:type="pct"/>
            <w:vAlign w:val="top"/>
          </w:tcPr>
          <w:p w14:paraId="760D31A6">
            <w:pPr>
              <w:pStyle w:val="342"/>
              <w:overflowPunct w:val="0"/>
              <w:snapToGrid w:val="0"/>
              <w:spacing w:line="300" w:lineRule="exact"/>
              <w:rPr>
                <w:rFonts w:hint="eastAsia" w:hAnsi="宋体"/>
                <w:snapToGrid w:val="0"/>
                <w:color w:val="000000" w:themeColor="text1"/>
                <w:sz w:val="21"/>
                <w:szCs w:val="21"/>
                <w14:textFill>
                  <w14:solidFill>
                    <w14:schemeClr w14:val="tx1"/>
                  </w14:solidFill>
                </w14:textFill>
              </w:rPr>
            </w:pPr>
            <w:r>
              <w:rPr>
                <w:rFonts w:hint="eastAsia" w:hAnsi="宋体"/>
                <w:snapToGrid w:val="0"/>
                <w:color w:val="000000" w:themeColor="text1"/>
                <w:sz w:val="21"/>
                <w:szCs w:val="21"/>
                <w14:textFill>
                  <w14:solidFill>
                    <w14:schemeClr w14:val="tx1"/>
                  </w14:solidFill>
                </w14:textFill>
              </w:rPr>
              <w:t>85-90</w:t>
            </w:r>
          </w:p>
        </w:tc>
        <w:tc>
          <w:tcPr>
            <w:tcW w:w="330" w:type="pct"/>
            <w:vAlign w:val="center"/>
          </w:tcPr>
          <w:p w14:paraId="7336A6FC">
            <w:pPr>
              <w:pStyle w:val="342"/>
              <w:overflowPunct w:val="0"/>
              <w:snapToGrid w:val="0"/>
              <w:spacing w:line="300" w:lineRule="exact"/>
              <w:rPr>
                <w:rFonts w:hint="eastAsia" w:hAnsi="宋体"/>
                <w:snapToGrid w:val="0"/>
                <w:color w:val="000000" w:themeColor="text1"/>
                <w:sz w:val="21"/>
                <w:szCs w:val="21"/>
                <w14:textFill>
                  <w14:solidFill>
                    <w14:schemeClr w14:val="tx1"/>
                  </w14:solidFill>
                </w14:textFill>
              </w:rPr>
            </w:pPr>
            <w:r>
              <w:rPr>
                <w:rFonts w:hint="eastAsia" w:hAnsi="宋体"/>
                <w:snapToGrid w:val="0"/>
                <w:color w:val="000000" w:themeColor="text1"/>
                <w:sz w:val="21"/>
                <w:szCs w:val="21"/>
                <w14:textFill>
                  <w14:solidFill>
                    <w14:schemeClr w14:val="tx1"/>
                  </w14:solidFill>
                </w14:textFill>
              </w:rPr>
              <w:t>14</w:t>
            </w:r>
          </w:p>
        </w:tc>
        <w:tc>
          <w:tcPr>
            <w:tcW w:w="330" w:type="pct"/>
            <w:vAlign w:val="center"/>
          </w:tcPr>
          <w:p w14:paraId="12B11127">
            <w:pPr>
              <w:pStyle w:val="342"/>
              <w:overflowPunct w:val="0"/>
              <w:snapToGrid w:val="0"/>
              <w:spacing w:line="300" w:lineRule="exact"/>
              <w:rPr>
                <w:rFonts w:hint="eastAsia" w:hAnsi="宋体"/>
                <w:snapToGrid w:val="0"/>
                <w:color w:val="000000" w:themeColor="text1"/>
                <w:sz w:val="21"/>
                <w:szCs w:val="21"/>
                <w14:textFill>
                  <w14:solidFill>
                    <w14:schemeClr w14:val="tx1"/>
                  </w14:solidFill>
                </w14:textFill>
              </w:rPr>
            </w:pPr>
            <w:r>
              <w:rPr>
                <w:rFonts w:hint="eastAsia" w:hAnsi="宋体"/>
                <w:snapToGrid w:val="0"/>
                <w:color w:val="000000" w:themeColor="text1"/>
                <w:sz w:val="21"/>
                <w:szCs w:val="21"/>
                <w14:textFill>
                  <w14:solidFill>
                    <w14:schemeClr w14:val="tx1"/>
                  </w14:solidFill>
                </w14:textFill>
              </w:rPr>
              <w:t>12</w:t>
            </w:r>
          </w:p>
        </w:tc>
        <w:tc>
          <w:tcPr>
            <w:tcW w:w="329" w:type="pct"/>
            <w:vAlign w:val="center"/>
          </w:tcPr>
          <w:p w14:paraId="2DEBC588">
            <w:pPr>
              <w:pStyle w:val="342"/>
              <w:overflowPunct w:val="0"/>
              <w:snapToGrid w:val="0"/>
              <w:spacing w:line="300" w:lineRule="exact"/>
              <w:rPr>
                <w:rFonts w:hint="eastAsia" w:hAnsi="宋体"/>
                <w:snapToGrid w:val="0"/>
                <w:color w:val="000000" w:themeColor="text1"/>
                <w:sz w:val="21"/>
                <w:szCs w:val="21"/>
                <w14:textFill>
                  <w14:solidFill>
                    <w14:schemeClr w14:val="tx1"/>
                  </w14:solidFill>
                </w14:textFill>
              </w:rPr>
            </w:pPr>
            <w:r>
              <w:rPr>
                <w:rFonts w:hint="eastAsia" w:hAnsi="宋体"/>
                <w:snapToGrid w:val="0"/>
                <w:color w:val="000000" w:themeColor="text1"/>
                <w:sz w:val="21"/>
                <w:szCs w:val="21"/>
                <w14:textFill>
                  <w14:solidFill>
                    <w14:schemeClr w14:val="tx1"/>
                  </w14:solidFill>
                </w14:textFill>
              </w:rPr>
              <w:t>0.5</w:t>
            </w:r>
          </w:p>
        </w:tc>
        <w:tc>
          <w:tcPr>
            <w:tcW w:w="686" w:type="pct"/>
            <w:vMerge w:val="continue"/>
            <w:vAlign w:val="center"/>
          </w:tcPr>
          <w:p w14:paraId="4905CD5E">
            <w:pPr>
              <w:pStyle w:val="342"/>
              <w:overflowPunct w:val="0"/>
              <w:snapToGrid w:val="0"/>
              <w:spacing w:line="300" w:lineRule="exact"/>
              <w:rPr>
                <w:rFonts w:hint="eastAsia" w:hAnsi="宋体"/>
                <w:snapToGrid w:val="0"/>
                <w:color w:val="000000" w:themeColor="text1"/>
                <w:sz w:val="21"/>
                <w:szCs w:val="21"/>
                <w14:textFill>
                  <w14:solidFill>
                    <w14:schemeClr w14:val="tx1"/>
                  </w14:solidFill>
                </w14:textFill>
              </w:rPr>
            </w:pPr>
          </w:p>
        </w:tc>
        <w:tc>
          <w:tcPr>
            <w:tcW w:w="560" w:type="pct"/>
            <w:vMerge w:val="continue"/>
            <w:vAlign w:val="center"/>
          </w:tcPr>
          <w:p w14:paraId="7EA47C9D">
            <w:pPr>
              <w:pStyle w:val="342"/>
              <w:overflowPunct w:val="0"/>
              <w:snapToGrid w:val="0"/>
              <w:spacing w:line="300" w:lineRule="exact"/>
              <w:rPr>
                <w:rFonts w:hint="eastAsia" w:hAnsi="宋体"/>
                <w:snapToGrid w:val="0"/>
                <w:color w:val="000000" w:themeColor="text1"/>
                <w:sz w:val="21"/>
                <w:szCs w:val="21"/>
                <w14:textFill>
                  <w14:solidFill>
                    <w14:schemeClr w14:val="tx1"/>
                  </w14:solidFill>
                </w14:textFill>
              </w:rPr>
            </w:pPr>
          </w:p>
        </w:tc>
      </w:tr>
      <w:tr w14:paraId="1325B01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636" w:type="pct"/>
            <w:vMerge w:val="continue"/>
            <w:vAlign w:val="center"/>
          </w:tcPr>
          <w:p w14:paraId="484123DF">
            <w:pPr>
              <w:pStyle w:val="342"/>
              <w:tabs>
                <w:tab w:val="left" w:pos="1333"/>
              </w:tabs>
              <w:overflowPunct w:val="0"/>
              <w:snapToGrid w:val="0"/>
              <w:spacing w:line="300" w:lineRule="exact"/>
              <w:rPr>
                <w:snapToGrid w:val="0"/>
                <w:color w:val="000000" w:themeColor="text1"/>
                <w:sz w:val="21"/>
                <w:szCs w:val="21"/>
                <w14:textFill>
                  <w14:solidFill>
                    <w14:schemeClr w14:val="tx1"/>
                  </w14:solidFill>
                </w14:textFill>
              </w:rPr>
            </w:pPr>
          </w:p>
        </w:tc>
        <w:tc>
          <w:tcPr>
            <w:tcW w:w="1125" w:type="pct"/>
            <w:vAlign w:val="center"/>
          </w:tcPr>
          <w:p w14:paraId="060A05AC">
            <w:pPr>
              <w:pStyle w:val="342"/>
              <w:tabs>
                <w:tab w:val="left" w:pos="1333"/>
              </w:tabs>
              <w:overflowPunct w:val="0"/>
              <w:snapToGrid w:val="0"/>
              <w:spacing w:line="300" w:lineRule="exact"/>
              <w:rPr>
                <w:snapToGrid w:val="0"/>
                <w:color w:val="000000" w:themeColor="text1"/>
                <w:sz w:val="21"/>
                <w:szCs w:val="21"/>
                <w14:textFill>
                  <w14:solidFill>
                    <w14:schemeClr w14:val="tx1"/>
                  </w14:solidFill>
                </w14:textFill>
              </w:rPr>
            </w:pPr>
            <w:r>
              <w:rPr>
                <w:rFonts w:hint="eastAsia"/>
                <w:snapToGrid w:val="0"/>
                <w:color w:val="000000" w:themeColor="text1"/>
                <w:sz w:val="21"/>
                <w:szCs w:val="21"/>
                <w14:textFill>
                  <w14:solidFill>
                    <w14:schemeClr w14:val="tx1"/>
                  </w14:solidFill>
                </w14:textFill>
              </w:rPr>
              <w:t>二氧化碳专用泵</w:t>
            </w:r>
          </w:p>
        </w:tc>
        <w:tc>
          <w:tcPr>
            <w:tcW w:w="485" w:type="pct"/>
            <w:vAlign w:val="center"/>
          </w:tcPr>
          <w:p w14:paraId="49883AED">
            <w:pPr>
              <w:pStyle w:val="342"/>
              <w:tabs>
                <w:tab w:val="left" w:pos="1333"/>
              </w:tabs>
              <w:overflowPunct w:val="0"/>
              <w:snapToGrid w:val="0"/>
              <w:spacing w:line="300" w:lineRule="exact"/>
              <w:rPr>
                <w:snapToGrid w:val="0"/>
                <w:color w:val="000000" w:themeColor="text1"/>
                <w:sz w:val="21"/>
                <w:szCs w:val="21"/>
                <w14:textFill>
                  <w14:solidFill>
                    <w14:schemeClr w14:val="tx1"/>
                  </w14:solidFill>
                </w14:textFill>
              </w:rPr>
            </w:pPr>
            <w:r>
              <w:rPr>
                <w:rFonts w:hint="eastAsia"/>
                <w:snapToGrid w:val="0"/>
                <w:color w:val="000000" w:themeColor="text1"/>
                <w:sz w:val="21"/>
                <w:szCs w:val="21"/>
                <w14:textFill>
                  <w14:solidFill>
                    <w14:schemeClr w14:val="tx1"/>
                  </w14:solidFill>
                </w14:textFill>
              </w:rPr>
              <w:t>2</w:t>
            </w:r>
          </w:p>
        </w:tc>
        <w:tc>
          <w:tcPr>
            <w:tcW w:w="519" w:type="pct"/>
            <w:vAlign w:val="top"/>
          </w:tcPr>
          <w:p w14:paraId="0A496CB8">
            <w:pPr>
              <w:pStyle w:val="342"/>
              <w:overflowPunct w:val="0"/>
              <w:snapToGrid w:val="0"/>
              <w:spacing w:line="300" w:lineRule="exact"/>
              <w:rPr>
                <w:rFonts w:hint="eastAsia" w:hAnsi="宋体"/>
                <w:snapToGrid w:val="0"/>
                <w:color w:val="000000" w:themeColor="text1"/>
                <w:sz w:val="21"/>
                <w:szCs w:val="21"/>
                <w14:textFill>
                  <w14:solidFill>
                    <w14:schemeClr w14:val="tx1"/>
                  </w14:solidFill>
                </w14:textFill>
              </w:rPr>
            </w:pPr>
            <w:r>
              <w:rPr>
                <w:rFonts w:hint="eastAsia" w:hAnsi="宋体"/>
                <w:snapToGrid w:val="0"/>
                <w:color w:val="000000" w:themeColor="text1"/>
                <w:sz w:val="21"/>
                <w:szCs w:val="21"/>
                <w14:textFill>
                  <w14:solidFill>
                    <w14:schemeClr w14:val="tx1"/>
                  </w14:solidFill>
                </w14:textFill>
              </w:rPr>
              <w:t>85-90</w:t>
            </w:r>
          </w:p>
        </w:tc>
        <w:tc>
          <w:tcPr>
            <w:tcW w:w="330" w:type="pct"/>
            <w:vAlign w:val="center"/>
          </w:tcPr>
          <w:p w14:paraId="3DDC816C">
            <w:pPr>
              <w:pStyle w:val="342"/>
              <w:overflowPunct w:val="0"/>
              <w:snapToGrid w:val="0"/>
              <w:spacing w:line="300" w:lineRule="exact"/>
              <w:rPr>
                <w:rFonts w:hint="eastAsia" w:hAnsi="宋体"/>
                <w:snapToGrid w:val="0"/>
                <w:color w:val="000000" w:themeColor="text1"/>
                <w:sz w:val="21"/>
                <w:szCs w:val="21"/>
                <w14:textFill>
                  <w14:solidFill>
                    <w14:schemeClr w14:val="tx1"/>
                  </w14:solidFill>
                </w14:textFill>
              </w:rPr>
            </w:pPr>
            <w:r>
              <w:rPr>
                <w:rFonts w:hint="eastAsia" w:hAnsi="宋体"/>
                <w:snapToGrid w:val="0"/>
                <w:color w:val="000000" w:themeColor="text1"/>
                <w:sz w:val="21"/>
                <w:szCs w:val="21"/>
                <w14:textFill>
                  <w14:solidFill>
                    <w14:schemeClr w14:val="tx1"/>
                  </w14:solidFill>
                </w14:textFill>
              </w:rPr>
              <w:t>14</w:t>
            </w:r>
          </w:p>
        </w:tc>
        <w:tc>
          <w:tcPr>
            <w:tcW w:w="330" w:type="pct"/>
            <w:vAlign w:val="center"/>
          </w:tcPr>
          <w:p w14:paraId="4F5DD703">
            <w:pPr>
              <w:pStyle w:val="342"/>
              <w:overflowPunct w:val="0"/>
              <w:snapToGrid w:val="0"/>
              <w:spacing w:line="300" w:lineRule="exact"/>
              <w:rPr>
                <w:rFonts w:hint="eastAsia" w:hAnsi="宋体"/>
                <w:snapToGrid w:val="0"/>
                <w:color w:val="000000" w:themeColor="text1"/>
                <w:sz w:val="21"/>
                <w:szCs w:val="21"/>
                <w14:textFill>
                  <w14:solidFill>
                    <w14:schemeClr w14:val="tx1"/>
                  </w14:solidFill>
                </w14:textFill>
              </w:rPr>
            </w:pPr>
            <w:r>
              <w:rPr>
                <w:rFonts w:hint="eastAsia" w:hAnsi="宋体"/>
                <w:snapToGrid w:val="0"/>
                <w:color w:val="000000" w:themeColor="text1"/>
                <w:sz w:val="21"/>
                <w:szCs w:val="21"/>
                <w14:textFill>
                  <w14:solidFill>
                    <w14:schemeClr w14:val="tx1"/>
                  </w14:solidFill>
                </w14:textFill>
              </w:rPr>
              <w:t>8</w:t>
            </w:r>
          </w:p>
        </w:tc>
        <w:tc>
          <w:tcPr>
            <w:tcW w:w="329" w:type="pct"/>
            <w:vAlign w:val="center"/>
          </w:tcPr>
          <w:p w14:paraId="5E0E7291">
            <w:pPr>
              <w:pStyle w:val="342"/>
              <w:overflowPunct w:val="0"/>
              <w:snapToGrid w:val="0"/>
              <w:spacing w:line="300" w:lineRule="exact"/>
              <w:rPr>
                <w:rFonts w:hint="eastAsia" w:hAnsi="宋体"/>
                <w:snapToGrid w:val="0"/>
                <w:color w:val="000000" w:themeColor="text1"/>
                <w:sz w:val="21"/>
                <w:szCs w:val="21"/>
                <w14:textFill>
                  <w14:solidFill>
                    <w14:schemeClr w14:val="tx1"/>
                  </w14:solidFill>
                </w14:textFill>
              </w:rPr>
            </w:pPr>
            <w:r>
              <w:rPr>
                <w:rFonts w:hint="eastAsia" w:hAnsi="宋体"/>
                <w:snapToGrid w:val="0"/>
                <w:color w:val="000000" w:themeColor="text1"/>
                <w:sz w:val="21"/>
                <w:szCs w:val="21"/>
                <w14:textFill>
                  <w14:solidFill>
                    <w14:schemeClr w14:val="tx1"/>
                  </w14:solidFill>
                </w14:textFill>
              </w:rPr>
              <w:t>0.5</w:t>
            </w:r>
          </w:p>
        </w:tc>
        <w:tc>
          <w:tcPr>
            <w:tcW w:w="686" w:type="pct"/>
            <w:vMerge w:val="continue"/>
            <w:vAlign w:val="center"/>
          </w:tcPr>
          <w:p w14:paraId="6B4E14C4">
            <w:pPr>
              <w:pStyle w:val="342"/>
              <w:overflowPunct w:val="0"/>
              <w:snapToGrid w:val="0"/>
              <w:spacing w:line="300" w:lineRule="exact"/>
              <w:rPr>
                <w:rFonts w:hint="eastAsia" w:hAnsi="宋体"/>
                <w:snapToGrid w:val="0"/>
                <w:color w:val="000000" w:themeColor="text1"/>
                <w:sz w:val="21"/>
                <w:szCs w:val="21"/>
                <w14:textFill>
                  <w14:solidFill>
                    <w14:schemeClr w14:val="tx1"/>
                  </w14:solidFill>
                </w14:textFill>
              </w:rPr>
            </w:pPr>
          </w:p>
        </w:tc>
        <w:tc>
          <w:tcPr>
            <w:tcW w:w="560" w:type="pct"/>
            <w:vMerge w:val="continue"/>
            <w:vAlign w:val="center"/>
          </w:tcPr>
          <w:p w14:paraId="2D7F9937">
            <w:pPr>
              <w:pStyle w:val="342"/>
              <w:overflowPunct w:val="0"/>
              <w:snapToGrid w:val="0"/>
              <w:spacing w:line="300" w:lineRule="exact"/>
              <w:rPr>
                <w:rFonts w:hint="eastAsia" w:hAnsi="宋体"/>
                <w:snapToGrid w:val="0"/>
                <w:color w:val="000000" w:themeColor="text1"/>
                <w:sz w:val="21"/>
                <w:szCs w:val="21"/>
                <w14:textFill>
                  <w14:solidFill>
                    <w14:schemeClr w14:val="tx1"/>
                  </w14:solidFill>
                </w14:textFill>
              </w:rPr>
            </w:pPr>
          </w:p>
        </w:tc>
      </w:tr>
      <w:tr w14:paraId="2EEDFC6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636" w:type="pct"/>
            <w:vMerge w:val="continue"/>
            <w:vAlign w:val="center"/>
          </w:tcPr>
          <w:p w14:paraId="27E24046">
            <w:pPr>
              <w:pStyle w:val="342"/>
              <w:tabs>
                <w:tab w:val="left" w:pos="1333"/>
              </w:tabs>
              <w:overflowPunct w:val="0"/>
              <w:snapToGrid w:val="0"/>
              <w:spacing w:line="300" w:lineRule="exact"/>
              <w:rPr>
                <w:snapToGrid w:val="0"/>
                <w:color w:val="000000" w:themeColor="text1"/>
                <w:sz w:val="21"/>
                <w:szCs w:val="21"/>
                <w14:textFill>
                  <w14:solidFill>
                    <w14:schemeClr w14:val="tx1"/>
                  </w14:solidFill>
                </w14:textFill>
              </w:rPr>
            </w:pPr>
          </w:p>
        </w:tc>
        <w:tc>
          <w:tcPr>
            <w:tcW w:w="1125" w:type="pct"/>
            <w:vAlign w:val="center"/>
          </w:tcPr>
          <w:p w14:paraId="2DC87AF2">
            <w:pPr>
              <w:pStyle w:val="342"/>
              <w:tabs>
                <w:tab w:val="left" w:pos="1333"/>
              </w:tabs>
              <w:overflowPunct w:val="0"/>
              <w:snapToGrid w:val="0"/>
              <w:spacing w:line="300" w:lineRule="exact"/>
              <w:rPr>
                <w:snapToGrid w:val="0"/>
                <w:color w:val="000000" w:themeColor="text1"/>
                <w:sz w:val="21"/>
                <w:szCs w:val="21"/>
                <w14:textFill>
                  <w14:solidFill>
                    <w14:schemeClr w14:val="tx1"/>
                  </w14:solidFill>
                </w14:textFill>
              </w:rPr>
            </w:pPr>
            <w:r>
              <w:rPr>
                <w:rFonts w:hint="eastAsia"/>
                <w:snapToGrid w:val="0"/>
                <w:color w:val="000000" w:themeColor="text1"/>
                <w:sz w:val="21"/>
                <w:szCs w:val="21"/>
                <w14:textFill>
                  <w14:solidFill>
                    <w14:schemeClr w14:val="tx1"/>
                  </w14:solidFill>
                </w14:textFill>
              </w:rPr>
              <w:t>隔爆屏蔽泵</w:t>
            </w:r>
          </w:p>
        </w:tc>
        <w:tc>
          <w:tcPr>
            <w:tcW w:w="485" w:type="pct"/>
            <w:vAlign w:val="center"/>
          </w:tcPr>
          <w:p w14:paraId="7F21749F">
            <w:pPr>
              <w:pStyle w:val="342"/>
              <w:tabs>
                <w:tab w:val="left" w:pos="1333"/>
              </w:tabs>
              <w:overflowPunct w:val="0"/>
              <w:snapToGrid w:val="0"/>
              <w:spacing w:line="300" w:lineRule="exact"/>
              <w:rPr>
                <w:snapToGrid w:val="0"/>
                <w:color w:val="000000" w:themeColor="text1"/>
                <w:sz w:val="21"/>
                <w:szCs w:val="21"/>
                <w14:textFill>
                  <w14:solidFill>
                    <w14:schemeClr w14:val="tx1"/>
                  </w14:solidFill>
                </w14:textFill>
              </w:rPr>
            </w:pPr>
            <w:r>
              <w:rPr>
                <w:rFonts w:hint="eastAsia"/>
                <w:snapToGrid w:val="0"/>
                <w:color w:val="000000" w:themeColor="text1"/>
                <w:sz w:val="21"/>
                <w:szCs w:val="21"/>
                <w14:textFill>
                  <w14:solidFill>
                    <w14:schemeClr w14:val="tx1"/>
                  </w14:solidFill>
                </w14:textFill>
              </w:rPr>
              <w:t>1</w:t>
            </w:r>
          </w:p>
        </w:tc>
        <w:tc>
          <w:tcPr>
            <w:tcW w:w="519" w:type="pct"/>
            <w:vAlign w:val="top"/>
          </w:tcPr>
          <w:p w14:paraId="4183E861">
            <w:pPr>
              <w:pStyle w:val="342"/>
              <w:overflowPunct w:val="0"/>
              <w:snapToGrid w:val="0"/>
              <w:spacing w:line="300" w:lineRule="exact"/>
              <w:rPr>
                <w:rFonts w:hint="eastAsia" w:hAnsi="宋体"/>
                <w:snapToGrid w:val="0"/>
                <w:color w:val="000000" w:themeColor="text1"/>
                <w:sz w:val="21"/>
                <w:szCs w:val="21"/>
                <w14:textFill>
                  <w14:solidFill>
                    <w14:schemeClr w14:val="tx1"/>
                  </w14:solidFill>
                </w14:textFill>
              </w:rPr>
            </w:pPr>
            <w:r>
              <w:rPr>
                <w:rFonts w:hint="eastAsia" w:hAnsi="宋体"/>
                <w:snapToGrid w:val="0"/>
                <w:color w:val="000000" w:themeColor="text1"/>
                <w:sz w:val="21"/>
                <w:szCs w:val="21"/>
                <w14:textFill>
                  <w14:solidFill>
                    <w14:schemeClr w14:val="tx1"/>
                  </w14:solidFill>
                </w14:textFill>
              </w:rPr>
              <w:t>85-90</w:t>
            </w:r>
          </w:p>
        </w:tc>
        <w:tc>
          <w:tcPr>
            <w:tcW w:w="330" w:type="pct"/>
            <w:vAlign w:val="center"/>
          </w:tcPr>
          <w:p w14:paraId="7C76AB60">
            <w:pPr>
              <w:pStyle w:val="342"/>
              <w:overflowPunct w:val="0"/>
              <w:snapToGrid w:val="0"/>
              <w:spacing w:line="300" w:lineRule="exact"/>
              <w:rPr>
                <w:rFonts w:hint="eastAsia" w:hAnsi="宋体"/>
                <w:snapToGrid w:val="0"/>
                <w:color w:val="000000" w:themeColor="text1"/>
                <w:sz w:val="21"/>
                <w:szCs w:val="21"/>
                <w14:textFill>
                  <w14:solidFill>
                    <w14:schemeClr w14:val="tx1"/>
                  </w14:solidFill>
                </w14:textFill>
              </w:rPr>
            </w:pPr>
            <w:r>
              <w:rPr>
                <w:rFonts w:hint="eastAsia" w:hAnsi="宋体"/>
                <w:snapToGrid w:val="0"/>
                <w:color w:val="000000" w:themeColor="text1"/>
                <w:sz w:val="21"/>
                <w:szCs w:val="21"/>
                <w14:textFill>
                  <w14:solidFill>
                    <w14:schemeClr w14:val="tx1"/>
                  </w14:solidFill>
                </w14:textFill>
              </w:rPr>
              <w:t>20</w:t>
            </w:r>
          </w:p>
        </w:tc>
        <w:tc>
          <w:tcPr>
            <w:tcW w:w="330" w:type="pct"/>
            <w:vAlign w:val="center"/>
          </w:tcPr>
          <w:p w14:paraId="6F996F6B">
            <w:pPr>
              <w:pStyle w:val="342"/>
              <w:overflowPunct w:val="0"/>
              <w:snapToGrid w:val="0"/>
              <w:spacing w:line="300" w:lineRule="exact"/>
              <w:rPr>
                <w:rFonts w:hint="eastAsia" w:hAnsi="宋体"/>
                <w:snapToGrid w:val="0"/>
                <w:color w:val="000000" w:themeColor="text1"/>
                <w:sz w:val="21"/>
                <w:szCs w:val="21"/>
                <w14:textFill>
                  <w14:solidFill>
                    <w14:schemeClr w14:val="tx1"/>
                  </w14:solidFill>
                </w14:textFill>
              </w:rPr>
            </w:pPr>
            <w:r>
              <w:rPr>
                <w:rFonts w:hint="eastAsia" w:hAnsi="宋体"/>
                <w:snapToGrid w:val="0"/>
                <w:color w:val="000000" w:themeColor="text1"/>
                <w:sz w:val="21"/>
                <w:szCs w:val="21"/>
                <w14:textFill>
                  <w14:solidFill>
                    <w14:schemeClr w14:val="tx1"/>
                  </w14:solidFill>
                </w14:textFill>
              </w:rPr>
              <w:t>21</w:t>
            </w:r>
          </w:p>
        </w:tc>
        <w:tc>
          <w:tcPr>
            <w:tcW w:w="329" w:type="pct"/>
            <w:vAlign w:val="center"/>
          </w:tcPr>
          <w:p w14:paraId="6C544B49">
            <w:pPr>
              <w:pStyle w:val="342"/>
              <w:overflowPunct w:val="0"/>
              <w:snapToGrid w:val="0"/>
              <w:spacing w:line="300" w:lineRule="exact"/>
              <w:rPr>
                <w:rFonts w:hint="eastAsia" w:hAnsi="宋体"/>
                <w:snapToGrid w:val="0"/>
                <w:color w:val="000000" w:themeColor="text1"/>
                <w:sz w:val="21"/>
                <w:szCs w:val="21"/>
                <w14:textFill>
                  <w14:solidFill>
                    <w14:schemeClr w14:val="tx1"/>
                  </w14:solidFill>
                </w14:textFill>
              </w:rPr>
            </w:pPr>
            <w:r>
              <w:rPr>
                <w:rFonts w:hint="eastAsia" w:hAnsi="宋体"/>
                <w:snapToGrid w:val="0"/>
                <w:color w:val="000000" w:themeColor="text1"/>
                <w:sz w:val="21"/>
                <w:szCs w:val="21"/>
                <w14:textFill>
                  <w14:solidFill>
                    <w14:schemeClr w14:val="tx1"/>
                  </w14:solidFill>
                </w14:textFill>
              </w:rPr>
              <w:t>0.5</w:t>
            </w:r>
          </w:p>
        </w:tc>
        <w:tc>
          <w:tcPr>
            <w:tcW w:w="686" w:type="pct"/>
            <w:vMerge w:val="continue"/>
            <w:vAlign w:val="center"/>
          </w:tcPr>
          <w:p w14:paraId="78D9339D">
            <w:pPr>
              <w:pStyle w:val="342"/>
              <w:overflowPunct w:val="0"/>
              <w:snapToGrid w:val="0"/>
              <w:spacing w:line="300" w:lineRule="exact"/>
              <w:rPr>
                <w:rFonts w:hint="eastAsia" w:hAnsi="宋体"/>
                <w:snapToGrid w:val="0"/>
                <w:color w:val="000000" w:themeColor="text1"/>
                <w:sz w:val="21"/>
                <w:szCs w:val="21"/>
                <w14:textFill>
                  <w14:solidFill>
                    <w14:schemeClr w14:val="tx1"/>
                  </w14:solidFill>
                </w14:textFill>
              </w:rPr>
            </w:pPr>
          </w:p>
        </w:tc>
        <w:tc>
          <w:tcPr>
            <w:tcW w:w="560" w:type="pct"/>
            <w:vMerge w:val="continue"/>
            <w:vAlign w:val="center"/>
          </w:tcPr>
          <w:p w14:paraId="3F9E173B">
            <w:pPr>
              <w:pStyle w:val="342"/>
              <w:overflowPunct w:val="0"/>
              <w:snapToGrid w:val="0"/>
              <w:spacing w:line="300" w:lineRule="exact"/>
              <w:rPr>
                <w:rFonts w:hint="eastAsia" w:hAnsi="宋体"/>
                <w:snapToGrid w:val="0"/>
                <w:color w:val="000000" w:themeColor="text1"/>
                <w:sz w:val="21"/>
                <w:szCs w:val="21"/>
                <w14:textFill>
                  <w14:solidFill>
                    <w14:schemeClr w14:val="tx1"/>
                  </w14:solidFill>
                </w14:textFill>
              </w:rPr>
            </w:pPr>
          </w:p>
        </w:tc>
      </w:tr>
      <w:tr w14:paraId="40A7948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636" w:type="pct"/>
            <w:vAlign w:val="center"/>
          </w:tcPr>
          <w:p w14:paraId="7AF84684">
            <w:pPr>
              <w:pStyle w:val="342"/>
              <w:tabs>
                <w:tab w:val="left" w:pos="1333"/>
              </w:tabs>
              <w:overflowPunct w:val="0"/>
              <w:snapToGrid w:val="0"/>
              <w:spacing w:line="300" w:lineRule="exact"/>
              <w:rPr>
                <w:snapToGrid w:val="0"/>
                <w:color w:val="000000" w:themeColor="text1"/>
                <w:sz w:val="21"/>
                <w:szCs w:val="21"/>
                <w14:textFill>
                  <w14:solidFill>
                    <w14:schemeClr w14:val="tx1"/>
                  </w14:solidFill>
                </w14:textFill>
              </w:rPr>
            </w:pPr>
            <w:r>
              <w:rPr>
                <w:rFonts w:hint="eastAsia"/>
                <w:snapToGrid w:val="0"/>
                <w:color w:val="000000" w:themeColor="text1"/>
                <w:sz w:val="21"/>
                <w:szCs w:val="21"/>
                <w14:textFill>
                  <w14:solidFill>
                    <w14:schemeClr w14:val="tx1"/>
                  </w14:solidFill>
                </w14:textFill>
              </w:rPr>
              <w:t>JHW00422</w:t>
            </w:r>
          </w:p>
        </w:tc>
        <w:tc>
          <w:tcPr>
            <w:tcW w:w="1125" w:type="pct"/>
            <w:vAlign w:val="center"/>
          </w:tcPr>
          <w:p w14:paraId="21B62D04">
            <w:pPr>
              <w:pStyle w:val="342"/>
              <w:tabs>
                <w:tab w:val="left" w:pos="1333"/>
              </w:tabs>
              <w:overflowPunct w:val="0"/>
              <w:snapToGrid w:val="0"/>
              <w:spacing w:line="300" w:lineRule="exact"/>
              <w:rPr>
                <w:snapToGrid w:val="0"/>
                <w:color w:val="000000" w:themeColor="text1"/>
                <w:sz w:val="21"/>
                <w:szCs w:val="21"/>
                <w14:textFill>
                  <w14:solidFill>
                    <w14:schemeClr w14:val="tx1"/>
                  </w14:solidFill>
                </w14:textFill>
              </w:rPr>
            </w:pPr>
            <w:r>
              <w:rPr>
                <w:rFonts w:hint="eastAsia"/>
                <w:snapToGrid w:val="0"/>
                <w:color w:val="000000" w:themeColor="text1"/>
                <w:sz w:val="21"/>
                <w:szCs w:val="21"/>
                <w14:textFill>
                  <w14:solidFill>
                    <w14:schemeClr w14:val="tx1"/>
                  </w14:solidFill>
                </w14:textFill>
              </w:rPr>
              <w:t>注气井口装置</w:t>
            </w:r>
          </w:p>
        </w:tc>
        <w:tc>
          <w:tcPr>
            <w:tcW w:w="485" w:type="pct"/>
            <w:vAlign w:val="center"/>
          </w:tcPr>
          <w:p w14:paraId="64E9BE0E">
            <w:pPr>
              <w:pStyle w:val="342"/>
              <w:tabs>
                <w:tab w:val="left" w:pos="1333"/>
              </w:tabs>
              <w:overflowPunct w:val="0"/>
              <w:snapToGrid w:val="0"/>
              <w:spacing w:line="300" w:lineRule="exact"/>
              <w:rPr>
                <w:snapToGrid w:val="0"/>
                <w:color w:val="000000" w:themeColor="text1"/>
                <w:sz w:val="21"/>
                <w:szCs w:val="21"/>
                <w14:textFill>
                  <w14:solidFill>
                    <w14:schemeClr w14:val="tx1"/>
                  </w14:solidFill>
                </w14:textFill>
              </w:rPr>
            </w:pPr>
            <w:r>
              <w:rPr>
                <w:rFonts w:hint="eastAsia"/>
                <w:snapToGrid w:val="0"/>
                <w:color w:val="000000" w:themeColor="text1"/>
                <w:sz w:val="21"/>
                <w:szCs w:val="21"/>
                <w14:textFill>
                  <w14:solidFill>
                    <w14:schemeClr w14:val="tx1"/>
                  </w14:solidFill>
                </w14:textFill>
              </w:rPr>
              <w:t>1</w:t>
            </w:r>
          </w:p>
        </w:tc>
        <w:tc>
          <w:tcPr>
            <w:tcW w:w="519" w:type="pct"/>
            <w:vAlign w:val="center"/>
          </w:tcPr>
          <w:p w14:paraId="762D037D">
            <w:pPr>
              <w:pStyle w:val="342"/>
              <w:overflowPunct w:val="0"/>
              <w:snapToGrid w:val="0"/>
              <w:spacing w:line="300" w:lineRule="exact"/>
              <w:rPr>
                <w:rFonts w:hint="eastAsia" w:hAnsi="宋体"/>
                <w:snapToGrid w:val="0"/>
                <w:color w:val="000000" w:themeColor="text1"/>
                <w:sz w:val="21"/>
                <w:szCs w:val="21"/>
                <w14:textFill>
                  <w14:solidFill>
                    <w14:schemeClr w14:val="tx1"/>
                  </w14:solidFill>
                </w14:textFill>
              </w:rPr>
            </w:pPr>
            <w:r>
              <w:rPr>
                <w:rFonts w:hint="eastAsia" w:hAnsi="宋体"/>
                <w:snapToGrid w:val="0"/>
                <w:color w:val="000000" w:themeColor="text1"/>
                <w:sz w:val="21"/>
                <w:szCs w:val="21"/>
                <w14:textFill>
                  <w14:solidFill>
                    <w14:schemeClr w14:val="tx1"/>
                  </w14:solidFill>
                </w14:textFill>
              </w:rPr>
              <w:t>65-80</w:t>
            </w:r>
          </w:p>
        </w:tc>
        <w:tc>
          <w:tcPr>
            <w:tcW w:w="330" w:type="pct"/>
            <w:vAlign w:val="center"/>
          </w:tcPr>
          <w:p w14:paraId="37EBBB89">
            <w:pPr>
              <w:pStyle w:val="342"/>
              <w:overflowPunct w:val="0"/>
              <w:snapToGrid w:val="0"/>
              <w:spacing w:line="300" w:lineRule="exact"/>
              <w:rPr>
                <w:rFonts w:hint="eastAsia" w:hAnsi="宋体"/>
                <w:snapToGrid w:val="0"/>
                <w:color w:val="000000" w:themeColor="text1"/>
                <w:sz w:val="21"/>
                <w:szCs w:val="21"/>
                <w14:textFill>
                  <w14:solidFill>
                    <w14:schemeClr w14:val="tx1"/>
                  </w14:solidFill>
                </w14:textFill>
              </w:rPr>
            </w:pPr>
            <w:r>
              <w:rPr>
                <w:rFonts w:hint="eastAsia" w:hAnsi="宋体"/>
                <w:snapToGrid w:val="0"/>
                <w:color w:val="000000" w:themeColor="text1"/>
                <w:sz w:val="21"/>
                <w:szCs w:val="21"/>
                <w14:textFill>
                  <w14:solidFill>
                    <w14:schemeClr w14:val="tx1"/>
                  </w14:solidFill>
                </w14:textFill>
              </w:rPr>
              <w:t>10</w:t>
            </w:r>
          </w:p>
        </w:tc>
        <w:tc>
          <w:tcPr>
            <w:tcW w:w="330" w:type="pct"/>
            <w:vAlign w:val="center"/>
          </w:tcPr>
          <w:p w14:paraId="69864A9D">
            <w:pPr>
              <w:pStyle w:val="342"/>
              <w:overflowPunct w:val="0"/>
              <w:snapToGrid w:val="0"/>
              <w:spacing w:line="300" w:lineRule="exact"/>
              <w:rPr>
                <w:rFonts w:hint="eastAsia" w:hAnsi="宋体"/>
                <w:snapToGrid w:val="0"/>
                <w:color w:val="000000" w:themeColor="text1"/>
                <w:sz w:val="21"/>
                <w:szCs w:val="21"/>
                <w14:textFill>
                  <w14:solidFill>
                    <w14:schemeClr w14:val="tx1"/>
                  </w14:solidFill>
                </w14:textFill>
              </w:rPr>
            </w:pPr>
            <w:r>
              <w:rPr>
                <w:rFonts w:hint="eastAsia" w:hAnsi="宋体"/>
                <w:snapToGrid w:val="0"/>
                <w:color w:val="000000" w:themeColor="text1"/>
                <w:sz w:val="21"/>
                <w:szCs w:val="21"/>
                <w14:textFill>
                  <w14:solidFill>
                    <w14:schemeClr w14:val="tx1"/>
                  </w14:solidFill>
                </w14:textFill>
              </w:rPr>
              <w:t>10</w:t>
            </w:r>
          </w:p>
        </w:tc>
        <w:tc>
          <w:tcPr>
            <w:tcW w:w="329" w:type="pct"/>
            <w:vAlign w:val="center"/>
          </w:tcPr>
          <w:p w14:paraId="5FE94CB0">
            <w:pPr>
              <w:pStyle w:val="342"/>
              <w:overflowPunct w:val="0"/>
              <w:snapToGrid w:val="0"/>
              <w:spacing w:line="300" w:lineRule="exact"/>
              <w:rPr>
                <w:rFonts w:hint="eastAsia" w:hAnsi="宋体"/>
                <w:snapToGrid w:val="0"/>
                <w:color w:val="000000" w:themeColor="text1"/>
                <w:sz w:val="21"/>
                <w:szCs w:val="21"/>
                <w14:textFill>
                  <w14:solidFill>
                    <w14:schemeClr w14:val="tx1"/>
                  </w14:solidFill>
                </w14:textFill>
              </w:rPr>
            </w:pPr>
            <w:r>
              <w:rPr>
                <w:rFonts w:hint="eastAsia" w:hAnsi="宋体"/>
                <w:snapToGrid w:val="0"/>
                <w:color w:val="000000" w:themeColor="text1"/>
                <w:sz w:val="21"/>
                <w:szCs w:val="21"/>
                <w14:textFill>
                  <w14:solidFill>
                    <w14:schemeClr w14:val="tx1"/>
                  </w14:solidFill>
                </w14:textFill>
              </w:rPr>
              <w:t>0.5</w:t>
            </w:r>
          </w:p>
        </w:tc>
        <w:tc>
          <w:tcPr>
            <w:tcW w:w="686" w:type="pct"/>
            <w:vMerge w:val="continue"/>
            <w:vAlign w:val="center"/>
          </w:tcPr>
          <w:p w14:paraId="142FEC1C">
            <w:pPr>
              <w:pStyle w:val="342"/>
              <w:overflowPunct w:val="0"/>
              <w:snapToGrid w:val="0"/>
              <w:spacing w:line="300" w:lineRule="exact"/>
              <w:rPr>
                <w:rFonts w:hint="eastAsia" w:hAnsi="宋体"/>
                <w:snapToGrid w:val="0"/>
                <w:color w:val="000000" w:themeColor="text1"/>
                <w:sz w:val="21"/>
                <w:szCs w:val="21"/>
                <w14:textFill>
                  <w14:solidFill>
                    <w14:schemeClr w14:val="tx1"/>
                  </w14:solidFill>
                </w14:textFill>
              </w:rPr>
            </w:pPr>
          </w:p>
        </w:tc>
        <w:tc>
          <w:tcPr>
            <w:tcW w:w="560" w:type="pct"/>
            <w:vMerge w:val="continue"/>
            <w:vAlign w:val="center"/>
          </w:tcPr>
          <w:p w14:paraId="0D819E6E">
            <w:pPr>
              <w:pStyle w:val="342"/>
              <w:overflowPunct w:val="0"/>
              <w:snapToGrid w:val="0"/>
              <w:spacing w:line="300" w:lineRule="exact"/>
              <w:rPr>
                <w:rFonts w:hint="eastAsia" w:hAnsi="宋体"/>
                <w:snapToGrid w:val="0"/>
                <w:color w:val="000000" w:themeColor="text1"/>
                <w:sz w:val="21"/>
                <w:szCs w:val="21"/>
                <w14:textFill>
                  <w14:solidFill>
                    <w14:schemeClr w14:val="tx1"/>
                  </w14:solidFill>
                </w14:textFill>
              </w:rPr>
            </w:pPr>
          </w:p>
        </w:tc>
      </w:tr>
      <w:tr w14:paraId="3A013DF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636" w:type="pct"/>
            <w:vMerge w:val="restart"/>
            <w:vAlign w:val="center"/>
          </w:tcPr>
          <w:p w14:paraId="77FA3CE8">
            <w:pPr>
              <w:pStyle w:val="342"/>
              <w:tabs>
                <w:tab w:val="left" w:pos="1333"/>
              </w:tabs>
              <w:overflowPunct w:val="0"/>
              <w:snapToGrid w:val="0"/>
              <w:spacing w:line="300" w:lineRule="exact"/>
              <w:rPr>
                <w:snapToGrid w:val="0"/>
                <w:color w:val="000000" w:themeColor="text1"/>
                <w:sz w:val="21"/>
                <w:szCs w:val="21"/>
                <w14:textFill>
                  <w14:solidFill>
                    <w14:schemeClr w14:val="tx1"/>
                  </w14:solidFill>
                </w14:textFill>
              </w:rPr>
            </w:pPr>
            <w:r>
              <w:rPr>
                <w:rFonts w:hint="eastAsia"/>
                <w:snapToGrid w:val="0"/>
                <w:color w:val="000000" w:themeColor="text1"/>
                <w:sz w:val="21"/>
                <w:szCs w:val="21"/>
                <w14:textFill>
                  <w14:solidFill>
                    <w14:schemeClr w14:val="tx1"/>
                  </w14:solidFill>
                </w14:textFill>
              </w:rPr>
              <w:t>JHW034</w:t>
            </w:r>
          </w:p>
        </w:tc>
        <w:tc>
          <w:tcPr>
            <w:tcW w:w="1125" w:type="pct"/>
            <w:vAlign w:val="center"/>
          </w:tcPr>
          <w:p w14:paraId="55FF9B1F">
            <w:pPr>
              <w:pStyle w:val="342"/>
              <w:tabs>
                <w:tab w:val="left" w:pos="1333"/>
              </w:tabs>
              <w:overflowPunct w:val="0"/>
              <w:snapToGrid w:val="0"/>
              <w:spacing w:line="300" w:lineRule="exact"/>
              <w:rPr>
                <w:snapToGrid w:val="0"/>
                <w:color w:val="000000" w:themeColor="text1"/>
                <w:sz w:val="21"/>
                <w:szCs w:val="21"/>
                <w14:textFill>
                  <w14:solidFill>
                    <w14:schemeClr w14:val="tx1"/>
                  </w14:solidFill>
                </w14:textFill>
              </w:rPr>
            </w:pPr>
            <w:r>
              <w:rPr>
                <w:rFonts w:hint="eastAsia"/>
                <w:snapToGrid w:val="0"/>
                <w:color w:val="000000" w:themeColor="text1"/>
                <w:sz w:val="21"/>
                <w:szCs w:val="21"/>
                <w14:textFill>
                  <w14:solidFill>
                    <w14:schemeClr w14:val="tx1"/>
                  </w14:solidFill>
                </w14:textFill>
              </w:rPr>
              <w:t>注水泵</w:t>
            </w:r>
          </w:p>
        </w:tc>
        <w:tc>
          <w:tcPr>
            <w:tcW w:w="485" w:type="pct"/>
            <w:vAlign w:val="center"/>
          </w:tcPr>
          <w:p w14:paraId="49EEE46E">
            <w:pPr>
              <w:pStyle w:val="342"/>
              <w:tabs>
                <w:tab w:val="left" w:pos="1333"/>
              </w:tabs>
              <w:overflowPunct w:val="0"/>
              <w:snapToGrid w:val="0"/>
              <w:spacing w:line="300" w:lineRule="exact"/>
              <w:rPr>
                <w:snapToGrid w:val="0"/>
                <w:color w:val="000000" w:themeColor="text1"/>
                <w:sz w:val="21"/>
                <w:szCs w:val="21"/>
                <w14:textFill>
                  <w14:solidFill>
                    <w14:schemeClr w14:val="tx1"/>
                  </w14:solidFill>
                </w14:textFill>
              </w:rPr>
            </w:pPr>
            <w:r>
              <w:rPr>
                <w:rFonts w:hint="eastAsia"/>
                <w:snapToGrid w:val="0"/>
                <w:color w:val="000000" w:themeColor="text1"/>
                <w:sz w:val="21"/>
                <w:szCs w:val="21"/>
                <w14:textFill>
                  <w14:solidFill>
                    <w14:schemeClr w14:val="tx1"/>
                  </w14:solidFill>
                </w14:textFill>
              </w:rPr>
              <w:t>1</w:t>
            </w:r>
          </w:p>
        </w:tc>
        <w:tc>
          <w:tcPr>
            <w:tcW w:w="519" w:type="pct"/>
            <w:vAlign w:val="top"/>
          </w:tcPr>
          <w:p w14:paraId="6CBE2693">
            <w:pPr>
              <w:pStyle w:val="342"/>
              <w:overflowPunct w:val="0"/>
              <w:snapToGrid w:val="0"/>
              <w:spacing w:line="300" w:lineRule="exact"/>
              <w:rPr>
                <w:rFonts w:hint="eastAsia" w:hAnsi="宋体"/>
                <w:snapToGrid w:val="0"/>
                <w:color w:val="000000" w:themeColor="text1"/>
                <w:sz w:val="21"/>
                <w:szCs w:val="21"/>
                <w14:textFill>
                  <w14:solidFill>
                    <w14:schemeClr w14:val="tx1"/>
                  </w14:solidFill>
                </w14:textFill>
              </w:rPr>
            </w:pPr>
            <w:r>
              <w:rPr>
                <w:rFonts w:hint="eastAsia" w:hAnsi="宋体"/>
                <w:snapToGrid w:val="0"/>
                <w:color w:val="000000" w:themeColor="text1"/>
                <w:sz w:val="21"/>
                <w:szCs w:val="21"/>
                <w14:textFill>
                  <w14:solidFill>
                    <w14:schemeClr w14:val="tx1"/>
                  </w14:solidFill>
                </w14:textFill>
              </w:rPr>
              <w:t>85-90</w:t>
            </w:r>
          </w:p>
        </w:tc>
        <w:tc>
          <w:tcPr>
            <w:tcW w:w="330" w:type="pct"/>
            <w:vAlign w:val="center"/>
          </w:tcPr>
          <w:p w14:paraId="55DAD4B4">
            <w:pPr>
              <w:pStyle w:val="342"/>
              <w:overflowPunct w:val="0"/>
              <w:snapToGrid w:val="0"/>
              <w:spacing w:line="300" w:lineRule="exact"/>
              <w:rPr>
                <w:rFonts w:hint="eastAsia" w:hAnsi="宋体"/>
                <w:snapToGrid w:val="0"/>
                <w:color w:val="000000" w:themeColor="text1"/>
                <w:sz w:val="21"/>
                <w:szCs w:val="21"/>
                <w14:textFill>
                  <w14:solidFill>
                    <w14:schemeClr w14:val="tx1"/>
                  </w14:solidFill>
                </w14:textFill>
              </w:rPr>
            </w:pPr>
            <w:r>
              <w:rPr>
                <w:rFonts w:hint="eastAsia" w:hAnsi="宋体"/>
                <w:snapToGrid w:val="0"/>
                <w:color w:val="000000" w:themeColor="text1"/>
                <w:sz w:val="21"/>
                <w:szCs w:val="21"/>
                <w14:textFill>
                  <w14:solidFill>
                    <w14:schemeClr w14:val="tx1"/>
                  </w14:solidFill>
                </w14:textFill>
              </w:rPr>
              <w:t>16</w:t>
            </w:r>
          </w:p>
        </w:tc>
        <w:tc>
          <w:tcPr>
            <w:tcW w:w="330" w:type="pct"/>
            <w:vAlign w:val="center"/>
          </w:tcPr>
          <w:p w14:paraId="471EEE9B">
            <w:pPr>
              <w:pStyle w:val="342"/>
              <w:overflowPunct w:val="0"/>
              <w:snapToGrid w:val="0"/>
              <w:spacing w:line="300" w:lineRule="exact"/>
              <w:rPr>
                <w:rFonts w:hint="eastAsia" w:hAnsi="宋体"/>
                <w:snapToGrid w:val="0"/>
                <w:color w:val="000000" w:themeColor="text1"/>
                <w:sz w:val="21"/>
                <w:szCs w:val="21"/>
                <w14:textFill>
                  <w14:solidFill>
                    <w14:schemeClr w14:val="tx1"/>
                  </w14:solidFill>
                </w14:textFill>
              </w:rPr>
            </w:pPr>
            <w:r>
              <w:rPr>
                <w:rFonts w:hint="eastAsia" w:hAnsi="宋体"/>
                <w:snapToGrid w:val="0"/>
                <w:color w:val="000000" w:themeColor="text1"/>
                <w:sz w:val="21"/>
                <w:szCs w:val="21"/>
                <w14:textFill>
                  <w14:solidFill>
                    <w14:schemeClr w14:val="tx1"/>
                  </w14:solidFill>
                </w14:textFill>
              </w:rPr>
              <w:t>20</w:t>
            </w:r>
          </w:p>
        </w:tc>
        <w:tc>
          <w:tcPr>
            <w:tcW w:w="329" w:type="pct"/>
            <w:vAlign w:val="center"/>
          </w:tcPr>
          <w:p w14:paraId="08B49BC2">
            <w:pPr>
              <w:pStyle w:val="342"/>
              <w:overflowPunct w:val="0"/>
              <w:snapToGrid w:val="0"/>
              <w:spacing w:line="300" w:lineRule="exact"/>
              <w:rPr>
                <w:rFonts w:hint="eastAsia" w:hAnsi="宋体"/>
                <w:snapToGrid w:val="0"/>
                <w:color w:val="000000" w:themeColor="text1"/>
                <w:sz w:val="21"/>
                <w:szCs w:val="21"/>
                <w14:textFill>
                  <w14:solidFill>
                    <w14:schemeClr w14:val="tx1"/>
                  </w14:solidFill>
                </w14:textFill>
              </w:rPr>
            </w:pPr>
            <w:r>
              <w:rPr>
                <w:rFonts w:hint="eastAsia" w:hAnsi="宋体"/>
                <w:snapToGrid w:val="0"/>
                <w:color w:val="000000" w:themeColor="text1"/>
                <w:sz w:val="21"/>
                <w:szCs w:val="21"/>
                <w14:textFill>
                  <w14:solidFill>
                    <w14:schemeClr w14:val="tx1"/>
                  </w14:solidFill>
                </w14:textFill>
              </w:rPr>
              <w:t>0.5</w:t>
            </w:r>
          </w:p>
        </w:tc>
        <w:tc>
          <w:tcPr>
            <w:tcW w:w="686" w:type="pct"/>
            <w:vMerge w:val="continue"/>
            <w:vAlign w:val="center"/>
          </w:tcPr>
          <w:p w14:paraId="13C82717">
            <w:pPr>
              <w:pStyle w:val="342"/>
              <w:overflowPunct w:val="0"/>
              <w:snapToGrid w:val="0"/>
              <w:spacing w:line="300" w:lineRule="exact"/>
              <w:rPr>
                <w:rFonts w:hint="eastAsia" w:hAnsi="宋体"/>
                <w:snapToGrid w:val="0"/>
                <w:color w:val="000000" w:themeColor="text1"/>
                <w:sz w:val="21"/>
                <w:szCs w:val="21"/>
                <w14:textFill>
                  <w14:solidFill>
                    <w14:schemeClr w14:val="tx1"/>
                  </w14:solidFill>
                </w14:textFill>
              </w:rPr>
            </w:pPr>
          </w:p>
        </w:tc>
        <w:tc>
          <w:tcPr>
            <w:tcW w:w="560" w:type="pct"/>
            <w:vMerge w:val="continue"/>
            <w:vAlign w:val="center"/>
          </w:tcPr>
          <w:p w14:paraId="00904705">
            <w:pPr>
              <w:pStyle w:val="342"/>
              <w:overflowPunct w:val="0"/>
              <w:snapToGrid w:val="0"/>
              <w:spacing w:line="300" w:lineRule="exact"/>
              <w:rPr>
                <w:rFonts w:hint="eastAsia" w:hAnsi="宋体"/>
                <w:snapToGrid w:val="0"/>
                <w:color w:val="000000" w:themeColor="text1"/>
                <w:sz w:val="21"/>
                <w:szCs w:val="21"/>
                <w14:textFill>
                  <w14:solidFill>
                    <w14:schemeClr w14:val="tx1"/>
                  </w14:solidFill>
                </w14:textFill>
              </w:rPr>
            </w:pPr>
          </w:p>
        </w:tc>
      </w:tr>
      <w:tr w14:paraId="64F973F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636" w:type="pct"/>
            <w:vMerge w:val="continue"/>
            <w:vAlign w:val="center"/>
          </w:tcPr>
          <w:p w14:paraId="5CB4156F">
            <w:pPr>
              <w:pStyle w:val="342"/>
              <w:tabs>
                <w:tab w:val="left" w:pos="1333"/>
              </w:tabs>
              <w:overflowPunct w:val="0"/>
              <w:snapToGrid w:val="0"/>
              <w:spacing w:line="300" w:lineRule="exact"/>
              <w:rPr>
                <w:snapToGrid w:val="0"/>
                <w:color w:val="000000" w:themeColor="text1"/>
                <w:sz w:val="21"/>
                <w:szCs w:val="21"/>
                <w14:textFill>
                  <w14:solidFill>
                    <w14:schemeClr w14:val="tx1"/>
                  </w14:solidFill>
                </w14:textFill>
              </w:rPr>
            </w:pPr>
          </w:p>
        </w:tc>
        <w:tc>
          <w:tcPr>
            <w:tcW w:w="1125" w:type="pct"/>
            <w:vAlign w:val="center"/>
          </w:tcPr>
          <w:p w14:paraId="03A738AA">
            <w:pPr>
              <w:pStyle w:val="342"/>
              <w:tabs>
                <w:tab w:val="left" w:pos="1333"/>
              </w:tabs>
              <w:overflowPunct w:val="0"/>
              <w:snapToGrid w:val="0"/>
              <w:spacing w:line="300" w:lineRule="exact"/>
              <w:rPr>
                <w:snapToGrid w:val="0"/>
                <w:color w:val="000000" w:themeColor="text1"/>
                <w:sz w:val="21"/>
                <w:szCs w:val="21"/>
                <w14:textFill>
                  <w14:solidFill>
                    <w14:schemeClr w14:val="tx1"/>
                  </w14:solidFill>
                </w14:textFill>
              </w:rPr>
            </w:pPr>
            <w:r>
              <w:rPr>
                <w:rFonts w:hint="eastAsia"/>
                <w:snapToGrid w:val="0"/>
                <w:color w:val="000000" w:themeColor="text1"/>
                <w:sz w:val="21"/>
                <w:szCs w:val="21"/>
                <w14:textFill>
                  <w14:solidFill>
                    <w14:schemeClr w14:val="tx1"/>
                  </w14:solidFill>
                </w14:textFill>
              </w:rPr>
              <w:t>转液泵</w:t>
            </w:r>
          </w:p>
        </w:tc>
        <w:tc>
          <w:tcPr>
            <w:tcW w:w="485" w:type="pct"/>
            <w:vAlign w:val="center"/>
          </w:tcPr>
          <w:p w14:paraId="41359678">
            <w:pPr>
              <w:pStyle w:val="342"/>
              <w:tabs>
                <w:tab w:val="left" w:pos="1333"/>
              </w:tabs>
              <w:overflowPunct w:val="0"/>
              <w:snapToGrid w:val="0"/>
              <w:spacing w:line="300" w:lineRule="exact"/>
              <w:rPr>
                <w:snapToGrid w:val="0"/>
                <w:color w:val="000000" w:themeColor="text1"/>
                <w:sz w:val="21"/>
                <w:szCs w:val="21"/>
                <w14:textFill>
                  <w14:solidFill>
                    <w14:schemeClr w14:val="tx1"/>
                  </w14:solidFill>
                </w14:textFill>
              </w:rPr>
            </w:pPr>
            <w:r>
              <w:rPr>
                <w:rFonts w:hint="eastAsia"/>
                <w:snapToGrid w:val="0"/>
                <w:color w:val="000000" w:themeColor="text1"/>
                <w:sz w:val="21"/>
                <w:szCs w:val="21"/>
                <w14:textFill>
                  <w14:solidFill>
                    <w14:schemeClr w14:val="tx1"/>
                  </w14:solidFill>
                </w14:textFill>
              </w:rPr>
              <w:t>1</w:t>
            </w:r>
          </w:p>
        </w:tc>
        <w:tc>
          <w:tcPr>
            <w:tcW w:w="519" w:type="pct"/>
            <w:vAlign w:val="top"/>
          </w:tcPr>
          <w:p w14:paraId="3FDA42B9">
            <w:pPr>
              <w:pStyle w:val="342"/>
              <w:overflowPunct w:val="0"/>
              <w:snapToGrid w:val="0"/>
              <w:spacing w:line="300" w:lineRule="exact"/>
              <w:rPr>
                <w:rFonts w:hint="eastAsia" w:hAnsi="宋体"/>
                <w:snapToGrid w:val="0"/>
                <w:color w:val="000000" w:themeColor="text1"/>
                <w:sz w:val="21"/>
                <w:szCs w:val="21"/>
                <w14:textFill>
                  <w14:solidFill>
                    <w14:schemeClr w14:val="tx1"/>
                  </w14:solidFill>
                </w14:textFill>
              </w:rPr>
            </w:pPr>
            <w:r>
              <w:rPr>
                <w:rFonts w:hint="eastAsia" w:hAnsi="宋体"/>
                <w:snapToGrid w:val="0"/>
                <w:color w:val="000000" w:themeColor="text1"/>
                <w:sz w:val="21"/>
                <w:szCs w:val="21"/>
                <w14:textFill>
                  <w14:solidFill>
                    <w14:schemeClr w14:val="tx1"/>
                  </w14:solidFill>
                </w14:textFill>
              </w:rPr>
              <w:t>85-90</w:t>
            </w:r>
          </w:p>
        </w:tc>
        <w:tc>
          <w:tcPr>
            <w:tcW w:w="330" w:type="pct"/>
            <w:vAlign w:val="center"/>
          </w:tcPr>
          <w:p w14:paraId="333E97D6">
            <w:pPr>
              <w:pStyle w:val="342"/>
              <w:overflowPunct w:val="0"/>
              <w:snapToGrid w:val="0"/>
              <w:spacing w:line="300" w:lineRule="exact"/>
              <w:rPr>
                <w:rFonts w:hint="eastAsia" w:hAnsi="宋体"/>
                <w:snapToGrid w:val="0"/>
                <w:color w:val="000000" w:themeColor="text1"/>
                <w:sz w:val="21"/>
                <w:szCs w:val="21"/>
                <w14:textFill>
                  <w14:solidFill>
                    <w14:schemeClr w14:val="tx1"/>
                  </w14:solidFill>
                </w14:textFill>
              </w:rPr>
            </w:pPr>
            <w:r>
              <w:rPr>
                <w:rFonts w:hint="eastAsia" w:hAnsi="宋体"/>
                <w:snapToGrid w:val="0"/>
                <w:color w:val="000000" w:themeColor="text1"/>
                <w:sz w:val="21"/>
                <w:szCs w:val="21"/>
                <w14:textFill>
                  <w14:solidFill>
                    <w14:schemeClr w14:val="tx1"/>
                  </w14:solidFill>
                </w14:textFill>
              </w:rPr>
              <w:t>32</w:t>
            </w:r>
          </w:p>
        </w:tc>
        <w:tc>
          <w:tcPr>
            <w:tcW w:w="330" w:type="pct"/>
            <w:vAlign w:val="center"/>
          </w:tcPr>
          <w:p w14:paraId="0353C46A">
            <w:pPr>
              <w:pStyle w:val="342"/>
              <w:overflowPunct w:val="0"/>
              <w:snapToGrid w:val="0"/>
              <w:spacing w:line="300" w:lineRule="exact"/>
              <w:rPr>
                <w:rFonts w:hint="eastAsia" w:hAnsi="宋体"/>
                <w:snapToGrid w:val="0"/>
                <w:color w:val="000000" w:themeColor="text1"/>
                <w:sz w:val="21"/>
                <w:szCs w:val="21"/>
                <w14:textFill>
                  <w14:solidFill>
                    <w14:schemeClr w14:val="tx1"/>
                  </w14:solidFill>
                </w14:textFill>
              </w:rPr>
            </w:pPr>
            <w:r>
              <w:rPr>
                <w:rFonts w:hint="eastAsia" w:hAnsi="宋体"/>
                <w:snapToGrid w:val="0"/>
                <w:color w:val="000000" w:themeColor="text1"/>
                <w:sz w:val="21"/>
                <w:szCs w:val="21"/>
                <w14:textFill>
                  <w14:solidFill>
                    <w14:schemeClr w14:val="tx1"/>
                  </w14:solidFill>
                </w14:textFill>
              </w:rPr>
              <w:t>10</w:t>
            </w:r>
          </w:p>
        </w:tc>
        <w:tc>
          <w:tcPr>
            <w:tcW w:w="329" w:type="pct"/>
            <w:vAlign w:val="center"/>
          </w:tcPr>
          <w:p w14:paraId="3FA2B78D">
            <w:pPr>
              <w:pStyle w:val="342"/>
              <w:overflowPunct w:val="0"/>
              <w:snapToGrid w:val="0"/>
              <w:spacing w:line="300" w:lineRule="exact"/>
              <w:rPr>
                <w:rFonts w:hint="eastAsia" w:hAnsi="宋体"/>
                <w:snapToGrid w:val="0"/>
                <w:color w:val="000000" w:themeColor="text1"/>
                <w:sz w:val="21"/>
                <w:szCs w:val="21"/>
                <w14:textFill>
                  <w14:solidFill>
                    <w14:schemeClr w14:val="tx1"/>
                  </w14:solidFill>
                </w14:textFill>
              </w:rPr>
            </w:pPr>
            <w:r>
              <w:rPr>
                <w:rFonts w:hint="eastAsia" w:hAnsi="宋体"/>
                <w:snapToGrid w:val="0"/>
                <w:color w:val="000000" w:themeColor="text1"/>
                <w:sz w:val="21"/>
                <w:szCs w:val="21"/>
                <w14:textFill>
                  <w14:solidFill>
                    <w14:schemeClr w14:val="tx1"/>
                  </w14:solidFill>
                </w14:textFill>
              </w:rPr>
              <w:t>0.5</w:t>
            </w:r>
          </w:p>
        </w:tc>
        <w:tc>
          <w:tcPr>
            <w:tcW w:w="686" w:type="pct"/>
            <w:vMerge w:val="continue"/>
            <w:vAlign w:val="center"/>
          </w:tcPr>
          <w:p w14:paraId="60687A09">
            <w:pPr>
              <w:pStyle w:val="342"/>
              <w:overflowPunct w:val="0"/>
              <w:snapToGrid w:val="0"/>
              <w:spacing w:line="300" w:lineRule="exact"/>
              <w:rPr>
                <w:rFonts w:hint="eastAsia" w:hAnsi="宋体"/>
                <w:snapToGrid w:val="0"/>
                <w:color w:val="000000" w:themeColor="text1"/>
                <w:sz w:val="21"/>
                <w:szCs w:val="21"/>
                <w14:textFill>
                  <w14:solidFill>
                    <w14:schemeClr w14:val="tx1"/>
                  </w14:solidFill>
                </w14:textFill>
              </w:rPr>
            </w:pPr>
          </w:p>
        </w:tc>
        <w:tc>
          <w:tcPr>
            <w:tcW w:w="560" w:type="pct"/>
            <w:vMerge w:val="continue"/>
            <w:vAlign w:val="center"/>
          </w:tcPr>
          <w:p w14:paraId="231E85A3">
            <w:pPr>
              <w:pStyle w:val="342"/>
              <w:overflowPunct w:val="0"/>
              <w:snapToGrid w:val="0"/>
              <w:spacing w:line="300" w:lineRule="exact"/>
              <w:rPr>
                <w:rFonts w:hint="eastAsia" w:hAnsi="宋体"/>
                <w:snapToGrid w:val="0"/>
                <w:color w:val="000000" w:themeColor="text1"/>
                <w:sz w:val="21"/>
                <w:szCs w:val="21"/>
                <w14:textFill>
                  <w14:solidFill>
                    <w14:schemeClr w14:val="tx1"/>
                  </w14:solidFill>
                </w14:textFill>
              </w:rPr>
            </w:pPr>
          </w:p>
        </w:tc>
      </w:tr>
      <w:tr w14:paraId="2423DDE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636" w:type="pct"/>
            <w:vMerge w:val="restart"/>
            <w:vAlign w:val="center"/>
          </w:tcPr>
          <w:p w14:paraId="50E1A118">
            <w:pPr>
              <w:pStyle w:val="342"/>
              <w:tabs>
                <w:tab w:val="left" w:pos="1333"/>
              </w:tabs>
              <w:overflowPunct w:val="0"/>
              <w:snapToGrid w:val="0"/>
              <w:spacing w:line="300" w:lineRule="exact"/>
              <w:rPr>
                <w:snapToGrid w:val="0"/>
                <w:color w:val="000000" w:themeColor="text1"/>
                <w:sz w:val="21"/>
                <w:szCs w:val="21"/>
                <w14:textFill>
                  <w14:solidFill>
                    <w14:schemeClr w14:val="tx1"/>
                  </w14:solidFill>
                </w14:textFill>
              </w:rPr>
            </w:pPr>
            <w:r>
              <w:rPr>
                <w:rFonts w:hint="eastAsia"/>
                <w:snapToGrid w:val="0"/>
                <w:color w:val="000000" w:themeColor="text1"/>
                <w:sz w:val="21"/>
                <w:szCs w:val="21"/>
                <w14:textFill>
                  <w14:solidFill>
                    <w14:schemeClr w14:val="tx1"/>
                  </w14:solidFill>
                </w14:textFill>
              </w:rPr>
              <w:t>JHW00421</w:t>
            </w:r>
          </w:p>
        </w:tc>
        <w:tc>
          <w:tcPr>
            <w:tcW w:w="1125" w:type="pct"/>
            <w:vAlign w:val="center"/>
          </w:tcPr>
          <w:p w14:paraId="7AEDE690">
            <w:pPr>
              <w:pStyle w:val="342"/>
              <w:tabs>
                <w:tab w:val="left" w:pos="1333"/>
              </w:tabs>
              <w:overflowPunct w:val="0"/>
              <w:snapToGrid w:val="0"/>
              <w:spacing w:line="300" w:lineRule="exact"/>
              <w:rPr>
                <w:snapToGrid w:val="0"/>
                <w:color w:val="000000" w:themeColor="text1"/>
                <w:sz w:val="21"/>
                <w:szCs w:val="21"/>
                <w14:textFill>
                  <w14:solidFill>
                    <w14:schemeClr w14:val="tx1"/>
                  </w14:solidFill>
                </w14:textFill>
              </w:rPr>
            </w:pPr>
            <w:r>
              <w:rPr>
                <w:rFonts w:hint="eastAsia"/>
                <w:snapToGrid w:val="0"/>
                <w:color w:val="000000" w:themeColor="text1"/>
                <w:sz w:val="21"/>
                <w:szCs w:val="21"/>
                <w14:textFill>
                  <w14:solidFill>
                    <w14:schemeClr w14:val="tx1"/>
                  </w14:solidFill>
                </w14:textFill>
              </w:rPr>
              <w:t>注水泵</w:t>
            </w:r>
          </w:p>
        </w:tc>
        <w:tc>
          <w:tcPr>
            <w:tcW w:w="485" w:type="pct"/>
            <w:vAlign w:val="center"/>
          </w:tcPr>
          <w:p w14:paraId="13B32225">
            <w:pPr>
              <w:pStyle w:val="342"/>
              <w:tabs>
                <w:tab w:val="left" w:pos="1333"/>
              </w:tabs>
              <w:overflowPunct w:val="0"/>
              <w:snapToGrid w:val="0"/>
              <w:spacing w:line="300" w:lineRule="exact"/>
              <w:rPr>
                <w:snapToGrid w:val="0"/>
                <w:color w:val="000000" w:themeColor="text1"/>
                <w:sz w:val="21"/>
                <w:szCs w:val="21"/>
                <w14:textFill>
                  <w14:solidFill>
                    <w14:schemeClr w14:val="tx1"/>
                  </w14:solidFill>
                </w14:textFill>
              </w:rPr>
            </w:pPr>
            <w:r>
              <w:rPr>
                <w:rFonts w:hint="eastAsia"/>
                <w:snapToGrid w:val="0"/>
                <w:color w:val="000000" w:themeColor="text1"/>
                <w:sz w:val="21"/>
                <w:szCs w:val="21"/>
                <w14:textFill>
                  <w14:solidFill>
                    <w14:schemeClr w14:val="tx1"/>
                  </w14:solidFill>
                </w14:textFill>
              </w:rPr>
              <w:t>1</w:t>
            </w:r>
          </w:p>
        </w:tc>
        <w:tc>
          <w:tcPr>
            <w:tcW w:w="519" w:type="pct"/>
            <w:vAlign w:val="top"/>
          </w:tcPr>
          <w:p w14:paraId="5A31946C">
            <w:pPr>
              <w:pStyle w:val="342"/>
              <w:overflowPunct w:val="0"/>
              <w:snapToGrid w:val="0"/>
              <w:spacing w:line="300" w:lineRule="exact"/>
              <w:rPr>
                <w:rFonts w:hint="eastAsia" w:hAnsi="宋体"/>
                <w:snapToGrid w:val="0"/>
                <w:color w:val="000000" w:themeColor="text1"/>
                <w:sz w:val="21"/>
                <w:szCs w:val="21"/>
                <w14:textFill>
                  <w14:solidFill>
                    <w14:schemeClr w14:val="tx1"/>
                  </w14:solidFill>
                </w14:textFill>
              </w:rPr>
            </w:pPr>
            <w:r>
              <w:rPr>
                <w:rFonts w:hint="eastAsia" w:hAnsi="宋体"/>
                <w:snapToGrid w:val="0"/>
                <w:color w:val="000000" w:themeColor="text1"/>
                <w:sz w:val="21"/>
                <w:szCs w:val="21"/>
                <w14:textFill>
                  <w14:solidFill>
                    <w14:schemeClr w14:val="tx1"/>
                  </w14:solidFill>
                </w14:textFill>
              </w:rPr>
              <w:t>85-90</w:t>
            </w:r>
          </w:p>
        </w:tc>
        <w:tc>
          <w:tcPr>
            <w:tcW w:w="330" w:type="pct"/>
            <w:vAlign w:val="center"/>
          </w:tcPr>
          <w:p w14:paraId="3B17C8CE">
            <w:pPr>
              <w:pStyle w:val="342"/>
              <w:overflowPunct w:val="0"/>
              <w:snapToGrid w:val="0"/>
              <w:spacing w:line="300" w:lineRule="exact"/>
              <w:rPr>
                <w:rFonts w:hint="eastAsia" w:hAnsi="宋体"/>
                <w:snapToGrid w:val="0"/>
                <w:color w:val="000000" w:themeColor="text1"/>
                <w:sz w:val="21"/>
                <w:szCs w:val="21"/>
                <w14:textFill>
                  <w14:solidFill>
                    <w14:schemeClr w14:val="tx1"/>
                  </w14:solidFill>
                </w14:textFill>
              </w:rPr>
            </w:pPr>
            <w:r>
              <w:rPr>
                <w:rFonts w:hint="eastAsia" w:hAnsi="宋体"/>
                <w:snapToGrid w:val="0"/>
                <w:color w:val="000000" w:themeColor="text1"/>
                <w:sz w:val="21"/>
                <w:szCs w:val="21"/>
                <w14:textFill>
                  <w14:solidFill>
                    <w14:schemeClr w14:val="tx1"/>
                  </w14:solidFill>
                </w14:textFill>
              </w:rPr>
              <w:t>16</w:t>
            </w:r>
          </w:p>
        </w:tc>
        <w:tc>
          <w:tcPr>
            <w:tcW w:w="330" w:type="pct"/>
            <w:vAlign w:val="center"/>
          </w:tcPr>
          <w:p w14:paraId="1A7F4AF3">
            <w:pPr>
              <w:pStyle w:val="342"/>
              <w:overflowPunct w:val="0"/>
              <w:snapToGrid w:val="0"/>
              <w:spacing w:line="300" w:lineRule="exact"/>
              <w:rPr>
                <w:rFonts w:hint="eastAsia" w:hAnsi="宋体"/>
                <w:snapToGrid w:val="0"/>
                <w:color w:val="000000" w:themeColor="text1"/>
                <w:sz w:val="21"/>
                <w:szCs w:val="21"/>
                <w14:textFill>
                  <w14:solidFill>
                    <w14:schemeClr w14:val="tx1"/>
                  </w14:solidFill>
                </w14:textFill>
              </w:rPr>
            </w:pPr>
            <w:r>
              <w:rPr>
                <w:rFonts w:hint="eastAsia" w:hAnsi="宋体"/>
                <w:snapToGrid w:val="0"/>
                <w:color w:val="000000" w:themeColor="text1"/>
                <w:sz w:val="21"/>
                <w:szCs w:val="21"/>
                <w14:textFill>
                  <w14:solidFill>
                    <w14:schemeClr w14:val="tx1"/>
                  </w14:solidFill>
                </w14:textFill>
              </w:rPr>
              <w:t>20</w:t>
            </w:r>
          </w:p>
        </w:tc>
        <w:tc>
          <w:tcPr>
            <w:tcW w:w="329" w:type="pct"/>
            <w:vAlign w:val="center"/>
          </w:tcPr>
          <w:p w14:paraId="206B0407">
            <w:pPr>
              <w:pStyle w:val="342"/>
              <w:overflowPunct w:val="0"/>
              <w:snapToGrid w:val="0"/>
              <w:spacing w:line="300" w:lineRule="exact"/>
              <w:rPr>
                <w:rFonts w:hint="eastAsia" w:hAnsi="宋体"/>
                <w:snapToGrid w:val="0"/>
                <w:color w:val="000000" w:themeColor="text1"/>
                <w:sz w:val="21"/>
                <w:szCs w:val="21"/>
                <w14:textFill>
                  <w14:solidFill>
                    <w14:schemeClr w14:val="tx1"/>
                  </w14:solidFill>
                </w14:textFill>
              </w:rPr>
            </w:pPr>
            <w:r>
              <w:rPr>
                <w:rFonts w:hint="eastAsia" w:hAnsi="宋体"/>
                <w:snapToGrid w:val="0"/>
                <w:color w:val="000000" w:themeColor="text1"/>
                <w:sz w:val="21"/>
                <w:szCs w:val="21"/>
                <w14:textFill>
                  <w14:solidFill>
                    <w14:schemeClr w14:val="tx1"/>
                  </w14:solidFill>
                </w14:textFill>
              </w:rPr>
              <w:t>0.5</w:t>
            </w:r>
          </w:p>
        </w:tc>
        <w:tc>
          <w:tcPr>
            <w:tcW w:w="686" w:type="pct"/>
            <w:vMerge w:val="continue"/>
            <w:vAlign w:val="center"/>
          </w:tcPr>
          <w:p w14:paraId="4486396A">
            <w:pPr>
              <w:pStyle w:val="342"/>
              <w:overflowPunct w:val="0"/>
              <w:snapToGrid w:val="0"/>
              <w:spacing w:line="300" w:lineRule="exact"/>
              <w:rPr>
                <w:rFonts w:hint="eastAsia" w:hAnsi="宋体"/>
                <w:snapToGrid w:val="0"/>
                <w:color w:val="000000" w:themeColor="text1"/>
                <w:sz w:val="21"/>
                <w:szCs w:val="21"/>
                <w14:textFill>
                  <w14:solidFill>
                    <w14:schemeClr w14:val="tx1"/>
                  </w14:solidFill>
                </w14:textFill>
              </w:rPr>
            </w:pPr>
          </w:p>
        </w:tc>
        <w:tc>
          <w:tcPr>
            <w:tcW w:w="560" w:type="pct"/>
            <w:vMerge w:val="continue"/>
            <w:vAlign w:val="center"/>
          </w:tcPr>
          <w:p w14:paraId="6C556C2D">
            <w:pPr>
              <w:pStyle w:val="342"/>
              <w:overflowPunct w:val="0"/>
              <w:snapToGrid w:val="0"/>
              <w:spacing w:line="300" w:lineRule="exact"/>
              <w:rPr>
                <w:rFonts w:hint="eastAsia" w:hAnsi="宋体"/>
                <w:snapToGrid w:val="0"/>
                <w:color w:val="000000" w:themeColor="text1"/>
                <w:sz w:val="21"/>
                <w:szCs w:val="21"/>
                <w14:textFill>
                  <w14:solidFill>
                    <w14:schemeClr w14:val="tx1"/>
                  </w14:solidFill>
                </w14:textFill>
              </w:rPr>
            </w:pPr>
          </w:p>
        </w:tc>
      </w:tr>
      <w:tr w14:paraId="0A2DE1C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636" w:type="pct"/>
            <w:vMerge w:val="continue"/>
            <w:vAlign w:val="center"/>
          </w:tcPr>
          <w:p w14:paraId="0F05B660">
            <w:pPr>
              <w:pStyle w:val="342"/>
              <w:tabs>
                <w:tab w:val="left" w:pos="1333"/>
              </w:tabs>
              <w:overflowPunct w:val="0"/>
              <w:snapToGrid w:val="0"/>
              <w:spacing w:line="300" w:lineRule="exact"/>
              <w:rPr>
                <w:snapToGrid w:val="0"/>
                <w:color w:val="000000" w:themeColor="text1"/>
                <w:sz w:val="21"/>
                <w:szCs w:val="21"/>
                <w14:textFill>
                  <w14:solidFill>
                    <w14:schemeClr w14:val="tx1"/>
                  </w14:solidFill>
                </w14:textFill>
              </w:rPr>
            </w:pPr>
          </w:p>
        </w:tc>
        <w:tc>
          <w:tcPr>
            <w:tcW w:w="1125" w:type="pct"/>
            <w:vAlign w:val="center"/>
          </w:tcPr>
          <w:p w14:paraId="69323C37">
            <w:pPr>
              <w:pStyle w:val="342"/>
              <w:tabs>
                <w:tab w:val="left" w:pos="1333"/>
              </w:tabs>
              <w:overflowPunct w:val="0"/>
              <w:snapToGrid w:val="0"/>
              <w:spacing w:line="300" w:lineRule="exact"/>
              <w:rPr>
                <w:snapToGrid w:val="0"/>
                <w:color w:val="000000" w:themeColor="text1"/>
                <w:sz w:val="21"/>
                <w:szCs w:val="21"/>
                <w14:textFill>
                  <w14:solidFill>
                    <w14:schemeClr w14:val="tx1"/>
                  </w14:solidFill>
                </w14:textFill>
              </w:rPr>
            </w:pPr>
            <w:r>
              <w:rPr>
                <w:rFonts w:hint="eastAsia"/>
                <w:snapToGrid w:val="0"/>
                <w:color w:val="000000" w:themeColor="text1"/>
                <w:sz w:val="21"/>
                <w:szCs w:val="21"/>
                <w14:textFill>
                  <w14:solidFill>
                    <w14:schemeClr w14:val="tx1"/>
                  </w14:solidFill>
                </w14:textFill>
              </w:rPr>
              <w:t>转液泵</w:t>
            </w:r>
          </w:p>
        </w:tc>
        <w:tc>
          <w:tcPr>
            <w:tcW w:w="485" w:type="pct"/>
            <w:vAlign w:val="center"/>
          </w:tcPr>
          <w:p w14:paraId="473D04CA">
            <w:pPr>
              <w:pStyle w:val="342"/>
              <w:tabs>
                <w:tab w:val="left" w:pos="1333"/>
              </w:tabs>
              <w:overflowPunct w:val="0"/>
              <w:snapToGrid w:val="0"/>
              <w:spacing w:line="300" w:lineRule="exact"/>
              <w:rPr>
                <w:snapToGrid w:val="0"/>
                <w:color w:val="000000" w:themeColor="text1"/>
                <w:sz w:val="21"/>
                <w:szCs w:val="21"/>
                <w14:textFill>
                  <w14:solidFill>
                    <w14:schemeClr w14:val="tx1"/>
                  </w14:solidFill>
                </w14:textFill>
              </w:rPr>
            </w:pPr>
            <w:r>
              <w:rPr>
                <w:rFonts w:hint="eastAsia"/>
                <w:snapToGrid w:val="0"/>
                <w:color w:val="000000" w:themeColor="text1"/>
                <w:sz w:val="21"/>
                <w:szCs w:val="21"/>
                <w14:textFill>
                  <w14:solidFill>
                    <w14:schemeClr w14:val="tx1"/>
                  </w14:solidFill>
                </w14:textFill>
              </w:rPr>
              <w:t>1</w:t>
            </w:r>
          </w:p>
        </w:tc>
        <w:tc>
          <w:tcPr>
            <w:tcW w:w="519" w:type="pct"/>
            <w:vAlign w:val="top"/>
          </w:tcPr>
          <w:p w14:paraId="0AED8810">
            <w:pPr>
              <w:pStyle w:val="342"/>
              <w:overflowPunct w:val="0"/>
              <w:snapToGrid w:val="0"/>
              <w:spacing w:line="300" w:lineRule="exact"/>
              <w:rPr>
                <w:rFonts w:hint="eastAsia" w:hAnsi="宋体"/>
                <w:snapToGrid w:val="0"/>
                <w:color w:val="000000" w:themeColor="text1"/>
                <w:sz w:val="21"/>
                <w:szCs w:val="21"/>
                <w14:textFill>
                  <w14:solidFill>
                    <w14:schemeClr w14:val="tx1"/>
                  </w14:solidFill>
                </w14:textFill>
              </w:rPr>
            </w:pPr>
            <w:r>
              <w:rPr>
                <w:rFonts w:hint="eastAsia" w:hAnsi="宋体"/>
                <w:snapToGrid w:val="0"/>
                <w:color w:val="000000" w:themeColor="text1"/>
                <w:sz w:val="21"/>
                <w:szCs w:val="21"/>
                <w14:textFill>
                  <w14:solidFill>
                    <w14:schemeClr w14:val="tx1"/>
                  </w14:solidFill>
                </w14:textFill>
              </w:rPr>
              <w:t>85-90</w:t>
            </w:r>
          </w:p>
        </w:tc>
        <w:tc>
          <w:tcPr>
            <w:tcW w:w="330" w:type="pct"/>
            <w:vAlign w:val="center"/>
          </w:tcPr>
          <w:p w14:paraId="558976A6">
            <w:pPr>
              <w:pStyle w:val="342"/>
              <w:overflowPunct w:val="0"/>
              <w:snapToGrid w:val="0"/>
              <w:spacing w:line="300" w:lineRule="exact"/>
              <w:rPr>
                <w:rFonts w:hint="eastAsia" w:hAnsi="宋体"/>
                <w:snapToGrid w:val="0"/>
                <w:color w:val="000000" w:themeColor="text1"/>
                <w:sz w:val="21"/>
                <w:szCs w:val="21"/>
                <w14:textFill>
                  <w14:solidFill>
                    <w14:schemeClr w14:val="tx1"/>
                  </w14:solidFill>
                </w14:textFill>
              </w:rPr>
            </w:pPr>
            <w:r>
              <w:rPr>
                <w:rFonts w:hint="eastAsia" w:hAnsi="宋体"/>
                <w:snapToGrid w:val="0"/>
                <w:color w:val="000000" w:themeColor="text1"/>
                <w:sz w:val="21"/>
                <w:szCs w:val="21"/>
                <w14:textFill>
                  <w14:solidFill>
                    <w14:schemeClr w14:val="tx1"/>
                  </w14:solidFill>
                </w14:textFill>
              </w:rPr>
              <w:t>32</w:t>
            </w:r>
          </w:p>
        </w:tc>
        <w:tc>
          <w:tcPr>
            <w:tcW w:w="330" w:type="pct"/>
            <w:vAlign w:val="center"/>
          </w:tcPr>
          <w:p w14:paraId="159997EC">
            <w:pPr>
              <w:pStyle w:val="342"/>
              <w:overflowPunct w:val="0"/>
              <w:snapToGrid w:val="0"/>
              <w:spacing w:line="300" w:lineRule="exact"/>
              <w:rPr>
                <w:rFonts w:hint="eastAsia" w:hAnsi="宋体"/>
                <w:snapToGrid w:val="0"/>
                <w:color w:val="000000" w:themeColor="text1"/>
                <w:sz w:val="21"/>
                <w:szCs w:val="21"/>
                <w14:textFill>
                  <w14:solidFill>
                    <w14:schemeClr w14:val="tx1"/>
                  </w14:solidFill>
                </w14:textFill>
              </w:rPr>
            </w:pPr>
            <w:r>
              <w:rPr>
                <w:rFonts w:hint="eastAsia" w:hAnsi="宋体"/>
                <w:snapToGrid w:val="0"/>
                <w:color w:val="000000" w:themeColor="text1"/>
                <w:sz w:val="21"/>
                <w:szCs w:val="21"/>
                <w14:textFill>
                  <w14:solidFill>
                    <w14:schemeClr w14:val="tx1"/>
                  </w14:solidFill>
                </w14:textFill>
              </w:rPr>
              <w:t>10</w:t>
            </w:r>
          </w:p>
        </w:tc>
        <w:tc>
          <w:tcPr>
            <w:tcW w:w="329" w:type="pct"/>
            <w:vAlign w:val="center"/>
          </w:tcPr>
          <w:p w14:paraId="4065F580">
            <w:pPr>
              <w:pStyle w:val="342"/>
              <w:overflowPunct w:val="0"/>
              <w:snapToGrid w:val="0"/>
              <w:spacing w:line="300" w:lineRule="exact"/>
              <w:rPr>
                <w:rFonts w:hint="eastAsia" w:hAnsi="宋体"/>
                <w:snapToGrid w:val="0"/>
                <w:color w:val="000000" w:themeColor="text1"/>
                <w:sz w:val="21"/>
                <w:szCs w:val="21"/>
                <w14:textFill>
                  <w14:solidFill>
                    <w14:schemeClr w14:val="tx1"/>
                  </w14:solidFill>
                </w14:textFill>
              </w:rPr>
            </w:pPr>
            <w:r>
              <w:rPr>
                <w:rFonts w:hint="eastAsia" w:hAnsi="宋体"/>
                <w:snapToGrid w:val="0"/>
                <w:color w:val="000000" w:themeColor="text1"/>
                <w:sz w:val="21"/>
                <w:szCs w:val="21"/>
                <w14:textFill>
                  <w14:solidFill>
                    <w14:schemeClr w14:val="tx1"/>
                  </w14:solidFill>
                </w14:textFill>
              </w:rPr>
              <w:t>0.5</w:t>
            </w:r>
          </w:p>
        </w:tc>
        <w:tc>
          <w:tcPr>
            <w:tcW w:w="686" w:type="pct"/>
            <w:vMerge w:val="continue"/>
            <w:vAlign w:val="center"/>
          </w:tcPr>
          <w:p w14:paraId="22881541">
            <w:pPr>
              <w:pStyle w:val="342"/>
              <w:overflowPunct w:val="0"/>
              <w:snapToGrid w:val="0"/>
              <w:spacing w:line="300" w:lineRule="exact"/>
              <w:rPr>
                <w:rFonts w:hint="eastAsia" w:hAnsi="宋体"/>
                <w:snapToGrid w:val="0"/>
                <w:color w:val="000000" w:themeColor="text1"/>
                <w:sz w:val="21"/>
                <w:szCs w:val="21"/>
                <w14:textFill>
                  <w14:solidFill>
                    <w14:schemeClr w14:val="tx1"/>
                  </w14:solidFill>
                </w14:textFill>
              </w:rPr>
            </w:pPr>
          </w:p>
        </w:tc>
        <w:tc>
          <w:tcPr>
            <w:tcW w:w="560" w:type="pct"/>
            <w:vMerge w:val="continue"/>
            <w:vAlign w:val="center"/>
          </w:tcPr>
          <w:p w14:paraId="59A42BB7">
            <w:pPr>
              <w:pStyle w:val="342"/>
              <w:overflowPunct w:val="0"/>
              <w:snapToGrid w:val="0"/>
              <w:spacing w:line="300" w:lineRule="exact"/>
              <w:rPr>
                <w:rFonts w:hint="eastAsia" w:hAnsi="宋体"/>
                <w:snapToGrid w:val="0"/>
                <w:color w:val="000000" w:themeColor="text1"/>
                <w:sz w:val="21"/>
                <w:szCs w:val="21"/>
                <w14:textFill>
                  <w14:solidFill>
                    <w14:schemeClr w14:val="tx1"/>
                  </w14:solidFill>
                </w14:textFill>
              </w:rPr>
            </w:pPr>
          </w:p>
        </w:tc>
      </w:tr>
      <w:tr w14:paraId="2E65D82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636" w:type="pct"/>
            <w:vMerge w:val="restart"/>
            <w:vAlign w:val="center"/>
          </w:tcPr>
          <w:p w14:paraId="1D3C328B">
            <w:pPr>
              <w:pStyle w:val="342"/>
              <w:tabs>
                <w:tab w:val="left" w:pos="1333"/>
              </w:tabs>
              <w:overflowPunct w:val="0"/>
              <w:snapToGrid w:val="0"/>
              <w:spacing w:line="300" w:lineRule="exact"/>
              <w:rPr>
                <w:snapToGrid w:val="0"/>
                <w:color w:val="000000" w:themeColor="text1"/>
                <w:sz w:val="21"/>
                <w:szCs w:val="21"/>
                <w14:textFill>
                  <w14:solidFill>
                    <w14:schemeClr w14:val="tx1"/>
                  </w14:solidFill>
                </w14:textFill>
              </w:rPr>
            </w:pPr>
            <w:r>
              <w:rPr>
                <w:rFonts w:hint="eastAsia"/>
                <w:snapToGrid w:val="0"/>
                <w:color w:val="000000" w:themeColor="text1"/>
                <w:sz w:val="21"/>
                <w:szCs w:val="21"/>
                <w14:textFill>
                  <w14:solidFill>
                    <w14:schemeClr w14:val="tx1"/>
                  </w14:solidFill>
                </w14:textFill>
              </w:rPr>
              <w:t>预处理注入站</w:t>
            </w:r>
          </w:p>
        </w:tc>
        <w:tc>
          <w:tcPr>
            <w:tcW w:w="1125" w:type="pct"/>
            <w:vAlign w:val="center"/>
          </w:tcPr>
          <w:p w14:paraId="296BB366">
            <w:pPr>
              <w:pStyle w:val="342"/>
              <w:tabs>
                <w:tab w:val="left" w:pos="1333"/>
              </w:tabs>
              <w:overflowPunct w:val="0"/>
              <w:snapToGrid w:val="0"/>
              <w:spacing w:line="300" w:lineRule="exact"/>
              <w:rPr>
                <w:snapToGrid w:val="0"/>
                <w:color w:val="000000" w:themeColor="text1"/>
                <w:sz w:val="21"/>
                <w:szCs w:val="21"/>
                <w14:textFill>
                  <w14:solidFill>
                    <w14:schemeClr w14:val="tx1"/>
                  </w14:solidFill>
                </w14:textFill>
              </w:rPr>
            </w:pPr>
            <w:r>
              <w:rPr>
                <w:rFonts w:hint="eastAsia"/>
                <w:snapToGrid w:val="0"/>
                <w:color w:val="000000" w:themeColor="text1"/>
                <w:sz w:val="21"/>
                <w:szCs w:val="21"/>
                <w14:textFill>
                  <w14:solidFill>
                    <w14:schemeClr w14:val="tx1"/>
                  </w14:solidFill>
                </w14:textFill>
              </w:rPr>
              <w:t>油气分离橇</w:t>
            </w:r>
          </w:p>
        </w:tc>
        <w:tc>
          <w:tcPr>
            <w:tcW w:w="485" w:type="pct"/>
            <w:vAlign w:val="center"/>
          </w:tcPr>
          <w:p w14:paraId="23CE0CAC">
            <w:pPr>
              <w:pStyle w:val="342"/>
              <w:tabs>
                <w:tab w:val="left" w:pos="1333"/>
              </w:tabs>
              <w:overflowPunct w:val="0"/>
              <w:snapToGrid w:val="0"/>
              <w:spacing w:line="300" w:lineRule="exact"/>
              <w:rPr>
                <w:snapToGrid w:val="0"/>
                <w:color w:val="000000" w:themeColor="text1"/>
                <w:sz w:val="21"/>
                <w:szCs w:val="21"/>
                <w14:textFill>
                  <w14:solidFill>
                    <w14:schemeClr w14:val="tx1"/>
                  </w14:solidFill>
                </w14:textFill>
              </w:rPr>
            </w:pPr>
            <w:r>
              <w:rPr>
                <w:rFonts w:hint="eastAsia"/>
                <w:snapToGrid w:val="0"/>
                <w:color w:val="000000" w:themeColor="text1"/>
                <w:sz w:val="21"/>
                <w:szCs w:val="21"/>
                <w14:textFill>
                  <w14:solidFill>
                    <w14:schemeClr w14:val="tx1"/>
                  </w14:solidFill>
                </w14:textFill>
              </w:rPr>
              <w:t>2</w:t>
            </w:r>
          </w:p>
        </w:tc>
        <w:tc>
          <w:tcPr>
            <w:tcW w:w="519" w:type="pct"/>
            <w:vAlign w:val="center"/>
          </w:tcPr>
          <w:p w14:paraId="32C8FA4D">
            <w:pPr>
              <w:pStyle w:val="342"/>
              <w:overflowPunct w:val="0"/>
              <w:snapToGrid w:val="0"/>
              <w:spacing w:line="300" w:lineRule="exact"/>
              <w:rPr>
                <w:rFonts w:hint="eastAsia" w:hAnsi="宋体"/>
                <w:snapToGrid w:val="0"/>
                <w:color w:val="000000" w:themeColor="text1"/>
                <w:sz w:val="21"/>
                <w:szCs w:val="21"/>
                <w14:textFill>
                  <w14:solidFill>
                    <w14:schemeClr w14:val="tx1"/>
                  </w14:solidFill>
                </w14:textFill>
              </w:rPr>
            </w:pPr>
            <w:bookmarkStart w:id="342" w:name="OLE_LINK103"/>
            <w:r>
              <w:rPr>
                <w:rFonts w:hint="eastAsia" w:hAnsi="宋体"/>
                <w:snapToGrid w:val="0"/>
                <w:color w:val="000000" w:themeColor="text1"/>
                <w:sz w:val="21"/>
                <w:szCs w:val="21"/>
                <w14:textFill>
                  <w14:solidFill>
                    <w14:schemeClr w14:val="tx1"/>
                  </w14:solidFill>
                </w14:textFill>
              </w:rPr>
              <w:t>65-80</w:t>
            </w:r>
            <w:bookmarkEnd w:id="342"/>
          </w:p>
        </w:tc>
        <w:tc>
          <w:tcPr>
            <w:tcW w:w="330" w:type="pct"/>
            <w:vAlign w:val="center"/>
          </w:tcPr>
          <w:p w14:paraId="63373150">
            <w:pPr>
              <w:pStyle w:val="342"/>
              <w:overflowPunct w:val="0"/>
              <w:snapToGrid w:val="0"/>
              <w:spacing w:line="300" w:lineRule="exact"/>
              <w:rPr>
                <w:rFonts w:hint="eastAsia" w:hAnsi="宋体"/>
                <w:snapToGrid w:val="0"/>
                <w:color w:val="000000" w:themeColor="text1"/>
                <w:sz w:val="21"/>
                <w:szCs w:val="21"/>
                <w14:textFill>
                  <w14:solidFill>
                    <w14:schemeClr w14:val="tx1"/>
                  </w14:solidFill>
                </w14:textFill>
              </w:rPr>
            </w:pPr>
            <w:r>
              <w:rPr>
                <w:rFonts w:hint="eastAsia" w:hAnsi="宋体"/>
                <w:snapToGrid w:val="0"/>
                <w:color w:val="000000" w:themeColor="text1"/>
                <w:sz w:val="21"/>
                <w:szCs w:val="21"/>
                <w14:textFill>
                  <w14:solidFill>
                    <w14:schemeClr w14:val="tx1"/>
                  </w14:solidFill>
                </w14:textFill>
              </w:rPr>
              <w:t>51</w:t>
            </w:r>
          </w:p>
        </w:tc>
        <w:tc>
          <w:tcPr>
            <w:tcW w:w="330" w:type="pct"/>
            <w:vAlign w:val="center"/>
          </w:tcPr>
          <w:p w14:paraId="576BC5FE">
            <w:pPr>
              <w:pStyle w:val="342"/>
              <w:overflowPunct w:val="0"/>
              <w:snapToGrid w:val="0"/>
              <w:spacing w:line="300" w:lineRule="exact"/>
              <w:rPr>
                <w:rFonts w:hint="eastAsia" w:hAnsi="宋体"/>
                <w:snapToGrid w:val="0"/>
                <w:color w:val="000000" w:themeColor="text1"/>
                <w:sz w:val="21"/>
                <w:szCs w:val="21"/>
                <w14:textFill>
                  <w14:solidFill>
                    <w14:schemeClr w14:val="tx1"/>
                  </w14:solidFill>
                </w14:textFill>
              </w:rPr>
            </w:pPr>
            <w:r>
              <w:rPr>
                <w:rFonts w:hint="eastAsia" w:hAnsi="宋体"/>
                <w:snapToGrid w:val="0"/>
                <w:color w:val="000000" w:themeColor="text1"/>
                <w:sz w:val="21"/>
                <w:szCs w:val="21"/>
                <w14:textFill>
                  <w14:solidFill>
                    <w14:schemeClr w14:val="tx1"/>
                  </w14:solidFill>
                </w14:textFill>
              </w:rPr>
              <w:t>11</w:t>
            </w:r>
          </w:p>
        </w:tc>
        <w:tc>
          <w:tcPr>
            <w:tcW w:w="329" w:type="pct"/>
            <w:vAlign w:val="center"/>
          </w:tcPr>
          <w:p w14:paraId="5C978BBF">
            <w:pPr>
              <w:pStyle w:val="342"/>
              <w:overflowPunct w:val="0"/>
              <w:snapToGrid w:val="0"/>
              <w:spacing w:line="300" w:lineRule="exact"/>
              <w:rPr>
                <w:rFonts w:hint="eastAsia" w:hAnsi="宋体"/>
                <w:snapToGrid w:val="0"/>
                <w:color w:val="000000" w:themeColor="text1"/>
                <w:sz w:val="21"/>
                <w:szCs w:val="21"/>
                <w14:textFill>
                  <w14:solidFill>
                    <w14:schemeClr w14:val="tx1"/>
                  </w14:solidFill>
                </w14:textFill>
              </w:rPr>
            </w:pPr>
            <w:r>
              <w:rPr>
                <w:rFonts w:hint="eastAsia" w:hAnsi="宋体"/>
                <w:snapToGrid w:val="0"/>
                <w:color w:val="000000" w:themeColor="text1"/>
                <w:sz w:val="21"/>
                <w:szCs w:val="21"/>
                <w14:textFill>
                  <w14:solidFill>
                    <w14:schemeClr w14:val="tx1"/>
                  </w14:solidFill>
                </w14:textFill>
              </w:rPr>
              <w:t>0.5</w:t>
            </w:r>
          </w:p>
        </w:tc>
        <w:tc>
          <w:tcPr>
            <w:tcW w:w="686" w:type="pct"/>
            <w:vMerge w:val="continue"/>
            <w:vAlign w:val="center"/>
          </w:tcPr>
          <w:p w14:paraId="3CD8FC7F">
            <w:pPr>
              <w:pStyle w:val="342"/>
              <w:overflowPunct w:val="0"/>
              <w:snapToGrid w:val="0"/>
              <w:spacing w:line="300" w:lineRule="exact"/>
              <w:rPr>
                <w:rFonts w:hint="eastAsia" w:hAnsi="宋体"/>
                <w:snapToGrid w:val="0"/>
                <w:color w:val="000000" w:themeColor="text1"/>
                <w:sz w:val="21"/>
                <w:szCs w:val="21"/>
                <w14:textFill>
                  <w14:solidFill>
                    <w14:schemeClr w14:val="tx1"/>
                  </w14:solidFill>
                </w14:textFill>
              </w:rPr>
            </w:pPr>
          </w:p>
        </w:tc>
        <w:tc>
          <w:tcPr>
            <w:tcW w:w="560" w:type="pct"/>
            <w:vMerge w:val="continue"/>
            <w:vAlign w:val="center"/>
          </w:tcPr>
          <w:p w14:paraId="6B5B735E">
            <w:pPr>
              <w:pStyle w:val="342"/>
              <w:overflowPunct w:val="0"/>
              <w:snapToGrid w:val="0"/>
              <w:spacing w:line="300" w:lineRule="exact"/>
              <w:rPr>
                <w:rFonts w:hint="eastAsia" w:hAnsi="宋体"/>
                <w:snapToGrid w:val="0"/>
                <w:color w:val="000000" w:themeColor="text1"/>
                <w:sz w:val="21"/>
                <w:szCs w:val="21"/>
                <w14:textFill>
                  <w14:solidFill>
                    <w14:schemeClr w14:val="tx1"/>
                  </w14:solidFill>
                </w14:textFill>
              </w:rPr>
            </w:pPr>
          </w:p>
        </w:tc>
      </w:tr>
      <w:tr w14:paraId="07A89CC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636" w:type="pct"/>
            <w:vMerge w:val="continue"/>
            <w:vAlign w:val="center"/>
          </w:tcPr>
          <w:p w14:paraId="14234072">
            <w:pPr>
              <w:pStyle w:val="342"/>
              <w:tabs>
                <w:tab w:val="left" w:pos="1333"/>
              </w:tabs>
              <w:overflowPunct w:val="0"/>
              <w:snapToGrid w:val="0"/>
              <w:spacing w:line="300" w:lineRule="exact"/>
              <w:rPr>
                <w:snapToGrid w:val="0"/>
                <w:color w:val="000000" w:themeColor="text1"/>
                <w:sz w:val="21"/>
                <w:szCs w:val="21"/>
                <w14:textFill>
                  <w14:solidFill>
                    <w14:schemeClr w14:val="tx1"/>
                  </w14:solidFill>
                </w14:textFill>
              </w:rPr>
            </w:pPr>
          </w:p>
        </w:tc>
        <w:tc>
          <w:tcPr>
            <w:tcW w:w="1125" w:type="pct"/>
            <w:vAlign w:val="center"/>
          </w:tcPr>
          <w:p w14:paraId="276BFFD3">
            <w:pPr>
              <w:pStyle w:val="342"/>
              <w:tabs>
                <w:tab w:val="left" w:pos="1333"/>
              </w:tabs>
              <w:overflowPunct w:val="0"/>
              <w:snapToGrid w:val="0"/>
              <w:spacing w:line="300" w:lineRule="exact"/>
              <w:rPr>
                <w:snapToGrid w:val="0"/>
                <w:color w:val="000000" w:themeColor="text1"/>
                <w:sz w:val="21"/>
                <w:szCs w:val="21"/>
                <w14:textFill>
                  <w14:solidFill>
                    <w14:schemeClr w14:val="tx1"/>
                  </w14:solidFill>
                </w14:textFill>
              </w:rPr>
            </w:pPr>
            <w:r>
              <w:rPr>
                <w:rFonts w:hint="eastAsia"/>
                <w:snapToGrid w:val="0"/>
                <w:color w:val="000000" w:themeColor="text1"/>
                <w:sz w:val="21"/>
                <w:szCs w:val="21"/>
                <w14:textFill>
                  <w14:solidFill>
                    <w14:schemeClr w14:val="tx1"/>
                  </w14:solidFill>
                </w14:textFill>
              </w:rPr>
              <w:t>伴生气除液器撬</w:t>
            </w:r>
          </w:p>
        </w:tc>
        <w:tc>
          <w:tcPr>
            <w:tcW w:w="485" w:type="pct"/>
            <w:vAlign w:val="center"/>
          </w:tcPr>
          <w:p w14:paraId="75421425">
            <w:pPr>
              <w:pStyle w:val="342"/>
              <w:tabs>
                <w:tab w:val="left" w:pos="1333"/>
              </w:tabs>
              <w:overflowPunct w:val="0"/>
              <w:snapToGrid w:val="0"/>
              <w:spacing w:line="300" w:lineRule="exact"/>
              <w:rPr>
                <w:snapToGrid w:val="0"/>
                <w:color w:val="000000" w:themeColor="text1"/>
                <w:sz w:val="21"/>
                <w:szCs w:val="21"/>
                <w14:textFill>
                  <w14:solidFill>
                    <w14:schemeClr w14:val="tx1"/>
                  </w14:solidFill>
                </w14:textFill>
              </w:rPr>
            </w:pPr>
            <w:r>
              <w:rPr>
                <w:rFonts w:hint="eastAsia"/>
                <w:snapToGrid w:val="0"/>
                <w:color w:val="000000" w:themeColor="text1"/>
                <w:sz w:val="21"/>
                <w:szCs w:val="21"/>
                <w14:textFill>
                  <w14:solidFill>
                    <w14:schemeClr w14:val="tx1"/>
                  </w14:solidFill>
                </w14:textFill>
              </w:rPr>
              <w:t>1</w:t>
            </w:r>
          </w:p>
        </w:tc>
        <w:tc>
          <w:tcPr>
            <w:tcW w:w="519" w:type="pct"/>
            <w:vAlign w:val="center"/>
          </w:tcPr>
          <w:p w14:paraId="030BCF20">
            <w:pPr>
              <w:pStyle w:val="342"/>
              <w:overflowPunct w:val="0"/>
              <w:snapToGrid w:val="0"/>
              <w:spacing w:line="300" w:lineRule="exact"/>
              <w:rPr>
                <w:rFonts w:hint="eastAsia" w:hAnsi="宋体"/>
                <w:snapToGrid w:val="0"/>
                <w:color w:val="000000" w:themeColor="text1"/>
                <w:sz w:val="21"/>
                <w:szCs w:val="21"/>
                <w14:textFill>
                  <w14:solidFill>
                    <w14:schemeClr w14:val="tx1"/>
                  </w14:solidFill>
                </w14:textFill>
              </w:rPr>
            </w:pPr>
            <w:r>
              <w:rPr>
                <w:rFonts w:hint="eastAsia" w:hAnsi="宋体"/>
                <w:snapToGrid w:val="0"/>
                <w:color w:val="000000" w:themeColor="text1"/>
                <w:sz w:val="21"/>
                <w:szCs w:val="21"/>
                <w14:textFill>
                  <w14:solidFill>
                    <w14:schemeClr w14:val="tx1"/>
                  </w14:solidFill>
                </w14:textFill>
              </w:rPr>
              <w:t>65-80</w:t>
            </w:r>
          </w:p>
        </w:tc>
        <w:tc>
          <w:tcPr>
            <w:tcW w:w="330" w:type="pct"/>
            <w:vAlign w:val="center"/>
          </w:tcPr>
          <w:p w14:paraId="77159F84">
            <w:pPr>
              <w:pStyle w:val="342"/>
              <w:overflowPunct w:val="0"/>
              <w:snapToGrid w:val="0"/>
              <w:spacing w:line="300" w:lineRule="exact"/>
              <w:rPr>
                <w:rFonts w:hint="eastAsia" w:hAnsi="宋体"/>
                <w:snapToGrid w:val="0"/>
                <w:color w:val="000000" w:themeColor="text1"/>
                <w:sz w:val="21"/>
                <w:szCs w:val="21"/>
                <w14:textFill>
                  <w14:solidFill>
                    <w14:schemeClr w14:val="tx1"/>
                  </w14:solidFill>
                </w14:textFill>
              </w:rPr>
            </w:pPr>
            <w:r>
              <w:rPr>
                <w:rFonts w:hint="eastAsia" w:hAnsi="宋体"/>
                <w:snapToGrid w:val="0"/>
                <w:color w:val="000000" w:themeColor="text1"/>
                <w:sz w:val="21"/>
                <w:szCs w:val="21"/>
                <w14:textFill>
                  <w14:solidFill>
                    <w14:schemeClr w14:val="tx1"/>
                  </w14:solidFill>
                </w14:textFill>
              </w:rPr>
              <w:t>41</w:t>
            </w:r>
          </w:p>
        </w:tc>
        <w:tc>
          <w:tcPr>
            <w:tcW w:w="330" w:type="pct"/>
            <w:vAlign w:val="center"/>
          </w:tcPr>
          <w:p w14:paraId="13958132">
            <w:pPr>
              <w:pStyle w:val="342"/>
              <w:overflowPunct w:val="0"/>
              <w:snapToGrid w:val="0"/>
              <w:spacing w:line="300" w:lineRule="exact"/>
              <w:rPr>
                <w:rFonts w:hint="eastAsia" w:hAnsi="宋体"/>
                <w:snapToGrid w:val="0"/>
                <w:color w:val="000000" w:themeColor="text1"/>
                <w:sz w:val="21"/>
                <w:szCs w:val="21"/>
                <w14:textFill>
                  <w14:solidFill>
                    <w14:schemeClr w14:val="tx1"/>
                  </w14:solidFill>
                </w14:textFill>
              </w:rPr>
            </w:pPr>
            <w:r>
              <w:rPr>
                <w:rFonts w:hint="eastAsia" w:hAnsi="宋体"/>
                <w:snapToGrid w:val="0"/>
                <w:color w:val="000000" w:themeColor="text1"/>
                <w:sz w:val="21"/>
                <w:szCs w:val="21"/>
                <w14:textFill>
                  <w14:solidFill>
                    <w14:schemeClr w14:val="tx1"/>
                  </w14:solidFill>
                </w14:textFill>
              </w:rPr>
              <w:t>13</w:t>
            </w:r>
          </w:p>
        </w:tc>
        <w:tc>
          <w:tcPr>
            <w:tcW w:w="329" w:type="pct"/>
            <w:vAlign w:val="center"/>
          </w:tcPr>
          <w:p w14:paraId="698A177B">
            <w:pPr>
              <w:pStyle w:val="342"/>
              <w:overflowPunct w:val="0"/>
              <w:snapToGrid w:val="0"/>
              <w:spacing w:line="300" w:lineRule="exact"/>
              <w:rPr>
                <w:rFonts w:hint="eastAsia" w:hAnsi="宋体"/>
                <w:snapToGrid w:val="0"/>
                <w:color w:val="000000" w:themeColor="text1"/>
                <w:sz w:val="21"/>
                <w:szCs w:val="21"/>
                <w14:textFill>
                  <w14:solidFill>
                    <w14:schemeClr w14:val="tx1"/>
                  </w14:solidFill>
                </w14:textFill>
              </w:rPr>
            </w:pPr>
            <w:r>
              <w:rPr>
                <w:rFonts w:hint="eastAsia" w:hAnsi="宋体"/>
                <w:snapToGrid w:val="0"/>
                <w:color w:val="000000" w:themeColor="text1"/>
                <w:sz w:val="21"/>
                <w:szCs w:val="21"/>
                <w14:textFill>
                  <w14:solidFill>
                    <w14:schemeClr w14:val="tx1"/>
                  </w14:solidFill>
                </w14:textFill>
              </w:rPr>
              <w:t>0.5</w:t>
            </w:r>
          </w:p>
        </w:tc>
        <w:tc>
          <w:tcPr>
            <w:tcW w:w="686" w:type="pct"/>
            <w:vMerge w:val="continue"/>
            <w:vAlign w:val="center"/>
          </w:tcPr>
          <w:p w14:paraId="71B3ABFD">
            <w:pPr>
              <w:pStyle w:val="342"/>
              <w:overflowPunct w:val="0"/>
              <w:snapToGrid w:val="0"/>
              <w:spacing w:line="300" w:lineRule="exact"/>
              <w:rPr>
                <w:rFonts w:hint="eastAsia" w:hAnsi="宋体"/>
                <w:snapToGrid w:val="0"/>
                <w:color w:val="000000" w:themeColor="text1"/>
                <w:sz w:val="21"/>
                <w:szCs w:val="21"/>
                <w14:textFill>
                  <w14:solidFill>
                    <w14:schemeClr w14:val="tx1"/>
                  </w14:solidFill>
                </w14:textFill>
              </w:rPr>
            </w:pPr>
          </w:p>
        </w:tc>
        <w:tc>
          <w:tcPr>
            <w:tcW w:w="560" w:type="pct"/>
            <w:vMerge w:val="continue"/>
            <w:vAlign w:val="center"/>
          </w:tcPr>
          <w:p w14:paraId="14D9EEBE">
            <w:pPr>
              <w:pStyle w:val="342"/>
              <w:overflowPunct w:val="0"/>
              <w:snapToGrid w:val="0"/>
              <w:spacing w:line="300" w:lineRule="exact"/>
              <w:rPr>
                <w:rFonts w:hint="eastAsia" w:hAnsi="宋体"/>
                <w:snapToGrid w:val="0"/>
                <w:color w:val="000000" w:themeColor="text1"/>
                <w:sz w:val="21"/>
                <w:szCs w:val="21"/>
                <w14:textFill>
                  <w14:solidFill>
                    <w14:schemeClr w14:val="tx1"/>
                  </w14:solidFill>
                </w14:textFill>
              </w:rPr>
            </w:pPr>
          </w:p>
        </w:tc>
      </w:tr>
      <w:tr w14:paraId="6BD1E4B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636" w:type="pct"/>
            <w:vMerge w:val="continue"/>
            <w:vAlign w:val="center"/>
          </w:tcPr>
          <w:p w14:paraId="6A946400">
            <w:pPr>
              <w:pStyle w:val="342"/>
              <w:tabs>
                <w:tab w:val="left" w:pos="1333"/>
              </w:tabs>
              <w:overflowPunct w:val="0"/>
              <w:snapToGrid w:val="0"/>
              <w:spacing w:line="300" w:lineRule="exact"/>
              <w:rPr>
                <w:snapToGrid w:val="0"/>
                <w:color w:val="000000" w:themeColor="text1"/>
                <w:sz w:val="21"/>
                <w:szCs w:val="21"/>
                <w14:textFill>
                  <w14:solidFill>
                    <w14:schemeClr w14:val="tx1"/>
                  </w14:solidFill>
                </w14:textFill>
              </w:rPr>
            </w:pPr>
          </w:p>
        </w:tc>
        <w:tc>
          <w:tcPr>
            <w:tcW w:w="1125" w:type="pct"/>
            <w:vAlign w:val="center"/>
          </w:tcPr>
          <w:p w14:paraId="59CD33AF">
            <w:pPr>
              <w:pStyle w:val="342"/>
              <w:tabs>
                <w:tab w:val="left" w:pos="1333"/>
              </w:tabs>
              <w:overflowPunct w:val="0"/>
              <w:snapToGrid w:val="0"/>
              <w:spacing w:line="300" w:lineRule="exact"/>
              <w:rPr>
                <w:snapToGrid w:val="0"/>
                <w:color w:val="000000" w:themeColor="text1"/>
                <w:sz w:val="21"/>
                <w:szCs w:val="21"/>
                <w14:textFill>
                  <w14:solidFill>
                    <w14:schemeClr w14:val="tx1"/>
                  </w14:solidFill>
                </w14:textFill>
              </w:rPr>
            </w:pPr>
            <w:r>
              <w:rPr>
                <w:rFonts w:hint="eastAsia"/>
                <w:snapToGrid w:val="0"/>
                <w:color w:val="000000" w:themeColor="text1"/>
                <w:sz w:val="21"/>
                <w:szCs w:val="21"/>
                <w14:textFill>
                  <w14:solidFill>
                    <w14:schemeClr w14:val="tx1"/>
                  </w14:solidFill>
                </w14:textFill>
              </w:rPr>
              <w:t>缓蚀剂注入泵</w:t>
            </w:r>
          </w:p>
        </w:tc>
        <w:tc>
          <w:tcPr>
            <w:tcW w:w="485" w:type="pct"/>
            <w:vAlign w:val="center"/>
          </w:tcPr>
          <w:p w14:paraId="304498B1">
            <w:pPr>
              <w:pStyle w:val="342"/>
              <w:tabs>
                <w:tab w:val="left" w:pos="1333"/>
              </w:tabs>
              <w:overflowPunct w:val="0"/>
              <w:snapToGrid w:val="0"/>
              <w:spacing w:line="300" w:lineRule="exact"/>
              <w:rPr>
                <w:snapToGrid w:val="0"/>
                <w:color w:val="000000" w:themeColor="text1"/>
                <w:sz w:val="21"/>
                <w:szCs w:val="21"/>
                <w14:textFill>
                  <w14:solidFill>
                    <w14:schemeClr w14:val="tx1"/>
                  </w14:solidFill>
                </w14:textFill>
              </w:rPr>
            </w:pPr>
            <w:r>
              <w:rPr>
                <w:rFonts w:hint="eastAsia"/>
                <w:snapToGrid w:val="0"/>
                <w:color w:val="000000" w:themeColor="text1"/>
                <w:sz w:val="21"/>
                <w:szCs w:val="21"/>
                <w14:textFill>
                  <w14:solidFill>
                    <w14:schemeClr w14:val="tx1"/>
                  </w14:solidFill>
                </w14:textFill>
              </w:rPr>
              <w:t>1</w:t>
            </w:r>
          </w:p>
        </w:tc>
        <w:tc>
          <w:tcPr>
            <w:tcW w:w="519" w:type="pct"/>
            <w:vAlign w:val="center"/>
          </w:tcPr>
          <w:p w14:paraId="52A28927">
            <w:pPr>
              <w:pStyle w:val="342"/>
              <w:overflowPunct w:val="0"/>
              <w:snapToGrid w:val="0"/>
              <w:spacing w:line="300" w:lineRule="exact"/>
              <w:rPr>
                <w:rFonts w:hint="eastAsia" w:hAnsi="宋体"/>
                <w:snapToGrid w:val="0"/>
                <w:color w:val="000000" w:themeColor="text1"/>
                <w:sz w:val="21"/>
                <w:szCs w:val="21"/>
                <w14:textFill>
                  <w14:solidFill>
                    <w14:schemeClr w14:val="tx1"/>
                  </w14:solidFill>
                </w14:textFill>
              </w:rPr>
            </w:pPr>
            <w:r>
              <w:rPr>
                <w:rFonts w:hint="eastAsia" w:hAnsi="宋体"/>
                <w:snapToGrid w:val="0"/>
                <w:color w:val="000000" w:themeColor="text1"/>
                <w:sz w:val="21"/>
                <w:szCs w:val="21"/>
                <w14:textFill>
                  <w14:solidFill>
                    <w14:schemeClr w14:val="tx1"/>
                  </w14:solidFill>
                </w14:textFill>
              </w:rPr>
              <w:t>85-90</w:t>
            </w:r>
          </w:p>
        </w:tc>
        <w:tc>
          <w:tcPr>
            <w:tcW w:w="330" w:type="pct"/>
            <w:vAlign w:val="center"/>
          </w:tcPr>
          <w:p w14:paraId="4074889E">
            <w:pPr>
              <w:pStyle w:val="342"/>
              <w:overflowPunct w:val="0"/>
              <w:snapToGrid w:val="0"/>
              <w:spacing w:line="300" w:lineRule="exact"/>
              <w:rPr>
                <w:rFonts w:hint="eastAsia" w:hAnsi="宋体"/>
                <w:snapToGrid w:val="0"/>
                <w:color w:val="000000" w:themeColor="text1"/>
                <w:sz w:val="21"/>
                <w:szCs w:val="21"/>
                <w14:textFill>
                  <w14:solidFill>
                    <w14:schemeClr w14:val="tx1"/>
                  </w14:solidFill>
                </w14:textFill>
              </w:rPr>
            </w:pPr>
            <w:r>
              <w:rPr>
                <w:rFonts w:hint="eastAsia" w:hAnsi="宋体"/>
                <w:snapToGrid w:val="0"/>
                <w:color w:val="000000" w:themeColor="text1"/>
                <w:sz w:val="21"/>
                <w:szCs w:val="21"/>
                <w14:textFill>
                  <w14:solidFill>
                    <w14:schemeClr w14:val="tx1"/>
                  </w14:solidFill>
                </w14:textFill>
              </w:rPr>
              <w:t>74</w:t>
            </w:r>
          </w:p>
        </w:tc>
        <w:tc>
          <w:tcPr>
            <w:tcW w:w="330" w:type="pct"/>
            <w:vAlign w:val="center"/>
          </w:tcPr>
          <w:p w14:paraId="51A9DB02">
            <w:pPr>
              <w:pStyle w:val="342"/>
              <w:overflowPunct w:val="0"/>
              <w:snapToGrid w:val="0"/>
              <w:spacing w:line="300" w:lineRule="exact"/>
              <w:rPr>
                <w:rFonts w:hint="eastAsia" w:hAnsi="宋体"/>
                <w:snapToGrid w:val="0"/>
                <w:color w:val="000000" w:themeColor="text1"/>
                <w:sz w:val="21"/>
                <w:szCs w:val="21"/>
                <w14:textFill>
                  <w14:solidFill>
                    <w14:schemeClr w14:val="tx1"/>
                  </w14:solidFill>
                </w14:textFill>
              </w:rPr>
            </w:pPr>
            <w:r>
              <w:rPr>
                <w:rFonts w:hint="eastAsia" w:hAnsi="宋体"/>
                <w:snapToGrid w:val="0"/>
                <w:color w:val="000000" w:themeColor="text1"/>
                <w:sz w:val="21"/>
                <w:szCs w:val="21"/>
                <w14:textFill>
                  <w14:solidFill>
                    <w14:schemeClr w14:val="tx1"/>
                  </w14:solidFill>
                </w14:textFill>
              </w:rPr>
              <w:t>21</w:t>
            </w:r>
          </w:p>
        </w:tc>
        <w:tc>
          <w:tcPr>
            <w:tcW w:w="329" w:type="pct"/>
            <w:vAlign w:val="center"/>
          </w:tcPr>
          <w:p w14:paraId="7C43ABBF">
            <w:pPr>
              <w:pStyle w:val="342"/>
              <w:overflowPunct w:val="0"/>
              <w:snapToGrid w:val="0"/>
              <w:spacing w:line="300" w:lineRule="exact"/>
              <w:rPr>
                <w:rFonts w:hint="eastAsia" w:hAnsi="宋体"/>
                <w:snapToGrid w:val="0"/>
                <w:color w:val="000000" w:themeColor="text1"/>
                <w:sz w:val="21"/>
                <w:szCs w:val="21"/>
                <w14:textFill>
                  <w14:solidFill>
                    <w14:schemeClr w14:val="tx1"/>
                  </w14:solidFill>
                </w14:textFill>
              </w:rPr>
            </w:pPr>
            <w:r>
              <w:rPr>
                <w:rFonts w:hint="eastAsia" w:hAnsi="宋体"/>
                <w:snapToGrid w:val="0"/>
                <w:color w:val="000000" w:themeColor="text1"/>
                <w:sz w:val="21"/>
                <w:szCs w:val="21"/>
                <w14:textFill>
                  <w14:solidFill>
                    <w14:schemeClr w14:val="tx1"/>
                  </w14:solidFill>
                </w14:textFill>
              </w:rPr>
              <w:t>0.5</w:t>
            </w:r>
          </w:p>
        </w:tc>
        <w:tc>
          <w:tcPr>
            <w:tcW w:w="686" w:type="pct"/>
            <w:vMerge w:val="continue"/>
            <w:vAlign w:val="center"/>
          </w:tcPr>
          <w:p w14:paraId="4B20BE4A">
            <w:pPr>
              <w:pStyle w:val="342"/>
              <w:overflowPunct w:val="0"/>
              <w:snapToGrid w:val="0"/>
              <w:spacing w:line="300" w:lineRule="exact"/>
              <w:rPr>
                <w:rFonts w:hint="eastAsia" w:hAnsi="宋体"/>
                <w:snapToGrid w:val="0"/>
                <w:color w:val="000000" w:themeColor="text1"/>
                <w:sz w:val="21"/>
                <w:szCs w:val="21"/>
                <w14:textFill>
                  <w14:solidFill>
                    <w14:schemeClr w14:val="tx1"/>
                  </w14:solidFill>
                </w14:textFill>
              </w:rPr>
            </w:pPr>
          </w:p>
        </w:tc>
        <w:tc>
          <w:tcPr>
            <w:tcW w:w="560" w:type="pct"/>
            <w:vMerge w:val="continue"/>
            <w:vAlign w:val="center"/>
          </w:tcPr>
          <w:p w14:paraId="4230F91F">
            <w:pPr>
              <w:pStyle w:val="342"/>
              <w:overflowPunct w:val="0"/>
              <w:snapToGrid w:val="0"/>
              <w:spacing w:line="300" w:lineRule="exact"/>
              <w:rPr>
                <w:rFonts w:hint="eastAsia" w:hAnsi="宋体"/>
                <w:snapToGrid w:val="0"/>
                <w:color w:val="000000" w:themeColor="text1"/>
                <w:sz w:val="21"/>
                <w:szCs w:val="21"/>
                <w14:textFill>
                  <w14:solidFill>
                    <w14:schemeClr w14:val="tx1"/>
                  </w14:solidFill>
                </w14:textFill>
              </w:rPr>
            </w:pPr>
          </w:p>
        </w:tc>
      </w:tr>
      <w:tr w14:paraId="653363F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636" w:type="pct"/>
            <w:vMerge w:val="continue"/>
            <w:vAlign w:val="center"/>
          </w:tcPr>
          <w:p w14:paraId="6E4115A0">
            <w:pPr>
              <w:pStyle w:val="342"/>
              <w:tabs>
                <w:tab w:val="left" w:pos="1333"/>
              </w:tabs>
              <w:overflowPunct w:val="0"/>
              <w:snapToGrid w:val="0"/>
              <w:spacing w:line="300" w:lineRule="exact"/>
              <w:rPr>
                <w:snapToGrid w:val="0"/>
                <w:color w:val="000000" w:themeColor="text1"/>
                <w:sz w:val="21"/>
                <w:szCs w:val="21"/>
                <w14:textFill>
                  <w14:solidFill>
                    <w14:schemeClr w14:val="tx1"/>
                  </w14:solidFill>
                </w14:textFill>
              </w:rPr>
            </w:pPr>
          </w:p>
        </w:tc>
        <w:tc>
          <w:tcPr>
            <w:tcW w:w="1125" w:type="pct"/>
            <w:vAlign w:val="center"/>
          </w:tcPr>
          <w:p w14:paraId="51E79BC7">
            <w:pPr>
              <w:pStyle w:val="342"/>
              <w:tabs>
                <w:tab w:val="left" w:pos="1333"/>
              </w:tabs>
              <w:overflowPunct w:val="0"/>
              <w:snapToGrid w:val="0"/>
              <w:spacing w:line="300" w:lineRule="exact"/>
              <w:rPr>
                <w:snapToGrid w:val="0"/>
                <w:color w:val="000000" w:themeColor="text1"/>
                <w:sz w:val="21"/>
                <w:szCs w:val="21"/>
                <w14:textFill>
                  <w14:solidFill>
                    <w14:schemeClr w14:val="tx1"/>
                  </w14:solidFill>
                </w14:textFill>
              </w:rPr>
            </w:pPr>
            <w:r>
              <w:rPr>
                <w:rFonts w:hint="eastAsia"/>
                <w:snapToGrid w:val="0"/>
                <w:color w:val="000000" w:themeColor="text1"/>
                <w:sz w:val="21"/>
                <w:szCs w:val="21"/>
                <w14:textFill>
                  <w14:solidFill>
                    <w14:schemeClr w14:val="tx1"/>
                  </w14:solidFill>
                </w14:textFill>
              </w:rPr>
              <w:t>转油泵</w:t>
            </w:r>
          </w:p>
        </w:tc>
        <w:tc>
          <w:tcPr>
            <w:tcW w:w="485" w:type="pct"/>
            <w:vAlign w:val="center"/>
          </w:tcPr>
          <w:p w14:paraId="3D4FF67D">
            <w:pPr>
              <w:pStyle w:val="342"/>
              <w:tabs>
                <w:tab w:val="left" w:pos="1333"/>
              </w:tabs>
              <w:overflowPunct w:val="0"/>
              <w:snapToGrid w:val="0"/>
              <w:spacing w:line="300" w:lineRule="exact"/>
              <w:rPr>
                <w:snapToGrid w:val="0"/>
                <w:color w:val="000000" w:themeColor="text1"/>
                <w:sz w:val="21"/>
                <w:szCs w:val="21"/>
                <w14:textFill>
                  <w14:solidFill>
                    <w14:schemeClr w14:val="tx1"/>
                  </w14:solidFill>
                </w14:textFill>
              </w:rPr>
            </w:pPr>
            <w:r>
              <w:rPr>
                <w:rFonts w:hint="eastAsia"/>
                <w:snapToGrid w:val="0"/>
                <w:color w:val="000000" w:themeColor="text1"/>
                <w:sz w:val="21"/>
                <w:szCs w:val="21"/>
                <w14:textFill>
                  <w14:solidFill>
                    <w14:schemeClr w14:val="tx1"/>
                  </w14:solidFill>
                </w14:textFill>
              </w:rPr>
              <w:t>2</w:t>
            </w:r>
          </w:p>
        </w:tc>
        <w:tc>
          <w:tcPr>
            <w:tcW w:w="519" w:type="pct"/>
            <w:vAlign w:val="center"/>
          </w:tcPr>
          <w:p w14:paraId="3FAFE10B">
            <w:pPr>
              <w:pStyle w:val="342"/>
              <w:overflowPunct w:val="0"/>
              <w:snapToGrid w:val="0"/>
              <w:spacing w:line="300" w:lineRule="exact"/>
              <w:rPr>
                <w:rFonts w:hint="eastAsia" w:hAnsi="宋体"/>
                <w:snapToGrid w:val="0"/>
                <w:color w:val="000000" w:themeColor="text1"/>
                <w:sz w:val="21"/>
                <w:szCs w:val="21"/>
                <w14:textFill>
                  <w14:solidFill>
                    <w14:schemeClr w14:val="tx1"/>
                  </w14:solidFill>
                </w14:textFill>
              </w:rPr>
            </w:pPr>
            <w:r>
              <w:rPr>
                <w:rFonts w:hint="eastAsia" w:hAnsi="宋体"/>
                <w:snapToGrid w:val="0"/>
                <w:color w:val="000000" w:themeColor="text1"/>
                <w:sz w:val="21"/>
                <w:szCs w:val="21"/>
                <w14:textFill>
                  <w14:solidFill>
                    <w14:schemeClr w14:val="tx1"/>
                  </w14:solidFill>
                </w14:textFill>
              </w:rPr>
              <w:t>85-90</w:t>
            </w:r>
          </w:p>
        </w:tc>
        <w:tc>
          <w:tcPr>
            <w:tcW w:w="330" w:type="pct"/>
            <w:vAlign w:val="center"/>
          </w:tcPr>
          <w:p w14:paraId="59592F59">
            <w:pPr>
              <w:pStyle w:val="342"/>
              <w:overflowPunct w:val="0"/>
              <w:snapToGrid w:val="0"/>
              <w:spacing w:line="300" w:lineRule="exact"/>
              <w:rPr>
                <w:rFonts w:hint="eastAsia" w:hAnsi="宋体"/>
                <w:snapToGrid w:val="0"/>
                <w:color w:val="000000" w:themeColor="text1"/>
                <w:sz w:val="21"/>
                <w:szCs w:val="21"/>
                <w14:textFill>
                  <w14:solidFill>
                    <w14:schemeClr w14:val="tx1"/>
                  </w14:solidFill>
                </w14:textFill>
              </w:rPr>
            </w:pPr>
            <w:r>
              <w:rPr>
                <w:rFonts w:hint="eastAsia" w:hAnsi="宋体"/>
                <w:snapToGrid w:val="0"/>
                <w:color w:val="000000" w:themeColor="text1"/>
                <w:sz w:val="21"/>
                <w:szCs w:val="21"/>
                <w14:textFill>
                  <w14:solidFill>
                    <w14:schemeClr w14:val="tx1"/>
                  </w14:solidFill>
                </w14:textFill>
              </w:rPr>
              <w:t>36</w:t>
            </w:r>
          </w:p>
        </w:tc>
        <w:tc>
          <w:tcPr>
            <w:tcW w:w="330" w:type="pct"/>
            <w:vAlign w:val="center"/>
          </w:tcPr>
          <w:p w14:paraId="4D7A46B1">
            <w:pPr>
              <w:pStyle w:val="342"/>
              <w:overflowPunct w:val="0"/>
              <w:snapToGrid w:val="0"/>
              <w:spacing w:line="300" w:lineRule="exact"/>
              <w:rPr>
                <w:rFonts w:hint="eastAsia" w:hAnsi="宋体"/>
                <w:snapToGrid w:val="0"/>
                <w:color w:val="000000" w:themeColor="text1"/>
                <w:sz w:val="21"/>
                <w:szCs w:val="21"/>
                <w14:textFill>
                  <w14:solidFill>
                    <w14:schemeClr w14:val="tx1"/>
                  </w14:solidFill>
                </w14:textFill>
              </w:rPr>
            </w:pPr>
            <w:r>
              <w:rPr>
                <w:rFonts w:hint="eastAsia" w:hAnsi="宋体"/>
                <w:snapToGrid w:val="0"/>
                <w:color w:val="000000" w:themeColor="text1"/>
                <w:sz w:val="21"/>
                <w:szCs w:val="21"/>
                <w14:textFill>
                  <w14:solidFill>
                    <w14:schemeClr w14:val="tx1"/>
                  </w14:solidFill>
                </w14:textFill>
              </w:rPr>
              <w:t>14</w:t>
            </w:r>
          </w:p>
        </w:tc>
        <w:tc>
          <w:tcPr>
            <w:tcW w:w="329" w:type="pct"/>
            <w:vAlign w:val="center"/>
          </w:tcPr>
          <w:p w14:paraId="66F6DA93">
            <w:pPr>
              <w:pStyle w:val="342"/>
              <w:overflowPunct w:val="0"/>
              <w:snapToGrid w:val="0"/>
              <w:spacing w:line="300" w:lineRule="exact"/>
              <w:rPr>
                <w:rFonts w:hint="eastAsia" w:hAnsi="宋体"/>
                <w:snapToGrid w:val="0"/>
                <w:color w:val="000000" w:themeColor="text1"/>
                <w:sz w:val="21"/>
                <w:szCs w:val="21"/>
                <w14:textFill>
                  <w14:solidFill>
                    <w14:schemeClr w14:val="tx1"/>
                  </w14:solidFill>
                </w14:textFill>
              </w:rPr>
            </w:pPr>
            <w:r>
              <w:rPr>
                <w:rFonts w:hint="eastAsia" w:hAnsi="宋体"/>
                <w:snapToGrid w:val="0"/>
                <w:color w:val="000000" w:themeColor="text1"/>
                <w:sz w:val="21"/>
                <w:szCs w:val="21"/>
                <w14:textFill>
                  <w14:solidFill>
                    <w14:schemeClr w14:val="tx1"/>
                  </w14:solidFill>
                </w14:textFill>
              </w:rPr>
              <w:t>0.5</w:t>
            </w:r>
          </w:p>
        </w:tc>
        <w:tc>
          <w:tcPr>
            <w:tcW w:w="686" w:type="pct"/>
            <w:vMerge w:val="continue"/>
            <w:vAlign w:val="center"/>
          </w:tcPr>
          <w:p w14:paraId="272C3749">
            <w:pPr>
              <w:pStyle w:val="342"/>
              <w:overflowPunct w:val="0"/>
              <w:snapToGrid w:val="0"/>
              <w:spacing w:line="300" w:lineRule="exact"/>
              <w:rPr>
                <w:rFonts w:hint="eastAsia" w:hAnsi="宋体"/>
                <w:snapToGrid w:val="0"/>
                <w:color w:val="000000" w:themeColor="text1"/>
                <w:sz w:val="21"/>
                <w:szCs w:val="21"/>
                <w14:textFill>
                  <w14:solidFill>
                    <w14:schemeClr w14:val="tx1"/>
                  </w14:solidFill>
                </w14:textFill>
              </w:rPr>
            </w:pPr>
          </w:p>
        </w:tc>
        <w:tc>
          <w:tcPr>
            <w:tcW w:w="560" w:type="pct"/>
            <w:vMerge w:val="continue"/>
            <w:vAlign w:val="center"/>
          </w:tcPr>
          <w:p w14:paraId="6651A4FD">
            <w:pPr>
              <w:pStyle w:val="342"/>
              <w:overflowPunct w:val="0"/>
              <w:snapToGrid w:val="0"/>
              <w:spacing w:line="300" w:lineRule="exact"/>
              <w:rPr>
                <w:rFonts w:hint="eastAsia" w:hAnsi="宋体"/>
                <w:snapToGrid w:val="0"/>
                <w:color w:val="000000" w:themeColor="text1"/>
                <w:sz w:val="21"/>
                <w:szCs w:val="21"/>
                <w14:textFill>
                  <w14:solidFill>
                    <w14:schemeClr w14:val="tx1"/>
                  </w14:solidFill>
                </w14:textFill>
              </w:rPr>
            </w:pPr>
          </w:p>
        </w:tc>
      </w:tr>
      <w:tr w14:paraId="71500BF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636" w:type="pct"/>
            <w:vMerge w:val="continue"/>
            <w:vAlign w:val="center"/>
          </w:tcPr>
          <w:p w14:paraId="7F8EBD57">
            <w:pPr>
              <w:pStyle w:val="342"/>
              <w:tabs>
                <w:tab w:val="left" w:pos="1333"/>
              </w:tabs>
              <w:overflowPunct w:val="0"/>
              <w:snapToGrid w:val="0"/>
              <w:spacing w:line="300" w:lineRule="exact"/>
              <w:rPr>
                <w:snapToGrid w:val="0"/>
                <w:color w:val="000000" w:themeColor="text1"/>
                <w:sz w:val="21"/>
                <w:szCs w:val="21"/>
                <w14:textFill>
                  <w14:solidFill>
                    <w14:schemeClr w14:val="tx1"/>
                  </w14:solidFill>
                </w14:textFill>
              </w:rPr>
            </w:pPr>
          </w:p>
        </w:tc>
        <w:tc>
          <w:tcPr>
            <w:tcW w:w="1125" w:type="pct"/>
            <w:vAlign w:val="center"/>
          </w:tcPr>
          <w:p w14:paraId="22029ECE">
            <w:pPr>
              <w:pStyle w:val="342"/>
              <w:tabs>
                <w:tab w:val="left" w:pos="1333"/>
              </w:tabs>
              <w:overflowPunct w:val="0"/>
              <w:snapToGrid w:val="0"/>
              <w:spacing w:line="300" w:lineRule="exact"/>
              <w:rPr>
                <w:snapToGrid w:val="0"/>
                <w:color w:val="000000" w:themeColor="text1"/>
                <w:sz w:val="21"/>
                <w:szCs w:val="21"/>
                <w14:textFill>
                  <w14:solidFill>
                    <w14:schemeClr w14:val="tx1"/>
                  </w14:solidFill>
                </w14:textFill>
              </w:rPr>
            </w:pPr>
            <w:r>
              <w:rPr>
                <w:rFonts w:hint="eastAsia"/>
                <w:snapToGrid w:val="0"/>
                <w:color w:val="000000" w:themeColor="text1"/>
                <w:sz w:val="21"/>
                <w:szCs w:val="21"/>
                <w14:textFill>
                  <w14:solidFill>
                    <w14:schemeClr w14:val="tx1"/>
                  </w14:solidFill>
                </w14:textFill>
              </w:rPr>
              <w:t>分子筛脱水橇</w:t>
            </w:r>
          </w:p>
        </w:tc>
        <w:tc>
          <w:tcPr>
            <w:tcW w:w="485" w:type="pct"/>
            <w:vAlign w:val="center"/>
          </w:tcPr>
          <w:p w14:paraId="59930366">
            <w:pPr>
              <w:pStyle w:val="342"/>
              <w:tabs>
                <w:tab w:val="left" w:pos="1333"/>
              </w:tabs>
              <w:overflowPunct w:val="0"/>
              <w:snapToGrid w:val="0"/>
              <w:spacing w:line="300" w:lineRule="exact"/>
              <w:rPr>
                <w:snapToGrid w:val="0"/>
                <w:color w:val="000000" w:themeColor="text1"/>
                <w:sz w:val="21"/>
                <w:szCs w:val="21"/>
                <w14:textFill>
                  <w14:solidFill>
                    <w14:schemeClr w14:val="tx1"/>
                  </w14:solidFill>
                </w14:textFill>
              </w:rPr>
            </w:pPr>
            <w:r>
              <w:rPr>
                <w:rFonts w:hint="eastAsia"/>
                <w:snapToGrid w:val="0"/>
                <w:color w:val="000000" w:themeColor="text1"/>
                <w:sz w:val="21"/>
                <w:szCs w:val="21"/>
                <w14:textFill>
                  <w14:solidFill>
                    <w14:schemeClr w14:val="tx1"/>
                  </w14:solidFill>
                </w14:textFill>
              </w:rPr>
              <w:t>1</w:t>
            </w:r>
          </w:p>
        </w:tc>
        <w:tc>
          <w:tcPr>
            <w:tcW w:w="519" w:type="pct"/>
            <w:vAlign w:val="center"/>
          </w:tcPr>
          <w:p w14:paraId="77F65397">
            <w:pPr>
              <w:pStyle w:val="342"/>
              <w:overflowPunct w:val="0"/>
              <w:snapToGrid w:val="0"/>
              <w:spacing w:line="300" w:lineRule="exact"/>
              <w:rPr>
                <w:rFonts w:hint="eastAsia" w:hAnsi="宋体"/>
                <w:snapToGrid w:val="0"/>
                <w:color w:val="000000" w:themeColor="text1"/>
                <w:sz w:val="21"/>
                <w:szCs w:val="21"/>
                <w14:textFill>
                  <w14:solidFill>
                    <w14:schemeClr w14:val="tx1"/>
                  </w14:solidFill>
                </w14:textFill>
              </w:rPr>
            </w:pPr>
            <w:r>
              <w:rPr>
                <w:rFonts w:hint="eastAsia" w:hAnsi="宋体"/>
                <w:snapToGrid w:val="0"/>
                <w:color w:val="000000" w:themeColor="text1"/>
                <w:sz w:val="21"/>
                <w:szCs w:val="21"/>
                <w14:textFill>
                  <w14:solidFill>
                    <w14:schemeClr w14:val="tx1"/>
                  </w14:solidFill>
                </w14:textFill>
              </w:rPr>
              <w:t>65-80</w:t>
            </w:r>
          </w:p>
        </w:tc>
        <w:tc>
          <w:tcPr>
            <w:tcW w:w="330" w:type="pct"/>
            <w:vAlign w:val="center"/>
          </w:tcPr>
          <w:p w14:paraId="3FF1CB81">
            <w:pPr>
              <w:pStyle w:val="342"/>
              <w:overflowPunct w:val="0"/>
              <w:snapToGrid w:val="0"/>
              <w:spacing w:line="300" w:lineRule="exact"/>
              <w:rPr>
                <w:rFonts w:hint="eastAsia" w:hAnsi="宋体"/>
                <w:snapToGrid w:val="0"/>
                <w:color w:val="000000" w:themeColor="text1"/>
                <w:sz w:val="21"/>
                <w:szCs w:val="21"/>
                <w14:textFill>
                  <w14:solidFill>
                    <w14:schemeClr w14:val="tx1"/>
                  </w14:solidFill>
                </w14:textFill>
              </w:rPr>
            </w:pPr>
            <w:r>
              <w:rPr>
                <w:rFonts w:hint="eastAsia" w:hAnsi="宋体"/>
                <w:snapToGrid w:val="0"/>
                <w:color w:val="000000" w:themeColor="text1"/>
                <w:sz w:val="21"/>
                <w:szCs w:val="21"/>
                <w14:textFill>
                  <w14:solidFill>
                    <w14:schemeClr w14:val="tx1"/>
                  </w14:solidFill>
                </w14:textFill>
              </w:rPr>
              <w:t>26</w:t>
            </w:r>
          </w:p>
        </w:tc>
        <w:tc>
          <w:tcPr>
            <w:tcW w:w="330" w:type="pct"/>
            <w:vAlign w:val="center"/>
          </w:tcPr>
          <w:p w14:paraId="3A18F33F">
            <w:pPr>
              <w:pStyle w:val="342"/>
              <w:overflowPunct w:val="0"/>
              <w:snapToGrid w:val="0"/>
              <w:spacing w:line="300" w:lineRule="exact"/>
              <w:rPr>
                <w:rFonts w:hint="eastAsia" w:hAnsi="宋体"/>
                <w:snapToGrid w:val="0"/>
                <w:color w:val="000000" w:themeColor="text1"/>
                <w:sz w:val="21"/>
                <w:szCs w:val="21"/>
                <w14:textFill>
                  <w14:solidFill>
                    <w14:schemeClr w14:val="tx1"/>
                  </w14:solidFill>
                </w14:textFill>
              </w:rPr>
            </w:pPr>
            <w:r>
              <w:rPr>
                <w:rFonts w:hint="eastAsia" w:hAnsi="宋体"/>
                <w:snapToGrid w:val="0"/>
                <w:color w:val="000000" w:themeColor="text1"/>
                <w:sz w:val="21"/>
                <w:szCs w:val="21"/>
                <w14:textFill>
                  <w14:solidFill>
                    <w14:schemeClr w14:val="tx1"/>
                  </w14:solidFill>
                </w14:textFill>
              </w:rPr>
              <w:t>12</w:t>
            </w:r>
          </w:p>
        </w:tc>
        <w:tc>
          <w:tcPr>
            <w:tcW w:w="329" w:type="pct"/>
            <w:vAlign w:val="center"/>
          </w:tcPr>
          <w:p w14:paraId="6A389A7D">
            <w:pPr>
              <w:pStyle w:val="342"/>
              <w:overflowPunct w:val="0"/>
              <w:snapToGrid w:val="0"/>
              <w:spacing w:line="300" w:lineRule="exact"/>
              <w:rPr>
                <w:rFonts w:hint="eastAsia" w:hAnsi="宋体"/>
                <w:snapToGrid w:val="0"/>
                <w:color w:val="000000" w:themeColor="text1"/>
                <w:sz w:val="21"/>
                <w:szCs w:val="21"/>
                <w14:textFill>
                  <w14:solidFill>
                    <w14:schemeClr w14:val="tx1"/>
                  </w14:solidFill>
                </w14:textFill>
              </w:rPr>
            </w:pPr>
            <w:r>
              <w:rPr>
                <w:rFonts w:hint="eastAsia" w:hAnsi="宋体"/>
                <w:snapToGrid w:val="0"/>
                <w:color w:val="000000" w:themeColor="text1"/>
                <w:sz w:val="21"/>
                <w:szCs w:val="21"/>
                <w14:textFill>
                  <w14:solidFill>
                    <w14:schemeClr w14:val="tx1"/>
                  </w14:solidFill>
                </w14:textFill>
              </w:rPr>
              <w:t>0.5</w:t>
            </w:r>
          </w:p>
        </w:tc>
        <w:tc>
          <w:tcPr>
            <w:tcW w:w="686" w:type="pct"/>
            <w:vMerge w:val="continue"/>
            <w:vAlign w:val="center"/>
          </w:tcPr>
          <w:p w14:paraId="188BAF1D">
            <w:pPr>
              <w:pStyle w:val="342"/>
              <w:overflowPunct w:val="0"/>
              <w:snapToGrid w:val="0"/>
              <w:spacing w:line="300" w:lineRule="exact"/>
              <w:rPr>
                <w:rFonts w:hint="eastAsia" w:hAnsi="宋体"/>
                <w:snapToGrid w:val="0"/>
                <w:color w:val="000000" w:themeColor="text1"/>
                <w:sz w:val="21"/>
                <w:szCs w:val="21"/>
                <w14:textFill>
                  <w14:solidFill>
                    <w14:schemeClr w14:val="tx1"/>
                  </w14:solidFill>
                </w14:textFill>
              </w:rPr>
            </w:pPr>
          </w:p>
        </w:tc>
        <w:tc>
          <w:tcPr>
            <w:tcW w:w="560" w:type="pct"/>
            <w:vMerge w:val="continue"/>
            <w:vAlign w:val="center"/>
          </w:tcPr>
          <w:p w14:paraId="41C9AF1F">
            <w:pPr>
              <w:pStyle w:val="342"/>
              <w:overflowPunct w:val="0"/>
              <w:snapToGrid w:val="0"/>
              <w:spacing w:line="300" w:lineRule="exact"/>
              <w:rPr>
                <w:rFonts w:hint="eastAsia" w:hAnsi="宋体"/>
                <w:snapToGrid w:val="0"/>
                <w:color w:val="000000" w:themeColor="text1"/>
                <w:sz w:val="21"/>
                <w:szCs w:val="21"/>
                <w14:textFill>
                  <w14:solidFill>
                    <w14:schemeClr w14:val="tx1"/>
                  </w14:solidFill>
                </w14:textFill>
              </w:rPr>
            </w:pPr>
          </w:p>
        </w:tc>
      </w:tr>
      <w:tr w14:paraId="7B33B6C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636" w:type="pct"/>
            <w:vMerge w:val="continue"/>
            <w:vAlign w:val="center"/>
          </w:tcPr>
          <w:p w14:paraId="26E78BB9">
            <w:pPr>
              <w:pStyle w:val="342"/>
              <w:tabs>
                <w:tab w:val="left" w:pos="1333"/>
              </w:tabs>
              <w:overflowPunct w:val="0"/>
              <w:snapToGrid w:val="0"/>
              <w:spacing w:line="300" w:lineRule="exact"/>
              <w:rPr>
                <w:snapToGrid w:val="0"/>
                <w:color w:val="000000" w:themeColor="text1"/>
                <w:sz w:val="21"/>
                <w:szCs w:val="21"/>
                <w14:textFill>
                  <w14:solidFill>
                    <w14:schemeClr w14:val="tx1"/>
                  </w14:solidFill>
                </w14:textFill>
              </w:rPr>
            </w:pPr>
          </w:p>
        </w:tc>
        <w:tc>
          <w:tcPr>
            <w:tcW w:w="1125" w:type="pct"/>
            <w:vAlign w:val="center"/>
          </w:tcPr>
          <w:p w14:paraId="1BE80A42">
            <w:pPr>
              <w:pStyle w:val="342"/>
              <w:tabs>
                <w:tab w:val="left" w:pos="1333"/>
              </w:tabs>
              <w:overflowPunct w:val="0"/>
              <w:snapToGrid w:val="0"/>
              <w:spacing w:line="300" w:lineRule="exact"/>
              <w:rPr>
                <w:snapToGrid w:val="0"/>
                <w:color w:val="000000" w:themeColor="text1"/>
                <w:sz w:val="21"/>
                <w:szCs w:val="21"/>
                <w14:textFill>
                  <w14:solidFill>
                    <w14:schemeClr w14:val="tx1"/>
                  </w14:solidFill>
                </w14:textFill>
              </w:rPr>
            </w:pPr>
            <w:r>
              <w:rPr>
                <w:rFonts w:hint="eastAsia"/>
                <w:snapToGrid w:val="0"/>
                <w:color w:val="000000" w:themeColor="text1"/>
                <w:sz w:val="21"/>
                <w:szCs w:val="21"/>
                <w14:textFill>
                  <w14:solidFill>
                    <w14:schemeClr w14:val="tx1"/>
                  </w14:solidFill>
                </w14:textFill>
              </w:rPr>
              <w:t>往复式注入压缩机</w:t>
            </w:r>
          </w:p>
        </w:tc>
        <w:tc>
          <w:tcPr>
            <w:tcW w:w="485" w:type="pct"/>
            <w:vAlign w:val="center"/>
          </w:tcPr>
          <w:p w14:paraId="2FDE357B">
            <w:pPr>
              <w:pStyle w:val="342"/>
              <w:tabs>
                <w:tab w:val="left" w:pos="1333"/>
              </w:tabs>
              <w:overflowPunct w:val="0"/>
              <w:snapToGrid w:val="0"/>
              <w:spacing w:line="300" w:lineRule="exact"/>
              <w:rPr>
                <w:snapToGrid w:val="0"/>
                <w:color w:val="000000" w:themeColor="text1"/>
                <w:sz w:val="21"/>
                <w:szCs w:val="21"/>
                <w14:textFill>
                  <w14:solidFill>
                    <w14:schemeClr w14:val="tx1"/>
                  </w14:solidFill>
                </w14:textFill>
              </w:rPr>
            </w:pPr>
            <w:r>
              <w:rPr>
                <w:rFonts w:hint="eastAsia"/>
                <w:snapToGrid w:val="0"/>
                <w:color w:val="000000" w:themeColor="text1"/>
                <w:sz w:val="21"/>
                <w:szCs w:val="21"/>
                <w14:textFill>
                  <w14:solidFill>
                    <w14:schemeClr w14:val="tx1"/>
                  </w14:solidFill>
                </w14:textFill>
              </w:rPr>
              <w:t>2</w:t>
            </w:r>
          </w:p>
        </w:tc>
        <w:tc>
          <w:tcPr>
            <w:tcW w:w="519" w:type="pct"/>
            <w:vAlign w:val="center"/>
          </w:tcPr>
          <w:p w14:paraId="7AB68FAA">
            <w:pPr>
              <w:pStyle w:val="342"/>
              <w:overflowPunct w:val="0"/>
              <w:snapToGrid w:val="0"/>
              <w:spacing w:line="300" w:lineRule="exact"/>
              <w:rPr>
                <w:rFonts w:hint="eastAsia" w:hAnsi="宋体"/>
                <w:snapToGrid w:val="0"/>
                <w:color w:val="000000" w:themeColor="text1"/>
                <w:sz w:val="21"/>
                <w:szCs w:val="21"/>
                <w14:textFill>
                  <w14:solidFill>
                    <w14:schemeClr w14:val="tx1"/>
                  </w14:solidFill>
                </w14:textFill>
              </w:rPr>
            </w:pPr>
            <w:r>
              <w:rPr>
                <w:rFonts w:hint="eastAsia" w:hAnsi="宋体"/>
                <w:snapToGrid w:val="0"/>
                <w:color w:val="000000" w:themeColor="text1"/>
                <w:sz w:val="21"/>
                <w:szCs w:val="21"/>
                <w14:textFill>
                  <w14:solidFill>
                    <w14:schemeClr w14:val="tx1"/>
                  </w14:solidFill>
                </w14:textFill>
              </w:rPr>
              <w:t>90</w:t>
            </w:r>
          </w:p>
        </w:tc>
        <w:tc>
          <w:tcPr>
            <w:tcW w:w="330" w:type="pct"/>
            <w:vAlign w:val="center"/>
          </w:tcPr>
          <w:p w14:paraId="48B260BF">
            <w:pPr>
              <w:pStyle w:val="342"/>
              <w:overflowPunct w:val="0"/>
              <w:snapToGrid w:val="0"/>
              <w:spacing w:line="300" w:lineRule="exact"/>
              <w:rPr>
                <w:rFonts w:hint="eastAsia" w:hAnsi="宋体"/>
                <w:snapToGrid w:val="0"/>
                <w:color w:val="000000" w:themeColor="text1"/>
                <w:sz w:val="21"/>
                <w:szCs w:val="21"/>
                <w14:textFill>
                  <w14:solidFill>
                    <w14:schemeClr w14:val="tx1"/>
                  </w14:solidFill>
                </w14:textFill>
              </w:rPr>
            </w:pPr>
            <w:r>
              <w:rPr>
                <w:rFonts w:hint="eastAsia" w:hAnsi="宋体"/>
                <w:snapToGrid w:val="0"/>
                <w:color w:val="000000" w:themeColor="text1"/>
                <w:sz w:val="21"/>
                <w:szCs w:val="21"/>
                <w14:textFill>
                  <w14:solidFill>
                    <w14:schemeClr w14:val="tx1"/>
                  </w14:solidFill>
                </w14:textFill>
              </w:rPr>
              <w:t>14</w:t>
            </w:r>
          </w:p>
        </w:tc>
        <w:tc>
          <w:tcPr>
            <w:tcW w:w="330" w:type="pct"/>
            <w:vAlign w:val="center"/>
          </w:tcPr>
          <w:p w14:paraId="7E36601E">
            <w:pPr>
              <w:pStyle w:val="342"/>
              <w:overflowPunct w:val="0"/>
              <w:snapToGrid w:val="0"/>
              <w:spacing w:line="300" w:lineRule="exact"/>
              <w:rPr>
                <w:rFonts w:hint="eastAsia" w:hAnsi="宋体"/>
                <w:snapToGrid w:val="0"/>
                <w:color w:val="000000" w:themeColor="text1"/>
                <w:sz w:val="21"/>
                <w:szCs w:val="21"/>
                <w14:textFill>
                  <w14:solidFill>
                    <w14:schemeClr w14:val="tx1"/>
                  </w14:solidFill>
                </w14:textFill>
              </w:rPr>
            </w:pPr>
            <w:r>
              <w:rPr>
                <w:rFonts w:hint="eastAsia" w:hAnsi="宋体"/>
                <w:snapToGrid w:val="0"/>
                <w:color w:val="000000" w:themeColor="text1"/>
                <w:sz w:val="21"/>
                <w:szCs w:val="21"/>
                <w14:textFill>
                  <w14:solidFill>
                    <w14:schemeClr w14:val="tx1"/>
                  </w14:solidFill>
                </w14:textFill>
              </w:rPr>
              <w:t>11</w:t>
            </w:r>
          </w:p>
        </w:tc>
        <w:tc>
          <w:tcPr>
            <w:tcW w:w="329" w:type="pct"/>
            <w:vAlign w:val="center"/>
          </w:tcPr>
          <w:p w14:paraId="07124BD9">
            <w:pPr>
              <w:pStyle w:val="342"/>
              <w:overflowPunct w:val="0"/>
              <w:snapToGrid w:val="0"/>
              <w:spacing w:line="300" w:lineRule="exact"/>
              <w:rPr>
                <w:rFonts w:hint="eastAsia" w:hAnsi="宋体"/>
                <w:snapToGrid w:val="0"/>
                <w:color w:val="000000" w:themeColor="text1"/>
                <w:sz w:val="21"/>
                <w:szCs w:val="21"/>
                <w14:textFill>
                  <w14:solidFill>
                    <w14:schemeClr w14:val="tx1"/>
                  </w14:solidFill>
                </w14:textFill>
              </w:rPr>
            </w:pPr>
            <w:r>
              <w:rPr>
                <w:rFonts w:hint="eastAsia" w:hAnsi="宋体"/>
                <w:snapToGrid w:val="0"/>
                <w:color w:val="000000" w:themeColor="text1"/>
                <w:sz w:val="21"/>
                <w:szCs w:val="21"/>
                <w14:textFill>
                  <w14:solidFill>
                    <w14:schemeClr w14:val="tx1"/>
                  </w14:solidFill>
                </w14:textFill>
              </w:rPr>
              <w:t>0.5</w:t>
            </w:r>
          </w:p>
        </w:tc>
        <w:tc>
          <w:tcPr>
            <w:tcW w:w="686" w:type="pct"/>
            <w:vMerge w:val="continue"/>
            <w:vAlign w:val="center"/>
          </w:tcPr>
          <w:p w14:paraId="63F47B80">
            <w:pPr>
              <w:pStyle w:val="342"/>
              <w:overflowPunct w:val="0"/>
              <w:snapToGrid w:val="0"/>
              <w:spacing w:line="300" w:lineRule="exact"/>
              <w:rPr>
                <w:rFonts w:hint="eastAsia" w:hAnsi="宋体"/>
                <w:snapToGrid w:val="0"/>
                <w:color w:val="000000" w:themeColor="text1"/>
                <w:sz w:val="21"/>
                <w:szCs w:val="21"/>
                <w14:textFill>
                  <w14:solidFill>
                    <w14:schemeClr w14:val="tx1"/>
                  </w14:solidFill>
                </w14:textFill>
              </w:rPr>
            </w:pPr>
          </w:p>
        </w:tc>
        <w:tc>
          <w:tcPr>
            <w:tcW w:w="560" w:type="pct"/>
            <w:vMerge w:val="continue"/>
            <w:vAlign w:val="center"/>
          </w:tcPr>
          <w:p w14:paraId="3532DC21">
            <w:pPr>
              <w:pStyle w:val="342"/>
              <w:overflowPunct w:val="0"/>
              <w:snapToGrid w:val="0"/>
              <w:spacing w:line="300" w:lineRule="exact"/>
              <w:rPr>
                <w:rFonts w:hint="eastAsia" w:hAnsi="宋体"/>
                <w:snapToGrid w:val="0"/>
                <w:color w:val="000000" w:themeColor="text1"/>
                <w:sz w:val="21"/>
                <w:szCs w:val="21"/>
                <w14:textFill>
                  <w14:solidFill>
                    <w14:schemeClr w14:val="tx1"/>
                  </w14:solidFill>
                </w14:textFill>
              </w:rPr>
            </w:pPr>
          </w:p>
        </w:tc>
      </w:tr>
      <w:tr w14:paraId="587028F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636" w:type="pct"/>
            <w:vMerge w:val="continue"/>
            <w:vAlign w:val="center"/>
          </w:tcPr>
          <w:p w14:paraId="09F7D380">
            <w:pPr>
              <w:pStyle w:val="342"/>
              <w:tabs>
                <w:tab w:val="left" w:pos="1333"/>
              </w:tabs>
              <w:overflowPunct w:val="0"/>
              <w:snapToGrid w:val="0"/>
              <w:spacing w:line="300" w:lineRule="exact"/>
              <w:rPr>
                <w:snapToGrid w:val="0"/>
                <w:color w:val="000000" w:themeColor="text1"/>
                <w:sz w:val="21"/>
                <w:szCs w:val="21"/>
                <w14:textFill>
                  <w14:solidFill>
                    <w14:schemeClr w14:val="tx1"/>
                  </w14:solidFill>
                </w14:textFill>
              </w:rPr>
            </w:pPr>
          </w:p>
        </w:tc>
        <w:tc>
          <w:tcPr>
            <w:tcW w:w="1125" w:type="pct"/>
            <w:vAlign w:val="center"/>
          </w:tcPr>
          <w:p w14:paraId="03799BDD">
            <w:pPr>
              <w:pStyle w:val="342"/>
              <w:tabs>
                <w:tab w:val="left" w:pos="1333"/>
              </w:tabs>
              <w:overflowPunct w:val="0"/>
              <w:snapToGrid w:val="0"/>
              <w:spacing w:line="300" w:lineRule="exact"/>
              <w:rPr>
                <w:snapToGrid w:val="0"/>
                <w:color w:val="000000" w:themeColor="text1"/>
                <w:sz w:val="21"/>
                <w:szCs w:val="21"/>
                <w14:textFill>
                  <w14:solidFill>
                    <w14:schemeClr w14:val="tx1"/>
                  </w14:solidFill>
                </w14:textFill>
              </w:rPr>
            </w:pPr>
            <w:r>
              <w:rPr>
                <w:rFonts w:hint="eastAsia"/>
                <w:snapToGrid w:val="0"/>
                <w:color w:val="000000" w:themeColor="text1"/>
                <w:sz w:val="21"/>
                <w:szCs w:val="21"/>
                <w14:textFill>
                  <w14:solidFill>
                    <w14:schemeClr w14:val="tx1"/>
                  </w14:solidFill>
                </w14:textFill>
              </w:rPr>
              <w:t>排污泵</w:t>
            </w:r>
          </w:p>
        </w:tc>
        <w:tc>
          <w:tcPr>
            <w:tcW w:w="485" w:type="pct"/>
            <w:vAlign w:val="center"/>
          </w:tcPr>
          <w:p w14:paraId="6B5D0FE6">
            <w:pPr>
              <w:pStyle w:val="342"/>
              <w:tabs>
                <w:tab w:val="left" w:pos="1333"/>
              </w:tabs>
              <w:overflowPunct w:val="0"/>
              <w:snapToGrid w:val="0"/>
              <w:spacing w:line="300" w:lineRule="exact"/>
              <w:rPr>
                <w:snapToGrid w:val="0"/>
                <w:color w:val="000000" w:themeColor="text1"/>
                <w:sz w:val="21"/>
                <w:szCs w:val="21"/>
                <w14:textFill>
                  <w14:solidFill>
                    <w14:schemeClr w14:val="tx1"/>
                  </w14:solidFill>
                </w14:textFill>
              </w:rPr>
            </w:pPr>
            <w:r>
              <w:rPr>
                <w:rFonts w:hint="eastAsia"/>
                <w:snapToGrid w:val="0"/>
                <w:color w:val="000000" w:themeColor="text1"/>
                <w:sz w:val="21"/>
                <w:szCs w:val="21"/>
                <w14:textFill>
                  <w14:solidFill>
                    <w14:schemeClr w14:val="tx1"/>
                  </w14:solidFill>
                </w14:textFill>
              </w:rPr>
              <w:t>1</w:t>
            </w:r>
          </w:p>
        </w:tc>
        <w:tc>
          <w:tcPr>
            <w:tcW w:w="519" w:type="pct"/>
            <w:vAlign w:val="center"/>
          </w:tcPr>
          <w:p w14:paraId="6C37E79C">
            <w:pPr>
              <w:pStyle w:val="342"/>
              <w:overflowPunct w:val="0"/>
              <w:snapToGrid w:val="0"/>
              <w:spacing w:line="300" w:lineRule="exact"/>
              <w:rPr>
                <w:rFonts w:hint="eastAsia" w:hAnsi="宋体"/>
                <w:snapToGrid w:val="0"/>
                <w:color w:val="000000" w:themeColor="text1"/>
                <w:sz w:val="21"/>
                <w:szCs w:val="21"/>
                <w14:textFill>
                  <w14:solidFill>
                    <w14:schemeClr w14:val="tx1"/>
                  </w14:solidFill>
                </w14:textFill>
              </w:rPr>
            </w:pPr>
            <w:r>
              <w:rPr>
                <w:rFonts w:hint="eastAsia" w:hAnsi="宋体"/>
                <w:snapToGrid w:val="0"/>
                <w:color w:val="000000" w:themeColor="text1"/>
                <w:sz w:val="21"/>
                <w:szCs w:val="21"/>
                <w14:textFill>
                  <w14:solidFill>
                    <w14:schemeClr w14:val="tx1"/>
                  </w14:solidFill>
                </w14:textFill>
              </w:rPr>
              <w:t>85-90</w:t>
            </w:r>
          </w:p>
        </w:tc>
        <w:tc>
          <w:tcPr>
            <w:tcW w:w="330" w:type="pct"/>
            <w:vAlign w:val="center"/>
          </w:tcPr>
          <w:p w14:paraId="37BD2BA8">
            <w:pPr>
              <w:pStyle w:val="342"/>
              <w:overflowPunct w:val="0"/>
              <w:snapToGrid w:val="0"/>
              <w:spacing w:line="300" w:lineRule="exact"/>
              <w:rPr>
                <w:rFonts w:hint="eastAsia" w:hAnsi="宋体"/>
                <w:snapToGrid w:val="0"/>
                <w:color w:val="000000" w:themeColor="text1"/>
                <w:sz w:val="21"/>
                <w:szCs w:val="21"/>
                <w14:textFill>
                  <w14:solidFill>
                    <w14:schemeClr w14:val="tx1"/>
                  </w14:solidFill>
                </w14:textFill>
              </w:rPr>
            </w:pPr>
            <w:r>
              <w:rPr>
                <w:rFonts w:hint="eastAsia" w:hAnsi="宋体"/>
                <w:snapToGrid w:val="0"/>
                <w:color w:val="000000" w:themeColor="text1"/>
                <w:sz w:val="21"/>
                <w:szCs w:val="21"/>
                <w14:textFill>
                  <w14:solidFill>
                    <w14:schemeClr w14:val="tx1"/>
                  </w14:solidFill>
                </w14:textFill>
              </w:rPr>
              <w:t>66</w:t>
            </w:r>
          </w:p>
        </w:tc>
        <w:tc>
          <w:tcPr>
            <w:tcW w:w="330" w:type="pct"/>
            <w:vAlign w:val="center"/>
          </w:tcPr>
          <w:p w14:paraId="6F4099BB">
            <w:pPr>
              <w:pStyle w:val="342"/>
              <w:overflowPunct w:val="0"/>
              <w:snapToGrid w:val="0"/>
              <w:spacing w:line="300" w:lineRule="exact"/>
              <w:rPr>
                <w:rFonts w:hint="eastAsia" w:hAnsi="宋体"/>
                <w:snapToGrid w:val="0"/>
                <w:color w:val="000000" w:themeColor="text1"/>
                <w:sz w:val="21"/>
                <w:szCs w:val="21"/>
                <w14:textFill>
                  <w14:solidFill>
                    <w14:schemeClr w14:val="tx1"/>
                  </w14:solidFill>
                </w14:textFill>
              </w:rPr>
            </w:pPr>
            <w:r>
              <w:rPr>
                <w:rFonts w:hint="eastAsia" w:hAnsi="宋体"/>
                <w:snapToGrid w:val="0"/>
                <w:color w:val="000000" w:themeColor="text1"/>
                <w:sz w:val="21"/>
                <w:szCs w:val="21"/>
                <w14:textFill>
                  <w14:solidFill>
                    <w14:schemeClr w14:val="tx1"/>
                  </w14:solidFill>
                </w14:textFill>
              </w:rPr>
              <w:t>6</w:t>
            </w:r>
          </w:p>
        </w:tc>
        <w:tc>
          <w:tcPr>
            <w:tcW w:w="329" w:type="pct"/>
            <w:vAlign w:val="center"/>
          </w:tcPr>
          <w:p w14:paraId="1C5682A3">
            <w:pPr>
              <w:pStyle w:val="342"/>
              <w:overflowPunct w:val="0"/>
              <w:snapToGrid w:val="0"/>
              <w:spacing w:line="300" w:lineRule="exact"/>
              <w:rPr>
                <w:rFonts w:hint="eastAsia" w:hAnsi="宋体"/>
                <w:snapToGrid w:val="0"/>
                <w:color w:val="000000" w:themeColor="text1"/>
                <w:sz w:val="21"/>
                <w:szCs w:val="21"/>
                <w14:textFill>
                  <w14:solidFill>
                    <w14:schemeClr w14:val="tx1"/>
                  </w14:solidFill>
                </w14:textFill>
              </w:rPr>
            </w:pPr>
            <w:r>
              <w:rPr>
                <w:rFonts w:hint="eastAsia" w:hAnsi="宋体"/>
                <w:snapToGrid w:val="0"/>
                <w:color w:val="000000" w:themeColor="text1"/>
                <w:sz w:val="21"/>
                <w:szCs w:val="21"/>
                <w14:textFill>
                  <w14:solidFill>
                    <w14:schemeClr w14:val="tx1"/>
                  </w14:solidFill>
                </w14:textFill>
              </w:rPr>
              <w:t>0.5</w:t>
            </w:r>
          </w:p>
        </w:tc>
        <w:tc>
          <w:tcPr>
            <w:tcW w:w="686" w:type="pct"/>
            <w:vMerge w:val="continue"/>
            <w:vAlign w:val="center"/>
          </w:tcPr>
          <w:p w14:paraId="3DDE69AD">
            <w:pPr>
              <w:pStyle w:val="342"/>
              <w:overflowPunct w:val="0"/>
              <w:snapToGrid w:val="0"/>
              <w:spacing w:line="300" w:lineRule="exact"/>
              <w:rPr>
                <w:rFonts w:hint="eastAsia" w:hAnsi="宋体"/>
                <w:snapToGrid w:val="0"/>
                <w:color w:val="000000" w:themeColor="text1"/>
                <w:sz w:val="21"/>
                <w:szCs w:val="21"/>
                <w14:textFill>
                  <w14:solidFill>
                    <w14:schemeClr w14:val="tx1"/>
                  </w14:solidFill>
                </w14:textFill>
              </w:rPr>
            </w:pPr>
          </w:p>
        </w:tc>
        <w:tc>
          <w:tcPr>
            <w:tcW w:w="560" w:type="pct"/>
            <w:vMerge w:val="continue"/>
            <w:vAlign w:val="center"/>
          </w:tcPr>
          <w:p w14:paraId="1888F01C">
            <w:pPr>
              <w:pStyle w:val="342"/>
              <w:overflowPunct w:val="0"/>
              <w:snapToGrid w:val="0"/>
              <w:spacing w:line="300" w:lineRule="exact"/>
              <w:rPr>
                <w:rFonts w:hint="eastAsia" w:hAnsi="宋体"/>
                <w:snapToGrid w:val="0"/>
                <w:color w:val="000000" w:themeColor="text1"/>
                <w:sz w:val="21"/>
                <w:szCs w:val="21"/>
                <w14:textFill>
                  <w14:solidFill>
                    <w14:schemeClr w14:val="tx1"/>
                  </w14:solidFill>
                </w14:textFill>
              </w:rPr>
            </w:pPr>
          </w:p>
        </w:tc>
      </w:tr>
      <w:bookmarkEnd w:id="341"/>
    </w:tbl>
    <w:p w14:paraId="61E0F19C">
      <w:pPr>
        <w:adjustRightInd w:val="0"/>
        <w:snapToGrid w:val="0"/>
        <w:spacing w:line="500" w:lineRule="exact"/>
        <w:ind w:firstLine="480" w:firstLineChars="200"/>
        <w:jc w:val="left"/>
        <w:textAlignment w:val="baseline"/>
        <w:rPr>
          <w:rFonts w:hint="eastAsia" w:ascii="宋体" w:hAnsi="宋体"/>
          <w:color w:val="000000" w:themeColor="text1"/>
          <w:kern w:val="0"/>
          <w:sz w:val="24"/>
          <w14:textFill>
            <w14:solidFill>
              <w14:schemeClr w14:val="tx1"/>
            </w14:solidFill>
          </w14:textFill>
        </w:rPr>
      </w:pPr>
      <w:bookmarkStart w:id="343" w:name="OLE_LINK189"/>
      <w:r>
        <w:rPr>
          <w:rFonts w:hint="eastAsia" w:ascii="宋体" w:hAnsi="宋体"/>
          <w:color w:val="000000" w:themeColor="text1"/>
          <w:kern w:val="0"/>
          <w:sz w:val="24"/>
          <w14:textFill>
            <w14:solidFill>
              <w14:schemeClr w14:val="tx1"/>
            </w14:solidFill>
          </w14:textFill>
        </w:rPr>
        <w:t>（4）固体废物</w:t>
      </w:r>
    </w:p>
    <w:p w14:paraId="0DA1D201">
      <w:pPr>
        <w:pStyle w:val="117"/>
        <w:ind w:firstLine="480"/>
        <w:rPr>
          <w:rFonts w:hint="eastAsia" w:cs="宋体"/>
          <w:color w:val="000000" w:themeColor="text1"/>
          <w:lang w:val="zh-CN"/>
          <w14:textFill>
            <w14:solidFill>
              <w14:schemeClr w14:val="tx1"/>
            </w14:solidFill>
          </w14:textFill>
        </w:rPr>
      </w:pPr>
      <w:r>
        <w:rPr>
          <w:rFonts w:hint="eastAsia" w:cs="宋体"/>
          <w:color w:val="000000" w:themeColor="text1"/>
          <w:lang w:val="zh-CN"/>
          <w14:textFill>
            <w14:solidFill>
              <w14:schemeClr w14:val="tx1"/>
            </w14:solidFill>
          </w14:textFill>
        </w:rPr>
        <w:t>固体废物主要为一般工业固体废物——废包装物、危险废物——废润滑油、废油桶、沾油废防渗材料、废分子筛、废含油抹布和劳保用品和生活垃圾。</w:t>
      </w:r>
    </w:p>
    <w:p w14:paraId="14022C29">
      <w:pPr>
        <w:pStyle w:val="117"/>
        <w:ind w:firstLine="480" w:firstLineChars="0"/>
        <w:rPr>
          <w:rFonts w:hint="eastAsia" w:cs="宋体"/>
          <w:color w:val="000000" w:themeColor="text1"/>
          <w:lang w:val="zh-CN"/>
          <w14:textFill>
            <w14:solidFill>
              <w14:schemeClr w14:val="tx1"/>
            </w14:solidFill>
          </w14:textFill>
        </w:rPr>
      </w:pPr>
      <w:bookmarkStart w:id="344" w:name="_Hlk173755204"/>
      <w:r>
        <w:rPr>
          <w:rFonts w:hint="eastAsia" w:cs="宋体"/>
          <w:color w:val="000000" w:themeColor="text1"/>
          <w:lang w:val="zh-CN"/>
          <w14:textFill>
            <w14:solidFill>
              <w14:schemeClr w14:val="tx1"/>
            </w14:solidFill>
          </w14:textFill>
        </w:rPr>
        <w:t>①废包装物</w:t>
      </w:r>
      <w:bookmarkEnd w:id="344"/>
    </w:p>
    <w:p w14:paraId="3264D26C">
      <w:pPr>
        <w:pStyle w:val="117"/>
        <w:ind w:firstLine="480"/>
        <w:rPr>
          <w:rFonts w:hint="eastAsia" w:cs="宋体"/>
          <w:color w:val="000000" w:themeColor="text1"/>
          <w:lang w:val="zh-CN"/>
          <w14:textFill>
            <w14:solidFill>
              <w14:schemeClr w14:val="tx1"/>
            </w14:solidFill>
          </w14:textFill>
        </w:rPr>
      </w:pPr>
      <w:r>
        <w:rPr>
          <w:rFonts w:hint="eastAsia" w:cs="宋体"/>
          <w:color w:val="000000" w:themeColor="text1"/>
          <w:lang w:val="zh-CN"/>
          <w14:textFill>
            <w14:solidFill>
              <w14:schemeClr w14:val="tx1"/>
            </w14:solidFill>
          </w14:textFill>
        </w:rPr>
        <w:t>注采井设除硫加药装置，脱硫剂主要为三嗪类硫化氢处理剂，主要采用桶装，使用过程中会产生一定的废脱硫剂包装物，产生量约为0.1t/a，废脱硫剂包装物属于一般工业固体废物，直接由厂家回收利用；缓释剂和消泡剂使用过程中会产生一定的废包装物，产生量为0.1t/a，缓蚀剂主要成分为</w:t>
      </w:r>
      <w:r>
        <w:rPr>
          <w:rFonts w:ascii="Times New Roman" w:hAnsi="Times New Roman"/>
          <w:color w:val="000000" w:themeColor="text1"/>
          <w:szCs w:val="22"/>
          <w14:textFill>
            <w14:solidFill>
              <w14:schemeClr w14:val="tx1"/>
            </w14:solidFill>
          </w14:textFill>
        </w:rPr>
        <w:t>喹啉季铵盐缓蚀剂+HEDP（羟基亚乙基二膦酸）</w:t>
      </w:r>
      <w:r>
        <w:rPr>
          <w:rFonts w:hint="eastAsia" w:cs="宋体"/>
          <w:color w:val="000000" w:themeColor="text1"/>
          <w:lang w:val="zh-CN"/>
          <w14:textFill>
            <w14:solidFill>
              <w14:schemeClr w14:val="tx1"/>
            </w14:solidFill>
          </w14:textFill>
        </w:rPr>
        <w:t>，废缓释剂和消泡剂包装物属于一般工业固体废物，直接由厂家回收利用。</w:t>
      </w:r>
      <w:bookmarkStart w:id="345" w:name="OLE_LINK234"/>
      <w:r>
        <w:rPr>
          <w:rFonts w:hint="eastAsia" w:cs="宋体"/>
          <w:color w:val="000000" w:themeColor="text1"/>
          <w:lang w:val="zh-CN"/>
          <w14:textFill>
            <w14:solidFill>
              <w14:schemeClr w14:val="tx1"/>
            </w14:solidFill>
          </w14:textFill>
        </w:rPr>
        <w:t>根据</w:t>
      </w:r>
      <w:bookmarkStart w:id="346" w:name="OLE_LINK231"/>
      <w:r>
        <w:rPr>
          <w:rFonts w:hint="eastAsia" w:cs="宋体"/>
          <w:color w:val="000000" w:themeColor="text1"/>
          <w14:textFill>
            <w14:solidFill>
              <w14:schemeClr w14:val="tx1"/>
            </w14:solidFill>
          </w14:textFill>
        </w:rPr>
        <w:t>《固体废物分类与代码目录》</w:t>
      </w:r>
      <w:bookmarkEnd w:id="346"/>
      <w:r>
        <w:rPr>
          <w:rFonts w:hint="eastAsia" w:cs="宋体"/>
          <w:color w:val="000000" w:themeColor="text1"/>
          <w:lang w:val="zh-CN"/>
          <w14:textFill>
            <w14:solidFill>
              <w14:schemeClr w14:val="tx1"/>
            </w14:solidFill>
          </w14:textFill>
        </w:rPr>
        <w:t>可知</w:t>
      </w:r>
      <w:bookmarkEnd w:id="345"/>
      <w:r>
        <w:rPr>
          <w:rFonts w:hint="eastAsia" w:cs="宋体"/>
          <w:color w:val="000000" w:themeColor="text1"/>
          <w:lang w:val="zh-CN"/>
          <w14:textFill>
            <w14:solidFill>
              <w14:schemeClr w14:val="tx1"/>
            </w14:solidFill>
          </w14:textFill>
        </w:rPr>
        <w:t>，废包装物的固体废物代码为</w:t>
      </w:r>
      <w:bookmarkStart w:id="347" w:name="OLE_LINK136"/>
      <w:r>
        <w:rPr>
          <w:rFonts w:hint="eastAsia" w:cs="宋体"/>
          <w:color w:val="000000" w:themeColor="text1"/>
          <w:lang w:val="zh-CN"/>
          <w14:textFill>
            <w14:solidFill>
              <w14:schemeClr w14:val="tx1"/>
            </w14:solidFill>
          </w14:textFill>
        </w:rPr>
        <w:t>900-099-S59</w:t>
      </w:r>
      <w:bookmarkEnd w:id="347"/>
      <w:r>
        <w:rPr>
          <w:rFonts w:hint="eastAsia" w:cs="宋体"/>
          <w:color w:val="000000" w:themeColor="text1"/>
          <w:lang w:val="zh-CN"/>
          <w14:textFill>
            <w14:solidFill>
              <w14:schemeClr w14:val="tx1"/>
            </w14:solidFill>
          </w14:textFill>
        </w:rPr>
        <w:t>。</w:t>
      </w:r>
    </w:p>
    <w:p w14:paraId="60E9558B">
      <w:pPr>
        <w:pStyle w:val="117"/>
        <w:ind w:firstLine="480"/>
        <w:rPr>
          <w:rFonts w:hint="eastAsia" w:cs="宋体"/>
          <w:color w:val="000000" w:themeColor="text1"/>
          <w:lang w:val="zh-CN"/>
          <w14:textFill>
            <w14:solidFill>
              <w14:schemeClr w14:val="tx1"/>
            </w14:solidFill>
          </w14:textFill>
        </w:rPr>
      </w:pPr>
      <w:r>
        <w:rPr>
          <w:rFonts w:hint="eastAsia" w:cs="宋体"/>
          <w:color w:val="000000" w:themeColor="text1"/>
          <w:lang w:val="zh-CN"/>
          <w14:textFill>
            <w14:solidFill>
              <w14:schemeClr w14:val="tx1"/>
            </w14:solidFill>
          </w14:textFill>
        </w:rPr>
        <w:t>②废润滑油</w:t>
      </w:r>
    </w:p>
    <w:p w14:paraId="7283AD4E">
      <w:pPr>
        <w:pStyle w:val="117"/>
        <w:ind w:firstLine="480"/>
        <w:rPr>
          <w:rFonts w:hint="eastAsia" w:cs="宋体"/>
          <w:color w:val="000000" w:themeColor="text1"/>
          <w:lang w:val="zh-CN"/>
          <w14:textFill>
            <w14:solidFill>
              <w14:schemeClr w14:val="tx1"/>
            </w14:solidFill>
          </w14:textFill>
        </w:rPr>
      </w:pPr>
      <w:r>
        <w:rPr>
          <w:rFonts w:hint="eastAsia" w:cs="宋体"/>
          <w:color w:val="000000" w:themeColor="text1"/>
          <w:lang w:val="zh-CN"/>
          <w14:textFill>
            <w14:solidFill>
              <w14:schemeClr w14:val="tx1"/>
            </w14:solidFill>
          </w14:textFill>
        </w:rPr>
        <w:t>设备维修会产生一定的废润滑油，根据现有采油井场实际产生情况估算，单井废润滑油产生量约为</w:t>
      </w:r>
      <w:r>
        <w:rPr>
          <w:rFonts w:cs="宋体"/>
          <w:color w:val="000000" w:themeColor="text1"/>
          <w:lang w:val="zh-CN"/>
          <w14:textFill>
            <w14:solidFill>
              <w14:schemeClr w14:val="tx1"/>
            </w14:solidFill>
          </w14:textFill>
        </w:rPr>
        <w:t>0.05t/a</w:t>
      </w:r>
      <w:r>
        <w:rPr>
          <w:rFonts w:hint="eastAsia" w:cs="宋体"/>
          <w:color w:val="000000" w:themeColor="text1"/>
          <w:lang w:val="zh-CN"/>
          <w14:textFill>
            <w14:solidFill>
              <w14:schemeClr w14:val="tx1"/>
            </w14:solidFill>
          </w14:textFill>
        </w:rPr>
        <w:t>，则12口井合计产生量为0.6t/a，预处理注入站设备检维修产生的废润滑油约为0.2t/a，则废润滑油合计产生量为0.8t/a。废润滑油属于《国家危险废物名录（</w:t>
      </w:r>
      <w:r>
        <w:rPr>
          <w:rFonts w:cs="宋体"/>
          <w:color w:val="000000" w:themeColor="text1"/>
          <w:lang w:val="zh-CN"/>
          <w14:textFill>
            <w14:solidFill>
              <w14:schemeClr w14:val="tx1"/>
            </w14:solidFill>
          </w14:textFill>
        </w:rPr>
        <w:t>202</w:t>
      </w:r>
      <w:r>
        <w:rPr>
          <w:rFonts w:hint="eastAsia" w:cs="宋体"/>
          <w:color w:val="000000" w:themeColor="text1"/>
          <w:lang w:val="zh-CN"/>
          <w14:textFill>
            <w14:solidFill>
              <w14:schemeClr w14:val="tx1"/>
            </w14:solidFill>
          </w14:textFill>
        </w:rPr>
        <w:t>5年版）》</w:t>
      </w:r>
      <w:r>
        <w:rPr>
          <w:rFonts w:cs="宋体"/>
          <w:color w:val="000000" w:themeColor="text1"/>
          <w:lang w:val="zh-CN"/>
          <w14:textFill>
            <w14:solidFill>
              <w14:schemeClr w14:val="tx1"/>
            </w14:solidFill>
          </w14:textFill>
        </w:rPr>
        <w:t>HW08</w:t>
      </w:r>
      <w:r>
        <w:rPr>
          <w:rFonts w:hint="eastAsia" w:cs="宋体"/>
          <w:color w:val="000000" w:themeColor="text1"/>
          <w:lang w:val="zh-CN"/>
          <w14:textFill>
            <w14:solidFill>
              <w14:schemeClr w14:val="tx1"/>
            </w14:solidFill>
          </w14:textFill>
        </w:rPr>
        <w:t>废矿物油和含矿物油废物，废物代码为</w:t>
      </w:r>
      <w:r>
        <w:rPr>
          <w:rFonts w:cs="宋体"/>
          <w:color w:val="000000" w:themeColor="text1"/>
          <w:lang w:val="zh-CN"/>
          <w14:textFill>
            <w14:solidFill>
              <w14:schemeClr w14:val="tx1"/>
            </w14:solidFill>
          </w14:textFill>
        </w:rPr>
        <w:t>900-2</w:t>
      </w:r>
      <w:r>
        <w:rPr>
          <w:rFonts w:hint="eastAsia" w:cs="宋体"/>
          <w:color w:val="000000" w:themeColor="text1"/>
          <w:lang w:val="zh-CN"/>
          <w14:textFill>
            <w14:solidFill>
              <w14:schemeClr w14:val="tx1"/>
            </w14:solidFill>
          </w14:textFill>
        </w:rPr>
        <w:t>14</w:t>
      </w:r>
      <w:r>
        <w:rPr>
          <w:rFonts w:cs="宋体"/>
          <w:color w:val="000000" w:themeColor="text1"/>
          <w:lang w:val="zh-CN"/>
          <w14:textFill>
            <w14:solidFill>
              <w14:schemeClr w14:val="tx1"/>
            </w14:solidFill>
          </w14:textFill>
        </w:rPr>
        <w:t>-08</w:t>
      </w:r>
      <w:r>
        <w:rPr>
          <w:rFonts w:hint="eastAsia" w:cs="宋体"/>
          <w:color w:val="000000" w:themeColor="text1"/>
          <w:lang w:val="zh-CN"/>
          <w14:textFill>
            <w14:solidFill>
              <w14:schemeClr w14:val="tx1"/>
            </w14:solidFill>
          </w14:textFill>
        </w:rPr>
        <w:t>，危险特性为</w:t>
      </w:r>
      <w:r>
        <w:rPr>
          <w:rFonts w:cs="宋体"/>
          <w:color w:val="000000" w:themeColor="text1"/>
          <w:lang w:val="zh-CN"/>
          <w14:textFill>
            <w14:solidFill>
              <w14:schemeClr w14:val="tx1"/>
            </w14:solidFill>
          </w14:textFill>
        </w:rPr>
        <w:t>T</w:t>
      </w:r>
      <w:r>
        <w:rPr>
          <w:rFonts w:hint="eastAsia" w:cs="宋体"/>
          <w:color w:val="000000" w:themeColor="text1"/>
          <w:lang w:val="zh-CN"/>
          <w14:textFill>
            <w14:solidFill>
              <w14:schemeClr w14:val="tx1"/>
            </w14:solidFill>
          </w14:textFill>
        </w:rPr>
        <w:t>、</w:t>
      </w:r>
      <w:r>
        <w:rPr>
          <w:rFonts w:cs="宋体"/>
          <w:color w:val="000000" w:themeColor="text1"/>
          <w:lang w:val="zh-CN"/>
          <w14:textFill>
            <w14:solidFill>
              <w14:schemeClr w14:val="tx1"/>
            </w14:solidFill>
          </w14:textFill>
        </w:rPr>
        <w:t>I</w:t>
      </w:r>
      <w:r>
        <w:rPr>
          <w:rFonts w:hint="eastAsia" w:cs="宋体"/>
          <w:color w:val="000000" w:themeColor="text1"/>
          <w:lang w:val="zh-CN"/>
          <w14:textFill>
            <w14:solidFill>
              <w14:schemeClr w14:val="tx1"/>
            </w14:solidFill>
          </w14:textFill>
        </w:rPr>
        <w:t>，临时贮存在页岩油联合站危险废物临时暂存场，最终交由有相应危险废物处理资质的单位处理。</w:t>
      </w:r>
    </w:p>
    <w:p w14:paraId="409C742F">
      <w:pPr>
        <w:pStyle w:val="117"/>
        <w:ind w:firstLine="480"/>
        <w:rPr>
          <w:rFonts w:hint="eastAsia" w:cs="宋体"/>
          <w:color w:val="000000" w:themeColor="text1"/>
          <w:lang w:val="zh-CN"/>
          <w14:textFill>
            <w14:solidFill>
              <w14:schemeClr w14:val="tx1"/>
            </w14:solidFill>
          </w14:textFill>
        </w:rPr>
      </w:pPr>
      <w:r>
        <w:rPr>
          <w:rFonts w:hint="eastAsia" w:cs="宋体"/>
          <w:color w:val="000000" w:themeColor="text1"/>
          <w:lang w:val="zh-CN"/>
          <w14:textFill>
            <w14:solidFill>
              <w14:schemeClr w14:val="tx1"/>
            </w14:solidFill>
          </w14:textFill>
        </w:rPr>
        <w:t>③废油桶</w:t>
      </w:r>
    </w:p>
    <w:p w14:paraId="4D2209D0">
      <w:pPr>
        <w:pStyle w:val="117"/>
        <w:ind w:firstLine="480"/>
        <w:rPr>
          <w:rFonts w:hint="eastAsia" w:cs="宋体"/>
          <w:color w:val="000000" w:themeColor="text1"/>
          <w:lang w:val="zh-CN"/>
          <w14:textFill>
            <w14:solidFill>
              <w14:schemeClr w14:val="tx1"/>
            </w14:solidFill>
          </w14:textFill>
        </w:rPr>
      </w:pPr>
      <w:r>
        <w:rPr>
          <w:rFonts w:hint="eastAsia" w:cs="宋体"/>
          <w:color w:val="000000" w:themeColor="text1"/>
          <w:lang w:val="zh-CN"/>
          <w14:textFill>
            <w14:solidFill>
              <w14:schemeClr w14:val="tx1"/>
            </w14:solidFill>
          </w14:textFill>
        </w:rPr>
        <w:t>设备检维修过程中使用润滑油时会产生一定的废油桶，根据润滑油的使用量计算出废油桶的产生量为0.07t/a，废油桶属于《国家危险废物名录（</w:t>
      </w:r>
      <w:r>
        <w:rPr>
          <w:rFonts w:cs="宋体"/>
          <w:color w:val="000000" w:themeColor="text1"/>
          <w:lang w:val="zh-CN"/>
          <w14:textFill>
            <w14:solidFill>
              <w14:schemeClr w14:val="tx1"/>
            </w14:solidFill>
          </w14:textFill>
        </w:rPr>
        <w:t>202</w:t>
      </w:r>
      <w:r>
        <w:rPr>
          <w:rFonts w:hint="eastAsia" w:cs="宋体"/>
          <w:color w:val="000000" w:themeColor="text1"/>
          <w:lang w:val="zh-CN"/>
          <w14:textFill>
            <w14:solidFill>
              <w14:schemeClr w14:val="tx1"/>
            </w14:solidFill>
          </w14:textFill>
        </w:rPr>
        <w:t>5年版）》</w:t>
      </w:r>
      <w:r>
        <w:rPr>
          <w:rFonts w:cs="宋体"/>
          <w:color w:val="000000" w:themeColor="text1"/>
          <w:lang w:val="zh-CN"/>
          <w14:textFill>
            <w14:solidFill>
              <w14:schemeClr w14:val="tx1"/>
            </w14:solidFill>
          </w14:textFill>
        </w:rPr>
        <w:t>HW08</w:t>
      </w:r>
      <w:r>
        <w:rPr>
          <w:rFonts w:hint="eastAsia" w:cs="宋体"/>
          <w:color w:val="000000" w:themeColor="text1"/>
          <w:lang w:val="zh-CN"/>
          <w14:textFill>
            <w14:solidFill>
              <w14:schemeClr w14:val="tx1"/>
            </w14:solidFill>
          </w14:textFill>
        </w:rPr>
        <w:t>废矿物油和含矿物油废物，废物代码为</w:t>
      </w:r>
      <w:bookmarkStart w:id="348" w:name="OLE_LINK120"/>
      <w:r>
        <w:rPr>
          <w:rFonts w:cs="宋体"/>
          <w:color w:val="000000" w:themeColor="text1"/>
          <w:lang w:val="zh-CN"/>
          <w14:textFill>
            <w14:solidFill>
              <w14:schemeClr w14:val="tx1"/>
            </w14:solidFill>
          </w14:textFill>
        </w:rPr>
        <w:t>900-2</w:t>
      </w:r>
      <w:r>
        <w:rPr>
          <w:rFonts w:hint="eastAsia" w:cs="宋体"/>
          <w:color w:val="000000" w:themeColor="text1"/>
          <w:lang w:val="zh-CN"/>
          <w14:textFill>
            <w14:solidFill>
              <w14:schemeClr w14:val="tx1"/>
            </w14:solidFill>
          </w14:textFill>
        </w:rPr>
        <w:t>49</w:t>
      </w:r>
      <w:r>
        <w:rPr>
          <w:rFonts w:cs="宋体"/>
          <w:color w:val="000000" w:themeColor="text1"/>
          <w:lang w:val="zh-CN"/>
          <w14:textFill>
            <w14:solidFill>
              <w14:schemeClr w14:val="tx1"/>
            </w14:solidFill>
          </w14:textFill>
        </w:rPr>
        <w:t>-08</w:t>
      </w:r>
      <w:bookmarkEnd w:id="348"/>
      <w:r>
        <w:rPr>
          <w:rFonts w:hint="eastAsia" w:cs="宋体"/>
          <w:color w:val="000000" w:themeColor="text1"/>
          <w:lang w:val="zh-CN"/>
          <w14:textFill>
            <w14:solidFill>
              <w14:schemeClr w14:val="tx1"/>
            </w14:solidFill>
          </w14:textFill>
        </w:rPr>
        <w:t>，危险特性为</w:t>
      </w:r>
      <w:r>
        <w:rPr>
          <w:rFonts w:cs="宋体"/>
          <w:color w:val="000000" w:themeColor="text1"/>
          <w:lang w:val="zh-CN"/>
          <w14:textFill>
            <w14:solidFill>
              <w14:schemeClr w14:val="tx1"/>
            </w14:solidFill>
          </w14:textFill>
        </w:rPr>
        <w:t>T</w:t>
      </w:r>
      <w:r>
        <w:rPr>
          <w:rFonts w:hint="eastAsia" w:cs="宋体"/>
          <w:color w:val="000000" w:themeColor="text1"/>
          <w:lang w:val="zh-CN"/>
          <w14:textFill>
            <w14:solidFill>
              <w14:schemeClr w14:val="tx1"/>
            </w14:solidFill>
          </w14:textFill>
        </w:rPr>
        <w:t>、</w:t>
      </w:r>
      <w:r>
        <w:rPr>
          <w:rFonts w:cs="宋体"/>
          <w:color w:val="000000" w:themeColor="text1"/>
          <w:lang w:val="zh-CN"/>
          <w14:textFill>
            <w14:solidFill>
              <w14:schemeClr w14:val="tx1"/>
            </w14:solidFill>
          </w14:textFill>
        </w:rPr>
        <w:t>I</w:t>
      </w:r>
      <w:r>
        <w:rPr>
          <w:rFonts w:hint="eastAsia" w:cs="宋体"/>
          <w:color w:val="000000" w:themeColor="text1"/>
          <w:lang w:val="zh-CN"/>
          <w14:textFill>
            <w14:solidFill>
              <w14:schemeClr w14:val="tx1"/>
            </w14:solidFill>
          </w14:textFill>
        </w:rPr>
        <w:t>，临时贮存在页岩油联合站危险废物暂存场，最终交由有相应危险废物处理资质的单位处理。</w:t>
      </w:r>
    </w:p>
    <w:bookmarkEnd w:id="343"/>
    <w:p w14:paraId="2DDF4921">
      <w:pPr>
        <w:pStyle w:val="117"/>
        <w:ind w:firstLine="480"/>
        <w:rPr>
          <w:rFonts w:hint="eastAsia" w:cs="宋体"/>
          <w:color w:val="000000" w:themeColor="text1"/>
          <w:lang w:val="zh-CN"/>
          <w14:textFill>
            <w14:solidFill>
              <w14:schemeClr w14:val="tx1"/>
            </w14:solidFill>
          </w14:textFill>
        </w:rPr>
      </w:pPr>
      <w:r>
        <w:rPr>
          <w:rFonts w:hint="eastAsia" w:cs="宋体"/>
          <w:color w:val="000000" w:themeColor="text1"/>
          <w:lang w:val="zh-CN"/>
          <w14:textFill>
            <w14:solidFill>
              <w14:schemeClr w14:val="tx1"/>
            </w14:solidFill>
          </w14:textFill>
        </w:rPr>
        <w:t>④沾油废防渗材料</w:t>
      </w:r>
    </w:p>
    <w:p w14:paraId="6A054549">
      <w:pPr>
        <w:pStyle w:val="117"/>
        <w:ind w:firstLine="480"/>
        <w:rPr>
          <w:rFonts w:hint="eastAsia" w:cs="宋体"/>
          <w:color w:val="000000" w:themeColor="text1"/>
          <w:lang w:val="zh-CN"/>
          <w14:textFill>
            <w14:solidFill>
              <w14:schemeClr w14:val="tx1"/>
            </w14:solidFill>
          </w14:textFill>
        </w:rPr>
      </w:pPr>
      <w:r>
        <w:rPr>
          <w:rFonts w:hint="eastAsia" w:cs="宋体"/>
          <w:color w:val="000000" w:themeColor="text1"/>
          <w:lang w:val="zh-CN"/>
          <w14:textFill>
            <w14:solidFill>
              <w14:schemeClr w14:val="tx1"/>
            </w14:solidFill>
          </w14:textFill>
        </w:rPr>
        <w:t>注采井场日常巡检、检修过程中会产生一定的沾油废防渗膜，沾油废防渗膜属于《国家危险废物名录（</w:t>
      </w:r>
      <w:r>
        <w:rPr>
          <w:rFonts w:cs="宋体"/>
          <w:color w:val="000000" w:themeColor="text1"/>
          <w:lang w:val="zh-CN"/>
          <w14:textFill>
            <w14:solidFill>
              <w14:schemeClr w14:val="tx1"/>
            </w14:solidFill>
          </w14:textFill>
        </w:rPr>
        <w:t>202</w:t>
      </w:r>
      <w:r>
        <w:rPr>
          <w:rFonts w:hint="eastAsia" w:cs="宋体"/>
          <w:color w:val="000000" w:themeColor="text1"/>
          <w:lang w:val="zh-CN"/>
          <w14:textFill>
            <w14:solidFill>
              <w14:schemeClr w14:val="tx1"/>
            </w14:solidFill>
          </w14:textFill>
        </w:rPr>
        <w:t>5年版）》</w:t>
      </w:r>
      <w:r>
        <w:rPr>
          <w:rFonts w:cs="宋体"/>
          <w:color w:val="000000" w:themeColor="text1"/>
          <w:lang w:val="zh-CN"/>
          <w14:textFill>
            <w14:solidFill>
              <w14:schemeClr w14:val="tx1"/>
            </w14:solidFill>
          </w14:textFill>
        </w:rPr>
        <w:t>HW08</w:t>
      </w:r>
      <w:r>
        <w:rPr>
          <w:rFonts w:hint="eastAsia" w:cs="宋体"/>
          <w:color w:val="000000" w:themeColor="text1"/>
          <w:lang w:val="zh-CN"/>
          <w14:textFill>
            <w14:solidFill>
              <w14:schemeClr w14:val="tx1"/>
            </w14:solidFill>
          </w14:textFill>
        </w:rPr>
        <w:t>废矿物油和含矿物油废物，废物代码：</w:t>
      </w:r>
      <w:r>
        <w:rPr>
          <w:rFonts w:cs="宋体"/>
          <w:color w:val="000000" w:themeColor="text1"/>
          <w:lang w:val="zh-CN"/>
          <w14:textFill>
            <w14:solidFill>
              <w14:schemeClr w14:val="tx1"/>
            </w14:solidFill>
          </w14:textFill>
        </w:rPr>
        <w:t>900-249-08</w:t>
      </w:r>
      <w:r>
        <w:rPr>
          <w:rFonts w:hint="eastAsia" w:cs="宋体"/>
          <w:color w:val="000000" w:themeColor="text1"/>
          <w:lang w:val="zh-CN"/>
          <w14:textFill>
            <w14:solidFill>
              <w14:schemeClr w14:val="tx1"/>
            </w14:solidFill>
          </w14:textFill>
        </w:rPr>
        <w:t>，危险特性为</w:t>
      </w:r>
      <w:r>
        <w:rPr>
          <w:rFonts w:cs="宋体"/>
          <w:color w:val="000000" w:themeColor="text1"/>
          <w:lang w:val="zh-CN"/>
          <w14:textFill>
            <w14:solidFill>
              <w14:schemeClr w14:val="tx1"/>
            </w14:solidFill>
          </w14:textFill>
        </w:rPr>
        <w:t>T</w:t>
      </w:r>
      <w:r>
        <w:rPr>
          <w:rFonts w:hint="eastAsia" w:cs="宋体"/>
          <w:color w:val="000000" w:themeColor="text1"/>
          <w:lang w:val="zh-CN"/>
          <w14:textFill>
            <w14:solidFill>
              <w14:schemeClr w14:val="tx1"/>
            </w14:solidFill>
          </w14:textFill>
        </w:rPr>
        <w:t>、</w:t>
      </w:r>
      <w:r>
        <w:rPr>
          <w:rFonts w:cs="宋体"/>
          <w:color w:val="000000" w:themeColor="text1"/>
          <w:lang w:val="zh-CN"/>
          <w14:textFill>
            <w14:solidFill>
              <w14:schemeClr w14:val="tx1"/>
            </w14:solidFill>
          </w14:textFill>
        </w:rPr>
        <w:t>I</w:t>
      </w:r>
      <w:r>
        <w:rPr>
          <w:rFonts w:hint="eastAsia" w:cs="宋体"/>
          <w:color w:val="000000" w:themeColor="text1"/>
          <w:lang w:val="zh-CN"/>
          <w14:textFill>
            <w14:solidFill>
              <w14:schemeClr w14:val="tx1"/>
            </w14:solidFill>
          </w14:textFill>
        </w:rPr>
        <w:t>，根据现有采油井场实际产生情况估算，单井产生量约</w:t>
      </w:r>
      <w:r>
        <w:rPr>
          <w:rFonts w:cs="宋体"/>
          <w:color w:val="000000" w:themeColor="text1"/>
          <w:lang w:val="zh-CN"/>
          <w14:textFill>
            <w14:solidFill>
              <w14:schemeClr w14:val="tx1"/>
            </w14:solidFill>
          </w14:textFill>
        </w:rPr>
        <w:t>0.07t/a</w:t>
      </w:r>
      <w:r>
        <w:rPr>
          <w:rFonts w:hint="eastAsia" w:cs="宋体"/>
          <w:color w:val="000000" w:themeColor="text1"/>
          <w:lang w:val="zh-CN"/>
          <w14:textFill>
            <w14:solidFill>
              <w14:schemeClr w14:val="tx1"/>
            </w14:solidFill>
          </w14:textFill>
        </w:rPr>
        <w:t>，则12口井沾油废防渗膜产生量约为0.84</w:t>
      </w:r>
      <w:r>
        <w:rPr>
          <w:rFonts w:cs="宋体"/>
          <w:color w:val="000000" w:themeColor="text1"/>
          <w:lang w:val="zh-CN"/>
          <w14:textFill>
            <w14:solidFill>
              <w14:schemeClr w14:val="tx1"/>
            </w14:solidFill>
          </w14:textFill>
        </w:rPr>
        <w:t>t/a</w:t>
      </w:r>
      <w:r>
        <w:rPr>
          <w:rFonts w:hint="eastAsia" w:cs="宋体"/>
          <w:color w:val="000000" w:themeColor="text1"/>
          <w:lang w:val="zh-CN"/>
          <w14:textFill>
            <w14:solidFill>
              <w14:schemeClr w14:val="tx1"/>
            </w14:solidFill>
          </w14:textFill>
        </w:rPr>
        <w:t>，临时贮存在页岩油联合站危险废物暂存场，最终交由有相应危险废物处理资质的单位处理。</w:t>
      </w:r>
    </w:p>
    <w:p w14:paraId="673FFA9A">
      <w:pPr>
        <w:pStyle w:val="117"/>
        <w:ind w:firstLine="480"/>
        <w:rPr>
          <w:rFonts w:hint="eastAsia" w:cs="宋体"/>
          <w:color w:val="000000" w:themeColor="text1"/>
          <w:lang w:val="zh-CN"/>
          <w14:textFill>
            <w14:solidFill>
              <w14:schemeClr w14:val="tx1"/>
            </w14:solidFill>
          </w14:textFill>
        </w:rPr>
      </w:pPr>
      <w:bookmarkStart w:id="349" w:name="OLE_LINK153"/>
      <w:r>
        <w:rPr>
          <w:rFonts w:hint="eastAsia" w:cs="宋体"/>
          <w:color w:val="000000" w:themeColor="text1"/>
          <w:lang w:val="zh-CN"/>
          <w14:textFill>
            <w14:solidFill>
              <w14:schemeClr w14:val="tx1"/>
            </w14:solidFill>
          </w14:textFill>
        </w:rPr>
        <w:t>⑤废含油抹布和劳保用品</w:t>
      </w:r>
    </w:p>
    <w:p w14:paraId="1C7DD42B">
      <w:pPr>
        <w:pStyle w:val="117"/>
        <w:ind w:firstLine="480"/>
        <w:rPr>
          <w:rFonts w:hint="eastAsia" w:cs="宋体"/>
          <w:color w:val="000000" w:themeColor="text1"/>
          <w:lang w:val="zh-CN"/>
          <w14:textFill>
            <w14:solidFill>
              <w14:schemeClr w14:val="tx1"/>
            </w14:solidFill>
          </w14:textFill>
        </w:rPr>
      </w:pPr>
      <w:r>
        <w:rPr>
          <w:rFonts w:hint="eastAsia" w:cs="宋体"/>
          <w:color w:val="000000" w:themeColor="text1"/>
          <w:lang w:val="zh-CN"/>
          <w14:textFill>
            <w14:solidFill>
              <w14:schemeClr w14:val="tx1"/>
            </w14:solidFill>
          </w14:textFill>
        </w:rPr>
        <w:t>设备检维修过程中会产生一定的废含油抹布、劳保用品，产生量约为0.05t/a。废含油抹布和劳保用品属于《国家危险废物名录（</w:t>
      </w:r>
      <w:r>
        <w:rPr>
          <w:rFonts w:cs="宋体"/>
          <w:color w:val="000000" w:themeColor="text1"/>
          <w:lang w:val="zh-CN"/>
          <w14:textFill>
            <w14:solidFill>
              <w14:schemeClr w14:val="tx1"/>
            </w14:solidFill>
          </w14:textFill>
        </w:rPr>
        <w:t>202</w:t>
      </w:r>
      <w:r>
        <w:rPr>
          <w:rFonts w:hint="eastAsia" w:cs="宋体"/>
          <w:color w:val="000000" w:themeColor="text1"/>
          <w:lang w:val="zh-CN"/>
          <w14:textFill>
            <w14:solidFill>
              <w14:schemeClr w14:val="tx1"/>
            </w14:solidFill>
          </w14:textFill>
        </w:rPr>
        <w:t>5年版）》HW49其他废物，废物代码为</w:t>
      </w:r>
      <w:bookmarkStart w:id="350" w:name="OLE_LINK135"/>
      <w:r>
        <w:rPr>
          <w:rFonts w:hint="eastAsia" w:cs="宋体"/>
          <w:color w:val="000000" w:themeColor="text1"/>
          <w:lang w:val="zh-CN"/>
          <w14:textFill>
            <w14:solidFill>
              <w14:schemeClr w14:val="tx1"/>
            </w14:solidFill>
          </w14:textFill>
        </w:rPr>
        <w:t>900-041-49</w:t>
      </w:r>
      <w:bookmarkEnd w:id="350"/>
      <w:r>
        <w:rPr>
          <w:rFonts w:hint="eastAsia" w:cs="宋体"/>
          <w:color w:val="000000" w:themeColor="text1"/>
          <w:lang w:val="zh-CN"/>
          <w14:textFill>
            <w14:solidFill>
              <w14:schemeClr w14:val="tx1"/>
            </w14:solidFill>
          </w14:textFill>
        </w:rPr>
        <w:t>，危险特性为T/In，废含油抹布和劳保用品单独收集后临时贮存在页岩油联合站危险废物暂存场，最终交由有相应危险废物处理资质的单位处理。</w:t>
      </w:r>
    </w:p>
    <w:bookmarkEnd w:id="349"/>
    <w:p w14:paraId="22413084">
      <w:pPr>
        <w:pStyle w:val="117"/>
        <w:ind w:firstLine="480"/>
        <w:rPr>
          <w:rFonts w:hint="eastAsia" w:cs="宋体"/>
          <w:color w:val="000000" w:themeColor="text1"/>
          <w:lang w:val="zh-CN"/>
          <w14:textFill>
            <w14:solidFill>
              <w14:schemeClr w14:val="tx1"/>
            </w14:solidFill>
          </w14:textFill>
        </w:rPr>
      </w:pPr>
      <w:r>
        <w:rPr>
          <w:rFonts w:hint="eastAsia" w:cs="宋体"/>
          <w:color w:val="000000" w:themeColor="text1"/>
          <w:lang w:val="zh-CN"/>
          <w14:textFill>
            <w14:solidFill>
              <w14:schemeClr w14:val="tx1"/>
            </w14:solidFill>
          </w14:textFill>
        </w:rPr>
        <w:t>⑥废分子筛</w:t>
      </w:r>
    </w:p>
    <w:p w14:paraId="39EF08F4">
      <w:pPr>
        <w:adjustRightInd w:val="0"/>
        <w:snapToGrid w:val="0"/>
        <w:spacing w:line="500" w:lineRule="exact"/>
        <w:ind w:firstLine="480" w:firstLineChars="200"/>
        <w:textAlignment w:val="bottom"/>
        <w:rPr>
          <w:rFonts w:hint="eastAsia" w:ascii="宋体" w:hAnsi="宋体"/>
          <w:color w:val="000000" w:themeColor="text1"/>
          <w:kern w:val="0"/>
          <w:sz w:val="24"/>
          <w:szCs w:val="24"/>
          <w14:textFill>
            <w14:solidFill>
              <w14:schemeClr w14:val="tx1"/>
            </w14:solidFill>
          </w14:textFill>
        </w:rPr>
      </w:pPr>
      <w:r>
        <w:rPr>
          <w:rFonts w:hint="eastAsia" w:ascii="宋体" w:hAnsi="宋体"/>
          <w:color w:val="000000" w:themeColor="text1"/>
          <w:kern w:val="0"/>
          <w:sz w:val="24"/>
          <w:szCs w:val="24"/>
          <w14:textFill>
            <w14:solidFill>
              <w14:schemeClr w14:val="tx1"/>
            </w14:solidFill>
          </w14:textFill>
        </w:rPr>
        <w:t>伴生气脱水装置中的分子筛需定期更换，更换频次为每三年更换一次，每次更换产生量为2m</w:t>
      </w:r>
      <w:r>
        <w:rPr>
          <w:rFonts w:hint="eastAsia" w:ascii="宋体" w:hAnsi="宋体"/>
          <w:color w:val="000000" w:themeColor="text1"/>
          <w:kern w:val="0"/>
          <w:sz w:val="24"/>
          <w:szCs w:val="24"/>
          <w:vertAlign w:val="superscript"/>
          <w14:textFill>
            <w14:solidFill>
              <w14:schemeClr w14:val="tx1"/>
            </w14:solidFill>
          </w14:textFill>
        </w:rPr>
        <w:t>3</w:t>
      </w:r>
      <w:r>
        <w:rPr>
          <w:rFonts w:hint="eastAsia" w:ascii="宋体" w:hAnsi="宋体"/>
          <w:color w:val="000000" w:themeColor="text1"/>
          <w:kern w:val="0"/>
          <w:sz w:val="24"/>
          <w:szCs w:val="24"/>
          <w14:textFill>
            <w14:solidFill>
              <w14:schemeClr w14:val="tx1"/>
            </w14:solidFill>
          </w14:textFill>
        </w:rPr>
        <w:t>/次，更换产生的废分子筛属于</w:t>
      </w:r>
      <w:r>
        <w:rPr>
          <w:rFonts w:ascii="宋体" w:hAnsi="宋体"/>
          <w:color w:val="000000" w:themeColor="text1"/>
          <w:kern w:val="0"/>
          <w:sz w:val="24"/>
          <w:szCs w:val="24"/>
          <w14:textFill>
            <w14:solidFill>
              <w14:schemeClr w14:val="tx1"/>
            </w14:solidFill>
          </w14:textFill>
        </w:rPr>
        <w:t>《国家危险废物名录（202</w:t>
      </w:r>
      <w:r>
        <w:rPr>
          <w:rFonts w:hint="eastAsia" w:ascii="宋体" w:hAnsi="宋体"/>
          <w:color w:val="000000" w:themeColor="text1"/>
          <w:kern w:val="0"/>
          <w:sz w:val="24"/>
          <w:szCs w:val="24"/>
          <w14:textFill>
            <w14:solidFill>
              <w14:schemeClr w14:val="tx1"/>
            </w14:solidFill>
          </w14:textFill>
        </w:rPr>
        <w:t>5</w:t>
      </w:r>
      <w:r>
        <w:rPr>
          <w:rFonts w:ascii="宋体" w:hAnsi="宋体"/>
          <w:color w:val="000000" w:themeColor="text1"/>
          <w:kern w:val="0"/>
          <w:sz w:val="24"/>
          <w:szCs w:val="24"/>
          <w14:textFill>
            <w14:solidFill>
              <w14:schemeClr w14:val="tx1"/>
            </w14:solidFill>
          </w14:textFill>
        </w:rPr>
        <w:t>年版）》HW49其他废物，废物代码为900-041-49，危险特性为T/In，临时贮存在页岩油联合站内</w:t>
      </w:r>
      <w:r>
        <w:rPr>
          <w:rFonts w:hint="eastAsia" w:ascii="宋体" w:hAnsi="宋体"/>
          <w:color w:val="000000" w:themeColor="text1"/>
          <w:kern w:val="0"/>
          <w:sz w:val="24"/>
          <w:szCs w:val="24"/>
          <w14:textFill>
            <w14:solidFill>
              <w14:schemeClr w14:val="tx1"/>
            </w14:solidFill>
          </w14:textFill>
        </w:rPr>
        <w:t>的</w:t>
      </w:r>
      <w:r>
        <w:rPr>
          <w:rFonts w:ascii="宋体" w:hAnsi="宋体"/>
          <w:color w:val="000000" w:themeColor="text1"/>
          <w:kern w:val="0"/>
          <w:sz w:val="24"/>
          <w:szCs w:val="24"/>
          <w14:textFill>
            <w14:solidFill>
              <w14:schemeClr w14:val="tx1"/>
            </w14:solidFill>
          </w14:textFill>
        </w:rPr>
        <w:t>危险废物暂存</w:t>
      </w:r>
      <w:r>
        <w:rPr>
          <w:rFonts w:hint="eastAsia" w:ascii="宋体" w:hAnsi="宋体"/>
          <w:color w:val="000000" w:themeColor="text1"/>
          <w:kern w:val="0"/>
          <w:sz w:val="24"/>
          <w:szCs w:val="24"/>
          <w14:textFill>
            <w14:solidFill>
              <w14:schemeClr w14:val="tx1"/>
            </w14:solidFill>
          </w14:textFill>
        </w:rPr>
        <w:t>场</w:t>
      </w:r>
      <w:r>
        <w:rPr>
          <w:rFonts w:ascii="宋体" w:hAnsi="宋体"/>
          <w:color w:val="000000" w:themeColor="text1"/>
          <w:kern w:val="0"/>
          <w:sz w:val="24"/>
          <w:szCs w:val="24"/>
          <w14:textFill>
            <w14:solidFill>
              <w14:schemeClr w14:val="tx1"/>
            </w14:solidFill>
          </w14:textFill>
        </w:rPr>
        <w:t>，最终交由有相应危险废物处理资质的单位接收、转运及处置。</w:t>
      </w:r>
    </w:p>
    <w:p w14:paraId="223739AE">
      <w:pPr>
        <w:adjustRightInd w:val="0"/>
        <w:snapToGrid w:val="0"/>
        <w:spacing w:line="480" w:lineRule="exact"/>
        <w:ind w:firstLine="480" w:firstLineChars="200"/>
        <w:jc w:val="left"/>
        <w:textAlignment w:val="baseline"/>
        <w:rPr>
          <w:rFonts w:hint="eastAsia" w:ascii="宋体" w:hAnsi="宋体"/>
          <w:color w:val="000000" w:themeColor="text1"/>
          <w:kern w:val="0"/>
          <w:sz w:val="24"/>
          <w14:textFill>
            <w14:solidFill>
              <w14:schemeClr w14:val="tx1"/>
            </w14:solidFill>
          </w14:textFill>
        </w:rPr>
      </w:pPr>
      <w:bookmarkStart w:id="351" w:name="_Hlk129276647"/>
      <w:r>
        <w:rPr>
          <w:rFonts w:hint="eastAsia" w:ascii="宋体" w:hAnsi="宋体"/>
          <w:color w:val="000000" w:themeColor="text1"/>
          <w:kern w:val="0"/>
          <w:sz w:val="24"/>
          <w14:textFill>
            <w14:solidFill>
              <w14:schemeClr w14:val="tx1"/>
            </w14:solidFill>
          </w14:textFill>
        </w:rPr>
        <w:t>⑦生活垃圾</w:t>
      </w:r>
    </w:p>
    <w:p w14:paraId="3BAC952A">
      <w:pPr>
        <w:adjustRightInd w:val="0"/>
        <w:snapToGrid w:val="0"/>
        <w:spacing w:line="500" w:lineRule="exact"/>
        <w:ind w:firstLine="480" w:firstLineChars="200"/>
        <w:textAlignment w:val="bottom"/>
        <w:rPr>
          <w:rFonts w:hint="eastAsia" w:ascii="宋体" w:hAnsi="宋体"/>
          <w:color w:val="000000" w:themeColor="text1"/>
          <w:kern w:val="0"/>
          <w:sz w:val="24"/>
          <w:szCs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预处理注入站和每座井场均设有10名劳动定员，共设有130名劳动定员</w:t>
      </w:r>
      <w:r>
        <w:rPr>
          <w:rFonts w:ascii="宋体" w:hAnsi="宋体"/>
          <w:color w:val="000000" w:themeColor="text1"/>
          <w:kern w:val="0"/>
          <w:sz w:val="24"/>
          <w14:textFill>
            <w14:solidFill>
              <w14:schemeClr w14:val="tx1"/>
            </w14:solidFill>
          </w14:textFill>
        </w:rPr>
        <w:t>，按平均每人每天产生生活垃圾0.5kg计算</w:t>
      </w:r>
      <w:r>
        <w:rPr>
          <w:rFonts w:ascii="宋体" w:hAnsi="宋体"/>
          <w:color w:val="000000" w:themeColor="text1"/>
          <w:kern w:val="0"/>
          <w:sz w:val="24"/>
          <w:szCs w:val="24"/>
          <w14:textFill>
            <w14:solidFill>
              <w14:schemeClr w14:val="tx1"/>
            </w14:solidFill>
          </w14:textFill>
        </w:rPr>
        <w:t>，则生活垃圾产生量为</w:t>
      </w:r>
      <w:r>
        <w:rPr>
          <w:rFonts w:hint="eastAsia" w:ascii="宋体" w:hAnsi="宋体"/>
          <w:color w:val="000000" w:themeColor="text1"/>
          <w:kern w:val="0"/>
          <w:sz w:val="24"/>
          <w:szCs w:val="24"/>
          <w14:textFill>
            <w14:solidFill>
              <w14:schemeClr w14:val="tx1"/>
            </w14:solidFill>
          </w14:textFill>
        </w:rPr>
        <w:t>19.5</w:t>
      </w:r>
      <w:r>
        <w:rPr>
          <w:rFonts w:ascii="宋体" w:hAnsi="宋体"/>
          <w:color w:val="000000" w:themeColor="text1"/>
          <w:kern w:val="0"/>
          <w:sz w:val="24"/>
          <w:szCs w:val="24"/>
          <w14:textFill>
            <w14:solidFill>
              <w14:schemeClr w14:val="tx1"/>
            </w14:solidFill>
          </w14:textFill>
        </w:rPr>
        <w:t>t/a，</w:t>
      </w:r>
      <w:r>
        <w:rPr>
          <w:rFonts w:hint="eastAsia" w:ascii="宋体" w:hAnsi="宋体"/>
          <w:color w:val="000000" w:themeColor="text1"/>
          <w:kern w:val="0"/>
          <w:sz w:val="24"/>
          <w:szCs w:val="24"/>
          <w14:textFill>
            <w14:solidFill>
              <w14:schemeClr w14:val="tx1"/>
            </w14:solidFill>
          </w14:textFill>
        </w:rPr>
        <w:t>集中收集后</w:t>
      </w:r>
      <w:r>
        <w:rPr>
          <w:rFonts w:ascii="宋体" w:hAnsi="宋体"/>
          <w:color w:val="000000" w:themeColor="text1"/>
          <w:kern w:val="0"/>
          <w:sz w:val="24"/>
          <w:szCs w:val="24"/>
          <w14:textFill>
            <w14:solidFill>
              <w14:schemeClr w14:val="tx1"/>
            </w14:solidFill>
          </w14:textFill>
        </w:rPr>
        <w:t>送至吉木萨尔县生活垃圾填埋场处理。</w:t>
      </w:r>
    </w:p>
    <w:p w14:paraId="66E334A3">
      <w:pPr>
        <w:adjustRightInd w:val="0"/>
        <w:snapToGrid w:val="0"/>
        <w:spacing w:line="480" w:lineRule="exact"/>
        <w:ind w:firstLine="480" w:firstLineChars="200"/>
        <w:jc w:val="left"/>
        <w:textAlignment w:val="baseline"/>
        <w:rPr>
          <w:rFonts w:hint="eastAsia" w:ascii="黑体" w:hAnsi="黑体" w:eastAsia="黑体"/>
          <w:color w:val="000000" w:themeColor="text1"/>
          <w:kern w:val="0"/>
          <w:szCs w:val="21"/>
          <w14:textFill>
            <w14:solidFill>
              <w14:schemeClr w14:val="tx1"/>
            </w14:solidFill>
          </w14:textFill>
        </w:rPr>
      </w:pPr>
      <w:r>
        <w:rPr>
          <w:rFonts w:hint="eastAsia" w:ascii="宋体" w:hAnsi="宋体"/>
          <w:color w:val="000000" w:themeColor="text1"/>
          <w:kern w:val="0"/>
          <w:sz w:val="24"/>
          <w14:textFill>
            <w14:solidFill>
              <w14:schemeClr w14:val="tx1"/>
            </w14:solidFill>
          </w14:textFill>
        </w:rPr>
        <w:t>各类危险废物汇总情况见表</w:t>
      </w:r>
      <w:r>
        <w:rPr>
          <w:rFonts w:ascii="宋体" w:hAnsi="宋体"/>
          <w:color w:val="000000" w:themeColor="text1"/>
          <w:kern w:val="0"/>
          <w:sz w:val="24"/>
          <w14:textFill>
            <w14:solidFill>
              <w14:schemeClr w14:val="tx1"/>
            </w14:solidFill>
          </w14:textFill>
        </w:rPr>
        <w:t>3.3-</w:t>
      </w:r>
      <w:r>
        <w:rPr>
          <w:rFonts w:hint="eastAsia" w:ascii="宋体" w:hAnsi="宋体"/>
          <w:color w:val="000000" w:themeColor="text1"/>
          <w:kern w:val="0"/>
          <w:sz w:val="24"/>
          <w14:textFill>
            <w14:solidFill>
              <w14:schemeClr w14:val="tx1"/>
            </w14:solidFill>
          </w14:textFill>
        </w:rPr>
        <w:t>13。</w:t>
      </w:r>
    </w:p>
    <w:p w14:paraId="35673CE3">
      <w:pPr>
        <w:adjustRightInd w:val="0"/>
        <w:snapToGrid w:val="0"/>
        <w:spacing w:line="500" w:lineRule="exact"/>
        <w:jc w:val="center"/>
        <w:textAlignment w:val="baseline"/>
        <w:rPr>
          <w:rFonts w:hint="eastAsia" w:ascii="黑体" w:hAnsi="黑体" w:eastAsia="黑体"/>
          <w:color w:val="000000" w:themeColor="text1"/>
          <w:kern w:val="0"/>
          <w:szCs w:val="21"/>
          <w14:textFill>
            <w14:solidFill>
              <w14:schemeClr w14:val="tx1"/>
            </w14:solidFill>
          </w14:textFill>
        </w:rPr>
      </w:pPr>
      <w:r>
        <w:rPr>
          <w:rFonts w:hint="eastAsia" w:ascii="黑体" w:hAnsi="黑体" w:eastAsia="黑体"/>
          <w:color w:val="000000" w:themeColor="text1"/>
          <w:kern w:val="0"/>
          <w:szCs w:val="21"/>
          <w14:textFill>
            <w14:solidFill>
              <w14:schemeClr w14:val="tx1"/>
            </w14:solidFill>
          </w14:textFill>
        </w:rPr>
        <w:t>表3</w:t>
      </w:r>
      <w:r>
        <w:rPr>
          <w:rFonts w:ascii="黑体" w:hAnsi="黑体" w:eastAsia="黑体"/>
          <w:color w:val="000000" w:themeColor="text1"/>
          <w:kern w:val="0"/>
          <w:szCs w:val="21"/>
          <w14:textFill>
            <w14:solidFill>
              <w14:schemeClr w14:val="tx1"/>
            </w14:solidFill>
          </w14:textFill>
        </w:rPr>
        <w:t>.3-</w:t>
      </w:r>
      <w:r>
        <w:rPr>
          <w:rFonts w:hint="eastAsia" w:ascii="黑体" w:hAnsi="黑体" w:eastAsia="黑体"/>
          <w:color w:val="000000" w:themeColor="text1"/>
          <w:kern w:val="0"/>
          <w:szCs w:val="21"/>
          <w14:textFill>
            <w14:solidFill>
              <w14:schemeClr w14:val="tx1"/>
            </w14:solidFill>
          </w14:textFill>
        </w:rPr>
        <w:t xml:space="preserve">13 </w:t>
      </w:r>
      <w:r>
        <w:rPr>
          <w:rFonts w:ascii="黑体" w:hAnsi="黑体" w:eastAsia="黑体"/>
          <w:color w:val="000000" w:themeColor="text1"/>
          <w:kern w:val="0"/>
          <w:szCs w:val="21"/>
          <w14:textFill>
            <w14:solidFill>
              <w14:schemeClr w14:val="tx1"/>
            </w14:solidFill>
          </w14:textFill>
        </w:rPr>
        <w:t xml:space="preserve"> </w:t>
      </w:r>
      <w:r>
        <w:rPr>
          <w:rFonts w:hint="eastAsia" w:ascii="黑体" w:hAnsi="黑体" w:eastAsia="黑体"/>
          <w:color w:val="000000" w:themeColor="text1"/>
          <w:kern w:val="0"/>
          <w:szCs w:val="21"/>
          <w14:textFill>
            <w14:solidFill>
              <w14:schemeClr w14:val="tx1"/>
            </w14:solidFill>
          </w14:textFill>
        </w:rPr>
        <w:t>危险废物汇总情况一览表</w:t>
      </w:r>
    </w:p>
    <w:bookmarkEnd w:id="351"/>
    <w:tbl>
      <w:tblPr>
        <w:tblStyle w:val="425"/>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0" w:type="dxa"/>
          <w:bottom w:w="0" w:type="dxa"/>
          <w:right w:w="0" w:type="dxa"/>
        </w:tblCellMar>
      </w:tblPr>
      <w:tblGrid>
        <w:gridCol w:w="511"/>
        <w:gridCol w:w="856"/>
        <w:gridCol w:w="852"/>
        <w:gridCol w:w="986"/>
        <w:gridCol w:w="952"/>
        <w:gridCol w:w="1072"/>
        <w:gridCol w:w="670"/>
        <w:gridCol w:w="712"/>
        <w:gridCol w:w="712"/>
        <w:gridCol w:w="707"/>
        <w:gridCol w:w="700"/>
      </w:tblGrid>
      <w:tr w14:paraId="2FAD1D4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cantSplit/>
          <w:trHeight w:val="1021" w:hRule="atLeast"/>
          <w:jc w:val="center"/>
        </w:trPr>
        <w:tc>
          <w:tcPr>
            <w:tcW w:w="292" w:type="pct"/>
            <w:vAlign w:val="center"/>
          </w:tcPr>
          <w:p w14:paraId="5497AAFA">
            <w:pPr>
              <w:topLinePunct/>
              <w:adjustRightInd w:val="0"/>
              <w:snapToGrid w:val="0"/>
              <w:spacing w:line="300" w:lineRule="exact"/>
              <w:jc w:val="center"/>
              <w:rPr>
                <w:rFonts w:hint="eastAsia" w:ascii="宋体" w:hAnsi="宋体"/>
                <w:color w:val="000000" w:themeColor="text1"/>
                <w:kern w:val="0"/>
                <w:szCs w:val="21"/>
                <w14:textFill>
                  <w14:solidFill>
                    <w14:schemeClr w14:val="tx1"/>
                  </w14:solidFill>
                </w14:textFill>
              </w:rPr>
            </w:pPr>
            <w:bookmarkStart w:id="352" w:name="OLE_LINK224"/>
            <w:r>
              <w:rPr>
                <w:rFonts w:hint="eastAsia" w:ascii="宋体" w:hAnsi="宋体"/>
                <w:color w:val="000000" w:themeColor="text1"/>
                <w:kern w:val="0"/>
                <w:szCs w:val="21"/>
                <w14:textFill>
                  <w14:solidFill>
                    <w14:schemeClr w14:val="tx1"/>
                  </w14:solidFill>
                </w14:textFill>
              </w:rPr>
              <w:t>序号</w:t>
            </w:r>
          </w:p>
        </w:tc>
        <w:tc>
          <w:tcPr>
            <w:tcW w:w="490" w:type="pct"/>
            <w:vAlign w:val="center"/>
          </w:tcPr>
          <w:p w14:paraId="598722D8">
            <w:pPr>
              <w:topLinePunct/>
              <w:adjustRightInd w:val="0"/>
              <w:snapToGrid w:val="0"/>
              <w:spacing w:line="300" w:lineRule="exact"/>
              <w:jc w:val="center"/>
              <w:rPr>
                <w:rFonts w:hint="eastAsia"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危险废物名称</w:t>
            </w:r>
          </w:p>
        </w:tc>
        <w:tc>
          <w:tcPr>
            <w:tcW w:w="488" w:type="pct"/>
            <w:vAlign w:val="center"/>
          </w:tcPr>
          <w:p w14:paraId="30509322">
            <w:pPr>
              <w:topLinePunct/>
              <w:adjustRightInd w:val="0"/>
              <w:snapToGrid w:val="0"/>
              <w:spacing w:line="300" w:lineRule="exact"/>
              <w:jc w:val="center"/>
              <w:rPr>
                <w:rFonts w:hint="eastAsia"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危险废物类别</w:t>
            </w:r>
          </w:p>
        </w:tc>
        <w:tc>
          <w:tcPr>
            <w:tcW w:w="565" w:type="pct"/>
            <w:vAlign w:val="center"/>
          </w:tcPr>
          <w:p w14:paraId="1E2950F3">
            <w:pPr>
              <w:topLinePunct/>
              <w:adjustRightInd w:val="0"/>
              <w:snapToGrid w:val="0"/>
              <w:spacing w:line="300" w:lineRule="exact"/>
              <w:jc w:val="center"/>
              <w:rPr>
                <w:rFonts w:hint="eastAsia"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危险废物代码</w:t>
            </w:r>
          </w:p>
        </w:tc>
        <w:tc>
          <w:tcPr>
            <w:tcW w:w="545" w:type="pct"/>
            <w:vAlign w:val="center"/>
          </w:tcPr>
          <w:p w14:paraId="32134CB3">
            <w:pPr>
              <w:topLinePunct/>
              <w:adjustRightInd w:val="0"/>
              <w:snapToGrid w:val="0"/>
              <w:spacing w:line="300" w:lineRule="exact"/>
              <w:jc w:val="center"/>
              <w:rPr>
                <w:rFonts w:hint="eastAsia"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产生量（t</w:t>
            </w:r>
            <w:r>
              <w:rPr>
                <w:rFonts w:ascii="宋体" w:hAnsi="宋体"/>
                <w:color w:val="000000" w:themeColor="text1"/>
                <w:kern w:val="0"/>
                <w:szCs w:val="21"/>
                <w14:textFill>
                  <w14:solidFill>
                    <w14:schemeClr w14:val="tx1"/>
                  </w14:solidFill>
                </w14:textFill>
              </w:rPr>
              <w:t>/a</w:t>
            </w:r>
            <w:r>
              <w:rPr>
                <w:rFonts w:hint="eastAsia" w:ascii="宋体" w:hAnsi="宋体"/>
                <w:color w:val="000000" w:themeColor="text1"/>
                <w:kern w:val="0"/>
                <w:szCs w:val="21"/>
                <w14:textFill>
                  <w14:solidFill>
                    <w14:schemeClr w14:val="tx1"/>
                  </w14:solidFill>
                </w14:textFill>
              </w:rPr>
              <w:t>）</w:t>
            </w:r>
          </w:p>
        </w:tc>
        <w:tc>
          <w:tcPr>
            <w:tcW w:w="614" w:type="pct"/>
            <w:vAlign w:val="center"/>
          </w:tcPr>
          <w:p w14:paraId="29724160">
            <w:pPr>
              <w:topLinePunct/>
              <w:adjustRightInd w:val="0"/>
              <w:snapToGrid w:val="0"/>
              <w:spacing w:line="300" w:lineRule="exact"/>
              <w:jc w:val="center"/>
              <w:rPr>
                <w:rFonts w:hint="eastAsia"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产生工序及装置</w:t>
            </w:r>
          </w:p>
        </w:tc>
        <w:tc>
          <w:tcPr>
            <w:tcW w:w="384" w:type="pct"/>
            <w:vAlign w:val="center"/>
          </w:tcPr>
          <w:p w14:paraId="1F42CB41">
            <w:pPr>
              <w:topLinePunct/>
              <w:adjustRightInd w:val="0"/>
              <w:snapToGrid w:val="0"/>
              <w:spacing w:line="300" w:lineRule="exact"/>
              <w:jc w:val="center"/>
              <w:rPr>
                <w:rFonts w:hint="eastAsia"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形态</w:t>
            </w:r>
          </w:p>
        </w:tc>
        <w:tc>
          <w:tcPr>
            <w:tcW w:w="408" w:type="pct"/>
            <w:vAlign w:val="center"/>
          </w:tcPr>
          <w:p w14:paraId="607C4C1C">
            <w:pPr>
              <w:topLinePunct/>
              <w:adjustRightInd w:val="0"/>
              <w:snapToGrid w:val="0"/>
              <w:spacing w:line="300" w:lineRule="exact"/>
              <w:jc w:val="center"/>
              <w:rPr>
                <w:rFonts w:hint="eastAsia"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主要成分</w:t>
            </w:r>
          </w:p>
        </w:tc>
        <w:tc>
          <w:tcPr>
            <w:tcW w:w="408" w:type="pct"/>
            <w:vAlign w:val="center"/>
          </w:tcPr>
          <w:p w14:paraId="1B80C3A9">
            <w:pPr>
              <w:topLinePunct/>
              <w:adjustRightInd w:val="0"/>
              <w:snapToGrid w:val="0"/>
              <w:spacing w:line="300" w:lineRule="exact"/>
              <w:jc w:val="center"/>
              <w:rPr>
                <w:rFonts w:hint="eastAsia"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有害成分</w:t>
            </w:r>
          </w:p>
        </w:tc>
        <w:tc>
          <w:tcPr>
            <w:tcW w:w="405" w:type="pct"/>
            <w:vAlign w:val="center"/>
          </w:tcPr>
          <w:p w14:paraId="35DEFD0B">
            <w:pPr>
              <w:topLinePunct/>
              <w:adjustRightInd w:val="0"/>
              <w:snapToGrid w:val="0"/>
              <w:spacing w:line="300" w:lineRule="exact"/>
              <w:jc w:val="center"/>
              <w:rPr>
                <w:rFonts w:hint="eastAsia"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危险</w:t>
            </w:r>
          </w:p>
          <w:p w14:paraId="469E4FE2">
            <w:pPr>
              <w:topLinePunct/>
              <w:adjustRightInd w:val="0"/>
              <w:snapToGrid w:val="0"/>
              <w:spacing w:line="300" w:lineRule="exact"/>
              <w:jc w:val="center"/>
              <w:rPr>
                <w:rFonts w:hint="eastAsia"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特性</w:t>
            </w:r>
          </w:p>
        </w:tc>
        <w:tc>
          <w:tcPr>
            <w:tcW w:w="402" w:type="pct"/>
            <w:vAlign w:val="center"/>
          </w:tcPr>
          <w:p w14:paraId="426B767B">
            <w:pPr>
              <w:topLinePunct/>
              <w:adjustRightInd w:val="0"/>
              <w:snapToGrid w:val="0"/>
              <w:spacing w:line="300" w:lineRule="exact"/>
              <w:jc w:val="center"/>
              <w:rPr>
                <w:rFonts w:hint="eastAsia"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污染防治措施</w:t>
            </w:r>
          </w:p>
        </w:tc>
      </w:tr>
      <w:tr w14:paraId="2DBB88C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cantSplit/>
          <w:trHeight w:val="454" w:hRule="atLeast"/>
          <w:jc w:val="center"/>
        </w:trPr>
        <w:tc>
          <w:tcPr>
            <w:tcW w:w="292" w:type="pct"/>
            <w:vAlign w:val="center"/>
          </w:tcPr>
          <w:p w14:paraId="1F4A2443">
            <w:pPr>
              <w:topLinePunct/>
              <w:adjustRightInd w:val="0"/>
              <w:snapToGrid w:val="0"/>
              <w:spacing w:line="300" w:lineRule="exact"/>
              <w:jc w:val="center"/>
              <w:rPr>
                <w:rFonts w:hint="eastAsia" w:ascii="宋体" w:hAnsi="宋体"/>
                <w:color w:val="000000" w:themeColor="text1"/>
                <w:kern w:val="0"/>
                <w:szCs w:val="21"/>
                <w14:textFill>
                  <w14:solidFill>
                    <w14:schemeClr w14:val="tx1"/>
                  </w14:solidFill>
                </w14:textFill>
              </w:rPr>
            </w:pPr>
            <w:bookmarkStart w:id="353" w:name="_Hlk174011187"/>
            <w:r>
              <w:rPr>
                <w:rFonts w:hint="eastAsia" w:ascii="宋体" w:hAnsi="宋体"/>
                <w:color w:val="000000" w:themeColor="text1"/>
                <w:kern w:val="0"/>
                <w:szCs w:val="21"/>
                <w14:textFill>
                  <w14:solidFill>
                    <w14:schemeClr w14:val="tx1"/>
                  </w14:solidFill>
                </w14:textFill>
              </w:rPr>
              <w:t>1</w:t>
            </w:r>
          </w:p>
        </w:tc>
        <w:tc>
          <w:tcPr>
            <w:tcW w:w="490" w:type="pct"/>
            <w:vAlign w:val="center"/>
          </w:tcPr>
          <w:p w14:paraId="7A5DD988">
            <w:pPr>
              <w:topLinePunct/>
              <w:adjustRightInd w:val="0"/>
              <w:snapToGrid w:val="0"/>
              <w:spacing w:line="300" w:lineRule="exact"/>
              <w:jc w:val="center"/>
              <w:rPr>
                <w:rFonts w:hint="eastAsia"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废润滑油</w:t>
            </w:r>
          </w:p>
        </w:tc>
        <w:tc>
          <w:tcPr>
            <w:tcW w:w="488" w:type="pct"/>
            <w:vAlign w:val="center"/>
          </w:tcPr>
          <w:p w14:paraId="7D6F2346">
            <w:pPr>
              <w:topLinePunct/>
              <w:adjustRightInd w:val="0"/>
              <w:snapToGrid w:val="0"/>
              <w:spacing w:line="300" w:lineRule="exact"/>
              <w:jc w:val="center"/>
              <w:rPr>
                <w:rFonts w:hint="eastAsia"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H</w:t>
            </w:r>
            <w:r>
              <w:rPr>
                <w:rFonts w:ascii="宋体" w:hAnsi="宋体"/>
                <w:color w:val="000000" w:themeColor="text1"/>
                <w:kern w:val="0"/>
                <w:szCs w:val="21"/>
                <w14:textFill>
                  <w14:solidFill>
                    <w14:schemeClr w14:val="tx1"/>
                  </w14:solidFill>
                </w14:textFill>
              </w:rPr>
              <w:t>W08</w:t>
            </w:r>
          </w:p>
        </w:tc>
        <w:tc>
          <w:tcPr>
            <w:tcW w:w="565" w:type="pct"/>
            <w:vAlign w:val="center"/>
          </w:tcPr>
          <w:p w14:paraId="2BA931C9">
            <w:pPr>
              <w:topLinePunct/>
              <w:adjustRightInd w:val="0"/>
              <w:snapToGrid w:val="0"/>
              <w:spacing w:line="300" w:lineRule="exact"/>
              <w:jc w:val="center"/>
              <w:rPr>
                <w:rFonts w:hint="eastAsia"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9</w:t>
            </w:r>
            <w:r>
              <w:rPr>
                <w:rFonts w:ascii="宋体" w:hAnsi="宋体"/>
                <w:color w:val="000000" w:themeColor="text1"/>
                <w:kern w:val="0"/>
                <w:szCs w:val="21"/>
                <w14:textFill>
                  <w14:solidFill>
                    <w14:schemeClr w14:val="tx1"/>
                  </w14:solidFill>
                </w14:textFill>
              </w:rPr>
              <w:t>00</w:t>
            </w:r>
            <w:r>
              <w:rPr>
                <w:rFonts w:hint="eastAsia" w:ascii="宋体" w:hAnsi="宋体"/>
                <w:color w:val="000000" w:themeColor="text1"/>
                <w:kern w:val="0"/>
                <w:szCs w:val="21"/>
                <w14:textFill>
                  <w14:solidFill>
                    <w14:schemeClr w14:val="tx1"/>
                  </w14:solidFill>
                </w14:textFill>
              </w:rPr>
              <w:t>-</w:t>
            </w:r>
            <w:r>
              <w:rPr>
                <w:rFonts w:ascii="宋体" w:hAnsi="宋体"/>
                <w:color w:val="000000" w:themeColor="text1"/>
                <w:kern w:val="0"/>
                <w:szCs w:val="21"/>
                <w14:textFill>
                  <w14:solidFill>
                    <w14:schemeClr w14:val="tx1"/>
                  </w14:solidFill>
                </w14:textFill>
              </w:rPr>
              <w:t>214</w:t>
            </w:r>
            <w:r>
              <w:rPr>
                <w:rFonts w:hint="eastAsia" w:ascii="宋体" w:hAnsi="宋体"/>
                <w:color w:val="000000" w:themeColor="text1"/>
                <w:kern w:val="0"/>
                <w:szCs w:val="21"/>
                <w14:textFill>
                  <w14:solidFill>
                    <w14:schemeClr w14:val="tx1"/>
                  </w14:solidFill>
                </w14:textFill>
              </w:rPr>
              <w:t>-</w:t>
            </w:r>
            <w:r>
              <w:rPr>
                <w:rFonts w:ascii="宋体" w:hAnsi="宋体"/>
                <w:color w:val="000000" w:themeColor="text1"/>
                <w:kern w:val="0"/>
                <w:szCs w:val="21"/>
                <w14:textFill>
                  <w14:solidFill>
                    <w14:schemeClr w14:val="tx1"/>
                  </w14:solidFill>
                </w14:textFill>
              </w:rPr>
              <w:t>08</w:t>
            </w:r>
          </w:p>
        </w:tc>
        <w:tc>
          <w:tcPr>
            <w:tcW w:w="545" w:type="pct"/>
            <w:vAlign w:val="center"/>
          </w:tcPr>
          <w:p w14:paraId="14E7C184">
            <w:pPr>
              <w:topLinePunct/>
              <w:adjustRightInd w:val="0"/>
              <w:snapToGrid w:val="0"/>
              <w:spacing w:line="300" w:lineRule="exact"/>
              <w:jc w:val="center"/>
              <w:rPr>
                <w:rFonts w:hint="eastAsia" w:ascii="宋体" w:hAnsi="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0.8t/a</w:t>
            </w:r>
          </w:p>
        </w:tc>
        <w:tc>
          <w:tcPr>
            <w:tcW w:w="614" w:type="pct"/>
            <w:vAlign w:val="center"/>
          </w:tcPr>
          <w:p w14:paraId="19F7A219">
            <w:pPr>
              <w:topLinePunct/>
              <w:adjustRightInd w:val="0"/>
              <w:snapToGrid w:val="0"/>
              <w:spacing w:line="300" w:lineRule="exact"/>
              <w:jc w:val="center"/>
              <w:rPr>
                <w:rFonts w:hint="eastAsia"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设备检维修</w:t>
            </w:r>
          </w:p>
        </w:tc>
        <w:tc>
          <w:tcPr>
            <w:tcW w:w="384" w:type="pct"/>
            <w:vAlign w:val="center"/>
          </w:tcPr>
          <w:p w14:paraId="4C1254F3">
            <w:pPr>
              <w:topLinePunct/>
              <w:adjustRightInd w:val="0"/>
              <w:snapToGrid w:val="0"/>
              <w:spacing w:line="300" w:lineRule="exact"/>
              <w:jc w:val="center"/>
              <w:rPr>
                <w:rFonts w:hint="eastAsia"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液态</w:t>
            </w:r>
          </w:p>
        </w:tc>
        <w:tc>
          <w:tcPr>
            <w:tcW w:w="408" w:type="pct"/>
            <w:vAlign w:val="center"/>
          </w:tcPr>
          <w:p w14:paraId="7651CD22">
            <w:pPr>
              <w:topLinePunct/>
              <w:adjustRightInd w:val="0"/>
              <w:snapToGrid w:val="0"/>
              <w:spacing w:line="300" w:lineRule="exact"/>
              <w:jc w:val="center"/>
              <w:rPr>
                <w:rFonts w:hint="eastAsia"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油类</w:t>
            </w:r>
          </w:p>
        </w:tc>
        <w:tc>
          <w:tcPr>
            <w:tcW w:w="408" w:type="pct"/>
            <w:vAlign w:val="center"/>
          </w:tcPr>
          <w:p w14:paraId="3B378FE8">
            <w:pPr>
              <w:topLinePunct/>
              <w:adjustRightInd w:val="0"/>
              <w:snapToGrid w:val="0"/>
              <w:spacing w:line="300" w:lineRule="exact"/>
              <w:jc w:val="center"/>
              <w:rPr>
                <w:rFonts w:hint="eastAsia"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油类</w:t>
            </w:r>
          </w:p>
        </w:tc>
        <w:tc>
          <w:tcPr>
            <w:tcW w:w="405" w:type="pct"/>
            <w:vAlign w:val="center"/>
          </w:tcPr>
          <w:p w14:paraId="5D98892D">
            <w:pPr>
              <w:topLinePunct/>
              <w:adjustRightInd w:val="0"/>
              <w:snapToGrid w:val="0"/>
              <w:spacing w:line="300" w:lineRule="exact"/>
              <w:jc w:val="center"/>
              <w:rPr>
                <w:rFonts w:hint="eastAsia"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T, I</w:t>
            </w:r>
          </w:p>
        </w:tc>
        <w:tc>
          <w:tcPr>
            <w:tcW w:w="402" w:type="pct"/>
            <w:vMerge w:val="restart"/>
            <w:vAlign w:val="center"/>
          </w:tcPr>
          <w:p w14:paraId="3FD371A4">
            <w:pPr>
              <w:topLinePunct/>
              <w:adjustRightInd w:val="0"/>
              <w:snapToGrid w:val="0"/>
              <w:spacing w:line="300" w:lineRule="exact"/>
              <w:jc w:val="center"/>
              <w:rPr>
                <w:rFonts w:hint="eastAsia"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交由有相应危险废物处理资质的单位处理</w:t>
            </w:r>
          </w:p>
        </w:tc>
      </w:tr>
      <w:tr w14:paraId="705C5F7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cantSplit/>
          <w:trHeight w:val="454" w:hRule="atLeast"/>
          <w:jc w:val="center"/>
        </w:trPr>
        <w:tc>
          <w:tcPr>
            <w:tcW w:w="292" w:type="pct"/>
            <w:vAlign w:val="center"/>
          </w:tcPr>
          <w:p w14:paraId="0E7C13B7">
            <w:pPr>
              <w:topLinePunct/>
              <w:adjustRightInd w:val="0"/>
              <w:snapToGrid w:val="0"/>
              <w:spacing w:line="300" w:lineRule="exact"/>
              <w:jc w:val="center"/>
              <w:rPr>
                <w:rFonts w:hint="eastAsia"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2</w:t>
            </w:r>
          </w:p>
        </w:tc>
        <w:tc>
          <w:tcPr>
            <w:tcW w:w="490" w:type="pct"/>
            <w:vAlign w:val="center"/>
          </w:tcPr>
          <w:p w14:paraId="490D14E5">
            <w:pPr>
              <w:topLinePunct/>
              <w:adjustRightInd w:val="0"/>
              <w:snapToGrid w:val="0"/>
              <w:spacing w:line="300" w:lineRule="exact"/>
              <w:jc w:val="center"/>
              <w:rPr>
                <w:rFonts w:hint="eastAsia"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废油桶</w:t>
            </w:r>
          </w:p>
        </w:tc>
        <w:tc>
          <w:tcPr>
            <w:tcW w:w="488" w:type="pct"/>
            <w:vAlign w:val="center"/>
          </w:tcPr>
          <w:p w14:paraId="15E75EA0">
            <w:pPr>
              <w:topLinePunct/>
              <w:adjustRightInd w:val="0"/>
              <w:snapToGrid w:val="0"/>
              <w:spacing w:line="300" w:lineRule="exact"/>
              <w:jc w:val="center"/>
              <w:rPr>
                <w:rFonts w:hint="eastAsia"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HW08</w:t>
            </w:r>
          </w:p>
        </w:tc>
        <w:tc>
          <w:tcPr>
            <w:tcW w:w="565" w:type="pct"/>
            <w:vAlign w:val="center"/>
          </w:tcPr>
          <w:p w14:paraId="6825D3E6">
            <w:pPr>
              <w:topLinePunct/>
              <w:adjustRightInd w:val="0"/>
              <w:snapToGrid w:val="0"/>
              <w:spacing w:line="300" w:lineRule="exact"/>
              <w:jc w:val="center"/>
              <w:rPr>
                <w:rFonts w:hint="eastAsia" w:ascii="宋体" w:hAnsi="宋体"/>
                <w:color w:val="000000" w:themeColor="text1"/>
                <w:kern w:val="0"/>
                <w:szCs w:val="21"/>
                <w14:textFill>
                  <w14:solidFill>
                    <w14:schemeClr w14:val="tx1"/>
                  </w14:solidFill>
                </w14:textFill>
              </w:rPr>
            </w:pPr>
            <w:r>
              <w:rPr>
                <w:rFonts w:ascii="宋体" w:hAnsi="宋体" w:cs="宋体"/>
                <w:color w:val="000000" w:themeColor="text1"/>
                <w:szCs w:val="21"/>
                <w:lang w:val="zh-CN"/>
                <w14:textFill>
                  <w14:solidFill>
                    <w14:schemeClr w14:val="tx1"/>
                  </w14:solidFill>
                </w14:textFill>
              </w:rPr>
              <w:t>900-2</w:t>
            </w:r>
            <w:r>
              <w:rPr>
                <w:rFonts w:hint="eastAsia" w:ascii="宋体" w:hAnsi="宋体" w:cs="宋体"/>
                <w:color w:val="000000" w:themeColor="text1"/>
                <w:szCs w:val="21"/>
                <w:lang w:val="zh-CN"/>
                <w14:textFill>
                  <w14:solidFill>
                    <w14:schemeClr w14:val="tx1"/>
                  </w14:solidFill>
                </w14:textFill>
              </w:rPr>
              <w:t>49</w:t>
            </w:r>
            <w:r>
              <w:rPr>
                <w:rFonts w:ascii="宋体" w:hAnsi="宋体" w:cs="宋体"/>
                <w:color w:val="000000" w:themeColor="text1"/>
                <w:szCs w:val="21"/>
                <w:lang w:val="zh-CN"/>
                <w14:textFill>
                  <w14:solidFill>
                    <w14:schemeClr w14:val="tx1"/>
                  </w14:solidFill>
                </w14:textFill>
              </w:rPr>
              <w:t>-08</w:t>
            </w:r>
          </w:p>
        </w:tc>
        <w:tc>
          <w:tcPr>
            <w:tcW w:w="545" w:type="pct"/>
            <w:vAlign w:val="center"/>
          </w:tcPr>
          <w:p w14:paraId="0E3F0C1A">
            <w:pPr>
              <w:topLinePunct/>
              <w:adjustRightInd w:val="0"/>
              <w:snapToGrid w:val="0"/>
              <w:spacing w:line="300" w:lineRule="exact"/>
              <w:jc w:val="center"/>
              <w:rPr>
                <w:rFonts w:hint="eastAsia"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0.07</w:t>
            </w:r>
            <w:r>
              <w:rPr>
                <w:rFonts w:hint="eastAsia" w:ascii="宋体" w:hAnsi="宋体" w:cs="宋体"/>
                <w:color w:val="000000" w:themeColor="text1"/>
                <w:kern w:val="0"/>
                <w:szCs w:val="21"/>
                <w14:textFill>
                  <w14:solidFill>
                    <w14:schemeClr w14:val="tx1"/>
                  </w14:solidFill>
                </w14:textFill>
              </w:rPr>
              <w:t xml:space="preserve"> t/a</w:t>
            </w:r>
          </w:p>
        </w:tc>
        <w:tc>
          <w:tcPr>
            <w:tcW w:w="614" w:type="pct"/>
            <w:vAlign w:val="center"/>
          </w:tcPr>
          <w:p w14:paraId="23C00A5A">
            <w:pPr>
              <w:topLinePunct/>
              <w:adjustRightInd w:val="0"/>
              <w:snapToGrid w:val="0"/>
              <w:spacing w:line="300" w:lineRule="exact"/>
              <w:jc w:val="center"/>
              <w:rPr>
                <w:rFonts w:hint="eastAsia"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设备检维修</w:t>
            </w:r>
          </w:p>
        </w:tc>
        <w:tc>
          <w:tcPr>
            <w:tcW w:w="384" w:type="pct"/>
            <w:vAlign w:val="center"/>
          </w:tcPr>
          <w:p w14:paraId="1959EE6C">
            <w:pPr>
              <w:topLinePunct/>
              <w:adjustRightInd w:val="0"/>
              <w:snapToGrid w:val="0"/>
              <w:spacing w:line="300" w:lineRule="exact"/>
              <w:jc w:val="center"/>
              <w:rPr>
                <w:rFonts w:hint="eastAsia"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液态</w:t>
            </w:r>
          </w:p>
        </w:tc>
        <w:tc>
          <w:tcPr>
            <w:tcW w:w="408" w:type="pct"/>
            <w:vAlign w:val="center"/>
          </w:tcPr>
          <w:p w14:paraId="2A1C62E7">
            <w:pPr>
              <w:topLinePunct/>
              <w:adjustRightInd w:val="0"/>
              <w:snapToGrid w:val="0"/>
              <w:spacing w:line="300" w:lineRule="exact"/>
              <w:jc w:val="center"/>
              <w:rPr>
                <w:rFonts w:hint="eastAsia"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油类</w:t>
            </w:r>
          </w:p>
        </w:tc>
        <w:tc>
          <w:tcPr>
            <w:tcW w:w="408" w:type="pct"/>
            <w:vAlign w:val="center"/>
          </w:tcPr>
          <w:p w14:paraId="1E0AFE34">
            <w:pPr>
              <w:topLinePunct/>
              <w:adjustRightInd w:val="0"/>
              <w:snapToGrid w:val="0"/>
              <w:spacing w:line="300" w:lineRule="exact"/>
              <w:jc w:val="center"/>
              <w:rPr>
                <w:rFonts w:hint="eastAsia"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油类</w:t>
            </w:r>
          </w:p>
        </w:tc>
        <w:tc>
          <w:tcPr>
            <w:tcW w:w="405" w:type="pct"/>
            <w:vAlign w:val="center"/>
          </w:tcPr>
          <w:p w14:paraId="26C6D2E8">
            <w:pPr>
              <w:topLinePunct/>
              <w:adjustRightInd w:val="0"/>
              <w:snapToGrid w:val="0"/>
              <w:spacing w:line="300" w:lineRule="exact"/>
              <w:jc w:val="center"/>
              <w:rPr>
                <w:rFonts w:hint="eastAsia"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T, I</w:t>
            </w:r>
          </w:p>
        </w:tc>
        <w:tc>
          <w:tcPr>
            <w:tcW w:w="402" w:type="pct"/>
            <w:vMerge w:val="continue"/>
            <w:vAlign w:val="center"/>
          </w:tcPr>
          <w:p w14:paraId="3495C2BB">
            <w:pPr>
              <w:topLinePunct/>
              <w:adjustRightInd w:val="0"/>
              <w:snapToGrid w:val="0"/>
              <w:spacing w:line="300" w:lineRule="exact"/>
              <w:jc w:val="center"/>
              <w:rPr>
                <w:rFonts w:hint="eastAsia" w:ascii="宋体" w:hAnsi="宋体"/>
                <w:color w:val="000000" w:themeColor="text1"/>
                <w:kern w:val="0"/>
                <w:szCs w:val="21"/>
                <w14:textFill>
                  <w14:solidFill>
                    <w14:schemeClr w14:val="tx1"/>
                  </w14:solidFill>
                </w14:textFill>
              </w:rPr>
            </w:pPr>
          </w:p>
        </w:tc>
      </w:tr>
      <w:tr w14:paraId="62AD446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cantSplit/>
          <w:trHeight w:val="454" w:hRule="atLeast"/>
          <w:jc w:val="center"/>
        </w:trPr>
        <w:tc>
          <w:tcPr>
            <w:tcW w:w="292" w:type="pct"/>
            <w:vAlign w:val="center"/>
          </w:tcPr>
          <w:p w14:paraId="22C748C6">
            <w:pPr>
              <w:topLinePunct/>
              <w:adjustRightInd w:val="0"/>
              <w:snapToGrid w:val="0"/>
              <w:spacing w:line="300" w:lineRule="exact"/>
              <w:jc w:val="center"/>
              <w:rPr>
                <w:rFonts w:hint="eastAsia" w:ascii="宋体" w:hAnsi="宋体"/>
                <w:color w:val="000000" w:themeColor="text1"/>
                <w:kern w:val="0"/>
                <w:szCs w:val="21"/>
                <w14:textFill>
                  <w14:solidFill>
                    <w14:schemeClr w14:val="tx1"/>
                  </w14:solidFill>
                </w14:textFill>
              </w:rPr>
            </w:pPr>
            <w:r>
              <w:rPr>
                <w:rFonts w:ascii="宋体" w:hAnsi="宋体"/>
                <w:color w:val="000000" w:themeColor="text1"/>
                <w:kern w:val="0"/>
                <w:szCs w:val="21"/>
                <w14:textFill>
                  <w14:solidFill>
                    <w14:schemeClr w14:val="tx1"/>
                  </w14:solidFill>
                </w14:textFill>
              </w:rPr>
              <w:t>3</w:t>
            </w:r>
          </w:p>
        </w:tc>
        <w:tc>
          <w:tcPr>
            <w:tcW w:w="490" w:type="pct"/>
            <w:vAlign w:val="center"/>
          </w:tcPr>
          <w:p w14:paraId="523FA72D">
            <w:pPr>
              <w:topLinePunct/>
              <w:adjustRightInd w:val="0"/>
              <w:snapToGrid w:val="0"/>
              <w:spacing w:line="300" w:lineRule="exact"/>
              <w:jc w:val="center"/>
              <w:rPr>
                <w:rFonts w:hint="eastAsia"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沾油废防渗材料</w:t>
            </w:r>
          </w:p>
        </w:tc>
        <w:tc>
          <w:tcPr>
            <w:tcW w:w="488" w:type="pct"/>
            <w:vAlign w:val="center"/>
          </w:tcPr>
          <w:p w14:paraId="6EFD3B9E">
            <w:pPr>
              <w:topLinePunct/>
              <w:adjustRightInd w:val="0"/>
              <w:snapToGrid w:val="0"/>
              <w:spacing w:line="300" w:lineRule="exact"/>
              <w:jc w:val="center"/>
              <w:rPr>
                <w:rFonts w:hint="eastAsia"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HW08</w:t>
            </w:r>
          </w:p>
        </w:tc>
        <w:tc>
          <w:tcPr>
            <w:tcW w:w="565" w:type="pct"/>
            <w:vAlign w:val="center"/>
          </w:tcPr>
          <w:p w14:paraId="03E5072D">
            <w:pPr>
              <w:topLinePunct/>
              <w:adjustRightInd w:val="0"/>
              <w:snapToGrid w:val="0"/>
              <w:spacing w:line="300" w:lineRule="exact"/>
              <w:jc w:val="center"/>
              <w:rPr>
                <w:rFonts w:hint="eastAsia" w:ascii="宋体" w:hAnsi="宋体"/>
                <w:color w:val="000000" w:themeColor="text1"/>
                <w:kern w:val="0"/>
                <w:szCs w:val="21"/>
                <w14:textFill>
                  <w14:solidFill>
                    <w14:schemeClr w14:val="tx1"/>
                  </w14:solidFill>
                </w14:textFill>
              </w:rPr>
            </w:pPr>
            <w:r>
              <w:rPr>
                <w:rFonts w:ascii="宋体" w:hAnsi="宋体" w:cs="宋体"/>
                <w:color w:val="000000" w:themeColor="text1"/>
                <w:szCs w:val="21"/>
                <w:lang w:val="zh-CN"/>
                <w14:textFill>
                  <w14:solidFill>
                    <w14:schemeClr w14:val="tx1"/>
                  </w14:solidFill>
                </w14:textFill>
              </w:rPr>
              <w:t>900-2</w:t>
            </w:r>
            <w:r>
              <w:rPr>
                <w:rFonts w:hint="eastAsia" w:ascii="宋体" w:hAnsi="宋体" w:cs="宋体"/>
                <w:color w:val="000000" w:themeColor="text1"/>
                <w:szCs w:val="21"/>
                <w:lang w:val="zh-CN"/>
                <w14:textFill>
                  <w14:solidFill>
                    <w14:schemeClr w14:val="tx1"/>
                  </w14:solidFill>
                </w14:textFill>
              </w:rPr>
              <w:t>49</w:t>
            </w:r>
            <w:r>
              <w:rPr>
                <w:rFonts w:ascii="宋体" w:hAnsi="宋体" w:cs="宋体"/>
                <w:color w:val="000000" w:themeColor="text1"/>
                <w:szCs w:val="21"/>
                <w:lang w:val="zh-CN"/>
                <w14:textFill>
                  <w14:solidFill>
                    <w14:schemeClr w14:val="tx1"/>
                  </w14:solidFill>
                </w14:textFill>
              </w:rPr>
              <w:t>-08</w:t>
            </w:r>
          </w:p>
        </w:tc>
        <w:tc>
          <w:tcPr>
            <w:tcW w:w="545" w:type="pct"/>
            <w:vAlign w:val="center"/>
          </w:tcPr>
          <w:p w14:paraId="0450F6AF">
            <w:pPr>
              <w:topLinePunct/>
              <w:adjustRightInd w:val="0"/>
              <w:snapToGrid w:val="0"/>
              <w:spacing w:line="300" w:lineRule="exact"/>
              <w:jc w:val="center"/>
              <w:rPr>
                <w:rFonts w:hint="eastAsia"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0.84</w:t>
            </w:r>
            <w:r>
              <w:rPr>
                <w:rFonts w:hint="eastAsia" w:ascii="宋体" w:hAnsi="宋体" w:cs="宋体"/>
                <w:color w:val="000000" w:themeColor="text1"/>
                <w:kern w:val="0"/>
                <w:szCs w:val="21"/>
                <w14:textFill>
                  <w14:solidFill>
                    <w14:schemeClr w14:val="tx1"/>
                  </w14:solidFill>
                </w14:textFill>
              </w:rPr>
              <w:t>t/a</w:t>
            </w:r>
          </w:p>
        </w:tc>
        <w:tc>
          <w:tcPr>
            <w:tcW w:w="614" w:type="pct"/>
            <w:vAlign w:val="center"/>
          </w:tcPr>
          <w:p w14:paraId="311446EE">
            <w:pPr>
              <w:topLinePunct/>
              <w:adjustRightInd w:val="0"/>
              <w:snapToGrid w:val="0"/>
              <w:spacing w:line="300" w:lineRule="exact"/>
              <w:jc w:val="center"/>
              <w:rPr>
                <w:rFonts w:hint="eastAsia"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井下作业</w:t>
            </w:r>
          </w:p>
        </w:tc>
        <w:tc>
          <w:tcPr>
            <w:tcW w:w="384" w:type="pct"/>
            <w:vAlign w:val="center"/>
          </w:tcPr>
          <w:p w14:paraId="71F1EA81">
            <w:pPr>
              <w:topLinePunct/>
              <w:adjustRightInd w:val="0"/>
              <w:snapToGrid w:val="0"/>
              <w:spacing w:line="300" w:lineRule="exact"/>
              <w:jc w:val="center"/>
              <w:rPr>
                <w:rFonts w:hint="eastAsia"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固态</w:t>
            </w:r>
          </w:p>
        </w:tc>
        <w:tc>
          <w:tcPr>
            <w:tcW w:w="408" w:type="pct"/>
            <w:vAlign w:val="center"/>
          </w:tcPr>
          <w:p w14:paraId="68BE5318">
            <w:pPr>
              <w:topLinePunct/>
              <w:adjustRightInd w:val="0"/>
              <w:snapToGrid w:val="0"/>
              <w:spacing w:line="300" w:lineRule="exact"/>
              <w:jc w:val="center"/>
              <w:rPr>
                <w:rFonts w:hint="eastAsia"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油类</w:t>
            </w:r>
          </w:p>
        </w:tc>
        <w:tc>
          <w:tcPr>
            <w:tcW w:w="408" w:type="pct"/>
            <w:vAlign w:val="center"/>
          </w:tcPr>
          <w:p w14:paraId="68869FD9">
            <w:pPr>
              <w:topLinePunct/>
              <w:adjustRightInd w:val="0"/>
              <w:snapToGrid w:val="0"/>
              <w:spacing w:line="300" w:lineRule="exact"/>
              <w:jc w:val="center"/>
              <w:rPr>
                <w:rFonts w:hint="eastAsia"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油类</w:t>
            </w:r>
          </w:p>
        </w:tc>
        <w:tc>
          <w:tcPr>
            <w:tcW w:w="405" w:type="pct"/>
            <w:vAlign w:val="center"/>
          </w:tcPr>
          <w:p w14:paraId="0FAF49C3">
            <w:pPr>
              <w:topLinePunct/>
              <w:adjustRightInd w:val="0"/>
              <w:snapToGrid w:val="0"/>
              <w:spacing w:line="300" w:lineRule="exact"/>
              <w:jc w:val="center"/>
              <w:rPr>
                <w:rFonts w:hint="eastAsia"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T, I</w:t>
            </w:r>
          </w:p>
        </w:tc>
        <w:tc>
          <w:tcPr>
            <w:tcW w:w="402" w:type="pct"/>
            <w:vMerge w:val="continue"/>
            <w:vAlign w:val="center"/>
          </w:tcPr>
          <w:p w14:paraId="52AD6FF7">
            <w:pPr>
              <w:topLinePunct/>
              <w:adjustRightInd w:val="0"/>
              <w:snapToGrid w:val="0"/>
              <w:spacing w:line="300" w:lineRule="exact"/>
              <w:jc w:val="center"/>
              <w:rPr>
                <w:rFonts w:hint="eastAsia" w:ascii="宋体" w:hAnsi="宋体"/>
                <w:color w:val="000000" w:themeColor="text1"/>
                <w:kern w:val="0"/>
                <w:szCs w:val="21"/>
                <w14:textFill>
                  <w14:solidFill>
                    <w14:schemeClr w14:val="tx1"/>
                  </w14:solidFill>
                </w14:textFill>
              </w:rPr>
            </w:pPr>
          </w:p>
        </w:tc>
      </w:tr>
      <w:tr w14:paraId="1C5601E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cantSplit/>
          <w:trHeight w:val="454" w:hRule="atLeast"/>
          <w:jc w:val="center"/>
        </w:trPr>
        <w:tc>
          <w:tcPr>
            <w:tcW w:w="292" w:type="pct"/>
            <w:vAlign w:val="center"/>
          </w:tcPr>
          <w:p w14:paraId="2C26E071">
            <w:pPr>
              <w:topLinePunct/>
              <w:adjustRightInd w:val="0"/>
              <w:snapToGrid w:val="0"/>
              <w:spacing w:line="300" w:lineRule="exact"/>
              <w:jc w:val="center"/>
              <w:rPr>
                <w:rFonts w:hint="eastAsia"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4</w:t>
            </w:r>
          </w:p>
        </w:tc>
        <w:tc>
          <w:tcPr>
            <w:tcW w:w="490" w:type="pct"/>
            <w:vAlign w:val="center"/>
          </w:tcPr>
          <w:p w14:paraId="6A7D1688">
            <w:pPr>
              <w:topLinePunct/>
              <w:adjustRightInd w:val="0"/>
              <w:snapToGrid w:val="0"/>
              <w:spacing w:line="300" w:lineRule="exact"/>
              <w:jc w:val="center"/>
              <w:rPr>
                <w:rFonts w:hint="eastAsia"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废含油抹布、劳保用品</w:t>
            </w:r>
          </w:p>
        </w:tc>
        <w:tc>
          <w:tcPr>
            <w:tcW w:w="488" w:type="pct"/>
            <w:vAlign w:val="center"/>
          </w:tcPr>
          <w:p w14:paraId="5BD6442F">
            <w:pPr>
              <w:topLinePunct/>
              <w:adjustRightInd w:val="0"/>
              <w:snapToGrid w:val="0"/>
              <w:spacing w:line="300" w:lineRule="exact"/>
              <w:jc w:val="center"/>
              <w:rPr>
                <w:rFonts w:hint="eastAsia"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HW49</w:t>
            </w:r>
          </w:p>
        </w:tc>
        <w:tc>
          <w:tcPr>
            <w:tcW w:w="565" w:type="pct"/>
            <w:vAlign w:val="center"/>
          </w:tcPr>
          <w:p w14:paraId="4602A4AD">
            <w:pPr>
              <w:topLinePunct/>
              <w:adjustRightInd w:val="0"/>
              <w:snapToGrid w:val="0"/>
              <w:spacing w:line="300" w:lineRule="exact"/>
              <w:jc w:val="center"/>
              <w:rPr>
                <w:rFonts w:hint="eastAsia" w:ascii="宋体" w:hAnsi="宋体" w:cs="宋体"/>
                <w:color w:val="000000" w:themeColor="text1"/>
                <w:szCs w:val="21"/>
                <w:lang w:val="zh-CN"/>
                <w14:textFill>
                  <w14:solidFill>
                    <w14:schemeClr w14:val="tx1"/>
                  </w14:solidFill>
                </w14:textFill>
              </w:rPr>
            </w:pPr>
            <w:r>
              <w:rPr>
                <w:rFonts w:hint="eastAsia" w:ascii="宋体" w:hAnsi="宋体" w:cs="宋体"/>
                <w:color w:val="000000" w:themeColor="text1"/>
                <w:szCs w:val="21"/>
                <w:lang w:val="zh-CN"/>
                <w14:textFill>
                  <w14:solidFill>
                    <w14:schemeClr w14:val="tx1"/>
                  </w14:solidFill>
                </w14:textFill>
              </w:rPr>
              <w:t>900-041-49</w:t>
            </w:r>
          </w:p>
        </w:tc>
        <w:tc>
          <w:tcPr>
            <w:tcW w:w="545" w:type="pct"/>
            <w:vAlign w:val="center"/>
          </w:tcPr>
          <w:p w14:paraId="6E74665F">
            <w:pPr>
              <w:topLinePunct/>
              <w:adjustRightInd w:val="0"/>
              <w:snapToGrid w:val="0"/>
              <w:spacing w:line="300" w:lineRule="exact"/>
              <w:jc w:val="center"/>
              <w:rPr>
                <w:rFonts w:hint="eastAsia"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0.05t/a</w:t>
            </w:r>
          </w:p>
        </w:tc>
        <w:tc>
          <w:tcPr>
            <w:tcW w:w="614" w:type="pct"/>
            <w:vAlign w:val="center"/>
          </w:tcPr>
          <w:p w14:paraId="02884F70">
            <w:pPr>
              <w:topLinePunct/>
              <w:adjustRightInd w:val="0"/>
              <w:snapToGrid w:val="0"/>
              <w:spacing w:line="300" w:lineRule="exact"/>
              <w:jc w:val="center"/>
              <w:rPr>
                <w:rFonts w:hint="eastAsia"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设备检维修</w:t>
            </w:r>
          </w:p>
        </w:tc>
        <w:tc>
          <w:tcPr>
            <w:tcW w:w="384" w:type="pct"/>
            <w:vAlign w:val="center"/>
          </w:tcPr>
          <w:p w14:paraId="425C3828">
            <w:pPr>
              <w:topLinePunct/>
              <w:adjustRightInd w:val="0"/>
              <w:snapToGrid w:val="0"/>
              <w:spacing w:line="300" w:lineRule="exact"/>
              <w:jc w:val="center"/>
              <w:rPr>
                <w:rFonts w:hint="eastAsia"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固态</w:t>
            </w:r>
          </w:p>
        </w:tc>
        <w:tc>
          <w:tcPr>
            <w:tcW w:w="408" w:type="pct"/>
            <w:vAlign w:val="center"/>
          </w:tcPr>
          <w:p w14:paraId="66E32069">
            <w:pPr>
              <w:topLinePunct/>
              <w:adjustRightInd w:val="0"/>
              <w:snapToGrid w:val="0"/>
              <w:spacing w:line="300" w:lineRule="exact"/>
              <w:jc w:val="center"/>
              <w:rPr>
                <w:rFonts w:hint="eastAsia"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油类</w:t>
            </w:r>
          </w:p>
        </w:tc>
        <w:tc>
          <w:tcPr>
            <w:tcW w:w="408" w:type="pct"/>
            <w:vAlign w:val="center"/>
          </w:tcPr>
          <w:p w14:paraId="325F50BC">
            <w:pPr>
              <w:topLinePunct/>
              <w:adjustRightInd w:val="0"/>
              <w:snapToGrid w:val="0"/>
              <w:spacing w:line="300" w:lineRule="exact"/>
              <w:jc w:val="center"/>
              <w:rPr>
                <w:rFonts w:hint="eastAsia"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油类</w:t>
            </w:r>
          </w:p>
        </w:tc>
        <w:tc>
          <w:tcPr>
            <w:tcW w:w="405" w:type="pct"/>
            <w:vAlign w:val="center"/>
          </w:tcPr>
          <w:p w14:paraId="0DA9080E">
            <w:pPr>
              <w:topLinePunct/>
              <w:adjustRightInd w:val="0"/>
              <w:snapToGrid w:val="0"/>
              <w:spacing w:line="300" w:lineRule="exact"/>
              <w:jc w:val="center"/>
              <w:rPr>
                <w:rFonts w:hint="eastAsia" w:ascii="宋体" w:hAnsi="宋体"/>
                <w:color w:val="000000" w:themeColor="text1"/>
                <w:kern w:val="0"/>
                <w:szCs w:val="21"/>
                <w14:textFill>
                  <w14:solidFill>
                    <w14:schemeClr w14:val="tx1"/>
                  </w14:solidFill>
                </w14:textFill>
              </w:rPr>
            </w:pPr>
            <w:r>
              <w:rPr>
                <w:rFonts w:hint="eastAsia" w:ascii="宋体" w:hAnsi="宋体" w:cs="宋体"/>
                <w:color w:val="000000" w:themeColor="text1"/>
                <w:szCs w:val="21"/>
                <w:lang w:val="zh-CN"/>
                <w14:textFill>
                  <w14:solidFill>
                    <w14:schemeClr w14:val="tx1"/>
                  </w14:solidFill>
                </w14:textFill>
              </w:rPr>
              <w:t>T/In</w:t>
            </w:r>
          </w:p>
        </w:tc>
        <w:tc>
          <w:tcPr>
            <w:tcW w:w="402" w:type="pct"/>
            <w:vMerge w:val="continue"/>
            <w:vAlign w:val="center"/>
          </w:tcPr>
          <w:p w14:paraId="28A6A6B4">
            <w:pPr>
              <w:topLinePunct/>
              <w:adjustRightInd w:val="0"/>
              <w:snapToGrid w:val="0"/>
              <w:spacing w:line="300" w:lineRule="exact"/>
              <w:jc w:val="center"/>
              <w:rPr>
                <w:rFonts w:hint="eastAsia" w:ascii="宋体" w:hAnsi="宋体"/>
                <w:color w:val="000000" w:themeColor="text1"/>
                <w:kern w:val="0"/>
                <w:szCs w:val="21"/>
                <w14:textFill>
                  <w14:solidFill>
                    <w14:schemeClr w14:val="tx1"/>
                  </w14:solidFill>
                </w14:textFill>
              </w:rPr>
            </w:pPr>
          </w:p>
        </w:tc>
      </w:tr>
      <w:tr w14:paraId="1D1C7DB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cantSplit/>
          <w:trHeight w:val="454" w:hRule="atLeast"/>
          <w:jc w:val="center"/>
        </w:trPr>
        <w:tc>
          <w:tcPr>
            <w:tcW w:w="292" w:type="pct"/>
            <w:vAlign w:val="center"/>
          </w:tcPr>
          <w:p w14:paraId="2A941C2A">
            <w:pPr>
              <w:topLinePunct/>
              <w:adjustRightInd w:val="0"/>
              <w:snapToGrid w:val="0"/>
              <w:spacing w:line="300" w:lineRule="exact"/>
              <w:jc w:val="center"/>
              <w:rPr>
                <w:rFonts w:hint="eastAsia"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5</w:t>
            </w:r>
          </w:p>
        </w:tc>
        <w:tc>
          <w:tcPr>
            <w:tcW w:w="490" w:type="pct"/>
            <w:vAlign w:val="center"/>
          </w:tcPr>
          <w:p w14:paraId="0F094CE7">
            <w:pPr>
              <w:topLinePunct/>
              <w:adjustRightInd w:val="0"/>
              <w:snapToGrid w:val="0"/>
              <w:spacing w:line="300" w:lineRule="exact"/>
              <w:jc w:val="center"/>
              <w:rPr>
                <w:rFonts w:hint="eastAsia"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废分子筛</w:t>
            </w:r>
          </w:p>
        </w:tc>
        <w:tc>
          <w:tcPr>
            <w:tcW w:w="488" w:type="pct"/>
            <w:vAlign w:val="center"/>
          </w:tcPr>
          <w:p w14:paraId="72D804FE">
            <w:pPr>
              <w:topLinePunct/>
              <w:adjustRightInd w:val="0"/>
              <w:snapToGrid w:val="0"/>
              <w:spacing w:line="300" w:lineRule="exact"/>
              <w:jc w:val="center"/>
              <w:rPr>
                <w:rFonts w:hint="eastAsia" w:ascii="宋体" w:hAnsi="宋体"/>
                <w:color w:val="000000" w:themeColor="text1"/>
                <w:kern w:val="0"/>
                <w:szCs w:val="21"/>
                <w14:textFill>
                  <w14:solidFill>
                    <w14:schemeClr w14:val="tx1"/>
                  </w14:solidFill>
                </w14:textFill>
              </w:rPr>
            </w:pPr>
            <w:r>
              <w:rPr>
                <w:rFonts w:ascii="宋体" w:hAnsi="宋体"/>
                <w:color w:val="000000" w:themeColor="text1"/>
                <w:kern w:val="0"/>
                <w:szCs w:val="21"/>
                <w14:textFill>
                  <w14:solidFill>
                    <w14:schemeClr w14:val="tx1"/>
                  </w14:solidFill>
                </w14:textFill>
              </w:rPr>
              <w:t>HW49</w:t>
            </w:r>
          </w:p>
        </w:tc>
        <w:tc>
          <w:tcPr>
            <w:tcW w:w="565" w:type="pct"/>
            <w:vAlign w:val="center"/>
          </w:tcPr>
          <w:p w14:paraId="644484A0">
            <w:pPr>
              <w:topLinePunct/>
              <w:adjustRightInd w:val="0"/>
              <w:snapToGrid w:val="0"/>
              <w:spacing w:line="300" w:lineRule="exact"/>
              <w:jc w:val="center"/>
              <w:rPr>
                <w:rFonts w:hint="eastAsia" w:ascii="宋体" w:hAnsi="宋体" w:cs="宋体"/>
                <w:color w:val="000000" w:themeColor="text1"/>
                <w:szCs w:val="21"/>
                <w:lang w:val="zh-CN"/>
                <w14:textFill>
                  <w14:solidFill>
                    <w14:schemeClr w14:val="tx1"/>
                  </w14:solidFill>
                </w14:textFill>
              </w:rPr>
            </w:pPr>
            <w:r>
              <w:rPr>
                <w:rFonts w:ascii="宋体" w:hAnsi="宋体"/>
                <w:color w:val="000000" w:themeColor="text1"/>
                <w:szCs w:val="21"/>
                <w:lang w:val="zh-CN"/>
                <w14:textFill>
                  <w14:solidFill>
                    <w14:schemeClr w14:val="tx1"/>
                  </w14:solidFill>
                </w14:textFill>
              </w:rPr>
              <w:t>900-041-49</w:t>
            </w:r>
          </w:p>
        </w:tc>
        <w:tc>
          <w:tcPr>
            <w:tcW w:w="545" w:type="pct"/>
            <w:vAlign w:val="center"/>
          </w:tcPr>
          <w:p w14:paraId="33A0CDCF">
            <w:pPr>
              <w:topLinePunct/>
              <w:adjustRightInd w:val="0"/>
              <w:snapToGrid w:val="0"/>
              <w:spacing w:line="300" w:lineRule="exact"/>
              <w:jc w:val="center"/>
              <w:rPr>
                <w:rFonts w:hint="eastAsia"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2m</w:t>
            </w:r>
            <w:r>
              <w:rPr>
                <w:rFonts w:hint="eastAsia" w:ascii="宋体" w:hAnsi="宋体"/>
                <w:color w:val="000000" w:themeColor="text1"/>
                <w:kern w:val="0"/>
                <w:szCs w:val="21"/>
                <w:vertAlign w:val="superscript"/>
                <w14:textFill>
                  <w14:solidFill>
                    <w14:schemeClr w14:val="tx1"/>
                  </w14:solidFill>
                </w14:textFill>
              </w:rPr>
              <w:t>3</w:t>
            </w:r>
            <w:r>
              <w:rPr>
                <w:rFonts w:hint="eastAsia" w:ascii="宋体" w:hAnsi="宋体"/>
                <w:color w:val="000000" w:themeColor="text1"/>
                <w:kern w:val="0"/>
                <w:szCs w:val="21"/>
                <w14:textFill>
                  <w14:solidFill>
                    <w14:schemeClr w14:val="tx1"/>
                  </w14:solidFill>
                </w14:textFill>
              </w:rPr>
              <w:t>/次</w:t>
            </w:r>
          </w:p>
        </w:tc>
        <w:tc>
          <w:tcPr>
            <w:tcW w:w="614" w:type="pct"/>
            <w:vAlign w:val="center"/>
          </w:tcPr>
          <w:p w14:paraId="3B045651">
            <w:pPr>
              <w:topLinePunct/>
              <w:adjustRightInd w:val="0"/>
              <w:snapToGrid w:val="0"/>
              <w:spacing w:line="300" w:lineRule="exact"/>
              <w:jc w:val="center"/>
              <w:rPr>
                <w:rFonts w:hint="eastAsia"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伴生气脱水</w:t>
            </w:r>
          </w:p>
        </w:tc>
        <w:tc>
          <w:tcPr>
            <w:tcW w:w="384" w:type="pct"/>
            <w:vAlign w:val="center"/>
          </w:tcPr>
          <w:p w14:paraId="30702C48">
            <w:pPr>
              <w:topLinePunct/>
              <w:adjustRightInd w:val="0"/>
              <w:snapToGrid w:val="0"/>
              <w:spacing w:line="300" w:lineRule="exact"/>
              <w:jc w:val="center"/>
              <w:rPr>
                <w:rFonts w:hint="eastAsia" w:ascii="宋体" w:hAnsi="宋体"/>
                <w:color w:val="000000" w:themeColor="text1"/>
                <w:kern w:val="0"/>
                <w:szCs w:val="21"/>
                <w14:textFill>
                  <w14:solidFill>
                    <w14:schemeClr w14:val="tx1"/>
                  </w14:solidFill>
                </w14:textFill>
              </w:rPr>
            </w:pPr>
            <w:r>
              <w:rPr>
                <w:rFonts w:ascii="宋体" w:hAnsi="宋体"/>
                <w:color w:val="000000" w:themeColor="text1"/>
                <w:kern w:val="0"/>
                <w:szCs w:val="21"/>
                <w14:textFill>
                  <w14:solidFill>
                    <w14:schemeClr w14:val="tx1"/>
                  </w14:solidFill>
                </w14:textFill>
              </w:rPr>
              <w:t>固态</w:t>
            </w:r>
          </w:p>
        </w:tc>
        <w:tc>
          <w:tcPr>
            <w:tcW w:w="408" w:type="pct"/>
            <w:vAlign w:val="center"/>
          </w:tcPr>
          <w:p w14:paraId="5A5F8B3D">
            <w:pPr>
              <w:topLinePunct/>
              <w:adjustRightInd w:val="0"/>
              <w:snapToGrid w:val="0"/>
              <w:spacing w:line="300" w:lineRule="exact"/>
              <w:jc w:val="center"/>
              <w:rPr>
                <w:rFonts w:hint="eastAsia"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分子筛、油类</w:t>
            </w:r>
          </w:p>
        </w:tc>
        <w:tc>
          <w:tcPr>
            <w:tcW w:w="408" w:type="pct"/>
            <w:vAlign w:val="center"/>
          </w:tcPr>
          <w:p w14:paraId="1E6D8F22">
            <w:pPr>
              <w:topLinePunct/>
              <w:adjustRightInd w:val="0"/>
              <w:snapToGrid w:val="0"/>
              <w:spacing w:line="300" w:lineRule="exact"/>
              <w:jc w:val="center"/>
              <w:rPr>
                <w:rFonts w:hint="eastAsia"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油类</w:t>
            </w:r>
          </w:p>
        </w:tc>
        <w:tc>
          <w:tcPr>
            <w:tcW w:w="405" w:type="pct"/>
            <w:vAlign w:val="center"/>
          </w:tcPr>
          <w:p w14:paraId="6C18DB5F">
            <w:pPr>
              <w:topLinePunct/>
              <w:adjustRightInd w:val="0"/>
              <w:snapToGrid w:val="0"/>
              <w:spacing w:line="300" w:lineRule="exact"/>
              <w:jc w:val="center"/>
              <w:rPr>
                <w:rFonts w:hint="eastAsia" w:ascii="宋体" w:hAnsi="宋体" w:cs="宋体"/>
                <w:color w:val="000000" w:themeColor="text1"/>
                <w:szCs w:val="21"/>
                <w:lang w:val="zh-CN"/>
                <w14:textFill>
                  <w14:solidFill>
                    <w14:schemeClr w14:val="tx1"/>
                  </w14:solidFill>
                </w14:textFill>
              </w:rPr>
            </w:pPr>
            <w:r>
              <w:rPr>
                <w:rFonts w:ascii="宋体" w:hAnsi="宋体"/>
                <w:color w:val="000000" w:themeColor="text1"/>
                <w:szCs w:val="21"/>
                <w:lang w:val="zh-CN"/>
                <w14:textFill>
                  <w14:solidFill>
                    <w14:schemeClr w14:val="tx1"/>
                  </w14:solidFill>
                </w14:textFill>
              </w:rPr>
              <w:t>T/In</w:t>
            </w:r>
          </w:p>
        </w:tc>
        <w:tc>
          <w:tcPr>
            <w:tcW w:w="402" w:type="pct"/>
            <w:vMerge w:val="continue"/>
            <w:vAlign w:val="center"/>
          </w:tcPr>
          <w:p w14:paraId="10A4CB6B">
            <w:pPr>
              <w:topLinePunct/>
              <w:adjustRightInd w:val="0"/>
              <w:snapToGrid w:val="0"/>
              <w:spacing w:line="300" w:lineRule="exact"/>
              <w:jc w:val="center"/>
              <w:rPr>
                <w:rFonts w:hint="eastAsia" w:ascii="宋体" w:hAnsi="宋体"/>
                <w:color w:val="000000" w:themeColor="text1"/>
                <w:kern w:val="0"/>
                <w:szCs w:val="21"/>
                <w14:textFill>
                  <w14:solidFill>
                    <w14:schemeClr w14:val="tx1"/>
                  </w14:solidFill>
                </w14:textFill>
              </w:rPr>
            </w:pPr>
          </w:p>
        </w:tc>
      </w:tr>
      <w:bookmarkEnd w:id="352"/>
      <w:bookmarkEnd w:id="353"/>
    </w:tbl>
    <w:p w14:paraId="6910D2DD">
      <w:pPr>
        <w:adjustRightInd w:val="0"/>
        <w:snapToGrid w:val="0"/>
        <w:spacing w:line="480" w:lineRule="exact"/>
        <w:ind w:firstLine="480" w:firstLineChars="200"/>
        <w:textAlignment w:val="bottom"/>
        <w:rPr>
          <w:rFonts w:hint="eastAsia" w:ascii="宋体" w:hAnsi="宋体" w:cs="宋体"/>
          <w:color w:val="000000" w:themeColor="text1"/>
          <w:kern w:val="0"/>
          <w:sz w:val="24"/>
          <w:szCs w:val="24"/>
          <w14:textFill>
            <w14:solidFill>
              <w14:schemeClr w14:val="tx1"/>
            </w14:solidFill>
          </w14:textFill>
        </w:rPr>
      </w:pPr>
      <w:bookmarkStart w:id="354" w:name="_Toc26588"/>
      <w:bookmarkStart w:id="355" w:name="_Toc445996370"/>
      <w:bookmarkStart w:id="356" w:name="_Toc445842047"/>
      <w:r>
        <w:rPr>
          <w:rFonts w:hint="eastAsia" w:ascii="宋体" w:hAnsi="宋体" w:cs="宋体"/>
          <w:color w:val="000000" w:themeColor="text1"/>
          <w:kern w:val="0"/>
          <w:sz w:val="24"/>
          <w:szCs w:val="24"/>
          <w14:textFill>
            <w14:solidFill>
              <w14:schemeClr w14:val="tx1"/>
            </w14:solidFill>
          </w14:textFill>
        </w:rPr>
        <w:t>（</w:t>
      </w:r>
      <w:r>
        <w:rPr>
          <w:rFonts w:ascii="宋体" w:hAnsi="宋体" w:cs="宋体"/>
          <w:color w:val="000000" w:themeColor="text1"/>
          <w:kern w:val="0"/>
          <w:sz w:val="24"/>
          <w:szCs w:val="24"/>
          <w14:textFill>
            <w14:solidFill>
              <w14:schemeClr w14:val="tx1"/>
            </w14:solidFill>
          </w14:textFill>
        </w:rPr>
        <w:t>5</w:t>
      </w:r>
      <w:r>
        <w:rPr>
          <w:rFonts w:hint="eastAsia" w:ascii="宋体" w:hAnsi="宋体" w:cs="宋体"/>
          <w:color w:val="000000" w:themeColor="text1"/>
          <w:kern w:val="0"/>
          <w:sz w:val="24"/>
          <w:szCs w:val="24"/>
          <w14:textFill>
            <w14:solidFill>
              <w14:schemeClr w14:val="tx1"/>
            </w14:solidFill>
          </w14:textFill>
        </w:rPr>
        <w:t>）生态影响</w:t>
      </w:r>
    </w:p>
    <w:p w14:paraId="45765741">
      <w:pPr>
        <w:adjustRightInd w:val="0"/>
        <w:snapToGrid w:val="0"/>
        <w:spacing w:line="480" w:lineRule="exact"/>
        <w:ind w:firstLine="480" w:firstLineChars="200"/>
        <w:textAlignment w:val="bottom"/>
        <w:rPr>
          <w:rFonts w:hint="eastAsia" w:ascii="宋体" w:hAnsi="宋体" w:cs="宋体"/>
          <w:color w:val="000000" w:themeColor="text1"/>
          <w:kern w:val="0"/>
          <w:sz w:val="24"/>
          <w:szCs w:val="24"/>
          <w14:textFill>
            <w14:solidFill>
              <w14:schemeClr w14:val="tx1"/>
            </w14:solidFill>
          </w14:textFill>
        </w:rPr>
      </w:pPr>
      <w:r>
        <w:rPr>
          <w:rFonts w:hint="eastAsia" w:ascii="宋体" w:hAnsi="宋体" w:cs="宋体"/>
          <w:color w:val="000000" w:themeColor="text1"/>
          <w:kern w:val="0"/>
          <w:sz w:val="24"/>
          <w:szCs w:val="24"/>
          <w14:textFill>
            <w14:solidFill>
              <w14:schemeClr w14:val="tx1"/>
            </w14:solidFill>
          </w14:textFill>
        </w:rPr>
        <w:t>运营期不新增占地，不会造成新的生态破坏，临时占地范围内的植被正在自然恢复，人类活动及巡检车辆可能对项目区及周边野生动植物产生一定的影响。</w:t>
      </w:r>
    </w:p>
    <w:p w14:paraId="67FE32D3">
      <w:pPr>
        <w:adjustRightInd w:val="0"/>
        <w:snapToGrid w:val="0"/>
        <w:spacing w:line="480" w:lineRule="exact"/>
        <w:ind w:firstLine="480" w:firstLineChars="200"/>
        <w:textAlignment w:val="bottom"/>
        <w:rPr>
          <w:rFonts w:hint="eastAsia" w:ascii="宋体" w:hAnsi="宋体" w:cs="宋体"/>
          <w:color w:val="000000" w:themeColor="text1"/>
          <w:kern w:val="0"/>
          <w:sz w:val="24"/>
          <w:szCs w:val="24"/>
          <w14:textFill>
            <w14:solidFill>
              <w14:schemeClr w14:val="tx1"/>
            </w14:solidFill>
          </w14:textFill>
        </w:rPr>
      </w:pPr>
      <w:r>
        <w:rPr>
          <w:rFonts w:hint="eastAsia" w:ascii="宋体" w:hAnsi="宋体" w:cs="宋体"/>
          <w:color w:val="000000" w:themeColor="text1"/>
          <w:kern w:val="0"/>
          <w:sz w:val="24"/>
          <w:szCs w:val="24"/>
          <w14:textFill>
            <w14:solidFill>
              <w14:schemeClr w14:val="tx1"/>
            </w14:solidFill>
          </w14:textFill>
        </w:rPr>
        <w:t>（</w:t>
      </w:r>
      <w:r>
        <w:rPr>
          <w:rFonts w:ascii="宋体" w:hAnsi="宋体" w:cs="宋体"/>
          <w:color w:val="000000" w:themeColor="text1"/>
          <w:kern w:val="0"/>
          <w:sz w:val="24"/>
          <w:szCs w:val="24"/>
          <w14:textFill>
            <w14:solidFill>
              <w14:schemeClr w14:val="tx1"/>
            </w14:solidFill>
          </w14:textFill>
        </w:rPr>
        <w:t>6</w:t>
      </w:r>
      <w:r>
        <w:rPr>
          <w:rFonts w:hint="eastAsia" w:ascii="宋体" w:hAnsi="宋体" w:cs="宋体"/>
          <w:color w:val="000000" w:themeColor="text1"/>
          <w:kern w:val="0"/>
          <w:sz w:val="24"/>
          <w:szCs w:val="24"/>
          <w14:textFill>
            <w14:solidFill>
              <w14:schemeClr w14:val="tx1"/>
            </w14:solidFill>
          </w14:textFill>
        </w:rPr>
        <w:t>）污染物排放量汇总</w:t>
      </w:r>
    </w:p>
    <w:bookmarkEnd w:id="309"/>
    <w:p w14:paraId="1DF0BD2B">
      <w:pPr>
        <w:adjustRightInd w:val="0"/>
        <w:snapToGrid w:val="0"/>
        <w:spacing w:line="480" w:lineRule="exact"/>
        <w:ind w:firstLine="480" w:firstLineChars="200"/>
        <w:textAlignment w:val="bottom"/>
        <w:rPr>
          <w:rFonts w:hint="eastAsia" w:ascii="黑体" w:hAnsi="黑体" w:eastAsia="黑体"/>
          <w:color w:val="000000" w:themeColor="text1"/>
          <w:kern w:val="0"/>
          <w:szCs w:val="21"/>
          <w14:textFill>
            <w14:solidFill>
              <w14:schemeClr w14:val="tx1"/>
            </w14:solidFill>
          </w14:textFill>
        </w:rPr>
      </w:pPr>
      <w:r>
        <w:rPr>
          <w:rFonts w:hint="eastAsia" w:ascii="宋体" w:hAnsi="宋体" w:cs="宋体"/>
          <w:color w:val="000000" w:themeColor="text1"/>
          <w:kern w:val="0"/>
          <w:sz w:val="24"/>
          <w:szCs w:val="24"/>
          <w14:textFill>
            <w14:solidFill>
              <w14:schemeClr w14:val="tx1"/>
            </w14:solidFill>
          </w14:textFill>
        </w:rPr>
        <w:t>运营期污染物排放情况见表</w:t>
      </w:r>
      <w:r>
        <w:rPr>
          <w:rFonts w:ascii="宋体" w:hAnsi="宋体" w:cs="宋体"/>
          <w:color w:val="000000" w:themeColor="text1"/>
          <w:kern w:val="0"/>
          <w:sz w:val="24"/>
          <w:szCs w:val="24"/>
          <w14:textFill>
            <w14:solidFill>
              <w14:schemeClr w14:val="tx1"/>
            </w14:solidFill>
          </w14:textFill>
        </w:rPr>
        <w:t>3.3</w:t>
      </w:r>
      <w:r>
        <w:rPr>
          <w:rFonts w:hint="eastAsia" w:ascii="宋体" w:hAnsi="宋体" w:cs="宋体"/>
          <w:color w:val="000000" w:themeColor="text1"/>
          <w:kern w:val="0"/>
          <w:sz w:val="24"/>
          <w:szCs w:val="24"/>
          <w14:textFill>
            <w14:solidFill>
              <w14:schemeClr w14:val="tx1"/>
            </w14:solidFill>
          </w14:textFill>
        </w:rPr>
        <w:t>-14。废水经压裂返排液处理装置处理后用于压裂液的复配，固体废物均得到妥善处置，故本次仅统计废气污染物排放量的“三本账”，详见表3.3-15。</w:t>
      </w:r>
    </w:p>
    <w:p w14:paraId="3795DF68">
      <w:pPr>
        <w:adjustRightInd w:val="0"/>
        <w:snapToGrid w:val="0"/>
        <w:spacing w:line="500" w:lineRule="exact"/>
        <w:jc w:val="center"/>
        <w:textAlignment w:val="baseline"/>
        <w:rPr>
          <w:rFonts w:hint="eastAsia" w:ascii="黑体" w:hAnsi="黑体" w:eastAsia="黑体"/>
          <w:color w:val="000000" w:themeColor="text1"/>
          <w:kern w:val="0"/>
          <w:szCs w:val="21"/>
          <w14:textFill>
            <w14:solidFill>
              <w14:schemeClr w14:val="tx1"/>
            </w14:solidFill>
          </w14:textFill>
        </w:rPr>
      </w:pPr>
      <w:r>
        <w:rPr>
          <w:rFonts w:hint="eastAsia" w:ascii="黑体" w:hAnsi="黑体" w:eastAsia="黑体"/>
          <w:color w:val="000000" w:themeColor="text1"/>
          <w:kern w:val="0"/>
          <w:szCs w:val="21"/>
          <w14:textFill>
            <w14:solidFill>
              <w14:schemeClr w14:val="tx1"/>
            </w14:solidFill>
          </w14:textFill>
        </w:rPr>
        <w:t>表</w:t>
      </w:r>
      <w:r>
        <w:rPr>
          <w:rFonts w:ascii="黑体" w:hAnsi="黑体" w:eastAsia="黑体"/>
          <w:color w:val="000000" w:themeColor="text1"/>
          <w:kern w:val="0"/>
          <w:szCs w:val="21"/>
          <w14:textFill>
            <w14:solidFill>
              <w14:schemeClr w14:val="tx1"/>
            </w14:solidFill>
          </w14:textFill>
        </w:rPr>
        <w:t>3.3</w:t>
      </w:r>
      <w:r>
        <w:rPr>
          <w:rFonts w:hint="eastAsia" w:ascii="黑体" w:hAnsi="黑体" w:eastAsia="黑体"/>
          <w:color w:val="000000" w:themeColor="text1"/>
          <w:kern w:val="0"/>
          <w:szCs w:val="21"/>
          <w14:textFill>
            <w14:solidFill>
              <w14:schemeClr w14:val="tx1"/>
            </w14:solidFill>
          </w14:textFill>
        </w:rPr>
        <w:t>-14</w:t>
      </w:r>
      <w:r>
        <w:rPr>
          <w:rFonts w:ascii="黑体" w:hAnsi="黑体" w:eastAsia="黑体"/>
          <w:color w:val="000000" w:themeColor="text1"/>
          <w:kern w:val="0"/>
          <w:szCs w:val="21"/>
          <w14:textFill>
            <w14:solidFill>
              <w14:schemeClr w14:val="tx1"/>
            </w14:solidFill>
          </w14:textFill>
        </w:rPr>
        <w:t xml:space="preserve"> </w:t>
      </w:r>
      <w:r>
        <w:rPr>
          <w:rFonts w:hint="eastAsia" w:ascii="黑体" w:hAnsi="黑体" w:eastAsia="黑体"/>
          <w:color w:val="000000" w:themeColor="text1"/>
          <w:kern w:val="0"/>
          <w:szCs w:val="21"/>
          <w14:textFill>
            <w14:solidFill>
              <w14:schemeClr w14:val="tx1"/>
            </w14:solidFill>
          </w14:textFill>
        </w:rPr>
        <w:t xml:space="preserve"> 运营期污染物产生及排放一览表</w:t>
      </w:r>
    </w:p>
    <w:tbl>
      <w:tblPr>
        <w:tblStyle w:val="51"/>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512"/>
        <w:gridCol w:w="1617"/>
        <w:gridCol w:w="1276"/>
        <w:gridCol w:w="1418"/>
        <w:gridCol w:w="1276"/>
        <w:gridCol w:w="892"/>
        <w:gridCol w:w="1739"/>
      </w:tblGrid>
      <w:tr w14:paraId="794375D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293" w:type="pct"/>
            <w:vAlign w:val="center"/>
          </w:tcPr>
          <w:p w14:paraId="0BA868E2">
            <w:pPr>
              <w:pStyle w:val="278"/>
              <w:adjustRightInd w:val="0"/>
              <w:snapToGrid w:val="0"/>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类别</w:t>
            </w:r>
          </w:p>
        </w:tc>
        <w:tc>
          <w:tcPr>
            <w:tcW w:w="926" w:type="pct"/>
            <w:vAlign w:val="center"/>
          </w:tcPr>
          <w:p w14:paraId="56CC603F">
            <w:pPr>
              <w:pStyle w:val="278"/>
              <w:adjustRightInd w:val="0"/>
              <w:snapToGrid w:val="0"/>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污染源</w:t>
            </w:r>
          </w:p>
        </w:tc>
        <w:tc>
          <w:tcPr>
            <w:tcW w:w="731" w:type="pct"/>
            <w:vAlign w:val="center"/>
          </w:tcPr>
          <w:p w14:paraId="799528ED">
            <w:pPr>
              <w:pStyle w:val="278"/>
              <w:adjustRightInd w:val="0"/>
              <w:snapToGrid w:val="0"/>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污染物名称</w:t>
            </w:r>
          </w:p>
        </w:tc>
        <w:tc>
          <w:tcPr>
            <w:tcW w:w="812" w:type="pct"/>
            <w:vAlign w:val="center"/>
          </w:tcPr>
          <w:p w14:paraId="6A4FF658">
            <w:pPr>
              <w:pStyle w:val="278"/>
              <w:adjustRightInd w:val="0"/>
              <w:snapToGrid w:val="0"/>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污染因子</w:t>
            </w:r>
          </w:p>
        </w:tc>
        <w:tc>
          <w:tcPr>
            <w:tcW w:w="731" w:type="pct"/>
            <w:vAlign w:val="center"/>
          </w:tcPr>
          <w:p w14:paraId="18AA7DB1">
            <w:pPr>
              <w:pStyle w:val="278"/>
              <w:adjustRightInd w:val="0"/>
              <w:snapToGrid w:val="0"/>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产生量</w:t>
            </w:r>
          </w:p>
        </w:tc>
        <w:tc>
          <w:tcPr>
            <w:tcW w:w="511" w:type="pct"/>
            <w:vAlign w:val="center"/>
          </w:tcPr>
          <w:p w14:paraId="5FA49C1B">
            <w:pPr>
              <w:pStyle w:val="278"/>
              <w:adjustRightInd w:val="0"/>
              <w:snapToGrid w:val="0"/>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排放量</w:t>
            </w:r>
          </w:p>
        </w:tc>
        <w:tc>
          <w:tcPr>
            <w:tcW w:w="996" w:type="pct"/>
            <w:vAlign w:val="center"/>
          </w:tcPr>
          <w:p w14:paraId="4905A979">
            <w:pPr>
              <w:pStyle w:val="278"/>
              <w:adjustRightInd w:val="0"/>
              <w:snapToGrid w:val="0"/>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处理措施及排放去向</w:t>
            </w:r>
          </w:p>
        </w:tc>
      </w:tr>
      <w:tr w14:paraId="1F0FC21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293" w:type="pct"/>
            <w:vMerge w:val="restart"/>
            <w:vAlign w:val="center"/>
          </w:tcPr>
          <w:p w14:paraId="2C0CFF71">
            <w:pPr>
              <w:pStyle w:val="278"/>
              <w:adjustRightInd w:val="0"/>
              <w:snapToGrid w:val="0"/>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废气</w:t>
            </w:r>
          </w:p>
        </w:tc>
        <w:tc>
          <w:tcPr>
            <w:tcW w:w="926" w:type="pct"/>
            <w:vMerge w:val="restart"/>
            <w:vAlign w:val="center"/>
          </w:tcPr>
          <w:p w14:paraId="09B06467">
            <w:pPr>
              <w:pStyle w:val="278"/>
              <w:adjustRightInd w:val="0"/>
              <w:snapToGrid w:val="0"/>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井场油气集输、预处理注入站油气处理过程的阀门、法兰等</w:t>
            </w:r>
          </w:p>
        </w:tc>
        <w:tc>
          <w:tcPr>
            <w:tcW w:w="731" w:type="pct"/>
            <w:vAlign w:val="center"/>
          </w:tcPr>
          <w:p w14:paraId="4F08686F">
            <w:pPr>
              <w:pStyle w:val="278"/>
              <w:adjustRightInd w:val="0"/>
              <w:snapToGrid w:val="0"/>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无组织挥发性有机物</w:t>
            </w:r>
          </w:p>
        </w:tc>
        <w:tc>
          <w:tcPr>
            <w:tcW w:w="812" w:type="pct"/>
            <w:vAlign w:val="center"/>
          </w:tcPr>
          <w:p w14:paraId="109B39D4">
            <w:pPr>
              <w:pStyle w:val="278"/>
              <w:adjustRightInd w:val="0"/>
              <w:snapToGrid w:val="0"/>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非甲烷</w:t>
            </w:r>
            <w:r>
              <w:rPr>
                <w:color w:val="000000" w:themeColor="text1"/>
                <w14:textFill>
                  <w14:solidFill>
                    <w14:schemeClr w14:val="tx1"/>
                  </w14:solidFill>
                </w14:textFill>
              </w:rPr>
              <w:t>总烃</w:t>
            </w:r>
          </w:p>
        </w:tc>
        <w:tc>
          <w:tcPr>
            <w:tcW w:w="731" w:type="pct"/>
            <w:vAlign w:val="center"/>
          </w:tcPr>
          <w:p w14:paraId="2E0622C7">
            <w:pPr>
              <w:pStyle w:val="278"/>
              <w:adjustRightInd w:val="0"/>
              <w:snapToGrid w:val="0"/>
              <w:spacing w:line="300" w:lineRule="exact"/>
              <w:rPr>
                <w:rFonts w:hint="eastAsia"/>
                <w:color w:val="000000" w:themeColor="text1"/>
                <w14:textFill>
                  <w14:solidFill>
                    <w14:schemeClr w14:val="tx1"/>
                  </w14:solidFill>
                </w14:textFill>
              </w:rPr>
            </w:pPr>
            <w:r>
              <w:rPr>
                <w:rFonts w:hint="eastAsia"/>
                <w:color w:val="000000" w:themeColor="text1"/>
                <w:lang w:bidi="ar"/>
                <w14:textFill>
                  <w14:solidFill>
                    <w14:schemeClr w14:val="tx1"/>
                  </w14:solidFill>
                </w14:textFill>
              </w:rPr>
              <w:t>1.338</w:t>
            </w:r>
            <w:r>
              <w:rPr>
                <w:color w:val="000000" w:themeColor="text1"/>
                <w:lang w:bidi="ar"/>
                <w14:textFill>
                  <w14:solidFill>
                    <w14:schemeClr w14:val="tx1"/>
                  </w14:solidFill>
                </w14:textFill>
              </w:rPr>
              <w:t>t</w:t>
            </w:r>
            <w:r>
              <w:rPr>
                <w:rFonts w:hint="eastAsia" w:cs="宋体"/>
                <w:color w:val="000000" w:themeColor="text1"/>
                <w14:textFill>
                  <w14:solidFill>
                    <w14:schemeClr w14:val="tx1"/>
                  </w14:solidFill>
                </w14:textFill>
              </w:rPr>
              <w:t>/a</w:t>
            </w:r>
          </w:p>
        </w:tc>
        <w:tc>
          <w:tcPr>
            <w:tcW w:w="511" w:type="pct"/>
            <w:vAlign w:val="center"/>
          </w:tcPr>
          <w:p w14:paraId="3C70FEF0">
            <w:pPr>
              <w:pStyle w:val="278"/>
              <w:adjustRightInd w:val="0"/>
              <w:snapToGrid w:val="0"/>
              <w:spacing w:line="300" w:lineRule="exact"/>
              <w:rPr>
                <w:rFonts w:hint="eastAsia"/>
                <w:color w:val="000000" w:themeColor="text1"/>
                <w14:textFill>
                  <w14:solidFill>
                    <w14:schemeClr w14:val="tx1"/>
                  </w14:solidFill>
                </w14:textFill>
              </w:rPr>
            </w:pPr>
            <w:r>
              <w:rPr>
                <w:rFonts w:hint="eastAsia"/>
                <w:color w:val="000000" w:themeColor="text1"/>
                <w:lang w:bidi="ar"/>
                <w14:textFill>
                  <w14:solidFill>
                    <w14:schemeClr w14:val="tx1"/>
                  </w14:solidFill>
                </w14:textFill>
              </w:rPr>
              <w:t>1.338</w:t>
            </w:r>
            <w:r>
              <w:rPr>
                <w:color w:val="000000" w:themeColor="text1"/>
                <w:lang w:bidi="ar"/>
                <w14:textFill>
                  <w14:solidFill>
                    <w14:schemeClr w14:val="tx1"/>
                  </w14:solidFill>
                </w14:textFill>
              </w:rPr>
              <w:t>t</w:t>
            </w:r>
            <w:r>
              <w:rPr>
                <w:rFonts w:hint="eastAsia" w:cs="宋体"/>
                <w:color w:val="000000" w:themeColor="text1"/>
                <w14:textFill>
                  <w14:solidFill>
                    <w14:schemeClr w14:val="tx1"/>
                  </w14:solidFill>
                </w14:textFill>
              </w:rPr>
              <w:t>/a</w:t>
            </w:r>
          </w:p>
        </w:tc>
        <w:tc>
          <w:tcPr>
            <w:tcW w:w="996" w:type="pct"/>
            <w:vMerge w:val="restart"/>
            <w:vAlign w:val="center"/>
          </w:tcPr>
          <w:p w14:paraId="55F12470">
            <w:pPr>
              <w:pStyle w:val="278"/>
              <w:adjustRightInd w:val="0"/>
              <w:snapToGrid w:val="0"/>
              <w:spacing w:line="300" w:lineRule="exact"/>
              <w:rPr>
                <w:rFonts w:hint="eastAsia"/>
                <w:color w:val="000000" w:themeColor="text1"/>
                <w14:textFill>
                  <w14:solidFill>
                    <w14:schemeClr w14:val="tx1"/>
                  </w14:solidFill>
                </w14:textFill>
              </w:rPr>
            </w:pPr>
            <w:r>
              <w:rPr>
                <w:rFonts w:hint="eastAsia" w:cs="宋体"/>
                <w:bCs/>
                <w:snapToGrid w:val="0"/>
                <w:color w:val="000000" w:themeColor="text1"/>
                <w14:textFill>
                  <w14:solidFill>
                    <w14:schemeClr w14:val="tx1"/>
                  </w14:solidFill>
                </w14:textFill>
              </w:rPr>
              <w:t>选用质量可靠的设备、仪表、阀门等；定期对井场、预处理注入站的设备、阀门等检查排放至</w:t>
            </w:r>
            <w:r>
              <w:rPr>
                <w:rFonts w:hint="eastAsia"/>
                <w:color w:val="000000" w:themeColor="text1"/>
                <w14:textFill>
                  <w14:solidFill>
                    <w14:schemeClr w14:val="tx1"/>
                  </w14:solidFill>
                </w14:textFill>
              </w:rPr>
              <w:t>大气环境</w:t>
            </w:r>
          </w:p>
        </w:tc>
      </w:tr>
      <w:tr w14:paraId="22DDFAF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293" w:type="pct"/>
            <w:vMerge w:val="continue"/>
            <w:vAlign w:val="center"/>
          </w:tcPr>
          <w:p w14:paraId="3A94D6CD">
            <w:pPr>
              <w:pStyle w:val="278"/>
              <w:adjustRightInd w:val="0"/>
              <w:snapToGrid w:val="0"/>
              <w:spacing w:line="300" w:lineRule="exact"/>
              <w:rPr>
                <w:rFonts w:hint="eastAsia"/>
                <w:color w:val="000000" w:themeColor="text1"/>
                <w14:textFill>
                  <w14:solidFill>
                    <w14:schemeClr w14:val="tx1"/>
                  </w14:solidFill>
                </w14:textFill>
              </w:rPr>
            </w:pPr>
          </w:p>
        </w:tc>
        <w:tc>
          <w:tcPr>
            <w:tcW w:w="926" w:type="pct"/>
            <w:vMerge w:val="continue"/>
            <w:vAlign w:val="center"/>
          </w:tcPr>
          <w:p w14:paraId="7B013B07">
            <w:pPr>
              <w:pStyle w:val="278"/>
              <w:adjustRightInd w:val="0"/>
              <w:snapToGrid w:val="0"/>
              <w:spacing w:line="300" w:lineRule="exact"/>
              <w:rPr>
                <w:rFonts w:hint="eastAsia"/>
                <w:color w:val="000000" w:themeColor="text1"/>
                <w14:textFill>
                  <w14:solidFill>
                    <w14:schemeClr w14:val="tx1"/>
                  </w14:solidFill>
                </w14:textFill>
              </w:rPr>
            </w:pPr>
          </w:p>
        </w:tc>
        <w:tc>
          <w:tcPr>
            <w:tcW w:w="731" w:type="pct"/>
            <w:vAlign w:val="center"/>
          </w:tcPr>
          <w:p w14:paraId="79428376">
            <w:pPr>
              <w:pStyle w:val="278"/>
              <w:adjustRightInd w:val="0"/>
              <w:snapToGrid w:val="0"/>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无组织硫化氢</w:t>
            </w:r>
          </w:p>
        </w:tc>
        <w:tc>
          <w:tcPr>
            <w:tcW w:w="812" w:type="pct"/>
            <w:vAlign w:val="center"/>
          </w:tcPr>
          <w:p w14:paraId="07BA32E4">
            <w:pPr>
              <w:pStyle w:val="278"/>
              <w:adjustRightInd w:val="0"/>
              <w:snapToGrid w:val="0"/>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硫化氢</w:t>
            </w:r>
          </w:p>
        </w:tc>
        <w:tc>
          <w:tcPr>
            <w:tcW w:w="731" w:type="pct"/>
            <w:vAlign w:val="center"/>
          </w:tcPr>
          <w:p w14:paraId="0D3F1366">
            <w:pPr>
              <w:pStyle w:val="278"/>
              <w:adjustRightInd w:val="0"/>
              <w:snapToGrid w:val="0"/>
              <w:spacing w:line="300" w:lineRule="exact"/>
              <w:rPr>
                <w:rFonts w:hint="eastAsia"/>
                <w:color w:val="000000" w:themeColor="text1"/>
                <w:lang w:bidi="ar"/>
                <w14:textFill>
                  <w14:solidFill>
                    <w14:schemeClr w14:val="tx1"/>
                  </w14:solidFill>
                </w14:textFill>
              </w:rPr>
            </w:pPr>
            <w:r>
              <w:rPr>
                <w:rFonts w:hint="eastAsia"/>
                <w:color w:val="000000" w:themeColor="text1"/>
                <w:lang w:bidi="ar"/>
                <w14:textFill>
                  <w14:solidFill>
                    <w14:schemeClr w14:val="tx1"/>
                  </w14:solidFill>
                </w14:textFill>
              </w:rPr>
              <w:t>0.359kg</w:t>
            </w:r>
            <w:r>
              <w:rPr>
                <w:rFonts w:hint="eastAsia" w:cs="宋体"/>
                <w:color w:val="000000" w:themeColor="text1"/>
                <w14:textFill>
                  <w14:solidFill>
                    <w14:schemeClr w14:val="tx1"/>
                  </w14:solidFill>
                </w14:textFill>
              </w:rPr>
              <w:t>/a</w:t>
            </w:r>
          </w:p>
        </w:tc>
        <w:tc>
          <w:tcPr>
            <w:tcW w:w="511" w:type="pct"/>
            <w:vAlign w:val="center"/>
          </w:tcPr>
          <w:p w14:paraId="47D7D6DE">
            <w:pPr>
              <w:pStyle w:val="278"/>
              <w:adjustRightInd w:val="0"/>
              <w:snapToGrid w:val="0"/>
              <w:spacing w:line="300" w:lineRule="exact"/>
              <w:rPr>
                <w:rFonts w:hint="eastAsia"/>
                <w:color w:val="000000" w:themeColor="text1"/>
                <w:lang w:bidi="ar"/>
                <w14:textFill>
                  <w14:solidFill>
                    <w14:schemeClr w14:val="tx1"/>
                  </w14:solidFill>
                </w14:textFill>
              </w:rPr>
            </w:pPr>
            <w:r>
              <w:rPr>
                <w:rFonts w:hint="eastAsia"/>
                <w:color w:val="000000" w:themeColor="text1"/>
                <w:lang w:bidi="ar"/>
                <w14:textFill>
                  <w14:solidFill>
                    <w14:schemeClr w14:val="tx1"/>
                  </w14:solidFill>
                </w14:textFill>
              </w:rPr>
              <w:t>0.359</w:t>
            </w:r>
          </w:p>
          <w:p w14:paraId="3E5ADFEF">
            <w:pPr>
              <w:pStyle w:val="278"/>
              <w:adjustRightInd w:val="0"/>
              <w:snapToGrid w:val="0"/>
              <w:spacing w:line="300" w:lineRule="exact"/>
              <w:rPr>
                <w:rFonts w:hint="eastAsia"/>
                <w:color w:val="000000" w:themeColor="text1"/>
                <w:lang w:bidi="ar"/>
                <w14:textFill>
                  <w14:solidFill>
                    <w14:schemeClr w14:val="tx1"/>
                  </w14:solidFill>
                </w14:textFill>
              </w:rPr>
            </w:pPr>
            <w:r>
              <w:rPr>
                <w:rFonts w:hint="eastAsia"/>
                <w:color w:val="000000" w:themeColor="text1"/>
                <w:lang w:bidi="ar"/>
                <w14:textFill>
                  <w14:solidFill>
                    <w14:schemeClr w14:val="tx1"/>
                  </w14:solidFill>
                </w14:textFill>
              </w:rPr>
              <w:t>kg</w:t>
            </w:r>
            <w:r>
              <w:rPr>
                <w:rFonts w:hint="eastAsia" w:cs="宋体"/>
                <w:color w:val="000000" w:themeColor="text1"/>
                <w14:textFill>
                  <w14:solidFill>
                    <w14:schemeClr w14:val="tx1"/>
                  </w14:solidFill>
                </w14:textFill>
              </w:rPr>
              <w:t>/a</w:t>
            </w:r>
          </w:p>
        </w:tc>
        <w:tc>
          <w:tcPr>
            <w:tcW w:w="996" w:type="pct"/>
            <w:vMerge w:val="continue"/>
            <w:vAlign w:val="center"/>
          </w:tcPr>
          <w:p w14:paraId="3F4DB322">
            <w:pPr>
              <w:pStyle w:val="278"/>
              <w:adjustRightInd w:val="0"/>
              <w:snapToGrid w:val="0"/>
              <w:spacing w:line="300" w:lineRule="exact"/>
              <w:rPr>
                <w:rFonts w:hint="eastAsia" w:cs="宋体"/>
                <w:bCs/>
                <w:snapToGrid w:val="0"/>
                <w:color w:val="000000" w:themeColor="text1"/>
                <w14:textFill>
                  <w14:solidFill>
                    <w14:schemeClr w14:val="tx1"/>
                  </w14:solidFill>
                </w14:textFill>
              </w:rPr>
            </w:pPr>
          </w:p>
        </w:tc>
      </w:tr>
      <w:tr w14:paraId="02F0AFA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293" w:type="pct"/>
            <w:vMerge w:val="restart"/>
            <w:vAlign w:val="center"/>
          </w:tcPr>
          <w:p w14:paraId="38F29B5F">
            <w:pPr>
              <w:pStyle w:val="278"/>
              <w:adjustRightInd w:val="0"/>
              <w:snapToGrid w:val="0"/>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废水</w:t>
            </w:r>
          </w:p>
        </w:tc>
        <w:tc>
          <w:tcPr>
            <w:tcW w:w="926" w:type="pct"/>
            <w:vAlign w:val="center"/>
          </w:tcPr>
          <w:p w14:paraId="4E3F4EB9">
            <w:pPr>
              <w:pStyle w:val="278"/>
              <w:adjustRightInd w:val="0"/>
              <w:snapToGrid w:val="0"/>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井下作业</w:t>
            </w:r>
          </w:p>
        </w:tc>
        <w:tc>
          <w:tcPr>
            <w:tcW w:w="731" w:type="pct"/>
            <w:vAlign w:val="center"/>
          </w:tcPr>
          <w:p w14:paraId="6DBBE66C">
            <w:pPr>
              <w:pStyle w:val="278"/>
              <w:adjustRightInd w:val="0"/>
              <w:snapToGrid w:val="0"/>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压裂返排液</w:t>
            </w:r>
          </w:p>
        </w:tc>
        <w:tc>
          <w:tcPr>
            <w:tcW w:w="812" w:type="pct"/>
            <w:vAlign w:val="center"/>
          </w:tcPr>
          <w:p w14:paraId="5C83A78E">
            <w:pPr>
              <w:pStyle w:val="278"/>
              <w:adjustRightInd w:val="0"/>
              <w:snapToGrid w:val="0"/>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压裂返排液</w:t>
            </w:r>
          </w:p>
        </w:tc>
        <w:tc>
          <w:tcPr>
            <w:tcW w:w="731" w:type="pct"/>
            <w:vAlign w:val="center"/>
          </w:tcPr>
          <w:p w14:paraId="41BFE933">
            <w:pPr>
              <w:pStyle w:val="278"/>
              <w:adjustRightInd w:val="0"/>
              <w:snapToGrid w:val="0"/>
              <w:spacing w:line="300" w:lineRule="exact"/>
              <w:rPr>
                <w:rFonts w:hint="eastAsia"/>
                <w:color w:val="000000" w:themeColor="text1"/>
                <w:lang w:bidi="ar"/>
                <w14:textFill>
                  <w14:solidFill>
                    <w14:schemeClr w14:val="tx1"/>
                  </w14:solidFill>
                </w14:textFill>
              </w:rPr>
            </w:pPr>
            <w:r>
              <w:rPr>
                <w:rFonts w:hint="eastAsia" w:cs="宋体"/>
                <w:color w:val="000000" w:themeColor="text1"/>
                <w14:textFill>
                  <w14:solidFill>
                    <w14:schemeClr w14:val="tx1"/>
                  </w14:solidFill>
                </w14:textFill>
              </w:rPr>
              <w:t>1378.89m</w:t>
            </w:r>
            <w:r>
              <w:rPr>
                <w:rFonts w:hint="eastAsia" w:cs="宋体"/>
                <w:color w:val="000000" w:themeColor="text1"/>
                <w:vertAlign w:val="superscript"/>
                <w14:textFill>
                  <w14:solidFill>
                    <w14:schemeClr w14:val="tx1"/>
                  </w14:solidFill>
                </w14:textFill>
              </w:rPr>
              <w:t>3</w:t>
            </w:r>
            <w:r>
              <w:rPr>
                <w:rFonts w:hint="eastAsia" w:cs="宋体"/>
                <w:color w:val="000000" w:themeColor="text1"/>
                <w14:textFill>
                  <w14:solidFill>
                    <w14:schemeClr w14:val="tx1"/>
                  </w14:solidFill>
                </w14:textFill>
              </w:rPr>
              <w:t>/a</w:t>
            </w:r>
          </w:p>
        </w:tc>
        <w:tc>
          <w:tcPr>
            <w:tcW w:w="511" w:type="pct"/>
            <w:vAlign w:val="center"/>
          </w:tcPr>
          <w:p w14:paraId="7A62119B">
            <w:pPr>
              <w:pStyle w:val="278"/>
              <w:adjustRightInd w:val="0"/>
              <w:snapToGrid w:val="0"/>
              <w:spacing w:line="300" w:lineRule="exact"/>
              <w:rPr>
                <w:rFonts w:hint="eastAsia"/>
                <w:color w:val="000000" w:themeColor="text1"/>
                <w:lang w:bidi="ar"/>
                <w14:textFill>
                  <w14:solidFill>
                    <w14:schemeClr w14:val="tx1"/>
                  </w14:solidFill>
                </w14:textFill>
              </w:rPr>
            </w:pPr>
            <w:r>
              <w:rPr>
                <w:rFonts w:hint="eastAsia"/>
                <w:color w:val="000000" w:themeColor="text1"/>
                <w14:textFill>
                  <w14:solidFill>
                    <w14:schemeClr w14:val="tx1"/>
                  </w14:solidFill>
                </w14:textFill>
              </w:rPr>
              <w:t>0</w:t>
            </w:r>
          </w:p>
        </w:tc>
        <w:tc>
          <w:tcPr>
            <w:tcW w:w="996" w:type="pct"/>
            <w:vMerge w:val="restart"/>
            <w:vAlign w:val="center"/>
          </w:tcPr>
          <w:p w14:paraId="1F4A5D79">
            <w:pPr>
              <w:pStyle w:val="278"/>
              <w:adjustRightInd w:val="0"/>
              <w:snapToGrid w:val="0"/>
              <w:spacing w:line="300" w:lineRule="exact"/>
              <w:rPr>
                <w:rFonts w:hint="eastAsia" w:cs="宋体"/>
                <w:bCs/>
                <w:snapToGrid w:val="0"/>
                <w:color w:val="000000" w:themeColor="text1"/>
                <w14:textFill>
                  <w14:solidFill>
                    <w14:schemeClr w14:val="tx1"/>
                  </w14:solidFill>
                </w14:textFill>
              </w:rPr>
            </w:pPr>
            <w:r>
              <w:rPr>
                <w:rFonts w:hint="eastAsia"/>
                <w:color w:val="000000" w:themeColor="text1"/>
                <w14:textFill>
                  <w14:solidFill>
                    <w14:schemeClr w14:val="tx1"/>
                  </w14:solidFill>
                </w14:textFill>
              </w:rPr>
              <w:t>送至压裂返排液处理系统处理</w:t>
            </w:r>
          </w:p>
        </w:tc>
      </w:tr>
      <w:tr w14:paraId="08C181C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293" w:type="pct"/>
            <w:vMerge w:val="continue"/>
            <w:vAlign w:val="center"/>
          </w:tcPr>
          <w:p w14:paraId="668FFC40">
            <w:pPr>
              <w:pStyle w:val="278"/>
              <w:adjustRightInd w:val="0"/>
              <w:snapToGrid w:val="0"/>
              <w:spacing w:line="300" w:lineRule="exact"/>
              <w:rPr>
                <w:rFonts w:hint="eastAsia"/>
                <w:color w:val="000000" w:themeColor="text1"/>
                <w14:textFill>
                  <w14:solidFill>
                    <w14:schemeClr w14:val="tx1"/>
                  </w14:solidFill>
                </w14:textFill>
              </w:rPr>
            </w:pPr>
          </w:p>
        </w:tc>
        <w:tc>
          <w:tcPr>
            <w:tcW w:w="926" w:type="pct"/>
            <w:vAlign w:val="center"/>
          </w:tcPr>
          <w:p w14:paraId="3CCD07E2">
            <w:pPr>
              <w:pStyle w:val="278"/>
              <w:adjustRightInd w:val="0"/>
              <w:snapToGrid w:val="0"/>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井下作业</w:t>
            </w:r>
          </w:p>
        </w:tc>
        <w:tc>
          <w:tcPr>
            <w:tcW w:w="731" w:type="pct"/>
            <w:vAlign w:val="center"/>
          </w:tcPr>
          <w:p w14:paraId="20B43169">
            <w:pPr>
              <w:pStyle w:val="278"/>
              <w:adjustRightInd w:val="0"/>
              <w:snapToGrid w:val="0"/>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废洗井液</w:t>
            </w:r>
          </w:p>
        </w:tc>
        <w:tc>
          <w:tcPr>
            <w:tcW w:w="812" w:type="pct"/>
            <w:vAlign w:val="center"/>
          </w:tcPr>
          <w:p w14:paraId="3BD8477C">
            <w:pPr>
              <w:pStyle w:val="278"/>
              <w:adjustRightInd w:val="0"/>
              <w:snapToGrid w:val="0"/>
              <w:spacing w:line="300" w:lineRule="exact"/>
              <w:rPr>
                <w:rFonts w:hint="eastAsia" w:cs="宋体"/>
                <w:color w:val="000000" w:themeColor="text1"/>
                <w14:textFill>
                  <w14:solidFill>
                    <w14:schemeClr w14:val="tx1"/>
                  </w14:solidFill>
                </w14:textFill>
              </w:rPr>
            </w:pPr>
            <w:r>
              <w:rPr>
                <w:rFonts w:hint="eastAsia"/>
                <w:color w:val="000000" w:themeColor="text1"/>
                <w14:textFill>
                  <w14:solidFill>
                    <w14:schemeClr w14:val="tx1"/>
                  </w14:solidFill>
                </w14:textFill>
              </w:rPr>
              <w:t>废洗井液</w:t>
            </w:r>
          </w:p>
        </w:tc>
        <w:tc>
          <w:tcPr>
            <w:tcW w:w="731" w:type="pct"/>
            <w:vAlign w:val="center"/>
          </w:tcPr>
          <w:p w14:paraId="733B3EAE">
            <w:pPr>
              <w:pStyle w:val="278"/>
              <w:adjustRightInd w:val="0"/>
              <w:snapToGrid w:val="0"/>
              <w:spacing w:line="300" w:lineRule="exact"/>
              <w:rPr>
                <w:rFonts w:hint="eastAsia"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227.61m</w:t>
            </w:r>
            <w:r>
              <w:rPr>
                <w:rFonts w:hint="eastAsia" w:cs="宋体"/>
                <w:color w:val="000000" w:themeColor="text1"/>
                <w:vertAlign w:val="superscript"/>
                <w14:textFill>
                  <w14:solidFill>
                    <w14:schemeClr w14:val="tx1"/>
                  </w14:solidFill>
                </w14:textFill>
              </w:rPr>
              <w:t>3</w:t>
            </w:r>
            <w:r>
              <w:rPr>
                <w:rFonts w:hint="eastAsia" w:cs="宋体"/>
                <w:color w:val="000000" w:themeColor="text1"/>
                <w14:textFill>
                  <w14:solidFill>
                    <w14:schemeClr w14:val="tx1"/>
                  </w14:solidFill>
                </w14:textFill>
              </w:rPr>
              <w:t>/a</w:t>
            </w:r>
          </w:p>
        </w:tc>
        <w:tc>
          <w:tcPr>
            <w:tcW w:w="511" w:type="pct"/>
            <w:vAlign w:val="center"/>
          </w:tcPr>
          <w:p w14:paraId="42E082DC">
            <w:pPr>
              <w:pStyle w:val="278"/>
              <w:adjustRightInd w:val="0"/>
              <w:snapToGrid w:val="0"/>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0</w:t>
            </w:r>
          </w:p>
        </w:tc>
        <w:tc>
          <w:tcPr>
            <w:tcW w:w="996" w:type="pct"/>
            <w:vMerge w:val="continue"/>
            <w:vAlign w:val="center"/>
          </w:tcPr>
          <w:p w14:paraId="3A091042">
            <w:pPr>
              <w:pStyle w:val="278"/>
              <w:adjustRightInd w:val="0"/>
              <w:snapToGrid w:val="0"/>
              <w:spacing w:line="300" w:lineRule="exact"/>
              <w:rPr>
                <w:rFonts w:hint="eastAsia"/>
                <w:color w:val="000000" w:themeColor="text1"/>
                <w14:textFill>
                  <w14:solidFill>
                    <w14:schemeClr w14:val="tx1"/>
                  </w14:solidFill>
                </w14:textFill>
              </w:rPr>
            </w:pPr>
          </w:p>
        </w:tc>
      </w:tr>
      <w:tr w14:paraId="7C8C0DB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293" w:type="pct"/>
            <w:vMerge w:val="continue"/>
            <w:vAlign w:val="center"/>
          </w:tcPr>
          <w:p w14:paraId="029B916C">
            <w:pPr>
              <w:pStyle w:val="278"/>
              <w:adjustRightInd w:val="0"/>
              <w:snapToGrid w:val="0"/>
              <w:spacing w:line="300" w:lineRule="exact"/>
              <w:rPr>
                <w:rFonts w:hint="eastAsia"/>
                <w:color w:val="000000" w:themeColor="text1"/>
                <w14:textFill>
                  <w14:solidFill>
                    <w14:schemeClr w14:val="tx1"/>
                  </w14:solidFill>
                </w14:textFill>
              </w:rPr>
            </w:pPr>
          </w:p>
        </w:tc>
        <w:tc>
          <w:tcPr>
            <w:tcW w:w="926" w:type="pct"/>
            <w:vAlign w:val="center"/>
          </w:tcPr>
          <w:p w14:paraId="25269A94">
            <w:pPr>
              <w:pStyle w:val="278"/>
              <w:adjustRightInd w:val="0"/>
              <w:snapToGrid w:val="0"/>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井下作业</w:t>
            </w:r>
          </w:p>
        </w:tc>
        <w:tc>
          <w:tcPr>
            <w:tcW w:w="731" w:type="pct"/>
            <w:vAlign w:val="center"/>
          </w:tcPr>
          <w:p w14:paraId="5504D80A">
            <w:pPr>
              <w:pStyle w:val="278"/>
              <w:adjustRightInd w:val="0"/>
              <w:snapToGrid w:val="0"/>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洗井废水</w:t>
            </w:r>
          </w:p>
        </w:tc>
        <w:tc>
          <w:tcPr>
            <w:tcW w:w="812" w:type="pct"/>
            <w:vAlign w:val="center"/>
          </w:tcPr>
          <w:p w14:paraId="35E0D1EC">
            <w:pPr>
              <w:pStyle w:val="278"/>
              <w:adjustRightInd w:val="0"/>
              <w:snapToGrid w:val="0"/>
              <w:spacing w:line="300" w:lineRule="exact"/>
              <w:rPr>
                <w:rFonts w:hint="eastAsia" w:cs="Arial"/>
                <w:color w:val="000000" w:themeColor="text1"/>
                <w:kern w:val="2"/>
                <w14:textFill>
                  <w14:solidFill>
                    <w14:schemeClr w14:val="tx1"/>
                  </w14:solidFill>
                </w14:textFill>
              </w:rPr>
            </w:pPr>
            <w:r>
              <w:rPr>
                <w:rFonts w:hint="eastAsia"/>
                <w:color w:val="000000" w:themeColor="text1"/>
                <w14:textFill>
                  <w14:solidFill>
                    <w14:schemeClr w14:val="tx1"/>
                  </w14:solidFill>
                </w14:textFill>
              </w:rPr>
              <w:t>洗井废水</w:t>
            </w:r>
          </w:p>
        </w:tc>
        <w:tc>
          <w:tcPr>
            <w:tcW w:w="731" w:type="pct"/>
            <w:vAlign w:val="center"/>
          </w:tcPr>
          <w:p w14:paraId="0CE21FDB">
            <w:pPr>
              <w:pStyle w:val="278"/>
              <w:adjustRightInd w:val="0"/>
              <w:snapToGrid w:val="0"/>
              <w:spacing w:line="300" w:lineRule="exact"/>
              <w:rPr>
                <w:rFonts w:hint="eastAsia" w:cs="宋体"/>
                <w:color w:val="000000" w:themeColor="text1"/>
                <w:lang w:bidi="ar"/>
                <w14:textFill>
                  <w14:solidFill>
                    <w14:schemeClr w14:val="tx1"/>
                  </w14:solidFill>
                </w14:textFill>
              </w:rPr>
            </w:pPr>
            <w:r>
              <w:rPr>
                <w:rFonts w:hint="eastAsia" w:cs="宋体"/>
                <w:color w:val="000000" w:themeColor="text1"/>
                <w14:textFill>
                  <w14:solidFill>
                    <w14:schemeClr w14:val="tx1"/>
                  </w14:solidFill>
                </w14:textFill>
              </w:rPr>
              <w:t>325.56m</w:t>
            </w:r>
            <w:r>
              <w:rPr>
                <w:rFonts w:hint="eastAsia" w:cs="宋体"/>
                <w:color w:val="000000" w:themeColor="text1"/>
                <w:vertAlign w:val="superscript"/>
                <w14:textFill>
                  <w14:solidFill>
                    <w14:schemeClr w14:val="tx1"/>
                  </w14:solidFill>
                </w14:textFill>
              </w:rPr>
              <w:t>3</w:t>
            </w:r>
            <w:r>
              <w:rPr>
                <w:rFonts w:hint="eastAsia" w:cs="宋体"/>
                <w:color w:val="000000" w:themeColor="text1"/>
                <w14:textFill>
                  <w14:solidFill>
                    <w14:schemeClr w14:val="tx1"/>
                  </w14:solidFill>
                </w14:textFill>
              </w:rPr>
              <w:t>/a</w:t>
            </w:r>
          </w:p>
        </w:tc>
        <w:tc>
          <w:tcPr>
            <w:tcW w:w="511" w:type="pct"/>
            <w:vAlign w:val="center"/>
          </w:tcPr>
          <w:p w14:paraId="59ECD538">
            <w:pPr>
              <w:pStyle w:val="278"/>
              <w:adjustRightInd w:val="0"/>
              <w:snapToGrid w:val="0"/>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0</w:t>
            </w:r>
          </w:p>
        </w:tc>
        <w:tc>
          <w:tcPr>
            <w:tcW w:w="996" w:type="pct"/>
            <w:vMerge w:val="continue"/>
            <w:vAlign w:val="center"/>
          </w:tcPr>
          <w:p w14:paraId="6DBCBC2D">
            <w:pPr>
              <w:pStyle w:val="278"/>
              <w:adjustRightInd w:val="0"/>
              <w:snapToGrid w:val="0"/>
              <w:spacing w:line="300" w:lineRule="exact"/>
              <w:rPr>
                <w:rFonts w:hint="eastAsia"/>
                <w:color w:val="000000" w:themeColor="text1"/>
                <w14:textFill>
                  <w14:solidFill>
                    <w14:schemeClr w14:val="tx1"/>
                  </w14:solidFill>
                </w14:textFill>
              </w:rPr>
            </w:pPr>
          </w:p>
        </w:tc>
      </w:tr>
      <w:tr w14:paraId="5FFE39E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293" w:type="pct"/>
            <w:vMerge w:val="continue"/>
            <w:vAlign w:val="center"/>
          </w:tcPr>
          <w:p w14:paraId="23F64F8A">
            <w:pPr>
              <w:pStyle w:val="278"/>
              <w:adjustRightInd w:val="0"/>
              <w:snapToGrid w:val="0"/>
              <w:spacing w:line="300" w:lineRule="exact"/>
              <w:rPr>
                <w:rFonts w:hint="eastAsia"/>
                <w:color w:val="000000" w:themeColor="text1"/>
                <w14:textFill>
                  <w14:solidFill>
                    <w14:schemeClr w14:val="tx1"/>
                  </w14:solidFill>
                </w14:textFill>
              </w:rPr>
            </w:pPr>
          </w:p>
        </w:tc>
        <w:tc>
          <w:tcPr>
            <w:tcW w:w="926" w:type="pct"/>
            <w:vAlign w:val="center"/>
          </w:tcPr>
          <w:p w14:paraId="3B562DEF">
            <w:pPr>
              <w:pStyle w:val="278"/>
              <w:adjustRightInd w:val="0"/>
              <w:snapToGrid w:val="0"/>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预处理注入站内各设备检维修</w:t>
            </w:r>
          </w:p>
        </w:tc>
        <w:tc>
          <w:tcPr>
            <w:tcW w:w="731" w:type="pct"/>
            <w:vAlign w:val="center"/>
          </w:tcPr>
          <w:p w14:paraId="742D0AA1">
            <w:pPr>
              <w:pStyle w:val="278"/>
              <w:adjustRightInd w:val="0"/>
              <w:snapToGrid w:val="0"/>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装置排污水</w:t>
            </w:r>
          </w:p>
        </w:tc>
        <w:tc>
          <w:tcPr>
            <w:tcW w:w="812" w:type="pct"/>
            <w:vAlign w:val="center"/>
          </w:tcPr>
          <w:p w14:paraId="7EFDB666">
            <w:pPr>
              <w:pStyle w:val="278"/>
              <w:adjustRightInd w:val="0"/>
              <w:snapToGrid w:val="0"/>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装置排污水</w:t>
            </w:r>
          </w:p>
        </w:tc>
        <w:tc>
          <w:tcPr>
            <w:tcW w:w="731" w:type="pct"/>
            <w:vAlign w:val="center"/>
          </w:tcPr>
          <w:p w14:paraId="664B6741">
            <w:pPr>
              <w:pStyle w:val="278"/>
              <w:adjustRightInd w:val="0"/>
              <w:snapToGrid w:val="0"/>
              <w:spacing w:line="300" w:lineRule="exact"/>
              <w:rPr>
                <w:rFonts w:hint="eastAsia"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45.6m</w:t>
            </w:r>
            <w:r>
              <w:rPr>
                <w:rFonts w:hint="eastAsia" w:cs="宋体"/>
                <w:color w:val="000000" w:themeColor="text1"/>
                <w:vertAlign w:val="superscript"/>
                <w14:textFill>
                  <w14:solidFill>
                    <w14:schemeClr w14:val="tx1"/>
                  </w14:solidFill>
                </w14:textFill>
              </w:rPr>
              <w:t>3</w:t>
            </w:r>
            <w:r>
              <w:rPr>
                <w:rFonts w:hint="eastAsia" w:cs="宋体"/>
                <w:color w:val="000000" w:themeColor="text1"/>
                <w14:textFill>
                  <w14:solidFill>
                    <w14:schemeClr w14:val="tx1"/>
                  </w14:solidFill>
                </w14:textFill>
              </w:rPr>
              <w:t>/a</w:t>
            </w:r>
          </w:p>
        </w:tc>
        <w:tc>
          <w:tcPr>
            <w:tcW w:w="511" w:type="pct"/>
            <w:vAlign w:val="center"/>
          </w:tcPr>
          <w:p w14:paraId="75C520B8">
            <w:pPr>
              <w:pStyle w:val="278"/>
              <w:adjustRightInd w:val="0"/>
              <w:snapToGrid w:val="0"/>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0</w:t>
            </w:r>
          </w:p>
        </w:tc>
        <w:tc>
          <w:tcPr>
            <w:tcW w:w="996" w:type="pct"/>
            <w:vAlign w:val="center"/>
          </w:tcPr>
          <w:p w14:paraId="26853991">
            <w:pPr>
              <w:pStyle w:val="278"/>
              <w:adjustRightInd w:val="0"/>
              <w:snapToGrid w:val="0"/>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排至排污罐中，由污油泵将排污罐中的液体管输至进站管汇</w:t>
            </w:r>
          </w:p>
        </w:tc>
      </w:tr>
      <w:tr w14:paraId="1DB3FAB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293" w:type="pct"/>
            <w:vMerge w:val="continue"/>
            <w:vAlign w:val="center"/>
          </w:tcPr>
          <w:p w14:paraId="37013987">
            <w:pPr>
              <w:pStyle w:val="278"/>
              <w:adjustRightInd w:val="0"/>
              <w:snapToGrid w:val="0"/>
              <w:spacing w:line="300" w:lineRule="exact"/>
              <w:rPr>
                <w:rFonts w:hint="eastAsia"/>
                <w:color w:val="000000" w:themeColor="text1"/>
                <w14:textFill>
                  <w14:solidFill>
                    <w14:schemeClr w14:val="tx1"/>
                  </w14:solidFill>
                </w14:textFill>
              </w:rPr>
            </w:pPr>
          </w:p>
        </w:tc>
        <w:tc>
          <w:tcPr>
            <w:tcW w:w="926" w:type="pct"/>
            <w:vAlign w:val="center"/>
          </w:tcPr>
          <w:p w14:paraId="4508B042">
            <w:pPr>
              <w:pStyle w:val="278"/>
              <w:adjustRightInd w:val="0"/>
              <w:snapToGrid w:val="0"/>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工作人员</w:t>
            </w:r>
          </w:p>
        </w:tc>
        <w:tc>
          <w:tcPr>
            <w:tcW w:w="731" w:type="pct"/>
            <w:vAlign w:val="center"/>
          </w:tcPr>
          <w:p w14:paraId="795EA100">
            <w:pPr>
              <w:pStyle w:val="278"/>
              <w:adjustRightInd w:val="0"/>
              <w:snapToGrid w:val="0"/>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生活污水</w:t>
            </w:r>
          </w:p>
        </w:tc>
        <w:tc>
          <w:tcPr>
            <w:tcW w:w="812" w:type="pct"/>
            <w:vAlign w:val="center"/>
          </w:tcPr>
          <w:p w14:paraId="3E5372B6">
            <w:pPr>
              <w:pStyle w:val="278"/>
              <w:adjustRightInd w:val="0"/>
              <w:snapToGrid w:val="0"/>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生活污水</w:t>
            </w:r>
          </w:p>
        </w:tc>
        <w:tc>
          <w:tcPr>
            <w:tcW w:w="731" w:type="pct"/>
            <w:vAlign w:val="center"/>
          </w:tcPr>
          <w:p w14:paraId="226497BF">
            <w:pPr>
              <w:pStyle w:val="278"/>
              <w:adjustRightInd w:val="0"/>
              <w:snapToGrid w:val="0"/>
              <w:spacing w:line="300" w:lineRule="exact"/>
              <w:rPr>
                <w:rFonts w:hint="eastAsia" w:cs="Arial"/>
                <w:color w:val="000000" w:themeColor="text1"/>
                <w:kern w:val="2"/>
                <w14:textFill>
                  <w14:solidFill>
                    <w14:schemeClr w14:val="tx1"/>
                  </w14:solidFill>
                </w14:textFill>
              </w:rPr>
            </w:pPr>
            <w:r>
              <w:rPr>
                <w:rFonts w:hint="eastAsia" w:cs="宋体"/>
                <w:color w:val="000000" w:themeColor="text1"/>
                <w14:textFill>
                  <w14:solidFill>
                    <w14:schemeClr w14:val="tx1"/>
                  </w14:solidFill>
                </w14:textFill>
              </w:rPr>
              <w:t>624m</w:t>
            </w:r>
            <w:r>
              <w:rPr>
                <w:rFonts w:hint="eastAsia" w:cs="宋体"/>
                <w:color w:val="000000" w:themeColor="text1"/>
                <w:vertAlign w:val="superscript"/>
                <w14:textFill>
                  <w14:solidFill>
                    <w14:schemeClr w14:val="tx1"/>
                  </w14:solidFill>
                </w14:textFill>
              </w:rPr>
              <w:t>3</w:t>
            </w:r>
            <w:r>
              <w:rPr>
                <w:rFonts w:hint="eastAsia" w:cs="宋体"/>
                <w:color w:val="000000" w:themeColor="text1"/>
                <w14:textFill>
                  <w14:solidFill>
                    <w14:schemeClr w14:val="tx1"/>
                  </w14:solidFill>
                </w14:textFill>
              </w:rPr>
              <w:t>/a</w:t>
            </w:r>
          </w:p>
        </w:tc>
        <w:tc>
          <w:tcPr>
            <w:tcW w:w="511" w:type="pct"/>
            <w:vAlign w:val="center"/>
          </w:tcPr>
          <w:p w14:paraId="081E35E2">
            <w:pPr>
              <w:pStyle w:val="278"/>
              <w:adjustRightInd w:val="0"/>
              <w:snapToGrid w:val="0"/>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0</w:t>
            </w:r>
          </w:p>
        </w:tc>
        <w:tc>
          <w:tcPr>
            <w:tcW w:w="996" w:type="pct"/>
            <w:vAlign w:val="center"/>
          </w:tcPr>
          <w:p w14:paraId="0A05DB1F">
            <w:pPr>
              <w:pStyle w:val="278"/>
              <w:adjustRightInd w:val="0"/>
              <w:snapToGrid w:val="0"/>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送至吉木萨尔县污水处理厂处理</w:t>
            </w:r>
          </w:p>
        </w:tc>
      </w:tr>
      <w:tr w14:paraId="6F3B152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293" w:type="pct"/>
            <w:vAlign w:val="center"/>
          </w:tcPr>
          <w:p w14:paraId="1CA54E9D">
            <w:pPr>
              <w:pStyle w:val="278"/>
              <w:adjustRightInd w:val="0"/>
              <w:snapToGrid w:val="0"/>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噪声</w:t>
            </w:r>
          </w:p>
        </w:tc>
        <w:tc>
          <w:tcPr>
            <w:tcW w:w="926" w:type="pct"/>
            <w:vAlign w:val="center"/>
          </w:tcPr>
          <w:p w14:paraId="0CC5AF9C">
            <w:pPr>
              <w:pStyle w:val="278"/>
              <w:adjustRightInd w:val="0"/>
              <w:snapToGrid w:val="0"/>
              <w:spacing w:line="300" w:lineRule="exact"/>
              <w:rPr>
                <w:rFonts w:hint="eastAsia" w:cs="宋体"/>
                <w:color w:val="000000" w:themeColor="text1"/>
                <w:kern w:val="2"/>
                <w14:textFill>
                  <w14:solidFill>
                    <w14:schemeClr w14:val="tx1"/>
                  </w14:solidFill>
                </w14:textFill>
              </w:rPr>
            </w:pPr>
            <w:r>
              <w:rPr>
                <w:rFonts w:hint="eastAsia"/>
                <w:color w:val="000000" w:themeColor="text1"/>
                <w14:textFill>
                  <w14:solidFill>
                    <w14:schemeClr w14:val="tx1"/>
                  </w14:solidFill>
                </w14:textFill>
              </w:rPr>
              <w:t>各类机泵及巡检车辆</w:t>
            </w:r>
          </w:p>
        </w:tc>
        <w:tc>
          <w:tcPr>
            <w:tcW w:w="731" w:type="pct"/>
            <w:vAlign w:val="center"/>
          </w:tcPr>
          <w:p w14:paraId="16EEAD98">
            <w:pPr>
              <w:pStyle w:val="278"/>
              <w:adjustRightInd w:val="0"/>
              <w:snapToGrid w:val="0"/>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噪声</w:t>
            </w:r>
          </w:p>
        </w:tc>
        <w:tc>
          <w:tcPr>
            <w:tcW w:w="812" w:type="pct"/>
            <w:vAlign w:val="center"/>
          </w:tcPr>
          <w:p w14:paraId="5D86635A">
            <w:pPr>
              <w:pStyle w:val="278"/>
              <w:adjustRightInd w:val="0"/>
              <w:snapToGrid w:val="0"/>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连续等效A声级</w:t>
            </w:r>
          </w:p>
        </w:tc>
        <w:tc>
          <w:tcPr>
            <w:tcW w:w="731" w:type="pct"/>
            <w:vAlign w:val="center"/>
          </w:tcPr>
          <w:p w14:paraId="079E6A50">
            <w:pPr>
              <w:pStyle w:val="278"/>
              <w:adjustRightInd w:val="0"/>
              <w:snapToGrid w:val="0"/>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511" w:type="pct"/>
            <w:vAlign w:val="center"/>
          </w:tcPr>
          <w:p w14:paraId="636120C7">
            <w:pPr>
              <w:pStyle w:val="278"/>
              <w:adjustRightInd w:val="0"/>
              <w:snapToGrid w:val="0"/>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996" w:type="pct"/>
            <w:vAlign w:val="center"/>
          </w:tcPr>
          <w:p w14:paraId="20336875">
            <w:pPr>
              <w:pStyle w:val="278"/>
              <w:adjustRightInd w:val="0"/>
              <w:snapToGrid w:val="0"/>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采用低噪声设备、基础减振</w:t>
            </w:r>
          </w:p>
        </w:tc>
      </w:tr>
      <w:tr w14:paraId="3AF55D2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293" w:type="pct"/>
            <w:vMerge w:val="restart"/>
            <w:vAlign w:val="center"/>
          </w:tcPr>
          <w:p w14:paraId="48A6C83D">
            <w:pPr>
              <w:pStyle w:val="278"/>
              <w:adjustRightInd w:val="0"/>
              <w:snapToGrid w:val="0"/>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固体废物</w:t>
            </w:r>
          </w:p>
        </w:tc>
        <w:tc>
          <w:tcPr>
            <w:tcW w:w="926" w:type="pct"/>
            <w:vAlign w:val="center"/>
          </w:tcPr>
          <w:p w14:paraId="415CB4FC">
            <w:pPr>
              <w:pStyle w:val="278"/>
              <w:adjustRightInd w:val="0"/>
              <w:snapToGrid w:val="0"/>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设备检维修</w:t>
            </w:r>
          </w:p>
        </w:tc>
        <w:tc>
          <w:tcPr>
            <w:tcW w:w="731" w:type="pct"/>
            <w:vAlign w:val="center"/>
          </w:tcPr>
          <w:p w14:paraId="1C9805CF">
            <w:pPr>
              <w:pStyle w:val="278"/>
              <w:adjustRightInd w:val="0"/>
              <w:snapToGrid w:val="0"/>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废润滑油</w:t>
            </w:r>
          </w:p>
        </w:tc>
        <w:tc>
          <w:tcPr>
            <w:tcW w:w="812" w:type="pct"/>
            <w:vAlign w:val="center"/>
          </w:tcPr>
          <w:p w14:paraId="0F239D02">
            <w:pPr>
              <w:pStyle w:val="278"/>
              <w:adjustRightInd w:val="0"/>
              <w:snapToGrid w:val="0"/>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废润滑油</w:t>
            </w:r>
          </w:p>
        </w:tc>
        <w:tc>
          <w:tcPr>
            <w:tcW w:w="731" w:type="pct"/>
            <w:vAlign w:val="center"/>
          </w:tcPr>
          <w:p w14:paraId="644B2227">
            <w:pPr>
              <w:pStyle w:val="278"/>
              <w:adjustRightInd w:val="0"/>
              <w:snapToGrid w:val="0"/>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0.8t</w:t>
            </w:r>
            <w:r>
              <w:rPr>
                <w:color w:val="000000" w:themeColor="text1"/>
                <w14:textFill>
                  <w14:solidFill>
                    <w14:schemeClr w14:val="tx1"/>
                  </w14:solidFill>
                </w14:textFill>
              </w:rPr>
              <w:t>/a</w:t>
            </w:r>
          </w:p>
        </w:tc>
        <w:tc>
          <w:tcPr>
            <w:tcW w:w="511" w:type="pct"/>
            <w:vAlign w:val="center"/>
          </w:tcPr>
          <w:p w14:paraId="316A1680">
            <w:pPr>
              <w:pStyle w:val="278"/>
              <w:adjustRightInd w:val="0"/>
              <w:snapToGrid w:val="0"/>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0</w:t>
            </w:r>
          </w:p>
        </w:tc>
        <w:tc>
          <w:tcPr>
            <w:tcW w:w="996" w:type="pct"/>
            <w:vMerge w:val="restart"/>
            <w:vAlign w:val="center"/>
          </w:tcPr>
          <w:p w14:paraId="4DEDE84B">
            <w:pPr>
              <w:pStyle w:val="278"/>
              <w:adjustRightInd w:val="0"/>
              <w:snapToGrid w:val="0"/>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集中收集后交由有相应危险废物处理资质的单位回收处置</w:t>
            </w:r>
          </w:p>
        </w:tc>
      </w:tr>
      <w:tr w14:paraId="18D6C4A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293" w:type="pct"/>
            <w:vMerge w:val="continue"/>
            <w:vAlign w:val="center"/>
          </w:tcPr>
          <w:p w14:paraId="7202E406">
            <w:pPr>
              <w:pStyle w:val="278"/>
              <w:adjustRightInd w:val="0"/>
              <w:snapToGrid w:val="0"/>
              <w:spacing w:line="300" w:lineRule="exact"/>
              <w:rPr>
                <w:rFonts w:hint="eastAsia"/>
                <w:color w:val="000000" w:themeColor="text1"/>
                <w14:textFill>
                  <w14:solidFill>
                    <w14:schemeClr w14:val="tx1"/>
                  </w14:solidFill>
                </w14:textFill>
              </w:rPr>
            </w:pPr>
          </w:p>
        </w:tc>
        <w:tc>
          <w:tcPr>
            <w:tcW w:w="926" w:type="pct"/>
            <w:vAlign w:val="center"/>
          </w:tcPr>
          <w:p w14:paraId="73F2B1FD">
            <w:pPr>
              <w:pStyle w:val="278"/>
              <w:adjustRightInd w:val="0"/>
              <w:snapToGrid w:val="0"/>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设备检维修</w:t>
            </w:r>
          </w:p>
        </w:tc>
        <w:tc>
          <w:tcPr>
            <w:tcW w:w="731" w:type="pct"/>
            <w:vAlign w:val="center"/>
          </w:tcPr>
          <w:p w14:paraId="40A321D5">
            <w:pPr>
              <w:pStyle w:val="278"/>
              <w:adjustRightInd w:val="0"/>
              <w:snapToGrid w:val="0"/>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废油桶</w:t>
            </w:r>
          </w:p>
        </w:tc>
        <w:tc>
          <w:tcPr>
            <w:tcW w:w="812" w:type="pct"/>
            <w:vAlign w:val="center"/>
          </w:tcPr>
          <w:p w14:paraId="4D55CA03">
            <w:pPr>
              <w:pStyle w:val="278"/>
              <w:adjustRightInd w:val="0"/>
              <w:snapToGrid w:val="0"/>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废油桶</w:t>
            </w:r>
          </w:p>
        </w:tc>
        <w:tc>
          <w:tcPr>
            <w:tcW w:w="731" w:type="pct"/>
            <w:vAlign w:val="center"/>
          </w:tcPr>
          <w:p w14:paraId="6F33A290">
            <w:pPr>
              <w:pStyle w:val="278"/>
              <w:adjustRightInd w:val="0"/>
              <w:snapToGrid w:val="0"/>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0.07t</w:t>
            </w:r>
            <w:r>
              <w:rPr>
                <w:color w:val="000000" w:themeColor="text1"/>
                <w14:textFill>
                  <w14:solidFill>
                    <w14:schemeClr w14:val="tx1"/>
                  </w14:solidFill>
                </w14:textFill>
              </w:rPr>
              <w:t>/a</w:t>
            </w:r>
          </w:p>
        </w:tc>
        <w:tc>
          <w:tcPr>
            <w:tcW w:w="511" w:type="pct"/>
            <w:vAlign w:val="center"/>
          </w:tcPr>
          <w:p w14:paraId="2AF06779">
            <w:pPr>
              <w:pStyle w:val="278"/>
              <w:adjustRightInd w:val="0"/>
              <w:snapToGrid w:val="0"/>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0</w:t>
            </w:r>
          </w:p>
        </w:tc>
        <w:tc>
          <w:tcPr>
            <w:tcW w:w="996" w:type="pct"/>
            <w:vMerge w:val="continue"/>
            <w:vAlign w:val="center"/>
          </w:tcPr>
          <w:p w14:paraId="63BE5BDB">
            <w:pPr>
              <w:pStyle w:val="278"/>
              <w:adjustRightInd w:val="0"/>
              <w:snapToGrid w:val="0"/>
              <w:spacing w:line="300" w:lineRule="exact"/>
              <w:rPr>
                <w:rFonts w:hint="eastAsia"/>
                <w:color w:val="000000" w:themeColor="text1"/>
                <w14:textFill>
                  <w14:solidFill>
                    <w14:schemeClr w14:val="tx1"/>
                  </w14:solidFill>
                </w14:textFill>
              </w:rPr>
            </w:pPr>
          </w:p>
        </w:tc>
      </w:tr>
      <w:tr w14:paraId="5E6B4F2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293" w:type="pct"/>
            <w:vMerge w:val="continue"/>
            <w:vAlign w:val="center"/>
          </w:tcPr>
          <w:p w14:paraId="02437B03">
            <w:pPr>
              <w:pStyle w:val="278"/>
              <w:adjustRightInd w:val="0"/>
              <w:snapToGrid w:val="0"/>
              <w:spacing w:line="300" w:lineRule="exact"/>
              <w:rPr>
                <w:rFonts w:hint="eastAsia"/>
                <w:color w:val="000000" w:themeColor="text1"/>
                <w14:textFill>
                  <w14:solidFill>
                    <w14:schemeClr w14:val="tx1"/>
                  </w14:solidFill>
                </w14:textFill>
              </w:rPr>
            </w:pPr>
          </w:p>
        </w:tc>
        <w:tc>
          <w:tcPr>
            <w:tcW w:w="926" w:type="pct"/>
            <w:vAlign w:val="center"/>
          </w:tcPr>
          <w:p w14:paraId="71D2DFFA">
            <w:pPr>
              <w:pStyle w:val="278"/>
              <w:adjustRightInd w:val="0"/>
              <w:snapToGrid w:val="0"/>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设备检维修</w:t>
            </w:r>
          </w:p>
        </w:tc>
        <w:tc>
          <w:tcPr>
            <w:tcW w:w="731" w:type="pct"/>
            <w:vAlign w:val="center"/>
          </w:tcPr>
          <w:p w14:paraId="41E77B60">
            <w:pPr>
              <w:pStyle w:val="278"/>
              <w:adjustRightInd w:val="0"/>
              <w:snapToGrid w:val="0"/>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废含油抹布、劳保用品</w:t>
            </w:r>
          </w:p>
        </w:tc>
        <w:tc>
          <w:tcPr>
            <w:tcW w:w="812" w:type="pct"/>
            <w:vAlign w:val="center"/>
          </w:tcPr>
          <w:p w14:paraId="6874DE86">
            <w:pPr>
              <w:pStyle w:val="278"/>
              <w:adjustRightInd w:val="0"/>
              <w:snapToGrid w:val="0"/>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废含油抹布、劳保用品</w:t>
            </w:r>
          </w:p>
        </w:tc>
        <w:tc>
          <w:tcPr>
            <w:tcW w:w="731" w:type="pct"/>
            <w:vAlign w:val="center"/>
          </w:tcPr>
          <w:p w14:paraId="6689B3E9">
            <w:pPr>
              <w:pStyle w:val="278"/>
              <w:adjustRightInd w:val="0"/>
              <w:snapToGrid w:val="0"/>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0.05t</w:t>
            </w:r>
            <w:r>
              <w:rPr>
                <w:color w:val="000000" w:themeColor="text1"/>
                <w14:textFill>
                  <w14:solidFill>
                    <w14:schemeClr w14:val="tx1"/>
                  </w14:solidFill>
                </w14:textFill>
              </w:rPr>
              <w:t>/a</w:t>
            </w:r>
          </w:p>
        </w:tc>
        <w:tc>
          <w:tcPr>
            <w:tcW w:w="511" w:type="pct"/>
            <w:vAlign w:val="center"/>
          </w:tcPr>
          <w:p w14:paraId="4BC7EDCD">
            <w:pPr>
              <w:pStyle w:val="278"/>
              <w:adjustRightInd w:val="0"/>
              <w:snapToGrid w:val="0"/>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0</w:t>
            </w:r>
          </w:p>
        </w:tc>
        <w:tc>
          <w:tcPr>
            <w:tcW w:w="996" w:type="pct"/>
            <w:vMerge w:val="continue"/>
            <w:vAlign w:val="center"/>
          </w:tcPr>
          <w:p w14:paraId="4FFAAA7D">
            <w:pPr>
              <w:pStyle w:val="278"/>
              <w:adjustRightInd w:val="0"/>
              <w:snapToGrid w:val="0"/>
              <w:spacing w:line="300" w:lineRule="exact"/>
              <w:rPr>
                <w:rFonts w:hint="eastAsia"/>
                <w:color w:val="000000" w:themeColor="text1"/>
                <w14:textFill>
                  <w14:solidFill>
                    <w14:schemeClr w14:val="tx1"/>
                  </w14:solidFill>
                </w14:textFill>
              </w:rPr>
            </w:pPr>
          </w:p>
        </w:tc>
      </w:tr>
      <w:tr w14:paraId="2F39B18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293" w:type="pct"/>
            <w:vMerge w:val="continue"/>
            <w:vAlign w:val="center"/>
          </w:tcPr>
          <w:p w14:paraId="55C891E3">
            <w:pPr>
              <w:pStyle w:val="278"/>
              <w:adjustRightInd w:val="0"/>
              <w:snapToGrid w:val="0"/>
              <w:spacing w:line="300" w:lineRule="exact"/>
              <w:rPr>
                <w:rFonts w:hint="eastAsia"/>
                <w:color w:val="000000" w:themeColor="text1"/>
                <w14:textFill>
                  <w14:solidFill>
                    <w14:schemeClr w14:val="tx1"/>
                  </w14:solidFill>
                </w14:textFill>
              </w:rPr>
            </w:pPr>
          </w:p>
        </w:tc>
        <w:tc>
          <w:tcPr>
            <w:tcW w:w="926" w:type="pct"/>
            <w:vAlign w:val="center"/>
          </w:tcPr>
          <w:p w14:paraId="0A91A1F0">
            <w:pPr>
              <w:pStyle w:val="278"/>
              <w:adjustRightInd w:val="0"/>
              <w:snapToGrid w:val="0"/>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井下作业</w:t>
            </w:r>
          </w:p>
        </w:tc>
        <w:tc>
          <w:tcPr>
            <w:tcW w:w="731" w:type="pct"/>
            <w:vAlign w:val="center"/>
          </w:tcPr>
          <w:p w14:paraId="0FFE19F4">
            <w:pPr>
              <w:pStyle w:val="278"/>
              <w:adjustRightInd w:val="0"/>
              <w:snapToGrid w:val="0"/>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沾油废防渗材料</w:t>
            </w:r>
          </w:p>
        </w:tc>
        <w:tc>
          <w:tcPr>
            <w:tcW w:w="812" w:type="pct"/>
            <w:vAlign w:val="center"/>
          </w:tcPr>
          <w:p w14:paraId="22366E19">
            <w:pPr>
              <w:pStyle w:val="278"/>
              <w:adjustRightInd w:val="0"/>
              <w:snapToGrid w:val="0"/>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沾油废防渗材料</w:t>
            </w:r>
          </w:p>
        </w:tc>
        <w:tc>
          <w:tcPr>
            <w:tcW w:w="731" w:type="pct"/>
            <w:vAlign w:val="center"/>
          </w:tcPr>
          <w:p w14:paraId="1D2A815D">
            <w:pPr>
              <w:pStyle w:val="278"/>
              <w:adjustRightInd w:val="0"/>
              <w:snapToGrid w:val="0"/>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0.84t</w:t>
            </w:r>
            <w:r>
              <w:rPr>
                <w:color w:val="000000" w:themeColor="text1"/>
                <w14:textFill>
                  <w14:solidFill>
                    <w14:schemeClr w14:val="tx1"/>
                  </w14:solidFill>
                </w14:textFill>
              </w:rPr>
              <w:t>/a</w:t>
            </w:r>
          </w:p>
        </w:tc>
        <w:tc>
          <w:tcPr>
            <w:tcW w:w="511" w:type="pct"/>
            <w:vAlign w:val="center"/>
          </w:tcPr>
          <w:p w14:paraId="02B17CD1">
            <w:pPr>
              <w:pStyle w:val="278"/>
              <w:adjustRightInd w:val="0"/>
              <w:snapToGrid w:val="0"/>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0</w:t>
            </w:r>
          </w:p>
        </w:tc>
        <w:tc>
          <w:tcPr>
            <w:tcW w:w="996" w:type="pct"/>
            <w:vMerge w:val="continue"/>
            <w:vAlign w:val="center"/>
          </w:tcPr>
          <w:p w14:paraId="6E0E21F5">
            <w:pPr>
              <w:pStyle w:val="278"/>
              <w:adjustRightInd w:val="0"/>
              <w:snapToGrid w:val="0"/>
              <w:spacing w:line="300" w:lineRule="exact"/>
              <w:rPr>
                <w:rFonts w:hint="eastAsia"/>
                <w:color w:val="000000" w:themeColor="text1"/>
                <w14:textFill>
                  <w14:solidFill>
                    <w14:schemeClr w14:val="tx1"/>
                  </w14:solidFill>
                </w14:textFill>
              </w:rPr>
            </w:pPr>
          </w:p>
        </w:tc>
      </w:tr>
      <w:tr w14:paraId="6E0F0EA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293" w:type="pct"/>
            <w:vMerge w:val="continue"/>
            <w:vAlign w:val="center"/>
          </w:tcPr>
          <w:p w14:paraId="535BC295">
            <w:pPr>
              <w:pStyle w:val="278"/>
              <w:adjustRightInd w:val="0"/>
              <w:snapToGrid w:val="0"/>
              <w:spacing w:line="300" w:lineRule="exact"/>
              <w:rPr>
                <w:rFonts w:hint="eastAsia"/>
                <w:color w:val="000000" w:themeColor="text1"/>
                <w14:textFill>
                  <w14:solidFill>
                    <w14:schemeClr w14:val="tx1"/>
                  </w14:solidFill>
                </w14:textFill>
              </w:rPr>
            </w:pPr>
          </w:p>
        </w:tc>
        <w:tc>
          <w:tcPr>
            <w:tcW w:w="926" w:type="pct"/>
            <w:vAlign w:val="center"/>
          </w:tcPr>
          <w:p w14:paraId="0244BFB9">
            <w:pPr>
              <w:pStyle w:val="278"/>
              <w:adjustRightInd w:val="0"/>
              <w:snapToGrid w:val="0"/>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伴生气脱水</w:t>
            </w:r>
          </w:p>
        </w:tc>
        <w:tc>
          <w:tcPr>
            <w:tcW w:w="731" w:type="pct"/>
            <w:vAlign w:val="center"/>
          </w:tcPr>
          <w:p w14:paraId="227BDDC5">
            <w:pPr>
              <w:pStyle w:val="278"/>
              <w:adjustRightInd w:val="0"/>
              <w:snapToGrid w:val="0"/>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废分子筛</w:t>
            </w:r>
          </w:p>
        </w:tc>
        <w:tc>
          <w:tcPr>
            <w:tcW w:w="812" w:type="pct"/>
            <w:vAlign w:val="center"/>
          </w:tcPr>
          <w:p w14:paraId="04F7A5F0">
            <w:pPr>
              <w:pStyle w:val="278"/>
              <w:adjustRightInd w:val="0"/>
              <w:snapToGrid w:val="0"/>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废分子筛</w:t>
            </w:r>
          </w:p>
        </w:tc>
        <w:tc>
          <w:tcPr>
            <w:tcW w:w="731" w:type="pct"/>
            <w:vAlign w:val="center"/>
          </w:tcPr>
          <w:p w14:paraId="2BA5AABA">
            <w:pPr>
              <w:pStyle w:val="278"/>
              <w:adjustRightInd w:val="0"/>
              <w:snapToGrid w:val="0"/>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2m</w:t>
            </w:r>
            <w:r>
              <w:rPr>
                <w:rFonts w:hint="eastAsia"/>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/次</w:t>
            </w:r>
          </w:p>
        </w:tc>
        <w:tc>
          <w:tcPr>
            <w:tcW w:w="511" w:type="pct"/>
            <w:vAlign w:val="center"/>
          </w:tcPr>
          <w:p w14:paraId="0D936070">
            <w:pPr>
              <w:pStyle w:val="278"/>
              <w:adjustRightInd w:val="0"/>
              <w:snapToGrid w:val="0"/>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0</w:t>
            </w:r>
          </w:p>
        </w:tc>
        <w:tc>
          <w:tcPr>
            <w:tcW w:w="996" w:type="pct"/>
            <w:vMerge w:val="continue"/>
            <w:vAlign w:val="center"/>
          </w:tcPr>
          <w:p w14:paraId="69E76B5F">
            <w:pPr>
              <w:pStyle w:val="278"/>
              <w:adjustRightInd w:val="0"/>
              <w:snapToGrid w:val="0"/>
              <w:spacing w:line="300" w:lineRule="exact"/>
              <w:rPr>
                <w:rFonts w:hint="eastAsia"/>
                <w:color w:val="000000" w:themeColor="text1"/>
                <w14:textFill>
                  <w14:solidFill>
                    <w14:schemeClr w14:val="tx1"/>
                  </w14:solidFill>
                </w14:textFill>
              </w:rPr>
            </w:pPr>
          </w:p>
        </w:tc>
      </w:tr>
      <w:tr w14:paraId="24B4B9E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293" w:type="pct"/>
            <w:vMerge w:val="continue"/>
            <w:vAlign w:val="center"/>
          </w:tcPr>
          <w:p w14:paraId="52B2E3A7">
            <w:pPr>
              <w:pStyle w:val="278"/>
              <w:adjustRightInd w:val="0"/>
              <w:snapToGrid w:val="0"/>
              <w:spacing w:line="300" w:lineRule="exact"/>
              <w:rPr>
                <w:rFonts w:hint="eastAsia"/>
                <w:color w:val="000000" w:themeColor="text1"/>
                <w14:textFill>
                  <w14:solidFill>
                    <w14:schemeClr w14:val="tx1"/>
                  </w14:solidFill>
                </w14:textFill>
              </w:rPr>
            </w:pPr>
          </w:p>
        </w:tc>
        <w:tc>
          <w:tcPr>
            <w:tcW w:w="926" w:type="pct"/>
            <w:vAlign w:val="center"/>
          </w:tcPr>
          <w:p w14:paraId="33D47195">
            <w:pPr>
              <w:pStyle w:val="278"/>
              <w:adjustRightInd w:val="0"/>
              <w:snapToGrid w:val="0"/>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脱硫加药装置、缓蚀剂、消泡剂加入</w:t>
            </w:r>
          </w:p>
        </w:tc>
        <w:tc>
          <w:tcPr>
            <w:tcW w:w="731" w:type="pct"/>
            <w:vAlign w:val="center"/>
          </w:tcPr>
          <w:p w14:paraId="78163AE4">
            <w:pPr>
              <w:pStyle w:val="278"/>
              <w:adjustRightInd w:val="0"/>
              <w:snapToGrid w:val="0"/>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废包装物</w:t>
            </w:r>
          </w:p>
        </w:tc>
        <w:tc>
          <w:tcPr>
            <w:tcW w:w="812" w:type="pct"/>
            <w:vAlign w:val="center"/>
          </w:tcPr>
          <w:p w14:paraId="07DE2DE6">
            <w:pPr>
              <w:pStyle w:val="278"/>
              <w:adjustRightInd w:val="0"/>
              <w:snapToGrid w:val="0"/>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废包装物</w:t>
            </w:r>
          </w:p>
        </w:tc>
        <w:tc>
          <w:tcPr>
            <w:tcW w:w="731" w:type="pct"/>
            <w:vAlign w:val="center"/>
          </w:tcPr>
          <w:p w14:paraId="719387C6">
            <w:pPr>
              <w:pStyle w:val="278"/>
              <w:adjustRightInd w:val="0"/>
              <w:snapToGrid w:val="0"/>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0.2t/a</w:t>
            </w:r>
          </w:p>
        </w:tc>
        <w:tc>
          <w:tcPr>
            <w:tcW w:w="511" w:type="pct"/>
            <w:vAlign w:val="center"/>
          </w:tcPr>
          <w:p w14:paraId="43CCB21D">
            <w:pPr>
              <w:pStyle w:val="278"/>
              <w:adjustRightInd w:val="0"/>
              <w:snapToGrid w:val="0"/>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0</w:t>
            </w:r>
          </w:p>
        </w:tc>
        <w:tc>
          <w:tcPr>
            <w:tcW w:w="996" w:type="pct"/>
            <w:vAlign w:val="center"/>
          </w:tcPr>
          <w:p w14:paraId="1ED9CDB1">
            <w:pPr>
              <w:pStyle w:val="278"/>
              <w:adjustRightInd w:val="0"/>
              <w:snapToGrid w:val="0"/>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厂家回收利用</w:t>
            </w:r>
          </w:p>
        </w:tc>
      </w:tr>
      <w:tr w14:paraId="452F625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293" w:type="pct"/>
            <w:vMerge w:val="continue"/>
            <w:vAlign w:val="center"/>
          </w:tcPr>
          <w:p w14:paraId="444C61AE">
            <w:pPr>
              <w:pStyle w:val="278"/>
              <w:adjustRightInd w:val="0"/>
              <w:snapToGrid w:val="0"/>
              <w:spacing w:line="300" w:lineRule="exact"/>
              <w:rPr>
                <w:rFonts w:hint="eastAsia"/>
                <w:color w:val="000000" w:themeColor="text1"/>
                <w14:textFill>
                  <w14:solidFill>
                    <w14:schemeClr w14:val="tx1"/>
                  </w14:solidFill>
                </w14:textFill>
              </w:rPr>
            </w:pPr>
          </w:p>
        </w:tc>
        <w:tc>
          <w:tcPr>
            <w:tcW w:w="926" w:type="pct"/>
            <w:vAlign w:val="center"/>
          </w:tcPr>
          <w:p w14:paraId="414C21BC">
            <w:pPr>
              <w:pStyle w:val="278"/>
              <w:adjustRightInd w:val="0"/>
              <w:snapToGrid w:val="0"/>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工作人员</w:t>
            </w:r>
          </w:p>
        </w:tc>
        <w:tc>
          <w:tcPr>
            <w:tcW w:w="731" w:type="pct"/>
            <w:vAlign w:val="center"/>
          </w:tcPr>
          <w:p w14:paraId="20B6F4C0">
            <w:pPr>
              <w:pStyle w:val="278"/>
              <w:adjustRightInd w:val="0"/>
              <w:snapToGrid w:val="0"/>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生活垃圾</w:t>
            </w:r>
          </w:p>
        </w:tc>
        <w:tc>
          <w:tcPr>
            <w:tcW w:w="812" w:type="pct"/>
            <w:vAlign w:val="center"/>
          </w:tcPr>
          <w:p w14:paraId="25D84038">
            <w:pPr>
              <w:pStyle w:val="278"/>
              <w:adjustRightInd w:val="0"/>
              <w:snapToGrid w:val="0"/>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生活垃圾</w:t>
            </w:r>
          </w:p>
        </w:tc>
        <w:tc>
          <w:tcPr>
            <w:tcW w:w="731" w:type="pct"/>
            <w:vAlign w:val="center"/>
          </w:tcPr>
          <w:p w14:paraId="74246F58">
            <w:pPr>
              <w:pStyle w:val="278"/>
              <w:adjustRightInd w:val="0"/>
              <w:snapToGrid w:val="0"/>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19.5t/a</w:t>
            </w:r>
          </w:p>
        </w:tc>
        <w:tc>
          <w:tcPr>
            <w:tcW w:w="511" w:type="pct"/>
            <w:vAlign w:val="center"/>
          </w:tcPr>
          <w:p w14:paraId="34D07C5B">
            <w:pPr>
              <w:pStyle w:val="278"/>
              <w:adjustRightInd w:val="0"/>
              <w:snapToGrid w:val="0"/>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0</w:t>
            </w:r>
          </w:p>
        </w:tc>
        <w:tc>
          <w:tcPr>
            <w:tcW w:w="996" w:type="pct"/>
            <w:vAlign w:val="center"/>
          </w:tcPr>
          <w:p w14:paraId="3D3F6C6D">
            <w:pPr>
              <w:pStyle w:val="278"/>
              <w:adjustRightInd w:val="0"/>
              <w:snapToGrid w:val="0"/>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送至吉木萨尔县生活垃圾填埋场</w:t>
            </w:r>
          </w:p>
        </w:tc>
      </w:tr>
      <w:bookmarkEnd w:id="310"/>
      <w:bookmarkEnd w:id="311"/>
      <w:bookmarkEnd w:id="312"/>
      <w:bookmarkEnd w:id="354"/>
      <w:bookmarkEnd w:id="355"/>
      <w:bookmarkEnd w:id="356"/>
    </w:tbl>
    <w:p w14:paraId="45DDA902">
      <w:pPr>
        <w:pStyle w:val="109"/>
        <w:rPr>
          <w:rFonts w:hint="eastAsia"/>
          <w:color w:val="000000" w:themeColor="text1"/>
          <w14:textFill>
            <w14:solidFill>
              <w14:schemeClr w14:val="tx1"/>
            </w14:solidFill>
          </w14:textFill>
        </w:rPr>
      </w:pPr>
      <w:bookmarkStart w:id="357" w:name="OLE_LINK20"/>
      <w:bookmarkStart w:id="358" w:name="_Toc475624471"/>
      <w:bookmarkStart w:id="359" w:name="_Hlk17367467"/>
    </w:p>
    <w:p w14:paraId="63A98B0A">
      <w:pPr>
        <w:pStyle w:val="109"/>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表3.3-15</w:t>
      </w:r>
      <w:r>
        <w:rPr>
          <w:color w:val="000000" w:themeColor="text1"/>
          <w14:textFill>
            <w14:solidFill>
              <w14:schemeClr w14:val="tx1"/>
            </w14:solidFill>
          </w14:textFill>
        </w:rPr>
        <w:t xml:space="preserve">  本工程及现有工程排放量“三本账”一览表</w:t>
      </w:r>
    </w:p>
    <w:tbl>
      <w:tblPr>
        <w:tblStyle w:val="51"/>
        <w:tblW w:w="4998"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28" w:type="dxa"/>
          <w:bottom w:w="0" w:type="dxa"/>
          <w:right w:w="28" w:type="dxa"/>
        </w:tblCellMar>
      </w:tblPr>
      <w:tblGrid>
        <w:gridCol w:w="548"/>
        <w:gridCol w:w="1294"/>
        <w:gridCol w:w="1792"/>
        <w:gridCol w:w="1135"/>
        <w:gridCol w:w="1451"/>
        <w:gridCol w:w="1222"/>
        <w:gridCol w:w="1340"/>
      </w:tblGrid>
      <w:tr w14:paraId="2AB1C04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trPr>
        <w:tc>
          <w:tcPr>
            <w:tcW w:w="312" w:type="pct"/>
            <w:vAlign w:val="center"/>
          </w:tcPr>
          <w:p w14:paraId="7A47EC40">
            <w:pPr>
              <w:pStyle w:val="286"/>
              <w:adjustRightInd w:val="0"/>
              <w:snapToGrid w:val="0"/>
              <w:spacing w:line="300" w:lineRule="exact"/>
              <w:rPr>
                <w:rFonts w:hint="eastAsia" w:cs="宋体"/>
                <w:color w:val="000000" w:themeColor="text1"/>
                <w:sz w:val="21"/>
                <w14:textFill>
                  <w14:solidFill>
                    <w14:schemeClr w14:val="tx1"/>
                  </w14:solidFill>
                </w14:textFill>
              </w:rPr>
            </w:pPr>
            <w:r>
              <w:rPr>
                <w:rFonts w:hint="eastAsia" w:cs="宋体"/>
                <w:color w:val="000000" w:themeColor="text1"/>
                <w:sz w:val="21"/>
                <w14:textFill>
                  <w14:solidFill>
                    <w14:schemeClr w14:val="tx1"/>
                  </w14:solidFill>
                </w14:textFill>
              </w:rPr>
              <w:t>类别</w:t>
            </w:r>
          </w:p>
        </w:tc>
        <w:tc>
          <w:tcPr>
            <w:tcW w:w="737" w:type="pct"/>
            <w:vAlign w:val="center"/>
          </w:tcPr>
          <w:p w14:paraId="343F497D">
            <w:pPr>
              <w:pStyle w:val="286"/>
              <w:adjustRightInd w:val="0"/>
              <w:snapToGrid w:val="0"/>
              <w:spacing w:line="300" w:lineRule="exact"/>
              <w:rPr>
                <w:rFonts w:hint="eastAsia" w:cs="宋体"/>
                <w:color w:val="000000" w:themeColor="text1"/>
                <w:sz w:val="21"/>
                <w14:textFill>
                  <w14:solidFill>
                    <w14:schemeClr w14:val="tx1"/>
                  </w14:solidFill>
                </w14:textFill>
              </w:rPr>
            </w:pPr>
            <w:r>
              <w:rPr>
                <w:rFonts w:hint="eastAsia" w:cs="宋体"/>
                <w:color w:val="000000" w:themeColor="text1"/>
                <w:sz w:val="21"/>
                <w14:textFill>
                  <w14:solidFill>
                    <w14:schemeClr w14:val="tx1"/>
                  </w14:solidFill>
                </w14:textFill>
              </w:rPr>
              <w:t>污染源</w:t>
            </w:r>
          </w:p>
        </w:tc>
        <w:tc>
          <w:tcPr>
            <w:tcW w:w="1020" w:type="pct"/>
            <w:vAlign w:val="center"/>
          </w:tcPr>
          <w:p w14:paraId="7AF30C29">
            <w:pPr>
              <w:pStyle w:val="286"/>
              <w:adjustRightInd w:val="0"/>
              <w:snapToGrid w:val="0"/>
              <w:spacing w:line="300" w:lineRule="exact"/>
              <w:rPr>
                <w:rFonts w:hint="eastAsia" w:cs="宋体"/>
                <w:color w:val="000000" w:themeColor="text1"/>
                <w:sz w:val="21"/>
                <w14:textFill>
                  <w14:solidFill>
                    <w14:schemeClr w14:val="tx1"/>
                  </w14:solidFill>
                </w14:textFill>
              </w:rPr>
            </w:pPr>
            <w:r>
              <w:rPr>
                <w:rFonts w:hint="eastAsia" w:cs="宋体"/>
                <w:color w:val="000000" w:themeColor="text1"/>
                <w:sz w:val="21"/>
                <w14:textFill>
                  <w14:solidFill>
                    <w14:schemeClr w14:val="tx1"/>
                  </w14:solidFill>
                </w14:textFill>
              </w:rPr>
              <w:t>污染物名称</w:t>
            </w:r>
          </w:p>
        </w:tc>
        <w:tc>
          <w:tcPr>
            <w:tcW w:w="646" w:type="pct"/>
            <w:vAlign w:val="center"/>
          </w:tcPr>
          <w:p w14:paraId="5926733C">
            <w:pPr>
              <w:pStyle w:val="286"/>
              <w:adjustRightInd w:val="0"/>
              <w:snapToGrid w:val="0"/>
              <w:spacing w:line="300" w:lineRule="exact"/>
              <w:rPr>
                <w:rFonts w:hint="eastAsia" w:cs="宋体"/>
                <w:color w:val="000000" w:themeColor="text1"/>
                <w:sz w:val="21"/>
                <w14:textFill>
                  <w14:solidFill>
                    <w14:schemeClr w14:val="tx1"/>
                  </w14:solidFill>
                </w14:textFill>
              </w:rPr>
            </w:pPr>
            <w:r>
              <w:rPr>
                <w:rFonts w:hint="eastAsia" w:cs="宋体"/>
                <w:color w:val="000000" w:themeColor="text1"/>
                <w:sz w:val="21"/>
                <w14:textFill>
                  <w14:solidFill>
                    <w14:schemeClr w14:val="tx1"/>
                  </w14:solidFill>
                </w14:textFill>
              </w:rPr>
              <w:t>现有工程排放量</w:t>
            </w:r>
          </w:p>
        </w:tc>
        <w:tc>
          <w:tcPr>
            <w:tcW w:w="826" w:type="pct"/>
            <w:vAlign w:val="center"/>
          </w:tcPr>
          <w:p w14:paraId="331FA5D5">
            <w:pPr>
              <w:pStyle w:val="286"/>
              <w:adjustRightInd w:val="0"/>
              <w:snapToGrid w:val="0"/>
              <w:spacing w:line="300" w:lineRule="exact"/>
              <w:rPr>
                <w:rFonts w:hint="eastAsia" w:cs="宋体"/>
                <w:color w:val="000000" w:themeColor="text1"/>
                <w:sz w:val="21"/>
                <w14:textFill>
                  <w14:solidFill>
                    <w14:schemeClr w14:val="tx1"/>
                  </w14:solidFill>
                </w14:textFill>
              </w:rPr>
            </w:pPr>
            <w:r>
              <w:rPr>
                <w:rFonts w:hint="eastAsia" w:cs="宋体"/>
                <w:color w:val="000000" w:themeColor="text1"/>
                <w:sz w:val="21"/>
                <w14:textFill>
                  <w14:solidFill>
                    <w14:schemeClr w14:val="tx1"/>
                  </w14:solidFill>
                </w14:textFill>
              </w:rPr>
              <w:t>拟建工程排放量</w:t>
            </w:r>
          </w:p>
        </w:tc>
        <w:tc>
          <w:tcPr>
            <w:tcW w:w="696" w:type="pct"/>
            <w:vAlign w:val="center"/>
          </w:tcPr>
          <w:p w14:paraId="60299878">
            <w:pPr>
              <w:pStyle w:val="286"/>
              <w:adjustRightInd w:val="0"/>
              <w:snapToGrid w:val="0"/>
              <w:spacing w:line="300" w:lineRule="exact"/>
              <w:rPr>
                <w:rFonts w:hint="eastAsia" w:cs="宋体"/>
                <w:color w:val="000000" w:themeColor="text1"/>
                <w:sz w:val="21"/>
                <w14:textFill>
                  <w14:solidFill>
                    <w14:schemeClr w14:val="tx1"/>
                  </w14:solidFill>
                </w14:textFill>
              </w:rPr>
            </w:pPr>
            <w:r>
              <w:rPr>
                <w:rFonts w:hint="eastAsia" w:cs="宋体"/>
                <w:color w:val="000000" w:themeColor="text1"/>
                <w:sz w:val="21"/>
                <w14:textFill>
                  <w14:solidFill>
                    <w14:schemeClr w14:val="tx1"/>
                  </w14:solidFill>
                </w14:textFill>
              </w:rPr>
              <w:t>以新带老削减量</w:t>
            </w:r>
          </w:p>
        </w:tc>
        <w:tc>
          <w:tcPr>
            <w:tcW w:w="763" w:type="pct"/>
            <w:vAlign w:val="center"/>
          </w:tcPr>
          <w:p w14:paraId="36CB275C">
            <w:pPr>
              <w:pStyle w:val="286"/>
              <w:adjustRightInd w:val="0"/>
              <w:snapToGrid w:val="0"/>
              <w:spacing w:line="300" w:lineRule="exact"/>
              <w:rPr>
                <w:rFonts w:hint="eastAsia" w:cs="宋体"/>
                <w:color w:val="000000" w:themeColor="text1"/>
                <w:sz w:val="21"/>
                <w14:textFill>
                  <w14:solidFill>
                    <w14:schemeClr w14:val="tx1"/>
                  </w14:solidFill>
                </w14:textFill>
              </w:rPr>
            </w:pPr>
            <w:r>
              <w:rPr>
                <w:rFonts w:hint="eastAsia" w:cs="宋体"/>
                <w:color w:val="000000" w:themeColor="text1"/>
                <w:sz w:val="21"/>
                <w14:textFill>
                  <w14:solidFill>
                    <w14:schemeClr w14:val="tx1"/>
                  </w14:solidFill>
                </w14:textFill>
              </w:rPr>
              <w:t>总排放量</w:t>
            </w:r>
          </w:p>
        </w:tc>
      </w:tr>
      <w:tr w14:paraId="4CF6AF3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trPr>
        <w:tc>
          <w:tcPr>
            <w:tcW w:w="312" w:type="pct"/>
            <w:vMerge w:val="restart"/>
            <w:vAlign w:val="center"/>
          </w:tcPr>
          <w:p w14:paraId="00292A33">
            <w:pPr>
              <w:pStyle w:val="286"/>
              <w:adjustRightInd w:val="0"/>
              <w:snapToGrid w:val="0"/>
              <w:spacing w:line="300" w:lineRule="exact"/>
              <w:rPr>
                <w:rFonts w:hint="eastAsia" w:cs="宋体"/>
                <w:color w:val="000000" w:themeColor="text1"/>
                <w:sz w:val="21"/>
                <w14:textFill>
                  <w14:solidFill>
                    <w14:schemeClr w14:val="tx1"/>
                  </w14:solidFill>
                </w14:textFill>
              </w:rPr>
            </w:pPr>
            <w:r>
              <w:rPr>
                <w:rFonts w:hint="eastAsia" w:cs="宋体"/>
                <w:color w:val="000000" w:themeColor="text1"/>
                <w:sz w:val="21"/>
                <w14:textFill>
                  <w14:solidFill>
                    <w14:schemeClr w14:val="tx1"/>
                  </w14:solidFill>
                </w14:textFill>
              </w:rPr>
              <w:t>废气</w:t>
            </w:r>
          </w:p>
        </w:tc>
        <w:tc>
          <w:tcPr>
            <w:tcW w:w="737" w:type="pct"/>
            <w:vMerge w:val="restart"/>
            <w:vAlign w:val="center"/>
          </w:tcPr>
          <w:p w14:paraId="46449CED">
            <w:pPr>
              <w:pStyle w:val="286"/>
              <w:adjustRightInd w:val="0"/>
              <w:snapToGrid w:val="0"/>
              <w:spacing w:line="300" w:lineRule="exact"/>
              <w:rPr>
                <w:rFonts w:hint="eastAsia" w:cs="宋体"/>
                <w:color w:val="000000" w:themeColor="text1"/>
                <w:sz w:val="21"/>
                <w14:textFill>
                  <w14:solidFill>
                    <w14:schemeClr w14:val="tx1"/>
                  </w14:solidFill>
                </w14:textFill>
              </w:rPr>
            </w:pPr>
            <w:r>
              <w:rPr>
                <w:rFonts w:hint="eastAsia" w:cs="宋体"/>
                <w:color w:val="000000" w:themeColor="text1"/>
                <w:sz w:val="21"/>
                <w14:textFill>
                  <w14:solidFill>
                    <w14:schemeClr w14:val="tx1"/>
                  </w14:solidFill>
                </w14:textFill>
              </w:rPr>
              <w:t>无组织排放</w:t>
            </w:r>
          </w:p>
        </w:tc>
        <w:tc>
          <w:tcPr>
            <w:tcW w:w="1020" w:type="pct"/>
            <w:vAlign w:val="center"/>
          </w:tcPr>
          <w:p w14:paraId="514504FE">
            <w:pPr>
              <w:pStyle w:val="286"/>
              <w:adjustRightInd w:val="0"/>
              <w:snapToGrid w:val="0"/>
              <w:spacing w:line="300" w:lineRule="exact"/>
              <w:rPr>
                <w:rFonts w:hint="eastAsia" w:cs="宋体"/>
                <w:color w:val="000000" w:themeColor="text1"/>
                <w:sz w:val="21"/>
                <w14:textFill>
                  <w14:solidFill>
                    <w14:schemeClr w14:val="tx1"/>
                  </w14:solidFill>
                </w14:textFill>
              </w:rPr>
            </w:pPr>
            <w:r>
              <w:rPr>
                <w:rFonts w:hint="eastAsia" w:cs="宋体"/>
                <w:color w:val="000000" w:themeColor="text1"/>
                <w:sz w:val="21"/>
                <w14:textFill>
                  <w14:solidFill>
                    <w14:schemeClr w14:val="tx1"/>
                  </w14:solidFill>
                </w14:textFill>
              </w:rPr>
              <w:t>非甲烷总烃</w:t>
            </w:r>
          </w:p>
        </w:tc>
        <w:tc>
          <w:tcPr>
            <w:tcW w:w="646" w:type="pct"/>
            <w:vAlign w:val="center"/>
          </w:tcPr>
          <w:p w14:paraId="5FDD64C8">
            <w:pPr>
              <w:pStyle w:val="286"/>
              <w:adjustRightInd w:val="0"/>
              <w:snapToGrid w:val="0"/>
              <w:spacing w:line="300" w:lineRule="exact"/>
              <w:rPr>
                <w:rFonts w:hint="eastAsia" w:cs="宋体"/>
                <w:color w:val="000000" w:themeColor="text1"/>
                <w:sz w:val="21"/>
                <w14:textFill>
                  <w14:solidFill>
                    <w14:schemeClr w14:val="tx1"/>
                  </w14:solidFill>
                </w14:textFill>
              </w:rPr>
            </w:pPr>
            <w:r>
              <w:rPr>
                <w:rFonts w:hint="eastAsia" w:cs="宋体"/>
                <w:color w:val="000000" w:themeColor="text1"/>
                <w:sz w:val="21"/>
                <w14:textFill>
                  <w14:solidFill>
                    <w14:schemeClr w14:val="tx1"/>
                  </w14:solidFill>
                </w14:textFill>
              </w:rPr>
              <w:t>454.645t/a</w:t>
            </w:r>
          </w:p>
        </w:tc>
        <w:tc>
          <w:tcPr>
            <w:tcW w:w="826" w:type="pct"/>
            <w:vAlign w:val="center"/>
          </w:tcPr>
          <w:p w14:paraId="4B7024B2">
            <w:pPr>
              <w:pStyle w:val="286"/>
              <w:adjustRightInd w:val="0"/>
              <w:snapToGrid w:val="0"/>
              <w:spacing w:line="300" w:lineRule="exact"/>
              <w:rPr>
                <w:rFonts w:hint="eastAsia" w:cs="宋体"/>
                <w:color w:val="000000" w:themeColor="text1"/>
                <w:sz w:val="21"/>
                <w14:textFill>
                  <w14:solidFill>
                    <w14:schemeClr w14:val="tx1"/>
                  </w14:solidFill>
                </w14:textFill>
              </w:rPr>
            </w:pPr>
            <w:r>
              <w:rPr>
                <w:rFonts w:hint="eastAsia"/>
                <w:color w:val="000000" w:themeColor="text1"/>
                <w:sz w:val="21"/>
                <w:lang w:bidi="ar"/>
                <w14:textFill>
                  <w14:solidFill>
                    <w14:schemeClr w14:val="tx1"/>
                  </w14:solidFill>
                </w14:textFill>
              </w:rPr>
              <w:t>1.338</w:t>
            </w:r>
            <w:r>
              <w:rPr>
                <w:color w:val="000000" w:themeColor="text1"/>
                <w:sz w:val="21"/>
                <w:lang w:bidi="ar"/>
                <w14:textFill>
                  <w14:solidFill>
                    <w14:schemeClr w14:val="tx1"/>
                  </w14:solidFill>
                </w14:textFill>
              </w:rPr>
              <w:t>t</w:t>
            </w:r>
            <w:r>
              <w:rPr>
                <w:rFonts w:hint="eastAsia" w:cs="宋体"/>
                <w:color w:val="000000" w:themeColor="text1"/>
                <w:sz w:val="21"/>
                <w14:textFill>
                  <w14:solidFill>
                    <w14:schemeClr w14:val="tx1"/>
                  </w14:solidFill>
                </w14:textFill>
              </w:rPr>
              <w:t>/a</w:t>
            </w:r>
          </w:p>
        </w:tc>
        <w:tc>
          <w:tcPr>
            <w:tcW w:w="696" w:type="pct"/>
            <w:vAlign w:val="center"/>
          </w:tcPr>
          <w:p w14:paraId="283CAAEA">
            <w:pPr>
              <w:pStyle w:val="286"/>
              <w:adjustRightInd w:val="0"/>
              <w:snapToGrid w:val="0"/>
              <w:spacing w:line="300" w:lineRule="exact"/>
              <w:rPr>
                <w:rFonts w:hint="eastAsia" w:cs="宋体"/>
                <w:color w:val="000000" w:themeColor="text1"/>
                <w:sz w:val="21"/>
                <w14:textFill>
                  <w14:solidFill>
                    <w14:schemeClr w14:val="tx1"/>
                  </w14:solidFill>
                </w14:textFill>
              </w:rPr>
            </w:pPr>
            <w:r>
              <w:rPr>
                <w:rFonts w:hint="eastAsia" w:cs="宋体"/>
                <w:color w:val="000000" w:themeColor="text1"/>
                <w:sz w:val="21"/>
                <w14:textFill>
                  <w14:solidFill>
                    <w14:schemeClr w14:val="tx1"/>
                  </w14:solidFill>
                </w14:textFill>
              </w:rPr>
              <w:t>0.158t/a</w:t>
            </w:r>
          </w:p>
        </w:tc>
        <w:tc>
          <w:tcPr>
            <w:tcW w:w="763" w:type="pct"/>
            <w:vAlign w:val="center"/>
          </w:tcPr>
          <w:p w14:paraId="3A759C37">
            <w:pPr>
              <w:pStyle w:val="286"/>
              <w:adjustRightInd w:val="0"/>
              <w:snapToGrid w:val="0"/>
              <w:spacing w:line="300" w:lineRule="exact"/>
              <w:rPr>
                <w:rFonts w:hint="eastAsia" w:cs="宋体"/>
                <w:color w:val="000000" w:themeColor="text1"/>
                <w:sz w:val="21"/>
                <w14:textFill>
                  <w14:solidFill>
                    <w14:schemeClr w14:val="tx1"/>
                  </w14:solidFill>
                </w14:textFill>
              </w:rPr>
            </w:pPr>
            <w:r>
              <w:rPr>
                <w:rFonts w:hint="eastAsia" w:cs="宋体"/>
                <w:color w:val="000000" w:themeColor="text1"/>
                <w:sz w:val="21"/>
                <w14:textFill>
                  <w14:solidFill>
                    <w14:schemeClr w14:val="tx1"/>
                  </w14:solidFill>
                </w14:textFill>
              </w:rPr>
              <w:t>455.825t/a</w:t>
            </w:r>
          </w:p>
        </w:tc>
      </w:tr>
      <w:tr w14:paraId="60B200D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trPr>
        <w:tc>
          <w:tcPr>
            <w:tcW w:w="312" w:type="pct"/>
            <w:vMerge w:val="continue"/>
            <w:vAlign w:val="center"/>
          </w:tcPr>
          <w:p w14:paraId="2EACA487">
            <w:pPr>
              <w:pStyle w:val="286"/>
              <w:adjustRightInd w:val="0"/>
              <w:snapToGrid w:val="0"/>
              <w:spacing w:line="300" w:lineRule="exact"/>
              <w:rPr>
                <w:rFonts w:hint="eastAsia" w:cs="宋体"/>
                <w:color w:val="000000" w:themeColor="text1"/>
                <w:sz w:val="21"/>
                <w14:textFill>
                  <w14:solidFill>
                    <w14:schemeClr w14:val="tx1"/>
                  </w14:solidFill>
                </w14:textFill>
              </w:rPr>
            </w:pPr>
          </w:p>
        </w:tc>
        <w:tc>
          <w:tcPr>
            <w:tcW w:w="737" w:type="pct"/>
            <w:vMerge w:val="continue"/>
            <w:vAlign w:val="center"/>
          </w:tcPr>
          <w:p w14:paraId="303096D3">
            <w:pPr>
              <w:pStyle w:val="286"/>
              <w:adjustRightInd w:val="0"/>
              <w:snapToGrid w:val="0"/>
              <w:spacing w:line="300" w:lineRule="exact"/>
              <w:rPr>
                <w:rFonts w:hint="eastAsia" w:cs="宋体"/>
                <w:color w:val="000000" w:themeColor="text1"/>
                <w:sz w:val="21"/>
                <w14:textFill>
                  <w14:solidFill>
                    <w14:schemeClr w14:val="tx1"/>
                  </w14:solidFill>
                </w14:textFill>
              </w:rPr>
            </w:pPr>
          </w:p>
        </w:tc>
        <w:tc>
          <w:tcPr>
            <w:tcW w:w="1020" w:type="pct"/>
            <w:vAlign w:val="center"/>
          </w:tcPr>
          <w:p w14:paraId="5316F6F1">
            <w:pPr>
              <w:pStyle w:val="286"/>
              <w:adjustRightInd w:val="0"/>
              <w:snapToGrid w:val="0"/>
              <w:spacing w:line="300" w:lineRule="exact"/>
              <w:rPr>
                <w:rFonts w:hint="eastAsia" w:cs="宋体"/>
                <w:color w:val="000000" w:themeColor="text1"/>
                <w:sz w:val="21"/>
                <w14:textFill>
                  <w14:solidFill>
                    <w14:schemeClr w14:val="tx1"/>
                  </w14:solidFill>
                </w14:textFill>
              </w:rPr>
            </w:pPr>
            <w:r>
              <w:rPr>
                <w:rFonts w:hint="eastAsia" w:cs="宋体"/>
                <w:color w:val="000000" w:themeColor="text1"/>
                <w:sz w:val="21"/>
                <w14:textFill>
                  <w14:solidFill>
                    <w14:schemeClr w14:val="tx1"/>
                  </w14:solidFill>
                </w14:textFill>
              </w:rPr>
              <w:t>硫化氢</w:t>
            </w:r>
          </w:p>
        </w:tc>
        <w:tc>
          <w:tcPr>
            <w:tcW w:w="646" w:type="pct"/>
            <w:vAlign w:val="center"/>
          </w:tcPr>
          <w:p w14:paraId="330C50AC">
            <w:pPr>
              <w:pStyle w:val="286"/>
              <w:adjustRightInd w:val="0"/>
              <w:snapToGrid w:val="0"/>
              <w:spacing w:line="300" w:lineRule="exact"/>
              <w:rPr>
                <w:rFonts w:hint="eastAsia" w:cs="宋体"/>
                <w:color w:val="000000" w:themeColor="text1"/>
                <w:sz w:val="21"/>
                <w14:textFill>
                  <w14:solidFill>
                    <w14:schemeClr w14:val="tx1"/>
                  </w14:solidFill>
                </w14:textFill>
              </w:rPr>
            </w:pPr>
            <w:r>
              <w:rPr>
                <w:rFonts w:hint="eastAsia" w:cs="宋体"/>
                <w:color w:val="000000" w:themeColor="text1"/>
                <w:sz w:val="21"/>
                <w14:textFill>
                  <w14:solidFill>
                    <w14:schemeClr w14:val="tx1"/>
                  </w14:solidFill>
                </w14:textFill>
              </w:rPr>
              <w:t>/</w:t>
            </w:r>
          </w:p>
        </w:tc>
        <w:tc>
          <w:tcPr>
            <w:tcW w:w="826" w:type="pct"/>
            <w:vAlign w:val="center"/>
          </w:tcPr>
          <w:p w14:paraId="7A7F9725">
            <w:pPr>
              <w:pStyle w:val="286"/>
              <w:adjustRightInd w:val="0"/>
              <w:snapToGrid w:val="0"/>
              <w:spacing w:line="300" w:lineRule="exact"/>
              <w:rPr>
                <w:rFonts w:hint="eastAsia" w:cs="宋体"/>
                <w:color w:val="000000" w:themeColor="text1"/>
                <w:sz w:val="21"/>
                <w14:textFill>
                  <w14:solidFill>
                    <w14:schemeClr w14:val="tx1"/>
                  </w14:solidFill>
                </w14:textFill>
              </w:rPr>
            </w:pPr>
            <w:r>
              <w:rPr>
                <w:rFonts w:hint="eastAsia"/>
                <w:color w:val="000000" w:themeColor="text1"/>
                <w:sz w:val="21"/>
                <w:lang w:bidi="ar"/>
                <w14:textFill>
                  <w14:solidFill>
                    <w14:schemeClr w14:val="tx1"/>
                  </w14:solidFill>
                </w14:textFill>
              </w:rPr>
              <w:t>0.359kg</w:t>
            </w:r>
            <w:r>
              <w:rPr>
                <w:rFonts w:hint="eastAsia" w:cs="宋体"/>
                <w:color w:val="000000" w:themeColor="text1"/>
                <w:sz w:val="21"/>
                <w14:textFill>
                  <w14:solidFill>
                    <w14:schemeClr w14:val="tx1"/>
                  </w14:solidFill>
                </w14:textFill>
              </w:rPr>
              <w:t>/a</w:t>
            </w:r>
          </w:p>
        </w:tc>
        <w:tc>
          <w:tcPr>
            <w:tcW w:w="696" w:type="pct"/>
            <w:vAlign w:val="center"/>
          </w:tcPr>
          <w:p w14:paraId="0BD65D48">
            <w:pPr>
              <w:pStyle w:val="286"/>
              <w:adjustRightInd w:val="0"/>
              <w:snapToGrid w:val="0"/>
              <w:spacing w:line="300" w:lineRule="exact"/>
              <w:rPr>
                <w:rFonts w:hint="eastAsia" w:cs="宋体"/>
                <w:color w:val="000000" w:themeColor="text1"/>
                <w:sz w:val="21"/>
                <w14:textFill>
                  <w14:solidFill>
                    <w14:schemeClr w14:val="tx1"/>
                  </w14:solidFill>
                </w14:textFill>
              </w:rPr>
            </w:pPr>
            <w:r>
              <w:rPr>
                <w:rFonts w:hint="eastAsia" w:cs="宋体"/>
                <w:color w:val="000000" w:themeColor="text1"/>
                <w:sz w:val="21"/>
                <w14:textFill>
                  <w14:solidFill>
                    <w14:schemeClr w14:val="tx1"/>
                  </w14:solidFill>
                </w14:textFill>
              </w:rPr>
              <w:t>0.043kg/a</w:t>
            </w:r>
          </w:p>
        </w:tc>
        <w:tc>
          <w:tcPr>
            <w:tcW w:w="763" w:type="pct"/>
            <w:vAlign w:val="center"/>
          </w:tcPr>
          <w:p w14:paraId="39C549EE">
            <w:pPr>
              <w:pStyle w:val="286"/>
              <w:adjustRightInd w:val="0"/>
              <w:snapToGrid w:val="0"/>
              <w:spacing w:line="300" w:lineRule="exact"/>
              <w:rPr>
                <w:rFonts w:hint="eastAsia" w:cs="宋体"/>
                <w:color w:val="000000" w:themeColor="text1"/>
                <w:sz w:val="21"/>
                <w14:textFill>
                  <w14:solidFill>
                    <w14:schemeClr w14:val="tx1"/>
                  </w14:solidFill>
                </w14:textFill>
              </w:rPr>
            </w:pPr>
            <w:r>
              <w:rPr>
                <w:rFonts w:hint="eastAsia"/>
                <w:color w:val="000000" w:themeColor="text1"/>
                <w:sz w:val="21"/>
                <w:lang w:bidi="ar"/>
                <w14:textFill>
                  <w14:solidFill>
                    <w14:schemeClr w14:val="tx1"/>
                  </w14:solidFill>
                </w14:textFill>
              </w:rPr>
              <w:t>0.316kg</w:t>
            </w:r>
            <w:r>
              <w:rPr>
                <w:rFonts w:hint="eastAsia" w:cs="宋体"/>
                <w:color w:val="000000" w:themeColor="text1"/>
                <w:sz w:val="21"/>
                <w14:textFill>
                  <w14:solidFill>
                    <w14:schemeClr w14:val="tx1"/>
                  </w14:solidFill>
                </w14:textFill>
              </w:rPr>
              <w:t>/a</w:t>
            </w:r>
          </w:p>
        </w:tc>
      </w:tr>
      <w:tr w14:paraId="4A3FFE1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trPr>
        <w:tc>
          <w:tcPr>
            <w:tcW w:w="312" w:type="pct"/>
            <w:vMerge w:val="continue"/>
            <w:vAlign w:val="center"/>
          </w:tcPr>
          <w:p w14:paraId="27D6CF43">
            <w:pPr>
              <w:pStyle w:val="286"/>
              <w:adjustRightInd w:val="0"/>
              <w:snapToGrid w:val="0"/>
              <w:spacing w:line="300" w:lineRule="exact"/>
              <w:rPr>
                <w:rFonts w:hint="eastAsia" w:cs="宋体"/>
                <w:color w:val="000000" w:themeColor="text1"/>
                <w:sz w:val="21"/>
                <w14:textFill>
                  <w14:solidFill>
                    <w14:schemeClr w14:val="tx1"/>
                  </w14:solidFill>
                </w14:textFill>
              </w:rPr>
            </w:pPr>
          </w:p>
        </w:tc>
        <w:tc>
          <w:tcPr>
            <w:tcW w:w="737" w:type="pct"/>
            <w:vMerge w:val="restart"/>
            <w:vAlign w:val="center"/>
          </w:tcPr>
          <w:p w14:paraId="76D9F5AF">
            <w:pPr>
              <w:pStyle w:val="286"/>
              <w:adjustRightInd w:val="0"/>
              <w:snapToGrid w:val="0"/>
              <w:spacing w:line="300" w:lineRule="exact"/>
              <w:rPr>
                <w:rFonts w:hint="eastAsia" w:cs="宋体"/>
                <w:color w:val="000000" w:themeColor="text1"/>
                <w:sz w:val="21"/>
                <w14:textFill>
                  <w14:solidFill>
                    <w14:schemeClr w14:val="tx1"/>
                  </w14:solidFill>
                </w14:textFill>
              </w:rPr>
            </w:pPr>
            <w:r>
              <w:rPr>
                <w:rFonts w:hint="eastAsia" w:cs="Arial"/>
                <w:color w:val="000000" w:themeColor="text1"/>
                <w:kern w:val="2"/>
                <w:sz w:val="21"/>
                <w14:textFill>
                  <w14:solidFill>
                    <w14:schemeClr w14:val="tx1"/>
                  </w14:solidFill>
                </w14:textFill>
              </w:rPr>
              <w:t>热媒炉、燃气设备等烟气</w:t>
            </w:r>
          </w:p>
        </w:tc>
        <w:tc>
          <w:tcPr>
            <w:tcW w:w="1020" w:type="pct"/>
            <w:vAlign w:val="center"/>
          </w:tcPr>
          <w:p w14:paraId="22B32B32">
            <w:pPr>
              <w:pStyle w:val="286"/>
              <w:adjustRightInd w:val="0"/>
              <w:snapToGrid w:val="0"/>
              <w:spacing w:line="300" w:lineRule="exact"/>
              <w:rPr>
                <w:rFonts w:hint="eastAsia" w:cs="宋体"/>
                <w:color w:val="000000" w:themeColor="text1"/>
                <w:sz w:val="21"/>
                <w14:textFill>
                  <w14:solidFill>
                    <w14:schemeClr w14:val="tx1"/>
                  </w14:solidFill>
                </w14:textFill>
              </w:rPr>
            </w:pPr>
            <w:r>
              <w:rPr>
                <w:rFonts w:hint="eastAsia" w:cs="Arial"/>
                <w:color w:val="000000" w:themeColor="text1"/>
                <w:kern w:val="2"/>
                <w:sz w:val="21"/>
                <w14:textFill>
                  <w14:solidFill>
                    <w14:schemeClr w14:val="tx1"/>
                  </w14:solidFill>
                </w14:textFill>
              </w:rPr>
              <w:t>NO</w:t>
            </w:r>
            <w:r>
              <w:rPr>
                <w:rFonts w:hint="eastAsia" w:cs="Arial"/>
                <w:color w:val="000000" w:themeColor="text1"/>
                <w:kern w:val="2"/>
                <w:sz w:val="21"/>
                <w:vertAlign w:val="subscript"/>
                <w14:textFill>
                  <w14:solidFill>
                    <w14:schemeClr w14:val="tx1"/>
                  </w14:solidFill>
                </w14:textFill>
              </w:rPr>
              <w:t>x</w:t>
            </w:r>
          </w:p>
        </w:tc>
        <w:tc>
          <w:tcPr>
            <w:tcW w:w="646" w:type="pct"/>
            <w:vAlign w:val="center"/>
          </w:tcPr>
          <w:p w14:paraId="4E8CD0F0">
            <w:pPr>
              <w:pStyle w:val="286"/>
              <w:adjustRightInd w:val="0"/>
              <w:snapToGrid w:val="0"/>
              <w:spacing w:line="300" w:lineRule="exact"/>
              <w:rPr>
                <w:rFonts w:hint="eastAsia" w:cs="宋体"/>
                <w:color w:val="000000" w:themeColor="text1"/>
                <w:sz w:val="21"/>
                <w14:textFill>
                  <w14:solidFill>
                    <w14:schemeClr w14:val="tx1"/>
                  </w14:solidFill>
                </w14:textFill>
              </w:rPr>
            </w:pPr>
            <w:r>
              <w:rPr>
                <w:rFonts w:hint="eastAsia" w:cs="Arial"/>
                <w:color w:val="000000" w:themeColor="text1"/>
                <w:kern w:val="2"/>
                <w:sz w:val="21"/>
                <w14:textFill>
                  <w14:solidFill>
                    <w14:schemeClr w14:val="tx1"/>
                  </w14:solidFill>
                </w14:textFill>
              </w:rPr>
              <w:t>2.057t</w:t>
            </w:r>
            <w:r>
              <w:rPr>
                <w:rFonts w:cs="Arial"/>
                <w:color w:val="000000" w:themeColor="text1"/>
                <w:kern w:val="2"/>
                <w:sz w:val="21"/>
                <w14:textFill>
                  <w14:solidFill>
                    <w14:schemeClr w14:val="tx1"/>
                  </w14:solidFill>
                </w14:textFill>
              </w:rPr>
              <w:t>/a</w:t>
            </w:r>
          </w:p>
        </w:tc>
        <w:tc>
          <w:tcPr>
            <w:tcW w:w="826" w:type="pct"/>
            <w:vAlign w:val="center"/>
          </w:tcPr>
          <w:p w14:paraId="0B3874BC">
            <w:pPr>
              <w:pStyle w:val="286"/>
              <w:adjustRightInd w:val="0"/>
              <w:snapToGrid w:val="0"/>
              <w:spacing w:line="300" w:lineRule="exact"/>
              <w:rPr>
                <w:rFonts w:hint="eastAsia"/>
                <w:color w:val="000000" w:themeColor="text1"/>
                <w:sz w:val="21"/>
                <w:lang w:bidi="ar"/>
                <w14:textFill>
                  <w14:solidFill>
                    <w14:schemeClr w14:val="tx1"/>
                  </w14:solidFill>
                </w14:textFill>
              </w:rPr>
            </w:pPr>
            <w:r>
              <w:rPr>
                <w:rFonts w:hint="eastAsia"/>
                <w:color w:val="000000" w:themeColor="text1"/>
                <w:sz w:val="21"/>
                <w:lang w:bidi="ar"/>
                <w14:textFill>
                  <w14:solidFill>
                    <w14:schemeClr w14:val="tx1"/>
                  </w14:solidFill>
                </w14:textFill>
              </w:rPr>
              <w:t>0</w:t>
            </w:r>
          </w:p>
        </w:tc>
        <w:tc>
          <w:tcPr>
            <w:tcW w:w="696" w:type="pct"/>
            <w:vAlign w:val="center"/>
          </w:tcPr>
          <w:p w14:paraId="0FE31935">
            <w:pPr>
              <w:pStyle w:val="286"/>
              <w:adjustRightInd w:val="0"/>
              <w:snapToGrid w:val="0"/>
              <w:spacing w:line="300" w:lineRule="exact"/>
              <w:rPr>
                <w:rFonts w:hint="eastAsia" w:cs="宋体"/>
                <w:color w:val="000000" w:themeColor="text1"/>
                <w:sz w:val="21"/>
                <w14:textFill>
                  <w14:solidFill>
                    <w14:schemeClr w14:val="tx1"/>
                  </w14:solidFill>
                </w14:textFill>
              </w:rPr>
            </w:pPr>
            <w:r>
              <w:rPr>
                <w:rFonts w:hint="eastAsia" w:cs="宋体"/>
                <w:color w:val="000000" w:themeColor="text1"/>
                <w:sz w:val="21"/>
                <w14:textFill>
                  <w14:solidFill>
                    <w14:schemeClr w14:val="tx1"/>
                  </w14:solidFill>
                </w14:textFill>
              </w:rPr>
              <w:t>0</w:t>
            </w:r>
          </w:p>
        </w:tc>
        <w:tc>
          <w:tcPr>
            <w:tcW w:w="763" w:type="pct"/>
            <w:vAlign w:val="center"/>
          </w:tcPr>
          <w:p w14:paraId="164AAF9E">
            <w:pPr>
              <w:pStyle w:val="286"/>
              <w:adjustRightInd w:val="0"/>
              <w:snapToGrid w:val="0"/>
              <w:spacing w:line="300" w:lineRule="exact"/>
              <w:rPr>
                <w:rFonts w:hint="eastAsia"/>
                <w:color w:val="000000" w:themeColor="text1"/>
                <w:sz w:val="21"/>
                <w:lang w:bidi="ar"/>
                <w14:textFill>
                  <w14:solidFill>
                    <w14:schemeClr w14:val="tx1"/>
                  </w14:solidFill>
                </w14:textFill>
              </w:rPr>
            </w:pPr>
            <w:r>
              <w:rPr>
                <w:rFonts w:hint="eastAsia" w:cs="Arial"/>
                <w:color w:val="000000" w:themeColor="text1"/>
                <w:kern w:val="2"/>
                <w:sz w:val="21"/>
                <w14:textFill>
                  <w14:solidFill>
                    <w14:schemeClr w14:val="tx1"/>
                  </w14:solidFill>
                </w14:textFill>
              </w:rPr>
              <w:t>2.057t</w:t>
            </w:r>
            <w:r>
              <w:rPr>
                <w:rFonts w:cs="Arial"/>
                <w:color w:val="000000" w:themeColor="text1"/>
                <w:kern w:val="2"/>
                <w:sz w:val="21"/>
                <w14:textFill>
                  <w14:solidFill>
                    <w14:schemeClr w14:val="tx1"/>
                  </w14:solidFill>
                </w14:textFill>
              </w:rPr>
              <w:t>/a</w:t>
            </w:r>
          </w:p>
        </w:tc>
      </w:tr>
      <w:tr w14:paraId="1CF99F2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trPr>
        <w:tc>
          <w:tcPr>
            <w:tcW w:w="312" w:type="pct"/>
            <w:vMerge w:val="continue"/>
            <w:vAlign w:val="center"/>
          </w:tcPr>
          <w:p w14:paraId="14029876">
            <w:pPr>
              <w:pStyle w:val="286"/>
              <w:adjustRightInd w:val="0"/>
              <w:snapToGrid w:val="0"/>
              <w:spacing w:line="300" w:lineRule="exact"/>
              <w:rPr>
                <w:rFonts w:hint="eastAsia" w:cs="宋体"/>
                <w:color w:val="000000" w:themeColor="text1"/>
                <w:sz w:val="21"/>
                <w14:textFill>
                  <w14:solidFill>
                    <w14:schemeClr w14:val="tx1"/>
                  </w14:solidFill>
                </w14:textFill>
              </w:rPr>
            </w:pPr>
          </w:p>
        </w:tc>
        <w:tc>
          <w:tcPr>
            <w:tcW w:w="737" w:type="pct"/>
            <w:vMerge w:val="continue"/>
            <w:vAlign w:val="center"/>
          </w:tcPr>
          <w:p w14:paraId="429FA8E1">
            <w:pPr>
              <w:pStyle w:val="286"/>
              <w:adjustRightInd w:val="0"/>
              <w:snapToGrid w:val="0"/>
              <w:spacing w:line="300" w:lineRule="exact"/>
              <w:rPr>
                <w:rFonts w:hint="eastAsia" w:cs="宋体"/>
                <w:color w:val="000000" w:themeColor="text1"/>
                <w:sz w:val="21"/>
                <w14:textFill>
                  <w14:solidFill>
                    <w14:schemeClr w14:val="tx1"/>
                  </w14:solidFill>
                </w14:textFill>
              </w:rPr>
            </w:pPr>
          </w:p>
        </w:tc>
        <w:tc>
          <w:tcPr>
            <w:tcW w:w="1020" w:type="pct"/>
            <w:vAlign w:val="center"/>
          </w:tcPr>
          <w:p w14:paraId="021E9A8E">
            <w:pPr>
              <w:pStyle w:val="286"/>
              <w:adjustRightInd w:val="0"/>
              <w:snapToGrid w:val="0"/>
              <w:spacing w:line="300" w:lineRule="exact"/>
              <w:rPr>
                <w:rFonts w:hint="eastAsia" w:cs="宋体"/>
                <w:color w:val="000000" w:themeColor="text1"/>
                <w:sz w:val="21"/>
                <w14:textFill>
                  <w14:solidFill>
                    <w14:schemeClr w14:val="tx1"/>
                  </w14:solidFill>
                </w14:textFill>
              </w:rPr>
            </w:pPr>
            <w:r>
              <w:rPr>
                <w:rFonts w:hint="eastAsia" w:cs="Arial"/>
                <w:color w:val="000000" w:themeColor="text1"/>
                <w:kern w:val="2"/>
                <w:sz w:val="21"/>
                <w14:textFill>
                  <w14:solidFill>
                    <w14:schemeClr w14:val="tx1"/>
                  </w14:solidFill>
                </w14:textFill>
              </w:rPr>
              <w:t>S0</w:t>
            </w:r>
            <w:r>
              <w:rPr>
                <w:rFonts w:hint="eastAsia" w:cs="Arial"/>
                <w:color w:val="000000" w:themeColor="text1"/>
                <w:kern w:val="2"/>
                <w:sz w:val="21"/>
                <w:vertAlign w:val="subscript"/>
                <w14:textFill>
                  <w14:solidFill>
                    <w14:schemeClr w14:val="tx1"/>
                  </w14:solidFill>
                </w14:textFill>
              </w:rPr>
              <w:t>2</w:t>
            </w:r>
          </w:p>
        </w:tc>
        <w:tc>
          <w:tcPr>
            <w:tcW w:w="646" w:type="pct"/>
            <w:vAlign w:val="center"/>
          </w:tcPr>
          <w:p w14:paraId="6B1BF2C1">
            <w:pPr>
              <w:pStyle w:val="286"/>
              <w:adjustRightInd w:val="0"/>
              <w:snapToGrid w:val="0"/>
              <w:spacing w:line="300" w:lineRule="exact"/>
              <w:rPr>
                <w:rFonts w:hint="eastAsia" w:cs="宋体"/>
                <w:color w:val="000000" w:themeColor="text1"/>
                <w:sz w:val="21"/>
                <w14:textFill>
                  <w14:solidFill>
                    <w14:schemeClr w14:val="tx1"/>
                  </w14:solidFill>
                </w14:textFill>
              </w:rPr>
            </w:pPr>
            <w:r>
              <w:rPr>
                <w:rFonts w:hint="eastAsia" w:cs="Arial"/>
                <w:color w:val="000000" w:themeColor="text1"/>
                <w:kern w:val="2"/>
                <w:sz w:val="21"/>
                <w14:textFill>
                  <w14:solidFill>
                    <w14:schemeClr w14:val="tx1"/>
                  </w14:solidFill>
                </w14:textFill>
              </w:rPr>
              <w:t>0.171t</w:t>
            </w:r>
            <w:r>
              <w:rPr>
                <w:rFonts w:cs="Arial"/>
                <w:color w:val="000000" w:themeColor="text1"/>
                <w:kern w:val="2"/>
                <w:sz w:val="21"/>
                <w14:textFill>
                  <w14:solidFill>
                    <w14:schemeClr w14:val="tx1"/>
                  </w14:solidFill>
                </w14:textFill>
              </w:rPr>
              <w:t>/a</w:t>
            </w:r>
          </w:p>
        </w:tc>
        <w:tc>
          <w:tcPr>
            <w:tcW w:w="826" w:type="pct"/>
            <w:vAlign w:val="center"/>
          </w:tcPr>
          <w:p w14:paraId="2A3CC6A9">
            <w:pPr>
              <w:pStyle w:val="286"/>
              <w:adjustRightInd w:val="0"/>
              <w:snapToGrid w:val="0"/>
              <w:spacing w:line="300" w:lineRule="exact"/>
              <w:rPr>
                <w:rFonts w:hint="eastAsia"/>
                <w:color w:val="000000" w:themeColor="text1"/>
                <w:sz w:val="21"/>
                <w:lang w:bidi="ar"/>
                <w14:textFill>
                  <w14:solidFill>
                    <w14:schemeClr w14:val="tx1"/>
                  </w14:solidFill>
                </w14:textFill>
              </w:rPr>
            </w:pPr>
            <w:r>
              <w:rPr>
                <w:rFonts w:hint="eastAsia"/>
                <w:color w:val="000000" w:themeColor="text1"/>
                <w:sz w:val="21"/>
                <w:lang w:bidi="ar"/>
                <w14:textFill>
                  <w14:solidFill>
                    <w14:schemeClr w14:val="tx1"/>
                  </w14:solidFill>
                </w14:textFill>
              </w:rPr>
              <w:t>0</w:t>
            </w:r>
          </w:p>
        </w:tc>
        <w:tc>
          <w:tcPr>
            <w:tcW w:w="696" w:type="pct"/>
            <w:vAlign w:val="center"/>
          </w:tcPr>
          <w:p w14:paraId="789E0534">
            <w:pPr>
              <w:pStyle w:val="286"/>
              <w:adjustRightInd w:val="0"/>
              <w:snapToGrid w:val="0"/>
              <w:spacing w:line="300" w:lineRule="exact"/>
              <w:rPr>
                <w:rFonts w:hint="eastAsia" w:cs="宋体"/>
                <w:color w:val="000000" w:themeColor="text1"/>
                <w:sz w:val="21"/>
                <w14:textFill>
                  <w14:solidFill>
                    <w14:schemeClr w14:val="tx1"/>
                  </w14:solidFill>
                </w14:textFill>
              </w:rPr>
            </w:pPr>
            <w:r>
              <w:rPr>
                <w:rFonts w:hint="eastAsia" w:cs="宋体"/>
                <w:color w:val="000000" w:themeColor="text1"/>
                <w:sz w:val="21"/>
                <w14:textFill>
                  <w14:solidFill>
                    <w14:schemeClr w14:val="tx1"/>
                  </w14:solidFill>
                </w14:textFill>
              </w:rPr>
              <w:t>0</w:t>
            </w:r>
          </w:p>
        </w:tc>
        <w:tc>
          <w:tcPr>
            <w:tcW w:w="763" w:type="pct"/>
            <w:vAlign w:val="center"/>
          </w:tcPr>
          <w:p w14:paraId="613A847D">
            <w:pPr>
              <w:pStyle w:val="286"/>
              <w:adjustRightInd w:val="0"/>
              <w:snapToGrid w:val="0"/>
              <w:spacing w:line="300" w:lineRule="exact"/>
              <w:rPr>
                <w:rFonts w:hint="eastAsia"/>
                <w:color w:val="000000" w:themeColor="text1"/>
                <w:sz w:val="21"/>
                <w:lang w:bidi="ar"/>
                <w14:textFill>
                  <w14:solidFill>
                    <w14:schemeClr w14:val="tx1"/>
                  </w14:solidFill>
                </w14:textFill>
              </w:rPr>
            </w:pPr>
            <w:r>
              <w:rPr>
                <w:rFonts w:hint="eastAsia" w:cs="Arial"/>
                <w:color w:val="000000" w:themeColor="text1"/>
                <w:kern w:val="2"/>
                <w:sz w:val="21"/>
                <w14:textFill>
                  <w14:solidFill>
                    <w14:schemeClr w14:val="tx1"/>
                  </w14:solidFill>
                </w14:textFill>
              </w:rPr>
              <w:t>0.171t</w:t>
            </w:r>
            <w:r>
              <w:rPr>
                <w:rFonts w:cs="Arial"/>
                <w:color w:val="000000" w:themeColor="text1"/>
                <w:kern w:val="2"/>
                <w:sz w:val="21"/>
                <w14:textFill>
                  <w14:solidFill>
                    <w14:schemeClr w14:val="tx1"/>
                  </w14:solidFill>
                </w14:textFill>
              </w:rPr>
              <w:t>/a</w:t>
            </w:r>
          </w:p>
        </w:tc>
      </w:tr>
      <w:tr w14:paraId="73FE32A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trPr>
        <w:tc>
          <w:tcPr>
            <w:tcW w:w="312" w:type="pct"/>
            <w:vMerge w:val="continue"/>
            <w:vAlign w:val="center"/>
          </w:tcPr>
          <w:p w14:paraId="2F5A8829">
            <w:pPr>
              <w:pStyle w:val="286"/>
              <w:adjustRightInd w:val="0"/>
              <w:snapToGrid w:val="0"/>
              <w:spacing w:line="300" w:lineRule="exact"/>
              <w:rPr>
                <w:rFonts w:hint="eastAsia" w:cs="宋体"/>
                <w:color w:val="000000" w:themeColor="text1"/>
                <w:sz w:val="21"/>
                <w14:textFill>
                  <w14:solidFill>
                    <w14:schemeClr w14:val="tx1"/>
                  </w14:solidFill>
                </w14:textFill>
              </w:rPr>
            </w:pPr>
          </w:p>
        </w:tc>
        <w:tc>
          <w:tcPr>
            <w:tcW w:w="737" w:type="pct"/>
            <w:vMerge w:val="continue"/>
            <w:vAlign w:val="center"/>
          </w:tcPr>
          <w:p w14:paraId="3F265833">
            <w:pPr>
              <w:pStyle w:val="286"/>
              <w:adjustRightInd w:val="0"/>
              <w:snapToGrid w:val="0"/>
              <w:spacing w:line="300" w:lineRule="exact"/>
              <w:rPr>
                <w:rFonts w:hint="eastAsia" w:cs="宋体"/>
                <w:color w:val="000000" w:themeColor="text1"/>
                <w:sz w:val="21"/>
                <w14:textFill>
                  <w14:solidFill>
                    <w14:schemeClr w14:val="tx1"/>
                  </w14:solidFill>
                </w14:textFill>
              </w:rPr>
            </w:pPr>
          </w:p>
        </w:tc>
        <w:tc>
          <w:tcPr>
            <w:tcW w:w="1020" w:type="pct"/>
            <w:vAlign w:val="center"/>
          </w:tcPr>
          <w:p w14:paraId="3D12650F">
            <w:pPr>
              <w:pStyle w:val="286"/>
              <w:adjustRightInd w:val="0"/>
              <w:snapToGrid w:val="0"/>
              <w:spacing w:line="300" w:lineRule="exact"/>
              <w:rPr>
                <w:rFonts w:hint="eastAsia" w:cs="宋体"/>
                <w:color w:val="000000" w:themeColor="text1"/>
                <w:sz w:val="21"/>
                <w14:textFill>
                  <w14:solidFill>
                    <w14:schemeClr w14:val="tx1"/>
                  </w14:solidFill>
                </w14:textFill>
              </w:rPr>
            </w:pPr>
            <w:r>
              <w:rPr>
                <w:rFonts w:hint="eastAsia" w:cs="Arial"/>
                <w:color w:val="000000" w:themeColor="text1"/>
                <w:kern w:val="2"/>
                <w:sz w:val="21"/>
                <w14:textFill>
                  <w14:solidFill>
                    <w14:schemeClr w14:val="tx1"/>
                  </w14:solidFill>
                </w14:textFill>
              </w:rPr>
              <w:t>颗粒物</w:t>
            </w:r>
          </w:p>
        </w:tc>
        <w:tc>
          <w:tcPr>
            <w:tcW w:w="646" w:type="pct"/>
            <w:vAlign w:val="center"/>
          </w:tcPr>
          <w:p w14:paraId="05BBC3B3">
            <w:pPr>
              <w:pStyle w:val="286"/>
              <w:adjustRightInd w:val="0"/>
              <w:snapToGrid w:val="0"/>
              <w:spacing w:line="300" w:lineRule="exact"/>
              <w:rPr>
                <w:rFonts w:hint="eastAsia" w:cs="宋体"/>
                <w:color w:val="000000" w:themeColor="text1"/>
                <w:sz w:val="21"/>
                <w14:textFill>
                  <w14:solidFill>
                    <w14:schemeClr w14:val="tx1"/>
                  </w14:solidFill>
                </w14:textFill>
              </w:rPr>
            </w:pPr>
            <w:r>
              <w:rPr>
                <w:rFonts w:hint="eastAsia" w:cs="Arial"/>
                <w:color w:val="000000" w:themeColor="text1"/>
                <w:kern w:val="2"/>
                <w:sz w:val="21"/>
                <w14:textFill>
                  <w14:solidFill>
                    <w14:schemeClr w14:val="tx1"/>
                  </w14:solidFill>
                </w14:textFill>
              </w:rPr>
              <w:t>0.276t</w:t>
            </w:r>
            <w:r>
              <w:rPr>
                <w:rFonts w:cs="Arial"/>
                <w:color w:val="000000" w:themeColor="text1"/>
                <w:kern w:val="2"/>
                <w:sz w:val="21"/>
                <w14:textFill>
                  <w14:solidFill>
                    <w14:schemeClr w14:val="tx1"/>
                  </w14:solidFill>
                </w14:textFill>
              </w:rPr>
              <w:t>/a</w:t>
            </w:r>
          </w:p>
        </w:tc>
        <w:tc>
          <w:tcPr>
            <w:tcW w:w="826" w:type="pct"/>
            <w:vAlign w:val="center"/>
          </w:tcPr>
          <w:p w14:paraId="0F4F55F0">
            <w:pPr>
              <w:pStyle w:val="286"/>
              <w:adjustRightInd w:val="0"/>
              <w:snapToGrid w:val="0"/>
              <w:spacing w:line="300" w:lineRule="exact"/>
              <w:rPr>
                <w:rFonts w:hint="eastAsia"/>
                <w:color w:val="000000" w:themeColor="text1"/>
                <w:sz w:val="21"/>
                <w:lang w:bidi="ar"/>
                <w14:textFill>
                  <w14:solidFill>
                    <w14:schemeClr w14:val="tx1"/>
                  </w14:solidFill>
                </w14:textFill>
              </w:rPr>
            </w:pPr>
            <w:r>
              <w:rPr>
                <w:rFonts w:hint="eastAsia"/>
                <w:color w:val="000000" w:themeColor="text1"/>
                <w:sz w:val="21"/>
                <w:lang w:bidi="ar"/>
                <w14:textFill>
                  <w14:solidFill>
                    <w14:schemeClr w14:val="tx1"/>
                  </w14:solidFill>
                </w14:textFill>
              </w:rPr>
              <w:t>0</w:t>
            </w:r>
          </w:p>
        </w:tc>
        <w:tc>
          <w:tcPr>
            <w:tcW w:w="696" w:type="pct"/>
            <w:vAlign w:val="center"/>
          </w:tcPr>
          <w:p w14:paraId="71A09C98">
            <w:pPr>
              <w:pStyle w:val="286"/>
              <w:adjustRightInd w:val="0"/>
              <w:snapToGrid w:val="0"/>
              <w:spacing w:line="300" w:lineRule="exact"/>
              <w:rPr>
                <w:rFonts w:hint="eastAsia" w:cs="宋体"/>
                <w:color w:val="000000" w:themeColor="text1"/>
                <w:sz w:val="21"/>
                <w14:textFill>
                  <w14:solidFill>
                    <w14:schemeClr w14:val="tx1"/>
                  </w14:solidFill>
                </w14:textFill>
              </w:rPr>
            </w:pPr>
            <w:r>
              <w:rPr>
                <w:rFonts w:hint="eastAsia" w:cs="宋体"/>
                <w:color w:val="000000" w:themeColor="text1"/>
                <w:sz w:val="21"/>
                <w14:textFill>
                  <w14:solidFill>
                    <w14:schemeClr w14:val="tx1"/>
                  </w14:solidFill>
                </w14:textFill>
              </w:rPr>
              <w:t>0</w:t>
            </w:r>
          </w:p>
        </w:tc>
        <w:tc>
          <w:tcPr>
            <w:tcW w:w="763" w:type="pct"/>
            <w:vAlign w:val="center"/>
          </w:tcPr>
          <w:p w14:paraId="39A46D34">
            <w:pPr>
              <w:pStyle w:val="286"/>
              <w:adjustRightInd w:val="0"/>
              <w:snapToGrid w:val="0"/>
              <w:spacing w:line="300" w:lineRule="exact"/>
              <w:rPr>
                <w:rFonts w:hint="eastAsia"/>
                <w:color w:val="000000" w:themeColor="text1"/>
                <w:sz w:val="21"/>
                <w:lang w:bidi="ar"/>
                <w14:textFill>
                  <w14:solidFill>
                    <w14:schemeClr w14:val="tx1"/>
                  </w14:solidFill>
                </w14:textFill>
              </w:rPr>
            </w:pPr>
            <w:r>
              <w:rPr>
                <w:rFonts w:hint="eastAsia" w:cs="Arial"/>
                <w:color w:val="000000" w:themeColor="text1"/>
                <w:kern w:val="2"/>
                <w:sz w:val="21"/>
                <w14:textFill>
                  <w14:solidFill>
                    <w14:schemeClr w14:val="tx1"/>
                  </w14:solidFill>
                </w14:textFill>
              </w:rPr>
              <w:t>0.276t</w:t>
            </w:r>
            <w:r>
              <w:rPr>
                <w:rFonts w:cs="Arial"/>
                <w:color w:val="000000" w:themeColor="text1"/>
                <w:kern w:val="2"/>
                <w:sz w:val="21"/>
                <w14:textFill>
                  <w14:solidFill>
                    <w14:schemeClr w14:val="tx1"/>
                  </w14:solidFill>
                </w14:textFill>
              </w:rPr>
              <w:t>/a</w:t>
            </w:r>
          </w:p>
        </w:tc>
      </w:tr>
      <w:bookmarkEnd w:id="357"/>
    </w:tbl>
    <w:p w14:paraId="79E993BE">
      <w:pPr>
        <w:pStyle w:val="4"/>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退役期污染源分析</w:t>
      </w:r>
    </w:p>
    <w:p w14:paraId="10D5DC08">
      <w:pPr>
        <w:pStyle w:val="117"/>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退役期施工过程中会产生少量的扬尘、废弃管线、建筑垃圾等。</w:t>
      </w:r>
    </w:p>
    <w:p w14:paraId="7766EA0E">
      <w:pPr>
        <w:pStyle w:val="4"/>
        <w:rPr>
          <w:rFonts w:hint="eastAsia"/>
          <w:color w:val="000000" w:themeColor="text1"/>
          <w14:textFill>
            <w14:solidFill>
              <w14:schemeClr w14:val="tx1"/>
            </w14:solidFill>
          </w14:textFill>
        </w:rPr>
      </w:pPr>
      <w:bookmarkStart w:id="360" w:name="_Hlk92205310"/>
      <w:r>
        <w:rPr>
          <w:rFonts w:hint="eastAsia"/>
          <w:color w:val="000000" w:themeColor="text1"/>
          <w14:textFill>
            <w14:solidFill>
              <w14:schemeClr w14:val="tx1"/>
            </w14:solidFill>
          </w14:textFill>
        </w:rPr>
        <w:t>非正常工况环境影响分析</w:t>
      </w:r>
    </w:p>
    <w:bookmarkEnd w:id="360"/>
    <w:p w14:paraId="422E2268">
      <w:pPr>
        <w:pStyle w:val="117"/>
        <w:adjustRightInd w:val="0"/>
        <w:snapToGrid w:val="0"/>
        <w:spacing w:line="480" w:lineRule="exact"/>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可能出现的事故主要有井喷、井漏和管线泄漏事故和预处理注入站分离单元、伴生气增压单元发生故障，伴生气送至</w:t>
      </w:r>
      <w:bookmarkStart w:id="361" w:name="OLE_LINK170"/>
      <w:r>
        <w:rPr>
          <w:rFonts w:hint="eastAsia"/>
          <w:color w:val="000000" w:themeColor="text1"/>
          <w14:textFill>
            <w14:solidFill>
              <w14:schemeClr w14:val="tx1"/>
            </w14:solidFill>
          </w14:textFill>
        </w:rPr>
        <w:t>火炬系统燃烧放空。</w:t>
      </w:r>
      <w:bookmarkEnd w:id="361"/>
    </w:p>
    <w:p w14:paraId="7EEACB6A">
      <w:pPr>
        <w:pStyle w:val="117"/>
        <w:adjustRightInd w:val="0"/>
        <w:snapToGrid w:val="0"/>
        <w:spacing w:line="480" w:lineRule="exact"/>
        <w:ind w:firstLine="480" w:firstLineChars="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①井喷事故</w:t>
      </w:r>
    </w:p>
    <w:p w14:paraId="108AA755">
      <w:pPr>
        <w:pStyle w:val="117"/>
        <w:adjustRightInd w:val="0"/>
        <w:snapToGrid w:val="0"/>
        <w:spacing w:line="480" w:lineRule="exact"/>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井喷主要是在油田钻井和井下作业过程中发生的事故。在井下作业过程中由于地层压力不稳、封井不严或者井控设备失灵，均可能发生井喷事故。发生井喷事故时，伴生气、采出水、原油和钻井液一同冲出井口，很容易发生爆炸和火灾事故。</w:t>
      </w:r>
    </w:p>
    <w:p w14:paraId="32422B3E">
      <w:pPr>
        <w:pStyle w:val="117"/>
        <w:adjustRightInd w:val="0"/>
        <w:snapToGrid w:val="0"/>
        <w:spacing w:line="480" w:lineRule="exact"/>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②井漏事故</w:t>
      </w:r>
    </w:p>
    <w:p w14:paraId="2F81A851">
      <w:pPr>
        <w:pStyle w:val="117"/>
        <w:adjustRightInd w:val="0"/>
        <w:snapToGrid w:val="0"/>
        <w:spacing w:line="480" w:lineRule="exact"/>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井漏事故一般发生在井下作业修井过程中，通常是由于套管破损或者固井质量不好，导致修井液漏入地层。漏层的类型、井漏的严重程度，因漏失层位各不相同，变化很大，一旦发生井漏，使大量修井液漏失，除造成经济损失外，还可能对地下含水层造成一定的污染和危害。</w:t>
      </w:r>
    </w:p>
    <w:p w14:paraId="1C22E725">
      <w:pPr>
        <w:pStyle w:val="117"/>
        <w:adjustRightInd w:val="0"/>
        <w:snapToGrid w:val="0"/>
        <w:spacing w:line="480" w:lineRule="exact"/>
        <w:ind w:firstLine="480" w:firstLineChars="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③管线泄漏</w:t>
      </w:r>
    </w:p>
    <w:p w14:paraId="020A475E">
      <w:pPr>
        <w:pStyle w:val="117"/>
        <w:adjustRightInd w:val="0"/>
        <w:snapToGrid w:val="0"/>
        <w:spacing w:line="480" w:lineRule="exact"/>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由于腐蚀、误操作等原因，单井采油管线和拉油罐发生破裂导致原油、伴生气泄漏，泄漏的原油可能污染土壤和地下水。</w:t>
      </w:r>
    </w:p>
    <w:p w14:paraId="5F609B37">
      <w:pPr>
        <w:pStyle w:val="117"/>
        <w:adjustRightInd w:val="0"/>
        <w:snapToGrid w:val="0"/>
        <w:spacing w:line="480" w:lineRule="exact"/>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④伴生气燃烧放空情况</w:t>
      </w:r>
    </w:p>
    <w:p w14:paraId="182F846C">
      <w:pPr>
        <w:pStyle w:val="117"/>
        <w:ind w:firstLine="480"/>
        <w:rPr>
          <w:rFonts w:hint="eastAsia"/>
          <w:bCs/>
          <w:color w:val="000000" w:themeColor="text1"/>
          <w14:textFill>
            <w14:solidFill>
              <w14:schemeClr w14:val="tx1"/>
            </w14:solidFill>
          </w14:textFill>
        </w:rPr>
      </w:pPr>
      <w:r>
        <w:rPr>
          <w:rFonts w:hint="eastAsia"/>
          <w:color w:val="000000" w:themeColor="text1"/>
          <w14:textFill>
            <w14:solidFill>
              <w14:schemeClr w14:val="tx1"/>
            </w14:solidFill>
          </w14:textFill>
        </w:rPr>
        <w:t>预处理注入站内设备检维修操作、发生超压泄放等事故状态下伴生气送至放空火炬燃烧放空，</w:t>
      </w:r>
      <w:r>
        <w:rPr>
          <w:rFonts w:hint="eastAsia"/>
          <w:color w:val="000000" w:themeColor="text1"/>
          <w:spacing w:val="-2"/>
          <w14:textFill>
            <w14:solidFill>
              <w14:schemeClr w14:val="tx1"/>
            </w14:solidFill>
          </w14:textFill>
        </w:rPr>
        <w:t>根据设计方案可知，事故状态下伴生气最大量为687.5m</w:t>
      </w:r>
      <w:r>
        <w:rPr>
          <w:rFonts w:hint="eastAsia"/>
          <w:color w:val="000000" w:themeColor="text1"/>
          <w:spacing w:val="-2"/>
          <w:vertAlign w:val="superscript"/>
          <w14:textFill>
            <w14:solidFill>
              <w14:schemeClr w14:val="tx1"/>
            </w14:solidFill>
          </w14:textFill>
        </w:rPr>
        <w:t>3</w:t>
      </w:r>
      <w:r>
        <w:rPr>
          <w:rFonts w:hint="eastAsia"/>
          <w:color w:val="000000" w:themeColor="text1"/>
          <w:spacing w:val="-2"/>
          <w14:textFill>
            <w14:solidFill>
              <w14:schemeClr w14:val="tx1"/>
            </w14:solidFill>
          </w14:textFill>
        </w:rPr>
        <w:t>/h（16500m</w:t>
      </w:r>
      <w:r>
        <w:rPr>
          <w:rFonts w:hint="eastAsia"/>
          <w:color w:val="000000" w:themeColor="text1"/>
          <w:spacing w:val="-2"/>
          <w:vertAlign w:val="superscript"/>
          <w14:textFill>
            <w14:solidFill>
              <w14:schemeClr w14:val="tx1"/>
            </w14:solidFill>
          </w14:textFill>
        </w:rPr>
        <w:t>3</w:t>
      </w:r>
      <w:r>
        <w:rPr>
          <w:rFonts w:hint="eastAsia"/>
          <w:color w:val="000000" w:themeColor="text1"/>
          <w:spacing w:val="-2"/>
          <w14:textFill>
            <w14:solidFill>
              <w14:schemeClr w14:val="tx1"/>
            </w14:solidFill>
          </w14:textFill>
        </w:rPr>
        <w:t>/d），</w:t>
      </w:r>
      <w:r>
        <w:rPr>
          <w:rFonts w:hint="eastAsia"/>
          <w:color w:val="000000" w:themeColor="text1"/>
          <w14:textFill>
            <w14:solidFill>
              <w14:schemeClr w14:val="tx1"/>
            </w14:solidFill>
          </w14:textFill>
        </w:rPr>
        <w:t>单次放空最大时长均为6h，放空火炬直径为5</w:t>
      </w:r>
      <w:r>
        <w:rPr>
          <w:color w:val="000000" w:themeColor="text1"/>
          <w14:textFill>
            <w14:solidFill>
              <w14:schemeClr w14:val="tx1"/>
            </w14:solidFill>
          </w14:textFill>
        </w:rPr>
        <w:t>0mm</w:t>
      </w:r>
      <w:r>
        <w:rPr>
          <w:rFonts w:hint="eastAsia"/>
          <w:color w:val="000000" w:themeColor="text1"/>
          <w14:textFill>
            <w14:solidFill>
              <w14:schemeClr w14:val="tx1"/>
            </w14:solidFill>
          </w14:textFill>
        </w:rPr>
        <w:t>。</w:t>
      </w:r>
      <w:r>
        <w:rPr>
          <w:rFonts w:hint="eastAsia"/>
          <w:bCs/>
          <w:color w:val="000000" w:themeColor="text1"/>
          <w14:textFill>
            <w14:solidFill>
              <w14:schemeClr w14:val="tx1"/>
            </w14:solidFill>
          </w14:textFill>
        </w:rPr>
        <w:t>参照</w:t>
      </w:r>
      <w:r>
        <w:rPr>
          <w:bCs/>
          <w:color w:val="000000" w:themeColor="text1"/>
          <w14:textFill>
            <w14:solidFill>
              <w14:schemeClr w14:val="tx1"/>
            </w14:solidFill>
          </w14:textFill>
        </w:rPr>
        <w:t>《</w:t>
      </w:r>
      <w:r>
        <w:rPr>
          <w:rFonts w:hint="eastAsia"/>
          <w:bCs/>
          <w:color w:val="000000" w:themeColor="text1"/>
          <w14:textFill>
            <w14:solidFill>
              <w14:schemeClr w14:val="tx1"/>
            </w14:solidFill>
          </w14:textFill>
        </w:rPr>
        <w:t>污染源源强核算技术指南 石油炼制工业</w:t>
      </w:r>
      <w:r>
        <w:rPr>
          <w:bCs/>
          <w:color w:val="000000" w:themeColor="text1"/>
          <w14:textFill>
            <w14:solidFill>
              <w14:schemeClr w14:val="tx1"/>
            </w14:solidFill>
          </w14:textFill>
        </w:rPr>
        <w:t>》</w:t>
      </w:r>
      <w:r>
        <w:rPr>
          <w:rFonts w:hint="eastAsia"/>
          <w:bCs/>
          <w:color w:val="000000" w:themeColor="text1"/>
          <w14:textFill>
            <w14:solidFill>
              <w14:schemeClr w14:val="tx1"/>
            </w14:solidFill>
          </w14:textFill>
        </w:rPr>
        <w:t>（H</w:t>
      </w:r>
      <w:r>
        <w:rPr>
          <w:bCs/>
          <w:color w:val="000000" w:themeColor="text1"/>
          <w14:textFill>
            <w14:solidFill>
              <w14:schemeClr w14:val="tx1"/>
            </w14:solidFill>
          </w14:textFill>
        </w:rPr>
        <w:t>J982-2018</w:t>
      </w:r>
      <w:r>
        <w:rPr>
          <w:rFonts w:hint="eastAsia"/>
          <w:bCs/>
          <w:color w:val="000000" w:themeColor="text1"/>
          <w14:textFill>
            <w14:solidFill>
              <w14:schemeClr w14:val="tx1"/>
            </w14:solidFill>
          </w14:textFill>
        </w:rPr>
        <w:t>）中火炬焚烧排放废气产污系数法进行核算：</w:t>
      </w:r>
    </w:p>
    <w:p w14:paraId="71F7DBE1">
      <w:pPr>
        <w:pStyle w:val="117"/>
        <w:spacing w:line="480" w:lineRule="exact"/>
        <w:ind w:firstLine="480"/>
        <w:rPr>
          <w:rFonts w:hint="eastAsia"/>
          <w:bCs/>
          <w:color w:val="000000" w:themeColor="text1"/>
          <w14:textFill>
            <w14:solidFill>
              <w14:schemeClr w14:val="tx1"/>
            </w14:solidFill>
          </w14:textFill>
        </w:rPr>
      </w:pPr>
    </w:p>
    <w:p w14:paraId="4CBB2CDD">
      <w:pPr>
        <w:pStyle w:val="117"/>
        <w:spacing w:line="480" w:lineRule="exact"/>
        <w:ind w:firstLine="480"/>
        <w:rPr>
          <w:rFonts w:hint="eastAsia"/>
          <w:bCs/>
          <w:color w:val="000000" w:themeColor="text1"/>
          <w14:textFill>
            <w14:solidFill>
              <w14:schemeClr w14:val="tx1"/>
            </w14:solidFill>
          </w14:textFill>
        </w:rPr>
      </w:pPr>
      <w:r>
        <w:rPr>
          <w:color w:val="000000" w:themeColor="text1"/>
          <w14:textFill>
            <w14:solidFill>
              <w14:schemeClr w14:val="tx1"/>
            </w14:solidFill>
          </w14:textFill>
        </w:rPr>
        <w:drawing>
          <wp:anchor distT="0" distB="0" distL="114300" distR="114300" simplePos="0" relativeHeight="251672576" behindDoc="0" locked="0" layoutInCell="1" allowOverlap="1">
            <wp:simplePos x="0" y="0"/>
            <wp:positionH relativeFrom="margin">
              <wp:posOffset>1600200</wp:posOffset>
            </wp:positionH>
            <wp:positionV relativeFrom="paragraph">
              <wp:posOffset>-52070</wp:posOffset>
            </wp:positionV>
            <wp:extent cx="2339340" cy="739775"/>
            <wp:effectExtent l="0" t="0" r="4445" b="3810"/>
            <wp:wrapNone/>
            <wp:docPr id="2035538528" name="图片 2035538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5538528" name="图片 203553852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2339198" cy="739471"/>
                    </a:xfrm>
                    <a:prstGeom prst="rect">
                      <a:avLst/>
                    </a:prstGeom>
                    <a:noFill/>
                    <a:ln>
                      <a:noFill/>
                    </a:ln>
                  </pic:spPr>
                </pic:pic>
              </a:graphicData>
            </a:graphic>
          </wp:anchor>
        </w:drawing>
      </w:r>
    </w:p>
    <w:p w14:paraId="43B50A4E">
      <w:pPr>
        <w:pStyle w:val="117"/>
        <w:spacing w:line="480" w:lineRule="exact"/>
        <w:ind w:firstLine="480"/>
        <w:rPr>
          <w:rFonts w:hint="eastAsia"/>
          <w:bCs/>
          <w:color w:val="000000" w:themeColor="text1"/>
          <w14:textFill>
            <w14:solidFill>
              <w14:schemeClr w14:val="tx1"/>
            </w14:solidFill>
          </w14:textFill>
        </w:rPr>
      </w:pPr>
    </w:p>
    <w:p w14:paraId="13591B05">
      <w:pPr>
        <w:pStyle w:val="117"/>
        <w:spacing w:line="480" w:lineRule="exact"/>
        <w:ind w:firstLine="480"/>
        <w:rPr>
          <w:rFonts w:hint="eastAsia"/>
          <w:bCs/>
          <w:color w:val="000000" w:themeColor="text1"/>
          <w14:textFill>
            <w14:solidFill>
              <w14:schemeClr w14:val="tx1"/>
            </w14:solidFill>
          </w14:textFill>
        </w:rPr>
      </w:pPr>
      <w:r>
        <w:rPr>
          <w:rFonts w:hint="eastAsia"/>
          <w:bCs/>
          <w:color w:val="000000" w:themeColor="text1"/>
          <w14:textFill>
            <w14:solidFill>
              <w14:schemeClr w14:val="tx1"/>
            </w14:solidFill>
          </w14:textFill>
        </w:rPr>
        <w:t>式中：</w:t>
      </w:r>
      <w:r>
        <w:rPr>
          <w:bCs/>
          <w:color w:val="000000" w:themeColor="text1"/>
          <w14:textFill>
            <w14:solidFill>
              <w14:schemeClr w14:val="tx1"/>
            </w14:solidFill>
          </w14:textFill>
        </w:rPr>
        <w:t>D</w:t>
      </w:r>
      <w:r>
        <w:rPr>
          <w:rFonts w:hint="eastAsia"/>
          <w:bCs/>
          <w:color w:val="000000" w:themeColor="text1"/>
          <w14:textFill>
            <w14:solidFill>
              <w14:schemeClr w14:val="tx1"/>
            </w14:solidFill>
          </w14:textFill>
        </w:rPr>
        <w:t>—核算时段内火炬排放废气中某种污染物产生量，kg；</w:t>
      </w:r>
    </w:p>
    <w:p w14:paraId="5C6E49A2">
      <w:pPr>
        <w:pStyle w:val="117"/>
        <w:spacing w:line="480" w:lineRule="exact"/>
        <w:ind w:firstLine="480"/>
        <w:rPr>
          <w:rFonts w:hint="eastAsia"/>
          <w:bCs/>
          <w:color w:val="000000" w:themeColor="text1"/>
          <w14:textFill>
            <w14:solidFill>
              <w14:schemeClr w14:val="tx1"/>
            </w14:solidFill>
          </w14:textFill>
        </w:rPr>
      </w:pPr>
      <w:r>
        <w:rPr>
          <w:rFonts w:hint="eastAsia"/>
          <w:bCs/>
          <w:color w:val="000000" w:themeColor="text1"/>
          <w14:textFill>
            <w14:solidFill>
              <w14:schemeClr w14:val="tx1"/>
            </w14:solidFill>
          </w14:textFill>
        </w:rPr>
        <w:t xml:space="preserve"> </w:t>
      </w:r>
      <w:r>
        <w:rPr>
          <w:bCs/>
          <w:color w:val="000000" w:themeColor="text1"/>
          <w14:textFill>
            <w14:solidFill>
              <w14:schemeClr w14:val="tx1"/>
            </w14:solidFill>
          </w14:textFill>
        </w:rPr>
        <w:t xml:space="preserve">     </w:t>
      </w:r>
      <w:r>
        <w:rPr>
          <w:rFonts w:hint="eastAsia"/>
          <w:bCs/>
          <w:color w:val="000000" w:themeColor="text1"/>
          <w14:textFill>
            <w14:solidFill>
              <w14:schemeClr w14:val="tx1"/>
            </w14:solidFill>
          </w14:textFill>
        </w:rPr>
        <w:t>n—火炬个数，量纲一的量；</w:t>
      </w:r>
    </w:p>
    <w:p w14:paraId="0E0BBC3F">
      <w:pPr>
        <w:pStyle w:val="117"/>
        <w:spacing w:line="480" w:lineRule="exact"/>
        <w:ind w:firstLine="480"/>
        <w:rPr>
          <w:rFonts w:hint="eastAsia"/>
          <w:bCs/>
          <w:color w:val="000000" w:themeColor="text1"/>
          <w14:textFill>
            <w14:solidFill>
              <w14:schemeClr w14:val="tx1"/>
            </w14:solidFill>
          </w14:textFill>
        </w:rPr>
      </w:pPr>
      <w:r>
        <w:rPr>
          <w:rFonts w:hint="eastAsia"/>
          <w:bCs/>
          <w:color w:val="000000" w:themeColor="text1"/>
          <w14:textFill>
            <w14:solidFill>
              <w14:schemeClr w14:val="tx1"/>
            </w14:solidFill>
          </w14:textFill>
        </w:rPr>
        <w:t xml:space="preserve"> </w:t>
      </w:r>
      <w:r>
        <w:rPr>
          <w:bCs/>
          <w:color w:val="000000" w:themeColor="text1"/>
          <w14:textFill>
            <w14:solidFill>
              <w14:schemeClr w14:val="tx1"/>
            </w14:solidFill>
          </w14:textFill>
        </w:rPr>
        <w:t xml:space="preserve">     </w:t>
      </w:r>
      <w:r>
        <w:rPr>
          <w:rFonts w:hint="eastAsia"/>
          <w:bCs/>
          <w:color w:val="000000" w:themeColor="text1"/>
          <w14:textFill>
            <w14:solidFill>
              <w14:schemeClr w14:val="tx1"/>
            </w14:solidFill>
          </w14:textFill>
        </w:rPr>
        <w:t>S</w:t>
      </w:r>
      <w:r>
        <w:rPr>
          <w:rFonts w:hint="eastAsia"/>
          <w:bCs/>
          <w:color w:val="000000" w:themeColor="text1"/>
          <w:vertAlign w:val="subscript"/>
          <w14:textFill>
            <w14:solidFill>
              <w14:schemeClr w14:val="tx1"/>
            </w14:solidFill>
          </w14:textFill>
        </w:rPr>
        <w:t>i</w:t>
      </w:r>
      <w:r>
        <w:rPr>
          <w:rFonts w:hint="eastAsia"/>
          <w:bCs/>
          <w:color w:val="000000" w:themeColor="text1"/>
          <w14:textFill>
            <w14:solidFill>
              <w14:schemeClr w14:val="tx1"/>
            </w14:solidFill>
          </w14:textFill>
        </w:rPr>
        <w:t>—核算时段内火炬气中的硫含量，kg</w:t>
      </w:r>
      <w:r>
        <w:rPr>
          <w:bCs/>
          <w:color w:val="000000" w:themeColor="text1"/>
          <w14:textFill>
            <w14:solidFill>
              <w14:schemeClr w14:val="tx1"/>
            </w14:solidFill>
          </w14:textFill>
        </w:rPr>
        <w:t>/</w:t>
      </w:r>
      <w:r>
        <w:rPr>
          <w:rFonts w:hint="eastAsia"/>
          <w:bCs/>
          <w:color w:val="000000" w:themeColor="text1"/>
          <w14:textFill>
            <w14:solidFill>
              <w14:schemeClr w14:val="tx1"/>
            </w14:solidFill>
          </w14:textFill>
        </w:rPr>
        <w:t>m</w:t>
      </w:r>
      <w:r>
        <w:rPr>
          <w:bCs/>
          <w:color w:val="000000" w:themeColor="text1"/>
          <w:vertAlign w:val="superscript"/>
          <w14:textFill>
            <w14:solidFill>
              <w14:schemeClr w14:val="tx1"/>
            </w14:solidFill>
          </w14:textFill>
        </w:rPr>
        <w:t>3</w:t>
      </w:r>
      <w:r>
        <w:rPr>
          <w:rFonts w:hint="eastAsia"/>
          <w:bCs/>
          <w:color w:val="000000" w:themeColor="text1"/>
          <w14:textFill>
            <w14:solidFill>
              <w14:schemeClr w14:val="tx1"/>
            </w14:solidFill>
          </w14:textFill>
        </w:rPr>
        <w:t>；</w:t>
      </w:r>
    </w:p>
    <w:p w14:paraId="7341820B">
      <w:pPr>
        <w:pStyle w:val="117"/>
        <w:spacing w:line="480" w:lineRule="exact"/>
        <w:ind w:firstLine="480"/>
        <w:rPr>
          <w:rFonts w:hint="eastAsia"/>
          <w:bCs/>
          <w:color w:val="000000" w:themeColor="text1"/>
          <w14:textFill>
            <w14:solidFill>
              <w14:schemeClr w14:val="tx1"/>
            </w14:solidFill>
          </w14:textFill>
        </w:rPr>
      </w:pPr>
      <w:r>
        <w:rPr>
          <w:bCs/>
          <w:color w:val="000000" w:themeColor="text1"/>
          <w14:textFill>
            <w14:solidFill>
              <w14:schemeClr w14:val="tx1"/>
            </w14:solidFill>
          </w14:textFill>
        </w:rPr>
        <w:t xml:space="preserve">      Q</w:t>
      </w:r>
      <w:r>
        <w:rPr>
          <w:rFonts w:hint="eastAsia"/>
          <w:bCs/>
          <w:color w:val="000000" w:themeColor="text1"/>
          <w:vertAlign w:val="subscript"/>
          <w14:textFill>
            <w14:solidFill>
              <w14:schemeClr w14:val="tx1"/>
            </w14:solidFill>
          </w14:textFill>
        </w:rPr>
        <w:t>i</w:t>
      </w:r>
      <w:r>
        <w:rPr>
          <w:rFonts w:hint="eastAsia"/>
          <w:bCs/>
          <w:color w:val="000000" w:themeColor="text1"/>
          <w14:textFill>
            <w14:solidFill>
              <w14:schemeClr w14:val="tx1"/>
            </w14:solidFill>
          </w14:textFill>
        </w:rPr>
        <w:t>—核算时段内火炬气流量，m</w:t>
      </w:r>
      <w:r>
        <w:rPr>
          <w:bCs/>
          <w:color w:val="000000" w:themeColor="text1"/>
          <w:vertAlign w:val="superscript"/>
          <w14:textFill>
            <w14:solidFill>
              <w14:schemeClr w14:val="tx1"/>
            </w14:solidFill>
          </w14:textFill>
        </w:rPr>
        <w:t>3</w:t>
      </w:r>
      <w:r>
        <w:rPr>
          <w:bCs/>
          <w:color w:val="000000" w:themeColor="text1"/>
          <w14:textFill>
            <w14:solidFill>
              <w14:schemeClr w14:val="tx1"/>
            </w14:solidFill>
          </w14:textFill>
        </w:rPr>
        <w:t>/</w:t>
      </w:r>
      <w:r>
        <w:rPr>
          <w:rFonts w:hint="eastAsia"/>
          <w:bCs/>
          <w:color w:val="000000" w:themeColor="text1"/>
          <w14:textFill>
            <w14:solidFill>
              <w14:schemeClr w14:val="tx1"/>
            </w14:solidFill>
          </w14:textFill>
        </w:rPr>
        <w:t>h；</w:t>
      </w:r>
    </w:p>
    <w:p w14:paraId="3326D2F0">
      <w:pPr>
        <w:pStyle w:val="117"/>
        <w:spacing w:line="480" w:lineRule="exact"/>
        <w:ind w:firstLine="480"/>
        <w:rPr>
          <w:rFonts w:hint="eastAsia"/>
          <w:bCs/>
          <w:color w:val="000000" w:themeColor="text1"/>
          <w14:textFill>
            <w14:solidFill>
              <w14:schemeClr w14:val="tx1"/>
            </w14:solidFill>
          </w14:textFill>
        </w:rPr>
      </w:pPr>
      <w:r>
        <w:rPr>
          <w:rFonts w:hint="eastAsia"/>
          <w:bCs/>
          <w:color w:val="000000" w:themeColor="text1"/>
          <w14:textFill>
            <w14:solidFill>
              <w14:schemeClr w14:val="tx1"/>
            </w14:solidFill>
          </w14:textFill>
        </w:rPr>
        <w:t xml:space="preserve"> </w:t>
      </w:r>
      <w:r>
        <w:rPr>
          <w:bCs/>
          <w:color w:val="000000" w:themeColor="text1"/>
          <w14:textFill>
            <w14:solidFill>
              <w14:schemeClr w14:val="tx1"/>
            </w14:solidFill>
          </w14:textFill>
        </w:rPr>
        <w:t xml:space="preserve">     </w:t>
      </w:r>
      <w:r>
        <w:rPr>
          <w:rFonts w:hint="eastAsia"/>
          <w:bCs/>
          <w:color w:val="000000" w:themeColor="text1"/>
          <w14:textFill>
            <w14:solidFill>
              <w14:schemeClr w14:val="tx1"/>
            </w14:solidFill>
          </w14:textFill>
        </w:rPr>
        <w:t>t</w:t>
      </w:r>
      <w:r>
        <w:rPr>
          <w:rFonts w:hint="eastAsia"/>
          <w:bCs/>
          <w:color w:val="000000" w:themeColor="text1"/>
          <w:vertAlign w:val="subscript"/>
          <w14:textFill>
            <w14:solidFill>
              <w14:schemeClr w14:val="tx1"/>
            </w14:solidFill>
          </w14:textFill>
        </w:rPr>
        <w:t>i</w:t>
      </w:r>
      <w:r>
        <w:rPr>
          <w:rFonts w:hint="eastAsia"/>
          <w:bCs/>
          <w:color w:val="000000" w:themeColor="text1"/>
          <w14:textFill>
            <w14:solidFill>
              <w14:schemeClr w14:val="tx1"/>
            </w14:solidFill>
          </w14:textFill>
        </w:rPr>
        <w:t>—火炬年运行时间，h；</w:t>
      </w:r>
    </w:p>
    <w:p w14:paraId="73770D3D">
      <w:pPr>
        <w:pStyle w:val="117"/>
        <w:spacing w:line="480" w:lineRule="exact"/>
        <w:ind w:firstLine="480"/>
        <w:rPr>
          <w:rFonts w:hint="eastAsia"/>
          <w:bCs/>
          <w:color w:val="000000" w:themeColor="text1"/>
          <w14:textFill>
            <w14:solidFill>
              <w14:schemeClr w14:val="tx1"/>
            </w14:solidFill>
          </w14:textFill>
        </w:rPr>
      </w:pPr>
      <w:r>
        <w:rPr>
          <w:rFonts w:hint="eastAsia"/>
          <w:bCs/>
          <w:color w:val="000000" w:themeColor="text1"/>
          <w14:textFill>
            <w14:solidFill>
              <w14:schemeClr w14:val="tx1"/>
            </w14:solidFill>
          </w14:textFill>
        </w:rPr>
        <w:t xml:space="preserve"> </w:t>
      </w:r>
      <w:r>
        <w:rPr>
          <w:bCs/>
          <w:color w:val="000000" w:themeColor="text1"/>
          <w14:textFill>
            <w14:solidFill>
              <w14:schemeClr w14:val="tx1"/>
            </w14:solidFill>
          </w14:textFill>
        </w:rPr>
        <w:t xml:space="preserve">     </w:t>
      </w:r>
      <w:r>
        <w:rPr>
          <w:rFonts w:hint="eastAsia"/>
          <w:bCs/>
          <w:color w:val="000000" w:themeColor="text1"/>
          <w14:textFill>
            <w14:solidFill>
              <w14:schemeClr w14:val="tx1"/>
            </w14:solidFill>
          </w14:textFill>
        </w:rPr>
        <w:t>α—排放系数，kg</w:t>
      </w:r>
      <w:r>
        <w:rPr>
          <w:bCs/>
          <w:color w:val="000000" w:themeColor="text1"/>
          <w14:textFill>
            <w14:solidFill>
              <w14:schemeClr w14:val="tx1"/>
            </w14:solidFill>
          </w14:textFill>
        </w:rPr>
        <w:t>/</w:t>
      </w:r>
      <w:r>
        <w:rPr>
          <w:rFonts w:hint="eastAsia"/>
          <w:bCs/>
          <w:color w:val="000000" w:themeColor="text1"/>
          <w14:textFill>
            <w14:solidFill>
              <w14:schemeClr w14:val="tx1"/>
            </w14:solidFill>
          </w14:textFill>
        </w:rPr>
        <w:t>m</w:t>
      </w:r>
      <w:r>
        <w:rPr>
          <w:bCs/>
          <w:color w:val="000000" w:themeColor="text1"/>
          <w:vertAlign w:val="superscript"/>
          <w14:textFill>
            <w14:solidFill>
              <w14:schemeClr w14:val="tx1"/>
            </w14:solidFill>
          </w14:textFill>
        </w:rPr>
        <w:t>3</w:t>
      </w:r>
      <w:r>
        <w:rPr>
          <w:rFonts w:hint="eastAsia"/>
          <w:bCs/>
          <w:color w:val="000000" w:themeColor="text1"/>
          <w14:textFill>
            <w14:solidFill>
              <w14:schemeClr w14:val="tx1"/>
            </w14:solidFill>
          </w14:textFill>
        </w:rPr>
        <w:t>，氮氧化物取0</w:t>
      </w:r>
      <w:r>
        <w:rPr>
          <w:bCs/>
          <w:color w:val="000000" w:themeColor="text1"/>
          <w14:textFill>
            <w14:solidFill>
              <w14:schemeClr w14:val="tx1"/>
            </w14:solidFill>
          </w14:textFill>
        </w:rPr>
        <w:t>.054</w:t>
      </w:r>
      <w:r>
        <w:rPr>
          <w:rFonts w:hint="eastAsia"/>
          <w:bCs/>
          <w:color w:val="000000" w:themeColor="text1"/>
          <w14:textFill>
            <w14:solidFill>
              <w14:schemeClr w14:val="tx1"/>
            </w14:solidFill>
          </w14:textFill>
        </w:rPr>
        <w:t>。</w:t>
      </w:r>
    </w:p>
    <w:p w14:paraId="3943C503">
      <w:pPr>
        <w:pStyle w:val="117"/>
        <w:spacing w:line="480" w:lineRule="exact"/>
        <w:ind w:firstLine="480"/>
        <w:rPr>
          <w:rFonts w:hint="eastAsia"/>
          <w:bCs/>
          <w:color w:val="000000" w:themeColor="text1"/>
          <w14:textFill>
            <w14:solidFill>
              <w14:schemeClr w14:val="tx1"/>
            </w14:solidFill>
          </w14:textFill>
        </w:rPr>
      </w:pPr>
      <w:r>
        <w:rPr>
          <w:rFonts w:hint="eastAsia"/>
          <w:bCs/>
          <w:color w:val="000000" w:themeColor="text1"/>
          <w14:textFill>
            <w14:solidFill>
              <w14:schemeClr w14:val="tx1"/>
            </w14:solidFill>
          </w14:textFill>
        </w:rPr>
        <w:t>本项目伴生气中硫化氢含量为41.7mg/m</w:t>
      </w:r>
      <w:r>
        <w:rPr>
          <w:rFonts w:hint="eastAsia"/>
          <w:bCs/>
          <w:color w:val="000000" w:themeColor="text1"/>
          <w:vertAlign w:val="superscript"/>
          <w14:textFill>
            <w14:solidFill>
              <w14:schemeClr w14:val="tx1"/>
            </w14:solidFill>
          </w14:textFill>
        </w:rPr>
        <w:t>3</w:t>
      </w:r>
      <w:r>
        <w:rPr>
          <w:rFonts w:hint="eastAsia"/>
          <w:bCs/>
          <w:color w:val="000000" w:themeColor="text1"/>
          <w14:textFill>
            <w14:solidFill>
              <w14:schemeClr w14:val="tx1"/>
            </w14:solidFill>
          </w14:textFill>
        </w:rPr>
        <w:t>，放喷废气污染物主要为</w:t>
      </w:r>
      <w:bookmarkStart w:id="362" w:name="OLE_LINK226"/>
      <w:r>
        <w:rPr>
          <w:rFonts w:hint="eastAsia"/>
          <w:bCs/>
          <w:color w:val="000000" w:themeColor="text1"/>
          <w14:textFill>
            <w14:solidFill>
              <w14:schemeClr w14:val="tx1"/>
            </w14:solidFill>
          </w14:textFill>
        </w:rPr>
        <w:t>氮氧化物、二氧化硫</w:t>
      </w:r>
      <w:bookmarkEnd w:id="362"/>
      <w:r>
        <w:rPr>
          <w:rFonts w:hint="eastAsia"/>
          <w:bCs/>
          <w:color w:val="000000" w:themeColor="text1"/>
          <w14:textFill>
            <w14:solidFill>
              <w14:schemeClr w14:val="tx1"/>
            </w14:solidFill>
          </w14:textFill>
        </w:rPr>
        <w:t>，事故状况下氮氧化物、二氧化硫排放情况见表3.3-16。</w:t>
      </w:r>
    </w:p>
    <w:p w14:paraId="77E9D4A2">
      <w:pPr>
        <w:pStyle w:val="15"/>
        <w:ind w:firstLine="482"/>
        <w:rPr>
          <w:rStyle w:val="163"/>
          <w:rFonts w:hint="eastAsia"/>
          <w:color w:val="000000" w:themeColor="text1"/>
          <w14:textFill>
            <w14:solidFill>
              <w14:schemeClr w14:val="tx1"/>
            </w14:solidFill>
          </w14:textFill>
        </w:rPr>
      </w:pPr>
      <w:r>
        <w:rPr>
          <w:rStyle w:val="163"/>
          <w:color w:val="000000" w:themeColor="text1"/>
          <w14:textFill>
            <w14:solidFill>
              <w14:schemeClr w14:val="tx1"/>
            </w14:solidFill>
          </w14:textFill>
        </w:rPr>
        <w:t>表</w:t>
      </w:r>
      <w:r>
        <w:rPr>
          <w:rStyle w:val="163"/>
          <w:rFonts w:hint="eastAsia"/>
          <w:color w:val="000000" w:themeColor="text1"/>
          <w14:textFill>
            <w14:solidFill>
              <w14:schemeClr w14:val="tx1"/>
            </w14:solidFill>
          </w14:textFill>
        </w:rPr>
        <w:t>3.3-16  事故状态下氮氧化物、二氧化硫排放量核算表</w:t>
      </w:r>
    </w:p>
    <w:tbl>
      <w:tblPr>
        <w:tblStyle w:val="51"/>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541"/>
        <w:gridCol w:w="946"/>
        <w:gridCol w:w="1130"/>
        <w:gridCol w:w="1069"/>
        <w:gridCol w:w="1418"/>
        <w:gridCol w:w="1007"/>
        <w:gridCol w:w="1358"/>
        <w:gridCol w:w="1261"/>
      </w:tblGrid>
      <w:tr w14:paraId="5943D69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310" w:type="pct"/>
            <w:vAlign w:val="center"/>
          </w:tcPr>
          <w:p w14:paraId="608F552B">
            <w:pPr>
              <w:pStyle w:val="278"/>
              <w:adjustRightInd w:val="0"/>
              <w:snapToGrid w:val="0"/>
              <w:spacing w:line="300" w:lineRule="exact"/>
              <w:rPr>
                <w:rFonts w:hint="eastAsia"/>
                <w:snapToGrid w:val="0"/>
                <w:color w:val="000000" w:themeColor="text1"/>
                <w14:textFill>
                  <w14:solidFill>
                    <w14:schemeClr w14:val="tx1"/>
                  </w14:solidFill>
                </w14:textFill>
              </w:rPr>
            </w:pPr>
            <w:r>
              <w:rPr>
                <w:rFonts w:hint="eastAsia"/>
                <w:snapToGrid w:val="0"/>
                <w:color w:val="000000" w:themeColor="text1"/>
                <w14:textFill>
                  <w14:solidFill>
                    <w14:schemeClr w14:val="tx1"/>
                  </w14:solidFill>
                </w14:textFill>
              </w:rPr>
              <w:t>序号</w:t>
            </w:r>
          </w:p>
        </w:tc>
        <w:tc>
          <w:tcPr>
            <w:tcW w:w="542" w:type="pct"/>
            <w:vAlign w:val="center"/>
          </w:tcPr>
          <w:p w14:paraId="75C33872">
            <w:pPr>
              <w:pStyle w:val="278"/>
              <w:adjustRightInd w:val="0"/>
              <w:snapToGrid w:val="0"/>
              <w:spacing w:line="300" w:lineRule="exact"/>
              <w:rPr>
                <w:rFonts w:hint="eastAsia"/>
                <w:snapToGrid w:val="0"/>
                <w:color w:val="000000" w:themeColor="text1"/>
                <w14:textFill>
                  <w14:solidFill>
                    <w14:schemeClr w14:val="tx1"/>
                  </w14:solidFill>
                </w14:textFill>
              </w:rPr>
            </w:pPr>
            <w:r>
              <w:rPr>
                <w:rFonts w:hint="eastAsia"/>
                <w:snapToGrid w:val="0"/>
                <w:color w:val="000000" w:themeColor="text1"/>
                <w14:textFill>
                  <w14:solidFill>
                    <w14:schemeClr w14:val="tx1"/>
                  </w14:solidFill>
                </w14:textFill>
              </w:rPr>
              <w:t>污染源</w:t>
            </w:r>
          </w:p>
        </w:tc>
        <w:tc>
          <w:tcPr>
            <w:tcW w:w="647" w:type="pct"/>
            <w:vAlign w:val="center"/>
          </w:tcPr>
          <w:p w14:paraId="5D5967D8">
            <w:pPr>
              <w:pStyle w:val="278"/>
              <w:adjustRightInd w:val="0"/>
              <w:snapToGrid w:val="0"/>
              <w:spacing w:line="300" w:lineRule="exact"/>
              <w:rPr>
                <w:rFonts w:hint="eastAsia"/>
                <w:snapToGrid w:val="0"/>
                <w:color w:val="000000" w:themeColor="text1"/>
                <w14:textFill>
                  <w14:solidFill>
                    <w14:schemeClr w14:val="tx1"/>
                  </w14:solidFill>
                </w14:textFill>
              </w:rPr>
            </w:pPr>
            <w:r>
              <w:rPr>
                <w:rFonts w:hint="eastAsia"/>
                <w:snapToGrid w:val="0"/>
                <w:color w:val="000000" w:themeColor="text1"/>
                <w14:textFill>
                  <w14:solidFill>
                    <w14:schemeClr w14:val="tx1"/>
                  </w14:solidFill>
                </w14:textFill>
              </w:rPr>
              <w:t>事故排放原因</w:t>
            </w:r>
          </w:p>
        </w:tc>
        <w:tc>
          <w:tcPr>
            <w:tcW w:w="612" w:type="pct"/>
            <w:vAlign w:val="center"/>
          </w:tcPr>
          <w:p w14:paraId="49F1C22E">
            <w:pPr>
              <w:pStyle w:val="278"/>
              <w:adjustRightInd w:val="0"/>
              <w:snapToGrid w:val="0"/>
              <w:spacing w:line="300" w:lineRule="exact"/>
              <w:rPr>
                <w:rFonts w:hint="eastAsia"/>
                <w:snapToGrid w:val="0"/>
                <w:color w:val="000000" w:themeColor="text1"/>
                <w14:textFill>
                  <w14:solidFill>
                    <w14:schemeClr w14:val="tx1"/>
                  </w14:solidFill>
                </w14:textFill>
              </w:rPr>
            </w:pPr>
            <w:r>
              <w:rPr>
                <w:rFonts w:hint="eastAsia"/>
                <w:snapToGrid w:val="0"/>
                <w:color w:val="000000" w:themeColor="text1"/>
                <w14:textFill>
                  <w14:solidFill>
                    <w14:schemeClr w14:val="tx1"/>
                  </w14:solidFill>
                </w14:textFill>
              </w:rPr>
              <w:t>污染物</w:t>
            </w:r>
          </w:p>
        </w:tc>
        <w:tc>
          <w:tcPr>
            <w:tcW w:w="812" w:type="pct"/>
            <w:vAlign w:val="center"/>
          </w:tcPr>
          <w:p w14:paraId="5AB32A16">
            <w:pPr>
              <w:pStyle w:val="278"/>
              <w:adjustRightInd w:val="0"/>
              <w:snapToGrid w:val="0"/>
              <w:spacing w:line="300" w:lineRule="exact"/>
              <w:rPr>
                <w:rFonts w:hint="eastAsia"/>
                <w:snapToGrid w:val="0"/>
                <w:color w:val="000000" w:themeColor="text1"/>
                <w14:textFill>
                  <w14:solidFill>
                    <w14:schemeClr w14:val="tx1"/>
                  </w14:solidFill>
                </w14:textFill>
              </w:rPr>
            </w:pPr>
            <w:r>
              <w:rPr>
                <w:rFonts w:hint="eastAsia"/>
                <w:snapToGrid w:val="0"/>
                <w:color w:val="000000" w:themeColor="text1"/>
                <w14:textFill>
                  <w14:solidFill>
                    <w14:schemeClr w14:val="tx1"/>
                  </w14:solidFill>
                </w14:textFill>
              </w:rPr>
              <w:t>非正常排放速率（</w:t>
            </w:r>
            <w:r>
              <w:rPr>
                <w:snapToGrid w:val="0"/>
                <w:color w:val="000000" w:themeColor="text1"/>
                <w14:textFill>
                  <w14:solidFill>
                    <w14:schemeClr w14:val="tx1"/>
                  </w14:solidFill>
                </w14:textFill>
              </w:rPr>
              <w:t>kg/h</w:t>
            </w:r>
            <w:r>
              <w:rPr>
                <w:rFonts w:hint="eastAsia"/>
                <w:snapToGrid w:val="0"/>
                <w:color w:val="000000" w:themeColor="text1"/>
                <w14:textFill>
                  <w14:solidFill>
                    <w14:schemeClr w14:val="tx1"/>
                  </w14:solidFill>
                </w14:textFill>
              </w:rPr>
              <w:t>）</w:t>
            </w:r>
          </w:p>
        </w:tc>
        <w:tc>
          <w:tcPr>
            <w:tcW w:w="577" w:type="pct"/>
            <w:vAlign w:val="center"/>
          </w:tcPr>
          <w:p w14:paraId="266283DB">
            <w:pPr>
              <w:pStyle w:val="278"/>
              <w:adjustRightInd w:val="0"/>
              <w:snapToGrid w:val="0"/>
              <w:spacing w:line="300" w:lineRule="exact"/>
              <w:rPr>
                <w:rFonts w:hint="eastAsia"/>
                <w:snapToGrid w:val="0"/>
                <w:color w:val="000000" w:themeColor="text1"/>
                <w14:textFill>
                  <w14:solidFill>
                    <w14:schemeClr w14:val="tx1"/>
                  </w14:solidFill>
                </w14:textFill>
              </w:rPr>
            </w:pPr>
            <w:r>
              <w:rPr>
                <w:rFonts w:hint="eastAsia"/>
                <w:snapToGrid w:val="0"/>
                <w:color w:val="000000" w:themeColor="text1"/>
                <w14:textFill>
                  <w14:solidFill>
                    <w14:schemeClr w14:val="tx1"/>
                  </w14:solidFill>
                </w14:textFill>
              </w:rPr>
              <w:t>单次持续时间（h）</w:t>
            </w:r>
          </w:p>
        </w:tc>
        <w:tc>
          <w:tcPr>
            <w:tcW w:w="778" w:type="pct"/>
            <w:vAlign w:val="center"/>
          </w:tcPr>
          <w:p w14:paraId="2C6937AF">
            <w:pPr>
              <w:pStyle w:val="278"/>
              <w:adjustRightInd w:val="0"/>
              <w:snapToGrid w:val="0"/>
              <w:spacing w:line="300" w:lineRule="exact"/>
              <w:rPr>
                <w:rFonts w:hint="eastAsia"/>
                <w:snapToGrid w:val="0"/>
                <w:color w:val="000000" w:themeColor="text1"/>
                <w14:textFill>
                  <w14:solidFill>
                    <w14:schemeClr w14:val="tx1"/>
                  </w14:solidFill>
                </w14:textFill>
              </w:rPr>
            </w:pPr>
            <w:r>
              <w:rPr>
                <w:rFonts w:hint="eastAsia"/>
                <w:snapToGrid w:val="0"/>
                <w:color w:val="000000" w:themeColor="text1"/>
                <w14:textFill>
                  <w14:solidFill>
                    <w14:schemeClr w14:val="tx1"/>
                  </w14:solidFill>
                </w14:textFill>
              </w:rPr>
              <w:t>非正常排放量（kg）</w:t>
            </w:r>
          </w:p>
        </w:tc>
        <w:tc>
          <w:tcPr>
            <w:tcW w:w="722" w:type="pct"/>
            <w:vAlign w:val="center"/>
          </w:tcPr>
          <w:p w14:paraId="5B8A0738">
            <w:pPr>
              <w:pStyle w:val="278"/>
              <w:adjustRightInd w:val="0"/>
              <w:snapToGrid w:val="0"/>
              <w:spacing w:line="300" w:lineRule="exact"/>
              <w:rPr>
                <w:rFonts w:hint="eastAsia"/>
                <w:snapToGrid w:val="0"/>
                <w:color w:val="000000" w:themeColor="text1"/>
                <w14:textFill>
                  <w14:solidFill>
                    <w14:schemeClr w14:val="tx1"/>
                  </w14:solidFill>
                </w14:textFill>
              </w:rPr>
            </w:pPr>
            <w:r>
              <w:rPr>
                <w:rFonts w:hint="eastAsia"/>
                <w:snapToGrid w:val="0"/>
                <w:color w:val="000000" w:themeColor="text1"/>
                <w14:textFill>
                  <w14:solidFill>
                    <w14:schemeClr w14:val="tx1"/>
                  </w14:solidFill>
                </w14:textFill>
              </w:rPr>
              <w:t>应对措施</w:t>
            </w:r>
          </w:p>
        </w:tc>
      </w:tr>
      <w:tr w14:paraId="15A3519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310" w:type="pct"/>
            <w:vMerge w:val="restart"/>
            <w:vAlign w:val="center"/>
          </w:tcPr>
          <w:p w14:paraId="1A8C6A99">
            <w:pPr>
              <w:pStyle w:val="278"/>
              <w:adjustRightInd w:val="0"/>
              <w:snapToGrid w:val="0"/>
              <w:spacing w:line="300" w:lineRule="exact"/>
              <w:rPr>
                <w:rFonts w:hint="eastAsia"/>
                <w:snapToGrid w:val="0"/>
                <w:color w:val="000000" w:themeColor="text1"/>
                <w14:textFill>
                  <w14:solidFill>
                    <w14:schemeClr w14:val="tx1"/>
                  </w14:solidFill>
                </w14:textFill>
              </w:rPr>
            </w:pPr>
            <w:bookmarkStart w:id="363" w:name="_Hlk171938821"/>
            <w:r>
              <w:rPr>
                <w:rFonts w:hint="eastAsia"/>
                <w:snapToGrid w:val="0"/>
                <w:color w:val="000000" w:themeColor="text1"/>
                <w14:textFill>
                  <w14:solidFill>
                    <w14:schemeClr w14:val="tx1"/>
                  </w14:solidFill>
                </w14:textFill>
              </w:rPr>
              <w:t>1</w:t>
            </w:r>
          </w:p>
        </w:tc>
        <w:tc>
          <w:tcPr>
            <w:tcW w:w="542" w:type="pct"/>
            <w:vMerge w:val="restart"/>
            <w:vAlign w:val="center"/>
          </w:tcPr>
          <w:p w14:paraId="17E24035">
            <w:pPr>
              <w:pStyle w:val="278"/>
              <w:adjustRightInd w:val="0"/>
              <w:snapToGrid w:val="0"/>
              <w:spacing w:line="300" w:lineRule="exact"/>
              <w:rPr>
                <w:rFonts w:hint="eastAsia"/>
                <w:snapToGrid w:val="0"/>
                <w:color w:val="000000" w:themeColor="text1"/>
                <w14:textFill>
                  <w14:solidFill>
                    <w14:schemeClr w14:val="tx1"/>
                  </w14:solidFill>
                </w14:textFill>
              </w:rPr>
            </w:pPr>
            <w:r>
              <w:rPr>
                <w:rFonts w:hint="eastAsia"/>
                <w:snapToGrid w:val="0"/>
                <w:color w:val="000000" w:themeColor="text1"/>
                <w14:textFill>
                  <w14:solidFill>
                    <w14:schemeClr w14:val="tx1"/>
                  </w14:solidFill>
                </w14:textFill>
              </w:rPr>
              <w:t>预处理注入站</w:t>
            </w:r>
          </w:p>
        </w:tc>
        <w:tc>
          <w:tcPr>
            <w:tcW w:w="647" w:type="pct"/>
            <w:vMerge w:val="restart"/>
            <w:vAlign w:val="center"/>
          </w:tcPr>
          <w:p w14:paraId="5DC5F5D0">
            <w:pPr>
              <w:pStyle w:val="278"/>
              <w:adjustRightInd w:val="0"/>
              <w:snapToGrid w:val="0"/>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设备检维修及井喷</w:t>
            </w:r>
          </w:p>
        </w:tc>
        <w:tc>
          <w:tcPr>
            <w:tcW w:w="612" w:type="pct"/>
            <w:vAlign w:val="center"/>
          </w:tcPr>
          <w:p w14:paraId="0E740E1F">
            <w:pPr>
              <w:pStyle w:val="278"/>
              <w:adjustRightInd w:val="0"/>
              <w:snapToGrid w:val="0"/>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氮氧化物</w:t>
            </w:r>
          </w:p>
        </w:tc>
        <w:tc>
          <w:tcPr>
            <w:tcW w:w="812" w:type="pct"/>
            <w:vAlign w:val="center"/>
          </w:tcPr>
          <w:p w14:paraId="154E81C6">
            <w:pPr>
              <w:pStyle w:val="278"/>
              <w:adjustRightInd w:val="0"/>
              <w:snapToGrid w:val="0"/>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37.125</w:t>
            </w:r>
          </w:p>
        </w:tc>
        <w:tc>
          <w:tcPr>
            <w:tcW w:w="577" w:type="pct"/>
            <w:vAlign w:val="center"/>
          </w:tcPr>
          <w:p w14:paraId="7FD5397B">
            <w:pPr>
              <w:pStyle w:val="278"/>
              <w:adjustRightInd w:val="0"/>
              <w:snapToGrid w:val="0"/>
              <w:spacing w:line="300" w:lineRule="exact"/>
              <w:rPr>
                <w:rFonts w:hint="eastAsia"/>
                <w:color w:val="000000" w:themeColor="text1"/>
                <w14:textFill>
                  <w14:solidFill>
                    <w14:schemeClr w14:val="tx1"/>
                  </w14:solidFill>
                </w14:textFill>
              </w:rPr>
            </w:pPr>
            <w:r>
              <w:rPr>
                <w:color w:val="000000" w:themeColor="text1"/>
                <w14:textFill>
                  <w14:solidFill>
                    <w14:schemeClr w14:val="tx1"/>
                  </w14:solidFill>
                </w14:textFill>
              </w:rPr>
              <w:t>6</w:t>
            </w:r>
          </w:p>
        </w:tc>
        <w:tc>
          <w:tcPr>
            <w:tcW w:w="778" w:type="pct"/>
            <w:vAlign w:val="center"/>
          </w:tcPr>
          <w:p w14:paraId="320B187F">
            <w:pPr>
              <w:pStyle w:val="278"/>
              <w:adjustRightInd w:val="0"/>
              <w:snapToGrid w:val="0"/>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222.75</w:t>
            </w:r>
          </w:p>
        </w:tc>
        <w:tc>
          <w:tcPr>
            <w:tcW w:w="722" w:type="pct"/>
            <w:vMerge w:val="restart"/>
            <w:vAlign w:val="center"/>
          </w:tcPr>
          <w:p w14:paraId="6EB7A0DE">
            <w:pPr>
              <w:pStyle w:val="278"/>
              <w:adjustRightInd w:val="0"/>
              <w:snapToGrid w:val="0"/>
              <w:spacing w:line="300" w:lineRule="exact"/>
              <w:rPr>
                <w:rFonts w:hint="eastAsia"/>
                <w:snapToGrid w:val="0"/>
                <w:color w:val="000000" w:themeColor="text1"/>
                <w14:textFill>
                  <w14:solidFill>
                    <w14:schemeClr w14:val="tx1"/>
                  </w14:solidFill>
                </w14:textFill>
              </w:rPr>
            </w:pPr>
            <w:r>
              <w:rPr>
                <w:rFonts w:hint="eastAsia"/>
                <w:snapToGrid w:val="0"/>
                <w:color w:val="000000" w:themeColor="text1"/>
                <w14:textFill>
                  <w14:solidFill>
                    <w14:schemeClr w14:val="tx1"/>
                  </w14:solidFill>
                </w14:textFill>
              </w:rPr>
              <w:t>通过放空火炬燃放空</w:t>
            </w:r>
          </w:p>
        </w:tc>
      </w:tr>
      <w:bookmarkEnd w:id="363"/>
      <w:tr w14:paraId="76B7888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310" w:type="pct"/>
            <w:vMerge w:val="continue"/>
            <w:vAlign w:val="center"/>
          </w:tcPr>
          <w:p w14:paraId="357E1241">
            <w:pPr>
              <w:pStyle w:val="278"/>
              <w:adjustRightInd w:val="0"/>
              <w:snapToGrid w:val="0"/>
              <w:spacing w:line="300" w:lineRule="exact"/>
              <w:rPr>
                <w:rFonts w:hint="eastAsia"/>
                <w:snapToGrid w:val="0"/>
                <w:color w:val="000000" w:themeColor="text1"/>
                <w14:textFill>
                  <w14:solidFill>
                    <w14:schemeClr w14:val="tx1"/>
                  </w14:solidFill>
                </w14:textFill>
              </w:rPr>
            </w:pPr>
          </w:p>
        </w:tc>
        <w:tc>
          <w:tcPr>
            <w:tcW w:w="542" w:type="pct"/>
            <w:vMerge w:val="continue"/>
            <w:vAlign w:val="center"/>
          </w:tcPr>
          <w:p w14:paraId="408F1FE1">
            <w:pPr>
              <w:pStyle w:val="278"/>
              <w:adjustRightInd w:val="0"/>
              <w:snapToGrid w:val="0"/>
              <w:spacing w:line="300" w:lineRule="exact"/>
              <w:rPr>
                <w:rFonts w:hint="eastAsia"/>
                <w:snapToGrid w:val="0"/>
                <w:color w:val="000000" w:themeColor="text1"/>
                <w14:textFill>
                  <w14:solidFill>
                    <w14:schemeClr w14:val="tx1"/>
                  </w14:solidFill>
                </w14:textFill>
              </w:rPr>
            </w:pPr>
          </w:p>
        </w:tc>
        <w:tc>
          <w:tcPr>
            <w:tcW w:w="647" w:type="pct"/>
            <w:vMerge w:val="continue"/>
            <w:vAlign w:val="center"/>
          </w:tcPr>
          <w:p w14:paraId="4DC6D387">
            <w:pPr>
              <w:pStyle w:val="278"/>
              <w:adjustRightInd w:val="0"/>
              <w:snapToGrid w:val="0"/>
              <w:spacing w:line="300" w:lineRule="exact"/>
              <w:rPr>
                <w:rFonts w:hint="eastAsia"/>
                <w:color w:val="000000" w:themeColor="text1"/>
                <w14:textFill>
                  <w14:solidFill>
                    <w14:schemeClr w14:val="tx1"/>
                  </w14:solidFill>
                </w14:textFill>
              </w:rPr>
            </w:pPr>
          </w:p>
        </w:tc>
        <w:tc>
          <w:tcPr>
            <w:tcW w:w="612" w:type="pct"/>
            <w:vAlign w:val="center"/>
          </w:tcPr>
          <w:p w14:paraId="5FADC53F">
            <w:pPr>
              <w:pStyle w:val="278"/>
              <w:adjustRightInd w:val="0"/>
              <w:snapToGrid w:val="0"/>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二氧化硫</w:t>
            </w:r>
          </w:p>
        </w:tc>
        <w:tc>
          <w:tcPr>
            <w:tcW w:w="812" w:type="pct"/>
            <w:vAlign w:val="center"/>
          </w:tcPr>
          <w:p w14:paraId="2874EE9C">
            <w:pPr>
              <w:pStyle w:val="278"/>
              <w:adjustRightInd w:val="0"/>
              <w:snapToGrid w:val="0"/>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0.054</w:t>
            </w:r>
          </w:p>
        </w:tc>
        <w:tc>
          <w:tcPr>
            <w:tcW w:w="577" w:type="pct"/>
            <w:vAlign w:val="center"/>
          </w:tcPr>
          <w:p w14:paraId="28F29FA7">
            <w:pPr>
              <w:pStyle w:val="278"/>
              <w:adjustRightInd w:val="0"/>
              <w:snapToGrid w:val="0"/>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6</w:t>
            </w:r>
          </w:p>
        </w:tc>
        <w:tc>
          <w:tcPr>
            <w:tcW w:w="778" w:type="pct"/>
            <w:vAlign w:val="center"/>
          </w:tcPr>
          <w:p w14:paraId="7EE3A05B">
            <w:pPr>
              <w:pStyle w:val="278"/>
              <w:adjustRightInd w:val="0"/>
              <w:snapToGrid w:val="0"/>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0.324</w:t>
            </w:r>
          </w:p>
        </w:tc>
        <w:tc>
          <w:tcPr>
            <w:tcW w:w="722" w:type="pct"/>
            <w:vMerge w:val="continue"/>
          </w:tcPr>
          <w:p w14:paraId="7D8BC954">
            <w:pPr>
              <w:pStyle w:val="278"/>
              <w:adjustRightInd w:val="0"/>
              <w:snapToGrid w:val="0"/>
              <w:spacing w:line="300" w:lineRule="exact"/>
              <w:rPr>
                <w:rFonts w:hint="eastAsia"/>
                <w:snapToGrid w:val="0"/>
                <w:color w:val="000000" w:themeColor="text1"/>
                <w14:textFill>
                  <w14:solidFill>
                    <w14:schemeClr w14:val="tx1"/>
                  </w14:solidFill>
                </w14:textFill>
              </w:rPr>
            </w:pPr>
          </w:p>
        </w:tc>
      </w:tr>
    </w:tbl>
    <w:p w14:paraId="79FDD4B2">
      <w:pPr>
        <w:pStyle w:val="2"/>
        <w:ind w:left="0"/>
        <w:rPr>
          <w:rFonts w:hint="eastAsia"/>
          <w:color w:val="000000" w:themeColor="text1"/>
          <w14:textFill>
            <w14:solidFill>
              <w14:schemeClr w14:val="tx1"/>
            </w14:solidFill>
          </w14:textFill>
        </w:rPr>
      </w:pPr>
      <w:bookmarkStart w:id="364" w:name="_Toc216260247"/>
      <w:r>
        <w:rPr>
          <w:rFonts w:hint="eastAsia"/>
          <w:color w:val="000000" w:themeColor="text1"/>
          <w14:textFill>
            <w14:solidFill>
              <w14:schemeClr w14:val="tx1"/>
            </w14:solidFill>
          </w14:textFill>
        </w:rPr>
        <w:t>总量控制指标</w:t>
      </w:r>
      <w:bookmarkEnd w:id="364"/>
    </w:p>
    <w:p w14:paraId="19D5A448">
      <w:pPr>
        <w:pStyle w:val="117"/>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根据《“十四五”污染减排综合工作方案编制技术指南》，大气污染物减排因子为N</w:t>
      </w:r>
      <w:r>
        <w:rPr>
          <w:color w:val="000000" w:themeColor="text1"/>
          <w14:textFill>
            <w14:solidFill>
              <w14:schemeClr w14:val="tx1"/>
            </w14:solidFill>
          </w14:textFill>
        </w:rPr>
        <w:t>O</w:t>
      </w:r>
      <w:r>
        <w:rPr>
          <w:color w:val="000000" w:themeColor="text1"/>
          <w:vertAlign w:val="subscript"/>
          <w14:textFill>
            <w14:solidFill>
              <w14:schemeClr w14:val="tx1"/>
            </w14:solidFill>
          </w14:textFill>
        </w:rPr>
        <w:t>x</w:t>
      </w:r>
      <w:r>
        <w:rPr>
          <w:rFonts w:hint="eastAsia"/>
          <w:color w:val="000000" w:themeColor="text1"/>
          <w14:textFill>
            <w14:solidFill>
              <w14:schemeClr w14:val="tx1"/>
            </w14:solidFill>
          </w14:textFill>
        </w:rPr>
        <w:t>、V</w:t>
      </w:r>
      <w:r>
        <w:rPr>
          <w:color w:val="000000" w:themeColor="text1"/>
          <w14:textFill>
            <w14:solidFill>
              <w14:schemeClr w14:val="tx1"/>
            </w14:solidFill>
          </w14:textFill>
        </w:rPr>
        <w:t>OCs</w:t>
      </w:r>
      <w:r>
        <w:rPr>
          <w:rFonts w:hint="eastAsia"/>
          <w:color w:val="000000" w:themeColor="text1"/>
          <w14:textFill>
            <w14:solidFill>
              <w14:schemeClr w14:val="tx1"/>
            </w14:solidFill>
          </w14:textFill>
        </w:rPr>
        <w:t>，水污染物减排因子为C</w:t>
      </w:r>
      <w:r>
        <w:rPr>
          <w:color w:val="000000" w:themeColor="text1"/>
          <w14:textFill>
            <w14:solidFill>
              <w14:schemeClr w14:val="tx1"/>
            </w14:solidFill>
          </w14:textFill>
        </w:rPr>
        <w:t>OD</w:t>
      </w:r>
      <w:r>
        <w:rPr>
          <w:rFonts w:hint="eastAsia"/>
          <w:color w:val="000000" w:themeColor="text1"/>
          <w14:textFill>
            <w14:solidFill>
              <w14:schemeClr w14:val="tx1"/>
            </w14:solidFill>
          </w14:textFill>
        </w:rPr>
        <w:t>和氨氮。洗井废水、压裂返排液和废洗井液集中收集后送至压裂返排液处理系统处理，处理达标后用于压裂液复配，不外排；生活污水送至吉木萨尔县污水处理厂处理；本项目无氮氧化物排放，非甲烷总烃为无组织排放，</w:t>
      </w:r>
      <w:r>
        <w:rPr>
          <w:rFonts w:hint="eastAsia" w:cs="宋体"/>
          <w:color w:val="000000" w:themeColor="text1"/>
          <w14:textFill>
            <w14:solidFill>
              <w14:schemeClr w14:val="tx1"/>
            </w14:solidFill>
          </w14:textFill>
        </w:rPr>
        <w:t>故本次不进行总量控制指标申请</w:t>
      </w:r>
      <w:r>
        <w:rPr>
          <w:rFonts w:hint="eastAsia"/>
          <w:color w:val="000000" w:themeColor="text1"/>
          <w14:textFill>
            <w14:solidFill>
              <w14:schemeClr w14:val="tx1"/>
            </w14:solidFill>
          </w14:textFill>
        </w:rPr>
        <w:t>。</w:t>
      </w:r>
    </w:p>
    <w:bookmarkEnd w:id="358"/>
    <w:bookmarkEnd w:id="359"/>
    <w:p w14:paraId="340C1C1F">
      <w:pPr>
        <w:pStyle w:val="2"/>
        <w:ind w:left="0"/>
        <w:rPr>
          <w:rFonts w:hint="eastAsia"/>
          <w:color w:val="000000" w:themeColor="text1"/>
          <w14:textFill>
            <w14:solidFill>
              <w14:schemeClr w14:val="tx1"/>
            </w14:solidFill>
          </w14:textFill>
        </w:rPr>
      </w:pPr>
      <w:bookmarkStart w:id="365" w:name="_Toc475624472"/>
      <w:bookmarkStart w:id="366" w:name="_Toc216260248"/>
      <w:r>
        <w:rPr>
          <w:rFonts w:hint="eastAsia"/>
          <w:color w:val="000000" w:themeColor="text1"/>
          <w14:textFill>
            <w14:solidFill>
              <w14:schemeClr w14:val="tx1"/>
            </w14:solidFill>
          </w14:textFill>
        </w:rPr>
        <w:t>清洁生产分析</w:t>
      </w:r>
      <w:bookmarkEnd w:id="365"/>
      <w:bookmarkEnd w:id="366"/>
    </w:p>
    <w:p w14:paraId="4F9FB36B">
      <w:pPr>
        <w:pStyle w:val="117"/>
        <w:spacing w:line="480" w:lineRule="exact"/>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所谓</w:t>
      </w:r>
      <w:r>
        <w:rPr>
          <w:color w:val="000000" w:themeColor="text1"/>
          <w14:textFill>
            <w14:solidFill>
              <w14:schemeClr w14:val="tx1"/>
            </w14:solidFill>
          </w14:textFill>
        </w:rPr>
        <w:t>清洁生产是指不断采取改进设计、使用清洁的能源和原料、采用先进的工艺技术与设备、改善管理、综合利用等措施，从源头削减污染，提高资源利用效率，减少或者避免生产、服务和产品使用过程中污染物的产生和排放，以减轻或者消除对人类健康和环境的危害。</w:t>
      </w:r>
      <w:bookmarkStart w:id="367" w:name="_Toc445840430"/>
      <w:bookmarkStart w:id="368" w:name="_Toc445996487"/>
      <w:bookmarkStart w:id="369" w:name="_Toc445842172"/>
      <w:bookmarkStart w:id="370" w:name="_Toc30202"/>
      <w:r>
        <w:rPr>
          <w:rFonts w:hint="eastAsia"/>
          <w:color w:val="000000" w:themeColor="text1"/>
          <w14:textFill>
            <w14:solidFill>
              <w14:schemeClr w14:val="tx1"/>
            </w14:solidFill>
          </w14:textFill>
        </w:rPr>
        <w:t>清洁生产是一种新的、创造性的思维方式，它以节能、降耗、减污、增效为目标，以技术和管理为手段，通过对生产全过程的排污审核、筛选并实施污染防治措施，以消除和减少工业生产对人类健康与生态环境的影响，达到防治污染、提高经济效益的双重目的。</w:t>
      </w:r>
      <w:bookmarkEnd w:id="367"/>
      <w:bookmarkEnd w:id="368"/>
      <w:bookmarkEnd w:id="369"/>
      <w:bookmarkEnd w:id="370"/>
    </w:p>
    <w:p w14:paraId="3CB2E7C3">
      <w:pPr>
        <w:pStyle w:val="117"/>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（1）指标分析</w:t>
      </w:r>
    </w:p>
    <w:p w14:paraId="36720027">
      <w:pPr>
        <w:pStyle w:val="117"/>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①指标</w:t>
      </w:r>
    </w:p>
    <w:p w14:paraId="4E7CA99D">
      <w:pPr>
        <w:pStyle w:val="117"/>
        <w:ind w:firstLine="480"/>
        <w:rPr>
          <w:rFonts w:hint="eastAsia"/>
          <w:color w:val="000000" w:themeColor="text1"/>
          <w14:textFill>
            <w14:solidFill>
              <w14:schemeClr w14:val="tx1"/>
            </w14:solidFill>
          </w14:textFill>
        </w:rPr>
      </w:pPr>
      <w:r>
        <w:rPr>
          <w:color w:val="000000" w:themeColor="text1"/>
          <w14:textFill>
            <w14:solidFill>
              <w14:schemeClr w14:val="tx1"/>
            </w14:solidFill>
          </w14:textFill>
        </w:rPr>
        <w:t>根据《石油天然气开采行业清洁生产评价指标体系（试行）》</w:t>
      </w:r>
      <w:r>
        <w:rPr>
          <w:rFonts w:hint="eastAsia"/>
          <w:color w:val="000000" w:themeColor="text1"/>
          <w14:textFill>
            <w14:solidFill>
              <w14:schemeClr w14:val="tx1"/>
            </w14:solidFill>
          </w14:textFill>
        </w:rPr>
        <w:t>进行</w:t>
      </w:r>
      <w:r>
        <w:rPr>
          <w:color w:val="000000" w:themeColor="text1"/>
          <w14:textFill>
            <w14:solidFill>
              <w14:schemeClr w14:val="tx1"/>
            </w14:solidFill>
          </w14:textFill>
        </w:rPr>
        <w:t>清洁生产水平评价</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井下</w:t>
      </w:r>
      <w:r>
        <w:rPr>
          <w:rFonts w:hint="eastAsia"/>
          <w:color w:val="000000" w:themeColor="text1"/>
          <w14:textFill>
            <w14:solidFill>
              <w14:schemeClr w14:val="tx1"/>
            </w14:solidFill>
          </w14:textFill>
        </w:rPr>
        <w:t>作业</w:t>
      </w:r>
      <w:r>
        <w:rPr>
          <w:color w:val="000000" w:themeColor="text1"/>
          <w14:textFill>
            <w14:solidFill>
              <w14:schemeClr w14:val="tx1"/>
            </w14:solidFill>
          </w14:textFill>
        </w:rPr>
        <w:t>、采</w:t>
      </w:r>
      <w:r>
        <w:rPr>
          <w:rFonts w:hint="eastAsia"/>
          <w:color w:val="000000" w:themeColor="text1"/>
          <w14:textFill>
            <w14:solidFill>
              <w14:schemeClr w14:val="tx1"/>
            </w14:solidFill>
          </w14:textFill>
        </w:rPr>
        <w:t>油</w:t>
      </w:r>
      <w:r>
        <w:rPr>
          <w:color w:val="000000" w:themeColor="text1"/>
          <w14:textFill>
            <w14:solidFill>
              <w14:schemeClr w14:val="tx1"/>
            </w14:solidFill>
          </w14:textFill>
        </w:rPr>
        <w:t>作业定量和定性评价指标项目、权重及基准值</w:t>
      </w:r>
      <w:r>
        <w:rPr>
          <w:rFonts w:hint="eastAsia"/>
          <w:color w:val="000000" w:themeColor="text1"/>
          <w14:textFill>
            <w14:solidFill>
              <w14:schemeClr w14:val="tx1"/>
            </w14:solidFill>
          </w14:textFill>
        </w:rPr>
        <w:t>见表3.</w:t>
      </w:r>
      <w:r>
        <w:rPr>
          <w:color w:val="000000" w:themeColor="text1"/>
          <w14:textFill>
            <w14:solidFill>
              <w14:schemeClr w14:val="tx1"/>
            </w14:solidFill>
          </w14:textFill>
        </w:rPr>
        <w:t>5</w:t>
      </w:r>
      <w:r>
        <w:rPr>
          <w:rFonts w:hint="eastAsia"/>
          <w:color w:val="000000" w:themeColor="text1"/>
          <w14:textFill>
            <w14:solidFill>
              <w14:schemeClr w14:val="tx1"/>
            </w14:solidFill>
          </w14:textFill>
        </w:rPr>
        <w:t>-1和表3.</w:t>
      </w:r>
      <w:r>
        <w:rPr>
          <w:color w:val="000000" w:themeColor="text1"/>
          <w14:textFill>
            <w14:solidFill>
              <w14:schemeClr w14:val="tx1"/>
            </w14:solidFill>
          </w14:textFill>
        </w:rPr>
        <w:t>5</w:t>
      </w:r>
      <w:r>
        <w:rPr>
          <w:rFonts w:hint="eastAsia"/>
          <w:color w:val="000000" w:themeColor="text1"/>
          <w14:textFill>
            <w14:solidFill>
              <w14:schemeClr w14:val="tx1"/>
            </w14:solidFill>
          </w14:textFill>
        </w:rPr>
        <w:t>-2</w:t>
      </w:r>
      <w:r>
        <w:rPr>
          <w:color w:val="000000" w:themeColor="text1"/>
          <w14:textFill>
            <w14:solidFill>
              <w14:schemeClr w14:val="tx1"/>
            </w14:solidFill>
          </w14:textFill>
        </w:rPr>
        <w:t>。</w:t>
      </w:r>
    </w:p>
    <w:p w14:paraId="1F83D6E3">
      <w:pPr>
        <w:pStyle w:val="2"/>
        <w:rPr>
          <w:rFonts w:hint="eastAsia"/>
          <w:color w:val="000000" w:themeColor="text1"/>
          <w14:textFill>
            <w14:solidFill>
              <w14:schemeClr w14:val="tx1"/>
            </w14:solidFill>
          </w14:textFill>
        </w:rPr>
        <w:sectPr>
          <w:footerReference r:id="rId7" w:type="default"/>
          <w:pgSz w:w="11906" w:h="16838"/>
          <w:pgMar w:top="1418" w:right="1588" w:bottom="1418" w:left="1588" w:header="1020" w:footer="1020" w:gutter="0"/>
          <w:cols w:space="720" w:num="1"/>
          <w:docGrid w:type="lines" w:linePitch="317" w:charSpace="0"/>
        </w:sectPr>
      </w:pPr>
    </w:p>
    <w:p w14:paraId="1FD776B1">
      <w:pPr>
        <w:pStyle w:val="15"/>
        <w:rPr>
          <w:rFonts w:hint="eastAsia"/>
          <w:color w:val="000000" w:themeColor="text1"/>
          <w:spacing w:val="4"/>
          <w14:textFill>
            <w14:solidFill>
              <w14:schemeClr w14:val="tx1"/>
            </w14:solidFill>
          </w14:textFill>
        </w:rPr>
      </w:pPr>
      <w:r>
        <w:rPr>
          <w:rFonts w:hint="eastAsia"/>
          <w:color w:val="000000" w:themeColor="text1"/>
          <w14:textFill>
            <w14:solidFill>
              <w14:schemeClr w14:val="tx1"/>
            </w14:solidFill>
          </w14:textFill>
        </w:rPr>
        <w:t>表3.</w:t>
      </w:r>
      <w:r>
        <w:rPr>
          <w:color w:val="000000" w:themeColor="text1"/>
          <w14:textFill>
            <w14:solidFill>
              <w14:schemeClr w14:val="tx1"/>
            </w14:solidFill>
          </w14:textFill>
        </w:rPr>
        <w:t>5</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 xml:space="preserve">1 </w:t>
      </w:r>
      <w:r>
        <w:rPr>
          <w:color w:val="000000" w:themeColor="text1"/>
          <w:spacing w:val="4"/>
          <w14:textFill>
            <w14:solidFill>
              <w14:schemeClr w14:val="tx1"/>
            </w14:solidFill>
          </w14:textFill>
        </w:rPr>
        <w:t xml:space="preserve"> 井下作业</w:t>
      </w:r>
      <w:r>
        <w:rPr>
          <w:color w:val="000000" w:themeColor="text1"/>
          <w14:textFill>
            <w14:solidFill>
              <w14:schemeClr w14:val="tx1"/>
            </w14:solidFill>
          </w14:textFill>
        </w:rPr>
        <w:t>定量和定性评价指标项目、权重及基准值</w:t>
      </w:r>
    </w:p>
    <w:tbl>
      <w:tblPr>
        <w:tblStyle w:val="51"/>
        <w:tblW w:w="5000" w:type="pct"/>
        <w:tblInd w:w="0" w:type="dxa"/>
        <w:tblLayout w:type="autofit"/>
        <w:tblCellMar>
          <w:top w:w="0" w:type="dxa"/>
          <w:left w:w="108" w:type="dxa"/>
          <w:bottom w:w="0" w:type="dxa"/>
          <w:right w:w="108" w:type="dxa"/>
        </w:tblCellMar>
      </w:tblPr>
      <w:tblGrid>
        <w:gridCol w:w="2731"/>
        <w:gridCol w:w="897"/>
        <w:gridCol w:w="72"/>
        <w:gridCol w:w="1138"/>
        <w:gridCol w:w="1649"/>
        <w:gridCol w:w="1238"/>
        <w:gridCol w:w="153"/>
        <w:gridCol w:w="1110"/>
        <w:gridCol w:w="2498"/>
        <w:gridCol w:w="558"/>
        <w:gridCol w:w="555"/>
        <w:gridCol w:w="555"/>
        <w:gridCol w:w="724"/>
      </w:tblGrid>
      <w:tr w14:paraId="6C24F355">
        <w:tblPrEx>
          <w:tblCellMar>
            <w:top w:w="0" w:type="dxa"/>
            <w:left w:w="108" w:type="dxa"/>
            <w:bottom w:w="0" w:type="dxa"/>
            <w:right w:w="108" w:type="dxa"/>
          </w:tblCellMar>
        </w:tblPrEx>
        <w:trPr>
          <w:trHeight w:val="284" w:hRule="atLeast"/>
        </w:trPr>
        <w:tc>
          <w:tcPr>
            <w:tcW w:w="4339" w:type="pct"/>
            <w:gridSpan w:val="10"/>
            <w:tcBorders>
              <w:top w:val="single" w:color="auto" w:sz="12" w:space="0"/>
              <w:bottom w:val="single" w:color="auto" w:sz="4" w:space="0"/>
              <w:right w:val="single" w:color="auto" w:sz="4" w:space="0"/>
            </w:tcBorders>
            <w:vAlign w:val="center"/>
          </w:tcPr>
          <w:p w14:paraId="27F12EEE">
            <w:pPr>
              <w:adjustRightInd w:val="0"/>
              <w:snapToGrid w:val="0"/>
              <w:spacing w:line="300" w:lineRule="exact"/>
              <w:jc w:val="left"/>
              <w:rPr>
                <w:rFonts w:hint="eastAsia" w:ascii="宋体" w:hAnsi="宋体"/>
                <w:color w:val="000000" w:themeColor="text1"/>
                <w:spacing w:val="4"/>
                <w:szCs w:val="21"/>
                <w14:textFill>
                  <w14:solidFill>
                    <w14:schemeClr w14:val="tx1"/>
                  </w14:solidFill>
                </w14:textFill>
              </w:rPr>
            </w:pPr>
            <w:r>
              <w:rPr>
                <w:rFonts w:ascii="宋体" w:hAnsi="宋体"/>
                <w:color w:val="000000" w:themeColor="text1"/>
                <w:spacing w:val="4"/>
                <w:szCs w:val="21"/>
                <w14:textFill>
                  <w14:solidFill>
                    <w14:schemeClr w14:val="tx1"/>
                  </w14:solidFill>
                </w14:textFill>
              </w:rPr>
              <w:t>定量指标</w:t>
            </w:r>
          </w:p>
        </w:tc>
        <w:tc>
          <w:tcPr>
            <w:tcW w:w="661" w:type="pct"/>
            <w:gridSpan w:val="3"/>
            <w:tcBorders>
              <w:top w:val="single" w:color="auto" w:sz="12" w:space="0"/>
              <w:left w:val="single" w:color="auto" w:sz="4" w:space="0"/>
              <w:bottom w:val="single" w:color="auto" w:sz="4" w:space="0"/>
            </w:tcBorders>
            <w:vAlign w:val="center"/>
          </w:tcPr>
          <w:p w14:paraId="6AA23700">
            <w:pPr>
              <w:adjustRightInd w:val="0"/>
              <w:snapToGrid w:val="0"/>
              <w:spacing w:line="300" w:lineRule="exact"/>
              <w:jc w:val="center"/>
              <w:rPr>
                <w:rFonts w:hint="eastAsia" w:ascii="宋体" w:hAnsi="宋体"/>
                <w:color w:val="000000" w:themeColor="text1"/>
                <w:spacing w:val="4"/>
                <w:szCs w:val="21"/>
                <w14:textFill>
                  <w14:solidFill>
                    <w14:schemeClr w14:val="tx1"/>
                  </w14:solidFill>
                </w14:textFill>
              </w:rPr>
            </w:pPr>
            <w:r>
              <w:rPr>
                <w:rFonts w:ascii="宋体" w:hAnsi="宋体"/>
                <w:color w:val="000000" w:themeColor="text1"/>
                <w:spacing w:val="4"/>
                <w:szCs w:val="21"/>
                <w14:textFill>
                  <w14:solidFill>
                    <w14:schemeClr w14:val="tx1"/>
                  </w14:solidFill>
                </w14:textFill>
              </w:rPr>
              <w:t>本项目</w:t>
            </w:r>
          </w:p>
        </w:tc>
      </w:tr>
      <w:tr w14:paraId="54198371">
        <w:tblPrEx>
          <w:tblCellMar>
            <w:top w:w="0" w:type="dxa"/>
            <w:left w:w="108" w:type="dxa"/>
            <w:bottom w:w="0" w:type="dxa"/>
            <w:right w:w="108" w:type="dxa"/>
          </w:tblCellMar>
        </w:tblPrEx>
        <w:trPr>
          <w:trHeight w:val="284" w:hRule="atLeast"/>
        </w:trPr>
        <w:tc>
          <w:tcPr>
            <w:tcW w:w="984" w:type="pct"/>
            <w:tcBorders>
              <w:top w:val="single" w:color="auto" w:sz="4" w:space="0"/>
              <w:bottom w:val="single" w:color="auto" w:sz="4" w:space="0"/>
              <w:right w:val="single" w:color="auto" w:sz="4" w:space="0"/>
            </w:tcBorders>
            <w:vAlign w:val="center"/>
          </w:tcPr>
          <w:p w14:paraId="6097F924">
            <w:pPr>
              <w:adjustRightInd w:val="0"/>
              <w:snapToGrid w:val="0"/>
              <w:spacing w:line="300" w:lineRule="exact"/>
              <w:jc w:val="center"/>
              <w:rPr>
                <w:rFonts w:hint="eastAsia" w:ascii="宋体" w:hAnsi="宋体"/>
                <w:color w:val="000000" w:themeColor="text1"/>
                <w:spacing w:val="4"/>
                <w:szCs w:val="21"/>
                <w14:textFill>
                  <w14:solidFill>
                    <w14:schemeClr w14:val="tx1"/>
                  </w14:solidFill>
                </w14:textFill>
              </w:rPr>
            </w:pPr>
            <w:r>
              <w:rPr>
                <w:rFonts w:ascii="宋体" w:hAnsi="宋体"/>
                <w:color w:val="000000" w:themeColor="text1"/>
                <w:spacing w:val="4"/>
                <w:szCs w:val="21"/>
                <w14:textFill>
                  <w14:solidFill>
                    <w14:schemeClr w14:val="tx1"/>
                  </w14:solidFill>
                </w14:textFill>
              </w:rPr>
              <w:t>一级指标</w:t>
            </w:r>
          </w:p>
        </w:tc>
        <w:tc>
          <w:tcPr>
            <w:tcW w:w="323" w:type="pct"/>
            <w:tcBorders>
              <w:top w:val="single" w:color="auto" w:sz="4" w:space="0"/>
              <w:left w:val="single" w:color="auto" w:sz="4" w:space="0"/>
              <w:bottom w:val="single" w:color="auto" w:sz="4" w:space="0"/>
              <w:right w:val="single" w:color="auto" w:sz="4" w:space="0"/>
            </w:tcBorders>
            <w:vAlign w:val="center"/>
          </w:tcPr>
          <w:p w14:paraId="413DBE42">
            <w:pPr>
              <w:adjustRightInd w:val="0"/>
              <w:snapToGrid w:val="0"/>
              <w:spacing w:line="300" w:lineRule="exact"/>
              <w:jc w:val="center"/>
              <w:rPr>
                <w:rFonts w:hint="eastAsia" w:ascii="宋体" w:hAnsi="宋体"/>
                <w:color w:val="000000" w:themeColor="text1"/>
                <w:spacing w:val="4"/>
                <w:szCs w:val="21"/>
                <w14:textFill>
                  <w14:solidFill>
                    <w14:schemeClr w14:val="tx1"/>
                  </w14:solidFill>
                </w14:textFill>
              </w:rPr>
            </w:pPr>
            <w:r>
              <w:rPr>
                <w:rFonts w:ascii="宋体" w:hAnsi="宋体"/>
                <w:color w:val="000000" w:themeColor="text1"/>
                <w:spacing w:val="4"/>
                <w:szCs w:val="21"/>
                <w14:textFill>
                  <w14:solidFill>
                    <w14:schemeClr w14:val="tx1"/>
                  </w14:solidFill>
                </w14:textFill>
              </w:rPr>
              <w:t>权重值</w:t>
            </w:r>
          </w:p>
        </w:tc>
        <w:tc>
          <w:tcPr>
            <w:tcW w:w="1030" w:type="pct"/>
            <w:gridSpan w:val="3"/>
            <w:tcBorders>
              <w:top w:val="single" w:color="auto" w:sz="4" w:space="0"/>
              <w:left w:val="single" w:color="auto" w:sz="4" w:space="0"/>
              <w:bottom w:val="single" w:color="auto" w:sz="4" w:space="0"/>
              <w:right w:val="single" w:color="auto" w:sz="4" w:space="0"/>
            </w:tcBorders>
            <w:vAlign w:val="center"/>
          </w:tcPr>
          <w:p w14:paraId="78B8BE31">
            <w:pPr>
              <w:adjustRightInd w:val="0"/>
              <w:snapToGrid w:val="0"/>
              <w:spacing w:line="300" w:lineRule="exact"/>
              <w:jc w:val="center"/>
              <w:rPr>
                <w:rFonts w:hint="eastAsia" w:ascii="宋体" w:hAnsi="宋体"/>
                <w:color w:val="000000" w:themeColor="text1"/>
                <w:spacing w:val="4"/>
                <w:szCs w:val="21"/>
                <w14:textFill>
                  <w14:solidFill>
                    <w14:schemeClr w14:val="tx1"/>
                  </w14:solidFill>
                </w14:textFill>
              </w:rPr>
            </w:pPr>
            <w:r>
              <w:rPr>
                <w:rFonts w:ascii="宋体" w:hAnsi="宋体"/>
                <w:color w:val="000000" w:themeColor="text1"/>
                <w:spacing w:val="4"/>
                <w:szCs w:val="21"/>
                <w14:textFill>
                  <w14:solidFill>
                    <w14:schemeClr w14:val="tx1"/>
                  </w14:solidFill>
                </w14:textFill>
              </w:rPr>
              <w:t>二级指标</w:t>
            </w:r>
          </w:p>
        </w:tc>
        <w:tc>
          <w:tcPr>
            <w:tcW w:w="446" w:type="pct"/>
            <w:tcBorders>
              <w:top w:val="single" w:color="auto" w:sz="4" w:space="0"/>
              <w:left w:val="single" w:color="auto" w:sz="4" w:space="0"/>
              <w:bottom w:val="single" w:color="auto" w:sz="4" w:space="0"/>
              <w:right w:val="single" w:color="auto" w:sz="4" w:space="0"/>
            </w:tcBorders>
            <w:vAlign w:val="center"/>
          </w:tcPr>
          <w:p w14:paraId="6265644C">
            <w:pPr>
              <w:adjustRightInd w:val="0"/>
              <w:snapToGrid w:val="0"/>
              <w:spacing w:line="300" w:lineRule="exact"/>
              <w:jc w:val="center"/>
              <w:rPr>
                <w:rFonts w:hint="eastAsia" w:ascii="宋体" w:hAnsi="宋体"/>
                <w:color w:val="000000" w:themeColor="text1"/>
                <w:spacing w:val="4"/>
                <w:szCs w:val="21"/>
                <w14:textFill>
                  <w14:solidFill>
                    <w14:schemeClr w14:val="tx1"/>
                  </w14:solidFill>
                </w14:textFill>
              </w:rPr>
            </w:pPr>
            <w:r>
              <w:rPr>
                <w:rFonts w:ascii="宋体" w:hAnsi="宋体"/>
                <w:color w:val="000000" w:themeColor="text1"/>
                <w:spacing w:val="4"/>
                <w:szCs w:val="21"/>
                <w14:textFill>
                  <w14:solidFill>
                    <w14:schemeClr w14:val="tx1"/>
                  </w14:solidFill>
                </w14:textFill>
              </w:rPr>
              <w:t>单位</w:t>
            </w:r>
          </w:p>
        </w:tc>
        <w:tc>
          <w:tcPr>
            <w:tcW w:w="455" w:type="pct"/>
            <w:gridSpan w:val="2"/>
            <w:tcBorders>
              <w:top w:val="single" w:color="auto" w:sz="4" w:space="0"/>
              <w:left w:val="single" w:color="auto" w:sz="4" w:space="0"/>
              <w:bottom w:val="single" w:color="auto" w:sz="4" w:space="0"/>
              <w:right w:val="single" w:color="auto" w:sz="4" w:space="0"/>
            </w:tcBorders>
            <w:vAlign w:val="center"/>
          </w:tcPr>
          <w:p w14:paraId="66C5933F">
            <w:pPr>
              <w:adjustRightInd w:val="0"/>
              <w:snapToGrid w:val="0"/>
              <w:spacing w:line="300" w:lineRule="exact"/>
              <w:jc w:val="center"/>
              <w:rPr>
                <w:rFonts w:hint="eastAsia" w:ascii="宋体" w:hAnsi="宋体"/>
                <w:color w:val="000000" w:themeColor="text1"/>
                <w:spacing w:val="4"/>
                <w:szCs w:val="21"/>
                <w14:textFill>
                  <w14:solidFill>
                    <w14:schemeClr w14:val="tx1"/>
                  </w14:solidFill>
                </w14:textFill>
              </w:rPr>
            </w:pPr>
            <w:r>
              <w:rPr>
                <w:rFonts w:ascii="宋体" w:hAnsi="宋体"/>
                <w:color w:val="000000" w:themeColor="text1"/>
                <w:spacing w:val="4"/>
                <w:szCs w:val="21"/>
                <w14:textFill>
                  <w14:solidFill>
                    <w14:schemeClr w14:val="tx1"/>
                  </w14:solidFill>
                </w14:textFill>
              </w:rPr>
              <w:t>权重分值</w:t>
            </w:r>
          </w:p>
        </w:tc>
        <w:tc>
          <w:tcPr>
            <w:tcW w:w="1100" w:type="pct"/>
            <w:gridSpan w:val="2"/>
            <w:tcBorders>
              <w:top w:val="single" w:color="auto" w:sz="4" w:space="0"/>
              <w:left w:val="single" w:color="auto" w:sz="4" w:space="0"/>
              <w:bottom w:val="single" w:color="auto" w:sz="4" w:space="0"/>
              <w:right w:val="single" w:color="auto" w:sz="4" w:space="0"/>
            </w:tcBorders>
            <w:vAlign w:val="center"/>
          </w:tcPr>
          <w:p w14:paraId="44AEB758">
            <w:pPr>
              <w:adjustRightInd w:val="0"/>
              <w:snapToGrid w:val="0"/>
              <w:spacing w:line="300" w:lineRule="exact"/>
              <w:jc w:val="center"/>
              <w:rPr>
                <w:rFonts w:hint="eastAsia" w:ascii="宋体" w:hAnsi="宋体"/>
                <w:color w:val="000000" w:themeColor="text1"/>
                <w:spacing w:val="4"/>
                <w:szCs w:val="21"/>
                <w14:textFill>
                  <w14:solidFill>
                    <w14:schemeClr w14:val="tx1"/>
                  </w14:solidFill>
                </w14:textFill>
              </w:rPr>
            </w:pPr>
            <w:r>
              <w:rPr>
                <w:rFonts w:ascii="宋体" w:hAnsi="宋体"/>
                <w:color w:val="000000" w:themeColor="text1"/>
                <w:spacing w:val="4"/>
                <w:szCs w:val="21"/>
                <w14:textFill>
                  <w14:solidFill>
                    <w14:schemeClr w14:val="tx1"/>
                  </w14:solidFill>
                </w14:textFill>
              </w:rPr>
              <w:t>评价基准值</w:t>
            </w:r>
          </w:p>
        </w:tc>
        <w:tc>
          <w:tcPr>
            <w:tcW w:w="400" w:type="pct"/>
            <w:gridSpan w:val="2"/>
            <w:tcBorders>
              <w:top w:val="single" w:color="auto" w:sz="4" w:space="0"/>
              <w:left w:val="single" w:color="auto" w:sz="4" w:space="0"/>
              <w:bottom w:val="single" w:color="auto" w:sz="4" w:space="0"/>
              <w:right w:val="single" w:color="auto" w:sz="4" w:space="0"/>
            </w:tcBorders>
            <w:vAlign w:val="center"/>
          </w:tcPr>
          <w:p w14:paraId="7DBC948A">
            <w:pPr>
              <w:adjustRightInd w:val="0"/>
              <w:snapToGrid w:val="0"/>
              <w:spacing w:line="300" w:lineRule="exact"/>
              <w:jc w:val="center"/>
              <w:rPr>
                <w:rFonts w:hint="eastAsia" w:ascii="宋体" w:hAnsi="宋体"/>
                <w:color w:val="000000" w:themeColor="text1"/>
                <w:spacing w:val="4"/>
                <w:szCs w:val="21"/>
                <w14:textFill>
                  <w14:solidFill>
                    <w14:schemeClr w14:val="tx1"/>
                  </w14:solidFill>
                </w14:textFill>
              </w:rPr>
            </w:pPr>
            <w:r>
              <w:rPr>
                <w:rFonts w:ascii="宋体" w:hAnsi="宋体"/>
                <w:color w:val="000000" w:themeColor="text1"/>
                <w:spacing w:val="4"/>
                <w:szCs w:val="21"/>
                <w14:textFill>
                  <w14:solidFill>
                    <w14:schemeClr w14:val="tx1"/>
                  </w14:solidFill>
                </w14:textFill>
              </w:rPr>
              <w:t>估算值</w:t>
            </w:r>
          </w:p>
        </w:tc>
        <w:tc>
          <w:tcPr>
            <w:tcW w:w="261" w:type="pct"/>
            <w:tcBorders>
              <w:top w:val="single" w:color="auto" w:sz="4" w:space="0"/>
              <w:left w:val="single" w:color="auto" w:sz="4" w:space="0"/>
              <w:bottom w:val="single" w:color="auto" w:sz="4" w:space="0"/>
            </w:tcBorders>
            <w:vAlign w:val="center"/>
          </w:tcPr>
          <w:p w14:paraId="469B6FB6">
            <w:pPr>
              <w:adjustRightInd w:val="0"/>
              <w:snapToGrid w:val="0"/>
              <w:spacing w:line="300" w:lineRule="exact"/>
              <w:jc w:val="center"/>
              <w:rPr>
                <w:rFonts w:hint="eastAsia" w:ascii="宋体" w:hAnsi="宋体"/>
                <w:color w:val="000000" w:themeColor="text1"/>
                <w:spacing w:val="4"/>
                <w:szCs w:val="21"/>
                <w14:textFill>
                  <w14:solidFill>
                    <w14:schemeClr w14:val="tx1"/>
                  </w14:solidFill>
                </w14:textFill>
              </w:rPr>
            </w:pPr>
            <w:r>
              <w:rPr>
                <w:rFonts w:ascii="宋体" w:hAnsi="宋体"/>
                <w:color w:val="000000" w:themeColor="text1"/>
                <w:spacing w:val="4"/>
                <w:szCs w:val="21"/>
                <w14:textFill>
                  <w14:solidFill>
                    <w14:schemeClr w14:val="tx1"/>
                  </w14:solidFill>
                </w14:textFill>
              </w:rPr>
              <w:t>评分</w:t>
            </w:r>
          </w:p>
        </w:tc>
      </w:tr>
      <w:tr w14:paraId="2B138154">
        <w:tblPrEx>
          <w:tblCellMar>
            <w:top w:w="0" w:type="dxa"/>
            <w:left w:w="108" w:type="dxa"/>
            <w:bottom w:w="0" w:type="dxa"/>
            <w:right w:w="108" w:type="dxa"/>
          </w:tblCellMar>
        </w:tblPrEx>
        <w:trPr>
          <w:trHeight w:val="284" w:hRule="atLeast"/>
        </w:trPr>
        <w:tc>
          <w:tcPr>
            <w:tcW w:w="984" w:type="pct"/>
            <w:vMerge w:val="restart"/>
            <w:tcBorders>
              <w:top w:val="single" w:color="auto" w:sz="4" w:space="0"/>
              <w:bottom w:val="single" w:color="auto" w:sz="4" w:space="0"/>
              <w:right w:val="single" w:color="auto" w:sz="4" w:space="0"/>
            </w:tcBorders>
            <w:vAlign w:val="center"/>
          </w:tcPr>
          <w:p w14:paraId="71D45639">
            <w:pPr>
              <w:adjustRightInd w:val="0"/>
              <w:snapToGrid w:val="0"/>
              <w:spacing w:line="300" w:lineRule="exact"/>
              <w:jc w:val="center"/>
              <w:rPr>
                <w:rFonts w:hint="eastAsia" w:ascii="宋体" w:hAnsi="宋体"/>
                <w:color w:val="000000" w:themeColor="text1"/>
                <w:spacing w:val="4"/>
                <w:szCs w:val="21"/>
                <w14:textFill>
                  <w14:solidFill>
                    <w14:schemeClr w14:val="tx1"/>
                  </w14:solidFill>
                </w14:textFill>
              </w:rPr>
            </w:pPr>
            <w:r>
              <w:rPr>
                <w:rFonts w:ascii="宋体" w:hAnsi="宋体"/>
                <w:color w:val="000000" w:themeColor="text1"/>
                <w:spacing w:val="4"/>
                <w:szCs w:val="21"/>
                <w14:textFill>
                  <w14:solidFill>
                    <w14:schemeClr w14:val="tx1"/>
                  </w14:solidFill>
                </w14:textFill>
              </w:rPr>
              <w:t>（1）资源和能源消耗指标</w:t>
            </w:r>
          </w:p>
        </w:tc>
        <w:tc>
          <w:tcPr>
            <w:tcW w:w="323" w:type="pct"/>
            <w:vMerge w:val="restart"/>
            <w:tcBorders>
              <w:top w:val="single" w:color="auto" w:sz="4" w:space="0"/>
              <w:left w:val="single" w:color="auto" w:sz="4" w:space="0"/>
              <w:bottom w:val="single" w:color="auto" w:sz="4" w:space="0"/>
              <w:right w:val="single" w:color="auto" w:sz="4" w:space="0"/>
            </w:tcBorders>
            <w:vAlign w:val="center"/>
          </w:tcPr>
          <w:p w14:paraId="79FCB02E">
            <w:pPr>
              <w:adjustRightInd w:val="0"/>
              <w:snapToGrid w:val="0"/>
              <w:spacing w:line="300" w:lineRule="exact"/>
              <w:jc w:val="center"/>
              <w:rPr>
                <w:rFonts w:hint="eastAsia" w:ascii="宋体" w:hAnsi="宋体"/>
                <w:color w:val="000000" w:themeColor="text1"/>
                <w:spacing w:val="4"/>
                <w:szCs w:val="21"/>
                <w14:textFill>
                  <w14:solidFill>
                    <w14:schemeClr w14:val="tx1"/>
                  </w14:solidFill>
                </w14:textFill>
              </w:rPr>
            </w:pPr>
            <w:r>
              <w:rPr>
                <w:rFonts w:ascii="宋体" w:hAnsi="宋体"/>
                <w:color w:val="000000" w:themeColor="text1"/>
                <w:spacing w:val="4"/>
                <w:szCs w:val="21"/>
                <w14:textFill>
                  <w14:solidFill>
                    <w14:schemeClr w14:val="tx1"/>
                  </w14:solidFill>
                </w14:textFill>
              </w:rPr>
              <w:t>30</w:t>
            </w:r>
          </w:p>
        </w:tc>
        <w:tc>
          <w:tcPr>
            <w:tcW w:w="1030" w:type="pct"/>
            <w:gridSpan w:val="3"/>
            <w:tcBorders>
              <w:top w:val="single" w:color="auto" w:sz="4" w:space="0"/>
              <w:left w:val="single" w:color="auto" w:sz="4" w:space="0"/>
              <w:bottom w:val="single" w:color="auto" w:sz="4" w:space="0"/>
              <w:right w:val="single" w:color="auto" w:sz="4" w:space="0"/>
            </w:tcBorders>
            <w:vAlign w:val="center"/>
          </w:tcPr>
          <w:p w14:paraId="6DFFCF11">
            <w:pPr>
              <w:adjustRightInd w:val="0"/>
              <w:snapToGrid w:val="0"/>
              <w:spacing w:line="300" w:lineRule="exact"/>
              <w:jc w:val="center"/>
              <w:rPr>
                <w:rFonts w:hint="eastAsia" w:ascii="宋体" w:hAnsi="宋体"/>
                <w:color w:val="000000" w:themeColor="text1"/>
                <w:spacing w:val="4"/>
                <w:szCs w:val="21"/>
                <w14:textFill>
                  <w14:solidFill>
                    <w14:schemeClr w14:val="tx1"/>
                  </w14:solidFill>
                </w14:textFill>
              </w:rPr>
            </w:pPr>
            <w:r>
              <w:rPr>
                <w:rFonts w:ascii="宋体" w:hAnsi="宋体"/>
                <w:color w:val="000000" w:themeColor="text1"/>
                <w:spacing w:val="4"/>
                <w:szCs w:val="21"/>
                <w14:textFill>
                  <w14:solidFill>
                    <w14:schemeClr w14:val="tx1"/>
                  </w14:solidFill>
                </w14:textFill>
              </w:rPr>
              <w:t>作业液消耗</w:t>
            </w:r>
          </w:p>
        </w:tc>
        <w:tc>
          <w:tcPr>
            <w:tcW w:w="446" w:type="pct"/>
            <w:tcBorders>
              <w:top w:val="single" w:color="auto" w:sz="4" w:space="0"/>
              <w:left w:val="single" w:color="auto" w:sz="4" w:space="0"/>
              <w:bottom w:val="single" w:color="auto" w:sz="4" w:space="0"/>
              <w:right w:val="single" w:color="auto" w:sz="4" w:space="0"/>
            </w:tcBorders>
            <w:vAlign w:val="center"/>
          </w:tcPr>
          <w:p w14:paraId="09B7B0D8">
            <w:pPr>
              <w:adjustRightInd w:val="0"/>
              <w:snapToGrid w:val="0"/>
              <w:spacing w:line="300" w:lineRule="exact"/>
              <w:jc w:val="center"/>
              <w:rPr>
                <w:rFonts w:hint="eastAsia" w:ascii="宋体" w:hAnsi="宋体"/>
                <w:color w:val="000000" w:themeColor="text1"/>
                <w:spacing w:val="4"/>
                <w:szCs w:val="21"/>
                <w14:textFill>
                  <w14:solidFill>
                    <w14:schemeClr w14:val="tx1"/>
                  </w14:solidFill>
                </w14:textFill>
              </w:rPr>
            </w:pPr>
            <w:r>
              <w:rPr>
                <w:rFonts w:ascii="宋体" w:hAnsi="宋体"/>
                <w:color w:val="000000" w:themeColor="text1"/>
                <w:spacing w:val="4"/>
                <w:szCs w:val="21"/>
                <w14:textFill>
                  <w14:solidFill>
                    <w14:schemeClr w14:val="tx1"/>
                  </w14:solidFill>
                </w14:textFill>
              </w:rPr>
              <w:t>m</w:t>
            </w:r>
            <w:r>
              <w:rPr>
                <w:rFonts w:ascii="宋体" w:hAnsi="宋体"/>
                <w:color w:val="000000" w:themeColor="text1"/>
                <w:spacing w:val="4"/>
                <w:szCs w:val="21"/>
                <w:vertAlign w:val="superscript"/>
                <w14:textFill>
                  <w14:solidFill>
                    <w14:schemeClr w14:val="tx1"/>
                  </w14:solidFill>
                </w14:textFill>
              </w:rPr>
              <w:t>3</w:t>
            </w:r>
            <w:r>
              <w:rPr>
                <w:rFonts w:ascii="宋体" w:hAnsi="宋体"/>
                <w:color w:val="000000" w:themeColor="text1"/>
                <w:spacing w:val="4"/>
                <w:szCs w:val="21"/>
                <w14:textFill>
                  <w14:solidFill>
                    <w14:schemeClr w14:val="tx1"/>
                  </w14:solidFill>
                </w14:textFill>
              </w:rPr>
              <w:t>/井次</w:t>
            </w:r>
          </w:p>
        </w:tc>
        <w:tc>
          <w:tcPr>
            <w:tcW w:w="455" w:type="pct"/>
            <w:gridSpan w:val="2"/>
            <w:tcBorders>
              <w:top w:val="single" w:color="auto" w:sz="4" w:space="0"/>
              <w:left w:val="single" w:color="auto" w:sz="4" w:space="0"/>
              <w:bottom w:val="single" w:color="auto" w:sz="4" w:space="0"/>
              <w:right w:val="single" w:color="auto" w:sz="4" w:space="0"/>
            </w:tcBorders>
            <w:vAlign w:val="center"/>
          </w:tcPr>
          <w:p w14:paraId="67081712">
            <w:pPr>
              <w:adjustRightInd w:val="0"/>
              <w:snapToGrid w:val="0"/>
              <w:spacing w:line="300" w:lineRule="exact"/>
              <w:jc w:val="center"/>
              <w:rPr>
                <w:rFonts w:hint="eastAsia" w:ascii="宋体" w:hAnsi="宋体"/>
                <w:color w:val="000000" w:themeColor="text1"/>
                <w:spacing w:val="4"/>
                <w:szCs w:val="21"/>
                <w14:textFill>
                  <w14:solidFill>
                    <w14:schemeClr w14:val="tx1"/>
                  </w14:solidFill>
                </w14:textFill>
              </w:rPr>
            </w:pPr>
            <w:r>
              <w:rPr>
                <w:rFonts w:ascii="宋体" w:hAnsi="宋体"/>
                <w:color w:val="000000" w:themeColor="text1"/>
                <w:spacing w:val="4"/>
                <w:szCs w:val="21"/>
                <w14:textFill>
                  <w14:solidFill>
                    <w14:schemeClr w14:val="tx1"/>
                  </w14:solidFill>
                </w14:textFill>
              </w:rPr>
              <w:t>10</w:t>
            </w:r>
          </w:p>
        </w:tc>
        <w:tc>
          <w:tcPr>
            <w:tcW w:w="1100" w:type="pct"/>
            <w:gridSpan w:val="2"/>
            <w:tcBorders>
              <w:top w:val="single" w:color="auto" w:sz="4" w:space="0"/>
              <w:left w:val="single" w:color="auto" w:sz="4" w:space="0"/>
              <w:bottom w:val="single" w:color="auto" w:sz="4" w:space="0"/>
              <w:right w:val="single" w:color="auto" w:sz="4" w:space="0"/>
            </w:tcBorders>
            <w:vAlign w:val="center"/>
          </w:tcPr>
          <w:p w14:paraId="3C6A0E1E">
            <w:pPr>
              <w:adjustRightInd w:val="0"/>
              <w:snapToGrid w:val="0"/>
              <w:spacing w:line="300" w:lineRule="exact"/>
              <w:jc w:val="center"/>
              <w:rPr>
                <w:rFonts w:hint="eastAsia" w:ascii="宋体" w:hAnsi="宋体"/>
                <w:color w:val="000000" w:themeColor="text1"/>
                <w:spacing w:val="4"/>
                <w:szCs w:val="21"/>
                <w14:textFill>
                  <w14:solidFill>
                    <w14:schemeClr w14:val="tx1"/>
                  </w14:solidFill>
                </w14:textFill>
              </w:rPr>
            </w:pPr>
            <w:r>
              <w:rPr>
                <w:rFonts w:ascii="宋体" w:hAnsi="宋体"/>
                <w:color w:val="000000" w:themeColor="text1"/>
                <w:spacing w:val="4"/>
                <w:szCs w:val="21"/>
                <w14:textFill>
                  <w14:solidFill>
                    <w14:schemeClr w14:val="tx1"/>
                  </w14:solidFill>
                </w14:textFill>
              </w:rPr>
              <w:t>≤5.0</w:t>
            </w:r>
          </w:p>
        </w:tc>
        <w:tc>
          <w:tcPr>
            <w:tcW w:w="400" w:type="pct"/>
            <w:gridSpan w:val="2"/>
            <w:tcBorders>
              <w:top w:val="single" w:color="auto" w:sz="4" w:space="0"/>
              <w:left w:val="single" w:color="auto" w:sz="4" w:space="0"/>
              <w:bottom w:val="single" w:color="auto" w:sz="4" w:space="0"/>
              <w:right w:val="single" w:color="auto" w:sz="4" w:space="0"/>
            </w:tcBorders>
            <w:vAlign w:val="center"/>
          </w:tcPr>
          <w:p w14:paraId="4BAC630C">
            <w:pPr>
              <w:adjustRightInd w:val="0"/>
              <w:snapToGrid w:val="0"/>
              <w:spacing w:line="300" w:lineRule="exact"/>
              <w:jc w:val="center"/>
              <w:rPr>
                <w:rFonts w:hint="eastAsia" w:ascii="宋体" w:hAnsi="宋体"/>
                <w:color w:val="000000" w:themeColor="text1"/>
                <w:spacing w:val="4"/>
                <w:szCs w:val="21"/>
                <w14:textFill>
                  <w14:solidFill>
                    <w14:schemeClr w14:val="tx1"/>
                  </w14:solidFill>
                </w14:textFill>
              </w:rPr>
            </w:pPr>
            <w:r>
              <w:rPr>
                <w:rFonts w:hint="eastAsia" w:ascii="宋体" w:hAnsi="宋体"/>
                <w:color w:val="000000" w:themeColor="text1"/>
                <w:spacing w:val="4"/>
                <w:szCs w:val="21"/>
                <w14:textFill>
                  <w14:solidFill>
                    <w14:schemeClr w14:val="tx1"/>
                  </w14:solidFill>
                </w14:textFill>
              </w:rPr>
              <w:t>＜5</w:t>
            </w:r>
          </w:p>
        </w:tc>
        <w:tc>
          <w:tcPr>
            <w:tcW w:w="261" w:type="pct"/>
            <w:tcBorders>
              <w:top w:val="single" w:color="auto" w:sz="4" w:space="0"/>
              <w:left w:val="single" w:color="auto" w:sz="4" w:space="0"/>
              <w:bottom w:val="single" w:color="auto" w:sz="4" w:space="0"/>
            </w:tcBorders>
            <w:vAlign w:val="center"/>
          </w:tcPr>
          <w:p w14:paraId="2F60AE82">
            <w:pPr>
              <w:adjustRightInd w:val="0"/>
              <w:snapToGrid w:val="0"/>
              <w:spacing w:line="300" w:lineRule="exact"/>
              <w:jc w:val="center"/>
              <w:rPr>
                <w:rFonts w:hint="eastAsia" w:ascii="宋体" w:hAnsi="宋体"/>
                <w:color w:val="000000" w:themeColor="text1"/>
                <w:spacing w:val="4"/>
                <w:szCs w:val="21"/>
                <w14:textFill>
                  <w14:solidFill>
                    <w14:schemeClr w14:val="tx1"/>
                  </w14:solidFill>
                </w14:textFill>
              </w:rPr>
            </w:pPr>
            <w:r>
              <w:rPr>
                <w:rFonts w:ascii="宋体" w:hAnsi="宋体"/>
                <w:color w:val="000000" w:themeColor="text1"/>
                <w:spacing w:val="4"/>
                <w:szCs w:val="21"/>
                <w14:textFill>
                  <w14:solidFill>
                    <w14:schemeClr w14:val="tx1"/>
                  </w14:solidFill>
                </w14:textFill>
              </w:rPr>
              <w:t>10</w:t>
            </w:r>
          </w:p>
        </w:tc>
      </w:tr>
      <w:tr w14:paraId="2B187E2D">
        <w:tblPrEx>
          <w:tblCellMar>
            <w:top w:w="0" w:type="dxa"/>
            <w:left w:w="108" w:type="dxa"/>
            <w:bottom w:w="0" w:type="dxa"/>
            <w:right w:w="108" w:type="dxa"/>
          </w:tblCellMar>
        </w:tblPrEx>
        <w:trPr>
          <w:trHeight w:val="284" w:hRule="atLeast"/>
        </w:trPr>
        <w:tc>
          <w:tcPr>
            <w:tcW w:w="984" w:type="pct"/>
            <w:vMerge w:val="continue"/>
            <w:tcBorders>
              <w:top w:val="single" w:color="auto" w:sz="4" w:space="0"/>
              <w:bottom w:val="single" w:color="auto" w:sz="4" w:space="0"/>
              <w:right w:val="single" w:color="auto" w:sz="4" w:space="0"/>
            </w:tcBorders>
            <w:vAlign w:val="center"/>
          </w:tcPr>
          <w:p w14:paraId="26552DA9">
            <w:pPr>
              <w:widowControl/>
              <w:jc w:val="left"/>
              <w:rPr>
                <w:rFonts w:hint="eastAsia" w:ascii="宋体" w:hAnsi="宋体"/>
                <w:color w:val="000000" w:themeColor="text1"/>
                <w:spacing w:val="4"/>
                <w:szCs w:val="21"/>
                <w14:textFill>
                  <w14:solidFill>
                    <w14:schemeClr w14:val="tx1"/>
                  </w14:solidFill>
                </w14:textFill>
              </w:rPr>
            </w:pPr>
          </w:p>
        </w:tc>
        <w:tc>
          <w:tcPr>
            <w:tcW w:w="323" w:type="pct"/>
            <w:vMerge w:val="continue"/>
            <w:tcBorders>
              <w:top w:val="single" w:color="auto" w:sz="4" w:space="0"/>
              <w:left w:val="single" w:color="auto" w:sz="4" w:space="0"/>
              <w:bottom w:val="single" w:color="auto" w:sz="4" w:space="0"/>
              <w:right w:val="single" w:color="auto" w:sz="4" w:space="0"/>
            </w:tcBorders>
            <w:vAlign w:val="center"/>
          </w:tcPr>
          <w:p w14:paraId="2CC58470">
            <w:pPr>
              <w:widowControl/>
              <w:jc w:val="left"/>
              <w:rPr>
                <w:rFonts w:hint="eastAsia" w:ascii="宋体" w:hAnsi="宋体"/>
                <w:color w:val="000000" w:themeColor="text1"/>
                <w:spacing w:val="4"/>
                <w:szCs w:val="21"/>
                <w14:textFill>
                  <w14:solidFill>
                    <w14:schemeClr w14:val="tx1"/>
                  </w14:solidFill>
                </w14:textFill>
              </w:rPr>
            </w:pPr>
          </w:p>
        </w:tc>
        <w:tc>
          <w:tcPr>
            <w:tcW w:w="1030" w:type="pct"/>
            <w:gridSpan w:val="3"/>
            <w:tcBorders>
              <w:top w:val="single" w:color="auto" w:sz="4" w:space="0"/>
              <w:left w:val="single" w:color="auto" w:sz="4" w:space="0"/>
              <w:bottom w:val="single" w:color="auto" w:sz="4" w:space="0"/>
              <w:right w:val="single" w:color="auto" w:sz="4" w:space="0"/>
            </w:tcBorders>
            <w:vAlign w:val="center"/>
          </w:tcPr>
          <w:p w14:paraId="30768093">
            <w:pPr>
              <w:adjustRightInd w:val="0"/>
              <w:snapToGrid w:val="0"/>
              <w:spacing w:line="300" w:lineRule="exact"/>
              <w:jc w:val="center"/>
              <w:rPr>
                <w:rFonts w:hint="eastAsia" w:ascii="宋体" w:hAnsi="宋体"/>
                <w:color w:val="000000" w:themeColor="text1"/>
                <w:spacing w:val="4"/>
                <w:szCs w:val="21"/>
                <w14:textFill>
                  <w14:solidFill>
                    <w14:schemeClr w14:val="tx1"/>
                  </w14:solidFill>
                </w14:textFill>
              </w:rPr>
            </w:pPr>
            <w:r>
              <w:rPr>
                <w:rFonts w:ascii="宋体" w:hAnsi="宋体"/>
                <w:color w:val="000000" w:themeColor="text1"/>
                <w:spacing w:val="4"/>
                <w:szCs w:val="21"/>
                <w14:textFill>
                  <w14:solidFill>
                    <w14:schemeClr w14:val="tx1"/>
                  </w14:solidFill>
                </w14:textFill>
              </w:rPr>
              <w:t>新鲜水消耗</w:t>
            </w:r>
          </w:p>
        </w:tc>
        <w:tc>
          <w:tcPr>
            <w:tcW w:w="446" w:type="pct"/>
            <w:tcBorders>
              <w:top w:val="single" w:color="auto" w:sz="4" w:space="0"/>
              <w:left w:val="single" w:color="auto" w:sz="4" w:space="0"/>
              <w:bottom w:val="single" w:color="auto" w:sz="4" w:space="0"/>
              <w:right w:val="single" w:color="auto" w:sz="4" w:space="0"/>
            </w:tcBorders>
            <w:vAlign w:val="center"/>
          </w:tcPr>
          <w:p w14:paraId="4D2F509B">
            <w:pPr>
              <w:adjustRightInd w:val="0"/>
              <w:snapToGrid w:val="0"/>
              <w:spacing w:line="300" w:lineRule="exact"/>
              <w:jc w:val="center"/>
              <w:rPr>
                <w:rFonts w:hint="eastAsia" w:ascii="宋体" w:hAnsi="宋体"/>
                <w:color w:val="000000" w:themeColor="text1"/>
                <w:spacing w:val="4"/>
                <w:szCs w:val="21"/>
                <w14:textFill>
                  <w14:solidFill>
                    <w14:schemeClr w14:val="tx1"/>
                  </w14:solidFill>
                </w14:textFill>
              </w:rPr>
            </w:pPr>
            <w:r>
              <w:rPr>
                <w:rFonts w:ascii="宋体" w:hAnsi="宋体"/>
                <w:color w:val="000000" w:themeColor="text1"/>
                <w:spacing w:val="4"/>
                <w:szCs w:val="21"/>
                <w14:textFill>
                  <w14:solidFill>
                    <w14:schemeClr w14:val="tx1"/>
                  </w14:solidFill>
                </w14:textFill>
              </w:rPr>
              <w:t>m</w:t>
            </w:r>
            <w:r>
              <w:rPr>
                <w:rFonts w:ascii="宋体" w:hAnsi="宋体"/>
                <w:color w:val="000000" w:themeColor="text1"/>
                <w:spacing w:val="4"/>
                <w:szCs w:val="21"/>
                <w:vertAlign w:val="superscript"/>
                <w14:textFill>
                  <w14:solidFill>
                    <w14:schemeClr w14:val="tx1"/>
                  </w14:solidFill>
                </w14:textFill>
              </w:rPr>
              <w:t>3</w:t>
            </w:r>
            <w:r>
              <w:rPr>
                <w:rFonts w:ascii="宋体" w:hAnsi="宋体"/>
                <w:color w:val="000000" w:themeColor="text1"/>
                <w:spacing w:val="4"/>
                <w:szCs w:val="21"/>
                <w14:textFill>
                  <w14:solidFill>
                    <w14:schemeClr w14:val="tx1"/>
                  </w14:solidFill>
                </w14:textFill>
              </w:rPr>
              <w:t>/井次</w:t>
            </w:r>
          </w:p>
        </w:tc>
        <w:tc>
          <w:tcPr>
            <w:tcW w:w="455" w:type="pct"/>
            <w:gridSpan w:val="2"/>
            <w:tcBorders>
              <w:top w:val="single" w:color="auto" w:sz="4" w:space="0"/>
              <w:left w:val="single" w:color="auto" w:sz="4" w:space="0"/>
              <w:bottom w:val="single" w:color="auto" w:sz="4" w:space="0"/>
              <w:right w:val="single" w:color="auto" w:sz="4" w:space="0"/>
            </w:tcBorders>
            <w:vAlign w:val="center"/>
          </w:tcPr>
          <w:p w14:paraId="2B3435E8">
            <w:pPr>
              <w:adjustRightInd w:val="0"/>
              <w:snapToGrid w:val="0"/>
              <w:spacing w:line="300" w:lineRule="exact"/>
              <w:jc w:val="center"/>
              <w:rPr>
                <w:rFonts w:hint="eastAsia" w:ascii="宋体" w:hAnsi="宋体"/>
                <w:color w:val="000000" w:themeColor="text1"/>
                <w:spacing w:val="4"/>
                <w:szCs w:val="21"/>
                <w14:textFill>
                  <w14:solidFill>
                    <w14:schemeClr w14:val="tx1"/>
                  </w14:solidFill>
                </w14:textFill>
              </w:rPr>
            </w:pPr>
            <w:r>
              <w:rPr>
                <w:rFonts w:ascii="宋体" w:hAnsi="宋体"/>
                <w:color w:val="000000" w:themeColor="text1"/>
                <w:spacing w:val="4"/>
                <w:szCs w:val="21"/>
                <w14:textFill>
                  <w14:solidFill>
                    <w14:schemeClr w14:val="tx1"/>
                  </w14:solidFill>
                </w14:textFill>
              </w:rPr>
              <w:t>10</w:t>
            </w:r>
          </w:p>
        </w:tc>
        <w:tc>
          <w:tcPr>
            <w:tcW w:w="1100" w:type="pct"/>
            <w:gridSpan w:val="2"/>
            <w:tcBorders>
              <w:top w:val="single" w:color="auto" w:sz="4" w:space="0"/>
              <w:left w:val="single" w:color="auto" w:sz="4" w:space="0"/>
              <w:bottom w:val="single" w:color="auto" w:sz="4" w:space="0"/>
              <w:right w:val="single" w:color="auto" w:sz="4" w:space="0"/>
            </w:tcBorders>
            <w:vAlign w:val="center"/>
          </w:tcPr>
          <w:p w14:paraId="0D04D8D4">
            <w:pPr>
              <w:adjustRightInd w:val="0"/>
              <w:snapToGrid w:val="0"/>
              <w:spacing w:line="300" w:lineRule="exact"/>
              <w:jc w:val="center"/>
              <w:rPr>
                <w:rFonts w:hint="eastAsia" w:ascii="宋体" w:hAnsi="宋体"/>
                <w:color w:val="000000" w:themeColor="text1"/>
                <w:spacing w:val="4"/>
                <w:szCs w:val="21"/>
                <w14:textFill>
                  <w14:solidFill>
                    <w14:schemeClr w14:val="tx1"/>
                  </w14:solidFill>
                </w14:textFill>
              </w:rPr>
            </w:pPr>
            <w:r>
              <w:rPr>
                <w:rFonts w:ascii="宋体" w:hAnsi="宋体"/>
                <w:color w:val="000000" w:themeColor="text1"/>
                <w:spacing w:val="4"/>
                <w:szCs w:val="21"/>
                <w14:textFill>
                  <w14:solidFill>
                    <w14:schemeClr w14:val="tx1"/>
                  </w14:solidFill>
                </w14:textFill>
              </w:rPr>
              <w:t>≤5.0</w:t>
            </w:r>
          </w:p>
        </w:tc>
        <w:tc>
          <w:tcPr>
            <w:tcW w:w="400" w:type="pct"/>
            <w:gridSpan w:val="2"/>
            <w:tcBorders>
              <w:top w:val="single" w:color="auto" w:sz="4" w:space="0"/>
              <w:left w:val="single" w:color="auto" w:sz="4" w:space="0"/>
              <w:bottom w:val="single" w:color="auto" w:sz="4" w:space="0"/>
              <w:right w:val="single" w:color="auto" w:sz="4" w:space="0"/>
            </w:tcBorders>
            <w:vAlign w:val="center"/>
          </w:tcPr>
          <w:p w14:paraId="0DFF04CD">
            <w:pPr>
              <w:adjustRightInd w:val="0"/>
              <w:snapToGrid w:val="0"/>
              <w:spacing w:line="300" w:lineRule="exact"/>
              <w:jc w:val="center"/>
              <w:rPr>
                <w:rFonts w:hint="eastAsia" w:ascii="宋体" w:hAnsi="宋体"/>
                <w:color w:val="000000" w:themeColor="text1"/>
                <w:spacing w:val="4"/>
                <w:szCs w:val="21"/>
                <w14:textFill>
                  <w14:solidFill>
                    <w14:schemeClr w14:val="tx1"/>
                  </w14:solidFill>
                </w14:textFill>
              </w:rPr>
            </w:pPr>
            <w:r>
              <w:rPr>
                <w:rFonts w:hint="eastAsia" w:ascii="宋体" w:hAnsi="宋体"/>
                <w:color w:val="000000" w:themeColor="text1"/>
                <w:spacing w:val="4"/>
                <w:szCs w:val="21"/>
                <w14:textFill>
                  <w14:solidFill>
                    <w14:schemeClr w14:val="tx1"/>
                  </w14:solidFill>
                </w14:textFill>
              </w:rPr>
              <w:t>0</w:t>
            </w:r>
          </w:p>
        </w:tc>
        <w:tc>
          <w:tcPr>
            <w:tcW w:w="261" w:type="pct"/>
            <w:tcBorders>
              <w:top w:val="single" w:color="auto" w:sz="4" w:space="0"/>
              <w:left w:val="single" w:color="auto" w:sz="4" w:space="0"/>
              <w:bottom w:val="single" w:color="auto" w:sz="4" w:space="0"/>
            </w:tcBorders>
            <w:vAlign w:val="center"/>
          </w:tcPr>
          <w:p w14:paraId="0B67E067">
            <w:pPr>
              <w:adjustRightInd w:val="0"/>
              <w:snapToGrid w:val="0"/>
              <w:spacing w:line="300" w:lineRule="exact"/>
              <w:jc w:val="center"/>
              <w:rPr>
                <w:rFonts w:hint="eastAsia" w:ascii="宋体" w:hAnsi="宋体"/>
                <w:color w:val="000000" w:themeColor="text1"/>
                <w:spacing w:val="4"/>
                <w:szCs w:val="21"/>
                <w14:textFill>
                  <w14:solidFill>
                    <w14:schemeClr w14:val="tx1"/>
                  </w14:solidFill>
                </w14:textFill>
              </w:rPr>
            </w:pPr>
            <w:r>
              <w:rPr>
                <w:rFonts w:hint="eastAsia" w:ascii="宋体" w:hAnsi="宋体"/>
                <w:color w:val="000000" w:themeColor="text1"/>
                <w:spacing w:val="4"/>
                <w:szCs w:val="21"/>
                <w14:textFill>
                  <w14:solidFill>
                    <w14:schemeClr w14:val="tx1"/>
                  </w14:solidFill>
                </w14:textFill>
              </w:rPr>
              <w:t>10</w:t>
            </w:r>
          </w:p>
        </w:tc>
      </w:tr>
      <w:tr w14:paraId="3C50C46A">
        <w:tblPrEx>
          <w:tblCellMar>
            <w:top w:w="0" w:type="dxa"/>
            <w:left w:w="108" w:type="dxa"/>
            <w:bottom w:w="0" w:type="dxa"/>
            <w:right w:w="108" w:type="dxa"/>
          </w:tblCellMar>
        </w:tblPrEx>
        <w:trPr>
          <w:trHeight w:val="284" w:hRule="atLeast"/>
        </w:trPr>
        <w:tc>
          <w:tcPr>
            <w:tcW w:w="984" w:type="pct"/>
            <w:vMerge w:val="continue"/>
            <w:tcBorders>
              <w:top w:val="single" w:color="auto" w:sz="4" w:space="0"/>
              <w:bottom w:val="single" w:color="auto" w:sz="4" w:space="0"/>
              <w:right w:val="single" w:color="auto" w:sz="4" w:space="0"/>
            </w:tcBorders>
            <w:vAlign w:val="center"/>
          </w:tcPr>
          <w:p w14:paraId="65AD4502">
            <w:pPr>
              <w:widowControl/>
              <w:jc w:val="left"/>
              <w:rPr>
                <w:rFonts w:hint="eastAsia" w:ascii="宋体" w:hAnsi="宋体"/>
                <w:color w:val="000000" w:themeColor="text1"/>
                <w:spacing w:val="4"/>
                <w:szCs w:val="21"/>
                <w14:textFill>
                  <w14:solidFill>
                    <w14:schemeClr w14:val="tx1"/>
                  </w14:solidFill>
                </w14:textFill>
              </w:rPr>
            </w:pPr>
          </w:p>
        </w:tc>
        <w:tc>
          <w:tcPr>
            <w:tcW w:w="323" w:type="pct"/>
            <w:vMerge w:val="continue"/>
            <w:tcBorders>
              <w:top w:val="single" w:color="auto" w:sz="4" w:space="0"/>
              <w:left w:val="single" w:color="auto" w:sz="4" w:space="0"/>
              <w:bottom w:val="single" w:color="auto" w:sz="4" w:space="0"/>
              <w:right w:val="single" w:color="auto" w:sz="4" w:space="0"/>
            </w:tcBorders>
            <w:vAlign w:val="center"/>
          </w:tcPr>
          <w:p w14:paraId="433D5490">
            <w:pPr>
              <w:widowControl/>
              <w:jc w:val="left"/>
              <w:rPr>
                <w:rFonts w:hint="eastAsia" w:ascii="宋体" w:hAnsi="宋体"/>
                <w:color w:val="000000" w:themeColor="text1"/>
                <w:spacing w:val="4"/>
                <w:szCs w:val="21"/>
                <w14:textFill>
                  <w14:solidFill>
                    <w14:schemeClr w14:val="tx1"/>
                  </w14:solidFill>
                </w14:textFill>
              </w:rPr>
            </w:pPr>
          </w:p>
        </w:tc>
        <w:tc>
          <w:tcPr>
            <w:tcW w:w="1030" w:type="pct"/>
            <w:gridSpan w:val="3"/>
            <w:tcBorders>
              <w:top w:val="single" w:color="auto" w:sz="4" w:space="0"/>
              <w:left w:val="single" w:color="auto" w:sz="4" w:space="0"/>
              <w:bottom w:val="single" w:color="auto" w:sz="4" w:space="0"/>
              <w:right w:val="single" w:color="auto" w:sz="4" w:space="0"/>
            </w:tcBorders>
            <w:vAlign w:val="center"/>
          </w:tcPr>
          <w:p w14:paraId="22E1F54D">
            <w:pPr>
              <w:adjustRightInd w:val="0"/>
              <w:snapToGrid w:val="0"/>
              <w:spacing w:line="300" w:lineRule="exact"/>
              <w:jc w:val="center"/>
              <w:rPr>
                <w:rFonts w:hint="eastAsia" w:ascii="宋体" w:hAnsi="宋体"/>
                <w:color w:val="000000" w:themeColor="text1"/>
                <w:spacing w:val="4"/>
                <w:szCs w:val="21"/>
                <w14:textFill>
                  <w14:solidFill>
                    <w14:schemeClr w14:val="tx1"/>
                  </w14:solidFill>
                </w14:textFill>
              </w:rPr>
            </w:pPr>
            <w:r>
              <w:rPr>
                <w:rFonts w:ascii="宋体" w:hAnsi="宋体"/>
                <w:color w:val="000000" w:themeColor="text1"/>
                <w:spacing w:val="4"/>
                <w:szCs w:val="21"/>
                <w14:textFill>
                  <w14:solidFill>
                    <w14:schemeClr w14:val="tx1"/>
                  </w14:solidFill>
                </w14:textFill>
              </w:rPr>
              <w:t>单位能耗</w:t>
            </w:r>
          </w:p>
        </w:tc>
        <w:tc>
          <w:tcPr>
            <w:tcW w:w="446" w:type="pct"/>
            <w:tcBorders>
              <w:top w:val="single" w:color="auto" w:sz="4" w:space="0"/>
              <w:left w:val="single" w:color="auto" w:sz="4" w:space="0"/>
              <w:bottom w:val="single" w:color="auto" w:sz="4" w:space="0"/>
              <w:right w:val="single" w:color="auto" w:sz="4" w:space="0"/>
            </w:tcBorders>
            <w:vAlign w:val="center"/>
          </w:tcPr>
          <w:p w14:paraId="518C4E68">
            <w:pPr>
              <w:adjustRightInd w:val="0"/>
              <w:snapToGrid w:val="0"/>
              <w:spacing w:line="300" w:lineRule="exact"/>
              <w:jc w:val="center"/>
              <w:rPr>
                <w:rFonts w:hint="eastAsia" w:ascii="宋体" w:hAnsi="宋体"/>
                <w:color w:val="000000" w:themeColor="text1"/>
                <w:spacing w:val="4"/>
                <w:szCs w:val="21"/>
                <w14:textFill>
                  <w14:solidFill>
                    <w14:schemeClr w14:val="tx1"/>
                  </w14:solidFill>
                </w14:textFill>
              </w:rPr>
            </w:pPr>
            <w:r>
              <w:rPr>
                <w:rFonts w:ascii="宋体" w:hAnsi="宋体"/>
                <w:color w:val="000000" w:themeColor="text1"/>
                <w:spacing w:val="4"/>
                <w:szCs w:val="21"/>
                <w14:textFill>
                  <w14:solidFill>
                    <w14:schemeClr w14:val="tx1"/>
                  </w14:solidFill>
                </w14:textFill>
              </w:rPr>
              <w:t>-</w:t>
            </w:r>
          </w:p>
        </w:tc>
        <w:tc>
          <w:tcPr>
            <w:tcW w:w="455" w:type="pct"/>
            <w:gridSpan w:val="2"/>
            <w:tcBorders>
              <w:top w:val="single" w:color="auto" w:sz="4" w:space="0"/>
              <w:left w:val="single" w:color="auto" w:sz="4" w:space="0"/>
              <w:bottom w:val="single" w:color="auto" w:sz="4" w:space="0"/>
              <w:right w:val="single" w:color="auto" w:sz="4" w:space="0"/>
            </w:tcBorders>
            <w:vAlign w:val="center"/>
          </w:tcPr>
          <w:p w14:paraId="0EA8D7E8">
            <w:pPr>
              <w:adjustRightInd w:val="0"/>
              <w:snapToGrid w:val="0"/>
              <w:spacing w:line="300" w:lineRule="exact"/>
              <w:jc w:val="center"/>
              <w:rPr>
                <w:rFonts w:hint="eastAsia" w:ascii="宋体" w:hAnsi="宋体"/>
                <w:color w:val="000000" w:themeColor="text1"/>
                <w:spacing w:val="4"/>
                <w:szCs w:val="21"/>
                <w14:textFill>
                  <w14:solidFill>
                    <w14:schemeClr w14:val="tx1"/>
                  </w14:solidFill>
                </w14:textFill>
              </w:rPr>
            </w:pPr>
            <w:r>
              <w:rPr>
                <w:rFonts w:ascii="宋体" w:hAnsi="宋体"/>
                <w:color w:val="000000" w:themeColor="text1"/>
                <w:spacing w:val="4"/>
                <w:szCs w:val="21"/>
                <w14:textFill>
                  <w14:solidFill>
                    <w14:schemeClr w14:val="tx1"/>
                  </w14:solidFill>
                </w14:textFill>
              </w:rPr>
              <w:t>10</w:t>
            </w:r>
          </w:p>
        </w:tc>
        <w:tc>
          <w:tcPr>
            <w:tcW w:w="1100" w:type="pct"/>
            <w:gridSpan w:val="2"/>
            <w:tcBorders>
              <w:top w:val="single" w:color="auto" w:sz="4" w:space="0"/>
              <w:left w:val="single" w:color="auto" w:sz="4" w:space="0"/>
              <w:bottom w:val="single" w:color="auto" w:sz="4" w:space="0"/>
              <w:right w:val="single" w:color="auto" w:sz="4" w:space="0"/>
            </w:tcBorders>
            <w:vAlign w:val="center"/>
          </w:tcPr>
          <w:p w14:paraId="7E6F96E0">
            <w:pPr>
              <w:adjustRightInd w:val="0"/>
              <w:snapToGrid w:val="0"/>
              <w:spacing w:line="300" w:lineRule="exact"/>
              <w:jc w:val="center"/>
              <w:rPr>
                <w:rFonts w:hint="eastAsia" w:ascii="宋体" w:hAnsi="宋体"/>
                <w:color w:val="000000" w:themeColor="text1"/>
                <w:spacing w:val="4"/>
                <w:szCs w:val="21"/>
                <w14:textFill>
                  <w14:solidFill>
                    <w14:schemeClr w14:val="tx1"/>
                  </w14:solidFill>
                </w14:textFill>
              </w:rPr>
            </w:pPr>
            <w:r>
              <w:rPr>
                <w:rFonts w:ascii="宋体" w:hAnsi="宋体"/>
                <w:color w:val="000000" w:themeColor="text1"/>
                <w:spacing w:val="4"/>
                <w:szCs w:val="21"/>
                <w14:textFill>
                  <w14:solidFill>
                    <w14:schemeClr w14:val="tx1"/>
                  </w14:solidFill>
                </w14:textFill>
              </w:rPr>
              <w:t>行业基本水平</w:t>
            </w:r>
          </w:p>
        </w:tc>
        <w:tc>
          <w:tcPr>
            <w:tcW w:w="400" w:type="pct"/>
            <w:gridSpan w:val="2"/>
            <w:tcBorders>
              <w:top w:val="single" w:color="auto" w:sz="4" w:space="0"/>
              <w:left w:val="single" w:color="auto" w:sz="4" w:space="0"/>
              <w:bottom w:val="single" w:color="auto" w:sz="4" w:space="0"/>
              <w:right w:val="single" w:color="auto" w:sz="4" w:space="0"/>
            </w:tcBorders>
            <w:vAlign w:val="center"/>
          </w:tcPr>
          <w:p w14:paraId="19FC070A">
            <w:pPr>
              <w:adjustRightInd w:val="0"/>
              <w:snapToGrid w:val="0"/>
              <w:spacing w:line="300" w:lineRule="exact"/>
              <w:jc w:val="center"/>
              <w:rPr>
                <w:rFonts w:hint="eastAsia" w:ascii="宋体" w:hAnsi="宋体"/>
                <w:color w:val="000000" w:themeColor="text1"/>
                <w:spacing w:val="4"/>
                <w:szCs w:val="21"/>
                <w14:textFill>
                  <w14:solidFill>
                    <w14:schemeClr w14:val="tx1"/>
                  </w14:solidFill>
                </w14:textFill>
              </w:rPr>
            </w:pPr>
            <w:r>
              <w:rPr>
                <w:rFonts w:hint="eastAsia" w:ascii="宋体" w:hAnsi="宋体"/>
                <w:color w:val="000000" w:themeColor="text1"/>
                <w:spacing w:val="4"/>
                <w:szCs w:val="21"/>
                <w14:textFill>
                  <w14:solidFill>
                    <w14:schemeClr w14:val="tx1"/>
                  </w14:solidFill>
                </w14:textFill>
              </w:rPr>
              <w:t>基本水平</w:t>
            </w:r>
          </w:p>
        </w:tc>
        <w:tc>
          <w:tcPr>
            <w:tcW w:w="261" w:type="pct"/>
            <w:tcBorders>
              <w:top w:val="single" w:color="auto" w:sz="4" w:space="0"/>
              <w:left w:val="single" w:color="auto" w:sz="4" w:space="0"/>
              <w:bottom w:val="single" w:color="auto" w:sz="4" w:space="0"/>
            </w:tcBorders>
            <w:vAlign w:val="center"/>
          </w:tcPr>
          <w:p w14:paraId="74A6C141">
            <w:pPr>
              <w:adjustRightInd w:val="0"/>
              <w:snapToGrid w:val="0"/>
              <w:spacing w:line="300" w:lineRule="exact"/>
              <w:jc w:val="center"/>
              <w:rPr>
                <w:rFonts w:hint="eastAsia" w:ascii="宋体" w:hAnsi="宋体"/>
                <w:color w:val="000000" w:themeColor="text1"/>
                <w:spacing w:val="4"/>
                <w:szCs w:val="21"/>
                <w14:textFill>
                  <w14:solidFill>
                    <w14:schemeClr w14:val="tx1"/>
                  </w14:solidFill>
                </w14:textFill>
              </w:rPr>
            </w:pPr>
            <w:r>
              <w:rPr>
                <w:rFonts w:hint="eastAsia" w:ascii="宋体" w:hAnsi="宋体"/>
                <w:color w:val="000000" w:themeColor="text1"/>
                <w:spacing w:val="4"/>
                <w:szCs w:val="21"/>
                <w14:textFill>
                  <w14:solidFill>
                    <w14:schemeClr w14:val="tx1"/>
                  </w14:solidFill>
                </w14:textFill>
              </w:rPr>
              <w:t>10</w:t>
            </w:r>
          </w:p>
        </w:tc>
      </w:tr>
      <w:tr w14:paraId="6984C8E1">
        <w:tblPrEx>
          <w:tblCellMar>
            <w:top w:w="0" w:type="dxa"/>
            <w:left w:w="108" w:type="dxa"/>
            <w:bottom w:w="0" w:type="dxa"/>
            <w:right w:w="108" w:type="dxa"/>
          </w:tblCellMar>
        </w:tblPrEx>
        <w:trPr>
          <w:trHeight w:val="284" w:hRule="atLeast"/>
        </w:trPr>
        <w:tc>
          <w:tcPr>
            <w:tcW w:w="984" w:type="pct"/>
            <w:tcBorders>
              <w:top w:val="single" w:color="auto" w:sz="4" w:space="0"/>
              <w:bottom w:val="single" w:color="auto" w:sz="4" w:space="0"/>
              <w:right w:val="single" w:color="auto" w:sz="4" w:space="0"/>
            </w:tcBorders>
            <w:vAlign w:val="center"/>
          </w:tcPr>
          <w:p w14:paraId="018BDC45">
            <w:pPr>
              <w:adjustRightInd w:val="0"/>
              <w:snapToGrid w:val="0"/>
              <w:spacing w:line="300" w:lineRule="exact"/>
              <w:jc w:val="center"/>
              <w:rPr>
                <w:rFonts w:hint="eastAsia" w:ascii="宋体" w:hAnsi="宋体"/>
                <w:color w:val="000000" w:themeColor="text1"/>
                <w:spacing w:val="4"/>
                <w:szCs w:val="21"/>
                <w14:textFill>
                  <w14:solidFill>
                    <w14:schemeClr w14:val="tx1"/>
                  </w14:solidFill>
                </w14:textFill>
              </w:rPr>
            </w:pPr>
            <w:r>
              <w:rPr>
                <w:rFonts w:ascii="宋体" w:hAnsi="宋体"/>
                <w:color w:val="000000" w:themeColor="text1"/>
                <w:spacing w:val="4"/>
                <w:szCs w:val="21"/>
                <w14:textFill>
                  <w14:solidFill>
                    <w14:schemeClr w14:val="tx1"/>
                  </w14:solidFill>
                </w14:textFill>
              </w:rPr>
              <w:t>（2）生产技术特征指标</w:t>
            </w:r>
          </w:p>
        </w:tc>
        <w:tc>
          <w:tcPr>
            <w:tcW w:w="323" w:type="pct"/>
            <w:tcBorders>
              <w:top w:val="single" w:color="auto" w:sz="4" w:space="0"/>
              <w:left w:val="single" w:color="auto" w:sz="4" w:space="0"/>
              <w:bottom w:val="single" w:color="auto" w:sz="4" w:space="0"/>
              <w:right w:val="single" w:color="auto" w:sz="4" w:space="0"/>
            </w:tcBorders>
            <w:vAlign w:val="center"/>
          </w:tcPr>
          <w:p w14:paraId="6D8DFAA9">
            <w:pPr>
              <w:adjustRightInd w:val="0"/>
              <w:snapToGrid w:val="0"/>
              <w:spacing w:line="300" w:lineRule="exact"/>
              <w:jc w:val="center"/>
              <w:rPr>
                <w:rFonts w:hint="eastAsia" w:ascii="宋体" w:hAnsi="宋体"/>
                <w:color w:val="000000" w:themeColor="text1"/>
                <w:spacing w:val="4"/>
                <w:szCs w:val="21"/>
                <w14:textFill>
                  <w14:solidFill>
                    <w14:schemeClr w14:val="tx1"/>
                  </w14:solidFill>
                </w14:textFill>
              </w:rPr>
            </w:pPr>
            <w:r>
              <w:rPr>
                <w:rFonts w:ascii="宋体" w:hAnsi="宋体"/>
                <w:color w:val="000000" w:themeColor="text1"/>
                <w:spacing w:val="4"/>
                <w:szCs w:val="21"/>
                <w14:textFill>
                  <w14:solidFill>
                    <w14:schemeClr w14:val="tx1"/>
                  </w14:solidFill>
                </w14:textFill>
              </w:rPr>
              <w:t>20</w:t>
            </w:r>
          </w:p>
        </w:tc>
        <w:tc>
          <w:tcPr>
            <w:tcW w:w="1030" w:type="pct"/>
            <w:gridSpan w:val="3"/>
            <w:tcBorders>
              <w:top w:val="single" w:color="auto" w:sz="4" w:space="0"/>
              <w:left w:val="single" w:color="auto" w:sz="4" w:space="0"/>
              <w:bottom w:val="single" w:color="auto" w:sz="4" w:space="0"/>
              <w:right w:val="single" w:color="auto" w:sz="4" w:space="0"/>
            </w:tcBorders>
            <w:vAlign w:val="center"/>
          </w:tcPr>
          <w:p w14:paraId="7AD61D0E">
            <w:pPr>
              <w:adjustRightInd w:val="0"/>
              <w:snapToGrid w:val="0"/>
              <w:spacing w:line="300" w:lineRule="exact"/>
              <w:jc w:val="center"/>
              <w:rPr>
                <w:rFonts w:hint="eastAsia" w:ascii="宋体" w:hAnsi="宋体"/>
                <w:color w:val="000000" w:themeColor="text1"/>
                <w:spacing w:val="4"/>
                <w:szCs w:val="21"/>
                <w14:textFill>
                  <w14:solidFill>
                    <w14:schemeClr w14:val="tx1"/>
                  </w14:solidFill>
                </w14:textFill>
              </w:rPr>
            </w:pPr>
            <w:r>
              <w:rPr>
                <w:rFonts w:ascii="宋体" w:hAnsi="宋体"/>
                <w:color w:val="000000" w:themeColor="text1"/>
                <w:spacing w:val="4"/>
                <w:szCs w:val="21"/>
                <w14:textFill>
                  <w14:solidFill>
                    <w14:schemeClr w14:val="tx1"/>
                  </w14:solidFill>
                </w14:textFill>
              </w:rPr>
              <w:t>压裂放喷返排入罐率</w:t>
            </w:r>
          </w:p>
        </w:tc>
        <w:tc>
          <w:tcPr>
            <w:tcW w:w="446" w:type="pct"/>
            <w:tcBorders>
              <w:top w:val="single" w:color="auto" w:sz="4" w:space="0"/>
              <w:left w:val="single" w:color="auto" w:sz="4" w:space="0"/>
              <w:bottom w:val="single" w:color="auto" w:sz="4" w:space="0"/>
              <w:right w:val="single" w:color="auto" w:sz="4" w:space="0"/>
            </w:tcBorders>
            <w:vAlign w:val="center"/>
          </w:tcPr>
          <w:p w14:paraId="03258A9D">
            <w:pPr>
              <w:adjustRightInd w:val="0"/>
              <w:snapToGrid w:val="0"/>
              <w:spacing w:line="300" w:lineRule="exact"/>
              <w:jc w:val="center"/>
              <w:rPr>
                <w:rFonts w:hint="eastAsia" w:ascii="宋体" w:hAnsi="宋体"/>
                <w:color w:val="000000" w:themeColor="text1"/>
                <w:spacing w:val="4"/>
                <w:szCs w:val="21"/>
                <w14:textFill>
                  <w14:solidFill>
                    <w14:schemeClr w14:val="tx1"/>
                  </w14:solidFill>
                </w14:textFill>
              </w:rPr>
            </w:pPr>
            <w:r>
              <w:rPr>
                <w:rFonts w:ascii="宋体" w:hAnsi="宋体"/>
                <w:color w:val="000000" w:themeColor="text1"/>
                <w:spacing w:val="4"/>
                <w:szCs w:val="21"/>
                <w14:textFill>
                  <w14:solidFill>
                    <w14:schemeClr w14:val="tx1"/>
                  </w14:solidFill>
                </w14:textFill>
              </w:rPr>
              <w:t>%</w:t>
            </w:r>
          </w:p>
        </w:tc>
        <w:tc>
          <w:tcPr>
            <w:tcW w:w="455" w:type="pct"/>
            <w:gridSpan w:val="2"/>
            <w:tcBorders>
              <w:top w:val="single" w:color="auto" w:sz="4" w:space="0"/>
              <w:left w:val="single" w:color="auto" w:sz="4" w:space="0"/>
              <w:bottom w:val="single" w:color="auto" w:sz="4" w:space="0"/>
              <w:right w:val="single" w:color="auto" w:sz="4" w:space="0"/>
            </w:tcBorders>
            <w:vAlign w:val="center"/>
          </w:tcPr>
          <w:p w14:paraId="52436B7F">
            <w:pPr>
              <w:adjustRightInd w:val="0"/>
              <w:snapToGrid w:val="0"/>
              <w:spacing w:line="300" w:lineRule="exact"/>
              <w:jc w:val="center"/>
              <w:rPr>
                <w:rFonts w:hint="eastAsia" w:ascii="宋体" w:hAnsi="宋体"/>
                <w:color w:val="000000" w:themeColor="text1"/>
                <w:spacing w:val="4"/>
                <w:szCs w:val="21"/>
                <w14:textFill>
                  <w14:solidFill>
                    <w14:schemeClr w14:val="tx1"/>
                  </w14:solidFill>
                </w14:textFill>
              </w:rPr>
            </w:pPr>
            <w:r>
              <w:rPr>
                <w:rFonts w:ascii="宋体" w:hAnsi="宋体"/>
                <w:color w:val="000000" w:themeColor="text1"/>
                <w:spacing w:val="4"/>
                <w:szCs w:val="21"/>
                <w14:textFill>
                  <w14:solidFill>
                    <w14:schemeClr w14:val="tx1"/>
                  </w14:solidFill>
                </w14:textFill>
              </w:rPr>
              <w:t>20</w:t>
            </w:r>
          </w:p>
        </w:tc>
        <w:tc>
          <w:tcPr>
            <w:tcW w:w="1100" w:type="pct"/>
            <w:gridSpan w:val="2"/>
            <w:tcBorders>
              <w:top w:val="single" w:color="auto" w:sz="4" w:space="0"/>
              <w:left w:val="single" w:color="auto" w:sz="4" w:space="0"/>
              <w:bottom w:val="single" w:color="auto" w:sz="4" w:space="0"/>
              <w:right w:val="single" w:color="auto" w:sz="4" w:space="0"/>
            </w:tcBorders>
            <w:vAlign w:val="center"/>
          </w:tcPr>
          <w:p w14:paraId="7F7FC565">
            <w:pPr>
              <w:adjustRightInd w:val="0"/>
              <w:snapToGrid w:val="0"/>
              <w:spacing w:line="300" w:lineRule="exact"/>
              <w:jc w:val="center"/>
              <w:rPr>
                <w:rFonts w:hint="eastAsia" w:ascii="宋体" w:hAnsi="宋体"/>
                <w:color w:val="000000" w:themeColor="text1"/>
                <w:spacing w:val="4"/>
                <w:szCs w:val="21"/>
                <w14:textFill>
                  <w14:solidFill>
                    <w14:schemeClr w14:val="tx1"/>
                  </w14:solidFill>
                </w14:textFill>
              </w:rPr>
            </w:pPr>
            <w:r>
              <w:rPr>
                <w:rFonts w:ascii="宋体" w:hAnsi="宋体"/>
                <w:color w:val="000000" w:themeColor="text1"/>
                <w:spacing w:val="4"/>
                <w:szCs w:val="21"/>
                <w14:textFill>
                  <w14:solidFill>
                    <w14:schemeClr w14:val="tx1"/>
                  </w14:solidFill>
                </w14:textFill>
              </w:rPr>
              <w:t>100</w:t>
            </w:r>
          </w:p>
        </w:tc>
        <w:tc>
          <w:tcPr>
            <w:tcW w:w="400" w:type="pct"/>
            <w:gridSpan w:val="2"/>
            <w:tcBorders>
              <w:top w:val="single" w:color="auto" w:sz="4" w:space="0"/>
              <w:left w:val="single" w:color="auto" w:sz="4" w:space="0"/>
              <w:bottom w:val="single" w:color="auto" w:sz="4" w:space="0"/>
              <w:right w:val="single" w:color="auto" w:sz="4" w:space="0"/>
            </w:tcBorders>
            <w:vAlign w:val="center"/>
          </w:tcPr>
          <w:p w14:paraId="63C4B7DD">
            <w:pPr>
              <w:adjustRightInd w:val="0"/>
              <w:snapToGrid w:val="0"/>
              <w:spacing w:line="300" w:lineRule="exact"/>
              <w:jc w:val="center"/>
              <w:rPr>
                <w:rFonts w:hint="eastAsia" w:ascii="宋体" w:hAnsi="宋体"/>
                <w:color w:val="000000" w:themeColor="text1"/>
                <w:spacing w:val="4"/>
                <w:szCs w:val="21"/>
                <w14:textFill>
                  <w14:solidFill>
                    <w14:schemeClr w14:val="tx1"/>
                  </w14:solidFill>
                </w14:textFill>
              </w:rPr>
            </w:pPr>
            <w:r>
              <w:rPr>
                <w:rFonts w:ascii="宋体" w:hAnsi="宋体"/>
                <w:color w:val="000000" w:themeColor="text1"/>
                <w:spacing w:val="4"/>
                <w:szCs w:val="21"/>
                <w14:textFill>
                  <w14:solidFill>
                    <w14:schemeClr w14:val="tx1"/>
                  </w14:solidFill>
                </w14:textFill>
              </w:rPr>
              <w:t>100</w:t>
            </w:r>
          </w:p>
        </w:tc>
        <w:tc>
          <w:tcPr>
            <w:tcW w:w="261" w:type="pct"/>
            <w:tcBorders>
              <w:top w:val="single" w:color="auto" w:sz="4" w:space="0"/>
              <w:left w:val="single" w:color="auto" w:sz="4" w:space="0"/>
              <w:bottom w:val="single" w:color="auto" w:sz="4" w:space="0"/>
            </w:tcBorders>
            <w:vAlign w:val="center"/>
          </w:tcPr>
          <w:p w14:paraId="0CCE8303">
            <w:pPr>
              <w:adjustRightInd w:val="0"/>
              <w:snapToGrid w:val="0"/>
              <w:spacing w:line="300" w:lineRule="exact"/>
              <w:jc w:val="center"/>
              <w:rPr>
                <w:rFonts w:hint="eastAsia" w:ascii="宋体" w:hAnsi="宋体"/>
                <w:color w:val="000000" w:themeColor="text1"/>
                <w:spacing w:val="4"/>
                <w:szCs w:val="21"/>
                <w14:textFill>
                  <w14:solidFill>
                    <w14:schemeClr w14:val="tx1"/>
                  </w14:solidFill>
                </w14:textFill>
              </w:rPr>
            </w:pPr>
            <w:r>
              <w:rPr>
                <w:rFonts w:ascii="宋体" w:hAnsi="宋体"/>
                <w:color w:val="000000" w:themeColor="text1"/>
                <w:spacing w:val="4"/>
                <w:szCs w:val="21"/>
                <w14:textFill>
                  <w14:solidFill>
                    <w14:schemeClr w14:val="tx1"/>
                  </w14:solidFill>
                </w14:textFill>
              </w:rPr>
              <w:t>20</w:t>
            </w:r>
          </w:p>
        </w:tc>
      </w:tr>
      <w:tr w14:paraId="0E83DB2C">
        <w:tblPrEx>
          <w:tblCellMar>
            <w:top w:w="0" w:type="dxa"/>
            <w:left w:w="108" w:type="dxa"/>
            <w:bottom w:w="0" w:type="dxa"/>
            <w:right w:w="108" w:type="dxa"/>
          </w:tblCellMar>
        </w:tblPrEx>
        <w:trPr>
          <w:trHeight w:val="284" w:hRule="atLeast"/>
        </w:trPr>
        <w:tc>
          <w:tcPr>
            <w:tcW w:w="984" w:type="pct"/>
            <w:vMerge w:val="restart"/>
            <w:tcBorders>
              <w:top w:val="single" w:color="auto" w:sz="4" w:space="0"/>
              <w:bottom w:val="single" w:color="auto" w:sz="4" w:space="0"/>
              <w:right w:val="single" w:color="auto" w:sz="4" w:space="0"/>
            </w:tcBorders>
            <w:vAlign w:val="center"/>
          </w:tcPr>
          <w:p w14:paraId="261B41D2">
            <w:pPr>
              <w:adjustRightInd w:val="0"/>
              <w:snapToGrid w:val="0"/>
              <w:spacing w:line="300" w:lineRule="exact"/>
              <w:jc w:val="center"/>
              <w:rPr>
                <w:rFonts w:hint="eastAsia" w:ascii="宋体" w:hAnsi="宋体"/>
                <w:color w:val="000000" w:themeColor="text1"/>
                <w:spacing w:val="4"/>
                <w:szCs w:val="21"/>
                <w14:textFill>
                  <w14:solidFill>
                    <w14:schemeClr w14:val="tx1"/>
                  </w14:solidFill>
                </w14:textFill>
              </w:rPr>
            </w:pPr>
            <w:r>
              <w:rPr>
                <w:rFonts w:ascii="宋体" w:hAnsi="宋体"/>
                <w:color w:val="000000" w:themeColor="text1"/>
                <w:spacing w:val="4"/>
                <w:szCs w:val="21"/>
                <w14:textFill>
                  <w14:solidFill>
                    <w14:schemeClr w14:val="tx1"/>
                  </w14:solidFill>
                </w14:textFill>
              </w:rPr>
              <w:t>（3）资源综合利用指标</w:t>
            </w:r>
          </w:p>
        </w:tc>
        <w:tc>
          <w:tcPr>
            <w:tcW w:w="323" w:type="pct"/>
            <w:vMerge w:val="restart"/>
            <w:tcBorders>
              <w:top w:val="single" w:color="auto" w:sz="4" w:space="0"/>
              <w:left w:val="single" w:color="auto" w:sz="4" w:space="0"/>
              <w:bottom w:val="single" w:color="auto" w:sz="4" w:space="0"/>
              <w:right w:val="single" w:color="auto" w:sz="4" w:space="0"/>
            </w:tcBorders>
            <w:vAlign w:val="center"/>
          </w:tcPr>
          <w:p w14:paraId="7EB8E635">
            <w:pPr>
              <w:adjustRightInd w:val="0"/>
              <w:snapToGrid w:val="0"/>
              <w:spacing w:line="300" w:lineRule="exact"/>
              <w:jc w:val="center"/>
              <w:rPr>
                <w:rFonts w:hint="eastAsia" w:ascii="宋体" w:hAnsi="宋体"/>
                <w:color w:val="000000" w:themeColor="text1"/>
                <w:spacing w:val="4"/>
                <w:szCs w:val="21"/>
                <w14:textFill>
                  <w14:solidFill>
                    <w14:schemeClr w14:val="tx1"/>
                  </w14:solidFill>
                </w14:textFill>
              </w:rPr>
            </w:pPr>
            <w:r>
              <w:rPr>
                <w:rFonts w:ascii="宋体" w:hAnsi="宋体"/>
                <w:color w:val="000000" w:themeColor="text1"/>
                <w:spacing w:val="4"/>
                <w:szCs w:val="21"/>
                <w14:textFill>
                  <w14:solidFill>
                    <w14:schemeClr w14:val="tx1"/>
                  </w14:solidFill>
                </w14:textFill>
              </w:rPr>
              <w:t>20</w:t>
            </w:r>
          </w:p>
        </w:tc>
        <w:tc>
          <w:tcPr>
            <w:tcW w:w="1030" w:type="pct"/>
            <w:gridSpan w:val="3"/>
            <w:tcBorders>
              <w:top w:val="single" w:color="auto" w:sz="4" w:space="0"/>
              <w:left w:val="single" w:color="auto" w:sz="4" w:space="0"/>
              <w:bottom w:val="single" w:color="auto" w:sz="4" w:space="0"/>
              <w:right w:val="single" w:color="auto" w:sz="4" w:space="0"/>
            </w:tcBorders>
            <w:vAlign w:val="center"/>
          </w:tcPr>
          <w:p w14:paraId="1664860E">
            <w:pPr>
              <w:adjustRightInd w:val="0"/>
              <w:snapToGrid w:val="0"/>
              <w:spacing w:line="300" w:lineRule="exact"/>
              <w:jc w:val="center"/>
              <w:rPr>
                <w:rFonts w:hint="eastAsia" w:ascii="宋体" w:hAnsi="宋体"/>
                <w:color w:val="000000" w:themeColor="text1"/>
                <w:spacing w:val="4"/>
                <w:szCs w:val="21"/>
                <w14:textFill>
                  <w14:solidFill>
                    <w14:schemeClr w14:val="tx1"/>
                  </w14:solidFill>
                </w14:textFill>
              </w:rPr>
            </w:pPr>
            <w:r>
              <w:rPr>
                <w:rFonts w:ascii="宋体" w:hAnsi="宋体"/>
                <w:color w:val="000000" w:themeColor="text1"/>
                <w:spacing w:val="4"/>
                <w:szCs w:val="21"/>
                <w14:textFill>
                  <w14:solidFill>
                    <w14:schemeClr w14:val="tx1"/>
                  </w14:solidFill>
                </w14:textFill>
              </w:rPr>
              <w:t>落地原油回收利用率</w:t>
            </w:r>
          </w:p>
        </w:tc>
        <w:tc>
          <w:tcPr>
            <w:tcW w:w="446" w:type="pct"/>
            <w:tcBorders>
              <w:top w:val="single" w:color="auto" w:sz="4" w:space="0"/>
              <w:left w:val="single" w:color="auto" w:sz="4" w:space="0"/>
              <w:bottom w:val="single" w:color="auto" w:sz="4" w:space="0"/>
              <w:right w:val="single" w:color="auto" w:sz="4" w:space="0"/>
            </w:tcBorders>
            <w:vAlign w:val="center"/>
          </w:tcPr>
          <w:p w14:paraId="297771DF">
            <w:pPr>
              <w:adjustRightInd w:val="0"/>
              <w:snapToGrid w:val="0"/>
              <w:spacing w:line="300" w:lineRule="exact"/>
              <w:jc w:val="center"/>
              <w:rPr>
                <w:rFonts w:hint="eastAsia" w:ascii="宋体" w:hAnsi="宋体"/>
                <w:color w:val="000000" w:themeColor="text1"/>
                <w:spacing w:val="4"/>
                <w:szCs w:val="21"/>
                <w14:textFill>
                  <w14:solidFill>
                    <w14:schemeClr w14:val="tx1"/>
                  </w14:solidFill>
                </w14:textFill>
              </w:rPr>
            </w:pPr>
            <w:r>
              <w:rPr>
                <w:rFonts w:ascii="宋体" w:hAnsi="宋体"/>
                <w:color w:val="000000" w:themeColor="text1"/>
                <w:spacing w:val="4"/>
                <w:szCs w:val="21"/>
                <w14:textFill>
                  <w14:solidFill>
                    <w14:schemeClr w14:val="tx1"/>
                  </w14:solidFill>
                </w14:textFill>
              </w:rPr>
              <w:t>%</w:t>
            </w:r>
          </w:p>
        </w:tc>
        <w:tc>
          <w:tcPr>
            <w:tcW w:w="455" w:type="pct"/>
            <w:gridSpan w:val="2"/>
            <w:tcBorders>
              <w:top w:val="single" w:color="auto" w:sz="4" w:space="0"/>
              <w:left w:val="single" w:color="auto" w:sz="4" w:space="0"/>
              <w:bottom w:val="single" w:color="auto" w:sz="4" w:space="0"/>
              <w:right w:val="single" w:color="auto" w:sz="4" w:space="0"/>
            </w:tcBorders>
            <w:vAlign w:val="center"/>
          </w:tcPr>
          <w:p w14:paraId="665846FC">
            <w:pPr>
              <w:adjustRightInd w:val="0"/>
              <w:snapToGrid w:val="0"/>
              <w:spacing w:line="300" w:lineRule="exact"/>
              <w:jc w:val="center"/>
              <w:rPr>
                <w:rFonts w:hint="eastAsia" w:ascii="宋体" w:hAnsi="宋体"/>
                <w:color w:val="000000" w:themeColor="text1"/>
                <w:spacing w:val="4"/>
                <w:szCs w:val="21"/>
                <w14:textFill>
                  <w14:solidFill>
                    <w14:schemeClr w14:val="tx1"/>
                  </w14:solidFill>
                </w14:textFill>
              </w:rPr>
            </w:pPr>
            <w:r>
              <w:rPr>
                <w:rFonts w:ascii="宋体" w:hAnsi="宋体"/>
                <w:color w:val="000000" w:themeColor="text1"/>
                <w:spacing w:val="4"/>
                <w:szCs w:val="21"/>
                <w14:textFill>
                  <w14:solidFill>
                    <w14:schemeClr w14:val="tx1"/>
                  </w14:solidFill>
                </w14:textFill>
              </w:rPr>
              <w:t>10</w:t>
            </w:r>
          </w:p>
        </w:tc>
        <w:tc>
          <w:tcPr>
            <w:tcW w:w="1100" w:type="pct"/>
            <w:gridSpan w:val="2"/>
            <w:tcBorders>
              <w:top w:val="single" w:color="auto" w:sz="4" w:space="0"/>
              <w:left w:val="single" w:color="auto" w:sz="4" w:space="0"/>
              <w:bottom w:val="single" w:color="auto" w:sz="4" w:space="0"/>
              <w:right w:val="single" w:color="auto" w:sz="4" w:space="0"/>
            </w:tcBorders>
            <w:vAlign w:val="center"/>
          </w:tcPr>
          <w:p w14:paraId="63A81C9E">
            <w:pPr>
              <w:adjustRightInd w:val="0"/>
              <w:snapToGrid w:val="0"/>
              <w:spacing w:line="300" w:lineRule="exact"/>
              <w:jc w:val="center"/>
              <w:rPr>
                <w:rFonts w:hint="eastAsia" w:ascii="宋体" w:hAnsi="宋体"/>
                <w:color w:val="000000" w:themeColor="text1"/>
                <w:spacing w:val="4"/>
                <w:szCs w:val="21"/>
                <w14:textFill>
                  <w14:solidFill>
                    <w14:schemeClr w14:val="tx1"/>
                  </w14:solidFill>
                </w14:textFill>
              </w:rPr>
            </w:pPr>
            <w:r>
              <w:rPr>
                <w:rFonts w:ascii="宋体" w:hAnsi="宋体"/>
                <w:color w:val="000000" w:themeColor="text1"/>
                <w:spacing w:val="4"/>
                <w:szCs w:val="21"/>
                <w14:textFill>
                  <w14:solidFill>
                    <w14:schemeClr w14:val="tx1"/>
                  </w14:solidFill>
                </w14:textFill>
              </w:rPr>
              <w:t>100</w:t>
            </w:r>
          </w:p>
        </w:tc>
        <w:tc>
          <w:tcPr>
            <w:tcW w:w="400" w:type="pct"/>
            <w:gridSpan w:val="2"/>
            <w:tcBorders>
              <w:top w:val="single" w:color="auto" w:sz="4" w:space="0"/>
              <w:left w:val="single" w:color="auto" w:sz="4" w:space="0"/>
              <w:bottom w:val="single" w:color="auto" w:sz="4" w:space="0"/>
              <w:right w:val="single" w:color="auto" w:sz="4" w:space="0"/>
            </w:tcBorders>
            <w:vAlign w:val="center"/>
          </w:tcPr>
          <w:p w14:paraId="435EC8E4">
            <w:pPr>
              <w:adjustRightInd w:val="0"/>
              <w:snapToGrid w:val="0"/>
              <w:spacing w:line="300" w:lineRule="exact"/>
              <w:jc w:val="center"/>
              <w:rPr>
                <w:rFonts w:hint="eastAsia" w:ascii="宋体" w:hAnsi="宋体"/>
                <w:color w:val="000000" w:themeColor="text1"/>
                <w:spacing w:val="4"/>
                <w:szCs w:val="21"/>
                <w14:textFill>
                  <w14:solidFill>
                    <w14:schemeClr w14:val="tx1"/>
                  </w14:solidFill>
                </w14:textFill>
              </w:rPr>
            </w:pPr>
            <w:r>
              <w:rPr>
                <w:rFonts w:ascii="宋体" w:hAnsi="宋体"/>
                <w:color w:val="000000" w:themeColor="text1"/>
                <w:spacing w:val="4"/>
                <w:szCs w:val="21"/>
                <w14:textFill>
                  <w14:solidFill>
                    <w14:schemeClr w14:val="tx1"/>
                  </w14:solidFill>
                </w14:textFill>
              </w:rPr>
              <w:t>100</w:t>
            </w:r>
          </w:p>
        </w:tc>
        <w:tc>
          <w:tcPr>
            <w:tcW w:w="261" w:type="pct"/>
            <w:tcBorders>
              <w:top w:val="single" w:color="auto" w:sz="4" w:space="0"/>
              <w:left w:val="single" w:color="auto" w:sz="4" w:space="0"/>
              <w:bottom w:val="single" w:color="auto" w:sz="4" w:space="0"/>
            </w:tcBorders>
            <w:vAlign w:val="center"/>
          </w:tcPr>
          <w:p w14:paraId="264DB775">
            <w:pPr>
              <w:adjustRightInd w:val="0"/>
              <w:snapToGrid w:val="0"/>
              <w:spacing w:line="300" w:lineRule="exact"/>
              <w:jc w:val="center"/>
              <w:rPr>
                <w:rFonts w:hint="eastAsia" w:ascii="宋体" w:hAnsi="宋体"/>
                <w:color w:val="000000" w:themeColor="text1"/>
                <w:spacing w:val="4"/>
                <w:szCs w:val="21"/>
                <w14:textFill>
                  <w14:solidFill>
                    <w14:schemeClr w14:val="tx1"/>
                  </w14:solidFill>
                </w14:textFill>
              </w:rPr>
            </w:pPr>
            <w:r>
              <w:rPr>
                <w:rFonts w:ascii="宋体" w:hAnsi="宋体"/>
                <w:color w:val="000000" w:themeColor="text1"/>
                <w:spacing w:val="4"/>
                <w:szCs w:val="21"/>
                <w14:textFill>
                  <w14:solidFill>
                    <w14:schemeClr w14:val="tx1"/>
                  </w14:solidFill>
                </w14:textFill>
              </w:rPr>
              <w:t>10</w:t>
            </w:r>
          </w:p>
        </w:tc>
      </w:tr>
      <w:tr w14:paraId="6535C1C4">
        <w:tblPrEx>
          <w:tblCellMar>
            <w:top w:w="0" w:type="dxa"/>
            <w:left w:w="108" w:type="dxa"/>
            <w:bottom w:w="0" w:type="dxa"/>
            <w:right w:w="108" w:type="dxa"/>
          </w:tblCellMar>
        </w:tblPrEx>
        <w:trPr>
          <w:trHeight w:val="284" w:hRule="atLeast"/>
        </w:trPr>
        <w:tc>
          <w:tcPr>
            <w:tcW w:w="984" w:type="pct"/>
            <w:vMerge w:val="continue"/>
            <w:tcBorders>
              <w:top w:val="single" w:color="auto" w:sz="4" w:space="0"/>
              <w:bottom w:val="single" w:color="auto" w:sz="4" w:space="0"/>
              <w:right w:val="single" w:color="auto" w:sz="4" w:space="0"/>
            </w:tcBorders>
            <w:vAlign w:val="center"/>
          </w:tcPr>
          <w:p w14:paraId="737BEE63">
            <w:pPr>
              <w:widowControl/>
              <w:jc w:val="left"/>
              <w:rPr>
                <w:rFonts w:hint="eastAsia" w:ascii="宋体" w:hAnsi="宋体"/>
                <w:color w:val="000000" w:themeColor="text1"/>
                <w:spacing w:val="4"/>
                <w:szCs w:val="21"/>
                <w14:textFill>
                  <w14:solidFill>
                    <w14:schemeClr w14:val="tx1"/>
                  </w14:solidFill>
                </w14:textFill>
              </w:rPr>
            </w:pPr>
          </w:p>
        </w:tc>
        <w:tc>
          <w:tcPr>
            <w:tcW w:w="323" w:type="pct"/>
            <w:vMerge w:val="continue"/>
            <w:tcBorders>
              <w:top w:val="single" w:color="auto" w:sz="4" w:space="0"/>
              <w:left w:val="single" w:color="auto" w:sz="4" w:space="0"/>
              <w:bottom w:val="single" w:color="auto" w:sz="4" w:space="0"/>
              <w:right w:val="single" w:color="auto" w:sz="4" w:space="0"/>
            </w:tcBorders>
            <w:vAlign w:val="center"/>
          </w:tcPr>
          <w:p w14:paraId="74755023">
            <w:pPr>
              <w:widowControl/>
              <w:jc w:val="left"/>
              <w:rPr>
                <w:rFonts w:hint="eastAsia" w:ascii="宋体" w:hAnsi="宋体"/>
                <w:color w:val="000000" w:themeColor="text1"/>
                <w:spacing w:val="4"/>
                <w:szCs w:val="21"/>
                <w14:textFill>
                  <w14:solidFill>
                    <w14:schemeClr w14:val="tx1"/>
                  </w14:solidFill>
                </w14:textFill>
              </w:rPr>
            </w:pPr>
          </w:p>
        </w:tc>
        <w:tc>
          <w:tcPr>
            <w:tcW w:w="1030" w:type="pct"/>
            <w:gridSpan w:val="3"/>
            <w:tcBorders>
              <w:top w:val="single" w:color="auto" w:sz="4" w:space="0"/>
              <w:left w:val="single" w:color="auto" w:sz="4" w:space="0"/>
              <w:bottom w:val="single" w:color="auto" w:sz="4" w:space="0"/>
              <w:right w:val="single" w:color="auto" w:sz="4" w:space="0"/>
            </w:tcBorders>
            <w:vAlign w:val="center"/>
          </w:tcPr>
          <w:p w14:paraId="53903870">
            <w:pPr>
              <w:adjustRightInd w:val="0"/>
              <w:snapToGrid w:val="0"/>
              <w:spacing w:line="300" w:lineRule="exact"/>
              <w:jc w:val="center"/>
              <w:rPr>
                <w:rFonts w:hint="eastAsia" w:ascii="宋体" w:hAnsi="宋体"/>
                <w:color w:val="000000" w:themeColor="text1"/>
                <w:spacing w:val="4"/>
                <w:szCs w:val="21"/>
                <w14:textFill>
                  <w14:solidFill>
                    <w14:schemeClr w14:val="tx1"/>
                  </w14:solidFill>
                </w14:textFill>
              </w:rPr>
            </w:pPr>
            <w:r>
              <w:rPr>
                <w:rFonts w:ascii="宋体" w:hAnsi="宋体"/>
                <w:color w:val="000000" w:themeColor="text1"/>
                <w:spacing w:val="4"/>
                <w:szCs w:val="21"/>
                <w14:textFill>
                  <w14:solidFill>
                    <w14:schemeClr w14:val="tx1"/>
                  </w14:solidFill>
                </w14:textFill>
              </w:rPr>
              <w:t>生产过程中排出物利用率</w:t>
            </w:r>
          </w:p>
        </w:tc>
        <w:tc>
          <w:tcPr>
            <w:tcW w:w="446" w:type="pct"/>
            <w:tcBorders>
              <w:top w:val="single" w:color="auto" w:sz="4" w:space="0"/>
              <w:left w:val="single" w:color="auto" w:sz="4" w:space="0"/>
              <w:bottom w:val="single" w:color="auto" w:sz="4" w:space="0"/>
              <w:right w:val="single" w:color="auto" w:sz="4" w:space="0"/>
            </w:tcBorders>
            <w:vAlign w:val="center"/>
          </w:tcPr>
          <w:p w14:paraId="5ED205EA">
            <w:pPr>
              <w:adjustRightInd w:val="0"/>
              <w:snapToGrid w:val="0"/>
              <w:spacing w:line="300" w:lineRule="exact"/>
              <w:jc w:val="center"/>
              <w:rPr>
                <w:rFonts w:hint="eastAsia" w:ascii="宋体" w:hAnsi="宋体"/>
                <w:color w:val="000000" w:themeColor="text1"/>
                <w:spacing w:val="4"/>
                <w:szCs w:val="21"/>
                <w14:textFill>
                  <w14:solidFill>
                    <w14:schemeClr w14:val="tx1"/>
                  </w14:solidFill>
                </w14:textFill>
              </w:rPr>
            </w:pPr>
            <w:r>
              <w:rPr>
                <w:rFonts w:ascii="宋体" w:hAnsi="宋体"/>
                <w:color w:val="000000" w:themeColor="text1"/>
                <w:spacing w:val="4"/>
                <w:szCs w:val="21"/>
                <w14:textFill>
                  <w14:solidFill>
                    <w14:schemeClr w14:val="tx1"/>
                  </w14:solidFill>
                </w14:textFill>
              </w:rPr>
              <w:t>%</w:t>
            </w:r>
          </w:p>
        </w:tc>
        <w:tc>
          <w:tcPr>
            <w:tcW w:w="455" w:type="pct"/>
            <w:gridSpan w:val="2"/>
            <w:tcBorders>
              <w:top w:val="single" w:color="auto" w:sz="4" w:space="0"/>
              <w:left w:val="single" w:color="auto" w:sz="4" w:space="0"/>
              <w:bottom w:val="single" w:color="auto" w:sz="4" w:space="0"/>
              <w:right w:val="single" w:color="auto" w:sz="4" w:space="0"/>
            </w:tcBorders>
            <w:vAlign w:val="center"/>
          </w:tcPr>
          <w:p w14:paraId="3A39CB0F">
            <w:pPr>
              <w:adjustRightInd w:val="0"/>
              <w:snapToGrid w:val="0"/>
              <w:spacing w:line="300" w:lineRule="exact"/>
              <w:jc w:val="center"/>
              <w:rPr>
                <w:rFonts w:hint="eastAsia" w:ascii="宋体" w:hAnsi="宋体"/>
                <w:color w:val="000000" w:themeColor="text1"/>
                <w:spacing w:val="4"/>
                <w:szCs w:val="21"/>
                <w14:textFill>
                  <w14:solidFill>
                    <w14:schemeClr w14:val="tx1"/>
                  </w14:solidFill>
                </w14:textFill>
              </w:rPr>
            </w:pPr>
            <w:r>
              <w:rPr>
                <w:rFonts w:ascii="宋体" w:hAnsi="宋体"/>
                <w:color w:val="000000" w:themeColor="text1"/>
                <w:spacing w:val="4"/>
                <w:szCs w:val="21"/>
                <w14:textFill>
                  <w14:solidFill>
                    <w14:schemeClr w14:val="tx1"/>
                  </w14:solidFill>
                </w14:textFill>
              </w:rPr>
              <w:t>10</w:t>
            </w:r>
          </w:p>
        </w:tc>
        <w:tc>
          <w:tcPr>
            <w:tcW w:w="1100" w:type="pct"/>
            <w:gridSpan w:val="2"/>
            <w:tcBorders>
              <w:top w:val="single" w:color="auto" w:sz="4" w:space="0"/>
              <w:left w:val="single" w:color="auto" w:sz="4" w:space="0"/>
              <w:bottom w:val="single" w:color="auto" w:sz="4" w:space="0"/>
              <w:right w:val="single" w:color="auto" w:sz="4" w:space="0"/>
            </w:tcBorders>
            <w:vAlign w:val="center"/>
          </w:tcPr>
          <w:p w14:paraId="562FCB40">
            <w:pPr>
              <w:adjustRightInd w:val="0"/>
              <w:snapToGrid w:val="0"/>
              <w:spacing w:line="300" w:lineRule="exact"/>
              <w:jc w:val="center"/>
              <w:rPr>
                <w:rFonts w:hint="eastAsia" w:ascii="宋体" w:hAnsi="宋体"/>
                <w:color w:val="000000" w:themeColor="text1"/>
                <w:spacing w:val="4"/>
                <w:szCs w:val="21"/>
                <w14:textFill>
                  <w14:solidFill>
                    <w14:schemeClr w14:val="tx1"/>
                  </w14:solidFill>
                </w14:textFill>
              </w:rPr>
            </w:pPr>
            <w:r>
              <w:rPr>
                <w:rFonts w:ascii="宋体" w:hAnsi="宋体"/>
                <w:color w:val="000000" w:themeColor="text1"/>
                <w:spacing w:val="4"/>
                <w:szCs w:val="21"/>
                <w14:textFill>
                  <w14:solidFill>
                    <w14:schemeClr w14:val="tx1"/>
                  </w14:solidFill>
                </w14:textFill>
              </w:rPr>
              <w:t>100</w:t>
            </w:r>
          </w:p>
        </w:tc>
        <w:tc>
          <w:tcPr>
            <w:tcW w:w="400" w:type="pct"/>
            <w:gridSpan w:val="2"/>
            <w:tcBorders>
              <w:top w:val="single" w:color="auto" w:sz="4" w:space="0"/>
              <w:left w:val="single" w:color="auto" w:sz="4" w:space="0"/>
              <w:bottom w:val="single" w:color="auto" w:sz="4" w:space="0"/>
              <w:right w:val="single" w:color="auto" w:sz="4" w:space="0"/>
            </w:tcBorders>
            <w:vAlign w:val="center"/>
          </w:tcPr>
          <w:p w14:paraId="02953710">
            <w:pPr>
              <w:adjustRightInd w:val="0"/>
              <w:snapToGrid w:val="0"/>
              <w:spacing w:line="300" w:lineRule="exact"/>
              <w:jc w:val="center"/>
              <w:rPr>
                <w:rFonts w:hint="eastAsia" w:ascii="宋体" w:hAnsi="宋体"/>
                <w:color w:val="000000" w:themeColor="text1"/>
                <w:spacing w:val="4"/>
                <w:szCs w:val="21"/>
                <w14:textFill>
                  <w14:solidFill>
                    <w14:schemeClr w14:val="tx1"/>
                  </w14:solidFill>
                </w14:textFill>
              </w:rPr>
            </w:pPr>
            <w:r>
              <w:rPr>
                <w:rFonts w:ascii="宋体" w:hAnsi="宋体"/>
                <w:color w:val="000000" w:themeColor="text1"/>
                <w:spacing w:val="4"/>
                <w:szCs w:val="21"/>
                <w14:textFill>
                  <w14:solidFill>
                    <w14:schemeClr w14:val="tx1"/>
                  </w14:solidFill>
                </w14:textFill>
              </w:rPr>
              <w:t>100</w:t>
            </w:r>
          </w:p>
        </w:tc>
        <w:tc>
          <w:tcPr>
            <w:tcW w:w="261" w:type="pct"/>
            <w:tcBorders>
              <w:top w:val="single" w:color="auto" w:sz="4" w:space="0"/>
              <w:left w:val="single" w:color="auto" w:sz="4" w:space="0"/>
              <w:bottom w:val="single" w:color="auto" w:sz="4" w:space="0"/>
            </w:tcBorders>
            <w:vAlign w:val="center"/>
          </w:tcPr>
          <w:p w14:paraId="316E0800">
            <w:pPr>
              <w:adjustRightInd w:val="0"/>
              <w:snapToGrid w:val="0"/>
              <w:spacing w:line="300" w:lineRule="exact"/>
              <w:jc w:val="center"/>
              <w:rPr>
                <w:rFonts w:hint="eastAsia" w:ascii="宋体" w:hAnsi="宋体"/>
                <w:color w:val="000000" w:themeColor="text1"/>
                <w:spacing w:val="4"/>
                <w:szCs w:val="21"/>
                <w14:textFill>
                  <w14:solidFill>
                    <w14:schemeClr w14:val="tx1"/>
                  </w14:solidFill>
                </w14:textFill>
              </w:rPr>
            </w:pPr>
            <w:r>
              <w:rPr>
                <w:rFonts w:ascii="宋体" w:hAnsi="宋体"/>
                <w:color w:val="000000" w:themeColor="text1"/>
                <w:spacing w:val="4"/>
                <w:szCs w:val="21"/>
                <w14:textFill>
                  <w14:solidFill>
                    <w14:schemeClr w14:val="tx1"/>
                  </w14:solidFill>
                </w14:textFill>
              </w:rPr>
              <w:t>10</w:t>
            </w:r>
          </w:p>
        </w:tc>
      </w:tr>
      <w:tr w14:paraId="2C7E6A1E">
        <w:tblPrEx>
          <w:tblCellMar>
            <w:top w:w="0" w:type="dxa"/>
            <w:left w:w="108" w:type="dxa"/>
            <w:bottom w:w="0" w:type="dxa"/>
            <w:right w:w="108" w:type="dxa"/>
          </w:tblCellMar>
        </w:tblPrEx>
        <w:trPr>
          <w:trHeight w:val="284" w:hRule="atLeast"/>
        </w:trPr>
        <w:tc>
          <w:tcPr>
            <w:tcW w:w="984" w:type="pct"/>
            <w:vMerge w:val="restart"/>
            <w:tcBorders>
              <w:top w:val="single" w:color="auto" w:sz="4" w:space="0"/>
              <w:bottom w:val="single" w:color="auto" w:sz="4" w:space="0"/>
              <w:right w:val="single" w:color="auto" w:sz="4" w:space="0"/>
            </w:tcBorders>
            <w:vAlign w:val="center"/>
          </w:tcPr>
          <w:p w14:paraId="5A575DE9">
            <w:pPr>
              <w:adjustRightInd w:val="0"/>
              <w:snapToGrid w:val="0"/>
              <w:spacing w:line="300" w:lineRule="exact"/>
              <w:jc w:val="center"/>
              <w:rPr>
                <w:rFonts w:hint="eastAsia" w:ascii="宋体" w:hAnsi="宋体"/>
                <w:color w:val="000000" w:themeColor="text1"/>
                <w:spacing w:val="4"/>
                <w:szCs w:val="21"/>
                <w14:textFill>
                  <w14:solidFill>
                    <w14:schemeClr w14:val="tx1"/>
                  </w14:solidFill>
                </w14:textFill>
              </w:rPr>
            </w:pPr>
            <w:r>
              <w:rPr>
                <w:rFonts w:ascii="宋体" w:hAnsi="宋体"/>
                <w:color w:val="000000" w:themeColor="text1"/>
                <w:spacing w:val="4"/>
                <w:szCs w:val="21"/>
                <w14:textFill>
                  <w14:solidFill>
                    <w14:schemeClr w14:val="tx1"/>
                  </w14:solidFill>
                </w14:textFill>
              </w:rPr>
              <w:t>（4）污染物产生指标</w:t>
            </w:r>
          </w:p>
        </w:tc>
        <w:tc>
          <w:tcPr>
            <w:tcW w:w="323" w:type="pct"/>
            <w:vMerge w:val="restart"/>
            <w:tcBorders>
              <w:top w:val="single" w:color="auto" w:sz="4" w:space="0"/>
              <w:left w:val="single" w:color="auto" w:sz="4" w:space="0"/>
              <w:bottom w:val="single" w:color="auto" w:sz="4" w:space="0"/>
              <w:right w:val="single" w:color="auto" w:sz="4" w:space="0"/>
            </w:tcBorders>
            <w:vAlign w:val="center"/>
          </w:tcPr>
          <w:p w14:paraId="64BA8816">
            <w:pPr>
              <w:adjustRightInd w:val="0"/>
              <w:snapToGrid w:val="0"/>
              <w:spacing w:line="300" w:lineRule="exact"/>
              <w:jc w:val="center"/>
              <w:rPr>
                <w:rFonts w:hint="eastAsia" w:ascii="宋体" w:hAnsi="宋体"/>
                <w:color w:val="000000" w:themeColor="text1"/>
                <w:spacing w:val="4"/>
                <w:szCs w:val="21"/>
                <w14:textFill>
                  <w14:solidFill>
                    <w14:schemeClr w14:val="tx1"/>
                  </w14:solidFill>
                </w14:textFill>
              </w:rPr>
            </w:pPr>
            <w:r>
              <w:rPr>
                <w:rFonts w:ascii="宋体" w:hAnsi="宋体"/>
                <w:color w:val="000000" w:themeColor="text1"/>
                <w:spacing w:val="4"/>
                <w:szCs w:val="21"/>
                <w14:textFill>
                  <w14:solidFill>
                    <w14:schemeClr w14:val="tx1"/>
                  </w14:solidFill>
                </w14:textFill>
              </w:rPr>
              <w:t>30</w:t>
            </w:r>
          </w:p>
        </w:tc>
        <w:tc>
          <w:tcPr>
            <w:tcW w:w="1030" w:type="pct"/>
            <w:gridSpan w:val="3"/>
            <w:tcBorders>
              <w:top w:val="single" w:color="auto" w:sz="4" w:space="0"/>
              <w:left w:val="single" w:color="auto" w:sz="4" w:space="0"/>
              <w:bottom w:val="single" w:color="auto" w:sz="4" w:space="0"/>
              <w:right w:val="single" w:color="auto" w:sz="4" w:space="0"/>
            </w:tcBorders>
            <w:vAlign w:val="center"/>
          </w:tcPr>
          <w:p w14:paraId="6303A907">
            <w:pPr>
              <w:adjustRightInd w:val="0"/>
              <w:snapToGrid w:val="0"/>
              <w:spacing w:line="300" w:lineRule="exact"/>
              <w:jc w:val="center"/>
              <w:rPr>
                <w:rFonts w:hint="eastAsia" w:ascii="宋体" w:hAnsi="宋体"/>
                <w:color w:val="000000" w:themeColor="text1"/>
                <w:spacing w:val="4"/>
                <w:szCs w:val="21"/>
                <w14:textFill>
                  <w14:solidFill>
                    <w14:schemeClr w14:val="tx1"/>
                  </w14:solidFill>
                </w14:textFill>
              </w:rPr>
            </w:pPr>
            <w:r>
              <w:rPr>
                <w:rFonts w:ascii="宋体" w:hAnsi="宋体"/>
                <w:color w:val="000000" w:themeColor="text1"/>
                <w:spacing w:val="4"/>
                <w:szCs w:val="21"/>
                <w14:textFill>
                  <w14:solidFill>
                    <w14:schemeClr w14:val="tx1"/>
                  </w14:solidFill>
                </w14:textFill>
              </w:rPr>
              <w:t>作业废液量</w:t>
            </w:r>
          </w:p>
        </w:tc>
        <w:tc>
          <w:tcPr>
            <w:tcW w:w="446" w:type="pct"/>
            <w:tcBorders>
              <w:top w:val="single" w:color="auto" w:sz="4" w:space="0"/>
              <w:left w:val="single" w:color="auto" w:sz="4" w:space="0"/>
              <w:bottom w:val="single" w:color="auto" w:sz="4" w:space="0"/>
              <w:right w:val="single" w:color="auto" w:sz="4" w:space="0"/>
            </w:tcBorders>
            <w:vAlign w:val="center"/>
          </w:tcPr>
          <w:p w14:paraId="1E78671C">
            <w:pPr>
              <w:adjustRightInd w:val="0"/>
              <w:snapToGrid w:val="0"/>
              <w:spacing w:line="300" w:lineRule="exact"/>
              <w:jc w:val="center"/>
              <w:rPr>
                <w:rFonts w:hint="eastAsia" w:ascii="宋体" w:hAnsi="宋体"/>
                <w:color w:val="000000" w:themeColor="text1"/>
                <w:spacing w:val="4"/>
                <w:szCs w:val="21"/>
                <w14:textFill>
                  <w14:solidFill>
                    <w14:schemeClr w14:val="tx1"/>
                  </w14:solidFill>
                </w14:textFill>
              </w:rPr>
            </w:pPr>
            <w:r>
              <w:rPr>
                <w:rFonts w:hint="eastAsia" w:ascii="宋体" w:hAnsi="宋体"/>
                <w:color w:val="000000" w:themeColor="text1"/>
                <w:spacing w:val="4"/>
                <w:szCs w:val="21"/>
                <w14:textFill>
                  <w14:solidFill>
                    <w14:schemeClr w14:val="tx1"/>
                  </w14:solidFill>
                </w14:textFill>
              </w:rPr>
              <w:t>m</w:t>
            </w:r>
            <w:r>
              <w:rPr>
                <w:rFonts w:ascii="宋体" w:hAnsi="宋体"/>
                <w:color w:val="000000" w:themeColor="text1"/>
                <w:spacing w:val="4"/>
                <w:szCs w:val="21"/>
                <w:vertAlign w:val="superscript"/>
                <w14:textFill>
                  <w14:solidFill>
                    <w14:schemeClr w14:val="tx1"/>
                  </w14:solidFill>
                </w14:textFill>
              </w:rPr>
              <w:t>3</w:t>
            </w:r>
            <w:r>
              <w:rPr>
                <w:rFonts w:ascii="宋体" w:hAnsi="宋体"/>
                <w:color w:val="000000" w:themeColor="text1"/>
                <w:spacing w:val="4"/>
                <w:szCs w:val="21"/>
                <w14:textFill>
                  <w14:solidFill>
                    <w14:schemeClr w14:val="tx1"/>
                  </w14:solidFill>
                </w14:textFill>
              </w:rPr>
              <w:t>/井次</w:t>
            </w:r>
          </w:p>
        </w:tc>
        <w:tc>
          <w:tcPr>
            <w:tcW w:w="455" w:type="pct"/>
            <w:gridSpan w:val="2"/>
            <w:tcBorders>
              <w:top w:val="single" w:color="auto" w:sz="4" w:space="0"/>
              <w:left w:val="single" w:color="auto" w:sz="4" w:space="0"/>
              <w:bottom w:val="single" w:color="auto" w:sz="4" w:space="0"/>
              <w:right w:val="single" w:color="auto" w:sz="4" w:space="0"/>
            </w:tcBorders>
            <w:vAlign w:val="center"/>
          </w:tcPr>
          <w:p w14:paraId="0C18506D">
            <w:pPr>
              <w:adjustRightInd w:val="0"/>
              <w:snapToGrid w:val="0"/>
              <w:spacing w:line="300" w:lineRule="exact"/>
              <w:jc w:val="center"/>
              <w:rPr>
                <w:rFonts w:hint="eastAsia" w:ascii="宋体" w:hAnsi="宋体"/>
                <w:color w:val="000000" w:themeColor="text1"/>
                <w:spacing w:val="4"/>
                <w:szCs w:val="21"/>
                <w14:textFill>
                  <w14:solidFill>
                    <w14:schemeClr w14:val="tx1"/>
                  </w14:solidFill>
                </w14:textFill>
              </w:rPr>
            </w:pPr>
            <w:r>
              <w:rPr>
                <w:rFonts w:ascii="宋体" w:hAnsi="宋体"/>
                <w:color w:val="000000" w:themeColor="text1"/>
                <w:spacing w:val="4"/>
                <w:szCs w:val="21"/>
                <w14:textFill>
                  <w14:solidFill>
                    <w14:schemeClr w14:val="tx1"/>
                  </w14:solidFill>
                </w14:textFill>
              </w:rPr>
              <w:t>10</w:t>
            </w:r>
          </w:p>
        </w:tc>
        <w:tc>
          <w:tcPr>
            <w:tcW w:w="1100" w:type="pct"/>
            <w:gridSpan w:val="2"/>
            <w:tcBorders>
              <w:top w:val="single" w:color="auto" w:sz="4" w:space="0"/>
              <w:left w:val="single" w:color="auto" w:sz="4" w:space="0"/>
              <w:bottom w:val="single" w:color="auto" w:sz="4" w:space="0"/>
              <w:right w:val="single" w:color="auto" w:sz="4" w:space="0"/>
            </w:tcBorders>
            <w:vAlign w:val="center"/>
          </w:tcPr>
          <w:p w14:paraId="1BD2225E">
            <w:pPr>
              <w:adjustRightInd w:val="0"/>
              <w:snapToGrid w:val="0"/>
              <w:spacing w:line="300" w:lineRule="exact"/>
              <w:jc w:val="center"/>
              <w:rPr>
                <w:rFonts w:hint="eastAsia" w:ascii="宋体" w:hAnsi="宋体"/>
                <w:color w:val="000000" w:themeColor="text1"/>
                <w:spacing w:val="4"/>
                <w:szCs w:val="21"/>
                <w14:textFill>
                  <w14:solidFill>
                    <w14:schemeClr w14:val="tx1"/>
                  </w14:solidFill>
                </w14:textFill>
              </w:rPr>
            </w:pPr>
            <w:r>
              <w:rPr>
                <w:rFonts w:ascii="宋体" w:hAnsi="宋体"/>
                <w:color w:val="000000" w:themeColor="text1"/>
                <w:spacing w:val="4"/>
                <w:szCs w:val="21"/>
                <w14:textFill>
                  <w14:solidFill>
                    <w14:schemeClr w14:val="tx1"/>
                  </w14:solidFill>
                </w14:textFill>
              </w:rPr>
              <w:t>≤3.0</w:t>
            </w:r>
          </w:p>
        </w:tc>
        <w:tc>
          <w:tcPr>
            <w:tcW w:w="400" w:type="pct"/>
            <w:gridSpan w:val="2"/>
            <w:tcBorders>
              <w:top w:val="single" w:color="auto" w:sz="4" w:space="0"/>
              <w:left w:val="single" w:color="auto" w:sz="4" w:space="0"/>
              <w:bottom w:val="single" w:color="auto" w:sz="4" w:space="0"/>
              <w:right w:val="single" w:color="auto" w:sz="4" w:space="0"/>
            </w:tcBorders>
            <w:vAlign w:val="center"/>
          </w:tcPr>
          <w:p w14:paraId="677D2F89">
            <w:pPr>
              <w:adjustRightInd w:val="0"/>
              <w:snapToGrid w:val="0"/>
              <w:spacing w:line="300" w:lineRule="exact"/>
              <w:jc w:val="center"/>
              <w:rPr>
                <w:rFonts w:hint="eastAsia" w:ascii="宋体" w:hAnsi="宋体"/>
                <w:color w:val="000000" w:themeColor="text1"/>
                <w:spacing w:val="4"/>
                <w:szCs w:val="21"/>
                <w14:textFill>
                  <w14:solidFill>
                    <w14:schemeClr w14:val="tx1"/>
                  </w14:solidFill>
                </w14:textFill>
              </w:rPr>
            </w:pPr>
            <w:r>
              <w:rPr>
                <w:rFonts w:hint="eastAsia" w:ascii="宋体" w:hAnsi="宋体"/>
                <w:color w:val="000000" w:themeColor="text1"/>
                <w:spacing w:val="4"/>
                <w:szCs w:val="21"/>
                <w14:textFill>
                  <w14:solidFill>
                    <w14:schemeClr w14:val="tx1"/>
                  </w14:solidFill>
                </w14:textFill>
              </w:rPr>
              <w:t>＜3</w:t>
            </w:r>
          </w:p>
        </w:tc>
        <w:tc>
          <w:tcPr>
            <w:tcW w:w="261" w:type="pct"/>
            <w:tcBorders>
              <w:top w:val="single" w:color="auto" w:sz="4" w:space="0"/>
              <w:left w:val="single" w:color="auto" w:sz="4" w:space="0"/>
              <w:bottom w:val="single" w:color="auto" w:sz="4" w:space="0"/>
            </w:tcBorders>
            <w:vAlign w:val="center"/>
          </w:tcPr>
          <w:p w14:paraId="48958E3C">
            <w:pPr>
              <w:adjustRightInd w:val="0"/>
              <w:snapToGrid w:val="0"/>
              <w:spacing w:line="300" w:lineRule="exact"/>
              <w:jc w:val="center"/>
              <w:rPr>
                <w:rFonts w:hint="eastAsia" w:ascii="宋体" w:hAnsi="宋体"/>
                <w:color w:val="000000" w:themeColor="text1"/>
                <w:spacing w:val="4"/>
                <w:szCs w:val="21"/>
                <w14:textFill>
                  <w14:solidFill>
                    <w14:schemeClr w14:val="tx1"/>
                  </w14:solidFill>
                </w14:textFill>
              </w:rPr>
            </w:pPr>
            <w:r>
              <w:rPr>
                <w:rFonts w:ascii="宋体" w:hAnsi="宋体"/>
                <w:color w:val="000000" w:themeColor="text1"/>
                <w:spacing w:val="4"/>
                <w:szCs w:val="21"/>
                <w14:textFill>
                  <w14:solidFill>
                    <w14:schemeClr w14:val="tx1"/>
                  </w14:solidFill>
                </w14:textFill>
              </w:rPr>
              <w:t>10</w:t>
            </w:r>
          </w:p>
        </w:tc>
      </w:tr>
      <w:tr w14:paraId="1EDBFACB">
        <w:tblPrEx>
          <w:tblCellMar>
            <w:top w:w="0" w:type="dxa"/>
            <w:left w:w="108" w:type="dxa"/>
            <w:bottom w:w="0" w:type="dxa"/>
            <w:right w:w="108" w:type="dxa"/>
          </w:tblCellMar>
        </w:tblPrEx>
        <w:trPr>
          <w:trHeight w:val="284" w:hRule="atLeast"/>
        </w:trPr>
        <w:tc>
          <w:tcPr>
            <w:tcW w:w="984" w:type="pct"/>
            <w:vMerge w:val="continue"/>
            <w:tcBorders>
              <w:top w:val="single" w:color="auto" w:sz="4" w:space="0"/>
              <w:bottom w:val="single" w:color="auto" w:sz="4" w:space="0"/>
              <w:right w:val="single" w:color="auto" w:sz="4" w:space="0"/>
            </w:tcBorders>
            <w:vAlign w:val="center"/>
          </w:tcPr>
          <w:p w14:paraId="08B9BDF8">
            <w:pPr>
              <w:widowControl/>
              <w:jc w:val="left"/>
              <w:rPr>
                <w:rFonts w:hint="eastAsia" w:ascii="宋体" w:hAnsi="宋体"/>
                <w:color w:val="000000" w:themeColor="text1"/>
                <w:spacing w:val="4"/>
                <w:szCs w:val="21"/>
                <w14:textFill>
                  <w14:solidFill>
                    <w14:schemeClr w14:val="tx1"/>
                  </w14:solidFill>
                </w14:textFill>
              </w:rPr>
            </w:pPr>
          </w:p>
        </w:tc>
        <w:tc>
          <w:tcPr>
            <w:tcW w:w="323" w:type="pct"/>
            <w:vMerge w:val="continue"/>
            <w:tcBorders>
              <w:top w:val="single" w:color="auto" w:sz="4" w:space="0"/>
              <w:left w:val="single" w:color="auto" w:sz="4" w:space="0"/>
              <w:bottom w:val="single" w:color="auto" w:sz="4" w:space="0"/>
              <w:right w:val="single" w:color="auto" w:sz="4" w:space="0"/>
            </w:tcBorders>
            <w:vAlign w:val="center"/>
          </w:tcPr>
          <w:p w14:paraId="58B987FE">
            <w:pPr>
              <w:widowControl/>
              <w:jc w:val="left"/>
              <w:rPr>
                <w:rFonts w:hint="eastAsia" w:ascii="宋体" w:hAnsi="宋体"/>
                <w:color w:val="000000" w:themeColor="text1"/>
                <w:spacing w:val="4"/>
                <w:szCs w:val="21"/>
                <w14:textFill>
                  <w14:solidFill>
                    <w14:schemeClr w14:val="tx1"/>
                  </w14:solidFill>
                </w14:textFill>
              </w:rPr>
            </w:pPr>
          </w:p>
        </w:tc>
        <w:tc>
          <w:tcPr>
            <w:tcW w:w="1030" w:type="pct"/>
            <w:gridSpan w:val="3"/>
            <w:tcBorders>
              <w:top w:val="single" w:color="auto" w:sz="4" w:space="0"/>
              <w:left w:val="single" w:color="auto" w:sz="4" w:space="0"/>
              <w:bottom w:val="single" w:color="auto" w:sz="4" w:space="0"/>
              <w:right w:val="single" w:color="auto" w:sz="4" w:space="0"/>
            </w:tcBorders>
            <w:vAlign w:val="center"/>
          </w:tcPr>
          <w:p w14:paraId="60A2FE41">
            <w:pPr>
              <w:adjustRightInd w:val="0"/>
              <w:snapToGrid w:val="0"/>
              <w:spacing w:line="300" w:lineRule="exact"/>
              <w:jc w:val="center"/>
              <w:rPr>
                <w:rFonts w:hint="eastAsia" w:ascii="宋体" w:hAnsi="宋体"/>
                <w:color w:val="000000" w:themeColor="text1"/>
                <w:spacing w:val="4"/>
                <w:szCs w:val="21"/>
                <w14:textFill>
                  <w14:solidFill>
                    <w14:schemeClr w14:val="tx1"/>
                  </w14:solidFill>
                </w14:textFill>
              </w:rPr>
            </w:pPr>
            <w:r>
              <w:rPr>
                <w:rFonts w:ascii="宋体" w:hAnsi="宋体"/>
                <w:color w:val="000000" w:themeColor="text1"/>
                <w:spacing w:val="4"/>
                <w:szCs w:val="21"/>
                <w14:textFill>
                  <w14:solidFill>
                    <w14:schemeClr w14:val="tx1"/>
                  </w14:solidFill>
                </w14:textFill>
              </w:rPr>
              <w:t>石油类</w:t>
            </w:r>
          </w:p>
        </w:tc>
        <w:tc>
          <w:tcPr>
            <w:tcW w:w="446" w:type="pct"/>
            <w:tcBorders>
              <w:top w:val="single" w:color="auto" w:sz="4" w:space="0"/>
              <w:left w:val="single" w:color="auto" w:sz="4" w:space="0"/>
              <w:bottom w:val="single" w:color="auto" w:sz="4" w:space="0"/>
              <w:right w:val="single" w:color="auto" w:sz="4" w:space="0"/>
            </w:tcBorders>
            <w:vAlign w:val="center"/>
          </w:tcPr>
          <w:p w14:paraId="6800DB6D">
            <w:pPr>
              <w:adjustRightInd w:val="0"/>
              <w:snapToGrid w:val="0"/>
              <w:spacing w:line="300" w:lineRule="exact"/>
              <w:jc w:val="center"/>
              <w:rPr>
                <w:rFonts w:hint="eastAsia" w:ascii="宋体" w:hAnsi="宋体"/>
                <w:color w:val="000000" w:themeColor="text1"/>
                <w:spacing w:val="4"/>
                <w:szCs w:val="21"/>
                <w14:textFill>
                  <w14:solidFill>
                    <w14:schemeClr w14:val="tx1"/>
                  </w14:solidFill>
                </w14:textFill>
              </w:rPr>
            </w:pPr>
            <w:r>
              <w:rPr>
                <w:rFonts w:ascii="宋体" w:hAnsi="宋体"/>
                <w:color w:val="000000" w:themeColor="text1"/>
                <w:spacing w:val="4"/>
                <w:szCs w:val="21"/>
                <w14:textFill>
                  <w14:solidFill>
                    <w14:schemeClr w14:val="tx1"/>
                  </w14:solidFill>
                </w14:textFill>
              </w:rPr>
              <w:t>mg/L</w:t>
            </w:r>
          </w:p>
        </w:tc>
        <w:tc>
          <w:tcPr>
            <w:tcW w:w="455" w:type="pct"/>
            <w:gridSpan w:val="2"/>
            <w:tcBorders>
              <w:top w:val="single" w:color="auto" w:sz="4" w:space="0"/>
              <w:left w:val="single" w:color="auto" w:sz="4" w:space="0"/>
              <w:bottom w:val="single" w:color="auto" w:sz="4" w:space="0"/>
              <w:right w:val="single" w:color="auto" w:sz="4" w:space="0"/>
            </w:tcBorders>
            <w:vAlign w:val="center"/>
          </w:tcPr>
          <w:p w14:paraId="03EEE04F">
            <w:pPr>
              <w:adjustRightInd w:val="0"/>
              <w:snapToGrid w:val="0"/>
              <w:spacing w:line="300" w:lineRule="exact"/>
              <w:jc w:val="center"/>
              <w:rPr>
                <w:rFonts w:hint="eastAsia" w:ascii="宋体" w:hAnsi="宋体"/>
                <w:color w:val="000000" w:themeColor="text1"/>
                <w:spacing w:val="4"/>
                <w:szCs w:val="21"/>
                <w14:textFill>
                  <w14:solidFill>
                    <w14:schemeClr w14:val="tx1"/>
                  </w14:solidFill>
                </w14:textFill>
              </w:rPr>
            </w:pPr>
            <w:r>
              <w:rPr>
                <w:rFonts w:ascii="宋体" w:hAnsi="宋体"/>
                <w:color w:val="000000" w:themeColor="text1"/>
                <w:spacing w:val="4"/>
                <w:szCs w:val="21"/>
                <w14:textFill>
                  <w14:solidFill>
                    <w14:schemeClr w14:val="tx1"/>
                  </w14:solidFill>
                </w14:textFill>
              </w:rPr>
              <w:t>5</w:t>
            </w:r>
          </w:p>
        </w:tc>
        <w:tc>
          <w:tcPr>
            <w:tcW w:w="1100" w:type="pct"/>
            <w:gridSpan w:val="2"/>
            <w:tcBorders>
              <w:top w:val="single" w:color="auto" w:sz="4" w:space="0"/>
              <w:left w:val="single" w:color="auto" w:sz="4" w:space="0"/>
              <w:bottom w:val="single" w:color="auto" w:sz="4" w:space="0"/>
              <w:right w:val="single" w:color="auto" w:sz="4" w:space="0"/>
            </w:tcBorders>
            <w:vAlign w:val="center"/>
          </w:tcPr>
          <w:p w14:paraId="7E1FE5E7">
            <w:pPr>
              <w:adjustRightInd w:val="0"/>
              <w:snapToGrid w:val="0"/>
              <w:spacing w:line="300" w:lineRule="exact"/>
              <w:jc w:val="center"/>
              <w:rPr>
                <w:rFonts w:hint="eastAsia" w:ascii="宋体" w:hAnsi="宋体"/>
                <w:color w:val="000000" w:themeColor="text1"/>
                <w:spacing w:val="4"/>
                <w:szCs w:val="21"/>
                <w14:textFill>
                  <w14:solidFill>
                    <w14:schemeClr w14:val="tx1"/>
                  </w14:solidFill>
                </w14:textFill>
              </w:rPr>
            </w:pPr>
            <w:r>
              <w:rPr>
                <w:rFonts w:ascii="宋体" w:hAnsi="宋体"/>
                <w:color w:val="000000" w:themeColor="text1"/>
                <w:spacing w:val="4"/>
                <w:szCs w:val="21"/>
                <w14:textFill>
                  <w14:solidFill>
                    <w14:schemeClr w14:val="tx1"/>
                  </w14:solidFill>
                </w14:textFill>
              </w:rPr>
              <w:t>甲类区：≤10；乙类区：≤50</w:t>
            </w:r>
          </w:p>
        </w:tc>
        <w:tc>
          <w:tcPr>
            <w:tcW w:w="400" w:type="pct"/>
            <w:gridSpan w:val="2"/>
            <w:tcBorders>
              <w:top w:val="single" w:color="auto" w:sz="4" w:space="0"/>
              <w:left w:val="single" w:color="auto" w:sz="4" w:space="0"/>
              <w:bottom w:val="single" w:color="auto" w:sz="4" w:space="0"/>
              <w:right w:val="single" w:color="auto" w:sz="4" w:space="0"/>
            </w:tcBorders>
            <w:vAlign w:val="center"/>
          </w:tcPr>
          <w:p w14:paraId="28C3B965">
            <w:pPr>
              <w:adjustRightInd w:val="0"/>
              <w:snapToGrid w:val="0"/>
              <w:spacing w:line="300" w:lineRule="exact"/>
              <w:jc w:val="center"/>
              <w:rPr>
                <w:rFonts w:hint="eastAsia" w:ascii="宋体" w:hAnsi="宋体"/>
                <w:color w:val="000000" w:themeColor="text1"/>
                <w:spacing w:val="4"/>
                <w:szCs w:val="21"/>
                <w14:textFill>
                  <w14:solidFill>
                    <w14:schemeClr w14:val="tx1"/>
                  </w14:solidFill>
                </w14:textFill>
              </w:rPr>
            </w:pPr>
            <w:r>
              <w:rPr>
                <w:rFonts w:ascii="宋体" w:hAnsi="宋体"/>
                <w:color w:val="000000" w:themeColor="text1"/>
                <w:spacing w:val="4"/>
                <w:szCs w:val="21"/>
                <w14:textFill>
                  <w14:solidFill>
                    <w14:schemeClr w14:val="tx1"/>
                  </w14:solidFill>
                </w14:textFill>
              </w:rPr>
              <w:t>232</w:t>
            </w:r>
          </w:p>
        </w:tc>
        <w:tc>
          <w:tcPr>
            <w:tcW w:w="261" w:type="pct"/>
            <w:tcBorders>
              <w:top w:val="single" w:color="auto" w:sz="4" w:space="0"/>
              <w:left w:val="single" w:color="auto" w:sz="4" w:space="0"/>
              <w:bottom w:val="single" w:color="auto" w:sz="4" w:space="0"/>
            </w:tcBorders>
            <w:vAlign w:val="center"/>
          </w:tcPr>
          <w:p w14:paraId="77AC0F83">
            <w:pPr>
              <w:adjustRightInd w:val="0"/>
              <w:snapToGrid w:val="0"/>
              <w:spacing w:line="300" w:lineRule="exact"/>
              <w:jc w:val="center"/>
              <w:rPr>
                <w:rFonts w:hint="eastAsia" w:ascii="宋体" w:hAnsi="宋体"/>
                <w:color w:val="000000" w:themeColor="text1"/>
                <w:spacing w:val="4"/>
                <w:szCs w:val="21"/>
                <w14:textFill>
                  <w14:solidFill>
                    <w14:schemeClr w14:val="tx1"/>
                  </w14:solidFill>
                </w14:textFill>
              </w:rPr>
            </w:pPr>
            <w:r>
              <w:rPr>
                <w:rFonts w:hint="eastAsia" w:ascii="宋体" w:hAnsi="宋体"/>
                <w:color w:val="000000" w:themeColor="text1"/>
                <w:spacing w:val="4"/>
                <w:szCs w:val="21"/>
                <w14:textFill>
                  <w14:solidFill>
                    <w14:schemeClr w14:val="tx1"/>
                  </w14:solidFill>
                </w14:textFill>
              </w:rPr>
              <w:t>0</w:t>
            </w:r>
          </w:p>
        </w:tc>
      </w:tr>
      <w:tr w14:paraId="77215B23">
        <w:tblPrEx>
          <w:tblCellMar>
            <w:top w:w="0" w:type="dxa"/>
            <w:left w:w="108" w:type="dxa"/>
            <w:bottom w:w="0" w:type="dxa"/>
            <w:right w:w="108" w:type="dxa"/>
          </w:tblCellMar>
        </w:tblPrEx>
        <w:trPr>
          <w:trHeight w:val="284" w:hRule="atLeast"/>
        </w:trPr>
        <w:tc>
          <w:tcPr>
            <w:tcW w:w="984" w:type="pct"/>
            <w:vMerge w:val="continue"/>
            <w:tcBorders>
              <w:top w:val="single" w:color="auto" w:sz="4" w:space="0"/>
              <w:bottom w:val="single" w:color="auto" w:sz="4" w:space="0"/>
              <w:right w:val="single" w:color="auto" w:sz="4" w:space="0"/>
            </w:tcBorders>
            <w:vAlign w:val="center"/>
          </w:tcPr>
          <w:p w14:paraId="78310E4A">
            <w:pPr>
              <w:widowControl/>
              <w:jc w:val="left"/>
              <w:rPr>
                <w:rFonts w:hint="eastAsia" w:ascii="宋体" w:hAnsi="宋体"/>
                <w:color w:val="000000" w:themeColor="text1"/>
                <w:spacing w:val="4"/>
                <w:szCs w:val="21"/>
                <w14:textFill>
                  <w14:solidFill>
                    <w14:schemeClr w14:val="tx1"/>
                  </w14:solidFill>
                </w14:textFill>
              </w:rPr>
            </w:pPr>
          </w:p>
        </w:tc>
        <w:tc>
          <w:tcPr>
            <w:tcW w:w="323" w:type="pct"/>
            <w:vMerge w:val="continue"/>
            <w:tcBorders>
              <w:top w:val="single" w:color="auto" w:sz="4" w:space="0"/>
              <w:left w:val="single" w:color="auto" w:sz="4" w:space="0"/>
              <w:bottom w:val="single" w:color="auto" w:sz="4" w:space="0"/>
              <w:right w:val="single" w:color="auto" w:sz="4" w:space="0"/>
            </w:tcBorders>
            <w:vAlign w:val="center"/>
          </w:tcPr>
          <w:p w14:paraId="0CFE3734">
            <w:pPr>
              <w:widowControl/>
              <w:jc w:val="left"/>
              <w:rPr>
                <w:rFonts w:hint="eastAsia" w:ascii="宋体" w:hAnsi="宋体"/>
                <w:color w:val="000000" w:themeColor="text1"/>
                <w:spacing w:val="4"/>
                <w:szCs w:val="21"/>
                <w14:textFill>
                  <w14:solidFill>
                    <w14:schemeClr w14:val="tx1"/>
                  </w14:solidFill>
                </w14:textFill>
              </w:rPr>
            </w:pPr>
          </w:p>
        </w:tc>
        <w:tc>
          <w:tcPr>
            <w:tcW w:w="1030" w:type="pct"/>
            <w:gridSpan w:val="3"/>
            <w:tcBorders>
              <w:top w:val="single" w:color="auto" w:sz="4" w:space="0"/>
              <w:left w:val="single" w:color="auto" w:sz="4" w:space="0"/>
              <w:bottom w:val="single" w:color="auto" w:sz="4" w:space="0"/>
              <w:right w:val="single" w:color="auto" w:sz="4" w:space="0"/>
            </w:tcBorders>
            <w:vAlign w:val="center"/>
          </w:tcPr>
          <w:p w14:paraId="0F98855C">
            <w:pPr>
              <w:adjustRightInd w:val="0"/>
              <w:snapToGrid w:val="0"/>
              <w:spacing w:line="300" w:lineRule="exact"/>
              <w:jc w:val="center"/>
              <w:rPr>
                <w:rFonts w:hint="eastAsia" w:ascii="宋体" w:hAnsi="宋体"/>
                <w:color w:val="000000" w:themeColor="text1"/>
                <w:spacing w:val="4"/>
                <w:szCs w:val="21"/>
                <w14:textFill>
                  <w14:solidFill>
                    <w14:schemeClr w14:val="tx1"/>
                  </w14:solidFill>
                </w14:textFill>
              </w:rPr>
            </w:pPr>
            <w:r>
              <w:rPr>
                <w:rFonts w:ascii="宋体" w:hAnsi="宋体"/>
                <w:color w:val="000000" w:themeColor="text1"/>
                <w:spacing w:val="4"/>
                <w:szCs w:val="21"/>
                <w14:textFill>
                  <w14:solidFill>
                    <w14:schemeClr w14:val="tx1"/>
                  </w14:solidFill>
                </w14:textFill>
              </w:rPr>
              <w:t>COD</w:t>
            </w:r>
          </w:p>
        </w:tc>
        <w:tc>
          <w:tcPr>
            <w:tcW w:w="446" w:type="pct"/>
            <w:tcBorders>
              <w:top w:val="single" w:color="auto" w:sz="4" w:space="0"/>
              <w:left w:val="single" w:color="auto" w:sz="4" w:space="0"/>
              <w:bottom w:val="single" w:color="auto" w:sz="4" w:space="0"/>
              <w:right w:val="single" w:color="auto" w:sz="4" w:space="0"/>
            </w:tcBorders>
            <w:vAlign w:val="center"/>
          </w:tcPr>
          <w:p w14:paraId="6940C820">
            <w:pPr>
              <w:adjustRightInd w:val="0"/>
              <w:snapToGrid w:val="0"/>
              <w:spacing w:line="300" w:lineRule="exact"/>
              <w:jc w:val="center"/>
              <w:rPr>
                <w:rFonts w:hint="eastAsia" w:ascii="宋体" w:hAnsi="宋体"/>
                <w:color w:val="000000" w:themeColor="text1"/>
                <w:spacing w:val="4"/>
                <w:szCs w:val="21"/>
                <w14:textFill>
                  <w14:solidFill>
                    <w14:schemeClr w14:val="tx1"/>
                  </w14:solidFill>
                </w14:textFill>
              </w:rPr>
            </w:pPr>
            <w:r>
              <w:rPr>
                <w:rFonts w:ascii="宋体" w:hAnsi="宋体"/>
                <w:color w:val="000000" w:themeColor="text1"/>
                <w:spacing w:val="4"/>
                <w:szCs w:val="21"/>
                <w14:textFill>
                  <w14:solidFill>
                    <w14:schemeClr w14:val="tx1"/>
                  </w14:solidFill>
                </w14:textFill>
              </w:rPr>
              <w:t>mg/L</w:t>
            </w:r>
          </w:p>
        </w:tc>
        <w:tc>
          <w:tcPr>
            <w:tcW w:w="455" w:type="pct"/>
            <w:gridSpan w:val="2"/>
            <w:tcBorders>
              <w:top w:val="single" w:color="auto" w:sz="4" w:space="0"/>
              <w:left w:val="single" w:color="auto" w:sz="4" w:space="0"/>
              <w:bottom w:val="single" w:color="auto" w:sz="4" w:space="0"/>
              <w:right w:val="single" w:color="auto" w:sz="4" w:space="0"/>
            </w:tcBorders>
            <w:vAlign w:val="center"/>
          </w:tcPr>
          <w:p w14:paraId="754A6C2F">
            <w:pPr>
              <w:adjustRightInd w:val="0"/>
              <w:snapToGrid w:val="0"/>
              <w:spacing w:line="300" w:lineRule="exact"/>
              <w:jc w:val="center"/>
              <w:rPr>
                <w:rFonts w:hint="eastAsia" w:ascii="宋体" w:hAnsi="宋体"/>
                <w:color w:val="000000" w:themeColor="text1"/>
                <w:spacing w:val="4"/>
                <w:szCs w:val="21"/>
                <w14:textFill>
                  <w14:solidFill>
                    <w14:schemeClr w14:val="tx1"/>
                  </w14:solidFill>
                </w14:textFill>
              </w:rPr>
            </w:pPr>
            <w:r>
              <w:rPr>
                <w:rFonts w:ascii="宋体" w:hAnsi="宋体"/>
                <w:color w:val="000000" w:themeColor="text1"/>
                <w:spacing w:val="4"/>
                <w:szCs w:val="21"/>
                <w14:textFill>
                  <w14:solidFill>
                    <w14:schemeClr w14:val="tx1"/>
                  </w14:solidFill>
                </w14:textFill>
              </w:rPr>
              <w:t>5</w:t>
            </w:r>
          </w:p>
        </w:tc>
        <w:tc>
          <w:tcPr>
            <w:tcW w:w="1100" w:type="pct"/>
            <w:gridSpan w:val="2"/>
            <w:tcBorders>
              <w:top w:val="single" w:color="auto" w:sz="4" w:space="0"/>
              <w:left w:val="single" w:color="auto" w:sz="4" w:space="0"/>
              <w:bottom w:val="single" w:color="auto" w:sz="4" w:space="0"/>
              <w:right w:val="single" w:color="auto" w:sz="4" w:space="0"/>
            </w:tcBorders>
            <w:vAlign w:val="center"/>
          </w:tcPr>
          <w:p w14:paraId="43252AE1">
            <w:pPr>
              <w:adjustRightInd w:val="0"/>
              <w:snapToGrid w:val="0"/>
              <w:spacing w:line="300" w:lineRule="exact"/>
              <w:jc w:val="center"/>
              <w:rPr>
                <w:rFonts w:hint="eastAsia" w:ascii="宋体" w:hAnsi="宋体"/>
                <w:color w:val="000000" w:themeColor="text1"/>
                <w:spacing w:val="4"/>
                <w:szCs w:val="21"/>
                <w14:textFill>
                  <w14:solidFill>
                    <w14:schemeClr w14:val="tx1"/>
                  </w14:solidFill>
                </w14:textFill>
              </w:rPr>
            </w:pPr>
            <w:r>
              <w:rPr>
                <w:rFonts w:ascii="宋体" w:hAnsi="宋体"/>
                <w:color w:val="000000" w:themeColor="text1"/>
                <w:spacing w:val="4"/>
                <w:szCs w:val="21"/>
                <w14:textFill>
                  <w14:solidFill>
                    <w14:schemeClr w14:val="tx1"/>
                  </w14:solidFill>
                </w14:textFill>
              </w:rPr>
              <w:t>甲类区：≤100；乙类区：≤150</w:t>
            </w:r>
          </w:p>
        </w:tc>
        <w:tc>
          <w:tcPr>
            <w:tcW w:w="400" w:type="pct"/>
            <w:gridSpan w:val="2"/>
            <w:tcBorders>
              <w:top w:val="single" w:color="auto" w:sz="4" w:space="0"/>
              <w:left w:val="single" w:color="auto" w:sz="4" w:space="0"/>
              <w:bottom w:val="single" w:color="auto" w:sz="4" w:space="0"/>
              <w:right w:val="single" w:color="auto" w:sz="4" w:space="0"/>
            </w:tcBorders>
            <w:vAlign w:val="center"/>
          </w:tcPr>
          <w:p w14:paraId="03EAD17C">
            <w:pPr>
              <w:adjustRightInd w:val="0"/>
              <w:snapToGrid w:val="0"/>
              <w:spacing w:line="300" w:lineRule="exact"/>
              <w:jc w:val="center"/>
              <w:rPr>
                <w:rFonts w:hint="eastAsia" w:ascii="宋体" w:hAnsi="宋体"/>
                <w:color w:val="000000" w:themeColor="text1"/>
                <w:spacing w:val="4"/>
                <w:szCs w:val="21"/>
                <w14:textFill>
                  <w14:solidFill>
                    <w14:schemeClr w14:val="tx1"/>
                  </w14:solidFill>
                </w14:textFill>
              </w:rPr>
            </w:pPr>
            <w:r>
              <w:rPr>
                <w:rFonts w:ascii="宋体" w:hAnsi="宋体"/>
                <w:color w:val="000000" w:themeColor="text1"/>
                <w:spacing w:val="4"/>
                <w:szCs w:val="21"/>
                <w14:textFill>
                  <w14:solidFill>
                    <w14:schemeClr w14:val="tx1"/>
                  </w14:solidFill>
                </w14:textFill>
              </w:rPr>
              <w:t>1375</w:t>
            </w:r>
          </w:p>
        </w:tc>
        <w:tc>
          <w:tcPr>
            <w:tcW w:w="261" w:type="pct"/>
            <w:tcBorders>
              <w:top w:val="single" w:color="auto" w:sz="4" w:space="0"/>
              <w:left w:val="single" w:color="auto" w:sz="4" w:space="0"/>
              <w:bottom w:val="single" w:color="auto" w:sz="4" w:space="0"/>
            </w:tcBorders>
            <w:vAlign w:val="center"/>
          </w:tcPr>
          <w:p w14:paraId="62732A0F">
            <w:pPr>
              <w:adjustRightInd w:val="0"/>
              <w:snapToGrid w:val="0"/>
              <w:spacing w:line="300" w:lineRule="exact"/>
              <w:jc w:val="center"/>
              <w:rPr>
                <w:rFonts w:hint="eastAsia" w:ascii="宋体" w:hAnsi="宋体"/>
                <w:color w:val="000000" w:themeColor="text1"/>
                <w:spacing w:val="4"/>
                <w:szCs w:val="21"/>
                <w14:textFill>
                  <w14:solidFill>
                    <w14:schemeClr w14:val="tx1"/>
                  </w14:solidFill>
                </w14:textFill>
              </w:rPr>
            </w:pPr>
            <w:r>
              <w:rPr>
                <w:rFonts w:hint="eastAsia" w:ascii="宋体" w:hAnsi="宋体"/>
                <w:color w:val="000000" w:themeColor="text1"/>
                <w:spacing w:val="4"/>
                <w:szCs w:val="21"/>
                <w14:textFill>
                  <w14:solidFill>
                    <w14:schemeClr w14:val="tx1"/>
                  </w14:solidFill>
                </w14:textFill>
              </w:rPr>
              <w:t>0</w:t>
            </w:r>
          </w:p>
        </w:tc>
      </w:tr>
      <w:tr w14:paraId="2BD8A8C0">
        <w:tblPrEx>
          <w:tblCellMar>
            <w:top w:w="0" w:type="dxa"/>
            <w:left w:w="108" w:type="dxa"/>
            <w:bottom w:w="0" w:type="dxa"/>
            <w:right w:w="108" w:type="dxa"/>
          </w:tblCellMar>
        </w:tblPrEx>
        <w:trPr>
          <w:trHeight w:val="284" w:hRule="atLeast"/>
        </w:trPr>
        <w:tc>
          <w:tcPr>
            <w:tcW w:w="984" w:type="pct"/>
            <w:vMerge w:val="continue"/>
            <w:tcBorders>
              <w:top w:val="single" w:color="auto" w:sz="4" w:space="0"/>
              <w:bottom w:val="single" w:color="auto" w:sz="4" w:space="0"/>
              <w:right w:val="single" w:color="auto" w:sz="4" w:space="0"/>
            </w:tcBorders>
            <w:vAlign w:val="center"/>
          </w:tcPr>
          <w:p w14:paraId="55B237D0">
            <w:pPr>
              <w:widowControl/>
              <w:jc w:val="left"/>
              <w:rPr>
                <w:rFonts w:hint="eastAsia" w:ascii="宋体" w:hAnsi="宋体"/>
                <w:color w:val="000000" w:themeColor="text1"/>
                <w:spacing w:val="4"/>
                <w:szCs w:val="21"/>
                <w14:textFill>
                  <w14:solidFill>
                    <w14:schemeClr w14:val="tx1"/>
                  </w14:solidFill>
                </w14:textFill>
              </w:rPr>
            </w:pPr>
          </w:p>
        </w:tc>
        <w:tc>
          <w:tcPr>
            <w:tcW w:w="323" w:type="pct"/>
            <w:vMerge w:val="continue"/>
            <w:tcBorders>
              <w:top w:val="single" w:color="auto" w:sz="4" w:space="0"/>
              <w:left w:val="single" w:color="auto" w:sz="4" w:space="0"/>
              <w:bottom w:val="single" w:color="auto" w:sz="4" w:space="0"/>
              <w:right w:val="single" w:color="auto" w:sz="4" w:space="0"/>
            </w:tcBorders>
            <w:vAlign w:val="center"/>
          </w:tcPr>
          <w:p w14:paraId="31140832">
            <w:pPr>
              <w:widowControl/>
              <w:jc w:val="left"/>
              <w:rPr>
                <w:rFonts w:hint="eastAsia" w:ascii="宋体" w:hAnsi="宋体"/>
                <w:color w:val="000000" w:themeColor="text1"/>
                <w:spacing w:val="4"/>
                <w:szCs w:val="21"/>
                <w14:textFill>
                  <w14:solidFill>
                    <w14:schemeClr w14:val="tx1"/>
                  </w14:solidFill>
                </w14:textFill>
              </w:rPr>
            </w:pPr>
          </w:p>
        </w:tc>
        <w:tc>
          <w:tcPr>
            <w:tcW w:w="1030" w:type="pct"/>
            <w:gridSpan w:val="3"/>
            <w:tcBorders>
              <w:top w:val="single" w:color="auto" w:sz="4" w:space="0"/>
              <w:left w:val="single" w:color="auto" w:sz="4" w:space="0"/>
              <w:bottom w:val="single" w:color="auto" w:sz="4" w:space="0"/>
              <w:right w:val="single" w:color="auto" w:sz="4" w:space="0"/>
            </w:tcBorders>
            <w:vAlign w:val="center"/>
          </w:tcPr>
          <w:p w14:paraId="688B33A3">
            <w:pPr>
              <w:adjustRightInd w:val="0"/>
              <w:snapToGrid w:val="0"/>
              <w:spacing w:line="300" w:lineRule="exact"/>
              <w:jc w:val="center"/>
              <w:rPr>
                <w:rFonts w:hint="eastAsia" w:ascii="宋体" w:hAnsi="宋体"/>
                <w:color w:val="000000" w:themeColor="text1"/>
                <w:spacing w:val="4"/>
                <w:szCs w:val="21"/>
                <w14:textFill>
                  <w14:solidFill>
                    <w14:schemeClr w14:val="tx1"/>
                  </w14:solidFill>
                </w14:textFill>
              </w:rPr>
            </w:pPr>
            <w:r>
              <w:rPr>
                <w:rFonts w:ascii="宋体" w:hAnsi="宋体"/>
                <w:color w:val="000000" w:themeColor="text1"/>
                <w:spacing w:val="4"/>
                <w:szCs w:val="21"/>
                <w14:textFill>
                  <w14:solidFill>
                    <w14:schemeClr w14:val="tx1"/>
                  </w14:solidFill>
                </w14:textFill>
              </w:rPr>
              <w:t>含油污泥</w:t>
            </w:r>
          </w:p>
        </w:tc>
        <w:tc>
          <w:tcPr>
            <w:tcW w:w="446" w:type="pct"/>
            <w:tcBorders>
              <w:top w:val="single" w:color="auto" w:sz="4" w:space="0"/>
              <w:left w:val="single" w:color="auto" w:sz="4" w:space="0"/>
              <w:bottom w:val="single" w:color="auto" w:sz="4" w:space="0"/>
              <w:right w:val="single" w:color="auto" w:sz="4" w:space="0"/>
            </w:tcBorders>
            <w:vAlign w:val="center"/>
          </w:tcPr>
          <w:p w14:paraId="3F48ED60">
            <w:pPr>
              <w:adjustRightInd w:val="0"/>
              <w:snapToGrid w:val="0"/>
              <w:spacing w:line="300" w:lineRule="exact"/>
              <w:jc w:val="center"/>
              <w:rPr>
                <w:rFonts w:hint="eastAsia" w:ascii="宋体" w:hAnsi="宋体"/>
                <w:color w:val="000000" w:themeColor="text1"/>
                <w:spacing w:val="4"/>
                <w:szCs w:val="21"/>
                <w14:textFill>
                  <w14:solidFill>
                    <w14:schemeClr w14:val="tx1"/>
                  </w14:solidFill>
                </w14:textFill>
              </w:rPr>
            </w:pPr>
            <w:r>
              <w:rPr>
                <w:rFonts w:ascii="宋体" w:hAnsi="宋体"/>
                <w:color w:val="000000" w:themeColor="text1"/>
                <w:spacing w:val="4"/>
                <w:szCs w:val="21"/>
                <w14:textFill>
                  <w14:solidFill>
                    <w14:schemeClr w14:val="tx1"/>
                  </w14:solidFill>
                </w14:textFill>
              </w:rPr>
              <w:t>kg/井次</w:t>
            </w:r>
          </w:p>
        </w:tc>
        <w:tc>
          <w:tcPr>
            <w:tcW w:w="455" w:type="pct"/>
            <w:gridSpan w:val="2"/>
            <w:tcBorders>
              <w:top w:val="single" w:color="auto" w:sz="4" w:space="0"/>
              <w:left w:val="single" w:color="auto" w:sz="4" w:space="0"/>
              <w:bottom w:val="single" w:color="auto" w:sz="4" w:space="0"/>
              <w:right w:val="single" w:color="auto" w:sz="4" w:space="0"/>
            </w:tcBorders>
            <w:vAlign w:val="center"/>
          </w:tcPr>
          <w:p w14:paraId="6BC74AB2">
            <w:pPr>
              <w:adjustRightInd w:val="0"/>
              <w:snapToGrid w:val="0"/>
              <w:spacing w:line="300" w:lineRule="exact"/>
              <w:jc w:val="center"/>
              <w:rPr>
                <w:rFonts w:hint="eastAsia" w:ascii="宋体" w:hAnsi="宋体"/>
                <w:color w:val="000000" w:themeColor="text1"/>
                <w:spacing w:val="4"/>
                <w:szCs w:val="21"/>
                <w14:textFill>
                  <w14:solidFill>
                    <w14:schemeClr w14:val="tx1"/>
                  </w14:solidFill>
                </w14:textFill>
              </w:rPr>
            </w:pPr>
            <w:r>
              <w:rPr>
                <w:rFonts w:ascii="宋体" w:hAnsi="宋体"/>
                <w:color w:val="000000" w:themeColor="text1"/>
                <w:spacing w:val="4"/>
                <w:szCs w:val="21"/>
                <w14:textFill>
                  <w14:solidFill>
                    <w14:schemeClr w14:val="tx1"/>
                  </w14:solidFill>
                </w14:textFill>
              </w:rPr>
              <w:t>5</w:t>
            </w:r>
          </w:p>
        </w:tc>
        <w:tc>
          <w:tcPr>
            <w:tcW w:w="1100" w:type="pct"/>
            <w:gridSpan w:val="2"/>
            <w:tcBorders>
              <w:top w:val="single" w:color="auto" w:sz="4" w:space="0"/>
              <w:left w:val="single" w:color="auto" w:sz="4" w:space="0"/>
              <w:bottom w:val="single" w:color="auto" w:sz="4" w:space="0"/>
              <w:right w:val="single" w:color="auto" w:sz="4" w:space="0"/>
            </w:tcBorders>
            <w:vAlign w:val="center"/>
          </w:tcPr>
          <w:p w14:paraId="57899229">
            <w:pPr>
              <w:adjustRightInd w:val="0"/>
              <w:snapToGrid w:val="0"/>
              <w:spacing w:line="300" w:lineRule="exact"/>
              <w:jc w:val="center"/>
              <w:rPr>
                <w:rFonts w:hint="eastAsia" w:ascii="宋体" w:hAnsi="宋体"/>
                <w:color w:val="000000" w:themeColor="text1"/>
                <w:spacing w:val="4"/>
                <w:szCs w:val="21"/>
                <w14:textFill>
                  <w14:solidFill>
                    <w14:schemeClr w14:val="tx1"/>
                  </w14:solidFill>
                </w14:textFill>
              </w:rPr>
            </w:pPr>
            <w:r>
              <w:rPr>
                <w:rFonts w:ascii="宋体" w:hAnsi="宋体"/>
                <w:color w:val="000000" w:themeColor="text1"/>
                <w:spacing w:val="4"/>
                <w:szCs w:val="21"/>
                <w14:textFill>
                  <w14:solidFill>
                    <w14:schemeClr w14:val="tx1"/>
                  </w14:solidFill>
                </w14:textFill>
              </w:rPr>
              <w:t>甲类区：≤50；乙类区：≤70</w:t>
            </w:r>
          </w:p>
        </w:tc>
        <w:tc>
          <w:tcPr>
            <w:tcW w:w="400" w:type="pct"/>
            <w:gridSpan w:val="2"/>
            <w:tcBorders>
              <w:top w:val="single" w:color="auto" w:sz="4" w:space="0"/>
              <w:left w:val="single" w:color="auto" w:sz="4" w:space="0"/>
              <w:bottom w:val="single" w:color="auto" w:sz="4" w:space="0"/>
              <w:right w:val="single" w:color="auto" w:sz="4" w:space="0"/>
            </w:tcBorders>
            <w:vAlign w:val="center"/>
          </w:tcPr>
          <w:p w14:paraId="53B926B4">
            <w:pPr>
              <w:adjustRightInd w:val="0"/>
              <w:snapToGrid w:val="0"/>
              <w:spacing w:line="300" w:lineRule="exact"/>
              <w:jc w:val="center"/>
              <w:rPr>
                <w:rFonts w:hint="eastAsia" w:ascii="宋体" w:hAnsi="宋体"/>
                <w:color w:val="000000" w:themeColor="text1"/>
                <w:spacing w:val="4"/>
                <w:szCs w:val="21"/>
                <w14:textFill>
                  <w14:solidFill>
                    <w14:schemeClr w14:val="tx1"/>
                  </w14:solidFill>
                </w14:textFill>
              </w:rPr>
            </w:pPr>
            <w:r>
              <w:rPr>
                <w:rFonts w:ascii="宋体" w:hAnsi="宋体"/>
                <w:color w:val="000000" w:themeColor="text1"/>
                <w:spacing w:val="4"/>
                <w:szCs w:val="21"/>
                <w14:textFill>
                  <w14:solidFill>
                    <w14:schemeClr w14:val="tx1"/>
                  </w14:solidFill>
                </w14:textFill>
              </w:rPr>
              <w:t>0</w:t>
            </w:r>
          </w:p>
        </w:tc>
        <w:tc>
          <w:tcPr>
            <w:tcW w:w="261" w:type="pct"/>
            <w:tcBorders>
              <w:top w:val="single" w:color="auto" w:sz="4" w:space="0"/>
              <w:left w:val="single" w:color="auto" w:sz="4" w:space="0"/>
              <w:bottom w:val="single" w:color="auto" w:sz="4" w:space="0"/>
            </w:tcBorders>
            <w:vAlign w:val="center"/>
          </w:tcPr>
          <w:p w14:paraId="010EB23E">
            <w:pPr>
              <w:adjustRightInd w:val="0"/>
              <w:snapToGrid w:val="0"/>
              <w:spacing w:line="300" w:lineRule="exact"/>
              <w:jc w:val="center"/>
              <w:rPr>
                <w:rFonts w:hint="eastAsia" w:ascii="宋体" w:hAnsi="宋体"/>
                <w:color w:val="000000" w:themeColor="text1"/>
                <w:spacing w:val="4"/>
                <w:szCs w:val="21"/>
                <w14:textFill>
                  <w14:solidFill>
                    <w14:schemeClr w14:val="tx1"/>
                  </w14:solidFill>
                </w14:textFill>
              </w:rPr>
            </w:pPr>
            <w:r>
              <w:rPr>
                <w:rFonts w:hint="eastAsia" w:ascii="宋体" w:hAnsi="宋体"/>
                <w:color w:val="000000" w:themeColor="text1"/>
                <w:spacing w:val="4"/>
                <w:szCs w:val="21"/>
                <w14:textFill>
                  <w14:solidFill>
                    <w14:schemeClr w14:val="tx1"/>
                  </w14:solidFill>
                </w14:textFill>
              </w:rPr>
              <w:t>5</w:t>
            </w:r>
          </w:p>
        </w:tc>
      </w:tr>
      <w:tr w14:paraId="7A3DB7DF">
        <w:tblPrEx>
          <w:tblCellMar>
            <w:top w:w="0" w:type="dxa"/>
            <w:left w:w="108" w:type="dxa"/>
            <w:bottom w:w="0" w:type="dxa"/>
            <w:right w:w="108" w:type="dxa"/>
          </w:tblCellMar>
        </w:tblPrEx>
        <w:trPr>
          <w:trHeight w:val="284" w:hRule="atLeast"/>
        </w:trPr>
        <w:tc>
          <w:tcPr>
            <w:tcW w:w="984" w:type="pct"/>
            <w:vMerge w:val="continue"/>
            <w:tcBorders>
              <w:top w:val="single" w:color="auto" w:sz="4" w:space="0"/>
              <w:bottom w:val="single" w:color="auto" w:sz="4" w:space="0"/>
              <w:right w:val="single" w:color="auto" w:sz="4" w:space="0"/>
            </w:tcBorders>
            <w:vAlign w:val="center"/>
          </w:tcPr>
          <w:p w14:paraId="31CE9862">
            <w:pPr>
              <w:widowControl/>
              <w:jc w:val="left"/>
              <w:rPr>
                <w:rFonts w:hint="eastAsia" w:ascii="宋体" w:hAnsi="宋体"/>
                <w:color w:val="000000" w:themeColor="text1"/>
                <w:spacing w:val="4"/>
                <w:szCs w:val="21"/>
                <w14:textFill>
                  <w14:solidFill>
                    <w14:schemeClr w14:val="tx1"/>
                  </w14:solidFill>
                </w14:textFill>
              </w:rPr>
            </w:pPr>
          </w:p>
        </w:tc>
        <w:tc>
          <w:tcPr>
            <w:tcW w:w="323" w:type="pct"/>
            <w:vMerge w:val="continue"/>
            <w:tcBorders>
              <w:top w:val="single" w:color="auto" w:sz="4" w:space="0"/>
              <w:left w:val="single" w:color="auto" w:sz="4" w:space="0"/>
              <w:bottom w:val="single" w:color="auto" w:sz="4" w:space="0"/>
              <w:right w:val="single" w:color="auto" w:sz="4" w:space="0"/>
            </w:tcBorders>
            <w:vAlign w:val="center"/>
          </w:tcPr>
          <w:p w14:paraId="5DB8A348">
            <w:pPr>
              <w:widowControl/>
              <w:jc w:val="left"/>
              <w:rPr>
                <w:rFonts w:hint="eastAsia" w:ascii="宋体" w:hAnsi="宋体"/>
                <w:color w:val="000000" w:themeColor="text1"/>
                <w:spacing w:val="4"/>
                <w:szCs w:val="21"/>
                <w14:textFill>
                  <w14:solidFill>
                    <w14:schemeClr w14:val="tx1"/>
                  </w14:solidFill>
                </w14:textFill>
              </w:rPr>
            </w:pPr>
          </w:p>
        </w:tc>
        <w:tc>
          <w:tcPr>
            <w:tcW w:w="1030" w:type="pct"/>
            <w:gridSpan w:val="3"/>
            <w:tcBorders>
              <w:top w:val="single" w:color="auto" w:sz="4" w:space="0"/>
              <w:left w:val="single" w:color="auto" w:sz="4" w:space="0"/>
              <w:bottom w:val="single" w:color="auto" w:sz="4" w:space="0"/>
              <w:right w:val="single" w:color="auto" w:sz="4" w:space="0"/>
            </w:tcBorders>
            <w:vAlign w:val="center"/>
          </w:tcPr>
          <w:p w14:paraId="0F5CE1C8">
            <w:pPr>
              <w:adjustRightInd w:val="0"/>
              <w:snapToGrid w:val="0"/>
              <w:spacing w:line="300" w:lineRule="exact"/>
              <w:jc w:val="center"/>
              <w:rPr>
                <w:rFonts w:hint="eastAsia" w:ascii="宋体" w:hAnsi="宋体"/>
                <w:color w:val="000000" w:themeColor="text1"/>
                <w:spacing w:val="4"/>
                <w:szCs w:val="21"/>
                <w14:textFill>
                  <w14:solidFill>
                    <w14:schemeClr w14:val="tx1"/>
                  </w14:solidFill>
                </w14:textFill>
              </w:rPr>
            </w:pPr>
            <w:r>
              <w:rPr>
                <w:rFonts w:ascii="宋体" w:hAnsi="宋体"/>
                <w:color w:val="000000" w:themeColor="text1"/>
                <w:spacing w:val="4"/>
                <w:szCs w:val="21"/>
                <w14:textFill>
                  <w14:solidFill>
                    <w14:schemeClr w14:val="tx1"/>
                  </w14:solidFill>
                </w14:textFill>
              </w:rPr>
              <w:t>一般固体废物（生活垃圾）</w:t>
            </w:r>
          </w:p>
        </w:tc>
        <w:tc>
          <w:tcPr>
            <w:tcW w:w="446" w:type="pct"/>
            <w:tcBorders>
              <w:top w:val="single" w:color="auto" w:sz="4" w:space="0"/>
              <w:left w:val="single" w:color="auto" w:sz="4" w:space="0"/>
              <w:bottom w:val="single" w:color="auto" w:sz="4" w:space="0"/>
              <w:right w:val="single" w:color="auto" w:sz="4" w:space="0"/>
            </w:tcBorders>
            <w:vAlign w:val="center"/>
          </w:tcPr>
          <w:p w14:paraId="794E5E90">
            <w:pPr>
              <w:adjustRightInd w:val="0"/>
              <w:snapToGrid w:val="0"/>
              <w:spacing w:line="300" w:lineRule="exact"/>
              <w:jc w:val="center"/>
              <w:rPr>
                <w:rFonts w:hint="eastAsia" w:ascii="宋体" w:hAnsi="宋体"/>
                <w:color w:val="000000" w:themeColor="text1"/>
                <w:spacing w:val="4"/>
                <w:szCs w:val="21"/>
                <w14:textFill>
                  <w14:solidFill>
                    <w14:schemeClr w14:val="tx1"/>
                  </w14:solidFill>
                </w14:textFill>
              </w:rPr>
            </w:pPr>
            <w:r>
              <w:rPr>
                <w:rFonts w:ascii="宋体" w:hAnsi="宋体"/>
                <w:color w:val="000000" w:themeColor="text1"/>
                <w:spacing w:val="4"/>
                <w:szCs w:val="21"/>
                <w14:textFill>
                  <w14:solidFill>
                    <w14:schemeClr w14:val="tx1"/>
                  </w14:solidFill>
                </w14:textFill>
              </w:rPr>
              <w:t>kg/井次</w:t>
            </w:r>
          </w:p>
        </w:tc>
        <w:tc>
          <w:tcPr>
            <w:tcW w:w="455" w:type="pct"/>
            <w:gridSpan w:val="2"/>
            <w:tcBorders>
              <w:top w:val="single" w:color="auto" w:sz="4" w:space="0"/>
              <w:left w:val="single" w:color="auto" w:sz="4" w:space="0"/>
              <w:bottom w:val="single" w:color="auto" w:sz="4" w:space="0"/>
              <w:right w:val="single" w:color="auto" w:sz="4" w:space="0"/>
            </w:tcBorders>
            <w:vAlign w:val="center"/>
          </w:tcPr>
          <w:p w14:paraId="4E8EC142">
            <w:pPr>
              <w:adjustRightInd w:val="0"/>
              <w:snapToGrid w:val="0"/>
              <w:spacing w:line="300" w:lineRule="exact"/>
              <w:jc w:val="center"/>
              <w:rPr>
                <w:rFonts w:hint="eastAsia" w:ascii="宋体" w:hAnsi="宋体"/>
                <w:color w:val="000000" w:themeColor="text1"/>
                <w:spacing w:val="4"/>
                <w:szCs w:val="21"/>
                <w14:textFill>
                  <w14:solidFill>
                    <w14:schemeClr w14:val="tx1"/>
                  </w14:solidFill>
                </w14:textFill>
              </w:rPr>
            </w:pPr>
            <w:r>
              <w:rPr>
                <w:rFonts w:ascii="宋体" w:hAnsi="宋体"/>
                <w:color w:val="000000" w:themeColor="text1"/>
                <w:spacing w:val="4"/>
                <w:szCs w:val="21"/>
                <w14:textFill>
                  <w14:solidFill>
                    <w14:schemeClr w14:val="tx1"/>
                  </w14:solidFill>
                </w14:textFill>
              </w:rPr>
              <w:t>5</w:t>
            </w:r>
          </w:p>
        </w:tc>
        <w:tc>
          <w:tcPr>
            <w:tcW w:w="1100" w:type="pct"/>
            <w:gridSpan w:val="2"/>
            <w:tcBorders>
              <w:top w:val="single" w:color="auto" w:sz="4" w:space="0"/>
              <w:left w:val="single" w:color="auto" w:sz="4" w:space="0"/>
              <w:bottom w:val="single" w:color="auto" w:sz="4" w:space="0"/>
              <w:right w:val="single" w:color="auto" w:sz="4" w:space="0"/>
            </w:tcBorders>
            <w:vAlign w:val="center"/>
          </w:tcPr>
          <w:p w14:paraId="5598E00F">
            <w:pPr>
              <w:adjustRightInd w:val="0"/>
              <w:snapToGrid w:val="0"/>
              <w:spacing w:line="300" w:lineRule="exact"/>
              <w:jc w:val="center"/>
              <w:rPr>
                <w:rFonts w:hint="eastAsia" w:ascii="宋体" w:hAnsi="宋体"/>
                <w:color w:val="000000" w:themeColor="text1"/>
                <w:spacing w:val="4"/>
                <w:szCs w:val="21"/>
                <w14:textFill>
                  <w14:solidFill>
                    <w14:schemeClr w14:val="tx1"/>
                  </w14:solidFill>
                </w14:textFill>
              </w:rPr>
            </w:pPr>
            <w:r>
              <w:rPr>
                <w:rFonts w:ascii="宋体" w:hAnsi="宋体"/>
                <w:color w:val="000000" w:themeColor="text1"/>
                <w:spacing w:val="4"/>
                <w:szCs w:val="21"/>
                <w14:textFill>
                  <w14:solidFill>
                    <w14:schemeClr w14:val="tx1"/>
                  </w14:solidFill>
                </w14:textFill>
              </w:rPr>
              <w:t>符合环保要求</w:t>
            </w:r>
          </w:p>
        </w:tc>
        <w:tc>
          <w:tcPr>
            <w:tcW w:w="400" w:type="pct"/>
            <w:gridSpan w:val="2"/>
            <w:tcBorders>
              <w:top w:val="single" w:color="auto" w:sz="4" w:space="0"/>
              <w:left w:val="single" w:color="auto" w:sz="4" w:space="0"/>
              <w:bottom w:val="single" w:color="auto" w:sz="4" w:space="0"/>
              <w:right w:val="single" w:color="auto" w:sz="4" w:space="0"/>
            </w:tcBorders>
            <w:vAlign w:val="center"/>
          </w:tcPr>
          <w:p w14:paraId="64D88C8B">
            <w:pPr>
              <w:adjustRightInd w:val="0"/>
              <w:snapToGrid w:val="0"/>
              <w:spacing w:line="300" w:lineRule="exact"/>
              <w:jc w:val="center"/>
              <w:rPr>
                <w:rFonts w:hint="eastAsia" w:ascii="宋体" w:hAnsi="宋体"/>
                <w:color w:val="000000" w:themeColor="text1"/>
                <w:spacing w:val="4"/>
                <w:szCs w:val="21"/>
                <w14:textFill>
                  <w14:solidFill>
                    <w14:schemeClr w14:val="tx1"/>
                  </w14:solidFill>
                </w14:textFill>
              </w:rPr>
            </w:pPr>
            <w:r>
              <w:rPr>
                <w:rFonts w:ascii="宋体" w:hAnsi="宋体"/>
                <w:color w:val="000000" w:themeColor="text1"/>
                <w:spacing w:val="4"/>
                <w:szCs w:val="21"/>
                <w14:textFill>
                  <w14:solidFill>
                    <w14:schemeClr w14:val="tx1"/>
                  </w14:solidFill>
                </w14:textFill>
              </w:rPr>
              <w:t>0</w:t>
            </w:r>
          </w:p>
        </w:tc>
        <w:tc>
          <w:tcPr>
            <w:tcW w:w="261" w:type="pct"/>
            <w:tcBorders>
              <w:top w:val="single" w:color="auto" w:sz="4" w:space="0"/>
              <w:left w:val="single" w:color="auto" w:sz="4" w:space="0"/>
              <w:bottom w:val="single" w:color="auto" w:sz="4" w:space="0"/>
            </w:tcBorders>
            <w:vAlign w:val="center"/>
          </w:tcPr>
          <w:p w14:paraId="62949C51">
            <w:pPr>
              <w:adjustRightInd w:val="0"/>
              <w:snapToGrid w:val="0"/>
              <w:spacing w:line="300" w:lineRule="exact"/>
              <w:jc w:val="center"/>
              <w:rPr>
                <w:rFonts w:hint="eastAsia" w:ascii="宋体" w:hAnsi="宋体"/>
                <w:color w:val="000000" w:themeColor="text1"/>
                <w:spacing w:val="4"/>
                <w:szCs w:val="21"/>
                <w14:textFill>
                  <w14:solidFill>
                    <w14:schemeClr w14:val="tx1"/>
                  </w14:solidFill>
                </w14:textFill>
              </w:rPr>
            </w:pPr>
            <w:r>
              <w:rPr>
                <w:rFonts w:hint="eastAsia" w:ascii="宋体" w:hAnsi="宋体"/>
                <w:color w:val="000000" w:themeColor="text1"/>
                <w:spacing w:val="4"/>
                <w:szCs w:val="21"/>
                <w14:textFill>
                  <w14:solidFill>
                    <w14:schemeClr w14:val="tx1"/>
                  </w14:solidFill>
                </w14:textFill>
              </w:rPr>
              <w:t>5</w:t>
            </w:r>
          </w:p>
        </w:tc>
      </w:tr>
      <w:tr w14:paraId="73945004">
        <w:tblPrEx>
          <w:tblCellMar>
            <w:top w:w="0" w:type="dxa"/>
            <w:left w:w="108" w:type="dxa"/>
            <w:bottom w:w="0" w:type="dxa"/>
            <w:right w:w="108" w:type="dxa"/>
          </w:tblCellMar>
        </w:tblPrEx>
        <w:trPr>
          <w:trHeight w:val="284" w:hRule="atLeast"/>
        </w:trPr>
        <w:tc>
          <w:tcPr>
            <w:tcW w:w="5000" w:type="pct"/>
            <w:gridSpan w:val="13"/>
            <w:tcBorders>
              <w:top w:val="single" w:color="auto" w:sz="4" w:space="0"/>
              <w:bottom w:val="single" w:color="auto" w:sz="4" w:space="0"/>
            </w:tcBorders>
            <w:vAlign w:val="center"/>
          </w:tcPr>
          <w:p w14:paraId="2CC3EE28">
            <w:pPr>
              <w:adjustRightInd w:val="0"/>
              <w:snapToGrid w:val="0"/>
              <w:spacing w:line="300" w:lineRule="exact"/>
              <w:jc w:val="center"/>
              <w:rPr>
                <w:rFonts w:hint="eastAsia" w:ascii="宋体" w:hAnsi="宋体"/>
                <w:color w:val="000000" w:themeColor="text1"/>
                <w:spacing w:val="4"/>
                <w:szCs w:val="21"/>
                <w14:textFill>
                  <w14:solidFill>
                    <w14:schemeClr w14:val="tx1"/>
                  </w14:solidFill>
                </w14:textFill>
              </w:rPr>
            </w:pPr>
            <w:r>
              <w:rPr>
                <w:rFonts w:ascii="宋体" w:hAnsi="宋体"/>
                <w:color w:val="000000" w:themeColor="text1"/>
                <w:spacing w:val="4"/>
                <w:szCs w:val="21"/>
                <w14:textFill>
                  <w14:solidFill>
                    <w14:schemeClr w14:val="tx1"/>
                  </w14:solidFill>
                </w14:textFill>
              </w:rPr>
              <w:t>定性指标</w:t>
            </w:r>
          </w:p>
        </w:tc>
      </w:tr>
      <w:tr w14:paraId="741F62EB">
        <w:tblPrEx>
          <w:tblCellMar>
            <w:top w:w="0" w:type="dxa"/>
            <w:left w:w="108" w:type="dxa"/>
            <w:bottom w:w="0" w:type="dxa"/>
            <w:right w:w="108" w:type="dxa"/>
          </w:tblCellMar>
        </w:tblPrEx>
        <w:trPr>
          <w:trHeight w:val="284" w:hRule="atLeast"/>
        </w:trPr>
        <w:tc>
          <w:tcPr>
            <w:tcW w:w="1333" w:type="pct"/>
            <w:gridSpan w:val="3"/>
            <w:tcBorders>
              <w:top w:val="single" w:color="auto" w:sz="4" w:space="0"/>
              <w:bottom w:val="single" w:color="auto" w:sz="4" w:space="0"/>
              <w:right w:val="single" w:color="auto" w:sz="4" w:space="0"/>
            </w:tcBorders>
            <w:vAlign w:val="center"/>
          </w:tcPr>
          <w:p w14:paraId="1BCEA157">
            <w:pPr>
              <w:adjustRightInd w:val="0"/>
              <w:snapToGrid w:val="0"/>
              <w:spacing w:line="300" w:lineRule="exact"/>
              <w:jc w:val="center"/>
              <w:rPr>
                <w:rFonts w:hint="eastAsia" w:ascii="宋体" w:hAnsi="宋体"/>
                <w:color w:val="000000" w:themeColor="text1"/>
                <w:spacing w:val="4"/>
                <w:szCs w:val="21"/>
                <w14:textFill>
                  <w14:solidFill>
                    <w14:schemeClr w14:val="tx1"/>
                  </w14:solidFill>
                </w14:textFill>
              </w:rPr>
            </w:pPr>
            <w:r>
              <w:rPr>
                <w:rFonts w:ascii="宋体" w:hAnsi="宋体"/>
                <w:color w:val="000000" w:themeColor="text1"/>
                <w:spacing w:val="4"/>
                <w:szCs w:val="21"/>
                <w14:textFill>
                  <w14:solidFill>
                    <w14:schemeClr w14:val="tx1"/>
                  </w14:solidFill>
                </w14:textFill>
              </w:rPr>
              <w:t>一级指标</w:t>
            </w:r>
          </w:p>
        </w:tc>
        <w:tc>
          <w:tcPr>
            <w:tcW w:w="410" w:type="pct"/>
            <w:tcBorders>
              <w:top w:val="single" w:color="auto" w:sz="4" w:space="0"/>
              <w:left w:val="single" w:color="auto" w:sz="4" w:space="0"/>
              <w:bottom w:val="single" w:color="auto" w:sz="4" w:space="0"/>
              <w:right w:val="single" w:color="auto" w:sz="4" w:space="0"/>
            </w:tcBorders>
            <w:vAlign w:val="center"/>
          </w:tcPr>
          <w:p w14:paraId="6110520E">
            <w:pPr>
              <w:adjustRightInd w:val="0"/>
              <w:snapToGrid w:val="0"/>
              <w:spacing w:line="300" w:lineRule="exact"/>
              <w:jc w:val="center"/>
              <w:rPr>
                <w:rFonts w:hint="eastAsia" w:ascii="宋体" w:hAnsi="宋体"/>
                <w:color w:val="000000" w:themeColor="text1"/>
                <w:spacing w:val="4"/>
                <w:szCs w:val="21"/>
                <w14:textFill>
                  <w14:solidFill>
                    <w14:schemeClr w14:val="tx1"/>
                  </w14:solidFill>
                </w14:textFill>
              </w:rPr>
            </w:pPr>
            <w:r>
              <w:rPr>
                <w:rFonts w:ascii="宋体" w:hAnsi="宋体"/>
                <w:color w:val="000000" w:themeColor="text1"/>
                <w:spacing w:val="4"/>
                <w:szCs w:val="21"/>
                <w14:textFill>
                  <w14:solidFill>
                    <w14:schemeClr w14:val="tx1"/>
                  </w14:solidFill>
                </w14:textFill>
              </w:rPr>
              <w:t>指标分值</w:t>
            </w:r>
          </w:p>
        </w:tc>
        <w:tc>
          <w:tcPr>
            <w:tcW w:w="2395" w:type="pct"/>
            <w:gridSpan w:val="5"/>
            <w:tcBorders>
              <w:top w:val="single" w:color="auto" w:sz="4" w:space="0"/>
              <w:left w:val="single" w:color="auto" w:sz="4" w:space="0"/>
              <w:bottom w:val="single" w:color="auto" w:sz="4" w:space="0"/>
              <w:right w:val="single" w:color="auto" w:sz="4" w:space="0"/>
            </w:tcBorders>
            <w:vAlign w:val="center"/>
          </w:tcPr>
          <w:p w14:paraId="4A28DFEB">
            <w:pPr>
              <w:adjustRightInd w:val="0"/>
              <w:snapToGrid w:val="0"/>
              <w:spacing w:line="300" w:lineRule="exact"/>
              <w:jc w:val="center"/>
              <w:rPr>
                <w:rFonts w:hint="eastAsia" w:ascii="宋体" w:hAnsi="宋体"/>
                <w:color w:val="000000" w:themeColor="text1"/>
                <w:spacing w:val="4"/>
                <w:szCs w:val="21"/>
                <w14:textFill>
                  <w14:solidFill>
                    <w14:schemeClr w14:val="tx1"/>
                  </w14:solidFill>
                </w14:textFill>
              </w:rPr>
            </w:pPr>
            <w:r>
              <w:rPr>
                <w:rFonts w:ascii="宋体" w:hAnsi="宋体"/>
                <w:color w:val="000000" w:themeColor="text1"/>
                <w:spacing w:val="4"/>
                <w:szCs w:val="21"/>
                <w14:textFill>
                  <w14:solidFill>
                    <w14:schemeClr w14:val="tx1"/>
                  </w14:solidFill>
                </w14:textFill>
              </w:rPr>
              <w:t>二级指标</w:t>
            </w:r>
          </w:p>
        </w:tc>
        <w:tc>
          <w:tcPr>
            <w:tcW w:w="400" w:type="pct"/>
            <w:gridSpan w:val="2"/>
            <w:tcBorders>
              <w:top w:val="single" w:color="auto" w:sz="4" w:space="0"/>
              <w:left w:val="single" w:color="auto" w:sz="4" w:space="0"/>
              <w:bottom w:val="single" w:color="auto" w:sz="4" w:space="0"/>
              <w:right w:val="single" w:color="auto" w:sz="4" w:space="0"/>
            </w:tcBorders>
            <w:vAlign w:val="center"/>
          </w:tcPr>
          <w:p w14:paraId="1D230560">
            <w:pPr>
              <w:adjustRightInd w:val="0"/>
              <w:snapToGrid w:val="0"/>
              <w:spacing w:line="300" w:lineRule="exact"/>
              <w:jc w:val="center"/>
              <w:rPr>
                <w:rFonts w:hint="eastAsia" w:ascii="宋体" w:hAnsi="宋体"/>
                <w:color w:val="000000" w:themeColor="text1"/>
                <w:spacing w:val="4"/>
                <w:szCs w:val="21"/>
                <w14:textFill>
                  <w14:solidFill>
                    <w14:schemeClr w14:val="tx1"/>
                  </w14:solidFill>
                </w14:textFill>
              </w:rPr>
            </w:pPr>
            <w:r>
              <w:rPr>
                <w:rFonts w:ascii="宋体" w:hAnsi="宋体"/>
                <w:color w:val="000000" w:themeColor="text1"/>
                <w:spacing w:val="4"/>
                <w:szCs w:val="21"/>
                <w14:textFill>
                  <w14:solidFill>
                    <w14:schemeClr w14:val="tx1"/>
                  </w14:solidFill>
                </w14:textFill>
              </w:rPr>
              <w:t>指标分值</w:t>
            </w:r>
          </w:p>
        </w:tc>
        <w:tc>
          <w:tcPr>
            <w:tcW w:w="462" w:type="pct"/>
            <w:gridSpan w:val="2"/>
            <w:tcBorders>
              <w:top w:val="single" w:color="auto" w:sz="4" w:space="0"/>
              <w:left w:val="single" w:color="auto" w:sz="4" w:space="0"/>
              <w:bottom w:val="single" w:color="auto" w:sz="4" w:space="0"/>
            </w:tcBorders>
            <w:vAlign w:val="center"/>
          </w:tcPr>
          <w:p w14:paraId="639206E5">
            <w:pPr>
              <w:adjustRightInd w:val="0"/>
              <w:snapToGrid w:val="0"/>
              <w:spacing w:line="300" w:lineRule="exact"/>
              <w:ind w:left="-1" w:leftChars="-122" w:hanging="255" w:hangingChars="117"/>
              <w:jc w:val="center"/>
              <w:rPr>
                <w:rFonts w:hint="eastAsia" w:ascii="宋体" w:hAnsi="宋体"/>
                <w:color w:val="000000" w:themeColor="text1"/>
                <w:spacing w:val="4"/>
                <w:szCs w:val="21"/>
                <w14:textFill>
                  <w14:solidFill>
                    <w14:schemeClr w14:val="tx1"/>
                  </w14:solidFill>
                </w14:textFill>
              </w:rPr>
            </w:pPr>
            <w:r>
              <w:rPr>
                <w:rFonts w:ascii="宋体" w:hAnsi="宋体"/>
                <w:color w:val="000000" w:themeColor="text1"/>
                <w:spacing w:val="4"/>
                <w:szCs w:val="21"/>
                <w14:textFill>
                  <w14:solidFill>
                    <w14:schemeClr w14:val="tx1"/>
                  </w14:solidFill>
                </w14:textFill>
              </w:rPr>
              <w:t>本项目评分</w:t>
            </w:r>
          </w:p>
        </w:tc>
      </w:tr>
      <w:tr w14:paraId="247E7A18">
        <w:tblPrEx>
          <w:tblCellMar>
            <w:top w:w="0" w:type="dxa"/>
            <w:left w:w="108" w:type="dxa"/>
            <w:bottom w:w="0" w:type="dxa"/>
            <w:right w:w="108" w:type="dxa"/>
          </w:tblCellMar>
        </w:tblPrEx>
        <w:trPr>
          <w:trHeight w:val="284" w:hRule="atLeast"/>
        </w:trPr>
        <w:tc>
          <w:tcPr>
            <w:tcW w:w="1333" w:type="pct"/>
            <w:gridSpan w:val="3"/>
            <w:vMerge w:val="restart"/>
            <w:tcBorders>
              <w:top w:val="single" w:color="auto" w:sz="4" w:space="0"/>
              <w:bottom w:val="single" w:color="auto" w:sz="4" w:space="0"/>
              <w:right w:val="single" w:color="auto" w:sz="4" w:space="0"/>
            </w:tcBorders>
            <w:vAlign w:val="center"/>
          </w:tcPr>
          <w:p w14:paraId="7322C881">
            <w:pPr>
              <w:adjustRightInd w:val="0"/>
              <w:snapToGrid w:val="0"/>
              <w:spacing w:line="300" w:lineRule="exact"/>
              <w:jc w:val="center"/>
              <w:rPr>
                <w:rFonts w:hint="eastAsia" w:ascii="宋体" w:hAnsi="宋体"/>
                <w:color w:val="000000" w:themeColor="text1"/>
                <w:spacing w:val="4"/>
                <w:szCs w:val="21"/>
                <w14:textFill>
                  <w14:solidFill>
                    <w14:schemeClr w14:val="tx1"/>
                  </w14:solidFill>
                </w14:textFill>
              </w:rPr>
            </w:pPr>
            <w:r>
              <w:rPr>
                <w:rFonts w:ascii="宋体" w:hAnsi="宋体"/>
                <w:color w:val="000000" w:themeColor="text1"/>
                <w:spacing w:val="4"/>
                <w:szCs w:val="21"/>
                <w14:textFill>
                  <w14:solidFill>
                    <w14:schemeClr w14:val="tx1"/>
                  </w14:solidFill>
                </w14:textFill>
              </w:rPr>
              <w:t>（1）生产工艺及设备要求</w:t>
            </w:r>
          </w:p>
        </w:tc>
        <w:tc>
          <w:tcPr>
            <w:tcW w:w="410" w:type="pct"/>
            <w:vMerge w:val="restart"/>
            <w:tcBorders>
              <w:top w:val="single" w:color="auto" w:sz="4" w:space="0"/>
              <w:left w:val="single" w:color="auto" w:sz="4" w:space="0"/>
              <w:bottom w:val="single" w:color="auto" w:sz="4" w:space="0"/>
              <w:right w:val="single" w:color="auto" w:sz="4" w:space="0"/>
            </w:tcBorders>
            <w:vAlign w:val="center"/>
          </w:tcPr>
          <w:p w14:paraId="1872F5E0">
            <w:pPr>
              <w:adjustRightInd w:val="0"/>
              <w:snapToGrid w:val="0"/>
              <w:spacing w:line="300" w:lineRule="exact"/>
              <w:jc w:val="center"/>
              <w:rPr>
                <w:rFonts w:hint="eastAsia" w:ascii="宋体" w:hAnsi="宋体"/>
                <w:color w:val="000000" w:themeColor="text1"/>
                <w:spacing w:val="4"/>
                <w:szCs w:val="21"/>
                <w14:textFill>
                  <w14:solidFill>
                    <w14:schemeClr w14:val="tx1"/>
                  </w14:solidFill>
                </w14:textFill>
              </w:rPr>
            </w:pPr>
            <w:r>
              <w:rPr>
                <w:rFonts w:ascii="宋体" w:hAnsi="宋体"/>
                <w:color w:val="000000" w:themeColor="text1"/>
                <w:spacing w:val="4"/>
                <w:szCs w:val="21"/>
                <w14:textFill>
                  <w14:solidFill>
                    <w14:schemeClr w14:val="tx1"/>
                  </w14:solidFill>
                </w14:textFill>
              </w:rPr>
              <w:t>40</w:t>
            </w:r>
          </w:p>
        </w:tc>
        <w:tc>
          <w:tcPr>
            <w:tcW w:w="1095" w:type="pct"/>
            <w:gridSpan w:val="3"/>
            <w:tcBorders>
              <w:top w:val="single" w:color="auto" w:sz="4" w:space="0"/>
              <w:left w:val="single" w:color="auto" w:sz="4" w:space="0"/>
              <w:bottom w:val="single" w:color="auto" w:sz="4" w:space="0"/>
              <w:right w:val="single" w:color="auto" w:sz="4" w:space="0"/>
            </w:tcBorders>
            <w:vAlign w:val="center"/>
          </w:tcPr>
          <w:p w14:paraId="0D4F5357">
            <w:pPr>
              <w:adjustRightInd w:val="0"/>
              <w:snapToGrid w:val="0"/>
              <w:spacing w:line="300" w:lineRule="exact"/>
              <w:jc w:val="center"/>
              <w:rPr>
                <w:rFonts w:hint="eastAsia" w:ascii="宋体" w:hAnsi="宋体"/>
                <w:color w:val="000000" w:themeColor="text1"/>
                <w:spacing w:val="4"/>
                <w:szCs w:val="21"/>
                <w14:textFill>
                  <w14:solidFill>
                    <w14:schemeClr w14:val="tx1"/>
                  </w14:solidFill>
                </w14:textFill>
              </w:rPr>
            </w:pPr>
            <w:r>
              <w:rPr>
                <w:rFonts w:ascii="宋体" w:hAnsi="宋体"/>
                <w:color w:val="000000" w:themeColor="text1"/>
                <w:spacing w:val="4"/>
                <w:szCs w:val="21"/>
                <w14:textFill>
                  <w14:solidFill>
                    <w14:schemeClr w14:val="tx1"/>
                  </w14:solidFill>
                </w14:textFill>
              </w:rPr>
              <w:t>防喷措施</w:t>
            </w:r>
          </w:p>
        </w:tc>
        <w:tc>
          <w:tcPr>
            <w:tcW w:w="1300" w:type="pct"/>
            <w:gridSpan w:val="2"/>
            <w:tcBorders>
              <w:top w:val="single" w:color="auto" w:sz="4" w:space="0"/>
              <w:left w:val="single" w:color="auto" w:sz="4" w:space="0"/>
              <w:bottom w:val="single" w:color="auto" w:sz="4" w:space="0"/>
              <w:right w:val="single" w:color="auto" w:sz="4" w:space="0"/>
            </w:tcBorders>
            <w:vAlign w:val="center"/>
          </w:tcPr>
          <w:p w14:paraId="373CF697">
            <w:pPr>
              <w:adjustRightInd w:val="0"/>
              <w:snapToGrid w:val="0"/>
              <w:spacing w:line="300" w:lineRule="exact"/>
              <w:jc w:val="center"/>
              <w:rPr>
                <w:rFonts w:hint="eastAsia" w:ascii="宋体" w:hAnsi="宋体"/>
                <w:color w:val="000000" w:themeColor="text1"/>
                <w:spacing w:val="4"/>
                <w:szCs w:val="21"/>
                <w14:textFill>
                  <w14:solidFill>
                    <w14:schemeClr w14:val="tx1"/>
                  </w14:solidFill>
                </w14:textFill>
              </w:rPr>
            </w:pPr>
            <w:r>
              <w:rPr>
                <w:rFonts w:ascii="宋体" w:hAnsi="宋体"/>
                <w:color w:val="000000" w:themeColor="text1"/>
                <w:spacing w:val="4"/>
                <w:szCs w:val="21"/>
                <w14:textFill>
                  <w14:solidFill>
                    <w14:schemeClr w14:val="tx1"/>
                  </w14:solidFill>
                </w14:textFill>
              </w:rPr>
              <w:t>具备</w:t>
            </w:r>
          </w:p>
        </w:tc>
        <w:tc>
          <w:tcPr>
            <w:tcW w:w="400" w:type="pct"/>
            <w:gridSpan w:val="2"/>
            <w:tcBorders>
              <w:top w:val="single" w:color="auto" w:sz="4" w:space="0"/>
              <w:left w:val="single" w:color="auto" w:sz="4" w:space="0"/>
              <w:bottom w:val="single" w:color="auto" w:sz="4" w:space="0"/>
              <w:right w:val="single" w:color="auto" w:sz="4" w:space="0"/>
            </w:tcBorders>
            <w:vAlign w:val="center"/>
          </w:tcPr>
          <w:p w14:paraId="38CCCB5C">
            <w:pPr>
              <w:adjustRightInd w:val="0"/>
              <w:snapToGrid w:val="0"/>
              <w:spacing w:line="300" w:lineRule="exact"/>
              <w:jc w:val="center"/>
              <w:rPr>
                <w:rFonts w:hint="eastAsia" w:ascii="宋体" w:hAnsi="宋体"/>
                <w:color w:val="000000" w:themeColor="text1"/>
                <w:spacing w:val="4"/>
                <w:szCs w:val="21"/>
                <w14:textFill>
                  <w14:solidFill>
                    <w14:schemeClr w14:val="tx1"/>
                  </w14:solidFill>
                </w14:textFill>
              </w:rPr>
            </w:pPr>
            <w:r>
              <w:rPr>
                <w:rFonts w:ascii="宋体" w:hAnsi="宋体"/>
                <w:color w:val="000000" w:themeColor="text1"/>
                <w:spacing w:val="4"/>
                <w:szCs w:val="21"/>
                <w14:textFill>
                  <w14:solidFill>
                    <w14:schemeClr w14:val="tx1"/>
                  </w14:solidFill>
                </w14:textFill>
              </w:rPr>
              <w:t>5</w:t>
            </w:r>
          </w:p>
        </w:tc>
        <w:tc>
          <w:tcPr>
            <w:tcW w:w="462" w:type="pct"/>
            <w:gridSpan w:val="2"/>
            <w:tcBorders>
              <w:top w:val="single" w:color="auto" w:sz="4" w:space="0"/>
              <w:left w:val="single" w:color="auto" w:sz="4" w:space="0"/>
              <w:bottom w:val="single" w:color="auto" w:sz="4" w:space="0"/>
            </w:tcBorders>
            <w:vAlign w:val="center"/>
          </w:tcPr>
          <w:p w14:paraId="23A24D5C">
            <w:pPr>
              <w:adjustRightInd w:val="0"/>
              <w:snapToGrid w:val="0"/>
              <w:spacing w:line="300" w:lineRule="exact"/>
              <w:jc w:val="center"/>
              <w:rPr>
                <w:rFonts w:hint="eastAsia" w:ascii="宋体" w:hAnsi="宋体"/>
                <w:color w:val="000000" w:themeColor="text1"/>
                <w:spacing w:val="4"/>
                <w:szCs w:val="21"/>
                <w14:textFill>
                  <w14:solidFill>
                    <w14:schemeClr w14:val="tx1"/>
                  </w14:solidFill>
                </w14:textFill>
              </w:rPr>
            </w:pPr>
            <w:r>
              <w:rPr>
                <w:rFonts w:ascii="宋体" w:hAnsi="宋体"/>
                <w:color w:val="000000" w:themeColor="text1"/>
                <w:spacing w:val="4"/>
                <w:szCs w:val="21"/>
                <w14:textFill>
                  <w14:solidFill>
                    <w14:schemeClr w14:val="tx1"/>
                  </w14:solidFill>
                </w14:textFill>
              </w:rPr>
              <w:t>5</w:t>
            </w:r>
          </w:p>
        </w:tc>
      </w:tr>
      <w:tr w14:paraId="132566B6">
        <w:tblPrEx>
          <w:tblCellMar>
            <w:top w:w="0" w:type="dxa"/>
            <w:left w:w="108" w:type="dxa"/>
            <w:bottom w:w="0" w:type="dxa"/>
            <w:right w:w="108" w:type="dxa"/>
          </w:tblCellMar>
        </w:tblPrEx>
        <w:trPr>
          <w:trHeight w:val="284" w:hRule="atLeast"/>
        </w:trPr>
        <w:tc>
          <w:tcPr>
            <w:tcW w:w="1333" w:type="pct"/>
            <w:gridSpan w:val="3"/>
            <w:vMerge w:val="continue"/>
            <w:tcBorders>
              <w:top w:val="single" w:color="auto" w:sz="4" w:space="0"/>
              <w:bottom w:val="single" w:color="auto" w:sz="4" w:space="0"/>
              <w:right w:val="single" w:color="auto" w:sz="4" w:space="0"/>
            </w:tcBorders>
            <w:vAlign w:val="center"/>
          </w:tcPr>
          <w:p w14:paraId="231EC2FD">
            <w:pPr>
              <w:widowControl/>
              <w:jc w:val="left"/>
              <w:rPr>
                <w:rFonts w:hint="eastAsia" w:ascii="宋体" w:hAnsi="宋体"/>
                <w:color w:val="000000" w:themeColor="text1"/>
                <w:spacing w:val="4"/>
                <w:szCs w:val="21"/>
                <w14:textFill>
                  <w14:solidFill>
                    <w14:schemeClr w14:val="tx1"/>
                  </w14:solidFill>
                </w14:textFill>
              </w:rPr>
            </w:pPr>
          </w:p>
        </w:tc>
        <w:tc>
          <w:tcPr>
            <w:tcW w:w="410" w:type="pct"/>
            <w:vMerge w:val="continue"/>
            <w:tcBorders>
              <w:top w:val="single" w:color="auto" w:sz="4" w:space="0"/>
              <w:left w:val="single" w:color="auto" w:sz="4" w:space="0"/>
              <w:bottom w:val="single" w:color="auto" w:sz="4" w:space="0"/>
              <w:right w:val="single" w:color="auto" w:sz="4" w:space="0"/>
            </w:tcBorders>
            <w:vAlign w:val="center"/>
          </w:tcPr>
          <w:p w14:paraId="6E2B1656">
            <w:pPr>
              <w:widowControl/>
              <w:jc w:val="left"/>
              <w:rPr>
                <w:rFonts w:hint="eastAsia" w:ascii="宋体" w:hAnsi="宋体"/>
                <w:color w:val="000000" w:themeColor="text1"/>
                <w:spacing w:val="4"/>
                <w:szCs w:val="21"/>
                <w14:textFill>
                  <w14:solidFill>
                    <w14:schemeClr w14:val="tx1"/>
                  </w14:solidFill>
                </w14:textFill>
              </w:rPr>
            </w:pPr>
          </w:p>
        </w:tc>
        <w:tc>
          <w:tcPr>
            <w:tcW w:w="1095" w:type="pct"/>
            <w:gridSpan w:val="3"/>
            <w:tcBorders>
              <w:top w:val="single" w:color="auto" w:sz="4" w:space="0"/>
              <w:left w:val="single" w:color="auto" w:sz="4" w:space="0"/>
              <w:bottom w:val="single" w:color="auto" w:sz="4" w:space="0"/>
              <w:right w:val="single" w:color="auto" w:sz="4" w:space="0"/>
            </w:tcBorders>
            <w:vAlign w:val="center"/>
          </w:tcPr>
          <w:p w14:paraId="0604C473">
            <w:pPr>
              <w:adjustRightInd w:val="0"/>
              <w:snapToGrid w:val="0"/>
              <w:spacing w:line="300" w:lineRule="exact"/>
              <w:jc w:val="center"/>
              <w:rPr>
                <w:rFonts w:hint="eastAsia" w:ascii="宋体" w:hAnsi="宋体"/>
                <w:color w:val="000000" w:themeColor="text1"/>
                <w:spacing w:val="4"/>
                <w:szCs w:val="21"/>
                <w14:textFill>
                  <w14:solidFill>
                    <w14:schemeClr w14:val="tx1"/>
                  </w14:solidFill>
                </w14:textFill>
              </w:rPr>
            </w:pPr>
            <w:r>
              <w:rPr>
                <w:rFonts w:ascii="宋体" w:hAnsi="宋体"/>
                <w:color w:val="000000" w:themeColor="text1"/>
                <w:spacing w:val="4"/>
                <w:szCs w:val="21"/>
                <w14:textFill>
                  <w14:solidFill>
                    <w14:schemeClr w14:val="tx1"/>
                  </w14:solidFill>
                </w14:textFill>
              </w:rPr>
              <w:t>地面管线防刺防漏措施</w:t>
            </w:r>
          </w:p>
        </w:tc>
        <w:tc>
          <w:tcPr>
            <w:tcW w:w="1300" w:type="pct"/>
            <w:gridSpan w:val="2"/>
            <w:tcBorders>
              <w:top w:val="single" w:color="auto" w:sz="4" w:space="0"/>
              <w:left w:val="single" w:color="auto" w:sz="4" w:space="0"/>
              <w:bottom w:val="single" w:color="auto" w:sz="4" w:space="0"/>
              <w:right w:val="single" w:color="auto" w:sz="4" w:space="0"/>
            </w:tcBorders>
            <w:vAlign w:val="center"/>
          </w:tcPr>
          <w:p w14:paraId="7FF13622">
            <w:pPr>
              <w:adjustRightInd w:val="0"/>
              <w:snapToGrid w:val="0"/>
              <w:spacing w:line="300" w:lineRule="exact"/>
              <w:jc w:val="center"/>
              <w:rPr>
                <w:rFonts w:hint="eastAsia" w:ascii="宋体" w:hAnsi="宋体"/>
                <w:color w:val="000000" w:themeColor="text1"/>
                <w:spacing w:val="4"/>
                <w:szCs w:val="21"/>
                <w14:textFill>
                  <w14:solidFill>
                    <w14:schemeClr w14:val="tx1"/>
                  </w14:solidFill>
                </w14:textFill>
              </w:rPr>
            </w:pPr>
            <w:r>
              <w:rPr>
                <w:rFonts w:ascii="宋体" w:hAnsi="宋体"/>
                <w:color w:val="000000" w:themeColor="text1"/>
                <w:spacing w:val="4"/>
                <w:szCs w:val="21"/>
                <w14:textFill>
                  <w14:solidFill>
                    <w14:schemeClr w14:val="tx1"/>
                  </w14:solidFill>
                </w14:textFill>
              </w:rPr>
              <w:t>按标准试压</w:t>
            </w:r>
          </w:p>
        </w:tc>
        <w:tc>
          <w:tcPr>
            <w:tcW w:w="400" w:type="pct"/>
            <w:gridSpan w:val="2"/>
            <w:tcBorders>
              <w:top w:val="single" w:color="auto" w:sz="4" w:space="0"/>
              <w:left w:val="single" w:color="auto" w:sz="4" w:space="0"/>
              <w:bottom w:val="single" w:color="auto" w:sz="4" w:space="0"/>
              <w:right w:val="single" w:color="auto" w:sz="4" w:space="0"/>
            </w:tcBorders>
            <w:vAlign w:val="center"/>
          </w:tcPr>
          <w:p w14:paraId="63B6A5B1">
            <w:pPr>
              <w:adjustRightInd w:val="0"/>
              <w:snapToGrid w:val="0"/>
              <w:spacing w:line="300" w:lineRule="exact"/>
              <w:jc w:val="center"/>
              <w:rPr>
                <w:rFonts w:hint="eastAsia" w:ascii="宋体" w:hAnsi="宋体"/>
                <w:color w:val="000000" w:themeColor="text1"/>
                <w:spacing w:val="4"/>
                <w:szCs w:val="21"/>
                <w14:textFill>
                  <w14:solidFill>
                    <w14:schemeClr w14:val="tx1"/>
                  </w14:solidFill>
                </w14:textFill>
              </w:rPr>
            </w:pPr>
            <w:r>
              <w:rPr>
                <w:rFonts w:ascii="宋体" w:hAnsi="宋体"/>
                <w:color w:val="000000" w:themeColor="text1"/>
                <w:spacing w:val="4"/>
                <w:szCs w:val="21"/>
                <w14:textFill>
                  <w14:solidFill>
                    <w14:schemeClr w14:val="tx1"/>
                  </w14:solidFill>
                </w14:textFill>
              </w:rPr>
              <w:t>5</w:t>
            </w:r>
          </w:p>
        </w:tc>
        <w:tc>
          <w:tcPr>
            <w:tcW w:w="462" w:type="pct"/>
            <w:gridSpan w:val="2"/>
            <w:tcBorders>
              <w:top w:val="single" w:color="auto" w:sz="4" w:space="0"/>
              <w:left w:val="single" w:color="auto" w:sz="4" w:space="0"/>
              <w:bottom w:val="single" w:color="auto" w:sz="4" w:space="0"/>
            </w:tcBorders>
            <w:vAlign w:val="center"/>
          </w:tcPr>
          <w:p w14:paraId="70FF7481">
            <w:pPr>
              <w:adjustRightInd w:val="0"/>
              <w:snapToGrid w:val="0"/>
              <w:spacing w:line="300" w:lineRule="exact"/>
              <w:jc w:val="center"/>
              <w:rPr>
                <w:rFonts w:hint="eastAsia" w:ascii="宋体" w:hAnsi="宋体"/>
                <w:color w:val="000000" w:themeColor="text1"/>
                <w:spacing w:val="4"/>
                <w:szCs w:val="21"/>
                <w14:textFill>
                  <w14:solidFill>
                    <w14:schemeClr w14:val="tx1"/>
                  </w14:solidFill>
                </w14:textFill>
              </w:rPr>
            </w:pPr>
            <w:r>
              <w:rPr>
                <w:rFonts w:ascii="宋体" w:hAnsi="宋体"/>
                <w:color w:val="000000" w:themeColor="text1"/>
                <w:spacing w:val="4"/>
                <w:szCs w:val="21"/>
                <w14:textFill>
                  <w14:solidFill>
                    <w14:schemeClr w14:val="tx1"/>
                  </w14:solidFill>
                </w14:textFill>
              </w:rPr>
              <w:t>5</w:t>
            </w:r>
          </w:p>
        </w:tc>
      </w:tr>
      <w:tr w14:paraId="5E085D19">
        <w:tblPrEx>
          <w:tblCellMar>
            <w:top w:w="0" w:type="dxa"/>
            <w:left w:w="108" w:type="dxa"/>
            <w:bottom w:w="0" w:type="dxa"/>
            <w:right w:w="108" w:type="dxa"/>
          </w:tblCellMar>
        </w:tblPrEx>
        <w:trPr>
          <w:trHeight w:val="284" w:hRule="atLeast"/>
        </w:trPr>
        <w:tc>
          <w:tcPr>
            <w:tcW w:w="1333" w:type="pct"/>
            <w:gridSpan w:val="3"/>
            <w:vMerge w:val="continue"/>
            <w:tcBorders>
              <w:top w:val="single" w:color="auto" w:sz="4" w:space="0"/>
              <w:bottom w:val="single" w:color="auto" w:sz="4" w:space="0"/>
              <w:right w:val="single" w:color="auto" w:sz="4" w:space="0"/>
            </w:tcBorders>
            <w:vAlign w:val="center"/>
          </w:tcPr>
          <w:p w14:paraId="1CE212AF">
            <w:pPr>
              <w:widowControl/>
              <w:jc w:val="left"/>
              <w:rPr>
                <w:rFonts w:hint="eastAsia" w:ascii="宋体" w:hAnsi="宋体"/>
                <w:color w:val="000000" w:themeColor="text1"/>
                <w:spacing w:val="4"/>
                <w:szCs w:val="21"/>
                <w14:textFill>
                  <w14:solidFill>
                    <w14:schemeClr w14:val="tx1"/>
                  </w14:solidFill>
                </w14:textFill>
              </w:rPr>
            </w:pPr>
          </w:p>
        </w:tc>
        <w:tc>
          <w:tcPr>
            <w:tcW w:w="410" w:type="pct"/>
            <w:vMerge w:val="continue"/>
            <w:tcBorders>
              <w:top w:val="single" w:color="auto" w:sz="4" w:space="0"/>
              <w:left w:val="single" w:color="auto" w:sz="4" w:space="0"/>
              <w:bottom w:val="single" w:color="auto" w:sz="4" w:space="0"/>
              <w:right w:val="single" w:color="auto" w:sz="4" w:space="0"/>
            </w:tcBorders>
            <w:vAlign w:val="center"/>
          </w:tcPr>
          <w:p w14:paraId="27F390C1">
            <w:pPr>
              <w:widowControl/>
              <w:jc w:val="left"/>
              <w:rPr>
                <w:rFonts w:hint="eastAsia" w:ascii="宋体" w:hAnsi="宋体"/>
                <w:color w:val="000000" w:themeColor="text1"/>
                <w:spacing w:val="4"/>
                <w:szCs w:val="21"/>
                <w14:textFill>
                  <w14:solidFill>
                    <w14:schemeClr w14:val="tx1"/>
                  </w14:solidFill>
                </w14:textFill>
              </w:rPr>
            </w:pPr>
          </w:p>
        </w:tc>
        <w:tc>
          <w:tcPr>
            <w:tcW w:w="1095" w:type="pct"/>
            <w:gridSpan w:val="3"/>
            <w:tcBorders>
              <w:top w:val="single" w:color="auto" w:sz="4" w:space="0"/>
              <w:left w:val="single" w:color="auto" w:sz="4" w:space="0"/>
              <w:bottom w:val="single" w:color="auto" w:sz="4" w:space="0"/>
              <w:right w:val="single" w:color="auto" w:sz="4" w:space="0"/>
            </w:tcBorders>
            <w:vAlign w:val="center"/>
          </w:tcPr>
          <w:p w14:paraId="4604F309">
            <w:pPr>
              <w:adjustRightInd w:val="0"/>
              <w:snapToGrid w:val="0"/>
              <w:spacing w:line="300" w:lineRule="exact"/>
              <w:jc w:val="center"/>
              <w:rPr>
                <w:rFonts w:hint="eastAsia" w:ascii="宋体" w:hAnsi="宋体"/>
                <w:color w:val="000000" w:themeColor="text1"/>
                <w:spacing w:val="4"/>
                <w:szCs w:val="21"/>
                <w14:textFill>
                  <w14:solidFill>
                    <w14:schemeClr w14:val="tx1"/>
                  </w14:solidFill>
                </w14:textFill>
              </w:rPr>
            </w:pPr>
            <w:r>
              <w:rPr>
                <w:rFonts w:ascii="宋体" w:hAnsi="宋体"/>
                <w:color w:val="000000" w:themeColor="text1"/>
                <w:spacing w:val="4"/>
                <w:szCs w:val="21"/>
                <w14:textFill>
                  <w14:solidFill>
                    <w14:schemeClr w14:val="tx1"/>
                  </w14:solidFill>
                </w14:textFill>
              </w:rPr>
              <w:t>防溢设备（防溢池设置）</w:t>
            </w:r>
          </w:p>
        </w:tc>
        <w:tc>
          <w:tcPr>
            <w:tcW w:w="1300" w:type="pct"/>
            <w:gridSpan w:val="2"/>
            <w:tcBorders>
              <w:top w:val="single" w:color="auto" w:sz="4" w:space="0"/>
              <w:left w:val="single" w:color="auto" w:sz="4" w:space="0"/>
              <w:bottom w:val="single" w:color="auto" w:sz="4" w:space="0"/>
              <w:right w:val="single" w:color="auto" w:sz="4" w:space="0"/>
            </w:tcBorders>
            <w:vAlign w:val="center"/>
          </w:tcPr>
          <w:p w14:paraId="46EC7F94">
            <w:pPr>
              <w:adjustRightInd w:val="0"/>
              <w:snapToGrid w:val="0"/>
              <w:spacing w:line="300" w:lineRule="exact"/>
              <w:jc w:val="center"/>
              <w:rPr>
                <w:rFonts w:hint="eastAsia" w:ascii="宋体" w:hAnsi="宋体"/>
                <w:color w:val="000000" w:themeColor="text1"/>
                <w:spacing w:val="4"/>
                <w:szCs w:val="21"/>
                <w14:textFill>
                  <w14:solidFill>
                    <w14:schemeClr w14:val="tx1"/>
                  </w14:solidFill>
                </w14:textFill>
              </w:rPr>
            </w:pPr>
            <w:r>
              <w:rPr>
                <w:rFonts w:ascii="宋体" w:hAnsi="宋体"/>
                <w:color w:val="000000" w:themeColor="text1"/>
                <w:spacing w:val="4"/>
                <w:szCs w:val="21"/>
                <w14:textFill>
                  <w14:solidFill>
                    <w14:schemeClr w14:val="tx1"/>
                  </w14:solidFill>
                </w14:textFill>
              </w:rPr>
              <w:t>具备</w:t>
            </w:r>
          </w:p>
        </w:tc>
        <w:tc>
          <w:tcPr>
            <w:tcW w:w="400" w:type="pct"/>
            <w:gridSpan w:val="2"/>
            <w:tcBorders>
              <w:top w:val="single" w:color="auto" w:sz="4" w:space="0"/>
              <w:left w:val="single" w:color="auto" w:sz="4" w:space="0"/>
              <w:bottom w:val="single" w:color="auto" w:sz="4" w:space="0"/>
              <w:right w:val="single" w:color="auto" w:sz="4" w:space="0"/>
            </w:tcBorders>
            <w:vAlign w:val="center"/>
          </w:tcPr>
          <w:p w14:paraId="79E72C66">
            <w:pPr>
              <w:adjustRightInd w:val="0"/>
              <w:snapToGrid w:val="0"/>
              <w:spacing w:line="300" w:lineRule="exact"/>
              <w:jc w:val="center"/>
              <w:rPr>
                <w:rFonts w:hint="eastAsia" w:ascii="宋体" w:hAnsi="宋体"/>
                <w:color w:val="000000" w:themeColor="text1"/>
                <w:spacing w:val="4"/>
                <w:szCs w:val="21"/>
                <w14:textFill>
                  <w14:solidFill>
                    <w14:schemeClr w14:val="tx1"/>
                  </w14:solidFill>
                </w14:textFill>
              </w:rPr>
            </w:pPr>
            <w:r>
              <w:rPr>
                <w:rFonts w:ascii="宋体" w:hAnsi="宋体"/>
                <w:color w:val="000000" w:themeColor="text1"/>
                <w:spacing w:val="4"/>
                <w:szCs w:val="21"/>
                <w14:textFill>
                  <w14:solidFill>
                    <w14:schemeClr w14:val="tx1"/>
                  </w14:solidFill>
                </w14:textFill>
              </w:rPr>
              <w:t>5</w:t>
            </w:r>
          </w:p>
        </w:tc>
        <w:tc>
          <w:tcPr>
            <w:tcW w:w="462" w:type="pct"/>
            <w:gridSpan w:val="2"/>
            <w:tcBorders>
              <w:top w:val="single" w:color="auto" w:sz="4" w:space="0"/>
              <w:left w:val="single" w:color="auto" w:sz="4" w:space="0"/>
              <w:bottom w:val="single" w:color="auto" w:sz="4" w:space="0"/>
            </w:tcBorders>
            <w:vAlign w:val="center"/>
          </w:tcPr>
          <w:p w14:paraId="349F4AE1">
            <w:pPr>
              <w:adjustRightInd w:val="0"/>
              <w:snapToGrid w:val="0"/>
              <w:spacing w:line="300" w:lineRule="exact"/>
              <w:jc w:val="center"/>
              <w:rPr>
                <w:rFonts w:hint="eastAsia" w:ascii="宋体" w:hAnsi="宋体"/>
                <w:color w:val="000000" w:themeColor="text1"/>
                <w:spacing w:val="4"/>
                <w:szCs w:val="21"/>
                <w14:textFill>
                  <w14:solidFill>
                    <w14:schemeClr w14:val="tx1"/>
                  </w14:solidFill>
                </w14:textFill>
              </w:rPr>
            </w:pPr>
            <w:r>
              <w:rPr>
                <w:rFonts w:ascii="宋体" w:hAnsi="宋体"/>
                <w:color w:val="000000" w:themeColor="text1"/>
                <w:spacing w:val="4"/>
                <w:szCs w:val="21"/>
                <w14:textFill>
                  <w14:solidFill>
                    <w14:schemeClr w14:val="tx1"/>
                  </w14:solidFill>
                </w14:textFill>
              </w:rPr>
              <w:t>5</w:t>
            </w:r>
          </w:p>
        </w:tc>
      </w:tr>
      <w:tr w14:paraId="2871DDDE">
        <w:tblPrEx>
          <w:tblCellMar>
            <w:top w:w="0" w:type="dxa"/>
            <w:left w:w="108" w:type="dxa"/>
            <w:bottom w:w="0" w:type="dxa"/>
            <w:right w:w="108" w:type="dxa"/>
          </w:tblCellMar>
        </w:tblPrEx>
        <w:trPr>
          <w:trHeight w:val="284" w:hRule="atLeast"/>
        </w:trPr>
        <w:tc>
          <w:tcPr>
            <w:tcW w:w="1333" w:type="pct"/>
            <w:gridSpan w:val="3"/>
            <w:vMerge w:val="continue"/>
            <w:tcBorders>
              <w:top w:val="single" w:color="auto" w:sz="4" w:space="0"/>
              <w:bottom w:val="single" w:color="auto" w:sz="4" w:space="0"/>
              <w:right w:val="single" w:color="auto" w:sz="4" w:space="0"/>
            </w:tcBorders>
            <w:vAlign w:val="center"/>
          </w:tcPr>
          <w:p w14:paraId="01E86D3D">
            <w:pPr>
              <w:widowControl/>
              <w:jc w:val="left"/>
              <w:rPr>
                <w:rFonts w:hint="eastAsia" w:ascii="宋体" w:hAnsi="宋体"/>
                <w:color w:val="000000" w:themeColor="text1"/>
                <w:spacing w:val="4"/>
                <w:szCs w:val="21"/>
                <w14:textFill>
                  <w14:solidFill>
                    <w14:schemeClr w14:val="tx1"/>
                  </w14:solidFill>
                </w14:textFill>
              </w:rPr>
            </w:pPr>
          </w:p>
        </w:tc>
        <w:tc>
          <w:tcPr>
            <w:tcW w:w="410" w:type="pct"/>
            <w:vMerge w:val="continue"/>
            <w:tcBorders>
              <w:top w:val="single" w:color="auto" w:sz="4" w:space="0"/>
              <w:left w:val="single" w:color="auto" w:sz="4" w:space="0"/>
              <w:bottom w:val="single" w:color="auto" w:sz="4" w:space="0"/>
              <w:right w:val="single" w:color="auto" w:sz="4" w:space="0"/>
            </w:tcBorders>
            <w:vAlign w:val="center"/>
          </w:tcPr>
          <w:p w14:paraId="4CB378E1">
            <w:pPr>
              <w:widowControl/>
              <w:jc w:val="left"/>
              <w:rPr>
                <w:rFonts w:hint="eastAsia" w:ascii="宋体" w:hAnsi="宋体"/>
                <w:color w:val="000000" w:themeColor="text1"/>
                <w:spacing w:val="4"/>
                <w:szCs w:val="21"/>
                <w14:textFill>
                  <w14:solidFill>
                    <w14:schemeClr w14:val="tx1"/>
                  </w14:solidFill>
                </w14:textFill>
              </w:rPr>
            </w:pPr>
          </w:p>
        </w:tc>
        <w:tc>
          <w:tcPr>
            <w:tcW w:w="1095" w:type="pct"/>
            <w:gridSpan w:val="3"/>
            <w:tcBorders>
              <w:top w:val="single" w:color="auto" w:sz="4" w:space="0"/>
              <w:left w:val="single" w:color="auto" w:sz="4" w:space="0"/>
              <w:bottom w:val="single" w:color="auto" w:sz="4" w:space="0"/>
              <w:right w:val="single" w:color="auto" w:sz="4" w:space="0"/>
            </w:tcBorders>
            <w:vAlign w:val="center"/>
          </w:tcPr>
          <w:p w14:paraId="1C3120AA">
            <w:pPr>
              <w:adjustRightInd w:val="0"/>
              <w:snapToGrid w:val="0"/>
              <w:spacing w:line="300" w:lineRule="exact"/>
              <w:jc w:val="center"/>
              <w:rPr>
                <w:rFonts w:hint="eastAsia" w:ascii="宋体" w:hAnsi="宋体"/>
                <w:color w:val="000000" w:themeColor="text1"/>
                <w:spacing w:val="4"/>
                <w:szCs w:val="21"/>
                <w14:textFill>
                  <w14:solidFill>
                    <w14:schemeClr w14:val="tx1"/>
                  </w14:solidFill>
                </w14:textFill>
              </w:rPr>
            </w:pPr>
            <w:r>
              <w:rPr>
                <w:rFonts w:ascii="宋体" w:hAnsi="宋体"/>
                <w:color w:val="000000" w:themeColor="text1"/>
                <w:spacing w:val="4"/>
                <w:szCs w:val="21"/>
                <w14:textFill>
                  <w14:solidFill>
                    <w14:schemeClr w14:val="tx1"/>
                  </w14:solidFill>
                </w14:textFill>
              </w:rPr>
              <w:t>防渗范围</w:t>
            </w:r>
          </w:p>
        </w:tc>
        <w:tc>
          <w:tcPr>
            <w:tcW w:w="1300" w:type="pct"/>
            <w:gridSpan w:val="2"/>
            <w:tcBorders>
              <w:top w:val="single" w:color="auto" w:sz="4" w:space="0"/>
              <w:left w:val="single" w:color="auto" w:sz="4" w:space="0"/>
              <w:bottom w:val="single" w:color="auto" w:sz="4" w:space="0"/>
              <w:right w:val="single" w:color="auto" w:sz="4" w:space="0"/>
            </w:tcBorders>
            <w:vAlign w:val="center"/>
          </w:tcPr>
          <w:p w14:paraId="23BEEAD5">
            <w:pPr>
              <w:adjustRightInd w:val="0"/>
              <w:snapToGrid w:val="0"/>
              <w:spacing w:line="300" w:lineRule="exact"/>
              <w:jc w:val="center"/>
              <w:rPr>
                <w:rFonts w:hint="eastAsia" w:ascii="宋体" w:hAnsi="宋体"/>
                <w:color w:val="000000" w:themeColor="text1"/>
                <w:spacing w:val="4"/>
                <w:szCs w:val="21"/>
                <w14:textFill>
                  <w14:solidFill>
                    <w14:schemeClr w14:val="tx1"/>
                  </w14:solidFill>
                </w14:textFill>
              </w:rPr>
            </w:pPr>
            <w:r>
              <w:rPr>
                <w:rFonts w:ascii="宋体" w:hAnsi="宋体"/>
                <w:color w:val="000000" w:themeColor="text1"/>
                <w:spacing w:val="4"/>
                <w:szCs w:val="21"/>
                <w14:textFill>
                  <w14:solidFill>
                    <w14:schemeClr w14:val="tx1"/>
                  </w14:solidFill>
                </w14:textFill>
              </w:rPr>
              <w:t>废水、使用液、原油等可能落地处</w:t>
            </w:r>
          </w:p>
        </w:tc>
        <w:tc>
          <w:tcPr>
            <w:tcW w:w="400" w:type="pct"/>
            <w:gridSpan w:val="2"/>
            <w:tcBorders>
              <w:top w:val="single" w:color="auto" w:sz="4" w:space="0"/>
              <w:left w:val="single" w:color="auto" w:sz="4" w:space="0"/>
              <w:bottom w:val="single" w:color="auto" w:sz="4" w:space="0"/>
              <w:right w:val="single" w:color="auto" w:sz="4" w:space="0"/>
            </w:tcBorders>
            <w:vAlign w:val="center"/>
          </w:tcPr>
          <w:p w14:paraId="6E43B562">
            <w:pPr>
              <w:adjustRightInd w:val="0"/>
              <w:snapToGrid w:val="0"/>
              <w:spacing w:line="300" w:lineRule="exact"/>
              <w:jc w:val="center"/>
              <w:rPr>
                <w:rFonts w:hint="eastAsia" w:ascii="宋体" w:hAnsi="宋体"/>
                <w:color w:val="000000" w:themeColor="text1"/>
                <w:spacing w:val="4"/>
                <w:szCs w:val="21"/>
                <w14:textFill>
                  <w14:solidFill>
                    <w14:schemeClr w14:val="tx1"/>
                  </w14:solidFill>
                </w14:textFill>
              </w:rPr>
            </w:pPr>
            <w:r>
              <w:rPr>
                <w:rFonts w:ascii="宋体" w:hAnsi="宋体"/>
                <w:color w:val="000000" w:themeColor="text1"/>
                <w:spacing w:val="4"/>
                <w:szCs w:val="21"/>
                <w14:textFill>
                  <w14:solidFill>
                    <w14:schemeClr w14:val="tx1"/>
                  </w14:solidFill>
                </w14:textFill>
              </w:rPr>
              <w:t>5</w:t>
            </w:r>
          </w:p>
        </w:tc>
        <w:tc>
          <w:tcPr>
            <w:tcW w:w="462" w:type="pct"/>
            <w:gridSpan w:val="2"/>
            <w:tcBorders>
              <w:top w:val="single" w:color="auto" w:sz="4" w:space="0"/>
              <w:left w:val="single" w:color="auto" w:sz="4" w:space="0"/>
              <w:bottom w:val="single" w:color="auto" w:sz="4" w:space="0"/>
            </w:tcBorders>
            <w:vAlign w:val="center"/>
          </w:tcPr>
          <w:p w14:paraId="36925FCC">
            <w:pPr>
              <w:adjustRightInd w:val="0"/>
              <w:snapToGrid w:val="0"/>
              <w:spacing w:line="300" w:lineRule="exact"/>
              <w:jc w:val="center"/>
              <w:rPr>
                <w:rFonts w:hint="eastAsia" w:ascii="宋体" w:hAnsi="宋体"/>
                <w:color w:val="000000" w:themeColor="text1"/>
                <w:spacing w:val="4"/>
                <w:szCs w:val="21"/>
                <w14:textFill>
                  <w14:solidFill>
                    <w14:schemeClr w14:val="tx1"/>
                  </w14:solidFill>
                </w14:textFill>
              </w:rPr>
            </w:pPr>
            <w:r>
              <w:rPr>
                <w:rFonts w:ascii="宋体" w:hAnsi="宋体"/>
                <w:color w:val="000000" w:themeColor="text1"/>
                <w:spacing w:val="4"/>
                <w:szCs w:val="21"/>
                <w14:textFill>
                  <w14:solidFill>
                    <w14:schemeClr w14:val="tx1"/>
                  </w14:solidFill>
                </w14:textFill>
              </w:rPr>
              <w:t>5</w:t>
            </w:r>
          </w:p>
        </w:tc>
      </w:tr>
      <w:tr w14:paraId="5E8FC1DF">
        <w:tblPrEx>
          <w:tblCellMar>
            <w:top w:w="0" w:type="dxa"/>
            <w:left w:w="108" w:type="dxa"/>
            <w:bottom w:w="0" w:type="dxa"/>
            <w:right w:w="108" w:type="dxa"/>
          </w:tblCellMar>
        </w:tblPrEx>
        <w:trPr>
          <w:trHeight w:val="284" w:hRule="atLeast"/>
        </w:trPr>
        <w:tc>
          <w:tcPr>
            <w:tcW w:w="1333" w:type="pct"/>
            <w:gridSpan w:val="3"/>
            <w:vMerge w:val="continue"/>
            <w:tcBorders>
              <w:top w:val="single" w:color="auto" w:sz="4" w:space="0"/>
              <w:bottom w:val="single" w:color="auto" w:sz="4" w:space="0"/>
              <w:right w:val="single" w:color="auto" w:sz="4" w:space="0"/>
            </w:tcBorders>
            <w:vAlign w:val="center"/>
          </w:tcPr>
          <w:p w14:paraId="33594F70">
            <w:pPr>
              <w:widowControl/>
              <w:jc w:val="left"/>
              <w:rPr>
                <w:rFonts w:hint="eastAsia" w:ascii="宋体" w:hAnsi="宋体"/>
                <w:color w:val="000000" w:themeColor="text1"/>
                <w:spacing w:val="4"/>
                <w:szCs w:val="21"/>
                <w14:textFill>
                  <w14:solidFill>
                    <w14:schemeClr w14:val="tx1"/>
                  </w14:solidFill>
                </w14:textFill>
              </w:rPr>
            </w:pPr>
          </w:p>
        </w:tc>
        <w:tc>
          <w:tcPr>
            <w:tcW w:w="410" w:type="pct"/>
            <w:vMerge w:val="continue"/>
            <w:tcBorders>
              <w:top w:val="single" w:color="auto" w:sz="4" w:space="0"/>
              <w:left w:val="single" w:color="auto" w:sz="4" w:space="0"/>
              <w:bottom w:val="single" w:color="auto" w:sz="4" w:space="0"/>
              <w:right w:val="single" w:color="auto" w:sz="4" w:space="0"/>
            </w:tcBorders>
            <w:vAlign w:val="center"/>
          </w:tcPr>
          <w:p w14:paraId="04494199">
            <w:pPr>
              <w:widowControl/>
              <w:jc w:val="left"/>
              <w:rPr>
                <w:rFonts w:hint="eastAsia" w:ascii="宋体" w:hAnsi="宋体"/>
                <w:color w:val="000000" w:themeColor="text1"/>
                <w:spacing w:val="4"/>
                <w:szCs w:val="21"/>
                <w14:textFill>
                  <w14:solidFill>
                    <w14:schemeClr w14:val="tx1"/>
                  </w14:solidFill>
                </w14:textFill>
              </w:rPr>
            </w:pPr>
          </w:p>
        </w:tc>
        <w:tc>
          <w:tcPr>
            <w:tcW w:w="1095" w:type="pct"/>
            <w:gridSpan w:val="3"/>
            <w:tcBorders>
              <w:top w:val="single" w:color="auto" w:sz="4" w:space="0"/>
              <w:left w:val="single" w:color="auto" w:sz="4" w:space="0"/>
              <w:bottom w:val="single" w:color="auto" w:sz="4" w:space="0"/>
              <w:right w:val="single" w:color="auto" w:sz="4" w:space="0"/>
            </w:tcBorders>
            <w:vAlign w:val="center"/>
          </w:tcPr>
          <w:p w14:paraId="0966501F">
            <w:pPr>
              <w:adjustRightInd w:val="0"/>
              <w:snapToGrid w:val="0"/>
              <w:spacing w:line="300" w:lineRule="exact"/>
              <w:jc w:val="center"/>
              <w:rPr>
                <w:rFonts w:hint="eastAsia" w:ascii="宋体" w:hAnsi="宋体"/>
                <w:color w:val="000000" w:themeColor="text1"/>
                <w:spacing w:val="4"/>
                <w:szCs w:val="21"/>
                <w14:textFill>
                  <w14:solidFill>
                    <w14:schemeClr w14:val="tx1"/>
                  </w14:solidFill>
                </w14:textFill>
              </w:rPr>
            </w:pPr>
            <w:r>
              <w:rPr>
                <w:rFonts w:ascii="宋体" w:hAnsi="宋体"/>
                <w:color w:val="000000" w:themeColor="text1"/>
                <w:spacing w:val="4"/>
                <w:szCs w:val="21"/>
                <w14:textFill>
                  <w14:solidFill>
                    <w14:schemeClr w14:val="tx1"/>
                  </w14:solidFill>
                </w14:textFill>
              </w:rPr>
              <w:t>作业废液污染控制措施</w:t>
            </w:r>
          </w:p>
        </w:tc>
        <w:tc>
          <w:tcPr>
            <w:tcW w:w="1300" w:type="pct"/>
            <w:gridSpan w:val="2"/>
            <w:tcBorders>
              <w:top w:val="single" w:color="auto" w:sz="4" w:space="0"/>
              <w:left w:val="single" w:color="auto" w:sz="4" w:space="0"/>
              <w:bottom w:val="single" w:color="auto" w:sz="4" w:space="0"/>
              <w:right w:val="single" w:color="auto" w:sz="4" w:space="0"/>
            </w:tcBorders>
            <w:vAlign w:val="center"/>
          </w:tcPr>
          <w:p w14:paraId="351C57F4">
            <w:pPr>
              <w:adjustRightInd w:val="0"/>
              <w:snapToGrid w:val="0"/>
              <w:spacing w:line="300" w:lineRule="exact"/>
              <w:jc w:val="center"/>
              <w:rPr>
                <w:rFonts w:hint="eastAsia" w:ascii="宋体" w:hAnsi="宋体"/>
                <w:color w:val="000000" w:themeColor="text1"/>
                <w:spacing w:val="4"/>
                <w:szCs w:val="21"/>
                <w14:textFill>
                  <w14:solidFill>
                    <w14:schemeClr w14:val="tx1"/>
                  </w14:solidFill>
                </w14:textFill>
              </w:rPr>
            </w:pPr>
            <w:r>
              <w:rPr>
                <w:rFonts w:ascii="宋体" w:hAnsi="宋体"/>
                <w:color w:val="000000" w:themeColor="text1"/>
                <w:spacing w:val="4"/>
                <w:szCs w:val="21"/>
                <w14:textFill>
                  <w14:solidFill>
                    <w14:schemeClr w14:val="tx1"/>
                  </w14:solidFill>
                </w14:textFill>
              </w:rPr>
              <w:t>集中回收处理</w:t>
            </w:r>
          </w:p>
        </w:tc>
        <w:tc>
          <w:tcPr>
            <w:tcW w:w="400" w:type="pct"/>
            <w:gridSpan w:val="2"/>
            <w:tcBorders>
              <w:top w:val="single" w:color="auto" w:sz="4" w:space="0"/>
              <w:left w:val="single" w:color="auto" w:sz="4" w:space="0"/>
              <w:bottom w:val="single" w:color="auto" w:sz="4" w:space="0"/>
              <w:right w:val="single" w:color="auto" w:sz="4" w:space="0"/>
            </w:tcBorders>
            <w:vAlign w:val="center"/>
          </w:tcPr>
          <w:p w14:paraId="1B67094E">
            <w:pPr>
              <w:adjustRightInd w:val="0"/>
              <w:snapToGrid w:val="0"/>
              <w:spacing w:line="300" w:lineRule="exact"/>
              <w:jc w:val="center"/>
              <w:rPr>
                <w:rFonts w:hint="eastAsia" w:ascii="宋体" w:hAnsi="宋体"/>
                <w:color w:val="000000" w:themeColor="text1"/>
                <w:spacing w:val="4"/>
                <w:szCs w:val="21"/>
                <w14:textFill>
                  <w14:solidFill>
                    <w14:schemeClr w14:val="tx1"/>
                  </w14:solidFill>
                </w14:textFill>
              </w:rPr>
            </w:pPr>
            <w:r>
              <w:rPr>
                <w:rFonts w:ascii="宋体" w:hAnsi="宋体"/>
                <w:color w:val="000000" w:themeColor="text1"/>
                <w:spacing w:val="4"/>
                <w:szCs w:val="21"/>
                <w14:textFill>
                  <w14:solidFill>
                    <w14:schemeClr w14:val="tx1"/>
                  </w14:solidFill>
                </w14:textFill>
              </w:rPr>
              <w:t>10</w:t>
            </w:r>
          </w:p>
        </w:tc>
        <w:tc>
          <w:tcPr>
            <w:tcW w:w="462" w:type="pct"/>
            <w:gridSpan w:val="2"/>
            <w:tcBorders>
              <w:top w:val="single" w:color="auto" w:sz="4" w:space="0"/>
              <w:left w:val="single" w:color="auto" w:sz="4" w:space="0"/>
              <w:bottom w:val="single" w:color="auto" w:sz="4" w:space="0"/>
            </w:tcBorders>
            <w:vAlign w:val="center"/>
          </w:tcPr>
          <w:p w14:paraId="5ADCAAC2">
            <w:pPr>
              <w:adjustRightInd w:val="0"/>
              <w:snapToGrid w:val="0"/>
              <w:spacing w:line="300" w:lineRule="exact"/>
              <w:jc w:val="center"/>
              <w:rPr>
                <w:rFonts w:hint="eastAsia" w:ascii="宋体" w:hAnsi="宋体"/>
                <w:color w:val="000000" w:themeColor="text1"/>
                <w:spacing w:val="4"/>
                <w:szCs w:val="21"/>
                <w14:textFill>
                  <w14:solidFill>
                    <w14:schemeClr w14:val="tx1"/>
                  </w14:solidFill>
                </w14:textFill>
              </w:rPr>
            </w:pPr>
            <w:r>
              <w:rPr>
                <w:rFonts w:ascii="宋体" w:hAnsi="宋体"/>
                <w:color w:val="000000" w:themeColor="text1"/>
                <w:spacing w:val="4"/>
                <w:szCs w:val="21"/>
                <w14:textFill>
                  <w14:solidFill>
                    <w14:schemeClr w14:val="tx1"/>
                  </w14:solidFill>
                </w14:textFill>
              </w:rPr>
              <w:t>10</w:t>
            </w:r>
          </w:p>
        </w:tc>
      </w:tr>
      <w:tr w14:paraId="1B02A5DB">
        <w:tblPrEx>
          <w:tblCellMar>
            <w:top w:w="0" w:type="dxa"/>
            <w:left w:w="108" w:type="dxa"/>
            <w:bottom w:w="0" w:type="dxa"/>
            <w:right w:w="108" w:type="dxa"/>
          </w:tblCellMar>
        </w:tblPrEx>
        <w:trPr>
          <w:trHeight w:val="284" w:hRule="atLeast"/>
        </w:trPr>
        <w:tc>
          <w:tcPr>
            <w:tcW w:w="1333" w:type="pct"/>
            <w:gridSpan w:val="3"/>
            <w:vMerge w:val="continue"/>
            <w:tcBorders>
              <w:top w:val="single" w:color="auto" w:sz="4" w:space="0"/>
              <w:bottom w:val="single" w:color="auto" w:sz="4" w:space="0"/>
              <w:right w:val="single" w:color="auto" w:sz="4" w:space="0"/>
            </w:tcBorders>
            <w:vAlign w:val="center"/>
          </w:tcPr>
          <w:p w14:paraId="4C0D6958">
            <w:pPr>
              <w:widowControl/>
              <w:jc w:val="left"/>
              <w:rPr>
                <w:rFonts w:hint="eastAsia" w:ascii="宋体" w:hAnsi="宋体"/>
                <w:color w:val="000000" w:themeColor="text1"/>
                <w:spacing w:val="4"/>
                <w:szCs w:val="21"/>
                <w14:textFill>
                  <w14:solidFill>
                    <w14:schemeClr w14:val="tx1"/>
                  </w14:solidFill>
                </w14:textFill>
              </w:rPr>
            </w:pPr>
          </w:p>
        </w:tc>
        <w:tc>
          <w:tcPr>
            <w:tcW w:w="410" w:type="pct"/>
            <w:vMerge w:val="continue"/>
            <w:tcBorders>
              <w:top w:val="single" w:color="auto" w:sz="4" w:space="0"/>
              <w:left w:val="single" w:color="auto" w:sz="4" w:space="0"/>
              <w:bottom w:val="single" w:color="auto" w:sz="4" w:space="0"/>
              <w:right w:val="single" w:color="auto" w:sz="4" w:space="0"/>
            </w:tcBorders>
            <w:vAlign w:val="center"/>
          </w:tcPr>
          <w:p w14:paraId="398F2CEF">
            <w:pPr>
              <w:widowControl/>
              <w:jc w:val="left"/>
              <w:rPr>
                <w:rFonts w:hint="eastAsia" w:ascii="宋体" w:hAnsi="宋体"/>
                <w:color w:val="000000" w:themeColor="text1"/>
                <w:spacing w:val="4"/>
                <w:szCs w:val="21"/>
                <w14:textFill>
                  <w14:solidFill>
                    <w14:schemeClr w14:val="tx1"/>
                  </w14:solidFill>
                </w14:textFill>
              </w:rPr>
            </w:pPr>
          </w:p>
        </w:tc>
        <w:tc>
          <w:tcPr>
            <w:tcW w:w="1095" w:type="pct"/>
            <w:gridSpan w:val="3"/>
            <w:tcBorders>
              <w:top w:val="single" w:color="auto" w:sz="4" w:space="0"/>
              <w:left w:val="single" w:color="auto" w:sz="4" w:space="0"/>
              <w:bottom w:val="single" w:color="auto" w:sz="4" w:space="0"/>
              <w:right w:val="single" w:color="auto" w:sz="4" w:space="0"/>
            </w:tcBorders>
            <w:vAlign w:val="center"/>
          </w:tcPr>
          <w:p w14:paraId="44BBB01B">
            <w:pPr>
              <w:adjustRightInd w:val="0"/>
              <w:snapToGrid w:val="0"/>
              <w:spacing w:line="300" w:lineRule="exact"/>
              <w:jc w:val="center"/>
              <w:rPr>
                <w:rFonts w:hint="eastAsia" w:ascii="宋体" w:hAnsi="宋体"/>
                <w:color w:val="000000" w:themeColor="text1"/>
                <w:spacing w:val="4"/>
                <w:szCs w:val="21"/>
                <w14:textFill>
                  <w14:solidFill>
                    <w14:schemeClr w14:val="tx1"/>
                  </w14:solidFill>
                </w14:textFill>
              </w:rPr>
            </w:pPr>
            <w:r>
              <w:rPr>
                <w:rFonts w:ascii="宋体" w:hAnsi="宋体"/>
                <w:color w:val="000000" w:themeColor="text1"/>
                <w:spacing w:val="4"/>
                <w:szCs w:val="21"/>
                <w14:textFill>
                  <w14:solidFill>
                    <w14:schemeClr w14:val="tx1"/>
                  </w14:solidFill>
                </w14:textFill>
              </w:rPr>
              <w:t>防止落地原油产生措施</w:t>
            </w:r>
          </w:p>
        </w:tc>
        <w:tc>
          <w:tcPr>
            <w:tcW w:w="1300" w:type="pct"/>
            <w:gridSpan w:val="2"/>
            <w:tcBorders>
              <w:top w:val="single" w:color="auto" w:sz="4" w:space="0"/>
              <w:left w:val="single" w:color="auto" w:sz="4" w:space="0"/>
              <w:bottom w:val="single" w:color="auto" w:sz="4" w:space="0"/>
              <w:right w:val="single" w:color="auto" w:sz="4" w:space="0"/>
            </w:tcBorders>
            <w:vAlign w:val="center"/>
          </w:tcPr>
          <w:p w14:paraId="6F5FC922">
            <w:pPr>
              <w:adjustRightInd w:val="0"/>
              <w:snapToGrid w:val="0"/>
              <w:spacing w:line="300" w:lineRule="exact"/>
              <w:jc w:val="center"/>
              <w:rPr>
                <w:rFonts w:hint="eastAsia" w:ascii="宋体" w:hAnsi="宋体"/>
                <w:color w:val="000000" w:themeColor="text1"/>
                <w:spacing w:val="4"/>
                <w:szCs w:val="21"/>
                <w14:textFill>
                  <w14:solidFill>
                    <w14:schemeClr w14:val="tx1"/>
                  </w14:solidFill>
                </w14:textFill>
              </w:rPr>
            </w:pPr>
            <w:r>
              <w:rPr>
                <w:rFonts w:ascii="宋体" w:hAnsi="宋体"/>
                <w:color w:val="000000" w:themeColor="text1"/>
                <w:spacing w:val="4"/>
                <w:szCs w:val="21"/>
                <w14:textFill>
                  <w14:solidFill>
                    <w14:schemeClr w14:val="tx1"/>
                  </w14:solidFill>
                </w14:textFill>
              </w:rPr>
              <w:t>具备原油回收设施</w:t>
            </w:r>
          </w:p>
        </w:tc>
        <w:tc>
          <w:tcPr>
            <w:tcW w:w="400" w:type="pct"/>
            <w:gridSpan w:val="2"/>
            <w:tcBorders>
              <w:top w:val="single" w:color="auto" w:sz="4" w:space="0"/>
              <w:left w:val="single" w:color="auto" w:sz="4" w:space="0"/>
              <w:bottom w:val="single" w:color="auto" w:sz="4" w:space="0"/>
              <w:right w:val="single" w:color="auto" w:sz="4" w:space="0"/>
            </w:tcBorders>
            <w:vAlign w:val="center"/>
          </w:tcPr>
          <w:p w14:paraId="48B40893">
            <w:pPr>
              <w:adjustRightInd w:val="0"/>
              <w:snapToGrid w:val="0"/>
              <w:spacing w:line="300" w:lineRule="exact"/>
              <w:jc w:val="center"/>
              <w:rPr>
                <w:rFonts w:hint="eastAsia" w:ascii="宋体" w:hAnsi="宋体"/>
                <w:color w:val="000000" w:themeColor="text1"/>
                <w:spacing w:val="4"/>
                <w:szCs w:val="21"/>
                <w14:textFill>
                  <w14:solidFill>
                    <w14:schemeClr w14:val="tx1"/>
                  </w14:solidFill>
                </w14:textFill>
              </w:rPr>
            </w:pPr>
            <w:r>
              <w:rPr>
                <w:rFonts w:ascii="宋体" w:hAnsi="宋体"/>
                <w:color w:val="000000" w:themeColor="text1"/>
                <w:spacing w:val="4"/>
                <w:szCs w:val="21"/>
                <w14:textFill>
                  <w14:solidFill>
                    <w14:schemeClr w14:val="tx1"/>
                  </w14:solidFill>
                </w14:textFill>
              </w:rPr>
              <w:t>10</w:t>
            </w:r>
          </w:p>
        </w:tc>
        <w:tc>
          <w:tcPr>
            <w:tcW w:w="462" w:type="pct"/>
            <w:gridSpan w:val="2"/>
            <w:tcBorders>
              <w:top w:val="single" w:color="auto" w:sz="4" w:space="0"/>
              <w:left w:val="single" w:color="auto" w:sz="4" w:space="0"/>
              <w:bottom w:val="single" w:color="auto" w:sz="4" w:space="0"/>
            </w:tcBorders>
            <w:vAlign w:val="center"/>
          </w:tcPr>
          <w:p w14:paraId="3DB9C68B">
            <w:pPr>
              <w:adjustRightInd w:val="0"/>
              <w:snapToGrid w:val="0"/>
              <w:spacing w:line="300" w:lineRule="exact"/>
              <w:jc w:val="center"/>
              <w:rPr>
                <w:rFonts w:hint="eastAsia" w:ascii="宋体" w:hAnsi="宋体"/>
                <w:color w:val="000000" w:themeColor="text1"/>
                <w:spacing w:val="4"/>
                <w:szCs w:val="21"/>
                <w14:textFill>
                  <w14:solidFill>
                    <w14:schemeClr w14:val="tx1"/>
                  </w14:solidFill>
                </w14:textFill>
              </w:rPr>
            </w:pPr>
            <w:r>
              <w:rPr>
                <w:rFonts w:ascii="宋体" w:hAnsi="宋体"/>
                <w:color w:val="000000" w:themeColor="text1"/>
                <w:spacing w:val="4"/>
                <w:szCs w:val="21"/>
                <w14:textFill>
                  <w14:solidFill>
                    <w14:schemeClr w14:val="tx1"/>
                  </w14:solidFill>
                </w14:textFill>
              </w:rPr>
              <w:t>10</w:t>
            </w:r>
          </w:p>
        </w:tc>
      </w:tr>
      <w:tr w14:paraId="2C5CCA06">
        <w:tblPrEx>
          <w:tblCellMar>
            <w:top w:w="0" w:type="dxa"/>
            <w:left w:w="108" w:type="dxa"/>
            <w:bottom w:w="0" w:type="dxa"/>
            <w:right w:w="108" w:type="dxa"/>
          </w:tblCellMar>
        </w:tblPrEx>
        <w:trPr>
          <w:trHeight w:val="284" w:hRule="atLeast"/>
        </w:trPr>
        <w:tc>
          <w:tcPr>
            <w:tcW w:w="1333" w:type="pct"/>
            <w:gridSpan w:val="3"/>
            <w:vMerge w:val="restart"/>
            <w:tcBorders>
              <w:top w:val="single" w:color="auto" w:sz="4" w:space="0"/>
              <w:bottom w:val="single" w:color="auto" w:sz="4" w:space="0"/>
              <w:right w:val="single" w:color="auto" w:sz="4" w:space="0"/>
            </w:tcBorders>
            <w:vAlign w:val="center"/>
          </w:tcPr>
          <w:p w14:paraId="4FA1707D">
            <w:pPr>
              <w:adjustRightInd w:val="0"/>
              <w:snapToGrid w:val="0"/>
              <w:spacing w:line="300" w:lineRule="exact"/>
              <w:jc w:val="center"/>
              <w:rPr>
                <w:rFonts w:hint="eastAsia" w:ascii="宋体" w:hAnsi="宋体"/>
                <w:color w:val="000000" w:themeColor="text1"/>
                <w:spacing w:val="4"/>
                <w:szCs w:val="21"/>
                <w14:textFill>
                  <w14:solidFill>
                    <w14:schemeClr w14:val="tx1"/>
                  </w14:solidFill>
                </w14:textFill>
              </w:rPr>
            </w:pPr>
            <w:r>
              <w:rPr>
                <w:rFonts w:ascii="宋体" w:hAnsi="宋体"/>
                <w:color w:val="000000" w:themeColor="text1"/>
                <w:spacing w:val="4"/>
                <w:szCs w:val="21"/>
                <w14:textFill>
                  <w14:solidFill>
                    <w14:schemeClr w14:val="tx1"/>
                  </w14:solidFill>
                </w14:textFill>
              </w:rPr>
              <w:t>（2）管理体系建设及清洁生产审核</w:t>
            </w:r>
          </w:p>
        </w:tc>
        <w:tc>
          <w:tcPr>
            <w:tcW w:w="410" w:type="pct"/>
            <w:vMerge w:val="restart"/>
            <w:tcBorders>
              <w:top w:val="single" w:color="auto" w:sz="4" w:space="0"/>
              <w:left w:val="single" w:color="auto" w:sz="4" w:space="0"/>
              <w:bottom w:val="single" w:color="auto" w:sz="4" w:space="0"/>
              <w:right w:val="single" w:color="auto" w:sz="4" w:space="0"/>
            </w:tcBorders>
            <w:vAlign w:val="center"/>
          </w:tcPr>
          <w:p w14:paraId="7F655282">
            <w:pPr>
              <w:adjustRightInd w:val="0"/>
              <w:snapToGrid w:val="0"/>
              <w:spacing w:line="300" w:lineRule="exact"/>
              <w:jc w:val="center"/>
              <w:rPr>
                <w:rFonts w:hint="eastAsia" w:ascii="宋体" w:hAnsi="宋体"/>
                <w:color w:val="000000" w:themeColor="text1"/>
                <w:spacing w:val="4"/>
                <w:szCs w:val="21"/>
                <w14:textFill>
                  <w14:solidFill>
                    <w14:schemeClr w14:val="tx1"/>
                  </w14:solidFill>
                </w14:textFill>
              </w:rPr>
            </w:pPr>
            <w:r>
              <w:rPr>
                <w:rFonts w:ascii="宋体" w:hAnsi="宋体"/>
                <w:color w:val="000000" w:themeColor="text1"/>
                <w:spacing w:val="4"/>
                <w:szCs w:val="21"/>
                <w14:textFill>
                  <w14:solidFill>
                    <w14:schemeClr w14:val="tx1"/>
                  </w14:solidFill>
                </w14:textFill>
              </w:rPr>
              <w:t>40</w:t>
            </w:r>
          </w:p>
        </w:tc>
        <w:tc>
          <w:tcPr>
            <w:tcW w:w="2395" w:type="pct"/>
            <w:gridSpan w:val="5"/>
            <w:tcBorders>
              <w:top w:val="single" w:color="auto" w:sz="4" w:space="0"/>
              <w:left w:val="single" w:color="auto" w:sz="4" w:space="0"/>
              <w:bottom w:val="single" w:color="auto" w:sz="4" w:space="0"/>
              <w:right w:val="single" w:color="auto" w:sz="4" w:space="0"/>
            </w:tcBorders>
            <w:vAlign w:val="center"/>
          </w:tcPr>
          <w:p w14:paraId="6D1B4307">
            <w:pPr>
              <w:adjustRightInd w:val="0"/>
              <w:snapToGrid w:val="0"/>
              <w:spacing w:line="300" w:lineRule="exact"/>
              <w:jc w:val="center"/>
              <w:rPr>
                <w:rFonts w:hint="eastAsia" w:ascii="宋体" w:hAnsi="宋体"/>
                <w:color w:val="000000" w:themeColor="text1"/>
                <w:spacing w:val="4"/>
                <w:szCs w:val="21"/>
                <w14:textFill>
                  <w14:solidFill>
                    <w14:schemeClr w14:val="tx1"/>
                  </w14:solidFill>
                </w14:textFill>
              </w:rPr>
            </w:pPr>
            <w:r>
              <w:rPr>
                <w:rFonts w:ascii="宋体" w:hAnsi="宋体"/>
                <w:color w:val="000000" w:themeColor="text1"/>
                <w:spacing w:val="4"/>
                <w:szCs w:val="21"/>
                <w14:textFill>
                  <w14:solidFill>
                    <w14:schemeClr w14:val="tx1"/>
                  </w14:solidFill>
                </w14:textFill>
              </w:rPr>
              <w:t>建立HSE管理体系并通过验证</w:t>
            </w:r>
          </w:p>
        </w:tc>
        <w:tc>
          <w:tcPr>
            <w:tcW w:w="400" w:type="pct"/>
            <w:gridSpan w:val="2"/>
            <w:tcBorders>
              <w:top w:val="single" w:color="auto" w:sz="4" w:space="0"/>
              <w:left w:val="single" w:color="auto" w:sz="4" w:space="0"/>
              <w:bottom w:val="single" w:color="auto" w:sz="4" w:space="0"/>
              <w:right w:val="single" w:color="auto" w:sz="4" w:space="0"/>
            </w:tcBorders>
            <w:vAlign w:val="center"/>
          </w:tcPr>
          <w:p w14:paraId="49E762D9">
            <w:pPr>
              <w:adjustRightInd w:val="0"/>
              <w:snapToGrid w:val="0"/>
              <w:spacing w:line="300" w:lineRule="exact"/>
              <w:jc w:val="center"/>
              <w:rPr>
                <w:rFonts w:hint="eastAsia" w:ascii="宋体" w:hAnsi="宋体"/>
                <w:color w:val="000000" w:themeColor="text1"/>
                <w:spacing w:val="4"/>
                <w:szCs w:val="21"/>
                <w14:textFill>
                  <w14:solidFill>
                    <w14:schemeClr w14:val="tx1"/>
                  </w14:solidFill>
                </w14:textFill>
              </w:rPr>
            </w:pPr>
            <w:r>
              <w:rPr>
                <w:rFonts w:ascii="宋体" w:hAnsi="宋体"/>
                <w:color w:val="000000" w:themeColor="text1"/>
                <w:spacing w:val="4"/>
                <w:szCs w:val="21"/>
                <w14:textFill>
                  <w14:solidFill>
                    <w14:schemeClr w14:val="tx1"/>
                  </w14:solidFill>
                </w14:textFill>
              </w:rPr>
              <w:t>15</w:t>
            </w:r>
          </w:p>
        </w:tc>
        <w:tc>
          <w:tcPr>
            <w:tcW w:w="462" w:type="pct"/>
            <w:gridSpan w:val="2"/>
            <w:tcBorders>
              <w:top w:val="single" w:color="auto" w:sz="4" w:space="0"/>
              <w:left w:val="single" w:color="auto" w:sz="4" w:space="0"/>
              <w:bottom w:val="single" w:color="auto" w:sz="4" w:space="0"/>
            </w:tcBorders>
            <w:vAlign w:val="center"/>
          </w:tcPr>
          <w:p w14:paraId="4CC7E9AF">
            <w:pPr>
              <w:adjustRightInd w:val="0"/>
              <w:snapToGrid w:val="0"/>
              <w:spacing w:line="300" w:lineRule="exact"/>
              <w:jc w:val="center"/>
              <w:rPr>
                <w:rFonts w:hint="eastAsia" w:ascii="宋体" w:hAnsi="宋体"/>
                <w:color w:val="000000" w:themeColor="text1"/>
                <w:spacing w:val="4"/>
                <w:szCs w:val="21"/>
                <w14:textFill>
                  <w14:solidFill>
                    <w14:schemeClr w14:val="tx1"/>
                  </w14:solidFill>
                </w14:textFill>
              </w:rPr>
            </w:pPr>
            <w:r>
              <w:rPr>
                <w:rFonts w:ascii="宋体" w:hAnsi="宋体"/>
                <w:color w:val="000000" w:themeColor="text1"/>
                <w:spacing w:val="4"/>
                <w:szCs w:val="21"/>
                <w14:textFill>
                  <w14:solidFill>
                    <w14:schemeClr w14:val="tx1"/>
                  </w14:solidFill>
                </w14:textFill>
              </w:rPr>
              <w:t>15</w:t>
            </w:r>
          </w:p>
        </w:tc>
      </w:tr>
      <w:tr w14:paraId="1D480732">
        <w:tblPrEx>
          <w:tblCellMar>
            <w:top w:w="0" w:type="dxa"/>
            <w:left w:w="108" w:type="dxa"/>
            <w:bottom w:w="0" w:type="dxa"/>
            <w:right w:w="108" w:type="dxa"/>
          </w:tblCellMar>
        </w:tblPrEx>
        <w:trPr>
          <w:trHeight w:val="284" w:hRule="atLeast"/>
        </w:trPr>
        <w:tc>
          <w:tcPr>
            <w:tcW w:w="1333" w:type="pct"/>
            <w:gridSpan w:val="3"/>
            <w:vMerge w:val="continue"/>
            <w:tcBorders>
              <w:top w:val="single" w:color="auto" w:sz="4" w:space="0"/>
              <w:bottom w:val="single" w:color="auto" w:sz="4" w:space="0"/>
              <w:right w:val="single" w:color="auto" w:sz="4" w:space="0"/>
            </w:tcBorders>
            <w:vAlign w:val="center"/>
          </w:tcPr>
          <w:p w14:paraId="7EBF0DC9">
            <w:pPr>
              <w:widowControl/>
              <w:jc w:val="left"/>
              <w:rPr>
                <w:rFonts w:hint="eastAsia" w:ascii="宋体" w:hAnsi="宋体"/>
                <w:color w:val="000000" w:themeColor="text1"/>
                <w:spacing w:val="4"/>
                <w:szCs w:val="21"/>
                <w14:textFill>
                  <w14:solidFill>
                    <w14:schemeClr w14:val="tx1"/>
                  </w14:solidFill>
                </w14:textFill>
              </w:rPr>
            </w:pPr>
          </w:p>
        </w:tc>
        <w:tc>
          <w:tcPr>
            <w:tcW w:w="410" w:type="pct"/>
            <w:vMerge w:val="continue"/>
            <w:tcBorders>
              <w:top w:val="single" w:color="auto" w:sz="4" w:space="0"/>
              <w:left w:val="single" w:color="auto" w:sz="4" w:space="0"/>
              <w:bottom w:val="single" w:color="auto" w:sz="4" w:space="0"/>
              <w:right w:val="single" w:color="auto" w:sz="4" w:space="0"/>
            </w:tcBorders>
            <w:vAlign w:val="center"/>
          </w:tcPr>
          <w:p w14:paraId="0280CE69">
            <w:pPr>
              <w:widowControl/>
              <w:jc w:val="left"/>
              <w:rPr>
                <w:rFonts w:hint="eastAsia" w:ascii="宋体" w:hAnsi="宋体"/>
                <w:color w:val="000000" w:themeColor="text1"/>
                <w:spacing w:val="4"/>
                <w:szCs w:val="21"/>
                <w14:textFill>
                  <w14:solidFill>
                    <w14:schemeClr w14:val="tx1"/>
                  </w14:solidFill>
                </w14:textFill>
              </w:rPr>
            </w:pPr>
          </w:p>
        </w:tc>
        <w:tc>
          <w:tcPr>
            <w:tcW w:w="2395" w:type="pct"/>
            <w:gridSpan w:val="5"/>
            <w:tcBorders>
              <w:top w:val="single" w:color="auto" w:sz="4" w:space="0"/>
              <w:left w:val="single" w:color="auto" w:sz="4" w:space="0"/>
              <w:bottom w:val="single" w:color="auto" w:sz="4" w:space="0"/>
              <w:right w:val="single" w:color="auto" w:sz="4" w:space="0"/>
            </w:tcBorders>
            <w:vAlign w:val="center"/>
          </w:tcPr>
          <w:p w14:paraId="227B4553">
            <w:pPr>
              <w:adjustRightInd w:val="0"/>
              <w:snapToGrid w:val="0"/>
              <w:spacing w:line="300" w:lineRule="exact"/>
              <w:jc w:val="center"/>
              <w:rPr>
                <w:rFonts w:hint="eastAsia" w:ascii="宋体" w:hAnsi="宋体"/>
                <w:color w:val="000000" w:themeColor="text1"/>
                <w:spacing w:val="4"/>
                <w:szCs w:val="21"/>
                <w14:textFill>
                  <w14:solidFill>
                    <w14:schemeClr w14:val="tx1"/>
                  </w14:solidFill>
                </w14:textFill>
              </w:rPr>
            </w:pPr>
            <w:r>
              <w:rPr>
                <w:rFonts w:ascii="宋体" w:hAnsi="宋体"/>
                <w:color w:val="000000" w:themeColor="text1"/>
                <w:spacing w:val="4"/>
                <w:szCs w:val="21"/>
                <w14:textFill>
                  <w14:solidFill>
                    <w14:schemeClr w14:val="tx1"/>
                  </w14:solidFill>
                </w14:textFill>
              </w:rPr>
              <w:t>开展清洁生产审核</w:t>
            </w:r>
          </w:p>
        </w:tc>
        <w:tc>
          <w:tcPr>
            <w:tcW w:w="400" w:type="pct"/>
            <w:gridSpan w:val="2"/>
            <w:tcBorders>
              <w:top w:val="single" w:color="auto" w:sz="4" w:space="0"/>
              <w:left w:val="single" w:color="auto" w:sz="4" w:space="0"/>
              <w:bottom w:val="single" w:color="auto" w:sz="4" w:space="0"/>
              <w:right w:val="single" w:color="auto" w:sz="4" w:space="0"/>
            </w:tcBorders>
            <w:vAlign w:val="center"/>
          </w:tcPr>
          <w:p w14:paraId="6E1F36F3">
            <w:pPr>
              <w:adjustRightInd w:val="0"/>
              <w:snapToGrid w:val="0"/>
              <w:spacing w:line="300" w:lineRule="exact"/>
              <w:jc w:val="center"/>
              <w:rPr>
                <w:rFonts w:hint="eastAsia" w:ascii="宋体" w:hAnsi="宋体"/>
                <w:color w:val="000000" w:themeColor="text1"/>
                <w:spacing w:val="4"/>
                <w:szCs w:val="21"/>
                <w14:textFill>
                  <w14:solidFill>
                    <w14:schemeClr w14:val="tx1"/>
                  </w14:solidFill>
                </w14:textFill>
              </w:rPr>
            </w:pPr>
            <w:r>
              <w:rPr>
                <w:rFonts w:ascii="宋体" w:hAnsi="宋体"/>
                <w:color w:val="000000" w:themeColor="text1"/>
                <w:spacing w:val="4"/>
                <w:szCs w:val="21"/>
                <w14:textFill>
                  <w14:solidFill>
                    <w14:schemeClr w14:val="tx1"/>
                  </w14:solidFill>
                </w14:textFill>
              </w:rPr>
              <w:t>20</w:t>
            </w:r>
          </w:p>
        </w:tc>
        <w:tc>
          <w:tcPr>
            <w:tcW w:w="462" w:type="pct"/>
            <w:gridSpan w:val="2"/>
            <w:tcBorders>
              <w:top w:val="single" w:color="auto" w:sz="4" w:space="0"/>
              <w:left w:val="single" w:color="auto" w:sz="4" w:space="0"/>
              <w:bottom w:val="single" w:color="auto" w:sz="4" w:space="0"/>
            </w:tcBorders>
            <w:vAlign w:val="center"/>
          </w:tcPr>
          <w:p w14:paraId="3E8C0928">
            <w:pPr>
              <w:adjustRightInd w:val="0"/>
              <w:snapToGrid w:val="0"/>
              <w:spacing w:line="300" w:lineRule="exact"/>
              <w:jc w:val="center"/>
              <w:rPr>
                <w:rFonts w:hint="eastAsia" w:ascii="宋体" w:hAnsi="宋体"/>
                <w:color w:val="000000" w:themeColor="text1"/>
                <w:spacing w:val="4"/>
                <w:szCs w:val="21"/>
                <w14:textFill>
                  <w14:solidFill>
                    <w14:schemeClr w14:val="tx1"/>
                  </w14:solidFill>
                </w14:textFill>
              </w:rPr>
            </w:pPr>
            <w:r>
              <w:rPr>
                <w:rFonts w:hint="eastAsia" w:ascii="宋体" w:hAnsi="宋体"/>
                <w:color w:val="000000" w:themeColor="text1"/>
                <w:spacing w:val="4"/>
                <w:szCs w:val="21"/>
                <w14:textFill>
                  <w14:solidFill>
                    <w14:schemeClr w14:val="tx1"/>
                  </w14:solidFill>
                </w14:textFill>
              </w:rPr>
              <w:t>20</w:t>
            </w:r>
          </w:p>
        </w:tc>
      </w:tr>
      <w:tr w14:paraId="49643902">
        <w:tblPrEx>
          <w:tblCellMar>
            <w:top w:w="0" w:type="dxa"/>
            <w:left w:w="108" w:type="dxa"/>
            <w:bottom w:w="0" w:type="dxa"/>
            <w:right w:w="108" w:type="dxa"/>
          </w:tblCellMar>
        </w:tblPrEx>
        <w:trPr>
          <w:trHeight w:val="284" w:hRule="atLeast"/>
        </w:trPr>
        <w:tc>
          <w:tcPr>
            <w:tcW w:w="1333" w:type="pct"/>
            <w:gridSpan w:val="3"/>
            <w:vMerge w:val="continue"/>
            <w:tcBorders>
              <w:top w:val="single" w:color="auto" w:sz="4" w:space="0"/>
              <w:bottom w:val="single" w:color="auto" w:sz="4" w:space="0"/>
              <w:right w:val="single" w:color="auto" w:sz="4" w:space="0"/>
            </w:tcBorders>
            <w:vAlign w:val="center"/>
          </w:tcPr>
          <w:p w14:paraId="6F48BD76">
            <w:pPr>
              <w:widowControl/>
              <w:jc w:val="left"/>
              <w:rPr>
                <w:rFonts w:hint="eastAsia" w:ascii="宋体" w:hAnsi="宋体"/>
                <w:color w:val="000000" w:themeColor="text1"/>
                <w:spacing w:val="4"/>
                <w:szCs w:val="21"/>
                <w14:textFill>
                  <w14:solidFill>
                    <w14:schemeClr w14:val="tx1"/>
                  </w14:solidFill>
                </w14:textFill>
              </w:rPr>
            </w:pPr>
          </w:p>
        </w:tc>
        <w:tc>
          <w:tcPr>
            <w:tcW w:w="410" w:type="pct"/>
            <w:vMerge w:val="continue"/>
            <w:tcBorders>
              <w:top w:val="single" w:color="auto" w:sz="4" w:space="0"/>
              <w:left w:val="single" w:color="auto" w:sz="4" w:space="0"/>
              <w:bottom w:val="single" w:color="auto" w:sz="4" w:space="0"/>
              <w:right w:val="single" w:color="auto" w:sz="4" w:space="0"/>
            </w:tcBorders>
            <w:vAlign w:val="center"/>
          </w:tcPr>
          <w:p w14:paraId="54994FD4">
            <w:pPr>
              <w:widowControl/>
              <w:jc w:val="left"/>
              <w:rPr>
                <w:rFonts w:hint="eastAsia" w:ascii="宋体" w:hAnsi="宋体"/>
                <w:color w:val="000000" w:themeColor="text1"/>
                <w:spacing w:val="4"/>
                <w:szCs w:val="21"/>
                <w14:textFill>
                  <w14:solidFill>
                    <w14:schemeClr w14:val="tx1"/>
                  </w14:solidFill>
                </w14:textFill>
              </w:rPr>
            </w:pPr>
          </w:p>
        </w:tc>
        <w:tc>
          <w:tcPr>
            <w:tcW w:w="2395" w:type="pct"/>
            <w:gridSpan w:val="5"/>
            <w:tcBorders>
              <w:top w:val="single" w:color="auto" w:sz="4" w:space="0"/>
              <w:left w:val="single" w:color="auto" w:sz="4" w:space="0"/>
              <w:bottom w:val="single" w:color="auto" w:sz="4" w:space="0"/>
              <w:right w:val="single" w:color="auto" w:sz="4" w:space="0"/>
            </w:tcBorders>
            <w:vAlign w:val="center"/>
          </w:tcPr>
          <w:p w14:paraId="18984A84">
            <w:pPr>
              <w:adjustRightInd w:val="0"/>
              <w:snapToGrid w:val="0"/>
              <w:spacing w:line="300" w:lineRule="exact"/>
              <w:jc w:val="center"/>
              <w:rPr>
                <w:rFonts w:hint="eastAsia" w:ascii="宋体" w:hAnsi="宋体"/>
                <w:color w:val="000000" w:themeColor="text1"/>
                <w:spacing w:val="4"/>
                <w:szCs w:val="21"/>
                <w14:textFill>
                  <w14:solidFill>
                    <w14:schemeClr w14:val="tx1"/>
                  </w14:solidFill>
                </w14:textFill>
              </w:rPr>
            </w:pPr>
            <w:r>
              <w:rPr>
                <w:rFonts w:ascii="宋体" w:hAnsi="宋体"/>
                <w:color w:val="000000" w:themeColor="text1"/>
                <w:spacing w:val="4"/>
                <w:szCs w:val="21"/>
                <w14:textFill>
                  <w14:solidFill>
                    <w14:schemeClr w14:val="tx1"/>
                  </w14:solidFill>
                </w14:textFill>
              </w:rPr>
              <w:t>制定节能减排工作计划</w:t>
            </w:r>
          </w:p>
        </w:tc>
        <w:tc>
          <w:tcPr>
            <w:tcW w:w="400" w:type="pct"/>
            <w:gridSpan w:val="2"/>
            <w:tcBorders>
              <w:top w:val="single" w:color="auto" w:sz="4" w:space="0"/>
              <w:left w:val="single" w:color="auto" w:sz="4" w:space="0"/>
              <w:bottom w:val="single" w:color="auto" w:sz="4" w:space="0"/>
              <w:right w:val="single" w:color="auto" w:sz="4" w:space="0"/>
            </w:tcBorders>
            <w:vAlign w:val="center"/>
          </w:tcPr>
          <w:p w14:paraId="256F5CE8">
            <w:pPr>
              <w:adjustRightInd w:val="0"/>
              <w:snapToGrid w:val="0"/>
              <w:spacing w:line="300" w:lineRule="exact"/>
              <w:jc w:val="center"/>
              <w:rPr>
                <w:rFonts w:hint="eastAsia" w:ascii="宋体" w:hAnsi="宋体"/>
                <w:color w:val="000000" w:themeColor="text1"/>
                <w:spacing w:val="4"/>
                <w:szCs w:val="21"/>
                <w14:textFill>
                  <w14:solidFill>
                    <w14:schemeClr w14:val="tx1"/>
                  </w14:solidFill>
                </w14:textFill>
              </w:rPr>
            </w:pPr>
            <w:r>
              <w:rPr>
                <w:rFonts w:ascii="宋体" w:hAnsi="宋体"/>
                <w:color w:val="000000" w:themeColor="text1"/>
                <w:spacing w:val="4"/>
                <w:szCs w:val="21"/>
                <w14:textFill>
                  <w14:solidFill>
                    <w14:schemeClr w14:val="tx1"/>
                  </w14:solidFill>
                </w14:textFill>
              </w:rPr>
              <w:t>5</w:t>
            </w:r>
          </w:p>
        </w:tc>
        <w:tc>
          <w:tcPr>
            <w:tcW w:w="462" w:type="pct"/>
            <w:gridSpan w:val="2"/>
            <w:tcBorders>
              <w:top w:val="single" w:color="auto" w:sz="4" w:space="0"/>
              <w:left w:val="single" w:color="auto" w:sz="4" w:space="0"/>
              <w:bottom w:val="single" w:color="auto" w:sz="4" w:space="0"/>
            </w:tcBorders>
            <w:vAlign w:val="center"/>
          </w:tcPr>
          <w:p w14:paraId="3C4BF78A">
            <w:pPr>
              <w:adjustRightInd w:val="0"/>
              <w:snapToGrid w:val="0"/>
              <w:spacing w:line="300" w:lineRule="exact"/>
              <w:jc w:val="center"/>
              <w:rPr>
                <w:rFonts w:hint="eastAsia" w:ascii="宋体" w:hAnsi="宋体"/>
                <w:color w:val="000000" w:themeColor="text1"/>
                <w:spacing w:val="4"/>
                <w:szCs w:val="21"/>
                <w14:textFill>
                  <w14:solidFill>
                    <w14:schemeClr w14:val="tx1"/>
                  </w14:solidFill>
                </w14:textFill>
              </w:rPr>
            </w:pPr>
            <w:r>
              <w:rPr>
                <w:rFonts w:ascii="宋体" w:hAnsi="宋体"/>
                <w:color w:val="000000" w:themeColor="text1"/>
                <w:spacing w:val="4"/>
                <w:szCs w:val="21"/>
                <w14:textFill>
                  <w14:solidFill>
                    <w14:schemeClr w14:val="tx1"/>
                  </w14:solidFill>
                </w14:textFill>
              </w:rPr>
              <w:t>5</w:t>
            </w:r>
          </w:p>
        </w:tc>
      </w:tr>
      <w:tr w14:paraId="129D0E06">
        <w:tblPrEx>
          <w:tblCellMar>
            <w:top w:w="0" w:type="dxa"/>
            <w:left w:w="108" w:type="dxa"/>
            <w:bottom w:w="0" w:type="dxa"/>
            <w:right w:w="108" w:type="dxa"/>
          </w:tblCellMar>
        </w:tblPrEx>
        <w:trPr>
          <w:trHeight w:val="284" w:hRule="atLeast"/>
        </w:trPr>
        <w:tc>
          <w:tcPr>
            <w:tcW w:w="1333" w:type="pct"/>
            <w:gridSpan w:val="3"/>
            <w:tcBorders>
              <w:top w:val="single" w:color="auto" w:sz="4" w:space="0"/>
              <w:bottom w:val="single" w:color="auto" w:sz="12" w:space="0"/>
              <w:right w:val="single" w:color="auto" w:sz="4" w:space="0"/>
            </w:tcBorders>
            <w:vAlign w:val="center"/>
          </w:tcPr>
          <w:p w14:paraId="24EBCD55">
            <w:pPr>
              <w:adjustRightInd w:val="0"/>
              <w:snapToGrid w:val="0"/>
              <w:spacing w:line="300" w:lineRule="exact"/>
              <w:jc w:val="center"/>
              <w:rPr>
                <w:rFonts w:hint="eastAsia" w:ascii="宋体" w:hAnsi="宋体"/>
                <w:color w:val="000000" w:themeColor="text1"/>
                <w:spacing w:val="4"/>
                <w:szCs w:val="21"/>
                <w14:textFill>
                  <w14:solidFill>
                    <w14:schemeClr w14:val="tx1"/>
                  </w14:solidFill>
                </w14:textFill>
              </w:rPr>
            </w:pPr>
            <w:r>
              <w:rPr>
                <w:rFonts w:ascii="宋体" w:hAnsi="宋体"/>
                <w:color w:val="000000" w:themeColor="text1"/>
                <w:spacing w:val="4"/>
                <w:szCs w:val="21"/>
                <w14:textFill>
                  <w14:solidFill>
                    <w14:schemeClr w14:val="tx1"/>
                  </w14:solidFill>
                </w14:textFill>
              </w:rPr>
              <w:t>（</w:t>
            </w:r>
            <w:r>
              <w:rPr>
                <w:rFonts w:hint="eastAsia" w:ascii="宋体" w:hAnsi="宋体"/>
                <w:color w:val="000000" w:themeColor="text1"/>
                <w:spacing w:val="4"/>
                <w:szCs w:val="21"/>
                <w14:textFill>
                  <w14:solidFill>
                    <w14:schemeClr w14:val="tx1"/>
                  </w14:solidFill>
                </w14:textFill>
              </w:rPr>
              <w:t>3</w:t>
            </w:r>
            <w:r>
              <w:rPr>
                <w:rFonts w:ascii="宋体" w:hAnsi="宋体"/>
                <w:color w:val="000000" w:themeColor="text1"/>
                <w:spacing w:val="4"/>
                <w:szCs w:val="21"/>
                <w14:textFill>
                  <w14:solidFill>
                    <w14:schemeClr w14:val="tx1"/>
                  </w14:solidFill>
                </w14:textFill>
              </w:rPr>
              <w:t>）贯彻执行环境保护法规的符合性</w:t>
            </w:r>
          </w:p>
        </w:tc>
        <w:tc>
          <w:tcPr>
            <w:tcW w:w="410" w:type="pct"/>
            <w:tcBorders>
              <w:top w:val="single" w:color="auto" w:sz="4" w:space="0"/>
              <w:left w:val="single" w:color="auto" w:sz="4" w:space="0"/>
              <w:bottom w:val="single" w:color="auto" w:sz="12" w:space="0"/>
              <w:right w:val="single" w:color="auto" w:sz="4" w:space="0"/>
            </w:tcBorders>
            <w:vAlign w:val="center"/>
          </w:tcPr>
          <w:p w14:paraId="0530F3EC">
            <w:pPr>
              <w:adjustRightInd w:val="0"/>
              <w:snapToGrid w:val="0"/>
              <w:spacing w:line="300" w:lineRule="exact"/>
              <w:jc w:val="center"/>
              <w:rPr>
                <w:rFonts w:hint="eastAsia" w:ascii="宋体" w:hAnsi="宋体"/>
                <w:color w:val="000000" w:themeColor="text1"/>
                <w:spacing w:val="4"/>
                <w:szCs w:val="21"/>
                <w14:textFill>
                  <w14:solidFill>
                    <w14:schemeClr w14:val="tx1"/>
                  </w14:solidFill>
                </w14:textFill>
              </w:rPr>
            </w:pPr>
            <w:r>
              <w:rPr>
                <w:rFonts w:ascii="宋体" w:hAnsi="宋体"/>
                <w:color w:val="000000" w:themeColor="text1"/>
                <w:spacing w:val="4"/>
                <w:szCs w:val="21"/>
                <w14:textFill>
                  <w14:solidFill>
                    <w14:schemeClr w14:val="tx1"/>
                  </w14:solidFill>
                </w14:textFill>
              </w:rPr>
              <w:t>20</w:t>
            </w:r>
          </w:p>
        </w:tc>
        <w:tc>
          <w:tcPr>
            <w:tcW w:w="2395" w:type="pct"/>
            <w:gridSpan w:val="5"/>
            <w:tcBorders>
              <w:top w:val="single" w:color="auto" w:sz="4" w:space="0"/>
              <w:left w:val="single" w:color="auto" w:sz="4" w:space="0"/>
              <w:bottom w:val="single" w:color="auto" w:sz="12" w:space="0"/>
              <w:right w:val="single" w:color="auto" w:sz="4" w:space="0"/>
            </w:tcBorders>
            <w:vAlign w:val="center"/>
          </w:tcPr>
          <w:p w14:paraId="420A677F">
            <w:pPr>
              <w:adjustRightInd w:val="0"/>
              <w:snapToGrid w:val="0"/>
              <w:spacing w:line="300" w:lineRule="exact"/>
              <w:jc w:val="center"/>
              <w:rPr>
                <w:rFonts w:hint="eastAsia" w:ascii="宋体" w:hAnsi="宋体"/>
                <w:color w:val="000000" w:themeColor="text1"/>
                <w:spacing w:val="4"/>
                <w:szCs w:val="21"/>
                <w14:textFill>
                  <w14:solidFill>
                    <w14:schemeClr w14:val="tx1"/>
                  </w14:solidFill>
                </w14:textFill>
              </w:rPr>
            </w:pPr>
            <w:r>
              <w:rPr>
                <w:rFonts w:ascii="宋体" w:hAnsi="宋体"/>
                <w:color w:val="000000" w:themeColor="text1"/>
                <w:spacing w:val="4"/>
                <w:szCs w:val="21"/>
                <w14:textFill>
                  <w14:solidFill>
                    <w14:schemeClr w14:val="tx1"/>
                  </w14:solidFill>
                </w14:textFill>
              </w:rPr>
              <w:t>满足其他法律法规要求</w:t>
            </w:r>
          </w:p>
        </w:tc>
        <w:tc>
          <w:tcPr>
            <w:tcW w:w="400" w:type="pct"/>
            <w:gridSpan w:val="2"/>
            <w:tcBorders>
              <w:top w:val="single" w:color="auto" w:sz="4" w:space="0"/>
              <w:left w:val="single" w:color="auto" w:sz="4" w:space="0"/>
              <w:bottom w:val="single" w:color="auto" w:sz="12" w:space="0"/>
              <w:right w:val="single" w:color="auto" w:sz="4" w:space="0"/>
            </w:tcBorders>
            <w:vAlign w:val="center"/>
          </w:tcPr>
          <w:p w14:paraId="243146E9">
            <w:pPr>
              <w:adjustRightInd w:val="0"/>
              <w:snapToGrid w:val="0"/>
              <w:spacing w:line="300" w:lineRule="exact"/>
              <w:jc w:val="center"/>
              <w:rPr>
                <w:rFonts w:hint="eastAsia" w:ascii="宋体" w:hAnsi="宋体"/>
                <w:color w:val="000000" w:themeColor="text1"/>
                <w:spacing w:val="4"/>
                <w:szCs w:val="21"/>
                <w14:textFill>
                  <w14:solidFill>
                    <w14:schemeClr w14:val="tx1"/>
                  </w14:solidFill>
                </w14:textFill>
              </w:rPr>
            </w:pPr>
            <w:r>
              <w:rPr>
                <w:rFonts w:ascii="宋体" w:hAnsi="宋体"/>
                <w:color w:val="000000" w:themeColor="text1"/>
                <w:spacing w:val="4"/>
                <w:szCs w:val="21"/>
                <w14:textFill>
                  <w14:solidFill>
                    <w14:schemeClr w14:val="tx1"/>
                  </w14:solidFill>
                </w14:textFill>
              </w:rPr>
              <w:t>20</w:t>
            </w:r>
          </w:p>
        </w:tc>
        <w:tc>
          <w:tcPr>
            <w:tcW w:w="462" w:type="pct"/>
            <w:gridSpan w:val="2"/>
            <w:tcBorders>
              <w:top w:val="single" w:color="auto" w:sz="4" w:space="0"/>
              <w:left w:val="single" w:color="auto" w:sz="4" w:space="0"/>
              <w:bottom w:val="single" w:color="auto" w:sz="12" w:space="0"/>
            </w:tcBorders>
            <w:vAlign w:val="center"/>
          </w:tcPr>
          <w:p w14:paraId="117A0EF9">
            <w:pPr>
              <w:adjustRightInd w:val="0"/>
              <w:snapToGrid w:val="0"/>
              <w:spacing w:line="300" w:lineRule="exact"/>
              <w:jc w:val="center"/>
              <w:rPr>
                <w:rFonts w:hint="eastAsia" w:ascii="宋体" w:hAnsi="宋体"/>
                <w:color w:val="000000" w:themeColor="text1"/>
                <w:spacing w:val="4"/>
                <w:szCs w:val="21"/>
                <w14:textFill>
                  <w14:solidFill>
                    <w14:schemeClr w14:val="tx1"/>
                  </w14:solidFill>
                </w14:textFill>
              </w:rPr>
            </w:pPr>
            <w:r>
              <w:rPr>
                <w:rFonts w:ascii="宋体" w:hAnsi="宋体"/>
                <w:color w:val="000000" w:themeColor="text1"/>
                <w:spacing w:val="4"/>
                <w:szCs w:val="21"/>
                <w14:textFill>
                  <w14:solidFill>
                    <w14:schemeClr w14:val="tx1"/>
                  </w14:solidFill>
                </w14:textFill>
              </w:rPr>
              <w:t>20</w:t>
            </w:r>
          </w:p>
        </w:tc>
      </w:tr>
    </w:tbl>
    <w:p w14:paraId="2E2FAC0F">
      <w:pPr>
        <w:pStyle w:val="15"/>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表3.</w:t>
      </w:r>
      <w:r>
        <w:rPr>
          <w:color w:val="000000" w:themeColor="text1"/>
          <w14:textFill>
            <w14:solidFill>
              <w14:schemeClr w14:val="tx1"/>
            </w14:solidFill>
          </w14:textFill>
        </w:rPr>
        <w:t>5</w:t>
      </w:r>
      <w:r>
        <w:rPr>
          <w:rFonts w:hint="eastAsia"/>
          <w:color w:val="000000" w:themeColor="text1"/>
          <w14:textFill>
            <w14:solidFill>
              <w14:schemeClr w14:val="tx1"/>
            </w14:solidFill>
          </w14:textFill>
        </w:rPr>
        <w:t>-2</w:t>
      </w:r>
      <w:r>
        <w:rPr>
          <w:color w:val="000000" w:themeColor="text1"/>
          <w14:textFill>
            <w14:solidFill>
              <w14:schemeClr w14:val="tx1"/>
            </w14:solidFill>
          </w14:textFill>
        </w:rPr>
        <w:t xml:space="preserve">  采</w:t>
      </w:r>
      <w:r>
        <w:rPr>
          <w:rFonts w:hint="eastAsia"/>
          <w:color w:val="000000" w:themeColor="text1"/>
          <w14:textFill>
            <w14:solidFill>
              <w14:schemeClr w14:val="tx1"/>
            </w14:solidFill>
          </w14:textFill>
        </w:rPr>
        <w:t>油</w:t>
      </w:r>
      <w:r>
        <w:rPr>
          <w:color w:val="000000" w:themeColor="text1"/>
          <w14:textFill>
            <w14:solidFill>
              <w14:schemeClr w14:val="tx1"/>
            </w14:solidFill>
          </w14:textFill>
        </w:rPr>
        <w:t>定量和定性评价指标项目、权重及基准值</w:t>
      </w:r>
    </w:p>
    <w:tbl>
      <w:tblPr>
        <w:tblStyle w:val="51"/>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314"/>
        <w:gridCol w:w="1118"/>
        <w:gridCol w:w="243"/>
        <w:gridCol w:w="572"/>
        <w:gridCol w:w="1654"/>
        <w:gridCol w:w="1293"/>
        <w:gridCol w:w="991"/>
        <w:gridCol w:w="430"/>
        <w:gridCol w:w="2787"/>
        <w:gridCol w:w="688"/>
        <w:gridCol w:w="414"/>
        <w:gridCol w:w="550"/>
        <w:gridCol w:w="824"/>
      </w:tblGrid>
      <w:tr w14:paraId="077FE03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4355" w:type="pct"/>
            <w:gridSpan w:val="10"/>
            <w:vAlign w:val="center"/>
          </w:tcPr>
          <w:p w14:paraId="75E897E8">
            <w:pPr>
              <w:adjustRightInd w:val="0"/>
              <w:snapToGrid w:val="0"/>
              <w:spacing w:line="240" w:lineRule="exact"/>
              <w:jc w:val="left"/>
              <w:rPr>
                <w:rFonts w:hint="eastAsia" w:ascii="宋体" w:hAnsi="宋体"/>
                <w:color w:val="000000" w:themeColor="text1"/>
                <w:spacing w:val="4"/>
                <w:szCs w:val="21"/>
                <w14:textFill>
                  <w14:solidFill>
                    <w14:schemeClr w14:val="tx1"/>
                  </w14:solidFill>
                </w14:textFill>
              </w:rPr>
            </w:pPr>
            <w:r>
              <w:rPr>
                <w:rFonts w:ascii="宋体" w:hAnsi="宋体"/>
                <w:color w:val="000000" w:themeColor="text1"/>
                <w:spacing w:val="4"/>
                <w:szCs w:val="21"/>
                <w14:textFill>
                  <w14:solidFill>
                    <w14:schemeClr w14:val="tx1"/>
                  </w14:solidFill>
                </w14:textFill>
              </w:rPr>
              <w:t>定量指标</w:t>
            </w:r>
          </w:p>
        </w:tc>
        <w:tc>
          <w:tcPr>
            <w:tcW w:w="645" w:type="pct"/>
            <w:gridSpan w:val="3"/>
            <w:vAlign w:val="center"/>
          </w:tcPr>
          <w:p w14:paraId="7718A506">
            <w:pPr>
              <w:adjustRightInd w:val="0"/>
              <w:snapToGrid w:val="0"/>
              <w:spacing w:line="240" w:lineRule="exact"/>
              <w:jc w:val="center"/>
              <w:rPr>
                <w:rFonts w:hint="eastAsia" w:ascii="宋体" w:hAnsi="宋体"/>
                <w:color w:val="000000" w:themeColor="text1"/>
                <w:spacing w:val="4"/>
                <w:szCs w:val="21"/>
                <w14:textFill>
                  <w14:solidFill>
                    <w14:schemeClr w14:val="tx1"/>
                  </w14:solidFill>
                </w14:textFill>
              </w:rPr>
            </w:pPr>
            <w:r>
              <w:rPr>
                <w:rFonts w:ascii="宋体" w:hAnsi="宋体"/>
                <w:color w:val="000000" w:themeColor="text1"/>
                <w:spacing w:val="4"/>
                <w:szCs w:val="21"/>
                <w14:textFill>
                  <w14:solidFill>
                    <w14:schemeClr w14:val="tx1"/>
                  </w14:solidFill>
                </w14:textFill>
              </w:rPr>
              <w:t>本项目</w:t>
            </w:r>
          </w:p>
        </w:tc>
      </w:tr>
      <w:tr w14:paraId="0911842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834" w:type="pct"/>
            <w:vAlign w:val="center"/>
          </w:tcPr>
          <w:p w14:paraId="4FC9CD16">
            <w:pPr>
              <w:adjustRightInd w:val="0"/>
              <w:snapToGrid w:val="0"/>
              <w:spacing w:line="240" w:lineRule="exact"/>
              <w:jc w:val="center"/>
              <w:rPr>
                <w:rFonts w:hint="eastAsia" w:ascii="宋体" w:hAnsi="宋体"/>
                <w:color w:val="000000" w:themeColor="text1"/>
                <w:spacing w:val="4"/>
                <w:szCs w:val="21"/>
                <w14:textFill>
                  <w14:solidFill>
                    <w14:schemeClr w14:val="tx1"/>
                  </w14:solidFill>
                </w14:textFill>
              </w:rPr>
            </w:pPr>
            <w:r>
              <w:rPr>
                <w:rFonts w:ascii="宋体" w:hAnsi="宋体"/>
                <w:color w:val="000000" w:themeColor="text1"/>
                <w:spacing w:val="4"/>
                <w:szCs w:val="21"/>
                <w14:textFill>
                  <w14:solidFill>
                    <w14:schemeClr w14:val="tx1"/>
                  </w14:solidFill>
                </w14:textFill>
              </w:rPr>
              <w:t>一级指标</w:t>
            </w:r>
          </w:p>
        </w:tc>
        <w:tc>
          <w:tcPr>
            <w:tcW w:w="403" w:type="pct"/>
            <w:vAlign w:val="center"/>
          </w:tcPr>
          <w:p w14:paraId="0BCDB1CB">
            <w:pPr>
              <w:adjustRightInd w:val="0"/>
              <w:snapToGrid w:val="0"/>
              <w:spacing w:line="240" w:lineRule="exact"/>
              <w:jc w:val="center"/>
              <w:rPr>
                <w:rFonts w:hint="eastAsia" w:ascii="宋体" w:hAnsi="宋体"/>
                <w:color w:val="000000" w:themeColor="text1"/>
                <w:spacing w:val="4"/>
                <w:szCs w:val="21"/>
                <w14:textFill>
                  <w14:solidFill>
                    <w14:schemeClr w14:val="tx1"/>
                  </w14:solidFill>
                </w14:textFill>
              </w:rPr>
            </w:pPr>
            <w:r>
              <w:rPr>
                <w:rFonts w:ascii="宋体" w:hAnsi="宋体"/>
                <w:color w:val="000000" w:themeColor="text1"/>
                <w:spacing w:val="4"/>
                <w:szCs w:val="21"/>
                <w14:textFill>
                  <w14:solidFill>
                    <w14:schemeClr w14:val="tx1"/>
                  </w14:solidFill>
                </w14:textFill>
              </w:rPr>
              <w:t>权重值</w:t>
            </w:r>
          </w:p>
        </w:tc>
        <w:tc>
          <w:tcPr>
            <w:tcW w:w="890" w:type="pct"/>
            <w:gridSpan w:val="3"/>
            <w:vAlign w:val="center"/>
          </w:tcPr>
          <w:p w14:paraId="6D2A6254">
            <w:pPr>
              <w:adjustRightInd w:val="0"/>
              <w:snapToGrid w:val="0"/>
              <w:spacing w:line="240" w:lineRule="exact"/>
              <w:jc w:val="center"/>
              <w:rPr>
                <w:rFonts w:hint="eastAsia" w:ascii="宋体" w:hAnsi="宋体"/>
                <w:color w:val="000000" w:themeColor="text1"/>
                <w:spacing w:val="4"/>
                <w:szCs w:val="21"/>
                <w14:textFill>
                  <w14:solidFill>
                    <w14:schemeClr w14:val="tx1"/>
                  </w14:solidFill>
                </w14:textFill>
              </w:rPr>
            </w:pPr>
            <w:r>
              <w:rPr>
                <w:rFonts w:ascii="宋体" w:hAnsi="宋体"/>
                <w:color w:val="000000" w:themeColor="text1"/>
                <w:spacing w:val="4"/>
                <w:szCs w:val="21"/>
                <w14:textFill>
                  <w14:solidFill>
                    <w14:schemeClr w14:val="tx1"/>
                  </w14:solidFill>
                </w14:textFill>
              </w:rPr>
              <w:t>二级指标</w:t>
            </w:r>
          </w:p>
        </w:tc>
        <w:tc>
          <w:tcPr>
            <w:tcW w:w="466" w:type="pct"/>
            <w:vAlign w:val="center"/>
          </w:tcPr>
          <w:p w14:paraId="0E0B2974">
            <w:pPr>
              <w:adjustRightInd w:val="0"/>
              <w:snapToGrid w:val="0"/>
              <w:spacing w:line="240" w:lineRule="exact"/>
              <w:jc w:val="center"/>
              <w:rPr>
                <w:rFonts w:hint="eastAsia" w:ascii="宋体" w:hAnsi="宋体"/>
                <w:color w:val="000000" w:themeColor="text1"/>
                <w:spacing w:val="4"/>
                <w:szCs w:val="21"/>
                <w14:textFill>
                  <w14:solidFill>
                    <w14:schemeClr w14:val="tx1"/>
                  </w14:solidFill>
                </w14:textFill>
              </w:rPr>
            </w:pPr>
            <w:r>
              <w:rPr>
                <w:rFonts w:ascii="宋体" w:hAnsi="宋体"/>
                <w:color w:val="000000" w:themeColor="text1"/>
                <w:spacing w:val="4"/>
                <w:szCs w:val="21"/>
                <w14:textFill>
                  <w14:solidFill>
                    <w14:schemeClr w14:val="tx1"/>
                  </w14:solidFill>
                </w14:textFill>
              </w:rPr>
              <w:t>单位</w:t>
            </w:r>
          </w:p>
        </w:tc>
        <w:tc>
          <w:tcPr>
            <w:tcW w:w="511" w:type="pct"/>
            <w:gridSpan w:val="2"/>
            <w:vAlign w:val="center"/>
          </w:tcPr>
          <w:p w14:paraId="5D420135">
            <w:pPr>
              <w:adjustRightInd w:val="0"/>
              <w:snapToGrid w:val="0"/>
              <w:spacing w:line="240" w:lineRule="exact"/>
              <w:jc w:val="center"/>
              <w:rPr>
                <w:rFonts w:hint="eastAsia" w:ascii="宋体" w:hAnsi="宋体"/>
                <w:color w:val="000000" w:themeColor="text1"/>
                <w:spacing w:val="4"/>
                <w:szCs w:val="21"/>
                <w14:textFill>
                  <w14:solidFill>
                    <w14:schemeClr w14:val="tx1"/>
                  </w14:solidFill>
                </w14:textFill>
              </w:rPr>
            </w:pPr>
            <w:r>
              <w:rPr>
                <w:rFonts w:ascii="宋体" w:hAnsi="宋体"/>
                <w:color w:val="000000" w:themeColor="text1"/>
                <w:spacing w:val="4"/>
                <w:szCs w:val="21"/>
                <w14:textFill>
                  <w14:solidFill>
                    <w14:schemeClr w14:val="tx1"/>
                  </w14:solidFill>
                </w14:textFill>
              </w:rPr>
              <w:t>权重分值</w:t>
            </w:r>
          </w:p>
        </w:tc>
        <w:tc>
          <w:tcPr>
            <w:tcW w:w="1252" w:type="pct"/>
            <w:gridSpan w:val="2"/>
            <w:vAlign w:val="center"/>
          </w:tcPr>
          <w:p w14:paraId="483545B0">
            <w:pPr>
              <w:adjustRightInd w:val="0"/>
              <w:snapToGrid w:val="0"/>
              <w:spacing w:line="240" w:lineRule="exact"/>
              <w:jc w:val="center"/>
              <w:rPr>
                <w:rFonts w:hint="eastAsia" w:ascii="宋体" w:hAnsi="宋体"/>
                <w:color w:val="000000" w:themeColor="text1"/>
                <w:spacing w:val="4"/>
                <w:szCs w:val="21"/>
                <w14:textFill>
                  <w14:solidFill>
                    <w14:schemeClr w14:val="tx1"/>
                  </w14:solidFill>
                </w14:textFill>
              </w:rPr>
            </w:pPr>
            <w:r>
              <w:rPr>
                <w:rFonts w:ascii="宋体" w:hAnsi="宋体"/>
                <w:color w:val="000000" w:themeColor="text1"/>
                <w:spacing w:val="4"/>
                <w:szCs w:val="21"/>
                <w14:textFill>
                  <w14:solidFill>
                    <w14:schemeClr w14:val="tx1"/>
                  </w14:solidFill>
                </w14:textFill>
              </w:rPr>
              <w:t>评价基准值</w:t>
            </w:r>
          </w:p>
        </w:tc>
        <w:tc>
          <w:tcPr>
            <w:tcW w:w="347" w:type="pct"/>
            <w:gridSpan w:val="2"/>
            <w:vAlign w:val="center"/>
          </w:tcPr>
          <w:p w14:paraId="3EBF5F4F">
            <w:pPr>
              <w:adjustRightInd w:val="0"/>
              <w:snapToGrid w:val="0"/>
              <w:spacing w:line="240" w:lineRule="exact"/>
              <w:jc w:val="center"/>
              <w:rPr>
                <w:rFonts w:hint="eastAsia" w:ascii="宋体" w:hAnsi="宋体"/>
                <w:color w:val="000000" w:themeColor="text1"/>
                <w:spacing w:val="4"/>
                <w:szCs w:val="21"/>
                <w14:textFill>
                  <w14:solidFill>
                    <w14:schemeClr w14:val="tx1"/>
                  </w14:solidFill>
                </w14:textFill>
              </w:rPr>
            </w:pPr>
            <w:r>
              <w:rPr>
                <w:rFonts w:ascii="宋体" w:hAnsi="宋体"/>
                <w:color w:val="000000" w:themeColor="text1"/>
                <w:spacing w:val="4"/>
                <w:szCs w:val="21"/>
                <w14:textFill>
                  <w14:solidFill>
                    <w14:schemeClr w14:val="tx1"/>
                  </w14:solidFill>
                </w14:textFill>
              </w:rPr>
              <w:t>估算值</w:t>
            </w:r>
          </w:p>
        </w:tc>
        <w:tc>
          <w:tcPr>
            <w:tcW w:w="298" w:type="pct"/>
            <w:vAlign w:val="center"/>
          </w:tcPr>
          <w:p w14:paraId="4EB82287">
            <w:pPr>
              <w:adjustRightInd w:val="0"/>
              <w:snapToGrid w:val="0"/>
              <w:spacing w:line="240" w:lineRule="exact"/>
              <w:jc w:val="center"/>
              <w:rPr>
                <w:rFonts w:hint="eastAsia" w:ascii="宋体" w:hAnsi="宋体"/>
                <w:color w:val="000000" w:themeColor="text1"/>
                <w:spacing w:val="4"/>
                <w:szCs w:val="21"/>
                <w14:textFill>
                  <w14:solidFill>
                    <w14:schemeClr w14:val="tx1"/>
                  </w14:solidFill>
                </w14:textFill>
              </w:rPr>
            </w:pPr>
            <w:r>
              <w:rPr>
                <w:rFonts w:ascii="宋体" w:hAnsi="宋体"/>
                <w:color w:val="000000" w:themeColor="text1"/>
                <w:spacing w:val="4"/>
                <w:szCs w:val="21"/>
                <w14:textFill>
                  <w14:solidFill>
                    <w14:schemeClr w14:val="tx1"/>
                  </w14:solidFill>
                </w14:textFill>
              </w:rPr>
              <w:t>评分</w:t>
            </w:r>
          </w:p>
        </w:tc>
      </w:tr>
      <w:tr w14:paraId="02F1A56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834" w:type="pct"/>
            <w:vAlign w:val="center"/>
          </w:tcPr>
          <w:p w14:paraId="0008010D">
            <w:pPr>
              <w:adjustRightInd w:val="0"/>
              <w:snapToGrid w:val="0"/>
              <w:spacing w:line="240" w:lineRule="exact"/>
              <w:jc w:val="center"/>
              <w:rPr>
                <w:rFonts w:hint="eastAsia" w:ascii="宋体" w:hAnsi="宋体"/>
                <w:color w:val="000000" w:themeColor="text1"/>
                <w:spacing w:val="4"/>
                <w:szCs w:val="21"/>
                <w14:textFill>
                  <w14:solidFill>
                    <w14:schemeClr w14:val="tx1"/>
                  </w14:solidFill>
                </w14:textFill>
              </w:rPr>
            </w:pPr>
            <w:r>
              <w:rPr>
                <w:rFonts w:ascii="宋体" w:hAnsi="宋体"/>
                <w:color w:val="000000" w:themeColor="text1"/>
                <w:spacing w:val="4"/>
                <w:szCs w:val="21"/>
                <w14:textFill>
                  <w14:solidFill>
                    <w14:schemeClr w14:val="tx1"/>
                  </w14:solidFill>
                </w14:textFill>
              </w:rPr>
              <w:t>（1）资源和能源消耗指标</w:t>
            </w:r>
          </w:p>
        </w:tc>
        <w:tc>
          <w:tcPr>
            <w:tcW w:w="403" w:type="pct"/>
            <w:vAlign w:val="center"/>
          </w:tcPr>
          <w:p w14:paraId="4E1CEF44">
            <w:pPr>
              <w:adjustRightInd w:val="0"/>
              <w:snapToGrid w:val="0"/>
              <w:spacing w:line="240" w:lineRule="exact"/>
              <w:jc w:val="center"/>
              <w:rPr>
                <w:rFonts w:hint="eastAsia" w:ascii="宋体" w:hAnsi="宋体"/>
                <w:color w:val="000000" w:themeColor="text1"/>
                <w:spacing w:val="4"/>
                <w:szCs w:val="21"/>
                <w14:textFill>
                  <w14:solidFill>
                    <w14:schemeClr w14:val="tx1"/>
                  </w14:solidFill>
                </w14:textFill>
              </w:rPr>
            </w:pPr>
            <w:r>
              <w:rPr>
                <w:rFonts w:ascii="宋体" w:hAnsi="宋体"/>
                <w:color w:val="000000" w:themeColor="text1"/>
                <w:spacing w:val="4"/>
                <w:szCs w:val="21"/>
                <w14:textFill>
                  <w14:solidFill>
                    <w14:schemeClr w14:val="tx1"/>
                  </w14:solidFill>
                </w14:textFill>
              </w:rPr>
              <w:t>30</w:t>
            </w:r>
          </w:p>
        </w:tc>
        <w:tc>
          <w:tcPr>
            <w:tcW w:w="890" w:type="pct"/>
            <w:gridSpan w:val="3"/>
            <w:vAlign w:val="center"/>
          </w:tcPr>
          <w:p w14:paraId="4713EF9A">
            <w:pPr>
              <w:adjustRightInd w:val="0"/>
              <w:snapToGrid w:val="0"/>
              <w:spacing w:line="240" w:lineRule="exact"/>
              <w:jc w:val="center"/>
              <w:rPr>
                <w:rFonts w:hint="eastAsia" w:ascii="宋体" w:hAnsi="宋体"/>
                <w:color w:val="000000" w:themeColor="text1"/>
                <w:spacing w:val="4"/>
                <w:szCs w:val="21"/>
                <w14:textFill>
                  <w14:solidFill>
                    <w14:schemeClr w14:val="tx1"/>
                  </w14:solidFill>
                </w14:textFill>
              </w:rPr>
            </w:pPr>
            <w:r>
              <w:rPr>
                <w:rFonts w:ascii="宋体" w:hAnsi="宋体"/>
                <w:color w:val="000000" w:themeColor="text1"/>
                <w:spacing w:val="4"/>
                <w:szCs w:val="21"/>
                <w14:textFill>
                  <w14:solidFill>
                    <w14:schemeClr w14:val="tx1"/>
                  </w14:solidFill>
                </w14:textFill>
              </w:rPr>
              <w:t>综合能耗</w:t>
            </w:r>
          </w:p>
        </w:tc>
        <w:tc>
          <w:tcPr>
            <w:tcW w:w="466" w:type="pct"/>
            <w:vAlign w:val="center"/>
          </w:tcPr>
          <w:p w14:paraId="62DBBDA3">
            <w:pPr>
              <w:adjustRightInd w:val="0"/>
              <w:snapToGrid w:val="0"/>
              <w:spacing w:line="240" w:lineRule="exact"/>
              <w:jc w:val="center"/>
              <w:rPr>
                <w:rFonts w:hint="eastAsia" w:ascii="宋体" w:hAnsi="宋体"/>
                <w:color w:val="000000" w:themeColor="text1"/>
                <w:spacing w:val="4"/>
                <w:szCs w:val="21"/>
                <w14:textFill>
                  <w14:solidFill>
                    <w14:schemeClr w14:val="tx1"/>
                  </w14:solidFill>
                </w14:textFill>
              </w:rPr>
            </w:pPr>
            <w:r>
              <w:rPr>
                <w:rFonts w:ascii="宋体" w:hAnsi="宋体"/>
                <w:color w:val="000000" w:themeColor="text1"/>
                <w:spacing w:val="4"/>
                <w:szCs w:val="21"/>
                <w14:textFill>
                  <w14:solidFill>
                    <w14:schemeClr w14:val="tx1"/>
                  </w14:solidFill>
                </w14:textFill>
              </w:rPr>
              <w:t>kg标煤/t</w:t>
            </w:r>
            <w:r>
              <w:rPr>
                <w:rFonts w:hint="eastAsia" w:ascii="宋体" w:hAnsi="宋体"/>
                <w:color w:val="000000" w:themeColor="text1"/>
                <w:spacing w:val="4"/>
                <w:szCs w:val="21"/>
                <w14:textFill>
                  <w14:solidFill>
                    <w14:schemeClr w14:val="tx1"/>
                  </w14:solidFill>
                </w14:textFill>
              </w:rPr>
              <w:t>采出液</w:t>
            </w:r>
          </w:p>
        </w:tc>
        <w:tc>
          <w:tcPr>
            <w:tcW w:w="511" w:type="pct"/>
            <w:gridSpan w:val="2"/>
            <w:vAlign w:val="center"/>
          </w:tcPr>
          <w:p w14:paraId="2306F620">
            <w:pPr>
              <w:adjustRightInd w:val="0"/>
              <w:snapToGrid w:val="0"/>
              <w:spacing w:line="240" w:lineRule="exact"/>
              <w:jc w:val="center"/>
              <w:rPr>
                <w:rFonts w:hint="eastAsia" w:ascii="宋体" w:hAnsi="宋体"/>
                <w:color w:val="000000" w:themeColor="text1"/>
                <w:spacing w:val="4"/>
                <w:szCs w:val="21"/>
                <w14:textFill>
                  <w14:solidFill>
                    <w14:schemeClr w14:val="tx1"/>
                  </w14:solidFill>
                </w14:textFill>
              </w:rPr>
            </w:pPr>
            <w:r>
              <w:rPr>
                <w:rFonts w:ascii="宋体" w:hAnsi="宋体"/>
                <w:color w:val="000000" w:themeColor="text1"/>
                <w:spacing w:val="4"/>
                <w:szCs w:val="21"/>
                <w14:textFill>
                  <w14:solidFill>
                    <w14:schemeClr w14:val="tx1"/>
                  </w14:solidFill>
                </w14:textFill>
              </w:rPr>
              <w:t>30</w:t>
            </w:r>
          </w:p>
        </w:tc>
        <w:tc>
          <w:tcPr>
            <w:tcW w:w="1252" w:type="pct"/>
            <w:gridSpan w:val="2"/>
            <w:vAlign w:val="center"/>
          </w:tcPr>
          <w:p w14:paraId="5D1CF048">
            <w:pPr>
              <w:adjustRightInd w:val="0"/>
              <w:snapToGrid w:val="0"/>
              <w:spacing w:line="240" w:lineRule="exact"/>
              <w:jc w:val="center"/>
              <w:rPr>
                <w:rFonts w:hint="eastAsia" w:ascii="宋体" w:hAnsi="宋体"/>
                <w:color w:val="000000" w:themeColor="text1"/>
                <w:spacing w:val="4"/>
                <w:szCs w:val="21"/>
                <w14:textFill>
                  <w14:solidFill>
                    <w14:schemeClr w14:val="tx1"/>
                  </w14:solidFill>
                </w14:textFill>
              </w:rPr>
            </w:pPr>
            <w:r>
              <w:rPr>
                <w:rFonts w:ascii="宋体" w:hAnsi="宋体"/>
                <w:color w:val="000000" w:themeColor="text1"/>
                <w:spacing w:val="4"/>
                <w:szCs w:val="21"/>
                <w14:textFill>
                  <w14:solidFill>
                    <w14:schemeClr w14:val="tx1"/>
                  </w14:solidFill>
                </w14:textFill>
              </w:rPr>
              <w:t>稀油：≤65</w:t>
            </w:r>
            <w:r>
              <w:rPr>
                <w:rFonts w:hint="eastAsia" w:ascii="宋体" w:hAnsi="宋体"/>
                <w:color w:val="000000" w:themeColor="text1"/>
                <w:spacing w:val="4"/>
                <w:szCs w:val="21"/>
                <w14:textFill>
                  <w14:solidFill>
                    <w14:schemeClr w14:val="tx1"/>
                  </w14:solidFill>
                </w14:textFill>
              </w:rPr>
              <w:t xml:space="preserve">  </w:t>
            </w:r>
            <w:r>
              <w:rPr>
                <w:rFonts w:ascii="宋体" w:hAnsi="宋体"/>
                <w:color w:val="000000" w:themeColor="text1"/>
                <w:spacing w:val="4"/>
                <w:szCs w:val="21"/>
                <w14:textFill>
                  <w14:solidFill>
                    <w14:schemeClr w14:val="tx1"/>
                  </w14:solidFill>
                </w14:textFill>
              </w:rPr>
              <w:t>稠油：≤160</w:t>
            </w:r>
          </w:p>
          <w:p w14:paraId="3A3ADF03">
            <w:pPr>
              <w:adjustRightInd w:val="0"/>
              <w:snapToGrid w:val="0"/>
              <w:spacing w:line="240" w:lineRule="exact"/>
              <w:jc w:val="center"/>
              <w:rPr>
                <w:rFonts w:hint="eastAsia" w:ascii="宋体" w:hAnsi="宋体"/>
                <w:color w:val="000000" w:themeColor="text1"/>
                <w:spacing w:val="4"/>
                <w:szCs w:val="21"/>
                <w14:textFill>
                  <w14:solidFill>
                    <w14:schemeClr w14:val="tx1"/>
                  </w14:solidFill>
                </w14:textFill>
              </w:rPr>
            </w:pPr>
            <w:r>
              <w:rPr>
                <w:rFonts w:ascii="宋体" w:hAnsi="宋体"/>
                <w:color w:val="000000" w:themeColor="text1"/>
                <w:spacing w:val="4"/>
                <w:szCs w:val="21"/>
                <w14:textFill>
                  <w14:solidFill>
                    <w14:schemeClr w14:val="tx1"/>
                  </w14:solidFill>
                </w14:textFill>
              </w:rPr>
              <w:t>天然气：≤50</w:t>
            </w:r>
          </w:p>
        </w:tc>
        <w:tc>
          <w:tcPr>
            <w:tcW w:w="347" w:type="pct"/>
            <w:gridSpan w:val="2"/>
            <w:vAlign w:val="center"/>
          </w:tcPr>
          <w:p w14:paraId="7F8A3C4B">
            <w:pPr>
              <w:adjustRightInd w:val="0"/>
              <w:snapToGrid w:val="0"/>
              <w:spacing w:line="240" w:lineRule="exact"/>
              <w:jc w:val="center"/>
              <w:rPr>
                <w:rFonts w:hint="eastAsia" w:ascii="宋体" w:hAnsi="宋体"/>
                <w:color w:val="000000" w:themeColor="text1"/>
                <w:spacing w:val="4"/>
                <w:szCs w:val="21"/>
                <w14:textFill>
                  <w14:solidFill>
                    <w14:schemeClr w14:val="tx1"/>
                  </w14:solidFill>
                </w14:textFill>
              </w:rPr>
            </w:pPr>
            <w:r>
              <w:rPr>
                <w:rFonts w:hint="eastAsia" w:ascii="宋体" w:hAnsi="宋体"/>
                <w:color w:val="000000" w:themeColor="text1"/>
                <w:spacing w:val="4"/>
                <w:szCs w:val="21"/>
                <w14:textFill>
                  <w14:solidFill>
                    <w14:schemeClr w14:val="tx1"/>
                  </w14:solidFill>
                </w14:textFill>
              </w:rPr>
              <w:t>＜6</w:t>
            </w:r>
            <w:r>
              <w:rPr>
                <w:rFonts w:ascii="宋体" w:hAnsi="宋体"/>
                <w:color w:val="000000" w:themeColor="text1"/>
                <w:spacing w:val="4"/>
                <w:szCs w:val="21"/>
                <w14:textFill>
                  <w14:solidFill>
                    <w14:schemeClr w14:val="tx1"/>
                  </w14:solidFill>
                </w14:textFill>
              </w:rPr>
              <w:t>5</w:t>
            </w:r>
          </w:p>
        </w:tc>
        <w:tc>
          <w:tcPr>
            <w:tcW w:w="298" w:type="pct"/>
            <w:vAlign w:val="center"/>
          </w:tcPr>
          <w:p w14:paraId="75381103">
            <w:pPr>
              <w:adjustRightInd w:val="0"/>
              <w:snapToGrid w:val="0"/>
              <w:spacing w:line="240" w:lineRule="exact"/>
              <w:jc w:val="center"/>
              <w:rPr>
                <w:rFonts w:hint="eastAsia" w:ascii="宋体" w:hAnsi="宋体"/>
                <w:color w:val="000000" w:themeColor="text1"/>
                <w:spacing w:val="4"/>
                <w:szCs w:val="21"/>
                <w14:textFill>
                  <w14:solidFill>
                    <w14:schemeClr w14:val="tx1"/>
                  </w14:solidFill>
                </w14:textFill>
              </w:rPr>
            </w:pPr>
            <w:r>
              <w:rPr>
                <w:rFonts w:hint="eastAsia" w:ascii="宋体" w:hAnsi="宋体"/>
                <w:color w:val="000000" w:themeColor="text1"/>
                <w:spacing w:val="4"/>
                <w:szCs w:val="21"/>
                <w14:textFill>
                  <w14:solidFill>
                    <w14:schemeClr w14:val="tx1"/>
                  </w14:solidFill>
                </w14:textFill>
              </w:rPr>
              <w:t>30</w:t>
            </w:r>
          </w:p>
        </w:tc>
      </w:tr>
      <w:tr w14:paraId="401E3F9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834" w:type="pct"/>
            <w:vMerge w:val="restart"/>
            <w:vAlign w:val="center"/>
          </w:tcPr>
          <w:p w14:paraId="0B62A634">
            <w:pPr>
              <w:adjustRightInd w:val="0"/>
              <w:snapToGrid w:val="0"/>
              <w:spacing w:line="240" w:lineRule="exact"/>
              <w:jc w:val="center"/>
              <w:rPr>
                <w:rFonts w:hint="eastAsia" w:ascii="宋体" w:hAnsi="宋体"/>
                <w:color w:val="000000" w:themeColor="text1"/>
                <w:spacing w:val="4"/>
                <w:szCs w:val="21"/>
                <w14:textFill>
                  <w14:solidFill>
                    <w14:schemeClr w14:val="tx1"/>
                  </w14:solidFill>
                </w14:textFill>
              </w:rPr>
            </w:pPr>
            <w:r>
              <w:rPr>
                <w:rFonts w:ascii="宋体" w:hAnsi="宋体"/>
                <w:color w:val="000000" w:themeColor="text1"/>
                <w:spacing w:val="4"/>
                <w:szCs w:val="21"/>
                <w14:textFill>
                  <w14:solidFill>
                    <w14:schemeClr w14:val="tx1"/>
                  </w14:solidFill>
                </w14:textFill>
              </w:rPr>
              <w:t>（2）资源综合利用指标</w:t>
            </w:r>
          </w:p>
        </w:tc>
        <w:tc>
          <w:tcPr>
            <w:tcW w:w="403" w:type="pct"/>
            <w:vMerge w:val="restart"/>
            <w:vAlign w:val="center"/>
          </w:tcPr>
          <w:p w14:paraId="628EC732">
            <w:pPr>
              <w:adjustRightInd w:val="0"/>
              <w:snapToGrid w:val="0"/>
              <w:spacing w:line="240" w:lineRule="exact"/>
              <w:jc w:val="center"/>
              <w:rPr>
                <w:rFonts w:hint="eastAsia" w:ascii="宋体" w:hAnsi="宋体"/>
                <w:color w:val="000000" w:themeColor="text1"/>
                <w:spacing w:val="4"/>
                <w:szCs w:val="21"/>
                <w14:textFill>
                  <w14:solidFill>
                    <w14:schemeClr w14:val="tx1"/>
                  </w14:solidFill>
                </w14:textFill>
              </w:rPr>
            </w:pPr>
            <w:r>
              <w:rPr>
                <w:rFonts w:ascii="宋体" w:hAnsi="宋体"/>
                <w:color w:val="000000" w:themeColor="text1"/>
                <w:spacing w:val="4"/>
                <w:szCs w:val="21"/>
                <w14:textFill>
                  <w14:solidFill>
                    <w14:schemeClr w14:val="tx1"/>
                  </w14:solidFill>
                </w14:textFill>
              </w:rPr>
              <w:t>30</w:t>
            </w:r>
          </w:p>
        </w:tc>
        <w:tc>
          <w:tcPr>
            <w:tcW w:w="890" w:type="pct"/>
            <w:gridSpan w:val="3"/>
            <w:vAlign w:val="center"/>
          </w:tcPr>
          <w:p w14:paraId="1A7CC3BD">
            <w:pPr>
              <w:adjustRightInd w:val="0"/>
              <w:snapToGrid w:val="0"/>
              <w:spacing w:line="240" w:lineRule="exact"/>
              <w:jc w:val="center"/>
              <w:rPr>
                <w:rFonts w:hint="eastAsia" w:ascii="宋体" w:hAnsi="宋体"/>
                <w:color w:val="000000" w:themeColor="text1"/>
                <w:spacing w:val="4"/>
                <w:szCs w:val="21"/>
                <w14:textFill>
                  <w14:solidFill>
                    <w14:schemeClr w14:val="tx1"/>
                  </w14:solidFill>
                </w14:textFill>
              </w:rPr>
            </w:pPr>
            <w:r>
              <w:rPr>
                <w:rFonts w:ascii="宋体" w:hAnsi="宋体"/>
                <w:color w:val="000000" w:themeColor="text1"/>
                <w:spacing w:val="4"/>
                <w:szCs w:val="21"/>
                <w14:textFill>
                  <w14:solidFill>
                    <w14:schemeClr w14:val="tx1"/>
                  </w14:solidFill>
                </w14:textFill>
              </w:rPr>
              <w:t>余热利用率</w:t>
            </w:r>
          </w:p>
        </w:tc>
        <w:tc>
          <w:tcPr>
            <w:tcW w:w="466" w:type="pct"/>
            <w:vAlign w:val="center"/>
          </w:tcPr>
          <w:p w14:paraId="3F6DFA82">
            <w:pPr>
              <w:adjustRightInd w:val="0"/>
              <w:snapToGrid w:val="0"/>
              <w:spacing w:line="240" w:lineRule="exact"/>
              <w:jc w:val="center"/>
              <w:rPr>
                <w:rFonts w:hint="eastAsia" w:ascii="宋体" w:hAnsi="宋体"/>
                <w:color w:val="000000" w:themeColor="text1"/>
                <w:spacing w:val="4"/>
                <w:szCs w:val="21"/>
                <w14:textFill>
                  <w14:solidFill>
                    <w14:schemeClr w14:val="tx1"/>
                  </w14:solidFill>
                </w14:textFill>
              </w:rPr>
            </w:pPr>
            <w:r>
              <w:rPr>
                <w:rFonts w:ascii="宋体" w:hAnsi="宋体"/>
                <w:color w:val="000000" w:themeColor="text1"/>
                <w:spacing w:val="4"/>
                <w:szCs w:val="21"/>
                <w14:textFill>
                  <w14:solidFill>
                    <w14:schemeClr w14:val="tx1"/>
                  </w14:solidFill>
                </w14:textFill>
              </w:rPr>
              <w:t>%</w:t>
            </w:r>
          </w:p>
        </w:tc>
        <w:tc>
          <w:tcPr>
            <w:tcW w:w="511" w:type="pct"/>
            <w:gridSpan w:val="2"/>
            <w:vAlign w:val="center"/>
          </w:tcPr>
          <w:p w14:paraId="793026B0">
            <w:pPr>
              <w:adjustRightInd w:val="0"/>
              <w:snapToGrid w:val="0"/>
              <w:spacing w:line="240" w:lineRule="exact"/>
              <w:jc w:val="center"/>
              <w:rPr>
                <w:rFonts w:hint="eastAsia" w:ascii="宋体" w:hAnsi="宋体"/>
                <w:color w:val="000000" w:themeColor="text1"/>
                <w:spacing w:val="4"/>
                <w:szCs w:val="21"/>
                <w14:textFill>
                  <w14:solidFill>
                    <w14:schemeClr w14:val="tx1"/>
                  </w14:solidFill>
                </w14:textFill>
              </w:rPr>
            </w:pPr>
            <w:r>
              <w:rPr>
                <w:rFonts w:ascii="宋体" w:hAnsi="宋体"/>
                <w:color w:val="000000" w:themeColor="text1"/>
                <w:spacing w:val="4"/>
                <w:szCs w:val="21"/>
                <w14:textFill>
                  <w14:solidFill>
                    <w14:schemeClr w14:val="tx1"/>
                  </w14:solidFill>
                </w14:textFill>
              </w:rPr>
              <w:t>10</w:t>
            </w:r>
          </w:p>
        </w:tc>
        <w:tc>
          <w:tcPr>
            <w:tcW w:w="1252" w:type="pct"/>
            <w:gridSpan w:val="2"/>
            <w:vAlign w:val="center"/>
          </w:tcPr>
          <w:p w14:paraId="4749297E">
            <w:pPr>
              <w:adjustRightInd w:val="0"/>
              <w:snapToGrid w:val="0"/>
              <w:spacing w:line="240" w:lineRule="exact"/>
              <w:jc w:val="center"/>
              <w:rPr>
                <w:rFonts w:hint="eastAsia" w:ascii="宋体" w:hAnsi="宋体"/>
                <w:color w:val="000000" w:themeColor="text1"/>
                <w:spacing w:val="4"/>
                <w:szCs w:val="21"/>
                <w14:textFill>
                  <w14:solidFill>
                    <w14:schemeClr w14:val="tx1"/>
                  </w14:solidFill>
                </w14:textFill>
              </w:rPr>
            </w:pPr>
            <w:r>
              <w:rPr>
                <w:rFonts w:ascii="宋体" w:hAnsi="宋体"/>
                <w:color w:val="000000" w:themeColor="text1"/>
                <w:spacing w:val="4"/>
                <w:szCs w:val="21"/>
                <w14:textFill>
                  <w14:solidFill>
                    <w14:schemeClr w14:val="tx1"/>
                  </w14:solidFill>
                </w14:textFill>
              </w:rPr>
              <w:t>≥60</w:t>
            </w:r>
          </w:p>
        </w:tc>
        <w:tc>
          <w:tcPr>
            <w:tcW w:w="347" w:type="pct"/>
            <w:gridSpan w:val="2"/>
            <w:vAlign w:val="center"/>
          </w:tcPr>
          <w:p w14:paraId="5CC9B4D7">
            <w:pPr>
              <w:adjustRightInd w:val="0"/>
              <w:snapToGrid w:val="0"/>
              <w:spacing w:line="240" w:lineRule="exact"/>
              <w:jc w:val="center"/>
              <w:rPr>
                <w:rFonts w:hint="eastAsia" w:ascii="宋体" w:hAnsi="宋体"/>
                <w:color w:val="000000" w:themeColor="text1"/>
                <w:spacing w:val="4"/>
                <w:szCs w:val="21"/>
                <w14:textFill>
                  <w14:solidFill>
                    <w14:schemeClr w14:val="tx1"/>
                  </w14:solidFill>
                </w14:textFill>
              </w:rPr>
            </w:pPr>
            <w:r>
              <w:rPr>
                <w:rFonts w:ascii="宋体" w:hAnsi="宋体"/>
                <w:color w:val="000000" w:themeColor="text1"/>
                <w:spacing w:val="4"/>
                <w:szCs w:val="21"/>
                <w14:textFill>
                  <w14:solidFill>
                    <w14:schemeClr w14:val="tx1"/>
                  </w14:solidFill>
                </w14:textFill>
              </w:rPr>
              <w:t>100</w:t>
            </w:r>
          </w:p>
        </w:tc>
        <w:tc>
          <w:tcPr>
            <w:tcW w:w="298" w:type="pct"/>
            <w:vAlign w:val="center"/>
          </w:tcPr>
          <w:p w14:paraId="412B95CA">
            <w:pPr>
              <w:adjustRightInd w:val="0"/>
              <w:snapToGrid w:val="0"/>
              <w:spacing w:line="240" w:lineRule="exact"/>
              <w:jc w:val="center"/>
              <w:rPr>
                <w:rFonts w:hint="eastAsia" w:ascii="宋体" w:hAnsi="宋体"/>
                <w:color w:val="000000" w:themeColor="text1"/>
                <w:spacing w:val="4"/>
                <w:szCs w:val="21"/>
                <w14:textFill>
                  <w14:solidFill>
                    <w14:schemeClr w14:val="tx1"/>
                  </w14:solidFill>
                </w14:textFill>
              </w:rPr>
            </w:pPr>
            <w:r>
              <w:rPr>
                <w:rFonts w:ascii="宋体" w:hAnsi="宋体"/>
                <w:color w:val="000000" w:themeColor="text1"/>
                <w:spacing w:val="4"/>
                <w:szCs w:val="21"/>
                <w14:textFill>
                  <w14:solidFill>
                    <w14:schemeClr w14:val="tx1"/>
                  </w14:solidFill>
                </w14:textFill>
              </w:rPr>
              <w:t>10</w:t>
            </w:r>
          </w:p>
        </w:tc>
      </w:tr>
      <w:tr w14:paraId="78F884D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834" w:type="pct"/>
            <w:vMerge w:val="continue"/>
            <w:vAlign w:val="center"/>
          </w:tcPr>
          <w:p w14:paraId="637B9D69">
            <w:pPr>
              <w:widowControl/>
              <w:spacing w:line="240" w:lineRule="exact"/>
              <w:jc w:val="left"/>
              <w:rPr>
                <w:rFonts w:hint="eastAsia" w:ascii="宋体" w:hAnsi="宋体"/>
                <w:color w:val="000000" w:themeColor="text1"/>
                <w:spacing w:val="4"/>
                <w:szCs w:val="21"/>
                <w14:textFill>
                  <w14:solidFill>
                    <w14:schemeClr w14:val="tx1"/>
                  </w14:solidFill>
                </w14:textFill>
              </w:rPr>
            </w:pPr>
          </w:p>
        </w:tc>
        <w:tc>
          <w:tcPr>
            <w:tcW w:w="403" w:type="pct"/>
            <w:vMerge w:val="continue"/>
            <w:vAlign w:val="center"/>
          </w:tcPr>
          <w:p w14:paraId="1852BF81">
            <w:pPr>
              <w:widowControl/>
              <w:spacing w:line="240" w:lineRule="exact"/>
              <w:jc w:val="left"/>
              <w:rPr>
                <w:rFonts w:hint="eastAsia" w:ascii="宋体" w:hAnsi="宋体"/>
                <w:color w:val="000000" w:themeColor="text1"/>
                <w:spacing w:val="4"/>
                <w:szCs w:val="21"/>
                <w14:textFill>
                  <w14:solidFill>
                    <w14:schemeClr w14:val="tx1"/>
                  </w14:solidFill>
                </w14:textFill>
              </w:rPr>
            </w:pPr>
          </w:p>
        </w:tc>
        <w:tc>
          <w:tcPr>
            <w:tcW w:w="890" w:type="pct"/>
            <w:gridSpan w:val="3"/>
            <w:vAlign w:val="center"/>
          </w:tcPr>
          <w:p w14:paraId="39898318">
            <w:pPr>
              <w:adjustRightInd w:val="0"/>
              <w:snapToGrid w:val="0"/>
              <w:spacing w:line="240" w:lineRule="exact"/>
              <w:jc w:val="center"/>
              <w:rPr>
                <w:rFonts w:hint="eastAsia" w:ascii="宋体" w:hAnsi="宋体"/>
                <w:color w:val="000000" w:themeColor="text1"/>
                <w:spacing w:val="4"/>
                <w:szCs w:val="21"/>
                <w14:textFill>
                  <w14:solidFill>
                    <w14:schemeClr w14:val="tx1"/>
                  </w14:solidFill>
                </w14:textFill>
              </w:rPr>
            </w:pPr>
            <w:r>
              <w:rPr>
                <w:rFonts w:ascii="宋体" w:hAnsi="宋体"/>
                <w:color w:val="000000" w:themeColor="text1"/>
                <w:spacing w:val="4"/>
                <w:szCs w:val="21"/>
                <w14:textFill>
                  <w14:solidFill>
                    <w14:schemeClr w14:val="tx1"/>
                  </w14:solidFill>
                </w14:textFill>
              </w:rPr>
              <w:t>油井伴生气回收利用率</w:t>
            </w:r>
          </w:p>
        </w:tc>
        <w:tc>
          <w:tcPr>
            <w:tcW w:w="466" w:type="pct"/>
            <w:vAlign w:val="center"/>
          </w:tcPr>
          <w:p w14:paraId="6B76F147">
            <w:pPr>
              <w:adjustRightInd w:val="0"/>
              <w:snapToGrid w:val="0"/>
              <w:spacing w:line="240" w:lineRule="exact"/>
              <w:jc w:val="center"/>
              <w:rPr>
                <w:rFonts w:hint="eastAsia" w:ascii="宋体" w:hAnsi="宋体"/>
                <w:color w:val="000000" w:themeColor="text1"/>
                <w:spacing w:val="4"/>
                <w:szCs w:val="21"/>
                <w14:textFill>
                  <w14:solidFill>
                    <w14:schemeClr w14:val="tx1"/>
                  </w14:solidFill>
                </w14:textFill>
              </w:rPr>
            </w:pPr>
            <w:r>
              <w:rPr>
                <w:rFonts w:ascii="宋体" w:hAnsi="宋体"/>
                <w:color w:val="000000" w:themeColor="text1"/>
                <w:spacing w:val="4"/>
                <w:szCs w:val="21"/>
                <w14:textFill>
                  <w14:solidFill>
                    <w14:schemeClr w14:val="tx1"/>
                  </w14:solidFill>
                </w14:textFill>
              </w:rPr>
              <w:t>%</w:t>
            </w:r>
          </w:p>
        </w:tc>
        <w:tc>
          <w:tcPr>
            <w:tcW w:w="511" w:type="pct"/>
            <w:gridSpan w:val="2"/>
            <w:vAlign w:val="center"/>
          </w:tcPr>
          <w:p w14:paraId="4D132E86">
            <w:pPr>
              <w:adjustRightInd w:val="0"/>
              <w:snapToGrid w:val="0"/>
              <w:spacing w:line="240" w:lineRule="exact"/>
              <w:jc w:val="center"/>
              <w:rPr>
                <w:rFonts w:hint="eastAsia" w:ascii="宋体" w:hAnsi="宋体"/>
                <w:color w:val="000000" w:themeColor="text1"/>
                <w:spacing w:val="4"/>
                <w:szCs w:val="21"/>
                <w14:textFill>
                  <w14:solidFill>
                    <w14:schemeClr w14:val="tx1"/>
                  </w14:solidFill>
                </w14:textFill>
              </w:rPr>
            </w:pPr>
            <w:r>
              <w:rPr>
                <w:rFonts w:ascii="宋体" w:hAnsi="宋体"/>
                <w:color w:val="000000" w:themeColor="text1"/>
                <w:spacing w:val="4"/>
                <w:szCs w:val="21"/>
                <w14:textFill>
                  <w14:solidFill>
                    <w14:schemeClr w14:val="tx1"/>
                  </w14:solidFill>
                </w14:textFill>
              </w:rPr>
              <w:t>10</w:t>
            </w:r>
          </w:p>
        </w:tc>
        <w:tc>
          <w:tcPr>
            <w:tcW w:w="1252" w:type="pct"/>
            <w:gridSpan w:val="2"/>
            <w:vAlign w:val="center"/>
          </w:tcPr>
          <w:p w14:paraId="73EC9CB9">
            <w:pPr>
              <w:adjustRightInd w:val="0"/>
              <w:snapToGrid w:val="0"/>
              <w:spacing w:line="240" w:lineRule="exact"/>
              <w:jc w:val="center"/>
              <w:rPr>
                <w:rFonts w:hint="eastAsia" w:ascii="宋体" w:hAnsi="宋体"/>
                <w:color w:val="000000" w:themeColor="text1"/>
                <w:spacing w:val="4"/>
                <w:szCs w:val="21"/>
                <w14:textFill>
                  <w14:solidFill>
                    <w14:schemeClr w14:val="tx1"/>
                  </w14:solidFill>
                </w14:textFill>
              </w:rPr>
            </w:pPr>
            <w:r>
              <w:rPr>
                <w:rFonts w:ascii="宋体" w:hAnsi="宋体"/>
                <w:color w:val="000000" w:themeColor="text1"/>
                <w:spacing w:val="4"/>
                <w:szCs w:val="21"/>
                <w14:textFill>
                  <w14:solidFill>
                    <w14:schemeClr w14:val="tx1"/>
                  </w14:solidFill>
                </w14:textFill>
              </w:rPr>
              <w:t>≥80</w:t>
            </w:r>
          </w:p>
        </w:tc>
        <w:tc>
          <w:tcPr>
            <w:tcW w:w="347" w:type="pct"/>
            <w:gridSpan w:val="2"/>
            <w:vAlign w:val="center"/>
          </w:tcPr>
          <w:p w14:paraId="57456170">
            <w:pPr>
              <w:adjustRightInd w:val="0"/>
              <w:snapToGrid w:val="0"/>
              <w:spacing w:line="240" w:lineRule="exact"/>
              <w:jc w:val="center"/>
              <w:rPr>
                <w:rFonts w:hint="eastAsia" w:ascii="宋体" w:hAnsi="宋体"/>
                <w:color w:val="000000" w:themeColor="text1"/>
                <w:spacing w:val="4"/>
                <w:szCs w:val="21"/>
                <w14:textFill>
                  <w14:solidFill>
                    <w14:schemeClr w14:val="tx1"/>
                  </w14:solidFill>
                </w14:textFill>
              </w:rPr>
            </w:pPr>
            <w:r>
              <w:rPr>
                <w:rFonts w:hint="eastAsia" w:ascii="宋体" w:hAnsi="宋体"/>
                <w:color w:val="000000" w:themeColor="text1"/>
                <w:spacing w:val="4"/>
                <w:szCs w:val="21"/>
                <w14:textFill>
                  <w14:solidFill>
                    <w14:schemeClr w14:val="tx1"/>
                  </w14:solidFill>
                </w14:textFill>
              </w:rPr>
              <w:t>100</w:t>
            </w:r>
          </w:p>
        </w:tc>
        <w:tc>
          <w:tcPr>
            <w:tcW w:w="298" w:type="pct"/>
            <w:vAlign w:val="center"/>
          </w:tcPr>
          <w:p w14:paraId="1BB7E5D3">
            <w:pPr>
              <w:adjustRightInd w:val="0"/>
              <w:snapToGrid w:val="0"/>
              <w:spacing w:line="240" w:lineRule="exact"/>
              <w:jc w:val="center"/>
              <w:rPr>
                <w:rFonts w:hint="eastAsia" w:ascii="宋体" w:hAnsi="宋体"/>
                <w:color w:val="000000" w:themeColor="text1"/>
                <w:spacing w:val="4"/>
                <w:szCs w:val="21"/>
                <w14:textFill>
                  <w14:solidFill>
                    <w14:schemeClr w14:val="tx1"/>
                  </w14:solidFill>
                </w14:textFill>
              </w:rPr>
            </w:pPr>
            <w:r>
              <w:rPr>
                <w:rFonts w:hint="eastAsia" w:ascii="宋体" w:hAnsi="宋体"/>
                <w:color w:val="000000" w:themeColor="text1"/>
                <w:spacing w:val="4"/>
                <w:szCs w:val="21"/>
                <w14:textFill>
                  <w14:solidFill>
                    <w14:schemeClr w14:val="tx1"/>
                  </w14:solidFill>
                </w14:textFill>
              </w:rPr>
              <w:t>10</w:t>
            </w:r>
          </w:p>
        </w:tc>
      </w:tr>
      <w:tr w14:paraId="23B2CFB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834" w:type="pct"/>
            <w:vMerge w:val="continue"/>
            <w:vAlign w:val="center"/>
          </w:tcPr>
          <w:p w14:paraId="710D77AF">
            <w:pPr>
              <w:widowControl/>
              <w:spacing w:line="240" w:lineRule="exact"/>
              <w:jc w:val="left"/>
              <w:rPr>
                <w:rFonts w:hint="eastAsia" w:ascii="宋体" w:hAnsi="宋体"/>
                <w:color w:val="000000" w:themeColor="text1"/>
                <w:spacing w:val="4"/>
                <w:szCs w:val="21"/>
                <w14:textFill>
                  <w14:solidFill>
                    <w14:schemeClr w14:val="tx1"/>
                  </w14:solidFill>
                </w14:textFill>
              </w:rPr>
            </w:pPr>
          </w:p>
        </w:tc>
        <w:tc>
          <w:tcPr>
            <w:tcW w:w="403" w:type="pct"/>
            <w:vMerge w:val="continue"/>
            <w:vAlign w:val="center"/>
          </w:tcPr>
          <w:p w14:paraId="2CB56258">
            <w:pPr>
              <w:widowControl/>
              <w:spacing w:line="240" w:lineRule="exact"/>
              <w:jc w:val="left"/>
              <w:rPr>
                <w:rFonts w:hint="eastAsia" w:ascii="宋体" w:hAnsi="宋体"/>
                <w:color w:val="000000" w:themeColor="text1"/>
                <w:spacing w:val="4"/>
                <w:szCs w:val="21"/>
                <w14:textFill>
                  <w14:solidFill>
                    <w14:schemeClr w14:val="tx1"/>
                  </w14:solidFill>
                </w14:textFill>
              </w:rPr>
            </w:pPr>
          </w:p>
        </w:tc>
        <w:tc>
          <w:tcPr>
            <w:tcW w:w="890" w:type="pct"/>
            <w:gridSpan w:val="3"/>
            <w:vAlign w:val="center"/>
          </w:tcPr>
          <w:p w14:paraId="458AA7DB">
            <w:pPr>
              <w:adjustRightInd w:val="0"/>
              <w:snapToGrid w:val="0"/>
              <w:spacing w:line="240" w:lineRule="exact"/>
              <w:jc w:val="center"/>
              <w:rPr>
                <w:rFonts w:hint="eastAsia" w:ascii="宋体" w:hAnsi="宋体"/>
                <w:color w:val="000000" w:themeColor="text1"/>
                <w:spacing w:val="4"/>
                <w:szCs w:val="21"/>
                <w14:textFill>
                  <w14:solidFill>
                    <w14:schemeClr w14:val="tx1"/>
                  </w14:solidFill>
                </w14:textFill>
              </w:rPr>
            </w:pPr>
            <w:r>
              <w:rPr>
                <w:rFonts w:ascii="宋体" w:hAnsi="宋体"/>
                <w:color w:val="000000" w:themeColor="text1"/>
                <w:spacing w:val="4"/>
                <w:szCs w:val="21"/>
                <w14:textFill>
                  <w14:solidFill>
                    <w14:schemeClr w14:val="tx1"/>
                  </w14:solidFill>
                </w14:textFill>
              </w:rPr>
              <w:t>含油污泥资源化利用率</w:t>
            </w:r>
          </w:p>
        </w:tc>
        <w:tc>
          <w:tcPr>
            <w:tcW w:w="466" w:type="pct"/>
            <w:vAlign w:val="center"/>
          </w:tcPr>
          <w:p w14:paraId="735646E2">
            <w:pPr>
              <w:adjustRightInd w:val="0"/>
              <w:snapToGrid w:val="0"/>
              <w:spacing w:line="240" w:lineRule="exact"/>
              <w:jc w:val="center"/>
              <w:rPr>
                <w:rFonts w:hint="eastAsia" w:ascii="宋体" w:hAnsi="宋体"/>
                <w:color w:val="000000" w:themeColor="text1"/>
                <w:spacing w:val="4"/>
                <w:szCs w:val="21"/>
                <w14:textFill>
                  <w14:solidFill>
                    <w14:schemeClr w14:val="tx1"/>
                  </w14:solidFill>
                </w14:textFill>
              </w:rPr>
            </w:pPr>
            <w:r>
              <w:rPr>
                <w:rFonts w:ascii="宋体" w:hAnsi="宋体"/>
                <w:color w:val="000000" w:themeColor="text1"/>
                <w:spacing w:val="4"/>
                <w:szCs w:val="21"/>
                <w14:textFill>
                  <w14:solidFill>
                    <w14:schemeClr w14:val="tx1"/>
                  </w14:solidFill>
                </w14:textFill>
              </w:rPr>
              <w:t>%</w:t>
            </w:r>
          </w:p>
        </w:tc>
        <w:tc>
          <w:tcPr>
            <w:tcW w:w="511" w:type="pct"/>
            <w:gridSpan w:val="2"/>
            <w:vAlign w:val="center"/>
          </w:tcPr>
          <w:p w14:paraId="4FEA537F">
            <w:pPr>
              <w:adjustRightInd w:val="0"/>
              <w:snapToGrid w:val="0"/>
              <w:spacing w:line="240" w:lineRule="exact"/>
              <w:jc w:val="center"/>
              <w:rPr>
                <w:rFonts w:hint="eastAsia" w:ascii="宋体" w:hAnsi="宋体"/>
                <w:color w:val="000000" w:themeColor="text1"/>
                <w:spacing w:val="4"/>
                <w:szCs w:val="21"/>
                <w14:textFill>
                  <w14:solidFill>
                    <w14:schemeClr w14:val="tx1"/>
                  </w14:solidFill>
                </w14:textFill>
              </w:rPr>
            </w:pPr>
            <w:r>
              <w:rPr>
                <w:rFonts w:ascii="宋体" w:hAnsi="宋体"/>
                <w:color w:val="000000" w:themeColor="text1"/>
                <w:spacing w:val="4"/>
                <w:szCs w:val="21"/>
                <w14:textFill>
                  <w14:solidFill>
                    <w14:schemeClr w14:val="tx1"/>
                  </w14:solidFill>
                </w14:textFill>
              </w:rPr>
              <w:t>10</w:t>
            </w:r>
          </w:p>
        </w:tc>
        <w:tc>
          <w:tcPr>
            <w:tcW w:w="1252" w:type="pct"/>
            <w:gridSpan w:val="2"/>
            <w:vAlign w:val="center"/>
          </w:tcPr>
          <w:p w14:paraId="6B9211AA">
            <w:pPr>
              <w:adjustRightInd w:val="0"/>
              <w:snapToGrid w:val="0"/>
              <w:spacing w:line="240" w:lineRule="exact"/>
              <w:jc w:val="center"/>
              <w:rPr>
                <w:rFonts w:hint="eastAsia" w:ascii="宋体" w:hAnsi="宋体"/>
                <w:color w:val="000000" w:themeColor="text1"/>
                <w:spacing w:val="4"/>
                <w:szCs w:val="21"/>
                <w14:textFill>
                  <w14:solidFill>
                    <w14:schemeClr w14:val="tx1"/>
                  </w14:solidFill>
                </w14:textFill>
              </w:rPr>
            </w:pPr>
            <w:r>
              <w:rPr>
                <w:rFonts w:ascii="宋体" w:hAnsi="宋体"/>
                <w:color w:val="000000" w:themeColor="text1"/>
                <w:spacing w:val="4"/>
                <w:szCs w:val="21"/>
                <w14:textFill>
                  <w14:solidFill>
                    <w14:schemeClr w14:val="tx1"/>
                  </w14:solidFill>
                </w14:textFill>
              </w:rPr>
              <w:t>≥90</w:t>
            </w:r>
          </w:p>
        </w:tc>
        <w:tc>
          <w:tcPr>
            <w:tcW w:w="347" w:type="pct"/>
            <w:gridSpan w:val="2"/>
            <w:vAlign w:val="center"/>
          </w:tcPr>
          <w:p w14:paraId="5DBCA17D">
            <w:pPr>
              <w:adjustRightInd w:val="0"/>
              <w:snapToGrid w:val="0"/>
              <w:spacing w:line="240" w:lineRule="exact"/>
              <w:jc w:val="center"/>
              <w:rPr>
                <w:rFonts w:hint="eastAsia" w:ascii="宋体" w:hAnsi="宋体"/>
                <w:color w:val="000000" w:themeColor="text1"/>
                <w:spacing w:val="4"/>
                <w:szCs w:val="21"/>
                <w14:textFill>
                  <w14:solidFill>
                    <w14:schemeClr w14:val="tx1"/>
                  </w14:solidFill>
                </w14:textFill>
              </w:rPr>
            </w:pPr>
            <w:r>
              <w:rPr>
                <w:rFonts w:ascii="宋体" w:hAnsi="宋体"/>
                <w:color w:val="000000" w:themeColor="text1"/>
                <w:spacing w:val="4"/>
                <w:szCs w:val="21"/>
                <w14:textFill>
                  <w14:solidFill>
                    <w14:schemeClr w14:val="tx1"/>
                  </w14:solidFill>
                </w14:textFill>
              </w:rPr>
              <w:t>100</w:t>
            </w:r>
          </w:p>
        </w:tc>
        <w:tc>
          <w:tcPr>
            <w:tcW w:w="298" w:type="pct"/>
            <w:vAlign w:val="center"/>
          </w:tcPr>
          <w:p w14:paraId="288C26A2">
            <w:pPr>
              <w:adjustRightInd w:val="0"/>
              <w:snapToGrid w:val="0"/>
              <w:spacing w:line="240" w:lineRule="exact"/>
              <w:jc w:val="center"/>
              <w:rPr>
                <w:rFonts w:hint="eastAsia" w:ascii="宋体" w:hAnsi="宋体"/>
                <w:color w:val="000000" w:themeColor="text1"/>
                <w:spacing w:val="4"/>
                <w:szCs w:val="21"/>
                <w14:textFill>
                  <w14:solidFill>
                    <w14:schemeClr w14:val="tx1"/>
                  </w14:solidFill>
                </w14:textFill>
              </w:rPr>
            </w:pPr>
            <w:r>
              <w:rPr>
                <w:rFonts w:ascii="宋体" w:hAnsi="宋体"/>
                <w:color w:val="000000" w:themeColor="text1"/>
                <w:spacing w:val="4"/>
                <w:szCs w:val="21"/>
                <w14:textFill>
                  <w14:solidFill>
                    <w14:schemeClr w14:val="tx1"/>
                  </w14:solidFill>
                </w14:textFill>
              </w:rPr>
              <w:t>10</w:t>
            </w:r>
          </w:p>
        </w:tc>
      </w:tr>
      <w:tr w14:paraId="2FF818C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834" w:type="pct"/>
            <w:vMerge w:val="restart"/>
            <w:vAlign w:val="center"/>
          </w:tcPr>
          <w:p w14:paraId="1DD8A363">
            <w:pPr>
              <w:adjustRightInd w:val="0"/>
              <w:snapToGrid w:val="0"/>
              <w:spacing w:line="240" w:lineRule="exact"/>
              <w:jc w:val="center"/>
              <w:rPr>
                <w:rFonts w:hint="eastAsia" w:ascii="宋体" w:hAnsi="宋体"/>
                <w:color w:val="000000" w:themeColor="text1"/>
                <w:spacing w:val="4"/>
                <w:szCs w:val="21"/>
                <w14:textFill>
                  <w14:solidFill>
                    <w14:schemeClr w14:val="tx1"/>
                  </w14:solidFill>
                </w14:textFill>
              </w:rPr>
            </w:pPr>
            <w:r>
              <w:rPr>
                <w:rFonts w:ascii="宋体" w:hAnsi="宋体"/>
                <w:color w:val="000000" w:themeColor="text1"/>
                <w:spacing w:val="4"/>
                <w:szCs w:val="21"/>
                <w14:textFill>
                  <w14:solidFill>
                    <w14:schemeClr w14:val="tx1"/>
                  </w14:solidFill>
                </w14:textFill>
              </w:rPr>
              <w:t>（3）污染物产生指标</w:t>
            </w:r>
          </w:p>
        </w:tc>
        <w:tc>
          <w:tcPr>
            <w:tcW w:w="403" w:type="pct"/>
            <w:vMerge w:val="restart"/>
            <w:vAlign w:val="center"/>
          </w:tcPr>
          <w:p w14:paraId="1B00CE01">
            <w:pPr>
              <w:adjustRightInd w:val="0"/>
              <w:snapToGrid w:val="0"/>
              <w:spacing w:line="240" w:lineRule="exact"/>
              <w:jc w:val="center"/>
              <w:rPr>
                <w:rFonts w:hint="eastAsia" w:ascii="宋体" w:hAnsi="宋体"/>
                <w:color w:val="000000" w:themeColor="text1"/>
                <w:spacing w:val="4"/>
                <w:szCs w:val="21"/>
                <w14:textFill>
                  <w14:solidFill>
                    <w14:schemeClr w14:val="tx1"/>
                  </w14:solidFill>
                </w14:textFill>
              </w:rPr>
            </w:pPr>
            <w:r>
              <w:rPr>
                <w:rFonts w:ascii="宋体" w:hAnsi="宋体"/>
                <w:color w:val="000000" w:themeColor="text1"/>
                <w:spacing w:val="4"/>
                <w:szCs w:val="21"/>
                <w14:textFill>
                  <w14:solidFill>
                    <w14:schemeClr w14:val="tx1"/>
                  </w14:solidFill>
                </w14:textFill>
              </w:rPr>
              <w:t>40</w:t>
            </w:r>
          </w:p>
        </w:tc>
        <w:tc>
          <w:tcPr>
            <w:tcW w:w="890" w:type="pct"/>
            <w:gridSpan w:val="3"/>
            <w:vAlign w:val="center"/>
          </w:tcPr>
          <w:p w14:paraId="08EBC951">
            <w:pPr>
              <w:adjustRightInd w:val="0"/>
              <w:snapToGrid w:val="0"/>
              <w:spacing w:line="240" w:lineRule="exact"/>
              <w:jc w:val="center"/>
              <w:rPr>
                <w:rFonts w:hint="eastAsia" w:ascii="宋体" w:hAnsi="宋体"/>
                <w:color w:val="000000" w:themeColor="text1"/>
                <w:spacing w:val="4"/>
                <w:szCs w:val="21"/>
                <w14:textFill>
                  <w14:solidFill>
                    <w14:schemeClr w14:val="tx1"/>
                  </w14:solidFill>
                </w14:textFill>
              </w:rPr>
            </w:pPr>
            <w:r>
              <w:rPr>
                <w:rFonts w:ascii="宋体" w:hAnsi="宋体"/>
                <w:color w:val="000000" w:themeColor="text1"/>
                <w:spacing w:val="4"/>
                <w:szCs w:val="21"/>
                <w14:textFill>
                  <w14:solidFill>
                    <w14:schemeClr w14:val="tx1"/>
                  </w14:solidFill>
                </w14:textFill>
              </w:rPr>
              <w:t>石油类</w:t>
            </w:r>
          </w:p>
        </w:tc>
        <w:tc>
          <w:tcPr>
            <w:tcW w:w="466" w:type="pct"/>
            <w:vAlign w:val="center"/>
          </w:tcPr>
          <w:p w14:paraId="5896F0CE">
            <w:pPr>
              <w:adjustRightInd w:val="0"/>
              <w:snapToGrid w:val="0"/>
              <w:spacing w:line="240" w:lineRule="exact"/>
              <w:jc w:val="center"/>
              <w:rPr>
                <w:rFonts w:hint="eastAsia" w:ascii="宋体" w:hAnsi="宋体"/>
                <w:color w:val="000000" w:themeColor="text1"/>
                <w:spacing w:val="4"/>
                <w:szCs w:val="21"/>
                <w14:textFill>
                  <w14:solidFill>
                    <w14:schemeClr w14:val="tx1"/>
                  </w14:solidFill>
                </w14:textFill>
              </w:rPr>
            </w:pPr>
            <w:r>
              <w:rPr>
                <w:rFonts w:ascii="宋体" w:hAnsi="宋体"/>
                <w:color w:val="000000" w:themeColor="text1"/>
                <w:spacing w:val="4"/>
                <w:szCs w:val="21"/>
                <w14:textFill>
                  <w14:solidFill>
                    <w14:schemeClr w14:val="tx1"/>
                  </w14:solidFill>
                </w14:textFill>
              </w:rPr>
              <w:t>%</w:t>
            </w:r>
          </w:p>
        </w:tc>
        <w:tc>
          <w:tcPr>
            <w:tcW w:w="511" w:type="pct"/>
            <w:gridSpan w:val="2"/>
            <w:vAlign w:val="center"/>
          </w:tcPr>
          <w:p w14:paraId="31A0FA82">
            <w:pPr>
              <w:adjustRightInd w:val="0"/>
              <w:snapToGrid w:val="0"/>
              <w:spacing w:line="240" w:lineRule="exact"/>
              <w:jc w:val="center"/>
              <w:rPr>
                <w:rFonts w:hint="eastAsia" w:ascii="宋体" w:hAnsi="宋体"/>
                <w:color w:val="000000" w:themeColor="text1"/>
                <w:spacing w:val="4"/>
                <w:szCs w:val="21"/>
                <w14:textFill>
                  <w14:solidFill>
                    <w14:schemeClr w14:val="tx1"/>
                  </w14:solidFill>
                </w14:textFill>
              </w:rPr>
            </w:pPr>
            <w:r>
              <w:rPr>
                <w:rFonts w:ascii="宋体" w:hAnsi="宋体"/>
                <w:color w:val="000000" w:themeColor="text1"/>
                <w:spacing w:val="4"/>
                <w:szCs w:val="21"/>
                <w14:textFill>
                  <w14:solidFill>
                    <w14:schemeClr w14:val="tx1"/>
                  </w14:solidFill>
                </w14:textFill>
              </w:rPr>
              <w:t>5</w:t>
            </w:r>
          </w:p>
        </w:tc>
        <w:tc>
          <w:tcPr>
            <w:tcW w:w="1252" w:type="pct"/>
            <w:gridSpan w:val="2"/>
            <w:vAlign w:val="center"/>
          </w:tcPr>
          <w:p w14:paraId="07B727BE">
            <w:pPr>
              <w:adjustRightInd w:val="0"/>
              <w:snapToGrid w:val="0"/>
              <w:spacing w:line="240" w:lineRule="exact"/>
              <w:jc w:val="center"/>
              <w:rPr>
                <w:rFonts w:hint="eastAsia" w:ascii="宋体" w:hAnsi="宋体"/>
                <w:color w:val="000000" w:themeColor="text1"/>
                <w:spacing w:val="4"/>
                <w:szCs w:val="21"/>
                <w14:textFill>
                  <w14:solidFill>
                    <w14:schemeClr w14:val="tx1"/>
                  </w14:solidFill>
                </w14:textFill>
              </w:rPr>
            </w:pPr>
            <w:r>
              <w:rPr>
                <w:rFonts w:ascii="宋体" w:hAnsi="宋体"/>
                <w:color w:val="000000" w:themeColor="text1"/>
                <w:spacing w:val="4"/>
                <w:szCs w:val="21"/>
                <w14:textFill>
                  <w14:solidFill>
                    <w14:schemeClr w14:val="tx1"/>
                  </w14:solidFill>
                </w14:textFill>
              </w:rPr>
              <w:t>≤10</w:t>
            </w:r>
          </w:p>
        </w:tc>
        <w:tc>
          <w:tcPr>
            <w:tcW w:w="347" w:type="pct"/>
            <w:gridSpan w:val="2"/>
            <w:vAlign w:val="center"/>
          </w:tcPr>
          <w:p w14:paraId="187C67B0">
            <w:pPr>
              <w:adjustRightInd w:val="0"/>
              <w:snapToGrid w:val="0"/>
              <w:spacing w:line="240" w:lineRule="exact"/>
              <w:jc w:val="center"/>
              <w:rPr>
                <w:rFonts w:hint="eastAsia" w:ascii="宋体" w:hAnsi="宋体"/>
                <w:color w:val="000000" w:themeColor="text1"/>
                <w:spacing w:val="4"/>
                <w:szCs w:val="21"/>
                <w14:textFill>
                  <w14:solidFill>
                    <w14:schemeClr w14:val="tx1"/>
                  </w14:solidFill>
                </w14:textFill>
              </w:rPr>
            </w:pPr>
            <w:r>
              <w:rPr>
                <w:rFonts w:ascii="宋体" w:hAnsi="宋体"/>
                <w:color w:val="000000" w:themeColor="text1"/>
                <w:spacing w:val="4"/>
                <w:szCs w:val="21"/>
                <w14:textFill>
                  <w14:solidFill>
                    <w14:schemeClr w14:val="tx1"/>
                  </w14:solidFill>
                </w14:textFill>
              </w:rPr>
              <w:t>0</w:t>
            </w:r>
          </w:p>
        </w:tc>
        <w:tc>
          <w:tcPr>
            <w:tcW w:w="298" w:type="pct"/>
            <w:vAlign w:val="center"/>
          </w:tcPr>
          <w:p w14:paraId="77A27F3C">
            <w:pPr>
              <w:adjustRightInd w:val="0"/>
              <w:snapToGrid w:val="0"/>
              <w:spacing w:line="240" w:lineRule="exact"/>
              <w:jc w:val="center"/>
              <w:rPr>
                <w:rFonts w:hint="eastAsia" w:ascii="宋体" w:hAnsi="宋体"/>
                <w:color w:val="000000" w:themeColor="text1"/>
                <w:spacing w:val="4"/>
                <w:szCs w:val="21"/>
                <w14:textFill>
                  <w14:solidFill>
                    <w14:schemeClr w14:val="tx1"/>
                  </w14:solidFill>
                </w14:textFill>
              </w:rPr>
            </w:pPr>
            <w:r>
              <w:rPr>
                <w:rFonts w:ascii="宋体" w:hAnsi="宋体"/>
                <w:color w:val="000000" w:themeColor="text1"/>
                <w:spacing w:val="4"/>
                <w:szCs w:val="21"/>
                <w14:textFill>
                  <w14:solidFill>
                    <w14:schemeClr w14:val="tx1"/>
                  </w14:solidFill>
                </w14:textFill>
              </w:rPr>
              <w:t>5</w:t>
            </w:r>
          </w:p>
        </w:tc>
      </w:tr>
      <w:tr w14:paraId="112FBE1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834" w:type="pct"/>
            <w:vMerge w:val="continue"/>
            <w:vAlign w:val="center"/>
          </w:tcPr>
          <w:p w14:paraId="5BDA9CF9">
            <w:pPr>
              <w:widowControl/>
              <w:spacing w:line="240" w:lineRule="exact"/>
              <w:jc w:val="left"/>
              <w:rPr>
                <w:rFonts w:hint="eastAsia" w:ascii="宋体" w:hAnsi="宋体"/>
                <w:color w:val="000000" w:themeColor="text1"/>
                <w:spacing w:val="4"/>
                <w:szCs w:val="21"/>
                <w14:textFill>
                  <w14:solidFill>
                    <w14:schemeClr w14:val="tx1"/>
                  </w14:solidFill>
                </w14:textFill>
              </w:rPr>
            </w:pPr>
          </w:p>
        </w:tc>
        <w:tc>
          <w:tcPr>
            <w:tcW w:w="403" w:type="pct"/>
            <w:vMerge w:val="continue"/>
            <w:vAlign w:val="center"/>
          </w:tcPr>
          <w:p w14:paraId="6CC4D5C5">
            <w:pPr>
              <w:widowControl/>
              <w:spacing w:line="240" w:lineRule="exact"/>
              <w:jc w:val="left"/>
              <w:rPr>
                <w:rFonts w:hint="eastAsia" w:ascii="宋体" w:hAnsi="宋体"/>
                <w:color w:val="000000" w:themeColor="text1"/>
                <w:spacing w:val="4"/>
                <w:szCs w:val="21"/>
                <w14:textFill>
                  <w14:solidFill>
                    <w14:schemeClr w14:val="tx1"/>
                  </w14:solidFill>
                </w14:textFill>
              </w:rPr>
            </w:pPr>
          </w:p>
        </w:tc>
        <w:tc>
          <w:tcPr>
            <w:tcW w:w="890" w:type="pct"/>
            <w:gridSpan w:val="3"/>
            <w:vAlign w:val="center"/>
          </w:tcPr>
          <w:p w14:paraId="5649D42F">
            <w:pPr>
              <w:adjustRightInd w:val="0"/>
              <w:snapToGrid w:val="0"/>
              <w:spacing w:line="240" w:lineRule="exact"/>
              <w:jc w:val="center"/>
              <w:rPr>
                <w:rFonts w:hint="eastAsia" w:ascii="宋体" w:hAnsi="宋体"/>
                <w:color w:val="000000" w:themeColor="text1"/>
                <w:spacing w:val="4"/>
                <w:szCs w:val="21"/>
                <w14:textFill>
                  <w14:solidFill>
                    <w14:schemeClr w14:val="tx1"/>
                  </w14:solidFill>
                </w14:textFill>
              </w:rPr>
            </w:pPr>
            <w:r>
              <w:rPr>
                <w:rFonts w:ascii="宋体" w:hAnsi="宋体"/>
                <w:color w:val="000000" w:themeColor="text1"/>
                <w:spacing w:val="4"/>
                <w:szCs w:val="21"/>
                <w14:textFill>
                  <w14:solidFill>
                    <w14:schemeClr w14:val="tx1"/>
                  </w14:solidFill>
                </w14:textFill>
              </w:rPr>
              <w:t>COD</w:t>
            </w:r>
          </w:p>
        </w:tc>
        <w:tc>
          <w:tcPr>
            <w:tcW w:w="466" w:type="pct"/>
            <w:vAlign w:val="center"/>
          </w:tcPr>
          <w:p w14:paraId="695E0562">
            <w:pPr>
              <w:adjustRightInd w:val="0"/>
              <w:snapToGrid w:val="0"/>
              <w:spacing w:line="240" w:lineRule="exact"/>
              <w:jc w:val="center"/>
              <w:rPr>
                <w:rFonts w:hint="eastAsia" w:ascii="宋体" w:hAnsi="宋体"/>
                <w:color w:val="000000" w:themeColor="text1"/>
                <w:spacing w:val="4"/>
                <w:szCs w:val="21"/>
                <w14:textFill>
                  <w14:solidFill>
                    <w14:schemeClr w14:val="tx1"/>
                  </w14:solidFill>
                </w14:textFill>
              </w:rPr>
            </w:pPr>
            <w:r>
              <w:rPr>
                <w:rFonts w:ascii="宋体" w:hAnsi="宋体"/>
                <w:color w:val="000000" w:themeColor="text1"/>
                <w:spacing w:val="4"/>
                <w:szCs w:val="21"/>
                <w14:textFill>
                  <w14:solidFill>
                    <w14:schemeClr w14:val="tx1"/>
                  </w14:solidFill>
                </w14:textFill>
              </w:rPr>
              <w:t>%</w:t>
            </w:r>
          </w:p>
        </w:tc>
        <w:tc>
          <w:tcPr>
            <w:tcW w:w="511" w:type="pct"/>
            <w:gridSpan w:val="2"/>
            <w:vAlign w:val="center"/>
          </w:tcPr>
          <w:p w14:paraId="57017989">
            <w:pPr>
              <w:adjustRightInd w:val="0"/>
              <w:snapToGrid w:val="0"/>
              <w:spacing w:line="240" w:lineRule="exact"/>
              <w:jc w:val="center"/>
              <w:rPr>
                <w:rFonts w:hint="eastAsia" w:ascii="宋体" w:hAnsi="宋体"/>
                <w:color w:val="000000" w:themeColor="text1"/>
                <w:spacing w:val="4"/>
                <w:szCs w:val="21"/>
                <w14:textFill>
                  <w14:solidFill>
                    <w14:schemeClr w14:val="tx1"/>
                  </w14:solidFill>
                </w14:textFill>
              </w:rPr>
            </w:pPr>
            <w:r>
              <w:rPr>
                <w:rFonts w:ascii="宋体" w:hAnsi="宋体"/>
                <w:color w:val="000000" w:themeColor="text1"/>
                <w:spacing w:val="4"/>
                <w:szCs w:val="21"/>
                <w14:textFill>
                  <w14:solidFill>
                    <w14:schemeClr w14:val="tx1"/>
                  </w14:solidFill>
                </w14:textFill>
              </w:rPr>
              <w:t>5</w:t>
            </w:r>
          </w:p>
        </w:tc>
        <w:tc>
          <w:tcPr>
            <w:tcW w:w="1252" w:type="pct"/>
            <w:gridSpan w:val="2"/>
            <w:vAlign w:val="center"/>
          </w:tcPr>
          <w:p w14:paraId="6EA05D0D">
            <w:pPr>
              <w:adjustRightInd w:val="0"/>
              <w:snapToGrid w:val="0"/>
              <w:spacing w:line="240" w:lineRule="exact"/>
              <w:jc w:val="center"/>
              <w:rPr>
                <w:rFonts w:hint="eastAsia" w:ascii="宋体" w:hAnsi="宋体"/>
                <w:color w:val="000000" w:themeColor="text1"/>
                <w:spacing w:val="4"/>
                <w:szCs w:val="21"/>
                <w14:textFill>
                  <w14:solidFill>
                    <w14:schemeClr w14:val="tx1"/>
                  </w14:solidFill>
                </w14:textFill>
              </w:rPr>
            </w:pPr>
            <w:r>
              <w:rPr>
                <w:rFonts w:ascii="宋体" w:hAnsi="宋体"/>
                <w:color w:val="000000" w:themeColor="text1"/>
                <w:spacing w:val="4"/>
                <w:szCs w:val="21"/>
                <w14:textFill>
                  <w14:solidFill>
                    <w14:schemeClr w14:val="tx1"/>
                  </w14:solidFill>
                </w14:textFill>
              </w:rPr>
              <w:t>甲类区：≤100；乙类区：≤150</w:t>
            </w:r>
          </w:p>
        </w:tc>
        <w:tc>
          <w:tcPr>
            <w:tcW w:w="347" w:type="pct"/>
            <w:gridSpan w:val="2"/>
            <w:vAlign w:val="center"/>
          </w:tcPr>
          <w:p w14:paraId="191EA539">
            <w:pPr>
              <w:adjustRightInd w:val="0"/>
              <w:snapToGrid w:val="0"/>
              <w:spacing w:line="240" w:lineRule="exact"/>
              <w:jc w:val="center"/>
              <w:rPr>
                <w:rFonts w:hint="eastAsia" w:ascii="宋体" w:hAnsi="宋体"/>
                <w:color w:val="000000" w:themeColor="text1"/>
                <w:spacing w:val="4"/>
                <w:szCs w:val="21"/>
                <w14:textFill>
                  <w14:solidFill>
                    <w14:schemeClr w14:val="tx1"/>
                  </w14:solidFill>
                </w14:textFill>
              </w:rPr>
            </w:pPr>
            <w:r>
              <w:rPr>
                <w:rFonts w:ascii="宋体" w:hAnsi="宋体"/>
                <w:color w:val="000000" w:themeColor="text1"/>
                <w:spacing w:val="4"/>
                <w:szCs w:val="21"/>
                <w14:textFill>
                  <w14:solidFill>
                    <w14:schemeClr w14:val="tx1"/>
                  </w14:solidFill>
                </w14:textFill>
              </w:rPr>
              <w:t>0</w:t>
            </w:r>
          </w:p>
        </w:tc>
        <w:tc>
          <w:tcPr>
            <w:tcW w:w="298" w:type="pct"/>
            <w:vAlign w:val="center"/>
          </w:tcPr>
          <w:p w14:paraId="47B54BF5">
            <w:pPr>
              <w:adjustRightInd w:val="0"/>
              <w:snapToGrid w:val="0"/>
              <w:spacing w:line="240" w:lineRule="exact"/>
              <w:jc w:val="center"/>
              <w:rPr>
                <w:rFonts w:hint="eastAsia" w:ascii="宋体" w:hAnsi="宋体"/>
                <w:color w:val="000000" w:themeColor="text1"/>
                <w:spacing w:val="4"/>
                <w:szCs w:val="21"/>
                <w14:textFill>
                  <w14:solidFill>
                    <w14:schemeClr w14:val="tx1"/>
                  </w14:solidFill>
                </w14:textFill>
              </w:rPr>
            </w:pPr>
            <w:r>
              <w:rPr>
                <w:rFonts w:ascii="宋体" w:hAnsi="宋体"/>
                <w:color w:val="000000" w:themeColor="text1"/>
                <w:spacing w:val="4"/>
                <w:szCs w:val="21"/>
                <w14:textFill>
                  <w14:solidFill>
                    <w14:schemeClr w14:val="tx1"/>
                  </w14:solidFill>
                </w14:textFill>
              </w:rPr>
              <w:t>5</w:t>
            </w:r>
          </w:p>
        </w:tc>
      </w:tr>
      <w:tr w14:paraId="2BAAC47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834" w:type="pct"/>
            <w:vMerge w:val="continue"/>
            <w:vAlign w:val="center"/>
          </w:tcPr>
          <w:p w14:paraId="6F9C21CA">
            <w:pPr>
              <w:widowControl/>
              <w:spacing w:line="240" w:lineRule="exact"/>
              <w:jc w:val="left"/>
              <w:rPr>
                <w:rFonts w:hint="eastAsia" w:ascii="宋体" w:hAnsi="宋体"/>
                <w:color w:val="000000" w:themeColor="text1"/>
                <w:spacing w:val="4"/>
                <w:szCs w:val="21"/>
                <w14:textFill>
                  <w14:solidFill>
                    <w14:schemeClr w14:val="tx1"/>
                  </w14:solidFill>
                </w14:textFill>
              </w:rPr>
            </w:pPr>
          </w:p>
        </w:tc>
        <w:tc>
          <w:tcPr>
            <w:tcW w:w="403" w:type="pct"/>
            <w:vMerge w:val="continue"/>
            <w:vAlign w:val="center"/>
          </w:tcPr>
          <w:p w14:paraId="53C92D61">
            <w:pPr>
              <w:widowControl/>
              <w:spacing w:line="240" w:lineRule="exact"/>
              <w:jc w:val="left"/>
              <w:rPr>
                <w:rFonts w:hint="eastAsia" w:ascii="宋体" w:hAnsi="宋体"/>
                <w:color w:val="000000" w:themeColor="text1"/>
                <w:spacing w:val="4"/>
                <w:szCs w:val="21"/>
                <w14:textFill>
                  <w14:solidFill>
                    <w14:schemeClr w14:val="tx1"/>
                  </w14:solidFill>
                </w14:textFill>
              </w:rPr>
            </w:pPr>
          </w:p>
        </w:tc>
        <w:tc>
          <w:tcPr>
            <w:tcW w:w="890" w:type="pct"/>
            <w:gridSpan w:val="3"/>
            <w:vAlign w:val="center"/>
          </w:tcPr>
          <w:p w14:paraId="67DECAC3">
            <w:pPr>
              <w:adjustRightInd w:val="0"/>
              <w:snapToGrid w:val="0"/>
              <w:spacing w:line="240" w:lineRule="exact"/>
              <w:jc w:val="center"/>
              <w:rPr>
                <w:rFonts w:hint="eastAsia" w:ascii="宋体" w:hAnsi="宋体"/>
                <w:color w:val="000000" w:themeColor="text1"/>
                <w:spacing w:val="4"/>
                <w:szCs w:val="21"/>
                <w14:textFill>
                  <w14:solidFill>
                    <w14:schemeClr w14:val="tx1"/>
                  </w14:solidFill>
                </w14:textFill>
              </w:rPr>
            </w:pPr>
            <w:r>
              <w:rPr>
                <w:rFonts w:ascii="宋体" w:hAnsi="宋体"/>
                <w:color w:val="000000" w:themeColor="text1"/>
                <w:spacing w:val="4"/>
                <w:szCs w:val="21"/>
                <w14:textFill>
                  <w14:solidFill>
                    <w14:schemeClr w14:val="tx1"/>
                  </w14:solidFill>
                </w14:textFill>
              </w:rPr>
              <w:t>落地原油回收利用率</w:t>
            </w:r>
          </w:p>
        </w:tc>
        <w:tc>
          <w:tcPr>
            <w:tcW w:w="466" w:type="pct"/>
            <w:vAlign w:val="center"/>
          </w:tcPr>
          <w:p w14:paraId="69158396">
            <w:pPr>
              <w:adjustRightInd w:val="0"/>
              <w:snapToGrid w:val="0"/>
              <w:spacing w:line="240" w:lineRule="exact"/>
              <w:jc w:val="center"/>
              <w:rPr>
                <w:rFonts w:hint="eastAsia" w:ascii="宋体" w:hAnsi="宋体"/>
                <w:color w:val="000000" w:themeColor="text1"/>
                <w:spacing w:val="4"/>
                <w:szCs w:val="21"/>
                <w14:textFill>
                  <w14:solidFill>
                    <w14:schemeClr w14:val="tx1"/>
                  </w14:solidFill>
                </w14:textFill>
              </w:rPr>
            </w:pPr>
            <w:r>
              <w:rPr>
                <w:rFonts w:ascii="宋体" w:hAnsi="宋体"/>
                <w:color w:val="000000" w:themeColor="text1"/>
                <w:spacing w:val="4"/>
                <w:szCs w:val="21"/>
                <w14:textFill>
                  <w14:solidFill>
                    <w14:schemeClr w14:val="tx1"/>
                  </w14:solidFill>
                </w14:textFill>
              </w:rPr>
              <w:t>%</w:t>
            </w:r>
          </w:p>
        </w:tc>
        <w:tc>
          <w:tcPr>
            <w:tcW w:w="511" w:type="pct"/>
            <w:gridSpan w:val="2"/>
            <w:vAlign w:val="center"/>
          </w:tcPr>
          <w:p w14:paraId="79660F25">
            <w:pPr>
              <w:adjustRightInd w:val="0"/>
              <w:snapToGrid w:val="0"/>
              <w:spacing w:line="240" w:lineRule="exact"/>
              <w:jc w:val="center"/>
              <w:rPr>
                <w:rFonts w:hint="eastAsia" w:ascii="宋体" w:hAnsi="宋体"/>
                <w:color w:val="000000" w:themeColor="text1"/>
                <w:spacing w:val="4"/>
                <w:szCs w:val="21"/>
                <w14:textFill>
                  <w14:solidFill>
                    <w14:schemeClr w14:val="tx1"/>
                  </w14:solidFill>
                </w14:textFill>
              </w:rPr>
            </w:pPr>
            <w:r>
              <w:rPr>
                <w:rFonts w:ascii="宋体" w:hAnsi="宋体"/>
                <w:color w:val="000000" w:themeColor="text1"/>
                <w:spacing w:val="4"/>
                <w:szCs w:val="21"/>
                <w14:textFill>
                  <w14:solidFill>
                    <w14:schemeClr w14:val="tx1"/>
                  </w14:solidFill>
                </w14:textFill>
              </w:rPr>
              <w:t>10</w:t>
            </w:r>
          </w:p>
        </w:tc>
        <w:tc>
          <w:tcPr>
            <w:tcW w:w="1252" w:type="pct"/>
            <w:gridSpan w:val="2"/>
            <w:vAlign w:val="center"/>
          </w:tcPr>
          <w:p w14:paraId="5B5FEFBB">
            <w:pPr>
              <w:adjustRightInd w:val="0"/>
              <w:snapToGrid w:val="0"/>
              <w:spacing w:line="240" w:lineRule="exact"/>
              <w:jc w:val="center"/>
              <w:rPr>
                <w:rFonts w:hint="eastAsia" w:ascii="宋体" w:hAnsi="宋体"/>
                <w:color w:val="000000" w:themeColor="text1"/>
                <w:spacing w:val="4"/>
                <w:szCs w:val="21"/>
                <w14:textFill>
                  <w14:solidFill>
                    <w14:schemeClr w14:val="tx1"/>
                  </w14:solidFill>
                </w14:textFill>
              </w:rPr>
            </w:pPr>
            <w:r>
              <w:rPr>
                <w:rFonts w:ascii="宋体" w:hAnsi="宋体"/>
                <w:color w:val="000000" w:themeColor="text1"/>
                <w:spacing w:val="4"/>
                <w:szCs w:val="21"/>
                <w14:textFill>
                  <w14:solidFill>
                    <w14:schemeClr w14:val="tx1"/>
                  </w14:solidFill>
                </w14:textFill>
              </w:rPr>
              <w:t>100</w:t>
            </w:r>
          </w:p>
        </w:tc>
        <w:tc>
          <w:tcPr>
            <w:tcW w:w="347" w:type="pct"/>
            <w:gridSpan w:val="2"/>
            <w:vAlign w:val="center"/>
          </w:tcPr>
          <w:p w14:paraId="0A7CCB5A">
            <w:pPr>
              <w:adjustRightInd w:val="0"/>
              <w:snapToGrid w:val="0"/>
              <w:spacing w:line="240" w:lineRule="exact"/>
              <w:jc w:val="center"/>
              <w:rPr>
                <w:rFonts w:hint="eastAsia" w:ascii="宋体" w:hAnsi="宋体"/>
                <w:color w:val="000000" w:themeColor="text1"/>
                <w:spacing w:val="4"/>
                <w:szCs w:val="21"/>
                <w14:textFill>
                  <w14:solidFill>
                    <w14:schemeClr w14:val="tx1"/>
                  </w14:solidFill>
                </w14:textFill>
              </w:rPr>
            </w:pPr>
            <w:r>
              <w:rPr>
                <w:rFonts w:ascii="宋体" w:hAnsi="宋体"/>
                <w:color w:val="000000" w:themeColor="text1"/>
                <w:spacing w:val="4"/>
                <w:szCs w:val="21"/>
                <w14:textFill>
                  <w14:solidFill>
                    <w14:schemeClr w14:val="tx1"/>
                  </w14:solidFill>
                </w14:textFill>
              </w:rPr>
              <w:t>100</w:t>
            </w:r>
          </w:p>
        </w:tc>
        <w:tc>
          <w:tcPr>
            <w:tcW w:w="298" w:type="pct"/>
            <w:vAlign w:val="center"/>
          </w:tcPr>
          <w:p w14:paraId="7091FD2E">
            <w:pPr>
              <w:adjustRightInd w:val="0"/>
              <w:snapToGrid w:val="0"/>
              <w:spacing w:line="240" w:lineRule="exact"/>
              <w:jc w:val="center"/>
              <w:rPr>
                <w:rFonts w:hint="eastAsia" w:ascii="宋体" w:hAnsi="宋体"/>
                <w:color w:val="000000" w:themeColor="text1"/>
                <w:spacing w:val="4"/>
                <w:szCs w:val="21"/>
                <w14:textFill>
                  <w14:solidFill>
                    <w14:schemeClr w14:val="tx1"/>
                  </w14:solidFill>
                </w14:textFill>
              </w:rPr>
            </w:pPr>
            <w:r>
              <w:rPr>
                <w:rFonts w:ascii="宋体" w:hAnsi="宋体"/>
                <w:color w:val="000000" w:themeColor="text1"/>
                <w:spacing w:val="4"/>
                <w:szCs w:val="21"/>
                <w14:textFill>
                  <w14:solidFill>
                    <w14:schemeClr w14:val="tx1"/>
                  </w14:solidFill>
                </w14:textFill>
              </w:rPr>
              <w:t>10</w:t>
            </w:r>
          </w:p>
        </w:tc>
      </w:tr>
      <w:tr w14:paraId="3F8411D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834" w:type="pct"/>
            <w:vMerge w:val="continue"/>
            <w:vAlign w:val="center"/>
          </w:tcPr>
          <w:p w14:paraId="51402C0D">
            <w:pPr>
              <w:widowControl/>
              <w:spacing w:line="240" w:lineRule="exact"/>
              <w:jc w:val="left"/>
              <w:rPr>
                <w:rFonts w:hint="eastAsia" w:ascii="宋体" w:hAnsi="宋体"/>
                <w:color w:val="000000" w:themeColor="text1"/>
                <w:spacing w:val="4"/>
                <w:szCs w:val="21"/>
                <w14:textFill>
                  <w14:solidFill>
                    <w14:schemeClr w14:val="tx1"/>
                  </w14:solidFill>
                </w14:textFill>
              </w:rPr>
            </w:pPr>
          </w:p>
        </w:tc>
        <w:tc>
          <w:tcPr>
            <w:tcW w:w="403" w:type="pct"/>
            <w:vMerge w:val="continue"/>
            <w:vAlign w:val="center"/>
          </w:tcPr>
          <w:p w14:paraId="25E6BD40">
            <w:pPr>
              <w:widowControl/>
              <w:spacing w:line="240" w:lineRule="exact"/>
              <w:jc w:val="left"/>
              <w:rPr>
                <w:rFonts w:hint="eastAsia" w:ascii="宋体" w:hAnsi="宋体"/>
                <w:color w:val="000000" w:themeColor="text1"/>
                <w:spacing w:val="4"/>
                <w:szCs w:val="21"/>
                <w14:textFill>
                  <w14:solidFill>
                    <w14:schemeClr w14:val="tx1"/>
                  </w14:solidFill>
                </w14:textFill>
              </w:rPr>
            </w:pPr>
          </w:p>
        </w:tc>
        <w:tc>
          <w:tcPr>
            <w:tcW w:w="890" w:type="pct"/>
            <w:gridSpan w:val="3"/>
            <w:vAlign w:val="center"/>
          </w:tcPr>
          <w:p w14:paraId="1FF70184">
            <w:pPr>
              <w:adjustRightInd w:val="0"/>
              <w:snapToGrid w:val="0"/>
              <w:spacing w:line="240" w:lineRule="exact"/>
              <w:jc w:val="center"/>
              <w:rPr>
                <w:rFonts w:hint="eastAsia" w:ascii="宋体" w:hAnsi="宋体"/>
                <w:color w:val="000000" w:themeColor="text1"/>
                <w:spacing w:val="4"/>
                <w:szCs w:val="21"/>
                <w14:textFill>
                  <w14:solidFill>
                    <w14:schemeClr w14:val="tx1"/>
                  </w14:solidFill>
                </w14:textFill>
              </w:rPr>
            </w:pPr>
            <w:r>
              <w:rPr>
                <w:rFonts w:ascii="宋体" w:hAnsi="宋体"/>
                <w:color w:val="000000" w:themeColor="text1"/>
                <w:spacing w:val="4"/>
                <w:szCs w:val="21"/>
                <w14:textFill>
                  <w14:solidFill>
                    <w14:schemeClr w14:val="tx1"/>
                  </w14:solidFill>
                </w14:textFill>
              </w:rPr>
              <w:t>采油废水回用率</w:t>
            </w:r>
          </w:p>
        </w:tc>
        <w:tc>
          <w:tcPr>
            <w:tcW w:w="466" w:type="pct"/>
            <w:vAlign w:val="center"/>
          </w:tcPr>
          <w:p w14:paraId="6201E072">
            <w:pPr>
              <w:adjustRightInd w:val="0"/>
              <w:snapToGrid w:val="0"/>
              <w:spacing w:line="240" w:lineRule="exact"/>
              <w:jc w:val="center"/>
              <w:rPr>
                <w:rFonts w:hint="eastAsia" w:ascii="宋体" w:hAnsi="宋体"/>
                <w:color w:val="000000" w:themeColor="text1"/>
                <w:spacing w:val="4"/>
                <w:szCs w:val="21"/>
                <w14:textFill>
                  <w14:solidFill>
                    <w14:schemeClr w14:val="tx1"/>
                  </w14:solidFill>
                </w14:textFill>
              </w:rPr>
            </w:pPr>
            <w:r>
              <w:rPr>
                <w:rFonts w:ascii="宋体" w:hAnsi="宋体"/>
                <w:color w:val="000000" w:themeColor="text1"/>
                <w:spacing w:val="4"/>
                <w:szCs w:val="21"/>
                <w14:textFill>
                  <w14:solidFill>
                    <w14:schemeClr w14:val="tx1"/>
                  </w14:solidFill>
                </w14:textFill>
              </w:rPr>
              <w:t>%</w:t>
            </w:r>
          </w:p>
        </w:tc>
        <w:tc>
          <w:tcPr>
            <w:tcW w:w="511" w:type="pct"/>
            <w:gridSpan w:val="2"/>
            <w:vAlign w:val="center"/>
          </w:tcPr>
          <w:p w14:paraId="7D0C57CB">
            <w:pPr>
              <w:adjustRightInd w:val="0"/>
              <w:snapToGrid w:val="0"/>
              <w:spacing w:line="240" w:lineRule="exact"/>
              <w:jc w:val="center"/>
              <w:rPr>
                <w:rFonts w:hint="eastAsia" w:ascii="宋体" w:hAnsi="宋体"/>
                <w:color w:val="000000" w:themeColor="text1"/>
                <w:spacing w:val="4"/>
                <w:szCs w:val="21"/>
                <w14:textFill>
                  <w14:solidFill>
                    <w14:schemeClr w14:val="tx1"/>
                  </w14:solidFill>
                </w14:textFill>
              </w:rPr>
            </w:pPr>
            <w:r>
              <w:rPr>
                <w:rFonts w:ascii="宋体" w:hAnsi="宋体"/>
                <w:color w:val="000000" w:themeColor="text1"/>
                <w:spacing w:val="4"/>
                <w:szCs w:val="21"/>
                <w14:textFill>
                  <w14:solidFill>
                    <w14:schemeClr w14:val="tx1"/>
                  </w14:solidFill>
                </w14:textFill>
              </w:rPr>
              <w:t>10</w:t>
            </w:r>
          </w:p>
        </w:tc>
        <w:tc>
          <w:tcPr>
            <w:tcW w:w="1252" w:type="pct"/>
            <w:gridSpan w:val="2"/>
            <w:vAlign w:val="center"/>
          </w:tcPr>
          <w:p w14:paraId="5D90F38A">
            <w:pPr>
              <w:adjustRightInd w:val="0"/>
              <w:snapToGrid w:val="0"/>
              <w:spacing w:line="240" w:lineRule="exact"/>
              <w:jc w:val="center"/>
              <w:rPr>
                <w:rFonts w:hint="eastAsia" w:ascii="宋体" w:hAnsi="宋体"/>
                <w:color w:val="000000" w:themeColor="text1"/>
                <w:spacing w:val="4"/>
                <w:szCs w:val="21"/>
                <w14:textFill>
                  <w14:solidFill>
                    <w14:schemeClr w14:val="tx1"/>
                  </w14:solidFill>
                </w14:textFill>
              </w:rPr>
            </w:pPr>
            <w:r>
              <w:rPr>
                <w:rFonts w:ascii="宋体" w:hAnsi="宋体"/>
                <w:color w:val="000000" w:themeColor="text1"/>
                <w:spacing w:val="4"/>
                <w:szCs w:val="21"/>
                <w14:textFill>
                  <w14:solidFill>
                    <w14:schemeClr w14:val="tx1"/>
                  </w14:solidFill>
                </w14:textFill>
              </w:rPr>
              <w:t>≥60</w:t>
            </w:r>
          </w:p>
        </w:tc>
        <w:tc>
          <w:tcPr>
            <w:tcW w:w="347" w:type="pct"/>
            <w:gridSpan w:val="2"/>
            <w:vAlign w:val="center"/>
          </w:tcPr>
          <w:p w14:paraId="1CDBEB72">
            <w:pPr>
              <w:adjustRightInd w:val="0"/>
              <w:snapToGrid w:val="0"/>
              <w:spacing w:line="240" w:lineRule="exact"/>
              <w:jc w:val="center"/>
              <w:rPr>
                <w:rFonts w:hint="eastAsia" w:ascii="宋体" w:hAnsi="宋体"/>
                <w:color w:val="000000" w:themeColor="text1"/>
                <w:spacing w:val="4"/>
                <w:szCs w:val="21"/>
                <w14:textFill>
                  <w14:solidFill>
                    <w14:schemeClr w14:val="tx1"/>
                  </w14:solidFill>
                </w14:textFill>
              </w:rPr>
            </w:pPr>
            <w:r>
              <w:rPr>
                <w:rFonts w:ascii="宋体" w:hAnsi="宋体"/>
                <w:color w:val="000000" w:themeColor="text1"/>
                <w:spacing w:val="4"/>
                <w:szCs w:val="21"/>
                <w14:textFill>
                  <w14:solidFill>
                    <w14:schemeClr w14:val="tx1"/>
                  </w14:solidFill>
                </w14:textFill>
              </w:rPr>
              <w:t>100</w:t>
            </w:r>
          </w:p>
        </w:tc>
        <w:tc>
          <w:tcPr>
            <w:tcW w:w="298" w:type="pct"/>
            <w:vAlign w:val="center"/>
          </w:tcPr>
          <w:p w14:paraId="3BE446FC">
            <w:pPr>
              <w:adjustRightInd w:val="0"/>
              <w:snapToGrid w:val="0"/>
              <w:spacing w:line="240" w:lineRule="exact"/>
              <w:jc w:val="center"/>
              <w:rPr>
                <w:rFonts w:hint="eastAsia" w:ascii="宋体" w:hAnsi="宋体"/>
                <w:color w:val="000000" w:themeColor="text1"/>
                <w:spacing w:val="4"/>
                <w:szCs w:val="21"/>
                <w14:textFill>
                  <w14:solidFill>
                    <w14:schemeClr w14:val="tx1"/>
                  </w14:solidFill>
                </w14:textFill>
              </w:rPr>
            </w:pPr>
            <w:r>
              <w:rPr>
                <w:rFonts w:ascii="宋体" w:hAnsi="宋体"/>
                <w:color w:val="000000" w:themeColor="text1"/>
                <w:spacing w:val="4"/>
                <w:szCs w:val="21"/>
                <w14:textFill>
                  <w14:solidFill>
                    <w14:schemeClr w14:val="tx1"/>
                  </w14:solidFill>
                </w14:textFill>
              </w:rPr>
              <w:t>10</w:t>
            </w:r>
          </w:p>
        </w:tc>
      </w:tr>
      <w:tr w14:paraId="36B25CE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834" w:type="pct"/>
            <w:vMerge w:val="continue"/>
            <w:vAlign w:val="center"/>
          </w:tcPr>
          <w:p w14:paraId="48ACDB84">
            <w:pPr>
              <w:widowControl/>
              <w:spacing w:line="240" w:lineRule="exact"/>
              <w:jc w:val="left"/>
              <w:rPr>
                <w:rFonts w:hint="eastAsia" w:ascii="宋体" w:hAnsi="宋体"/>
                <w:color w:val="000000" w:themeColor="text1"/>
                <w:spacing w:val="4"/>
                <w:szCs w:val="21"/>
                <w14:textFill>
                  <w14:solidFill>
                    <w14:schemeClr w14:val="tx1"/>
                  </w14:solidFill>
                </w14:textFill>
              </w:rPr>
            </w:pPr>
          </w:p>
        </w:tc>
        <w:tc>
          <w:tcPr>
            <w:tcW w:w="403" w:type="pct"/>
            <w:vMerge w:val="continue"/>
            <w:vAlign w:val="center"/>
          </w:tcPr>
          <w:p w14:paraId="2A6E2734">
            <w:pPr>
              <w:widowControl/>
              <w:spacing w:line="240" w:lineRule="exact"/>
              <w:jc w:val="left"/>
              <w:rPr>
                <w:rFonts w:hint="eastAsia" w:ascii="宋体" w:hAnsi="宋体"/>
                <w:color w:val="000000" w:themeColor="text1"/>
                <w:spacing w:val="4"/>
                <w:szCs w:val="21"/>
                <w14:textFill>
                  <w14:solidFill>
                    <w14:schemeClr w14:val="tx1"/>
                  </w14:solidFill>
                </w14:textFill>
              </w:rPr>
            </w:pPr>
          </w:p>
        </w:tc>
        <w:tc>
          <w:tcPr>
            <w:tcW w:w="890" w:type="pct"/>
            <w:gridSpan w:val="3"/>
            <w:vAlign w:val="center"/>
          </w:tcPr>
          <w:p w14:paraId="5EE2BDF8">
            <w:pPr>
              <w:adjustRightInd w:val="0"/>
              <w:snapToGrid w:val="0"/>
              <w:spacing w:line="240" w:lineRule="exact"/>
              <w:jc w:val="center"/>
              <w:rPr>
                <w:rFonts w:hint="eastAsia" w:ascii="宋体" w:hAnsi="宋体"/>
                <w:color w:val="000000" w:themeColor="text1"/>
                <w:spacing w:val="4"/>
                <w:szCs w:val="21"/>
                <w14:textFill>
                  <w14:solidFill>
                    <w14:schemeClr w14:val="tx1"/>
                  </w14:solidFill>
                </w14:textFill>
              </w:rPr>
            </w:pPr>
            <w:r>
              <w:rPr>
                <w:rFonts w:ascii="宋体" w:hAnsi="宋体"/>
                <w:color w:val="000000" w:themeColor="text1"/>
                <w:spacing w:val="4"/>
                <w:szCs w:val="21"/>
                <w14:textFill>
                  <w14:solidFill>
                    <w14:schemeClr w14:val="tx1"/>
                  </w14:solidFill>
                </w14:textFill>
              </w:rPr>
              <w:t>油井伴生气外排率</w:t>
            </w:r>
          </w:p>
        </w:tc>
        <w:tc>
          <w:tcPr>
            <w:tcW w:w="466" w:type="pct"/>
            <w:vAlign w:val="center"/>
          </w:tcPr>
          <w:p w14:paraId="3B9EC942">
            <w:pPr>
              <w:adjustRightInd w:val="0"/>
              <w:snapToGrid w:val="0"/>
              <w:spacing w:line="240" w:lineRule="exact"/>
              <w:jc w:val="center"/>
              <w:rPr>
                <w:rFonts w:hint="eastAsia" w:ascii="宋体" w:hAnsi="宋体"/>
                <w:color w:val="000000" w:themeColor="text1"/>
                <w:spacing w:val="4"/>
                <w:szCs w:val="21"/>
                <w14:textFill>
                  <w14:solidFill>
                    <w14:schemeClr w14:val="tx1"/>
                  </w14:solidFill>
                </w14:textFill>
              </w:rPr>
            </w:pPr>
            <w:r>
              <w:rPr>
                <w:rFonts w:ascii="宋体" w:hAnsi="宋体"/>
                <w:color w:val="000000" w:themeColor="text1"/>
                <w:spacing w:val="4"/>
                <w:szCs w:val="21"/>
                <w14:textFill>
                  <w14:solidFill>
                    <w14:schemeClr w14:val="tx1"/>
                  </w14:solidFill>
                </w14:textFill>
              </w:rPr>
              <w:t>%</w:t>
            </w:r>
          </w:p>
        </w:tc>
        <w:tc>
          <w:tcPr>
            <w:tcW w:w="511" w:type="pct"/>
            <w:gridSpan w:val="2"/>
            <w:vAlign w:val="center"/>
          </w:tcPr>
          <w:p w14:paraId="559BAD9C">
            <w:pPr>
              <w:adjustRightInd w:val="0"/>
              <w:snapToGrid w:val="0"/>
              <w:spacing w:line="240" w:lineRule="exact"/>
              <w:jc w:val="center"/>
              <w:rPr>
                <w:rFonts w:hint="eastAsia" w:ascii="宋体" w:hAnsi="宋体"/>
                <w:color w:val="000000" w:themeColor="text1"/>
                <w:spacing w:val="4"/>
                <w:szCs w:val="21"/>
                <w14:textFill>
                  <w14:solidFill>
                    <w14:schemeClr w14:val="tx1"/>
                  </w14:solidFill>
                </w14:textFill>
              </w:rPr>
            </w:pPr>
            <w:r>
              <w:rPr>
                <w:rFonts w:ascii="宋体" w:hAnsi="宋体"/>
                <w:color w:val="000000" w:themeColor="text1"/>
                <w:spacing w:val="4"/>
                <w:szCs w:val="21"/>
                <w14:textFill>
                  <w14:solidFill>
                    <w14:schemeClr w14:val="tx1"/>
                  </w14:solidFill>
                </w14:textFill>
              </w:rPr>
              <w:t>10</w:t>
            </w:r>
          </w:p>
        </w:tc>
        <w:tc>
          <w:tcPr>
            <w:tcW w:w="1252" w:type="pct"/>
            <w:gridSpan w:val="2"/>
            <w:vAlign w:val="center"/>
          </w:tcPr>
          <w:p w14:paraId="50602232">
            <w:pPr>
              <w:adjustRightInd w:val="0"/>
              <w:snapToGrid w:val="0"/>
              <w:spacing w:line="240" w:lineRule="exact"/>
              <w:jc w:val="center"/>
              <w:rPr>
                <w:rFonts w:hint="eastAsia" w:ascii="宋体" w:hAnsi="宋体"/>
                <w:color w:val="000000" w:themeColor="text1"/>
                <w:spacing w:val="4"/>
                <w:szCs w:val="21"/>
                <w14:textFill>
                  <w14:solidFill>
                    <w14:schemeClr w14:val="tx1"/>
                  </w14:solidFill>
                </w14:textFill>
              </w:rPr>
            </w:pPr>
            <w:r>
              <w:rPr>
                <w:rFonts w:ascii="宋体" w:hAnsi="宋体"/>
                <w:color w:val="000000" w:themeColor="text1"/>
                <w:spacing w:val="4"/>
                <w:szCs w:val="21"/>
                <w14:textFill>
                  <w14:solidFill>
                    <w14:schemeClr w14:val="tx1"/>
                  </w14:solidFill>
                </w14:textFill>
              </w:rPr>
              <w:t>≤20</w:t>
            </w:r>
          </w:p>
        </w:tc>
        <w:tc>
          <w:tcPr>
            <w:tcW w:w="347" w:type="pct"/>
            <w:gridSpan w:val="2"/>
            <w:vAlign w:val="center"/>
          </w:tcPr>
          <w:p w14:paraId="130CC0EB">
            <w:pPr>
              <w:adjustRightInd w:val="0"/>
              <w:snapToGrid w:val="0"/>
              <w:spacing w:line="240" w:lineRule="exact"/>
              <w:jc w:val="center"/>
              <w:rPr>
                <w:rFonts w:hint="eastAsia" w:ascii="宋体" w:hAnsi="宋体"/>
                <w:color w:val="000000" w:themeColor="text1"/>
                <w:spacing w:val="4"/>
                <w:szCs w:val="21"/>
                <w14:textFill>
                  <w14:solidFill>
                    <w14:schemeClr w14:val="tx1"/>
                  </w14:solidFill>
                </w14:textFill>
              </w:rPr>
            </w:pPr>
            <w:r>
              <w:rPr>
                <w:rFonts w:hint="eastAsia" w:ascii="宋体" w:hAnsi="宋体"/>
                <w:color w:val="000000" w:themeColor="text1"/>
                <w:spacing w:val="4"/>
                <w:szCs w:val="21"/>
                <w14:textFill>
                  <w14:solidFill>
                    <w14:schemeClr w14:val="tx1"/>
                  </w14:solidFill>
                </w14:textFill>
              </w:rPr>
              <w:t>0</w:t>
            </w:r>
          </w:p>
        </w:tc>
        <w:tc>
          <w:tcPr>
            <w:tcW w:w="298" w:type="pct"/>
            <w:vAlign w:val="center"/>
          </w:tcPr>
          <w:p w14:paraId="6B51A84C">
            <w:pPr>
              <w:adjustRightInd w:val="0"/>
              <w:snapToGrid w:val="0"/>
              <w:spacing w:line="240" w:lineRule="exact"/>
              <w:jc w:val="center"/>
              <w:rPr>
                <w:rFonts w:hint="eastAsia" w:ascii="宋体" w:hAnsi="宋体"/>
                <w:color w:val="000000" w:themeColor="text1"/>
                <w:spacing w:val="4"/>
                <w:szCs w:val="21"/>
                <w14:textFill>
                  <w14:solidFill>
                    <w14:schemeClr w14:val="tx1"/>
                  </w14:solidFill>
                </w14:textFill>
              </w:rPr>
            </w:pPr>
            <w:r>
              <w:rPr>
                <w:rFonts w:hint="eastAsia" w:ascii="宋体" w:hAnsi="宋体"/>
                <w:color w:val="000000" w:themeColor="text1"/>
                <w:spacing w:val="4"/>
                <w:szCs w:val="21"/>
                <w14:textFill>
                  <w14:solidFill>
                    <w14:schemeClr w14:val="tx1"/>
                  </w14:solidFill>
                </w14:textFill>
              </w:rPr>
              <w:t>1</w:t>
            </w:r>
            <w:r>
              <w:rPr>
                <w:rFonts w:ascii="宋体" w:hAnsi="宋体"/>
                <w:color w:val="000000" w:themeColor="text1"/>
                <w:spacing w:val="4"/>
                <w:szCs w:val="21"/>
                <w14:textFill>
                  <w14:solidFill>
                    <w14:schemeClr w14:val="tx1"/>
                  </w14:solidFill>
                </w14:textFill>
              </w:rPr>
              <w:t>0</w:t>
            </w:r>
          </w:p>
        </w:tc>
      </w:tr>
      <w:tr w14:paraId="48F772F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5000" w:type="pct"/>
            <w:gridSpan w:val="13"/>
            <w:vAlign w:val="center"/>
          </w:tcPr>
          <w:p w14:paraId="73A2D5F8">
            <w:pPr>
              <w:adjustRightInd w:val="0"/>
              <w:snapToGrid w:val="0"/>
              <w:spacing w:line="240" w:lineRule="exact"/>
              <w:jc w:val="left"/>
              <w:rPr>
                <w:rFonts w:hint="eastAsia" w:ascii="宋体" w:hAnsi="宋体"/>
                <w:color w:val="000000" w:themeColor="text1"/>
                <w:spacing w:val="4"/>
                <w:szCs w:val="21"/>
                <w14:textFill>
                  <w14:solidFill>
                    <w14:schemeClr w14:val="tx1"/>
                  </w14:solidFill>
                </w14:textFill>
              </w:rPr>
            </w:pPr>
            <w:r>
              <w:rPr>
                <w:rFonts w:ascii="宋体" w:hAnsi="宋体"/>
                <w:color w:val="000000" w:themeColor="text1"/>
                <w:spacing w:val="4"/>
                <w:szCs w:val="21"/>
                <w14:textFill>
                  <w14:solidFill>
                    <w14:schemeClr w14:val="tx1"/>
                  </w14:solidFill>
                </w14:textFill>
              </w:rPr>
              <w:t>定性指标</w:t>
            </w:r>
          </w:p>
        </w:tc>
      </w:tr>
      <w:tr w14:paraId="2B1DF64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834" w:type="pct"/>
            <w:vAlign w:val="center"/>
          </w:tcPr>
          <w:p w14:paraId="58017E76">
            <w:pPr>
              <w:adjustRightInd w:val="0"/>
              <w:snapToGrid w:val="0"/>
              <w:spacing w:line="240" w:lineRule="exact"/>
              <w:jc w:val="center"/>
              <w:rPr>
                <w:rFonts w:hint="eastAsia" w:ascii="宋体" w:hAnsi="宋体"/>
                <w:color w:val="000000" w:themeColor="text1"/>
                <w:spacing w:val="4"/>
                <w:szCs w:val="21"/>
                <w14:textFill>
                  <w14:solidFill>
                    <w14:schemeClr w14:val="tx1"/>
                  </w14:solidFill>
                </w14:textFill>
              </w:rPr>
            </w:pPr>
            <w:r>
              <w:rPr>
                <w:rFonts w:ascii="宋体" w:hAnsi="宋体"/>
                <w:color w:val="000000" w:themeColor="text1"/>
                <w:spacing w:val="4"/>
                <w:szCs w:val="21"/>
                <w14:textFill>
                  <w14:solidFill>
                    <w14:schemeClr w14:val="tx1"/>
                  </w14:solidFill>
                </w14:textFill>
              </w:rPr>
              <w:t>一级指标</w:t>
            </w:r>
          </w:p>
        </w:tc>
        <w:tc>
          <w:tcPr>
            <w:tcW w:w="491" w:type="pct"/>
            <w:gridSpan w:val="2"/>
            <w:vAlign w:val="center"/>
          </w:tcPr>
          <w:p w14:paraId="4C5D58D2">
            <w:pPr>
              <w:adjustRightInd w:val="0"/>
              <w:snapToGrid w:val="0"/>
              <w:spacing w:line="240" w:lineRule="exact"/>
              <w:jc w:val="center"/>
              <w:rPr>
                <w:rFonts w:hint="eastAsia" w:ascii="宋体" w:hAnsi="宋体"/>
                <w:color w:val="000000" w:themeColor="text1"/>
                <w:spacing w:val="4"/>
                <w:szCs w:val="21"/>
                <w14:textFill>
                  <w14:solidFill>
                    <w14:schemeClr w14:val="tx1"/>
                  </w14:solidFill>
                </w14:textFill>
              </w:rPr>
            </w:pPr>
            <w:r>
              <w:rPr>
                <w:rFonts w:ascii="宋体" w:hAnsi="宋体"/>
                <w:color w:val="000000" w:themeColor="text1"/>
                <w:spacing w:val="4"/>
                <w:szCs w:val="21"/>
                <w14:textFill>
                  <w14:solidFill>
                    <w14:schemeClr w14:val="tx1"/>
                  </w14:solidFill>
                </w14:textFill>
              </w:rPr>
              <w:t>指标分值</w:t>
            </w:r>
          </w:p>
        </w:tc>
        <w:tc>
          <w:tcPr>
            <w:tcW w:w="2781" w:type="pct"/>
            <w:gridSpan w:val="6"/>
            <w:vAlign w:val="center"/>
          </w:tcPr>
          <w:p w14:paraId="342555F8">
            <w:pPr>
              <w:adjustRightInd w:val="0"/>
              <w:snapToGrid w:val="0"/>
              <w:spacing w:line="240" w:lineRule="exact"/>
              <w:jc w:val="center"/>
              <w:rPr>
                <w:rFonts w:hint="eastAsia" w:ascii="宋体" w:hAnsi="宋体"/>
                <w:color w:val="000000" w:themeColor="text1"/>
                <w:spacing w:val="4"/>
                <w:szCs w:val="21"/>
                <w14:textFill>
                  <w14:solidFill>
                    <w14:schemeClr w14:val="tx1"/>
                  </w14:solidFill>
                </w14:textFill>
              </w:rPr>
            </w:pPr>
            <w:r>
              <w:rPr>
                <w:rFonts w:ascii="宋体" w:hAnsi="宋体"/>
                <w:color w:val="000000" w:themeColor="text1"/>
                <w:spacing w:val="4"/>
                <w:szCs w:val="21"/>
                <w14:textFill>
                  <w14:solidFill>
                    <w14:schemeClr w14:val="tx1"/>
                  </w14:solidFill>
                </w14:textFill>
              </w:rPr>
              <w:t>二级指标</w:t>
            </w:r>
          </w:p>
        </w:tc>
        <w:tc>
          <w:tcPr>
            <w:tcW w:w="397" w:type="pct"/>
            <w:gridSpan w:val="2"/>
            <w:vAlign w:val="center"/>
          </w:tcPr>
          <w:p w14:paraId="175FD13B">
            <w:pPr>
              <w:adjustRightInd w:val="0"/>
              <w:snapToGrid w:val="0"/>
              <w:spacing w:line="240" w:lineRule="exact"/>
              <w:jc w:val="center"/>
              <w:rPr>
                <w:rFonts w:hint="eastAsia" w:ascii="宋体" w:hAnsi="宋体"/>
                <w:color w:val="000000" w:themeColor="text1"/>
                <w:spacing w:val="4"/>
                <w:szCs w:val="21"/>
                <w14:textFill>
                  <w14:solidFill>
                    <w14:schemeClr w14:val="tx1"/>
                  </w14:solidFill>
                </w14:textFill>
              </w:rPr>
            </w:pPr>
            <w:r>
              <w:rPr>
                <w:rFonts w:ascii="宋体" w:hAnsi="宋体"/>
                <w:color w:val="000000" w:themeColor="text1"/>
                <w:spacing w:val="4"/>
                <w:szCs w:val="21"/>
                <w14:textFill>
                  <w14:solidFill>
                    <w14:schemeClr w14:val="tx1"/>
                  </w14:solidFill>
                </w14:textFill>
              </w:rPr>
              <w:t>指标分值</w:t>
            </w:r>
          </w:p>
        </w:tc>
        <w:tc>
          <w:tcPr>
            <w:tcW w:w="496" w:type="pct"/>
            <w:gridSpan w:val="2"/>
            <w:vAlign w:val="center"/>
          </w:tcPr>
          <w:p w14:paraId="51EA7882">
            <w:pPr>
              <w:adjustRightInd w:val="0"/>
              <w:snapToGrid w:val="0"/>
              <w:spacing w:line="240" w:lineRule="exact"/>
              <w:jc w:val="center"/>
              <w:rPr>
                <w:rFonts w:hint="eastAsia" w:ascii="宋体" w:hAnsi="宋体"/>
                <w:color w:val="000000" w:themeColor="text1"/>
                <w:spacing w:val="4"/>
                <w:szCs w:val="21"/>
                <w14:textFill>
                  <w14:solidFill>
                    <w14:schemeClr w14:val="tx1"/>
                  </w14:solidFill>
                </w14:textFill>
              </w:rPr>
            </w:pPr>
            <w:r>
              <w:rPr>
                <w:rFonts w:ascii="宋体" w:hAnsi="宋体"/>
                <w:color w:val="000000" w:themeColor="text1"/>
                <w:spacing w:val="4"/>
                <w:szCs w:val="21"/>
                <w14:textFill>
                  <w14:solidFill>
                    <w14:schemeClr w14:val="tx1"/>
                  </w14:solidFill>
                </w14:textFill>
              </w:rPr>
              <w:t>本项目评分</w:t>
            </w:r>
          </w:p>
        </w:tc>
      </w:tr>
      <w:tr w14:paraId="74E1449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834" w:type="pct"/>
            <w:vMerge w:val="restart"/>
            <w:vAlign w:val="center"/>
          </w:tcPr>
          <w:p w14:paraId="377E06F1">
            <w:pPr>
              <w:adjustRightInd w:val="0"/>
              <w:snapToGrid w:val="0"/>
              <w:spacing w:line="240" w:lineRule="exact"/>
              <w:jc w:val="center"/>
              <w:rPr>
                <w:rFonts w:hint="eastAsia" w:ascii="宋体" w:hAnsi="宋体"/>
                <w:color w:val="000000" w:themeColor="text1"/>
                <w:spacing w:val="4"/>
                <w:szCs w:val="21"/>
                <w14:textFill>
                  <w14:solidFill>
                    <w14:schemeClr w14:val="tx1"/>
                  </w14:solidFill>
                </w14:textFill>
              </w:rPr>
            </w:pPr>
            <w:r>
              <w:rPr>
                <w:rFonts w:ascii="宋体" w:hAnsi="宋体"/>
                <w:color w:val="000000" w:themeColor="text1"/>
                <w:spacing w:val="4"/>
                <w:szCs w:val="21"/>
                <w14:textFill>
                  <w14:solidFill>
                    <w14:schemeClr w14:val="tx1"/>
                  </w14:solidFill>
                </w14:textFill>
              </w:rPr>
              <w:t>（1）生产工艺及设备要求</w:t>
            </w:r>
          </w:p>
        </w:tc>
        <w:tc>
          <w:tcPr>
            <w:tcW w:w="491" w:type="pct"/>
            <w:gridSpan w:val="2"/>
            <w:vMerge w:val="restart"/>
            <w:vAlign w:val="center"/>
          </w:tcPr>
          <w:p w14:paraId="78DD1CC5">
            <w:pPr>
              <w:adjustRightInd w:val="0"/>
              <w:snapToGrid w:val="0"/>
              <w:spacing w:line="240" w:lineRule="exact"/>
              <w:jc w:val="center"/>
              <w:rPr>
                <w:rFonts w:hint="eastAsia" w:ascii="宋体" w:hAnsi="宋体"/>
                <w:color w:val="000000" w:themeColor="text1"/>
                <w:spacing w:val="4"/>
                <w:szCs w:val="21"/>
                <w14:textFill>
                  <w14:solidFill>
                    <w14:schemeClr w14:val="tx1"/>
                  </w14:solidFill>
                </w14:textFill>
              </w:rPr>
            </w:pPr>
            <w:r>
              <w:rPr>
                <w:rFonts w:ascii="宋体" w:hAnsi="宋体"/>
                <w:color w:val="000000" w:themeColor="text1"/>
                <w:spacing w:val="4"/>
                <w:szCs w:val="21"/>
                <w14:textFill>
                  <w14:solidFill>
                    <w14:schemeClr w14:val="tx1"/>
                  </w14:solidFill>
                </w14:textFill>
              </w:rPr>
              <w:t>45</w:t>
            </w:r>
          </w:p>
        </w:tc>
        <w:tc>
          <w:tcPr>
            <w:tcW w:w="1777" w:type="pct"/>
            <w:gridSpan w:val="5"/>
            <w:vAlign w:val="center"/>
          </w:tcPr>
          <w:p w14:paraId="55A5ADDF">
            <w:pPr>
              <w:adjustRightInd w:val="0"/>
              <w:snapToGrid w:val="0"/>
              <w:spacing w:line="240" w:lineRule="exact"/>
              <w:jc w:val="center"/>
              <w:rPr>
                <w:rFonts w:hint="eastAsia" w:ascii="宋体" w:hAnsi="宋体"/>
                <w:color w:val="000000" w:themeColor="text1"/>
                <w:spacing w:val="4"/>
                <w:szCs w:val="21"/>
                <w14:textFill>
                  <w14:solidFill>
                    <w14:schemeClr w14:val="tx1"/>
                  </w14:solidFill>
                </w14:textFill>
              </w:rPr>
            </w:pPr>
            <w:r>
              <w:rPr>
                <w:rFonts w:ascii="宋体" w:hAnsi="宋体"/>
                <w:color w:val="000000" w:themeColor="text1"/>
                <w:spacing w:val="4"/>
                <w:szCs w:val="21"/>
                <w14:textFill>
                  <w14:solidFill>
                    <w14:schemeClr w14:val="tx1"/>
                  </w14:solidFill>
                </w14:textFill>
              </w:rPr>
              <w:t>井筒质量</w:t>
            </w:r>
          </w:p>
        </w:tc>
        <w:tc>
          <w:tcPr>
            <w:tcW w:w="1004" w:type="pct"/>
            <w:vAlign w:val="center"/>
          </w:tcPr>
          <w:p w14:paraId="500C2B0A">
            <w:pPr>
              <w:adjustRightInd w:val="0"/>
              <w:snapToGrid w:val="0"/>
              <w:spacing w:line="240" w:lineRule="exact"/>
              <w:jc w:val="center"/>
              <w:rPr>
                <w:rFonts w:hint="eastAsia" w:ascii="宋体" w:hAnsi="宋体"/>
                <w:color w:val="000000" w:themeColor="text1"/>
                <w:spacing w:val="4"/>
                <w:szCs w:val="21"/>
                <w14:textFill>
                  <w14:solidFill>
                    <w14:schemeClr w14:val="tx1"/>
                  </w14:solidFill>
                </w14:textFill>
              </w:rPr>
            </w:pPr>
            <w:r>
              <w:rPr>
                <w:rFonts w:ascii="宋体" w:hAnsi="宋体"/>
                <w:color w:val="000000" w:themeColor="text1"/>
                <w:spacing w:val="4"/>
                <w:szCs w:val="21"/>
                <w14:textFill>
                  <w14:solidFill>
                    <w14:schemeClr w14:val="tx1"/>
                  </w14:solidFill>
                </w14:textFill>
              </w:rPr>
              <w:t>井筒设施完好</w:t>
            </w:r>
          </w:p>
        </w:tc>
        <w:tc>
          <w:tcPr>
            <w:tcW w:w="397" w:type="pct"/>
            <w:gridSpan w:val="2"/>
            <w:vAlign w:val="center"/>
          </w:tcPr>
          <w:p w14:paraId="7DDBEF1A">
            <w:pPr>
              <w:adjustRightInd w:val="0"/>
              <w:snapToGrid w:val="0"/>
              <w:spacing w:line="240" w:lineRule="exact"/>
              <w:jc w:val="center"/>
              <w:rPr>
                <w:rFonts w:hint="eastAsia" w:ascii="宋体" w:hAnsi="宋体"/>
                <w:color w:val="000000" w:themeColor="text1"/>
                <w:spacing w:val="4"/>
                <w:szCs w:val="21"/>
                <w14:textFill>
                  <w14:solidFill>
                    <w14:schemeClr w14:val="tx1"/>
                  </w14:solidFill>
                </w14:textFill>
              </w:rPr>
            </w:pPr>
            <w:r>
              <w:rPr>
                <w:rFonts w:ascii="宋体" w:hAnsi="宋体"/>
                <w:color w:val="000000" w:themeColor="text1"/>
                <w:spacing w:val="4"/>
                <w:szCs w:val="21"/>
                <w14:textFill>
                  <w14:solidFill>
                    <w14:schemeClr w14:val="tx1"/>
                  </w14:solidFill>
                </w14:textFill>
              </w:rPr>
              <w:t>5</w:t>
            </w:r>
          </w:p>
        </w:tc>
        <w:tc>
          <w:tcPr>
            <w:tcW w:w="496" w:type="pct"/>
            <w:gridSpan w:val="2"/>
            <w:vAlign w:val="center"/>
          </w:tcPr>
          <w:p w14:paraId="7970BBCB">
            <w:pPr>
              <w:adjustRightInd w:val="0"/>
              <w:snapToGrid w:val="0"/>
              <w:spacing w:line="240" w:lineRule="exact"/>
              <w:jc w:val="center"/>
              <w:rPr>
                <w:rFonts w:hint="eastAsia" w:ascii="宋体" w:hAnsi="宋体"/>
                <w:color w:val="000000" w:themeColor="text1"/>
                <w:spacing w:val="4"/>
                <w:szCs w:val="21"/>
                <w14:textFill>
                  <w14:solidFill>
                    <w14:schemeClr w14:val="tx1"/>
                  </w14:solidFill>
                </w14:textFill>
              </w:rPr>
            </w:pPr>
            <w:r>
              <w:rPr>
                <w:rFonts w:ascii="宋体" w:hAnsi="宋体"/>
                <w:color w:val="000000" w:themeColor="text1"/>
                <w:spacing w:val="4"/>
                <w:szCs w:val="21"/>
                <w14:textFill>
                  <w14:solidFill>
                    <w14:schemeClr w14:val="tx1"/>
                  </w14:solidFill>
                </w14:textFill>
              </w:rPr>
              <w:t>5</w:t>
            </w:r>
          </w:p>
        </w:tc>
      </w:tr>
      <w:tr w14:paraId="15882F9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834" w:type="pct"/>
            <w:vMerge w:val="continue"/>
            <w:vAlign w:val="center"/>
          </w:tcPr>
          <w:p w14:paraId="01125491">
            <w:pPr>
              <w:widowControl/>
              <w:spacing w:line="240" w:lineRule="exact"/>
              <w:jc w:val="left"/>
              <w:rPr>
                <w:rFonts w:hint="eastAsia" w:ascii="宋体" w:hAnsi="宋体"/>
                <w:color w:val="000000" w:themeColor="text1"/>
                <w:spacing w:val="4"/>
                <w:szCs w:val="21"/>
                <w14:textFill>
                  <w14:solidFill>
                    <w14:schemeClr w14:val="tx1"/>
                  </w14:solidFill>
                </w14:textFill>
              </w:rPr>
            </w:pPr>
          </w:p>
        </w:tc>
        <w:tc>
          <w:tcPr>
            <w:tcW w:w="491" w:type="pct"/>
            <w:gridSpan w:val="2"/>
            <w:vMerge w:val="continue"/>
            <w:vAlign w:val="center"/>
          </w:tcPr>
          <w:p w14:paraId="3742F932">
            <w:pPr>
              <w:widowControl/>
              <w:spacing w:line="240" w:lineRule="exact"/>
              <w:jc w:val="left"/>
              <w:rPr>
                <w:rFonts w:hint="eastAsia" w:ascii="宋体" w:hAnsi="宋体"/>
                <w:color w:val="000000" w:themeColor="text1"/>
                <w:spacing w:val="4"/>
                <w:szCs w:val="21"/>
                <w14:textFill>
                  <w14:solidFill>
                    <w14:schemeClr w14:val="tx1"/>
                  </w14:solidFill>
                </w14:textFill>
              </w:rPr>
            </w:pPr>
          </w:p>
        </w:tc>
        <w:tc>
          <w:tcPr>
            <w:tcW w:w="206" w:type="pct"/>
            <w:vMerge w:val="restart"/>
            <w:vAlign w:val="center"/>
          </w:tcPr>
          <w:p w14:paraId="1F5EC7B0">
            <w:pPr>
              <w:adjustRightInd w:val="0"/>
              <w:snapToGrid w:val="0"/>
              <w:spacing w:line="240" w:lineRule="exact"/>
              <w:jc w:val="center"/>
              <w:rPr>
                <w:rFonts w:hint="eastAsia" w:ascii="宋体" w:hAnsi="宋体"/>
                <w:color w:val="000000" w:themeColor="text1"/>
                <w:spacing w:val="4"/>
                <w:szCs w:val="21"/>
                <w14:textFill>
                  <w14:solidFill>
                    <w14:schemeClr w14:val="tx1"/>
                  </w14:solidFill>
                </w14:textFill>
              </w:rPr>
            </w:pPr>
            <w:r>
              <w:rPr>
                <w:rFonts w:ascii="宋体" w:hAnsi="宋体"/>
                <w:color w:val="000000" w:themeColor="text1"/>
                <w:spacing w:val="4"/>
                <w:szCs w:val="21"/>
                <w14:textFill>
                  <w14:solidFill>
                    <w14:schemeClr w14:val="tx1"/>
                  </w14:solidFill>
                </w14:textFill>
              </w:rPr>
              <w:t>采气</w:t>
            </w:r>
          </w:p>
        </w:tc>
        <w:tc>
          <w:tcPr>
            <w:tcW w:w="1060" w:type="pct"/>
            <w:gridSpan w:val="2"/>
            <w:vAlign w:val="center"/>
          </w:tcPr>
          <w:p w14:paraId="121F65AF">
            <w:pPr>
              <w:adjustRightInd w:val="0"/>
              <w:snapToGrid w:val="0"/>
              <w:spacing w:line="240" w:lineRule="exact"/>
              <w:jc w:val="center"/>
              <w:rPr>
                <w:rFonts w:hint="eastAsia" w:ascii="宋体" w:hAnsi="宋体"/>
                <w:color w:val="000000" w:themeColor="text1"/>
                <w:spacing w:val="4"/>
                <w:szCs w:val="21"/>
                <w14:textFill>
                  <w14:solidFill>
                    <w14:schemeClr w14:val="tx1"/>
                  </w14:solidFill>
                </w14:textFill>
              </w:rPr>
            </w:pPr>
            <w:r>
              <w:rPr>
                <w:rFonts w:hint="eastAsia" w:ascii="宋体" w:hAnsi="宋体"/>
                <w:color w:val="000000" w:themeColor="text1"/>
                <w:spacing w:val="4"/>
                <w:szCs w:val="21"/>
                <w14:textFill>
                  <w14:solidFill>
                    <w14:schemeClr w14:val="tx1"/>
                  </w14:solidFill>
                </w14:textFill>
              </w:rPr>
              <w:t>/</w:t>
            </w:r>
          </w:p>
        </w:tc>
        <w:tc>
          <w:tcPr>
            <w:tcW w:w="357" w:type="pct"/>
            <w:vAlign w:val="center"/>
          </w:tcPr>
          <w:p w14:paraId="598CADA2">
            <w:pPr>
              <w:adjustRightInd w:val="0"/>
              <w:snapToGrid w:val="0"/>
              <w:spacing w:line="240" w:lineRule="exact"/>
              <w:jc w:val="center"/>
              <w:rPr>
                <w:rFonts w:hint="eastAsia" w:ascii="宋体" w:hAnsi="宋体"/>
                <w:color w:val="000000" w:themeColor="text1"/>
                <w:spacing w:val="4"/>
                <w:szCs w:val="21"/>
                <w14:textFill>
                  <w14:solidFill>
                    <w14:schemeClr w14:val="tx1"/>
                  </w14:solidFill>
                </w14:textFill>
              </w:rPr>
            </w:pPr>
            <w:r>
              <w:rPr>
                <w:rFonts w:ascii="宋体" w:hAnsi="宋体"/>
                <w:color w:val="000000" w:themeColor="text1"/>
                <w:spacing w:val="4"/>
                <w:szCs w:val="21"/>
                <w14:textFill>
                  <w14:solidFill>
                    <w14:schemeClr w14:val="tx1"/>
                  </w14:solidFill>
                </w14:textFill>
              </w:rPr>
              <w:t>10</w:t>
            </w:r>
          </w:p>
        </w:tc>
        <w:tc>
          <w:tcPr>
            <w:tcW w:w="153" w:type="pct"/>
            <w:vMerge w:val="restart"/>
            <w:vAlign w:val="center"/>
          </w:tcPr>
          <w:p w14:paraId="04EE0F80">
            <w:pPr>
              <w:adjustRightInd w:val="0"/>
              <w:snapToGrid w:val="0"/>
              <w:spacing w:line="240" w:lineRule="exact"/>
              <w:jc w:val="center"/>
              <w:rPr>
                <w:rFonts w:hint="eastAsia" w:ascii="宋体" w:hAnsi="宋体"/>
                <w:color w:val="000000" w:themeColor="text1"/>
                <w:spacing w:val="4"/>
                <w:szCs w:val="21"/>
                <w14:textFill>
                  <w14:solidFill>
                    <w14:schemeClr w14:val="tx1"/>
                  </w14:solidFill>
                </w14:textFill>
              </w:rPr>
            </w:pPr>
            <w:r>
              <w:rPr>
                <w:rFonts w:hint="eastAsia" w:ascii="宋体" w:hAnsi="宋体"/>
                <w:color w:val="000000" w:themeColor="text1"/>
                <w:spacing w:val="4"/>
                <w:szCs w:val="21"/>
                <w14:textFill>
                  <w14:solidFill>
                    <w14:schemeClr w14:val="tx1"/>
                  </w14:solidFill>
                </w14:textFill>
              </w:rPr>
              <w:t>采油</w:t>
            </w:r>
          </w:p>
        </w:tc>
        <w:tc>
          <w:tcPr>
            <w:tcW w:w="1004" w:type="pct"/>
            <w:vAlign w:val="center"/>
          </w:tcPr>
          <w:p w14:paraId="3BD54757">
            <w:pPr>
              <w:adjustRightInd w:val="0"/>
              <w:snapToGrid w:val="0"/>
              <w:spacing w:line="240" w:lineRule="exact"/>
              <w:jc w:val="center"/>
              <w:rPr>
                <w:rFonts w:hint="eastAsia" w:ascii="宋体" w:hAnsi="宋体"/>
                <w:color w:val="000000" w:themeColor="text1"/>
                <w:spacing w:val="4"/>
                <w:szCs w:val="21"/>
                <w14:textFill>
                  <w14:solidFill>
                    <w14:schemeClr w14:val="tx1"/>
                  </w14:solidFill>
                </w14:textFill>
              </w:rPr>
            </w:pPr>
            <w:r>
              <w:rPr>
                <w:rFonts w:hint="eastAsia" w:ascii="宋体" w:hAnsi="宋体"/>
                <w:color w:val="000000" w:themeColor="text1"/>
                <w:spacing w:val="4"/>
                <w:szCs w:val="21"/>
                <w14:textFill>
                  <w14:solidFill>
                    <w14:schemeClr w14:val="tx1"/>
                  </w14:solidFill>
                </w14:textFill>
              </w:rPr>
              <w:t>套管气回收装置</w:t>
            </w:r>
          </w:p>
        </w:tc>
        <w:tc>
          <w:tcPr>
            <w:tcW w:w="397" w:type="pct"/>
            <w:gridSpan w:val="2"/>
            <w:vAlign w:val="center"/>
          </w:tcPr>
          <w:p w14:paraId="001EA409">
            <w:pPr>
              <w:adjustRightInd w:val="0"/>
              <w:snapToGrid w:val="0"/>
              <w:spacing w:line="240" w:lineRule="exact"/>
              <w:jc w:val="center"/>
              <w:rPr>
                <w:rFonts w:hint="eastAsia" w:ascii="宋体" w:hAnsi="宋体"/>
                <w:color w:val="000000" w:themeColor="text1"/>
                <w:spacing w:val="4"/>
                <w:szCs w:val="21"/>
                <w14:textFill>
                  <w14:solidFill>
                    <w14:schemeClr w14:val="tx1"/>
                  </w14:solidFill>
                </w14:textFill>
              </w:rPr>
            </w:pPr>
            <w:r>
              <w:rPr>
                <w:rFonts w:ascii="宋体" w:hAnsi="宋体"/>
                <w:color w:val="000000" w:themeColor="text1"/>
                <w:spacing w:val="4"/>
                <w:szCs w:val="21"/>
                <w14:textFill>
                  <w14:solidFill>
                    <w14:schemeClr w14:val="tx1"/>
                  </w14:solidFill>
                </w14:textFill>
              </w:rPr>
              <w:t>10</w:t>
            </w:r>
          </w:p>
        </w:tc>
        <w:tc>
          <w:tcPr>
            <w:tcW w:w="496" w:type="pct"/>
            <w:gridSpan w:val="2"/>
            <w:vAlign w:val="center"/>
          </w:tcPr>
          <w:p w14:paraId="32878F10">
            <w:pPr>
              <w:adjustRightInd w:val="0"/>
              <w:snapToGrid w:val="0"/>
              <w:spacing w:line="240" w:lineRule="exact"/>
              <w:jc w:val="center"/>
              <w:rPr>
                <w:rFonts w:hint="eastAsia" w:ascii="宋体" w:hAnsi="宋体"/>
                <w:color w:val="000000" w:themeColor="text1"/>
                <w:spacing w:val="4"/>
                <w:szCs w:val="21"/>
                <w14:textFill>
                  <w14:solidFill>
                    <w14:schemeClr w14:val="tx1"/>
                  </w14:solidFill>
                </w14:textFill>
              </w:rPr>
            </w:pPr>
            <w:r>
              <w:rPr>
                <w:rFonts w:ascii="宋体" w:hAnsi="宋体"/>
                <w:color w:val="000000" w:themeColor="text1"/>
                <w:spacing w:val="4"/>
                <w:szCs w:val="21"/>
                <w14:textFill>
                  <w14:solidFill>
                    <w14:schemeClr w14:val="tx1"/>
                  </w14:solidFill>
                </w14:textFill>
              </w:rPr>
              <w:t>10</w:t>
            </w:r>
          </w:p>
        </w:tc>
      </w:tr>
      <w:tr w14:paraId="0B5CC75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834" w:type="pct"/>
            <w:vMerge w:val="continue"/>
            <w:vAlign w:val="center"/>
          </w:tcPr>
          <w:p w14:paraId="24963608">
            <w:pPr>
              <w:widowControl/>
              <w:spacing w:line="240" w:lineRule="exact"/>
              <w:jc w:val="left"/>
              <w:rPr>
                <w:rFonts w:hint="eastAsia" w:ascii="宋体" w:hAnsi="宋体"/>
                <w:color w:val="000000" w:themeColor="text1"/>
                <w:spacing w:val="4"/>
                <w:szCs w:val="21"/>
                <w14:textFill>
                  <w14:solidFill>
                    <w14:schemeClr w14:val="tx1"/>
                  </w14:solidFill>
                </w14:textFill>
              </w:rPr>
            </w:pPr>
          </w:p>
        </w:tc>
        <w:tc>
          <w:tcPr>
            <w:tcW w:w="491" w:type="pct"/>
            <w:gridSpan w:val="2"/>
            <w:vMerge w:val="continue"/>
            <w:vAlign w:val="center"/>
          </w:tcPr>
          <w:p w14:paraId="31A38EA6">
            <w:pPr>
              <w:widowControl/>
              <w:spacing w:line="240" w:lineRule="exact"/>
              <w:jc w:val="left"/>
              <w:rPr>
                <w:rFonts w:hint="eastAsia" w:ascii="宋体" w:hAnsi="宋体"/>
                <w:color w:val="000000" w:themeColor="text1"/>
                <w:spacing w:val="4"/>
                <w:szCs w:val="21"/>
                <w14:textFill>
                  <w14:solidFill>
                    <w14:schemeClr w14:val="tx1"/>
                  </w14:solidFill>
                </w14:textFill>
              </w:rPr>
            </w:pPr>
          </w:p>
        </w:tc>
        <w:tc>
          <w:tcPr>
            <w:tcW w:w="206" w:type="pct"/>
            <w:vMerge w:val="continue"/>
            <w:vAlign w:val="center"/>
          </w:tcPr>
          <w:p w14:paraId="6AA4438E">
            <w:pPr>
              <w:widowControl/>
              <w:spacing w:line="240" w:lineRule="exact"/>
              <w:jc w:val="left"/>
              <w:rPr>
                <w:rFonts w:hint="eastAsia" w:ascii="宋体" w:hAnsi="宋体"/>
                <w:color w:val="000000" w:themeColor="text1"/>
                <w:spacing w:val="4"/>
                <w:szCs w:val="21"/>
                <w14:textFill>
                  <w14:solidFill>
                    <w14:schemeClr w14:val="tx1"/>
                  </w14:solidFill>
                </w14:textFill>
              </w:rPr>
            </w:pPr>
          </w:p>
        </w:tc>
        <w:tc>
          <w:tcPr>
            <w:tcW w:w="1060" w:type="pct"/>
            <w:gridSpan w:val="2"/>
            <w:vAlign w:val="center"/>
          </w:tcPr>
          <w:p w14:paraId="3AC082D7">
            <w:pPr>
              <w:adjustRightInd w:val="0"/>
              <w:snapToGrid w:val="0"/>
              <w:spacing w:line="240" w:lineRule="exact"/>
              <w:jc w:val="center"/>
              <w:rPr>
                <w:rFonts w:hint="eastAsia" w:ascii="宋体" w:hAnsi="宋体"/>
                <w:color w:val="000000" w:themeColor="text1"/>
                <w:spacing w:val="4"/>
                <w:szCs w:val="21"/>
                <w14:textFill>
                  <w14:solidFill>
                    <w14:schemeClr w14:val="tx1"/>
                  </w14:solidFill>
                </w14:textFill>
              </w:rPr>
            </w:pPr>
            <w:r>
              <w:rPr>
                <w:rFonts w:hint="eastAsia" w:ascii="宋体" w:hAnsi="宋体"/>
                <w:color w:val="000000" w:themeColor="text1"/>
                <w:spacing w:val="4"/>
                <w:szCs w:val="21"/>
                <w14:textFill>
                  <w14:solidFill>
                    <w14:schemeClr w14:val="tx1"/>
                  </w14:solidFill>
                </w14:textFill>
              </w:rPr>
              <w:t>/</w:t>
            </w:r>
          </w:p>
        </w:tc>
        <w:tc>
          <w:tcPr>
            <w:tcW w:w="357" w:type="pct"/>
            <w:vAlign w:val="center"/>
          </w:tcPr>
          <w:p w14:paraId="06684D4C">
            <w:pPr>
              <w:adjustRightInd w:val="0"/>
              <w:snapToGrid w:val="0"/>
              <w:spacing w:line="240" w:lineRule="exact"/>
              <w:jc w:val="center"/>
              <w:rPr>
                <w:rFonts w:hint="eastAsia" w:ascii="宋体" w:hAnsi="宋体"/>
                <w:color w:val="000000" w:themeColor="text1"/>
                <w:spacing w:val="4"/>
                <w:szCs w:val="21"/>
                <w14:textFill>
                  <w14:solidFill>
                    <w14:schemeClr w14:val="tx1"/>
                  </w14:solidFill>
                </w14:textFill>
              </w:rPr>
            </w:pPr>
            <w:r>
              <w:rPr>
                <w:rFonts w:ascii="宋体" w:hAnsi="宋体"/>
                <w:color w:val="000000" w:themeColor="text1"/>
                <w:spacing w:val="4"/>
                <w:szCs w:val="21"/>
                <w14:textFill>
                  <w14:solidFill>
                    <w14:schemeClr w14:val="tx1"/>
                  </w14:solidFill>
                </w14:textFill>
              </w:rPr>
              <w:t>20</w:t>
            </w:r>
          </w:p>
        </w:tc>
        <w:tc>
          <w:tcPr>
            <w:tcW w:w="153" w:type="pct"/>
            <w:vMerge w:val="continue"/>
            <w:vAlign w:val="center"/>
          </w:tcPr>
          <w:p w14:paraId="6A6A1241">
            <w:pPr>
              <w:widowControl/>
              <w:spacing w:line="240" w:lineRule="exact"/>
              <w:jc w:val="left"/>
              <w:rPr>
                <w:rFonts w:hint="eastAsia" w:ascii="宋体" w:hAnsi="宋体"/>
                <w:color w:val="000000" w:themeColor="text1"/>
                <w:spacing w:val="4"/>
                <w:szCs w:val="21"/>
                <w14:textFill>
                  <w14:solidFill>
                    <w14:schemeClr w14:val="tx1"/>
                  </w14:solidFill>
                </w14:textFill>
              </w:rPr>
            </w:pPr>
          </w:p>
        </w:tc>
        <w:tc>
          <w:tcPr>
            <w:tcW w:w="1004" w:type="pct"/>
            <w:vAlign w:val="center"/>
          </w:tcPr>
          <w:p w14:paraId="024B49EB">
            <w:pPr>
              <w:adjustRightInd w:val="0"/>
              <w:snapToGrid w:val="0"/>
              <w:spacing w:line="240" w:lineRule="exact"/>
              <w:jc w:val="center"/>
              <w:rPr>
                <w:rFonts w:hint="eastAsia" w:ascii="宋体" w:hAnsi="宋体"/>
                <w:color w:val="000000" w:themeColor="text1"/>
                <w:spacing w:val="4"/>
                <w:szCs w:val="21"/>
                <w14:textFill>
                  <w14:solidFill>
                    <w14:schemeClr w14:val="tx1"/>
                  </w14:solidFill>
                </w14:textFill>
              </w:rPr>
            </w:pPr>
            <w:r>
              <w:rPr>
                <w:rFonts w:hint="eastAsia" w:ascii="宋体" w:hAnsi="宋体"/>
                <w:color w:val="000000" w:themeColor="text1"/>
                <w:spacing w:val="4"/>
                <w:szCs w:val="21"/>
                <w14:textFill>
                  <w14:solidFill>
                    <w14:schemeClr w14:val="tx1"/>
                  </w14:solidFill>
                </w14:textFill>
              </w:rPr>
              <w:t>防止落地原油产生措施</w:t>
            </w:r>
          </w:p>
        </w:tc>
        <w:tc>
          <w:tcPr>
            <w:tcW w:w="397" w:type="pct"/>
            <w:gridSpan w:val="2"/>
            <w:vAlign w:val="center"/>
          </w:tcPr>
          <w:p w14:paraId="1D5F6AFB">
            <w:pPr>
              <w:adjustRightInd w:val="0"/>
              <w:snapToGrid w:val="0"/>
              <w:spacing w:line="240" w:lineRule="exact"/>
              <w:jc w:val="center"/>
              <w:rPr>
                <w:rFonts w:hint="eastAsia" w:ascii="宋体" w:hAnsi="宋体"/>
                <w:color w:val="000000" w:themeColor="text1"/>
                <w:spacing w:val="4"/>
                <w:szCs w:val="21"/>
                <w14:textFill>
                  <w14:solidFill>
                    <w14:schemeClr w14:val="tx1"/>
                  </w14:solidFill>
                </w14:textFill>
              </w:rPr>
            </w:pPr>
            <w:r>
              <w:rPr>
                <w:rFonts w:ascii="宋体" w:hAnsi="宋体"/>
                <w:color w:val="000000" w:themeColor="text1"/>
                <w:spacing w:val="4"/>
                <w:szCs w:val="21"/>
                <w14:textFill>
                  <w14:solidFill>
                    <w14:schemeClr w14:val="tx1"/>
                  </w14:solidFill>
                </w14:textFill>
              </w:rPr>
              <w:t>20</w:t>
            </w:r>
          </w:p>
        </w:tc>
        <w:tc>
          <w:tcPr>
            <w:tcW w:w="496" w:type="pct"/>
            <w:gridSpan w:val="2"/>
            <w:vAlign w:val="center"/>
          </w:tcPr>
          <w:p w14:paraId="7097D1E9">
            <w:pPr>
              <w:adjustRightInd w:val="0"/>
              <w:snapToGrid w:val="0"/>
              <w:spacing w:line="240" w:lineRule="exact"/>
              <w:jc w:val="center"/>
              <w:rPr>
                <w:rFonts w:hint="eastAsia" w:ascii="宋体" w:hAnsi="宋体"/>
                <w:color w:val="000000" w:themeColor="text1"/>
                <w:spacing w:val="4"/>
                <w:szCs w:val="21"/>
                <w14:textFill>
                  <w14:solidFill>
                    <w14:schemeClr w14:val="tx1"/>
                  </w14:solidFill>
                </w14:textFill>
              </w:rPr>
            </w:pPr>
            <w:r>
              <w:rPr>
                <w:rFonts w:ascii="宋体" w:hAnsi="宋体"/>
                <w:color w:val="000000" w:themeColor="text1"/>
                <w:spacing w:val="4"/>
                <w:szCs w:val="21"/>
                <w14:textFill>
                  <w14:solidFill>
                    <w14:schemeClr w14:val="tx1"/>
                  </w14:solidFill>
                </w14:textFill>
              </w:rPr>
              <w:t>20</w:t>
            </w:r>
          </w:p>
        </w:tc>
      </w:tr>
      <w:tr w14:paraId="0EE1ED4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834" w:type="pct"/>
            <w:vMerge w:val="continue"/>
            <w:vAlign w:val="center"/>
          </w:tcPr>
          <w:p w14:paraId="01590E09">
            <w:pPr>
              <w:widowControl/>
              <w:spacing w:line="240" w:lineRule="exact"/>
              <w:jc w:val="left"/>
              <w:rPr>
                <w:rFonts w:hint="eastAsia" w:ascii="宋体" w:hAnsi="宋体"/>
                <w:color w:val="000000" w:themeColor="text1"/>
                <w:spacing w:val="4"/>
                <w:szCs w:val="21"/>
                <w14:textFill>
                  <w14:solidFill>
                    <w14:schemeClr w14:val="tx1"/>
                  </w14:solidFill>
                </w14:textFill>
              </w:rPr>
            </w:pPr>
          </w:p>
        </w:tc>
        <w:tc>
          <w:tcPr>
            <w:tcW w:w="491" w:type="pct"/>
            <w:gridSpan w:val="2"/>
            <w:vMerge w:val="continue"/>
            <w:vAlign w:val="center"/>
          </w:tcPr>
          <w:p w14:paraId="507C1B2D">
            <w:pPr>
              <w:widowControl/>
              <w:spacing w:line="240" w:lineRule="exact"/>
              <w:jc w:val="left"/>
              <w:rPr>
                <w:rFonts w:hint="eastAsia" w:ascii="宋体" w:hAnsi="宋体"/>
                <w:color w:val="000000" w:themeColor="text1"/>
                <w:spacing w:val="4"/>
                <w:szCs w:val="21"/>
                <w14:textFill>
                  <w14:solidFill>
                    <w14:schemeClr w14:val="tx1"/>
                  </w14:solidFill>
                </w14:textFill>
              </w:rPr>
            </w:pPr>
          </w:p>
        </w:tc>
        <w:tc>
          <w:tcPr>
            <w:tcW w:w="1777" w:type="pct"/>
            <w:gridSpan w:val="5"/>
            <w:vAlign w:val="center"/>
          </w:tcPr>
          <w:p w14:paraId="442B781F">
            <w:pPr>
              <w:widowControl/>
              <w:spacing w:line="240" w:lineRule="exact"/>
              <w:jc w:val="center"/>
              <w:rPr>
                <w:rFonts w:hint="eastAsia" w:ascii="宋体" w:hAnsi="宋体"/>
                <w:color w:val="000000" w:themeColor="text1"/>
                <w:spacing w:val="4"/>
                <w:szCs w:val="21"/>
                <w14:textFill>
                  <w14:solidFill>
                    <w14:schemeClr w14:val="tx1"/>
                  </w14:solidFill>
                </w14:textFill>
              </w:rPr>
            </w:pPr>
            <w:r>
              <w:rPr>
                <w:rFonts w:hint="eastAsia" w:ascii="宋体" w:hAnsi="宋体"/>
                <w:color w:val="000000" w:themeColor="text1"/>
                <w:spacing w:val="4"/>
                <w:szCs w:val="21"/>
                <w14:textFill>
                  <w14:solidFill>
                    <w14:schemeClr w14:val="tx1"/>
                  </w14:solidFill>
                </w14:textFill>
              </w:rPr>
              <w:t>采油方式</w:t>
            </w:r>
          </w:p>
        </w:tc>
        <w:tc>
          <w:tcPr>
            <w:tcW w:w="1004" w:type="pct"/>
            <w:vAlign w:val="center"/>
          </w:tcPr>
          <w:p w14:paraId="52AC1C58">
            <w:pPr>
              <w:adjustRightInd w:val="0"/>
              <w:snapToGrid w:val="0"/>
              <w:spacing w:line="240" w:lineRule="exact"/>
              <w:jc w:val="center"/>
              <w:rPr>
                <w:rFonts w:hint="eastAsia" w:ascii="宋体" w:hAnsi="宋体"/>
                <w:color w:val="000000" w:themeColor="text1"/>
                <w:spacing w:val="4"/>
                <w:szCs w:val="21"/>
                <w14:textFill>
                  <w14:solidFill>
                    <w14:schemeClr w14:val="tx1"/>
                  </w14:solidFill>
                </w14:textFill>
              </w:rPr>
            </w:pPr>
            <w:r>
              <w:rPr>
                <w:rFonts w:hint="eastAsia" w:ascii="宋体" w:hAnsi="宋体"/>
                <w:color w:val="000000" w:themeColor="text1"/>
                <w:spacing w:val="4"/>
                <w:szCs w:val="21"/>
                <w14:textFill>
                  <w14:solidFill>
                    <w14:schemeClr w14:val="tx1"/>
                  </w14:solidFill>
                </w14:textFill>
              </w:rPr>
              <w:t>采油方式经过综合评价确定</w:t>
            </w:r>
          </w:p>
        </w:tc>
        <w:tc>
          <w:tcPr>
            <w:tcW w:w="397" w:type="pct"/>
            <w:gridSpan w:val="2"/>
            <w:vAlign w:val="center"/>
          </w:tcPr>
          <w:p w14:paraId="2FC84911">
            <w:pPr>
              <w:adjustRightInd w:val="0"/>
              <w:snapToGrid w:val="0"/>
              <w:spacing w:line="240" w:lineRule="exact"/>
              <w:jc w:val="center"/>
              <w:rPr>
                <w:rFonts w:hint="eastAsia" w:ascii="宋体" w:hAnsi="宋体"/>
                <w:color w:val="000000" w:themeColor="text1"/>
                <w:spacing w:val="4"/>
                <w:szCs w:val="21"/>
                <w14:textFill>
                  <w14:solidFill>
                    <w14:schemeClr w14:val="tx1"/>
                  </w14:solidFill>
                </w14:textFill>
              </w:rPr>
            </w:pPr>
            <w:r>
              <w:rPr>
                <w:rFonts w:hint="eastAsia" w:ascii="宋体" w:hAnsi="宋体"/>
                <w:color w:val="000000" w:themeColor="text1"/>
                <w:spacing w:val="4"/>
                <w:szCs w:val="21"/>
                <w14:textFill>
                  <w14:solidFill>
                    <w14:schemeClr w14:val="tx1"/>
                  </w14:solidFill>
                </w14:textFill>
              </w:rPr>
              <w:t>1</w:t>
            </w:r>
            <w:r>
              <w:rPr>
                <w:rFonts w:ascii="宋体" w:hAnsi="宋体"/>
                <w:color w:val="000000" w:themeColor="text1"/>
                <w:spacing w:val="4"/>
                <w:szCs w:val="21"/>
                <w14:textFill>
                  <w14:solidFill>
                    <w14:schemeClr w14:val="tx1"/>
                  </w14:solidFill>
                </w14:textFill>
              </w:rPr>
              <w:t>0</w:t>
            </w:r>
          </w:p>
        </w:tc>
        <w:tc>
          <w:tcPr>
            <w:tcW w:w="496" w:type="pct"/>
            <w:gridSpan w:val="2"/>
            <w:vAlign w:val="center"/>
          </w:tcPr>
          <w:p w14:paraId="31A7D6A3">
            <w:pPr>
              <w:adjustRightInd w:val="0"/>
              <w:snapToGrid w:val="0"/>
              <w:spacing w:line="240" w:lineRule="exact"/>
              <w:jc w:val="center"/>
              <w:rPr>
                <w:rFonts w:hint="eastAsia" w:ascii="宋体" w:hAnsi="宋体"/>
                <w:color w:val="000000" w:themeColor="text1"/>
                <w:spacing w:val="4"/>
                <w:szCs w:val="21"/>
                <w14:textFill>
                  <w14:solidFill>
                    <w14:schemeClr w14:val="tx1"/>
                  </w14:solidFill>
                </w14:textFill>
              </w:rPr>
            </w:pPr>
            <w:r>
              <w:rPr>
                <w:rFonts w:hint="eastAsia" w:ascii="宋体" w:hAnsi="宋体"/>
                <w:color w:val="000000" w:themeColor="text1"/>
                <w:spacing w:val="4"/>
                <w:szCs w:val="21"/>
                <w14:textFill>
                  <w14:solidFill>
                    <w14:schemeClr w14:val="tx1"/>
                  </w14:solidFill>
                </w14:textFill>
              </w:rPr>
              <w:t>1</w:t>
            </w:r>
            <w:r>
              <w:rPr>
                <w:rFonts w:ascii="宋体" w:hAnsi="宋体"/>
                <w:color w:val="000000" w:themeColor="text1"/>
                <w:spacing w:val="4"/>
                <w:szCs w:val="21"/>
                <w14:textFill>
                  <w14:solidFill>
                    <w14:schemeClr w14:val="tx1"/>
                  </w14:solidFill>
                </w14:textFill>
              </w:rPr>
              <w:t>0</w:t>
            </w:r>
          </w:p>
        </w:tc>
      </w:tr>
      <w:tr w14:paraId="01307CA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834" w:type="pct"/>
            <w:vMerge w:val="continue"/>
            <w:vAlign w:val="center"/>
          </w:tcPr>
          <w:p w14:paraId="0C5984C2">
            <w:pPr>
              <w:widowControl/>
              <w:spacing w:line="240" w:lineRule="exact"/>
              <w:jc w:val="left"/>
              <w:rPr>
                <w:rFonts w:hint="eastAsia" w:ascii="宋体" w:hAnsi="宋体"/>
                <w:color w:val="000000" w:themeColor="text1"/>
                <w:spacing w:val="4"/>
                <w:szCs w:val="21"/>
                <w14:textFill>
                  <w14:solidFill>
                    <w14:schemeClr w14:val="tx1"/>
                  </w14:solidFill>
                </w14:textFill>
              </w:rPr>
            </w:pPr>
          </w:p>
        </w:tc>
        <w:tc>
          <w:tcPr>
            <w:tcW w:w="491" w:type="pct"/>
            <w:gridSpan w:val="2"/>
            <w:vMerge w:val="continue"/>
            <w:vAlign w:val="center"/>
          </w:tcPr>
          <w:p w14:paraId="6146BB86">
            <w:pPr>
              <w:widowControl/>
              <w:spacing w:line="240" w:lineRule="exact"/>
              <w:jc w:val="left"/>
              <w:rPr>
                <w:rFonts w:hint="eastAsia" w:ascii="宋体" w:hAnsi="宋体"/>
                <w:color w:val="000000" w:themeColor="text1"/>
                <w:spacing w:val="4"/>
                <w:szCs w:val="21"/>
                <w14:textFill>
                  <w14:solidFill>
                    <w14:schemeClr w14:val="tx1"/>
                  </w14:solidFill>
                </w14:textFill>
              </w:rPr>
            </w:pPr>
          </w:p>
        </w:tc>
        <w:tc>
          <w:tcPr>
            <w:tcW w:w="1777" w:type="pct"/>
            <w:gridSpan w:val="5"/>
            <w:vAlign w:val="center"/>
          </w:tcPr>
          <w:p w14:paraId="7194F498">
            <w:pPr>
              <w:adjustRightInd w:val="0"/>
              <w:snapToGrid w:val="0"/>
              <w:spacing w:line="240" w:lineRule="exact"/>
              <w:jc w:val="center"/>
              <w:rPr>
                <w:rFonts w:hint="eastAsia" w:ascii="宋体" w:hAnsi="宋体"/>
                <w:color w:val="000000" w:themeColor="text1"/>
                <w:spacing w:val="4"/>
                <w:szCs w:val="21"/>
                <w14:textFill>
                  <w14:solidFill>
                    <w14:schemeClr w14:val="tx1"/>
                  </w14:solidFill>
                </w14:textFill>
              </w:rPr>
            </w:pPr>
            <w:r>
              <w:rPr>
                <w:rFonts w:ascii="宋体" w:hAnsi="宋体"/>
                <w:color w:val="000000" w:themeColor="text1"/>
                <w:spacing w:val="4"/>
                <w:szCs w:val="21"/>
                <w14:textFill>
                  <w14:solidFill>
                    <w14:schemeClr w14:val="tx1"/>
                  </w14:solidFill>
                </w14:textFill>
              </w:rPr>
              <w:t>集输流程</w:t>
            </w:r>
          </w:p>
        </w:tc>
        <w:tc>
          <w:tcPr>
            <w:tcW w:w="1004" w:type="pct"/>
            <w:vAlign w:val="center"/>
          </w:tcPr>
          <w:p w14:paraId="7A786127">
            <w:pPr>
              <w:adjustRightInd w:val="0"/>
              <w:snapToGrid w:val="0"/>
              <w:spacing w:line="240" w:lineRule="exact"/>
              <w:jc w:val="center"/>
              <w:rPr>
                <w:rFonts w:hint="eastAsia" w:ascii="宋体" w:hAnsi="宋体"/>
                <w:color w:val="000000" w:themeColor="text1"/>
                <w:spacing w:val="4"/>
                <w:szCs w:val="21"/>
                <w14:textFill>
                  <w14:solidFill>
                    <w14:schemeClr w14:val="tx1"/>
                  </w14:solidFill>
                </w14:textFill>
              </w:rPr>
            </w:pPr>
            <w:r>
              <w:rPr>
                <w:rFonts w:ascii="宋体" w:hAnsi="宋体"/>
                <w:color w:val="000000" w:themeColor="text1"/>
                <w:spacing w:val="4"/>
                <w:szCs w:val="21"/>
                <w14:textFill>
                  <w14:solidFill>
                    <w14:schemeClr w14:val="tx1"/>
                  </w14:solidFill>
                </w14:textFill>
              </w:rPr>
              <w:t>全密闭流程</w:t>
            </w:r>
          </w:p>
        </w:tc>
        <w:tc>
          <w:tcPr>
            <w:tcW w:w="397" w:type="pct"/>
            <w:gridSpan w:val="2"/>
            <w:vAlign w:val="center"/>
          </w:tcPr>
          <w:p w14:paraId="773411C5">
            <w:pPr>
              <w:adjustRightInd w:val="0"/>
              <w:snapToGrid w:val="0"/>
              <w:spacing w:line="240" w:lineRule="exact"/>
              <w:jc w:val="center"/>
              <w:rPr>
                <w:rFonts w:hint="eastAsia" w:ascii="宋体" w:hAnsi="宋体"/>
                <w:color w:val="000000" w:themeColor="text1"/>
                <w:spacing w:val="4"/>
                <w:szCs w:val="21"/>
                <w14:textFill>
                  <w14:solidFill>
                    <w14:schemeClr w14:val="tx1"/>
                  </w14:solidFill>
                </w14:textFill>
              </w:rPr>
            </w:pPr>
            <w:r>
              <w:rPr>
                <w:rFonts w:ascii="宋体" w:hAnsi="宋体"/>
                <w:color w:val="000000" w:themeColor="text1"/>
                <w:spacing w:val="4"/>
                <w:szCs w:val="21"/>
                <w14:textFill>
                  <w14:solidFill>
                    <w14:schemeClr w14:val="tx1"/>
                  </w14:solidFill>
                </w14:textFill>
              </w:rPr>
              <w:t>10</w:t>
            </w:r>
          </w:p>
        </w:tc>
        <w:tc>
          <w:tcPr>
            <w:tcW w:w="496" w:type="pct"/>
            <w:gridSpan w:val="2"/>
            <w:vAlign w:val="center"/>
          </w:tcPr>
          <w:p w14:paraId="239AB578">
            <w:pPr>
              <w:adjustRightInd w:val="0"/>
              <w:snapToGrid w:val="0"/>
              <w:spacing w:line="240" w:lineRule="exact"/>
              <w:jc w:val="center"/>
              <w:rPr>
                <w:rFonts w:hint="eastAsia" w:ascii="宋体" w:hAnsi="宋体"/>
                <w:color w:val="000000" w:themeColor="text1"/>
                <w:spacing w:val="4"/>
                <w:szCs w:val="21"/>
                <w14:textFill>
                  <w14:solidFill>
                    <w14:schemeClr w14:val="tx1"/>
                  </w14:solidFill>
                </w14:textFill>
              </w:rPr>
            </w:pPr>
            <w:r>
              <w:rPr>
                <w:rFonts w:ascii="宋体" w:hAnsi="宋体"/>
                <w:color w:val="000000" w:themeColor="text1"/>
                <w:spacing w:val="4"/>
                <w:szCs w:val="21"/>
                <w14:textFill>
                  <w14:solidFill>
                    <w14:schemeClr w14:val="tx1"/>
                  </w14:solidFill>
                </w14:textFill>
              </w:rPr>
              <w:t>10</w:t>
            </w:r>
          </w:p>
        </w:tc>
      </w:tr>
      <w:tr w14:paraId="08E91F6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834" w:type="pct"/>
            <w:vMerge w:val="restart"/>
            <w:vAlign w:val="center"/>
          </w:tcPr>
          <w:p w14:paraId="3C2B1E7C">
            <w:pPr>
              <w:adjustRightInd w:val="0"/>
              <w:snapToGrid w:val="0"/>
              <w:spacing w:line="240" w:lineRule="exact"/>
              <w:jc w:val="center"/>
              <w:rPr>
                <w:rFonts w:hint="eastAsia" w:ascii="宋体" w:hAnsi="宋体"/>
                <w:color w:val="000000" w:themeColor="text1"/>
                <w:spacing w:val="4"/>
                <w:szCs w:val="21"/>
                <w14:textFill>
                  <w14:solidFill>
                    <w14:schemeClr w14:val="tx1"/>
                  </w14:solidFill>
                </w14:textFill>
              </w:rPr>
            </w:pPr>
            <w:r>
              <w:rPr>
                <w:rFonts w:ascii="宋体" w:hAnsi="宋体"/>
                <w:color w:val="000000" w:themeColor="text1"/>
                <w:spacing w:val="4"/>
                <w:szCs w:val="21"/>
                <w14:textFill>
                  <w14:solidFill>
                    <w14:schemeClr w14:val="tx1"/>
                  </w14:solidFill>
                </w14:textFill>
              </w:rPr>
              <w:t>（2）管理体系建设及</w:t>
            </w:r>
          </w:p>
          <w:p w14:paraId="5D3D52A3">
            <w:pPr>
              <w:adjustRightInd w:val="0"/>
              <w:snapToGrid w:val="0"/>
              <w:spacing w:line="240" w:lineRule="exact"/>
              <w:jc w:val="center"/>
              <w:rPr>
                <w:rFonts w:hint="eastAsia" w:ascii="宋体" w:hAnsi="宋体"/>
                <w:color w:val="000000" w:themeColor="text1"/>
                <w:spacing w:val="4"/>
                <w:szCs w:val="21"/>
                <w14:textFill>
                  <w14:solidFill>
                    <w14:schemeClr w14:val="tx1"/>
                  </w14:solidFill>
                </w14:textFill>
              </w:rPr>
            </w:pPr>
            <w:r>
              <w:rPr>
                <w:rFonts w:ascii="宋体" w:hAnsi="宋体"/>
                <w:color w:val="000000" w:themeColor="text1"/>
                <w:spacing w:val="4"/>
                <w:szCs w:val="21"/>
                <w14:textFill>
                  <w14:solidFill>
                    <w14:schemeClr w14:val="tx1"/>
                  </w14:solidFill>
                </w14:textFill>
              </w:rPr>
              <w:t>清洁生产审核</w:t>
            </w:r>
          </w:p>
        </w:tc>
        <w:tc>
          <w:tcPr>
            <w:tcW w:w="491" w:type="pct"/>
            <w:gridSpan w:val="2"/>
            <w:vMerge w:val="restart"/>
            <w:vAlign w:val="center"/>
          </w:tcPr>
          <w:p w14:paraId="1498297C">
            <w:pPr>
              <w:adjustRightInd w:val="0"/>
              <w:snapToGrid w:val="0"/>
              <w:spacing w:line="240" w:lineRule="exact"/>
              <w:jc w:val="center"/>
              <w:rPr>
                <w:rFonts w:hint="eastAsia" w:ascii="宋体" w:hAnsi="宋体"/>
                <w:color w:val="000000" w:themeColor="text1"/>
                <w:spacing w:val="4"/>
                <w:szCs w:val="21"/>
                <w14:textFill>
                  <w14:solidFill>
                    <w14:schemeClr w14:val="tx1"/>
                  </w14:solidFill>
                </w14:textFill>
              </w:rPr>
            </w:pPr>
            <w:r>
              <w:rPr>
                <w:rFonts w:ascii="宋体" w:hAnsi="宋体"/>
                <w:color w:val="000000" w:themeColor="text1"/>
                <w:spacing w:val="4"/>
                <w:szCs w:val="21"/>
                <w14:textFill>
                  <w14:solidFill>
                    <w14:schemeClr w14:val="tx1"/>
                  </w14:solidFill>
                </w14:textFill>
              </w:rPr>
              <w:t>35</w:t>
            </w:r>
          </w:p>
        </w:tc>
        <w:tc>
          <w:tcPr>
            <w:tcW w:w="2781" w:type="pct"/>
            <w:gridSpan w:val="6"/>
            <w:vAlign w:val="center"/>
          </w:tcPr>
          <w:p w14:paraId="2C7C2D99">
            <w:pPr>
              <w:adjustRightInd w:val="0"/>
              <w:snapToGrid w:val="0"/>
              <w:spacing w:line="240" w:lineRule="exact"/>
              <w:jc w:val="center"/>
              <w:rPr>
                <w:rFonts w:hint="eastAsia" w:ascii="宋体" w:hAnsi="宋体"/>
                <w:color w:val="000000" w:themeColor="text1"/>
                <w:spacing w:val="4"/>
                <w:szCs w:val="21"/>
                <w14:textFill>
                  <w14:solidFill>
                    <w14:schemeClr w14:val="tx1"/>
                  </w14:solidFill>
                </w14:textFill>
              </w:rPr>
            </w:pPr>
            <w:r>
              <w:rPr>
                <w:rFonts w:ascii="宋体" w:hAnsi="宋体"/>
                <w:color w:val="000000" w:themeColor="text1"/>
                <w:spacing w:val="4"/>
                <w:szCs w:val="21"/>
                <w14:textFill>
                  <w14:solidFill>
                    <w14:schemeClr w14:val="tx1"/>
                  </w14:solidFill>
                </w14:textFill>
              </w:rPr>
              <w:t>建立HSE管理体系并通过验证</w:t>
            </w:r>
          </w:p>
        </w:tc>
        <w:tc>
          <w:tcPr>
            <w:tcW w:w="397" w:type="pct"/>
            <w:gridSpan w:val="2"/>
            <w:vAlign w:val="center"/>
          </w:tcPr>
          <w:p w14:paraId="32EE1F39">
            <w:pPr>
              <w:adjustRightInd w:val="0"/>
              <w:snapToGrid w:val="0"/>
              <w:spacing w:line="240" w:lineRule="exact"/>
              <w:jc w:val="center"/>
              <w:rPr>
                <w:rFonts w:hint="eastAsia" w:ascii="宋体" w:hAnsi="宋体"/>
                <w:color w:val="000000" w:themeColor="text1"/>
                <w:spacing w:val="4"/>
                <w:szCs w:val="21"/>
                <w14:textFill>
                  <w14:solidFill>
                    <w14:schemeClr w14:val="tx1"/>
                  </w14:solidFill>
                </w14:textFill>
              </w:rPr>
            </w:pPr>
            <w:r>
              <w:rPr>
                <w:rFonts w:ascii="宋体" w:hAnsi="宋体"/>
                <w:color w:val="000000" w:themeColor="text1"/>
                <w:spacing w:val="4"/>
                <w:szCs w:val="21"/>
                <w14:textFill>
                  <w14:solidFill>
                    <w14:schemeClr w14:val="tx1"/>
                  </w14:solidFill>
                </w14:textFill>
              </w:rPr>
              <w:t>10</w:t>
            </w:r>
          </w:p>
        </w:tc>
        <w:tc>
          <w:tcPr>
            <w:tcW w:w="496" w:type="pct"/>
            <w:gridSpan w:val="2"/>
            <w:vAlign w:val="center"/>
          </w:tcPr>
          <w:p w14:paraId="7430A2F9">
            <w:pPr>
              <w:adjustRightInd w:val="0"/>
              <w:snapToGrid w:val="0"/>
              <w:spacing w:line="240" w:lineRule="exact"/>
              <w:jc w:val="center"/>
              <w:rPr>
                <w:rFonts w:hint="eastAsia" w:ascii="宋体" w:hAnsi="宋体"/>
                <w:color w:val="000000" w:themeColor="text1"/>
                <w:spacing w:val="4"/>
                <w:szCs w:val="21"/>
                <w14:textFill>
                  <w14:solidFill>
                    <w14:schemeClr w14:val="tx1"/>
                  </w14:solidFill>
                </w14:textFill>
              </w:rPr>
            </w:pPr>
            <w:r>
              <w:rPr>
                <w:rFonts w:ascii="宋体" w:hAnsi="宋体"/>
                <w:color w:val="000000" w:themeColor="text1"/>
                <w:spacing w:val="4"/>
                <w:szCs w:val="21"/>
                <w14:textFill>
                  <w14:solidFill>
                    <w14:schemeClr w14:val="tx1"/>
                  </w14:solidFill>
                </w14:textFill>
              </w:rPr>
              <w:t>10</w:t>
            </w:r>
          </w:p>
        </w:tc>
      </w:tr>
      <w:tr w14:paraId="6B92986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834" w:type="pct"/>
            <w:vMerge w:val="continue"/>
            <w:vAlign w:val="center"/>
          </w:tcPr>
          <w:p w14:paraId="72673A8A">
            <w:pPr>
              <w:widowControl/>
              <w:spacing w:line="240" w:lineRule="exact"/>
              <w:jc w:val="left"/>
              <w:rPr>
                <w:rFonts w:hint="eastAsia" w:ascii="宋体" w:hAnsi="宋体"/>
                <w:color w:val="000000" w:themeColor="text1"/>
                <w:spacing w:val="4"/>
                <w:szCs w:val="21"/>
                <w14:textFill>
                  <w14:solidFill>
                    <w14:schemeClr w14:val="tx1"/>
                  </w14:solidFill>
                </w14:textFill>
              </w:rPr>
            </w:pPr>
          </w:p>
        </w:tc>
        <w:tc>
          <w:tcPr>
            <w:tcW w:w="491" w:type="pct"/>
            <w:gridSpan w:val="2"/>
            <w:vMerge w:val="continue"/>
            <w:vAlign w:val="center"/>
          </w:tcPr>
          <w:p w14:paraId="7D3DA4D5">
            <w:pPr>
              <w:widowControl/>
              <w:spacing w:line="240" w:lineRule="exact"/>
              <w:jc w:val="left"/>
              <w:rPr>
                <w:rFonts w:hint="eastAsia" w:ascii="宋体" w:hAnsi="宋体"/>
                <w:color w:val="000000" w:themeColor="text1"/>
                <w:spacing w:val="4"/>
                <w:szCs w:val="21"/>
                <w14:textFill>
                  <w14:solidFill>
                    <w14:schemeClr w14:val="tx1"/>
                  </w14:solidFill>
                </w14:textFill>
              </w:rPr>
            </w:pPr>
          </w:p>
        </w:tc>
        <w:tc>
          <w:tcPr>
            <w:tcW w:w="2781" w:type="pct"/>
            <w:gridSpan w:val="6"/>
            <w:vAlign w:val="center"/>
          </w:tcPr>
          <w:p w14:paraId="40E98460">
            <w:pPr>
              <w:adjustRightInd w:val="0"/>
              <w:snapToGrid w:val="0"/>
              <w:spacing w:line="240" w:lineRule="exact"/>
              <w:jc w:val="center"/>
              <w:rPr>
                <w:rFonts w:hint="eastAsia" w:ascii="宋体" w:hAnsi="宋体"/>
                <w:color w:val="000000" w:themeColor="text1"/>
                <w:spacing w:val="4"/>
                <w:szCs w:val="21"/>
                <w14:textFill>
                  <w14:solidFill>
                    <w14:schemeClr w14:val="tx1"/>
                  </w14:solidFill>
                </w14:textFill>
              </w:rPr>
            </w:pPr>
            <w:r>
              <w:rPr>
                <w:rFonts w:ascii="宋体" w:hAnsi="宋体"/>
                <w:color w:val="000000" w:themeColor="text1"/>
                <w:spacing w:val="4"/>
                <w:szCs w:val="21"/>
                <w14:textFill>
                  <w14:solidFill>
                    <w14:schemeClr w14:val="tx1"/>
                  </w14:solidFill>
                </w14:textFill>
              </w:rPr>
              <w:t>开展清洁生产审核</w:t>
            </w:r>
          </w:p>
        </w:tc>
        <w:tc>
          <w:tcPr>
            <w:tcW w:w="397" w:type="pct"/>
            <w:gridSpan w:val="2"/>
            <w:vAlign w:val="center"/>
          </w:tcPr>
          <w:p w14:paraId="59884099">
            <w:pPr>
              <w:adjustRightInd w:val="0"/>
              <w:snapToGrid w:val="0"/>
              <w:spacing w:line="240" w:lineRule="exact"/>
              <w:jc w:val="center"/>
              <w:rPr>
                <w:rFonts w:hint="eastAsia" w:ascii="宋体" w:hAnsi="宋体"/>
                <w:color w:val="000000" w:themeColor="text1"/>
                <w:spacing w:val="4"/>
                <w:szCs w:val="21"/>
                <w14:textFill>
                  <w14:solidFill>
                    <w14:schemeClr w14:val="tx1"/>
                  </w14:solidFill>
                </w14:textFill>
              </w:rPr>
            </w:pPr>
            <w:r>
              <w:rPr>
                <w:rFonts w:ascii="宋体" w:hAnsi="宋体"/>
                <w:color w:val="000000" w:themeColor="text1"/>
                <w:spacing w:val="4"/>
                <w:szCs w:val="21"/>
                <w14:textFill>
                  <w14:solidFill>
                    <w14:schemeClr w14:val="tx1"/>
                  </w14:solidFill>
                </w14:textFill>
              </w:rPr>
              <w:t>20</w:t>
            </w:r>
          </w:p>
        </w:tc>
        <w:tc>
          <w:tcPr>
            <w:tcW w:w="496" w:type="pct"/>
            <w:gridSpan w:val="2"/>
            <w:vAlign w:val="center"/>
          </w:tcPr>
          <w:p w14:paraId="5B2312BC">
            <w:pPr>
              <w:adjustRightInd w:val="0"/>
              <w:snapToGrid w:val="0"/>
              <w:spacing w:line="240" w:lineRule="exact"/>
              <w:jc w:val="center"/>
              <w:rPr>
                <w:rFonts w:hint="eastAsia" w:ascii="宋体" w:hAnsi="宋体"/>
                <w:color w:val="000000" w:themeColor="text1"/>
                <w:spacing w:val="4"/>
                <w:szCs w:val="21"/>
                <w14:textFill>
                  <w14:solidFill>
                    <w14:schemeClr w14:val="tx1"/>
                  </w14:solidFill>
                </w14:textFill>
              </w:rPr>
            </w:pPr>
            <w:r>
              <w:rPr>
                <w:rFonts w:hint="eastAsia" w:ascii="宋体" w:hAnsi="宋体"/>
                <w:color w:val="000000" w:themeColor="text1"/>
                <w:spacing w:val="4"/>
                <w:szCs w:val="21"/>
                <w14:textFill>
                  <w14:solidFill>
                    <w14:schemeClr w14:val="tx1"/>
                  </w14:solidFill>
                </w14:textFill>
              </w:rPr>
              <w:t>20</w:t>
            </w:r>
          </w:p>
        </w:tc>
      </w:tr>
      <w:tr w14:paraId="6EA56CD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834" w:type="pct"/>
            <w:vMerge w:val="continue"/>
            <w:vAlign w:val="center"/>
          </w:tcPr>
          <w:p w14:paraId="71EC9228">
            <w:pPr>
              <w:widowControl/>
              <w:spacing w:line="240" w:lineRule="exact"/>
              <w:jc w:val="left"/>
              <w:rPr>
                <w:rFonts w:hint="eastAsia" w:ascii="宋体" w:hAnsi="宋体"/>
                <w:color w:val="000000" w:themeColor="text1"/>
                <w:spacing w:val="4"/>
                <w:szCs w:val="21"/>
                <w14:textFill>
                  <w14:solidFill>
                    <w14:schemeClr w14:val="tx1"/>
                  </w14:solidFill>
                </w14:textFill>
              </w:rPr>
            </w:pPr>
          </w:p>
        </w:tc>
        <w:tc>
          <w:tcPr>
            <w:tcW w:w="491" w:type="pct"/>
            <w:gridSpan w:val="2"/>
            <w:vMerge w:val="continue"/>
            <w:vAlign w:val="center"/>
          </w:tcPr>
          <w:p w14:paraId="1BB00F54">
            <w:pPr>
              <w:widowControl/>
              <w:spacing w:line="240" w:lineRule="exact"/>
              <w:jc w:val="left"/>
              <w:rPr>
                <w:rFonts w:hint="eastAsia" w:ascii="宋体" w:hAnsi="宋体"/>
                <w:color w:val="000000" w:themeColor="text1"/>
                <w:spacing w:val="4"/>
                <w:szCs w:val="21"/>
                <w14:textFill>
                  <w14:solidFill>
                    <w14:schemeClr w14:val="tx1"/>
                  </w14:solidFill>
                </w14:textFill>
              </w:rPr>
            </w:pPr>
          </w:p>
        </w:tc>
        <w:tc>
          <w:tcPr>
            <w:tcW w:w="2781" w:type="pct"/>
            <w:gridSpan w:val="6"/>
            <w:vAlign w:val="center"/>
          </w:tcPr>
          <w:p w14:paraId="4C48DAAA">
            <w:pPr>
              <w:adjustRightInd w:val="0"/>
              <w:snapToGrid w:val="0"/>
              <w:spacing w:line="240" w:lineRule="exact"/>
              <w:jc w:val="center"/>
              <w:rPr>
                <w:rFonts w:hint="eastAsia" w:ascii="宋体" w:hAnsi="宋体"/>
                <w:color w:val="000000" w:themeColor="text1"/>
                <w:spacing w:val="4"/>
                <w:szCs w:val="21"/>
                <w14:textFill>
                  <w14:solidFill>
                    <w14:schemeClr w14:val="tx1"/>
                  </w14:solidFill>
                </w14:textFill>
              </w:rPr>
            </w:pPr>
            <w:r>
              <w:rPr>
                <w:rFonts w:ascii="宋体" w:hAnsi="宋体"/>
                <w:color w:val="000000" w:themeColor="text1"/>
                <w:spacing w:val="4"/>
                <w:szCs w:val="21"/>
                <w14:textFill>
                  <w14:solidFill>
                    <w14:schemeClr w14:val="tx1"/>
                  </w14:solidFill>
                </w14:textFill>
              </w:rPr>
              <w:t>制定节能减排工作计划</w:t>
            </w:r>
          </w:p>
        </w:tc>
        <w:tc>
          <w:tcPr>
            <w:tcW w:w="397" w:type="pct"/>
            <w:gridSpan w:val="2"/>
            <w:vAlign w:val="center"/>
          </w:tcPr>
          <w:p w14:paraId="21F97ABC">
            <w:pPr>
              <w:adjustRightInd w:val="0"/>
              <w:snapToGrid w:val="0"/>
              <w:spacing w:line="240" w:lineRule="exact"/>
              <w:jc w:val="center"/>
              <w:rPr>
                <w:rFonts w:hint="eastAsia" w:ascii="宋体" w:hAnsi="宋体"/>
                <w:color w:val="000000" w:themeColor="text1"/>
                <w:spacing w:val="4"/>
                <w:szCs w:val="21"/>
                <w14:textFill>
                  <w14:solidFill>
                    <w14:schemeClr w14:val="tx1"/>
                  </w14:solidFill>
                </w14:textFill>
              </w:rPr>
            </w:pPr>
            <w:r>
              <w:rPr>
                <w:rFonts w:ascii="宋体" w:hAnsi="宋体"/>
                <w:color w:val="000000" w:themeColor="text1"/>
                <w:spacing w:val="4"/>
                <w:szCs w:val="21"/>
                <w14:textFill>
                  <w14:solidFill>
                    <w14:schemeClr w14:val="tx1"/>
                  </w14:solidFill>
                </w14:textFill>
              </w:rPr>
              <w:t>5</w:t>
            </w:r>
          </w:p>
        </w:tc>
        <w:tc>
          <w:tcPr>
            <w:tcW w:w="496" w:type="pct"/>
            <w:gridSpan w:val="2"/>
            <w:vAlign w:val="center"/>
          </w:tcPr>
          <w:p w14:paraId="7AE64301">
            <w:pPr>
              <w:adjustRightInd w:val="0"/>
              <w:snapToGrid w:val="0"/>
              <w:spacing w:line="240" w:lineRule="exact"/>
              <w:jc w:val="center"/>
              <w:rPr>
                <w:rFonts w:hint="eastAsia" w:ascii="宋体" w:hAnsi="宋体"/>
                <w:color w:val="000000" w:themeColor="text1"/>
                <w:spacing w:val="4"/>
                <w:szCs w:val="21"/>
                <w14:textFill>
                  <w14:solidFill>
                    <w14:schemeClr w14:val="tx1"/>
                  </w14:solidFill>
                </w14:textFill>
              </w:rPr>
            </w:pPr>
            <w:r>
              <w:rPr>
                <w:rFonts w:ascii="宋体" w:hAnsi="宋体"/>
                <w:color w:val="000000" w:themeColor="text1"/>
                <w:spacing w:val="4"/>
                <w:szCs w:val="21"/>
                <w14:textFill>
                  <w14:solidFill>
                    <w14:schemeClr w14:val="tx1"/>
                  </w14:solidFill>
                </w14:textFill>
              </w:rPr>
              <w:t>5</w:t>
            </w:r>
          </w:p>
        </w:tc>
      </w:tr>
      <w:tr w14:paraId="07E4905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834" w:type="pct"/>
            <w:vMerge w:val="restart"/>
            <w:vAlign w:val="center"/>
          </w:tcPr>
          <w:p w14:paraId="5B4DF230">
            <w:pPr>
              <w:adjustRightInd w:val="0"/>
              <w:snapToGrid w:val="0"/>
              <w:spacing w:line="240" w:lineRule="exact"/>
              <w:jc w:val="center"/>
              <w:rPr>
                <w:rFonts w:hint="eastAsia" w:ascii="宋体" w:hAnsi="宋体"/>
                <w:color w:val="000000" w:themeColor="text1"/>
                <w:spacing w:val="4"/>
                <w:szCs w:val="21"/>
                <w14:textFill>
                  <w14:solidFill>
                    <w14:schemeClr w14:val="tx1"/>
                  </w14:solidFill>
                </w14:textFill>
              </w:rPr>
            </w:pPr>
            <w:r>
              <w:rPr>
                <w:rFonts w:ascii="宋体" w:hAnsi="宋体"/>
                <w:color w:val="000000" w:themeColor="text1"/>
                <w:spacing w:val="4"/>
                <w:szCs w:val="21"/>
                <w14:textFill>
                  <w14:solidFill>
                    <w14:schemeClr w14:val="tx1"/>
                  </w14:solidFill>
                </w14:textFill>
              </w:rPr>
              <w:t>（3）环保政策法规执行情况</w:t>
            </w:r>
          </w:p>
        </w:tc>
        <w:tc>
          <w:tcPr>
            <w:tcW w:w="491" w:type="pct"/>
            <w:gridSpan w:val="2"/>
            <w:vMerge w:val="restart"/>
            <w:vAlign w:val="center"/>
          </w:tcPr>
          <w:p w14:paraId="5850F32D">
            <w:pPr>
              <w:adjustRightInd w:val="0"/>
              <w:snapToGrid w:val="0"/>
              <w:spacing w:line="240" w:lineRule="exact"/>
              <w:jc w:val="center"/>
              <w:rPr>
                <w:rFonts w:hint="eastAsia" w:ascii="宋体" w:hAnsi="宋体"/>
                <w:color w:val="000000" w:themeColor="text1"/>
                <w:spacing w:val="4"/>
                <w:szCs w:val="21"/>
                <w14:textFill>
                  <w14:solidFill>
                    <w14:schemeClr w14:val="tx1"/>
                  </w14:solidFill>
                </w14:textFill>
              </w:rPr>
            </w:pPr>
            <w:r>
              <w:rPr>
                <w:rFonts w:ascii="宋体" w:hAnsi="宋体"/>
                <w:color w:val="000000" w:themeColor="text1"/>
                <w:spacing w:val="4"/>
                <w:szCs w:val="21"/>
                <w14:textFill>
                  <w14:solidFill>
                    <w14:schemeClr w14:val="tx1"/>
                  </w14:solidFill>
                </w14:textFill>
              </w:rPr>
              <w:t>20</w:t>
            </w:r>
          </w:p>
        </w:tc>
        <w:tc>
          <w:tcPr>
            <w:tcW w:w="2781" w:type="pct"/>
            <w:gridSpan w:val="6"/>
            <w:vAlign w:val="center"/>
          </w:tcPr>
          <w:p w14:paraId="348DFA16">
            <w:pPr>
              <w:adjustRightInd w:val="0"/>
              <w:snapToGrid w:val="0"/>
              <w:spacing w:line="240" w:lineRule="exact"/>
              <w:jc w:val="center"/>
              <w:rPr>
                <w:rFonts w:hint="eastAsia" w:ascii="宋体" w:hAnsi="宋体"/>
                <w:color w:val="000000" w:themeColor="text1"/>
                <w:spacing w:val="4"/>
                <w:szCs w:val="21"/>
                <w14:textFill>
                  <w14:solidFill>
                    <w14:schemeClr w14:val="tx1"/>
                  </w14:solidFill>
                </w14:textFill>
              </w:rPr>
            </w:pPr>
            <w:r>
              <w:rPr>
                <w:rFonts w:ascii="宋体" w:hAnsi="宋体"/>
                <w:color w:val="000000" w:themeColor="text1"/>
                <w:spacing w:val="4"/>
                <w:szCs w:val="21"/>
                <w14:textFill>
                  <w14:solidFill>
                    <w14:schemeClr w14:val="tx1"/>
                  </w14:solidFill>
                </w14:textFill>
              </w:rPr>
              <w:t>建设项</w:t>
            </w:r>
            <w:r>
              <w:rPr>
                <w:rFonts w:hint="eastAsia" w:ascii="宋体" w:hAnsi="宋体"/>
                <w:color w:val="000000" w:themeColor="text1"/>
                <w:spacing w:val="4"/>
                <w:szCs w:val="21"/>
                <w14:textFill>
                  <w14:solidFill>
                    <w14:schemeClr w14:val="tx1"/>
                  </w14:solidFill>
                </w14:textFill>
              </w:rPr>
              <w:t>目“三同时”执行情况</w:t>
            </w:r>
          </w:p>
        </w:tc>
        <w:tc>
          <w:tcPr>
            <w:tcW w:w="397" w:type="pct"/>
            <w:gridSpan w:val="2"/>
            <w:vAlign w:val="center"/>
          </w:tcPr>
          <w:p w14:paraId="45BFF7AE">
            <w:pPr>
              <w:adjustRightInd w:val="0"/>
              <w:snapToGrid w:val="0"/>
              <w:spacing w:line="240" w:lineRule="exact"/>
              <w:jc w:val="center"/>
              <w:rPr>
                <w:rFonts w:hint="eastAsia" w:ascii="宋体" w:hAnsi="宋体"/>
                <w:color w:val="000000" w:themeColor="text1"/>
                <w:spacing w:val="4"/>
                <w:szCs w:val="21"/>
                <w14:textFill>
                  <w14:solidFill>
                    <w14:schemeClr w14:val="tx1"/>
                  </w14:solidFill>
                </w14:textFill>
              </w:rPr>
            </w:pPr>
            <w:r>
              <w:rPr>
                <w:rFonts w:ascii="宋体" w:hAnsi="宋体"/>
                <w:color w:val="000000" w:themeColor="text1"/>
                <w:spacing w:val="4"/>
                <w:szCs w:val="21"/>
                <w14:textFill>
                  <w14:solidFill>
                    <w14:schemeClr w14:val="tx1"/>
                  </w14:solidFill>
                </w14:textFill>
              </w:rPr>
              <w:t>5</w:t>
            </w:r>
          </w:p>
        </w:tc>
        <w:tc>
          <w:tcPr>
            <w:tcW w:w="496" w:type="pct"/>
            <w:gridSpan w:val="2"/>
            <w:vAlign w:val="center"/>
          </w:tcPr>
          <w:p w14:paraId="708DB84F">
            <w:pPr>
              <w:adjustRightInd w:val="0"/>
              <w:snapToGrid w:val="0"/>
              <w:spacing w:line="240" w:lineRule="exact"/>
              <w:jc w:val="center"/>
              <w:rPr>
                <w:rFonts w:hint="eastAsia" w:ascii="宋体" w:hAnsi="宋体"/>
                <w:color w:val="000000" w:themeColor="text1"/>
                <w:spacing w:val="4"/>
                <w:szCs w:val="21"/>
                <w14:textFill>
                  <w14:solidFill>
                    <w14:schemeClr w14:val="tx1"/>
                  </w14:solidFill>
                </w14:textFill>
              </w:rPr>
            </w:pPr>
            <w:r>
              <w:rPr>
                <w:rFonts w:ascii="宋体" w:hAnsi="宋体"/>
                <w:color w:val="000000" w:themeColor="text1"/>
                <w:spacing w:val="4"/>
                <w:szCs w:val="21"/>
                <w14:textFill>
                  <w14:solidFill>
                    <w14:schemeClr w14:val="tx1"/>
                  </w14:solidFill>
                </w14:textFill>
              </w:rPr>
              <w:t>5</w:t>
            </w:r>
          </w:p>
        </w:tc>
      </w:tr>
      <w:tr w14:paraId="509AD0C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834" w:type="pct"/>
            <w:vMerge w:val="continue"/>
            <w:vAlign w:val="center"/>
          </w:tcPr>
          <w:p w14:paraId="6681DA6D">
            <w:pPr>
              <w:widowControl/>
              <w:spacing w:line="240" w:lineRule="exact"/>
              <w:jc w:val="left"/>
              <w:rPr>
                <w:rFonts w:hint="eastAsia" w:ascii="宋体" w:hAnsi="宋体"/>
                <w:color w:val="000000" w:themeColor="text1"/>
                <w:spacing w:val="4"/>
                <w:szCs w:val="21"/>
                <w14:textFill>
                  <w14:solidFill>
                    <w14:schemeClr w14:val="tx1"/>
                  </w14:solidFill>
                </w14:textFill>
              </w:rPr>
            </w:pPr>
          </w:p>
        </w:tc>
        <w:tc>
          <w:tcPr>
            <w:tcW w:w="491" w:type="pct"/>
            <w:gridSpan w:val="2"/>
            <w:vMerge w:val="continue"/>
            <w:vAlign w:val="center"/>
          </w:tcPr>
          <w:p w14:paraId="1EA587BA">
            <w:pPr>
              <w:widowControl/>
              <w:spacing w:line="240" w:lineRule="exact"/>
              <w:jc w:val="left"/>
              <w:rPr>
                <w:rFonts w:hint="eastAsia" w:ascii="宋体" w:hAnsi="宋体"/>
                <w:color w:val="000000" w:themeColor="text1"/>
                <w:spacing w:val="4"/>
                <w:szCs w:val="21"/>
                <w14:textFill>
                  <w14:solidFill>
                    <w14:schemeClr w14:val="tx1"/>
                  </w14:solidFill>
                </w14:textFill>
              </w:rPr>
            </w:pPr>
          </w:p>
        </w:tc>
        <w:tc>
          <w:tcPr>
            <w:tcW w:w="2781" w:type="pct"/>
            <w:gridSpan w:val="6"/>
            <w:vAlign w:val="center"/>
          </w:tcPr>
          <w:p w14:paraId="4F54B546">
            <w:pPr>
              <w:adjustRightInd w:val="0"/>
              <w:snapToGrid w:val="0"/>
              <w:spacing w:line="240" w:lineRule="exact"/>
              <w:jc w:val="center"/>
              <w:rPr>
                <w:rFonts w:hint="eastAsia" w:ascii="宋体" w:hAnsi="宋体"/>
                <w:color w:val="000000" w:themeColor="text1"/>
                <w:spacing w:val="4"/>
                <w:szCs w:val="21"/>
                <w14:textFill>
                  <w14:solidFill>
                    <w14:schemeClr w14:val="tx1"/>
                  </w14:solidFill>
                </w14:textFill>
              </w:rPr>
            </w:pPr>
            <w:r>
              <w:rPr>
                <w:rFonts w:ascii="宋体" w:hAnsi="宋体"/>
                <w:color w:val="000000" w:themeColor="text1"/>
                <w:spacing w:val="4"/>
                <w:szCs w:val="21"/>
                <w14:textFill>
                  <w14:solidFill>
                    <w14:schemeClr w14:val="tx1"/>
                  </w14:solidFill>
                </w14:textFill>
              </w:rPr>
              <w:t>建设项目环境影响评价制度执行情况</w:t>
            </w:r>
          </w:p>
        </w:tc>
        <w:tc>
          <w:tcPr>
            <w:tcW w:w="397" w:type="pct"/>
            <w:gridSpan w:val="2"/>
            <w:vAlign w:val="center"/>
          </w:tcPr>
          <w:p w14:paraId="7FBB1BF0">
            <w:pPr>
              <w:adjustRightInd w:val="0"/>
              <w:snapToGrid w:val="0"/>
              <w:spacing w:line="240" w:lineRule="exact"/>
              <w:jc w:val="center"/>
              <w:rPr>
                <w:rFonts w:hint="eastAsia" w:ascii="宋体" w:hAnsi="宋体"/>
                <w:color w:val="000000" w:themeColor="text1"/>
                <w:spacing w:val="4"/>
                <w:szCs w:val="21"/>
                <w14:textFill>
                  <w14:solidFill>
                    <w14:schemeClr w14:val="tx1"/>
                  </w14:solidFill>
                </w14:textFill>
              </w:rPr>
            </w:pPr>
            <w:r>
              <w:rPr>
                <w:rFonts w:ascii="宋体" w:hAnsi="宋体"/>
                <w:color w:val="000000" w:themeColor="text1"/>
                <w:spacing w:val="4"/>
                <w:szCs w:val="21"/>
                <w14:textFill>
                  <w14:solidFill>
                    <w14:schemeClr w14:val="tx1"/>
                  </w14:solidFill>
                </w14:textFill>
              </w:rPr>
              <w:t>5</w:t>
            </w:r>
          </w:p>
        </w:tc>
        <w:tc>
          <w:tcPr>
            <w:tcW w:w="496" w:type="pct"/>
            <w:gridSpan w:val="2"/>
            <w:vAlign w:val="center"/>
          </w:tcPr>
          <w:p w14:paraId="482BBA67">
            <w:pPr>
              <w:adjustRightInd w:val="0"/>
              <w:snapToGrid w:val="0"/>
              <w:spacing w:line="240" w:lineRule="exact"/>
              <w:jc w:val="center"/>
              <w:rPr>
                <w:rFonts w:hint="eastAsia" w:ascii="宋体" w:hAnsi="宋体"/>
                <w:color w:val="000000" w:themeColor="text1"/>
                <w:spacing w:val="4"/>
                <w:szCs w:val="21"/>
                <w14:textFill>
                  <w14:solidFill>
                    <w14:schemeClr w14:val="tx1"/>
                  </w14:solidFill>
                </w14:textFill>
              </w:rPr>
            </w:pPr>
            <w:r>
              <w:rPr>
                <w:rFonts w:ascii="宋体" w:hAnsi="宋体"/>
                <w:color w:val="000000" w:themeColor="text1"/>
                <w:spacing w:val="4"/>
                <w:szCs w:val="21"/>
                <w14:textFill>
                  <w14:solidFill>
                    <w14:schemeClr w14:val="tx1"/>
                  </w14:solidFill>
                </w14:textFill>
              </w:rPr>
              <w:t>5</w:t>
            </w:r>
          </w:p>
        </w:tc>
      </w:tr>
      <w:tr w14:paraId="0F08FC1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834" w:type="pct"/>
            <w:vMerge w:val="continue"/>
            <w:vAlign w:val="center"/>
          </w:tcPr>
          <w:p w14:paraId="5E47D6C1">
            <w:pPr>
              <w:widowControl/>
              <w:spacing w:line="240" w:lineRule="exact"/>
              <w:jc w:val="left"/>
              <w:rPr>
                <w:rFonts w:hint="eastAsia" w:ascii="宋体" w:hAnsi="宋体"/>
                <w:color w:val="000000" w:themeColor="text1"/>
                <w:spacing w:val="4"/>
                <w:szCs w:val="21"/>
                <w14:textFill>
                  <w14:solidFill>
                    <w14:schemeClr w14:val="tx1"/>
                  </w14:solidFill>
                </w14:textFill>
              </w:rPr>
            </w:pPr>
          </w:p>
        </w:tc>
        <w:tc>
          <w:tcPr>
            <w:tcW w:w="491" w:type="pct"/>
            <w:gridSpan w:val="2"/>
            <w:vMerge w:val="continue"/>
            <w:vAlign w:val="center"/>
          </w:tcPr>
          <w:p w14:paraId="05068501">
            <w:pPr>
              <w:widowControl/>
              <w:spacing w:line="240" w:lineRule="exact"/>
              <w:jc w:val="left"/>
              <w:rPr>
                <w:rFonts w:hint="eastAsia" w:ascii="宋体" w:hAnsi="宋体"/>
                <w:color w:val="000000" w:themeColor="text1"/>
                <w:spacing w:val="4"/>
                <w:szCs w:val="21"/>
                <w14:textFill>
                  <w14:solidFill>
                    <w14:schemeClr w14:val="tx1"/>
                  </w14:solidFill>
                </w14:textFill>
              </w:rPr>
            </w:pPr>
          </w:p>
        </w:tc>
        <w:tc>
          <w:tcPr>
            <w:tcW w:w="2781" w:type="pct"/>
            <w:gridSpan w:val="6"/>
            <w:vAlign w:val="center"/>
          </w:tcPr>
          <w:p w14:paraId="66293780">
            <w:pPr>
              <w:adjustRightInd w:val="0"/>
              <w:snapToGrid w:val="0"/>
              <w:spacing w:line="240" w:lineRule="exact"/>
              <w:jc w:val="center"/>
              <w:rPr>
                <w:rFonts w:hint="eastAsia" w:ascii="宋体" w:hAnsi="宋体"/>
                <w:color w:val="000000" w:themeColor="text1"/>
                <w:spacing w:val="4"/>
                <w:szCs w:val="21"/>
                <w14:textFill>
                  <w14:solidFill>
                    <w14:schemeClr w14:val="tx1"/>
                  </w14:solidFill>
                </w14:textFill>
              </w:rPr>
            </w:pPr>
            <w:r>
              <w:rPr>
                <w:rFonts w:ascii="宋体" w:hAnsi="宋体"/>
                <w:color w:val="000000" w:themeColor="text1"/>
                <w:spacing w:val="4"/>
                <w:szCs w:val="21"/>
                <w14:textFill>
                  <w14:solidFill>
                    <w14:schemeClr w14:val="tx1"/>
                  </w14:solidFill>
                </w14:textFill>
              </w:rPr>
              <w:t>污染物排放总量控制与减排措施情况</w:t>
            </w:r>
          </w:p>
        </w:tc>
        <w:tc>
          <w:tcPr>
            <w:tcW w:w="397" w:type="pct"/>
            <w:gridSpan w:val="2"/>
            <w:vAlign w:val="center"/>
          </w:tcPr>
          <w:p w14:paraId="564315EC">
            <w:pPr>
              <w:adjustRightInd w:val="0"/>
              <w:snapToGrid w:val="0"/>
              <w:spacing w:line="240" w:lineRule="exact"/>
              <w:jc w:val="center"/>
              <w:rPr>
                <w:rFonts w:hint="eastAsia" w:ascii="宋体" w:hAnsi="宋体"/>
                <w:color w:val="000000" w:themeColor="text1"/>
                <w:spacing w:val="4"/>
                <w:szCs w:val="21"/>
                <w14:textFill>
                  <w14:solidFill>
                    <w14:schemeClr w14:val="tx1"/>
                  </w14:solidFill>
                </w14:textFill>
              </w:rPr>
            </w:pPr>
            <w:r>
              <w:rPr>
                <w:rFonts w:ascii="宋体" w:hAnsi="宋体"/>
                <w:color w:val="000000" w:themeColor="text1"/>
                <w:spacing w:val="4"/>
                <w:szCs w:val="21"/>
                <w14:textFill>
                  <w14:solidFill>
                    <w14:schemeClr w14:val="tx1"/>
                  </w14:solidFill>
                </w14:textFill>
              </w:rPr>
              <w:t>5</w:t>
            </w:r>
          </w:p>
        </w:tc>
        <w:tc>
          <w:tcPr>
            <w:tcW w:w="496" w:type="pct"/>
            <w:gridSpan w:val="2"/>
            <w:vAlign w:val="center"/>
          </w:tcPr>
          <w:p w14:paraId="66ACD234">
            <w:pPr>
              <w:adjustRightInd w:val="0"/>
              <w:snapToGrid w:val="0"/>
              <w:spacing w:line="240" w:lineRule="exact"/>
              <w:jc w:val="center"/>
              <w:rPr>
                <w:rFonts w:hint="eastAsia" w:ascii="宋体" w:hAnsi="宋体"/>
                <w:color w:val="000000" w:themeColor="text1"/>
                <w:spacing w:val="4"/>
                <w:szCs w:val="21"/>
                <w14:textFill>
                  <w14:solidFill>
                    <w14:schemeClr w14:val="tx1"/>
                  </w14:solidFill>
                </w14:textFill>
              </w:rPr>
            </w:pPr>
            <w:r>
              <w:rPr>
                <w:rFonts w:ascii="宋体" w:hAnsi="宋体"/>
                <w:color w:val="000000" w:themeColor="text1"/>
                <w:spacing w:val="4"/>
                <w:szCs w:val="21"/>
                <w14:textFill>
                  <w14:solidFill>
                    <w14:schemeClr w14:val="tx1"/>
                  </w14:solidFill>
                </w14:textFill>
              </w:rPr>
              <w:t>5</w:t>
            </w:r>
          </w:p>
        </w:tc>
      </w:tr>
      <w:tr w14:paraId="0541C3E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834" w:type="pct"/>
            <w:vMerge w:val="continue"/>
            <w:vAlign w:val="center"/>
          </w:tcPr>
          <w:p w14:paraId="66BAF695">
            <w:pPr>
              <w:widowControl/>
              <w:spacing w:line="240" w:lineRule="exact"/>
              <w:jc w:val="left"/>
              <w:rPr>
                <w:rFonts w:hint="eastAsia" w:ascii="宋体" w:hAnsi="宋体"/>
                <w:color w:val="000000" w:themeColor="text1"/>
                <w:spacing w:val="4"/>
                <w:szCs w:val="21"/>
                <w14:textFill>
                  <w14:solidFill>
                    <w14:schemeClr w14:val="tx1"/>
                  </w14:solidFill>
                </w14:textFill>
              </w:rPr>
            </w:pPr>
          </w:p>
        </w:tc>
        <w:tc>
          <w:tcPr>
            <w:tcW w:w="491" w:type="pct"/>
            <w:gridSpan w:val="2"/>
            <w:vMerge w:val="continue"/>
            <w:vAlign w:val="center"/>
          </w:tcPr>
          <w:p w14:paraId="2D92AD3D">
            <w:pPr>
              <w:widowControl/>
              <w:spacing w:line="240" w:lineRule="exact"/>
              <w:jc w:val="left"/>
              <w:rPr>
                <w:rFonts w:hint="eastAsia" w:ascii="宋体" w:hAnsi="宋体"/>
                <w:color w:val="000000" w:themeColor="text1"/>
                <w:spacing w:val="4"/>
                <w:szCs w:val="21"/>
                <w14:textFill>
                  <w14:solidFill>
                    <w14:schemeClr w14:val="tx1"/>
                  </w14:solidFill>
                </w14:textFill>
              </w:rPr>
            </w:pPr>
          </w:p>
        </w:tc>
        <w:tc>
          <w:tcPr>
            <w:tcW w:w="2781" w:type="pct"/>
            <w:gridSpan w:val="6"/>
            <w:vAlign w:val="center"/>
          </w:tcPr>
          <w:p w14:paraId="6F0CC158">
            <w:pPr>
              <w:adjustRightInd w:val="0"/>
              <w:snapToGrid w:val="0"/>
              <w:spacing w:line="240" w:lineRule="exact"/>
              <w:jc w:val="center"/>
              <w:rPr>
                <w:rFonts w:hint="eastAsia" w:ascii="宋体" w:hAnsi="宋体"/>
                <w:color w:val="000000" w:themeColor="text1"/>
                <w:spacing w:val="4"/>
                <w:szCs w:val="21"/>
                <w14:textFill>
                  <w14:solidFill>
                    <w14:schemeClr w14:val="tx1"/>
                  </w14:solidFill>
                </w14:textFill>
              </w:rPr>
            </w:pPr>
            <w:r>
              <w:rPr>
                <w:rFonts w:ascii="宋体" w:hAnsi="宋体"/>
                <w:color w:val="000000" w:themeColor="text1"/>
                <w:spacing w:val="4"/>
                <w:szCs w:val="21"/>
                <w14:textFill>
                  <w14:solidFill>
                    <w14:schemeClr w14:val="tx1"/>
                  </w14:solidFill>
                </w14:textFill>
              </w:rPr>
              <w:t>老污染源限期治理项目完成情况</w:t>
            </w:r>
          </w:p>
        </w:tc>
        <w:tc>
          <w:tcPr>
            <w:tcW w:w="397" w:type="pct"/>
            <w:gridSpan w:val="2"/>
            <w:vAlign w:val="center"/>
          </w:tcPr>
          <w:p w14:paraId="5762320C">
            <w:pPr>
              <w:adjustRightInd w:val="0"/>
              <w:snapToGrid w:val="0"/>
              <w:spacing w:line="240" w:lineRule="exact"/>
              <w:jc w:val="center"/>
              <w:rPr>
                <w:rFonts w:hint="eastAsia" w:ascii="宋体" w:hAnsi="宋体"/>
                <w:color w:val="000000" w:themeColor="text1"/>
                <w:spacing w:val="4"/>
                <w:szCs w:val="21"/>
                <w14:textFill>
                  <w14:solidFill>
                    <w14:schemeClr w14:val="tx1"/>
                  </w14:solidFill>
                </w14:textFill>
              </w:rPr>
            </w:pPr>
            <w:r>
              <w:rPr>
                <w:rFonts w:ascii="宋体" w:hAnsi="宋体"/>
                <w:color w:val="000000" w:themeColor="text1"/>
                <w:spacing w:val="4"/>
                <w:szCs w:val="21"/>
                <w14:textFill>
                  <w14:solidFill>
                    <w14:schemeClr w14:val="tx1"/>
                  </w14:solidFill>
                </w14:textFill>
              </w:rPr>
              <w:t>5</w:t>
            </w:r>
          </w:p>
        </w:tc>
        <w:tc>
          <w:tcPr>
            <w:tcW w:w="496" w:type="pct"/>
            <w:gridSpan w:val="2"/>
            <w:vAlign w:val="center"/>
          </w:tcPr>
          <w:p w14:paraId="6D26D18B">
            <w:pPr>
              <w:adjustRightInd w:val="0"/>
              <w:snapToGrid w:val="0"/>
              <w:spacing w:line="240" w:lineRule="exact"/>
              <w:jc w:val="center"/>
              <w:rPr>
                <w:rFonts w:hint="eastAsia" w:ascii="宋体" w:hAnsi="宋体"/>
                <w:color w:val="000000" w:themeColor="text1"/>
                <w:spacing w:val="4"/>
                <w:szCs w:val="21"/>
                <w14:textFill>
                  <w14:solidFill>
                    <w14:schemeClr w14:val="tx1"/>
                  </w14:solidFill>
                </w14:textFill>
              </w:rPr>
            </w:pPr>
            <w:r>
              <w:rPr>
                <w:rFonts w:ascii="宋体" w:hAnsi="宋体"/>
                <w:color w:val="000000" w:themeColor="text1"/>
                <w:spacing w:val="4"/>
                <w:szCs w:val="21"/>
                <w14:textFill>
                  <w14:solidFill>
                    <w14:schemeClr w14:val="tx1"/>
                  </w14:solidFill>
                </w14:textFill>
              </w:rPr>
              <w:t>5</w:t>
            </w:r>
          </w:p>
        </w:tc>
      </w:tr>
    </w:tbl>
    <w:p w14:paraId="47041DF3">
      <w:pPr>
        <w:spacing w:line="520" w:lineRule="exact"/>
        <w:ind w:firstLine="480" w:firstLineChars="200"/>
        <w:rPr>
          <w:rFonts w:hint="eastAsia" w:ascii="宋体" w:hAnsi="宋体"/>
          <w:color w:val="000000" w:themeColor="text1"/>
          <w:sz w:val="24"/>
          <w:szCs w:val="24"/>
          <w14:textFill>
            <w14:solidFill>
              <w14:schemeClr w14:val="tx1"/>
            </w14:solidFill>
          </w14:textFill>
        </w:rPr>
        <w:sectPr>
          <w:pgSz w:w="16838" w:h="11906" w:orient="landscape"/>
          <w:pgMar w:top="1418" w:right="1588" w:bottom="1418" w:left="1588" w:header="1020" w:footer="1020" w:gutter="0"/>
          <w:cols w:space="720" w:num="1"/>
          <w:docGrid w:type="lines" w:linePitch="317" w:charSpace="0"/>
        </w:sectPr>
      </w:pPr>
    </w:p>
    <w:p w14:paraId="03FDC840">
      <w:pPr>
        <w:spacing w:line="520" w:lineRule="exact"/>
        <w:ind w:firstLine="480" w:firstLineChars="200"/>
        <w:rPr>
          <w:rFonts w:hint="eastAsia" w:ascii="宋体" w:hAnsi="宋体"/>
          <w:color w:val="000000" w:themeColor="text1"/>
          <w:sz w:val="24"/>
          <w:szCs w:val="24"/>
          <w14:textFill>
            <w14:solidFill>
              <w14:schemeClr w14:val="tx1"/>
            </w14:solidFill>
          </w14:textFill>
        </w:rPr>
      </w:pPr>
      <w:bookmarkStart w:id="371" w:name="_Hlk512531051"/>
      <w:r>
        <w:rPr>
          <w:rFonts w:hint="eastAsia" w:ascii="宋体" w:hAnsi="宋体"/>
          <w:color w:val="000000" w:themeColor="text1"/>
          <w:sz w:val="24"/>
          <w:szCs w:val="24"/>
          <w14:textFill>
            <w14:solidFill>
              <w14:schemeClr w14:val="tx1"/>
            </w14:solidFill>
          </w14:textFill>
        </w:rPr>
        <w:t>②</w:t>
      </w:r>
      <w:r>
        <w:rPr>
          <w:rFonts w:ascii="宋体" w:hAnsi="宋体"/>
          <w:color w:val="000000" w:themeColor="text1"/>
          <w:sz w:val="24"/>
          <w:szCs w:val="24"/>
          <w14:textFill>
            <w14:solidFill>
              <w14:schemeClr w14:val="tx1"/>
            </w14:solidFill>
          </w14:textFill>
        </w:rPr>
        <w:t>综合评价指数考核评分计算</w:t>
      </w:r>
      <w:bookmarkEnd w:id="371"/>
    </w:p>
    <w:p w14:paraId="39F7F1FA">
      <w:pPr>
        <w:spacing w:line="520" w:lineRule="exact"/>
        <w:ind w:firstLine="480" w:firstLineChars="200"/>
        <w:rPr>
          <w:rFonts w:hint="eastAsia" w:ascii="宋体" w:hAnsi="宋体"/>
          <w:color w:val="000000" w:themeColor="text1"/>
          <w:sz w:val="24"/>
          <w:szCs w:val="24"/>
          <w14:textFill>
            <w14:solidFill>
              <w14:schemeClr w14:val="tx1"/>
            </w14:solidFill>
          </w14:textFill>
        </w:rPr>
      </w:pPr>
      <w:r>
        <w:rPr>
          <w:rFonts w:ascii="宋体" w:hAnsi="宋体"/>
          <w:color w:val="000000" w:themeColor="text1"/>
          <w:sz w:val="24"/>
          <w:szCs w:val="24"/>
          <w14:textFill>
            <w14:solidFill>
              <w14:schemeClr w14:val="tx1"/>
            </w14:solidFill>
          </w14:textFill>
        </w:rPr>
        <w:t>综合评价指数考核总分值的计算公式为：</w:t>
      </w:r>
    </w:p>
    <w:p w14:paraId="780ADC88">
      <w:pPr>
        <w:spacing w:line="520" w:lineRule="exact"/>
        <w:ind w:firstLine="480" w:firstLineChars="200"/>
        <w:rPr>
          <w:rFonts w:hint="eastAsia" w:ascii="宋体" w:hAnsi="宋体"/>
          <w:color w:val="000000" w:themeColor="text1"/>
          <w:sz w:val="24"/>
          <w:szCs w:val="24"/>
          <w:vertAlign w:val="subscript"/>
          <w14:textFill>
            <w14:solidFill>
              <w14:schemeClr w14:val="tx1"/>
            </w14:solidFill>
          </w14:textFill>
        </w:rPr>
      </w:pPr>
      <w:r>
        <w:rPr>
          <w:rFonts w:ascii="宋体" w:hAnsi="宋体"/>
          <w:color w:val="000000" w:themeColor="text1"/>
          <w:sz w:val="24"/>
          <w:szCs w:val="24"/>
          <w14:textFill>
            <w14:solidFill>
              <w14:schemeClr w14:val="tx1"/>
            </w14:solidFill>
          </w14:textFill>
        </w:rPr>
        <w:t xml:space="preserve">       P=0.6P</w:t>
      </w:r>
      <w:r>
        <w:rPr>
          <w:rFonts w:ascii="宋体" w:hAnsi="宋体"/>
          <w:color w:val="000000" w:themeColor="text1"/>
          <w:sz w:val="24"/>
          <w:szCs w:val="24"/>
          <w:vertAlign w:val="subscript"/>
          <w14:textFill>
            <w14:solidFill>
              <w14:schemeClr w14:val="tx1"/>
            </w14:solidFill>
          </w14:textFill>
        </w:rPr>
        <w:t>1</w:t>
      </w:r>
      <w:r>
        <w:rPr>
          <w:rFonts w:ascii="宋体" w:hAnsi="宋体"/>
          <w:color w:val="000000" w:themeColor="text1"/>
          <w:sz w:val="24"/>
          <w:szCs w:val="24"/>
          <w14:textFill>
            <w14:solidFill>
              <w14:schemeClr w14:val="tx1"/>
            </w14:solidFill>
          </w14:textFill>
        </w:rPr>
        <w:t>+0.4P</w:t>
      </w:r>
      <w:r>
        <w:rPr>
          <w:rFonts w:ascii="宋体" w:hAnsi="宋体"/>
          <w:color w:val="000000" w:themeColor="text1"/>
          <w:sz w:val="24"/>
          <w:szCs w:val="24"/>
          <w:vertAlign w:val="subscript"/>
          <w14:textFill>
            <w14:solidFill>
              <w14:schemeClr w14:val="tx1"/>
            </w14:solidFill>
          </w14:textFill>
        </w:rPr>
        <w:t>2</w:t>
      </w:r>
    </w:p>
    <w:p w14:paraId="53BB5001">
      <w:pPr>
        <w:spacing w:line="520" w:lineRule="exact"/>
        <w:ind w:firstLine="480" w:firstLineChars="200"/>
        <w:rPr>
          <w:rFonts w:hint="eastAsia" w:ascii="宋体" w:hAnsi="宋体"/>
          <w:color w:val="000000" w:themeColor="text1"/>
          <w:sz w:val="24"/>
          <w:szCs w:val="24"/>
          <w14:textFill>
            <w14:solidFill>
              <w14:schemeClr w14:val="tx1"/>
            </w14:solidFill>
          </w14:textFill>
        </w:rPr>
      </w:pPr>
      <w:r>
        <w:rPr>
          <w:rFonts w:ascii="宋体" w:hAnsi="宋体"/>
          <w:color w:val="000000" w:themeColor="text1"/>
          <w:sz w:val="24"/>
          <w:szCs w:val="24"/>
          <w14:textFill>
            <w14:solidFill>
              <w14:schemeClr w14:val="tx1"/>
            </w14:solidFill>
          </w14:textFill>
        </w:rPr>
        <w:t>式中：P—清洁生产综合评价指数</w:t>
      </w:r>
    </w:p>
    <w:p w14:paraId="53F92748">
      <w:pPr>
        <w:spacing w:line="520" w:lineRule="exact"/>
        <w:ind w:firstLine="480" w:firstLineChars="200"/>
        <w:rPr>
          <w:rFonts w:hint="eastAsia" w:ascii="宋体" w:hAnsi="宋体"/>
          <w:color w:val="000000" w:themeColor="text1"/>
          <w:sz w:val="24"/>
          <w:szCs w:val="24"/>
          <w14:textFill>
            <w14:solidFill>
              <w14:schemeClr w14:val="tx1"/>
            </w14:solidFill>
          </w14:textFill>
        </w:rPr>
      </w:pPr>
      <w:r>
        <w:rPr>
          <w:rFonts w:ascii="宋体" w:hAnsi="宋体"/>
          <w:color w:val="000000" w:themeColor="text1"/>
          <w:sz w:val="24"/>
          <w:szCs w:val="24"/>
          <w14:textFill>
            <w14:solidFill>
              <w14:schemeClr w14:val="tx1"/>
            </w14:solidFill>
          </w14:textFill>
        </w:rPr>
        <w:t xml:space="preserve">      P</w:t>
      </w:r>
      <w:r>
        <w:rPr>
          <w:rFonts w:ascii="宋体" w:hAnsi="宋体"/>
          <w:color w:val="000000" w:themeColor="text1"/>
          <w:sz w:val="24"/>
          <w:szCs w:val="24"/>
          <w:vertAlign w:val="subscript"/>
          <w14:textFill>
            <w14:solidFill>
              <w14:schemeClr w14:val="tx1"/>
            </w14:solidFill>
          </w14:textFill>
        </w:rPr>
        <w:t>1</w:t>
      </w:r>
      <w:r>
        <w:rPr>
          <w:rFonts w:ascii="宋体" w:hAnsi="宋体"/>
          <w:color w:val="000000" w:themeColor="text1"/>
          <w:sz w:val="24"/>
          <w:szCs w:val="24"/>
          <w14:textFill>
            <w14:solidFill>
              <w14:schemeClr w14:val="tx1"/>
            </w14:solidFill>
          </w14:textFill>
        </w:rPr>
        <w:t>—定量评价考核总分值；</w:t>
      </w:r>
    </w:p>
    <w:p w14:paraId="1864C4BC">
      <w:pPr>
        <w:spacing w:line="520" w:lineRule="exact"/>
        <w:ind w:firstLine="480" w:firstLineChars="200"/>
        <w:rPr>
          <w:color w:val="000000" w:themeColor="text1"/>
          <w14:textFill>
            <w14:solidFill>
              <w14:schemeClr w14:val="tx1"/>
            </w14:solidFill>
          </w14:textFill>
        </w:rPr>
      </w:pPr>
      <w:r>
        <w:rPr>
          <w:rFonts w:ascii="宋体" w:hAnsi="宋体"/>
          <w:color w:val="000000" w:themeColor="text1"/>
          <w:sz w:val="24"/>
          <w:szCs w:val="24"/>
          <w14:textFill>
            <w14:solidFill>
              <w14:schemeClr w14:val="tx1"/>
            </w14:solidFill>
          </w14:textFill>
        </w:rPr>
        <w:t xml:space="preserve">      P</w:t>
      </w:r>
      <w:r>
        <w:rPr>
          <w:rFonts w:ascii="宋体" w:hAnsi="宋体"/>
          <w:color w:val="000000" w:themeColor="text1"/>
          <w:sz w:val="24"/>
          <w:szCs w:val="24"/>
          <w:vertAlign w:val="subscript"/>
          <w14:textFill>
            <w14:solidFill>
              <w14:schemeClr w14:val="tx1"/>
            </w14:solidFill>
          </w14:textFill>
        </w:rPr>
        <w:t>2</w:t>
      </w:r>
      <w:r>
        <w:rPr>
          <w:rFonts w:ascii="宋体" w:hAnsi="宋体"/>
          <w:color w:val="000000" w:themeColor="text1"/>
          <w:sz w:val="24"/>
          <w:szCs w:val="24"/>
          <w14:textFill>
            <w14:solidFill>
              <w14:schemeClr w14:val="tx1"/>
            </w14:solidFill>
          </w14:textFill>
        </w:rPr>
        <w:t>—定性评价二级指标考核总分值。</w:t>
      </w:r>
    </w:p>
    <w:p w14:paraId="6CDC1006">
      <w:pPr>
        <w:pStyle w:val="191"/>
        <w:ind w:firstLine="480"/>
        <w:rPr>
          <w:rFonts w:hint="eastAsia"/>
          <w:color w:val="000000" w:themeColor="text1"/>
          <w14:textFill>
            <w14:solidFill>
              <w14:schemeClr w14:val="tx1"/>
            </w14:solidFill>
          </w14:textFill>
        </w:rPr>
      </w:pPr>
      <w:bookmarkStart w:id="372" w:name="_Hlk147581819"/>
      <w:r>
        <w:rPr>
          <w:color w:val="000000" w:themeColor="text1"/>
          <w14:textFill>
            <w14:solidFill>
              <w14:schemeClr w14:val="tx1"/>
            </w14:solidFill>
          </w14:textFill>
        </w:rPr>
        <w:t>根据目前我国石油和天然气开采行业的实际情况，不同等级的清洁生产企业的综合评价指标</w:t>
      </w:r>
      <w:r>
        <w:rPr>
          <w:rFonts w:hint="eastAsia"/>
          <w:color w:val="000000" w:themeColor="text1"/>
          <w14:textFill>
            <w14:solidFill>
              <w14:schemeClr w14:val="tx1"/>
            </w14:solidFill>
          </w14:textFill>
        </w:rPr>
        <w:t>表3.</w:t>
      </w:r>
      <w:r>
        <w:rPr>
          <w:color w:val="000000" w:themeColor="text1"/>
          <w14:textFill>
            <w14:solidFill>
              <w14:schemeClr w14:val="tx1"/>
            </w14:solidFill>
          </w14:textFill>
        </w:rPr>
        <w:t>5</w:t>
      </w:r>
      <w:r>
        <w:rPr>
          <w:rFonts w:hint="eastAsia"/>
          <w:color w:val="000000" w:themeColor="text1"/>
          <w14:textFill>
            <w14:solidFill>
              <w14:schemeClr w14:val="tx1"/>
            </w14:solidFill>
          </w14:textFill>
        </w:rPr>
        <w:t>-3</w:t>
      </w:r>
      <w:r>
        <w:rPr>
          <w:color w:val="000000" w:themeColor="text1"/>
          <w14:textFill>
            <w14:solidFill>
              <w14:schemeClr w14:val="tx1"/>
            </w14:solidFill>
          </w14:textFill>
        </w:rPr>
        <w:t>。</w:t>
      </w:r>
    </w:p>
    <w:p w14:paraId="515FAB11">
      <w:pPr>
        <w:pStyle w:val="109"/>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表3.</w:t>
      </w:r>
      <w:r>
        <w:rPr>
          <w:color w:val="000000" w:themeColor="text1"/>
          <w14:textFill>
            <w14:solidFill>
              <w14:schemeClr w14:val="tx1"/>
            </w14:solidFill>
          </w14:textFill>
        </w:rPr>
        <w:t>5</w:t>
      </w:r>
      <w:r>
        <w:rPr>
          <w:rFonts w:hint="eastAsia"/>
          <w:color w:val="000000" w:themeColor="text1"/>
          <w14:textFill>
            <w14:solidFill>
              <w14:schemeClr w14:val="tx1"/>
            </w14:solidFill>
          </w14:textFill>
        </w:rPr>
        <w:t>-3</w:t>
      </w:r>
      <w:r>
        <w:rPr>
          <w:color w:val="000000" w:themeColor="text1"/>
          <w14:textFill>
            <w14:solidFill>
              <w14:schemeClr w14:val="tx1"/>
            </w14:solidFill>
          </w14:textFill>
        </w:rPr>
        <w:t xml:space="preserve">  石油和天然气开采行业不同等级清洁生产企业综合评价指数</w:t>
      </w:r>
    </w:p>
    <w:tbl>
      <w:tblPr>
        <w:tblStyle w:val="51"/>
        <w:tblW w:w="5000" w:type="pct"/>
        <w:tblInd w:w="0" w:type="dxa"/>
        <w:tblLayout w:type="autofit"/>
        <w:tblCellMar>
          <w:top w:w="0" w:type="dxa"/>
          <w:left w:w="108" w:type="dxa"/>
          <w:bottom w:w="0" w:type="dxa"/>
          <w:right w:w="108" w:type="dxa"/>
        </w:tblCellMar>
      </w:tblPr>
      <w:tblGrid>
        <w:gridCol w:w="4473"/>
        <w:gridCol w:w="4473"/>
      </w:tblGrid>
      <w:tr w14:paraId="2C4B0CE6">
        <w:tblPrEx>
          <w:tblCellMar>
            <w:top w:w="0" w:type="dxa"/>
            <w:left w:w="108" w:type="dxa"/>
            <w:bottom w:w="0" w:type="dxa"/>
            <w:right w:w="108" w:type="dxa"/>
          </w:tblCellMar>
        </w:tblPrEx>
        <w:trPr>
          <w:trHeight w:val="340" w:hRule="atLeast"/>
        </w:trPr>
        <w:tc>
          <w:tcPr>
            <w:tcW w:w="2500" w:type="pct"/>
            <w:tcBorders>
              <w:top w:val="single" w:color="auto" w:sz="12" w:space="0"/>
              <w:bottom w:val="single" w:color="auto" w:sz="4" w:space="0"/>
              <w:right w:val="single" w:color="auto" w:sz="4" w:space="0"/>
            </w:tcBorders>
            <w:vAlign w:val="center"/>
          </w:tcPr>
          <w:p w14:paraId="5E3292CD">
            <w:pPr>
              <w:adjustRightInd w:val="0"/>
              <w:snapToGrid w:val="0"/>
              <w:spacing w:line="300" w:lineRule="exact"/>
              <w:jc w:val="center"/>
              <w:rPr>
                <w:rFonts w:hint="eastAsia"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清洁生产企业等级</w:t>
            </w:r>
          </w:p>
        </w:tc>
        <w:tc>
          <w:tcPr>
            <w:tcW w:w="2500" w:type="pct"/>
            <w:tcBorders>
              <w:top w:val="single" w:color="auto" w:sz="12" w:space="0"/>
              <w:left w:val="single" w:color="auto" w:sz="4" w:space="0"/>
              <w:bottom w:val="single" w:color="auto" w:sz="4" w:space="0"/>
            </w:tcBorders>
            <w:vAlign w:val="center"/>
          </w:tcPr>
          <w:p w14:paraId="5536A454">
            <w:pPr>
              <w:adjustRightInd w:val="0"/>
              <w:snapToGrid w:val="0"/>
              <w:spacing w:line="300" w:lineRule="exact"/>
              <w:jc w:val="center"/>
              <w:rPr>
                <w:rFonts w:hint="eastAsia"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清洁生产综合评价指数</w:t>
            </w:r>
          </w:p>
        </w:tc>
      </w:tr>
      <w:tr w14:paraId="2208207F">
        <w:tblPrEx>
          <w:tblCellMar>
            <w:top w:w="0" w:type="dxa"/>
            <w:left w:w="108" w:type="dxa"/>
            <w:bottom w:w="0" w:type="dxa"/>
            <w:right w:w="108" w:type="dxa"/>
          </w:tblCellMar>
        </w:tblPrEx>
        <w:trPr>
          <w:trHeight w:val="340" w:hRule="atLeast"/>
        </w:trPr>
        <w:tc>
          <w:tcPr>
            <w:tcW w:w="2500" w:type="pct"/>
            <w:tcBorders>
              <w:top w:val="single" w:color="auto" w:sz="4" w:space="0"/>
              <w:bottom w:val="single" w:color="auto" w:sz="4" w:space="0"/>
              <w:right w:val="single" w:color="auto" w:sz="4" w:space="0"/>
            </w:tcBorders>
            <w:vAlign w:val="center"/>
          </w:tcPr>
          <w:p w14:paraId="563A99FC">
            <w:pPr>
              <w:adjustRightInd w:val="0"/>
              <w:snapToGrid w:val="0"/>
              <w:spacing w:line="300" w:lineRule="exact"/>
              <w:jc w:val="center"/>
              <w:rPr>
                <w:rFonts w:hint="eastAsia"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清洁生产先进企业</w:t>
            </w:r>
          </w:p>
        </w:tc>
        <w:tc>
          <w:tcPr>
            <w:tcW w:w="2500" w:type="pct"/>
            <w:tcBorders>
              <w:top w:val="single" w:color="auto" w:sz="4" w:space="0"/>
              <w:left w:val="single" w:color="auto" w:sz="4" w:space="0"/>
              <w:bottom w:val="single" w:color="auto" w:sz="4" w:space="0"/>
            </w:tcBorders>
            <w:vAlign w:val="center"/>
          </w:tcPr>
          <w:p w14:paraId="21324EDC">
            <w:pPr>
              <w:adjustRightInd w:val="0"/>
              <w:snapToGrid w:val="0"/>
              <w:spacing w:line="300" w:lineRule="exact"/>
              <w:jc w:val="center"/>
              <w:rPr>
                <w:rFonts w:hint="eastAsia"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P≥90</w:t>
            </w:r>
          </w:p>
        </w:tc>
      </w:tr>
      <w:tr w14:paraId="0934F6BE">
        <w:tblPrEx>
          <w:tblCellMar>
            <w:top w:w="0" w:type="dxa"/>
            <w:left w:w="108" w:type="dxa"/>
            <w:bottom w:w="0" w:type="dxa"/>
            <w:right w:w="108" w:type="dxa"/>
          </w:tblCellMar>
        </w:tblPrEx>
        <w:trPr>
          <w:trHeight w:val="340" w:hRule="atLeast"/>
        </w:trPr>
        <w:tc>
          <w:tcPr>
            <w:tcW w:w="2500" w:type="pct"/>
            <w:tcBorders>
              <w:top w:val="single" w:color="auto" w:sz="4" w:space="0"/>
              <w:bottom w:val="single" w:color="auto" w:sz="12" w:space="0"/>
              <w:right w:val="single" w:color="auto" w:sz="4" w:space="0"/>
            </w:tcBorders>
            <w:vAlign w:val="center"/>
          </w:tcPr>
          <w:p w14:paraId="2CD3620F">
            <w:pPr>
              <w:adjustRightInd w:val="0"/>
              <w:snapToGrid w:val="0"/>
              <w:spacing w:line="300" w:lineRule="exact"/>
              <w:jc w:val="center"/>
              <w:rPr>
                <w:rFonts w:hint="eastAsia"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清洁生产企业</w:t>
            </w:r>
          </w:p>
        </w:tc>
        <w:tc>
          <w:tcPr>
            <w:tcW w:w="2500" w:type="pct"/>
            <w:tcBorders>
              <w:top w:val="single" w:color="auto" w:sz="4" w:space="0"/>
              <w:left w:val="single" w:color="auto" w:sz="4" w:space="0"/>
              <w:bottom w:val="single" w:color="auto" w:sz="12" w:space="0"/>
            </w:tcBorders>
            <w:vAlign w:val="center"/>
          </w:tcPr>
          <w:p w14:paraId="44659C96">
            <w:pPr>
              <w:adjustRightInd w:val="0"/>
              <w:snapToGrid w:val="0"/>
              <w:spacing w:line="300" w:lineRule="exact"/>
              <w:jc w:val="center"/>
              <w:rPr>
                <w:rFonts w:hint="eastAsia"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75≤P＜90</w:t>
            </w:r>
          </w:p>
        </w:tc>
      </w:tr>
    </w:tbl>
    <w:p w14:paraId="4FEA9F1B">
      <w:pPr>
        <w:spacing w:line="520" w:lineRule="exact"/>
        <w:ind w:firstLine="480" w:firstLineChars="200"/>
        <w:rPr>
          <w:rFonts w:hint="eastAsia"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w:t>
      </w:r>
      <w:r>
        <w:rPr>
          <w:rFonts w:ascii="宋体" w:hAnsi="宋体"/>
          <w:color w:val="000000" w:themeColor="text1"/>
          <w:sz w:val="24"/>
          <w:szCs w:val="24"/>
          <w14:textFill>
            <w14:solidFill>
              <w14:schemeClr w14:val="tx1"/>
            </w14:solidFill>
          </w14:textFill>
        </w:rPr>
        <w:t>井下作业：定量指标9</w:t>
      </w:r>
      <w:r>
        <w:rPr>
          <w:rFonts w:hint="eastAsia" w:ascii="宋体" w:hAnsi="宋体"/>
          <w:color w:val="000000" w:themeColor="text1"/>
          <w:sz w:val="24"/>
          <w:szCs w:val="24"/>
          <w14:textFill>
            <w14:solidFill>
              <w14:schemeClr w14:val="tx1"/>
            </w14:solidFill>
          </w14:textFill>
        </w:rPr>
        <w:t>0</w:t>
      </w:r>
      <w:r>
        <w:rPr>
          <w:rFonts w:ascii="宋体" w:hAnsi="宋体"/>
          <w:color w:val="000000" w:themeColor="text1"/>
          <w:sz w:val="24"/>
          <w:szCs w:val="24"/>
          <w14:textFill>
            <w14:solidFill>
              <w14:schemeClr w14:val="tx1"/>
            </w14:solidFill>
          </w14:textFill>
        </w:rPr>
        <w:t>分，定性指标</w:t>
      </w:r>
      <w:r>
        <w:rPr>
          <w:rFonts w:hint="eastAsia" w:ascii="宋体" w:hAnsi="宋体"/>
          <w:color w:val="000000" w:themeColor="text1"/>
          <w:sz w:val="24"/>
          <w:szCs w:val="24"/>
          <w14:textFill>
            <w14:solidFill>
              <w14:schemeClr w14:val="tx1"/>
            </w14:solidFill>
          </w14:textFill>
        </w:rPr>
        <w:t>100</w:t>
      </w:r>
      <w:r>
        <w:rPr>
          <w:rFonts w:ascii="宋体" w:hAnsi="宋体"/>
          <w:color w:val="000000" w:themeColor="text1"/>
          <w:sz w:val="24"/>
          <w:szCs w:val="24"/>
          <w14:textFill>
            <w14:solidFill>
              <w14:schemeClr w14:val="tx1"/>
            </w14:solidFill>
          </w14:textFill>
        </w:rPr>
        <w:t>分，综合评价94分。</w:t>
      </w:r>
    </w:p>
    <w:p w14:paraId="76E69E9B">
      <w:pPr>
        <w:spacing w:line="520" w:lineRule="exact"/>
        <w:ind w:firstLine="480" w:firstLineChars="200"/>
        <w:rPr>
          <w:rFonts w:hint="eastAsia"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w:t>
      </w:r>
      <w:r>
        <w:rPr>
          <w:rFonts w:ascii="宋体" w:hAnsi="宋体"/>
          <w:color w:val="000000" w:themeColor="text1"/>
          <w:sz w:val="24"/>
          <w:szCs w:val="24"/>
          <w14:textFill>
            <w14:solidFill>
              <w14:schemeClr w14:val="tx1"/>
            </w14:solidFill>
          </w14:textFill>
        </w:rPr>
        <w:t>采</w:t>
      </w:r>
      <w:r>
        <w:rPr>
          <w:rFonts w:hint="eastAsia" w:ascii="宋体" w:hAnsi="宋体"/>
          <w:color w:val="000000" w:themeColor="text1"/>
          <w:sz w:val="24"/>
          <w:szCs w:val="24"/>
          <w14:textFill>
            <w14:solidFill>
              <w14:schemeClr w14:val="tx1"/>
            </w14:solidFill>
          </w14:textFill>
        </w:rPr>
        <w:t>油</w:t>
      </w:r>
      <w:r>
        <w:rPr>
          <w:rFonts w:ascii="宋体" w:hAnsi="宋体"/>
          <w:color w:val="000000" w:themeColor="text1"/>
          <w:sz w:val="24"/>
          <w:szCs w:val="24"/>
          <w14:textFill>
            <w14:solidFill>
              <w14:schemeClr w14:val="tx1"/>
            </w14:solidFill>
          </w14:textFill>
        </w:rPr>
        <w:t>和集输：定量指标</w:t>
      </w:r>
      <w:r>
        <w:rPr>
          <w:rFonts w:hint="eastAsia" w:ascii="宋体" w:hAnsi="宋体"/>
          <w:color w:val="000000" w:themeColor="text1"/>
          <w:sz w:val="24"/>
          <w:szCs w:val="24"/>
          <w14:textFill>
            <w14:solidFill>
              <w14:schemeClr w14:val="tx1"/>
            </w14:solidFill>
          </w14:textFill>
        </w:rPr>
        <w:t>100</w:t>
      </w:r>
      <w:r>
        <w:rPr>
          <w:rFonts w:ascii="宋体" w:hAnsi="宋体"/>
          <w:color w:val="000000" w:themeColor="text1"/>
          <w:sz w:val="24"/>
          <w:szCs w:val="24"/>
          <w14:textFill>
            <w14:solidFill>
              <w14:schemeClr w14:val="tx1"/>
            </w14:solidFill>
          </w14:textFill>
        </w:rPr>
        <w:t>分，定性指标100分，综合评价</w:t>
      </w:r>
      <w:r>
        <w:rPr>
          <w:rFonts w:hint="eastAsia" w:ascii="宋体" w:hAnsi="宋体"/>
          <w:color w:val="000000" w:themeColor="text1"/>
          <w:sz w:val="24"/>
          <w:szCs w:val="24"/>
          <w14:textFill>
            <w14:solidFill>
              <w14:schemeClr w14:val="tx1"/>
            </w14:solidFill>
          </w14:textFill>
        </w:rPr>
        <w:t>100</w:t>
      </w:r>
      <w:r>
        <w:rPr>
          <w:rFonts w:ascii="宋体" w:hAnsi="宋体"/>
          <w:color w:val="000000" w:themeColor="text1"/>
          <w:sz w:val="24"/>
          <w:szCs w:val="24"/>
          <w14:textFill>
            <w14:solidFill>
              <w14:schemeClr w14:val="tx1"/>
            </w14:solidFill>
          </w14:textFill>
        </w:rPr>
        <w:t>分。</w:t>
      </w:r>
    </w:p>
    <w:p w14:paraId="085F8B4F">
      <w:pPr>
        <w:spacing w:line="520" w:lineRule="exact"/>
        <w:ind w:firstLine="480" w:firstLineChars="200"/>
        <w:rPr>
          <w:rFonts w:hint="eastAsia" w:ascii="宋体" w:hAnsi="宋体"/>
          <w:color w:val="000000" w:themeColor="text1"/>
          <w14:textFill>
            <w14:solidFill>
              <w14:schemeClr w14:val="tx1"/>
            </w14:solidFill>
          </w14:textFill>
        </w:rPr>
      </w:pPr>
      <w:r>
        <w:rPr>
          <w:rFonts w:ascii="宋体" w:hAnsi="宋体"/>
          <w:color w:val="000000" w:themeColor="text1"/>
          <w:kern w:val="0"/>
          <w:sz w:val="24"/>
          <w:szCs w:val="24"/>
          <w14:textFill>
            <w14:solidFill>
              <w14:schemeClr w14:val="tx1"/>
            </w14:solidFill>
          </w14:textFill>
        </w:rPr>
        <w:t>根据综合评价指数得分判定，</w:t>
      </w:r>
      <w:r>
        <w:rPr>
          <w:rFonts w:hint="eastAsia" w:ascii="宋体" w:hAnsi="宋体"/>
          <w:color w:val="000000" w:themeColor="text1"/>
          <w:kern w:val="0"/>
          <w:sz w:val="24"/>
          <w:szCs w:val="24"/>
          <w14:textFill>
            <w14:solidFill>
              <w14:schemeClr w14:val="tx1"/>
            </w14:solidFill>
          </w14:textFill>
        </w:rPr>
        <w:t>本项目</w:t>
      </w:r>
      <w:r>
        <w:rPr>
          <w:rFonts w:ascii="宋体" w:hAnsi="宋体"/>
          <w:color w:val="000000" w:themeColor="text1"/>
          <w:kern w:val="0"/>
          <w:sz w:val="24"/>
          <w:szCs w:val="24"/>
          <w14:textFill>
            <w14:solidFill>
              <w14:schemeClr w14:val="tx1"/>
            </w14:solidFill>
          </w14:textFill>
        </w:rPr>
        <w:t>清洁生产企业等级为：清洁生产</w:t>
      </w:r>
      <w:r>
        <w:rPr>
          <w:rFonts w:hint="eastAsia" w:ascii="宋体" w:hAnsi="宋体"/>
          <w:color w:val="000000" w:themeColor="text1"/>
          <w:kern w:val="0"/>
          <w:sz w:val="24"/>
          <w:szCs w:val="24"/>
          <w14:textFill>
            <w14:solidFill>
              <w14:schemeClr w14:val="tx1"/>
            </w14:solidFill>
          </w14:textFill>
        </w:rPr>
        <w:t>先进</w:t>
      </w:r>
      <w:r>
        <w:rPr>
          <w:rFonts w:ascii="宋体" w:hAnsi="宋体"/>
          <w:color w:val="000000" w:themeColor="text1"/>
          <w:kern w:val="0"/>
          <w:sz w:val="24"/>
          <w:szCs w:val="24"/>
          <w14:textFill>
            <w14:solidFill>
              <w14:schemeClr w14:val="tx1"/>
            </w14:solidFill>
          </w14:textFill>
        </w:rPr>
        <w:t>企业。</w:t>
      </w:r>
    </w:p>
    <w:bookmarkEnd w:id="372"/>
    <w:p w14:paraId="547017DC">
      <w:pPr>
        <w:pStyle w:val="191"/>
        <w:ind w:firstLine="480"/>
        <w:rPr>
          <w:rFonts w:hint="eastAsia"/>
          <w:color w:val="000000" w:themeColor="text1"/>
          <w14:textFill>
            <w14:solidFill>
              <w14:schemeClr w14:val="tx1"/>
            </w14:solidFill>
          </w14:textFill>
        </w:rPr>
        <w:sectPr>
          <w:footerReference r:id="rId8" w:type="default"/>
          <w:pgSz w:w="11906" w:h="16838"/>
          <w:pgMar w:top="1418" w:right="1588" w:bottom="1418" w:left="1588" w:header="1020" w:footer="1020" w:gutter="0"/>
          <w:cols w:space="720" w:num="1"/>
          <w:docGrid w:type="lines" w:linePitch="312" w:charSpace="0"/>
        </w:sectPr>
      </w:pPr>
      <w:r>
        <w:rPr>
          <w:color w:val="000000" w:themeColor="text1"/>
          <w14:textFill>
            <w14:solidFill>
              <w14:schemeClr w14:val="tx1"/>
            </w14:solidFill>
          </w14:textFill>
        </w:rPr>
        <w:t>本工程</w:t>
      </w:r>
      <w:r>
        <w:rPr>
          <w:rFonts w:hint="eastAsia"/>
          <w:color w:val="000000" w:themeColor="text1"/>
          <w14:textFill>
            <w14:solidFill>
              <w14:schemeClr w14:val="tx1"/>
            </w14:solidFill>
          </w14:textFill>
        </w:rPr>
        <w:t>采用的清洁生产技术遵循“减量化、再利用、资源化”的原则。针对施工期、运营期和退役期均采取了避免和减缓不利环境影响的措施，高效利用并节约使用各类能源、资源（水、土地等）；制定合理有效的废物管理方案，采用源削减技术，减少井下作业、油气开采过程中固体废物、废水、废气等污染物的产生量，从源头上减少了污染物的排放。</w:t>
      </w:r>
    </w:p>
    <w:p w14:paraId="6B503BAB">
      <w:pPr>
        <w:pStyle w:val="3"/>
        <w:rPr>
          <w:rFonts w:hint="eastAsia"/>
          <w:color w:val="000000" w:themeColor="text1"/>
          <w14:textFill>
            <w14:solidFill>
              <w14:schemeClr w14:val="tx1"/>
            </w14:solidFill>
          </w14:textFill>
        </w:rPr>
      </w:pPr>
      <w:bookmarkStart w:id="373" w:name="_Toc216260249"/>
      <w:r>
        <w:rPr>
          <w:rFonts w:hint="eastAsia"/>
          <w:color w:val="000000" w:themeColor="text1"/>
          <w14:textFill>
            <w14:solidFill>
              <w14:schemeClr w14:val="tx1"/>
            </w14:solidFill>
          </w14:textFill>
        </w:rPr>
        <w:t>环境质量现状调查与评价</w:t>
      </w:r>
      <w:bookmarkEnd w:id="373"/>
    </w:p>
    <w:p w14:paraId="000E0CC8">
      <w:pPr>
        <w:pStyle w:val="2"/>
        <w:rPr>
          <w:rFonts w:hint="eastAsia"/>
          <w:color w:val="000000" w:themeColor="text1"/>
          <w14:textFill>
            <w14:solidFill>
              <w14:schemeClr w14:val="tx1"/>
            </w14:solidFill>
          </w14:textFill>
        </w:rPr>
      </w:pPr>
      <w:bookmarkStart w:id="374" w:name="_Toc216260250"/>
      <w:r>
        <w:rPr>
          <w:rFonts w:hint="eastAsia"/>
          <w:color w:val="000000" w:themeColor="text1"/>
          <w14:textFill>
            <w14:solidFill>
              <w14:schemeClr w14:val="tx1"/>
            </w14:solidFill>
          </w14:textFill>
        </w:rPr>
        <w:t>自然环境现状调查与评价</w:t>
      </w:r>
      <w:bookmarkEnd w:id="374"/>
    </w:p>
    <w:p w14:paraId="360CF94C">
      <w:pPr>
        <w:pStyle w:val="4"/>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地理位置</w:t>
      </w:r>
    </w:p>
    <w:p w14:paraId="2AC4ABA2">
      <w:pPr>
        <w:pStyle w:val="117"/>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本项目行政隶属新疆维吾尔自治区昌吉回族自治州吉木萨尔县，该县位于天山山脉东段北麓、准噶尔盆地南缘，北纬43°30′～45°30′，东经88°30'～89°30′，东同奇台县为邻，西与阜康市接壤，北与富蕴县相连，南以博格达山分水岭同吐鲁番市、乌鲁木齐县为界。县城距乌鲁木齐公路里程165千米，距昌吉回族自治州首府昌吉市200千米，东离伊州550千米，吐乌大高等级公路、国道216线及省道303线贯穿全境，交通便利。地理位置见图</w:t>
      </w:r>
      <w:r>
        <w:rPr>
          <w:color w:val="000000" w:themeColor="text1"/>
          <w14:textFill>
            <w14:solidFill>
              <w14:schemeClr w14:val="tx1"/>
            </w14:solidFill>
          </w14:textFill>
        </w:rPr>
        <w:t>4.1</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1</w:t>
      </w:r>
      <w:r>
        <w:rPr>
          <w:rFonts w:hint="eastAsia"/>
          <w:color w:val="000000" w:themeColor="text1"/>
          <w14:textFill>
            <w14:solidFill>
              <w14:schemeClr w14:val="tx1"/>
            </w14:solidFill>
          </w14:textFill>
        </w:rPr>
        <w:t>。</w:t>
      </w:r>
    </w:p>
    <w:p w14:paraId="0A265580">
      <w:pPr>
        <w:pStyle w:val="4"/>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地形地貌</w:t>
      </w:r>
    </w:p>
    <w:p w14:paraId="7BAAB9E8">
      <w:pPr>
        <w:pStyle w:val="117"/>
        <w:ind w:firstLine="480"/>
        <w:rPr>
          <w:rFonts w:hint="eastAsia"/>
          <w:color w:val="000000" w:themeColor="text1"/>
          <w14:textFill>
            <w14:solidFill>
              <w14:schemeClr w14:val="tx1"/>
            </w14:solidFill>
          </w14:textFill>
        </w:rPr>
      </w:pPr>
      <w:r>
        <w:rPr>
          <w:color w:val="000000" w:themeColor="text1"/>
          <w14:textFill>
            <w14:solidFill>
              <w14:schemeClr w14:val="tx1"/>
            </w14:solidFill>
          </w14:textFill>
        </w:rPr>
        <w:t>吉木萨尔县地势南北高、中间低，地貌可分为南部山区、中部平原、北部沙漠三种类型。南部山区为高山雪岭，北部为卡拉麦里山岭的低山残丘，两山之间是山前倾斜平原和低缓起伏的沙丘，最高点是二工河源头的雪峰，海拔500m。</w:t>
      </w:r>
    </w:p>
    <w:p w14:paraId="5FAAF224">
      <w:pPr>
        <w:pStyle w:val="117"/>
        <w:ind w:firstLine="480"/>
        <w:rPr>
          <w:rFonts w:hint="eastAsia"/>
          <w:color w:val="000000" w:themeColor="text1"/>
          <w14:textFill>
            <w14:solidFill>
              <w14:schemeClr w14:val="tx1"/>
            </w14:solidFill>
          </w14:textFill>
        </w:rPr>
      </w:pPr>
      <w:r>
        <w:rPr>
          <w:color w:val="000000" w:themeColor="text1"/>
          <w14:textFill>
            <w14:solidFill>
              <w14:schemeClr w14:val="tx1"/>
            </w14:solidFill>
          </w14:textFill>
        </w:rPr>
        <w:t>准噶尔盆地东部海拔为1000m左右，中部海拔在600m左右，西部艾比湖最低，海拔为189m。中部是面积近5×10</w:t>
      </w:r>
      <w:r>
        <w:rPr>
          <w:color w:val="000000" w:themeColor="text1"/>
          <w:vertAlign w:val="superscript"/>
          <w14:textFill>
            <w14:solidFill>
              <w14:schemeClr w14:val="tx1"/>
            </w14:solidFill>
          </w14:textFill>
        </w:rPr>
        <w:t>4</w:t>
      </w:r>
      <w:r>
        <w:rPr>
          <w:color w:val="000000" w:themeColor="text1"/>
          <w14:textFill>
            <w14:solidFill>
              <w14:schemeClr w14:val="tx1"/>
            </w14:solidFill>
          </w14:textFill>
        </w:rPr>
        <w:t>km</w:t>
      </w:r>
      <w:r>
        <w:rPr>
          <w:color w:val="000000" w:themeColor="text1"/>
          <w:vertAlign w:val="superscript"/>
          <w14:textFill>
            <w14:solidFill>
              <w14:schemeClr w14:val="tx1"/>
            </w14:solidFill>
          </w14:textFill>
        </w:rPr>
        <w:t>2</w:t>
      </w:r>
      <w:r>
        <w:rPr>
          <w:color w:val="000000" w:themeColor="text1"/>
          <w14:textFill>
            <w14:solidFill>
              <w14:schemeClr w14:val="tx1"/>
            </w14:solidFill>
          </w14:textFill>
        </w:rPr>
        <w:t>的古尔班通古特沙漠，占盆地面积的16.3%，是我国第二大沙漠。沙漠区海拔360～400m，地表形态多表现为蜂窝状固定或半固定沙丘，其次为活动性</w:t>
      </w:r>
      <w:r>
        <w:rPr>
          <w:rFonts w:hint="eastAsia"/>
          <w:color w:val="000000" w:themeColor="text1"/>
          <w14:textFill>
            <w14:solidFill>
              <w14:schemeClr w14:val="tx1"/>
            </w14:solidFill>
          </w14:textFill>
        </w:rPr>
        <w:t>沙丘</w:t>
      </w:r>
      <w:r>
        <w:rPr>
          <w:color w:val="000000" w:themeColor="text1"/>
          <w14:textFill>
            <w14:solidFill>
              <w14:schemeClr w14:val="tx1"/>
            </w14:solidFill>
          </w14:textFill>
        </w:rPr>
        <w:t>和新月形沙丘，沙丘链长度一般有百米至数公里不等，延伸方向随风向而异。地势由东南向西北倾斜，地形平坦宽阔，地质构造条件较好，自然坡度约为3-8‰。</w:t>
      </w:r>
    </w:p>
    <w:p w14:paraId="3C182878">
      <w:pPr>
        <w:pStyle w:val="117"/>
        <w:ind w:firstLine="480"/>
        <w:rPr>
          <w:rFonts w:hint="eastAsia"/>
          <w:color w:val="000000" w:themeColor="text1"/>
          <w14:textFill>
            <w14:solidFill>
              <w14:schemeClr w14:val="tx1"/>
            </w14:solidFill>
          </w14:textFill>
        </w:rPr>
      </w:pPr>
      <w:r>
        <w:rPr>
          <w:color w:val="000000" w:themeColor="text1"/>
          <w14:textFill>
            <w14:solidFill>
              <w14:schemeClr w14:val="tx1"/>
            </w14:solidFill>
          </w14:textFill>
        </w:rPr>
        <w:t>项目区地处天山纬向构造体系凸弧形构造带的东翼，南部中低山区属天山地槽区北天山褶皱带，总地势南高北低。北有卡拉麦里山，南部靠近天山山脉，中部地势由东南向西北倾斜，东西高差较大。东部、西部和南部均为沙漠区</w:t>
      </w:r>
      <w:r>
        <w:rPr>
          <w:rFonts w:hint="eastAsia"/>
          <w:color w:val="000000" w:themeColor="text1"/>
          <w14:textFill>
            <w14:solidFill>
              <w14:schemeClr w14:val="tx1"/>
            </w14:solidFill>
          </w14:textFill>
        </w:rPr>
        <w:t>。</w:t>
      </w:r>
    </w:p>
    <w:p w14:paraId="05D551D3">
      <w:pPr>
        <w:pStyle w:val="4"/>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水文地质</w:t>
      </w:r>
    </w:p>
    <w:p w14:paraId="63B0B10A">
      <w:pPr>
        <w:pStyle w:val="191"/>
        <w:ind w:firstLine="480"/>
        <w:rPr>
          <w:rFonts w:hint="eastAsia"/>
          <w:color w:val="000000" w:themeColor="text1"/>
          <w14:textFill>
            <w14:solidFill>
              <w14:schemeClr w14:val="tx1"/>
            </w14:solidFill>
          </w14:textFill>
        </w:rPr>
      </w:pPr>
      <w:bookmarkStart w:id="375" w:name="_Hlk35856236"/>
      <w:bookmarkStart w:id="376" w:name="_Hlk511370685"/>
      <w:r>
        <w:rPr>
          <w:rFonts w:hint="eastAsia"/>
          <w:color w:val="000000" w:themeColor="text1"/>
          <w14:textFill>
            <w14:solidFill>
              <w14:schemeClr w14:val="tx1"/>
            </w14:solidFill>
          </w14:textFill>
        </w:rPr>
        <w:t>（1）地表水</w:t>
      </w:r>
    </w:p>
    <w:p w14:paraId="0C84BEFA">
      <w:pPr>
        <w:pStyle w:val="191"/>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吉木萨尔县境内主要有河流10条及一个后堡子泉水系，河流由西而东依次是二工河、西大龙口河、大东沟河、新地沟河、渭户沟河、东大龙口河、牛圈子沟、吾塘沟、小东沟、白杨河。河流均发源于天山北坡，流域独立。</w:t>
      </w:r>
    </w:p>
    <w:p w14:paraId="5B9F3757">
      <w:pPr>
        <w:pStyle w:val="191"/>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河流流向由南向北与山脉走向大体垂直，源头高程一般在3000m以上，出山口高程在1100m以下，河流长一般不超过50km，各河最终汇入平原绿洲为人类所利用。河流源头多接冰川，以山区降水量为主要补给源，河流径流具有明显的季节性变化。</w:t>
      </w:r>
    </w:p>
    <w:p w14:paraId="061AD921">
      <w:pPr>
        <w:pStyle w:val="191"/>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（2）地下水</w:t>
      </w:r>
    </w:p>
    <w:p w14:paraId="4F087644">
      <w:pPr>
        <w:pStyle w:val="191"/>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吉木萨尔县东大龙口河流域，从南部山区—中部平原—北部沙漠，构成一个完整的流域体系。</w:t>
      </w:r>
    </w:p>
    <w:p w14:paraId="12AE0026">
      <w:pPr>
        <w:pStyle w:val="191"/>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（1）南部山区</w:t>
      </w:r>
    </w:p>
    <w:p w14:paraId="3848656E">
      <w:pPr>
        <w:pStyle w:val="191"/>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南部山区主要由全新世至上新世的砂、页岩、泥岩、灰色变质碎屑岩及火成岩组成，岩相变化大，厚度从几十米到几千米不等；由于强烈的构造运动，使山区基岩裂隙发育，大气降水入渗后，以裂隙水形式大量出露补给河流和平原区的地下水。在低山带分布有较厚的第三系地层，由于第三系一般比较松软，易遭受暴雨的冲刷，从而增大了河流的含沙量。</w:t>
      </w:r>
    </w:p>
    <w:p w14:paraId="4C680C92">
      <w:pPr>
        <w:pStyle w:val="191"/>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（2）中部平原</w:t>
      </w:r>
    </w:p>
    <w:p w14:paraId="4EB70E30">
      <w:pPr>
        <w:pStyle w:val="191"/>
        <w:ind w:firstLine="472"/>
        <w:rPr>
          <w:rFonts w:hint="eastAsia"/>
          <w:color w:val="000000" w:themeColor="text1"/>
          <w:spacing w:val="-4"/>
          <w14:textFill>
            <w14:solidFill>
              <w14:schemeClr w14:val="tx1"/>
            </w14:solidFill>
          </w14:textFill>
        </w:rPr>
      </w:pPr>
      <w:r>
        <w:rPr>
          <w:rFonts w:hint="eastAsia"/>
          <w:color w:val="000000" w:themeColor="text1"/>
          <w:spacing w:val="-4"/>
          <w14:textFill>
            <w14:solidFill>
              <w14:schemeClr w14:val="tx1"/>
            </w14:solidFill>
          </w14:textFill>
        </w:rPr>
        <w:t>在山前坳陷区，由于受山前深大断裂的影响，坳陷带内沉积了较厚的第四系松散沉积物，给地下水的赋存创造了巨大的空间，也是河水散失的主要去向。坳陷带内第四系沉积物厚度，一般为400～600m。按水文地质分带，由南向北依次为山前冲洪积扇-扇缘潜水溢出带-细土平原，含水层颗粒也依次由卵砾石-砂砾石-中粗砂-中细砂-粉细砂-亚砂土、亚粘土，平原区地下水主要以潜水和承压水形式广泛分布。</w:t>
      </w:r>
    </w:p>
    <w:p w14:paraId="5FA81669">
      <w:pPr>
        <w:pStyle w:val="191"/>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本项目区域位于中部平原区。</w:t>
      </w:r>
    </w:p>
    <w:p w14:paraId="4E70A537">
      <w:pPr>
        <w:pStyle w:val="191"/>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①地下水赋存条件及分布规律</w:t>
      </w:r>
    </w:p>
    <w:p w14:paraId="527F1E79">
      <w:pPr>
        <w:pStyle w:val="191"/>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该项目分析范围内地层岩性为第四系更新世-全新世的冲洪积相砾石、砂砾石、砂层和冲洪积-湖相和沼泽相粘质砂土、粘性土层。区内第四纪松散堆积物厚度超过400m，为地下水的赋存、运移提供了良好空间，由于第四纪成因类型的多样性，使得含水层的岩性、粒度和组成结构复杂化。</w:t>
      </w:r>
    </w:p>
    <w:p w14:paraId="71C0EC95">
      <w:pPr>
        <w:pStyle w:val="191"/>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――单一结构潜水含水层</w:t>
      </w:r>
    </w:p>
    <w:p w14:paraId="11410E29">
      <w:pPr>
        <w:pStyle w:val="191"/>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主要分布在河流出山口至老台-三台-吉木萨尔县城一线，该带第四纪堆积物巨厚，含水层岩性以卵砾石、砂砾石为主，并由南向北颗粒逐渐变细，潜水位埋深由南向北逐渐变浅。南部潜水位埋深＞150m，乌奇公路沿线潜水位埋深在90m左右，单井涌水量2000</w:t>
      </w:r>
      <w:r>
        <w:rPr>
          <w:rFonts w:hint="eastAsia"/>
          <w:color w:val="000000" w:themeColor="text1"/>
          <w:spacing w:val="-4"/>
          <w14:textFill>
            <w14:solidFill>
              <w14:schemeClr w14:val="tx1"/>
            </w14:solidFill>
          </w14:textFill>
        </w:rPr>
        <w:t>～</w:t>
      </w:r>
      <w:r>
        <w:rPr>
          <w:rFonts w:hint="eastAsia"/>
          <w:color w:val="000000" w:themeColor="text1"/>
          <w14:textFill>
            <w14:solidFill>
              <w14:schemeClr w14:val="tx1"/>
            </w14:solidFill>
          </w14:textFill>
        </w:rPr>
        <w:t>3000m</w:t>
      </w:r>
      <w:r>
        <w:rPr>
          <w:rFonts w:hint="eastAsia"/>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/d，饱水带厚度＞100m，属地下水强富水带。</w:t>
      </w:r>
    </w:p>
    <w:p w14:paraId="07C90274">
      <w:pPr>
        <w:pStyle w:val="191"/>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――多层结构潜水-承压含水层</w:t>
      </w:r>
    </w:p>
    <w:p w14:paraId="456FE186">
      <w:pPr>
        <w:pStyle w:val="191"/>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主要分布在老台-三台-吉木萨县城一线以北的广大平原区。上部为潜水含水层，岩性为砂砾石、中粗砂、中细砂，并由南向北颗粒逐渐变细，富水性逐渐变弱，南部富水带单井涌水量500</w:t>
      </w:r>
      <w:r>
        <w:rPr>
          <w:rFonts w:hint="eastAsia"/>
          <w:color w:val="000000" w:themeColor="text1"/>
          <w:spacing w:val="-4"/>
          <w14:textFill>
            <w14:solidFill>
              <w14:schemeClr w14:val="tx1"/>
            </w14:solidFill>
          </w14:textFill>
        </w:rPr>
        <w:t>～</w:t>
      </w:r>
      <w:r>
        <w:rPr>
          <w:rFonts w:hint="eastAsia"/>
          <w:color w:val="000000" w:themeColor="text1"/>
          <w14:textFill>
            <w14:solidFill>
              <w14:schemeClr w14:val="tx1"/>
            </w14:solidFill>
          </w14:textFill>
        </w:rPr>
        <w:t>1000m</w:t>
      </w:r>
      <w:r>
        <w:rPr>
          <w:rFonts w:hint="eastAsia"/>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/d；北部贫水带单井涌水量100</w:t>
      </w:r>
      <w:r>
        <w:rPr>
          <w:rFonts w:hint="eastAsia"/>
          <w:color w:val="000000" w:themeColor="text1"/>
          <w:spacing w:val="-4"/>
          <w14:textFill>
            <w14:solidFill>
              <w14:schemeClr w14:val="tx1"/>
            </w14:solidFill>
          </w14:textFill>
        </w:rPr>
        <w:t>～</w:t>
      </w:r>
      <w:r>
        <w:rPr>
          <w:rFonts w:hint="eastAsia"/>
          <w:color w:val="000000" w:themeColor="text1"/>
          <w14:textFill>
            <w14:solidFill>
              <w14:schemeClr w14:val="tx1"/>
            </w14:solidFill>
          </w14:textFill>
        </w:rPr>
        <w:t>500m</w:t>
      </w:r>
      <w:r>
        <w:rPr>
          <w:rFonts w:hint="eastAsia"/>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/d。潜水含水层底板埋深50</w:t>
      </w:r>
      <w:r>
        <w:rPr>
          <w:rFonts w:hint="eastAsia"/>
          <w:color w:val="000000" w:themeColor="text1"/>
          <w:spacing w:val="-4"/>
          <w14:textFill>
            <w14:solidFill>
              <w14:schemeClr w14:val="tx1"/>
            </w14:solidFill>
          </w14:textFill>
        </w:rPr>
        <w:t>～</w:t>
      </w:r>
      <w:r>
        <w:rPr>
          <w:rFonts w:hint="eastAsia"/>
          <w:color w:val="000000" w:themeColor="text1"/>
          <w14:textFill>
            <w14:solidFill>
              <w14:schemeClr w14:val="tx1"/>
            </w14:solidFill>
          </w14:textFill>
        </w:rPr>
        <w:t>100m，渗透系数2</w:t>
      </w:r>
      <w:r>
        <w:rPr>
          <w:rFonts w:hint="eastAsia"/>
          <w:color w:val="000000" w:themeColor="text1"/>
          <w:spacing w:val="-4"/>
          <w14:textFill>
            <w14:solidFill>
              <w14:schemeClr w14:val="tx1"/>
            </w14:solidFill>
          </w14:textFill>
        </w:rPr>
        <w:t>～</w:t>
      </w:r>
      <w:r>
        <w:rPr>
          <w:rFonts w:hint="eastAsia"/>
          <w:color w:val="000000" w:themeColor="text1"/>
          <w14:textFill>
            <w14:solidFill>
              <w14:schemeClr w14:val="tx1"/>
            </w14:solidFill>
          </w14:textFill>
        </w:rPr>
        <w:t>5m/d。下部为承压含水层，岩性主要为砂砾石、砾石、中细砂，单井涌水量1000</w:t>
      </w:r>
      <w:r>
        <w:rPr>
          <w:rFonts w:hint="eastAsia"/>
          <w:color w:val="000000" w:themeColor="text1"/>
          <w:spacing w:val="-4"/>
          <w14:textFill>
            <w14:solidFill>
              <w14:schemeClr w14:val="tx1"/>
            </w14:solidFill>
          </w14:textFill>
        </w:rPr>
        <w:t>～</w:t>
      </w:r>
      <w:r>
        <w:rPr>
          <w:rFonts w:hint="eastAsia"/>
          <w:color w:val="000000" w:themeColor="text1"/>
          <w14:textFill>
            <w14:solidFill>
              <w14:schemeClr w14:val="tx1"/>
            </w14:solidFill>
          </w14:textFill>
        </w:rPr>
        <w:t>3000m</w:t>
      </w:r>
      <w:r>
        <w:rPr>
          <w:rFonts w:hint="eastAsia"/>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/d，渗透系数5</w:t>
      </w:r>
      <w:r>
        <w:rPr>
          <w:rFonts w:hint="eastAsia"/>
          <w:color w:val="000000" w:themeColor="text1"/>
          <w:spacing w:val="-4"/>
          <w14:textFill>
            <w14:solidFill>
              <w14:schemeClr w14:val="tx1"/>
            </w14:solidFill>
          </w14:textFill>
        </w:rPr>
        <w:t>～</w:t>
      </w:r>
      <w:r>
        <w:rPr>
          <w:rFonts w:hint="eastAsia"/>
          <w:color w:val="000000" w:themeColor="text1"/>
          <w14:textFill>
            <w14:solidFill>
              <w14:schemeClr w14:val="tx1"/>
            </w14:solidFill>
          </w14:textFill>
        </w:rPr>
        <w:t>13m/d。在300m以内分布有三个承压含水层组：第一承压含水层组顶板埋深50</w:t>
      </w:r>
      <w:r>
        <w:rPr>
          <w:rFonts w:hint="eastAsia"/>
          <w:color w:val="000000" w:themeColor="text1"/>
          <w:spacing w:val="-4"/>
          <w14:textFill>
            <w14:solidFill>
              <w14:schemeClr w14:val="tx1"/>
            </w14:solidFill>
          </w14:textFill>
        </w:rPr>
        <w:t>～</w:t>
      </w:r>
      <w:r>
        <w:rPr>
          <w:rFonts w:hint="eastAsia"/>
          <w:color w:val="000000" w:themeColor="text1"/>
          <w14:textFill>
            <w14:solidFill>
              <w14:schemeClr w14:val="tx1"/>
            </w14:solidFill>
          </w14:textFill>
        </w:rPr>
        <w:t>100m，第二承压含水层组顶板埋深70</w:t>
      </w:r>
      <w:r>
        <w:rPr>
          <w:rFonts w:hint="eastAsia"/>
          <w:color w:val="000000" w:themeColor="text1"/>
          <w:spacing w:val="-4"/>
          <w14:textFill>
            <w14:solidFill>
              <w14:schemeClr w14:val="tx1"/>
            </w14:solidFill>
          </w14:textFill>
        </w:rPr>
        <w:t>～</w:t>
      </w:r>
      <w:r>
        <w:rPr>
          <w:rFonts w:hint="eastAsia"/>
          <w:color w:val="000000" w:themeColor="text1"/>
          <w14:textFill>
            <w14:solidFill>
              <w14:schemeClr w14:val="tx1"/>
            </w14:solidFill>
          </w14:textFill>
        </w:rPr>
        <w:t>140m，第三承压含水层组顶板埋深110</w:t>
      </w:r>
      <w:r>
        <w:rPr>
          <w:rFonts w:hint="eastAsia"/>
          <w:color w:val="000000" w:themeColor="text1"/>
          <w:spacing w:val="-4"/>
          <w14:textFill>
            <w14:solidFill>
              <w14:schemeClr w14:val="tx1"/>
            </w14:solidFill>
          </w14:textFill>
        </w:rPr>
        <w:t>～</w:t>
      </w:r>
      <w:r>
        <w:rPr>
          <w:rFonts w:hint="eastAsia"/>
          <w:color w:val="000000" w:themeColor="text1"/>
          <w14:textFill>
            <w14:solidFill>
              <w14:schemeClr w14:val="tx1"/>
            </w14:solidFill>
          </w14:textFill>
        </w:rPr>
        <w:t>220m。</w:t>
      </w:r>
    </w:p>
    <w:p w14:paraId="702BB329">
      <w:pPr>
        <w:pStyle w:val="191"/>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项目区含水层类型为多层结构潜水-承压含水层，含水层岩性为砂砾石、中粗砂、中细砂，属地下水强富水带。</w:t>
      </w:r>
    </w:p>
    <w:p w14:paraId="578511CC">
      <w:pPr>
        <w:pStyle w:val="191"/>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②地下水的补给、径流及排泄条件</w:t>
      </w:r>
    </w:p>
    <w:p w14:paraId="27089A26">
      <w:pPr>
        <w:pStyle w:val="191"/>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――地下水的补给</w:t>
      </w:r>
    </w:p>
    <w:p w14:paraId="100E71E2">
      <w:pPr>
        <w:pStyle w:val="191"/>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分析范围内地下水的补给来源主要有南部山区冰雪融水、降水一部分形成地表径流，一部分沿基岩裂隙、断裂破碎带及冰水沉积物孔隙垂直入渗，以潜流形式补给山前平原潜水和深层承压水。河流在出山口后，有相当一部分水渗漏于山前砾石带，补给平原区潜水和深层承压水。平原灌区渠系入渗，库（塘）入渗，雨、洪入渗等直接补给平原区潜水。</w:t>
      </w:r>
    </w:p>
    <w:p w14:paraId="1533A8EC">
      <w:pPr>
        <w:pStyle w:val="191"/>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――地下水的径流</w:t>
      </w:r>
    </w:p>
    <w:p w14:paraId="79E41396">
      <w:pPr>
        <w:pStyle w:val="191"/>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项目区冲洪积松散层厚度大、粒径粗、坡度大、孔隙大、径流条件好，潜水埋藏深、开采难度大。大部分地下水通过径流区流入下游细土平原区。</w:t>
      </w:r>
    </w:p>
    <w:p w14:paraId="3DD067FD">
      <w:pPr>
        <w:pStyle w:val="191"/>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――地下水的排泄</w:t>
      </w:r>
    </w:p>
    <w:p w14:paraId="7F32308B">
      <w:pPr>
        <w:pStyle w:val="191"/>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项目区域内地下水的排泄途径主要有人为开采，在细土平原水位浅埋地区，潜水可通过蒸发垂直排泄，沿径流方向以潜流方式排出区外，入北部沙漠。</w:t>
      </w:r>
    </w:p>
    <w:bookmarkEnd w:id="375"/>
    <w:bookmarkEnd w:id="376"/>
    <w:p w14:paraId="437D4A51">
      <w:pPr>
        <w:pStyle w:val="4"/>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气候气象</w:t>
      </w:r>
    </w:p>
    <w:p w14:paraId="3898EF26">
      <w:pPr>
        <w:pStyle w:val="117"/>
        <w:ind w:firstLine="480"/>
        <w:rPr>
          <w:rFonts w:hint="eastAsia" w:cs="宋体"/>
          <w:color w:val="000000" w:themeColor="text1"/>
          <w14:textFill>
            <w14:solidFill>
              <w14:schemeClr w14:val="tx1"/>
            </w14:solidFill>
          </w14:textFill>
        </w:rPr>
      </w:pPr>
      <w:bookmarkStart w:id="377" w:name="_Toc24528"/>
      <w:bookmarkStart w:id="378" w:name="_Toc474416132"/>
      <w:bookmarkStart w:id="379" w:name="_Toc474793581"/>
      <w:bookmarkStart w:id="380" w:name="_Toc475624476"/>
      <w:bookmarkStart w:id="381" w:name="_Hlk495686351"/>
      <w:r>
        <w:rPr>
          <w:rFonts w:hint="eastAsia" w:cs="宋体"/>
          <w:color w:val="000000" w:themeColor="text1"/>
          <w14:textFill>
            <w14:solidFill>
              <w14:schemeClr w14:val="tx1"/>
            </w14:solidFill>
          </w14:textFill>
        </w:rPr>
        <w:t>吉木萨尔地处欧亚大陆的腹地，远离海洋属典型的温带大陆性干旱气候。其特点为：日照充足，热量丰富，气温变化大，降水少，蒸发大，气候干燥；春季增温快，此时多风，多冷空气入侵；夏季干热；秋季凉爽；冬季寒冷漫长。</w:t>
      </w:r>
    </w:p>
    <w:p w14:paraId="5E1B69F5">
      <w:pPr>
        <w:pStyle w:val="117"/>
        <w:ind w:firstLine="480"/>
        <w:rPr>
          <w:rFonts w:hint="eastAsia"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春季通常在3月下旬开春。升温迅速而不稳，天气多变，平均每月有一到两次强冷空气入侵，使气温变化幅度较大，降水增多。夏季炎热干燥，空气湿度小，无闷热感，多阵性风雨天气，降水较多。秋季秋高气爽，晴天日数最多。平均每月有一到两次强冷空气入侵，使得气温下降迅速。冬季严寒而漫长，有稳定积雪，空气湿度明显加大。冬季上空多有逆温形成，平均风速为四季最小。</w:t>
      </w:r>
    </w:p>
    <w:p w14:paraId="5CBCBE15">
      <w:pPr>
        <w:pStyle w:val="15"/>
        <w:ind w:firstLine="420"/>
        <w:rPr>
          <w:rFonts w:hint="eastAsia" w:cs="黑体"/>
          <w:color w:val="000000" w:themeColor="text1"/>
          <w:kern w:val="0"/>
          <w14:textFill>
            <w14:solidFill>
              <w14:schemeClr w14:val="tx1"/>
            </w14:solidFill>
          </w14:textFill>
        </w:rPr>
      </w:pPr>
      <w:r>
        <w:rPr>
          <w:rFonts w:hint="eastAsia" w:cs="黑体"/>
          <w:color w:val="000000" w:themeColor="text1"/>
          <w:kern w:val="0"/>
          <w14:textFill>
            <w14:solidFill>
              <w14:schemeClr w14:val="tx1"/>
            </w14:solidFill>
          </w14:textFill>
        </w:rPr>
        <w:t>表4.1-2  吉木萨尔县气象站常规气象项目统计</w:t>
      </w:r>
    </w:p>
    <w:tbl>
      <w:tblPr>
        <w:tblStyle w:val="51"/>
        <w:tblW w:w="4998"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3032"/>
        <w:gridCol w:w="2732"/>
        <w:gridCol w:w="2963"/>
      </w:tblGrid>
      <w:tr w14:paraId="7FBFFF1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340" w:hRule="atLeast"/>
          <w:jc w:val="center"/>
        </w:trPr>
        <w:tc>
          <w:tcPr>
            <w:tcW w:w="3302" w:type="pct"/>
            <w:gridSpan w:val="2"/>
            <w:vAlign w:val="center"/>
          </w:tcPr>
          <w:p w14:paraId="4FD522EA">
            <w:pPr>
              <w:spacing w:line="300" w:lineRule="exact"/>
              <w:jc w:val="center"/>
              <w:rPr>
                <w:rFonts w:hint="eastAsia" w:ascii="宋体" w:hAnsi="宋体" w:cs="宋体"/>
                <w:color w:val="000000" w:themeColor="text1"/>
                <w:spacing w:val="16"/>
                <w:szCs w:val="21"/>
                <w14:textFill>
                  <w14:solidFill>
                    <w14:schemeClr w14:val="tx1"/>
                  </w14:solidFill>
                </w14:textFill>
              </w:rPr>
            </w:pPr>
            <w:r>
              <w:rPr>
                <w:rFonts w:hint="eastAsia" w:ascii="宋体" w:hAnsi="宋体" w:cs="宋体"/>
                <w:color w:val="000000" w:themeColor="text1"/>
                <w:spacing w:val="16"/>
                <w:szCs w:val="21"/>
                <w14:textFill>
                  <w14:solidFill>
                    <w14:schemeClr w14:val="tx1"/>
                  </w14:solidFill>
                </w14:textFill>
              </w:rPr>
              <w:t>统计项目</w:t>
            </w:r>
          </w:p>
        </w:tc>
        <w:tc>
          <w:tcPr>
            <w:tcW w:w="1697" w:type="pct"/>
            <w:vAlign w:val="center"/>
          </w:tcPr>
          <w:p w14:paraId="3EA94B71">
            <w:pPr>
              <w:spacing w:line="300" w:lineRule="exact"/>
              <w:jc w:val="center"/>
              <w:rPr>
                <w:rFonts w:hint="eastAsia" w:ascii="宋体" w:hAnsi="宋体" w:cs="宋体"/>
                <w:color w:val="000000" w:themeColor="text1"/>
                <w:spacing w:val="16"/>
                <w:szCs w:val="21"/>
                <w14:textFill>
                  <w14:solidFill>
                    <w14:schemeClr w14:val="tx1"/>
                  </w14:solidFill>
                </w14:textFill>
              </w:rPr>
            </w:pPr>
            <w:r>
              <w:rPr>
                <w:rFonts w:hint="eastAsia" w:ascii="宋体" w:hAnsi="宋体" w:cs="宋体"/>
                <w:color w:val="000000" w:themeColor="text1"/>
                <w:spacing w:val="16"/>
                <w:szCs w:val="21"/>
                <w14:textFill>
                  <w14:solidFill>
                    <w14:schemeClr w14:val="tx1"/>
                  </w14:solidFill>
                </w14:textFill>
              </w:rPr>
              <w:t>统计值</w:t>
            </w:r>
          </w:p>
        </w:tc>
      </w:tr>
      <w:tr w14:paraId="0A25BB3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302" w:type="pct"/>
            <w:gridSpan w:val="2"/>
            <w:vAlign w:val="center"/>
          </w:tcPr>
          <w:p w14:paraId="03AB36A3">
            <w:pPr>
              <w:spacing w:line="30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pacing w:val="17"/>
                <w:szCs w:val="21"/>
                <w14:textFill>
                  <w14:solidFill>
                    <w14:schemeClr w14:val="tx1"/>
                  </w14:solidFill>
                </w14:textFill>
              </w:rPr>
              <w:t>多年平均气温（℃）</w:t>
            </w:r>
          </w:p>
        </w:tc>
        <w:tc>
          <w:tcPr>
            <w:tcW w:w="1697" w:type="pct"/>
            <w:vAlign w:val="center"/>
          </w:tcPr>
          <w:p w14:paraId="5A5BADC1">
            <w:pPr>
              <w:pStyle w:val="533"/>
              <w:spacing w:line="300" w:lineRule="exact"/>
              <w:ind w:firstLine="416"/>
              <w:jc w:val="center"/>
              <w:rPr>
                <w:rFonts w:hint="eastAsia"/>
                <w:color w:val="000000" w:themeColor="text1"/>
                <w:sz w:val="21"/>
                <w:szCs w:val="21"/>
                <w14:textFill>
                  <w14:solidFill>
                    <w14:schemeClr w14:val="tx1"/>
                  </w14:solidFill>
                </w14:textFill>
              </w:rPr>
            </w:pPr>
            <w:r>
              <w:rPr>
                <w:rFonts w:hint="eastAsia"/>
                <w:color w:val="000000" w:themeColor="text1"/>
                <w:spacing w:val="-2"/>
                <w:sz w:val="21"/>
                <w:szCs w:val="21"/>
                <w14:textFill>
                  <w14:solidFill>
                    <w14:schemeClr w14:val="tx1"/>
                  </w14:solidFill>
                </w14:textFill>
              </w:rPr>
              <w:t>8.</w:t>
            </w:r>
            <w:r>
              <w:rPr>
                <w:rFonts w:hint="eastAsia"/>
                <w:color w:val="000000" w:themeColor="text1"/>
                <w:spacing w:val="-25"/>
                <w:sz w:val="21"/>
                <w:szCs w:val="21"/>
                <w14:textFill>
                  <w14:solidFill>
                    <w14:schemeClr w14:val="tx1"/>
                  </w14:solidFill>
                </w14:textFill>
              </w:rPr>
              <w:t xml:space="preserve"> </w:t>
            </w:r>
            <w:r>
              <w:rPr>
                <w:rFonts w:hint="eastAsia"/>
                <w:color w:val="000000" w:themeColor="text1"/>
                <w:spacing w:val="-2"/>
                <w:sz w:val="21"/>
                <w:szCs w:val="21"/>
                <w14:textFill>
                  <w14:solidFill>
                    <w14:schemeClr w14:val="tx1"/>
                  </w14:solidFill>
                </w14:textFill>
              </w:rPr>
              <w:t>1</w:t>
            </w:r>
          </w:p>
        </w:tc>
      </w:tr>
      <w:tr w14:paraId="3B9612C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302" w:type="pct"/>
            <w:gridSpan w:val="2"/>
            <w:vAlign w:val="center"/>
          </w:tcPr>
          <w:p w14:paraId="648B778E">
            <w:pPr>
              <w:spacing w:line="30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pacing w:val="16"/>
                <w:szCs w:val="21"/>
                <w14:textFill>
                  <w14:solidFill>
                    <w14:schemeClr w14:val="tx1"/>
                  </w14:solidFill>
                </w14:textFill>
              </w:rPr>
              <w:t>累年极端最高气温（℃）</w:t>
            </w:r>
          </w:p>
        </w:tc>
        <w:tc>
          <w:tcPr>
            <w:tcW w:w="1697" w:type="pct"/>
            <w:vAlign w:val="center"/>
          </w:tcPr>
          <w:p w14:paraId="55766F3B">
            <w:pPr>
              <w:pStyle w:val="533"/>
              <w:spacing w:line="300" w:lineRule="exact"/>
              <w:ind w:firstLine="424"/>
              <w:jc w:val="center"/>
              <w:rPr>
                <w:rFonts w:hint="eastAsia"/>
                <w:color w:val="000000" w:themeColor="text1"/>
                <w:sz w:val="21"/>
                <w:szCs w:val="21"/>
                <w14:textFill>
                  <w14:solidFill>
                    <w14:schemeClr w14:val="tx1"/>
                  </w14:solidFill>
                </w14:textFill>
              </w:rPr>
            </w:pPr>
            <w:r>
              <w:rPr>
                <w:rFonts w:hint="eastAsia"/>
                <w:color w:val="000000" w:themeColor="text1"/>
                <w:spacing w:val="2"/>
                <w:sz w:val="21"/>
                <w:szCs w:val="21"/>
                <w14:textFill>
                  <w14:solidFill>
                    <w14:schemeClr w14:val="tx1"/>
                  </w14:solidFill>
                </w14:textFill>
              </w:rPr>
              <w:t>38.9</w:t>
            </w:r>
          </w:p>
        </w:tc>
      </w:tr>
      <w:tr w14:paraId="00F8C84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302" w:type="pct"/>
            <w:gridSpan w:val="2"/>
            <w:vAlign w:val="center"/>
          </w:tcPr>
          <w:p w14:paraId="075C6A04">
            <w:pPr>
              <w:spacing w:line="30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pacing w:val="16"/>
                <w:szCs w:val="21"/>
                <w14:textFill>
                  <w14:solidFill>
                    <w14:schemeClr w14:val="tx1"/>
                  </w14:solidFill>
                </w14:textFill>
              </w:rPr>
              <w:t>累年极端最低气温（℃）</w:t>
            </w:r>
          </w:p>
        </w:tc>
        <w:tc>
          <w:tcPr>
            <w:tcW w:w="1697" w:type="pct"/>
            <w:vAlign w:val="center"/>
          </w:tcPr>
          <w:p w14:paraId="7F5BD49F">
            <w:pPr>
              <w:pStyle w:val="533"/>
              <w:spacing w:line="300" w:lineRule="exact"/>
              <w:ind w:firstLine="424"/>
              <w:jc w:val="center"/>
              <w:rPr>
                <w:rFonts w:hint="eastAsia"/>
                <w:color w:val="000000" w:themeColor="text1"/>
                <w:sz w:val="21"/>
                <w:szCs w:val="21"/>
                <w14:textFill>
                  <w14:solidFill>
                    <w14:schemeClr w14:val="tx1"/>
                  </w14:solidFill>
                </w14:textFill>
              </w:rPr>
            </w:pPr>
            <w:r>
              <w:rPr>
                <w:rFonts w:hint="eastAsia"/>
                <w:color w:val="000000" w:themeColor="text1"/>
                <w:spacing w:val="2"/>
                <w:sz w:val="21"/>
                <w:szCs w:val="21"/>
                <w14:textFill>
                  <w14:solidFill>
                    <w14:schemeClr w14:val="tx1"/>
                  </w14:solidFill>
                </w14:textFill>
              </w:rPr>
              <w:t>-26.0</w:t>
            </w:r>
          </w:p>
        </w:tc>
      </w:tr>
      <w:tr w14:paraId="0396D04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302" w:type="pct"/>
            <w:gridSpan w:val="2"/>
            <w:vAlign w:val="center"/>
          </w:tcPr>
          <w:p w14:paraId="63292B94">
            <w:pPr>
              <w:pStyle w:val="533"/>
              <w:spacing w:line="300" w:lineRule="exact"/>
              <w:ind w:firstLine="436"/>
              <w:jc w:val="center"/>
              <w:rPr>
                <w:rFonts w:hint="eastAsia"/>
                <w:color w:val="000000" w:themeColor="text1"/>
                <w:sz w:val="21"/>
                <w:szCs w:val="21"/>
                <w:lang w:eastAsia="zh-CN"/>
                <w14:textFill>
                  <w14:solidFill>
                    <w14:schemeClr w14:val="tx1"/>
                  </w14:solidFill>
                </w14:textFill>
              </w:rPr>
            </w:pPr>
            <w:r>
              <w:rPr>
                <w:rFonts w:hint="eastAsia"/>
                <w:color w:val="000000" w:themeColor="text1"/>
                <w:spacing w:val="8"/>
                <w:sz w:val="21"/>
                <w:szCs w:val="21"/>
                <w:lang w:eastAsia="zh-CN"/>
                <w14:textFill>
                  <w14:solidFill>
                    <w14:schemeClr w14:val="tx1"/>
                  </w14:solidFill>
                </w14:textFill>
              </w:rPr>
              <w:t>多年平均气压（</w:t>
            </w:r>
            <w:r>
              <w:rPr>
                <w:rFonts w:hint="eastAsia"/>
                <w:color w:val="000000" w:themeColor="text1"/>
                <w:sz w:val="21"/>
                <w:szCs w:val="21"/>
                <w:lang w:eastAsia="zh-CN"/>
                <w14:textFill>
                  <w14:solidFill>
                    <w14:schemeClr w14:val="tx1"/>
                  </w14:solidFill>
                </w14:textFill>
              </w:rPr>
              <w:t>hPa</w:t>
            </w:r>
            <w:r>
              <w:rPr>
                <w:rFonts w:hint="eastAsia"/>
                <w:color w:val="000000" w:themeColor="text1"/>
                <w:spacing w:val="8"/>
                <w:sz w:val="21"/>
                <w:szCs w:val="21"/>
                <w:lang w:eastAsia="zh-CN"/>
                <w14:textFill>
                  <w14:solidFill>
                    <w14:schemeClr w14:val="tx1"/>
                  </w14:solidFill>
                </w14:textFill>
              </w:rPr>
              <w:t>）</w:t>
            </w:r>
          </w:p>
        </w:tc>
        <w:tc>
          <w:tcPr>
            <w:tcW w:w="1697" w:type="pct"/>
            <w:vAlign w:val="center"/>
          </w:tcPr>
          <w:p w14:paraId="3D79C567">
            <w:pPr>
              <w:pStyle w:val="533"/>
              <w:spacing w:line="300" w:lineRule="exact"/>
              <w:ind w:firstLine="424"/>
              <w:jc w:val="center"/>
              <w:rPr>
                <w:rFonts w:hint="eastAsia"/>
                <w:color w:val="000000" w:themeColor="text1"/>
                <w:sz w:val="21"/>
                <w:szCs w:val="21"/>
                <w14:textFill>
                  <w14:solidFill>
                    <w14:schemeClr w14:val="tx1"/>
                  </w14:solidFill>
                </w14:textFill>
              </w:rPr>
            </w:pPr>
            <w:r>
              <w:rPr>
                <w:rFonts w:hint="eastAsia"/>
                <w:color w:val="000000" w:themeColor="text1"/>
                <w:spacing w:val="2"/>
                <w:sz w:val="21"/>
                <w:szCs w:val="21"/>
                <w14:textFill>
                  <w14:solidFill>
                    <w14:schemeClr w14:val="tx1"/>
                  </w14:solidFill>
                </w14:textFill>
              </w:rPr>
              <w:t>933.8</w:t>
            </w:r>
          </w:p>
        </w:tc>
      </w:tr>
      <w:tr w14:paraId="086363E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302" w:type="pct"/>
            <w:gridSpan w:val="2"/>
            <w:vAlign w:val="center"/>
          </w:tcPr>
          <w:p w14:paraId="4BC198D9">
            <w:pPr>
              <w:pStyle w:val="533"/>
              <w:spacing w:line="300" w:lineRule="exact"/>
              <w:ind w:firstLine="436"/>
              <w:jc w:val="center"/>
              <w:rPr>
                <w:rFonts w:hint="eastAsia"/>
                <w:color w:val="000000" w:themeColor="text1"/>
                <w:sz w:val="21"/>
                <w:szCs w:val="21"/>
                <w:lang w:eastAsia="zh-CN"/>
                <w14:textFill>
                  <w14:solidFill>
                    <w14:schemeClr w14:val="tx1"/>
                  </w14:solidFill>
                </w14:textFill>
              </w:rPr>
            </w:pPr>
            <w:r>
              <w:rPr>
                <w:rFonts w:hint="eastAsia"/>
                <w:color w:val="000000" w:themeColor="text1"/>
                <w:spacing w:val="8"/>
                <w:sz w:val="21"/>
                <w:szCs w:val="21"/>
                <w:lang w:eastAsia="zh-CN"/>
                <w14:textFill>
                  <w14:solidFill>
                    <w14:schemeClr w14:val="tx1"/>
                  </w14:solidFill>
                </w14:textFill>
              </w:rPr>
              <w:t>多年平均水汽压（</w:t>
            </w:r>
            <w:r>
              <w:rPr>
                <w:rFonts w:hint="eastAsia"/>
                <w:color w:val="000000" w:themeColor="text1"/>
                <w:sz w:val="21"/>
                <w:szCs w:val="21"/>
                <w:lang w:eastAsia="zh-CN"/>
                <w14:textFill>
                  <w14:solidFill>
                    <w14:schemeClr w14:val="tx1"/>
                  </w14:solidFill>
                </w14:textFill>
              </w:rPr>
              <w:t>hPa</w:t>
            </w:r>
            <w:r>
              <w:rPr>
                <w:rFonts w:hint="eastAsia"/>
                <w:color w:val="000000" w:themeColor="text1"/>
                <w:spacing w:val="8"/>
                <w:sz w:val="21"/>
                <w:szCs w:val="21"/>
                <w:lang w:eastAsia="zh-CN"/>
                <w14:textFill>
                  <w14:solidFill>
                    <w14:schemeClr w14:val="tx1"/>
                  </w14:solidFill>
                </w14:textFill>
              </w:rPr>
              <w:t>）</w:t>
            </w:r>
          </w:p>
        </w:tc>
        <w:tc>
          <w:tcPr>
            <w:tcW w:w="1697" w:type="pct"/>
            <w:vAlign w:val="center"/>
          </w:tcPr>
          <w:p w14:paraId="5D11A13C">
            <w:pPr>
              <w:pStyle w:val="533"/>
              <w:spacing w:line="300" w:lineRule="exact"/>
              <w:ind w:firstLine="422"/>
              <w:jc w:val="center"/>
              <w:rPr>
                <w:rFonts w:hint="eastAsia"/>
                <w:color w:val="000000" w:themeColor="text1"/>
                <w:sz w:val="21"/>
                <w:szCs w:val="21"/>
                <w14:textFill>
                  <w14:solidFill>
                    <w14:schemeClr w14:val="tx1"/>
                  </w14:solidFill>
                </w14:textFill>
              </w:rPr>
            </w:pPr>
            <w:r>
              <w:rPr>
                <w:rFonts w:hint="eastAsia"/>
                <w:color w:val="000000" w:themeColor="text1"/>
                <w:spacing w:val="1"/>
                <w:sz w:val="21"/>
                <w:szCs w:val="21"/>
                <w14:textFill>
                  <w14:solidFill>
                    <w14:schemeClr w14:val="tx1"/>
                  </w14:solidFill>
                </w14:textFill>
              </w:rPr>
              <w:t>6.3</w:t>
            </w:r>
          </w:p>
        </w:tc>
      </w:tr>
      <w:tr w14:paraId="2166242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302" w:type="pct"/>
            <w:gridSpan w:val="2"/>
            <w:vAlign w:val="center"/>
          </w:tcPr>
          <w:p w14:paraId="67FD2881">
            <w:pPr>
              <w:pStyle w:val="533"/>
              <w:spacing w:line="300" w:lineRule="exact"/>
              <w:ind w:firstLine="434"/>
              <w:jc w:val="center"/>
              <w:rPr>
                <w:rFonts w:hint="eastAsia"/>
                <w:color w:val="000000" w:themeColor="text1"/>
                <w:sz w:val="21"/>
                <w:szCs w:val="21"/>
                <w:lang w:eastAsia="zh-CN"/>
                <w14:textFill>
                  <w14:solidFill>
                    <w14:schemeClr w14:val="tx1"/>
                  </w14:solidFill>
                </w14:textFill>
              </w:rPr>
            </w:pPr>
            <w:r>
              <w:rPr>
                <w:rFonts w:hint="eastAsia"/>
                <w:color w:val="000000" w:themeColor="text1"/>
                <w:spacing w:val="7"/>
                <w:sz w:val="21"/>
                <w:szCs w:val="21"/>
                <w:lang w:eastAsia="zh-CN"/>
                <w14:textFill>
                  <w14:solidFill>
                    <w14:schemeClr w14:val="tx1"/>
                  </w14:solidFill>
                </w14:textFill>
              </w:rPr>
              <w:t>多年平均相对湿度（%）</w:t>
            </w:r>
          </w:p>
        </w:tc>
        <w:tc>
          <w:tcPr>
            <w:tcW w:w="1697" w:type="pct"/>
            <w:vAlign w:val="center"/>
          </w:tcPr>
          <w:p w14:paraId="7607B98C">
            <w:pPr>
              <w:pStyle w:val="533"/>
              <w:spacing w:line="300" w:lineRule="exact"/>
              <w:ind w:firstLine="424"/>
              <w:jc w:val="center"/>
              <w:rPr>
                <w:rFonts w:hint="eastAsia"/>
                <w:color w:val="000000" w:themeColor="text1"/>
                <w:sz w:val="21"/>
                <w:szCs w:val="21"/>
                <w14:textFill>
                  <w14:solidFill>
                    <w14:schemeClr w14:val="tx1"/>
                  </w14:solidFill>
                </w14:textFill>
              </w:rPr>
            </w:pPr>
            <w:r>
              <w:rPr>
                <w:rFonts w:hint="eastAsia"/>
                <w:color w:val="000000" w:themeColor="text1"/>
                <w:spacing w:val="2"/>
                <w:sz w:val="21"/>
                <w:szCs w:val="21"/>
                <w14:textFill>
                  <w14:solidFill>
                    <w14:schemeClr w14:val="tx1"/>
                  </w14:solidFill>
                </w14:textFill>
              </w:rPr>
              <w:t>55.4</w:t>
            </w:r>
          </w:p>
        </w:tc>
      </w:tr>
      <w:tr w14:paraId="2382DBA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302" w:type="pct"/>
            <w:gridSpan w:val="2"/>
            <w:vAlign w:val="center"/>
          </w:tcPr>
          <w:p w14:paraId="66859C0C">
            <w:pPr>
              <w:pStyle w:val="533"/>
              <w:spacing w:line="300" w:lineRule="exact"/>
              <w:ind w:firstLine="436"/>
              <w:jc w:val="center"/>
              <w:rPr>
                <w:rFonts w:hint="eastAsia"/>
                <w:color w:val="000000" w:themeColor="text1"/>
                <w:sz w:val="21"/>
                <w:szCs w:val="21"/>
                <w14:textFill>
                  <w14:solidFill>
                    <w14:schemeClr w14:val="tx1"/>
                  </w14:solidFill>
                </w14:textFill>
              </w:rPr>
            </w:pPr>
            <w:r>
              <w:rPr>
                <w:rFonts w:hint="eastAsia"/>
                <w:color w:val="000000" w:themeColor="text1"/>
                <w:spacing w:val="8"/>
                <w:sz w:val="21"/>
                <w:szCs w:val="21"/>
                <w14:textFill>
                  <w14:solidFill>
                    <w14:schemeClr w14:val="tx1"/>
                  </w14:solidFill>
                </w14:textFill>
              </w:rPr>
              <w:t>多年平均降雨量（</w:t>
            </w:r>
            <w:r>
              <w:rPr>
                <w:rFonts w:hint="eastAsia"/>
                <w:color w:val="000000" w:themeColor="text1"/>
                <w:sz w:val="21"/>
                <w:szCs w:val="21"/>
                <w14:textFill>
                  <w14:solidFill>
                    <w14:schemeClr w14:val="tx1"/>
                  </w14:solidFill>
                </w14:textFill>
              </w:rPr>
              <w:t>mm</w:t>
            </w:r>
            <w:r>
              <w:rPr>
                <w:rFonts w:hint="eastAsia"/>
                <w:color w:val="000000" w:themeColor="text1"/>
                <w:spacing w:val="8"/>
                <w:sz w:val="21"/>
                <w:szCs w:val="21"/>
                <w14:textFill>
                  <w14:solidFill>
                    <w14:schemeClr w14:val="tx1"/>
                  </w14:solidFill>
                </w14:textFill>
              </w:rPr>
              <w:t>）</w:t>
            </w:r>
          </w:p>
        </w:tc>
        <w:tc>
          <w:tcPr>
            <w:tcW w:w="1697" w:type="pct"/>
            <w:vAlign w:val="center"/>
          </w:tcPr>
          <w:p w14:paraId="2EC054D2">
            <w:pPr>
              <w:pStyle w:val="533"/>
              <w:spacing w:line="300" w:lineRule="exact"/>
              <w:ind w:firstLine="418"/>
              <w:jc w:val="center"/>
              <w:rPr>
                <w:rFonts w:hint="eastAsia"/>
                <w:color w:val="000000" w:themeColor="text1"/>
                <w:sz w:val="21"/>
                <w:szCs w:val="21"/>
                <w14:textFill>
                  <w14:solidFill>
                    <w14:schemeClr w14:val="tx1"/>
                  </w14:solidFill>
                </w14:textFill>
              </w:rPr>
            </w:pPr>
            <w:r>
              <w:rPr>
                <w:rFonts w:hint="eastAsia"/>
                <w:color w:val="000000" w:themeColor="text1"/>
                <w:spacing w:val="-1"/>
                <w:sz w:val="21"/>
                <w:szCs w:val="21"/>
                <w14:textFill>
                  <w14:solidFill>
                    <w14:schemeClr w14:val="tx1"/>
                  </w14:solidFill>
                </w14:textFill>
              </w:rPr>
              <w:t>193.5</w:t>
            </w:r>
          </w:p>
        </w:tc>
      </w:tr>
      <w:tr w14:paraId="196D87D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737" w:type="pct"/>
            <w:vMerge w:val="restart"/>
            <w:vAlign w:val="center"/>
          </w:tcPr>
          <w:p w14:paraId="6E323816">
            <w:pPr>
              <w:spacing w:line="30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pacing w:val="7"/>
                <w:szCs w:val="21"/>
                <w14:textFill>
                  <w14:solidFill>
                    <w14:schemeClr w14:val="tx1"/>
                  </w14:solidFill>
                </w14:textFill>
              </w:rPr>
              <w:t>灾害天气统计</w:t>
            </w:r>
          </w:p>
        </w:tc>
        <w:tc>
          <w:tcPr>
            <w:tcW w:w="1565" w:type="pct"/>
            <w:vAlign w:val="center"/>
          </w:tcPr>
          <w:p w14:paraId="179EA5B2">
            <w:pPr>
              <w:pStyle w:val="533"/>
              <w:spacing w:line="300" w:lineRule="exact"/>
              <w:ind w:firstLine="432"/>
              <w:jc w:val="center"/>
              <w:rPr>
                <w:rFonts w:hint="eastAsia"/>
                <w:color w:val="000000" w:themeColor="text1"/>
                <w:sz w:val="21"/>
                <w:szCs w:val="21"/>
                <w:lang w:eastAsia="zh-CN"/>
                <w14:textFill>
                  <w14:solidFill>
                    <w14:schemeClr w14:val="tx1"/>
                  </w14:solidFill>
                </w14:textFill>
              </w:rPr>
            </w:pPr>
            <w:r>
              <w:rPr>
                <w:rFonts w:hint="eastAsia"/>
                <w:color w:val="000000" w:themeColor="text1"/>
                <w:spacing w:val="6"/>
                <w:sz w:val="21"/>
                <w:szCs w:val="21"/>
                <w:lang w:eastAsia="zh-CN"/>
                <w14:textFill>
                  <w14:solidFill>
                    <w14:schemeClr w14:val="tx1"/>
                  </w14:solidFill>
                </w14:textFill>
              </w:rPr>
              <w:t>多年平均沙暴日数（d）</w:t>
            </w:r>
          </w:p>
        </w:tc>
        <w:tc>
          <w:tcPr>
            <w:tcW w:w="1697" w:type="pct"/>
            <w:vAlign w:val="center"/>
          </w:tcPr>
          <w:p w14:paraId="3C476153">
            <w:pPr>
              <w:pStyle w:val="533"/>
              <w:spacing w:line="300" w:lineRule="exact"/>
              <w:ind w:firstLine="412"/>
              <w:jc w:val="center"/>
              <w:rPr>
                <w:rFonts w:hint="eastAsia"/>
                <w:color w:val="000000" w:themeColor="text1"/>
                <w:sz w:val="21"/>
                <w:szCs w:val="21"/>
                <w14:textFill>
                  <w14:solidFill>
                    <w14:schemeClr w14:val="tx1"/>
                  </w14:solidFill>
                </w14:textFill>
              </w:rPr>
            </w:pPr>
            <w:r>
              <w:rPr>
                <w:rFonts w:hint="eastAsia"/>
                <w:color w:val="000000" w:themeColor="text1"/>
                <w:spacing w:val="-4"/>
                <w:sz w:val="21"/>
                <w:szCs w:val="21"/>
                <w14:textFill>
                  <w14:solidFill>
                    <w14:schemeClr w14:val="tx1"/>
                  </w14:solidFill>
                </w14:textFill>
              </w:rPr>
              <w:t>1.0</w:t>
            </w:r>
          </w:p>
        </w:tc>
      </w:tr>
      <w:tr w14:paraId="6BB8F71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737" w:type="pct"/>
            <w:vMerge w:val="continue"/>
            <w:vAlign w:val="center"/>
          </w:tcPr>
          <w:p w14:paraId="1A002E86">
            <w:pPr>
              <w:spacing w:line="300" w:lineRule="exact"/>
              <w:jc w:val="center"/>
              <w:rPr>
                <w:rFonts w:hint="eastAsia" w:ascii="宋体" w:hAnsi="宋体" w:cs="宋体"/>
                <w:color w:val="000000" w:themeColor="text1"/>
                <w:szCs w:val="21"/>
                <w14:textFill>
                  <w14:solidFill>
                    <w14:schemeClr w14:val="tx1"/>
                  </w14:solidFill>
                </w14:textFill>
              </w:rPr>
            </w:pPr>
          </w:p>
        </w:tc>
        <w:tc>
          <w:tcPr>
            <w:tcW w:w="1565" w:type="pct"/>
            <w:vAlign w:val="center"/>
          </w:tcPr>
          <w:p w14:paraId="14059D1B">
            <w:pPr>
              <w:pStyle w:val="533"/>
              <w:spacing w:line="300" w:lineRule="exact"/>
              <w:ind w:firstLine="432"/>
              <w:jc w:val="center"/>
              <w:rPr>
                <w:rFonts w:hint="eastAsia"/>
                <w:color w:val="000000" w:themeColor="text1"/>
                <w:sz w:val="21"/>
                <w:szCs w:val="21"/>
                <w:lang w:eastAsia="zh-CN"/>
                <w14:textFill>
                  <w14:solidFill>
                    <w14:schemeClr w14:val="tx1"/>
                  </w14:solidFill>
                </w14:textFill>
              </w:rPr>
            </w:pPr>
            <w:r>
              <w:rPr>
                <w:rFonts w:hint="eastAsia"/>
                <w:color w:val="000000" w:themeColor="text1"/>
                <w:spacing w:val="6"/>
                <w:sz w:val="21"/>
                <w:szCs w:val="21"/>
                <w:lang w:eastAsia="zh-CN"/>
                <w14:textFill>
                  <w14:solidFill>
                    <w14:schemeClr w14:val="tx1"/>
                  </w14:solidFill>
                </w14:textFill>
              </w:rPr>
              <w:t>多年平均雷暴日数（d）</w:t>
            </w:r>
          </w:p>
        </w:tc>
        <w:tc>
          <w:tcPr>
            <w:tcW w:w="1697" w:type="pct"/>
            <w:vAlign w:val="center"/>
          </w:tcPr>
          <w:p w14:paraId="3668C0CB">
            <w:pPr>
              <w:pStyle w:val="533"/>
              <w:spacing w:line="300" w:lineRule="exact"/>
              <w:ind w:firstLine="420"/>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5.4</w:t>
            </w:r>
          </w:p>
        </w:tc>
      </w:tr>
      <w:tr w14:paraId="006543D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737" w:type="pct"/>
            <w:vMerge w:val="continue"/>
            <w:vAlign w:val="center"/>
          </w:tcPr>
          <w:p w14:paraId="31ED5620">
            <w:pPr>
              <w:spacing w:line="300" w:lineRule="exact"/>
              <w:jc w:val="center"/>
              <w:rPr>
                <w:rFonts w:hint="eastAsia" w:ascii="宋体" w:hAnsi="宋体" w:cs="宋体"/>
                <w:color w:val="000000" w:themeColor="text1"/>
                <w:szCs w:val="21"/>
                <w14:textFill>
                  <w14:solidFill>
                    <w14:schemeClr w14:val="tx1"/>
                  </w14:solidFill>
                </w14:textFill>
              </w:rPr>
            </w:pPr>
          </w:p>
        </w:tc>
        <w:tc>
          <w:tcPr>
            <w:tcW w:w="1565" w:type="pct"/>
            <w:vAlign w:val="center"/>
          </w:tcPr>
          <w:p w14:paraId="790DD8D2">
            <w:pPr>
              <w:pStyle w:val="533"/>
              <w:spacing w:line="300" w:lineRule="exact"/>
              <w:ind w:firstLine="432"/>
              <w:jc w:val="center"/>
              <w:rPr>
                <w:rFonts w:hint="eastAsia"/>
                <w:color w:val="000000" w:themeColor="text1"/>
                <w:sz w:val="21"/>
                <w:szCs w:val="21"/>
                <w:lang w:eastAsia="zh-CN"/>
                <w14:textFill>
                  <w14:solidFill>
                    <w14:schemeClr w14:val="tx1"/>
                  </w14:solidFill>
                </w14:textFill>
              </w:rPr>
            </w:pPr>
            <w:r>
              <w:rPr>
                <w:rFonts w:hint="eastAsia"/>
                <w:color w:val="000000" w:themeColor="text1"/>
                <w:spacing w:val="6"/>
                <w:sz w:val="21"/>
                <w:szCs w:val="21"/>
                <w:lang w:eastAsia="zh-CN"/>
                <w14:textFill>
                  <w14:solidFill>
                    <w14:schemeClr w14:val="tx1"/>
                  </w14:solidFill>
                </w14:textFill>
              </w:rPr>
              <w:t>多年平均冰雹日数（d）</w:t>
            </w:r>
          </w:p>
        </w:tc>
        <w:tc>
          <w:tcPr>
            <w:tcW w:w="1697" w:type="pct"/>
            <w:vAlign w:val="center"/>
          </w:tcPr>
          <w:p w14:paraId="2343F045">
            <w:pPr>
              <w:pStyle w:val="533"/>
              <w:spacing w:line="300" w:lineRule="exact"/>
              <w:ind w:firstLine="422"/>
              <w:jc w:val="center"/>
              <w:rPr>
                <w:rFonts w:hint="eastAsia"/>
                <w:color w:val="000000" w:themeColor="text1"/>
                <w:sz w:val="21"/>
                <w:szCs w:val="21"/>
                <w14:textFill>
                  <w14:solidFill>
                    <w14:schemeClr w14:val="tx1"/>
                  </w14:solidFill>
                </w14:textFill>
              </w:rPr>
            </w:pPr>
            <w:r>
              <w:rPr>
                <w:rFonts w:hint="eastAsia"/>
                <w:color w:val="000000" w:themeColor="text1"/>
                <w:spacing w:val="1"/>
                <w:sz w:val="21"/>
                <w:szCs w:val="21"/>
                <w14:textFill>
                  <w14:solidFill>
                    <w14:schemeClr w14:val="tx1"/>
                  </w14:solidFill>
                </w14:textFill>
              </w:rPr>
              <w:t>0.0</w:t>
            </w:r>
          </w:p>
        </w:tc>
      </w:tr>
      <w:tr w14:paraId="0477401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737" w:type="pct"/>
            <w:vMerge w:val="continue"/>
            <w:vAlign w:val="center"/>
          </w:tcPr>
          <w:p w14:paraId="47E82822">
            <w:pPr>
              <w:spacing w:line="300" w:lineRule="exact"/>
              <w:jc w:val="center"/>
              <w:rPr>
                <w:rFonts w:hint="eastAsia" w:ascii="宋体" w:hAnsi="宋体" w:cs="宋体"/>
                <w:color w:val="000000" w:themeColor="text1"/>
                <w:szCs w:val="21"/>
                <w14:textFill>
                  <w14:solidFill>
                    <w14:schemeClr w14:val="tx1"/>
                  </w14:solidFill>
                </w14:textFill>
              </w:rPr>
            </w:pPr>
          </w:p>
        </w:tc>
        <w:tc>
          <w:tcPr>
            <w:tcW w:w="1565" w:type="pct"/>
            <w:vAlign w:val="center"/>
          </w:tcPr>
          <w:p w14:paraId="30586D75">
            <w:pPr>
              <w:pStyle w:val="533"/>
              <w:spacing w:line="300" w:lineRule="exact"/>
              <w:ind w:firstLine="432"/>
              <w:jc w:val="center"/>
              <w:rPr>
                <w:rFonts w:hint="eastAsia"/>
                <w:color w:val="000000" w:themeColor="text1"/>
                <w:sz w:val="21"/>
                <w:szCs w:val="21"/>
                <w:lang w:eastAsia="zh-CN"/>
                <w14:textFill>
                  <w14:solidFill>
                    <w14:schemeClr w14:val="tx1"/>
                  </w14:solidFill>
                </w14:textFill>
              </w:rPr>
            </w:pPr>
            <w:r>
              <w:rPr>
                <w:rFonts w:hint="eastAsia"/>
                <w:color w:val="000000" w:themeColor="text1"/>
                <w:spacing w:val="6"/>
                <w:sz w:val="21"/>
                <w:szCs w:val="21"/>
                <w:lang w:eastAsia="zh-CN"/>
                <w14:textFill>
                  <w14:solidFill>
                    <w14:schemeClr w14:val="tx1"/>
                  </w14:solidFill>
                </w14:textFill>
              </w:rPr>
              <w:t>多年平均大风日数（d）</w:t>
            </w:r>
          </w:p>
        </w:tc>
        <w:tc>
          <w:tcPr>
            <w:tcW w:w="1697" w:type="pct"/>
            <w:vAlign w:val="center"/>
          </w:tcPr>
          <w:p w14:paraId="4B6BDFD8">
            <w:pPr>
              <w:pStyle w:val="533"/>
              <w:spacing w:line="300" w:lineRule="exact"/>
              <w:ind w:firstLine="416"/>
              <w:jc w:val="center"/>
              <w:rPr>
                <w:rFonts w:hint="eastAsia"/>
                <w:color w:val="000000" w:themeColor="text1"/>
                <w:sz w:val="21"/>
                <w:szCs w:val="21"/>
                <w14:textFill>
                  <w14:solidFill>
                    <w14:schemeClr w14:val="tx1"/>
                  </w14:solidFill>
                </w14:textFill>
              </w:rPr>
            </w:pPr>
            <w:r>
              <w:rPr>
                <w:rFonts w:hint="eastAsia"/>
                <w:color w:val="000000" w:themeColor="text1"/>
                <w:spacing w:val="-2"/>
                <w:sz w:val="21"/>
                <w:szCs w:val="21"/>
                <w14:textFill>
                  <w14:solidFill>
                    <w14:schemeClr w14:val="tx1"/>
                  </w14:solidFill>
                </w14:textFill>
              </w:rPr>
              <w:t>10.7</w:t>
            </w:r>
          </w:p>
        </w:tc>
      </w:tr>
      <w:tr w14:paraId="7C08293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302" w:type="pct"/>
            <w:gridSpan w:val="2"/>
            <w:vAlign w:val="center"/>
          </w:tcPr>
          <w:p w14:paraId="6DE30F17">
            <w:pPr>
              <w:pStyle w:val="533"/>
              <w:spacing w:line="300" w:lineRule="exact"/>
              <w:ind w:firstLine="436"/>
              <w:jc w:val="center"/>
              <w:rPr>
                <w:rFonts w:hint="eastAsia"/>
                <w:color w:val="000000" w:themeColor="text1"/>
                <w:sz w:val="21"/>
                <w:szCs w:val="21"/>
                <w:lang w:eastAsia="zh-CN"/>
                <w14:textFill>
                  <w14:solidFill>
                    <w14:schemeClr w14:val="tx1"/>
                  </w14:solidFill>
                </w14:textFill>
              </w:rPr>
            </w:pPr>
            <w:r>
              <w:rPr>
                <w:rFonts w:hint="eastAsia"/>
                <w:color w:val="000000" w:themeColor="text1"/>
                <w:spacing w:val="8"/>
                <w:sz w:val="21"/>
                <w:szCs w:val="21"/>
                <w:lang w:eastAsia="zh-CN"/>
                <w14:textFill>
                  <w14:solidFill>
                    <w14:schemeClr w14:val="tx1"/>
                  </w14:solidFill>
                </w14:textFill>
              </w:rPr>
              <w:t>多年实测极大风速（m/s）、相应风向</w:t>
            </w:r>
          </w:p>
        </w:tc>
        <w:tc>
          <w:tcPr>
            <w:tcW w:w="1697" w:type="pct"/>
            <w:vAlign w:val="center"/>
          </w:tcPr>
          <w:p w14:paraId="3AC6E9E7">
            <w:pPr>
              <w:pStyle w:val="533"/>
              <w:spacing w:line="300" w:lineRule="exact"/>
              <w:ind w:firstLine="434"/>
              <w:jc w:val="center"/>
              <w:rPr>
                <w:rFonts w:hint="eastAsia"/>
                <w:color w:val="000000" w:themeColor="text1"/>
                <w:sz w:val="21"/>
                <w:szCs w:val="21"/>
                <w14:textFill>
                  <w14:solidFill>
                    <w14:schemeClr w14:val="tx1"/>
                  </w14:solidFill>
                </w14:textFill>
              </w:rPr>
            </w:pPr>
            <w:r>
              <w:rPr>
                <w:rFonts w:hint="eastAsia"/>
                <w:color w:val="000000" w:themeColor="text1"/>
                <w:spacing w:val="7"/>
                <w:sz w:val="21"/>
                <w:szCs w:val="21"/>
                <w14:textFill>
                  <w14:solidFill>
                    <w14:schemeClr w14:val="tx1"/>
                  </w14:solidFill>
                </w14:textFill>
              </w:rPr>
              <w:t xml:space="preserve">24.4 </w:t>
            </w:r>
            <w:r>
              <w:rPr>
                <w:rFonts w:hint="eastAsia"/>
                <w:color w:val="000000" w:themeColor="text1"/>
                <w:sz w:val="21"/>
                <w:szCs w:val="21"/>
                <w14:textFill>
                  <w14:solidFill>
                    <w14:schemeClr w14:val="tx1"/>
                  </w14:solidFill>
                </w14:textFill>
              </w:rPr>
              <w:t>WNW</w:t>
            </w:r>
          </w:p>
        </w:tc>
      </w:tr>
      <w:tr w14:paraId="082F5D0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302" w:type="pct"/>
            <w:gridSpan w:val="2"/>
            <w:vAlign w:val="center"/>
          </w:tcPr>
          <w:p w14:paraId="60213AAE">
            <w:pPr>
              <w:spacing w:line="30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pacing w:val="6"/>
                <w:szCs w:val="21"/>
                <w14:textFill>
                  <w14:solidFill>
                    <w14:schemeClr w14:val="tx1"/>
                  </w14:solidFill>
                </w14:textFill>
              </w:rPr>
              <w:t>多年平均风速</w:t>
            </w:r>
          </w:p>
        </w:tc>
        <w:tc>
          <w:tcPr>
            <w:tcW w:w="1697" w:type="pct"/>
            <w:vAlign w:val="center"/>
          </w:tcPr>
          <w:p w14:paraId="75D5050B">
            <w:pPr>
              <w:pStyle w:val="533"/>
              <w:spacing w:line="300" w:lineRule="exact"/>
              <w:ind w:firstLine="412"/>
              <w:jc w:val="center"/>
              <w:rPr>
                <w:rFonts w:hint="eastAsia"/>
                <w:color w:val="000000" w:themeColor="text1"/>
                <w:sz w:val="21"/>
                <w:szCs w:val="21"/>
                <w14:textFill>
                  <w14:solidFill>
                    <w14:schemeClr w14:val="tx1"/>
                  </w14:solidFill>
                </w14:textFill>
              </w:rPr>
            </w:pPr>
            <w:r>
              <w:rPr>
                <w:rFonts w:hint="eastAsia"/>
                <w:color w:val="000000" w:themeColor="text1"/>
                <w:spacing w:val="-4"/>
                <w:sz w:val="21"/>
                <w:szCs w:val="21"/>
                <w14:textFill>
                  <w14:solidFill>
                    <w14:schemeClr w14:val="tx1"/>
                  </w14:solidFill>
                </w14:textFill>
              </w:rPr>
              <w:t>1.8</w:t>
            </w:r>
          </w:p>
        </w:tc>
      </w:tr>
      <w:tr w14:paraId="14C6E49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302" w:type="pct"/>
            <w:gridSpan w:val="2"/>
            <w:vAlign w:val="center"/>
          </w:tcPr>
          <w:p w14:paraId="1C117E7C">
            <w:pPr>
              <w:pStyle w:val="533"/>
              <w:spacing w:line="300" w:lineRule="exact"/>
              <w:ind w:firstLine="434"/>
              <w:jc w:val="center"/>
              <w:rPr>
                <w:rFonts w:hint="eastAsia"/>
                <w:color w:val="000000" w:themeColor="text1"/>
                <w:sz w:val="21"/>
                <w:szCs w:val="21"/>
                <w:lang w:eastAsia="zh-CN"/>
                <w14:textFill>
                  <w14:solidFill>
                    <w14:schemeClr w14:val="tx1"/>
                  </w14:solidFill>
                </w14:textFill>
              </w:rPr>
            </w:pPr>
            <w:r>
              <w:rPr>
                <w:rFonts w:hint="eastAsia"/>
                <w:color w:val="000000" w:themeColor="text1"/>
                <w:spacing w:val="7"/>
                <w:sz w:val="21"/>
                <w:szCs w:val="21"/>
                <w:lang w:eastAsia="zh-CN"/>
                <w14:textFill>
                  <w14:solidFill>
                    <w14:schemeClr w14:val="tx1"/>
                  </w14:solidFill>
                </w14:textFill>
              </w:rPr>
              <w:t>多年主导风向、风向频率（%）</w:t>
            </w:r>
          </w:p>
        </w:tc>
        <w:tc>
          <w:tcPr>
            <w:tcW w:w="1697" w:type="pct"/>
            <w:vAlign w:val="center"/>
          </w:tcPr>
          <w:p w14:paraId="662E2ED1">
            <w:pPr>
              <w:pStyle w:val="533"/>
              <w:spacing w:line="300" w:lineRule="exact"/>
              <w:ind w:firstLine="420"/>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WNW</w:t>
            </w:r>
            <w:r>
              <w:rPr>
                <w:rFonts w:hint="eastAsia"/>
                <w:color w:val="000000" w:themeColor="text1"/>
                <w:spacing w:val="26"/>
                <w:w w:val="101"/>
                <w:sz w:val="21"/>
                <w:szCs w:val="21"/>
                <w14:textFill>
                  <w14:solidFill>
                    <w14:schemeClr w14:val="tx1"/>
                  </w14:solidFill>
                </w14:textFill>
              </w:rPr>
              <w:t xml:space="preserve"> </w:t>
            </w:r>
            <w:r>
              <w:rPr>
                <w:rFonts w:hint="eastAsia"/>
                <w:color w:val="000000" w:themeColor="text1"/>
                <w:spacing w:val="4"/>
                <w:sz w:val="21"/>
                <w:szCs w:val="21"/>
                <w14:textFill>
                  <w14:solidFill>
                    <w14:schemeClr w14:val="tx1"/>
                  </w14:solidFill>
                </w14:textFill>
              </w:rPr>
              <w:t>12.6%</w:t>
            </w:r>
          </w:p>
        </w:tc>
      </w:tr>
      <w:tr w14:paraId="6050AC2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302" w:type="pct"/>
            <w:gridSpan w:val="2"/>
            <w:vAlign w:val="center"/>
          </w:tcPr>
          <w:p w14:paraId="2D3D28F6">
            <w:pPr>
              <w:pStyle w:val="533"/>
              <w:spacing w:line="300" w:lineRule="exact"/>
              <w:ind w:firstLine="434"/>
              <w:jc w:val="center"/>
              <w:rPr>
                <w:rFonts w:hint="eastAsia"/>
                <w:color w:val="000000" w:themeColor="text1"/>
                <w:sz w:val="21"/>
                <w:szCs w:val="21"/>
                <w:lang w:eastAsia="zh-CN"/>
                <w14:textFill>
                  <w14:solidFill>
                    <w14:schemeClr w14:val="tx1"/>
                  </w14:solidFill>
                </w14:textFill>
              </w:rPr>
            </w:pPr>
            <w:r>
              <w:rPr>
                <w:rFonts w:hint="eastAsia"/>
                <w:color w:val="000000" w:themeColor="text1"/>
                <w:spacing w:val="7"/>
                <w:sz w:val="21"/>
                <w:szCs w:val="21"/>
                <w:lang w:eastAsia="zh-CN"/>
                <w14:textFill>
                  <w14:solidFill>
                    <w14:schemeClr w14:val="tx1"/>
                  </w14:solidFill>
                </w14:textFill>
              </w:rPr>
              <w:t>多年静风频率（风速≤0.2m/s</w:t>
            </w:r>
            <w:r>
              <w:rPr>
                <w:rFonts w:hint="eastAsia"/>
                <w:color w:val="000000" w:themeColor="text1"/>
                <w:spacing w:val="2"/>
                <w:sz w:val="21"/>
                <w:szCs w:val="21"/>
                <w:lang w:eastAsia="zh-CN"/>
                <w14:textFill>
                  <w14:solidFill>
                    <w14:schemeClr w14:val="tx1"/>
                  </w14:solidFill>
                </w14:textFill>
              </w:rPr>
              <w:t>）（</w:t>
            </w:r>
            <w:r>
              <w:rPr>
                <w:rFonts w:hint="eastAsia"/>
                <w:color w:val="000000" w:themeColor="text1"/>
                <w:spacing w:val="7"/>
                <w:sz w:val="21"/>
                <w:szCs w:val="21"/>
                <w:lang w:eastAsia="zh-CN"/>
                <w14:textFill>
                  <w14:solidFill>
                    <w14:schemeClr w14:val="tx1"/>
                  </w14:solidFill>
                </w14:textFill>
              </w:rPr>
              <w:t>%）</w:t>
            </w:r>
          </w:p>
        </w:tc>
        <w:tc>
          <w:tcPr>
            <w:tcW w:w="1697" w:type="pct"/>
            <w:vAlign w:val="center"/>
          </w:tcPr>
          <w:p w14:paraId="1E593B9D">
            <w:pPr>
              <w:pStyle w:val="533"/>
              <w:spacing w:line="300" w:lineRule="exact"/>
              <w:ind w:firstLine="416"/>
              <w:jc w:val="center"/>
              <w:rPr>
                <w:rFonts w:hint="eastAsia"/>
                <w:color w:val="000000" w:themeColor="text1"/>
                <w:sz w:val="21"/>
                <w:szCs w:val="21"/>
                <w14:textFill>
                  <w14:solidFill>
                    <w14:schemeClr w14:val="tx1"/>
                  </w14:solidFill>
                </w14:textFill>
              </w:rPr>
            </w:pPr>
            <w:r>
              <w:rPr>
                <w:rFonts w:hint="eastAsia"/>
                <w:color w:val="000000" w:themeColor="text1"/>
                <w:spacing w:val="-2"/>
                <w:sz w:val="21"/>
                <w:szCs w:val="21"/>
                <w14:textFill>
                  <w14:solidFill>
                    <w14:schemeClr w14:val="tx1"/>
                  </w14:solidFill>
                </w14:textFill>
              </w:rPr>
              <w:t>10.5</w:t>
            </w:r>
          </w:p>
        </w:tc>
      </w:tr>
    </w:tbl>
    <w:p w14:paraId="11E873BD">
      <w:pPr>
        <w:pStyle w:val="2"/>
        <w:spacing w:line="440" w:lineRule="exact"/>
        <w:rPr>
          <w:rFonts w:hint="eastAsia"/>
          <w:color w:val="000000" w:themeColor="text1"/>
          <w14:textFill>
            <w14:solidFill>
              <w14:schemeClr w14:val="tx1"/>
            </w14:solidFill>
          </w14:textFill>
        </w:rPr>
      </w:pPr>
      <w:bookmarkStart w:id="382" w:name="_Toc216260251"/>
      <w:r>
        <w:rPr>
          <w:rFonts w:hint="eastAsia"/>
          <w:color w:val="000000" w:themeColor="text1"/>
          <w14:textFill>
            <w14:solidFill>
              <w14:schemeClr w14:val="tx1"/>
            </w14:solidFill>
          </w14:textFill>
        </w:rPr>
        <w:t>环境保护目标调查</w:t>
      </w:r>
      <w:bookmarkEnd w:id="377"/>
      <w:bookmarkEnd w:id="382"/>
    </w:p>
    <w:p w14:paraId="1DACD5E8">
      <w:pPr>
        <w:pStyle w:val="117"/>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评价范围内无自然保护区、风景名胜区、饮用水水源保护、自然公园等环境敏感区，土壤环境保护目标为一般耕地和牧草地，大气环境保护目标主要为评价范围内的居民区。</w:t>
      </w:r>
    </w:p>
    <w:p w14:paraId="0A96DA42">
      <w:pPr>
        <w:pStyle w:val="2"/>
        <w:spacing w:line="440" w:lineRule="exact"/>
        <w:rPr>
          <w:rFonts w:hint="eastAsia"/>
          <w:color w:val="000000" w:themeColor="text1"/>
          <w14:textFill>
            <w14:solidFill>
              <w14:schemeClr w14:val="tx1"/>
            </w14:solidFill>
          </w14:textFill>
        </w:rPr>
      </w:pPr>
      <w:bookmarkStart w:id="383" w:name="_Toc216260252"/>
      <w:r>
        <w:rPr>
          <w:rFonts w:hint="eastAsia"/>
          <w:color w:val="000000" w:themeColor="text1"/>
          <w14:textFill>
            <w14:solidFill>
              <w14:schemeClr w14:val="tx1"/>
            </w14:solidFill>
          </w14:textFill>
        </w:rPr>
        <w:t>环境</w:t>
      </w:r>
      <w:r>
        <w:rPr>
          <w:color w:val="000000" w:themeColor="text1"/>
          <w14:textFill>
            <w14:solidFill>
              <w14:schemeClr w14:val="tx1"/>
            </w14:solidFill>
          </w14:textFill>
        </w:rPr>
        <w:t>质量现状调查与评价</w:t>
      </w:r>
      <w:bookmarkEnd w:id="378"/>
      <w:bookmarkEnd w:id="379"/>
      <w:bookmarkEnd w:id="380"/>
      <w:bookmarkEnd w:id="383"/>
    </w:p>
    <w:bookmarkEnd w:id="381"/>
    <w:p w14:paraId="583FD990">
      <w:pPr>
        <w:pStyle w:val="4"/>
        <w:rPr>
          <w:rFonts w:hint="eastAsia"/>
          <w:color w:val="000000" w:themeColor="text1"/>
          <w14:textFill>
            <w14:solidFill>
              <w14:schemeClr w14:val="tx1"/>
            </w14:solidFill>
          </w14:textFill>
        </w:rPr>
      </w:pPr>
      <w:bookmarkStart w:id="384" w:name="_Toc474416133"/>
      <w:r>
        <w:rPr>
          <w:rFonts w:hint="eastAsia"/>
          <w:color w:val="000000" w:themeColor="text1"/>
          <w14:textFill>
            <w14:solidFill>
              <w14:schemeClr w14:val="tx1"/>
            </w14:solidFill>
          </w14:textFill>
        </w:rPr>
        <w:t>大气</w:t>
      </w:r>
      <w:r>
        <w:rPr>
          <w:color w:val="000000" w:themeColor="text1"/>
          <w14:textFill>
            <w14:solidFill>
              <w14:schemeClr w14:val="tx1"/>
            </w14:solidFill>
          </w14:textFill>
        </w:rPr>
        <w:t>环境质量现状调查与评价</w:t>
      </w:r>
      <w:bookmarkEnd w:id="384"/>
    </w:p>
    <w:p w14:paraId="248A3D02">
      <w:pPr>
        <w:pStyle w:val="117"/>
        <w:spacing w:line="480" w:lineRule="exact"/>
        <w:ind w:firstLine="480"/>
        <w:rPr>
          <w:rFonts w:hint="eastAsia"/>
          <w:color w:val="000000" w:themeColor="text1"/>
          <w:kern w:val="0"/>
          <w14:textFill>
            <w14:solidFill>
              <w14:schemeClr w14:val="tx1"/>
            </w14:solidFill>
          </w14:textFill>
        </w:rPr>
      </w:pPr>
      <w:r>
        <w:rPr>
          <w:rFonts w:hint="eastAsia"/>
          <w:color w:val="000000" w:themeColor="text1"/>
          <w14:textFill>
            <w14:solidFill>
              <w14:schemeClr w14:val="tx1"/>
            </w14:solidFill>
          </w14:textFill>
        </w:rPr>
        <w:t>（1）区域大气环境质量达标判定</w:t>
      </w:r>
    </w:p>
    <w:p w14:paraId="66534B71">
      <w:pPr>
        <w:pStyle w:val="117"/>
        <w:spacing w:line="480" w:lineRule="exact"/>
        <w:ind w:firstLine="480"/>
        <w:rPr>
          <w:rFonts w:hint="eastAsia"/>
          <w:color w:val="000000" w:themeColor="text1"/>
          <w14:textFill>
            <w14:solidFill>
              <w14:schemeClr w14:val="tx1"/>
            </w14:solidFill>
          </w14:textFill>
        </w:rPr>
      </w:pPr>
      <w:bookmarkStart w:id="385" w:name="OLE_LINK78"/>
      <w:r>
        <w:rPr>
          <w:rFonts w:hint="eastAsia"/>
          <w:color w:val="000000" w:themeColor="text1"/>
          <w14:textFill>
            <w14:solidFill>
              <w14:schemeClr w14:val="tx1"/>
            </w14:solidFill>
          </w14:textFill>
        </w:rPr>
        <w:t>项目区位于吉木萨尔县，评价范围内无环境空气质量监测网数据或公开发布的环境空气质量现状数据。本次评价选择距离项目区较近、气候、地形条件相似的吉木萨尔县环境空气质量达标区判定结论及数据。</w:t>
      </w:r>
    </w:p>
    <w:p w14:paraId="24822676">
      <w:pPr>
        <w:pStyle w:val="117"/>
        <w:spacing w:line="480" w:lineRule="exact"/>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根据吉木萨尔县环境监测站2023年的监测数据，六项基本污染物中SO</w:t>
      </w:r>
      <w:r>
        <w:rPr>
          <w:rFonts w:hint="eastAsia"/>
          <w:color w:val="000000" w:themeColor="text1"/>
          <w:vertAlign w:val="subscript"/>
          <w14:textFill>
            <w14:solidFill>
              <w14:schemeClr w14:val="tx1"/>
            </w14:solidFill>
          </w14:textFill>
        </w:rPr>
        <w:t>2</w:t>
      </w:r>
      <w:r>
        <w:rPr>
          <w:rFonts w:hint="eastAsia"/>
          <w:color w:val="000000" w:themeColor="text1"/>
          <w14:textFill>
            <w14:solidFill>
              <w14:schemeClr w14:val="tx1"/>
            </w14:solidFill>
          </w14:textFill>
        </w:rPr>
        <w:t>、NO</w:t>
      </w:r>
      <w:r>
        <w:rPr>
          <w:rFonts w:hint="eastAsia"/>
          <w:color w:val="000000" w:themeColor="text1"/>
          <w:vertAlign w:val="subscript"/>
          <w14:textFill>
            <w14:solidFill>
              <w14:schemeClr w14:val="tx1"/>
            </w14:solidFill>
          </w14:textFill>
        </w:rPr>
        <w:t>2</w:t>
      </w:r>
      <w:r>
        <w:rPr>
          <w:rFonts w:hint="eastAsia"/>
          <w:color w:val="000000" w:themeColor="text1"/>
          <w14:textFill>
            <w14:solidFill>
              <w14:schemeClr w14:val="tx1"/>
            </w14:solidFill>
          </w14:textFill>
        </w:rPr>
        <w:t>、CO、O</w:t>
      </w:r>
      <w:r>
        <w:rPr>
          <w:rFonts w:hint="eastAsia"/>
          <w:color w:val="000000" w:themeColor="text1"/>
          <w:vertAlign w:val="subscript"/>
          <w14:textFill>
            <w14:solidFill>
              <w14:schemeClr w14:val="tx1"/>
            </w14:solidFill>
          </w14:textFill>
        </w:rPr>
        <w:t>3</w:t>
      </w:r>
      <w:r>
        <w:rPr>
          <w:rFonts w:hint="eastAsia"/>
          <w:color w:val="000000" w:themeColor="text1"/>
          <w14:textFill>
            <w14:solidFill>
              <w14:schemeClr w14:val="tx1"/>
            </w14:solidFill>
          </w14:textFill>
        </w:rPr>
        <w:t>的现状浓度均符合《环境空气质量标准》（GB3095-2012）二级标准，PM</w:t>
      </w:r>
      <w:r>
        <w:rPr>
          <w:rFonts w:hint="eastAsia"/>
          <w:color w:val="000000" w:themeColor="text1"/>
          <w:vertAlign w:val="subscript"/>
          <w14:textFill>
            <w14:solidFill>
              <w14:schemeClr w14:val="tx1"/>
            </w14:solidFill>
          </w14:textFill>
        </w:rPr>
        <w:t>10</w:t>
      </w:r>
      <w:r>
        <w:rPr>
          <w:rFonts w:hint="eastAsia"/>
          <w:color w:val="000000" w:themeColor="text1"/>
          <w14:textFill>
            <w14:solidFill>
              <w14:schemeClr w14:val="tx1"/>
            </w14:solidFill>
          </w14:textFill>
        </w:rPr>
        <w:t>、PM</w:t>
      </w:r>
      <w:r>
        <w:rPr>
          <w:rFonts w:hint="eastAsia"/>
          <w:color w:val="000000" w:themeColor="text1"/>
          <w:vertAlign w:val="subscript"/>
          <w14:textFill>
            <w14:solidFill>
              <w14:schemeClr w14:val="tx1"/>
            </w14:solidFill>
          </w14:textFill>
        </w:rPr>
        <w:t>2.5</w:t>
      </w:r>
      <w:r>
        <w:rPr>
          <w:rFonts w:hint="eastAsia"/>
          <w:color w:val="000000" w:themeColor="text1"/>
          <w14:textFill>
            <w14:solidFill>
              <w14:schemeClr w14:val="tx1"/>
            </w14:solidFill>
          </w14:textFill>
        </w:rPr>
        <w:t>的现状浓度超标，属于环境空气质量不达标区，具体数据见表4.3-1。</w:t>
      </w:r>
    </w:p>
    <w:p w14:paraId="300A52BC">
      <w:pPr>
        <w:pStyle w:val="109"/>
        <w:rPr>
          <w:rFonts w:hint="eastAsia"/>
          <w:color w:val="000000" w:themeColor="text1"/>
          <w14:textFill>
            <w14:solidFill>
              <w14:schemeClr w14:val="tx1"/>
            </w14:solidFill>
          </w14:textFill>
        </w:rPr>
      </w:pPr>
      <w:bookmarkStart w:id="386" w:name="_Ref76991845"/>
      <w:r>
        <w:rPr>
          <w:color w:val="000000" w:themeColor="text1"/>
          <w14:textFill>
            <w14:solidFill>
              <w14:schemeClr w14:val="tx1"/>
            </w14:solidFill>
          </w14:textFill>
        </w:rPr>
        <w:t>表</w:t>
      </w:r>
      <w:bookmarkEnd w:id="386"/>
      <w:r>
        <w:rPr>
          <w:rFonts w:hint="eastAsia"/>
          <w:color w:val="000000" w:themeColor="text1"/>
          <w14:textFill>
            <w14:solidFill>
              <w14:schemeClr w14:val="tx1"/>
            </w14:solidFill>
          </w14:textFill>
        </w:rPr>
        <w:t>4.3-1</w:t>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大气环境质量现状监测及评价结果一览表</w:t>
      </w:r>
    </w:p>
    <w:tbl>
      <w:tblPr>
        <w:tblStyle w:val="51"/>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730"/>
        <w:gridCol w:w="831"/>
        <w:gridCol w:w="3130"/>
        <w:gridCol w:w="1156"/>
        <w:gridCol w:w="1248"/>
        <w:gridCol w:w="1007"/>
        <w:gridCol w:w="684"/>
      </w:tblGrid>
      <w:tr w14:paraId="7D3BDD6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612" w:hRule="atLeast"/>
          <w:jc w:val="center"/>
        </w:trPr>
        <w:tc>
          <w:tcPr>
            <w:tcW w:w="416" w:type="pct"/>
            <w:vAlign w:val="center"/>
          </w:tcPr>
          <w:p w14:paraId="1714D648">
            <w:pPr>
              <w:spacing w:line="0" w:lineRule="atLeast"/>
              <w:jc w:val="center"/>
              <w:rPr>
                <w:rFonts w:hint="eastAsia" w:ascii="宋体" w:hAnsi="宋体"/>
                <w:color w:val="000000" w:themeColor="text1"/>
                <w:spacing w:val="-10"/>
                <w:kern w:val="21"/>
                <w:szCs w:val="21"/>
                <w14:textFill>
                  <w14:solidFill>
                    <w14:schemeClr w14:val="tx1"/>
                  </w14:solidFill>
                </w14:textFill>
              </w:rPr>
            </w:pPr>
            <w:r>
              <w:rPr>
                <w:rFonts w:hint="eastAsia" w:ascii="宋体" w:hAnsi="宋体"/>
                <w:color w:val="000000" w:themeColor="text1"/>
                <w:spacing w:val="-10"/>
                <w:kern w:val="21"/>
                <w:szCs w:val="21"/>
                <w14:textFill>
                  <w14:solidFill>
                    <w14:schemeClr w14:val="tx1"/>
                  </w14:solidFill>
                </w14:textFill>
              </w:rPr>
              <w:t>点位</w:t>
            </w:r>
          </w:p>
          <w:p w14:paraId="156D55C9">
            <w:pPr>
              <w:spacing w:line="0" w:lineRule="atLeast"/>
              <w:jc w:val="center"/>
              <w:rPr>
                <w:rFonts w:hint="eastAsia" w:ascii="宋体" w:hAnsi="宋体"/>
                <w:color w:val="000000" w:themeColor="text1"/>
                <w:spacing w:val="-10"/>
                <w:kern w:val="21"/>
                <w:szCs w:val="21"/>
                <w14:textFill>
                  <w14:solidFill>
                    <w14:schemeClr w14:val="tx1"/>
                  </w14:solidFill>
                </w14:textFill>
              </w:rPr>
            </w:pPr>
            <w:r>
              <w:rPr>
                <w:rFonts w:hint="eastAsia" w:ascii="宋体" w:hAnsi="宋体"/>
                <w:color w:val="000000" w:themeColor="text1"/>
                <w:spacing w:val="-10"/>
                <w:kern w:val="21"/>
                <w:szCs w:val="21"/>
                <w14:textFill>
                  <w14:solidFill>
                    <w14:schemeClr w14:val="tx1"/>
                  </w14:solidFill>
                </w14:textFill>
              </w:rPr>
              <w:t>名称</w:t>
            </w:r>
          </w:p>
        </w:tc>
        <w:tc>
          <w:tcPr>
            <w:tcW w:w="473" w:type="pct"/>
            <w:vAlign w:val="center"/>
          </w:tcPr>
          <w:p w14:paraId="1E80BA64">
            <w:pPr>
              <w:topLinePunct/>
              <w:spacing w:line="0" w:lineRule="atLeast"/>
              <w:jc w:val="center"/>
              <w:rPr>
                <w:rFonts w:hint="eastAsia" w:ascii="宋体" w:hAnsi="宋体"/>
                <w:color w:val="000000" w:themeColor="text1"/>
                <w:spacing w:val="-10"/>
                <w:kern w:val="21"/>
                <w:szCs w:val="21"/>
                <w14:textFill>
                  <w14:solidFill>
                    <w14:schemeClr w14:val="tx1"/>
                  </w14:solidFill>
                </w14:textFill>
              </w:rPr>
            </w:pPr>
            <w:r>
              <w:rPr>
                <w:rFonts w:hint="eastAsia" w:ascii="宋体" w:hAnsi="宋体"/>
                <w:color w:val="000000" w:themeColor="text1"/>
                <w:spacing w:val="-10"/>
                <w:szCs w:val="21"/>
                <w14:textFill>
                  <w14:solidFill>
                    <w14:schemeClr w14:val="tx1"/>
                  </w14:solidFill>
                </w14:textFill>
              </w:rPr>
              <w:t>污染物</w:t>
            </w:r>
          </w:p>
        </w:tc>
        <w:tc>
          <w:tcPr>
            <w:tcW w:w="1781" w:type="pct"/>
            <w:vAlign w:val="center"/>
          </w:tcPr>
          <w:p w14:paraId="4B7B54E9">
            <w:pPr>
              <w:topLinePunct/>
              <w:spacing w:line="0" w:lineRule="atLeast"/>
              <w:jc w:val="center"/>
              <w:rPr>
                <w:rFonts w:hint="eastAsia" w:ascii="宋体" w:hAnsi="宋体"/>
                <w:color w:val="000000" w:themeColor="text1"/>
                <w:spacing w:val="-10"/>
                <w:kern w:val="21"/>
                <w:szCs w:val="21"/>
                <w14:textFill>
                  <w14:solidFill>
                    <w14:schemeClr w14:val="tx1"/>
                  </w14:solidFill>
                </w14:textFill>
              </w:rPr>
            </w:pPr>
            <w:r>
              <w:rPr>
                <w:rFonts w:hint="eastAsia" w:ascii="宋体" w:hAnsi="宋体"/>
                <w:color w:val="000000" w:themeColor="text1"/>
                <w:spacing w:val="-10"/>
                <w:szCs w:val="21"/>
                <w14:textFill>
                  <w14:solidFill>
                    <w14:schemeClr w14:val="tx1"/>
                  </w14:solidFill>
                </w14:textFill>
              </w:rPr>
              <w:t>年评价指标</w:t>
            </w:r>
          </w:p>
        </w:tc>
        <w:tc>
          <w:tcPr>
            <w:tcW w:w="658" w:type="pct"/>
            <w:vAlign w:val="center"/>
          </w:tcPr>
          <w:p w14:paraId="55754C87">
            <w:pPr>
              <w:spacing w:line="0" w:lineRule="atLeast"/>
              <w:jc w:val="center"/>
              <w:rPr>
                <w:rFonts w:hint="eastAsia" w:ascii="宋体" w:hAnsi="宋体"/>
                <w:color w:val="000000" w:themeColor="text1"/>
                <w:spacing w:val="-10"/>
                <w:szCs w:val="21"/>
                <w14:textFill>
                  <w14:solidFill>
                    <w14:schemeClr w14:val="tx1"/>
                  </w14:solidFill>
                </w14:textFill>
              </w:rPr>
            </w:pPr>
            <w:r>
              <w:rPr>
                <w:rFonts w:hint="eastAsia" w:ascii="宋体" w:hAnsi="宋体"/>
                <w:color w:val="000000" w:themeColor="text1"/>
                <w:spacing w:val="-10"/>
                <w:szCs w:val="21"/>
                <w14:textFill>
                  <w14:solidFill>
                    <w14:schemeClr w14:val="tx1"/>
                  </w14:solidFill>
                </w14:textFill>
              </w:rPr>
              <w:t>现状浓度</w:t>
            </w:r>
          </w:p>
          <w:p w14:paraId="1005C7BD">
            <w:pPr>
              <w:spacing w:line="0" w:lineRule="atLeast"/>
              <w:jc w:val="center"/>
              <w:rPr>
                <w:rFonts w:hint="eastAsia" w:ascii="宋体" w:hAnsi="宋体"/>
                <w:color w:val="000000" w:themeColor="text1"/>
                <w:spacing w:val="-10"/>
                <w:kern w:val="21"/>
                <w:szCs w:val="21"/>
                <w14:textFill>
                  <w14:solidFill>
                    <w14:schemeClr w14:val="tx1"/>
                  </w14:solidFill>
                </w14:textFill>
              </w:rPr>
            </w:pPr>
            <w:r>
              <w:rPr>
                <w:rFonts w:hint="eastAsia" w:ascii="宋体" w:hAnsi="宋体"/>
                <w:color w:val="000000" w:themeColor="text1"/>
                <w:spacing w:val="-10"/>
                <w:szCs w:val="21"/>
                <w14:textFill>
                  <w14:solidFill>
                    <w14:schemeClr w14:val="tx1"/>
                  </w14:solidFill>
                </w14:textFill>
              </w:rPr>
              <w:t>(μg/m</w:t>
            </w:r>
            <w:r>
              <w:rPr>
                <w:rFonts w:hint="eastAsia" w:ascii="宋体" w:hAnsi="宋体"/>
                <w:color w:val="000000" w:themeColor="text1"/>
                <w:spacing w:val="-10"/>
                <w:szCs w:val="21"/>
                <w:vertAlign w:val="superscript"/>
                <w14:textFill>
                  <w14:solidFill>
                    <w14:schemeClr w14:val="tx1"/>
                  </w14:solidFill>
                </w14:textFill>
              </w:rPr>
              <w:t>3</w:t>
            </w:r>
            <w:r>
              <w:rPr>
                <w:rFonts w:hint="eastAsia" w:ascii="宋体" w:hAnsi="宋体"/>
                <w:color w:val="000000" w:themeColor="text1"/>
                <w:spacing w:val="-10"/>
                <w:szCs w:val="21"/>
                <w14:textFill>
                  <w14:solidFill>
                    <w14:schemeClr w14:val="tx1"/>
                  </w14:solidFill>
                </w14:textFill>
              </w:rPr>
              <w:t>)</w:t>
            </w:r>
          </w:p>
        </w:tc>
        <w:tc>
          <w:tcPr>
            <w:tcW w:w="710" w:type="pct"/>
            <w:vAlign w:val="center"/>
          </w:tcPr>
          <w:p w14:paraId="48CC5854">
            <w:pPr>
              <w:spacing w:line="0" w:lineRule="atLeast"/>
              <w:jc w:val="center"/>
              <w:rPr>
                <w:rFonts w:hint="eastAsia" w:ascii="宋体" w:hAnsi="宋体"/>
                <w:color w:val="000000" w:themeColor="text1"/>
                <w:spacing w:val="-10"/>
                <w:szCs w:val="21"/>
                <w14:textFill>
                  <w14:solidFill>
                    <w14:schemeClr w14:val="tx1"/>
                  </w14:solidFill>
                </w14:textFill>
              </w:rPr>
            </w:pPr>
            <w:r>
              <w:rPr>
                <w:rFonts w:hint="eastAsia" w:ascii="宋体" w:hAnsi="宋体"/>
                <w:color w:val="000000" w:themeColor="text1"/>
                <w:spacing w:val="-10"/>
                <w:szCs w:val="21"/>
                <w14:textFill>
                  <w14:solidFill>
                    <w14:schemeClr w14:val="tx1"/>
                  </w14:solidFill>
                </w14:textFill>
              </w:rPr>
              <w:t>标准值</w:t>
            </w:r>
          </w:p>
          <w:p w14:paraId="626570F8">
            <w:pPr>
              <w:spacing w:line="0" w:lineRule="atLeast"/>
              <w:jc w:val="center"/>
              <w:rPr>
                <w:rFonts w:hint="eastAsia" w:ascii="宋体" w:hAnsi="宋体"/>
                <w:color w:val="000000" w:themeColor="text1"/>
                <w:spacing w:val="-10"/>
                <w:kern w:val="21"/>
                <w:szCs w:val="21"/>
                <w14:textFill>
                  <w14:solidFill>
                    <w14:schemeClr w14:val="tx1"/>
                  </w14:solidFill>
                </w14:textFill>
              </w:rPr>
            </w:pPr>
            <w:r>
              <w:rPr>
                <w:rFonts w:hint="eastAsia" w:ascii="宋体" w:hAnsi="宋体"/>
                <w:color w:val="000000" w:themeColor="text1"/>
                <w:spacing w:val="-10"/>
                <w:szCs w:val="21"/>
                <w14:textFill>
                  <w14:solidFill>
                    <w14:schemeClr w14:val="tx1"/>
                  </w14:solidFill>
                </w14:textFill>
              </w:rPr>
              <w:t>(μg/m</w:t>
            </w:r>
            <w:r>
              <w:rPr>
                <w:rFonts w:hint="eastAsia" w:ascii="宋体" w:hAnsi="宋体"/>
                <w:color w:val="000000" w:themeColor="text1"/>
                <w:spacing w:val="-10"/>
                <w:szCs w:val="21"/>
                <w:vertAlign w:val="superscript"/>
                <w14:textFill>
                  <w14:solidFill>
                    <w14:schemeClr w14:val="tx1"/>
                  </w14:solidFill>
                </w14:textFill>
              </w:rPr>
              <w:t>3</w:t>
            </w:r>
            <w:r>
              <w:rPr>
                <w:rFonts w:hint="eastAsia" w:ascii="宋体" w:hAnsi="宋体"/>
                <w:color w:val="000000" w:themeColor="text1"/>
                <w:spacing w:val="-10"/>
                <w:szCs w:val="21"/>
                <w14:textFill>
                  <w14:solidFill>
                    <w14:schemeClr w14:val="tx1"/>
                  </w14:solidFill>
                </w14:textFill>
              </w:rPr>
              <w:t>)</w:t>
            </w:r>
          </w:p>
        </w:tc>
        <w:tc>
          <w:tcPr>
            <w:tcW w:w="573" w:type="pct"/>
            <w:vAlign w:val="center"/>
          </w:tcPr>
          <w:p w14:paraId="68ABCDDB">
            <w:pPr>
              <w:spacing w:line="0" w:lineRule="atLeast"/>
              <w:jc w:val="center"/>
              <w:rPr>
                <w:rFonts w:hint="eastAsia" w:ascii="宋体" w:hAnsi="宋体"/>
                <w:color w:val="000000" w:themeColor="text1"/>
                <w:spacing w:val="-10"/>
                <w:kern w:val="21"/>
                <w:szCs w:val="21"/>
                <w14:textFill>
                  <w14:solidFill>
                    <w14:schemeClr w14:val="tx1"/>
                  </w14:solidFill>
                </w14:textFill>
              </w:rPr>
            </w:pPr>
            <w:r>
              <w:rPr>
                <w:rFonts w:hint="eastAsia" w:ascii="宋体" w:hAnsi="宋体"/>
                <w:color w:val="000000" w:themeColor="text1"/>
                <w:spacing w:val="-10"/>
                <w:szCs w:val="21"/>
                <w14:textFill>
                  <w14:solidFill>
                    <w14:schemeClr w14:val="tx1"/>
                  </w14:solidFill>
                </w14:textFill>
              </w:rPr>
              <w:t>占标率(%)</w:t>
            </w:r>
          </w:p>
        </w:tc>
        <w:tc>
          <w:tcPr>
            <w:tcW w:w="389" w:type="pct"/>
            <w:vAlign w:val="center"/>
          </w:tcPr>
          <w:p w14:paraId="22053CC0">
            <w:pPr>
              <w:spacing w:line="0" w:lineRule="atLeast"/>
              <w:jc w:val="center"/>
              <w:rPr>
                <w:rFonts w:hint="eastAsia" w:ascii="宋体" w:hAnsi="宋体"/>
                <w:color w:val="000000" w:themeColor="text1"/>
                <w:spacing w:val="-10"/>
                <w:szCs w:val="21"/>
                <w14:textFill>
                  <w14:solidFill>
                    <w14:schemeClr w14:val="tx1"/>
                  </w14:solidFill>
                </w14:textFill>
              </w:rPr>
            </w:pPr>
            <w:r>
              <w:rPr>
                <w:rFonts w:hint="eastAsia" w:ascii="宋体" w:hAnsi="宋体"/>
                <w:color w:val="000000" w:themeColor="text1"/>
                <w:spacing w:val="-10"/>
                <w:szCs w:val="21"/>
                <w14:textFill>
                  <w14:solidFill>
                    <w14:schemeClr w14:val="tx1"/>
                  </w14:solidFill>
                </w14:textFill>
              </w:rPr>
              <w:t>达标</w:t>
            </w:r>
          </w:p>
          <w:p w14:paraId="3DF864B2">
            <w:pPr>
              <w:spacing w:line="0" w:lineRule="atLeast"/>
              <w:jc w:val="center"/>
              <w:rPr>
                <w:rFonts w:hint="eastAsia" w:ascii="宋体" w:hAnsi="宋体"/>
                <w:color w:val="000000" w:themeColor="text1"/>
                <w:spacing w:val="-10"/>
                <w:kern w:val="21"/>
                <w:szCs w:val="21"/>
                <w14:textFill>
                  <w14:solidFill>
                    <w14:schemeClr w14:val="tx1"/>
                  </w14:solidFill>
                </w14:textFill>
              </w:rPr>
            </w:pPr>
            <w:r>
              <w:rPr>
                <w:rFonts w:hint="eastAsia" w:ascii="宋体" w:hAnsi="宋体"/>
                <w:color w:val="000000" w:themeColor="text1"/>
                <w:spacing w:val="-10"/>
                <w:szCs w:val="21"/>
                <w14:textFill>
                  <w14:solidFill>
                    <w14:schemeClr w14:val="tx1"/>
                  </w14:solidFill>
                </w14:textFill>
              </w:rPr>
              <w:t>情况</w:t>
            </w:r>
          </w:p>
        </w:tc>
      </w:tr>
      <w:tr w14:paraId="40871A5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1" w:hRule="atLeast"/>
          <w:jc w:val="center"/>
        </w:trPr>
        <w:tc>
          <w:tcPr>
            <w:tcW w:w="416" w:type="pct"/>
            <w:vMerge w:val="restart"/>
            <w:vAlign w:val="center"/>
          </w:tcPr>
          <w:p w14:paraId="7CAA737D">
            <w:pPr>
              <w:spacing w:line="0" w:lineRule="atLeast"/>
              <w:jc w:val="center"/>
              <w:rPr>
                <w:rFonts w:hint="eastAsia" w:ascii="宋体" w:hAnsi="宋体"/>
                <w:color w:val="000000" w:themeColor="text1"/>
                <w:spacing w:val="-10"/>
                <w:kern w:val="21"/>
                <w:szCs w:val="21"/>
                <w14:textFill>
                  <w14:solidFill>
                    <w14:schemeClr w14:val="tx1"/>
                  </w14:solidFill>
                </w14:textFill>
              </w:rPr>
            </w:pPr>
            <w:r>
              <w:rPr>
                <w:rFonts w:hint="eastAsia" w:ascii="宋体" w:hAnsi="宋体"/>
                <w:color w:val="000000" w:themeColor="text1"/>
                <w:spacing w:val="-10"/>
                <w:kern w:val="21"/>
                <w:szCs w:val="21"/>
                <w14:textFill>
                  <w14:solidFill>
                    <w14:schemeClr w14:val="tx1"/>
                  </w14:solidFill>
                </w14:textFill>
              </w:rPr>
              <w:t>吉木萨尔县例行监测点</w:t>
            </w:r>
          </w:p>
        </w:tc>
        <w:tc>
          <w:tcPr>
            <w:tcW w:w="473" w:type="pct"/>
            <w:vMerge w:val="restart"/>
            <w:vAlign w:val="center"/>
          </w:tcPr>
          <w:p w14:paraId="321D7AF9">
            <w:pPr>
              <w:topLinePunct/>
              <w:spacing w:line="0" w:lineRule="atLeast"/>
              <w:jc w:val="center"/>
              <w:rPr>
                <w:rFonts w:hint="eastAsia" w:ascii="宋体" w:hAnsi="宋体"/>
                <w:color w:val="000000" w:themeColor="text1"/>
                <w:spacing w:val="-10"/>
                <w:kern w:val="21"/>
                <w:szCs w:val="21"/>
                <w14:textFill>
                  <w14:solidFill>
                    <w14:schemeClr w14:val="tx1"/>
                  </w14:solidFill>
                </w14:textFill>
              </w:rPr>
            </w:pPr>
            <w:r>
              <w:rPr>
                <w:rFonts w:hint="eastAsia" w:ascii="宋体" w:hAnsi="宋体"/>
                <w:color w:val="000000" w:themeColor="text1"/>
                <w:spacing w:val="-10"/>
                <w:szCs w:val="21"/>
                <w14:textFill>
                  <w14:solidFill>
                    <w14:schemeClr w14:val="tx1"/>
                  </w14:solidFill>
                </w14:textFill>
              </w:rPr>
              <w:t>PM</w:t>
            </w:r>
            <w:r>
              <w:rPr>
                <w:rFonts w:hint="eastAsia" w:ascii="宋体" w:hAnsi="宋体"/>
                <w:color w:val="000000" w:themeColor="text1"/>
                <w:spacing w:val="-10"/>
                <w:szCs w:val="21"/>
                <w:vertAlign w:val="subscript"/>
                <w14:textFill>
                  <w14:solidFill>
                    <w14:schemeClr w14:val="tx1"/>
                  </w14:solidFill>
                </w14:textFill>
              </w:rPr>
              <w:t>10</w:t>
            </w:r>
          </w:p>
        </w:tc>
        <w:tc>
          <w:tcPr>
            <w:tcW w:w="1781" w:type="pct"/>
            <w:vAlign w:val="center"/>
          </w:tcPr>
          <w:p w14:paraId="30035FF9">
            <w:pPr>
              <w:topLinePunct/>
              <w:spacing w:line="0" w:lineRule="atLeast"/>
              <w:jc w:val="center"/>
              <w:rPr>
                <w:rFonts w:hint="eastAsia" w:ascii="宋体" w:hAnsi="宋体"/>
                <w:color w:val="000000" w:themeColor="text1"/>
                <w:spacing w:val="-10"/>
                <w:kern w:val="21"/>
                <w:szCs w:val="21"/>
                <w14:textFill>
                  <w14:solidFill>
                    <w14:schemeClr w14:val="tx1"/>
                  </w14:solidFill>
                </w14:textFill>
              </w:rPr>
            </w:pPr>
            <w:r>
              <w:rPr>
                <w:rFonts w:hint="eastAsia" w:ascii="宋体" w:hAnsi="宋体"/>
                <w:color w:val="000000" w:themeColor="text1"/>
                <w:spacing w:val="-10"/>
                <w:szCs w:val="21"/>
                <w14:textFill>
                  <w14:solidFill>
                    <w14:schemeClr w14:val="tx1"/>
                  </w14:solidFill>
                </w14:textFill>
              </w:rPr>
              <w:t>年平均值</w:t>
            </w:r>
          </w:p>
        </w:tc>
        <w:tc>
          <w:tcPr>
            <w:tcW w:w="658" w:type="pct"/>
            <w:vAlign w:val="center"/>
          </w:tcPr>
          <w:p w14:paraId="0C85B22B">
            <w:pPr>
              <w:topLinePunct/>
              <w:spacing w:line="0" w:lineRule="atLeast"/>
              <w:jc w:val="center"/>
              <w:rPr>
                <w:rFonts w:hint="eastAsia" w:ascii="宋体" w:hAnsi="宋体"/>
                <w:color w:val="000000" w:themeColor="text1"/>
                <w:spacing w:val="-10"/>
                <w:kern w:val="21"/>
                <w:szCs w:val="21"/>
                <w14:textFill>
                  <w14:solidFill>
                    <w14:schemeClr w14:val="tx1"/>
                  </w14:solidFill>
                </w14:textFill>
              </w:rPr>
            </w:pPr>
            <w:r>
              <w:rPr>
                <w:rFonts w:hint="eastAsia" w:ascii="宋体" w:hAnsi="宋体"/>
                <w:color w:val="000000" w:themeColor="text1"/>
                <w:spacing w:val="-10"/>
                <w:kern w:val="21"/>
                <w:szCs w:val="21"/>
                <w14:textFill>
                  <w14:solidFill>
                    <w14:schemeClr w14:val="tx1"/>
                  </w14:solidFill>
                </w14:textFill>
              </w:rPr>
              <w:t>70.1</w:t>
            </w:r>
          </w:p>
        </w:tc>
        <w:tc>
          <w:tcPr>
            <w:tcW w:w="710" w:type="pct"/>
            <w:vAlign w:val="center"/>
          </w:tcPr>
          <w:p w14:paraId="0010E5E1">
            <w:pPr>
              <w:topLinePunct/>
              <w:spacing w:line="0" w:lineRule="atLeast"/>
              <w:jc w:val="center"/>
              <w:rPr>
                <w:rFonts w:hint="eastAsia" w:ascii="宋体" w:hAnsi="宋体"/>
                <w:color w:val="000000" w:themeColor="text1"/>
                <w:spacing w:val="-10"/>
                <w:kern w:val="21"/>
                <w:szCs w:val="21"/>
                <w14:textFill>
                  <w14:solidFill>
                    <w14:schemeClr w14:val="tx1"/>
                  </w14:solidFill>
                </w14:textFill>
              </w:rPr>
            </w:pPr>
            <w:r>
              <w:rPr>
                <w:rFonts w:hint="eastAsia" w:ascii="宋体" w:hAnsi="宋体"/>
                <w:color w:val="000000" w:themeColor="text1"/>
                <w:spacing w:val="-10"/>
                <w:szCs w:val="21"/>
                <w14:textFill>
                  <w14:solidFill>
                    <w14:schemeClr w14:val="tx1"/>
                  </w14:solidFill>
                </w14:textFill>
              </w:rPr>
              <w:t>70</w:t>
            </w:r>
          </w:p>
        </w:tc>
        <w:tc>
          <w:tcPr>
            <w:tcW w:w="573" w:type="pct"/>
            <w:vAlign w:val="center"/>
          </w:tcPr>
          <w:p w14:paraId="234F9C71">
            <w:pPr>
              <w:topLinePunct/>
              <w:spacing w:line="0" w:lineRule="atLeast"/>
              <w:jc w:val="center"/>
              <w:rPr>
                <w:rFonts w:hint="eastAsia" w:ascii="宋体" w:hAnsi="宋体"/>
                <w:color w:val="000000" w:themeColor="text1"/>
                <w:spacing w:val="-10"/>
                <w:szCs w:val="21"/>
                <w14:textFill>
                  <w14:solidFill>
                    <w14:schemeClr w14:val="tx1"/>
                  </w14:solidFill>
                </w14:textFill>
              </w:rPr>
            </w:pPr>
            <w:r>
              <w:rPr>
                <w:rFonts w:hint="eastAsia" w:ascii="宋体" w:hAnsi="宋体"/>
                <w:color w:val="000000" w:themeColor="text1"/>
                <w:spacing w:val="-10"/>
                <w:szCs w:val="21"/>
                <w14:textFill>
                  <w14:solidFill>
                    <w14:schemeClr w14:val="tx1"/>
                  </w14:solidFill>
                </w14:textFill>
              </w:rPr>
              <w:t>100.1</w:t>
            </w:r>
          </w:p>
        </w:tc>
        <w:tc>
          <w:tcPr>
            <w:tcW w:w="389" w:type="pct"/>
            <w:vAlign w:val="center"/>
          </w:tcPr>
          <w:p w14:paraId="40315B44">
            <w:pPr>
              <w:topLinePunct/>
              <w:spacing w:line="0" w:lineRule="atLeast"/>
              <w:jc w:val="center"/>
              <w:rPr>
                <w:rFonts w:hint="eastAsia" w:ascii="宋体" w:hAnsi="宋体"/>
                <w:bCs/>
                <w:color w:val="000000" w:themeColor="text1"/>
                <w:spacing w:val="-10"/>
                <w:kern w:val="21"/>
                <w:szCs w:val="21"/>
                <w14:textFill>
                  <w14:solidFill>
                    <w14:schemeClr w14:val="tx1"/>
                  </w14:solidFill>
                </w14:textFill>
              </w:rPr>
            </w:pPr>
            <w:r>
              <w:rPr>
                <w:rFonts w:hint="eastAsia" w:ascii="宋体" w:hAnsi="宋体"/>
                <w:color w:val="000000" w:themeColor="text1"/>
                <w:spacing w:val="-10"/>
                <w:szCs w:val="21"/>
                <w14:textFill>
                  <w14:solidFill>
                    <w14:schemeClr w14:val="tx1"/>
                  </w14:solidFill>
                </w14:textFill>
              </w:rPr>
              <w:t>超标</w:t>
            </w:r>
          </w:p>
        </w:tc>
      </w:tr>
      <w:tr w14:paraId="3126668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1" w:hRule="atLeast"/>
          <w:jc w:val="center"/>
        </w:trPr>
        <w:tc>
          <w:tcPr>
            <w:tcW w:w="416" w:type="pct"/>
            <w:vMerge w:val="continue"/>
            <w:vAlign w:val="center"/>
          </w:tcPr>
          <w:p w14:paraId="1A0B59BF">
            <w:pPr>
              <w:widowControl/>
              <w:jc w:val="center"/>
              <w:rPr>
                <w:rFonts w:hint="eastAsia" w:ascii="宋体" w:hAnsi="宋体"/>
                <w:color w:val="000000" w:themeColor="text1"/>
                <w:spacing w:val="-10"/>
                <w:kern w:val="21"/>
                <w:szCs w:val="21"/>
                <w14:textFill>
                  <w14:solidFill>
                    <w14:schemeClr w14:val="tx1"/>
                  </w14:solidFill>
                </w14:textFill>
              </w:rPr>
            </w:pPr>
          </w:p>
        </w:tc>
        <w:tc>
          <w:tcPr>
            <w:tcW w:w="473" w:type="pct"/>
            <w:vMerge w:val="continue"/>
            <w:vAlign w:val="center"/>
          </w:tcPr>
          <w:p w14:paraId="407EC6CF">
            <w:pPr>
              <w:widowControl/>
              <w:jc w:val="center"/>
              <w:rPr>
                <w:rFonts w:hint="eastAsia" w:ascii="宋体" w:hAnsi="宋体"/>
                <w:color w:val="000000" w:themeColor="text1"/>
                <w:spacing w:val="-10"/>
                <w:kern w:val="21"/>
                <w:szCs w:val="21"/>
                <w14:textFill>
                  <w14:solidFill>
                    <w14:schemeClr w14:val="tx1"/>
                  </w14:solidFill>
                </w14:textFill>
              </w:rPr>
            </w:pPr>
          </w:p>
        </w:tc>
        <w:tc>
          <w:tcPr>
            <w:tcW w:w="1781" w:type="pct"/>
            <w:vAlign w:val="center"/>
          </w:tcPr>
          <w:p w14:paraId="5A9DC58B">
            <w:pPr>
              <w:topLinePunct/>
              <w:spacing w:line="0" w:lineRule="atLeast"/>
              <w:jc w:val="center"/>
              <w:rPr>
                <w:rFonts w:hint="eastAsia" w:ascii="宋体" w:hAnsi="宋体"/>
                <w:color w:val="000000" w:themeColor="text1"/>
                <w:spacing w:val="-10"/>
                <w:szCs w:val="21"/>
                <w14:textFill>
                  <w14:solidFill>
                    <w14:schemeClr w14:val="tx1"/>
                  </w14:solidFill>
                </w14:textFill>
              </w:rPr>
            </w:pPr>
            <w:r>
              <w:rPr>
                <w:rFonts w:hint="eastAsia" w:ascii="宋体" w:hAnsi="宋体"/>
                <w:color w:val="000000" w:themeColor="text1"/>
                <w:spacing w:val="-10"/>
                <w:szCs w:val="21"/>
                <w14:textFill>
                  <w14:solidFill>
                    <w14:schemeClr w14:val="tx1"/>
                  </w14:solidFill>
                </w14:textFill>
              </w:rPr>
              <w:t>日平均第95百分位数</w:t>
            </w:r>
          </w:p>
        </w:tc>
        <w:tc>
          <w:tcPr>
            <w:tcW w:w="658" w:type="pct"/>
            <w:vAlign w:val="center"/>
          </w:tcPr>
          <w:p w14:paraId="71B0573C">
            <w:pPr>
              <w:topLinePunct/>
              <w:spacing w:line="0" w:lineRule="atLeast"/>
              <w:jc w:val="center"/>
              <w:rPr>
                <w:rFonts w:hint="eastAsia" w:ascii="宋体" w:hAnsi="宋体"/>
                <w:color w:val="000000" w:themeColor="text1"/>
                <w:spacing w:val="-10"/>
                <w:szCs w:val="21"/>
                <w14:textFill>
                  <w14:solidFill>
                    <w14:schemeClr w14:val="tx1"/>
                  </w14:solidFill>
                </w14:textFill>
              </w:rPr>
            </w:pPr>
            <w:r>
              <w:rPr>
                <w:rFonts w:hint="eastAsia" w:ascii="宋体" w:hAnsi="宋体"/>
                <w:color w:val="000000" w:themeColor="text1"/>
                <w:spacing w:val="-10"/>
                <w:szCs w:val="21"/>
                <w14:textFill>
                  <w14:solidFill>
                    <w14:schemeClr w14:val="tx1"/>
                  </w14:solidFill>
                </w14:textFill>
              </w:rPr>
              <w:t>199</w:t>
            </w:r>
          </w:p>
        </w:tc>
        <w:tc>
          <w:tcPr>
            <w:tcW w:w="710" w:type="pct"/>
            <w:vAlign w:val="center"/>
          </w:tcPr>
          <w:p w14:paraId="150F8EA9">
            <w:pPr>
              <w:topLinePunct/>
              <w:spacing w:line="0" w:lineRule="atLeast"/>
              <w:jc w:val="center"/>
              <w:rPr>
                <w:rFonts w:hint="eastAsia" w:ascii="宋体" w:hAnsi="宋体"/>
                <w:color w:val="000000" w:themeColor="text1"/>
                <w:spacing w:val="-10"/>
                <w:szCs w:val="21"/>
                <w14:textFill>
                  <w14:solidFill>
                    <w14:schemeClr w14:val="tx1"/>
                  </w14:solidFill>
                </w14:textFill>
              </w:rPr>
            </w:pPr>
            <w:r>
              <w:rPr>
                <w:rFonts w:hint="eastAsia" w:ascii="宋体" w:hAnsi="宋体"/>
                <w:color w:val="000000" w:themeColor="text1"/>
                <w:spacing w:val="-10"/>
                <w:szCs w:val="21"/>
                <w14:textFill>
                  <w14:solidFill>
                    <w14:schemeClr w14:val="tx1"/>
                  </w14:solidFill>
                </w14:textFill>
              </w:rPr>
              <w:t>150</w:t>
            </w:r>
          </w:p>
        </w:tc>
        <w:tc>
          <w:tcPr>
            <w:tcW w:w="573" w:type="pct"/>
            <w:vAlign w:val="center"/>
          </w:tcPr>
          <w:p w14:paraId="10E0B899">
            <w:pPr>
              <w:topLinePunct/>
              <w:spacing w:line="0" w:lineRule="atLeast"/>
              <w:jc w:val="center"/>
              <w:rPr>
                <w:rFonts w:hint="eastAsia" w:ascii="宋体" w:hAnsi="宋体"/>
                <w:color w:val="000000" w:themeColor="text1"/>
                <w:spacing w:val="-10"/>
                <w:szCs w:val="21"/>
                <w14:textFill>
                  <w14:solidFill>
                    <w14:schemeClr w14:val="tx1"/>
                  </w14:solidFill>
                </w14:textFill>
              </w:rPr>
            </w:pPr>
            <w:r>
              <w:rPr>
                <w:rFonts w:hint="eastAsia" w:ascii="宋体" w:hAnsi="宋体"/>
                <w:color w:val="000000" w:themeColor="text1"/>
                <w:spacing w:val="-10"/>
                <w:szCs w:val="21"/>
                <w14:textFill>
                  <w14:solidFill>
                    <w14:schemeClr w14:val="tx1"/>
                  </w14:solidFill>
                </w14:textFill>
              </w:rPr>
              <w:t>132.7</w:t>
            </w:r>
          </w:p>
        </w:tc>
        <w:tc>
          <w:tcPr>
            <w:tcW w:w="389" w:type="pct"/>
            <w:vAlign w:val="center"/>
          </w:tcPr>
          <w:p w14:paraId="181678D6">
            <w:pPr>
              <w:topLinePunct/>
              <w:spacing w:line="0" w:lineRule="atLeast"/>
              <w:jc w:val="center"/>
              <w:rPr>
                <w:rFonts w:hint="eastAsia" w:ascii="宋体" w:hAnsi="宋体"/>
                <w:color w:val="000000" w:themeColor="text1"/>
                <w:spacing w:val="-10"/>
                <w:szCs w:val="21"/>
                <w14:textFill>
                  <w14:solidFill>
                    <w14:schemeClr w14:val="tx1"/>
                  </w14:solidFill>
                </w14:textFill>
              </w:rPr>
            </w:pPr>
            <w:r>
              <w:rPr>
                <w:rFonts w:hint="eastAsia" w:ascii="宋体" w:hAnsi="宋体"/>
                <w:color w:val="000000" w:themeColor="text1"/>
                <w:spacing w:val="-10"/>
                <w:szCs w:val="21"/>
                <w14:textFill>
                  <w14:solidFill>
                    <w14:schemeClr w14:val="tx1"/>
                  </w14:solidFill>
                </w14:textFill>
              </w:rPr>
              <w:t>超标</w:t>
            </w:r>
          </w:p>
        </w:tc>
      </w:tr>
      <w:tr w14:paraId="3349F39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1" w:hRule="atLeast"/>
          <w:jc w:val="center"/>
        </w:trPr>
        <w:tc>
          <w:tcPr>
            <w:tcW w:w="416" w:type="pct"/>
            <w:vMerge w:val="continue"/>
            <w:vAlign w:val="center"/>
          </w:tcPr>
          <w:p w14:paraId="29376EFB">
            <w:pPr>
              <w:widowControl/>
              <w:jc w:val="center"/>
              <w:rPr>
                <w:rFonts w:hint="eastAsia" w:ascii="宋体" w:hAnsi="宋体"/>
                <w:color w:val="000000" w:themeColor="text1"/>
                <w:spacing w:val="-10"/>
                <w:kern w:val="21"/>
                <w:szCs w:val="21"/>
                <w14:textFill>
                  <w14:solidFill>
                    <w14:schemeClr w14:val="tx1"/>
                  </w14:solidFill>
                </w14:textFill>
              </w:rPr>
            </w:pPr>
          </w:p>
        </w:tc>
        <w:tc>
          <w:tcPr>
            <w:tcW w:w="473" w:type="pct"/>
            <w:vMerge w:val="restart"/>
            <w:vAlign w:val="center"/>
          </w:tcPr>
          <w:p w14:paraId="4EA96049">
            <w:pPr>
              <w:topLinePunct/>
              <w:spacing w:line="0" w:lineRule="atLeast"/>
              <w:jc w:val="center"/>
              <w:rPr>
                <w:rFonts w:hint="eastAsia" w:ascii="宋体" w:hAnsi="宋体"/>
                <w:color w:val="000000" w:themeColor="text1"/>
                <w:spacing w:val="-10"/>
                <w:kern w:val="21"/>
                <w:szCs w:val="21"/>
                <w14:textFill>
                  <w14:solidFill>
                    <w14:schemeClr w14:val="tx1"/>
                  </w14:solidFill>
                </w14:textFill>
              </w:rPr>
            </w:pPr>
            <w:r>
              <w:rPr>
                <w:rFonts w:hint="eastAsia" w:ascii="宋体" w:hAnsi="宋体"/>
                <w:color w:val="000000" w:themeColor="text1"/>
                <w:spacing w:val="-10"/>
                <w:szCs w:val="21"/>
                <w14:textFill>
                  <w14:solidFill>
                    <w14:schemeClr w14:val="tx1"/>
                  </w14:solidFill>
                </w14:textFill>
              </w:rPr>
              <w:t>PM</w:t>
            </w:r>
            <w:r>
              <w:rPr>
                <w:rFonts w:hint="eastAsia" w:ascii="宋体" w:hAnsi="宋体"/>
                <w:color w:val="000000" w:themeColor="text1"/>
                <w:spacing w:val="-10"/>
                <w:szCs w:val="21"/>
                <w:vertAlign w:val="subscript"/>
                <w14:textFill>
                  <w14:solidFill>
                    <w14:schemeClr w14:val="tx1"/>
                  </w14:solidFill>
                </w14:textFill>
              </w:rPr>
              <w:t>2.5</w:t>
            </w:r>
          </w:p>
        </w:tc>
        <w:tc>
          <w:tcPr>
            <w:tcW w:w="1781" w:type="pct"/>
            <w:vAlign w:val="center"/>
          </w:tcPr>
          <w:p w14:paraId="52DFA6D6">
            <w:pPr>
              <w:topLinePunct/>
              <w:spacing w:line="0" w:lineRule="atLeast"/>
              <w:jc w:val="center"/>
              <w:rPr>
                <w:rFonts w:hint="eastAsia" w:ascii="宋体" w:hAnsi="宋体"/>
                <w:color w:val="000000" w:themeColor="text1"/>
                <w:spacing w:val="-10"/>
                <w:kern w:val="21"/>
                <w:szCs w:val="21"/>
                <w14:textFill>
                  <w14:solidFill>
                    <w14:schemeClr w14:val="tx1"/>
                  </w14:solidFill>
                </w14:textFill>
              </w:rPr>
            </w:pPr>
            <w:r>
              <w:rPr>
                <w:rFonts w:hint="eastAsia" w:ascii="宋体" w:hAnsi="宋体"/>
                <w:color w:val="000000" w:themeColor="text1"/>
                <w:spacing w:val="-10"/>
                <w:szCs w:val="21"/>
                <w14:textFill>
                  <w14:solidFill>
                    <w14:schemeClr w14:val="tx1"/>
                  </w14:solidFill>
                </w14:textFill>
              </w:rPr>
              <w:t>年平均值</w:t>
            </w:r>
          </w:p>
        </w:tc>
        <w:tc>
          <w:tcPr>
            <w:tcW w:w="658" w:type="pct"/>
            <w:vAlign w:val="center"/>
          </w:tcPr>
          <w:p w14:paraId="6910432B">
            <w:pPr>
              <w:topLinePunct/>
              <w:spacing w:line="0" w:lineRule="atLeast"/>
              <w:jc w:val="center"/>
              <w:rPr>
                <w:rFonts w:hint="eastAsia" w:ascii="宋体" w:hAnsi="宋体"/>
                <w:color w:val="000000" w:themeColor="text1"/>
                <w:spacing w:val="-10"/>
                <w:kern w:val="21"/>
                <w:szCs w:val="21"/>
                <w14:textFill>
                  <w14:solidFill>
                    <w14:schemeClr w14:val="tx1"/>
                  </w14:solidFill>
                </w14:textFill>
              </w:rPr>
            </w:pPr>
            <w:r>
              <w:rPr>
                <w:rFonts w:hint="eastAsia" w:ascii="宋体" w:hAnsi="宋体"/>
                <w:color w:val="000000" w:themeColor="text1"/>
                <w:spacing w:val="-10"/>
                <w:kern w:val="21"/>
                <w:szCs w:val="21"/>
                <w14:textFill>
                  <w14:solidFill>
                    <w14:schemeClr w14:val="tx1"/>
                  </w14:solidFill>
                </w14:textFill>
              </w:rPr>
              <w:t>36.3</w:t>
            </w:r>
          </w:p>
        </w:tc>
        <w:tc>
          <w:tcPr>
            <w:tcW w:w="710" w:type="pct"/>
            <w:vAlign w:val="center"/>
          </w:tcPr>
          <w:p w14:paraId="2FEDCA40">
            <w:pPr>
              <w:topLinePunct/>
              <w:spacing w:line="0" w:lineRule="atLeast"/>
              <w:jc w:val="center"/>
              <w:rPr>
                <w:rFonts w:hint="eastAsia" w:ascii="宋体" w:hAnsi="宋体"/>
                <w:color w:val="000000" w:themeColor="text1"/>
                <w:spacing w:val="-10"/>
                <w:kern w:val="21"/>
                <w:szCs w:val="21"/>
                <w14:textFill>
                  <w14:solidFill>
                    <w14:schemeClr w14:val="tx1"/>
                  </w14:solidFill>
                </w14:textFill>
              </w:rPr>
            </w:pPr>
            <w:r>
              <w:rPr>
                <w:rFonts w:hint="eastAsia" w:ascii="宋体" w:hAnsi="宋体"/>
                <w:color w:val="000000" w:themeColor="text1"/>
                <w:spacing w:val="-10"/>
                <w:szCs w:val="21"/>
                <w14:textFill>
                  <w14:solidFill>
                    <w14:schemeClr w14:val="tx1"/>
                  </w14:solidFill>
                </w14:textFill>
              </w:rPr>
              <w:t>35</w:t>
            </w:r>
          </w:p>
        </w:tc>
        <w:tc>
          <w:tcPr>
            <w:tcW w:w="573" w:type="pct"/>
            <w:vAlign w:val="center"/>
          </w:tcPr>
          <w:p w14:paraId="5074B5DE">
            <w:pPr>
              <w:topLinePunct/>
              <w:spacing w:line="0" w:lineRule="atLeast"/>
              <w:jc w:val="center"/>
              <w:rPr>
                <w:rFonts w:hint="eastAsia" w:ascii="宋体" w:hAnsi="宋体"/>
                <w:color w:val="000000" w:themeColor="text1"/>
                <w:spacing w:val="-10"/>
                <w:szCs w:val="21"/>
                <w14:textFill>
                  <w14:solidFill>
                    <w14:schemeClr w14:val="tx1"/>
                  </w14:solidFill>
                </w14:textFill>
              </w:rPr>
            </w:pPr>
            <w:r>
              <w:rPr>
                <w:rFonts w:hint="eastAsia" w:ascii="宋体" w:hAnsi="宋体"/>
                <w:color w:val="000000" w:themeColor="text1"/>
                <w:spacing w:val="-10"/>
                <w:szCs w:val="21"/>
                <w14:textFill>
                  <w14:solidFill>
                    <w14:schemeClr w14:val="tx1"/>
                  </w14:solidFill>
                </w14:textFill>
              </w:rPr>
              <w:t>103.7</w:t>
            </w:r>
          </w:p>
        </w:tc>
        <w:tc>
          <w:tcPr>
            <w:tcW w:w="389" w:type="pct"/>
            <w:vAlign w:val="center"/>
          </w:tcPr>
          <w:p w14:paraId="2871DD77">
            <w:pPr>
              <w:topLinePunct/>
              <w:spacing w:line="0" w:lineRule="atLeast"/>
              <w:jc w:val="center"/>
              <w:rPr>
                <w:rFonts w:hint="eastAsia" w:ascii="宋体" w:hAnsi="宋体"/>
                <w:bCs/>
                <w:color w:val="000000" w:themeColor="text1"/>
                <w:spacing w:val="-10"/>
                <w:kern w:val="21"/>
                <w:szCs w:val="21"/>
                <w14:textFill>
                  <w14:solidFill>
                    <w14:schemeClr w14:val="tx1"/>
                  </w14:solidFill>
                </w14:textFill>
              </w:rPr>
            </w:pPr>
            <w:r>
              <w:rPr>
                <w:rFonts w:hint="eastAsia" w:ascii="宋体" w:hAnsi="宋体"/>
                <w:color w:val="000000" w:themeColor="text1"/>
                <w:spacing w:val="-10"/>
                <w:szCs w:val="21"/>
                <w14:textFill>
                  <w14:solidFill>
                    <w14:schemeClr w14:val="tx1"/>
                  </w14:solidFill>
                </w14:textFill>
              </w:rPr>
              <w:t>超标</w:t>
            </w:r>
          </w:p>
        </w:tc>
      </w:tr>
      <w:tr w14:paraId="2BE7EFA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1" w:hRule="atLeast"/>
          <w:jc w:val="center"/>
        </w:trPr>
        <w:tc>
          <w:tcPr>
            <w:tcW w:w="416" w:type="pct"/>
            <w:vMerge w:val="continue"/>
            <w:vAlign w:val="center"/>
          </w:tcPr>
          <w:p w14:paraId="371223F9">
            <w:pPr>
              <w:widowControl/>
              <w:jc w:val="center"/>
              <w:rPr>
                <w:rFonts w:hint="eastAsia" w:ascii="宋体" w:hAnsi="宋体"/>
                <w:color w:val="000000" w:themeColor="text1"/>
                <w:spacing w:val="-10"/>
                <w:kern w:val="21"/>
                <w:szCs w:val="21"/>
                <w14:textFill>
                  <w14:solidFill>
                    <w14:schemeClr w14:val="tx1"/>
                  </w14:solidFill>
                </w14:textFill>
              </w:rPr>
            </w:pPr>
          </w:p>
        </w:tc>
        <w:tc>
          <w:tcPr>
            <w:tcW w:w="473" w:type="pct"/>
            <w:vMerge w:val="continue"/>
            <w:vAlign w:val="center"/>
          </w:tcPr>
          <w:p w14:paraId="4DFACB91">
            <w:pPr>
              <w:widowControl/>
              <w:jc w:val="center"/>
              <w:rPr>
                <w:rFonts w:hint="eastAsia" w:ascii="宋体" w:hAnsi="宋体"/>
                <w:color w:val="000000" w:themeColor="text1"/>
                <w:spacing w:val="-10"/>
                <w:kern w:val="21"/>
                <w:szCs w:val="21"/>
                <w14:textFill>
                  <w14:solidFill>
                    <w14:schemeClr w14:val="tx1"/>
                  </w14:solidFill>
                </w14:textFill>
              </w:rPr>
            </w:pPr>
          </w:p>
        </w:tc>
        <w:tc>
          <w:tcPr>
            <w:tcW w:w="1781" w:type="pct"/>
            <w:vAlign w:val="center"/>
          </w:tcPr>
          <w:p w14:paraId="296057CA">
            <w:pPr>
              <w:topLinePunct/>
              <w:spacing w:line="0" w:lineRule="atLeast"/>
              <w:jc w:val="center"/>
              <w:rPr>
                <w:rFonts w:hint="eastAsia" w:ascii="宋体" w:hAnsi="宋体"/>
                <w:color w:val="000000" w:themeColor="text1"/>
                <w:spacing w:val="-10"/>
                <w:szCs w:val="21"/>
                <w14:textFill>
                  <w14:solidFill>
                    <w14:schemeClr w14:val="tx1"/>
                  </w14:solidFill>
                </w14:textFill>
              </w:rPr>
            </w:pPr>
            <w:r>
              <w:rPr>
                <w:rFonts w:hint="eastAsia" w:ascii="宋体" w:hAnsi="宋体"/>
                <w:color w:val="000000" w:themeColor="text1"/>
                <w:spacing w:val="-10"/>
                <w:szCs w:val="21"/>
                <w14:textFill>
                  <w14:solidFill>
                    <w14:schemeClr w14:val="tx1"/>
                  </w14:solidFill>
                </w14:textFill>
              </w:rPr>
              <w:t>日平均第95百分位数</w:t>
            </w:r>
          </w:p>
        </w:tc>
        <w:tc>
          <w:tcPr>
            <w:tcW w:w="658" w:type="pct"/>
            <w:vAlign w:val="center"/>
          </w:tcPr>
          <w:p w14:paraId="70149940">
            <w:pPr>
              <w:topLinePunct/>
              <w:spacing w:line="0" w:lineRule="atLeast"/>
              <w:jc w:val="center"/>
              <w:rPr>
                <w:rFonts w:hint="eastAsia" w:ascii="宋体" w:hAnsi="宋体"/>
                <w:color w:val="000000" w:themeColor="text1"/>
                <w:spacing w:val="-10"/>
                <w:szCs w:val="21"/>
                <w14:textFill>
                  <w14:solidFill>
                    <w14:schemeClr w14:val="tx1"/>
                  </w14:solidFill>
                </w14:textFill>
              </w:rPr>
            </w:pPr>
            <w:r>
              <w:rPr>
                <w:rFonts w:hint="eastAsia" w:ascii="宋体" w:hAnsi="宋体"/>
                <w:color w:val="000000" w:themeColor="text1"/>
                <w:spacing w:val="-10"/>
                <w:szCs w:val="21"/>
                <w14:textFill>
                  <w14:solidFill>
                    <w14:schemeClr w14:val="tx1"/>
                  </w14:solidFill>
                </w14:textFill>
              </w:rPr>
              <w:t>146</w:t>
            </w:r>
          </w:p>
        </w:tc>
        <w:tc>
          <w:tcPr>
            <w:tcW w:w="710" w:type="pct"/>
            <w:vAlign w:val="center"/>
          </w:tcPr>
          <w:p w14:paraId="61482748">
            <w:pPr>
              <w:topLinePunct/>
              <w:spacing w:line="0" w:lineRule="atLeast"/>
              <w:jc w:val="center"/>
              <w:rPr>
                <w:rFonts w:hint="eastAsia" w:ascii="宋体" w:hAnsi="宋体"/>
                <w:color w:val="000000" w:themeColor="text1"/>
                <w:spacing w:val="-10"/>
                <w:szCs w:val="21"/>
                <w14:textFill>
                  <w14:solidFill>
                    <w14:schemeClr w14:val="tx1"/>
                  </w14:solidFill>
                </w14:textFill>
              </w:rPr>
            </w:pPr>
            <w:r>
              <w:rPr>
                <w:rFonts w:hint="eastAsia" w:ascii="宋体" w:hAnsi="宋体"/>
                <w:color w:val="000000" w:themeColor="text1"/>
                <w:spacing w:val="-10"/>
                <w:szCs w:val="21"/>
                <w14:textFill>
                  <w14:solidFill>
                    <w14:schemeClr w14:val="tx1"/>
                  </w14:solidFill>
                </w14:textFill>
              </w:rPr>
              <w:t>75</w:t>
            </w:r>
          </w:p>
        </w:tc>
        <w:tc>
          <w:tcPr>
            <w:tcW w:w="573" w:type="pct"/>
            <w:vAlign w:val="center"/>
          </w:tcPr>
          <w:p w14:paraId="2817D8E3">
            <w:pPr>
              <w:topLinePunct/>
              <w:spacing w:line="0" w:lineRule="atLeast"/>
              <w:jc w:val="center"/>
              <w:rPr>
                <w:rFonts w:hint="eastAsia" w:ascii="宋体" w:hAnsi="宋体"/>
                <w:color w:val="000000" w:themeColor="text1"/>
                <w:spacing w:val="-10"/>
                <w:szCs w:val="21"/>
                <w14:textFill>
                  <w14:solidFill>
                    <w14:schemeClr w14:val="tx1"/>
                  </w14:solidFill>
                </w14:textFill>
              </w:rPr>
            </w:pPr>
            <w:r>
              <w:rPr>
                <w:rFonts w:hint="eastAsia" w:ascii="宋体" w:hAnsi="宋体"/>
                <w:color w:val="000000" w:themeColor="text1"/>
                <w:spacing w:val="-10"/>
                <w:szCs w:val="21"/>
                <w14:textFill>
                  <w14:solidFill>
                    <w14:schemeClr w14:val="tx1"/>
                  </w14:solidFill>
                </w14:textFill>
              </w:rPr>
              <w:t>194.7</w:t>
            </w:r>
          </w:p>
        </w:tc>
        <w:tc>
          <w:tcPr>
            <w:tcW w:w="389" w:type="pct"/>
            <w:vAlign w:val="center"/>
          </w:tcPr>
          <w:p w14:paraId="35E84D3D">
            <w:pPr>
              <w:topLinePunct/>
              <w:spacing w:line="0" w:lineRule="atLeast"/>
              <w:jc w:val="center"/>
              <w:rPr>
                <w:rFonts w:hint="eastAsia" w:ascii="宋体" w:hAnsi="宋体"/>
                <w:color w:val="000000" w:themeColor="text1"/>
                <w:spacing w:val="-10"/>
                <w:szCs w:val="21"/>
                <w14:textFill>
                  <w14:solidFill>
                    <w14:schemeClr w14:val="tx1"/>
                  </w14:solidFill>
                </w14:textFill>
              </w:rPr>
            </w:pPr>
            <w:r>
              <w:rPr>
                <w:rFonts w:hint="eastAsia" w:ascii="宋体" w:hAnsi="宋体"/>
                <w:color w:val="000000" w:themeColor="text1"/>
                <w:spacing w:val="-10"/>
                <w:szCs w:val="21"/>
                <w14:textFill>
                  <w14:solidFill>
                    <w14:schemeClr w14:val="tx1"/>
                  </w14:solidFill>
                </w14:textFill>
              </w:rPr>
              <w:t>超标</w:t>
            </w:r>
          </w:p>
        </w:tc>
      </w:tr>
      <w:tr w14:paraId="172B662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1" w:hRule="atLeast"/>
          <w:jc w:val="center"/>
        </w:trPr>
        <w:tc>
          <w:tcPr>
            <w:tcW w:w="416" w:type="pct"/>
            <w:vMerge w:val="continue"/>
            <w:vAlign w:val="center"/>
          </w:tcPr>
          <w:p w14:paraId="7BE1D958">
            <w:pPr>
              <w:widowControl/>
              <w:jc w:val="center"/>
              <w:rPr>
                <w:rFonts w:hint="eastAsia" w:ascii="宋体" w:hAnsi="宋体"/>
                <w:color w:val="000000" w:themeColor="text1"/>
                <w:spacing w:val="-10"/>
                <w:kern w:val="21"/>
                <w:szCs w:val="21"/>
                <w14:textFill>
                  <w14:solidFill>
                    <w14:schemeClr w14:val="tx1"/>
                  </w14:solidFill>
                </w14:textFill>
              </w:rPr>
            </w:pPr>
          </w:p>
        </w:tc>
        <w:tc>
          <w:tcPr>
            <w:tcW w:w="473" w:type="pct"/>
            <w:vMerge w:val="restart"/>
            <w:vAlign w:val="center"/>
          </w:tcPr>
          <w:p w14:paraId="225BF297">
            <w:pPr>
              <w:topLinePunct/>
              <w:spacing w:line="0" w:lineRule="atLeast"/>
              <w:jc w:val="center"/>
              <w:rPr>
                <w:rFonts w:hint="eastAsia" w:ascii="宋体" w:hAnsi="宋体"/>
                <w:color w:val="000000" w:themeColor="text1"/>
                <w:spacing w:val="-10"/>
                <w:kern w:val="21"/>
                <w:szCs w:val="21"/>
                <w14:textFill>
                  <w14:solidFill>
                    <w14:schemeClr w14:val="tx1"/>
                  </w14:solidFill>
                </w14:textFill>
              </w:rPr>
            </w:pPr>
            <w:r>
              <w:rPr>
                <w:rFonts w:hint="eastAsia" w:ascii="宋体" w:hAnsi="宋体"/>
                <w:color w:val="000000" w:themeColor="text1"/>
                <w:spacing w:val="-10"/>
                <w:szCs w:val="21"/>
                <w14:textFill>
                  <w14:solidFill>
                    <w14:schemeClr w14:val="tx1"/>
                  </w14:solidFill>
                </w14:textFill>
              </w:rPr>
              <w:t>SO</w:t>
            </w:r>
            <w:r>
              <w:rPr>
                <w:rFonts w:hint="eastAsia" w:ascii="宋体" w:hAnsi="宋体"/>
                <w:color w:val="000000" w:themeColor="text1"/>
                <w:spacing w:val="-10"/>
                <w:szCs w:val="21"/>
                <w:vertAlign w:val="subscript"/>
                <w14:textFill>
                  <w14:solidFill>
                    <w14:schemeClr w14:val="tx1"/>
                  </w14:solidFill>
                </w14:textFill>
              </w:rPr>
              <w:t>2</w:t>
            </w:r>
          </w:p>
        </w:tc>
        <w:tc>
          <w:tcPr>
            <w:tcW w:w="1781" w:type="pct"/>
            <w:vAlign w:val="center"/>
          </w:tcPr>
          <w:p w14:paraId="3C765ACE">
            <w:pPr>
              <w:topLinePunct/>
              <w:spacing w:line="0" w:lineRule="atLeast"/>
              <w:jc w:val="center"/>
              <w:rPr>
                <w:rFonts w:hint="eastAsia" w:ascii="宋体" w:hAnsi="宋体"/>
                <w:color w:val="000000" w:themeColor="text1"/>
                <w:spacing w:val="-10"/>
                <w:kern w:val="21"/>
                <w:szCs w:val="21"/>
                <w14:textFill>
                  <w14:solidFill>
                    <w14:schemeClr w14:val="tx1"/>
                  </w14:solidFill>
                </w14:textFill>
              </w:rPr>
            </w:pPr>
            <w:r>
              <w:rPr>
                <w:rFonts w:hint="eastAsia" w:ascii="宋体" w:hAnsi="宋体"/>
                <w:color w:val="000000" w:themeColor="text1"/>
                <w:spacing w:val="-10"/>
                <w:szCs w:val="21"/>
                <w14:textFill>
                  <w14:solidFill>
                    <w14:schemeClr w14:val="tx1"/>
                  </w14:solidFill>
                </w14:textFill>
              </w:rPr>
              <w:t>年平均值</w:t>
            </w:r>
          </w:p>
        </w:tc>
        <w:tc>
          <w:tcPr>
            <w:tcW w:w="658" w:type="pct"/>
            <w:vAlign w:val="center"/>
          </w:tcPr>
          <w:p w14:paraId="23866369">
            <w:pPr>
              <w:topLinePunct/>
              <w:spacing w:line="0" w:lineRule="atLeast"/>
              <w:jc w:val="center"/>
              <w:rPr>
                <w:rFonts w:hint="eastAsia" w:ascii="宋体" w:hAnsi="宋体"/>
                <w:color w:val="000000" w:themeColor="text1"/>
                <w:spacing w:val="-10"/>
                <w:kern w:val="21"/>
                <w:szCs w:val="21"/>
                <w14:textFill>
                  <w14:solidFill>
                    <w14:schemeClr w14:val="tx1"/>
                  </w14:solidFill>
                </w14:textFill>
              </w:rPr>
            </w:pPr>
            <w:r>
              <w:rPr>
                <w:rFonts w:hint="eastAsia" w:ascii="宋体" w:hAnsi="宋体"/>
                <w:color w:val="000000" w:themeColor="text1"/>
                <w:spacing w:val="-10"/>
                <w:kern w:val="21"/>
                <w:szCs w:val="21"/>
                <w14:textFill>
                  <w14:solidFill>
                    <w14:schemeClr w14:val="tx1"/>
                  </w14:solidFill>
                </w14:textFill>
              </w:rPr>
              <w:t>7.7</w:t>
            </w:r>
          </w:p>
        </w:tc>
        <w:tc>
          <w:tcPr>
            <w:tcW w:w="710" w:type="pct"/>
            <w:vAlign w:val="center"/>
          </w:tcPr>
          <w:p w14:paraId="75A06D10">
            <w:pPr>
              <w:topLinePunct/>
              <w:spacing w:line="0" w:lineRule="atLeast"/>
              <w:jc w:val="center"/>
              <w:rPr>
                <w:rFonts w:hint="eastAsia" w:ascii="宋体" w:hAnsi="宋体"/>
                <w:color w:val="000000" w:themeColor="text1"/>
                <w:spacing w:val="-10"/>
                <w:kern w:val="21"/>
                <w:szCs w:val="21"/>
                <w14:textFill>
                  <w14:solidFill>
                    <w14:schemeClr w14:val="tx1"/>
                  </w14:solidFill>
                </w14:textFill>
              </w:rPr>
            </w:pPr>
            <w:r>
              <w:rPr>
                <w:rFonts w:hint="eastAsia" w:ascii="宋体" w:hAnsi="宋体"/>
                <w:color w:val="000000" w:themeColor="text1"/>
                <w:spacing w:val="-10"/>
                <w:szCs w:val="21"/>
                <w14:textFill>
                  <w14:solidFill>
                    <w14:schemeClr w14:val="tx1"/>
                  </w14:solidFill>
                </w14:textFill>
              </w:rPr>
              <w:t>60</w:t>
            </w:r>
          </w:p>
        </w:tc>
        <w:tc>
          <w:tcPr>
            <w:tcW w:w="573" w:type="pct"/>
            <w:vAlign w:val="center"/>
          </w:tcPr>
          <w:p w14:paraId="2684E850">
            <w:pPr>
              <w:topLinePunct/>
              <w:spacing w:line="0" w:lineRule="atLeast"/>
              <w:jc w:val="center"/>
              <w:rPr>
                <w:rFonts w:hint="eastAsia" w:ascii="宋体" w:hAnsi="宋体"/>
                <w:color w:val="000000" w:themeColor="text1"/>
                <w:spacing w:val="-10"/>
                <w:szCs w:val="21"/>
                <w14:textFill>
                  <w14:solidFill>
                    <w14:schemeClr w14:val="tx1"/>
                  </w14:solidFill>
                </w14:textFill>
              </w:rPr>
            </w:pPr>
            <w:r>
              <w:rPr>
                <w:rFonts w:hint="eastAsia" w:ascii="宋体" w:hAnsi="宋体"/>
                <w:color w:val="000000" w:themeColor="text1"/>
                <w:spacing w:val="-10"/>
                <w:szCs w:val="21"/>
                <w14:textFill>
                  <w14:solidFill>
                    <w14:schemeClr w14:val="tx1"/>
                  </w14:solidFill>
                </w14:textFill>
              </w:rPr>
              <w:t>12.8</w:t>
            </w:r>
          </w:p>
        </w:tc>
        <w:tc>
          <w:tcPr>
            <w:tcW w:w="389" w:type="pct"/>
            <w:vAlign w:val="center"/>
          </w:tcPr>
          <w:p w14:paraId="53D1154F">
            <w:pPr>
              <w:topLinePunct/>
              <w:spacing w:line="0" w:lineRule="atLeast"/>
              <w:jc w:val="center"/>
              <w:rPr>
                <w:rFonts w:hint="eastAsia" w:ascii="宋体" w:hAnsi="宋体"/>
                <w:color w:val="000000" w:themeColor="text1"/>
                <w:spacing w:val="-10"/>
                <w:kern w:val="21"/>
                <w:szCs w:val="21"/>
                <w14:textFill>
                  <w14:solidFill>
                    <w14:schemeClr w14:val="tx1"/>
                  </w14:solidFill>
                </w14:textFill>
              </w:rPr>
            </w:pPr>
            <w:r>
              <w:rPr>
                <w:rFonts w:hint="eastAsia" w:ascii="宋体" w:hAnsi="宋体"/>
                <w:color w:val="000000" w:themeColor="text1"/>
                <w:spacing w:val="-10"/>
                <w:szCs w:val="21"/>
                <w14:textFill>
                  <w14:solidFill>
                    <w14:schemeClr w14:val="tx1"/>
                  </w14:solidFill>
                </w14:textFill>
              </w:rPr>
              <w:t>达标</w:t>
            </w:r>
          </w:p>
        </w:tc>
      </w:tr>
      <w:tr w14:paraId="2B0801C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1" w:hRule="atLeast"/>
          <w:jc w:val="center"/>
        </w:trPr>
        <w:tc>
          <w:tcPr>
            <w:tcW w:w="416" w:type="pct"/>
            <w:vMerge w:val="continue"/>
            <w:vAlign w:val="center"/>
          </w:tcPr>
          <w:p w14:paraId="76FA693D">
            <w:pPr>
              <w:widowControl/>
              <w:jc w:val="center"/>
              <w:rPr>
                <w:rFonts w:hint="eastAsia" w:ascii="宋体" w:hAnsi="宋体"/>
                <w:color w:val="000000" w:themeColor="text1"/>
                <w:spacing w:val="-10"/>
                <w:kern w:val="21"/>
                <w:szCs w:val="21"/>
                <w14:textFill>
                  <w14:solidFill>
                    <w14:schemeClr w14:val="tx1"/>
                  </w14:solidFill>
                </w14:textFill>
              </w:rPr>
            </w:pPr>
          </w:p>
        </w:tc>
        <w:tc>
          <w:tcPr>
            <w:tcW w:w="473" w:type="pct"/>
            <w:vMerge w:val="continue"/>
            <w:vAlign w:val="center"/>
          </w:tcPr>
          <w:p w14:paraId="7FA43427">
            <w:pPr>
              <w:widowControl/>
              <w:jc w:val="center"/>
              <w:rPr>
                <w:rFonts w:hint="eastAsia" w:ascii="宋体" w:hAnsi="宋体"/>
                <w:color w:val="000000" w:themeColor="text1"/>
                <w:spacing w:val="-10"/>
                <w:kern w:val="21"/>
                <w:szCs w:val="21"/>
                <w14:textFill>
                  <w14:solidFill>
                    <w14:schemeClr w14:val="tx1"/>
                  </w14:solidFill>
                </w14:textFill>
              </w:rPr>
            </w:pPr>
          </w:p>
        </w:tc>
        <w:tc>
          <w:tcPr>
            <w:tcW w:w="1781" w:type="pct"/>
            <w:vAlign w:val="center"/>
          </w:tcPr>
          <w:p w14:paraId="5971CB0E">
            <w:pPr>
              <w:topLinePunct/>
              <w:spacing w:line="0" w:lineRule="atLeast"/>
              <w:jc w:val="center"/>
              <w:rPr>
                <w:rFonts w:hint="eastAsia" w:ascii="宋体" w:hAnsi="宋体"/>
                <w:color w:val="000000" w:themeColor="text1"/>
                <w:spacing w:val="-10"/>
                <w:szCs w:val="21"/>
                <w14:textFill>
                  <w14:solidFill>
                    <w14:schemeClr w14:val="tx1"/>
                  </w14:solidFill>
                </w14:textFill>
              </w:rPr>
            </w:pPr>
            <w:r>
              <w:rPr>
                <w:rFonts w:hint="eastAsia" w:ascii="宋体" w:hAnsi="宋体"/>
                <w:color w:val="000000" w:themeColor="text1"/>
                <w:spacing w:val="-10"/>
                <w:szCs w:val="21"/>
                <w14:textFill>
                  <w14:solidFill>
                    <w14:schemeClr w14:val="tx1"/>
                  </w14:solidFill>
                </w14:textFill>
              </w:rPr>
              <w:t>日平均第98百分位数</w:t>
            </w:r>
          </w:p>
        </w:tc>
        <w:tc>
          <w:tcPr>
            <w:tcW w:w="658" w:type="pct"/>
            <w:vAlign w:val="center"/>
          </w:tcPr>
          <w:p w14:paraId="7D87C0E8">
            <w:pPr>
              <w:topLinePunct/>
              <w:spacing w:line="0" w:lineRule="atLeast"/>
              <w:jc w:val="center"/>
              <w:rPr>
                <w:rFonts w:hint="eastAsia" w:ascii="宋体" w:hAnsi="宋体"/>
                <w:color w:val="000000" w:themeColor="text1"/>
                <w:spacing w:val="-10"/>
                <w:szCs w:val="21"/>
                <w14:textFill>
                  <w14:solidFill>
                    <w14:schemeClr w14:val="tx1"/>
                  </w14:solidFill>
                </w14:textFill>
              </w:rPr>
            </w:pPr>
            <w:r>
              <w:rPr>
                <w:rFonts w:hint="eastAsia" w:ascii="宋体" w:hAnsi="宋体"/>
                <w:color w:val="000000" w:themeColor="text1"/>
                <w:spacing w:val="-10"/>
                <w:szCs w:val="21"/>
                <w14:textFill>
                  <w14:solidFill>
                    <w14:schemeClr w14:val="tx1"/>
                  </w14:solidFill>
                </w14:textFill>
              </w:rPr>
              <w:t>14</w:t>
            </w:r>
          </w:p>
        </w:tc>
        <w:tc>
          <w:tcPr>
            <w:tcW w:w="710" w:type="pct"/>
            <w:vAlign w:val="center"/>
          </w:tcPr>
          <w:p w14:paraId="5C0088E7">
            <w:pPr>
              <w:topLinePunct/>
              <w:spacing w:line="0" w:lineRule="atLeast"/>
              <w:jc w:val="center"/>
              <w:rPr>
                <w:rFonts w:hint="eastAsia" w:ascii="宋体" w:hAnsi="宋体"/>
                <w:color w:val="000000" w:themeColor="text1"/>
                <w:spacing w:val="-10"/>
                <w:szCs w:val="21"/>
                <w14:textFill>
                  <w14:solidFill>
                    <w14:schemeClr w14:val="tx1"/>
                  </w14:solidFill>
                </w14:textFill>
              </w:rPr>
            </w:pPr>
            <w:r>
              <w:rPr>
                <w:rFonts w:hint="eastAsia" w:ascii="宋体" w:hAnsi="宋体"/>
                <w:color w:val="000000" w:themeColor="text1"/>
                <w:spacing w:val="-10"/>
                <w:szCs w:val="21"/>
                <w14:textFill>
                  <w14:solidFill>
                    <w14:schemeClr w14:val="tx1"/>
                  </w14:solidFill>
                </w14:textFill>
              </w:rPr>
              <w:t>150</w:t>
            </w:r>
          </w:p>
        </w:tc>
        <w:tc>
          <w:tcPr>
            <w:tcW w:w="573" w:type="pct"/>
            <w:vAlign w:val="center"/>
          </w:tcPr>
          <w:p w14:paraId="1B90F33E">
            <w:pPr>
              <w:topLinePunct/>
              <w:spacing w:line="0" w:lineRule="atLeast"/>
              <w:jc w:val="center"/>
              <w:rPr>
                <w:rFonts w:hint="eastAsia" w:ascii="宋体" w:hAnsi="宋体"/>
                <w:color w:val="000000" w:themeColor="text1"/>
                <w:spacing w:val="-10"/>
                <w:szCs w:val="21"/>
                <w14:textFill>
                  <w14:solidFill>
                    <w14:schemeClr w14:val="tx1"/>
                  </w14:solidFill>
                </w14:textFill>
              </w:rPr>
            </w:pPr>
            <w:r>
              <w:rPr>
                <w:rFonts w:hint="eastAsia" w:ascii="宋体" w:hAnsi="宋体"/>
                <w:color w:val="000000" w:themeColor="text1"/>
                <w:spacing w:val="-10"/>
                <w:szCs w:val="21"/>
                <w14:textFill>
                  <w14:solidFill>
                    <w14:schemeClr w14:val="tx1"/>
                  </w14:solidFill>
                </w14:textFill>
              </w:rPr>
              <w:t>9.3</w:t>
            </w:r>
          </w:p>
        </w:tc>
        <w:tc>
          <w:tcPr>
            <w:tcW w:w="389" w:type="pct"/>
            <w:vAlign w:val="center"/>
          </w:tcPr>
          <w:p w14:paraId="22D04587">
            <w:pPr>
              <w:topLinePunct/>
              <w:spacing w:line="0" w:lineRule="atLeast"/>
              <w:jc w:val="center"/>
              <w:rPr>
                <w:rFonts w:hint="eastAsia" w:ascii="宋体" w:hAnsi="宋体"/>
                <w:color w:val="000000" w:themeColor="text1"/>
                <w:spacing w:val="-10"/>
                <w:szCs w:val="21"/>
                <w14:textFill>
                  <w14:solidFill>
                    <w14:schemeClr w14:val="tx1"/>
                  </w14:solidFill>
                </w14:textFill>
              </w:rPr>
            </w:pPr>
            <w:r>
              <w:rPr>
                <w:rFonts w:hint="eastAsia" w:ascii="宋体" w:hAnsi="宋体"/>
                <w:color w:val="000000" w:themeColor="text1"/>
                <w:spacing w:val="-10"/>
                <w:szCs w:val="21"/>
                <w14:textFill>
                  <w14:solidFill>
                    <w14:schemeClr w14:val="tx1"/>
                  </w14:solidFill>
                </w14:textFill>
              </w:rPr>
              <w:t>达标</w:t>
            </w:r>
          </w:p>
        </w:tc>
      </w:tr>
      <w:tr w14:paraId="3F7A29A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1" w:hRule="atLeast"/>
          <w:jc w:val="center"/>
        </w:trPr>
        <w:tc>
          <w:tcPr>
            <w:tcW w:w="416" w:type="pct"/>
            <w:vMerge w:val="continue"/>
            <w:vAlign w:val="center"/>
          </w:tcPr>
          <w:p w14:paraId="6D389F1B">
            <w:pPr>
              <w:widowControl/>
              <w:jc w:val="center"/>
              <w:rPr>
                <w:rFonts w:hint="eastAsia" w:ascii="宋体" w:hAnsi="宋体"/>
                <w:color w:val="000000" w:themeColor="text1"/>
                <w:spacing w:val="-10"/>
                <w:kern w:val="21"/>
                <w:szCs w:val="21"/>
                <w14:textFill>
                  <w14:solidFill>
                    <w14:schemeClr w14:val="tx1"/>
                  </w14:solidFill>
                </w14:textFill>
              </w:rPr>
            </w:pPr>
          </w:p>
        </w:tc>
        <w:tc>
          <w:tcPr>
            <w:tcW w:w="473" w:type="pct"/>
            <w:vMerge w:val="restart"/>
            <w:vAlign w:val="center"/>
          </w:tcPr>
          <w:p w14:paraId="303CC605">
            <w:pPr>
              <w:topLinePunct/>
              <w:spacing w:line="0" w:lineRule="atLeast"/>
              <w:jc w:val="center"/>
              <w:rPr>
                <w:rFonts w:hint="eastAsia" w:ascii="宋体" w:hAnsi="宋体"/>
                <w:color w:val="000000" w:themeColor="text1"/>
                <w:spacing w:val="-10"/>
                <w:kern w:val="21"/>
                <w:szCs w:val="21"/>
                <w14:textFill>
                  <w14:solidFill>
                    <w14:schemeClr w14:val="tx1"/>
                  </w14:solidFill>
                </w14:textFill>
              </w:rPr>
            </w:pPr>
            <w:r>
              <w:rPr>
                <w:rFonts w:hint="eastAsia" w:ascii="宋体" w:hAnsi="宋体"/>
                <w:color w:val="000000" w:themeColor="text1"/>
                <w:spacing w:val="-10"/>
                <w:szCs w:val="21"/>
                <w14:textFill>
                  <w14:solidFill>
                    <w14:schemeClr w14:val="tx1"/>
                  </w14:solidFill>
                </w14:textFill>
              </w:rPr>
              <w:t>NO</w:t>
            </w:r>
            <w:r>
              <w:rPr>
                <w:rFonts w:hint="eastAsia" w:ascii="宋体" w:hAnsi="宋体"/>
                <w:color w:val="000000" w:themeColor="text1"/>
                <w:spacing w:val="-10"/>
                <w:szCs w:val="21"/>
                <w:vertAlign w:val="subscript"/>
                <w14:textFill>
                  <w14:solidFill>
                    <w14:schemeClr w14:val="tx1"/>
                  </w14:solidFill>
                </w14:textFill>
              </w:rPr>
              <w:t>2</w:t>
            </w:r>
          </w:p>
        </w:tc>
        <w:tc>
          <w:tcPr>
            <w:tcW w:w="1781" w:type="pct"/>
            <w:vAlign w:val="center"/>
          </w:tcPr>
          <w:p w14:paraId="2685875C">
            <w:pPr>
              <w:topLinePunct/>
              <w:spacing w:line="0" w:lineRule="atLeast"/>
              <w:jc w:val="center"/>
              <w:rPr>
                <w:rFonts w:hint="eastAsia" w:ascii="宋体" w:hAnsi="宋体"/>
                <w:color w:val="000000" w:themeColor="text1"/>
                <w:spacing w:val="-10"/>
                <w:kern w:val="21"/>
                <w:szCs w:val="21"/>
                <w14:textFill>
                  <w14:solidFill>
                    <w14:schemeClr w14:val="tx1"/>
                  </w14:solidFill>
                </w14:textFill>
              </w:rPr>
            </w:pPr>
            <w:r>
              <w:rPr>
                <w:rFonts w:hint="eastAsia" w:ascii="宋体" w:hAnsi="宋体"/>
                <w:color w:val="000000" w:themeColor="text1"/>
                <w:spacing w:val="-10"/>
                <w:szCs w:val="21"/>
                <w14:textFill>
                  <w14:solidFill>
                    <w14:schemeClr w14:val="tx1"/>
                  </w14:solidFill>
                </w14:textFill>
              </w:rPr>
              <w:t>年平均值</w:t>
            </w:r>
          </w:p>
        </w:tc>
        <w:tc>
          <w:tcPr>
            <w:tcW w:w="658" w:type="pct"/>
            <w:vAlign w:val="center"/>
          </w:tcPr>
          <w:p w14:paraId="6BA68A38">
            <w:pPr>
              <w:topLinePunct/>
              <w:spacing w:line="0" w:lineRule="atLeast"/>
              <w:jc w:val="center"/>
              <w:rPr>
                <w:rFonts w:hint="eastAsia" w:ascii="宋体" w:hAnsi="宋体"/>
                <w:color w:val="000000" w:themeColor="text1"/>
                <w:spacing w:val="-10"/>
                <w:kern w:val="21"/>
                <w:szCs w:val="21"/>
                <w14:textFill>
                  <w14:solidFill>
                    <w14:schemeClr w14:val="tx1"/>
                  </w14:solidFill>
                </w14:textFill>
              </w:rPr>
            </w:pPr>
            <w:r>
              <w:rPr>
                <w:rFonts w:hint="eastAsia" w:ascii="宋体" w:hAnsi="宋体"/>
                <w:color w:val="000000" w:themeColor="text1"/>
                <w:spacing w:val="-10"/>
                <w:kern w:val="21"/>
                <w:szCs w:val="21"/>
                <w14:textFill>
                  <w14:solidFill>
                    <w14:schemeClr w14:val="tx1"/>
                  </w14:solidFill>
                </w14:textFill>
              </w:rPr>
              <w:t>22.6</w:t>
            </w:r>
          </w:p>
        </w:tc>
        <w:tc>
          <w:tcPr>
            <w:tcW w:w="710" w:type="pct"/>
            <w:vAlign w:val="center"/>
          </w:tcPr>
          <w:p w14:paraId="6F117037">
            <w:pPr>
              <w:topLinePunct/>
              <w:spacing w:line="0" w:lineRule="atLeast"/>
              <w:jc w:val="center"/>
              <w:rPr>
                <w:rFonts w:hint="eastAsia" w:ascii="宋体" w:hAnsi="宋体"/>
                <w:color w:val="000000" w:themeColor="text1"/>
                <w:spacing w:val="-10"/>
                <w:kern w:val="21"/>
                <w:szCs w:val="21"/>
                <w14:textFill>
                  <w14:solidFill>
                    <w14:schemeClr w14:val="tx1"/>
                  </w14:solidFill>
                </w14:textFill>
              </w:rPr>
            </w:pPr>
            <w:r>
              <w:rPr>
                <w:rFonts w:hint="eastAsia" w:ascii="宋体" w:hAnsi="宋体"/>
                <w:color w:val="000000" w:themeColor="text1"/>
                <w:spacing w:val="-10"/>
                <w:szCs w:val="21"/>
                <w14:textFill>
                  <w14:solidFill>
                    <w14:schemeClr w14:val="tx1"/>
                  </w14:solidFill>
                </w14:textFill>
              </w:rPr>
              <w:t>40</w:t>
            </w:r>
          </w:p>
        </w:tc>
        <w:tc>
          <w:tcPr>
            <w:tcW w:w="573" w:type="pct"/>
            <w:vAlign w:val="center"/>
          </w:tcPr>
          <w:p w14:paraId="0B0AE126">
            <w:pPr>
              <w:topLinePunct/>
              <w:spacing w:line="0" w:lineRule="atLeast"/>
              <w:jc w:val="center"/>
              <w:rPr>
                <w:rFonts w:hint="eastAsia" w:ascii="宋体" w:hAnsi="宋体"/>
                <w:color w:val="000000" w:themeColor="text1"/>
                <w:spacing w:val="-10"/>
                <w:szCs w:val="21"/>
                <w14:textFill>
                  <w14:solidFill>
                    <w14:schemeClr w14:val="tx1"/>
                  </w14:solidFill>
                </w14:textFill>
              </w:rPr>
            </w:pPr>
            <w:r>
              <w:rPr>
                <w:rFonts w:hint="eastAsia" w:ascii="宋体" w:hAnsi="宋体"/>
                <w:color w:val="000000" w:themeColor="text1"/>
                <w:spacing w:val="-10"/>
                <w:szCs w:val="21"/>
                <w14:textFill>
                  <w14:solidFill>
                    <w14:schemeClr w14:val="tx1"/>
                  </w14:solidFill>
                </w14:textFill>
              </w:rPr>
              <w:t>56.5</w:t>
            </w:r>
          </w:p>
        </w:tc>
        <w:tc>
          <w:tcPr>
            <w:tcW w:w="389" w:type="pct"/>
            <w:vAlign w:val="center"/>
          </w:tcPr>
          <w:p w14:paraId="3B6C2953">
            <w:pPr>
              <w:topLinePunct/>
              <w:spacing w:line="0" w:lineRule="atLeast"/>
              <w:jc w:val="center"/>
              <w:rPr>
                <w:rFonts w:hint="eastAsia" w:ascii="宋体" w:hAnsi="宋体"/>
                <w:color w:val="000000" w:themeColor="text1"/>
                <w:spacing w:val="-10"/>
                <w:kern w:val="21"/>
                <w:szCs w:val="21"/>
                <w14:textFill>
                  <w14:solidFill>
                    <w14:schemeClr w14:val="tx1"/>
                  </w14:solidFill>
                </w14:textFill>
              </w:rPr>
            </w:pPr>
            <w:r>
              <w:rPr>
                <w:rFonts w:hint="eastAsia" w:ascii="宋体" w:hAnsi="宋体"/>
                <w:color w:val="000000" w:themeColor="text1"/>
                <w:spacing w:val="-10"/>
                <w:szCs w:val="21"/>
                <w14:textFill>
                  <w14:solidFill>
                    <w14:schemeClr w14:val="tx1"/>
                  </w14:solidFill>
                </w14:textFill>
              </w:rPr>
              <w:t>达标</w:t>
            </w:r>
          </w:p>
        </w:tc>
      </w:tr>
      <w:tr w14:paraId="3659506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1" w:hRule="atLeast"/>
          <w:jc w:val="center"/>
        </w:trPr>
        <w:tc>
          <w:tcPr>
            <w:tcW w:w="416" w:type="pct"/>
            <w:vMerge w:val="continue"/>
            <w:vAlign w:val="center"/>
          </w:tcPr>
          <w:p w14:paraId="4C9D8121">
            <w:pPr>
              <w:widowControl/>
              <w:jc w:val="center"/>
              <w:rPr>
                <w:rFonts w:hint="eastAsia" w:ascii="宋体" w:hAnsi="宋体"/>
                <w:color w:val="000000" w:themeColor="text1"/>
                <w:spacing w:val="-10"/>
                <w:kern w:val="21"/>
                <w:szCs w:val="21"/>
                <w14:textFill>
                  <w14:solidFill>
                    <w14:schemeClr w14:val="tx1"/>
                  </w14:solidFill>
                </w14:textFill>
              </w:rPr>
            </w:pPr>
          </w:p>
        </w:tc>
        <w:tc>
          <w:tcPr>
            <w:tcW w:w="473" w:type="pct"/>
            <w:vMerge w:val="continue"/>
            <w:vAlign w:val="center"/>
          </w:tcPr>
          <w:p w14:paraId="516F9A11">
            <w:pPr>
              <w:widowControl/>
              <w:jc w:val="center"/>
              <w:rPr>
                <w:rFonts w:hint="eastAsia" w:ascii="宋体" w:hAnsi="宋体"/>
                <w:color w:val="000000" w:themeColor="text1"/>
                <w:spacing w:val="-10"/>
                <w:kern w:val="21"/>
                <w:szCs w:val="21"/>
                <w14:textFill>
                  <w14:solidFill>
                    <w14:schemeClr w14:val="tx1"/>
                  </w14:solidFill>
                </w14:textFill>
              </w:rPr>
            </w:pPr>
          </w:p>
        </w:tc>
        <w:tc>
          <w:tcPr>
            <w:tcW w:w="1781" w:type="pct"/>
            <w:vAlign w:val="center"/>
          </w:tcPr>
          <w:p w14:paraId="4176582A">
            <w:pPr>
              <w:topLinePunct/>
              <w:spacing w:line="0" w:lineRule="atLeast"/>
              <w:jc w:val="center"/>
              <w:rPr>
                <w:rFonts w:hint="eastAsia" w:ascii="宋体" w:hAnsi="宋体"/>
                <w:color w:val="000000" w:themeColor="text1"/>
                <w:spacing w:val="-10"/>
                <w:szCs w:val="21"/>
                <w14:textFill>
                  <w14:solidFill>
                    <w14:schemeClr w14:val="tx1"/>
                  </w14:solidFill>
                </w14:textFill>
              </w:rPr>
            </w:pPr>
            <w:r>
              <w:rPr>
                <w:rFonts w:hint="eastAsia" w:ascii="宋体" w:hAnsi="宋体"/>
                <w:color w:val="000000" w:themeColor="text1"/>
                <w:spacing w:val="-10"/>
                <w:szCs w:val="21"/>
                <w14:textFill>
                  <w14:solidFill>
                    <w14:schemeClr w14:val="tx1"/>
                  </w14:solidFill>
                </w14:textFill>
              </w:rPr>
              <w:t>日平均第98百分位数</w:t>
            </w:r>
          </w:p>
        </w:tc>
        <w:tc>
          <w:tcPr>
            <w:tcW w:w="658" w:type="pct"/>
            <w:vAlign w:val="center"/>
          </w:tcPr>
          <w:p w14:paraId="742122DD">
            <w:pPr>
              <w:topLinePunct/>
              <w:spacing w:line="0" w:lineRule="atLeast"/>
              <w:jc w:val="center"/>
              <w:rPr>
                <w:rFonts w:hint="eastAsia" w:ascii="宋体" w:hAnsi="宋体"/>
                <w:color w:val="000000" w:themeColor="text1"/>
                <w:spacing w:val="-10"/>
                <w:szCs w:val="21"/>
                <w14:textFill>
                  <w14:solidFill>
                    <w14:schemeClr w14:val="tx1"/>
                  </w14:solidFill>
                </w14:textFill>
              </w:rPr>
            </w:pPr>
            <w:r>
              <w:rPr>
                <w:rFonts w:hint="eastAsia" w:ascii="宋体" w:hAnsi="宋体"/>
                <w:color w:val="000000" w:themeColor="text1"/>
                <w:spacing w:val="-10"/>
                <w:szCs w:val="21"/>
                <w14:textFill>
                  <w14:solidFill>
                    <w14:schemeClr w14:val="tx1"/>
                  </w14:solidFill>
                </w14:textFill>
              </w:rPr>
              <w:t>64</w:t>
            </w:r>
          </w:p>
        </w:tc>
        <w:tc>
          <w:tcPr>
            <w:tcW w:w="710" w:type="pct"/>
            <w:vAlign w:val="center"/>
          </w:tcPr>
          <w:p w14:paraId="36436FCC">
            <w:pPr>
              <w:topLinePunct/>
              <w:spacing w:line="0" w:lineRule="atLeast"/>
              <w:jc w:val="center"/>
              <w:rPr>
                <w:rFonts w:hint="eastAsia" w:ascii="宋体" w:hAnsi="宋体"/>
                <w:color w:val="000000" w:themeColor="text1"/>
                <w:spacing w:val="-10"/>
                <w:szCs w:val="21"/>
                <w14:textFill>
                  <w14:solidFill>
                    <w14:schemeClr w14:val="tx1"/>
                  </w14:solidFill>
                </w14:textFill>
              </w:rPr>
            </w:pPr>
            <w:r>
              <w:rPr>
                <w:rFonts w:hint="eastAsia" w:ascii="宋体" w:hAnsi="宋体"/>
                <w:color w:val="000000" w:themeColor="text1"/>
                <w:spacing w:val="-10"/>
                <w:szCs w:val="21"/>
                <w14:textFill>
                  <w14:solidFill>
                    <w14:schemeClr w14:val="tx1"/>
                  </w14:solidFill>
                </w14:textFill>
              </w:rPr>
              <w:t>80</w:t>
            </w:r>
          </w:p>
        </w:tc>
        <w:tc>
          <w:tcPr>
            <w:tcW w:w="573" w:type="pct"/>
            <w:vAlign w:val="center"/>
          </w:tcPr>
          <w:p w14:paraId="5424B428">
            <w:pPr>
              <w:topLinePunct/>
              <w:spacing w:line="0" w:lineRule="atLeast"/>
              <w:jc w:val="center"/>
              <w:rPr>
                <w:rFonts w:hint="eastAsia" w:ascii="宋体" w:hAnsi="宋体"/>
                <w:color w:val="000000" w:themeColor="text1"/>
                <w:spacing w:val="-10"/>
                <w:szCs w:val="21"/>
                <w14:textFill>
                  <w14:solidFill>
                    <w14:schemeClr w14:val="tx1"/>
                  </w14:solidFill>
                </w14:textFill>
              </w:rPr>
            </w:pPr>
            <w:r>
              <w:rPr>
                <w:rFonts w:hint="eastAsia" w:ascii="宋体" w:hAnsi="宋体"/>
                <w:color w:val="000000" w:themeColor="text1"/>
                <w:spacing w:val="-10"/>
                <w:szCs w:val="21"/>
                <w14:textFill>
                  <w14:solidFill>
                    <w14:schemeClr w14:val="tx1"/>
                  </w14:solidFill>
                </w14:textFill>
              </w:rPr>
              <w:t>80.0</w:t>
            </w:r>
          </w:p>
        </w:tc>
        <w:tc>
          <w:tcPr>
            <w:tcW w:w="389" w:type="pct"/>
            <w:vAlign w:val="center"/>
          </w:tcPr>
          <w:p w14:paraId="1F205493">
            <w:pPr>
              <w:topLinePunct/>
              <w:spacing w:line="0" w:lineRule="atLeast"/>
              <w:jc w:val="center"/>
              <w:rPr>
                <w:rFonts w:hint="eastAsia" w:ascii="宋体" w:hAnsi="宋体"/>
                <w:color w:val="000000" w:themeColor="text1"/>
                <w:spacing w:val="-10"/>
                <w:szCs w:val="21"/>
                <w14:textFill>
                  <w14:solidFill>
                    <w14:schemeClr w14:val="tx1"/>
                  </w14:solidFill>
                </w14:textFill>
              </w:rPr>
            </w:pPr>
            <w:r>
              <w:rPr>
                <w:rFonts w:hint="eastAsia" w:ascii="宋体" w:hAnsi="宋体"/>
                <w:color w:val="000000" w:themeColor="text1"/>
                <w:spacing w:val="-10"/>
                <w:szCs w:val="21"/>
                <w14:textFill>
                  <w14:solidFill>
                    <w14:schemeClr w14:val="tx1"/>
                  </w14:solidFill>
                </w14:textFill>
              </w:rPr>
              <w:t>达标</w:t>
            </w:r>
          </w:p>
        </w:tc>
      </w:tr>
      <w:tr w14:paraId="7C50845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1" w:hRule="atLeast"/>
          <w:jc w:val="center"/>
        </w:trPr>
        <w:tc>
          <w:tcPr>
            <w:tcW w:w="416" w:type="pct"/>
            <w:vMerge w:val="continue"/>
            <w:vAlign w:val="center"/>
          </w:tcPr>
          <w:p w14:paraId="1B6EB127">
            <w:pPr>
              <w:widowControl/>
              <w:jc w:val="center"/>
              <w:rPr>
                <w:rFonts w:hint="eastAsia" w:ascii="宋体" w:hAnsi="宋体"/>
                <w:color w:val="000000" w:themeColor="text1"/>
                <w:spacing w:val="-10"/>
                <w:kern w:val="21"/>
                <w:szCs w:val="21"/>
                <w14:textFill>
                  <w14:solidFill>
                    <w14:schemeClr w14:val="tx1"/>
                  </w14:solidFill>
                </w14:textFill>
              </w:rPr>
            </w:pPr>
          </w:p>
        </w:tc>
        <w:tc>
          <w:tcPr>
            <w:tcW w:w="473" w:type="pct"/>
            <w:vAlign w:val="center"/>
          </w:tcPr>
          <w:p w14:paraId="008ED2F4">
            <w:pPr>
              <w:topLinePunct/>
              <w:spacing w:line="0" w:lineRule="atLeast"/>
              <w:jc w:val="center"/>
              <w:rPr>
                <w:rFonts w:hint="eastAsia" w:ascii="宋体" w:hAnsi="宋体"/>
                <w:color w:val="000000" w:themeColor="text1"/>
                <w:spacing w:val="-10"/>
                <w:kern w:val="21"/>
                <w:szCs w:val="21"/>
                <w14:textFill>
                  <w14:solidFill>
                    <w14:schemeClr w14:val="tx1"/>
                  </w14:solidFill>
                </w14:textFill>
              </w:rPr>
            </w:pPr>
            <w:r>
              <w:rPr>
                <w:rFonts w:hint="eastAsia" w:ascii="宋体" w:hAnsi="宋体"/>
                <w:color w:val="000000" w:themeColor="text1"/>
                <w:spacing w:val="-10"/>
                <w:szCs w:val="21"/>
                <w14:textFill>
                  <w14:solidFill>
                    <w14:schemeClr w14:val="tx1"/>
                  </w14:solidFill>
                </w14:textFill>
              </w:rPr>
              <w:t>CO</w:t>
            </w:r>
          </w:p>
        </w:tc>
        <w:tc>
          <w:tcPr>
            <w:tcW w:w="1781" w:type="pct"/>
            <w:vAlign w:val="center"/>
          </w:tcPr>
          <w:p w14:paraId="023F8D72">
            <w:pPr>
              <w:topLinePunct/>
              <w:spacing w:line="0" w:lineRule="atLeast"/>
              <w:jc w:val="center"/>
              <w:rPr>
                <w:rFonts w:hint="eastAsia" w:ascii="宋体" w:hAnsi="宋体"/>
                <w:color w:val="000000" w:themeColor="text1"/>
                <w:spacing w:val="-10"/>
                <w:kern w:val="21"/>
                <w:szCs w:val="21"/>
                <w14:textFill>
                  <w14:solidFill>
                    <w14:schemeClr w14:val="tx1"/>
                  </w14:solidFill>
                </w14:textFill>
              </w:rPr>
            </w:pPr>
            <w:r>
              <w:rPr>
                <w:rFonts w:hint="eastAsia" w:ascii="宋体" w:hAnsi="宋体"/>
                <w:color w:val="000000" w:themeColor="text1"/>
                <w:spacing w:val="-10"/>
                <w:szCs w:val="21"/>
                <w14:textFill>
                  <w14:solidFill>
                    <w14:schemeClr w14:val="tx1"/>
                  </w14:solidFill>
                </w14:textFill>
              </w:rPr>
              <w:t>24小时平均第95百分位数值</w:t>
            </w:r>
          </w:p>
        </w:tc>
        <w:tc>
          <w:tcPr>
            <w:tcW w:w="658" w:type="pct"/>
            <w:vAlign w:val="center"/>
          </w:tcPr>
          <w:p w14:paraId="5B2207BC">
            <w:pPr>
              <w:topLinePunct/>
              <w:spacing w:line="0" w:lineRule="atLeast"/>
              <w:jc w:val="center"/>
              <w:rPr>
                <w:rFonts w:hint="eastAsia" w:ascii="宋体" w:hAnsi="宋体"/>
                <w:color w:val="000000" w:themeColor="text1"/>
                <w:spacing w:val="-10"/>
                <w:kern w:val="21"/>
                <w:szCs w:val="21"/>
                <w14:textFill>
                  <w14:solidFill>
                    <w14:schemeClr w14:val="tx1"/>
                  </w14:solidFill>
                </w14:textFill>
              </w:rPr>
            </w:pPr>
            <w:r>
              <w:rPr>
                <w:rFonts w:hint="eastAsia" w:ascii="宋体" w:hAnsi="宋体"/>
                <w:color w:val="000000" w:themeColor="text1"/>
                <w:spacing w:val="-10"/>
                <w:kern w:val="21"/>
                <w:szCs w:val="21"/>
                <w14:textFill>
                  <w14:solidFill>
                    <w14:schemeClr w14:val="tx1"/>
                  </w14:solidFill>
                </w14:textFill>
              </w:rPr>
              <w:t>1800</w:t>
            </w:r>
          </w:p>
        </w:tc>
        <w:tc>
          <w:tcPr>
            <w:tcW w:w="710" w:type="pct"/>
            <w:vAlign w:val="center"/>
          </w:tcPr>
          <w:p w14:paraId="438F9AE9">
            <w:pPr>
              <w:topLinePunct/>
              <w:spacing w:line="0" w:lineRule="atLeast"/>
              <w:jc w:val="center"/>
              <w:rPr>
                <w:rFonts w:hint="eastAsia" w:ascii="宋体" w:hAnsi="宋体"/>
                <w:color w:val="000000" w:themeColor="text1"/>
                <w:spacing w:val="-10"/>
                <w:kern w:val="21"/>
                <w:szCs w:val="21"/>
                <w14:textFill>
                  <w14:solidFill>
                    <w14:schemeClr w14:val="tx1"/>
                  </w14:solidFill>
                </w14:textFill>
              </w:rPr>
            </w:pPr>
            <w:r>
              <w:rPr>
                <w:rFonts w:hint="eastAsia" w:ascii="宋体" w:hAnsi="宋体"/>
                <w:color w:val="000000" w:themeColor="text1"/>
                <w:spacing w:val="-10"/>
                <w:szCs w:val="21"/>
                <w14:textFill>
                  <w14:solidFill>
                    <w14:schemeClr w14:val="tx1"/>
                  </w14:solidFill>
                </w14:textFill>
              </w:rPr>
              <w:t>4000</w:t>
            </w:r>
          </w:p>
        </w:tc>
        <w:tc>
          <w:tcPr>
            <w:tcW w:w="573" w:type="pct"/>
            <w:vAlign w:val="center"/>
          </w:tcPr>
          <w:p w14:paraId="7736C58B">
            <w:pPr>
              <w:topLinePunct/>
              <w:spacing w:line="0" w:lineRule="atLeast"/>
              <w:jc w:val="center"/>
              <w:rPr>
                <w:rFonts w:hint="eastAsia" w:ascii="宋体" w:hAnsi="宋体"/>
                <w:color w:val="000000" w:themeColor="text1"/>
                <w:spacing w:val="-10"/>
                <w:szCs w:val="21"/>
                <w14:textFill>
                  <w14:solidFill>
                    <w14:schemeClr w14:val="tx1"/>
                  </w14:solidFill>
                </w14:textFill>
              </w:rPr>
            </w:pPr>
            <w:r>
              <w:rPr>
                <w:rFonts w:hint="eastAsia" w:ascii="宋体" w:hAnsi="宋体"/>
                <w:color w:val="000000" w:themeColor="text1"/>
                <w:spacing w:val="-10"/>
                <w:szCs w:val="21"/>
                <w14:textFill>
                  <w14:solidFill>
                    <w14:schemeClr w14:val="tx1"/>
                  </w14:solidFill>
                </w14:textFill>
              </w:rPr>
              <w:t>45.0</w:t>
            </w:r>
          </w:p>
        </w:tc>
        <w:tc>
          <w:tcPr>
            <w:tcW w:w="389" w:type="pct"/>
            <w:vAlign w:val="center"/>
          </w:tcPr>
          <w:p w14:paraId="0B454ABA">
            <w:pPr>
              <w:topLinePunct/>
              <w:spacing w:line="0" w:lineRule="atLeast"/>
              <w:jc w:val="center"/>
              <w:rPr>
                <w:rFonts w:hint="eastAsia" w:ascii="宋体" w:hAnsi="宋体"/>
                <w:color w:val="000000" w:themeColor="text1"/>
                <w:spacing w:val="-10"/>
                <w:kern w:val="21"/>
                <w:szCs w:val="21"/>
                <w14:textFill>
                  <w14:solidFill>
                    <w14:schemeClr w14:val="tx1"/>
                  </w14:solidFill>
                </w14:textFill>
              </w:rPr>
            </w:pPr>
            <w:r>
              <w:rPr>
                <w:rFonts w:hint="eastAsia" w:ascii="宋体" w:hAnsi="宋体"/>
                <w:color w:val="000000" w:themeColor="text1"/>
                <w:spacing w:val="-10"/>
                <w:szCs w:val="21"/>
                <w14:textFill>
                  <w14:solidFill>
                    <w14:schemeClr w14:val="tx1"/>
                  </w14:solidFill>
                </w14:textFill>
              </w:rPr>
              <w:t>达标</w:t>
            </w:r>
          </w:p>
        </w:tc>
      </w:tr>
      <w:tr w14:paraId="04C3200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623" w:hRule="atLeast"/>
          <w:jc w:val="center"/>
        </w:trPr>
        <w:tc>
          <w:tcPr>
            <w:tcW w:w="416" w:type="pct"/>
            <w:vMerge w:val="continue"/>
            <w:vAlign w:val="center"/>
          </w:tcPr>
          <w:p w14:paraId="37F184A6">
            <w:pPr>
              <w:widowControl/>
              <w:jc w:val="center"/>
              <w:rPr>
                <w:rFonts w:hint="eastAsia" w:ascii="宋体" w:hAnsi="宋体"/>
                <w:color w:val="000000" w:themeColor="text1"/>
                <w:spacing w:val="-10"/>
                <w:kern w:val="21"/>
                <w:szCs w:val="21"/>
                <w14:textFill>
                  <w14:solidFill>
                    <w14:schemeClr w14:val="tx1"/>
                  </w14:solidFill>
                </w14:textFill>
              </w:rPr>
            </w:pPr>
          </w:p>
        </w:tc>
        <w:tc>
          <w:tcPr>
            <w:tcW w:w="473" w:type="pct"/>
            <w:vAlign w:val="center"/>
          </w:tcPr>
          <w:p w14:paraId="477AB124">
            <w:pPr>
              <w:topLinePunct/>
              <w:spacing w:line="0" w:lineRule="atLeast"/>
              <w:jc w:val="center"/>
              <w:rPr>
                <w:rFonts w:hint="eastAsia" w:ascii="宋体" w:hAnsi="宋体"/>
                <w:color w:val="000000" w:themeColor="text1"/>
                <w:spacing w:val="-10"/>
                <w:kern w:val="21"/>
                <w:szCs w:val="21"/>
                <w14:textFill>
                  <w14:solidFill>
                    <w14:schemeClr w14:val="tx1"/>
                  </w14:solidFill>
                </w14:textFill>
              </w:rPr>
            </w:pPr>
            <w:r>
              <w:rPr>
                <w:rFonts w:hint="eastAsia" w:ascii="宋体" w:hAnsi="宋体"/>
                <w:color w:val="000000" w:themeColor="text1"/>
                <w:spacing w:val="-10"/>
                <w:szCs w:val="21"/>
                <w14:textFill>
                  <w14:solidFill>
                    <w14:schemeClr w14:val="tx1"/>
                  </w14:solidFill>
                </w14:textFill>
              </w:rPr>
              <w:t>O</w:t>
            </w:r>
            <w:r>
              <w:rPr>
                <w:rFonts w:hint="eastAsia" w:ascii="宋体" w:hAnsi="宋体"/>
                <w:color w:val="000000" w:themeColor="text1"/>
                <w:spacing w:val="-10"/>
                <w:szCs w:val="21"/>
                <w:vertAlign w:val="subscript"/>
                <w14:textFill>
                  <w14:solidFill>
                    <w14:schemeClr w14:val="tx1"/>
                  </w14:solidFill>
                </w14:textFill>
              </w:rPr>
              <w:t>3</w:t>
            </w:r>
          </w:p>
        </w:tc>
        <w:tc>
          <w:tcPr>
            <w:tcW w:w="1781" w:type="pct"/>
            <w:vAlign w:val="center"/>
          </w:tcPr>
          <w:p w14:paraId="48EA8DF1">
            <w:pPr>
              <w:topLinePunct/>
              <w:spacing w:line="0" w:lineRule="atLeast"/>
              <w:jc w:val="center"/>
              <w:rPr>
                <w:rFonts w:hint="eastAsia" w:ascii="宋体" w:hAnsi="宋体"/>
                <w:color w:val="000000" w:themeColor="text1"/>
                <w:spacing w:val="-10"/>
                <w:kern w:val="21"/>
                <w:szCs w:val="21"/>
                <w14:textFill>
                  <w14:solidFill>
                    <w14:schemeClr w14:val="tx1"/>
                  </w14:solidFill>
                </w14:textFill>
              </w:rPr>
            </w:pPr>
            <w:r>
              <w:rPr>
                <w:rFonts w:hint="eastAsia" w:ascii="宋体" w:hAnsi="宋体"/>
                <w:color w:val="000000" w:themeColor="text1"/>
                <w:spacing w:val="-10"/>
                <w:szCs w:val="21"/>
                <w14:textFill>
                  <w14:solidFill>
                    <w14:schemeClr w14:val="tx1"/>
                  </w14:solidFill>
                </w14:textFill>
              </w:rPr>
              <w:t>日最大8小时滑动平均值的第90百分位数值</w:t>
            </w:r>
          </w:p>
        </w:tc>
        <w:tc>
          <w:tcPr>
            <w:tcW w:w="658" w:type="pct"/>
            <w:vAlign w:val="center"/>
          </w:tcPr>
          <w:p w14:paraId="6954248D">
            <w:pPr>
              <w:topLinePunct/>
              <w:spacing w:line="0" w:lineRule="atLeast"/>
              <w:jc w:val="center"/>
              <w:rPr>
                <w:rFonts w:hint="eastAsia" w:ascii="宋体" w:hAnsi="宋体"/>
                <w:color w:val="000000" w:themeColor="text1"/>
                <w:spacing w:val="-10"/>
                <w:kern w:val="21"/>
                <w:szCs w:val="21"/>
                <w14:textFill>
                  <w14:solidFill>
                    <w14:schemeClr w14:val="tx1"/>
                  </w14:solidFill>
                </w14:textFill>
              </w:rPr>
            </w:pPr>
            <w:r>
              <w:rPr>
                <w:rFonts w:hint="eastAsia" w:ascii="宋体" w:hAnsi="宋体"/>
                <w:color w:val="000000" w:themeColor="text1"/>
                <w:spacing w:val="-10"/>
                <w:kern w:val="21"/>
                <w:szCs w:val="21"/>
                <w14:textFill>
                  <w14:solidFill>
                    <w14:schemeClr w14:val="tx1"/>
                  </w14:solidFill>
                </w14:textFill>
              </w:rPr>
              <w:t>116</w:t>
            </w:r>
          </w:p>
        </w:tc>
        <w:tc>
          <w:tcPr>
            <w:tcW w:w="710" w:type="pct"/>
            <w:vAlign w:val="center"/>
          </w:tcPr>
          <w:p w14:paraId="5C0B126F">
            <w:pPr>
              <w:topLinePunct/>
              <w:spacing w:line="0" w:lineRule="atLeast"/>
              <w:jc w:val="center"/>
              <w:rPr>
                <w:rFonts w:hint="eastAsia" w:ascii="宋体" w:hAnsi="宋体"/>
                <w:color w:val="000000" w:themeColor="text1"/>
                <w:spacing w:val="-10"/>
                <w:kern w:val="21"/>
                <w:szCs w:val="21"/>
                <w14:textFill>
                  <w14:solidFill>
                    <w14:schemeClr w14:val="tx1"/>
                  </w14:solidFill>
                </w14:textFill>
              </w:rPr>
            </w:pPr>
            <w:r>
              <w:rPr>
                <w:rFonts w:hint="eastAsia" w:ascii="宋体" w:hAnsi="宋体"/>
                <w:color w:val="000000" w:themeColor="text1"/>
                <w:spacing w:val="-10"/>
                <w:szCs w:val="21"/>
                <w14:textFill>
                  <w14:solidFill>
                    <w14:schemeClr w14:val="tx1"/>
                  </w14:solidFill>
                </w14:textFill>
              </w:rPr>
              <w:t>160</w:t>
            </w:r>
          </w:p>
        </w:tc>
        <w:tc>
          <w:tcPr>
            <w:tcW w:w="573" w:type="pct"/>
            <w:vAlign w:val="center"/>
          </w:tcPr>
          <w:p w14:paraId="2FCF04AA">
            <w:pPr>
              <w:topLinePunct/>
              <w:spacing w:line="0" w:lineRule="atLeast"/>
              <w:jc w:val="center"/>
              <w:rPr>
                <w:rFonts w:hint="eastAsia" w:ascii="宋体" w:hAnsi="宋体"/>
                <w:color w:val="000000" w:themeColor="text1"/>
                <w:spacing w:val="-10"/>
                <w:szCs w:val="21"/>
                <w14:textFill>
                  <w14:solidFill>
                    <w14:schemeClr w14:val="tx1"/>
                  </w14:solidFill>
                </w14:textFill>
              </w:rPr>
            </w:pPr>
            <w:r>
              <w:rPr>
                <w:rFonts w:hint="eastAsia" w:ascii="宋体" w:hAnsi="宋体"/>
                <w:color w:val="000000" w:themeColor="text1"/>
                <w:spacing w:val="-10"/>
                <w:szCs w:val="21"/>
                <w14:textFill>
                  <w14:solidFill>
                    <w14:schemeClr w14:val="tx1"/>
                  </w14:solidFill>
                </w14:textFill>
              </w:rPr>
              <w:t>72.5</w:t>
            </w:r>
          </w:p>
        </w:tc>
        <w:tc>
          <w:tcPr>
            <w:tcW w:w="389" w:type="pct"/>
            <w:vAlign w:val="center"/>
          </w:tcPr>
          <w:p w14:paraId="33F2CD84">
            <w:pPr>
              <w:topLinePunct/>
              <w:spacing w:line="0" w:lineRule="atLeast"/>
              <w:jc w:val="center"/>
              <w:rPr>
                <w:rFonts w:hint="eastAsia" w:ascii="宋体" w:hAnsi="宋体"/>
                <w:color w:val="000000" w:themeColor="text1"/>
                <w:spacing w:val="-10"/>
                <w:kern w:val="21"/>
                <w:szCs w:val="21"/>
                <w14:textFill>
                  <w14:solidFill>
                    <w14:schemeClr w14:val="tx1"/>
                  </w14:solidFill>
                </w14:textFill>
              </w:rPr>
            </w:pPr>
            <w:r>
              <w:rPr>
                <w:rFonts w:hint="eastAsia" w:ascii="宋体" w:hAnsi="宋体"/>
                <w:color w:val="000000" w:themeColor="text1"/>
                <w:spacing w:val="-10"/>
                <w:szCs w:val="21"/>
                <w14:textFill>
                  <w14:solidFill>
                    <w14:schemeClr w14:val="tx1"/>
                  </w14:solidFill>
                </w14:textFill>
              </w:rPr>
              <w:t>达标</w:t>
            </w:r>
          </w:p>
        </w:tc>
      </w:tr>
      <w:bookmarkEnd w:id="385"/>
    </w:tbl>
    <w:p w14:paraId="4CB0E65D">
      <w:pPr>
        <w:pStyle w:val="117"/>
        <w:spacing w:line="480" w:lineRule="exact"/>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（2）特征污染因子环境质量现状评价</w:t>
      </w:r>
    </w:p>
    <w:p w14:paraId="3982699C">
      <w:pPr>
        <w:pStyle w:val="117"/>
        <w:spacing w:line="480" w:lineRule="exact"/>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①监测因子及监测点位</w:t>
      </w:r>
    </w:p>
    <w:p w14:paraId="5B1A47C2">
      <w:pPr>
        <w:pStyle w:val="117"/>
        <w:spacing w:line="480" w:lineRule="exact"/>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监测因子：非甲烷总烃、硫化氢。</w:t>
      </w:r>
    </w:p>
    <w:p w14:paraId="1A3FBF43">
      <w:pPr>
        <w:pStyle w:val="117"/>
        <w:spacing w:line="480" w:lineRule="exact"/>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监测点位：本次在评价范围内布设2个大气环境监测点，监测点坐标见表4.3-2和图4.3-1。</w:t>
      </w:r>
    </w:p>
    <w:p w14:paraId="1A992264">
      <w:pPr>
        <w:spacing w:line="500" w:lineRule="exact"/>
        <w:jc w:val="center"/>
        <w:rPr>
          <w:rFonts w:hint="eastAsia" w:ascii="黑体" w:hAnsi="黑体" w:eastAsia="黑体"/>
          <w:bCs/>
          <w:color w:val="000000" w:themeColor="text1"/>
          <w:szCs w:val="21"/>
          <w14:textFill>
            <w14:solidFill>
              <w14:schemeClr w14:val="tx1"/>
            </w14:solidFill>
          </w14:textFill>
        </w:rPr>
      </w:pPr>
      <w:r>
        <w:rPr>
          <w:rFonts w:hint="eastAsia" w:ascii="黑体" w:hAnsi="黑体" w:eastAsia="黑体"/>
          <w:bCs/>
          <w:color w:val="000000" w:themeColor="text1"/>
          <w:szCs w:val="21"/>
          <w14:textFill>
            <w14:solidFill>
              <w14:schemeClr w14:val="tx1"/>
            </w14:solidFill>
          </w14:textFill>
        </w:rPr>
        <w:t>表</w:t>
      </w:r>
      <w:r>
        <w:rPr>
          <w:rFonts w:ascii="黑体" w:hAnsi="黑体" w:eastAsia="黑体"/>
          <w:bCs/>
          <w:color w:val="000000" w:themeColor="text1"/>
          <w:szCs w:val="21"/>
          <w14:textFill>
            <w14:solidFill>
              <w14:schemeClr w14:val="tx1"/>
            </w14:solidFill>
          </w14:textFill>
        </w:rPr>
        <w:t xml:space="preserve">4.3-2  </w:t>
      </w:r>
      <w:r>
        <w:rPr>
          <w:rFonts w:hint="eastAsia" w:ascii="黑体" w:hAnsi="黑体" w:eastAsia="黑体"/>
          <w:bCs/>
          <w:color w:val="000000" w:themeColor="text1"/>
          <w:szCs w:val="21"/>
          <w14:textFill>
            <w14:solidFill>
              <w14:schemeClr w14:val="tx1"/>
            </w14:solidFill>
          </w14:textFill>
        </w:rPr>
        <w:t>大气监测点坐标一览表</w:t>
      </w:r>
    </w:p>
    <w:tbl>
      <w:tblPr>
        <w:tblStyle w:val="51"/>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66"/>
        <w:gridCol w:w="3968"/>
        <w:gridCol w:w="2136"/>
        <w:gridCol w:w="2076"/>
      </w:tblGrid>
      <w:tr w14:paraId="19639AD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28" w:type="pct"/>
            <w:vMerge w:val="restart"/>
            <w:vAlign w:val="center"/>
          </w:tcPr>
          <w:p w14:paraId="7FC920E1">
            <w:pPr>
              <w:pStyle w:val="286"/>
              <w:adjustRightInd w:val="0"/>
              <w:snapToGrid w:val="0"/>
              <w:spacing w:line="300" w:lineRule="exact"/>
              <w:rPr>
                <w:rFonts w:hint="eastAsia"/>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序号</w:t>
            </w:r>
          </w:p>
        </w:tc>
        <w:tc>
          <w:tcPr>
            <w:tcW w:w="2218" w:type="pct"/>
            <w:vMerge w:val="restart"/>
            <w:vAlign w:val="center"/>
          </w:tcPr>
          <w:p w14:paraId="61FF4DAC">
            <w:pPr>
              <w:pStyle w:val="286"/>
              <w:adjustRightInd w:val="0"/>
              <w:snapToGrid w:val="0"/>
              <w:spacing w:line="300" w:lineRule="exact"/>
              <w:rPr>
                <w:rFonts w:hint="eastAsia"/>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监测点描述</w:t>
            </w:r>
          </w:p>
        </w:tc>
        <w:tc>
          <w:tcPr>
            <w:tcW w:w="2354" w:type="pct"/>
            <w:gridSpan w:val="2"/>
            <w:vAlign w:val="center"/>
          </w:tcPr>
          <w:p w14:paraId="1A53BC18">
            <w:pPr>
              <w:pStyle w:val="286"/>
              <w:adjustRightInd w:val="0"/>
              <w:snapToGrid w:val="0"/>
              <w:spacing w:line="300" w:lineRule="exact"/>
              <w:rPr>
                <w:rFonts w:hint="eastAsia" w:cs="宋体"/>
                <w:color w:val="000000" w:themeColor="text1"/>
                <w:sz w:val="21"/>
                <w14:textFill>
                  <w14:solidFill>
                    <w14:schemeClr w14:val="tx1"/>
                  </w14:solidFill>
                </w14:textFill>
              </w:rPr>
            </w:pPr>
            <w:r>
              <w:rPr>
                <w:rFonts w:hint="eastAsia" w:cs="宋体"/>
                <w:color w:val="000000" w:themeColor="text1"/>
                <w:sz w:val="21"/>
                <w14:textFill>
                  <w14:solidFill>
                    <w14:schemeClr w14:val="tx1"/>
                  </w14:solidFill>
                </w14:textFill>
              </w:rPr>
              <w:t>井位坐标</w:t>
            </w:r>
          </w:p>
        </w:tc>
      </w:tr>
      <w:tr w14:paraId="0C4BB90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28" w:type="pct"/>
            <w:vMerge w:val="continue"/>
            <w:vAlign w:val="center"/>
          </w:tcPr>
          <w:p w14:paraId="1D372350">
            <w:pPr>
              <w:pStyle w:val="286"/>
              <w:adjustRightInd w:val="0"/>
              <w:snapToGrid w:val="0"/>
              <w:spacing w:line="300" w:lineRule="exact"/>
              <w:rPr>
                <w:rFonts w:hint="eastAsia"/>
                <w:color w:val="000000" w:themeColor="text1"/>
                <w:sz w:val="21"/>
                <w14:textFill>
                  <w14:solidFill>
                    <w14:schemeClr w14:val="tx1"/>
                  </w14:solidFill>
                </w14:textFill>
              </w:rPr>
            </w:pPr>
          </w:p>
        </w:tc>
        <w:tc>
          <w:tcPr>
            <w:tcW w:w="2218" w:type="pct"/>
            <w:vMerge w:val="continue"/>
            <w:vAlign w:val="center"/>
          </w:tcPr>
          <w:p w14:paraId="6752704E">
            <w:pPr>
              <w:pStyle w:val="286"/>
              <w:adjustRightInd w:val="0"/>
              <w:snapToGrid w:val="0"/>
              <w:spacing w:line="300" w:lineRule="exact"/>
              <w:rPr>
                <w:rFonts w:hint="eastAsia"/>
                <w:color w:val="000000" w:themeColor="text1"/>
                <w:sz w:val="21"/>
                <w14:textFill>
                  <w14:solidFill>
                    <w14:schemeClr w14:val="tx1"/>
                  </w14:solidFill>
                </w14:textFill>
              </w:rPr>
            </w:pPr>
          </w:p>
        </w:tc>
        <w:tc>
          <w:tcPr>
            <w:tcW w:w="1194" w:type="pct"/>
            <w:vAlign w:val="center"/>
          </w:tcPr>
          <w:p w14:paraId="60AB3BAC">
            <w:pPr>
              <w:pStyle w:val="286"/>
              <w:adjustRightInd w:val="0"/>
              <w:snapToGrid w:val="0"/>
              <w:spacing w:line="300" w:lineRule="exact"/>
              <w:rPr>
                <w:rFonts w:hint="eastAsia" w:cs="宋体"/>
                <w:color w:val="000000" w:themeColor="text1"/>
                <w:sz w:val="21"/>
                <w14:textFill>
                  <w14:solidFill>
                    <w14:schemeClr w14:val="tx1"/>
                  </w14:solidFill>
                </w14:textFill>
              </w:rPr>
            </w:pPr>
            <w:r>
              <w:rPr>
                <w:rFonts w:hint="eastAsia" w:cs="宋体"/>
                <w:color w:val="000000" w:themeColor="text1"/>
                <w:sz w:val="21"/>
                <w14:textFill>
                  <w14:solidFill>
                    <w14:schemeClr w14:val="tx1"/>
                  </w14:solidFill>
                </w14:textFill>
              </w:rPr>
              <w:t>N</w:t>
            </w:r>
          </w:p>
        </w:tc>
        <w:tc>
          <w:tcPr>
            <w:tcW w:w="1160" w:type="pct"/>
            <w:vAlign w:val="center"/>
          </w:tcPr>
          <w:p w14:paraId="241D1F6F">
            <w:pPr>
              <w:pStyle w:val="286"/>
              <w:adjustRightInd w:val="0"/>
              <w:snapToGrid w:val="0"/>
              <w:spacing w:line="300" w:lineRule="exact"/>
              <w:rPr>
                <w:rFonts w:hint="eastAsia" w:cs="宋体"/>
                <w:color w:val="000000" w:themeColor="text1"/>
                <w:sz w:val="21"/>
                <w14:textFill>
                  <w14:solidFill>
                    <w14:schemeClr w14:val="tx1"/>
                  </w14:solidFill>
                </w14:textFill>
              </w:rPr>
            </w:pPr>
            <w:r>
              <w:rPr>
                <w:rFonts w:hint="eastAsia" w:cs="宋体"/>
                <w:color w:val="000000" w:themeColor="text1"/>
                <w:sz w:val="21"/>
                <w14:textFill>
                  <w14:solidFill>
                    <w14:schemeClr w14:val="tx1"/>
                  </w14:solidFill>
                </w14:textFill>
              </w:rPr>
              <w:t>E</w:t>
            </w:r>
          </w:p>
        </w:tc>
      </w:tr>
      <w:tr w14:paraId="47A9588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28" w:type="pct"/>
            <w:vAlign w:val="center"/>
          </w:tcPr>
          <w:p w14:paraId="5005CA89">
            <w:pPr>
              <w:pStyle w:val="286"/>
              <w:adjustRightInd w:val="0"/>
              <w:snapToGrid w:val="0"/>
              <w:spacing w:line="300" w:lineRule="exact"/>
              <w:rPr>
                <w:rFonts w:hint="eastAsia"/>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G</w:t>
            </w:r>
            <w:r>
              <w:rPr>
                <w:color w:val="000000" w:themeColor="text1"/>
                <w:sz w:val="21"/>
                <w14:textFill>
                  <w14:solidFill>
                    <w14:schemeClr w14:val="tx1"/>
                  </w14:solidFill>
                </w14:textFill>
              </w:rPr>
              <w:t>1</w:t>
            </w:r>
          </w:p>
        </w:tc>
        <w:tc>
          <w:tcPr>
            <w:tcW w:w="2218" w:type="pct"/>
            <w:vAlign w:val="center"/>
          </w:tcPr>
          <w:p w14:paraId="0937BBD2">
            <w:pPr>
              <w:pStyle w:val="286"/>
              <w:adjustRightInd w:val="0"/>
              <w:snapToGrid w:val="0"/>
              <w:spacing w:line="300" w:lineRule="exact"/>
              <w:rPr>
                <w:rFonts w:hint="eastAsia"/>
                <w:color w:val="000000" w:themeColor="text1"/>
                <w:sz w:val="21"/>
                <w14:textFill>
                  <w14:solidFill>
                    <w14:schemeClr w14:val="tx1"/>
                  </w14:solidFill>
                </w14:textFill>
              </w:rPr>
            </w:pPr>
            <w:r>
              <w:rPr>
                <w:rFonts w:hint="eastAsia"/>
                <w:color w:val="000000" w:themeColor="text1"/>
                <w14:textFill>
                  <w14:solidFill>
                    <w14:schemeClr w14:val="tx1"/>
                  </w14:solidFill>
                </w14:textFill>
              </w:rPr>
              <w:t>项目区下风向2.0km处</w:t>
            </w:r>
          </w:p>
        </w:tc>
        <w:tc>
          <w:tcPr>
            <w:tcW w:w="1194" w:type="pct"/>
            <w:vAlign w:val="center"/>
          </w:tcPr>
          <w:p w14:paraId="3A2D16CB">
            <w:pPr>
              <w:pStyle w:val="286"/>
              <w:adjustRightInd w:val="0"/>
              <w:snapToGrid w:val="0"/>
              <w:spacing w:line="300" w:lineRule="exact"/>
              <w:rPr>
                <w:rFonts w:hint="eastAsia" w:cs="宋体"/>
                <w:color w:val="000000" w:themeColor="text1"/>
                <w:sz w:val="21"/>
                <w14:textFill>
                  <w14:solidFill>
                    <w14:schemeClr w14:val="tx1"/>
                  </w14:solidFill>
                </w14:textFill>
              </w:rPr>
            </w:pPr>
          </w:p>
        </w:tc>
        <w:tc>
          <w:tcPr>
            <w:tcW w:w="1160" w:type="pct"/>
            <w:vAlign w:val="center"/>
          </w:tcPr>
          <w:p w14:paraId="6ED049BA">
            <w:pPr>
              <w:pStyle w:val="286"/>
              <w:adjustRightInd w:val="0"/>
              <w:snapToGrid w:val="0"/>
              <w:spacing w:line="300" w:lineRule="exact"/>
              <w:rPr>
                <w:rFonts w:hint="eastAsia" w:cs="宋体"/>
                <w:color w:val="000000" w:themeColor="text1"/>
                <w:sz w:val="21"/>
                <w14:textFill>
                  <w14:solidFill>
                    <w14:schemeClr w14:val="tx1"/>
                  </w14:solidFill>
                </w14:textFill>
              </w:rPr>
            </w:pPr>
          </w:p>
        </w:tc>
      </w:tr>
      <w:tr w14:paraId="46A71CF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28" w:type="pct"/>
            <w:vAlign w:val="center"/>
          </w:tcPr>
          <w:p w14:paraId="46B746AE">
            <w:pPr>
              <w:pStyle w:val="286"/>
              <w:adjustRightInd w:val="0"/>
              <w:snapToGrid w:val="0"/>
              <w:spacing w:line="300" w:lineRule="exact"/>
              <w:rPr>
                <w:rFonts w:hint="eastAsia"/>
                <w:color w:val="000000" w:themeColor="text1"/>
                <w:sz w:val="21"/>
                <w14:textFill>
                  <w14:solidFill>
                    <w14:schemeClr w14:val="tx1"/>
                  </w14:solidFill>
                </w14:textFill>
              </w:rPr>
            </w:pPr>
            <w:bookmarkStart w:id="387" w:name="_Hlk173753047"/>
            <w:r>
              <w:rPr>
                <w:rFonts w:hint="eastAsia"/>
                <w:color w:val="000000" w:themeColor="text1"/>
                <w:sz w:val="21"/>
                <w14:textFill>
                  <w14:solidFill>
                    <w14:schemeClr w14:val="tx1"/>
                  </w14:solidFill>
                </w14:textFill>
              </w:rPr>
              <w:t>G</w:t>
            </w:r>
            <w:r>
              <w:rPr>
                <w:color w:val="000000" w:themeColor="text1"/>
                <w:sz w:val="21"/>
                <w14:textFill>
                  <w14:solidFill>
                    <w14:schemeClr w14:val="tx1"/>
                  </w14:solidFill>
                </w14:textFill>
              </w:rPr>
              <w:t>2</w:t>
            </w:r>
          </w:p>
        </w:tc>
        <w:tc>
          <w:tcPr>
            <w:tcW w:w="2218" w:type="pct"/>
          </w:tcPr>
          <w:p w14:paraId="001F6E29">
            <w:pPr>
              <w:pStyle w:val="286"/>
              <w:adjustRightInd w:val="0"/>
              <w:snapToGrid w:val="0"/>
              <w:spacing w:line="300" w:lineRule="exact"/>
              <w:rPr>
                <w:rFonts w:hint="eastAsia"/>
                <w:color w:val="000000" w:themeColor="text1"/>
                <w:sz w:val="21"/>
                <w14:textFill>
                  <w14:solidFill>
                    <w14:schemeClr w14:val="tx1"/>
                  </w14:solidFill>
                </w14:textFill>
              </w:rPr>
            </w:pPr>
            <w:r>
              <w:rPr>
                <w:rFonts w:hint="eastAsia"/>
                <w:color w:val="000000" w:themeColor="text1"/>
                <w14:textFill>
                  <w14:solidFill>
                    <w14:schemeClr w14:val="tx1"/>
                  </w14:solidFill>
                </w14:textFill>
              </w:rPr>
              <w:t>项目区下风向2.0km处</w:t>
            </w:r>
          </w:p>
        </w:tc>
        <w:tc>
          <w:tcPr>
            <w:tcW w:w="1194" w:type="pct"/>
          </w:tcPr>
          <w:p w14:paraId="50D1D26A">
            <w:pPr>
              <w:pStyle w:val="286"/>
              <w:adjustRightInd w:val="0"/>
              <w:snapToGrid w:val="0"/>
              <w:spacing w:line="300" w:lineRule="exact"/>
              <w:rPr>
                <w:rFonts w:hint="eastAsia" w:cs="宋体"/>
                <w:color w:val="000000" w:themeColor="text1"/>
                <w:sz w:val="21"/>
                <w14:textFill>
                  <w14:solidFill>
                    <w14:schemeClr w14:val="tx1"/>
                  </w14:solidFill>
                </w14:textFill>
              </w:rPr>
            </w:pPr>
          </w:p>
        </w:tc>
        <w:tc>
          <w:tcPr>
            <w:tcW w:w="1160" w:type="pct"/>
          </w:tcPr>
          <w:p w14:paraId="1C821D34">
            <w:pPr>
              <w:pStyle w:val="286"/>
              <w:adjustRightInd w:val="0"/>
              <w:snapToGrid w:val="0"/>
              <w:spacing w:line="300" w:lineRule="exact"/>
              <w:rPr>
                <w:rFonts w:hint="eastAsia" w:cs="宋体"/>
                <w:color w:val="000000" w:themeColor="text1"/>
                <w:sz w:val="21"/>
                <w14:textFill>
                  <w14:solidFill>
                    <w14:schemeClr w14:val="tx1"/>
                  </w14:solidFill>
                </w14:textFill>
              </w:rPr>
            </w:pPr>
          </w:p>
        </w:tc>
      </w:tr>
      <w:bookmarkEnd w:id="387"/>
    </w:tbl>
    <w:p w14:paraId="140E4D94">
      <w:pPr>
        <w:pStyle w:val="117"/>
        <w:spacing w:line="480" w:lineRule="exact"/>
        <w:ind w:firstLine="480" w:firstLineChars="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②监测频次</w:t>
      </w:r>
    </w:p>
    <w:p w14:paraId="03C2DC32">
      <w:pPr>
        <w:pStyle w:val="117"/>
        <w:spacing w:line="480" w:lineRule="exact"/>
        <w:ind w:firstLine="480" w:firstLineChars="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非甲烷总烃和硫化氢均连续监测7天，其中非甲烷总烃每天测4次，每次取4次样；</w:t>
      </w:r>
      <w:bookmarkStart w:id="388" w:name="OLE_LINK72"/>
      <w:r>
        <w:rPr>
          <w:rFonts w:hint="eastAsia"/>
          <w:color w:val="000000" w:themeColor="text1"/>
          <w14:textFill>
            <w14:solidFill>
              <w14:schemeClr w14:val="tx1"/>
            </w14:solidFill>
          </w14:textFill>
        </w:rPr>
        <w:t>硫化氢每天测4次。</w:t>
      </w:r>
    </w:p>
    <w:p w14:paraId="65860AD5">
      <w:pPr>
        <w:pStyle w:val="117"/>
        <w:spacing w:line="480" w:lineRule="exact"/>
        <w:ind w:firstLine="480" w:firstLineChars="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③监测时间及监测单位</w:t>
      </w:r>
    </w:p>
    <w:p w14:paraId="625A6EB6">
      <w:pPr>
        <w:pStyle w:val="117"/>
        <w:spacing w:line="480" w:lineRule="exact"/>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监测时间：2</w:t>
      </w:r>
      <w:r>
        <w:rPr>
          <w:color w:val="000000" w:themeColor="text1"/>
          <w14:textFill>
            <w14:solidFill>
              <w14:schemeClr w14:val="tx1"/>
            </w14:solidFill>
          </w14:textFill>
        </w:rPr>
        <w:t>02</w:t>
      </w:r>
      <w:r>
        <w:rPr>
          <w:rFonts w:hint="eastAsia"/>
          <w:color w:val="000000" w:themeColor="text1"/>
          <w14:textFill>
            <w14:solidFill>
              <w14:schemeClr w14:val="tx1"/>
            </w14:solidFill>
          </w14:textFill>
        </w:rPr>
        <w:t>5年8月1日～8月8日。</w:t>
      </w:r>
    </w:p>
    <w:p w14:paraId="42561415">
      <w:pPr>
        <w:pStyle w:val="117"/>
        <w:spacing w:line="480" w:lineRule="exact"/>
        <w:ind w:firstLine="480"/>
        <w:rPr>
          <w:rFonts w:hint="eastAsia" w:cs="宋体"/>
          <w:color w:val="000000" w:themeColor="text1"/>
          <w:lang w:bidi="ar"/>
          <w14:textFill>
            <w14:solidFill>
              <w14:schemeClr w14:val="tx1"/>
            </w14:solidFill>
          </w14:textFill>
        </w:rPr>
      </w:pPr>
      <w:r>
        <w:rPr>
          <w:rFonts w:hint="eastAsia"/>
          <w:color w:val="000000" w:themeColor="text1"/>
          <w14:textFill>
            <w14:solidFill>
              <w14:schemeClr w14:val="tx1"/>
            </w14:solidFill>
          </w14:textFill>
        </w:rPr>
        <w:t>监测单位：</w:t>
      </w:r>
      <w:bookmarkStart w:id="389" w:name="OLE_LINK64"/>
      <w:r>
        <w:rPr>
          <w:rFonts w:hint="eastAsia"/>
          <w:color w:val="000000" w:themeColor="text1"/>
          <w14:textFill>
            <w14:solidFill>
              <w14:schemeClr w14:val="tx1"/>
            </w14:solidFill>
          </w14:textFill>
        </w:rPr>
        <w:t>新疆</w:t>
      </w:r>
      <w:bookmarkEnd w:id="389"/>
      <w:r>
        <w:rPr>
          <w:rFonts w:hint="eastAsia"/>
          <w:color w:val="000000" w:themeColor="text1"/>
          <w14:textFill>
            <w14:solidFill>
              <w14:schemeClr w14:val="tx1"/>
            </w14:solidFill>
          </w14:textFill>
        </w:rPr>
        <w:t>壹诺环保科技有限公司。</w:t>
      </w:r>
    </w:p>
    <w:p w14:paraId="7B4D4CE8">
      <w:pPr>
        <w:pStyle w:val="117"/>
        <w:spacing w:line="480" w:lineRule="exact"/>
        <w:ind w:firstLine="480" w:firstLineChars="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④评价标准</w:t>
      </w:r>
    </w:p>
    <w:bookmarkEnd w:id="388"/>
    <w:p w14:paraId="5F8C53F8">
      <w:pPr>
        <w:pStyle w:val="117"/>
        <w:spacing w:line="480" w:lineRule="exact"/>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NMHC参照《〈大气污染物综合排放标准〉详解》中的推荐值2.0mg/m</w:t>
      </w:r>
      <w:r>
        <w:rPr>
          <w:rFonts w:hint="eastAsia"/>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执行，H</w:t>
      </w:r>
      <w:r>
        <w:rPr>
          <w:rFonts w:hint="eastAsia"/>
          <w:color w:val="000000" w:themeColor="text1"/>
          <w:vertAlign w:val="subscript"/>
          <w14:textFill>
            <w14:solidFill>
              <w14:schemeClr w14:val="tx1"/>
            </w14:solidFill>
          </w14:textFill>
        </w:rPr>
        <w:t>2</w:t>
      </w:r>
      <w:r>
        <w:rPr>
          <w:rFonts w:hint="eastAsia"/>
          <w:color w:val="000000" w:themeColor="text1"/>
          <w14:textFill>
            <w14:solidFill>
              <w14:schemeClr w14:val="tx1"/>
            </w14:solidFill>
          </w14:textFill>
        </w:rPr>
        <w:t>S执行《环境影响评价技术导则大气环境》（</w:t>
      </w:r>
      <w:r>
        <w:rPr>
          <w:color w:val="000000" w:themeColor="text1"/>
          <w14:textFill>
            <w14:solidFill>
              <w14:schemeClr w14:val="tx1"/>
            </w14:solidFill>
          </w14:textFill>
        </w:rPr>
        <w:t>HJ2.2-2018）附录D中</w:t>
      </w:r>
      <w:r>
        <w:rPr>
          <w:rFonts w:hint="eastAsia"/>
          <w:color w:val="000000" w:themeColor="text1"/>
          <w14:textFill>
            <w14:solidFill>
              <w14:schemeClr w14:val="tx1"/>
            </w14:solidFill>
          </w14:textFill>
        </w:rPr>
        <w:t>推荐值。</w:t>
      </w:r>
    </w:p>
    <w:p w14:paraId="257E3C51">
      <w:pPr>
        <w:pStyle w:val="117"/>
        <w:spacing w:line="480" w:lineRule="exact"/>
        <w:ind w:firstLine="480"/>
        <w:rPr>
          <w:rFonts w:hint="eastAsia"/>
          <w:color w:val="000000" w:themeColor="text1"/>
          <w:kern w:val="0"/>
          <w14:textFill>
            <w14:solidFill>
              <w14:schemeClr w14:val="tx1"/>
            </w14:solidFill>
          </w14:textFill>
        </w:rPr>
      </w:pPr>
      <w:r>
        <w:rPr>
          <w:rFonts w:hint="eastAsia"/>
          <w:color w:val="000000" w:themeColor="text1"/>
          <w14:textFill>
            <w14:solidFill>
              <w14:schemeClr w14:val="tx1"/>
            </w14:solidFill>
          </w14:textFill>
        </w:rPr>
        <w:t>⑤评价方法</w:t>
      </w:r>
    </w:p>
    <w:p w14:paraId="76DCC67D">
      <w:pPr>
        <w:pStyle w:val="117"/>
        <w:spacing w:line="480" w:lineRule="exact"/>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采用最大占标率法来评价大气污染物在评价区域内的环境质量现状，计算公式如下：</w:t>
      </w:r>
    </w:p>
    <w:p w14:paraId="0EB7AC2A">
      <w:pPr>
        <w:pStyle w:val="109"/>
        <w:spacing w:line="240" w:lineRule="auto"/>
        <w:rPr>
          <w:rFonts w:hint="eastAsia"/>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972820" cy="446405"/>
            <wp:effectExtent l="0" t="0" r="0" b="0"/>
            <wp:docPr id="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972820" cy="446405"/>
                    </a:xfrm>
                    <a:prstGeom prst="rect">
                      <a:avLst/>
                    </a:prstGeom>
                    <a:noFill/>
                    <a:ln>
                      <a:noFill/>
                    </a:ln>
                  </pic:spPr>
                </pic:pic>
              </a:graphicData>
            </a:graphic>
          </wp:inline>
        </w:drawing>
      </w:r>
    </w:p>
    <w:p w14:paraId="27DF018B">
      <w:pPr>
        <w:pStyle w:val="117"/>
        <w:spacing w:line="480" w:lineRule="exact"/>
        <w:ind w:firstLine="1274" w:firstLineChars="531"/>
        <w:rPr>
          <w:rFonts w:hint="eastAsia"/>
          <w:color w:val="000000" w:themeColor="text1"/>
          <w14:textFill>
            <w14:solidFill>
              <w14:schemeClr w14:val="tx1"/>
            </w14:solidFill>
          </w14:textFill>
        </w:rPr>
      </w:pPr>
      <w:bookmarkStart w:id="390" w:name="_Hlk511383737"/>
      <w:r>
        <w:rPr>
          <w:rFonts w:hint="eastAsia"/>
          <w:color w:val="000000" w:themeColor="text1"/>
          <w14:textFill>
            <w14:solidFill>
              <w14:schemeClr w14:val="tx1"/>
            </w14:solidFill>
          </w14:textFill>
        </w:rPr>
        <w:t>P</w:t>
      </w:r>
      <w:r>
        <w:rPr>
          <w:rFonts w:hint="eastAsia"/>
          <w:color w:val="000000" w:themeColor="text1"/>
          <w:vertAlign w:val="subscript"/>
          <w14:textFill>
            <w14:solidFill>
              <w14:schemeClr w14:val="tx1"/>
            </w14:solidFill>
          </w14:textFill>
        </w:rPr>
        <w:t>i</w:t>
      </w:r>
      <w:r>
        <w:rPr>
          <w:rFonts w:hint="eastAsia"/>
          <w:color w:val="000000" w:themeColor="text1"/>
          <w14:textFill>
            <w14:solidFill>
              <w14:schemeClr w14:val="tx1"/>
            </w14:solidFill>
          </w14:textFill>
        </w:rPr>
        <w:t>—第i种污染物的最大地面质量浓度占标率，%；</w:t>
      </w:r>
    </w:p>
    <w:p w14:paraId="314AF0BD">
      <w:pPr>
        <w:pStyle w:val="117"/>
        <w:spacing w:line="480" w:lineRule="exact"/>
        <w:ind w:firstLine="1200" w:firstLineChars="50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C</w:t>
      </w:r>
      <w:r>
        <w:rPr>
          <w:rFonts w:hint="eastAsia"/>
          <w:color w:val="000000" w:themeColor="text1"/>
          <w:vertAlign w:val="subscript"/>
          <w14:textFill>
            <w14:solidFill>
              <w14:schemeClr w14:val="tx1"/>
            </w14:solidFill>
          </w14:textFill>
        </w:rPr>
        <w:t>i</w:t>
      </w:r>
      <w:r>
        <w:rPr>
          <w:rFonts w:hint="eastAsia"/>
          <w:color w:val="000000" w:themeColor="text1"/>
          <w14:textFill>
            <w14:solidFill>
              <w14:schemeClr w14:val="tx1"/>
            </w14:solidFill>
          </w14:textFill>
        </w:rPr>
        <w:t>—污染物i的实测浓度，μg/m</w:t>
      </w:r>
      <w:r>
        <w:rPr>
          <w:rFonts w:hint="eastAsia"/>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w:t>
      </w:r>
    </w:p>
    <w:p w14:paraId="230241D4">
      <w:pPr>
        <w:pStyle w:val="117"/>
        <w:spacing w:line="480" w:lineRule="exact"/>
        <w:ind w:firstLine="1159" w:firstLineChars="483"/>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C</w:t>
      </w:r>
      <w:r>
        <w:rPr>
          <w:rFonts w:hint="eastAsia"/>
          <w:color w:val="000000" w:themeColor="text1"/>
          <w:vertAlign w:val="subscript"/>
          <w14:textFill>
            <w14:solidFill>
              <w14:schemeClr w14:val="tx1"/>
            </w14:solidFill>
          </w14:textFill>
        </w:rPr>
        <w:t>oi</w:t>
      </w:r>
      <w:r>
        <w:rPr>
          <w:rFonts w:hint="eastAsia"/>
          <w:color w:val="000000" w:themeColor="text1"/>
          <w14:textFill>
            <w14:solidFill>
              <w14:schemeClr w14:val="tx1"/>
            </w14:solidFill>
          </w14:textFill>
        </w:rPr>
        <w:t>—污染物i的环境空气标准浓度，μg/m</w:t>
      </w:r>
      <w:r>
        <w:rPr>
          <w:rFonts w:hint="eastAsia"/>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w:t>
      </w:r>
    </w:p>
    <w:p w14:paraId="28A41A37">
      <w:pPr>
        <w:pStyle w:val="117"/>
        <w:spacing w:line="480" w:lineRule="exact"/>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⑥评价结果</w:t>
      </w:r>
    </w:p>
    <w:p w14:paraId="3A8E6C4C">
      <w:pPr>
        <w:pStyle w:val="117"/>
        <w:spacing w:line="480" w:lineRule="exact"/>
        <w:ind w:firstLine="1159" w:firstLineChars="483"/>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监测数据及评价结果详见表</w:t>
      </w:r>
      <w:r>
        <w:rPr>
          <w:color w:val="000000" w:themeColor="text1"/>
          <w14:textFill>
            <w14:solidFill>
              <w14:schemeClr w14:val="tx1"/>
            </w14:solidFill>
          </w14:textFill>
        </w:rPr>
        <w:t>4</w:t>
      </w:r>
      <w:r>
        <w:rPr>
          <w:rFonts w:hint="eastAsia"/>
          <w:color w:val="000000" w:themeColor="text1"/>
          <w14:textFill>
            <w14:solidFill>
              <w14:schemeClr w14:val="tx1"/>
            </w14:solidFill>
          </w14:textFill>
        </w:rPr>
        <w:t>.3-</w:t>
      </w:r>
      <w:r>
        <w:rPr>
          <w:color w:val="000000" w:themeColor="text1"/>
          <w14:textFill>
            <w14:solidFill>
              <w14:schemeClr w14:val="tx1"/>
            </w14:solidFill>
          </w14:textFill>
        </w:rPr>
        <w:t>3</w:t>
      </w:r>
    </w:p>
    <w:p w14:paraId="04DD81EB">
      <w:pPr>
        <w:pStyle w:val="15"/>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表</w:t>
      </w:r>
      <w:r>
        <w:rPr>
          <w:color w:val="000000" w:themeColor="text1"/>
          <w14:textFill>
            <w14:solidFill>
              <w14:schemeClr w14:val="tx1"/>
            </w14:solidFill>
          </w14:textFill>
        </w:rPr>
        <w:t>4.3</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3</w:t>
      </w:r>
      <w:r>
        <w:rPr>
          <w:rFonts w:hint="eastAsia"/>
          <w:color w:val="000000" w:themeColor="text1"/>
          <w14:textFill>
            <w14:solidFill>
              <w14:schemeClr w14:val="tx1"/>
            </w14:solidFill>
          </w14:textFill>
        </w:rPr>
        <w:t xml:space="preserve">  大气环境质量现状监测及评价结果一览表</w:t>
      </w:r>
    </w:p>
    <w:tbl>
      <w:tblPr>
        <w:tblStyle w:val="51"/>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34"/>
        <w:gridCol w:w="1276"/>
        <w:gridCol w:w="1276"/>
        <w:gridCol w:w="1417"/>
        <w:gridCol w:w="1418"/>
        <w:gridCol w:w="1134"/>
        <w:gridCol w:w="988"/>
      </w:tblGrid>
      <w:tr w14:paraId="0DACDED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34" w:type="dxa"/>
            <w:vAlign w:val="center"/>
          </w:tcPr>
          <w:p w14:paraId="40CDD3D6">
            <w:pPr>
              <w:spacing w:line="30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监测点位</w:t>
            </w:r>
          </w:p>
        </w:tc>
        <w:tc>
          <w:tcPr>
            <w:tcW w:w="1276" w:type="dxa"/>
            <w:vAlign w:val="center"/>
          </w:tcPr>
          <w:p w14:paraId="33448CD0">
            <w:pPr>
              <w:spacing w:line="30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监测因子</w:t>
            </w:r>
          </w:p>
        </w:tc>
        <w:tc>
          <w:tcPr>
            <w:tcW w:w="1276" w:type="dxa"/>
            <w:vAlign w:val="center"/>
          </w:tcPr>
          <w:p w14:paraId="67DAD9C2">
            <w:pPr>
              <w:spacing w:line="30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评价指标</w:t>
            </w:r>
          </w:p>
        </w:tc>
        <w:tc>
          <w:tcPr>
            <w:tcW w:w="1417" w:type="dxa"/>
            <w:vAlign w:val="center"/>
          </w:tcPr>
          <w:p w14:paraId="51E0CB48">
            <w:pPr>
              <w:spacing w:line="30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标准值</w:t>
            </w:r>
          </w:p>
          <w:p w14:paraId="37E360E6">
            <w:pPr>
              <w:spacing w:line="30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(μg/m</w:t>
            </w:r>
            <w:r>
              <w:rPr>
                <w:rFonts w:hint="eastAsia" w:ascii="宋体" w:hAnsi="宋体" w:cs="宋体"/>
                <w:color w:val="000000" w:themeColor="text1"/>
                <w:szCs w:val="21"/>
                <w:vertAlign w:val="superscript"/>
                <w14:textFill>
                  <w14:solidFill>
                    <w14:schemeClr w14:val="tx1"/>
                  </w14:solidFill>
                </w14:textFill>
              </w:rPr>
              <w:t>3</w:t>
            </w:r>
            <w:r>
              <w:rPr>
                <w:rFonts w:hint="eastAsia" w:ascii="宋体" w:hAnsi="宋体" w:cs="宋体"/>
                <w:color w:val="000000" w:themeColor="text1"/>
                <w:szCs w:val="21"/>
                <w14:textFill>
                  <w14:solidFill>
                    <w14:schemeClr w14:val="tx1"/>
                  </w14:solidFill>
                </w14:textFill>
              </w:rPr>
              <w:t>)</w:t>
            </w:r>
          </w:p>
        </w:tc>
        <w:tc>
          <w:tcPr>
            <w:tcW w:w="1418" w:type="dxa"/>
            <w:vAlign w:val="center"/>
          </w:tcPr>
          <w:p w14:paraId="290925EE">
            <w:pPr>
              <w:spacing w:line="30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现状浓度</w:t>
            </w:r>
          </w:p>
          <w:p w14:paraId="5F00F526">
            <w:pPr>
              <w:spacing w:line="30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(μg/m</w:t>
            </w:r>
            <w:r>
              <w:rPr>
                <w:rFonts w:hint="eastAsia" w:ascii="宋体" w:hAnsi="宋体" w:cs="宋体"/>
                <w:color w:val="000000" w:themeColor="text1"/>
                <w:szCs w:val="21"/>
                <w:vertAlign w:val="superscript"/>
                <w14:textFill>
                  <w14:solidFill>
                    <w14:schemeClr w14:val="tx1"/>
                  </w14:solidFill>
                </w14:textFill>
              </w:rPr>
              <w:t>3</w:t>
            </w:r>
            <w:r>
              <w:rPr>
                <w:rFonts w:hint="eastAsia" w:ascii="宋体" w:hAnsi="宋体" w:cs="宋体"/>
                <w:color w:val="000000" w:themeColor="text1"/>
                <w:szCs w:val="21"/>
                <w14:textFill>
                  <w14:solidFill>
                    <w14:schemeClr w14:val="tx1"/>
                  </w14:solidFill>
                </w14:textFill>
              </w:rPr>
              <w:t>)</w:t>
            </w:r>
          </w:p>
        </w:tc>
        <w:tc>
          <w:tcPr>
            <w:tcW w:w="1134" w:type="dxa"/>
            <w:vAlign w:val="center"/>
          </w:tcPr>
          <w:p w14:paraId="42C99CE7">
            <w:pPr>
              <w:spacing w:line="30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最大占标率（%）</w:t>
            </w:r>
          </w:p>
        </w:tc>
        <w:tc>
          <w:tcPr>
            <w:tcW w:w="988" w:type="dxa"/>
            <w:vAlign w:val="center"/>
          </w:tcPr>
          <w:p w14:paraId="4B952B8D">
            <w:pPr>
              <w:spacing w:line="30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达标</w:t>
            </w:r>
          </w:p>
          <w:p w14:paraId="34B48DB3">
            <w:pPr>
              <w:spacing w:line="30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情况</w:t>
            </w:r>
          </w:p>
        </w:tc>
      </w:tr>
      <w:tr w14:paraId="43CC440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34" w:type="dxa"/>
            <w:vMerge w:val="restart"/>
            <w:vAlign w:val="center"/>
          </w:tcPr>
          <w:p w14:paraId="3BED137A">
            <w:pPr>
              <w:spacing w:line="30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G1</w:t>
            </w:r>
          </w:p>
        </w:tc>
        <w:tc>
          <w:tcPr>
            <w:tcW w:w="1276" w:type="dxa"/>
            <w:vAlign w:val="center"/>
          </w:tcPr>
          <w:p w14:paraId="11110C76">
            <w:pPr>
              <w:spacing w:line="30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NMHC</w:t>
            </w:r>
          </w:p>
        </w:tc>
        <w:tc>
          <w:tcPr>
            <w:tcW w:w="1276" w:type="dxa"/>
            <w:vAlign w:val="center"/>
          </w:tcPr>
          <w:p w14:paraId="5617B5E0">
            <w:pPr>
              <w:spacing w:line="30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一次值</w:t>
            </w:r>
          </w:p>
        </w:tc>
        <w:tc>
          <w:tcPr>
            <w:tcW w:w="1417" w:type="dxa"/>
            <w:vAlign w:val="center"/>
          </w:tcPr>
          <w:p w14:paraId="66A93641">
            <w:pPr>
              <w:spacing w:line="30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2000</w:t>
            </w:r>
          </w:p>
        </w:tc>
        <w:tc>
          <w:tcPr>
            <w:tcW w:w="1418" w:type="dxa"/>
            <w:vAlign w:val="center"/>
          </w:tcPr>
          <w:p w14:paraId="04933A54">
            <w:pPr>
              <w:spacing w:line="30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850-1440</w:t>
            </w:r>
          </w:p>
        </w:tc>
        <w:tc>
          <w:tcPr>
            <w:tcW w:w="1134" w:type="dxa"/>
            <w:vAlign w:val="center"/>
          </w:tcPr>
          <w:p w14:paraId="1F314C69">
            <w:pPr>
              <w:spacing w:line="30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72</w:t>
            </w:r>
          </w:p>
        </w:tc>
        <w:tc>
          <w:tcPr>
            <w:tcW w:w="988" w:type="dxa"/>
            <w:vAlign w:val="center"/>
          </w:tcPr>
          <w:p w14:paraId="414D0BD8">
            <w:pPr>
              <w:spacing w:line="30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达标</w:t>
            </w:r>
          </w:p>
        </w:tc>
      </w:tr>
      <w:tr w14:paraId="594BCEB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34" w:type="dxa"/>
            <w:vMerge w:val="continue"/>
            <w:vAlign w:val="center"/>
          </w:tcPr>
          <w:p w14:paraId="0E5B4D64">
            <w:pPr>
              <w:spacing w:line="300" w:lineRule="exact"/>
              <w:jc w:val="center"/>
              <w:rPr>
                <w:rFonts w:hint="eastAsia" w:ascii="宋体" w:hAnsi="宋体" w:cs="宋体"/>
                <w:color w:val="000000" w:themeColor="text1"/>
                <w:szCs w:val="21"/>
                <w14:textFill>
                  <w14:solidFill>
                    <w14:schemeClr w14:val="tx1"/>
                  </w14:solidFill>
                </w14:textFill>
              </w:rPr>
            </w:pPr>
            <w:bookmarkStart w:id="391" w:name="_Hlk171957959"/>
          </w:p>
        </w:tc>
        <w:tc>
          <w:tcPr>
            <w:tcW w:w="1276" w:type="dxa"/>
            <w:vAlign w:val="center"/>
          </w:tcPr>
          <w:p w14:paraId="5FB49E50">
            <w:pPr>
              <w:spacing w:line="30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H</w:t>
            </w:r>
            <w:r>
              <w:rPr>
                <w:rFonts w:hint="eastAsia" w:ascii="宋体" w:hAnsi="宋体" w:cs="宋体"/>
                <w:color w:val="000000" w:themeColor="text1"/>
                <w:szCs w:val="21"/>
                <w:vertAlign w:val="subscript"/>
                <w14:textFill>
                  <w14:solidFill>
                    <w14:schemeClr w14:val="tx1"/>
                  </w14:solidFill>
                </w14:textFill>
              </w:rPr>
              <w:t>2</w:t>
            </w:r>
            <w:r>
              <w:rPr>
                <w:rFonts w:hint="eastAsia" w:ascii="宋体" w:hAnsi="宋体" w:cs="宋体"/>
                <w:color w:val="000000" w:themeColor="text1"/>
                <w:szCs w:val="21"/>
                <w14:textFill>
                  <w14:solidFill>
                    <w14:schemeClr w14:val="tx1"/>
                  </w14:solidFill>
                </w14:textFill>
              </w:rPr>
              <w:t>S</w:t>
            </w:r>
          </w:p>
        </w:tc>
        <w:tc>
          <w:tcPr>
            <w:tcW w:w="1276" w:type="dxa"/>
            <w:vAlign w:val="center"/>
          </w:tcPr>
          <w:p w14:paraId="2F2A4A9D">
            <w:pPr>
              <w:spacing w:line="30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一次值</w:t>
            </w:r>
          </w:p>
        </w:tc>
        <w:tc>
          <w:tcPr>
            <w:tcW w:w="1417" w:type="dxa"/>
            <w:vAlign w:val="center"/>
          </w:tcPr>
          <w:p w14:paraId="047D43ED">
            <w:pPr>
              <w:spacing w:line="30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10</w:t>
            </w:r>
          </w:p>
        </w:tc>
        <w:tc>
          <w:tcPr>
            <w:tcW w:w="1418" w:type="dxa"/>
            <w:vAlign w:val="center"/>
          </w:tcPr>
          <w:p w14:paraId="54A39B3C">
            <w:pPr>
              <w:spacing w:line="30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0.005L</w:t>
            </w:r>
          </w:p>
        </w:tc>
        <w:tc>
          <w:tcPr>
            <w:tcW w:w="1134" w:type="dxa"/>
            <w:vAlign w:val="center"/>
          </w:tcPr>
          <w:p w14:paraId="23873938">
            <w:pPr>
              <w:spacing w:line="30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w:t>
            </w:r>
          </w:p>
        </w:tc>
        <w:tc>
          <w:tcPr>
            <w:tcW w:w="988" w:type="dxa"/>
            <w:vAlign w:val="center"/>
          </w:tcPr>
          <w:p w14:paraId="15AAECD1">
            <w:pPr>
              <w:spacing w:line="30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达标</w:t>
            </w:r>
          </w:p>
        </w:tc>
      </w:tr>
      <w:bookmarkEnd w:id="391"/>
      <w:tr w14:paraId="2845163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34" w:type="dxa"/>
            <w:vMerge w:val="restart"/>
            <w:vAlign w:val="center"/>
          </w:tcPr>
          <w:p w14:paraId="4C470712">
            <w:pPr>
              <w:spacing w:line="30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G</w:t>
            </w:r>
            <w:r>
              <w:rPr>
                <w:rFonts w:ascii="宋体" w:hAnsi="宋体" w:cs="宋体"/>
                <w:color w:val="000000" w:themeColor="text1"/>
                <w:szCs w:val="21"/>
                <w14:textFill>
                  <w14:solidFill>
                    <w14:schemeClr w14:val="tx1"/>
                  </w14:solidFill>
                </w14:textFill>
              </w:rPr>
              <w:t>2</w:t>
            </w:r>
          </w:p>
        </w:tc>
        <w:tc>
          <w:tcPr>
            <w:tcW w:w="1276" w:type="dxa"/>
            <w:vAlign w:val="center"/>
          </w:tcPr>
          <w:p w14:paraId="5BE71248">
            <w:pPr>
              <w:spacing w:line="30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NMHC</w:t>
            </w:r>
          </w:p>
        </w:tc>
        <w:tc>
          <w:tcPr>
            <w:tcW w:w="1276" w:type="dxa"/>
            <w:vAlign w:val="center"/>
          </w:tcPr>
          <w:p w14:paraId="4AB53EB4">
            <w:pPr>
              <w:spacing w:line="30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一次值</w:t>
            </w:r>
          </w:p>
        </w:tc>
        <w:tc>
          <w:tcPr>
            <w:tcW w:w="1417" w:type="dxa"/>
            <w:vAlign w:val="center"/>
          </w:tcPr>
          <w:p w14:paraId="26336479">
            <w:pPr>
              <w:spacing w:line="30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2000</w:t>
            </w:r>
          </w:p>
        </w:tc>
        <w:tc>
          <w:tcPr>
            <w:tcW w:w="1418" w:type="dxa"/>
            <w:vAlign w:val="center"/>
          </w:tcPr>
          <w:p w14:paraId="1CA22AB6">
            <w:pPr>
              <w:spacing w:line="30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1100-1580</w:t>
            </w:r>
          </w:p>
        </w:tc>
        <w:tc>
          <w:tcPr>
            <w:tcW w:w="1134" w:type="dxa"/>
            <w:vAlign w:val="center"/>
          </w:tcPr>
          <w:p w14:paraId="144D36CD">
            <w:pPr>
              <w:spacing w:line="30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79</w:t>
            </w:r>
          </w:p>
        </w:tc>
        <w:tc>
          <w:tcPr>
            <w:tcW w:w="988" w:type="dxa"/>
            <w:vAlign w:val="center"/>
          </w:tcPr>
          <w:p w14:paraId="713C102A">
            <w:pPr>
              <w:spacing w:line="30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达标</w:t>
            </w:r>
          </w:p>
        </w:tc>
      </w:tr>
      <w:tr w14:paraId="085B70B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34" w:type="dxa"/>
            <w:vMerge w:val="continue"/>
            <w:vAlign w:val="center"/>
          </w:tcPr>
          <w:p w14:paraId="7D7218AA">
            <w:pPr>
              <w:spacing w:line="300" w:lineRule="exact"/>
              <w:jc w:val="center"/>
              <w:rPr>
                <w:rFonts w:hint="eastAsia" w:ascii="宋体" w:hAnsi="宋体" w:cs="宋体"/>
                <w:color w:val="000000" w:themeColor="text1"/>
                <w:szCs w:val="21"/>
                <w14:textFill>
                  <w14:solidFill>
                    <w14:schemeClr w14:val="tx1"/>
                  </w14:solidFill>
                </w14:textFill>
              </w:rPr>
            </w:pPr>
          </w:p>
        </w:tc>
        <w:tc>
          <w:tcPr>
            <w:tcW w:w="1276" w:type="dxa"/>
            <w:vAlign w:val="center"/>
          </w:tcPr>
          <w:p w14:paraId="1D29260D">
            <w:pPr>
              <w:spacing w:line="30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H</w:t>
            </w:r>
            <w:r>
              <w:rPr>
                <w:rFonts w:hint="eastAsia" w:ascii="宋体" w:hAnsi="宋体" w:cs="宋体"/>
                <w:color w:val="000000" w:themeColor="text1"/>
                <w:szCs w:val="21"/>
                <w:vertAlign w:val="subscript"/>
                <w14:textFill>
                  <w14:solidFill>
                    <w14:schemeClr w14:val="tx1"/>
                  </w14:solidFill>
                </w14:textFill>
              </w:rPr>
              <w:t>2</w:t>
            </w:r>
            <w:r>
              <w:rPr>
                <w:rFonts w:hint="eastAsia" w:ascii="宋体" w:hAnsi="宋体" w:cs="宋体"/>
                <w:color w:val="000000" w:themeColor="text1"/>
                <w:szCs w:val="21"/>
                <w14:textFill>
                  <w14:solidFill>
                    <w14:schemeClr w14:val="tx1"/>
                  </w14:solidFill>
                </w14:textFill>
              </w:rPr>
              <w:t>S</w:t>
            </w:r>
          </w:p>
        </w:tc>
        <w:tc>
          <w:tcPr>
            <w:tcW w:w="1276" w:type="dxa"/>
            <w:vAlign w:val="center"/>
          </w:tcPr>
          <w:p w14:paraId="4EA5709A">
            <w:pPr>
              <w:spacing w:line="30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一次值</w:t>
            </w:r>
          </w:p>
        </w:tc>
        <w:tc>
          <w:tcPr>
            <w:tcW w:w="1417" w:type="dxa"/>
            <w:vAlign w:val="center"/>
          </w:tcPr>
          <w:p w14:paraId="3BDDA068">
            <w:pPr>
              <w:spacing w:line="30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10</w:t>
            </w:r>
          </w:p>
        </w:tc>
        <w:tc>
          <w:tcPr>
            <w:tcW w:w="1418" w:type="dxa"/>
            <w:vAlign w:val="center"/>
          </w:tcPr>
          <w:p w14:paraId="405F952A">
            <w:pPr>
              <w:spacing w:line="30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0.005L</w:t>
            </w:r>
          </w:p>
        </w:tc>
        <w:tc>
          <w:tcPr>
            <w:tcW w:w="1134" w:type="dxa"/>
            <w:vAlign w:val="center"/>
          </w:tcPr>
          <w:p w14:paraId="2DEA4EDD">
            <w:pPr>
              <w:spacing w:line="30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w:t>
            </w:r>
          </w:p>
        </w:tc>
        <w:tc>
          <w:tcPr>
            <w:tcW w:w="988" w:type="dxa"/>
            <w:vAlign w:val="center"/>
          </w:tcPr>
          <w:p w14:paraId="10E04FA0">
            <w:pPr>
              <w:spacing w:line="30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达标</w:t>
            </w:r>
          </w:p>
        </w:tc>
      </w:tr>
    </w:tbl>
    <w:p w14:paraId="36FFC9D0">
      <w:pPr>
        <w:pStyle w:val="117"/>
        <w:spacing w:line="480" w:lineRule="exact"/>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由表</w:t>
      </w:r>
      <w:r>
        <w:rPr>
          <w:color w:val="000000" w:themeColor="text1"/>
          <w14:textFill>
            <w14:solidFill>
              <w14:schemeClr w14:val="tx1"/>
            </w14:solidFill>
          </w14:textFill>
        </w:rPr>
        <w:t>4.3</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3</w:t>
      </w:r>
      <w:r>
        <w:rPr>
          <w:rFonts w:hint="eastAsia"/>
          <w:color w:val="000000" w:themeColor="text1"/>
          <w14:textFill>
            <w14:solidFill>
              <w14:schemeClr w14:val="tx1"/>
            </w14:solidFill>
          </w14:textFill>
        </w:rPr>
        <w:t>可知，</w:t>
      </w:r>
      <w:r>
        <w:rPr>
          <w:color w:val="000000" w:themeColor="text1"/>
          <w14:textFill>
            <w14:solidFill>
              <w14:schemeClr w14:val="tx1"/>
            </w14:solidFill>
          </w14:textFill>
        </w:rPr>
        <w:t>NMHC</w:t>
      </w:r>
      <w:r>
        <w:rPr>
          <w:rFonts w:hint="eastAsia"/>
          <w:color w:val="000000" w:themeColor="text1"/>
          <w14:textFill>
            <w14:solidFill>
              <w14:schemeClr w14:val="tx1"/>
            </w14:solidFill>
          </w14:textFill>
        </w:rPr>
        <w:t>监测浓度</w:t>
      </w:r>
      <w:r>
        <w:rPr>
          <w:color w:val="000000" w:themeColor="text1"/>
          <w14:textFill>
            <w14:solidFill>
              <w14:schemeClr w14:val="tx1"/>
            </w14:solidFill>
          </w14:textFill>
        </w:rPr>
        <w:t>满足《&lt;大气污染物综合排放标准&gt;详解》中推荐值2.0mg/m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要求</w:t>
      </w:r>
      <w:bookmarkStart w:id="392" w:name="_Hlk92466348"/>
      <w:r>
        <w:rPr>
          <w:rFonts w:hint="eastAsia"/>
          <w:color w:val="000000" w:themeColor="text1"/>
          <w14:textFill>
            <w14:solidFill>
              <w14:schemeClr w14:val="tx1"/>
            </w14:solidFill>
          </w14:textFill>
        </w:rPr>
        <w:t>，H</w:t>
      </w:r>
      <w:r>
        <w:rPr>
          <w:rFonts w:hint="eastAsia"/>
          <w:color w:val="000000" w:themeColor="text1"/>
          <w:vertAlign w:val="subscript"/>
          <w14:textFill>
            <w14:solidFill>
              <w14:schemeClr w14:val="tx1"/>
            </w14:solidFill>
          </w14:textFill>
        </w:rPr>
        <w:t>2</w:t>
      </w:r>
      <w:r>
        <w:rPr>
          <w:rFonts w:hint="eastAsia"/>
          <w:color w:val="000000" w:themeColor="text1"/>
          <w14:textFill>
            <w14:solidFill>
              <w14:schemeClr w14:val="tx1"/>
            </w14:solidFill>
          </w14:textFill>
        </w:rPr>
        <w:t>S</w:t>
      </w:r>
      <w:bookmarkStart w:id="393" w:name="_Hlk173753170"/>
      <w:r>
        <w:rPr>
          <w:rFonts w:hint="eastAsia"/>
          <w:color w:val="000000" w:themeColor="text1"/>
          <w14:textFill>
            <w14:solidFill>
              <w14:schemeClr w14:val="tx1"/>
            </w14:solidFill>
          </w14:textFill>
        </w:rPr>
        <w:t>监测浓度满足《环境影响评价技术导则大气环境》（</w:t>
      </w:r>
      <w:r>
        <w:rPr>
          <w:color w:val="000000" w:themeColor="text1"/>
          <w14:textFill>
            <w14:solidFill>
              <w14:schemeClr w14:val="tx1"/>
            </w14:solidFill>
          </w14:textFill>
        </w:rPr>
        <w:t>HJ2.2-2018）附录D中</w:t>
      </w:r>
      <w:r>
        <w:rPr>
          <w:rFonts w:hint="eastAsia"/>
          <w:color w:val="000000" w:themeColor="text1"/>
          <w14:textFill>
            <w14:solidFill>
              <w14:schemeClr w14:val="tx1"/>
            </w14:solidFill>
          </w14:textFill>
        </w:rPr>
        <w:t>推荐值要求。</w:t>
      </w:r>
      <w:bookmarkEnd w:id="390"/>
      <w:bookmarkEnd w:id="393"/>
    </w:p>
    <w:p w14:paraId="0DEE0649">
      <w:pPr>
        <w:pStyle w:val="117"/>
        <w:spacing w:line="480" w:lineRule="exact"/>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（3）区域特征污染物环境质量现状</w:t>
      </w:r>
    </w:p>
    <w:p w14:paraId="7F73CA33">
      <w:pPr>
        <w:pStyle w:val="117"/>
        <w:spacing w:line="480" w:lineRule="exact"/>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①基本污染物</w:t>
      </w:r>
    </w:p>
    <w:p w14:paraId="182102C3">
      <w:pPr>
        <w:pStyle w:val="117"/>
        <w:spacing w:line="480" w:lineRule="exact"/>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本次收集了2019年～2023年，近5年的区域特征污染物六项基本污染物的监测数据，详见表4.3-4。</w:t>
      </w:r>
    </w:p>
    <w:p w14:paraId="4573AC9C">
      <w:pPr>
        <w:widowControl/>
        <w:snapToGrid w:val="0"/>
        <w:spacing w:line="500" w:lineRule="exact"/>
        <w:jc w:val="center"/>
        <w:rPr>
          <w:rFonts w:hint="eastAsia" w:ascii="黑体" w:hAnsi="黑体" w:eastAsia="黑体" w:cs="黑体"/>
          <w:color w:val="000000" w:themeColor="text1"/>
          <w:kern w:val="0"/>
          <w:szCs w:val="21"/>
          <w14:textFill>
            <w14:solidFill>
              <w14:schemeClr w14:val="tx1"/>
            </w14:solidFill>
          </w14:textFill>
        </w:rPr>
      </w:pPr>
      <w:r>
        <w:rPr>
          <w:rFonts w:hint="eastAsia" w:ascii="黑体" w:hAnsi="黑体" w:eastAsia="黑体" w:cs="黑体"/>
          <w:color w:val="000000" w:themeColor="text1"/>
          <w:kern w:val="0"/>
          <w:szCs w:val="21"/>
          <w14:textFill>
            <w14:solidFill>
              <w14:schemeClr w14:val="tx1"/>
            </w14:solidFill>
          </w14:textFill>
        </w:rPr>
        <w:t>表4.3-4  2019年～2023年基本污染物大气质量及评价结果一览表</w:t>
      </w:r>
    </w:p>
    <w:tbl>
      <w:tblPr>
        <w:tblStyle w:val="5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946"/>
        <w:gridCol w:w="1463"/>
        <w:gridCol w:w="711"/>
        <w:gridCol w:w="992"/>
        <w:gridCol w:w="850"/>
        <w:gridCol w:w="850"/>
        <w:gridCol w:w="1418"/>
        <w:gridCol w:w="1500"/>
      </w:tblGrid>
      <w:tr w14:paraId="61DB50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75" w:hRule="atLeast"/>
          <w:jc w:val="center"/>
        </w:trPr>
        <w:tc>
          <w:tcPr>
            <w:tcW w:w="1380" w:type="pct"/>
            <w:gridSpan w:val="2"/>
            <w:tcBorders>
              <w:top w:val="single" w:color="auto" w:sz="12" w:space="0"/>
              <w:left w:val="nil"/>
            </w:tcBorders>
            <w:vAlign w:val="center"/>
          </w:tcPr>
          <w:p w14:paraId="01B1B83D">
            <w:pPr>
              <w:pStyle w:val="542"/>
              <w:spacing w:line="300" w:lineRule="exact"/>
              <w:rPr>
                <w:rFonts w:hint="eastAsia" w:ascii="宋体" w:hAnsi="宋体" w:cs="宋体"/>
                <w:b w:val="0"/>
                <w:bCs/>
                <w:color w:val="000000" w:themeColor="text1"/>
                <w:szCs w:val="21"/>
                <w:lang w:val="en-US"/>
                <w14:textFill>
                  <w14:solidFill>
                    <w14:schemeClr w14:val="tx1"/>
                  </w14:solidFill>
                </w14:textFill>
              </w:rPr>
            </w:pPr>
            <w:r>
              <w:rPr>
                <w:rFonts w:hint="eastAsia" w:ascii="宋体" w:hAnsi="宋体" w:cs="宋体"/>
                <w:b w:val="0"/>
                <w:bCs/>
                <w:color w:val="000000" w:themeColor="text1"/>
                <w:szCs w:val="21"/>
                <w:lang w:val="en-US"/>
                <w14:textFill>
                  <w14:solidFill>
                    <w14:schemeClr w14:val="tx1"/>
                  </w14:solidFill>
                </w14:textFill>
              </w:rPr>
              <w:t>监测因子</w:t>
            </w:r>
          </w:p>
        </w:tc>
        <w:tc>
          <w:tcPr>
            <w:tcW w:w="407" w:type="pct"/>
            <w:tcBorders>
              <w:top w:val="single" w:color="auto" w:sz="12" w:space="0"/>
            </w:tcBorders>
            <w:vAlign w:val="center"/>
          </w:tcPr>
          <w:p w14:paraId="19F5AE4A">
            <w:pPr>
              <w:pStyle w:val="542"/>
              <w:spacing w:line="300" w:lineRule="exact"/>
              <w:rPr>
                <w:rFonts w:hint="eastAsia" w:ascii="宋体" w:hAnsi="宋体" w:cs="宋体"/>
                <w:b w:val="0"/>
                <w:bCs/>
                <w:color w:val="000000" w:themeColor="text1"/>
                <w:szCs w:val="21"/>
                <w:lang w:val="en-US"/>
                <w14:textFill>
                  <w14:solidFill>
                    <w14:schemeClr w14:val="tx1"/>
                  </w14:solidFill>
                </w14:textFill>
              </w:rPr>
            </w:pPr>
            <w:r>
              <w:rPr>
                <w:rFonts w:hint="eastAsia" w:ascii="宋体" w:hAnsi="宋体" w:cs="宋体"/>
                <w:b w:val="0"/>
                <w:bCs/>
                <w:color w:val="000000" w:themeColor="text1"/>
                <w:szCs w:val="21"/>
                <w14:textFill>
                  <w14:solidFill>
                    <w14:schemeClr w14:val="tx1"/>
                  </w14:solidFill>
                </w14:textFill>
              </w:rPr>
              <w:t>SO</w:t>
            </w:r>
            <w:r>
              <w:rPr>
                <w:rFonts w:hint="eastAsia" w:ascii="宋体" w:hAnsi="宋体" w:cs="宋体"/>
                <w:b w:val="0"/>
                <w:bCs/>
                <w:color w:val="000000" w:themeColor="text1"/>
                <w:szCs w:val="21"/>
                <w:vertAlign w:val="subscript"/>
                <w14:textFill>
                  <w14:solidFill>
                    <w14:schemeClr w14:val="tx1"/>
                  </w14:solidFill>
                </w14:textFill>
              </w:rPr>
              <w:t>2</w:t>
            </w:r>
          </w:p>
        </w:tc>
        <w:tc>
          <w:tcPr>
            <w:tcW w:w="568" w:type="pct"/>
            <w:tcBorders>
              <w:top w:val="single" w:color="auto" w:sz="12" w:space="0"/>
            </w:tcBorders>
            <w:vAlign w:val="center"/>
          </w:tcPr>
          <w:p w14:paraId="012C1439">
            <w:pPr>
              <w:pStyle w:val="542"/>
              <w:spacing w:line="300" w:lineRule="exact"/>
              <w:rPr>
                <w:rFonts w:hint="eastAsia" w:ascii="宋体" w:hAnsi="宋体" w:cs="宋体"/>
                <w:b w:val="0"/>
                <w:bCs/>
                <w:color w:val="000000" w:themeColor="text1"/>
                <w:szCs w:val="21"/>
                <w:lang w:val="en-US"/>
                <w14:textFill>
                  <w14:solidFill>
                    <w14:schemeClr w14:val="tx1"/>
                  </w14:solidFill>
                </w14:textFill>
              </w:rPr>
            </w:pPr>
            <w:r>
              <w:rPr>
                <w:rFonts w:hint="eastAsia" w:ascii="宋体" w:hAnsi="宋体" w:cs="宋体"/>
                <w:b w:val="0"/>
                <w:bCs/>
                <w:color w:val="000000" w:themeColor="text1"/>
                <w:szCs w:val="21"/>
                <w14:textFill>
                  <w14:solidFill>
                    <w14:schemeClr w14:val="tx1"/>
                  </w14:solidFill>
                </w14:textFill>
              </w:rPr>
              <w:t>NO</w:t>
            </w:r>
            <w:r>
              <w:rPr>
                <w:rFonts w:hint="eastAsia" w:ascii="宋体" w:hAnsi="宋体" w:cs="宋体"/>
                <w:b w:val="0"/>
                <w:bCs/>
                <w:color w:val="000000" w:themeColor="text1"/>
                <w:szCs w:val="21"/>
                <w:vertAlign w:val="subscript"/>
                <w14:textFill>
                  <w14:solidFill>
                    <w14:schemeClr w14:val="tx1"/>
                  </w14:solidFill>
                </w14:textFill>
              </w:rPr>
              <w:t>2</w:t>
            </w:r>
          </w:p>
        </w:tc>
        <w:tc>
          <w:tcPr>
            <w:tcW w:w="487" w:type="pct"/>
            <w:tcBorders>
              <w:top w:val="single" w:color="auto" w:sz="12" w:space="0"/>
            </w:tcBorders>
            <w:vAlign w:val="center"/>
          </w:tcPr>
          <w:p w14:paraId="13106FD4">
            <w:pPr>
              <w:pStyle w:val="542"/>
              <w:spacing w:line="300" w:lineRule="exact"/>
              <w:rPr>
                <w:rFonts w:hint="eastAsia" w:ascii="宋体" w:hAnsi="宋体" w:cs="宋体"/>
                <w:b w:val="0"/>
                <w:bCs/>
                <w:color w:val="000000" w:themeColor="text1"/>
                <w:szCs w:val="21"/>
                <w:lang w:val="en-US"/>
                <w14:textFill>
                  <w14:solidFill>
                    <w14:schemeClr w14:val="tx1"/>
                  </w14:solidFill>
                </w14:textFill>
              </w:rPr>
            </w:pPr>
            <w:r>
              <w:rPr>
                <w:rFonts w:hint="eastAsia" w:ascii="宋体" w:hAnsi="宋体" w:cs="宋体"/>
                <w:b w:val="0"/>
                <w:bCs/>
                <w:color w:val="000000" w:themeColor="text1"/>
                <w:szCs w:val="21"/>
                <w14:textFill>
                  <w14:solidFill>
                    <w14:schemeClr w14:val="tx1"/>
                  </w14:solidFill>
                </w14:textFill>
              </w:rPr>
              <w:t>PM</w:t>
            </w:r>
            <w:r>
              <w:rPr>
                <w:rFonts w:hint="eastAsia" w:ascii="宋体" w:hAnsi="宋体" w:cs="宋体"/>
                <w:b w:val="0"/>
                <w:bCs/>
                <w:color w:val="000000" w:themeColor="text1"/>
                <w:szCs w:val="21"/>
                <w:vertAlign w:val="subscript"/>
                <w14:textFill>
                  <w14:solidFill>
                    <w14:schemeClr w14:val="tx1"/>
                  </w14:solidFill>
                </w14:textFill>
              </w:rPr>
              <w:t>10</w:t>
            </w:r>
          </w:p>
        </w:tc>
        <w:tc>
          <w:tcPr>
            <w:tcW w:w="487" w:type="pct"/>
            <w:tcBorders>
              <w:top w:val="single" w:color="auto" w:sz="12" w:space="0"/>
            </w:tcBorders>
            <w:vAlign w:val="center"/>
          </w:tcPr>
          <w:p w14:paraId="789ED66E">
            <w:pPr>
              <w:pStyle w:val="542"/>
              <w:spacing w:line="300" w:lineRule="exact"/>
              <w:rPr>
                <w:rFonts w:hint="eastAsia" w:ascii="宋体" w:hAnsi="宋体" w:cs="宋体"/>
                <w:b w:val="0"/>
                <w:bCs/>
                <w:color w:val="000000" w:themeColor="text1"/>
                <w:szCs w:val="21"/>
                <w14:textFill>
                  <w14:solidFill>
                    <w14:schemeClr w14:val="tx1"/>
                  </w14:solidFill>
                </w14:textFill>
              </w:rPr>
            </w:pPr>
            <w:r>
              <w:rPr>
                <w:rFonts w:hint="eastAsia" w:ascii="宋体" w:hAnsi="宋体" w:cs="宋体"/>
                <w:b w:val="0"/>
                <w:bCs/>
                <w:color w:val="000000" w:themeColor="text1"/>
                <w:szCs w:val="21"/>
                <w14:textFill>
                  <w14:solidFill>
                    <w14:schemeClr w14:val="tx1"/>
                  </w14:solidFill>
                </w14:textFill>
              </w:rPr>
              <w:t>PM</w:t>
            </w:r>
            <w:r>
              <w:rPr>
                <w:rFonts w:hint="eastAsia" w:ascii="宋体" w:hAnsi="宋体" w:cs="宋体"/>
                <w:b w:val="0"/>
                <w:bCs/>
                <w:color w:val="000000" w:themeColor="text1"/>
                <w:szCs w:val="21"/>
                <w:vertAlign w:val="subscript"/>
                <w14:textFill>
                  <w14:solidFill>
                    <w14:schemeClr w14:val="tx1"/>
                  </w14:solidFill>
                </w14:textFill>
              </w:rPr>
              <w:t>2.5</w:t>
            </w:r>
          </w:p>
        </w:tc>
        <w:tc>
          <w:tcPr>
            <w:tcW w:w="812" w:type="pct"/>
            <w:tcBorders>
              <w:top w:val="single" w:color="auto" w:sz="12" w:space="0"/>
            </w:tcBorders>
            <w:vAlign w:val="center"/>
          </w:tcPr>
          <w:p w14:paraId="00952B12">
            <w:pPr>
              <w:pStyle w:val="542"/>
              <w:spacing w:line="300" w:lineRule="exact"/>
              <w:rPr>
                <w:rFonts w:hint="eastAsia" w:ascii="宋体" w:hAnsi="宋体" w:cs="宋体"/>
                <w:b w:val="0"/>
                <w:bCs/>
                <w:color w:val="000000" w:themeColor="text1"/>
                <w:szCs w:val="21"/>
                <w14:textFill>
                  <w14:solidFill>
                    <w14:schemeClr w14:val="tx1"/>
                  </w14:solidFill>
                </w14:textFill>
              </w:rPr>
            </w:pPr>
            <w:r>
              <w:rPr>
                <w:rFonts w:hint="eastAsia" w:ascii="宋体" w:hAnsi="宋体" w:cs="宋体"/>
                <w:b w:val="0"/>
                <w:bCs/>
                <w:color w:val="000000" w:themeColor="text1"/>
                <w:szCs w:val="21"/>
                <w14:textFill>
                  <w14:solidFill>
                    <w14:schemeClr w14:val="tx1"/>
                  </w14:solidFill>
                </w14:textFill>
              </w:rPr>
              <w:t>CO</w:t>
            </w:r>
          </w:p>
        </w:tc>
        <w:tc>
          <w:tcPr>
            <w:tcW w:w="859" w:type="pct"/>
            <w:tcBorders>
              <w:top w:val="single" w:color="auto" w:sz="12" w:space="0"/>
              <w:right w:val="nil"/>
            </w:tcBorders>
            <w:vAlign w:val="center"/>
          </w:tcPr>
          <w:p w14:paraId="75A1F906">
            <w:pPr>
              <w:pStyle w:val="542"/>
              <w:spacing w:line="300" w:lineRule="exact"/>
              <w:rPr>
                <w:rFonts w:hint="eastAsia" w:ascii="宋体" w:hAnsi="宋体" w:cs="宋体"/>
                <w:b w:val="0"/>
                <w:bCs/>
                <w:color w:val="000000" w:themeColor="text1"/>
                <w:szCs w:val="21"/>
                <w14:textFill>
                  <w14:solidFill>
                    <w14:schemeClr w14:val="tx1"/>
                  </w14:solidFill>
                </w14:textFill>
              </w:rPr>
            </w:pPr>
            <w:r>
              <w:rPr>
                <w:rFonts w:hint="eastAsia" w:ascii="宋体" w:hAnsi="宋体" w:cs="宋体"/>
                <w:b w:val="0"/>
                <w:bCs/>
                <w:color w:val="000000" w:themeColor="text1"/>
                <w:szCs w:val="21"/>
                <w14:textFill>
                  <w14:solidFill>
                    <w14:schemeClr w14:val="tx1"/>
                  </w14:solidFill>
                </w14:textFill>
              </w:rPr>
              <w:t>O</w:t>
            </w:r>
            <w:r>
              <w:rPr>
                <w:rFonts w:hint="eastAsia" w:ascii="宋体" w:hAnsi="宋体" w:cs="宋体"/>
                <w:b w:val="0"/>
                <w:bCs/>
                <w:color w:val="000000" w:themeColor="text1"/>
                <w:szCs w:val="21"/>
                <w:vertAlign w:val="subscript"/>
                <w14:textFill>
                  <w14:solidFill>
                    <w14:schemeClr w14:val="tx1"/>
                  </w14:solidFill>
                </w14:textFill>
              </w:rPr>
              <w:t>3</w:t>
            </w:r>
          </w:p>
        </w:tc>
      </w:tr>
      <w:tr w14:paraId="741039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380" w:type="pct"/>
            <w:gridSpan w:val="2"/>
            <w:tcBorders>
              <w:left w:val="nil"/>
            </w:tcBorders>
            <w:vAlign w:val="center"/>
          </w:tcPr>
          <w:p w14:paraId="35B84E0C">
            <w:pPr>
              <w:pStyle w:val="542"/>
              <w:spacing w:line="300" w:lineRule="exact"/>
              <w:rPr>
                <w:rFonts w:hint="eastAsia" w:ascii="宋体" w:hAnsi="宋体" w:cs="宋体"/>
                <w:b w:val="0"/>
                <w:bCs/>
                <w:color w:val="000000" w:themeColor="text1"/>
                <w:szCs w:val="21"/>
                <w:lang w:val="en-US"/>
                <w14:textFill>
                  <w14:solidFill>
                    <w14:schemeClr w14:val="tx1"/>
                  </w14:solidFill>
                </w14:textFill>
              </w:rPr>
            </w:pPr>
            <w:r>
              <w:rPr>
                <w:rFonts w:hint="eastAsia" w:ascii="宋体" w:hAnsi="宋体" w:cs="宋体"/>
                <w:b w:val="0"/>
                <w:bCs/>
                <w:color w:val="000000" w:themeColor="text1"/>
                <w:szCs w:val="21"/>
                <w14:textFill>
                  <w14:solidFill>
                    <w14:schemeClr w14:val="tx1"/>
                  </w14:solidFill>
                </w14:textFill>
              </w:rPr>
              <w:t>年评价指标</w:t>
            </w:r>
          </w:p>
        </w:tc>
        <w:tc>
          <w:tcPr>
            <w:tcW w:w="407" w:type="pct"/>
            <w:vAlign w:val="center"/>
          </w:tcPr>
          <w:p w14:paraId="7A970051">
            <w:pPr>
              <w:pStyle w:val="542"/>
              <w:spacing w:line="300" w:lineRule="exact"/>
              <w:rPr>
                <w:rFonts w:hint="eastAsia" w:ascii="宋体" w:hAnsi="宋体" w:cs="宋体"/>
                <w:b w:val="0"/>
                <w:bCs/>
                <w:color w:val="000000" w:themeColor="text1"/>
                <w:szCs w:val="21"/>
                <w:lang w:val="en-US"/>
                <w14:textFill>
                  <w14:solidFill>
                    <w14:schemeClr w14:val="tx1"/>
                  </w14:solidFill>
                </w14:textFill>
              </w:rPr>
            </w:pPr>
            <w:r>
              <w:rPr>
                <w:rFonts w:hint="eastAsia" w:ascii="宋体" w:hAnsi="宋体" w:cs="宋体"/>
                <w:b w:val="0"/>
                <w:bCs/>
                <w:color w:val="000000" w:themeColor="text1"/>
                <w:szCs w:val="21"/>
                <w14:textFill>
                  <w14:solidFill>
                    <w14:schemeClr w14:val="tx1"/>
                  </w14:solidFill>
                </w14:textFill>
              </w:rPr>
              <w:t>年平均值</w:t>
            </w:r>
          </w:p>
        </w:tc>
        <w:tc>
          <w:tcPr>
            <w:tcW w:w="568" w:type="pct"/>
            <w:vAlign w:val="center"/>
          </w:tcPr>
          <w:p w14:paraId="0DF41B17">
            <w:pPr>
              <w:pStyle w:val="542"/>
              <w:spacing w:line="300" w:lineRule="exact"/>
              <w:rPr>
                <w:rFonts w:hint="eastAsia" w:ascii="宋体" w:hAnsi="宋体" w:cs="宋体"/>
                <w:b w:val="0"/>
                <w:bCs/>
                <w:color w:val="000000" w:themeColor="text1"/>
                <w:szCs w:val="21"/>
                <w:lang w:val="en-US"/>
                <w14:textFill>
                  <w14:solidFill>
                    <w14:schemeClr w14:val="tx1"/>
                  </w14:solidFill>
                </w14:textFill>
              </w:rPr>
            </w:pPr>
            <w:r>
              <w:rPr>
                <w:rFonts w:hint="eastAsia" w:ascii="宋体" w:hAnsi="宋体" w:cs="宋体"/>
                <w:b w:val="0"/>
                <w:bCs/>
                <w:color w:val="000000" w:themeColor="text1"/>
                <w:szCs w:val="21"/>
                <w14:textFill>
                  <w14:solidFill>
                    <w14:schemeClr w14:val="tx1"/>
                  </w14:solidFill>
                </w14:textFill>
              </w:rPr>
              <w:t>年平均值</w:t>
            </w:r>
          </w:p>
        </w:tc>
        <w:tc>
          <w:tcPr>
            <w:tcW w:w="487" w:type="pct"/>
            <w:vAlign w:val="center"/>
          </w:tcPr>
          <w:p w14:paraId="68BFF7FA">
            <w:pPr>
              <w:pStyle w:val="542"/>
              <w:spacing w:line="300" w:lineRule="exact"/>
              <w:rPr>
                <w:rFonts w:hint="eastAsia" w:ascii="宋体" w:hAnsi="宋体" w:cs="宋体"/>
                <w:b w:val="0"/>
                <w:bCs/>
                <w:color w:val="000000" w:themeColor="text1"/>
                <w:szCs w:val="21"/>
                <w:lang w:val="en-US"/>
                <w14:textFill>
                  <w14:solidFill>
                    <w14:schemeClr w14:val="tx1"/>
                  </w14:solidFill>
                </w14:textFill>
              </w:rPr>
            </w:pPr>
            <w:r>
              <w:rPr>
                <w:rFonts w:hint="eastAsia" w:ascii="宋体" w:hAnsi="宋体" w:cs="宋体"/>
                <w:b w:val="0"/>
                <w:bCs/>
                <w:color w:val="000000" w:themeColor="text1"/>
                <w:szCs w:val="21"/>
                <w14:textFill>
                  <w14:solidFill>
                    <w14:schemeClr w14:val="tx1"/>
                  </w14:solidFill>
                </w14:textFill>
              </w:rPr>
              <w:t>年平均值</w:t>
            </w:r>
          </w:p>
        </w:tc>
        <w:tc>
          <w:tcPr>
            <w:tcW w:w="487" w:type="pct"/>
            <w:vAlign w:val="center"/>
          </w:tcPr>
          <w:p w14:paraId="27991B9F">
            <w:pPr>
              <w:pStyle w:val="542"/>
              <w:spacing w:line="300" w:lineRule="exact"/>
              <w:rPr>
                <w:rFonts w:hint="eastAsia" w:ascii="宋体" w:hAnsi="宋体" w:cs="宋体"/>
                <w:b w:val="0"/>
                <w:bCs/>
                <w:color w:val="000000" w:themeColor="text1"/>
                <w:szCs w:val="21"/>
                <w:lang w:val="en-US"/>
                <w14:textFill>
                  <w14:solidFill>
                    <w14:schemeClr w14:val="tx1"/>
                  </w14:solidFill>
                </w14:textFill>
              </w:rPr>
            </w:pPr>
            <w:r>
              <w:rPr>
                <w:rFonts w:hint="eastAsia" w:ascii="宋体" w:hAnsi="宋体" w:cs="宋体"/>
                <w:b w:val="0"/>
                <w:bCs/>
                <w:color w:val="000000" w:themeColor="text1"/>
                <w:szCs w:val="21"/>
                <w14:textFill>
                  <w14:solidFill>
                    <w14:schemeClr w14:val="tx1"/>
                  </w14:solidFill>
                </w14:textFill>
              </w:rPr>
              <w:t>年平均值</w:t>
            </w:r>
          </w:p>
        </w:tc>
        <w:tc>
          <w:tcPr>
            <w:tcW w:w="812" w:type="pct"/>
            <w:vAlign w:val="center"/>
          </w:tcPr>
          <w:p w14:paraId="37C56885">
            <w:pPr>
              <w:pStyle w:val="542"/>
              <w:spacing w:line="300" w:lineRule="exact"/>
              <w:rPr>
                <w:rFonts w:hint="eastAsia" w:ascii="宋体" w:hAnsi="宋体" w:cs="宋体"/>
                <w:b w:val="0"/>
                <w:bCs/>
                <w:color w:val="000000" w:themeColor="text1"/>
                <w:szCs w:val="21"/>
                <w:lang w:val="en-US"/>
                <w14:textFill>
                  <w14:solidFill>
                    <w14:schemeClr w14:val="tx1"/>
                  </w14:solidFill>
                </w14:textFill>
              </w:rPr>
            </w:pPr>
            <w:r>
              <w:rPr>
                <w:rFonts w:hint="eastAsia" w:ascii="宋体" w:hAnsi="宋体" w:cs="宋体"/>
                <w:b w:val="0"/>
                <w:bCs/>
                <w:color w:val="000000" w:themeColor="text1"/>
                <w:szCs w:val="21"/>
                <w14:textFill>
                  <w14:solidFill>
                    <w14:schemeClr w14:val="tx1"/>
                  </w14:solidFill>
                </w14:textFill>
              </w:rPr>
              <w:t>24小时平均第95百分位数</w:t>
            </w:r>
          </w:p>
        </w:tc>
        <w:tc>
          <w:tcPr>
            <w:tcW w:w="859" w:type="pct"/>
            <w:tcBorders>
              <w:right w:val="nil"/>
            </w:tcBorders>
            <w:vAlign w:val="center"/>
          </w:tcPr>
          <w:p w14:paraId="2B479447">
            <w:pPr>
              <w:pStyle w:val="542"/>
              <w:spacing w:line="300" w:lineRule="exact"/>
              <w:rPr>
                <w:rFonts w:hint="eastAsia" w:ascii="宋体" w:hAnsi="宋体" w:cs="宋体"/>
                <w:b w:val="0"/>
                <w:bCs/>
                <w:color w:val="000000" w:themeColor="text1"/>
                <w:szCs w:val="21"/>
                <w:lang w:val="en-US"/>
                <w14:textFill>
                  <w14:solidFill>
                    <w14:schemeClr w14:val="tx1"/>
                  </w14:solidFill>
                </w14:textFill>
              </w:rPr>
            </w:pPr>
            <w:r>
              <w:rPr>
                <w:rFonts w:hint="eastAsia" w:ascii="宋体" w:hAnsi="宋体" w:cs="宋体"/>
                <w:b w:val="0"/>
                <w:bCs/>
                <w:color w:val="000000" w:themeColor="text1"/>
                <w:szCs w:val="21"/>
                <w14:textFill>
                  <w14:solidFill>
                    <w14:schemeClr w14:val="tx1"/>
                  </w14:solidFill>
                </w14:textFill>
              </w:rPr>
              <w:t>最大8小时平均第90百分位数</w:t>
            </w:r>
          </w:p>
        </w:tc>
      </w:tr>
      <w:tr w14:paraId="46DA15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380" w:type="pct"/>
            <w:gridSpan w:val="2"/>
            <w:tcBorders>
              <w:left w:val="nil"/>
            </w:tcBorders>
            <w:vAlign w:val="center"/>
          </w:tcPr>
          <w:p w14:paraId="2D6B0445">
            <w:pPr>
              <w:spacing w:line="300" w:lineRule="exact"/>
              <w:jc w:val="center"/>
              <w:rPr>
                <w:rFonts w:hint="eastAsia" w:ascii="宋体" w:hAnsi="宋体" w:cs="宋体"/>
                <w:bCs/>
                <w:color w:val="000000" w:themeColor="text1"/>
                <w:kern w:val="0"/>
                <w:szCs w:val="21"/>
                <w14:textFill>
                  <w14:solidFill>
                    <w14:schemeClr w14:val="tx1"/>
                  </w14:solidFill>
                </w14:textFill>
              </w:rPr>
            </w:pPr>
            <w:r>
              <w:rPr>
                <w:rFonts w:hint="eastAsia" w:ascii="宋体" w:hAnsi="宋体" w:cs="宋体"/>
                <w:bCs/>
                <w:color w:val="000000" w:themeColor="text1"/>
                <w:kern w:val="0"/>
                <w:szCs w:val="21"/>
                <w14:textFill>
                  <w14:solidFill>
                    <w14:schemeClr w14:val="tx1"/>
                  </w14:solidFill>
                </w14:textFill>
              </w:rPr>
              <w:t>标准值（μg/m</w:t>
            </w:r>
            <w:r>
              <w:rPr>
                <w:rFonts w:hint="eastAsia" w:ascii="宋体" w:hAnsi="宋体" w:cs="宋体"/>
                <w:bCs/>
                <w:color w:val="000000" w:themeColor="text1"/>
                <w:kern w:val="0"/>
                <w:szCs w:val="21"/>
                <w:vertAlign w:val="superscript"/>
                <w14:textFill>
                  <w14:solidFill>
                    <w14:schemeClr w14:val="tx1"/>
                  </w14:solidFill>
                </w14:textFill>
              </w:rPr>
              <w:t>3</w:t>
            </w:r>
            <w:r>
              <w:rPr>
                <w:rFonts w:hint="eastAsia" w:ascii="宋体" w:hAnsi="宋体" w:cs="宋体"/>
                <w:bCs/>
                <w:color w:val="000000" w:themeColor="text1"/>
                <w:kern w:val="0"/>
                <w:szCs w:val="21"/>
                <w14:textFill>
                  <w14:solidFill>
                    <w14:schemeClr w14:val="tx1"/>
                  </w14:solidFill>
                </w14:textFill>
              </w:rPr>
              <w:t>）</w:t>
            </w:r>
          </w:p>
        </w:tc>
        <w:tc>
          <w:tcPr>
            <w:tcW w:w="407" w:type="pct"/>
            <w:vAlign w:val="center"/>
          </w:tcPr>
          <w:p w14:paraId="7D8F8788">
            <w:pPr>
              <w:pStyle w:val="542"/>
              <w:spacing w:line="300" w:lineRule="exact"/>
              <w:rPr>
                <w:rFonts w:hint="eastAsia" w:ascii="宋体" w:hAnsi="宋体" w:cs="宋体"/>
                <w:b w:val="0"/>
                <w:bCs/>
                <w:color w:val="000000" w:themeColor="text1"/>
                <w:szCs w:val="21"/>
                <w:lang w:val="en-US"/>
                <w14:textFill>
                  <w14:solidFill>
                    <w14:schemeClr w14:val="tx1"/>
                  </w14:solidFill>
                </w14:textFill>
              </w:rPr>
            </w:pPr>
            <w:r>
              <w:rPr>
                <w:rFonts w:hint="eastAsia" w:ascii="宋体" w:hAnsi="宋体" w:cs="宋体"/>
                <w:b w:val="0"/>
                <w:bCs/>
                <w:color w:val="000000" w:themeColor="text1"/>
                <w:szCs w:val="21"/>
                <w:lang w:val="en-US"/>
                <w14:textFill>
                  <w14:solidFill>
                    <w14:schemeClr w14:val="tx1"/>
                  </w14:solidFill>
                </w14:textFill>
              </w:rPr>
              <w:t>60</w:t>
            </w:r>
          </w:p>
        </w:tc>
        <w:tc>
          <w:tcPr>
            <w:tcW w:w="568" w:type="pct"/>
            <w:vAlign w:val="center"/>
          </w:tcPr>
          <w:p w14:paraId="064F5CA7">
            <w:pPr>
              <w:pStyle w:val="542"/>
              <w:spacing w:line="300" w:lineRule="exact"/>
              <w:rPr>
                <w:rFonts w:hint="eastAsia" w:ascii="宋体" w:hAnsi="宋体" w:cs="宋体"/>
                <w:b w:val="0"/>
                <w:bCs/>
                <w:color w:val="000000" w:themeColor="text1"/>
                <w:szCs w:val="21"/>
                <w:lang w:val="en-US"/>
                <w14:textFill>
                  <w14:solidFill>
                    <w14:schemeClr w14:val="tx1"/>
                  </w14:solidFill>
                </w14:textFill>
              </w:rPr>
            </w:pPr>
            <w:r>
              <w:rPr>
                <w:rFonts w:hint="eastAsia" w:ascii="宋体" w:hAnsi="宋体" w:cs="宋体"/>
                <w:b w:val="0"/>
                <w:bCs/>
                <w:color w:val="000000" w:themeColor="text1"/>
                <w:szCs w:val="21"/>
                <w:lang w:val="en-US"/>
                <w14:textFill>
                  <w14:solidFill>
                    <w14:schemeClr w14:val="tx1"/>
                  </w14:solidFill>
                </w14:textFill>
              </w:rPr>
              <w:t>40</w:t>
            </w:r>
          </w:p>
        </w:tc>
        <w:tc>
          <w:tcPr>
            <w:tcW w:w="487" w:type="pct"/>
            <w:vAlign w:val="center"/>
          </w:tcPr>
          <w:p w14:paraId="2DA22A0B">
            <w:pPr>
              <w:pStyle w:val="542"/>
              <w:spacing w:line="300" w:lineRule="exact"/>
              <w:rPr>
                <w:rFonts w:hint="eastAsia" w:ascii="宋体" w:hAnsi="宋体" w:cs="宋体"/>
                <w:b w:val="0"/>
                <w:bCs/>
                <w:color w:val="000000" w:themeColor="text1"/>
                <w:szCs w:val="21"/>
                <w:lang w:val="en-US"/>
                <w14:textFill>
                  <w14:solidFill>
                    <w14:schemeClr w14:val="tx1"/>
                  </w14:solidFill>
                </w14:textFill>
              </w:rPr>
            </w:pPr>
            <w:r>
              <w:rPr>
                <w:rFonts w:hint="eastAsia" w:ascii="宋体" w:hAnsi="宋体" w:cs="宋体"/>
                <w:b w:val="0"/>
                <w:bCs/>
                <w:color w:val="000000" w:themeColor="text1"/>
                <w:szCs w:val="21"/>
                <w:lang w:val="en-US"/>
                <w14:textFill>
                  <w14:solidFill>
                    <w14:schemeClr w14:val="tx1"/>
                  </w14:solidFill>
                </w14:textFill>
              </w:rPr>
              <w:t>70</w:t>
            </w:r>
          </w:p>
        </w:tc>
        <w:tc>
          <w:tcPr>
            <w:tcW w:w="487" w:type="pct"/>
            <w:vAlign w:val="center"/>
          </w:tcPr>
          <w:p w14:paraId="4133A463">
            <w:pPr>
              <w:pStyle w:val="542"/>
              <w:spacing w:line="300" w:lineRule="exact"/>
              <w:rPr>
                <w:rFonts w:hint="eastAsia" w:ascii="宋体" w:hAnsi="宋体" w:cs="宋体"/>
                <w:b w:val="0"/>
                <w:bCs/>
                <w:color w:val="000000" w:themeColor="text1"/>
                <w:szCs w:val="21"/>
                <w:lang w:val="en-US"/>
                <w14:textFill>
                  <w14:solidFill>
                    <w14:schemeClr w14:val="tx1"/>
                  </w14:solidFill>
                </w14:textFill>
              </w:rPr>
            </w:pPr>
            <w:r>
              <w:rPr>
                <w:rFonts w:hint="eastAsia" w:ascii="宋体" w:hAnsi="宋体" w:cs="宋体"/>
                <w:b w:val="0"/>
                <w:bCs/>
                <w:color w:val="000000" w:themeColor="text1"/>
                <w:szCs w:val="21"/>
                <w:lang w:val="en-US"/>
                <w14:textFill>
                  <w14:solidFill>
                    <w14:schemeClr w14:val="tx1"/>
                  </w14:solidFill>
                </w14:textFill>
              </w:rPr>
              <w:t>35</w:t>
            </w:r>
          </w:p>
        </w:tc>
        <w:tc>
          <w:tcPr>
            <w:tcW w:w="812" w:type="pct"/>
            <w:vAlign w:val="center"/>
          </w:tcPr>
          <w:p w14:paraId="7536533C">
            <w:pPr>
              <w:pStyle w:val="542"/>
              <w:spacing w:line="300" w:lineRule="exact"/>
              <w:rPr>
                <w:rFonts w:hint="eastAsia" w:ascii="宋体" w:hAnsi="宋体" w:cs="宋体"/>
                <w:b w:val="0"/>
                <w:bCs/>
                <w:color w:val="000000" w:themeColor="text1"/>
                <w:szCs w:val="21"/>
                <w:lang w:val="en-US"/>
                <w14:textFill>
                  <w14:solidFill>
                    <w14:schemeClr w14:val="tx1"/>
                  </w14:solidFill>
                </w14:textFill>
              </w:rPr>
            </w:pPr>
            <w:r>
              <w:rPr>
                <w:rFonts w:hint="eastAsia" w:ascii="宋体" w:hAnsi="宋体" w:cs="宋体"/>
                <w:b w:val="0"/>
                <w:bCs/>
                <w:color w:val="000000" w:themeColor="text1"/>
                <w:szCs w:val="21"/>
                <w:lang w:val="en-US"/>
                <w14:textFill>
                  <w14:solidFill>
                    <w14:schemeClr w14:val="tx1"/>
                  </w14:solidFill>
                </w14:textFill>
              </w:rPr>
              <w:t>4000</w:t>
            </w:r>
          </w:p>
        </w:tc>
        <w:tc>
          <w:tcPr>
            <w:tcW w:w="859" w:type="pct"/>
            <w:tcBorders>
              <w:right w:val="nil"/>
            </w:tcBorders>
            <w:vAlign w:val="center"/>
          </w:tcPr>
          <w:p w14:paraId="40242CDE">
            <w:pPr>
              <w:pStyle w:val="542"/>
              <w:spacing w:line="300" w:lineRule="exact"/>
              <w:rPr>
                <w:rFonts w:hint="eastAsia" w:ascii="宋体" w:hAnsi="宋体" w:cs="宋体"/>
                <w:b w:val="0"/>
                <w:bCs/>
                <w:color w:val="000000" w:themeColor="text1"/>
                <w:szCs w:val="21"/>
                <w:lang w:val="en-US"/>
                <w14:textFill>
                  <w14:solidFill>
                    <w14:schemeClr w14:val="tx1"/>
                  </w14:solidFill>
                </w14:textFill>
              </w:rPr>
            </w:pPr>
            <w:r>
              <w:rPr>
                <w:rFonts w:hint="eastAsia" w:ascii="宋体" w:hAnsi="宋体" w:cs="宋体"/>
                <w:b w:val="0"/>
                <w:bCs/>
                <w:color w:val="000000" w:themeColor="text1"/>
                <w:szCs w:val="21"/>
                <w:lang w:val="en-US"/>
                <w14:textFill>
                  <w14:solidFill>
                    <w14:schemeClr w14:val="tx1"/>
                  </w14:solidFill>
                </w14:textFill>
              </w:rPr>
              <w:t>160</w:t>
            </w:r>
          </w:p>
        </w:tc>
      </w:tr>
      <w:tr w14:paraId="4074C3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42" w:type="pct"/>
            <w:vMerge w:val="restart"/>
            <w:tcBorders>
              <w:left w:val="nil"/>
            </w:tcBorders>
            <w:vAlign w:val="center"/>
          </w:tcPr>
          <w:p w14:paraId="37680865">
            <w:pPr>
              <w:pStyle w:val="542"/>
              <w:spacing w:line="300" w:lineRule="exact"/>
              <w:rPr>
                <w:rFonts w:hint="eastAsia" w:ascii="宋体" w:hAnsi="宋体" w:cs="宋体"/>
                <w:b w:val="0"/>
                <w:bCs/>
                <w:color w:val="000000" w:themeColor="text1"/>
                <w:szCs w:val="21"/>
                <w:lang w:val="en-US"/>
                <w14:textFill>
                  <w14:solidFill>
                    <w14:schemeClr w14:val="tx1"/>
                  </w14:solidFill>
                </w14:textFill>
              </w:rPr>
            </w:pPr>
            <w:r>
              <w:rPr>
                <w:rFonts w:hint="eastAsia" w:ascii="宋体" w:hAnsi="宋体" w:cs="宋体"/>
                <w:b w:val="0"/>
                <w:bCs/>
                <w:color w:val="000000" w:themeColor="text1"/>
                <w:szCs w:val="21"/>
                <w:lang w:val="en-US"/>
                <w14:textFill>
                  <w14:solidFill>
                    <w14:schemeClr w14:val="tx1"/>
                  </w14:solidFill>
                </w14:textFill>
              </w:rPr>
              <w:t>2019年</w:t>
            </w:r>
          </w:p>
        </w:tc>
        <w:tc>
          <w:tcPr>
            <w:tcW w:w="838" w:type="pct"/>
            <w:vAlign w:val="center"/>
          </w:tcPr>
          <w:p w14:paraId="2D16D9E4">
            <w:pPr>
              <w:spacing w:line="300" w:lineRule="exact"/>
              <w:jc w:val="center"/>
              <w:rPr>
                <w:rFonts w:hint="eastAsia" w:ascii="宋体" w:hAnsi="宋体" w:cs="宋体"/>
                <w:bCs/>
                <w:color w:val="000000" w:themeColor="text1"/>
                <w:kern w:val="0"/>
                <w:szCs w:val="21"/>
                <w14:textFill>
                  <w14:solidFill>
                    <w14:schemeClr w14:val="tx1"/>
                  </w14:solidFill>
                </w14:textFill>
              </w:rPr>
            </w:pPr>
            <w:r>
              <w:rPr>
                <w:rFonts w:hint="eastAsia" w:ascii="宋体" w:hAnsi="宋体" w:cs="宋体"/>
                <w:bCs/>
                <w:color w:val="000000" w:themeColor="text1"/>
                <w:kern w:val="0"/>
                <w:szCs w:val="21"/>
                <w14:textFill>
                  <w14:solidFill>
                    <w14:schemeClr w14:val="tx1"/>
                  </w14:solidFill>
                </w14:textFill>
              </w:rPr>
              <w:t>现状浓度</w:t>
            </w:r>
          </w:p>
          <w:p w14:paraId="60B1D971">
            <w:pPr>
              <w:spacing w:line="300" w:lineRule="exact"/>
              <w:jc w:val="center"/>
              <w:rPr>
                <w:rFonts w:hint="eastAsia" w:ascii="宋体" w:hAnsi="宋体" w:cs="宋体"/>
                <w:bCs/>
                <w:color w:val="000000" w:themeColor="text1"/>
                <w:kern w:val="0"/>
                <w:szCs w:val="21"/>
                <w14:textFill>
                  <w14:solidFill>
                    <w14:schemeClr w14:val="tx1"/>
                  </w14:solidFill>
                </w14:textFill>
              </w:rPr>
            </w:pPr>
            <w:r>
              <w:rPr>
                <w:rFonts w:hint="eastAsia" w:ascii="宋体" w:hAnsi="宋体" w:cs="宋体"/>
                <w:bCs/>
                <w:color w:val="000000" w:themeColor="text1"/>
                <w:kern w:val="0"/>
                <w:szCs w:val="21"/>
                <w14:textFill>
                  <w14:solidFill>
                    <w14:schemeClr w14:val="tx1"/>
                  </w14:solidFill>
                </w14:textFill>
              </w:rPr>
              <w:t>(μg/m</w:t>
            </w:r>
            <w:r>
              <w:rPr>
                <w:rFonts w:hint="eastAsia" w:ascii="宋体" w:hAnsi="宋体" w:cs="宋体"/>
                <w:bCs/>
                <w:color w:val="000000" w:themeColor="text1"/>
                <w:kern w:val="0"/>
                <w:szCs w:val="21"/>
                <w:vertAlign w:val="superscript"/>
                <w14:textFill>
                  <w14:solidFill>
                    <w14:schemeClr w14:val="tx1"/>
                  </w14:solidFill>
                </w14:textFill>
              </w:rPr>
              <w:t>3</w:t>
            </w:r>
            <w:r>
              <w:rPr>
                <w:rFonts w:hint="eastAsia" w:ascii="宋体" w:hAnsi="宋体" w:cs="宋体"/>
                <w:bCs/>
                <w:color w:val="000000" w:themeColor="text1"/>
                <w:kern w:val="0"/>
                <w:szCs w:val="21"/>
                <w14:textFill>
                  <w14:solidFill>
                    <w14:schemeClr w14:val="tx1"/>
                  </w14:solidFill>
                </w14:textFill>
              </w:rPr>
              <w:t>)</w:t>
            </w:r>
          </w:p>
        </w:tc>
        <w:tc>
          <w:tcPr>
            <w:tcW w:w="407" w:type="pct"/>
            <w:vAlign w:val="center"/>
          </w:tcPr>
          <w:p w14:paraId="21EFA72F">
            <w:pPr>
              <w:pStyle w:val="542"/>
              <w:spacing w:line="300" w:lineRule="exact"/>
              <w:rPr>
                <w:rFonts w:hint="eastAsia" w:ascii="宋体" w:hAnsi="宋体" w:cs="宋体"/>
                <w:b w:val="0"/>
                <w:bCs/>
                <w:color w:val="000000" w:themeColor="text1"/>
                <w:szCs w:val="21"/>
                <w:lang w:val="en-US"/>
                <w14:textFill>
                  <w14:solidFill>
                    <w14:schemeClr w14:val="tx1"/>
                  </w14:solidFill>
                </w14:textFill>
              </w:rPr>
            </w:pPr>
            <w:r>
              <w:rPr>
                <w:rFonts w:hint="eastAsia" w:ascii="宋体" w:hAnsi="宋体" w:cs="宋体"/>
                <w:b w:val="0"/>
                <w:bCs/>
                <w:color w:val="000000" w:themeColor="text1"/>
                <w:szCs w:val="21"/>
                <w:lang w:val="en-US"/>
                <w14:textFill>
                  <w14:solidFill>
                    <w14:schemeClr w14:val="tx1"/>
                  </w14:solidFill>
                </w14:textFill>
              </w:rPr>
              <w:t>8</w:t>
            </w:r>
          </w:p>
        </w:tc>
        <w:tc>
          <w:tcPr>
            <w:tcW w:w="568" w:type="pct"/>
            <w:vAlign w:val="center"/>
          </w:tcPr>
          <w:p w14:paraId="01ED7578">
            <w:pPr>
              <w:pStyle w:val="542"/>
              <w:spacing w:line="300" w:lineRule="exact"/>
              <w:rPr>
                <w:rFonts w:hint="eastAsia" w:ascii="宋体" w:hAnsi="宋体" w:cs="宋体"/>
                <w:b w:val="0"/>
                <w:bCs/>
                <w:color w:val="000000" w:themeColor="text1"/>
                <w:szCs w:val="21"/>
                <w:lang w:val="en-US"/>
                <w14:textFill>
                  <w14:solidFill>
                    <w14:schemeClr w14:val="tx1"/>
                  </w14:solidFill>
                </w14:textFill>
              </w:rPr>
            </w:pPr>
            <w:r>
              <w:rPr>
                <w:rFonts w:hint="eastAsia" w:ascii="宋体" w:hAnsi="宋体" w:cs="宋体"/>
                <w:b w:val="0"/>
                <w:bCs/>
                <w:color w:val="000000" w:themeColor="text1"/>
                <w:szCs w:val="21"/>
                <w:lang w:val="en-US"/>
                <w14:textFill>
                  <w14:solidFill>
                    <w14:schemeClr w14:val="tx1"/>
                  </w14:solidFill>
                </w14:textFill>
              </w:rPr>
              <w:t>15</w:t>
            </w:r>
          </w:p>
        </w:tc>
        <w:tc>
          <w:tcPr>
            <w:tcW w:w="487" w:type="pct"/>
            <w:vAlign w:val="center"/>
          </w:tcPr>
          <w:p w14:paraId="0DC02356">
            <w:pPr>
              <w:pStyle w:val="542"/>
              <w:spacing w:line="300" w:lineRule="exact"/>
              <w:rPr>
                <w:rFonts w:hint="eastAsia" w:ascii="宋体" w:hAnsi="宋体" w:cs="宋体"/>
                <w:b w:val="0"/>
                <w:bCs/>
                <w:color w:val="000000" w:themeColor="text1"/>
                <w:szCs w:val="21"/>
                <w:lang w:val="en-US"/>
                <w14:textFill>
                  <w14:solidFill>
                    <w14:schemeClr w14:val="tx1"/>
                  </w14:solidFill>
                </w14:textFill>
              </w:rPr>
            </w:pPr>
            <w:r>
              <w:rPr>
                <w:rFonts w:hint="eastAsia" w:ascii="宋体" w:hAnsi="宋体" w:cs="宋体"/>
                <w:b w:val="0"/>
                <w:bCs/>
                <w:color w:val="000000" w:themeColor="text1"/>
                <w:szCs w:val="21"/>
                <w:lang w:val="en-US"/>
                <w14:textFill>
                  <w14:solidFill>
                    <w14:schemeClr w14:val="tx1"/>
                  </w14:solidFill>
                </w14:textFill>
              </w:rPr>
              <w:t>83</w:t>
            </w:r>
          </w:p>
        </w:tc>
        <w:tc>
          <w:tcPr>
            <w:tcW w:w="487" w:type="pct"/>
            <w:vAlign w:val="center"/>
          </w:tcPr>
          <w:p w14:paraId="1F184A33">
            <w:pPr>
              <w:pStyle w:val="542"/>
              <w:spacing w:line="300" w:lineRule="exact"/>
              <w:rPr>
                <w:rFonts w:hint="eastAsia" w:ascii="宋体" w:hAnsi="宋体" w:cs="宋体"/>
                <w:b w:val="0"/>
                <w:bCs/>
                <w:color w:val="000000" w:themeColor="text1"/>
                <w:szCs w:val="21"/>
                <w:lang w:val="en-US"/>
                <w14:textFill>
                  <w14:solidFill>
                    <w14:schemeClr w14:val="tx1"/>
                  </w14:solidFill>
                </w14:textFill>
              </w:rPr>
            </w:pPr>
            <w:r>
              <w:rPr>
                <w:rFonts w:hint="eastAsia" w:ascii="宋体" w:hAnsi="宋体" w:cs="宋体"/>
                <w:b w:val="0"/>
                <w:bCs/>
                <w:color w:val="000000" w:themeColor="text1"/>
                <w:szCs w:val="21"/>
                <w:lang w:val="en-US"/>
                <w14:textFill>
                  <w14:solidFill>
                    <w14:schemeClr w14:val="tx1"/>
                  </w14:solidFill>
                </w14:textFill>
              </w:rPr>
              <w:t>48</w:t>
            </w:r>
          </w:p>
        </w:tc>
        <w:tc>
          <w:tcPr>
            <w:tcW w:w="812" w:type="pct"/>
            <w:vAlign w:val="center"/>
          </w:tcPr>
          <w:p w14:paraId="01E35A9A">
            <w:pPr>
              <w:pStyle w:val="542"/>
              <w:spacing w:line="300" w:lineRule="exact"/>
              <w:rPr>
                <w:rFonts w:hint="eastAsia" w:ascii="宋体" w:hAnsi="宋体" w:cs="宋体"/>
                <w:b w:val="0"/>
                <w:bCs/>
                <w:color w:val="000000" w:themeColor="text1"/>
                <w:szCs w:val="21"/>
                <w:lang w:val="en-US"/>
                <w14:textFill>
                  <w14:solidFill>
                    <w14:schemeClr w14:val="tx1"/>
                  </w14:solidFill>
                </w14:textFill>
              </w:rPr>
            </w:pPr>
            <w:r>
              <w:rPr>
                <w:rFonts w:hint="eastAsia" w:ascii="宋体" w:hAnsi="宋体" w:cs="宋体"/>
                <w:b w:val="0"/>
                <w:bCs/>
                <w:color w:val="000000" w:themeColor="text1"/>
                <w:szCs w:val="21"/>
                <w:lang w:val="en-US"/>
                <w14:textFill>
                  <w14:solidFill>
                    <w14:schemeClr w14:val="tx1"/>
                  </w14:solidFill>
                </w14:textFill>
              </w:rPr>
              <w:t>1000</w:t>
            </w:r>
          </w:p>
        </w:tc>
        <w:tc>
          <w:tcPr>
            <w:tcW w:w="859" w:type="pct"/>
            <w:tcBorders>
              <w:right w:val="nil"/>
            </w:tcBorders>
            <w:vAlign w:val="center"/>
          </w:tcPr>
          <w:p w14:paraId="0A1771C8">
            <w:pPr>
              <w:pStyle w:val="542"/>
              <w:spacing w:line="300" w:lineRule="exact"/>
              <w:rPr>
                <w:rFonts w:hint="eastAsia" w:ascii="宋体" w:hAnsi="宋体" w:cs="宋体"/>
                <w:b w:val="0"/>
                <w:bCs/>
                <w:color w:val="000000" w:themeColor="text1"/>
                <w:szCs w:val="21"/>
                <w:lang w:val="en-US"/>
                <w14:textFill>
                  <w14:solidFill>
                    <w14:schemeClr w14:val="tx1"/>
                  </w14:solidFill>
                </w14:textFill>
              </w:rPr>
            </w:pPr>
            <w:r>
              <w:rPr>
                <w:rFonts w:hint="eastAsia" w:ascii="宋体" w:hAnsi="宋体" w:cs="宋体"/>
                <w:b w:val="0"/>
                <w:bCs/>
                <w:color w:val="000000" w:themeColor="text1"/>
                <w:szCs w:val="21"/>
                <w:lang w:val="en-US"/>
                <w14:textFill>
                  <w14:solidFill>
                    <w14:schemeClr w14:val="tx1"/>
                  </w14:solidFill>
                </w14:textFill>
              </w:rPr>
              <w:t>82</w:t>
            </w:r>
          </w:p>
        </w:tc>
      </w:tr>
      <w:tr w14:paraId="0CACA5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42" w:type="pct"/>
            <w:vMerge w:val="continue"/>
            <w:tcBorders>
              <w:left w:val="nil"/>
            </w:tcBorders>
            <w:vAlign w:val="center"/>
          </w:tcPr>
          <w:p w14:paraId="5A6D84D1">
            <w:pPr>
              <w:pStyle w:val="542"/>
              <w:spacing w:line="300" w:lineRule="exact"/>
              <w:rPr>
                <w:rFonts w:hint="eastAsia" w:ascii="宋体" w:hAnsi="宋体" w:cs="宋体"/>
                <w:b w:val="0"/>
                <w:bCs/>
                <w:color w:val="000000" w:themeColor="text1"/>
                <w:szCs w:val="21"/>
                <w:lang w:val="en-US"/>
                <w14:textFill>
                  <w14:solidFill>
                    <w14:schemeClr w14:val="tx1"/>
                  </w14:solidFill>
                </w14:textFill>
              </w:rPr>
            </w:pPr>
          </w:p>
        </w:tc>
        <w:tc>
          <w:tcPr>
            <w:tcW w:w="838" w:type="pct"/>
            <w:vAlign w:val="center"/>
          </w:tcPr>
          <w:p w14:paraId="368D2250">
            <w:pPr>
              <w:spacing w:line="300" w:lineRule="exact"/>
              <w:jc w:val="center"/>
              <w:rPr>
                <w:rFonts w:hint="eastAsia" w:ascii="宋体" w:hAnsi="宋体" w:cs="宋体"/>
                <w:bCs/>
                <w:color w:val="000000" w:themeColor="text1"/>
                <w:kern w:val="0"/>
                <w:szCs w:val="21"/>
                <w14:textFill>
                  <w14:solidFill>
                    <w14:schemeClr w14:val="tx1"/>
                  </w14:solidFill>
                </w14:textFill>
              </w:rPr>
            </w:pPr>
            <w:r>
              <w:rPr>
                <w:rFonts w:hint="eastAsia" w:ascii="宋体" w:hAnsi="宋体" w:cs="宋体"/>
                <w:bCs/>
                <w:color w:val="000000" w:themeColor="text1"/>
                <w:kern w:val="0"/>
                <w:szCs w:val="21"/>
                <w14:textFill>
                  <w14:solidFill>
                    <w14:schemeClr w14:val="tx1"/>
                  </w14:solidFill>
                </w14:textFill>
              </w:rPr>
              <w:t>占标率（%）</w:t>
            </w:r>
          </w:p>
        </w:tc>
        <w:tc>
          <w:tcPr>
            <w:tcW w:w="407" w:type="pct"/>
            <w:vAlign w:val="center"/>
          </w:tcPr>
          <w:p w14:paraId="5F6A2F7A">
            <w:pPr>
              <w:pStyle w:val="542"/>
              <w:spacing w:line="300" w:lineRule="exact"/>
              <w:rPr>
                <w:rFonts w:hint="eastAsia" w:ascii="宋体" w:hAnsi="宋体" w:cs="宋体"/>
                <w:b w:val="0"/>
                <w:bCs/>
                <w:color w:val="000000" w:themeColor="text1"/>
                <w:szCs w:val="21"/>
                <w:lang w:val="en-US"/>
                <w14:textFill>
                  <w14:solidFill>
                    <w14:schemeClr w14:val="tx1"/>
                  </w14:solidFill>
                </w14:textFill>
              </w:rPr>
            </w:pPr>
            <w:r>
              <w:rPr>
                <w:rFonts w:hint="eastAsia" w:ascii="宋体" w:hAnsi="宋体" w:cs="宋体"/>
                <w:b w:val="0"/>
                <w:bCs/>
                <w:color w:val="000000" w:themeColor="text1"/>
                <w:szCs w:val="21"/>
                <w:lang w:val="en-US"/>
                <w14:textFill>
                  <w14:solidFill>
                    <w14:schemeClr w14:val="tx1"/>
                  </w14:solidFill>
                </w14:textFill>
              </w:rPr>
              <w:t>13.3</w:t>
            </w:r>
          </w:p>
        </w:tc>
        <w:tc>
          <w:tcPr>
            <w:tcW w:w="568" w:type="pct"/>
            <w:vAlign w:val="center"/>
          </w:tcPr>
          <w:p w14:paraId="07AC420D">
            <w:pPr>
              <w:pStyle w:val="542"/>
              <w:spacing w:line="300" w:lineRule="exact"/>
              <w:rPr>
                <w:rFonts w:hint="eastAsia" w:ascii="宋体" w:hAnsi="宋体" w:cs="宋体"/>
                <w:b w:val="0"/>
                <w:bCs/>
                <w:color w:val="000000" w:themeColor="text1"/>
                <w:szCs w:val="21"/>
                <w:lang w:val="en-US"/>
                <w14:textFill>
                  <w14:solidFill>
                    <w14:schemeClr w14:val="tx1"/>
                  </w14:solidFill>
                </w14:textFill>
              </w:rPr>
            </w:pPr>
            <w:r>
              <w:rPr>
                <w:rFonts w:hint="eastAsia" w:ascii="宋体" w:hAnsi="宋体" w:cs="宋体"/>
                <w:b w:val="0"/>
                <w:bCs/>
                <w:color w:val="000000" w:themeColor="text1"/>
                <w:szCs w:val="21"/>
                <w:lang w:val="en-US"/>
                <w14:textFill>
                  <w14:solidFill>
                    <w14:schemeClr w14:val="tx1"/>
                  </w14:solidFill>
                </w14:textFill>
              </w:rPr>
              <w:t>37.5</w:t>
            </w:r>
          </w:p>
        </w:tc>
        <w:tc>
          <w:tcPr>
            <w:tcW w:w="487" w:type="pct"/>
            <w:vAlign w:val="center"/>
          </w:tcPr>
          <w:p w14:paraId="766EA152">
            <w:pPr>
              <w:pStyle w:val="542"/>
              <w:spacing w:line="300" w:lineRule="exact"/>
              <w:rPr>
                <w:rFonts w:hint="eastAsia" w:ascii="宋体" w:hAnsi="宋体" w:cs="宋体"/>
                <w:b w:val="0"/>
                <w:bCs/>
                <w:color w:val="000000" w:themeColor="text1"/>
                <w:szCs w:val="21"/>
                <w:lang w:val="en-US"/>
                <w14:textFill>
                  <w14:solidFill>
                    <w14:schemeClr w14:val="tx1"/>
                  </w14:solidFill>
                </w14:textFill>
              </w:rPr>
            </w:pPr>
            <w:r>
              <w:rPr>
                <w:rFonts w:hint="eastAsia" w:ascii="宋体" w:hAnsi="宋体" w:cs="宋体"/>
                <w:b w:val="0"/>
                <w:bCs/>
                <w:color w:val="000000" w:themeColor="text1"/>
                <w:szCs w:val="21"/>
                <w:lang w:val="en-US"/>
                <w14:textFill>
                  <w14:solidFill>
                    <w14:schemeClr w14:val="tx1"/>
                  </w14:solidFill>
                </w14:textFill>
              </w:rPr>
              <w:t>118.6</w:t>
            </w:r>
          </w:p>
        </w:tc>
        <w:tc>
          <w:tcPr>
            <w:tcW w:w="487" w:type="pct"/>
            <w:vAlign w:val="center"/>
          </w:tcPr>
          <w:p w14:paraId="0D2FB443">
            <w:pPr>
              <w:pStyle w:val="542"/>
              <w:spacing w:line="300" w:lineRule="exact"/>
              <w:rPr>
                <w:rFonts w:hint="eastAsia" w:ascii="宋体" w:hAnsi="宋体" w:cs="宋体"/>
                <w:b w:val="0"/>
                <w:bCs/>
                <w:color w:val="000000" w:themeColor="text1"/>
                <w:szCs w:val="21"/>
                <w:lang w:val="en-US"/>
                <w14:textFill>
                  <w14:solidFill>
                    <w14:schemeClr w14:val="tx1"/>
                  </w14:solidFill>
                </w14:textFill>
              </w:rPr>
            </w:pPr>
            <w:r>
              <w:rPr>
                <w:rFonts w:hint="eastAsia" w:ascii="宋体" w:hAnsi="宋体" w:cs="宋体"/>
                <w:b w:val="0"/>
                <w:bCs/>
                <w:color w:val="000000" w:themeColor="text1"/>
                <w:szCs w:val="21"/>
                <w:lang w:val="en-US"/>
                <w14:textFill>
                  <w14:solidFill>
                    <w14:schemeClr w14:val="tx1"/>
                  </w14:solidFill>
                </w14:textFill>
              </w:rPr>
              <w:t>137.1</w:t>
            </w:r>
          </w:p>
        </w:tc>
        <w:tc>
          <w:tcPr>
            <w:tcW w:w="812" w:type="pct"/>
            <w:vAlign w:val="center"/>
          </w:tcPr>
          <w:p w14:paraId="7A233059">
            <w:pPr>
              <w:pStyle w:val="542"/>
              <w:spacing w:line="300" w:lineRule="exact"/>
              <w:rPr>
                <w:rFonts w:hint="eastAsia" w:ascii="宋体" w:hAnsi="宋体" w:cs="宋体"/>
                <w:b w:val="0"/>
                <w:bCs/>
                <w:color w:val="000000" w:themeColor="text1"/>
                <w:szCs w:val="21"/>
                <w:lang w:val="en-US"/>
                <w14:textFill>
                  <w14:solidFill>
                    <w14:schemeClr w14:val="tx1"/>
                  </w14:solidFill>
                </w14:textFill>
              </w:rPr>
            </w:pPr>
            <w:r>
              <w:rPr>
                <w:rFonts w:hint="eastAsia" w:ascii="宋体" w:hAnsi="宋体" w:cs="宋体"/>
                <w:b w:val="0"/>
                <w:bCs/>
                <w:color w:val="000000" w:themeColor="text1"/>
                <w:szCs w:val="21"/>
                <w:lang w:val="en-US"/>
                <w14:textFill>
                  <w14:solidFill>
                    <w14:schemeClr w14:val="tx1"/>
                  </w14:solidFill>
                </w14:textFill>
              </w:rPr>
              <w:t>25</w:t>
            </w:r>
          </w:p>
        </w:tc>
        <w:tc>
          <w:tcPr>
            <w:tcW w:w="859" w:type="pct"/>
            <w:tcBorders>
              <w:right w:val="nil"/>
            </w:tcBorders>
            <w:vAlign w:val="center"/>
          </w:tcPr>
          <w:p w14:paraId="3302C782">
            <w:pPr>
              <w:pStyle w:val="542"/>
              <w:spacing w:line="300" w:lineRule="exact"/>
              <w:rPr>
                <w:rFonts w:hint="eastAsia" w:ascii="宋体" w:hAnsi="宋体" w:cs="宋体"/>
                <w:b w:val="0"/>
                <w:bCs/>
                <w:color w:val="000000" w:themeColor="text1"/>
                <w:szCs w:val="21"/>
                <w:lang w:val="en-US"/>
                <w14:textFill>
                  <w14:solidFill>
                    <w14:schemeClr w14:val="tx1"/>
                  </w14:solidFill>
                </w14:textFill>
              </w:rPr>
            </w:pPr>
            <w:r>
              <w:rPr>
                <w:rFonts w:hint="eastAsia" w:ascii="宋体" w:hAnsi="宋体" w:cs="宋体"/>
                <w:b w:val="0"/>
                <w:bCs/>
                <w:color w:val="000000" w:themeColor="text1"/>
                <w:szCs w:val="21"/>
                <w:lang w:val="en-US"/>
                <w14:textFill>
                  <w14:solidFill>
                    <w14:schemeClr w14:val="tx1"/>
                  </w14:solidFill>
                </w14:textFill>
              </w:rPr>
              <w:t>51.3</w:t>
            </w:r>
          </w:p>
        </w:tc>
      </w:tr>
      <w:tr w14:paraId="2774B3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42" w:type="pct"/>
            <w:vMerge w:val="continue"/>
            <w:tcBorders>
              <w:left w:val="nil"/>
            </w:tcBorders>
            <w:vAlign w:val="center"/>
          </w:tcPr>
          <w:p w14:paraId="565FF405">
            <w:pPr>
              <w:pStyle w:val="542"/>
              <w:spacing w:line="300" w:lineRule="exact"/>
              <w:rPr>
                <w:rFonts w:hint="eastAsia" w:ascii="宋体" w:hAnsi="宋体" w:cs="宋体"/>
                <w:b w:val="0"/>
                <w:bCs/>
                <w:color w:val="000000" w:themeColor="text1"/>
                <w:szCs w:val="21"/>
                <w:lang w:val="en-US"/>
                <w14:textFill>
                  <w14:solidFill>
                    <w14:schemeClr w14:val="tx1"/>
                  </w14:solidFill>
                </w14:textFill>
              </w:rPr>
            </w:pPr>
          </w:p>
        </w:tc>
        <w:tc>
          <w:tcPr>
            <w:tcW w:w="838" w:type="pct"/>
            <w:vAlign w:val="center"/>
          </w:tcPr>
          <w:p w14:paraId="3A2136EA">
            <w:pPr>
              <w:spacing w:line="300" w:lineRule="exact"/>
              <w:jc w:val="center"/>
              <w:rPr>
                <w:rFonts w:hint="eastAsia" w:ascii="宋体" w:hAnsi="宋体" w:cs="宋体"/>
                <w:bCs/>
                <w:color w:val="000000" w:themeColor="text1"/>
                <w:kern w:val="0"/>
                <w:szCs w:val="21"/>
                <w14:textFill>
                  <w14:solidFill>
                    <w14:schemeClr w14:val="tx1"/>
                  </w14:solidFill>
                </w14:textFill>
              </w:rPr>
            </w:pPr>
            <w:r>
              <w:rPr>
                <w:rFonts w:hint="eastAsia" w:ascii="宋体" w:hAnsi="宋体" w:cs="宋体"/>
                <w:bCs/>
                <w:color w:val="000000" w:themeColor="text1"/>
                <w:kern w:val="0"/>
                <w:szCs w:val="21"/>
                <w14:textFill>
                  <w14:solidFill>
                    <w14:schemeClr w14:val="tx1"/>
                  </w14:solidFill>
                </w14:textFill>
              </w:rPr>
              <w:t>达标情况</w:t>
            </w:r>
          </w:p>
        </w:tc>
        <w:tc>
          <w:tcPr>
            <w:tcW w:w="407" w:type="pct"/>
            <w:vAlign w:val="center"/>
          </w:tcPr>
          <w:p w14:paraId="27447358">
            <w:pPr>
              <w:pStyle w:val="542"/>
              <w:spacing w:line="300" w:lineRule="exact"/>
              <w:rPr>
                <w:rFonts w:hint="eastAsia" w:ascii="宋体" w:hAnsi="宋体" w:cs="宋体"/>
                <w:b w:val="0"/>
                <w:bCs/>
                <w:color w:val="000000" w:themeColor="text1"/>
                <w:szCs w:val="21"/>
                <w:lang w:val="en-US"/>
                <w14:textFill>
                  <w14:solidFill>
                    <w14:schemeClr w14:val="tx1"/>
                  </w14:solidFill>
                </w14:textFill>
              </w:rPr>
            </w:pPr>
            <w:r>
              <w:rPr>
                <w:rFonts w:hint="eastAsia" w:ascii="宋体" w:hAnsi="宋体" w:cs="宋体"/>
                <w:b w:val="0"/>
                <w:bCs/>
                <w:color w:val="000000" w:themeColor="text1"/>
                <w:szCs w:val="21"/>
                <w14:textFill>
                  <w14:solidFill>
                    <w14:schemeClr w14:val="tx1"/>
                  </w14:solidFill>
                </w14:textFill>
              </w:rPr>
              <w:t>达标</w:t>
            </w:r>
          </w:p>
        </w:tc>
        <w:tc>
          <w:tcPr>
            <w:tcW w:w="568" w:type="pct"/>
            <w:vAlign w:val="center"/>
          </w:tcPr>
          <w:p w14:paraId="0809C3A0">
            <w:pPr>
              <w:pStyle w:val="542"/>
              <w:spacing w:line="300" w:lineRule="exact"/>
              <w:rPr>
                <w:rFonts w:hint="eastAsia" w:ascii="宋体" w:hAnsi="宋体" w:cs="宋体"/>
                <w:b w:val="0"/>
                <w:bCs/>
                <w:color w:val="000000" w:themeColor="text1"/>
                <w:szCs w:val="21"/>
                <w:lang w:val="en-US"/>
                <w14:textFill>
                  <w14:solidFill>
                    <w14:schemeClr w14:val="tx1"/>
                  </w14:solidFill>
                </w14:textFill>
              </w:rPr>
            </w:pPr>
            <w:r>
              <w:rPr>
                <w:rFonts w:hint="eastAsia" w:ascii="宋体" w:hAnsi="宋体" w:cs="宋体"/>
                <w:b w:val="0"/>
                <w:bCs/>
                <w:color w:val="000000" w:themeColor="text1"/>
                <w:szCs w:val="21"/>
                <w14:textFill>
                  <w14:solidFill>
                    <w14:schemeClr w14:val="tx1"/>
                  </w14:solidFill>
                </w14:textFill>
              </w:rPr>
              <w:t>达标</w:t>
            </w:r>
          </w:p>
        </w:tc>
        <w:tc>
          <w:tcPr>
            <w:tcW w:w="487" w:type="pct"/>
            <w:vAlign w:val="center"/>
          </w:tcPr>
          <w:p w14:paraId="79A27DA1">
            <w:pPr>
              <w:pStyle w:val="542"/>
              <w:spacing w:line="300" w:lineRule="exact"/>
              <w:rPr>
                <w:rFonts w:hint="eastAsia" w:ascii="宋体" w:hAnsi="宋体" w:cs="宋体"/>
                <w:color w:val="000000" w:themeColor="text1"/>
                <w:szCs w:val="21"/>
                <w:lang w:val="en-US"/>
                <w14:textFill>
                  <w14:solidFill>
                    <w14:schemeClr w14:val="tx1"/>
                  </w14:solidFill>
                </w14:textFill>
              </w:rPr>
            </w:pPr>
            <w:r>
              <w:rPr>
                <w:rFonts w:hint="eastAsia" w:ascii="宋体" w:hAnsi="宋体" w:cs="宋体"/>
                <w:color w:val="000000" w:themeColor="text1"/>
                <w:szCs w:val="21"/>
                <w:lang w:val="en-US"/>
                <w14:textFill>
                  <w14:solidFill>
                    <w14:schemeClr w14:val="tx1"/>
                  </w14:solidFill>
                </w14:textFill>
              </w:rPr>
              <w:t>超</w:t>
            </w:r>
            <w:r>
              <w:rPr>
                <w:rFonts w:hint="eastAsia" w:ascii="宋体" w:hAnsi="宋体" w:cs="宋体"/>
                <w:color w:val="000000" w:themeColor="text1"/>
                <w:szCs w:val="21"/>
                <w14:textFill>
                  <w14:solidFill>
                    <w14:schemeClr w14:val="tx1"/>
                  </w14:solidFill>
                </w14:textFill>
              </w:rPr>
              <w:t>标</w:t>
            </w:r>
          </w:p>
        </w:tc>
        <w:tc>
          <w:tcPr>
            <w:tcW w:w="487" w:type="pct"/>
            <w:vAlign w:val="center"/>
          </w:tcPr>
          <w:p w14:paraId="69BA85A4">
            <w:pPr>
              <w:pStyle w:val="542"/>
              <w:spacing w:line="300" w:lineRule="exact"/>
              <w:rPr>
                <w:rFonts w:hint="eastAsia" w:ascii="宋体" w:hAnsi="宋体" w:cs="宋体"/>
                <w:color w:val="000000" w:themeColor="text1"/>
                <w:szCs w:val="21"/>
                <w:lang w:val="en-US"/>
                <w14:textFill>
                  <w14:solidFill>
                    <w14:schemeClr w14:val="tx1"/>
                  </w14:solidFill>
                </w14:textFill>
              </w:rPr>
            </w:pPr>
            <w:r>
              <w:rPr>
                <w:rFonts w:hint="eastAsia" w:ascii="宋体" w:hAnsi="宋体" w:cs="宋体"/>
                <w:color w:val="000000" w:themeColor="text1"/>
                <w:szCs w:val="21"/>
                <w:lang w:val="en-US"/>
                <w14:textFill>
                  <w14:solidFill>
                    <w14:schemeClr w14:val="tx1"/>
                  </w14:solidFill>
                </w14:textFill>
              </w:rPr>
              <w:t>超</w:t>
            </w:r>
            <w:r>
              <w:rPr>
                <w:rFonts w:hint="eastAsia" w:ascii="宋体" w:hAnsi="宋体" w:cs="宋体"/>
                <w:color w:val="000000" w:themeColor="text1"/>
                <w:szCs w:val="21"/>
                <w14:textFill>
                  <w14:solidFill>
                    <w14:schemeClr w14:val="tx1"/>
                  </w14:solidFill>
                </w14:textFill>
              </w:rPr>
              <w:t>标</w:t>
            </w:r>
          </w:p>
        </w:tc>
        <w:tc>
          <w:tcPr>
            <w:tcW w:w="812" w:type="pct"/>
            <w:vAlign w:val="center"/>
          </w:tcPr>
          <w:p w14:paraId="33A5E408">
            <w:pPr>
              <w:pStyle w:val="542"/>
              <w:spacing w:line="300" w:lineRule="exact"/>
              <w:rPr>
                <w:rFonts w:hint="eastAsia" w:ascii="宋体" w:hAnsi="宋体" w:cs="宋体"/>
                <w:b w:val="0"/>
                <w:bCs/>
                <w:color w:val="000000" w:themeColor="text1"/>
                <w:szCs w:val="21"/>
                <w:lang w:val="en-US"/>
                <w14:textFill>
                  <w14:solidFill>
                    <w14:schemeClr w14:val="tx1"/>
                  </w14:solidFill>
                </w14:textFill>
              </w:rPr>
            </w:pPr>
            <w:r>
              <w:rPr>
                <w:rFonts w:hint="eastAsia" w:ascii="宋体" w:hAnsi="宋体" w:cs="宋体"/>
                <w:b w:val="0"/>
                <w:bCs/>
                <w:color w:val="000000" w:themeColor="text1"/>
                <w:szCs w:val="21"/>
                <w14:textFill>
                  <w14:solidFill>
                    <w14:schemeClr w14:val="tx1"/>
                  </w14:solidFill>
                </w14:textFill>
              </w:rPr>
              <w:t>达标</w:t>
            </w:r>
          </w:p>
        </w:tc>
        <w:tc>
          <w:tcPr>
            <w:tcW w:w="859" w:type="pct"/>
            <w:tcBorders>
              <w:right w:val="nil"/>
            </w:tcBorders>
            <w:vAlign w:val="center"/>
          </w:tcPr>
          <w:p w14:paraId="7E29DF9E">
            <w:pPr>
              <w:pStyle w:val="542"/>
              <w:spacing w:line="300" w:lineRule="exact"/>
              <w:rPr>
                <w:rFonts w:hint="eastAsia" w:ascii="宋体" w:hAnsi="宋体" w:cs="宋体"/>
                <w:b w:val="0"/>
                <w:bCs/>
                <w:color w:val="000000" w:themeColor="text1"/>
                <w:szCs w:val="21"/>
                <w:lang w:val="en-US"/>
                <w14:textFill>
                  <w14:solidFill>
                    <w14:schemeClr w14:val="tx1"/>
                  </w14:solidFill>
                </w14:textFill>
              </w:rPr>
            </w:pPr>
            <w:r>
              <w:rPr>
                <w:rFonts w:hint="eastAsia" w:ascii="宋体" w:hAnsi="宋体" w:cs="宋体"/>
                <w:b w:val="0"/>
                <w:bCs/>
                <w:color w:val="000000" w:themeColor="text1"/>
                <w:szCs w:val="21"/>
                <w14:textFill>
                  <w14:solidFill>
                    <w14:schemeClr w14:val="tx1"/>
                  </w14:solidFill>
                </w14:textFill>
              </w:rPr>
              <w:t>达标</w:t>
            </w:r>
          </w:p>
        </w:tc>
      </w:tr>
      <w:tr w14:paraId="2E095F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42" w:type="pct"/>
            <w:vMerge w:val="restart"/>
            <w:tcBorders>
              <w:left w:val="nil"/>
            </w:tcBorders>
            <w:vAlign w:val="center"/>
          </w:tcPr>
          <w:p w14:paraId="4303D18E">
            <w:pPr>
              <w:pStyle w:val="542"/>
              <w:spacing w:line="300" w:lineRule="exact"/>
              <w:rPr>
                <w:rFonts w:hint="eastAsia" w:ascii="宋体" w:hAnsi="宋体" w:cs="宋体"/>
                <w:b w:val="0"/>
                <w:bCs/>
                <w:color w:val="000000" w:themeColor="text1"/>
                <w:szCs w:val="21"/>
                <w14:textFill>
                  <w14:solidFill>
                    <w14:schemeClr w14:val="tx1"/>
                  </w14:solidFill>
                </w14:textFill>
              </w:rPr>
            </w:pPr>
            <w:r>
              <w:rPr>
                <w:rFonts w:hint="eastAsia" w:ascii="宋体" w:hAnsi="宋体" w:cs="宋体"/>
                <w:b w:val="0"/>
                <w:bCs/>
                <w:color w:val="000000" w:themeColor="text1"/>
                <w:szCs w:val="21"/>
                <w:lang w:val="en-US"/>
                <w14:textFill>
                  <w14:solidFill>
                    <w14:schemeClr w14:val="tx1"/>
                  </w14:solidFill>
                </w14:textFill>
              </w:rPr>
              <w:t>2020年</w:t>
            </w:r>
          </w:p>
        </w:tc>
        <w:tc>
          <w:tcPr>
            <w:tcW w:w="838" w:type="pct"/>
            <w:vAlign w:val="center"/>
          </w:tcPr>
          <w:p w14:paraId="048B042A">
            <w:pPr>
              <w:spacing w:line="300" w:lineRule="exact"/>
              <w:jc w:val="center"/>
              <w:rPr>
                <w:rFonts w:hint="eastAsia" w:ascii="宋体" w:hAnsi="宋体" w:cs="宋体"/>
                <w:bCs/>
                <w:color w:val="000000" w:themeColor="text1"/>
                <w:kern w:val="0"/>
                <w:szCs w:val="21"/>
                <w14:textFill>
                  <w14:solidFill>
                    <w14:schemeClr w14:val="tx1"/>
                  </w14:solidFill>
                </w14:textFill>
              </w:rPr>
            </w:pPr>
            <w:r>
              <w:rPr>
                <w:rFonts w:hint="eastAsia" w:ascii="宋体" w:hAnsi="宋体" w:cs="宋体"/>
                <w:bCs/>
                <w:color w:val="000000" w:themeColor="text1"/>
                <w:kern w:val="0"/>
                <w:szCs w:val="21"/>
                <w14:textFill>
                  <w14:solidFill>
                    <w14:schemeClr w14:val="tx1"/>
                  </w14:solidFill>
                </w14:textFill>
              </w:rPr>
              <w:t>现状浓度</w:t>
            </w:r>
          </w:p>
          <w:p w14:paraId="642B6EFC">
            <w:pPr>
              <w:spacing w:line="300" w:lineRule="exact"/>
              <w:jc w:val="center"/>
              <w:rPr>
                <w:rFonts w:hint="eastAsia" w:ascii="宋体" w:hAnsi="宋体" w:cs="宋体"/>
                <w:bCs/>
                <w:color w:val="000000" w:themeColor="text1"/>
                <w:kern w:val="0"/>
                <w:szCs w:val="21"/>
                <w14:textFill>
                  <w14:solidFill>
                    <w14:schemeClr w14:val="tx1"/>
                  </w14:solidFill>
                </w14:textFill>
              </w:rPr>
            </w:pPr>
            <w:r>
              <w:rPr>
                <w:rFonts w:hint="eastAsia" w:ascii="宋体" w:hAnsi="宋体" w:cs="宋体"/>
                <w:bCs/>
                <w:color w:val="000000" w:themeColor="text1"/>
                <w:kern w:val="0"/>
                <w:szCs w:val="21"/>
                <w14:textFill>
                  <w14:solidFill>
                    <w14:schemeClr w14:val="tx1"/>
                  </w14:solidFill>
                </w14:textFill>
              </w:rPr>
              <w:t>(μg/m</w:t>
            </w:r>
            <w:r>
              <w:rPr>
                <w:rFonts w:hint="eastAsia" w:ascii="宋体" w:hAnsi="宋体" w:cs="宋体"/>
                <w:bCs/>
                <w:color w:val="000000" w:themeColor="text1"/>
                <w:kern w:val="0"/>
                <w:szCs w:val="21"/>
                <w:vertAlign w:val="superscript"/>
                <w14:textFill>
                  <w14:solidFill>
                    <w14:schemeClr w14:val="tx1"/>
                  </w14:solidFill>
                </w14:textFill>
              </w:rPr>
              <w:t>3</w:t>
            </w:r>
            <w:r>
              <w:rPr>
                <w:rFonts w:hint="eastAsia" w:ascii="宋体" w:hAnsi="宋体" w:cs="宋体"/>
                <w:bCs/>
                <w:color w:val="000000" w:themeColor="text1"/>
                <w:kern w:val="0"/>
                <w:szCs w:val="21"/>
                <w14:textFill>
                  <w14:solidFill>
                    <w14:schemeClr w14:val="tx1"/>
                  </w14:solidFill>
                </w14:textFill>
              </w:rPr>
              <w:t>)</w:t>
            </w:r>
          </w:p>
        </w:tc>
        <w:tc>
          <w:tcPr>
            <w:tcW w:w="407" w:type="pct"/>
            <w:vAlign w:val="center"/>
          </w:tcPr>
          <w:p w14:paraId="714DAE6F">
            <w:pPr>
              <w:pStyle w:val="542"/>
              <w:spacing w:line="300" w:lineRule="exact"/>
              <w:rPr>
                <w:rFonts w:hint="eastAsia" w:ascii="宋体" w:hAnsi="宋体" w:cs="宋体"/>
                <w:b w:val="0"/>
                <w:bCs/>
                <w:color w:val="000000" w:themeColor="text1"/>
                <w:szCs w:val="21"/>
                <w:lang w:val="en-US"/>
                <w14:textFill>
                  <w14:solidFill>
                    <w14:schemeClr w14:val="tx1"/>
                  </w14:solidFill>
                </w14:textFill>
              </w:rPr>
            </w:pPr>
            <w:r>
              <w:rPr>
                <w:rFonts w:hint="eastAsia" w:ascii="宋体" w:hAnsi="宋体" w:cs="宋体"/>
                <w:b w:val="0"/>
                <w:bCs/>
                <w:color w:val="000000" w:themeColor="text1"/>
                <w:szCs w:val="21"/>
                <w:lang w:val="en-US"/>
                <w14:textFill>
                  <w14:solidFill>
                    <w14:schemeClr w14:val="tx1"/>
                  </w14:solidFill>
                </w14:textFill>
              </w:rPr>
              <w:t>8</w:t>
            </w:r>
          </w:p>
        </w:tc>
        <w:tc>
          <w:tcPr>
            <w:tcW w:w="568" w:type="pct"/>
            <w:vAlign w:val="center"/>
          </w:tcPr>
          <w:p w14:paraId="4C29BFF3">
            <w:pPr>
              <w:pStyle w:val="542"/>
              <w:spacing w:line="300" w:lineRule="exact"/>
              <w:rPr>
                <w:rFonts w:hint="eastAsia" w:ascii="宋体" w:hAnsi="宋体" w:cs="宋体"/>
                <w:b w:val="0"/>
                <w:bCs/>
                <w:color w:val="000000" w:themeColor="text1"/>
                <w:szCs w:val="21"/>
                <w:lang w:val="en-US"/>
                <w14:textFill>
                  <w14:solidFill>
                    <w14:schemeClr w14:val="tx1"/>
                  </w14:solidFill>
                </w14:textFill>
              </w:rPr>
            </w:pPr>
            <w:r>
              <w:rPr>
                <w:rFonts w:hint="eastAsia" w:ascii="宋体" w:hAnsi="宋体" w:cs="宋体"/>
                <w:b w:val="0"/>
                <w:bCs/>
                <w:color w:val="000000" w:themeColor="text1"/>
                <w:szCs w:val="21"/>
                <w:lang w:val="en-US"/>
                <w14:textFill>
                  <w14:solidFill>
                    <w14:schemeClr w14:val="tx1"/>
                  </w14:solidFill>
                </w14:textFill>
              </w:rPr>
              <w:t>16</w:t>
            </w:r>
          </w:p>
        </w:tc>
        <w:tc>
          <w:tcPr>
            <w:tcW w:w="487" w:type="pct"/>
            <w:vAlign w:val="center"/>
          </w:tcPr>
          <w:p w14:paraId="78B5AF35">
            <w:pPr>
              <w:pStyle w:val="542"/>
              <w:spacing w:line="300" w:lineRule="exact"/>
              <w:rPr>
                <w:rFonts w:hint="eastAsia" w:ascii="宋体" w:hAnsi="宋体" w:cs="宋体"/>
                <w:b w:val="0"/>
                <w:bCs/>
                <w:color w:val="000000" w:themeColor="text1"/>
                <w:szCs w:val="21"/>
                <w:lang w:val="en-US"/>
                <w14:textFill>
                  <w14:solidFill>
                    <w14:schemeClr w14:val="tx1"/>
                  </w14:solidFill>
                </w14:textFill>
              </w:rPr>
            </w:pPr>
            <w:r>
              <w:rPr>
                <w:rFonts w:hint="eastAsia" w:ascii="宋体" w:hAnsi="宋体" w:cs="宋体"/>
                <w:b w:val="0"/>
                <w:bCs/>
                <w:color w:val="000000" w:themeColor="text1"/>
                <w:szCs w:val="21"/>
                <w:lang w:val="en-US"/>
                <w14:textFill>
                  <w14:solidFill>
                    <w14:schemeClr w14:val="tx1"/>
                  </w14:solidFill>
                </w14:textFill>
              </w:rPr>
              <w:t>88</w:t>
            </w:r>
          </w:p>
        </w:tc>
        <w:tc>
          <w:tcPr>
            <w:tcW w:w="487" w:type="pct"/>
            <w:vAlign w:val="center"/>
          </w:tcPr>
          <w:p w14:paraId="6D0F6D9A">
            <w:pPr>
              <w:pStyle w:val="542"/>
              <w:spacing w:line="300" w:lineRule="exact"/>
              <w:rPr>
                <w:rFonts w:hint="eastAsia" w:ascii="宋体" w:hAnsi="宋体" w:cs="宋体"/>
                <w:b w:val="0"/>
                <w:bCs/>
                <w:color w:val="000000" w:themeColor="text1"/>
                <w:szCs w:val="21"/>
                <w:lang w:val="en-US"/>
                <w14:textFill>
                  <w14:solidFill>
                    <w14:schemeClr w14:val="tx1"/>
                  </w14:solidFill>
                </w14:textFill>
              </w:rPr>
            </w:pPr>
            <w:r>
              <w:rPr>
                <w:rFonts w:hint="eastAsia" w:ascii="宋体" w:hAnsi="宋体" w:cs="宋体"/>
                <w:b w:val="0"/>
                <w:bCs/>
                <w:color w:val="000000" w:themeColor="text1"/>
                <w:szCs w:val="21"/>
                <w:lang w:val="en-US"/>
                <w14:textFill>
                  <w14:solidFill>
                    <w14:schemeClr w14:val="tx1"/>
                  </w14:solidFill>
                </w14:textFill>
              </w:rPr>
              <w:t>51</w:t>
            </w:r>
          </w:p>
        </w:tc>
        <w:tc>
          <w:tcPr>
            <w:tcW w:w="812" w:type="pct"/>
            <w:vAlign w:val="center"/>
          </w:tcPr>
          <w:p w14:paraId="03EC95C6">
            <w:pPr>
              <w:pStyle w:val="542"/>
              <w:spacing w:line="300" w:lineRule="exact"/>
              <w:rPr>
                <w:rFonts w:hint="eastAsia" w:ascii="宋体" w:hAnsi="宋体" w:cs="宋体"/>
                <w:b w:val="0"/>
                <w:bCs/>
                <w:color w:val="000000" w:themeColor="text1"/>
                <w:szCs w:val="21"/>
                <w:lang w:val="en-US"/>
                <w14:textFill>
                  <w14:solidFill>
                    <w14:schemeClr w14:val="tx1"/>
                  </w14:solidFill>
                </w14:textFill>
              </w:rPr>
            </w:pPr>
            <w:r>
              <w:rPr>
                <w:rFonts w:hint="eastAsia" w:ascii="宋体" w:hAnsi="宋体" w:cs="宋体"/>
                <w:b w:val="0"/>
                <w:bCs/>
                <w:color w:val="000000" w:themeColor="text1"/>
                <w:szCs w:val="21"/>
                <w:lang w:val="en-US"/>
                <w14:textFill>
                  <w14:solidFill>
                    <w14:schemeClr w14:val="tx1"/>
                  </w14:solidFill>
                </w14:textFill>
              </w:rPr>
              <w:t>1.2</w:t>
            </w:r>
          </w:p>
        </w:tc>
        <w:tc>
          <w:tcPr>
            <w:tcW w:w="859" w:type="pct"/>
            <w:tcBorders>
              <w:right w:val="nil"/>
            </w:tcBorders>
            <w:vAlign w:val="center"/>
          </w:tcPr>
          <w:p w14:paraId="263A84E7">
            <w:pPr>
              <w:pStyle w:val="542"/>
              <w:spacing w:line="300" w:lineRule="exact"/>
              <w:rPr>
                <w:rFonts w:hint="eastAsia" w:ascii="宋体" w:hAnsi="宋体" w:cs="宋体"/>
                <w:b w:val="0"/>
                <w:bCs/>
                <w:color w:val="000000" w:themeColor="text1"/>
                <w:szCs w:val="21"/>
                <w:lang w:val="en-US"/>
                <w14:textFill>
                  <w14:solidFill>
                    <w14:schemeClr w14:val="tx1"/>
                  </w14:solidFill>
                </w14:textFill>
              </w:rPr>
            </w:pPr>
            <w:r>
              <w:rPr>
                <w:rFonts w:hint="eastAsia" w:ascii="宋体" w:hAnsi="宋体" w:cs="宋体"/>
                <w:b w:val="0"/>
                <w:bCs/>
                <w:color w:val="000000" w:themeColor="text1"/>
                <w:szCs w:val="21"/>
                <w:lang w:val="en-US"/>
                <w14:textFill>
                  <w14:solidFill>
                    <w14:schemeClr w14:val="tx1"/>
                  </w14:solidFill>
                </w14:textFill>
              </w:rPr>
              <w:t>79</w:t>
            </w:r>
          </w:p>
        </w:tc>
      </w:tr>
      <w:tr w14:paraId="659218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42" w:type="pct"/>
            <w:vMerge w:val="continue"/>
            <w:tcBorders>
              <w:left w:val="nil"/>
            </w:tcBorders>
            <w:vAlign w:val="center"/>
          </w:tcPr>
          <w:p w14:paraId="38A8F7F8">
            <w:pPr>
              <w:pStyle w:val="542"/>
              <w:spacing w:line="300" w:lineRule="exact"/>
              <w:rPr>
                <w:rFonts w:hint="eastAsia" w:ascii="宋体" w:hAnsi="宋体" w:cs="宋体"/>
                <w:b w:val="0"/>
                <w:bCs/>
                <w:color w:val="000000" w:themeColor="text1"/>
                <w:szCs w:val="21"/>
                <w14:textFill>
                  <w14:solidFill>
                    <w14:schemeClr w14:val="tx1"/>
                  </w14:solidFill>
                </w14:textFill>
              </w:rPr>
            </w:pPr>
          </w:p>
        </w:tc>
        <w:tc>
          <w:tcPr>
            <w:tcW w:w="838" w:type="pct"/>
            <w:vAlign w:val="center"/>
          </w:tcPr>
          <w:p w14:paraId="453DC9CC">
            <w:pPr>
              <w:spacing w:line="300" w:lineRule="exact"/>
              <w:jc w:val="center"/>
              <w:rPr>
                <w:rFonts w:hint="eastAsia" w:ascii="宋体" w:hAnsi="宋体" w:cs="宋体"/>
                <w:bCs/>
                <w:color w:val="000000" w:themeColor="text1"/>
                <w:kern w:val="0"/>
                <w:szCs w:val="21"/>
                <w14:textFill>
                  <w14:solidFill>
                    <w14:schemeClr w14:val="tx1"/>
                  </w14:solidFill>
                </w14:textFill>
              </w:rPr>
            </w:pPr>
            <w:r>
              <w:rPr>
                <w:rFonts w:hint="eastAsia" w:ascii="宋体" w:hAnsi="宋体" w:cs="宋体"/>
                <w:bCs/>
                <w:color w:val="000000" w:themeColor="text1"/>
                <w:kern w:val="0"/>
                <w:szCs w:val="21"/>
                <w14:textFill>
                  <w14:solidFill>
                    <w14:schemeClr w14:val="tx1"/>
                  </w14:solidFill>
                </w14:textFill>
              </w:rPr>
              <w:t>占标率（%）</w:t>
            </w:r>
          </w:p>
        </w:tc>
        <w:tc>
          <w:tcPr>
            <w:tcW w:w="407" w:type="pct"/>
            <w:vAlign w:val="center"/>
          </w:tcPr>
          <w:p w14:paraId="6E7375BE">
            <w:pPr>
              <w:pStyle w:val="542"/>
              <w:spacing w:line="300" w:lineRule="exact"/>
              <w:rPr>
                <w:rFonts w:hint="eastAsia" w:ascii="宋体" w:hAnsi="宋体" w:cs="宋体"/>
                <w:b w:val="0"/>
                <w:bCs/>
                <w:color w:val="000000" w:themeColor="text1"/>
                <w:szCs w:val="21"/>
                <w:lang w:val="en-US"/>
                <w14:textFill>
                  <w14:solidFill>
                    <w14:schemeClr w14:val="tx1"/>
                  </w14:solidFill>
                </w14:textFill>
              </w:rPr>
            </w:pPr>
            <w:r>
              <w:rPr>
                <w:rFonts w:hint="eastAsia" w:ascii="宋体" w:hAnsi="宋体" w:cs="宋体"/>
                <w:b w:val="0"/>
                <w:bCs/>
                <w:color w:val="000000" w:themeColor="text1"/>
                <w:szCs w:val="21"/>
                <w:lang w:val="en-US"/>
                <w14:textFill>
                  <w14:solidFill>
                    <w14:schemeClr w14:val="tx1"/>
                  </w14:solidFill>
                </w14:textFill>
              </w:rPr>
              <w:t>13.3</w:t>
            </w:r>
          </w:p>
        </w:tc>
        <w:tc>
          <w:tcPr>
            <w:tcW w:w="568" w:type="pct"/>
            <w:vAlign w:val="center"/>
          </w:tcPr>
          <w:p w14:paraId="5E78E3AC">
            <w:pPr>
              <w:pStyle w:val="542"/>
              <w:spacing w:line="300" w:lineRule="exact"/>
              <w:rPr>
                <w:rFonts w:hint="eastAsia" w:ascii="宋体" w:hAnsi="宋体" w:cs="宋体"/>
                <w:b w:val="0"/>
                <w:bCs/>
                <w:color w:val="000000" w:themeColor="text1"/>
                <w:szCs w:val="21"/>
                <w:lang w:val="en-US"/>
                <w14:textFill>
                  <w14:solidFill>
                    <w14:schemeClr w14:val="tx1"/>
                  </w14:solidFill>
                </w14:textFill>
              </w:rPr>
            </w:pPr>
            <w:r>
              <w:rPr>
                <w:rFonts w:hint="eastAsia" w:ascii="宋体" w:hAnsi="宋体" w:cs="宋体"/>
                <w:b w:val="0"/>
                <w:bCs/>
                <w:color w:val="000000" w:themeColor="text1"/>
                <w:szCs w:val="21"/>
                <w:lang w:val="en-US"/>
                <w14:textFill>
                  <w14:solidFill>
                    <w14:schemeClr w14:val="tx1"/>
                  </w14:solidFill>
                </w14:textFill>
              </w:rPr>
              <w:t>40</w:t>
            </w:r>
          </w:p>
        </w:tc>
        <w:tc>
          <w:tcPr>
            <w:tcW w:w="487" w:type="pct"/>
            <w:vAlign w:val="center"/>
          </w:tcPr>
          <w:p w14:paraId="5EC31BD1">
            <w:pPr>
              <w:pStyle w:val="542"/>
              <w:spacing w:line="300" w:lineRule="exact"/>
              <w:rPr>
                <w:rFonts w:hint="eastAsia" w:ascii="宋体" w:hAnsi="宋体" w:cs="宋体"/>
                <w:b w:val="0"/>
                <w:bCs/>
                <w:color w:val="000000" w:themeColor="text1"/>
                <w:szCs w:val="21"/>
                <w:lang w:val="en-US"/>
                <w14:textFill>
                  <w14:solidFill>
                    <w14:schemeClr w14:val="tx1"/>
                  </w14:solidFill>
                </w14:textFill>
              </w:rPr>
            </w:pPr>
            <w:r>
              <w:rPr>
                <w:rFonts w:hint="eastAsia" w:ascii="宋体" w:hAnsi="宋体" w:cs="宋体"/>
                <w:b w:val="0"/>
                <w:bCs/>
                <w:color w:val="000000" w:themeColor="text1"/>
                <w:szCs w:val="21"/>
                <w:lang w:val="en-US"/>
                <w14:textFill>
                  <w14:solidFill>
                    <w14:schemeClr w14:val="tx1"/>
                  </w14:solidFill>
                </w14:textFill>
              </w:rPr>
              <w:t>125.7</w:t>
            </w:r>
          </w:p>
        </w:tc>
        <w:tc>
          <w:tcPr>
            <w:tcW w:w="487" w:type="pct"/>
            <w:vAlign w:val="center"/>
          </w:tcPr>
          <w:p w14:paraId="7E0F1510">
            <w:pPr>
              <w:pStyle w:val="542"/>
              <w:spacing w:line="300" w:lineRule="exact"/>
              <w:rPr>
                <w:rFonts w:hint="eastAsia" w:ascii="宋体" w:hAnsi="宋体" w:cs="宋体"/>
                <w:b w:val="0"/>
                <w:bCs/>
                <w:color w:val="000000" w:themeColor="text1"/>
                <w:szCs w:val="21"/>
                <w:lang w:val="en-US"/>
                <w14:textFill>
                  <w14:solidFill>
                    <w14:schemeClr w14:val="tx1"/>
                  </w14:solidFill>
                </w14:textFill>
              </w:rPr>
            </w:pPr>
            <w:r>
              <w:rPr>
                <w:rFonts w:hint="eastAsia" w:ascii="宋体" w:hAnsi="宋体" w:cs="宋体"/>
                <w:b w:val="0"/>
                <w:bCs/>
                <w:color w:val="000000" w:themeColor="text1"/>
                <w:szCs w:val="21"/>
                <w:lang w:val="en-US"/>
                <w14:textFill>
                  <w14:solidFill>
                    <w14:schemeClr w14:val="tx1"/>
                  </w14:solidFill>
                </w14:textFill>
              </w:rPr>
              <w:t>145.7</w:t>
            </w:r>
          </w:p>
        </w:tc>
        <w:tc>
          <w:tcPr>
            <w:tcW w:w="812" w:type="pct"/>
            <w:vAlign w:val="center"/>
          </w:tcPr>
          <w:p w14:paraId="23A7F57C">
            <w:pPr>
              <w:pStyle w:val="542"/>
              <w:spacing w:line="300" w:lineRule="exact"/>
              <w:rPr>
                <w:rFonts w:hint="eastAsia" w:ascii="宋体" w:hAnsi="宋体" w:cs="宋体"/>
                <w:b w:val="0"/>
                <w:bCs/>
                <w:color w:val="000000" w:themeColor="text1"/>
                <w:szCs w:val="21"/>
                <w:lang w:val="en-US"/>
                <w14:textFill>
                  <w14:solidFill>
                    <w14:schemeClr w14:val="tx1"/>
                  </w14:solidFill>
                </w14:textFill>
              </w:rPr>
            </w:pPr>
            <w:r>
              <w:rPr>
                <w:rFonts w:hint="eastAsia" w:ascii="宋体" w:hAnsi="宋体" w:cs="宋体"/>
                <w:b w:val="0"/>
                <w:bCs/>
                <w:color w:val="000000" w:themeColor="text1"/>
                <w:szCs w:val="21"/>
                <w:lang w:val="en-US"/>
                <w14:textFill>
                  <w14:solidFill>
                    <w14:schemeClr w14:val="tx1"/>
                  </w14:solidFill>
                </w14:textFill>
              </w:rPr>
              <w:t>30</w:t>
            </w:r>
          </w:p>
        </w:tc>
        <w:tc>
          <w:tcPr>
            <w:tcW w:w="859" w:type="pct"/>
            <w:tcBorders>
              <w:right w:val="nil"/>
            </w:tcBorders>
            <w:vAlign w:val="center"/>
          </w:tcPr>
          <w:p w14:paraId="7D815475">
            <w:pPr>
              <w:pStyle w:val="542"/>
              <w:spacing w:line="300" w:lineRule="exact"/>
              <w:rPr>
                <w:rFonts w:hint="eastAsia" w:ascii="宋体" w:hAnsi="宋体" w:cs="宋体"/>
                <w:b w:val="0"/>
                <w:bCs/>
                <w:color w:val="000000" w:themeColor="text1"/>
                <w:szCs w:val="21"/>
                <w:lang w:val="en-US"/>
                <w14:textFill>
                  <w14:solidFill>
                    <w14:schemeClr w14:val="tx1"/>
                  </w14:solidFill>
                </w14:textFill>
              </w:rPr>
            </w:pPr>
            <w:r>
              <w:rPr>
                <w:rFonts w:hint="eastAsia" w:ascii="宋体" w:hAnsi="宋体" w:cs="宋体"/>
                <w:b w:val="0"/>
                <w:bCs/>
                <w:color w:val="000000" w:themeColor="text1"/>
                <w:szCs w:val="21"/>
                <w:lang w:val="en-US"/>
                <w14:textFill>
                  <w14:solidFill>
                    <w14:schemeClr w14:val="tx1"/>
                  </w14:solidFill>
                </w14:textFill>
              </w:rPr>
              <w:t>49.38</w:t>
            </w:r>
          </w:p>
        </w:tc>
      </w:tr>
      <w:tr w14:paraId="5C4D67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42" w:type="pct"/>
            <w:vMerge w:val="continue"/>
            <w:tcBorders>
              <w:left w:val="nil"/>
            </w:tcBorders>
            <w:vAlign w:val="center"/>
          </w:tcPr>
          <w:p w14:paraId="30C1991F">
            <w:pPr>
              <w:pStyle w:val="542"/>
              <w:spacing w:line="300" w:lineRule="exact"/>
              <w:rPr>
                <w:rFonts w:hint="eastAsia" w:ascii="宋体" w:hAnsi="宋体" w:cs="宋体"/>
                <w:b w:val="0"/>
                <w:bCs/>
                <w:color w:val="000000" w:themeColor="text1"/>
                <w:szCs w:val="21"/>
                <w14:textFill>
                  <w14:solidFill>
                    <w14:schemeClr w14:val="tx1"/>
                  </w14:solidFill>
                </w14:textFill>
              </w:rPr>
            </w:pPr>
          </w:p>
        </w:tc>
        <w:tc>
          <w:tcPr>
            <w:tcW w:w="838" w:type="pct"/>
            <w:vAlign w:val="center"/>
          </w:tcPr>
          <w:p w14:paraId="0E1C18D3">
            <w:pPr>
              <w:spacing w:line="300" w:lineRule="exact"/>
              <w:jc w:val="center"/>
              <w:rPr>
                <w:rFonts w:hint="eastAsia" w:ascii="宋体" w:hAnsi="宋体" w:cs="宋体"/>
                <w:bCs/>
                <w:color w:val="000000" w:themeColor="text1"/>
                <w:kern w:val="0"/>
                <w:szCs w:val="21"/>
                <w14:textFill>
                  <w14:solidFill>
                    <w14:schemeClr w14:val="tx1"/>
                  </w14:solidFill>
                </w14:textFill>
              </w:rPr>
            </w:pPr>
            <w:r>
              <w:rPr>
                <w:rFonts w:hint="eastAsia" w:ascii="宋体" w:hAnsi="宋体" w:cs="宋体"/>
                <w:bCs/>
                <w:color w:val="000000" w:themeColor="text1"/>
                <w:kern w:val="0"/>
                <w:szCs w:val="21"/>
                <w14:textFill>
                  <w14:solidFill>
                    <w14:schemeClr w14:val="tx1"/>
                  </w14:solidFill>
                </w14:textFill>
              </w:rPr>
              <w:t>达标情况</w:t>
            </w:r>
          </w:p>
        </w:tc>
        <w:tc>
          <w:tcPr>
            <w:tcW w:w="407" w:type="pct"/>
            <w:vAlign w:val="center"/>
          </w:tcPr>
          <w:p w14:paraId="66F112F8">
            <w:pPr>
              <w:pStyle w:val="542"/>
              <w:spacing w:line="300" w:lineRule="exact"/>
              <w:rPr>
                <w:rFonts w:hint="eastAsia" w:ascii="宋体" w:hAnsi="宋体" w:cs="宋体"/>
                <w:b w:val="0"/>
                <w:bCs/>
                <w:color w:val="000000" w:themeColor="text1"/>
                <w:szCs w:val="21"/>
                <w:lang w:val="en-US"/>
                <w14:textFill>
                  <w14:solidFill>
                    <w14:schemeClr w14:val="tx1"/>
                  </w14:solidFill>
                </w14:textFill>
              </w:rPr>
            </w:pPr>
            <w:r>
              <w:rPr>
                <w:rFonts w:hint="eastAsia" w:ascii="宋体" w:hAnsi="宋体" w:cs="宋体"/>
                <w:b w:val="0"/>
                <w:bCs/>
                <w:color w:val="000000" w:themeColor="text1"/>
                <w:szCs w:val="21"/>
                <w14:textFill>
                  <w14:solidFill>
                    <w14:schemeClr w14:val="tx1"/>
                  </w14:solidFill>
                </w14:textFill>
              </w:rPr>
              <w:t>达标</w:t>
            </w:r>
          </w:p>
        </w:tc>
        <w:tc>
          <w:tcPr>
            <w:tcW w:w="568" w:type="pct"/>
            <w:vAlign w:val="center"/>
          </w:tcPr>
          <w:p w14:paraId="49719666">
            <w:pPr>
              <w:pStyle w:val="542"/>
              <w:spacing w:line="300" w:lineRule="exact"/>
              <w:rPr>
                <w:rFonts w:hint="eastAsia" w:ascii="宋体" w:hAnsi="宋体" w:cs="宋体"/>
                <w:b w:val="0"/>
                <w:bCs/>
                <w:color w:val="000000" w:themeColor="text1"/>
                <w:szCs w:val="21"/>
                <w:lang w:val="en-US"/>
                <w14:textFill>
                  <w14:solidFill>
                    <w14:schemeClr w14:val="tx1"/>
                  </w14:solidFill>
                </w14:textFill>
              </w:rPr>
            </w:pPr>
            <w:r>
              <w:rPr>
                <w:rFonts w:hint="eastAsia" w:ascii="宋体" w:hAnsi="宋体" w:cs="宋体"/>
                <w:b w:val="0"/>
                <w:bCs/>
                <w:color w:val="000000" w:themeColor="text1"/>
                <w:szCs w:val="21"/>
                <w14:textFill>
                  <w14:solidFill>
                    <w14:schemeClr w14:val="tx1"/>
                  </w14:solidFill>
                </w14:textFill>
              </w:rPr>
              <w:t>达标</w:t>
            </w:r>
          </w:p>
        </w:tc>
        <w:tc>
          <w:tcPr>
            <w:tcW w:w="487" w:type="pct"/>
            <w:vAlign w:val="center"/>
          </w:tcPr>
          <w:p w14:paraId="25A3ACE2">
            <w:pPr>
              <w:pStyle w:val="542"/>
              <w:spacing w:line="300" w:lineRule="exact"/>
              <w:rPr>
                <w:rFonts w:hint="eastAsia" w:ascii="宋体" w:hAnsi="宋体" w:cs="宋体"/>
                <w:color w:val="000000" w:themeColor="text1"/>
                <w:szCs w:val="21"/>
                <w:lang w:val="en-US"/>
                <w14:textFill>
                  <w14:solidFill>
                    <w14:schemeClr w14:val="tx1"/>
                  </w14:solidFill>
                </w14:textFill>
              </w:rPr>
            </w:pPr>
            <w:r>
              <w:rPr>
                <w:rFonts w:hint="eastAsia" w:ascii="宋体" w:hAnsi="宋体" w:cs="宋体"/>
                <w:color w:val="000000" w:themeColor="text1"/>
                <w:szCs w:val="21"/>
                <w:lang w:val="en-US"/>
                <w14:textFill>
                  <w14:solidFill>
                    <w14:schemeClr w14:val="tx1"/>
                  </w14:solidFill>
                </w14:textFill>
              </w:rPr>
              <w:t>超</w:t>
            </w:r>
            <w:r>
              <w:rPr>
                <w:rFonts w:hint="eastAsia" w:ascii="宋体" w:hAnsi="宋体" w:cs="宋体"/>
                <w:color w:val="000000" w:themeColor="text1"/>
                <w:szCs w:val="21"/>
                <w14:textFill>
                  <w14:solidFill>
                    <w14:schemeClr w14:val="tx1"/>
                  </w14:solidFill>
                </w14:textFill>
              </w:rPr>
              <w:t>标</w:t>
            </w:r>
          </w:p>
        </w:tc>
        <w:tc>
          <w:tcPr>
            <w:tcW w:w="487" w:type="pct"/>
            <w:vAlign w:val="center"/>
          </w:tcPr>
          <w:p w14:paraId="132C2E2D">
            <w:pPr>
              <w:pStyle w:val="542"/>
              <w:spacing w:line="300" w:lineRule="exact"/>
              <w:rPr>
                <w:rFonts w:hint="eastAsia" w:ascii="宋体" w:hAnsi="宋体" w:cs="宋体"/>
                <w:color w:val="000000" w:themeColor="text1"/>
                <w:szCs w:val="21"/>
                <w:lang w:val="en-US"/>
                <w14:textFill>
                  <w14:solidFill>
                    <w14:schemeClr w14:val="tx1"/>
                  </w14:solidFill>
                </w14:textFill>
              </w:rPr>
            </w:pPr>
            <w:r>
              <w:rPr>
                <w:rFonts w:hint="eastAsia" w:ascii="宋体" w:hAnsi="宋体" w:cs="宋体"/>
                <w:color w:val="000000" w:themeColor="text1"/>
                <w:szCs w:val="21"/>
                <w:lang w:val="en-US"/>
                <w14:textFill>
                  <w14:solidFill>
                    <w14:schemeClr w14:val="tx1"/>
                  </w14:solidFill>
                </w14:textFill>
              </w:rPr>
              <w:t>超</w:t>
            </w:r>
            <w:r>
              <w:rPr>
                <w:rFonts w:hint="eastAsia" w:ascii="宋体" w:hAnsi="宋体" w:cs="宋体"/>
                <w:color w:val="000000" w:themeColor="text1"/>
                <w:szCs w:val="21"/>
                <w14:textFill>
                  <w14:solidFill>
                    <w14:schemeClr w14:val="tx1"/>
                  </w14:solidFill>
                </w14:textFill>
              </w:rPr>
              <w:t>标</w:t>
            </w:r>
          </w:p>
        </w:tc>
        <w:tc>
          <w:tcPr>
            <w:tcW w:w="812" w:type="pct"/>
            <w:vAlign w:val="center"/>
          </w:tcPr>
          <w:p w14:paraId="20F4202F">
            <w:pPr>
              <w:pStyle w:val="542"/>
              <w:spacing w:line="300" w:lineRule="exact"/>
              <w:rPr>
                <w:rFonts w:hint="eastAsia" w:ascii="宋体" w:hAnsi="宋体" w:cs="宋体"/>
                <w:b w:val="0"/>
                <w:bCs/>
                <w:color w:val="000000" w:themeColor="text1"/>
                <w:szCs w:val="21"/>
                <w:lang w:val="en-US"/>
                <w14:textFill>
                  <w14:solidFill>
                    <w14:schemeClr w14:val="tx1"/>
                  </w14:solidFill>
                </w14:textFill>
              </w:rPr>
            </w:pPr>
            <w:r>
              <w:rPr>
                <w:rFonts w:hint="eastAsia" w:ascii="宋体" w:hAnsi="宋体" w:cs="宋体"/>
                <w:b w:val="0"/>
                <w:bCs/>
                <w:color w:val="000000" w:themeColor="text1"/>
                <w:szCs w:val="21"/>
                <w14:textFill>
                  <w14:solidFill>
                    <w14:schemeClr w14:val="tx1"/>
                  </w14:solidFill>
                </w14:textFill>
              </w:rPr>
              <w:t>达标</w:t>
            </w:r>
          </w:p>
        </w:tc>
        <w:tc>
          <w:tcPr>
            <w:tcW w:w="859" w:type="pct"/>
            <w:tcBorders>
              <w:right w:val="nil"/>
            </w:tcBorders>
            <w:vAlign w:val="center"/>
          </w:tcPr>
          <w:p w14:paraId="50836884">
            <w:pPr>
              <w:pStyle w:val="542"/>
              <w:spacing w:line="300" w:lineRule="exact"/>
              <w:rPr>
                <w:rFonts w:hint="eastAsia" w:ascii="宋体" w:hAnsi="宋体" w:cs="宋体"/>
                <w:b w:val="0"/>
                <w:bCs/>
                <w:color w:val="000000" w:themeColor="text1"/>
                <w:szCs w:val="21"/>
                <w:lang w:val="en-US"/>
                <w14:textFill>
                  <w14:solidFill>
                    <w14:schemeClr w14:val="tx1"/>
                  </w14:solidFill>
                </w14:textFill>
              </w:rPr>
            </w:pPr>
            <w:r>
              <w:rPr>
                <w:rFonts w:hint="eastAsia" w:ascii="宋体" w:hAnsi="宋体" w:cs="宋体"/>
                <w:b w:val="0"/>
                <w:bCs/>
                <w:color w:val="000000" w:themeColor="text1"/>
                <w:szCs w:val="21"/>
                <w14:textFill>
                  <w14:solidFill>
                    <w14:schemeClr w14:val="tx1"/>
                  </w14:solidFill>
                </w14:textFill>
              </w:rPr>
              <w:t>达标</w:t>
            </w:r>
          </w:p>
        </w:tc>
      </w:tr>
      <w:tr w14:paraId="201FE6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42" w:type="pct"/>
            <w:vMerge w:val="restart"/>
            <w:tcBorders>
              <w:left w:val="nil"/>
            </w:tcBorders>
            <w:vAlign w:val="center"/>
          </w:tcPr>
          <w:p w14:paraId="208FE60B">
            <w:pPr>
              <w:pStyle w:val="542"/>
              <w:spacing w:line="300" w:lineRule="exact"/>
              <w:rPr>
                <w:rFonts w:hint="eastAsia" w:ascii="宋体" w:hAnsi="宋体" w:cs="宋体"/>
                <w:b w:val="0"/>
                <w:bCs/>
                <w:color w:val="000000" w:themeColor="text1"/>
                <w:szCs w:val="21"/>
                <w14:textFill>
                  <w14:solidFill>
                    <w14:schemeClr w14:val="tx1"/>
                  </w14:solidFill>
                </w14:textFill>
              </w:rPr>
            </w:pPr>
            <w:r>
              <w:rPr>
                <w:rFonts w:hint="eastAsia" w:ascii="宋体" w:hAnsi="宋体" w:cs="宋体"/>
                <w:b w:val="0"/>
                <w:bCs/>
                <w:color w:val="000000" w:themeColor="text1"/>
                <w:szCs w:val="21"/>
                <w:lang w:val="en-US"/>
                <w14:textFill>
                  <w14:solidFill>
                    <w14:schemeClr w14:val="tx1"/>
                  </w14:solidFill>
                </w14:textFill>
              </w:rPr>
              <w:t>2021年</w:t>
            </w:r>
          </w:p>
        </w:tc>
        <w:tc>
          <w:tcPr>
            <w:tcW w:w="838" w:type="pct"/>
            <w:vAlign w:val="center"/>
          </w:tcPr>
          <w:p w14:paraId="4B78E752">
            <w:pPr>
              <w:spacing w:line="300" w:lineRule="exact"/>
              <w:jc w:val="center"/>
              <w:rPr>
                <w:rFonts w:hint="eastAsia" w:ascii="宋体" w:hAnsi="宋体" w:cs="宋体"/>
                <w:bCs/>
                <w:color w:val="000000" w:themeColor="text1"/>
                <w:kern w:val="0"/>
                <w:szCs w:val="21"/>
                <w14:textFill>
                  <w14:solidFill>
                    <w14:schemeClr w14:val="tx1"/>
                  </w14:solidFill>
                </w14:textFill>
              </w:rPr>
            </w:pPr>
            <w:r>
              <w:rPr>
                <w:rFonts w:hint="eastAsia" w:ascii="宋体" w:hAnsi="宋体" w:cs="宋体"/>
                <w:bCs/>
                <w:color w:val="000000" w:themeColor="text1"/>
                <w:kern w:val="0"/>
                <w:szCs w:val="21"/>
                <w14:textFill>
                  <w14:solidFill>
                    <w14:schemeClr w14:val="tx1"/>
                  </w14:solidFill>
                </w14:textFill>
              </w:rPr>
              <w:t>现状浓度</w:t>
            </w:r>
          </w:p>
          <w:p w14:paraId="784F1EE2">
            <w:pPr>
              <w:spacing w:line="300" w:lineRule="exact"/>
              <w:jc w:val="center"/>
              <w:rPr>
                <w:rFonts w:hint="eastAsia" w:ascii="宋体" w:hAnsi="宋体" w:cs="宋体"/>
                <w:bCs/>
                <w:color w:val="000000" w:themeColor="text1"/>
                <w:kern w:val="0"/>
                <w:szCs w:val="21"/>
                <w14:textFill>
                  <w14:solidFill>
                    <w14:schemeClr w14:val="tx1"/>
                  </w14:solidFill>
                </w14:textFill>
              </w:rPr>
            </w:pPr>
            <w:r>
              <w:rPr>
                <w:rFonts w:hint="eastAsia" w:ascii="宋体" w:hAnsi="宋体" w:cs="宋体"/>
                <w:bCs/>
                <w:color w:val="000000" w:themeColor="text1"/>
                <w:kern w:val="0"/>
                <w:szCs w:val="21"/>
                <w14:textFill>
                  <w14:solidFill>
                    <w14:schemeClr w14:val="tx1"/>
                  </w14:solidFill>
                </w14:textFill>
              </w:rPr>
              <w:t>(μg/m</w:t>
            </w:r>
            <w:r>
              <w:rPr>
                <w:rFonts w:hint="eastAsia" w:ascii="宋体" w:hAnsi="宋体" w:cs="宋体"/>
                <w:bCs/>
                <w:color w:val="000000" w:themeColor="text1"/>
                <w:kern w:val="0"/>
                <w:szCs w:val="21"/>
                <w:vertAlign w:val="superscript"/>
                <w14:textFill>
                  <w14:solidFill>
                    <w14:schemeClr w14:val="tx1"/>
                  </w14:solidFill>
                </w14:textFill>
              </w:rPr>
              <w:t>3</w:t>
            </w:r>
            <w:r>
              <w:rPr>
                <w:rFonts w:hint="eastAsia" w:ascii="宋体" w:hAnsi="宋体" w:cs="宋体"/>
                <w:bCs/>
                <w:color w:val="000000" w:themeColor="text1"/>
                <w:kern w:val="0"/>
                <w:szCs w:val="21"/>
                <w14:textFill>
                  <w14:solidFill>
                    <w14:schemeClr w14:val="tx1"/>
                  </w14:solidFill>
                </w14:textFill>
              </w:rPr>
              <w:t>)</w:t>
            </w:r>
          </w:p>
        </w:tc>
        <w:tc>
          <w:tcPr>
            <w:tcW w:w="407" w:type="pct"/>
            <w:vAlign w:val="center"/>
          </w:tcPr>
          <w:p w14:paraId="0E60CC1A">
            <w:pPr>
              <w:pStyle w:val="542"/>
              <w:spacing w:line="300" w:lineRule="exact"/>
              <w:rPr>
                <w:rFonts w:hint="eastAsia" w:ascii="宋体" w:hAnsi="宋体" w:cs="宋体"/>
                <w:b w:val="0"/>
                <w:bCs/>
                <w:color w:val="000000" w:themeColor="text1"/>
                <w:szCs w:val="21"/>
                <w:lang w:val="en-US"/>
                <w14:textFill>
                  <w14:solidFill>
                    <w14:schemeClr w14:val="tx1"/>
                  </w14:solidFill>
                </w14:textFill>
              </w:rPr>
            </w:pPr>
            <w:r>
              <w:rPr>
                <w:rFonts w:hint="eastAsia" w:ascii="宋体" w:hAnsi="宋体" w:cs="宋体"/>
                <w:b w:val="0"/>
                <w:bCs/>
                <w:color w:val="000000" w:themeColor="text1"/>
                <w:szCs w:val="21"/>
                <w:lang w:val="en-US"/>
                <w14:textFill>
                  <w14:solidFill>
                    <w14:schemeClr w14:val="tx1"/>
                  </w14:solidFill>
                </w14:textFill>
              </w:rPr>
              <w:t>8</w:t>
            </w:r>
          </w:p>
        </w:tc>
        <w:tc>
          <w:tcPr>
            <w:tcW w:w="568" w:type="pct"/>
            <w:vAlign w:val="center"/>
          </w:tcPr>
          <w:p w14:paraId="3282A8A2">
            <w:pPr>
              <w:pStyle w:val="542"/>
              <w:spacing w:line="300" w:lineRule="exact"/>
              <w:rPr>
                <w:rFonts w:hint="eastAsia" w:ascii="宋体" w:hAnsi="宋体" w:cs="宋体"/>
                <w:b w:val="0"/>
                <w:bCs/>
                <w:color w:val="000000" w:themeColor="text1"/>
                <w:szCs w:val="21"/>
                <w:lang w:val="en-US"/>
                <w14:textFill>
                  <w14:solidFill>
                    <w14:schemeClr w14:val="tx1"/>
                  </w14:solidFill>
                </w14:textFill>
              </w:rPr>
            </w:pPr>
            <w:r>
              <w:rPr>
                <w:rFonts w:hint="eastAsia" w:ascii="宋体" w:hAnsi="宋体" w:cs="宋体"/>
                <w:b w:val="0"/>
                <w:bCs/>
                <w:color w:val="000000" w:themeColor="text1"/>
                <w:szCs w:val="21"/>
                <w:lang w:val="en-US"/>
                <w14:textFill>
                  <w14:solidFill>
                    <w14:schemeClr w14:val="tx1"/>
                  </w14:solidFill>
                </w14:textFill>
              </w:rPr>
              <w:t>21</w:t>
            </w:r>
          </w:p>
        </w:tc>
        <w:tc>
          <w:tcPr>
            <w:tcW w:w="487" w:type="pct"/>
            <w:vAlign w:val="center"/>
          </w:tcPr>
          <w:p w14:paraId="598C289D">
            <w:pPr>
              <w:pStyle w:val="542"/>
              <w:spacing w:line="300" w:lineRule="exact"/>
              <w:rPr>
                <w:rFonts w:hint="eastAsia" w:ascii="宋体" w:hAnsi="宋体" w:cs="宋体"/>
                <w:b w:val="0"/>
                <w:bCs/>
                <w:color w:val="000000" w:themeColor="text1"/>
                <w:szCs w:val="21"/>
                <w:lang w:val="en-US"/>
                <w14:textFill>
                  <w14:solidFill>
                    <w14:schemeClr w14:val="tx1"/>
                  </w14:solidFill>
                </w14:textFill>
              </w:rPr>
            </w:pPr>
            <w:r>
              <w:rPr>
                <w:rFonts w:hint="eastAsia" w:ascii="宋体" w:hAnsi="宋体" w:cs="宋体"/>
                <w:b w:val="0"/>
                <w:bCs/>
                <w:color w:val="000000" w:themeColor="text1"/>
                <w:szCs w:val="21"/>
                <w:lang w:val="en-US"/>
                <w14:textFill>
                  <w14:solidFill>
                    <w14:schemeClr w14:val="tx1"/>
                  </w14:solidFill>
                </w14:textFill>
              </w:rPr>
              <w:t>82</w:t>
            </w:r>
          </w:p>
        </w:tc>
        <w:tc>
          <w:tcPr>
            <w:tcW w:w="487" w:type="pct"/>
            <w:vAlign w:val="center"/>
          </w:tcPr>
          <w:p w14:paraId="70FF0019">
            <w:pPr>
              <w:pStyle w:val="542"/>
              <w:spacing w:line="300" w:lineRule="exact"/>
              <w:rPr>
                <w:rFonts w:hint="eastAsia" w:ascii="宋体" w:hAnsi="宋体" w:cs="宋体"/>
                <w:b w:val="0"/>
                <w:bCs/>
                <w:color w:val="000000" w:themeColor="text1"/>
                <w:szCs w:val="21"/>
                <w:lang w:val="en-US"/>
                <w14:textFill>
                  <w14:solidFill>
                    <w14:schemeClr w14:val="tx1"/>
                  </w14:solidFill>
                </w14:textFill>
              </w:rPr>
            </w:pPr>
            <w:r>
              <w:rPr>
                <w:rFonts w:hint="eastAsia" w:ascii="宋体" w:hAnsi="宋体" w:cs="宋体"/>
                <w:b w:val="0"/>
                <w:bCs/>
                <w:color w:val="000000" w:themeColor="text1"/>
                <w:szCs w:val="21"/>
                <w:lang w:val="en-US"/>
                <w14:textFill>
                  <w14:solidFill>
                    <w14:schemeClr w14:val="tx1"/>
                  </w14:solidFill>
                </w14:textFill>
              </w:rPr>
              <w:t>45</w:t>
            </w:r>
          </w:p>
        </w:tc>
        <w:tc>
          <w:tcPr>
            <w:tcW w:w="812" w:type="pct"/>
            <w:vAlign w:val="center"/>
          </w:tcPr>
          <w:p w14:paraId="01B3C2F6">
            <w:pPr>
              <w:pStyle w:val="542"/>
              <w:spacing w:line="300" w:lineRule="exact"/>
              <w:rPr>
                <w:rFonts w:hint="eastAsia" w:ascii="宋体" w:hAnsi="宋体" w:cs="宋体"/>
                <w:b w:val="0"/>
                <w:bCs/>
                <w:color w:val="000000" w:themeColor="text1"/>
                <w:szCs w:val="21"/>
                <w:lang w:val="en-US"/>
                <w14:textFill>
                  <w14:solidFill>
                    <w14:schemeClr w14:val="tx1"/>
                  </w14:solidFill>
                </w14:textFill>
              </w:rPr>
            </w:pPr>
            <w:r>
              <w:rPr>
                <w:rFonts w:hint="eastAsia" w:ascii="宋体" w:hAnsi="宋体" w:cs="宋体"/>
                <w:b w:val="0"/>
                <w:bCs/>
                <w:color w:val="000000" w:themeColor="text1"/>
                <w:szCs w:val="21"/>
                <w:lang w:val="en-US"/>
                <w14:textFill>
                  <w14:solidFill>
                    <w14:schemeClr w14:val="tx1"/>
                  </w14:solidFill>
                </w14:textFill>
              </w:rPr>
              <w:t>1</w:t>
            </w:r>
          </w:p>
        </w:tc>
        <w:tc>
          <w:tcPr>
            <w:tcW w:w="859" w:type="pct"/>
            <w:tcBorders>
              <w:right w:val="nil"/>
            </w:tcBorders>
            <w:vAlign w:val="center"/>
          </w:tcPr>
          <w:p w14:paraId="684AFEDA">
            <w:pPr>
              <w:pStyle w:val="542"/>
              <w:spacing w:line="300" w:lineRule="exact"/>
              <w:rPr>
                <w:rFonts w:hint="eastAsia" w:ascii="宋体" w:hAnsi="宋体" w:cs="宋体"/>
                <w:b w:val="0"/>
                <w:bCs/>
                <w:color w:val="000000" w:themeColor="text1"/>
                <w:szCs w:val="21"/>
                <w:lang w:val="en-US"/>
                <w14:textFill>
                  <w14:solidFill>
                    <w14:schemeClr w14:val="tx1"/>
                  </w14:solidFill>
                </w14:textFill>
              </w:rPr>
            </w:pPr>
            <w:r>
              <w:rPr>
                <w:rFonts w:hint="eastAsia" w:ascii="宋体" w:hAnsi="宋体" w:cs="宋体"/>
                <w:b w:val="0"/>
                <w:bCs/>
                <w:color w:val="000000" w:themeColor="text1"/>
                <w:szCs w:val="21"/>
                <w:lang w:val="en-US"/>
                <w14:textFill>
                  <w14:solidFill>
                    <w14:schemeClr w14:val="tx1"/>
                  </w14:solidFill>
                </w14:textFill>
              </w:rPr>
              <w:t>119</w:t>
            </w:r>
          </w:p>
        </w:tc>
      </w:tr>
      <w:tr w14:paraId="3A556F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42" w:type="pct"/>
            <w:vMerge w:val="continue"/>
            <w:tcBorders>
              <w:left w:val="nil"/>
            </w:tcBorders>
            <w:vAlign w:val="center"/>
          </w:tcPr>
          <w:p w14:paraId="02E770F8">
            <w:pPr>
              <w:pStyle w:val="542"/>
              <w:spacing w:line="300" w:lineRule="exact"/>
              <w:rPr>
                <w:rFonts w:hint="eastAsia" w:ascii="宋体" w:hAnsi="宋体" w:cs="宋体"/>
                <w:b w:val="0"/>
                <w:bCs/>
                <w:color w:val="000000" w:themeColor="text1"/>
                <w:szCs w:val="21"/>
                <w14:textFill>
                  <w14:solidFill>
                    <w14:schemeClr w14:val="tx1"/>
                  </w14:solidFill>
                </w14:textFill>
              </w:rPr>
            </w:pPr>
          </w:p>
        </w:tc>
        <w:tc>
          <w:tcPr>
            <w:tcW w:w="838" w:type="pct"/>
            <w:vAlign w:val="center"/>
          </w:tcPr>
          <w:p w14:paraId="03E589AD">
            <w:pPr>
              <w:spacing w:line="300" w:lineRule="exact"/>
              <w:jc w:val="center"/>
              <w:rPr>
                <w:rFonts w:hint="eastAsia" w:ascii="宋体" w:hAnsi="宋体" w:cs="宋体"/>
                <w:bCs/>
                <w:color w:val="000000" w:themeColor="text1"/>
                <w:kern w:val="0"/>
                <w:szCs w:val="21"/>
                <w14:textFill>
                  <w14:solidFill>
                    <w14:schemeClr w14:val="tx1"/>
                  </w14:solidFill>
                </w14:textFill>
              </w:rPr>
            </w:pPr>
            <w:r>
              <w:rPr>
                <w:rFonts w:hint="eastAsia" w:ascii="宋体" w:hAnsi="宋体" w:cs="宋体"/>
                <w:bCs/>
                <w:color w:val="000000" w:themeColor="text1"/>
                <w:kern w:val="0"/>
                <w:szCs w:val="21"/>
                <w14:textFill>
                  <w14:solidFill>
                    <w14:schemeClr w14:val="tx1"/>
                  </w14:solidFill>
                </w14:textFill>
              </w:rPr>
              <w:t>占标率（%）</w:t>
            </w:r>
          </w:p>
        </w:tc>
        <w:tc>
          <w:tcPr>
            <w:tcW w:w="407" w:type="pct"/>
            <w:vAlign w:val="center"/>
          </w:tcPr>
          <w:p w14:paraId="17DF7271">
            <w:pPr>
              <w:pStyle w:val="542"/>
              <w:spacing w:line="300" w:lineRule="exact"/>
              <w:rPr>
                <w:rFonts w:hint="eastAsia" w:ascii="宋体" w:hAnsi="宋体" w:cs="宋体"/>
                <w:b w:val="0"/>
                <w:bCs/>
                <w:color w:val="000000" w:themeColor="text1"/>
                <w:szCs w:val="21"/>
                <w:lang w:val="en-US"/>
                <w14:textFill>
                  <w14:solidFill>
                    <w14:schemeClr w14:val="tx1"/>
                  </w14:solidFill>
                </w14:textFill>
              </w:rPr>
            </w:pPr>
            <w:r>
              <w:rPr>
                <w:rFonts w:hint="eastAsia" w:ascii="宋体" w:hAnsi="宋体" w:cs="宋体"/>
                <w:b w:val="0"/>
                <w:bCs/>
                <w:color w:val="000000" w:themeColor="text1"/>
                <w:szCs w:val="21"/>
                <w:lang w:val="en-US"/>
                <w14:textFill>
                  <w14:solidFill>
                    <w14:schemeClr w14:val="tx1"/>
                  </w14:solidFill>
                </w14:textFill>
              </w:rPr>
              <w:t>13.3</w:t>
            </w:r>
          </w:p>
        </w:tc>
        <w:tc>
          <w:tcPr>
            <w:tcW w:w="568" w:type="pct"/>
            <w:vAlign w:val="center"/>
          </w:tcPr>
          <w:p w14:paraId="7236132F">
            <w:pPr>
              <w:pStyle w:val="542"/>
              <w:spacing w:line="300" w:lineRule="exact"/>
              <w:rPr>
                <w:rFonts w:hint="eastAsia" w:ascii="宋体" w:hAnsi="宋体" w:cs="宋体"/>
                <w:b w:val="0"/>
                <w:bCs/>
                <w:color w:val="000000" w:themeColor="text1"/>
                <w:szCs w:val="21"/>
                <w:lang w:val="en-US"/>
                <w14:textFill>
                  <w14:solidFill>
                    <w14:schemeClr w14:val="tx1"/>
                  </w14:solidFill>
                </w14:textFill>
              </w:rPr>
            </w:pPr>
            <w:r>
              <w:rPr>
                <w:rFonts w:hint="eastAsia" w:ascii="宋体" w:hAnsi="宋体" w:cs="宋体"/>
                <w:b w:val="0"/>
                <w:bCs/>
                <w:color w:val="000000" w:themeColor="text1"/>
                <w:szCs w:val="21"/>
                <w:lang w:val="en-US"/>
                <w14:textFill>
                  <w14:solidFill>
                    <w14:schemeClr w14:val="tx1"/>
                  </w14:solidFill>
                </w14:textFill>
              </w:rPr>
              <w:t>52.5</w:t>
            </w:r>
          </w:p>
        </w:tc>
        <w:tc>
          <w:tcPr>
            <w:tcW w:w="487" w:type="pct"/>
            <w:vAlign w:val="center"/>
          </w:tcPr>
          <w:p w14:paraId="1F8AE13C">
            <w:pPr>
              <w:pStyle w:val="542"/>
              <w:spacing w:line="300" w:lineRule="exact"/>
              <w:rPr>
                <w:rFonts w:hint="eastAsia" w:ascii="宋体" w:hAnsi="宋体" w:cs="宋体"/>
                <w:b w:val="0"/>
                <w:bCs/>
                <w:color w:val="000000" w:themeColor="text1"/>
                <w:szCs w:val="21"/>
                <w:lang w:val="en-US"/>
                <w14:textFill>
                  <w14:solidFill>
                    <w14:schemeClr w14:val="tx1"/>
                  </w14:solidFill>
                </w14:textFill>
              </w:rPr>
            </w:pPr>
            <w:r>
              <w:rPr>
                <w:rFonts w:hint="eastAsia" w:ascii="宋体" w:hAnsi="宋体" w:cs="宋体"/>
                <w:b w:val="0"/>
                <w:bCs/>
                <w:color w:val="000000" w:themeColor="text1"/>
                <w:szCs w:val="21"/>
                <w:lang w:val="en-US"/>
                <w14:textFill>
                  <w14:solidFill>
                    <w14:schemeClr w14:val="tx1"/>
                  </w14:solidFill>
                </w14:textFill>
              </w:rPr>
              <w:t>117.1</w:t>
            </w:r>
          </w:p>
        </w:tc>
        <w:tc>
          <w:tcPr>
            <w:tcW w:w="487" w:type="pct"/>
            <w:vAlign w:val="center"/>
          </w:tcPr>
          <w:p w14:paraId="2DEF6CED">
            <w:pPr>
              <w:pStyle w:val="542"/>
              <w:spacing w:line="300" w:lineRule="exact"/>
              <w:rPr>
                <w:rFonts w:hint="eastAsia" w:ascii="宋体" w:hAnsi="宋体" w:cs="宋体"/>
                <w:b w:val="0"/>
                <w:bCs/>
                <w:color w:val="000000" w:themeColor="text1"/>
                <w:szCs w:val="21"/>
                <w:lang w:val="en-US"/>
                <w14:textFill>
                  <w14:solidFill>
                    <w14:schemeClr w14:val="tx1"/>
                  </w14:solidFill>
                </w14:textFill>
              </w:rPr>
            </w:pPr>
            <w:r>
              <w:rPr>
                <w:rFonts w:hint="eastAsia" w:ascii="宋体" w:hAnsi="宋体" w:cs="宋体"/>
                <w:b w:val="0"/>
                <w:bCs/>
                <w:color w:val="000000" w:themeColor="text1"/>
                <w:szCs w:val="21"/>
                <w:lang w:val="en-US"/>
                <w14:textFill>
                  <w14:solidFill>
                    <w14:schemeClr w14:val="tx1"/>
                  </w14:solidFill>
                </w14:textFill>
              </w:rPr>
              <w:t>128.6</w:t>
            </w:r>
          </w:p>
        </w:tc>
        <w:tc>
          <w:tcPr>
            <w:tcW w:w="812" w:type="pct"/>
            <w:vAlign w:val="center"/>
          </w:tcPr>
          <w:p w14:paraId="5532876E">
            <w:pPr>
              <w:pStyle w:val="542"/>
              <w:spacing w:line="300" w:lineRule="exact"/>
              <w:rPr>
                <w:rFonts w:hint="eastAsia" w:ascii="宋体" w:hAnsi="宋体" w:cs="宋体"/>
                <w:b w:val="0"/>
                <w:bCs/>
                <w:color w:val="000000" w:themeColor="text1"/>
                <w:szCs w:val="21"/>
                <w:lang w:val="en-US"/>
                <w14:textFill>
                  <w14:solidFill>
                    <w14:schemeClr w14:val="tx1"/>
                  </w14:solidFill>
                </w14:textFill>
              </w:rPr>
            </w:pPr>
            <w:r>
              <w:rPr>
                <w:rFonts w:hint="eastAsia" w:ascii="宋体" w:hAnsi="宋体" w:cs="宋体"/>
                <w:b w:val="0"/>
                <w:bCs/>
                <w:color w:val="000000" w:themeColor="text1"/>
                <w:szCs w:val="21"/>
                <w:lang w:val="en-US"/>
                <w14:textFill>
                  <w14:solidFill>
                    <w14:schemeClr w14:val="tx1"/>
                  </w14:solidFill>
                </w14:textFill>
              </w:rPr>
              <w:t>25</w:t>
            </w:r>
          </w:p>
        </w:tc>
        <w:tc>
          <w:tcPr>
            <w:tcW w:w="859" w:type="pct"/>
            <w:tcBorders>
              <w:right w:val="nil"/>
            </w:tcBorders>
            <w:vAlign w:val="center"/>
          </w:tcPr>
          <w:p w14:paraId="0E825DCE">
            <w:pPr>
              <w:pStyle w:val="542"/>
              <w:spacing w:line="300" w:lineRule="exact"/>
              <w:rPr>
                <w:rFonts w:hint="eastAsia" w:ascii="宋体" w:hAnsi="宋体" w:cs="宋体"/>
                <w:b w:val="0"/>
                <w:bCs/>
                <w:color w:val="000000" w:themeColor="text1"/>
                <w:szCs w:val="21"/>
                <w:lang w:val="en-US"/>
                <w14:textFill>
                  <w14:solidFill>
                    <w14:schemeClr w14:val="tx1"/>
                  </w14:solidFill>
                </w14:textFill>
              </w:rPr>
            </w:pPr>
            <w:r>
              <w:rPr>
                <w:rFonts w:hint="eastAsia" w:ascii="宋体" w:hAnsi="宋体" w:cs="宋体"/>
                <w:b w:val="0"/>
                <w:bCs/>
                <w:color w:val="000000" w:themeColor="text1"/>
                <w:szCs w:val="21"/>
                <w:lang w:val="en-US"/>
                <w14:textFill>
                  <w14:solidFill>
                    <w14:schemeClr w14:val="tx1"/>
                  </w14:solidFill>
                </w14:textFill>
              </w:rPr>
              <w:t>74.38</w:t>
            </w:r>
          </w:p>
        </w:tc>
      </w:tr>
      <w:tr w14:paraId="76B1AD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42" w:type="pct"/>
            <w:vMerge w:val="continue"/>
            <w:tcBorders>
              <w:left w:val="nil"/>
            </w:tcBorders>
            <w:vAlign w:val="center"/>
          </w:tcPr>
          <w:p w14:paraId="7A9C5B33">
            <w:pPr>
              <w:pStyle w:val="542"/>
              <w:spacing w:line="300" w:lineRule="exact"/>
              <w:rPr>
                <w:rFonts w:hint="eastAsia" w:ascii="宋体" w:hAnsi="宋体" w:cs="宋体"/>
                <w:b w:val="0"/>
                <w:bCs/>
                <w:color w:val="000000" w:themeColor="text1"/>
                <w:szCs w:val="21"/>
                <w14:textFill>
                  <w14:solidFill>
                    <w14:schemeClr w14:val="tx1"/>
                  </w14:solidFill>
                </w14:textFill>
              </w:rPr>
            </w:pPr>
          </w:p>
        </w:tc>
        <w:tc>
          <w:tcPr>
            <w:tcW w:w="838" w:type="pct"/>
            <w:vAlign w:val="center"/>
          </w:tcPr>
          <w:p w14:paraId="5B63BF7E">
            <w:pPr>
              <w:spacing w:line="300" w:lineRule="exact"/>
              <w:jc w:val="center"/>
              <w:rPr>
                <w:rFonts w:hint="eastAsia" w:ascii="宋体" w:hAnsi="宋体" w:cs="宋体"/>
                <w:bCs/>
                <w:color w:val="000000" w:themeColor="text1"/>
                <w:kern w:val="0"/>
                <w:szCs w:val="21"/>
                <w14:textFill>
                  <w14:solidFill>
                    <w14:schemeClr w14:val="tx1"/>
                  </w14:solidFill>
                </w14:textFill>
              </w:rPr>
            </w:pPr>
            <w:r>
              <w:rPr>
                <w:rFonts w:hint="eastAsia" w:ascii="宋体" w:hAnsi="宋体" w:cs="宋体"/>
                <w:bCs/>
                <w:color w:val="000000" w:themeColor="text1"/>
                <w:kern w:val="0"/>
                <w:szCs w:val="21"/>
                <w14:textFill>
                  <w14:solidFill>
                    <w14:schemeClr w14:val="tx1"/>
                  </w14:solidFill>
                </w14:textFill>
              </w:rPr>
              <w:t>达标情况</w:t>
            </w:r>
          </w:p>
        </w:tc>
        <w:tc>
          <w:tcPr>
            <w:tcW w:w="407" w:type="pct"/>
            <w:vAlign w:val="center"/>
          </w:tcPr>
          <w:p w14:paraId="1CB62A4E">
            <w:pPr>
              <w:pStyle w:val="542"/>
              <w:spacing w:line="300" w:lineRule="exact"/>
              <w:rPr>
                <w:rFonts w:hint="eastAsia" w:ascii="宋体" w:hAnsi="宋体" w:cs="宋体"/>
                <w:b w:val="0"/>
                <w:bCs/>
                <w:color w:val="000000" w:themeColor="text1"/>
                <w:szCs w:val="21"/>
                <w:lang w:val="en-US"/>
                <w14:textFill>
                  <w14:solidFill>
                    <w14:schemeClr w14:val="tx1"/>
                  </w14:solidFill>
                </w14:textFill>
              </w:rPr>
            </w:pPr>
            <w:r>
              <w:rPr>
                <w:rFonts w:hint="eastAsia" w:ascii="宋体" w:hAnsi="宋体" w:cs="宋体"/>
                <w:b w:val="0"/>
                <w:bCs/>
                <w:color w:val="000000" w:themeColor="text1"/>
                <w:szCs w:val="21"/>
                <w14:textFill>
                  <w14:solidFill>
                    <w14:schemeClr w14:val="tx1"/>
                  </w14:solidFill>
                </w14:textFill>
              </w:rPr>
              <w:t>达标</w:t>
            </w:r>
          </w:p>
        </w:tc>
        <w:tc>
          <w:tcPr>
            <w:tcW w:w="568" w:type="pct"/>
            <w:vAlign w:val="center"/>
          </w:tcPr>
          <w:p w14:paraId="1381AA89">
            <w:pPr>
              <w:pStyle w:val="542"/>
              <w:spacing w:line="300" w:lineRule="exact"/>
              <w:rPr>
                <w:rFonts w:hint="eastAsia" w:ascii="宋体" w:hAnsi="宋体" w:cs="宋体"/>
                <w:b w:val="0"/>
                <w:bCs/>
                <w:color w:val="000000" w:themeColor="text1"/>
                <w:szCs w:val="21"/>
                <w:lang w:val="en-US"/>
                <w14:textFill>
                  <w14:solidFill>
                    <w14:schemeClr w14:val="tx1"/>
                  </w14:solidFill>
                </w14:textFill>
              </w:rPr>
            </w:pPr>
            <w:r>
              <w:rPr>
                <w:rFonts w:hint="eastAsia" w:ascii="宋体" w:hAnsi="宋体" w:cs="宋体"/>
                <w:b w:val="0"/>
                <w:bCs/>
                <w:color w:val="000000" w:themeColor="text1"/>
                <w:szCs w:val="21"/>
                <w14:textFill>
                  <w14:solidFill>
                    <w14:schemeClr w14:val="tx1"/>
                  </w14:solidFill>
                </w14:textFill>
              </w:rPr>
              <w:t>达标</w:t>
            </w:r>
          </w:p>
        </w:tc>
        <w:tc>
          <w:tcPr>
            <w:tcW w:w="487" w:type="pct"/>
            <w:vAlign w:val="center"/>
          </w:tcPr>
          <w:p w14:paraId="70780616">
            <w:pPr>
              <w:pStyle w:val="542"/>
              <w:spacing w:line="300" w:lineRule="exact"/>
              <w:rPr>
                <w:rFonts w:hint="eastAsia" w:ascii="宋体" w:hAnsi="宋体" w:cs="宋体"/>
                <w:color w:val="000000" w:themeColor="text1"/>
                <w:szCs w:val="21"/>
                <w:lang w:val="en-US"/>
                <w14:textFill>
                  <w14:solidFill>
                    <w14:schemeClr w14:val="tx1"/>
                  </w14:solidFill>
                </w14:textFill>
              </w:rPr>
            </w:pPr>
            <w:r>
              <w:rPr>
                <w:rFonts w:hint="eastAsia" w:ascii="宋体" w:hAnsi="宋体" w:cs="宋体"/>
                <w:color w:val="000000" w:themeColor="text1"/>
                <w:szCs w:val="21"/>
                <w:lang w:val="en-US"/>
                <w14:textFill>
                  <w14:solidFill>
                    <w14:schemeClr w14:val="tx1"/>
                  </w14:solidFill>
                </w14:textFill>
              </w:rPr>
              <w:t>超</w:t>
            </w:r>
            <w:r>
              <w:rPr>
                <w:rFonts w:hint="eastAsia" w:ascii="宋体" w:hAnsi="宋体" w:cs="宋体"/>
                <w:color w:val="000000" w:themeColor="text1"/>
                <w:szCs w:val="21"/>
                <w14:textFill>
                  <w14:solidFill>
                    <w14:schemeClr w14:val="tx1"/>
                  </w14:solidFill>
                </w14:textFill>
              </w:rPr>
              <w:t>标</w:t>
            </w:r>
          </w:p>
        </w:tc>
        <w:tc>
          <w:tcPr>
            <w:tcW w:w="487" w:type="pct"/>
            <w:vAlign w:val="center"/>
          </w:tcPr>
          <w:p w14:paraId="478E5C4C">
            <w:pPr>
              <w:pStyle w:val="542"/>
              <w:spacing w:line="300" w:lineRule="exact"/>
              <w:rPr>
                <w:rFonts w:hint="eastAsia" w:ascii="宋体" w:hAnsi="宋体" w:cs="宋体"/>
                <w:color w:val="000000" w:themeColor="text1"/>
                <w:szCs w:val="21"/>
                <w:lang w:val="en-US"/>
                <w14:textFill>
                  <w14:solidFill>
                    <w14:schemeClr w14:val="tx1"/>
                  </w14:solidFill>
                </w14:textFill>
              </w:rPr>
            </w:pPr>
            <w:r>
              <w:rPr>
                <w:rFonts w:hint="eastAsia" w:ascii="宋体" w:hAnsi="宋体" w:cs="宋体"/>
                <w:color w:val="000000" w:themeColor="text1"/>
                <w:szCs w:val="21"/>
                <w:lang w:val="en-US"/>
                <w14:textFill>
                  <w14:solidFill>
                    <w14:schemeClr w14:val="tx1"/>
                  </w14:solidFill>
                </w14:textFill>
              </w:rPr>
              <w:t>超</w:t>
            </w:r>
            <w:r>
              <w:rPr>
                <w:rFonts w:hint="eastAsia" w:ascii="宋体" w:hAnsi="宋体" w:cs="宋体"/>
                <w:color w:val="000000" w:themeColor="text1"/>
                <w:szCs w:val="21"/>
                <w14:textFill>
                  <w14:solidFill>
                    <w14:schemeClr w14:val="tx1"/>
                  </w14:solidFill>
                </w14:textFill>
              </w:rPr>
              <w:t>标</w:t>
            </w:r>
          </w:p>
        </w:tc>
        <w:tc>
          <w:tcPr>
            <w:tcW w:w="812" w:type="pct"/>
            <w:vAlign w:val="center"/>
          </w:tcPr>
          <w:p w14:paraId="3B77B570">
            <w:pPr>
              <w:pStyle w:val="542"/>
              <w:spacing w:line="300" w:lineRule="exact"/>
              <w:rPr>
                <w:rFonts w:hint="eastAsia" w:ascii="宋体" w:hAnsi="宋体" w:cs="宋体"/>
                <w:b w:val="0"/>
                <w:bCs/>
                <w:color w:val="000000" w:themeColor="text1"/>
                <w:szCs w:val="21"/>
                <w:lang w:val="en-US"/>
                <w14:textFill>
                  <w14:solidFill>
                    <w14:schemeClr w14:val="tx1"/>
                  </w14:solidFill>
                </w14:textFill>
              </w:rPr>
            </w:pPr>
            <w:r>
              <w:rPr>
                <w:rFonts w:hint="eastAsia" w:ascii="宋体" w:hAnsi="宋体" w:cs="宋体"/>
                <w:b w:val="0"/>
                <w:bCs/>
                <w:color w:val="000000" w:themeColor="text1"/>
                <w:szCs w:val="21"/>
                <w14:textFill>
                  <w14:solidFill>
                    <w14:schemeClr w14:val="tx1"/>
                  </w14:solidFill>
                </w14:textFill>
              </w:rPr>
              <w:t>达标</w:t>
            </w:r>
          </w:p>
        </w:tc>
        <w:tc>
          <w:tcPr>
            <w:tcW w:w="859" w:type="pct"/>
            <w:tcBorders>
              <w:right w:val="nil"/>
            </w:tcBorders>
            <w:vAlign w:val="center"/>
          </w:tcPr>
          <w:p w14:paraId="7A785DC1">
            <w:pPr>
              <w:pStyle w:val="542"/>
              <w:spacing w:line="300" w:lineRule="exact"/>
              <w:rPr>
                <w:rFonts w:hint="eastAsia" w:ascii="宋体" w:hAnsi="宋体" w:cs="宋体"/>
                <w:b w:val="0"/>
                <w:bCs/>
                <w:color w:val="000000" w:themeColor="text1"/>
                <w:szCs w:val="21"/>
                <w:lang w:val="en-US"/>
                <w14:textFill>
                  <w14:solidFill>
                    <w14:schemeClr w14:val="tx1"/>
                  </w14:solidFill>
                </w14:textFill>
              </w:rPr>
            </w:pPr>
            <w:r>
              <w:rPr>
                <w:rFonts w:hint="eastAsia" w:ascii="宋体" w:hAnsi="宋体" w:cs="宋体"/>
                <w:b w:val="0"/>
                <w:bCs/>
                <w:color w:val="000000" w:themeColor="text1"/>
                <w:szCs w:val="21"/>
                <w14:textFill>
                  <w14:solidFill>
                    <w14:schemeClr w14:val="tx1"/>
                  </w14:solidFill>
                </w14:textFill>
              </w:rPr>
              <w:t>达标</w:t>
            </w:r>
          </w:p>
        </w:tc>
      </w:tr>
      <w:tr w14:paraId="677DC7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42" w:type="pct"/>
            <w:vMerge w:val="restart"/>
            <w:tcBorders>
              <w:left w:val="nil"/>
            </w:tcBorders>
            <w:vAlign w:val="center"/>
          </w:tcPr>
          <w:p w14:paraId="1960835E">
            <w:pPr>
              <w:pStyle w:val="542"/>
              <w:spacing w:line="300" w:lineRule="exact"/>
              <w:rPr>
                <w:rFonts w:hint="eastAsia" w:ascii="宋体" w:hAnsi="宋体" w:cs="宋体"/>
                <w:b w:val="0"/>
                <w:bCs/>
                <w:color w:val="000000" w:themeColor="text1"/>
                <w:szCs w:val="21"/>
                <w14:textFill>
                  <w14:solidFill>
                    <w14:schemeClr w14:val="tx1"/>
                  </w14:solidFill>
                </w14:textFill>
              </w:rPr>
            </w:pPr>
            <w:r>
              <w:rPr>
                <w:rFonts w:hint="eastAsia" w:ascii="宋体" w:hAnsi="宋体" w:cs="宋体"/>
                <w:b w:val="0"/>
                <w:bCs/>
                <w:color w:val="000000" w:themeColor="text1"/>
                <w:szCs w:val="21"/>
                <w:lang w:val="en-US"/>
                <w14:textFill>
                  <w14:solidFill>
                    <w14:schemeClr w14:val="tx1"/>
                  </w14:solidFill>
                </w14:textFill>
              </w:rPr>
              <w:t>2022年</w:t>
            </w:r>
          </w:p>
        </w:tc>
        <w:tc>
          <w:tcPr>
            <w:tcW w:w="838" w:type="pct"/>
            <w:vAlign w:val="center"/>
          </w:tcPr>
          <w:p w14:paraId="269C6592">
            <w:pPr>
              <w:spacing w:line="300" w:lineRule="exact"/>
              <w:jc w:val="center"/>
              <w:rPr>
                <w:rFonts w:hint="eastAsia" w:ascii="宋体" w:hAnsi="宋体" w:cs="宋体"/>
                <w:bCs/>
                <w:color w:val="000000" w:themeColor="text1"/>
                <w:kern w:val="0"/>
                <w:szCs w:val="21"/>
                <w14:textFill>
                  <w14:solidFill>
                    <w14:schemeClr w14:val="tx1"/>
                  </w14:solidFill>
                </w14:textFill>
              </w:rPr>
            </w:pPr>
            <w:r>
              <w:rPr>
                <w:rFonts w:hint="eastAsia" w:ascii="宋体" w:hAnsi="宋体" w:cs="宋体"/>
                <w:bCs/>
                <w:color w:val="000000" w:themeColor="text1"/>
                <w:kern w:val="0"/>
                <w:szCs w:val="21"/>
                <w14:textFill>
                  <w14:solidFill>
                    <w14:schemeClr w14:val="tx1"/>
                  </w14:solidFill>
                </w14:textFill>
              </w:rPr>
              <w:t>现状浓度</w:t>
            </w:r>
          </w:p>
          <w:p w14:paraId="58F16343">
            <w:pPr>
              <w:spacing w:line="300" w:lineRule="exact"/>
              <w:jc w:val="center"/>
              <w:rPr>
                <w:rFonts w:hint="eastAsia" w:ascii="宋体" w:hAnsi="宋体" w:cs="宋体"/>
                <w:bCs/>
                <w:color w:val="000000" w:themeColor="text1"/>
                <w:kern w:val="0"/>
                <w:szCs w:val="21"/>
                <w14:textFill>
                  <w14:solidFill>
                    <w14:schemeClr w14:val="tx1"/>
                  </w14:solidFill>
                </w14:textFill>
              </w:rPr>
            </w:pPr>
            <w:r>
              <w:rPr>
                <w:rFonts w:hint="eastAsia" w:ascii="宋体" w:hAnsi="宋体" w:cs="宋体"/>
                <w:bCs/>
                <w:color w:val="000000" w:themeColor="text1"/>
                <w:kern w:val="0"/>
                <w:szCs w:val="21"/>
                <w14:textFill>
                  <w14:solidFill>
                    <w14:schemeClr w14:val="tx1"/>
                  </w14:solidFill>
                </w14:textFill>
              </w:rPr>
              <w:t>(μg/m</w:t>
            </w:r>
            <w:r>
              <w:rPr>
                <w:rFonts w:hint="eastAsia" w:ascii="宋体" w:hAnsi="宋体" w:cs="宋体"/>
                <w:bCs/>
                <w:color w:val="000000" w:themeColor="text1"/>
                <w:kern w:val="0"/>
                <w:szCs w:val="21"/>
                <w:vertAlign w:val="superscript"/>
                <w14:textFill>
                  <w14:solidFill>
                    <w14:schemeClr w14:val="tx1"/>
                  </w14:solidFill>
                </w14:textFill>
              </w:rPr>
              <w:t>3</w:t>
            </w:r>
            <w:r>
              <w:rPr>
                <w:rFonts w:hint="eastAsia" w:ascii="宋体" w:hAnsi="宋体" w:cs="宋体"/>
                <w:bCs/>
                <w:color w:val="000000" w:themeColor="text1"/>
                <w:kern w:val="0"/>
                <w:szCs w:val="21"/>
                <w14:textFill>
                  <w14:solidFill>
                    <w14:schemeClr w14:val="tx1"/>
                  </w14:solidFill>
                </w14:textFill>
              </w:rPr>
              <w:t>)</w:t>
            </w:r>
          </w:p>
        </w:tc>
        <w:tc>
          <w:tcPr>
            <w:tcW w:w="407" w:type="pct"/>
            <w:vAlign w:val="center"/>
          </w:tcPr>
          <w:p w14:paraId="3F79D748">
            <w:pPr>
              <w:pStyle w:val="542"/>
              <w:spacing w:line="300" w:lineRule="exact"/>
              <w:rPr>
                <w:rFonts w:hint="eastAsia" w:ascii="宋体" w:hAnsi="宋体" w:cs="宋体"/>
                <w:b w:val="0"/>
                <w:bCs/>
                <w:color w:val="000000" w:themeColor="text1"/>
                <w:szCs w:val="21"/>
                <w:lang w:val="en-US"/>
                <w14:textFill>
                  <w14:solidFill>
                    <w14:schemeClr w14:val="tx1"/>
                  </w14:solidFill>
                </w14:textFill>
              </w:rPr>
            </w:pPr>
            <w:r>
              <w:rPr>
                <w:rFonts w:hint="eastAsia" w:ascii="宋体" w:hAnsi="宋体" w:cs="宋体"/>
                <w:b w:val="0"/>
                <w:bCs/>
                <w:color w:val="000000" w:themeColor="text1"/>
                <w:szCs w:val="21"/>
                <w:lang w:val="en-US"/>
                <w14:textFill>
                  <w14:solidFill>
                    <w14:schemeClr w14:val="tx1"/>
                  </w14:solidFill>
                </w14:textFill>
              </w:rPr>
              <w:t>8.42</w:t>
            </w:r>
          </w:p>
        </w:tc>
        <w:tc>
          <w:tcPr>
            <w:tcW w:w="568" w:type="pct"/>
            <w:vAlign w:val="center"/>
          </w:tcPr>
          <w:p w14:paraId="4044CC1C">
            <w:pPr>
              <w:pStyle w:val="542"/>
              <w:spacing w:line="300" w:lineRule="exact"/>
              <w:rPr>
                <w:rFonts w:hint="eastAsia" w:ascii="宋体" w:hAnsi="宋体" w:cs="宋体"/>
                <w:b w:val="0"/>
                <w:bCs/>
                <w:color w:val="000000" w:themeColor="text1"/>
                <w:szCs w:val="21"/>
                <w:lang w:val="en-US"/>
                <w14:textFill>
                  <w14:solidFill>
                    <w14:schemeClr w14:val="tx1"/>
                  </w14:solidFill>
                </w14:textFill>
              </w:rPr>
            </w:pPr>
            <w:r>
              <w:rPr>
                <w:rFonts w:hint="eastAsia" w:ascii="宋体" w:hAnsi="宋体" w:cs="宋体"/>
                <w:b w:val="0"/>
                <w:bCs/>
                <w:color w:val="000000" w:themeColor="text1"/>
                <w:szCs w:val="21"/>
                <w:lang w:val="en-US"/>
                <w14:textFill>
                  <w14:solidFill>
                    <w14:schemeClr w14:val="tx1"/>
                  </w14:solidFill>
                </w14:textFill>
              </w:rPr>
              <w:t>15.84</w:t>
            </w:r>
          </w:p>
        </w:tc>
        <w:tc>
          <w:tcPr>
            <w:tcW w:w="487" w:type="pct"/>
            <w:vAlign w:val="center"/>
          </w:tcPr>
          <w:p w14:paraId="2A5717AE">
            <w:pPr>
              <w:pStyle w:val="542"/>
              <w:spacing w:line="300" w:lineRule="exact"/>
              <w:rPr>
                <w:rFonts w:hint="eastAsia" w:ascii="宋体" w:hAnsi="宋体" w:cs="宋体"/>
                <w:b w:val="0"/>
                <w:bCs/>
                <w:color w:val="000000" w:themeColor="text1"/>
                <w:szCs w:val="21"/>
                <w:lang w:val="en-US"/>
                <w14:textFill>
                  <w14:solidFill>
                    <w14:schemeClr w14:val="tx1"/>
                  </w14:solidFill>
                </w14:textFill>
              </w:rPr>
            </w:pPr>
            <w:r>
              <w:rPr>
                <w:rFonts w:hint="eastAsia" w:ascii="宋体" w:hAnsi="宋体" w:cs="宋体"/>
                <w:b w:val="0"/>
                <w:bCs/>
                <w:color w:val="000000" w:themeColor="text1"/>
                <w:szCs w:val="21"/>
                <w:lang w:val="en-US"/>
                <w14:textFill>
                  <w14:solidFill>
                    <w14:schemeClr w14:val="tx1"/>
                  </w14:solidFill>
                </w14:textFill>
              </w:rPr>
              <w:t>87.59</w:t>
            </w:r>
          </w:p>
        </w:tc>
        <w:tc>
          <w:tcPr>
            <w:tcW w:w="487" w:type="pct"/>
            <w:vAlign w:val="center"/>
          </w:tcPr>
          <w:p w14:paraId="6A3428F4">
            <w:pPr>
              <w:pStyle w:val="542"/>
              <w:spacing w:line="300" w:lineRule="exact"/>
              <w:rPr>
                <w:rFonts w:hint="eastAsia" w:ascii="宋体" w:hAnsi="宋体" w:cs="宋体"/>
                <w:b w:val="0"/>
                <w:bCs/>
                <w:color w:val="000000" w:themeColor="text1"/>
                <w:szCs w:val="21"/>
                <w:lang w:val="en-US"/>
                <w14:textFill>
                  <w14:solidFill>
                    <w14:schemeClr w14:val="tx1"/>
                  </w14:solidFill>
                </w14:textFill>
              </w:rPr>
            </w:pPr>
            <w:r>
              <w:rPr>
                <w:rFonts w:hint="eastAsia" w:ascii="宋体" w:hAnsi="宋体" w:cs="宋体"/>
                <w:b w:val="0"/>
                <w:bCs/>
                <w:color w:val="000000" w:themeColor="text1"/>
                <w:szCs w:val="21"/>
                <w:lang w:val="en-US"/>
                <w14:textFill>
                  <w14:solidFill>
                    <w14:schemeClr w14:val="tx1"/>
                  </w14:solidFill>
                </w14:textFill>
              </w:rPr>
              <w:t>50.64</w:t>
            </w:r>
          </w:p>
        </w:tc>
        <w:tc>
          <w:tcPr>
            <w:tcW w:w="812" w:type="pct"/>
            <w:vAlign w:val="center"/>
          </w:tcPr>
          <w:p w14:paraId="6E140210">
            <w:pPr>
              <w:pStyle w:val="542"/>
              <w:spacing w:line="300" w:lineRule="exact"/>
              <w:rPr>
                <w:rFonts w:hint="eastAsia" w:ascii="宋体" w:hAnsi="宋体" w:cs="宋体"/>
                <w:b w:val="0"/>
                <w:bCs/>
                <w:color w:val="000000" w:themeColor="text1"/>
                <w:szCs w:val="21"/>
                <w:lang w:val="en-US"/>
                <w14:textFill>
                  <w14:solidFill>
                    <w14:schemeClr w14:val="tx1"/>
                  </w14:solidFill>
                </w14:textFill>
              </w:rPr>
            </w:pPr>
            <w:r>
              <w:rPr>
                <w:rFonts w:hint="eastAsia" w:ascii="宋体" w:hAnsi="宋体" w:cs="宋体"/>
                <w:b w:val="0"/>
                <w:bCs/>
                <w:color w:val="000000" w:themeColor="text1"/>
                <w:szCs w:val="21"/>
                <w:lang w:val="en-US"/>
                <w14:textFill>
                  <w14:solidFill>
                    <w14:schemeClr w14:val="tx1"/>
                  </w14:solidFill>
                </w14:textFill>
              </w:rPr>
              <w:t>2500</w:t>
            </w:r>
          </w:p>
        </w:tc>
        <w:tc>
          <w:tcPr>
            <w:tcW w:w="859" w:type="pct"/>
            <w:tcBorders>
              <w:right w:val="nil"/>
            </w:tcBorders>
            <w:vAlign w:val="center"/>
          </w:tcPr>
          <w:p w14:paraId="10A00F75">
            <w:pPr>
              <w:pStyle w:val="542"/>
              <w:spacing w:line="300" w:lineRule="exact"/>
              <w:rPr>
                <w:rFonts w:hint="eastAsia" w:ascii="宋体" w:hAnsi="宋体" w:cs="宋体"/>
                <w:b w:val="0"/>
                <w:bCs/>
                <w:color w:val="000000" w:themeColor="text1"/>
                <w:szCs w:val="21"/>
                <w:lang w:val="en-US"/>
                <w14:textFill>
                  <w14:solidFill>
                    <w14:schemeClr w14:val="tx1"/>
                  </w14:solidFill>
                </w14:textFill>
              </w:rPr>
            </w:pPr>
            <w:r>
              <w:rPr>
                <w:rFonts w:hint="eastAsia" w:ascii="宋体" w:hAnsi="宋体" w:cs="宋体"/>
                <w:b w:val="0"/>
                <w:bCs/>
                <w:color w:val="000000" w:themeColor="text1"/>
                <w:szCs w:val="21"/>
                <w:lang w:val="en-US"/>
                <w14:textFill>
                  <w14:solidFill>
                    <w14:schemeClr w14:val="tx1"/>
                  </w14:solidFill>
                </w14:textFill>
              </w:rPr>
              <w:t>115</w:t>
            </w:r>
          </w:p>
        </w:tc>
      </w:tr>
      <w:tr w14:paraId="7B77FB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42" w:type="pct"/>
            <w:vMerge w:val="continue"/>
            <w:tcBorders>
              <w:left w:val="nil"/>
            </w:tcBorders>
            <w:vAlign w:val="center"/>
          </w:tcPr>
          <w:p w14:paraId="5F68F9EB">
            <w:pPr>
              <w:pStyle w:val="542"/>
              <w:spacing w:line="300" w:lineRule="exact"/>
              <w:rPr>
                <w:rFonts w:hint="eastAsia" w:ascii="宋体" w:hAnsi="宋体" w:cs="宋体"/>
                <w:b w:val="0"/>
                <w:bCs/>
                <w:color w:val="000000" w:themeColor="text1"/>
                <w:szCs w:val="21"/>
                <w14:textFill>
                  <w14:solidFill>
                    <w14:schemeClr w14:val="tx1"/>
                  </w14:solidFill>
                </w14:textFill>
              </w:rPr>
            </w:pPr>
          </w:p>
        </w:tc>
        <w:tc>
          <w:tcPr>
            <w:tcW w:w="838" w:type="pct"/>
            <w:vAlign w:val="center"/>
          </w:tcPr>
          <w:p w14:paraId="594892A6">
            <w:pPr>
              <w:spacing w:line="300" w:lineRule="exact"/>
              <w:jc w:val="center"/>
              <w:rPr>
                <w:rFonts w:hint="eastAsia" w:ascii="宋体" w:hAnsi="宋体" w:cs="宋体"/>
                <w:bCs/>
                <w:color w:val="000000" w:themeColor="text1"/>
                <w:kern w:val="0"/>
                <w:szCs w:val="21"/>
                <w14:textFill>
                  <w14:solidFill>
                    <w14:schemeClr w14:val="tx1"/>
                  </w14:solidFill>
                </w14:textFill>
              </w:rPr>
            </w:pPr>
            <w:r>
              <w:rPr>
                <w:rFonts w:hint="eastAsia" w:ascii="宋体" w:hAnsi="宋体" w:cs="宋体"/>
                <w:bCs/>
                <w:color w:val="000000" w:themeColor="text1"/>
                <w:kern w:val="0"/>
                <w:szCs w:val="21"/>
                <w14:textFill>
                  <w14:solidFill>
                    <w14:schemeClr w14:val="tx1"/>
                  </w14:solidFill>
                </w14:textFill>
              </w:rPr>
              <w:t>占标率（%）</w:t>
            </w:r>
          </w:p>
        </w:tc>
        <w:tc>
          <w:tcPr>
            <w:tcW w:w="407" w:type="pct"/>
            <w:vAlign w:val="center"/>
          </w:tcPr>
          <w:p w14:paraId="502EC1D2">
            <w:pPr>
              <w:pStyle w:val="542"/>
              <w:spacing w:line="300" w:lineRule="exact"/>
              <w:rPr>
                <w:rFonts w:hint="eastAsia" w:ascii="宋体" w:hAnsi="宋体" w:cs="宋体"/>
                <w:b w:val="0"/>
                <w:bCs/>
                <w:color w:val="000000" w:themeColor="text1"/>
                <w:szCs w:val="21"/>
                <w:lang w:val="en-US"/>
                <w14:textFill>
                  <w14:solidFill>
                    <w14:schemeClr w14:val="tx1"/>
                  </w14:solidFill>
                </w14:textFill>
              </w:rPr>
            </w:pPr>
            <w:r>
              <w:rPr>
                <w:rFonts w:hint="eastAsia" w:ascii="宋体" w:hAnsi="宋体" w:cs="宋体"/>
                <w:b w:val="0"/>
                <w:bCs/>
                <w:color w:val="000000" w:themeColor="text1"/>
                <w:szCs w:val="21"/>
                <w:lang w:val="en-US"/>
                <w14:textFill>
                  <w14:solidFill>
                    <w14:schemeClr w14:val="tx1"/>
                  </w14:solidFill>
                </w14:textFill>
              </w:rPr>
              <w:t>14</w:t>
            </w:r>
          </w:p>
        </w:tc>
        <w:tc>
          <w:tcPr>
            <w:tcW w:w="568" w:type="pct"/>
            <w:vAlign w:val="center"/>
          </w:tcPr>
          <w:p w14:paraId="2CCE7520">
            <w:pPr>
              <w:pStyle w:val="542"/>
              <w:spacing w:line="300" w:lineRule="exact"/>
              <w:rPr>
                <w:rFonts w:hint="eastAsia" w:ascii="宋体" w:hAnsi="宋体" w:cs="宋体"/>
                <w:b w:val="0"/>
                <w:bCs/>
                <w:color w:val="000000" w:themeColor="text1"/>
                <w:szCs w:val="21"/>
                <w:lang w:val="en-US"/>
                <w14:textFill>
                  <w14:solidFill>
                    <w14:schemeClr w14:val="tx1"/>
                  </w14:solidFill>
                </w14:textFill>
              </w:rPr>
            </w:pPr>
            <w:r>
              <w:rPr>
                <w:rFonts w:hint="eastAsia" w:ascii="宋体" w:hAnsi="宋体" w:cs="宋体"/>
                <w:b w:val="0"/>
                <w:bCs/>
                <w:color w:val="000000" w:themeColor="text1"/>
                <w:szCs w:val="21"/>
                <w:lang w:val="en-US"/>
                <w14:textFill>
                  <w14:solidFill>
                    <w14:schemeClr w14:val="tx1"/>
                  </w14:solidFill>
                </w14:textFill>
              </w:rPr>
              <w:t>39.6</w:t>
            </w:r>
          </w:p>
        </w:tc>
        <w:tc>
          <w:tcPr>
            <w:tcW w:w="487" w:type="pct"/>
            <w:vAlign w:val="center"/>
          </w:tcPr>
          <w:p w14:paraId="07700C51">
            <w:pPr>
              <w:pStyle w:val="542"/>
              <w:spacing w:line="300" w:lineRule="exact"/>
              <w:rPr>
                <w:rFonts w:hint="eastAsia" w:ascii="宋体" w:hAnsi="宋体" w:cs="宋体"/>
                <w:b w:val="0"/>
                <w:bCs/>
                <w:color w:val="000000" w:themeColor="text1"/>
                <w:szCs w:val="21"/>
                <w:lang w:val="en-US"/>
                <w14:textFill>
                  <w14:solidFill>
                    <w14:schemeClr w14:val="tx1"/>
                  </w14:solidFill>
                </w14:textFill>
              </w:rPr>
            </w:pPr>
            <w:r>
              <w:rPr>
                <w:rFonts w:hint="eastAsia" w:ascii="宋体" w:hAnsi="宋体" w:cs="宋体"/>
                <w:b w:val="0"/>
                <w:bCs/>
                <w:color w:val="000000" w:themeColor="text1"/>
                <w:szCs w:val="21"/>
                <w:lang w:val="en-US"/>
                <w14:textFill>
                  <w14:solidFill>
                    <w14:schemeClr w14:val="tx1"/>
                  </w14:solidFill>
                </w14:textFill>
              </w:rPr>
              <w:t>125.1</w:t>
            </w:r>
          </w:p>
        </w:tc>
        <w:tc>
          <w:tcPr>
            <w:tcW w:w="487" w:type="pct"/>
            <w:vAlign w:val="center"/>
          </w:tcPr>
          <w:p w14:paraId="70954209">
            <w:pPr>
              <w:pStyle w:val="542"/>
              <w:spacing w:line="300" w:lineRule="exact"/>
              <w:rPr>
                <w:rFonts w:hint="eastAsia" w:ascii="宋体" w:hAnsi="宋体" w:cs="宋体"/>
                <w:b w:val="0"/>
                <w:bCs/>
                <w:color w:val="000000" w:themeColor="text1"/>
                <w:szCs w:val="21"/>
                <w:lang w:val="en-US"/>
                <w14:textFill>
                  <w14:solidFill>
                    <w14:schemeClr w14:val="tx1"/>
                  </w14:solidFill>
                </w14:textFill>
              </w:rPr>
            </w:pPr>
            <w:r>
              <w:rPr>
                <w:rFonts w:hint="eastAsia" w:ascii="宋体" w:hAnsi="宋体" w:cs="宋体"/>
                <w:b w:val="0"/>
                <w:bCs/>
                <w:color w:val="000000" w:themeColor="text1"/>
                <w:szCs w:val="21"/>
                <w:lang w:val="en-US"/>
                <w14:textFill>
                  <w14:solidFill>
                    <w14:schemeClr w14:val="tx1"/>
                  </w14:solidFill>
                </w14:textFill>
              </w:rPr>
              <w:t>144.7</w:t>
            </w:r>
          </w:p>
        </w:tc>
        <w:tc>
          <w:tcPr>
            <w:tcW w:w="812" w:type="pct"/>
            <w:vAlign w:val="center"/>
          </w:tcPr>
          <w:p w14:paraId="29133F78">
            <w:pPr>
              <w:pStyle w:val="542"/>
              <w:spacing w:line="300" w:lineRule="exact"/>
              <w:rPr>
                <w:rFonts w:hint="eastAsia" w:ascii="宋体" w:hAnsi="宋体" w:cs="宋体"/>
                <w:b w:val="0"/>
                <w:bCs/>
                <w:color w:val="000000" w:themeColor="text1"/>
                <w:szCs w:val="21"/>
                <w:lang w:val="en-US"/>
                <w14:textFill>
                  <w14:solidFill>
                    <w14:schemeClr w14:val="tx1"/>
                  </w14:solidFill>
                </w14:textFill>
              </w:rPr>
            </w:pPr>
            <w:r>
              <w:rPr>
                <w:rFonts w:hint="eastAsia" w:ascii="宋体" w:hAnsi="宋体" w:cs="宋体"/>
                <w:b w:val="0"/>
                <w:bCs/>
                <w:color w:val="000000" w:themeColor="text1"/>
                <w:szCs w:val="21"/>
                <w:lang w:val="en-US"/>
                <w14:textFill>
                  <w14:solidFill>
                    <w14:schemeClr w14:val="tx1"/>
                  </w14:solidFill>
                </w14:textFill>
              </w:rPr>
              <w:t>62.5</w:t>
            </w:r>
          </w:p>
        </w:tc>
        <w:tc>
          <w:tcPr>
            <w:tcW w:w="859" w:type="pct"/>
            <w:tcBorders>
              <w:right w:val="nil"/>
            </w:tcBorders>
            <w:vAlign w:val="center"/>
          </w:tcPr>
          <w:p w14:paraId="62769D28">
            <w:pPr>
              <w:pStyle w:val="542"/>
              <w:spacing w:line="300" w:lineRule="exact"/>
              <w:rPr>
                <w:rFonts w:hint="eastAsia" w:ascii="宋体" w:hAnsi="宋体" w:cs="宋体"/>
                <w:b w:val="0"/>
                <w:bCs/>
                <w:color w:val="000000" w:themeColor="text1"/>
                <w:szCs w:val="21"/>
                <w:lang w:val="en-US"/>
                <w14:textFill>
                  <w14:solidFill>
                    <w14:schemeClr w14:val="tx1"/>
                  </w14:solidFill>
                </w14:textFill>
              </w:rPr>
            </w:pPr>
            <w:r>
              <w:rPr>
                <w:rFonts w:hint="eastAsia" w:ascii="宋体" w:hAnsi="宋体" w:cs="宋体"/>
                <w:b w:val="0"/>
                <w:bCs/>
                <w:color w:val="000000" w:themeColor="text1"/>
                <w:szCs w:val="21"/>
                <w:lang w:val="en-US"/>
                <w14:textFill>
                  <w14:solidFill>
                    <w14:schemeClr w14:val="tx1"/>
                  </w14:solidFill>
                </w14:textFill>
              </w:rPr>
              <w:t>71.88</w:t>
            </w:r>
          </w:p>
        </w:tc>
      </w:tr>
      <w:tr w14:paraId="595B6C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42" w:type="pct"/>
            <w:vMerge w:val="continue"/>
            <w:tcBorders>
              <w:left w:val="nil"/>
            </w:tcBorders>
            <w:vAlign w:val="center"/>
          </w:tcPr>
          <w:p w14:paraId="44E7BED3">
            <w:pPr>
              <w:pStyle w:val="542"/>
              <w:spacing w:line="300" w:lineRule="exact"/>
              <w:rPr>
                <w:rFonts w:hint="eastAsia" w:ascii="宋体" w:hAnsi="宋体" w:cs="宋体"/>
                <w:b w:val="0"/>
                <w:bCs/>
                <w:color w:val="000000" w:themeColor="text1"/>
                <w:szCs w:val="21"/>
                <w14:textFill>
                  <w14:solidFill>
                    <w14:schemeClr w14:val="tx1"/>
                  </w14:solidFill>
                </w14:textFill>
              </w:rPr>
            </w:pPr>
          </w:p>
        </w:tc>
        <w:tc>
          <w:tcPr>
            <w:tcW w:w="838" w:type="pct"/>
            <w:vAlign w:val="center"/>
          </w:tcPr>
          <w:p w14:paraId="0990840A">
            <w:pPr>
              <w:spacing w:line="300" w:lineRule="exact"/>
              <w:jc w:val="center"/>
              <w:rPr>
                <w:rFonts w:hint="eastAsia" w:ascii="宋体" w:hAnsi="宋体" w:cs="宋体"/>
                <w:bCs/>
                <w:color w:val="000000" w:themeColor="text1"/>
                <w:kern w:val="0"/>
                <w:szCs w:val="21"/>
                <w14:textFill>
                  <w14:solidFill>
                    <w14:schemeClr w14:val="tx1"/>
                  </w14:solidFill>
                </w14:textFill>
              </w:rPr>
            </w:pPr>
            <w:r>
              <w:rPr>
                <w:rFonts w:hint="eastAsia" w:ascii="宋体" w:hAnsi="宋体" w:cs="宋体"/>
                <w:bCs/>
                <w:color w:val="000000" w:themeColor="text1"/>
                <w:kern w:val="0"/>
                <w:szCs w:val="21"/>
                <w14:textFill>
                  <w14:solidFill>
                    <w14:schemeClr w14:val="tx1"/>
                  </w14:solidFill>
                </w14:textFill>
              </w:rPr>
              <w:t>达标情况</w:t>
            </w:r>
          </w:p>
        </w:tc>
        <w:tc>
          <w:tcPr>
            <w:tcW w:w="407" w:type="pct"/>
            <w:vAlign w:val="center"/>
          </w:tcPr>
          <w:p w14:paraId="08262FE1">
            <w:pPr>
              <w:pStyle w:val="542"/>
              <w:spacing w:line="300" w:lineRule="exact"/>
              <w:rPr>
                <w:rFonts w:hint="eastAsia" w:ascii="宋体" w:hAnsi="宋体" w:cs="宋体"/>
                <w:b w:val="0"/>
                <w:bCs/>
                <w:color w:val="000000" w:themeColor="text1"/>
                <w:szCs w:val="21"/>
                <w:lang w:val="en-US"/>
                <w14:textFill>
                  <w14:solidFill>
                    <w14:schemeClr w14:val="tx1"/>
                  </w14:solidFill>
                </w14:textFill>
              </w:rPr>
            </w:pPr>
            <w:r>
              <w:rPr>
                <w:rFonts w:hint="eastAsia" w:ascii="宋体" w:hAnsi="宋体" w:cs="宋体"/>
                <w:b w:val="0"/>
                <w:bCs/>
                <w:color w:val="000000" w:themeColor="text1"/>
                <w:szCs w:val="21"/>
                <w14:textFill>
                  <w14:solidFill>
                    <w14:schemeClr w14:val="tx1"/>
                  </w14:solidFill>
                </w14:textFill>
              </w:rPr>
              <w:t>达标</w:t>
            </w:r>
          </w:p>
        </w:tc>
        <w:tc>
          <w:tcPr>
            <w:tcW w:w="568" w:type="pct"/>
            <w:vAlign w:val="center"/>
          </w:tcPr>
          <w:p w14:paraId="3C077FB7">
            <w:pPr>
              <w:pStyle w:val="542"/>
              <w:spacing w:line="300" w:lineRule="exact"/>
              <w:rPr>
                <w:rFonts w:hint="eastAsia" w:ascii="宋体" w:hAnsi="宋体" w:cs="宋体"/>
                <w:b w:val="0"/>
                <w:bCs/>
                <w:color w:val="000000" w:themeColor="text1"/>
                <w:szCs w:val="21"/>
                <w:lang w:val="en-US"/>
                <w14:textFill>
                  <w14:solidFill>
                    <w14:schemeClr w14:val="tx1"/>
                  </w14:solidFill>
                </w14:textFill>
              </w:rPr>
            </w:pPr>
            <w:r>
              <w:rPr>
                <w:rFonts w:hint="eastAsia" w:ascii="宋体" w:hAnsi="宋体" w:cs="宋体"/>
                <w:b w:val="0"/>
                <w:bCs/>
                <w:color w:val="000000" w:themeColor="text1"/>
                <w:szCs w:val="21"/>
                <w14:textFill>
                  <w14:solidFill>
                    <w14:schemeClr w14:val="tx1"/>
                  </w14:solidFill>
                </w14:textFill>
              </w:rPr>
              <w:t>达标</w:t>
            </w:r>
          </w:p>
        </w:tc>
        <w:tc>
          <w:tcPr>
            <w:tcW w:w="487" w:type="pct"/>
            <w:vAlign w:val="center"/>
          </w:tcPr>
          <w:p w14:paraId="06BB5312">
            <w:pPr>
              <w:pStyle w:val="542"/>
              <w:spacing w:line="300" w:lineRule="exact"/>
              <w:rPr>
                <w:rFonts w:hint="eastAsia" w:ascii="宋体" w:hAnsi="宋体" w:cs="宋体"/>
                <w:color w:val="000000" w:themeColor="text1"/>
                <w:szCs w:val="21"/>
                <w:lang w:val="en-US"/>
                <w14:textFill>
                  <w14:solidFill>
                    <w14:schemeClr w14:val="tx1"/>
                  </w14:solidFill>
                </w14:textFill>
              </w:rPr>
            </w:pPr>
            <w:r>
              <w:rPr>
                <w:rFonts w:hint="eastAsia" w:ascii="宋体" w:hAnsi="宋体" w:cs="宋体"/>
                <w:color w:val="000000" w:themeColor="text1"/>
                <w:szCs w:val="21"/>
                <w:lang w:val="en-US"/>
                <w14:textFill>
                  <w14:solidFill>
                    <w14:schemeClr w14:val="tx1"/>
                  </w14:solidFill>
                </w14:textFill>
              </w:rPr>
              <w:t>超</w:t>
            </w:r>
            <w:r>
              <w:rPr>
                <w:rFonts w:hint="eastAsia" w:ascii="宋体" w:hAnsi="宋体" w:cs="宋体"/>
                <w:color w:val="000000" w:themeColor="text1"/>
                <w:szCs w:val="21"/>
                <w14:textFill>
                  <w14:solidFill>
                    <w14:schemeClr w14:val="tx1"/>
                  </w14:solidFill>
                </w14:textFill>
              </w:rPr>
              <w:t>标</w:t>
            </w:r>
          </w:p>
        </w:tc>
        <w:tc>
          <w:tcPr>
            <w:tcW w:w="487" w:type="pct"/>
            <w:vAlign w:val="center"/>
          </w:tcPr>
          <w:p w14:paraId="5B6E86DF">
            <w:pPr>
              <w:pStyle w:val="542"/>
              <w:spacing w:line="300" w:lineRule="exact"/>
              <w:rPr>
                <w:rFonts w:hint="eastAsia" w:ascii="宋体" w:hAnsi="宋体" w:cs="宋体"/>
                <w:color w:val="000000" w:themeColor="text1"/>
                <w:szCs w:val="21"/>
                <w:lang w:val="en-US"/>
                <w14:textFill>
                  <w14:solidFill>
                    <w14:schemeClr w14:val="tx1"/>
                  </w14:solidFill>
                </w14:textFill>
              </w:rPr>
            </w:pPr>
            <w:r>
              <w:rPr>
                <w:rFonts w:hint="eastAsia" w:ascii="宋体" w:hAnsi="宋体" w:cs="宋体"/>
                <w:color w:val="000000" w:themeColor="text1"/>
                <w:szCs w:val="21"/>
                <w14:textFill>
                  <w14:solidFill>
                    <w14:schemeClr w14:val="tx1"/>
                  </w14:solidFill>
                </w14:textFill>
              </w:rPr>
              <w:t>达标</w:t>
            </w:r>
          </w:p>
        </w:tc>
        <w:tc>
          <w:tcPr>
            <w:tcW w:w="812" w:type="pct"/>
            <w:vAlign w:val="center"/>
          </w:tcPr>
          <w:p w14:paraId="3A38EEBB">
            <w:pPr>
              <w:pStyle w:val="542"/>
              <w:spacing w:line="300" w:lineRule="exact"/>
              <w:rPr>
                <w:rFonts w:hint="eastAsia" w:ascii="宋体" w:hAnsi="宋体" w:cs="宋体"/>
                <w:b w:val="0"/>
                <w:bCs/>
                <w:color w:val="000000" w:themeColor="text1"/>
                <w:szCs w:val="21"/>
                <w:lang w:val="en-US"/>
                <w14:textFill>
                  <w14:solidFill>
                    <w14:schemeClr w14:val="tx1"/>
                  </w14:solidFill>
                </w14:textFill>
              </w:rPr>
            </w:pPr>
            <w:r>
              <w:rPr>
                <w:rFonts w:hint="eastAsia" w:ascii="宋体" w:hAnsi="宋体" w:cs="宋体"/>
                <w:b w:val="0"/>
                <w:bCs/>
                <w:color w:val="000000" w:themeColor="text1"/>
                <w:szCs w:val="21"/>
                <w14:textFill>
                  <w14:solidFill>
                    <w14:schemeClr w14:val="tx1"/>
                  </w14:solidFill>
                </w14:textFill>
              </w:rPr>
              <w:t>达标</w:t>
            </w:r>
          </w:p>
        </w:tc>
        <w:tc>
          <w:tcPr>
            <w:tcW w:w="859" w:type="pct"/>
            <w:tcBorders>
              <w:right w:val="nil"/>
            </w:tcBorders>
            <w:vAlign w:val="center"/>
          </w:tcPr>
          <w:p w14:paraId="352B4DFB">
            <w:pPr>
              <w:pStyle w:val="542"/>
              <w:spacing w:line="300" w:lineRule="exact"/>
              <w:rPr>
                <w:rFonts w:hint="eastAsia" w:ascii="宋体" w:hAnsi="宋体" w:cs="宋体"/>
                <w:b w:val="0"/>
                <w:bCs/>
                <w:color w:val="000000" w:themeColor="text1"/>
                <w:szCs w:val="21"/>
                <w:lang w:val="en-US"/>
                <w14:textFill>
                  <w14:solidFill>
                    <w14:schemeClr w14:val="tx1"/>
                  </w14:solidFill>
                </w14:textFill>
              </w:rPr>
            </w:pPr>
            <w:r>
              <w:rPr>
                <w:rFonts w:hint="eastAsia" w:ascii="宋体" w:hAnsi="宋体" w:cs="宋体"/>
                <w:b w:val="0"/>
                <w:bCs/>
                <w:color w:val="000000" w:themeColor="text1"/>
                <w:szCs w:val="21"/>
                <w14:textFill>
                  <w14:solidFill>
                    <w14:schemeClr w14:val="tx1"/>
                  </w14:solidFill>
                </w14:textFill>
              </w:rPr>
              <w:t>达标</w:t>
            </w:r>
          </w:p>
        </w:tc>
      </w:tr>
      <w:tr w14:paraId="0F3507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42" w:type="pct"/>
            <w:vMerge w:val="restart"/>
            <w:tcBorders>
              <w:left w:val="nil"/>
            </w:tcBorders>
            <w:vAlign w:val="center"/>
          </w:tcPr>
          <w:p w14:paraId="234D0EB5">
            <w:pPr>
              <w:pStyle w:val="542"/>
              <w:spacing w:line="300" w:lineRule="exact"/>
              <w:rPr>
                <w:rFonts w:hint="eastAsia" w:ascii="宋体" w:hAnsi="宋体" w:cs="宋体"/>
                <w:b w:val="0"/>
                <w:bCs/>
                <w:color w:val="000000" w:themeColor="text1"/>
                <w:szCs w:val="21"/>
                <w14:textFill>
                  <w14:solidFill>
                    <w14:schemeClr w14:val="tx1"/>
                  </w14:solidFill>
                </w14:textFill>
              </w:rPr>
            </w:pPr>
            <w:r>
              <w:rPr>
                <w:rFonts w:hint="eastAsia" w:ascii="宋体" w:hAnsi="宋体" w:cs="宋体"/>
                <w:b w:val="0"/>
                <w:bCs/>
                <w:color w:val="000000" w:themeColor="text1"/>
                <w:szCs w:val="21"/>
                <w:lang w:val="en-US"/>
                <w14:textFill>
                  <w14:solidFill>
                    <w14:schemeClr w14:val="tx1"/>
                  </w14:solidFill>
                </w14:textFill>
              </w:rPr>
              <w:t>2023年</w:t>
            </w:r>
          </w:p>
        </w:tc>
        <w:tc>
          <w:tcPr>
            <w:tcW w:w="838" w:type="pct"/>
            <w:vAlign w:val="center"/>
          </w:tcPr>
          <w:p w14:paraId="5E3A0361">
            <w:pPr>
              <w:spacing w:line="300" w:lineRule="exact"/>
              <w:jc w:val="center"/>
              <w:rPr>
                <w:rFonts w:hint="eastAsia" w:ascii="宋体" w:hAnsi="宋体" w:cs="宋体"/>
                <w:bCs/>
                <w:color w:val="000000" w:themeColor="text1"/>
                <w:kern w:val="0"/>
                <w:szCs w:val="21"/>
                <w14:textFill>
                  <w14:solidFill>
                    <w14:schemeClr w14:val="tx1"/>
                  </w14:solidFill>
                </w14:textFill>
              </w:rPr>
            </w:pPr>
            <w:r>
              <w:rPr>
                <w:rFonts w:hint="eastAsia" w:ascii="宋体" w:hAnsi="宋体" w:cs="宋体"/>
                <w:bCs/>
                <w:color w:val="000000" w:themeColor="text1"/>
                <w:kern w:val="0"/>
                <w:szCs w:val="21"/>
                <w14:textFill>
                  <w14:solidFill>
                    <w14:schemeClr w14:val="tx1"/>
                  </w14:solidFill>
                </w14:textFill>
              </w:rPr>
              <w:t>现状浓度</w:t>
            </w:r>
          </w:p>
          <w:p w14:paraId="72A080F8">
            <w:pPr>
              <w:spacing w:line="300" w:lineRule="exact"/>
              <w:jc w:val="center"/>
              <w:rPr>
                <w:rFonts w:hint="eastAsia" w:ascii="宋体" w:hAnsi="宋体" w:cs="宋体"/>
                <w:bCs/>
                <w:color w:val="000000" w:themeColor="text1"/>
                <w:kern w:val="0"/>
                <w:szCs w:val="21"/>
                <w14:textFill>
                  <w14:solidFill>
                    <w14:schemeClr w14:val="tx1"/>
                  </w14:solidFill>
                </w14:textFill>
              </w:rPr>
            </w:pPr>
            <w:r>
              <w:rPr>
                <w:rFonts w:hint="eastAsia" w:ascii="宋体" w:hAnsi="宋体" w:cs="宋体"/>
                <w:bCs/>
                <w:color w:val="000000" w:themeColor="text1"/>
                <w:kern w:val="0"/>
                <w:szCs w:val="21"/>
                <w14:textFill>
                  <w14:solidFill>
                    <w14:schemeClr w14:val="tx1"/>
                  </w14:solidFill>
                </w14:textFill>
              </w:rPr>
              <w:t>(μg/m</w:t>
            </w:r>
            <w:r>
              <w:rPr>
                <w:rFonts w:hint="eastAsia" w:ascii="宋体" w:hAnsi="宋体" w:cs="宋体"/>
                <w:bCs/>
                <w:color w:val="000000" w:themeColor="text1"/>
                <w:kern w:val="0"/>
                <w:szCs w:val="21"/>
                <w:vertAlign w:val="superscript"/>
                <w14:textFill>
                  <w14:solidFill>
                    <w14:schemeClr w14:val="tx1"/>
                  </w14:solidFill>
                </w14:textFill>
              </w:rPr>
              <w:t>3</w:t>
            </w:r>
            <w:r>
              <w:rPr>
                <w:rFonts w:hint="eastAsia" w:ascii="宋体" w:hAnsi="宋体" w:cs="宋体"/>
                <w:bCs/>
                <w:color w:val="000000" w:themeColor="text1"/>
                <w:kern w:val="0"/>
                <w:szCs w:val="21"/>
                <w14:textFill>
                  <w14:solidFill>
                    <w14:schemeClr w14:val="tx1"/>
                  </w14:solidFill>
                </w14:textFill>
              </w:rPr>
              <w:t>)</w:t>
            </w:r>
          </w:p>
        </w:tc>
        <w:tc>
          <w:tcPr>
            <w:tcW w:w="407" w:type="pct"/>
            <w:vAlign w:val="center"/>
          </w:tcPr>
          <w:p w14:paraId="1280970B">
            <w:pPr>
              <w:pStyle w:val="542"/>
              <w:spacing w:line="300" w:lineRule="exact"/>
              <w:rPr>
                <w:rFonts w:hint="eastAsia" w:ascii="宋体" w:hAnsi="宋体" w:cs="宋体"/>
                <w:b w:val="0"/>
                <w:bCs/>
                <w:color w:val="000000" w:themeColor="text1"/>
                <w:szCs w:val="21"/>
                <w:lang w:val="en-US"/>
                <w14:textFill>
                  <w14:solidFill>
                    <w14:schemeClr w14:val="tx1"/>
                  </w14:solidFill>
                </w14:textFill>
              </w:rPr>
            </w:pPr>
            <w:r>
              <w:rPr>
                <w:rFonts w:hint="eastAsia" w:ascii="宋体" w:hAnsi="宋体" w:cs="宋体"/>
                <w:b w:val="0"/>
                <w:bCs/>
                <w:color w:val="000000" w:themeColor="text1"/>
                <w:szCs w:val="21"/>
                <w:lang w:val="en-US"/>
                <w14:textFill>
                  <w14:solidFill>
                    <w14:schemeClr w14:val="tx1"/>
                  </w14:solidFill>
                </w14:textFill>
              </w:rPr>
              <w:t>8</w:t>
            </w:r>
          </w:p>
        </w:tc>
        <w:tc>
          <w:tcPr>
            <w:tcW w:w="568" w:type="pct"/>
            <w:vAlign w:val="center"/>
          </w:tcPr>
          <w:p w14:paraId="6A2F38AA">
            <w:pPr>
              <w:pStyle w:val="542"/>
              <w:spacing w:line="300" w:lineRule="exact"/>
              <w:rPr>
                <w:rFonts w:hint="eastAsia" w:ascii="宋体" w:hAnsi="宋体" w:cs="宋体"/>
                <w:b w:val="0"/>
                <w:bCs/>
                <w:color w:val="000000" w:themeColor="text1"/>
                <w:szCs w:val="21"/>
                <w:lang w:val="en-US"/>
                <w14:textFill>
                  <w14:solidFill>
                    <w14:schemeClr w14:val="tx1"/>
                  </w14:solidFill>
                </w14:textFill>
              </w:rPr>
            </w:pPr>
            <w:r>
              <w:rPr>
                <w:rFonts w:hint="eastAsia" w:ascii="宋体" w:hAnsi="宋体" w:cs="宋体"/>
                <w:b w:val="0"/>
                <w:bCs/>
                <w:color w:val="000000" w:themeColor="text1"/>
                <w:szCs w:val="21"/>
                <w:lang w:val="en-US"/>
                <w14:textFill>
                  <w14:solidFill>
                    <w14:schemeClr w14:val="tx1"/>
                  </w14:solidFill>
                </w14:textFill>
              </w:rPr>
              <w:t>23</w:t>
            </w:r>
          </w:p>
        </w:tc>
        <w:tc>
          <w:tcPr>
            <w:tcW w:w="487" w:type="pct"/>
            <w:vAlign w:val="center"/>
          </w:tcPr>
          <w:p w14:paraId="309DD063">
            <w:pPr>
              <w:pStyle w:val="542"/>
              <w:spacing w:line="300" w:lineRule="exact"/>
              <w:rPr>
                <w:rFonts w:hint="eastAsia" w:ascii="宋体" w:hAnsi="宋体" w:cs="宋体"/>
                <w:b w:val="0"/>
                <w:bCs/>
                <w:color w:val="000000" w:themeColor="text1"/>
                <w:szCs w:val="21"/>
                <w:lang w:val="en-US"/>
                <w14:textFill>
                  <w14:solidFill>
                    <w14:schemeClr w14:val="tx1"/>
                  </w14:solidFill>
                </w14:textFill>
              </w:rPr>
            </w:pPr>
            <w:r>
              <w:rPr>
                <w:rFonts w:hint="eastAsia" w:ascii="宋体" w:hAnsi="宋体" w:cs="宋体"/>
                <w:b w:val="0"/>
                <w:bCs/>
                <w:color w:val="000000" w:themeColor="text1"/>
                <w:szCs w:val="21"/>
                <w:lang w:val="en-US"/>
                <w14:textFill>
                  <w14:solidFill>
                    <w14:schemeClr w14:val="tx1"/>
                  </w14:solidFill>
                </w14:textFill>
              </w:rPr>
              <w:t>67</w:t>
            </w:r>
          </w:p>
        </w:tc>
        <w:tc>
          <w:tcPr>
            <w:tcW w:w="487" w:type="pct"/>
            <w:vAlign w:val="center"/>
          </w:tcPr>
          <w:p w14:paraId="31503EC2">
            <w:pPr>
              <w:pStyle w:val="542"/>
              <w:spacing w:line="300" w:lineRule="exact"/>
              <w:rPr>
                <w:rFonts w:hint="eastAsia" w:ascii="宋体" w:hAnsi="宋体" w:cs="宋体"/>
                <w:b w:val="0"/>
                <w:bCs/>
                <w:color w:val="000000" w:themeColor="text1"/>
                <w:szCs w:val="21"/>
                <w:lang w:val="en-US"/>
                <w14:textFill>
                  <w14:solidFill>
                    <w14:schemeClr w14:val="tx1"/>
                  </w14:solidFill>
                </w14:textFill>
              </w:rPr>
            </w:pPr>
            <w:r>
              <w:rPr>
                <w:rFonts w:hint="eastAsia" w:ascii="宋体" w:hAnsi="宋体" w:cs="宋体"/>
                <w:b w:val="0"/>
                <w:bCs/>
                <w:color w:val="000000" w:themeColor="text1"/>
                <w:szCs w:val="21"/>
                <w:lang w:val="en-US"/>
                <w14:textFill>
                  <w14:solidFill>
                    <w14:schemeClr w14:val="tx1"/>
                  </w14:solidFill>
                </w14:textFill>
              </w:rPr>
              <w:t>36</w:t>
            </w:r>
          </w:p>
        </w:tc>
        <w:tc>
          <w:tcPr>
            <w:tcW w:w="812" w:type="pct"/>
            <w:vAlign w:val="center"/>
          </w:tcPr>
          <w:p w14:paraId="6E845551">
            <w:pPr>
              <w:pStyle w:val="542"/>
              <w:spacing w:line="300" w:lineRule="exact"/>
              <w:rPr>
                <w:rFonts w:hint="eastAsia" w:ascii="宋体" w:hAnsi="宋体" w:cs="宋体"/>
                <w:b w:val="0"/>
                <w:bCs/>
                <w:color w:val="000000" w:themeColor="text1"/>
                <w:szCs w:val="21"/>
                <w:lang w:val="en-US"/>
                <w14:textFill>
                  <w14:solidFill>
                    <w14:schemeClr w14:val="tx1"/>
                  </w14:solidFill>
                </w14:textFill>
              </w:rPr>
            </w:pPr>
            <w:r>
              <w:rPr>
                <w:rFonts w:hint="eastAsia" w:ascii="宋体" w:hAnsi="宋体" w:cs="宋体"/>
                <w:b w:val="0"/>
                <w:bCs/>
                <w:color w:val="000000" w:themeColor="text1"/>
                <w:szCs w:val="21"/>
                <w:lang w:val="en-US"/>
                <w14:textFill>
                  <w14:solidFill>
                    <w14:schemeClr w14:val="tx1"/>
                  </w14:solidFill>
                </w14:textFill>
              </w:rPr>
              <w:t>1800</w:t>
            </w:r>
          </w:p>
        </w:tc>
        <w:tc>
          <w:tcPr>
            <w:tcW w:w="859" w:type="pct"/>
            <w:tcBorders>
              <w:right w:val="nil"/>
            </w:tcBorders>
            <w:vAlign w:val="center"/>
          </w:tcPr>
          <w:p w14:paraId="65C9F125">
            <w:pPr>
              <w:pStyle w:val="542"/>
              <w:spacing w:line="300" w:lineRule="exact"/>
              <w:rPr>
                <w:rFonts w:hint="eastAsia" w:ascii="宋体" w:hAnsi="宋体" w:cs="宋体"/>
                <w:b w:val="0"/>
                <w:bCs/>
                <w:color w:val="000000" w:themeColor="text1"/>
                <w:szCs w:val="21"/>
                <w:lang w:val="en-US"/>
                <w14:textFill>
                  <w14:solidFill>
                    <w14:schemeClr w14:val="tx1"/>
                  </w14:solidFill>
                </w14:textFill>
              </w:rPr>
            </w:pPr>
            <w:r>
              <w:rPr>
                <w:rFonts w:hint="eastAsia" w:ascii="宋体" w:hAnsi="宋体" w:cs="宋体"/>
                <w:b w:val="0"/>
                <w:bCs/>
                <w:color w:val="000000" w:themeColor="text1"/>
                <w:szCs w:val="21"/>
                <w:lang w:val="en-US"/>
                <w14:textFill>
                  <w14:solidFill>
                    <w14:schemeClr w14:val="tx1"/>
                  </w14:solidFill>
                </w14:textFill>
              </w:rPr>
              <w:t>116</w:t>
            </w:r>
          </w:p>
        </w:tc>
      </w:tr>
      <w:tr w14:paraId="7C6BAB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42" w:type="pct"/>
            <w:vMerge w:val="continue"/>
            <w:tcBorders>
              <w:left w:val="nil"/>
            </w:tcBorders>
            <w:vAlign w:val="center"/>
          </w:tcPr>
          <w:p w14:paraId="007B6096">
            <w:pPr>
              <w:pStyle w:val="542"/>
              <w:spacing w:line="300" w:lineRule="exact"/>
              <w:rPr>
                <w:rFonts w:hint="eastAsia" w:ascii="宋体" w:hAnsi="宋体" w:cs="宋体"/>
                <w:b w:val="0"/>
                <w:bCs/>
                <w:color w:val="000000" w:themeColor="text1"/>
                <w:szCs w:val="21"/>
                <w14:textFill>
                  <w14:solidFill>
                    <w14:schemeClr w14:val="tx1"/>
                  </w14:solidFill>
                </w14:textFill>
              </w:rPr>
            </w:pPr>
          </w:p>
        </w:tc>
        <w:tc>
          <w:tcPr>
            <w:tcW w:w="838" w:type="pct"/>
            <w:vAlign w:val="center"/>
          </w:tcPr>
          <w:p w14:paraId="18350FEB">
            <w:pPr>
              <w:spacing w:line="300" w:lineRule="exact"/>
              <w:jc w:val="center"/>
              <w:rPr>
                <w:rFonts w:hint="eastAsia" w:ascii="宋体" w:hAnsi="宋体" w:cs="宋体"/>
                <w:bCs/>
                <w:color w:val="000000" w:themeColor="text1"/>
                <w:kern w:val="0"/>
                <w:szCs w:val="21"/>
                <w14:textFill>
                  <w14:solidFill>
                    <w14:schemeClr w14:val="tx1"/>
                  </w14:solidFill>
                </w14:textFill>
              </w:rPr>
            </w:pPr>
            <w:r>
              <w:rPr>
                <w:rFonts w:hint="eastAsia" w:ascii="宋体" w:hAnsi="宋体" w:cs="宋体"/>
                <w:bCs/>
                <w:color w:val="000000" w:themeColor="text1"/>
                <w:kern w:val="0"/>
                <w:szCs w:val="21"/>
                <w14:textFill>
                  <w14:solidFill>
                    <w14:schemeClr w14:val="tx1"/>
                  </w14:solidFill>
                </w14:textFill>
              </w:rPr>
              <w:t>占标率（%）</w:t>
            </w:r>
          </w:p>
        </w:tc>
        <w:tc>
          <w:tcPr>
            <w:tcW w:w="407" w:type="pct"/>
            <w:vAlign w:val="center"/>
          </w:tcPr>
          <w:p w14:paraId="46B07167">
            <w:pPr>
              <w:pStyle w:val="542"/>
              <w:spacing w:line="300" w:lineRule="exact"/>
              <w:rPr>
                <w:rFonts w:hint="eastAsia" w:ascii="宋体" w:hAnsi="宋体" w:cs="宋体"/>
                <w:b w:val="0"/>
                <w:bCs/>
                <w:color w:val="000000" w:themeColor="text1"/>
                <w:szCs w:val="21"/>
                <w:lang w:val="en-US"/>
                <w14:textFill>
                  <w14:solidFill>
                    <w14:schemeClr w14:val="tx1"/>
                  </w14:solidFill>
                </w14:textFill>
              </w:rPr>
            </w:pPr>
            <w:r>
              <w:rPr>
                <w:rFonts w:hint="eastAsia" w:ascii="宋体" w:hAnsi="宋体" w:cs="宋体"/>
                <w:b w:val="0"/>
                <w:bCs/>
                <w:color w:val="000000" w:themeColor="text1"/>
                <w:szCs w:val="21"/>
                <w:lang w:val="en-US"/>
                <w14:textFill>
                  <w14:solidFill>
                    <w14:schemeClr w14:val="tx1"/>
                  </w14:solidFill>
                </w14:textFill>
              </w:rPr>
              <w:t>13.3</w:t>
            </w:r>
          </w:p>
        </w:tc>
        <w:tc>
          <w:tcPr>
            <w:tcW w:w="568" w:type="pct"/>
            <w:vAlign w:val="center"/>
          </w:tcPr>
          <w:p w14:paraId="79FB6940">
            <w:pPr>
              <w:pStyle w:val="542"/>
              <w:spacing w:line="300" w:lineRule="exact"/>
              <w:rPr>
                <w:rFonts w:hint="eastAsia" w:ascii="宋体" w:hAnsi="宋体" w:cs="宋体"/>
                <w:b w:val="0"/>
                <w:bCs/>
                <w:color w:val="000000" w:themeColor="text1"/>
                <w:szCs w:val="21"/>
                <w:lang w:val="en-US"/>
                <w14:textFill>
                  <w14:solidFill>
                    <w14:schemeClr w14:val="tx1"/>
                  </w14:solidFill>
                </w14:textFill>
              </w:rPr>
            </w:pPr>
            <w:r>
              <w:rPr>
                <w:rFonts w:hint="eastAsia" w:ascii="宋体" w:hAnsi="宋体" w:cs="宋体"/>
                <w:b w:val="0"/>
                <w:bCs/>
                <w:color w:val="000000" w:themeColor="text1"/>
                <w:szCs w:val="21"/>
                <w:lang w:val="en-US"/>
                <w14:textFill>
                  <w14:solidFill>
                    <w14:schemeClr w14:val="tx1"/>
                  </w14:solidFill>
                </w14:textFill>
              </w:rPr>
              <w:t>57.5</w:t>
            </w:r>
          </w:p>
        </w:tc>
        <w:tc>
          <w:tcPr>
            <w:tcW w:w="487" w:type="pct"/>
            <w:vAlign w:val="center"/>
          </w:tcPr>
          <w:p w14:paraId="3D01A2E7">
            <w:pPr>
              <w:pStyle w:val="542"/>
              <w:spacing w:line="300" w:lineRule="exact"/>
              <w:rPr>
                <w:rFonts w:hint="eastAsia" w:ascii="宋体" w:hAnsi="宋体" w:cs="宋体"/>
                <w:b w:val="0"/>
                <w:bCs/>
                <w:color w:val="000000" w:themeColor="text1"/>
                <w:szCs w:val="21"/>
                <w:lang w:val="en-US"/>
                <w14:textFill>
                  <w14:solidFill>
                    <w14:schemeClr w14:val="tx1"/>
                  </w14:solidFill>
                </w14:textFill>
              </w:rPr>
            </w:pPr>
            <w:r>
              <w:rPr>
                <w:rFonts w:hint="eastAsia" w:ascii="宋体" w:hAnsi="宋体" w:cs="宋体"/>
                <w:b w:val="0"/>
                <w:bCs/>
                <w:color w:val="000000" w:themeColor="text1"/>
                <w:szCs w:val="21"/>
                <w:lang w:val="en-US"/>
                <w14:textFill>
                  <w14:solidFill>
                    <w14:schemeClr w14:val="tx1"/>
                  </w14:solidFill>
                </w14:textFill>
              </w:rPr>
              <w:t>95.7</w:t>
            </w:r>
          </w:p>
        </w:tc>
        <w:tc>
          <w:tcPr>
            <w:tcW w:w="487" w:type="pct"/>
            <w:vAlign w:val="center"/>
          </w:tcPr>
          <w:p w14:paraId="02D34C11">
            <w:pPr>
              <w:pStyle w:val="542"/>
              <w:spacing w:line="300" w:lineRule="exact"/>
              <w:rPr>
                <w:rFonts w:hint="eastAsia" w:ascii="宋体" w:hAnsi="宋体" w:cs="宋体"/>
                <w:b w:val="0"/>
                <w:bCs/>
                <w:color w:val="000000" w:themeColor="text1"/>
                <w:szCs w:val="21"/>
                <w:lang w:val="en-US"/>
                <w14:textFill>
                  <w14:solidFill>
                    <w14:schemeClr w14:val="tx1"/>
                  </w14:solidFill>
                </w14:textFill>
              </w:rPr>
            </w:pPr>
            <w:r>
              <w:rPr>
                <w:rFonts w:hint="eastAsia" w:ascii="宋体" w:hAnsi="宋体" w:cs="宋体"/>
                <w:b w:val="0"/>
                <w:bCs/>
                <w:color w:val="000000" w:themeColor="text1"/>
                <w:szCs w:val="21"/>
                <w:lang w:val="en-US"/>
                <w14:textFill>
                  <w14:solidFill>
                    <w14:schemeClr w14:val="tx1"/>
                  </w14:solidFill>
                </w14:textFill>
              </w:rPr>
              <w:t>1.03</w:t>
            </w:r>
          </w:p>
        </w:tc>
        <w:tc>
          <w:tcPr>
            <w:tcW w:w="812" w:type="pct"/>
            <w:vAlign w:val="center"/>
          </w:tcPr>
          <w:p w14:paraId="7F19DAF9">
            <w:pPr>
              <w:pStyle w:val="542"/>
              <w:spacing w:line="300" w:lineRule="exact"/>
              <w:rPr>
                <w:rFonts w:hint="eastAsia" w:ascii="宋体" w:hAnsi="宋体" w:cs="宋体"/>
                <w:b w:val="0"/>
                <w:bCs/>
                <w:color w:val="000000" w:themeColor="text1"/>
                <w:szCs w:val="21"/>
                <w:lang w:val="en-US"/>
                <w14:textFill>
                  <w14:solidFill>
                    <w14:schemeClr w14:val="tx1"/>
                  </w14:solidFill>
                </w14:textFill>
              </w:rPr>
            </w:pPr>
            <w:r>
              <w:rPr>
                <w:rFonts w:hint="eastAsia" w:ascii="宋体" w:hAnsi="宋体" w:cs="宋体"/>
                <w:b w:val="0"/>
                <w:bCs/>
                <w:color w:val="000000" w:themeColor="text1"/>
                <w:szCs w:val="21"/>
                <w:lang w:val="en-US"/>
                <w14:textFill>
                  <w14:solidFill>
                    <w14:schemeClr w14:val="tx1"/>
                  </w14:solidFill>
                </w14:textFill>
              </w:rPr>
              <w:t>45</w:t>
            </w:r>
          </w:p>
        </w:tc>
        <w:tc>
          <w:tcPr>
            <w:tcW w:w="859" w:type="pct"/>
            <w:tcBorders>
              <w:right w:val="nil"/>
            </w:tcBorders>
            <w:vAlign w:val="center"/>
          </w:tcPr>
          <w:p w14:paraId="1DF28882">
            <w:pPr>
              <w:pStyle w:val="542"/>
              <w:spacing w:line="300" w:lineRule="exact"/>
              <w:rPr>
                <w:rFonts w:hint="eastAsia" w:ascii="宋体" w:hAnsi="宋体" w:cs="宋体"/>
                <w:b w:val="0"/>
                <w:bCs/>
                <w:color w:val="000000" w:themeColor="text1"/>
                <w:szCs w:val="21"/>
                <w:lang w:val="en-US"/>
                <w14:textFill>
                  <w14:solidFill>
                    <w14:schemeClr w14:val="tx1"/>
                  </w14:solidFill>
                </w14:textFill>
              </w:rPr>
            </w:pPr>
            <w:r>
              <w:rPr>
                <w:rFonts w:hint="eastAsia" w:ascii="宋体" w:hAnsi="宋体" w:cs="宋体"/>
                <w:b w:val="0"/>
                <w:bCs/>
                <w:color w:val="000000" w:themeColor="text1"/>
                <w:szCs w:val="21"/>
                <w:lang w:val="en-US"/>
                <w14:textFill>
                  <w14:solidFill>
                    <w14:schemeClr w14:val="tx1"/>
                  </w14:solidFill>
                </w14:textFill>
              </w:rPr>
              <w:t>72.5</w:t>
            </w:r>
          </w:p>
        </w:tc>
      </w:tr>
      <w:tr w14:paraId="42D3FB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42" w:type="pct"/>
            <w:vMerge w:val="continue"/>
            <w:tcBorders>
              <w:left w:val="nil"/>
              <w:bottom w:val="single" w:color="auto" w:sz="12" w:space="0"/>
            </w:tcBorders>
            <w:vAlign w:val="center"/>
          </w:tcPr>
          <w:p w14:paraId="49B1A455">
            <w:pPr>
              <w:pStyle w:val="542"/>
              <w:spacing w:line="300" w:lineRule="exact"/>
              <w:rPr>
                <w:rFonts w:hint="eastAsia" w:ascii="宋体" w:hAnsi="宋体" w:cs="宋体"/>
                <w:b w:val="0"/>
                <w:bCs/>
                <w:color w:val="000000" w:themeColor="text1"/>
                <w:szCs w:val="21"/>
                <w14:textFill>
                  <w14:solidFill>
                    <w14:schemeClr w14:val="tx1"/>
                  </w14:solidFill>
                </w14:textFill>
              </w:rPr>
            </w:pPr>
          </w:p>
        </w:tc>
        <w:tc>
          <w:tcPr>
            <w:tcW w:w="838" w:type="pct"/>
            <w:tcBorders>
              <w:bottom w:val="single" w:color="auto" w:sz="12" w:space="0"/>
            </w:tcBorders>
            <w:vAlign w:val="center"/>
          </w:tcPr>
          <w:p w14:paraId="3EFA3D4D">
            <w:pPr>
              <w:spacing w:line="300" w:lineRule="exact"/>
              <w:jc w:val="center"/>
              <w:rPr>
                <w:rFonts w:hint="eastAsia" w:ascii="宋体" w:hAnsi="宋体" w:cs="宋体"/>
                <w:bCs/>
                <w:color w:val="000000" w:themeColor="text1"/>
                <w:kern w:val="0"/>
                <w:szCs w:val="21"/>
                <w14:textFill>
                  <w14:solidFill>
                    <w14:schemeClr w14:val="tx1"/>
                  </w14:solidFill>
                </w14:textFill>
              </w:rPr>
            </w:pPr>
            <w:r>
              <w:rPr>
                <w:rFonts w:hint="eastAsia" w:ascii="宋体" w:hAnsi="宋体" w:cs="宋体"/>
                <w:bCs/>
                <w:color w:val="000000" w:themeColor="text1"/>
                <w:kern w:val="0"/>
                <w:szCs w:val="21"/>
                <w14:textFill>
                  <w14:solidFill>
                    <w14:schemeClr w14:val="tx1"/>
                  </w14:solidFill>
                </w14:textFill>
              </w:rPr>
              <w:t>达标情况</w:t>
            </w:r>
          </w:p>
        </w:tc>
        <w:tc>
          <w:tcPr>
            <w:tcW w:w="407" w:type="pct"/>
            <w:tcBorders>
              <w:bottom w:val="single" w:color="auto" w:sz="12" w:space="0"/>
            </w:tcBorders>
            <w:vAlign w:val="center"/>
          </w:tcPr>
          <w:p w14:paraId="210E8672">
            <w:pPr>
              <w:pStyle w:val="542"/>
              <w:spacing w:line="300" w:lineRule="exact"/>
              <w:rPr>
                <w:rFonts w:hint="eastAsia" w:ascii="宋体" w:hAnsi="宋体" w:cs="宋体"/>
                <w:b w:val="0"/>
                <w:bCs/>
                <w:color w:val="000000" w:themeColor="text1"/>
                <w:szCs w:val="21"/>
                <w:lang w:val="en-US"/>
                <w14:textFill>
                  <w14:solidFill>
                    <w14:schemeClr w14:val="tx1"/>
                  </w14:solidFill>
                </w14:textFill>
              </w:rPr>
            </w:pPr>
            <w:r>
              <w:rPr>
                <w:rFonts w:hint="eastAsia" w:ascii="宋体" w:hAnsi="宋体" w:cs="宋体"/>
                <w:b w:val="0"/>
                <w:bCs/>
                <w:color w:val="000000" w:themeColor="text1"/>
                <w:szCs w:val="21"/>
                <w14:textFill>
                  <w14:solidFill>
                    <w14:schemeClr w14:val="tx1"/>
                  </w14:solidFill>
                </w14:textFill>
              </w:rPr>
              <w:t>达标</w:t>
            </w:r>
          </w:p>
        </w:tc>
        <w:tc>
          <w:tcPr>
            <w:tcW w:w="568" w:type="pct"/>
            <w:tcBorders>
              <w:bottom w:val="single" w:color="auto" w:sz="12" w:space="0"/>
            </w:tcBorders>
            <w:vAlign w:val="center"/>
          </w:tcPr>
          <w:p w14:paraId="4548843A">
            <w:pPr>
              <w:pStyle w:val="542"/>
              <w:spacing w:line="300" w:lineRule="exact"/>
              <w:rPr>
                <w:rFonts w:hint="eastAsia" w:ascii="宋体" w:hAnsi="宋体" w:cs="宋体"/>
                <w:b w:val="0"/>
                <w:bCs/>
                <w:color w:val="000000" w:themeColor="text1"/>
                <w:szCs w:val="21"/>
                <w:lang w:val="en-US"/>
                <w14:textFill>
                  <w14:solidFill>
                    <w14:schemeClr w14:val="tx1"/>
                  </w14:solidFill>
                </w14:textFill>
              </w:rPr>
            </w:pPr>
            <w:r>
              <w:rPr>
                <w:rFonts w:hint="eastAsia" w:ascii="宋体" w:hAnsi="宋体" w:cs="宋体"/>
                <w:b w:val="0"/>
                <w:bCs/>
                <w:color w:val="000000" w:themeColor="text1"/>
                <w:szCs w:val="21"/>
                <w14:textFill>
                  <w14:solidFill>
                    <w14:schemeClr w14:val="tx1"/>
                  </w14:solidFill>
                </w14:textFill>
              </w:rPr>
              <w:t>达标</w:t>
            </w:r>
          </w:p>
        </w:tc>
        <w:tc>
          <w:tcPr>
            <w:tcW w:w="487" w:type="pct"/>
            <w:tcBorders>
              <w:bottom w:val="single" w:color="auto" w:sz="12" w:space="0"/>
            </w:tcBorders>
            <w:vAlign w:val="center"/>
          </w:tcPr>
          <w:p w14:paraId="0A05837C">
            <w:pPr>
              <w:pStyle w:val="542"/>
              <w:spacing w:line="300" w:lineRule="exact"/>
              <w:rPr>
                <w:rFonts w:hint="eastAsia" w:ascii="宋体" w:hAnsi="宋体" w:cs="宋体"/>
                <w:b w:val="0"/>
                <w:bCs/>
                <w:color w:val="000000" w:themeColor="text1"/>
                <w:szCs w:val="21"/>
                <w:lang w:val="en-US"/>
                <w14:textFill>
                  <w14:solidFill>
                    <w14:schemeClr w14:val="tx1"/>
                  </w14:solidFill>
                </w14:textFill>
              </w:rPr>
            </w:pPr>
            <w:r>
              <w:rPr>
                <w:rFonts w:hint="eastAsia" w:ascii="宋体" w:hAnsi="宋体" w:cs="宋体"/>
                <w:b w:val="0"/>
                <w:bCs/>
                <w:color w:val="000000" w:themeColor="text1"/>
                <w:szCs w:val="21"/>
                <w:lang w:val="en-US"/>
                <w14:textFill>
                  <w14:solidFill>
                    <w14:schemeClr w14:val="tx1"/>
                  </w14:solidFill>
                </w14:textFill>
              </w:rPr>
              <w:t>达标</w:t>
            </w:r>
          </w:p>
        </w:tc>
        <w:tc>
          <w:tcPr>
            <w:tcW w:w="487" w:type="pct"/>
            <w:tcBorders>
              <w:bottom w:val="single" w:color="auto" w:sz="12" w:space="0"/>
            </w:tcBorders>
            <w:vAlign w:val="center"/>
          </w:tcPr>
          <w:p w14:paraId="1091DA6E">
            <w:pPr>
              <w:pStyle w:val="542"/>
              <w:spacing w:line="300" w:lineRule="exact"/>
              <w:rPr>
                <w:rFonts w:hint="eastAsia" w:ascii="宋体" w:hAnsi="宋体" w:cs="宋体"/>
                <w:color w:val="000000" w:themeColor="text1"/>
                <w:szCs w:val="21"/>
                <w:lang w:val="en-US"/>
                <w14:textFill>
                  <w14:solidFill>
                    <w14:schemeClr w14:val="tx1"/>
                  </w14:solidFill>
                </w14:textFill>
              </w:rPr>
            </w:pPr>
            <w:r>
              <w:rPr>
                <w:rFonts w:hint="eastAsia" w:ascii="宋体" w:hAnsi="宋体" w:cs="宋体"/>
                <w:color w:val="000000" w:themeColor="text1"/>
                <w:szCs w:val="21"/>
                <w:lang w:val="en-US"/>
                <w14:textFill>
                  <w14:solidFill>
                    <w14:schemeClr w14:val="tx1"/>
                  </w14:solidFill>
                </w14:textFill>
              </w:rPr>
              <w:t>超</w:t>
            </w:r>
            <w:r>
              <w:rPr>
                <w:rFonts w:hint="eastAsia" w:ascii="宋体" w:hAnsi="宋体" w:cs="宋体"/>
                <w:color w:val="000000" w:themeColor="text1"/>
                <w:szCs w:val="21"/>
                <w14:textFill>
                  <w14:solidFill>
                    <w14:schemeClr w14:val="tx1"/>
                  </w14:solidFill>
                </w14:textFill>
              </w:rPr>
              <w:t>标</w:t>
            </w:r>
          </w:p>
        </w:tc>
        <w:tc>
          <w:tcPr>
            <w:tcW w:w="812" w:type="pct"/>
            <w:tcBorders>
              <w:bottom w:val="single" w:color="auto" w:sz="12" w:space="0"/>
            </w:tcBorders>
            <w:vAlign w:val="center"/>
          </w:tcPr>
          <w:p w14:paraId="46757225">
            <w:pPr>
              <w:pStyle w:val="542"/>
              <w:spacing w:line="300" w:lineRule="exact"/>
              <w:rPr>
                <w:rFonts w:hint="eastAsia" w:ascii="宋体" w:hAnsi="宋体" w:cs="宋体"/>
                <w:b w:val="0"/>
                <w:bCs/>
                <w:color w:val="000000" w:themeColor="text1"/>
                <w:szCs w:val="21"/>
                <w:lang w:val="en-US"/>
                <w14:textFill>
                  <w14:solidFill>
                    <w14:schemeClr w14:val="tx1"/>
                  </w14:solidFill>
                </w14:textFill>
              </w:rPr>
            </w:pPr>
            <w:r>
              <w:rPr>
                <w:rFonts w:hint="eastAsia" w:ascii="宋体" w:hAnsi="宋体" w:cs="宋体"/>
                <w:b w:val="0"/>
                <w:bCs/>
                <w:color w:val="000000" w:themeColor="text1"/>
                <w:szCs w:val="21"/>
                <w14:textFill>
                  <w14:solidFill>
                    <w14:schemeClr w14:val="tx1"/>
                  </w14:solidFill>
                </w14:textFill>
              </w:rPr>
              <w:t>达标</w:t>
            </w:r>
          </w:p>
        </w:tc>
        <w:tc>
          <w:tcPr>
            <w:tcW w:w="859" w:type="pct"/>
            <w:tcBorders>
              <w:bottom w:val="single" w:color="auto" w:sz="12" w:space="0"/>
              <w:right w:val="nil"/>
            </w:tcBorders>
            <w:vAlign w:val="center"/>
          </w:tcPr>
          <w:p w14:paraId="22A8DA86">
            <w:pPr>
              <w:pStyle w:val="542"/>
              <w:spacing w:line="300" w:lineRule="exact"/>
              <w:rPr>
                <w:rFonts w:hint="eastAsia" w:ascii="宋体" w:hAnsi="宋体" w:cs="宋体"/>
                <w:b w:val="0"/>
                <w:bCs/>
                <w:color w:val="000000" w:themeColor="text1"/>
                <w:szCs w:val="21"/>
                <w:lang w:val="en-US"/>
                <w14:textFill>
                  <w14:solidFill>
                    <w14:schemeClr w14:val="tx1"/>
                  </w14:solidFill>
                </w14:textFill>
              </w:rPr>
            </w:pPr>
            <w:r>
              <w:rPr>
                <w:rFonts w:hint="eastAsia" w:ascii="宋体" w:hAnsi="宋体" w:cs="宋体"/>
                <w:b w:val="0"/>
                <w:bCs/>
                <w:color w:val="000000" w:themeColor="text1"/>
                <w:szCs w:val="21"/>
                <w14:textFill>
                  <w14:solidFill>
                    <w14:schemeClr w14:val="tx1"/>
                  </w14:solidFill>
                </w14:textFill>
              </w:rPr>
              <w:t>达标</w:t>
            </w:r>
          </w:p>
        </w:tc>
      </w:tr>
    </w:tbl>
    <w:p w14:paraId="59618001">
      <w:pPr>
        <w:pStyle w:val="117"/>
        <w:spacing w:line="480" w:lineRule="exact"/>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根据表4.3-4分析可知，区域基本污染物中各污染物浓度变化幅度不大，2023年PM</w:t>
      </w:r>
      <w:r>
        <w:rPr>
          <w:rFonts w:hint="eastAsia"/>
          <w:color w:val="000000" w:themeColor="text1"/>
          <w:vertAlign w:val="subscript"/>
          <w14:textFill>
            <w14:solidFill>
              <w14:schemeClr w14:val="tx1"/>
            </w14:solidFill>
          </w14:textFill>
        </w:rPr>
        <w:t>2.5</w:t>
      </w:r>
      <w:r>
        <w:rPr>
          <w:rFonts w:hint="eastAsia"/>
          <w:color w:val="000000" w:themeColor="text1"/>
          <w14:textFill>
            <w14:solidFill>
              <w14:schemeClr w14:val="tx1"/>
            </w14:solidFill>
          </w14:textFill>
        </w:rPr>
        <w:t>较前四年相比呈向好趋势，从超标降为达标，环境质量有所改善。</w:t>
      </w:r>
    </w:p>
    <w:p w14:paraId="0C78866D">
      <w:pPr>
        <w:pStyle w:val="117"/>
        <w:spacing w:line="480" w:lineRule="exact"/>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②特征污染物</w:t>
      </w:r>
    </w:p>
    <w:p w14:paraId="06C9B1D5">
      <w:pPr>
        <w:pStyle w:val="117"/>
        <w:spacing w:line="480" w:lineRule="exact"/>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本次收集了2021年、2022年、2024年三年的区域特征污染物非甲烷总烃、硫化氢的监测数据，详见表4.3-5。</w:t>
      </w:r>
    </w:p>
    <w:p w14:paraId="02B7EEA2">
      <w:pPr>
        <w:pStyle w:val="15"/>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表4.3-5  2021年～2024年区域基本污染物和特征污染物非甲烷总烃、硫化氢的监测数据</w:t>
      </w:r>
    </w:p>
    <w:tbl>
      <w:tblPr>
        <w:tblStyle w:val="51"/>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34"/>
        <w:gridCol w:w="1276"/>
        <w:gridCol w:w="1276"/>
        <w:gridCol w:w="1417"/>
        <w:gridCol w:w="1418"/>
        <w:gridCol w:w="1134"/>
        <w:gridCol w:w="988"/>
      </w:tblGrid>
      <w:tr w14:paraId="6F870FA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34" w:type="dxa"/>
            <w:vAlign w:val="center"/>
          </w:tcPr>
          <w:p w14:paraId="654A5D72">
            <w:pPr>
              <w:spacing w:line="30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监测点位</w:t>
            </w:r>
          </w:p>
        </w:tc>
        <w:tc>
          <w:tcPr>
            <w:tcW w:w="1276" w:type="dxa"/>
            <w:vAlign w:val="center"/>
          </w:tcPr>
          <w:p w14:paraId="70EFB8C7">
            <w:pPr>
              <w:spacing w:line="30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监测因子</w:t>
            </w:r>
          </w:p>
        </w:tc>
        <w:tc>
          <w:tcPr>
            <w:tcW w:w="1276" w:type="dxa"/>
            <w:vAlign w:val="center"/>
          </w:tcPr>
          <w:p w14:paraId="37909D62">
            <w:pPr>
              <w:spacing w:line="30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评价指标</w:t>
            </w:r>
          </w:p>
        </w:tc>
        <w:tc>
          <w:tcPr>
            <w:tcW w:w="1417" w:type="dxa"/>
            <w:vAlign w:val="center"/>
          </w:tcPr>
          <w:p w14:paraId="41F29271">
            <w:pPr>
              <w:spacing w:line="30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标准值</w:t>
            </w:r>
          </w:p>
          <w:p w14:paraId="11E8CABA">
            <w:pPr>
              <w:spacing w:line="30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(μg/m</w:t>
            </w:r>
            <w:r>
              <w:rPr>
                <w:rFonts w:hint="eastAsia" w:ascii="宋体" w:hAnsi="宋体" w:cs="宋体"/>
                <w:color w:val="000000" w:themeColor="text1"/>
                <w:szCs w:val="21"/>
                <w:vertAlign w:val="superscript"/>
                <w14:textFill>
                  <w14:solidFill>
                    <w14:schemeClr w14:val="tx1"/>
                  </w14:solidFill>
                </w14:textFill>
              </w:rPr>
              <w:t>3</w:t>
            </w:r>
            <w:r>
              <w:rPr>
                <w:rFonts w:hint="eastAsia" w:ascii="宋体" w:hAnsi="宋体" w:cs="宋体"/>
                <w:color w:val="000000" w:themeColor="text1"/>
                <w:szCs w:val="21"/>
                <w14:textFill>
                  <w14:solidFill>
                    <w14:schemeClr w14:val="tx1"/>
                  </w14:solidFill>
                </w14:textFill>
              </w:rPr>
              <w:t>)</w:t>
            </w:r>
          </w:p>
        </w:tc>
        <w:tc>
          <w:tcPr>
            <w:tcW w:w="1418" w:type="dxa"/>
            <w:vAlign w:val="center"/>
          </w:tcPr>
          <w:p w14:paraId="2AB5F499">
            <w:pPr>
              <w:spacing w:line="30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现状浓度</w:t>
            </w:r>
          </w:p>
          <w:p w14:paraId="21755FCF">
            <w:pPr>
              <w:spacing w:line="30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(μg/m</w:t>
            </w:r>
            <w:r>
              <w:rPr>
                <w:rFonts w:hint="eastAsia" w:ascii="宋体" w:hAnsi="宋体" w:cs="宋体"/>
                <w:color w:val="000000" w:themeColor="text1"/>
                <w:szCs w:val="21"/>
                <w:vertAlign w:val="superscript"/>
                <w14:textFill>
                  <w14:solidFill>
                    <w14:schemeClr w14:val="tx1"/>
                  </w14:solidFill>
                </w14:textFill>
              </w:rPr>
              <w:t>3</w:t>
            </w:r>
            <w:r>
              <w:rPr>
                <w:rFonts w:hint="eastAsia" w:ascii="宋体" w:hAnsi="宋体" w:cs="宋体"/>
                <w:color w:val="000000" w:themeColor="text1"/>
                <w:szCs w:val="21"/>
                <w14:textFill>
                  <w14:solidFill>
                    <w14:schemeClr w14:val="tx1"/>
                  </w14:solidFill>
                </w14:textFill>
              </w:rPr>
              <w:t>)</w:t>
            </w:r>
          </w:p>
        </w:tc>
        <w:tc>
          <w:tcPr>
            <w:tcW w:w="1134" w:type="dxa"/>
            <w:vAlign w:val="center"/>
          </w:tcPr>
          <w:p w14:paraId="2EE953F4">
            <w:pPr>
              <w:spacing w:line="30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最大占标率（%）</w:t>
            </w:r>
          </w:p>
        </w:tc>
        <w:tc>
          <w:tcPr>
            <w:tcW w:w="988" w:type="dxa"/>
            <w:vAlign w:val="center"/>
          </w:tcPr>
          <w:p w14:paraId="4846839E">
            <w:pPr>
              <w:spacing w:line="30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达标</w:t>
            </w:r>
          </w:p>
          <w:p w14:paraId="54342548">
            <w:pPr>
              <w:spacing w:line="30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情况</w:t>
            </w:r>
          </w:p>
        </w:tc>
      </w:tr>
      <w:tr w14:paraId="72AE254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34" w:type="dxa"/>
            <w:vMerge w:val="restart"/>
            <w:vAlign w:val="center"/>
          </w:tcPr>
          <w:p w14:paraId="2B71357E">
            <w:pPr>
              <w:spacing w:line="300" w:lineRule="exact"/>
              <w:jc w:val="center"/>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2021</w:t>
            </w:r>
          </w:p>
        </w:tc>
        <w:tc>
          <w:tcPr>
            <w:tcW w:w="1276" w:type="dxa"/>
            <w:vAlign w:val="center"/>
          </w:tcPr>
          <w:p w14:paraId="311DEDEE">
            <w:pPr>
              <w:spacing w:line="30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NMHC</w:t>
            </w:r>
          </w:p>
        </w:tc>
        <w:tc>
          <w:tcPr>
            <w:tcW w:w="1276" w:type="dxa"/>
            <w:vAlign w:val="center"/>
          </w:tcPr>
          <w:p w14:paraId="643D7E0E">
            <w:pPr>
              <w:spacing w:line="30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一次值</w:t>
            </w:r>
          </w:p>
        </w:tc>
        <w:tc>
          <w:tcPr>
            <w:tcW w:w="1417" w:type="dxa"/>
            <w:vAlign w:val="center"/>
          </w:tcPr>
          <w:p w14:paraId="2619BA93">
            <w:pPr>
              <w:spacing w:line="30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2000</w:t>
            </w:r>
          </w:p>
        </w:tc>
        <w:tc>
          <w:tcPr>
            <w:tcW w:w="1418" w:type="dxa"/>
            <w:vAlign w:val="center"/>
          </w:tcPr>
          <w:p w14:paraId="44176AED">
            <w:pPr>
              <w:spacing w:line="30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950～1160</w:t>
            </w:r>
          </w:p>
        </w:tc>
        <w:tc>
          <w:tcPr>
            <w:tcW w:w="1134" w:type="dxa"/>
            <w:vAlign w:val="center"/>
          </w:tcPr>
          <w:p w14:paraId="516DD18D">
            <w:pPr>
              <w:spacing w:line="30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58</w:t>
            </w:r>
          </w:p>
        </w:tc>
        <w:tc>
          <w:tcPr>
            <w:tcW w:w="988" w:type="dxa"/>
            <w:vAlign w:val="center"/>
          </w:tcPr>
          <w:p w14:paraId="7D0CE4B0">
            <w:pPr>
              <w:spacing w:line="30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达标</w:t>
            </w:r>
          </w:p>
        </w:tc>
      </w:tr>
      <w:tr w14:paraId="7466A02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34" w:type="dxa"/>
            <w:vMerge w:val="continue"/>
            <w:vAlign w:val="center"/>
          </w:tcPr>
          <w:p w14:paraId="1DD9F46F">
            <w:pPr>
              <w:spacing w:line="300" w:lineRule="exact"/>
              <w:jc w:val="center"/>
              <w:rPr>
                <w:rFonts w:hint="eastAsia" w:ascii="宋体" w:hAnsi="宋体" w:cs="宋体"/>
                <w:color w:val="000000" w:themeColor="text1"/>
                <w:szCs w:val="21"/>
                <w14:textFill>
                  <w14:solidFill>
                    <w14:schemeClr w14:val="tx1"/>
                  </w14:solidFill>
                </w14:textFill>
              </w:rPr>
            </w:pPr>
          </w:p>
        </w:tc>
        <w:tc>
          <w:tcPr>
            <w:tcW w:w="1276" w:type="dxa"/>
            <w:vAlign w:val="center"/>
          </w:tcPr>
          <w:p w14:paraId="4D830ABC">
            <w:pPr>
              <w:spacing w:line="30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H</w:t>
            </w:r>
            <w:r>
              <w:rPr>
                <w:rFonts w:hint="eastAsia" w:ascii="宋体" w:hAnsi="宋体" w:cs="宋体"/>
                <w:color w:val="000000" w:themeColor="text1"/>
                <w:szCs w:val="21"/>
                <w:vertAlign w:val="subscript"/>
                <w14:textFill>
                  <w14:solidFill>
                    <w14:schemeClr w14:val="tx1"/>
                  </w14:solidFill>
                </w14:textFill>
              </w:rPr>
              <w:t>2</w:t>
            </w:r>
            <w:r>
              <w:rPr>
                <w:rFonts w:hint="eastAsia" w:ascii="宋体" w:hAnsi="宋体" w:cs="宋体"/>
                <w:color w:val="000000" w:themeColor="text1"/>
                <w:szCs w:val="21"/>
                <w14:textFill>
                  <w14:solidFill>
                    <w14:schemeClr w14:val="tx1"/>
                  </w14:solidFill>
                </w14:textFill>
              </w:rPr>
              <w:t>S</w:t>
            </w:r>
          </w:p>
        </w:tc>
        <w:tc>
          <w:tcPr>
            <w:tcW w:w="1276" w:type="dxa"/>
            <w:vAlign w:val="center"/>
          </w:tcPr>
          <w:p w14:paraId="373FA1EB">
            <w:pPr>
              <w:spacing w:line="30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一次值</w:t>
            </w:r>
          </w:p>
        </w:tc>
        <w:tc>
          <w:tcPr>
            <w:tcW w:w="1417" w:type="dxa"/>
            <w:vAlign w:val="center"/>
          </w:tcPr>
          <w:p w14:paraId="1F338320">
            <w:pPr>
              <w:spacing w:line="30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10</w:t>
            </w:r>
          </w:p>
        </w:tc>
        <w:tc>
          <w:tcPr>
            <w:tcW w:w="1418" w:type="dxa"/>
            <w:vAlign w:val="center"/>
          </w:tcPr>
          <w:p w14:paraId="163A126F">
            <w:pPr>
              <w:spacing w:line="30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ND</w:t>
            </w:r>
          </w:p>
        </w:tc>
        <w:tc>
          <w:tcPr>
            <w:tcW w:w="1134" w:type="dxa"/>
            <w:vAlign w:val="center"/>
          </w:tcPr>
          <w:p w14:paraId="4CE1DB74">
            <w:pPr>
              <w:spacing w:line="30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w:t>
            </w:r>
          </w:p>
        </w:tc>
        <w:tc>
          <w:tcPr>
            <w:tcW w:w="988" w:type="dxa"/>
            <w:vAlign w:val="center"/>
          </w:tcPr>
          <w:p w14:paraId="0FACD4A6">
            <w:pPr>
              <w:spacing w:line="30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达标</w:t>
            </w:r>
          </w:p>
        </w:tc>
      </w:tr>
      <w:tr w14:paraId="4DF702D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34" w:type="dxa"/>
            <w:vMerge w:val="restart"/>
            <w:vAlign w:val="center"/>
          </w:tcPr>
          <w:p w14:paraId="201B96D9">
            <w:pPr>
              <w:spacing w:line="30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2022</w:t>
            </w:r>
          </w:p>
        </w:tc>
        <w:tc>
          <w:tcPr>
            <w:tcW w:w="1276" w:type="dxa"/>
            <w:vAlign w:val="center"/>
          </w:tcPr>
          <w:p w14:paraId="5D76B4CF">
            <w:pPr>
              <w:spacing w:line="30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NMHC</w:t>
            </w:r>
          </w:p>
        </w:tc>
        <w:tc>
          <w:tcPr>
            <w:tcW w:w="1276" w:type="dxa"/>
            <w:vAlign w:val="center"/>
          </w:tcPr>
          <w:p w14:paraId="2E0348F6">
            <w:pPr>
              <w:spacing w:line="30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一次值</w:t>
            </w:r>
          </w:p>
        </w:tc>
        <w:tc>
          <w:tcPr>
            <w:tcW w:w="1417" w:type="dxa"/>
            <w:vAlign w:val="center"/>
          </w:tcPr>
          <w:p w14:paraId="4F12BE16">
            <w:pPr>
              <w:spacing w:line="30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2000</w:t>
            </w:r>
          </w:p>
        </w:tc>
        <w:tc>
          <w:tcPr>
            <w:tcW w:w="1418" w:type="dxa"/>
            <w:vAlign w:val="center"/>
          </w:tcPr>
          <w:p w14:paraId="1D133F17">
            <w:pPr>
              <w:spacing w:line="30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480～760</w:t>
            </w:r>
          </w:p>
        </w:tc>
        <w:tc>
          <w:tcPr>
            <w:tcW w:w="1134" w:type="dxa"/>
            <w:vAlign w:val="center"/>
          </w:tcPr>
          <w:p w14:paraId="06681AD1">
            <w:pPr>
              <w:spacing w:line="30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38</w:t>
            </w:r>
          </w:p>
        </w:tc>
        <w:tc>
          <w:tcPr>
            <w:tcW w:w="988" w:type="dxa"/>
            <w:vAlign w:val="center"/>
          </w:tcPr>
          <w:p w14:paraId="62D98603">
            <w:pPr>
              <w:spacing w:line="30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达标</w:t>
            </w:r>
          </w:p>
        </w:tc>
      </w:tr>
      <w:tr w14:paraId="7F4C8AD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34" w:type="dxa"/>
            <w:vMerge w:val="continue"/>
            <w:vAlign w:val="center"/>
          </w:tcPr>
          <w:p w14:paraId="1836006D">
            <w:pPr>
              <w:spacing w:line="300" w:lineRule="exact"/>
              <w:jc w:val="center"/>
              <w:rPr>
                <w:rFonts w:hint="eastAsia" w:ascii="宋体" w:hAnsi="宋体" w:cs="宋体"/>
                <w:color w:val="000000" w:themeColor="text1"/>
                <w:szCs w:val="21"/>
                <w14:textFill>
                  <w14:solidFill>
                    <w14:schemeClr w14:val="tx1"/>
                  </w14:solidFill>
                </w14:textFill>
              </w:rPr>
            </w:pPr>
          </w:p>
        </w:tc>
        <w:tc>
          <w:tcPr>
            <w:tcW w:w="1276" w:type="dxa"/>
            <w:vAlign w:val="center"/>
          </w:tcPr>
          <w:p w14:paraId="6ABB2026">
            <w:pPr>
              <w:spacing w:line="30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H</w:t>
            </w:r>
            <w:r>
              <w:rPr>
                <w:rFonts w:hint="eastAsia" w:ascii="宋体" w:hAnsi="宋体" w:cs="宋体"/>
                <w:color w:val="000000" w:themeColor="text1"/>
                <w:szCs w:val="21"/>
                <w:vertAlign w:val="subscript"/>
                <w14:textFill>
                  <w14:solidFill>
                    <w14:schemeClr w14:val="tx1"/>
                  </w14:solidFill>
                </w14:textFill>
              </w:rPr>
              <w:t>2</w:t>
            </w:r>
            <w:r>
              <w:rPr>
                <w:rFonts w:hint="eastAsia" w:ascii="宋体" w:hAnsi="宋体" w:cs="宋体"/>
                <w:color w:val="000000" w:themeColor="text1"/>
                <w:szCs w:val="21"/>
                <w14:textFill>
                  <w14:solidFill>
                    <w14:schemeClr w14:val="tx1"/>
                  </w14:solidFill>
                </w14:textFill>
              </w:rPr>
              <w:t>S</w:t>
            </w:r>
          </w:p>
        </w:tc>
        <w:tc>
          <w:tcPr>
            <w:tcW w:w="1276" w:type="dxa"/>
            <w:vAlign w:val="center"/>
          </w:tcPr>
          <w:p w14:paraId="27CD47BE">
            <w:pPr>
              <w:spacing w:line="30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一次值</w:t>
            </w:r>
          </w:p>
        </w:tc>
        <w:tc>
          <w:tcPr>
            <w:tcW w:w="1417" w:type="dxa"/>
            <w:vAlign w:val="center"/>
          </w:tcPr>
          <w:p w14:paraId="09461A1F">
            <w:pPr>
              <w:spacing w:line="30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10</w:t>
            </w:r>
          </w:p>
        </w:tc>
        <w:tc>
          <w:tcPr>
            <w:tcW w:w="1418" w:type="dxa"/>
            <w:vAlign w:val="center"/>
          </w:tcPr>
          <w:p w14:paraId="6164BF6C">
            <w:pPr>
              <w:spacing w:line="30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ND～7</w:t>
            </w:r>
          </w:p>
        </w:tc>
        <w:tc>
          <w:tcPr>
            <w:tcW w:w="1134" w:type="dxa"/>
            <w:vAlign w:val="center"/>
          </w:tcPr>
          <w:p w14:paraId="711079DC">
            <w:pPr>
              <w:spacing w:line="30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70</w:t>
            </w:r>
          </w:p>
        </w:tc>
        <w:tc>
          <w:tcPr>
            <w:tcW w:w="988" w:type="dxa"/>
            <w:vAlign w:val="center"/>
          </w:tcPr>
          <w:p w14:paraId="201FCEC8">
            <w:pPr>
              <w:spacing w:line="30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达标</w:t>
            </w:r>
          </w:p>
        </w:tc>
      </w:tr>
      <w:tr w14:paraId="7796EB9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34" w:type="dxa"/>
            <w:vMerge w:val="restart"/>
            <w:vAlign w:val="center"/>
          </w:tcPr>
          <w:p w14:paraId="36769506">
            <w:pPr>
              <w:spacing w:line="30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2024</w:t>
            </w:r>
          </w:p>
        </w:tc>
        <w:tc>
          <w:tcPr>
            <w:tcW w:w="1276" w:type="dxa"/>
            <w:vAlign w:val="center"/>
          </w:tcPr>
          <w:p w14:paraId="7E3FCF08">
            <w:pPr>
              <w:spacing w:line="30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NMHC</w:t>
            </w:r>
          </w:p>
        </w:tc>
        <w:tc>
          <w:tcPr>
            <w:tcW w:w="1276" w:type="dxa"/>
            <w:vAlign w:val="center"/>
          </w:tcPr>
          <w:p w14:paraId="70F66D86">
            <w:pPr>
              <w:spacing w:line="30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一次值</w:t>
            </w:r>
          </w:p>
        </w:tc>
        <w:tc>
          <w:tcPr>
            <w:tcW w:w="1417" w:type="dxa"/>
            <w:vAlign w:val="center"/>
          </w:tcPr>
          <w:p w14:paraId="38D4A531">
            <w:pPr>
              <w:spacing w:line="30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2000</w:t>
            </w:r>
          </w:p>
        </w:tc>
        <w:tc>
          <w:tcPr>
            <w:tcW w:w="1418" w:type="dxa"/>
            <w:vAlign w:val="center"/>
          </w:tcPr>
          <w:p w14:paraId="50D217D9">
            <w:pPr>
              <w:spacing w:line="30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820～1240</w:t>
            </w:r>
          </w:p>
        </w:tc>
        <w:tc>
          <w:tcPr>
            <w:tcW w:w="1134" w:type="dxa"/>
            <w:vAlign w:val="center"/>
          </w:tcPr>
          <w:p w14:paraId="26E9D1E0">
            <w:pPr>
              <w:spacing w:line="30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62</w:t>
            </w:r>
          </w:p>
        </w:tc>
        <w:tc>
          <w:tcPr>
            <w:tcW w:w="988" w:type="dxa"/>
            <w:vAlign w:val="center"/>
          </w:tcPr>
          <w:p w14:paraId="73254362">
            <w:pPr>
              <w:spacing w:line="30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达标</w:t>
            </w:r>
          </w:p>
        </w:tc>
      </w:tr>
      <w:tr w14:paraId="1FC3DDC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34" w:type="dxa"/>
            <w:vMerge w:val="continue"/>
            <w:vAlign w:val="center"/>
          </w:tcPr>
          <w:p w14:paraId="73D96D73">
            <w:pPr>
              <w:spacing w:line="300" w:lineRule="exact"/>
              <w:jc w:val="center"/>
              <w:rPr>
                <w:rFonts w:hint="eastAsia" w:ascii="宋体" w:hAnsi="宋体" w:cs="宋体"/>
                <w:color w:val="000000" w:themeColor="text1"/>
                <w:szCs w:val="21"/>
                <w14:textFill>
                  <w14:solidFill>
                    <w14:schemeClr w14:val="tx1"/>
                  </w14:solidFill>
                </w14:textFill>
              </w:rPr>
            </w:pPr>
          </w:p>
        </w:tc>
        <w:tc>
          <w:tcPr>
            <w:tcW w:w="1276" w:type="dxa"/>
            <w:vAlign w:val="center"/>
          </w:tcPr>
          <w:p w14:paraId="7748D461">
            <w:pPr>
              <w:spacing w:line="30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H</w:t>
            </w:r>
            <w:r>
              <w:rPr>
                <w:rFonts w:hint="eastAsia" w:ascii="宋体" w:hAnsi="宋体" w:cs="宋体"/>
                <w:color w:val="000000" w:themeColor="text1"/>
                <w:szCs w:val="21"/>
                <w:vertAlign w:val="subscript"/>
                <w14:textFill>
                  <w14:solidFill>
                    <w14:schemeClr w14:val="tx1"/>
                  </w14:solidFill>
                </w14:textFill>
              </w:rPr>
              <w:t>2</w:t>
            </w:r>
            <w:r>
              <w:rPr>
                <w:rFonts w:hint="eastAsia" w:ascii="宋体" w:hAnsi="宋体" w:cs="宋体"/>
                <w:color w:val="000000" w:themeColor="text1"/>
                <w:szCs w:val="21"/>
                <w14:textFill>
                  <w14:solidFill>
                    <w14:schemeClr w14:val="tx1"/>
                  </w14:solidFill>
                </w14:textFill>
              </w:rPr>
              <w:t>S</w:t>
            </w:r>
          </w:p>
        </w:tc>
        <w:tc>
          <w:tcPr>
            <w:tcW w:w="1276" w:type="dxa"/>
            <w:vAlign w:val="center"/>
          </w:tcPr>
          <w:p w14:paraId="400873F7">
            <w:pPr>
              <w:spacing w:line="30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一次值</w:t>
            </w:r>
          </w:p>
        </w:tc>
        <w:tc>
          <w:tcPr>
            <w:tcW w:w="1417" w:type="dxa"/>
            <w:vAlign w:val="center"/>
          </w:tcPr>
          <w:p w14:paraId="1F55A5C5">
            <w:pPr>
              <w:spacing w:line="30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10</w:t>
            </w:r>
          </w:p>
        </w:tc>
        <w:tc>
          <w:tcPr>
            <w:tcW w:w="1418" w:type="dxa"/>
            <w:vAlign w:val="center"/>
          </w:tcPr>
          <w:p w14:paraId="33C544A5">
            <w:pPr>
              <w:spacing w:line="30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ND</w:t>
            </w:r>
          </w:p>
        </w:tc>
        <w:tc>
          <w:tcPr>
            <w:tcW w:w="1134" w:type="dxa"/>
            <w:vAlign w:val="center"/>
          </w:tcPr>
          <w:p w14:paraId="31E72BC2">
            <w:pPr>
              <w:spacing w:line="30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w:t>
            </w:r>
          </w:p>
        </w:tc>
        <w:tc>
          <w:tcPr>
            <w:tcW w:w="988" w:type="dxa"/>
            <w:vAlign w:val="center"/>
          </w:tcPr>
          <w:p w14:paraId="0C8685B3">
            <w:pPr>
              <w:spacing w:line="30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达标</w:t>
            </w:r>
          </w:p>
        </w:tc>
      </w:tr>
    </w:tbl>
    <w:p w14:paraId="3820B6AC">
      <w:pPr>
        <w:pStyle w:val="117"/>
        <w:spacing w:line="480" w:lineRule="exact"/>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由表4.3-5可知，区域硫化氢浓度变化不大，非甲烷总烃浓度稍有增加。</w:t>
      </w:r>
    </w:p>
    <w:bookmarkEnd w:id="392"/>
    <w:p w14:paraId="5A0CBCF9">
      <w:pPr>
        <w:pStyle w:val="4"/>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水环境质量现状调查与评价</w:t>
      </w:r>
    </w:p>
    <w:p w14:paraId="35BA8A27">
      <w:pPr>
        <w:adjustRightInd w:val="0"/>
        <w:snapToGrid w:val="0"/>
        <w:spacing w:line="500" w:lineRule="exact"/>
        <w:ind w:firstLine="480" w:firstLineChars="200"/>
        <w:rPr>
          <w:rFonts w:hint="eastAsia" w:ascii="宋体" w:hAnsi="宋体" w:cs="宋体"/>
          <w:color w:val="000000" w:themeColor="text1"/>
          <w:sz w:val="24"/>
          <w:szCs w:val="24"/>
          <w:lang w:bidi="ar"/>
          <w14:textFill>
            <w14:solidFill>
              <w14:schemeClr w14:val="tx1"/>
            </w14:solidFill>
          </w14:textFill>
        </w:rPr>
      </w:pPr>
      <w:r>
        <w:rPr>
          <w:rFonts w:hint="eastAsia" w:ascii="宋体" w:hAnsi="宋体" w:cs="宋体"/>
          <w:color w:val="000000" w:themeColor="text1"/>
          <w:sz w:val="24"/>
          <w:szCs w:val="24"/>
          <w:lang w:bidi="ar"/>
          <w14:textFill>
            <w14:solidFill>
              <w14:schemeClr w14:val="tx1"/>
            </w14:solidFill>
          </w14:textFill>
        </w:rPr>
        <w:t>运营期废水全部送至压裂返排液处理系统处理，处理达标后用于压裂液复配，不外排，与下新湖水库不发生水力联系，根据</w:t>
      </w:r>
      <w:r>
        <w:rPr>
          <w:rFonts w:ascii="宋体" w:hAnsi="宋体" w:cs="宋体"/>
          <w:color w:val="000000" w:themeColor="text1"/>
          <w:kern w:val="0"/>
          <w:sz w:val="24"/>
          <w:szCs w:val="20"/>
          <w:lang w:bidi="ar"/>
          <w14:textFill>
            <w14:solidFill>
              <w14:schemeClr w14:val="tx1"/>
            </w14:solidFill>
          </w14:textFill>
        </w:rPr>
        <w:t>《环境影响评价技术导则  地表水环境》（HJ2.3-2018）</w:t>
      </w:r>
      <w:r>
        <w:rPr>
          <w:rFonts w:hint="eastAsia" w:ascii="宋体" w:hAnsi="宋体" w:cs="宋体"/>
          <w:color w:val="000000" w:themeColor="text1"/>
          <w:kern w:val="0"/>
          <w:sz w:val="24"/>
          <w:szCs w:val="20"/>
          <w:lang w:bidi="ar"/>
          <w14:textFill>
            <w14:solidFill>
              <w14:schemeClr w14:val="tx1"/>
            </w14:solidFill>
          </w14:textFill>
        </w:rPr>
        <w:t>中的相关要求，</w:t>
      </w:r>
      <w:r>
        <w:rPr>
          <w:rFonts w:hint="eastAsia" w:ascii="宋体" w:hAnsi="宋体" w:cs="宋体"/>
          <w:color w:val="000000" w:themeColor="text1"/>
          <w:sz w:val="24"/>
          <w:szCs w:val="24"/>
          <w:lang w:bidi="ar"/>
          <w14:textFill>
            <w14:solidFill>
              <w14:schemeClr w14:val="tx1"/>
            </w14:solidFill>
          </w14:textFill>
        </w:rPr>
        <w:t>地表水评价等级为三级B，</w:t>
      </w:r>
      <w:r>
        <w:rPr>
          <w:rFonts w:hint="eastAsia" w:ascii="宋体" w:hAnsi="宋体" w:cs="宋体"/>
          <w:color w:val="000000" w:themeColor="text1"/>
          <w:kern w:val="0"/>
          <w:sz w:val="24"/>
          <w:szCs w:val="20"/>
          <w:lang w:bidi="ar"/>
          <w14:textFill>
            <w14:solidFill>
              <w14:schemeClr w14:val="tx1"/>
            </w14:solidFill>
          </w14:textFill>
        </w:rPr>
        <w:t>不</w:t>
      </w:r>
      <w:r>
        <w:rPr>
          <w:rFonts w:hint="eastAsia" w:ascii="宋体" w:hAnsi="宋体" w:cs="宋体"/>
          <w:color w:val="000000" w:themeColor="text1"/>
          <w:sz w:val="24"/>
          <w:szCs w:val="24"/>
          <w:lang w:bidi="ar"/>
          <w14:textFill>
            <w14:solidFill>
              <w14:schemeClr w14:val="tx1"/>
            </w14:solidFill>
          </w14:textFill>
        </w:rPr>
        <w:t>需对地表水环境质量现状调查，本次仅对地下水环境质量现状进行调查和评价。</w:t>
      </w:r>
    </w:p>
    <w:p w14:paraId="5052D102">
      <w:pPr>
        <w:adjustRightInd w:val="0"/>
        <w:snapToGrid w:val="0"/>
        <w:spacing w:line="500" w:lineRule="exact"/>
        <w:ind w:firstLine="480" w:firstLineChars="200"/>
        <w:rPr>
          <w:rFonts w:hint="eastAsia" w:ascii="宋体" w:hAnsi="宋体" w:cs="宋体"/>
          <w:color w:val="000000" w:themeColor="text1"/>
          <w:sz w:val="24"/>
          <w:szCs w:val="24"/>
          <w:lang w:bidi="ar"/>
          <w14:textFill>
            <w14:solidFill>
              <w14:schemeClr w14:val="tx1"/>
            </w14:solidFill>
          </w14:textFill>
        </w:rPr>
      </w:pPr>
      <w:bookmarkStart w:id="394" w:name="OLE_LINK173"/>
      <w:bookmarkStart w:id="395" w:name="_Hlk160376314"/>
      <w:r>
        <w:rPr>
          <w:rFonts w:hint="eastAsia" w:ascii="宋体" w:hAnsi="宋体" w:cs="宋体"/>
          <w:color w:val="000000" w:themeColor="text1"/>
          <w:sz w:val="24"/>
          <w:szCs w:val="24"/>
          <w:lang w:bidi="ar"/>
          <w14:textFill>
            <w14:solidFill>
              <w14:schemeClr w14:val="tx1"/>
            </w14:solidFill>
          </w14:textFill>
        </w:rPr>
        <w:t>（1）数据来源</w:t>
      </w:r>
    </w:p>
    <w:p w14:paraId="14292793">
      <w:pPr>
        <w:pStyle w:val="191"/>
        <w:adjustRightInd w:val="0"/>
        <w:snapToGrid w:val="0"/>
        <w:spacing w:line="480" w:lineRule="exact"/>
        <w:ind w:firstLine="480"/>
        <w:rPr>
          <w:rFonts w:hint="eastAsia" w:cs="宋体"/>
          <w:color w:val="000000" w:themeColor="text1"/>
          <w:lang w:bidi="ar"/>
          <w14:textFill>
            <w14:solidFill>
              <w14:schemeClr w14:val="tx1"/>
            </w14:solidFill>
          </w14:textFill>
        </w:rPr>
      </w:pPr>
      <w:r>
        <w:rPr>
          <w:rFonts w:hint="eastAsia" w:cs="宋体"/>
          <w:color w:val="000000" w:themeColor="text1"/>
          <w:lang w:bidi="ar"/>
          <w14:textFill>
            <w14:solidFill>
              <w14:schemeClr w14:val="tx1"/>
            </w14:solidFill>
          </w14:textFill>
        </w:rPr>
        <w:t>本次评价采用资料收集的方法来说明区域地下水环境质量现状，</w:t>
      </w:r>
      <w:bookmarkEnd w:id="394"/>
    </w:p>
    <w:p w14:paraId="09DFF0D2">
      <w:pPr>
        <w:pStyle w:val="191"/>
        <w:numPr>
          <w:ilvl w:val="0"/>
          <w:numId w:val="4"/>
        </w:numPr>
        <w:adjustRightInd w:val="0"/>
        <w:snapToGrid w:val="0"/>
        <w:spacing w:line="480" w:lineRule="exact"/>
        <w:ind w:firstLineChars="0"/>
        <w:rPr>
          <w:rFonts w:hint="eastAsia"/>
          <w:color w:val="000000" w:themeColor="text1"/>
          <w:lang w:bidi="ar"/>
          <w14:textFill>
            <w14:solidFill>
              <w14:schemeClr w14:val="tx1"/>
            </w14:solidFill>
          </w14:textFill>
        </w:rPr>
      </w:pPr>
      <w:r>
        <w:rPr>
          <w:color w:val="000000" w:themeColor="text1"/>
          <w:lang w:bidi="ar"/>
          <w14:textFill>
            <w14:solidFill>
              <w14:schemeClr w14:val="tx1"/>
            </w14:solidFill>
          </w14:textFill>
        </w:rPr>
        <w:t>监测点位</w:t>
      </w:r>
    </w:p>
    <w:p w14:paraId="6F266787">
      <w:pPr>
        <w:adjustRightInd w:val="0"/>
        <w:snapToGrid w:val="0"/>
        <w:spacing w:line="480" w:lineRule="exact"/>
        <w:ind w:firstLine="480" w:firstLineChars="200"/>
        <w:rPr>
          <w:rFonts w:hint="eastAsia" w:ascii="宋体" w:hAnsi="宋体"/>
          <w:color w:val="000000" w:themeColor="text1"/>
          <w:kern w:val="0"/>
          <w:sz w:val="24"/>
          <w:szCs w:val="24"/>
          <w14:textFill>
            <w14:solidFill>
              <w14:schemeClr w14:val="tx1"/>
            </w14:solidFill>
          </w14:textFill>
        </w:rPr>
      </w:pPr>
      <w:r>
        <w:rPr>
          <w:rFonts w:hint="eastAsia" w:ascii="宋体" w:hAnsi="宋体"/>
          <w:color w:val="000000" w:themeColor="text1"/>
          <w:kern w:val="0"/>
          <w:sz w:val="24"/>
          <w:szCs w:val="24"/>
          <w14:textFill>
            <w14:solidFill>
              <w14:schemeClr w14:val="tx1"/>
            </w14:solidFill>
          </w14:textFill>
        </w:rPr>
        <w:t>本次共引用5个地下水水质监测点，10个地下水水位监测点，引用监测点位来源、监测时间具体如下：</w:t>
      </w:r>
      <w:bookmarkStart w:id="396" w:name="OLE_LINK54"/>
      <w:r>
        <w:rPr>
          <w:rFonts w:ascii="宋体" w:hAnsi="宋体"/>
          <w:color w:val="000000" w:themeColor="text1"/>
          <w:kern w:val="0"/>
          <w:sz w:val="24"/>
          <w:szCs w:val="24"/>
          <w14:textFill>
            <w14:solidFill>
              <w14:schemeClr w14:val="tx1"/>
            </w14:solidFill>
          </w14:textFill>
        </w:rPr>
        <w:t>引用</w:t>
      </w:r>
      <w:bookmarkStart w:id="397" w:name="OLE_LINK98"/>
      <w:r>
        <w:rPr>
          <w:rFonts w:ascii="宋体" w:hAnsi="宋体"/>
          <w:color w:val="000000" w:themeColor="text1"/>
          <w:kern w:val="0"/>
          <w:sz w:val="24"/>
          <w:szCs w:val="24"/>
          <w14:textFill>
            <w14:solidFill>
              <w14:schemeClr w14:val="tx1"/>
            </w14:solidFill>
          </w14:textFill>
        </w:rPr>
        <w:t>《吉木萨尔凹陷芦草沟组页岩油J10054井区JHW69-11等13口井开发建设工程环境影响报告书》中5口地下水井的水质和水位监测数据</w:t>
      </w:r>
      <w:r>
        <w:rPr>
          <w:rFonts w:hint="eastAsia" w:ascii="宋体" w:hAnsi="宋体"/>
          <w:color w:val="000000" w:themeColor="text1"/>
          <w:kern w:val="0"/>
          <w:sz w:val="24"/>
          <w:szCs w:val="24"/>
          <w14:textFill>
            <w14:solidFill>
              <w14:schemeClr w14:val="tx1"/>
            </w14:solidFill>
          </w14:textFill>
        </w:rPr>
        <w:t>（报告编号：B24HP005）</w:t>
      </w:r>
      <w:r>
        <w:rPr>
          <w:rFonts w:ascii="宋体" w:hAnsi="宋体"/>
          <w:color w:val="000000" w:themeColor="text1"/>
          <w:kern w:val="0"/>
          <w:sz w:val="24"/>
          <w:szCs w:val="24"/>
          <w14:textFill>
            <w14:solidFill>
              <w14:schemeClr w14:val="tx1"/>
            </w14:solidFill>
          </w14:textFill>
        </w:rPr>
        <w:t>，采样时间为2024年3月22日</w:t>
      </w:r>
      <w:bookmarkEnd w:id="397"/>
      <w:r>
        <w:rPr>
          <w:rFonts w:hint="eastAsia" w:ascii="宋体" w:hAnsi="宋体"/>
          <w:color w:val="000000" w:themeColor="text1"/>
          <w:kern w:val="0"/>
          <w:sz w:val="24"/>
          <w:szCs w:val="24"/>
          <w14:textFill>
            <w14:solidFill>
              <w14:schemeClr w14:val="tx1"/>
            </w14:solidFill>
          </w14:textFill>
        </w:rPr>
        <w:t>，监测单位为新疆环疆绿源环保科技有限公司</w:t>
      </w:r>
      <w:r>
        <w:rPr>
          <w:rFonts w:ascii="宋体" w:hAnsi="宋体"/>
          <w:color w:val="000000" w:themeColor="text1"/>
          <w:kern w:val="0"/>
          <w:sz w:val="24"/>
          <w:szCs w:val="24"/>
          <w14:textFill>
            <w14:solidFill>
              <w14:schemeClr w14:val="tx1"/>
            </w14:solidFill>
          </w14:textFill>
        </w:rPr>
        <w:t>；引用《吉康油田奇探1块二叠系芦草沟组夹层型页岩油开发先导试验方案环境影响报告书》中1口地下水井的监测数据</w:t>
      </w:r>
      <w:r>
        <w:rPr>
          <w:rFonts w:hint="eastAsia" w:ascii="宋体" w:hAnsi="宋体"/>
          <w:color w:val="000000" w:themeColor="text1"/>
          <w:kern w:val="0"/>
          <w:sz w:val="24"/>
          <w:szCs w:val="24"/>
          <w14:textFill>
            <w14:solidFill>
              <w14:schemeClr w14:val="tx1"/>
            </w14:solidFill>
          </w14:textFill>
        </w:rPr>
        <w:t>（检测报告编号为HJN24025）</w:t>
      </w:r>
      <w:r>
        <w:rPr>
          <w:rFonts w:ascii="宋体" w:hAnsi="宋体"/>
          <w:color w:val="000000" w:themeColor="text1"/>
          <w:kern w:val="0"/>
          <w:sz w:val="24"/>
          <w:szCs w:val="24"/>
          <w14:textFill>
            <w14:solidFill>
              <w14:schemeClr w14:val="tx1"/>
            </w14:solidFill>
          </w14:textFill>
        </w:rPr>
        <w:t>，监测时间为2024年6月24日，监测单位为新疆天地鉴职业环境检测评价有限公司；</w:t>
      </w:r>
      <w:bookmarkStart w:id="398" w:name="_Hlk187666338"/>
      <w:r>
        <w:rPr>
          <w:rFonts w:hint="eastAsia" w:ascii="宋体" w:hAnsi="宋体"/>
          <w:color w:val="000000" w:themeColor="text1"/>
          <w:kern w:val="0"/>
          <w:sz w:val="24"/>
          <w:szCs w:val="24"/>
          <w14:textFill>
            <w14:solidFill>
              <w14:schemeClr w14:val="tx1"/>
            </w14:solidFill>
          </w14:textFill>
        </w:rPr>
        <w:t>其余4口井的地下水水位引用《</w:t>
      </w:r>
      <w:r>
        <w:rPr>
          <w:rFonts w:ascii="Times New Roman" w:hAnsi="Times New Roman"/>
          <w:color w:val="000000" w:themeColor="text1"/>
          <w:kern w:val="0"/>
          <w:sz w:val="24"/>
          <w:szCs w:val="24"/>
          <w:lang w:val="zh-CN" w:bidi="ar"/>
          <w14:textFill>
            <w14:solidFill>
              <w14:schemeClr w14:val="tx1"/>
            </w14:solidFill>
          </w14:textFill>
        </w:rPr>
        <w:t>页岩油联合站50万吨/年原油处理装置运维工程</w:t>
      </w:r>
      <w:r>
        <w:rPr>
          <w:rFonts w:hint="eastAsia" w:ascii="Times New Roman" w:hAnsi="Times New Roman"/>
          <w:color w:val="000000" w:themeColor="text1"/>
          <w:kern w:val="0"/>
          <w:sz w:val="24"/>
          <w:szCs w:val="24"/>
          <w:lang w:val="zh-CN" w:bidi="ar"/>
          <w14:textFill>
            <w14:solidFill>
              <w14:schemeClr w14:val="tx1"/>
            </w14:solidFill>
          </w14:textFill>
        </w:rPr>
        <w:t>环境影响报告书</w:t>
      </w:r>
      <w:r>
        <w:rPr>
          <w:rFonts w:hint="eastAsia" w:ascii="宋体" w:hAnsi="宋体"/>
          <w:color w:val="000000" w:themeColor="text1"/>
          <w:kern w:val="0"/>
          <w:sz w:val="24"/>
          <w:szCs w:val="24"/>
          <w14:textFill>
            <w14:solidFill>
              <w14:schemeClr w14:val="tx1"/>
            </w14:solidFill>
          </w14:textFill>
        </w:rPr>
        <w:t>》中水位的监测数据，监测时间为2024年11月7日，监测单位为新疆环疆绿源环保科技有限公司</w:t>
      </w:r>
      <w:r>
        <w:rPr>
          <w:rFonts w:ascii="宋体" w:hAnsi="宋体"/>
          <w:color w:val="000000" w:themeColor="text1"/>
          <w:kern w:val="0"/>
          <w:sz w:val="24"/>
          <w:szCs w:val="24"/>
          <w14:textFill>
            <w14:solidFill>
              <w14:schemeClr w14:val="tx1"/>
            </w14:solidFill>
          </w14:textFill>
        </w:rPr>
        <w:t>。</w:t>
      </w:r>
      <w:bookmarkEnd w:id="396"/>
      <w:bookmarkEnd w:id="398"/>
      <w:r>
        <w:rPr>
          <w:rFonts w:ascii="宋体" w:hAnsi="宋体"/>
          <w:color w:val="000000" w:themeColor="text1"/>
          <w:kern w:val="0"/>
          <w:sz w:val="24"/>
          <w:szCs w:val="24"/>
          <w14:textFill>
            <w14:solidFill>
              <w14:schemeClr w14:val="tx1"/>
            </w14:solidFill>
          </w14:textFill>
        </w:rPr>
        <w:t>引用监测井位点位分布见图4.3-</w:t>
      </w:r>
      <w:r>
        <w:rPr>
          <w:rFonts w:hint="eastAsia" w:ascii="宋体" w:hAnsi="宋体"/>
          <w:color w:val="000000" w:themeColor="text1"/>
          <w:kern w:val="0"/>
          <w:sz w:val="24"/>
          <w:szCs w:val="24"/>
          <w14:textFill>
            <w14:solidFill>
              <w14:schemeClr w14:val="tx1"/>
            </w14:solidFill>
          </w14:textFill>
        </w:rPr>
        <w:t>2</w:t>
      </w:r>
      <w:r>
        <w:rPr>
          <w:rFonts w:ascii="宋体" w:hAnsi="宋体"/>
          <w:color w:val="000000" w:themeColor="text1"/>
          <w:kern w:val="0"/>
          <w:sz w:val="24"/>
          <w:szCs w:val="24"/>
          <w14:textFill>
            <w14:solidFill>
              <w14:schemeClr w14:val="tx1"/>
            </w14:solidFill>
          </w14:textFill>
        </w:rPr>
        <w:t>，各监测点位基本信息见表4.3-</w:t>
      </w:r>
      <w:r>
        <w:rPr>
          <w:rFonts w:hint="eastAsia" w:ascii="宋体" w:hAnsi="宋体"/>
          <w:color w:val="000000" w:themeColor="text1"/>
          <w:kern w:val="0"/>
          <w:sz w:val="24"/>
          <w:szCs w:val="24"/>
          <w14:textFill>
            <w14:solidFill>
              <w14:schemeClr w14:val="tx1"/>
            </w14:solidFill>
          </w14:textFill>
        </w:rPr>
        <w:t>6</w:t>
      </w:r>
      <w:r>
        <w:rPr>
          <w:rFonts w:ascii="宋体" w:hAnsi="宋体"/>
          <w:color w:val="000000" w:themeColor="text1"/>
          <w:kern w:val="0"/>
          <w:sz w:val="24"/>
          <w:szCs w:val="24"/>
          <w14:textFill>
            <w14:solidFill>
              <w14:schemeClr w14:val="tx1"/>
            </w14:solidFill>
          </w14:textFill>
        </w:rPr>
        <w:t>。</w:t>
      </w:r>
      <w:bookmarkStart w:id="399" w:name="_Hlk176340888"/>
      <w:r>
        <w:rPr>
          <w:rFonts w:ascii="宋体" w:hAnsi="宋体"/>
          <w:color w:val="000000" w:themeColor="text1"/>
          <w:kern w:val="0"/>
          <w:sz w:val="24"/>
          <w:szCs w:val="24"/>
          <w14:textFill>
            <w14:solidFill>
              <w14:schemeClr w14:val="tx1"/>
            </w14:solidFill>
          </w14:textFill>
        </w:rPr>
        <w:t>项目区</w:t>
      </w:r>
      <w:bookmarkStart w:id="400" w:name="OLE_LINK174"/>
      <w:r>
        <w:rPr>
          <w:rFonts w:ascii="宋体" w:hAnsi="宋体"/>
          <w:color w:val="000000" w:themeColor="text1"/>
          <w:kern w:val="0"/>
          <w:sz w:val="24"/>
          <w:szCs w:val="24"/>
          <w14:textFill>
            <w14:solidFill>
              <w14:schemeClr w14:val="tx1"/>
            </w14:solidFill>
          </w14:textFill>
        </w:rPr>
        <w:t>地下水流向为从南向北，</w:t>
      </w:r>
      <w:bookmarkEnd w:id="400"/>
      <w:r>
        <w:rPr>
          <w:rFonts w:ascii="宋体" w:hAnsi="宋体"/>
          <w:color w:val="000000" w:themeColor="text1"/>
          <w:kern w:val="0"/>
          <w:sz w:val="24"/>
          <w:szCs w:val="24"/>
          <w14:textFill>
            <w14:solidFill>
              <w14:schemeClr w14:val="tx1"/>
            </w14:solidFill>
          </w14:textFill>
        </w:rPr>
        <w:t>周边地下水监测井较少，本次引用的10口地下水监测井与项目区处于同一水文地质单元，地下水流场特征基本相同，项目区周边不存在地下水环境保护目标，监测时间、监测</w:t>
      </w:r>
      <w:r>
        <w:rPr>
          <w:rFonts w:hint="eastAsia" w:ascii="宋体" w:hAnsi="宋体"/>
          <w:color w:val="000000" w:themeColor="text1"/>
          <w:kern w:val="0"/>
          <w:sz w:val="24"/>
          <w:szCs w:val="24"/>
          <w14:textFill>
            <w14:solidFill>
              <w14:schemeClr w14:val="tx1"/>
            </w14:solidFill>
          </w14:textFill>
        </w:rPr>
        <w:t>点位及监测因子</w:t>
      </w:r>
      <w:r>
        <w:rPr>
          <w:rFonts w:ascii="宋体" w:hAnsi="宋体"/>
          <w:color w:val="000000" w:themeColor="text1"/>
          <w:kern w:val="0"/>
          <w:sz w:val="24"/>
          <w:szCs w:val="24"/>
          <w14:textFill>
            <w14:solidFill>
              <w14:schemeClr w14:val="tx1"/>
            </w14:solidFill>
          </w14:textFill>
        </w:rPr>
        <w:t>均可代表区域地下水环境质量现状，引用数据可行。</w:t>
      </w:r>
    </w:p>
    <w:p w14:paraId="2F5E8B92">
      <w:pPr>
        <w:spacing w:line="500" w:lineRule="exact"/>
        <w:jc w:val="center"/>
        <w:rPr>
          <w:rFonts w:hint="eastAsia" w:ascii="黑体" w:hAnsi="黑体" w:eastAsia="黑体"/>
          <w:color w:val="000000" w:themeColor="text1"/>
          <w:kern w:val="0"/>
          <w:szCs w:val="21"/>
          <w14:textFill>
            <w14:solidFill>
              <w14:schemeClr w14:val="tx1"/>
            </w14:solidFill>
          </w14:textFill>
        </w:rPr>
      </w:pPr>
      <w:r>
        <w:rPr>
          <w:rFonts w:ascii="黑体" w:hAnsi="黑体" w:eastAsia="黑体"/>
          <w:color w:val="000000" w:themeColor="text1"/>
          <w:kern w:val="0"/>
          <w:szCs w:val="21"/>
          <w14:textFill>
            <w14:solidFill>
              <w14:schemeClr w14:val="tx1"/>
            </w14:solidFill>
          </w14:textFill>
        </w:rPr>
        <w:t>表</w:t>
      </w:r>
      <w:r>
        <w:rPr>
          <w:rFonts w:hint="eastAsia" w:ascii="黑体" w:hAnsi="黑体" w:eastAsia="黑体"/>
          <w:color w:val="000000" w:themeColor="text1"/>
          <w:kern w:val="0"/>
          <w:szCs w:val="21"/>
          <w14:textFill>
            <w14:solidFill>
              <w14:schemeClr w14:val="tx1"/>
            </w14:solidFill>
          </w14:textFill>
        </w:rPr>
        <w:t xml:space="preserve">4.3-6 </w:t>
      </w:r>
      <w:r>
        <w:rPr>
          <w:rFonts w:ascii="黑体" w:hAnsi="黑体" w:eastAsia="黑体"/>
          <w:color w:val="000000" w:themeColor="text1"/>
          <w:kern w:val="0"/>
          <w:szCs w:val="21"/>
          <w14:textFill>
            <w14:solidFill>
              <w14:schemeClr w14:val="tx1"/>
            </w14:solidFill>
          </w14:textFill>
        </w:rPr>
        <w:t xml:space="preserve"> 地下水监测坐标一览表</w:t>
      </w:r>
    </w:p>
    <w:tbl>
      <w:tblPr>
        <w:tblStyle w:val="51"/>
        <w:tblW w:w="5000"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2694"/>
        <w:gridCol w:w="709"/>
        <w:gridCol w:w="424"/>
        <w:gridCol w:w="1406"/>
        <w:gridCol w:w="1376"/>
        <w:gridCol w:w="733"/>
        <w:gridCol w:w="733"/>
        <w:gridCol w:w="655"/>
      </w:tblGrid>
      <w:tr w14:paraId="59E400D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543" w:type="pct"/>
            <w:vMerge w:val="restart"/>
            <w:vAlign w:val="center"/>
          </w:tcPr>
          <w:p w14:paraId="591D3EAC">
            <w:pPr>
              <w:adjustRightInd w:val="0"/>
              <w:snapToGrid w:val="0"/>
              <w:spacing w:line="300" w:lineRule="exact"/>
              <w:jc w:val="center"/>
              <w:rPr>
                <w:rFonts w:hint="eastAsia" w:ascii="宋体" w:hAnsi="宋体"/>
                <w:color w:val="000000" w:themeColor="text1"/>
                <w:kern w:val="0"/>
                <w:szCs w:val="21"/>
                <w14:textFill>
                  <w14:solidFill>
                    <w14:schemeClr w14:val="tx1"/>
                  </w14:solidFill>
                </w14:textFill>
              </w:rPr>
            </w:pPr>
            <w:r>
              <w:rPr>
                <w:rFonts w:ascii="宋体" w:hAnsi="宋体"/>
                <w:color w:val="000000" w:themeColor="text1"/>
                <w:kern w:val="0"/>
                <w:szCs w:val="21"/>
                <w14:textFill>
                  <w14:solidFill>
                    <w14:schemeClr w14:val="tx1"/>
                  </w14:solidFill>
                </w14:textFill>
              </w:rPr>
              <w:t>数据来源</w:t>
            </w:r>
          </w:p>
        </w:tc>
        <w:tc>
          <w:tcPr>
            <w:tcW w:w="406" w:type="pct"/>
            <w:vMerge w:val="restart"/>
            <w:vAlign w:val="center"/>
          </w:tcPr>
          <w:p w14:paraId="51FA3622">
            <w:pPr>
              <w:adjustRightInd w:val="0"/>
              <w:snapToGrid w:val="0"/>
              <w:spacing w:line="300" w:lineRule="exact"/>
              <w:jc w:val="center"/>
              <w:rPr>
                <w:rFonts w:hint="eastAsia" w:ascii="宋体" w:hAnsi="宋体"/>
                <w:color w:val="000000" w:themeColor="text1"/>
                <w:kern w:val="0"/>
                <w:szCs w:val="21"/>
                <w14:textFill>
                  <w14:solidFill>
                    <w14:schemeClr w14:val="tx1"/>
                  </w14:solidFill>
                </w14:textFill>
              </w:rPr>
            </w:pPr>
            <w:r>
              <w:rPr>
                <w:rFonts w:ascii="宋体" w:hAnsi="宋体"/>
                <w:color w:val="000000" w:themeColor="text1"/>
                <w:kern w:val="0"/>
                <w:szCs w:val="21"/>
                <w14:textFill>
                  <w14:solidFill>
                    <w14:schemeClr w14:val="tx1"/>
                  </w14:solidFill>
                </w14:textFill>
              </w:rPr>
              <w:t>原报告编号</w:t>
            </w:r>
          </w:p>
        </w:tc>
        <w:tc>
          <w:tcPr>
            <w:tcW w:w="243" w:type="pct"/>
            <w:vMerge w:val="restart"/>
            <w:vAlign w:val="center"/>
          </w:tcPr>
          <w:p w14:paraId="06FB948A">
            <w:pPr>
              <w:adjustRightInd w:val="0"/>
              <w:snapToGrid w:val="0"/>
              <w:spacing w:line="300" w:lineRule="exact"/>
              <w:jc w:val="center"/>
              <w:rPr>
                <w:rFonts w:hint="eastAsia" w:ascii="宋体" w:hAnsi="宋体"/>
                <w:color w:val="000000" w:themeColor="text1"/>
                <w:kern w:val="0"/>
                <w:szCs w:val="21"/>
                <w14:textFill>
                  <w14:solidFill>
                    <w14:schemeClr w14:val="tx1"/>
                  </w14:solidFill>
                </w14:textFill>
              </w:rPr>
            </w:pPr>
            <w:r>
              <w:rPr>
                <w:rFonts w:ascii="宋体" w:hAnsi="宋体"/>
                <w:color w:val="000000" w:themeColor="text1"/>
                <w:kern w:val="0"/>
                <w:szCs w:val="21"/>
                <w14:textFill>
                  <w14:solidFill>
                    <w14:schemeClr w14:val="tx1"/>
                  </w14:solidFill>
                </w14:textFill>
              </w:rPr>
              <w:t>编号</w:t>
            </w:r>
          </w:p>
        </w:tc>
        <w:tc>
          <w:tcPr>
            <w:tcW w:w="1593" w:type="pct"/>
            <w:gridSpan w:val="2"/>
            <w:vAlign w:val="center"/>
          </w:tcPr>
          <w:p w14:paraId="7C7E31F8">
            <w:pPr>
              <w:adjustRightInd w:val="0"/>
              <w:snapToGrid w:val="0"/>
              <w:spacing w:line="300" w:lineRule="exact"/>
              <w:jc w:val="center"/>
              <w:rPr>
                <w:rFonts w:hint="eastAsia" w:ascii="宋体" w:hAnsi="宋体"/>
                <w:color w:val="000000" w:themeColor="text1"/>
                <w:kern w:val="0"/>
                <w:szCs w:val="21"/>
                <w14:textFill>
                  <w14:solidFill>
                    <w14:schemeClr w14:val="tx1"/>
                  </w14:solidFill>
                </w14:textFill>
              </w:rPr>
            </w:pPr>
            <w:r>
              <w:rPr>
                <w:rFonts w:ascii="宋体" w:hAnsi="宋体"/>
                <w:color w:val="000000" w:themeColor="text1"/>
                <w:kern w:val="0"/>
                <w:szCs w:val="21"/>
                <w14:textFill>
                  <w14:solidFill>
                    <w14:schemeClr w14:val="tx1"/>
                  </w14:solidFill>
                </w14:textFill>
              </w:rPr>
              <w:t>坐标</w:t>
            </w:r>
          </w:p>
        </w:tc>
        <w:tc>
          <w:tcPr>
            <w:tcW w:w="420" w:type="pct"/>
            <w:vMerge w:val="restart"/>
            <w:vAlign w:val="center"/>
          </w:tcPr>
          <w:p w14:paraId="104FEE02">
            <w:pPr>
              <w:adjustRightInd w:val="0"/>
              <w:snapToGrid w:val="0"/>
              <w:spacing w:line="300" w:lineRule="exact"/>
              <w:jc w:val="center"/>
              <w:rPr>
                <w:rFonts w:hint="eastAsia" w:ascii="宋体" w:hAnsi="宋体"/>
                <w:color w:val="000000" w:themeColor="text1"/>
                <w:kern w:val="0"/>
                <w:szCs w:val="21"/>
                <w14:textFill>
                  <w14:solidFill>
                    <w14:schemeClr w14:val="tx1"/>
                  </w14:solidFill>
                </w14:textFill>
              </w:rPr>
            </w:pPr>
            <w:r>
              <w:rPr>
                <w:rFonts w:ascii="宋体" w:hAnsi="宋体"/>
                <w:color w:val="000000" w:themeColor="text1"/>
                <w:kern w:val="0"/>
                <w:szCs w:val="21"/>
                <w14:textFill>
                  <w14:solidFill>
                    <w14:schemeClr w14:val="tx1"/>
                  </w14:solidFill>
                </w14:textFill>
              </w:rPr>
              <w:t>水位（m）</w:t>
            </w:r>
          </w:p>
        </w:tc>
        <w:tc>
          <w:tcPr>
            <w:tcW w:w="420" w:type="pct"/>
            <w:vMerge w:val="restart"/>
            <w:vAlign w:val="center"/>
          </w:tcPr>
          <w:p w14:paraId="656A8064">
            <w:pPr>
              <w:adjustRightInd w:val="0"/>
              <w:snapToGrid w:val="0"/>
              <w:spacing w:line="300" w:lineRule="exact"/>
              <w:jc w:val="center"/>
              <w:rPr>
                <w:rFonts w:hint="eastAsia" w:ascii="宋体" w:hAnsi="宋体"/>
                <w:color w:val="000000" w:themeColor="text1"/>
                <w:kern w:val="0"/>
                <w:szCs w:val="21"/>
                <w14:textFill>
                  <w14:solidFill>
                    <w14:schemeClr w14:val="tx1"/>
                  </w14:solidFill>
                </w14:textFill>
              </w:rPr>
            </w:pPr>
            <w:r>
              <w:rPr>
                <w:rFonts w:ascii="宋体" w:hAnsi="宋体"/>
                <w:color w:val="000000" w:themeColor="text1"/>
                <w:kern w:val="0"/>
                <w:szCs w:val="21"/>
                <w14:textFill>
                  <w14:solidFill>
                    <w14:schemeClr w14:val="tx1"/>
                  </w14:solidFill>
                </w14:textFill>
              </w:rPr>
              <w:t>水井功能</w:t>
            </w:r>
          </w:p>
        </w:tc>
        <w:tc>
          <w:tcPr>
            <w:tcW w:w="375" w:type="pct"/>
            <w:vMerge w:val="restart"/>
            <w:vAlign w:val="center"/>
          </w:tcPr>
          <w:p w14:paraId="41CC68F9">
            <w:pPr>
              <w:adjustRightInd w:val="0"/>
              <w:snapToGrid w:val="0"/>
              <w:spacing w:line="300" w:lineRule="exact"/>
              <w:jc w:val="center"/>
              <w:rPr>
                <w:rFonts w:hint="eastAsia" w:ascii="宋体" w:hAnsi="宋体"/>
                <w:color w:val="000000" w:themeColor="text1"/>
                <w:kern w:val="0"/>
                <w:szCs w:val="21"/>
                <w14:textFill>
                  <w14:solidFill>
                    <w14:schemeClr w14:val="tx1"/>
                  </w14:solidFill>
                </w14:textFill>
              </w:rPr>
            </w:pPr>
            <w:r>
              <w:rPr>
                <w:rFonts w:ascii="宋体" w:hAnsi="宋体"/>
                <w:color w:val="000000" w:themeColor="text1"/>
                <w:kern w:val="0"/>
                <w:szCs w:val="21"/>
                <w14:textFill>
                  <w14:solidFill>
                    <w14:schemeClr w14:val="tx1"/>
                  </w14:solidFill>
                </w14:textFill>
              </w:rPr>
              <w:t>层位</w:t>
            </w:r>
          </w:p>
        </w:tc>
      </w:tr>
      <w:tr w14:paraId="2BBE8F6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543" w:type="pct"/>
            <w:vMerge w:val="continue"/>
            <w:vAlign w:val="center"/>
          </w:tcPr>
          <w:p w14:paraId="1B00C632">
            <w:pPr>
              <w:adjustRightInd w:val="0"/>
              <w:snapToGrid w:val="0"/>
              <w:spacing w:line="300" w:lineRule="exact"/>
              <w:jc w:val="center"/>
              <w:rPr>
                <w:rFonts w:hint="eastAsia" w:ascii="宋体" w:hAnsi="宋体"/>
                <w:color w:val="000000" w:themeColor="text1"/>
                <w:kern w:val="0"/>
                <w:szCs w:val="21"/>
                <w14:textFill>
                  <w14:solidFill>
                    <w14:schemeClr w14:val="tx1"/>
                  </w14:solidFill>
                </w14:textFill>
              </w:rPr>
            </w:pPr>
          </w:p>
        </w:tc>
        <w:tc>
          <w:tcPr>
            <w:tcW w:w="406" w:type="pct"/>
            <w:vMerge w:val="continue"/>
            <w:vAlign w:val="center"/>
          </w:tcPr>
          <w:p w14:paraId="07C02557">
            <w:pPr>
              <w:adjustRightInd w:val="0"/>
              <w:snapToGrid w:val="0"/>
              <w:spacing w:line="300" w:lineRule="exact"/>
              <w:jc w:val="center"/>
              <w:rPr>
                <w:rFonts w:hint="eastAsia" w:ascii="宋体" w:hAnsi="宋体"/>
                <w:color w:val="000000" w:themeColor="text1"/>
                <w:kern w:val="0"/>
                <w:szCs w:val="21"/>
                <w14:textFill>
                  <w14:solidFill>
                    <w14:schemeClr w14:val="tx1"/>
                  </w14:solidFill>
                </w14:textFill>
              </w:rPr>
            </w:pPr>
          </w:p>
        </w:tc>
        <w:tc>
          <w:tcPr>
            <w:tcW w:w="243" w:type="pct"/>
            <w:vMerge w:val="continue"/>
            <w:vAlign w:val="center"/>
          </w:tcPr>
          <w:p w14:paraId="71651E6B">
            <w:pPr>
              <w:adjustRightInd w:val="0"/>
              <w:snapToGrid w:val="0"/>
              <w:spacing w:line="300" w:lineRule="exact"/>
              <w:jc w:val="center"/>
              <w:rPr>
                <w:rFonts w:hint="eastAsia" w:ascii="宋体" w:hAnsi="宋体"/>
                <w:color w:val="000000" w:themeColor="text1"/>
                <w:kern w:val="0"/>
                <w:szCs w:val="21"/>
                <w14:textFill>
                  <w14:solidFill>
                    <w14:schemeClr w14:val="tx1"/>
                  </w14:solidFill>
                </w14:textFill>
              </w:rPr>
            </w:pPr>
          </w:p>
        </w:tc>
        <w:tc>
          <w:tcPr>
            <w:tcW w:w="805" w:type="pct"/>
            <w:vAlign w:val="center"/>
          </w:tcPr>
          <w:p w14:paraId="4F4CE854">
            <w:pPr>
              <w:adjustRightInd w:val="0"/>
              <w:snapToGrid w:val="0"/>
              <w:spacing w:line="300" w:lineRule="exact"/>
              <w:jc w:val="center"/>
              <w:rPr>
                <w:rFonts w:hint="eastAsia" w:ascii="宋体" w:hAnsi="宋体"/>
                <w:color w:val="000000" w:themeColor="text1"/>
                <w:kern w:val="0"/>
                <w:szCs w:val="21"/>
                <w:lang w:val="it-IT"/>
                <w14:textFill>
                  <w14:solidFill>
                    <w14:schemeClr w14:val="tx1"/>
                  </w14:solidFill>
                </w14:textFill>
              </w:rPr>
            </w:pPr>
            <w:r>
              <w:rPr>
                <w:rFonts w:ascii="宋体" w:hAnsi="宋体"/>
                <w:color w:val="000000" w:themeColor="text1"/>
                <w:kern w:val="0"/>
                <w:szCs w:val="21"/>
                <w:lang w:val="it-IT"/>
                <w14:textFill>
                  <w14:solidFill>
                    <w14:schemeClr w14:val="tx1"/>
                  </w14:solidFill>
                </w14:textFill>
              </w:rPr>
              <w:t>北纬</w:t>
            </w:r>
          </w:p>
        </w:tc>
        <w:tc>
          <w:tcPr>
            <w:tcW w:w="788" w:type="pct"/>
            <w:vAlign w:val="center"/>
          </w:tcPr>
          <w:p w14:paraId="5479C94A">
            <w:pPr>
              <w:adjustRightInd w:val="0"/>
              <w:snapToGrid w:val="0"/>
              <w:spacing w:line="300" w:lineRule="exact"/>
              <w:jc w:val="center"/>
              <w:rPr>
                <w:rFonts w:hint="eastAsia" w:ascii="宋体" w:hAnsi="宋体"/>
                <w:color w:val="000000" w:themeColor="text1"/>
                <w:kern w:val="0"/>
                <w:szCs w:val="21"/>
                <w:lang w:val="it-IT"/>
                <w14:textFill>
                  <w14:solidFill>
                    <w14:schemeClr w14:val="tx1"/>
                  </w14:solidFill>
                </w14:textFill>
              </w:rPr>
            </w:pPr>
            <w:r>
              <w:rPr>
                <w:rFonts w:ascii="宋体" w:hAnsi="宋体"/>
                <w:color w:val="000000" w:themeColor="text1"/>
                <w:kern w:val="0"/>
                <w:szCs w:val="21"/>
                <w:lang w:val="it-IT"/>
                <w14:textFill>
                  <w14:solidFill>
                    <w14:schemeClr w14:val="tx1"/>
                  </w14:solidFill>
                </w14:textFill>
              </w:rPr>
              <w:t>东经</w:t>
            </w:r>
          </w:p>
        </w:tc>
        <w:tc>
          <w:tcPr>
            <w:tcW w:w="420" w:type="pct"/>
            <w:vMerge w:val="continue"/>
            <w:vAlign w:val="center"/>
          </w:tcPr>
          <w:p w14:paraId="5F2BEF80">
            <w:pPr>
              <w:adjustRightInd w:val="0"/>
              <w:snapToGrid w:val="0"/>
              <w:spacing w:line="300" w:lineRule="exact"/>
              <w:jc w:val="center"/>
              <w:rPr>
                <w:rFonts w:hint="eastAsia" w:ascii="宋体" w:hAnsi="宋体"/>
                <w:color w:val="000000" w:themeColor="text1"/>
                <w:kern w:val="0"/>
                <w:szCs w:val="21"/>
                <w14:textFill>
                  <w14:solidFill>
                    <w14:schemeClr w14:val="tx1"/>
                  </w14:solidFill>
                </w14:textFill>
              </w:rPr>
            </w:pPr>
          </w:p>
        </w:tc>
        <w:tc>
          <w:tcPr>
            <w:tcW w:w="420" w:type="pct"/>
            <w:vMerge w:val="continue"/>
            <w:vAlign w:val="center"/>
          </w:tcPr>
          <w:p w14:paraId="338FF69D">
            <w:pPr>
              <w:adjustRightInd w:val="0"/>
              <w:snapToGrid w:val="0"/>
              <w:spacing w:line="300" w:lineRule="exact"/>
              <w:jc w:val="center"/>
              <w:rPr>
                <w:rFonts w:hint="eastAsia" w:ascii="宋体" w:hAnsi="宋体"/>
                <w:color w:val="000000" w:themeColor="text1"/>
                <w:kern w:val="0"/>
                <w:szCs w:val="21"/>
                <w14:textFill>
                  <w14:solidFill>
                    <w14:schemeClr w14:val="tx1"/>
                  </w14:solidFill>
                </w14:textFill>
              </w:rPr>
            </w:pPr>
          </w:p>
        </w:tc>
        <w:tc>
          <w:tcPr>
            <w:tcW w:w="375" w:type="pct"/>
            <w:vMerge w:val="continue"/>
            <w:vAlign w:val="center"/>
          </w:tcPr>
          <w:p w14:paraId="34F4BB34">
            <w:pPr>
              <w:adjustRightInd w:val="0"/>
              <w:snapToGrid w:val="0"/>
              <w:spacing w:line="300" w:lineRule="exact"/>
              <w:jc w:val="center"/>
              <w:rPr>
                <w:rFonts w:hint="eastAsia" w:ascii="宋体" w:hAnsi="宋体"/>
                <w:color w:val="000000" w:themeColor="text1"/>
                <w:kern w:val="0"/>
                <w:szCs w:val="21"/>
                <w14:textFill>
                  <w14:solidFill>
                    <w14:schemeClr w14:val="tx1"/>
                  </w14:solidFill>
                </w14:textFill>
              </w:rPr>
            </w:pPr>
          </w:p>
        </w:tc>
      </w:tr>
      <w:tr w14:paraId="5A602B6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543" w:type="pct"/>
            <w:vMerge w:val="restart"/>
            <w:vAlign w:val="center"/>
          </w:tcPr>
          <w:p w14:paraId="488F861B">
            <w:pPr>
              <w:adjustRightInd w:val="0"/>
              <w:snapToGrid w:val="0"/>
              <w:spacing w:line="300" w:lineRule="exact"/>
              <w:jc w:val="center"/>
              <w:rPr>
                <w:rFonts w:hint="eastAsia" w:ascii="宋体" w:hAnsi="宋体"/>
                <w:color w:val="000000" w:themeColor="text1"/>
                <w:kern w:val="0"/>
                <w:szCs w:val="21"/>
                <w:lang w:val="it-IT"/>
                <w14:textFill>
                  <w14:solidFill>
                    <w14:schemeClr w14:val="tx1"/>
                  </w14:solidFill>
                </w14:textFill>
              </w:rPr>
            </w:pPr>
            <w:r>
              <w:rPr>
                <w:rFonts w:ascii="宋体" w:hAnsi="宋体"/>
                <w:color w:val="000000" w:themeColor="text1"/>
                <w:kern w:val="0"/>
                <w:szCs w:val="21"/>
                <w:lang w:val="it-IT"/>
                <w14:textFill>
                  <w14:solidFill>
                    <w14:schemeClr w14:val="tx1"/>
                  </w14:solidFill>
                </w14:textFill>
              </w:rPr>
              <w:t>吉木萨尔凹陷芦草沟组页岩油J10054井区JHW69-11等13口井开发建设工程环境影响报告书</w:t>
            </w:r>
          </w:p>
        </w:tc>
        <w:tc>
          <w:tcPr>
            <w:tcW w:w="406" w:type="pct"/>
            <w:vAlign w:val="center"/>
          </w:tcPr>
          <w:p w14:paraId="45189C0A">
            <w:pPr>
              <w:adjustRightInd w:val="0"/>
              <w:snapToGrid w:val="0"/>
              <w:spacing w:line="300" w:lineRule="exact"/>
              <w:jc w:val="center"/>
              <w:rPr>
                <w:rFonts w:hint="eastAsia" w:ascii="宋体" w:hAnsi="宋体"/>
                <w:color w:val="000000" w:themeColor="text1"/>
                <w:kern w:val="0"/>
                <w:szCs w:val="21"/>
                <w:lang w:val="it-IT"/>
                <w14:textFill>
                  <w14:solidFill>
                    <w14:schemeClr w14:val="tx1"/>
                  </w14:solidFill>
                </w14:textFill>
              </w:rPr>
            </w:pPr>
            <w:r>
              <w:rPr>
                <w:rFonts w:ascii="宋体" w:hAnsi="宋体"/>
                <w:color w:val="000000" w:themeColor="text1"/>
                <w:kern w:val="0"/>
                <w:szCs w:val="21"/>
                <w:lang w:val="it-IT"/>
                <w14:textFill>
                  <w14:solidFill>
                    <w14:schemeClr w14:val="tx1"/>
                  </w14:solidFill>
                </w14:textFill>
              </w:rPr>
              <w:t>W1</w:t>
            </w:r>
          </w:p>
        </w:tc>
        <w:tc>
          <w:tcPr>
            <w:tcW w:w="243" w:type="pct"/>
            <w:vAlign w:val="center"/>
          </w:tcPr>
          <w:p w14:paraId="5C270A7E">
            <w:pPr>
              <w:adjustRightInd w:val="0"/>
              <w:snapToGrid w:val="0"/>
              <w:spacing w:line="300" w:lineRule="exact"/>
              <w:jc w:val="center"/>
              <w:rPr>
                <w:rFonts w:hint="eastAsia" w:ascii="宋体" w:hAnsi="宋体"/>
                <w:color w:val="000000" w:themeColor="text1"/>
                <w:kern w:val="0"/>
                <w:szCs w:val="21"/>
                <w:lang w:val="it-IT"/>
                <w14:textFill>
                  <w14:solidFill>
                    <w14:schemeClr w14:val="tx1"/>
                  </w14:solidFill>
                </w14:textFill>
              </w:rPr>
            </w:pPr>
            <w:r>
              <w:rPr>
                <w:rFonts w:ascii="宋体" w:hAnsi="宋体"/>
                <w:color w:val="000000" w:themeColor="text1"/>
                <w:kern w:val="0"/>
                <w:szCs w:val="21"/>
                <w:lang w:val="it-IT"/>
                <w14:textFill>
                  <w14:solidFill>
                    <w14:schemeClr w14:val="tx1"/>
                  </w14:solidFill>
                </w14:textFill>
              </w:rPr>
              <w:t>W1</w:t>
            </w:r>
          </w:p>
        </w:tc>
        <w:tc>
          <w:tcPr>
            <w:tcW w:w="805" w:type="pct"/>
            <w:vAlign w:val="center"/>
          </w:tcPr>
          <w:p w14:paraId="60CA5BF6">
            <w:pPr>
              <w:adjustRightInd w:val="0"/>
              <w:snapToGrid w:val="0"/>
              <w:spacing w:line="300" w:lineRule="exact"/>
              <w:jc w:val="center"/>
              <w:rPr>
                <w:rFonts w:hint="eastAsia" w:ascii="宋体" w:hAnsi="宋体"/>
                <w:color w:val="000000" w:themeColor="text1"/>
                <w:kern w:val="0"/>
                <w:szCs w:val="21"/>
                <w14:textFill>
                  <w14:solidFill>
                    <w14:schemeClr w14:val="tx1"/>
                  </w14:solidFill>
                </w14:textFill>
              </w:rPr>
            </w:pPr>
          </w:p>
        </w:tc>
        <w:tc>
          <w:tcPr>
            <w:tcW w:w="788" w:type="pct"/>
            <w:vAlign w:val="center"/>
          </w:tcPr>
          <w:p w14:paraId="4E36E48D">
            <w:pPr>
              <w:adjustRightInd w:val="0"/>
              <w:snapToGrid w:val="0"/>
              <w:spacing w:line="300" w:lineRule="exact"/>
              <w:jc w:val="center"/>
              <w:rPr>
                <w:rFonts w:hint="eastAsia" w:ascii="宋体" w:hAnsi="宋体"/>
                <w:color w:val="000000" w:themeColor="text1"/>
                <w:kern w:val="0"/>
                <w:szCs w:val="21"/>
                <w14:textFill>
                  <w14:solidFill>
                    <w14:schemeClr w14:val="tx1"/>
                  </w14:solidFill>
                </w14:textFill>
              </w:rPr>
            </w:pPr>
          </w:p>
        </w:tc>
        <w:tc>
          <w:tcPr>
            <w:tcW w:w="420" w:type="pct"/>
            <w:vAlign w:val="center"/>
          </w:tcPr>
          <w:p w14:paraId="2AEADC8D">
            <w:pPr>
              <w:adjustRightInd w:val="0"/>
              <w:snapToGrid w:val="0"/>
              <w:spacing w:line="300" w:lineRule="exact"/>
              <w:jc w:val="center"/>
              <w:rPr>
                <w:rFonts w:hint="eastAsia" w:ascii="宋体" w:hAnsi="宋体"/>
                <w:color w:val="000000" w:themeColor="text1"/>
                <w:kern w:val="0"/>
                <w:szCs w:val="21"/>
                <w14:textFill>
                  <w14:solidFill>
                    <w14:schemeClr w14:val="tx1"/>
                  </w14:solidFill>
                </w14:textFill>
              </w:rPr>
            </w:pPr>
            <w:r>
              <w:rPr>
                <w:rFonts w:ascii="宋体" w:hAnsi="宋体"/>
                <w:color w:val="000000" w:themeColor="text1"/>
                <w:kern w:val="0"/>
                <w:szCs w:val="21"/>
                <w14:textFill>
                  <w14:solidFill>
                    <w14:schemeClr w14:val="tx1"/>
                  </w14:solidFill>
                </w14:textFill>
              </w:rPr>
              <w:t>24</w:t>
            </w:r>
          </w:p>
        </w:tc>
        <w:tc>
          <w:tcPr>
            <w:tcW w:w="420" w:type="pct"/>
            <w:vMerge w:val="restart"/>
            <w:vAlign w:val="center"/>
          </w:tcPr>
          <w:p w14:paraId="0F1BD336">
            <w:pPr>
              <w:adjustRightInd w:val="0"/>
              <w:snapToGrid w:val="0"/>
              <w:spacing w:line="300" w:lineRule="exact"/>
              <w:jc w:val="center"/>
              <w:rPr>
                <w:rFonts w:hint="eastAsia" w:ascii="宋体" w:hAnsi="宋体"/>
                <w:color w:val="000000" w:themeColor="text1"/>
                <w:kern w:val="0"/>
                <w:szCs w:val="21"/>
                <w14:textFill>
                  <w14:solidFill>
                    <w14:schemeClr w14:val="tx1"/>
                  </w14:solidFill>
                </w14:textFill>
              </w:rPr>
            </w:pPr>
            <w:r>
              <w:rPr>
                <w:rFonts w:ascii="宋体" w:hAnsi="宋体"/>
                <w:color w:val="000000" w:themeColor="text1"/>
                <w:kern w:val="0"/>
                <w:szCs w:val="21"/>
                <w14:textFill>
                  <w14:solidFill>
                    <w14:schemeClr w14:val="tx1"/>
                  </w14:solidFill>
                </w14:textFill>
              </w:rPr>
              <w:t>农田灌溉</w:t>
            </w:r>
          </w:p>
        </w:tc>
        <w:tc>
          <w:tcPr>
            <w:tcW w:w="375" w:type="pct"/>
            <w:vMerge w:val="restart"/>
            <w:vAlign w:val="center"/>
          </w:tcPr>
          <w:p w14:paraId="398264C2">
            <w:pPr>
              <w:adjustRightInd w:val="0"/>
              <w:snapToGrid w:val="0"/>
              <w:spacing w:line="300" w:lineRule="exact"/>
              <w:jc w:val="center"/>
              <w:rPr>
                <w:rFonts w:hint="eastAsia" w:ascii="宋体" w:hAnsi="宋体"/>
                <w:color w:val="000000" w:themeColor="text1"/>
                <w:kern w:val="0"/>
                <w:szCs w:val="21"/>
                <w14:textFill>
                  <w14:solidFill>
                    <w14:schemeClr w14:val="tx1"/>
                  </w14:solidFill>
                </w14:textFill>
              </w:rPr>
            </w:pPr>
            <w:r>
              <w:rPr>
                <w:rFonts w:ascii="宋体" w:hAnsi="宋体"/>
                <w:color w:val="000000" w:themeColor="text1"/>
                <w:kern w:val="0"/>
                <w:szCs w:val="21"/>
                <w14:textFill>
                  <w14:solidFill>
                    <w14:schemeClr w14:val="tx1"/>
                  </w14:solidFill>
                </w14:textFill>
              </w:rPr>
              <w:t>潜水层</w:t>
            </w:r>
          </w:p>
        </w:tc>
      </w:tr>
      <w:tr w14:paraId="5E8129D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543" w:type="pct"/>
            <w:vMerge w:val="continue"/>
            <w:vAlign w:val="center"/>
          </w:tcPr>
          <w:p w14:paraId="366E392E">
            <w:pPr>
              <w:adjustRightInd w:val="0"/>
              <w:snapToGrid w:val="0"/>
              <w:spacing w:line="300" w:lineRule="exact"/>
              <w:jc w:val="center"/>
              <w:rPr>
                <w:rFonts w:hint="eastAsia" w:ascii="宋体" w:hAnsi="宋体"/>
                <w:color w:val="000000" w:themeColor="text1"/>
                <w:kern w:val="0"/>
                <w:szCs w:val="21"/>
                <w:lang w:val="it-IT"/>
                <w14:textFill>
                  <w14:solidFill>
                    <w14:schemeClr w14:val="tx1"/>
                  </w14:solidFill>
                </w14:textFill>
              </w:rPr>
            </w:pPr>
          </w:p>
        </w:tc>
        <w:tc>
          <w:tcPr>
            <w:tcW w:w="406" w:type="pct"/>
            <w:vAlign w:val="center"/>
          </w:tcPr>
          <w:p w14:paraId="3D9471FA">
            <w:pPr>
              <w:adjustRightInd w:val="0"/>
              <w:snapToGrid w:val="0"/>
              <w:spacing w:line="300" w:lineRule="exact"/>
              <w:jc w:val="center"/>
              <w:rPr>
                <w:rFonts w:hint="eastAsia" w:ascii="宋体" w:hAnsi="宋体"/>
                <w:color w:val="000000" w:themeColor="text1"/>
                <w:kern w:val="0"/>
                <w:szCs w:val="21"/>
                <w:lang w:val="it-IT"/>
                <w14:textFill>
                  <w14:solidFill>
                    <w14:schemeClr w14:val="tx1"/>
                  </w14:solidFill>
                </w14:textFill>
              </w:rPr>
            </w:pPr>
            <w:r>
              <w:rPr>
                <w:rFonts w:ascii="宋体" w:hAnsi="宋体"/>
                <w:color w:val="000000" w:themeColor="text1"/>
                <w:kern w:val="0"/>
                <w:szCs w:val="21"/>
                <w:lang w:val="it-IT"/>
                <w14:textFill>
                  <w14:solidFill>
                    <w14:schemeClr w14:val="tx1"/>
                  </w14:solidFill>
                </w14:textFill>
              </w:rPr>
              <w:t>W2</w:t>
            </w:r>
          </w:p>
        </w:tc>
        <w:tc>
          <w:tcPr>
            <w:tcW w:w="243" w:type="pct"/>
            <w:vAlign w:val="center"/>
          </w:tcPr>
          <w:p w14:paraId="02E55C9D">
            <w:pPr>
              <w:adjustRightInd w:val="0"/>
              <w:snapToGrid w:val="0"/>
              <w:spacing w:line="300" w:lineRule="exact"/>
              <w:jc w:val="center"/>
              <w:rPr>
                <w:rFonts w:hint="eastAsia" w:ascii="宋体" w:hAnsi="宋体"/>
                <w:color w:val="000000" w:themeColor="text1"/>
                <w:kern w:val="0"/>
                <w:szCs w:val="21"/>
                <w:lang w:val="it-IT"/>
                <w14:textFill>
                  <w14:solidFill>
                    <w14:schemeClr w14:val="tx1"/>
                  </w14:solidFill>
                </w14:textFill>
              </w:rPr>
            </w:pPr>
            <w:r>
              <w:rPr>
                <w:rFonts w:ascii="宋体" w:hAnsi="宋体"/>
                <w:color w:val="000000" w:themeColor="text1"/>
                <w:kern w:val="0"/>
                <w:szCs w:val="21"/>
                <w:lang w:val="it-IT"/>
                <w14:textFill>
                  <w14:solidFill>
                    <w14:schemeClr w14:val="tx1"/>
                  </w14:solidFill>
                </w14:textFill>
              </w:rPr>
              <w:t>W2</w:t>
            </w:r>
          </w:p>
        </w:tc>
        <w:tc>
          <w:tcPr>
            <w:tcW w:w="805" w:type="pct"/>
            <w:vAlign w:val="center"/>
          </w:tcPr>
          <w:p w14:paraId="341EAFE1">
            <w:pPr>
              <w:adjustRightInd w:val="0"/>
              <w:snapToGrid w:val="0"/>
              <w:spacing w:line="300" w:lineRule="exact"/>
              <w:jc w:val="center"/>
              <w:rPr>
                <w:rFonts w:hint="eastAsia" w:ascii="宋体" w:hAnsi="宋体"/>
                <w:color w:val="000000" w:themeColor="text1"/>
                <w:kern w:val="0"/>
                <w:szCs w:val="21"/>
                <w14:textFill>
                  <w14:solidFill>
                    <w14:schemeClr w14:val="tx1"/>
                  </w14:solidFill>
                </w14:textFill>
              </w:rPr>
            </w:pPr>
          </w:p>
        </w:tc>
        <w:tc>
          <w:tcPr>
            <w:tcW w:w="788" w:type="pct"/>
            <w:vAlign w:val="center"/>
          </w:tcPr>
          <w:p w14:paraId="184E111A">
            <w:pPr>
              <w:adjustRightInd w:val="0"/>
              <w:snapToGrid w:val="0"/>
              <w:spacing w:line="300" w:lineRule="exact"/>
              <w:jc w:val="center"/>
              <w:rPr>
                <w:rFonts w:hint="eastAsia" w:ascii="宋体" w:hAnsi="宋体"/>
                <w:color w:val="000000" w:themeColor="text1"/>
                <w:kern w:val="0"/>
                <w:szCs w:val="21"/>
                <w14:textFill>
                  <w14:solidFill>
                    <w14:schemeClr w14:val="tx1"/>
                  </w14:solidFill>
                </w14:textFill>
              </w:rPr>
            </w:pPr>
          </w:p>
        </w:tc>
        <w:tc>
          <w:tcPr>
            <w:tcW w:w="420" w:type="pct"/>
            <w:vAlign w:val="center"/>
          </w:tcPr>
          <w:p w14:paraId="05F2CC12">
            <w:pPr>
              <w:adjustRightInd w:val="0"/>
              <w:snapToGrid w:val="0"/>
              <w:spacing w:line="300" w:lineRule="exact"/>
              <w:jc w:val="center"/>
              <w:rPr>
                <w:rFonts w:hint="eastAsia" w:ascii="宋体" w:hAnsi="宋体"/>
                <w:color w:val="000000" w:themeColor="text1"/>
                <w:kern w:val="0"/>
                <w:szCs w:val="21"/>
                <w14:textFill>
                  <w14:solidFill>
                    <w14:schemeClr w14:val="tx1"/>
                  </w14:solidFill>
                </w14:textFill>
              </w:rPr>
            </w:pPr>
            <w:r>
              <w:rPr>
                <w:rFonts w:ascii="宋体" w:hAnsi="宋体"/>
                <w:color w:val="000000" w:themeColor="text1"/>
                <w:kern w:val="0"/>
                <w:szCs w:val="21"/>
                <w14:textFill>
                  <w14:solidFill>
                    <w14:schemeClr w14:val="tx1"/>
                  </w14:solidFill>
                </w14:textFill>
              </w:rPr>
              <w:t>27</w:t>
            </w:r>
          </w:p>
        </w:tc>
        <w:tc>
          <w:tcPr>
            <w:tcW w:w="420" w:type="pct"/>
            <w:vMerge w:val="continue"/>
            <w:vAlign w:val="center"/>
          </w:tcPr>
          <w:p w14:paraId="4E8B75CD">
            <w:pPr>
              <w:adjustRightInd w:val="0"/>
              <w:snapToGrid w:val="0"/>
              <w:spacing w:line="300" w:lineRule="exact"/>
              <w:jc w:val="center"/>
              <w:rPr>
                <w:rFonts w:hint="eastAsia" w:ascii="宋体" w:hAnsi="宋体"/>
                <w:color w:val="000000" w:themeColor="text1"/>
                <w:kern w:val="0"/>
                <w:szCs w:val="21"/>
                <w14:textFill>
                  <w14:solidFill>
                    <w14:schemeClr w14:val="tx1"/>
                  </w14:solidFill>
                </w14:textFill>
              </w:rPr>
            </w:pPr>
          </w:p>
        </w:tc>
        <w:tc>
          <w:tcPr>
            <w:tcW w:w="375" w:type="pct"/>
            <w:vMerge w:val="continue"/>
            <w:vAlign w:val="center"/>
          </w:tcPr>
          <w:p w14:paraId="57331A34">
            <w:pPr>
              <w:adjustRightInd w:val="0"/>
              <w:snapToGrid w:val="0"/>
              <w:spacing w:line="300" w:lineRule="exact"/>
              <w:jc w:val="center"/>
              <w:rPr>
                <w:rFonts w:hint="eastAsia" w:ascii="宋体" w:hAnsi="宋体"/>
                <w:color w:val="000000" w:themeColor="text1"/>
                <w:kern w:val="0"/>
                <w:szCs w:val="21"/>
                <w14:textFill>
                  <w14:solidFill>
                    <w14:schemeClr w14:val="tx1"/>
                  </w14:solidFill>
                </w14:textFill>
              </w:rPr>
            </w:pPr>
          </w:p>
        </w:tc>
      </w:tr>
      <w:tr w14:paraId="59DF233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543" w:type="pct"/>
            <w:vMerge w:val="continue"/>
            <w:vAlign w:val="center"/>
          </w:tcPr>
          <w:p w14:paraId="1C2ED4A1">
            <w:pPr>
              <w:adjustRightInd w:val="0"/>
              <w:snapToGrid w:val="0"/>
              <w:spacing w:line="300" w:lineRule="exact"/>
              <w:jc w:val="center"/>
              <w:rPr>
                <w:rFonts w:hint="eastAsia" w:ascii="宋体" w:hAnsi="宋体"/>
                <w:color w:val="000000" w:themeColor="text1"/>
                <w:kern w:val="0"/>
                <w:szCs w:val="21"/>
                <w:lang w:val="it-IT"/>
                <w14:textFill>
                  <w14:solidFill>
                    <w14:schemeClr w14:val="tx1"/>
                  </w14:solidFill>
                </w14:textFill>
              </w:rPr>
            </w:pPr>
          </w:p>
        </w:tc>
        <w:tc>
          <w:tcPr>
            <w:tcW w:w="406" w:type="pct"/>
            <w:vAlign w:val="center"/>
          </w:tcPr>
          <w:p w14:paraId="4B9FEED1">
            <w:pPr>
              <w:adjustRightInd w:val="0"/>
              <w:snapToGrid w:val="0"/>
              <w:spacing w:line="300" w:lineRule="exact"/>
              <w:jc w:val="center"/>
              <w:rPr>
                <w:rFonts w:hint="eastAsia" w:ascii="宋体" w:hAnsi="宋体"/>
                <w:color w:val="000000" w:themeColor="text1"/>
                <w:kern w:val="0"/>
                <w:szCs w:val="21"/>
                <w:lang w:val="it-IT"/>
                <w14:textFill>
                  <w14:solidFill>
                    <w14:schemeClr w14:val="tx1"/>
                  </w14:solidFill>
                </w14:textFill>
              </w:rPr>
            </w:pPr>
            <w:r>
              <w:rPr>
                <w:rFonts w:ascii="宋体" w:hAnsi="宋体"/>
                <w:color w:val="000000" w:themeColor="text1"/>
                <w:kern w:val="0"/>
                <w:szCs w:val="21"/>
                <w:lang w:val="it-IT"/>
                <w14:textFill>
                  <w14:solidFill>
                    <w14:schemeClr w14:val="tx1"/>
                  </w14:solidFill>
                </w14:textFill>
              </w:rPr>
              <w:t>W3</w:t>
            </w:r>
          </w:p>
        </w:tc>
        <w:tc>
          <w:tcPr>
            <w:tcW w:w="243" w:type="pct"/>
            <w:vAlign w:val="center"/>
          </w:tcPr>
          <w:p w14:paraId="5199A8F5">
            <w:pPr>
              <w:adjustRightInd w:val="0"/>
              <w:snapToGrid w:val="0"/>
              <w:spacing w:line="300" w:lineRule="exact"/>
              <w:jc w:val="center"/>
              <w:rPr>
                <w:rFonts w:hint="eastAsia" w:ascii="宋体" w:hAnsi="宋体"/>
                <w:color w:val="000000" w:themeColor="text1"/>
                <w:kern w:val="0"/>
                <w:szCs w:val="21"/>
                <w:lang w:val="it-IT"/>
                <w14:textFill>
                  <w14:solidFill>
                    <w14:schemeClr w14:val="tx1"/>
                  </w14:solidFill>
                </w14:textFill>
              </w:rPr>
            </w:pPr>
            <w:r>
              <w:rPr>
                <w:rFonts w:ascii="宋体" w:hAnsi="宋体"/>
                <w:color w:val="000000" w:themeColor="text1"/>
                <w:kern w:val="0"/>
                <w:szCs w:val="21"/>
                <w:lang w:val="it-IT"/>
                <w14:textFill>
                  <w14:solidFill>
                    <w14:schemeClr w14:val="tx1"/>
                  </w14:solidFill>
                </w14:textFill>
              </w:rPr>
              <w:t>W3</w:t>
            </w:r>
          </w:p>
        </w:tc>
        <w:tc>
          <w:tcPr>
            <w:tcW w:w="805" w:type="pct"/>
            <w:vAlign w:val="center"/>
          </w:tcPr>
          <w:p w14:paraId="0EF3A177">
            <w:pPr>
              <w:adjustRightInd w:val="0"/>
              <w:snapToGrid w:val="0"/>
              <w:spacing w:line="300" w:lineRule="exact"/>
              <w:jc w:val="center"/>
              <w:rPr>
                <w:rFonts w:hint="eastAsia" w:ascii="宋体" w:hAnsi="宋体"/>
                <w:color w:val="000000" w:themeColor="text1"/>
                <w:kern w:val="0"/>
                <w:szCs w:val="21"/>
                <w14:textFill>
                  <w14:solidFill>
                    <w14:schemeClr w14:val="tx1"/>
                  </w14:solidFill>
                </w14:textFill>
              </w:rPr>
            </w:pPr>
          </w:p>
        </w:tc>
        <w:tc>
          <w:tcPr>
            <w:tcW w:w="788" w:type="pct"/>
            <w:vAlign w:val="center"/>
          </w:tcPr>
          <w:p w14:paraId="3385F945">
            <w:pPr>
              <w:adjustRightInd w:val="0"/>
              <w:snapToGrid w:val="0"/>
              <w:spacing w:line="300" w:lineRule="exact"/>
              <w:jc w:val="center"/>
              <w:rPr>
                <w:rFonts w:hint="eastAsia" w:ascii="宋体" w:hAnsi="宋体"/>
                <w:color w:val="000000" w:themeColor="text1"/>
                <w:kern w:val="0"/>
                <w:szCs w:val="21"/>
                <w14:textFill>
                  <w14:solidFill>
                    <w14:schemeClr w14:val="tx1"/>
                  </w14:solidFill>
                </w14:textFill>
              </w:rPr>
            </w:pPr>
          </w:p>
        </w:tc>
        <w:tc>
          <w:tcPr>
            <w:tcW w:w="420" w:type="pct"/>
            <w:vAlign w:val="center"/>
          </w:tcPr>
          <w:p w14:paraId="35B897E5">
            <w:pPr>
              <w:adjustRightInd w:val="0"/>
              <w:snapToGrid w:val="0"/>
              <w:spacing w:line="300" w:lineRule="exact"/>
              <w:jc w:val="center"/>
              <w:rPr>
                <w:rFonts w:hint="eastAsia" w:ascii="宋体" w:hAnsi="宋体"/>
                <w:color w:val="000000" w:themeColor="text1"/>
                <w:kern w:val="0"/>
                <w:szCs w:val="21"/>
                <w14:textFill>
                  <w14:solidFill>
                    <w14:schemeClr w14:val="tx1"/>
                  </w14:solidFill>
                </w14:textFill>
              </w:rPr>
            </w:pPr>
            <w:r>
              <w:rPr>
                <w:rFonts w:ascii="宋体" w:hAnsi="宋体"/>
                <w:color w:val="000000" w:themeColor="text1"/>
                <w:kern w:val="0"/>
                <w:szCs w:val="21"/>
                <w14:textFill>
                  <w14:solidFill>
                    <w14:schemeClr w14:val="tx1"/>
                  </w14:solidFill>
                </w14:textFill>
              </w:rPr>
              <w:t>25</w:t>
            </w:r>
          </w:p>
        </w:tc>
        <w:tc>
          <w:tcPr>
            <w:tcW w:w="420" w:type="pct"/>
            <w:vMerge w:val="continue"/>
            <w:vAlign w:val="center"/>
          </w:tcPr>
          <w:p w14:paraId="05A7FF24">
            <w:pPr>
              <w:adjustRightInd w:val="0"/>
              <w:snapToGrid w:val="0"/>
              <w:spacing w:line="300" w:lineRule="exact"/>
              <w:jc w:val="center"/>
              <w:rPr>
                <w:rFonts w:hint="eastAsia" w:ascii="宋体" w:hAnsi="宋体"/>
                <w:color w:val="000000" w:themeColor="text1"/>
                <w:kern w:val="0"/>
                <w:szCs w:val="21"/>
                <w14:textFill>
                  <w14:solidFill>
                    <w14:schemeClr w14:val="tx1"/>
                  </w14:solidFill>
                </w14:textFill>
              </w:rPr>
            </w:pPr>
          </w:p>
        </w:tc>
        <w:tc>
          <w:tcPr>
            <w:tcW w:w="375" w:type="pct"/>
            <w:vMerge w:val="continue"/>
            <w:vAlign w:val="center"/>
          </w:tcPr>
          <w:p w14:paraId="18F3BE7B">
            <w:pPr>
              <w:adjustRightInd w:val="0"/>
              <w:snapToGrid w:val="0"/>
              <w:spacing w:line="300" w:lineRule="exact"/>
              <w:jc w:val="center"/>
              <w:rPr>
                <w:rFonts w:hint="eastAsia" w:ascii="宋体" w:hAnsi="宋体"/>
                <w:color w:val="000000" w:themeColor="text1"/>
                <w:kern w:val="0"/>
                <w:szCs w:val="21"/>
                <w14:textFill>
                  <w14:solidFill>
                    <w14:schemeClr w14:val="tx1"/>
                  </w14:solidFill>
                </w14:textFill>
              </w:rPr>
            </w:pPr>
          </w:p>
        </w:tc>
      </w:tr>
      <w:tr w14:paraId="49DB60E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543" w:type="pct"/>
            <w:vMerge w:val="continue"/>
            <w:vAlign w:val="center"/>
          </w:tcPr>
          <w:p w14:paraId="6056C71A">
            <w:pPr>
              <w:adjustRightInd w:val="0"/>
              <w:snapToGrid w:val="0"/>
              <w:spacing w:line="300" w:lineRule="exact"/>
              <w:jc w:val="center"/>
              <w:rPr>
                <w:rFonts w:hint="eastAsia" w:ascii="宋体" w:hAnsi="宋体"/>
                <w:color w:val="000000" w:themeColor="text1"/>
                <w:kern w:val="0"/>
                <w:szCs w:val="21"/>
                <w:lang w:val="it-IT"/>
                <w14:textFill>
                  <w14:solidFill>
                    <w14:schemeClr w14:val="tx1"/>
                  </w14:solidFill>
                </w14:textFill>
              </w:rPr>
            </w:pPr>
          </w:p>
        </w:tc>
        <w:tc>
          <w:tcPr>
            <w:tcW w:w="406" w:type="pct"/>
            <w:vAlign w:val="center"/>
          </w:tcPr>
          <w:p w14:paraId="7C210D47">
            <w:pPr>
              <w:adjustRightInd w:val="0"/>
              <w:snapToGrid w:val="0"/>
              <w:spacing w:line="300" w:lineRule="exact"/>
              <w:jc w:val="center"/>
              <w:rPr>
                <w:rFonts w:hint="eastAsia" w:ascii="宋体" w:hAnsi="宋体"/>
                <w:color w:val="000000" w:themeColor="text1"/>
                <w:kern w:val="0"/>
                <w:szCs w:val="21"/>
                <w:lang w:val="it-IT"/>
                <w14:textFill>
                  <w14:solidFill>
                    <w14:schemeClr w14:val="tx1"/>
                  </w14:solidFill>
                </w14:textFill>
              </w:rPr>
            </w:pPr>
            <w:r>
              <w:rPr>
                <w:rFonts w:ascii="宋体" w:hAnsi="宋体"/>
                <w:color w:val="000000" w:themeColor="text1"/>
                <w:kern w:val="0"/>
                <w:szCs w:val="21"/>
                <w:lang w:val="it-IT"/>
                <w14:textFill>
                  <w14:solidFill>
                    <w14:schemeClr w14:val="tx1"/>
                  </w14:solidFill>
                </w14:textFill>
              </w:rPr>
              <w:t>W4</w:t>
            </w:r>
          </w:p>
        </w:tc>
        <w:tc>
          <w:tcPr>
            <w:tcW w:w="243" w:type="pct"/>
            <w:vAlign w:val="center"/>
          </w:tcPr>
          <w:p w14:paraId="1B075F05">
            <w:pPr>
              <w:adjustRightInd w:val="0"/>
              <w:snapToGrid w:val="0"/>
              <w:spacing w:line="300" w:lineRule="exact"/>
              <w:jc w:val="center"/>
              <w:rPr>
                <w:rFonts w:hint="eastAsia" w:ascii="宋体" w:hAnsi="宋体"/>
                <w:color w:val="000000" w:themeColor="text1"/>
                <w:kern w:val="0"/>
                <w:szCs w:val="21"/>
                <w:lang w:val="it-IT"/>
                <w14:textFill>
                  <w14:solidFill>
                    <w14:schemeClr w14:val="tx1"/>
                  </w14:solidFill>
                </w14:textFill>
              </w:rPr>
            </w:pPr>
            <w:r>
              <w:rPr>
                <w:rFonts w:ascii="宋体" w:hAnsi="宋体"/>
                <w:color w:val="000000" w:themeColor="text1"/>
                <w:kern w:val="0"/>
                <w:szCs w:val="21"/>
                <w:lang w:val="it-IT"/>
                <w14:textFill>
                  <w14:solidFill>
                    <w14:schemeClr w14:val="tx1"/>
                  </w14:solidFill>
                </w14:textFill>
              </w:rPr>
              <w:t>W4</w:t>
            </w:r>
          </w:p>
        </w:tc>
        <w:tc>
          <w:tcPr>
            <w:tcW w:w="805" w:type="pct"/>
            <w:vAlign w:val="center"/>
          </w:tcPr>
          <w:p w14:paraId="04D510F8">
            <w:pPr>
              <w:adjustRightInd w:val="0"/>
              <w:snapToGrid w:val="0"/>
              <w:spacing w:line="300" w:lineRule="exact"/>
              <w:jc w:val="center"/>
              <w:rPr>
                <w:rFonts w:hint="eastAsia" w:ascii="宋体" w:hAnsi="宋体"/>
                <w:color w:val="000000" w:themeColor="text1"/>
                <w:kern w:val="0"/>
                <w:szCs w:val="21"/>
                <w14:textFill>
                  <w14:solidFill>
                    <w14:schemeClr w14:val="tx1"/>
                  </w14:solidFill>
                </w14:textFill>
              </w:rPr>
            </w:pPr>
          </w:p>
        </w:tc>
        <w:tc>
          <w:tcPr>
            <w:tcW w:w="788" w:type="pct"/>
            <w:vAlign w:val="center"/>
          </w:tcPr>
          <w:p w14:paraId="7CF8BEE0">
            <w:pPr>
              <w:adjustRightInd w:val="0"/>
              <w:snapToGrid w:val="0"/>
              <w:spacing w:line="300" w:lineRule="exact"/>
              <w:jc w:val="center"/>
              <w:rPr>
                <w:rFonts w:hint="eastAsia" w:ascii="宋体" w:hAnsi="宋体"/>
                <w:color w:val="000000" w:themeColor="text1"/>
                <w:kern w:val="0"/>
                <w:szCs w:val="21"/>
                <w14:textFill>
                  <w14:solidFill>
                    <w14:schemeClr w14:val="tx1"/>
                  </w14:solidFill>
                </w14:textFill>
              </w:rPr>
            </w:pPr>
          </w:p>
        </w:tc>
        <w:tc>
          <w:tcPr>
            <w:tcW w:w="420" w:type="pct"/>
            <w:vAlign w:val="center"/>
          </w:tcPr>
          <w:p w14:paraId="6DBF8DD6">
            <w:pPr>
              <w:adjustRightInd w:val="0"/>
              <w:snapToGrid w:val="0"/>
              <w:spacing w:line="300" w:lineRule="exact"/>
              <w:jc w:val="center"/>
              <w:rPr>
                <w:rFonts w:hint="eastAsia" w:ascii="宋体" w:hAnsi="宋体"/>
                <w:color w:val="000000" w:themeColor="text1"/>
                <w:kern w:val="0"/>
                <w:szCs w:val="21"/>
                <w14:textFill>
                  <w14:solidFill>
                    <w14:schemeClr w14:val="tx1"/>
                  </w14:solidFill>
                </w14:textFill>
              </w:rPr>
            </w:pPr>
            <w:r>
              <w:rPr>
                <w:rFonts w:ascii="宋体" w:hAnsi="宋体"/>
                <w:color w:val="000000" w:themeColor="text1"/>
                <w:kern w:val="0"/>
                <w:szCs w:val="21"/>
                <w14:textFill>
                  <w14:solidFill>
                    <w14:schemeClr w14:val="tx1"/>
                  </w14:solidFill>
                </w14:textFill>
              </w:rPr>
              <w:t>30</w:t>
            </w:r>
          </w:p>
        </w:tc>
        <w:tc>
          <w:tcPr>
            <w:tcW w:w="420" w:type="pct"/>
            <w:vMerge w:val="continue"/>
            <w:vAlign w:val="center"/>
          </w:tcPr>
          <w:p w14:paraId="68B12B53">
            <w:pPr>
              <w:adjustRightInd w:val="0"/>
              <w:snapToGrid w:val="0"/>
              <w:spacing w:line="300" w:lineRule="exact"/>
              <w:jc w:val="center"/>
              <w:rPr>
                <w:rFonts w:hint="eastAsia" w:ascii="宋体" w:hAnsi="宋体"/>
                <w:color w:val="000000" w:themeColor="text1"/>
                <w:kern w:val="0"/>
                <w:szCs w:val="21"/>
                <w14:textFill>
                  <w14:solidFill>
                    <w14:schemeClr w14:val="tx1"/>
                  </w14:solidFill>
                </w14:textFill>
              </w:rPr>
            </w:pPr>
          </w:p>
        </w:tc>
        <w:tc>
          <w:tcPr>
            <w:tcW w:w="375" w:type="pct"/>
            <w:vMerge w:val="continue"/>
            <w:vAlign w:val="center"/>
          </w:tcPr>
          <w:p w14:paraId="6FD7EE3C">
            <w:pPr>
              <w:adjustRightInd w:val="0"/>
              <w:snapToGrid w:val="0"/>
              <w:spacing w:line="300" w:lineRule="exact"/>
              <w:jc w:val="center"/>
              <w:rPr>
                <w:rFonts w:hint="eastAsia" w:ascii="宋体" w:hAnsi="宋体"/>
                <w:color w:val="000000" w:themeColor="text1"/>
                <w:kern w:val="0"/>
                <w:szCs w:val="21"/>
                <w14:textFill>
                  <w14:solidFill>
                    <w14:schemeClr w14:val="tx1"/>
                  </w14:solidFill>
                </w14:textFill>
              </w:rPr>
            </w:pPr>
          </w:p>
        </w:tc>
      </w:tr>
      <w:tr w14:paraId="4344522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543" w:type="pct"/>
            <w:vMerge w:val="continue"/>
            <w:vAlign w:val="center"/>
          </w:tcPr>
          <w:p w14:paraId="0020F6A7">
            <w:pPr>
              <w:adjustRightInd w:val="0"/>
              <w:snapToGrid w:val="0"/>
              <w:spacing w:line="300" w:lineRule="exact"/>
              <w:jc w:val="center"/>
              <w:rPr>
                <w:rFonts w:hint="eastAsia" w:ascii="宋体" w:hAnsi="宋体"/>
                <w:color w:val="000000" w:themeColor="text1"/>
                <w:kern w:val="0"/>
                <w:szCs w:val="21"/>
                <w:lang w:val="it-IT"/>
                <w14:textFill>
                  <w14:solidFill>
                    <w14:schemeClr w14:val="tx1"/>
                  </w14:solidFill>
                </w14:textFill>
              </w:rPr>
            </w:pPr>
          </w:p>
        </w:tc>
        <w:tc>
          <w:tcPr>
            <w:tcW w:w="406" w:type="pct"/>
            <w:vAlign w:val="center"/>
          </w:tcPr>
          <w:p w14:paraId="0BA326C2">
            <w:pPr>
              <w:adjustRightInd w:val="0"/>
              <w:snapToGrid w:val="0"/>
              <w:spacing w:line="300" w:lineRule="exact"/>
              <w:jc w:val="center"/>
              <w:rPr>
                <w:rFonts w:hint="eastAsia" w:ascii="宋体" w:hAnsi="宋体"/>
                <w:color w:val="000000" w:themeColor="text1"/>
                <w:kern w:val="0"/>
                <w:szCs w:val="21"/>
                <w:lang w:val="it-IT"/>
                <w14:textFill>
                  <w14:solidFill>
                    <w14:schemeClr w14:val="tx1"/>
                  </w14:solidFill>
                </w14:textFill>
              </w:rPr>
            </w:pPr>
            <w:r>
              <w:rPr>
                <w:rFonts w:ascii="宋体" w:hAnsi="宋体"/>
                <w:color w:val="000000" w:themeColor="text1"/>
                <w:kern w:val="0"/>
                <w:szCs w:val="21"/>
                <w:lang w:val="it-IT"/>
                <w14:textFill>
                  <w14:solidFill>
                    <w14:schemeClr w14:val="tx1"/>
                  </w14:solidFill>
                </w14:textFill>
              </w:rPr>
              <w:t>W5</w:t>
            </w:r>
          </w:p>
        </w:tc>
        <w:tc>
          <w:tcPr>
            <w:tcW w:w="243" w:type="pct"/>
            <w:vAlign w:val="center"/>
          </w:tcPr>
          <w:p w14:paraId="0D129BE6">
            <w:pPr>
              <w:adjustRightInd w:val="0"/>
              <w:snapToGrid w:val="0"/>
              <w:spacing w:line="300" w:lineRule="exact"/>
              <w:jc w:val="center"/>
              <w:rPr>
                <w:rFonts w:hint="eastAsia" w:ascii="宋体" w:hAnsi="宋体"/>
                <w:color w:val="000000" w:themeColor="text1"/>
                <w:kern w:val="0"/>
                <w:szCs w:val="21"/>
                <w:lang w:val="it-IT"/>
                <w14:textFill>
                  <w14:solidFill>
                    <w14:schemeClr w14:val="tx1"/>
                  </w14:solidFill>
                </w14:textFill>
              </w:rPr>
            </w:pPr>
            <w:r>
              <w:rPr>
                <w:rFonts w:ascii="宋体" w:hAnsi="宋体"/>
                <w:color w:val="000000" w:themeColor="text1"/>
                <w:kern w:val="0"/>
                <w:szCs w:val="21"/>
                <w:lang w:val="it-IT"/>
                <w14:textFill>
                  <w14:solidFill>
                    <w14:schemeClr w14:val="tx1"/>
                  </w14:solidFill>
                </w14:textFill>
              </w:rPr>
              <w:t>W5</w:t>
            </w:r>
          </w:p>
        </w:tc>
        <w:tc>
          <w:tcPr>
            <w:tcW w:w="805" w:type="pct"/>
            <w:vAlign w:val="center"/>
          </w:tcPr>
          <w:p w14:paraId="1DF389FC">
            <w:pPr>
              <w:adjustRightInd w:val="0"/>
              <w:snapToGrid w:val="0"/>
              <w:spacing w:line="300" w:lineRule="exact"/>
              <w:jc w:val="center"/>
              <w:rPr>
                <w:rFonts w:hint="eastAsia" w:ascii="宋体" w:hAnsi="宋体"/>
                <w:color w:val="000000" w:themeColor="text1"/>
                <w:kern w:val="0"/>
                <w:szCs w:val="21"/>
                <w14:textFill>
                  <w14:solidFill>
                    <w14:schemeClr w14:val="tx1"/>
                  </w14:solidFill>
                </w14:textFill>
              </w:rPr>
            </w:pPr>
          </w:p>
        </w:tc>
        <w:tc>
          <w:tcPr>
            <w:tcW w:w="788" w:type="pct"/>
            <w:vAlign w:val="center"/>
          </w:tcPr>
          <w:p w14:paraId="23013F0D">
            <w:pPr>
              <w:adjustRightInd w:val="0"/>
              <w:snapToGrid w:val="0"/>
              <w:spacing w:line="300" w:lineRule="exact"/>
              <w:jc w:val="center"/>
              <w:rPr>
                <w:rFonts w:hint="eastAsia" w:ascii="宋体" w:hAnsi="宋体"/>
                <w:color w:val="000000" w:themeColor="text1"/>
                <w:kern w:val="0"/>
                <w:szCs w:val="21"/>
                <w14:textFill>
                  <w14:solidFill>
                    <w14:schemeClr w14:val="tx1"/>
                  </w14:solidFill>
                </w14:textFill>
              </w:rPr>
            </w:pPr>
          </w:p>
        </w:tc>
        <w:tc>
          <w:tcPr>
            <w:tcW w:w="420" w:type="pct"/>
            <w:vAlign w:val="center"/>
          </w:tcPr>
          <w:p w14:paraId="01DC92A5">
            <w:pPr>
              <w:adjustRightInd w:val="0"/>
              <w:snapToGrid w:val="0"/>
              <w:spacing w:line="300" w:lineRule="exact"/>
              <w:jc w:val="center"/>
              <w:rPr>
                <w:rFonts w:hint="eastAsia" w:ascii="宋体" w:hAnsi="宋体"/>
                <w:color w:val="000000" w:themeColor="text1"/>
                <w:kern w:val="0"/>
                <w:szCs w:val="21"/>
                <w14:textFill>
                  <w14:solidFill>
                    <w14:schemeClr w14:val="tx1"/>
                  </w14:solidFill>
                </w14:textFill>
              </w:rPr>
            </w:pPr>
            <w:r>
              <w:rPr>
                <w:rFonts w:ascii="宋体" w:hAnsi="宋体"/>
                <w:color w:val="000000" w:themeColor="text1"/>
                <w:kern w:val="0"/>
                <w:szCs w:val="21"/>
                <w14:textFill>
                  <w14:solidFill>
                    <w14:schemeClr w14:val="tx1"/>
                  </w14:solidFill>
                </w14:textFill>
              </w:rPr>
              <w:t>30</w:t>
            </w:r>
          </w:p>
        </w:tc>
        <w:tc>
          <w:tcPr>
            <w:tcW w:w="420" w:type="pct"/>
            <w:vMerge w:val="continue"/>
            <w:vAlign w:val="center"/>
          </w:tcPr>
          <w:p w14:paraId="05F26AE8">
            <w:pPr>
              <w:adjustRightInd w:val="0"/>
              <w:snapToGrid w:val="0"/>
              <w:spacing w:line="300" w:lineRule="exact"/>
              <w:jc w:val="center"/>
              <w:rPr>
                <w:rFonts w:hint="eastAsia" w:ascii="宋体" w:hAnsi="宋体"/>
                <w:color w:val="000000" w:themeColor="text1"/>
                <w:kern w:val="0"/>
                <w:szCs w:val="21"/>
                <w14:textFill>
                  <w14:solidFill>
                    <w14:schemeClr w14:val="tx1"/>
                  </w14:solidFill>
                </w14:textFill>
              </w:rPr>
            </w:pPr>
          </w:p>
        </w:tc>
        <w:tc>
          <w:tcPr>
            <w:tcW w:w="375" w:type="pct"/>
            <w:vMerge w:val="continue"/>
            <w:vAlign w:val="center"/>
          </w:tcPr>
          <w:p w14:paraId="3FFC0B25">
            <w:pPr>
              <w:adjustRightInd w:val="0"/>
              <w:snapToGrid w:val="0"/>
              <w:spacing w:line="300" w:lineRule="exact"/>
              <w:jc w:val="center"/>
              <w:rPr>
                <w:rFonts w:hint="eastAsia" w:ascii="宋体" w:hAnsi="宋体"/>
                <w:color w:val="000000" w:themeColor="text1"/>
                <w:kern w:val="0"/>
                <w:szCs w:val="21"/>
                <w14:textFill>
                  <w14:solidFill>
                    <w14:schemeClr w14:val="tx1"/>
                  </w14:solidFill>
                </w14:textFill>
              </w:rPr>
            </w:pPr>
          </w:p>
        </w:tc>
      </w:tr>
      <w:tr w14:paraId="6BC0710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543" w:type="pct"/>
            <w:vAlign w:val="center"/>
          </w:tcPr>
          <w:p w14:paraId="2F0FF31D">
            <w:pPr>
              <w:adjustRightInd w:val="0"/>
              <w:snapToGrid w:val="0"/>
              <w:spacing w:line="300" w:lineRule="exact"/>
              <w:jc w:val="center"/>
              <w:rPr>
                <w:rFonts w:hint="eastAsia" w:ascii="宋体" w:hAnsi="宋体"/>
                <w:color w:val="000000" w:themeColor="text1"/>
                <w:kern w:val="0"/>
                <w:szCs w:val="21"/>
                <w:lang w:val="it-IT"/>
                <w14:textFill>
                  <w14:solidFill>
                    <w14:schemeClr w14:val="tx1"/>
                  </w14:solidFill>
                </w14:textFill>
              </w:rPr>
            </w:pPr>
            <w:r>
              <w:rPr>
                <w:rFonts w:ascii="宋体" w:hAnsi="宋体"/>
                <w:color w:val="000000" w:themeColor="text1"/>
                <w:kern w:val="0"/>
                <w:szCs w:val="21"/>
                <w:lang w:val="it-IT"/>
                <w14:textFill>
                  <w14:solidFill>
                    <w14:schemeClr w14:val="tx1"/>
                  </w14:solidFill>
                </w14:textFill>
              </w:rPr>
              <w:t>吉康油田奇探1块二叠系芦草沟组夹层型页岩油开发先导试验方案环境影响报告书</w:t>
            </w:r>
          </w:p>
        </w:tc>
        <w:tc>
          <w:tcPr>
            <w:tcW w:w="406" w:type="pct"/>
            <w:vAlign w:val="center"/>
          </w:tcPr>
          <w:p w14:paraId="11EE76AE">
            <w:pPr>
              <w:adjustRightInd w:val="0"/>
              <w:snapToGrid w:val="0"/>
              <w:spacing w:line="300" w:lineRule="exact"/>
              <w:jc w:val="center"/>
              <w:rPr>
                <w:rFonts w:hint="eastAsia" w:ascii="宋体" w:hAnsi="宋体"/>
                <w:color w:val="000000" w:themeColor="text1"/>
                <w:kern w:val="0"/>
                <w:szCs w:val="21"/>
                <w14:textFill>
                  <w14:solidFill>
                    <w14:schemeClr w14:val="tx1"/>
                  </w14:solidFill>
                </w14:textFill>
              </w:rPr>
            </w:pPr>
            <w:r>
              <w:rPr>
                <w:rFonts w:ascii="宋体" w:hAnsi="宋体"/>
                <w:color w:val="000000" w:themeColor="text1"/>
                <w:kern w:val="0"/>
                <w:szCs w:val="21"/>
                <w14:textFill>
                  <w14:solidFill>
                    <w14:schemeClr w14:val="tx1"/>
                  </w14:solidFill>
                </w14:textFill>
              </w:rPr>
              <w:t>D2</w:t>
            </w:r>
          </w:p>
        </w:tc>
        <w:tc>
          <w:tcPr>
            <w:tcW w:w="243" w:type="pct"/>
            <w:vAlign w:val="center"/>
          </w:tcPr>
          <w:p w14:paraId="044BAE35">
            <w:pPr>
              <w:adjustRightInd w:val="0"/>
              <w:snapToGrid w:val="0"/>
              <w:spacing w:line="300" w:lineRule="exact"/>
              <w:jc w:val="center"/>
              <w:rPr>
                <w:rFonts w:hint="eastAsia" w:ascii="宋体" w:hAnsi="宋体"/>
                <w:color w:val="000000" w:themeColor="text1"/>
                <w:kern w:val="0"/>
                <w:szCs w:val="21"/>
                <w14:textFill>
                  <w14:solidFill>
                    <w14:schemeClr w14:val="tx1"/>
                  </w14:solidFill>
                </w14:textFill>
              </w:rPr>
            </w:pPr>
            <w:r>
              <w:rPr>
                <w:rFonts w:ascii="宋体" w:hAnsi="宋体"/>
                <w:color w:val="000000" w:themeColor="text1"/>
                <w:kern w:val="0"/>
                <w:szCs w:val="21"/>
                <w14:textFill>
                  <w14:solidFill>
                    <w14:schemeClr w14:val="tx1"/>
                  </w14:solidFill>
                </w14:textFill>
              </w:rPr>
              <w:t>W6</w:t>
            </w:r>
          </w:p>
        </w:tc>
        <w:tc>
          <w:tcPr>
            <w:tcW w:w="805" w:type="pct"/>
            <w:vAlign w:val="center"/>
          </w:tcPr>
          <w:p w14:paraId="6666D52F">
            <w:pPr>
              <w:adjustRightInd w:val="0"/>
              <w:snapToGrid w:val="0"/>
              <w:spacing w:line="300" w:lineRule="exact"/>
              <w:jc w:val="center"/>
              <w:rPr>
                <w:rFonts w:hint="eastAsia" w:ascii="宋体" w:hAnsi="宋体"/>
                <w:color w:val="000000" w:themeColor="text1"/>
                <w:kern w:val="0"/>
                <w:szCs w:val="21"/>
                <w14:textFill>
                  <w14:solidFill>
                    <w14:schemeClr w14:val="tx1"/>
                  </w14:solidFill>
                </w14:textFill>
              </w:rPr>
            </w:pPr>
          </w:p>
        </w:tc>
        <w:tc>
          <w:tcPr>
            <w:tcW w:w="788" w:type="pct"/>
            <w:vAlign w:val="center"/>
          </w:tcPr>
          <w:p w14:paraId="120D532E">
            <w:pPr>
              <w:adjustRightInd w:val="0"/>
              <w:snapToGrid w:val="0"/>
              <w:spacing w:line="300" w:lineRule="exact"/>
              <w:jc w:val="center"/>
              <w:rPr>
                <w:rFonts w:hint="eastAsia" w:ascii="宋体" w:hAnsi="宋体"/>
                <w:color w:val="000000" w:themeColor="text1"/>
                <w:kern w:val="0"/>
                <w:szCs w:val="21"/>
                <w14:textFill>
                  <w14:solidFill>
                    <w14:schemeClr w14:val="tx1"/>
                  </w14:solidFill>
                </w14:textFill>
              </w:rPr>
            </w:pPr>
          </w:p>
        </w:tc>
        <w:tc>
          <w:tcPr>
            <w:tcW w:w="420" w:type="pct"/>
            <w:vAlign w:val="center"/>
          </w:tcPr>
          <w:p w14:paraId="243CBCCA">
            <w:pPr>
              <w:adjustRightInd w:val="0"/>
              <w:snapToGrid w:val="0"/>
              <w:spacing w:line="300" w:lineRule="exact"/>
              <w:jc w:val="center"/>
              <w:rPr>
                <w:rFonts w:hint="eastAsia" w:ascii="宋体" w:hAnsi="宋体"/>
                <w:color w:val="000000" w:themeColor="text1"/>
                <w:kern w:val="0"/>
                <w:szCs w:val="21"/>
                <w14:textFill>
                  <w14:solidFill>
                    <w14:schemeClr w14:val="tx1"/>
                  </w14:solidFill>
                </w14:textFill>
              </w:rPr>
            </w:pPr>
            <w:r>
              <w:rPr>
                <w:rFonts w:ascii="宋体" w:hAnsi="宋体"/>
                <w:color w:val="000000" w:themeColor="text1"/>
                <w:kern w:val="0"/>
                <w:szCs w:val="21"/>
                <w14:textFill>
                  <w14:solidFill>
                    <w14:schemeClr w14:val="tx1"/>
                  </w14:solidFill>
                </w14:textFill>
              </w:rPr>
              <w:t>18</w:t>
            </w:r>
          </w:p>
        </w:tc>
        <w:tc>
          <w:tcPr>
            <w:tcW w:w="420" w:type="pct"/>
            <w:vMerge w:val="continue"/>
            <w:vAlign w:val="center"/>
          </w:tcPr>
          <w:p w14:paraId="49236A3F">
            <w:pPr>
              <w:adjustRightInd w:val="0"/>
              <w:snapToGrid w:val="0"/>
              <w:spacing w:line="300" w:lineRule="exact"/>
              <w:jc w:val="center"/>
              <w:rPr>
                <w:rFonts w:hint="eastAsia" w:ascii="宋体" w:hAnsi="宋体"/>
                <w:color w:val="000000" w:themeColor="text1"/>
                <w:kern w:val="0"/>
                <w:szCs w:val="21"/>
                <w14:textFill>
                  <w14:solidFill>
                    <w14:schemeClr w14:val="tx1"/>
                  </w14:solidFill>
                </w14:textFill>
              </w:rPr>
            </w:pPr>
          </w:p>
        </w:tc>
        <w:tc>
          <w:tcPr>
            <w:tcW w:w="375" w:type="pct"/>
            <w:vMerge w:val="continue"/>
            <w:vAlign w:val="center"/>
          </w:tcPr>
          <w:p w14:paraId="6EAFDD0F">
            <w:pPr>
              <w:adjustRightInd w:val="0"/>
              <w:snapToGrid w:val="0"/>
              <w:spacing w:line="300" w:lineRule="exact"/>
              <w:jc w:val="center"/>
              <w:rPr>
                <w:rFonts w:hint="eastAsia" w:ascii="宋体" w:hAnsi="宋体"/>
                <w:color w:val="000000" w:themeColor="text1"/>
                <w:kern w:val="0"/>
                <w:szCs w:val="21"/>
                <w14:textFill>
                  <w14:solidFill>
                    <w14:schemeClr w14:val="tx1"/>
                  </w14:solidFill>
                </w14:textFill>
              </w:rPr>
            </w:pPr>
          </w:p>
        </w:tc>
      </w:tr>
      <w:tr w14:paraId="534C496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543" w:type="pct"/>
            <w:vMerge w:val="restart"/>
            <w:vAlign w:val="center"/>
          </w:tcPr>
          <w:p w14:paraId="50BDC914">
            <w:pPr>
              <w:adjustRightInd w:val="0"/>
              <w:snapToGrid w:val="0"/>
              <w:spacing w:line="300" w:lineRule="exact"/>
              <w:jc w:val="center"/>
              <w:rPr>
                <w:rFonts w:hint="eastAsia" w:ascii="宋体" w:hAnsi="宋体"/>
                <w:color w:val="000000" w:themeColor="text1"/>
                <w:kern w:val="0"/>
                <w:szCs w:val="21"/>
                <w:lang w:val="it-IT"/>
                <w14:textFill>
                  <w14:solidFill>
                    <w14:schemeClr w14:val="tx1"/>
                  </w14:solidFill>
                </w14:textFill>
              </w:rPr>
            </w:pPr>
            <w:r>
              <w:rPr>
                <w:rFonts w:ascii="宋体" w:hAnsi="宋体"/>
                <w:color w:val="000000" w:themeColor="text1"/>
                <w:kern w:val="0"/>
                <w:szCs w:val="21"/>
                <w:lang w:val="it-IT"/>
                <w14:textFill>
                  <w14:solidFill>
                    <w14:schemeClr w14:val="tx1"/>
                  </w14:solidFill>
                </w14:textFill>
              </w:rPr>
              <w:t>页岩油联合站50万吨/年原油处理装置运维工程</w:t>
            </w:r>
            <w:r>
              <w:rPr>
                <w:rFonts w:hint="eastAsia" w:ascii="宋体" w:hAnsi="宋体"/>
                <w:color w:val="000000" w:themeColor="text1"/>
                <w:kern w:val="0"/>
                <w:szCs w:val="21"/>
                <w:lang w:val="it-IT"/>
                <w14:textFill>
                  <w14:solidFill>
                    <w14:schemeClr w14:val="tx1"/>
                  </w14:solidFill>
                </w14:textFill>
              </w:rPr>
              <w:t>环境影响报告书</w:t>
            </w:r>
          </w:p>
        </w:tc>
        <w:tc>
          <w:tcPr>
            <w:tcW w:w="406" w:type="pct"/>
            <w:vAlign w:val="center"/>
          </w:tcPr>
          <w:p w14:paraId="1BD7D783">
            <w:pPr>
              <w:adjustRightInd w:val="0"/>
              <w:snapToGrid w:val="0"/>
              <w:spacing w:line="300" w:lineRule="exact"/>
              <w:jc w:val="center"/>
              <w:rPr>
                <w:rFonts w:hint="eastAsia" w:ascii="宋体" w:hAnsi="宋体"/>
                <w:color w:val="000000" w:themeColor="text1"/>
                <w:kern w:val="0"/>
                <w:szCs w:val="21"/>
                <w14:textFill>
                  <w14:solidFill>
                    <w14:schemeClr w14:val="tx1"/>
                  </w14:solidFill>
                </w14:textFill>
              </w:rPr>
            </w:pPr>
            <w:r>
              <w:rPr>
                <w:rFonts w:ascii="宋体" w:hAnsi="宋体"/>
                <w:color w:val="000000" w:themeColor="text1"/>
                <w:kern w:val="0"/>
                <w:szCs w:val="21"/>
                <w14:textFill>
                  <w14:solidFill>
                    <w14:schemeClr w14:val="tx1"/>
                  </w14:solidFill>
                </w14:textFill>
              </w:rPr>
              <w:t>D</w:t>
            </w:r>
            <w:r>
              <w:rPr>
                <w:rFonts w:hint="eastAsia" w:ascii="宋体" w:hAnsi="宋体"/>
                <w:color w:val="000000" w:themeColor="text1"/>
                <w:kern w:val="0"/>
                <w:szCs w:val="21"/>
                <w14:textFill>
                  <w14:solidFill>
                    <w14:schemeClr w14:val="tx1"/>
                  </w14:solidFill>
                </w14:textFill>
              </w:rPr>
              <w:t>2</w:t>
            </w:r>
          </w:p>
        </w:tc>
        <w:tc>
          <w:tcPr>
            <w:tcW w:w="243" w:type="pct"/>
            <w:vAlign w:val="center"/>
          </w:tcPr>
          <w:p w14:paraId="42738EDC">
            <w:pPr>
              <w:adjustRightInd w:val="0"/>
              <w:snapToGrid w:val="0"/>
              <w:spacing w:line="300" w:lineRule="exact"/>
              <w:jc w:val="center"/>
              <w:rPr>
                <w:rFonts w:hint="eastAsia" w:ascii="宋体" w:hAnsi="宋体"/>
                <w:color w:val="000000" w:themeColor="text1"/>
                <w:kern w:val="0"/>
                <w:szCs w:val="21"/>
                <w14:textFill>
                  <w14:solidFill>
                    <w14:schemeClr w14:val="tx1"/>
                  </w14:solidFill>
                </w14:textFill>
              </w:rPr>
            </w:pPr>
            <w:r>
              <w:rPr>
                <w:rFonts w:ascii="宋体" w:hAnsi="宋体"/>
                <w:color w:val="000000" w:themeColor="text1"/>
                <w:kern w:val="0"/>
                <w:szCs w:val="21"/>
                <w14:textFill>
                  <w14:solidFill>
                    <w14:schemeClr w14:val="tx1"/>
                  </w14:solidFill>
                </w14:textFill>
              </w:rPr>
              <w:t>W7</w:t>
            </w:r>
          </w:p>
        </w:tc>
        <w:tc>
          <w:tcPr>
            <w:tcW w:w="805" w:type="pct"/>
            <w:vAlign w:val="center"/>
          </w:tcPr>
          <w:p w14:paraId="663C78B1">
            <w:pPr>
              <w:adjustRightInd w:val="0"/>
              <w:snapToGrid w:val="0"/>
              <w:spacing w:line="300" w:lineRule="exact"/>
              <w:jc w:val="center"/>
              <w:rPr>
                <w:rFonts w:hint="eastAsia" w:ascii="宋体" w:hAnsi="宋体"/>
                <w:color w:val="000000" w:themeColor="text1"/>
                <w:kern w:val="0"/>
                <w:szCs w:val="21"/>
                <w14:textFill>
                  <w14:solidFill>
                    <w14:schemeClr w14:val="tx1"/>
                  </w14:solidFill>
                </w14:textFill>
              </w:rPr>
            </w:pPr>
          </w:p>
        </w:tc>
        <w:tc>
          <w:tcPr>
            <w:tcW w:w="788" w:type="pct"/>
            <w:vAlign w:val="center"/>
          </w:tcPr>
          <w:p w14:paraId="38EF1849">
            <w:pPr>
              <w:adjustRightInd w:val="0"/>
              <w:snapToGrid w:val="0"/>
              <w:spacing w:line="300" w:lineRule="exact"/>
              <w:jc w:val="center"/>
              <w:rPr>
                <w:rFonts w:hint="eastAsia" w:ascii="宋体" w:hAnsi="宋体"/>
                <w:color w:val="000000" w:themeColor="text1"/>
                <w:kern w:val="0"/>
                <w:szCs w:val="21"/>
                <w14:textFill>
                  <w14:solidFill>
                    <w14:schemeClr w14:val="tx1"/>
                  </w14:solidFill>
                </w14:textFill>
              </w:rPr>
            </w:pPr>
          </w:p>
        </w:tc>
        <w:tc>
          <w:tcPr>
            <w:tcW w:w="420" w:type="pct"/>
            <w:vAlign w:val="center"/>
          </w:tcPr>
          <w:p w14:paraId="47837745">
            <w:pPr>
              <w:adjustRightInd w:val="0"/>
              <w:snapToGrid w:val="0"/>
              <w:spacing w:line="300" w:lineRule="exact"/>
              <w:jc w:val="center"/>
              <w:rPr>
                <w:rFonts w:hint="eastAsia"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30</w:t>
            </w:r>
          </w:p>
        </w:tc>
        <w:tc>
          <w:tcPr>
            <w:tcW w:w="420" w:type="pct"/>
            <w:vMerge w:val="continue"/>
            <w:vAlign w:val="center"/>
          </w:tcPr>
          <w:p w14:paraId="1983683D">
            <w:pPr>
              <w:adjustRightInd w:val="0"/>
              <w:snapToGrid w:val="0"/>
              <w:spacing w:line="300" w:lineRule="exact"/>
              <w:jc w:val="center"/>
              <w:rPr>
                <w:rFonts w:hint="eastAsia" w:ascii="宋体" w:hAnsi="宋体"/>
                <w:color w:val="000000" w:themeColor="text1"/>
                <w:kern w:val="0"/>
                <w:szCs w:val="21"/>
                <w14:textFill>
                  <w14:solidFill>
                    <w14:schemeClr w14:val="tx1"/>
                  </w14:solidFill>
                </w14:textFill>
              </w:rPr>
            </w:pPr>
          </w:p>
        </w:tc>
        <w:tc>
          <w:tcPr>
            <w:tcW w:w="375" w:type="pct"/>
            <w:vMerge w:val="continue"/>
            <w:vAlign w:val="center"/>
          </w:tcPr>
          <w:p w14:paraId="61429B4A">
            <w:pPr>
              <w:adjustRightInd w:val="0"/>
              <w:snapToGrid w:val="0"/>
              <w:spacing w:line="300" w:lineRule="exact"/>
              <w:jc w:val="center"/>
              <w:rPr>
                <w:rFonts w:hint="eastAsia" w:ascii="宋体" w:hAnsi="宋体"/>
                <w:color w:val="000000" w:themeColor="text1"/>
                <w:kern w:val="0"/>
                <w:szCs w:val="21"/>
                <w14:textFill>
                  <w14:solidFill>
                    <w14:schemeClr w14:val="tx1"/>
                  </w14:solidFill>
                </w14:textFill>
              </w:rPr>
            </w:pPr>
          </w:p>
        </w:tc>
      </w:tr>
      <w:tr w14:paraId="6AA4535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543" w:type="pct"/>
            <w:vMerge w:val="continue"/>
            <w:vAlign w:val="center"/>
          </w:tcPr>
          <w:p w14:paraId="30A83D32">
            <w:pPr>
              <w:adjustRightInd w:val="0"/>
              <w:snapToGrid w:val="0"/>
              <w:spacing w:line="300" w:lineRule="exact"/>
              <w:jc w:val="center"/>
              <w:rPr>
                <w:rFonts w:hint="eastAsia" w:ascii="宋体" w:hAnsi="宋体"/>
                <w:color w:val="000000" w:themeColor="text1"/>
                <w:kern w:val="0"/>
                <w:szCs w:val="21"/>
                <w:lang w:val="it-IT"/>
                <w14:textFill>
                  <w14:solidFill>
                    <w14:schemeClr w14:val="tx1"/>
                  </w14:solidFill>
                </w14:textFill>
              </w:rPr>
            </w:pPr>
          </w:p>
        </w:tc>
        <w:tc>
          <w:tcPr>
            <w:tcW w:w="406" w:type="pct"/>
            <w:vAlign w:val="center"/>
          </w:tcPr>
          <w:p w14:paraId="41408606">
            <w:pPr>
              <w:adjustRightInd w:val="0"/>
              <w:snapToGrid w:val="0"/>
              <w:spacing w:line="300" w:lineRule="exact"/>
              <w:jc w:val="center"/>
              <w:rPr>
                <w:rFonts w:hint="eastAsia" w:ascii="宋体" w:hAnsi="宋体"/>
                <w:color w:val="000000" w:themeColor="text1"/>
                <w:kern w:val="0"/>
                <w:szCs w:val="21"/>
                <w14:textFill>
                  <w14:solidFill>
                    <w14:schemeClr w14:val="tx1"/>
                  </w14:solidFill>
                </w14:textFill>
              </w:rPr>
            </w:pPr>
            <w:r>
              <w:rPr>
                <w:rFonts w:ascii="宋体" w:hAnsi="宋体"/>
                <w:color w:val="000000" w:themeColor="text1"/>
                <w:kern w:val="0"/>
                <w:szCs w:val="21"/>
                <w14:textFill>
                  <w14:solidFill>
                    <w14:schemeClr w14:val="tx1"/>
                  </w14:solidFill>
                </w14:textFill>
              </w:rPr>
              <w:t>D</w:t>
            </w:r>
            <w:r>
              <w:rPr>
                <w:rFonts w:hint="eastAsia" w:ascii="宋体" w:hAnsi="宋体"/>
                <w:color w:val="000000" w:themeColor="text1"/>
                <w:kern w:val="0"/>
                <w:szCs w:val="21"/>
                <w14:textFill>
                  <w14:solidFill>
                    <w14:schemeClr w14:val="tx1"/>
                  </w14:solidFill>
                </w14:textFill>
              </w:rPr>
              <w:t>6</w:t>
            </w:r>
          </w:p>
        </w:tc>
        <w:tc>
          <w:tcPr>
            <w:tcW w:w="243" w:type="pct"/>
            <w:vAlign w:val="center"/>
          </w:tcPr>
          <w:p w14:paraId="63626C5E">
            <w:pPr>
              <w:adjustRightInd w:val="0"/>
              <w:snapToGrid w:val="0"/>
              <w:spacing w:line="300" w:lineRule="exact"/>
              <w:jc w:val="center"/>
              <w:rPr>
                <w:rFonts w:hint="eastAsia" w:ascii="宋体" w:hAnsi="宋体"/>
                <w:color w:val="000000" w:themeColor="text1"/>
                <w:kern w:val="0"/>
                <w:szCs w:val="21"/>
                <w14:textFill>
                  <w14:solidFill>
                    <w14:schemeClr w14:val="tx1"/>
                  </w14:solidFill>
                </w14:textFill>
              </w:rPr>
            </w:pPr>
            <w:r>
              <w:rPr>
                <w:rFonts w:ascii="宋体" w:hAnsi="宋体"/>
                <w:color w:val="000000" w:themeColor="text1"/>
                <w:kern w:val="0"/>
                <w:szCs w:val="21"/>
                <w14:textFill>
                  <w14:solidFill>
                    <w14:schemeClr w14:val="tx1"/>
                  </w14:solidFill>
                </w14:textFill>
              </w:rPr>
              <w:t>W8</w:t>
            </w:r>
          </w:p>
        </w:tc>
        <w:tc>
          <w:tcPr>
            <w:tcW w:w="805" w:type="pct"/>
            <w:vAlign w:val="center"/>
          </w:tcPr>
          <w:p w14:paraId="51E44A55">
            <w:pPr>
              <w:adjustRightInd w:val="0"/>
              <w:snapToGrid w:val="0"/>
              <w:spacing w:line="300" w:lineRule="exact"/>
              <w:jc w:val="center"/>
              <w:rPr>
                <w:rFonts w:hint="eastAsia" w:ascii="宋体" w:hAnsi="宋体"/>
                <w:color w:val="000000" w:themeColor="text1"/>
                <w:kern w:val="0"/>
                <w:szCs w:val="21"/>
                <w14:textFill>
                  <w14:solidFill>
                    <w14:schemeClr w14:val="tx1"/>
                  </w14:solidFill>
                </w14:textFill>
              </w:rPr>
            </w:pPr>
          </w:p>
        </w:tc>
        <w:tc>
          <w:tcPr>
            <w:tcW w:w="788" w:type="pct"/>
            <w:vAlign w:val="center"/>
          </w:tcPr>
          <w:p w14:paraId="3E048635">
            <w:pPr>
              <w:adjustRightInd w:val="0"/>
              <w:snapToGrid w:val="0"/>
              <w:spacing w:line="300" w:lineRule="exact"/>
              <w:jc w:val="center"/>
              <w:rPr>
                <w:rFonts w:hint="eastAsia" w:ascii="宋体" w:hAnsi="宋体"/>
                <w:color w:val="000000" w:themeColor="text1"/>
                <w:kern w:val="0"/>
                <w:szCs w:val="21"/>
                <w14:textFill>
                  <w14:solidFill>
                    <w14:schemeClr w14:val="tx1"/>
                  </w14:solidFill>
                </w14:textFill>
              </w:rPr>
            </w:pPr>
          </w:p>
        </w:tc>
        <w:tc>
          <w:tcPr>
            <w:tcW w:w="420" w:type="pct"/>
            <w:vAlign w:val="center"/>
          </w:tcPr>
          <w:p w14:paraId="4E9D653D">
            <w:pPr>
              <w:adjustRightInd w:val="0"/>
              <w:snapToGrid w:val="0"/>
              <w:spacing w:line="300" w:lineRule="exact"/>
              <w:jc w:val="center"/>
              <w:rPr>
                <w:rFonts w:hint="eastAsia"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30</w:t>
            </w:r>
          </w:p>
        </w:tc>
        <w:tc>
          <w:tcPr>
            <w:tcW w:w="420" w:type="pct"/>
            <w:vMerge w:val="continue"/>
            <w:vAlign w:val="center"/>
          </w:tcPr>
          <w:p w14:paraId="0741A1AA">
            <w:pPr>
              <w:adjustRightInd w:val="0"/>
              <w:snapToGrid w:val="0"/>
              <w:spacing w:line="300" w:lineRule="exact"/>
              <w:jc w:val="center"/>
              <w:rPr>
                <w:rFonts w:hint="eastAsia" w:ascii="宋体" w:hAnsi="宋体"/>
                <w:color w:val="000000" w:themeColor="text1"/>
                <w:kern w:val="0"/>
                <w:szCs w:val="21"/>
                <w14:textFill>
                  <w14:solidFill>
                    <w14:schemeClr w14:val="tx1"/>
                  </w14:solidFill>
                </w14:textFill>
              </w:rPr>
            </w:pPr>
          </w:p>
        </w:tc>
        <w:tc>
          <w:tcPr>
            <w:tcW w:w="375" w:type="pct"/>
            <w:vMerge w:val="continue"/>
            <w:vAlign w:val="center"/>
          </w:tcPr>
          <w:p w14:paraId="7BE3BBB0">
            <w:pPr>
              <w:adjustRightInd w:val="0"/>
              <w:snapToGrid w:val="0"/>
              <w:spacing w:line="300" w:lineRule="exact"/>
              <w:jc w:val="center"/>
              <w:rPr>
                <w:rFonts w:hint="eastAsia" w:ascii="宋体" w:hAnsi="宋体"/>
                <w:color w:val="000000" w:themeColor="text1"/>
                <w:kern w:val="0"/>
                <w:szCs w:val="21"/>
                <w14:textFill>
                  <w14:solidFill>
                    <w14:schemeClr w14:val="tx1"/>
                  </w14:solidFill>
                </w14:textFill>
              </w:rPr>
            </w:pPr>
          </w:p>
        </w:tc>
      </w:tr>
      <w:tr w14:paraId="0553F9A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543" w:type="pct"/>
            <w:vMerge w:val="continue"/>
            <w:vAlign w:val="center"/>
          </w:tcPr>
          <w:p w14:paraId="3D1DE295">
            <w:pPr>
              <w:adjustRightInd w:val="0"/>
              <w:snapToGrid w:val="0"/>
              <w:spacing w:line="300" w:lineRule="exact"/>
              <w:jc w:val="center"/>
              <w:rPr>
                <w:rFonts w:hint="eastAsia" w:ascii="宋体" w:hAnsi="宋体"/>
                <w:color w:val="000000" w:themeColor="text1"/>
                <w:kern w:val="0"/>
                <w:szCs w:val="21"/>
                <w:lang w:val="it-IT"/>
                <w14:textFill>
                  <w14:solidFill>
                    <w14:schemeClr w14:val="tx1"/>
                  </w14:solidFill>
                </w14:textFill>
              </w:rPr>
            </w:pPr>
          </w:p>
        </w:tc>
        <w:tc>
          <w:tcPr>
            <w:tcW w:w="406" w:type="pct"/>
            <w:vAlign w:val="center"/>
          </w:tcPr>
          <w:p w14:paraId="3E8A4DE3">
            <w:pPr>
              <w:adjustRightInd w:val="0"/>
              <w:snapToGrid w:val="0"/>
              <w:spacing w:line="300" w:lineRule="exact"/>
              <w:jc w:val="center"/>
              <w:rPr>
                <w:rFonts w:hint="eastAsia" w:ascii="宋体" w:hAnsi="宋体"/>
                <w:color w:val="000000" w:themeColor="text1"/>
                <w:kern w:val="0"/>
                <w:szCs w:val="21"/>
                <w14:textFill>
                  <w14:solidFill>
                    <w14:schemeClr w14:val="tx1"/>
                  </w14:solidFill>
                </w14:textFill>
              </w:rPr>
            </w:pPr>
            <w:r>
              <w:rPr>
                <w:rFonts w:ascii="宋体" w:hAnsi="宋体"/>
                <w:color w:val="000000" w:themeColor="text1"/>
                <w:kern w:val="0"/>
                <w:szCs w:val="21"/>
                <w14:textFill>
                  <w14:solidFill>
                    <w14:schemeClr w14:val="tx1"/>
                  </w14:solidFill>
                </w14:textFill>
              </w:rPr>
              <w:t>D</w:t>
            </w:r>
            <w:r>
              <w:rPr>
                <w:rFonts w:hint="eastAsia" w:ascii="宋体" w:hAnsi="宋体"/>
                <w:color w:val="000000" w:themeColor="text1"/>
                <w:kern w:val="0"/>
                <w:szCs w:val="21"/>
                <w14:textFill>
                  <w14:solidFill>
                    <w14:schemeClr w14:val="tx1"/>
                  </w14:solidFill>
                </w14:textFill>
              </w:rPr>
              <w:t>9</w:t>
            </w:r>
          </w:p>
        </w:tc>
        <w:tc>
          <w:tcPr>
            <w:tcW w:w="243" w:type="pct"/>
            <w:vAlign w:val="center"/>
          </w:tcPr>
          <w:p w14:paraId="5ADADC8C">
            <w:pPr>
              <w:adjustRightInd w:val="0"/>
              <w:snapToGrid w:val="0"/>
              <w:spacing w:line="300" w:lineRule="exact"/>
              <w:jc w:val="center"/>
              <w:rPr>
                <w:rFonts w:hint="eastAsia" w:ascii="宋体" w:hAnsi="宋体"/>
                <w:color w:val="000000" w:themeColor="text1"/>
                <w:kern w:val="0"/>
                <w:szCs w:val="21"/>
                <w14:textFill>
                  <w14:solidFill>
                    <w14:schemeClr w14:val="tx1"/>
                  </w14:solidFill>
                </w14:textFill>
              </w:rPr>
            </w:pPr>
            <w:r>
              <w:rPr>
                <w:rFonts w:ascii="宋体" w:hAnsi="宋体"/>
                <w:color w:val="000000" w:themeColor="text1"/>
                <w:kern w:val="0"/>
                <w:szCs w:val="21"/>
                <w14:textFill>
                  <w14:solidFill>
                    <w14:schemeClr w14:val="tx1"/>
                  </w14:solidFill>
                </w14:textFill>
              </w:rPr>
              <w:t>W9</w:t>
            </w:r>
          </w:p>
        </w:tc>
        <w:tc>
          <w:tcPr>
            <w:tcW w:w="805" w:type="pct"/>
            <w:vAlign w:val="center"/>
          </w:tcPr>
          <w:p w14:paraId="194BD3F5">
            <w:pPr>
              <w:adjustRightInd w:val="0"/>
              <w:snapToGrid w:val="0"/>
              <w:spacing w:line="300" w:lineRule="exact"/>
              <w:jc w:val="center"/>
              <w:rPr>
                <w:rFonts w:hint="eastAsia" w:ascii="宋体" w:hAnsi="宋体"/>
                <w:color w:val="000000" w:themeColor="text1"/>
                <w:kern w:val="0"/>
                <w:szCs w:val="21"/>
                <w14:textFill>
                  <w14:solidFill>
                    <w14:schemeClr w14:val="tx1"/>
                  </w14:solidFill>
                </w14:textFill>
              </w:rPr>
            </w:pPr>
          </w:p>
        </w:tc>
        <w:tc>
          <w:tcPr>
            <w:tcW w:w="788" w:type="pct"/>
            <w:vAlign w:val="center"/>
          </w:tcPr>
          <w:p w14:paraId="0D0F2377">
            <w:pPr>
              <w:adjustRightInd w:val="0"/>
              <w:snapToGrid w:val="0"/>
              <w:spacing w:line="300" w:lineRule="exact"/>
              <w:jc w:val="center"/>
              <w:rPr>
                <w:rFonts w:hint="eastAsia" w:ascii="宋体" w:hAnsi="宋体"/>
                <w:color w:val="000000" w:themeColor="text1"/>
                <w:kern w:val="0"/>
                <w:szCs w:val="21"/>
                <w14:textFill>
                  <w14:solidFill>
                    <w14:schemeClr w14:val="tx1"/>
                  </w14:solidFill>
                </w14:textFill>
              </w:rPr>
            </w:pPr>
          </w:p>
        </w:tc>
        <w:tc>
          <w:tcPr>
            <w:tcW w:w="420" w:type="pct"/>
            <w:vAlign w:val="center"/>
          </w:tcPr>
          <w:p w14:paraId="18D04E52">
            <w:pPr>
              <w:adjustRightInd w:val="0"/>
              <w:snapToGrid w:val="0"/>
              <w:spacing w:line="300" w:lineRule="exact"/>
              <w:jc w:val="center"/>
              <w:rPr>
                <w:rFonts w:hint="eastAsia"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40</w:t>
            </w:r>
          </w:p>
        </w:tc>
        <w:tc>
          <w:tcPr>
            <w:tcW w:w="420" w:type="pct"/>
            <w:vMerge w:val="continue"/>
            <w:vAlign w:val="center"/>
          </w:tcPr>
          <w:p w14:paraId="0A595B36">
            <w:pPr>
              <w:adjustRightInd w:val="0"/>
              <w:snapToGrid w:val="0"/>
              <w:spacing w:line="300" w:lineRule="exact"/>
              <w:jc w:val="center"/>
              <w:rPr>
                <w:rFonts w:hint="eastAsia" w:ascii="宋体" w:hAnsi="宋体"/>
                <w:color w:val="000000" w:themeColor="text1"/>
                <w:kern w:val="0"/>
                <w:szCs w:val="21"/>
                <w14:textFill>
                  <w14:solidFill>
                    <w14:schemeClr w14:val="tx1"/>
                  </w14:solidFill>
                </w14:textFill>
              </w:rPr>
            </w:pPr>
          </w:p>
        </w:tc>
        <w:tc>
          <w:tcPr>
            <w:tcW w:w="375" w:type="pct"/>
            <w:vMerge w:val="continue"/>
            <w:vAlign w:val="center"/>
          </w:tcPr>
          <w:p w14:paraId="210CDBAB">
            <w:pPr>
              <w:adjustRightInd w:val="0"/>
              <w:snapToGrid w:val="0"/>
              <w:spacing w:line="300" w:lineRule="exact"/>
              <w:jc w:val="center"/>
              <w:rPr>
                <w:rFonts w:hint="eastAsia" w:ascii="宋体" w:hAnsi="宋体"/>
                <w:color w:val="000000" w:themeColor="text1"/>
                <w:kern w:val="0"/>
                <w:szCs w:val="21"/>
                <w14:textFill>
                  <w14:solidFill>
                    <w14:schemeClr w14:val="tx1"/>
                  </w14:solidFill>
                </w14:textFill>
              </w:rPr>
            </w:pPr>
          </w:p>
        </w:tc>
      </w:tr>
      <w:tr w14:paraId="68055DA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543" w:type="pct"/>
            <w:vMerge w:val="continue"/>
            <w:vAlign w:val="center"/>
          </w:tcPr>
          <w:p w14:paraId="019E316D">
            <w:pPr>
              <w:adjustRightInd w:val="0"/>
              <w:snapToGrid w:val="0"/>
              <w:spacing w:line="300" w:lineRule="exact"/>
              <w:jc w:val="center"/>
              <w:rPr>
                <w:rFonts w:hint="eastAsia" w:ascii="宋体" w:hAnsi="宋体"/>
                <w:color w:val="000000" w:themeColor="text1"/>
                <w:kern w:val="0"/>
                <w:szCs w:val="21"/>
                <w:lang w:val="it-IT"/>
                <w14:textFill>
                  <w14:solidFill>
                    <w14:schemeClr w14:val="tx1"/>
                  </w14:solidFill>
                </w14:textFill>
              </w:rPr>
            </w:pPr>
          </w:p>
        </w:tc>
        <w:tc>
          <w:tcPr>
            <w:tcW w:w="406" w:type="pct"/>
            <w:vAlign w:val="center"/>
          </w:tcPr>
          <w:p w14:paraId="2CDAD254">
            <w:pPr>
              <w:adjustRightInd w:val="0"/>
              <w:snapToGrid w:val="0"/>
              <w:spacing w:line="300" w:lineRule="exact"/>
              <w:jc w:val="center"/>
              <w:rPr>
                <w:rFonts w:hint="eastAsia" w:ascii="宋体" w:hAnsi="宋体"/>
                <w:color w:val="000000" w:themeColor="text1"/>
                <w:kern w:val="0"/>
                <w:szCs w:val="21"/>
                <w14:textFill>
                  <w14:solidFill>
                    <w14:schemeClr w14:val="tx1"/>
                  </w14:solidFill>
                </w14:textFill>
              </w:rPr>
            </w:pPr>
            <w:r>
              <w:rPr>
                <w:rFonts w:ascii="宋体" w:hAnsi="宋体"/>
                <w:color w:val="000000" w:themeColor="text1"/>
                <w:kern w:val="0"/>
                <w:szCs w:val="21"/>
                <w14:textFill>
                  <w14:solidFill>
                    <w14:schemeClr w14:val="tx1"/>
                  </w14:solidFill>
                </w14:textFill>
              </w:rPr>
              <w:t>D10</w:t>
            </w:r>
          </w:p>
        </w:tc>
        <w:tc>
          <w:tcPr>
            <w:tcW w:w="243" w:type="pct"/>
            <w:vAlign w:val="center"/>
          </w:tcPr>
          <w:p w14:paraId="61C3AF0A">
            <w:pPr>
              <w:adjustRightInd w:val="0"/>
              <w:snapToGrid w:val="0"/>
              <w:spacing w:line="300" w:lineRule="exact"/>
              <w:jc w:val="center"/>
              <w:rPr>
                <w:rFonts w:hint="eastAsia" w:ascii="宋体" w:hAnsi="宋体"/>
                <w:color w:val="000000" w:themeColor="text1"/>
                <w:kern w:val="0"/>
                <w:szCs w:val="21"/>
                <w14:textFill>
                  <w14:solidFill>
                    <w14:schemeClr w14:val="tx1"/>
                  </w14:solidFill>
                </w14:textFill>
              </w:rPr>
            </w:pPr>
            <w:r>
              <w:rPr>
                <w:rFonts w:ascii="宋体" w:hAnsi="宋体"/>
                <w:color w:val="000000" w:themeColor="text1"/>
                <w:kern w:val="0"/>
                <w:szCs w:val="21"/>
                <w14:textFill>
                  <w14:solidFill>
                    <w14:schemeClr w14:val="tx1"/>
                  </w14:solidFill>
                </w14:textFill>
              </w:rPr>
              <w:t>W10</w:t>
            </w:r>
          </w:p>
        </w:tc>
        <w:tc>
          <w:tcPr>
            <w:tcW w:w="805" w:type="pct"/>
            <w:vAlign w:val="center"/>
          </w:tcPr>
          <w:p w14:paraId="2B1F05C3">
            <w:pPr>
              <w:adjustRightInd w:val="0"/>
              <w:snapToGrid w:val="0"/>
              <w:spacing w:line="300" w:lineRule="exact"/>
              <w:jc w:val="center"/>
              <w:rPr>
                <w:rFonts w:hint="eastAsia" w:ascii="宋体" w:hAnsi="宋体"/>
                <w:color w:val="000000" w:themeColor="text1"/>
                <w:kern w:val="0"/>
                <w:szCs w:val="21"/>
                <w14:textFill>
                  <w14:solidFill>
                    <w14:schemeClr w14:val="tx1"/>
                  </w14:solidFill>
                </w14:textFill>
              </w:rPr>
            </w:pPr>
          </w:p>
        </w:tc>
        <w:tc>
          <w:tcPr>
            <w:tcW w:w="788" w:type="pct"/>
            <w:vAlign w:val="center"/>
          </w:tcPr>
          <w:p w14:paraId="602CD404">
            <w:pPr>
              <w:adjustRightInd w:val="0"/>
              <w:snapToGrid w:val="0"/>
              <w:spacing w:line="300" w:lineRule="exact"/>
              <w:jc w:val="center"/>
              <w:rPr>
                <w:rFonts w:hint="eastAsia" w:ascii="宋体" w:hAnsi="宋体"/>
                <w:color w:val="000000" w:themeColor="text1"/>
                <w:kern w:val="0"/>
                <w:szCs w:val="21"/>
                <w14:textFill>
                  <w14:solidFill>
                    <w14:schemeClr w14:val="tx1"/>
                  </w14:solidFill>
                </w14:textFill>
              </w:rPr>
            </w:pPr>
          </w:p>
        </w:tc>
        <w:tc>
          <w:tcPr>
            <w:tcW w:w="420" w:type="pct"/>
            <w:vAlign w:val="center"/>
          </w:tcPr>
          <w:p w14:paraId="32CE96EA">
            <w:pPr>
              <w:adjustRightInd w:val="0"/>
              <w:snapToGrid w:val="0"/>
              <w:spacing w:line="300" w:lineRule="exact"/>
              <w:jc w:val="center"/>
              <w:rPr>
                <w:rFonts w:hint="eastAsia"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30</w:t>
            </w:r>
          </w:p>
        </w:tc>
        <w:tc>
          <w:tcPr>
            <w:tcW w:w="420" w:type="pct"/>
            <w:vMerge w:val="continue"/>
            <w:vAlign w:val="center"/>
          </w:tcPr>
          <w:p w14:paraId="3A805358">
            <w:pPr>
              <w:adjustRightInd w:val="0"/>
              <w:snapToGrid w:val="0"/>
              <w:spacing w:line="300" w:lineRule="exact"/>
              <w:jc w:val="center"/>
              <w:rPr>
                <w:rFonts w:hint="eastAsia" w:ascii="宋体" w:hAnsi="宋体"/>
                <w:color w:val="000000" w:themeColor="text1"/>
                <w:kern w:val="0"/>
                <w:szCs w:val="21"/>
                <w14:textFill>
                  <w14:solidFill>
                    <w14:schemeClr w14:val="tx1"/>
                  </w14:solidFill>
                </w14:textFill>
              </w:rPr>
            </w:pPr>
          </w:p>
        </w:tc>
        <w:tc>
          <w:tcPr>
            <w:tcW w:w="375" w:type="pct"/>
            <w:vMerge w:val="continue"/>
            <w:vAlign w:val="center"/>
          </w:tcPr>
          <w:p w14:paraId="680A239E">
            <w:pPr>
              <w:adjustRightInd w:val="0"/>
              <w:snapToGrid w:val="0"/>
              <w:spacing w:line="300" w:lineRule="exact"/>
              <w:jc w:val="center"/>
              <w:rPr>
                <w:rFonts w:hint="eastAsia" w:ascii="宋体" w:hAnsi="宋体"/>
                <w:color w:val="000000" w:themeColor="text1"/>
                <w:kern w:val="0"/>
                <w:szCs w:val="21"/>
                <w14:textFill>
                  <w14:solidFill>
                    <w14:schemeClr w14:val="tx1"/>
                  </w14:solidFill>
                </w14:textFill>
              </w:rPr>
            </w:pPr>
          </w:p>
        </w:tc>
      </w:tr>
      <w:bookmarkEnd w:id="395"/>
      <w:bookmarkEnd w:id="399"/>
    </w:tbl>
    <w:p w14:paraId="30E5E5A5">
      <w:pPr>
        <w:adjustRightInd w:val="0"/>
        <w:snapToGrid w:val="0"/>
        <w:spacing w:line="500" w:lineRule="exact"/>
        <w:ind w:firstLine="480" w:firstLineChars="200"/>
        <w:rPr>
          <w:rFonts w:hint="eastAsia" w:ascii="宋体" w:hAnsi="宋体" w:cs="宋体"/>
          <w:color w:val="000000" w:themeColor="text1"/>
          <w:sz w:val="24"/>
          <w:szCs w:val="24"/>
          <w:lang w:bidi="ar"/>
          <w14:textFill>
            <w14:solidFill>
              <w14:schemeClr w14:val="tx1"/>
            </w14:solidFill>
          </w14:textFill>
        </w:rPr>
      </w:pPr>
      <w:r>
        <w:rPr>
          <w:rFonts w:hint="eastAsia" w:ascii="宋体" w:hAnsi="宋体" w:cs="宋体"/>
          <w:color w:val="000000" w:themeColor="text1"/>
          <w:sz w:val="24"/>
          <w:szCs w:val="24"/>
          <w:lang w:bidi="ar"/>
          <w14:textFill>
            <w14:solidFill>
              <w14:schemeClr w14:val="tx1"/>
            </w14:solidFill>
          </w14:textFill>
        </w:rPr>
        <w:t>（2）监测因子</w:t>
      </w:r>
    </w:p>
    <w:p w14:paraId="69D596CF">
      <w:pPr>
        <w:pStyle w:val="191"/>
        <w:ind w:firstLine="480"/>
        <w:rPr>
          <w:rFonts w:hint="eastAsia" w:cs="宋体"/>
          <w:color w:val="000000" w:themeColor="text1"/>
          <w:lang w:bidi="ar"/>
          <w14:textFill>
            <w14:solidFill>
              <w14:schemeClr w14:val="tx1"/>
            </w14:solidFill>
          </w14:textFill>
        </w:rPr>
      </w:pPr>
      <w:r>
        <w:rPr>
          <w:rFonts w:hint="eastAsia"/>
          <w:bCs/>
          <w:color w:val="000000" w:themeColor="text1"/>
          <w14:textFill>
            <w14:solidFill>
              <w14:schemeClr w14:val="tx1"/>
            </w14:solidFill>
          </w14:textFill>
        </w:rPr>
        <w:t>监测因子：</w:t>
      </w:r>
      <w:r>
        <w:rPr>
          <w:rFonts w:hint="eastAsia" w:cs="宋体"/>
          <w:bCs/>
          <w:color w:val="000000" w:themeColor="text1"/>
          <w14:textFill>
            <w14:solidFill>
              <w14:schemeClr w14:val="tx1"/>
            </w14:solidFill>
          </w14:textFill>
        </w:rPr>
        <w:t>K</w:t>
      </w:r>
      <w:r>
        <w:rPr>
          <w:rFonts w:hint="eastAsia" w:cs="宋体"/>
          <w:bCs/>
          <w:color w:val="000000" w:themeColor="text1"/>
          <w:vertAlign w:val="superscript"/>
          <w14:textFill>
            <w14:solidFill>
              <w14:schemeClr w14:val="tx1"/>
            </w14:solidFill>
          </w14:textFill>
        </w:rPr>
        <w:t>+</w:t>
      </w:r>
      <w:r>
        <w:rPr>
          <w:rFonts w:hint="eastAsia" w:cs="宋体"/>
          <w:bCs/>
          <w:color w:val="000000" w:themeColor="text1"/>
          <w14:textFill>
            <w14:solidFill>
              <w14:schemeClr w14:val="tx1"/>
            </w14:solidFill>
          </w14:textFill>
        </w:rPr>
        <w:t>、Na</w:t>
      </w:r>
      <w:r>
        <w:rPr>
          <w:rFonts w:hint="eastAsia" w:cs="宋体"/>
          <w:bCs/>
          <w:color w:val="000000" w:themeColor="text1"/>
          <w:vertAlign w:val="superscript"/>
          <w14:textFill>
            <w14:solidFill>
              <w14:schemeClr w14:val="tx1"/>
            </w14:solidFill>
          </w14:textFill>
        </w:rPr>
        <w:t>+</w:t>
      </w:r>
      <w:r>
        <w:rPr>
          <w:rFonts w:hint="eastAsia" w:cs="宋体"/>
          <w:bCs/>
          <w:color w:val="000000" w:themeColor="text1"/>
          <w14:textFill>
            <w14:solidFill>
              <w14:schemeClr w14:val="tx1"/>
            </w14:solidFill>
          </w14:textFill>
        </w:rPr>
        <w:t>、Ca</w:t>
      </w:r>
      <w:r>
        <w:rPr>
          <w:rFonts w:hint="eastAsia" w:cs="宋体"/>
          <w:bCs/>
          <w:color w:val="000000" w:themeColor="text1"/>
          <w:vertAlign w:val="superscript"/>
          <w14:textFill>
            <w14:solidFill>
              <w14:schemeClr w14:val="tx1"/>
            </w14:solidFill>
          </w14:textFill>
        </w:rPr>
        <w:t>2+</w:t>
      </w:r>
      <w:r>
        <w:rPr>
          <w:rFonts w:hint="eastAsia" w:cs="宋体"/>
          <w:bCs/>
          <w:color w:val="000000" w:themeColor="text1"/>
          <w14:textFill>
            <w14:solidFill>
              <w14:schemeClr w14:val="tx1"/>
            </w14:solidFill>
          </w14:textFill>
        </w:rPr>
        <w:t>、Mg</w:t>
      </w:r>
      <w:r>
        <w:rPr>
          <w:rFonts w:hint="eastAsia" w:cs="宋体"/>
          <w:bCs/>
          <w:color w:val="000000" w:themeColor="text1"/>
          <w:vertAlign w:val="superscript"/>
          <w14:textFill>
            <w14:solidFill>
              <w14:schemeClr w14:val="tx1"/>
            </w14:solidFill>
          </w14:textFill>
        </w:rPr>
        <w:t>2+</w:t>
      </w:r>
      <w:r>
        <w:rPr>
          <w:rFonts w:hint="eastAsia" w:cs="宋体"/>
          <w:bCs/>
          <w:color w:val="000000" w:themeColor="text1"/>
          <w14:textFill>
            <w14:solidFill>
              <w14:schemeClr w14:val="tx1"/>
            </w14:solidFill>
          </w14:textFill>
        </w:rPr>
        <w:t>、CO</w:t>
      </w:r>
      <w:r>
        <w:rPr>
          <w:rFonts w:hint="eastAsia" w:cs="宋体"/>
          <w:bCs/>
          <w:color w:val="000000" w:themeColor="text1"/>
          <w:vertAlign w:val="subscript"/>
          <w14:textFill>
            <w14:solidFill>
              <w14:schemeClr w14:val="tx1"/>
            </w14:solidFill>
          </w14:textFill>
        </w:rPr>
        <w:t>3</w:t>
      </w:r>
      <w:r>
        <w:rPr>
          <w:rFonts w:hint="eastAsia" w:cs="宋体"/>
          <w:bCs/>
          <w:color w:val="000000" w:themeColor="text1"/>
          <w:vertAlign w:val="superscript"/>
          <w14:textFill>
            <w14:solidFill>
              <w14:schemeClr w14:val="tx1"/>
            </w14:solidFill>
          </w14:textFill>
        </w:rPr>
        <w:t>2-</w:t>
      </w:r>
      <w:r>
        <w:rPr>
          <w:rFonts w:hint="eastAsia" w:cs="宋体"/>
          <w:bCs/>
          <w:color w:val="000000" w:themeColor="text1"/>
          <w14:textFill>
            <w14:solidFill>
              <w14:schemeClr w14:val="tx1"/>
            </w14:solidFill>
          </w14:textFill>
        </w:rPr>
        <w:t>、HCO</w:t>
      </w:r>
      <w:r>
        <w:rPr>
          <w:rFonts w:hint="eastAsia" w:cs="宋体"/>
          <w:bCs/>
          <w:color w:val="000000" w:themeColor="text1"/>
          <w:vertAlign w:val="subscript"/>
          <w14:textFill>
            <w14:solidFill>
              <w14:schemeClr w14:val="tx1"/>
            </w14:solidFill>
          </w14:textFill>
        </w:rPr>
        <w:t>3</w:t>
      </w:r>
      <w:r>
        <w:rPr>
          <w:rFonts w:hint="eastAsia" w:cs="宋体"/>
          <w:bCs/>
          <w:color w:val="000000" w:themeColor="text1"/>
          <w:vertAlign w:val="superscript"/>
          <w14:textFill>
            <w14:solidFill>
              <w14:schemeClr w14:val="tx1"/>
            </w14:solidFill>
          </w14:textFill>
        </w:rPr>
        <w:t>-</w:t>
      </w:r>
      <w:r>
        <w:rPr>
          <w:rFonts w:hint="eastAsia" w:cs="宋体"/>
          <w:bCs/>
          <w:color w:val="000000" w:themeColor="text1"/>
          <w14:textFill>
            <w14:solidFill>
              <w14:schemeClr w14:val="tx1"/>
            </w14:solidFill>
          </w14:textFill>
        </w:rPr>
        <w:t>、Cl</w:t>
      </w:r>
      <w:r>
        <w:rPr>
          <w:rFonts w:hint="eastAsia" w:cs="宋体"/>
          <w:bCs/>
          <w:color w:val="000000" w:themeColor="text1"/>
          <w:vertAlign w:val="superscript"/>
          <w14:textFill>
            <w14:solidFill>
              <w14:schemeClr w14:val="tx1"/>
            </w14:solidFill>
          </w14:textFill>
        </w:rPr>
        <w:t>-</w:t>
      </w:r>
      <w:r>
        <w:rPr>
          <w:rFonts w:hint="eastAsia" w:cs="宋体"/>
          <w:bCs/>
          <w:color w:val="000000" w:themeColor="text1"/>
          <w14:textFill>
            <w14:solidFill>
              <w14:schemeClr w14:val="tx1"/>
            </w14:solidFill>
          </w14:textFill>
        </w:rPr>
        <w:t>、SO</w:t>
      </w:r>
      <w:r>
        <w:rPr>
          <w:rFonts w:hint="eastAsia" w:cs="宋体"/>
          <w:bCs/>
          <w:color w:val="000000" w:themeColor="text1"/>
          <w:vertAlign w:val="subscript"/>
          <w14:textFill>
            <w14:solidFill>
              <w14:schemeClr w14:val="tx1"/>
            </w14:solidFill>
          </w14:textFill>
        </w:rPr>
        <w:t>4</w:t>
      </w:r>
      <w:r>
        <w:rPr>
          <w:rFonts w:hint="eastAsia" w:cs="宋体"/>
          <w:bCs/>
          <w:color w:val="000000" w:themeColor="text1"/>
          <w:vertAlign w:val="superscript"/>
          <w14:textFill>
            <w14:solidFill>
              <w14:schemeClr w14:val="tx1"/>
            </w14:solidFill>
          </w14:textFill>
        </w:rPr>
        <w:t>2-</w:t>
      </w:r>
      <w:r>
        <w:rPr>
          <w:rFonts w:hint="eastAsia" w:cs="宋体"/>
          <w:bCs/>
          <w:color w:val="000000" w:themeColor="text1"/>
          <w14:textFill>
            <w14:solidFill>
              <w14:schemeClr w14:val="tx1"/>
            </w14:solidFill>
          </w14:textFill>
        </w:rPr>
        <w:t>的浓度，pH、氨氮、硝酸盐氮、亚硝酸盐氮、挥发性酚类、氰化物、砷、汞、铬（六价）、总硬度、铅、氟化物、镉、铁、锰、溶解性总固体、耗氧量、硫酸盐、氯化物、石油类、总大肠菌群、细菌总数、色、浑浊度、肉眼可见物、钠、硫化物。</w:t>
      </w:r>
    </w:p>
    <w:p w14:paraId="42077265">
      <w:pPr>
        <w:adjustRightInd w:val="0"/>
        <w:snapToGrid w:val="0"/>
        <w:spacing w:line="500" w:lineRule="exact"/>
        <w:ind w:firstLine="480" w:firstLineChars="200"/>
        <w:rPr>
          <w:rFonts w:hint="eastAsia" w:ascii="宋体" w:hAnsi="宋体" w:cs="宋体"/>
          <w:color w:val="000000" w:themeColor="text1"/>
          <w:sz w:val="24"/>
          <w:szCs w:val="24"/>
          <w:lang w:bidi="ar"/>
          <w14:textFill>
            <w14:solidFill>
              <w14:schemeClr w14:val="tx1"/>
            </w14:solidFill>
          </w14:textFill>
        </w:rPr>
      </w:pPr>
      <w:r>
        <w:rPr>
          <w:rFonts w:hint="eastAsia" w:ascii="宋体" w:hAnsi="宋体" w:cs="宋体"/>
          <w:color w:val="000000" w:themeColor="text1"/>
          <w:sz w:val="24"/>
          <w:szCs w:val="24"/>
          <w:lang w:bidi="ar"/>
          <w14:textFill>
            <w14:solidFill>
              <w14:schemeClr w14:val="tx1"/>
            </w14:solidFill>
          </w14:textFill>
        </w:rPr>
        <w:t>（3）评价</w:t>
      </w:r>
      <w:r>
        <w:rPr>
          <w:rFonts w:ascii="宋体" w:hAnsi="宋体" w:cs="宋体"/>
          <w:color w:val="000000" w:themeColor="text1"/>
          <w:sz w:val="24"/>
          <w:szCs w:val="24"/>
          <w:lang w:bidi="ar"/>
          <w14:textFill>
            <w14:solidFill>
              <w14:schemeClr w14:val="tx1"/>
            </w14:solidFill>
          </w14:textFill>
        </w:rPr>
        <w:t>标准</w:t>
      </w:r>
    </w:p>
    <w:p w14:paraId="32BC5573">
      <w:pPr>
        <w:adjustRightInd w:val="0"/>
        <w:snapToGrid w:val="0"/>
        <w:spacing w:line="500" w:lineRule="exact"/>
        <w:ind w:firstLine="480" w:firstLineChars="200"/>
        <w:rPr>
          <w:rFonts w:hint="eastAsia" w:ascii="宋体" w:hAnsi="宋体" w:cs="宋体"/>
          <w:color w:val="000000" w:themeColor="text1"/>
          <w:sz w:val="24"/>
          <w:szCs w:val="24"/>
          <w:lang w:bidi="ar"/>
          <w14:textFill>
            <w14:solidFill>
              <w14:schemeClr w14:val="tx1"/>
            </w14:solidFill>
          </w14:textFill>
        </w:rPr>
      </w:pPr>
      <w:r>
        <w:rPr>
          <w:rFonts w:ascii="宋体" w:hAnsi="宋体" w:cs="宋体"/>
          <w:color w:val="000000" w:themeColor="text1"/>
          <w:sz w:val="24"/>
          <w:szCs w:val="24"/>
          <w:lang w:bidi="ar"/>
          <w14:textFill>
            <w14:solidFill>
              <w14:schemeClr w14:val="tx1"/>
            </w14:solidFill>
          </w14:textFill>
        </w:rPr>
        <w:t>执行</w:t>
      </w:r>
      <w:bookmarkStart w:id="401" w:name="OLE_LINK2"/>
      <w:r>
        <w:rPr>
          <w:rFonts w:ascii="宋体" w:hAnsi="宋体" w:cs="宋体"/>
          <w:color w:val="000000" w:themeColor="text1"/>
          <w:sz w:val="24"/>
          <w:szCs w:val="24"/>
          <w:lang w:bidi="ar"/>
          <w14:textFill>
            <w14:solidFill>
              <w14:schemeClr w14:val="tx1"/>
            </w14:solidFill>
          </w14:textFill>
        </w:rPr>
        <w:t>《地下水质量标准》（GB/T14848-</w:t>
      </w:r>
      <w:r>
        <w:rPr>
          <w:rFonts w:hint="eastAsia" w:ascii="宋体" w:hAnsi="宋体" w:cs="宋体"/>
          <w:color w:val="000000" w:themeColor="text1"/>
          <w:sz w:val="24"/>
          <w:szCs w:val="24"/>
          <w:lang w:bidi="ar"/>
          <w14:textFill>
            <w14:solidFill>
              <w14:schemeClr w14:val="tx1"/>
            </w14:solidFill>
          </w14:textFill>
        </w:rPr>
        <w:t>2017</w:t>
      </w:r>
      <w:r>
        <w:rPr>
          <w:rFonts w:ascii="宋体" w:hAnsi="宋体" w:cs="宋体"/>
          <w:color w:val="000000" w:themeColor="text1"/>
          <w:sz w:val="24"/>
          <w:szCs w:val="24"/>
          <w:lang w:bidi="ar"/>
          <w14:textFill>
            <w14:solidFill>
              <w14:schemeClr w14:val="tx1"/>
            </w14:solidFill>
          </w14:textFill>
        </w:rPr>
        <w:t>）</w:t>
      </w:r>
      <w:r>
        <w:rPr>
          <w:rFonts w:hint="eastAsia" w:ascii="宋体" w:hAnsi="宋体" w:cs="宋体"/>
          <w:color w:val="000000" w:themeColor="text1"/>
          <w:sz w:val="24"/>
          <w:szCs w:val="24"/>
          <w:lang w:bidi="ar"/>
          <w14:textFill>
            <w14:solidFill>
              <w14:schemeClr w14:val="tx1"/>
            </w14:solidFill>
          </w14:textFill>
        </w:rPr>
        <w:t>Ⅲ</w:t>
      </w:r>
      <w:r>
        <w:rPr>
          <w:rFonts w:ascii="宋体" w:hAnsi="宋体" w:cs="宋体"/>
          <w:color w:val="000000" w:themeColor="text1"/>
          <w:sz w:val="24"/>
          <w:szCs w:val="24"/>
          <w:lang w:bidi="ar"/>
          <w14:textFill>
            <w14:solidFill>
              <w14:schemeClr w14:val="tx1"/>
            </w14:solidFill>
          </w14:textFill>
        </w:rPr>
        <w:t>类标准</w:t>
      </w:r>
      <w:bookmarkEnd w:id="401"/>
      <w:r>
        <w:rPr>
          <w:rFonts w:hint="eastAsia" w:ascii="宋体" w:hAnsi="宋体" w:cs="宋体"/>
          <w:color w:val="000000" w:themeColor="text1"/>
          <w:sz w:val="24"/>
          <w:szCs w:val="24"/>
          <w:lang w:bidi="ar"/>
          <w14:textFill>
            <w14:solidFill>
              <w14:schemeClr w14:val="tx1"/>
            </w14:solidFill>
          </w14:textFill>
        </w:rPr>
        <w:t>，石油类参照《地表水环境质量标准》（GB3838-2002）中的Ⅲ类标准</w:t>
      </w:r>
    </w:p>
    <w:p w14:paraId="7E26DE90">
      <w:pPr>
        <w:adjustRightInd w:val="0"/>
        <w:snapToGrid w:val="0"/>
        <w:spacing w:line="500" w:lineRule="exact"/>
        <w:ind w:firstLine="480" w:firstLineChars="200"/>
        <w:rPr>
          <w:rFonts w:hint="eastAsia" w:ascii="宋体" w:hAnsi="宋体" w:cs="宋体"/>
          <w:color w:val="000000" w:themeColor="text1"/>
          <w:sz w:val="24"/>
          <w:szCs w:val="24"/>
          <w:lang w:bidi="ar"/>
          <w14:textFill>
            <w14:solidFill>
              <w14:schemeClr w14:val="tx1"/>
            </w14:solidFill>
          </w14:textFill>
        </w:rPr>
      </w:pPr>
      <w:r>
        <w:rPr>
          <w:rFonts w:hint="eastAsia" w:ascii="宋体" w:hAnsi="宋体" w:cs="宋体"/>
          <w:color w:val="000000" w:themeColor="text1"/>
          <w:sz w:val="24"/>
          <w:szCs w:val="24"/>
          <w:lang w:bidi="ar"/>
          <w14:textFill>
            <w14:solidFill>
              <w14:schemeClr w14:val="tx1"/>
            </w14:solidFill>
          </w14:textFill>
        </w:rPr>
        <w:t>（4）</w:t>
      </w:r>
      <w:r>
        <w:rPr>
          <w:rFonts w:ascii="宋体" w:hAnsi="宋体" w:cs="宋体"/>
          <w:color w:val="000000" w:themeColor="text1"/>
          <w:sz w:val="24"/>
          <w:szCs w:val="24"/>
          <w:lang w:bidi="ar"/>
          <w14:textFill>
            <w14:solidFill>
              <w14:schemeClr w14:val="tx1"/>
            </w14:solidFill>
          </w14:textFill>
        </w:rPr>
        <w:t>评价</w:t>
      </w:r>
      <w:r>
        <w:rPr>
          <w:rFonts w:hint="eastAsia" w:ascii="宋体" w:hAnsi="宋体" w:cs="宋体"/>
          <w:color w:val="000000" w:themeColor="text1"/>
          <w:sz w:val="24"/>
          <w:szCs w:val="24"/>
          <w:lang w:bidi="ar"/>
          <w14:textFill>
            <w14:solidFill>
              <w14:schemeClr w14:val="tx1"/>
            </w14:solidFill>
          </w14:textFill>
        </w:rPr>
        <w:t>方法</w:t>
      </w:r>
    </w:p>
    <w:p w14:paraId="34352696">
      <w:pPr>
        <w:adjustRightInd w:val="0"/>
        <w:snapToGrid w:val="0"/>
        <w:spacing w:line="500" w:lineRule="exact"/>
        <w:ind w:firstLine="480" w:firstLineChars="200"/>
        <w:rPr>
          <w:rFonts w:hint="eastAsia" w:ascii="宋体" w:hAnsi="宋体" w:cs="宋体"/>
          <w:color w:val="000000" w:themeColor="text1"/>
          <w:sz w:val="24"/>
          <w:szCs w:val="24"/>
          <w:lang w:bidi="ar"/>
          <w14:textFill>
            <w14:solidFill>
              <w14:schemeClr w14:val="tx1"/>
            </w14:solidFill>
          </w14:textFill>
        </w:rPr>
      </w:pPr>
      <w:bookmarkStart w:id="402" w:name="_Hlk78400630"/>
      <w:r>
        <w:rPr>
          <w:rFonts w:hint="eastAsia" w:ascii="宋体" w:hAnsi="宋体" w:cs="宋体"/>
          <w:color w:val="000000" w:themeColor="text1"/>
          <w:sz w:val="24"/>
          <w:szCs w:val="24"/>
          <w:lang w:bidi="ar"/>
          <w14:textFill>
            <w14:solidFill>
              <w14:schemeClr w14:val="tx1"/>
            </w14:solidFill>
          </w14:textFill>
        </w:rPr>
        <w:t>采用单项标准指数法对地下水进行评价。</w:t>
      </w:r>
    </w:p>
    <w:p w14:paraId="76160E19">
      <w:pPr>
        <w:adjustRightInd w:val="0"/>
        <w:snapToGrid w:val="0"/>
        <w:spacing w:line="500" w:lineRule="exact"/>
        <w:ind w:firstLine="496" w:firstLineChars="200"/>
        <w:jc w:val="center"/>
        <w:rPr>
          <w:rFonts w:hint="eastAsia" w:ascii="宋体" w:hAnsi="宋体" w:cs="宋体"/>
          <w:color w:val="000000" w:themeColor="text1"/>
          <w:spacing w:val="4"/>
          <w:sz w:val="24"/>
          <w:szCs w:val="24"/>
          <w14:textFill>
            <w14:solidFill>
              <w14:schemeClr w14:val="tx1"/>
            </w14:solidFill>
          </w14:textFill>
        </w:rPr>
      </w:pPr>
      <w:r>
        <w:rPr>
          <w:rFonts w:hint="eastAsia" w:ascii="宋体" w:hAnsi="宋体" w:cs="宋体"/>
          <w:color w:val="000000" w:themeColor="text1"/>
          <w:spacing w:val="4"/>
          <w:sz w:val="24"/>
          <w:szCs w:val="24"/>
          <w:lang w:bidi="ar"/>
          <w14:textFill>
            <w14:solidFill>
              <w14:schemeClr w14:val="tx1"/>
            </w14:solidFill>
          </w14:textFill>
        </w:rPr>
        <w:t>P</w:t>
      </w:r>
      <w:r>
        <w:rPr>
          <w:rFonts w:hint="eastAsia" w:ascii="宋体" w:hAnsi="宋体" w:cs="宋体"/>
          <w:color w:val="000000" w:themeColor="text1"/>
          <w:spacing w:val="4"/>
          <w:sz w:val="24"/>
          <w:szCs w:val="24"/>
          <w:vertAlign w:val="subscript"/>
          <w:lang w:bidi="ar"/>
          <w14:textFill>
            <w14:solidFill>
              <w14:schemeClr w14:val="tx1"/>
            </w14:solidFill>
          </w14:textFill>
        </w:rPr>
        <w:t>i</w:t>
      </w:r>
      <w:r>
        <w:rPr>
          <w:rFonts w:hint="eastAsia" w:ascii="宋体" w:hAnsi="宋体" w:cs="宋体"/>
          <w:color w:val="000000" w:themeColor="text1"/>
          <w:spacing w:val="4"/>
          <w:sz w:val="24"/>
          <w:szCs w:val="24"/>
          <w:lang w:bidi="ar"/>
          <w14:textFill>
            <w14:solidFill>
              <w14:schemeClr w14:val="tx1"/>
            </w14:solidFill>
          </w14:textFill>
        </w:rPr>
        <w:t>=C</w:t>
      </w:r>
      <w:r>
        <w:rPr>
          <w:rFonts w:hint="eastAsia" w:ascii="宋体" w:hAnsi="宋体" w:cs="宋体"/>
          <w:color w:val="000000" w:themeColor="text1"/>
          <w:spacing w:val="4"/>
          <w:sz w:val="24"/>
          <w:szCs w:val="24"/>
          <w:vertAlign w:val="subscript"/>
          <w:lang w:bidi="ar"/>
          <w14:textFill>
            <w14:solidFill>
              <w14:schemeClr w14:val="tx1"/>
            </w14:solidFill>
          </w14:textFill>
        </w:rPr>
        <w:t>i</w:t>
      </w:r>
      <w:r>
        <w:rPr>
          <w:rFonts w:hint="eastAsia" w:ascii="宋体" w:hAnsi="宋体" w:cs="宋体"/>
          <w:color w:val="000000" w:themeColor="text1"/>
          <w:spacing w:val="4"/>
          <w:sz w:val="24"/>
          <w:szCs w:val="24"/>
          <w:lang w:bidi="ar"/>
          <w14:textFill>
            <w14:solidFill>
              <w14:schemeClr w14:val="tx1"/>
            </w14:solidFill>
          </w14:textFill>
        </w:rPr>
        <w:t>/C</w:t>
      </w:r>
      <w:r>
        <w:rPr>
          <w:rFonts w:hint="eastAsia" w:ascii="宋体" w:hAnsi="宋体" w:cs="宋体"/>
          <w:color w:val="000000" w:themeColor="text1"/>
          <w:spacing w:val="4"/>
          <w:sz w:val="24"/>
          <w:szCs w:val="24"/>
          <w:vertAlign w:val="subscript"/>
          <w:lang w:bidi="ar"/>
          <w14:textFill>
            <w14:solidFill>
              <w14:schemeClr w14:val="tx1"/>
            </w14:solidFill>
          </w14:textFill>
        </w:rPr>
        <w:t>si</w:t>
      </w:r>
    </w:p>
    <w:p w14:paraId="4727CB78">
      <w:pPr>
        <w:adjustRightInd w:val="0"/>
        <w:snapToGrid w:val="0"/>
        <w:spacing w:line="500" w:lineRule="exact"/>
        <w:ind w:firstLine="480" w:firstLineChars="200"/>
        <w:rPr>
          <w:rFonts w:hint="eastAsia"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lang w:bidi="ar"/>
          <w14:textFill>
            <w14:solidFill>
              <w14:schemeClr w14:val="tx1"/>
            </w14:solidFill>
          </w14:textFill>
        </w:rPr>
        <w:t>式中：P</w:t>
      </w:r>
      <w:r>
        <w:rPr>
          <w:rFonts w:hint="eastAsia" w:ascii="宋体" w:hAnsi="宋体" w:cs="宋体"/>
          <w:color w:val="000000" w:themeColor="text1"/>
          <w:sz w:val="24"/>
          <w:szCs w:val="24"/>
          <w:vertAlign w:val="subscript"/>
          <w:lang w:bidi="ar"/>
          <w14:textFill>
            <w14:solidFill>
              <w14:schemeClr w14:val="tx1"/>
            </w14:solidFill>
          </w14:textFill>
        </w:rPr>
        <w:t>i</w:t>
      </w:r>
      <w:r>
        <w:rPr>
          <w:rFonts w:hint="eastAsia" w:ascii="宋体" w:hAnsi="宋体" w:cs="宋体"/>
          <w:color w:val="000000" w:themeColor="text1"/>
          <w:sz w:val="24"/>
          <w:szCs w:val="24"/>
          <w:lang w:bidi="ar"/>
          <w14:textFill>
            <w14:solidFill>
              <w14:schemeClr w14:val="tx1"/>
            </w14:solidFill>
          </w14:textFill>
        </w:rPr>
        <w:t>——水质单项标准指数；</w:t>
      </w:r>
    </w:p>
    <w:p w14:paraId="5CB59422">
      <w:pPr>
        <w:adjustRightInd w:val="0"/>
        <w:snapToGrid w:val="0"/>
        <w:spacing w:line="500" w:lineRule="exact"/>
        <w:ind w:firstLine="480" w:firstLineChars="200"/>
        <w:rPr>
          <w:rFonts w:hint="eastAsia"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lang w:bidi="ar"/>
          <w14:textFill>
            <w14:solidFill>
              <w14:schemeClr w14:val="tx1"/>
            </w14:solidFill>
          </w14:textFill>
        </w:rPr>
        <w:t xml:space="preserve">      C</w:t>
      </w:r>
      <w:r>
        <w:rPr>
          <w:rFonts w:hint="eastAsia" w:ascii="宋体" w:hAnsi="宋体" w:cs="宋体"/>
          <w:color w:val="000000" w:themeColor="text1"/>
          <w:sz w:val="24"/>
          <w:szCs w:val="24"/>
          <w:vertAlign w:val="subscript"/>
          <w:lang w:bidi="ar"/>
          <w14:textFill>
            <w14:solidFill>
              <w14:schemeClr w14:val="tx1"/>
            </w14:solidFill>
          </w14:textFill>
        </w:rPr>
        <w:t>i,j</w:t>
      </w:r>
      <w:r>
        <w:rPr>
          <w:rFonts w:hint="eastAsia" w:ascii="宋体" w:hAnsi="宋体" w:cs="宋体"/>
          <w:color w:val="000000" w:themeColor="text1"/>
          <w:sz w:val="24"/>
          <w:szCs w:val="24"/>
          <w:lang w:bidi="ar"/>
          <w14:textFill>
            <w14:solidFill>
              <w14:schemeClr w14:val="tx1"/>
            </w14:solidFill>
          </w14:textFill>
        </w:rPr>
        <w:t>——水质评价因子i在第j取样点的浓度，mg/L；</w:t>
      </w:r>
    </w:p>
    <w:p w14:paraId="3D00B884">
      <w:pPr>
        <w:adjustRightInd w:val="0"/>
        <w:snapToGrid w:val="0"/>
        <w:spacing w:line="500" w:lineRule="exact"/>
        <w:ind w:firstLine="480" w:firstLineChars="200"/>
        <w:rPr>
          <w:rFonts w:hint="eastAsia"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lang w:bidi="ar"/>
          <w14:textFill>
            <w14:solidFill>
              <w14:schemeClr w14:val="tx1"/>
            </w14:solidFill>
          </w14:textFill>
        </w:rPr>
        <w:t xml:space="preserve">      C</w:t>
      </w:r>
      <w:r>
        <w:rPr>
          <w:rFonts w:hint="eastAsia" w:ascii="宋体" w:hAnsi="宋体" w:cs="宋体"/>
          <w:color w:val="000000" w:themeColor="text1"/>
          <w:sz w:val="24"/>
          <w:szCs w:val="24"/>
          <w:vertAlign w:val="subscript"/>
          <w:lang w:bidi="ar"/>
          <w14:textFill>
            <w14:solidFill>
              <w14:schemeClr w14:val="tx1"/>
            </w14:solidFill>
          </w14:textFill>
        </w:rPr>
        <w:t xml:space="preserve">si </w:t>
      </w:r>
      <w:r>
        <w:rPr>
          <w:rFonts w:hint="eastAsia" w:ascii="宋体" w:hAnsi="宋体" w:cs="宋体"/>
          <w:color w:val="000000" w:themeColor="text1"/>
          <w:sz w:val="24"/>
          <w:szCs w:val="24"/>
          <w:lang w:bidi="ar"/>
          <w14:textFill>
            <w14:solidFill>
              <w14:schemeClr w14:val="tx1"/>
            </w14:solidFill>
          </w14:textFill>
        </w:rPr>
        <w:t>——i因子的评价标准，mg/L；</w:t>
      </w:r>
    </w:p>
    <w:p w14:paraId="5FB36376">
      <w:pPr>
        <w:adjustRightInd w:val="0"/>
        <w:snapToGrid w:val="0"/>
        <w:spacing w:line="500" w:lineRule="exact"/>
        <w:ind w:firstLine="480" w:firstLineChars="200"/>
        <w:rPr>
          <w:rFonts w:hint="eastAsia"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lang w:bidi="ar"/>
          <w14:textFill>
            <w14:solidFill>
              <w14:schemeClr w14:val="tx1"/>
            </w14:solidFill>
          </w14:textFill>
        </w:rPr>
        <w:t>pH的单项标准指数表达式为：</w:t>
      </w:r>
    </w:p>
    <w:p w14:paraId="7FFB98F4">
      <w:pPr>
        <w:adjustRightInd w:val="0"/>
        <w:snapToGrid w:val="0"/>
        <w:spacing w:line="360" w:lineRule="auto"/>
        <w:ind w:firstLine="496" w:firstLineChars="200"/>
        <w:rPr>
          <w:rFonts w:hint="eastAsia" w:ascii="宋体" w:hAnsi="宋体" w:cs="宋体"/>
          <w:color w:val="000000" w:themeColor="text1"/>
          <w:spacing w:val="4"/>
          <w:sz w:val="24"/>
          <w:szCs w:val="24"/>
          <w14:textFill>
            <w14:solidFill>
              <w14:schemeClr w14:val="tx1"/>
            </w14:solidFill>
          </w14:textFill>
        </w:rPr>
      </w:pPr>
      <w:r>
        <w:rPr>
          <w:rFonts w:hint="eastAsia" w:ascii="宋体" w:hAnsi="宋体" w:cs="宋体"/>
          <w:color w:val="000000" w:themeColor="text1"/>
          <w:spacing w:val="4"/>
          <w:sz w:val="24"/>
          <w:szCs w:val="24"/>
          <w:lang w:bidi="ar"/>
          <w14:textFill>
            <w14:solidFill>
              <w14:schemeClr w14:val="tx1"/>
            </w14:solidFill>
          </w14:textFill>
        </w:rPr>
        <w:t>pH</w:t>
      </w:r>
      <w:r>
        <w:rPr>
          <w:rFonts w:hint="eastAsia" w:ascii="宋体" w:hAnsi="宋体" w:cs="宋体"/>
          <w:color w:val="000000" w:themeColor="text1"/>
          <w:spacing w:val="4"/>
          <w:sz w:val="24"/>
          <w:szCs w:val="24"/>
          <w:vertAlign w:val="subscript"/>
          <w:lang w:bidi="ar"/>
          <w14:textFill>
            <w14:solidFill>
              <w14:schemeClr w14:val="tx1"/>
            </w14:solidFill>
          </w14:textFill>
        </w:rPr>
        <w:t>j</w:t>
      </w:r>
      <w:r>
        <w:rPr>
          <w:rFonts w:hint="eastAsia" w:ascii="宋体" w:hAnsi="宋体" w:cs="宋体"/>
          <w:color w:val="000000" w:themeColor="text1"/>
          <w:spacing w:val="4"/>
          <w:sz w:val="24"/>
          <w:szCs w:val="24"/>
          <w:lang w:bidi="ar"/>
          <w14:textFill>
            <w14:solidFill>
              <w14:schemeClr w14:val="tx1"/>
            </w14:solidFill>
          </w14:textFill>
        </w:rPr>
        <w:t xml:space="preserve">≤7.0时；  </w:t>
      </w:r>
      <w:r>
        <w:rPr>
          <w:rFonts w:hint="eastAsia" w:ascii="宋体" w:hAnsi="宋体" w:cs="宋体"/>
          <w:color w:val="000000" w:themeColor="text1"/>
          <w:spacing w:val="4"/>
          <w:position w:val="-30"/>
          <w:sz w:val="24"/>
          <w:szCs w:val="24"/>
          <w:lang w:bidi="ar"/>
          <w14:textFill>
            <w14:solidFill>
              <w14:schemeClr w14:val="tx1"/>
            </w14:solidFill>
          </w14:textFill>
        </w:rPr>
        <w:drawing>
          <wp:inline distT="0" distB="0" distL="0" distR="0">
            <wp:extent cx="1217295" cy="454660"/>
            <wp:effectExtent l="0" t="0" r="0" b="0"/>
            <wp:docPr id="23"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0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1217295" cy="454660"/>
                    </a:xfrm>
                    <a:prstGeom prst="rect">
                      <a:avLst/>
                    </a:prstGeom>
                    <a:noFill/>
                    <a:ln>
                      <a:noFill/>
                    </a:ln>
                  </pic:spPr>
                </pic:pic>
              </a:graphicData>
            </a:graphic>
          </wp:inline>
        </w:drawing>
      </w:r>
    </w:p>
    <w:p w14:paraId="7227C8D7">
      <w:pPr>
        <w:adjustRightInd w:val="0"/>
        <w:snapToGrid w:val="0"/>
        <w:spacing w:line="360" w:lineRule="auto"/>
        <w:ind w:firstLine="496" w:firstLineChars="200"/>
        <w:rPr>
          <w:rFonts w:hint="eastAsia" w:ascii="宋体" w:hAnsi="宋体" w:cs="宋体"/>
          <w:color w:val="000000" w:themeColor="text1"/>
          <w:spacing w:val="4"/>
          <w:sz w:val="24"/>
          <w:szCs w:val="24"/>
          <w14:textFill>
            <w14:solidFill>
              <w14:schemeClr w14:val="tx1"/>
            </w14:solidFill>
          </w14:textFill>
        </w:rPr>
      </w:pPr>
      <w:r>
        <w:rPr>
          <w:rFonts w:hint="eastAsia" w:ascii="宋体" w:hAnsi="宋体" w:cs="宋体"/>
          <w:color w:val="000000" w:themeColor="text1"/>
          <w:spacing w:val="4"/>
          <w:sz w:val="24"/>
          <w:szCs w:val="24"/>
          <w:lang w:bidi="ar"/>
          <w14:textFill>
            <w14:solidFill>
              <w14:schemeClr w14:val="tx1"/>
            </w14:solidFill>
          </w14:textFill>
        </w:rPr>
        <w:t>pH</w:t>
      </w:r>
      <w:r>
        <w:rPr>
          <w:rFonts w:hint="eastAsia" w:ascii="宋体" w:hAnsi="宋体" w:cs="宋体"/>
          <w:color w:val="000000" w:themeColor="text1"/>
          <w:spacing w:val="4"/>
          <w:sz w:val="24"/>
          <w:szCs w:val="24"/>
          <w:vertAlign w:val="subscript"/>
          <w:lang w:bidi="ar"/>
          <w14:textFill>
            <w14:solidFill>
              <w14:schemeClr w14:val="tx1"/>
            </w14:solidFill>
          </w14:textFill>
        </w:rPr>
        <w:t>j</w:t>
      </w:r>
      <w:r>
        <w:rPr>
          <w:rFonts w:hint="eastAsia" w:ascii="宋体" w:hAnsi="宋体" w:cs="宋体"/>
          <w:color w:val="000000" w:themeColor="text1"/>
          <w:spacing w:val="4"/>
          <w:sz w:val="24"/>
          <w:szCs w:val="24"/>
          <w:lang w:bidi="ar"/>
          <w14:textFill>
            <w14:solidFill>
              <w14:schemeClr w14:val="tx1"/>
            </w14:solidFill>
          </w14:textFill>
        </w:rPr>
        <w:t xml:space="preserve">＞7.0时；  </w:t>
      </w:r>
      <w:r>
        <w:rPr>
          <w:rFonts w:hint="eastAsia" w:ascii="宋体" w:hAnsi="宋体" w:cs="宋体"/>
          <w:color w:val="000000" w:themeColor="text1"/>
          <w:spacing w:val="4"/>
          <w:position w:val="-30"/>
          <w:sz w:val="24"/>
          <w:szCs w:val="24"/>
          <w:lang w:bidi="ar"/>
          <w14:textFill>
            <w14:solidFill>
              <w14:schemeClr w14:val="tx1"/>
            </w14:solidFill>
          </w14:textFill>
        </w:rPr>
        <w:drawing>
          <wp:inline distT="0" distB="0" distL="0" distR="0">
            <wp:extent cx="1217295" cy="454660"/>
            <wp:effectExtent l="0" t="0" r="0" b="0"/>
            <wp:docPr id="24"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0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1217295" cy="454660"/>
                    </a:xfrm>
                    <a:prstGeom prst="rect">
                      <a:avLst/>
                    </a:prstGeom>
                    <a:noFill/>
                    <a:ln>
                      <a:noFill/>
                    </a:ln>
                  </pic:spPr>
                </pic:pic>
              </a:graphicData>
            </a:graphic>
          </wp:inline>
        </w:drawing>
      </w:r>
    </w:p>
    <w:p w14:paraId="7B50D836">
      <w:pPr>
        <w:adjustRightInd w:val="0"/>
        <w:snapToGrid w:val="0"/>
        <w:spacing w:line="500" w:lineRule="exact"/>
        <w:ind w:firstLine="480" w:firstLineChars="200"/>
        <w:rPr>
          <w:rFonts w:hint="eastAsia"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lang w:bidi="ar"/>
          <w14:textFill>
            <w14:solidFill>
              <w14:schemeClr w14:val="tx1"/>
            </w14:solidFill>
          </w14:textFill>
        </w:rPr>
        <w:t>式中：S</w:t>
      </w:r>
      <w:r>
        <w:rPr>
          <w:rFonts w:hint="eastAsia" w:ascii="宋体" w:hAnsi="宋体" w:cs="宋体"/>
          <w:color w:val="000000" w:themeColor="text1"/>
          <w:sz w:val="24"/>
          <w:szCs w:val="24"/>
          <w:vertAlign w:val="subscript"/>
          <w:lang w:bidi="ar"/>
          <w14:textFill>
            <w14:solidFill>
              <w14:schemeClr w14:val="tx1"/>
            </w14:solidFill>
          </w14:textFill>
        </w:rPr>
        <w:t>pH,j</w:t>
      </w:r>
      <w:r>
        <w:rPr>
          <w:rFonts w:hint="eastAsia" w:ascii="宋体" w:hAnsi="宋体" w:cs="宋体"/>
          <w:color w:val="000000" w:themeColor="text1"/>
          <w:sz w:val="24"/>
          <w:szCs w:val="24"/>
          <w:lang w:bidi="ar"/>
          <w14:textFill>
            <w14:solidFill>
              <w14:schemeClr w14:val="tx1"/>
            </w14:solidFill>
          </w14:textFill>
        </w:rPr>
        <w:t>—pH标准指数；</w:t>
      </w:r>
    </w:p>
    <w:p w14:paraId="67839669">
      <w:pPr>
        <w:adjustRightInd w:val="0"/>
        <w:snapToGrid w:val="0"/>
        <w:spacing w:line="500" w:lineRule="exact"/>
        <w:ind w:firstLine="480" w:firstLineChars="200"/>
        <w:rPr>
          <w:rFonts w:hint="eastAsia"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lang w:bidi="ar"/>
          <w14:textFill>
            <w14:solidFill>
              <w14:schemeClr w14:val="tx1"/>
            </w14:solidFill>
          </w14:textFill>
        </w:rPr>
        <w:t xml:space="preserve">      pH</w:t>
      </w:r>
      <w:r>
        <w:rPr>
          <w:rFonts w:hint="eastAsia" w:ascii="宋体" w:hAnsi="宋体" w:cs="宋体"/>
          <w:color w:val="000000" w:themeColor="text1"/>
          <w:sz w:val="24"/>
          <w:szCs w:val="24"/>
          <w:vertAlign w:val="subscript"/>
          <w:lang w:bidi="ar"/>
          <w14:textFill>
            <w14:solidFill>
              <w14:schemeClr w14:val="tx1"/>
            </w14:solidFill>
          </w14:textFill>
        </w:rPr>
        <w:t xml:space="preserve">j </w:t>
      </w:r>
      <w:r>
        <w:rPr>
          <w:rFonts w:hint="eastAsia" w:ascii="宋体" w:hAnsi="宋体" w:cs="宋体"/>
          <w:color w:val="000000" w:themeColor="text1"/>
          <w:sz w:val="24"/>
          <w:szCs w:val="24"/>
          <w:lang w:bidi="ar"/>
          <w14:textFill>
            <w14:solidFill>
              <w14:schemeClr w14:val="tx1"/>
            </w14:solidFill>
          </w14:textFill>
        </w:rPr>
        <w:t>—j点实测pH值；</w:t>
      </w:r>
    </w:p>
    <w:p w14:paraId="3E2E31A8">
      <w:pPr>
        <w:adjustRightInd w:val="0"/>
        <w:snapToGrid w:val="0"/>
        <w:spacing w:line="500" w:lineRule="exact"/>
        <w:ind w:firstLine="480" w:firstLineChars="200"/>
        <w:rPr>
          <w:rFonts w:hint="eastAsia"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lang w:bidi="ar"/>
          <w14:textFill>
            <w14:solidFill>
              <w14:schemeClr w14:val="tx1"/>
            </w14:solidFill>
          </w14:textFill>
        </w:rPr>
        <w:t xml:space="preserve">      pH</w:t>
      </w:r>
      <w:r>
        <w:rPr>
          <w:rFonts w:hint="eastAsia" w:ascii="宋体" w:hAnsi="宋体" w:cs="宋体"/>
          <w:color w:val="000000" w:themeColor="text1"/>
          <w:sz w:val="24"/>
          <w:szCs w:val="24"/>
          <w:vertAlign w:val="subscript"/>
          <w:lang w:bidi="ar"/>
          <w14:textFill>
            <w14:solidFill>
              <w14:schemeClr w14:val="tx1"/>
            </w14:solidFill>
          </w14:textFill>
        </w:rPr>
        <w:t>sd</w:t>
      </w:r>
      <w:r>
        <w:rPr>
          <w:rFonts w:hint="eastAsia" w:ascii="宋体" w:hAnsi="宋体" w:cs="宋体"/>
          <w:color w:val="000000" w:themeColor="text1"/>
          <w:sz w:val="24"/>
          <w:szCs w:val="24"/>
          <w:lang w:bidi="ar"/>
          <w14:textFill>
            <w14:solidFill>
              <w14:schemeClr w14:val="tx1"/>
            </w14:solidFill>
          </w14:textFill>
        </w:rPr>
        <w:t>—标准中的pH值的下限值；</w:t>
      </w:r>
    </w:p>
    <w:p w14:paraId="0D33C902">
      <w:pPr>
        <w:adjustRightInd w:val="0"/>
        <w:snapToGrid w:val="0"/>
        <w:spacing w:line="500" w:lineRule="exact"/>
        <w:ind w:firstLine="480" w:firstLineChars="200"/>
        <w:rPr>
          <w:rFonts w:hint="eastAsia"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lang w:bidi="ar"/>
          <w14:textFill>
            <w14:solidFill>
              <w14:schemeClr w14:val="tx1"/>
            </w14:solidFill>
          </w14:textFill>
        </w:rPr>
        <w:t xml:space="preserve">      pH</w:t>
      </w:r>
      <w:r>
        <w:rPr>
          <w:rFonts w:hint="eastAsia" w:ascii="宋体" w:hAnsi="宋体" w:cs="宋体"/>
          <w:color w:val="000000" w:themeColor="text1"/>
          <w:sz w:val="24"/>
          <w:szCs w:val="24"/>
          <w:vertAlign w:val="subscript"/>
          <w:lang w:bidi="ar"/>
          <w14:textFill>
            <w14:solidFill>
              <w14:schemeClr w14:val="tx1"/>
            </w14:solidFill>
          </w14:textFill>
        </w:rPr>
        <w:t>SU</w:t>
      </w:r>
      <w:r>
        <w:rPr>
          <w:rFonts w:hint="eastAsia" w:ascii="宋体" w:hAnsi="宋体" w:cs="宋体"/>
          <w:color w:val="000000" w:themeColor="text1"/>
          <w:sz w:val="24"/>
          <w:szCs w:val="24"/>
          <w:lang w:bidi="ar"/>
          <w14:textFill>
            <w14:solidFill>
              <w14:schemeClr w14:val="tx1"/>
            </w14:solidFill>
          </w14:textFill>
        </w:rPr>
        <w:t>—标准中的pH值的上限值。</w:t>
      </w:r>
    </w:p>
    <w:bookmarkEnd w:id="402"/>
    <w:p w14:paraId="16B31670">
      <w:pPr>
        <w:adjustRightInd w:val="0"/>
        <w:snapToGrid w:val="0"/>
        <w:spacing w:line="500" w:lineRule="exact"/>
        <w:ind w:firstLine="480" w:firstLineChars="200"/>
        <w:rPr>
          <w:rStyle w:val="190"/>
          <w:rFonts w:hint="eastAsia"/>
          <w:color w:val="000000" w:themeColor="text1"/>
          <w14:textFill>
            <w14:solidFill>
              <w14:schemeClr w14:val="tx1"/>
            </w14:solidFill>
          </w14:textFill>
        </w:rPr>
      </w:pPr>
      <w:bookmarkStart w:id="403" w:name="_Hlk160376379"/>
      <w:r>
        <w:rPr>
          <w:rStyle w:val="190"/>
          <w:rFonts w:hint="eastAsia"/>
          <w:color w:val="000000" w:themeColor="text1"/>
          <w14:textFill>
            <w14:solidFill>
              <w14:schemeClr w14:val="tx1"/>
            </w14:solidFill>
          </w14:textFill>
        </w:rPr>
        <w:t>（5）评价结果</w:t>
      </w:r>
    </w:p>
    <w:p w14:paraId="6F708FD1">
      <w:pPr>
        <w:adjustRightInd w:val="0"/>
        <w:snapToGrid w:val="0"/>
        <w:spacing w:line="500" w:lineRule="exact"/>
        <w:ind w:firstLine="480" w:firstLineChars="200"/>
        <w:rPr>
          <w:rStyle w:val="190"/>
          <w:rFonts w:hint="eastAsia"/>
          <w:color w:val="000000" w:themeColor="text1"/>
          <w14:textFill>
            <w14:solidFill>
              <w14:schemeClr w14:val="tx1"/>
            </w14:solidFill>
          </w14:textFill>
        </w:rPr>
      </w:pPr>
      <w:r>
        <w:rPr>
          <w:rStyle w:val="190"/>
          <w:rFonts w:hint="eastAsia"/>
          <w:color w:val="000000" w:themeColor="text1"/>
          <w14:textFill>
            <w14:solidFill>
              <w14:schemeClr w14:val="tx1"/>
            </w14:solidFill>
          </w14:textFill>
        </w:rPr>
        <w:t>水质监测及评价结果见表</w:t>
      </w:r>
      <w:r>
        <w:rPr>
          <w:rStyle w:val="190"/>
          <w:color w:val="000000" w:themeColor="text1"/>
          <w14:textFill>
            <w14:solidFill>
              <w14:schemeClr w14:val="tx1"/>
            </w14:solidFill>
          </w14:textFill>
        </w:rPr>
        <w:t>4.3</w:t>
      </w:r>
      <w:r>
        <w:rPr>
          <w:rStyle w:val="190"/>
          <w:rFonts w:hint="eastAsia"/>
          <w:color w:val="000000" w:themeColor="text1"/>
          <w14:textFill>
            <w14:solidFill>
              <w14:schemeClr w14:val="tx1"/>
            </w14:solidFill>
          </w14:textFill>
        </w:rPr>
        <w:t>-7和表4.3-8。</w:t>
      </w:r>
      <w:bookmarkStart w:id="404" w:name="_Hlk37437002"/>
    </w:p>
    <w:bookmarkEnd w:id="403"/>
    <w:p w14:paraId="4C4A298E">
      <w:pPr>
        <w:pStyle w:val="15"/>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表4.3-8  地下水位监测数据 </w:t>
      </w:r>
    </w:p>
    <w:tbl>
      <w:tblPr>
        <w:tblStyle w:val="51"/>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047"/>
        <w:gridCol w:w="2495"/>
        <w:gridCol w:w="2167"/>
        <w:gridCol w:w="2237"/>
      </w:tblGrid>
      <w:tr w14:paraId="59F0DA5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44" w:type="pct"/>
            <w:vAlign w:val="center"/>
          </w:tcPr>
          <w:p w14:paraId="54290453">
            <w:pPr>
              <w:pStyle w:val="278"/>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编号</w:t>
            </w:r>
          </w:p>
        </w:tc>
        <w:tc>
          <w:tcPr>
            <w:tcW w:w="1394" w:type="pct"/>
            <w:vAlign w:val="center"/>
          </w:tcPr>
          <w:p w14:paraId="4497D8E4">
            <w:pPr>
              <w:pStyle w:val="278"/>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水位埋深（</w:t>
            </w:r>
            <w:r>
              <w:rPr>
                <w:color w:val="000000" w:themeColor="text1"/>
                <w14:textFill>
                  <w14:solidFill>
                    <w14:schemeClr w14:val="tx1"/>
                  </w14:solidFill>
                </w14:textFill>
              </w:rPr>
              <w:t>m</w:t>
            </w:r>
            <w:r>
              <w:rPr>
                <w:rFonts w:hint="eastAsia"/>
                <w:color w:val="000000" w:themeColor="text1"/>
                <w14:textFill>
                  <w14:solidFill>
                    <w14:schemeClr w14:val="tx1"/>
                  </w14:solidFill>
                </w14:textFill>
              </w:rPr>
              <w:t>）</w:t>
            </w:r>
          </w:p>
        </w:tc>
        <w:tc>
          <w:tcPr>
            <w:tcW w:w="1211" w:type="pct"/>
            <w:vAlign w:val="center"/>
          </w:tcPr>
          <w:p w14:paraId="10687C85">
            <w:pPr>
              <w:pStyle w:val="278"/>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编号</w:t>
            </w:r>
          </w:p>
        </w:tc>
        <w:tc>
          <w:tcPr>
            <w:tcW w:w="1250" w:type="pct"/>
            <w:vAlign w:val="center"/>
          </w:tcPr>
          <w:p w14:paraId="137DBE0E">
            <w:pPr>
              <w:pStyle w:val="278"/>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水位埋深</w:t>
            </w:r>
            <w:r>
              <w:rPr>
                <w:color w:val="000000" w:themeColor="text1"/>
                <w14:textFill>
                  <w14:solidFill>
                    <w14:schemeClr w14:val="tx1"/>
                  </w14:solidFill>
                </w14:textFill>
              </w:rPr>
              <w:t>（m）</w:t>
            </w:r>
          </w:p>
        </w:tc>
      </w:tr>
      <w:tr w14:paraId="135BD29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44" w:type="pct"/>
            <w:vAlign w:val="center"/>
          </w:tcPr>
          <w:p w14:paraId="07F5A28A">
            <w:pPr>
              <w:pStyle w:val="278"/>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W</w:t>
            </w:r>
            <w:r>
              <w:rPr>
                <w:color w:val="000000" w:themeColor="text1"/>
                <w14:textFill>
                  <w14:solidFill>
                    <w14:schemeClr w14:val="tx1"/>
                  </w14:solidFill>
                </w14:textFill>
              </w:rPr>
              <w:t>1</w:t>
            </w:r>
          </w:p>
        </w:tc>
        <w:tc>
          <w:tcPr>
            <w:tcW w:w="1394" w:type="pct"/>
            <w:vAlign w:val="center"/>
          </w:tcPr>
          <w:p w14:paraId="75693490">
            <w:pPr>
              <w:pStyle w:val="278"/>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24</w:t>
            </w:r>
          </w:p>
        </w:tc>
        <w:tc>
          <w:tcPr>
            <w:tcW w:w="1211" w:type="pct"/>
            <w:vAlign w:val="center"/>
          </w:tcPr>
          <w:p w14:paraId="60126D80">
            <w:pPr>
              <w:pStyle w:val="278"/>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W</w:t>
            </w:r>
            <w:r>
              <w:rPr>
                <w:color w:val="000000" w:themeColor="text1"/>
                <w14:textFill>
                  <w14:solidFill>
                    <w14:schemeClr w14:val="tx1"/>
                  </w14:solidFill>
                </w14:textFill>
              </w:rPr>
              <w:t>6</w:t>
            </w:r>
          </w:p>
        </w:tc>
        <w:tc>
          <w:tcPr>
            <w:tcW w:w="1250" w:type="pct"/>
            <w:vAlign w:val="center"/>
          </w:tcPr>
          <w:p w14:paraId="3DFFA4A3">
            <w:pPr>
              <w:pStyle w:val="278"/>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18</w:t>
            </w:r>
          </w:p>
        </w:tc>
      </w:tr>
      <w:tr w14:paraId="3AA4808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44" w:type="pct"/>
            <w:vAlign w:val="center"/>
          </w:tcPr>
          <w:p w14:paraId="44AAA85F">
            <w:pPr>
              <w:pStyle w:val="278"/>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W</w:t>
            </w:r>
            <w:r>
              <w:rPr>
                <w:color w:val="000000" w:themeColor="text1"/>
                <w14:textFill>
                  <w14:solidFill>
                    <w14:schemeClr w14:val="tx1"/>
                  </w14:solidFill>
                </w14:textFill>
              </w:rPr>
              <w:t>2</w:t>
            </w:r>
          </w:p>
        </w:tc>
        <w:tc>
          <w:tcPr>
            <w:tcW w:w="1394" w:type="pct"/>
            <w:vAlign w:val="center"/>
          </w:tcPr>
          <w:p w14:paraId="620A2338">
            <w:pPr>
              <w:pStyle w:val="278"/>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27</w:t>
            </w:r>
          </w:p>
        </w:tc>
        <w:tc>
          <w:tcPr>
            <w:tcW w:w="1211" w:type="pct"/>
            <w:vAlign w:val="center"/>
          </w:tcPr>
          <w:p w14:paraId="39F60BF6">
            <w:pPr>
              <w:pStyle w:val="278"/>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W</w:t>
            </w:r>
            <w:r>
              <w:rPr>
                <w:color w:val="000000" w:themeColor="text1"/>
                <w14:textFill>
                  <w14:solidFill>
                    <w14:schemeClr w14:val="tx1"/>
                  </w14:solidFill>
                </w14:textFill>
              </w:rPr>
              <w:t>7</w:t>
            </w:r>
          </w:p>
        </w:tc>
        <w:tc>
          <w:tcPr>
            <w:tcW w:w="1250" w:type="pct"/>
            <w:vAlign w:val="center"/>
          </w:tcPr>
          <w:p w14:paraId="2F35B66F">
            <w:pPr>
              <w:pStyle w:val="278"/>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30</w:t>
            </w:r>
          </w:p>
        </w:tc>
      </w:tr>
      <w:tr w14:paraId="42E9E3A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44" w:type="pct"/>
            <w:vAlign w:val="center"/>
          </w:tcPr>
          <w:p w14:paraId="53E3FB29">
            <w:pPr>
              <w:pStyle w:val="278"/>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W</w:t>
            </w:r>
            <w:r>
              <w:rPr>
                <w:color w:val="000000" w:themeColor="text1"/>
                <w14:textFill>
                  <w14:solidFill>
                    <w14:schemeClr w14:val="tx1"/>
                  </w14:solidFill>
                </w14:textFill>
              </w:rPr>
              <w:t>3</w:t>
            </w:r>
          </w:p>
        </w:tc>
        <w:tc>
          <w:tcPr>
            <w:tcW w:w="1394" w:type="pct"/>
            <w:vAlign w:val="center"/>
          </w:tcPr>
          <w:p w14:paraId="6C27233E">
            <w:pPr>
              <w:pStyle w:val="278"/>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25</w:t>
            </w:r>
          </w:p>
        </w:tc>
        <w:tc>
          <w:tcPr>
            <w:tcW w:w="1211" w:type="pct"/>
            <w:vAlign w:val="center"/>
          </w:tcPr>
          <w:p w14:paraId="347FE913">
            <w:pPr>
              <w:pStyle w:val="278"/>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W</w:t>
            </w:r>
            <w:r>
              <w:rPr>
                <w:color w:val="000000" w:themeColor="text1"/>
                <w14:textFill>
                  <w14:solidFill>
                    <w14:schemeClr w14:val="tx1"/>
                  </w14:solidFill>
                </w14:textFill>
              </w:rPr>
              <w:t>8</w:t>
            </w:r>
          </w:p>
        </w:tc>
        <w:tc>
          <w:tcPr>
            <w:tcW w:w="1250" w:type="pct"/>
            <w:vAlign w:val="center"/>
          </w:tcPr>
          <w:p w14:paraId="2A1D58F1">
            <w:pPr>
              <w:pStyle w:val="278"/>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30</w:t>
            </w:r>
          </w:p>
        </w:tc>
      </w:tr>
      <w:tr w14:paraId="4EFCFC4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44" w:type="pct"/>
            <w:vAlign w:val="center"/>
          </w:tcPr>
          <w:p w14:paraId="21CE554E">
            <w:pPr>
              <w:pStyle w:val="278"/>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W</w:t>
            </w:r>
            <w:r>
              <w:rPr>
                <w:color w:val="000000" w:themeColor="text1"/>
                <w14:textFill>
                  <w14:solidFill>
                    <w14:schemeClr w14:val="tx1"/>
                  </w14:solidFill>
                </w14:textFill>
              </w:rPr>
              <w:t>4</w:t>
            </w:r>
          </w:p>
        </w:tc>
        <w:tc>
          <w:tcPr>
            <w:tcW w:w="1394" w:type="pct"/>
            <w:vAlign w:val="center"/>
          </w:tcPr>
          <w:p w14:paraId="03AB658F">
            <w:pPr>
              <w:pStyle w:val="278"/>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30</w:t>
            </w:r>
          </w:p>
        </w:tc>
        <w:tc>
          <w:tcPr>
            <w:tcW w:w="1211" w:type="pct"/>
            <w:vAlign w:val="center"/>
          </w:tcPr>
          <w:p w14:paraId="6163D8B8">
            <w:pPr>
              <w:pStyle w:val="278"/>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W</w:t>
            </w:r>
            <w:r>
              <w:rPr>
                <w:color w:val="000000" w:themeColor="text1"/>
                <w14:textFill>
                  <w14:solidFill>
                    <w14:schemeClr w14:val="tx1"/>
                  </w14:solidFill>
                </w14:textFill>
              </w:rPr>
              <w:t>9</w:t>
            </w:r>
          </w:p>
        </w:tc>
        <w:tc>
          <w:tcPr>
            <w:tcW w:w="1250" w:type="pct"/>
            <w:vAlign w:val="center"/>
          </w:tcPr>
          <w:p w14:paraId="4E7DE668">
            <w:pPr>
              <w:pStyle w:val="278"/>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40</w:t>
            </w:r>
          </w:p>
        </w:tc>
      </w:tr>
      <w:tr w14:paraId="71B4D0E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44" w:type="pct"/>
            <w:vAlign w:val="center"/>
          </w:tcPr>
          <w:p w14:paraId="5A66D0C3">
            <w:pPr>
              <w:pStyle w:val="278"/>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W</w:t>
            </w:r>
            <w:r>
              <w:rPr>
                <w:color w:val="000000" w:themeColor="text1"/>
                <w14:textFill>
                  <w14:solidFill>
                    <w14:schemeClr w14:val="tx1"/>
                  </w14:solidFill>
                </w14:textFill>
              </w:rPr>
              <w:t>5</w:t>
            </w:r>
          </w:p>
        </w:tc>
        <w:tc>
          <w:tcPr>
            <w:tcW w:w="1394" w:type="pct"/>
            <w:vAlign w:val="center"/>
          </w:tcPr>
          <w:p w14:paraId="35639FAF">
            <w:pPr>
              <w:pStyle w:val="278"/>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30</w:t>
            </w:r>
          </w:p>
        </w:tc>
        <w:tc>
          <w:tcPr>
            <w:tcW w:w="1211" w:type="pct"/>
            <w:vAlign w:val="center"/>
          </w:tcPr>
          <w:p w14:paraId="49F1C40E">
            <w:pPr>
              <w:pStyle w:val="278"/>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W</w:t>
            </w:r>
            <w:r>
              <w:rPr>
                <w:color w:val="000000" w:themeColor="text1"/>
                <w14:textFill>
                  <w14:solidFill>
                    <w14:schemeClr w14:val="tx1"/>
                  </w14:solidFill>
                </w14:textFill>
              </w:rPr>
              <w:t>10</w:t>
            </w:r>
          </w:p>
        </w:tc>
        <w:tc>
          <w:tcPr>
            <w:tcW w:w="1250" w:type="pct"/>
            <w:vAlign w:val="center"/>
          </w:tcPr>
          <w:p w14:paraId="5AFB31DD">
            <w:pPr>
              <w:pStyle w:val="278"/>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30</w:t>
            </w:r>
          </w:p>
        </w:tc>
      </w:tr>
    </w:tbl>
    <w:p w14:paraId="40BE79FE">
      <w:pPr>
        <w:pStyle w:val="191"/>
        <w:ind w:firstLine="480"/>
        <w:rPr>
          <w:rStyle w:val="190"/>
          <w:rFonts w:hint="eastAsia"/>
          <w:color w:val="000000" w:themeColor="text1"/>
          <w14:textFill>
            <w14:solidFill>
              <w14:schemeClr w14:val="tx1"/>
            </w14:solidFill>
          </w14:textFill>
        </w:rPr>
      </w:pPr>
    </w:p>
    <w:p w14:paraId="665AE3E8">
      <w:pPr>
        <w:adjustRightInd w:val="0"/>
        <w:snapToGrid w:val="0"/>
        <w:spacing w:line="500" w:lineRule="exact"/>
        <w:ind w:firstLine="480" w:firstLineChars="200"/>
        <w:rPr>
          <w:rStyle w:val="190"/>
          <w:rFonts w:hint="eastAsia"/>
          <w:color w:val="000000" w:themeColor="text1"/>
          <w14:textFill>
            <w14:solidFill>
              <w14:schemeClr w14:val="tx1"/>
            </w14:solidFill>
          </w14:textFill>
        </w:rPr>
        <w:sectPr>
          <w:pgSz w:w="11906" w:h="16838"/>
          <w:pgMar w:top="1418" w:right="1588" w:bottom="1418" w:left="1588" w:header="1020" w:footer="1020" w:gutter="0"/>
          <w:cols w:space="720" w:num="1"/>
          <w:docGrid w:type="lines" w:linePitch="312" w:charSpace="0"/>
        </w:sectPr>
      </w:pPr>
    </w:p>
    <w:bookmarkEnd w:id="404"/>
    <w:p w14:paraId="47E624EE">
      <w:pPr>
        <w:pStyle w:val="15"/>
        <w:rPr>
          <w:rFonts w:hint="eastAsia"/>
          <w:color w:val="000000" w:themeColor="text1"/>
          <w14:textFill>
            <w14:solidFill>
              <w14:schemeClr w14:val="tx1"/>
            </w14:solidFill>
          </w14:textFill>
        </w:rPr>
      </w:pPr>
      <w:bookmarkStart w:id="405" w:name="_Hlk520568237"/>
      <w:r>
        <w:rPr>
          <w:rStyle w:val="163"/>
          <w:rFonts w:hint="eastAsia"/>
          <w:color w:val="000000" w:themeColor="text1"/>
          <w14:textFill>
            <w14:solidFill>
              <w14:schemeClr w14:val="tx1"/>
            </w14:solidFill>
          </w14:textFill>
        </w:rPr>
        <w:t>表</w:t>
      </w:r>
      <w:r>
        <w:rPr>
          <w:rStyle w:val="163"/>
          <w:color w:val="000000" w:themeColor="text1"/>
          <w14:textFill>
            <w14:solidFill>
              <w14:schemeClr w14:val="tx1"/>
            </w14:solidFill>
          </w14:textFill>
        </w:rPr>
        <w:t>4.3</w:t>
      </w:r>
      <w:r>
        <w:rPr>
          <w:rStyle w:val="163"/>
          <w:rFonts w:hint="eastAsia"/>
          <w:color w:val="000000" w:themeColor="text1"/>
          <w14:textFill>
            <w14:solidFill>
              <w14:schemeClr w14:val="tx1"/>
            </w14:solidFill>
          </w14:textFill>
        </w:rPr>
        <w:t>-7  地下水现状监测数据一览表    （单位：mg/L，pH无量纲）</w:t>
      </w:r>
    </w:p>
    <w:tbl>
      <w:tblPr>
        <w:tblStyle w:val="51"/>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15"/>
        <w:gridCol w:w="1189"/>
        <w:gridCol w:w="745"/>
        <w:gridCol w:w="955"/>
        <w:gridCol w:w="640"/>
        <w:gridCol w:w="686"/>
        <w:gridCol w:w="955"/>
        <w:gridCol w:w="745"/>
        <w:gridCol w:w="710"/>
        <w:gridCol w:w="955"/>
        <w:gridCol w:w="711"/>
        <w:gridCol w:w="879"/>
        <w:gridCol w:w="955"/>
        <w:gridCol w:w="745"/>
        <w:gridCol w:w="711"/>
        <w:gridCol w:w="955"/>
        <w:gridCol w:w="745"/>
        <w:gridCol w:w="506"/>
      </w:tblGrid>
      <w:tr w14:paraId="728E46A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89" w:type="pct"/>
            <w:vMerge w:val="restart"/>
            <w:tcMar>
              <w:left w:w="0" w:type="dxa"/>
              <w:right w:w="0" w:type="dxa"/>
            </w:tcMar>
            <w:vAlign w:val="center"/>
          </w:tcPr>
          <w:p w14:paraId="63239CA5">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序号</w:t>
            </w:r>
          </w:p>
        </w:tc>
        <w:tc>
          <w:tcPr>
            <w:tcW w:w="497" w:type="pct"/>
            <w:vMerge w:val="restart"/>
            <w:tcMar>
              <w:left w:w="0" w:type="dxa"/>
              <w:right w:w="0" w:type="dxa"/>
            </w:tcMar>
            <w:vAlign w:val="center"/>
          </w:tcPr>
          <w:p w14:paraId="683D4C24">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监测</w:t>
            </w:r>
          </w:p>
          <w:p w14:paraId="129EF7FE">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因子</w:t>
            </w:r>
          </w:p>
        </w:tc>
        <w:tc>
          <w:tcPr>
            <w:tcW w:w="273" w:type="pct"/>
            <w:vMerge w:val="restart"/>
            <w:tcMar>
              <w:left w:w="0" w:type="dxa"/>
              <w:right w:w="0" w:type="dxa"/>
            </w:tcMar>
            <w:vAlign w:val="center"/>
          </w:tcPr>
          <w:p w14:paraId="779C88DD">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标准限值</w:t>
            </w:r>
          </w:p>
          <w:p w14:paraId="4B3B6BF6">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（Ⅲ类）</w:t>
            </w:r>
          </w:p>
        </w:tc>
        <w:tc>
          <w:tcPr>
            <w:tcW w:w="823" w:type="pct"/>
            <w:gridSpan w:val="3"/>
            <w:tcMar>
              <w:left w:w="0" w:type="dxa"/>
              <w:right w:w="0" w:type="dxa"/>
            </w:tcMar>
            <w:vAlign w:val="center"/>
          </w:tcPr>
          <w:p w14:paraId="41A9A8F0">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W1</w:t>
            </w:r>
          </w:p>
        </w:tc>
        <w:tc>
          <w:tcPr>
            <w:tcW w:w="831" w:type="pct"/>
            <w:gridSpan w:val="3"/>
            <w:tcMar>
              <w:left w:w="0" w:type="dxa"/>
              <w:right w:w="0" w:type="dxa"/>
            </w:tcMar>
            <w:vAlign w:val="center"/>
          </w:tcPr>
          <w:p w14:paraId="24C2E099">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W2</w:t>
            </w:r>
          </w:p>
        </w:tc>
        <w:tc>
          <w:tcPr>
            <w:tcW w:w="889" w:type="pct"/>
            <w:gridSpan w:val="3"/>
            <w:tcMar>
              <w:left w:w="0" w:type="dxa"/>
              <w:right w:w="0" w:type="dxa"/>
            </w:tcMar>
            <w:vAlign w:val="center"/>
          </w:tcPr>
          <w:p w14:paraId="632F0627">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W3</w:t>
            </w:r>
          </w:p>
        </w:tc>
        <w:tc>
          <w:tcPr>
            <w:tcW w:w="829" w:type="pct"/>
            <w:gridSpan w:val="3"/>
            <w:tcMar>
              <w:left w:w="0" w:type="dxa"/>
              <w:right w:w="0" w:type="dxa"/>
            </w:tcMar>
            <w:vAlign w:val="center"/>
          </w:tcPr>
          <w:p w14:paraId="1E0BE554">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W4</w:t>
            </w:r>
          </w:p>
        </w:tc>
        <w:tc>
          <w:tcPr>
            <w:tcW w:w="768" w:type="pct"/>
            <w:gridSpan w:val="3"/>
            <w:tcMar>
              <w:left w:w="0" w:type="dxa"/>
              <w:right w:w="0" w:type="dxa"/>
            </w:tcMar>
            <w:vAlign w:val="center"/>
          </w:tcPr>
          <w:p w14:paraId="49699537">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W5</w:t>
            </w:r>
          </w:p>
        </w:tc>
      </w:tr>
      <w:tr w14:paraId="7DE5C48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9" w:type="pct"/>
            <w:vMerge w:val="continue"/>
            <w:tcMar>
              <w:left w:w="0" w:type="dxa"/>
              <w:right w:w="0" w:type="dxa"/>
            </w:tcMar>
            <w:vAlign w:val="center"/>
          </w:tcPr>
          <w:p w14:paraId="573A6A09">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p>
        </w:tc>
        <w:tc>
          <w:tcPr>
            <w:tcW w:w="497" w:type="pct"/>
            <w:vMerge w:val="continue"/>
            <w:tcMar>
              <w:left w:w="0" w:type="dxa"/>
              <w:right w:w="0" w:type="dxa"/>
            </w:tcMar>
            <w:vAlign w:val="center"/>
          </w:tcPr>
          <w:p w14:paraId="7702B99A">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p>
        </w:tc>
        <w:tc>
          <w:tcPr>
            <w:tcW w:w="273" w:type="pct"/>
            <w:vMerge w:val="continue"/>
            <w:tcMar>
              <w:left w:w="0" w:type="dxa"/>
              <w:right w:w="0" w:type="dxa"/>
            </w:tcMar>
            <w:vAlign w:val="center"/>
          </w:tcPr>
          <w:p w14:paraId="3E973D16">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p>
        </w:tc>
        <w:tc>
          <w:tcPr>
            <w:tcW w:w="230" w:type="pct"/>
            <w:tcMar>
              <w:left w:w="0" w:type="dxa"/>
              <w:right w:w="0" w:type="dxa"/>
            </w:tcMar>
            <w:vAlign w:val="center"/>
          </w:tcPr>
          <w:p w14:paraId="4B0F3D73">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监测结果</w:t>
            </w:r>
          </w:p>
        </w:tc>
        <w:tc>
          <w:tcPr>
            <w:tcW w:w="296" w:type="pct"/>
            <w:tcMar>
              <w:left w:w="0" w:type="dxa"/>
              <w:right w:w="0" w:type="dxa"/>
            </w:tcMar>
            <w:vAlign w:val="center"/>
          </w:tcPr>
          <w:p w14:paraId="22B5310E">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标准</w:t>
            </w:r>
          </w:p>
          <w:p w14:paraId="1C27BC7B">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指数</w:t>
            </w:r>
          </w:p>
        </w:tc>
        <w:tc>
          <w:tcPr>
            <w:tcW w:w="297" w:type="pct"/>
            <w:tcMar>
              <w:left w:w="0" w:type="dxa"/>
              <w:right w:w="0" w:type="dxa"/>
            </w:tcMar>
            <w:vAlign w:val="center"/>
          </w:tcPr>
          <w:p w14:paraId="3B767EB8">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达标</w:t>
            </w:r>
          </w:p>
          <w:p w14:paraId="4BE82FFC">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情况</w:t>
            </w:r>
          </w:p>
        </w:tc>
        <w:tc>
          <w:tcPr>
            <w:tcW w:w="298" w:type="pct"/>
            <w:tcMar>
              <w:left w:w="0" w:type="dxa"/>
              <w:right w:w="0" w:type="dxa"/>
            </w:tcMar>
            <w:vAlign w:val="center"/>
          </w:tcPr>
          <w:p w14:paraId="2585B9E7">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监测</w:t>
            </w:r>
          </w:p>
          <w:p w14:paraId="1639A737">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结果</w:t>
            </w:r>
          </w:p>
        </w:tc>
        <w:tc>
          <w:tcPr>
            <w:tcW w:w="237" w:type="pct"/>
            <w:tcMar>
              <w:left w:w="0" w:type="dxa"/>
              <w:right w:w="0" w:type="dxa"/>
            </w:tcMar>
            <w:vAlign w:val="center"/>
          </w:tcPr>
          <w:p w14:paraId="3CD0A9B8">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标准指数</w:t>
            </w:r>
          </w:p>
        </w:tc>
        <w:tc>
          <w:tcPr>
            <w:tcW w:w="296" w:type="pct"/>
            <w:tcMar>
              <w:left w:w="0" w:type="dxa"/>
              <w:right w:w="0" w:type="dxa"/>
            </w:tcMar>
            <w:vAlign w:val="center"/>
          </w:tcPr>
          <w:p w14:paraId="2C0BCF49">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达标</w:t>
            </w:r>
          </w:p>
          <w:p w14:paraId="5C1BFC62">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情况</w:t>
            </w:r>
          </w:p>
        </w:tc>
        <w:tc>
          <w:tcPr>
            <w:tcW w:w="237" w:type="pct"/>
            <w:tcMar>
              <w:left w:w="0" w:type="dxa"/>
              <w:right w:w="0" w:type="dxa"/>
            </w:tcMar>
            <w:vAlign w:val="center"/>
          </w:tcPr>
          <w:p w14:paraId="38AE25C7">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监测结果</w:t>
            </w:r>
          </w:p>
        </w:tc>
        <w:tc>
          <w:tcPr>
            <w:tcW w:w="296" w:type="pct"/>
            <w:tcMar>
              <w:left w:w="0" w:type="dxa"/>
              <w:right w:w="0" w:type="dxa"/>
            </w:tcMar>
            <w:vAlign w:val="center"/>
          </w:tcPr>
          <w:p w14:paraId="0BEC0588">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标准</w:t>
            </w:r>
          </w:p>
          <w:p w14:paraId="789CFBC2">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指数</w:t>
            </w:r>
          </w:p>
        </w:tc>
        <w:tc>
          <w:tcPr>
            <w:tcW w:w="356" w:type="pct"/>
            <w:tcMar>
              <w:left w:w="0" w:type="dxa"/>
              <w:right w:w="0" w:type="dxa"/>
            </w:tcMar>
            <w:vAlign w:val="center"/>
          </w:tcPr>
          <w:p w14:paraId="39733B03">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达标</w:t>
            </w:r>
          </w:p>
          <w:p w14:paraId="14ABAD8C">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情况</w:t>
            </w:r>
          </w:p>
        </w:tc>
        <w:tc>
          <w:tcPr>
            <w:tcW w:w="296" w:type="pct"/>
            <w:tcMar>
              <w:left w:w="0" w:type="dxa"/>
              <w:right w:w="0" w:type="dxa"/>
            </w:tcMar>
            <w:vAlign w:val="center"/>
          </w:tcPr>
          <w:p w14:paraId="192D83F7">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监测</w:t>
            </w:r>
          </w:p>
          <w:p w14:paraId="022C65BD">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结果</w:t>
            </w:r>
          </w:p>
        </w:tc>
        <w:tc>
          <w:tcPr>
            <w:tcW w:w="237" w:type="pct"/>
            <w:tcMar>
              <w:left w:w="0" w:type="dxa"/>
              <w:right w:w="0" w:type="dxa"/>
            </w:tcMar>
            <w:vAlign w:val="center"/>
          </w:tcPr>
          <w:p w14:paraId="7C47B050">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标准指数</w:t>
            </w:r>
          </w:p>
        </w:tc>
        <w:tc>
          <w:tcPr>
            <w:tcW w:w="296" w:type="pct"/>
            <w:tcMar>
              <w:left w:w="0" w:type="dxa"/>
              <w:right w:w="0" w:type="dxa"/>
            </w:tcMar>
            <w:vAlign w:val="center"/>
          </w:tcPr>
          <w:p w14:paraId="6543F728">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达标</w:t>
            </w:r>
          </w:p>
          <w:p w14:paraId="7B6DA14E">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情况</w:t>
            </w:r>
          </w:p>
        </w:tc>
        <w:tc>
          <w:tcPr>
            <w:tcW w:w="237" w:type="pct"/>
            <w:tcMar>
              <w:left w:w="0" w:type="dxa"/>
              <w:right w:w="0" w:type="dxa"/>
            </w:tcMar>
            <w:vAlign w:val="center"/>
          </w:tcPr>
          <w:p w14:paraId="37D21D21">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监测结果</w:t>
            </w:r>
          </w:p>
        </w:tc>
        <w:tc>
          <w:tcPr>
            <w:tcW w:w="296" w:type="pct"/>
            <w:tcMar>
              <w:left w:w="0" w:type="dxa"/>
              <w:right w:w="0" w:type="dxa"/>
            </w:tcMar>
            <w:vAlign w:val="center"/>
          </w:tcPr>
          <w:p w14:paraId="12B45521">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标准</w:t>
            </w:r>
          </w:p>
          <w:p w14:paraId="2B329A2C">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指数</w:t>
            </w:r>
          </w:p>
        </w:tc>
        <w:tc>
          <w:tcPr>
            <w:tcW w:w="235" w:type="pct"/>
            <w:tcMar>
              <w:left w:w="0" w:type="dxa"/>
              <w:right w:w="0" w:type="dxa"/>
            </w:tcMar>
            <w:vAlign w:val="center"/>
          </w:tcPr>
          <w:p w14:paraId="4F5152E4">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达标情况</w:t>
            </w:r>
          </w:p>
        </w:tc>
      </w:tr>
      <w:tr w14:paraId="42249B8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9" w:type="pct"/>
            <w:tcMar>
              <w:left w:w="0" w:type="dxa"/>
              <w:right w:w="0" w:type="dxa"/>
            </w:tcMar>
            <w:vAlign w:val="center"/>
          </w:tcPr>
          <w:p w14:paraId="72B23940">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w:t>
            </w:r>
          </w:p>
        </w:tc>
        <w:tc>
          <w:tcPr>
            <w:tcW w:w="497" w:type="pct"/>
            <w:tcMar>
              <w:left w:w="0" w:type="dxa"/>
              <w:right w:w="0" w:type="dxa"/>
            </w:tcMar>
            <w:vAlign w:val="center"/>
          </w:tcPr>
          <w:p w14:paraId="3A4B38F9">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pH</w:t>
            </w:r>
          </w:p>
        </w:tc>
        <w:tc>
          <w:tcPr>
            <w:tcW w:w="273" w:type="pct"/>
            <w:tcMar>
              <w:left w:w="0" w:type="dxa"/>
              <w:right w:w="0" w:type="dxa"/>
            </w:tcMar>
            <w:vAlign w:val="center"/>
          </w:tcPr>
          <w:p w14:paraId="72D57182">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6.5～8.5</w:t>
            </w:r>
          </w:p>
        </w:tc>
        <w:tc>
          <w:tcPr>
            <w:tcW w:w="230" w:type="pct"/>
            <w:tcMar>
              <w:left w:w="0" w:type="dxa"/>
              <w:right w:w="0" w:type="dxa"/>
            </w:tcMar>
            <w:vAlign w:val="center"/>
          </w:tcPr>
          <w:p w14:paraId="01708C41">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7.7</w:t>
            </w:r>
          </w:p>
        </w:tc>
        <w:tc>
          <w:tcPr>
            <w:tcW w:w="296" w:type="pct"/>
            <w:tcMar>
              <w:left w:w="0" w:type="dxa"/>
              <w:right w:w="0" w:type="dxa"/>
            </w:tcMar>
            <w:vAlign w:val="center"/>
          </w:tcPr>
          <w:p w14:paraId="55C14F30">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0.4667</w:t>
            </w:r>
          </w:p>
        </w:tc>
        <w:tc>
          <w:tcPr>
            <w:tcW w:w="297" w:type="pct"/>
            <w:tcMar>
              <w:left w:w="0" w:type="dxa"/>
              <w:right w:w="0" w:type="dxa"/>
            </w:tcMar>
            <w:vAlign w:val="center"/>
          </w:tcPr>
          <w:p w14:paraId="7407B968">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达标</w:t>
            </w:r>
          </w:p>
        </w:tc>
        <w:tc>
          <w:tcPr>
            <w:tcW w:w="298" w:type="pct"/>
            <w:tcMar>
              <w:left w:w="0" w:type="dxa"/>
              <w:right w:w="0" w:type="dxa"/>
            </w:tcMar>
            <w:vAlign w:val="center"/>
          </w:tcPr>
          <w:p w14:paraId="6760AF55">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7.6</w:t>
            </w:r>
          </w:p>
        </w:tc>
        <w:tc>
          <w:tcPr>
            <w:tcW w:w="237" w:type="pct"/>
            <w:tcMar>
              <w:left w:w="0" w:type="dxa"/>
              <w:right w:w="0" w:type="dxa"/>
            </w:tcMar>
            <w:vAlign w:val="center"/>
          </w:tcPr>
          <w:p w14:paraId="03334718">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0.4</w:t>
            </w:r>
          </w:p>
        </w:tc>
        <w:tc>
          <w:tcPr>
            <w:tcW w:w="296" w:type="pct"/>
            <w:tcMar>
              <w:left w:w="0" w:type="dxa"/>
              <w:right w:w="0" w:type="dxa"/>
            </w:tcMar>
            <w:vAlign w:val="center"/>
          </w:tcPr>
          <w:p w14:paraId="613B16D1">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达标</w:t>
            </w:r>
          </w:p>
        </w:tc>
        <w:tc>
          <w:tcPr>
            <w:tcW w:w="237" w:type="pct"/>
            <w:tcMar>
              <w:left w:w="0" w:type="dxa"/>
              <w:right w:w="0" w:type="dxa"/>
            </w:tcMar>
            <w:vAlign w:val="center"/>
          </w:tcPr>
          <w:p w14:paraId="32E74B7C">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7.5</w:t>
            </w:r>
          </w:p>
        </w:tc>
        <w:tc>
          <w:tcPr>
            <w:tcW w:w="296" w:type="pct"/>
            <w:tcMar>
              <w:left w:w="0" w:type="dxa"/>
              <w:right w:w="0" w:type="dxa"/>
            </w:tcMar>
            <w:vAlign w:val="center"/>
          </w:tcPr>
          <w:p w14:paraId="6E47B2AE">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0.3333</w:t>
            </w:r>
          </w:p>
        </w:tc>
        <w:tc>
          <w:tcPr>
            <w:tcW w:w="356" w:type="pct"/>
            <w:tcMar>
              <w:left w:w="0" w:type="dxa"/>
              <w:right w:w="0" w:type="dxa"/>
            </w:tcMar>
            <w:vAlign w:val="center"/>
          </w:tcPr>
          <w:p w14:paraId="4F9EA6DC">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达标</w:t>
            </w:r>
          </w:p>
        </w:tc>
        <w:tc>
          <w:tcPr>
            <w:tcW w:w="296" w:type="pct"/>
            <w:tcMar>
              <w:left w:w="0" w:type="dxa"/>
              <w:right w:w="0" w:type="dxa"/>
            </w:tcMar>
            <w:vAlign w:val="center"/>
          </w:tcPr>
          <w:p w14:paraId="14742442">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7.7</w:t>
            </w:r>
          </w:p>
        </w:tc>
        <w:tc>
          <w:tcPr>
            <w:tcW w:w="237" w:type="pct"/>
            <w:tcMar>
              <w:left w:w="0" w:type="dxa"/>
              <w:right w:w="0" w:type="dxa"/>
            </w:tcMar>
            <w:vAlign w:val="center"/>
          </w:tcPr>
          <w:p w14:paraId="469FC5C1">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0.4667</w:t>
            </w:r>
          </w:p>
        </w:tc>
        <w:tc>
          <w:tcPr>
            <w:tcW w:w="296" w:type="pct"/>
            <w:tcMar>
              <w:left w:w="0" w:type="dxa"/>
              <w:right w:w="0" w:type="dxa"/>
            </w:tcMar>
            <w:vAlign w:val="center"/>
          </w:tcPr>
          <w:p w14:paraId="7A72456A">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达标</w:t>
            </w:r>
          </w:p>
        </w:tc>
        <w:tc>
          <w:tcPr>
            <w:tcW w:w="237" w:type="pct"/>
            <w:tcMar>
              <w:left w:w="0" w:type="dxa"/>
              <w:right w:w="0" w:type="dxa"/>
            </w:tcMar>
            <w:vAlign w:val="center"/>
          </w:tcPr>
          <w:p w14:paraId="0CDDFE94">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7.6</w:t>
            </w:r>
          </w:p>
        </w:tc>
        <w:tc>
          <w:tcPr>
            <w:tcW w:w="296" w:type="pct"/>
            <w:tcMar>
              <w:left w:w="0" w:type="dxa"/>
              <w:right w:w="0" w:type="dxa"/>
            </w:tcMar>
            <w:vAlign w:val="center"/>
          </w:tcPr>
          <w:p w14:paraId="3B7C2C0A">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0.4</w:t>
            </w:r>
          </w:p>
        </w:tc>
        <w:tc>
          <w:tcPr>
            <w:tcW w:w="235" w:type="pct"/>
            <w:tcMar>
              <w:left w:w="0" w:type="dxa"/>
              <w:right w:w="0" w:type="dxa"/>
            </w:tcMar>
            <w:vAlign w:val="center"/>
          </w:tcPr>
          <w:p w14:paraId="25B23EEC">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达标</w:t>
            </w:r>
          </w:p>
        </w:tc>
      </w:tr>
      <w:tr w14:paraId="545C3B9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9" w:type="pct"/>
            <w:tcMar>
              <w:left w:w="0" w:type="dxa"/>
              <w:right w:w="0" w:type="dxa"/>
            </w:tcMar>
            <w:vAlign w:val="center"/>
          </w:tcPr>
          <w:p w14:paraId="11707CCB">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2</w:t>
            </w:r>
          </w:p>
        </w:tc>
        <w:tc>
          <w:tcPr>
            <w:tcW w:w="497" w:type="pct"/>
            <w:tcMar>
              <w:left w:w="0" w:type="dxa"/>
              <w:right w:w="0" w:type="dxa"/>
            </w:tcMar>
            <w:vAlign w:val="center"/>
          </w:tcPr>
          <w:p w14:paraId="237021EF">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水温（℃）</w:t>
            </w:r>
          </w:p>
        </w:tc>
        <w:tc>
          <w:tcPr>
            <w:tcW w:w="273" w:type="pct"/>
            <w:tcMar>
              <w:left w:w="0" w:type="dxa"/>
              <w:right w:w="0" w:type="dxa"/>
            </w:tcMar>
            <w:vAlign w:val="center"/>
          </w:tcPr>
          <w:p w14:paraId="1FD28B6B">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w:t>
            </w:r>
          </w:p>
        </w:tc>
        <w:tc>
          <w:tcPr>
            <w:tcW w:w="230" w:type="pct"/>
            <w:tcMar>
              <w:left w:w="0" w:type="dxa"/>
              <w:right w:w="0" w:type="dxa"/>
            </w:tcMar>
            <w:vAlign w:val="center"/>
          </w:tcPr>
          <w:p w14:paraId="6B3B472F">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3.4</w:t>
            </w:r>
          </w:p>
        </w:tc>
        <w:tc>
          <w:tcPr>
            <w:tcW w:w="296" w:type="pct"/>
            <w:tcMar>
              <w:left w:w="0" w:type="dxa"/>
              <w:right w:w="0" w:type="dxa"/>
            </w:tcMar>
            <w:vAlign w:val="center"/>
          </w:tcPr>
          <w:p w14:paraId="5C26C292">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w:t>
            </w:r>
          </w:p>
        </w:tc>
        <w:tc>
          <w:tcPr>
            <w:tcW w:w="297" w:type="pct"/>
            <w:tcMar>
              <w:left w:w="0" w:type="dxa"/>
              <w:right w:w="0" w:type="dxa"/>
            </w:tcMar>
            <w:vAlign w:val="center"/>
          </w:tcPr>
          <w:p w14:paraId="5603357A">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达标</w:t>
            </w:r>
          </w:p>
        </w:tc>
        <w:tc>
          <w:tcPr>
            <w:tcW w:w="298" w:type="pct"/>
            <w:tcMar>
              <w:left w:w="0" w:type="dxa"/>
              <w:right w:w="0" w:type="dxa"/>
            </w:tcMar>
            <w:vAlign w:val="center"/>
          </w:tcPr>
          <w:p w14:paraId="54276C60">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3.2</w:t>
            </w:r>
          </w:p>
        </w:tc>
        <w:tc>
          <w:tcPr>
            <w:tcW w:w="237" w:type="pct"/>
            <w:tcMar>
              <w:left w:w="0" w:type="dxa"/>
              <w:right w:w="0" w:type="dxa"/>
            </w:tcMar>
            <w:vAlign w:val="center"/>
          </w:tcPr>
          <w:p w14:paraId="07757DAA">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w:t>
            </w:r>
          </w:p>
        </w:tc>
        <w:tc>
          <w:tcPr>
            <w:tcW w:w="296" w:type="pct"/>
            <w:tcMar>
              <w:left w:w="0" w:type="dxa"/>
              <w:right w:w="0" w:type="dxa"/>
            </w:tcMar>
            <w:vAlign w:val="center"/>
          </w:tcPr>
          <w:p w14:paraId="41628D9E">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达标</w:t>
            </w:r>
          </w:p>
        </w:tc>
        <w:tc>
          <w:tcPr>
            <w:tcW w:w="237" w:type="pct"/>
            <w:tcMar>
              <w:left w:w="0" w:type="dxa"/>
              <w:right w:w="0" w:type="dxa"/>
            </w:tcMar>
            <w:vAlign w:val="center"/>
          </w:tcPr>
          <w:p w14:paraId="7CDFBC56">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3.6</w:t>
            </w:r>
          </w:p>
        </w:tc>
        <w:tc>
          <w:tcPr>
            <w:tcW w:w="296" w:type="pct"/>
            <w:tcMar>
              <w:left w:w="0" w:type="dxa"/>
              <w:right w:w="0" w:type="dxa"/>
            </w:tcMar>
            <w:vAlign w:val="center"/>
          </w:tcPr>
          <w:p w14:paraId="2E493C8F">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w:t>
            </w:r>
          </w:p>
        </w:tc>
        <w:tc>
          <w:tcPr>
            <w:tcW w:w="356" w:type="pct"/>
            <w:tcMar>
              <w:left w:w="0" w:type="dxa"/>
              <w:right w:w="0" w:type="dxa"/>
            </w:tcMar>
            <w:vAlign w:val="center"/>
          </w:tcPr>
          <w:p w14:paraId="4AA5039A">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达标</w:t>
            </w:r>
          </w:p>
        </w:tc>
        <w:tc>
          <w:tcPr>
            <w:tcW w:w="296" w:type="pct"/>
            <w:tcMar>
              <w:left w:w="0" w:type="dxa"/>
              <w:right w:w="0" w:type="dxa"/>
            </w:tcMar>
            <w:vAlign w:val="center"/>
          </w:tcPr>
          <w:p w14:paraId="378819FD">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3.4</w:t>
            </w:r>
          </w:p>
        </w:tc>
        <w:tc>
          <w:tcPr>
            <w:tcW w:w="237" w:type="pct"/>
            <w:tcMar>
              <w:left w:w="0" w:type="dxa"/>
              <w:right w:w="0" w:type="dxa"/>
            </w:tcMar>
            <w:vAlign w:val="center"/>
          </w:tcPr>
          <w:p w14:paraId="7B59E017">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w:t>
            </w:r>
          </w:p>
        </w:tc>
        <w:tc>
          <w:tcPr>
            <w:tcW w:w="296" w:type="pct"/>
            <w:tcMar>
              <w:left w:w="0" w:type="dxa"/>
              <w:right w:w="0" w:type="dxa"/>
            </w:tcMar>
            <w:vAlign w:val="center"/>
          </w:tcPr>
          <w:p w14:paraId="41F6C2C0">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达标</w:t>
            </w:r>
          </w:p>
        </w:tc>
        <w:tc>
          <w:tcPr>
            <w:tcW w:w="237" w:type="pct"/>
            <w:tcMar>
              <w:left w:w="0" w:type="dxa"/>
              <w:right w:w="0" w:type="dxa"/>
            </w:tcMar>
            <w:vAlign w:val="center"/>
          </w:tcPr>
          <w:p w14:paraId="329A04E9">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3.4</w:t>
            </w:r>
          </w:p>
        </w:tc>
        <w:tc>
          <w:tcPr>
            <w:tcW w:w="296" w:type="pct"/>
            <w:tcMar>
              <w:left w:w="0" w:type="dxa"/>
              <w:right w:w="0" w:type="dxa"/>
            </w:tcMar>
            <w:vAlign w:val="center"/>
          </w:tcPr>
          <w:p w14:paraId="59BB2B38">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w:t>
            </w:r>
          </w:p>
        </w:tc>
        <w:tc>
          <w:tcPr>
            <w:tcW w:w="235" w:type="pct"/>
            <w:tcMar>
              <w:left w:w="0" w:type="dxa"/>
              <w:right w:w="0" w:type="dxa"/>
            </w:tcMar>
            <w:vAlign w:val="center"/>
          </w:tcPr>
          <w:p w14:paraId="7C75F59B">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达标</w:t>
            </w:r>
          </w:p>
        </w:tc>
      </w:tr>
      <w:tr w14:paraId="7C2EBF7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9" w:type="pct"/>
            <w:tcMar>
              <w:left w:w="0" w:type="dxa"/>
              <w:right w:w="0" w:type="dxa"/>
            </w:tcMar>
            <w:vAlign w:val="center"/>
          </w:tcPr>
          <w:p w14:paraId="7166C221">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3</w:t>
            </w:r>
          </w:p>
        </w:tc>
        <w:tc>
          <w:tcPr>
            <w:tcW w:w="497" w:type="pct"/>
            <w:tcMar>
              <w:left w:w="0" w:type="dxa"/>
              <w:right w:w="0" w:type="dxa"/>
            </w:tcMar>
            <w:vAlign w:val="center"/>
          </w:tcPr>
          <w:p w14:paraId="0E3267A0">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浑浊度/NTU</w:t>
            </w:r>
          </w:p>
        </w:tc>
        <w:tc>
          <w:tcPr>
            <w:tcW w:w="273" w:type="pct"/>
            <w:tcMar>
              <w:left w:w="0" w:type="dxa"/>
              <w:right w:w="0" w:type="dxa"/>
            </w:tcMar>
            <w:vAlign w:val="center"/>
          </w:tcPr>
          <w:p w14:paraId="3EBE0D83">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＞10</w:t>
            </w:r>
          </w:p>
        </w:tc>
        <w:tc>
          <w:tcPr>
            <w:tcW w:w="230" w:type="pct"/>
            <w:tcMar>
              <w:left w:w="0" w:type="dxa"/>
              <w:right w:w="0" w:type="dxa"/>
            </w:tcMar>
            <w:vAlign w:val="center"/>
          </w:tcPr>
          <w:p w14:paraId="1C1930C3">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≤0.3</w:t>
            </w:r>
          </w:p>
        </w:tc>
        <w:tc>
          <w:tcPr>
            <w:tcW w:w="296" w:type="pct"/>
            <w:tcMar>
              <w:left w:w="0" w:type="dxa"/>
              <w:right w:w="0" w:type="dxa"/>
            </w:tcMar>
            <w:vAlign w:val="center"/>
          </w:tcPr>
          <w:p w14:paraId="0D7057F9">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w:t>
            </w:r>
          </w:p>
        </w:tc>
        <w:tc>
          <w:tcPr>
            <w:tcW w:w="297" w:type="pct"/>
            <w:tcMar>
              <w:left w:w="0" w:type="dxa"/>
              <w:right w:w="0" w:type="dxa"/>
            </w:tcMar>
            <w:vAlign w:val="center"/>
          </w:tcPr>
          <w:p w14:paraId="29EBA89A">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达标</w:t>
            </w:r>
          </w:p>
        </w:tc>
        <w:tc>
          <w:tcPr>
            <w:tcW w:w="298" w:type="pct"/>
            <w:tcMar>
              <w:left w:w="0" w:type="dxa"/>
              <w:right w:w="0" w:type="dxa"/>
            </w:tcMar>
            <w:vAlign w:val="center"/>
          </w:tcPr>
          <w:p w14:paraId="50AFD7D0">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≤0.3</w:t>
            </w:r>
          </w:p>
        </w:tc>
        <w:tc>
          <w:tcPr>
            <w:tcW w:w="237" w:type="pct"/>
            <w:tcMar>
              <w:left w:w="0" w:type="dxa"/>
              <w:right w:w="0" w:type="dxa"/>
            </w:tcMar>
            <w:vAlign w:val="center"/>
          </w:tcPr>
          <w:p w14:paraId="04F7256D">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w:t>
            </w:r>
          </w:p>
        </w:tc>
        <w:tc>
          <w:tcPr>
            <w:tcW w:w="296" w:type="pct"/>
            <w:tcMar>
              <w:left w:w="0" w:type="dxa"/>
              <w:right w:w="0" w:type="dxa"/>
            </w:tcMar>
            <w:vAlign w:val="center"/>
          </w:tcPr>
          <w:p w14:paraId="1863786D">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达标</w:t>
            </w:r>
          </w:p>
        </w:tc>
        <w:tc>
          <w:tcPr>
            <w:tcW w:w="237" w:type="pct"/>
            <w:tcMar>
              <w:left w:w="0" w:type="dxa"/>
              <w:right w:w="0" w:type="dxa"/>
            </w:tcMar>
            <w:vAlign w:val="center"/>
          </w:tcPr>
          <w:p w14:paraId="3B0FBF6C">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≤0.3</w:t>
            </w:r>
          </w:p>
        </w:tc>
        <w:tc>
          <w:tcPr>
            <w:tcW w:w="296" w:type="pct"/>
            <w:tcMar>
              <w:left w:w="0" w:type="dxa"/>
              <w:right w:w="0" w:type="dxa"/>
            </w:tcMar>
            <w:vAlign w:val="center"/>
          </w:tcPr>
          <w:p w14:paraId="662F5332">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w:t>
            </w:r>
          </w:p>
        </w:tc>
        <w:tc>
          <w:tcPr>
            <w:tcW w:w="356" w:type="pct"/>
            <w:tcMar>
              <w:left w:w="0" w:type="dxa"/>
              <w:right w:w="0" w:type="dxa"/>
            </w:tcMar>
            <w:vAlign w:val="center"/>
          </w:tcPr>
          <w:p w14:paraId="40979183">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达标</w:t>
            </w:r>
          </w:p>
        </w:tc>
        <w:tc>
          <w:tcPr>
            <w:tcW w:w="296" w:type="pct"/>
            <w:tcMar>
              <w:left w:w="0" w:type="dxa"/>
              <w:right w:w="0" w:type="dxa"/>
            </w:tcMar>
            <w:vAlign w:val="center"/>
          </w:tcPr>
          <w:p w14:paraId="11B61B18">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≤0.3</w:t>
            </w:r>
          </w:p>
        </w:tc>
        <w:tc>
          <w:tcPr>
            <w:tcW w:w="237" w:type="pct"/>
            <w:tcMar>
              <w:left w:w="0" w:type="dxa"/>
              <w:right w:w="0" w:type="dxa"/>
            </w:tcMar>
            <w:vAlign w:val="center"/>
          </w:tcPr>
          <w:p w14:paraId="123A2CA8">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w:t>
            </w:r>
          </w:p>
        </w:tc>
        <w:tc>
          <w:tcPr>
            <w:tcW w:w="296" w:type="pct"/>
            <w:tcMar>
              <w:left w:w="0" w:type="dxa"/>
              <w:right w:w="0" w:type="dxa"/>
            </w:tcMar>
            <w:vAlign w:val="center"/>
          </w:tcPr>
          <w:p w14:paraId="5CCFE0B4">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达标</w:t>
            </w:r>
          </w:p>
        </w:tc>
        <w:tc>
          <w:tcPr>
            <w:tcW w:w="237" w:type="pct"/>
            <w:tcMar>
              <w:left w:w="0" w:type="dxa"/>
              <w:right w:w="0" w:type="dxa"/>
            </w:tcMar>
            <w:vAlign w:val="center"/>
          </w:tcPr>
          <w:p w14:paraId="2DEC31A8">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≤0.3</w:t>
            </w:r>
          </w:p>
        </w:tc>
        <w:tc>
          <w:tcPr>
            <w:tcW w:w="296" w:type="pct"/>
            <w:tcMar>
              <w:left w:w="0" w:type="dxa"/>
              <w:right w:w="0" w:type="dxa"/>
            </w:tcMar>
            <w:vAlign w:val="center"/>
          </w:tcPr>
          <w:p w14:paraId="5939D2D2">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w:t>
            </w:r>
          </w:p>
        </w:tc>
        <w:tc>
          <w:tcPr>
            <w:tcW w:w="235" w:type="pct"/>
            <w:tcMar>
              <w:left w:w="0" w:type="dxa"/>
              <w:right w:w="0" w:type="dxa"/>
            </w:tcMar>
            <w:vAlign w:val="center"/>
          </w:tcPr>
          <w:p w14:paraId="1A59A57F">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达标</w:t>
            </w:r>
          </w:p>
        </w:tc>
      </w:tr>
      <w:tr w14:paraId="5DBCC87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9" w:type="pct"/>
            <w:tcMar>
              <w:left w:w="0" w:type="dxa"/>
              <w:right w:w="0" w:type="dxa"/>
            </w:tcMar>
            <w:vAlign w:val="center"/>
          </w:tcPr>
          <w:p w14:paraId="2875341E">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4</w:t>
            </w:r>
          </w:p>
        </w:tc>
        <w:tc>
          <w:tcPr>
            <w:tcW w:w="497" w:type="pct"/>
            <w:tcMar>
              <w:left w:w="0" w:type="dxa"/>
              <w:right w:w="0" w:type="dxa"/>
            </w:tcMar>
            <w:vAlign w:val="center"/>
          </w:tcPr>
          <w:p w14:paraId="335D39BE">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色度/度</w:t>
            </w:r>
          </w:p>
        </w:tc>
        <w:tc>
          <w:tcPr>
            <w:tcW w:w="273" w:type="pct"/>
            <w:tcMar>
              <w:left w:w="0" w:type="dxa"/>
              <w:right w:w="0" w:type="dxa"/>
            </w:tcMar>
            <w:vAlign w:val="center"/>
          </w:tcPr>
          <w:p w14:paraId="1A7CF582">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＞25</w:t>
            </w:r>
          </w:p>
        </w:tc>
        <w:tc>
          <w:tcPr>
            <w:tcW w:w="230" w:type="pct"/>
            <w:tcMar>
              <w:left w:w="0" w:type="dxa"/>
              <w:right w:w="0" w:type="dxa"/>
            </w:tcMar>
            <w:vAlign w:val="center"/>
          </w:tcPr>
          <w:p w14:paraId="46E33AA4">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≤5</w:t>
            </w:r>
          </w:p>
        </w:tc>
        <w:tc>
          <w:tcPr>
            <w:tcW w:w="296" w:type="pct"/>
            <w:tcMar>
              <w:left w:w="0" w:type="dxa"/>
              <w:right w:w="0" w:type="dxa"/>
            </w:tcMar>
            <w:vAlign w:val="center"/>
          </w:tcPr>
          <w:p w14:paraId="164D8B2F">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w:t>
            </w:r>
          </w:p>
        </w:tc>
        <w:tc>
          <w:tcPr>
            <w:tcW w:w="297" w:type="pct"/>
            <w:tcMar>
              <w:left w:w="0" w:type="dxa"/>
              <w:right w:w="0" w:type="dxa"/>
            </w:tcMar>
            <w:vAlign w:val="center"/>
          </w:tcPr>
          <w:p w14:paraId="37E1493D">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达标</w:t>
            </w:r>
          </w:p>
        </w:tc>
        <w:tc>
          <w:tcPr>
            <w:tcW w:w="298" w:type="pct"/>
            <w:tcMar>
              <w:left w:w="0" w:type="dxa"/>
              <w:right w:w="0" w:type="dxa"/>
            </w:tcMar>
            <w:vAlign w:val="center"/>
          </w:tcPr>
          <w:p w14:paraId="58C387B8">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≤5</w:t>
            </w:r>
          </w:p>
        </w:tc>
        <w:tc>
          <w:tcPr>
            <w:tcW w:w="237" w:type="pct"/>
            <w:tcMar>
              <w:left w:w="0" w:type="dxa"/>
              <w:right w:w="0" w:type="dxa"/>
            </w:tcMar>
            <w:vAlign w:val="center"/>
          </w:tcPr>
          <w:p w14:paraId="603A8086">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w:t>
            </w:r>
          </w:p>
        </w:tc>
        <w:tc>
          <w:tcPr>
            <w:tcW w:w="296" w:type="pct"/>
            <w:tcMar>
              <w:left w:w="0" w:type="dxa"/>
              <w:right w:w="0" w:type="dxa"/>
            </w:tcMar>
            <w:vAlign w:val="center"/>
          </w:tcPr>
          <w:p w14:paraId="3F6176FC">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达标</w:t>
            </w:r>
          </w:p>
        </w:tc>
        <w:tc>
          <w:tcPr>
            <w:tcW w:w="237" w:type="pct"/>
            <w:tcMar>
              <w:left w:w="0" w:type="dxa"/>
              <w:right w:w="0" w:type="dxa"/>
            </w:tcMar>
            <w:vAlign w:val="center"/>
          </w:tcPr>
          <w:p w14:paraId="191E8761">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≤5</w:t>
            </w:r>
          </w:p>
        </w:tc>
        <w:tc>
          <w:tcPr>
            <w:tcW w:w="296" w:type="pct"/>
            <w:tcMar>
              <w:left w:w="0" w:type="dxa"/>
              <w:right w:w="0" w:type="dxa"/>
            </w:tcMar>
            <w:vAlign w:val="center"/>
          </w:tcPr>
          <w:p w14:paraId="433C41F2">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w:t>
            </w:r>
          </w:p>
        </w:tc>
        <w:tc>
          <w:tcPr>
            <w:tcW w:w="356" w:type="pct"/>
            <w:tcMar>
              <w:left w:w="0" w:type="dxa"/>
              <w:right w:w="0" w:type="dxa"/>
            </w:tcMar>
            <w:vAlign w:val="center"/>
          </w:tcPr>
          <w:p w14:paraId="79BAB31B">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达标</w:t>
            </w:r>
          </w:p>
        </w:tc>
        <w:tc>
          <w:tcPr>
            <w:tcW w:w="296" w:type="pct"/>
            <w:tcMar>
              <w:left w:w="0" w:type="dxa"/>
              <w:right w:w="0" w:type="dxa"/>
            </w:tcMar>
            <w:vAlign w:val="center"/>
          </w:tcPr>
          <w:p w14:paraId="0A761CFB">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≤5</w:t>
            </w:r>
          </w:p>
        </w:tc>
        <w:tc>
          <w:tcPr>
            <w:tcW w:w="237" w:type="pct"/>
            <w:tcMar>
              <w:left w:w="0" w:type="dxa"/>
              <w:right w:w="0" w:type="dxa"/>
            </w:tcMar>
            <w:vAlign w:val="center"/>
          </w:tcPr>
          <w:p w14:paraId="70427A8F">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w:t>
            </w:r>
          </w:p>
        </w:tc>
        <w:tc>
          <w:tcPr>
            <w:tcW w:w="296" w:type="pct"/>
            <w:tcMar>
              <w:left w:w="0" w:type="dxa"/>
              <w:right w:w="0" w:type="dxa"/>
            </w:tcMar>
            <w:vAlign w:val="center"/>
          </w:tcPr>
          <w:p w14:paraId="4164B4B0">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达标</w:t>
            </w:r>
          </w:p>
        </w:tc>
        <w:tc>
          <w:tcPr>
            <w:tcW w:w="237" w:type="pct"/>
            <w:tcMar>
              <w:left w:w="0" w:type="dxa"/>
              <w:right w:w="0" w:type="dxa"/>
            </w:tcMar>
            <w:vAlign w:val="center"/>
          </w:tcPr>
          <w:p w14:paraId="4F749DC7">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≤5</w:t>
            </w:r>
          </w:p>
        </w:tc>
        <w:tc>
          <w:tcPr>
            <w:tcW w:w="296" w:type="pct"/>
            <w:tcMar>
              <w:left w:w="0" w:type="dxa"/>
              <w:right w:w="0" w:type="dxa"/>
            </w:tcMar>
            <w:vAlign w:val="center"/>
          </w:tcPr>
          <w:p w14:paraId="47D5ACF7">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w:t>
            </w:r>
          </w:p>
        </w:tc>
        <w:tc>
          <w:tcPr>
            <w:tcW w:w="235" w:type="pct"/>
            <w:tcMar>
              <w:left w:w="0" w:type="dxa"/>
              <w:right w:w="0" w:type="dxa"/>
            </w:tcMar>
            <w:vAlign w:val="center"/>
          </w:tcPr>
          <w:p w14:paraId="6B59591E">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达标</w:t>
            </w:r>
          </w:p>
        </w:tc>
      </w:tr>
      <w:tr w14:paraId="4213627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9" w:type="pct"/>
            <w:tcMar>
              <w:left w:w="0" w:type="dxa"/>
              <w:right w:w="0" w:type="dxa"/>
            </w:tcMar>
            <w:vAlign w:val="center"/>
          </w:tcPr>
          <w:p w14:paraId="2E642F2A">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5</w:t>
            </w:r>
          </w:p>
        </w:tc>
        <w:tc>
          <w:tcPr>
            <w:tcW w:w="497" w:type="pct"/>
            <w:tcMar>
              <w:left w:w="0" w:type="dxa"/>
              <w:right w:w="0" w:type="dxa"/>
            </w:tcMar>
            <w:vAlign w:val="center"/>
          </w:tcPr>
          <w:p w14:paraId="54722A3C">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溶解性总</w:t>
            </w:r>
          </w:p>
          <w:p w14:paraId="3ACB20AE">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固体</w:t>
            </w:r>
          </w:p>
        </w:tc>
        <w:tc>
          <w:tcPr>
            <w:tcW w:w="273" w:type="pct"/>
            <w:tcMar>
              <w:left w:w="0" w:type="dxa"/>
              <w:right w:w="0" w:type="dxa"/>
            </w:tcMar>
            <w:vAlign w:val="center"/>
          </w:tcPr>
          <w:p w14:paraId="1DB187BC">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≤1000</w:t>
            </w:r>
          </w:p>
        </w:tc>
        <w:tc>
          <w:tcPr>
            <w:tcW w:w="230" w:type="pct"/>
            <w:tcMar>
              <w:left w:w="0" w:type="dxa"/>
              <w:right w:w="0" w:type="dxa"/>
            </w:tcMar>
            <w:vAlign w:val="center"/>
          </w:tcPr>
          <w:p w14:paraId="3EB0E694">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360</w:t>
            </w:r>
          </w:p>
        </w:tc>
        <w:tc>
          <w:tcPr>
            <w:tcW w:w="296" w:type="pct"/>
            <w:tcMar>
              <w:left w:w="0" w:type="dxa"/>
              <w:right w:w="0" w:type="dxa"/>
            </w:tcMar>
            <w:vAlign w:val="center"/>
          </w:tcPr>
          <w:p w14:paraId="238A86D9">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0.36</w:t>
            </w:r>
          </w:p>
        </w:tc>
        <w:tc>
          <w:tcPr>
            <w:tcW w:w="297" w:type="pct"/>
            <w:tcMar>
              <w:left w:w="0" w:type="dxa"/>
              <w:right w:w="0" w:type="dxa"/>
            </w:tcMar>
            <w:vAlign w:val="center"/>
          </w:tcPr>
          <w:p w14:paraId="1463E676">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达标</w:t>
            </w:r>
          </w:p>
        </w:tc>
        <w:tc>
          <w:tcPr>
            <w:tcW w:w="298" w:type="pct"/>
            <w:tcMar>
              <w:left w:w="0" w:type="dxa"/>
              <w:right w:w="0" w:type="dxa"/>
            </w:tcMar>
            <w:vAlign w:val="center"/>
          </w:tcPr>
          <w:p w14:paraId="578CF61C">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425</w:t>
            </w:r>
          </w:p>
        </w:tc>
        <w:tc>
          <w:tcPr>
            <w:tcW w:w="237" w:type="pct"/>
            <w:tcMar>
              <w:left w:w="0" w:type="dxa"/>
              <w:right w:w="0" w:type="dxa"/>
            </w:tcMar>
            <w:vAlign w:val="center"/>
          </w:tcPr>
          <w:p w14:paraId="55CA87AE">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0.425</w:t>
            </w:r>
          </w:p>
        </w:tc>
        <w:tc>
          <w:tcPr>
            <w:tcW w:w="296" w:type="pct"/>
            <w:tcMar>
              <w:left w:w="0" w:type="dxa"/>
              <w:right w:w="0" w:type="dxa"/>
            </w:tcMar>
            <w:vAlign w:val="center"/>
          </w:tcPr>
          <w:p w14:paraId="55C4138C">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达标</w:t>
            </w:r>
          </w:p>
        </w:tc>
        <w:tc>
          <w:tcPr>
            <w:tcW w:w="237" w:type="pct"/>
            <w:tcMar>
              <w:left w:w="0" w:type="dxa"/>
              <w:right w:w="0" w:type="dxa"/>
            </w:tcMar>
            <w:vAlign w:val="center"/>
          </w:tcPr>
          <w:p w14:paraId="5E2ECCEE">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420</w:t>
            </w:r>
          </w:p>
        </w:tc>
        <w:tc>
          <w:tcPr>
            <w:tcW w:w="296" w:type="pct"/>
            <w:tcMar>
              <w:left w:w="0" w:type="dxa"/>
              <w:right w:w="0" w:type="dxa"/>
            </w:tcMar>
            <w:vAlign w:val="center"/>
          </w:tcPr>
          <w:p w14:paraId="4478B5F4">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0.42</w:t>
            </w:r>
          </w:p>
        </w:tc>
        <w:tc>
          <w:tcPr>
            <w:tcW w:w="356" w:type="pct"/>
            <w:tcMar>
              <w:left w:w="0" w:type="dxa"/>
              <w:right w:w="0" w:type="dxa"/>
            </w:tcMar>
            <w:vAlign w:val="center"/>
          </w:tcPr>
          <w:p w14:paraId="65E93644">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达标</w:t>
            </w:r>
          </w:p>
        </w:tc>
        <w:tc>
          <w:tcPr>
            <w:tcW w:w="296" w:type="pct"/>
            <w:tcMar>
              <w:left w:w="0" w:type="dxa"/>
              <w:right w:w="0" w:type="dxa"/>
            </w:tcMar>
            <w:vAlign w:val="center"/>
          </w:tcPr>
          <w:p w14:paraId="3ED3CCBC">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395</w:t>
            </w:r>
          </w:p>
        </w:tc>
        <w:tc>
          <w:tcPr>
            <w:tcW w:w="237" w:type="pct"/>
            <w:tcMar>
              <w:left w:w="0" w:type="dxa"/>
              <w:right w:w="0" w:type="dxa"/>
            </w:tcMar>
            <w:vAlign w:val="center"/>
          </w:tcPr>
          <w:p w14:paraId="5E620FB4">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0.395</w:t>
            </w:r>
          </w:p>
        </w:tc>
        <w:tc>
          <w:tcPr>
            <w:tcW w:w="296" w:type="pct"/>
            <w:tcMar>
              <w:left w:w="0" w:type="dxa"/>
              <w:right w:w="0" w:type="dxa"/>
            </w:tcMar>
            <w:vAlign w:val="center"/>
          </w:tcPr>
          <w:p w14:paraId="73014A33">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达标</w:t>
            </w:r>
          </w:p>
        </w:tc>
        <w:tc>
          <w:tcPr>
            <w:tcW w:w="237" w:type="pct"/>
            <w:tcMar>
              <w:left w:w="0" w:type="dxa"/>
              <w:right w:w="0" w:type="dxa"/>
            </w:tcMar>
            <w:vAlign w:val="center"/>
          </w:tcPr>
          <w:p w14:paraId="13887041">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415</w:t>
            </w:r>
          </w:p>
        </w:tc>
        <w:tc>
          <w:tcPr>
            <w:tcW w:w="296" w:type="pct"/>
            <w:tcMar>
              <w:left w:w="0" w:type="dxa"/>
              <w:right w:w="0" w:type="dxa"/>
            </w:tcMar>
            <w:vAlign w:val="center"/>
          </w:tcPr>
          <w:p w14:paraId="74472C7A">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0.415</w:t>
            </w:r>
          </w:p>
        </w:tc>
        <w:tc>
          <w:tcPr>
            <w:tcW w:w="235" w:type="pct"/>
            <w:tcMar>
              <w:left w:w="0" w:type="dxa"/>
              <w:right w:w="0" w:type="dxa"/>
            </w:tcMar>
            <w:vAlign w:val="center"/>
          </w:tcPr>
          <w:p w14:paraId="69822D5E">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达标</w:t>
            </w:r>
          </w:p>
        </w:tc>
      </w:tr>
      <w:tr w14:paraId="24C4367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9" w:type="pct"/>
            <w:tcMar>
              <w:left w:w="0" w:type="dxa"/>
              <w:right w:w="0" w:type="dxa"/>
            </w:tcMar>
            <w:vAlign w:val="center"/>
          </w:tcPr>
          <w:p w14:paraId="7CB5379C">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6</w:t>
            </w:r>
          </w:p>
        </w:tc>
        <w:tc>
          <w:tcPr>
            <w:tcW w:w="497" w:type="pct"/>
            <w:tcMar>
              <w:left w:w="0" w:type="dxa"/>
              <w:right w:w="0" w:type="dxa"/>
            </w:tcMar>
            <w:vAlign w:val="center"/>
          </w:tcPr>
          <w:p w14:paraId="4F234758">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高锰酸盐指数</w:t>
            </w:r>
          </w:p>
        </w:tc>
        <w:tc>
          <w:tcPr>
            <w:tcW w:w="273" w:type="pct"/>
            <w:tcMar>
              <w:left w:w="0" w:type="dxa"/>
              <w:right w:w="0" w:type="dxa"/>
            </w:tcMar>
            <w:vAlign w:val="center"/>
          </w:tcPr>
          <w:p w14:paraId="1774D58F">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w:t>
            </w:r>
          </w:p>
        </w:tc>
        <w:tc>
          <w:tcPr>
            <w:tcW w:w="230" w:type="pct"/>
            <w:tcMar>
              <w:left w:w="0" w:type="dxa"/>
              <w:right w:w="0" w:type="dxa"/>
            </w:tcMar>
            <w:vAlign w:val="center"/>
          </w:tcPr>
          <w:p w14:paraId="78319993">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0.4</w:t>
            </w:r>
          </w:p>
        </w:tc>
        <w:tc>
          <w:tcPr>
            <w:tcW w:w="296" w:type="pct"/>
            <w:tcMar>
              <w:left w:w="0" w:type="dxa"/>
              <w:right w:w="0" w:type="dxa"/>
            </w:tcMar>
            <w:vAlign w:val="center"/>
          </w:tcPr>
          <w:p w14:paraId="21DD994F">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w:t>
            </w:r>
          </w:p>
        </w:tc>
        <w:tc>
          <w:tcPr>
            <w:tcW w:w="297" w:type="pct"/>
            <w:tcMar>
              <w:left w:w="0" w:type="dxa"/>
              <w:right w:w="0" w:type="dxa"/>
            </w:tcMar>
            <w:vAlign w:val="center"/>
          </w:tcPr>
          <w:p w14:paraId="4D4F3DBF">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达标</w:t>
            </w:r>
          </w:p>
        </w:tc>
        <w:tc>
          <w:tcPr>
            <w:tcW w:w="298" w:type="pct"/>
            <w:tcMar>
              <w:left w:w="0" w:type="dxa"/>
              <w:right w:w="0" w:type="dxa"/>
            </w:tcMar>
            <w:vAlign w:val="center"/>
          </w:tcPr>
          <w:p w14:paraId="74009E40">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0.5</w:t>
            </w:r>
          </w:p>
        </w:tc>
        <w:tc>
          <w:tcPr>
            <w:tcW w:w="237" w:type="pct"/>
            <w:tcMar>
              <w:left w:w="0" w:type="dxa"/>
              <w:right w:w="0" w:type="dxa"/>
            </w:tcMar>
            <w:vAlign w:val="center"/>
          </w:tcPr>
          <w:p w14:paraId="56C40398">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w:t>
            </w:r>
          </w:p>
        </w:tc>
        <w:tc>
          <w:tcPr>
            <w:tcW w:w="296" w:type="pct"/>
            <w:tcMar>
              <w:left w:w="0" w:type="dxa"/>
              <w:right w:w="0" w:type="dxa"/>
            </w:tcMar>
            <w:vAlign w:val="center"/>
          </w:tcPr>
          <w:p w14:paraId="38CAD249">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达标</w:t>
            </w:r>
          </w:p>
        </w:tc>
        <w:tc>
          <w:tcPr>
            <w:tcW w:w="237" w:type="pct"/>
            <w:tcMar>
              <w:left w:w="0" w:type="dxa"/>
              <w:right w:w="0" w:type="dxa"/>
            </w:tcMar>
            <w:vAlign w:val="center"/>
          </w:tcPr>
          <w:p w14:paraId="57F1FBDB">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0.5</w:t>
            </w:r>
          </w:p>
        </w:tc>
        <w:tc>
          <w:tcPr>
            <w:tcW w:w="296" w:type="pct"/>
            <w:tcMar>
              <w:left w:w="0" w:type="dxa"/>
              <w:right w:w="0" w:type="dxa"/>
            </w:tcMar>
            <w:vAlign w:val="center"/>
          </w:tcPr>
          <w:p w14:paraId="7957E961">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w:t>
            </w:r>
          </w:p>
        </w:tc>
        <w:tc>
          <w:tcPr>
            <w:tcW w:w="356" w:type="pct"/>
            <w:tcMar>
              <w:left w:w="0" w:type="dxa"/>
              <w:right w:w="0" w:type="dxa"/>
            </w:tcMar>
            <w:vAlign w:val="center"/>
          </w:tcPr>
          <w:p w14:paraId="3CA132DD">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达标</w:t>
            </w:r>
          </w:p>
        </w:tc>
        <w:tc>
          <w:tcPr>
            <w:tcW w:w="296" w:type="pct"/>
            <w:tcMar>
              <w:left w:w="0" w:type="dxa"/>
              <w:right w:w="0" w:type="dxa"/>
            </w:tcMar>
            <w:vAlign w:val="center"/>
          </w:tcPr>
          <w:p w14:paraId="0F290F3F">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0.5</w:t>
            </w:r>
          </w:p>
        </w:tc>
        <w:tc>
          <w:tcPr>
            <w:tcW w:w="237" w:type="pct"/>
            <w:tcMar>
              <w:left w:w="0" w:type="dxa"/>
              <w:right w:w="0" w:type="dxa"/>
            </w:tcMar>
            <w:vAlign w:val="center"/>
          </w:tcPr>
          <w:p w14:paraId="353A97E3">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w:t>
            </w:r>
          </w:p>
        </w:tc>
        <w:tc>
          <w:tcPr>
            <w:tcW w:w="296" w:type="pct"/>
            <w:tcMar>
              <w:left w:w="0" w:type="dxa"/>
              <w:right w:w="0" w:type="dxa"/>
            </w:tcMar>
            <w:vAlign w:val="center"/>
          </w:tcPr>
          <w:p w14:paraId="23E1BB8E">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达标</w:t>
            </w:r>
          </w:p>
        </w:tc>
        <w:tc>
          <w:tcPr>
            <w:tcW w:w="237" w:type="pct"/>
            <w:tcMar>
              <w:left w:w="0" w:type="dxa"/>
              <w:right w:w="0" w:type="dxa"/>
            </w:tcMar>
            <w:vAlign w:val="center"/>
          </w:tcPr>
          <w:p w14:paraId="25E4F321">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0.5</w:t>
            </w:r>
          </w:p>
        </w:tc>
        <w:tc>
          <w:tcPr>
            <w:tcW w:w="296" w:type="pct"/>
            <w:tcMar>
              <w:left w:w="0" w:type="dxa"/>
              <w:right w:w="0" w:type="dxa"/>
            </w:tcMar>
            <w:vAlign w:val="center"/>
          </w:tcPr>
          <w:p w14:paraId="5B5009D6">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w:t>
            </w:r>
          </w:p>
        </w:tc>
        <w:tc>
          <w:tcPr>
            <w:tcW w:w="235" w:type="pct"/>
            <w:tcMar>
              <w:left w:w="0" w:type="dxa"/>
              <w:right w:w="0" w:type="dxa"/>
            </w:tcMar>
            <w:vAlign w:val="center"/>
          </w:tcPr>
          <w:p w14:paraId="28963035">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达标</w:t>
            </w:r>
          </w:p>
        </w:tc>
      </w:tr>
      <w:tr w14:paraId="53C12DB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9" w:type="pct"/>
            <w:tcMar>
              <w:left w:w="0" w:type="dxa"/>
              <w:right w:w="0" w:type="dxa"/>
            </w:tcMar>
            <w:vAlign w:val="center"/>
          </w:tcPr>
          <w:p w14:paraId="1669A169">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7</w:t>
            </w:r>
          </w:p>
        </w:tc>
        <w:tc>
          <w:tcPr>
            <w:tcW w:w="497" w:type="pct"/>
            <w:tcMar>
              <w:left w:w="0" w:type="dxa"/>
              <w:right w:w="0" w:type="dxa"/>
            </w:tcMar>
            <w:vAlign w:val="center"/>
          </w:tcPr>
          <w:p w14:paraId="6D62057E">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氨氮（以N计）</w:t>
            </w:r>
          </w:p>
        </w:tc>
        <w:tc>
          <w:tcPr>
            <w:tcW w:w="273" w:type="pct"/>
            <w:tcMar>
              <w:left w:w="0" w:type="dxa"/>
              <w:right w:w="0" w:type="dxa"/>
            </w:tcMar>
            <w:vAlign w:val="center"/>
          </w:tcPr>
          <w:p w14:paraId="6479B67F">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≤0.50</w:t>
            </w:r>
          </w:p>
        </w:tc>
        <w:tc>
          <w:tcPr>
            <w:tcW w:w="230" w:type="pct"/>
            <w:tcMar>
              <w:left w:w="0" w:type="dxa"/>
              <w:right w:w="0" w:type="dxa"/>
            </w:tcMar>
            <w:vAlign w:val="center"/>
          </w:tcPr>
          <w:p w14:paraId="2C5B0C91">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0.042</w:t>
            </w:r>
          </w:p>
        </w:tc>
        <w:tc>
          <w:tcPr>
            <w:tcW w:w="296" w:type="pct"/>
            <w:tcMar>
              <w:left w:w="0" w:type="dxa"/>
              <w:right w:w="0" w:type="dxa"/>
            </w:tcMar>
            <w:vAlign w:val="center"/>
          </w:tcPr>
          <w:p w14:paraId="3BFDD5C4">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0.084</w:t>
            </w:r>
          </w:p>
        </w:tc>
        <w:tc>
          <w:tcPr>
            <w:tcW w:w="297" w:type="pct"/>
            <w:tcMar>
              <w:left w:w="0" w:type="dxa"/>
              <w:right w:w="0" w:type="dxa"/>
            </w:tcMar>
            <w:vAlign w:val="center"/>
          </w:tcPr>
          <w:p w14:paraId="13FE97CC">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达标</w:t>
            </w:r>
          </w:p>
        </w:tc>
        <w:tc>
          <w:tcPr>
            <w:tcW w:w="298" w:type="pct"/>
            <w:tcMar>
              <w:left w:w="0" w:type="dxa"/>
              <w:right w:w="0" w:type="dxa"/>
            </w:tcMar>
            <w:vAlign w:val="center"/>
          </w:tcPr>
          <w:p w14:paraId="29122D8D">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≤0.025</w:t>
            </w:r>
          </w:p>
        </w:tc>
        <w:tc>
          <w:tcPr>
            <w:tcW w:w="237" w:type="pct"/>
            <w:tcMar>
              <w:left w:w="0" w:type="dxa"/>
              <w:right w:w="0" w:type="dxa"/>
            </w:tcMar>
            <w:vAlign w:val="center"/>
          </w:tcPr>
          <w:p w14:paraId="396A35CB">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w:t>
            </w:r>
          </w:p>
        </w:tc>
        <w:tc>
          <w:tcPr>
            <w:tcW w:w="296" w:type="pct"/>
            <w:tcMar>
              <w:left w:w="0" w:type="dxa"/>
              <w:right w:w="0" w:type="dxa"/>
            </w:tcMar>
            <w:vAlign w:val="center"/>
          </w:tcPr>
          <w:p w14:paraId="3A9E6FBC">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达标</w:t>
            </w:r>
          </w:p>
        </w:tc>
        <w:tc>
          <w:tcPr>
            <w:tcW w:w="237" w:type="pct"/>
            <w:tcMar>
              <w:left w:w="0" w:type="dxa"/>
              <w:right w:w="0" w:type="dxa"/>
            </w:tcMar>
            <w:vAlign w:val="center"/>
          </w:tcPr>
          <w:p w14:paraId="6B31419B">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0.034</w:t>
            </w:r>
          </w:p>
        </w:tc>
        <w:tc>
          <w:tcPr>
            <w:tcW w:w="296" w:type="pct"/>
            <w:tcMar>
              <w:left w:w="0" w:type="dxa"/>
              <w:right w:w="0" w:type="dxa"/>
            </w:tcMar>
            <w:vAlign w:val="center"/>
          </w:tcPr>
          <w:p w14:paraId="5BAECDFE">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0.068</w:t>
            </w:r>
          </w:p>
        </w:tc>
        <w:tc>
          <w:tcPr>
            <w:tcW w:w="356" w:type="pct"/>
            <w:tcMar>
              <w:left w:w="0" w:type="dxa"/>
              <w:right w:w="0" w:type="dxa"/>
            </w:tcMar>
            <w:vAlign w:val="center"/>
          </w:tcPr>
          <w:p w14:paraId="5C217EAF">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达标</w:t>
            </w:r>
          </w:p>
        </w:tc>
        <w:tc>
          <w:tcPr>
            <w:tcW w:w="296" w:type="pct"/>
            <w:tcMar>
              <w:left w:w="0" w:type="dxa"/>
              <w:right w:w="0" w:type="dxa"/>
            </w:tcMar>
            <w:vAlign w:val="center"/>
          </w:tcPr>
          <w:p w14:paraId="0C05F19E">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≤0.025</w:t>
            </w:r>
          </w:p>
        </w:tc>
        <w:tc>
          <w:tcPr>
            <w:tcW w:w="237" w:type="pct"/>
            <w:tcMar>
              <w:left w:w="0" w:type="dxa"/>
              <w:right w:w="0" w:type="dxa"/>
            </w:tcMar>
            <w:vAlign w:val="center"/>
          </w:tcPr>
          <w:p w14:paraId="5B12FF68">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w:t>
            </w:r>
          </w:p>
        </w:tc>
        <w:tc>
          <w:tcPr>
            <w:tcW w:w="296" w:type="pct"/>
            <w:tcMar>
              <w:left w:w="0" w:type="dxa"/>
              <w:right w:w="0" w:type="dxa"/>
            </w:tcMar>
            <w:vAlign w:val="center"/>
          </w:tcPr>
          <w:p w14:paraId="02DD1DCA">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达标</w:t>
            </w:r>
          </w:p>
        </w:tc>
        <w:tc>
          <w:tcPr>
            <w:tcW w:w="237" w:type="pct"/>
            <w:tcMar>
              <w:left w:w="0" w:type="dxa"/>
              <w:right w:w="0" w:type="dxa"/>
            </w:tcMar>
            <w:vAlign w:val="center"/>
          </w:tcPr>
          <w:p w14:paraId="77CC7C29">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0.071</w:t>
            </w:r>
          </w:p>
        </w:tc>
        <w:tc>
          <w:tcPr>
            <w:tcW w:w="296" w:type="pct"/>
            <w:tcMar>
              <w:left w:w="0" w:type="dxa"/>
              <w:right w:w="0" w:type="dxa"/>
            </w:tcMar>
            <w:vAlign w:val="center"/>
          </w:tcPr>
          <w:p w14:paraId="7AC4306C">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0.142</w:t>
            </w:r>
          </w:p>
        </w:tc>
        <w:tc>
          <w:tcPr>
            <w:tcW w:w="235" w:type="pct"/>
            <w:tcMar>
              <w:left w:w="0" w:type="dxa"/>
              <w:right w:w="0" w:type="dxa"/>
            </w:tcMar>
            <w:vAlign w:val="center"/>
          </w:tcPr>
          <w:p w14:paraId="538295FF">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达标</w:t>
            </w:r>
          </w:p>
        </w:tc>
      </w:tr>
      <w:tr w14:paraId="5F5CC22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9" w:type="pct"/>
            <w:tcMar>
              <w:left w:w="0" w:type="dxa"/>
              <w:right w:w="0" w:type="dxa"/>
            </w:tcMar>
            <w:vAlign w:val="center"/>
          </w:tcPr>
          <w:p w14:paraId="35042D76">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8</w:t>
            </w:r>
          </w:p>
        </w:tc>
        <w:tc>
          <w:tcPr>
            <w:tcW w:w="497" w:type="pct"/>
            <w:tcMar>
              <w:left w:w="0" w:type="dxa"/>
              <w:right w:w="0" w:type="dxa"/>
            </w:tcMar>
            <w:vAlign w:val="center"/>
          </w:tcPr>
          <w:p w14:paraId="7C50C920">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氟化物（以F</w:t>
            </w:r>
            <w:r>
              <w:rPr>
                <w:color w:val="000000" w:themeColor="text1"/>
                <w:sz w:val="21"/>
                <w:szCs w:val="21"/>
                <w:vertAlign w:val="superscript"/>
                <w14:textFill>
                  <w14:solidFill>
                    <w14:schemeClr w14:val="tx1"/>
                  </w14:solidFill>
                </w14:textFill>
              </w:rPr>
              <w:t>-</w:t>
            </w:r>
            <w:r>
              <w:rPr>
                <w:color w:val="000000" w:themeColor="text1"/>
                <w:sz w:val="21"/>
                <w:szCs w:val="21"/>
                <w14:textFill>
                  <w14:solidFill>
                    <w14:schemeClr w14:val="tx1"/>
                  </w14:solidFill>
                </w14:textFill>
              </w:rPr>
              <w:t>计）</w:t>
            </w:r>
          </w:p>
        </w:tc>
        <w:tc>
          <w:tcPr>
            <w:tcW w:w="273" w:type="pct"/>
            <w:tcMar>
              <w:left w:w="0" w:type="dxa"/>
              <w:right w:w="0" w:type="dxa"/>
            </w:tcMar>
            <w:vAlign w:val="center"/>
          </w:tcPr>
          <w:p w14:paraId="4240D8D8">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≤1.0</w:t>
            </w:r>
          </w:p>
        </w:tc>
        <w:tc>
          <w:tcPr>
            <w:tcW w:w="230" w:type="pct"/>
            <w:tcMar>
              <w:left w:w="0" w:type="dxa"/>
              <w:right w:w="0" w:type="dxa"/>
            </w:tcMar>
            <w:vAlign w:val="center"/>
          </w:tcPr>
          <w:p w14:paraId="4CCBB900">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0.061</w:t>
            </w:r>
          </w:p>
        </w:tc>
        <w:tc>
          <w:tcPr>
            <w:tcW w:w="296" w:type="pct"/>
            <w:tcMar>
              <w:left w:w="0" w:type="dxa"/>
              <w:right w:w="0" w:type="dxa"/>
            </w:tcMar>
            <w:vAlign w:val="center"/>
          </w:tcPr>
          <w:p w14:paraId="3E85095F">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0.061</w:t>
            </w:r>
          </w:p>
        </w:tc>
        <w:tc>
          <w:tcPr>
            <w:tcW w:w="297" w:type="pct"/>
            <w:tcMar>
              <w:left w:w="0" w:type="dxa"/>
              <w:right w:w="0" w:type="dxa"/>
            </w:tcMar>
            <w:vAlign w:val="center"/>
          </w:tcPr>
          <w:p w14:paraId="10C54939">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达标</w:t>
            </w:r>
          </w:p>
        </w:tc>
        <w:tc>
          <w:tcPr>
            <w:tcW w:w="298" w:type="pct"/>
            <w:tcMar>
              <w:left w:w="0" w:type="dxa"/>
              <w:right w:w="0" w:type="dxa"/>
            </w:tcMar>
            <w:vAlign w:val="center"/>
          </w:tcPr>
          <w:p w14:paraId="7B96BCA9">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0.062</w:t>
            </w:r>
          </w:p>
        </w:tc>
        <w:tc>
          <w:tcPr>
            <w:tcW w:w="237" w:type="pct"/>
            <w:tcMar>
              <w:left w:w="0" w:type="dxa"/>
              <w:right w:w="0" w:type="dxa"/>
            </w:tcMar>
            <w:vAlign w:val="center"/>
          </w:tcPr>
          <w:p w14:paraId="60D09EFF">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0.062</w:t>
            </w:r>
          </w:p>
        </w:tc>
        <w:tc>
          <w:tcPr>
            <w:tcW w:w="296" w:type="pct"/>
            <w:tcMar>
              <w:left w:w="0" w:type="dxa"/>
              <w:right w:w="0" w:type="dxa"/>
            </w:tcMar>
            <w:vAlign w:val="center"/>
          </w:tcPr>
          <w:p w14:paraId="3E70835D">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达标</w:t>
            </w:r>
          </w:p>
        </w:tc>
        <w:tc>
          <w:tcPr>
            <w:tcW w:w="237" w:type="pct"/>
            <w:tcMar>
              <w:left w:w="0" w:type="dxa"/>
              <w:right w:w="0" w:type="dxa"/>
            </w:tcMar>
            <w:vAlign w:val="center"/>
          </w:tcPr>
          <w:p w14:paraId="7D6C61BF">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0.081</w:t>
            </w:r>
          </w:p>
        </w:tc>
        <w:tc>
          <w:tcPr>
            <w:tcW w:w="296" w:type="pct"/>
            <w:tcMar>
              <w:left w:w="0" w:type="dxa"/>
              <w:right w:w="0" w:type="dxa"/>
            </w:tcMar>
            <w:vAlign w:val="center"/>
          </w:tcPr>
          <w:p w14:paraId="41EEC9DB">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0.081</w:t>
            </w:r>
          </w:p>
        </w:tc>
        <w:tc>
          <w:tcPr>
            <w:tcW w:w="356" w:type="pct"/>
            <w:tcMar>
              <w:left w:w="0" w:type="dxa"/>
              <w:right w:w="0" w:type="dxa"/>
            </w:tcMar>
            <w:vAlign w:val="center"/>
          </w:tcPr>
          <w:p w14:paraId="00C2BEF0">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达标</w:t>
            </w:r>
          </w:p>
        </w:tc>
        <w:tc>
          <w:tcPr>
            <w:tcW w:w="296" w:type="pct"/>
            <w:tcMar>
              <w:left w:w="0" w:type="dxa"/>
              <w:right w:w="0" w:type="dxa"/>
            </w:tcMar>
            <w:vAlign w:val="center"/>
          </w:tcPr>
          <w:p w14:paraId="4A23B1A3">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0.079</w:t>
            </w:r>
          </w:p>
        </w:tc>
        <w:tc>
          <w:tcPr>
            <w:tcW w:w="237" w:type="pct"/>
            <w:tcMar>
              <w:left w:w="0" w:type="dxa"/>
              <w:right w:w="0" w:type="dxa"/>
            </w:tcMar>
            <w:vAlign w:val="center"/>
          </w:tcPr>
          <w:p w14:paraId="566299C0">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0.079</w:t>
            </w:r>
          </w:p>
        </w:tc>
        <w:tc>
          <w:tcPr>
            <w:tcW w:w="296" w:type="pct"/>
            <w:tcMar>
              <w:left w:w="0" w:type="dxa"/>
              <w:right w:w="0" w:type="dxa"/>
            </w:tcMar>
            <w:vAlign w:val="center"/>
          </w:tcPr>
          <w:p w14:paraId="1FB13065">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达标</w:t>
            </w:r>
          </w:p>
        </w:tc>
        <w:tc>
          <w:tcPr>
            <w:tcW w:w="237" w:type="pct"/>
            <w:tcMar>
              <w:left w:w="0" w:type="dxa"/>
              <w:right w:w="0" w:type="dxa"/>
            </w:tcMar>
            <w:vAlign w:val="center"/>
          </w:tcPr>
          <w:p w14:paraId="6B9A5DC4">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0.150</w:t>
            </w:r>
          </w:p>
        </w:tc>
        <w:tc>
          <w:tcPr>
            <w:tcW w:w="296" w:type="pct"/>
            <w:tcMar>
              <w:left w:w="0" w:type="dxa"/>
              <w:right w:w="0" w:type="dxa"/>
            </w:tcMar>
            <w:vAlign w:val="center"/>
          </w:tcPr>
          <w:p w14:paraId="1C0C288F">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0.15</w:t>
            </w:r>
          </w:p>
        </w:tc>
        <w:tc>
          <w:tcPr>
            <w:tcW w:w="235" w:type="pct"/>
            <w:tcMar>
              <w:left w:w="0" w:type="dxa"/>
              <w:right w:w="0" w:type="dxa"/>
            </w:tcMar>
            <w:vAlign w:val="center"/>
          </w:tcPr>
          <w:p w14:paraId="197CAF46">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达标</w:t>
            </w:r>
          </w:p>
        </w:tc>
      </w:tr>
      <w:tr w14:paraId="4E6CEE7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9" w:type="pct"/>
            <w:tcMar>
              <w:left w:w="0" w:type="dxa"/>
              <w:right w:w="0" w:type="dxa"/>
            </w:tcMar>
            <w:vAlign w:val="center"/>
          </w:tcPr>
          <w:p w14:paraId="04924FEE">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9</w:t>
            </w:r>
          </w:p>
        </w:tc>
        <w:tc>
          <w:tcPr>
            <w:tcW w:w="497" w:type="pct"/>
            <w:tcMar>
              <w:left w:w="0" w:type="dxa"/>
              <w:right w:w="0" w:type="dxa"/>
            </w:tcMar>
            <w:vAlign w:val="center"/>
          </w:tcPr>
          <w:p w14:paraId="7C11228B">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氯化物（以Cl</w:t>
            </w:r>
            <w:r>
              <w:rPr>
                <w:color w:val="000000" w:themeColor="text1"/>
                <w:sz w:val="21"/>
                <w:szCs w:val="21"/>
                <w:vertAlign w:val="superscript"/>
                <w14:textFill>
                  <w14:solidFill>
                    <w14:schemeClr w14:val="tx1"/>
                  </w14:solidFill>
                </w14:textFill>
              </w:rPr>
              <w:t>-</w:t>
            </w:r>
            <w:r>
              <w:rPr>
                <w:color w:val="000000" w:themeColor="text1"/>
                <w:sz w:val="21"/>
                <w:szCs w:val="21"/>
                <w14:textFill>
                  <w14:solidFill>
                    <w14:schemeClr w14:val="tx1"/>
                  </w14:solidFill>
                </w14:textFill>
              </w:rPr>
              <w:t>计）</w:t>
            </w:r>
          </w:p>
        </w:tc>
        <w:tc>
          <w:tcPr>
            <w:tcW w:w="273" w:type="pct"/>
            <w:tcMar>
              <w:left w:w="0" w:type="dxa"/>
              <w:right w:w="0" w:type="dxa"/>
            </w:tcMar>
            <w:vAlign w:val="center"/>
          </w:tcPr>
          <w:p w14:paraId="38671A78">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≤250</w:t>
            </w:r>
          </w:p>
        </w:tc>
        <w:tc>
          <w:tcPr>
            <w:tcW w:w="230" w:type="pct"/>
            <w:tcMar>
              <w:left w:w="0" w:type="dxa"/>
              <w:right w:w="0" w:type="dxa"/>
            </w:tcMar>
            <w:vAlign w:val="center"/>
          </w:tcPr>
          <w:p w14:paraId="666F3DB1">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43.2</w:t>
            </w:r>
          </w:p>
        </w:tc>
        <w:tc>
          <w:tcPr>
            <w:tcW w:w="296" w:type="pct"/>
            <w:tcMar>
              <w:left w:w="0" w:type="dxa"/>
              <w:right w:w="0" w:type="dxa"/>
            </w:tcMar>
            <w:vAlign w:val="center"/>
          </w:tcPr>
          <w:p w14:paraId="549E8FCF">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0.1728</w:t>
            </w:r>
          </w:p>
        </w:tc>
        <w:tc>
          <w:tcPr>
            <w:tcW w:w="297" w:type="pct"/>
            <w:tcMar>
              <w:left w:w="0" w:type="dxa"/>
              <w:right w:w="0" w:type="dxa"/>
            </w:tcMar>
            <w:vAlign w:val="center"/>
          </w:tcPr>
          <w:p w14:paraId="61FFD03D">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达标</w:t>
            </w:r>
          </w:p>
        </w:tc>
        <w:tc>
          <w:tcPr>
            <w:tcW w:w="298" w:type="pct"/>
            <w:tcMar>
              <w:left w:w="0" w:type="dxa"/>
              <w:right w:w="0" w:type="dxa"/>
            </w:tcMar>
            <w:vAlign w:val="center"/>
          </w:tcPr>
          <w:p w14:paraId="2DE49E69">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86.9</w:t>
            </w:r>
          </w:p>
        </w:tc>
        <w:tc>
          <w:tcPr>
            <w:tcW w:w="237" w:type="pct"/>
            <w:tcMar>
              <w:left w:w="0" w:type="dxa"/>
              <w:right w:w="0" w:type="dxa"/>
            </w:tcMar>
            <w:vAlign w:val="center"/>
          </w:tcPr>
          <w:p w14:paraId="369DEB5A">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0.3476</w:t>
            </w:r>
          </w:p>
        </w:tc>
        <w:tc>
          <w:tcPr>
            <w:tcW w:w="296" w:type="pct"/>
            <w:tcMar>
              <w:left w:w="0" w:type="dxa"/>
              <w:right w:w="0" w:type="dxa"/>
            </w:tcMar>
            <w:vAlign w:val="center"/>
          </w:tcPr>
          <w:p w14:paraId="635AA0ED">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达标</w:t>
            </w:r>
          </w:p>
        </w:tc>
        <w:tc>
          <w:tcPr>
            <w:tcW w:w="237" w:type="pct"/>
            <w:tcMar>
              <w:left w:w="0" w:type="dxa"/>
              <w:right w:w="0" w:type="dxa"/>
            </w:tcMar>
            <w:vAlign w:val="center"/>
          </w:tcPr>
          <w:p w14:paraId="26DC9E02">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43.4</w:t>
            </w:r>
          </w:p>
        </w:tc>
        <w:tc>
          <w:tcPr>
            <w:tcW w:w="296" w:type="pct"/>
            <w:tcMar>
              <w:left w:w="0" w:type="dxa"/>
              <w:right w:w="0" w:type="dxa"/>
            </w:tcMar>
            <w:vAlign w:val="center"/>
          </w:tcPr>
          <w:p w14:paraId="78A67A81">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0.1736</w:t>
            </w:r>
          </w:p>
        </w:tc>
        <w:tc>
          <w:tcPr>
            <w:tcW w:w="356" w:type="pct"/>
            <w:tcMar>
              <w:left w:w="0" w:type="dxa"/>
              <w:right w:w="0" w:type="dxa"/>
            </w:tcMar>
            <w:vAlign w:val="center"/>
          </w:tcPr>
          <w:p w14:paraId="25B6A784">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达标</w:t>
            </w:r>
          </w:p>
        </w:tc>
        <w:tc>
          <w:tcPr>
            <w:tcW w:w="296" w:type="pct"/>
            <w:tcMar>
              <w:left w:w="0" w:type="dxa"/>
              <w:right w:w="0" w:type="dxa"/>
            </w:tcMar>
            <w:vAlign w:val="center"/>
          </w:tcPr>
          <w:p w14:paraId="6B454825">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84.0</w:t>
            </w:r>
          </w:p>
        </w:tc>
        <w:tc>
          <w:tcPr>
            <w:tcW w:w="237" w:type="pct"/>
            <w:tcMar>
              <w:left w:w="0" w:type="dxa"/>
              <w:right w:w="0" w:type="dxa"/>
            </w:tcMar>
            <w:vAlign w:val="center"/>
          </w:tcPr>
          <w:p w14:paraId="5BEDA16F">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0.336</w:t>
            </w:r>
          </w:p>
        </w:tc>
        <w:tc>
          <w:tcPr>
            <w:tcW w:w="296" w:type="pct"/>
            <w:tcMar>
              <w:left w:w="0" w:type="dxa"/>
              <w:right w:w="0" w:type="dxa"/>
            </w:tcMar>
            <w:vAlign w:val="center"/>
          </w:tcPr>
          <w:p w14:paraId="4657120A">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达标</w:t>
            </w:r>
          </w:p>
        </w:tc>
        <w:tc>
          <w:tcPr>
            <w:tcW w:w="237" w:type="pct"/>
            <w:tcMar>
              <w:left w:w="0" w:type="dxa"/>
              <w:right w:w="0" w:type="dxa"/>
            </w:tcMar>
            <w:vAlign w:val="center"/>
          </w:tcPr>
          <w:p w14:paraId="155BE6FF">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77.0</w:t>
            </w:r>
          </w:p>
        </w:tc>
        <w:tc>
          <w:tcPr>
            <w:tcW w:w="296" w:type="pct"/>
            <w:tcMar>
              <w:left w:w="0" w:type="dxa"/>
              <w:right w:w="0" w:type="dxa"/>
            </w:tcMar>
            <w:vAlign w:val="center"/>
          </w:tcPr>
          <w:p w14:paraId="01B9848E">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0.308</w:t>
            </w:r>
          </w:p>
        </w:tc>
        <w:tc>
          <w:tcPr>
            <w:tcW w:w="235" w:type="pct"/>
            <w:tcMar>
              <w:left w:w="0" w:type="dxa"/>
              <w:right w:w="0" w:type="dxa"/>
            </w:tcMar>
            <w:vAlign w:val="center"/>
          </w:tcPr>
          <w:p w14:paraId="451EECBD">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达标</w:t>
            </w:r>
          </w:p>
        </w:tc>
      </w:tr>
      <w:tr w14:paraId="78D1794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9" w:type="pct"/>
            <w:tcMar>
              <w:left w:w="0" w:type="dxa"/>
              <w:right w:w="0" w:type="dxa"/>
            </w:tcMar>
            <w:vAlign w:val="center"/>
          </w:tcPr>
          <w:p w14:paraId="440654D4">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10</w:t>
            </w:r>
          </w:p>
        </w:tc>
        <w:tc>
          <w:tcPr>
            <w:tcW w:w="497" w:type="pct"/>
            <w:tcMar>
              <w:left w:w="0" w:type="dxa"/>
              <w:right w:w="0" w:type="dxa"/>
            </w:tcMar>
            <w:vAlign w:val="center"/>
          </w:tcPr>
          <w:p w14:paraId="41F128ED">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硝酸盐（以N计）</w:t>
            </w:r>
          </w:p>
        </w:tc>
        <w:tc>
          <w:tcPr>
            <w:tcW w:w="273" w:type="pct"/>
            <w:tcMar>
              <w:left w:w="0" w:type="dxa"/>
              <w:right w:w="0" w:type="dxa"/>
            </w:tcMar>
            <w:vAlign w:val="center"/>
          </w:tcPr>
          <w:p w14:paraId="5BBBD2C1">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≤20</w:t>
            </w:r>
          </w:p>
        </w:tc>
        <w:tc>
          <w:tcPr>
            <w:tcW w:w="230" w:type="pct"/>
            <w:tcMar>
              <w:left w:w="0" w:type="dxa"/>
              <w:right w:w="0" w:type="dxa"/>
            </w:tcMar>
            <w:vAlign w:val="center"/>
          </w:tcPr>
          <w:p w14:paraId="4F911AF7">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0.230</w:t>
            </w:r>
          </w:p>
        </w:tc>
        <w:tc>
          <w:tcPr>
            <w:tcW w:w="296" w:type="pct"/>
            <w:tcMar>
              <w:left w:w="0" w:type="dxa"/>
              <w:right w:w="0" w:type="dxa"/>
            </w:tcMar>
            <w:vAlign w:val="center"/>
          </w:tcPr>
          <w:p w14:paraId="0CC4624E">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0.0115</w:t>
            </w:r>
          </w:p>
        </w:tc>
        <w:tc>
          <w:tcPr>
            <w:tcW w:w="297" w:type="pct"/>
            <w:tcMar>
              <w:left w:w="0" w:type="dxa"/>
              <w:right w:w="0" w:type="dxa"/>
            </w:tcMar>
            <w:vAlign w:val="center"/>
          </w:tcPr>
          <w:p w14:paraId="64FC0561">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达标</w:t>
            </w:r>
          </w:p>
        </w:tc>
        <w:tc>
          <w:tcPr>
            <w:tcW w:w="298" w:type="pct"/>
            <w:tcMar>
              <w:left w:w="0" w:type="dxa"/>
              <w:right w:w="0" w:type="dxa"/>
            </w:tcMar>
            <w:vAlign w:val="center"/>
          </w:tcPr>
          <w:p w14:paraId="3367392C">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0.603</w:t>
            </w:r>
          </w:p>
        </w:tc>
        <w:tc>
          <w:tcPr>
            <w:tcW w:w="237" w:type="pct"/>
            <w:tcMar>
              <w:left w:w="0" w:type="dxa"/>
              <w:right w:w="0" w:type="dxa"/>
            </w:tcMar>
            <w:vAlign w:val="center"/>
          </w:tcPr>
          <w:p w14:paraId="1A092C25">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0.03015</w:t>
            </w:r>
          </w:p>
        </w:tc>
        <w:tc>
          <w:tcPr>
            <w:tcW w:w="296" w:type="pct"/>
            <w:tcMar>
              <w:left w:w="0" w:type="dxa"/>
              <w:right w:w="0" w:type="dxa"/>
            </w:tcMar>
            <w:vAlign w:val="center"/>
          </w:tcPr>
          <w:p w14:paraId="6CEF5524">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达标</w:t>
            </w:r>
          </w:p>
        </w:tc>
        <w:tc>
          <w:tcPr>
            <w:tcW w:w="237" w:type="pct"/>
            <w:tcMar>
              <w:left w:w="0" w:type="dxa"/>
              <w:right w:w="0" w:type="dxa"/>
            </w:tcMar>
            <w:vAlign w:val="center"/>
          </w:tcPr>
          <w:p w14:paraId="34A22DC8">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0.382</w:t>
            </w:r>
          </w:p>
        </w:tc>
        <w:tc>
          <w:tcPr>
            <w:tcW w:w="296" w:type="pct"/>
            <w:tcMar>
              <w:left w:w="0" w:type="dxa"/>
              <w:right w:w="0" w:type="dxa"/>
            </w:tcMar>
            <w:vAlign w:val="center"/>
          </w:tcPr>
          <w:p w14:paraId="4CC3141E">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0.0191</w:t>
            </w:r>
          </w:p>
        </w:tc>
        <w:tc>
          <w:tcPr>
            <w:tcW w:w="356" w:type="pct"/>
            <w:tcMar>
              <w:left w:w="0" w:type="dxa"/>
              <w:right w:w="0" w:type="dxa"/>
            </w:tcMar>
            <w:vAlign w:val="center"/>
          </w:tcPr>
          <w:p w14:paraId="72E7A128">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达标</w:t>
            </w:r>
          </w:p>
        </w:tc>
        <w:tc>
          <w:tcPr>
            <w:tcW w:w="296" w:type="pct"/>
            <w:tcMar>
              <w:left w:w="0" w:type="dxa"/>
              <w:right w:w="0" w:type="dxa"/>
            </w:tcMar>
            <w:vAlign w:val="center"/>
          </w:tcPr>
          <w:p w14:paraId="3B1E68B4">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0.397</w:t>
            </w:r>
          </w:p>
        </w:tc>
        <w:tc>
          <w:tcPr>
            <w:tcW w:w="237" w:type="pct"/>
            <w:tcMar>
              <w:left w:w="0" w:type="dxa"/>
              <w:right w:w="0" w:type="dxa"/>
            </w:tcMar>
            <w:vAlign w:val="center"/>
          </w:tcPr>
          <w:p w14:paraId="18A38DE5">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0.01985</w:t>
            </w:r>
          </w:p>
        </w:tc>
        <w:tc>
          <w:tcPr>
            <w:tcW w:w="296" w:type="pct"/>
            <w:tcMar>
              <w:left w:w="0" w:type="dxa"/>
              <w:right w:w="0" w:type="dxa"/>
            </w:tcMar>
            <w:vAlign w:val="center"/>
          </w:tcPr>
          <w:p w14:paraId="55874F20">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达标</w:t>
            </w:r>
          </w:p>
        </w:tc>
        <w:tc>
          <w:tcPr>
            <w:tcW w:w="237" w:type="pct"/>
            <w:tcMar>
              <w:left w:w="0" w:type="dxa"/>
              <w:right w:w="0" w:type="dxa"/>
            </w:tcMar>
            <w:vAlign w:val="center"/>
          </w:tcPr>
          <w:p w14:paraId="42F35CA9">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0.497</w:t>
            </w:r>
          </w:p>
        </w:tc>
        <w:tc>
          <w:tcPr>
            <w:tcW w:w="296" w:type="pct"/>
            <w:tcMar>
              <w:left w:w="0" w:type="dxa"/>
              <w:right w:w="0" w:type="dxa"/>
            </w:tcMar>
            <w:vAlign w:val="center"/>
          </w:tcPr>
          <w:p w14:paraId="0D3697AA">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0.02485</w:t>
            </w:r>
          </w:p>
        </w:tc>
        <w:tc>
          <w:tcPr>
            <w:tcW w:w="235" w:type="pct"/>
            <w:tcMar>
              <w:left w:w="0" w:type="dxa"/>
              <w:right w:w="0" w:type="dxa"/>
            </w:tcMar>
            <w:vAlign w:val="center"/>
          </w:tcPr>
          <w:p w14:paraId="02650730">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达标</w:t>
            </w:r>
          </w:p>
        </w:tc>
      </w:tr>
      <w:tr w14:paraId="0600640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9" w:type="pct"/>
            <w:tcMar>
              <w:left w:w="0" w:type="dxa"/>
              <w:right w:w="0" w:type="dxa"/>
            </w:tcMar>
            <w:vAlign w:val="center"/>
          </w:tcPr>
          <w:p w14:paraId="17268585">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11</w:t>
            </w:r>
          </w:p>
        </w:tc>
        <w:tc>
          <w:tcPr>
            <w:tcW w:w="497" w:type="pct"/>
            <w:tcMar>
              <w:left w:w="0" w:type="dxa"/>
              <w:right w:w="0" w:type="dxa"/>
            </w:tcMar>
            <w:vAlign w:val="center"/>
          </w:tcPr>
          <w:p w14:paraId="3BDCF8F0">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硫酸盐（以SO</w:t>
            </w:r>
            <w:r>
              <w:rPr>
                <w:color w:val="000000" w:themeColor="text1"/>
                <w:sz w:val="21"/>
                <w:szCs w:val="21"/>
                <w:vertAlign w:val="subscript"/>
                <w14:textFill>
                  <w14:solidFill>
                    <w14:schemeClr w14:val="tx1"/>
                  </w14:solidFill>
                </w14:textFill>
              </w:rPr>
              <w:t>4</w:t>
            </w:r>
            <w:r>
              <w:rPr>
                <w:color w:val="000000" w:themeColor="text1"/>
                <w:sz w:val="21"/>
                <w:szCs w:val="21"/>
                <w:vertAlign w:val="superscript"/>
                <w14:textFill>
                  <w14:solidFill>
                    <w14:schemeClr w14:val="tx1"/>
                  </w14:solidFill>
                </w14:textFill>
              </w:rPr>
              <w:t>2-</w:t>
            </w:r>
            <w:r>
              <w:rPr>
                <w:color w:val="000000" w:themeColor="text1"/>
                <w:sz w:val="21"/>
                <w:szCs w:val="21"/>
                <w14:textFill>
                  <w14:solidFill>
                    <w14:schemeClr w14:val="tx1"/>
                  </w14:solidFill>
                </w14:textFill>
              </w:rPr>
              <w:t>计）</w:t>
            </w:r>
          </w:p>
        </w:tc>
        <w:tc>
          <w:tcPr>
            <w:tcW w:w="273" w:type="pct"/>
            <w:tcMar>
              <w:left w:w="0" w:type="dxa"/>
              <w:right w:w="0" w:type="dxa"/>
            </w:tcMar>
            <w:vAlign w:val="center"/>
          </w:tcPr>
          <w:p w14:paraId="2746DCD1">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≤250</w:t>
            </w:r>
          </w:p>
        </w:tc>
        <w:tc>
          <w:tcPr>
            <w:tcW w:w="230" w:type="pct"/>
            <w:tcMar>
              <w:left w:w="0" w:type="dxa"/>
              <w:right w:w="0" w:type="dxa"/>
            </w:tcMar>
            <w:vAlign w:val="center"/>
          </w:tcPr>
          <w:p w14:paraId="6491F84B">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167</w:t>
            </w:r>
          </w:p>
        </w:tc>
        <w:tc>
          <w:tcPr>
            <w:tcW w:w="296" w:type="pct"/>
            <w:tcMar>
              <w:left w:w="0" w:type="dxa"/>
              <w:right w:w="0" w:type="dxa"/>
            </w:tcMar>
            <w:vAlign w:val="center"/>
          </w:tcPr>
          <w:p w14:paraId="4EEF4231">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0.668</w:t>
            </w:r>
          </w:p>
        </w:tc>
        <w:tc>
          <w:tcPr>
            <w:tcW w:w="297" w:type="pct"/>
            <w:tcMar>
              <w:left w:w="0" w:type="dxa"/>
              <w:right w:w="0" w:type="dxa"/>
            </w:tcMar>
            <w:vAlign w:val="center"/>
          </w:tcPr>
          <w:p w14:paraId="4BCB2FAF">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达标</w:t>
            </w:r>
          </w:p>
        </w:tc>
        <w:tc>
          <w:tcPr>
            <w:tcW w:w="298" w:type="pct"/>
            <w:tcMar>
              <w:left w:w="0" w:type="dxa"/>
              <w:right w:w="0" w:type="dxa"/>
            </w:tcMar>
            <w:vAlign w:val="center"/>
          </w:tcPr>
          <w:p w14:paraId="4CF13D44">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155</w:t>
            </w:r>
          </w:p>
        </w:tc>
        <w:tc>
          <w:tcPr>
            <w:tcW w:w="237" w:type="pct"/>
            <w:tcMar>
              <w:left w:w="0" w:type="dxa"/>
              <w:right w:w="0" w:type="dxa"/>
            </w:tcMar>
            <w:vAlign w:val="center"/>
          </w:tcPr>
          <w:p w14:paraId="5DC83ABC">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0.62</w:t>
            </w:r>
          </w:p>
        </w:tc>
        <w:tc>
          <w:tcPr>
            <w:tcW w:w="296" w:type="pct"/>
            <w:tcMar>
              <w:left w:w="0" w:type="dxa"/>
              <w:right w:w="0" w:type="dxa"/>
            </w:tcMar>
            <w:vAlign w:val="center"/>
          </w:tcPr>
          <w:p w14:paraId="658220C0">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达标</w:t>
            </w:r>
          </w:p>
        </w:tc>
        <w:tc>
          <w:tcPr>
            <w:tcW w:w="237" w:type="pct"/>
            <w:tcMar>
              <w:left w:w="0" w:type="dxa"/>
              <w:right w:w="0" w:type="dxa"/>
            </w:tcMar>
            <w:vAlign w:val="center"/>
          </w:tcPr>
          <w:p w14:paraId="4C2F5984">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177</w:t>
            </w:r>
          </w:p>
        </w:tc>
        <w:tc>
          <w:tcPr>
            <w:tcW w:w="296" w:type="pct"/>
            <w:tcMar>
              <w:left w:w="0" w:type="dxa"/>
              <w:right w:w="0" w:type="dxa"/>
            </w:tcMar>
            <w:vAlign w:val="center"/>
          </w:tcPr>
          <w:p w14:paraId="4F89E8C8">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0.708</w:t>
            </w:r>
          </w:p>
        </w:tc>
        <w:tc>
          <w:tcPr>
            <w:tcW w:w="356" w:type="pct"/>
            <w:tcMar>
              <w:left w:w="0" w:type="dxa"/>
              <w:right w:w="0" w:type="dxa"/>
            </w:tcMar>
            <w:vAlign w:val="center"/>
          </w:tcPr>
          <w:p w14:paraId="78B41399">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达标</w:t>
            </w:r>
          </w:p>
        </w:tc>
        <w:tc>
          <w:tcPr>
            <w:tcW w:w="296" w:type="pct"/>
            <w:tcMar>
              <w:left w:w="0" w:type="dxa"/>
              <w:right w:w="0" w:type="dxa"/>
            </w:tcMar>
            <w:vAlign w:val="center"/>
          </w:tcPr>
          <w:p w14:paraId="2F60D7B5">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144</w:t>
            </w:r>
          </w:p>
        </w:tc>
        <w:tc>
          <w:tcPr>
            <w:tcW w:w="237" w:type="pct"/>
            <w:tcMar>
              <w:left w:w="0" w:type="dxa"/>
              <w:right w:w="0" w:type="dxa"/>
            </w:tcMar>
            <w:vAlign w:val="center"/>
          </w:tcPr>
          <w:p w14:paraId="31400FCC">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0.576</w:t>
            </w:r>
          </w:p>
        </w:tc>
        <w:tc>
          <w:tcPr>
            <w:tcW w:w="296" w:type="pct"/>
            <w:tcMar>
              <w:left w:w="0" w:type="dxa"/>
              <w:right w:w="0" w:type="dxa"/>
            </w:tcMar>
            <w:vAlign w:val="center"/>
          </w:tcPr>
          <w:p w14:paraId="01AAE52C">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达标</w:t>
            </w:r>
          </w:p>
        </w:tc>
        <w:tc>
          <w:tcPr>
            <w:tcW w:w="237" w:type="pct"/>
            <w:tcMar>
              <w:left w:w="0" w:type="dxa"/>
              <w:right w:w="0" w:type="dxa"/>
            </w:tcMar>
            <w:vAlign w:val="center"/>
          </w:tcPr>
          <w:p w14:paraId="14267738">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151</w:t>
            </w:r>
          </w:p>
        </w:tc>
        <w:tc>
          <w:tcPr>
            <w:tcW w:w="296" w:type="pct"/>
            <w:tcMar>
              <w:left w:w="0" w:type="dxa"/>
              <w:right w:w="0" w:type="dxa"/>
            </w:tcMar>
            <w:vAlign w:val="center"/>
          </w:tcPr>
          <w:p w14:paraId="22B85599">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0.604</w:t>
            </w:r>
          </w:p>
        </w:tc>
        <w:tc>
          <w:tcPr>
            <w:tcW w:w="235" w:type="pct"/>
            <w:tcMar>
              <w:left w:w="0" w:type="dxa"/>
              <w:right w:w="0" w:type="dxa"/>
            </w:tcMar>
            <w:vAlign w:val="center"/>
          </w:tcPr>
          <w:p w14:paraId="14B8862F">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达标</w:t>
            </w:r>
          </w:p>
        </w:tc>
      </w:tr>
      <w:tr w14:paraId="66C7777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9" w:type="pct"/>
            <w:tcMar>
              <w:left w:w="0" w:type="dxa"/>
              <w:right w:w="0" w:type="dxa"/>
            </w:tcMar>
            <w:vAlign w:val="center"/>
          </w:tcPr>
          <w:p w14:paraId="58097DA3">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12</w:t>
            </w:r>
          </w:p>
        </w:tc>
        <w:tc>
          <w:tcPr>
            <w:tcW w:w="497" w:type="pct"/>
            <w:tcMar>
              <w:left w:w="0" w:type="dxa"/>
              <w:right w:w="0" w:type="dxa"/>
            </w:tcMar>
            <w:vAlign w:val="center"/>
          </w:tcPr>
          <w:p w14:paraId="7F25B90B">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亚硝酸盐氮（以N计）</w:t>
            </w:r>
          </w:p>
        </w:tc>
        <w:tc>
          <w:tcPr>
            <w:tcW w:w="273" w:type="pct"/>
            <w:tcMar>
              <w:left w:w="0" w:type="dxa"/>
              <w:right w:w="0" w:type="dxa"/>
            </w:tcMar>
            <w:vAlign w:val="center"/>
          </w:tcPr>
          <w:p w14:paraId="6538CB3D">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≤1.00</w:t>
            </w:r>
          </w:p>
        </w:tc>
        <w:tc>
          <w:tcPr>
            <w:tcW w:w="230" w:type="pct"/>
            <w:tcMar>
              <w:left w:w="0" w:type="dxa"/>
              <w:right w:w="0" w:type="dxa"/>
            </w:tcMar>
            <w:vAlign w:val="center"/>
          </w:tcPr>
          <w:p w14:paraId="4ED9C0E5">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0.004</w:t>
            </w:r>
          </w:p>
        </w:tc>
        <w:tc>
          <w:tcPr>
            <w:tcW w:w="296" w:type="pct"/>
            <w:tcMar>
              <w:left w:w="0" w:type="dxa"/>
              <w:right w:w="0" w:type="dxa"/>
            </w:tcMar>
            <w:vAlign w:val="center"/>
          </w:tcPr>
          <w:p w14:paraId="12C9F3F3">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0.004</w:t>
            </w:r>
          </w:p>
        </w:tc>
        <w:tc>
          <w:tcPr>
            <w:tcW w:w="297" w:type="pct"/>
            <w:tcMar>
              <w:left w:w="0" w:type="dxa"/>
              <w:right w:w="0" w:type="dxa"/>
            </w:tcMar>
            <w:vAlign w:val="center"/>
          </w:tcPr>
          <w:p w14:paraId="68A07430">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达标</w:t>
            </w:r>
          </w:p>
        </w:tc>
        <w:tc>
          <w:tcPr>
            <w:tcW w:w="298" w:type="pct"/>
            <w:tcMar>
              <w:left w:w="0" w:type="dxa"/>
              <w:right w:w="0" w:type="dxa"/>
            </w:tcMar>
            <w:vAlign w:val="center"/>
          </w:tcPr>
          <w:p w14:paraId="6E963724">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0.004</w:t>
            </w:r>
          </w:p>
        </w:tc>
        <w:tc>
          <w:tcPr>
            <w:tcW w:w="237" w:type="pct"/>
            <w:tcMar>
              <w:left w:w="0" w:type="dxa"/>
              <w:right w:w="0" w:type="dxa"/>
            </w:tcMar>
            <w:vAlign w:val="center"/>
          </w:tcPr>
          <w:p w14:paraId="13CE5AE3">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0.004</w:t>
            </w:r>
          </w:p>
        </w:tc>
        <w:tc>
          <w:tcPr>
            <w:tcW w:w="296" w:type="pct"/>
            <w:tcMar>
              <w:left w:w="0" w:type="dxa"/>
              <w:right w:w="0" w:type="dxa"/>
            </w:tcMar>
            <w:vAlign w:val="center"/>
          </w:tcPr>
          <w:p w14:paraId="6E818536">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达标</w:t>
            </w:r>
          </w:p>
        </w:tc>
        <w:tc>
          <w:tcPr>
            <w:tcW w:w="237" w:type="pct"/>
            <w:tcMar>
              <w:left w:w="0" w:type="dxa"/>
              <w:right w:w="0" w:type="dxa"/>
            </w:tcMar>
            <w:vAlign w:val="center"/>
          </w:tcPr>
          <w:p w14:paraId="79E06525">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0.005</w:t>
            </w:r>
          </w:p>
        </w:tc>
        <w:tc>
          <w:tcPr>
            <w:tcW w:w="296" w:type="pct"/>
            <w:tcMar>
              <w:left w:w="0" w:type="dxa"/>
              <w:right w:w="0" w:type="dxa"/>
            </w:tcMar>
            <w:vAlign w:val="center"/>
          </w:tcPr>
          <w:p w14:paraId="30953873">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0.005</w:t>
            </w:r>
          </w:p>
        </w:tc>
        <w:tc>
          <w:tcPr>
            <w:tcW w:w="356" w:type="pct"/>
            <w:tcMar>
              <w:left w:w="0" w:type="dxa"/>
              <w:right w:w="0" w:type="dxa"/>
            </w:tcMar>
            <w:vAlign w:val="center"/>
          </w:tcPr>
          <w:p w14:paraId="67A35EEE">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达标</w:t>
            </w:r>
          </w:p>
        </w:tc>
        <w:tc>
          <w:tcPr>
            <w:tcW w:w="296" w:type="pct"/>
            <w:tcMar>
              <w:left w:w="0" w:type="dxa"/>
              <w:right w:w="0" w:type="dxa"/>
            </w:tcMar>
            <w:vAlign w:val="center"/>
          </w:tcPr>
          <w:p w14:paraId="017DB16C">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0.005</w:t>
            </w:r>
          </w:p>
        </w:tc>
        <w:tc>
          <w:tcPr>
            <w:tcW w:w="237" w:type="pct"/>
            <w:tcMar>
              <w:left w:w="0" w:type="dxa"/>
              <w:right w:w="0" w:type="dxa"/>
            </w:tcMar>
            <w:vAlign w:val="center"/>
          </w:tcPr>
          <w:p w14:paraId="4E0C315C">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0.005</w:t>
            </w:r>
          </w:p>
        </w:tc>
        <w:tc>
          <w:tcPr>
            <w:tcW w:w="296" w:type="pct"/>
            <w:tcMar>
              <w:left w:w="0" w:type="dxa"/>
              <w:right w:w="0" w:type="dxa"/>
            </w:tcMar>
            <w:vAlign w:val="center"/>
          </w:tcPr>
          <w:p w14:paraId="44CE67F2">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达标</w:t>
            </w:r>
          </w:p>
        </w:tc>
        <w:tc>
          <w:tcPr>
            <w:tcW w:w="237" w:type="pct"/>
            <w:tcMar>
              <w:left w:w="0" w:type="dxa"/>
              <w:right w:w="0" w:type="dxa"/>
            </w:tcMar>
            <w:vAlign w:val="center"/>
          </w:tcPr>
          <w:p w14:paraId="3D7685D5">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0.006</w:t>
            </w:r>
          </w:p>
        </w:tc>
        <w:tc>
          <w:tcPr>
            <w:tcW w:w="296" w:type="pct"/>
            <w:tcMar>
              <w:left w:w="0" w:type="dxa"/>
              <w:right w:w="0" w:type="dxa"/>
            </w:tcMar>
            <w:vAlign w:val="center"/>
          </w:tcPr>
          <w:p w14:paraId="06F90AD5">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0.006</w:t>
            </w:r>
          </w:p>
        </w:tc>
        <w:tc>
          <w:tcPr>
            <w:tcW w:w="235" w:type="pct"/>
            <w:tcMar>
              <w:left w:w="0" w:type="dxa"/>
              <w:right w:w="0" w:type="dxa"/>
            </w:tcMar>
            <w:vAlign w:val="center"/>
          </w:tcPr>
          <w:p w14:paraId="1B2147AD">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达标</w:t>
            </w:r>
          </w:p>
        </w:tc>
      </w:tr>
      <w:tr w14:paraId="2BD451C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9" w:type="pct"/>
            <w:tcMar>
              <w:left w:w="0" w:type="dxa"/>
              <w:right w:w="0" w:type="dxa"/>
            </w:tcMar>
            <w:vAlign w:val="center"/>
          </w:tcPr>
          <w:p w14:paraId="0D3ECBE0">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13</w:t>
            </w:r>
          </w:p>
        </w:tc>
        <w:tc>
          <w:tcPr>
            <w:tcW w:w="497" w:type="pct"/>
            <w:tcMar>
              <w:left w:w="0" w:type="dxa"/>
              <w:right w:w="0" w:type="dxa"/>
            </w:tcMar>
            <w:vAlign w:val="center"/>
          </w:tcPr>
          <w:p w14:paraId="3D201A54">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挥发酚类（以苯酚计）</w:t>
            </w:r>
          </w:p>
        </w:tc>
        <w:tc>
          <w:tcPr>
            <w:tcW w:w="273" w:type="pct"/>
            <w:tcMar>
              <w:left w:w="0" w:type="dxa"/>
              <w:right w:w="0" w:type="dxa"/>
            </w:tcMar>
            <w:vAlign w:val="center"/>
          </w:tcPr>
          <w:p w14:paraId="139EED13">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≤0.002</w:t>
            </w:r>
          </w:p>
        </w:tc>
        <w:tc>
          <w:tcPr>
            <w:tcW w:w="230" w:type="pct"/>
            <w:tcMar>
              <w:left w:w="0" w:type="dxa"/>
              <w:right w:w="0" w:type="dxa"/>
            </w:tcMar>
            <w:vAlign w:val="center"/>
          </w:tcPr>
          <w:p w14:paraId="52F99C3C">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≤0.0003</w:t>
            </w:r>
          </w:p>
        </w:tc>
        <w:tc>
          <w:tcPr>
            <w:tcW w:w="296" w:type="pct"/>
            <w:tcMar>
              <w:left w:w="0" w:type="dxa"/>
              <w:right w:w="0" w:type="dxa"/>
            </w:tcMar>
            <w:vAlign w:val="center"/>
          </w:tcPr>
          <w:p w14:paraId="4CEB9BB0">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w:t>
            </w:r>
          </w:p>
        </w:tc>
        <w:tc>
          <w:tcPr>
            <w:tcW w:w="297" w:type="pct"/>
            <w:tcMar>
              <w:left w:w="0" w:type="dxa"/>
              <w:right w:w="0" w:type="dxa"/>
            </w:tcMar>
            <w:vAlign w:val="center"/>
          </w:tcPr>
          <w:p w14:paraId="05C08C61">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达标</w:t>
            </w:r>
          </w:p>
        </w:tc>
        <w:tc>
          <w:tcPr>
            <w:tcW w:w="298" w:type="pct"/>
            <w:tcMar>
              <w:left w:w="0" w:type="dxa"/>
              <w:right w:w="0" w:type="dxa"/>
            </w:tcMar>
            <w:vAlign w:val="center"/>
          </w:tcPr>
          <w:p w14:paraId="46D605C2">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≤0.0003</w:t>
            </w:r>
          </w:p>
        </w:tc>
        <w:tc>
          <w:tcPr>
            <w:tcW w:w="237" w:type="pct"/>
            <w:tcMar>
              <w:left w:w="0" w:type="dxa"/>
              <w:right w:w="0" w:type="dxa"/>
            </w:tcMar>
            <w:vAlign w:val="center"/>
          </w:tcPr>
          <w:p w14:paraId="1BA7B6E0">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w:t>
            </w:r>
          </w:p>
        </w:tc>
        <w:tc>
          <w:tcPr>
            <w:tcW w:w="296" w:type="pct"/>
            <w:tcMar>
              <w:left w:w="0" w:type="dxa"/>
              <w:right w:w="0" w:type="dxa"/>
            </w:tcMar>
            <w:vAlign w:val="center"/>
          </w:tcPr>
          <w:p w14:paraId="0C1F6939">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达标</w:t>
            </w:r>
          </w:p>
        </w:tc>
        <w:tc>
          <w:tcPr>
            <w:tcW w:w="237" w:type="pct"/>
            <w:tcMar>
              <w:left w:w="0" w:type="dxa"/>
              <w:right w:w="0" w:type="dxa"/>
            </w:tcMar>
            <w:vAlign w:val="center"/>
          </w:tcPr>
          <w:p w14:paraId="2C146BE0">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≤0.0003</w:t>
            </w:r>
          </w:p>
        </w:tc>
        <w:tc>
          <w:tcPr>
            <w:tcW w:w="296" w:type="pct"/>
            <w:tcMar>
              <w:left w:w="0" w:type="dxa"/>
              <w:right w:w="0" w:type="dxa"/>
            </w:tcMar>
            <w:vAlign w:val="center"/>
          </w:tcPr>
          <w:p w14:paraId="267B44BF">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w:t>
            </w:r>
          </w:p>
        </w:tc>
        <w:tc>
          <w:tcPr>
            <w:tcW w:w="356" w:type="pct"/>
            <w:tcMar>
              <w:left w:w="0" w:type="dxa"/>
              <w:right w:w="0" w:type="dxa"/>
            </w:tcMar>
            <w:vAlign w:val="center"/>
          </w:tcPr>
          <w:p w14:paraId="62091B17">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达标</w:t>
            </w:r>
          </w:p>
        </w:tc>
        <w:tc>
          <w:tcPr>
            <w:tcW w:w="296" w:type="pct"/>
            <w:tcMar>
              <w:left w:w="0" w:type="dxa"/>
              <w:right w:w="0" w:type="dxa"/>
            </w:tcMar>
            <w:vAlign w:val="center"/>
          </w:tcPr>
          <w:p w14:paraId="12613B0B">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≤0.0003</w:t>
            </w:r>
          </w:p>
        </w:tc>
        <w:tc>
          <w:tcPr>
            <w:tcW w:w="237" w:type="pct"/>
            <w:tcMar>
              <w:left w:w="0" w:type="dxa"/>
              <w:right w:w="0" w:type="dxa"/>
            </w:tcMar>
            <w:vAlign w:val="center"/>
          </w:tcPr>
          <w:p w14:paraId="3722C7E0">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w:t>
            </w:r>
          </w:p>
        </w:tc>
        <w:tc>
          <w:tcPr>
            <w:tcW w:w="296" w:type="pct"/>
            <w:tcMar>
              <w:left w:w="0" w:type="dxa"/>
              <w:right w:w="0" w:type="dxa"/>
            </w:tcMar>
            <w:vAlign w:val="center"/>
          </w:tcPr>
          <w:p w14:paraId="4C5A9CAA">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达标</w:t>
            </w:r>
          </w:p>
        </w:tc>
        <w:tc>
          <w:tcPr>
            <w:tcW w:w="237" w:type="pct"/>
            <w:tcMar>
              <w:left w:w="0" w:type="dxa"/>
              <w:right w:w="0" w:type="dxa"/>
            </w:tcMar>
            <w:vAlign w:val="center"/>
          </w:tcPr>
          <w:p w14:paraId="4B38F9C1">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≤0.0003</w:t>
            </w:r>
          </w:p>
        </w:tc>
        <w:tc>
          <w:tcPr>
            <w:tcW w:w="296" w:type="pct"/>
            <w:tcMar>
              <w:left w:w="0" w:type="dxa"/>
              <w:right w:w="0" w:type="dxa"/>
            </w:tcMar>
            <w:vAlign w:val="center"/>
          </w:tcPr>
          <w:p w14:paraId="63D22C57">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w:t>
            </w:r>
          </w:p>
        </w:tc>
        <w:tc>
          <w:tcPr>
            <w:tcW w:w="235" w:type="pct"/>
            <w:tcMar>
              <w:left w:w="0" w:type="dxa"/>
              <w:right w:w="0" w:type="dxa"/>
            </w:tcMar>
            <w:vAlign w:val="center"/>
          </w:tcPr>
          <w:p w14:paraId="10FBED89">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达标</w:t>
            </w:r>
          </w:p>
        </w:tc>
      </w:tr>
      <w:tr w14:paraId="6A1C064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9" w:type="pct"/>
            <w:tcMar>
              <w:left w:w="0" w:type="dxa"/>
              <w:right w:w="0" w:type="dxa"/>
            </w:tcMar>
            <w:vAlign w:val="center"/>
          </w:tcPr>
          <w:p w14:paraId="0B51EAD4">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14</w:t>
            </w:r>
          </w:p>
        </w:tc>
        <w:tc>
          <w:tcPr>
            <w:tcW w:w="497" w:type="pct"/>
            <w:tcMar>
              <w:left w:w="0" w:type="dxa"/>
              <w:right w:w="0" w:type="dxa"/>
            </w:tcMar>
            <w:vAlign w:val="center"/>
          </w:tcPr>
          <w:p w14:paraId="60AA8EF2">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铬（六价）</w:t>
            </w:r>
          </w:p>
        </w:tc>
        <w:tc>
          <w:tcPr>
            <w:tcW w:w="273" w:type="pct"/>
            <w:tcMar>
              <w:left w:w="0" w:type="dxa"/>
              <w:right w:w="0" w:type="dxa"/>
            </w:tcMar>
            <w:vAlign w:val="center"/>
          </w:tcPr>
          <w:p w14:paraId="0A3AC225">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≤0.05</w:t>
            </w:r>
          </w:p>
        </w:tc>
        <w:tc>
          <w:tcPr>
            <w:tcW w:w="230" w:type="pct"/>
            <w:tcMar>
              <w:left w:w="0" w:type="dxa"/>
              <w:right w:w="0" w:type="dxa"/>
            </w:tcMar>
            <w:vAlign w:val="center"/>
          </w:tcPr>
          <w:p w14:paraId="0B36ABF5">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≤0.004</w:t>
            </w:r>
          </w:p>
        </w:tc>
        <w:tc>
          <w:tcPr>
            <w:tcW w:w="296" w:type="pct"/>
            <w:tcMar>
              <w:left w:w="0" w:type="dxa"/>
              <w:right w:w="0" w:type="dxa"/>
            </w:tcMar>
            <w:vAlign w:val="center"/>
          </w:tcPr>
          <w:p w14:paraId="4B6F976A">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w:t>
            </w:r>
          </w:p>
        </w:tc>
        <w:tc>
          <w:tcPr>
            <w:tcW w:w="297" w:type="pct"/>
            <w:tcMar>
              <w:left w:w="0" w:type="dxa"/>
              <w:right w:w="0" w:type="dxa"/>
            </w:tcMar>
            <w:vAlign w:val="center"/>
          </w:tcPr>
          <w:p w14:paraId="1310AD4E">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达标</w:t>
            </w:r>
          </w:p>
        </w:tc>
        <w:tc>
          <w:tcPr>
            <w:tcW w:w="298" w:type="pct"/>
            <w:tcMar>
              <w:left w:w="0" w:type="dxa"/>
              <w:right w:w="0" w:type="dxa"/>
            </w:tcMar>
            <w:vAlign w:val="center"/>
          </w:tcPr>
          <w:p w14:paraId="01D53D1E">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≤0.004</w:t>
            </w:r>
          </w:p>
        </w:tc>
        <w:tc>
          <w:tcPr>
            <w:tcW w:w="237" w:type="pct"/>
            <w:tcMar>
              <w:left w:w="0" w:type="dxa"/>
              <w:right w:w="0" w:type="dxa"/>
            </w:tcMar>
            <w:vAlign w:val="center"/>
          </w:tcPr>
          <w:p w14:paraId="6C9648B7">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w:t>
            </w:r>
          </w:p>
        </w:tc>
        <w:tc>
          <w:tcPr>
            <w:tcW w:w="296" w:type="pct"/>
            <w:tcMar>
              <w:left w:w="0" w:type="dxa"/>
              <w:right w:w="0" w:type="dxa"/>
            </w:tcMar>
            <w:vAlign w:val="center"/>
          </w:tcPr>
          <w:p w14:paraId="5C7083C0">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达标</w:t>
            </w:r>
          </w:p>
        </w:tc>
        <w:tc>
          <w:tcPr>
            <w:tcW w:w="237" w:type="pct"/>
            <w:tcMar>
              <w:left w:w="0" w:type="dxa"/>
              <w:right w:w="0" w:type="dxa"/>
            </w:tcMar>
            <w:vAlign w:val="center"/>
          </w:tcPr>
          <w:p w14:paraId="637B437A">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≤0.004</w:t>
            </w:r>
          </w:p>
        </w:tc>
        <w:tc>
          <w:tcPr>
            <w:tcW w:w="296" w:type="pct"/>
            <w:tcMar>
              <w:left w:w="0" w:type="dxa"/>
              <w:right w:w="0" w:type="dxa"/>
            </w:tcMar>
            <w:vAlign w:val="center"/>
          </w:tcPr>
          <w:p w14:paraId="0AD87A49">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w:t>
            </w:r>
          </w:p>
        </w:tc>
        <w:tc>
          <w:tcPr>
            <w:tcW w:w="356" w:type="pct"/>
            <w:tcMar>
              <w:left w:w="0" w:type="dxa"/>
              <w:right w:w="0" w:type="dxa"/>
            </w:tcMar>
            <w:vAlign w:val="center"/>
          </w:tcPr>
          <w:p w14:paraId="2DD809A1">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达标</w:t>
            </w:r>
          </w:p>
        </w:tc>
        <w:tc>
          <w:tcPr>
            <w:tcW w:w="296" w:type="pct"/>
            <w:tcMar>
              <w:left w:w="0" w:type="dxa"/>
              <w:right w:w="0" w:type="dxa"/>
            </w:tcMar>
            <w:vAlign w:val="center"/>
          </w:tcPr>
          <w:p w14:paraId="53F6276D">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≤0.004</w:t>
            </w:r>
          </w:p>
        </w:tc>
        <w:tc>
          <w:tcPr>
            <w:tcW w:w="237" w:type="pct"/>
            <w:tcMar>
              <w:left w:w="0" w:type="dxa"/>
              <w:right w:w="0" w:type="dxa"/>
            </w:tcMar>
            <w:vAlign w:val="center"/>
          </w:tcPr>
          <w:p w14:paraId="25535472">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w:t>
            </w:r>
          </w:p>
        </w:tc>
        <w:tc>
          <w:tcPr>
            <w:tcW w:w="296" w:type="pct"/>
            <w:tcMar>
              <w:left w:w="0" w:type="dxa"/>
              <w:right w:w="0" w:type="dxa"/>
            </w:tcMar>
            <w:vAlign w:val="center"/>
          </w:tcPr>
          <w:p w14:paraId="08DB56B6">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达标</w:t>
            </w:r>
          </w:p>
        </w:tc>
        <w:tc>
          <w:tcPr>
            <w:tcW w:w="237" w:type="pct"/>
            <w:tcMar>
              <w:left w:w="0" w:type="dxa"/>
              <w:right w:w="0" w:type="dxa"/>
            </w:tcMar>
            <w:vAlign w:val="center"/>
          </w:tcPr>
          <w:p w14:paraId="619A278E">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≤0.004</w:t>
            </w:r>
          </w:p>
        </w:tc>
        <w:tc>
          <w:tcPr>
            <w:tcW w:w="296" w:type="pct"/>
            <w:tcMar>
              <w:left w:w="0" w:type="dxa"/>
              <w:right w:w="0" w:type="dxa"/>
            </w:tcMar>
            <w:vAlign w:val="center"/>
          </w:tcPr>
          <w:p w14:paraId="71EC6F90">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w:t>
            </w:r>
          </w:p>
        </w:tc>
        <w:tc>
          <w:tcPr>
            <w:tcW w:w="235" w:type="pct"/>
            <w:tcMar>
              <w:left w:w="0" w:type="dxa"/>
              <w:right w:w="0" w:type="dxa"/>
            </w:tcMar>
            <w:vAlign w:val="center"/>
          </w:tcPr>
          <w:p w14:paraId="1680E69E">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达标</w:t>
            </w:r>
          </w:p>
        </w:tc>
      </w:tr>
      <w:tr w14:paraId="68E82F9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9" w:type="pct"/>
            <w:tcMar>
              <w:left w:w="0" w:type="dxa"/>
              <w:right w:w="0" w:type="dxa"/>
            </w:tcMar>
            <w:vAlign w:val="center"/>
          </w:tcPr>
          <w:p w14:paraId="5028B0B2">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15</w:t>
            </w:r>
          </w:p>
        </w:tc>
        <w:tc>
          <w:tcPr>
            <w:tcW w:w="497" w:type="pct"/>
            <w:tcMar>
              <w:left w:w="0" w:type="dxa"/>
              <w:right w:w="0" w:type="dxa"/>
            </w:tcMar>
            <w:vAlign w:val="center"/>
          </w:tcPr>
          <w:p w14:paraId="440F88A3">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氰化物</w:t>
            </w:r>
          </w:p>
        </w:tc>
        <w:tc>
          <w:tcPr>
            <w:tcW w:w="273" w:type="pct"/>
            <w:tcMar>
              <w:left w:w="0" w:type="dxa"/>
              <w:right w:w="0" w:type="dxa"/>
            </w:tcMar>
            <w:vAlign w:val="center"/>
          </w:tcPr>
          <w:p w14:paraId="22F9A53E">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≤0.05</w:t>
            </w:r>
          </w:p>
        </w:tc>
        <w:tc>
          <w:tcPr>
            <w:tcW w:w="230" w:type="pct"/>
            <w:tcMar>
              <w:left w:w="0" w:type="dxa"/>
              <w:right w:w="0" w:type="dxa"/>
            </w:tcMar>
            <w:vAlign w:val="center"/>
          </w:tcPr>
          <w:p w14:paraId="5E44EEB3">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≤0.002</w:t>
            </w:r>
          </w:p>
        </w:tc>
        <w:tc>
          <w:tcPr>
            <w:tcW w:w="296" w:type="pct"/>
            <w:tcMar>
              <w:left w:w="0" w:type="dxa"/>
              <w:right w:w="0" w:type="dxa"/>
            </w:tcMar>
            <w:vAlign w:val="center"/>
          </w:tcPr>
          <w:p w14:paraId="15862531">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w:t>
            </w:r>
          </w:p>
        </w:tc>
        <w:tc>
          <w:tcPr>
            <w:tcW w:w="297" w:type="pct"/>
            <w:tcMar>
              <w:left w:w="0" w:type="dxa"/>
              <w:right w:w="0" w:type="dxa"/>
            </w:tcMar>
            <w:vAlign w:val="center"/>
          </w:tcPr>
          <w:p w14:paraId="564D8C4F">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达标</w:t>
            </w:r>
          </w:p>
        </w:tc>
        <w:tc>
          <w:tcPr>
            <w:tcW w:w="298" w:type="pct"/>
            <w:tcMar>
              <w:left w:w="0" w:type="dxa"/>
              <w:right w:w="0" w:type="dxa"/>
            </w:tcMar>
            <w:vAlign w:val="center"/>
          </w:tcPr>
          <w:p w14:paraId="780CA5C9">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≤0.002</w:t>
            </w:r>
          </w:p>
        </w:tc>
        <w:tc>
          <w:tcPr>
            <w:tcW w:w="237" w:type="pct"/>
            <w:tcMar>
              <w:left w:w="0" w:type="dxa"/>
              <w:right w:w="0" w:type="dxa"/>
            </w:tcMar>
            <w:vAlign w:val="center"/>
          </w:tcPr>
          <w:p w14:paraId="18411039">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w:t>
            </w:r>
          </w:p>
        </w:tc>
        <w:tc>
          <w:tcPr>
            <w:tcW w:w="296" w:type="pct"/>
            <w:tcMar>
              <w:left w:w="0" w:type="dxa"/>
              <w:right w:w="0" w:type="dxa"/>
            </w:tcMar>
            <w:vAlign w:val="center"/>
          </w:tcPr>
          <w:p w14:paraId="13182C75">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达标</w:t>
            </w:r>
          </w:p>
        </w:tc>
        <w:tc>
          <w:tcPr>
            <w:tcW w:w="237" w:type="pct"/>
            <w:tcMar>
              <w:left w:w="0" w:type="dxa"/>
              <w:right w:w="0" w:type="dxa"/>
            </w:tcMar>
            <w:vAlign w:val="center"/>
          </w:tcPr>
          <w:p w14:paraId="216E3E80">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≤0.002</w:t>
            </w:r>
          </w:p>
        </w:tc>
        <w:tc>
          <w:tcPr>
            <w:tcW w:w="296" w:type="pct"/>
            <w:tcMar>
              <w:left w:w="0" w:type="dxa"/>
              <w:right w:w="0" w:type="dxa"/>
            </w:tcMar>
            <w:vAlign w:val="center"/>
          </w:tcPr>
          <w:p w14:paraId="1D607E9B">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w:t>
            </w:r>
          </w:p>
        </w:tc>
        <w:tc>
          <w:tcPr>
            <w:tcW w:w="356" w:type="pct"/>
            <w:tcMar>
              <w:left w:w="0" w:type="dxa"/>
              <w:right w:w="0" w:type="dxa"/>
            </w:tcMar>
            <w:vAlign w:val="center"/>
          </w:tcPr>
          <w:p w14:paraId="19E5CC70">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达标</w:t>
            </w:r>
          </w:p>
        </w:tc>
        <w:tc>
          <w:tcPr>
            <w:tcW w:w="296" w:type="pct"/>
            <w:tcMar>
              <w:left w:w="0" w:type="dxa"/>
              <w:right w:w="0" w:type="dxa"/>
            </w:tcMar>
            <w:vAlign w:val="center"/>
          </w:tcPr>
          <w:p w14:paraId="1FE0AD25">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≤0.002</w:t>
            </w:r>
          </w:p>
        </w:tc>
        <w:tc>
          <w:tcPr>
            <w:tcW w:w="237" w:type="pct"/>
            <w:tcMar>
              <w:left w:w="0" w:type="dxa"/>
              <w:right w:w="0" w:type="dxa"/>
            </w:tcMar>
            <w:vAlign w:val="center"/>
          </w:tcPr>
          <w:p w14:paraId="095F30B9">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w:t>
            </w:r>
          </w:p>
        </w:tc>
        <w:tc>
          <w:tcPr>
            <w:tcW w:w="296" w:type="pct"/>
            <w:tcMar>
              <w:left w:w="0" w:type="dxa"/>
              <w:right w:w="0" w:type="dxa"/>
            </w:tcMar>
            <w:vAlign w:val="center"/>
          </w:tcPr>
          <w:p w14:paraId="23DCD93D">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达标</w:t>
            </w:r>
          </w:p>
        </w:tc>
        <w:tc>
          <w:tcPr>
            <w:tcW w:w="237" w:type="pct"/>
            <w:tcMar>
              <w:left w:w="0" w:type="dxa"/>
              <w:right w:w="0" w:type="dxa"/>
            </w:tcMar>
            <w:vAlign w:val="center"/>
          </w:tcPr>
          <w:p w14:paraId="6A86BD31">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≤0.002</w:t>
            </w:r>
          </w:p>
        </w:tc>
        <w:tc>
          <w:tcPr>
            <w:tcW w:w="296" w:type="pct"/>
            <w:tcMar>
              <w:left w:w="0" w:type="dxa"/>
              <w:right w:w="0" w:type="dxa"/>
            </w:tcMar>
            <w:vAlign w:val="center"/>
          </w:tcPr>
          <w:p w14:paraId="4E14FE4E">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w:t>
            </w:r>
          </w:p>
        </w:tc>
        <w:tc>
          <w:tcPr>
            <w:tcW w:w="235" w:type="pct"/>
            <w:tcMar>
              <w:left w:w="0" w:type="dxa"/>
              <w:right w:w="0" w:type="dxa"/>
            </w:tcMar>
            <w:vAlign w:val="center"/>
          </w:tcPr>
          <w:p w14:paraId="166CD9B2">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达标</w:t>
            </w:r>
          </w:p>
        </w:tc>
      </w:tr>
      <w:tr w14:paraId="42B28D9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9" w:type="pct"/>
            <w:tcMar>
              <w:left w:w="0" w:type="dxa"/>
              <w:right w:w="0" w:type="dxa"/>
            </w:tcMar>
            <w:vAlign w:val="center"/>
          </w:tcPr>
          <w:p w14:paraId="2E76C152">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16</w:t>
            </w:r>
          </w:p>
        </w:tc>
        <w:tc>
          <w:tcPr>
            <w:tcW w:w="497" w:type="pct"/>
            <w:tcMar>
              <w:left w:w="0" w:type="dxa"/>
              <w:right w:w="0" w:type="dxa"/>
            </w:tcMar>
            <w:vAlign w:val="center"/>
          </w:tcPr>
          <w:p w14:paraId="1CE33E3C">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总大肠菌群，MN/100mL</w:t>
            </w:r>
          </w:p>
        </w:tc>
        <w:tc>
          <w:tcPr>
            <w:tcW w:w="273" w:type="pct"/>
            <w:tcMar>
              <w:left w:w="0" w:type="dxa"/>
              <w:right w:w="0" w:type="dxa"/>
            </w:tcMar>
            <w:vAlign w:val="center"/>
          </w:tcPr>
          <w:p w14:paraId="54D7364C">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≤3.0</w:t>
            </w:r>
          </w:p>
        </w:tc>
        <w:tc>
          <w:tcPr>
            <w:tcW w:w="230" w:type="pct"/>
            <w:tcMar>
              <w:left w:w="0" w:type="dxa"/>
              <w:right w:w="0" w:type="dxa"/>
            </w:tcMar>
            <w:vAlign w:val="center"/>
          </w:tcPr>
          <w:p w14:paraId="5F4AEBC8">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未检出</w:t>
            </w:r>
          </w:p>
        </w:tc>
        <w:tc>
          <w:tcPr>
            <w:tcW w:w="296" w:type="pct"/>
            <w:tcMar>
              <w:left w:w="0" w:type="dxa"/>
              <w:right w:w="0" w:type="dxa"/>
            </w:tcMar>
            <w:vAlign w:val="center"/>
          </w:tcPr>
          <w:p w14:paraId="58444041">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w:t>
            </w:r>
          </w:p>
        </w:tc>
        <w:tc>
          <w:tcPr>
            <w:tcW w:w="297" w:type="pct"/>
            <w:tcMar>
              <w:left w:w="0" w:type="dxa"/>
              <w:right w:w="0" w:type="dxa"/>
            </w:tcMar>
            <w:vAlign w:val="center"/>
          </w:tcPr>
          <w:p w14:paraId="4D61ED55">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达标</w:t>
            </w:r>
          </w:p>
        </w:tc>
        <w:tc>
          <w:tcPr>
            <w:tcW w:w="298" w:type="pct"/>
            <w:tcMar>
              <w:left w:w="0" w:type="dxa"/>
              <w:right w:w="0" w:type="dxa"/>
            </w:tcMar>
            <w:vAlign w:val="center"/>
          </w:tcPr>
          <w:p w14:paraId="40DAA90D">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未检出</w:t>
            </w:r>
          </w:p>
        </w:tc>
        <w:tc>
          <w:tcPr>
            <w:tcW w:w="237" w:type="pct"/>
            <w:tcMar>
              <w:left w:w="0" w:type="dxa"/>
              <w:right w:w="0" w:type="dxa"/>
            </w:tcMar>
            <w:vAlign w:val="center"/>
          </w:tcPr>
          <w:p w14:paraId="1F942307">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w:t>
            </w:r>
          </w:p>
        </w:tc>
        <w:tc>
          <w:tcPr>
            <w:tcW w:w="296" w:type="pct"/>
            <w:tcMar>
              <w:left w:w="0" w:type="dxa"/>
              <w:right w:w="0" w:type="dxa"/>
            </w:tcMar>
            <w:vAlign w:val="center"/>
          </w:tcPr>
          <w:p w14:paraId="11108C14">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达标</w:t>
            </w:r>
          </w:p>
        </w:tc>
        <w:tc>
          <w:tcPr>
            <w:tcW w:w="237" w:type="pct"/>
            <w:tcMar>
              <w:left w:w="0" w:type="dxa"/>
              <w:right w:w="0" w:type="dxa"/>
            </w:tcMar>
            <w:vAlign w:val="center"/>
          </w:tcPr>
          <w:p w14:paraId="42DA8826">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未检出</w:t>
            </w:r>
          </w:p>
        </w:tc>
        <w:tc>
          <w:tcPr>
            <w:tcW w:w="296" w:type="pct"/>
            <w:tcMar>
              <w:left w:w="0" w:type="dxa"/>
              <w:right w:w="0" w:type="dxa"/>
            </w:tcMar>
            <w:vAlign w:val="center"/>
          </w:tcPr>
          <w:p w14:paraId="54A5EC13">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w:t>
            </w:r>
          </w:p>
        </w:tc>
        <w:tc>
          <w:tcPr>
            <w:tcW w:w="356" w:type="pct"/>
            <w:tcMar>
              <w:left w:w="0" w:type="dxa"/>
              <w:right w:w="0" w:type="dxa"/>
            </w:tcMar>
            <w:vAlign w:val="center"/>
          </w:tcPr>
          <w:p w14:paraId="7C5E7FAC">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达标</w:t>
            </w:r>
          </w:p>
        </w:tc>
        <w:tc>
          <w:tcPr>
            <w:tcW w:w="296" w:type="pct"/>
            <w:tcMar>
              <w:left w:w="0" w:type="dxa"/>
              <w:right w:w="0" w:type="dxa"/>
            </w:tcMar>
            <w:vAlign w:val="center"/>
          </w:tcPr>
          <w:p w14:paraId="5054E378">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未检出</w:t>
            </w:r>
          </w:p>
        </w:tc>
        <w:tc>
          <w:tcPr>
            <w:tcW w:w="237" w:type="pct"/>
            <w:tcMar>
              <w:left w:w="0" w:type="dxa"/>
              <w:right w:w="0" w:type="dxa"/>
            </w:tcMar>
            <w:vAlign w:val="center"/>
          </w:tcPr>
          <w:p w14:paraId="63A74157">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w:t>
            </w:r>
          </w:p>
        </w:tc>
        <w:tc>
          <w:tcPr>
            <w:tcW w:w="296" w:type="pct"/>
            <w:tcMar>
              <w:left w:w="0" w:type="dxa"/>
              <w:right w:w="0" w:type="dxa"/>
            </w:tcMar>
            <w:vAlign w:val="center"/>
          </w:tcPr>
          <w:p w14:paraId="2282A323">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达标</w:t>
            </w:r>
          </w:p>
        </w:tc>
        <w:tc>
          <w:tcPr>
            <w:tcW w:w="237" w:type="pct"/>
            <w:tcMar>
              <w:left w:w="0" w:type="dxa"/>
              <w:right w:w="0" w:type="dxa"/>
            </w:tcMar>
            <w:vAlign w:val="center"/>
          </w:tcPr>
          <w:p w14:paraId="08B94B36">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未检出</w:t>
            </w:r>
          </w:p>
        </w:tc>
        <w:tc>
          <w:tcPr>
            <w:tcW w:w="296" w:type="pct"/>
            <w:tcMar>
              <w:left w:w="0" w:type="dxa"/>
              <w:right w:w="0" w:type="dxa"/>
            </w:tcMar>
            <w:vAlign w:val="center"/>
          </w:tcPr>
          <w:p w14:paraId="478713C2">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w:t>
            </w:r>
          </w:p>
        </w:tc>
        <w:tc>
          <w:tcPr>
            <w:tcW w:w="235" w:type="pct"/>
            <w:tcMar>
              <w:left w:w="0" w:type="dxa"/>
              <w:right w:w="0" w:type="dxa"/>
            </w:tcMar>
            <w:vAlign w:val="center"/>
          </w:tcPr>
          <w:p w14:paraId="240DDBB6">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达标</w:t>
            </w:r>
          </w:p>
        </w:tc>
      </w:tr>
      <w:tr w14:paraId="69E5A76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9" w:type="pct"/>
            <w:tcMar>
              <w:left w:w="0" w:type="dxa"/>
              <w:right w:w="0" w:type="dxa"/>
            </w:tcMar>
            <w:vAlign w:val="center"/>
          </w:tcPr>
          <w:p w14:paraId="56EF983A">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17</w:t>
            </w:r>
          </w:p>
        </w:tc>
        <w:tc>
          <w:tcPr>
            <w:tcW w:w="497" w:type="pct"/>
            <w:tcMar>
              <w:left w:w="0" w:type="dxa"/>
              <w:right w:w="0" w:type="dxa"/>
            </w:tcMar>
            <w:vAlign w:val="center"/>
          </w:tcPr>
          <w:p w14:paraId="40AFBAE4">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总硬度</w:t>
            </w:r>
          </w:p>
        </w:tc>
        <w:tc>
          <w:tcPr>
            <w:tcW w:w="273" w:type="pct"/>
            <w:tcMar>
              <w:left w:w="0" w:type="dxa"/>
              <w:right w:w="0" w:type="dxa"/>
            </w:tcMar>
            <w:vAlign w:val="center"/>
          </w:tcPr>
          <w:p w14:paraId="30A1A428">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≤450</w:t>
            </w:r>
          </w:p>
        </w:tc>
        <w:tc>
          <w:tcPr>
            <w:tcW w:w="230" w:type="pct"/>
            <w:tcMar>
              <w:left w:w="0" w:type="dxa"/>
              <w:right w:w="0" w:type="dxa"/>
            </w:tcMar>
            <w:vAlign w:val="center"/>
          </w:tcPr>
          <w:p w14:paraId="44235884">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240</w:t>
            </w:r>
          </w:p>
        </w:tc>
        <w:tc>
          <w:tcPr>
            <w:tcW w:w="296" w:type="pct"/>
            <w:tcMar>
              <w:left w:w="0" w:type="dxa"/>
              <w:right w:w="0" w:type="dxa"/>
            </w:tcMar>
            <w:vAlign w:val="center"/>
          </w:tcPr>
          <w:p w14:paraId="1B078C75">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0.533</w:t>
            </w:r>
          </w:p>
        </w:tc>
        <w:tc>
          <w:tcPr>
            <w:tcW w:w="297" w:type="pct"/>
            <w:tcMar>
              <w:left w:w="0" w:type="dxa"/>
              <w:right w:w="0" w:type="dxa"/>
            </w:tcMar>
            <w:vAlign w:val="center"/>
          </w:tcPr>
          <w:p w14:paraId="0BA42971">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达标</w:t>
            </w:r>
          </w:p>
        </w:tc>
        <w:tc>
          <w:tcPr>
            <w:tcW w:w="298" w:type="pct"/>
            <w:tcMar>
              <w:left w:w="0" w:type="dxa"/>
              <w:right w:w="0" w:type="dxa"/>
            </w:tcMar>
            <w:vAlign w:val="center"/>
          </w:tcPr>
          <w:p w14:paraId="33D68BB9">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198</w:t>
            </w:r>
          </w:p>
        </w:tc>
        <w:tc>
          <w:tcPr>
            <w:tcW w:w="237" w:type="pct"/>
            <w:tcMar>
              <w:left w:w="0" w:type="dxa"/>
              <w:right w:w="0" w:type="dxa"/>
            </w:tcMar>
            <w:vAlign w:val="center"/>
          </w:tcPr>
          <w:p w14:paraId="48BB1079">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0.44</w:t>
            </w:r>
          </w:p>
        </w:tc>
        <w:tc>
          <w:tcPr>
            <w:tcW w:w="296" w:type="pct"/>
            <w:tcMar>
              <w:left w:w="0" w:type="dxa"/>
              <w:right w:w="0" w:type="dxa"/>
            </w:tcMar>
            <w:vAlign w:val="center"/>
          </w:tcPr>
          <w:p w14:paraId="4B73CABF">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达标</w:t>
            </w:r>
          </w:p>
        </w:tc>
        <w:tc>
          <w:tcPr>
            <w:tcW w:w="237" w:type="pct"/>
            <w:tcMar>
              <w:left w:w="0" w:type="dxa"/>
              <w:right w:w="0" w:type="dxa"/>
            </w:tcMar>
            <w:vAlign w:val="center"/>
          </w:tcPr>
          <w:p w14:paraId="3435E498">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235</w:t>
            </w:r>
          </w:p>
        </w:tc>
        <w:tc>
          <w:tcPr>
            <w:tcW w:w="296" w:type="pct"/>
            <w:tcMar>
              <w:left w:w="0" w:type="dxa"/>
              <w:right w:w="0" w:type="dxa"/>
            </w:tcMar>
            <w:vAlign w:val="center"/>
          </w:tcPr>
          <w:p w14:paraId="128F6194">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0.522</w:t>
            </w:r>
          </w:p>
        </w:tc>
        <w:tc>
          <w:tcPr>
            <w:tcW w:w="356" w:type="pct"/>
            <w:tcMar>
              <w:left w:w="0" w:type="dxa"/>
              <w:right w:w="0" w:type="dxa"/>
            </w:tcMar>
            <w:vAlign w:val="center"/>
          </w:tcPr>
          <w:p w14:paraId="219F33BF">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达标</w:t>
            </w:r>
          </w:p>
        </w:tc>
        <w:tc>
          <w:tcPr>
            <w:tcW w:w="296" w:type="pct"/>
            <w:tcMar>
              <w:left w:w="0" w:type="dxa"/>
              <w:right w:w="0" w:type="dxa"/>
            </w:tcMar>
            <w:vAlign w:val="center"/>
          </w:tcPr>
          <w:p w14:paraId="7390FD13">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227</w:t>
            </w:r>
          </w:p>
        </w:tc>
        <w:tc>
          <w:tcPr>
            <w:tcW w:w="237" w:type="pct"/>
            <w:tcMar>
              <w:left w:w="0" w:type="dxa"/>
              <w:right w:w="0" w:type="dxa"/>
            </w:tcMar>
            <w:vAlign w:val="center"/>
          </w:tcPr>
          <w:p w14:paraId="1C49C82D">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0.504</w:t>
            </w:r>
          </w:p>
        </w:tc>
        <w:tc>
          <w:tcPr>
            <w:tcW w:w="296" w:type="pct"/>
            <w:tcMar>
              <w:left w:w="0" w:type="dxa"/>
              <w:right w:w="0" w:type="dxa"/>
            </w:tcMar>
            <w:vAlign w:val="center"/>
          </w:tcPr>
          <w:p w14:paraId="55912D01">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达标</w:t>
            </w:r>
          </w:p>
        </w:tc>
        <w:tc>
          <w:tcPr>
            <w:tcW w:w="237" w:type="pct"/>
            <w:tcMar>
              <w:left w:w="0" w:type="dxa"/>
              <w:right w:w="0" w:type="dxa"/>
            </w:tcMar>
            <w:vAlign w:val="center"/>
          </w:tcPr>
          <w:p w14:paraId="3D786438">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188</w:t>
            </w:r>
          </w:p>
        </w:tc>
        <w:tc>
          <w:tcPr>
            <w:tcW w:w="296" w:type="pct"/>
            <w:tcMar>
              <w:left w:w="0" w:type="dxa"/>
              <w:right w:w="0" w:type="dxa"/>
            </w:tcMar>
            <w:vAlign w:val="center"/>
          </w:tcPr>
          <w:p w14:paraId="4EA97E8D">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0.417</w:t>
            </w:r>
          </w:p>
        </w:tc>
        <w:tc>
          <w:tcPr>
            <w:tcW w:w="235" w:type="pct"/>
            <w:tcMar>
              <w:left w:w="0" w:type="dxa"/>
              <w:right w:w="0" w:type="dxa"/>
            </w:tcMar>
            <w:vAlign w:val="center"/>
          </w:tcPr>
          <w:p w14:paraId="5768C8A1">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达标</w:t>
            </w:r>
          </w:p>
        </w:tc>
      </w:tr>
      <w:tr w14:paraId="12517B2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89" w:type="pct"/>
            <w:tcMar>
              <w:left w:w="0" w:type="dxa"/>
              <w:right w:w="0" w:type="dxa"/>
            </w:tcMar>
            <w:vAlign w:val="center"/>
          </w:tcPr>
          <w:p w14:paraId="2A54B965">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18</w:t>
            </w:r>
          </w:p>
        </w:tc>
        <w:tc>
          <w:tcPr>
            <w:tcW w:w="497" w:type="pct"/>
            <w:tcMar>
              <w:left w:w="0" w:type="dxa"/>
              <w:right w:w="0" w:type="dxa"/>
            </w:tcMar>
            <w:vAlign w:val="center"/>
          </w:tcPr>
          <w:p w14:paraId="0F592565">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铁</w:t>
            </w:r>
          </w:p>
        </w:tc>
        <w:tc>
          <w:tcPr>
            <w:tcW w:w="273" w:type="pct"/>
            <w:tcMar>
              <w:left w:w="0" w:type="dxa"/>
              <w:right w:w="0" w:type="dxa"/>
            </w:tcMar>
            <w:vAlign w:val="center"/>
          </w:tcPr>
          <w:p w14:paraId="69FC5507">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≤0.3</w:t>
            </w:r>
          </w:p>
        </w:tc>
        <w:tc>
          <w:tcPr>
            <w:tcW w:w="230" w:type="pct"/>
            <w:tcMar>
              <w:left w:w="0" w:type="dxa"/>
              <w:right w:w="0" w:type="dxa"/>
            </w:tcMar>
            <w:vAlign w:val="center"/>
          </w:tcPr>
          <w:p w14:paraId="1056D65F">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≤0.03</w:t>
            </w:r>
          </w:p>
        </w:tc>
        <w:tc>
          <w:tcPr>
            <w:tcW w:w="296" w:type="pct"/>
            <w:tcMar>
              <w:left w:w="0" w:type="dxa"/>
              <w:right w:w="0" w:type="dxa"/>
            </w:tcMar>
            <w:vAlign w:val="center"/>
          </w:tcPr>
          <w:p w14:paraId="6E6AB268">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w:t>
            </w:r>
          </w:p>
        </w:tc>
        <w:tc>
          <w:tcPr>
            <w:tcW w:w="297" w:type="pct"/>
            <w:tcMar>
              <w:left w:w="0" w:type="dxa"/>
              <w:right w:w="0" w:type="dxa"/>
            </w:tcMar>
            <w:vAlign w:val="center"/>
          </w:tcPr>
          <w:p w14:paraId="0E4B2CF5">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达标</w:t>
            </w:r>
          </w:p>
        </w:tc>
        <w:tc>
          <w:tcPr>
            <w:tcW w:w="298" w:type="pct"/>
            <w:tcMar>
              <w:left w:w="0" w:type="dxa"/>
              <w:right w:w="0" w:type="dxa"/>
            </w:tcMar>
            <w:vAlign w:val="center"/>
          </w:tcPr>
          <w:p w14:paraId="75085924">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≤0.03</w:t>
            </w:r>
          </w:p>
        </w:tc>
        <w:tc>
          <w:tcPr>
            <w:tcW w:w="237" w:type="pct"/>
            <w:tcMar>
              <w:left w:w="0" w:type="dxa"/>
              <w:right w:w="0" w:type="dxa"/>
            </w:tcMar>
            <w:vAlign w:val="center"/>
          </w:tcPr>
          <w:p w14:paraId="5C50A560">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w:t>
            </w:r>
          </w:p>
        </w:tc>
        <w:tc>
          <w:tcPr>
            <w:tcW w:w="296" w:type="pct"/>
            <w:tcMar>
              <w:left w:w="0" w:type="dxa"/>
              <w:right w:w="0" w:type="dxa"/>
            </w:tcMar>
            <w:vAlign w:val="center"/>
          </w:tcPr>
          <w:p w14:paraId="1CE531EA">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达标</w:t>
            </w:r>
          </w:p>
        </w:tc>
        <w:tc>
          <w:tcPr>
            <w:tcW w:w="237" w:type="pct"/>
            <w:tcMar>
              <w:left w:w="0" w:type="dxa"/>
              <w:right w:w="0" w:type="dxa"/>
            </w:tcMar>
            <w:vAlign w:val="center"/>
          </w:tcPr>
          <w:p w14:paraId="1FB88FEA">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≤0.03</w:t>
            </w:r>
          </w:p>
        </w:tc>
        <w:tc>
          <w:tcPr>
            <w:tcW w:w="296" w:type="pct"/>
            <w:tcMar>
              <w:left w:w="0" w:type="dxa"/>
              <w:right w:w="0" w:type="dxa"/>
            </w:tcMar>
            <w:vAlign w:val="center"/>
          </w:tcPr>
          <w:p w14:paraId="0675B670">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w:t>
            </w:r>
          </w:p>
        </w:tc>
        <w:tc>
          <w:tcPr>
            <w:tcW w:w="356" w:type="pct"/>
            <w:tcMar>
              <w:left w:w="0" w:type="dxa"/>
              <w:right w:w="0" w:type="dxa"/>
            </w:tcMar>
            <w:vAlign w:val="center"/>
          </w:tcPr>
          <w:p w14:paraId="6CE4A387">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达标</w:t>
            </w:r>
          </w:p>
        </w:tc>
        <w:tc>
          <w:tcPr>
            <w:tcW w:w="296" w:type="pct"/>
            <w:tcMar>
              <w:left w:w="0" w:type="dxa"/>
              <w:right w:w="0" w:type="dxa"/>
            </w:tcMar>
            <w:vAlign w:val="center"/>
          </w:tcPr>
          <w:p w14:paraId="1A625EC4">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≤0.03</w:t>
            </w:r>
          </w:p>
        </w:tc>
        <w:tc>
          <w:tcPr>
            <w:tcW w:w="237" w:type="pct"/>
            <w:tcMar>
              <w:left w:w="0" w:type="dxa"/>
              <w:right w:w="0" w:type="dxa"/>
            </w:tcMar>
            <w:vAlign w:val="center"/>
          </w:tcPr>
          <w:p w14:paraId="4ADA4E42">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w:t>
            </w:r>
          </w:p>
        </w:tc>
        <w:tc>
          <w:tcPr>
            <w:tcW w:w="296" w:type="pct"/>
            <w:tcMar>
              <w:left w:w="0" w:type="dxa"/>
              <w:right w:w="0" w:type="dxa"/>
            </w:tcMar>
            <w:vAlign w:val="center"/>
          </w:tcPr>
          <w:p w14:paraId="33F917A3">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达标</w:t>
            </w:r>
          </w:p>
        </w:tc>
        <w:tc>
          <w:tcPr>
            <w:tcW w:w="237" w:type="pct"/>
            <w:tcMar>
              <w:left w:w="0" w:type="dxa"/>
              <w:right w:w="0" w:type="dxa"/>
            </w:tcMar>
            <w:vAlign w:val="center"/>
          </w:tcPr>
          <w:p w14:paraId="760CA400">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≤0.03</w:t>
            </w:r>
          </w:p>
        </w:tc>
        <w:tc>
          <w:tcPr>
            <w:tcW w:w="296" w:type="pct"/>
            <w:tcMar>
              <w:left w:w="0" w:type="dxa"/>
              <w:right w:w="0" w:type="dxa"/>
            </w:tcMar>
            <w:vAlign w:val="center"/>
          </w:tcPr>
          <w:p w14:paraId="5DFC8165">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w:t>
            </w:r>
          </w:p>
        </w:tc>
        <w:tc>
          <w:tcPr>
            <w:tcW w:w="235" w:type="pct"/>
            <w:tcMar>
              <w:left w:w="0" w:type="dxa"/>
              <w:right w:w="0" w:type="dxa"/>
            </w:tcMar>
            <w:vAlign w:val="center"/>
          </w:tcPr>
          <w:p w14:paraId="3AFCE106">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达标</w:t>
            </w:r>
          </w:p>
        </w:tc>
      </w:tr>
      <w:tr w14:paraId="1B0AC22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9" w:type="pct"/>
            <w:tcMar>
              <w:left w:w="0" w:type="dxa"/>
              <w:right w:w="0" w:type="dxa"/>
            </w:tcMar>
            <w:vAlign w:val="center"/>
          </w:tcPr>
          <w:p w14:paraId="5AEE1DB8">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19</w:t>
            </w:r>
          </w:p>
        </w:tc>
        <w:tc>
          <w:tcPr>
            <w:tcW w:w="497" w:type="pct"/>
            <w:tcMar>
              <w:left w:w="0" w:type="dxa"/>
              <w:right w:w="0" w:type="dxa"/>
            </w:tcMar>
            <w:vAlign w:val="center"/>
          </w:tcPr>
          <w:p w14:paraId="7BF70F88">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锰</w:t>
            </w:r>
          </w:p>
        </w:tc>
        <w:tc>
          <w:tcPr>
            <w:tcW w:w="273" w:type="pct"/>
            <w:tcMar>
              <w:left w:w="0" w:type="dxa"/>
              <w:right w:w="0" w:type="dxa"/>
            </w:tcMar>
            <w:vAlign w:val="center"/>
          </w:tcPr>
          <w:p w14:paraId="501BBFA1">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≤0.1</w:t>
            </w:r>
          </w:p>
        </w:tc>
        <w:tc>
          <w:tcPr>
            <w:tcW w:w="230" w:type="pct"/>
            <w:tcMar>
              <w:left w:w="0" w:type="dxa"/>
              <w:right w:w="0" w:type="dxa"/>
            </w:tcMar>
            <w:vAlign w:val="center"/>
          </w:tcPr>
          <w:p w14:paraId="53935AA1">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≤0.01</w:t>
            </w:r>
          </w:p>
        </w:tc>
        <w:tc>
          <w:tcPr>
            <w:tcW w:w="296" w:type="pct"/>
            <w:tcMar>
              <w:left w:w="0" w:type="dxa"/>
              <w:right w:w="0" w:type="dxa"/>
            </w:tcMar>
            <w:vAlign w:val="center"/>
          </w:tcPr>
          <w:p w14:paraId="5708B5D8">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w:t>
            </w:r>
          </w:p>
        </w:tc>
        <w:tc>
          <w:tcPr>
            <w:tcW w:w="297" w:type="pct"/>
            <w:tcMar>
              <w:left w:w="0" w:type="dxa"/>
              <w:right w:w="0" w:type="dxa"/>
            </w:tcMar>
            <w:vAlign w:val="center"/>
          </w:tcPr>
          <w:p w14:paraId="0434F3C4">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达标</w:t>
            </w:r>
          </w:p>
        </w:tc>
        <w:tc>
          <w:tcPr>
            <w:tcW w:w="298" w:type="pct"/>
            <w:tcMar>
              <w:left w:w="0" w:type="dxa"/>
              <w:right w:w="0" w:type="dxa"/>
            </w:tcMar>
            <w:vAlign w:val="center"/>
          </w:tcPr>
          <w:p w14:paraId="7E7866F0">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≤0.01</w:t>
            </w:r>
          </w:p>
        </w:tc>
        <w:tc>
          <w:tcPr>
            <w:tcW w:w="237" w:type="pct"/>
            <w:tcMar>
              <w:left w:w="0" w:type="dxa"/>
              <w:right w:w="0" w:type="dxa"/>
            </w:tcMar>
            <w:vAlign w:val="center"/>
          </w:tcPr>
          <w:p w14:paraId="6C1202FD">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w:t>
            </w:r>
          </w:p>
        </w:tc>
        <w:tc>
          <w:tcPr>
            <w:tcW w:w="296" w:type="pct"/>
            <w:tcMar>
              <w:left w:w="0" w:type="dxa"/>
              <w:right w:w="0" w:type="dxa"/>
            </w:tcMar>
            <w:vAlign w:val="center"/>
          </w:tcPr>
          <w:p w14:paraId="0A09A338">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达标</w:t>
            </w:r>
          </w:p>
        </w:tc>
        <w:tc>
          <w:tcPr>
            <w:tcW w:w="237" w:type="pct"/>
            <w:tcMar>
              <w:left w:w="0" w:type="dxa"/>
              <w:right w:w="0" w:type="dxa"/>
            </w:tcMar>
            <w:vAlign w:val="center"/>
          </w:tcPr>
          <w:p w14:paraId="2EC73FD6">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≤0.01</w:t>
            </w:r>
          </w:p>
        </w:tc>
        <w:tc>
          <w:tcPr>
            <w:tcW w:w="296" w:type="pct"/>
            <w:tcMar>
              <w:left w:w="0" w:type="dxa"/>
              <w:right w:w="0" w:type="dxa"/>
            </w:tcMar>
            <w:vAlign w:val="center"/>
          </w:tcPr>
          <w:p w14:paraId="2CE8B9D4">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w:t>
            </w:r>
          </w:p>
        </w:tc>
        <w:tc>
          <w:tcPr>
            <w:tcW w:w="356" w:type="pct"/>
            <w:tcMar>
              <w:left w:w="0" w:type="dxa"/>
              <w:right w:w="0" w:type="dxa"/>
            </w:tcMar>
            <w:vAlign w:val="center"/>
          </w:tcPr>
          <w:p w14:paraId="772DBF9F">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达标</w:t>
            </w:r>
          </w:p>
        </w:tc>
        <w:tc>
          <w:tcPr>
            <w:tcW w:w="296" w:type="pct"/>
            <w:tcMar>
              <w:left w:w="0" w:type="dxa"/>
              <w:right w:w="0" w:type="dxa"/>
            </w:tcMar>
            <w:vAlign w:val="center"/>
          </w:tcPr>
          <w:p w14:paraId="311D2D26">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≤0.01</w:t>
            </w:r>
          </w:p>
        </w:tc>
        <w:tc>
          <w:tcPr>
            <w:tcW w:w="237" w:type="pct"/>
            <w:tcMar>
              <w:left w:w="0" w:type="dxa"/>
              <w:right w:w="0" w:type="dxa"/>
            </w:tcMar>
            <w:vAlign w:val="center"/>
          </w:tcPr>
          <w:p w14:paraId="4759E458">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w:t>
            </w:r>
          </w:p>
        </w:tc>
        <w:tc>
          <w:tcPr>
            <w:tcW w:w="296" w:type="pct"/>
            <w:tcMar>
              <w:left w:w="0" w:type="dxa"/>
              <w:right w:w="0" w:type="dxa"/>
            </w:tcMar>
            <w:vAlign w:val="center"/>
          </w:tcPr>
          <w:p w14:paraId="5E99E021">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达标</w:t>
            </w:r>
          </w:p>
        </w:tc>
        <w:tc>
          <w:tcPr>
            <w:tcW w:w="237" w:type="pct"/>
            <w:tcMar>
              <w:left w:w="0" w:type="dxa"/>
              <w:right w:w="0" w:type="dxa"/>
            </w:tcMar>
            <w:vAlign w:val="center"/>
          </w:tcPr>
          <w:p w14:paraId="50383BDC">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≤0.01</w:t>
            </w:r>
          </w:p>
        </w:tc>
        <w:tc>
          <w:tcPr>
            <w:tcW w:w="296" w:type="pct"/>
            <w:tcMar>
              <w:left w:w="0" w:type="dxa"/>
              <w:right w:w="0" w:type="dxa"/>
            </w:tcMar>
            <w:vAlign w:val="center"/>
          </w:tcPr>
          <w:p w14:paraId="185D5A04">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w:t>
            </w:r>
          </w:p>
        </w:tc>
        <w:tc>
          <w:tcPr>
            <w:tcW w:w="235" w:type="pct"/>
            <w:tcMar>
              <w:left w:w="0" w:type="dxa"/>
              <w:right w:w="0" w:type="dxa"/>
            </w:tcMar>
            <w:vAlign w:val="center"/>
          </w:tcPr>
          <w:p w14:paraId="5052FEEE">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达标</w:t>
            </w:r>
          </w:p>
        </w:tc>
      </w:tr>
      <w:tr w14:paraId="65D48D0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9" w:type="pct"/>
            <w:tcMar>
              <w:left w:w="0" w:type="dxa"/>
              <w:right w:w="0" w:type="dxa"/>
            </w:tcMar>
            <w:vAlign w:val="center"/>
          </w:tcPr>
          <w:p w14:paraId="06C66BBF">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20</w:t>
            </w:r>
          </w:p>
        </w:tc>
        <w:tc>
          <w:tcPr>
            <w:tcW w:w="497" w:type="pct"/>
            <w:tcMar>
              <w:left w:w="0" w:type="dxa"/>
              <w:right w:w="0" w:type="dxa"/>
            </w:tcMar>
            <w:vAlign w:val="center"/>
          </w:tcPr>
          <w:p w14:paraId="05202641">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K</w:t>
            </w:r>
            <w:r>
              <w:rPr>
                <w:color w:val="000000" w:themeColor="text1"/>
                <w:sz w:val="21"/>
                <w:szCs w:val="21"/>
                <w:vertAlign w:val="superscript"/>
                <w14:textFill>
                  <w14:solidFill>
                    <w14:schemeClr w14:val="tx1"/>
                  </w14:solidFill>
                </w14:textFill>
              </w:rPr>
              <w:t>+</w:t>
            </w:r>
          </w:p>
        </w:tc>
        <w:tc>
          <w:tcPr>
            <w:tcW w:w="273" w:type="pct"/>
            <w:tcMar>
              <w:left w:w="0" w:type="dxa"/>
              <w:right w:w="0" w:type="dxa"/>
            </w:tcMar>
            <w:vAlign w:val="center"/>
          </w:tcPr>
          <w:p w14:paraId="3D683101">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w:t>
            </w:r>
          </w:p>
        </w:tc>
        <w:tc>
          <w:tcPr>
            <w:tcW w:w="230" w:type="pct"/>
            <w:tcMar>
              <w:left w:w="0" w:type="dxa"/>
              <w:right w:w="0" w:type="dxa"/>
            </w:tcMar>
            <w:vAlign w:val="center"/>
          </w:tcPr>
          <w:p w14:paraId="612CBF57">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2.21</w:t>
            </w:r>
          </w:p>
        </w:tc>
        <w:tc>
          <w:tcPr>
            <w:tcW w:w="296" w:type="pct"/>
            <w:tcMar>
              <w:left w:w="0" w:type="dxa"/>
              <w:right w:w="0" w:type="dxa"/>
            </w:tcMar>
            <w:vAlign w:val="center"/>
          </w:tcPr>
          <w:p w14:paraId="0CB54D7E">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w:t>
            </w:r>
          </w:p>
        </w:tc>
        <w:tc>
          <w:tcPr>
            <w:tcW w:w="297" w:type="pct"/>
            <w:tcMar>
              <w:left w:w="0" w:type="dxa"/>
              <w:right w:w="0" w:type="dxa"/>
            </w:tcMar>
            <w:vAlign w:val="center"/>
          </w:tcPr>
          <w:p w14:paraId="226A88EE">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达标</w:t>
            </w:r>
          </w:p>
        </w:tc>
        <w:tc>
          <w:tcPr>
            <w:tcW w:w="298" w:type="pct"/>
            <w:tcMar>
              <w:left w:w="0" w:type="dxa"/>
              <w:right w:w="0" w:type="dxa"/>
            </w:tcMar>
            <w:vAlign w:val="center"/>
          </w:tcPr>
          <w:p w14:paraId="6C13E81A">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6.40</w:t>
            </w:r>
          </w:p>
        </w:tc>
        <w:tc>
          <w:tcPr>
            <w:tcW w:w="237" w:type="pct"/>
            <w:tcMar>
              <w:left w:w="0" w:type="dxa"/>
              <w:right w:w="0" w:type="dxa"/>
            </w:tcMar>
            <w:vAlign w:val="center"/>
          </w:tcPr>
          <w:p w14:paraId="52BC1EE3">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w:t>
            </w:r>
          </w:p>
        </w:tc>
        <w:tc>
          <w:tcPr>
            <w:tcW w:w="296" w:type="pct"/>
            <w:tcMar>
              <w:left w:w="0" w:type="dxa"/>
              <w:right w:w="0" w:type="dxa"/>
            </w:tcMar>
            <w:vAlign w:val="center"/>
          </w:tcPr>
          <w:p w14:paraId="15F9C49B">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达标</w:t>
            </w:r>
          </w:p>
        </w:tc>
        <w:tc>
          <w:tcPr>
            <w:tcW w:w="237" w:type="pct"/>
            <w:tcMar>
              <w:left w:w="0" w:type="dxa"/>
              <w:right w:w="0" w:type="dxa"/>
            </w:tcMar>
            <w:vAlign w:val="center"/>
          </w:tcPr>
          <w:p w14:paraId="29F8357E">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6.58</w:t>
            </w:r>
          </w:p>
        </w:tc>
        <w:tc>
          <w:tcPr>
            <w:tcW w:w="296" w:type="pct"/>
            <w:tcMar>
              <w:left w:w="0" w:type="dxa"/>
              <w:right w:w="0" w:type="dxa"/>
            </w:tcMar>
            <w:vAlign w:val="center"/>
          </w:tcPr>
          <w:p w14:paraId="3228EBAE">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w:t>
            </w:r>
          </w:p>
        </w:tc>
        <w:tc>
          <w:tcPr>
            <w:tcW w:w="356" w:type="pct"/>
            <w:tcMar>
              <w:left w:w="0" w:type="dxa"/>
              <w:right w:w="0" w:type="dxa"/>
            </w:tcMar>
            <w:vAlign w:val="center"/>
          </w:tcPr>
          <w:p w14:paraId="66E641EF">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达标</w:t>
            </w:r>
          </w:p>
        </w:tc>
        <w:tc>
          <w:tcPr>
            <w:tcW w:w="296" w:type="pct"/>
            <w:tcMar>
              <w:left w:w="0" w:type="dxa"/>
              <w:right w:w="0" w:type="dxa"/>
            </w:tcMar>
            <w:vAlign w:val="center"/>
          </w:tcPr>
          <w:p w14:paraId="2A7C51DB">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2.24</w:t>
            </w:r>
          </w:p>
        </w:tc>
        <w:tc>
          <w:tcPr>
            <w:tcW w:w="237" w:type="pct"/>
            <w:tcMar>
              <w:left w:w="0" w:type="dxa"/>
              <w:right w:w="0" w:type="dxa"/>
            </w:tcMar>
            <w:vAlign w:val="center"/>
          </w:tcPr>
          <w:p w14:paraId="7E5D04D6">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w:t>
            </w:r>
          </w:p>
        </w:tc>
        <w:tc>
          <w:tcPr>
            <w:tcW w:w="296" w:type="pct"/>
            <w:tcMar>
              <w:left w:w="0" w:type="dxa"/>
              <w:right w:w="0" w:type="dxa"/>
            </w:tcMar>
            <w:vAlign w:val="center"/>
          </w:tcPr>
          <w:p w14:paraId="518F947B">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达标</w:t>
            </w:r>
          </w:p>
        </w:tc>
        <w:tc>
          <w:tcPr>
            <w:tcW w:w="237" w:type="pct"/>
            <w:tcMar>
              <w:left w:w="0" w:type="dxa"/>
              <w:right w:w="0" w:type="dxa"/>
            </w:tcMar>
            <w:vAlign w:val="center"/>
          </w:tcPr>
          <w:p w14:paraId="0C400D93">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5.68</w:t>
            </w:r>
          </w:p>
        </w:tc>
        <w:tc>
          <w:tcPr>
            <w:tcW w:w="296" w:type="pct"/>
            <w:tcMar>
              <w:left w:w="0" w:type="dxa"/>
              <w:right w:w="0" w:type="dxa"/>
            </w:tcMar>
            <w:vAlign w:val="center"/>
          </w:tcPr>
          <w:p w14:paraId="1055808B">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w:t>
            </w:r>
          </w:p>
        </w:tc>
        <w:tc>
          <w:tcPr>
            <w:tcW w:w="235" w:type="pct"/>
            <w:tcMar>
              <w:left w:w="0" w:type="dxa"/>
              <w:right w:w="0" w:type="dxa"/>
            </w:tcMar>
            <w:vAlign w:val="center"/>
          </w:tcPr>
          <w:p w14:paraId="3B311A8E">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达标</w:t>
            </w:r>
          </w:p>
        </w:tc>
      </w:tr>
      <w:tr w14:paraId="7117FE6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9" w:type="pct"/>
            <w:tcMar>
              <w:left w:w="0" w:type="dxa"/>
              <w:right w:w="0" w:type="dxa"/>
            </w:tcMar>
            <w:vAlign w:val="center"/>
          </w:tcPr>
          <w:p w14:paraId="26343944">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21</w:t>
            </w:r>
          </w:p>
        </w:tc>
        <w:tc>
          <w:tcPr>
            <w:tcW w:w="497" w:type="pct"/>
            <w:tcMar>
              <w:left w:w="0" w:type="dxa"/>
              <w:right w:w="0" w:type="dxa"/>
            </w:tcMar>
            <w:vAlign w:val="center"/>
          </w:tcPr>
          <w:p w14:paraId="3C859DC0">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Ca</w:t>
            </w:r>
            <w:r>
              <w:rPr>
                <w:color w:val="000000" w:themeColor="text1"/>
                <w:sz w:val="21"/>
                <w:szCs w:val="21"/>
                <w:vertAlign w:val="superscript"/>
                <w14:textFill>
                  <w14:solidFill>
                    <w14:schemeClr w14:val="tx1"/>
                  </w14:solidFill>
                </w14:textFill>
              </w:rPr>
              <w:t>2+</w:t>
            </w:r>
          </w:p>
        </w:tc>
        <w:tc>
          <w:tcPr>
            <w:tcW w:w="273" w:type="pct"/>
            <w:tcMar>
              <w:left w:w="0" w:type="dxa"/>
              <w:right w:w="0" w:type="dxa"/>
            </w:tcMar>
            <w:vAlign w:val="center"/>
          </w:tcPr>
          <w:p w14:paraId="6D01A37E">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w:t>
            </w:r>
          </w:p>
        </w:tc>
        <w:tc>
          <w:tcPr>
            <w:tcW w:w="230" w:type="pct"/>
            <w:tcMar>
              <w:left w:w="0" w:type="dxa"/>
              <w:right w:w="0" w:type="dxa"/>
            </w:tcMar>
            <w:vAlign w:val="center"/>
          </w:tcPr>
          <w:p w14:paraId="72EA0352">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36.0</w:t>
            </w:r>
          </w:p>
        </w:tc>
        <w:tc>
          <w:tcPr>
            <w:tcW w:w="296" w:type="pct"/>
            <w:tcMar>
              <w:left w:w="0" w:type="dxa"/>
              <w:right w:w="0" w:type="dxa"/>
            </w:tcMar>
            <w:vAlign w:val="center"/>
          </w:tcPr>
          <w:p w14:paraId="168E4605">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w:t>
            </w:r>
          </w:p>
        </w:tc>
        <w:tc>
          <w:tcPr>
            <w:tcW w:w="297" w:type="pct"/>
            <w:tcMar>
              <w:left w:w="0" w:type="dxa"/>
              <w:right w:w="0" w:type="dxa"/>
            </w:tcMar>
            <w:vAlign w:val="center"/>
          </w:tcPr>
          <w:p w14:paraId="6B20F093">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达标</w:t>
            </w:r>
          </w:p>
        </w:tc>
        <w:tc>
          <w:tcPr>
            <w:tcW w:w="298" w:type="pct"/>
            <w:tcMar>
              <w:left w:w="0" w:type="dxa"/>
              <w:right w:w="0" w:type="dxa"/>
            </w:tcMar>
            <w:vAlign w:val="center"/>
          </w:tcPr>
          <w:p w14:paraId="69BA3189">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30.2</w:t>
            </w:r>
          </w:p>
        </w:tc>
        <w:tc>
          <w:tcPr>
            <w:tcW w:w="237" w:type="pct"/>
            <w:tcMar>
              <w:left w:w="0" w:type="dxa"/>
              <w:right w:w="0" w:type="dxa"/>
            </w:tcMar>
            <w:vAlign w:val="center"/>
          </w:tcPr>
          <w:p w14:paraId="270B319C">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w:t>
            </w:r>
          </w:p>
        </w:tc>
        <w:tc>
          <w:tcPr>
            <w:tcW w:w="296" w:type="pct"/>
            <w:tcMar>
              <w:left w:w="0" w:type="dxa"/>
              <w:right w:w="0" w:type="dxa"/>
            </w:tcMar>
            <w:vAlign w:val="center"/>
          </w:tcPr>
          <w:p w14:paraId="737AE32B">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达标</w:t>
            </w:r>
          </w:p>
        </w:tc>
        <w:tc>
          <w:tcPr>
            <w:tcW w:w="237" w:type="pct"/>
            <w:tcMar>
              <w:left w:w="0" w:type="dxa"/>
              <w:right w:w="0" w:type="dxa"/>
            </w:tcMar>
            <w:vAlign w:val="center"/>
          </w:tcPr>
          <w:p w14:paraId="4C69DCFC">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34.8</w:t>
            </w:r>
          </w:p>
        </w:tc>
        <w:tc>
          <w:tcPr>
            <w:tcW w:w="296" w:type="pct"/>
            <w:tcMar>
              <w:left w:w="0" w:type="dxa"/>
              <w:right w:w="0" w:type="dxa"/>
            </w:tcMar>
            <w:vAlign w:val="center"/>
          </w:tcPr>
          <w:p w14:paraId="144F8CD6">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w:t>
            </w:r>
          </w:p>
        </w:tc>
        <w:tc>
          <w:tcPr>
            <w:tcW w:w="356" w:type="pct"/>
            <w:tcMar>
              <w:left w:w="0" w:type="dxa"/>
              <w:right w:w="0" w:type="dxa"/>
            </w:tcMar>
            <w:vAlign w:val="center"/>
          </w:tcPr>
          <w:p w14:paraId="4ADAA6B0">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达标</w:t>
            </w:r>
          </w:p>
        </w:tc>
        <w:tc>
          <w:tcPr>
            <w:tcW w:w="296" w:type="pct"/>
            <w:tcMar>
              <w:left w:w="0" w:type="dxa"/>
              <w:right w:w="0" w:type="dxa"/>
            </w:tcMar>
            <w:vAlign w:val="center"/>
          </w:tcPr>
          <w:p w14:paraId="41398993">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33.4</w:t>
            </w:r>
          </w:p>
        </w:tc>
        <w:tc>
          <w:tcPr>
            <w:tcW w:w="237" w:type="pct"/>
            <w:tcMar>
              <w:left w:w="0" w:type="dxa"/>
              <w:right w:w="0" w:type="dxa"/>
            </w:tcMar>
            <w:vAlign w:val="center"/>
          </w:tcPr>
          <w:p w14:paraId="575FABDC">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w:t>
            </w:r>
          </w:p>
        </w:tc>
        <w:tc>
          <w:tcPr>
            <w:tcW w:w="296" w:type="pct"/>
            <w:tcMar>
              <w:left w:w="0" w:type="dxa"/>
              <w:right w:w="0" w:type="dxa"/>
            </w:tcMar>
            <w:vAlign w:val="center"/>
          </w:tcPr>
          <w:p w14:paraId="0C510080">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达标</w:t>
            </w:r>
          </w:p>
        </w:tc>
        <w:tc>
          <w:tcPr>
            <w:tcW w:w="237" w:type="pct"/>
            <w:tcMar>
              <w:left w:w="0" w:type="dxa"/>
              <w:right w:w="0" w:type="dxa"/>
            </w:tcMar>
            <w:vAlign w:val="center"/>
          </w:tcPr>
          <w:p w14:paraId="1A8CDF5B">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27.5</w:t>
            </w:r>
          </w:p>
        </w:tc>
        <w:tc>
          <w:tcPr>
            <w:tcW w:w="296" w:type="pct"/>
            <w:tcMar>
              <w:left w:w="0" w:type="dxa"/>
              <w:right w:w="0" w:type="dxa"/>
            </w:tcMar>
            <w:vAlign w:val="center"/>
          </w:tcPr>
          <w:p w14:paraId="29616A05">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w:t>
            </w:r>
          </w:p>
        </w:tc>
        <w:tc>
          <w:tcPr>
            <w:tcW w:w="235" w:type="pct"/>
            <w:tcMar>
              <w:left w:w="0" w:type="dxa"/>
              <w:right w:w="0" w:type="dxa"/>
            </w:tcMar>
            <w:vAlign w:val="center"/>
          </w:tcPr>
          <w:p w14:paraId="192D11FE">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达标</w:t>
            </w:r>
          </w:p>
        </w:tc>
      </w:tr>
      <w:tr w14:paraId="682E7AE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9" w:type="pct"/>
            <w:tcMar>
              <w:left w:w="0" w:type="dxa"/>
              <w:right w:w="0" w:type="dxa"/>
            </w:tcMar>
            <w:vAlign w:val="center"/>
          </w:tcPr>
          <w:p w14:paraId="4086EFE3">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22</w:t>
            </w:r>
          </w:p>
        </w:tc>
        <w:tc>
          <w:tcPr>
            <w:tcW w:w="497" w:type="pct"/>
            <w:tcMar>
              <w:left w:w="0" w:type="dxa"/>
              <w:right w:w="0" w:type="dxa"/>
            </w:tcMar>
            <w:vAlign w:val="center"/>
          </w:tcPr>
          <w:p w14:paraId="13AD9BBA">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Na</w:t>
            </w:r>
            <w:r>
              <w:rPr>
                <w:color w:val="000000" w:themeColor="text1"/>
                <w:sz w:val="21"/>
                <w:szCs w:val="21"/>
                <w:vertAlign w:val="superscript"/>
                <w14:textFill>
                  <w14:solidFill>
                    <w14:schemeClr w14:val="tx1"/>
                  </w14:solidFill>
                </w14:textFill>
              </w:rPr>
              <w:t>+</w:t>
            </w:r>
          </w:p>
        </w:tc>
        <w:tc>
          <w:tcPr>
            <w:tcW w:w="273" w:type="pct"/>
            <w:tcMar>
              <w:left w:w="0" w:type="dxa"/>
              <w:right w:w="0" w:type="dxa"/>
            </w:tcMar>
            <w:vAlign w:val="center"/>
          </w:tcPr>
          <w:p w14:paraId="063BF442">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w:t>
            </w:r>
          </w:p>
        </w:tc>
        <w:tc>
          <w:tcPr>
            <w:tcW w:w="230" w:type="pct"/>
            <w:tcMar>
              <w:left w:w="0" w:type="dxa"/>
              <w:right w:w="0" w:type="dxa"/>
            </w:tcMar>
            <w:vAlign w:val="center"/>
          </w:tcPr>
          <w:p w14:paraId="4516389B">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58.2</w:t>
            </w:r>
          </w:p>
        </w:tc>
        <w:tc>
          <w:tcPr>
            <w:tcW w:w="296" w:type="pct"/>
            <w:tcMar>
              <w:left w:w="0" w:type="dxa"/>
              <w:right w:w="0" w:type="dxa"/>
            </w:tcMar>
            <w:vAlign w:val="center"/>
          </w:tcPr>
          <w:p w14:paraId="008667BB">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w:t>
            </w:r>
          </w:p>
        </w:tc>
        <w:tc>
          <w:tcPr>
            <w:tcW w:w="297" w:type="pct"/>
            <w:tcMar>
              <w:left w:w="0" w:type="dxa"/>
              <w:right w:w="0" w:type="dxa"/>
            </w:tcMar>
            <w:vAlign w:val="center"/>
          </w:tcPr>
          <w:p w14:paraId="3F46271B">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达标</w:t>
            </w:r>
          </w:p>
        </w:tc>
        <w:tc>
          <w:tcPr>
            <w:tcW w:w="298" w:type="pct"/>
            <w:tcMar>
              <w:left w:w="0" w:type="dxa"/>
              <w:right w:w="0" w:type="dxa"/>
            </w:tcMar>
            <w:vAlign w:val="center"/>
          </w:tcPr>
          <w:p w14:paraId="01571D2A">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59.7</w:t>
            </w:r>
          </w:p>
        </w:tc>
        <w:tc>
          <w:tcPr>
            <w:tcW w:w="237" w:type="pct"/>
            <w:tcMar>
              <w:left w:w="0" w:type="dxa"/>
              <w:right w:w="0" w:type="dxa"/>
            </w:tcMar>
            <w:vAlign w:val="center"/>
          </w:tcPr>
          <w:p w14:paraId="060697D9">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w:t>
            </w:r>
          </w:p>
        </w:tc>
        <w:tc>
          <w:tcPr>
            <w:tcW w:w="296" w:type="pct"/>
            <w:tcMar>
              <w:left w:w="0" w:type="dxa"/>
              <w:right w:w="0" w:type="dxa"/>
            </w:tcMar>
            <w:vAlign w:val="center"/>
          </w:tcPr>
          <w:p w14:paraId="45FC0D2A">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达标</w:t>
            </w:r>
          </w:p>
        </w:tc>
        <w:tc>
          <w:tcPr>
            <w:tcW w:w="237" w:type="pct"/>
            <w:tcMar>
              <w:left w:w="0" w:type="dxa"/>
              <w:right w:w="0" w:type="dxa"/>
            </w:tcMar>
            <w:vAlign w:val="center"/>
          </w:tcPr>
          <w:p w14:paraId="7191E578">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65.8</w:t>
            </w:r>
          </w:p>
        </w:tc>
        <w:tc>
          <w:tcPr>
            <w:tcW w:w="296" w:type="pct"/>
            <w:tcMar>
              <w:left w:w="0" w:type="dxa"/>
              <w:right w:w="0" w:type="dxa"/>
            </w:tcMar>
            <w:vAlign w:val="center"/>
          </w:tcPr>
          <w:p w14:paraId="051D2C0D">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w:t>
            </w:r>
          </w:p>
        </w:tc>
        <w:tc>
          <w:tcPr>
            <w:tcW w:w="356" w:type="pct"/>
            <w:tcMar>
              <w:left w:w="0" w:type="dxa"/>
              <w:right w:w="0" w:type="dxa"/>
            </w:tcMar>
            <w:vAlign w:val="center"/>
          </w:tcPr>
          <w:p w14:paraId="4B2FA126">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达标</w:t>
            </w:r>
          </w:p>
        </w:tc>
        <w:tc>
          <w:tcPr>
            <w:tcW w:w="296" w:type="pct"/>
            <w:tcMar>
              <w:left w:w="0" w:type="dxa"/>
              <w:right w:w="0" w:type="dxa"/>
            </w:tcMar>
            <w:vAlign w:val="center"/>
          </w:tcPr>
          <w:p w14:paraId="7D461202">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65. 1</w:t>
            </w:r>
          </w:p>
        </w:tc>
        <w:tc>
          <w:tcPr>
            <w:tcW w:w="237" w:type="pct"/>
            <w:tcMar>
              <w:left w:w="0" w:type="dxa"/>
              <w:right w:w="0" w:type="dxa"/>
            </w:tcMar>
            <w:vAlign w:val="center"/>
          </w:tcPr>
          <w:p w14:paraId="042DC374">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w:t>
            </w:r>
          </w:p>
        </w:tc>
        <w:tc>
          <w:tcPr>
            <w:tcW w:w="296" w:type="pct"/>
            <w:tcMar>
              <w:left w:w="0" w:type="dxa"/>
              <w:right w:w="0" w:type="dxa"/>
            </w:tcMar>
            <w:vAlign w:val="center"/>
          </w:tcPr>
          <w:p w14:paraId="6AAFDBD5">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达标</w:t>
            </w:r>
          </w:p>
        </w:tc>
        <w:tc>
          <w:tcPr>
            <w:tcW w:w="237" w:type="pct"/>
            <w:tcMar>
              <w:left w:w="0" w:type="dxa"/>
              <w:right w:w="0" w:type="dxa"/>
            </w:tcMar>
            <w:vAlign w:val="center"/>
          </w:tcPr>
          <w:p w14:paraId="77915809">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52.0</w:t>
            </w:r>
          </w:p>
        </w:tc>
        <w:tc>
          <w:tcPr>
            <w:tcW w:w="296" w:type="pct"/>
            <w:tcMar>
              <w:left w:w="0" w:type="dxa"/>
              <w:right w:w="0" w:type="dxa"/>
            </w:tcMar>
            <w:vAlign w:val="center"/>
          </w:tcPr>
          <w:p w14:paraId="1DEB536C">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w:t>
            </w:r>
          </w:p>
        </w:tc>
        <w:tc>
          <w:tcPr>
            <w:tcW w:w="235" w:type="pct"/>
            <w:tcMar>
              <w:left w:w="0" w:type="dxa"/>
              <w:right w:w="0" w:type="dxa"/>
            </w:tcMar>
            <w:vAlign w:val="center"/>
          </w:tcPr>
          <w:p w14:paraId="67EC1D57">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达标</w:t>
            </w:r>
          </w:p>
        </w:tc>
      </w:tr>
      <w:tr w14:paraId="0661319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9" w:type="pct"/>
            <w:tcMar>
              <w:left w:w="0" w:type="dxa"/>
              <w:right w:w="0" w:type="dxa"/>
            </w:tcMar>
            <w:vAlign w:val="center"/>
          </w:tcPr>
          <w:p w14:paraId="5A2DEA20">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23</w:t>
            </w:r>
          </w:p>
        </w:tc>
        <w:tc>
          <w:tcPr>
            <w:tcW w:w="497" w:type="pct"/>
            <w:tcMar>
              <w:left w:w="0" w:type="dxa"/>
              <w:right w:w="0" w:type="dxa"/>
            </w:tcMar>
            <w:vAlign w:val="center"/>
          </w:tcPr>
          <w:p w14:paraId="2E7BB148">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Mg</w:t>
            </w:r>
            <w:r>
              <w:rPr>
                <w:color w:val="000000" w:themeColor="text1"/>
                <w:sz w:val="21"/>
                <w:szCs w:val="21"/>
                <w:vertAlign w:val="superscript"/>
                <w14:textFill>
                  <w14:solidFill>
                    <w14:schemeClr w14:val="tx1"/>
                  </w14:solidFill>
                </w14:textFill>
              </w:rPr>
              <w:t>2+</w:t>
            </w:r>
          </w:p>
        </w:tc>
        <w:tc>
          <w:tcPr>
            <w:tcW w:w="273" w:type="pct"/>
            <w:tcMar>
              <w:left w:w="0" w:type="dxa"/>
              <w:right w:w="0" w:type="dxa"/>
            </w:tcMar>
            <w:vAlign w:val="center"/>
          </w:tcPr>
          <w:p w14:paraId="5A4CE0F6">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w:t>
            </w:r>
          </w:p>
        </w:tc>
        <w:tc>
          <w:tcPr>
            <w:tcW w:w="230" w:type="pct"/>
            <w:tcMar>
              <w:left w:w="0" w:type="dxa"/>
              <w:right w:w="0" w:type="dxa"/>
            </w:tcMar>
            <w:vAlign w:val="center"/>
          </w:tcPr>
          <w:p w14:paraId="525F13FC">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36.7</w:t>
            </w:r>
          </w:p>
        </w:tc>
        <w:tc>
          <w:tcPr>
            <w:tcW w:w="296" w:type="pct"/>
            <w:tcMar>
              <w:left w:w="0" w:type="dxa"/>
              <w:right w:w="0" w:type="dxa"/>
            </w:tcMar>
            <w:vAlign w:val="center"/>
          </w:tcPr>
          <w:p w14:paraId="248E837D">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w:t>
            </w:r>
          </w:p>
        </w:tc>
        <w:tc>
          <w:tcPr>
            <w:tcW w:w="297" w:type="pct"/>
            <w:tcMar>
              <w:left w:w="0" w:type="dxa"/>
              <w:right w:w="0" w:type="dxa"/>
            </w:tcMar>
            <w:vAlign w:val="center"/>
          </w:tcPr>
          <w:p w14:paraId="0A571D31">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达标</w:t>
            </w:r>
          </w:p>
        </w:tc>
        <w:tc>
          <w:tcPr>
            <w:tcW w:w="298" w:type="pct"/>
            <w:tcMar>
              <w:left w:w="0" w:type="dxa"/>
              <w:right w:w="0" w:type="dxa"/>
            </w:tcMar>
            <w:vAlign w:val="center"/>
          </w:tcPr>
          <w:p w14:paraId="4B079EEA">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31.8</w:t>
            </w:r>
          </w:p>
        </w:tc>
        <w:tc>
          <w:tcPr>
            <w:tcW w:w="237" w:type="pct"/>
            <w:tcMar>
              <w:left w:w="0" w:type="dxa"/>
              <w:right w:w="0" w:type="dxa"/>
            </w:tcMar>
            <w:vAlign w:val="center"/>
          </w:tcPr>
          <w:p w14:paraId="7E686719">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w:t>
            </w:r>
          </w:p>
        </w:tc>
        <w:tc>
          <w:tcPr>
            <w:tcW w:w="296" w:type="pct"/>
            <w:tcMar>
              <w:left w:w="0" w:type="dxa"/>
              <w:right w:w="0" w:type="dxa"/>
            </w:tcMar>
            <w:vAlign w:val="center"/>
          </w:tcPr>
          <w:p w14:paraId="06482019">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达标</w:t>
            </w:r>
          </w:p>
        </w:tc>
        <w:tc>
          <w:tcPr>
            <w:tcW w:w="237" w:type="pct"/>
            <w:tcMar>
              <w:left w:w="0" w:type="dxa"/>
              <w:right w:w="0" w:type="dxa"/>
            </w:tcMar>
            <w:vAlign w:val="center"/>
          </w:tcPr>
          <w:p w14:paraId="180415DB">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35.4</w:t>
            </w:r>
          </w:p>
        </w:tc>
        <w:tc>
          <w:tcPr>
            <w:tcW w:w="296" w:type="pct"/>
            <w:tcMar>
              <w:left w:w="0" w:type="dxa"/>
              <w:right w:w="0" w:type="dxa"/>
            </w:tcMar>
            <w:vAlign w:val="center"/>
          </w:tcPr>
          <w:p w14:paraId="6FC743EE">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w:t>
            </w:r>
          </w:p>
        </w:tc>
        <w:tc>
          <w:tcPr>
            <w:tcW w:w="356" w:type="pct"/>
            <w:tcMar>
              <w:left w:w="0" w:type="dxa"/>
              <w:right w:w="0" w:type="dxa"/>
            </w:tcMar>
            <w:vAlign w:val="center"/>
          </w:tcPr>
          <w:p w14:paraId="4A85E557">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达标</w:t>
            </w:r>
          </w:p>
        </w:tc>
        <w:tc>
          <w:tcPr>
            <w:tcW w:w="296" w:type="pct"/>
            <w:tcMar>
              <w:left w:w="0" w:type="dxa"/>
              <w:right w:w="0" w:type="dxa"/>
            </w:tcMar>
            <w:vAlign w:val="center"/>
          </w:tcPr>
          <w:p w14:paraId="0DBC1965">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35.0</w:t>
            </w:r>
          </w:p>
        </w:tc>
        <w:tc>
          <w:tcPr>
            <w:tcW w:w="237" w:type="pct"/>
            <w:tcMar>
              <w:left w:w="0" w:type="dxa"/>
              <w:right w:w="0" w:type="dxa"/>
            </w:tcMar>
            <w:vAlign w:val="center"/>
          </w:tcPr>
          <w:p w14:paraId="0426E28E">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w:t>
            </w:r>
          </w:p>
        </w:tc>
        <w:tc>
          <w:tcPr>
            <w:tcW w:w="296" w:type="pct"/>
            <w:tcMar>
              <w:left w:w="0" w:type="dxa"/>
              <w:right w:w="0" w:type="dxa"/>
            </w:tcMar>
            <w:vAlign w:val="center"/>
          </w:tcPr>
          <w:p w14:paraId="62CE112A">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达标</w:t>
            </w:r>
          </w:p>
        </w:tc>
        <w:tc>
          <w:tcPr>
            <w:tcW w:w="237" w:type="pct"/>
            <w:tcMar>
              <w:left w:w="0" w:type="dxa"/>
              <w:right w:w="0" w:type="dxa"/>
            </w:tcMar>
            <w:vAlign w:val="center"/>
          </w:tcPr>
          <w:p w14:paraId="16755F36">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28.6</w:t>
            </w:r>
          </w:p>
        </w:tc>
        <w:tc>
          <w:tcPr>
            <w:tcW w:w="296" w:type="pct"/>
            <w:tcMar>
              <w:left w:w="0" w:type="dxa"/>
              <w:right w:w="0" w:type="dxa"/>
            </w:tcMar>
            <w:vAlign w:val="center"/>
          </w:tcPr>
          <w:p w14:paraId="2FD26420">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w:t>
            </w:r>
          </w:p>
        </w:tc>
        <w:tc>
          <w:tcPr>
            <w:tcW w:w="235" w:type="pct"/>
            <w:tcMar>
              <w:left w:w="0" w:type="dxa"/>
              <w:right w:w="0" w:type="dxa"/>
            </w:tcMar>
            <w:vAlign w:val="center"/>
          </w:tcPr>
          <w:p w14:paraId="3557DA5F">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达标</w:t>
            </w:r>
          </w:p>
        </w:tc>
      </w:tr>
      <w:tr w14:paraId="20556D5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9" w:type="pct"/>
            <w:tcMar>
              <w:left w:w="0" w:type="dxa"/>
              <w:right w:w="0" w:type="dxa"/>
            </w:tcMar>
            <w:vAlign w:val="center"/>
          </w:tcPr>
          <w:p w14:paraId="59B79DAE">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24</w:t>
            </w:r>
          </w:p>
        </w:tc>
        <w:tc>
          <w:tcPr>
            <w:tcW w:w="497" w:type="pct"/>
            <w:tcMar>
              <w:left w:w="0" w:type="dxa"/>
              <w:right w:w="0" w:type="dxa"/>
            </w:tcMar>
            <w:vAlign w:val="center"/>
          </w:tcPr>
          <w:p w14:paraId="74290EC6">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汞</w:t>
            </w:r>
          </w:p>
        </w:tc>
        <w:tc>
          <w:tcPr>
            <w:tcW w:w="273" w:type="pct"/>
            <w:tcMar>
              <w:left w:w="0" w:type="dxa"/>
              <w:right w:w="0" w:type="dxa"/>
            </w:tcMar>
            <w:vAlign w:val="center"/>
          </w:tcPr>
          <w:p w14:paraId="6628B7B7">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≤0.001</w:t>
            </w:r>
          </w:p>
        </w:tc>
        <w:tc>
          <w:tcPr>
            <w:tcW w:w="230" w:type="pct"/>
            <w:tcMar>
              <w:left w:w="0" w:type="dxa"/>
              <w:right w:w="0" w:type="dxa"/>
            </w:tcMar>
            <w:vAlign w:val="center"/>
          </w:tcPr>
          <w:p w14:paraId="431CD600">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≤0.00004</w:t>
            </w:r>
          </w:p>
        </w:tc>
        <w:tc>
          <w:tcPr>
            <w:tcW w:w="296" w:type="pct"/>
            <w:tcMar>
              <w:left w:w="0" w:type="dxa"/>
              <w:right w:w="0" w:type="dxa"/>
            </w:tcMar>
            <w:vAlign w:val="center"/>
          </w:tcPr>
          <w:p w14:paraId="444A94C4">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w:t>
            </w:r>
          </w:p>
        </w:tc>
        <w:tc>
          <w:tcPr>
            <w:tcW w:w="297" w:type="pct"/>
            <w:tcMar>
              <w:left w:w="0" w:type="dxa"/>
              <w:right w:w="0" w:type="dxa"/>
            </w:tcMar>
            <w:vAlign w:val="center"/>
          </w:tcPr>
          <w:p w14:paraId="7C3A0A14">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达标</w:t>
            </w:r>
          </w:p>
        </w:tc>
        <w:tc>
          <w:tcPr>
            <w:tcW w:w="298" w:type="pct"/>
            <w:tcMar>
              <w:left w:w="0" w:type="dxa"/>
              <w:right w:w="0" w:type="dxa"/>
            </w:tcMar>
            <w:vAlign w:val="center"/>
          </w:tcPr>
          <w:p w14:paraId="59A18A2A">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≤0.00004</w:t>
            </w:r>
          </w:p>
        </w:tc>
        <w:tc>
          <w:tcPr>
            <w:tcW w:w="237" w:type="pct"/>
            <w:tcMar>
              <w:left w:w="0" w:type="dxa"/>
              <w:right w:w="0" w:type="dxa"/>
            </w:tcMar>
            <w:vAlign w:val="center"/>
          </w:tcPr>
          <w:p w14:paraId="253E527D">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w:t>
            </w:r>
          </w:p>
        </w:tc>
        <w:tc>
          <w:tcPr>
            <w:tcW w:w="296" w:type="pct"/>
            <w:tcMar>
              <w:left w:w="0" w:type="dxa"/>
              <w:right w:w="0" w:type="dxa"/>
            </w:tcMar>
            <w:vAlign w:val="center"/>
          </w:tcPr>
          <w:p w14:paraId="62EF4818">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达标</w:t>
            </w:r>
          </w:p>
        </w:tc>
        <w:tc>
          <w:tcPr>
            <w:tcW w:w="237" w:type="pct"/>
            <w:tcMar>
              <w:left w:w="0" w:type="dxa"/>
              <w:right w:w="0" w:type="dxa"/>
            </w:tcMar>
            <w:vAlign w:val="center"/>
          </w:tcPr>
          <w:p w14:paraId="10ADB3E3">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≤0.00004</w:t>
            </w:r>
          </w:p>
        </w:tc>
        <w:tc>
          <w:tcPr>
            <w:tcW w:w="296" w:type="pct"/>
            <w:tcMar>
              <w:left w:w="0" w:type="dxa"/>
              <w:right w:w="0" w:type="dxa"/>
            </w:tcMar>
            <w:vAlign w:val="center"/>
          </w:tcPr>
          <w:p w14:paraId="72DAC5E8">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w:t>
            </w:r>
          </w:p>
        </w:tc>
        <w:tc>
          <w:tcPr>
            <w:tcW w:w="356" w:type="pct"/>
            <w:tcMar>
              <w:left w:w="0" w:type="dxa"/>
              <w:right w:w="0" w:type="dxa"/>
            </w:tcMar>
            <w:vAlign w:val="center"/>
          </w:tcPr>
          <w:p w14:paraId="4DE74932">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达标</w:t>
            </w:r>
          </w:p>
        </w:tc>
        <w:tc>
          <w:tcPr>
            <w:tcW w:w="296" w:type="pct"/>
            <w:tcMar>
              <w:left w:w="0" w:type="dxa"/>
              <w:right w:w="0" w:type="dxa"/>
            </w:tcMar>
            <w:vAlign w:val="center"/>
          </w:tcPr>
          <w:p w14:paraId="3CEFDD01">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≤0.00004</w:t>
            </w:r>
          </w:p>
        </w:tc>
        <w:tc>
          <w:tcPr>
            <w:tcW w:w="237" w:type="pct"/>
            <w:tcMar>
              <w:left w:w="0" w:type="dxa"/>
              <w:right w:w="0" w:type="dxa"/>
            </w:tcMar>
            <w:vAlign w:val="center"/>
          </w:tcPr>
          <w:p w14:paraId="58FE4109">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w:t>
            </w:r>
          </w:p>
        </w:tc>
        <w:tc>
          <w:tcPr>
            <w:tcW w:w="296" w:type="pct"/>
            <w:tcMar>
              <w:left w:w="0" w:type="dxa"/>
              <w:right w:w="0" w:type="dxa"/>
            </w:tcMar>
            <w:vAlign w:val="center"/>
          </w:tcPr>
          <w:p w14:paraId="2D11CFA9">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达标</w:t>
            </w:r>
          </w:p>
        </w:tc>
        <w:tc>
          <w:tcPr>
            <w:tcW w:w="237" w:type="pct"/>
            <w:tcMar>
              <w:left w:w="0" w:type="dxa"/>
              <w:right w:w="0" w:type="dxa"/>
            </w:tcMar>
            <w:vAlign w:val="center"/>
          </w:tcPr>
          <w:p w14:paraId="1F58549F">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≤0.00004</w:t>
            </w:r>
          </w:p>
        </w:tc>
        <w:tc>
          <w:tcPr>
            <w:tcW w:w="296" w:type="pct"/>
            <w:tcMar>
              <w:left w:w="0" w:type="dxa"/>
              <w:right w:w="0" w:type="dxa"/>
            </w:tcMar>
            <w:vAlign w:val="center"/>
          </w:tcPr>
          <w:p w14:paraId="1AB32384">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w:t>
            </w:r>
          </w:p>
        </w:tc>
        <w:tc>
          <w:tcPr>
            <w:tcW w:w="235" w:type="pct"/>
            <w:tcMar>
              <w:left w:w="0" w:type="dxa"/>
              <w:right w:w="0" w:type="dxa"/>
            </w:tcMar>
            <w:vAlign w:val="center"/>
          </w:tcPr>
          <w:p w14:paraId="65664AEE">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达标</w:t>
            </w:r>
          </w:p>
        </w:tc>
      </w:tr>
      <w:tr w14:paraId="64A65C6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9" w:type="pct"/>
            <w:tcMar>
              <w:left w:w="0" w:type="dxa"/>
              <w:right w:w="0" w:type="dxa"/>
            </w:tcMar>
            <w:vAlign w:val="center"/>
          </w:tcPr>
          <w:p w14:paraId="08509D7E">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25</w:t>
            </w:r>
          </w:p>
        </w:tc>
        <w:tc>
          <w:tcPr>
            <w:tcW w:w="497" w:type="pct"/>
            <w:tcMar>
              <w:left w:w="0" w:type="dxa"/>
              <w:right w:w="0" w:type="dxa"/>
            </w:tcMar>
            <w:vAlign w:val="center"/>
          </w:tcPr>
          <w:p w14:paraId="17B69A0E">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砷</w:t>
            </w:r>
          </w:p>
        </w:tc>
        <w:tc>
          <w:tcPr>
            <w:tcW w:w="273" w:type="pct"/>
            <w:tcMar>
              <w:left w:w="0" w:type="dxa"/>
              <w:right w:w="0" w:type="dxa"/>
            </w:tcMar>
            <w:vAlign w:val="center"/>
          </w:tcPr>
          <w:p w14:paraId="5340D62A">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≤0.01</w:t>
            </w:r>
          </w:p>
        </w:tc>
        <w:tc>
          <w:tcPr>
            <w:tcW w:w="230" w:type="pct"/>
            <w:tcMar>
              <w:left w:w="0" w:type="dxa"/>
              <w:right w:w="0" w:type="dxa"/>
            </w:tcMar>
            <w:vAlign w:val="center"/>
          </w:tcPr>
          <w:p w14:paraId="7964E33E">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≤0.0003</w:t>
            </w:r>
          </w:p>
        </w:tc>
        <w:tc>
          <w:tcPr>
            <w:tcW w:w="296" w:type="pct"/>
            <w:tcMar>
              <w:left w:w="0" w:type="dxa"/>
              <w:right w:w="0" w:type="dxa"/>
            </w:tcMar>
            <w:vAlign w:val="center"/>
          </w:tcPr>
          <w:p w14:paraId="2E6EC77F">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w:t>
            </w:r>
          </w:p>
        </w:tc>
        <w:tc>
          <w:tcPr>
            <w:tcW w:w="297" w:type="pct"/>
            <w:tcMar>
              <w:left w:w="0" w:type="dxa"/>
              <w:right w:w="0" w:type="dxa"/>
            </w:tcMar>
            <w:vAlign w:val="center"/>
          </w:tcPr>
          <w:p w14:paraId="6AE82448">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达标</w:t>
            </w:r>
          </w:p>
        </w:tc>
        <w:tc>
          <w:tcPr>
            <w:tcW w:w="298" w:type="pct"/>
            <w:tcMar>
              <w:left w:w="0" w:type="dxa"/>
              <w:right w:w="0" w:type="dxa"/>
            </w:tcMar>
            <w:vAlign w:val="center"/>
          </w:tcPr>
          <w:p w14:paraId="66C4D37E">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≤0.0003</w:t>
            </w:r>
          </w:p>
        </w:tc>
        <w:tc>
          <w:tcPr>
            <w:tcW w:w="237" w:type="pct"/>
            <w:tcMar>
              <w:left w:w="0" w:type="dxa"/>
              <w:right w:w="0" w:type="dxa"/>
            </w:tcMar>
            <w:vAlign w:val="center"/>
          </w:tcPr>
          <w:p w14:paraId="27F273FF">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w:t>
            </w:r>
          </w:p>
        </w:tc>
        <w:tc>
          <w:tcPr>
            <w:tcW w:w="296" w:type="pct"/>
            <w:tcMar>
              <w:left w:w="0" w:type="dxa"/>
              <w:right w:w="0" w:type="dxa"/>
            </w:tcMar>
            <w:vAlign w:val="center"/>
          </w:tcPr>
          <w:p w14:paraId="1B58D4B5">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达标</w:t>
            </w:r>
          </w:p>
        </w:tc>
        <w:tc>
          <w:tcPr>
            <w:tcW w:w="237" w:type="pct"/>
            <w:tcMar>
              <w:left w:w="0" w:type="dxa"/>
              <w:right w:w="0" w:type="dxa"/>
            </w:tcMar>
            <w:vAlign w:val="center"/>
          </w:tcPr>
          <w:p w14:paraId="39E4D9C7">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≤0.0003</w:t>
            </w:r>
          </w:p>
        </w:tc>
        <w:tc>
          <w:tcPr>
            <w:tcW w:w="296" w:type="pct"/>
            <w:tcMar>
              <w:left w:w="0" w:type="dxa"/>
              <w:right w:w="0" w:type="dxa"/>
            </w:tcMar>
            <w:vAlign w:val="center"/>
          </w:tcPr>
          <w:p w14:paraId="1B837FB6">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w:t>
            </w:r>
          </w:p>
        </w:tc>
        <w:tc>
          <w:tcPr>
            <w:tcW w:w="356" w:type="pct"/>
            <w:tcMar>
              <w:left w:w="0" w:type="dxa"/>
              <w:right w:w="0" w:type="dxa"/>
            </w:tcMar>
            <w:vAlign w:val="center"/>
          </w:tcPr>
          <w:p w14:paraId="1EC7297C">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达标</w:t>
            </w:r>
          </w:p>
        </w:tc>
        <w:tc>
          <w:tcPr>
            <w:tcW w:w="296" w:type="pct"/>
            <w:tcMar>
              <w:left w:w="0" w:type="dxa"/>
              <w:right w:w="0" w:type="dxa"/>
            </w:tcMar>
            <w:vAlign w:val="center"/>
          </w:tcPr>
          <w:p w14:paraId="598F2EA5">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≤0.0003</w:t>
            </w:r>
          </w:p>
        </w:tc>
        <w:tc>
          <w:tcPr>
            <w:tcW w:w="237" w:type="pct"/>
            <w:tcMar>
              <w:left w:w="0" w:type="dxa"/>
              <w:right w:w="0" w:type="dxa"/>
            </w:tcMar>
            <w:vAlign w:val="center"/>
          </w:tcPr>
          <w:p w14:paraId="64FD5D69">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w:t>
            </w:r>
          </w:p>
        </w:tc>
        <w:tc>
          <w:tcPr>
            <w:tcW w:w="296" w:type="pct"/>
            <w:tcMar>
              <w:left w:w="0" w:type="dxa"/>
              <w:right w:w="0" w:type="dxa"/>
            </w:tcMar>
            <w:vAlign w:val="center"/>
          </w:tcPr>
          <w:p w14:paraId="66F56D71">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达标</w:t>
            </w:r>
          </w:p>
        </w:tc>
        <w:tc>
          <w:tcPr>
            <w:tcW w:w="237" w:type="pct"/>
            <w:tcMar>
              <w:left w:w="0" w:type="dxa"/>
              <w:right w:w="0" w:type="dxa"/>
            </w:tcMar>
            <w:vAlign w:val="center"/>
          </w:tcPr>
          <w:p w14:paraId="70748242">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≤0.0003</w:t>
            </w:r>
          </w:p>
        </w:tc>
        <w:tc>
          <w:tcPr>
            <w:tcW w:w="296" w:type="pct"/>
            <w:tcMar>
              <w:left w:w="0" w:type="dxa"/>
              <w:right w:w="0" w:type="dxa"/>
            </w:tcMar>
            <w:vAlign w:val="center"/>
          </w:tcPr>
          <w:p w14:paraId="40B601A2">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w:t>
            </w:r>
          </w:p>
        </w:tc>
        <w:tc>
          <w:tcPr>
            <w:tcW w:w="235" w:type="pct"/>
            <w:tcMar>
              <w:left w:w="0" w:type="dxa"/>
              <w:right w:w="0" w:type="dxa"/>
            </w:tcMar>
            <w:vAlign w:val="center"/>
          </w:tcPr>
          <w:p w14:paraId="21696DCF">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达标</w:t>
            </w:r>
          </w:p>
        </w:tc>
      </w:tr>
      <w:tr w14:paraId="00528CB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9" w:type="pct"/>
            <w:tcMar>
              <w:left w:w="0" w:type="dxa"/>
              <w:right w:w="0" w:type="dxa"/>
            </w:tcMar>
            <w:vAlign w:val="center"/>
          </w:tcPr>
          <w:p w14:paraId="5D333906">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26</w:t>
            </w:r>
          </w:p>
        </w:tc>
        <w:tc>
          <w:tcPr>
            <w:tcW w:w="497" w:type="pct"/>
            <w:tcMar>
              <w:left w:w="0" w:type="dxa"/>
              <w:right w:w="0" w:type="dxa"/>
            </w:tcMar>
            <w:vAlign w:val="center"/>
          </w:tcPr>
          <w:p w14:paraId="111F8D13">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CO</w:t>
            </w:r>
            <w:r>
              <w:rPr>
                <w:color w:val="000000" w:themeColor="text1"/>
                <w:sz w:val="21"/>
                <w:szCs w:val="21"/>
                <w:vertAlign w:val="subscript"/>
                <w14:textFill>
                  <w14:solidFill>
                    <w14:schemeClr w14:val="tx1"/>
                  </w14:solidFill>
                </w14:textFill>
              </w:rPr>
              <w:t>3</w:t>
            </w:r>
            <w:r>
              <w:rPr>
                <w:color w:val="000000" w:themeColor="text1"/>
                <w:sz w:val="21"/>
                <w:szCs w:val="21"/>
                <w:vertAlign w:val="superscript"/>
                <w14:textFill>
                  <w14:solidFill>
                    <w14:schemeClr w14:val="tx1"/>
                  </w14:solidFill>
                </w14:textFill>
              </w:rPr>
              <w:t>2-</w:t>
            </w:r>
          </w:p>
        </w:tc>
        <w:tc>
          <w:tcPr>
            <w:tcW w:w="273" w:type="pct"/>
            <w:tcMar>
              <w:left w:w="0" w:type="dxa"/>
              <w:right w:w="0" w:type="dxa"/>
            </w:tcMar>
            <w:vAlign w:val="center"/>
          </w:tcPr>
          <w:p w14:paraId="0273C8FB">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w:t>
            </w:r>
          </w:p>
        </w:tc>
        <w:tc>
          <w:tcPr>
            <w:tcW w:w="230" w:type="pct"/>
            <w:tcMar>
              <w:left w:w="0" w:type="dxa"/>
              <w:right w:w="0" w:type="dxa"/>
            </w:tcMar>
            <w:vAlign w:val="center"/>
          </w:tcPr>
          <w:p w14:paraId="2EF1E5B4">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0.00</w:t>
            </w:r>
          </w:p>
        </w:tc>
        <w:tc>
          <w:tcPr>
            <w:tcW w:w="296" w:type="pct"/>
            <w:tcMar>
              <w:left w:w="0" w:type="dxa"/>
              <w:right w:w="0" w:type="dxa"/>
            </w:tcMar>
            <w:vAlign w:val="center"/>
          </w:tcPr>
          <w:p w14:paraId="1105FDCB">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w:t>
            </w:r>
          </w:p>
        </w:tc>
        <w:tc>
          <w:tcPr>
            <w:tcW w:w="297" w:type="pct"/>
            <w:tcMar>
              <w:left w:w="0" w:type="dxa"/>
              <w:right w:w="0" w:type="dxa"/>
            </w:tcMar>
            <w:vAlign w:val="center"/>
          </w:tcPr>
          <w:p w14:paraId="2DE5FF3B">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达标</w:t>
            </w:r>
          </w:p>
        </w:tc>
        <w:tc>
          <w:tcPr>
            <w:tcW w:w="298" w:type="pct"/>
            <w:tcMar>
              <w:left w:w="0" w:type="dxa"/>
              <w:right w:w="0" w:type="dxa"/>
            </w:tcMar>
            <w:vAlign w:val="center"/>
          </w:tcPr>
          <w:p w14:paraId="6B7D53E5">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0.00</w:t>
            </w:r>
          </w:p>
        </w:tc>
        <w:tc>
          <w:tcPr>
            <w:tcW w:w="237" w:type="pct"/>
            <w:tcMar>
              <w:left w:w="0" w:type="dxa"/>
              <w:right w:w="0" w:type="dxa"/>
            </w:tcMar>
            <w:vAlign w:val="center"/>
          </w:tcPr>
          <w:p w14:paraId="420873C0">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w:t>
            </w:r>
          </w:p>
        </w:tc>
        <w:tc>
          <w:tcPr>
            <w:tcW w:w="296" w:type="pct"/>
            <w:tcMar>
              <w:left w:w="0" w:type="dxa"/>
              <w:right w:w="0" w:type="dxa"/>
            </w:tcMar>
            <w:vAlign w:val="center"/>
          </w:tcPr>
          <w:p w14:paraId="594D5475">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达标</w:t>
            </w:r>
          </w:p>
        </w:tc>
        <w:tc>
          <w:tcPr>
            <w:tcW w:w="237" w:type="pct"/>
            <w:tcMar>
              <w:left w:w="0" w:type="dxa"/>
              <w:right w:w="0" w:type="dxa"/>
            </w:tcMar>
            <w:vAlign w:val="center"/>
          </w:tcPr>
          <w:p w14:paraId="06ADDFD4">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0.00</w:t>
            </w:r>
          </w:p>
        </w:tc>
        <w:tc>
          <w:tcPr>
            <w:tcW w:w="296" w:type="pct"/>
            <w:tcMar>
              <w:left w:w="0" w:type="dxa"/>
              <w:right w:w="0" w:type="dxa"/>
            </w:tcMar>
            <w:vAlign w:val="center"/>
          </w:tcPr>
          <w:p w14:paraId="57707AE4">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w:t>
            </w:r>
          </w:p>
        </w:tc>
        <w:tc>
          <w:tcPr>
            <w:tcW w:w="356" w:type="pct"/>
            <w:tcMar>
              <w:left w:w="0" w:type="dxa"/>
              <w:right w:w="0" w:type="dxa"/>
            </w:tcMar>
            <w:vAlign w:val="center"/>
          </w:tcPr>
          <w:p w14:paraId="1127637C">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达标</w:t>
            </w:r>
          </w:p>
        </w:tc>
        <w:tc>
          <w:tcPr>
            <w:tcW w:w="296" w:type="pct"/>
            <w:tcMar>
              <w:left w:w="0" w:type="dxa"/>
              <w:right w:w="0" w:type="dxa"/>
            </w:tcMar>
            <w:vAlign w:val="center"/>
          </w:tcPr>
          <w:p w14:paraId="2F2039AE">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0.00</w:t>
            </w:r>
          </w:p>
        </w:tc>
        <w:tc>
          <w:tcPr>
            <w:tcW w:w="237" w:type="pct"/>
            <w:tcMar>
              <w:left w:w="0" w:type="dxa"/>
              <w:right w:w="0" w:type="dxa"/>
            </w:tcMar>
            <w:vAlign w:val="center"/>
          </w:tcPr>
          <w:p w14:paraId="02519371">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w:t>
            </w:r>
          </w:p>
        </w:tc>
        <w:tc>
          <w:tcPr>
            <w:tcW w:w="296" w:type="pct"/>
            <w:tcMar>
              <w:left w:w="0" w:type="dxa"/>
              <w:right w:w="0" w:type="dxa"/>
            </w:tcMar>
            <w:vAlign w:val="center"/>
          </w:tcPr>
          <w:p w14:paraId="0E92179E">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达标</w:t>
            </w:r>
          </w:p>
        </w:tc>
        <w:tc>
          <w:tcPr>
            <w:tcW w:w="237" w:type="pct"/>
            <w:tcMar>
              <w:left w:w="0" w:type="dxa"/>
              <w:right w:w="0" w:type="dxa"/>
            </w:tcMar>
            <w:vAlign w:val="center"/>
          </w:tcPr>
          <w:p w14:paraId="15A0B968">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0.00</w:t>
            </w:r>
          </w:p>
        </w:tc>
        <w:tc>
          <w:tcPr>
            <w:tcW w:w="296" w:type="pct"/>
            <w:tcMar>
              <w:left w:w="0" w:type="dxa"/>
              <w:right w:w="0" w:type="dxa"/>
            </w:tcMar>
            <w:vAlign w:val="center"/>
          </w:tcPr>
          <w:p w14:paraId="51F58D51">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w:t>
            </w:r>
          </w:p>
        </w:tc>
        <w:tc>
          <w:tcPr>
            <w:tcW w:w="235" w:type="pct"/>
            <w:tcMar>
              <w:left w:w="0" w:type="dxa"/>
              <w:right w:w="0" w:type="dxa"/>
            </w:tcMar>
            <w:vAlign w:val="center"/>
          </w:tcPr>
          <w:p w14:paraId="543B41A7">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达标</w:t>
            </w:r>
          </w:p>
        </w:tc>
      </w:tr>
      <w:tr w14:paraId="33A43A2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9" w:type="pct"/>
            <w:tcMar>
              <w:left w:w="0" w:type="dxa"/>
              <w:right w:w="0" w:type="dxa"/>
            </w:tcMar>
            <w:vAlign w:val="center"/>
          </w:tcPr>
          <w:p w14:paraId="79ED3BA4">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27</w:t>
            </w:r>
          </w:p>
        </w:tc>
        <w:tc>
          <w:tcPr>
            <w:tcW w:w="497" w:type="pct"/>
            <w:tcMar>
              <w:left w:w="0" w:type="dxa"/>
              <w:right w:w="0" w:type="dxa"/>
            </w:tcMar>
            <w:vAlign w:val="center"/>
          </w:tcPr>
          <w:p w14:paraId="1D1609C1">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HCO</w:t>
            </w:r>
            <w:r>
              <w:rPr>
                <w:color w:val="000000" w:themeColor="text1"/>
                <w:sz w:val="21"/>
                <w:szCs w:val="21"/>
                <w:vertAlign w:val="subscript"/>
                <w14:textFill>
                  <w14:solidFill>
                    <w14:schemeClr w14:val="tx1"/>
                  </w14:solidFill>
                </w14:textFill>
              </w:rPr>
              <w:t>3</w:t>
            </w:r>
            <w:r>
              <w:rPr>
                <w:color w:val="000000" w:themeColor="text1"/>
                <w:sz w:val="21"/>
                <w:szCs w:val="21"/>
                <w:vertAlign w:val="superscript"/>
                <w14:textFill>
                  <w14:solidFill>
                    <w14:schemeClr w14:val="tx1"/>
                  </w14:solidFill>
                </w14:textFill>
              </w:rPr>
              <w:t>-</w:t>
            </w:r>
          </w:p>
        </w:tc>
        <w:tc>
          <w:tcPr>
            <w:tcW w:w="273" w:type="pct"/>
            <w:tcMar>
              <w:left w:w="0" w:type="dxa"/>
              <w:right w:w="0" w:type="dxa"/>
            </w:tcMar>
            <w:vAlign w:val="center"/>
          </w:tcPr>
          <w:p w14:paraId="7180E6AF">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w:t>
            </w:r>
          </w:p>
        </w:tc>
        <w:tc>
          <w:tcPr>
            <w:tcW w:w="230" w:type="pct"/>
            <w:tcMar>
              <w:left w:w="0" w:type="dxa"/>
              <w:right w:w="0" w:type="dxa"/>
            </w:tcMar>
            <w:vAlign w:val="center"/>
          </w:tcPr>
          <w:p w14:paraId="791EC2E7">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108</w:t>
            </w:r>
          </w:p>
        </w:tc>
        <w:tc>
          <w:tcPr>
            <w:tcW w:w="296" w:type="pct"/>
            <w:tcMar>
              <w:left w:w="0" w:type="dxa"/>
              <w:right w:w="0" w:type="dxa"/>
            </w:tcMar>
            <w:vAlign w:val="center"/>
          </w:tcPr>
          <w:p w14:paraId="2C281786">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w:t>
            </w:r>
          </w:p>
        </w:tc>
        <w:tc>
          <w:tcPr>
            <w:tcW w:w="297" w:type="pct"/>
            <w:tcMar>
              <w:left w:w="0" w:type="dxa"/>
              <w:right w:w="0" w:type="dxa"/>
            </w:tcMar>
            <w:vAlign w:val="center"/>
          </w:tcPr>
          <w:p w14:paraId="191B300C">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达标</w:t>
            </w:r>
          </w:p>
        </w:tc>
        <w:tc>
          <w:tcPr>
            <w:tcW w:w="298" w:type="pct"/>
            <w:tcMar>
              <w:left w:w="0" w:type="dxa"/>
              <w:right w:w="0" w:type="dxa"/>
            </w:tcMar>
            <w:vAlign w:val="center"/>
          </w:tcPr>
          <w:p w14:paraId="430EF0F6">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122</w:t>
            </w:r>
          </w:p>
        </w:tc>
        <w:tc>
          <w:tcPr>
            <w:tcW w:w="237" w:type="pct"/>
            <w:tcMar>
              <w:left w:w="0" w:type="dxa"/>
              <w:right w:w="0" w:type="dxa"/>
            </w:tcMar>
            <w:vAlign w:val="center"/>
          </w:tcPr>
          <w:p w14:paraId="2F3ED47A">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w:t>
            </w:r>
          </w:p>
        </w:tc>
        <w:tc>
          <w:tcPr>
            <w:tcW w:w="296" w:type="pct"/>
            <w:tcMar>
              <w:left w:w="0" w:type="dxa"/>
              <w:right w:w="0" w:type="dxa"/>
            </w:tcMar>
            <w:vAlign w:val="center"/>
          </w:tcPr>
          <w:p w14:paraId="186A0E43">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达标</w:t>
            </w:r>
          </w:p>
        </w:tc>
        <w:tc>
          <w:tcPr>
            <w:tcW w:w="237" w:type="pct"/>
            <w:tcMar>
              <w:left w:w="0" w:type="dxa"/>
              <w:right w:w="0" w:type="dxa"/>
            </w:tcMar>
            <w:vAlign w:val="center"/>
          </w:tcPr>
          <w:p w14:paraId="37B1CDD2">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107</w:t>
            </w:r>
          </w:p>
        </w:tc>
        <w:tc>
          <w:tcPr>
            <w:tcW w:w="296" w:type="pct"/>
            <w:tcMar>
              <w:left w:w="0" w:type="dxa"/>
              <w:right w:w="0" w:type="dxa"/>
            </w:tcMar>
            <w:vAlign w:val="center"/>
          </w:tcPr>
          <w:p w14:paraId="3B31D4F2">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w:t>
            </w:r>
          </w:p>
        </w:tc>
        <w:tc>
          <w:tcPr>
            <w:tcW w:w="356" w:type="pct"/>
            <w:tcMar>
              <w:left w:w="0" w:type="dxa"/>
              <w:right w:w="0" w:type="dxa"/>
            </w:tcMar>
            <w:vAlign w:val="center"/>
          </w:tcPr>
          <w:p w14:paraId="01C311B9">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达标</w:t>
            </w:r>
          </w:p>
        </w:tc>
        <w:tc>
          <w:tcPr>
            <w:tcW w:w="296" w:type="pct"/>
            <w:tcMar>
              <w:left w:w="0" w:type="dxa"/>
              <w:right w:w="0" w:type="dxa"/>
            </w:tcMar>
            <w:vAlign w:val="center"/>
          </w:tcPr>
          <w:p w14:paraId="338B9676">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121</w:t>
            </w:r>
          </w:p>
        </w:tc>
        <w:tc>
          <w:tcPr>
            <w:tcW w:w="237" w:type="pct"/>
            <w:tcMar>
              <w:left w:w="0" w:type="dxa"/>
              <w:right w:w="0" w:type="dxa"/>
            </w:tcMar>
            <w:vAlign w:val="center"/>
          </w:tcPr>
          <w:p w14:paraId="0D1805D0">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w:t>
            </w:r>
          </w:p>
        </w:tc>
        <w:tc>
          <w:tcPr>
            <w:tcW w:w="296" w:type="pct"/>
            <w:tcMar>
              <w:left w:w="0" w:type="dxa"/>
              <w:right w:w="0" w:type="dxa"/>
            </w:tcMar>
            <w:vAlign w:val="center"/>
          </w:tcPr>
          <w:p w14:paraId="6DA3B7FA">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达标</w:t>
            </w:r>
          </w:p>
        </w:tc>
        <w:tc>
          <w:tcPr>
            <w:tcW w:w="237" w:type="pct"/>
            <w:tcMar>
              <w:left w:w="0" w:type="dxa"/>
              <w:right w:w="0" w:type="dxa"/>
            </w:tcMar>
            <w:vAlign w:val="center"/>
          </w:tcPr>
          <w:p w14:paraId="3CD5F399">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123</w:t>
            </w:r>
          </w:p>
        </w:tc>
        <w:tc>
          <w:tcPr>
            <w:tcW w:w="296" w:type="pct"/>
            <w:tcMar>
              <w:left w:w="0" w:type="dxa"/>
              <w:right w:w="0" w:type="dxa"/>
            </w:tcMar>
            <w:vAlign w:val="center"/>
          </w:tcPr>
          <w:p w14:paraId="76EEFF22">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w:t>
            </w:r>
          </w:p>
        </w:tc>
        <w:tc>
          <w:tcPr>
            <w:tcW w:w="235" w:type="pct"/>
            <w:tcMar>
              <w:left w:w="0" w:type="dxa"/>
              <w:right w:w="0" w:type="dxa"/>
            </w:tcMar>
            <w:vAlign w:val="center"/>
          </w:tcPr>
          <w:p w14:paraId="49BEB14A">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达标</w:t>
            </w:r>
          </w:p>
        </w:tc>
      </w:tr>
      <w:tr w14:paraId="2D18083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9" w:type="pct"/>
            <w:tcMar>
              <w:left w:w="0" w:type="dxa"/>
              <w:right w:w="0" w:type="dxa"/>
            </w:tcMar>
            <w:vAlign w:val="center"/>
          </w:tcPr>
          <w:p w14:paraId="3E56BA16">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28</w:t>
            </w:r>
          </w:p>
        </w:tc>
        <w:tc>
          <w:tcPr>
            <w:tcW w:w="497" w:type="pct"/>
            <w:tcMar>
              <w:left w:w="0" w:type="dxa"/>
              <w:right w:w="0" w:type="dxa"/>
            </w:tcMar>
            <w:vAlign w:val="center"/>
          </w:tcPr>
          <w:p w14:paraId="202DBD61">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石油类</w:t>
            </w:r>
          </w:p>
        </w:tc>
        <w:tc>
          <w:tcPr>
            <w:tcW w:w="273" w:type="pct"/>
            <w:tcMar>
              <w:left w:w="0" w:type="dxa"/>
              <w:right w:w="0" w:type="dxa"/>
            </w:tcMar>
            <w:vAlign w:val="center"/>
          </w:tcPr>
          <w:p w14:paraId="15C6EE7C">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≤0.05</w:t>
            </w:r>
          </w:p>
        </w:tc>
        <w:tc>
          <w:tcPr>
            <w:tcW w:w="230" w:type="pct"/>
            <w:tcMar>
              <w:left w:w="0" w:type="dxa"/>
              <w:right w:w="0" w:type="dxa"/>
            </w:tcMar>
            <w:vAlign w:val="center"/>
          </w:tcPr>
          <w:p w14:paraId="0BB7C006">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≤0.01</w:t>
            </w:r>
          </w:p>
        </w:tc>
        <w:tc>
          <w:tcPr>
            <w:tcW w:w="296" w:type="pct"/>
            <w:tcMar>
              <w:left w:w="0" w:type="dxa"/>
              <w:right w:w="0" w:type="dxa"/>
            </w:tcMar>
            <w:vAlign w:val="center"/>
          </w:tcPr>
          <w:p w14:paraId="234E69C4">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w:t>
            </w:r>
          </w:p>
        </w:tc>
        <w:tc>
          <w:tcPr>
            <w:tcW w:w="297" w:type="pct"/>
            <w:tcMar>
              <w:left w:w="0" w:type="dxa"/>
              <w:right w:w="0" w:type="dxa"/>
            </w:tcMar>
            <w:vAlign w:val="center"/>
          </w:tcPr>
          <w:p w14:paraId="123C57E7">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达标</w:t>
            </w:r>
          </w:p>
        </w:tc>
        <w:tc>
          <w:tcPr>
            <w:tcW w:w="298" w:type="pct"/>
            <w:tcMar>
              <w:left w:w="0" w:type="dxa"/>
              <w:right w:w="0" w:type="dxa"/>
            </w:tcMar>
            <w:vAlign w:val="center"/>
          </w:tcPr>
          <w:p w14:paraId="3004E846">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≤0.01</w:t>
            </w:r>
          </w:p>
        </w:tc>
        <w:tc>
          <w:tcPr>
            <w:tcW w:w="237" w:type="pct"/>
            <w:tcMar>
              <w:left w:w="0" w:type="dxa"/>
              <w:right w:w="0" w:type="dxa"/>
            </w:tcMar>
            <w:vAlign w:val="center"/>
          </w:tcPr>
          <w:p w14:paraId="474F977A">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w:t>
            </w:r>
          </w:p>
        </w:tc>
        <w:tc>
          <w:tcPr>
            <w:tcW w:w="296" w:type="pct"/>
            <w:tcMar>
              <w:left w:w="0" w:type="dxa"/>
              <w:right w:w="0" w:type="dxa"/>
            </w:tcMar>
            <w:vAlign w:val="center"/>
          </w:tcPr>
          <w:p w14:paraId="5372F930">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达标</w:t>
            </w:r>
          </w:p>
        </w:tc>
        <w:tc>
          <w:tcPr>
            <w:tcW w:w="237" w:type="pct"/>
            <w:tcMar>
              <w:left w:w="0" w:type="dxa"/>
              <w:right w:w="0" w:type="dxa"/>
            </w:tcMar>
            <w:vAlign w:val="center"/>
          </w:tcPr>
          <w:p w14:paraId="7CCE866B">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≤0.01</w:t>
            </w:r>
          </w:p>
        </w:tc>
        <w:tc>
          <w:tcPr>
            <w:tcW w:w="296" w:type="pct"/>
            <w:tcMar>
              <w:left w:w="0" w:type="dxa"/>
              <w:right w:w="0" w:type="dxa"/>
            </w:tcMar>
            <w:vAlign w:val="center"/>
          </w:tcPr>
          <w:p w14:paraId="1A07AADD">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w:t>
            </w:r>
          </w:p>
        </w:tc>
        <w:tc>
          <w:tcPr>
            <w:tcW w:w="356" w:type="pct"/>
            <w:tcMar>
              <w:left w:w="0" w:type="dxa"/>
              <w:right w:w="0" w:type="dxa"/>
            </w:tcMar>
            <w:vAlign w:val="center"/>
          </w:tcPr>
          <w:p w14:paraId="33329AA8">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达标</w:t>
            </w:r>
          </w:p>
        </w:tc>
        <w:tc>
          <w:tcPr>
            <w:tcW w:w="296" w:type="pct"/>
            <w:tcMar>
              <w:left w:w="0" w:type="dxa"/>
              <w:right w:w="0" w:type="dxa"/>
            </w:tcMar>
            <w:vAlign w:val="center"/>
          </w:tcPr>
          <w:p w14:paraId="3763E59D">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≤0.01</w:t>
            </w:r>
          </w:p>
        </w:tc>
        <w:tc>
          <w:tcPr>
            <w:tcW w:w="237" w:type="pct"/>
            <w:tcMar>
              <w:left w:w="0" w:type="dxa"/>
              <w:right w:w="0" w:type="dxa"/>
            </w:tcMar>
            <w:vAlign w:val="center"/>
          </w:tcPr>
          <w:p w14:paraId="0E6C95EC">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w:t>
            </w:r>
          </w:p>
        </w:tc>
        <w:tc>
          <w:tcPr>
            <w:tcW w:w="296" w:type="pct"/>
            <w:tcMar>
              <w:left w:w="0" w:type="dxa"/>
              <w:right w:w="0" w:type="dxa"/>
            </w:tcMar>
            <w:vAlign w:val="center"/>
          </w:tcPr>
          <w:p w14:paraId="76C0490F">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达标</w:t>
            </w:r>
          </w:p>
        </w:tc>
        <w:tc>
          <w:tcPr>
            <w:tcW w:w="237" w:type="pct"/>
            <w:tcMar>
              <w:left w:w="0" w:type="dxa"/>
              <w:right w:w="0" w:type="dxa"/>
            </w:tcMar>
            <w:vAlign w:val="center"/>
          </w:tcPr>
          <w:p w14:paraId="49BFCBD8">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≤0.01</w:t>
            </w:r>
          </w:p>
        </w:tc>
        <w:tc>
          <w:tcPr>
            <w:tcW w:w="296" w:type="pct"/>
            <w:tcMar>
              <w:left w:w="0" w:type="dxa"/>
              <w:right w:w="0" w:type="dxa"/>
            </w:tcMar>
            <w:vAlign w:val="center"/>
          </w:tcPr>
          <w:p w14:paraId="5DFBFFFF">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w:t>
            </w:r>
          </w:p>
        </w:tc>
        <w:tc>
          <w:tcPr>
            <w:tcW w:w="235" w:type="pct"/>
            <w:tcMar>
              <w:left w:w="0" w:type="dxa"/>
              <w:right w:w="0" w:type="dxa"/>
            </w:tcMar>
            <w:vAlign w:val="center"/>
          </w:tcPr>
          <w:p w14:paraId="2798D45F">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达标</w:t>
            </w:r>
          </w:p>
        </w:tc>
      </w:tr>
      <w:tr w14:paraId="25AA5E6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9" w:type="pct"/>
            <w:tcMar>
              <w:left w:w="0" w:type="dxa"/>
              <w:right w:w="0" w:type="dxa"/>
            </w:tcMar>
            <w:vAlign w:val="center"/>
          </w:tcPr>
          <w:p w14:paraId="0E001FAB">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29</w:t>
            </w:r>
          </w:p>
        </w:tc>
        <w:tc>
          <w:tcPr>
            <w:tcW w:w="497" w:type="pct"/>
            <w:tcMar>
              <w:left w:w="0" w:type="dxa"/>
              <w:right w:w="0" w:type="dxa"/>
            </w:tcMar>
            <w:vAlign w:val="center"/>
          </w:tcPr>
          <w:p w14:paraId="35CB9600">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细菌总数  （CFU/mL）</w:t>
            </w:r>
          </w:p>
        </w:tc>
        <w:tc>
          <w:tcPr>
            <w:tcW w:w="273" w:type="pct"/>
            <w:tcMar>
              <w:left w:w="0" w:type="dxa"/>
              <w:right w:w="0" w:type="dxa"/>
            </w:tcMar>
            <w:vAlign w:val="center"/>
          </w:tcPr>
          <w:p w14:paraId="5E463E49">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≤100</w:t>
            </w:r>
          </w:p>
        </w:tc>
        <w:tc>
          <w:tcPr>
            <w:tcW w:w="230" w:type="pct"/>
            <w:tcMar>
              <w:left w:w="0" w:type="dxa"/>
              <w:right w:w="0" w:type="dxa"/>
            </w:tcMar>
            <w:vAlign w:val="center"/>
          </w:tcPr>
          <w:p w14:paraId="47D070E1">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26</w:t>
            </w:r>
          </w:p>
        </w:tc>
        <w:tc>
          <w:tcPr>
            <w:tcW w:w="296" w:type="pct"/>
            <w:tcMar>
              <w:left w:w="0" w:type="dxa"/>
              <w:right w:w="0" w:type="dxa"/>
            </w:tcMar>
            <w:vAlign w:val="center"/>
          </w:tcPr>
          <w:p w14:paraId="228732F8">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0.26</w:t>
            </w:r>
          </w:p>
        </w:tc>
        <w:tc>
          <w:tcPr>
            <w:tcW w:w="297" w:type="pct"/>
            <w:tcMar>
              <w:left w:w="0" w:type="dxa"/>
              <w:right w:w="0" w:type="dxa"/>
            </w:tcMar>
            <w:vAlign w:val="center"/>
          </w:tcPr>
          <w:p w14:paraId="37BB15A8">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达标</w:t>
            </w:r>
          </w:p>
        </w:tc>
        <w:tc>
          <w:tcPr>
            <w:tcW w:w="298" w:type="pct"/>
            <w:tcMar>
              <w:left w:w="0" w:type="dxa"/>
              <w:right w:w="0" w:type="dxa"/>
            </w:tcMar>
            <w:vAlign w:val="center"/>
          </w:tcPr>
          <w:p w14:paraId="1F3AA566">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28</w:t>
            </w:r>
          </w:p>
        </w:tc>
        <w:tc>
          <w:tcPr>
            <w:tcW w:w="237" w:type="pct"/>
            <w:tcMar>
              <w:left w:w="0" w:type="dxa"/>
              <w:right w:w="0" w:type="dxa"/>
            </w:tcMar>
            <w:vAlign w:val="center"/>
          </w:tcPr>
          <w:p w14:paraId="27E80BF4">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0.28</w:t>
            </w:r>
          </w:p>
        </w:tc>
        <w:tc>
          <w:tcPr>
            <w:tcW w:w="296" w:type="pct"/>
            <w:tcMar>
              <w:left w:w="0" w:type="dxa"/>
              <w:right w:w="0" w:type="dxa"/>
            </w:tcMar>
            <w:vAlign w:val="center"/>
          </w:tcPr>
          <w:p w14:paraId="0C1F5793">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达标</w:t>
            </w:r>
          </w:p>
        </w:tc>
        <w:tc>
          <w:tcPr>
            <w:tcW w:w="237" w:type="pct"/>
            <w:tcMar>
              <w:left w:w="0" w:type="dxa"/>
              <w:right w:w="0" w:type="dxa"/>
            </w:tcMar>
            <w:vAlign w:val="center"/>
          </w:tcPr>
          <w:p w14:paraId="296F6444">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28</w:t>
            </w:r>
          </w:p>
        </w:tc>
        <w:tc>
          <w:tcPr>
            <w:tcW w:w="296" w:type="pct"/>
            <w:tcMar>
              <w:left w:w="0" w:type="dxa"/>
              <w:right w:w="0" w:type="dxa"/>
            </w:tcMar>
            <w:vAlign w:val="center"/>
          </w:tcPr>
          <w:p w14:paraId="31665195">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0.28</w:t>
            </w:r>
          </w:p>
        </w:tc>
        <w:tc>
          <w:tcPr>
            <w:tcW w:w="356" w:type="pct"/>
            <w:tcMar>
              <w:left w:w="0" w:type="dxa"/>
              <w:right w:w="0" w:type="dxa"/>
            </w:tcMar>
            <w:vAlign w:val="center"/>
          </w:tcPr>
          <w:p w14:paraId="3D54828B">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达标</w:t>
            </w:r>
          </w:p>
        </w:tc>
        <w:tc>
          <w:tcPr>
            <w:tcW w:w="296" w:type="pct"/>
            <w:tcMar>
              <w:left w:w="0" w:type="dxa"/>
              <w:right w:w="0" w:type="dxa"/>
            </w:tcMar>
            <w:vAlign w:val="center"/>
          </w:tcPr>
          <w:p w14:paraId="6E20D7EC">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22</w:t>
            </w:r>
          </w:p>
        </w:tc>
        <w:tc>
          <w:tcPr>
            <w:tcW w:w="237" w:type="pct"/>
            <w:tcMar>
              <w:left w:w="0" w:type="dxa"/>
              <w:right w:w="0" w:type="dxa"/>
            </w:tcMar>
            <w:vAlign w:val="center"/>
          </w:tcPr>
          <w:p w14:paraId="7D08793C">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0.22</w:t>
            </w:r>
          </w:p>
        </w:tc>
        <w:tc>
          <w:tcPr>
            <w:tcW w:w="296" w:type="pct"/>
            <w:tcMar>
              <w:left w:w="0" w:type="dxa"/>
              <w:right w:w="0" w:type="dxa"/>
            </w:tcMar>
            <w:vAlign w:val="center"/>
          </w:tcPr>
          <w:p w14:paraId="491FE06B">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达标</w:t>
            </w:r>
          </w:p>
        </w:tc>
        <w:tc>
          <w:tcPr>
            <w:tcW w:w="237" w:type="pct"/>
            <w:tcMar>
              <w:left w:w="0" w:type="dxa"/>
              <w:right w:w="0" w:type="dxa"/>
            </w:tcMar>
            <w:vAlign w:val="center"/>
          </w:tcPr>
          <w:p w14:paraId="66F138D1">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24</w:t>
            </w:r>
          </w:p>
        </w:tc>
        <w:tc>
          <w:tcPr>
            <w:tcW w:w="296" w:type="pct"/>
            <w:tcMar>
              <w:left w:w="0" w:type="dxa"/>
              <w:right w:w="0" w:type="dxa"/>
            </w:tcMar>
            <w:vAlign w:val="center"/>
          </w:tcPr>
          <w:p w14:paraId="4F1DA2DC">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0.24</w:t>
            </w:r>
          </w:p>
        </w:tc>
        <w:tc>
          <w:tcPr>
            <w:tcW w:w="235" w:type="pct"/>
            <w:tcMar>
              <w:left w:w="0" w:type="dxa"/>
              <w:right w:w="0" w:type="dxa"/>
            </w:tcMar>
            <w:vAlign w:val="center"/>
          </w:tcPr>
          <w:p w14:paraId="3EFDB235">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达标</w:t>
            </w:r>
          </w:p>
        </w:tc>
      </w:tr>
      <w:tr w14:paraId="76EDE55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9" w:type="pct"/>
            <w:tcMar>
              <w:left w:w="0" w:type="dxa"/>
              <w:right w:w="0" w:type="dxa"/>
            </w:tcMar>
            <w:vAlign w:val="center"/>
          </w:tcPr>
          <w:p w14:paraId="13F3F294">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30</w:t>
            </w:r>
          </w:p>
        </w:tc>
        <w:tc>
          <w:tcPr>
            <w:tcW w:w="497" w:type="pct"/>
            <w:tcMar>
              <w:left w:w="0" w:type="dxa"/>
              <w:right w:w="0" w:type="dxa"/>
            </w:tcMar>
            <w:vAlign w:val="center"/>
          </w:tcPr>
          <w:p w14:paraId="10ADDFDA">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硫化物</w:t>
            </w:r>
          </w:p>
        </w:tc>
        <w:tc>
          <w:tcPr>
            <w:tcW w:w="273" w:type="pct"/>
            <w:tcMar>
              <w:left w:w="0" w:type="dxa"/>
              <w:right w:w="0" w:type="dxa"/>
            </w:tcMar>
            <w:vAlign w:val="center"/>
          </w:tcPr>
          <w:p w14:paraId="797157A1">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≤0.02</w:t>
            </w:r>
          </w:p>
        </w:tc>
        <w:tc>
          <w:tcPr>
            <w:tcW w:w="230" w:type="pct"/>
            <w:tcMar>
              <w:left w:w="0" w:type="dxa"/>
              <w:right w:w="0" w:type="dxa"/>
            </w:tcMar>
            <w:vAlign w:val="center"/>
          </w:tcPr>
          <w:p w14:paraId="0C3BA67D">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≤0.003</w:t>
            </w:r>
          </w:p>
        </w:tc>
        <w:tc>
          <w:tcPr>
            <w:tcW w:w="296" w:type="pct"/>
            <w:tcMar>
              <w:left w:w="0" w:type="dxa"/>
              <w:right w:w="0" w:type="dxa"/>
            </w:tcMar>
            <w:vAlign w:val="center"/>
          </w:tcPr>
          <w:p w14:paraId="676ECB92">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w:t>
            </w:r>
          </w:p>
        </w:tc>
        <w:tc>
          <w:tcPr>
            <w:tcW w:w="297" w:type="pct"/>
            <w:tcMar>
              <w:left w:w="0" w:type="dxa"/>
              <w:right w:w="0" w:type="dxa"/>
            </w:tcMar>
            <w:vAlign w:val="center"/>
          </w:tcPr>
          <w:p w14:paraId="208488CB">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达标</w:t>
            </w:r>
          </w:p>
        </w:tc>
        <w:tc>
          <w:tcPr>
            <w:tcW w:w="298" w:type="pct"/>
            <w:tcMar>
              <w:left w:w="0" w:type="dxa"/>
              <w:right w:w="0" w:type="dxa"/>
            </w:tcMar>
            <w:vAlign w:val="center"/>
          </w:tcPr>
          <w:p w14:paraId="178084AD">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≤0.003</w:t>
            </w:r>
          </w:p>
        </w:tc>
        <w:tc>
          <w:tcPr>
            <w:tcW w:w="237" w:type="pct"/>
            <w:tcMar>
              <w:left w:w="0" w:type="dxa"/>
              <w:right w:w="0" w:type="dxa"/>
            </w:tcMar>
            <w:vAlign w:val="center"/>
          </w:tcPr>
          <w:p w14:paraId="386EABC7">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w:t>
            </w:r>
          </w:p>
        </w:tc>
        <w:tc>
          <w:tcPr>
            <w:tcW w:w="296" w:type="pct"/>
            <w:tcMar>
              <w:left w:w="0" w:type="dxa"/>
              <w:right w:w="0" w:type="dxa"/>
            </w:tcMar>
            <w:vAlign w:val="center"/>
          </w:tcPr>
          <w:p w14:paraId="08C0BD59">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达标</w:t>
            </w:r>
          </w:p>
        </w:tc>
        <w:tc>
          <w:tcPr>
            <w:tcW w:w="237" w:type="pct"/>
            <w:tcMar>
              <w:left w:w="0" w:type="dxa"/>
              <w:right w:w="0" w:type="dxa"/>
            </w:tcMar>
            <w:vAlign w:val="center"/>
          </w:tcPr>
          <w:p w14:paraId="652CC0D1">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≤0.003</w:t>
            </w:r>
          </w:p>
        </w:tc>
        <w:tc>
          <w:tcPr>
            <w:tcW w:w="296" w:type="pct"/>
            <w:tcMar>
              <w:left w:w="0" w:type="dxa"/>
              <w:right w:w="0" w:type="dxa"/>
            </w:tcMar>
            <w:vAlign w:val="center"/>
          </w:tcPr>
          <w:p w14:paraId="00EE08B1">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w:t>
            </w:r>
          </w:p>
        </w:tc>
        <w:tc>
          <w:tcPr>
            <w:tcW w:w="356" w:type="pct"/>
            <w:tcMar>
              <w:left w:w="0" w:type="dxa"/>
              <w:right w:w="0" w:type="dxa"/>
            </w:tcMar>
            <w:vAlign w:val="center"/>
          </w:tcPr>
          <w:p w14:paraId="46D01DF5">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达标</w:t>
            </w:r>
          </w:p>
        </w:tc>
        <w:tc>
          <w:tcPr>
            <w:tcW w:w="296" w:type="pct"/>
            <w:tcMar>
              <w:left w:w="0" w:type="dxa"/>
              <w:right w:w="0" w:type="dxa"/>
            </w:tcMar>
            <w:vAlign w:val="center"/>
          </w:tcPr>
          <w:p w14:paraId="391A0790">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≤0.003</w:t>
            </w:r>
          </w:p>
        </w:tc>
        <w:tc>
          <w:tcPr>
            <w:tcW w:w="237" w:type="pct"/>
            <w:tcMar>
              <w:left w:w="0" w:type="dxa"/>
              <w:right w:w="0" w:type="dxa"/>
            </w:tcMar>
            <w:vAlign w:val="center"/>
          </w:tcPr>
          <w:p w14:paraId="36A0F029">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w:t>
            </w:r>
          </w:p>
        </w:tc>
        <w:tc>
          <w:tcPr>
            <w:tcW w:w="296" w:type="pct"/>
            <w:tcMar>
              <w:left w:w="0" w:type="dxa"/>
              <w:right w:w="0" w:type="dxa"/>
            </w:tcMar>
            <w:vAlign w:val="center"/>
          </w:tcPr>
          <w:p w14:paraId="572A2E5C">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达标</w:t>
            </w:r>
          </w:p>
        </w:tc>
        <w:tc>
          <w:tcPr>
            <w:tcW w:w="237" w:type="pct"/>
            <w:tcMar>
              <w:left w:w="0" w:type="dxa"/>
              <w:right w:w="0" w:type="dxa"/>
            </w:tcMar>
            <w:vAlign w:val="center"/>
          </w:tcPr>
          <w:p w14:paraId="0841549E">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≤0.003</w:t>
            </w:r>
          </w:p>
        </w:tc>
        <w:tc>
          <w:tcPr>
            <w:tcW w:w="296" w:type="pct"/>
            <w:tcMar>
              <w:left w:w="0" w:type="dxa"/>
              <w:right w:w="0" w:type="dxa"/>
            </w:tcMar>
            <w:vAlign w:val="center"/>
          </w:tcPr>
          <w:p w14:paraId="4D57F908">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w:t>
            </w:r>
          </w:p>
        </w:tc>
        <w:tc>
          <w:tcPr>
            <w:tcW w:w="235" w:type="pct"/>
            <w:tcMar>
              <w:left w:w="0" w:type="dxa"/>
              <w:right w:w="0" w:type="dxa"/>
            </w:tcMar>
            <w:vAlign w:val="center"/>
          </w:tcPr>
          <w:p w14:paraId="42F97442">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达标</w:t>
            </w:r>
          </w:p>
        </w:tc>
      </w:tr>
      <w:tr w14:paraId="36BC129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9" w:type="pct"/>
            <w:tcMar>
              <w:left w:w="0" w:type="dxa"/>
              <w:right w:w="0" w:type="dxa"/>
            </w:tcMar>
            <w:vAlign w:val="center"/>
          </w:tcPr>
          <w:p w14:paraId="1F83FA86">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31</w:t>
            </w:r>
          </w:p>
        </w:tc>
        <w:tc>
          <w:tcPr>
            <w:tcW w:w="497" w:type="pct"/>
            <w:tcMar>
              <w:left w:w="0" w:type="dxa"/>
              <w:right w:w="0" w:type="dxa"/>
            </w:tcMar>
            <w:vAlign w:val="center"/>
          </w:tcPr>
          <w:p w14:paraId="252E97E9">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铅</w:t>
            </w:r>
          </w:p>
        </w:tc>
        <w:tc>
          <w:tcPr>
            <w:tcW w:w="273" w:type="pct"/>
            <w:tcMar>
              <w:left w:w="0" w:type="dxa"/>
              <w:right w:w="0" w:type="dxa"/>
            </w:tcMar>
            <w:vAlign w:val="center"/>
          </w:tcPr>
          <w:p w14:paraId="07868616">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≤0.01</w:t>
            </w:r>
          </w:p>
        </w:tc>
        <w:tc>
          <w:tcPr>
            <w:tcW w:w="230" w:type="pct"/>
            <w:tcMar>
              <w:left w:w="0" w:type="dxa"/>
              <w:right w:w="0" w:type="dxa"/>
            </w:tcMar>
            <w:vAlign w:val="center"/>
          </w:tcPr>
          <w:p w14:paraId="4ED2B58F">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≤0.01</w:t>
            </w:r>
          </w:p>
        </w:tc>
        <w:tc>
          <w:tcPr>
            <w:tcW w:w="296" w:type="pct"/>
            <w:tcMar>
              <w:left w:w="0" w:type="dxa"/>
              <w:right w:w="0" w:type="dxa"/>
            </w:tcMar>
            <w:vAlign w:val="center"/>
          </w:tcPr>
          <w:p w14:paraId="048C184D">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w:t>
            </w:r>
          </w:p>
        </w:tc>
        <w:tc>
          <w:tcPr>
            <w:tcW w:w="297" w:type="pct"/>
            <w:tcMar>
              <w:left w:w="0" w:type="dxa"/>
              <w:right w:w="0" w:type="dxa"/>
            </w:tcMar>
            <w:vAlign w:val="center"/>
          </w:tcPr>
          <w:p w14:paraId="0D8D044A">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达标</w:t>
            </w:r>
          </w:p>
        </w:tc>
        <w:tc>
          <w:tcPr>
            <w:tcW w:w="298" w:type="pct"/>
            <w:tcMar>
              <w:left w:w="0" w:type="dxa"/>
              <w:right w:w="0" w:type="dxa"/>
            </w:tcMar>
            <w:vAlign w:val="center"/>
          </w:tcPr>
          <w:p w14:paraId="75EA34D7">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≤0.01</w:t>
            </w:r>
          </w:p>
        </w:tc>
        <w:tc>
          <w:tcPr>
            <w:tcW w:w="237" w:type="pct"/>
            <w:tcMar>
              <w:left w:w="0" w:type="dxa"/>
              <w:right w:w="0" w:type="dxa"/>
            </w:tcMar>
            <w:vAlign w:val="center"/>
          </w:tcPr>
          <w:p w14:paraId="34FA1185">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w:t>
            </w:r>
          </w:p>
        </w:tc>
        <w:tc>
          <w:tcPr>
            <w:tcW w:w="296" w:type="pct"/>
            <w:tcMar>
              <w:left w:w="0" w:type="dxa"/>
              <w:right w:w="0" w:type="dxa"/>
            </w:tcMar>
            <w:vAlign w:val="center"/>
          </w:tcPr>
          <w:p w14:paraId="787EE711">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达标</w:t>
            </w:r>
          </w:p>
        </w:tc>
        <w:tc>
          <w:tcPr>
            <w:tcW w:w="237" w:type="pct"/>
            <w:tcMar>
              <w:left w:w="0" w:type="dxa"/>
              <w:right w:w="0" w:type="dxa"/>
            </w:tcMar>
            <w:vAlign w:val="center"/>
          </w:tcPr>
          <w:p w14:paraId="37736984">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≤0.01</w:t>
            </w:r>
          </w:p>
        </w:tc>
        <w:tc>
          <w:tcPr>
            <w:tcW w:w="296" w:type="pct"/>
            <w:tcMar>
              <w:left w:w="0" w:type="dxa"/>
              <w:right w:w="0" w:type="dxa"/>
            </w:tcMar>
            <w:vAlign w:val="center"/>
          </w:tcPr>
          <w:p w14:paraId="61A3CDFC">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w:t>
            </w:r>
          </w:p>
        </w:tc>
        <w:tc>
          <w:tcPr>
            <w:tcW w:w="356" w:type="pct"/>
            <w:tcMar>
              <w:left w:w="0" w:type="dxa"/>
              <w:right w:w="0" w:type="dxa"/>
            </w:tcMar>
            <w:vAlign w:val="center"/>
          </w:tcPr>
          <w:p w14:paraId="64221F00">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达标</w:t>
            </w:r>
          </w:p>
        </w:tc>
        <w:tc>
          <w:tcPr>
            <w:tcW w:w="296" w:type="pct"/>
            <w:tcMar>
              <w:left w:w="0" w:type="dxa"/>
              <w:right w:w="0" w:type="dxa"/>
            </w:tcMar>
            <w:vAlign w:val="center"/>
          </w:tcPr>
          <w:p w14:paraId="0C0C36C5">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≤0.01</w:t>
            </w:r>
          </w:p>
        </w:tc>
        <w:tc>
          <w:tcPr>
            <w:tcW w:w="237" w:type="pct"/>
            <w:tcMar>
              <w:left w:w="0" w:type="dxa"/>
              <w:right w:w="0" w:type="dxa"/>
            </w:tcMar>
            <w:vAlign w:val="center"/>
          </w:tcPr>
          <w:p w14:paraId="4B9DC908">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w:t>
            </w:r>
          </w:p>
        </w:tc>
        <w:tc>
          <w:tcPr>
            <w:tcW w:w="296" w:type="pct"/>
            <w:tcMar>
              <w:left w:w="0" w:type="dxa"/>
              <w:right w:w="0" w:type="dxa"/>
            </w:tcMar>
            <w:vAlign w:val="center"/>
          </w:tcPr>
          <w:p w14:paraId="7F360AD9">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达标</w:t>
            </w:r>
          </w:p>
        </w:tc>
        <w:tc>
          <w:tcPr>
            <w:tcW w:w="237" w:type="pct"/>
            <w:tcMar>
              <w:left w:w="0" w:type="dxa"/>
              <w:right w:w="0" w:type="dxa"/>
            </w:tcMar>
            <w:vAlign w:val="center"/>
          </w:tcPr>
          <w:p w14:paraId="574B29F5">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≤0.01</w:t>
            </w:r>
          </w:p>
        </w:tc>
        <w:tc>
          <w:tcPr>
            <w:tcW w:w="296" w:type="pct"/>
            <w:tcMar>
              <w:left w:w="0" w:type="dxa"/>
              <w:right w:w="0" w:type="dxa"/>
            </w:tcMar>
            <w:vAlign w:val="center"/>
          </w:tcPr>
          <w:p w14:paraId="7995710B">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w:t>
            </w:r>
          </w:p>
        </w:tc>
        <w:tc>
          <w:tcPr>
            <w:tcW w:w="235" w:type="pct"/>
            <w:tcMar>
              <w:left w:w="0" w:type="dxa"/>
              <w:right w:w="0" w:type="dxa"/>
            </w:tcMar>
            <w:vAlign w:val="center"/>
          </w:tcPr>
          <w:p w14:paraId="751EB96A">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达标</w:t>
            </w:r>
          </w:p>
        </w:tc>
      </w:tr>
      <w:tr w14:paraId="1AA9DFF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9" w:type="pct"/>
            <w:tcMar>
              <w:left w:w="0" w:type="dxa"/>
              <w:right w:w="0" w:type="dxa"/>
            </w:tcMar>
            <w:vAlign w:val="center"/>
          </w:tcPr>
          <w:p w14:paraId="6822FBA8">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32</w:t>
            </w:r>
          </w:p>
        </w:tc>
        <w:tc>
          <w:tcPr>
            <w:tcW w:w="497" w:type="pct"/>
            <w:tcMar>
              <w:left w:w="0" w:type="dxa"/>
              <w:right w:w="0" w:type="dxa"/>
            </w:tcMar>
            <w:vAlign w:val="center"/>
          </w:tcPr>
          <w:p w14:paraId="211D4814">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镉</w:t>
            </w:r>
          </w:p>
        </w:tc>
        <w:tc>
          <w:tcPr>
            <w:tcW w:w="273" w:type="pct"/>
            <w:tcMar>
              <w:left w:w="0" w:type="dxa"/>
              <w:right w:w="0" w:type="dxa"/>
            </w:tcMar>
            <w:vAlign w:val="center"/>
          </w:tcPr>
          <w:p w14:paraId="7B62FE41">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≤0.005</w:t>
            </w:r>
          </w:p>
        </w:tc>
        <w:tc>
          <w:tcPr>
            <w:tcW w:w="230" w:type="pct"/>
            <w:tcMar>
              <w:left w:w="0" w:type="dxa"/>
              <w:right w:w="0" w:type="dxa"/>
            </w:tcMar>
            <w:vAlign w:val="center"/>
          </w:tcPr>
          <w:p w14:paraId="1FC0FF66">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≤0.001</w:t>
            </w:r>
          </w:p>
        </w:tc>
        <w:tc>
          <w:tcPr>
            <w:tcW w:w="296" w:type="pct"/>
            <w:tcMar>
              <w:left w:w="0" w:type="dxa"/>
              <w:right w:w="0" w:type="dxa"/>
            </w:tcMar>
            <w:vAlign w:val="center"/>
          </w:tcPr>
          <w:p w14:paraId="4A12A23A">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w:t>
            </w:r>
          </w:p>
        </w:tc>
        <w:tc>
          <w:tcPr>
            <w:tcW w:w="297" w:type="pct"/>
            <w:tcMar>
              <w:left w:w="0" w:type="dxa"/>
              <w:right w:w="0" w:type="dxa"/>
            </w:tcMar>
            <w:vAlign w:val="center"/>
          </w:tcPr>
          <w:p w14:paraId="47E6716C">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达标</w:t>
            </w:r>
          </w:p>
        </w:tc>
        <w:tc>
          <w:tcPr>
            <w:tcW w:w="298" w:type="pct"/>
            <w:tcMar>
              <w:left w:w="0" w:type="dxa"/>
              <w:right w:w="0" w:type="dxa"/>
            </w:tcMar>
            <w:vAlign w:val="center"/>
          </w:tcPr>
          <w:p w14:paraId="6E9A1AB7">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≤0.001</w:t>
            </w:r>
          </w:p>
        </w:tc>
        <w:tc>
          <w:tcPr>
            <w:tcW w:w="237" w:type="pct"/>
            <w:tcMar>
              <w:left w:w="0" w:type="dxa"/>
              <w:right w:w="0" w:type="dxa"/>
            </w:tcMar>
            <w:vAlign w:val="center"/>
          </w:tcPr>
          <w:p w14:paraId="28FFE08F">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w:t>
            </w:r>
          </w:p>
        </w:tc>
        <w:tc>
          <w:tcPr>
            <w:tcW w:w="296" w:type="pct"/>
            <w:tcMar>
              <w:left w:w="0" w:type="dxa"/>
              <w:right w:w="0" w:type="dxa"/>
            </w:tcMar>
            <w:vAlign w:val="center"/>
          </w:tcPr>
          <w:p w14:paraId="7B568E02">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达标</w:t>
            </w:r>
          </w:p>
        </w:tc>
        <w:tc>
          <w:tcPr>
            <w:tcW w:w="237" w:type="pct"/>
            <w:tcMar>
              <w:left w:w="0" w:type="dxa"/>
              <w:right w:w="0" w:type="dxa"/>
            </w:tcMar>
            <w:vAlign w:val="center"/>
          </w:tcPr>
          <w:p w14:paraId="4292EE8B">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≤0.001</w:t>
            </w:r>
          </w:p>
        </w:tc>
        <w:tc>
          <w:tcPr>
            <w:tcW w:w="296" w:type="pct"/>
            <w:tcMar>
              <w:left w:w="0" w:type="dxa"/>
              <w:right w:w="0" w:type="dxa"/>
            </w:tcMar>
            <w:vAlign w:val="center"/>
          </w:tcPr>
          <w:p w14:paraId="19D6223D">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w:t>
            </w:r>
          </w:p>
        </w:tc>
        <w:tc>
          <w:tcPr>
            <w:tcW w:w="356" w:type="pct"/>
            <w:tcMar>
              <w:left w:w="0" w:type="dxa"/>
              <w:right w:w="0" w:type="dxa"/>
            </w:tcMar>
            <w:vAlign w:val="center"/>
          </w:tcPr>
          <w:p w14:paraId="46EC4C89">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达标</w:t>
            </w:r>
          </w:p>
        </w:tc>
        <w:tc>
          <w:tcPr>
            <w:tcW w:w="296" w:type="pct"/>
            <w:tcMar>
              <w:left w:w="0" w:type="dxa"/>
              <w:right w:w="0" w:type="dxa"/>
            </w:tcMar>
            <w:vAlign w:val="center"/>
          </w:tcPr>
          <w:p w14:paraId="7240FD75">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≤0.001</w:t>
            </w:r>
          </w:p>
        </w:tc>
        <w:tc>
          <w:tcPr>
            <w:tcW w:w="237" w:type="pct"/>
            <w:tcMar>
              <w:left w:w="0" w:type="dxa"/>
              <w:right w:w="0" w:type="dxa"/>
            </w:tcMar>
            <w:vAlign w:val="center"/>
          </w:tcPr>
          <w:p w14:paraId="42485B9A">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w:t>
            </w:r>
          </w:p>
        </w:tc>
        <w:tc>
          <w:tcPr>
            <w:tcW w:w="296" w:type="pct"/>
            <w:tcMar>
              <w:left w:w="0" w:type="dxa"/>
              <w:right w:w="0" w:type="dxa"/>
            </w:tcMar>
            <w:vAlign w:val="center"/>
          </w:tcPr>
          <w:p w14:paraId="6CEF0493">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达标</w:t>
            </w:r>
          </w:p>
        </w:tc>
        <w:tc>
          <w:tcPr>
            <w:tcW w:w="237" w:type="pct"/>
            <w:tcMar>
              <w:left w:w="0" w:type="dxa"/>
              <w:right w:w="0" w:type="dxa"/>
            </w:tcMar>
            <w:vAlign w:val="center"/>
          </w:tcPr>
          <w:p w14:paraId="288F6F3E">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≤0.001</w:t>
            </w:r>
          </w:p>
        </w:tc>
        <w:tc>
          <w:tcPr>
            <w:tcW w:w="296" w:type="pct"/>
            <w:tcMar>
              <w:left w:w="0" w:type="dxa"/>
              <w:right w:w="0" w:type="dxa"/>
            </w:tcMar>
            <w:vAlign w:val="center"/>
          </w:tcPr>
          <w:p w14:paraId="21AB7079">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w:t>
            </w:r>
          </w:p>
        </w:tc>
        <w:tc>
          <w:tcPr>
            <w:tcW w:w="235" w:type="pct"/>
            <w:tcMar>
              <w:left w:w="0" w:type="dxa"/>
              <w:right w:w="0" w:type="dxa"/>
            </w:tcMar>
            <w:vAlign w:val="center"/>
          </w:tcPr>
          <w:p w14:paraId="4906885B">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达标</w:t>
            </w:r>
          </w:p>
        </w:tc>
      </w:tr>
      <w:tr w14:paraId="5DE242B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9" w:type="pct"/>
            <w:tcMar>
              <w:left w:w="0" w:type="dxa"/>
              <w:right w:w="0" w:type="dxa"/>
            </w:tcMar>
            <w:vAlign w:val="center"/>
          </w:tcPr>
          <w:p w14:paraId="020165C4">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33</w:t>
            </w:r>
          </w:p>
        </w:tc>
        <w:tc>
          <w:tcPr>
            <w:tcW w:w="497" w:type="pct"/>
            <w:tcMar>
              <w:left w:w="0" w:type="dxa"/>
              <w:right w:w="0" w:type="dxa"/>
            </w:tcMar>
            <w:vAlign w:val="center"/>
          </w:tcPr>
          <w:p w14:paraId="0AA9C6AE">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肉眼可见物</w:t>
            </w:r>
          </w:p>
        </w:tc>
        <w:tc>
          <w:tcPr>
            <w:tcW w:w="273" w:type="pct"/>
            <w:tcMar>
              <w:left w:w="0" w:type="dxa"/>
              <w:right w:w="0" w:type="dxa"/>
            </w:tcMar>
            <w:vAlign w:val="center"/>
          </w:tcPr>
          <w:p w14:paraId="2E37B6B7">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p>
        </w:tc>
        <w:tc>
          <w:tcPr>
            <w:tcW w:w="230" w:type="pct"/>
            <w:tcMar>
              <w:left w:w="0" w:type="dxa"/>
              <w:right w:w="0" w:type="dxa"/>
            </w:tcMar>
            <w:vAlign w:val="center"/>
          </w:tcPr>
          <w:p w14:paraId="2A69491D">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无</w:t>
            </w:r>
          </w:p>
        </w:tc>
        <w:tc>
          <w:tcPr>
            <w:tcW w:w="296" w:type="pct"/>
            <w:tcMar>
              <w:left w:w="0" w:type="dxa"/>
              <w:right w:w="0" w:type="dxa"/>
            </w:tcMar>
            <w:vAlign w:val="center"/>
          </w:tcPr>
          <w:p w14:paraId="2426A26F">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w:t>
            </w:r>
          </w:p>
        </w:tc>
        <w:tc>
          <w:tcPr>
            <w:tcW w:w="297" w:type="pct"/>
            <w:tcMar>
              <w:left w:w="0" w:type="dxa"/>
              <w:right w:w="0" w:type="dxa"/>
            </w:tcMar>
            <w:vAlign w:val="center"/>
          </w:tcPr>
          <w:p w14:paraId="793243B1">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达标</w:t>
            </w:r>
          </w:p>
        </w:tc>
        <w:tc>
          <w:tcPr>
            <w:tcW w:w="298" w:type="pct"/>
            <w:tcMar>
              <w:left w:w="0" w:type="dxa"/>
              <w:right w:w="0" w:type="dxa"/>
            </w:tcMar>
            <w:vAlign w:val="center"/>
          </w:tcPr>
          <w:p w14:paraId="185BCAD0">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无</w:t>
            </w:r>
          </w:p>
        </w:tc>
        <w:tc>
          <w:tcPr>
            <w:tcW w:w="237" w:type="pct"/>
            <w:tcMar>
              <w:left w:w="0" w:type="dxa"/>
              <w:right w:w="0" w:type="dxa"/>
            </w:tcMar>
            <w:vAlign w:val="center"/>
          </w:tcPr>
          <w:p w14:paraId="14803FD8">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p>
        </w:tc>
        <w:tc>
          <w:tcPr>
            <w:tcW w:w="296" w:type="pct"/>
            <w:tcMar>
              <w:left w:w="0" w:type="dxa"/>
              <w:right w:w="0" w:type="dxa"/>
            </w:tcMar>
            <w:vAlign w:val="center"/>
          </w:tcPr>
          <w:p w14:paraId="171DF060">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达标</w:t>
            </w:r>
          </w:p>
        </w:tc>
        <w:tc>
          <w:tcPr>
            <w:tcW w:w="237" w:type="pct"/>
            <w:tcMar>
              <w:left w:w="0" w:type="dxa"/>
              <w:right w:w="0" w:type="dxa"/>
            </w:tcMar>
            <w:vAlign w:val="center"/>
          </w:tcPr>
          <w:p w14:paraId="729B6179">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无</w:t>
            </w:r>
          </w:p>
        </w:tc>
        <w:tc>
          <w:tcPr>
            <w:tcW w:w="296" w:type="pct"/>
            <w:tcMar>
              <w:left w:w="0" w:type="dxa"/>
              <w:right w:w="0" w:type="dxa"/>
            </w:tcMar>
            <w:vAlign w:val="center"/>
          </w:tcPr>
          <w:p w14:paraId="4DF74D8D">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p>
        </w:tc>
        <w:tc>
          <w:tcPr>
            <w:tcW w:w="356" w:type="pct"/>
            <w:tcMar>
              <w:left w:w="0" w:type="dxa"/>
              <w:right w:w="0" w:type="dxa"/>
            </w:tcMar>
            <w:vAlign w:val="center"/>
          </w:tcPr>
          <w:p w14:paraId="2366F7F6">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达标</w:t>
            </w:r>
          </w:p>
        </w:tc>
        <w:tc>
          <w:tcPr>
            <w:tcW w:w="296" w:type="pct"/>
            <w:tcMar>
              <w:left w:w="0" w:type="dxa"/>
              <w:right w:w="0" w:type="dxa"/>
            </w:tcMar>
            <w:vAlign w:val="center"/>
          </w:tcPr>
          <w:p w14:paraId="404354C2">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无</w:t>
            </w:r>
          </w:p>
        </w:tc>
        <w:tc>
          <w:tcPr>
            <w:tcW w:w="237" w:type="pct"/>
            <w:tcMar>
              <w:left w:w="0" w:type="dxa"/>
              <w:right w:w="0" w:type="dxa"/>
            </w:tcMar>
            <w:vAlign w:val="center"/>
          </w:tcPr>
          <w:p w14:paraId="72177FC0">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w:t>
            </w:r>
          </w:p>
        </w:tc>
        <w:tc>
          <w:tcPr>
            <w:tcW w:w="296" w:type="pct"/>
            <w:tcMar>
              <w:left w:w="0" w:type="dxa"/>
              <w:right w:w="0" w:type="dxa"/>
            </w:tcMar>
            <w:vAlign w:val="center"/>
          </w:tcPr>
          <w:p w14:paraId="0A8CCA76">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达标</w:t>
            </w:r>
          </w:p>
        </w:tc>
        <w:tc>
          <w:tcPr>
            <w:tcW w:w="237" w:type="pct"/>
            <w:tcMar>
              <w:left w:w="0" w:type="dxa"/>
              <w:right w:w="0" w:type="dxa"/>
            </w:tcMar>
            <w:vAlign w:val="center"/>
          </w:tcPr>
          <w:p w14:paraId="563FBEF2">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无</w:t>
            </w:r>
          </w:p>
        </w:tc>
        <w:tc>
          <w:tcPr>
            <w:tcW w:w="296" w:type="pct"/>
            <w:tcMar>
              <w:left w:w="0" w:type="dxa"/>
              <w:right w:w="0" w:type="dxa"/>
            </w:tcMar>
            <w:vAlign w:val="center"/>
          </w:tcPr>
          <w:p w14:paraId="668D3EF3">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w:t>
            </w:r>
          </w:p>
        </w:tc>
        <w:tc>
          <w:tcPr>
            <w:tcW w:w="235" w:type="pct"/>
            <w:tcMar>
              <w:left w:w="0" w:type="dxa"/>
              <w:right w:w="0" w:type="dxa"/>
            </w:tcMar>
            <w:vAlign w:val="center"/>
          </w:tcPr>
          <w:p w14:paraId="53B4E5D7">
            <w:pPr>
              <w:pStyle w:val="191"/>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达标</w:t>
            </w:r>
          </w:p>
        </w:tc>
      </w:tr>
    </w:tbl>
    <w:p w14:paraId="4C266FF9">
      <w:pPr>
        <w:adjustRightInd w:val="0"/>
        <w:snapToGrid w:val="0"/>
        <w:spacing w:line="500" w:lineRule="exact"/>
        <w:ind w:firstLine="480" w:firstLineChars="200"/>
        <w:rPr>
          <w:rStyle w:val="190"/>
          <w:rFonts w:hint="eastAsia"/>
          <w:color w:val="000000" w:themeColor="text1"/>
          <w14:textFill>
            <w14:solidFill>
              <w14:schemeClr w14:val="tx1"/>
            </w14:solidFill>
          </w14:textFill>
        </w:rPr>
        <w:sectPr>
          <w:pgSz w:w="16838" w:h="11906" w:orient="landscape"/>
          <w:pgMar w:top="1588" w:right="1418" w:bottom="1588" w:left="1418" w:header="1020" w:footer="1020" w:gutter="0"/>
          <w:cols w:space="720" w:num="1"/>
          <w:docGrid w:type="lines" w:linePitch="312" w:charSpace="0"/>
        </w:sectPr>
      </w:pPr>
    </w:p>
    <w:bookmarkEnd w:id="405"/>
    <w:p w14:paraId="79A28935">
      <w:pPr>
        <w:pStyle w:val="191"/>
        <w:ind w:firstLine="480"/>
        <w:rPr>
          <w:rFonts w:hint="eastAsia"/>
          <w:color w:val="000000" w:themeColor="text1"/>
          <w14:textFill>
            <w14:solidFill>
              <w14:schemeClr w14:val="tx1"/>
            </w14:solidFill>
          </w14:textFill>
        </w:rPr>
      </w:pPr>
      <w:r>
        <w:rPr>
          <w:color w:val="000000" w:themeColor="text1"/>
          <w14:textFill>
            <w14:solidFill>
              <w14:schemeClr w14:val="tx1"/>
            </w14:solidFill>
          </w14:textFill>
        </w:rPr>
        <w:t>由表4.3-</w:t>
      </w:r>
      <w:r>
        <w:rPr>
          <w:rFonts w:hint="eastAsia"/>
          <w:color w:val="000000" w:themeColor="text1"/>
          <w14:textFill>
            <w14:solidFill>
              <w14:schemeClr w14:val="tx1"/>
            </w14:solidFill>
          </w14:textFill>
        </w:rPr>
        <w:t>7</w:t>
      </w:r>
      <w:r>
        <w:rPr>
          <w:color w:val="000000" w:themeColor="text1"/>
          <w14:textFill>
            <w14:solidFill>
              <w14:schemeClr w14:val="tx1"/>
            </w14:solidFill>
          </w14:textFill>
        </w:rPr>
        <w:t>可知，</w:t>
      </w:r>
      <w:bookmarkStart w:id="406" w:name="_Hlk187054908"/>
      <w:r>
        <w:rPr>
          <w:color w:val="000000" w:themeColor="text1"/>
          <w14:textFill>
            <w14:solidFill>
              <w14:schemeClr w14:val="tx1"/>
            </w14:solidFill>
          </w14:textFill>
        </w:rPr>
        <w:t>石油类满足《地表水环境质量标准》（GB3838-2002）中的Ⅲ类标准限值，其余各点、各监测因子均可满足《地下水质量标准》（GB/T14848-2017）Ⅲ类标准。</w:t>
      </w:r>
    </w:p>
    <w:bookmarkEnd w:id="406"/>
    <w:p w14:paraId="6B76A9B7">
      <w:pPr>
        <w:spacing w:line="500" w:lineRule="exact"/>
        <w:ind w:firstLine="480" w:firstLineChars="200"/>
        <w:rPr>
          <w:rFonts w:hint="eastAsia" w:ascii="宋体" w:hAnsi="宋体"/>
          <w:color w:val="000000" w:themeColor="text1"/>
          <w:kern w:val="0"/>
          <w:sz w:val="24"/>
          <w:szCs w:val="24"/>
          <w14:textFill>
            <w14:solidFill>
              <w14:schemeClr w14:val="tx1"/>
            </w14:solidFill>
          </w14:textFill>
        </w:rPr>
      </w:pPr>
      <w:r>
        <w:rPr>
          <w:rFonts w:hint="eastAsia" w:ascii="宋体" w:hAnsi="宋体"/>
          <w:color w:val="000000" w:themeColor="text1"/>
          <w:kern w:val="0"/>
          <w:sz w:val="24"/>
          <w:szCs w:val="24"/>
          <w14:textFill>
            <w14:solidFill>
              <w14:schemeClr w14:val="tx1"/>
            </w14:solidFill>
          </w14:textFill>
        </w:rPr>
        <w:t>（6）包气带质量现状监测</w:t>
      </w:r>
    </w:p>
    <w:p w14:paraId="4259CE3C">
      <w:pPr>
        <w:spacing w:line="500" w:lineRule="exact"/>
        <w:ind w:firstLine="480" w:firstLineChars="200"/>
        <w:rPr>
          <w:rFonts w:hint="eastAsia" w:ascii="宋体" w:hAnsi="宋体"/>
          <w:color w:val="000000" w:themeColor="text1"/>
          <w:kern w:val="0"/>
          <w:sz w:val="24"/>
          <w:szCs w:val="24"/>
          <w14:textFill>
            <w14:solidFill>
              <w14:schemeClr w14:val="tx1"/>
            </w14:solidFill>
          </w14:textFill>
        </w:rPr>
      </w:pPr>
      <w:r>
        <w:rPr>
          <w:rFonts w:hint="eastAsia" w:ascii="宋体" w:hAnsi="宋体"/>
          <w:color w:val="000000" w:themeColor="text1"/>
          <w:kern w:val="0"/>
          <w:sz w:val="24"/>
          <w:szCs w:val="24"/>
          <w14:textFill>
            <w14:solidFill>
              <w14:schemeClr w14:val="tx1"/>
            </w14:solidFill>
          </w14:textFill>
        </w:rPr>
        <w:t>根据现场踏勘及问询结果，井区运行至今，未发生包气带污染情况，综合考虑，本次在现有井场内布设1个包气带监测点，对样品进行浸溶实验，包气带质量现状监测结果见表4.3-9。根据监测结果，参照《地下水质量标准》（GB/T14848-2017）中Ⅲ类标准，各项因子均达标，表明项目区包气带未受到现有工程油气开采活动的污染。</w:t>
      </w:r>
    </w:p>
    <w:p w14:paraId="0A49BE46">
      <w:pPr>
        <w:spacing w:line="500" w:lineRule="atLeast"/>
        <w:jc w:val="center"/>
        <w:rPr>
          <w:rFonts w:hint="eastAsia" w:ascii="宋体" w:hAnsi="宋体" w:eastAsia="黑体"/>
          <w:color w:val="000000" w:themeColor="text1"/>
          <w:szCs w:val="20"/>
          <w14:textFill>
            <w14:solidFill>
              <w14:schemeClr w14:val="tx1"/>
            </w14:solidFill>
          </w14:textFill>
        </w:rPr>
      </w:pPr>
      <w:r>
        <w:rPr>
          <w:rFonts w:hint="eastAsia" w:ascii="宋体" w:hAnsi="宋体" w:eastAsia="黑体" w:cs="宋体"/>
          <w:color w:val="000000" w:themeColor="text1"/>
          <w:szCs w:val="20"/>
          <w14:textFill>
            <w14:solidFill>
              <w14:schemeClr w14:val="tx1"/>
            </w14:solidFill>
          </w14:textFill>
        </w:rPr>
        <w:t xml:space="preserve">表4.3-9  </w:t>
      </w:r>
      <w:r>
        <w:rPr>
          <w:rFonts w:hint="eastAsia" w:ascii="宋体" w:hAnsi="宋体" w:eastAsia="黑体"/>
          <w:color w:val="000000" w:themeColor="text1"/>
          <w:szCs w:val="20"/>
          <w14:textFill>
            <w14:solidFill>
              <w14:schemeClr w14:val="tx1"/>
            </w14:solidFill>
          </w14:textFill>
        </w:rPr>
        <w:t>包气带质量现状监测结果一览表</w:t>
      </w:r>
    </w:p>
    <w:tbl>
      <w:tblPr>
        <w:tblStyle w:val="51"/>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886"/>
        <w:gridCol w:w="960"/>
        <w:gridCol w:w="946"/>
        <w:gridCol w:w="1236"/>
        <w:gridCol w:w="1236"/>
        <w:gridCol w:w="1091"/>
        <w:gridCol w:w="1375"/>
      </w:tblGrid>
      <w:tr w14:paraId="070D36E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80" w:type="pct"/>
            <w:tcMar>
              <w:left w:w="0" w:type="dxa"/>
              <w:right w:w="0" w:type="dxa"/>
            </w:tcMar>
            <w:vAlign w:val="center"/>
          </w:tcPr>
          <w:p w14:paraId="4A153B2D">
            <w:pPr>
              <w:spacing w:line="240" w:lineRule="exact"/>
              <w:jc w:val="center"/>
              <w:rPr>
                <w:rFonts w:hint="eastAsia"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采样点坐标</w:t>
            </w:r>
          </w:p>
        </w:tc>
        <w:tc>
          <w:tcPr>
            <w:tcW w:w="550" w:type="pct"/>
            <w:tcMar>
              <w:left w:w="0" w:type="dxa"/>
              <w:right w:w="0" w:type="dxa"/>
            </w:tcMar>
            <w:vAlign w:val="center"/>
          </w:tcPr>
          <w:p w14:paraId="2B8C0C95">
            <w:pPr>
              <w:spacing w:line="240" w:lineRule="exact"/>
              <w:jc w:val="center"/>
              <w:rPr>
                <w:rFonts w:hint="eastAsia"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采样深度</w:t>
            </w:r>
          </w:p>
        </w:tc>
        <w:tc>
          <w:tcPr>
            <w:tcW w:w="542" w:type="pct"/>
            <w:tcMar>
              <w:left w:w="0" w:type="dxa"/>
              <w:right w:w="0" w:type="dxa"/>
            </w:tcMar>
            <w:vAlign w:val="center"/>
          </w:tcPr>
          <w:p w14:paraId="36CB84CC">
            <w:pPr>
              <w:spacing w:line="240" w:lineRule="exact"/>
              <w:jc w:val="center"/>
              <w:rPr>
                <w:rFonts w:hint="eastAsia"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监测因子</w:t>
            </w:r>
          </w:p>
        </w:tc>
        <w:tc>
          <w:tcPr>
            <w:tcW w:w="708" w:type="pct"/>
            <w:tcMar>
              <w:left w:w="0" w:type="dxa"/>
              <w:right w:w="0" w:type="dxa"/>
            </w:tcMar>
            <w:vAlign w:val="center"/>
          </w:tcPr>
          <w:p w14:paraId="38B269B1">
            <w:pPr>
              <w:spacing w:line="240" w:lineRule="exact"/>
              <w:jc w:val="center"/>
              <w:rPr>
                <w:rFonts w:hint="eastAsia"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执行标准</w:t>
            </w:r>
          </w:p>
          <w:p w14:paraId="2F8D6E23">
            <w:pPr>
              <w:spacing w:line="240" w:lineRule="exact"/>
              <w:jc w:val="center"/>
              <w:rPr>
                <w:rFonts w:hint="eastAsia"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（Ⅲ类）</w:t>
            </w:r>
          </w:p>
        </w:tc>
        <w:tc>
          <w:tcPr>
            <w:tcW w:w="708" w:type="pct"/>
            <w:tcMar>
              <w:left w:w="0" w:type="dxa"/>
              <w:right w:w="0" w:type="dxa"/>
            </w:tcMar>
            <w:vAlign w:val="center"/>
          </w:tcPr>
          <w:p w14:paraId="5FC70F74">
            <w:pPr>
              <w:spacing w:line="240" w:lineRule="exact"/>
              <w:jc w:val="center"/>
              <w:rPr>
                <w:rFonts w:hint="eastAsia"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监测值</w:t>
            </w:r>
          </w:p>
        </w:tc>
        <w:tc>
          <w:tcPr>
            <w:tcW w:w="625" w:type="pct"/>
            <w:vAlign w:val="center"/>
          </w:tcPr>
          <w:p w14:paraId="72A8ADB4">
            <w:pPr>
              <w:spacing w:line="240" w:lineRule="exact"/>
              <w:jc w:val="center"/>
              <w:rPr>
                <w:rFonts w:hint="eastAsia"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标准指数</w:t>
            </w:r>
          </w:p>
        </w:tc>
        <w:tc>
          <w:tcPr>
            <w:tcW w:w="787" w:type="pct"/>
            <w:tcMar>
              <w:left w:w="0" w:type="dxa"/>
              <w:right w:w="0" w:type="dxa"/>
            </w:tcMar>
            <w:vAlign w:val="center"/>
          </w:tcPr>
          <w:p w14:paraId="4C1CC70E">
            <w:pPr>
              <w:spacing w:line="240" w:lineRule="exact"/>
              <w:jc w:val="center"/>
              <w:rPr>
                <w:rFonts w:hint="eastAsia"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评价结果</w:t>
            </w:r>
          </w:p>
        </w:tc>
      </w:tr>
      <w:tr w14:paraId="4260BA8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80" w:type="pct"/>
            <w:vMerge w:val="restart"/>
            <w:tcMar>
              <w:left w:w="0" w:type="dxa"/>
              <w:right w:w="0" w:type="dxa"/>
            </w:tcMar>
            <w:vAlign w:val="center"/>
          </w:tcPr>
          <w:p w14:paraId="7CEA433B">
            <w:pPr>
              <w:spacing w:line="240" w:lineRule="exact"/>
              <w:jc w:val="center"/>
              <w:rPr>
                <w:rFonts w:hint="eastAsia" w:ascii="宋体" w:hAnsi="宋体"/>
                <w:color w:val="000000" w:themeColor="text1"/>
                <w:kern w:val="0"/>
                <w:szCs w:val="21"/>
                <w14:textFill>
                  <w14:solidFill>
                    <w14:schemeClr w14:val="tx1"/>
                  </w14:solidFill>
                </w14:textFill>
              </w:rPr>
            </w:pPr>
          </w:p>
        </w:tc>
        <w:tc>
          <w:tcPr>
            <w:tcW w:w="550" w:type="pct"/>
            <w:vMerge w:val="restart"/>
            <w:tcMar>
              <w:left w:w="0" w:type="dxa"/>
              <w:right w:w="0" w:type="dxa"/>
            </w:tcMar>
            <w:vAlign w:val="center"/>
          </w:tcPr>
          <w:p w14:paraId="4222262B">
            <w:pPr>
              <w:spacing w:line="240" w:lineRule="exact"/>
              <w:jc w:val="center"/>
              <w:rPr>
                <w:rFonts w:hint="eastAsia"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0.2m</w:t>
            </w:r>
          </w:p>
        </w:tc>
        <w:tc>
          <w:tcPr>
            <w:tcW w:w="542" w:type="pct"/>
            <w:tcMar>
              <w:left w:w="0" w:type="dxa"/>
              <w:right w:w="0" w:type="dxa"/>
            </w:tcMar>
            <w:vAlign w:val="center"/>
          </w:tcPr>
          <w:p w14:paraId="331F23A7">
            <w:pPr>
              <w:spacing w:line="240" w:lineRule="exact"/>
              <w:jc w:val="center"/>
              <w:rPr>
                <w:rFonts w:hint="eastAsia"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石油类</w:t>
            </w:r>
          </w:p>
        </w:tc>
        <w:tc>
          <w:tcPr>
            <w:tcW w:w="708" w:type="pct"/>
            <w:tcMar>
              <w:left w:w="0" w:type="dxa"/>
              <w:right w:w="0" w:type="dxa"/>
            </w:tcMar>
            <w:vAlign w:val="center"/>
          </w:tcPr>
          <w:p w14:paraId="4CA783F3">
            <w:pPr>
              <w:spacing w:line="240" w:lineRule="exact"/>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≤0.05</w:t>
            </w:r>
          </w:p>
        </w:tc>
        <w:tc>
          <w:tcPr>
            <w:tcW w:w="708" w:type="pct"/>
            <w:tcMar>
              <w:left w:w="0" w:type="dxa"/>
              <w:right w:w="0" w:type="dxa"/>
            </w:tcMar>
            <w:vAlign w:val="center"/>
          </w:tcPr>
          <w:p w14:paraId="517DE9A7">
            <w:pPr>
              <w:spacing w:line="240" w:lineRule="exact"/>
              <w:jc w:val="center"/>
              <w:rPr>
                <w:rFonts w:hint="eastAsia"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0.01L</w:t>
            </w:r>
          </w:p>
        </w:tc>
        <w:tc>
          <w:tcPr>
            <w:tcW w:w="625" w:type="pct"/>
            <w:vAlign w:val="center"/>
          </w:tcPr>
          <w:p w14:paraId="6679867B">
            <w:pPr>
              <w:spacing w:line="240" w:lineRule="exact"/>
              <w:jc w:val="center"/>
              <w:rPr>
                <w:rFonts w:hint="eastAsia"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w:t>
            </w:r>
          </w:p>
        </w:tc>
        <w:tc>
          <w:tcPr>
            <w:tcW w:w="787" w:type="pct"/>
            <w:tcMar>
              <w:left w:w="0" w:type="dxa"/>
              <w:right w:w="0" w:type="dxa"/>
            </w:tcMar>
            <w:vAlign w:val="center"/>
          </w:tcPr>
          <w:p w14:paraId="5F28FC37">
            <w:pPr>
              <w:spacing w:line="240" w:lineRule="exact"/>
              <w:jc w:val="center"/>
              <w:rPr>
                <w:rFonts w:hint="eastAsia"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达标</w:t>
            </w:r>
          </w:p>
        </w:tc>
      </w:tr>
      <w:tr w14:paraId="6F00F83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80" w:type="pct"/>
            <w:vMerge w:val="continue"/>
            <w:tcMar>
              <w:left w:w="0" w:type="dxa"/>
              <w:right w:w="0" w:type="dxa"/>
            </w:tcMar>
            <w:vAlign w:val="center"/>
          </w:tcPr>
          <w:p w14:paraId="13E079C7">
            <w:pPr>
              <w:spacing w:line="240" w:lineRule="exact"/>
              <w:jc w:val="center"/>
              <w:rPr>
                <w:rFonts w:hint="eastAsia" w:ascii="宋体" w:hAnsi="宋体"/>
                <w:color w:val="000000" w:themeColor="text1"/>
                <w:kern w:val="0"/>
                <w:szCs w:val="21"/>
                <w14:textFill>
                  <w14:solidFill>
                    <w14:schemeClr w14:val="tx1"/>
                  </w14:solidFill>
                </w14:textFill>
              </w:rPr>
            </w:pPr>
          </w:p>
        </w:tc>
        <w:tc>
          <w:tcPr>
            <w:tcW w:w="550" w:type="pct"/>
            <w:vMerge w:val="continue"/>
            <w:tcMar>
              <w:left w:w="0" w:type="dxa"/>
              <w:right w:w="0" w:type="dxa"/>
            </w:tcMar>
            <w:vAlign w:val="center"/>
          </w:tcPr>
          <w:p w14:paraId="25AC8BA1">
            <w:pPr>
              <w:spacing w:line="240" w:lineRule="exact"/>
              <w:jc w:val="center"/>
              <w:rPr>
                <w:rFonts w:hint="eastAsia" w:ascii="宋体" w:hAnsi="宋体"/>
                <w:color w:val="000000" w:themeColor="text1"/>
                <w:kern w:val="0"/>
                <w:szCs w:val="21"/>
                <w14:textFill>
                  <w14:solidFill>
                    <w14:schemeClr w14:val="tx1"/>
                  </w14:solidFill>
                </w14:textFill>
              </w:rPr>
            </w:pPr>
          </w:p>
        </w:tc>
        <w:tc>
          <w:tcPr>
            <w:tcW w:w="542" w:type="pct"/>
            <w:tcMar>
              <w:left w:w="0" w:type="dxa"/>
              <w:right w:w="0" w:type="dxa"/>
            </w:tcMar>
            <w:vAlign w:val="center"/>
          </w:tcPr>
          <w:p w14:paraId="67756C23">
            <w:pPr>
              <w:spacing w:line="240" w:lineRule="exact"/>
              <w:jc w:val="center"/>
              <w:rPr>
                <w:rFonts w:hint="eastAsia"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pH</w:t>
            </w:r>
          </w:p>
        </w:tc>
        <w:tc>
          <w:tcPr>
            <w:tcW w:w="708" w:type="pct"/>
            <w:tcMar>
              <w:left w:w="0" w:type="dxa"/>
              <w:right w:w="0" w:type="dxa"/>
            </w:tcMar>
            <w:vAlign w:val="center"/>
          </w:tcPr>
          <w:p w14:paraId="1EC273F3">
            <w:pPr>
              <w:spacing w:line="240" w:lineRule="exact"/>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6.5～8.5</w:t>
            </w:r>
          </w:p>
        </w:tc>
        <w:tc>
          <w:tcPr>
            <w:tcW w:w="708" w:type="pct"/>
            <w:tcMar>
              <w:left w:w="0" w:type="dxa"/>
              <w:right w:w="0" w:type="dxa"/>
            </w:tcMar>
            <w:vAlign w:val="center"/>
          </w:tcPr>
          <w:p w14:paraId="24E70712">
            <w:pPr>
              <w:spacing w:line="240" w:lineRule="exact"/>
              <w:jc w:val="center"/>
              <w:rPr>
                <w:rFonts w:hint="eastAsia"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8.1</w:t>
            </w:r>
          </w:p>
        </w:tc>
        <w:tc>
          <w:tcPr>
            <w:tcW w:w="625" w:type="pct"/>
            <w:vAlign w:val="center"/>
          </w:tcPr>
          <w:p w14:paraId="4E07168E">
            <w:pPr>
              <w:spacing w:line="240" w:lineRule="exact"/>
              <w:jc w:val="center"/>
              <w:rPr>
                <w:rFonts w:hint="eastAsia"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0.7333</w:t>
            </w:r>
          </w:p>
        </w:tc>
        <w:tc>
          <w:tcPr>
            <w:tcW w:w="787" w:type="pct"/>
            <w:tcMar>
              <w:left w:w="0" w:type="dxa"/>
              <w:right w:w="0" w:type="dxa"/>
            </w:tcMar>
            <w:vAlign w:val="center"/>
          </w:tcPr>
          <w:p w14:paraId="00F91756">
            <w:pPr>
              <w:spacing w:line="240" w:lineRule="exact"/>
              <w:jc w:val="center"/>
              <w:rPr>
                <w:rFonts w:hint="eastAsia"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达标</w:t>
            </w:r>
          </w:p>
        </w:tc>
      </w:tr>
      <w:tr w14:paraId="27B3595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80" w:type="pct"/>
            <w:vMerge w:val="continue"/>
            <w:tcMar>
              <w:left w:w="0" w:type="dxa"/>
              <w:right w:w="0" w:type="dxa"/>
            </w:tcMar>
            <w:vAlign w:val="center"/>
          </w:tcPr>
          <w:p w14:paraId="13400645">
            <w:pPr>
              <w:spacing w:line="240" w:lineRule="exact"/>
              <w:jc w:val="center"/>
              <w:rPr>
                <w:rFonts w:hint="eastAsia" w:ascii="宋体" w:hAnsi="宋体"/>
                <w:color w:val="000000" w:themeColor="text1"/>
                <w:kern w:val="0"/>
                <w:szCs w:val="21"/>
                <w14:textFill>
                  <w14:solidFill>
                    <w14:schemeClr w14:val="tx1"/>
                  </w14:solidFill>
                </w14:textFill>
              </w:rPr>
            </w:pPr>
          </w:p>
        </w:tc>
        <w:tc>
          <w:tcPr>
            <w:tcW w:w="550" w:type="pct"/>
            <w:vMerge w:val="continue"/>
            <w:tcMar>
              <w:left w:w="0" w:type="dxa"/>
              <w:right w:w="0" w:type="dxa"/>
            </w:tcMar>
            <w:vAlign w:val="center"/>
          </w:tcPr>
          <w:p w14:paraId="1A3D3672">
            <w:pPr>
              <w:spacing w:line="240" w:lineRule="exact"/>
              <w:jc w:val="center"/>
              <w:rPr>
                <w:rFonts w:hint="eastAsia" w:ascii="宋体" w:hAnsi="宋体"/>
                <w:color w:val="000000" w:themeColor="text1"/>
                <w:kern w:val="0"/>
                <w:szCs w:val="21"/>
                <w14:textFill>
                  <w14:solidFill>
                    <w14:schemeClr w14:val="tx1"/>
                  </w14:solidFill>
                </w14:textFill>
              </w:rPr>
            </w:pPr>
          </w:p>
        </w:tc>
        <w:tc>
          <w:tcPr>
            <w:tcW w:w="542" w:type="pct"/>
            <w:tcMar>
              <w:left w:w="0" w:type="dxa"/>
              <w:right w:w="0" w:type="dxa"/>
            </w:tcMar>
            <w:vAlign w:val="center"/>
          </w:tcPr>
          <w:p w14:paraId="395E81CA">
            <w:pPr>
              <w:spacing w:line="240" w:lineRule="exact"/>
              <w:jc w:val="center"/>
              <w:rPr>
                <w:rFonts w:hint="eastAsia"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汞</w:t>
            </w:r>
          </w:p>
        </w:tc>
        <w:tc>
          <w:tcPr>
            <w:tcW w:w="708" w:type="pct"/>
            <w:tcMar>
              <w:left w:w="0" w:type="dxa"/>
              <w:right w:w="0" w:type="dxa"/>
            </w:tcMar>
            <w:vAlign w:val="center"/>
          </w:tcPr>
          <w:p w14:paraId="79A5FC12">
            <w:pPr>
              <w:spacing w:line="240" w:lineRule="exact"/>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≤0.001</w:t>
            </w:r>
          </w:p>
        </w:tc>
        <w:tc>
          <w:tcPr>
            <w:tcW w:w="708" w:type="pct"/>
            <w:tcMar>
              <w:left w:w="0" w:type="dxa"/>
              <w:right w:w="0" w:type="dxa"/>
            </w:tcMar>
            <w:vAlign w:val="center"/>
          </w:tcPr>
          <w:p w14:paraId="6FC428A3">
            <w:pPr>
              <w:spacing w:line="240" w:lineRule="exact"/>
              <w:jc w:val="center"/>
              <w:rPr>
                <w:rFonts w:hint="eastAsia"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0.00004L</w:t>
            </w:r>
          </w:p>
        </w:tc>
        <w:tc>
          <w:tcPr>
            <w:tcW w:w="625" w:type="pct"/>
            <w:vAlign w:val="center"/>
          </w:tcPr>
          <w:p w14:paraId="5357D6D8">
            <w:pPr>
              <w:spacing w:line="240" w:lineRule="exact"/>
              <w:jc w:val="center"/>
              <w:rPr>
                <w:rFonts w:hint="eastAsia"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w:t>
            </w:r>
          </w:p>
        </w:tc>
        <w:tc>
          <w:tcPr>
            <w:tcW w:w="787" w:type="pct"/>
            <w:tcMar>
              <w:left w:w="0" w:type="dxa"/>
              <w:right w:w="0" w:type="dxa"/>
            </w:tcMar>
            <w:vAlign w:val="center"/>
          </w:tcPr>
          <w:p w14:paraId="6BDA1061">
            <w:pPr>
              <w:spacing w:line="240" w:lineRule="exact"/>
              <w:jc w:val="center"/>
              <w:rPr>
                <w:rFonts w:hint="eastAsia"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达标</w:t>
            </w:r>
          </w:p>
        </w:tc>
      </w:tr>
      <w:tr w14:paraId="04F9A7E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80" w:type="pct"/>
            <w:vMerge w:val="continue"/>
            <w:tcMar>
              <w:left w:w="0" w:type="dxa"/>
              <w:right w:w="0" w:type="dxa"/>
            </w:tcMar>
            <w:vAlign w:val="center"/>
          </w:tcPr>
          <w:p w14:paraId="26783601">
            <w:pPr>
              <w:spacing w:line="240" w:lineRule="exact"/>
              <w:jc w:val="center"/>
              <w:rPr>
                <w:rFonts w:hint="eastAsia" w:ascii="宋体" w:hAnsi="宋体"/>
                <w:color w:val="000000" w:themeColor="text1"/>
                <w:kern w:val="0"/>
                <w:szCs w:val="21"/>
                <w14:textFill>
                  <w14:solidFill>
                    <w14:schemeClr w14:val="tx1"/>
                  </w14:solidFill>
                </w14:textFill>
              </w:rPr>
            </w:pPr>
          </w:p>
        </w:tc>
        <w:tc>
          <w:tcPr>
            <w:tcW w:w="550" w:type="pct"/>
            <w:vMerge w:val="continue"/>
            <w:tcMar>
              <w:left w:w="0" w:type="dxa"/>
              <w:right w:w="0" w:type="dxa"/>
            </w:tcMar>
            <w:vAlign w:val="center"/>
          </w:tcPr>
          <w:p w14:paraId="6CBC8972">
            <w:pPr>
              <w:spacing w:line="240" w:lineRule="exact"/>
              <w:jc w:val="center"/>
              <w:rPr>
                <w:rFonts w:hint="eastAsia" w:ascii="宋体" w:hAnsi="宋体"/>
                <w:color w:val="000000" w:themeColor="text1"/>
                <w:kern w:val="0"/>
                <w:szCs w:val="21"/>
                <w14:textFill>
                  <w14:solidFill>
                    <w14:schemeClr w14:val="tx1"/>
                  </w14:solidFill>
                </w14:textFill>
              </w:rPr>
            </w:pPr>
          </w:p>
        </w:tc>
        <w:tc>
          <w:tcPr>
            <w:tcW w:w="542" w:type="pct"/>
            <w:tcMar>
              <w:left w:w="0" w:type="dxa"/>
              <w:right w:w="0" w:type="dxa"/>
            </w:tcMar>
            <w:vAlign w:val="center"/>
          </w:tcPr>
          <w:p w14:paraId="17F1C663">
            <w:pPr>
              <w:spacing w:line="240" w:lineRule="exact"/>
              <w:jc w:val="center"/>
              <w:rPr>
                <w:rFonts w:hint="eastAsia"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砷</w:t>
            </w:r>
          </w:p>
        </w:tc>
        <w:tc>
          <w:tcPr>
            <w:tcW w:w="708" w:type="pct"/>
            <w:tcMar>
              <w:left w:w="0" w:type="dxa"/>
              <w:right w:w="0" w:type="dxa"/>
            </w:tcMar>
            <w:vAlign w:val="center"/>
          </w:tcPr>
          <w:p w14:paraId="31549410">
            <w:pPr>
              <w:spacing w:line="240" w:lineRule="exact"/>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≤0.01</w:t>
            </w:r>
          </w:p>
        </w:tc>
        <w:tc>
          <w:tcPr>
            <w:tcW w:w="708" w:type="pct"/>
            <w:tcMar>
              <w:left w:w="0" w:type="dxa"/>
              <w:right w:w="0" w:type="dxa"/>
            </w:tcMar>
            <w:vAlign w:val="center"/>
          </w:tcPr>
          <w:p w14:paraId="14C10A53">
            <w:pPr>
              <w:spacing w:line="240" w:lineRule="exact"/>
              <w:jc w:val="center"/>
              <w:rPr>
                <w:rFonts w:hint="eastAsia"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0.0003L</w:t>
            </w:r>
          </w:p>
        </w:tc>
        <w:tc>
          <w:tcPr>
            <w:tcW w:w="625" w:type="pct"/>
            <w:vAlign w:val="center"/>
          </w:tcPr>
          <w:p w14:paraId="4CB5C3D4">
            <w:pPr>
              <w:spacing w:line="240" w:lineRule="exact"/>
              <w:jc w:val="center"/>
              <w:rPr>
                <w:rFonts w:hint="eastAsia"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w:t>
            </w:r>
          </w:p>
        </w:tc>
        <w:tc>
          <w:tcPr>
            <w:tcW w:w="787" w:type="pct"/>
            <w:tcMar>
              <w:left w:w="0" w:type="dxa"/>
              <w:right w:w="0" w:type="dxa"/>
            </w:tcMar>
            <w:vAlign w:val="center"/>
          </w:tcPr>
          <w:p w14:paraId="74268643">
            <w:pPr>
              <w:spacing w:line="240" w:lineRule="exact"/>
              <w:jc w:val="center"/>
              <w:rPr>
                <w:rFonts w:hint="eastAsia"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达标</w:t>
            </w:r>
          </w:p>
        </w:tc>
      </w:tr>
      <w:tr w14:paraId="6AA081A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80" w:type="pct"/>
            <w:vMerge w:val="continue"/>
            <w:tcMar>
              <w:left w:w="0" w:type="dxa"/>
              <w:right w:w="0" w:type="dxa"/>
            </w:tcMar>
            <w:vAlign w:val="center"/>
          </w:tcPr>
          <w:p w14:paraId="78AB5AF3">
            <w:pPr>
              <w:spacing w:line="240" w:lineRule="exact"/>
              <w:jc w:val="center"/>
              <w:rPr>
                <w:rFonts w:hint="eastAsia" w:ascii="宋体" w:hAnsi="宋体"/>
                <w:color w:val="000000" w:themeColor="text1"/>
                <w:kern w:val="0"/>
                <w:szCs w:val="21"/>
                <w14:textFill>
                  <w14:solidFill>
                    <w14:schemeClr w14:val="tx1"/>
                  </w14:solidFill>
                </w14:textFill>
              </w:rPr>
            </w:pPr>
          </w:p>
        </w:tc>
        <w:tc>
          <w:tcPr>
            <w:tcW w:w="550" w:type="pct"/>
            <w:vMerge w:val="continue"/>
            <w:tcMar>
              <w:left w:w="0" w:type="dxa"/>
              <w:right w:w="0" w:type="dxa"/>
            </w:tcMar>
            <w:vAlign w:val="center"/>
          </w:tcPr>
          <w:p w14:paraId="60CD1D27">
            <w:pPr>
              <w:spacing w:line="240" w:lineRule="exact"/>
              <w:jc w:val="center"/>
              <w:rPr>
                <w:rFonts w:hint="eastAsia" w:ascii="宋体" w:hAnsi="宋体"/>
                <w:color w:val="000000" w:themeColor="text1"/>
                <w:kern w:val="0"/>
                <w:szCs w:val="21"/>
                <w14:textFill>
                  <w14:solidFill>
                    <w14:schemeClr w14:val="tx1"/>
                  </w14:solidFill>
                </w14:textFill>
              </w:rPr>
            </w:pPr>
          </w:p>
        </w:tc>
        <w:tc>
          <w:tcPr>
            <w:tcW w:w="542" w:type="pct"/>
            <w:tcMar>
              <w:left w:w="0" w:type="dxa"/>
              <w:right w:w="0" w:type="dxa"/>
            </w:tcMar>
            <w:vAlign w:val="center"/>
          </w:tcPr>
          <w:p w14:paraId="37E44B31">
            <w:pPr>
              <w:spacing w:line="240" w:lineRule="exact"/>
              <w:jc w:val="center"/>
              <w:rPr>
                <w:rFonts w:hint="eastAsia"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六价铬</w:t>
            </w:r>
          </w:p>
        </w:tc>
        <w:tc>
          <w:tcPr>
            <w:tcW w:w="708" w:type="pct"/>
            <w:tcMar>
              <w:left w:w="0" w:type="dxa"/>
              <w:right w:w="0" w:type="dxa"/>
            </w:tcMar>
            <w:vAlign w:val="center"/>
          </w:tcPr>
          <w:p w14:paraId="4C257177">
            <w:pPr>
              <w:spacing w:line="240" w:lineRule="exact"/>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≤0.05</w:t>
            </w:r>
          </w:p>
        </w:tc>
        <w:tc>
          <w:tcPr>
            <w:tcW w:w="708" w:type="pct"/>
            <w:tcMar>
              <w:left w:w="0" w:type="dxa"/>
              <w:right w:w="0" w:type="dxa"/>
            </w:tcMar>
            <w:vAlign w:val="center"/>
          </w:tcPr>
          <w:p w14:paraId="537EB3D4">
            <w:pPr>
              <w:spacing w:line="240" w:lineRule="exact"/>
              <w:jc w:val="center"/>
              <w:rPr>
                <w:rFonts w:hint="eastAsia" w:ascii="宋体" w:hAnsi="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0.032</w:t>
            </w:r>
          </w:p>
        </w:tc>
        <w:tc>
          <w:tcPr>
            <w:tcW w:w="625" w:type="pct"/>
            <w:vAlign w:val="center"/>
          </w:tcPr>
          <w:p w14:paraId="3EC59E70">
            <w:pPr>
              <w:spacing w:line="240" w:lineRule="exact"/>
              <w:jc w:val="center"/>
              <w:rPr>
                <w:rFonts w:hint="eastAsia"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0.64</w:t>
            </w:r>
          </w:p>
        </w:tc>
        <w:tc>
          <w:tcPr>
            <w:tcW w:w="787" w:type="pct"/>
            <w:tcMar>
              <w:left w:w="0" w:type="dxa"/>
              <w:right w:w="0" w:type="dxa"/>
            </w:tcMar>
            <w:vAlign w:val="center"/>
          </w:tcPr>
          <w:p w14:paraId="3E5C0109">
            <w:pPr>
              <w:spacing w:line="240" w:lineRule="exact"/>
              <w:jc w:val="center"/>
              <w:rPr>
                <w:rFonts w:hint="eastAsia"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达标</w:t>
            </w:r>
          </w:p>
        </w:tc>
      </w:tr>
    </w:tbl>
    <w:p w14:paraId="2A9A8CCE">
      <w:pPr>
        <w:pStyle w:val="4"/>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声环境质量现状调查与评价</w:t>
      </w:r>
    </w:p>
    <w:p w14:paraId="061889F7">
      <w:pPr>
        <w:spacing w:line="500" w:lineRule="exact"/>
        <w:ind w:firstLine="480" w:firstLineChars="200"/>
        <w:rPr>
          <w:rFonts w:hint="eastAsia" w:ascii="宋体" w:hAnsi="宋体"/>
          <w:bCs/>
          <w:color w:val="000000" w:themeColor="text1"/>
          <w:sz w:val="24"/>
          <w14:textFill>
            <w14:solidFill>
              <w14:schemeClr w14:val="tx1"/>
            </w14:solidFill>
          </w14:textFill>
        </w:rPr>
      </w:pPr>
      <w:r>
        <w:rPr>
          <w:rFonts w:hint="eastAsia" w:ascii="宋体" w:hAnsi="宋体"/>
          <w:bCs/>
          <w:color w:val="000000" w:themeColor="text1"/>
          <w:sz w:val="24"/>
          <w14:textFill>
            <w14:solidFill>
              <w14:schemeClr w14:val="tx1"/>
            </w14:solidFill>
          </w14:textFill>
        </w:rPr>
        <w:t>（1）监测点位</w:t>
      </w:r>
    </w:p>
    <w:p w14:paraId="76717503">
      <w:pPr>
        <w:spacing w:line="500" w:lineRule="exact"/>
        <w:ind w:firstLine="480" w:firstLineChars="200"/>
        <w:rPr>
          <w:rFonts w:hint="eastAsia" w:ascii="宋体" w:hAnsi="宋体"/>
          <w:bCs/>
          <w:color w:val="000000" w:themeColor="text1"/>
          <w:sz w:val="24"/>
          <w14:textFill>
            <w14:solidFill>
              <w14:schemeClr w14:val="tx1"/>
            </w14:solidFill>
          </w14:textFill>
        </w:rPr>
      </w:pPr>
      <w:r>
        <w:rPr>
          <w:rFonts w:hint="eastAsia" w:ascii="宋体" w:hAnsi="宋体"/>
          <w:bCs/>
          <w:color w:val="000000" w:themeColor="text1"/>
          <w:sz w:val="24"/>
          <w14:textFill>
            <w14:solidFill>
              <w14:schemeClr w14:val="tx1"/>
            </w14:solidFill>
          </w14:textFill>
        </w:rPr>
        <w:t>在井场及预处理站厂界四周处布设1个监测点，共布设44个监测点，监测点坐标见表4.3-10和图4.3-3。</w:t>
      </w:r>
    </w:p>
    <w:p w14:paraId="79A2DB56">
      <w:pPr>
        <w:pStyle w:val="15"/>
        <w:rPr>
          <w:rFonts w:hint="eastAsia" w:ascii="黑体" w:hAnsi="黑体" w:cs="黑体"/>
          <w:bCs/>
          <w:color w:val="000000" w:themeColor="text1"/>
          <w:szCs w:val="21"/>
          <w14:textFill>
            <w14:solidFill>
              <w14:schemeClr w14:val="tx1"/>
            </w14:solidFill>
          </w14:textFill>
        </w:rPr>
      </w:pPr>
      <w:r>
        <w:rPr>
          <w:rFonts w:hint="eastAsia" w:ascii="黑体" w:hAnsi="黑体" w:cs="黑体"/>
          <w:bCs/>
          <w:color w:val="000000" w:themeColor="text1"/>
          <w:szCs w:val="21"/>
          <w14:textFill>
            <w14:solidFill>
              <w14:schemeClr w14:val="tx1"/>
            </w14:solidFill>
          </w14:textFill>
        </w:rPr>
        <w:t>表</w:t>
      </w:r>
      <w:r>
        <w:rPr>
          <w:rFonts w:ascii="黑体" w:hAnsi="黑体" w:cs="黑体"/>
          <w:bCs/>
          <w:color w:val="000000" w:themeColor="text1"/>
          <w:szCs w:val="21"/>
          <w14:textFill>
            <w14:solidFill>
              <w14:schemeClr w14:val="tx1"/>
            </w14:solidFill>
          </w14:textFill>
        </w:rPr>
        <w:t>4.3</w:t>
      </w:r>
      <w:r>
        <w:rPr>
          <w:rFonts w:hint="eastAsia" w:ascii="黑体" w:hAnsi="黑体" w:cs="黑体"/>
          <w:bCs/>
          <w:color w:val="000000" w:themeColor="text1"/>
          <w:szCs w:val="21"/>
          <w14:textFill>
            <w14:solidFill>
              <w14:schemeClr w14:val="tx1"/>
            </w14:solidFill>
          </w14:textFill>
        </w:rPr>
        <w:t>-10  噪声监测点坐标一览表</w:t>
      </w:r>
    </w:p>
    <w:tbl>
      <w:tblPr>
        <w:tblStyle w:val="51"/>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0" w:type="dxa"/>
          <w:bottom w:w="0" w:type="dxa"/>
          <w:right w:w="0" w:type="dxa"/>
        </w:tblCellMar>
      </w:tblPr>
      <w:tblGrid>
        <w:gridCol w:w="1194"/>
        <w:gridCol w:w="1044"/>
        <w:gridCol w:w="1488"/>
        <w:gridCol w:w="2682"/>
        <w:gridCol w:w="2322"/>
      </w:tblGrid>
      <w:tr w14:paraId="0C6B736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cantSplit/>
          <w:trHeight w:val="340" w:hRule="atLeast"/>
          <w:jc w:val="center"/>
        </w:trPr>
        <w:tc>
          <w:tcPr>
            <w:tcW w:w="684" w:type="pct"/>
            <w:vAlign w:val="center"/>
          </w:tcPr>
          <w:p w14:paraId="77C57E21">
            <w:pPr>
              <w:adjustRightInd w:val="0"/>
              <w:snapToGrid w:val="0"/>
              <w:spacing w:line="300" w:lineRule="exact"/>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编号</w:t>
            </w:r>
          </w:p>
        </w:tc>
        <w:tc>
          <w:tcPr>
            <w:tcW w:w="1450" w:type="pct"/>
            <w:gridSpan w:val="2"/>
            <w:vAlign w:val="center"/>
          </w:tcPr>
          <w:p w14:paraId="6E84BCFC">
            <w:pPr>
              <w:adjustRightInd w:val="0"/>
              <w:snapToGrid w:val="0"/>
              <w:spacing w:line="300" w:lineRule="exact"/>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井号</w:t>
            </w:r>
          </w:p>
        </w:tc>
        <w:tc>
          <w:tcPr>
            <w:tcW w:w="1536" w:type="pct"/>
            <w:vAlign w:val="center"/>
          </w:tcPr>
          <w:p w14:paraId="7552F945">
            <w:pPr>
              <w:adjustRightInd w:val="0"/>
              <w:snapToGrid w:val="0"/>
              <w:spacing w:line="300" w:lineRule="exact"/>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N</w:t>
            </w:r>
          </w:p>
        </w:tc>
        <w:tc>
          <w:tcPr>
            <w:tcW w:w="1330" w:type="pct"/>
            <w:vAlign w:val="center"/>
          </w:tcPr>
          <w:p w14:paraId="0B31B14C">
            <w:pPr>
              <w:adjustRightInd w:val="0"/>
              <w:snapToGrid w:val="0"/>
              <w:spacing w:line="300" w:lineRule="exact"/>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E</w:t>
            </w:r>
          </w:p>
        </w:tc>
      </w:tr>
      <w:tr w14:paraId="3F98CDE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cantSplit/>
          <w:trHeight w:val="340" w:hRule="atLeast"/>
          <w:jc w:val="center"/>
        </w:trPr>
        <w:tc>
          <w:tcPr>
            <w:tcW w:w="684" w:type="pct"/>
            <w:vAlign w:val="center"/>
          </w:tcPr>
          <w:p w14:paraId="1135D749">
            <w:pPr>
              <w:adjustRightInd w:val="0"/>
              <w:snapToGrid w:val="0"/>
              <w:spacing w:line="300" w:lineRule="exact"/>
              <w:jc w:val="center"/>
              <w:rPr>
                <w:rFonts w:hint="eastAsia" w:ascii="宋体" w:hAnsi="宋体" w:cs="宋体"/>
                <w:color w:val="000000" w:themeColor="text1"/>
                <w:kern w:val="0"/>
                <w:szCs w:val="21"/>
                <w14:textFill>
                  <w14:solidFill>
                    <w14:schemeClr w14:val="tx1"/>
                  </w14:solidFill>
                </w14:textFill>
              </w:rPr>
            </w:pPr>
            <w:bookmarkStart w:id="407" w:name="_Hlk211935860"/>
            <w:r>
              <w:rPr>
                <w:rFonts w:ascii="宋体" w:hAnsi="宋体" w:cs="宋体"/>
                <w:color w:val="000000" w:themeColor="text1"/>
                <w:kern w:val="0"/>
                <w:szCs w:val="21"/>
                <w14:textFill>
                  <w14:solidFill>
                    <w14:schemeClr w14:val="tx1"/>
                  </w14:solidFill>
                </w14:textFill>
              </w:rPr>
              <w:t>Z</w:t>
            </w:r>
            <w:r>
              <w:rPr>
                <w:rFonts w:hint="eastAsia" w:ascii="宋体" w:hAnsi="宋体" w:cs="宋体"/>
                <w:color w:val="000000" w:themeColor="text1"/>
                <w:kern w:val="0"/>
                <w:szCs w:val="21"/>
                <w14:textFill>
                  <w14:solidFill>
                    <w14:schemeClr w14:val="tx1"/>
                  </w14:solidFill>
                </w14:textFill>
              </w:rPr>
              <w:t>1</w:t>
            </w:r>
          </w:p>
        </w:tc>
        <w:tc>
          <w:tcPr>
            <w:tcW w:w="598" w:type="pct"/>
            <w:vMerge w:val="restart"/>
            <w:vAlign w:val="center"/>
          </w:tcPr>
          <w:p w14:paraId="5990C1D7">
            <w:pPr>
              <w:adjustRightInd w:val="0"/>
              <w:snapToGrid w:val="0"/>
              <w:spacing w:line="300" w:lineRule="exact"/>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bCs/>
                <w:color w:val="000000" w:themeColor="text1"/>
                <w:szCs w:val="21"/>
                <w14:textFill>
                  <w14:solidFill>
                    <w14:schemeClr w14:val="tx1"/>
                  </w14:solidFill>
                </w14:textFill>
              </w:rPr>
              <w:t>JHW036</w:t>
            </w:r>
          </w:p>
        </w:tc>
        <w:tc>
          <w:tcPr>
            <w:tcW w:w="852" w:type="pct"/>
            <w:vAlign w:val="center"/>
          </w:tcPr>
          <w:p w14:paraId="21694965">
            <w:pPr>
              <w:adjustRightInd w:val="0"/>
              <w:snapToGrid w:val="0"/>
              <w:spacing w:line="300" w:lineRule="exact"/>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东厂界</w:t>
            </w:r>
          </w:p>
        </w:tc>
        <w:tc>
          <w:tcPr>
            <w:tcW w:w="1536" w:type="pct"/>
            <w:vAlign w:val="center"/>
          </w:tcPr>
          <w:p w14:paraId="5F317DEF">
            <w:pPr>
              <w:adjustRightInd w:val="0"/>
              <w:snapToGrid w:val="0"/>
              <w:spacing w:line="300" w:lineRule="exact"/>
              <w:jc w:val="center"/>
              <w:rPr>
                <w:rFonts w:hint="eastAsia" w:ascii="宋体" w:hAnsi="宋体" w:cs="宋体"/>
                <w:color w:val="000000" w:themeColor="text1"/>
                <w:kern w:val="0"/>
                <w:szCs w:val="21"/>
                <w14:textFill>
                  <w14:solidFill>
                    <w14:schemeClr w14:val="tx1"/>
                  </w14:solidFill>
                </w14:textFill>
              </w:rPr>
            </w:pPr>
          </w:p>
        </w:tc>
        <w:tc>
          <w:tcPr>
            <w:tcW w:w="1330" w:type="pct"/>
            <w:vAlign w:val="center"/>
          </w:tcPr>
          <w:p w14:paraId="08B9164A">
            <w:pPr>
              <w:adjustRightInd w:val="0"/>
              <w:snapToGrid w:val="0"/>
              <w:spacing w:line="300" w:lineRule="exact"/>
              <w:jc w:val="center"/>
              <w:rPr>
                <w:rFonts w:hint="eastAsia" w:ascii="宋体" w:hAnsi="宋体" w:cs="宋体"/>
                <w:color w:val="000000" w:themeColor="text1"/>
                <w:kern w:val="0"/>
                <w:szCs w:val="21"/>
                <w14:textFill>
                  <w14:solidFill>
                    <w14:schemeClr w14:val="tx1"/>
                  </w14:solidFill>
                </w14:textFill>
              </w:rPr>
            </w:pPr>
          </w:p>
        </w:tc>
      </w:tr>
      <w:tr w14:paraId="0054E4A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cantSplit/>
          <w:trHeight w:val="340" w:hRule="atLeast"/>
          <w:jc w:val="center"/>
        </w:trPr>
        <w:tc>
          <w:tcPr>
            <w:tcW w:w="684" w:type="pct"/>
            <w:vAlign w:val="center"/>
          </w:tcPr>
          <w:p w14:paraId="641FF986">
            <w:pPr>
              <w:adjustRightInd w:val="0"/>
              <w:snapToGrid w:val="0"/>
              <w:spacing w:line="300" w:lineRule="exact"/>
              <w:jc w:val="center"/>
              <w:rPr>
                <w:rFonts w:hint="eastAsia"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Cs w:val="21"/>
                <w14:textFill>
                  <w14:solidFill>
                    <w14:schemeClr w14:val="tx1"/>
                  </w14:solidFill>
                </w14:textFill>
              </w:rPr>
              <w:t>Z</w:t>
            </w:r>
            <w:r>
              <w:rPr>
                <w:rFonts w:hint="eastAsia" w:ascii="宋体" w:hAnsi="宋体" w:cs="宋体"/>
                <w:color w:val="000000" w:themeColor="text1"/>
                <w:kern w:val="0"/>
                <w:szCs w:val="21"/>
                <w14:textFill>
                  <w14:solidFill>
                    <w14:schemeClr w14:val="tx1"/>
                  </w14:solidFill>
                </w14:textFill>
              </w:rPr>
              <w:t>2</w:t>
            </w:r>
          </w:p>
        </w:tc>
        <w:tc>
          <w:tcPr>
            <w:tcW w:w="598" w:type="pct"/>
            <w:vMerge w:val="continue"/>
            <w:vAlign w:val="center"/>
          </w:tcPr>
          <w:p w14:paraId="39B46505">
            <w:pPr>
              <w:adjustRightInd w:val="0"/>
              <w:snapToGrid w:val="0"/>
              <w:spacing w:line="300" w:lineRule="exact"/>
              <w:jc w:val="center"/>
              <w:rPr>
                <w:rFonts w:hint="eastAsia" w:ascii="宋体" w:hAnsi="宋体" w:cs="宋体"/>
                <w:color w:val="000000" w:themeColor="text1"/>
                <w:kern w:val="0"/>
                <w:szCs w:val="21"/>
                <w14:textFill>
                  <w14:solidFill>
                    <w14:schemeClr w14:val="tx1"/>
                  </w14:solidFill>
                </w14:textFill>
              </w:rPr>
            </w:pPr>
          </w:p>
        </w:tc>
        <w:tc>
          <w:tcPr>
            <w:tcW w:w="852" w:type="pct"/>
            <w:vAlign w:val="center"/>
          </w:tcPr>
          <w:p w14:paraId="58943467">
            <w:pPr>
              <w:adjustRightInd w:val="0"/>
              <w:snapToGrid w:val="0"/>
              <w:spacing w:line="300" w:lineRule="exact"/>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南厂界</w:t>
            </w:r>
          </w:p>
        </w:tc>
        <w:tc>
          <w:tcPr>
            <w:tcW w:w="1536" w:type="pct"/>
            <w:vAlign w:val="center"/>
          </w:tcPr>
          <w:p w14:paraId="48AB271D">
            <w:pPr>
              <w:adjustRightInd w:val="0"/>
              <w:snapToGrid w:val="0"/>
              <w:spacing w:line="300" w:lineRule="exact"/>
              <w:jc w:val="center"/>
              <w:rPr>
                <w:rFonts w:hint="eastAsia" w:ascii="宋体" w:hAnsi="宋体" w:cs="宋体"/>
                <w:color w:val="000000" w:themeColor="text1"/>
                <w:kern w:val="0"/>
                <w:szCs w:val="21"/>
                <w14:textFill>
                  <w14:solidFill>
                    <w14:schemeClr w14:val="tx1"/>
                  </w14:solidFill>
                </w14:textFill>
              </w:rPr>
            </w:pPr>
          </w:p>
        </w:tc>
        <w:tc>
          <w:tcPr>
            <w:tcW w:w="1330" w:type="pct"/>
            <w:vAlign w:val="center"/>
          </w:tcPr>
          <w:p w14:paraId="69085940">
            <w:pPr>
              <w:adjustRightInd w:val="0"/>
              <w:snapToGrid w:val="0"/>
              <w:spacing w:line="300" w:lineRule="exact"/>
              <w:jc w:val="center"/>
              <w:rPr>
                <w:rFonts w:hint="eastAsia" w:ascii="宋体" w:hAnsi="宋体" w:cs="宋体"/>
                <w:color w:val="000000" w:themeColor="text1"/>
                <w:kern w:val="0"/>
                <w:szCs w:val="21"/>
                <w14:textFill>
                  <w14:solidFill>
                    <w14:schemeClr w14:val="tx1"/>
                  </w14:solidFill>
                </w14:textFill>
              </w:rPr>
            </w:pPr>
          </w:p>
        </w:tc>
      </w:tr>
      <w:tr w14:paraId="754E767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cantSplit/>
          <w:trHeight w:val="340" w:hRule="atLeast"/>
          <w:jc w:val="center"/>
        </w:trPr>
        <w:tc>
          <w:tcPr>
            <w:tcW w:w="684" w:type="pct"/>
            <w:vAlign w:val="center"/>
          </w:tcPr>
          <w:p w14:paraId="53D4FD43">
            <w:pPr>
              <w:adjustRightInd w:val="0"/>
              <w:snapToGrid w:val="0"/>
              <w:spacing w:line="300" w:lineRule="exact"/>
              <w:jc w:val="center"/>
              <w:rPr>
                <w:rFonts w:hint="eastAsia"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Cs w:val="21"/>
                <w14:textFill>
                  <w14:solidFill>
                    <w14:schemeClr w14:val="tx1"/>
                  </w14:solidFill>
                </w14:textFill>
              </w:rPr>
              <w:t>Z</w:t>
            </w:r>
            <w:r>
              <w:rPr>
                <w:rFonts w:hint="eastAsia" w:ascii="宋体" w:hAnsi="宋体" w:cs="宋体"/>
                <w:color w:val="000000" w:themeColor="text1"/>
                <w:kern w:val="0"/>
                <w:szCs w:val="21"/>
                <w14:textFill>
                  <w14:solidFill>
                    <w14:schemeClr w14:val="tx1"/>
                  </w14:solidFill>
                </w14:textFill>
              </w:rPr>
              <w:t>3</w:t>
            </w:r>
          </w:p>
        </w:tc>
        <w:tc>
          <w:tcPr>
            <w:tcW w:w="598" w:type="pct"/>
            <w:vMerge w:val="continue"/>
            <w:vAlign w:val="center"/>
          </w:tcPr>
          <w:p w14:paraId="2D04D353">
            <w:pPr>
              <w:adjustRightInd w:val="0"/>
              <w:snapToGrid w:val="0"/>
              <w:spacing w:line="300" w:lineRule="exact"/>
              <w:jc w:val="center"/>
              <w:rPr>
                <w:rFonts w:hint="eastAsia" w:ascii="宋体" w:hAnsi="宋体" w:cs="宋体"/>
                <w:color w:val="000000" w:themeColor="text1"/>
                <w:kern w:val="0"/>
                <w:szCs w:val="21"/>
                <w14:textFill>
                  <w14:solidFill>
                    <w14:schemeClr w14:val="tx1"/>
                  </w14:solidFill>
                </w14:textFill>
              </w:rPr>
            </w:pPr>
          </w:p>
        </w:tc>
        <w:tc>
          <w:tcPr>
            <w:tcW w:w="852" w:type="pct"/>
            <w:vAlign w:val="center"/>
          </w:tcPr>
          <w:p w14:paraId="2D2BF32A">
            <w:pPr>
              <w:adjustRightInd w:val="0"/>
              <w:snapToGrid w:val="0"/>
              <w:spacing w:line="300" w:lineRule="exact"/>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西厂界</w:t>
            </w:r>
          </w:p>
        </w:tc>
        <w:tc>
          <w:tcPr>
            <w:tcW w:w="1536" w:type="pct"/>
            <w:vAlign w:val="center"/>
          </w:tcPr>
          <w:p w14:paraId="0A1C6E33">
            <w:pPr>
              <w:adjustRightInd w:val="0"/>
              <w:snapToGrid w:val="0"/>
              <w:spacing w:line="300" w:lineRule="exact"/>
              <w:jc w:val="center"/>
              <w:rPr>
                <w:rFonts w:hint="eastAsia" w:ascii="宋体" w:hAnsi="宋体" w:cs="宋体"/>
                <w:color w:val="000000" w:themeColor="text1"/>
                <w:kern w:val="0"/>
                <w:szCs w:val="21"/>
                <w14:textFill>
                  <w14:solidFill>
                    <w14:schemeClr w14:val="tx1"/>
                  </w14:solidFill>
                </w14:textFill>
              </w:rPr>
            </w:pPr>
          </w:p>
        </w:tc>
        <w:tc>
          <w:tcPr>
            <w:tcW w:w="1330" w:type="pct"/>
            <w:vAlign w:val="center"/>
          </w:tcPr>
          <w:p w14:paraId="7FBC4921">
            <w:pPr>
              <w:adjustRightInd w:val="0"/>
              <w:snapToGrid w:val="0"/>
              <w:spacing w:line="300" w:lineRule="exact"/>
              <w:jc w:val="center"/>
              <w:rPr>
                <w:rFonts w:hint="eastAsia" w:ascii="宋体" w:hAnsi="宋体" w:cs="宋体"/>
                <w:color w:val="000000" w:themeColor="text1"/>
                <w:kern w:val="0"/>
                <w:szCs w:val="21"/>
                <w14:textFill>
                  <w14:solidFill>
                    <w14:schemeClr w14:val="tx1"/>
                  </w14:solidFill>
                </w14:textFill>
              </w:rPr>
            </w:pPr>
          </w:p>
        </w:tc>
      </w:tr>
      <w:tr w14:paraId="5A0114C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cantSplit/>
          <w:trHeight w:val="340" w:hRule="atLeast"/>
          <w:jc w:val="center"/>
        </w:trPr>
        <w:tc>
          <w:tcPr>
            <w:tcW w:w="684" w:type="pct"/>
            <w:vAlign w:val="center"/>
          </w:tcPr>
          <w:p w14:paraId="5E22A5D7">
            <w:pPr>
              <w:widowControl/>
              <w:adjustRightInd w:val="0"/>
              <w:snapToGrid w:val="0"/>
              <w:spacing w:line="300" w:lineRule="exact"/>
              <w:jc w:val="center"/>
              <w:outlineLvl w:val="1"/>
              <w:rPr>
                <w:rFonts w:hint="eastAsia" w:ascii="宋体" w:hAnsi="宋体" w:cs="宋体"/>
                <w:color w:val="000000" w:themeColor="text1"/>
                <w:kern w:val="0"/>
                <w:szCs w:val="21"/>
                <w14:textFill>
                  <w14:solidFill>
                    <w14:schemeClr w14:val="tx1"/>
                  </w14:solidFill>
                </w14:textFill>
              </w:rPr>
            </w:pPr>
            <w:bookmarkStart w:id="408" w:name="_Toc208679651"/>
            <w:bookmarkStart w:id="409" w:name="_Toc216260253"/>
            <w:r>
              <w:rPr>
                <w:rFonts w:ascii="宋体" w:hAnsi="宋体" w:cs="宋体"/>
                <w:color w:val="000000" w:themeColor="text1"/>
                <w:kern w:val="0"/>
                <w:szCs w:val="21"/>
                <w14:textFill>
                  <w14:solidFill>
                    <w14:schemeClr w14:val="tx1"/>
                  </w14:solidFill>
                </w14:textFill>
              </w:rPr>
              <w:t>Z</w:t>
            </w:r>
            <w:r>
              <w:rPr>
                <w:rFonts w:hint="eastAsia" w:ascii="宋体" w:hAnsi="宋体" w:cs="宋体"/>
                <w:color w:val="000000" w:themeColor="text1"/>
                <w:kern w:val="0"/>
                <w:szCs w:val="21"/>
                <w14:textFill>
                  <w14:solidFill>
                    <w14:schemeClr w14:val="tx1"/>
                  </w14:solidFill>
                </w14:textFill>
              </w:rPr>
              <w:t>4</w:t>
            </w:r>
            <w:bookmarkEnd w:id="408"/>
            <w:bookmarkEnd w:id="409"/>
          </w:p>
        </w:tc>
        <w:tc>
          <w:tcPr>
            <w:tcW w:w="598" w:type="pct"/>
            <w:vMerge w:val="continue"/>
            <w:vAlign w:val="center"/>
          </w:tcPr>
          <w:p w14:paraId="72410C62">
            <w:pPr>
              <w:adjustRightInd w:val="0"/>
              <w:snapToGrid w:val="0"/>
              <w:spacing w:line="300" w:lineRule="exact"/>
              <w:jc w:val="center"/>
              <w:rPr>
                <w:rFonts w:hint="eastAsia" w:ascii="宋体" w:hAnsi="宋体" w:cs="宋体"/>
                <w:color w:val="000000" w:themeColor="text1"/>
                <w:kern w:val="0"/>
                <w:szCs w:val="21"/>
                <w14:textFill>
                  <w14:solidFill>
                    <w14:schemeClr w14:val="tx1"/>
                  </w14:solidFill>
                </w14:textFill>
              </w:rPr>
            </w:pPr>
          </w:p>
        </w:tc>
        <w:tc>
          <w:tcPr>
            <w:tcW w:w="852" w:type="pct"/>
            <w:vAlign w:val="center"/>
          </w:tcPr>
          <w:p w14:paraId="4484FF4A">
            <w:pPr>
              <w:adjustRightInd w:val="0"/>
              <w:snapToGrid w:val="0"/>
              <w:spacing w:line="300" w:lineRule="exact"/>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北厂界</w:t>
            </w:r>
          </w:p>
        </w:tc>
        <w:tc>
          <w:tcPr>
            <w:tcW w:w="1536" w:type="pct"/>
            <w:vAlign w:val="center"/>
          </w:tcPr>
          <w:p w14:paraId="3D42A51B">
            <w:pPr>
              <w:adjustRightInd w:val="0"/>
              <w:snapToGrid w:val="0"/>
              <w:spacing w:line="300" w:lineRule="exact"/>
              <w:jc w:val="center"/>
              <w:rPr>
                <w:rFonts w:hint="eastAsia" w:ascii="宋体" w:hAnsi="宋体" w:cs="宋体"/>
                <w:color w:val="000000" w:themeColor="text1"/>
                <w:kern w:val="0"/>
                <w:szCs w:val="21"/>
                <w14:textFill>
                  <w14:solidFill>
                    <w14:schemeClr w14:val="tx1"/>
                  </w14:solidFill>
                </w14:textFill>
              </w:rPr>
            </w:pPr>
          </w:p>
        </w:tc>
        <w:tc>
          <w:tcPr>
            <w:tcW w:w="1330" w:type="pct"/>
            <w:vAlign w:val="center"/>
          </w:tcPr>
          <w:p w14:paraId="40C4D3E0">
            <w:pPr>
              <w:adjustRightInd w:val="0"/>
              <w:snapToGrid w:val="0"/>
              <w:spacing w:line="300" w:lineRule="exact"/>
              <w:jc w:val="center"/>
              <w:rPr>
                <w:rFonts w:hint="eastAsia" w:ascii="宋体" w:hAnsi="宋体" w:cs="宋体"/>
                <w:color w:val="000000" w:themeColor="text1"/>
                <w:kern w:val="0"/>
                <w:szCs w:val="21"/>
                <w14:textFill>
                  <w14:solidFill>
                    <w14:schemeClr w14:val="tx1"/>
                  </w14:solidFill>
                </w14:textFill>
              </w:rPr>
            </w:pPr>
          </w:p>
        </w:tc>
      </w:tr>
      <w:tr w14:paraId="7B6114E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cantSplit/>
          <w:trHeight w:val="340" w:hRule="atLeast"/>
          <w:jc w:val="center"/>
        </w:trPr>
        <w:tc>
          <w:tcPr>
            <w:tcW w:w="684" w:type="pct"/>
            <w:vAlign w:val="center"/>
          </w:tcPr>
          <w:p w14:paraId="76865541">
            <w:pPr>
              <w:adjustRightInd w:val="0"/>
              <w:snapToGrid w:val="0"/>
              <w:spacing w:line="300" w:lineRule="exact"/>
              <w:jc w:val="center"/>
              <w:rPr>
                <w:rFonts w:hint="eastAsia"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Cs w:val="21"/>
                <w14:textFill>
                  <w14:solidFill>
                    <w14:schemeClr w14:val="tx1"/>
                  </w14:solidFill>
                </w14:textFill>
              </w:rPr>
              <w:t>Z5</w:t>
            </w:r>
          </w:p>
        </w:tc>
        <w:tc>
          <w:tcPr>
            <w:tcW w:w="598" w:type="pct"/>
            <w:vMerge w:val="restart"/>
            <w:vAlign w:val="center"/>
          </w:tcPr>
          <w:p w14:paraId="1A818558">
            <w:pPr>
              <w:adjustRightInd w:val="0"/>
              <w:snapToGrid w:val="0"/>
              <w:spacing w:line="300" w:lineRule="exact"/>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bCs/>
                <w:color w:val="000000" w:themeColor="text1"/>
                <w:szCs w:val="21"/>
                <w14:textFill>
                  <w14:solidFill>
                    <w14:schemeClr w14:val="tx1"/>
                  </w14:solidFill>
                </w14:textFill>
              </w:rPr>
              <w:t>JHW035</w:t>
            </w:r>
          </w:p>
        </w:tc>
        <w:tc>
          <w:tcPr>
            <w:tcW w:w="852" w:type="pct"/>
            <w:vAlign w:val="center"/>
          </w:tcPr>
          <w:p w14:paraId="75E535A4">
            <w:pPr>
              <w:adjustRightInd w:val="0"/>
              <w:snapToGrid w:val="0"/>
              <w:spacing w:line="300" w:lineRule="exact"/>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东厂界</w:t>
            </w:r>
          </w:p>
        </w:tc>
        <w:tc>
          <w:tcPr>
            <w:tcW w:w="1536" w:type="pct"/>
            <w:vAlign w:val="center"/>
          </w:tcPr>
          <w:p w14:paraId="7547C904">
            <w:pPr>
              <w:adjustRightInd w:val="0"/>
              <w:snapToGrid w:val="0"/>
              <w:spacing w:line="300" w:lineRule="exact"/>
              <w:jc w:val="center"/>
              <w:rPr>
                <w:rFonts w:hint="eastAsia" w:ascii="宋体" w:hAnsi="宋体" w:cs="宋体"/>
                <w:color w:val="000000" w:themeColor="text1"/>
                <w:kern w:val="0"/>
                <w:szCs w:val="21"/>
                <w14:textFill>
                  <w14:solidFill>
                    <w14:schemeClr w14:val="tx1"/>
                  </w14:solidFill>
                </w14:textFill>
              </w:rPr>
            </w:pPr>
          </w:p>
        </w:tc>
        <w:tc>
          <w:tcPr>
            <w:tcW w:w="1330" w:type="pct"/>
            <w:vAlign w:val="center"/>
          </w:tcPr>
          <w:p w14:paraId="5DF782C8">
            <w:pPr>
              <w:adjustRightInd w:val="0"/>
              <w:snapToGrid w:val="0"/>
              <w:spacing w:line="300" w:lineRule="exact"/>
              <w:jc w:val="center"/>
              <w:rPr>
                <w:rFonts w:hint="eastAsia" w:ascii="宋体" w:hAnsi="宋体" w:cs="宋体"/>
                <w:color w:val="000000" w:themeColor="text1"/>
                <w:kern w:val="0"/>
                <w:szCs w:val="21"/>
                <w14:textFill>
                  <w14:solidFill>
                    <w14:schemeClr w14:val="tx1"/>
                  </w14:solidFill>
                </w14:textFill>
              </w:rPr>
            </w:pPr>
          </w:p>
        </w:tc>
      </w:tr>
      <w:tr w14:paraId="2AC530B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cantSplit/>
          <w:trHeight w:val="340" w:hRule="atLeast"/>
          <w:jc w:val="center"/>
        </w:trPr>
        <w:tc>
          <w:tcPr>
            <w:tcW w:w="684" w:type="pct"/>
            <w:vAlign w:val="center"/>
          </w:tcPr>
          <w:p w14:paraId="566B2753">
            <w:pPr>
              <w:adjustRightInd w:val="0"/>
              <w:snapToGrid w:val="0"/>
              <w:spacing w:line="300" w:lineRule="exact"/>
              <w:jc w:val="center"/>
              <w:rPr>
                <w:rFonts w:hint="eastAsia"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Cs w:val="21"/>
                <w14:textFill>
                  <w14:solidFill>
                    <w14:schemeClr w14:val="tx1"/>
                  </w14:solidFill>
                </w14:textFill>
              </w:rPr>
              <w:t>Z6</w:t>
            </w:r>
          </w:p>
        </w:tc>
        <w:tc>
          <w:tcPr>
            <w:tcW w:w="598" w:type="pct"/>
            <w:vMerge w:val="continue"/>
            <w:vAlign w:val="center"/>
          </w:tcPr>
          <w:p w14:paraId="67D0737E">
            <w:pPr>
              <w:adjustRightInd w:val="0"/>
              <w:snapToGrid w:val="0"/>
              <w:spacing w:line="300" w:lineRule="exact"/>
              <w:jc w:val="center"/>
              <w:rPr>
                <w:rFonts w:hint="eastAsia" w:ascii="宋体" w:hAnsi="宋体" w:cs="宋体"/>
                <w:color w:val="000000" w:themeColor="text1"/>
                <w:kern w:val="0"/>
                <w:szCs w:val="21"/>
                <w14:textFill>
                  <w14:solidFill>
                    <w14:schemeClr w14:val="tx1"/>
                  </w14:solidFill>
                </w14:textFill>
              </w:rPr>
            </w:pPr>
          </w:p>
        </w:tc>
        <w:tc>
          <w:tcPr>
            <w:tcW w:w="852" w:type="pct"/>
            <w:vAlign w:val="center"/>
          </w:tcPr>
          <w:p w14:paraId="42EB8888">
            <w:pPr>
              <w:adjustRightInd w:val="0"/>
              <w:snapToGrid w:val="0"/>
              <w:spacing w:line="300" w:lineRule="exact"/>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南厂界</w:t>
            </w:r>
          </w:p>
        </w:tc>
        <w:tc>
          <w:tcPr>
            <w:tcW w:w="1536" w:type="pct"/>
            <w:vAlign w:val="center"/>
          </w:tcPr>
          <w:p w14:paraId="60E1A87D">
            <w:pPr>
              <w:adjustRightInd w:val="0"/>
              <w:snapToGrid w:val="0"/>
              <w:spacing w:line="300" w:lineRule="exact"/>
              <w:jc w:val="center"/>
              <w:rPr>
                <w:rFonts w:hint="eastAsia" w:ascii="宋体" w:hAnsi="宋体" w:cs="宋体"/>
                <w:color w:val="000000" w:themeColor="text1"/>
                <w:kern w:val="0"/>
                <w:szCs w:val="21"/>
                <w14:textFill>
                  <w14:solidFill>
                    <w14:schemeClr w14:val="tx1"/>
                  </w14:solidFill>
                </w14:textFill>
              </w:rPr>
            </w:pPr>
          </w:p>
        </w:tc>
        <w:tc>
          <w:tcPr>
            <w:tcW w:w="1330" w:type="pct"/>
            <w:vAlign w:val="center"/>
          </w:tcPr>
          <w:p w14:paraId="4C09B081">
            <w:pPr>
              <w:adjustRightInd w:val="0"/>
              <w:snapToGrid w:val="0"/>
              <w:spacing w:line="300" w:lineRule="exact"/>
              <w:jc w:val="center"/>
              <w:rPr>
                <w:rFonts w:hint="eastAsia" w:ascii="宋体" w:hAnsi="宋体" w:cs="宋体"/>
                <w:color w:val="000000" w:themeColor="text1"/>
                <w:kern w:val="0"/>
                <w:szCs w:val="21"/>
                <w14:textFill>
                  <w14:solidFill>
                    <w14:schemeClr w14:val="tx1"/>
                  </w14:solidFill>
                </w14:textFill>
              </w:rPr>
            </w:pPr>
          </w:p>
        </w:tc>
      </w:tr>
      <w:tr w14:paraId="48FD83E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cantSplit/>
          <w:trHeight w:val="340" w:hRule="atLeast"/>
          <w:jc w:val="center"/>
        </w:trPr>
        <w:tc>
          <w:tcPr>
            <w:tcW w:w="684" w:type="pct"/>
            <w:vAlign w:val="center"/>
          </w:tcPr>
          <w:p w14:paraId="69E99206">
            <w:pPr>
              <w:adjustRightInd w:val="0"/>
              <w:snapToGrid w:val="0"/>
              <w:spacing w:line="300" w:lineRule="exact"/>
              <w:jc w:val="center"/>
              <w:rPr>
                <w:rFonts w:hint="eastAsia"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Cs w:val="21"/>
                <w14:textFill>
                  <w14:solidFill>
                    <w14:schemeClr w14:val="tx1"/>
                  </w14:solidFill>
                </w14:textFill>
              </w:rPr>
              <w:t>Z7</w:t>
            </w:r>
          </w:p>
        </w:tc>
        <w:tc>
          <w:tcPr>
            <w:tcW w:w="598" w:type="pct"/>
            <w:vMerge w:val="continue"/>
            <w:vAlign w:val="center"/>
          </w:tcPr>
          <w:p w14:paraId="4093D1F6">
            <w:pPr>
              <w:adjustRightInd w:val="0"/>
              <w:snapToGrid w:val="0"/>
              <w:spacing w:line="300" w:lineRule="exact"/>
              <w:jc w:val="center"/>
              <w:rPr>
                <w:rFonts w:hint="eastAsia" w:ascii="宋体" w:hAnsi="宋体" w:cs="宋体"/>
                <w:color w:val="000000" w:themeColor="text1"/>
                <w:kern w:val="0"/>
                <w:szCs w:val="21"/>
                <w14:textFill>
                  <w14:solidFill>
                    <w14:schemeClr w14:val="tx1"/>
                  </w14:solidFill>
                </w14:textFill>
              </w:rPr>
            </w:pPr>
          </w:p>
        </w:tc>
        <w:tc>
          <w:tcPr>
            <w:tcW w:w="852" w:type="pct"/>
            <w:vAlign w:val="center"/>
          </w:tcPr>
          <w:p w14:paraId="01EAA5C9">
            <w:pPr>
              <w:adjustRightInd w:val="0"/>
              <w:snapToGrid w:val="0"/>
              <w:spacing w:line="300" w:lineRule="exact"/>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西厂界</w:t>
            </w:r>
          </w:p>
        </w:tc>
        <w:tc>
          <w:tcPr>
            <w:tcW w:w="1536" w:type="pct"/>
            <w:vAlign w:val="center"/>
          </w:tcPr>
          <w:p w14:paraId="21E6B436">
            <w:pPr>
              <w:adjustRightInd w:val="0"/>
              <w:snapToGrid w:val="0"/>
              <w:spacing w:line="300" w:lineRule="exact"/>
              <w:jc w:val="center"/>
              <w:rPr>
                <w:rFonts w:hint="eastAsia" w:ascii="宋体" w:hAnsi="宋体" w:cs="宋体"/>
                <w:color w:val="000000" w:themeColor="text1"/>
                <w:kern w:val="0"/>
                <w:szCs w:val="21"/>
                <w14:textFill>
                  <w14:solidFill>
                    <w14:schemeClr w14:val="tx1"/>
                  </w14:solidFill>
                </w14:textFill>
              </w:rPr>
            </w:pPr>
          </w:p>
        </w:tc>
        <w:tc>
          <w:tcPr>
            <w:tcW w:w="1330" w:type="pct"/>
            <w:vAlign w:val="center"/>
          </w:tcPr>
          <w:p w14:paraId="2A9C4B32">
            <w:pPr>
              <w:adjustRightInd w:val="0"/>
              <w:snapToGrid w:val="0"/>
              <w:spacing w:line="300" w:lineRule="exact"/>
              <w:jc w:val="center"/>
              <w:rPr>
                <w:rFonts w:hint="eastAsia" w:ascii="宋体" w:hAnsi="宋体" w:cs="宋体"/>
                <w:color w:val="000000" w:themeColor="text1"/>
                <w:kern w:val="0"/>
                <w:szCs w:val="21"/>
                <w14:textFill>
                  <w14:solidFill>
                    <w14:schemeClr w14:val="tx1"/>
                  </w14:solidFill>
                </w14:textFill>
              </w:rPr>
            </w:pPr>
          </w:p>
        </w:tc>
      </w:tr>
      <w:tr w14:paraId="7D212FF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cantSplit/>
          <w:trHeight w:val="340" w:hRule="atLeast"/>
          <w:jc w:val="center"/>
        </w:trPr>
        <w:tc>
          <w:tcPr>
            <w:tcW w:w="684" w:type="pct"/>
            <w:vAlign w:val="center"/>
          </w:tcPr>
          <w:p w14:paraId="40B9D403">
            <w:pPr>
              <w:adjustRightInd w:val="0"/>
              <w:snapToGrid w:val="0"/>
              <w:spacing w:line="300" w:lineRule="exact"/>
              <w:jc w:val="center"/>
              <w:rPr>
                <w:rFonts w:hint="eastAsia"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Cs w:val="21"/>
                <w14:textFill>
                  <w14:solidFill>
                    <w14:schemeClr w14:val="tx1"/>
                  </w14:solidFill>
                </w14:textFill>
              </w:rPr>
              <w:t>Z</w:t>
            </w:r>
            <w:r>
              <w:rPr>
                <w:rFonts w:hint="eastAsia" w:ascii="宋体" w:hAnsi="宋体" w:cs="宋体"/>
                <w:color w:val="000000" w:themeColor="text1"/>
                <w:kern w:val="0"/>
                <w:szCs w:val="21"/>
                <w14:textFill>
                  <w14:solidFill>
                    <w14:schemeClr w14:val="tx1"/>
                  </w14:solidFill>
                </w14:textFill>
              </w:rPr>
              <w:t>8</w:t>
            </w:r>
          </w:p>
        </w:tc>
        <w:tc>
          <w:tcPr>
            <w:tcW w:w="598" w:type="pct"/>
            <w:vMerge w:val="continue"/>
            <w:vAlign w:val="center"/>
          </w:tcPr>
          <w:p w14:paraId="34075F8A">
            <w:pPr>
              <w:adjustRightInd w:val="0"/>
              <w:snapToGrid w:val="0"/>
              <w:spacing w:line="300" w:lineRule="exact"/>
              <w:jc w:val="center"/>
              <w:rPr>
                <w:rFonts w:hint="eastAsia" w:ascii="宋体" w:hAnsi="宋体" w:cs="宋体"/>
                <w:color w:val="000000" w:themeColor="text1"/>
                <w:kern w:val="0"/>
                <w:szCs w:val="21"/>
                <w14:textFill>
                  <w14:solidFill>
                    <w14:schemeClr w14:val="tx1"/>
                  </w14:solidFill>
                </w14:textFill>
              </w:rPr>
            </w:pPr>
          </w:p>
        </w:tc>
        <w:tc>
          <w:tcPr>
            <w:tcW w:w="852" w:type="pct"/>
            <w:vAlign w:val="center"/>
          </w:tcPr>
          <w:p w14:paraId="19E912EB">
            <w:pPr>
              <w:adjustRightInd w:val="0"/>
              <w:snapToGrid w:val="0"/>
              <w:spacing w:line="300" w:lineRule="exact"/>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北厂界</w:t>
            </w:r>
          </w:p>
        </w:tc>
        <w:tc>
          <w:tcPr>
            <w:tcW w:w="1536" w:type="pct"/>
            <w:vAlign w:val="center"/>
          </w:tcPr>
          <w:p w14:paraId="1D87766C">
            <w:pPr>
              <w:adjustRightInd w:val="0"/>
              <w:snapToGrid w:val="0"/>
              <w:spacing w:line="300" w:lineRule="exact"/>
              <w:jc w:val="center"/>
              <w:rPr>
                <w:rFonts w:hint="eastAsia" w:ascii="宋体" w:hAnsi="宋体" w:cs="宋体"/>
                <w:color w:val="000000" w:themeColor="text1"/>
                <w:kern w:val="0"/>
                <w:szCs w:val="21"/>
                <w14:textFill>
                  <w14:solidFill>
                    <w14:schemeClr w14:val="tx1"/>
                  </w14:solidFill>
                </w14:textFill>
              </w:rPr>
            </w:pPr>
          </w:p>
        </w:tc>
        <w:tc>
          <w:tcPr>
            <w:tcW w:w="1330" w:type="pct"/>
            <w:vAlign w:val="center"/>
          </w:tcPr>
          <w:p w14:paraId="70D6D7C9">
            <w:pPr>
              <w:adjustRightInd w:val="0"/>
              <w:snapToGrid w:val="0"/>
              <w:spacing w:line="300" w:lineRule="exact"/>
              <w:jc w:val="center"/>
              <w:rPr>
                <w:rFonts w:hint="eastAsia" w:ascii="宋体" w:hAnsi="宋体" w:cs="宋体"/>
                <w:color w:val="000000" w:themeColor="text1"/>
                <w:kern w:val="0"/>
                <w:szCs w:val="21"/>
                <w14:textFill>
                  <w14:solidFill>
                    <w14:schemeClr w14:val="tx1"/>
                  </w14:solidFill>
                </w14:textFill>
              </w:rPr>
            </w:pPr>
          </w:p>
        </w:tc>
      </w:tr>
      <w:tr w14:paraId="4BA19FC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cantSplit/>
          <w:trHeight w:val="340" w:hRule="atLeast"/>
          <w:jc w:val="center"/>
        </w:trPr>
        <w:tc>
          <w:tcPr>
            <w:tcW w:w="684" w:type="pct"/>
            <w:vAlign w:val="center"/>
          </w:tcPr>
          <w:p w14:paraId="7D39A03E">
            <w:pPr>
              <w:adjustRightInd w:val="0"/>
              <w:snapToGrid w:val="0"/>
              <w:spacing w:line="300" w:lineRule="exact"/>
              <w:jc w:val="center"/>
              <w:rPr>
                <w:rFonts w:hint="eastAsia"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Cs w:val="21"/>
                <w14:textFill>
                  <w14:solidFill>
                    <w14:schemeClr w14:val="tx1"/>
                  </w14:solidFill>
                </w14:textFill>
              </w:rPr>
              <w:t>Z</w:t>
            </w:r>
            <w:r>
              <w:rPr>
                <w:rFonts w:hint="eastAsia" w:ascii="宋体" w:hAnsi="宋体" w:cs="宋体"/>
                <w:color w:val="000000" w:themeColor="text1"/>
                <w:kern w:val="0"/>
                <w:szCs w:val="21"/>
                <w14:textFill>
                  <w14:solidFill>
                    <w14:schemeClr w14:val="tx1"/>
                  </w14:solidFill>
                </w14:textFill>
              </w:rPr>
              <w:t>9</w:t>
            </w:r>
          </w:p>
        </w:tc>
        <w:tc>
          <w:tcPr>
            <w:tcW w:w="598" w:type="pct"/>
            <w:vMerge w:val="restart"/>
            <w:vAlign w:val="center"/>
          </w:tcPr>
          <w:p w14:paraId="26C56D6D">
            <w:pPr>
              <w:adjustRightInd w:val="0"/>
              <w:snapToGrid w:val="0"/>
              <w:spacing w:line="300" w:lineRule="exact"/>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bCs/>
                <w:color w:val="000000" w:themeColor="text1"/>
                <w:szCs w:val="21"/>
                <w14:textFill>
                  <w14:solidFill>
                    <w14:schemeClr w14:val="tx1"/>
                  </w14:solidFill>
                </w14:textFill>
              </w:rPr>
              <w:t>JHW034</w:t>
            </w:r>
          </w:p>
        </w:tc>
        <w:tc>
          <w:tcPr>
            <w:tcW w:w="852" w:type="pct"/>
            <w:vAlign w:val="center"/>
          </w:tcPr>
          <w:p w14:paraId="7F03AEA8">
            <w:pPr>
              <w:adjustRightInd w:val="0"/>
              <w:snapToGrid w:val="0"/>
              <w:spacing w:line="300" w:lineRule="exact"/>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东厂界</w:t>
            </w:r>
          </w:p>
        </w:tc>
        <w:tc>
          <w:tcPr>
            <w:tcW w:w="1536" w:type="pct"/>
            <w:vAlign w:val="center"/>
          </w:tcPr>
          <w:p w14:paraId="4B506ED9">
            <w:pPr>
              <w:adjustRightInd w:val="0"/>
              <w:snapToGrid w:val="0"/>
              <w:spacing w:line="300" w:lineRule="exact"/>
              <w:jc w:val="center"/>
              <w:rPr>
                <w:rFonts w:hint="eastAsia" w:ascii="宋体" w:hAnsi="宋体" w:cs="宋体"/>
                <w:color w:val="000000" w:themeColor="text1"/>
                <w:kern w:val="0"/>
                <w:szCs w:val="21"/>
                <w14:textFill>
                  <w14:solidFill>
                    <w14:schemeClr w14:val="tx1"/>
                  </w14:solidFill>
                </w14:textFill>
              </w:rPr>
            </w:pPr>
          </w:p>
        </w:tc>
        <w:tc>
          <w:tcPr>
            <w:tcW w:w="1330" w:type="pct"/>
            <w:vAlign w:val="center"/>
          </w:tcPr>
          <w:p w14:paraId="67B95292">
            <w:pPr>
              <w:adjustRightInd w:val="0"/>
              <w:snapToGrid w:val="0"/>
              <w:spacing w:line="300" w:lineRule="exact"/>
              <w:jc w:val="center"/>
              <w:rPr>
                <w:rFonts w:hint="eastAsia" w:ascii="宋体" w:hAnsi="宋体" w:cs="宋体"/>
                <w:color w:val="000000" w:themeColor="text1"/>
                <w:kern w:val="0"/>
                <w:szCs w:val="21"/>
                <w14:textFill>
                  <w14:solidFill>
                    <w14:schemeClr w14:val="tx1"/>
                  </w14:solidFill>
                </w14:textFill>
              </w:rPr>
            </w:pPr>
          </w:p>
        </w:tc>
      </w:tr>
      <w:tr w14:paraId="398E49A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cantSplit/>
          <w:trHeight w:val="340" w:hRule="atLeast"/>
          <w:jc w:val="center"/>
        </w:trPr>
        <w:tc>
          <w:tcPr>
            <w:tcW w:w="684" w:type="pct"/>
            <w:vAlign w:val="center"/>
          </w:tcPr>
          <w:p w14:paraId="127B6EFC">
            <w:pPr>
              <w:adjustRightInd w:val="0"/>
              <w:snapToGrid w:val="0"/>
              <w:spacing w:line="300" w:lineRule="exact"/>
              <w:jc w:val="center"/>
              <w:rPr>
                <w:rFonts w:hint="eastAsia"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Cs w:val="21"/>
                <w14:textFill>
                  <w14:solidFill>
                    <w14:schemeClr w14:val="tx1"/>
                  </w14:solidFill>
                </w14:textFill>
              </w:rPr>
              <w:t>Z</w:t>
            </w:r>
            <w:r>
              <w:rPr>
                <w:rFonts w:hint="eastAsia" w:ascii="宋体" w:hAnsi="宋体" w:cs="宋体"/>
                <w:color w:val="000000" w:themeColor="text1"/>
                <w:kern w:val="0"/>
                <w:szCs w:val="21"/>
                <w14:textFill>
                  <w14:solidFill>
                    <w14:schemeClr w14:val="tx1"/>
                  </w14:solidFill>
                </w14:textFill>
              </w:rPr>
              <w:t>10</w:t>
            </w:r>
          </w:p>
        </w:tc>
        <w:tc>
          <w:tcPr>
            <w:tcW w:w="598" w:type="pct"/>
            <w:vMerge w:val="continue"/>
            <w:vAlign w:val="center"/>
          </w:tcPr>
          <w:p w14:paraId="245D7D49">
            <w:pPr>
              <w:adjustRightInd w:val="0"/>
              <w:snapToGrid w:val="0"/>
              <w:spacing w:line="300" w:lineRule="exact"/>
              <w:jc w:val="center"/>
              <w:rPr>
                <w:rFonts w:hint="eastAsia" w:ascii="宋体" w:hAnsi="宋体" w:cs="宋体"/>
                <w:color w:val="000000" w:themeColor="text1"/>
                <w:kern w:val="0"/>
                <w:szCs w:val="21"/>
                <w14:textFill>
                  <w14:solidFill>
                    <w14:schemeClr w14:val="tx1"/>
                  </w14:solidFill>
                </w14:textFill>
              </w:rPr>
            </w:pPr>
          </w:p>
        </w:tc>
        <w:tc>
          <w:tcPr>
            <w:tcW w:w="852" w:type="pct"/>
            <w:vAlign w:val="center"/>
          </w:tcPr>
          <w:p w14:paraId="319C14CA">
            <w:pPr>
              <w:adjustRightInd w:val="0"/>
              <w:snapToGrid w:val="0"/>
              <w:spacing w:line="300" w:lineRule="exact"/>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南厂界</w:t>
            </w:r>
          </w:p>
        </w:tc>
        <w:tc>
          <w:tcPr>
            <w:tcW w:w="1536" w:type="pct"/>
            <w:vAlign w:val="center"/>
          </w:tcPr>
          <w:p w14:paraId="4BD656DC">
            <w:pPr>
              <w:adjustRightInd w:val="0"/>
              <w:snapToGrid w:val="0"/>
              <w:spacing w:line="300" w:lineRule="exact"/>
              <w:jc w:val="center"/>
              <w:rPr>
                <w:rFonts w:hint="eastAsia" w:ascii="宋体" w:hAnsi="宋体" w:cs="宋体"/>
                <w:color w:val="000000" w:themeColor="text1"/>
                <w:kern w:val="0"/>
                <w:szCs w:val="21"/>
                <w14:textFill>
                  <w14:solidFill>
                    <w14:schemeClr w14:val="tx1"/>
                  </w14:solidFill>
                </w14:textFill>
              </w:rPr>
            </w:pPr>
          </w:p>
        </w:tc>
        <w:tc>
          <w:tcPr>
            <w:tcW w:w="1330" w:type="pct"/>
            <w:vAlign w:val="center"/>
          </w:tcPr>
          <w:p w14:paraId="78CF08B7">
            <w:pPr>
              <w:adjustRightInd w:val="0"/>
              <w:snapToGrid w:val="0"/>
              <w:spacing w:line="300" w:lineRule="exact"/>
              <w:jc w:val="center"/>
              <w:rPr>
                <w:rFonts w:hint="eastAsia" w:ascii="宋体" w:hAnsi="宋体" w:cs="宋体"/>
                <w:color w:val="000000" w:themeColor="text1"/>
                <w:kern w:val="0"/>
                <w:szCs w:val="21"/>
                <w14:textFill>
                  <w14:solidFill>
                    <w14:schemeClr w14:val="tx1"/>
                  </w14:solidFill>
                </w14:textFill>
              </w:rPr>
            </w:pPr>
          </w:p>
        </w:tc>
      </w:tr>
      <w:tr w14:paraId="358826A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cantSplit/>
          <w:trHeight w:val="340" w:hRule="atLeast"/>
          <w:jc w:val="center"/>
        </w:trPr>
        <w:tc>
          <w:tcPr>
            <w:tcW w:w="684" w:type="pct"/>
            <w:vAlign w:val="center"/>
          </w:tcPr>
          <w:p w14:paraId="22AD0242">
            <w:pPr>
              <w:adjustRightInd w:val="0"/>
              <w:snapToGrid w:val="0"/>
              <w:spacing w:line="300" w:lineRule="exact"/>
              <w:jc w:val="center"/>
              <w:rPr>
                <w:rFonts w:hint="eastAsia"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Cs w:val="21"/>
                <w14:textFill>
                  <w14:solidFill>
                    <w14:schemeClr w14:val="tx1"/>
                  </w14:solidFill>
                </w14:textFill>
              </w:rPr>
              <w:t>Z</w:t>
            </w:r>
            <w:r>
              <w:rPr>
                <w:rFonts w:hint="eastAsia" w:ascii="宋体" w:hAnsi="宋体" w:cs="宋体"/>
                <w:color w:val="000000" w:themeColor="text1"/>
                <w:kern w:val="0"/>
                <w:szCs w:val="21"/>
                <w14:textFill>
                  <w14:solidFill>
                    <w14:schemeClr w14:val="tx1"/>
                  </w14:solidFill>
                </w14:textFill>
              </w:rPr>
              <w:t>11</w:t>
            </w:r>
          </w:p>
        </w:tc>
        <w:tc>
          <w:tcPr>
            <w:tcW w:w="598" w:type="pct"/>
            <w:vMerge w:val="continue"/>
            <w:vAlign w:val="center"/>
          </w:tcPr>
          <w:p w14:paraId="623C6F59">
            <w:pPr>
              <w:adjustRightInd w:val="0"/>
              <w:snapToGrid w:val="0"/>
              <w:spacing w:line="300" w:lineRule="exact"/>
              <w:jc w:val="center"/>
              <w:rPr>
                <w:rFonts w:hint="eastAsia" w:ascii="宋体" w:hAnsi="宋体" w:cs="宋体"/>
                <w:color w:val="000000" w:themeColor="text1"/>
                <w:kern w:val="0"/>
                <w:szCs w:val="21"/>
                <w14:textFill>
                  <w14:solidFill>
                    <w14:schemeClr w14:val="tx1"/>
                  </w14:solidFill>
                </w14:textFill>
              </w:rPr>
            </w:pPr>
          </w:p>
        </w:tc>
        <w:tc>
          <w:tcPr>
            <w:tcW w:w="852" w:type="pct"/>
            <w:vAlign w:val="center"/>
          </w:tcPr>
          <w:p w14:paraId="43888D36">
            <w:pPr>
              <w:adjustRightInd w:val="0"/>
              <w:snapToGrid w:val="0"/>
              <w:spacing w:line="300" w:lineRule="exact"/>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西厂界</w:t>
            </w:r>
          </w:p>
        </w:tc>
        <w:tc>
          <w:tcPr>
            <w:tcW w:w="1536" w:type="pct"/>
            <w:vAlign w:val="center"/>
          </w:tcPr>
          <w:p w14:paraId="689E2F53">
            <w:pPr>
              <w:adjustRightInd w:val="0"/>
              <w:snapToGrid w:val="0"/>
              <w:spacing w:line="300" w:lineRule="exact"/>
              <w:jc w:val="center"/>
              <w:rPr>
                <w:rFonts w:hint="eastAsia" w:ascii="宋体" w:hAnsi="宋体" w:cs="宋体"/>
                <w:color w:val="000000" w:themeColor="text1"/>
                <w:kern w:val="0"/>
                <w:szCs w:val="21"/>
                <w14:textFill>
                  <w14:solidFill>
                    <w14:schemeClr w14:val="tx1"/>
                  </w14:solidFill>
                </w14:textFill>
              </w:rPr>
            </w:pPr>
          </w:p>
        </w:tc>
        <w:tc>
          <w:tcPr>
            <w:tcW w:w="1330" w:type="pct"/>
            <w:vAlign w:val="center"/>
          </w:tcPr>
          <w:p w14:paraId="178A73C6">
            <w:pPr>
              <w:adjustRightInd w:val="0"/>
              <w:snapToGrid w:val="0"/>
              <w:spacing w:line="300" w:lineRule="exact"/>
              <w:jc w:val="center"/>
              <w:rPr>
                <w:rFonts w:hint="eastAsia" w:ascii="宋体" w:hAnsi="宋体" w:cs="宋体"/>
                <w:color w:val="000000" w:themeColor="text1"/>
                <w:kern w:val="0"/>
                <w:szCs w:val="21"/>
                <w14:textFill>
                  <w14:solidFill>
                    <w14:schemeClr w14:val="tx1"/>
                  </w14:solidFill>
                </w14:textFill>
              </w:rPr>
            </w:pPr>
          </w:p>
        </w:tc>
      </w:tr>
      <w:tr w14:paraId="4A9988F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cantSplit/>
          <w:trHeight w:val="340" w:hRule="atLeast"/>
          <w:jc w:val="center"/>
        </w:trPr>
        <w:tc>
          <w:tcPr>
            <w:tcW w:w="684" w:type="pct"/>
            <w:vAlign w:val="center"/>
          </w:tcPr>
          <w:p w14:paraId="433ED511">
            <w:pPr>
              <w:widowControl/>
              <w:adjustRightInd w:val="0"/>
              <w:snapToGrid w:val="0"/>
              <w:spacing w:line="300" w:lineRule="exact"/>
              <w:jc w:val="center"/>
              <w:outlineLvl w:val="1"/>
              <w:rPr>
                <w:rFonts w:hint="eastAsia" w:ascii="宋体" w:hAnsi="宋体" w:cs="宋体"/>
                <w:color w:val="000000" w:themeColor="text1"/>
                <w:kern w:val="0"/>
                <w:szCs w:val="21"/>
                <w14:textFill>
                  <w14:solidFill>
                    <w14:schemeClr w14:val="tx1"/>
                  </w14:solidFill>
                </w14:textFill>
              </w:rPr>
            </w:pPr>
            <w:bookmarkStart w:id="410" w:name="_Toc208679652"/>
            <w:bookmarkStart w:id="411" w:name="_Toc216260254"/>
            <w:r>
              <w:rPr>
                <w:rFonts w:ascii="宋体" w:hAnsi="宋体" w:cs="宋体"/>
                <w:color w:val="000000" w:themeColor="text1"/>
                <w:kern w:val="0"/>
                <w:szCs w:val="21"/>
                <w14:textFill>
                  <w14:solidFill>
                    <w14:schemeClr w14:val="tx1"/>
                  </w14:solidFill>
                </w14:textFill>
              </w:rPr>
              <w:t>Z</w:t>
            </w:r>
            <w:r>
              <w:rPr>
                <w:rFonts w:hint="eastAsia" w:ascii="宋体" w:hAnsi="宋体" w:cs="宋体"/>
                <w:color w:val="000000" w:themeColor="text1"/>
                <w:kern w:val="0"/>
                <w:szCs w:val="21"/>
                <w14:textFill>
                  <w14:solidFill>
                    <w14:schemeClr w14:val="tx1"/>
                  </w14:solidFill>
                </w14:textFill>
              </w:rPr>
              <w:t>12</w:t>
            </w:r>
            <w:bookmarkEnd w:id="410"/>
            <w:bookmarkEnd w:id="411"/>
          </w:p>
        </w:tc>
        <w:tc>
          <w:tcPr>
            <w:tcW w:w="598" w:type="pct"/>
            <w:vMerge w:val="continue"/>
            <w:vAlign w:val="center"/>
          </w:tcPr>
          <w:p w14:paraId="5C80BA33">
            <w:pPr>
              <w:adjustRightInd w:val="0"/>
              <w:snapToGrid w:val="0"/>
              <w:spacing w:line="300" w:lineRule="exact"/>
              <w:jc w:val="center"/>
              <w:rPr>
                <w:rFonts w:hint="eastAsia" w:ascii="宋体" w:hAnsi="宋体" w:cs="宋体"/>
                <w:color w:val="000000" w:themeColor="text1"/>
                <w:kern w:val="0"/>
                <w:szCs w:val="21"/>
                <w14:textFill>
                  <w14:solidFill>
                    <w14:schemeClr w14:val="tx1"/>
                  </w14:solidFill>
                </w14:textFill>
              </w:rPr>
            </w:pPr>
          </w:p>
        </w:tc>
        <w:tc>
          <w:tcPr>
            <w:tcW w:w="852" w:type="pct"/>
            <w:vAlign w:val="center"/>
          </w:tcPr>
          <w:p w14:paraId="51742C3D">
            <w:pPr>
              <w:adjustRightInd w:val="0"/>
              <w:snapToGrid w:val="0"/>
              <w:spacing w:line="300" w:lineRule="exact"/>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北厂界</w:t>
            </w:r>
          </w:p>
        </w:tc>
        <w:tc>
          <w:tcPr>
            <w:tcW w:w="1536" w:type="pct"/>
            <w:vAlign w:val="center"/>
          </w:tcPr>
          <w:p w14:paraId="70D207B5">
            <w:pPr>
              <w:adjustRightInd w:val="0"/>
              <w:snapToGrid w:val="0"/>
              <w:spacing w:line="300" w:lineRule="exact"/>
              <w:jc w:val="center"/>
              <w:rPr>
                <w:rFonts w:hint="eastAsia" w:ascii="宋体" w:hAnsi="宋体" w:cs="宋体"/>
                <w:color w:val="000000" w:themeColor="text1"/>
                <w:kern w:val="0"/>
                <w:szCs w:val="21"/>
                <w14:textFill>
                  <w14:solidFill>
                    <w14:schemeClr w14:val="tx1"/>
                  </w14:solidFill>
                </w14:textFill>
              </w:rPr>
            </w:pPr>
          </w:p>
        </w:tc>
        <w:tc>
          <w:tcPr>
            <w:tcW w:w="1330" w:type="pct"/>
            <w:vAlign w:val="center"/>
          </w:tcPr>
          <w:p w14:paraId="447EAC01">
            <w:pPr>
              <w:adjustRightInd w:val="0"/>
              <w:snapToGrid w:val="0"/>
              <w:spacing w:line="300" w:lineRule="exact"/>
              <w:jc w:val="center"/>
              <w:rPr>
                <w:rFonts w:hint="eastAsia" w:ascii="宋体" w:hAnsi="宋体" w:cs="宋体"/>
                <w:color w:val="000000" w:themeColor="text1"/>
                <w:kern w:val="0"/>
                <w:szCs w:val="21"/>
                <w14:textFill>
                  <w14:solidFill>
                    <w14:schemeClr w14:val="tx1"/>
                  </w14:solidFill>
                </w14:textFill>
              </w:rPr>
            </w:pPr>
          </w:p>
        </w:tc>
      </w:tr>
      <w:tr w14:paraId="5FD253C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cantSplit/>
          <w:trHeight w:val="340" w:hRule="atLeast"/>
          <w:jc w:val="center"/>
        </w:trPr>
        <w:tc>
          <w:tcPr>
            <w:tcW w:w="684" w:type="pct"/>
            <w:vAlign w:val="center"/>
          </w:tcPr>
          <w:p w14:paraId="7F275293">
            <w:pPr>
              <w:adjustRightInd w:val="0"/>
              <w:snapToGrid w:val="0"/>
              <w:spacing w:line="300" w:lineRule="exact"/>
              <w:jc w:val="center"/>
              <w:rPr>
                <w:rFonts w:hint="eastAsia"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Cs w:val="21"/>
                <w14:textFill>
                  <w14:solidFill>
                    <w14:schemeClr w14:val="tx1"/>
                  </w14:solidFill>
                </w14:textFill>
              </w:rPr>
              <w:t>Z</w:t>
            </w:r>
            <w:r>
              <w:rPr>
                <w:rFonts w:hint="eastAsia" w:ascii="宋体" w:hAnsi="宋体" w:cs="宋体"/>
                <w:color w:val="000000" w:themeColor="text1"/>
                <w:kern w:val="0"/>
                <w:szCs w:val="21"/>
                <w14:textFill>
                  <w14:solidFill>
                    <w14:schemeClr w14:val="tx1"/>
                  </w14:solidFill>
                </w14:textFill>
              </w:rPr>
              <w:t>13</w:t>
            </w:r>
          </w:p>
        </w:tc>
        <w:tc>
          <w:tcPr>
            <w:tcW w:w="598" w:type="pct"/>
            <w:vMerge w:val="restart"/>
            <w:vAlign w:val="center"/>
          </w:tcPr>
          <w:p w14:paraId="2297C71E">
            <w:pPr>
              <w:adjustRightInd w:val="0"/>
              <w:snapToGrid w:val="0"/>
              <w:spacing w:line="300" w:lineRule="exact"/>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bCs/>
                <w:color w:val="000000" w:themeColor="text1"/>
                <w:szCs w:val="21"/>
                <w14:textFill>
                  <w14:solidFill>
                    <w14:schemeClr w14:val="tx1"/>
                  </w14:solidFill>
                </w14:textFill>
              </w:rPr>
              <w:t>JHW033</w:t>
            </w:r>
          </w:p>
        </w:tc>
        <w:tc>
          <w:tcPr>
            <w:tcW w:w="852" w:type="pct"/>
            <w:vAlign w:val="center"/>
          </w:tcPr>
          <w:p w14:paraId="33BE8B29">
            <w:pPr>
              <w:adjustRightInd w:val="0"/>
              <w:snapToGrid w:val="0"/>
              <w:spacing w:line="300" w:lineRule="exact"/>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东厂界</w:t>
            </w:r>
          </w:p>
        </w:tc>
        <w:tc>
          <w:tcPr>
            <w:tcW w:w="1536" w:type="pct"/>
            <w:vAlign w:val="center"/>
          </w:tcPr>
          <w:p w14:paraId="2FED85C1">
            <w:pPr>
              <w:adjustRightInd w:val="0"/>
              <w:snapToGrid w:val="0"/>
              <w:spacing w:line="300" w:lineRule="exact"/>
              <w:jc w:val="center"/>
              <w:rPr>
                <w:rFonts w:hint="eastAsia" w:ascii="宋体" w:hAnsi="宋体" w:cs="宋体"/>
                <w:color w:val="000000" w:themeColor="text1"/>
                <w:kern w:val="0"/>
                <w:szCs w:val="21"/>
                <w14:textFill>
                  <w14:solidFill>
                    <w14:schemeClr w14:val="tx1"/>
                  </w14:solidFill>
                </w14:textFill>
              </w:rPr>
            </w:pPr>
          </w:p>
        </w:tc>
        <w:tc>
          <w:tcPr>
            <w:tcW w:w="1330" w:type="pct"/>
            <w:vAlign w:val="center"/>
          </w:tcPr>
          <w:p w14:paraId="4630F921">
            <w:pPr>
              <w:adjustRightInd w:val="0"/>
              <w:snapToGrid w:val="0"/>
              <w:spacing w:line="300" w:lineRule="exact"/>
              <w:jc w:val="center"/>
              <w:rPr>
                <w:rFonts w:hint="eastAsia" w:ascii="宋体" w:hAnsi="宋体" w:cs="宋体"/>
                <w:color w:val="000000" w:themeColor="text1"/>
                <w:kern w:val="0"/>
                <w:szCs w:val="21"/>
                <w14:textFill>
                  <w14:solidFill>
                    <w14:schemeClr w14:val="tx1"/>
                  </w14:solidFill>
                </w14:textFill>
              </w:rPr>
            </w:pPr>
          </w:p>
        </w:tc>
      </w:tr>
      <w:tr w14:paraId="1DAD840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cantSplit/>
          <w:trHeight w:val="340" w:hRule="atLeast"/>
          <w:jc w:val="center"/>
        </w:trPr>
        <w:tc>
          <w:tcPr>
            <w:tcW w:w="684" w:type="pct"/>
            <w:vAlign w:val="center"/>
          </w:tcPr>
          <w:p w14:paraId="22E515F8">
            <w:pPr>
              <w:adjustRightInd w:val="0"/>
              <w:snapToGrid w:val="0"/>
              <w:spacing w:line="300" w:lineRule="exact"/>
              <w:jc w:val="center"/>
              <w:rPr>
                <w:rFonts w:hint="eastAsia"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Cs w:val="21"/>
                <w14:textFill>
                  <w14:solidFill>
                    <w14:schemeClr w14:val="tx1"/>
                  </w14:solidFill>
                </w14:textFill>
              </w:rPr>
              <w:t>Z</w:t>
            </w:r>
            <w:r>
              <w:rPr>
                <w:rFonts w:hint="eastAsia" w:ascii="宋体" w:hAnsi="宋体" w:cs="宋体"/>
                <w:color w:val="000000" w:themeColor="text1"/>
                <w:kern w:val="0"/>
                <w:szCs w:val="21"/>
                <w14:textFill>
                  <w14:solidFill>
                    <w14:schemeClr w14:val="tx1"/>
                  </w14:solidFill>
                </w14:textFill>
              </w:rPr>
              <w:t>14</w:t>
            </w:r>
          </w:p>
        </w:tc>
        <w:tc>
          <w:tcPr>
            <w:tcW w:w="598" w:type="pct"/>
            <w:vMerge w:val="continue"/>
            <w:vAlign w:val="center"/>
          </w:tcPr>
          <w:p w14:paraId="49889DAA">
            <w:pPr>
              <w:adjustRightInd w:val="0"/>
              <w:snapToGrid w:val="0"/>
              <w:spacing w:line="300" w:lineRule="exact"/>
              <w:jc w:val="center"/>
              <w:rPr>
                <w:rFonts w:hint="eastAsia" w:ascii="宋体" w:hAnsi="宋体" w:cs="宋体"/>
                <w:color w:val="000000" w:themeColor="text1"/>
                <w:kern w:val="0"/>
                <w:szCs w:val="21"/>
                <w14:textFill>
                  <w14:solidFill>
                    <w14:schemeClr w14:val="tx1"/>
                  </w14:solidFill>
                </w14:textFill>
              </w:rPr>
            </w:pPr>
          </w:p>
        </w:tc>
        <w:tc>
          <w:tcPr>
            <w:tcW w:w="852" w:type="pct"/>
            <w:vAlign w:val="center"/>
          </w:tcPr>
          <w:p w14:paraId="1915630B">
            <w:pPr>
              <w:adjustRightInd w:val="0"/>
              <w:snapToGrid w:val="0"/>
              <w:spacing w:line="300" w:lineRule="exact"/>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南厂界</w:t>
            </w:r>
          </w:p>
        </w:tc>
        <w:tc>
          <w:tcPr>
            <w:tcW w:w="1536" w:type="pct"/>
            <w:vAlign w:val="center"/>
          </w:tcPr>
          <w:p w14:paraId="64856021">
            <w:pPr>
              <w:adjustRightInd w:val="0"/>
              <w:snapToGrid w:val="0"/>
              <w:spacing w:line="300" w:lineRule="exact"/>
              <w:jc w:val="center"/>
              <w:rPr>
                <w:rFonts w:hint="eastAsia" w:ascii="宋体" w:hAnsi="宋体" w:cs="宋体"/>
                <w:color w:val="000000" w:themeColor="text1"/>
                <w:kern w:val="0"/>
                <w:szCs w:val="21"/>
                <w14:textFill>
                  <w14:solidFill>
                    <w14:schemeClr w14:val="tx1"/>
                  </w14:solidFill>
                </w14:textFill>
              </w:rPr>
            </w:pPr>
          </w:p>
        </w:tc>
        <w:tc>
          <w:tcPr>
            <w:tcW w:w="1330" w:type="pct"/>
            <w:vAlign w:val="center"/>
          </w:tcPr>
          <w:p w14:paraId="6BC5C899">
            <w:pPr>
              <w:adjustRightInd w:val="0"/>
              <w:snapToGrid w:val="0"/>
              <w:spacing w:line="300" w:lineRule="exact"/>
              <w:jc w:val="center"/>
              <w:rPr>
                <w:rFonts w:hint="eastAsia" w:ascii="宋体" w:hAnsi="宋体" w:cs="宋体"/>
                <w:color w:val="000000" w:themeColor="text1"/>
                <w:kern w:val="0"/>
                <w:szCs w:val="21"/>
                <w14:textFill>
                  <w14:solidFill>
                    <w14:schemeClr w14:val="tx1"/>
                  </w14:solidFill>
                </w14:textFill>
              </w:rPr>
            </w:pPr>
          </w:p>
        </w:tc>
      </w:tr>
      <w:tr w14:paraId="377D9A1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cantSplit/>
          <w:trHeight w:val="340" w:hRule="atLeast"/>
          <w:jc w:val="center"/>
        </w:trPr>
        <w:tc>
          <w:tcPr>
            <w:tcW w:w="684" w:type="pct"/>
            <w:vAlign w:val="center"/>
          </w:tcPr>
          <w:p w14:paraId="24AED07E">
            <w:pPr>
              <w:adjustRightInd w:val="0"/>
              <w:snapToGrid w:val="0"/>
              <w:spacing w:line="300" w:lineRule="exact"/>
              <w:jc w:val="center"/>
              <w:rPr>
                <w:rFonts w:hint="eastAsia"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Cs w:val="21"/>
                <w14:textFill>
                  <w14:solidFill>
                    <w14:schemeClr w14:val="tx1"/>
                  </w14:solidFill>
                </w14:textFill>
              </w:rPr>
              <w:t>Z</w:t>
            </w:r>
            <w:r>
              <w:rPr>
                <w:rFonts w:hint="eastAsia" w:ascii="宋体" w:hAnsi="宋体" w:cs="宋体"/>
                <w:color w:val="000000" w:themeColor="text1"/>
                <w:kern w:val="0"/>
                <w:szCs w:val="21"/>
                <w14:textFill>
                  <w14:solidFill>
                    <w14:schemeClr w14:val="tx1"/>
                  </w14:solidFill>
                </w14:textFill>
              </w:rPr>
              <w:t>15</w:t>
            </w:r>
          </w:p>
        </w:tc>
        <w:tc>
          <w:tcPr>
            <w:tcW w:w="598" w:type="pct"/>
            <w:vMerge w:val="continue"/>
            <w:vAlign w:val="center"/>
          </w:tcPr>
          <w:p w14:paraId="61814458">
            <w:pPr>
              <w:adjustRightInd w:val="0"/>
              <w:snapToGrid w:val="0"/>
              <w:spacing w:line="300" w:lineRule="exact"/>
              <w:jc w:val="center"/>
              <w:rPr>
                <w:rFonts w:hint="eastAsia" w:ascii="宋体" w:hAnsi="宋体" w:cs="宋体"/>
                <w:color w:val="000000" w:themeColor="text1"/>
                <w:kern w:val="0"/>
                <w:szCs w:val="21"/>
                <w14:textFill>
                  <w14:solidFill>
                    <w14:schemeClr w14:val="tx1"/>
                  </w14:solidFill>
                </w14:textFill>
              </w:rPr>
            </w:pPr>
          </w:p>
        </w:tc>
        <w:tc>
          <w:tcPr>
            <w:tcW w:w="852" w:type="pct"/>
            <w:vAlign w:val="center"/>
          </w:tcPr>
          <w:p w14:paraId="3727C441">
            <w:pPr>
              <w:adjustRightInd w:val="0"/>
              <w:snapToGrid w:val="0"/>
              <w:spacing w:line="300" w:lineRule="exact"/>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西厂界</w:t>
            </w:r>
          </w:p>
        </w:tc>
        <w:tc>
          <w:tcPr>
            <w:tcW w:w="1536" w:type="pct"/>
            <w:vAlign w:val="center"/>
          </w:tcPr>
          <w:p w14:paraId="0BA0B4C1">
            <w:pPr>
              <w:adjustRightInd w:val="0"/>
              <w:snapToGrid w:val="0"/>
              <w:spacing w:line="300" w:lineRule="exact"/>
              <w:jc w:val="center"/>
              <w:rPr>
                <w:rFonts w:hint="eastAsia" w:ascii="宋体" w:hAnsi="宋体" w:cs="宋体"/>
                <w:color w:val="000000" w:themeColor="text1"/>
                <w:kern w:val="0"/>
                <w:szCs w:val="21"/>
                <w14:textFill>
                  <w14:solidFill>
                    <w14:schemeClr w14:val="tx1"/>
                  </w14:solidFill>
                </w14:textFill>
              </w:rPr>
            </w:pPr>
          </w:p>
        </w:tc>
        <w:tc>
          <w:tcPr>
            <w:tcW w:w="1330" w:type="pct"/>
            <w:vAlign w:val="center"/>
          </w:tcPr>
          <w:p w14:paraId="2F42FA00">
            <w:pPr>
              <w:adjustRightInd w:val="0"/>
              <w:snapToGrid w:val="0"/>
              <w:spacing w:line="300" w:lineRule="exact"/>
              <w:jc w:val="center"/>
              <w:rPr>
                <w:rFonts w:hint="eastAsia" w:ascii="宋体" w:hAnsi="宋体" w:cs="宋体"/>
                <w:color w:val="000000" w:themeColor="text1"/>
                <w:kern w:val="0"/>
                <w:szCs w:val="21"/>
                <w14:textFill>
                  <w14:solidFill>
                    <w14:schemeClr w14:val="tx1"/>
                  </w14:solidFill>
                </w14:textFill>
              </w:rPr>
            </w:pPr>
          </w:p>
        </w:tc>
      </w:tr>
      <w:tr w14:paraId="5CEC67D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cantSplit/>
          <w:trHeight w:val="340" w:hRule="atLeast"/>
          <w:jc w:val="center"/>
        </w:trPr>
        <w:tc>
          <w:tcPr>
            <w:tcW w:w="684" w:type="pct"/>
            <w:vAlign w:val="center"/>
          </w:tcPr>
          <w:p w14:paraId="688CE76D">
            <w:pPr>
              <w:adjustRightInd w:val="0"/>
              <w:snapToGrid w:val="0"/>
              <w:spacing w:line="300" w:lineRule="exact"/>
              <w:jc w:val="center"/>
              <w:rPr>
                <w:rFonts w:hint="eastAsia"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Cs w:val="21"/>
                <w14:textFill>
                  <w14:solidFill>
                    <w14:schemeClr w14:val="tx1"/>
                  </w14:solidFill>
                </w14:textFill>
              </w:rPr>
              <w:t>Z</w:t>
            </w:r>
            <w:r>
              <w:rPr>
                <w:rFonts w:hint="eastAsia" w:ascii="宋体" w:hAnsi="宋体" w:cs="宋体"/>
                <w:color w:val="000000" w:themeColor="text1"/>
                <w:kern w:val="0"/>
                <w:szCs w:val="21"/>
                <w14:textFill>
                  <w14:solidFill>
                    <w14:schemeClr w14:val="tx1"/>
                  </w14:solidFill>
                </w14:textFill>
              </w:rPr>
              <w:t>16</w:t>
            </w:r>
          </w:p>
        </w:tc>
        <w:tc>
          <w:tcPr>
            <w:tcW w:w="598" w:type="pct"/>
            <w:vMerge w:val="continue"/>
            <w:vAlign w:val="center"/>
          </w:tcPr>
          <w:p w14:paraId="00972B99">
            <w:pPr>
              <w:adjustRightInd w:val="0"/>
              <w:snapToGrid w:val="0"/>
              <w:spacing w:line="300" w:lineRule="exact"/>
              <w:jc w:val="center"/>
              <w:rPr>
                <w:rFonts w:hint="eastAsia" w:ascii="宋体" w:hAnsi="宋体" w:cs="宋体"/>
                <w:color w:val="000000" w:themeColor="text1"/>
                <w:kern w:val="0"/>
                <w:szCs w:val="21"/>
                <w14:textFill>
                  <w14:solidFill>
                    <w14:schemeClr w14:val="tx1"/>
                  </w14:solidFill>
                </w14:textFill>
              </w:rPr>
            </w:pPr>
          </w:p>
        </w:tc>
        <w:tc>
          <w:tcPr>
            <w:tcW w:w="852" w:type="pct"/>
            <w:vAlign w:val="center"/>
          </w:tcPr>
          <w:p w14:paraId="42704EBE">
            <w:pPr>
              <w:adjustRightInd w:val="0"/>
              <w:snapToGrid w:val="0"/>
              <w:spacing w:line="300" w:lineRule="exact"/>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北厂界</w:t>
            </w:r>
          </w:p>
        </w:tc>
        <w:tc>
          <w:tcPr>
            <w:tcW w:w="1536" w:type="pct"/>
            <w:vAlign w:val="center"/>
          </w:tcPr>
          <w:p w14:paraId="6989B7C6">
            <w:pPr>
              <w:adjustRightInd w:val="0"/>
              <w:snapToGrid w:val="0"/>
              <w:spacing w:line="300" w:lineRule="exact"/>
              <w:jc w:val="center"/>
              <w:rPr>
                <w:rFonts w:hint="eastAsia" w:ascii="宋体" w:hAnsi="宋体" w:cs="宋体"/>
                <w:color w:val="000000" w:themeColor="text1"/>
                <w:kern w:val="0"/>
                <w:szCs w:val="21"/>
                <w14:textFill>
                  <w14:solidFill>
                    <w14:schemeClr w14:val="tx1"/>
                  </w14:solidFill>
                </w14:textFill>
              </w:rPr>
            </w:pPr>
          </w:p>
        </w:tc>
        <w:tc>
          <w:tcPr>
            <w:tcW w:w="1330" w:type="pct"/>
            <w:vAlign w:val="center"/>
          </w:tcPr>
          <w:p w14:paraId="635C09AF">
            <w:pPr>
              <w:adjustRightInd w:val="0"/>
              <w:snapToGrid w:val="0"/>
              <w:spacing w:line="300" w:lineRule="exact"/>
              <w:jc w:val="center"/>
              <w:rPr>
                <w:rFonts w:hint="eastAsia" w:ascii="宋体" w:hAnsi="宋体" w:cs="宋体"/>
                <w:color w:val="000000" w:themeColor="text1"/>
                <w:kern w:val="0"/>
                <w:szCs w:val="21"/>
                <w14:textFill>
                  <w14:solidFill>
                    <w14:schemeClr w14:val="tx1"/>
                  </w14:solidFill>
                </w14:textFill>
              </w:rPr>
            </w:pPr>
          </w:p>
        </w:tc>
      </w:tr>
      <w:tr w14:paraId="3BCEBA9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cantSplit/>
          <w:trHeight w:val="340" w:hRule="atLeast"/>
          <w:jc w:val="center"/>
        </w:trPr>
        <w:tc>
          <w:tcPr>
            <w:tcW w:w="684" w:type="pct"/>
            <w:vAlign w:val="center"/>
          </w:tcPr>
          <w:p w14:paraId="7458D189">
            <w:pPr>
              <w:adjustRightInd w:val="0"/>
              <w:snapToGrid w:val="0"/>
              <w:spacing w:line="300" w:lineRule="exact"/>
              <w:jc w:val="center"/>
              <w:rPr>
                <w:rFonts w:hint="eastAsia"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Cs w:val="21"/>
                <w14:textFill>
                  <w14:solidFill>
                    <w14:schemeClr w14:val="tx1"/>
                  </w14:solidFill>
                </w14:textFill>
              </w:rPr>
              <w:t>Z</w:t>
            </w:r>
            <w:r>
              <w:rPr>
                <w:rFonts w:hint="eastAsia" w:ascii="宋体" w:hAnsi="宋体" w:cs="宋体"/>
                <w:color w:val="000000" w:themeColor="text1"/>
                <w:kern w:val="0"/>
                <w:szCs w:val="21"/>
                <w14:textFill>
                  <w14:solidFill>
                    <w14:schemeClr w14:val="tx1"/>
                  </w14:solidFill>
                </w14:textFill>
              </w:rPr>
              <w:t>17</w:t>
            </w:r>
          </w:p>
        </w:tc>
        <w:tc>
          <w:tcPr>
            <w:tcW w:w="598" w:type="pct"/>
            <w:vMerge w:val="restart"/>
            <w:vAlign w:val="center"/>
          </w:tcPr>
          <w:p w14:paraId="0E6B6F95">
            <w:pPr>
              <w:adjustRightInd w:val="0"/>
              <w:snapToGrid w:val="0"/>
              <w:spacing w:line="300" w:lineRule="exact"/>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bCs/>
                <w:color w:val="000000" w:themeColor="text1"/>
                <w:szCs w:val="21"/>
                <w14:textFill>
                  <w14:solidFill>
                    <w14:schemeClr w14:val="tx1"/>
                  </w14:solidFill>
                </w14:textFill>
              </w:rPr>
              <w:t>JHW032</w:t>
            </w:r>
          </w:p>
        </w:tc>
        <w:tc>
          <w:tcPr>
            <w:tcW w:w="852" w:type="pct"/>
            <w:vAlign w:val="center"/>
          </w:tcPr>
          <w:p w14:paraId="4AA44F84">
            <w:pPr>
              <w:adjustRightInd w:val="0"/>
              <w:snapToGrid w:val="0"/>
              <w:spacing w:line="300" w:lineRule="exact"/>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东厂界</w:t>
            </w:r>
          </w:p>
        </w:tc>
        <w:tc>
          <w:tcPr>
            <w:tcW w:w="1536" w:type="pct"/>
            <w:vAlign w:val="center"/>
          </w:tcPr>
          <w:p w14:paraId="1C8B5120">
            <w:pPr>
              <w:adjustRightInd w:val="0"/>
              <w:snapToGrid w:val="0"/>
              <w:spacing w:line="300" w:lineRule="exact"/>
              <w:jc w:val="center"/>
              <w:rPr>
                <w:rFonts w:hint="eastAsia" w:ascii="宋体" w:hAnsi="宋体" w:cs="宋体"/>
                <w:color w:val="000000" w:themeColor="text1"/>
                <w:kern w:val="0"/>
                <w:szCs w:val="21"/>
                <w14:textFill>
                  <w14:solidFill>
                    <w14:schemeClr w14:val="tx1"/>
                  </w14:solidFill>
                </w14:textFill>
              </w:rPr>
            </w:pPr>
          </w:p>
        </w:tc>
        <w:tc>
          <w:tcPr>
            <w:tcW w:w="1330" w:type="pct"/>
            <w:vAlign w:val="center"/>
          </w:tcPr>
          <w:p w14:paraId="27B3E7C2">
            <w:pPr>
              <w:adjustRightInd w:val="0"/>
              <w:snapToGrid w:val="0"/>
              <w:spacing w:line="300" w:lineRule="exact"/>
              <w:jc w:val="center"/>
              <w:rPr>
                <w:rFonts w:hint="eastAsia" w:ascii="宋体" w:hAnsi="宋体" w:cs="宋体"/>
                <w:color w:val="000000" w:themeColor="text1"/>
                <w:kern w:val="0"/>
                <w:szCs w:val="21"/>
                <w14:textFill>
                  <w14:solidFill>
                    <w14:schemeClr w14:val="tx1"/>
                  </w14:solidFill>
                </w14:textFill>
              </w:rPr>
            </w:pPr>
          </w:p>
        </w:tc>
      </w:tr>
      <w:tr w14:paraId="5701641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cantSplit/>
          <w:trHeight w:val="340" w:hRule="atLeast"/>
          <w:jc w:val="center"/>
        </w:trPr>
        <w:tc>
          <w:tcPr>
            <w:tcW w:w="684" w:type="pct"/>
            <w:vAlign w:val="center"/>
          </w:tcPr>
          <w:p w14:paraId="04DA21A2">
            <w:pPr>
              <w:adjustRightInd w:val="0"/>
              <w:snapToGrid w:val="0"/>
              <w:spacing w:line="300" w:lineRule="exact"/>
              <w:jc w:val="center"/>
              <w:rPr>
                <w:rFonts w:hint="eastAsia"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Cs w:val="21"/>
                <w14:textFill>
                  <w14:solidFill>
                    <w14:schemeClr w14:val="tx1"/>
                  </w14:solidFill>
                </w14:textFill>
              </w:rPr>
              <w:t>Z</w:t>
            </w:r>
            <w:r>
              <w:rPr>
                <w:rFonts w:hint="eastAsia" w:ascii="宋体" w:hAnsi="宋体" w:cs="宋体"/>
                <w:color w:val="000000" w:themeColor="text1"/>
                <w:kern w:val="0"/>
                <w:szCs w:val="21"/>
                <w14:textFill>
                  <w14:solidFill>
                    <w14:schemeClr w14:val="tx1"/>
                  </w14:solidFill>
                </w14:textFill>
              </w:rPr>
              <w:t>18</w:t>
            </w:r>
          </w:p>
        </w:tc>
        <w:tc>
          <w:tcPr>
            <w:tcW w:w="598" w:type="pct"/>
            <w:vMerge w:val="continue"/>
            <w:vAlign w:val="center"/>
          </w:tcPr>
          <w:p w14:paraId="3F48FC59">
            <w:pPr>
              <w:adjustRightInd w:val="0"/>
              <w:snapToGrid w:val="0"/>
              <w:spacing w:line="300" w:lineRule="exact"/>
              <w:jc w:val="center"/>
              <w:rPr>
                <w:rFonts w:hint="eastAsia" w:ascii="宋体" w:hAnsi="宋体" w:cs="宋体"/>
                <w:color w:val="000000" w:themeColor="text1"/>
                <w:kern w:val="0"/>
                <w:szCs w:val="21"/>
                <w14:textFill>
                  <w14:solidFill>
                    <w14:schemeClr w14:val="tx1"/>
                  </w14:solidFill>
                </w14:textFill>
              </w:rPr>
            </w:pPr>
          </w:p>
        </w:tc>
        <w:tc>
          <w:tcPr>
            <w:tcW w:w="852" w:type="pct"/>
            <w:vAlign w:val="center"/>
          </w:tcPr>
          <w:p w14:paraId="6E05BA85">
            <w:pPr>
              <w:adjustRightInd w:val="0"/>
              <w:snapToGrid w:val="0"/>
              <w:spacing w:line="300" w:lineRule="exact"/>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南厂界</w:t>
            </w:r>
          </w:p>
        </w:tc>
        <w:tc>
          <w:tcPr>
            <w:tcW w:w="1536" w:type="pct"/>
            <w:vAlign w:val="center"/>
          </w:tcPr>
          <w:p w14:paraId="6CD17880">
            <w:pPr>
              <w:adjustRightInd w:val="0"/>
              <w:snapToGrid w:val="0"/>
              <w:spacing w:line="300" w:lineRule="exact"/>
              <w:jc w:val="center"/>
              <w:rPr>
                <w:rFonts w:hint="eastAsia" w:ascii="宋体" w:hAnsi="宋体" w:cs="宋体"/>
                <w:color w:val="000000" w:themeColor="text1"/>
                <w:kern w:val="0"/>
                <w:szCs w:val="21"/>
                <w14:textFill>
                  <w14:solidFill>
                    <w14:schemeClr w14:val="tx1"/>
                  </w14:solidFill>
                </w14:textFill>
              </w:rPr>
            </w:pPr>
          </w:p>
        </w:tc>
        <w:tc>
          <w:tcPr>
            <w:tcW w:w="1330" w:type="pct"/>
            <w:vAlign w:val="center"/>
          </w:tcPr>
          <w:p w14:paraId="3B08ADD4">
            <w:pPr>
              <w:adjustRightInd w:val="0"/>
              <w:snapToGrid w:val="0"/>
              <w:spacing w:line="300" w:lineRule="exact"/>
              <w:jc w:val="center"/>
              <w:rPr>
                <w:rFonts w:hint="eastAsia" w:ascii="宋体" w:hAnsi="宋体" w:cs="宋体"/>
                <w:color w:val="000000" w:themeColor="text1"/>
                <w:kern w:val="0"/>
                <w:szCs w:val="21"/>
                <w14:textFill>
                  <w14:solidFill>
                    <w14:schemeClr w14:val="tx1"/>
                  </w14:solidFill>
                </w14:textFill>
              </w:rPr>
            </w:pPr>
          </w:p>
        </w:tc>
      </w:tr>
      <w:tr w14:paraId="3B06D40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cantSplit/>
          <w:trHeight w:val="340" w:hRule="atLeast"/>
          <w:jc w:val="center"/>
        </w:trPr>
        <w:tc>
          <w:tcPr>
            <w:tcW w:w="684" w:type="pct"/>
            <w:vAlign w:val="center"/>
          </w:tcPr>
          <w:p w14:paraId="6B69005F">
            <w:pPr>
              <w:adjustRightInd w:val="0"/>
              <w:snapToGrid w:val="0"/>
              <w:spacing w:line="300" w:lineRule="exact"/>
              <w:jc w:val="center"/>
              <w:rPr>
                <w:rFonts w:hint="eastAsia"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Cs w:val="21"/>
                <w14:textFill>
                  <w14:solidFill>
                    <w14:schemeClr w14:val="tx1"/>
                  </w14:solidFill>
                </w14:textFill>
              </w:rPr>
              <w:t>Z</w:t>
            </w:r>
            <w:r>
              <w:rPr>
                <w:rFonts w:hint="eastAsia" w:ascii="宋体" w:hAnsi="宋体" w:cs="宋体"/>
                <w:color w:val="000000" w:themeColor="text1"/>
                <w:kern w:val="0"/>
                <w:szCs w:val="21"/>
                <w14:textFill>
                  <w14:solidFill>
                    <w14:schemeClr w14:val="tx1"/>
                  </w14:solidFill>
                </w14:textFill>
              </w:rPr>
              <w:t>19</w:t>
            </w:r>
          </w:p>
        </w:tc>
        <w:tc>
          <w:tcPr>
            <w:tcW w:w="598" w:type="pct"/>
            <w:vMerge w:val="continue"/>
            <w:vAlign w:val="center"/>
          </w:tcPr>
          <w:p w14:paraId="364023B0">
            <w:pPr>
              <w:adjustRightInd w:val="0"/>
              <w:snapToGrid w:val="0"/>
              <w:spacing w:line="300" w:lineRule="exact"/>
              <w:jc w:val="center"/>
              <w:rPr>
                <w:rFonts w:hint="eastAsia" w:ascii="宋体" w:hAnsi="宋体" w:cs="宋体"/>
                <w:color w:val="000000" w:themeColor="text1"/>
                <w:kern w:val="0"/>
                <w:szCs w:val="21"/>
                <w14:textFill>
                  <w14:solidFill>
                    <w14:schemeClr w14:val="tx1"/>
                  </w14:solidFill>
                </w14:textFill>
              </w:rPr>
            </w:pPr>
          </w:p>
        </w:tc>
        <w:tc>
          <w:tcPr>
            <w:tcW w:w="852" w:type="pct"/>
            <w:vAlign w:val="center"/>
          </w:tcPr>
          <w:p w14:paraId="55A5F56C">
            <w:pPr>
              <w:adjustRightInd w:val="0"/>
              <w:snapToGrid w:val="0"/>
              <w:spacing w:line="300" w:lineRule="exact"/>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西厂界</w:t>
            </w:r>
          </w:p>
        </w:tc>
        <w:tc>
          <w:tcPr>
            <w:tcW w:w="1536" w:type="pct"/>
            <w:vAlign w:val="center"/>
          </w:tcPr>
          <w:p w14:paraId="5AC50BF2">
            <w:pPr>
              <w:adjustRightInd w:val="0"/>
              <w:snapToGrid w:val="0"/>
              <w:spacing w:line="300" w:lineRule="exact"/>
              <w:jc w:val="center"/>
              <w:rPr>
                <w:rFonts w:hint="eastAsia" w:ascii="宋体" w:hAnsi="宋体" w:cs="宋体"/>
                <w:color w:val="000000" w:themeColor="text1"/>
                <w:kern w:val="0"/>
                <w:szCs w:val="21"/>
                <w14:textFill>
                  <w14:solidFill>
                    <w14:schemeClr w14:val="tx1"/>
                  </w14:solidFill>
                </w14:textFill>
              </w:rPr>
            </w:pPr>
          </w:p>
        </w:tc>
        <w:tc>
          <w:tcPr>
            <w:tcW w:w="1330" w:type="pct"/>
            <w:vAlign w:val="center"/>
          </w:tcPr>
          <w:p w14:paraId="54682957">
            <w:pPr>
              <w:adjustRightInd w:val="0"/>
              <w:snapToGrid w:val="0"/>
              <w:spacing w:line="300" w:lineRule="exact"/>
              <w:jc w:val="center"/>
              <w:rPr>
                <w:rFonts w:hint="eastAsia" w:ascii="宋体" w:hAnsi="宋体" w:cs="宋体"/>
                <w:color w:val="000000" w:themeColor="text1"/>
                <w:kern w:val="0"/>
                <w:szCs w:val="21"/>
                <w14:textFill>
                  <w14:solidFill>
                    <w14:schemeClr w14:val="tx1"/>
                  </w14:solidFill>
                </w14:textFill>
              </w:rPr>
            </w:pPr>
          </w:p>
        </w:tc>
      </w:tr>
      <w:tr w14:paraId="7323935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cantSplit/>
          <w:trHeight w:val="340" w:hRule="atLeast"/>
          <w:jc w:val="center"/>
        </w:trPr>
        <w:tc>
          <w:tcPr>
            <w:tcW w:w="684" w:type="pct"/>
            <w:vAlign w:val="center"/>
          </w:tcPr>
          <w:p w14:paraId="10021B0B">
            <w:pPr>
              <w:widowControl/>
              <w:adjustRightInd w:val="0"/>
              <w:snapToGrid w:val="0"/>
              <w:spacing w:line="300" w:lineRule="exact"/>
              <w:jc w:val="center"/>
              <w:outlineLvl w:val="1"/>
              <w:rPr>
                <w:rFonts w:hint="eastAsia" w:ascii="宋体" w:hAnsi="宋体" w:cs="宋体"/>
                <w:color w:val="000000" w:themeColor="text1"/>
                <w:kern w:val="0"/>
                <w:szCs w:val="21"/>
                <w14:textFill>
                  <w14:solidFill>
                    <w14:schemeClr w14:val="tx1"/>
                  </w14:solidFill>
                </w14:textFill>
              </w:rPr>
            </w:pPr>
            <w:bookmarkStart w:id="412" w:name="_Toc216260255"/>
            <w:bookmarkStart w:id="413" w:name="_Toc208679653"/>
            <w:r>
              <w:rPr>
                <w:rFonts w:ascii="宋体" w:hAnsi="宋体" w:cs="宋体"/>
                <w:color w:val="000000" w:themeColor="text1"/>
                <w:kern w:val="0"/>
                <w:szCs w:val="21"/>
                <w14:textFill>
                  <w14:solidFill>
                    <w14:schemeClr w14:val="tx1"/>
                  </w14:solidFill>
                </w14:textFill>
              </w:rPr>
              <w:t>Z</w:t>
            </w:r>
            <w:r>
              <w:rPr>
                <w:rFonts w:hint="eastAsia" w:ascii="宋体" w:hAnsi="宋体" w:cs="宋体"/>
                <w:color w:val="000000" w:themeColor="text1"/>
                <w:kern w:val="0"/>
                <w:szCs w:val="21"/>
                <w14:textFill>
                  <w14:solidFill>
                    <w14:schemeClr w14:val="tx1"/>
                  </w14:solidFill>
                </w14:textFill>
              </w:rPr>
              <w:t>20</w:t>
            </w:r>
            <w:bookmarkEnd w:id="412"/>
            <w:bookmarkEnd w:id="413"/>
          </w:p>
        </w:tc>
        <w:tc>
          <w:tcPr>
            <w:tcW w:w="598" w:type="pct"/>
            <w:vMerge w:val="continue"/>
            <w:vAlign w:val="center"/>
          </w:tcPr>
          <w:p w14:paraId="3BD4356F">
            <w:pPr>
              <w:adjustRightInd w:val="0"/>
              <w:snapToGrid w:val="0"/>
              <w:spacing w:line="300" w:lineRule="exact"/>
              <w:jc w:val="center"/>
              <w:rPr>
                <w:rFonts w:hint="eastAsia" w:ascii="宋体" w:hAnsi="宋体" w:cs="宋体"/>
                <w:color w:val="000000" w:themeColor="text1"/>
                <w:kern w:val="0"/>
                <w:szCs w:val="21"/>
                <w14:textFill>
                  <w14:solidFill>
                    <w14:schemeClr w14:val="tx1"/>
                  </w14:solidFill>
                </w14:textFill>
              </w:rPr>
            </w:pPr>
          </w:p>
        </w:tc>
        <w:tc>
          <w:tcPr>
            <w:tcW w:w="852" w:type="pct"/>
            <w:vAlign w:val="center"/>
          </w:tcPr>
          <w:p w14:paraId="5712C541">
            <w:pPr>
              <w:adjustRightInd w:val="0"/>
              <w:snapToGrid w:val="0"/>
              <w:spacing w:line="300" w:lineRule="exact"/>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北厂界</w:t>
            </w:r>
          </w:p>
        </w:tc>
        <w:tc>
          <w:tcPr>
            <w:tcW w:w="1536" w:type="pct"/>
            <w:vAlign w:val="center"/>
          </w:tcPr>
          <w:p w14:paraId="062637F7">
            <w:pPr>
              <w:adjustRightInd w:val="0"/>
              <w:snapToGrid w:val="0"/>
              <w:spacing w:line="300" w:lineRule="exact"/>
              <w:jc w:val="center"/>
              <w:rPr>
                <w:rFonts w:hint="eastAsia" w:ascii="宋体" w:hAnsi="宋体" w:cs="宋体"/>
                <w:color w:val="000000" w:themeColor="text1"/>
                <w:kern w:val="0"/>
                <w:szCs w:val="21"/>
                <w14:textFill>
                  <w14:solidFill>
                    <w14:schemeClr w14:val="tx1"/>
                  </w14:solidFill>
                </w14:textFill>
              </w:rPr>
            </w:pPr>
          </w:p>
        </w:tc>
        <w:tc>
          <w:tcPr>
            <w:tcW w:w="1330" w:type="pct"/>
            <w:vAlign w:val="center"/>
          </w:tcPr>
          <w:p w14:paraId="033DC10C">
            <w:pPr>
              <w:adjustRightInd w:val="0"/>
              <w:snapToGrid w:val="0"/>
              <w:spacing w:line="300" w:lineRule="exact"/>
              <w:jc w:val="center"/>
              <w:rPr>
                <w:rFonts w:hint="eastAsia" w:ascii="宋体" w:hAnsi="宋体" w:cs="宋体"/>
                <w:color w:val="000000" w:themeColor="text1"/>
                <w:kern w:val="0"/>
                <w:szCs w:val="21"/>
                <w14:textFill>
                  <w14:solidFill>
                    <w14:schemeClr w14:val="tx1"/>
                  </w14:solidFill>
                </w14:textFill>
              </w:rPr>
            </w:pPr>
          </w:p>
        </w:tc>
      </w:tr>
      <w:tr w14:paraId="40802BF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cantSplit/>
          <w:trHeight w:val="340" w:hRule="atLeast"/>
          <w:jc w:val="center"/>
        </w:trPr>
        <w:tc>
          <w:tcPr>
            <w:tcW w:w="684" w:type="pct"/>
            <w:vAlign w:val="center"/>
          </w:tcPr>
          <w:p w14:paraId="36D77FD7">
            <w:pPr>
              <w:adjustRightInd w:val="0"/>
              <w:snapToGrid w:val="0"/>
              <w:spacing w:line="300" w:lineRule="exact"/>
              <w:jc w:val="center"/>
              <w:rPr>
                <w:rFonts w:hint="eastAsia"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Cs w:val="21"/>
                <w14:textFill>
                  <w14:solidFill>
                    <w14:schemeClr w14:val="tx1"/>
                  </w14:solidFill>
                </w14:textFill>
              </w:rPr>
              <w:t>Z</w:t>
            </w:r>
            <w:r>
              <w:rPr>
                <w:rFonts w:hint="eastAsia" w:ascii="宋体" w:hAnsi="宋体" w:cs="宋体"/>
                <w:color w:val="000000" w:themeColor="text1"/>
                <w:kern w:val="0"/>
                <w:szCs w:val="21"/>
                <w14:textFill>
                  <w14:solidFill>
                    <w14:schemeClr w14:val="tx1"/>
                  </w14:solidFill>
                </w14:textFill>
              </w:rPr>
              <w:t>21</w:t>
            </w:r>
          </w:p>
        </w:tc>
        <w:tc>
          <w:tcPr>
            <w:tcW w:w="598" w:type="pct"/>
            <w:vMerge w:val="restart"/>
            <w:vAlign w:val="center"/>
          </w:tcPr>
          <w:p w14:paraId="04503DCA">
            <w:pPr>
              <w:adjustRightInd w:val="0"/>
              <w:snapToGrid w:val="0"/>
              <w:spacing w:line="300" w:lineRule="exact"/>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bCs/>
                <w:color w:val="000000" w:themeColor="text1"/>
                <w:szCs w:val="21"/>
                <w14:textFill>
                  <w14:solidFill>
                    <w14:schemeClr w14:val="tx1"/>
                  </w14:solidFill>
                </w14:textFill>
              </w:rPr>
              <w:t>J10002_H</w:t>
            </w:r>
          </w:p>
        </w:tc>
        <w:tc>
          <w:tcPr>
            <w:tcW w:w="852" w:type="pct"/>
            <w:vAlign w:val="center"/>
          </w:tcPr>
          <w:p w14:paraId="155F2A54">
            <w:pPr>
              <w:adjustRightInd w:val="0"/>
              <w:snapToGrid w:val="0"/>
              <w:spacing w:line="300" w:lineRule="exact"/>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东厂界</w:t>
            </w:r>
          </w:p>
        </w:tc>
        <w:tc>
          <w:tcPr>
            <w:tcW w:w="1536" w:type="pct"/>
            <w:vAlign w:val="center"/>
          </w:tcPr>
          <w:p w14:paraId="7EE797FA">
            <w:pPr>
              <w:adjustRightInd w:val="0"/>
              <w:snapToGrid w:val="0"/>
              <w:spacing w:line="300" w:lineRule="exact"/>
              <w:jc w:val="center"/>
              <w:rPr>
                <w:rFonts w:hint="eastAsia" w:ascii="宋体" w:hAnsi="宋体" w:cs="宋体"/>
                <w:color w:val="000000" w:themeColor="text1"/>
                <w:kern w:val="0"/>
                <w:szCs w:val="21"/>
                <w14:textFill>
                  <w14:solidFill>
                    <w14:schemeClr w14:val="tx1"/>
                  </w14:solidFill>
                </w14:textFill>
              </w:rPr>
            </w:pPr>
          </w:p>
        </w:tc>
        <w:tc>
          <w:tcPr>
            <w:tcW w:w="1330" w:type="pct"/>
            <w:vAlign w:val="center"/>
          </w:tcPr>
          <w:p w14:paraId="15BE4C42">
            <w:pPr>
              <w:adjustRightInd w:val="0"/>
              <w:snapToGrid w:val="0"/>
              <w:spacing w:line="300" w:lineRule="exact"/>
              <w:jc w:val="center"/>
              <w:rPr>
                <w:rFonts w:hint="eastAsia" w:ascii="宋体" w:hAnsi="宋体" w:cs="宋体"/>
                <w:color w:val="000000" w:themeColor="text1"/>
                <w:kern w:val="0"/>
                <w:szCs w:val="21"/>
                <w14:textFill>
                  <w14:solidFill>
                    <w14:schemeClr w14:val="tx1"/>
                  </w14:solidFill>
                </w14:textFill>
              </w:rPr>
            </w:pPr>
          </w:p>
        </w:tc>
      </w:tr>
      <w:tr w14:paraId="394F3F2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cantSplit/>
          <w:trHeight w:val="340" w:hRule="atLeast"/>
          <w:jc w:val="center"/>
        </w:trPr>
        <w:tc>
          <w:tcPr>
            <w:tcW w:w="684" w:type="pct"/>
            <w:vAlign w:val="center"/>
          </w:tcPr>
          <w:p w14:paraId="102347C0">
            <w:pPr>
              <w:adjustRightInd w:val="0"/>
              <w:snapToGrid w:val="0"/>
              <w:spacing w:line="300" w:lineRule="exact"/>
              <w:jc w:val="center"/>
              <w:rPr>
                <w:rFonts w:hint="eastAsia"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Cs w:val="21"/>
                <w14:textFill>
                  <w14:solidFill>
                    <w14:schemeClr w14:val="tx1"/>
                  </w14:solidFill>
                </w14:textFill>
              </w:rPr>
              <w:t>Z</w:t>
            </w:r>
            <w:r>
              <w:rPr>
                <w:rFonts w:hint="eastAsia" w:ascii="宋体" w:hAnsi="宋体" w:cs="宋体"/>
                <w:color w:val="000000" w:themeColor="text1"/>
                <w:kern w:val="0"/>
                <w:szCs w:val="21"/>
                <w14:textFill>
                  <w14:solidFill>
                    <w14:schemeClr w14:val="tx1"/>
                  </w14:solidFill>
                </w14:textFill>
              </w:rPr>
              <w:t>22</w:t>
            </w:r>
          </w:p>
        </w:tc>
        <w:tc>
          <w:tcPr>
            <w:tcW w:w="598" w:type="pct"/>
            <w:vMerge w:val="continue"/>
            <w:vAlign w:val="center"/>
          </w:tcPr>
          <w:p w14:paraId="348439E3">
            <w:pPr>
              <w:adjustRightInd w:val="0"/>
              <w:snapToGrid w:val="0"/>
              <w:spacing w:line="300" w:lineRule="exact"/>
              <w:jc w:val="center"/>
              <w:rPr>
                <w:rFonts w:hint="eastAsia" w:ascii="宋体" w:hAnsi="宋体" w:cs="宋体"/>
                <w:color w:val="000000" w:themeColor="text1"/>
                <w:kern w:val="0"/>
                <w:szCs w:val="21"/>
                <w14:textFill>
                  <w14:solidFill>
                    <w14:schemeClr w14:val="tx1"/>
                  </w14:solidFill>
                </w14:textFill>
              </w:rPr>
            </w:pPr>
          </w:p>
        </w:tc>
        <w:tc>
          <w:tcPr>
            <w:tcW w:w="852" w:type="pct"/>
            <w:vAlign w:val="center"/>
          </w:tcPr>
          <w:p w14:paraId="4FAD8897">
            <w:pPr>
              <w:adjustRightInd w:val="0"/>
              <w:snapToGrid w:val="0"/>
              <w:spacing w:line="300" w:lineRule="exact"/>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南厂界</w:t>
            </w:r>
          </w:p>
        </w:tc>
        <w:tc>
          <w:tcPr>
            <w:tcW w:w="1536" w:type="pct"/>
            <w:vAlign w:val="center"/>
          </w:tcPr>
          <w:p w14:paraId="4F5DDB80">
            <w:pPr>
              <w:adjustRightInd w:val="0"/>
              <w:snapToGrid w:val="0"/>
              <w:spacing w:line="300" w:lineRule="exact"/>
              <w:jc w:val="center"/>
              <w:rPr>
                <w:rFonts w:hint="eastAsia" w:ascii="宋体" w:hAnsi="宋体" w:cs="宋体"/>
                <w:color w:val="000000" w:themeColor="text1"/>
                <w:kern w:val="0"/>
                <w:szCs w:val="21"/>
                <w14:textFill>
                  <w14:solidFill>
                    <w14:schemeClr w14:val="tx1"/>
                  </w14:solidFill>
                </w14:textFill>
              </w:rPr>
            </w:pPr>
          </w:p>
        </w:tc>
        <w:tc>
          <w:tcPr>
            <w:tcW w:w="1330" w:type="pct"/>
            <w:vAlign w:val="center"/>
          </w:tcPr>
          <w:p w14:paraId="5EBAA4C0">
            <w:pPr>
              <w:adjustRightInd w:val="0"/>
              <w:snapToGrid w:val="0"/>
              <w:spacing w:line="300" w:lineRule="exact"/>
              <w:jc w:val="center"/>
              <w:rPr>
                <w:rFonts w:hint="eastAsia" w:ascii="宋体" w:hAnsi="宋体" w:cs="宋体"/>
                <w:color w:val="000000" w:themeColor="text1"/>
                <w:kern w:val="0"/>
                <w:szCs w:val="21"/>
                <w14:textFill>
                  <w14:solidFill>
                    <w14:schemeClr w14:val="tx1"/>
                  </w14:solidFill>
                </w14:textFill>
              </w:rPr>
            </w:pPr>
          </w:p>
        </w:tc>
      </w:tr>
      <w:tr w14:paraId="4A6859C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cantSplit/>
          <w:trHeight w:val="340" w:hRule="atLeast"/>
          <w:jc w:val="center"/>
        </w:trPr>
        <w:tc>
          <w:tcPr>
            <w:tcW w:w="684" w:type="pct"/>
            <w:vAlign w:val="center"/>
          </w:tcPr>
          <w:p w14:paraId="3035A59D">
            <w:pPr>
              <w:adjustRightInd w:val="0"/>
              <w:snapToGrid w:val="0"/>
              <w:spacing w:line="300" w:lineRule="exact"/>
              <w:jc w:val="center"/>
              <w:rPr>
                <w:rFonts w:hint="eastAsia"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Cs w:val="21"/>
                <w14:textFill>
                  <w14:solidFill>
                    <w14:schemeClr w14:val="tx1"/>
                  </w14:solidFill>
                </w14:textFill>
              </w:rPr>
              <w:t>Z</w:t>
            </w:r>
            <w:r>
              <w:rPr>
                <w:rFonts w:hint="eastAsia" w:ascii="宋体" w:hAnsi="宋体" w:cs="宋体"/>
                <w:color w:val="000000" w:themeColor="text1"/>
                <w:kern w:val="0"/>
                <w:szCs w:val="21"/>
                <w14:textFill>
                  <w14:solidFill>
                    <w14:schemeClr w14:val="tx1"/>
                  </w14:solidFill>
                </w14:textFill>
              </w:rPr>
              <w:t>23</w:t>
            </w:r>
          </w:p>
        </w:tc>
        <w:tc>
          <w:tcPr>
            <w:tcW w:w="598" w:type="pct"/>
            <w:vMerge w:val="continue"/>
            <w:vAlign w:val="center"/>
          </w:tcPr>
          <w:p w14:paraId="151F3C99">
            <w:pPr>
              <w:adjustRightInd w:val="0"/>
              <w:snapToGrid w:val="0"/>
              <w:spacing w:line="300" w:lineRule="exact"/>
              <w:jc w:val="center"/>
              <w:rPr>
                <w:rFonts w:hint="eastAsia" w:ascii="宋体" w:hAnsi="宋体" w:cs="宋体"/>
                <w:color w:val="000000" w:themeColor="text1"/>
                <w:kern w:val="0"/>
                <w:szCs w:val="21"/>
                <w14:textFill>
                  <w14:solidFill>
                    <w14:schemeClr w14:val="tx1"/>
                  </w14:solidFill>
                </w14:textFill>
              </w:rPr>
            </w:pPr>
          </w:p>
        </w:tc>
        <w:tc>
          <w:tcPr>
            <w:tcW w:w="852" w:type="pct"/>
            <w:vAlign w:val="center"/>
          </w:tcPr>
          <w:p w14:paraId="6A6474C6">
            <w:pPr>
              <w:adjustRightInd w:val="0"/>
              <w:snapToGrid w:val="0"/>
              <w:spacing w:line="300" w:lineRule="exact"/>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西厂界</w:t>
            </w:r>
          </w:p>
        </w:tc>
        <w:tc>
          <w:tcPr>
            <w:tcW w:w="1536" w:type="pct"/>
            <w:vAlign w:val="center"/>
          </w:tcPr>
          <w:p w14:paraId="2AE0BCCD">
            <w:pPr>
              <w:adjustRightInd w:val="0"/>
              <w:snapToGrid w:val="0"/>
              <w:spacing w:line="300" w:lineRule="exact"/>
              <w:jc w:val="center"/>
              <w:rPr>
                <w:rFonts w:hint="eastAsia" w:ascii="宋体" w:hAnsi="宋体" w:cs="宋体"/>
                <w:color w:val="000000" w:themeColor="text1"/>
                <w:kern w:val="0"/>
                <w:szCs w:val="21"/>
                <w14:textFill>
                  <w14:solidFill>
                    <w14:schemeClr w14:val="tx1"/>
                  </w14:solidFill>
                </w14:textFill>
              </w:rPr>
            </w:pPr>
          </w:p>
        </w:tc>
        <w:tc>
          <w:tcPr>
            <w:tcW w:w="1330" w:type="pct"/>
            <w:vAlign w:val="center"/>
          </w:tcPr>
          <w:p w14:paraId="0AB7DB65">
            <w:pPr>
              <w:adjustRightInd w:val="0"/>
              <w:snapToGrid w:val="0"/>
              <w:spacing w:line="300" w:lineRule="exact"/>
              <w:jc w:val="center"/>
              <w:rPr>
                <w:rFonts w:hint="eastAsia" w:ascii="宋体" w:hAnsi="宋体" w:cs="宋体"/>
                <w:color w:val="000000" w:themeColor="text1"/>
                <w:kern w:val="0"/>
                <w:szCs w:val="21"/>
                <w14:textFill>
                  <w14:solidFill>
                    <w14:schemeClr w14:val="tx1"/>
                  </w14:solidFill>
                </w14:textFill>
              </w:rPr>
            </w:pPr>
          </w:p>
        </w:tc>
      </w:tr>
      <w:tr w14:paraId="013CC1F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cantSplit/>
          <w:trHeight w:val="340" w:hRule="atLeast"/>
          <w:jc w:val="center"/>
        </w:trPr>
        <w:tc>
          <w:tcPr>
            <w:tcW w:w="684" w:type="pct"/>
            <w:vAlign w:val="center"/>
          </w:tcPr>
          <w:p w14:paraId="204907F4">
            <w:pPr>
              <w:adjustRightInd w:val="0"/>
              <w:snapToGrid w:val="0"/>
              <w:spacing w:line="300" w:lineRule="exact"/>
              <w:jc w:val="center"/>
              <w:rPr>
                <w:rFonts w:hint="eastAsia"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Cs w:val="21"/>
                <w14:textFill>
                  <w14:solidFill>
                    <w14:schemeClr w14:val="tx1"/>
                  </w14:solidFill>
                </w14:textFill>
              </w:rPr>
              <w:t>Z</w:t>
            </w:r>
            <w:r>
              <w:rPr>
                <w:rFonts w:hint="eastAsia" w:ascii="宋体" w:hAnsi="宋体" w:cs="宋体"/>
                <w:color w:val="000000" w:themeColor="text1"/>
                <w:kern w:val="0"/>
                <w:szCs w:val="21"/>
                <w14:textFill>
                  <w14:solidFill>
                    <w14:schemeClr w14:val="tx1"/>
                  </w14:solidFill>
                </w14:textFill>
              </w:rPr>
              <w:t>24</w:t>
            </w:r>
          </w:p>
        </w:tc>
        <w:tc>
          <w:tcPr>
            <w:tcW w:w="598" w:type="pct"/>
            <w:vMerge w:val="continue"/>
            <w:vAlign w:val="center"/>
          </w:tcPr>
          <w:p w14:paraId="2CC2DB42">
            <w:pPr>
              <w:adjustRightInd w:val="0"/>
              <w:snapToGrid w:val="0"/>
              <w:spacing w:line="300" w:lineRule="exact"/>
              <w:jc w:val="center"/>
              <w:rPr>
                <w:rFonts w:hint="eastAsia" w:ascii="宋体" w:hAnsi="宋体" w:cs="宋体"/>
                <w:color w:val="000000" w:themeColor="text1"/>
                <w:kern w:val="0"/>
                <w:szCs w:val="21"/>
                <w14:textFill>
                  <w14:solidFill>
                    <w14:schemeClr w14:val="tx1"/>
                  </w14:solidFill>
                </w14:textFill>
              </w:rPr>
            </w:pPr>
          </w:p>
        </w:tc>
        <w:tc>
          <w:tcPr>
            <w:tcW w:w="852" w:type="pct"/>
            <w:vAlign w:val="center"/>
          </w:tcPr>
          <w:p w14:paraId="4A622E9F">
            <w:pPr>
              <w:adjustRightInd w:val="0"/>
              <w:snapToGrid w:val="0"/>
              <w:spacing w:line="300" w:lineRule="exact"/>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北厂界</w:t>
            </w:r>
          </w:p>
        </w:tc>
        <w:tc>
          <w:tcPr>
            <w:tcW w:w="1536" w:type="pct"/>
            <w:vAlign w:val="center"/>
          </w:tcPr>
          <w:p w14:paraId="33A353B8">
            <w:pPr>
              <w:adjustRightInd w:val="0"/>
              <w:snapToGrid w:val="0"/>
              <w:spacing w:line="300" w:lineRule="exact"/>
              <w:jc w:val="center"/>
              <w:rPr>
                <w:rFonts w:hint="eastAsia" w:ascii="宋体" w:hAnsi="宋体" w:cs="宋体"/>
                <w:color w:val="000000" w:themeColor="text1"/>
                <w:kern w:val="0"/>
                <w:szCs w:val="21"/>
                <w14:textFill>
                  <w14:solidFill>
                    <w14:schemeClr w14:val="tx1"/>
                  </w14:solidFill>
                </w14:textFill>
              </w:rPr>
            </w:pPr>
          </w:p>
        </w:tc>
        <w:tc>
          <w:tcPr>
            <w:tcW w:w="1330" w:type="pct"/>
            <w:vAlign w:val="center"/>
          </w:tcPr>
          <w:p w14:paraId="1BCF7809">
            <w:pPr>
              <w:adjustRightInd w:val="0"/>
              <w:snapToGrid w:val="0"/>
              <w:spacing w:line="300" w:lineRule="exact"/>
              <w:jc w:val="center"/>
              <w:rPr>
                <w:rFonts w:hint="eastAsia" w:ascii="宋体" w:hAnsi="宋体" w:cs="宋体"/>
                <w:color w:val="000000" w:themeColor="text1"/>
                <w:kern w:val="0"/>
                <w:szCs w:val="21"/>
                <w14:textFill>
                  <w14:solidFill>
                    <w14:schemeClr w14:val="tx1"/>
                  </w14:solidFill>
                </w14:textFill>
              </w:rPr>
            </w:pPr>
          </w:p>
        </w:tc>
      </w:tr>
      <w:tr w14:paraId="6090F8D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cantSplit/>
          <w:trHeight w:val="340" w:hRule="atLeast"/>
          <w:jc w:val="center"/>
        </w:trPr>
        <w:tc>
          <w:tcPr>
            <w:tcW w:w="684" w:type="pct"/>
            <w:vAlign w:val="center"/>
          </w:tcPr>
          <w:p w14:paraId="12EA12A0">
            <w:pPr>
              <w:adjustRightInd w:val="0"/>
              <w:snapToGrid w:val="0"/>
              <w:spacing w:line="300" w:lineRule="exact"/>
              <w:jc w:val="center"/>
              <w:rPr>
                <w:rFonts w:hint="eastAsia"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Cs w:val="21"/>
                <w14:textFill>
                  <w14:solidFill>
                    <w14:schemeClr w14:val="tx1"/>
                  </w14:solidFill>
                </w14:textFill>
              </w:rPr>
              <w:t>Z</w:t>
            </w:r>
            <w:r>
              <w:rPr>
                <w:rFonts w:hint="eastAsia" w:ascii="宋体" w:hAnsi="宋体" w:cs="宋体"/>
                <w:color w:val="000000" w:themeColor="text1"/>
                <w:kern w:val="0"/>
                <w:szCs w:val="21"/>
                <w14:textFill>
                  <w14:solidFill>
                    <w14:schemeClr w14:val="tx1"/>
                  </w14:solidFill>
                </w14:textFill>
              </w:rPr>
              <w:t>25</w:t>
            </w:r>
          </w:p>
        </w:tc>
        <w:tc>
          <w:tcPr>
            <w:tcW w:w="598" w:type="pct"/>
            <w:vMerge w:val="restart"/>
            <w:vAlign w:val="center"/>
          </w:tcPr>
          <w:p w14:paraId="38D93B33">
            <w:pPr>
              <w:adjustRightInd w:val="0"/>
              <w:snapToGrid w:val="0"/>
              <w:spacing w:line="300" w:lineRule="exact"/>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bCs/>
                <w:color w:val="000000" w:themeColor="text1"/>
                <w:szCs w:val="21"/>
                <w14:textFill>
                  <w14:solidFill>
                    <w14:schemeClr w14:val="tx1"/>
                  </w14:solidFill>
                </w14:textFill>
              </w:rPr>
              <w:t>JHW00525</w:t>
            </w:r>
          </w:p>
        </w:tc>
        <w:tc>
          <w:tcPr>
            <w:tcW w:w="852" w:type="pct"/>
            <w:vAlign w:val="center"/>
          </w:tcPr>
          <w:p w14:paraId="00C0E5EA">
            <w:pPr>
              <w:adjustRightInd w:val="0"/>
              <w:snapToGrid w:val="0"/>
              <w:spacing w:line="300" w:lineRule="exact"/>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东厂界</w:t>
            </w:r>
          </w:p>
        </w:tc>
        <w:tc>
          <w:tcPr>
            <w:tcW w:w="1536" w:type="pct"/>
            <w:vAlign w:val="center"/>
          </w:tcPr>
          <w:p w14:paraId="0340FDA8">
            <w:pPr>
              <w:adjustRightInd w:val="0"/>
              <w:snapToGrid w:val="0"/>
              <w:spacing w:line="300" w:lineRule="exact"/>
              <w:jc w:val="center"/>
              <w:rPr>
                <w:rFonts w:hint="eastAsia" w:ascii="宋体" w:hAnsi="宋体" w:cs="宋体"/>
                <w:color w:val="000000" w:themeColor="text1"/>
                <w:kern w:val="0"/>
                <w:szCs w:val="21"/>
                <w14:textFill>
                  <w14:solidFill>
                    <w14:schemeClr w14:val="tx1"/>
                  </w14:solidFill>
                </w14:textFill>
              </w:rPr>
            </w:pPr>
          </w:p>
        </w:tc>
        <w:tc>
          <w:tcPr>
            <w:tcW w:w="1330" w:type="pct"/>
            <w:vAlign w:val="center"/>
          </w:tcPr>
          <w:p w14:paraId="6F4FB99F">
            <w:pPr>
              <w:adjustRightInd w:val="0"/>
              <w:snapToGrid w:val="0"/>
              <w:spacing w:line="300" w:lineRule="exact"/>
              <w:jc w:val="center"/>
              <w:rPr>
                <w:rFonts w:hint="eastAsia" w:ascii="宋体" w:hAnsi="宋体" w:cs="宋体"/>
                <w:color w:val="000000" w:themeColor="text1"/>
                <w:kern w:val="0"/>
                <w:szCs w:val="21"/>
                <w14:textFill>
                  <w14:solidFill>
                    <w14:schemeClr w14:val="tx1"/>
                  </w14:solidFill>
                </w14:textFill>
              </w:rPr>
            </w:pPr>
          </w:p>
        </w:tc>
      </w:tr>
      <w:tr w14:paraId="6B97FF2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cantSplit/>
          <w:trHeight w:val="340" w:hRule="atLeast"/>
          <w:jc w:val="center"/>
        </w:trPr>
        <w:tc>
          <w:tcPr>
            <w:tcW w:w="684" w:type="pct"/>
            <w:vAlign w:val="center"/>
          </w:tcPr>
          <w:p w14:paraId="34A63262">
            <w:pPr>
              <w:adjustRightInd w:val="0"/>
              <w:snapToGrid w:val="0"/>
              <w:spacing w:line="300" w:lineRule="exact"/>
              <w:jc w:val="center"/>
              <w:rPr>
                <w:rFonts w:hint="eastAsia"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Cs w:val="21"/>
                <w14:textFill>
                  <w14:solidFill>
                    <w14:schemeClr w14:val="tx1"/>
                  </w14:solidFill>
                </w14:textFill>
              </w:rPr>
              <w:t>Z</w:t>
            </w:r>
            <w:r>
              <w:rPr>
                <w:rFonts w:hint="eastAsia" w:ascii="宋体" w:hAnsi="宋体" w:cs="宋体"/>
                <w:color w:val="000000" w:themeColor="text1"/>
                <w:kern w:val="0"/>
                <w:szCs w:val="21"/>
                <w14:textFill>
                  <w14:solidFill>
                    <w14:schemeClr w14:val="tx1"/>
                  </w14:solidFill>
                </w14:textFill>
              </w:rPr>
              <w:t>26</w:t>
            </w:r>
          </w:p>
        </w:tc>
        <w:tc>
          <w:tcPr>
            <w:tcW w:w="598" w:type="pct"/>
            <w:vMerge w:val="continue"/>
            <w:vAlign w:val="center"/>
          </w:tcPr>
          <w:p w14:paraId="66E7A5E0">
            <w:pPr>
              <w:adjustRightInd w:val="0"/>
              <w:snapToGrid w:val="0"/>
              <w:spacing w:line="300" w:lineRule="exact"/>
              <w:jc w:val="center"/>
              <w:rPr>
                <w:rFonts w:hint="eastAsia" w:ascii="宋体" w:hAnsi="宋体" w:cs="宋体"/>
                <w:color w:val="000000" w:themeColor="text1"/>
                <w:kern w:val="0"/>
                <w:szCs w:val="21"/>
                <w14:textFill>
                  <w14:solidFill>
                    <w14:schemeClr w14:val="tx1"/>
                  </w14:solidFill>
                </w14:textFill>
              </w:rPr>
            </w:pPr>
          </w:p>
        </w:tc>
        <w:tc>
          <w:tcPr>
            <w:tcW w:w="852" w:type="pct"/>
            <w:vAlign w:val="center"/>
          </w:tcPr>
          <w:p w14:paraId="5FD37F21">
            <w:pPr>
              <w:adjustRightInd w:val="0"/>
              <w:snapToGrid w:val="0"/>
              <w:spacing w:line="300" w:lineRule="exact"/>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南厂界</w:t>
            </w:r>
          </w:p>
        </w:tc>
        <w:tc>
          <w:tcPr>
            <w:tcW w:w="1536" w:type="pct"/>
            <w:vAlign w:val="center"/>
          </w:tcPr>
          <w:p w14:paraId="4FC0FF63">
            <w:pPr>
              <w:adjustRightInd w:val="0"/>
              <w:snapToGrid w:val="0"/>
              <w:spacing w:line="300" w:lineRule="exact"/>
              <w:jc w:val="center"/>
              <w:rPr>
                <w:rFonts w:hint="eastAsia" w:ascii="宋体" w:hAnsi="宋体" w:cs="宋体"/>
                <w:color w:val="000000" w:themeColor="text1"/>
                <w:kern w:val="0"/>
                <w:szCs w:val="21"/>
                <w14:textFill>
                  <w14:solidFill>
                    <w14:schemeClr w14:val="tx1"/>
                  </w14:solidFill>
                </w14:textFill>
              </w:rPr>
            </w:pPr>
          </w:p>
        </w:tc>
        <w:tc>
          <w:tcPr>
            <w:tcW w:w="1330" w:type="pct"/>
            <w:vAlign w:val="center"/>
          </w:tcPr>
          <w:p w14:paraId="3A12501B">
            <w:pPr>
              <w:adjustRightInd w:val="0"/>
              <w:snapToGrid w:val="0"/>
              <w:spacing w:line="300" w:lineRule="exact"/>
              <w:jc w:val="center"/>
              <w:rPr>
                <w:rFonts w:hint="eastAsia" w:ascii="宋体" w:hAnsi="宋体" w:cs="宋体"/>
                <w:color w:val="000000" w:themeColor="text1"/>
                <w:kern w:val="0"/>
                <w:szCs w:val="21"/>
                <w14:textFill>
                  <w14:solidFill>
                    <w14:schemeClr w14:val="tx1"/>
                  </w14:solidFill>
                </w14:textFill>
              </w:rPr>
            </w:pPr>
          </w:p>
        </w:tc>
      </w:tr>
      <w:tr w14:paraId="226B109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cantSplit/>
          <w:trHeight w:val="340" w:hRule="atLeast"/>
          <w:jc w:val="center"/>
        </w:trPr>
        <w:tc>
          <w:tcPr>
            <w:tcW w:w="684" w:type="pct"/>
            <w:vAlign w:val="center"/>
          </w:tcPr>
          <w:p w14:paraId="4124C28D">
            <w:pPr>
              <w:adjustRightInd w:val="0"/>
              <w:snapToGrid w:val="0"/>
              <w:spacing w:line="300" w:lineRule="exact"/>
              <w:jc w:val="center"/>
              <w:rPr>
                <w:rFonts w:hint="eastAsia"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Cs w:val="21"/>
                <w14:textFill>
                  <w14:solidFill>
                    <w14:schemeClr w14:val="tx1"/>
                  </w14:solidFill>
                </w14:textFill>
              </w:rPr>
              <w:t>Z</w:t>
            </w:r>
            <w:r>
              <w:rPr>
                <w:rFonts w:hint="eastAsia" w:ascii="宋体" w:hAnsi="宋体" w:cs="宋体"/>
                <w:color w:val="000000" w:themeColor="text1"/>
                <w:kern w:val="0"/>
                <w:szCs w:val="21"/>
                <w14:textFill>
                  <w14:solidFill>
                    <w14:schemeClr w14:val="tx1"/>
                  </w14:solidFill>
                </w14:textFill>
              </w:rPr>
              <w:t>27</w:t>
            </w:r>
          </w:p>
        </w:tc>
        <w:tc>
          <w:tcPr>
            <w:tcW w:w="598" w:type="pct"/>
            <w:vMerge w:val="continue"/>
            <w:vAlign w:val="center"/>
          </w:tcPr>
          <w:p w14:paraId="3A488266">
            <w:pPr>
              <w:adjustRightInd w:val="0"/>
              <w:snapToGrid w:val="0"/>
              <w:spacing w:line="300" w:lineRule="exact"/>
              <w:jc w:val="center"/>
              <w:rPr>
                <w:rFonts w:hint="eastAsia" w:ascii="宋体" w:hAnsi="宋体" w:cs="宋体"/>
                <w:color w:val="000000" w:themeColor="text1"/>
                <w:kern w:val="0"/>
                <w:szCs w:val="21"/>
                <w14:textFill>
                  <w14:solidFill>
                    <w14:schemeClr w14:val="tx1"/>
                  </w14:solidFill>
                </w14:textFill>
              </w:rPr>
            </w:pPr>
          </w:p>
        </w:tc>
        <w:tc>
          <w:tcPr>
            <w:tcW w:w="852" w:type="pct"/>
            <w:vAlign w:val="center"/>
          </w:tcPr>
          <w:p w14:paraId="0ABF6178">
            <w:pPr>
              <w:adjustRightInd w:val="0"/>
              <w:snapToGrid w:val="0"/>
              <w:spacing w:line="300" w:lineRule="exact"/>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西厂界</w:t>
            </w:r>
          </w:p>
        </w:tc>
        <w:tc>
          <w:tcPr>
            <w:tcW w:w="1536" w:type="pct"/>
            <w:vAlign w:val="center"/>
          </w:tcPr>
          <w:p w14:paraId="6B0AE6F9">
            <w:pPr>
              <w:adjustRightInd w:val="0"/>
              <w:snapToGrid w:val="0"/>
              <w:spacing w:line="300" w:lineRule="exact"/>
              <w:jc w:val="center"/>
              <w:rPr>
                <w:rFonts w:hint="eastAsia" w:ascii="宋体" w:hAnsi="宋体" w:cs="宋体"/>
                <w:color w:val="000000" w:themeColor="text1"/>
                <w:kern w:val="0"/>
                <w:szCs w:val="21"/>
                <w14:textFill>
                  <w14:solidFill>
                    <w14:schemeClr w14:val="tx1"/>
                  </w14:solidFill>
                </w14:textFill>
              </w:rPr>
            </w:pPr>
          </w:p>
        </w:tc>
        <w:tc>
          <w:tcPr>
            <w:tcW w:w="1330" w:type="pct"/>
            <w:vAlign w:val="center"/>
          </w:tcPr>
          <w:p w14:paraId="1C4BC902">
            <w:pPr>
              <w:adjustRightInd w:val="0"/>
              <w:snapToGrid w:val="0"/>
              <w:spacing w:line="300" w:lineRule="exact"/>
              <w:jc w:val="center"/>
              <w:rPr>
                <w:rFonts w:hint="eastAsia" w:ascii="宋体" w:hAnsi="宋体" w:cs="宋体"/>
                <w:color w:val="000000" w:themeColor="text1"/>
                <w:kern w:val="0"/>
                <w:szCs w:val="21"/>
                <w14:textFill>
                  <w14:solidFill>
                    <w14:schemeClr w14:val="tx1"/>
                  </w14:solidFill>
                </w14:textFill>
              </w:rPr>
            </w:pPr>
          </w:p>
        </w:tc>
      </w:tr>
      <w:tr w14:paraId="69A64CC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cantSplit/>
          <w:trHeight w:val="340" w:hRule="atLeast"/>
          <w:jc w:val="center"/>
        </w:trPr>
        <w:tc>
          <w:tcPr>
            <w:tcW w:w="684" w:type="pct"/>
            <w:vAlign w:val="center"/>
          </w:tcPr>
          <w:p w14:paraId="006859E9">
            <w:pPr>
              <w:widowControl/>
              <w:adjustRightInd w:val="0"/>
              <w:snapToGrid w:val="0"/>
              <w:spacing w:line="300" w:lineRule="exact"/>
              <w:jc w:val="center"/>
              <w:outlineLvl w:val="1"/>
              <w:rPr>
                <w:rFonts w:hint="eastAsia" w:ascii="宋体" w:hAnsi="宋体" w:cs="宋体"/>
                <w:color w:val="000000" w:themeColor="text1"/>
                <w:kern w:val="0"/>
                <w:szCs w:val="21"/>
                <w14:textFill>
                  <w14:solidFill>
                    <w14:schemeClr w14:val="tx1"/>
                  </w14:solidFill>
                </w14:textFill>
              </w:rPr>
            </w:pPr>
            <w:bookmarkStart w:id="414" w:name="_Toc208679654"/>
            <w:bookmarkStart w:id="415" w:name="_Toc216260256"/>
            <w:r>
              <w:rPr>
                <w:rFonts w:ascii="宋体" w:hAnsi="宋体" w:cs="宋体"/>
                <w:color w:val="000000" w:themeColor="text1"/>
                <w:kern w:val="0"/>
                <w:szCs w:val="21"/>
                <w14:textFill>
                  <w14:solidFill>
                    <w14:schemeClr w14:val="tx1"/>
                  </w14:solidFill>
                </w14:textFill>
              </w:rPr>
              <w:t>Z</w:t>
            </w:r>
            <w:r>
              <w:rPr>
                <w:rFonts w:hint="eastAsia" w:ascii="宋体" w:hAnsi="宋体" w:cs="宋体"/>
                <w:color w:val="000000" w:themeColor="text1"/>
                <w:kern w:val="0"/>
                <w:szCs w:val="21"/>
                <w14:textFill>
                  <w14:solidFill>
                    <w14:schemeClr w14:val="tx1"/>
                  </w14:solidFill>
                </w14:textFill>
              </w:rPr>
              <w:t>28</w:t>
            </w:r>
            <w:bookmarkEnd w:id="414"/>
            <w:bookmarkEnd w:id="415"/>
          </w:p>
        </w:tc>
        <w:tc>
          <w:tcPr>
            <w:tcW w:w="598" w:type="pct"/>
            <w:vMerge w:val="continue"/>
            <w:vAlign w:val="center"/>
          </w:tcPr>
          <w:p w14:paraId="3E4DE615">
            <w:pPr>
              <w:adjustRightInd w:val="0"/>
              <w:snapToGrid w:val="0"/>
              <w:spacing w:line="300" w:lineRule="exact"/>
              <w:jc w:val="center"/>
              <w:rPr>
                <w:rFonts w:hint="eastAsia" w:ascii="宋体" w:hAnsi="宋体" w:cs="宋体"/>
                <w:color w:val="000000" w:themeColor="text1"/>
                <w:kern w:val="0"/>
                <w:szCs w:val="21"/>
                <w14:textFill>
                  <w14:solidFill>
                    <w14:schemeClr w14:val="tx1"/>
                  </w14:solidFill>
                </w14:textFill>
              </w:rPr>
            </w:pPr>
          </w:p>
        </w:tc>
        <w:tc>
          <w:tcPr>
            <w:tcW w:w="852" w:type="pct"/>
            <w:vAlign w:val="center"/>
          </w:tcPr>
          <w:p w14:paraId="4D809470">
            <w:pPr>
              <w:adjustRightInd w:val="0"/>
              <w:snapToGrid w:val="0"/>
              <w:spacing w:line="300" w:lineRule="exact"/>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北厂界</w:t>
            </w:r>
          </w:p>
        </w:tc>
        <w:tc>
          <w:tcPr>
            <w:tcW w:w="1536" w:type="pct"/>
            <w:vAlign w:val="center"/>
          </w:tcPr>
          <w:p w14:paraId="58CB68A0">
            <w:pPr>
              <w:adjustRightInd w:val="0"/>
              <w:snapToGrid w:val="0"/>
              <w:spacing w:line="300" w:lineRule="exact"/>
              <w:jc w:val="center"/>
              <w:rPr>
                <w:rFonts w:hint="eastAsia" w:ascii="宋体" w:hAnsi="宋体" w:cs="宋体"/>
                <w:color w:val="000000" w:themeColor="text1"/>
                <w:kern w:val="0"/>
                <w:szCs w:val="21"/>
                <w14:textFill>
                  <w14:solidFill>
                    <w14:schemeClr w14:val="tx1"/>
                  </w14:solidFill>
                </w14:textFill>
              </w:rPr>
            </w:pPr>
          </w:p>
        </w:tc>
        <w:tc>
          <w:tcPr>
            <w:tcW w:w="1330" w:type="pct"/>
            <w:vAlign w:val="center"/>
          </w:tcPr>
          <w:p w14:paraId="0E799719">
            <w:pPr>
              <w:adjustRightInd w:val="0"/>
              <w:snapToGrid w:val="0"/>
              <w:spacing w:line="300" w:lineRule="exact"/>
              <w:jc w:val="center"/>
              <w:rPr>
                <w:rFonts w:hint="eastAsia" w:ascii="宋体" w:hAnsi="宋体" w:cs="宋体"/>
                <w:color w:val="000000" w:themeColor="text1"/>
                <w:kern w:val="0"/>
                <w:szCs w:val="21"/>
                <w14:textFill>
                  <w14:solidFill>
                    <w14:schemeClr w14:val="tx1"/>
                  </w14:solidFill>
                </w14:textFill>
              </w:rPr>
            </w:pPr>
          </w:p>
        </w:tc>
      </w:tr>
      <w:tr w14:paraId="0C9049A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cantSplit/>
          <w:trHeight w:val="340" w:hRule="atLeast"/>
          <w:jc w:val="center"/>
        </w:trPr>
        <w:tc>
          <w:tcPr>
            <w:tcW w:w="684" w:type="pct"/>
            <w:vAlign w:val="center"/>
          </w:tcPr>
          <w:p w14:paraId="2BDD79EA">
            <w:pPr>
              <w:adjustRightInd w:val="0"/>
              <w:snapToGrid w:val="0"/>
              <w:spacing w:line="300" w:lineRule="exact"/>
              <w:jc w:val="center"/>
              <w:rPr>
                <w:rFonts w:hint="eastAsia"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Cs w:val="21"/>
                <w14:textFill>
                  <w14:solidFill>
                    <w14:schemeClr w14:val="tx1"/>
                  </w14:solidFill>
                </w14:textFill>
              </w:rPr>
              <w:t>Z</w:t>
            </w:r>
            <w:r>
              <w:rPr>
                <w:rFonts w:hint="eastAsia" w:ascii="宋体" w:hAnsi="宋体" w:cs="宋体"/>
                <w:color w:val="000000" w:themeColor="text1"/>
                <w:kern w:val="0"/>
                <w:szCs w:val="21"/>
                <w14:textFill>
                  <w14:solidFill>
                    <w14:schemeClr w14:val="tx1"/>
                  </w14:solidFill>
                </w14:textFill>
              </w:rPr>
              <w:t>29</w:t>
            </w:r>
          </w:p>
        </w:tc>
        <w:tc>
          <w:tcPr>
            <w:tcW w:w="598" w:type="pct"/>
            <w:vMerge w:val="restart"/>
            <w:vAlign w:val="center"/>
          </w:tcPr>
          <w:p w14:paraId="6A9AE23E">
            <w:pPr>
              <w:adjustRightInd w:val="0"/>
              <w:snapToGrid w:val="0"/>
              <w:spacing w:line="300" w:lineRule="exact"/>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bCs/>
                <w:color w:val="000000" w:themeColor="text1"/>
                <w:szCs w:val="21"/>
                <w14:textFill>
                  <w14:solidFill>
                    <w14:schemeClr w14:val="tx1"/>
                  </w14:solidFill>
                </w14:textFill>
              </w:rPr>
              <w:t>J10064_H</w:t>
            </w:r>
          </w:p>
        </w:tc>
        <w:tc>
          <w:tcPr>
            <w:tcW w:w="852" w:type="pct"/>
            <w:vAlign w:val="center"/>
          </w:tcPr>
          <w:p w14:paraId="52E6555D">
            <w:pPr>
              <w:adjustRightInd w:val="0"/>
              <w:snapToGrid w:val="0"/>
              <w:spacing w:line="300" w:lineRule="exact"/>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东厂界</w:t>
            </w:r>
          </w:p>
        </w:tc>
        <w:tc>
          <w:tcPr>
            <w:tcW w:w="1536" w:type="pct"/>
            <w:vAlign w:val="center"/>
          </w:tcPr>
          <w:p w14:paraId="6965BFC0">
            <w:pPr>
              <w:adjustRightInd w:val="0"/>
              <w:snapToGrid w:val="0"/>
              <w:spacing w:line="300" w:lineRule="exact"/>
              <w:jc w:val="center"/>
              <w:rPr>
                <w:rFonts w:hint="eastAsia" w:ascii="宋体" w:hAnsi="宋体" w:cs="宋体"/>
                <w:color w:val="000000" w:themeColor="text1"/>
                <w:kern w:val="0"/>
                <w:szCs w:val="21"/>
                <w14:textFill>
                  <w14:solidFill>
                    <w14:schemeClr w14:val="tx1"/>
                  </w14:solidFill>
                </w14:textFill>
              </w:rPr>
            </w:pPr>
          </w:p>
        </w:tc>
        <w:tc>
          <w:tcPr>
            <w:tcW w:w="1330" w:type="pct"/>
            <w:vAlign w:val="center"/>
          </w:tcPr>
          <w:p w14:paraId="7F7A2953">
            <w:pPr>
              <w:adjustRightInd w:val="0"/>
              <w:snapToGrid w:val="0"/>
              <w:spacing w:line="300" w:lineRule="exact"/>
              <w:jc w:val="center"/>
              <w:rPr>
                <w:rFonts w:hint="eastAsia" w:ascii="宋体" w:hAnsi="宋体" w:cs="宋体"/>
                <w:color w:val="000000" w:themeColor="text1"/>
                <w:kern w:val="0"/>
                <w:szCs w:val="21"/>
                <w14:textFill>
                  <w14:solidFill>
                    <w14:schemeClr w14:val="tx1"/>
                  </w14:solidFill>
                </w14:textFill>
              </w:rPr>
            </w:pPr>
          </w:p>
        </w:tc>
      </w:tr>
      <w:tr w14:paraId="4F4D78F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cantSplit/>
          <w:trHeight w:val="340" w:hRule="atLeast"/>
          <w:jc w:val="center"/>
        </w:trPr>
        <w:tc>
          <w:tcPr>
            <w:tcW w:w="684" w:type="pct"/>
            <w:vAlign w:val="center"/>
          </w:tcPr>
          <w:p w14:paraId="1666E9FC">
            <w:pPr>
              <w:adjustRightInd w:val="0"/>
              <w:snapToGrid w:val="0"/>
              <w:spacing w:line="300" w:lineRule="exact"/>
              <w:jc w:val="center"/>
              <w:rPr>
                <w:rFonts w:hint="eastAsia"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Cs w:val="21"/>
                <w14:textFill>
                  <w14:solidFill>
                    <w14:schemeClr w14:val="tx1"/>
                  </w14:solidFill>
                </w14:textFill>
              </w:rPr>
              <w:t>Z</w:t>
            </w:r>
            <w:r>
              <w:rPr>
                <w:rFonts w:hint="eastAsia" w:ascii="宋体" w:hAnsi="宋体" w:cs="宋体"/>
                <w:color w:val="000000" w:themeColor="text1"/>
                <w:kern w:val="0"/>
                <w:szCs w:val="21"/>
                <w14:textFill>
                  <w14:solidFill>
                    <w14:schemeClr w14:val="tx1"/>
                  </w14:solidFill>
                </w14:textFill>
              </w:rPr>
              <w:t>30</w:t>
            </w:r>
          </w:p>
        </w:tc>
        <w:tc>
          <w:tcPr>
            <w:tcW w:w="598" w:type="pct"/>
            <w:vMerge w:val="continue"/>
            <w:vAlign w:val="center"/>
          </w:tcPr>
          <w:p w14:paraId="052B1941">
            <w:pPr>
              <w:adjustRightInd w:val="0"/>
              <w:snapToGrid w:val="0"/>
              <w:spacing w:line="300" w:lineRule="exact"/>
              <w:jc w:val="center"/>
              <w:rPr>
                <w:rFonts w:hint="eastAsia" w:ascii="宋体" w:hAnsi="宋体" w:cs="宋体"/>
                <w:color w:val="000000" w:themeColor="text1"/>
                <w:kern w:val="0"/>
                <w:szCs w:val="21"/>
                <w14:textFill>
                  <w14:solidFill>
                    <w14:schemeClr w14:val="tx1"/>
                  </w14:solidFill>
                </w14:textFill>
              </w:rPr>
            </w:pPr>
          </w:p>
        </w:tc>
        <w:tc>
          <w:tcPr>
            <w:tcW w:w="852" w:type="pct"/>
            <w:vAlign w:val="center"/>
          </w:tcPr>
          <w:p w14:paraId="617488A3">
            <w:pPr>
              <w:adjustRightInd w:val="0"/>
              <w:snapToGrid w:val="0"/>
              <w:spacing w:line="300" w:lineRule="exact"/>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南厂界</w:t>
            </w:r>
          </w:p>
        </w:tc>
        <w:tc>
          <w:tcPr>
            <w:tcW w:w="1536" w:type="pct"/>
            <w:vAlign w:val="center"/>
          </w:tcPr>
          <w:p w14:paraId="4EAAADA1">
            <w:pPr>
              <w:adjustRightInd w:val="0"/>
              <w:snapToGrid w:val="0"/>
              <w:spacing w:line="300" w:lineRule="exact"/>
              <w:jc w:val="center"/>
              <w:rPr>
                <w:rFonts w:hint="eastAsia" w:ascii="宋体" w:hAnsi="宋体" w:cs="宋体"/>
                <w:color w:val="000000" w:themeColor="text1"/>
                <w:kern w:val="0"/>
                <w:szCs w:val="21"/>
                <w14:textFill>
                  <w14:solidFill>
                    <w14:schemeClr w14:val="tx1"/>
                  </w14:solidFill>
                </w14:textFill>
              </w:rPr>
            </w:pPr>
          </w:p>
        </w:tc>
        <w:tc>
          <w:tcPr>
            <w:tcW w:w="1330" w:type="pct"/>
            <w:vAlign w:val="center"/>
          </w:tcPr>
          <w:p w14:paraId="04D3E038">
            <w:pPr>
              <w:adjustRightInd w:val="0"/>
              <w:snapToGrid w:val="0"/>
              <w:spacing w:line="300" w:lineRule="exact"/>
              <w:jc w:val="center"/>
              <w:rPr>
                <w:rFonts w:hint="eastAsia" w:ascii="宋体" w:hAnsi="宋体" w:cs="宋体"/>
                <w:color w:val="000000" w:themeColor="text1"/>
                <w:kern w:val="0"/>
                <w:szCs w:val="21"/>
                <w14:textFill>
                  <w14:solidFill>
                    <w14:schemeClr w14:val="tx1"/>
                  </w14:solidFill>
                </w14:textFill>
              </w:rPr>
            </w:pPr>
          </w:p>
        </w:tc>
      </w:tr>
      <w:tr w14:paraId="2A0F9E1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cantSplit/>
          <w:trHeight w:val="340" w:hRule="atLeast"/>
          <w:jc w:val="center"/>
        </w:trPr>
        <w:tc>
          <w:tcPr>
            <w:tcW w:w="684" w:type="pct"/>
            <w:vAlign w:val="center"/>
          </w:tcPr>
          <w:p w14:paraId="6A25A305">
            <w:pPr>
              <w:adjustRightInd w:val="0"/>
              <w:snapToGrid w:val="0"/>
              <w:spacing w:line="300" w:lineRule="exact"/>
              <w:jc w:val="center"/>
              <w:rPr>
                <w:rFonts w:hint="eastAsia"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Cs w:val="21"/>
                <w14:textFill>
                  <w14:solidFill>
                    <w14:schemeClr w14:val="tx1"/>
                  </w14:solidFill>
                </w14:textFill>
              </w:rPr>
              <w:t>Z</w:t>
            </w:r>
            <w:r>
              <w:rPr>
                <w:rFonts w:hint="eastAsia" w:ascii="宋体" w:hAnsi="宋体" w:cs="宋体"/>
                <w:color w:val="000000" w:themeColor="text1"/>
                <w:kern w:val="0"/>
                <w:szCs w:val="21"/>
                <w14:textFill>
                  <w14:solidFill>
                    <w14:schemeClr w14:val="tx1"/>
                  </w14:solidFill>
                </w14:textFill>
              </w:rPr>
              <w:t>31</w:t>
            </w:r>
          </w:p>
        </w:tc>
        <w:tc>
          <w:tcPr>
            <w:tcW w:w="598" w:type="pct"/>
            <w:vMerge w:val="continue"/>
            <w:vAlign w:val="center"/>
          </w:tcPr>
          <w:p w14:paraId="40EBDF1E">
            <w:pPr>
              <w:adjustRightInd w:val="0"/>
              <w:snapToGrid w:val="0"/>
              <w:spacing w:line="300" w:lineRule="exact"/>
              <w:jc w:val="center"/>
              <w:rPr>
                <w:rFonts w:hint="eastAsia" w:ascii="宋体" w:hAnsi="宋体" w:cs="宋体"/>
                <w:color w:val="000000" w:themeColor="text1"/>
                <w:kern w:val="0"/>
                <w:szCs w:val="21"/>
                <w14:textFill>
                  <w14:solidFill>
                    <w14:schemeClr w14:val="tx1"/>
                  </w14:solidFill>
                </w14:textFill>
              </w:rPr>
            </w:pPr>
          </w:p>
        </w:tc>
        <w:tc>
          <w:tcPr>
            <w:tcW w:w="852" w:type="pct"/>
            <w:vAlign w:val="center"/>
          </w:tcPr>
          <w:p w14:paraId="33DB55BF">
            <w:pPr>
              <w:adjustRightInd w:val="0"/>
              <w:snapToGrid w:val="0"/>
              <w:spacing w:line="300" w:lineRule="exact"/>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西厂界</w:t>
            </w:r>
          </w:p>
        </w:tc>
        <w:tc>
          <w:tcPr>
            <w:tcW w:w="1536" w:type="pct"/>
            <w:vAlign w:val="center"/>
          </w:tcPr>
          <w:p w14:paraId="00753DAF">
            <w:pPr>
              <w:adjustRightInd w:val="0"/>
              <w:snapToGrid w:val="0"/>
              <w:spacing w:line="300" w:lineRule="exact"/>
              <w:jc w:val="center"/>
              <w:rPr>
                <w:rFonts w:hint="eastAsia" w:ascii="宋体" w:hAnsi="宋体" w:cs="宋体"/>
                <w:color w:val="000000" w:themeColor="text1"/>
                <w:kern w:val="0"/>
                <w:szCs w:val="21"/>
                <w14:textFill>
                  <w14:solidFill>
                    <w14:schemeClr w14:val="tx1"/>
                  </w14:solidFill>
                </w14:textFill>
              </w:rPr>
            </w:pPr>
          </w:p>
        </w:tc>
        <w:tc>
          <w:tcPr>
            <w:tcW w:w="1330" w:type="pct"/>
            <w:vAlign w:val="center"/>
          </w:tcPr>
          <w:p w14:paraId="2CCC0604">
            <w:pPr>
              <w:adjustRightInd w:val="0"/>
              <w:snapToGrid w:val="0"/>
              <w:spacing w:line="300" w:lineRule="exact"/>
              <w:jc w:val="center"/>
              <w:rPr>
                <w:rFonts w:hint="eastAsia" w:ascii="宋体" w:hAnsi="宋体" w:cs="宋体"/>
                <w:color w:val="000000" w:themeColor="text1"/>
                <w:kern w:val="0"/>
                <w:szCs w:val="21"/>
                <w14:textFill>
                  <w14:solidFill>
                    <w14:schemeClr w14:val="tx1"/>
                  </w14:solidFill>
                </w14:textFill>
              </w:rPr>
            </w:pPr>
          </w:p>
        </w:tc>
      </w:tr>
      <w:tr w14:paraId="4731202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cantSplit/>
          <w:trHeight w:val="340" w:hRule="atLeast"/>
          <w:jc w:val="center"/>
        </w:trPr>
        <w:tc>
          <w:tcPr>
            <w:tcW w:w="684" w:type="pct"/>
            <w:vAlign w:val="center"/>
          </w:tcPr>
          <w:p w14:paraId="342FFCFB">
            <w:pPr>
              <w:adjustRightInd w:val="0"/>
              <w:snapToGrid w:val="0"/>
              <w:spacing w:line="300" w:lineRule="exact"/>
              <w:jc w:val="center"/>
              <w:rPr>
                <w:rFonts w:hint="eastAsia"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Cs w:val="21"/>
                <w14:textFill>
                  <w14:solidFill>
                    <w14:schemeClr w14:val="tx1"/>
                  </w14:solidFill>
                </w14:textFill>
              </w:rPr>
              <w:t>Z</w:t>
            </w:r>
            <w:r>
              <w:rPr>
                <w:rFonts w:hint="eastAsia" w:ascii="宋体" w:hAnsi="宋体" w:cs="宋体"/>
                <w:color w:val="000000" w:themeColor="text1"/>
                <w:kern w:val="0"/>
                <w:szCs w:val="21"/>
                <w14:textFill>
                  <w14:solidFill>
                    <w14:schemeClr w14:val="tx1"/>
                  </w14:solidFill>
                </w14:textFill>
              </w:rPr>
              <w:t>32</w:t>
            </w:r>
          </w:p>
        </w:tc>
        <w:tc>
          <w:tcPr>
            <w:tcW w:w="598" w:type="pct"/>
            <w:vMerge w:val="continue"/>
            <w:vAlign w:val="center"/>
          </w:tcPr>
          <w:p w14:paraId="3009029D">
            <w:pPr>
              <w:adjustRightInd w:val="0"/>
              <w:snapToGrid w:val="0"/>
              <w:spacing w:line="300" w:lineRule="exact"/>
              <w:jc w:val="center"/>
              <w:rPr>
                <w:rFonts w:hint="eastAsia" w:ascii="宋体" w:hAnsi="宋体" w:cs="宋体"/>
                <w:color w:val="000000" w:themeColor="text1"/>
                <w:kern w:val="0"/>
                <w:szCs w:val="21"/>
                <w14:textFill>
                  <w14:solidFill>
                    <w14:schemeClr w14:val="tx1"/>
                  </w14:solidFill>
                </w14:textFill>
              </w:rPr>
            </w:pPr>
          </w:p>
        </w:tc>
        <w:tc>
          <w:tcPr>
            <w:tcW w:w="852" w:type="pct"/>
            <w:vAlign w:val="center"/>
          </w:tcPr>
          <w:p w14:paraId="64B5FF90">
            <w:pPr>
              <w:adjustRightInd w:val="0"/>
              <w:snapToGrid w:val="0"/>
              <w:spacing w:line="300" w:lineRule="exact"/>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北厂界</w:t>
            </w:r>
          </w:p>
        </w:tc>
        <w:tc>
          <w:tcPr>
            <w:tcW w:w="1536" w:type="pct"/>
            <w:vAlign w:val="center"/>
          </w:tcPr>
          <w:p w14:paraId="351A1430">
            <w:pPr>
              <w:adjustRightInd w:val="0"/>
              <w:snapToGrid w:val="0"/>
              <w:spacing w:line="300" w:lineRule="exact"/>
              <w:jc w:val="center"/>
              <w:rPr>
                <w:rFonts w:hint="eastAsia" w:ascii="宋体" w:hAnsi="宋体" w:cs="宋体"/>
                <w:color w:val="000000" w:themeColor="text1"/>
                <w:kern w:val="0"/>
                <w:szCs w:val="21"/>
                <w14:textFill>
                  <w14:solidFill>
                    <w14:schemeClr w14:val="tx1"/>
                  </w14:solidFill>
                </w14:textFill>
              </w:rPr>
            </w:pPr>
          </w:p>
        </w:tc>
        <w:tc>
          <w:tcPr>
            <w:tcW w:w="1330" w:type="pct"/>
            <w:vAlign w:val="center"/>
          </w:tcPr>
          <w:p w14:paraId="44854191">
            <w:pPr>
              <w:adjustRightInd w:val="0"/>
              <w:snapToGrid w:val="0"/>
              <w:spacing w:line="300" w:lineRule="exact"/>
              <w:jc w:val="center"/>
              <w:rPr>
                <w:rFonts w:hint="eastAsia" w:ascii="宋体" w:hAnsi="宋体" w:cs="宋体"/>
                <w:color w:val="000000" w:themeColor="text1"/>
                <w:kern w:val="0"/>
                <w:szCs w:val="21"/>
                <w14:textFill>
                  <w14:solidFill>
                    <w14:schemeClr w14:val="tx1"/>
                  </w14:solidFill>
                </w14:textFill>
              </w:rPr>
            </w:pPr>
          </w:p>
        </w:tc>
      </w:tr>
      <w:tr w14:paraId="76A1FA4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cantSplit/>
          <w:trHeight w:val="340" w:hRule="atLeast"/>
          <w:jc w:val="center"/>
        </w:trPr>
        <w:tc>
          <w:tcPr>
            <w:tcW w:w="684" w:type="pct"/>
            <w:vAlign w:val="center"/>
          </w:tcPr>
          <w:p w14:paraId="42AA84A1">
            <w:pPr>
              <w:adjustRightInd w:val="0"/>
              <w:snapToGrid w:val="0"/>
              <w:spacing w:line="300" w:lineRule="exact"/>
              <w:jc w:val="center"/>
              <w:rPr>
                <w:rFonts w:hint="eastAsia"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Cs w:val="21"/>
                <w14:textFill>
                  <w14:solidFill>
                    <w14:schemeClr w14:val="tx1"/>
                  </w14:solidFill>
                </w14:textFill>
              </w:rPr>
              <w:t>Z</w:t>
            </w:r>
            <w:r>
              <w:rPr>
                <w:rFonts w:hint="eastAsia" w:ascii="宋体" w:hAnsi="宋体" w:cs="宋体"/>
                <w:color w:val="000000" w:themeColor="text1"/>
                <w:kern w:val="0"/>
                <w:szCs w:val="21"/>
                <w14:textFill>
                  <w14:solidFill>
                    <w14:schemeClr w14:val="tx1"/>
                  </w14:solidFill>
                </w14:textFill>
              </w:rPr>
              <w:t>33</w:t>
            </w:r>
          </w:p>
        </w:tc>
        <w:tc>
          <w:tcPr>
            <w:tcW w:w="598" w:type="pct"/>
            <w:vMerge w:val="restart"/>
            <w:vAlign w:val="center"/>
          </w:tcPr>
          <w:p w14:paraId="22AEEAE2">
            <w:pPr>
              <w:adjustRightInd w:val="0"/>
              <w:snapToGrid w:val="0"/>
              <w:spacing w:line="300" w:lineRule="exact"/>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bCs/>
                <w:color w:val="000000" w:themeColor="text1"/>
                <w:szCs w:val="21"/>
                <w14:textFill>
                  <w14:solidFill>
                    <w14:schemeClr w14:val="tx1"/>
                  </w14:solidFill>
                </w14:textFill>
              </w:rPr>
              <w:t>JHW00526</w:t>
            </w:r>
          </w:p>
        </w:tc>
        <w:tc>
          <w:tcPr>
            <w:tcW w:w="852" w:type="pct"/>
            <w:vAlign w:val="center"/>
          </w:tcPr>
          <w:p w14:paraId="2B75A423">
            <w:pPr>
              <w:adjustRightInd w:val="0"/>
              <w:snapToGrid w:val="0"/>
              <w:spacing w:line="300" w:lineRule="exact"/>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东厂界</w:t>
            </w:r>
          </w:p>
        </w:tc>
        <w:tc>
          <w:tcPr>
            <w:tcW w:w="1536" w:type="pct"/>
            <w:vAlign w:val="center"/>
          </w:tcPr>
          <w:p w14:paraId="5B26A9DB">
            <w:pPr>
              <w:adjustRightInd w:val="0"/>
              <w:snapToGrid w:val="0"/>
              <w:spacing w:line="300" w:lineRule="exact"/>
              <w:jc w:val="center"/>
              <w:rPr>
                <w:rFonts w:hint="eastAsia" w:ascii="宋体" w:hAnsi="宋体" w:cs="宋体"/>
                <w:color w:val="000000" w:themeColor="text1"/>
                <w:kern w:val="0"/>
                <w:szCs w:val="21"/>
                <w14:textFill>
                  <w14:solidFill>
                    <w14:schemeClr w14:val="tx1"/>
                  </w14:solidFill>
                </w14:textFill>
              </w:rPr>
            </w:pPr>
          </w:p>
        </w:tc>
        <w:tc>
          <w:tcPr>
            <w:tcW w:w="1330" w:type="pct"/>
            <w:vAlign w:val="center"/>
          </w:tcPr>
          <w:p w14:paraId="754F19E9">
            <w:pPr>
              <w:adjustRightInd w:val="0"/>
              <w:snapToGrid w:val="0"/>
              <w:spacing w:line="300" w:lineRule="exact"/>
              <w:jc w:val="center"/>
              <w:rPr>
                <w:rFonts w:hint="eastAsia" w:ascii="宋体" w:hAnsi="宋体" w:cs="宋体"/>
                <w:color w:val="000000" w:themeColor="text1"/>
                <w:kern w:val="0"/>
                <w:szCs w:val="21"/>
                <w14:textFill>
                  <w14:solidFill>
                    <w14:schemeClr w14:val="tx1"/>
                  </w14:solidFill>
                </w14:textFill>
              </w:rPr>
            </w:pPr>
          </w:p>
        </w:tc>
      </w:tr>
      <w:tr w14:paraId="7449E36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cantSplit/>
          <w:trHeight w:val="340" w:hRule="atLeast"/>
          <w:jc w:val="center"/>
        </w:trPr>
        <w:tc>
          <w:tcPr>
            <w:tcW w:w="684" w:type="pct"/>
            <w:vAlign w:val="center"/>
          </w:tcPr>
          <w:p w14:paraId="3F0C4326">
            <w:pPr>
              <w:adjustRightInd w:val="0"/>
              <w:snapToGrid w:val="0"/>
              <w:spacing w:line="300" w:lineRule="exact"/>
              <w:jc w:val="center"/>
              <w:rPr>
                <w:rFonts w:hint="eastAsia"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Cs w:val="21"/>
                <w14:textFill>
                  <w14:solidFill>
                    <w14:schemeClr w14:val="tx1"/>
                  </w14:solidFill>
                </w14:textFill>
              </w:rPr>
              <w:t>Z</w:t>
            </w:r>
            <w:r>
              <w:rPr>
                <w:rFonts w:hint="eastAsia" w:ascii="宋体" w:hAnsi="宋体" w:cs="宋体"/>
                <w:color w:val="000000" w:themeColor="text1"/>
                <w:kern w:val="0"/>
                <w:szCs w:val="21"/>
                <w14:textFill>
                  <w14:solidFill>
                    <w14:schemeClr w14:val="tx1"/>
                  </w14:solidFill>
                </w14:textFill>
              </w:rPr>
              <w:t>34</w:t>
            </w:r>
          </w:p>
        </w:tc>
        <w:tc>
          <w:tcPr>
            <w:tcW w:w="598" w:type="pct"/>
            <w:vMerge w:val="continue"/>
            <w:vAlign w:val="center"/>
          </w:tcPr>
          <w:p w14:paraId="5478E74A">
            <w:pPr>
              <w:adjustRightInd w:val="0"/>
              <w:snapToGrid w:val="0"/>
              <w:spacing w:line="300" w:lineRule="exact"/>
              <w:jc w:val="center"/>
              <w:rPr>
                <w:rFonts w:hint="eastAsia" w:ascii="宋体" w:hAnsi="宋体" w:cs="宋体"/>
                <w:color w:val="000000" w:themeColor="text1"/>
                <w:kern w:val="0"/>
                <w:szCs w:val="21"/>
                <w14:textFill>
                  <w14:solidFill>
                    <w14:schemeClr w14:val="tx1"/>
                  </w14:solidFill>
                </w14:textFill>
              </w:rPr>
            </w:pPr>
          </w:p>
        </w:tc>
        <w:tc>
          <w:tcPr>
            <w:tcW w:w="852" w:type="pct"/>
            <w:vAlign w:val="center"/>
          </w:tcPr>
          <w:p w14:paraId="3D4DDD98">
            <w:pPr>
              <w:adjustRightInd w:val="0"/>
              <w:snapToGrid w:val="0"/>
              <w:spacing w:line="300" w:lineRule="exact"/>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南厂界</w:t>
            </w:r>
          </w:p>
        </w:tc>
        <w:tc>
          <w:tcPr>
            <w:tcW w:w="1536" w:type="pct"/>
            <w:vAlign w:val="center"/>
          </w:tcPr>
          <w:p w14:paraId="6F3AF6A5">
            <w:pPr>
              <w:adjustRightInd w:val="0"/>
              <w:snapToGrid w:val="0"/>
              <w:spacing w:line="300" w:lineRule="exact"/>
              <w:jc w:val="center"/>
              <w:rPr>
                <w:rFonts w:hint="eastAsia" w:ascii="宋体" w:hAnsi="宋体" w:cs="宋体"/>
                <w:color w:val="000000" w:themeColor="text1"/>
                <w:kern w:val="0"/>
                <w:szCs w:val="21"/>
                <w14:textFill>
                  <w14:solidFill>
                    <w14:schemeClr w14:val="tx1"/>
                  </w14:solidFill>
                </w14:textFill>
              </w:rPr>
            </w:pPr>
          </w:p>
        </w:tc>
        <w:tc>
          <w:tcPr>
            <w:tcW w:w="1330" w:type="pct"/>
            <w:vAlign w:val="center"/>
          </w:tcPr>
          <w:p w14:paraId="4414FD65">
            <w:pPr>
              <w:adjustRightInd w:val="0"/>
              <w:snapToGrid w:val="0"/>
              <w:spacing w:line="300" w:lineRule="exact"/>
              <w:jc w:val="center"/>
              <w:rPr>
                <w:rFonts w:hint="eastAsia" w:ascii="宋体" w:hAnsi="宋体" w:cs="宋体"/>
                <w:color w:val="000000" w:themeColor="text1"/>
                <w:kern w:val="0"/>
                <w:szCs w:val="21"/>
                <w14:textFill>
                  <w14:solidFill>
                    <w14:schemeClr w14:val="tx1"/>
                  </w14:solidFill>
                </w14:textFill>
              </w:rPr>
            </w:pPr>
          </w:p>
        </w:tc>
      </w:tr>
      <w:tr w14:paraId="482D9CF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cantSplit/>
          <w:trHeight w:val="340" w:hRule="atLeast"/>
          <w:jc w:val="center"/>
        </w:trPr>
        <w:tc>
          <w:tcPr>
            <w:tcW w:w="684" w:type="pct"/>
            <w:vAlign w:val="center"/>
          </w:tcPr>
          <w:p w14:paraId="51A6E7B3">
            <w:pPr>
              <w:adjustRightInd w:val="0"/>
              <w:snapToGrid w:val="0"/>
              <w:spacing w:line="300" w:lineRule="exact"/>
              <w:jc w:val="center"/>
              <w:rPr>
                <w:rFonts w:hint="eastAsia"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Cs w:val="21"/>
                <w14:textFill>
                  <w14:solidFill>
                    <w14:schemeClr w14:val="tx1"/>
                  </w14:solidFill>
                </w14:textFill>
              </w:rPr>
              <w:t>Z</w:t>
            </w:r>
            <w:r>
              <w:rPr>
                <w:rFonts w:hint="eastAsia" w:ascii="宋体" w:hAnsi="宋体" w:cs="宋体"/>
                <w:color w:val="000000" w:themeColor="text1"/>
                <w:kern w:val="0"/>
                <w:szCs w:val="21"/>
                <w14:textFill>
                  <w14:solidFill>
                    <w14:schemeClr w14:val="tx1"/>
                  </w14:solidFill>
                </w14:textFill>
              </w:rPr>
              <w:t>35</w:t>
            </w:r>
          </w:p>
        </w:tc>
        <w:tc>
          <w:tcPr>
            <w:tcW w:w="598" w:type="pct"/>
            <w:vMerge w:val="continue"/>
            <w:vAlign w:val="center"/>
          </w:tcPr>
          <w:p w14:paraId="0B1397DF">
            <w:pPr>
              <w:adjustRightInd w:val="0"/>
              <w:snapToGrid w:val="0"/>
              <w:spacing w:line="300" w:lineRule="exact"/>
              <w:jc w:val="center"/>
              <w:rPr>
                <w:rFonts w:hint="eastAsia" w:ascii="宋体" w:hAnsi="宋体" w:cs="宋体"/>
                <w:color w:val="000000" w:themeColor="text1"/>
                <w:kern w:val="0"/>
                <w:szCs w:val="21"/>
                <w14:textFill>
                  <w14:solidFill>
                    <w14:schemeClr w14:val="tx1"/>
                  </w14:solidFill>
                </w14:textFill>
              </w:rPr>
            </w:pPr>
          </w:p>
        </w:tc>
        <w:tc>
          <w:tcPr>
            <w:tcW w:w="852" w:type="pct"/>
            <w:vAlign w:val="center"/>
          </w:tcPr>
          <w:p w14:paraId="09B5F153">
            <w:pPr>
              <w:adjustRightInd w:val="0"/>
              <w:snapToGrid w:val="0"/>
              <w:spacing w:line="300" w:lineRule="exact"/>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西厂界</w:t>
            </w:r>
          </w:p>
        </w:tc>
        <w:tc>
          <w:tcPr>
            <w:tcW w:w="1536" w:type="pct"/>
            <w:vAlign w:val="center"/>
          </w:tcPr>
          <w:p w14:paraId="23F7B02E">
            <w:pPr>
              <w:adjustRightInd w:val="0"/>
              <w:snapToGrid w:val="0"/>
              <w:spacing w:line="300" w:lineRule="exact"/>
              <w:jc w:val="center"/>
              <w:rPr>
                <w:rFonts w:hint="eastAsia" w:ascii="宋体" w:hAnsi="宋体" w:cs="宋体"/>
                <w:color w:val="000000" w:themeColor="text1"/>
                <w:kern w:val="0"/>
                <w:szCs w:val="21"/>
                <w14:textFill>
                  <w14:solidFill>
                    <w14:schemeClr w14:val="tx1"/>
                  </w14:solidFill>
                </w14:textFill>
              </w:rPr>
            </w:pPr>
          </w:p>
        </w:tc>
        <w:tc>
          <w:tcPr>
            <w:tcW w:w="1330" w:type="pct"/>
            <w:vAlign w:val="center"/>
          </w:tcPr>
          <w:p w14:paraId="702EA2EF">
            <w:pPr>
              <w:adjustRightInd w:val="0"/>
              <w:snapToGrid w:val="0"/>
              <w:spacing w:line="300" w:lineRule="exact"/>
              <w:jc w:val="center"/>
              <w:rPr>
                <w:rFonts w:hint="eastAsia" w:ascii="宋体" w:hAnsi="宋体" w:cs="宋体"/>
                <w:color w:val="000000" w:themeColor="text1"/>
                <w:kern w:val="0"/>
                <w:szCs w:val="21"/>
                <w14:textFill>
                  <w14:solidFill>
                    <w14:schemeClr w14:val="tx1"/>
                  </w14:solidFill>
                </w14:textFill>
              </w:rPr>
            </w:pPr>
          </w:p>
        </w:tc>
      </w:tr>
      <w:tr w14:paraId="1550FBB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cantSplit/>
          <w:trHeight w:val="340" w:hRule="atLeast"/>
          <w:jc w:val="center"/>
        </w:trPr>
        <w:tc>
          <w:tcPr>
            <w:tcW w:w="684" w:type="pct"/>
            <w:vAlign w:val="center"/>
          </w:tcPr>
          <w:p w14:paraId="18EA959B">
            <w:pPr>
              <w:widowControl/>
              <w:adjustRightInd w:val="0"/>
              <w:snapToGrid w:val="0"/>
              <w:spacing w:line="300" w:lineRule="exact"/>
              <w:jc w:val="center"/>
              <w:outlineLvl w:val="1"/>
              <w:rPr>
                <w:rFonts w:hint="eastAsia" w:ascii="宋体" w:hAnsi="宋体" w:cs="宋体"/>
                <w:color w:val="000000" w:themeColor="text1"/>
                <w:kern w:val="0"/>
                <w:szCs w:val="21"/>
                <w14:textFill>
                  <w14:solidFill>
                    <w14:schemeClr w14:val="tx1"/>
                  </w14:solidFill>
                </w14:textFill>
              </w:rPr>
            </w:pPr>
            <w:bookmarkStart w:id="416" w:name="_Toc216260257"/>
            <w:bookmarkStart w:id="417" w:name="_Toc208679655"/>
            <w:r>
              <w:rPr>
                <w:rFonts w:ascii="宋体" w:hAnsi="宋体" w:cs="宋体"/>
                <w:color w:val="000000" w:themeColor="text1"/>
                <w:kern w:val="0"/>
                <w:szCs w:val="21"/>
                <w14:textFill>
                  <w14:solidFill>
                    <w14:schemeClr w14:val="tx1"/>
                  </w14:solidFill>
                </w14:textFill>
              </w:rPr>
              <w:t>Z</w:t>
            </w:r>
            <w:r>
              <w:rPr>
                <w:rFonts w:hint="eastAsia" w:ascii="宋体" w:hAnsi="宋体" w:cs="宋体"/>
                <w:color w:val="000000" w:themeColor="text1"/>
                <w:kern w:val="0"/>
                <w:szCs w:val="21"/>
                <w14:textFill>
                  <w14:solidFill>
                    <w14:schemeClr w14:val="tx1"/>
                  </w14:solidFill>
                </w14:textFill>
              </w:rPr>
              <w:t>36</w:t>
            </w:r>
            <w:bookmarkEnd w:id="416"/>
            <w:bookmarkEnd w:id="417"/>
          </w:p>
        </w:tc>
        <w:tc>
          <w:tcPr>
            <w:tcW w:w="598" w:type="pct"/>
            <w:vMerge w:val="continue"/>
            <w:vAlign w:val="center"/>
          </w:tcPr>
          <w:p w14:paraId="7A7A1CCB">
            <w:pPr>
              <w:adjustRightInd w:val="0"/>
              <w:snapToGrid w:val="0"/>
              <w:spacing w:line="300" w:lineRule="exact"/>
              <w:jc w:val="center"/>
              <w:rPr>
                <w:rFonts w:hint="eastAsia" w:ascii="宋体" w:hAnsi="宋体" w:cs="宋体"/>
                <w:color w:val="000000" w:themeColor="text1"/>
                <w:kern w:val="0"/>
                <w:szCs w:val="21"/>
                <w14:textFill>
                  <w14:solidFill>
                    <w14:schemeClr w14:val="tx1"/>
                  </w14:solidFill>
                </w14:textFill>
              </w:rPr>
            </w:pPr>
          </w:p>
        </w:tc>
        <w:tc>
          <w:tcPr>
            <w:tcW w:w="852" w:type="pct"/>
            <w:vAlign w:val="center"/>
          </w:tcPr>
          <w:p w14:paraId="39AF8E82">
            <w:pPr>
              <w:adjustRightInd w:val="0"/>
              <w:snapToGrid w:val="0"/>
              <w:spacing w:line="300" w:lineRule="exact"/>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北厂界</w:t>
            </w:r>
          </w:p>
        </w:tc>
        <w:tc>
          <w:tcPr>
            <w:tcW w:w="1536" w:type="pct"/>
            <w:vAlign w:val="center"/>
          </w:tcPr>
          <w:p w14:paraId="1EFAE752">
            <w:pPr>
              <w:adjustRightInd w:val="0"/>
              <w:snapToGrid w:val="0"/>
              <w:spacing w:line="300" w:lineRule="exact"/>
              <w:jc w:val="center"/>
              <w:rPr>
                <w:rFonts w:hint="eastAsia" w:ascii="宋体" w:hAnsi="宋体" w:cs="宋体"/>
                <w:color w:val="000000" w:themeColor="text1"/>
                <w:kern w:val="0"/>
                <w:szCs w:val="21"/>
                <w14:textFill>
                  <w14:solidFill>
                    <w14:schemeClr w14:val="tx1"/>
                  </w14:solidFill>
                </w14:textFill>
              </w:rPr>
            </w:pPr>
          </w:p>
        </w:tc>
        <w:tc>
          <w:tcPr>
            <w:tcW w:w="1330" w:type="pct"/>
            <w:vAlign w:val="center"/>
          </w:tcPr>
          <w:p w14:paraId="1A890351">
            <w:pPr>
              <w:adjustRightInd w:val="0"/>
              <w:snapToGrid w:val="0"/>
              <w:spacing w:line="300" w:lineRule="exact"/>
              <w:jc w:val="center"/>
              <w:rPr>
                <w:rFonts w:hint="eastAsia" w:ascii="宋体" w:hAnsi="宋体" w:cs="宋体"/>
                <w:color w:val="000000" w:themeColor="text1"/>
                <w:kern w:val="0"/>
                <w:szCs w:val="21"/>
                <w14:textFill>
                  <w14:solidFill>
                    <w14:schemeClr w14:val="tx1"/>
                  </w14:solidFill>
                </w14:textFill>
              </w:rPr>
            </w:pPr>
          </w:p>
        </w:tc>
      </w:tr>
      <w:tr w14:paraId="25F3103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cantSplit/>
          <w:trHeight w:val="340" w:hRule="atLeast"/>
          <w:jc w:val="center"/>
        </w:trPr>
        <w:tc>
          <w:tcPr>
            <w:tcW w:w="684" w:type="pct"/>
            <w:vAlign w:val="center"/>
          </w:tcPr>
          <w:p w14:paraId="5ED470CB">
            <w:pPr>
              <w:adjustRightInd w:val="0"/>
              <w:snapToGrid w:val="0"/>
              <w:spacing w:line="300" w:lineRule="exact"/>
              <w:jc w:val="center"/>
              <w:rPr>
                <w:rFonts w:hint="eastAsia"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Cs w:val="21"/>
                <w14:textFill>
                  <w14:solidFill>
                    <w14:schemeClr w14:val="tx1"/>
                  </w14:solidFill>
                </w14:textFill>
              </w:rPr>
              <w:t>Z</w:t>
            </w:r>
            <w:r>
              <w:rPr>
                <w:rFonts w:hint="eastAsia" w:ascii="宋体" w:hAnsi="宋体" w:cs="宋体"/>
                <w:color w:val="000000" w:themeColor="text1"/>
                <w:kern w:val="0"/>
                <w:szCs w:val="21"/>
                <w14:textFill>
                  <w14:solidFill>
                    <w14:schemeClr w14:val="tx1"/>
                  </w14:solidFill>
                </w14:textFill>
              </w:rPr>
              <w:t>37</w:t>
            </w:r>
          </w:p>
        </w:tc>
        <w:tc>
          <w:tcPr>
            <w:tcW w:w="598" w:type="pct"/>
            <w:vMerge w:val="restart"/>
            <w:vAlign w:val="center"/>
          </w:tcPr>
          <w:p w14:paraId="16F7FE21">
            <w:pPr>
              <w:adjustRightInd w:val="0"/>
              <w:snapToGrid w:val="0"/>
              <w:spacing w:line="300" w:lineRule="exact"/>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bCs/>
                <w:color w:val="000000" w:themeColor="text1"/>
                <w:szCs w:val="21"/>
                <w14:textFill>
                  <w14:solidFill>
                    <w14:schemeClr w14:val="tx1"/>
                  </w14:solidFill>
                </w14:textFill>
              </w:rPr>
              <w:t>JHW00422</w:t>
            </w:r>
          </w:p>
        </w:tc>
        <w:tc>
          <w:tcPr>
            <w:tcW w:w="852" w:type="pct"/>
            <w:vAlign w:val="center"/>
          </w:tcPr>
          <w:p w14:paraId="42DCFE6C">
            <w:pPr>
              <w:adjustRightInd w:val="0"/>
              <w:snapToGrid w:val="0"/>
              <w:spacing w:line="300" w:lineRule="exact"/>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东厂界</w:t>
            </w:r>
          </w:p>
        </w:tc>
        <w:tc>
          <w:tcPr>
            <w:tcW w:w="1536" w:type="pct"/>
            <w:vAlign w:val="center"/>
          </w:tcPr>
          <w:p w14:paraId="3319452F">
            <w:pPr>
              <w:adjustRightInd w:val="0"/>
              <w:snapToGrid w:val="0"/>
              <w:spacing w:line="300" w:lineRule="exact"/>
              <w:jc w:val="center"/>
              <w:rPr>
                <w:rFonts w:hint="eastAsia" w:ascii="宋体" w:hAnsi="宋体" w:cs="宋体"/>
                <w:color w:val="000000" w:themeColor="text1"/>
                <w:kern w:val="0"/>
                <w:szCs w:val="21"/>
                <w14:textFill>
                  <w14:solidFill>
                    <w14:schemeClr w14:val="tx1"/>
                  </w14:solidFill>
                </w14:textFill>
              </w:rPr>
            </w:pPr>
          </w:p>
        </w:tc>
        <w:tc>
          <w:tcPr>
            <w:tcW w:w="1330" w:type="pct"/>
            <w:vAlign w:val="center"/>
          </w:tcPr>
          <w:p w14:paraId="6B7FEEA5">
            <w:pPr>
              <w:adjustRightInd w:val="0"/>
              <w:snapToGrid w:val="0"/>
              <w:spacing w:line="300" w:lineRule="exact"/>
              <w:jc w:val="center"/>
              <w:rPr>
                <w:rFonts w:hint="eastAsia" w:ascii="宋体" w:hAnsi="宋体" w:cs="宋体"/>
                <w:color w:val="000000" w:themeColor="text1"/>
                <w:kern w:val="0"/>
                <w:szCs w:val="21"/>
                <w14:textFill>
                  <w14:solidFill>
                    <w14:schemeClr w14:val="tx1"/>
                  </w14:solidFill>
                </w14:textFill>
              </w:rPr>
            </w:pPr>
          </w:p>
        </w:tc>
      </w:tr>
      <w:tr w14:paraId="6ECE0CC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cantSplit/>
          <w:trHeight w:val="340" w:hRule="atLeast"/>
          <w:jc w:val="center"/>
        </w:trPr>
        <w:tc>
          <w:tcPr>
            <w:tcW w:w="684" w:type="pct"/>
            <w:vAlign w:val="center"/>
          </w:tcPr>
          <w:p w14:paraId="78C24447">
            <w:pPr>
              <w:adjustRightInd w:val="0"/>
              <w:snapToGrid w:val="0"/>
              <w:spacing w:line="300" w:lineRule="exact"/>
              <w:jc w:val="center"/>
              <w:rPr>
                <w:rFonts w:hint="eastAsia"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Cs w:val="21"/>
                <w14:textFill>
                  <w14:solidFill>
                    <w14:schemeClr w14:val="tx1"/>
                  </w14:solidFill>
                </w14:textFill>
              </w:rPr>
              <w:t>Z</w:t>
            </w:r>
            <w:r>
              <w:rPr>
                <w:rFonts w:hint="eastAsia" w:ascii="宋体" w:hAnsi="宋体" w:cs="宋体"/>
                <w:color w:val="000000" w:themeColor="text1"/>
                <w:kern w:val="0"/>
                <w:szCs w:val="21"/>
                <w14:textFill>
                  <w14:solidFill>
                    <w14:schemeClr w14:val="tx1"/>
                  </w14:solidFill>
                </w14:textFill>
              </w:rPr>
              <w:t>38</w:t>
            </w:r>
          </w:p>
        </w:tc>
        <w:tc>
          <w:tcPr>
            <w:tcW w:w="598" w:type="pct"/>
            <w:vMerge w:val="continue"/>
            <w:vAlign w:val="center"/>
          </w:tcPr>
          <w:p w14:paraId="4FC2555F">
            <w:pPr>
              <w:adjustRightInd w:val="0"/>
              <w:snapToGrid w:val="0"/>
              <w:spacing w:line="300" w:lineRule="exact"/>
              <w:jc w:val="center"/>
              <w:rPr>
                <w:rFonts w:hint="eastAsia" w:ascii="宋体" w:hAnsi="宋体" w:cs="宋体"/>
                <w:color w:val="000000" w:themeColor="text1"/>
                <w:kern w:val="0"/>
                <w:szCs w:val="21"/>
                <w14:textFill>
                  <w14:solidFill>
                    <w14:schemeClr w14:val="tx1"/>
                  </w14:solidFill>
                </w14:textFill>
              </w:rPr>
            </w:pPr>
          </w:p>
        </w:tc>
        <w:tc>
          <w:tcPr>
            <w:tcW w:w="852" w:type="pct"/>
            <w:vAlign w:val="center"/>
          </w:tcPr>
          <w:p w14:paraId="6D5207D5">
            <w:pPr>
              <w:adjustRightInd w:val="0"/>
              <w:snapToGrid w:val="0"/>
              <w:spacing w:line="300" w:lineRule="exact"/>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南厂界</w:t>
            </w:r>
          </w:p>
        </w:tc>
        <w:tc>
          <w:tcPr>
            <w:tcW w:w="1536" w:type="pct"/>
            <w:vAlign w:val="center"/>
          </w:tcPr>
          <w:p w14:paraId="7F036CE9">
            <w:pPr>
              <w:adjustRightInd w:val="0"/>
              <w:snapToGrid w:val="0"/>
              <w:spacing w:line="300" w:lineRule="exact"/>
              <w:jc w:val="center"/>
              <w:rPr>
                <w:rFonts w:hint="eastAsia" w:ascii="宋体" w:hAnsi="宋体" w:cs="宋体"/>
                <w:color w:val="000000" w:themeColor="text1"/>
                <w:kern w:val="0"/>
                <w:szCs w:val="21"/>
                <w14:textFill>
                  <w14:solidFill>
                    <w14:schemeClr w14:val="tx1"/>
                  </w14:solidFill>
                </w14:textFill>
              </w:rPr>
            </w:pPr>
          </w:p>
        </w:tc>
        <w:tc>
          <w:tcPr>
            <w:tcW w:w="1330" w:type="pct"/>
            <w:vAlign w:val="center"/>
          </w:tcPr>
          <w:p w14:paraId="417634A2">
            <w:pPr>
              <w:adjustRightInd w:val="0"/>
              <w:snapToGrid w:val="0"/>
              <w:spacing w:line="300" w:lineRule="exact"/>
              <w:jc w:val="center"/>
              <w:rPr>
                <w:rFonts w:hint="eastAsia" w:ascii="宋体" w:hAnsi="宋体" w:cs="宋体"/>
                <w:color w:val="000000" w:themeColor="text1"/>
                <w:kern w:val="0"/>
                <w:szCs w:val="21"/>
                <w14:textFill>
                  <w14:solidFill>
                    <w14:schemeClr w14:val="tx1"/>
                  </w14:solidFill>
                </w14:textFill>
              </w:rPr>
            </w:pPr>
          </w:p>
        </w:tc>
      </w:tr>
      <w:tr w14:paraId="5B05742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cantSplit/>
          <w:trHeight w:val="340" w:hRule="atLeast"/>
          <w:jc w:val="center"/>
        </w:trPr>
        <w:tc>
          <w:tcPr>
            <w:tcW w:w="684" w:type="pct"/>
            <w:vAlign w:val="center"/>
          </w:tcPr>
          <w:p w14:paraId="71CD3E01">
            <w:pPr>
              <w:adjustRightInd w:val="0"/>
              <w:snapToGrid w:val="0"/>
              <w:spacing w:line="300" w:lineRule="exact"/>
              <w:jc w:val="center"/>
              <w:rPr>
                <w:rFonts w:hint="eastAsia"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Cs w:val="21"/>
                <w14:textFill>
                  <w14:solidFill>
                    <w14:schemeClr w14:val="tx1"/>
                  </w14:solidFill>
                </w14:textFill>
              </w:rPr>
              <w:t>Z</w:t>
            </w:r>
            <w:r>
              <w:rPr>
                <w:rFonts w:hint="eastAsia" w:ascii="宋体" w:hAnsi="宋体" w:cs="宋体"/>
                <w:color w:val="000000" w:themeColor="text1"/>
                <w:kern w:val="0"/>
                <w:szCs w:val="21"/>
                <w14:textFill>
                  <w14:solidFill>
                    <w14:schemeClr w14:val="tx1"/>
                  </w14:solidFill>
                </w14:textFill>
              </w:rPr>
              <w:t>39</w:t>
            </w:r>
          </w:p>
        </w:tc>
        <w:tc>
          <w:tcPr>
            <w:tcW w:w="598" w:type="pct"/>
            <w:vMerge w:val="continue"/>
            <w:vAlign w:val="center"/>
          </w:tcPr>
          <w:p w14:paraId="69D09530">
            <w:pPr>
              <w:adjustRightInd w:val="0"/>
              <w:snapToGrid w:val="0"/>
              <w:spacing w:line="300" w:lineRule="exact"/>
              <w:jc w:val="center"/>
              <w:rPr>
                <w:rFonts w:hint="eastAsia" w:ascii="宋体" w:hAnsi="宋体" w:cs="宋体"/>
                <w:color w:val="000000" w:themeColor="text1"/>
                <w:kern w:val="0"/>
                <w:szCs w:val="21"/>
                <w14:textFill>
                  <w14:solidFill>
                    <w14:schemeClr w14:val="tx1"/>
                  </w14:solidFill>
                </w14:textFill>
              </w:rPr>
            </w:pPr>
          </w:p>
        </w:tc>
        <w:tc>
          <w:tcPr>
            <w:tcW w:w="852" w:type="pct"/>
            <w:vAlign w:val="center"/>
          </w:tcPr>
          <w:p w14:paraId="01F830C7">
            <w:pPr>
              <w:adjustRightInd w:val="0"/>
              <w:snapToGrid w:val="0"/>
              <w:spacing w:line="300" w:lineRule="exact"/>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西厂界</w:t>
            </w:r>
          </w:p>
        </w:tc>
        <w:tc>
          <w:tcPr>
            <w:tcW w:w="1536" w:type="pct"/>
            <w:vAlign w:val="center"/>
          </w:tcPr>
          <w:p w14:paraId="2973E9B5">
            <w:pPr>
              <w:adjustRightInd w:val="0"/>
              <w:snapToGrid w:val="0"/>
              <w:spacing w:line="300" w:lineRule="exact"/>
              <w:jc w:val="center"/>
              <w:rPr>
                <w:rFonts w:hint="eastAsia" w:ascii="宋体" w:hAnsi="宋体" w:cs="宋体"/>
                <w:color w:val="000000" w:themeColor="text1"/>
                <w:kern w:val="0"/>
                <w:szCs w:val="21"/>
                <w14:textFill>
                  <w14:solidFill>
                    <w14:schemeClr w14:val="tx1"/>
                  </w14:solidFill>
                </w14:textFill>
              </w:rPr>
            </w:pPr>
          </w:p>
        </w:tc>
        <w:tc>
          <w:tcPr>
            <w:tcW w:w="1330" w:type="pct"/>
            <w:vAlign w:val="center"/>
          </w:tcPr>
          <w:p w14:paraId="5ED98D0F">
            <w:pPr>
              <w:adjustRightInd w:val="0"/>
              <w:snapToGrid w:val="0"/>
              <w:spacing w:line="300" w:lineRule="exact"/>
              <w:jc w:val="center"/>
              <w:rPr>
                <w:rFonts w:hint="eastAsia" w:ascii="宋体" w:hAnsi="宋体" w:cs="宋体"/>
                <w:color w:val="000000" w:themeColor="text1"/>
                <w:kern w:val="0"/>
                <w:szCs w:val="21"/>
                <w14:textFill>
                  <w14:solidFill>
                    <w14:schemeClr w14:val="tx1"/>
                  </w14:solidFill>
                </w14:textFill>
              </w:rPr>
            </w:pPr>
          </w:p>
        </w:tc>
      </w:tr>
      <w:tr w14:paraId="6E95C77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cantSplit/>
          <w:trHeight w:val="340" w:hRule="atLeast"/>
          <w:jc w:val="center"/>
        </w:trPr>
        <w:tc>
          <w:tcPr>
            <w:tcW w:w="684" w:type="pct"/>
            <w:vAlign w:val="center"/>
          </w:tcPr>
          <w:p w14:paraId="7B45F819">
            <w:pPr>
              <w:adjustRightInd w:val="0"/>
              <w:snapToGrid w:val="0"/>
              <w:spacing w:line="300" w:lineRule="exact"/>
              <w:jc w:val="center"/>
              <w:rPr>
                <w:rFonts w:hint="eastAsia"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Cs w:val="21"/>
                <w14:textFill>
                  <w14:solidFill>
                    <w14:schemeClr w14:val="tx1"/>
                  </w14:solidFill>
                </w14:textFill>
              </w:rPr>
              <w:t>Z</w:t>
            </w:r>
            <w:r>
              <w:rPr>
                <w:rFonts w:hint="eastAsia" w:ascii="宋体" w:hAnsi="宋体" w:cs="宋体"/>
                <w:color w:val="000000" w:themeColor="text1"/>
                <w:kern w:val="0"/>
                <w:szCs w:val="21"/>
                <w14:textFill>
                  <w14:solidFill>
                    <w14:schemeClr w14:val="tx1"/>
                  </w14:solidFill>
                </w14:textFill>
              </w:rPr>
              <w:t>40</w:t>
            </w:r>
          </w:p>
        </w:tc>
        <w:tc>
          <w:tcPr>
            <w:tcW w:w="598" w:type="pct"/>
            <w:vMerge w:val="continue"/>
            <w:vAlign w:val="center"/>
          </w:tcPr>
          <w:p w14:paraId="464BC18E">
            <w:pPr>
              <w:adjustRightInd w:val="0"/>
              <w:snapToGrid w:val="0"/>
              <w:spacing w:line="300" w:lineRule="exact"/>
              <w:jc w:val="center"/>
              <w:rPr>
                <w:rFonts w:hint="eastAsia" w:ascii="宋体" w:hAnsi="宋体" w:cs="宋体"/>
                <w:color w:val="000000" w:themeColor="text1"/>
                <w:kern w:val="0"/>
                <w:szCs w:val="21"/>
                <w14:textFill>
                  <w14:solidFill>
                    <w14:schemeClr w14:val="tx1"/>
                  </w14:solidFill>
                </w14:textFill>
              </w:rPr>
            </w:pPr>
          </w:p>
        </w:tc>
        <w:tc>
          <w:tcPr>
            <w:tcW w:w="852" w:type="pct"/>
            <w:vAlign w:val="center"/>
          </w:tcPr>
          <w:p w14:paraId="634D42C5">
            <w:pPr>
              <w:adjustRightInd w:val="0"/>
              <w:snapToGrid w:val="0"/>
              <w:spacing w:line="300" w:lineRule="exact"/>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北厂界</w:t>
            </w:r>
          </w:p>
        </w:tc>
        <w:tc>
          <w:tcPr>
            <w:tcW w:w="1536" w:type="pct"/>
            <w:vAlign w:val="center"/>
          </w:tcPr>
          <w:p w14:paraId="260765C5">
            <w:pPr>
              <w:adjustRightInd w:val="0"/>
              <w:snapToGrid w:val="0"/>
              <w:spacing w:line="300" w:lineRule="exact"/>
              <w:jc w:val="center"/>
              <w:rPr>
                <w:rFonts w:hint="eastAsia" w:ascii="宋体" w:hAnsi="宋体" w:cs="宋体"/>
                <w:color w:val="000000" w:themeColor="text1"/>
                <w:kern w:val="0"/>
                <w:szCs w:val="21"/>
                <w14:textFill>
                  <w14:solidFill>
                    <w14:schemeClr w14:val="tx1"/>
                  </w14:solidFill>
                </w14:textFill>
              </w:rPr>
            </w:pPr>
          </w:p>
        </w:tc>
        <w:tc>
          <w:tcPr>
            <w:tcW w:w="1330" w:type="pct"/>
            <w:vAlign w:val="center"/>
          </w:tcPr>
          <w:p w14:paraId="04D8071E">
            <w:pPr>
              <w:adjustRightInd w:val="0"/>
              <w:snapToGrid w:val="0"/>
              <w:spacing w:line="300" w:lineRule="exact"/>
              <w:jc w:val="center"/>
              <w:rPr>
                <w:rFonts w:hint="eastAsia" w:ascii="宋体" w:hAnsi="宋体" w:cs="宋体"/>
                <w:color w:val="000000" w:themeColor="text1"/>
                <w:kern w:val="0"/>
                <w:szCs w:val="21"/>
                <w14:textFill>
                  <w14:solidFill>
                    <w14:schemeClr w14:val="tx1"/>
                  </w14:solidFill>
                </w14:textFill>
              </w:rPr>
            </w:pPr>
          </w:p>
        </w:tc>
      </w:tr>
      <w:tr w14:paraId="2469CE2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cantSplit/>
          <w:trHeight w:val="340" w:hRule="atLeast"/>
          <w:jc w:val="center"/>
        </w:trPr>
        <w:tc>
          <w:tcPr>
            <w:tcW w:w="684" w:type="pct"/>
            <w:vAlign w:val="center"/>
          </w:tcPr>
          <w:p w14:paraId="0312EC18">
            <w:pPr>
              <w:adjustRightInd w:val="0"/>
              <w:snapToGrid w:val="0"/>
              <w:spacing w:line="300" w:lineRule="exact"/>
              <w:jc w:val="center"/>
              <w:rPr>
                <w:rFonts w:hint="eastAsia"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Cs w:val="21"/>
                <w14:textFill>
                  <w14:solidFill>
                    <w14:schemeClr w14:val="tx1"/>
                  </w14:solidFill>
                </w14:textFill>
              </w:rPr>
              <w:t>Z</w:t>
            </w:r>
            <w:r>
              <w:rPr>
                <w:rFonts w:hint="eastAsia" w:ascii="宋体" w:hAnsi="宋体" w:cs="宋体"/>
                <w:color w:val="000000" w:themeColor="text1"/>
                <w:kern w:val="0"/>
                <w:szCs w:val="21"/>
                <w14:textFill>
                  <w14:solidFill>
                    <w14:schemeClr w14:val="tx1"/>
                  </w14:solidFill>
                </w14:textFill>
              </w:rPr>
              <w:t>41</w:t>
            </w:r>
          </w:p>
        </w:tc>
        <w:tc>
          <w:tcPr>
            <w:tcW w:w="598" w:type="pct"/>
            <w:vMerge w:val="restart"/>
            <w:vAlign w:val="center"/>
          </w:tcPr>
          <w:p w14:paraId="07F7F491">
            <w:pPr>
              <w:adjustRightInd w:val="0"/>
              <w:snapToGrid w:val="0"/>
              <w:spacing w:line="300" w:lineRule="exact"/>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bCs/>
                <w:color w:val="000000" w:themeColor="text1"/>
                <w:szCs w:val="21"/>
                <w14:textFill>
                  <w14:solidFill>
                    <w14:schemeClr w14:val="tx1"/>
                  </w14:solidFill>
                </w14:textFill>
              </w:rPr>
              <w:t>预处理注入站</w:t>
            </w:r>
          </w:p>
        </w:tc>
        <w:tc>
          <w:tcPr>
            <w:tcW w:w="852" w:type="pct"/>
            <w:vAlign w:val="center"/>
          </w:tcPr>
          <w:p w14:paraId="4E6E19B9">
            <w:pPr>
              <w:adjustRightInd w:val="0"/>
              <w:snapToGrid w:val="0"/>
              <w:spacing w:line="300" w:lineRule="exact"/>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东厂界</w:t>
            </w:r>
          </w:p>
        </w:tc>
        <w:tc>
          <w:tcPr>
            <w:tcW w:w="1536" w:type="pct"/>
            <w:vAlign w:val="center"/>
          </w:tcPr>
          <w:p w14:paraId="70DD9DC5">
            <w:pPr>
              <w:adjustRightInd w:val="0"/>
              <w:snapToGrid w:val="0"/>
              <w:spacing w:line="300" w:lineRule="exact"/>
              <w:jc w:val="center"/>
              <w:rPr>
                <w:rFonts w:hint="eastAsia" w:ascii="宋体" w:hAnsi="宋体" w:cs="宋体"/>
                <w:color w:val="000000" w:themeColor="text1"/>
                <w:kern w:val="0"/>
                <w:szCs w:val="21"/>
                <w14:textFill>
                  <w14:solidFill>
                    <w14:schemeClr w14:val="tx1"/>
                  </w14:solidFill>
                </w14:textFill>
              </w:rPr>
            </w:pPr>
          </w:p>
        </w:tc>
        <w:tc>
          <w:tcPr>
            <w:tcW w:w="1330" w:type="pct"/>
            <w:vAlign w:val="center"/>
          </w:tcPr>
          <w:p w14:paraId="00FA7BBE">
            <w:pPr>
              <w:adjustRightInd w:val="0"/>
              <w:snapToGrid w:val="0"/>
              <w:spacing w:line="300" w:lineRule="exact"/>
              <w:jc w:val="center"/>
              <w:rPr>
                <w:rFonts w:hint="eastAsia" w:ascii="宋体" w:hAnsi="宋体" w:cs="宋体"/>
                <w:color w:val="000000" w:themeColor="text1"/>
                <w:kern w:val="0"/>
                <w:szCs w:val="21"/>
                <w14:textFill>
                  <w14:solidFill>
                    <w14:schemeClr w14:val="tx1"/>
                  </w14:solidFill>
                </w14:textFill>
              </w:rPr>
            </w:pPr>
          </w:p>
        </w:tc>
      </w:tr>
      <w:bookmarkEnd w:id="407"/>
      <w:tr w14:paraId="2B066F5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cantSplit/>
          <w:trHeight w:val="340" w:hRule="atLeast"/>
          <w:jc w:val="center"/>
        </w:trPr>
        <w:tc>
          <w:tcPr>
            <w:tcW w:w="684" w:type="pct"/>
            <w:vAlign w:val="center"/>
          </w:tcPr>
          <w:p w14:paraId="0A16E632">
            <w:pPr>
              <w:adjustRightInd w:val="0"/>
              <w:snapToGrid w:val="0"/>
              <w:spacing w:line="300" w:lineRule="exact"/>
              <w:jc w:val="center"/>
              <w:rPr>
                <w:rFonts w:hint="eastAsia"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Cs w:val="21"/>
                <w14:textFill>
                  <w14:solidFill>
                    <w14:schemeClr w14:val="tx1"/>
                  </w14:solidFill>
                </w14:textFill>
              </w:rPr>
              <w:t>Z</w:t>
            </w:r>
            <w:r>
              <w:rPr>
                <w:rFonts w:hint="eastAsia" w:ascii="宋体" w:hAnsi="宋体" w:cs="宋体"/>
                <w:color w:val="000000" w:themeColor="text1"/>
                <w:kern w:val="0"/>
                <w:szCs w:val="21"/>
                <w14:textFill>
                  <w14:solidFill>
                    <w14:schemeClr w14:val="tx1"/>
                  </w14:solidFill>
                </w14:textFill>
              </w:rPr>
              <w:t>42</w:t>
            </w:r>
          </w:p>
        </w:tc>
        <w:tc>
          <w:tcPr>
            <w:tcW w:w="598" w:type="pct"/>
            <w:vMerge w:val="continue"/>
            <w:vAlign w:val="center"/>
          </w:tcPr>
          <w:p w14:paraId="2B89CF57">
            <w:pPr>
              <w:adjustRightInd w:val="0"/>
              <w:snapToGrid w:val="0"/>
              <w:spacing w:line="300" w:lineRule="exact"/>
              <w:jc w:val="center"/>
              <w:rPr>
                <w:rFonts w:hint="eastAsia" w:ascii="宋体" w:hAnsi="宋体" w:cs="宋体"/>
                <w:color w:val="000000" w:themeColor="text1"/>
                <w:kern w:val="0"/>
                <w:szCs w:val="21"/>
                <w14:textFill>
                  <w14:solidFill>
                    <w14:schemeClr w14:val="tx1"/>
                  </w14:solidFill>
                </w14:textFill>
              </w:rPr>
            </w:pPr>
          </w:p>
        </w:tc>
        <w:tc>
          <w:tcPr>
            <w:tcW w:w="852" w:type="pct"/>
            <w:vAlign w:val="center"/>
          </w:tcPr>
          <w:p w14:paraId="60E3FD28">
            <w:pPr>
              <w:adjustRightInd w:val="0"/>
              <w:snapToGrid w:val="0"/>
              <w:spacing w:line="300" w:lineRule="exact"/>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南厂界</w:t>
            </w:r>
          </w:p>
        </w:tc>
        <w:tc>
          <w:tcPr>
            <w:tcW w:w="1536" w:type="pct"/>
            <w:vAlign w:val="center"/>
          </w:tcPr>
          <w:p w14:paraId="2573C0BC">
            <w:pPr>
              <w:adjustRightInd w:val="0"/>
              <w:snapToGrid w:val="0"/>
              <w:spacing w:line="300" w:lineRule="exact"/>
              <w:jc w:val="center"/>
              <w:rPr>
                <w:rFonts w:hint="eastAsia" w:ascii="宋体" w:hAnsi="宋体" w:cs="宋体"/>
                <w:color w:val="000000" w:themeColor="text1"/>
                <w:kern w:val="0"/>
                <w:szCs w:val="21"/>
                <w14:textFill>
                  <w14:solidFill>
                    <w14:schemeClr w14:val="tx1"/>
                  </w14:solidFill>
                </w14:textFill>
              </w:rPr>
            </w:pPr>
          </w:p>
        </w:tc>
        <w:tc>
          <w:tcPr>
            <w:tcW w:w="1330" w:type="pct"/>
            <w:vAlign w:val="center"/>
          </w:tcPr>
          <w:p w14:paraId="64B5BC52">
            <w:pPr>
              <w:adjustRightInd w:val="0"/>
              <w:snapToGrid w:val="0"/>
              <w:spacing w:line="300" w:lineRule="exact"/>
              <w:jc w:val="center"/>
              <w:rPr>
                <w:rFonts w:hint="eastAsia" w:ascii="宋体" w:hAnsi="宋体" w:cs="宋体"/>
                <w:color w:val="000000" w:themeColor="text1"/>
                <w:kern w:val="0"/>
                <w:szCs w:val="21"/>
                <w14:textFill>
                  <w14:solidFill>
                    <w14:schemeClr w14:val="tx1"/>
                  </w14:solidFill>
                </w14:textFill>
              </w:rPr>
            </w:pPr>
          </w:p>
        </w:tc>
      </w:tr>
      <w:tr w14:paraId="7878BE5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cantSplit/>
          <w:trHeight w:val="340" w:hRule="atLeast"/>
          <w:jc w:val="center"/>
        </w:trPr>
        <w:tc>
          <w:tcPr>
            <w:tcW w:w="684" w:type="pct"/>
            <w:vAlign w:val="center"/>
          </w:tcPr>
          <w:p w14:paraId="30E9C5AE">
            <w:pPr>
              <w:adjustRightInd w:val="0"/>
              <w:snapToGrid w:val="0"/>
              <w:spacing w:line="300" w:lineRule="exact"/>
              <w:jc w:val="center"/>
              <w:rPr>
                <w:rFonts w:hint="eastAsia"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Cs w:val="21"/>
                <w14:textFill>
                  <w14:solidFill>
                    <w14:schemeClr w14:val="tx1"/>
                  </w14:solidFill>
                </w14:textFill>
              </w:rPr>
              <w:t>Z</w:t>
            </w:r>
            <w:r>
              <w:rPr>
                <w:rFonts w:hint="eastAsia" w:ascii="宋体" w:hAnsi="宋体" w:cs="宋体"/>
                <w:color w:val="000000" w:themeColor="text1"/>
                <w:kern w:val="0"/>
                <w:szCs w:val="21"/>
                <w14:textFill>
                  <w14:solidFill>
                    <w14:schemeClr w14:val="tx1"/>
                  </w14:solidFill>
                </w14:textFill>
              </w:rPr>
              <w:t>43</w:t>
            </w:r>
          </w:p>
        </w:tc>
        <w:tc>
          <w:tcPr>
            <w:tcW w:w="598" w:type="pct"/>
            <w:vMerge w:val="continue"/>
            <w:vAlign w:val="center"/>
          </w:tcPr>
          <w:p w14:paraId="135167B9">
            <w:pPr>
              <w:adjustRightInd w:val="0"/>
              <w:snapToGrid w:val="0"/>
              <w:spacing w:line="300" w:lineRule="exact"/>
              <w:jc w:val="center"/>
              <w:rPr>
                <w:rFonts w:hint="eastAsia" w:ascii="宋体" w:hAnsi="宋体" w:cs="宋体"/>
                <w:color w:val="000000" w:themeColor="text1"/>
                <w:kern w:val="0"/>
                <w:szCs w:val="21"/>
                <w14:textFill>
                  <w14:solidFill>
                    <w14:schemeClr w14:val="tx1"/>
                  </w14:solidFill>
                </w14:textFill>
              </w:rPr>
            </w:pPr>
          </w:p>
        </w:tc>
        <w:tc>
          <w:tcPr>
            <w:tcW w:w="852" w:type="pct"/>
            <w:vAlign w:val="center"/>
          </w:tcPr>
          <w:p w14:paraId="3504F0EF">
            <w:pPr>
              <w:adjustRightInd w:val="0"/>
              <w:snapToGrid w:val="0"/>
              <w:spacing w:line="300" w:lineRule="exact"/>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西厂界</w:t>
            </w:r>
          </w:p>
        </w:tc>
        <w:tc>
          <w:tcPr>
            <w:tcW w:w="1536" w:type="pct"/>
            <w:vAlign w:val="center"/>
          </w:tcPr>
          <w:p w14:paraId="199BDAAA">
            <w:pPr>
              <w:adjustRightInd w:val="0"/>
              <w:snapToGrid w:val="0"/>
              <w:spacing w:line="300" w:lineRule="exact"/>
              <w:jc w:val="center"/>
              <w:rPr>
                <w:rFonts w:hint="eastAsia" w:ascii="宋体" w:hAnsi="宋体" w:cs="宋体"/>
                <w:color w:val="000000" w:themeColor="text1"/>
                <w:kern w:val="0"/>
                <w:szCs w:val="21"/>
                <w14:textFill>
                  <w14:solidFill>
                    <w14:schemeClr w14:val="tx1"/>
                  </w14:solidFill>
                </w14:textFill>
              </w:rPr>
            </w:pPr>
          </w:p>
        </w:tc>
        <w:tc>
          <w:tcPr>
            <w:tcW w:w="1330" w:type="pct"/>
            <w:vAlign w:val="center"/>
          </w:tcPr>
          <w:p w14:paraId="0B207D6F">
            <w:pPr>
              <w:adjustRightInd w:val="0"/>
              <w:snapToGrid w:val="0"/>
              <w:spacing w:line="300" w:lineRule="exact"/>
              <w:jc w:val="center"/>
              <w:rPr>
                <w:rFonts w:hint="eastAsia" w:ascii="宋体" w:hAnsi="宋体" w:cs="宋体"/>
                <w:color w:val="000000" w:themeColor="text1"/>
                <w:kern w:val="0"/>
                <w:szCs w:val="21"/>
                <w14:textFill>
                  <w14:solidFill>
                    <w14:schemeClr w14:val="tx1"/>
                  </w14:solidFill>
                </w14:textFill>
              </w:rPr>
            </w:pPr>
          </w:p>
        </w:tc>
      </w:tr>
      <w:tr w14:paraId="24A8B95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cantSplit/>
          <w:trHeight w:val="340" w:hRule="atLeast"/>
          <w:jc w:val="center"/>
        </w:trPr>
        <w:tc>
          <w:tcPr>
            <w:tcW w:w="684" w:type="pct"/>
            <w:vAlign w:val="center"/>
          </w:tcPr>
          <w:p w14:paraId="4B2B50EC">
            <w:pPr>
              <w:adjustRightInd w:val="0"/>
              <w:snapToGrid w:val="0"/>
              <w:spacing w:line="300" w:lineRule="exact"/>
              <w:jc w:val="center"/>
              <w:rPr>
                <w:rFonts w:hint="eastAsia"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Cs w:val="21"/>
                <w14:textFill>
                  <w14:solidFill>
                    <w14:schemeClr w14:val="tx1"/>
                  </w14:solidFill>
                </w14:textFill>
              </w:rPr>
              <w:t>Z</w:t>
            </w:r>
            <w:r>
              <w:rPr>
                <w:rFonts w:hint="eastAsia" w:ascii="宋体" w:hAnsi="宋体" w:cs="宋体"/>
                <w:color w:val="000000" w:themeColor="text1"/>
                <w:kern w:val="0"/>
                <w:szCs w:val="21"/>
                <w14:textFill>
                  <w14:solidFill>
                    <w14:schemeClr w14:val="tx1"/>
                  </w14:solidFill>
                </w14:textFill>
              </w:rPr>
              <w:t>44</w:t>
            </w:r>
          </w:p>
        </w:tc>
        <w:tc>
          <w:tcPr>
            <w:tcW w:w="598" w:type="pct"/>
            <w:vMerge w:val="continue"/>
            <w:vAlign w:val="center"/>
          </w:tcPr>
          <w:p w14:paraId="57CC397C">
            <w:pPr>
              <w:adjustRightInd w:val="0"/>
              <w:snapToGrid w:val="0"/>
              <w:spacing w:line="300" w:lineRule="exact"/>
              <w:jc w:val="center"/>
              <w:rPr>
                <w:rFonts w:hint="eastAsia" w:ascii="宋体" w:hAnsi="宋体" w:cs="宋体"/>
                <w:color w:val="000000" w:themeColor="text1"/>
                <w:kern w:val="0"/>
                <w:szCs w:val="21"/>
                <w14:textFill>
                  <w14:solidFill>
                    <w14:schemeClr w14:val="tx1"/>
                  </w14:solidFill>
                </w14:textFill>
              </w:rPr>
            </w:pPr>
          </w:p>
        </w:tc>
        <w:tc>
          <w:tcPr>
            <w:tcW w:w="852" w:type="pct"/>
            <w:vAlign w:val="center"/>
          </w:tcPr>
          <w:p w14:paraId="50C63C63">
            <w:pPr>
              <w:adjustRightInd w:val="0"/>
              <w:snapToGrid w:val="0"/>
              <w:spacing w:line="300" w:lineRule="exact"/>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北厂界</w:t>
            </w:r>
          </w:p>
        </w:tc>
        <w:tc>
          <w:tcPr>
            <w:tcW w:w="1536" w:type="pct"/>
            <w:vAlign w:val="center"/>
          </w:tcPr>
          <w:p w14:paraId="600782D8">
            <w:pPr>
              <w:adjustRightInd w:val="0"/>
              <w:snapToGrid w:val="0"/>
              <w:spacing w:line="300" w:lineRule="exact"/>
              <w:jc w:val="center"/>
              <w:rPr>
                <w:rFonts w:hint="eastAsia" w:ascii="宋体" w:hAnsi="宋体" w:cs="宋体"/>
                <w:color w:val="000000" w:themeColor="text1"/>
                <w:kern w:val="0"/>
                <w:szCs w:val="21"/>
                <w14:textFill>
                  <w14:solidFill>
                    <w14:schemeClr w14:val="tx1"/>
                  </w14:solidFill>
                </w14:textFill>
              </w:rPr>
            </w:pPr>
          </w:p>
        </w:tc>
        <w:tc>
          <w:tcPr>
            <w:tcW w:w="1330" w:type="pct"/>
            <w:vAlign w:val="center"/>
          </w:tcPr>
          <w:p w14:paraId="1B33935B">
            <w:pPr>
              <w:adjustRightInd w:val="0"/>
              <w:snapToGrid w:val="0"/>
              <w:spacing w:line="300" w:lineRule="exact"/>
              <w:jc w:val="center"/>
              <w:rPr>
                <w:rFonts w:hint="eastAsia" w:ascii="宋体" w:hAnsi="宋体" w:cs="宋体"/>
                <w:color w:val="000000" w:themeColor="text1"/>
                <w:kern w:val="0"/>
                <w:szCs w:val="21"/>
                <w14:textFill>
                  <w14:solidFill>
                    <w14:schemeClr w14:val="tx1"/>
                  </w14:solidFill>
                </w14:textFill>
              </w:rPr>
            </w:pPr>
          </w:p>
        </w:tc>
      </w:tr>
    </w:tbl>
    <w:p w14:paraId="77DB09AE">
      <w:pPr>
        <w:pStyle w:val="117"/>
        <w:spacing w:line="480" w:lineRule="exact"/>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（2）监测单位及监测时间</w:t>
      </w:r>
    </w:p>
    <w:p w14:paraId="290F5891">
      <w:pPr>
        <w:pStyle w:val="117"/>
        <w:spacing w:line="480" w:lineRule="exact"/>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监测时间：</w:t>
      </w:r>
      <w:bookmarkStart w:id="418" w:name="OLE_LINK104"/>
      <w:r>
        <w:rPr>
          <w:color w:val="000000" w:themeColor="text1"/>
          <w14:textFill>
            <w14:solidFill>
              <w14:schemeClr w14:val="tx1"/>
            </w14:solidFill>
          </w14:textFill>
        </w:rPr>
        <w:t>202</w:t>
      </w:r>
      <w:r>
        <w:rPr>
          <w:rFonts w:hint="eastAsia"/>
          <w:color w:val="000000" w:themeColor="text1"/>
          <w14:textFill>
            <w14:solidFill>
              <w14:schemeClr w14:val="tx1"/>
            </w14:solidFill>
          </w14:textFill>
        </w:rPr>
        <w:t>5年8月2日～8月5日</w:t>
      </w:r>
      <w:bookmarkEnd w:id="418"/>
      <w:r>
        <w:rPr>
          <w:rFonts w:hint="eastAsia"/>
          <w:color w:val="000000" w:themeColor="text1"/>
          <w14:textFill>
            <w14:solidFill>
              <w14:schemeClr w14:val="tx1"/>
            </w14:solidFill>
          </w14:textFill>
        </w:rPr>
        <w:t>。</w:t>
      </w:r>
    </w:p>
    <w:p w14:paraId="4CC56BFF">
      <w:pPr>
        <w:pStyle w:val="117"/>
        <w:spacing w:line="480" w:lineRule="exact"/>
        <w:ind w:firstLine="480"/>
        <w:rPr>
          <w:rFonts w:hint="eastAsia" w:cs="宋体"/>
          <w:color w:val="000000" w:themeColor="text1"/>
          <w:lang w:bidi="ar"/>
          <w14:textFill>
            <w14:solidFill>
              <w14:schemeClr w14:val="tx1"/>
            </w14:solidFill>
          </w14:textFill>
        </w:rPr>
      </w:pPr>
      <w:r>
        <w:rPr>
          <w:rFonts w:hint="eastAsia"/>
          <w:color w:val="000000" w:themeColor="text1"/>
          <w14:textFill>
            <w14:solidFill>
              <w14:schemeClr w14:val="tx1"/>
            </w14:solidFill>
          </w14:textFill>
        </w:rPr>
        <w:t>监测单位：新疆壹诺环保科技有限公司。</w:t>
      </w:r>
    </w:p>
    <w:p w14:paraId="4CCCEDC0">
      <w:pPr>
        <w:pStyle w:val="117"/>
        <w:ind w:firstLine="480"/>
        <w:rPr>
          <w:rFonts w:hint="eastAsia"/>
          <w:color w:val="000000" w:themeColor="text1"/>
          <w14:textFill>
            <w14:solidFill>
              <w14:schemeClr w14:val="tx1"/>
            </w14:solidFill>
          </w14:textFill>
        </w:rPr>
        <w:sectPr>
          <w:pgSz w:w="11906" w:h="16838"/>
          <w:pgMar w:top="1418" w:right="1588" w:bottom="1418" w:left="1588" w:header="1020" w:footer="1020" w:gutter="0"/>
          <w:cols w:space="720" w:num="1"/>
          <w:docGrid w:type="lines" w:linePitch="312" w:charSpace="0"/>
        </w:sectPr>
      </w:pPr>
    </w:p>
    <w:p w14:paraId="4BD04D8E">
      <w:pPr>
        <w:pStyle w:val="117"/>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（3）评价标准</w:t>
      </w:r>
    </w:p>
    <w:p w14:paraId="113C11E3">
      <w:pPr>
        <w:pStyle w:val="117"/>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执行《声环境质量标准》（GB3096-2008）</w:t>
      </w:r>
      <w:r>
        <w:rPr>
          <w:color w:val="000000" w:themeColor="text1"/>
          <w14:textFill>
            <w14:solidFill>
              <w14:schemeClr w14:val="tx1"/>
            </w14:solidFill>
          </w14:textFill>
        </w:rPr>
        <w:t>2</w:t>
      </w:r>
      <w:r>
        <w:rPr>
          <w:rFonts w:hint="eastAsia"/>
          <w:color w:val="000000" w:themeColor="text1"/>
          <w14:textFill>
            <w14:solidFill>
              <w14:schemeClr w14:val="tx1"/>
            </w14:solidFill>
          </w14:textFill>
        </w:rPr>
        <w:t>类区标准限值。</w:t>
      </w:r>
    </w:p>
    <w:p w14:paraId="4886E803">
      <w:pPr>
        <w:pStyle w:val="117"/>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（4）评价方法</w:t>
      </w:r>
    </w:p>
    <w:p w14:paraId="7A7F9DEB">
      <w:pPr>
        <w:pStyle w:val="117"/>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监测值与</w:t>
      </w:r>
      <w:r>
        <w:rPr>
          <w:color w:val="000000" w:themeColor="text1"/>
          <w14:textFill>
            <w14:solidFill>
              <w14:schemeClr w14:val="tx1"/>
            </w14:solidFill>
          </w14:textFill>
        </w:rPr>
        <w:t>标准值</w:t>
      </w:r>
      <w:r>
        <w:rPr>
          <w:rFonts w:hint="eastAsia"/>
          <w:color w:val="000000" w:themeColor="text1"/>
          <w14:textFill>
            <w14:solidFill>
              <w14:schemeClr w14:val="tx1"/>
            </w14:solidFill>
          </w14:textFill>
        </w:rPr>
        <w:t>直接</w:t>
      </w:r>
      <w:r>
        <w:rPr>
          <w:color w:val="000000" w:themeColor="text1"/>
          <w14:textFill>
            <w14:solidFill>
              <w14:schemeClr w14:val="tx1"/>
            </w14:solidFill>
          </w14:textFill>
        </w:rPr>
        <w:t>比对</w:t>
      </w:r>
      <w:r>
        <w:rPr>
          <w:rFonts w:hint="eastAsia"/>
          <w:color w:val="000000" w:themeColor="text1"/>
          <w14:textFill>
            <w14:solidFill>
              <w14:schemeClr w14:val="tx1"/>
            </w14:solidFill>
          </w14:textFill>
        </w:rPr>
        <w:t>，说明噪声源及是否超标</w:t>
      </w:r>
      <w:r>
        <w:rPr>
          <w:color w:val="000000" w:themeColor="text1"/>
          <w14:textFill>
            <w14:solidFill>
              <w14:schemeClr w14:val="tx1"/>
            </w14:solidFill>
          </w14:textFill>
        </w:rPr>
        <w:t>。</w:t>
      </w:r>
    </w:p>
    <w:p w14:paraId="0CDA309E">
      <w:pPr>
        <w:pStyle w:val="117"/>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（5）评价</w:t>
      </w:r>
      <w:r>
        <w:rPr>
          <w:color w:val="000000" w:themeColor="text1"/>
          <w14:textFill>
            <w14:solidFill>
              <w14:schemeClr w14:val="tx1"/>
            </w14:solidFill>
          </w14:textFill>
        </w:rPr>
        <w:t>结果</w:t>
      </w:r>
    </w:p>
    <w:p w14:paraId="2987D4C6">
      <w:pPr>
        <w:pStyle w:val="117"/>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声环境现状监测结果见表</w:t>
      </w:r>
      <w:r>
        <w:rPr>
          <w:color w:val="000000" w:themeColor="text1"/>
          <w14:textFill>
            <w14:solidFill>
              <w14:schemeClr w14:val="tx1"/>
            </w14:solidFill>
          </w14:textFill>
        </w:rPr>
        <w:t>4.3</w:t>
      </w:r>
      <w:r>
        <w:rPr>
          <w:rFonts w:hint="eastAsia"/>
          <w:color w:val="000000" w:themeColor="text1"/>
          <w14:textFill>
            <w14:solidFill>
              <w14:schemeClr w14:val="tx1"/>
            </w14:solidFill>
          </w14:textFill>
        </w:rPr>
        <w:t>-11。</w:t>
      </w:r>
      <w:bookmarkStart w:id="419" w:name="_Ref78401139"/>
    </w:p>
    <w:bookmarkEnd w:id="419"/>
    <w:p w14:paraId="5AFA6C52">
      <w:pPr>
        <w:pStyle w:val="109"/>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表</w:t>
      </w:r>
      <w:r>
        <w:rPr>
          <w:color w:val="000000" w:themeColor="text1"/>
          <w14:textFill>
            <w14:solidFill>
              <w14:schemeClr w14:val="tx1"/>
            </w14:solidFill>
          </w14:textFill>
        </w:rPr>
        <w:t>4.3</w:t>
      </w:r>
      <w:r>
        <w:rPr>
          <w:rFonts w:hint="eastAsia"/>
          <w:color w:val="000000" w:themeColor="text1"/>
          <w14:textFill>
            <w14:solidFill>
              <w14:schemeClr w14:val="tx1"/>
            </w14:solidFill>
          </w14:textFill>
        </w:rPr>
        <w:t>-11  声环境现状监测结果</w:t>
      </w:r>
    </w:p>
    <w:tbl>
      <w:tblPr>
        <w:tblStyle w:val="425"/>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703"/>
        <w:gridCol w:w="1056"/>
        <w:gridCol w:w="1140"/>
        <w:gridCol w:w="848"/>
        <w:gridCol w:w="848"/>
        <w:gridCol w:w="1140"/>
        <w:gridCol w:w="993"/>
        <w:gridCol w:w="993"/>
        <w:gridCol w:w="1225"/>
      </w:tblGrid>
      <w:tr w14:paraId="1863762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406" w:type="pct"/>
            <w:vMerge w:val="restart"/>
            <w:vAlign w:val="center"/>
          </w:tcPr>
          <w:p w14:paraId="541A6F10">
            <w:pPr>
              <w:pStyle w:val="278"/>
              <w:adjustRightInd w:val="0"/>
              <w:snapToGrid w:val="0"/>
              <w:spacing w:line="300" w:lineRule="exact"/>
              <w:rPr>
                <w:rFonts w:hint="eastAsia" w:cs="宋体"/>
                <w:color w:val="000000" w:themeColor="text1"/>
                <w14:textFill>
                  <w14:solidFill>
                    <w14:schemeClr w14:val="tx1"/>
                  </w14:solidFill>
                </w14:textFill>
              </w:rPr>
            </w:pPr>
            <w:bookmarkStart w:id="420" w:name="OLE_LINK91"/>
            <w:r>
              <w:rPr>
                <w:rFonts w:hint="eastAsia" w:cs="宋体"/>
                <w:color w:val="000000" w:themeColor="text1"/>
                <w14:textFill>
                  <w14:solidFill>
                    <w14:schemeClr w14:val="tx1"/>
                  </w14:solidFill>
                </w14:textFill>
              </w:rPr>
              <w:t>监测点</w:t>
            </w:r>
          </w:p>
        </w:tc>
        <w:tc>
          <w:tcPr>
            <w:tcW w:w="1137" w:type="pct"/>
            <w:gridSpan w:val="2"/>
            <w:vMerge w:val="restart"/>
            <w:vAlign w:val="center"/>
          </w:tcPr>
          <w:p w14:paraId="15239A86">
            <w:pPr>
              <w:pStyle w:val="278"/>
              <w:adjustRightInd w:val="0"/>
              <w:snapToGrid w:val="0"/>
              <w:spacing w:line="300" w:lineRule="exact"/>
              <w:rPr>
                <w:rFonts w:hint="eastAsia"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监测点描述</w:t>
            </w:r>
          </w:p>
        </w:tc>
        <w:tc>
          <w:tcPr>
            <w:tcW w:w="1624" w:type="pct"/>
            <w:gridSpan w:val="3"/>
            <w:vAlign w:val="center"/>
          </w:tcPr>
          <w:p w14:paraId="11EBB4C4">
            <w:pPr>
              <w:pStyle w:val="278"/>
              <w:adjustRightInd w:val="0"/>
              <w:snapToGrid w:val="0"/>
              <w:spacing w:line="300" w:lineRule="exact"/>
              <w:rPr>
                <w:rFonts w:hint="eastAsia"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昼间</w:t>
            </w:r>
            <w:r>
              <w:rPr>
                <w:rFonts w:hint="eastAsia"/>
                <w:color w:val="000000" w:themeColor="text1"/>
                <w14:textFill>
                  <w14:solidFill>
                    <w14:schemeClr w14:val="tx1"/>
                  </w14:solidFill>
                </w14:textFill>
              </w:rPr>
              <w:t>[单位：dB（A）]</w:t>
            </w:r>
          </w:p>
        </w:tc>
        <w:tc>
          <w:tcPr>
            <w:tcW w:w="1833" w:type="pct"/>
            <w:gridSpan w:val="3"/>
            <w:vAlign w:val="center"/>
          </w:tcPr>
          <w:p w14:paraId="1A826B84">
            <w:pPr>
              <w:pStyle w:val="278"/>
              <w:adjustRightInd w:val="0"/>
              <w:snapToGrid w:val="0"/>
              <w:spacing w:line="300" w:lineRule="exact"/>
              <w:rPr>
                <w:rFonts w:hint="eastAsia"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夜间</w:t>
            </w:r>
            <w:r>
              <w:rPr>
                <w:rFonts w:hint="eastAsia"/>
                <w:color w:val="000000" w:themeColor="text1"/>
                <w14:textFill>
                  <w14:solidFill>
                    <w14:schemeClr w14:val="tx1"/>
                  </w14:solidFill>
                </w14:textFill>
              </w:rPr>
              <w:t>[单位：dB（A）]</w:t>
            </w:r>
          </w:p>
        </w:tc>
      </w:tr>
      <w:tr w14:paraId="0980BE2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406" w:type="pct"/>
            <w:vMerge w:val="continue"/>
            <w:vAlign w:val="center"/>
          </w:tcPr>
          <w:p w14:paraId="3AB88FC8">
            <w:pPr>
              <w:pStyle w:val="278"/>
              <w:adjustRightInd w:val="0"/>
              <w:snapToGrid w:val="0"/>
              <w:spacing w:line="300" w:lineRule="exact"/>
              <w:rPr>
                <w:rFonts w:hint="eastAsia" w:cs="宋体"/>
                <w:color w:val="000000" w:themeColor="text1"/>
                <w14:textFill>
                  <w14:solidFill>
                    <w14:schemeClr w14:val="tx1"/>
                  </w14:solidFill>
                </w14:textFill>
              </w:rPr>
            </w:pPr>
          </w:p>
        </w:tc>
        <w:tc>
          <w:tcPr>
            <w:tcW w:w="1137" w:type="pct"/>
            <w:gridSpan w:val="2"/>
            <w:vMerge w:val="continue"/>
            <w:vAlign w:val="center"/>
          </w:tcPr>
          <w:p w14:paraId="5570CEC9">
            <w:pPr>
              <w:pStyle w:val="278"/>
              <w:adjustRightInd w:val="0"/>
              <w:snapToGrid w:val="0"/>
              <w:spacing w:line="300" w:lineRule="exact"/>
              <w:rPr>
                <w:rFonts w:hint="eastAsia" w:cs="宋体"/>
                <w:color w:val="000000" w:themeColor="text1"/>
                <w14:textFill>
                  <w14:solidFill>
                    <w14:schemeClr w14:val="tx1"/>
                  </w14:solidFill>
                </w14:textFill>
              </w:rPr>
            </w:pPr>
          </w:p>
        </w:tc>
        <w:tc>
          <w:tcPr>
            <w:tcW w:w="487" w:type="pct"/>
            <w:vAlign w:val="center"/>
          </w:tcPr>
          <w:p w14:paraId="63B9DAC5">
            <w:pPr>
              <w:pStyle w:val="278"/>
              <w:adjustRightInd w:val="0"/>
              <w:snapToGrid w:val="0"/>
              <w:spacing w:line="300" w:lineRule="exact"/>
              <w:rPr>
                <w:rFonts w:hint="eastAsia"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监测值</w:t>
            </w:r>
          </w:p>
        </w:tc>
        <w:tc>
          <w:tcPr>
            <w:tcW w:w="487" w:type="pct"/>
            <w:vAlign w:val="center"/>
          </w:tcPr>
          <w:p w14:paraId="6C0AAB07">
            <w:pPr>
              <w:pStyle w:val="278"/>
              <w:adjustRightInd w:val="0"/>
              <w:snapToGrid w:val="0"/>
              <w:spacing w:line="300" w:lineRule="exact"/>
              <w:rPr>
                <w:rFonts w:hint="eastAsia"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标准值</w:t>
            </w:r>
          </w:p>
        </w:tc>
        <w:tc>
          <w:tcPr>
            <w:tcW w:w="650" w:type="pct"/>
            <w:vAlign w:val="center"/>
          </w:tcPr>
          <w:p w14:paraId="70502839">
            <w:pPr>
              <w:pStyle w:val="278"/>
              <w:adjustRightInd w:val="0"/>
              <w:snapToGrid w:val="0"/>
              <w:spacing w:line="300" w:lineRule="exact"/>
              <w:rPr>
                <w:rFonts w:hint="eastAsia"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达标情况</w:t>
            </w:r>
          </w:p>
        </w:tc>
        <w:tc>
          <w:tcPr>
            <w:tcW w:w="568" w:type="pct"/>
            <w:vAlign w:val="center"/>
          </w:tcPr>
          <w:p w14:paraId="4E23F623">
            <w:pPr>
              <w:pStyle w:val="278"/>
              <w:adjustRightInd w:val="0"/>
              <w:snapToGrid w:val="0"/>
              <w:spacing w:line="300" w:lineRule="exact"/>
              <w:rPr>
                <w:rFonts w:hint="eastAsia"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监测值</w:t>
            </w:r>
          </w:p>
        </w:tc>
        <w:tc>
          <w:tcPr>
            <w:tcW w:w="568" w:type="pct"/>
            <w:vAlign w:val="center"/>
          </w:tcPr>
          <w:p w14:paraId="54A6780D">
            <w:pPr>
              <w:pStyle w:val="278"/>
              <w:adjustRightInd w:val="0"/>
              <w:snapToGrid w:val="0"/>
              <w:spacing w:line="300" w:lineRule="exact"/>
              <w:rPr>
                <w:rFonts w:hint="eastAsia"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标准值</w:t>
            </w:r>
          </w:p>
        </w:tc>
        <w:tc>
          <w:tcPr>
            <w:tcW w:w="697" w:type="pct"/>
            <w:vAlign w:val="center"/>
          </w:tcPr>
          <w:p w14:paraId="115874AD">
            <w:pPr>
              <w:pStyle w:val="278"/>
              <w:adjustRightInd w:val="0"/>
              <w:snapToGrid w:val="0"/>
              <w:spacing w:line="300" w:lineRule="exact"/>
              <w:rPr>
                <w:rFonts w:hint="eastAsia"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达标情况</w:t>
            </w:r>
          </w:p>
        </w:tc>
      </w:tr>
      <w:tr w14:paraId="3130EB2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406" w:type="pct"/>
            <w:vAlign w:val="center"/>
          </w:tcPr>
          <w:p w14:paraId="2B0CC06E">
            <w:pPr>
              <w:pStyle w:val="278"/>
              <w:adjustRightInd w:val="0"/>
              <w:snapToGrid w:val="0"/>
              <w:spacing w:line="300" w:lineRule="exact"/>
              <w:rPr>
                <w:rFonts w:hint="eastAsia" w:cs="宋体"/>
                <w:color w:val="000000" w:themeColor="text1"/>
                <w14:textFill>
                  <w14:solidFill>
                    <w14:schemeClr w14:val="tx1"/>
                  </w14:solidFill>
                </w14:textFill>
              </w:rPr>
            </w:pPr>
            <w:bookmarkStart w:id="421" w:name="_Hlk205834771"/>
            <w:r>
              <w:rPr>
                <w:rFonts w:cs="宋体"/>
                <w:color w:val="000000" w:themeColor="text1"/>
                <w14:textFill>
                  <w14:solidFill>
                    <w14:schemeClr w14:val="tx1"/>
                  </w14:solidFill>
                </w14:textFill>
              </w:rPr>
              <w:t>Z</w:t>
            </w:r>
            <w:r>
              <w:rPr>
                <w:rFonts w:hint="eastAsia" w:cs="宋体"/>
                <w:color w:val="000000" w:themeColor="text1"/>
                <w14:textFill>
                  <w14:solidFill>
                    <w14:schemeClr w14:val="tx1"/>
                  </w14:solidFill>
                </w14:textFill>
              </w:rPr>
              <w:t>1</w:t>
            </w:r>
          </w:p>
        </w:tc>
        <w:tc>
          <w:tcPr>
            <w:tcW w:w="487" w:type="pct"/>
            <w:vMerge w:val="restart"/>
            <w:vAlign w:val="center"/>
          </w:tcPr>
          <w:p w14:paraId="233F0E02">
            <w:pPr>
              <w:pStyle w:val="278"/>
              <w:adjustRightInd w:val="0"/>
              <w:snapToGrid w:val="0"/>
              <w:spacing w:line="300" w:lineRule="exact"/>
              <w:rPr>
                <w:rFonts w:hint="eastAsia" w:cs="宋体"/>
                <w:color w:val="000000" w:themeColor="text1"/>
                <w14:textFill>
                  <w14:solidFill>
                    <w14:schemeClr w14:val="tx1"/>
                  </w14:solidFill>
                </w14:textFill>
              </w:rPr>
            </w:pPr>
            <w:r>
              <w:rPr>
                <w:rFonts w:hint="eastAsia" w:cs="宋体"/>
                <w:bCs/>
                <w:color w:val="000000" w:themeColor="text1"/>
                <w14:textFill>
                  <w14:solidFill>
                    <w14:schemeClr w14:val="tx1"/>
                  </w14:solidFill>
                </w14:textFill>
              </w:rPr>
              <w:t>JHW036</w:t>
            </w:r>
          </w:p>
        </w:tc>
        <w:tc>
          <w:tcPr>
            <w:tcW w:w="650" w:type="pct"/>
            <w:vAlign w:val="center"/>
          </w:tcPr>
          <w:p w14:paraId="45093898">
            <w:pPr>
              <w:pStyle w:val="278"/>
              <w:adjustRightInd w:val="0"/>
              <w:snapToGrid w:val="0"/>
              <w:spacing w:line="300" w:lineRule="exact"/>
              <w:rPr>
                <w:rFonts w:hint="eastAsia"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东厂界</w:t>
            </w:r>
          </w:p>
        </w:tc>
        <w:tc>
          <w:tcPr>
            <w:tcW w:w="487" w:type="pct"/>
            <w:vAlign w:val="center"/>
          </w:tcPr>
          <w:p w14:paraId="0DCCFF35">
            <w:pPr>
              <w:pStyle w:val="278"/>
              <w:adjustRightInd w:val="0"/>
              <w:snapToGrid w:val="0"/>
              <w:spacing w:line="300" w:lineRule="exact"/>
              <w:rPr>
                <w:rFonts w:hint="eastAsia"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47</w:t>
            </w:r>
          </w:p>
        </w:tc>
        <w:tc>
          <w:tcPr>
            <w:tcW w:w="487" w:type="pct"/>
            <w:vAlign w:val="center"/>
          </w:tcPr>
          <w:p w14:paraId="0C673B85">
            <w:pPr>
              <w:pStyle w:val="278"/>
              <w:adjustRightInd w:val="0"/>
              <w:snapToGrid w:val="0"/>
              <w:spacing w:line="300" w:lineRule="exact"/>
              <w:rPr>
                <w:rFonts w:hint="eastAsia"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6</w:t>
            </w:r>
            <w:r>
              <w:rPr>
                <w:rFonts w:cs="宋体"/>
                <w:color w:val="000000" w:themeColor="text1"/>
                <w14:textFill>
                  <w14:solidFill>
                    <w14:schemeClr w14:val="tx1"/>
                  </w14:solidFill>
                </w14:textFill>
              </w:rPr>
              <w:t>0</w:t>
            </w:r>
          </w:p>
        </w:tc>
        <w:tc>
          <w:tcPr>
            <w:tcW w:w="650" w:type="pct"/>
            <w:vAlign w:val="center"/>
          </w:tcPr>
          <w:p w14:paraId="6F6317AF">
            <w:pPr>
              <w:pStyle w:val="278"/>
              <w:adjustRightInd w:val="0"/>
              <w:snapToGrid w:val="0"/>
              <w:spacing w:line="300" w:lineRule="exact"/>
              <w:rPr>
                <w:rFonts w:hint="eastAsia"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达标</w:t>
            </w:r>
          </w:p>
        </w:tc>
        <w:tc>
          <w:tcPr>
            <w:tcW w:w="568" w:type="pct"/>
            <w:vAlign w:val="center"/>
          </w:tcPr>
          <w:p w14:paraId="47908185">
            <w:pPr>
              <w:pStyle w:val="278"/>
              <w:adjustRightInd w:val="0"/>
              <w:snapToGrid w:val="0"/>
              <w:spacing w:line="300" w:lineRule="exact"/>
              <w:rPr>
                <w:rFonts w:hint="eastAsia"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42</w:t>
            </w:r>
          </w:p>
        </w:tc>
        <w:tc>
          <w:tcPr>
            <w:tcW w:w="568" w:type="pct"/>
            <w:vAlign w:val="center"/>
          </w:tcPr>
          <w:p w14:paraId="0DC5A95B">
            <w:pPr>
              <w:pStyle w:val="278"/>
              <w:adjustRightInd w:val="0"/>
              <w:snapToGrid w:val="0"/>
              <w:spacing w:line="300" w:lineRule="exact"/>
              <w:rPr>
                <w:rFonts w:hint="eastAsia"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5</w:t>
            </w:r>
            <w:r>
              <w:rPr>
                <w:rFonts w:cs="宋体"/>
                <w:color w:val="000000" w:themeColor="text1"/>
                <w14:textFill>
                  <w14:solidFill>
                    <w14:schemeClr w14:val="tx1"/>
                  </w14:solidFill>
                </w14:textFill>
              </w:rPr>
              <w:t>0</w:t>
            </w:r>
          </w:p>
        </w:tc>
        <w:tc>
          <w:tcPr>
            <w:tcW w:w="697" w:type="pct"/>
            <w:vAlign w:val="center"/>
          </w:tcPr>
          <w:p w14:paraId="72FEB9F5">
            <w:pPr>
              <w:pStyle w:val="278"/>
              <w:adjustRightInd w:val="0"/>
              <w:snapToGrid w:val="0"/>
              <w:spacing w:line="300" w:lineRule="exact"/>
              <w:rPr>
                <w:rFonts w:hint="eastAsia"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达标</w:t>
            </w:r>
          </w:p>
        </w:tc>
      </w:tr>
      <w:tr w14:paraId="2C3BEFC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406" w:type="pct"/>
            <w:vAlign w:val="center"/>
          </w:tcPr>
          <w:p w14:paraId="3CBA40D0">
            <w:pPr>
              <w:pStyle w:val="278"/>
              <w:adjustRightInd w:val="0"/>
              <w:snapToGrid w:val="0"/>
              <w:spacing w:line="300" w:lineRule="exact"/>
              <w:rPr>
                <w:rFonts w:hint="eastAsia" w:cs="宋体"/>
                <w:color w:val="000000" w:themeColor="text1"/>
                <w14:textFill>
                  <w14:solidFill>
                    <w14:schemeClr w14:val="tx1"/>
                  </w14:solidFill>
                </w14:textFill>
              </w:rPr>
            </w:pPr>
            <w:r>
              <w:rPr>
                <w:rFonts w:cs="宋体"/>
                <w:color w:val="000000" w:themeColor="text1"/>
                <w14:textFill>
                  <w14:solidFill>
                    <w14:schemeClr w14:val="tx1"/>
                  </w14:solidFill>
                </w14:textFill>
              </w:rPr>
              <w:t>Z</w:t>
            </w:r>
            <w:r>
              <w:rPr>
                <w:rFonts w:hint="eastAsia" w:cs="宋体"/>
                <w:color w:val="000000" w:themeColor="text1"/>
                <w14:textFill>
                  <w14:solidFill>
                    <w14:schemeClr w14:val="tx1"/>
                  </w14:solidFill>
                </w14:textFill>
              </w:rPr>
              <w:t>2</w:t>
            </w:r>
          </w:p>
        </w:tc>
        <w:tc>
          <w:tcPr>
            <w:tcW w:w="487" w:type="pct"/>
            <w:vMerge w:val="continue"/>
            <w:vAlign w:val="center"/>
          </w:tcPr>
          <w:p w14:paraId="505538E3">
            <w:pPr>
              <w:pStyle w:val="278"/>
              <w:adjustRightInd w:val="0"/>
              <w:snapToGrid w:val="0"/>
              <w:spacing w:line="300" w:lineRule="exact"/>
              <w:rPr>
                <w:rFonts w:hint="eastAsia" w:cs="宋体"/>
                <w:color w:val="000000" w:themeColor="text1"/>
                <w14:textFill>
                  <w14:solidFill>
                    <w14:schemeClr w14:val="tx1"/>
                  </w14:solidFill>
                </w14:textFill>
              </w:rPr>
            </w:pPr>
          </w:p>
        </w:tc>
        <w:tc>
          <w:tcPr>
            <w:tcW w:w="650" w:type="pct"/>
            <w:vAlign w:val="center"/>
          </w:tcPr>
          <w:p w14:paraId="707447AF">
            <w:pPr>
              <w:pStyle w:val="278"/>
              <w:adjustRightInd w:val="0"/>
              <w:snapToGrid w:val="0"/>
              <w:spacing w:line="300" w:lineRule="exact"/>
              <w:rPr>
                <w:rFonts w:hint="eastAsia"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南厂界</w:t>
            </w:r>
          </w:p>
        </w:tc>
        <w:tc>
          <w:tcPr>
            <w:tcW w:w="487" w:type="pct"/>
            <w:vAlign w:val="center"/>
          </w:tcPr>
          <w:p w14:paraId="37EF0201">
            <w:pPr>
              <w:pStyle w:val="278"/>
              <w:adjustRightInd w:val="0"/>
              <w:snapToGrid w:val="0"/>
              <w:spacing w:line="300" w:lineRule="exact"/>
              <w:rPr>
                <w:rFonts w:hint="eastAsia"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45</w:t>
            </w:r>
          </w:p>
        </w:tc>
        <w:tc>
          <w:tcPr>
            <w:tcW w:w="487" w:type="pct"/>
            <w:vAlign w:val="center"/>
          </w:tcPr>
          <w:p w14:paraId="672CBCE6">
            <w:pPr>
              <w:adjustRightInd w:val="0"/>
              <w:snapToGrid w:val="0"/>
              <w:spacing w:line="30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6</w:t>
            </w:r>
            <w:r>
              <w:rPr>
                <w:rFonts w:ascii="宋体" w:hAnsi="宋体" w:cs="宋体"/>
                <w:color w:val="000000" w:themeColor="text1"/>
                <w:szCs w:val="21"/>
                <w14:textFill>
                  <w14:solidFill>
                    <w14:schemeClr w14:val="tx1"/>
                  </w14:solidFill>
                </w14:textFill>
              </w:rPr>
              <w:t>0</w:t>
            </w:r>
          </w:p>
        </w:tc>
        <w:tc>
          <w:tcPr>
            <w:tcW w:w="650" w:type="pct"/>
            <w:vAlign w:val="center"/>
          </w:tcPr>
          <w:p w14:paraId="3A57A9E8">
            <w:pPr>
              <w:pStyle w:val="278"/>
              <w:adjustRightInd w:val="0"/>
              <w:snapToGrid w:val="0"/>
              <w:spacing w:line="300" w:lineRule="exact"/>
              <w:rPr>
                <w:rFonts w:hint="eastAsia"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达标</w:t>
            </w:r>
          </w:p>
        </w:tc>
        <w:tc>
          <w:tcPr>
            <w:tcW w:w="568" w:type="pct"/>
            <w:vAlign w:val="center"/>
          </w:tcPr>
          <w:p w14:paraId="501E07C4">
            <w:pPr>
              <w:pStyle w:val="278"/>
              <w:adjustRightInd w:val="0"/>
              <w:snapToGrid w:val="0"/>
              <w:spacing w:line="300" w:lineRule="exact"/>
              <w:rPr>
                <w:rFonts w:hint="eastAsia"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40</w:t>
            </w:r>
          </w:p>
        </w:tc>
        <w:tc>
          <w:tcPr>
            <w:tcW w:w="568" w:type="pct"/>
            <w:vAlign w:val="center"/>
          </w:tcPr>
          <w:p w14:paraId="2B1CC5EB">
            <w:pPr>
              <w:adjustRightInd w:val="0"/>
              <w:snapToGrid w:val="0"/>
              <w:spacing w:line="30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5</w:t>
            </w:r>
            <w:r>
              <w:rPr>
                <w:rFonts w:ascii="宋体" w:hAnsi="宋体" w:cs="宋体"/>
                <w:color w:val="000000" w:themeColor="text1"/>
                <w:szCs w:val="21"/>
                <w14:textFill>
                  <w14:solidFill>
                    <w14:schemeClr w14:val="tx1"/>
                  </w14:solidFill>
                </w14:textFill>
              </w:rPr>
              <w:t>0</w:t>
            </w:r>
          </w:p>
        </w:tc>
        <w:tc>
          <w:tcPr>
            <w:tcW w:w="697" w:type="pct"/>
            <w:vAlign w:val="center"/>
          </w:tcPr>
          <w:p w14:paraId="09E18870">
            <w:pPr>
              <w:pStyle w:val="278"/>
              <w:adjustRightInd w:val="0"/>
              <w:snapToGrid w:val="0"/>
              <w:spacing w:line="300" w:lineRule="exact"/>
              <w:rPr>
                <w:rFonts w:hint="eastAsia"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达标</w:t>
            </w:r>
          </w:p>
        </w:tc>
      </w:tr>
      <w:tr w14:paraId="15CEA21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406" w:type="pct"/>
            <w:vAlign w:val="center"/>
          </w:tcPr>
          <w:p w14:paraId="126A7CE3">
            <w:pPr>
              <w:pStyle w:val="278"/>
              <w:adjustRightInd w:val="0"/>
              <w:snapToGrid w:val="0"/>
              <w:spacing w:line="300" w:lineRule="exact"/>
              <w:rPr>
                <w:rFonts w:hint="eastAsia" w:cs="宋体"/>
                <w:color w:val="000000" w:themeColor="text1"/>
                <w14:textFill>
                  <w14:solidFill>
                    <w14:schemeClr w14:val="tx1"/>
                  </w14:solidFill>
                </w14:textFill>
              </w:rPr>
            </w:pPr>
            <w:r>
              <w:rPr>
                <w:rFonts w:cs="宋体"/>
                <w:color w:val="000000" w:themeColor="text1"/>
                <w14:textFill>
                  <w14:solidFill>
                    <w14:schemeClr w14:val="tx1"/>
                  </w14:solidFill>
                </w14:textFill>
              </w:rPr>
              <w:t>Z</w:t>
            </w:r>
            <w:r>
              <w:rPr>
                <w:rFonts w:hint="eastAsia" w:cs="宋体"/>
                <w:color w:val="000000" w:themeColor="text1"/>
                <w14:textFill>
                  <w14:solidFill>
                    <w14:schemeClr w14:val="tx1"/>
                  </w14:solidFill>
                </w14:textFill>
              </w:rPr>
              <w:t>3</w:t>
            </w:r>
          </w:p>
        </w:tc>
        <w:tc>
          <w:tcPr>
            <w:tcW w:w="487" w:type="pct"/>
            <w:vMerge w:val="continue"/>
            <w:vAlign w:val="center"/>
          </w:tcPr>
          <w:p w14:paraId="1A45D0E8">
            <w:pPr>
              <w:pStyle w:val="278"/>
              <w:adjustRightInd w:val="0"/>
              <w:snapToGrid w:val="0"/>
              <w:spacing w:line="300" w:lineRule="exact"/>
              <w:rPr>
                <w:rFonts w:hint="eastAsia" w:cs="宋体"/>
                <w:color w:val="000000" w:themeColor="text1"/>
                <w14:textFill>
                  <w14:solidFill>
                    <w14:schemeClr w14:val="tx1"/>
                  </w14:solidFill>
                </w14:textFill>
              </w:rPr>
            </w:pPr>
          </w:p>
        </w:tc>
        <w:tc>
          <w:tcPr>
            <w:tcW w:w="650" w:type="pct"/>
            <w:vAlign w:val="center"/>
          </w:tcPr>
          <w:p w14:paraId="036C0FDA">
            <w:pPr>
              <w:pStyle w:val="278"/>
              <w:adjustRightInd w:val="0"/>
              <w:snapToGrid w:val="0"/>
              <w:spacing w:line="300" w:lineRule="exact"/>
              <w:rPr>
                <w:rFonts w:hint="eastAsia"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西厂界</w:t>
            </w:r>
          </w:p>
        </w:tc>
        <w:tc>
          <w:tcPr>
            <w:tcW w:w="487" w:type="pct"/>
            <w:vAlign w:val="center"/>
          </w:tcPr>
          <w:p w14:paraId="63A8E12E">
            <w:pPr>
              <w:pStyle w:val="278"/>
              <w:adjustRightInd w:val="0"/>
              <w:snapToGrid w:val="0"/>
              <w:spacing w:line="300" w:lineRule="exact"/>
              <w:rPr>
                <w:rFonts w:hint="eastAsia"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44</w:t>
            </w:r>
          </w:p>
        </w:tc>
        <w:tc>
          <w:tcPr>
            <w:tcW w:w="487" w:type="pct"/>
            <w:vAlign w:val="center"/>
          </w:tcPr>
          <w:p w14:paraId="60D38A62">
            <w:pPr>
              <w:adjustRightInd w:val="0"/>
              <w:snapToGrid w:val="0"/>
              <w:spacing w:line="30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6</w:t>
            </w:r>
            <w:r>
              <w:rPr>
                <w:rFonts w:ascii="宋体" w:hAnsi="宋体" w:cs="宋体"/>
                <w:color w:val="000000" w:themeColor="text1"/>
                <w:szCs w:val="21"/>
                <w14:textFill>
                  <w14:solidFill>
                    <w14:schemeClr w14:val="tx1"/>
                  </w14:solidFill>
                </w14:textFill>
              </w:rPr>
              <w:t>0</w:t>
            </w:r>
          </w:p>
        </w:tc>
        <w:tc>
          <w:tcPr>
            <w:tcW w:w="650" w:type="pct"/>
            <w:vAlign w:val="center"/>
          </w:tcPr>
          <w:p w14:paraId="2E70C84A">
            <w:pPr>
              <w:pStyle w:val="278"/>
              <w:adjustRightInd w:val="0"/>
              <w:snapToGrid w:val="0"/>
              <w:spacing w:line="300" w:lineRule="exact"/>
              <w:rPr>
                <w:rFonts w:hint="eastAsia"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达标</w:t>
            </w:r>
          </w:p>
        </w:tc>
        <w:tc>
          <w:tcPr>
            <w:tcW w:w="568" w:type="pct"/>
            <w:vAlign w:val="center"/>
          </w:tcPr>
          <w:p w14:paraId="37C08DEF">
            <w:pPr>
              <w:pStyle w:val="278"/>
              <w:adjustRightInd w:val="0"/>
              <w:snapToGrid w:val="0"/>
              <w:spacing w:line="300" w:lineRule="exact"/>
              <w:rPr>
                <w:rFonts w:hint="eastAsia"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40</w:t>
            </w:r>
          </w:p>
        </w:tc>
        <w:tc>
          <w:tcPr>
            <w:tcW w:w="568" w:type="pct"/>
            <w:vAlign w:val="center"/>
          </w:tcPr>
          <w:p w14:paraId="7111D580">
            <w:pPr>
              <w:adjustRightInd w:val="0"/>
              <w:snapToGrid w:val="0"/>
              <w:spacing w:line="30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5</w:t>
            </w:r>
            <w:r>
              <w:rPr>
                <w:rFonts w:ascii="宋体" w:hAnsi="宋体" w:cs="宋体"/>
                <w:color w:val="000000" w:themeColor="text1"/>
                <w:szCs w:val="21"/>
                <w14:textFill>
                  <w14:solidFill>
                    <w14:schemeClr w14:val="tx1"/>
                  </w14:solidFill>
                </w14:textFill>
              </w:rPr>
              <w:t>0</w:t>
            </w:r>
          </w:p>
        </w:tc>
        <w:tc>
          <w:tcPr>
            <w:tcW w:w="697" w:type="pct"/>
            <w:vAlign w:val="center"/>
          </w:tcPr>
          <w:p w14:paraId="54387ADF">
            <w:pPr>
              <w:pStyle w:val="278"/>
              <w:adjustRightInd w:val="0"/>
              <w:snapToGrid w:val="0"/>
              <w:spacing w:line="300" w:lineRule="exact"/>
              <w:rPr>
                <w:rFonts w:hint="eastAsia"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达标</w:t>
            </w:r>
          </w:p>
        </w:tc>
      </w:tr>
      <w:tr w14:paraId="47163F2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406" w:type="pct"/>
            <w:vAlign w:val="center"/>
          </w:tcPr>
          <w:p w14:paraId="332D2778">
            <w:pPr>
              <w:pStyle w:val="202"/>
              <w:adjustRightInd w:val="0"/>
              <w:snapToGrid w:val="0"/>
              <w:spacing w:line="300" w:lineRule="exact"/>
              <w:ind w:firstLine="0" w:firstLineChars="0"/>
              <w:jc w:val="center"/>
              <w:rPr>
                <w:rFonts w:hint="eastAsia" w:cs="宋体"/>
                <w:b w:val="0"/>
                <w:color w:val="000000" w:themeColor="text1"/>
                <w:sz w:val="21"/>
                <w14:textFill>
                  <w14:solidFill>
                    <w14:schemeClr w14:val="tx1"/>
                  </w14:solidFill>
                </w14:textFill>
              </w:rPr>
            </w:pPr>
            <w:bookmarkStart w:id="422" w:name="_Toc216260258"/>
            <w:r>
              <w:rPr>
                <w:rFonts w:cs="宋体"/>
                <w:b w:val="0"/>
                <w:color w:val="000000" w:themeColor="text1"/>
                <w:sz w:val="21"/>
                <w14:textFill>
                  <w14:solidFill>
                    <w14:schemeClr w14:val="tx1"/>
                  </w14:solidFill>
                </w14:textFill>
              </w:rPr>
              <w:t>Z</w:t>
            </w:r>
            <w:r>
              <w:rPr>
                <w:rFonts w:hint="eastAsia" w:cs="宋体"/>
                <w:b w:val="0"/>
                <w:color w:val="000000" w:themeColor="text1"/>
                <w:sz w:val="21"/>
                <w14:textFill>
                  <w14:solidFill>
                    <w14:schemeClr w14:val="tx1"/>
                  </w14:solidFill>
                </w14:textFill>
              </w:rPr>
              <w:t>4</w:t>
            </w:r>
            <w:bookmarkEnd w:id="422"/>
          </w:p>
        </w:tc>
        <w:tc>
          <w:tcPr>
            <w:tcW w:w="487" w:type="pct"/>
            <w:vMerge w:val="continue"/>
            <w:vAlign w:val="center"/>
          </w:tcPr>
          <w:p w14:paraId="664FFBA3">
            <w:pPr>
              <w:pStyle w:val="278"/>
              <w:adjustRightInd w:val="0"/>
              <w:snapToGrid w:val="0"/>
              <w:spacing w:line="300" w:lineRule="exact"/>
              <w:rPr>
                <w:rFonts w:hint="eastAsia" w:cs="宋体"/>
                <w:color w:val="000000" w:themeColor="text1"/>
                <w14:textFill>
                  <w14:solidFill>
                    <w14:schemeClr w14:val="tx1"/>
                  </w14:solidFill>
                </w14:textFill>
              </w:rPr>
            </w:pPr>
          </w:p>
        </w:tc>
        <w:tc>
          <w:tcPr>
            <w:tcW w:w="650" w:type="pct"/>
            <w:vAlign w:val="center"/>
          </w:tcPr>
          <w:p w14:paraId="25757C46">
            <w:pPr>
              <w:pStyle w:val="278"/>
              <w:adjustRightInd w:val="0"/>
              <w:snapToGrid w:val="0"/>
              <w:spacing w:line="300" w:lineRule="exact"/>
              <w:rPr>
                <w:rFonts w:hint="eastAsia"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北厂界</w:t>
            </w:r>
          </w:p>
        </w:tc>
        <w:tc>
          <w:tcPr>
            <w:tcW w:w="487" w:type="pct"/>
            <w:vAlign w:val="center"/>
          </w:tcPr>
          <w:p w14:paraId="272D5E07">
            <w:pPr>
              <w:pStyle w:val="278"/>
              <w:adjustRightInd w:val="0"/>
              <w:snapToGrid w:val="0"/>
              <w:spacing w:line="300" w:lineRule="exact"/>
              <w:rPr>
                <w:rFonts w:hint="eastAsia"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45</w:t>
            </w:r>
          </w:p>
        </w:tc>
        <w:tc>
          <w:tcPr>
            <w:tcW w:w="487" w:type="pct"/>
            <w:vAlign w:val="center"/>
          </w:tcPr>
          <w:p w14:paraId="127CE8CB">
            <w:pPr>
              <w:adjustRightInd w:val="0"/>
              <w:snapToGrid w:val="0"/>
              <w:spacing w:line="30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6</w:t>
            </w:r>
            <w:r>
              <w:rPr>
                <w:rFonts w:ascii="宋体" w:hAnsi="宋体" w:cs="宋体"/>
                <w:color w:val="000000" w:themeColor="text1"/>
                <w:szCs w:val="21"/>
                <w14:textFill>
                  <w14:solidFill>
                    <w14:schemeClr w14:val="tx1"/>
                  </w14:solidFill>
                </w14:textFill>
              </w:rPr>
              <w:t>0</w:t>
            </w:r>
          </w:p>
        </w:tc>
        <w:tc>
          <w:tcPr>
            <w:tcW w:w="650" w:type="pct"/>
            <w:vAlign w:val="center"/>
          </w:tcPr>
          <w:p w14:paraId="5CFB7AB4">
            <w:pPr>
              <w:pStyle w:val="278"/>
              <w:adjustRightInd w:val="0"/>
              <w:snapToGrid w:val="0"/>
              <w:spacing w:line="300" w:lineRule="exact"/>
              <w:rPr>
                <w:rFonts w:hint="eastAsia"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达标</w:t>
            </w:r>
          </w:p>
        </w:tc>
        <w:tc>
          <w:tcPr>
            <w:tcW w:w="568" w:type="pct"/>
            <w:vAlign w:val="center"/>
          </w:tcPr>
          <w:p w14:paraId="369F25C1">
            <w:pPr>
              <w:pStyle w:val="278"/>
              <w:adjustRightInd w:val="0"/>
              <w:snapToGrid w:val="0"/>
              <w:spacing w:line="300" w:lineRule="exact"/>
              <w:rPr>
                <w:rFonts w:hint="eastAsia"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41</w:t>
            </w:r>
          </w:p>
        </w:tc>
        <w:tc>
          <w:tcPr>
            <w:tcW w:w="568" w:type="pct"/>
            <w:vAlign w:val="center"/>
          </w:tcPr>
          <w:p w14:paraId="12783934">
            <w:pPr>
              <w:adjustRightInd w:val="0"/>
              <w:snapToGrid w:val="0"/>
              <w:spacing w:line="30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5</w:t>
            </w:r>
            <w:r>
              <w:rPr>
                <w:rFonts w:ascii="宋体" w:hAnsi="宋体" w:cs="宋体"/>
                <w:color w:val="000000" w:themeColor="text1"/>
                <w:szCs w:val="21"/>
                <w14:textFill>
                  <w14:solidFill>
                    <w14:schemeClr w14:val="tx1"/>
                  </w14:solidFill>
                </w14:textFill>
              </w:rPr>
              <w:t>0</w:t>
            </w:r>
          </w:p>
        </w:tc>
        <w:tc>
          <w:tcPr>
            <w:tcW w:w="697" w:type="pct"/>
            <w:vAlign w:val="center"/>
          </w:tcPr>
          <w:p w14:paraId="29373C6F">
            <w:pPr>
              <w:pStyle w:val="278"/>
              <w:adjustRightInd w:val="0"/>
              <w:snapToGrid w:val="0"/>
              <w:spacing w:line="300" w:lineRule="exact"/>
              <w:rPr>
                <w:rFonts w:hint="eastAsia"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达标</w:t>
            </w:r>
          </w:p>
        </w:tc>
      </w:tr>
      <w:tr w14:paraId="2A25095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406" w:type="pct"/>
            <w:vAlign w:val="center"/>
          </w:tcPr>
          <w:p w14:paraId="3B825473">
            <w:pPr>
              <w:pStyle w:val="278"/>
              <w:adjustRightInd w:val="0"/>
              <w:snapToGrid w:val="0"/>
              <w:spacing w:line="300" w:lineRule="exact"/>
              <w:rPr>
                <w:rFonts w:hint="eastAsia" w:cs="宋体"/>
                <w:color w:val="000000" w:themeColor="text1"/>
                <w14:textFill>
                  <w14:solidFill>
                    <w14:schemeClr w14:val="tx1"/>
                  </w14:solidFill>
                </w14:textFill>
              </w:rPr>
            </w:pPr>
            <w:r>
              <w:rPr>
                <w:rFonts w:cs="宋体"/>
                <w:color w:val="000000" w:themeColor="text1"/>
                <w14:textFill>
                  <w14:solidFill>
                    <w14:schemeClr w14:val="tx1"/>
                  </w14:solidFill>
                </w14:textFill>
              </w:rPr>
              <w:t>Z5</w:t>
            </w:r>
          </w:p>
        </w:tc>
        <w:tc>
          <w:tcPr>
            <w:tcW w:w="487" w:type="pct"/>
            <w:vMerge w:val="restart"/>
            <w:vAlign w:val="center"/>
          </w:tcPr>
          <w:p w14:paraId="11EE94F9">
            <w:pPr>
              <w:pStyle w:val="278"/>
              <w:adjustRightInd w:val="0"/>
              <w:snapToGrid w:val="0"/>
              <w:spacing w:line="300" w:lineRule="exact"/>
              <w:rPr>
                <w:rFonts w:hint="eastAsia" w:cs="宋体"/>
                <w:color w:val="000000" w:themeColor="text1"/>
                <w14:textFill>
                  <w14:solidFill>
                    <w14:schemeClr w14:val="tx1"/>
                  </w14:solidFill>
                </w14:textFill>
              </w:rPr>
            </w:pPr>
            <w:r>
              <w:rPr>
                <w:rFonts w:hint="eastAsia" w:cs="宋体"/>
                <w:bCs/>
                <w:color w:val="000000" w:themeColor="text1"/>
                <w14:textFill>
                  <w14:solidFill>
                    <w14:schemeClr w14:val="tx1"/>
                  </w14:solidFill>
                </w14:textFill>
              </w:rPr>
              <w:t>JHW035</w:t>
            </w:r>
          </w:p>
        </w:tc>
        <w:tc>
          <w:tcPr>
            <w:tcW w:w="650" w:type="pct"/>
            <w:vAlign w:val="center"/>
          </w:tcPr>
          <w:p w14:paraId="08D5DC18">
            <w:pPr>
              <w:pStyle w:val="278"/>
              <w:adjustRightInd w:val="0"/>
              <w:snapToGrid w:val="0"/>
              <w:spacing w:line="300" w:lineRule="exact"/>
              <w:rPr>
                <w:rFonts w:hint="eastAsia"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东厂界</w:t>
            </w:r>
          </w:p>
        </w:tc>
        <w:tc>
          <w:tcPr>
            <w:tcW w:w="487" w:type="pct"/>
            <w:vAlign w:val="center"/>
          </w:tcPr>
          <w:p w14:paraId="0F692AB6">
            <w:pPr>
              <w:pStyle w:val="278"/>
              <w:adjustRightInd w:val="0"/>
              <w:snapToGrid w:val="0"/>
              <w:spacing w:line="300" w:lineRule="exact"/>
              <w:rPr>
                <w:rFonts w:hint="eastAsia"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45</w:t>
            </w:r>
          </w:p>
        </w:tc>
        <w:tc>
          <w:tcPr>
            <w:tcW w:w="487" w:type="pct"/>
            <w:vAlign w:val="center"/>
          </w:tcPr>
          <w:p w14:paraId="50983F1D">
            <w:pPr>
              <w:adjustRightInd w:val="0"/>
              <w:snapToGrid w:val="0"/>
              <w:spacing w:line="30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6</w:t>
            </w:r>
            <w:r>
              <w:rPr>
                <w:rFonts w:ascii="宋体" w:hAnsi="宋体" w:cs="宋体"/>
                <w:color w:val="000000" w:themeColor="text1"/>
                <w:szCs w:val="21"/>
                <w14:textFill>
                  <w14:solidFill>
                    <w14:schemeClr w14:val="tx1"/>
                  </w14:solidFill>
                </w14:textFill>
              </w:rPr>
              <w:t>0</w:t>
            </w:r>
          </w:p>
        </w:tc>
        <w:tc>
          <w:tcPr>
            <w:tcW w:w="650" w:type="pct"/>
            <w:vAlign w:val="center"/>
          </w:tcPr>
          <w:p w14:paraId="7BBA21CF">
            <w:pPr>
              <w:pStyle w:val="278"/>
              <w:adjustRightInd w:val="0"/>
              <w:snapToGrid w:val="0"/>
              <w:spacing w:line="300" w:lineRule="exact"/>
              <w:rPr>
                <w:rFonts w:hint="eastAsia"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达标</w:t>
            </w:r>
          </w:p>
        </w:tc>
        <w:tc>
          <w:tcPr>
            <w:tcW w:w="568" w:type="pct"/>
            <w:vAlign w:val="center"/>
          </w:tcPr>
          <w:p w14:paraId="2EB00015">
            <w:pPr>
              <w:pStyle w:val="278"/>
              <w:adjustRightInd w:val="0"/>
              <w:snapToGrid w:val="0"/>
              <w:spacing w:line="300" w:lineRule="exact"/>
              <w:rPr>
                <w:rFonts w:hint="eastAsia"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41</w:t>
            </w:r>
          </w:p>
        </w:tc>
        <w:tc>
          <w:tcPr>
            <w:tcW w:w="568" w:type="pct"/>
            <w:vAlign w:val="center"/>
          </w:tcPr>
          <w:p w14:paraId="30FFDF1A">
            <w:pPr>
              <w:adjustRightInd w:val="0"/>
              <w:snapToGrid w:val="0"/>
              <w:spacing w:line="30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5</w:t>
            </w:r>
            <w:r>
              <w:rPr>
                <w:rFonts w:ascii="宋体" w:hAnsi="宋体" w:cs="宋体"/>
                <w:color w:val="000000" w:themeColor="text1"/>
                <w:szCs w:val="21"/>
                <w14:textFill>
                  <w14:solidFill>
                    <w14:schemeClr w14:val="tx1"/>
                  </w14:solidFill>
                </w14:textFill>
              </w:rPr>
              <w:t>0</w:t>
            </w:r>
          </w:p>
        </w:tc>
        <w:tc>
          <w:tcPr>
            <w:tcW w:w="697" w:type="pct"/>
            <w:vAlign w:val="center"/>
          </w:tcPr>
          <w:p w14:paraId="631EA822">
            <w:pPr>
              <w:pStyle w:val="278"/>
              <w:adjustRightInd w:val="0"/>
              <w:snapToGrid w:val="0"/>
              <w:spacing w:line="300" w:lineRule="exact"/>
              <w:rPr>
                <w:rFonts w:hint="eastAsia"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达标</w:t>
            </w:r>
          </w:p>
        </w:tc>
      </w:tr>
      <w:tr w14:paraId="1E737AF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406" w:type="pct"/>
            <w:vAlign w:val="center"/>
          </w:tcPr>
          <w:p w14:paraId="69E3A159">
            <w:pPr>
              <w:pStyle w:val="278"/>
              <w:adjustRightInd w:val="0"/>
              <w:snapToGrid w:val="0"/>
              <w:spacing w:line="300" w:lineRule="exact"/>
              <w:rPr>
                <w:rFonts w:hint="eastAsia" w:cs="宋体"/>
                <w:color w:val="000000" w:themeColor="text1"/>
                <w14:textFill>
                  <w14:solidFill>
                    <w14:schemeClr w14:val="tx1"/>
                  </w14:solidFill>
                </w14:textFill>
              </w:rPr>
            </w:pPr>
            <w:r>
              <w:rPr>
                <w:rFonts w:cs="宋体"/>
                <w:color w:val="000000" w:themeColor="text1"/>
                <w14:textFill>
                  <w14:solidFill>
                    <w14:schemeClr w14:val="tx1"/>
                  </w14:solidFill>
                </w14:textFill>
              </w:rPr>
              <w:t>Z6</w:t>
            </w:r>
          </w:p>
        </w:tc>
        <w:tc>
          <w:tcPr>
            <w:tcW w:w="487" w:type="pct"/>
            <w:vMerge w:val="continue"/>
            <w:vAlign w:val="center"/>
          </w:tcPr>
          <w:p w14:paraId="5CB1B842">
            <w:pPr>
              <w:pStyle w:val="278"/>
              <w:adjustRightInd w:val="0"/>
              <w:snapToGrid w:val="0"/>
              <w:spacing w:line="300" w:lineRule="exact"/>
              <w:rPr>
                <w:rFonts w:hint="eastAsia" w:cs="宋体"/>
                <w:color w:val="000000" w:themeColor="text1"/>
                <w14:textFill>
                  <w14:solidFill>
                    <w14:schemeClr w14:val="tx1"/>
                  </w14:solidFill>
                </w14:textFill>
              </w:rPr>
            </w:pPr>
          </w:p>
        </w:tc>
        <w:tc>
          <w:tcPr>
            <w:tcW w:w="650" w:type="pct"/>
            <w:vAlign w:val="center"/>
          </w:tcPr>
          <w:p w14:paraId="28F6AF85">
            <w:pPr>
              <w:pStyle w:val="278"/>
              <w:adjustRightInd w:val="0"/>
              <w:snapToGrid w:val="0"/>
              <w:spacing w:line="300" w:lineRule="exact"/>
              <w:rPr>
                <w:rFonts w:hint="eastAsia"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南厂界</w:t>
            </w:r>
          </w:p>
        </w:tc>
        <w:tc>
          <w:tcPr>
            <w:tcW w:w="487" w:type="pct"/>
            <w:vAlign w:val="center"/>
          </w:tcPr>
          <w:p w14:paraId="1AB8383E">
            <w:pPr>
              <w:pStyle w:val="278"/>
              <w:adjustRightInd w:val="0"/>
              <w:snapToGrid w:val="0"/>
              <w:spacing w:line="300" w:lineRule="exact"/>
              <w:rPr>
                <w:rFonts w:hint="eastAsia"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43</w:t>
            </w:r>
          </w:p>
        </w:tc>
        <w:tc>
          <w:tcPr>
            <w:tcW w:w="487" w:type="pct"/>
            <w:vAlign w:val="center"/>
          </w:tcPr>
          <w:p w14:paraId="28525B79">
            <w:pPr>
              <w:adjustRightInd w:val="0"/>
              <w:snapToGrid w:val="0"/>
              <w:spacing w:line="30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6</w:t>
            </w:r>
            <w:r>
              <w:rPr>
                <w:rFonts w:ascii="宋体" w:hAnsi="宋体" w:cs="宋体"/>
                <w:color w:val="000000" w:themeColor="text1"/>
                <w:szCs w:val="21"/>
                <w14:textFill>
                  <w14:solidFill>
                    <w14:schemeClr w14:val="tx1"/>
                  </w14:solidFill>
                </w14:textFill>
              </w:rPr>
              <w:t>0</w:t>
            </w:r>
          </w:p>
        </w:tc>
        <w:tc>
          <w:tcPr>
            <w:tcW w:w="650" w:type="pct"/>
            <w:vAlign w:val="center"/>
          </w:tcPr>
          <w:p w14:paraId="7A8BE63A">
            <w:pPr>
              <w:pStyle w:val="278"/>
              <w:adjustRightInd w:val="0"/>
              <w:snapToGrid w:val="0"/>
              <w:spacing w:line="300" w:lineRule="exact"/>
              <w:rPr>
                <w:rFonts w:hint="eastAsia"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达标</w:t>
            </w:r>
          </w:p>
        </w:tc>
        <w:tc>
          <w:tcPr>
            <w:tcW w:w="568" w:type="pct"/>
            <w:vAlign w:val="center"/>
          </w:tcPr>
          <w:p w14:paraId="640C44E4">
            <w:pPr>
              <w:pStyle w:val="278"/>
              <w:adjustRightInd w:val="0"/>
              <w:snapToGrid w:val="0"/>
              <w:spacing w:line="300" w:lineRule="exact"/>
              <w:rPr>
                <w:rFonts w:hint="eastAsia"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39</w:t>
            </w:r>
          </w:p>
        </w:tc>
        <w:tc>
          <w:tcPr>
            <w:tcW w:w="568" w:type="pct"/>
            <w:vAlign w:val="center"/>
          </w:tcPr>
          <w:p w14:paraId="45BBC88D">
            <w:pPr>
              <w:adjustRightInd w:val="0"/>
              <w:snapToGrid w:val="0"/>
              <w:spacing w:line="30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5</w:t>
            </w:r>
            <w:r>
              <w:rPr>
                <w:rFonts w:ascii="宋体" w:hAnsi="宋体" w:cs="宋体"/>
                <w:color w:val="000000" w:themeColor="text1"/>
                <w:szCs w:val="21"/>
                <w14:textFill>
                  <w14:solidFill>
                    <w14:schemeClr w14:val="tx1"/>
                  </w14:solidFill>
                </w14:textFill>
              </w:rPr>
              <w:t>0</w:t>
            </w:r>
          </w:p>
        </w:tc>
        <w:tc>
          <w:tcPr>
            <w:tcW w:w="697" w:type="pct"/>
            <w:vAlign w:val="center"/>
          </w:tcPr>
          <w:p w14:paraId="5009AE60">
            <w:pPr>
              <w:pStyle w:val="278"/>
              <w:adjustRightInd w:val="0"/>
              <w:snapToGrid w:val="0"/>
              <w:spacing w:line="300" w:lineRule="exact"/>
              <w:rPr>
                <w:rFonts w:hint="eastAsia"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达标</w:t>
            </w:r>
          </w:p>
        </w:tc>
      </w:tr>
      <w:tr w14:paraId="35994B9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406" w:type="pct"/>
            <w:vAlign w:val="center"/>
          </w:tcPr>
          <w:p w14:paraId="4F40D9ED">
            <w:pPr>
              <w:pStyle w:val="278"/>
              <w:adjustRightInd w:val="0"/>
              <w:snapToGrid w:val="0"/>
              <w:spacing w:line="300" w:lineRule="exact"/>
              <w:rPr>
                <w:rFonts w:hint="eastAsia" w:cs="宋体"/>
                <w:color w:val="000000" w:themeColor="text1"/>
                <w14:textFill>
                  <w14:solidFill>
                    <w14:schemeClr w14:val="tx1"/>
                  </w14:solidFill>
                </w14:textFill>
              </w:rPr>
            </w:pPr>
            <w:r>
              <w:rPr>
                <w:rFonts w:cs="宋体"/>
                <w:color w:val="000000" w:themeColor="text1"/>
                <w14:textFill>
                  <w14:solidFill>
                    <w14:schemeClr w14:val="tx1"/>
                  </w14:solidFill>
                </w14:textFill>
              </w:rPr>
              <w:t>Z7</w:t>
            </w:r>
          </w:p>
        </w:tc>
        <w:tc>
          <w:tcPr>
            <w:tcW w:w="487" w:type="pct"/>
            <w:vMerge w:val="continue"/>
            <w:vAlign w:val="center"/>
          </w:tcPr>
          <w:p w14:paraId="05F53989">
            <w:pPr>
              <w:pStyle w:val="278"/>
              <w:adjustRightInd w:val="0"/>
              <w:snapToGrid w:val="0"/>
              <w:spacing w:line="300" w:lineRule="exact"/>
              <w:rPr>
                <w:rFonts w:hint="eastAsia" w:cs="宋体"/>
                <w:color w:val="000000" w:themeColor="text1"/>
                <w14:textFill>
                  <w14:solidFill>
                    <w14:schemeClr w14:val="tx1"/>
                  </w14:solidFill>
                </w14:textFill>
              </w:rPr>
            </w:pPr>
          </w:p>
        </w:tc>
        <w:tc>
          <w:tcPr>
            <w:tcW w:w="650" w:type="pct"/>
            <w:vAlign w:val="center"/>
          </w:tcPr>
          <w:p w14:paraId="2BACE77B">
            <w:pPr>
              <w:pStyle w:val="278"/>
              <w:adjustRightInd w:val="0"/>
              <w:snapToGrid w:val="0"/>
              <w:spacing w:line="300" w:lineRule="exact"/>
              <w:rPr>
                <w:rFonts w:hint="eastAsia"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西厂界</w:t>
            </w:r>
          </w:p>
        </w:tc>
        <w:tc>
          <w:tcPr>
            <w:tcW w:w="487" w:type="pct"/>
            <w:vAlign w:val="center"/>
          </w:tcPr>
          <w:p w14:paraId="233921B1">
            <w:pPr>
              <w:pStyle w:val="278"/>
              <w:adjustRightInd w:val="0"/>
              <w:snapToGrid w:val="0"/>
              <w:spacing w:line="300" w:lineRule="exact"/>
              <w:rPr>
                <w:rFonts w:hint="eastAsia"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46</w:t>
            </w:r>
          </w:p>
        </w:tc>
        <w:tc>
          <w:tcPr>
            <w:tcW w:w="487" w:type="pct"/>
            <w:vAlign w:val="center"/>
          </w:tcPr>
          <w:p w14:paraId="61CE4C21">
            <w:pPr>
              <w:adjustRightInd w:val="0"/>
              <w:snapToGrid w:val="0"/>
              <w:spacing w:line="30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6</w:t>
            </w:r>
            <w:r>
              <w:rPr>
                <w:rFonts w:ascii="宋体" w:hAnsi="宋体" w:cs="宋体"/>
                <w:color w:val="000000" w:themeColor="text1"/>
                <w:szCs w:val="21"/>
                <w14:textFill>
                  <w14:solidFill>
                    <w14:schemeClr w14:val="tx1"/>
                  </w14:solidFill>
                </w14:textFill>
              </w:rPr>
              <w:t>0</w:t>
            </w:r>
          </w:p>
        </w:tc>
        <w:tc>
          <w:tcPr>
            <w:tcW w:w="650" w:type="pct"/>
            <w:vAlign w:val="center"/>
          </w:tcPr>
          <w:p w14:paraId="424B7D1B">
            <w:pPr>
              <w:pStyle w:val="278"/>
              <w:adjustRightInd w:val="0"/>
              <w:snapToGrid w:val="0"/>
              <w:spacing w:line="300" w:lineRule="exact"/>
              <w:rPr>
                <w:rFonts w:hint="eastAsia"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达标</w:t>
            </w:r>
          </w:p>
        </w:tc>
        <w:tc>
          <w:tcPr>
            <w:tcW w:w="568" w:type="pct"/>
            <w:vAlign w:val="center"/>
          </w:tcPr>
          <w:p w14:paraId="650B5CF5">
            <w:pPr>
              <w:pStyle w:val="278"/>
              <w:adjustRightInd w:val="0"/>
              <w:snapToGrid w:val="0"/>
              <w:spacing w:line="300" w:lineRule="exact"/>
              <w:rPr>
                <w:rFonts w:hint="eastAsia"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41</w:t>
            </w:r>
          </w:p>
        </w:tc>
        <w:tc>
          <w:tcPr>
            <w:tcW w:w="568" w:type="pct"/>
            <w:vAlign w:val="center"/>
          </w:tcPr>
          <w:p w14:paraId="7FFA0F46">
            <w:pPr>
              <w:adjustRightInd w:val="0"/>
              <w:snapToGrid w:val="0"/>
              <w:spacing w:line="30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5</w:t>
            </w:r>
            <w:r>
              <w:rPr>
                <w:rFonts w:ascii="宋体" w:hAnsi="宋体" w:cs="宋体"/>
                <w:color w:val="000000" w:themeColor="text1"/>
                <w:szCs w:val="21"/>
                <w14:textFill>
                  <w14:solidFill>
                    <w14:schemeClr w14:val="tx1"/>
                  </w14:solidFill>
                </w14:textFill>
              </w:rPr>
              <w:t>0</w:t>
            </w:r>
          </w:p>
        </w:tc>
        <w:tc>
          <w:tcPr>
            <w:tcW w:w="697" w:type="pct"/>
            <w:vAlign w:val="center"/>
          </w:tcPr>
          <w:p w14:paraId="3728DC54">
            <w:pPr>
              <w:pStyle w:val="278"/>
              <w:adjustRightInd w:val="0"/>
              <w:snapToGrid w:val="0"/>
              <w:spacing w:line="300" w:lineRule="exact"/>
              <w:rPr>
                <w:rFonts w:hint="eastAsia"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达标</w:t>
            </w:r>
          </w:p>
        </w:tc>
      </w:tr>
      <w:tr w14:paraId="014EABC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406" w:type="pct"/>
            <w:vAlign w:val="center"/>
          </w:tcPr>
          <w:p w14:paraId="54F4FDB3">
            <w:pPr>
              <w:pStyle w:val="278"/>
              <w:adjustRightInd w:val="0"/>
              <w:snapToGrid w:val="0"/>
              <w:spacing w:line="300" w:lineRule="exact"/>
              <w:rPr>
                <w:rFonts w:hint="eastAsia" w:cs="宋体"/>
                <w:color w:val="000000" w:themeColor="text1"/>
                <w14:textFill>
                  <w14:solidFill>
                    <w14:schemeClr w14:val="tx1"/>
                  </w14:solidFill>
                </w14:textFill>
              </w:rPr>
            </w:pPr>
            <w:r>
              <w:rPr>
                <w:rFonts w:cs="宋体"/>
                <w:color w:val="000000" w:themeColor="text1"/>
                <w14:textFill>
                  <w14:solidFill>
                    <w14:schemeClr w14:val="tx1"/>
                  </w14:solidFill>
                </w14:textFill>
              </w:rPr>
              <w:t>Z</w:t>
            </w:r>
            <w:r>
              <w:rPr>
                <w:rFonts w:hint="eastAsia" w:cs="宋体"/>
                <w:color w:val="000000" w:themeColor="text1"/>
                <w14:textFill>
                  <w14:solidFill>
                    <w14:schemeClr w14:val="tx1"/>
                  </w14:solidFill>
                </w14:textFill>
              </w:rPr>
              <w:t>8</w:t>
            </w:r>
          </w:p>
        </w:tc>
        <w:tc>
          <w:tcPr>
            <w:tcW w:w="487" w:type="pct"/>
            <w:vMerge w:val="continue"/>
            <w:vAlign w:val="center"/>
          </w:tcPr>
          <w:p w14:paraId="55B597D0">
            <w:pPr>
              <w:pStyle w:val="278"/>
              <w:adjustRightInd w:val="0"/>
              <w:snapToGrid w:val="0"/>
              <w:spacing w:line="300" w:lineRule="exact"/>
              <w:rPr>
                <w:rFonts w:hint="eastAsia" w:cs="宋体"/>
                <w:color w:val="000000" w:themeColor="text1"/>
                <w14:textFill>
                  <w14:solidFill>
                    <w14:schemeClr w14:val="tx1"/>
                  </w14:solidFill>
                </w14:textFill>
              </w:rPr>
            </w:pPr>
          </w:p>
        </w:tc>
        <w:tc>
          <w:tcPr>
            <w:tcW w:w="650" w:type="pct"/>
            <w:vAlign w:val="center"/>
          </w:tcPr>
          <w:p w14:paraId="328DF3F5">
            <w:pPr>
              <w:pStyle w:val="278"/>
              <w:adjustRightInd w:val="0"/>
              <w:snapToGrid w:val="0"/>
              <w:spacing w:line="300" w:lineRule="exact"/>
              <w:rPr>
                <w:rFonts w:hint="eastAsia"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北厂界</w:t>
            </w:r>
          </w:p>
        </w:tc>
        <w:tc>
          <w:tcPr>
            <w:tcW w:w="487" w:type="pct"/>
            <w:vAlign w:val="center"/>
          </w:tcPr>
          <w:p w14:paraId="0AD4DF57">
            <w:pPr>
              <w:pStyle w:val="278"/>
              <w:adjustRightInd w:val="0"/>
              <w:snapToGrid w:val="0"/>
              <w:spacing w:line="300" w:lineRule="exact"/>
              <w:rPr>
                <w:rFonts w:hint="eastAsia"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46</w:t>
            </w:r>
          </w:p>
        </w:tc>
        <w:tc>
          <w:tcPr>
            <w:tcW w:w="487" w:type="pct"/>
            <w:vAlign w:val="center"/>
          </w:tcPr>
          <w:p w14:paraId="2388BE36">
            <w:pPr>
              <w:adjustRightInd w:val="0"/>
              <w:snapToGrid w:val="0"/>
              <w:spacing w:line="30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6</w:t>
            </w:r>
            <w:r>
              <w:rPr>
                <w:rFonts w:ascii="宋体" w:hAnsi="宋体" w:cs="宋体"/>
                <w:color w:val="000000" w:themeColor="text1"/>
                <w:szCs w:val="21"/>
                <w14:textFill>
                  <w14:solidFill>
                    <w14:schemeClr w14:val="tx1"/>
                  </w14:solidFill>
                </w14:textFill>
              </w:rPr>
              <w:t>0</w:t>
            </w:r>
          </w:p>
        </w:tc>
        <w:tc>
          <w:tcPr>
            <w:tcW w:w="650" w:type="pct"/>
            <w:vAlign w:val="center"/>
          </w:tcPr>
          <w:p w14:paraId="4FF5DA89">
            <w:pPr>
              <w:pStyle w:val="278"/>
              <w:adjustRightInd w:val="0"/>
              <w:snapToGrid w:val="0"/>
              <w:spacing w:line="300" w:lineRule="exact"/>
              <w:rPr>
                <w:rFonts w:hint="eastAsia"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达标</w:t>
            </w:r>
          </w:p>
        </w:tc>
        <w:tc>
          <w:tcPr>
            <w:tcW w:w="568" w:type="pct"/>
            <w:vAlign w:val="center"/>
          </w:tcPr>
          <w:p w14:paraId="25CD8719">
            <w:pPr>
              <w:pStyle w:val="278"/>
              <w:adjustRightInd w:val="0"/>
              <w:snapToGrid w:val="0"/>
              <w:spacing w:line="300" w:lineRule="exact"/>
              <w:rPr>
                <w:rFonts w:hint="eastAsia"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42</w:t>
            </w:r>
          </w:p>
        </w:tc>
        <w:tc>
          <w:tcPr>
            <w:tcW w:w="568" w:type="pct"/>
            <w:vAlign w:val="center"/>
          </w:tcPr>
          <w:p w14:paraId="58C48EF1">
            <w:pPr>
              <w:adjustRightInd w:val="0"/>
              <w:snapToGrid w:val="0"/>
              <w:spacing w:line="30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5</w:t>
            </w:r>
            <w:r>
              <w:rPr>
                <w:rFonts w:ascii="宋体" w:hAnsi="宋体" w:cs="宋体"/>
                <w:color w:val="000000" w:themeColor="text1"/>
                <w:szCs w:val="21"/>
                <w14:textFill>
                  <w14:solidFill>
                    <w14:schemeClr w14:val="tx1"/>
                  </w14:solidFill>
                </w14:textFill>
              </w:rPr>
              <w:t>0</w:t>
            </w:r>
          </w:p>
        </w:tc>
        <w:tc>
          <w:tcPr>
            <w:tcW w:w="697" w:type="pct"/>
            <w:vAlign w:val="center"/>
          </w:tcPr>
          <w:p w14:paraId="07AC8A9F">
            <w:pPr>
              <w:pStyle w:val="278"/>
              <w:adjustRightInd w:val="0"/>
              <w:snapToGrid w:val="0"/>
              <w:spacing w:line="300" w:lineRule="exact"/>
              <w:rPr>
                <w:rFonts w:hint="eastAsia"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达标</w:t>
            </w:r>
          </w:p>
        </w:tc>
      </w:tr>
      <w:bookmarkEnd w:id="421"/>
      <w:tr w14:paraId="38F3C74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406" w:type="pct"/>
            <w:vAlign w:val="top"/>
          </w:tcPr>
          <w:p w14:paraId="4221166F">
            <w:pPr>
              <w:pStyle w:val="278"/>
              <w:adjustRightInd w:val="0"/>
              <w:snapToGrid w:val="0"/>
              <w:spacing w:line="300" w:lineRule="exact"/>
              <w:rPr>
                <w:rFonts w:hint="eastAsia" w:cs="宋体"/>
                <w:color w:val="000000" w:themeColor="text1"/>
                <w14:textFill>
                  <w14:solidFill>
                    <w14:schemeClr w14:val="tx1"/>
                  </w14:solidFill>
                </w14:textFill>
              </w:rPr>
            </w:pPr>
            <w:r>
              <w:rPr>
                <w:rFonts w:cs="宋体"/>
                <w:color w:val="000000" w:themeColor="text1"/>
                <w14:textFill>
                  <w14:solidFill>
                    <w14:schemeClr w14:val="tx1"/>
                  </w14:solidFill>
                </w14:textFill>
              </w:rPr>
              <w:t>Z</w:t>
            </w:r>
            <w:r>
              <w:rPr>
                <w:rFonts w:hint="eastAsia" w:cs="宋体"/>
                <w:color w:val="000000" w:themeColor="text1"/>
                <w14:textFill>
                  <w14:solidFill>
                    <w14:schemeClr w14:val="tx1"/>
                  </w14:solidFill>
                </w14:textFill>
              </w:rPr>
              <w:t>9</w:t>
            </w:r>
          </w:p>
        </w:tc>
        <w:tc>
          <w:tcPr>
            <w:tcW w:w="487" w:type="pct"/>
            <w:vMerge w:val="restart"/>
            <w:vAlign w:val="center"/>
          </w:tcPr>
          <w:p w14:paraId="0A66870E">
            <w:pPr>
              <w:pStyle w:val="278"/>
              <w:adjustRightInd w:val="0"/>
              <w:snapToGrid w:val="0"/>
              <w:spacing w:line="300" w:lineRule="exact"/>
              <w:rPr>
                <w:rFonts w:hint="eastAsia" w:cs="宋体"/>
                <w:color w:val="000000" w:themeColor="text1"/>
                <w14:textFill>
                  <w14:solidFill>
                    <w14:schemeClr w14:val="tx1"/>
                  </w14:solidFill>
                </w14:textFill>
              </w:rPr>
            </w:pPr>
            <w:r>
              <w:rPr>
                <w:rFonts w:hint="eastAsia" w:cs="宋体"/>
                <w:bCs/>
                <w:color w:val="000000" w:themeColor="text1"/>
                <w14:textFill>
                  <w14:solidFill>
                    <w14:schemeClr w14:val="tx1"/>
                  </w14:solidFill>
                </w14:textFill>
              </w:rPr>
              <w:t>JHW034</w:t>
            </w:r>
          </w:p>
        </w:tc>
        <w:tc>
          <w:tcPr>
            <w:tcW w:w="650" w:type="pct"/>
            <w:vAlign w:val="center"/>
          </w:tcPr>
          <w:p w14:paraId="1A57E427">
            <w:pPr>
              <w:pStyle w:val="278"/>
              <w:adjustRightInd w:val="0"/>
              <w:snapToGrid w:val="0"/>
              <w:spacing w:line="300" w:lineRule="exact"/>
              <w:rPr>
                <w:rFonts w:hint="eastAsia"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东厂界</w:t>
            </w:r>
          </w:p>
        </w:tc>
        <w:tc>
          <w:tcPr>
            <w:tcW w:w="487" w:type="pct"/>
            <w:vAlign w:val="center"/>
          </w:tcPr>
          <w:p w14:paraId="38D86B42">
            <w:pPr>
              <w:pStyle w:val="278"/>
              <w:adjustRightInd w:val="0"/>
              <w:snapToGrid w:val="0"/>
              <w:spacing w:line="300" w:lineRule="exact"/>
              <w:rPr>
                <w:rFonts w:hint="eastAsia"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51</w:t>
            </w:r>
          </w:p>
        </w:tc>
        <w:tc>
          <w:tcPr>
            <w:tcW w:w="487" w:type="pct"/>
            <w:vAlign w:val="center"/>
          </w:tcPr>
          <w:p w14:paraId="61979A91">
            <w:pPr>
              <w:pStyle w:val="278"/>
              <w:adjustRightInd w:val="0"/>
              <w:snapToGrid w:val="0"/>
              <w:spacing w:line="300" w:lineRule="exact"/>
              <w:rPr>
                <w:rFonts w:hint="eastAsia"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6</w:t>
            </w:r>
            <w:r>
              <w:rPr>
                <w:rFonts w:cs="宋体"/>
                <w:color w:val="000000" w:themeColor="text1"/>
                <w14:textFill>
                  <w14:solidFill>
                    <w14:schemeClr w14:val="tx1"/>
                  </w14:solidFill>
                </w14:textFill>
              </w:rPr>
              <w:t>0</w:t>
            </w:r>
          </w:p>
        </w:tc>
        <w:tc>
          <w:tcPr>
            <w:tcW w:w="650" w:type="pct"/>
            <w:vAlign w:val="center"/>
          </w:tcPr>
          <w:p w14:paraId="1011937B">
            <w:pPr>
              <w:pStyle w:val="278"/>
              <w:adjustRightInd w:val="0"/>
              <w:snapToGrid w:val="0"/>
              <w:spacing w:line="300" w:lineRule="exact"/>
              <w:rPr>
                <w:rFonts w:hint="eastAsia"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达标</w:t>
            </w:r>
          </w:p>
        </w:tc>
        <w:tc>
          <w:tcPr>
            <w:tcW w:w="568" w:type="pct"/>
            <w:vAlign w:val="center"/>
          </w:tcPr>
          <w:p w14:paraId="0D539141">
            <w:pPr>
              <w:pStyle w:val="278"/>
              <w:adjustRightInd w:val="0"/>
              <w:snapToGrid w:val="0"/>
              <w:spacing w:line="300" w:lineRule="exact"/>
              <w:rPr>
                <w:rFonts w:hint="eastAsia"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44</w:t>
            </w:r>
          </w:p>
        </w:tc>
        <w:tc>
          <w:tcPr>
            <w:tcW w:w="568" w:type="pct"/>
            <w:vAlign w:val="center"/>
          </w:tcPr>
          <w:p w14:paraId="59F82D99">
            <w:pPr>
              <w:pStyle w:val="278"/>
              <w:adjustRightInd w:val="0"/>
              <w:snapToGrid w:val="0"/>
              <w:spacing w:line="300" w:lineRule="exact"/>
              <w:rPr>
                <w:rFonts w:hint="eastAsia"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5</w:t>
            </w:r>
            <w:r>
              <w:rPr>
                <w:rFonts w:cs="宋体"/>
                <w:color w:val="000000" w:themeColor="text1"/>
                <w14:textFill>
                  <w14:solidFill>
                    <w14:schemeClr w14:val="tx1"/>
                  </w14:solidFill>
                </w14:textFill>
              </w:rPr>
              <w:t>0</w:t>
            </w:r>
          </w:p>
        </w:tc>
        <w:tc>
          <w:tcPr>
            <w:tcW w:w="697" w:type="pct"/>
            <w:vAlign w:val="center"/>
          </w:tcPr>
          <w:p w14:paraId="20FA2F42">
            <w:pPr>
              <w:pStyle w:val="278"/>
              <w:adjustRightInd w:val="0"/>
              <w:snapToGrid w:val="0"/>
              <w:spacing w:line="300" w:lineRule="exact"/>
              <w:rPr>
                <w:rFonts w:hint="eastAsia"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达标</w:t>
            </w:r>
          </w:p>
        </w:tc>
      </w:tr>
      <w:tr w14:paraId="2E9E455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406" w:type="pct"/>
            <w:vAlign w:val="top"/>
          </w:tcPr>
          <w:p w14:paraId="7B31A405">
            <w:pPr>
              <w:pStyle w:val="278"/>
              <w:adjustRightInd w:val="0"/>
              <w:snapToGrid w:val="0"/>
              <w:spacing w:line="300" w:lineRule="exact"/>
              <w:rPr>
                <w:rFonts w:hint="eastAsia" w:cs="宋体"/>
                <w:color w:val="000000" w:themeColor="text1"/>
                <w14:textFill>
                  <w14:solidFill>
                    <w14:schemeClr w14:val="tx1"/>
                  </w14:solidFill>
                </w14:textFill>
              </w:rPr>
            </w:pPr>
            <w:r>
              <w:rPr>
                <w:rFonts w:cs="宋体"/>
                <w:color w:val="000000" w:themeColor="text1"/>
                <w14:textFill>
                  <w14:solidFill>
                    <w14:schemeClr w14:val="tx1"/>
                  </w14:solidFill>
                </w14:textFill>
              </w:rPr>
              <w:t>Z</w:t>
            </w:r>
            <w:r>
              <w:rPr>
                <w:rFonts w:hint="eastAsia" w:cs="宋体"/>
                <w:color w:val="000000" w:themeColor="text1"/>
                <w14:textFill>
                  <w14:solidFill>
                    <w14:schemeClr w14:val="tx1"/>
                  </w14:solidFill>
                </w14:textFill>
              </w:rPr>
              <w:t>10</w:t>
            </w:r>
          </w:p>
        </w:tc>
        <w:tc>
          <w:tcPr>
            <w:tcW w:w="487" w:type="pct"/>
            <w:vMerge w:val="continue"/>
            <w:vAlign w:val="center"/>
          </w:tcPr>
          <w:p w14:paraId="3A6E45DC">
            <w:pPr>
              <w:pStyle w:val="278"/>
              <w:adjustRightInd w:val="0"/>
              <w:snapToGrid w:val="0"/>
              <w:spacing w:line="300" w:lineRule="exact"/>
              <w:rPr>
                <w:rFonts w:hint="eastAsia" w:cs="宋体"/>
                <w:color w:val="000000" w:themeColor="text1"/>
                <w14:textFill>
                  <w14:solidFill>
                    <w14:schemeClr w14:val="tx1"/>
                  </w14:solidFill>
                </w14:textFill>
              </w:rPr>
            </w:pPr>
          </w:p>
        </w:tc>
        <w:tc>
          <w:tcPr>
            <w:tcW w:w="650" w:type="pct"/>
            <w:vAlign w:val="center"/>
          </w:tcPr>
          <w:p w14:paraId="337ACE15">
            <w:pPr>
              <w:pStyle w:val="278"/>
              <w:adjustRightInd w:val="0"/>
              <w:snapToGrid w:val="0"/>
              <w:spacing w:line="300" w:lineRule="exact"/>
              <w:rPr>
                <w:rFonts w:hint="eastAsia"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南厂界</w:t>
            </w:r>
          </w:p>
        </w:tc>
        <w:tc>
          <w:tcPr>
            <w:tcW w:w="487" w:type="pct"/>
            <w:vAlign w:val="center"/>
          </w:tcPr>
          <w:p w14:paraId="0940C836">
            <w:pPr>
              <w:pStyle w:val="278"/>
              <w:adjustRightInd w:val="0"/>
              <w:snapToGrid w:val="0"/>
              <w:spacing w:line="300" w:lineRule="exact"/>
              <w:rPr>
                <w:rFonts w:hint="eastAsia"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49</w:t>
            </w:r>
          </w:p>
        </w:tc>
        <w:tc>
          <w:tcPr>
            <w:tcW w:w="487" w:type="pct"/>
            <w:vAlign w:val="center"/>
          </w:tcPr>
          <w:p w14:paraId="154D6529">
            <w:pPr>
              <w:adjustRightInd w:val="0"/>
              <w:snapToGrid w:val="0"/>
              <w:spacing w:line="30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6</w:t>
            </w:r>
            <w:r>
              <w:rPr>
                <w:rFonts w:ascii="宋体" w:hAnsi="宋体" w:cs="宋体"/>
                <w:color w:val="000000" w:themeColor="text1"/>
                <w:szCs w:val="21"/>
                <w14:textFill>
                  <w14:solidFill>
                    <w14:schemeClr w14:val="tx1"/>
                  </w14:solidFill>
                </w14:textFill>
              </w:rPr>
              <w:t>0</w:t>
            </w:r>
          </w:p>
        </w:tc>
        <w:tc>
          <w:tcPr>
            <w:tcW w:w="650" w:type="pct"/>
            <w:vAlign w:val="center"/>
          </w:tcPr>
          <w:p w14:paraId="552E8972">
            <w:pPr>
              <w:pStyle w:val="278"/>
              <w:adjustRightInd w:val="0"/>
              <w:snapToGrid w:val="0"/>
              <w:spacing w:line="300" w:lineRule="exact"/>
              <w:rPr>
                <w:rFonts w:hint="eastAsia"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达标</w:t>
            </w:r>
          </w:p>
        </w:tc>
        <w:tc>
          <w:tcPr>
            <w:tcW w:w="568" w:type="pct"/>
            <w:vAlign w:val="center"/>
          </w:tcPr>
          <w:p w14:paraId="755BB30D">
            <w:pPr>
              <w:pStyle w:val="278"/>
              <w:adjustRightInd w:val="0"/>
              <w:snapToGrid w:val="0"/>
              <w:spacing w:line="300" w:lineRule="exact"/>
              <w:rPr>
                <w:rFonts w:hint="eastAsia"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43</w:t>
            </w:r>
          </w:p>
        </w:tc>
        <w:tc>
          <w:tcPr>
            <w:tcW w:w="568" w:type="pct"/>
            <w:vAlign w:val="center"/>
          </w:tcPr>
          <w:p w14:paraId="59F0F55A">
            <w:pPr>
              <w:adjustRightInd w:val="0"/>
              <w:snapToGrid w:val="0"/>
              <w:spacing w:line="30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5</w:t>
            </w:r>
            <w:r>
              <w:rPr>
                <w:rFonts w:ascii="宋体" w:hAnsi="宋体" w:cs="宋体"/>
                <w:color w:val="000000" w:themeColor="text1"/>
                <w:szCs w:val="21"/>
                <w14:textFill>
                  <w14:solidFill>
                    <w14:schemeClr w14:val="tx1"/>
                  </w14:solidFill>
                </w14:textFill>
              </w:rPr>
              <w:t>0</w:t>
            </w:r>
          </w:p>
        </w:tc>
        <w:tc>
          <w:tcPr>
            <w:tcW w:w="697" w:type="pct"/>
            <w:vAlign w:val="center"/>
          </w:tcPr>
          <w:p w14:paraId="0C0172D0">
            <w:pPr>
              <w:pStyle w:val="278"/>
              <w:adjustRightInd w:val="0"/>
              <w:snapToGrid w:val="0"/>
              <w:spacing w:line="300" w:lineRule="exact"/>
              <w:rPr>
                <w:rFonts w:hint="eastAsia"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达标</w:t>
            </w:r>
          </w:p>
        </w:tc>
      </w:tr>
      <w:tr w14:paraId="4ECC3A7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406" w:type="pct"/>
            <w:vAlign w:val="top"/>
          </w:tcPr>
          <w:p w14:paraId="08D7FCA5">
            <w:pPr>
              <w:pStyle w:val="278"/>
              <w:adjustRightInd w:val="0"/>
              <w:snapToGrid w:val="0"/>
              <w:spacing w:line="300" w:lineRule="exact"/>
              <w:rPr>
                <w:rFonts w:hint="eastAsia" w:cs="宋体"/>
                <w:color w:val="000000" w:themeColor="text1"/>
                <w14:textFill>
                  <w14:solidFill>
                    <w14:schemeClr w14:val="tx1"/>
                  </w14:solidFill>
                </w14:textFill>
              </w:rPr>
            </w:pPr>
            <w:r>
              <w:rPr>
                <w:rFonts w:cs="宋体"/>
                <w:color w:val="000000" w:themeColor="text1"/>
                <w14:textFill>
                  <w14:solidFill>
                    <w14:schemeClr w14:val="tx1"/>
                  </w14:solidFill>
                </w14:textFill>
              </w:rPr>
              <w:t>Z</w:t>
            </w:r>
            <w:r>
              <w:rPr>
                <w:rFonts w:hint="eastAsia" w:cs="宋体"/>
                <w:color w:val="000000" w:themeColor="text1"/>
                <w14:textFill>
                  <w14:solidFill>
                    <w14:schemeClr w14:val="tx1"/>
                  </w14:solidFill>
                </w14:textFill>
              </w:rPr>
              <w:t>11</w:t>
            </w:r>
          </w:p>
        </w:tc>
        <w:tc>
          <w:tcPr>
            <w:tcW w:w="487" w:type="pct"/>
            <w:vMerge w:val="continue"/>
            <w:vAlign w:val="center"/>
          </w:tcPr>
          <w:p w14:paraId="61040315">
            <w:pPr>
              <w:pStyle w:val="278"/>
              <w:adjustRightInd w:val="0"/>
              <w:snapToGrid w:val="0"/>
              <w:spacing w:line="300" w:lineRule="exact"/>
              <w:rPr>
                <w:rFonts w:hint="eastAsia" w:cs="宋体"/>
                <w:color w:val="000000" w:themeColor="text1"/>
                <w14:textFill>
                  <w14:solidFill>
                    <w14:schemeClr w14:val="tx1"/>
                  </w14:solidFill>
                </w14:textFill>
              </w:rPr>
            </w:pPr>
          </w:p>
        </w:tc>
        <w:tc>
          <w:tcPr>
            <w:tcW w:w="650" w:type="pct"/>
            <w:vAlign w:val="center"/>
          </w:tcPr>
          <w:p w14:paraId="71F71EDB">
            <w:pPr>
              <w:pStyle w:val="278"/>
              <w:adjustRightInd w:val="0"/>
              <w:snapToGrid w:val="0"/>
              <w:spacing w:line="300" w:lineRule="exact"/>
              <w:rPr>
                <w:rFonts w:hint="eastAsia"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西厂界</w:t>
            </w:r>
          </w:p>
        </w:tc>
        <w:tc>
          <w:tcPr>
            <w:tcW w:w="487" w:type="pct"/>
            <w:vAlign w:val="center"/>
          </w:tcPr>
          <w:p w14:paraId="3067BCC8">
            <w:pPr>
              <w:pStyle w:val="278"/>
              <w:adjustRightInd w:val="0"/>
              <w:snapToGrid w:val="0"/>
              <w:spacing w:line="300" w:lineRule="exact"/>
              <w:rPr>
                <w:rFonts w:hint="eastAsia"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45</w:t>
            </w:r>
          </w:p>
        </w:tc>
        <w:tc>
          <w:tcPr>
            <w:tcW w:w="487" w:type="pct"/>
            <w:vAlign w:val="center"/>
          </w:tcPr>
          <w:p w14:paraId="16C21D00">
            <w:pPr>
              <w:adjustRightInd w:val="0"/>
              <w:snapToGrid w:val="0"/>
              <w:spacing w:line="30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6</w:t>
            </w:r>
            <w:r>
              <w:rPr>
                <w:rFonts w:ascii="宋体" w:hAnsi="宋体" w:cs="宋体"/>
                <w:color w:val="000000" w:themeColor="text1"/>
                <w:szCs w:val="21"/>
                <w14:textFill>
                  <w14:solidFill>
                    <w14:schemeClr w14:val="tx1"/>
                  </w14:solidFill>
                </w14:textFill>
              </w:rPr>
              <w:t>0</w:t>
            </w:r>
          </w:p>
        </w:tc>
        <w:tc>
          <w:tcPr>
            <w:tcW w:w="650" w:type="pct"/>
            <w:vAlign w:val="center"/>
          </w:tcPr>
          <w:p w14:paraId="2FDF4265">
            <w:pPr>
              <w:pStyle w:val="278"/>
              <w:adjustRightInd w:val="0"/>
              <w:snapToGrid w:val="0"/>
              <w:spacing w:line="300" w:lineRule="exact"/>
              <w:rPr>
                <w:rFonts w:hint="eastAsia"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达标</w:t>
            </w:r>
          </w:p>
        </w:tc>
        <w:tc>
          <w:tcPr>
            <w:tcW w:w="568" w:type="pct"/>
            <w:vAlign w:val="center"/>
          </w:tcPr>
          <w:p w14:paraId="2302FBC7">
            <w:pPr>
              <w:pStyle w:val="278"/>
              <w:adjustRightInd w:val="0"/>
              <w:snapToGrid w:val="0"/>
              <w:spacing w:line="300" w:lineRule="exact"/>
              <w:rPr>
                <w:rFonts w:hint="eastAsia"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41</w:t>
            </w:r>
          </w:p>
        </w:tc>
        <w:tc>
          <w:tcPr>
            <w:tcW w:w="568" w:type="pct"/>
            <w:vAlign w:val="center"/>
          </w:tcPr>
          <w:p w14:paraId="4481C806">
            <w:pPr>
              <w:adjustRightInd w:val="0"/>
              <w:snapToGrid w:val="0"/>
              <w:spacing w:line="30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5</w:t>
            </w:r>
            <w:r>
              <w:rPr>
                <w:rFonts w:ascii="宋体" w:hAnsi="宋体" w:cs="宋体"/>
                <w:color w:val="000000" w:themeColor="text1"/>
                <w:szCs w:val="21"/>
                <w14:textFill>
                  <w14:solidFill>
                    <w14:schemeClr w14:val="tx1"/>
                  </w14:solidFill>
                </w14:textFill>
              </w:rPr>
              <w:t>0</w:t>
            </w:r>
          </w:p>
        </w:tc>
        <w:tc>
          <w:tcPr>
            <w:tcW w:w="697" w:type="pct"/>
            <w:vAlign w:val="center"/>
          </w:tcPr>
          <w:p w14:paraId="41E37A00">
            <w:pPr>
              <w:pStyle w:val="278"/>
              <w:adjustRightInd w:val="0"/>
              <w:snapToGrid w:val="0"/>
              <w:spacing w:line="300" w:lineRule="exact"/>
              <w:rPr>
                <w:rFonts w:hint="eastAsia"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达标</w:t>
            </w:r>
          </w:p>
        </w:tc>
      </w:tr>
      <w:tr w14:paraId="10C3273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406" w:type="pct"/>
            <w:vAlign w:val="top"/>
          </w:tcPr>
          <w:p w14:paraId="0BEB2F90">
            <w:pPr>
              <w:pStyle w:val="202"/>
              <w:adjustRightInd w:val="0"/>
              <w:snapToGrid w:val="0"/>
              <w:spacing w:line="300" w:lineRule="exact"/>
              <w:ind w:firstLine="0" w:firstLineChars="0"/>
              <w:jc w:val="center"/>
              <w:rPr>
                <w:rFonts w:hint="eastAsia" w:cs="宋体"/>
                <w:b w:val="0"/>
                <w:color w:val="000000" w:themeColor="text1"/>
                <w:sz w:val="21"/>
                <w14:textFill>
                  <w14:solidFill>
                    <w14:schemeClr w14:val="tx1"/>
                  </w14:solidFill>
                </w14:textFill>
              </w:rPr>
            </w:pPr>
            <w:bookmarkStart w:id="423" w:name="_Toc216260259"/>
            <w:r>
              <w:rPr>
                <w:rFonts w:cs="宋体"/>
                <w:b w:val="0"/>
                <w:color w:val="000000" w:themeColor="text1"/>
                <w:sz w:val="21"/>
                <w14:textFill>
                  <w14:solidFill>
                    <w14:schemeClr w14:val="tx1"/>
                  </w14:solidFill>
                </w14:textFill>
              </w:rPr>
              <w:t>Z</w:t>
            </w:r>
            <w:r>
              <w:rPr>
                <w:rFonts w:hint="eastAsia" w:cs="宋体"/>
                <w:b w:val="0"/>
                <w:color w:val="000000" w:themeColor="text1"/>
                <w:sz w:val="21"/>
                <w14:textFill>
                  <w14:solidFill>
                    <w14:schemeClr w14:val="tx1"/>
                  </w14:solidFill>
                </w14:textFill>
              </w:rPr>
              <w:t>12</w:t>
            </w:r>
            <w:bookmarkEnd w:id="423"/>
          </w:p>
        </w:tc>
        <w:tc>
          <w:tcPr>
            <w:tcW w:w="487" w:type="pct"/>
            <w:vMerge w:val="continue"/>
            <w:vAlign w:val="center"/>
          </w:tcPr>
          <w:p w14:paraId="588C5C5C">
            <w:pPr>
              <w:pStyle w:val="278"/>
              <w:adjustRightInd w:val="0"/>
              <w:snapToGrid w:val="0"/>
              <w:spacing w:line="300" w:lineRule="exact"/>
              <w:rPr>
                <w:rFonts w:hint="eastAsia" w:cs="宋体"/>
                <w:color w:val="000000" w:themeColor="text1"/>
                <w14:textFill>
                  <w14:solidFill>
                    <w14:schemeClr w14:val="tx1"/>
                  </w14:solidFill>
                </w14:textFill>
              </w:rPr>
            </w:pPr>
          </w:p>
        </w:tc>
        <w:tc>
          <w:tcPr>
            <w:tcW w:w="650" w:type="pct"/>
            <w:vAlign w:val="center"/>
          </w:tcPr>
          <w:p w14:paraId="1BC02657">
            <w:pPr>
              <w:pStyle w:val="278"/>
              <w:adjustRightInd w:val="0"/>
              <w:snapToGrid w:val="0"/>
              <w:spacing w:line="300" w:lineRule="exact"/>
              <w:rPr>
                <w:rFonts w:hint="eastAsia"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北厂界</w:t>
            </w:r>
          </w:p>
        </w:tc>
        <w:tc>
          <w:tcPr>
            <w:tcW w:w="487" w:type="pct"/>
            <w:vAlign w:val="center"/>
          </w:tcPr>
          <w:p w14:paraId="358BA72E">
            <w:pPr>
              <w:pStyle w:val="278"/>
              <w:adjustRightInd w:val="0"/>
              <w:snapToGrid w:val="0"/>
              <w:spacing w:line="300" w:lineRule="exact"/>
              <w:rPr>
                <w:rFonts w:hint="eastAsia"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49</w:t>
            </w:r>
          </w:p>
        </w:tc>
        <w:tc>
          <w:tcPr>
            <w:tcW w:w="487" w:type="pct"/>
            <w:vAlign w:val="center"/>
          </w:tcPr>
          <w:p w14:paraId="499965CE">
            <w:pPr>
              <w:adjustRightInd w:val="0"/>
              <w:snapToGrid w:val="0"/>
              <w:spacing w:line="30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6</w:t>
            </w:r>
            <w:r>
              <w:rPr>
                <w:rFonts w:ascii="宋体" w:hAnsi="宋体" w:cs="宋体"/>
                <w:color w:val="000000" w:themeColor="text1"/>
                <w:szCs w:val="21"/>
                <w14:textFill>
                  <w14:solidFill>
                    <w14:schemeClr w14:val="tx1"/>
                  </w14:solidFill>
                </w14:textFill>
              </w:rPr>
              <w:t>0</w:t>
            </w:r>
          </w:p>
        </w:tc>
        <w:tc>
          <w:tcPr>
            <w:tcW w:w="650" w:type="pct"/>
            <w:vAlign w:val="center"/>
          </w:tcPr>
          <w:p w14:paraId="1CE35E5D">
            <w:pPr>
              <w:pStyle w:val="278"/>
              <w:adjustRightInd w:val="0"/>
              <w:snapToGrid w:val="0"/>
              <w:spacing w:line="300" w:lineRule="exact"/>
              <w:rPr>
                <w:rFonts w:hint="eastAsia"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达标</w:t>
            </w:r>
          </w:p>
        </w:tc>
        <w:tc>
          <w:tcPr>
            <w:tcW w:w="568" w:type="pct"/>
            <w:vAlign w:val="center"/>
          </w:tcPr>
          <w:p w14:paraId="59A7D70C">
            <w:pPr>
              <w:pStyle w:val="278"/>
              <w:adjustRightInd w:val="0"/>
              <w:snapToGrid w:val="0"/>
              <w:spacing w:line="300" w:lineRule="exact"/>
              <w:rPr>
                <w:rFonts w:hint="eastAsia"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43</w:t>
            </w:r>
          </w:p>
        </w:tc>
        <w:tc>
          <w:tcPr>
            <w:tcW w:w="568" w:type="pct"/>
            <w:vAlign w:val="center"/>
          </w:tcPr>
          <w:p w14:paraId="16F1C938">
            <w:pPr>
              <w:adjustRightInd w:val="0"/>
              <w:snapToGrid w:val="0"/>
              <w:spacing w:line="30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5</w:t>
            </w:r>
            <w:r>
              <w:rPr>
                <w:rFonts w:ascii="宋体" w:hAnsi="宋体" w:cs="宋体"/>
                <w:color w:val="000000" w:themeColor="text1"/>
                <w:szCs w:val="21"/>
                <w14:textFill>
                  <w14:solidFill>
                    <w14:schemeClr w14:val="tx1"/>
                  </w14:solidFill>
                </w14:textFill>
              </w:rPr>
              <w:t>0</w:t>
            </w:r>
          </w:p>
        </w:tc>
        <w:tc>
          <w:tcPr>
            <w:tcW w:w="697" w:type="pct"/>
            <w:vAlign w:val="center"/>
          </w:tcPr>
          <w:p w14:paraId="54C1255C">
            <w:pPr>
              <w:pStyle w:val="278"/>
              <w:adjustRightInd w:val="0"/>
              <w:snapToGrid w:val="0"/>
              <w:spacing w:line="300" w:lineRule="exact"/>
              <w:rPr>
                <w:rFonts w:hint="eastAsia"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达标</w:t>
            </w:r>
          </w:p>
        </w:tc>
      </w:tr>
      <w:tr w14:paraId="11CFF9F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406" w:type="pct"/>
            <w:vAlign w:val="top"/>
          </w:tcPr>
          <w:p w14:paraId="29C45F4B">
            <w:pPr>
              <w:pStyle w:val="278"/>
              <w:adjustRightInd w:val="0"/>
              <w:snapToGrid w:val="0"/>
              <w:spacing w:line="300" w:lineRule="exact"/>
              <w:rPr>
                <w:rFonts w:hint="eastAsia" w:cs="宋体"/>
                <w:color w:val="000000" w:themeColor="text1"/>
                <w14:textFill>
                  <w14:solidFill>
                    <w14:schemeClr w14:val="tx1"/>
                  </w14:solidFill>
                </w14:textFill>
              </w:rPr>
            </w:pPr>
            <w:r>
              <w:rPr>
                <w:rFonts w:cs="宋体"/>
                <w:color w:val="000000" w:themeColor="text1"/>
                <w14:textFill>
                  <w14:solidFill>
                    <w14:schemeClr w14:val="tx1"/>
                  </w14:solidFill>
                </w14:textFill>
              </w:rPr>
              <w:t>Z</w:t>
            </w:r>
            <w:r>
              <w:rPr>
                <w:rFonts w:hint="eastAsia" w:cs="宋体"/>
                <w:color w:val="000000" w:themeColor="text1"/>
                <w14:textFill>
                  <w14:solidFill>
                    <w14:schemeClr w14:val="tx1"/>
                  </w14:solidFill>
                </w14:textFill>
              </w:rPr>
              <w:t>13</w:t>
            </w:r>
          </w:p>
        </w:tc>
        <w:tc>
          <w:tcPr>
            <w:tcW w:w="487" w:type="pct"/>
            <w:vMerge w:val="restart"/>
            <w:vAlign w:val="center"/>
          </w:tcPr>
          <w:p w14:paraId="6D8892D1">
            <w:pPr>
              <w:pStyle w:val="278"/>
              <w:adjustRightInd w:val="0"/>
              <w:snapToGrid w:val="0"/>
              <w:spacing w:line="300" w:lineRule="exact"/>
              <w:rPr>
                <w:rFonts w:hint="eastAsia" w:cs="宋体"/>
                <w:color w:val="000000" w:themeColor="text1"/>
                <w14:textFill>
                  <w14:solidFill>
                    <w14:schemeClr w14:val="tx1"/>
                  </w14:solidFill>
                </w14:textFill>
              </w:rPr>
            </w:pPr>
            <w:r>
              <w:rPr>
                <w:rFonts w:hint="eastAsia" w:cs="宋体"/>
                <w:bCs/>
                <w:color w:val="000000" w:themeColor="text1"/>
                <w14:textFill>
                  <w14:solidFill>
                    <w14:schemeClr w14:val="tx1"/>
                  </w14:solidFill>
                </w14:textFill>
              </w:rPr>
              <w:t>JHW033</w:t>
            </w:r>
          </w:p>
        </w:tc>
        <w:tc>
          <w:tcPr>
            <w:tcW w:w="650" w:type="pct"/>
            <w:vAlign w:val="center"/>
          </w:tcPr>
          <w:p w14:paraId="2B753C36">
            <w:pPr>
              <w:pStyle w:val="278"/>
              <w:adjustRightInd w:val="0"/>
              <w:snapToGrid w:val="0"/>
              <w:spacing w:line="300" w:lineRule="exact"/>
              <w:rPr>
                <w:rFonts w:hint="eastAsia"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东厂界</w:t>
            </w:r>
          </w:p>
        </w:tc>
        <w:tc>
          <w:tcPr>
            <w:tcW w:w="487" w:type="pct"/>
            <w:vAlign w:val="center"/>
          </w:tcPr>
          <w:p w14:paraId="4B93A6D4">
            <w:pPr>
              <w:pStyle w:val="278"/>
              <w:adjustRightInd w:val="0"/>
              <w:snapToGrid w:val="0"/>
              <w:spacing w:line="300" w:lineRule="exact"/>
              <w:rPr>
                <w:rFonts w:hint="eastAsia"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46</w:t>
            </w:r>
          </w:p>
        </w:tc>
        <w:tc>
          <w:tcPr>
            <w:tcW w:w="487" w:type="pct"/>
            <w:vAlign w:val="center"/>
          </w:tcPr>
          <w:p w14:paraId="7A73EA3B">
            <w:pPr>
              <w:adjustRightInd w:val="0"/>
              <w:snapToGrid w:val="0"/>
              <w:spacing w:line="30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6</w:t>
            </w:r>
            <w:r>
              <w:rPr>
                <w:rFonts w:ascii="宋体" w:hAnsi="宋体" w:cs="宋体"/>
                <w:color w:val="000000" w:themeColor="text1"/>
                <w:szCs w:val="21"/>
                <w14:textFill>
                  <w14:solidFill>
                    <w14:schemeClr w14:val="tx1"/>
                  </w14:solidFill>
                </w14:textFill>
              </w:rPr>
              <w:t>0</w:t>
            </w:r>
          </w:p>
        </w:tc>
        <w:tc>
          <w:tcPr>
            <w:tcW w:w="650" w:type="pct"/>
            <w:vAlign w:val="center"/>
          </w:tcPr>
          <w:p w14:paraId="4BEDC3C2">
            <w:pPr>
              <w:pStyle w:val="278"/>
              <w:adjustRightInd w:val="0"/>
              <w:snapToGrid w:val="0"/>
              <w:spacing w:line="300" w:lineRule="exact"/>
              <w:rPr>
                <w:rFonts w:hint="eastAsia"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达标</w:t>
            </w:r>
          </w:p>
        </w:tc>
        <w:tc>
          <w:tcPr>
            <w:tcW w:w="568" w:type="pct"/>
            <w:vAlign w:val="center"/>
          </w:tcPr>
          <w:p w14:paraId="7B7BB9B9">
            <w:pPr>
              <w:pStyle w:val="278"/>
              <w:adjustRightInd w:val="0"/>
              <w:snapToGrid w:val="0"/>
              <w:spacing w:line="300" w:lineRule="exact"/>
              <w:rPr>
                <w:rFonts w:hint="eastAsia"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39</w:t>
            </w:r>
          </w:p>
        </w:tc>
        <w:tc>
          <w:tcPr>
            <w:tcW w:w="568" w:type="pct"/>
            <w:vAlign w:val="center"/>
          </w:tcPr>
          <w:p w14:paraId="5490DCA7">
            <w:pPr>
              <w:adjustRightInd w:val="0"/>
              <w:snapToGrid w:val="0"/>
              <w:spacing w:line="30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5</w:t>
            </w:r>
            <w:r>
              <w:rPr>
                <w:rFonts w:ascii="宋体" w:hAnsi="宋体" w:cs="宋体"/>
                <w:color w:val="000000" w:themeColor="text1"/>
                <w:szCs w:val="21"/>
                <w14:textFill>
                  <w14:solidFill>
                    <w14:schemeClr w14:val="tx1"/>
                  </w14:solidFill>
                </w14:textFill>
              </w:rPr>
              <w:t>0</w:t>
            </w:r>
          </w:p>
        </w:tc>
        <w:tc>
          <w:tcPr>
            <w:tcW w:w="697" w:type="pct"/>
            <w:vAlign w:val="center"/>
          </w:tcPr>
          <w:p w14:paraId="546DC29E">
            <w:pPr>
              <w:pStyle w:val="278"/>
              <w:adjustRightInd w:val="0"/>
              <w:snapToGrid w:val="0"/>
              <w:spacing w:line="300" w:lineRule="exact"/>
              <w:rPr>
                <w:rFonts w:hint="eastAsia"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达标</w:t>
            </w:r>
          </w:p>
        </w:tc>
      </w:tr>
      <w:tr w14:paraId="381DE86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406" w:type="pct"/>
            <w:vAlign w:val="top"/>
          </w:tcPr>
          <w:p w14:paraId="72B57F60">
            <w:pPr>
              <w:pStyle w:val="278"/>
              <w:adjustRightInd w:val="0"/>
              <w:snapToGrid w:val="0"/>
              <w:spacing w:line="300" w:lineRule="exact"/>
              <w:rPr>
                <w:rFonts w:hint="eastAsia" w:cs="宋体"/>
                <w:color w:val="000000" w:themeColor="text1"/>
                <w14:textFill>
                  <w14:solidFill>
                    <w14:schemeClr w14:val="tx1"/>
                  </w14:solidFill>
                </w14:textFill>
              </w:rPr>
            </w:pPr>
            <w:r>
              <w:rPr>
                <w:rFonts w:cs="宋体"/>
                <w:color w:val="000000" w:themeColor="text1"/>
                <w14:textFill>
                  <w14:solidFill>
                    <w14:schemeClr w14:val="tx1"/>
                  </w14:solidFill>
                </w14:textFill>
              </w:rPr>
              <w:t>Z</w:t>
            </w:r>
            <w:r>
              <w:rPr>
                <w:rFonts w:hint="eastAsia" w:cs="宋体"/>
                <w:color w:val="000000" w:themeColor="text1"/>
                <w14:textFill>
                  <w14:solidFill>
                    <w14:schemeClr w14:val="tx1"/>
                  </w14:solidFill>
                </w14:textFill>
              </w:rPr>
              <w:t>14</w:t>
            </w:r>
          </w:p>
        </w:tc>
        <w:tc>
          <w:tcPr>
            <w:tcW w:w="487" w:type="pct"/>
            <w:vMerge w:val="continue"/>
            <w:vAlign w:val="center"/>
          </w:tcPr>
          <w:p w14:paraId="37E46F60">
            <w:pPr>
              <w:pStyle w:val="278"/>
              <w:adjustRightInd w:val="0"/>
              <w:snapToGrid w:val="0"/>
              <w:spacing w:line="300" w:lineRule="exact"/>
              <w:rPr>
                <w:rFonts w:hint="eastAsia" w:cs="宋体"/>
                <w:color w:val="000000" w:themeColor="text1"/>
                <w14:textFill>
                  <w14:solidFill>
                    <w14:schemeClr w14:val="tx1"/>
                  </w14:solidFill>
                </w14:textFill>
              </w:rPr>
            </w:pPr>
          </w:p>
        </w:tc>
        <w:tc>
          <w:tcPr>
            <w:tcW w:w="650" w:type="pct"/>
            <w:vAlign w:val="center"/>
          </w:tcPr>
          <w:p w14:paraId="5191861F">
            <w:pPr>
              <w:pStyle w:val="278"/>
              <w:adjustRightInd w:val="0"/>
              <w:snapToGrid w:val="0"/>
              <w:spacing w:line="300" w:lineRule="exact"/>
              <w:rPr>
                <w:rFonts w:hint="eastAsia"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南厂界</w:t>
            </w:r>
          </w:p>
        </w:tc>
        <w:tc>
          <w:tcPr>
            <w:tcW w:w="487" w:type="pct"/>
            <w:vAlign w:val="center"/>
          </w:tcPr>
          <w:p w14:paraId="56D341B4">
            <w:pPr>
              <w:pStyle w:val="278"/>
              <w:adjustRightInd w:val="0"/>
              <w:snapToGrid w:val="0"/>
              <w:spacing w:line="300" w:lineRule="exact"/>
              <w:rPr>
                <w:rFonts w:hint="eastAsia"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47</w:t>
            </w:r>
          </w:p>
        </w:tc>
        <w:tc>
          <w:tcPr>
            <w:tcW w:w="487" w:type="pct"/>
            <w:vAlign w:val="center"/>
          </w:tcPr>
          <w:p w14:paraId="018C8C8F">
            <w:pPr>
              <w:adjustRightInd w:val="0"/>
              <w:snapToGrid w:val="0"/>
              <w:spacing w:line="30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6</w:t>
            </w:r>
            <w:r>
              <w:rPr>
                <w:rFonts w:ascii="宋体" w:hAnsi="宋体" w:cs="宋体"/>
                <w:color w:val="000000" w:themeColor="text1"/>
                <w:szCs w:val="21"/>
                <w14:textFill>
                  <w14:solidFill>
                    <w14:schemeClr w14:val="tx1"/>
                  </w14:solidFill>
                </w14:textFill>
              </w:rPr>
              <w:t>0</w:t>
            </w:r>
          </w:p>
        </w:tc>
        <w:tc>
          <w:tcPr>
            <w:tcW w:w="650" w:type="pct"/>
            <w:vAlign w:val="center"/>
          </w:tcPr>
          <w:p w14:paraId="07F8E839">
            <w:pPr>
              <w:pStyle w:val="278"/>
              <w:adjustRightInd w:val="0"/>
              <w:snapToGrid w:val="0"/>
              <w:spacing w:line="300" w:lineRule="exact"/>
              <w:rPr>
                <w:rFonts w:hint="eastAsia"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达标</w:t>
            </w:r>
          </w:p>
        </w:tc>
        <w:tc>
          <w:tcPr>
            <w:tcW w:w="568" w:type="pct"/>
            <w:vAlign w:val="center"/>
          </w:tcPr>
          <w:p w14:paraId="72F194DE">
            <w:pPr>
              <w:pStyle w:val="278"/>
              <w:adjustRightInd w:val="0"/>
              <w:snapToGrid w:val="0"/>
              <w:spacing w:line="300" w:lineRule="exact"/>
              <w:rPr>
                <w:rFonts w:hint="eastAsia"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41</w:t>
            </w:r>
          </w:p>
        </w:tc>
        <w:tc>
          <w:tcPr>
            <w:tcW w:w="568" w:type="pct"/>
            <w:vAlign w:val="center"/>
          </w:tcPr>
          <w:p w14:paraId="38E8FCE7">
            <w:pPr>
              <w:adjustRightInd w:val="0"/>
              <w:snapToGrid w:val="0"/>
              <w:spacing w:line="30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5</w:t>
            </w:r>
            <w:r>
              <w:rPr>
                <w:rFonts w:ascii="宋体" w:hAnsi="宋体" w:cs="宋体"/>
                <w:color w:val="000000" w:themeColor="text1"/>
                <w:szCs w:val="21"/>
                <w14:textFill>
                  <w14:solidFill>
                    <w14:schemeClr w14:val="tx1"/>
                  </w14:solidFill>
                </w14:textFill>
              </w:rPr>
              <w:t>0</w:t>
            </w:r>
          </w:p>
        </w:tc>
        <w:tc>
          <w:tcPr>
            <w:tcW w:w="697" w:type="pct"/>
            <w:vAlign w:val="center"/>
          </w:tcPr>
          <w:p w14:paraId="5D3AE988">
            <w:pPr>
              <w:pStyle w:val="278"/>
              <w:adjustRightInd w:val="0"/>
              <w:snapToGrid w:val="0"/>
              <w:spacing w:line="300" w:lineRule="exact"/>
              <w:rPr>
                <w:rFonts w:hint="eastAsia"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达标</w:t>
            </w:r>
          </w:p>
        </w:tc>
      </w:tr>
      <w:tr w14:paraId="63E5BE2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406" w:type="pct"/>
            <w:vAlign w:val="top"/>
          </w:tcPr>
          <w:p w14:paraId="6E69F476">
            <w:pPr>
              <w:pStyle w:val="278"/>
              <w:adjustRightInd w:val="0"/>
              <w:snapToGrid w:val="0"/>
              <w:spacing w:line="300" w:lineRule="exact"/>
              <w:rPr>
                <w:rFonts w:hint="eastAsia" w:cs="宋体"/>
                <w:color w:val="000000" w:themeColor="text1"/>
                <w14:textFill>
                  <w14:solidFill>
                    <w14:schemeClr w14:val="tx1"/>
                  </w14:solidFill>
                </w14:textFill>
              </w:rPr>
            </w:pPr>
            <w:r>
              <w:rPr>
                <w:rFonts w:cs="宋体"/>
                <w:color w:val="000000" w:themeColor="text1"/>
                <w14:textFill>
                  <w14:solidFill>
                    <w14:schemeClr w14:val="tx1"/>
                  </w14:solidFill>
                </w14:textFill>
              </w:rPr>
              <w:t>Z</w:t>
            </w:r>
            <w:r>
              <w:rPr>
                <w:rFonts w:hint="eastAsia" w:cs="宋体"/>
                <w:color w:val="000000" w:themeColor="text1"/>
                <w14:textFill>
                  <w14:solidFill>
                    <w14:schemeClr w14:val="tx1"/>
                  </w14:solidFill>
                </w14:textFill>
              </w:rPr>
              <w:t>15</w:t>
            </w:r>
          </w:p>
        </w:tc>
        <w:tc>
          <w:tcPr>
            <w:tcW w:w="487" w:type="pct"/>
            <w:vMerge w:val="continue"/>
            <w:vAlign w:val="center"/>
          </w:tcPr>
          <w:p w14:paraId="71D4376B">
            <w:pPr>
              <w:pStyle w:val="278"/>
              <w:adjustRightInd w:val="0"/>
              <w:snapToGrid w:val="0"/>
              <w:spacing w:line="300" w:lineRule="exact"/>
              <w:rPr>
                <w:rFonts w:hint="eastAsia" w:cs="宋体"/>
                <w:color w:val="000000" w:themeColor="text1"/>
                <w14:textFill>
                  <w14:solidFill>
                    <w14:schemeClr w14:val="tx1"/>
                  </w14:solidFill>
                </w14:textFill>
              </w:rPr>
            </w:pPr>
          </w:p>
        </w:tc>
        <w:tc>
          <w:tcPr>
            <w:tcW w:w="650" w:type="pct"/>
            <w:vAlign w:val="center"/>
          </w:tcPr>
          <w:p w14:paraId="755EFB14">
            <w:pPr>
              <w:pStyle w:val="278"/>
              <w:adjustRightInd w:val="0"/>
              <w:snapToGrid w:val="0"/>
              <w:spacing w:line="300" w:lineRule="exact"/>
              <w:rPr>
                <w:rFonts w:hint="eastAsia"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西厂界</w:t>
            </w:r>
          </w:p>
        </w:tc>
        <w:tc>
          <w:tcPr>
            <w:tcW w:w="487" w:type="pct"/>
            <w:vAlign w:val="center"/>
          </w:tcPr>
          <w:p w14:paraId="57D32E2B">
            <w:pPr>
              <w:pStyle w:val="278"/>
              <w:adjustRightInd w:val="0"/>
              <w:snapToGrid w:val="0"/>
              <w:spacing w:line="300" w:lineRule="exact"/>
              <w:rPr>
                <w:rFonts w:hint="eastAsia"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47</w:t>
            </w:r>
          </w:p>
        </w:tc>
        <w:tc>
          <w:tcPr>
            <w:tcW w:w="487" w:type="pct"/>
            <w:vAlign w:val="center"/>
          </w:tcPr>
          <w:p w14:paraId="5B9F03DB">
            <w:pPr>
              <w:adjustRightInd w:val="0"/>
              <w:snapToGrid w:val="0"/>
              <w:spacing w:line="30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6</w:t>
            </w:r>
            <w:r>
              <w:rPr>
                <w:rFonts w:ascii="宋体" w:hAnsi="宋体" w:cs="宋体"/>
                <w:color w:val="000000" w:themeColor="text1"/>
                <w:szCs w:val="21"/>
                <w14:textFill>
                  <w14:solidFill>
                    <w14:schemeClr w14:val="tx1"/>
                  </w14:solidFill>
                </w14:textFill>
              </w:rPr>
              <w:t>0</w:t>
            </w:r>
          </w:p>
        </w:tc>
        <w:tc>
          <w:tcPr>
            <w:tcW w:w="650" w:type="pct"/>
            <w:vAlign w:val="center"/>
          </w:tcPr>
          <w:p w14:paraId="7E63D966">
            <w:pPr>
              <w:pStyle w:val="278"/>
              <w:adjustRightInd w:val="0"/>
              <w:snapToGrid w:val="0"/>
              <w:spacing w:line="300" w:lineRule="exact"/>
              <w:rPr>
                <w:rFonts w:hint="eastAsia"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达标</w:t>
            </w:r>
          </w:p>
        </w:tc>
        <w:tc>
          <w:tcPr>
            <w:tcW w:w="568" w:type="pct"/>
            <w:vAlign w:val="center"/>
          </w:tcPr>
          <w:p w14:paraId="57980D06">
            <w:pPr>
              <w:pStyle w:val="278"/>
              <w:adjustRightInd w:val="0"/>
              <w:snapToGrid w:val="0"/>
              <w:spacing w:line="300" w:lineRule="exact"/>
              <w:rPr>
                <w:rFonts w:hint="eastAsia"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40</w:t>
            </w:r>
          </w:p>
        </w:tc>
        <w:tc>
          <w:tcPr>
            <w:tcW w:w="568" w:type="pct"/>
            <w:vAlign w:val="center"/>
          </w:tcPr>
          <w:p w14:paraId="7F387977">
            <w:pPr>
              <w:adjustRightInd w:val="0"/>
              <w:snapToGrid w:val="0"/>
              <w:spacing w:line="30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5</w:t>
            </w:r>
            <w:r>
              <w:rPr>
                <w:rFonts w:ascii="宋体" w:hAnsi="宋体" w:cs="宋体"/>
                <w:color w:val="000000" w:themeColor="text1"/>
                <w:szCs w:val="21"/>
                <w14:textFill>
                  <w14:solidFill>
                    <w14:schemeClr w14:val="tx1"/>
                  </w14:solidFill>
                </w14:textFill>
              </w:rPr>
              <w:t>0</w:t>
            </w:r>
          </w:p>
        </w:tc>
        <w:tc>
          <w:tcPr>
            <w:tcW w:w="697" w:type="pct"/>
            <w:vAlign w:val="center"/>
          </w:tcPr>
          <w:p w14:paraId="3498C5B7">
            <w:pPr>
              <w:pStyle w:val="278"/>
              <w:adjustRightInd w:val="0"/>
              <w:snapToGrid w:val="0"/>
              <w:spacing w:line="300" w:lineRule="exact"/>
              <w:rPr>
                <w:rFonts w:hint="eastAsia"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达标</w:t>
            </w:r>
          </w:p>
        </w:tc>
      </w:tr>
      <w:tr w14:paraId="4ABB0C7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406" w:type="pct"/>
            <w:vAlign w:val="top"/>
          </w:tcPr>
          <w:p w14:paraId="7FBC61E9">
            <w:pPr>
              <w:pStyle w:val="278"/>
              <w:adjustRightInd w:val="0"/>
              <w:snapToGrid w:val="0"/>
              <w:spacing w:line="300" w:lineRule="exact"/>
              <w:rPr>
                <w:rFonts w:hint="eastAsia" w:cs="宋体"/>
                <w:color w:val="000000" w:themeColor="text1"/>
                <w14:textFill>
                  <w14:solidFill>
                    <w14:schemeClr w14:val="tx1"/>
                  </w14:solidFill>
                </w14:textFill>
              </w:rPr>
            </w:pPr>
            <w:r>
              <w:rPr>
                <w:rFonts w:cs="宋体"/>
                <w:color w:val="000000" w:themeColor="text1"/>
                <w14:textFill>
                  <w14:solidFill>
                    <w14:schemeClr w14:val="tx1"/>
                  </w14:solidFill>
                </w14:textFill>
              </w:rPr>
              <w:t>Z</w:t>
            </w:r>
            <w:r>
              <w:rPr>
                <w:rFonts w:hint="eastAsia" w:cs="宋体"/>
                <w:color w:val="000000" w:themeColor="text1"/>
                <w14:textFill>
                  <w14:solidFill>
                    <w14:schemeClr w14:val="tx1"/>
                  </w14:solidFill>
                </w14:textFill>
              </w:rPr>
              <w:t>16</w:t>
            </w:r>
          </w:p>
        </w:tc>
        <w:tc>
          <w:tcPr>
            <w:tcW w:w="487" w:type="pct"/>
            <w:vMerge w:val="continue"/>
            <w:vAlign w:val="center"/>
          </w:tcPr>
          <w:p w14:paraId="79052AFE">
            <w:pPr>
              <w:pStyle w:val="278"/>
              <w:adjustRightInd w:val="0"/>
              <w:snapToGrid w:val="0"/>
              <w:spacing w:line="300" w:lineRule="exact"/>
              <w:rPr>
                <w:rFonts w:hint="eastAsia" w:cs="宋体"/>
                <w:color w:val="000000" w:themeColor="text1"/>
                <w14:textFill>
                  <w14:solidFill>
                    <w14:schemeClr w14:val="tx1"/>
                  </w14:solidFill>
                </w14:textFill>
              </w:rPr>
            </w:pPr>
          </w:p>
        </w:tc>
        <w:tc>
          <w:tcPr>
            <w:tcW w:w="650" w:type="pct"/>
            <w:vAlign w:val="center"/>
          </w:tcPr>
          <w:p w14:paraId="564F3C25">
            <w:pPr>
              <w:pStyle w:val="278"/>
              <w:adjustRightInd w:val="0"/>
              <w:snapToGrid w:val="0"/>
              <w:spacing w:line="300" w:lineRule="exact"/>
              <w:rPr>
                <w:rFonts w:hint="eastAsia"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北厂界</w:t>
            </w:r>
          </w:p>
        </w:tc>
        <w:tc>
          <w:tcPr>
            <w:tcW w:w="487" w:type="pct"/>
            <w:vAlign w:val="center"/>
          </w:tcPr>
          <w:p w14:paraId="38C34A9B">
            <w:pPr>
              <w:pStyle w:val="278"/>
              <w:adjustRightInd w:val="0"/>
              <w:snapToGrid w:val="0"/>
              <w:spacing w:line="300" w:lineRule="exact"/>
              <w:rPr>
                <w:rFonts w:hint="eastAsia"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48</w:t>
            </w:r>
          </w:p>
        </w:tc>
        <w:tc>
          <w:tcPr>
            <w:tcW w:w="487" w:type="pct"/>
            <w:vAlign w:val="center"/>
          </w:tcPr>
          <w:p w14:paraId="3711FD1E">
            <w:pPr>
              <w:adjustRightInd w:val="0"/>
              <w:snapToGrid w:val="0"/>
              <w:spacing w:line="30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6</w:t>
            </w:r>
            <w:r>
              <w:rPr>
                <w:rFonts w:ascii="宋体" w:hAnsi="宋体" w:cs="宋体"/>
                <w:color w:val="000000" w:themeColor="text1"/>
                <w:szCs w:val="21"/>
                <w14:textFill>
                  <w14:solidFill>
                    <w14:schemeClr w14:val="tx1"/>
                  </w14:solidFill>
                </w14:textFill>
              </w:rPr>
              <w:t>0</w:t>
            </w:r>
          </w:p>
        </w:tc>
        <w:tc>
          <w:tcPr>
            <w:tcW w:w="650" w:type="pct"/>
            <w:vAlign w:val="center"/>
          </w:tcPr>
          <w:p w14:paraId="48283573">
            <w:pPr>
              <w:pStyle w:val="278"/>
              <w:adjustRightInd w:val="0"/>
              <w:snapToGrid w:val="0"/>
              <w:spacing w:line="300" w:lineRule="exact"/>
              <w:rPr>
                <w:rFonts w:hint="eastAsia"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达标</w:t>
            </w:r>
          </w:p>
        </w:tc>
        <w:tc>
          <w:tcPr>
            <w:tcW w:w="568" w:type="pct"/>
            <w:vAlign w:val="center"/>
          </w:tcPr>
          <w:p w14:paraId="4997568B">
            <w:pPr>
              <w:pStyle w:val="278"/>
              <w:adjustRightInd w:val="0"/>
              <w:snapToGrid w:val="0"/>
              <w:spacing w:line="300" w:lineRule="exact"/>
              <w:rPr>
                <w:rFonts w:hint="eastAsia"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42</w:t>
            </w:r>
          </w:p>
        </w:tc>
        <w:tc>
          <w:tcPr>
            <w:tcW w:w="568" w:type="pct"/>
            <w:vAlign w:val="center"/>
          </w:tcPr>
          <w:p w14:paraId="4DDFDD33">
            <w:pPr>
              <w:adjustRightInd w:val="0"/>
              <w:snapToGrid w:val="0"/>
              <w:spacing w:line="30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5</w:t>
            </w:r>
            <w:r>
              <w:rPr>
                <w:rFonts w:ascii="宋体" w:hAnsi="宋体" w:cs="宋体"/>
                <w:color w:val="000000" w:themeColor="text1"/>
                <w:szCs w:val="21"/>
                <w14:textFill>
                  <w14:solidFill>
                    <w14:schemeClr w14:val="tx1"/>
                  </w14:solidFill>
                </w14:textFill>
              </w:rPr>
              <w:t>0</w:t>
            </w:r>
          </w:p>
        </w:tc>
        <w:tc>
          <w:tcPr>
            <w:tcW w:w="697" w:type="pct"/>
            <w:vAlign w:val="center"/>
          </w:tcPr>
          <w:p w14:paraId="2035CB0A">
            <w:pPr>
              <w:pStyle w:val="278"/>
              <w:adjustRightInd w:val="0"/>
              <w:snapToGrid w:val="0"/>
              <w:spacing w:line="300" w:lineRule="exact"/>
              <w:rPr>
                <w:rFonts w:hint="eastAsia"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达标</w:t>
            </w:r>
          </w:p>
        </w:tc>
      </w:tr>
      <w:tr w14:paraId="225E6E5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406" w:type="pct"/>
            <w:vAlign w:val="top"/>
          </w:tcPr>
          <w:p w14:paraId="04DAC053">
            <w:pPr>
              <w:pStyle w:val="278"/>
              <w:adjustRightInd w:val="0"/>
              <w:snapToGrid w:val="0"/>
              <w:spacing w:line="300" w:lineRule="exact"/>
              <w:rPr>
                <w:rFonts w:hint="eastAsia" w:cs="宋体"/>
                <w:color w:val="000000" w:themeColor="text1"/>
                <w14:textFill>
                  <w14:solidFill>
                    <w14:schemeClr w14:val="tx1"/>
                  </w14:solidFill>
                </w14:textFill>
              </w:rPr>
            </w:pPr>
            <w:r>
              <w:rPr>
                <w:rFonts w:cs="宋体"/>
                <w:color w:val="000000" w:themeColor="text1"/>
                <w14:textFill>
                  <w14:solidFill>
                    <w14:schemeClr w14:val="tx1"/>
                  </w14:solidFill>
                </w14:textFill>
              </w:rPr>
              <w:t>Z</w:t>
            </w:r>
            <w:r>
              <w:rPr>
                <w:rFonts w:hint="eastAsia" w:cs="宋体"/>
                <w:color w:val="000000" w:themeColor="text1"/>
                <w14:textFill>
                  <w14:solidFill>
                    <w14:schemeClr w14:val="tx1"/>
                  </w14:solidFill>
                </w14:textFill>
              </w:rPr>
              <w:t>17</w:t>
            </w:r>
          </w:p>
        </w:tc>
        <w:tc>
          <w:tcPr>
            <w:tcW w:w="487" w:type="pct"/>
            <w:vMerge w:val="restart"/>
            <w:vAlign w:val="center"/>
          </w:tcPr>
          <w:p w14:paraId="5710EA5F">
            <w:pPr>
              <w:pStyle w:val="278"/>
              <w:adjustRightInd w:val="0"/>
              <w:snapToGrid w:val="0"/>
              <w:spacing w:line="300" w:lineRule="exact"/>
              <w:rPr>
                <w:rFonts w:hint="eastAsia" w:cs="宋体"/>
                <w:color w:val="000000" w:themeColor="text1"/>
                <w14:textFill>
                  <w14:solidFill>
                    <w14:schemeClr w14:val="tx1"/>
                  </w14:solidFill>
                </w14:textFill>
              </w:rPr>
            </w:pPr>
            <w:r>
              <w:rPr>
                <w:rFonts w:hint="eastAsia" w:cs="宋体"/>
                <w:bCs/>
                <w:color w:val="000000" w:themeColor="text1"/>
                <w14:textFill>
                  <w14:solidFill>
                    <w14:schemeClr w14:val="tx1"/>
                  </w14:solidFill>
                </w14:textFill>
              </w:rPr>
              <w:t>JHW032</w:t>
            </w:r>
          </w:p>
        </w:tc>
        <w:tc>
          <w:tcPr>
            <w:tcW w:w="650" w:type="pct"/>
            <w:vAlign w:val="center"/>
          </w:tcPr>
          <w:p w14:paraId="3EFC1D85">
            <w:pPr>
              <w:pStyle w:val="278"/>
              <w:adjustRightInd w:val="0"/>
              <w:snapToGrid w:val="0"/>
              <w:spacing w:line="300" w:lineRule="exact"/>
              <w:rPr>
                <w:rFonts w:hint="eastAsia"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东厂界</w:t>
            </w:r>
          </w:p>
        </w:tc>
        <w:tc>
          <w:tcPr>
            <w:tcW w:w="487" w:type="pct"/>
            <w:vAlign w:val="center"/>
          </w:tcPr>
          <w:p w14:paraId="69055D71">
            <w:pPr>
              <w:pStyle w:val="278"/>
              <w:adjustRightInd w:val="0"/>
              <w:snapToGrid w:val="0"/>
              <w:spacing w:line="300" w:lineRule="exact"/>
              <w:rPr>
                <w:rFonts w:hint="eastAsia"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50</w:t>
            </w:r>
          </w:p>
        </w:tc>
        <w:tc>
          <w:tcPr>
            <w:tcW w:w="487" w:type="pct"/>
            <w:vAlign w:val="center"/>
          </w:tcPr>
          <w:p w14:paraId="0DDEA7FF">
            <w:pPr>
              <w:pStyle w:val="278"/>
              <w:adjustRightInd w:val="0"/>
              <w:snapToGrid w:val="0"/>
              <w:spacing w:line="300" w:lineRule="exact"/>
              <w:rPr>
                <w:rFonts w:hint="eastAsia"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6</w:t>
            </w:r>
            <w:r>
              <w:rPr>
                <w:rFonts w:cs="宋体"/>
                <w:color w:val="000000" w:themeColor="text1"/>
                <w14:textFill>
                  <w14:solidFill>
                    <w14:schemeClr w14:val="tx1"/>
                  </w14:solidFill>
                </w14:textFill>
              </w:rPr>
              <w:t>0</w:t>
            </w:r>
          </w:p>
        </w:tc>
        <w:tc>
          <w:tcPr>
            <w:tcW w:w="650" w:type="pct"/>
            <w:vAlign w:val="center"/>
          </w:tcPr>
          <w:p w14:paraId="31DFA35A">
            <w:pPr>
              <w:pStyle w:val="278"/>
              <w:adjustRightInd w:val="0"/>
              <w:snapToGrid w:val="0"/>
              <w:spacing w:line="300" w:lineRule="exact"/>
              <w:rPr>
                <w:rFonts w:hint="eastAsia"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达标</w:t>
            </w:r>
          </w:p>
        </w:tc>
        <w:tc>
          <w:tcPr>
            <w:tcW w:w="568" w:type="pct"/>
            <w:vAlign w:val="center"/>
          </w:tcPr>
          <w:p w14:paraId="6B8A72A2">
            <w:pPr>
              <w:pStyle w:val="278"/>
              <w:adjustRightInd w:val="0"/>
              <w:snapToGrid w:val="0"/>
              <w:spacing w:line="300" w:lineRule="exact"/>
              <w:rPr>
                <w:rFonts w:hint="eastAsia"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44</w:t>
            </w:r>
          </w:p>
        </w:tc>
        <w:tc>
          <w:tcPr>
            <w:tcW w:w="568" w:type="pct"/>
            <w:vAlign w:val="center"/>
          </w:tcPr>
          <w:p w14:paraId="395CA0DF">
            <w:pPr>
              <w:pStyle w:val="278"/>
              <w:adjustRightInd w:val="0"/>
              <w:snapToGrid w:val="0"/>
              <w:spacing w:line="300" w:lineRule="exact"/>
              <w:rPr>
                <w:rFonts w:hint="eastAsia"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5</w:t>
            </w:r>
            <w:r>
              <w:rPr>
                <w:rFonts w:cs="宋体"/>
                <w:color w:val="000000" w:themeColor="text1"/>
                <w14:textFill>
                  <w14:solidFill>
                    <w14:schemeClr w14:val="tx1"/>
                  </w14:solidFill>
                </w14:textFill>
              </w:rPr>
              <w:t>0</w:t>
            </w:r>
          </w:p>
        </w:tc>
        <w:tc>
          <w:tcPr>
            <w:tcW w:w="697" w:type="pct"/>
            <w:vAlign w:val="center"/>
          </w:tcPr>
          <w:p w14:paraId="319453C5">
            <w:pPr>
              <w:pStyle w:val="278"/>
              <w:adjustRightInd w:val="0"/>
              <w:snapToGrid w:val="0"/>
              <w:spacing w:line="300" w:lineRule="exact"/>
              <w:rPr>
                <w:rFonts w:hint="eastAsia"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达标</w:t>
            </w:r>
          </w:p>
        </w:tc>
      </w:tr>
      <w:tr w14:paraId="2D5A888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406" w:type="pct"/>
            <w:vAlign w:val="top"/>
          </w:tcPr>
          <w:p w14:paraId="1BBC5EF8">
            <w:pPr>
              <w:pStyle w:val="278"/>
              <w:adjustRightInd w:val="0"/>
              <w:snapToGrid w:val="0"/>
              <w:spacing w:line="300" w:lineRule="exact"/>
              <w:rPr>
                <w:rFonts w:hint="eastAsia" w:cs="宋体"/>
                <w:color w:val="000000" w:themeColor="text1"/>
                <w14:textFill>
                  <w14:solidFill>
                    <w14:schemeClr w14:val="tx1"/>
                  </w14:solidFill>
                </w14:textFill>
              </w:rPr>
            </w:pPr>
            <w:r>
              <w:rPr>
                <w:rFonts w:cs="宋体"/>
                <w:color w:val="000000" w:themeColor="text1"/>
                <w14:textFill>
                  <w14:solidFill>
                    <w14:schemeClr w14:val="tx1"/>
                  </w14:solidFill>
                </w14:textFill>
              </w:rPr>
              <w:t>Z</w:t>
            </w:r>
            <w:r>
              <w:rPr>
                <w:rFonts w:hint="eastAsia" w:cs="宋体"/>
                <w:color w:val="000000" w:themeColor="text1"/>
                <w14:textFill>
                  <w14:solidFill>
                    <w14:schemeClr w14:val="tx1"/>
                  </w14:solidFill>
                </w14:textFill>
              </w:rPr>
              <w:t>18</w:t>
            </w:r>
          </w:p>
        </w:tc>
        <w:tc>
          <w:tcPr>
            <w:tcW w:w="487" w:type="pct"/>
            <w:vMerge w:val="continue"/>
            <w:vAlign w:val="center"/>
          </w:tcPr>
          <w:p w14:paraId="249415A1">
            <w:pPr>
              <w:pStyle w:val="278"/>
              <w:adjustRightInd w:val="0"/>
              <w:snapToGrid w:val="0"/>
              <w:spacing w:line="300" w:lineRule="exact"/>
              <w:rPr>
                <w:rFonts w:hint="eastAsia" w:cs="宋体"/>
                <w:color w:val="000000" w:themeColor="text1"/>
                <w14:textFill>
                  <w14:solidFill>
                    <w14:schemeClr w14:val="tx1"/>
                  </w14:solidFill>
                </w14:textFill>
              </w:rPr>
            </w:pPr>
          </w:p>
        </w:tc>
        <w:tc>
          <w:tcPr>
            <w:tcW w:w="650" w:type="pct"/>
            <w:vAlign w:val="center"/>
          </w:tcPr>
          <w:p w14:paraId="600E8A8B">
            <w:pPr>
              <w:pStyle w:val="278"/>
              <w:adjustRightInd w:val="0"/>
              <w:snapToGrid w:val="0"/>
              <w:spacing w:line="300" w:lineRule="exact"/>
              <w:rPr>
                <w:rFonts w:hint="eastAsia"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南厂界</w:t>
            </w:r>
          </w:p>
        </w:tc>
        <w:tc>
          <w:tcPr>
            <w:tcW w:w="487" w:type="pct"/>
            <w:vAlign w:val="center"/>
          </w:tcPr>
          <w:p w14:paraId="28E5D428">
            <w:pPr>
              <w:pStyle w:val="278"/>
              <w:adjustRightInd w:val="0"/>
              <w:snapToGrid w:val="0"/>
              <w:spacing w:line="300" w:lineRule="exact"/>
              <w:rPr>
                <w:rFonts w:hint="eastAsia"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50</w:t>
            </w:r>
          </w:p>
        </w:tc>
        <w:tc>
          <w:tcPr>
            <w:tcW w:w="487" w:type="pct"/>
            <w:vAlign w:val="center"/>
          </w:tcPr>
          <w:p w14:paraId="1408DE52">
            <w:pPr>
              <w:adjustRightInd w:val="0"/>
              <w:snapToGrid w:val="0"/>
              <w:spacing w:line="30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6</w:t>
            </w:r>
            <w:r>
              <w:rPr>
                <w:rFonts w:ascii="宋体" w:hAnsi="宋体" w:cs="宋体"/>
                <w:color w:val="000000" w:themeColor="text1"/>
                <w:szCs w:val="21"/>
                <w14:textFill>
                  <w14:solidFill>
                    <w14:schemeClr w14:val="tx1"/>
                  </w14:solidFill>
                </w14:textFill>
              </w:rPr>
              <w:t>0</w:t>
            </w:r>
          </w:p>
        </w:tc>
        <w:tc>
          <w:tcPr>
            <w:tcW w:w="650" w:type="pct"/>
            <w:vAlign w:val="center"/>
          </w:tcPr>
          <w:p w14:paraId="3345B6D2">
            <w:pPr>
              <w:pStyle w:val="278"/>
              <w:adjustRightInd w:val="0"/>
              <w:snapToGrid w:val="0"/>
              <w:spacing w:line="300" w:lineRule="exact"/>
              <w:rPr>
                <w:rFonts w:hint="eastAsia"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达标</w:t>
            </w:r>
          </w:p>
        </w:tc>
        <w:tc>
          <w:tcPr>
            <w:tcW w:w="568" w:type="pct"/>
            <w:vAlign w:val="center"/>
          </w:tcPr>
          <w:p w14:paraId="148377A0">
            <w:pPr>
              <w:pStyle w:val="278"/>
              <w:adjustRightInd w:val="0"/>
              <w:snapToGrid w:val="0"/>
              <w:spacing w:line="300" w:lineRule="exact"/>
              <w:rPr>
                <w:rFonts w:hint="eastAsia"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45</w:t>
            </w:r>
          </w:p>
        </w:tc>
        <w:tc>
          <w:tcPr>
            <w:tcW w:w="568" w:type="pct"/>
            <w:vAlign w:val="center"/>
          </w:tcPr>
          <w:p w14:paraId="1290E6BB">
            <w:pPr>
              <w:adjustRightInd w:val="0"/>
              <w:snapToGrid w:val="0"/>
              <w:spacing w:line="30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5</w:t>
            </w:r>
            <w:r>
              <w:rPr>
                <w:rFonts w:ascii="宋体" w:hAnsi="宋体" w:cs="宋体"/>
                <w:color w:val="000000" w:themeColor="text1"/>
                <w:szCs w:val="21"/>
                <w14:textFill>
                  <w14:solidFill>
                    <w14:schemeClr w14:val="tx1"/>
                  </w14:solidFill>
                </w14:textFill>
              </w:rPr>
              <w:t>0</w:t>
            </w:r>
          </w:p>
        </w:tc>
        <w:tc>
          <w:tcPr>
            <w:tcW w:w="697" w:type="pct"/>
            <w:vAlign w:val="center"/>
          </w:tcPr>
          <w:p w14:paraId="5BF050D9">
            <w:pPr>
              <w:pStyle w:val="278"/>
              <w:adjustRightInd w:val="0"/>
              <w:snapToGrid w:val="0"/>
              <w:spacing w:line="300" w:lineRule="exact"/>
              <w:rPr>
                <w:rFonts w:hint="eastAsia"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达标</w:t>
            </w:r>
          </w:p>
        </w:tc>
      </w:tr>
      <w:tr w14:paraId="4F8D02C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406" w:type="pct"/>
            <w:vAlign w:val="top"/>
          </w:tcPr>
          <w:p w14:paraId="0534418B">
            <w:pPr>
              <w:pStyle w:val="278"/>
              <w:adjustRightInd w:val="0"/>
              <w:snapToGrid w:val="0"/>
              <w:spacing w:line="300" w:lineRule="exact"/>
              <w:rPr>
                <w:rFonts w:hint="eastAsia" w:cs="宋体"/>
                <w:color w:val="000000" w:themeColor="text1"/>
                <w14:textFill>
                  <w14:solidFill>
                    <w14:schemeClr w14:val="tx1"/>
                  </w14:solidFill>
                </w14:textFill>
              </w:rPr>
            </w:pPr>
            <w:r>
              <w:rPr>
                <w:rFonts w:cs="宋体"/>
                <w:color w:val="000000" w:themeColor="text1"/>
                <w14:textFill>
                  <w14:solidFill>
                    <w14:schemeClr w14:val="tx1"/>
                  </w14:solidFill>
                </w14:textFill>
              </w:rPr>
              <w:t>Z</w:t>
            </w:r>
            <w:r>
              <w:rPr>
                <w:rFonts w:hint="eastAsia" w:cs="宋体"/>
                <w:color w:val="000000" w:themeColor="text1"/>
                <w14:textFill>
                  <w14:solidFill>
                    <w14:schemeClr w14:val="tx1"/>
                  </w14:solidFill>
                </w14:textFill>
              </w:rPr>
              <w:t>19</w:t>
            </w:r>
          </w:p>
        </w:tc>
        <w:tc>
          <w:tcPr>
            <w:tcW w:w="487" w:type="pct"/>
            <w:vMerge w:val="continue"/>
            <w:vAlign w:val="center"/>
          </w:tcPr>
          <w:p w14:paraId="40C32233">
            <w:pPr>
              <w:pStyle w:val="278"/>
              <w:adjustRightInd w:val="0"/>
              <w:snapToGrid w:val="0"/>
              <w:spacing w:line="300" w:lineRule="exact"/>
              <w:rPr>
                <w:rFonts w:hint="eastAsia" w:cs="宋体"/>
                <w:color w:val="000000" w:themeColor="text1"/>
                <w14:textFill>
                  <w14:solidFill>
                    <w14:schemeClr w14:val="tx1"/>
                  </w14:solidFill>
                </w14:textFill>
              </w:rPr>
            </w:pPr>
          </w:p>
        </w:tc>
        <w:tc>
          <w:tcPr>
            <w:tcW w:w="650" w:type="pct"/>
            <w:vAlign w:val="center"/>
          </w:tcPr>
          <w:p w14:paraId="1903DAEB">
            <w:pPr>
              <w:pStyle w:val="278"/>
              <w:adjustRightInd w:val="0"/>
              <w:snapToGrid w:val="0"/>
              <w:spacing w:line="300" w:lineRule="exact"/>
              <w:rPr>
                <w:rFonts w:hint="eastAsia"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西厂界</w:t>
            </w:r>
          </w:p>
        </w:tc>
        <w:tc>
          <w:tcPr>
            <w:tcW w:w="487" w:type="pct"/>
            <w:vAlign w:val="center"/>
          </w:tcPr>
          <w:p w14:paraId="43F21B6C">
            <w:pPr>
              <w:pStyle w:val="278"/>
              <w:adjustRightInd w:val="0"/>
              <w:snapToGrid w:val="0"/>
              <w:spacing w:line="300" w:lineRule="exact"/>
              <w:rPr>
                <w:rFonts w:hint="eastAsia"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44</w:t>
            </w:r>
          </w:p>
        </w:tc>
        <w:tc>
          <w:tcPr>
            <w:tcW w:w="487" w:type="pct"/>
            <w:vAlign w:val="center"/>
          </w:tcPr>
          <w:p w14:paraId="3A12E4F6">
            <w:pPr>
              <w:adjustRightInd w:val="0"/>
              <w:snapToGrid w:val="0"/>
              <w:spacing w:line="30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6</w:t>
            </w:r>
            <w:r>
              <w:rPr>
                <w:rFonts w:ascii="宋体" w:hAnsi="宋体" w:cs="宋体"/>
                <w:color w:val="000000" w:themeColor="text1"/>
                <w:szCs w:val="21"/>
                <w14:textFill>
                  <w14:solidFill>
                    <w14:schemeClr w14:val="tx1"/>
                  </w14:solidFill>
                </w14:textFill>
              </w:rPr>
              <w:t>0</w:t>
            </w:r>
          </w:p>
        </w:tc>
        <w:tc>
          <w:tcPr>
            <w:tcW w:w="650" w:type="pct"/>
            <w:vAlign w:val="center"/>
          </w:tcPr>
          <w:p w14:paraId="01E68C56">
            <w:pPr>
              <w:pStyle w:val="278"/>
              <w:adjustRightInd w:val="0"/>
              <w:snapToGrid w:val="0"/>
              <w:spacing w:line="300" w:lineRule="exact"/>
              <w:rPr>
                <w:rFonts w:hint="eastAsia"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达标</w:t>
            </w:r>
          </w:p>
        </w:tc>
        <w:tc>
          <w:tcPr>
            <w:tcW w:w="568" w:type="pct"/>
            <w:vAlign w:val="center"/>
          </w:tcPr>
          <w:p w14:paraId="04A25FFD">
            <w:pPr>
              <w:pStyle w:val="278"/>
              <w:adjustRightInd w:val="0"/>
              <w:snapToGrid w:val="0"/>
              <w:spacing w:line="300" w:lineRule="exact"/>
              <w:rPr>
                <w:rFonts w:hint="eastAsia"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39</w:t>
            </w:r>
          </w:p>
        </w:tc>
        <w:tc>
          <w:tcPr>
            <w:tcW w:w="568" w:type="pct"/>
            <w:vAlign w:val="center"/>
          </w:tcPr>
          <w:p w14:paraId="64492ED9">
            <w:pPr>
              <w:adjustRightInd w:val="0"/>
              <w:snapToGrid w:val="0"/>
              <w:spacing w:line="30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5</w:t>
            </w:r>
            <w:r>
              <w:rPr>
                <w:rFonts w:ascii="宋体" w:hAnsi="宋体" w:cs="宋体"/>
                <w:color w:val="000000" w:themeColor="text1"/>
                <w:szCs w:val="21"/>
                <w14:textFill>
                  <w14:solidFill>
                    <w14:schemeClr w14:val="tx1"/>
                  </w14:solidFill>
                </w14:textFill>
              </w:rPr>
              <w:t>0</w:t>
            </w:r>
          </w:p>
        </w:tc>
        <w:tc>
          <w:tcPr>
            <w:tcW w:w="697" w:type="pct"/>
            <w:vAlign w:val="center"/>
          </w:tcPr>
          <w:p w14:paraId="669725AB">
            <w:pPr>
              <w:pStyle w:val="278"/>
              <w:adjustRightInd w:val="0"/>
              <w:snapToGrid w:val="0"/>
              <w:spacing w:line="300" w:lineRule="exact"/>
              <w:rPr>
                <w:rFonts w:hint="eastAsia"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达标</w:t>
            </w:r>
          </w:p>
        </w:tc>
      </w:tr>
      <w:tr w14:paraId="147428C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406" w:type="pct"/>
            <w:vAlign w:val="top"/>
          </w:tcPr>
          <w:p w14:paraId="6FB0C7E9">
            <w:pPr>
              <w:pStyle w:val="202"/>
              <w:adjustRightInd w:val="0"/>
              <w:snapToGrid w:val="0"/>
              <w:spacing w:line="300" w:lineRule="exact"/>
              <w:ind w:firstLine="0" w:firstLineChars="0"/>
              <w:jc w:val="center"/>
              <w:rPr>
                <w:rFonts w:hint="eastAsia" w:cs="宋体"/>
                <w:b w:val="0"/>
                <w:color w:val="000000" w:themeColor="text1"/>
                <w:sz w:val="21"/>
                <w14:textFill>
                  <w14:solidFill>
                    <w14:schemeClr w14:val="tx1"/>
                  </w14:solidFill>
                </w14:textFill>
              </w:rPr>
            </w:pPr>
            <w:bookmarkStart w:id="424" w:name="_Toc216260260"/>
            <w:r>
              <w:rPr>
                <w:rFonts w:cs="宋体"/>
                <w:b w:val="0"/>
                <w:color w:val="000000" w:themeColor="text1"/>
                <w:sz w:val="21"/>
                <w14:textFill>
                  <w14:solidFill>
                    <w14:schemeClr w14:val="tx1"/>
                  </w14:solidFill>
                </w14:textFill>
              </w:rPr>
              <w:t>Z</w:t>
            </w:r>
            <w:r>
              <w:rPr>
                <w:rFonts w:hint="eastAsia" w:cs="宋体"/>
                <w:b w:val="0"/>
                <w:color w:val="000000" w:themeColor="text1"/>
                <w:sz w:val="21"/>
                <w14:textFill>
                  <w14:solidFill>
                    <w14:schemeClr w14:val="tx1"/>
                  </w14:solidFill>
                </w14:textFill>
              </w:rPr>
              <w:t>20</w:t>
            </w:r>
            <w:bookmarkEnd w:id="424"/>
          </w:p>
        </w:tc>
        <w:tc>
          <w:tcPr>
            <w:tcW w:w="487" w:type="pct"/>
            <w:vMerge w:val="continue"/>
            <w:vAlign w:val="center"/>
          </w:tcPr>
          <w:p w14:paraId="6BF22F40">
            <w:pPr>
              <w:pStyle w:val="278"/>
              <w:adjustRightInd w:val="0"/>
              <w:snapToGrid w:val="0"/>
              <w:spacing w:line="300" w:lineRule="exact"/>
              <w:rPr>
                <w:rFonts w:hint="eastAsia" w:cs="宋体"/>
                <w:color w:val="000000" w:themeColor="text1"/>
                <w14:textFill>
                  <w14:solidFill>
                    <w14:schemeClr w14:val="tx1"/>
                  </w14:solidFill>
                </w14:textFill>
              </w:rPr>
            </w:pPr>
          </w:p>
        </w:tc>
        <w:tc>
          <w:tcPr>
            <w:tcW w:w="650" w:type="pct"/>
            <w:vAlign w:val="center"/>
          </w:tcPr>
          <w:p w14:paraId="450BA2F6">
            <w:pPr>
              <w:pStyle w:val="278"/>
              <w:adjustRightInd w:val="0"/>
              <w:snapToGrid w:val="0"/>
              <w:spacing w:line="300" w:lineRule="exact"/>
              <w:rPr>
                <w:rFonts w:hint="eastAsia"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北厂界</w:t>
            </w:r>
          </w:p>
        </w:tc>
        <w:tc>
          <w:tcPr>
            <w:tcW w:w="487" w:type="pct"/>
            <w:vAlign w:val="center"/>
          </w:tcPr>
          <w:p w14:paraId="6A7782D1">
            <w:pPr>
              <w:pStyle w:val="278"/>
              <w:adjustRightInd w:val="0"/>
              <w:snapToGrid w:val="0"/>
              <w:spacing w:line="300" w:lineRule="exact"/>
              <w:rPr>
                <w:rFonts w:hint="eastAsia"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45</w:t>
            </w:r>
          </w:p>
        </w:tc>
        <w:tc>
          <w:tcPr>
            <w:tcW w:w="487" w:type="pct"/>
            <w:vAlign w:val="center"/>
          </w:tcPr>
          <w:p w14:paraId="05E288C3">
            <w:pPr>
              <w:adjustRightInd w:val="0"/>
              <w:snapToGrid w:val="0"/>
              <w:spacing w:line="30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6</w:t>
            </w:r>
            <w:r>
              <w:rPr>
                <w:rFonts w:ascii="宋体" w:hAnsi="宋体" w:cs="宋体"/>
                <w:color w:val="000000" w:themeColor="text1"/>
                <w:szCs w:val="21"/>
                <w14:textFill>
                  <w14:solidFill>
                    <w14:schemeClr w14:val="tx1"/>
                  </w14:solidFill>
                </w14:textFill>
              </w:rPr>
              <w:t>0</w:t>
            </w:r>
          </w:p>
        </w:tc>
        <w:tc>
          <w:tcPr>
            <w:tcW w:w="650" w:type="pct"/>
            <w:vAlign w:val="center"/>
          </w:tcPr>
          <w:p w14:paraId="5EA5457A">
            <w:pPr>
              <w:pStyle w:val="278"/>
              <w:adjustRightInd w:val="0"/>
              <w:snapToGrid w:val="0"/>
              <w:spacing w:line="300" w:lineRule="exact"/>
              <w:rPr>
                <w:rFonts w:hint="eastAsia"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达标</w:t>
            </w:r>
          </w:p>
        </w:tc>
        <w:tc>
          <w:tcPr>
            <w:tcW w:w="568" w:type="pct"/>
            <w:vAlign w:val="center"/>
          </w:tcPr>
          <w:p w14:paraId="056752B5">
            <w:pPr>
              <w:pStyle w:val="278"/>
              <w:adjustRightInd w:val="0"/>
              <w:snapToGrid w:val="0"/>
              <w:spacing w:line="300" w:lineRule="exact"/>
              <w:rPr>
                <w:rFonts w:hint="eastAsia"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43</w:t>
            </w:r>
          </w:p>
        </w:tc>
        <w:tc>
          <w:tcPr>
            <w:tcW w:w="568" w:type="pct"/>
            <w:vAlign w:val="center"/>
          </w:tcPr>
          <w:p w14:paraId="67DCA71E">
            <w:pPr>
              <w:adjustRightInd w:val="0"/>
              <w:snapToGrid w:val="0"/>
              <w:spacing w:line="30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5</w:t>
            </w:r>
            <w:r>
              <w:rPr>
                <w:rFonts w:ascii="宋体" w:hAnsi="宋体" w:cs="宋体"/>
                <w:color w:val="000000" w:themeColor="text1"/>
                <w:szCs w:val="21"/>
                <w14:textFill>
                  <w14:solidFill>
                    <w14:schemeClr w14:val="tx1"/>
                  </w14:solidFill>
                </w14:textFill>
              </w:rPr>
              <w:t>0</w:t>
            </w:r>
          </w:p>
        </w:tc>
        <w:tc>
          <w:tcPr>
            <w:tcW w:w="697" w:type="pct"/>
            <w:vAlign w:val="center"/>
          </w:tcPr>
          <w:p w14:paraId="1704210A">
            <w:pPr>
              <w:pStyle w:val="278"/>
              <w:adjustRightInd w:val="0"/>
              <w:snapToGrid w:val="0"/>
              <w:spacing w:line="300" w:lineRule="exact"/>
              <w:rPr>
                <w:rFonts w:hint="eastAsia"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达标</w:t>
            </w:r>
          </w:p>
        </w:tc>
      </w:tr>
      <w:tr w14:paraId="1CED87B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406" w:type="pct"/>
            <w:vAlign w:val="top"/>
          </w:tcPr>
          <w:p w14:paraId="474CC084">
            <w:pPr>
              <w:pStyle w:val="278"/>
              <w:adjustRightInd w:val="0"/>
              <w:snapToGrid w:val="0"/>
              <w:spacing w:line="300" w:lineRule="exact"/>
              <w:rPr>
                <w:rFonts w:hint="eastAsia" w:cs="宋体"/>
                <w:color w:val="000000" w:themeColor="text1"/>
                <w14:textFill>
                  <w14:solidFill>
                    <w14:schemeClr w14:val="tx1"/>
                  </w14:solidFill>
                </w14:textFill>
              </w:rPr>
            </w:pPr>
            <w:r>
              <w:rPr>
                <w:rFonts w:cs="宋体"/>
                <w:color w:val="000000" w:themeColor="text1"/>
                <w14:textFill>
                  <w14:solidFill>
                    <w14:schemeClr w14:val="tx1"/>
                  </w14:solidFill>
                </w14:textFill>
              </w:rPr>
              <w:t>Z</w:t>
            </w:r>
            <w:r>
              <w:rPr>
                <w:rFonts w:hint="eastAsia" w:cs="宋体"/>
                <w:color w:val="000000" w:themeColor="text1"/>
                <w14:textFill>
                  <w14:solidFill>
                    <w14:schemeClr w14:val="tx1"/>
                  </w14:solidFill>
                </w14:textFill>
              </w:rPr>
              <w:t>21</w:t>
            </w:r>
          </w:p>
        </w:tc>
        <w:tc>
          <w:tcPr>
            <w:tcW w:w="487" w:type="pct"/>
            <w:vMerge w:val="restart"/>
            <w:vAlign w:val="center"/>
          </w:tcPr>
          <w:p w14:paraId="66827592">
            <w:pPr>
              <w:pStyle w:val="278"/>
              <w:adjustRightInd w:val="0"/>
              <w:snapToGrid w:val="0"/>
              <w:spacing w:line="300" w:lineRule="exact"/>
              <w:rPr>
                <w:rFonts w:hint="eastAsia" w:cs="宋体"/>
                <w:color w:val="000000" w:themeColor="text1"/>
                <w14:textFill>
                  <w14:solidFill>
                    <w14:schemeClr w14:val="tx1"/>
                  </w14:solidFill>
                </w14:textFill>
              </w:rPr>
            </w:pPr>
            <w:r>
              <w:rPr>
                <w:rFonts w:hint="eastAsia" w:cs="宋体"/>
                <w:bCs/>
                <w:color w:val="000000" w:themeColor="text1"/>
                <w14:textFill>
                  <w14:solidFill>
                    <w14:schemeClr w14:val="tx1"/>
                  </w14:solidFill>
                </w14:textFill>
              </w:rPr>
              <w:t>J10002_H</w:t>
            </w:r>
          </w:p>
        </w:tc>
        <w:tc>
          <w:tcPr>
            <w:tcW w:w="650" w:type="pct"/>
            <w:vAlign w:val="center"/>
          </w:tcPr>
          <w:p w14:paraId="35E55847">
            <w:pPr>
              <w:pStyle w:val="278"/>
              <w:adjustRightInd w:val="0"/>
              <w:snapToGrid w:val="0"/>
              <w:spacing w:line="300" w:lineRule="exact"/>
              <w:rPr>
                <w:rFonts w:hint="eastAsia"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东厂界</w:t>
            </w:r>
          </w:p>
        </w:tc>
        <w:tc>
          <w:tcPr>
            <w:tcW w:w="487" w:type="pct"/>
            <w:vAlign w:val="center"/>
          </w:tcPr>
          <w:p w14:paraId="3A786765">
            <w:pPr>
              <w:pStyle w:val="278"/>
              <w:adjustRightInd w:val="0"/>
              <w:snapToGrid w:val="0"/>
              <w:spacing w:line="300" w:lineRule="exact"/>
              <w:rPr>
                <w:rFonts w:hint="eastAsia"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50</w:t>
            </w:r>
          </w:p>
        </w:tc>
        <w:tc>
          <w:tcPr>
            <w:tcW w:w="487" w:type="pct"/>
            <w:vAlign w:val="center"/>
          </w:tcPr>
          <w:p w14:paraId="38237219">
            <w:pPr>
              <w:adjustRightInd w:val="0"/>
              <w:snapToGrid w:val="0"/>
              <w:spacing w:line="30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6</w:t>
            </w:r>
            <w:r>
              <w:rPr>
                <w:rFonts w:ascii="宋体" w:hAnsi="宋体" w:cs="宋体"/>
                <w:color w:val="000000" w:themeColor="text1"/>
                <w:szCs w:val="21"/>
                <w14:textFill>
                  <w14:solidFill>
                    <w14:schemeClr w14:val="tx1"/>
                  </w14:solidFill>
                </w14:textFill>
              </w:rPr>
              <w:t>0</w:t>
            </w:r>
          </w:p>
        </w:tc>
        <w:tc>
          <w:tcPr>
            <w:tcW w:w="650" w:type="pct"/>
            <w:vAlign w:val="center"/>
          </w:tcPr>
          <w:p w14:paraId="42DCEBD8">
            <w:pPr>
              <w:pStyle w:val="278"/>
              <w:adjustRightInd w:val="0"/>
              <w:snapToGrid w:val="0"/>
              <w:spacing w:line="300" w:lineRule="exact"/>
              <w:rPr>
                <w:rFonts w:hint="eastAsia"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达标</w:t>
            </w:r>
          </w:p>
        </w:tc>
        <w:tc>
          <w:tcPr>
            <w:tcW w:w="568" w:type="pct"/>
            <w:vAlign w:val="center"/>
          </w:tcPr>
          <w:p w14:paraId="3050913D">
            <w:pPr>
              <w:pStyle w:val="278"/>
              <w:adjustRightInd w:val="0"/>
              <w:snapToGrid w:val="0"/>
              <w:spacing w:line="300" w:lineRule="exact"/>
              <w:rPr>
                <w:rFonts w:hint="eastAsia"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48</w:t>
            </w:r>
          </w:p>
        </w:tc>
        <w:tc>
          <w:tcPr>
            <w:tcW w:w="568" w:type="pct"/>
            <w:vAlign w:val="center"/>
          </w:tcPr>
          <w:p w14:paraId="1DE0ADD9">
            <w:pPr>
              <w:adjustRightInd w:val="0"/>
              <w:snapToGrid w:val="0"/>
              <w:spacing w:line="30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5</w:t>
            </w:r>
            <w:r>
              <w:rPr>
                <w:rFonts w:ascii="宋体" w:hAnsi="宋体" w:cs="宋体"/>
                <w:color w:val="000000" w:themeColor="text1"/>
                <w:szCs w:val="21"/>
                <w14:textFill>
                  <w14:solidFill>
                    <w14:schemeClr w14:val="tx1"/>
                  </w14:solidFill>
                </w14:textFill>
              </w:rPr>
              <w:t>0</w:t>
            </w:r>
          </w:p>
        </w:tc>
        <w:tc>
          <w:tcPr>
            <w:tcW w:w="697" w:type="pct"/>
            <w:vAlign w:val="center"/>
          </w:tcPr>
          <w:p w14:paraId="4F7A2BC2">
            <w:pPr>
              <w:pStyle w:val="278"/>
              <w:adjustRightInd w:val="0"/>
              <w:snapToGrid w:val="0"/>
              <w:spacing w:line="300" w:lineRule="exact"/>
              <w:rPr>
                <w:rFonts w:hint="eastAsia"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达标</w:t>
            </w:r>
          </w:p>
        </w:tc>
      </w:tr>
      <w:tr w14:paraId="432CE4A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406" w:type="pct"/>
            <w:vAlign w:val="top"/>
          </w:tcPr>
          <w:p w14:paraId="5F7C7A4E">
            <w:pPr>
              <w:pStyle w:val="278"/>
              <w:adjustRightInd w:val="0"/>
              <w:snapToGrid w:val="0"/>
              <w:spacing w:line="300" w:lineRule="exact"/>
              <w:rPr>
                <w:rFonts w:hint="eastAsia" w:cs="宋体"/>
                <w:color w:val="000000" w:themeColor="text1"/>
                <w14:textFill>
                  <w14:solidFill>
                    <w14:schemeClr w14:val="tx1"/>
                  </w14:solidFill>
                </w14:textFill>
              </w:rPr>
            </w:pPr>
            <w:r>
              <w:rPr>
                <w:rFonts w:cs="宋体"/>
                <w:color w:val="000000" w:themeColor="text1"/>
                <w14:textFill>
                  <w14:solidFill>
                    <w14:schemeClr w14:val="tx1"/>
                  </w14:solidFill>
                </w14:textFill>
              </w:rPr>
              <w:t>Z</w:t>
            </w:r>
            <w:r>
              <w:rPr>
                <w:rFonts w:hint="eastAsia" w:cs="宋体"/>
                <w:color w:val="000000" w:themeColor="text1"/>
                <w14:textFill>
                  <w14:solidFill>
                    <w14:schemeClr w14:val="tx1"/>
                  </w14:solidFill>
                </w14:textFill>
              </w:rPr>
              <w:t>22</w:t>
            </w:r>
          </w:p>
        </w:tc>
        <w:tc>
          <w:tcPr>
            <w:tcW w:w="487" w:type="pct"/>
            <w:vMerge w:val="continue"/>
            <w:vAlign w:val="center"/>
          </w:tcPr>
          <w:p w14:paraId="456CE1B8">
            <w:pPr>
              <w:pStyle w:val="278"/>
              <w:adjustRightInd w:val="0"/>
              <w:snapToGrid w:val="0"/>
              <w:spacing w:line="300" w:lineRule="exact"/>
              <w:rPr>
                <w:rFonts w:hint="eastAsia" w:cs="宋体"/>
                <w:color w:val="000000" w:themeColor="text1"/>
                <w14:textFill>
                  <w14:solidFill>
                    <w14:schemeClr w14:val="tx1"/>
                  </w14:solidFill>
                </w14:textFill>
              </w:rPr>
            </w:pPr>
          </w:p>
        </w:tc>
        <w:tc>
          <w:tcPr>
            <w:tcW w:w="650" w:type="pct"/>
            <w:vAlign w:val="center"/>
          </w:tcPr>
          <w:p w14:paraId="7D1C3272">
            <w:pPr>
              <w:pStyle w:val="278"/>
              <w:adjustRightInd w:val="0"/>
              <w:snapToGrid w:val="0"/>
              <w:spacing w:line="300" w:lineRule="exact"/>
              <w:rPr>
                <w:rFonts w:hint="eastAsia"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南厂界</w:t>
            </w:r>
          </w:p>
        </w:tc>
        <w:tc>
          <w:tcPr>
            <w:tcW w:w="487" w:type="pct"/>
            <w:vAlign w:val="center"/>
          </w:tcPr>
          <w:p w14:paraId="3DC8411E">
            <w:pPr>
              <w:pStyle w:val="278"/>
              <w:adjustRightInd w:val="0"/>
              <w:snapToGrid w:val="0"/>
              <w:spacing w:line="300" w:lineRule="exact"/>
              <w:rPr>
                <w:rFonts w:hint="eastAsia"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48</w:t>
            </w:r>
          </w:p>
        </w:tc>
        <w:tc>
          <w:tcPr>
            <w:tcW w:w="487" w:type="pct"/>
            <w:vAlign w:val="center"/>
          </w:tcPr>
          <w:p w14:paraId="4676DF8F">
            <w:pPr>
              <w:adjustRightInd w:val="0"/>
              <w:snapToGrid w:val="0"/>
              <w:spacing w:line="30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6</w:t>
            </w:r>
            <w:r>
              <w:rPr>
                <w:rFonts w:ascii="宋体" w:hAnsi="宋体" w:cs="宋体"/>
                <w:color w:val="000000" w:themeColor="text1"/>
                <w:szCs w:val="21"/>
                <w14:textFill>
                  <w14:solidFill>
                    <w14:schemeClr w14:val="tx1"/>
                  </w14:solidFill>
                </w14:textFill>
              </w:rPr>
              <w:t>0</w:t>
            </w:r>
          </w:p>
        </w:tc>
        <w:tc>
          <w:tcPr>
            <w:tcW w:w="650" w:type="pct"/>
            <w:vAlign w:val="center"/>
          </w:tcPr>
          <w:p w14:paraId="596B4B9C">
            <w:pPr>
              <w:pStyle w:val="278"/>
              <w:adjustRightInd w:val="0"/>
              <w:snapToGrid w:val="0"/>
              <w:spacing w:line="300" w:lineRule="exact"/>
              <w:rPr>
                <w:rFonts w:hint="eastAsia"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达标</w:t>
            </w:r>
          </w:p>
        </w:tc>
        <w:tc>
          <w:tcPr>
            <w:tcW w:w="568" w:type="pct"/>
            <w:vAlign w:val="center"/>
          </w:tcPr>
          <w:p w14:paraId="044097A3">
            <w:pPr>
              <w:pStyle w:val="278"/>
              <w:adjustRightInd w:val="0"/>
              <w:snapToGrid w:val="0"/>
              <w:spacing w:line="300" w:lineRule="exact"/>
              <w:rPr>
                <w:rFonts w:hint="eastAsia"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44</w:t>
            </w:r>
          </w:p>
        </w:tc>
        <w:tc>
          <w:tcPr>
            <w:tcW w:w="568" w:type="pct"/>
            <w:vAlign w:val="center"/>
          </w:tcPr>
          <w:p w14:paraId="3D05F446">
            <w:pPr>
              <w:adjustRightInd w:val="0"/>
              <w:snapToGrid w:val="0"/>
              <w:spacing w:line="30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5</w:t>
            </w:r>
            <w:r>
              <w:rPr>
                <w:rFonts w:ascii="宋体" w:hAnsi="宋体" w:cs="宋体"/>
                <w:color w:val="000000" w:themeColor="text1"/>
                <w:szCs w:val="21"/>
                <w14:textFill>
                  <w14:solidFill>
                    <w14:schemeClr w14:val="tx1"/>
                  </w14:solidFill>
                </w14:textFill>
              </w:rPr>
              <w:t>0</w:t>
            </w:r>
          </w:p>
        </w:tc>
        <w:tc>
          <w:tcPr>
            <w:tcW w:w="697" w:type="pct"/>
            <w:vAlign w:val="center"/>
          </w:tcPr>
          <w:p w14:paraId="2878F3C7">
            <w:pPr>
              <w:pStyle w:val="278"/>
              <w:adjustRightInd w:val="0"/>
              <w:snapToGrid w:val="0"/>
              <w:spacing w:line="300" w:lineRule="exact"/>
              <w:rPr>
                <w:rFonts w:hint="eastAsia"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达标</w:t>
            </w:r>
          </w:p>
        </w:tc>
      </w:tr>
      <w:tr w14:paraId="31562F9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406" w:type="pct"/>
            <w:vAlign w:val="top"/>
          </w:tcPr>
          <w:p w14:paraId="2C4D69FC">
            <w:pPr>
              <w:pStyle w:val="278"/>
              <w:adjustRightInd w:val="0"/>
              <w:snapToGrid w:val="0"/>
              <w:spacing w:line="300" w:lineRule="exact"/>
              <w:rPr>
                <w:rFonts w:hint="eastAsia" w:cs="宋体"/>
                <w:color w:val="000000" w:themeColor="text1"/>
                <w14:textFill>
                  <w14:solidFill>
                    <w14:schemeClr w14:val="tx1"/>
                  </w14:solidFill>
                </w14:textFill>
              </w:rPr>
            </w:pPr>
            <w:r>
              <w:rPr>
                <w:rFonts w:cs="宋体"/>
                <w:color w:val="000000" w:themeColor="text1"/>
                <w14:textFill>
                  <w14:solidFill>
                    <w14:schemeClr w14:val="tx1"/>
                  </w14:solidFill>
                </w14:textFill>
              </w:rPr>
              <w:t>Z</w:t>
            </w:r>
            <w:r>
              <w:rPr>
                <w:rFonts w:hint="eastAsia" w:cs="宋体"/>
                <w:color w:val="000000" w:themeColor="text1"/>
                <w14:textFill>
                  <w14:solidFill>
                    <w14:schemeClr w14:val="tx1"/>
                  </w14:solidFill>
                </w14:textFill>
              </w:rPr>
              <w:t>23</w:t>
            </w:r>
          </w:p>
        </w:tc>
        <w:tc>
          <w:tcPr>
            <w:tcW w:w="487" w:type="pct"/>
            <w:vMerge w:val="continue"/>
            <w:vAlign w:val="center"/>
          </w:tcPr>
          <w:p w14:paraId="30E7B7AC">
            <w:pPr>
              <w:pStyle w:val="278"/>
              <w:adjustRightInd w:val="0"/>
              <w:snapToGrid w:val="0"/>
              <w:spacing w:line="300" w:lineRule="exact"/>
              <w:rPr>
                <w:rFonts w:hint="eastAsia" w:cs="宋体"/>
                <w:color w:val="000000" w:themeColor="text1"/>
                <w14:textFill>
                  <w14:solidFill>
                    <w14:schemeClr w14:val="tx1"/>
                  </w14:solidFill>
                </w14:textFill>
              </w:rPr>
            </w:pPr>
          </w:p>
        </w:tc>
        <w:tc>
          <w:tcPr>
            <w:tcW w:w="650" w:type="pct"/>
            <w:vAlign w:val="center"/>
          </w:tcPr>
          <w:p w14:paraId="447E1421">
            <w:pPr>
              <w:pStyle w:val="278"/>
              <w:adjustRightInd w:val="0"/>
              <w:snapToGrid w:val="0"/>
              <w:spacing w:line="300" w:lineRule="exact"/>
              <w:rPr>
                <w:rFonts w:hint="eastAsia"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西厂界</w:t>
            </w:r>
          </w:p>
        </w:tc>
        <w:tc>
          <w:tcPr>
            <w:tcW w:w="487" w:type="pct"/>
            <w:vAlign w:val="center"/>
          </w:tcPr>
          <w:p w14:paraId="33D71D3E">
            <w:pPr>
              <w:pStyle w:val="278"/>
              <w:adjustRightInd w:val="0"/>
              <w:snapToGrid w:val="0"/>
              <w:spacing w:line="300" w:lineRule="exact"/>
              <w:rPr>
                <w:rFonts w:hint="eastAsia"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52</w:t>
            </w:r>
          </w:p>
        </w:tc>
        <w:tc>
          <w:tcPr>
            <w:tcW w:w="487" w:type="pct"/>
            <w:vAlign w:val="center"/>
          </w:tcPr>
          <w:p w14:paraId="5E899289">
            <w:pPr>
              <w:adjustRightInd w:val="0"/>
              <w:snapToGrid w:val="0"/>
              <w:spacing w:line="30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6</w:t>
            </w:r>
            <w:r>
              <w:rPr>
                <w:rFonts w:ascii="宋体" w:hAnsi="宋体" w:cs="宋体"/>
                <w:color w:val="000000" w:themeColor="text1"/>
                <w:szCs w:val="21"/>
                <w14:textFill>
                  <w14:solidFill>
                    <w14:schemeClr w14:val="tx1"/>
                  </w14:solidFill>
                </w14:textFill>
              </w:rPr>
              <w:t>0</w:t>
            </w:r>
          </w:p>
        </w:tc>
        <w:tc>
          <w:tcPr>
            <w:tcW w:w="650" w:type="pct"/>
            <w:vAlign w:val="center"/>
          </w:tcPr>
          <w:p w14:paraId="5EC788C1">
            <w:pPr>
              <w:pStyle w:val="278"/>
              <w:adjustRightInd w:val="0"/>
              <w:snapToGrid w:val="0"/>
              <w:spacing w:line="300" w:lineRule="exact"/>
              <w:rPr>
                <w:rFonts w:hint="eastAsia"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达标</w:t>
            </w:r>
          </w:p>
        </w:tc>
        <w:tc>
          <w:tcPr>
            <w:tcW w:w="568" w:type="pct"/>
            <w:vAlign w:val="center"/>
          </w:tcPr>
          <w:p w14:paraId="27D63F0A">
            <w:pPr>
              <w:pStyle w:val="278"/>
              <w:adjustRightInd w:val="0"/>
              <w:snapToGrid w:val="0"/>
              <w:spacing w:line="300" w:lineRule="exact"/>
              <w:rPr>
                <w:rFonts w:hint="eastAsia"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43</w:t>
            </w:r>
          </w:p>
        </w:tc>
        <w:tc>
          <w:tcPr>
            <w:tcW w:w="568" w:type="pct"/>
            <w:vAlign w:val="center"/>
          </w:tcPr>
          <w:p w14:paraId="613D1DD3">
            <w:pPr>
              <w:adjustRightInd w:val="0"/>
              <w:snapToGrid w:val="0"/>
              <w:spacing w:line="30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5</w:t>
            </w:r>
            <w:r>
              <w:rPr>
                <w:rFonts w:ascii="宋体" w:hAnsi="宋体" w:cs="宋体"/>
                <w:color w:val="000000" w:themeColor="text1"/>
                <w:szCs w:val="21"/>
                <w14:textFill>
                  <w14:solidFill>
                    <w14:schemeClr w14:val="tx1"/>
                  </w14:solidFill>
                </w14:textFill>
              </w:rPr>
              <w:t>0</w:t>
            </w:r>
          </w:p>
        </w:tc>
        <w:tc>
          <w:tcPr>
            <w:tcW w:w="697" w:type="pct"/>
            <w:vAlign w:val="center"/>
          </w:tcPr>
          <w:p w14:paraId="00AE1487">
            <w:pPr>
              <w:pStyle w:val="278"/>
              <w:adjustRightInd w:val="0"/>
              <w:snapToGrid w:val="0"/>
              <w:spacing w:line="300" w:lineRule="exact"/>
              <w:rPr>
                <w:rFonts w:hint="eastAsia"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达标</w:t>
            </w:r>
          </w:p>
        </w:tc>
      </w:tr>
      <w:tr w14:paraId="3D8FF6D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406" w:type="pct"/>
            <w:vAlign w:val="top"/>
          </w:tcPr>
          <w:p w14:paraId="526CCF08">
            <w:pPr>
              <w:pStyle w:val="278"/>
              <w:adjustRightInd w:val="0"/>
              <w:snapToGrid w:val="0"/>
              <w:spacing w:line="300" w:lineRule="exact"/>
              <w:rPr>
                <w:rFonts w:hint="eastAsia" w:cs="宋体"/>
                <w:color w:val="000000" w:themeColor="text1"/>
                <w14:textFill>
                  <w14:solidFill>
                    <w14:schemeClr w14:val="tx1"/>
                  </w14:solidFill>
                </w14:textFill>
              </w:rPr>
            </w:pPr>
            <w:r>
              <w:rPr>
                <w:rFonts w:cs="宋体"/>
                <w:color w:val="000000" w:themeColor="text1"/>
                <w14:textFill>
                  <w14:solidFill>
                    <w14:schemeClr w14:val="tx1"/>
                  </w14:solidFill>
                </w14:textFill>
              </w:rPr>
              <w:t>Z</w:t>
            </w:r>
            <w:r>
              <w:rPr>
                <w:rFonts w:hint="eastAsia" w:cs="宋体"/>
                <w:color w:val="000000" w:themeColor="text1"/>
                <w14:textFill>
                  <w14:solidFill>
                    <w14:schemeClr w14:val="tx1"/>
                  </w14:solidFill>
                </w14:textFill>
              </w:rPr>
              <w:t>24</w:t>
            </w:r>
          </w:p>
        </w:tc>
        <w:tc>
          <w:tcPr>
            <w:tcW w:w="487" w:type="pct"/>
            <w:vMerge w:val="continue"/>
            <w:vAlign w:val="center"/>
          </w:tcPr>
          <w:p w14:paraId="334F5211">
            <w:pPr>
              <w:pStyle w:val="278"/>
              <w:adjustRightInd w:val="0"/>
              <w:snapToGrid w:val="0"/>
              <w:spacing w:line="300" w:lineRule="exact"/>
              <w:rPr>
                <w:rFonts w:hint="eastAsia" w:cs="宋体"/>
                <w:color w:val="000000" w:themeColor="text1"/>
                <w14:textFill>
                  <w14:solidFill>
                    <w14:schemeClr w14:val="tx1"/>
                  </w14:solidFill>
                </w14:textFill>
              </w:rPr>
            </w:pPr>
          </w:p>
        </w:tc>
        <w:tc>
          <w:tcPr>
            <w:tcW w:w="650" w:type="pct"/>
            <w:vAlign w:val="center"/>
          </w:tcPr>
          <w:p w14:paraId="050C2468">
            <w:pPr>
              <w:pStyle w:val="278"/>
              <w:adjustRightInd w:val="0"/>
              <w:snapToGrid w:val="0"/>
              <w:spacing w:line="300" w:lineRule="exact"/>
              <w:rPr>
                <w:rFonts w:hint="eastAsia"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北厂界</w:t>
            </w:r>
          </w:p>
        </w:tc>
        <w:tc>
          <w:tcPr>
            <w:tcW w:w="487" w:type="pct"/>
            <w:vAlign w:val="center"/>
          </w:tcPr>
          <w:p w14:paraId="3DDD4F2C">
            <w:pPr>
              <w:pStyle w:val="278"/>
              <w:adjustRightInd w:val="0"/>
              <w:snapToGrid w:val="0"/>
              <w:spacing w:line="300" w:lineRule="exact"/>
              <w:rPr>
                <w:rFonts w:hint="eastAsia"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53</w:t>
            </w:r>
          </w:p>
        </w:tc>
        <w:tc>
          <w:tcPr>
            <w:tcW w:w="487" w:type="pct"/>
            <w:vAlign w:val="center"/>
          </w:tcPr>
          <w:p w14:paraId="6E3316F6">
            <w:pPr>
              <w:adjustRightInd w:val="0"/>
              <w:snapToGrid w:val="0"/>
              <w:spacing w:line="30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6</w:t>
            </w:r>
            <w:r>
              <w:rPr>
                <w:rFonts w:ascii="宋体" w:hAnsi="宋体" w:cs="宋体"/>
                <w:color w:val="000000" w:themeColor="text1"/>
                <w:szCs w:val="21"/>
                <w14:textFill>
                  <w14:solidFill>
                    <w14:schemeClr w14:val="tx1"/>
                  </w14:solidFill>
                </w14:textFill>
              </w:rPr>
              <w:t>0</w:t>
            </w:r>
          </w:p>
        </w:tc>
        <w:tc>
          <w:tcPr>
            <w:tcW w:w="650" w:type="pct"/>
            <w:vAlign w:val="center"/>
          </w:tcPr>
          <w:p w14:paraId="3904BC40">
            <w:pPr>
              <w:pStyle w:val="278"/>
              <w:adjustRightInd w:val="0"/>
              <w:snapToGrid w:val="0"/>
              <w:spacing w:line="300" w:lineRule="exact"/>
              <w:rPr>
                <w:rFonts w:hint="eastAsia"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达标</w:t>
            </w:r>
          </w:p>
        </w:tc>
        <w:tc>
          <w:tcPr>
            <w:tcW w:w="568" w:type="pct"/>
            <w:vAlign w:val="center"/>
          </w:tcPr>
          <w:p w14:paraId="05B6B7D9">
            <w:pPr>
              <w:pStyle w:val="278"/>
              <w:adjustRightInd w:val="0"/>
              <w:snapToGrid w:val="0"/>
              <w:spacing w:line="300" w:lineRule="exact"/>
              <w:rPr>
                <w:rFonts w:hint="eastAsia"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46</w:t>
            </w:r>
          </w:p>
        </w:tc>
        <w:tc>
          <w:tcPr>
            <w:tcW w:w="568" w:type="pct"/>
            <w:vAlign w:val="center"/>
          </w:tcPr>
          <w:p w14:paraId="4DB7B614">
            <w:pPr>
              <w:adjustRightInd w:val="0"/>
              <w:snapToGrid w:val="0"/>
              <w:spacing w:line="30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5</w:t>
            </w:r>
            <w:r>
              <w:rPr>
                <w:rFonts w:ascii="宋体" w:hAnsi="宋体" w:cs="宋体"/>
                <w:color w:val="000000" w:themeColor="text1"/>
                <w:szCs w:val="21"/>
                <w14:textFill>
                  <w14:solidFill>
                    <w14:schemeClr w14:val="tx1"/>
                  </w14:solidFill>
                </w14:textFill>
              </w:rPr>
              <w:t>0</w:t>
            </w:r>
          </w:p>
        </w:tc>
        <w:tc>
          <w:tcPr>
            <w:tcW w:w="697" w:type="pct"/>
            <w:vAlign w:val="center"/>
          </w:tcPr>
          <w:p w14:paraId="1BD10A97">
            <w:pPr>
              <w:pStyle w:val="278"/>
              <w:adjustRightInd w:val="0"/>
              <w:snapToGrid w:val="0"/>
              <w:spacing w:line="300" w:lineRule="exact"/>
              <w:rPr>
                <w:rFonts w:hint="eastAsia"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达标</w:t>
            </w:r>
          </w:p>
        </w:tc>
      </w:tr>
      <w:tr w14:paraId="567631E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406" w:type="pct"/>
            <w:vAlign w:val="top"/>
          </w:tcPr>
          <w:p w14:paraId="56FE0BA5">
            <w:pPr>
              <w:pStyle w:val="278"/>
              <w:adjustRightInd w:val="0"/>
              <w:snapToGrid w:val="0"/>
              <w:spacing w:line="300" w:lineRule="exact"/>
              <w:rPr>
                <w:rFonts w:hint="eastAsia" w:cs="宋体"/>
                <w:color w:val="000000" w:themeColor="text1"/>
                <w14:textFill>
                  <w14:solidFill>
                    <w14:schemeClr w14:val="tx1"/>
                  </w14:solidFill>
                </w14:textFill>
              </w:rPr>
            </w:pPr>
            <w:r>
              <w:rPr>
                <w:rFonts w:cs="宋体"/>
                <w:color w:val="000000" w:themeColor="text1"/>
                <w14:textFill>
                  <w14:solidFill>
                    <w14:schemeClr w14:val="tx1"/>
                  </w14:solidFill>
                </w14:textFill>
              </w:rPr>
              <w:t>Z</w:t>
            </w:r>
            <w:r>
              <w:rPr>
                <w:rFonts w:hint="eastAsia" w:cs="宋体"/>
                <w:color w:val="000000" w:themeColor="text1"/>
                <w14:textFill>
                  <w14:solidFill>
                    <w14:schemeClr w14:val="tx1"/>
                  </w14:solidFill>
                </w14:textFill>
              </w:rPr>
              <w:t>25</w:t>
            </w:r>
          </w:p>
        </w:tc>
        <w:tc>
          <w:tcPr>
            <w:tcW w:w="487" w:type="pct"/>
            <w:vMerge w:val="restart"/>
            <w:vAlign w:val="center"/>
          </w:tcPr>
          <w:p w14:paraId="6B119BD8">
            <w:pPr>
              <w:pStyle w:val="278"/>
              <w:adjustRightInd w:val="0"/>
              <w:snapToGrid w:val="0"/>
              <w:spacing w:line="300" w:lineRule="exact"/>
              <w:rPr>
                <w:rFonts w:hint="eastAsia" w:cs="宋体"/>
                <w:color w:val="000000" w:themeColor="text1"/>
                <w14:textFill>
                  <w14:solidFill>
                    <w14:schemeClr w14:val="tx1"/>
                  </w14:solidFill>
                </w14:textFill>
              </w:rPr>
            </w:pPr>
            <w:r>
              <w:rPr>
                <w:rFonts w:hint="eastAsia" w:cs="宋体"/>
                <w:bCs/>
                <w:color w:val="000000" w:themeColor="text1"/>
                <w14:textFill>
                  <w14:solidFill>
                    <w14:schemeClr w14:val="tx1"/>
                  </w14:solidFill>
                </w14:textFill>
              </w:rPr>
              <w:t>JHW00525</w:t>
            </w:r>
          </w:p>
        </w:tc>
        <w:tc>
          <w:tcPr>
            <w:tcW w:w="650" w:type="pct"/>
            <w:vAlign w:val="center"/>
          </w:tcPr>
          <w:p w14:paraId="1D94A4AF">
            <w:pPr>
              <w:pStyle w:val="278"/>
              <w:adjustRightInd w:val="0"/>
              <w:snapToGrid w:val="0"/>
              <w:spacing w:line="300" w:lineRule="exact"/>
              <w:rPr>
                <w:rFonts w:hint="eastAsia"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东厂界</w:t>
            </w:r>
          </w:p>
        </w:tc>
        <w:tc>
          <w:tcPr>
            <w:tcW w:w="487" w:type="pct"/>
            <w:vAlign w:val="center"/>
          </w:tcPr>
          <w:p w14:paraId="6A7E80BF">
            <w:pPr>
              <w:pStyle w:val="278"/>
              <w:adjustRightInd w:val="0"/>
              <w:snapToGrid w:val="0"/>
              <w:spacing w:line="300" w:lineRule="exact"/>
              <w:rPr>
                <w:rFonts w:hint="eastAsia"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46</w:t>
            </w:r>
          </w:p>
        </w:tc>
        <w:tc>
          <w:tcPr>
            <w:tcW w:w="487" w:type="pct"/>
            <w:vAlign w:val="center"/>
          </w:tcPr>
          <w:p w14:paraId="121E21EA">
            <w:pPr>
              <w:pStyle w:val="278"/>
              <w:adjustRightInd w:val="0"/>
              <w:snapToGrid w:val="0"/>
              <w:spacing w:line="300" w:lineRule="exact"/>
              <w:rPr>
                <w:rFonts w:hint="eastAsia"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6</w:t>
            </w:r>
            <w:r>
              <w:rPr>
                <w:rFonts w:cs="宋体"/>
                <w:color w:val="000000" w:themeColor="text1"/>
                <w14:textFill>
                  <w14:solidFill>
                    <w14:schemeClr w14:val="tx1"/>
                  </w14:solidFill>
                </w14:textFill>
              </w:rPr>
              <w:t>0</w:t>
            </w:r>
          </w:p>
        </w:tc>
        <w:tc>
          <w:tcPr>
            <w:tcW w:w="650" w:type="pct"/>
            <w:vAlign w:val="center"/>
          </w:tcPr>
          <w:p w14:paraId="2907D185">
            <w:pPr>
              <w:pStyle w:val="278"/>
              <w:adjustRightInd w:val="0"/>
              <w:snapToGrid w:val="0"/>
              <w:spacing w:line="300" w:lineRule="exact"/>
              <w:rPr>
                <w:rFonts w:hint="eastAsia"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达标</w:t>
            </w:r>
          </w:p>
        </w:tc>
        <w:tc>
          <w:tcPr>
            <w:tcW w:w="568" w:type="pct"/>
            <w:vAlign w:val="center"/>
          </w:tcPr>
          <w:p w14:paraId="2BFDA80B">
            <w:pPr>
              <w:pStyle w:val="278"/>
              <w:adjustRightInd w:val="0"/>
              <w:snapToGrid w:val="0"/>
              <w:spacing w:line="300" w:lineRule="exact"/>
              <w:rPr>
                <w:rFonts w:hint="eastAsia"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42</w:t>
            </w:r>
          </w:p>
        </w:tc>
        <w:tc>
          <w:tcPr>
            <w:tcW w:w="568" w:type="pct"/>
            <w:vAlign w:val="center"/>
          </w:tcPr>
          <w:p w14:paraId="3D2487D6">
            <w:pPr>
              <w:pStyle w:val="278"/>
              <w:adjustRightInd w:val="0"/>
              <w:snapToGrid w:val="0"/>
              <w:spacing w:line="300" w:lineRule="exact"/>
              <w:rPr>
                <w:rFonts w:hint="eastAsia"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5</w:t>
            </w:r>
            <w:r>
              <w:rPr>
                <w:rFonts w:cs="宋体"/>
                <w:color w:val="000000" w:themeColor="text1"/>
                <w14:textFill>
                  <w14:solidFill>
                    <w14:schemeClr w14:val="tx1"/>
                  </w14:solidFill>
                </w14:textFill>
              </w:rPr>
              <w:t>0</w:t>
            </w:r>
          </w:p>
        </w:tc>
        <w:tc>
          <w:tcPr>
            <w:tcW w:w="697" w:type="pct"/>
            <w:vAlign w:val="center"/>
          </w:tcPr>
          <w:p w14:paraId="3D7BEE6A">
            <w:pPr>
              <w:pStyle w:val="278"/>
              <w:adjustRightInd w:val="0"/>
              <w:snapToGrid w:val="0"/>
              <w:spacing w:line="300" w:lineRule="exact"/>
              <w:rPr>
                <w:rFonts w:hint="eastAsia"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达标</w:t>
            </w:r>
          </w:p>
        </w:tc>
      </w:tr>
      <w:tr w14:paraId="6C93709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406" w:type="pct"/>
            <w:vAlign w:val="top"/>
          </w:tcPr>
          <w:p w14:paraId="0F6512C8">
            <w:pPr>
              <w:pStyle w:val="278"/>
              <w:adjustRightInd w:val="0"/>
              <w:snapToGrid w:val="0"/>
              <w:spacing w:line="300" w:lineRule="exact"/>
              <w:rPr>
                <w:rFonts w:hint="eastAsia" w:cs="宋体"/>
                <w:color w:val="000000" w:themeColor="text1"/>
                <w14:textFill>
                  <w14:solidFill>
                    <w14:schemeClr w14:val="tx1"/>
                  </w14:solidFill>
                </w14:textFill>
              </w:rPr>
            </w:pPr>
            <w:r>
              <w:rPr>
                <w:rFonts w:cs="宋体"/>
                <w:color w:val="000000" w:themeColor="text1"/>
                <w14:textFill>
                  <w14:solidFill>
                    <w14:schemeClr w14:val="tx1"/>
                  </w14:solidFill>
                </w14:textFill>
              </w:rPr>
              <w:t>Z</w:t>
            </w:r>
            <w:r>
              <w:rPr>
                <w:rFonts w:hint="eastAsia" w:cs="宋体"/>
                <w:color w:val="000000" w:themeColor="text1"/>
                <w14:textFill>
                  <w14:solidFill>
                    <w14:schemeClr w14:val="tx1"/>
                  </w14:solidFill>
                </w14:textFill>
              </w:rPr>
              <w:t>26</w:t>
            </w:r>
          </w:p>
        </w:tc>
        <w:tc>
          <w:tcPr>
            <w:tcW w:w="487" w:type="pct"/>
            <w:vMerge w:val="continue"/>
            <w:vAlign w:val="center"/>
          </w:tcPr>
          <w:p w14:paraId="338E4E69">
            <w:pPr>
              <w:pStyle w:val="278"/>
              <w:adjustRightInd w:val="0"/>
              <w:snapToGrid w:val="0"/>
              <w:spacing w:line="300" w:lineRule="exact"/>
              <w:rPr>
                <w:rFonts w:hint="eastAsia" w:cs="宋体"/>
                <w:color w:val="000000" w:themeColor="text1"/>
                <w14:textFill>
                  <w14:solidFill>
                    <w14:schemeClr w14:val="tx1"/>
                  </w14:solidFill>
                </w14:textFill>
              </w:rPr>
            </w:pPr>
          </w:p>
        </w:tc>
        <w:tc>
          <w:tcPr>
            <w:tcW w:w="650" w:type="pct"/>
            <w:vAlign w:val="center"/>
          </w:tcPr>
          <w:p w14:paraId="7562DE1E">
            <w:pPr>
              <w:pStyle w:val="278"/>
              <w:adjustRightInd w:val="0"/>
              <w:snapToGrid w:val="0"/>
              <w:spacing w:line="300" w:lineRule="exact"/>
              <w:rPr>
                <w:rFonts w:hint="eastAsia"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南厂界</w:t>
            </w:r>
          </w:p>
        </w:tc>
        <w:tc>
          <w:tcPr>
            <w:tcW w:w="487" w:type="pct"/>
            <w:vAlign w:val="center"/>
          </w:tcPr>
          <w:p w14:paraId="6CF02C24">
            <w:pPr>
              <w:pStyle w:val="278"/>
              <w:adjustRightInd w:val="0"/>
              <w:snapToGrid w:val="0"/>
              <w:spacing w:line="300" w:lineRule="exact"/>
              <w:rPr>
                <w:rFonts w:hint="eastAsia"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43</w:t>
            </w:r>
          </w:p>
        </w:tc>
        <w:tc>
          <w:tcPr>
            <w:tcW w:w="487" w:type="pct"/>
            <w:vAlign w:val="center"/>
          </w:tcPr>
          <w:p w14:paraId="54DA5C09">
            <w:pPr>
              <w:adjustRightInd w:val="0"/>
              <w:snapToGrid w:val="0"/>
              <w:spacing w:line="30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6</w:t>
            </w:r>
            <w:r>
              <w:rPr>
                <w:rFonts w:ascii="宋体" w:hAnsi="宋体" w:cs="宋体"/>
                <w:color w:val="000000" w:themeColor="text1"/>
                <w:szCs w:val="21"/>
                <w14:textFill>
                  <w14:solidFill>
                    <w14:schemeClr w14:val="tx1"/>
                  </w14:solidFill>
                </w14:textFill>
              </w:rPr>
              <w:t>0</w:t>
            </w:r>
          </w:p>
        </w:tc>
        <w:tc>
          <w:tcPr>
            <w:tcW w:w="650" w:type="pct"/>
            <w:vAlign w:val="center"/>
          </w:tcPr>
          <w:p w14:paraId="5809A1F4">
            <w:pPr>
              <w:pStyle w:val="278"/>
              <w:adjustRightInd w:val="0"/>
              <w:snapToGrid w:val="0"/>
              <w:spacing w:line="300" w:lineRule="exact"/>
              <w:rPr>
                <w:rFonts w:hint="eastAsia"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达标</w:t>
            </w:r>
          </w:p>
        </w:tc>
        <w:tc>
          <w:tcPr>
            <w:tcW w:w="568" w:type="pct"/>
            <w:vAlign w:val="center"/>
          </w:tcPr>
          <w:p w14:paraId="049701EF">
            <w:pPr>
              <w:pStyle w:val="278"/>
              <w:adjustRightInd w:val="0"/>
              <w:snapToGrid w:val="0"/>
              <w:spacing w:line="300" w:lineRule="exact"/>
              <w:rPr>
                <w:rFonts w:hint="eastAsia"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42</w:t>
            </w:r>
          </w:p>
        </w:tc>
        <w:tc>
          <w:tcPr>
            <w:tcW w:w="568" w:type="pct"/>
            <w:vAlign w:val="center"/>
          </w:tcPr>
          <w:p w14:paraId="3031DDB4">
            <w:pPr>
              <w:adjustRightInd w:val="0"/>
              <w:snapToGrid w:val="0"/>
              <w:spacing w:line="30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5</w:t>
            </w:r>
            <w:r>
              <w:rPr>
                <w:rFonts w:ascii="宋体" w:hAnsi="宋体" w:cs="宋体"/>
                <w:color w:val="000000" w:themeColor="text1"/>
                <w:szCs w:val="21"/>
                <w14:textFill>
                  <w14:solidFill>
                    <w14:schemeClr w14:val="tx1"/>
                  </w14:solidFill>
                </w14:textFill>
              </w:rPr>
              <w:t>0</w:t>
            </w:r>
          </w:p>
        </w:tc>
        <w:tc>
          <w:tcPr>
            <w:tcW w:w="697" w:type="pct"/>
            <w:vAlign w:val="center"/>
          </w:tcPr>
          <w:p w14:paraId="04131EDB">
            <w:pPr>
              <w:pStyle w:val="278"/>
              <w:adjustRightInd w:val="0"/>
              <w:snapToGrid w:val="0"/>
              <w:spacing w:line="300" w:lineRule="exact"/>
              <w:rPr>
                <w:rFonts w:hint="eastAsia"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达标</w:t>
            </w:r>
          </w:p>
        </w:tc>
      </w:tr>
      <w:tr w14:paraId="5E3C6DA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406" w:type="pct"/>
            <w:vAlign w:val="top"/>
          </w:tcPr>
          <w:p w14:paraId="6F52C05E">
            <w:pPr>
              <w:pStyle w:val="278"/>
              <w:adjustRightInd w:val="0"/>
              <w:snapToGrid w:val="0"/>
              <w:spacing w:line="300" w:lineRule="exact"/>
              <w:rPr>
                <w:rFonts w:hint="eastAsia" w:cs="宋体"/>
                <w:color w:val="000000" w:themeColor="text1"/>
                <w14:textFill>
                  <w14:solidFill>
                    <w14:schemeClr w14:val="tx1"/>
                  </w14:solidFill>
                </w14:textFill>
              </w:rPr>
            </w:pPr>
            <w:r>
              <w:rPr>
                <w:rFonts w:cs="宋体"/>
                <w:color w:val="000000" w:themeColor="text1"/>
                <w14:textFill>
                  <w14:solidFill>
                    <w14:schemeClr w14:val="tx1"/>
                  </w14:solidFill>
                </w14:textFill>
              </w:rPr>
              <w:t>Z</w:t>
            </w:r>
            <w:r>
              <w:rPr>
                <w:rFonts w:hint="eastAsia" w:cs="宋体"/>
                <w:color w:val="000000" w:themeColor="text1"/>
                <w14:textFill>
                  <w14:solidFill>
                    <w14:schemeClr w14:val="tx1"/>
                  </w14:solidFill>
                </w14:textFill>
              </w:rPr>
              <w:t>27</w:t>
            </w:r>
          </w:p>
        </w:tc>
        <w:tc>
          <w:tcPr>
            <w:tcW w:w="487" w:type="pct"/>
            <w:vMerge w:val="continue"/>
            <w:vAlign w:val="center"/>
          </w:tcPr>
          <w:p w14:paraId="54AAD7D9">
            <w:pPr>
              <w:pStyle w:val="278"/>
              <w:adjustRightInd w:val="0"/>
              <w:snapToGrid w:val="0"/>
              <w:spacing w:line="300" w:lineRule="exact"/>
              <w:rPr>
                <w:rFonts w:hint="eastAsia" w:cs="宋体"/>
                <w:color w:val="000000" w:themeColor="text1"/>
                <w14:textFill>
                  <w14:solidFill>
                    <w14:schemeClr w14:val="tx1"/>
                  </w14:solidFill>
                </w14:textFill>
              </w:rPr>
            </w:pPr>
          </w:p>
        </w:tc>
        <w:tc>
          <w:tcPr>
            <w:tcW w:w="650" w:type="pct"/>
            <w:vAlign w:val="center"/>
          </w:tcPr>
          <w:p w14:paraId="392789DB">
            <w:pPr>
              <w:pStyle w:val="278"/>
              <w:adjustRightInd w:val="0"/>
              <w:snapToGrid w:val="0"/>
              <w:spacing w:line="300" w:lineRule="exact"/>
              <w:rPr>
                <w:rFonts w:hint="eastAsia"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西厂界</w:t>
            </w:r>
          </w:p>
        </w:tc>
        <w:tc>
          <w:tcPr>
            <w:tcW w:w="487" w:type="pct"/>
            <w:vAlign w:val="center"/>
          </w:tcPr>
          <w:p w14:paraId="3CE07139">
            <w:pPr>
              <w:pStyle w:val="278"/>
              <w:adjustRightInd w:val="0"/>
              <w:snapToGrid w:val="0"/>
              <w:spacing w:line="300" w:lineRule="exact"/>
              <w:rPr>
                <w:rFonts w:hint="eastAsia"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41</w:t>
            </w:r>
          </w:p>
        </w:tc>
        <w:tc>
          <w:tcPr>
            <w:tcW w:w="487" w:type="pct"/>
            <w:vAlign w:val="center"/>
          </w:tcPr>
          <w:p w14:paraId="0964694F">
            <w:pPr>
              <w:adjustRightInd w:val="0"/>
              <w:snapToGrid w:val="0"/>
              <w:spacing w:line="30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6</w:t>
            </w:r>
            <w:r>
              <w:rPr>
                <w:rFonts w:ascii="宋体" w:hAnsi="宋体" w:cs="宋体"/>
                <w:color w:val="000000" w:themeColor="text1"/>
                <w:szCs w:val="21"/>
                <w14:textFill>
                  <w14:solidFill>
                    <w14:schemeClr w14:val="tx1"/>
                  </w14:solidFill>
                </w14:textFill>
              </w:rPr>
              <w:t>0</w:t>
            </w:r>
          </w:p>
        </w:tc>
        <w:tc>
          <w:tcPr>
            <w:tcW w:w="650" w:type="pct"/>
            <w:vAlign w:val="center"/>
          </w:tcPr>
          <w:p w14:paraId="6C28A7C1">
            <w:pPr>
              <w:pStyle w:val="278"/>
              <w:adjustRightInd w:val="0"/>
              <w:snapToGrid w:val="0"/>
              <w:spacing w:line="300" w:lineRule="exact"/>
              <w:rPr>
                <w:rFonts w:hint="eastAsia"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达标</w:t>
            </w:r>
          </w:p>
        </w:tc>
        <w:tc>
          <w:tcPr>
            <w:tcW w:w="568" w:type="pct"/>
            <w:vAlign w:val="center"/>
          </w:tcPr>
          <w:p w14:paraId="6EB88FD2">
            <w:pPr>
              <w:pStyle w:val="278"/>
              <w:adjustRightInd w:val="0"/>
              <w:snapToGrid w:val="0"/>
              <w:spacing w:line="300" w:lineRule="exact"/>
              <w:rPr>
                <w:rFonts w:hint="eastAsia"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39</w:t>
            </w:r>
          </w:p>
        </w:tc>
        <w:tc>
          <w:tcPr>
            <w:tcW w:w="568" w:type="pct"/>
            <w:vAlign w:val="center"/>
          </w:tcPr>
          <w:p w14:paraId="39725D1B">
            <w:pPr>
              <w:adjustRightInd w:val="0"/>
              <w:snapToGrid w:val="0"/>
              <w:spacing w:line="30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5</w:t>
            </w:r>
            <w:r>
              <w:rPr>
                <w:rFonts w:ascii="宋体" w:hAnsi="宋体" w:cs="宋体"/>
                <w:color w:val="000000" w:themeColor="text1"/>
                <w:szCs w:val="21"/>
                <w14:textFill>
                  <w14:solidFill>
                    <w14:schemeClr w14:val="tx1"/>
                  </w14:solidFill>
                </w14:textFill>
              </w:rPr>
              <w:t>0</w:t>
            </w:r>
          </w:p>
        </w:tc>
        <w:tc>
          <w:tcPr>
            <w:tcW w:w="697" w:type="pct"/>
            <w:vAlign w:val="center"/>
          </w:tcPr>
          <w:p w14:paraId="736AAB59">
            <w:pPr>
              <w:pStyle w:val="278"/>
              <w:adjustRightInd w:val="0"/>
              <w:snapToGrid w:val="0"/>
              <w:spacing w:line="300" w:lineRule="exact"/>
              <w:rPr>
                <w:rFonts w:hint="eastAsia"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达标</w:t>
            </w:r>
          </w:p>
        </w:tc>
      </w:tr>
      <w:tr w14:paraId="59A179B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406" w:type="pct"/>
            <w:vAlign w:val="top"/>
          </w:tcPr>
          <w:p w14:paraId="4F48082B">
            <w:pPr>
              <w:pStyle w:val="202"/>
              <w:adjustRightInd w:val="0"/>
              <w:snapToGrid w:val="0"/>
              <w:spacing w:line="300" w:lineRule="exact"/>
              <w:ind w:firstLine="0" w:firstLineChars="0"/>
              <w:jc w:val="center"/>
              <w:rPr>
                <w:rFonts w:hint="eastAsia" w:cs="宋体"/>
                <w:b w:val="0"/>
                <w:color w:val="000000" w:themeColor="text1"/>
                <w:sz w:val="21"/>
                <w14:textFill>
                  <w14:solidFill>
                    <w14:schemeClr w14:val="tx1"/>
                  </w14:solidFill>
                </w14:textFill>
              </w:rPr>
            </w:pPr>
            <w:bookmarkStart w:id="425" w:name="_Toc216260261"/>
            <w:r>
              <w:rPr>
                <w:rFonts w:cs="宋体"/>
                <w:b w:val="0"/>
                <w:color w:val="000000" w:themeColor="text1"/>
                <w:sz w:val="21"/>
                <w14:textFill>
                  <w14:solidFill>
                    <w14:schemeClr w14:val="tx1"/>
                  </w14:solidFill>
                </w14:textFill>
              </w:rPr>
              <w:t>Z</w:t>
            </w:r>
            <w:r>
              <w:rPr>
                <w:rFonts w:hint="eastAsia" w:cs="宋体"/>
                <w:b w:val="0"/>
                <w:color w:val="000000" w:themeColor="text1"/>
                <w:sz w:val="21"/>
                <w14:textFill>
                  <w14:solidFill>
                    <w14:schemeClr w14:val="tx1"/>
                  </w14:solidFill>
                </w14:textFill>
              </w:rPr>
              <w:t>28</w:t>
            </w:r>
            <w:bookmarkEnd w:id="425"/>
          </w:p>
        </w:tc>
        <w:tc>
          <w:tcPr>
            <w:tcW w:w="487" w:type="pct"/>
            <w:vMerge w:val="continue"/>
            <w:vAlign w:val="center"/>
          </w:tcPr>
          <w:p w14:paraId="196E4BAA">
            <w:pPr>
              <w:pStyle w:val="278"/>
              <w:adjustRightInd w:val="0"/>
              <w:snapToGrid w:val="0"/>
              <w:spacing w:line="300" w:lineRule="exact"/>
              <w:rPr>
                <w:rFonts w:hint="eastAsia" w:cs="宋体"/>
                <w:color w:val="000000" w:themeColor="text1"/>
                <w14:textFill>
                  <w14:solidFill>
                    <w14:schemeClr w14:val="tx1"/>
                  </w14:solidFill>
                </w14:textFill>
              </w:rPr>
            </w:pPr>
          </w:p>
        </w:tc>
        <w:tc>
          <w:tcPr>
            <w:tcW w:w="650" w:type="pct"/>
            <w:vAlign w:val="center"/>
          </w:tcPr>
          <w:p w14:paraId="37597DC5">
            <w:pPr>
              <w:pStyle w:val="278"/>
              <w:adjustRightInd w:val="0"/>
              <w:snapToGrid w:val="0"/>
              <w:spacing w:line="300" w:lineRule="exact"/>
              <w:rPr>
                <w:rFonts w:hint="eastAsia"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北厂界</w:t>
            </w:r>
          </w:p>
        </w:tc>
        <w:tc>
          <w:tcPr>
            <w:tcW w:w="487" w:type="pct"/>
            <w:vAlign w:val="center"/>
          </w:tcPr>
          <w:p w14:paraId="7F3AAD34">
            <w:pPr>
              <w:pStyle w:val="278"/>
              <w:adjustRightInd w:val="0"/>
              <w:snapToGrid w:val="0"/>
              <w:spacing w:line="300" w:lineRule="exact"/>
              <w:rPr>
                <w:rFonts w:hint="eastAsia"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42</w:t>
            </w:r>
          </w:p>
        </w:tc>
        <w:tc>
          <w:tcPr>
            <w:tcW w:w="487" w:type="pct"/>
            <w:vAlign w:val="center"/>
          </w:tcPr>
          <w:p w14:paraId="09139E67">
            <w:pPr>
              <w:adjustRightInd w:val="0"/>
              <w:snapToGrid w:val="0"/>
              <w:spacing w:line="30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6</w:t>
            </w:r>
            <w:r>
              <w:rPr>
                <w:rFonts w:ascii="宋体" w:hAnsi="宋体" w:cs="宋体"/>
                <w:color w:val="000000" w:themeColor="text1"/>
                <w:szCs w:val="21"/>
                <w14:textFill>
                  <w14:solidFill>
                    <w14:schemeClr w14:val="tx1"/>
                  </w14:solidFill>
                </w14:textFill>
              </w:rPr>
              <w:t>0</w:t>
            </w:r>
          </w:p>
        </w:tc>
        <w:tc>
          <w:tcPr>
            <w:tcW w:w="650" w:type="pct"/>
            <w:vAlign w:val="center"/>
          </w:tcPr>
          <w:p w14:paraId="50B0884B">
            <w:pPr>
              <w:pStyle w:val="278"/>
              <w:adjustRightInd w:val="0"/>
              <w:snapToGrid w:val="0"/>
              <w:spacing w:line="300" w:lineRule="exact"/>
              <w:rPr>
                <w:rFonts w:hint="eastAsia"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达标</w:t>
            </w:r>
          </w:p>
        </w:tc>
        <w:tc>
          <w:tcPr>
            <w:tcW w:w="568" w:type="pct"/>
            <w:vAlign w:val="center"/>
          </w:tcPr>
          <w:p w14:paraId="1F698BE6">
            <w:pPr>
              <w:pStyle w:val="278"/>
              <w:adjustRightInd w:val="0"/>
              <w:snapToGrid w:val="0"/>
              <w:spacing w:line="300" w:lineRule="exact"/>
              <w:rPr>
                <w:rFonts w:hint="eastAsia"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39</w:t>
            </w:r>
          </w:p>
        </w:tc>
        <w:tc>
          <w:tcPr>
            <w:tcW w:w="568" w:type="pct"/>
            <w:vAlign w:val="center"/>
          </w:tcPr>
          <w:p w14:paraId="2F28CA8D">
            <w:pPr>
              <w:adjustRightInd w:val="0"/>
              <w:snapToGrid w:val="0"/>
              <w:spacing w:line="30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5</w:t>
            </w:r>
            <w:r>
              <w:rPr>
                <w:rFonts w:ascii="宋体" w:hAnsi="宋体" w:cs="宋体"/>
                <w:color w:val="000000" w:themeColor="text1"/>
                <w:szCs w:val="21"/>
                <w14:textFill>
                  <w14:solidFill>
                    <w14:schemeClr w14:val="tx1"/>
                  </w14:solidFill>
                </w14:textFill>
              </w:rPr>
              <w:t>0</w:t>
            </w:r>
          </w:p>
        </w:tc>
        <w:tc>
          <w:tcPr>
            <w:tcW w:w="697" w:type="pct"/>
            <w:vAlign w:val="center"/>
          </w:tcPr>
          <w:p w14:paraId="4AEF4E73">
            <w:pPr>
              <w:pStyle w:val="278"/>
              <w:adjustRightInd w:val="0"/>
              <w:snapToGrid w:val="0"/>
              <w:spacing w:line="300" w:lineRule="exact"/>
              <w:rPr>
                <w:rFonts w:hint="eastAsia"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达标</w:t>
            </w:r>
          </w:p>
        </w:tc>
      </w:tr>
      <w:tr w14:paraId="7A84C5F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406" w:type="pct"/>
            <w:vAlign w:val="top"/>
          </w:tcPr>
          <w:p w14:paraId="22C6C5C2">
            <w:pPr>
              <w:pStyle w:val="278"/>
              <w:adjustRightInd w:val="0"/>
              <w:snapToGrid w:val="0"/>
              <w:spacing w:line="300" w:lineRule="exact"/>
              <w:rPr>
                <w:rFonts w:hint="eastAsia" w:cs="宋体"/>
                <w:color w:val="000000" w:themeColor="text1"/>
                <w14:textFill>
                  <w14:solidFill>
                    <w14:schemeClr w14:val="tx1"/>
                  </w14:solidFill>
                </w14:textFill>
              </w:rPr>
            </w:pPr>
            <w:r>
              <w:rPr>
                <w:rFonts w:cs="宋体"/>
                <w:color w:val="000000" w:themeColor="text1"/>
                <w14:textFill>
                  <w14:solidFill>
                    <w14:schemeClr w14:val="tx1"/>
                  </w14:solidFill>
                </w14:textFill>
              </w:rPr>
              <w:t>Z</w:t>
            </w:r>
            <w:r>
              <w:rPr>
                <w:rFonts w:hint="eastAsia" w:cs="宋体"/>
                <w:color w:val="000000" w:themeColor="text1"/>
                <w14:textFill>
                  <w14:solidFill>
                    <w14:schemeClr w14:val="tx1"/>
                  </w14:solidFill>
                </w14:textFill>
              </w:rPr>
              <w:t>29</w:t>
            </w:r>
          </w:p>
        </w:tc>
        <w:tc>
          <w:tcPr>
            <w:tcW w:w="487" w:type="pct"/>
            <w:vMerge w:val="restart"/>
            <w:vAlign w:val="center"/>
          </w:tcPr>
          <w:p w14:paraId="3E9D7560">
            <w:pPr>
              <w:pStyle w:val="278"/>
              <w:adjustRightInd w:val="0"/>
              <w:snapToGrid w:val="0"/>
              <w:spacing w:line="300" w:lineRule="exact"/>
              <w:rPr>
                <w:rFonts w:hint="eastAsia" w:cs="宋体"/>
                <w:color w:val="000000" w:themeColor="text1"/>
                <w14:textFill>
                  <w14:solidFill>
                    <w14:schemeClr w14:val="tx1"/>
                  </w14:solidFill>
                </w14:textFill>
              </w:rPr>
            </w:pPr>
            <w:r>
              <w:rPr>
                <w:rFonts w:hint="eastAsia" w:cs="宋体"/>
                <w:bCs/>
                <w:color w:val="000000" w:themeColor="text1"/>
                <w14:textFill>
                  <w14:solidFill>
                    <w14:schemeClr w14:val="tx1"/>
                  </w14:solidFill>
                </w14:textFill>
              </w:rPr>
              <w:t>J10064_H</w:t>
            </w:r>
          </w:p>
        </w:tc>
        <w:tc>
          <w:tcPr>
            <w:tcW w:w="650" w:type="pct"/>
            <w:vAlign w:val="center"/>
          </w:tcPr>
          <w:p w14:paraId="39ACABCF">
            <w:pPr>
              <w:pStyle w:val="278"/>
              <w:adjustRightInd w:val="0"/>
              <w:snapToGrid w:val="0"/>
              <w:spacing w:line="300" w:lineRule="exact"/>
              <w:rPr>
                <w:rFonts w:hint="eastAsia"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东厂界</w:t>
            </w:r>
          </w:p>
        </w:tc>
        <w:tc>
          <w:tcPr>
            <w:tcW w:w="487" w:type="pct"/>
            <w:vAlign w:val="center"/>
          </w:tcPr>
          <w:p w14:paraId="3047E610">
            <w:pPr>
              <w:pStyle w:val="278"/>
              <w:adjustRightInd w:val="0"/>
              <w:snapToGrid w:val="0"/>
              <w:spacing w:line="300" w:lineRule="exact"/>
              <w:rPr>
                <w:rFonts w:hint="eastAsia"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45</w:t>
            </w:r>
          </w:p>
        </w:tc>
        <w:tc>
          <w:tcPr>
            <w:tcW w:w="487" w:type="pct"/>
            <w:vAlign w:val="center"/>
          </w:tcPr>
          <w:p w14:paraId="5151C0B0">
            <w:pPr>
              <w:adjustRightInd w:val="0"/>
              <w:snapToGrid w:val="0"/>
              <w:spacing w:line="30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6</w:t>
            </w:r>
            <w:r>
              <w:rPr>
                <w:rFonts w:ascii="宋体" w:hAnsi="宋体" w:cs="宋体"/>
                <w:color w:val="000000" w:themeColor="text1"/>
                <w:szCs w:val="21"/>
                <w14:textFill>
                  <w14:solidFill>
                    <w14:schemeClr w14:val="tx1"/>
                  </w14:solidFill>
                </w14:textFill>
              </w:rPr>
              <w:t>0</w:t>
            </w:r>
          </w:p>
        </w:tc>
        <w:tc>
          <w:tcPr>
            <w:tcW w:w="650" w:type="pct"/>
            <w:vAlign w:val="center"/>
          </w:tcPr>
          <w:p w14:paraId="485A07B7">
            <w:pPr>
              <w:pStyle w:val="278"/>
              <w:adjustRightInd w:val="0"/>
              <w:snapToGrid w:val="0"/>
              <w:spacing w:line="300" w:lineRule="exact"/>
              <w:rPr>
                <w:rFonts w:hint="eastAsia"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达标</w:t>
            </w:r>
          </w:p>
        </w:tc>
        <w:tc>
          <w:tcPr>
            <w:tcW w:w="568" w:type="pct"/>
            <w:vAlign w:val="center"/>
          </w:tcPr>
          <w:p w14:paraId="40E6C0E9">
            <w:pPr>
              <w:pStyle w:val="278"/>
              <w:adjustRightInd w:val="0"/>
              <w:snapToGrid w:val="0"/>
              <w:spacing w:line="300" w:lineRule="exact"/>
              <w:rPr>
                <w:rFonts w:hint="eastAsia"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42</w:t>
            </w:r>
          </w:p>
        </w:tc>
        <w:tc>
          <w:tcPr>
            <w:tcW w:w="568" w:type="pct"/>
            <w:vAlign w:val="center"/>
          </w:tcPr>
          <w:p w14:paraId="6F8384C8">
            <w:pPr>
              <w:adjustRightInd w:val="0"/>
              <w:snapToGrid w:val="0"/>
              <w:spacing w:line="30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5</w:t>
            </w:r>
            <w:r>
              <w:rPr>
                <w:rFonts w:ascii="宋体" w:hAnsi="宋体" w:cs="宋体"/>
                <w:color w:val="000000" w:themeColor="text1"/>
                <w:szCs w:val="21"/>
                <w14:textFill>
                  <w14:solidFill>
                    <w14:schemeClr w14:val="tx1"/>
                  </w14:solidFill>
                </w14:textFill>
              </w:rPr>
              <w:t>0</w:t>
            </w:r>
          </w:p>
        </w:tc>
        <w:tc>
          <w:tcPr>
            <w:tcW w:w="697" w:type="pct"/>
            <w:vAlign w:val="center"/>
          </w:tcPr>
          <w:p w14:paraId="2389DA34">
            <w:pPr>
              <w:pStyle w:val="278"/>
              <w:adjustRightInd w:val="0"/>
              <w:snapToGrid w:val="0"/>
              <w:spacing w:line="300" w:lineRule="exact"/>
              <w:rPr>
                <w:rFonts w:hint="eastAsia"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达标</w:t>
            </w:r>
          </w:p>
        </w:tc>
      </w:tr>
      <w:tr w14:paraId="3E3C994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406" w:type="pct"/>
            <w:vAlign w:val="top"/>
          </w:tcPr>
          <w:p w14:paraId="52AAB293">
            <w:pPr>
              <w:pStyle w:val="278"/>
              <w:adjustRightInd w:val="0"/>
              <w:snapToGrid w:val="0"/>
              <w:spacing w:line="300" w:lineRule="exact"/>
              <w:rPr>
                <w:rFonts w:hint="eastAsia" w:cs="宋体"/>
                <w:color w:val="000000" w:themeColor="text1"/>
                <w14:textFill>
                  <w14:solidFill>
                    <w14:schemeClr w14:val="tx1"/>
                  </w14:solidFill>
                </w14:textFill>
              </w:rPr>
            </w:pPr>
            <w:r>
              <w:rPr>
                <w:rFonts w:cs="宋体"/>
                <w:color w:val="000000" w:themeColor="text1"/>
                <w14:textFill>
                  <w14:solidFill>
                    <w14:schemeClr w14:val="tx1"/>
                  </w14:solidFill>
                </w14:textFill>
              </w:rPr>
              <w:t>Z</w:t>
            </w:r>
            <w:r>
              <w:rPr>
                <w:rFonts w:hint="eastAsia" w:cs="宋体"/>
                <w:color w:val="000000" w:themeColor="text1"/>
                <w14:textFill>
                  <w14:solidFill>
                    <w14:schemeClr w14:val="tx1"/>
                  </w14:solidFill>
                </w14:textFill>
              </w:rPr>
              <w:t>30</w:t>
            </w:r>
          </w:p>
        </w:tc>
        <w:tc>
          <w:tcPr>
            <w:tcW w:w="487" w:type="pct"/>
            <w:vMerge w:val="continue"/>
            <w:vAlign w:val="center"/>
          </w:tcPr>
          <w:p w14:paraId="79918D56">
            <w:pPr>
              <w:pStyle w:val="278"/>
              <w:adjustRightInd w:val="0"/>
              <w:snapToGrid w:val="0"/>
              <w:spacing w:line="300" w:lineRule="exact"/>
              <w:rPr>
                <w:rFonts w:hint="eastAsia" w:cs="宋体"/>
                <w:color w:val="000000" w:themeColor="text1"/>
                <w14:textFill>
                  <w14:solidFill>
                    <w14:schemeClr w14:val="tx1"/>
                  </w14:solidFill>
                </w14:textFill>
              </w:rPr>
            </w:pPr>
          </w:p>
        </w:tc>
        <w:tc>
          <w:tcPr>
            <w:tcW w:w="650" w:type="pct"/>
            <w:vAlign w:val="center"/>
          </w:tcPr>
          <w:p w14:paraId="5FE81793">
            <w:pPr>
              <w:pStyle w:val="278"/>
              <w:adjustRightInd w:val="0"/>
              <w:snapToGrid w:val="0"/>
              <w:spacing w:line="300" w:lineRule="exact"/>
              <w:rPr>
                <w:rFonts w:hint="eastAsia"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南厂界</w:t>
            </w:r>
          </w:p>
        </w:tc>
        <w:tc>
          <w:tcPr>
            <w:tcW w:w="487" w:type="pct"/>
            <w:vAlign w:val="center"/>
          </w:tcPr>
          <w:p w14:paraId="65DD3BA4">
            <w:pPr>
              <w:pStyle w:val="278"/>
              <w:adjustRightInd w:val="0"/>
              <w:snapToGrid w:val="0"/>
              <w:spacing w:line="300" w:lineRule="exact"/>
              <w:rPr>
                <w:rFonts w:hint="eastAsia"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44</w:t>
            </w:r>
          </w:p>
        </w:tc>
        <w:tc>
          <w:tcPr>
            <w:tcW w:w="487" w:type="pct"/>
            <w:vAlign w:val="center"/>
          </w:tcPr>
          <w:p w14:paraId="7345E93A">
            <w:pPr>
              <w:adjustRightInd w:val="0"/>
              <w:snapToGrid w:val="0"/>
              <w:spacing w:line="30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6</w:t>
            </w:r>
            <w:r>
              <w:rPr>
                <w:rFonts w:ascii="宋体" w:hAnsi="宋体" w:cs="宋体"/>
                <w:color w:val="000000" w:themeColor="text1"/>
                <w:szCs w:val="21"/>
                <w14:textFill>
                  <w14:solidFill>
                    <w14:schemeClr w14:val="tx1"/>
                  </w14:solidFill>
                </w14:textFill>
              </w:rPr>
              <w:t>0</w:t>
            </w:r>
          </w:p>
        </w:tc>
        <w:tc>
          <w:tcPr>
            <w:tcW w:w="650" w:type="pct"/>
            <w:vAlign w:val="center"/>
          </w:tcPr>
          <w:p w14:paraId="5C11506D">
            <w:pPr>
              <w:pStyle w:val="278"/>
              <w:adjustRightInd w:val="0"/>
              <w:snapToGrid w:val="0"/>
              <w:spacing w:line="300" w:lineRule="exact"/>
              <w:rPr>
                <w:rFonts w:hint="eastAsia"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达标</w:t>
            </w:r>
          </w:p>
        </w:tc>
        <w:tc>
          <w:tcPr>
            <w:tcW w:w="568" w:type="pct"/>
            <w:vAlign w:val="center"/>
          </w:tcPr>
          <w:p w14:paraId="1F475744">
            <w:pPr>
              <w:pStyle w:val="278"/>
              <w:adjustRightInd w:val="0"/>
              <w:snapToGrid w:val="0"/>
              <w:spacing w:line="300" w:lineRule="exact"/>
              <w:rPr>
                <w:rFonts w:hint="eastAsia"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40</w:t>
            </w:r>
          </w:p>
        </w:tc>
        <w:tc>
          <w:tcPr>
            <w:tcW w:w="568" w:type="pct"/>
            <w:vAlign w:val="center"/>
          </w:tcPr>
          <w:p w14:paraId="0EEB943D">
            <w:pPr>
              <w:adjustRightInd w:val="0"/>
              <w:snapToGrid w:val="0"/>
              <w:spacing w:line="30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5</w:t>
            </w:r>
            <w:r>
              <w:rPr>
                <w:rFonts w:ascii="宋体" w:hAnsi="宋体" w:cs="宋体"/>
                <w:color w:val="000000" w:themeColor="text1"/>
                <w:szCs w:val="21"/>
                <w14:textFill>
                  <w14:solidFill>
                    <w14:schemeClr w14:val="tx1"/>
                  </w14:solidFill>
                </w14:textFill>
              </w:rPr>
              <w:t>0</w:t>
            </w:r>
          </w:p>
        </w:tc>
        <w:tc>
          <w:tcPr>
            <w:tcW w:w="697" w:type="pct"/>
            <w:vAlign w:val="center"/>
          </w:tcPr>
          <w:p w14:paraId="7EA2950A">
            <w:pPr>
              <w:pStyle w:val="278"/>
              <w:adjustRightInd w:val="0"/>
              <w:snapToGrid w:val="0"/>
              <w:spacing w:line="300" w:lineRule="exact"/>
              <w:rPr>
                <w:rFonts w:hint="eastAsia"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达标</w:t>
            </w:r>
          </w:p>
        </w:tc>
      </w:tr>
      <w:tr w14:paraId="39B1DFF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406" w:type="pct"/>
            <w:vAlign w:val="top"/>
          </w:tcPr>
          <w:p w14:paraId="35D0B0A0">
            <w:pPr>
              <w:pStyle w:val="278"/>
              <w:adjustRightInd w:val="0"/>
              <w:snapToGrid w:val="0"/>
              <w:spacing w:line="300" w:lineRule="exact"/>
              <w:rPr>
                <w:rFonts w:hint="eastAsia" w:cs="宋体"/>
                <w:color w:val="000000" w:themeColor="text1"/>
                <w14:textFill>
                  <w14:solidFill>
                    <w14:schemeClr w14:val="tx1"/>
                  </w14:solidFill>
                </w14:textFill>
              </w:rPr>
            </w:pPr>
            <w:r>
              <w:rPr>
                <w:rFonts w:cs="宋体"/>
                <w:color w:val="000000" w:themeColor="text1"/>
                <w14:textFill>
                  <w14:solidFill>
                    <w14:schemeClr w14:val="tx1"/>
                  </w14:solidFill>
                </w14:textFill>
              </w:rPr>
              <w:t>Z</w:t>
            </w:r>
            <w:r>
              <w:rPr>
                <w:rFonts w:hint="eastAsia" w:cs="宋体"/>
                <w:color w:val="000000" w:themeColor="text1"/>
                <w14:textFill>
                  <w14:solidFill>
                    <w14:schemeClr w14:val="tx1"/>
                  </w14:solidFill>
                </w14:textFill>
              </w:rPr>
              <w:t>31</w:t>
            </w:r>
          </w:p>
        </w:tc>
        <w:tc>
          <w:tcPr>
            <w:tcW w:w="487" w:type="pct"/>
            <w:vMerge w:val="continue"/>
            <w:vAlign w:val="center"/>
          </w:tcPr>
          <w:p w14:paraId="2214CBAF">
            <w:pPr>
              <w:pStyle w:val="278"/>
              <w:adjustRightInd w:val="0"/>
              <w:snapToGrid w:val="0"/>
              <w:spacing w:line="300" w:lineRule="exact"/>
              <w:rPr>
                <w:rFonts w:hint="eastAsia" w:cs="宋体"/>
                <w:color w:val="000000" w:themeColor="text1"/>
                <w14:textFill>
                  <w14:solidFill>
                    <w14:schemeClr w14:val="tx1"/>
                  </w14:solidFill>
                </w14:textFill>
              </w:rPr>
            </w:pPr>
          </w:p>
        </w:tc>
        <w:tc>
          <w:tcPr>
            <w:tcW w:w="650" w:type="pct"/>
            <w:vAlign w:val="center"/>
          </w:tcPr>
          <w:p w14:paraId="12D6BF16">
            <w:pPr>
              <w:pStyle w:val="278"/>
              <w:adjustRightInd w:val="0"/>
              <w:snapToGrid w:val="0"/>
              <w:spacing w:line="300" w:lineRule="exact"/>
              <w:rPr>
                <w:rFonts w:hint="eastAsia"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西厂界</w:t>
            </w:r>
          </w:p>
        </w:tc>
        <w:tc>
          <w:tcPr>
            <w:tcW w:w="487" w:type="pct"/>
            <w:vAlign w:val="center"/>
          </w:tcPr>
          <w:p w14:paraId="536D5F8B">
            <w:pPr>
              <w:pStyle w:val="278"/>
              <w:adjustRightInd w:val="0"/>
              <w:snapToGrid w:val="0"/>
              <w:spacing w:line="300" w:lineRule="exact"/>
              <w:rPr>
                <w:rFonts w:hint="eastAsia"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46</w:t>
            </w:r>
          </w:p>
        </w:tc>
        <w:tc>
          <w:tcPr>
            <w:tcW w:w="487" w:type="pct"/>
            <w:vAlign w:val="center"/>
          </w:tcPr>
          <w:p w14:paraId="25F74C50">
            <w:pPr>
              <w:adjustRightInd w:val="0"/>
              <w:snapToGrid w:val="0"/>
              <w:spacing w:line="30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6</w:t>
            </w:r>
            <w:r>
              <w:rPr>
                <w:rFonts w:ascii="宋体" w:hAnsi="宋体" w:cs="宋体"/>
                <w:color w:val="000000" w:themeColor="text1"/>
                <w:szCs w:val="21"/>
                <w14:textFill>
                  <w14:solidFill>
                    <w14:schemeClr w14:val="tx1"/>
                  </w14:solidFill>
                </w14:textFill>
              </w:rPr>
              <w:t>0</w:t>
            </w:r>
          </w:p>
        </w:tc>
        <w:tc>
          <w:tcPr>
            <w:tcW w:w="650" w:type="pct"/>
            <w:vAlign w:val="center"/>
          </w:tcPr>
          <w:p w14:paraId="1B37535C">
            <w:pPr>
              <w:pStyle w:val="278"/>
              <w:adjustRightInd w:val="0"/>
              <w:snapToGrid w:val="0"/>
              <w:spacing w:line="300" w:lineRule="exact"/>
              <w:rPr>
                <w:rFonts w:hint="eastAsia"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达标</w:t>
            </w:r>
          </w:p>
        </w:tc>
        <w:tc>
          <w:tcPr>
            <w:tcW w:w="568" w:type="pct"/>
            <w:vAlign w:val="center"/>
          </w:tcPr>
          <w:p w14:paraId="3485B009">
            <w:pPr>
              <w:pStyle w:val="278"/>
              <w:adjustRightInd w:val="0"/>
              <w:snapToGrid w:val="0"/>
              <w:spacing w:line="300" w:lineRule="exact"/>
              <w:rPr>
                <w:rFonts w:hint="eastAsia"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41</w:t>
            </w:r>
          </w:p>
        </w:tc>
        <w:tc>
          <w:tcPr>
            <w:tcW w:w="568" w:type="pct"/>
            <w:vAlign w:val="center"/>
          </w:tcPr>
          <w:p w14:paraId="07BF2B48">
            <w:pPr>
              <w:adjustRightInd w:val="0"/>
              <w:snapToGrid w:val="0"/>
              <w:spacing w:line="30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5</w:t>
            </w:r>
            <w:r>
              <w:rPr>
                <w:rFonts w:ascii="宋体" w:hAnsi="宋体" w:cs="宋体"/>
                <w:color w:val="000000" w:themeColor="text1"/>
                <w:szCs w:val="21"/>
                <w14:textFill>
                  <w14:solidFill>
                    <w14:schemeClr w14:val="tx1"/>
                  </w14:solidFill>
                </w14:textFill>
              </w:rPr>
              <w:t>0</w:t>
            </w:r>
          </w:p>
        </w:tc>
        <w:tc>
          <w:tcPr>
            <w:tcW w:w="697" w:type="pct"/>
            <w:vAlign w:val="center"/>
          </w:tcPr>
          <w:p w14:paraId="4BEC0CBF">
            <w:pPr>
              <w:pStyle w:val="278"/>
              <w:adjustRightInd w:val="0"/>
              <w:snapToGrid w:val="0"/>
              <w:spacing w:line="300" w:lineRule="exact"/>
              <w:rPr>
                <w:rFonts w:hint="eastAsia"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达标</w:t>
            </w:r>
          </w:p>
        </w:tc>
      </w:tr>
      <w:tr w14:paraId="4A18858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406" w:type="pct"/>
            <w:vAlign w:val="top"/>
          </w:tcPr>
          <w:p w14:paraId="77E8F13F">
            <w:pPr>
              <w:pStyle w:val="278"/>
              <w:adjustRightInd w:val="0"/>
              <w:snapToGrid w:val="0"/>
              <w:spacing w:line="300" w:lineRule="exact"/>
              <w:rPr>
                <w:rFonts w:hint="eastAsia" w:cs="宋体"/>
                <w:color w:val="000000" w:themeColor="text1"/>
                <w14:textFill>
                  <w14:solidFill>
                    <w14:schemeClr w14:val="tx1"/>
                  </w14:solidFill>
                </w14:textFill>
              </w:rPr>
            </w:pPr>
            <w:r>
              <w:rPr>
                <w:rFonts w:cs="宋体"/>
                <w:color w:val="000000" w:themeColor="text1"/>
                <w14:textFill>
                  <w14:solidFill>
                    <w14:schemeClr w14:val="tx1"/>
                  </w14:solidFill>
                </w14:textFill>
              </w:rPr>
              <w:t>Z</w:t>
            </w:r>
            <w:r>
              <w:rPr>
                <w:rFonts w:hint="eastAsia" w:cs="宋体"/>
                <w:color w:val="000000" w:themeColor="text1"/>
                <w14:textFill>
                  <w14:solidFill>
                    <w14:schemeClr w14:val="tx1"/>
                  </w14:solidFill>
                </w14:textFill>
              </w:rPr>
              <w:t>32</w:t>
            </w:r>
          </w:p>
        </w:tc>
        <w:tc>
          <w:tcPr>
            <w:tcW w:w="487" w:type="pct"/>
            <w:vMerge w:val="continue"/>
            <w:vAlign w:val="center"/>
          </w:tcPr>
          <w:p w14:paraId="3E7BEFC7">
            <w:pPr>
              <w:pStyle w:val="278"/>
              <w:adjustRightInd w:val="0"/>
              <w:snapToGrid w:val="0"/>
              <w:spacing w:line="300" w:lineRule="exact"/>
              <w:rPr>
                <w:rFonts w:hint="eastAsia" w:cs="宋体"/>
                <w:color w:val="000000" w:themeColor="text1"/>
                <w14:textFill>
                  <w14:solidFill>
                    <w14:schemeClr w14:val="tx1"/>
                  </w14:solidFill>
                </w14:textFill>
              </w:rPr>
            </w:pPr>
          </w:p>
        </w:tc>
        <w:tc>
          <w:tcPr>
            <w:tcW w:w="650" w:type="pct"/>
            <w:vAlign w:val="center"/>
          </w:tcPr>
          <w:p w14:paraId="33AA82BB">
            <w:pPr>
              <w:pStyle w:val="278"/>
              <w:adjustRightInd w:val="0"/>
              <w:snapToGrid w:val="0"/>
              <w:spacing w:line="300" w:lineRule="exact"/>
              <w:rPr>
                <w:rFonts w:hint="eastAsia"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北厂界</w:t>
            </w:r>
          </w:p>
        </w:tc>
        <w:tc>
          <w:tcPr>
            <w:tcW w:w="487" w:type="pct"/>
            <w:vAlign w:val="center"/>
          </w:tcPr>
          <w:p w14:paraId="2F6606D1">
            <w:pPr>
              <w:pStyle w:val="278"/>
              <w:adjustRightInd w:val="0"/>
              <w:snapToGrid w:val="0"/>
              <w:spacing w:line="300" w:lineRule="exact"/>
              <w:rPr>
                <w:rFonts w:hint="eastAsia"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44</w:t>
            </w:r>
          </w:p>
        </w:tc>
        <w:tc>
          <w:tcPr>
            <w:tcW w:w="487" w:type="pct"/>
            <w:vAlign w:val="center"/>
          </w:tcPr>
          <w:p w14:paraId="78205351">
            <w:pPr>
              <w:adjustRightInd w:val="0"/>
              <w:snapToGrid w:val="0"/>
              <w:spacing w:line="30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6</w:t>
            </w:r>
            <w:r>
              <w:rPr>
                <w:rFonts w:ascii="宋体" w:hAnsi="宋体" w:cs="宋体"/>
                <w:color w:val="000000" w:themeColor="text1"/>
                <w:szCs w:val="21"/>
                <w14:textFill>
                  <w14:solidFill>
                    <w14:schemeClr w14:val="tx1"/>
                  </w14:solidFill>
                </w14:textFill>
              </w:rPr>
              <w:t>0</w:t>
            </w:r>
          </w:p>
        </w:tc>
        <w:tc>
          <w:tcPr>
            <w:tcW w:w="650" w:type="pct"/>
            <w:vAlign w:val="center"/>
          </w:tcPr>
          <w:p w14:paraId="0B295100">
            <w:pPr>
              <w:pStyle w:val="278"/>
              <w:adjustRightInd w:val="0"/>
              <w:snapToGrid w:val="0"/>
              <w:spacing w:line="300" w:lineRule="exact"/>
              <w:rPr>
                <w:rFonts w:hint="eastAsia"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达标</w:t>
            </w:r>
          </w:p>
        </w:tc>
        <w:tc>
          <w:tcPr>
            <w:tcW w:w="568" w:type="pct"/>
            <w:vAlign w:val="center"/>
          </w:tcPr>
          <w:p w14:paraId="4B15292B">
            <w:pPr>
              <w:pStyle w:val="278"/>
              <w:adjustRightInd w:val="0"/>
              <w:snapToGrid w:val="0"/>
              <w:spacing w:line="300" w:lineRule="exact"/>
              <w:rPr>
                <w:rFonts w:hint="eastAsia"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41</w:t>
            </w:r>
          </w:p>
        </w:tc>
        <w:tc>
          <w:tcPr>
            <w:tcW w:w="568" w:type="pct"/>
            <w:vAlign w:val="center"/>
          </w:tcPr>
          <w:p w14:paraId="05D92AFF">
            <w:pPr>
              <w:adjustRightInd w:val="0"/>
              <w:snapToGrid w:val="0"/>
              <w:spacing w:line="30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5</w:t>
            </w:r>
            <w:r>
              <w:rPr>
                <w:rFonts w:ascii="宋体" w:hAnsi="宋体" w:cs="宋体"/>
                <w:color w:val="000000" w:themeColor="text1"/>
                <w:szCs w:val="21"/>
                <w14:textFill>
                  <w14:solidFill>
                    <w14:schemeClr w14:val="tx1"/>
                  </w14:solidFill>
                </w14:textFill>
              </w:rPr>
              <w:t>0</w:t>
            </w:r>
          </w:p>
        </w:tc>
        <w:tc>
          <w:tcPr>
            <w:tcW w:w="697" w:type="pct"/>
            <w:vAlign w:val="center"/>
          </w:tcPr>
          <w:p w14:paraId="775319FA">
            <w:pPr>
              <w:pStyle w:val="278"/>
              <w:adjustRightInd w:val="0"/>
              <w:snapToGrid w:val="0"/>
              <w:spacing w:line="300" w:lineRule="exact"/>
              <w:rPr>
                <w:rFonts w:hint="eastAsia"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达标</w:t>
            </w:r>
          </w:p>
        </w:tc>
      </w:tr>
      <w:tr w14:paraId="28BB2BC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406" w:type="pct"/>
            <w:vAlign w:val="top"/>
          </w:tcPr>
          <w:p w14:paraId="29C67F1B">
            <w:pPr>
              <w:pStyle w:val="278"/>
              <w:adjustRightInd w:val="0"/>
              <w:snapToGrid w:val="0"/>
              <w:spacing w:line="300" w:lineRule="exact"/>
              <w:rPr>
                <w:rFonts w:hint="eastAsia" w:cs="宋体"/>
                <w:color w:val="000000" w:themeColor="text1"/>
                <w14:textFill>
                  <w14:solidFill>
                    <w14:schemeClr w14:val="tx1"/>
                  </w14:solidFill>
                </w14:textFill>
              </w:rPr>
            </w:pPr>
            <w:r>
              <w:rPr>
                <w:rFonts w:cs="宋体"/>
                <w:color w:val="000000" w:themeColor="text1"/>
                <w14:textFill>
                  <w14:solidFill>
                    <w14:schemeClr w14:val="tx1"/>
                  </w14:solidFill>
                </w14:textFill>
              </w:rPr>
              <w:t>Z</w:t>
            </w:r>
            <w:r>
              <w:rPr>
                <w:rFonts w:hint="eastAsia" w:cs="宋体"/>
                <w:color w:val="000000" w:themeColor="text1"/>
                <w14:textFill>
                  <w14:solidFill>
                    <w14:schemeClr w14:val="tx1"/>
                  </w14:solidFill>
                </w14:textFill>
              </w:rPr>
              <w:t>33</w:t>
            </w:r>
          </w:p>
        </w:tc>
        <w:tc>
          <w:tcPr>
            <w:tcW w:w="487" w:type="pct"/>
            <w:vMerge w:val="restart"/>
            <w:vAlign w:val="center"/>
          </w:tcPr>
          <w:p w14:paraId="3F06EF19">
            <w:pPr>
              <w:pStyle w:val="278"/>
              <w:adjustRightInd w:val="0"/>
              <w:snapToGrid w:val="0"/>
              <w:spacing w:line="300" w:lineRule="exact"/>
              <w:rPr>
                <w:rFonts w:hint="eastAsia" w:cs="宋体"/>
                <w:color w:val="000000" w:themeColor="text1"/>
                <w14:textFill>
                  <w14:solidFill>
                    <w14:schemeClr w14:val="tx1"/>
                  </w14:solidFill>
                </w14:textFill>
              </w:rPr>
            </w:pPr>
            <w:r>
              <w:rPr>
                <w:rFonts w:hint="eastAsia" w:cs="宋体"/>
                <w:bCs/>
                <w:color w:val="000000" w:themeColor="text1"/>
                <w14:textFill>
                  <w14:solidFill>
                    <w14:schemeClr w14:val="tx1"/>
                  </w14:solidFill>
                </w14:textFill>
              </w:rPr>
              <w:t>JHW00526</w:t>
            </w:r>
          </w:p>
        </w:tc>
        <w:tc>
          <w:tcPr>
            <w:tcW w:w="650" w:type="pct"/>
            <w:vAlign w:val="center"/>
          </w:tcPr>
          <w:p w14:paraId="080F6615">
            <w:pPr>
              <w:pStyle w:val="278"/>
              <w:adjustRightInd w:val="0"/>
              <w:snapToGrid w:val="0"/>
              <w:spacing w:line="300" w:lineRule="exact"/>
              <w:rPr>
                <w:rFonts w:hint="eastAsia"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东厂界</w:t>
            </w:r>
          </w:p>
        </w:tc>
        <w:tc>
          <w:tcPr>
            <w:tcW w:w="487" w:type="pct"/>
            <w:vAlign w:val="center"/>
          </w:tcPr>
          <w:p w14:paraId="51CBD87E">
            <w:pPr>
              <w:pStyle w:val="278"/>
              <w:adjustRightInd w:val="0"/>
              <w:snapToGrid w:val="0"/>
              <w:spacing w:line="300" w:lineRule="exact"/>
              <w:rPr>
                <w:rFonts w:hint="eastAsia"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42</w:t>
            </w:r>
          </w:p>
        </w:tc>
        <w:tc>
          <w:tcPr>
            <w:tcW w:w="487" w:type="pct"/>
            <w:vAlign w:val="center"/>
          </w:tcPr>
          <w:p w14:paraId="143D41B4">
            <w:pPr>
              <w:pStyle w:val="278"/>
              <w:adjustRightInd w:val="0"/>
              <w:snapToGrid w:val="0"/>
              <w:spacing w:line="300" w:lineRule="exact"/>
              <w:rPr>
                <w:rFonts w:hint="eastAsia"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6</w:t>
            </w:r>
            <w:r>
              <w:rPr>
                <w:rFonts w:cs="宋体"/>
                <w:color w:val="000000" w:themeColor="text1"/>
                <w14:textFill>
                  <w14:solidFill>
                    <w14:schemeClr w14:val="tx1"/>
                  </w14:solidFill>
                </w14:textFill>
              </w:rPr>
              <w:t>0</w:t>
            </w:r>
          </w:p>
        </w:tc>
        <w:tc>
          <w:tcPr>
            <w:tcW w:w="650" w:type="pct"/>
            <w:vAlign w:val="center"/>
          </w:tcPr>
          <w:p w14:paraId="0D0E4766">
            <w:pPr>
              <w:pStyle w:val="278"/>
              <w:adjustRightInd w:val="0"/>
              <w:snapToGrid w:val="0"/>
              <w:spacing w:line="300" w:lineRule="exact"/>
              <w:rPr>
                <w:rFonts w:hint="eastAsia"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达标</w:t>
            </w:r>
          </w:p>
        </w:tc>
        <w:tc>
          <w:tcPr>
            <w:tcW w:w="568" w:type="pct"/>
            <w:vAlign w:val="center"/>
          </w:tcPr>
          <w:p w14:paraId="77D5BF96">
            <w:pPr>
              <w:pStyle w:val="278"/>
              <w:adjustRightInd w:val="0"/>
              <w:snapToGrid w:val="0"/>
              <w:spacing w:line="300" w:lineRule="exact"/>
              <w:rPr>
                <w:rFonts w:hint="eastAsia"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39</w:t>
            </w:r>
          </w:p>
        </w:tc>
        <w:tc>
          <w:tcPr>
            <w:tcW w:w="568" w:type="pct"/>
            <w:vAlign w:val="center"/>
          </w:tcPr>
          <w:p w14:paraId="5E23CBC9">
            <w:pPr>
              <w:pStyle w:val="278"/>
              <w:adjustRightInd w:val="0"/>
              <w:snapToGrid w:val="0"/>
              <w:spacing w:line="300" w:lineRule="exact"/>
              <w:rPr>
                <w:rFonts w:hint="eastAsia"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5</w:t>
            </w:r>
            <w:r>
              <w:rPr>
                <w:rFonts w:cs="宋体"/>
                <w:color w:val="000000" w:themeColor="text1"/>
                <w14:textFill>
                  <w14:solidFill>
                    <w14:schemeClr w14:val="tx1"/>
                  </w14:solidFill>
                </w14:textFill>
              </w:rPr>
              <w:t>0</w:t>
            </w:r>
          </w:p>
        </w:tc>
        <w:tc>
          <w:tcPr>
            <w:tcW w:w="697" w:type="pct"/>
            <w:vAlign w:val="center"/>
          </w:tcPr>
          <w:p w14:paraId="1E4DC63F">
            <w:pPr>
              <w:pStyle w:val="278"/>
              <w:adjustRightInd w:val="0"/>
              <w:snapToGrid w:val="0"/>
              <w:spacing w:line="300" w:lineRule="exact"/>
              <w:rPr>
                <w:rFonts w:hint="eastAsia"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达标</w:t>
            </w:r>
          </w:p>
        </w:tc>
      </w:tr>
      <w:tr w14:paraId="6D64076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406" w:type="pct"/>
            <w:vAlign w:val="top"/>
          </w:tcPr>
          <w:p w14:paraId="2F8ABF9E">
            <w:pPr>
              <w:pStyle w:val="278"/>
              <w:adjustRightInd w:val="0"/>
              <w:snapToGrid w:val="0"/>
              <w:spacing w:line="300" w:lineRule="exact"/>
              <w:rPr>
                <w:rFonts w:hint="eastAsia" w:cs="宋体"/>
                <w:color w:val="000000" w:themeColor="text1"/>
                <w14:textFill>
                  <w14:solidFill>
                    <w14:schemeClr w14:val="tx1"/>
                  </w14:solidFill>
                </w14:textFill>
              </w:rPr>
            </w:pPr>
            <w:r>
              <w:rPr>
                <w:rFonts w:cs="宋体"/>
                <w:color w:val="000000" w:themeColor="text1"/>
                <w14:textFill>
                  <w14:solidFill>
                    <w14:schemeClr w14:val="tx1"/>
                  </w14:solidFill>
                </w14:textFill>
              </w:rPr>
              <w:t>Z</w:t>
            </w:r>
            <w:r>
              <w:rPr>
                <w:rFonts w:hint="eastAsia" w:cs="宋体"/>
                <w:color w:val="000000" w:themeColor="text1"/>
                <w14:textFill>
                  <w14:solidFill>
                    <w14:schemeClr w14:val="tx1"/>
                  </w14:solidFill>
                </w14:textFill>
              </w:rPr>
              <w:t>34</w:t>
            </w:r>
          </w:p>
        </w:tc>
        <w:tc>
          <w:tcPr>
            <w:tcW w:w="487" w:type="pct"/>
            <w:vMerge w:val="continue"/>
            <w:vAlign w:val="center"/>
          </w:tcPr>
          <w:p w14:paraId="78E5D9D3">
            <w:pPr>
              <w:pStyle w:val="278"/>
              <w:adjustRightInd w:val="0"/>
              <w:snapToGrid w:val="0"/>
              <w:spacing w:line="300" w:lineRule="exact"/>
              <w:rPr>
                <w:rFonts w:hint="eastAsia" w:cs="宋体"/>
                <w:color w:val="000000" w:themeColor="text1"/>
                <w14:textFill>
                  <w14:solidFill>
                    <w14:schemeClr w14:val="tx1"/>
                  </w14:solidFill>
                </w14:textFill>
              </w:rPr>
            </w:pPr>
          </w:p>
        </w:tc>
        <w:tc>
          <w:tcPr>
            <w:tcW w:w="650" w:type="pct"/>
            <w:vAlign w:val="center"/>
          </w:tcPr>
          <w:p w14:paraId="24E27428">
            <w:pPr>
              <w:pStyle w:val="278"/>
              <w:adjustRightInd w:val="0"/>
              <w:snapToGrid w:val="0"/>
              <w:spacing w:line="300" w:lineRule="exact"/>
              <w:rPr>
                <w:rFonts w:hint="eastAsia"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南厂界</w:t>
            </w:r>
          </w:p>
        </w:tc>
        <w:tc>
          <w:tcPr>
            <w:tcW w:w="487" w:type="pct"/>
            <w:vAlign w:val="center"/>
          </w:tcPr>
          <w:p w14:paraId="1E8EE9CA">
            <w:pPr>
              <w:pStyle w:val="278"/>
              <w:adjustRightInd w:val="0"/>
              <w:snapToGrid w:val="0"/>
              <w:spacing w:line="300" w:lineRule="exact"/>
              <w:rPr>
                <w:rFonts w:hint="eastAsia"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45</w:t>
            </w:r>
          </w:p>
        </w:tc>
        <w:tc>
          <w:tcPr>
            <w:tcW w:w="487" w:type="pct"/>
            <w:vAlign w:val="center"/>
          </w:tcPr>
          <w:p w14:paraId="6BABBA41">
            <w:pPr>
              <w:adjustRightInd w:val="0"/>
              <w:snapToGrid w:val="0"/>
              <w:spacing w:line="30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6</w:t>
            </w:r>
            <w:r>
              <w:rPr>
                <w:rFonts w:ascii="宋体" w:hAnsi="宋体" w:cs="宋体"/>
                <w:color w:val="000000" w:themeColor="text1"/>
                <w:szCs w:val="21"/>
                <w14:textFill>
                  <w14:solidFill>
                    <w14:schemeClr w14:val="tx1"/>
                  </w14:solidFill>
                </w14:textFill>
              </w:rPr>
              <w:t>0</w:t>
            </w:r>
          </w:p>
        </w:tc>
        <w:tc>
          <w:tcPr>
            <w:tcW w:w="650" w:type="pct"/>
            <w:vAlign w:val="center"/>
          </w:tcPr>
          <w:p w14:paraId="36154195">
            <w:pPr>
              <w:pStyle w:val="278"/>
              <w:adjustRightInd w:val="0"/>
              <w:snapToGrid w:val="0"/>
              <w:spacing w:line="300" w:lineRule="exact"/>
              <w:rPr>
                <w:rFonts w:hint="eastAsia"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达标</w:t>
            </w:r>
          </w:p>
        </w:tc>
        <w:tc>
          <w:tcPr>
            <w:tcW w:w="568" w:type="pct"/>
            <w:vAlign w:val="center"/>
          </w:tcPr>
          <w:p w14:paraId="6881AF3E">
            <w:pPr>
              <w:pStyle w:val="278"/>
              <w:adjustRightInd w:val="0"/>
              <w:snapToGrid w:val="0"/>
              <w:spacing w:line="300" w:lineRule="exact"/>
              <w:rPr>
                <w:rFonts w:hint="eastAsia"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42</w:t>
            </w:r>
          </w:p>
        </w:tc>
        <w:tc>
          <w:tcPr>
            <w:tcW w:w="568" w:type="pct"/>
            <w:vAlign w:val="center"/>
          </w:tcPr>
          <w:p w14:paraId="522CCD9E">
            <w:pPr>
              <w:adjustRightInd w:val="0"/>
              <w:snapToGrid w:val="0"/>
              <w:spacing w:line="30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5</w:t>
            </w:r>
            <w:r>
              <w:rPr>
                <w:rFonts w:ascii="宋体" w:hAnsi="宋体" w:cs="宋体"/>
                <w:color w:val="000000" w:themeColor="text1"/>
                <w:szCs w:val="21"/>
                <w14:textFill>
                  <w14:solidFill>
                    <w14:schemeClr w14:val="tx1"/>
                  </w14:solidFill>
                </w14:textFill>
              </w:rPr>
              <w:t>0</w:t>
            </w:r>
          </w:p>
        </w:tc>
        <w:tc>
          <w:tcPr>
            <w:tcW w:w="697" w:type="pct"/>
            <w:vAlign w:val="center"/>
          </w:tcPr>
          <w:p w14:paraId="1BD8F60D">
            <w:pPr>
              <w:pStyle w:val="278"/>
              <w:adjustRightInd w:val="0"/>
              <w:snapToGrid w:val="0"/>
              <w:spacing w:line="300" w:lineRule="exact"/>
              <w:rPr>
                <w:rFonts w:hint="eastAsia"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达标</w:t>
            </w:r>
          </w:p>
        </w:tc>
      </w:tr>
      <w:tr w14:paraId="4BEA45D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406" w:type="pct"/>
            <w:vAlign w:val="top"/>
          </w:tcPr>
          <w:p w14:paraId="317D84A4">
            <w:pPr>
              <w:pStyle w:val="278"/>
              <w:adjustRightInd w:val="0"/>
              <w:snapToGrid w:val="0"/>
              <w:spacing w:line="300" w:lineRule="exact"/>
              <w:rPr>
                <w:rFonts w:hint="eastAsia" w:cs="宋体"/>
                <w:color w:val="000000" w:themeColor="text1"/>
                <w14:textFill>
                  <w14:solidFill>
                    <w14:schemeClr w14:val="tx1"/>
                  </w14:solidFill>
                </w14:textFill>
              </w:rPr>
            </w:pPr>
            <w:r>
              <w:rPr>
                <w:rFonts w:cs="宋体"/>
                <w:color w:val="000000" w:themeColor="text1"/>
                <w14:textFill>
                  <w14:solidFill>
                    <w14:schemeClr w14:val="tx1"/>
                  </w14:solidFill>
                </w14:textFill>
              </w:rPr>
              <w:t>Z</w:t>
            </w:r>
            <w:r>
              <w:rPr>
                <w:rFonts w:hint="eastAsia" w:cs="宋体"/>
                <w:color w:val="000000" w:themeColor="text1"/>
                <w14:textFill>
                  <w14:solidFill>
                    <w14:schemeClr w14:val="tx1"/>
                  </w14:solidFill>
                </w14:textFill>
              </w:rPr>
              <w:t>35</w:t>
            </w:r>
          </w:p>
        </w:tc>
        <w:tc>
          <w:tcPr>
            <w:tcW w:w="487" w:type="pct"/>
            <w:vMerge w:val="continue"/>
            <w:vAlign w:val="center"/>
          </w:tcPr>
          <w:p w14:paraId="3756494B">
            <w:pPr>
              <w:pStyle w:val="278"/>
              <w:adjustRightInd w:val="0"/>
              <w:snapToGrid w:val="0"/>
              <w:spacing w:line="300" w:lineRule="exact"/>
              <w:rPr>
                <w:rFonts w:hint="eastAsia" w:cs="宋体"/>
                <w:color w:val="000000" w:themeColor="text1"/>
                <w14:textFill>
                  <w14:solidFill>
                    <w14:schemeClr w14:val="tx1"/>
                  </w14:solidFill>
                </w14:textFill>
              </w:rPr>
            </w:pPr>
          </w:p>
        </w:tc>
        <w:tc>
          <w:tcPr>
            <w:tcW w:w="650" w:type="pct"/>
            <w:vAlign w:val="center"/>
          </w:tcPr>
          <w:p w14:paraId="04468131">
            <w:pPr>
              <w:pStyle w:val="278"/>
              <w:adjustRightInd w:val="0"/>
              <w:snapToGrid w:val="0"/>
              <w:spacing w:line="300" w:lineRule="exact"/>
              <w:rPr>
                <w:rFonts w:hint="eastAsia"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西厂界</w:t>
            </w:r>
          </w:p>
        </w:tc>
        <w:tc>
          <w:tcPr>
            <w:tcW w:w="487" w:type="pct"/>
            <w:vAlign w:val="center"/>
          </w:tcPr>
          <w:p w14:paraId="1FD6D818">
            <w:pPr>
              <w:pStyle w:val="278"/>
              <w:adjustRightInd w:val="0"/>
              <w:snapToGrid w:val="0"/>
              <w:spacing w:line="300" w:lineRule="exact"/>
              <w:rPr>
                <w:rFonts w:hint="eastAsia"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42</w:t>
            </w:r>
          </w:p>
        </w:tc>
        <w:tc>
          <w:tcPr>
            <w:tcW w:w="487" w:type="pct"/>
            <w:vAlign w:val="center"/>
          </w:tcPr>
          <w:p w14:paraId="102CD967">
            <w:pPr>
              <w:adjustRightInd w:val="0"/>
              <w:snapToGrid w:val="0"/>
              <w:spacing w:line="30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6</w:t>
            </w:r>
            <w:r>
              <w:rPr>
                <w:rFonts w:ascii="宋体" w:hAnsi="宋体" w:cs="宋体"/>
                <w:color w:val="000000" w:themeColor="text1"/>
                <w:szCs w:val="21"/>
                <w14:textFill>
                  <w14:solidFill>
                    <w14:schemeClr w14:val="tx1"/>
                  </w14:solidFill>
                </w14:textFill>
              </w:rPr>
              <w:t>0</w:t>
            </w:r>
          </w:p>
        </w:tc>
        <w:tc>
          <w:tcPr>
            <w:tcW w:w="650" w:type="pct"/>
            <w:vAlign w:val="center"/>
          </w:tcPr>
          <w:p w14:paraId="239CFF3D">
            <w:pPr>
              <w:pStyle w:val="278"/>
              <w:adjustRightInd w:val="0"/>
              <w:snapToGrid w:val="0"/>
              <w:spacing w:line="300" w:lineRule="exact"/>
              <w:rPr>
                <w:rFonts w:hint="eastAsia"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达标</w:t>
            </w:r>
          </w:p>
        </w:tc>
        <w:tc>
          <w:tcPr>
            <w:tcW w:w="568" w:type="pct"/>
            <w:vAlign w:val="center"/>
          </w:tcPr>
          <w:p w14:paraId="58F89130">
            <w:pPr>
              <w:pStyle w:val="278"/>
              <w:adjustRightInd w:val="0"/>
              <w:snapToGrid w:val="0"/>
              <w:spacing w:line="300" w:lineRule="exact"/>
              <w:rPr>
                <w:rFonts w:hint="eastAsia"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42</w:t>
            </w:r>
          </w:p>
        </w:tc>
        <w:tc>
          <w:tcPr>
            <w:tcW w:w="568" w:type="pct"/>
            <w:vAlign w:val="center"/>
          </w:tcPr>
          <w:p w14:paraId="52E6C9F5">
            <w:pPr>
              <w:adjustRightInd w:val="0"/>
              <w:snapToGrid w:val="0"/>
              <w:spacing w:line="30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5</w:t>
            </w:r>
            <w:r>
              <w:rPr>
                <w:rFonts w:ascii="宋体" w:hAnsi="宋体" w:cs="宋体"/>
                <w:color w:val="000000" w:themeColor="text1"/>
                <w:szCs w:val="21"/>
                <w14:textFill>
                  <w14:solidFill>
                    <w14:schemeClr w14:val="tx1"/>
                  </w14:solidFill>
                </w14:textFill>
              </w:rPr>
              <w:t>0</w:t>
            </w:r>
          </w:p>
        </w:tc>
        <w:tc>
          <w:tcPr>
            <w:tcW w:w="697" w:type="pct"/>
            <w:vAlign w:val="center"/>
          </w:tcPr>
          <w:p w14:paraId="7ADEAEF1">
            <w:pPr>
              <w:pStyle w:val="278"/>
              <w:adjustRightInd w:val="0"/>
              <w:snapToGrid w:val="0"/>
              <w:spacing w:line="300" w:lineRule="exact"/>
              <w:rPr>
                <w:rFonts w:hint="eastAsia"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达标</w:t>
            </w:r>
          </w:p>
        </w:tc>
      </w:tr>
      <w:tr w14:paraId="23D4B1E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406" w:type="pct"/>
            <w:vAlign w:val="center"/>
          </w:tcPr>
          <w:p w14:paraId="75853CE9">
            <w:pPr>
              <w:pStyle w:val="202"/>
              <w:adjustRightInd w:val="0"/>
              <w:snapToGrid w:val="0"/>
              <w:spacing w:line="300" w:lineRule="exact"/>
              <w:ind w:firstLine="0" w:firstLineChars="0"/>
              <w:jc w:val="center"/>
              <w:rPr>
                <w:rFonts w:hint="eastAsia" w:cs="宋体"/>
                <w:b w:val="0"/>
                <w:color w:val="000000" w:themeColor="text1"/>
                <w:sz w:val="21"/>
                <w14:textFill>
                  <w14:solidFill>
                    <w14:schemeClr w14:val="tx1"/>
                  </w14:solidFill>
                </w14:textFill>
              </w:rPr>
            </w:pPr>
            <w:bookmarkStart w:id="426" w:name="_Toc216260262"/>
            <w:r>
              <w:rPr>
                <w:rFonts w:cs="宋体"/>
                <w:b w:val="0"/>
                <w:color w:val="000000" w:themeColor="text1"/>
                <w:sz w:val="21"/>
                <w14:textFill>
                  <w14:solidFill>
                    <w14:schemeClr w14:val="tx1"/>
                  </w14:solidFill>
                </w14:textFill>
              </w:rPr>
              <w:t>Z</w:t>
            </w:r>
            <w:r>
              <w:rPr>
                <w:rFonts w:hint="eastAsia" w:cs="宋体"/>
                <w:b w:val="0"/>
                <w:color w:val="000000" w:themeColor="text1"/>
                <w:sz w:val="21"/>
                <w14:textFill>
                  <w14:solidFill>
                    <w14:schemeClr w14:val="tx1"/>
                  </w14:solidFill>
                </w14:textFill>
              </w:rPr>
              <w:t>36</w:t>
            </w:r>
            <w:bookmarkEnd w:id="426"/>
          </w:p>
        </w:tc>
        <w:tc>
          <w:tcPr>
            <w:tcW w:w="487" w:type="pct"/>
            <w:vMerge w:val="continue"/>
            <w:vAlign w:val="center"/>
          </w:tcPr>
          <w:p w14:paraId="137EBC9F">
            <w:pPr>
              <w:pStyle w:val="278"/>
              <w:adjustRightInd w:val="0"/>
              <w:snapToGrid w:val="0"/>
              <w:spacing w:line="300" w:lineRule="exact"/>
              <w:rPr>
                <w:rFonts w:hint="eastAsia" w:cs="宋体"/>
                <w:color w:val="000000" w:themeColor="text1"/>
                <w14:textFill>
                  <w14:solidFill>
                    <w14:schemeClr w14:val="tx1"/>
                  </w14:solidFill>
                </w14:textFill>
              </w:rPr>
            </w:pPr>
          </w:p>
        </w:tc>
        <w:tc>
          <w:tcPr>
            <w:tcW w:w="650" w:type="pct"/>
            <w:vAlign w:val="center"/>
          </w:tcPr>
          <w:p w14:paraId="0016CA8D">
            <w:pPr>
              <w:pStyle w:val="278"/>
              <w:adjustRightInd w:val="0"/>
              <w:snapToGrid w:val="0"/>
              <w:spacing w:line="300" w:lineRule="exact"/>
              <w:rPr>
                <w:rFonts w:hint="eastAsia"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北厂界</w:t>
            </w:r>
          </w:p>
        </w:tc>
        <w:tc>
          <w:tcPr>
            <w:tcW w:w="487" w:type="pct"/>
            <w:vAlign w:val="center"/>
          </w:tcPr>
          <w:p w14:paraId="05652BD6">
            <w:pPr>
              <w:pStyle w:val="278"/>
              <w:adjustRightInd w:val="0"/>
              <w:snapToGrid w:val="0"/>
              <w:spacing w:line="300" w:lineRule="exact"/>
              <w:rPr>
                <w:rFonts w:hint="eastAsia"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43</w:t>
            </w:r>
          </w:p>
        </w:tc>
        <w:tc>
          <w:tcPr>
            <w:tcW w:w="487" w:type="pct"/>
            <w:vAlign w:val="center"/>
          </w:tcPr>
          <w:p w14:paraId="154F7575">
            <w:pPr>
              <w:adjustRightInd w:val="0"/>
              <w:snapToGrid w:val="0"/>
              <w:spacing w:line="30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6</w:t>
            </w:r>
            <w:r>
              <w:rPr>
                <w:rFonts w:ascii="宋体" w:hAnsi="宋体" w:cs="宋体"/>
                <w:color w:val="000000" w:themeColor="text1"/>
                <w:szCs w:val="21"/>
                <w14:textFill>
                  <w14:solidFill>
                    <w14:schemeClr w14:val="tx1"/>
                  </w14:solidFill>
                </w14:textFill>
              </w:rPr>
              <w:t>0</w:t>
            </w:r>
          </w:p>
        </w:tc>
        <w:tc>
          <w:tcPr>
            <w:tcW w:w="650" w:type="pct"/>
            <w:vAlign w:val="center"/>
          </w:tcPr>
          <w:p w14:paraId="2459B9EE">
            <w:pPr>
              <w:pStyle w:val="278"/>
              <w:adjustRightInd w:val="0"/>
              <w:snapToGrid w:val="0"/>
              <w:spacing w:line="300" w:lineRule="exact"/>
              <w:rPr>
                <w:rFonts w:hint="eastAsia"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达标</w:t>
            </w:r>
          </w:p>
        </w:tc>
        <w:tc>
          <w:tcPr>
            <w:tcW w:w="568" w:type="pct"/>
            <w:vAlign w:val="center"/>
          </w:tcPr>
          <w:p w14:paraId="213E9821">
            <w:pPr>
              <w:pStyle w:val="278"/>
              <w:adjustRightInd w:val="0"/>
              <w:snapToGrid w:val="0"/>
              <w:spacing w:line="300" w:lineRule="exact"/>
              <w:rPr>
                <w:rFonts w:hint="eastAsia"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39</w:t>
            </w:r>
          </w:p>
        </w:tc>
        <w:tc>
          <w:tcPr>
            <w:tcW w:w="568" w:type="pct"/>
            <w:vAlign w:val="center"/>
          </w:tcPr>
          <w:p w14:paraId="795EE1E2">
            <w:pPr>
              <w:adjustRightInd w:val="0"/>
              <w:snapToGrid w:val="0"/>
              <w:spacing w:line="30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5</w:t>
            </w:r>
            <w:r>
              <w:rPr>
                <w:rFonts w:ascii="宋体" w:hAnsi="宋体" w:cs="宋体"/>
                <w:color w:val="000000" w:themeColor="text1"/>
                <w:szCs w:val="21"/>
                <w14:textFill>
                  <w14:solidFill>
                    <w14:schemeClr w14:val="tx1"/>
                  </w14:solidFill>
                </w14:textFill>
              </w:rPr>
              <w:t>0</w:t>
            </w:r>
          </w:p>
        </w:tc>
        <w:tc>
          <w:tcPr>
            <w:tcW w:w="697" w:type="pct"/>
            <w:vAlign w:val="center"/>
          </w:tcPr>
          <w:p w14:paraId="480C8846">
            <w:pPr>
              <w:pStyle w:val="278"/>
              <w:adjustRightInd w:val="0"/>
              <w:snapToGrid w:val="0"/>
              <w:spacing w:line="300" w:lineRule="exact"/>
              <w:rPr>
                <w:rFonts w:hint="eastAsia"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达标</w:t>
            </w:r>
          </w:p>
        </w:tc>
      </w:tr>
      <w:tr w14:paraId="260A69F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406" w:type="pct"/>
            <w:vAlign w:val="top"/>
          </w:tcPr>
          <w:p w14:paraId="31BAE2C2">
            <w:pPr>
              <w:pStyle w:val="278"/>
              <w:adjustRightInd w:val="0"/>
              <w:snapToGrid w:val="0"/>
              <w:spacing w:line="300" w:lineRule="exact"/>
              <w:rPr>
                <w:rFonts w:hint="eastAsia" w:cs="宋体"/>
                <w:color w:val="000000" w:themeColor="text1"/>
                <w14:textFill>
                  <w14:solidFill>
                    <w14:schemeClr w14:val="tx1"/>
                  </w14:solidFill>
                </w14:textFill>
              </w:rPr>
            </w:pPr>
            <w:r>
              <w:rPr>
                <w:rFonts w:cs="宋体"/>
                <w:color w:val="000000" w:themeColor="text1"/>
                <w14:textFill>
                  <w14:solidFill>
                    <w14:schemeClr w14:val="tx1"/>
                  </w14:solidFill>
                </w14:textFill>
              </w:rPr>
              <w:t>Z</w:t>
            </w:r>
            <w:r>
              <w:rPr>
                <w:rFonts w:hint="eastAsia" w:cs="宋体"/>
                <w:color w:val="000000" w:themeColor="text1"/>
                <w14:textFill>
                  <w14:solidFill>
                    <w14:schemeClr w14:val="tx1"/>
                  </w14:solidFill>
                </w14:textFill>
              </w:rPr>
              <w:t>37</w:t>
            </w:r>
          </w:p>
        </w:tc>
        <w:tc>
          <w:tcPr>
            <w:tcW w:w="487" w:type="pct"/>
            <w:vMerge w:val="restart"/>
            <w:vAlign w:val="center"/>
          </w:tcPr>
          <w:p w14:paraId="699A0A82">
            <w:pPr>
              <w:pStyle w:val="278"/>
              <w:adjustRightInd w:val="0"/>
              <w:snapToGrid w:val="0"/>
              <w:spacing w:line="300" w:lineRule="exact"/>
              <w:rPr>
                <w:rFonts w:hint="eastAsia" w:cs="宋体"/>
                <w:color w:val="000000" w:themeColor="text1"/>
                <w14:textFill>
                  <w14:solidFill>
                    <w14:schemeClr w14:val="tx1"/>
                  </w14:solidFill>
                </w14:textFill>
              </w:rPr>
            </w:pPr>
            <w:r>
              <w:rPr>
                <w:rFonts w:hint="eastAsia" w:cs="宋体"/>
                <w:bCs/>
                <w:color w:val="000000" w:themeColor="text1"/>
                <w14:textFill>
                  <w14:solidFill>
                    <w14:schemeClr w14:val="tx1"/>
                  </w14:solidFill>
                </w14:textFill>
              </w:rPr>
              <w:t>JHW00422</w:t>
            </w:r>
          </w:p>
        </w:tc>
        <w:tc>
          <w:tcPr>
            <w:tcW w:w="650" w:type="pct"/>
            <w:vAlign w:val="center"/>
          </w:tcPr>
          <w:p w14:paraId="55921BDB">
            <w:pPr>
              <w:pStyle w:val="278"/>
              <w:adjustRightInd w:val="0"/>
              <w:snapToGrid w:val="0"/>
              <w:spacing w:line="300" w:lineRule="exact"/>
              <w:rPr>
                <w:rFonts w:hint="eastAsia"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东厂界</w:t>
            </w:r>
          </w:p>
        </w:tc>
        <w:tc>
          <w:tcPr>
            <w:tcW w:w="487" w:type="pct"/>
            <w:vAlign w:val="center"/>
          </w:tcPr>
          <w:p w14:paraId="61437959">
            <w:pPr>
              <w:pStyle w:val="278"/>
              <w:adjustRightInd w:val="0"/>
              <w:snapToGrid w:val="0"/>
              <w:spacing w:line="300" w:lineRule="exact"/>
              <w:rPr>
                <w:rFonts w:hint="eastAsia"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45</w:t>
            </w:r>
          </w:p>
        </w:tc>
        <w:tc>
          <w:tcPr>
            <w:tcW w:w="487" w:type="pct"/>
            <w:vAlign w:val="center"/>
          </w:tcPr>
          <w:p w14:paraId="74932E89">
            <w:pPr>
              <w:adjustRightInd w:val="0"/>
              <w:snapToGrid w:val="0"/>
              <w:spacing w:line="30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6</w:t>
            </w:r>
            <w:r>
              <w:rPr>
                <w:rFonts w:ascii="宋体" w:hAnsi="宋体" w:cs="宋体"/>
                <w:color w:val="000000" w:themeColor="text1"/>
                <w:szCs w:val="21"/>
                <w14:textFill>
                  <w14:solidFill>
                    <w14:schemeClr w14:val="tx1"/>
                  </w14:solidFill>
                </w14:textFill>
              </w:rPr>
              <w:t>0</w:t>
            </w:r>
          </w:p>
        </w:tc>
        <w:tc>
          <w:tcPr>
            <w:tcW w:w="650" w:type="pct"/>
            <w:vAlign w:val="center"/>
          </w:tcPr>
          <w:p w14:paraId="4D6D2A7D">
            <w:pPr>
              <w:pStyle w:val="278"/>
              <w:adjustRightInd w:val="0"/>
              <w:snapToGrid w:val="0"/>
              <w:spacing w:line="300" w:lineRule="exact"/>
              <w:rPr>
                <w:rFonts w:hint="eastAsia"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达标</w:t>
            </w:r>
          </w:p>
        </w:tc>
        <w:tc>
          <w:tcPr>
            <w:tcW w:w="568" w:type="pct"/>
            <w:vAlign w:val="center"/>
          </w:tcPr>
          <w:p w14:paraId="7003ECD3">
            <w:pPr>
              <w:pStyle w:val="278"/>
              <w:adjustRightInd w:val="0"/>
              <w:snapToGrid w:val="0"/>
              <w:spacing w:line="300" w:lineRule="exact"/>
              <w:rPr>
                <w:rFonts w:hint="eastAsia"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40</w:t>
            </w:r>
          </w:p>
        </w:tc>
        <w:tc>
          <w:tcPr>
            <w:tcW w:w="568" w:type="pct"/>
            <w:vAlign w:val="center"/>
          </w:tcPr>
          <w:p w14:paraId="61A15EAD">
            <w:pPr>
              <w:adjustRightInd w:val="0"/>
              <w:snapToGrid w:val="0"/>
              <w:spacing w:line="30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5</w:t>
            </w:r>
            <w:r>
              <w:rPr>
                <w:rFonts w:ascii="宋体" w:hAnsi="宋体" w:cs="宋体"/>
                <w:color w:val="000000" w:themeColor="text1"/>
                <w:szCs w:val="21"/>
                <w14:textFill>
                  <w14:solidFill>
                    <w14:schemeClr w14:val="tx1"/>
                  </w14:solidFill>
                </w14:textFill>
              </w:rPr>
              <w:t>0</w:t>
            </w:r>
          </w:p>
        </w:tc>
        <w:tc>
          <w:tcPr>
            <w:tcW w:w="697" w:type="pct"/>
            <w:vAlign w:val="center"/>
          </w:tcPr>
          <w:p w14:paraId="06B9EECA">
            <w:pPr>
              <w:pStyle w:val="278"/>
              <w:adjustRightInd w:val="0"/>
              <w:snapToGrid w:val="0"/>
              <w:spacing w:line="300" w:lineRule="exact"/>
              <w:rPr>
                <w:rFonts w:hint="eastAsia"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达标</w:t>
            </w:r>
          </w:p>
        </w:tc>
      </w:tr>
      <w:tr w14:paraId="00BBFDA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406" w:type="pct"/>
            <w:vAlign w:val="top"/>
          </w:tcPr>
          <w:p w14:paraId="7890E7FF">
            <w:pPr>
              <w:pStyle w:val="278"/>
              <w:adjustRightInd w:val="0"/>
              <w:snapToGrid w:val="0"/>
              <w:spacing w:line="300" w:lineRule="exact"/>
              <w:rPr>
                <w:rFonts w:hint="eastAsia" w:cs="宋体"/>
                <w:color w:val="000000" w:themeColor="text1"/>
                <w14:textFill>
                  <w14:solidFill>
                    <w14:schemeClr w14:val="tx1"/>
                  </w14:solidFill>
                </w14:textFill>
              </w:rPr>
            </w:pPr>
            <w:r>
              <w:rPr>
                <w:rFonts w:cs="宋体"/>
                <w:color w:val="000000" w:themeColor="text1"/>
                <w14:textFill>
                  <w14:solidFill>
                    <w14:schemeClr w14:val="tx1"/>
                  </w14:solidFill>
                </w14:textFill>
              </w:rPr>
              <w:t>Z</w:t>
            </w:r>
            <w:r>
              <w:rPr>
                <w:rFonts w:hint="eastAsia" w:cs="宋体"/>
                <w:color w:val="000000" w:themeColor="text1"/>
                <w14:textFill>
                  <w14:solidFill>
                    <w14:schemeClr w14:val="tx1"/>
                  </w14:solidFill>
                </w14:textFill>
              </w:rPr>
              <w:t>38</w:t>
            </w:r>
          </w:p>
        </w:tc>
        <w:tc>
          <w:tcPr>
            <w:tcW w:w="487" w:type="pct"/>
            <w:vMerge w:val="continue"/>
            <w:vAlign w:val="center"/>
          </w:tcPr>
          <w:p w14:paraId="6A2120B6">
            <w:pPr>
              <w:pStyle w:val="278"/>
              <w:adjustRightInd w:val="0"/>
              <w:snapToGrid w:val="0"/>
              <w:spacing w:line="300" w:lineRule="exact"/>
              <w:rPr>
                <w:rFonts w:hint="eastAsia" w:cs="宋体"/>
                <w:color w:val="000000" w:themeColor="text1"/>
                <w14:textFill>
                  <w14:solidFill>
                    <w14:schemeClr w14:val="tx1"/>
                  </w14:solidFill>
                </w14:textFill>
              </w:rPr>
            </w:pPr>
          </w:p>
        </w:tc>
        <w:tc>
          <w:tcPr>
            <w:tcW w:w="650" w:type="pct"/>
            <w:vAlign w:val="center"/>
          </w:tcPr>
          <w:p w14:paraId="13F0E8B8">
            <w:pPr>
              <w:pStyle w:val="278"/>
              <w:adjustRightInd w:val="0"/>
              <w:snapToGrid w:val="0"/>
              <w:spacing w:line="300" w:lineRule="exact"/>
              <w:rPr>
                <w:rFonts w:hint="eastAsia"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南厂界</w:t>
            </w:r>
          </w:p>
        </w:tc>
        <w:tc>
          <w:tcPr>
            <w:tcW w:w="487" w:type="pct"/>
            <w:vAlign w:val="center"/>
          </w:tcPr>
          <w:p w14:paraId="1C1CA553">
            <w:pPr>
              <w:pStyle w:val="278"/>
              <w:adjustRightInd w:val="0"/>
              <w:snapToGrid w:val="0"/>
              <w:spacing w:line="300" w:lineRule="exact"/>
              <w:rPr>
                <w:rFonts w:hint="eastAsia"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44</w:t>
            </w:r>
          </w:p>
        </w:tc>
        <w:tc>
          <w:tcPr>
            <w:tcW w:w="487" w:type="pct"/>
            <w:vAlign w:val="center"/>
          </w:tcPr>
          <w:p w14:paraId="11FF29C3">
            <w:pPr>
              <w:adjustRightInd w:val="0"/>
              <w:snapToGrid w:val="0"/>
              <w:spacing w:line="30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6</w:t>
            </w:r>
            <w:r>
              <w:rPr>
                <w:rFonts w:ascii="宋体" w:hAnsi="宋体" w:cs="宋体"/>
                <w:color w:val="000000" w:themeColor="text1"/>
                <w:szCs w:val="21"/>
                <w14:textFill>
                  <w14:solidFill>
                    <w14:schemeClr w14:val="tx1"/>
                  </w14:solidFill>
                </w14:textFill>
              </w:rPr>
              <w:t>0</w:t>
            </w:r>
          </w:p>
        </w:tc>
        <w:tc>
          <w:tcPr>
            <w:tcW w:w="650" w:type="pct"/>
            <w:vAlign w:val="center"/>
          </w:tcPr>
          <w:p w14:paraId="04F1D1B2">
            <w:pPr>
              <w:pStyle w:val="278"/>
              <w:adjustRightInd w:val="0"/>
              <w:snapToGrid w:val="0"/>
              <w:spacing w:line="300" w:lineRule="exact"/>
              <w:rPr>
                <w:rFonts w:hint="eastAsia"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达标</w:t>
            </w:r>
          </w:p>
        </w:tc>
        <w:tc>
          <w:tcPr>
            <w:tcW w:w="568" w:type="pct"/>
            <w:vAlign w:val="center"/>
          </w:tcPr>
          <w:p w14:paraId="4C064173">
            <w:pPr>
              <w:pStyle w:val="278"/>
              <w:adjustRightInd w:val="0"/>
              <w:snapToGrid w:val="0"/>
              <w:spacing w:line="300" w:lineRule="exact"/>
              <w:rPr>
                <w:rFonts w:hint="eastAsia"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43</w:t>
            </w:r>
          </w:p>
        </w:tc>
        <w:tc>
          <w:tcPr>
            <w:tcW w:w="568" w:type="pct"/>
            <w:vAlign w:val="center"/>
          </w:tcPr>
          <w:p w14:paraId="2709C3ED">
            <w:pPr>
              <w:adjustRightInd w:val="0"/>
              <w:snapToGrid w:val="0"/>
              <w:spacing w:line="30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5</w:t>
            </w:r>
            <w:r>
              <w:rPr>
                <w:rFonts w:ascii="宋体" w:hAnsi="宋体" w:cs="宋体"/>
                <w:color w:val="000000" w:themeColor="text1"/>
                <w:szCs w:val="21"/>
                <w14:textFill>
                  <w14:solidFill>
                    <w14:schemeClr w14:val="tx1"/>
                  </w14:solidFill>
                </w14:textFill>
              </w:rPr>
              <w:t>0</w:t>
            </w:r>
          </w:p>
        </w:tc>
        <w:tc>
          <w:tcPr>
            <w:tcW w:w="697" w:type="pct"/>
            <w:vAlign w:val="center"/>
          </w:tcPr>
          <w:p w14:paraId="3CAE2B32">
            <w:pPr>
              <w:pStyle w:val="278"/>
              <w:adjustRightInd w:val="0"/>
              <w:snapToGrid w:val="0"/>
              <w:spacing w:line="300" w:lineRule="exact"/>
              <w:rPr>
                <w:rFonts w:hint="eastAsia"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达标</w:t>
            </w:r>
          </w:p>
        </w:tc>
      </w:tr>
      <w:tr w14:paraId="3A681AE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406" w:type="pct"/>
            <w:vAlign w:val="top"/>
          </w:tcPr>
          <w:p w14:paraId="46FF8786">
            <w:pPr>
              <w:pStyle w:val="278"/>
              <w:adjustRightInd w:val="0"/>
              <w:snapToGrid w:val="0"/>
              <w:spacing w:line="300" w:lineRule="exact"/>
              <w:rPr>
                <w:rFonts w:hint="eastAsia" w:cs="宋体"/>
                <w:color w:val="000000" w:themeColor="text1"/>
                <w14:textFill>
                  <w14:solidFill>
                    <w14:schemeClr w14:val="tx1"/>
                  </w14:solidFill>
                </w14:textFill>
              </w:rPr>
            </w:pPr>
            <w:r>
              <w:rPr>
                <w:rFonts w:cs="宋体"/>
                <w:color w:val="000000" w:themeColor="text1"/>
                <w14:textFill>
                  <w14:solidFill>
                    <w14:schemeClr w14:val="tx1"/>
                  </w14:solidFill>
                </w14:textFill>
              </w:rPr>
              <w:t>Z</w:t>
            </w:r>
            <w:r>
              <w:rPr>
                <w:rFonts w:hint="eastAsia" w:cs="宋体"/>
                <w:color w:val="000000" w:themeColor="text1"/>
                <w14:textFill>
                  <w14:solidFill>
                    <w14:schemeClr w14:val="tx1"/>
                  </w14:solidFill>
                </w14:textFill>
              </w:rPr>
              <w:t>39</w:t>
            </w:r>
          </w:p>
        </w:tc>
        <w:tc>
          <w:tcPr>
            <w:tcW w:w="487" w:type="pct"/>
            <w:vMerge w:val="continue"/>
            <w:vAlign w:val="center"/>
          </w:tcPr>
          <w:p w14:paraId="53FF09EE">
            <w:pPr>
              <w:pStyle w:val="278"/>
              <w:adjustRightInd w:val="0"/>
              <w:snapToGrid w:val="0"/>
              <w:spacing w:line="300" w:lineRule="exact"/>
              <w:rPr>
                <w:rFonts w:hint="eastAsia" w:cs="宋体"/>
                <w:color w:val="000000" w:themeColor="text1"/>
                <w14:textFill>
                  <w14:solidFill>
                    <w14:schemeClr w14:val="tx1"/>
                  </w14:solidFill>
                </w14:textFill>
              </w:rPr>
            </w:pPr>
          </w:p>
        </w:tc>
        <w:tc>
          <w:tcPr>
            <w:tcW w:w="650" w:type="pct"/>
            <w:vAlign w:val="center"/>
          </w:tcPr>
          <w:p w14:paraId="7A2CC420">
            <w:pPr>
              <w:pStyle w:val="278"/>
              <w:adjustRightInd w:val="0"/>
              <w:snapToGrid w:val="0"/>
              <w:spacing w:line="300" w:lineRule="exact"/>
              <w:rPr>
                <w:rFonts w:hint="eastAsia"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西厂界</w:t>
            </w:r>
          </w:p>
        </w:tc>
        <w:tc>
          <w:tcPr>
            <w:tcW w:w="487" w:type="pct"/>
            <w:vAlign w:val="center"/>
          </w:tcPr>
          <w:p w14:paraId="226D0992">
            <w:pPr>
              <w:pStyle w:val="278"/>
              <w:adjustRightInd w:val="0"/>
              <w:snapToGrid w:val="0"/>
              <w:spacing w:line="300" w:lineRule="exact"/>
              <w:rPr>
                <w:rFonts w:hint="eastAsia"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41</w:t>
            </w:r>
          </w:p>
        </w:tc>
        <w:tc>
          <w:tcPr>
            <w:tcW w:w="487" w:type="pct"/>
            <w:vAlign w:val="center"/>
          </w:tcPr>
          <w:p w14:paraId="4C14E8F3">
            <w:pPr>
              <w:adjustRightInd w:val="0"/>
              <w:snapToGrid w:val="0"/>
              <w:spacing w:line="30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6</w:t>
            </w:r>
            <w:r>
              <w:rPr>
                <w:rFonts w:ascii="宋体" w:hAnsi="宋体" w:cs="宋体"/>
                <w:color w:val="000000" w:themeColor="text1"/>
                <w:szCs w:val="21"/>
                <w14:textFill>
                  <w14:solidFill>
                    <w14:schemeClr w14:val="tx1"/>
                  </w14:solidFill>
                </w14:textFill>
              </w:rPr>
              <w:t>0</w:t>
            </w:r>
          </w:p>
        </w:tc>
        <w:tc>
          <w:tcPr>
            <w:tcW w:w="650" w:type="pct"/>
            <w:vAlign w:val="center"/>
          </w:tcPr>
          <w:p w14:paraId="593993FC">
            <w:pPr>
              <w:pStyle w:val="278"/>
              <w:adjustRightInd w:val="0"/>
              <w:snapToGrid w:val="0"/>
              <w:spacing w:line="300" w:lineRule="exact"/>
              <w:rPr>
                <w:rFonts w:hint="eastAsia"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达标</w:t>
            </w:r>
          </w:p>
        </w:tc>
        <w:tc>
          <w:tcPr>
            <w:tcW w:w="568" w:type="pct"/>
            <w:vAlign w:val="center"/>
          </w:tcPr>
          <w:p w14:paraId="10EEFEFF">
            <w:pPr>
              <w:pStyle w:val="278"/>
              <w:adjustRightInd w:val="0"/>
              <w:snapToGrid w:val="0"/>
              <w:spacing w:line="300" w:lineRule="exact"/>
              <w:rPr>
                <w:rFonts w:hint="eastAsia"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38</w:t>
            </w:r>
          </w:p>
        </w:tc>
        <w:tc>
          <w:tcPr>
            <w:tcW w:w="568" w:type="pct"/>
            <w:vAlign w:val="center"/>
          </w:tcPr>
          <w:p w14:paraId="3BB924F3">
            <w:pPr>
              <w:adjustRightInd w:val="0"/>
              <w:snapToGrid w:val="0"/>
              <w:spacing w:line="30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5</w:t>
            </w:r>
            <w:r>
              <w:rPr>
                <w:rFonts w:ascii="宋体" w:hAnsi="宋体" w:cs="宋体"/>
                <w:color w:val="000000" w:themeColor="text1"/>
                <w:szCs w:val="21"/>
                <w14:textFill>
                  <w14:solidFill>
                    <w14:schemeClr w14:val="tx1"/>
                  </w14:solidFill>
                </w14:textFill>
              </w:rPr>
              <w:t>0</w:t>
            </w:r>
          </w:p>
        </w:tc>
        <w:tc>
          <w:tcPr>
            <w:tcW w:w="697" w:type="pct"/>
            <w:vAlign w:val="center"/>
          </w:tcPr>
          <w:p w14:paraId="48CB4D7A">
            <w:pPr>
              <w:pStyle w:val="278"/>
              <w:adjustRightInd w:val="0"/>
              <w:snapToGrid w:val="0"/>
              <w:spacing w:line="300" w:lineRule="exact"/>
              <w:rPr>
                <w:rFonts w:hint="eastAsia"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达标</w:t>
            </w:r>
          </w:p>
        </w:tc>
      </w:tr>
      <w:tr w14:paraId="237D260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406" w:type="pct"/>
            <w:vAlign w:val="top"/>
          </w:tcPr>
          <w:p w14:paraId="46DE25F4">
            <w:pPr>
              <w:pStyle w:val="278"/>
              <w:adjustRightInd w:val="0"/>
              <w:snapToGrid w:val="0"/>
              <w:spacing w:line="300" w:lineRule="exact"/>
              <w:rPr>
                <w:rFonts w:hint="eastAsia" w:cs="宋体"/>
                <w:color w:val="000000" w:themeColor="text1"/>
                <w14:textFill>
                  <w14:solidFill>
                    <w14:schemeClr w14:val="tx1"/>
                  </w14:solidFill>
                </w14:textFill>
              </w:rPr>
            </w:pPr>
            <w:r>
              <w:rPr>
                <w:rFonts w:cs="宋体"/>
                <w:color w:val="000000" w:themeColor="text1"/>
                <w14:textFill>
                  <w14:solidFill>
                    <w14:schemeClr w14:val="tx1"/>
                  </w14:solidFill>
                </w14:textFill>
              </w:rPr>
              <w:t>Z</w:t>
            </w:r>
            <w:r>
              <w:rPr>
                <w:rFonts w:hint="eastAsia" w:cs="宋体"/>
                <w:color w:val="000000" w:themeColor="text1"/>
                <w14:textFill>
                  <w14:solidFill>
                    <w14:schemeClr w14:val="tx1"/>
                  </w14:solidFill>
                </w14:textFill>
              </w:rPr>
              <w:t>40</w:t>
            </w:r>
          </w:p>
        </w:tc>
        <w:tc>
          <w:tcPr>
            <w:tcW w:w="487" w:type="pct"/>
            <w:vMerge w:val="continue"/>
            <w:vAlign w:val="center"/>
          </w:tcPr>
          <w:p w14:paraId="5362E764">
            <w:pPr>
              <w:pStyle w:val="278"/>
              <w:adjustRightInd w:val="0"/>
              <w:snapToGrid w:val="0"/>
              <w:spacing w:line="300" w:lineRule="exact"/>
              <w:rPr>
                <w:rFonts w:hint="eastAsia" w:cs="宋体"/>
                <w:color w:val="000000" w:themeColor="text1"/>
                <w14:textFill>
                  <w14:solidFill>
                    <w14:schemeClr w14:val="tx1"/>
                  </w14:solidFill>
                </w14:textFill>
              </w:rPr>
            </w:pPr>
          </w:p>
        </w:tc>
        <w:tc>
          <w:tcPr>
            <w:tcW w:w="650" w:type="pct"/>
            <w:vAlign w:val="center"/>
          </w:tcPr>
          <w:p w14:paraId="1453DACC">
            <w:pPr>
              <w:pStyle w:val="278"/>
              <w:adjustRightInd w:val="0"/>
              <w:snapToGrid w:val="0"/>
              <w:spacing w:line="300" w:lineRule="exact"/>
              <w:rPr>
                <w:rFonts w:hint="eastAsia"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北厂界</w:t>
            </w:r>
          </w:p>
        </w:tc>
        <w:tc>
          <w:tcPr>
            <w:tcW w:w="487" w:type="pct"/>
            <w:vAlign w:val="center"/>
          </w:tcPr>
          <w:p w14:paraId="6FFD7410">
            <w:pPr>
              <w:pStyle w:val="278"/>
              <w:adjustRightInd w:val="0"/>
              <w:snapToGrid w:val="0"/>
              <w:spacing w:line="300" w:lineRule="exact"/>
              <w:rPr>
                <w:rFonts w:hint="eastAsia"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41</w:t>
            </w:r>
          </w:p>
        </w:tc>
        <w:tc>
          <w:tcPr>
            <w:tcW w:w="487" w:type="pct"/>
            <w:vAlign w:val="center"/>
          </w:tcPr>
          <w:p w14:paraId="695A6D3D">
            <w:pPr>
              <w:adjustRightInd w:val="0"/>
              <w:snapToGrid w:val="0"/>
              <w:spacing w:line="30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6</w:t>
            </w:r>
            <w:r>
              <w:rPr>
                <w:rFonts w:ascii="宋体" w:hAnsi="宋体" w:cs="宋体"/>
                <w:color w:val="000000" w:themeColor="text1"/>
                <w:szCs w:val="21"/>
                <w14:textFill>
                  <w14:solidFill>
                    <w14:schemeClr w14:val="tx1"/>
                  </w14:solidFill>
                </w14:textFill>
              </w:rPr>
              <w:t>0</w:t>
            </w:r>
          </w:p>
        </w:tc>
        <w:tc>
          <w:tcPr>
            <w:tcW w:w="650" w:type="pct"/>
            <w:vAlign w:val="center"/>
          </w:tcPr>
          <w:p w14:paraId="4D1DBEDC">
            <w:pPr>
              <w:pStyle w:val="278"/>
              <w:adjustRightInd w:val="0"/>
              <w:snapToGrid w:val="0"/>
              <w:spacing w:line="300" w:lineRule="exact"/>
              <w:rPr>
                <w:rFonts w:hint="eastAsia"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达标</w:t>
            </w:r>
          </w:p>
        </w:tc>
        <w:tc>
          <w:tcPr>
            <w:tcW w:w="568" w:type="pct"/>
            <w:vAlign w:val="center"/>
          </w:tcPr>
          <w:p w14:paraId="092FE7E0">
            <w:pPr>
              <w:pStyle w:val="278"/>
              <w:adjustRightInd w:val="0"/>
              <w:snapToGrid w:val="0"/>
              <w:spacing w:line="300" w:lineRule="exact"/>
              <w:rPr>
                <w:rFonts w:hint="eastAsia"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39</w:t>
            </w:r>
          </w:p>
        </w:tc>
        <w:tc>
          <w:tcPr>
            <w:tcW w:w="568" w:type="pct"/>
            <w:vAlign w:val="center"/>
          </w:tcPr>
          <w:p w14:paraId="0DDF29B6">
            <w:pPr>
              <w:adjustRightInd w:val="0"/>
              <w:snapToGrid w:val="0"/>
              <w:spacing w:line="30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5</w:t>
            </w:r>
            <w:r>
              <w:rPr>
                <w:rFonts w:ascii="宋体" w:hAnsi="宋体" w:cs="宋体"/>
                <w:color w:val="000000" w:themeColor="text1"/>
                <w:szCs w:val="21"/>
                <w14:textFill>
                  <w14:solidFill>
                    <w14:schemeClr w14:val="tx1"/>
                  </w14:solidFill>
                </w14:textFill>
              </w:rPr>
              <w:t>0</w:t>
            </w:r>
          </w:p>
        </w:tc>
        <w:tc>
          <w:tcPr>
            <w:tcW w:w="697" w:type="pct"/>
            <w:vAlign w:val="center"/>
          </w:tcPr>
          <w:p w14:paraId="454FDA79">
            <w:pPr>
              <w:pStyle w:val="278"/>
              <w:adjustRightInd w:val="0"/>
              <w:snapToGrid w:val="0"/>
              <w:spacing w:line="300" w:lineRule="exact"/>
              <w:rPr>
                <w:rFonts w:hint="eastAsia"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达标</w:t>
            </w:r>
          </w:p>
        </w:tc>
      </w:tr>
      <w:tr w14:paraId="55BA6EB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406" w:type="pct"/>
            <w:vAlign w:val="top"/>
          </w:tcPr>
          <w:p w14:paraId="1327CA3C">
            <w:pPr>
              <w:pStyle w:val="278"/>
              <w:adjustRightInd w:val="0"/>
              <w:snapToGrid w:val="0"/>
              <w:spacing w:line="300" w:lineRule="exact"/>
              <w:rPr>
                <w:rFonts w:hint="eastAsia" w:cs="宋体"/>
                <w:color w:val="000000" w:themeColor="text1"/>
                <w14:textFill>
                  <w14:solidFill>
                    <w14:schemeClr w14:val="tx1"/>
                  </w14:solidFill>
                </w14:textFill>
              </w:rPr>
            </w:pPr>
            <w:r>
              <w:rPr>
                <w:rFonts w:cs="宋体"/>
                <w:color w:val="000000" w:themeColor="text1"/>
                <w14:textFill>
                  <w14:solidFill>
                    <w14:schemeClr w14:val="tx1"/>
                  </w14:solidFill>
                </w14:textFill>
              </w:rPr>
              <w:t>Z</w:t>
            </w:r>
            <w:r>
              <w:rPr>
                <w:rFonts w:hint="eastAsia" w:cs="宋体"/>
                <w:color w:val="000000" w:themeColor="text1"/>
                <w14:textFill>
                  <w14:solidFill>
                    <w14:schemeClr w14:val="tx1"/>
                  </w14:solidFill>
                </w14:textFill>
              </w:rPr>
              <w:t>41</w:t>
            </w:r>
          </w:p>
        </w:tc>
        <w:tc>
          <w:tcPr>
            <w:tcW w:w="487" w:type="pct"/>
            <w:vMerge w:val="restart"/>
            <w:vAlign w:val="center"/>
          </w:tcPr>
          <w:p w14:paraId="7886196A">
            <w:pPr>
              <w:pStyle w:val="278"/>
              <w:adjustRightInd w:val="0"/>
              <w:snapToGrid w:val="0"/>
              <w:spacing w:line="300" w:lineRule="exact"/>
              <w:rPr>
                <w:rFonts w:hint="eastAsia" w:cs="宋体"/>
                <w:color w:val="000000" w:themeColor="text1"/>
                <w14:textFill>
                  <w14:solidFill>
                    <w14:schemeClr w14:val="tx1"/>
                  </w14:solidFill>
                </w14:textFill>
              </w:rPr>
            </w:pPr>
            <w:r>
              <w:rPr>
                <w:rFonts w:hint="eastAsia" w:cs="宋体"/>
                <w:bCs/>
                <w:color w:val="000000" w:themeColor="text1"/>
                <w14:textFill>
                  <w14:solidFill>
                    <w14:schemeClr w14:val="tx1"/>
                  </w14:solidFill>
                </w14:textFill>
              </w:rPr>
              <w:t>预处理注入站</w:t>
            </w:r>
          </w:p>
        </w:tc>
        <w:tc>
          <w:tcPr>
            <w:tcW w:w="650" w:type="pct"/>
            <w:vAlign w:val="center"/>
          </w:tcPr>
          <w:p w14:paraId="4B89EB7F">
            <w:pPr>
              <w:pStyle w:val="278"/>
              <w:adjustRightInd w:val="0"/>
              <w:snapToGrid w:val="0"/>
              <w:spacing w:line="300" w:lineRule="exact"/>
              <w:rPr>
                <w:rFonts w:hint="eastAsia"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东厂界</w:t>
            </w:r>
          </w:p>
        </w:tc>
        <w:tc>
          <w:tcPr>
            <w:tcW w:w="487" w:type="pct"/>
            <w:vAlign w:val="center"/>
          </w:tcPr>
          <w:p w14:paraId="051C47E0">
            <w:pPr>
              <w:pStyle w:val="278"/>
              <w:adjustRightInd w:val="0"/>
              <w:snapToGrid w:val="0"/>
              <w:spacing w:line="300" w:lineRule="exact"/>
              <w:rPr>
                <w:rFonts w:hint="eastAsia"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41</w:t>
            </w:r>
          </w:p>
        </w:tc>
        <w:tc>
          <w:tcPr>
            <w:tcW w:w="487" w:type="pct"/>
            <w:vAlign w:val="center"/>
          </w:tcPr>
          <w:p w14:paraId="28FDFC99">
            <w:pPr>
              <w:pStyle w:val="278"/>
              <w:adjustRightInd w:val="0"/>
              <w:snapToGrid w:val="0"/>
              <w:spacing w:line="300" w:lineRule="exact"/>
              <w:rPr>
                <w:rFonts w:hint="eastAsia"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6</w:t>
            </w:r>
            <w:r>
              <w:rPr>
                <w:rFonts w:cs="宋体"/>
                <w:color w:val="000000" w:themeColor="text1"/>
                <w14:textFill>
                  <w14:solidFill>
                    <w14:schemeClr w14:val="tx1"/>
                  </w14:solidFill>
                </w14:textFill>
              </w:rPr>
              <w:t>0</w:t>
            </w:r>
          </w:p>
        </w:tc>
        <w:tc>
          <w:tcPr>
            <w:tcW w:w="650" w:type="pct"/>
            <w:vAlign w:val="center"/>
          </w:tcPr>
          <w:p w14:paraId="32D0311B">
            <w:pPr>
              <w:pStyle w:val="278"/>
              <w:adjustRightInd w:val="0"/>
              <w:snapToGrid w:val="0"/>
              <w:spacing w:line="300" w:lineRule="exact"/>
              <w:rPr>
                <w:rFonts w:hint="eastAsia"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达标</w:t>
            </w:r>
          </w:p>
        </w:tc>
        <w:tc>
          <w:tcPr>
            <w:tcW w:w="568" w:type="pct"/>
            <w:vAlign w:val="center"/>
          </w:tcPr>
          <w:p w14:paraId="77F8A322">
            <w:pPr>
              <w:pStyle w:val="278"/>
              <w:adjustRightInd w:val="0"/>
              <w:snapToGrid w:val="0"/>
              <w:spacing w:line="300" w:lineRule="exact"/>
              <w:rPr>
                <w:rFonts w:hint="eastAsia"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38</w:t>
            </w:r>
          </w:p>
        </w:tc>
        <w:tc>
          <w:tcPr>
            <w:tcW w:w="568" w:type="pct"/>
            <w:vAlign w:val="center"/>
          </w:tcPr>
          <w:p w14:paraId="189756C0">
            <w:pPr>
              <w:pStyle w:val="278"/>
              <w:adjustRightInd w:val="0"/>
              <w:snapToGrid w:val="0"/>
              <w:spacing w:line="300" w:lineRule="exact"/>
              <w:rPr>
                <w:rFonts w:hint="eastAsia"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5</w:t>
            </w:r>
            <w:r>
              <w:rPr>
                <w:rFonts w:cs="宋体"/>
                <w:color w:val="000000" w:themeColor="text1"/>
                <w14:textFill>
                  <w14:solidFill>
                    <w14:schemeClr w14:val="tx1"/>
                  </w14:solidFill>
                </w14:textFill>
              </w:rPr>
              <w:t>0</w:t>
            </w:r>
          </w:p>
        </w:tc>
        <w:tc>
          <w:tcPr>
            <w:tcW w:w="697" w:type="pct"/>
            <w:vAlign w:val="center"/>
          </w:tcPr>
          <w:p w14:paraId="00E7BFEC">
            <w:pPr>
              <w:pStyle w:val="278"/>
              <w:adjustRightInd w:val="0"/>
              <w:snapToGrid w:val="0"/>
              <w:spacing w:line="300" w:lineRule="exact"/>
              <w:rPr>
                <w:rFonts w:hint="eastAsia"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达标</w:t>
            </w:r>
          </w:p>
        </w:tc>
      </w:tr>
      <w:tr w14:paraId="496CD98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406" w:type="pct"/>
            <w:vAlign w:val="top"/>
          </w:tcPr>
          <w:p w14:paraId="6C3736BB">
            <w:pPr>
              <w:pStyle w:val="278"/>
              <w:adjustRightInd w:val="0"/>
              <w:snapToGrid w:val="0"/>
              <w:spacing w:line="300" w:lineRule="exact"/>
              <w:rPr>
                <w:rFonts w:hint="eastAsia" w:cs="宋体"/>
                <w:color w:val="000000" w:themeColor="text1"/>
                <w14:textFill>
                  <w14:solidFill>
                    <w14:schemeClr w14:val="tx1"/>
                  </w14:solidFill>
                </w14:textFill>
              </w:rPr>
            </w:pPr>
            <w:r>
              <w:rPr>
                <w:rFonts w:cs="宋体"/>
                <w:color w:val="000000" w:themeColor="text1"/>
                <w14:textFill>
                  <w14:solidFill>
                    <w14:schemeClr w14:val="tx1"/>
                  </w14:solidFill>
                </w14:textFill>
              </w:rPr>
              <w:t>Z</w:t>
            </w:r>
            <w:r>
              <w:rPr>
                <w:rFonts w:hint="eastAsia" w:cs="宋体"/>
                <w:color w:val="000000" w:themeColor="text1"/>
                <w14:textFill>
                  <w14:solidFill>
                    <w14:schemeClr w14:val="tx1"/>
                  </w14:solidFill>
                </w14:textFill>
              </w:rPr>
              <w:t>42</w:t>
            </w:r>
          </w:p>
        </w:tc>
        <w:tc>
          <w:tcPr>
            <w:tcW w:w="487" w:type="pct"/>
            <w:vMerge w:val="continue"/>
            <w:vAlign w:val="center"/>
          </w:tcPr>
          <w:p w14:paraId="1D3B82B8">
            <w:pPr>
              <w:pStyle w:val="278"/>
              <w:adjustRightInd w:val="0"/>
              <w:snapToGrid w:val="0"/>
              <w:spacing w:line="300" w:lineRule="exact"/>
              <w:rPr>
                <w:rFonts w:hint="eastAsia" w:cs="宋体"/>
                <w:color w:val="000000" w:themeColor="text1"/>
                <w14:textFill>
                  <w14:solidFill>
                    <w14:schemeClr w14:val="tx1"/>
                  </w14:solidFill>
                </w14:textFill>
              </w:rPr>
            </w:pPr>
          </w:p>
        </w:tc>
        <w:tc>
          <w:tcPr>
            <w:tcW w:w="650" w:type="pct"/>
            <w:vAlign w:val="center"/>
          </w:tcPr>
          <w:p w14:paraId="0F129E25">
            <w:pPr>
              <w:pStyle w:val="278"/>
              <w:adjustRightInd w:val="0"/>
              <w:snapToGrid w:val="0"/>
              <w:spacing w:line="300" w:lineRule="exact"/>
              <w:rPr>
                <w:rFonts w:hint="eastAsia"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南厂界</w:t>
            </w:r>
          </w:p>
        </w:tc>
        <w:tc>
          <w:tcPr>
            <w:tcW w:w="487" w:type="pct"/>
            <w:vAlign w:val="center"/>
          </w:tcPr>
          <w:p w14:paraId="5849A7FD">
            <w:pPr>
              <w:pStyle w:val="278"/>
              <w:adjustRightInd w:val="0"/>
              <w:snapToGrid w:val="0"/>
              <w:spacing w:line="300" w:lineRule="exact"/>
              <w:rPr>
                <w:rFonts w:hint="eastAsia"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42</w:t>
            </w:r>
          </w:p>
        </w:tc>
        <w:tc>
          <w:tcPr>
            <w:tcW w:w="487" w:type="pct"/>
            <w:vAlign w:val="center"/>
          </w:tcPr>
          <w:p w14:paraId="1CBE77BE">
            <w:pPr>
              <w:adjustRightInd w:val="0"/>
              <w:snapToGrid w:val="0"/>
              <w:spacing w:line="30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6</w:t>
            </w:r>
            <w:r>
              <w:rPr>
                <w:rFonts w:ascii="宋体" w:hAnsi="宋体" w:cs="宋体"/>
                <w:color w:val="000000" w:themeColor="text1"/>
                <w:szCs w:val="21"/>
                <w14:textFill>
                  <w14:solidFill>
                    <w14:schemeClr w14:val="tx1"/>
                  </w14:solidFill>
                </w14:textFill>
              </w:rPr>
              <w:t>0</w:t>
            </w:r>
          </w:p>
        </w:tc>
        <w:tc>
          <w:tcPr>
            <w:tcW w:w="650" w:type="pct"/>
            <w:vAlign w:val="center"/>
          </w:tcPr>
          <w:p w14:paraId="52047DE7">
            <w:pPr>
              <w:pStyle w:val="278"/>
              <w:adjustRightInd w:val="0"/>
              <w:snapToGrid w:val="0"/>
              <w:spacing w:line="300" w:lineRule="exact"/>
              <w:rPr>
                <w:rFonts w:hint="eastAsia"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达标</w:t>
            </w:r>
          </w:p>
        </w:tc>
        <w:tc>
          <w:tcPr>
            <w:tcW w:w="568" w:type="pct"/>
            <w:vAlign w:val="center"/>
          </w:tcPr>
          <w:p w14:paraId="115EE482">
            <w:pPr>
              <w:pStyle w:val="278"/>
              <w:adjustRightInd w:val="0"/>
              <w:snapToGrid w:val="0"/>
              <w:spacing w:line="300" w:lineRule="exact"/>
              <w:rPr>
                <w:rFonts w:hint="eastAsia"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38</w:t>
            </w:r>
          </w:p>
        </w:tc>
        <w:tc>
          <w:tcPr>
            <w:tcW w:w="568" w:type="pct"/>
            <w:vAlign w:val="center"/>
          </w:tcPr>
          <w:p w14:paraId="0070FDB0">
            <w:pPr>
              <w:adjustRightInd w:val="0"/>
              <w:snapToGrid w:val="0"/>
              <w:spacing w:line="30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5</w:t>
            </w:r>
            <w:r>
              <w:rPr>
                <w:rFonts w:ascii="宋体" w:hAnsi="宋体" w:cs="宋体"/>
                <w:color w:val="000000" w:themeColor="text1"/>
                <w:szCs w:val="21"/>
                <w14:textFill>
                  <w14:solidFill>
                    <w14:schemeClr w14:val="tx1"/>
                  </w14:solidFill>
                </w14:textFill>
              </w:rPr>
              <w:t>0</w:t>
            </w:r>
          </w:p>
        </w:tc>
        <w:tc>
          <w:tcPr>
            <w:tcW w:w="697" w:type="pct"/>
            <w:vAlign w:val="center"/>
          </w:tcPr>
          <w:p w14:paraId="09C0EDBB">
            <w:pPr>
              <w:pStyle w:val="278"/>
              <w:adjustRightInd w:val="0"/>
              <w:snapToGrid w:val="0"/>
              <w:spacing w:line="300" w:lineRule="exact"/>
              <w:rPr>
                <w:rFonts w:hint="eastAsia"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达标</w:t>
            </w:r>
          </w:p>
        </w:tc>
      </w:tr>
      <w:tr w14:paraId="2CAB5E2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406" w:type="pct"/>
            <w:vAlign w:val="top"/>
          </w:tcPr>
          <w:p w14:paraId="6FE1F708">
            <w:pPr>
              <w:pStyle w:val="278"/>
              <w:adjustRightInd w:val="0"/>
              <w:snapToGrid w:val="0"/>
              <w:spacing w:line="300" w:lineRule="exact"/>
              <w:rPr>
                <w:rFonts w:hint="eastAsia" w:cs="宋体"/>
                <w:color w:val="000000" w:themeColor="text1"/>
                <w14:textFill>
                  <w14:solidFill>
                    <w14:schemeClr w14:val="tx1"/>
                  </w14:solidFill>
                </w14:textFill>
              </w:rPr>
            </w:pPr>
            <w:r>
              <w:rPr>
                <w:rFonts w:cs="宋体"/>
                <w:color w:val="000000" w:themeColor="text1"/>
                <w14:textFill>
                  <w14:solidFill>
                    <w14:schemeClr w14:val="tx1"/>
                  </w14:solidFill>
                </w14:textFill>
              </w:rPr>
              <w:t>Z</w:t>
            </w:r>
            <w:r>
              <w:rPr>
                <w:rFonts w:hint="eastAsia" w:cs="宋体"/>
                <w:color w:val="000000" w:themeColor="text1"/>
                <w14:textFill>
                  <w14:solidFill>
                    <w14:schemeClr w14:val="tx1"/>
                  </w14:solidFill>
                </w14:textFill>
              </w:rPr>
              <w:t>43</w:t>
            </w:r>
          </w:p>
        </w:tc>
        <w:tc>
          <w:tcPr>
            <w:tcW w:w="487" w:type="pct"/>
            <w:vMerge w:val="continue"/>
            <w:vAlign w:val="center"/>
          </w:tcPr>
          <w:p w14:paraId="4ACECE1D">
            <w:pPr>
              <w:pStyle w:val="278"/>
              <w:adjustRightInd w:val="0"/>
              <w:snapToGrid w:val="0"/>
              <w:spacing w:line="300" w:lineRule="exact"/>
              <w:rPr>
                <w:rFonts w:hint="eastAsia" w:cs="宋体"/>
                <w:color w:val="000000" w:themeColor="text1"/>
                <w14:textFill>
                  <w14:solidFill>
                    <w14:schemeClr w14:val="tx1"/>
                  </w14:solidFill>
                </w14:textFill>
              </w:rPr>
            </w:pPr>
          </w:p>
        </w:tc>
        <w:tc>
          <w:tcPr>
            <w:tcW w:w="650" w:type="pct"/>
            <w:vAlign w:val="center"/>
          </w:tcPr>
          <w:p w14:paraId="7AC61110">
            <w:pPr>
              <w:pStyle w:val="278"/>
              <w:adjustRightInd w:val="0"/>
              <w:snapToGrid w:val="0"/>
              <w:spacing w:line="300" w:lineRule="exact"/>
              <w:rPr>
                <w:rFonts w:hint="eastAsia"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西厂界</w:t>
            </w:r>
          </w:p>
        </w:tc>
        <w:tc>
          <w:tcPr>
            <w:tcW w:w="487" w:type="pct"/>
            <w:vAlign w:val="center"/>
          </w:tcPr>
          <w:p w14:paraId="1B898D8C">
            <w:pPr>
              <w:pStyle w:val="278"/>
              <w:adjustRightInd w:val="0"/>
              <w:snapToGrid w:val="0"/>
              <w:spacing w:line="300" w:lineRule="exact"/>
              <w:rPr>
                <w:rFonts w:hint="eastAsia"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43</w:t>
            </w:r>
          </w:p>
        </w:tc>
        <w:tc>
          <w:tcPr>
            <w:tcW w:w="487" w:type="pct"/>
            <w:vAlign w:val="center"/>
          </w:tcPr>
          <w:p w14:paraId="0707FBB8">
            <w:pPr>
              <w:adjustRightInd w:val="0"/>
              <w:snapToGrid w:val="0"/>
              <w:spacing w:line="30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6</w:t>
            </w:r>
            <w:r>
              <w:rPr>
                <w:rFonts w:ascii="宋体" w:hAnsi="宋体" w:cs="宋体"/>
                <w:color w:val="000000" w:themeColor="text1"/>
                <w:szCs w:val="21"/>
                <w14:textFill>
                  <w14:solidFill>
                    <w14:schemeClr w14:val="tx1"/>
                  </w14:solidFill>
                </w14:textFill>
              </w:rPr>
              <w:t>0</w:t>
            </w:r>
          </w:p>
        </w:tc>
        <w:tc>
          <w:tcPr>
            <w:tcW w:w="650" w:type="pct"/>
            <w:vAlign w:val="center"/>
          </w:tcPr>
          <w:p w14:paraId="58507CBC">
            <w:pPr>
              <w:pStyle w:val="278"/>
              <w:adjustRightInd w:val="0"/>
              <w:snapToGrid w:val="0"/>
              <w:spacing w:line="300" w:lineRule="exact"/>
              <w:rPr>
                <w:rFonts w:hint="eastAsia"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达标</w:t>
            </w:r>
          </w:p>
        </w:tc>
        <w:tc>
          <w:tcPr>
            <w:tcW w:w="568" w:type="pct"/>
            <w:vAlign w:val="center"/>
          </w:tcPr>
          <w:p w14:paraId="22CE2FA9">
            <w:pPr>
              <w:pStyle w:val="278"/>
              <w:adjustRightInd w:val="0"/>
              <w:snapToGrid w:val="0"/>
              <w:spacing w:line="300" w:lineRule="exact"/>
              <w:rPr>
                <w:rFonts w:hint="eastAsia"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39</w:t>
            </w:r>
          </w:p>
        </w:tc>
        <w:tc>
          <w:tcPr>
            <w:tcW w:w="568" w:type="pct"/>
            <w:vAlign w:val="center"/>
          </w:tcPr>
          <w:p w14:paraId="5B07276E">
            <w:pPr>
              <w:adjustRightInd w:val="0"/>
              <w:snapToGrid w:val="0"/>
              <w:spacing w:line="30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5</w:t>
            </w:r>
            <w:r>
              <w:rPr>
                <w:rFonts w:ascii="宋体" w:hAnsi="宋体" w:cs="宋体"/>
                <w:color w:val="000000" w:themeColor="text1"/>
                <w:szCs w:val="21"/>
                <w14:textFill>
                  <w14:solidFill>
                    <w14:schemeClr w14:val="tx1"/>
                  </w14:solidFill>
                </w14:textFill>
              </w:rPr>
              <w:t>0</w:t>
            </w:r>
          </w:p>
        </w:tc>
        <w:tc>
          <w:tcPr>
            <w:tcW w:w="697" w:type="pct"/>
            <w:vAlign w:val="center"/>
          </w:tcPr>
          <w:p w14:paraId="3C809A47">
            <w:pPr>
              <w:pStyle w:val="278"/>
              <w:adjustRightInd w:val="0"/>
              <w:snapToGrid w:val="0"/>
              <w:spacing w:line="300" w:lineRule="exact"/>
              <w:rPr>
                <w:rFonts w:hint="eastAsia"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达标</w:t>
            </w:r>
          </w:p>
        </w:tc>
      </w:tr>
      <w:tr w14:paraId="58FFAF3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406" w:type="pct"/>
            <w:vAlign w:val="top"/>
          </w:tcPr>
          <w:p w14:paraId="4548A9A8">
            <w:pPr>
              <w:pStyle w:val="202"/>
              <w:adjustRightInd w:val="0"/>
              <w:snapToGrid w:val="0"/>
              <w:spacing w:line="300" w:lineRule="exact"/>
              <w:ind w:firstLine="0" w:firstLineChars="0"/>
              <w:jc w:val="center"/>
              <w:rPr>
                <w:rFonts w:hint="eastAsia" w:cs="宋体"/>
                <w:b w:val="0"/>
                <w:color w:val="000000" w:themeColor="text1"/>
                <w:sz w:val="21"/>
                <w14:textFill>
                  <w14:solidFill>
                    <w14:schemeClr w14:val="tx1"/>
                  </w14:solidFill>
                </w14:textFill>
              </w:rPr>
            </w:pPr>
            <w:bookmarkStart w:id="427" w:name="_Toc216260263"/>
            <w:r>
              <w:rPr>
                <w:rFonts w:cs="宋体"/>
                <w:b w:val="0"/>
                <w:color w:val="000000" w:themeColor="text1"/>
                <w:sz w:val="21"/>
                <w14:textFill>
                  <w14:solidFill>
                    <w14:schemeClr w14:val="tx1"/>
                  </w14:solidFill>
                </w14:textFill>
              </w:rPr>
              <w:t>Z</w:t>
            </w:r>
            <w:r>
              <w:rPr>
                <w:rFonts w:hint="eastAsia" w:cs="宋体"/>
                <w:b w:val="0"/>
                <w:color w:val="000000" w:themeColor="text1"/>
                <w:sz w:val="21"/>
                <w14:textFill>
                  <w14:solidFill>
                    <w14:schemeClr w14:val="tx1"/>
                  </w14:solidFill>
                </w14:textFill>
              </w:rPr>
              <w:t>44</w:t>
            </w:r>
            <w:bookmarkEnd w:id="427"/>
          </w:p>
        </w:tc>
        <w:tc>
          <w:tcPr>
            <w:tcW w:w="487" w:type="pct"/>
            <w:vMerge w:val="continue"/>
            <w:vAlign w:val="center"/>
          </w:tcPr>
          <w:p w14:paraId="0FA16C8C">
            <w:pPr>
              <w:pStyle w:val="278"/>
              <w:adjustRightInd w:val="0"/>
              <w:snapToGrid w:val="0"/>
              <w:spacing w:line="300" w:lineRule="exact"/>
              <w:rPr>
                <w:rFonts w:hint="eastAsia" w:cs="宋体"/>
                <w:color w:val="000000" w:themeColor="text1"/>
                <w14:textFill>
                  <w14:solidFill>
                    <w14:schemeClr w14:val="tx1"/>
                  </w14:solidFill>
                </w14:textFill>
              </w:rPr>
            </w:pPr>
          </w:p>
        </w:tc>
        <w:tc>
          <w:tcPr>
            <w:tcW w:w="650" w:type="pct"/>
            <w:vAlign w:val="center"/>
          </w:tcPr>
          <w:p w14:paraId="3ECDFA85">
            <w:pPr>
              <w:pStyle w:val="278"/>
              <w:adjustRightInd w:val="0"/>
              <w:snapToGrid w:val="0"/>
              <w:spacing w:line="300" w:lineRule="exact"/>
              <w:rPr>
                <w:rFonts w:hint="eastAsia"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北厂界</w:t>
            </w:r>
          </w:p>
        </w:tc>
        <w:tc>
          <w:tcPr>
            <w:tcW w:w="487" w:type="pct"/>
            <w:vAlign w:val="center"/>
          </w:tcPr>
          <w:p w14:paraId="7F109AFA">
            <w:pPr>
              <w:pStyle w:val="278"/>
              <w:adjustRightInd w:val="0"/>
              <w:snapToGrid w:val="0"/>
              <w:spacing w:line="300" w:lineRule="exact"/>
              <w:rPr>
                <w:rFonts w:hint="eastAsia"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42</w:t>
            </w:r>
          </w:p>
        </w:tc>
        <w:tc>
          <w:tcPr>
            <w:tcW w:w="487" w:type="pct"/>
            <w:vAlign w:val="center"/>
          </w:tcPr>
          <w:p w14:paraId="3B1660C8">
            <w:pPr>
              <w:adjustRightInd w:val="0"/>
              <w:snapToGrid w:val="0"/>
              <w:spacing w:line="30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6</w:t>
            </w:r>
            <w:r>
              <w:rPr>
                <w:rFonts w:ascii="宋体" w:hAnsi="宋体" w:cs="宋体"/>
                <w:color w:val="000000" w:themeColor="text1"/>
                <w:szCs w:val="21"/>
                <w14:textFill>
                  <w14:solidFill>
                    <w14:schemeClr w14:val="tx1"/>
                  </w14:solidFill>
                </w14:textFill>
              </w:rPr>
              <w:t>0</w:t>
            </w:r>
          </w:p>
        </w:tc>
        <w:tc>
          <w:tcPr>
            <w:tcW w:w="650" w:type="pct"/>
            <w:vAlign w:val="center"/>
          </w:tcPr>
          <w:p w14:paraId="648BAB27">
            <w:pPr>
              <w:pStyle w:val="278"/>
              <w:adjustRightInd w:val="0"/>
              <w:snapToGrid w:val="0"/>
              <w:spacing w:line="300" w:lineRule="exact"/>
              <w:rPr>
                <w:rFonts w:hint="eastAsia"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达标</w:t>
            </w:r>
          </w:p>
        </w:tc>
        <w:tc>
          <w:tcPr>
            <w:tcW w:w="568" w:type="pct"/>
            <w:vAlign w:val="center"/>
          </w:tcPr>
          <w:p w14:paraId="5D31D07B">
            <w:pPr>
              <w:pStyle w:val="278"/>
              <w:adjustRightInd w:val="0"/>
              <w:snapToGrid w:val="0"/>
              <w:spacing w:line="300" w:lineRule="exact"/>
              <w:rPr>
                <w:rFonts w:hint="eastAsia"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40</w:t>
            </w:r>
          </w:p>
        </w:tc>
        <w:tc>
          <w:tcPr>
            <w:tcW w:w="568" w:type="pct"/>
            <w:vAlign w:val="center"/>
          </w:tcPr>
          <w:p w14:paraId="5B17EC4D">
            <w:pPr>
              <w:adjustRightInd w:val="0"/>
              <w:snapToGrid w:val="0"/>
              <w:spacing w:line="30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5</w:t>
            </w:r>
            <w:r>
              <w:rPr>
                <w:rFonts w:ascii="宋体" w:hAnsi="宋体" w:cs="宋体"/>
                <w:color w:val="000000" w:themeColor="text1"/>
                <w:szCs w:val="21"/>
                <w14:textFill>
                  <w14:solidFill>
                    <w14:schemeClr w14:val="tx1"/>
                  </w14:solidFill>
                </w14:textFill>
              </w:rPr>
              <w:t>0</w:t>
            </w:r>
          </w:p>
        </w:tc>
        <w:tc>
          <w:tcPr>
            <w:tcW w:w="697" w:type="pct"/>
            <w:vAlign w:val="center"/>
          </w:tcPr>
          <w:p w14:paraId="3FD13C36">
            <w:pPr>
              <w:pStyle w:val="278"/>
              <w:adjustRightInd w:val="0"/>
              <w:snapToGrid w:val="0"/>
              <w:spacing w:line="300" w:lineRule="exact"/>
              <w:rPr>
                <w:rFonts w:hint="eastAsia"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达标</w:t>
            </w:r>
          </w:p>
        </w:tc>
      </w:tr>
      <w:bookmarkEnd w:id="420"/>
    </w:tbl>
    <w:p w14:paraId="63F1DBBF">
      <w:pPr>
        <w:pStyle w:val="117"/>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由表</w:t>
      </w:r>
      <w:r>
        <w:rPr>
          <w:color w:val="000000" w:themeColor="text1"/>
          <w14:textFill>
            <w14:solidFill>
              <w14:schemeClr w14:val="tx1"/>
            </w14:solidFill>
          </w14:textFill>
        </w:rPr>
        <w:t>4.3</w:t>
      </w:r>
      <w:r>
        <w:rPr>
          <w:rFonts w:hint="eastAsia"/>
          <w:color w:val="000000" w:themeColor="text1"/>
          <w14:textFill>
            <w14:solidFill>
              <w14:schemeClr w14:val="tx1"/>
            </w14:solidFill>
          </w14:textFill>
        </w:rPr>
        <w:t>-11可知，各监测点昼、夜噪声值均满足《声环境质量标准》（GB3096-2008）</w:t>
      </w:r>
      <w:r>
        <w:rPr>
          <w:color w:val="000000" w:themeColor="text1"/>
          <w14:textFill>
            <w14:solidFill>
              <w14:schemeClr w14:val="tx1"/>
            </w14:solidFill>
          </w14:textFill>
        </w:rPr>
        <w:t>2</w:t>
      </w:r>
      <w:r>
        <w:rPr>
          <w:rFonts w:hint="eastAsia"/>
          <w:color w:val="000000" w:themeColor="text1"/>
          <w14:textFill>
            <w14:solidFill>
              <w14:schemeClr w14:val="tx1"/>
            </w14:solidFill>
          </w14:textFill>
        </w:rPr>
        <w:t>类标准要求。</w:t>
      </w:r>
    </w:p>
    <w:p w14:paraId="50881783">
      <w:pPr>
        <w:pStyle w:val="4"/>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土壤环境质量现状调查与评价</w:t>
      </w:r>
    </w:p>
    <w:p w14:paraId="0FFAD05D">
      <w:pPr>
        <w:pStyle w:val="117"/>
        <w:ind w:firstLine="480"/>
        <w:rPr>
          <w:rFonts w:hint="eastAsia"/>
          <w:color w:val="000000" w:themeColor="text1"/>
          <w14:textFill>
            <w14:solidFill>
              <w14:schemeClr w14:val="tx1"/>
            </w14:solidFill>
          </w14:textFill>
        </w:rPr>
      </w:pPr>
      <w:bookmarkStart w:id="428" w:name="_Hlk160379778"/>
      <w:bookmarkStart w:id="429" w:name="_Hlk92209650"/>
      <w:r>
        <w:rPr>
          <w:rFonts w:hint="eastAsia"/>
          <w:color w:val="000000" w:themeColor="text1"/>
          <w14:textFill>
            <w14:solidFill>
              <w14:schemeClr w14:val="tx1"/>
            </w14:solidFill>
          </w14:textFill>
        </w:rPr>
        <w:t>根据国家土壤信息服务平台数据，项目区土壤类型为盐土，土壤类型见图</w:t>
      </w:r>
      <w:r>
        <w:rPr>
          <w:color w:val="000000" w:themeColor="text1"/>
          <w14:textFill>
            <w14:solidFill>
              <w14:schemeClr w14:val="tx1"/>
            </w14:solidFill>
          </w14:textFill>
        </w:rPr>
        <w:t>4.3</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4</w:t>
      </w:r>
      <w:r>
        <w:rPr>
          <w:rFonts w:hint="eastAsia"/>
          <w:color w:val="000000" w:themeColor="text1"/>
          <w14:textFill>
            <w14:solidFill>
              <w14:schemeClr w14:val="tx1"/>
            </w14:solidFill>
          </w14:textFill>
        </w:rPr>
        <w:t>。</w:t>
      </w:r>
    </w:p>
    <w:p w14:paraId="2418361C">
      <w:pPr>
        <w:pStyle w:val="117"/>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（2）土壤环境质量现状调查及评价</w:t>
      </w:r>
    </w:p>
    <w:p w14:paraId="4FE09E19">
      <w:pPr>
        <w:pStyle w:val="117"/>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①监测点位</w:t>
      </w:r>
    </w:p>
    <w:p w14:paraId="771DFB52">
      <w:pPr>
        <w:pStyle w:val="117"/>
        <w:ind w:firstLine="480"/>
        <w:rPr>
          <w:rFonts w:hint="eastAsia"/>
          <w:color w:val="000000" w:themeColor="text1"/>
          <w14:textFill>
            <w14:solidFill>
              <w14:schemeClr w14:val="tx1"/>
            </w14:solidFill>
          </w14:textFill>
        </w:rPr>
        <w:sectPr>
          <w:pgSz w:w="11906" w:h="16838"/>
          <w:pgMar w:top="1418" w:right="1588" w:bottom="1418" w:left="1588" w:header="1020" w:footer="1020" w:gutter="0"/>
          <w:cols w:space="720" w:num="1"/>
          <w:docGrid w:type="lines" w:linePitch="312" w:charSpace="0"/>
        </w:sectPr>
      </w:pPr>
      <w:bookmarkStart w:id="430" w:name="_Hlk92222817"/>
      <w:r>
        <w:rPr>
          <w:rFonts w:hint="eastAsia"/>
          <w:bCs/>
          <w:color w:val="000000" w:themeColor="text1"/>
          <w14:textFill>
            <w14:solidFill>
              <w14:schemeClr w14:val="tx1"/>
            </w14:solidFill>
          </w14:textFill>
        </w:rPr>
        <w:t>根据《环境影响评价技术导则  土壤环境（试行）》（HJ964-02018）和《环境影响评价技术导则 陆地石油天然气开发建设项目》（HJ349-2023）判定，</w:t>
      </w:r>
      <w:bookmarkEnd w:id="430"/>
      <w:r>
        <w:rPr>
          <w:rFonts w:hint="eastAsia"/>
          <w:bCs/>
          <w:color w:val="000000" w:themeColor="text1"/>
          <w14:textFill>
            <w14:solidFill>
              <w14:schemeClr w14:val="tx1"/>
            </w14:solidFill>
          </w14:textFill>
        </w:rPr>
        <w:t>土壤污染影响型评价等级为一级评价，土壤生态影响型评价等级为一级评价，根据导则要求，土壤污染影响型应在占地范围内布设5个柱状样、2个表层样，占地范围外布设4个表层样；土壤生态影响型应在占地范围内布设5个表层样，占地范围外布设6个；综合考虑，</w:t>
      </w:r>
      <w:bookmarkStart w:id="431" w:name="OLE_LINK107"/>
      <w:r>
        <w:rPr>
          <w:rFonts w:hint="eastAsia"/>
          <w:bCs/>
          <w:color w:val="000000" w:themeColor="text1"/>
          <w14:textFill>
            <w14:solidFill>
              <w14:schemeClr w14:val="tx1"/>
            </w14:solidFill>
          </w14:textFill>
        </w:rPr>
        <w:t>占地范围内布设5个柱状样、5个表层样，占地范围外布设6个表层样</w:t>
      </w:r>
      <w:bookmarkEnd w:id="431"/>
      <w:r>
        <w:rPr>
          <w:rFonts w:hint="eastAsia"/>
          <w:bCs/>
          <w:color w:val="000000" w:themeColor="text1"/>
          <w14:textFill>
            <w14:solidFill>
              <w14:schemeClr w14:val="tx1"/>
            </w14:solidFill>
          </w14:textFill>
        </w:rPr>
        <w:t>，共计16个监测点</w:t>
      </w:r>
      <w:r>
        <w:rPr>
          <w:rFonts w:hint="eastAsia"/>
          <w:color w:val="000000" w:themeColor="text1"/>
          <w14:textFill>
            <w14:solidFill>
              <w14:schemeClr w14:val="tx1"/>
            </w14:solidFill>
          </w14:textFill>
        </w:rPr>
        <w:t>，监测点坐标见表</w:t>
      </w:r>
      <w:r>
        <w:rPr>
          <w:color w:val="000000" w:themeColor="text1"/>
          <w14:textFill>
            <w14:solidFill>
              <w14:schemeClr w14:val="tx1"/>
            </w14:solidFill>
          </w14:textFill>
        </w:rPr>
        <w:t>4.3</w:t>
      </w:r>
      <w:r>
        <w:rPr>
          <w:rFonts w:hint="eastAsia"/>
          <w:color w:val="000000" w:themeColor="text1"/>
          <w14:textFill>
            <w14:solidFill>
              <w14:schemeClr w14:val="tx1"/>
            </w14:solidFill>
          </w14:textFill>
        </w:rPr>
        <w:t>-12和图4.3-1。</w:t>
      </w:r>
    </w:p>
    <w:bookmarkEnd w:id="428"/>
    <w:p w14:paraId="27264C38">
      <w:pPr>
        <w:pStyle w:val="117"/>
        <w:ind w:firstLine="0" w:firstLineChars="0"/>
        <w:jc w:val="center"/>
        <w:rPr>
          <w:rFonts w:hint="eastAsia" w:ascii="黑体" w:hAnsi="黑体" w:eastAsia="黑体" w:cs="黑体"/>
          <w:color w:val="000000" w:themeColor="text1"/>
          <w:sz w:val="21"/>
          <w:szCs w:val="21"/>
          <w14:textFill>
            <w14:solidFill>
              <w14:schemeClr w14:val="tx1"/>
            </w14:solidFill>
          </w14:textFill>
        </w:rPr>
      </w:pPr>
      <w:r>
        <w:rPr>
          <w:rFonts w:hint="eastAsia" w:ascii="黑体" w:hAnsi="黑体" w:eastAsia="黑体" w:cs="黑体"/>
          <w:color w:val="000000" w:themeColor="text1"/>
          <w:sz w:val="21"/>
          <w:szCs w:val="21"/>
          <w14:textFill>
            <w14:solidFill>
              <w14:schemeClr w14:val="tx1"/>
            </w14:solidFill>
          </w14:textFill>
        </w:rPr>
        <w:t>表</w:t>
      </w:r>
      <w:r>
        <w:rPr>
          <w:rFonts w:ascii="黑体" w:hAnsi="黑体" w:eastAsia="黑体" w:cs="黑体"/>
          <w:color w:val="000000" w:themeColor="text1"/>
          <w:sz w:val="21"/>
          <w:szCs w:val="21"/>
          <w14:textFill>
            <w14:solidFill>
              <w14:schemeClr w14:val="tx1"/>
            </w14:solidFill>
          </w14:textFill>
        </w:rPr>
        <w:t>4.3</w:t>
      </w:r>
      <w:r>
        <w:rPr>
          <w:rFonts w:hint="eastAsia" w:ascii="黑体" w:hAnsi="黑体" w:eastAsia="黑体" w:cs="黑体"/>
          <w:color w:val="000000" w:themeColor="text1"/>
          <w:sz w:val="21"/>
          <w:szCs w:val="21"/>
          <w14:textFill>
            <w14:solidFill>
              <w14:schemeClr w14:val="tx1"/>
            </w14:solidFill>
          </w14:textFill>
        </w:rPr>
        <w:t>-12  实测土壤监测点位</w:t>
      </w:r>
    </w:p>
    <w:tbl>
      <w:tblPr>
        <w:tblStyle w:val="52"/>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690"/>
        <w:gridCol w:w="583"/>
        <w:gridCol w:w="1887"/>
        <w:gridCol w:w="1744"/>
        <w:gridCol w:w="1743"/>
        <w:gridCol w:w="735"/>
        <w:gridCol w:w="1348"/>
      </w:tblGrid>
      <w:tr w14:paraId="433C192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809" w:type="pct"/>
            <w:gridSpan w:val="3"/>
            <w:vMerge w:val="restart"/>
            <w:vAlign w:val="center"/>
          </w:tcPr>
          <w:p w14:paraId="0346D371">
            <w:pPr>
              <w:pStyle w:val="202"/>
              <w:adjustRightInd w:val="0"/>
              <w:snapToGrid w:val="0"/>
              <w:spacing w:line="300" w:lineRule="exact"/>
              <w:ind w:firstLine="420"/>
              <w:jc w:val="center"/>
              <w:rPr>
                <w:rFonts w:hint="eastAsia" w:cs="宋体"/>
                <w:b w:val="0"/>
                <w:color w:val="000000" w:themeColor="text1"/>
                <w:sz w:val="21"/>
                <w14:textFill>
                  <w14:solidFill>
                    <w14:schemeClr w14:val="tx1"/>
                  </w14:solidFill>
                </w14:textFill>
              </w:rPr>
            </w:pPr>
            <w:bookmarkStart w:id="432" w:name="_Toc216260264"/>
            <w:r>
              <w:rPr>
                <w:rFonts w:hint="eastAsia" w:cs="宋体"/>
                <w:b w:val="0"/>
                <w:color w:val="000000" w:themeColor="text1"/>
                <w:sz w:val="21"/>
                <w14:textFill>
                  <w14:solidFill>
                    <w14:schemeClr w14:val="tx1"/>
                  </w14:solidFill>
                </w14:textFill>
              </w:rPr>
              <w:t>编号</w:t>
            </w:r>
            <w:bookmarkEnd w:id="432"/>
          </w:p>
        </w:tc>
        <w:tc>
          <w:tcPr>
            <w:tcW w:w="1997" w:type="pct"/>
            <w:gridSpan w:val="2"/>
            <w:vAlign w:val="center"/>
          </w:tcPr>
          <w:p w14:paraId="4F2A5A63">
            <w:pPr>
              <w:pStyle w:val="202"/>
              <w:adjustRightInd w:val="0"/>
              <w:snapToGrid w:val="0"/>
              <w:spacing w:line="300" w:lineRule="exact"/>
              <w:ind w:firstLine="0" w:firstLineChars="0"/>
              <w:jc w:val="center"/>
              <w:rPr>
                <w:rFonts w:hint="eastAsia" w:cs="宋体"/>
                <w:b w:val="0"/>
                <w:color w:val="000000" w:themeColor="text1"/>
                <w:sz w:val="21"/>
                <w14:textFill>
                  <w14:solidFill>
                    <w14:schemeClr w14:val="tx1"/>
                  </w14:solidFill>
                </w14:textFill>
              </w:rPr>
            </w:pPr>
            <w:bookmarkStart w:id="433" w:name="_Toc216260265"/>
            <w:r>
              <w:rPr>
                <w:rFonts w:hint="eastAsia" w:cs="宋体"/>
                <w:b w:val="0"/>
                <w:color w:val="000000" w:themeColor="text1"/>
                <w:sz w:val="21"/>
                <w14:textFill>
                  <w14:solidFill>
                    <w14:schemeClr w14:val="tx1"/>
                  </w14:solidFill>
                </w14:textFill>
              </w:rPr>
              <w:t>坐标</w:t>
            </w:r>
            <w:bookmarkEnd w:id="433"/>
          </w:p>
        </w:tc>
        <w:tc>
          <w:tcPr>
            <w:tcW w:w="421" w:type="pct"/>
            <w:vMerge w:val="restart"/>
            <w:vAlign w:val="center"/>
          </w:tcPr>
          <w:p w14:paraId="26DA549F">
            <w:pPr>
              <w:pStyle w:val="202"/>
              <w:adjustRightInd w:val="0"/>
              <w:snapToGrid w:val="0"/>
              <w:spacing w:line="300" w:lineRule="exact"/>
              <w:ind w:firstLine="0" w:firstLineChars="0"/>
              <w:jc w:val="center"/>
              <w:rPr>
                <w:rFonts w:hint="eastAsia" w:cs="宋体"/>
                <w:b w:val="0"/>
                <w:color w:val="000000" w:themeColor="text1"/>
                <w:sz w:val="21"/>
                <w14:textFill>
                  <w14:solidFill>
                    <w14:schemeClr w14:val="tx1"/>
                  </w14:solidFill>
                </w14:textFill>
              </w:rPr>
            </w:pPr>
            <w:bookmarkStart w:id="434" w:name="_Toc216260266"/>
            <w:r>
              <w:rPr>
                <w:rFonts w:hint="eastAsia" w:cs="宋体"/>
                <w:b w:val="0"/>
                <w:color w:val="000000" w:themeColor="text1"/>
                <w:sz w:val="21"/>
                <w14:textFill>
                  <w14:solidFill>
                    <w14:schemeClr w14:val="tx1"/>
                  </w14:solidFill>
                </w14:textFill>
              </w:rPr>
              <w:t>性质</w:t>
            </w:r>
            <w:bookmarkEnd w:id="434"/>
          </w:p>
        </w:tc>
        <w:tc>
          <w:tcPr>
            <w:tcW w:w="772" w:type="pct"/>
            <w:vMerge w:val="restart"/>
            <w:vAlign w:val="center"/>
          </w:tcPr>
          <w:p w14:paraId="20ED1B46">
            <w:pPr>
              <w:pStyle w:val="202"/>
              <w:adjustRightInd w:val="0"/>
              <w:snapToGrid w:val="0"/>
              <w:spacing w:line="300" w:lineRule="exact"/>
              <w:ind w:firstLine="0" w:firstLineChars="0"/>
              <w:jc w:val="center"/>
              <w:rPr>
                <w:rFonts w:hint="eastAsia" w:cs="宋体"/>
                <w:b w:val="0"/>
                <w:color w:val="000000" w:themeColor="text1"/>
                <w:sz w:val="21"/>
                <w14:textFill>
                  <w14:solidFill>
                    <w14:schemeClr w14:val="tx1"/>
                  </w14:solidFill>
                </w14:textFill>
              </w:rPr>
            </w:pPr>
            <w:bookmarkStart w:id="435" w:name="_Toc216260267"/>
            <w:r>
              <w:rPr>
                <w:rFonts w:hint="eastAsia" w:cs="宋体"/>
                <w:b w:val="0"/>
                <w:color w:val="000000" w:themeColor="text1"/>
                <w:sz w:val="21"/>
                <w14:textFill>
                  <w14:solidFill>
                    <w14:schemeClr w14:val="tx1"/>
                  </w14:solidFill>
                </w14:textFill>
              </w:rPr>
              <w:t>采样要求</w:t>
            </w:r>
            <w:bookmarkEnd w:id="435"/>
          </w:p>
        </w:tc>
      </w:tr>
      <w:tr w14:paraId="5D0D1A5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809" w:type="pct"/>
            <w:gridSpan w:val="3"/>
            <w:vMerge w:val="continue"/>
            <w:vAlign w:val="center"/>
          </w:tcPr>
          <w:p w14:paraId="739DED5E">
            <w:pPr>
              <w:pStyle w:val="202"/>
              <w:adjustRightInd w:val="0"/>
              <w:snapToGrid w:val="0"/>
              <w:spacing w:line="300" w:lineRule="exact"/>
              <w:ind w:firstLine="0" w:firstLineChars="0"/>
              <w:jc w:val="center"/>
              <w:rPr>
                <w:rFonts w:hint="eastAsia" w:cs="宋体"/>
                <w:b w:val="0"/>
                <w:color w:val="000000" w:themeColor="text1"/>
                <w:sz w:val="21"/>
                <w14:textFill>
                  <w14:solidFill>
                    <w14:schemeClr w14:val="tx1"/>
                  </w14:solidFill>
                </w14:textFill>
              </w:rPr>
            </w:pPr>
          </w:p>
        </w:tc>
        <w:tc>
          <w:tcPr>
            <w:tcW w:w="999" w:type="pct"/>
            <w:vAlign w:val="center"/>
          </w:tcPr>
          <w:p w14:paraId="0CA82730">
            <w:pPr>
              <w:pStyle w:val="202"/>
              <w:adjustRightInd w:val="0"/>
              <w:snapToGrid w:val="0"/>
              <w:spacing w:line="300" w:lineRule="exact"/>
              <w:ind w:firstLine="0" w:firstLineChars="0"/>
              <w:jc w:val="center"/>
              <w:rPr>
                <w:rFonts w:hint="eastAsia" w:cs="宋体"/>
                <w:b w:val="0"/>
                <w:color w:val="000000" w:themeColor="text1"/>
                <w:sz w:val="21"/>
                <w14:textFill>
                  <w14:solidFill>
                    <w14:schemeClr w14:val="tx1"/>
                  </w14:solidFill>
                </w14:textFill>
              </w:rPr>
            </w:pPr>
            <w:bookmarkStart w:id="436" w:name="_Toc216260268"/>
            <w:r>
              <w:rPr>
                <w:rFonts w:hint="eastAsia" w:cs="宋体"/>
                <w:b w:val="0"/>
                <w:color w:val="000000" w:themeColor="text1"/>
                <w:sz w:val="21"/>
                <w14:textFill>
                  <w14:solidFill>
                    <w14:schemeClr w14:val="tx1"/>
                  </w14:solidFill>
                </w14:textFill>
              </w:rPr>
              <w:t>N</w:t>
            </w:r>
            <w:bookmarkEnd w:id="436"/>
          </w:p>
        </w:tc>
        <w:tc>
          <w:tcPr>
            <w:tcW w:w="998" w:type="pct"/>
            <w:vAlign w:val="center"/>
          </w:tcPr>
          <w:p w14:paraId="29F40F9D">
            <w:pPr>
              <w:pStyle w:val="202"/>
              <w:adjustRightInd w:val="0"/>
              <w:snapToGrid w:val="0"/>
              <w:spacing w:line="300" w:lineRule="exact"/>
              <w:ind w:firstLine="0" w:firstLineChars="0"/>
              <w:jc w:val="center"/>
              <w:rPr>
                <w:rFonts w:hint="eastAsia" w:cs="宋体"/>
                <w:b w:val="0"/>
                <w:color w:val="000000" w:themeColor="text1"/>
                <w:sz w:val="21"/>
                <w14:textFill>
                  <w14:solidFill>
                    <w14:schemeClr w14:val="tx1"/>
                  </w14:solidFill>
                </w14:textFill>
              </w:rPr>
            </w:pPr>
            <w:bookmarkStart w:id="437" w:name="_Toc216260269"/>
            <w:r>
              <w:rPr>
                <w:rFonts w:hint="eastAsia" w:cs="宋体"/>
                <w:b w:val="0"/>
                <w:color w:val="000000" w:themeColor="text1"/>
                <w:sz w:val="21"/>
                <w14:textFill>
                  <w14:solidFill>
                    <w14:schemeClr w14:val="tx1"/>
                  </w14:solidFill>
                </w14:textFill>
              </w:rPr>
              <w:t>E</w:t>
            </w:r>
            <w:bookmarkEnd w:id="437"/>
          </w:p>
        </w:tc>
        <w:tc>
          <w:tcPr>
            <w:tcW w:w="421" w:type="pct"/>
            <w:vMerge w:val="continue"/>
            <w:vAlign w:val="center"/>
          </w:tcPr>
          <w:p w14:paraId="1307D633">
            <w:pPr>
              <w:pStyle w:val="202"/>
              <w:adjustRightInd w:val="0"/>
              <w:snapToGrid w:val="0"/>
              <w:spacing w:line="300" w:lineRule="exact"/>
              <w:ind w:firstLine="0" w:firstLineChars="0"/>
              <w:jc w:val="center"/>
              <w:rPr>
                <w:rFonts w:hint="eastAsia" w:cs="宋体"/>
                <w:b w:val="0"/>
                <w:color w:val="000000" w:themeColor="text1"/>
                <w:sz w:val="21"/>
                <w14:textFill>
                  <w14:solidFill>
                    <w14:schemeClr w14:val="tx1"/>
                  </w14:solidFill>
                </w14:textFill>
              </w:rPr>
            </w:pPr>
          </w:p>
        </w:tc>
        <w:tc>
          <w:tcPr>
            <w:tcW w:w="772" w:type="pct"/>
            <w:vMerge w:val="continue"/>
            <w:vAlign w:val="center"/>
          </w:tcPr>
          <w:p w14:paraId="2EB1260A">
            <w:pPr>
              <w:pStyle w:val="202"/>
              <w:adjustRightInd w:val="0"/>
              <w:snapToGrid w:val="0"/>
              <w:spacing w:line="300" w:lineRule="exact"/>
              <w:ind w:firstLine="0" w:firstLineChars="0"/>
              <w:jc w:val="center"/>
              <w:rPr>
                <w:rFonts w:hint="eastAsia" w:cs="宋体"/>
                <w:b w:val="0"/>
                <w:color w:val="000000" w:themeColor="text1"/>
                <w:sz w:val="21"/>
                <w14:textFill>
                  <w14:solidFill>
                    <w14:schemeClr w14:val="tx1"/>
                  </w14:solidFill>
                </w14:textFill>
              </w:rPr>
            </w:pPr>
          </w:p>
        </w:tc>
      </w:tr>
      <w:tr w14:paraId="452E98E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395" w:type="pct"/>
            <w:vMerge w:val="restart"/>
            <w:vAlign w:val="center"/>
          </w:tcPr>
          <w:p w14:paraId="5AB91542">
            <w:pPr>
              <w:pStyle w:val="202"/>
              <w:adjustRightInd w:val="0"/>
              <w:snapToGrid w:val="0"/>
              <w:spacing w:line="300" w:lineRule="exact"/>
              <w:ind w:firstLine="0" w:firstLineChars="0"/>
              <w:jc w:val="center"/>
              <w:rPr>
                <w:rFonts w:hint="eastAsia" w:cs="宋体"/>
                <w:b w:val="0"/>
                <w:color w:val="000000" w:themeColor="text1"/>
                <w:sz w:val="21"/>
                <w14:textFill>
                  <w14:solidFill>
                    <w14:schemeClr w14:val="tx1"/>
                  </w14:solidFill>
                </w14:textFill>
              </w:rPr>
            </w:pPr>
            <w:bookmarkStart w:id="438" w:name="_Toc216260270"/>
            <w:r>
              <w:rPr>
                <w:rFonts w:hint="eastAsia" w:cs="宋体"/>
                <w:b w:val="0"/>
                <w:color w:val="000000" w:themeColor="text1"/>
                <w:sz w:val="21"/>
                <w14:textFill>
                  <w14:solidFill>
                    <w14:schemeClr w14:val="tx1"/>
                  </w14:solidFill>
                </w14:textFill>
              </w:rPr>
              <w:t>占地范围内</w:t>
            </w:r>
            <w:bookmarkEnd w:id="438"/>
          </w:p>
        </w:tc>
        <w:tc>
          <w:tcPr>
            <w:tcW w:w="334" w:type="pct"/>
            <w:vAlign w:val="center"/>
          </w:tcPr>
          <w:p w14:paraId="09717D04">
            <w:pPr>
              <w:pStyle w:val="202"/>
              <w:adjustRightInd w:val="0"/>
              <w:snapToGrid w:val="0"/>
              <w:spacing w:line="300" w:lineRule="exact"/>
              <w:ind w:firstLine="0" w:firstLineChars="0"/>
              <w:jc w:val="center"/>
              <w:rPr>
                <w:rFonts w:hint="eastAsia" w:cs="宋体"/>
                <w:b w:val="0"/>
                <w:color w:val="000000" w:themeColor="text1"/>
                <w:sz w:val="21"/>
                <w14:textFill>
                  <w14:solidFill>
                    <w14:schemeClr w14:val="tx1"/>
                  </w14:solidFill>
                </w14:textFill>
              </w:rPr>
            </w:pPr>
            <w:bookmarkStart w:id="439" w:name="_Toc216260271"/>
            <w:r>
              <w:rPr>
                <w:rFonts w:hint="eastAsia" w:cs="宋体"/>
                <w:b w:val="0"/>
                <w:color w:val="000000" w:themeColor="text1"/>
                <w:sz w:val="21"/>
                <w14:textFill>
                  <w14:solidFill>
                    <w14:schemeClr w14:val="tx1"/>
                  </w14:solidFill>
                </w14:textFill>
              </w:rPr>
              <w:t>T</w:t>
            </w:r>
            <w:r>
              <w:rPr>
                <w:rFonts w:cs="宋体"/>
                <w:b w:val="0"/>
                <w:color w:val="000000" w:themeColor="text1"/>
                <w:sz w:val="21"/>
                <w14:textFill>
                  <w14:solidFill>
                    <w14:schemeClr w14:val="tx1"/>
                  </w14:solidFill>
                </w14:textFill>
              </w:rPr>
              <w:t>1</w:t>
            </w:r>
            <w:bookmarkEnd w:id="439"/>
          </w:p>
        </w:tc>
        <w:tc>
          <w:tcPr>
            <w:tcW w:w="1081" w:type="pct"/>
            <w:vAlign w:val="center"/>
          </w:tcPr>
          <w:p w14:paraId="61D5B57A">
            <w:pPr>
              <w:pStyle w:val="202"/>
              <w:adjustRightInd w:val="0"/>
              <w:snapToGrid w:val="0"/>
              <w:spacing w:line="300" w:lineRule="exact"/>
              <w:ind w:firstLine="0" w:firstLineChars="0"/>
              <w:jc w:val="center"/>
              <w:rPr>
                <w:rFonts w:hint="eastAsia" w:cs="宋体"/>
                <w:b w:val="0"/>
                <w:color w:val="000000" w:themeColor="text1"/>
                <w:sz w:val="21"/>
                <w14:textFill>
                  <w14:solidFill>
                    <w14:schemeClr w14:val="tx1"/>
                  </w14:solidFill>
                </w14:textFill>
              </w:rPr>
            </w:pPr>
            <w:bookmarkStart w:id="440" w:name="_Toc216260272"/>
            <w:r>
              <w:rPr>
                <w:rFonts w:hint="eastAsia" w:cs="宋体"/>
                <w:b w:val="0"/>
                <w:color w:val="000000" w:themeColor="text1"/>
                <w:sz w:val="21"/>
                <w14:textFill>
                  <w14:solidFill>
                    <w14:schemeClr w14:val="tx1"/>
                  </w14:solidFill>
                </w14:textFill>
              </w:rPr>
              <w:t>JHW036</w:t>
            </w:r>
            <w:bookmarkEnd w:id="440"/>
          </w:p>
        </w:tc>
        <w:tc>
          <w:tcPr>
            <w:tcW w:w="999" w:type="pct"/>
            <w:vAlign w:val="center"/>
          </w:tcPr>
          <w:p w14:paraId="5E9FFDE8">
            <w:pPr>
              <w:pStyle w:val="202"/>
              <w:adjustRightInd w:val="0"/>
              <w:snapToGrid w:val="0"/>
              <w:spacing w:line="300" w:lineRule="exact"/>
              <w:ind w:firstLine="0" w:firstLineChars="0"/>
              <w:jc w:val="center"/>
              <w:rPr>
                <w:rFonts w:hint="eastAsia" w:cs="宋体"/>
                <w:b w:val="0"/>
                <w:color w:val="000000" w:themeColor="text1"/>
                <w:sz w:val="21"/>
                <w14:textFill>
                  <w14:solidFill>
                    <w14:schemeClr w14:val="tx1"/>
                  </w14:solidFill>
                </w14:textFill>
              </w:rPr>
            </w:pPr>
          </w:p>
        </w:tc>
        <w:tc>
          <w:tcPr>
            <w:tcW w:w="998" w:type="pct"/>
            <w:vAlign w:val="center"/>
          </w:tcPr>
          <w:p w14:paraId="3ADC9F66">
            <w:pPr>
              <w:pStyle w:val="202"/>
              <w:adjustRightInd w:val="0"/>
              <w:snapToGrid w:val="0"/>
              <w:spacing w:line="300" w:lineRule="exact"/>
              <w:ind w:firstLine="0" w:firstLineChars="0"/>
              <w:jc w:val="center"/>
              <w:rPr>
                <w:rFonts w:hint="eastAsia" w:cs="宋体"/>
                <w:b w:val="0"/>
                <w:color w:val="000000" w:themeColor="text1"/>
                <w:sz w:val="21"/>
                <w14:textFill>
                  <w14:solidFill>
                    <w14:schemeClr w14:val="tx1"/>
                  </w14:solidFill>
                </w14:textFill>
              </w:rPr>
            </w:pPr>
          </w:p>
        </w:tc>
        <w:tc>
          <w:tcPr>
            <w:tcW w:w="421" w:type="pct"/>
            <w:vMerge w:val="restart"/>
            <w:vAlign w:val="center"/>
          </w:tcPr>
          <w:p w14:paraId="3CDBD808">
            <w:pPr>
              <w:pStyle w:val="202"/>
              <w:adjustRightInd w:val="0"/>
              <w:snapToGrid w:val="0"/>
              <w:spacing w:line="300" w:lineRule="exact"/>
              <w:ind w:firstLine="0" w:firstLineChars="0"/>
              <w:jc w:val="center"/>
              <w:rPr>
                <w:rFonts w:hint="eastAsia" w:cs="宋体"/>
                <w:b w:val="0"/>
                <w:color w:val="000000" w:themeColor="text1"/>
                <w:sz w:val="21"/>
                <w14:textFill>
                  <w14:solidFill>
                    <w14:schemeClr w14:val="tx1"/>
                  </w14:solidFill>
                </w14:textFill>
              </w:rPr>
            </w:pPr>
            <w:bookmarkStart w:id="441" w:name="_Toc216260273"/>
            <w:r>
              <w:rPr>
                <w:rFonts w:hint="eastAsia" w:cs="宋体"/>
                <w:b w:val="0"/>
                <w:color w:val="000000" w:themeColor="text1"/>
                <w:sz w:val="21"/>
                <w14:textFill>
                  <w14:solidFill>
                    <w14:schemeClr w14:val="tx1"/>
                  </w14:solidFill>
                </w14:textFill>
              </w:rPr>
              <w:t>柱状样</w:t>
            </w:r>
            <w:bookmarkEnd w:id="441"/>
          </w:p>
        </w:tc>
        <w:tc>
          <w:tcPr>
            <w:tcW w:w="772" w:type="pct"/>
            <w:vMerge w:val="restart"/>
            <w:vAlign w:val="center"/>
          </w:tcPr>
          <w:p w14:paraId="58FB8BCA">
            <w:pPr>
              <w:pStyle w:val="202"/>
              <w:adjustRightInd w:val="0"/>
              <w:snapToGrid w:val="0"/>
              <w:spacing w:line="300" w:lineRule="exact"/>
              <w:ind w:firstLine="0" w:firstLineChars="0"/>
              <w:jc w:val="center"/>
              <w:rPr>
                <w:rFonts w:hint="eastAsia" w:cs="宋体"/>
                <w:b w:val="0"/>
                <w:color w:val="000000" w:themeColor="text1"/>
                <w:sz w:val="21"/>
                <w14:textFill>
                  <w14:solidFill>
                    <w14:schemeClr w14:val="tx1"/>
                  </w14:solidFill>
                </w14:textFill>
              </w:rPr>
            </w:pPr>
            <w:bookmarkStart w:id="442" w:name="_Toc216260274"/>
            <w:r>
              <w:rPr>
                <w:rFonts w:cs="宋体"/>
                <w:b w:val="0"/>
                <w:color w:val="000000" w:themeColor="text1"/>
                <w:sz w:val="21"/>
                <w14:textFill>
                  <w14:solidFill>
                    <w14:schemeClr w14:val="tx1"/>
                  </w14:solidFill>
                </w14:textFill>
              </w:rPr>
              <w:t>0</w:t>
            </w:r>
            <w:r>
              <w:rPr>
                <w:rFonts w:hint="eastAsia" w:cs="宋体"/>
                <w:b w:val="0"/>
                <w:color w:val="000000" w:themeColor="text1"/>
                <w:sz w:val="21"/>
                <w14:textFill>
                  <w14:solidFill>
                    <w14:schemeClr w14:val="tx1"/>
                  </w14:solidFill>
                </w14:textFill>
              </w:rPr>
              <w:t>～</w:t>
            </w:r>
            <w:r>
              <w:rPr>
                <w:rFonts w:cs="宋体"/>
                <w:b w:val="0"/>
                <w:color w:val="000000" w:themeColor="text1"/>
                <w:sz w:val="21"/>
                <w14:textFill>
                  <w14:solidFill>
                    <w14:schemeClr w14:val="tx1"/>
                  </w14:solidFill>
                </w14:textFill>
              </w:rPr>
              <w:t>0.</w:t>
            </w:r>
            <w:r>
              <w:rPr>
                <w:rFonts w:hint="eastAsia" w:cs="宋体"/>
                <w:b w:val="0"/>
                <w:color w:val="000000" w:themeColor="text1"/>
                <w:sz w:val="21"/>
                <w14:textFill>
                  <w14:solidFill>
                    <w14:schemeClr w14:val="tx1"/>
                  </w14:solidFill>
                </w14:textFill>
              </w:rPr>
              <w:t>5</w:t>
            </w:r>
            <w:r>
              <w:rPr>
                <w:rFonts w:cs="宋体"/>
                <w:b w:val="0"/>
                <w:color w:val="000000" w:themeColor="text1"/>
                <w:sz w:val="21"/>
                <w14:textFill>
                  <w14:solidFill>
                    <w14:schemeClr w14:val="tx1"/>
                  </w14:solidFill>
                </w14:textFill>
              </w:rPr>
              <w:t>m</w:t>
            </w:r>
            <w:r>
              <w:rPr>
                <w:rFonts w:hint="eastAsia" w:cs="宋体"/>
                <w:b w:val="0"/>
                <w:color w:val="000000" w:themeColor="text1"/>
                <w:sz w:val="21"/>
                <w14:textFill>
                  <w14:solidFill>
                    <w14:schemeClr w14:val="tx1"/>
                  </w14:solidFill>
                </w14:textFill>
              </w:rPr>
              <w:t>，</w:t>
            </w:r>
            <w:r>
              <w:rPr>
                <w:b w:val="0"/>
                <w:color w:val="000000" w:themeColor="text1"/>
                <w:sz w:val="21"/>
                <w14:textFill>
                  <w14:solidFill>
                    <w14:schemeClr w14:val="tx1"/>
                  </w14:solidFill>
                </w14:textFill>
              </w:rPr>
              <w:t>0.5</w:t>
            </w:r>
            <w:r>
              <w:rPr>
                <w:rFonts w:hint="eastAsia" w:cs="宋体"/>
                <w:b w:val="0"/>
                <w:color w:val="000000" w:themeColor="text1"/>
                <w:sz w:val="21"/>
                <w14:textFill>
                  <w14:solidFill>
                    <w14:schemeClr w14:val="tx1"/>
                  </w14:solidFill>
                </w14:textFill>
              </w:rPr>
              <w:t>～</w:t>
            </w:r>
            <w:r>
              <w:rPr>
                <w:b w:val="0"/>
                <w:color w:val="000000" w:themeColor="text1"/>
                <w:sz w:val="21"/>
                <w14:textFill>
                  <w14:solidFill>
                    <w14:schemeClr w14:val="tx1"/>
                  </w14:solidFill>
                </w14:textFill>
              </w:rPr>
              <w:t>1.5m、1.5</w:t>
            </w:r>
            <w:r>
              <w:rPr>
                <w:rFonts w:hint="eastAsia" w:cs="宋体"/>
                <w:b w:val="0"/>
                <w:color w:val="000000" w:themeColor="text1"/>
                <w:sz w:val="21"/>
                <w14:textFill>
                  <w14:solidFill>
                    <w14:schemeClr w14:val="tx1"/>
                  </w14:solidFill>
                </w14:textFill>
              </w:rPr>
              <w:t>～</w:t>
            </w:r>
            <w:r>
              <w:rPr>
                <w:b w:val="0"/>
                <w:color w:val="000000" w:themeColor="text1"/>
                <w:sz w:val="21"/>
                <w14:textFill>
                  <w14:solidFill>
                    <w14:schemeClr w14:val="tx1"/>
                  </w14:solidFill>
                </w14:textFill>
              </w:rPr>
              <w:t>3m分别取样</w:t>
            </w:r>
            <w:bookmarkEnd w:id="442"/>
          </w:p>
        </w:tc>
      </w:tr>
      <w:tr w14:paraId="6CE9A2A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395" w:type="pct"/>
            <w:vMerge w:val="continue"/>
            <w:vAlign w:val="center"/>
          </w:tcPr>
          <w:p w14:paraId="27ACAB90">
            <w:pPr>
              <w:pStyle w:val="202"/>
              <w:adjustRightInd w:val="0"/>
              <w:snapToGrid w:val="0"/>
              <w:spacing w:line="300" w:lineRule="exact"/>
              <w:ind w:firstLine="0" w:firstLineChars="0"/>
              <w:jc w:val="center"/>
              <w:rPr>
                <w:rFonts w:hint="eastAsia" w:cs="宋体"/>
                <w:b w:val="0"/>
                <w:color w:val="000000" w:themeColor="text1"/>
                <w:sz w:val="21"/>
                <w14:textFill>
                  <w14:solidFill>
                    <w14:schemeClr w14:val="tx1"/>
                  </w14:solidFill>
                </w14:textFill>
              </w:rPr>
            </w:pPr>
          </w:p>
        </w:tc>
        <w:tc>
          <w:tcPr>
            <w:tcW w:w="334" w:type="pct"/>
            <w:vAlign w:val="center"/>
          </w:tcPr>
          <w:p w14:paraId="263E7E64">
            <w:pPr>
              <w:pStyle w:val="202"/>
              <w:adjustRightInd w:val="0"/>
              <w:snapToGrid w:val="0"/>
              <w:spacing w:line="300" w:lineRule="exact"/>
              <w:ind w:firstLine="0" w:firstLineChars="0"/>
              <w:jc w:val="center"/>
              <w:rPr>
                <w:rFonts w:hint="eastAsia" w:cs="宋体"/>
                <w:b w:val="0"/>
                <w:color w:val="000000" w:themeColor="text1"/>
                <w:sz w:val="21"/>
                <w14:textFill>
                  <w14:solidFill>
                    <w14:schemeClr w14:val="tx1"/>
                  </w14:solidFill>
                </w14:textFill>
              </w:rPr>
            </w:pPr>
            <w:bookmarkStart w:id="443" w:name="_Toc216260275"/>
            <w:r>
              <w:rPr>
                <w:rFonts w:hint="eastAsia" w:cs="宋体"/>
                <w:b w:val="0"/>
                <w:color w:val="000000" w:themeColor="text1"/>
                <w:sz w:val="21"/>
                <w14:textFill>
                  <w14:solidFill>
                    <w14:schemeClr w14:val="tx1"/>
                  </w14:solidFill>
                </w14:textFill>
              </w:rPr>
              <w:t>T</w:t>
            </w:r>
            <w:r>
              <w:rPr>
                <w:rFonts w:cs="宋体"/>
                <w:b w:val="0"/>
                <w:color w:val="000000" w:themeColor="text1"/>
                <w:sz w:val="21"/>
                <w14:textFill>
                  <w14:solidFill>
                    <w14:schemeClr w14:val="tx1"/>
                  </w14:solidFill>
                </w14:textFill>
              </w:rPr>
              <w:t>5</w:t>
            </w:r>
            <w:bookmarkEnd w:id="443"/>
          </w:p>
        </w:tc>
        <w:tc>
          <w:tcPr>
            <w:tcW w:w="1081" w:type="pct"/>
            <w:vAlign w:val="center"/>
          </w:tcPr>
          <w:p w14:paraId="46839C51">
            <w:pPr>
              <w:pStyle w:val="202"/>
              <w:adjustRightInd w:val="0"/>
              <w:snapToGrid w:val="0"/>
              <w:spacing w:line="300" w:lineRule="exact"/>
              <w:ind w:firstLine="0" w:firstLineChars="0"/>
              <w:jc w:val="center"/>
              <w:rPr>
                <w:rFonts w:hint="eastAsia" w:cs="宋体"/>
                <w:b w:val="0"/>
                <w:color w:val="000000" w:themeColor="text1"/>
                <w:sz w:val="21"/>
                <w14:textFill>
                  <w14:solidFill>
                    <w14:schemeClr w14:val="tx1"/>
                  </w14:solidFill>
                </w14:textFill>
              </w:rPr>
            </w:pPr>
            <w:bookmarkStart w:id="444" w:name="_Toc216260276"/>
            <w:r>
              <w:rPr>
                <w:rFonts w:hint="eastAsia" w:cs="宋体"/>
                <w:b w:val="0"/>
                <w:color w:val="000000" w:themeColor="text1"/>
                <w:sz w:val="21"/>
                <w14:textFill>
                  <w14:solidFill>
                    <w14:schemeClr w14:val="tx1"/>
                  </w14:solidFill>
                </w14:textFill>
              </w:rPr>
              <w:t>JHW032</w:t>
            </w:r>
            <w:bookmarkEnd w:id="444"/>
          </w:p>
        </w:tc>
        <w:tc>
          <w:tcPr>
            <w:tcW w:w="999" w:type="pct"/>
            <w:vAlign w:val="center"/>
          </w:tcPr>
          <w:p w14:paraId="4210AF09">
            <w:pPr>
              <w:pStyle w:val="202"/>
              <w:adjustRightInd w:val="0"/>
              <w:snapToGrid w:val="0"/>
              <w:spacing w:line="300" w:lineRule="exact"/>
              <w:ind w:firstLine="0" w:firstLineChars="0"/>
              <w:jc w:val="center"/>
              <w:rPr>
                <w:rFonts w:hint="eastAsia" w:cs="宋体"/>
                <w:b w:val="0"/>
                <w:color w:val="000000" w:themeColor="text1"/>
                <w:sz w:val="21"/>
                <w14:textFill>
                  <w14:solidFill>
                    <w14:schemeClr w14:val="tx1"/>
                  </w14:solidFill>
                </w14:textFill>
              </w:rPr>
            </w:pPr>
          </w:p>
        </w:tc>
        <w:tc>
          <w:tcPr>
            <w:tcW w:w="998" w:type="pct"/>
            <w:vAlign w:val="center"/>
          </w:tcPr>
          <w:p w14:paraId="1517BD6B">
            <w:pPr>
              <w:pStyle w:val="202"/>
              <w:adjustRightInd w:val="0"/>
              <w:snapToGrid w:val="0"/>
              <w:spacing w:line="300" w:lineRule="exact"/>
              <w:ind w:firstLine="0" w:firstLineChars="0"/>
              <w:jc w:val="center"/>
              <w:rPr>
                <w:rFonts w:hint="eastAsia" w:cs="宋体"/>
                <w:b w:val="0"/>
                <w:color w:val="000000" w:themeColor="text1"/>
                <w:sz w:val="21"/>
                <w14:textFill>
                  <w14:solidFill>
                    <w14:schemeClr w14:val="tx1"/>
                  </w14:solidFill>
                </w14:textFill>
              </w:rPr>
            </w:pPr>
          </w:p>
        </w:tc>
        <w:tc>
          <w:tcPr>
            <w:tcW w:w="421" w:type="pct"/>
            <w:vMerge w:val="continue"/>
            <w:vAlign w:val="center"/>
          </w:tcPr>
          <w:p w14:paraId="4ACA80D8">
            <w:pPr>
              <w:pStyle w:val="202"/>
              <w:adjustRightInd w:val="0"/>
              <w:snapToGrid w:val="0"/>
              <w:spacing w:line="300" w:lineRule="exact"/>
              <w:ind w:firstLine="0" w:firstLineChars="0"/>
              <w:jc w:val="center"/>
              <w:rPr>
                <w:rFonts w:hint="eastAsia" w:cs="宋体"/>
                <w:b w:val="0"/>
                <w:color w:val="000000" w:themeColor="text1"/>
                <w:sz w:val="21"/>
                <w14:textFill>
                  <w14:solidFill>
                    <w14:schemeClr w14:val="tx1"/>
                  </w14:solidFill>
                </w14:textFill>
              </w:rPr>
            </w:pPr>
          </w:p>
        </w:tc>
        <w:tc>
          <w:tcPr>
            <w:tcW w:w="772" w:type="pct"/>
            <w:vMerge w:val="continue"/>
            <w:vAlign w:val="center"/>
          </w:tcPr>
          <w:p w14:paraId="55BDC98A">
            <w:pPr>
              <w:pStyle w:val="202"/>
              <w:adjustRightInd w:val="0"/>
              <w:snapToGrid w:val="0"/>
              <w:spacing w:line="300" w:lineRule="exact"/>
              <w:ind w:firstLine="0" w:firstLineChars="0"/>
              <w:jc w:val="center"/>
              <w:rPr>
                <w:rFonts w:hint="eastAsia" w:cs="宋体"/>
                <w:b w:val="0"/>
                <w:color w:val="000000" w:themeColor="text1"/>
                <w:sz w:val="21"/>
                <w14:textFill>
                  <w14:solidFill>
                    <w14:schemeClr w14:val="tx1"/>
                  </w14:solidFill>
                </w14:textFill>
              </w:rPr>
            </w:pPr>
          </w:p>
        </w:tc>
      </w:tr>
      <w:tr w14:paraId="5FDA6CE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395" w:type="pct"/>
            <w:vMerge w:val="continue"/>
            <w:vAlign w:val="center"/>
          </w:tcPr>
          <w:p w14:paraId="5A10B8C1">
            <w:pPr>
              <w:pStyle w:val="202"/>
              <w:adjustRightInd w:val="0"/>
              <w:snapToGrid w:val="0"/>
              <w:spacing w:line="300" w:lineRule="exact"/>
              <w:ind w:firstLine="0" w:firstLineChars="0"/>
              <w:jc w:val="center"/>
              <w:rPr>
                <w:rFonts w:hint="eastAsia" w:cs="宋体"/>
                <w:b w:val="0"/>
                <w:color w:val="000000" w:themeColor="text1"/>
                <w:sz w:val="21"/>
                <w14:textFill>
                  <w14:solidFill>
                    <w14:schemeClr w14:val="tx1"/>
                  </w14:solidFill>
                </w14:textFill>
              </w:rPr>
            </w:pPr>
          </w:p>
        </w:tc>
        <w:tc>
          <w:tcPr>
            <w:tcW w:w="334" w:type="pct"/>
            <w:vAlign w:val="center"/>
          </w:tcPr>
          <w:p w14:paraId="4E8C9BDB">
            <w:pPr>
              <w:pStyle w:val="202"/>
              <w:adjustRightInd w:val="0"/>
              <w:snapToGrid w:val="0"/>
              <w:spacing w:line="300" w:lineRule="exact"/>
              <w:ind w:firstLine="0" w:firstLineChars="0"/>
              <w:jc w:val="center"/>
              <w:rPr>
                <w:rFonts w:hint="eastAsia" w:cs="宋体"/>
                <w:b w:val="0"/>
                <w:color w:val="000000" w:themeColor="text1"/>
                <w:sz w:val="21"/>
                <w14:textFill>
                  <w14:solidFill>
                    <w14:schemeClr w14:val="tx1"/>
                  </w14:solidFill>
                </w14:textFill>
              </w:rPr>
            </w:pPr>
            <w:bookmarkStart w:id="445" w:name="_Toc216260277"/>
            <w:r>
              <w:rPr>
                <w:rFonts w:hint="eastAsia" w:cs="宋体"/>
                <w:b w:val="0"/>
                <w:color w:val="000000" w:themeColor="text1"/>
                <w:sz w:val="21"/>
                <w14:textFill>
                  <w14:solidFill>
                    <w14:schemeClr w14:val="tx1"/>
                  </w14:solidFill>
                </w14:textFill>
              </w:rPr>
              <w:t>T7</w:t>
            </w:r>
            <w:bookmarkEnd w:id="445"/>
          </w:p>
        </w:tc>
        <w:tc>
          <w:tcPr>
            <w:tcW w:w="1081" w:type="pct"/>
            <w:vAlign w:val="center"/>
          </w:tcPr>
          <w:p w14:paraId="0343EEF0">
            <w:pPr>
              <w:pStyle w:val="202"/>
              <w:adjustRightInd w:val="0"/>
              <w:snapToGrid w:val="0"/>
              <w:spacing w:line="300" w:lineRule="exact"/>
              <w:ind w:firstLine="0" w:firstLineChars="0"/>
              <w:jc w:val="center"/>
              <w:rPr>
                <w:rFonts w:hint="eastAsia" w:cs="宋体"/>
                <w:b w:val="0"/>
                <w:color w:val="000000" w:themeColor="text1"/>
                <w:sz w:val="21"/>
                <w14:textFill>
                  <w14:solidFill>
                    <w14:schemeClr w14:val="tx1"/>
                  </w14:solidFill>
                </w14:textFill>
              </w:rPr>
            </w:pPr>
            <w:bookmarkStart w:id="446" w:name="_Toc216260278"/>
            <w:r>
              <w:rPr>
                <w:rFonts w:hint="eastAsia" w:cs="宋体"/>
                <w:b w:val="0"/>
                <w:color w:val="000000" w:themeColor="text1"/>
                <w:sz w:val="21"/>
                <w14:textFill>
                  <w14:solidFill>
                    <w14:schemeClr w14:val="tx1"/>
                  </w14:solidFill>
                </w14:textFill>
              </w:rPr>
              <w:t>JHW00525</w:t>
            </w:r>
            <w:bookmarkEnd w:id="446"/>
          </w:p>
        </w:tc>
        <w:tc>
          <w:tcPr>
            <w:tcW w:w="999" w:type="pct"/>
            <w:vAlign w:val="center"/>
          </w:tcPr>
          <w:p w14:paraId="60322083">
            <w:pPr>
              <w:pStyle w:val="202"/>
              <w:adjustRightInd w:val="0"/>
              <w:snapToGrid w:val="0"/>
              <w:spacing w:line="300" w:lineRule="exact"/>
              <w:ind w:firstLine="0" w:firstLineChars="0"/>
              <w:jc w:val="center"/>
              <w:rPr>
                <w:rFonts w:hint="eastAsia" w:cs="宋体"/>
                <w:b w:val="0"/>
                <w:color w:val="000000" w:themeColor="text1"/>
                <w:sz w:val="21"/>
                <w14:textFill>
                  <w14:solidFill>
                    <w14:schemeClr w14:val="tx1"/>
                  </w14:solidFill>
                </w14:textFill>
              </w:rPr>
            </w:pPr>
          </w:p>
        </w:tc>
        <w:tc>
          <w:tcPr>
            <w:tcW w:w="998" w:type="pct"/>
            <w:vAlign w:val="center"/>
          </w:tcPr>
          <w:p w14:paraId="7E162BB0">
            <w:pPr>
              <w:pStyle w:val="202"/>
              <w:adjustRightInd w:val="0"/>
              <w:snapToGrid w:val="0"/>
              <w:spacing w:line="300" w:lineRule="exact"/>
              <w:ind w:firstLine="0" w:firstLineChars="0"/>
              <w:jc w:val="center"/>
              <w:rPr>
                <w:rFonts w:hint="eastAsia" w:cs="宋体"/>
                <w:b w:val="0"/>
                <w:color w:val="000000" w:themeColor="text1"/>
                <w:sz w:val="21"/>
                <w14:textFill>
                  <w14:solidFill>
                    <w14:schemeClr w14:val="tx1"/>
                  </w14:solidFill>
                </w14:textFill>
              </w:rPr>
            </w:pPr>
          </w:p>
        </w:tc>
        <w:tc>
          <w:tcPr>
            <w:tcW w:w="421" w:type="pct"/>
            <w:vMerge w:val="continue"/>
            <w:vAlign w:val="center"/>
          </w:tcPr>
          <w:p w14:paraId="3396F793">
            <w:pPr>
              <w:pStyle w:val="202"/>
              <w:adjustRightInd w:val="0"/>
              <w:snapToGrid w:val="0"/>
              <w:spacing w:line="300" w:lineRule="exact"/>
              <w:ind w:firstLine="0" w:firstLineChars="0"/>
              <w:jc w:val="center"/>
              <w:rPr>
                <w:rFonts w:hint="eastAsia" w:cs="宋体"/>
                <w:b w:val="0"/>
                <w:color w:val="000000" w:themeColor="text1"/>
                <w:sz w:val="21"/>
                <w14:textFill>
                  <w14:solidFill>
                    <w14:schemeClr w14:val="tx1"/>
                  </w14:solidFill>
                </w14:textFill>
              </w:rPr>
            </w:pPr>
          </w:p>
        </w:tc>
        <w:tc>
          <w:tcPr>
            <w:tcW w:w="772" w:type="pct"/>
            <w:vMerge w:val="continue"/>
            <w:vAlign w:val="center"/>
          </w:tcPr>
          <w:p w14:paraId="41A486F6">
            <w:pPr>
              <w:pStyle w:val="202"/>
              <w:adjustRightInd w:val="0"/>
              <w:snapToGrid w:val="0"/>
              <w:spacing w:line="300" w:lineRule="exact"/>
              <w:ind w:firstLine="0" w:firstLineChars="0"/>
              <w:jc w:val="center"/>
              <w:rPr>
                <w:rFonts w:hint="eastAsia" w:cs="宋体"/>
                <w:b w:val="0"/>
                <w:color w:val="000000" w:themeColor="text1"/>
                <w:sz w:val="21"/>
                <w14:textFill>
                  <w14:solidFill>
                    <w14:schemeClr w14:val="tx1"/>
                  </w14:solidFill>
                </w14:textFill>
              </w:rPr>
            </w:pPr>
          </w:p>
        </w:tc>
      </w:tr>
      <w:tr w14:paraId="639697E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395" w:type="pct"/>
            <w:vMerge w:val="continue"/>
            <w:vAlign w:val="center"/>
          </w:tcPr>
          <w:p w14:paraId="5991869B">
            <w:pPr>
              <w:pStyle w:val="202"/>
              <w:adjustRightInd w:val="0"/>
              <w:snapToGrid w:val="0"/>
              <w:spacing w:line="300" w:lineRule="exact"/>
              <w:ind w:firstLine="0" w:firstLineChars="0"/>
              <w:jc w:val="center"/>
              <w:rPr>
                <w:rFonts w:hint="eastAsia" w:cs="宋体"/>
                <w:b w:val="0"/>
                <w:color w:val="000000" w:themeColor="text1"/>
                <w:sz w:val="21"/>
                <w14:textFill>
                  <w14:solidFill>
                    <w14:schemeClr w14:val="tx1"/>
                  </w14:solidFill>
                </w14:textFill>
              </w:rPr>
            </w:pPr>
          </w:p>
        </w:tc>
        <w:tc>
          <w:tcPr>
            <w:tcW w:w="334" w:type="pct"/>
            <w:vAlign w:val="center"/>
          </w:tcPr>
          <w:p w14:paraId="3EE5BF3A">
            <w:pPr>
              <w:pStyle w:val="202"/>
              <w:adjustRightInd w:val="0"/>
              <w:snapToGrid w:val="0"/>
              <w:spacing w:line="300" w:lineRule="exact"/>
              <w:ind w:firstLine="0" w:firstLineChars="0"/>
              <w:jc w:val="center"/>
              <w:rPr>
                <w:rFonts w:hint="eastAsia" w:cs="宋体"/>
                <w:b w:val="0"/>
                <w:color w:val="000000" w:themeColor="text1"/>
                <w:sz w:val="21"/>
                <w14:textFill>
                  <w14:solidFill>
                    <w14:schemeClr w14:val="tx1"/>
                  </w14:solidFill>
                </w14:textFill>
              </w:rPr>
            </w:pPr>
            <w:bookmarkStart w:id="447" w:name="_Toc216260279"/>
            <w:r>
              <w:rPr>
                <w:rFonts w:hint="eastAsia" w:cs="宋体"/>
                <w:b w:val="0"/>
                <w:color w:val="000000" w:themeColor="text1"/>
                <w:sz w:val="21"/>
                <w14:textFill>
                  <w14:solidFill>
                    <w14:schemeClr w14:val="tx1"/>
                  </w14:solidFill>
                </w14:textFill>
              </w:rPr>
              <w:t>T8</w:t>
            </w:r>
            <w:bookmarkEnd w:id="447"/>
          </w:p>
        </w:tc>
        <w:tc>
          <w:tcPr>
            <w:tcW w:w="1081" w:type="pct"/>
            <w:vAlign w:val="center"/>
          </w:tcPr>
          <w:p w14:paraId="0EE5E286">
            <w:pPr>
              <w:pStyle w:val="202"/>
              <w:adjustRightInd w:val="0"/>
              <w:snapToGrid w:val="0"/>
              <w:spacing w:line="300" w:lineRule="exact"/>
              <w:ind w:firstLine="0" w:firstLineChars="0"/>
              <w:jc w:val="center"/>
              <w:rPr>
                <w:rFonts w:hint="eastAsia" w:cs="宋体"/>
                <w:b w:val="0"/>
                <w:color w:val="000000" w:themeColor="text1"/>
                <w:sz w:val="21"/>
                <w14:textFill>
                  <w14:solidFill>
                    <w14:schemeClr w14:val="tx1"/>
                  </w14:solidFill>
                </w14:textFill>
              </w:rPr>
            </w:pPr>
            <w:bookmarkStart w:id="448" w:name="_Toc216260280"/>
            <w:r>
              <w:rPr>
                <w:rFonts w:hint="eastAsia" w:cs="宋体"/>
                <w:b w:val="0"/>
                <w:color w:val="000000" w:themeColor="text1"/>
                <w:sz w:val="21"/>
                <w14:textFill>
                  <w14:solidFill>
                    <w14:schemeClr w14:val="tx1"/>
                  </w14:solidFill>
                </w14:textFill>
              </w:rPr>
              <w:t>J10006_H</w:t>
            </w:r>
            <w:bookmarkEnd w:id="448"/>
          </w:p>
        </w:tc>
        <w:tc>
          <w:tcPr>
            <w:tcW w:w="999" w:type="pct"/>
            <w:vAlign w:val="center"/>
          </w:tcPr>
          <w:p w14:paraId="242FE8FA">
            <w:pPr>
              <w:pStyle w:val="202"/>
              <w:adjustRightInd w:val="0"/>
              <w:snapToGrid w:val="0"/>
              <w:spacing w:line="300" w:lineRule="exact"/>
              <w:ind w:firstLine="0" w:firstLineChars="0"/>
              <w:jc w:val="center"/>
              <w:rPr>
                <w:rFonts w:hint="eastAsia" w:cs="宋体"/>
                <w:b w:val="0"/>
                <w:color w:val="000000" w:themeColor="text1"/>
                <w:sz w:val="21"/>
                <w14:textFill>
                  <w14:solidFill>
                    <w14:schemeClr w14:val="tx1"/>
                  </w14:solidFill>
                </w14:textFill>
              </w:rPr>
            </w:pPr>
          </w:p>
        </w:tc>
        <w:tc>
          <w:tcPr>
            <w:tcW w:w="998" w:type="pct"/>
            <w:vAlign w:val="center"/>
          </w:tcPr>
          <w:p w14:paraId="5D097E6F">
            <w:pPr>
              <w:pStyle w:val="202"/>
              <w:adjustRightInd w:val="0"/>
              <w:snapToGrid w:val="0"/>
              <w:spacing w:line="300" w:lineRule="exact"/>
              <w:ind w:firstLine="0" w:firstLineChars="0"/>
              <w:jc w:val="center"/>
              <w:rPr>
                <w:rFonts w:hint="eastAsia" w:cs="宋体"/>
                <w:b w:val="0"/>
                <w:color w:val="000000" w:themeColor="text1"/>
                <w:sz w:val="21"/>
                <w14:textFill>
                  <w14:solidFill>
                    <w14:schemeClr w14:val="tx1"/>
                  </w14:solidFill>
                </w14:textFill>
              </w:rPr>
            </w:pPr>
          </w:p>
        </w:tc>
        <w:tc>
          <w:tcPr>
            <w:tcW w:w="421" w:type="pct"/>
            <w:vMerge w:val="continue"/>
            <w:vAlign w:val="center"/>
          </w:tcPr>
          <w:p w14:paraId="50444A54">
            <w:pPr>
              <w:pStyle w:val="202"/>
              <w:adjustRightInd w:val="0"/>
              <w:snapToGrid w:val="0"/>
              <w:spacing w:line="300" w:lineRule="exact"/>
              <w:ind w:firstLine="0" w:firstLineChars="0"/>
              <w:jc w:val="center"/>
              <w:rPr>
                <w:rFonts w:hint="eastAsia" w:cs="宋体"/>
                <w:b w:val="0"/>
                <w:color w:val="000000" w:themeColor="text1"/>
                <w:sz w:val="21"/>
                <w14:textFill>
                  <w14:solidFill>
                    <w14:schemeClr w14:val="tx1"/>
                  </w14:solidFill>
                </w14:textFill>
              </w:rPr>
            </w:pPr>
          </w:p>
        </w:tc>
        <w:tc>
          <w:tcPr>
            <w:tcW w:w="772" w:type="pct"/>
            <w:vMerge w:val="continue"/>
            <w:vAlign w:val="center"/>
          </w:tcPr>
          <w:p w14:paraId="66E468D5">
            <w:pPr>
              <w:pStyle w:val="202"/>
              <w:adjustRightInd w:val="0"/>
              <w:snapToGrid w:val="0"/>
              <w:spacing w:line="300" w:lineRule="exact"/>
              <w:ind w:firstLine="0" w:firstLineChars="0"/>
              <w:jc w:val="center"/>
              <w:rPr>
                <w:rFonts w:hint="eastAsia" w:cs="宋体"/>
                <w:b w:val="0"/>
                <w:color w:val="000000" w:themeColor="text1"/>
                <w:sz w:val="21"/>
                <w14:textFill>
                  <w14:solidFill>
                    <w14:schemeClr w14:val="tx1"/>
                  </w14:solidFill>
                </w14:textFill>
              </w:rPr>
            </w:pPr>
          </w:p>
        </w:tc>
      </w:tr>
      <w:tr w14:paraId="133D31C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395" w:type="pct"/>
            <w:vMerge w:val="continue"/>
            <w:vAlign w:val="center"/>
          </w:tcPr>
          <w:p w14:paraId="234F7C86">
            <w:pPr>
              <w:pStyle w:val="202"/>
              <w:adjustRightInd w:val="0"/>
              <w:snapToGrid w:val="0"/>
              <w:spacing w:line="300" w:lineRule="exact"/>
              <w:ind w:firstLine="0" w:firstLineChars="0"/>
              <w:jc w:val="center"/>
              <w:rPr>
                <w:rFonts w:hint="eastAsia" w:cs="宋体"/>
                <w:b w:val="0"/>
                <w:color w:val="000000" w:themeColor="text1"/>
                <w:sz w:val="21"/>
                <w14:textFill>
                  <w14:solidFill>
                    <w14:schemeClr w14:val="tx1"/>
                  </w14:solidFill>
                </w14:textFill>
              </w:rPr>
            </w:pPr>
          </w:p>
        </w:tc>
        <w:tc>
          <w:tcPr>
            <w:tcW w:w="334" w:type="pct"/>
            <w:vAlign w:val="center"/>
          </w:tcPr>
          <w:p w14:paraId="3B68EC35">
            <w:pPr>
              <w:pStyle w:val="202"/>
              <w:adjustRightInd w:val="0"/>
              <w:snapToGrid w:val="0"/>
              <w:spacing w:line="300" w:lineRule="exact"/>
              <w:ind w:firstLine="0" w:firstLineChars="0"/>
              <w:jc w:val="center"/>
              <w:rPr>
                <w:rFonts w:hint="eastAsia" w:cs="宋体"/>
                <w:b w:val="0"/>
                <w:color w:val="000000" w:themeColor="text1"/>
                <w:sz w:val="21"/>
                <w14:textFill>
                  <w14:solidFill>
                    <w14:schemeClr w14:val="tx1"/>
                  </w14:solidFill>
                </w14:textFill>
              </w:rPr>
            </w:pPr>
            <w:bookmarkStart w:id="449" w:name="_Toc216260281"/>
            <w:r>
              <w:rPr>
                <w:rFonts w:hint="eastAsia" w:cs="宋体"/>
                <w:b w:val="0"/>
                <w:color w:val="000000" w:themeColor="text1"/>
                <w:sz w:val="21"/>
                <w14:textFill>
                  <w14:solidFill>
                    <w14:schemeClr w14:val="tx1"/>
                  </w14:solidFill>
                </w14:textFill>
              </w:rPr>
              <w:t>T11</w:t>
            </w:r>
            <w:bookmarkEnd w:id="449"/>
          </w:p>
        </w:tc>
        <w:tc>
          <w:tcPr>
            <w:tcW w:w="1081" w:type="pct"/>
            <w:vAlign w:val="center"/>
          </w:tcPr>
          <w:p w14:paraId="433A8AB1">
            <w:pPr>
              <w:pStyle w:val="202"/>
              <w:adjustRightInd w:val="0"/>
              <w:snapToGrid w:val="0"/>
              <w:spacing w:line="300" w:lineRule="exact"/>
              <w:ind w:firstLine="0" w:firstLineChars="0"/>
              <w:jc w:val="center"/>
              <w:rPr>
                <w:rFonts w:hint="eastAsia" w:cs="宋体"/>
                <w:b w:val="0"/>
                <w:color w:val="000000" w:themeColor="text1"/>
                <w:sz w:val="21"/>
                <w14:textFill>
                  <w14:solidFill>
                    <w14:schemeClr w14:val="tx1"/>
                  </w14:solidFill>
                </w14:textFill>
              </w:rPr>
            </w:pPr>
            <w:bookmarkStart w:id="450" w:name="_Toc216260282"/>
            <w:r>
              <w:rPr>
                <w:rFonts w:hint="eastAsia" w:cs="宋体"/>
                <w:b w:val="0"/>
                <w:color w:val="000000" w:themeColor="text1"/>
                <w:sz w:val="21"/>
                <w14:textFill>
                  <w14:solidFill>
                    <w14:schemeClr w14:val="tx1"/>
                  </w14:solidFill>
                </w14:textFill>
              </w:rPr>
              <w:t>预处理站</w:t>
            </w:r>
            <w:bookmarkEnd w:id="450"/>
          </w:p>
        </w:tc>
        <w:tc>
          <w:tcPr>
            <w:tcW w:w="999" w:type="pct"/>
            <w:vAlign w:val="center"/>
          </w:tcPr>
          <w:p w14:paraId="37E76F2F">
            <w:pPr>
              <w:pStyle w:val="202"/>
              <w:adjustRightInd w:val="0"/>
              <w:snapToGrid w:val="0"/>
              <w:spacing w:line="300" w:lineRule="exact"/>
              <w:ind w:firstLine="0" w:firstLineChars="0"/>
              <w:jc w:val="center"/>
              <w:rPr>
                <w:rFonts w:hint="eastAsia" w:cs="宋体"/>
                <w:b w:val="0"/>
                <w:color w:val="000000" w:themeColor="text1"/>
                <w:sz w:val="21"/>
                <w14:textFill>
                  <w14:solidFill>
                    <w14:schemeClr w14:val="tx1"/>
                  </w14:solidFill>
                </w14:textFill>
              </w:rPr>
            </w:pPr>
          </w:p>
        </w:tc>
        <w:tc>
          <w:tcPr>
            <w:tcW w:w="998" w:type="pct"/>
            <w:vAlign w:val="center"/>
          </w:tcPr>
          <w:p w14:paraId="44A13178">
            <w:pPr>
              <w:pStyle w:val="202"/>
              <w:adjustRightInd w:val="0"/>
              <w:snapToGrid w:val="0"/>
              <w:spacing w:line="300" w:lineRule="exact"/>
              <w:ind w:firstLine="0" w:firstLineChars="0"/>
              <w:jc w:val="center"/>
              <w:rPr>
                <w:rFonts w:hint="eastAsia" w:cs="宋体"/>
                <w:b w:val="0"/>
                <w:color w:val="000000" w:themeColor="text1"/>
                <w:sz w:val="21"/>
                <w14:textFill>
                  <w14:solidFill>
                    <w14:schemeClr w14:val="tx1"/>
                  </w14:solidFill>
                </w14:textFill>
              </w:rPr>
            </w:pPr>
          </w:p>
        </w:tc>
        <w:tc>
          <w:tcPr>
            <w:tcW w:w="421" w:type="pct"/>
            <w:vMerge w:val="continue"/>
            <w:vAlign w:val="center"/>
          </w:tcPr>
          <w:p w14:paraId="76F3A8CC">
            <w:pPr>
              <w:pStyle w:val="202"/>
              <w:adjustRightInd w:val="0"/>
              <w:snapToGrid w:val="0"/>
              <w:spacing w:line="300" w:lineRule="exact"/>
              <w:ind w:firstLine="0" w:firstLineChars="0"/>
              <w:jc w:val="center"/>
              <w:rPr>
                <w:rFonts w:hint="eastAsia" w:cs="宋体"/>
                <w:b w:val="0"/>
                <w:color w:val="000000" w:themeColor="text1"/>
                <w:sz w:val="21"/>
                <w14:textFill>
                  <w14:solidFill>
                    <w14:schemeClr w14:val="tx1"/>
                  </w14:solidFill>
                </w14:textFill>
              </w:rPr>
            </w:pPr>
          </w:p>
        </w:tc>
        <w:tc>
          <w:tcPr>
            <w:tcW w:w="772" w:type="pct"/>
            <w:vMerge w:val="continue"/>
            <w:vAlign w:val="center"/>
          </w:tcPr>
          <w:p w14:paraId="7C9FA300">
            <w:pPr>
              <w:pStyle w:val="202"/>
              <w:adjustRightInd w:val="0"/>
              <w:snapToGrid w:val="0"/>
              <w:spacing w:line="300" w:lineRule="exact"/>
              <w:ind w:firstLine="0" w:firstLineChars="0"/>
              <w:jc w:val="center"/>
              <w:rPr>
                <w:rFonts w:hint="eastAsia" w:cs="宋体"/>
                <w:b w:val="0"/>
                <w:color w:val="000000" w:themeColor="text1"/>
                <w:sz w:val="21"/>
                <w14:textFill>
                  <w14:solidFill>
                    <w14:schemeClr w14:val="tx1"/>
                  </w14:solidFill>
                </w14:textFill>
              </w:rPr>
            </w:pPr>
          </w:p>
        </w:tc>
      </w:tr>
      <w:tr w14:paraId="0A67D18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395" w:type="pct"/>
            <w:vMerge w:val="continue"/>
            <w:vAlign w:val="center"/>
          </w:tcPr>
          <w:p w14:paraId="2DACA0F3">
            <w:pPr>
              <w:pStyle w:val="202"/>
              <w:adjustRightInd w:val="0"/>
              <w:snapToGrid w:val="0"/>
              <w:spacing w:line="300" w:lineRule="exact"/>
              <w:ind w:firstLine="0" w:firstLineChars="0"/>
              <w:jc w:val="center"/>
              <w:rPr>
                <w:rFonts w:hint="eastAsia" w:cs="宋体"/>
                <w:b w:val="0"/>
                <w:color w:val="000000" w:themeColor="text1"/>
                <w:sz w:val="21"/>
                <w14:textFill>
                  <w14:solidFill>
                    <w14:schemeClr w14:val="tx1"/>
                  </w14:solidFill>
                </w14:textFill>
              </w:rPr>
            </w:pPr>
          </w:p>
        </w:tc>
        <w:tc>
          <w:tcPr>
            <w:tcW w:w="334" w:type="pct"/>
            <w:vAlign w:val="center"/>
          </w:tcPr>
          <w:p w14:paraId="52A76072">
            <w:pPr>
              <w:pStyle w:val="202"/>
              <w:adjustRightInd w:val="0"/>
              <w:snapToGrid w:val="0"/>
              <w:spacing w:line="300" w:lineRule="exact"/>
              <w:ind w:firstLine="0" w:firstLineChars="0"/>
              <w:jc w:val="center"/>
              <w:rPr>
                <w:rFonts w:hint="eastAsia" w:cs="宋体"/>
                <w:b w:val="0"/>
                <w:color w:val="000000" w:themeColor="text1"/>
                <w:sz w:val="21"/>
                <w14:textFill>
                  <w14:solidFill>
                    <w14:schemeClr w14:val="tx1"/>
                  </w14:solidFill>
                </w14:textFill>
              </w:rPr>
            </w:pPr>
            <w:bookmarkStart w:id="451" w:name="_Toc216260283"/>
            <w:r>
              <w:rPr>
                <w:rFonts w:hint="eastAsia" w:cs="宋体"/>
                <w:b w:val="0"/>
                <w:color w:val="000000" w:themeColor="text1"/>
                <w:sz w:val="21"/>
                <w14:textFill>
                  <w14:solidFill>
                    <w14:schemeClr w14:val="tx1"/>
                  </w14:solidFill>
                </w14:textFill>
              </w:rPr>
              <w:t>T</w:t>
            </w:r>
            <w:r>
              <w:rPr>
                <w:rFonts w:cs="宋体"/>
                <w:b w:val="0"/>
                <w:color w:val="000000" w:themeColor="text1"/>
                <w:sz w:val="21"/>
                <w14:textFill>
                  <w14:solidFill>
                    <w14:schemeClr w14:val="tx1"/>
                  </w14:solidFill>
                </w14:textFill>
              </w:rPr>
              <w:t>2</w:t>
            </w:r>
            <w:bookmarkEnd w:id="451"/>
          </w:p>
        </w:tc>
        <w:tc>
          <w:tcPr>
            <w:tcW w:w="1081" w:type="pct"/>
            <w:vAlign w:val="center"/>
          </w:tcPr>
          <w:p w14:paraId="7A2BCAE7">
            <w:pPr>
              <w:pStyle w:val="202"/>
              <w:adjustRightInd w:val="0"/>
              <w:snapToGrid w:val="0"/>
              <w:spacing w:line="300" w:lineRule="exact"/>
              <w:ind w:firstLine="0" w:firstLineChars="0"/>
              <w:jc w:val="center"/>
              <w:rPr>
                <w:rFonts w:hint="eastAsia" w:cs="宋体"/>
                <w:b w:val="0"/>
                <w:color w:val="000000" w:themeColor="text1"/>
                <w:sz w:val="21"/>
                <w14:textFill>
                  <w14:solidFill>
                    <w14:schemeClr w14:val="tx1"/>
                  </w14:solidFill>
                </w14:textFill>
              </w:rPr>
            </w:pPr>
            <w:bookmarkStart w:id="452" w:name="_Toc216260284"/>
            <w:r>
              <w:rPr>
                <w:rFonts w:hint="eastAsia" w:cs="宋体"/>
                <w:b w:val="0"/>
                <w:color w:val="000000" w:themeColor="text1"/>
                <w:sz w:val="21"/>
                <w14:textFill>
                  <w14:solidFill>
                    <w14:schemeClr w14:val="tx1"/>
                  </w14:solidFill>
                </w14:textFill>
              </w:rPr>
              <w:t>JHW035</w:t>
            </w:r>
            <w:bookmarkEnd w:id="452"/>
          </w:p>
        </w:tc>
        <w:tc>
          <w:tcPr>
            <w:tcW w:w="999" w:type="pct"/>
            <w:vAlign w:val="center"/>
          </w:tcPr>
          <w:p w14:paraId="7D1409C8">
            <w:pPr>
              <w:pStyle w:val="202"/>
              <w:adjustRightInd w:val="0"/>
              <w:snapToGrid w:val="0"/>
              <w:spacing w:line="300" w:lineRule="exact"/>
              <w:ind w:firstLine="0" w:firstLineChars="0"/>
              <w:jc w:val="center"/>
              <w:rPr>
                <w:rFonts w:hint="eastAsia" w:cs="宋体"/>
                <w:b w:val="0"/>
                <w:color w:val="000000" w:themeColor="text1"/>
                <w:sz w:val="21"/>
                <w14:textFill>
                  <w14:solidFill>
                    <w14:schemeClr w14:val="tx1"/>
                  </w14:solidFill>
                </w14:textFill>
              </w:rPr>
            </w:pPr>
          </w:p>
        </w:tc>
        <w:tc>
          <w:tcPr>
            <w:tcW w:w="998" w:type="pct"/>
            <w:vAlign w:val="center"/>
          </w:tcPr>
          <w:p w14:paraId="04C84641">
            <w:pPr>
              <w:pStyle w:val="202"/>
              <w:adjustRightInd w:val="0"/>
              <w:snapToGrid w:val="0"/>
              <w:spacing w:line="300" w:lineRule="exact"/>
              <w:ind w:firstLine="0" w:firstLineChars="0"/>
              <w:jc w:val="center"/>
              <w:rPr>
                <w:rFonts w:hint="eastAsia" w:cs="宋体"/>
                <w:b w:val="0"/>
                <w:color w:val="000000" w:themeColor="text1"/>
                <w:sz w:val="21"/>
                <w14:textFill>
                  <w14:solidFill>
                    <w14:schemeClr w14:val="tx1"/>
                  </w14:solidFill>
                </w14:textFill>
              </w:rPr>
            </w:pPr>
          </w:p>
        </w:tc>
        <w:tc>
          <w:tcPr>
            <w:tcW w:w="421" w:type="pct"/>
            <w:vMerge w:val="restart"/>
            <w:vAlign w:val="center"/>
          </w:tcPr>
          <w:p w14:paraId="123BE430">
            <w:pPr>
              <w:pStyle w:val="202"/>
              <w:adjustRightInd w:val="0"/>
              <w:snapToGrid w:val="0"/>
              <w:spacing w:line="300" w:lineRule="exact"/>
              <w:ind w:firstLine="0" w:firstLineChars="0"/>
              <w:jc w:val="center"/>
              <w:rPr>
                <w:rFonts w:hint="eastAsia" w:cs="宋体"/>
                <w:b w:val="0"/>
                <w:color w:val="000000" w:themeColor="text1"/>
                <w:sz w:val="21"/>
                <w14:textFill>
                  <w14:solidFill>
                    <w14:schemeClr w14:val="tx1"/>
                  </w14:solidFill>
                </w14:textFill>
              </w:rPr>
            </w:pPr>
            <w:bookmarkStart w:id="453" w:name="_Toc216260285"/>
            <w:r>
              <w:rPr>
                <w:rFonts w:hint="eastAsia" w:cs="宋体"/>
                <w:b w:val="0"/>
                <w:color w:val="000000" w:themeColor="text1"/>
                <w:sz w:val="21"/>
                <w14:textFill>
                  <w14:solidFill>
                    <w14:schemeClr w14:val="tx1"/>
                  </w14:solidFill>
                </w14:textFill>
              </w:rPr>
              <w:t>表层样</w:t>
            </w:r>
            <w:bookmarkEnd w:id="453"/>
          </w:p>
        </w:tc>
        <w:tc>
          <w:tcPr>
            <w:tcW w:w="772" w:type="pct"/>
            <w:vMerge w:val="restart"/>
            <w:vAlign w:val="center"/>
          </w:tcPr>
          <w:p w14:paraId="1EADBE3C">
            <w:pPr>
              <w:pStyle w:val="202"/>
              <w:adjustRightInd w:val="0"/>
              <w:snapToGrid w:val="0"/>
              <w:spacing w:line="300" w:lineRule="exact"/>
              <w:ind w:firstLine="0" w:firstLineChars="0"/>
              <w:jc w:val="center"/>
              <w:rPr>
                <w:rFonts w:hint="eastAsia" w:cs="宋体"/>
                <w:b w:val="0"/>
                <w:color w:val="000000" w:themeColor="text1"/>
                <w:sz w:val="21"/>
                <w14:textFill>
                  <w14:solidFill>
                    <w14:schemeClr w14:val="tx1"/>
                  </w14:solidFill>
                </w14:textFill>
              </w:rPr>
            </w:pPr>
            <w:bookmarkStart w:id="454" w:name="_Toc216260286"/>
            <w:r>
              <w:rPr>
                <w:rFonts w:cs="宋体"/>
                <w:b w:val="0"/>
                <w:color w:val="000000" w:themeColor="text1"/>
                <w:sz w:val="21"/>
                <w14:textFill>
                  <w14:solidFill>
                    <w14:schemeClr w14:val="tx1"/>
                  </w14:solidFill>
                </w14:textFill>
              </w:rPr>
              <w:t>0</w:t>
            </w:r>
            <w:r>
              <w:rPr>
                <w:rFonts w:hint="eastAsia" w:cs="宋体"/>
                <w:b w:val="0"/>
                <w:color w:val="000000" w:themeColor="text1"/>
                <w:sz w:val="21"/>
                <w14:textFill>
                  <w14:solidFill>
                    <w14:schemeClr w14:val="tx1"/>
                  </w14:solidFill>
                </w14:textFill>
              </w:rPr>
              <w:t>～</w:t>
            </w:r>
            <w:r>
              <w:rPr>
                <w:rFonts w:cs="宋体"/>
                <w:b w:val="0"/>
                <w:color w:val="000000" w:themeColor="text1"/>
                <w:sz w:val="21"/>
                <w14:textFill>
                  <w14:solidFill>
                    <w14:schemeClr w14:val="tx1"/>
                  </w14:solidFill>
                </w14:textFill>
              </w:rPr>
              <w:t>0.2m</w:t>
            </w:r>
            <w:r>
              <w:rPr>
                <w:rFonts w:hint="eastAsia" w:cs="宋体"/>
                <w:b w:val="0"/>
                <w:color w:val="000000" w:themeColor="text1"/>
                <w:sz w:val="21"/>
                <w14:textFill>
                  <w14:solidFill>
                    <w14:schemeClr w14:val="tx1"/>
                  </w14:solidFill>
                </w14:textFill>
              </w:rPr>
              <w:t>处取样</w:t>
            </w:r>
            <w:bookmarkEnd w:id="454"/>
          </w:p>
        </w:tc>
      </w:tr>
      <w:tr w14:paraId="0984D34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395" w:type="pct"/>
            <w:vMerge w:val="continue"/>
            <w:vAlign w:val="center"/>
          </w:tcPr>
          <w:p w14:paraId="4BDCDCD6">
            <w:pPr>
              <w:pStyle w:val="202"/>
              <w:adjustRightInd w:val="0"/>
              <w:snapToGrid w:val="0"/>
              <w:spacing w:line="300" w:lineRule="exact"/>
              <w:ind w:firstLine="0" w:firstLineChars="0"/>
              <w:jc w:val="center"/>
              <w:rPr>
                <w:rFonts w:hint="eastAsia" w:cs="宋体"/>
                <w:b w:val="0"/>
                <w:color w:val="000000" w:themeColor="text1"/>
                <w:sz w:val="21"/>
                <w14:textFill>
                  <w14:solidFill>
                    <w14:schemeClr w14:val="tx1"/>
                  </w14:solidFill>
                </w14:textFill>
              </w:rPr>
            </w:pPr>
          </w:p>
        </w:tc>
        <w:tc>
          <w:tcPr>
            <w:tcW w:w="334" w:type="pct"/>
            <w:vAlign w:val="center"/>
          </w:tcPr>
          <w:p w14:paraId="7310E690">
            <w:pPr>
              <w:pStyle w:val="202"/>
              <w:adjustRightInd w:val="0"/>
              <w:snapToGrid w:val="0"/>
              <w:spacing w:line="300" w:lineRule="exact"/>
              <w:ind w:firstLine="0" w:firstLineChars="0"/>
              <w:jc w:val="center"/>
              <w:rPr>
                <w:rFonts w:hint="eastAsia" w:cs="宋体"/>
                <w:b w:val="0"/>
                <w:color w:val="000000" w:themeColor="text1"/>
                <w:sz w:val="21"/>
                <w14:textFill>
                  <w14:solidFill>
                    <w14:schemeClr w14:val="tx1"/>
                  </w14:solidFill>
                </w14:textFill>
              </w:rPr>
            </w:pPr>
            <w:bookmarkStart w:id="455" w:name="_Toc216260287"/>
            <w:r>
              <w:rPr>
                <w:rFonts w:hint="eastAsia" w:cs="宋体"/>
                <w:b w:val="0"/>
                <w:color w:val="000000" w:themeColor="text1"/>
                <w:sz w:val="21"/>
                <w14:textFill>
                  <w14:solidFill>
                    <w14:schemeClr w14:val="tx1"/>
                  </w14:solidFill>
                </w14:textFill>
              </w:rPr>
              <w:t>T</w:t>
            </w:r>
            <w:r>
              <w:rPr>
                <w:rFonts w:cs="宋体"/>
                <w:b w:val="0"/>
                <w:color w:val="000000" w:themeColor="text1"/>
                <w:sz w:val="21"/>
                <w14:textFill>
                  <w14:solidFill>
                    <w14:schemeClr w14:val="tx1"/>
                  </w14:solidFill>
                </w14:textFill>
              </w:rPr>
              <w:t>4</w:t>
            </w:r>
            <w:bookmarkEnd w:id="455"/>
          </w:p>
        </w:tc>
        <w:tc>
          <w:tcPr>
            <w:tcW w:w="1081" w:type="pct"/>
            <w:vAlign w:val="center"/>
          </w:tcPr>
          <w:p w14:paraId="6A6A26EF">
            <w:pPr>
              <w:pStyle w:val="202"/>
              <w:adjustRightInd w:val="0"/>
              <w:snapToGrid w:val="0"/>
              <w:spacing w:line="300" w:lineRule="exact"/>
              <w:ind w:firstLine="0" w:firstLineChars="0"/>
              <w:jc w:val="center"/>
              <w:rPr>
                <w:rFonts w:hint="eastAsia" w:cs="宋体"/>
                <w:b w:val="0"/>
                <w:color w:val="000000" w:themeColor="text1"/>
                <w:sz w:val="21"/>
                <w14:textFill>
                  <w14:solidFill>
                    <w14:schemeClr w14:val="tx1"/>
                  </w14:solidFill>
                </w14:textFill>
              </w:rPr>
            </w:pPr>
            <w:bookmarkStart w:id="456" w:name="_Toc216260288"/>
            <w:r>
              <w:rPr>
                <w:rFonts w:hint="eastAsia" w:cs="宋体"/>
                <w:b w:val="0"/>
                <w:color w:val="000000" w:themeColor="text1"/>
                <w:sz w:val="21"/>
                <w14:textFill>
                  <w14:solidFill>
                    <w14:schemeClr w14:val="tx1"/>
                  </w14:solidFill>
                </w14:textFill>
              </w:rPr>
              <w:t>JHW033</w:t>
            </w:r>
            <w:bookmarkEnd w:id="456"/>
          </w:p>
        </w:tc>
        <w:tc>
          <w:tcPr>
            <w:tcW w:w="999" w:type="pct"/>
            <w:vAlign w:val="center"/>
          </w:tcPr>
          <w:p w14:paraId="05648C26">
            <w:pPr>
              <w:pStyle w:val="202"/>
              <w:adjustRightInd w:val="0"/>
              <w:snapToGrid w:val="0"/>
              <w:spacing w:line="300" w:lineRule="exact"/>
              <w:ind w:firstLine="0" w:firstLineChars="0"/>
              <w:jc w:val="center"/>
              <w:rPr>
                <w:rFonts w:hint="eastAsia" w:cs="宋体"/>
                <w:b w:val="0"/>
                <w:color w:val="000000" w:themeColor="text1"/>
                <w:sz w:val="21"/>
                <w14:textFill>
                  <w14:solidFill>
                    <w14:schemeClr w14:val="tx1"/>
                  </w14:solidFill>
                </w14:textFill>
              </w:rPr>
            </w:pPr>
          </w:p>
        </w:tc>
        <w:tc>
          <w:tcPr>
            <w:tcW w:w="998" w:type="pct"/>
            <w:vAlign w:val="center"/>
          </w:tcPr>
          <w:p w14:paraId="7D6141CD">
            <w:pPr>
              <w:pStyle w:val="202"/>
              <w:adjustRightInd w:val="0"/>
              <w:snapToGrid w:val="0"/>
              <w:spacing w:line="300" w:lineRule="exact"/>
              <w:ind w:firstLine="0" w:firstLineChars="0"/>
              <w:jc w:val="center"/>
              <w:rPr>
                <w:rFonts w:hint="eastAsia" w:cs="宋体"/>
                <w:b w:val="0"/>
                <w:color w:val="000000" w:themeColor="text1"/>
                <w:sz w:val="21"/>
                <w14:textFill>
                  <w14:solidFill>
                    <w14:schemeClr w14:val="tx1"/>
                  </w14:solidFill>
                </w14:textFill>
              </w:rPr>
            </w:pPr>
          </w:p>
        </w:tc>
        <w:tc>
          <w:tcPr>
            <w:tcW w:w="421" w:type="pct"/>
            <w:vMerge w:val="continue"/>
            <w:vAlign w:val="center"/>
          </w:tcPr>
          <w:p w14:paraId="172657ED">
            <w:pPr>
              <w:pStyle w:val="202"/>
              <w:adjustRightInd w:val="0"/>
              <w:snapToGrid w:val="0"/>
              <w:spacing w:line="300" w:lineRule="exact"/>
              <w:ind w:firstLine="0" w:firstLineChars="0"/>
              <w:jc w:val="center"/>
              <w:rPr>
                <w:rFonts w:hint="eastAsia" w:cs="宋体"/>
                <w:b w:val="0"/>
                <w:color w:val="000000" w:themeColor="text1"/>
                <w:sz w:val="21"/>
                <w14:textFill>
                  <w14:solidFill>
                    <w14:schemeClr w14:val="tx1"/>
                  </w14:solidFill>
                </w14:textFill>
              </w:rPr>
            </w:pPr>
          </w:p>
        </w:tc>
        <w:tc>
          <w:tcPr>
            <w:tcW w:w="772" w:type="pct"/>
            <w:vMerge w:val="continue"/>
            <w:vAlign w:val="center"/>
          </w:tcPr>
          <w:p w14:paraId="3507DBB7">
            <w:pPr>
              <w:pStyle w:val="202"/>
              <w:adjustRightInd w:val="0"/>
              <w:snapToGrid w:val="0"/>
              <w:spacing w:line="300" w:lineRule="exact"/>
              <w:ind w:firstLine="0" w:firstLineChars="0"/>
              <w:jc w:val="center"/>
              <w:rPr>
                <w:rFonts w:hint="eastAsia" w:cs="宋体"/>
                <w:b w:val="0"/>
                <w:color w:val="000000" w:themeColor="text1"/>
                <w:sz w:val="21"/>
                <w14:textFill>
                  <w14:solidFill>
                    <w14:schemeClr w14:val="tx1"/>
                  </w14:solidFill>
                </w14:textFill>
              </w:rPr>
            </w:pPr>
          </w:p>
        </w:tc>
      </w:tr>
      <w:tr w14:paraId="3E8887A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395" w:type="pct"/>
            <w:vMerge w:val="continue"/>
            <w:vAlign w:val="center"/>
          </w:tcPr>
          <w:p w14:paraId="47AADFF4">
            <w:pPr>
              <w:pStyle w:val="202"/>
              <w:adjustRightInd w:val="0"/>
              <w:snapToGrid w:val="0"/>
              <w:spacing w:line="300" w:lineRule="exact"/>
              <w:ind w:firstLine="0" w:firstLineChars="0"/>
              <w:jc w:val="center"/>
              <w:rPr>
                <w:rFonts w:hint="eastAsia" w:cs="宋体"/>
                <w:b w:val="0"/>
                <w:color w:val="000000" w:themeColor="text1"/>
                <w:sz w:val="21"/>
                <w14:textFill>
                  <w14:solidFill>
                    <w14:schemeClr w14:val="tx1"/>
                  </w14:solidFill>
                </w14:textFill>
              </w:rPr>
            </w:pPr>
          </w:p>
        </w:tc>
        <w:tc>
          <w:tcPr>
            <w:tcW w:w="334" w:type="pct"/>
            <w:vAlign w:val="center"/>
          </w:tcPr>
          <w:p w14:paraId="015E6936">
            <w:pPr>
              <w:pStyle w:val="202"/>
              <w:adjustRightInd w:val="0"/>
              <w:snapToGrid w:val="0"/>
              <w:spacing w:line="300" w:lineRule="exact"/>
              <w:ind w:firstLine="0" w:firstLineChars="0"/>
              <w:jc w:val="center"/>
              <w:rPr>
                <w:rFonts w:hint="eastAsia" w:cs="宋体"/>
                <w:b w:val="0"/>
                <w:color w:val="000000" w:themeColor="text1"/>
                <w:sz w:val="21"/>
                <w14:textFill>
                  <w14:solidFill>
                    <w14:schemeClr w14:val="tx1"/>
                  </w14:solidFill>
                </w14:textFill>
              </w:rPr>
            </w:pPr>
            <w:bookmarkStart w:id="457" w:name="_Toc216260289"/>
            <w:r>
              <w:rPr>
                <w:rFonts w:cs="宋体"/>
                <w:b w:val="0"/>
                <w:color w:val="000000" w:themeColor="text1"/>
                <w:sz w:val="21"/>
                <w14:textFill>
                  <w14:solidFill>
                    <w14:schemeClr w14:val="tx1"/>
                  </w14:solidFill>
                </w14:textFill>
              </w:rPr>
              <w:t>T</w:t>
            </w:r>
            <w:r>
              <w:rPr>
                <w:rFonts w:hint="eastAsia" w:cs="宋体"/>
                <w:b w:val="0"/>
                <w:color w:val="000000" w:themeColor="text1"/>
                <w:sz w:val="21"/>
                <w14:textFill>
                  <w14:solidFill>
                    <w14:schemeClr w14:val="tx1"/>
                  </w14:solidFill>
                </w14:textFill>
              </w:rPr>
              <w:t>6</w:t>
            </w:r>
            <w:bookmarkEnd w:id="457"/>
          </w:p>
        </w:tc>
        <w:tc>
          <w:tcPr>
            <w:tcW w:w="1081" w:type="pct"/>
            <w:vAlign w:val="center"/>
          </w:tcPr>
          <w:p w14:paraId="1DF700BB">
            <w:pPr>
              <w:pStyle w:val="202"/>
              <w:adjustRightInd w:val="0"/>
              <w:snapToGrid w:val="0"/>
              <w:spacing w:line="300" w:lineRule="exact"/>
              <w:ind w:firstLine="0" w:firstLineChars="0"/>
              <w:jc w:val="center"/>
              <w:rPr>
                <w:rFonts w:hint="eastAsia" w:cs="宋体"/>
                <w:b w:val="0"/>
                <w:color w:val="000000" w:themeColor="text1"/>
                <w:sz w:val="21"/>
                <w14:textFill>
                  <w14:solidFill>
                    <w14:schemeClr w14:val="tx1"/>
                  </w14:solidFill>
                </w14:textFill>
              </w:rPr>
            </w:pPr>
            <w:bookmarkStart w:id="458" w:name="_Toc216260290"/>
            <w:r>
              <w:rPr>
                <w:rFonts w:hint="eastAsia" w:cs="宋体"/>
                <w:b w:val="0"/>
                <w:color w:val="000000" w:themeColor="text1"/>
                <w:sz w:val="21"/>
                <w14:textFill>
                  <w14:solidFill>
                    <w14:schemeClr w14:val="tx1"/>
                  </w14:solidFill>
                </w14:textFill>
              </w:rPr>
              <w:t>J10002_H</w:t>
            </w:r>
            <w:bookmarkEnd w:id="458"/>
          </w:p>
        </w:tc>
        <w:tc>
          <w:tcPr>
            <w:tcW w:w="999" w:type="pct"/>
            <w:vAlign w:val="center"/>
          </w:tcPr>
          <w:p w14:paraId="27E3BDAF">
            <w:pPr>
              <w:pStyle w:val="202"/>
              <w:adjustRightInd w:val="0"/>
              <w:snapToGrid w:val="0"/>
              <w:spacing w:line="300" w:lineRule="exact"/>
              <w:ind w:firstLine="0" w:firstLineChars="0"/>
              <w:jc w:val="center"/>
              <w:rPr>
                <w:rFonts w:hint="eastAsia" w:cs="宋体"/>
                <w:b w:val="0"/>
                <w:color w:val="000000" w:themeColor="text1"/>
                <w:sz w:val="21"/>
                <w14:textFill>
                  <w14:solidFill>
                    <w14:schemeClr w14:val="tx1"/>
                  </w14:solidFill>
                </w14:textFill>
              </w:rPr>
            </w:pPr>
          </w:p>
        </w:tc>
        <w:tc>
          <w:tcPr>
            <w:tcW w:w="998" w:type="pct"/>
            <w:vAlign w:val="center"/>
          </w:tcPr>
          <w:p w14:paraId="66F0A6F2">
            <w:pPr>
              <w:pStyle w:val="202"/>
              <w:adjustRightInd w:val="0"/>
              <w:snapToGrid w:val="0"/>
              <w:spacing w:line="300" w:lineRule="exact"/>
              <w:ind w:firstLine="0" w:firstLineChars="0"/>
              <w:jc w:val="center"/>
              <w:rPr>
                <w:rFonts w:hint="eastAsia" w:cs="宋体"/>
                <w:b w:val="0"/>
                <w:color w:val="000000" w:themeColor="text1"/>
                <w:sz w:val="21"/>
                <w14:textFill>
                  <w14:solidFill>
                    <w14:schemeClr w14:val="tx1"/>
                  </w14:solidFill>
                </w14:textFill>
              </w:rPr>
            </w:pPr>
          </w:p>
        </w:tc>
        <w:tc>
          <w:tcPr>
            <w:tcW w:w="421" w:type="pct"/>
            <w:vMerge w:val="continue"/>
            <w:vAlign w:val="center"/>
          </w:tcPr>
          <w:p w14:paraId="3941753B">
            <w:pPr>
              <w:pStyle w:val="202"/>
              <w:adjustRightInd w:val="0"/>
              <w:snapToGrid w:val="0"/>
              <w:spacing w:line="300" w:lineRule="exact"/>
              <w:ind w:firstLine="0" w:firstLineChars="0"/>
              <w:jc w:val="center"/>
              <w:rPr>
                <w:rFonts w:hint="eastAsia" w:cs="宋体"/>
                <w:b w:val="0"/>
                <w:color w:val="000000" w:themeColor="text1"/>
                <w:sz w:val="21"/>
                <w14:textFill>
                  <w14:solidFill>
                    <w14:schemeClr w14:val="tx1"/>
                  </w14:solidFill>
                </w14:textFill>
              </w:rPr>
            </w:pPr>
          </w:p>
        </w:tc>
        <w:tc>
          <w:tcPr>
            <w:tcW w:w="772" w:type="pct"/>
            <w:vMerge w:val="continue"/>
            <w:vAlign w:val="center"/>
          </w:tcPr>
          <w:p w14:paraId="1F3B3C64">
            <w:pPr>
              <w:pStyle w:val="202"/>
              <w:adjustRightInd w:val="0"/>
              <w:snapToGrid w:val="0"/>
              <w:spacing w:line="300" w:lineRule="exact"/>
              <w:ind w:firstLine="0" w:firstLineChars="0"/>
              <w:jc w:val="center"/>
              <w:rPr>
                <w:rFonts w:hint="eastAsia" w:cs="宋体"/>
                <w:b w:val="0"/>
                <w:color w:val="000000" w:themeColor="text1"/>
                <w:sz w:val="21"/>
                <w14:textFill>
                  <w14:solidFill>
                    <w14:schemeClr w14:val="tx1"/>
                  </w14:solidFill>
                </w14:textFill>
              </w:rPr>
            </w:pPr>
          </w:p>
        </w:tc>
      </w:tr>
      <w:tr w14:paraId="7396953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395" w:type="pct"/>
            <w:vMerge w:val="continue"/>
            <w:vAlign w:val="center"/>
          </w:tcPr>
          <w:p w14:paraId="16C88B14">
            <w:pPr>
              <w:pStyle w:val="202"/>
              <w:adjustRightInd w:val="0"/>
              <w:snapToGrid w:val="0"/>
              <w:spacing w:line="300" w:lineRule="exact"/>
              <w:ind w:firstLine="0" w:firstLineChars="0"/>
              <w:jc w:val="center"/>
              <w:rPr>
                <w:rFonts w:hint="eastAsia" w:cs="宋体"/>
                <w:b w:val="0"/>
                <w:color w:val="000000" w:themeColor="text1"/>
                <w:sz w:val="21"/>
                <w14:textFill>
                  <w14:solidFill>
                    <w14:schemeClr w14:val="tx1"/>
                  </w14:solidFill>
                </w14:textFill>
              </w:rPr>
            </w:pPr>
          </w:p>
        </w:tc>
        <w:tc>
          <w:tcPr>
            <w:tcW w:w="334" w:type="pct"/>
            <w:vAlign w:val="center"/>
          </w:tcPr>
          <w:p w14:paraId="268C3258">
            <w:pPr>
              <w:pStyle w:val="202"/>
              <w:adjustRightInd w:val="0"/>
              <w:snapToGrid w:val="0"/>
              <w:spacing w:line="300" w:lineRule="exact"/>
              <w:ind w:firstLine="0" w:firstLineChars="0"/>
              <w:jc w:val="center"/>
              <w:rPr>
                <w:rFonts w:hint="eastAsia" w:cs="宋体"/>
                <w:b w:val="0"/>
                <w:color w:val="000000" w:themeColor="text1"/>
                <w:sz w:val="21"/>
                <w14:textFill>
                  <w14:solidFill>
                    <w14:schemeClr w14:val="tx1"/>
                  </w14:solidFill>
                </w14:textFill>
              </w:rPr>
            </w:pPr>
            <w:bookmarkStart w:id="459" w:name="_Toc216260291"/>
            <w:r>
              <w:rPr>
                <w:rFonts w:hint="eastAsia" w:cs="宋体"/>
                <w:b w:val="0"/>
                <w:color w:val="000000" w:themeColor="text1"/>
                <w:sz w:val="21"/>
                <w14:textFill>
                  <w14:solidFill>
                    <w14:schemeClr w14:val="tx1"/>
                  </w14:solidFill>
                </w14:textFill>
              </w:rPr>
              <w:t>T9</w:t>
            </w:r>
            <w:bookmarkEnd w:id="459"/>
          </w:p>
        </w:tc>
        <w:tc>
          <w:tcPr>
            <w:tcW w:w="1081" w:type="pct"/>
            <w:vAlign w:val="center"/>
          </w:tcPr>
          <w:p w14:paraId="6B7416A9">
            <w:pPr>
              <w:pStyle w:val="202"/>
              <w:adjustRightInd w:val="0"/>
              <w:snapToGrid w:val="0"/>
              <w:spacing w:line="300" w:lineRule="exact"/>
              <w:ind w:firstLine="0" w:firstLineChars="0"/>
              <w:jc w:val="center"/>
              <w:rPr>
                <w:rFonts w:hint="eastAsia" w:cs="宋体"/>
                <w:b w:val="0"/>
                <w:color w:val="000000" w:themeColor="text1"/>
                <w:sz w:val="21"/>
                <w14:textFill>
                  <w14:solidFill>
                    <w14:schemeClr w14:val="tx1"/>
                  </w14:solidFill>
                </w14:textFill>
              </w:rPr>
            </w:pPr>
            <w:bookmarkStart w:id="460" w:name="_Toc216260292"/>
            <w:r>
              <w:rPr>
                <w:rFonts w:hint="eastAsia" w:cs="宋体"/>
                <w:b w:val="0"/>
                <w:color w:val="000000" w:themeColor="text1"/>
                <w:sz w:val="21"/>
                <w14:textFill>
                  <w14:solidFill>
                    <w14:schemeClr w14:val="tx1"/>
                  </w14:solidFill>
                </w14:textFill>
              </w:rPr>
              <w:t>JHW00526</w:t>
            </w:r>
            <w:bookmarkEnd w:id="460"/>
          </w:p>
        </w:tc>
        <w:tc>
          <w:tcPr>
            <w:tcW w:w="999" w:type="pct"/>
            <w:vAlign w:val="center"/>
          </w:tcPr>
          <w:p w14:paraId="5F96302D">
            <w:pPr>
              <w:pStyle w:val="202"/>
              <w:adjustRightInd w:val="0"/>
              <w:snapToGrid w:val="0"/>
              <w:spacing w:line="300" w:lineRule="exact"/>
              <w:ind w:firstLine="0" w:firstLineChars="0"/>
              <w:jc w:val="center"/>
              <w:rPr>
                <w:rFonts w:hint="eastAsia" w:cs="宋体"/>
                <w:b w:val="0"/>
                <w:color w:val="000000" w:themeColor="text1"/>
                <w:sz w:val="21"/>
                <w14:textFill>
                  <w14:solidFill>
                    <w14:schemeClr w14:val="tx1"/>
                  </w14:solidFill>
                </w14:textFill>
              </w:rPr>
            </w:pPr>
          </w:p>
        </w:tc>
        <w:tc>
          <w:tcPr>
            <w:tcW w:w="998" w:type="pct"/>
            <w:vAlign w:val="center"/>
          </w:tcPr>
          <w:p w14:paraId="1FC32603">
            <w:pPr>
              <w:pStyle w:val="202"/>
              <w:adjustRightInd w:val="0"/>
              <w:snapToGrid w:val="0"/>
              <w:spacing w:line="300" w:lineRule="exact"/>
              <w:ind w:firstLine="0" w:firstLineChars="0"/>
              <w:jc w:val="center"/>
              <w:rPr>
                <w:rFonts w:hint="eastAsia" w:cs="宋体"/>
                <w:b w:val="0"/>
                <w:color w:val="000000" w:themeColor="text1"/>
                <w:sz w:val="21"/>
                <w14:textFill>
                  <w14:solidFill>
                    <w14:schemeClr w14:val="tx1"/>
                  </w14:solidFill>
                </w14:textFill>
              </w:rPr>
            </w:pPr>
          </w:p>
        </w:tc>
        <w:tc>
          <w:tcPr>
            <w:tcW w:w="421" w:type="pct"/>
            <w:vMerge w:val="continue"/>
            <w:vAlign w:val="center"/>
          </w:tcPr>
          <w:p w14:paraId="1C95F7A4">
            <w:pPr>
              <w:pStyle w:val="202"/>
              <w:adjustRightInd w:val="0"/>
              <w:snapToGrid w:val="0"/>
              <w:spacing w:line="300" w:lineRule="exact"/>
              <w:ind w:firstLine="0" w:firstLineChars="0"/>
              <w:jc w:val="center"/>
              <w:rPr>
                <w:rFonts w:hint="eastAsia" w:cs="宋体"/>
                <w:b w:val="0"/>
                <w:color w:val="000000" w:themeColor="text1"/>
                <w:sz w:val="21"/>
                <w14:textFill>
                  <w14:solidFill>
                    <w14:schemeClr w14:val="tx1"/>
                  </w14:solidFill>
                </w14:textFill>
              </w:rPr>
            </w:pPr>
          </w:p>
        </w:tc>
        <w:tc>
          <w:tcPr>
            <w:tcW w:w="772" w:type="pct"/>
            <w:vMerge w:val="continue"/>
            <w:vAlign w:val="center"/>
          </w:tcPr>
          <w:p w14:paraId="404A0B0C">
            <w:pPr>
              <w:pStyle w:val="202"/>
              <w:adjustRightInd w:val="0"/>
              <w:snapToGrid w:val="0"/>
              <w:spacing w:line="300" w:lineRule="exact"/>
              <w:ind w:firstLine="0" w:firstLineChars="0"/>
              <w:jc w:val="center"/>
              <w:rPr>
                <w:rFonts w:hint="eastAsia" w:cs="宋体"/>
                <w:b w:val="0"/>
                <w:color w:val="000000" w:themeColor="text1"/>
                <w:sz w:val="21"/>
                <w14:textFill>
                  <w14:solidFill>
                    <w14:schemeClr w14:val="tx1"/>
                  </w14:solidFill>
                </w14:textFill>
              </w:rPr>
            </w:pPr>
          </w:p>
        </w:tc>
      </w:tr>
      <w:tr w14:paraId="551C417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395" w:type="pct"/>
            <w:vMerge w:val="continue"/>
            <w:vAlign w:val="center"/>
          </w:tcPr>
          <w:p w14:paraId="72E822BE">
            <w:pPr>
              <w:pStyle w:val="202"/>
              <w:adjustRightInd w:val="0"/>
              <w:snapToGrid w:val="0"/>
              <w:spacing w:line="300" w:lineRule="exact"/>
              <w:ind w:firstLine="0" w:firstLineChars="0"/>
              <w:jc w:val="center"/>
              <w:rPr>
                <w:rFonts w:hint="eastAsia" w:cs="宋体"/>
                <w:b w:val="0"/>
                <w:color w:val="000000" w:themeColor="text1"/>
                <w:sz w:val="21"/>
                <w14:textFill>
                  <w14:solidFill>
                    <w14:schemeClr w14:val="tx1"/>
                  </w14:solidFill>
                </w14:textFill>
              </w:rPr>
            </w:pPr>
          </w:p>
        </w:tc>
        <w:tc>
          <w:tcPr>
            <w:tcW w:w="334" w:type="pct"/>
            <w:vAlign w:val="center"/>
          </w:tcPr>
          <w:p w14:paraId="4E89CE48">
            <w:pPr>
              <w:pStyle w:val="202"/>
              <w:adjustRightInd w:val="0"/>
              <w:snapToGrid w:val="0"/>
              <w:spacing w:line="300" w:lineRule="exact"/>
              <w:ind w:firstLine="0" w:firstLineChars="0"/>
              <w:jc w:val="center"/>
              <w:rPr>
                <w:rFonts w:hint="eastAsia" w:cs="宋体"/>
                <w:b w:val="0"/>
                <w:color w:val="000000" w:themeColor="text1"/>
                <w:sz w:val="21"/>
                <w14:textFill>
                  <w14:solidFill>
                    <w14:schemeClr w14:val="tx1"/>
                  </w14:solidFill>
                </w14:textFill>
              </w:rPr>
            </w:pPr>
            <w:bookmarkStart w:id="461" w:name="_Toc216260293"/>
            <w:r>
              <w:rPr>
                <w:rFonts w:hint="eastAsia" w:cs="宋体"/>
                <w:b w:val="0"/>
                <w:color w:val="000000" w:themeColor="text1"/>
                <w:sz w:val="21"/>
                <w14:textFill>
                  <w14:solidFill>
                    <w14:schemeClr w14:val="tx1"/>
                  </w14:solidFill>
                </w14:textFill>
              </w:rPr>
              <w:t>T10</w:t>
            </w:r>
            <w:bookmarkEnd w:id="461"/>
          </w:p>
        </w:tc>
        <w:tc>
          <w:tcPr>
            <w:tcW w:w="1081" w:type="pct"/>
            <w:vAlign w:val="center"/>
          </w:tcPr>
          <w:p w14:paraId="17BB725B">
            <w:pPr>
              <w:pStyle w:val="202"/>
              <w:adjustRightInd w:val="0"/>
              <w:snapToGrid w:val="0"/>
              <w:spacing w:line="300" w:lineRule="exact"/>
              <w:ind w:firstLine="0" w:firstLineChars="0"/>
              <w:jc w:val="center"/>
              <w:rPr>
                <w:rFonts w:hint="eastAsia" w:cs="宋体"/>
                <w:b w:val="0"/>
                <w:color w:val="000000" w:themeColor="text1"/>
                <w:sz w:val="21"/>
                <w14:textFill>
                  <w14:solidFill>
                    <w14:schemeClr w14:val="tx1"/>
                  </w14:solidFill>
                </w14:textFill>
              </w:rPr>
            </w:pPr>
            <w:bookmarkStart w:id="462" w:name="_Toc216260294"/>
            <w:r>
              <w:rPr>
                <w:rFonts w:hint="eastAsia" w:cs="宋体"/>
                <w:b w:val="0"/>
                <w:color w:val="000000" w:themeColor="text1"/>
                <w:sz w:val="21"/>
                <w14:textFill>
                  <w14:solidFill>
                    <w14:schemeClr w14:val="tx1"/>
                  </w14:solidFill>
                </w14:textFill>
              </w:rPr>
              <w:t>JHW00422</w:t>
            </w:r>
            <w:bookmarkEnd w:id="462"/>
          </w:p>
        </w:tc>
        <w:tc>
          <w:tcPr>
            <w:tcW w:w="999" w:type="pct"/>
            <w:vAlign w:val="center"/>
          </w:tcPr>
          <w:p w14:paraId="0D1ECA81">
            <w:pPr>
              <w:pStyle w:val="202"/>
              <w:adjustRightInd w:val="0"/>
              <w:snapToGrid w:val="0"/>
              <w:spacing w:line="300" w:lineRule="exact"/>
              <w:ind w:firstLine="0" w:firstLineChars="0"/>
              <w:jc w:val="center"/>
              <w:rPr>
                <w:rFonts w:hint="eastAsia" w:cs="宋体"/>
                <w:b w:val="0"/>
                <w:color w:val="000000" w:themeColor="text1"/>
                <w:sz w:val="21"/>
                <w14:textFill>
                  <w14:solidFill>
                    <w14:schemeClr w14:val="tx1"/>
                  </w14:solidFill>
                </w14:textFill>
              </w:rPr>
            </w:pPr>
          </w:p>
        </w:tc>
        <w:tc>
          <w:tcPr>
            <w:tcW w:w="998" w:type="pct"/>
            <w:vAlign w:val="center"/>
          </w:tcPr>
          <w:p w14:paraId="714B683D">
            <w:pPr>
              <w:pStyle w:val="202"/>
              <w:adjustRightInd w:val="0"/>
              <w:snapToGrid w:val="0"/>
              <w:spacing w:line="300" w:lineRule="exact"/>
              <w:ind w:firstLine="0" w:firstLineChars="0"/>
              <w:jc w:val="center"/>
              <w:rPr>
                <w:rFonts w:hint="eastAsia" w:cs="宋体"/>
                <w:b w:val="0"/>
                <w:color w:val="000000" w:themeColor="text1"/>
                <w:sz w:val="21"/>
                <w14:textFill>
                  <w14:solidFill>
                    <w14:schemeClr w14:val="tx1"/>
                  </w14:solidFill>
                </w14:textFill>
              </w:rPr>
            </w:pPr>
          </w:p>
        </w:tc>
        <w:tc>
          <w:tcPr>
            <w:tcW w:w="421" w:type="pct"/>
            <w:vMerge w:val="continue"/>
            <w:vAlign w:val="center"/>
          </w:tcPr>
          <w:p w14:paraId="74EAE0E5">
            <w:pPr>
              <w:pStyle w:val="202"/>
              <w:adjustRightInd w:val="0"/>
              <w:snapToGrid w:val="0"/>
              <w:spacing w:line="300" w:lineRule="exact"/>
              <w:ind w:firstLine="0" w:firstLineChars="0"/>
              <w:jc w:val="center"/>
              <w:rPr>
                <w:rFonts w:hint="eastAsia" w:cs="宋体"/>
                <w:b w:val="0"/>
                <w:color w:val="000000" w:themeColor="text1"/>
                <w:sz w:val="21"/>
                <w14:textFill>
                  <w14:solidFill>
                    <w14:schemeClr w14:val="tx1"/>
                  </w14:solidFill>
                </w14:textFill>
              </w:rPr>
            </w:pPr>
          </w:p>
        </w:tc>
        <w:tc>
          <w:tcPr>
            <w:tcW w:w="772" w:type="pct"/>
            <w:vMerge w:val="continue"/>
            <w:vAlign w:val="center"/>
          </w:tcPr>
          <w:p w14:paraId="71C2B164">
            <w:pPr>
              <w:pStyle w:val="202"/>
              <w:adjustRightInd w:val="0"/>
              <w:snapToGrid w:val="0"/>
              <w:spacing w:line="300" w:lineRule="exact"/>
              <w:ind w:firstLine="0" w:firstLineChars="0"/>
              <w:jc w:val="center"/>
              <w:rPr>
                <w:rFonts w:hint="eastAsia" w:cs="宋体"/>
                <w:b w:val="0"/>
                <w:color w:val="000000" w:themeColor="text1"/>
                <w:sz w:val="21"/>
                <w14:textFill>
                  <w14:solidFill>
                    <w14:schemeClr w14:val="tx1"/>
                  </w14:solidFill>
                </w14:textFill>
              </w:rPr>
            </w:pPr>
          </w:p>
        </w:tc>
      </w:tr>
      <w:tr w14:paraId="5F0C3D7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395" w:type="pct"/>
            <w:vMerge w:val="restart"/>
            <w:vAlign w:val="center"/>
          </w:tcPr>
          <w:p w14:paraId="3807461F">
            <w:pPr>
              <w:pStyle w:val="202"/>
              <w:adjustRightInd w:val="0"/>
              <w:snapToGrid w:val="0"/>
              <w:spacing w:line="300" w:lineRule="exact"/>
              <w:ind w:firstLine="0" w:firstLineChars="0"/>
              <w:jc w:val="center"/>
              <w:rPr>
                <w:rFonts w:hint="eastAsia" w:cs="宋体"/>
                <w:b w:val="0"/>
                <w:color w:val="000000" w:themeColor="text1"/>
                <w:sz w:val="21"/>
                <w14:textFill>
                  <w14:solidFill>
                    <w14:schemeClr w14:val="tx1"/>
                  </w14:solidFill>
                </w14:textFill>
              </w:rPr>
            </w:pPr>
            <w:bookmarkStart w:id="463" w:name="_Toc216260295"/>
            <w:r>
              <w:rPr>
                <w:rFonts w:hint="eastAsia" w:cs="宋体"/>
                <w:b w:val="0"/>
                <w:color w:val="000000" w:themeColor="text1"/>
                <w:sz w:val="21"/>
                <w14:textFill>
                  <w14:solidFill>
                    <w14:schemeClr w14:val="tx1"/>
                  </w14:solidFill>
                </w14:textFill>
              </w:rPr>
              <w:t>占地范围外</w:t>
            </w:r>
            <w:bookmarkEnd w:id="463"/>
          </w:p>
        </w:tc>
        <w:tc>
          <w:tcPr>
            <w:tcW w:w="334" w:type="pct"/>
            <w:vAlign w:val="center"/>
          </w:tcPr>
          <w:p w14:paraId="0A19E456">
            <w:pPr>
              <w:pStyle w:val="202"/>
              <w:adjustRightInd w:val="0"/>
              <w:snapToGrid w:val="0"/>
              <w:spacing w:line="300" w:lineRule="exact"/>
              <w:ind w:firstLine="0" w:firstLineChars="0"/>
              <w:jc w:val="center"/>
              <w:rPr>
                <w:rFonts w:hint="eastAsia" w:cs="宋体"/>
                <w:b w:val="0"/>
                <w:color w:val="000000" w:themeColor="text1"/>
                <w:sz w:val="21"/>
                <w14:textFill>
                  <w14:solidFill>
                    <w14:schemeClr w14:val="tx1"/>
                  </w14:solidFill>
                </w14:textFill>
              </w:rPr>
            </w:pPr>
            <w:bookmarkStart w:id="464" w:name="_Toc216260296"/>
            <w:r>
              <w:rPr>
                <w:rFonts w:hint="eastAsia" w:cs="宋体"/>
                <w:b w:val="0"/>
                <w:color w:val="000000" w:themeColor="text1"/>
                <w:sz w:val="21"/>
                <w14:textFill>
                  <w14:solidFill>
                    <w14:schemeClr w14:val="tx1"/>
                  </w14:solidFill>
                </w14:textFill>
              </w:rPr>
              <w:t>T3</w:t>
            </w:r>
            <w:bookmarkEnd w:id="464"/>
          </w:p>
        </w:tc>
        <w:tc>
          <w:tcPr>
            <w:tcW w:w="1081" w:type="pct"/>
            <w:vAlign w:val="center"/>
          </w:tcPr>
          <w:p w14:paraId="1E597F40">
            <w:pPr>
              <w:pStyle w:val="202"/>
              <w:adjustRightInd w:val="0"/>
              <w:snapToGrid w:val="0"/>
              <w:spacing w:line="300" w:lineRule="exact"/>
              <w:ind w:firstLine="0" w:firstLineChars="0"/>
              <w:jc w:val="center"/>
              <w:rPr>
                <w:rFonts w:hint="eastAsia" w:cs="宋体"/>
                <w:b w:val="0"/>
                <w:color w:val="000000" w:themeColor="text1"/>
                <w:sz w:val="21"/>
                <w14:textFill>
                  <w14:solidFill>
                    <w14:schemeClr w14:val="tx1"/>
                  </w14:solidFill>
                </w14:textFill>
              </w:rPr>
            </w:pPr>
            <w:bookmarkStart w:id="465" w:name="_Toc216260297"/>
            <w:r>
              <w:rPr>
                <w:rFonts w:hint="eastAsia" w:cs="宋体"/>
                <w:b w:val="0"/>
                <w:color w:val="000000" w:themeColor="text1"/>
                <w:sz w:val="21"/>
                <w14:textFill>
                  <w14:solidFill>
                    <w14:schemeClr w14:val="tx1"/>
                  </w14:solidFill>
                </w14:textFill>
              </w:rPr>
              <w:t>JHW034</w:t>
            </w:r>
            <w:bookmarkEnd w:id="465"/>
          </w:p>
        </w:tc>
        <w:tc>
          <w:tcPr>
            <w:tcW w:w="999" w:type="pct"/>
            <w:vAlign w:val="center"/>
          </w:tcPr>
          <w:p w14:paraId="6A738314">
            <w:pPr>
              <w:pStyle w:val="202"/>
              <w:adjustRightInd w:val="0"/>
              <w:snapToGrid w:val="0"/>
              <w:spacing w:line="300" w:lineRule="exact"/>
              <w:ind w:firstLine="0" w:firstLineChars="0"/>
              <w:jc w:val="center"/>
              <w:rPr>
                <w:rFonts w:hint="eastAsia" w:cs="宋体"/>
                <w:b w:val="0"/>
                <w:color w:val="000000" w:themeColor="text1"/>
                <w:sz w:val="21"/>
                <w14:textFill>
                  <w14:solidFill>
                    <w14:schemeClr w14:val="tx1"/>
                  </w14:solidFill>
                </w14:textFill>
              </w:rPr>
            </w:pPr>
          </w:p>
        </w:tc>
        <w:tc>
          <w:tcPr>
            <w:tcW w:w="998" w:type="pct"/>
            <w:vAlign w:val="center"/>
          </w:tcPr>
          <w:p w14:paraId="6C788562">
            <w:pPr>
              <w:pStyle w:val="202"/>
              <w:adjustRightInd w:val="0"/>
              <w:snapToGrid w:val="0"/>
              <w:spacing w:line="300" w:lineRule="exact"/>
              <w:ind w:firstLine="0" w:firstLineChars="0"/>
              <w:jc w:val="center"/>
              <w:rPr>
                <w:rFonts w:hint="eastAsia" w:cs="宋体"/>
                <w:b w:val="0"/>
                <w:color w:val="000000" w:themeColor="text1"/>
                <w:sz w:val="21"/>
                <w14:textFill>
                  <w14:solidFill>
                    <w14:schemeClr w14:val="tx1"/>
                  </w14:solidFill>
                </w14:textFill>
              </w:rPr>
            </w:pPr>
          </w:p>
        </w:tc>
        <w:tc>
          <w:tcPr>
            <w:tcW w:w="421" w:type="pct"/>
            <w:vMerge w:val="continue"/>
            <w:vAlign w:val="center"/>
          </w:tcPr>
          <w:p w14:paraId="66A1E8C0">
            <w:pPr>
              <w:pStyle w:val="202"/>
              <w:adjustRightInd w:val="0"/>
              <w:snapToGrid w:val="0"/>
              <w:spacing w:line="300" w:lineRule="exact"/>
              <w:ind w:firstLine="0" w:firstLineChars="0"/>
              <w:jc w:val="center"/>
              <w:rPr>
                <w:rFonts w:hint="eastAsia" w:cs="宋体"/>
                <w:b w:val="0"/>
                <w:color w:val="000000" w:themeColor="text1"/>
                <w:sz w:val="21"/>
                <w14:textFill>
                  <w14:solidFill>
                    <w14:schemeClr w14:val="tx1"/>
                  </w14:solidFill>
                </w14:textFill>
              </w:rPr>
            </w:pPr>
          </w:p>
        </w:tc>
        <w:tc>
          <w:tcPr>
            <w:tcW w:w="772" w:type="pct"/>
            <w:vMerge w:val="continue"/>
            <w:vAlign w:val="center"/>
          </w:tcPr>
          <w:p w14:paraId="6C6AFA2B">
            <w:pPr>
              <w:pStyle w:val="202"/>
              <w:adjustRightInd w:val="0"/>
              <w:snapToGrid w:val="0"/>
              <w:spacing w:line="300" w:lineRule="exact"/>
              <w:ind w:firstLine="0" w:firstLineChars="0"/>
              <w:jc w:val="center"/>
              <w:rPr>
                <w:rFonts w:hint="eastAsia" w:cs="宋体"/>
                <w:b w:val="0"/>
                <w:color w:val="000000" w:themeColor="text1"/>
                <w:sz w:val="21"/>
                <w14:textFill>
                  <w14:solidFill>
                    <w14:schemeClr w14:val="tx1"/>
                  </w14:solidFill>
                </w14:textFill>
              </w:rPr>
            </w:pPr>
          </w:p>
        </w:tc>
      </w:tr>
      <w:tr w14:paraId="3F6A06F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395" w:type="pct"/>
            <w:vMerge w:val="continue"/>
            <w:vAlign w:val="center"/>
          </w:tcPr>
          <w:p w14:paraId="739E7277">
            <w:pPr>
              <w:pStyle w:val="202"/>
              <w:adjustRightInd w:val="0"/>
              <w:snapToGrid w:val="0"/>
              <w:spacing w:line="300" w:lineRule="exact"/>
              <w:ind w:firstLine="420"/>
              <w:jc w:val="center"/>
              <w:rPr>
                <w:rFonts w:hint="eastAsia" w:cs="宋体"/>
                <w:b w:val="0"/>
                <w:color w:val="000000" w:themeColor="text1"/>
                <w:sz w:val="21"/>
                <w14:textFill>
                  <w14:solidFill>
                    <w14:schemeClr w14:val="tx1"/>
                  </w14:solidFill>
                </w14:textFill>
              </w:rPr>
            </w:pPr>
          </w:p>
        </w:tc>
        <w:tc>
          <w:tcPr>
            <w:tcW w:w="334" w:type="pct"/>
            <w:vAlign w:val="center"/>
          </w:tcPr>
          <w:p w14:paraId="209A2B94">
            <w:pPr>
              <w:pStyle w:val="202"/>
              <w:adjustRightInd w:val="0"/>
              <w:snapToGrid w:val="0"/>
              <w:spacing w:line="300" w:lineRule="exact"/>
              <w:ind w:firstLine="0" w:firstLineChars="0"/>
              <w:jc w:val="center"/>
              <w:rPr>
                <w:rFonts w:hint="eastAsia" w:cs="宋体"/>
                <w:b w:val="0"/>
                <w:color w:val="000000" w:themeColor="text1"/>
                <w:sz w:val="21"/>
                <w14:textFill>
                  <w14:solidFill>
                    <w14:schemeClr w14:val="tx1"/>
                  </w14:solidFill>
                </w14:textFill>
              </w:rPr>
            </w:pPr>
            <w:bookmarkStart w:id="466" w:name="_Toc216260298"/>
            <w:r>
              <w:rPr>
                <w:rFonts w:hint="eastAsia" w:cs="宋体"/>
                <w:b w:val="0"/>
                <w:color w:val="000000" w:themeColor="text1"/>
                <w:sz w:val="21"/>
                <w14:textFill>
                  <w14:solidFill>
                    <w14:schemeClr w14:val="tx1"/>
                  </w14:solidFill>
                </w14:textFill>
              </w:rPr>
              <w:t>T12</w:t>
            </w:r>
            <w:bookmarkEnd w:id="466"/>
          </w:p>
        </w:tc>
        <w:tc>
          <w:tcPr>
            <w:tcW w:w="1081" w:type="pct"/>
            <w:vAlign w:val="center"/>
          </w:tcPr>
          <w:p w14:paraId="5586996B">
            <w:pPr>
              <w:pStyle w:val="202"/>
              <w:adjustRightInd w:val="0"/>
              <w:snapToGrid w:val="0"/>
              <w:spacing w:line="300" w:lineRule="exact"/>
              <w:ind w:firstLine="0" w:firstLineChars="0"/>
              <w:jc w:val="center"/>
              <w:rPr>
                <w:rFonts w:hint="eastAsia" w:cs="宋体"/>
                <w:b w:val="0"/>
                <w:color w:val="000000" w:themeColor="text1"/>
                <w:sz w:val="21"/>
                <w14:textFill>
                  <w14:solidFill>
                    <w14:schemeClr w14:val="tx1"/>
                  </w14:solidFill>
                </w14:textFill>
              </w:rPr>
            </w:pPr>
            <w:bookmarkStart w:id="467" w:name="_Toc216260299"/>
            <w:r>
              <w:rPr>
                <w:rFonts w:hint="eastAsia" w:cs="宋体"/>
                <w:b w:val="0"/>
                <w:color w:val="000000" w:themeColor="text1"/>
                <w:sz w:val="21"/>
                <w14:textFill>
                  <w14:solidFill>
                    <w14:schemeClr w14:val="tx1"/>
                  </w14:solidFill>
                </w14:textFill>
              </w:rPr>
              <w:t>管线沿线</w:t>
            </w:r>
            <w:bookmarkEnd w:id="467"/>
          </w:p>
        </w:tc>
        <w:tc>
          <w:tcPr>
            <w:tcW w:w="999" w:type="pct"/>
            <w:vAlign w:val="center"/>
          </w:tcPr>
          <w:p w14:paraId="27B870BE">
            <w:pPr>
              <w:pStyle w:val="202"/>
              <w:adjustRightInd w:val="0"/>
              <w:snapToGrid w:val="0"/>
              <w:spacing w:line="300" w:lineRule="exact"/>
              <w:ind w:firstLine="0" w:firstLineChars="0"/>
              <w:jc w:val="center"/>
              <w:rPr>
                <w:rFonts w:hint="eastAsia" w:cs="宋体"/>
                <w:b w:val="0"/>
                <w:color w:val="000000" w:themeColor="text1"/>
                <w:sz w:val="21"/>
                <w14:textFill>
                  <w14:solidFill>
                    <w14:schemeClr w14:val="tx1"/>
                  </w14:solidFill>
                </w14:textFill>
              </w:rPr>
            </w:pPr>
          </w:p>
        </w:tc>
        <w:tc>
          <w:tcPr>
            <w:tcW w:w="998" w:type="pct"/>
            <w:vAlign w:val="center"/>
          </w:tcPr>
          <w:p w14:paraId="69C9FED0">
            <w:pPr>
              <w:pStyle w:val="202"/>
              <w:adjustRightInd w:val="0"/>
              <w:snapToGrid w:val="0"/>
              <w:spacing w:line="300" w:lineRule="exact"/>
              <w:ind w:firstLine="0" w:firstLineChars="0"/>
              <w:jc w:val="center"/>
              <w:rPr>
                <w:rFonts w:hint="eastAsia" w:cs="宋体"/>
                <w:b w:val="0"/>
                <w:color w:val="000000" w:themeColor="text1"/>
                <w:sz w:val="21"/>
                <w14:textFill>
                  <w14:solidFill>
                    <w14:schemeClr w14:val="tx1"/>
                  </w14:solidFill>
                </w14:textFill>
              </w:rPr>
            </w:pPr>
          </w:p>
        </w:tc>
        <w:tc>
          <w:tcPr>
            <w:tcW w:w="421" w:type="pct"/>
            <w:vMerge w:val="continue"/>
            <w:vAlign w:val="center"/>
          </w:tcPr>
          <w:p w14:paraId="054170F2">
            <w:pPr>
              <w:pStyle w:val="202"/>
              <w:adjustRightInd w:val="0"/>
              <w:snapToGrid w:val="0"/>
              <w:spacing w:line="300" w:lineRule="exact"/>
              <w:ind w:firstLine="0" w:firstLineChars="0"/>
              <w:jc w:val="center"/>
              <w:rPr>
                <w:rFonts w:hint="eastAsia" w:cs="宋体"/>
                <w:b w:val="0"/>
                <w:color w:val="000000" w:themeColor="text1"/>
                <w:sz w:val="21"/>
                <w14:textFill>
                  <w14:solidFill>
                    <w14:schemeClr w14:val="tx1"/>
                  </w14:solidFill>
                </w14:textFill>
              </w:rPr>
            </w:pPr>
          </w:p>
        </w:tc>
        <w:tc>
          <w:tcPr>
            <w:tcW w:w="772" w:type="pct"/>
            <w:vMerge w:val="continue"/>
            <w:vAlign w:val="center"/>
          </w:tcPr>
          <w:p w14:paraId="3A969F4C">
            <w:pPr>
              <w:pStyle w:val="202"/>
              <w:adjustRightInd w:val="0"/>
              <w:snapToGrid w:val="0"/>
              <w:spacing w:line="300" w:lineRule="exact"/>
              <w:ind w:firstLine="0" w:firstLineChars="0"/>
              <w:jc w:val="center"/>
              <w:rPr>
                <w:rFonts w:hint="eastAsia" w:cs="宋体"/>
                <w:b w:val="0"/>
                <w:color w:val="000000" w:themeColor="text1"/>
                <w:sz w:val="21"/>
                <w14:textFill>
                  <w14:solidFill>
                    <w14:schemeClr w14:val="tx1"/>
                  </w14:solidFill>
                </w14:textFill>
              </w:rPr>
            </w:pPr>
          </w:p>
        </w:tc>
      </w:tr>
      <w:tr w14:paraId="2344048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395" w:type="pct"/>
            <w:vMerge w:val="continue"/>
            <w:vAlign w:val="center"/>
          </w:tcPr>
          <w:p w14:paraId="619A2232">
            <w:pPr>
              <w:pStyle w:val="202"/>
              <w:adjustRightInd w:val="0"/>
              <w:snapToGrid w:val="0"/>
              <w:spacing w:line="300" w:lineRule="exact"/>
              <w:ind w:firstLine="420"/>
              <w:jc w:val="center"/>
              <w:rPr>
                <w:rFonts w:hint="eastAsia" w:cs="宋体"/>
                <w:b w:val="0"/>
                <w:color w:val="000000" w:themeColor="text1"/>
                <w:sz w:val="21"/>
                <w14:textFill>
                  <w14:solidFill>
                    <w14:schemeClr w14:val="tx1"/>
                  </w14:solidFill>
                </w14:textFill>
              </w:rPr>
            </w:pPr>
          </w:p>
        </w:tc>
        <w:tc>
          <w:tcPr>
            <w:tcW w:w="334" w:type="pct"/>
            <w:vAlign w:val="center"/>
          </w:tcPr>
          <w:p w14:paraId="711ECAA7">
            <w:pPr>
              <w:pStyle w:val="202"/>
              <w:adjustRightInd w:val="0"/>
              <w:snapToGrid w:val="0"/>
              <w:spacing w:line="300" w:lineRule="exact"/>
              <w:ind w:firstLine="0" w:firstLineChars="0"/>
              <w:jc w:val="center"/>
              <w:rPr>
                <w:rFonts w:hint="eastAsia" w:cs="宋体"/>
                <w:b w:val="0"/>
                <w:color w:val="000000" w:themeColor="text1"/>
                <w:sz w:val="21"/>
                <w14:textFill>
                  <w14:solidFill>
                    <w14:schemeClr w14:val="tx1"/>
                  </w14:solidFill>
                </w14:textFill>
              </w:rPr>
            </w:pPr>
            <w:bookmarkStart w:id="468" w:name="_Toc216260300"/>
            <w:r>
              <w:rPr>
                <w:rFonts w:hint="eastAsia" w:cs="宋体"/>
                <w:b w:val="0"/>
                <w:color w:val="000000" w:themeColor="text1"/>
                <w:sz w:val="21"/>
                <w14:textFill>
                  <w14:solidFill>
                    <w14:schemeClr w14:val="tx1"/>
                  </w14:solidFill>
                </w14:textFill>
              </w:rPr>
              <w:t>T13</w:t>
            </w:r>
            <w:bookmarkEnd w:id="468"/>
          </w:p>
        </w:tc>
        <w:tc>
          <w:tcPr>
            <w:tcW w:w="1081" w:type="pct"/>
            <w:vAlign w:val="center"/>
          </w:tcPr>
          <w:p w14:paraId="4551577D">
            <w:pPr>
              <w:pStyle w:val="202"/>
              <w:adjustRightInd w:val="0"/>
              <w:snapToGrid w:val="0"/>
              <w:spacing w:line="300" w:lineRule="exact"/>
              <w:ind w:firstLine="0" w:firstLineChars="0"/>
              <w:jc w:val="center"/>
              <w:rPr>
                <w:rFonts w:hint="eastAsia" w:cs="宋体"/>
                <w:b w:val="0"/>
                <w:color w:val="000000" w:themeColor="text1"/>
                <w:sz w:val="21"/>
                <w14:textFill>
                  <w14:solidFill>
                    <w14:schemeClr w14:val="tx1"/>
                  </w14:solidFill>
                </w14:textFill>
              </w:rPr>
            </w:pPr>
            <w:bookmarkStart w:id="469" w:name="_Toc216260301"/>
            <w:r>
              <w:rPr>
                <w:rFonts w:hint="eastAsia" w:cs="宋体"/>
                <w:b w:val="0"/>
                <w:color w:val="000000" w:themeColor="text1"/>
                <w:sz w:val="21"/>
                <w14:textFill>
                  <w14:solidFill>
                    <w14:schemeClr w14:val="tx1"/>
                  </w14:solidFill>
                </w14:textFill>
              </w:rPr>
              <w:t>管线占地范围内</w:t>
            </w:r>
            <w:bookmarkEnd w:id="469"/>
          </w:p>
        </w:tc>
        <w:tc>
          <w:tcPr>
            <w:tcW w:w="999" w:type="pct"/>
            <w:vAlign w:val="center"/>
          </w:tcPr>
          <w:p w14:paraId="5C9622C3">
            <w:pPr>
              <w:pStyle w:val="202"/>
              <w:adjustRightInd w:val="0"/>
              <w:snapToGrid w:val="0"/>
              <w:spacing w:line="300" w:lineRule="exact"/>
              <w:ind w:firstLine="0" w:firstLineChars="0"/>
              <w:jc w:val="center"/>
              <w:rPr>
                <w:rFonts w:hint="eastAsia" w:cs="宋体"/>
                <w:b w:val="0"/>
                <w:color w:val="000000" w:themeColor="text1"/>
                <w:sz w:val="21"/>
                <w14:textFill>
                  <w14:solidFill>
                    <w14:schemeClr w14:val="tx1"/>
                  </w14:solidFill>
                </w14:textFill>
              </w:rPr>
            </w:pPr>
          </w:p>
        </w:tc>
        <w:tc>
          <w:tcPr>
            <w:tcW w:w="998" w:type="pct"/>
            <w:vAlign w:val="center"/>
          </w:tcPr>
          <w:p w14:paraId="06C07034">
            <w:pPr>
              <w:pStyle w:val="202"/>
              <w:adjustRightInd w:val="0"/>
              <w:snapToGrid w:val="0"/>
              <w:spacing w:line="300" w:lineRule="exact"/>
              <w:ind w:firstLine="0" w:firstLineChars="0"/>
              <w:jc w:val="center"/>
              <w:rPr>
                <w:rFonts w:hint="eastAsia" w:cs="宋体"/>
                <w:b w:val="0"/>
                <w:color w:val="000000" w:themeColor="text1"/>
                <w:sz w:val="21"/>
                <w14:textFill>
                  <w14:solidFill>
                    <w14:schemeClr w14:val="tx1"/>
                  </w14:solidFill>
                </w14:textFill>
              </w:rPr>
            </w:pPr>
          </w:p>
        </w:tc>
        <w:tc>
          <w:tcPr>
            <w:tcW w:w="421" w:type="pct"/>
            <w:vMerge w:val="continue"/>
            <w:vAlign w:val="center"/>
          </w:tcPr>
          <w:p w14:paraId="1F9D3ACF">
            <w:pPr>
              <w:pStyle w:val="202"/>
              <w:adjustRightInd w:val="0"/>
              <w:snapToGrid w:val="0"/>
              <w:spacing w:line="300" w:lineRule="exact"/>
              <w:ind w:firstLine="0" w:firstLineChars="0"/>
              <w:jc w:val="center"/>
              <w:rPr>
                <w:rFonts w:hint="eastAsia" w:cs="宋体"/>
                <w:b w:val="0"/>
                <w:color w:val="000000" w:themeColor="text1"/>
                <w:sz w:val="21"/>
                <w14:textFill>
                  <w14:solidFill>
                    <w14:schemeClr w14:val="tx1"/>
                  </w14:solidFill>
                </w14:textFill>
              </w:rPr>
            </w:pPr>
          </w:p>
        </w:tc>
        <w:tc>
          <w:tcPr>
            <w:tcW w:w="772" w:type="pct"/>
            <w:vMerge w:val="continue"/>
            <w:vAlign w:val="center"/>
          </w:tcPr>
          <w:p w14:paraId="6DE5C85A">
            <w:pPr>
              <w:pStyle w:val="202"/>
              <w:adjustRightInd w:val="0"/>
              <w:snapToGrid w:val="0"/>
              <w:spacing w:line="300" w:lineRule="exact"/>
              <w:ind w:firstLine="0" w:firstLineChars="0"/>
              <w:jc w:val="center"/>
              <w:rPr>
                <w:rFonts w:hint="eastAsia" w:cs="宋体"/>
                <w:b w:val="0"/>
                <w:color w:val="000000" w:themeColor="text1"/>
                <w:sz w:val="21"/>
                <w14:textFill>
                  <w14:solidFill>
                    <w14:schemeClr w14:val="tx1"/>
                  </w14:solidFill>
                </w14:textFill>
              </w:rPr>
            </w:pPr>
          </w:p>
        </w:tc>
      </w:tr>
      <w:tr w14:paraId="7749ED5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395" w:type="pct"/>
            <w:vMerge w:val="continue"/>
            <w:vAlign w:val="center"/>
          </w:tcPr>
          <w:p w14:paraId="036E952D">
            <w:pPr>
              <w:pStyle w:val="202"/>
              <w:adjustRightInd w:val="0"/>
              <w:snapToGrid w:val="0"/>
              <w:spacing w:line="300" w:lineRule="exact"/>
              <w:ind w:firstLine="0" w:firstLineChars="0"/>
              <w:jc w:val="center"/>
              <w:rPr>
                <w:rFonts w:hint="eastAsia" w:cs="宋体"/>
                <w:b w:val="0"/>
                <w:color w:val="000000" w:themeColor="text1"/>
                <w:sz w:val="21"/>
                <w14:textFill>
                  <w14:solidFill>
                    <w14:schemeClr w14:val="tx1"/>
                  </w14:solidFill>
                </w14:textFill>
              </w:rPr>
            </w:pPr>
          </w:p>
        </w:tc>
        <w:tc>
          <w:tcPr>
            <w:tcW w:w="334" w:type="pct"/>
            <w:vAlign w:val="center"/>
          </w:tcPr>
          <w:p w14:paraId="445D8290">
            <w:pPr>
              <w:pStyle w:val="202"/>
              <w:adjustRightInd w:val="0"/>
              <w:snapToGrid w:val="0"/>
              <w:spacing w:line="300" w:lineRule="exact"/>
              <w:ind w:firstLine="0" w:firstLineChars="0"/>
              <w:jc w:val="center"/>
              <w:rPr>
                <w:rFonts w:hint="eastAsia" w:cs="宋体"/>
                <w:b w:val="0"/>
                <w:color w:val="000000" w:themeColor="text1"/>
                <w:sz w:val="21"/>
                <w14:textFill>
                  <w14:solidFill>
                    <w14:schemeClr w14:val="tx1"/>
                  </w14:solidFill>
                </w14:textFill>
              </w:rPr>
            </w:pPr>
            <w:bookmarkStart w:id="470" w:name="_Toc216260302"/>
            <w:r>
              <w:rPr>
                <w:rFonts w:hint="eastAsia" w:cs="宋体"/>
                <w:b w:val="0"/>
                <w:color w:val="000000" w:themeColor="text1"/>
                <w:sz w:val="21"/>
                <w14:textFill>
                  <w14:solidFill>
                    <w14:schemeClr w14:val="tx1"/>
                  </w14:solidFill>
                </w14:textFill>
              </w:rPr>
              <w:t>T14</w:t>
            </w:r>
            <w:bookmarkEnd w:id="470"/>
          </w:p>
        </w:tc>
        <w:tc>
          <w:tcPr>
            <w:tcW w:w="1081" w:type="pct"/>
            <w:vAlign w:val="center"/>
          </w:tcPr>
          <w:p w14:paraId="5266B663">
            <w:pPr>
              <w:pStyle w:val="202"/>
              <w:adjustRightInd w:val="0"/>
              <w:snapToGrid w:val="0"/>
              <w:spacing w:line="300" w:lineRule="exact"/>
              <w:ind w:firstLine="0" w:firstLineChars="0"/>
              <w:jc w:val="center"/>
              <w:rPr>
                <w:rFonts w:hint="eastAsia" w:cs="宋体"/>
                <w:b w:val="0"/>
                <w:color w:val="000000" w:themeColor="text1"/>
                <w:sz w:val="21"/>
                <w14:textFill>
                  <w14:solidFill>
                    <w14:schemeClr w14:val="tx1"/>
                  </w14:solidFill>
                </w14:textFill>
              </w:rPr>
            </w:pPr>
            <w:bookmarkStart w:id="471" w:name="_Toc216260303"/>
            <w:r>
              <w:rPr>
                <w:rFonts w:hint="eastAsia" w:cs="宋体"/>
                <w:b w:val="0"/>
                <w:color w:val="000000" w:themeColor="text1"/>
                <w:sz w:val="21"/>
                <w14:textFill>
                  <w14:solidFill>
                    <w14:schemeClr w14:val="tx1"/>
                  </w14:solidFill>
                </w14:textFill>
              </w:rPr>
              <w:t>管线占地范围内</w:t>
            </w:r>
            <w:bookmarkEnd w:id="471"/>
          </w:p>
        </w:tc>
        <w:tc>
          <w:tcPr>
            <w:tcW w:w="999" w:type="pct"/>
            <w:vAlign w:val="center"/>
          </w:tcPr>
          <w:p w14:paraId="496FD945">
            <w:pPr>
              <w:pStyle w:val="202"/>
              <w:adjustRightInd w:val="0"/>
              <w:snapToGrid w:val="0"/>
              <w:spacing w:line="300" w:lineRule="exact"/>
              <w:ind w:firstLine="0" w:firstLineChars="0"/>
              <w:jc w:val="center"/>
              <w:rPr>
                <w:rFonts w:hint="eastAsia" w:cs="宋体"/>
                <w:b w:val="0"/>
                <w:color w:val="000000" w:themeColor="text1"/>
                <w:sz w:val="21"/>
                <w14:textFill>
                  <w14:solidFill>
                    <w14:schemeClr w14:val="tx1"/>
                  </w14:solidFill>
                </w14:textFill>
              </w:rPr>
            </w:pPr>
          </w:p>
        </w:tc>
        <w:tc>
          <w:tcPr>
            <w:tcW w:w="998" w:type="pct"/>
            <w:vAlign w:val="center"/>
          </w:tcPr>
          <w:p w14:paraId="62EEF5B8">
            <w:pPr>
              <w:pStyle w:val="202"/>
              <w:adjustRightInd w:val="0"/>
              <w:snapToGrid w:val="0"/>
              <w:spacing w:line="300" w:lineRule="exact"/>
              <w:ind w:firstLine="0" w:firstLineChars="0"/>
              <w:jc w:val="center"/>
              <w:rPr>
                <w:rFonts w:hint="eastAsia" w:cs="宋体"/>
                <w:b w:val="0"/>
                <w:color w:val="000000" w:themeColor="text1"/>
                <w:sz w:val="21"/>
                <w14:textFill>
                  <w14:solidFill>
                    <w14:schemeClr w14:val="tx1"/>
                  </w14:solidFill>
                </w14:textFill>
              </w:rPr>
            </w:pPr>
          </w:p>
        </w:tc>
        <w:tc>
          <w:tcPr>
            <w:tcW w:w="421" w:type="pct"/>
            <w:vMerge w:val="continue"/>
            <w:vAlign w:val="center"/>
          </w:tcPr>
          <w:p w14:paraId="045582E4">
            <w:pPr>
              <w:pStyle w:val="202"/>
              <w:adjustRightInd w:val="0"/>
              <w:snapToGrid w:val="0"/>
              <w:spacing w:line="300" w:lineRule="exact"/>
              <w:ind w:firstLine="0" w:firstLineChars="0"/>
              <w:jc w:val="center"/>
              <w:rPr>
                <w:rFonts w:hint="eastAsia" w:cs="宋体"/>
                <w:b w:val="0"/>
                <w:color w:val="000000" w:themeColor="text1"/>
                <w:sz w:val="21"/>
                <w14:textFill>
                  <w14:solidFill>
                    <w14:schemeClr w14:val="tx1"/>
                  </w14:solidFill>
                </w14:textFill>
              </w:rPr>
            </w:pPr>
          </w:p>
        </w:tc>
        <w:tc>
          <w:tcPr>
            <w:tcW w:w="772" w:type="pct"/>
            <w:vMerge w:val="continue"/>
            <w:vAlign w:val="center"/>
          </w:tcPr>
          <w:p w14:paraId="5F8B1FA5">
            <w:pPr>
              <w:pStyle w:val="202"/>
              <w:adjustRightInd w:val="0"/>
              <w:snapToGrid w:val="0"/>
              <w:spacing w:line="300" w:lineRule="exact"/>
              <w:ind w:firstLine="0" w:firstLineChars="0"/>
              <w:jc w:val="center"/>
              <w:rPr>
                <w:rFonts w:hint="eastAsia" w:cs="宋体"/>
                <w:b w:val="0"/>
                <w:color w:val="000000" w:themeColor="text1"/>
                <w:sz w:val="21"/>
                <w14:textFill>
                  <w14:solidFill>
                    <w14:schemeClr w14:val="tx1"/>
                  </w14:solidFill>
                </w14:textFill>
              </w:rPr>
            </w:pPr>
          </w:p>
        </w:tc>
      </w:tr>
      <w:tr w14:paraId="448D696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395" w:type="pct"/>
            <w:vMerge w:val="continue"/>
            <w:vAlign w:val="center"/>
          </w:tcPr>
          <w:p w14:paraId="6A22C166">
            <w:pPr>
              <w:pStyle w:val="202"/>
              <w:adjustRightInd w:val="0"/>
              <w:snapToGrid w:val="0"/>
              <w:spacing w:line="300" w:lineRule="exact"/>
              <w:ind w:firstLine="0" w:firstLineChars="0"/>
              <w:jc w:val="center"/>
              <w:rPr>
                <w:rFonts w:hint="eastAsia" w:cs="宋体"/>
                <w:b w:val="0"/>
                <w:color w:val="000000" w:themeColor="text1"/>
                <w:sz w:val="21"/>
                <w14:textFill>
                  <w14:solidFill>
                    <w14:schemeClr w14:val="tx1"/>
                  </w14:solidFill>
                </w14:textFill>
              </w:rPr>
            </w:pPr>
          </w:p>
        </w:tc>
        <w:tc>
          <w:tcPr>
            <w:tcW w:w="334" w:type="pct"/>
            <w:vAlign w:val="center"/>
          </w:tcPr>
          <w:p w14:paraId="52625912">
            <w:pPr>
              <w:pStyle w:val="202"/>
              <w:adjustRightInd w:val="0"/>
              <w:snapToGrid w:val="0"/>
              <w:spacing w:line="300" w:lineRule="exact"/>
              <w:ind w:firstLine="0" w:firstLineChars="0"/>
              <w:jc w:val="center"/>
              <w:rPr>
                <w:rFonts w:hint="eastAsia" w:cs="宋体"/>
                <w:b w:val="0"/>
                <w:color w:val="000000" w:themeColor="text1"/>
                <w:sz w:val="21"/>
                <w14:textFill>
                  <w14:solidFill>
                    <w14:schemeClr w14:val="tx1"/>
                  </w14:solidFill>
                </w14:textFill>
              </w:rPr>
            </w:pPr>
            <w:bookmarkStart w:id="472" w:name="_Toc216260304"/>
            <w:r>
              <w:rPr>
                <w:rFonts w:hint="eastAsia" w:cs="宋体"/>
                <w:b w:val="0"/>
                <w:color w:val="000000" w:themeColor="text1"/>
                <w:sz w:val="21"/>
                <w14:textFill>
                  <w14:solidFill>
                    <w14:schemeClr w14:val="tx1"/>
                  </w14:solidFill>
                </w14:textFill>
              </w:rPr>
              <w:t>T15</w:t>
            </w:r>
            <w:bookmarkEnd w:id="472"/>
          </w:p>
        </w:tc>
        <w:tc>
          <w:tcPr>
            <w:tcW w:w="1081" w:type="pct"/>
            <w:vAlign w:val="center"/>
          </w:tcPr>
          <w:p w14:paraId="21FFDA69">
            <w:pPr>
              <w:pStyle w:val="202"/>
              <w:adjustRightInd w:val="0"/>
              <w:snapToGrid w:val="0"/>
              <w:spacing w:line="300" w:lineRule="exact"/>
              <w:ind w:firstLine="0" w:firstLineChars="0"/>
              <w:jc w:val="center"/>
              <w:rPr>
                <w:rFonts w:hint="eastAsia" w:cs="宋体"/>
                <w:b w:val="0"/>
                <w:color w:val="000000" w:themeColor="text1"/>
                <w:sz w:val="21"/>
                <w14:textFill>
                  <w14:solidFill>
                    <w14:schemeClr w14:val="tx1"/>
                  </w14:solidFill>
                </w14:textFill>
              </w:rPr>
            </w:pPr>
            <w:bookmarkStart w:id="473" w:name="_Toc216260305"/>
            <w:r>
              <w:rPr>
                <w:rFonts w:hint="eastAsia" w:cs="宋体"/>
                <w:b w:val="0"/>
                <w:color w:val="000000" w:themeColor="text1"/>
                <w:sz w:val="21"/>
                <w14:textFill>
                  <w14:solidFill>
                    <w14:schemeClr w14:val="tx1"/>
                  </w14:solidFill>
                </w14:textFill>
              </w:rPr>
              <w:t>牧草地</w:t>
            </w:r>
            <w:bookmarkEnd w:id="473"/>
          </w:p>
        </w:tc>
        <w:tc>
          <w:tcPr>
            <w:tcW w:w="999" w:type="pct"/>
            <w:vAlign w:val="center"/>
          </w:tcPr>
          <w:p w14:paraId="6F6AC3EF">
            <w:pPr>
              <w:pStyle w:val="202"/>
              <w:adjustRightInd w:val="0"/>
              <w:snapToGrid w:val="0"/>
              <w:spacing w:line="300" w:lineRule="exact"/>
              <w:ind w:firstLine="0" w:firstLineChars="0"/>
              <w:jc w:val="center"/>
              <w:rPr>
                <w:rFonts w:hint="eastAsia" w:cs="宋体"/>
                <w:b w:val="0"/>
                <w:color w:val="000000" w:themeColor="text1"/>
                <w:sz w:val="21"/>
                <w14:textFill>
                  <w14:solidFill>
                    <w14:schemeClr w14:val="tx1"/>
                  </w14:solidFill>
                </w14:textFill>
              </w:rPr>
            </w:pPr>
          </w:p>
        </w:tc>
        <w:tc>
          <w:tcPr>
            <w:tcW w:w="998" w:type="pct"/>
            <w:vAlign w:val="center"/>
          </w:tcPr>
          <w:p w14:paraId="6DEBA733">
            <w:pPr>
              <w:pStyle w:val="202"/>
              <w:adjustRightInd w:val="0"/>
              <w:snapToGrid w:val="0"/>
              <w:spacing w:line="300" w:lineRule="exact"/>
              <w:ind w:firstLine="0" w:firstLineChars="0"/>
              <w:jc w:val="center"/>
              <w:rPr>
                <w:rFonts w:hint="eastAsia" w:cs="宋体"/>
                <w:b w:val="0"/>
                <w:color w:val="000000" w:themeColor="text1"/>
                <w:sz w:val="21"/>
                <w14:textFill>
                  <w14:solidFill>
                    <w14:schemeClr w14:val="tx1"/>
                  </w14:solidFill>
                </w14:textFill>
              </w:rPr>
            </w:pPr>
          </w:p>
        </w:tc>
        <w:tc>
          <w:tcPr>
            <w:tcW w:w="421" w:type="pct"/>
            <w:vMerge w:val="continue"/>
            <w:vAlign w:val="center"/>
          </w:tcPr>
          <w:p w14:paraId="047A47A4">
            <w:pPr>
              <w:pStyle w:val="202"/>
              <w:adjustRightInd w:val="0"/>
              <w:snapToGrid w:val="0"/>
              <w:spacing w:line="300" w:lineRule="exact"/>
              <w:ind w:firstLine="0" w:firstLineChars="0"/>
              <w:jc w:val="center"/>
              <w:rPr>
                <w:rFonts w:hint="eastAsia" w:cs="宋体"/>
                <w:b w:val="0"/>
                <w:color w:val="000000" w:themeColor="text1"/>
                <w:sz w:val="21"/>
                <w14:textFill>
                  <w14:solidFill>
                    <w14:schemeClr w14:val="tx1"/>
                  </w14:solidFill>
                </w14:textFill>
              </w:rPr>
            </w:pPr>
          </w:p>
        </w:tc>
        <w:tc>
          <w:tcPr>
            <w:tcW w:w="772" w:type="pct"/>
            <w:vMerge w:val="continue"/>
            <w:vAlign w:val="center"/>
          </w:tcPr>
          <w:p w14:paraId="621B18A5">
            <w:pPr>
              <w:pStyle w:val="202"/>
              <w:adjustRightInd w:val="0"/>
              <w:snapToGrid w:val="0"/>
              <w:spacing w:line="300" w:lineRule="exact"/>
              <w:ind w:firstLine="0" w:firstLineChars="0"/>
              <w:jc w:val="center"/>
              <w:rPr>
                <w:rFonts w:hint="eastAsia" w:cs="宋体"/>
                <w:b w:val="0"/>
                <w:color w:val="000000" w:themeColor="text1"/>
                <w:sz w:val="21"/>
                <w14:textFill>
                  <w14:solidFill>
                    <w14:schemeClr w14:val="tx1"/>
                  </w14:solidFill>
                </w14:textFill>
              </w:rPr>
            </w:pPr>
          </w:p>
        </w:tc>
      </w:tr>
      <w:tr w14:paraId="45314E8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395" w:type="pct"/>
            <w:vMerge w:val="continue"/>
            <w:vAlign w:val="center"/>
          </w:tcPr>
          <w:p w14:paraId="00107640">
            <w:pPr>
              <w:pStyle w:val="202"/>
              <w:adjustRightInd w:val="0"/>
              <w:snapToGrid w:val="0"/>
              <w:spacing w:line="300" w:lineRule="exact"/>
              <w:ind w:firstLine="0" w:firstLineChars="0"/>
              <w:jc w:val="center"/>
              <w:rPr>
                <w:rFonts w:hint="eastAsia" w:cs="宋体"/>
                <w:b w:val="0"/>
                <w:color w:val="000000" w:themeColor="text1"/>
                <w:sz w:val="21"/>
                <w14:textFill>
                  <w14:solidFill>
                    <w14:schemeClr w14:val="tx1"/>
                  </w14:solidFill>
                </w14:textFill>
              </w:rPr>
            </w:pPr>
          </w:p>
        </w:tc>
        <w:tc>
          <w:tcPr>
            <w:tcW w:w="334" w:type="pct"/>
            <w:vAlign w:val="center"/>
          </w:tcPr>
          <w:p w14:paraId="129517B8">
            <w:pPr>
              <w:pStyle w:val="202"/>
              <w:adjustRightInd w:val="0"/>
              <w:snapToGrid w:val="0"/>
              <w:spacing w:line="300" w:lineRule="exact"/>
              <w:ind w:firstLine="0" w:firstLineChars="0"/>
              <w:jc w:val="center"/>
              <w:rPr>
                <w:rFonts w:hint="eastAsia" w:cs="宋体"/>
                <w:b w:val="0"/>
                <w:color w:val="000000" w:themeColor="text1"/>
                <w:sz w:val="21"/>
                <w14:textFill>
                  <w14:solidFill>
                    <w14:schemeClr w14:val="tx1"/>
                  </w14:solidFill>
                </w14:textFill>
              </w:rPr>
            </w:pPr>
            <w:bookmarkStart w:id="474" w:name="_Toc216260306"/>
            <w:r>
              <w:rPr>
                <w:rFonts w:hint="eastAsia" w:cs="宋体"/>
                <w:b w:val="0"/>
                <w:color w:val="000000" w:themeColor="text1"/>
                <w:sz w:val="21"/>
                <w14:textFill>
                  <w14:solidFill>
                    <w14:schemeClr w14:val="tx1"/>
                  </w14:solidFill>
                </w14:textFill>
              </w:rPr>
              <w:t>T16</w:t>
            </w:r>
            <w:bookmarkEnd w:id="474"/>
          </w:p>
        </w:tc>
        <w:tc>
          <w:tcPr>
            <w:tcW w:w="1081" w:type="pct"/>
            <w:vAlign w:val="center"/>
          </w:tcPr>
          <w:p w14:paraId="7CBBB699">
            <w:pPr>
              <w:pStyle w:val="202"/>
              <w:adjustRightInd w:val="0"/>
              <w:snapToGrid w:val="0"/>
              <w:spacing w:line="300" w:lineRule="exact"/>
              <w:ind w:firstLine="0" w:firstLineChars="0"/>
              <w:jc w:val="center"/>
              <w:rPr>
                <w:rFonts w:hint="eastAsia" w:cs="宋体"/>
                <w:b w:val="0"/>
                <w:color w:val="000000" w:themeColor="text1"/>
                <w:sz w:val="21"/>
                <w14:textFill>
                  <w14:solidFill>
                    <w14:schemeClr w14:val="tx1"/>
                  </w14:solidFill>
                </w14:textFill>
              </w:rPr>
            </w:pPr>
            <w:bookmarkStart w:id="475" w:name="_Toc216260307"/>
            <w:r>
              <w:rPr>
                <w:rFonts w:hint="eastAsia" w:cs="宋体"/>
                <w:b w:val="0"/>
                <w:color w:val="000000" w:themeColor="text1"/>
                <w:sz w:val="21"/>
                <w14:textFill>
                  <w14:solidFill>
                    <w14:schemeClr w14:val="tx1"/>
                  </w14:solidFill>
                </w14:textFill>
              </w:rPr>
              <w:t>耕地处</w:t>
            </w:r>
            <w:bookmarkEnd w:id="475"/>
          </w:p>
        </w:tc>
        <w:tc>
          <w:tcPr>
            <w:tcW w:w="999" w:type="pct"/>
            <w:vAlign w:val="center"/>
          </w:tcPr>
          <w:p w14:paraId="48590163">
            <w:pPr>
              <w:pStyle w:val="202"/>
              <w:adjustRightInd w:val="0"/>
              <w:snapToGrid w:val="0"/>
              <w:spacing w:line="300" w:lineRule="exact"/>
              <w:ind w:firstLine="0" w:firstLineChars="0"/>
              <w:jc w:val="center"/>
              <w:rPr>
                <w:rFonts w:hint="eastAsia" w:cs="宋体"/>
                <w:b w:val="0"/>
                <w:color w:val="000000" w:themeColor="text1"/>
                <w:sz w:val="21"/>
                <w14:textFill>
                  <w14:solidFill>
                    <w14:schemeClr w14:val="tx1"/>
                  </w14:solidFill>
                </w14:textFill>
              </w:rPr>
            </w:pPr>
          </w:p>
        </w:tc>
        <w:tc>
          <w:tcPr>
            <w:tcW w:w="998" w:type="pct"/>
            <w:vAlign w:val="center"/>
          </w:tcPr>
          <w:p w14:paraId="199719B2">
            <w:pPr>
              <w:pStyle w:val="202"/>
              <w:adjustRightInd w:val="0"/>
              <w:snapToGrid w:val="0"/>
              <w:spacing w:line="300" w:lineRule="exact"/>
              <w:ind w:firstLine="0" w:firstLineChars="0"/>
              <w:jc w:val="center"/>
              <w:rPr>
                <w:rFonts w:hint="eastAsia" w:cs="宋体"/>
                <w:b w:val="0"/>
                <w:color w:val="000000" w:themeColor="text1"/>
                <w:sz w:val="21"/>
                <w14:textFill>
                  <w14:solidFill>
                    <w14:schemeClr w14:val="tx1"/>
                  </w14:solidFill>
                </w14:textFill>
              </w:rPr>
            </w:pPr>
          </w:p>
        </w:tc>
        <w:tc>
          <w:tcPr>
            <w:tcW w:w="421" w:type="pct"/>
            <w:vMerge w:val="continue"/>
            <w:vAlign w:val="center"/>
          </w:tcPr>
          <w:p w14:paraId="54C17643">
            <w:pPr>
              <w:pStyle w:val="202"/>
              <w:adjustRightInd w:val="0"/>
              <w:snapToGrid w:val="0"/>
              <w:spacing w:line="300" w:lineRule="exact"/>
              <w:ind w:firstLine="0" w:firstLineChars="0"/>
              <w:jc w:val="center"/>
              <w:rPr>
                <w:rFonts w:hint="eastAsia" w:cs="宋体"/>
                <w:b w:val="0"/>
                <w:color w:val="000000" w:themeColor="text1"/>
                <w:sz w:val="21"/>
                <w14:textFill>
                  <w14:solidFill>
                    <w14:schemeClr w14:val="tx1"/>
                  </w14:solidFill>
                </w14:textFill>
              </w:rPr>
            </w:pPr>
          </w:p>
        </w:tc>
        <w:tc>
          <w:tcPr>
            <w:tcW w:w="772" w:type="pct"/>
            <w:vMerge w:val="continue"/>
            <w:vAlign w:val="center"/>
          </w:tcPr>
          <w:p w14:paraId="1CE2D5D0">
            <w:pPr>
              <w:pStyle w:val="202"/>
              <w:adjustRightInd w:val="0"/>
              <w:snapToGrid w:val="0"/>
              <w:spacing w:line="300" w:lineRule="exact"/>
              <w:ind w:firstLine="0" w:firstLineChars="0"/>
              <w:jc w:val="center"/>
              <w:rPr>
                <w:rFonts w:hint="eastAsia" w:cs="宋体"/>
                <w:b w:val="0"/>
                <w:color w:val="000000" w:themeColor="text1"/>
                <w:sz w:val="21"/>
                <w14:textFill>
                  <w14:solidFill>
                    <w14:schemeClr w14:val="tx1"/>
                  </w14:solidFill>
                </w14:textFill>
              </w:rPr>
            </w:pPr>
          </w:p>
        </w:tc>
      </w:tr>
    </w:tbl>
    <w:p w14:paraId="0F9D5859">
      <w:pPr>
        <w:pStyle w:val="117"/>
        <w:adjustRightInd w:val="0"/>
        <w:snapToGrid w:val="0"/>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②监测因子</w:t>
      </w:r>
    </w:p>
    <w:p w14:paraId="22530BA0">
      <w:pPr>
        <w:pStyle w:val="117"/>
        <w:adjustRightInd w:val="0"/>
        <w:snapToGrid w:val="0"/>
        <w:ind w:firstLine="480"/>
        <w:rPr>
          <w:rFonts w:hint="eastAsia"/>
          <w:color w:val="000000" w:themeColor="text1"/>
          <w14:textFill>
            <w14:solidFill>
              <w14:schemeClr w14:val="tx1"/>
            </w14:solidFill>
          </w14:textFill>
        </w:rPr>
      </w:pPr>
      <w:r>
        <w:rPr>
          <w:color w:val="000000" w:themeColor="text1"/>
          <w14:textFill>
            <w14:solidFill>
              <w14:schemeClr w14:val="tx1"/>
            </w14:solidFill>
          </w14:textFill>
        </w:rPr>
        <w:t>T</w:t>
      </w:r>
      <w:r>
        <w:rPr>
          <w:rFonts w:hint="eastAsia"/>
          <w:color w:val="000000" w:themeColor="text1"/>
          <w14:textFill>
            <w14:solidFill>
              <w14:schemeClr w14:val="tx1"/>
            </w14:solidFill>
          </w14:textFill>
        </w:rPr>
        <w:t>4、T9、T12监测因子为：p</w:t>
      </w:r>
      <w:r>
        <w:rPr>
          <w:color w:val="000000" w:themeColor="text1"/>
          <w14:textFill>
            <w14:solidFill>
              <w14:schemeClr w14:val="tx1"/>
            </w14:solidFill>
          </w14:textFill>
        </w:rPr>
        <w:t>H</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砷</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镉</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六价铬</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铜</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铅</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汞</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镍</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四氯化碳</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氯仿</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氯甲烷</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1，1-二氯乙烷</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1，2-二氯乙烷</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1，1-二氯乙烯</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顺-1，2-二氯乙烯</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反-1，2-二氯乙烯</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二氯甲烷</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1，2-二氯丙烷</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1，1，1，2-四氯乙烷</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1，1，2，2-四氯乙烷</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四氯乙烯</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1，1，1-三氯乙烷</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1，1，2-三氯乙烷</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三氯乙烯</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1，2，3-三氯丙烷</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氯乙烯</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苯</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氯苯</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1，2-二氯苯</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1，4-二氯苯</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乙苯</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苯乙烯</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甲苯</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间二甲苯+对二甲苯</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邻二甲苯</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硝基苯</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苯胺</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2-氯酚</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苯并〔a〕蒽</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苯并〔a〕芘</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苯并〔b〕荧蒽</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苯并〔k〕荧蒽</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䓛</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二苯并〔a，h〕蒽</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茚并〔1，2，3-cd〕芘</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萘</w:t>
      </w:r>
      <w:r>
        <w:rPr>
          <w:rFonts w:hint="eastAsia"/>
          <w:color w:val="000000" w:themeColor="text1"/>
          <w14:textFill>
            <w14:solidFill>
              <w14:schemeClr w14:val="tx1"/>
            </w14:solidFill>
          </w14:textFill>
        </w:rPr>
        <w:t>、石油烃、土壤盐分含量，共计4</w:t>
      </w:r>
      <w:r>
        <w:rPr>
          <w:color w:val="000000" w:themeColor="text1"/>
          <w14:textFill>
            <w14:solidFill>
              <w14:schemeClr w14:val="tx1"/>
            </w14:solidFill>
          </w14:textFill>
        </w:rPr>
        <w:t>8</w:t>
      </w:r>
      <w:r>
        <w:rPr>
          <w:rFonts w:hint="eastAsia"/>
          <w:color w:val="000000" w:themeColor="text1"/>
          <w14:textFill>
            <w14:solidFill>
              <w14:schemeClr w14:val="tx1"/>
            </w14:solidFill>
          </w14:textFill>
        </w:rPr>
        <w:t>项。</w:t>
      </w:r>
    </w:p>
    <w:p w14:paraId="66F1C2ED">
      <w:pPr>
        <w:pStyle w:val="117"/>
        <w:adjustRightInd w:val="0"/>
        <w:snapToGrid w:val="0"/>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T2、T13-T16监测因子为：pH、镉、汞、砷、铅、铬、铜、镍、锌、石油烃、六价铬和土壤盐分含量。</w:t>
      </w:r>
    </w:p>
    <w:p w14:paraId="63CFFB14">
      <w:pPr>
        <w:pStyle w:val="117"/>
        <w:adjustRightInd w:val="0"/>
        <w:snapToGrid w:val="0"/>
        <w:ind w:firstLine="480"/>
        <w:rPr>
          <w:rFonts w:hint="eastAsia" w:cs="宋体"/>
          <w:color w:val="000000" w:themeColor="text1"/>
          <w14:textFill>
            <w14:solidFill>
              <w14:schemeClr w14:val="tx1"/>
            </w14:solidFill>
          </w14:textFill>
        </w:rPr>
      </w:pPr>
      <w:r>
        <w:rPr>
          <w:rFonts w:hint="eastAsia"/>
          <w:color w:val="000000" w:themeColor="text1"/>
          <w14:textFill>
            <w14:solidFill>
              <w14:schemeClr w14:val="tx1"/>
            </w14:solidFill>
          </w14:textFill>
        </w:rPr>
        <w:t>其余监测因子：p</w:t>
      </w:r>
      <w:r>
        <w:rPr>
          <w:color w:val="000000" w:themeColor="text1"/>
          <w14:textFill>
            <w14:solidFill>
              <w14:schemeClr w14:val="tx1"/>
            </w14:solidFill>
          </w14:textFill>
        </w:rPr>
        <w:t>H</w:t>
      </w:r>
      <w:r>
        <w:rPr>
          <w:rFonts w:hint="eastAsia"/>
          <w:color w:val="000000" w:themeColor="text1"/>
          <w14:textFill>
            <w14:solidFill>
              <w14:schemeClr w14:val="tx1"/>
            </w14:solidFill>
          </w14:textFill>
        </w:rPr>
        <w:t>、砷、镉、六价铬、铜、铅、汞、镍、石油烃和土壤盐分含量。</w:t>
      </w:r>
    </w:p>
    <w:p w14:paraId="3CE00735">
      <w:pPr>
        <w:pStyle w:val="150"/>
        <w:ind w:firstLine="462" w:firstLineChars="196"/>
        <w:rPr>
          <w:rFonts w:hint="eastAsia" w:ascii="宋体" w:hAnsi="宋体"/>
          <w:color w:val="000000" w:themeColor="text1"/>
          <w:spacing w:val="-2"/>
          <w14:textFill>
            <w14:solidFill>
              <w14:schemeClr w14:val="tx1"/>
            </w14:solidFill>
          </w14:textFill>
        </w:rPr>
      </w:pPr>
      <w:r>
        <w:rPr>
          <w:rFonts w:hint="eastAsia" w:ascii="宋体" w:hAnsi="宋体"/>
          <w:color w:val="000000" w:themeColor="text1"/>
          <w:spacing w:val="-2"/>
          <w14:textFill>
            <w14:solidFill>
              <w14:schemeClr w14:val="tx1"/>
            </w14:solidFill>
          </w14:textFill>
        </w:rPr>
        <w:t>③理化性质调查</w:t>
      </w:r>
    </w:p>
    <w:p w14:paraId="79814707">
      <w:pPr>
        <w:pStyle w:val="150"/>
        <w:ind w:firstLine="462" w:firstLineChars="196"/>
        <w:rPr>
          <w:rFonts w:hint="eastAsia" w:ascii="宋体" w:hAnsi="宋体"/>
          <w:color w:val="000000" w:themeColor="text1"/>
          <w:spacing w:val="-2"/>
          <w14:textFill>
            <w14:solidFill>
              <w14:schemeClr w14:val="tx1"/>
            </w14:solidFill>
          </w14:textFill>
        </w:rPr>
      </w:pPr>
      <w:r>
        <w:rPr>
          <w:rFonts w:hint="eastAsia" w:ascii="宋体" w:hAnsi="宋体"/>
          <w:color w:val="000000" w:themeColor="text1"/>
          <w:spacing w:val="-2"/>
          <w14:textFill>
            <w14:solidFill>
              <w14:schemeClr w14:val="tx1"/>
            </w14:solidFill>
          </w14:textFill>
        </w:rPr>
        <w:t>T5和T11理化性质调查</w:t>
      </w:r>
      <w:r>
        <w:rPr>
          <w:rFonts w:ascii="宋体" w:hAnsi="宋体"/>
          <w:color w:val="000000" w:themeColor="text1"/>
          <w:spacing w:val="-2"/>
          <w14:textFill>
            <w14:solidFill>
              <w14:schemeClr w14:val="tx1"/>
            </w14:solidFill>
          </w14:textFill>
        </w:rPr>
        <w:t>包括土壤颜色、</w:t>
      </w:r>
      <w:r>
        <w:rPr>
          <w:rFonts w:hint="eastAsia" w:ascii="宋体" w:hAnsi="宋体"/>
          <w:color w:val="000000" w:themeColor="text1"/>
          <w:spacing w:val="-2"/>
          <w14:textFill>
            <w14:solidFill>
              <w14:schemeClr w14:val="tx1"/>
            </w14:solidFill>
          </w14:textFill>
        </w:rPr>
        <w:t>土壤</w:t>
      </w:r>
      <w:r>
        <w:rPr>
          <w:rFonts w:ascii="宋体" w:hAnsi="宋体"/>
          <w:color w:val="000000" w:themeColor="text1"/>
          <w:spacing w:val="-2"/>
          <w14:textFill>
            <w14:solidFill>
              <w14:schemeClr w14:val="tx1"/>
            </w14:solidFill>
          </w14:textFill>
        </w:rPr>
        <w:t>结构、土壤质地、</w:t>
      </w:r>
      <w:r>
        <w:rPr>
          <w:rFonts w:hint="eastAsia" w:ascii="宋体" w:hAnsi="宋体"/>
          <w:color w:val="000000" w:themeColor="text1"/>
          <w:spacing w:val="-2"/>
          <w14:textFill>
            <w14:solidFill>
              <w14:schemeClr w14:val="tx1"/>
            </w14:solidFill>
          </w14:textFill>
        </w:rPr>
        <w:t>砂砾含量、</w:t>
      </w:r>
      <w:r>
        <w:rPr>
          <w:rFonts w:ascii="宋体" w:hAnsi="宋体"/>
          <w:color w:val="000000" w:themeColor="text1"/>
          <w:spacing w:val="-2"/>
          <w14:textFill>
            <w14:solidFill>
              <w14:schemeClr w14:val="tx1"/>
            </w14:solidFill>
          </w14:textFill>
        </w:rPr>
        <w:t>阳离子交换量、氧化还原电位、饱和导水率、土壤容重、孔隙度。</w:t>
      </w:r>
    </w:p>
    <w:p w14:paraId="6F8EE262">
      <w:pPr>
        <w:pStyle w:val="117"/>
        <w:ind w:firstLine="480" w:firstLineChars="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④监测单位及监测时间</w:t>
      </w:r>
    </w:p>
    <w:p w14:paraId="578FB9C5">
      <w:pPr>
        <w:pStyle w:val="117"/>
        <w:spacing w:line="480" w:lineRule="exact"/>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采样时间：2025年8月1日。</w:t>
      </w:r>
    </w:p>
    <w:p w14:paraId="3FD69142">
      <w:pPr>
        <w:pStyle w:val="117"/>
        <w:spacing w:line="480" w:lineRule="exact"/>
        <w:ind w:firstLine="480"/>
        <w:rPr>
          <w:rFonts w:hint="eastAsia" w:cs="宋体"/>
          <w:color w:val="000000" w:themeColor="text1"/>
          <w:lang w:bidi="ar"/>
          <w14:textFill>
            <w14:solidFill>
              <w14:schemeClr w14:val="tx1"/>
            </w14:solidFill>
          </w14:textFill>
        </w:rPr>
      </w:pPr>
      <w:r>
        <w:rPr>
          <w:rFonts w:hint="eastAsia"/>
          <w:color w:val="000000" w:themeColor="text1"/>
          <w14:textFill>
            <w14:solidFill>
              <w14:schemeClr w14:val="tx1"/>
            </w14:solidFill>
          </w14:textFill>
        </w:rPr>
        <w:t>监测单位：</w:t>
      </w:r>
      <w:bookmarkEnd w:id="429"/>
      <w:r>
        <w:rPr>
          <w:rFonts w:hint="eastAsia"/>
          <w:color w:val="000000" w:themeColor="text1"/>
          <w14:textFill>
            <w14:solidFill>
              <w14:schemeClr w14:val="tx1"/>
            </w14:solidFill>
          </w14:textFill>
        </w:rPr>
        <w:t>新疆壹诺环保科技有限公司。</w:t>
      </w:r>
    </w:p>
    <w:p w14:paraId="258F70E3">
      <w:pPr>
        <w:pStyle w:val="117"/>
        <w:spacing w:line="480" w:lineRule="exact"/>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⑤评价标准</w:t>
      </w:r>
    </w:p>
    <w:p w14:paraId="0AEA7B20">
      <w:pPr>
        <w:pStyle w:val="117"/>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占地范围内土壤各监测因子和占地范围外石油烃和六价铬执行《土壤环境质量  建设用地土壤污染风险管控标准（试行）》（GB36600-2018）中第二类用地筛选值要求，占地范围外其余监测因子执行《土壤环境质量 农用地土壤污染风险管控标准（试行）》（GB15618-2018）。</w:t>
      </w:r>
    </w:p>
    <w:p w14:paraId="6082391D">
      <w:pPr>
        <w:pStyle w:val="117"/>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⑥评价方法</w:t>
      </w:r>
    </w:p>
    <w:p w14:paraId="7ED5FA1A">
      <w:pPr>
        <w:pStyle w:val="117"/>
        <w:ind w:firstLine="480"/>
        <w:rPr>
          <w:rFonts w:hint="eastAsia"/>
          <w:color w:val="000000" w:themeColor="text1"/>
          <w14:textFill>
            <w14:solidFill>
              <w14:schemeClr w14:val="tx1"/>
            </w14:solidFill>
          </w14:textFill>
        </w:rPr>
      </w:pPr>
      <w:r>
        <w:rPr>
          <w:color w:val="000000" w:themeColor="text1"/>
          <w14:textFill>
            <w14:solidFill>
              <w14:schemeClr w14:val="tx1"/>
            </w14:solidFill>
          </w14:textFill>
        </w:rPr>
        <w:t>采用单因子</w:t>
      </w:r>
      <w:r>
        <w:rPr>
          <w:rFonts w:hint="eastAsia"/>
          <w:color w:val="000000" w:themeColor="text1"/>
          <w14:textFill>
            <w14:solidFill>
              <w14:schemeClr w14:val="tx1"/>
            </w14:solidFill>
          </w14:textFill>
        </w:rPr>
        <w:t>标准</w:t>
      </w:r>
      <w:r>
        <w:rPr>
          <w:color w:val="000000" w:themeColor="text1"/>
          <w14:textFill>
            <w14:solidFill>
              <w14:schemeClr w14:val="tx1"/>
            </w14:solidFill>
          </w14:textFill>
        </w:rPr>
        <w:t>指数法</w:t>
      </w:r>
      <w:r>
        <w:rPr>
          <w:rFonts w:hint="eastAsia"/>
          <w:color w:val="000000" w:themeColor="text1"/>
          <w14:textFill>
            <w14:solidFill>
              <w14:schemeClr w14:val="tx1"/>
            </w14:solidFill>
          </w14:textFill>
        </w:rPr>
        <w:t>，计算公式为：</w:t>
      </w:r>
    </w:p>
    <w:p w14:paraId="71E8BF36">
      <w:pPr>
        <w:pStyle w:val="117"/>
        <w:spacing w:line="240" w:lineRule="auto"/>
        <w:ind w:firstLine="480"/>
        <w:jc w:val="center"/>
        <w:rPr>
          <w:rFonts w:hint="eastAsia"/>
          <w:color w:val="000000" w:themeColor="text1"/>
          <w:lang w:val="fr-FR"/>
          <w14:textFill>
            <w14:solidFill>
              <w14:schemeClr w14:val="tx1"/>
            </w14:solidFill>
          </w14:textFill>
        </w:rPr>
      </w:pPr>
      <w:r>
        <w:rPr>
          <w:color w:val="000000" w:themeColor="text1"/>
          <w:lang w:val="fr-FR"/>
          <w14:textFill>
            <w14:solidFill>
              <w14:schemeClr w14:val="tx1"/>
            </w14:solidFill>
          </w14:textFill>
        </w:rPr>
        <w:object>
          <v:shape id="_x0000_i1025" o:spt="75" type="#_x0000_t75" style="height:22.4pt;width:63.15pt;" o:ole="t" filled="f" o:preferrelative="t" stroked="f" coordsize="21600,21600">
            <v:path/>
            <v:fill on="f" focussize="0,0"/>
            <v:stroke on="f" joinstyle="miter"/>
            <v:imagedata r:id="rId23" o:title=""/>
            <o:lock v:ext="edit" aspectratio="t"/>
            <w10:wrap type="none"/>
            <w10:anchorlock/>
          </v:shape>
          <o:OLEObject Type="Embed" ProgID="Equation.DSMT4" ShapeID="_x0000_i1025" DrawAspect="Content" ObjectID="_1468075725" r:id="rId22">
            <o:LockedField>false</o:LockedField>
          </o:OLEObject>
        </w:object>
      </w:r>
    </w:p>
    <w:p w14:paraId="08FC7FEB">
      <w:pPr>
        <w:pStyle w:val="117"/>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式中</w:t>
      </w:r>
      <w:r>
        <w:rPr>
          <w:rFonts w:hint="eastAsia"/>
          <w:color w:val="000000" w:themeColor="text1"/>
          <w:lang w:val="fr-FR"/>
          <w14:textFill>
            <w14:solidFill>
              <w14:schemeClr w14:val="tx1"/>
            </w14:solidFill>
          </w14:textFill>
        </w:rPr>
        <w:t>：</w:t>
      </w:r>
      <w:r>
        <w:rPr>
          <w:color w:val="000000" w:themeColor="text1"/>
          <w14:textFill>
            <w14:solidFill>
              <w14:schemeClr w14:val="tx1"/>
            </w14:solidFill>
          </w14:textFill>
        </w:rPr>
        <w:drawing>
          <wp:inline distT="0" distB="0" distL="0" distR="0">
            <wp:extent cx="229870" cy="252730"/>
            <wp:effectExtent l="0" t="0" r="0" b="0"/>
            <wp:docPr id="29"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6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229870" cy="252730"/>
                    </a:xfrm>
                    <a:prstGeom prst="rect">
                      <a:avLst/>
                    </a:prstGeom>
                    <a:noFill/>
                    <a:ln>
                      <a:noFill/>
                    </a:ln>
                  </pic:spPr>
                </pic:pic>
              </a:graphicData>
            </a:graphic>
          </wp:inline>
        </w:drawing>
      </w:r>
      <w:r>
        <w:rPr>
          <w:rFonts w:hint="eastAsia"/>
          <w:color w:val="000000" w:themeColor="text1"/>
          <w14:textFill>
            <w14:solidFill>
              <w14:schemeClr w14:val="tx1"/>
            </w14:solidFill>
          </w14:textFill>
        </w:rPr>
        <w:t>—单项土壤参数i在j点的标准指数；</w:t>
      </w:r>
    </w:p>
    <w:p w14:paraId="59C4133E">
      <w:pPr>
        <w:pStyle w:val="117"/>
        <w:ind w:firstLine="1132" w:firstLineChars="472"/>
        <w:rPr>
          <w:rFonts w:hint="eastAsia"/>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252730" cy="252730"/>
            <wp:effectExtent l="0" t="0" r="0" b="0"/>
            <wp:docPr id="30"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6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252730" cy="252730"/>
                    </a:xfrm>
                    <a:prstGeom prst="rect">
                      <a:avLst/>
                    </a:prstGeom>
                    <a:noFill/>
                    <a:ln>
                      <a:noFill/>
                    </a:ln>
                  </pic:spPr>
                </pic:pic>
              </a:graphicData>
            </a:graphic>
          </wp:inline>
        </w:drawing>
      </w:r>
      <w:r>
        <w:rPr>
          <w:rFonts w:hint="eastAsia"/>
          <w:color w:val="000000" w:themeColor="text1"/>
          <w14:textFill>
            <w14:solidFill>
              <w14:schemeClr w14:val="tx1"/>
            </w14:solidFill>
          </w14:textFill>
        </w:rPr>
        <w:t>—土壤参数i在j点的监测浓度，mg/</w:t>
      </w:r>
      <w:r>
        <w:rPr>
          <w:color w:val="000000" w:themeColor="text1"/>
          <w14:textFill>
            <w14:solidFill>
              <w14:schemeClr w14:val="tx1"/>
            </w14:solidFill>
          </w14:textFill>
        </w:rPr>
        <w:t>L</w:t>
      </w:r>
      <w:r>
        <w:rPr>
          <w:rFonts w:hint="eastAsia"/>
          <w:color w:val="000000" w:themeColor="text1"/>
          <w14:textFill>
            <w14:solidFill>
              <w14:schemeClr w14:val="tx1"/>
            </w14:solidFill>
          </w14:textFill>
        </w:rPr>
        <w:t>；</w:t>
      </w:r>
    </w:p>
    <w:p w14:paraId="52230631">
      <w:pPr>
        <w:pStyle w:val="117"/>
        <w:ind w:firstLine="1132" w:firstLineChars="472"/>
        <w:rPr>
          <w:rFonts w:hint="eastAsia"/>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213360" cy="229870"/>
            <wp:effectExtent l="0" t="0" r="0" b="0"/>
            <wp:docPr id="31"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7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213360" cy="229870"/>
                    </a:xfrm>
                    <a:prstGeom prst="rect">
                      <a:avLst/>
                    </a:prstGeom>
                    <a:noFill/>
                    <a:ln>
                      <a:noFill/>
                    </a:ln>
                  </pic:spPr>
                </pic:pic>
              </a:graphicData>
            </a:graphic>
          </wp:inline>
        </w:drawing>
      </w:r>
      <w:r>
        <w:rPr>
          <w:rFonts w:hint="eastAsia"/>
          <w:color w:val="000000" w:themeColor="text1"/>
          <w14:textFill>
            <w14:solidFill>
              <w14:schemeClr w14:val="tx1"/>
            </w14:solidFill>
          </w14:textFill>
        </w:rPr>
        <w:t>—土壤参数i的土壤环境</w:t>
      </w:r>
      <w:r>
        <w:rPr>
          <w:color w:val="000000" w:themeColor="text1"/>
          <w14:textFill>
            <w14:solidFill>
              <w14:schemeClr w14:val="tx1"/>
            </w14:solidFill>
          </w14:textFill>
        </w:rPr>
        <w:t>质量标准</w:t>
      </w:r>
      <w:r>
        <w:rPr>
          <w:rFonts w:hint="eastAsia"/>
          <w:color w:val="000000" w:themeColor="text1"/>
          <w14:textFill>
            <w14:solidFill>
              <w14:schemeClr w14:val="tx1"/>
            </w14:solidFill>
          </w14:textFill>
        </w:rPr>
        <w:t>，mg/</w:t>
      </w:r>
      <w:r>
        <w:rPr>
          <w:color w:val="000000" w:themeColor="text1"/>
          <w14:textFill>
            <w14:solidFill>
              <w14:schemeClr w14:val="tx1"/>
            </w14:solidFill>
          </w14:textFill>
        </w:rPr>
        <w:t>L</w:t>
      </w:r>
      <w:r>
        <w:rPr>
          <w:rFonts w:hint="eastAsia"/>
          <w:color w:val="000000" w:themeColor="text1"/>
          <w14:textFill>
            <w14:solidFill>
              <w14:schemeClr w14:val="tx1"/>
            </w14:solidFill>
          </w14:textFill>
        </w:rPr>
        <w:t>。</w:t>
      </w:r>
    </w:p>
    <w:p w14:paraId="24B16962">
      <w:pPr>
        <w:pStyle w:val="117"/>
        <w:ind w:firstLine="480" w:firstLineChars="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⑦评价结果</w:t>
      </w:r>
    </w:p>
    <w:p w14:paraId="45249770">
      <w:pPr>
        <w:pStyle w:val="117"/>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土壤监测及评价结果见表</w:t>
      </w:r>
      <w:r>
        <w:rPr>
          <w:color w:val="000000" w:themeColor="text1"/>
          <w14:textFill>
            <w14:solidFill>
              <w14:schemeClr w14:val="tx1"/>
            </w14:solidFill>
          </w14:textFill>
        </w:rPr>
        <w:t>4.3</w:t>
      </w:r>
      <w:r>
        <w:rPr>
          <w:rFonts w:hint="eastAsia"/>
          <w:color w:val="000000" w:themeColor="text1"/>
          <w14:textFill>
            <w14:solidFill>
              <w14:schemeClr w14:val="tx1"/>
            </w14:solidFill>
          </w14:textFill>
        </w:rPr>
        <w:t>-13、表</w:t>
      </w:r>
      <w:r>
        <w:rPr>
          <w:color w:val="000000" w:themeColor="text1"/>
          <w14:textFill>
            <w14:solidFill>
              <w14:schemeClr w14:val="tx1"/>
            </w14:solidFill>
          </w14:textFill>
        </w:rPr>
        <w:t>4.3</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1</w:t>
      </w:r>
      <w:r>
        <w:rPr>
          <w:rFonts w:hint="eastAsia"/>
          <w:color w:val="000000" w:themeColor="text1"/>
          <w14:textFill>
            <w14:solidFill>
              <w14:schemeClr w14:val="tx1"/>
            </w14:solidFill>
          </w14:textFill>
        </w:rPr>
        <w:t>4和表4.3-15，理化性质调查见表4</w:t>
      </w:r>
      <w:r>
        <w:rPr>
          <w:color w:val="000000" w:themeColor="text1"/>
          <w14:textFill>
            <w14:solidFill>
              <w14:schemeClr w14:val="tx1"/>
            </w14:solidFill>
          </w14:textFill>
        </w:rPr>
        <w:t>.3</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1</w:t>
      </w:r>
      <w:r>
        <w:rPr>
          <w:rFonts w:hint="eastAsia"/>
          <w:color w:val="000000" w:themeColor="text1"/>
          <w14:textFill>
            <w14:solidFill>
              <w14:schemeClr w14:val="tx1"/>
            </w14:solidFill>
          </w14:textFill>
        </w:rPr>
        <w:t>6，土壤剖面调查见表4.3-17。</w:t>
      </w:r>
    </w:p>
    <w:p w14:paraId="27D27E6D">
      <w:pPr>
        <w:pStyle w:val="117"/>
        <w:adjustRightInd w:val="0"/>
        <w:snapToGrid w:val="0"/>
        <w:ind w:firstLine="0" w:firstLineChars="0"/>
        <w:jc w:val="center"/>
        <w:rPr>
          <w:rFonts w:hint="eastAsia" w:ascii="黑体" w:hAnsi="黑体" w:eastAsia="黑体"/>
          <w:bCs/>
          <w:color w:val="000000" w:themeColor="text1"/>
          <w:sz w:val="21"/>
          <w:szCs w:val="21"/>
          <w14:textFill>
            <w14:solidFill>
              <w14:schemeClr w14:val="tx1"/>
            </w14:solidFill>
          </w14:textFill>
        </w:rPr>
      </w:pPr>
      <w:r>
        <w:rPr>
          <w:rFonts w:hint="eastAsia" w:ascii="黑体" w:hAnsi="黑体" w:eastAsia="黑体"/>
          <w:bCs/>
          <w:color w:val="000000" w:themeColor="text1"/>
          <w:sz w:val="21"/>
          <w:szCs w:val="21"/>
          <w14:textFill>
            <w14:solidFill>
              <w14:schemeClr w14:val="tx1"/>
            </w14:solidFill>
          </w14:textFill>
        </w:rPr>
        <w:t>表</w:t>
      </w:r>
      <w:r>
        <w:rPr>
          <w:rFonts w:ascii="黑体" w:hAnsi="黑体" w:eastAsia="黑体"/>
          <w:bCs/>
          <w:color w:val="000000" w:themeColor="text1"/>
          <w:sz w:val="21"/>
          <w:szCs w:val="21"/>
          <w14:textFill>
            <w14:solidFill>
              <w14:schemeClr w14:val="tx1"/>
            </w14:solidFill>
          </w14:textFill>
        </w:rPr>
        <w:t>4.3</w:t>
      </w:r>
      <w:r>
        <w:rPr>
          <w:rFonts w:hint="eastAsia" w:ascii="黑体" w:hAnsi="黑体" w:eastAsia="黑体"/>
          <w:bCs/>
          <w:color w:val="000000" w:themeColor="text1"/>
          <w:sz w:val="21"/>
          <w:szCs w:val="21"/>
          <w14:textFill>
            <w14:solidFill>
              <w14:schemeClr w14:val="tx1"/>
            </w14:solidFill>
          </w14:textFill>
        </w:rPr>
        <w:t>-</w:t>
      </w:r>
      <w:r>
        <w:rPr>
          <w:rFonts w:ascii="黑体" w:hAnsi="黑体" w:eastAsia="黑体"/>
          <w:bCs/>
          <w:color w:val="000000" w:themeColor="text1"/>
          <w:sz w:val="21"/>
          <w:szCs w:val="21"/>
          <w14:textFill>
            <w14:solidFill>
              <w14:schemeClr w14:val="tx1"/>
            </w14:solidFill>
          </w14:textFill>
        </w:rPr>
        <w:t>1</w:t>
      </w:r>
      <w:r>
        <w:rPr>
          <w:rFonts w:hint="eastAsia" w:ascii="黑体" w:hAnsi="黑体" w:eastAsia="黑体"/>
          <w:bCs/>
          <w:color w:val="000000" w:themeColor="text1"/>
          <w:sz w:val="21"/>
          <w:szCs w:val="21"/>
          <w14:textFill>
            <w14:solidFill>
              <w14:schemeClr w14:val="tx1"/>
            </w14:solidFill>
          </w14:textFill>
        </w:rPr>
        <w:t>3</w:t>
      </w:r>
      <w:r>
        <w:rPr>
          <w:rFonts w:ascii="黑体" w:hAnsi="黑体" w:eastAsia="黑体"/>
          <w:bCs/>
          <w:color w:val="000000" w:themeColor="text1"/>
          <w:sz w:val="21"/>
          <w:szCs w:val="21"/>
          <w14:textFill>
            <w14:solidFill>
              <w14:schemeClr w14:val="tx1"/>
            </w14:solidFill>
          </w14:textFill>
        </w:rPr>
        <w:t xml:space="preserve">  </w:t>
      </w:r>
      <w:r>
        <w:rPr>
          <w:rFonts w:hint="eastAsia" w:ascii="黑体" w:hAnsi="黑体" w:eastAsia="黑体"/>
          <w:bCs/>
          <w:color w:val="000000" w:themeColor="text1"/>
          <w:sz w:val="21"/>
          <w:szCs w:val="21"/>
          <w14:textFill>
            <w14:solidFill>
              <w14:schemeClr w14:val="tx1"/>
            </w14:solidFill>
          </w14:textFill>
        </w:rPr>
        <w:t>挥发性半挥发性监测因子监测结果及评价结果一览表</w:t>
      </w:r>
    </w:p>
    <w:tbl>
      <w:tblPr>
        <w:tblStyle w:val="51"/>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655"/>
        <w:gridCol w:w="2106"/>
        <w:gridCol w:w="1161"/>
        <w:gridCol w:w="1598"/>
        <w:gridCol w:w="1018"/>
        <w:gridCol w:w="1161"/>
        <w:gridCol w:w="1247"/>
      </w:tblGrid>
      <w:tr w14:paraId="1CB4AD2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366" w:type="pct"/>
            <w:vAlign w:val="center"/>
          </w:tcPr>
          <w:p w14:paraId="5148F42A">
            <w:pPr>
              <w:adjustRightInd w:val="0"/>
              <w:snapToGrid w:val="0"/>
              <w:spacing w:line="300" w:lineRule="exact"/>
              <w:jc w:val="center"/>
              <w:textAlignment w:val="baseline"/>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序号</w:t>
            </w:r>
          </w:p>
        </w:tc>
        <w:tc>
          <w:tcPr>
            <w:tcW w:w="1177" w:type="pct"/>
            <w:vAlign w:val="center"/>
          </w:tcPr>
          <w:p w14:paraId="76CBBD8E">
            <w:pPr>
              <w:adjustRightInd w:val="0"/>
              <w:snapToGrid w:val="0"/>
              <w:spacing w:line="300" w:lineRule="exact"/>
              <w:jc w:val="center"/>
              <w:textAlignment w:val="baseline"/>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名称</w:t>
            </w:r>
          </w:p>
        </w:tc>
        <w:tc>
          <w:tcPr>
            <w:tcW w:w="649" w:type="pct"/>
            <w:vAlign w:val="center"/>
          </w:tcPr>
          <w:p w14:paraId="0133E9AD">
            <w:pPr>
              <w:adjustRightInd w:val="0"/>
              <w:snapToGrid w:val="0"/>
              <w:spacing w:line="300" w:lineRule="exact"/>
              <w:jc w:val="center"/>
              <w:textAlignment w:val="baseline"/>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标准限值</w:t>
            </w:r>
          </w:p>
        </w:tc>
        <w:tc>
          <w:tcPr>
            <w:tcW w:w="893" w:type="pct"/>
            <w:vAlign w:val="center"/>
          </w:tcPr>
          <w:p w14:paraId="3F983357">
            <w:pPr>
              <w:adjustRightInd w:val="0"/>
              <w:snapToGrid w:val="0"/>
              <w:spacing w:line="300" w:lineRule="exact"/>
              <w:jc w:val="center"/>
              <w:textAlignment w:val="baseline"/>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监测值单位</w:t>
            </w:r>
          </w:p>
        </w:tc>
        <w:tc>
          <w:tcPr>
            <w:tcW w:w="569" w:type="pct"/>
            <w:vAlign w:val="center"/>
          </w:tcPr>
          <w:p w14:paraId="4CF671DD">
            <w:pPr>
              <w:adjustRightInd w:val="0"/>
              <w:snapToGrid w:val="0"/>
              <w:spacing w:line="300" w:lineRule="exact"/>
              <w:jc w:val="center"/>
              <w:textAlignment w:val="baseline"/>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监测值</w:t>
            </w:r>
          </w:p>
        </w:tc>
        <w:tc>
          <w:tcPr>
            <w:tcW w:w="649" w:type="pct"/>
            <w:vAlign w:val="center"/>
          </w:tcPr>
          <w:p w14:paraId="257B07C0">
            <w:pPr>
              <w:adjustRightInd w:val="0"/>
              <w:snapToGrid w:val="0"/>
              <w:spacing w:line="300" w:lineRule="exact"/>
              <w:jc w:val="center"/>
              <w:textAlignment w:val="baseline"/>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标准指数</w:t>
            </w:r>
          </w:p>
        </w:tc>
        <w:tc>
          <w:tcPr>
            <w:tcW w:w="697" w:type="pct"/>
            <w:vAlign w:val="center"/>
          </w:tcPr>
          <w:p w14:paraId="7BE509C4">
            <w:pPr>
              <w:adjustRightInd w:val="0"/>
              <w:snapToGrid w:val="0"/>
              <w:spacing w:line="300" w:lineRule="exact"/>
              <w:jc w:val="center"/>
              <w:textAlignment w:val="baseline"/>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达标情况</w:t>
            </w:r>
          </w:p>
        </w:tc>
      </w:tr>
      <w:tr w14:paraId="48FAF02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66" w:type="pct"/>
            <w:vAlign w:val="center"/>
          </w:tcPr>
          <w:p w14:paraId="5A644C52">
            <w:pPr>
              <w:adjustRightInd w:val="0"/>
              <w:snapToGrid w:val="0"/>
              <w:spacing w:line="300" w:lineRule="exact"/>
              <w:jc w:val="center"/>
              <w:textAlignment w:val="baseline"/>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1</w:t>
            </w:r>
          </w:p>
        </w:tc>
        <w:tc>
          <w:tcPr>
            <w:tcW w:w="1177" w:type="pct"/>
            <w:vAlign w:val="center"/>
          </w:tcPr>
          <w:p w14:paraId="54D0CFBD">
            <w:pPr>
              <w:adjustRightInd w:val="0"/>
              <w:snapToGrid w:val="0"/>
              <w:spacing w:line="300" w:lineRule="exact"/>
              <w:jc w:val="center"/>
              <w:textAlignment w:val="baseline"/>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四氯化碳</w:t>
            </w:r>
          </w:p>
        </w:tc>
        <w:tc>
          <w:tcPr>
            <w:tcW w:w="649" w:type="pct"/>
            <w:vAlign w:val="center"/>
          </w:tcPr>
          <w:p w14:paraId="69BE595A">
            <w:pPr>
              <w:adjustRightInd w:val="0"/>
              <w:snapToGrid w:val="0"/>
              <w:spacing w:line="300" w:lineRule="exact"/>
              <w:jc w:val="center"/>
              <w:textAlignment w:val="baseline"/>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2.8</w:t>
            </w:r>
          </w:p>
        </w:tc>
        <w:tc>
          <w:tcPr>
            <w:tcW w:w="893" w:type="pct"/>
            <w:vAlign w:val="center"/>
          </w:tcPr>
          <w:p w14:paraId="4676CDC7">
            <w:pPr>
              <w:adjustRightInd w:val="0"/>
              <w:snapToGrid w:val="0"/>
              <w:spacing w:line="300" w:lineRule="exact"/>
              <w:jc w:val="center"/>
              <w:textAlignment w:val="baseline"/>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μg/kg</w:t>
            </w:r>
          </w:p>
        </w:tc>
        <w:tc>
          <w:tcPr>
            <w:tcW w:w="569" w:type="pct"/>
            <w:vAlign w:val="center"/>
          </w:tcPr>
          <w:p w14:paraId="56C11D57">
            <w:pPr>
              <w:adjustRightInd w:val="0"/>
              <w:snapToGrid w:val="0"/>
              <w:spacing w:line="300" w:lineRule="exact"/>
              <w:jc w:val="center"/>
              <w:textAlignment w:val="baseline"/>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1</w:t>
            </w:r>
            <w:r>
              <w:rPr>
                <w:rFonts w:ascii="宋体" w:hAnsi="宋体" w:cs="宋体"/>
                <w:color w:val="000000" w:themeColor="text1"/>
                <w:kern w:val="0"/>
                <w:szCs w:val="21"/>
                <w14:textFill>
                  <w14:solidFill>
                    <w14:schemeClr w14:val="tx1"/>
                  </w14:solidFill>
                </w14:textFill>
              </w:rPr>
              <w:t>.3L</w:t>
            </w:r>
          </w:p>
        </w:tc>
        <w:tc>
          <w:tcPr>
            <w:tcW w:w="649" w:type="pct"/>
            <w:vAlign w:val="center"/>
          </w:tcPr>
          <w:p w14:paraId="498F6879">
            <w:pPr>
              <w:adjustRightInd w:val="0"/>
              <w:snapToGrid w:val="0"/>
              <w:spacing w:line="300" w:lineRule="exact"/>
              <w:jc w:val="center"/>
              <w:textAlignment w:val="baseline"/>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w:t>
            </w:r>
          </w:p>
        </w:tc>
        <w:tc>
          <w:tcPr>
            <w:tcW w:w="697" w:type="pct"/>
            <w:vAlign w:val="center"/>
          </w:tcPr>
          <w:p w14:paraId="1DA7C9F1">
            <w:pPr>
              <w:adjustRightInd w:val="0"/>
              <w:snapToGrid w:val="0"/>
              <w:spacing w:line="300" w:lineRule="exact"/>
              <w:jc w:val="center"/>
              <w:textAlignment w:val="baseline"/>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达标</w:t>
            </w:r>
          </w:p>
        </w:tc>
      </w:tr>
      <w:tr w14:paraId="7A62B5D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66" w:type="pct"/>
            <w:vAlign w:val="center"/>
          </w:tcPr>
          <w:p w14:paraId="5DDCCF14">
            <w:pPr>
              <w:adjustRightInd w:val="0"/>
              <w:snapToGrid w:val="0"/>
              <w:spacing w:line="300" w:lineRule="exact"/>
              <w:jc w:val="center"/>
              <w:textAlignment w:val="baseline"/>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2</w:t>
            </w:r>
          </w:p>
        </w:tc>
        <w:tc>
          <w:tcPr>
            <w:tcW w:w="1177" w:type="pct"/>
            <w:vAlign w:val="center"/>
          </w:tcPr>
          <w:p w14:paraId="7B011F35">
            <w:pPr>
              <w:adjustRightInd w:val="0"/>
              <w:snapToGrid w:val="0"/>
              <w:spacing w:line="300" w:lineRule="exact"/>
              <w:jc w:val="center"/>
              <w:textAlignment w:val="baseline"/>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氯仿</w:t>
            </w:r>
          </w:p>
        </w:tc>
        <w:tc>
          <w:tcPr>
            <w:tcW w:w="649" w:type="pct"/>
            <w:vAlign w:val="center"/>
          </w:tcPr>
          <w:p w14:paraId="75173880">
            <w:pPr>
              <w:adjustRightInd w:val="0"/>
              <w:snapToGrid w:val="0"/>
              <w:spacing w:line="300" w:lineRule="exact"/>
              <w:jc w:val="center"/>
              <w:textAlignment w:val="baseline"/>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0.9</w:t>
            </w:r>
          </w:p>
        </w:tc>
        <w:tc>
          <w:tcPr>
            <w:tcW w:w="893" w:type="pct"/>
            <w:vAlign w:val="center"/>
          </w:tcPr>
          <w:p w14:paraId="16DF7745">
            <w:pPr>
              <w:adjustRightInd w:val="0"/>
              <w:snapToGrid w:val="0"/>
              <w:spacing w:line="300" w:lineRule="exact"/>
              <w:jc w:val="center"/>
              <w:textAlignment w:val="baseline"/>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μg/kg</w:t>
            </w:r>
          </w:p>
        </w:tc>
        <w:tc>
          <w:tcPr>
            <w:tcW w:w="569" w:type="pct"/>
          </w:tcPr>
          <w:p w14:paraId="15EF53C8">
            <w:pPr>
              <w:adjustRightInd w:val="0"/>
              <w:snapToGrid w:val="0"/>
              <w:spacing w:line="300" w:lineRule="exact"/>
              <w:jc w:val="center"/>
              <w:textAlignment w:val="baseline"/>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1</w:t>
            </w:r>
            <w:r>
              <w:rPr>
                <w:rFonts w:ascii="宋体" w:hAnsi="宋体" w:cs="宋体"/>
                <w:color w:val="000000" w:themeColor="text1"/>
                <w:kern w:val="0"/>
                <w:szCs w:val="21"/>
                <w14:textFill>
                  <w14:solidFill>
                    <w14:schemeClr w14:val="tx1"/>
                  </w14:solidFill>
                </w14:textFill>
              </w:rPr>
              <w:t>.1L</w:t>
            </w:r>
          </w:p>
        </w:tc>
        <w:tc>
          <w:tcPr>
            <w:tcW w:w="649" w:type="pct"/>
          </w:tcPr>
          <w:p w14:paraId="196DDE99">
            <w:pPr>
              <w:adjustRightInd w:val="0"/>
              <w:snapToGrid w:val="0"/>
              <w:spacing w:line="300" w:lineRule="exact"/>
              <w:jc w:val="center"/>
              <w:textAlignment w:val="baseline"/>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w:t>
            </w:r>
          </w:p>
        </w:tc>
        <w:tc>
          <w:tcPr>
            <w:tcW w:w="697" w:type="pct"/>
            <w:vAlign w:val="center"/>
          </w:tcPr>
          <w:p w14:paraId="27015D3D">
            <w:pPr>
              <w:adjustRightInd w:val="0"/>
              <w:snapToGrid w:val="0"/>
              <w:spacing w:line="30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达标</w:t>
            </w:r>
          </w:p>
        </w:tc>
      </w:tr>
      <w:tr w14:paraId="20596C1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66" w:type="pct"/>
            <w:vAlign w:val="center"/>
          </w:tcPr>
          <w:p w14:paraId="37E6DA4A">
            <w:pPr>
              <w:adjustRightInd w:val="0"/>
              <w:snapToGrid w:val="0"/>
              <w:spacing w:line="300" w:lineRule="exact"/>
              <w:jc w:val="center"/>
              <w:textAlignment w:val="baseline"/>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3</w:t>
            </w:r>
          </w:p>
        </w:tc>
        <w:tc>
          <w:tcPr>
            <w:tcW w:w="1177" w:type="pct"/>
            <w:vAlign w:val="center"/>
          </w:tcPr>
          <w:p w14:paraId="2E5112FD">
            <w:pPr>
              <w:adjustRightInd w:val="0"/>
              <w:snapToGrid w:val="0"/>
              <w:spacing w:line="300" w:lineRule="exact"/>
              <w:jc w:val="center"/>
              <w:textAlignment w:val="baseline"/>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氯甲烷</w:t>
            </w:r>
          </w:p>
        </w:tc>
        <w:tc>
          <w:tcPr>
            <w:tcW w:w="649" w:type="pct"/>
            <w:vAlign w:val="center"/>
          </w:tcPr>
          <w:p w14:paraId="77524009">
            <w:pPr>
              <w:adjustRightInd w:val="0"/>
              <w:snapToGrid w:val="0"/>
              <w:spacing w:line="300" w:lineRule="exact"/>
              <w:jc w:val="center"/>
              <w:textAlignment w:val="baseline"/>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37</w:t>
            </w:r>
          </w:p>
        </w:tc>
        <w:tc>
          <w:tcPr>
            <w:tcW w:w="893" w:type="pct"/>
            <w:vAlign w:val="center"/>
          </w:tcPr>
          <w:p w14:paraId="296F8817">
            <w:pPr>
              <w:adjustRightInd w:val="0"/>
              <w:snapToGrid w:val="0"/>
              <w:spacing w:line="300" w:lineRule="exact"/>
              <w:jc w:val="center"/>
              <w:textAlignment w:val="baseline"/>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μg/kg</w:t>
            </w:r>
          </w:p>
        </w:tc>
        <w:tc>
          <w:tcPr>
            <w:tcW w:w="569" w:type="pct"/>
          </w:tcPr>
          <w:p w14:paraId="36C4A6B5">
            <w:pPr>
              <w:adjustRightInd w:val="0"/>
              <w:snapToGrid w:val="0"/>
              <w:spacing w:line="300" w:lineRule="exact"/>
              <w:jc w:val="center"/>
              <w:textAlignment w:val="baseline"/>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1</w:t>
            </w:r>
            <w:r>
              <w:rPr>
                <w:rFonts w:ascii="宋体" w:hAnsi="宋体" w:cs="宋体"/>
                <w:color w:val="000000" w:themeColor="text1"/>
                <w:kern w:val="0"/>
                <w:szCs w:val="21"/>
                <w14:textFill>
                  <w14:solidFill>
                    <w14:schemeClr w14:val="tx1"/>
                  </w14:solidFill>
                </w14:textFill>
              </w:rPr>
              <w:t>.0L</w:t>
            </w:r>
          </w:p>
        </w:tc>
        <w:tc>
          <w:tcPr>
            <w:tcW w:w="649" w:type="pct"/>
          </w:tcPr>
          <w:p w14:paraId="313C4B1E">
            <w:pPr>
              <w:adjustRightInd w:val="0"/>
              <w:snapToGrid w:val="0"/>
              <w:spacing w:line="300" w:lineRule="exact"/>
              <w:jc w:val="center"/>
              <w:textAlignment w:val="baseline"/>
              <w:rPr>
                <w:rFonts w:hint="eastAsia" w:ascii="宋体" w:hAnsi="宋体" w:cs="宋体"/>
                <w:color w:val="000000" w:themeColor="text1"/>
                <w:kern w:val="0"/>
                <w:szCs w:val="21"/>
                <w14:textFill>
                  <w14:solidFill>
                    <w14:schemeClr w14:val="tx1"/>
                  </w14:solidFill>
                </w14:textFill>
              </w:rPr>
            </w:pPr>
          </w:p>
        </w:tc>
        <w:tc>
          <w:tcPr>
            <w:tcW w:w="697" w:type="pct"/>
            <w:vAlign w:val="center"/>
          </w:tcPr>
          <w:p w14:paraId="711A7DCF">
            <w:pPr>
              <w:adjustRightInd w:val="0"/>
              <w:snapToGrid w:val="0"/>
              <w:spacing w:line="30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达标</w:t>
            </w:r>
          </w:p>
        </w:tc>
      </w:tr>
      <w:tr w14:paraId="22FF477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66" w:type="pct"/>
            <w:vAlign w:val="center"/>
          </w:tcPr>
          <w:p w14:paraId="21941B1A">
            <w:pPr>
              <w:adjustRightInd w:val="0"/>
              <w:snapToGrid w:val="0"/>
              <w:spacing w:line="300" w:lineRule="exact"/>
              <w:jc w:val="center"/>
              <w:textAlignment w:val="baseline"/>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4</w:t>
            </w:r>
          </w:p>
        </w:tc>
        <w:tc>
          <w:tcPr>
            <w:tcW w:w="1177" w:type="pct"/>
            <w:vAlign w:val="center"/>
          </w:tcPr>
          <w:p w14:paraId="49E07422">
            <w:pPr>
              <w:adjustRightInd w:val="0"/>
              <w:snapToGrid w:val="0"/>
              <w:spacing w:line="300" w:lineRule="exact"/>
              <w:jc w:val="center"/>
              <w:textAlignment w:val="baseline"/>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1,1-二氯乙烷</w:t>
            </w:r>
          </w:p>
        </w:tc>
        <w:tc>
          <w:tcPr>
            <w:tcW w:w="649" w:type="pct"/>
            <w:vAlign w:val="center"/>
          </w:tcPr>
          <w:p w14:paraId="42D42554">
            <w:pPr>
              <w:adjustRightInd w:val="0"/>
              <w:snapToGrid w:val="0"/>
              <w:spacing w:line="300" w:lineRule="exact"/>
              <w:jc w:val="center"/>
              <w:textAlignment w:val="baseline"/>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9</w:t>
            </w:r>
          </w:p>
        </w:tc>
        <w:tc>
          <w:tcPr>
            <w:tcW w:w="893" w:type="pct"/>
            <w:vAlign w:val="center"/>
          </w:tcPr>
          <w:p w14:paraId="5FA8CD59">
            <w:pPr>
              <w:adjustRightInd w:val="0"/>
              <w:snapToGrid w:val="0"/>
              <w:spacing w:line="300" w:lineRule="exact"/>
              <w:jc w:val="center"/>
              <w:textAlignment w:val="baseline"/>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μg/kg</w:t>
            </w:r>
          </w:p>
        </w:tc>
        <w:tc>
          <w:tcPr>
            <w:tcW w:w="569" w:type="pct"/>
          </w:tcPr>
          <w:p w14:paraId="69DAB442">
            <w:pPr>
              <w:adjustRightInd w:val="0"/>
              <w:snapToGrid w:val="0"/>
              <w:spacing w:line="300" w:lineRule="exact"/>
              <w:jc w:val="center"/>
              <w:textAlignment w:val="baseline"/>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1</w:t>
            </w:r>
            <w:r>
              <w:rPr>
                <w:rFonts w:ascii="宋体" w:hAnsi="宋体" w:cs="宋体"/>
                <w:color w:val="000000" w:themeColor="text1"/>
                <w:kern w:val="0"/>
                <w:szCs w:val="21"/>
                <w14:textFill>
                  <w14:solidFill>
                    <w14:schemeClr w14:val="tx1"/>
                  </w14:solidFill>
                </w14:textFill>
              </w:rPr>
              <w:t>.2L</w:t>
            </w:r>
          </w:p>
        </w:tc>
        <w:tc>
          <w:tcPr>
            <w:tcW w:w="649" w:type="pct"/>
          </w:tcPr>
          <w:p w14:paraId="06423B85">
            <w:pPr>
              <w:adjustRightInd w:val="0"/>
              <w:snapToGrid w:val="0"/>
              <w:spacing w:line="300" w:lineRule="exact"/>
              <w:jc w:val="center"/>
              <w:textAlignment w:val="baseline"/>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w:t>
            </w:r>
          </w:p>
        </w:tc>
        <w:tc>
          <w:tcPr>
            <w:tcW w:w="697" w:type="pct"/>
            <w:vAlign w:val="center"/>
          </w:tcPr>
          <w:p w14:paraId="35F2143D">
            <w:pPr>
              <w:adjustRightInd w:val="0"/>
              <w:snapToGrid w:val="0"/>
              <w:spacing w:line="30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达标</w:t>
            </w:r>
          </w:p>
        </w:tc>
      </w:tr>
      <w:tr w14:paraId="3B61A50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66" w:type="pct"/>
            <w:vAlign w:val="center"/>
          </w:tcPr>
          <w:p w14:paraId="3665A23B">
            <w:pPr>
              <w:adjustRightInd w:val="0"/>
              <w:snapToGrid w:val="0"/>
              <w:spacing w:line="300" w:lineRule="exact"/>
              <w:jc w:val="center"/>
              <w:textAlignment w:val="baseline"/>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5</w:t>
            </w:r>
          </w:p>
        </w:tc>
        <w:tc>
          <w:tcPr>
            <w:tcW w:w="1177" w:type="pct"/>
            <w:vAlign w:val="center"/>
          </w:tcPr>
          <w:p w14:paraId="740D90E4">
            <w:pPr>
              <w:adjustRightInd w:val="0"/>
              <w:snapToGrid w:val="0"/>
              <w:spacing w:line="300" w:lineRule="exact"/>
              <w:jc w:val="center"/>
              <w:textAlignment w:val="baseline"/>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1,2-二氯乙烷</w:t>
            </w:r>
          </w:p>
        </w:tc>
        <w:tc>
          <w:tcPr>
            <w:tcW w:w="649" w:type="pct"/>
            <w:vAlign w:val="center"/>
          </w:tcPr>
          <w:p w14:paraId="477C6467">
            <w:pPr>
              <w:adjustRightInd w:val="0"/>
              <w:snapToGrid w:val="0"/>
              <w:spacing w:line="300" w:lineRule="exact"/>
              <w:jc w:val="center"/>
              <w:textAlignment w:val="baseline"/>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5</w:t>
            </w:r>
          </w:p>
        </w:tc>
        <w:tc>
          <w:tcPr>
            <w:tcW w:w="893" w:type="pct"/>
            <w:vAlign w:val="center"/>
          </w:tcPr>
          <w:p w14:paraId="0A249AB7">
            <w:pPr>
              <w:adjustRightInd w:val="0"/>
              <w:snapToGrid w:val="0"/>
              <w:spacing w:line="300" w:lineRule="exact"/>
              <w:jc w:val="center"/>
              <w:textAlignment w:val="baseline"/>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μg/kg</w:t>
            </w:r>
          </w:p>
        </w:tc>
        <w:tc>
          <w:tcPr>
            <w:tcW w:w="569" w:type="pct"/>
          </w:tcPr>
          <w:p w14:paraId="3950030C">
            <w:pPr>
              <w:adjustRightInd w:val="0"/>
              <w:snapToGrid w:val="0"/>
              <w:spacing w:line="300" w:lineRule="exact"/>
              <w:jc w:val="center"/>
              <w:textAlignment w:val="baseline"/>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1</w:t>
            </w:r>
            <w:r>
              <w:rPr>
                <w:rFonts w:ascii="宋体" w:hAnsi="宋体" w:cs="宋体"/>
                <w:color w:val="000000" w:themeColor="text1"/>
                <w:kern w:val="0"/>
                <w:szCs w:val="21"/>
                <w14:textFill>
                  <w14:solidFill>
                    <w14:schemeClr w14:val="tx1"/>
                  </w14:solidFill>
                </w14:textFill>
              </w:rPr>
              <w:t>.3L</w:t>
            </w:r>
          </w:p>
        </w:tc>
        <w:tc>
          <w:tcPr>
            <w:tcW w:w="649" w:type="pct"/>
          </w:tcPr>
          <w:p w14:paraId="4D91AF69">
            <w:pPr>
              <w:adjustRightInd w:val="0"/>
              <w:snapToGrid w:val="0"/>
              <w:spacing w:line="300" w:lineRule="exact"/>
              <w:jc w:val="center"/>
              <w:textAlignment w:val="baseline"/>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w:t>
            </w:r>
          </w:p>
        </w:tc>
        <w:tc>
          <w:tcPr>
            <w:tcW w:w="697" w:type="pct"/>
            <w:vAlign w:val="center"/>
          </w:tcPr>
          <w:p w14:paraId="690336FE">
            <w:pPr>
              <w:adjustRightInd w:val="0"/>
              <w:snapToGrid w:val="0"/>
              <w:spacing w:line="30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达标</w:t>
            </w:r>
          </w:p>
        </w:tc>
      </w:tr>
      <w:tr w14:paraId="2261602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66" w:type="pct"/>
            <w:vAlign w:val="center"/>
          </w:tcPr>
          <w:p w14:paraId="2C05204A">
            <w:pPr>
              <w:adjustRightInd w:val="0"/>
              <w:snapToGrid w:val="0"/>
              <w:spacing w:line="300" w:lineRule="exact"/>
              <w:jc w:val="center"/>
              <w:textAlignment w:val="baseline"/>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6</w:t>
            </w:r>
          </w:p>
        </w:tc>
        <w:tc>
          <w:tcPr>
            <w:tcW w:w="1177" w:type="pct"/>
            <w:vAlign w:val="center"/>
          </w:tcPr>
          <w:p w14:paraId="5BB47E70">
            <w:pPr>
              <w:adjustRightInd w:val="0"/>
              <w:snapToGrid w:val="0"/>
              <w:spacing w:line="300" w:lineRule="exact"/>
              <w:jc w:val="center"/>
              <w:textAlignment w:val="baseline"/>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1,1-二氯乙烯</w:t>
            </w:r>
          </w:p>
        </w:tc>
        <w:tc>
          <w:tcPr>
            <w:tcW w:w="649" w:type="pct"/>
            <w:vAlign w:val="center"/>
          </w:tcPr>
          <w:p w14:paraId="36637A6F">
            <w:pPr>
              <w:adjustRightInd w:val="0"/>
              <w:snapToGrid w:val="0"/>
              <w:spacing w:line="300" w:lineRule="exact"/>
              <w:jc w:val="center"/>
              <w:textAlignment w:val="baseline"/>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66</w:t>
            </w:r>
          </w:p>
        </w:tc>
        <w:tc>
          <w:tcPr>
            <w:tcW w:w="893" w:type="pct"/>
            <w:vAlign w:val="center"/>
          </w:tcPr>
          <w:p w14:paraId="215CD5CF">
            <w:pPr>
              <w:adjustRightInd w:val="0"/>
              <w:snapToGrid w:val="0"/>
              <w:spacing w:line="300" w:lineRule="exact"/>
              <w:jc w:val="center"/>
              <w:textAlignment w:val="baseline"/>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μg/kg</w:t>
            </w:r>
          </w:p>
        </w:tc>
        <w:tc>
          <w:tcPr>
            <w:tcW w:w="569" w:type="pct"/>
          </w:tcPr>
          <w:p w14:paraId="018325BE">
            <w:pPr>
              <w:adjustRightInd w:val="0"/>
              <w:snapToGrid w:val="0"/>
              <w:spacing w:line="300" w:lineRule="exact"/>
              <w:jc w:val="center"/>
              <w:textAlignment w:val="baseline"/>
              <w:rPr>
                <w:rFonts w:hint="eastAsia"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Cs w:val="21"/>
                <w14:textFill>
                  <w14:solidFill>
                    <w14:schemeClr w14:val="tx1"/>
                  </w14:solidFill>
                </w14:textFill>
              </w:rPr>
              <w:t>1.0L</w:t>
            </w:r>
          </w:p>
        </w:tc>
        <w:tc>
          <w:tcPr>
            <w:tcW w:w="649" w:type="pct"/>
          </w:tcPr>
          <w:p w14:paraId="1F4B9EB3">
            <w:pPr>
              <w:adjustRightInd w:val="0"/>
              <w:snapToGrid w:val="0"/>
              <w:spacing w:line="300" w:lineRule="exact"/>
              <w:jc w:val="center"/>
              <w:textAlignment w:val="baseline"/>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w:t>
            </w:r>
          </w:p>
        </w:tc>
        <w:tc>
          <w:tcPr>
            <w:tcW w:w="697" w:type="pct"/>
            <w:vAlign w:val="center"/>
          </w:tcPr>
          <w:p w14:paraId="3314071B">
            <w:pPr>
              <w:adjustRightInd w:val="0"/>
              <w:snapToGrid w:val="0"/>
              <w:spacing w:line="30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达标</w:t>
            </w:r>
          </w:p>
        </w:tc>
      </w:tr>
      <w:tr w14:paraId="0C10BE7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66" w:type="pct"/>
            <w:vAlign w:val="center"/>
          </w:tcPr>
          <w:p w14:paraId="0CB18E7F">
            <w:pPr>
              <w:adjustRightInd w:val="0"/>
              <w:snapToGrid w:val="0"/>
              <w:spacing w:line="300" w:lineRule="exact"/>
              <w:jc w:val="center"/>
              <w:textAlignment w:val="baseline"/>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7</w:t>
            </w:r>
          </w:p>
        </w:tc>
        <w:tc>
          <w:tcPr>
            <w:tcW w:w="1177" w:type="pct"/>
            <w:vAlign w:val="center"/>
          </w:tcPr>
          <w:p w14:paraId="12B45852">
            <w:pPr>
              <w:adjustRightInd w:val="0"/>
              <w:snapToGrid w:val="0"/>
              <w:spacing w:line="300" w:lineRule="exact"/>
              <w:jc w:val="center"/>
              <w:textAlignment w:val="baseline"/>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顺-1,2-二氯乙烯</w:t>
            </w:r>
          </w:p>
        </w:tc>
        <w:tc>
          <w:tcPr>
            <w:tcW w:w="649" w:type="pct"/>
            <w:vAlign w:val="center"/>
          </w:tcPr>
          <w:p w14:paraId="2BAD0A22">
            <w:pPr>
              <w:adjustRightInd w:val="0"/>
              <w:snapToGrid w:val="0"/>
              <w:spacing w:line="300" w:lineRule="exact"/>
              <w:jc w:val="center"/>
              <w:textAlignment w:val="baseline"/>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596</w:t>
            </w:r>
          </w:p>
        </w:tc>
        <w:tc>
          <w:tcPr>
            <w:tcW w:w="893" w:type="pct"/>
            <w:vAlign w:val="center"/>
          </w:tcPr>
          <w:p w14:paraId="286A8F5C">
            <w:pPr>
              <w:adjustRightInd w:val="0"/>
              <w:snapToGrid w:val="0"/>
              <w:spacing w:line="300" w:lineRule="exact"/>
              <w:jc w:val="center"/>
              <w:textAlignment w:val="baseline"/>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μg/kg</w:t>
            </w:r>
          </w:p>
        </w:tc>
        <w:tc>
          <w:tcPr>
            <w:tcW w:w="569" w:type="pct"/>
          </w:tcPr>
          <w:p w14:paraId="1B0A85D1">
            <w:pPr>
              <w:adjustRightInd w:val="0"/>
              <w:snapToGrid w:val="0"/>
              <w:spacing w:line="300" w:lineRule="exact"/>
              <w:jc w:val="center"/>
              <w:textAlignment w:val="baseline"/>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1</w:t>
            </w:r>
            <w:r>
              <w:rPr>
                <w:rFonts w:ascii="宋体" w:hAnsi="宋体" w:cs="宋体"/>
                <w:color w:val="000000" w:themeColor="text1"/>
                <w:kern w:val="0"/>
                <w:szCs w:val="21"/>
                <w14:textFill>
                  <w14:solidFill>
                    <w14:schemeClr w14:val="tx1"/>
                  </w14:solidFill>
                </w14:textFill>
              </w:rPr>
              <w:t>.3L</w:t>
            </w:r>
          </w:p>
        </w:tc>
        <w:tc>
          <w:tcPr>
            <w:tcW w:w="649" w:type="pct"/>
          </w:tcPr>
          <w:p w14:paraId="7DBC6665">
            <w:pPr>
              <w:adjustRightInd w:val="0"/>
              <w:snapToGrid w:val="0"/>
              <w:spacing w:line="300" w:lineRule="exact"/>
              <w:jc w:val="center"/>
              <w:textAlignment w:val="baseline"/>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w:t>
            </w:r>
          </w:p>
        </w:tc>
        <w:tc>
          <w:tcPr>
            <w:tcW w:w="697" w:type="pct"/>
            <w:vAlign w:val="center"/>
          </w:tcPr>
          <w:p w14:paraId="3FB1337B">
            <w:pPr>
              <w:adjustRightInd w:val="0"/>
              <w:snapToGrid w:val="0"/>
              <w:spacing w:line="30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达标</w:t>
            </w:r>
          </w:p>
        </w:tc>
      </w:tr>
      <w:tr w14:paraId="2F96C83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66" w:type="pct"/>
            <w:vAlign w:val="center"/>
          </w:tcPr>
          <w:p w14:paraId="7966B6D6">
            <w:pPr>
              <w:adjustRightInd w:val="0"/>
              <w:snapToGrid w:val="0"/>
              <w:spacing w:line="300" w:lineRule="exact"/>
              <w:jc w:val="center"/>
              <w:textAlignment w:val="baseline"/>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8</w:t>
            </w:r>
          </w:p>
        </w:tc>
        <w:tc>
          <w:tcPr>
            <w:tcW w:w="1177" w:type="pct"/>
            <w:vAlign w:val="center"/>
          </w:tcPr>
          <w:p w14:paraId="74811C03">
            <w:pPr>
              <w:adjustRightInd w:val="0"/>
              <w:snapToGrid w:val="0"/>
              <w:spacing w:line="300" w:lineRule="exact"/>
              <w:jc w:val="center"/>
              <w:textAlignment w:val="baseline"/>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反-1,2-二氯乙烯</w:t>
            </w:r>
          </w:p>
        </w:tc>
        <w:tc>
          <w:tcPr>
            <w:tcW w:w="649" w:type="pct"/>
            <w:vAlign w:val="center"/>
          </w:tcPr>
          <w:p w14:paraId="181C8B10">
            <w:pPr>
              <w:adjustRightInd w:val="0"/>
              <w:snapToGrid w:val="0"/>
              <w:spacing w:line="300" w:lineRule="exact"/>
              <w:jc w:val="center"/>
              <w:textAlignment w:val="baseline"/>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54</w:t>
            </w:r>
          </w:p>
        </w:tc>
        <w:tc>
          <w:tcPr>
            <w:tcW w:w="893" w:type="pct"/>
            <w:vAlign w:val="center"/>
          </w:tcPr>
          <w:p w14:paraId="1A0FB4EA">
            <w:pPr>
              <w:adjustRightInd w:val="0"/>
              <w:snapToGrid w:val="0"/>
              <w:spacing w:line="30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μg/kg</w:t>
            </w:r>
          </w:p>
        </w:tc>
        <w:tc>
          <w:tcPr>
            <w:tcW w:w="569" w:type="pct"/>
          </w:tcPr>
          <w:p w14:paraId="679C2F26">
            <w:pPr>
              <w:adjustRightInd w:val="0"/>
              <w:snapToGrid w:val="0"/>
              <w:spacing w:line="30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1</w:t>
            </w:r>
            <w:r>
              <w:rPr>
                <w:rFonts w:ascii="宋体" w:hAnsi="宋体" w:cs="宋体"/>
                <w:color w:val="000000" w:themeColor="text1"/>
                <w:szCs w:val="21"/>
                <w14:textFill>
                  <w14:solidFill>
                    <w14:schemeClr w14:val="tx1"/>
                  </w14:solidFill>
                </w14:textFill>
              </w:rPr>
              <w:t>.4L</w:t>
            </w:r>
          </w:p>
        </w:tc>
        <w:tc>
          <w:tcPr>
            <w:tcW w:w="649" w:type="pct"/>
          </w:tcPr>
          <w:p w14:paraId="6DC9C335">
            <w:pPr>
              <w:adjustRightInd w:val="0"/>
              <w:snapToGrid w:val="0"/>
              <w:spacing w:line="30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w:t>
            </w:r>
          </w:p>
        </w:tc>
        <w:tc>
          <w:tcPr>
            <w:tcW w:w="697" w:type="pct"/>
            <w:vAlign w:val="center"/>
          </w:tcPr>
          <w:p w14:paraId="7052B280">
            <w:pPr>
              <w:adjustRightInd w:val="0"/>
              <w:snapToGrid w:val="0"/>
              <w:spacing w:line="30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达标</w:t>
            </w:r>
          </w:p>
        </w:tc>
      </w:tr>
      <w:tr w14:paraId="273004C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66" w:type="pct"/>
            <w:vAlign w:val="center"/>
          </w:tcPr>
          <w:p w14:paraId="468BDF97">
            <w:pPr>
              <w:adjustRightInd w:val="0"/>
              <w:snapToGrid w:val="0"/>
              <w:spacing w:line="300" w:lineRule="exact"/>
              <w:jc w:val="center"/>
              <w:textAlignment w:val="baseline"/>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9</w:t>
            </w:r>
          </w:p>
        </w:tc>
        <w:tc>
          <w:tcPr>
            <w:tcW w:w="1177" w:type="pct"/>
            <w:vAlign w:val="center"/>
          </w:tcPr>
          <w:p w14:paraId="7F0D7620">
            <w:pPr>
              <w:adjustRightInd w:val="0"/>
              <w:snapToGrid w:val="0"/>
              <w:spacing w:line="300" w:lineRule="exact"/>
              <w:jc w:val="center"/>
              <w:textAlignment w:val="baseline"/>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二氯甲烷</w:t>
            </w:r>
          </w:p>
        </w:tc>
        <w:tc>
          <w:tcPr>
            <w:tcW w:w="649" w:type="pct"/>
            <w:vAlign w:val="center"/>
          </w:tcPr>
          <w:p w14:paraId="42799466">
            <w:pPr>
              <w:adjustRightInd w:val="0"/>
              <w:snapToGrid w:val="0"/>
              <w:spacing w:line="300" w:lineRule="exact"/>
              <w:jc w:val="center"/>
              <w:textAlignment w:val="baseline"/>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616</w:t>
            </w:r>
          </w:p>
        </w:tc>
        <w:tc>
          <w:tcPr>
            <w:tcW w:w="893" w:type="pct"/>
            <w:vAlign w:val="center"/>
          </w:tcPr>
          <w:p w14:paraId="4D3EE0C0">
            <w:pPr>
              <w:adjustRightInd w:val="0"/>
              <w:snapToGrid w:val="0"/>
              <w:spacing w:line="30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μg/kg</w:t>
            </w:r>
          </w:p>
        </w:tc>
        <w:tc>
          <w:tcPr>
            <w:tcW w:w="569" w:type="pct"/>
          </w:tcPr>
          <w:p w14:paraId="0040FB79">
            <w:pPr>
              <w:adjustRightInd w:val="0"/>
              <w:snapToGrid w:val="0"/>
              <w:spacing w:line="30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1</w:t>
            </w:r>
            <w:r>
              <w:rPr>
                <w:rFonts w:ascii="宋体" w:hAnsi="宋体" w:cs="宋体"/>
                <w:color w:val="000000" w:themeColor="text1"/>
                <w:szCs w:val="21"/>
                <w14:textFill>
                  <w14:solidFill>
                    <w14:schemeClr w14:val="tx1"/>
                  </w14:solidFill>
                </w14:textFill>
              </w:rPr>
              <w:t>.5L</w:t>
            </w:r>
          </w:p>
        </w:tc>
        <w:tc>
          <w:tcPr>
            <w:tcW w:w="649" w:type="pct"/>
          </w:tcPr>
          <w:p w14:paraId="57FBFCA4">
            <w:pPr>
              <w:adjustRightInd w:val="0"/>
              <w:snapToGrid w:val="0"/>
              <w:spacing w:line="30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w:t>
            </w:r>
          </w:p>
        </w:tc>
        <w:tc>
          <w:tcPr>
            <w:tcW w:w="697" w:type="pct"/>
            <w:vAlign w:val="center"/>
          </w:tcPr>
          <w:p w14:paraId="7917F572">
            <w:pPr>
              <w:adjustRightInd w:val="0"/>
              <w:snapToGrid w:val="0"/>
              <w:spacing w:line="30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达标</w:t>
            </w:r>
          </w:p>
        </w:tc>
      </w:tr>
      <w:tr w14:paraId="49FE56D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66" w:type="pct"/>
            <w:vAlign w:val="center"/>
          </w:tcPr>
          <w:p w14:paraId="78345BEC">
            <w:pPr>
              <w:adjustRightInd w:val="0"/>
              <w:snapToGrid w:val="0"/>
              <w:spacing w:line="300" w:lineRule="exact"/>
              <w:jc w:val="center"/>
              <w:textAlignment w:val="baseline"/>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10</w:t>
            </w:r>
          </w:p>
        </w:tc>
        <w:tc>
          <w:tcPr>
            <w:tcW w:w="1177" w:type="pct"/>
            <w:vAlign w:val="center"/>
          </w:tcPr>
          <w:p w14:paraId="0BB762D3">
            <w:pPr>
              <w:adjustRightInd w:val="0"/>
              <w:snapToGrid w:val="0"/>
              <w:spacing w:line="300" w:lineRule="exact"/>
              <w:jc w:val="center"/>
              <w:textAlignment w:val="baseline"/>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1,2-二氯丙烷</w:t>
            </w:r>
          </w:p>
        </w:tc>
        <w:tc>
          <w:tcPr>
            <w:tcW w:w="649" w:type="pct"/>
            <w:vAlign w:val="center"/>
          </w:tcPr>
          <w:p w14:paraId="1556F652">
            <w:pPr>
              <w:adjustRightInd w:val="0"/>
              <w:snapToGrid w:val="0"/>
              <w:spacing w:line="300" w:lineRule="exact"/>
              <w:jc w:val="center"/>
              <w:textAlignment w:val="baseline"/>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5</w:t>
            </w:r>
          </w:p>
        </w:tc>
        <w:tc>
          <w:tcPr>
            <w:tcW w:w="893" w:type="pct"/>
            <w:vAlign w:val="center"/>
          </w:tcPr>
          <w:p w14:paraId="44346E12">
            <w:pPr>
              <w:adjustRightInd w:val="0"/>
              <w:snapToGrid w:val="0"/>
              <w:spacing w:line="30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μg/kg</w:t>
            </w:r>
          </w:p>
        </w:tc>
        <w:tc>
          <w:tcPr>
            <w:tcW w:w="569" w:type="pct"/>
          </w:tcPr>
          <w:p w14:paraId="2A6F90EA">
            <w:pPr>
              <w:adjustRightInd w:val="0"/>
              <w:snapToGrid w:val="0"/>
              <w:spacing w:line="30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1</w:t>
            </w:r>
            <w:r>
              <w:rPr>
                <w:rFonts w:ascii="宋体" w:hAnsi="宋体" w:cs="宋体"/>
                <w:color w:val="000000" w:themeColor="text1"/>
                <w:szCs w:val="21"/>
                <w14:textFill>
                  <w14:solidFill>
                    <w14:schemeClr w14:val="tx1"/>
                  </w14:solidFill>
                </w14:textFill>
              </w:rPr>
              <w:t>.1L</w:t>
            </w:r>
          </w:p>
        </w:tc>
        <w:tc>
          <w:tcPr>
            <w:tcW w:w="649" w:type="pct"/>
          </w:tcPr>
          <w:p w14:paraId="15173BD3">
            <w:pPr>
              <w:adjustRightInd w:val="0"/>
              <w:snapToGrid w:val="0"/>
              <w:spacing w:line="30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w:t>
            </w:r>
          </w:p>
        </w:tc>
        <w:tc>
          <w:tcPr>
            <w:tcW w:w="697" w:type="pct"/>
            <w:vAlign w:val="center"/>
          </w:tcPr>
          <w:p w14:paraId="375EC6D3">
            <w:pPr>
              <w:adjustRightInd w:val="0"/>
              <w:snapToGrid w:val="0"/>
              <w:spacing w:line="30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达标</w:t>
            </w:r>
          </w:p>
        </w:tc>
      </w:tr>
      <w:tr w14:paraId="1D79EDE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66" w:type="pct"/>
            <w:vAlign w:val="center"/>
          </w:tcPr>
          <w:p w14:paraId="3D55FC7A">
            <w:pPr>
              <w:adjustRightInd w:val="0"/>
              <w:snapToGrid w:val="0"/>
              <w:spacing w:line="300" w:lineRule="exact"/>
              <w:jc w:val="center"/>
              <w:textAlignment w:val="baseline"/>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11</w:t>
            </w:r>
          </w:p>
        </w:tc>
        <w:tc>
          <w:tcPr>
            <w:tcW w:w="1177" w:type="pct"/>
            <w:vAlign w:val="center"/>
          </w:tcPr>
          <w:p w14:paraId="26C398A8">
            <w:pPr>
              <w:adjustRightInd w:val="0"/>
              <w:snapToGrid w:val="0"/>
              <w:spacing w:line="300" w:lineRule="exact"/>
              <w:jc w:val="center"/>
              <w:textAlignment w:val="baseline"/>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1,1,1,2-四氯乙烷</w:t>
            </w:r>
          </w:p>
        </w:tc>
        <w:tc>
          <w:tcPr>
            <w:tcW w:w="649" w:type="pct"/>
            <w:vAlign w:val="center"/>
          </w:tcPr>
          <w:p w14:paraId="38C431AF">
            <w:pPr>
              <w:adjustRightInd w:val="0"/>
              <w:snapToGrid w:val="0"/>
              <w:spacing w:line="300" w:lineRule="exact"/>
              <w:jc w:val="center"/>
              <w:textAlignment w:val="baseline"/>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10</w:t>
            </w:r>
          </w:p>
        </w:tc>
        <w:tc>
          <w:tcPr>
            <w:tcW w:w="893" w:type="pct"/>
            <w:vAlign w:val="center"/>
          </w:tcPr>
          <w:p w14:paraId="59B2D972">
            <w:pPr>
              <w:adjustRightInd w:val="0"/>
              <w:snapToGrid w:val="0"/>
              <w:spacing w:line="30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μg/kg</w:t>
            </w:r>
          </w:p>
        </w:tc>
        <w:tc>
          <w:tcPr>
            <w:tcW w:w="569" w:type="pct"/>
          </w:tcPr>
          <w:p w14:paraId="3D4CC035">
            <w:pPr>
              <w:adjustRightInd w:val="0"/>
              <w:snapToGrid w:val="0"/>
              <w:spacing w:line="30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1</w:t>
            </w:r>
            <w:r>
              <w:rPr>
                <w:rFonts w:ascii="宋体" w:hAnsi="宋体" w:cs="宋体"/>
                <w:color w:val="000000" w:themeColor="text1"/>
                <w:szCs w:val="21"/>
                <w14:textFill>
                  <w14:solidFill>
                    <w14:schemeClr w14:val="tx1"/>
                  </w14:solidFill>
                </w14:textFill>
              </w:rPr>
              <w:t>.2L</w:t>
            </w:r>
          </w:p>
        </w:tc>
        <w:tc>
          <w:tcPr>
            <w:tcW w:w="649" w:type="pct"/>
          </w:tcPr>
          <w:p w14:paraId="44768A45">
            <w:pPr>
              <w:adjustRightInd w:val="0"/>
              <w:snapToGrid w:val="0"/>
              <w:spacing w:line="30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w:t>
            </w:r>
          </w:p>
        </w:tc>
        <w:tc>
          <w:tcPr>
            <w:tcW w:w="697" w:type="pct"/>
            <w:vAlign w:val="center"/>
          </w:tcPr>
          <w:p w14:paraId="12A34AD1">
            <w:pPr>
              <w:adjustRightInd w:val="0"/>
              <w:snapToGrid w:val="0"/>
              <w:spacing w:line="30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达标</w:t>
            </w:r>
          </w:p>
        </w:tc>
      </w:tr>
      <w:tr w14:paraId="06554C9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66" w:type="pct"/>
            <w:vAlign w:val="center"/>
          </w:tcPr>
          <w:p w14:paraId="69A940D6">
            <w:pPr>
              <w:adjustRightInd w:val="0"/>
              <w:snapToGrid w:val="0"/>
              <w:spacing w:line="300" w:lineRule="exact"/>
              <w:jc w:val="center"/>
              <w:textAlignment w:val="baseline"/>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12</w:t>
            </w:r>
          </w:p>
        </w:tc>
        <w:tc>
          <w:tcPr>
            <w:tcW w:w="1177" w:type="pct"/>
            <w:vAlign w:val="center"/>
          </w:tcPr>
          <w:p w14:paraId="1D29443C">
            <w:pPr>
              <w:adjustRightInd w:val="0"/>
              <w:snapToGrid w:val="0"/>
              <w:spacing w:line="300" w:lineRule="exact"/>
              <w:jc w:val="center"/>
              <w:textAlignment w:val="baseline"/>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1,1,2,2-四氯乙烷</w:t>
            </w:r>
          </w:p>
        </w:tc>
        <w:tc>
          <w:tcPr>
            <w:tcW w:w="649" w:type="pct"/>
            <w:vAlign w:val="center"/>
          </w:tcPr>
          <w:p w14:paraId="532B7A40">
            <w:pPr>
              <w:adjustRightInd w:val="0"/>
              <w:snapToGrid w:val="0"/>
              <w:spacing w:line="300" w:lineRule="exact"/>
              <w:jc w:val="center"/>
              <w:textAlignment w:val="baseline"/>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6.8</w:t>
            </w:r>
          </w:p>
        </w:tc>
        <w:tc>
          <w:tcPr>
            <w:tcW w:w="893" w:type="pct"/>
            <w:vAlign w:val="center"/>
          </w:tcPr>
          <w:p w14:paraId="45FDDBE4">
            <w:pPr>
              <w:adjustRightInd w:val="0"/>
              <w:snapToGrid w:val="0"/>
              <w:spacing w:line="30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μg/kg</w:t>
            </w:r>
          </w:p>
        </w:tc>
        <w:tc>
          <w:tcPr>
            <w:tcW w:w="569" w:type="pct"/>
          </w:tcPr>
          <w:p w14:paraId="36E99039">
            <w:pPr>
              <w:adjustRightInd w:val="0"/>
              <w:snapToGrid w:val="0"/>
              <w:spacing w:line="30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1</w:t>
            </w:r>
            <w:r>
              <w:rPr>
                <w:rFonts w:ascii="宋体" w:hAnsi="宋体" w:cs="宋体"/>
                <w:color w:val="000000" w:themeColor="text1"/>
                <w:szCs w:val="21"/>
                <w14:textFill>
                  <w14:solidFill>
                    <w14:schemeClr w14:val="tx1"/>
                  </w14:solidFill>
                </w14:textFill>
              </w:rPr>
              <w:t>.2L</w:t>
            </w:r>
          </w:p>
        </w:tc>
        <w:tc>
          <w:tcPr>
            <w:tcW w:w="649" w:type="pct"/>
          </w:tcPr>
          <w:p w14:paraId="394E9EBE">
            <w:pPr>
              <w:adjustRightInd w:val="0"/>
              <w:snapToGrid w:val="0"/>
              <w:spacing w:line="30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w:t>
            </w:r>
          </w:p>
        </w:tc>
        <w:tc>
          <w:tcPr>
            <w:tcW w:w="697" w:type="pct"/>
            <w:vAlign w:val="center"/>
          </w:tcPr>
          <w:p w14:paraId="182CB62B">
            <w:pPr>
              <w:adjustRightInd w:val="0"/>
              <w:snapToGrid w:val="0"/>
              <w:spacing w:line="30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达标</w:t>
            </w:r>
          </w:p>
        </w:tc>
      </w:tr>
      <w:tr w14:paraId="3F923DD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66" w:type="pct"/>
            <w:vAlign w:val="center"/>
          </w:tcPr>
          <w:p w14:paraId="1168F755">
            <w:pPr>
              <w:adjustRightInd w:val="0"/>
              <w:snapToGrid w:val="0"/>
              <w:spacing w:line="300" w:lineRule="exact"/>
              <w:jc w:val="center"/>
              <w:textAlignment w:val="baseline"/>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13</w:t>
            </w:r>
          </w:p>
        </w:tc>
        <w:tc>
          <w:tcPr>
            <w:tcW w:w="1177" w:type="pct"/>
            <w:vAlign w:val="center"/>
          </w:tcPr>
          <w:p w14:paraId="02E5389F">
            <w:pPr>
              <w:adjustRightInd w:val="0"/>
              <w:snapToGrid w:val="0"/>
              <w:spacing w:line="300" w:lineRule="exact"/>
              <w:jc w:val="center"/>
              <w:textAlignment w:val="baseline"/>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四氯乙烯</w:t>
            </w:r>
          </w:p>
        </w:tc>
        <w:tc>
          <w:tcPr>
            <w:tcW w:w="649" w:type="pct"/>
            <w:vAlign w:val="center"/>
          </w:tcPr>
          <w:p w14:paraId="2EB9DCD7">
            <w:pPr>
              <w:adjustRightInd w:val="0"/>
              <w:snapToGrid w:val="0"/>
              <w:spacing w:line="300" w:lineRule="exact"/>
              <w:jc w:val="center"/>
              <w:textAlignment w:val="baseline"/>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53</w:t>
            </w:r>
          </w:p>
        </w:tc>
        <w:tc>
          <w:tcPr>
            <w:tcW w:w="893" w:type="pct"/>
            <w:vAlign w:val="center"/>
          </w:tcPr>
          <w:p w14:paraId="2B59FCF9">
            <w:pPr>
              <w:adjustRightInd w:val="0"/>
              <w:snapToGrid w:val="0"/>
              <w:spacing w:line="30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μg/kg</w:t>
            </w:r>
          </w:p>
        </w:tc>
        <w:tc>
          <w:tcPr>
            <w:tcW w:w="569" w:type="pct"/>
          </w:tcPr>
          <w:p w14:paraId="364AB745">
            <w:pPr>
              <w:adjustRightInd w:val="0"/>
              <w:snapToGrid w:val="0"/>
              <w:spacing w:line="30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1</w:t>
            </w:r>
            <w:r>
              <w:rPr>
                <w:rFonts w:ascii="宋体" w:hAnsi="宋体" w:cs="宋体"/>
                <w:color w:val="000000" w:themeColor="text1"/>
                <w:szCs w:val="21"/>
                <w14:textFill>
                  <w14:solidFill>
                    <w14:schemeClr w14:val="tx1"/>
                  </w14:solidFill>
                </w14:textFill>
              </w:rPr>
              <w:t>.4L</w:t>
            </w:r>
          </w:p>
        </w:tc>
        <w:tc>
          <w:tcPr>
            <w:tcW w:w="649" w:type="pct"/>
          </w:tcPr>
          <w:p w14:paraId="6B65B199">
            <w:pPr>
              <w:adjustRightInd w:val="0"/>
              <w:snapToGrid w:val="0"/>
              <w:spacing w:line="30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w:t>
            </w:r>
          </w:p>
        </w:tc>
        <w:tc>
          <w:tcPr>
            <w:tcW w:w="697" w:type="pct"/>
            <w:vAlign w:val="center"/>
          </w:tcPr>
          <w:p w14:paraId="375B2B20">
            <w:pPr>
              <w:adjustRightInd w:val="0"/>
              <w:snapToGrid w:val="0"/>
              <w:spacing w:line="30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达标</w:t>
            </w:r>
          </w:p>
        </w:tc>
      </w:tr>
      <w:tr w14:paraId="293F1CE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66" w:type="pct"/>
            <w:vAlign w:val="center"/>
          </w:tcPr>
          <w:p w14:paraId="685C6648">
            <w:pPr>
              <w:adjustRightInd w:val="0"/>
              <w:snapToGrid w:val="0"/>
              <w:spacing w:line="300" w:lineRule="exact"/>
              <w:jc w:val="center"/>
              <w:textAlignment w:val="baseline"/>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14</w:t>
            </w:r>
          </w:p>
        </w:tc>
        <w:tc>
          <w:tcPr>
            <w:tcW w:w="1177" w:type="pct"/>
            <w:vAlign w:val="center"/>
          </w:tcPr>
          <w:p w14:paraId="3BCCC2EE">
            <w:pPr>
              <w:adjustRightInd w:val="0"/>
              <w:snapToGrid w:val="0"/>
              <w:spacing w:line="300" w:lineRule="exact"/>
              <w:jc w:val="center"/>
              <w:textAlignment w:val="baseline"/>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1,1,1-三氯乙烷</w:t>
            </w:r>
          </w:p>
        </w:tc>
        <w:tc>
          <w:tcPr>
            <w:tcW w:w="649" w:type="pct"/>
            <w:vAlign w:val="center"/>
          </w:tcPr>
          <w:p w14:paraId="395EF815">
            <w:pPr>
              <w:adjustRightInd w:val="0"/>
              <w:snapToGrid w:val="0"/>
              <w:spacing w:line="300" w:lineRule="exact"/>
              <w:jc w:val="center"/>
              <w:textAlignment w:val="baseline"/>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840</w:t>
            </w:r>
          </w:p>
        </w:tc>
        <w:tc>
          <w:tcPr>
            <w:tcW w:w="893" w:type="pct"/>
            <w:vAlign w:val="center"/>
          </w:tcPr>
          <w:p w14:paraId="0B600C62">
            <w:pPr>
              <w:adjustRightInd w:val="0"/>
              <w:snapToGrid w:val="0"/>
              <w:spacing w:line="30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μg/kg</w:t>
            </w:r>
          </w:p>
        </w:tc>
        <w:tc>
          <w:tcPr>
            <w:tcW w:w="569" w:type="pct"/>
          </w:tcPr>
          <w:p w14:paraId="7EC7BB67">
            <w:pPr>
              <w:adjustRightInd w:val="0"/>
              <w:snapToGrid w:val="0"/>
              <w:spacing w:line="30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1</w:t>
            </w:r>
            <w:r>
              <w:rPr>
                <w:rFonts w:ascii="宋体" w:hAnsi="宋体" w:cs="宋体"/>
                <w:color w:val="000000" w:themeColor="text1"/>
                <w:szCs w:val="21"/>
                <w14:textFill>
                  <w14:solidFill>
                    <w14:schemeClr w14:val="tx1"/>
                  </w14:solidFill>
                </w14:textFill>
              </w:rPr>
              <w:t>.3L</w:t>
            </w:r>
          </w:p>
        </w:tc>
        <w:tc>
          <w:tcPr>
            <w:tcW w:w="649" w:type="pct"/>
          </w:tcPr>
          <w:p w14:paraId="4F6D5A46">
            <w:pPr>
              <w:adjustRightInd w:val="0"/>
              <w:snapToGrid w:val="0"/>
              <w:spacing w:line="30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w:t>
            </w:r>
          </w:p>
        </w:tc>
        <w:tc>
          <w:tcPr>
            <w:tcW w:w="697" w:type="pct"/>
            <w:vAlign w:val="center"/>
          </w:tcPr>
          <w:p w14:paraId="312D1303">
            <w:pPr>
              <w:adjustRightInd w:val="0"/>
              <w:snapToGrid w:val="0"/>
              <w:spacing w:line="30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达标</w:t>
            </w:r>
          </w:p>
        </w:tc>
      </w:tr>
      <w:tr w14:paraId="6BBE2EF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66" w:type="pct"/>
            <w:vAlign w:val="center"/>
          </w:tcPr>
          <w:p w14:paraId="75458AD5">
            <w:pPr>
              <w:adjustRightInd w:val="0"/>
              <w:snapToGrid w:val="0"/>
              <w:spacing w:line="300" w:lineRule="exact"/>
              <w:jc w:val="center"/>
              <w:textAlignment w:val="baseline"/>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15</w:t>
            </w:r>
          </w:p>
        </w:tc>
        <w:tc>
          <w:tcPr>
            <w:tcW w:w="1177" w:type="pct"/>
            <w:vAlign w:val="center"/>
          </w:tcPr>
          <w:p w14:paraId="07EC0C50">
            <w:pPr>
              <w:adjustRightInd w:val="0"/>
              <w:snapToGrid w:val="0"/>
              <w:spacing w:line="300" w:lineRule="exact"/>
              <w:jc w:val="center"/>
              <w:textAlignment w:val="baseline"/>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1,1,2-三氯乙烷</w:t>
            </w:r>
          </w:p>
        </w:tc>
        <w:tc>
          <w:tcPr>
            <w:tcW w:w="649" w:type="pct"/>
            <w:vAlign w:val="center"/>
          </w:tcPr>
          <w:p w14:paraId="05A10127">
            <w:pPr>
              <w:adjustRightInd w:val="0"/>
              <w:snapToGrid w:val="0"/>
              <w:spacing w:line="300" w:lineRule="exact"/>
              <w:jc w:val="center"/>
              <w:textAlignment w:val="baseline"/>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2.8</w:t>
            </w:r>
          </w:p>
        </w:tc>
        <w:tc>
          <w:tcPr>
            <w:tcW w:w="893" w:type="pct"/>
            <w:vAlign w:val="center"/>
          </w:tcPr>
          <w:p w14:paraId="0CB5EF77">
            <w:pPr>
              <w:adjustRightInd w:val="0"/>
              <w:snapToGrid w:val="0"/>
              <w:spacing w:line="30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μg/kg</w:t>
            </w:r>
          </w:p>
        </w:tc>
        <w:tc>
          <w:tcPr>
            <w:tcW w:w="569" w:type="pct"/>
          </w:tcPr>
          <w:p w14:paraId="3AB067D8">
            <w:pPr>
              <w:adjustRightInd w:val="0"/>
              <w:snapToGrid w:val="0"/>
              <w:spacing w:line="30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1</w:t>
            </w:r>
            <w:r>
              <w:rPr>
                <w:rFonts w:ascii="宋体" w:hAnsi="宋体" w:cs="宋体"/>
                <w:color w:val="000000" w:themeColor="text1"/>
                <w:szCs w:val="21"/>
                <w14:textFill>
                  <w14:solidFill>
                    <w14:schemeClr w14:val="tx1"/>
                  </w14:solidFill>
                </w14:textFill>
              </w:rPr>
              <w:t>.2L</w:t>
            </w:r>
          </w:p>
        </w:tc>
        <w:tc>
          <w:tcPr>
            <w:tcW w:w="649" w:type="pct"/>
          </w:tcPr>
          <w:p w14:paraId="1C8CAB7A">
            <w:pPr>
              <w:adjustRightInd w:val="0"/>
              <w:snapToGrid w:val="0"/>
              <w:spacing w:line="30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w:t>
            </w:r>
          </w:p>
        </w:tc>
        <w:tc>
          <w:tcPr>
            <w:tcW w:w="697" w:type="pct"/>
            <w:vAlign w:val="center"/>
          </w:tcPr>
          <w:p w14:paraId="5B9B3146">
            <w:pPr>
              <w:adjustRightInd w:val="0"/>
              <w:snapToGrid w:val="0"/>
              <w:spacing w:line="30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达标</w:t>
            </w:r>
          </w:p>
        </w:tc>
      </w:tr>
      <w:tr w14:paraId="75962BF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66" w:type="pct"/>
            <w:vAlign w:val="center"/>
          </w:tcPr>
          <w:p w14:paraId="7A1D4A3E">
            <w:pPr>
              <w:adjustRightInd w:val="0"/>
              <w:snapToGrid w:val="0"/>
              <w:spacing w:line="300" w:lineRule="exact"/>
              <w:jc w:val="center"/>
              <w:textAlignment w:val="baseline"/>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16</w:t>
            </w:r>
          </w:p>
        </w:tc>
        <w:tc>
          <w:tcPr>
            <w:tcW w:w="1177" w:type="pct"/>
            <w:vAlign w:val="center"/>
          </w:tcPr>
          <w:p w14:paraId="50B61E7D">
            <w:pPr>
              <w:adjustRightInd w:val="0"/>
              <w:snapToGrid w:val="0"/>
              <w:spacing w:line="300" w:lineRule="exact"/>
              <w:jc w:val="center"/>
              <w:textAlignment w:val="baseline"/>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三氯乙烯</w:t>
            </w:r>
          </w:p>
        </w:tc>
        <w:tc>
          <w:tcPr>
            <w:tcW w:w="649" w:type="pct"/>
            <w:vAlign w:val="center"/>
          </w:tcPr>
          <w:p w14:paraId="75BC85E3">
            <w:pPr>
              <w:adjustRightInd w:val="0"/>
              <w:snapToGrid w:val="0"/>
              <w:spacing w:line="300" w:lineRule="exact"/>
              <w:jc w:val="center"/>
              <w:textAlignment w:val="baseline"/>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2.8</w:t>
            </w:r>
          </w:p>
        </w:tc>
        <w:tc>
          <w:tcPr>
            <w:tcW w:w="893" w:type="pct"/>
            <w:vAlign w:val="center"/>
          </w:tcPr>
          <w:p w14:paraId="5C69458E">
            <w:pPr>
              <w:adjustRightInd w:val="0"/>
              <w:snapToGrid w:val="0"/>
              <w:spacing w:line="30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μg/kg</w:t>
            </w:r>
          </w:p>
        </w:tc>
        <w:tc>
          <w:tcPr>
            <w:tcW w:w="569" w:type="pct"/>
          </w:tcPr>
          <w:p w14:paraId="4D9E4E99">
            <w:pPr>
              <w:adjustRightInd w:val="0"/>
              <w:snapToGrid w:val="0"/>
              <w:spacing w:line="30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1</w:t>
            </w:r>
            <w:r>
              <w:rPr>
                <w:rFonts w:ascii="宋体" w:hAnsi="宋体" w:cs="宋体"/>
                <w:color w:val="000000" w:themeColor="text1"/>
                <w:szCs w:val="21"/>
                <w14:textFill>
                  <w14:solidFill>
                    <w14:schemeClr w14:val="tx1"/>
                  </w14:solidFill>
                </w14:textFill>
              </w:rPr>
              <w:t>.2L</w:t>
            </w:r>
          </w:p>
        </w:tc>
        <w:tc>
          <w:tcPr>
            <w:tcW w:w="649" w:type="pct"/>
          </w:tcPr>
          <w:p w14:paraId="4D3A20A4">
            <w:pPr>
              <w:adjustRightInd w:val="0"/>
              <w:snapToGrid w:val="0"/>
              <w:spacing w:line="30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w:t>
            </w:r>
          </w:p>
        </w:tc>
        <w:tc>
          <w:tcPr>
            <w:tcW w:w="697" w:type="pct"/>
            <w:vAlign w:val="center"/>
          </w:tcPr>
          <w:p w14:paraId="4A032458">
            <w:pPr>
              <w:adjustRightInd w:val="0"/>
              <w:snapToGrid w:val="0"/>
              <w:spacing w:line="30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达标</w:t>
            </w:r>
          </w:p>
        </w:tc>
      </w:tr>
      <w:tr w14:paraId="703B93B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66" w:type="pct"/>
            <w:vAlign w:val="center"/>
          </w:tcPr>
          <w:p w14:paraId="1D21A76E">
            <w:pPr>
              <w:adjustRightInd w:val="0"/>
              <w:snapToGrid w:val="0"/>
              <w:spacing w:line="300" w:lineRule="exact"/>
              <w:jc w:val="center"/>
              <w:textAlignment w:val="baseline"/>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17</w:t>
            </w:r>
          </w:p>
        </w:tc>
        <w:tc>
          <w:tcPr>
            <w:tcW w:w="1177" w:type="pct"/>
            <w:vAlign w:val="center"/>
          </w:tcPr>
          <w:p w14:paraId="2F20F4D0">
            <w:pPr>
              <w:adjustRightInd w:val="0"/>
              <w:snapToGrid w:val="0"/>
              <w:spacing w:line="300" w:lineRule="exact"/>
              <w:jc w:val="center"/>
              <w:textAlignment w:val="baseline"/>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1,2,3-三氯丙烷</w:t>
            </w:r>
          </w:p>
        </w:tc>
        <w:tc>
          <w:tcPr>
            <w:tcW w:w="649" w:type="pct"/>
            <w:vAlign w:val="center"/>
          </w:tcPr>
          <w:p w14:paraId="1E5C9ED7">
            <w:pPr>
              <w:adjustRightInd w:val="0"/>
              <w:snapToGrid w:val="0"/>
              <w:spacing w:line="300" w:lineRule="exact"/>
              <w:jc w:val="center"/>
              <w:textAlignment w:val="baseline"/>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0.5</w:t>
            </w:r>
          </w:p>
        </w:tc>
        <w:tc>
          <w:tcPr>
            <w:tcW w:w="893" w:type="pct"/>
            <w:vAlign w:val="center"/>
          </w:tcPr>
          <w:p w14:paraId="62465853">
            <w:pPr>
              <w:adjustRightInd w:val="0"/>
              <w:snapToGrid w:val="0"/>
              <w:spacing w:line="30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μg/kg</w:t>
            </w:r>
          </w:p>
        </w:tc>
        <w:tc>
          <w:tcPr>
            <w:tcW w:w="569" w:type="pct"/>
          </w:tcPr>
          <w:p w14:paraId="3FB74729">
            <w:pPr>
              <w:adjustRightInd w:val="0"/>
              <w:snapToGrid w:val="0"/>
              <w:spacing w:line="30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1</w:t>
            </w:r>
            <w:r>
              <w:rPr>
                <w:rFonts w:ascii="宋体" w:hAnsi="宋体" w:cs="宋体"/>
                <w:color w:val="000000" w:themeColor="text1"/>
                <w:szCs w:val="21"/>
                <w14:textFill>
                  <w14:solidFill>
                    <w14:schemeClr w14:val="tx1"/>
                  </w14:solidFill>
                </w14:textFill>
              </w:rPr>
              <w:t>.2L</w:t>
            </w:r>
          </w:p>
        </w:tc>
        <w:tc>
          <w:tcPr>
            <w:tcW w:w="649" w:type="pct"/>
          </w:tcPr>
          <w:p w14:paraId="7531D605">
            <w:pPr>
              <w:adjustRightInd w:val="0"/>
              <w:snapToGrid w:val="0"/>
              <w:spacing w:line="30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w:t>
            </w:r>
          </w:p>
        </w:tc>
        <w:tc>
          <w:tcPr>
            <w:tcW w:w="697" w:type="pct"/>
            <w:vAlign w:val="center"/>
          </w:tcPr>
          <w:p w14:paraId="13EC6DC3">
            <w:pPr>
              <w:adjustRightInd w:val="0"/>
              <w:snapToGrid w:val="0"/>
              <w:spacing w:line="30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达标</w:t>
            </w:r>
          </w:p>
        </w:tc>
      </w:tr>
      <w:tr w14:paraId="1FF7ADB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66" w:type="pct"/>
            <w:vAlign w:val="center"/>
          </w:tcPr>
          <w:p w14:paraId="389E2D45">
            <w:pPr>
              <w:adjustRightInd w:val="0"/>
              <w:snapToGrid w:val="0"/>
              <w:spacing w:line="300" w:lineRule="exact"/>
              <w:jc w:val="center"/>
              <w:textAlignment w:val="baseline"/>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18</w:t>
            </w:r>
          </w:p>
        </w:tc>
        <w:tc>
          <w:tcPr>
            <w:tcW w:w="1177" w:type="pct"/>
            <w:vAlign w:val="center"/>
          </w:tcPr>
          <w:p w14:paraId="273B71A1">
            <w:pPr>
              <w:adjustRightInd w:val="0"/>
              <w:snapToGrid w:val="0"/>
              <w:spacing w:line="300" w:lineRule="exact"/>
              <w:jc w:val="center"/>
              <w:textAlignment w:val="baseline"/>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氯乙烯</w:t>
            </w:r>
          </w:p>
        </w:tc>
        <w:tc>
          <w:tcPr>
            <w:tcW w:w="649" w:type="pct"/>
            <w:vAlign w:val="center"/>
          </w:tcPr>
          <w:p w14:paraId="2E8304DB">
            <w:pPr>
              <w:adjustRightInd w:val="0"/>
              <w:snapToGrid w:val="0"/>
              <w:spacing w:line="300" w:lineRule="exact"/>
              <w:jc w:val="center"/>
              <w:textAlignment w:val="baseline"/>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0.43</w:t>
            </w:r>
          </w:p>
        </w:tc>
        <w:tc>
          <w:tcPr>
            <w:tcW w:w="893" w:type="pct"/>
            <w:vAlign w:val="center"/>
          </w:tcPr>
          <w:p w14:paraId="735E1774">
            <w:pPr>
              <w:adjustRightInd w:val="0"/>
              <w:snapToGrid w:val="0"/>
              <w:spacing w:line="30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μg/kg</w:t>
            </w:r>
          </w:p>
        </w:tc>
        <w:tc>
          <w:tcPr>
            <w:tcW w:w="569" w:type="pct"/>
          </w:tcPr>
          <w:p w14:paraId="7BB6AB6F">
            <w:pPr>
              <w:adjustRightInd w:val="0"/>
              <w:snapToGrid w:val="0"/>
              <w:spacing w:line="30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1</w:t>
            </w:r>
            <w:r>
              <w:rPr>
                <w:rFonts w:ascii="宋体" w:hAnsi="宋体" w:cs="宋体"/>
                <w:color w:val="000000" w:themeColor="text1"/>
                <w:szCs w:val="21"/>
                <w14:textFill>
                  <w14:solidFill>
                    <w14:schemeClr w14:val="tx1"/>
                  </w14:solidFill>
                </w14:textFill>
              </w:rPr>
              <w:t>.0L</w:t>
            </w:r>
          </w:p>
        </w:tc>
        <w:tc>
          <w:tcPr>
            <w:tcW w:w="649" w:type="pct"/>
          </w:tcPr>
          <w:p w14:paraId="29DBA98D">
            <w:pPr>
              <w:adjustRightInd w:val="0"/>
              <w:snapToGrid w:val="0"/>
              <w:spacing w:line="30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w:t>
            </w:r>
          </w:p>
        </w:tc>
        <w:tc>
          <w:tcPr>
            <w:tcW w:w="697" w:type="pct"/>
            <w:vAlign w:val="center"/>
          </w:tcPr>
          <w:p w14:paraId="6B04532C">
            <w:pPr>
              <w:adjustRightInd w:val="0"/>
              <w:snapToGrid w:val="0"/>
              <w:spacing w:line="30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达标</w:t>
            </w:r>
          </w:p>
        </w:tc>
      </w:tr>
      <w:tr w14:paraId="54393A6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66" w:type="pct"/>
            <w:vAlign w:val="center"/>
          </w:tcPr>
          <w:p w14:paraId="7BD0A464">
            <w:pPr>
              <w:adjustRightInd w:val="0"/>
              <w:snapToGrid w:val="0"/>
              <w:spacing w:line="300" w:lineRule="exact"/>
              <w:jc w:val="center"/>
              <w:textAlignment w:val="baseline"/>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19</w:t>
            </w:r>
          </w:p>
        </w:tc>
        <w:tc>
          <w:tcPr>
            <w:tcW w:w="1177" w:type="pct"/>
            <w:vAlign w:val="center"/>
          </w:tcPr>
          <w:p w14:paraId="0E3F78C8">
            <w:pPr>
              <w:adjustRightInd w:val="0"/>
              <w:snapToGrid w:val="0"/>
              <w:spacing w:line="300" w:lineRule="exact"/>
              <w:jc w:val="center"/>
              <w:textAlignment w:val="baseline"/>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苯</w:t>
            </w:r>
          </w:p>
        </w:tc>
        <w:tc>
          <w:tcPr>
            <w:tcW w:w="649" w:type="pct"/>
            <w:vAlign w:val="center"/>
          </w:tcPr>
          <w:p w14:paraId="34094C3A">
            <w:pPr>
              <w:adjustRightInd w:val="0"/>
              <w:snapToGrid w:val="0"/>
              <w:spacing w:line="300" w:lineRule="exact"/>
              <w:jc w:val="center"/>
              <w:textAlignment w:val="baseline"/>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4</w:t>
            </w:r>
          </w:p>
        </w:tc>
        <w:tc>
          <w:tcPr>
            <w:tcW w:w="893" w:type="pct"/>
            <w:vAlign w:val="center"/>
          </w:tcPr>
          <w:p w14:paraId="63BE100E">
            <w:pPr>
              <w:adjustRightInd w:val="0"/>
              <w:snapToGrid w:val="0"/>
              <w:spacing w:line="30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μg/kg</w:t>
            </w:r>
          </w:p>
        </w:tc>
        <w:tc>
          <w:tcPr>
            <w:tcW w:w="569" w:type="pct"/>
          </w:tcPr>
          <w:p w14:paraId="0D7AD1C4">
            <w:pPr>
              <w:adjustRightInd w:val="0"/>
              <w:snapToGrid w:val="0"/>
              <w:spacing w:line="30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1</w:t>
            </w:r>
            <w:r>
              <w:rPr>
                <w:rFonts w:ascii="宋体" w:hAnsi="宋体" w:cs="宋体"/>
                <w:color w:val="000000" w:themeColor="text1"/>
                <w:szCs w:val="21"/>
                <w14:textFill>
                  <w14:solidFill>
                    <w14:schemeClr w14:val="tx1"/>
                  </w14:solidFill>
                </w14:textFill>
              </w:rPr>
              <w:t>.9L</w:t>
            </w:r>
          </w:p>
        </w:tc>
        <w:tc>
          <w:tcPr>
            <w:tcW w:w="649" w:type="pct"/>
          </w:tcPr>
          <w:p w14:paraId="3BCDF62A">
            <w:pPr>
              <w:adjustRightInd w:val="0"/>
              <w:snapToGrid w:val="0"/>
              <w:spacing w:line="30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w:t>
            </w:r>
          </w:p>
        </w:tc>
        <w:tc>
          <w:tcPr>
            <w:tcW w:w="697" w:type="pct"/>
            <w:vAlign w:val="center"/>
          </w:tcPr>
          <w:p w14:paraId="6769784E">
            <w:pPr>
              <w:adjustRightInd w:val="0"/>
              <w:snapToGrid w:val="0"/>
              <w:spacing w:line="30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达标</w:t>
            </w:r>
          </w:p>
        </w:tc>
      </w:tr>
      <w:tr w14:paraId="2CAA2B6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66" w:type="pct"/>
            <w:vAlign w:val="center"/>
          </w:tcPr>
          <w:p w14:paraId="32816040">
            <w:pPr>
              <w:adjustRightInd w:val="0"/>
              <w:snapToGrid w:val="0"/>
              <w:spacing w:line="300" w:lineRule="exact"/>
              <w:jc w:val="center"/>
              <w:textAlignment w:val="baseline"/>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20</w:t>
            </w:r>
          </w:p>
        </w:tc>
        <w:tc>
          <w:tcPr>
            <w:tcW w:w="1177" w:type="pct"/>
            <w:vAlign w:val="center"/>
          </w:tcPr>
          <w:p w14:paraId="285635E4">
            <w:pPr>
              <w:adjustRightInd w:val="0"/>
              <w:snapToGrid w:val="0"/>
              <w:spacing w:line="300" w:lineRule="exact"/>
              <w:jc w:val="center"/>
              <w:textAlignment w:val="baseline"/>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氯苯</w:t>
            </w:r>
          </w:p>
        </w:tc>
        <w:tc>
          <w:tcPr>
            <w:tcW w:w="649" w:type="pct"/>
            <w:vAlign w:val="center"/>
          </w:tcPr>
          <w:p w14:paraId="0E5E3FFA">
            <w:pPr>
              <w:adjustRightInd w:val="0"/>
              <w:snapToGrid w:val="0"/>
              <w:spacing w:line="300" w:lineRule="exact"/>
              <w:jc w:val="center"/>
              <w:textAlignment w:val="baseline"/>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270</w:t>
            </w:r>
          </w:p>
        </w:tc>
        <w:tc>
          <w:tcPr>
            <w:tcW w:w="893" w:type="pct"/>
            <w:vAlign w:val="center"/>
          </w:tcPr>
          <w:p w14:paraId="50C90C9F">
            <w:pPr>
              <w:adjustRightInd w:val="0"/>
              <w:snapToGrid w:val="0"/>
              <w:spacing w:line="30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μg/kg</w:t>
            </w:r>
          </w:p>
        </w:tc>
        <w:tc>
          <w:tcPr>
            <w:tcW w:w="569" w:type="pct"/>
          </w:tcPr>
          <w:p w14:paraId="4BF60F72">
            <w:pPr>
              <w:adjustRightInd w:val="0"/>
              <w:snapToGrid w:val="0"/>
              <w:spacing w:line="30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1</w:t>
            </w:r>
            <w:r>
              <w:rPr>
                <w:rFonts w:ascii="宋体" w:hAnsi="宋体" w:cs="宋体"/>
                <w:color w:val="000000" w:themeColor="text1"/>
                <w:szCs w:val="21"/>
                <w14:textFill>
                  <w14:solidFill>
                    <w14:schemeClr w14:val="tx1"/>
                  </w14:solidFill>
                </w14:textFill>
              </w:rPr>
              <w:t>.2L</w:t>
            </w:r>
          </w:p>
        </w:tc>
        <w:tc>
          <w:tcPr>
            <w:tcW w:w="649" w:type="pct"/>
          </w:tcPr>
          <w:p w14:paraId="39BB6088">
            <w:pPr>
              <w:adjustRightInd w:val="0"/>
              <w:snapToGrid w:val="0"/>
              <w:spacing w:line="30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w:t>
            </w:r>
          </w:p>
        </w:tc>
        <w:tc>
          <w:tcPr>
            <w:tcW w:w="697" w:type="pct"/>
            <w:vAlign w:val="center"/>
          </w:tcPr>
          <w:p w14:paraId="64730C42">
            <w:pPr>
              <w:adjustRightInd w:val="0"/>
              <w:snapToGrid w:val="0"/>
              <w:spacing w:line="30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达标</w:t>
            </w:r>
          </w:p>
        </w:tc>
      </w:tr>
      <w:tr w14:paraId="30BD4B5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66" w:type="pct"/>
            <w:vAlign w:val="center"/>
          </w:tcPr>
          <w:p w14:paraId="1750BA35">
            <w:pPr>
              <w:adjustRightInd w:val="0"/>
              <w:snapToGrid w:val="0"/>
              <w:spacing w:line="300" w:lineRule="exact"/>
              <w:jc w:val="center"/>
              <w:textAlignment w:val="baseline"/>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21</w:t>
            </w:r>
          </w:p>
        </w:tc>
        <w:tc>
          <w:tcPr>
            <w:tcW w:w="1177" w:type="pct"/>
            <w:vAlign w:val="center"/>
          </w:tcPr>
          <w:p w14:paraId="0F045348">
            <w:pPr>
              <w:adjustRightInd w:val="0"/>
              <w:snapToGrid w:val="0"/>
              <w:spacing w:line="300" w:lineRule="exact"/>
              <w:jc w:val="center"/>
              <w:textAlignment w:val="baseline"/>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1,2-二氯苯</w:t>
            </w:r>
          </w:p>
        </w:tc>
        <w:tc>
          <w:tcPr>
            <w:tcW w:w="649" w:type="pct"/>
            <w:vAlign w:val="center"/>
          </w:tcPr>
          <w:p w14:paraId="33FBA455">
            <w:pPr>
              <w:adjustRightInd w:val="0"/>
              <w:snapToGrid w:val="0"/>
              <w:spacing w:line="300" w:lineRule="exact"/>
              <w:jc w:val="center"/>
              <w:textAlignment w:val="baseline"/>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560</w:t>
            </w:r>
          </w:p>
        </w:tc>
        <w:tc>
          <w:tcPr>
            <w:tcW w:w="893" w:type="pct"/>
            <w:vAlign w:val="center"/>
          </w:tcPr>
          <w:p w14:paraId="57DC2D0A">
            <w:pPr>
              <w:adjustRightInd w:val="0"/>
              <w:snapToGrid w:val="0"/>
              <w:spacing w:line="30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μg/kg</w:t>
            </w:r>
          </w:p>
        </w:tc>
        <w:tc>
          <w:tcPr>
            <w:tcW w:w="569" w:type="pct"/>
          </w:tcPr>
          <w:p w14:paraId="34B8C282">
            <w:pPr>
              <w:adjustRightInd w:val="0"/>
              <w:snapToGrid w:val="0"/>
              <w:spacing w:line="30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1</w:t>
            </w:r>
            <w:r>
              <w:rPr>
                <w:rFonts w:ascii="宋体" w:hAnsi="宋体" w:cs="宋体"/>
                <w:color w:val="000000" w:themeColor="text1"/>
                <w:szCs w:val="21"/>
                <w14:textFill>
                  <w14:solidFill>
                    <w14:schemeClr w14:val="tx1"/>
                  </w14:solidFill>
                </w14:textFill>
              </w:rPr>
              <w:t>.5L</w:t>
            </w:r>
          </w:p>
        </w:tc>
        <w:tc>
          <w:tcPr>
            <w:tcW w:w="649" w:type="pct"/>
          </w:tcPr>
          <w:p w14:paraId="2F0AC1F4">
            <w:pPr>
              <w:adjustRightInd w:val="0"/>
              <w:snapToGrid w:val="0"/>
              <w:spacing w:line="30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w:t>
            </w:r>
          </w:p>
        </w:tc>
        <w:tc>
          <w:tcPr>
            <w:tcW w:w="697" w:type="pct"/>
            <w:vAlign w:val="center"/>
          </w:tcPr>
          <w:p w14:paraId="4ABF877B">
            <w:pPr>
              <w:adjustRightInd w:val="0"/>
              <w:snapToGrid w:val="0"/>
              <w:spacing w:line="30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达标</w:t>
            </w:r>
          </w:p>
        </w:tc>
      </w:tr>
      <w:tr w14:paraId="3E3BE3E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66" w:type="pct"/>
            <w:vAlign w:val="center"/>
          </w:tcPr>
          <w:p w14:paraId="6900BB72">
            <w:pPr>
              <w:adjustRightInd w:val="0"/>
              <w:snapToGrid w:val="0"/>
              <w:spacing w:line="300" w:lineRule="exact"/>
              <w:jc w:val="center"/>
              <w:textAlignment w:val="baseline"/>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22</w:t>
            </w:r>
          </w:p>
        </w:tc>
        <w:tc>
          <w:tcPr>
            <w:tcW w:w="1177" w:type="pct"/>
            <w:vAlign w:val="center"/>
          </w:tcPr>
          <w:p w14:paraId="5C23F900">
            <w:pPr>
              <w:adjustRightInd w:val="0"/>
              <w:snapToGrid w:val="0"/>
              <w:spacing w:line="300" w:lineRule="exact"/>
              <w:jc w:val="center"/>
              <w:textAlignment w:val="baseline"/>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1,4二氯苯</w:t>
            </w:r>
          </w:p>
        </w:tc>
        <w:tc>
          <w:tcPr>
            <w:tcW w:w="649" w:type="pct"/>
            <w:vAlign w:val="center"/>
          </w:tcPr>
          <w:p w14:paraId="6B14671D">
            <w:pPr>
              <w:adjustRightInd w:val="0"/>
              <w:snapToGrid w:val="0"/>
              <w:spacing w:line="300" w:lineRule="exact"/>
              <w:jc w:val="center"/>
              <w:textAlignment w:val="baseline"/>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20</w:t>
            </w:r>
          </w:p>
        </w:tc>
        <w:tc>
          <w:tcPr>
            <w:tcW w:w="893" w:type="pct"/>
            <w:vAlign w:val="center"/>
          </w:tcPr>
          <w:p w14:paraId="08C4B5E1">
            <w:pPr>
              <w:adjustRightInd w:val="0"/>
              <w:snapToGrid w:val="0"/>
              <w:spacing w:line="30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μg/kg</w:t>
            </w:r>
          </w:p>
        </w:tc>
        <w:tc>
          <w:tcPr>
            <w:tcW w:w="569" w:type="pct"/>
          </w:tcPr>
          <w:p w14:paraId="7D823367">
            <w:pPr>
              <w:adjustRightInd w:val="0"/>
              <w:snapToGrid w:val="0"/>
              <w:spacing w:line="30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1</w:t>
            </w:r>
            <w:r>
              <w:rPr>
                <w:rFonts w:ascii="宋体" w:hAnsi="宋体" w:cs="宋体"/>
                <w:color w:val="000000" w:themeColor="text1"/>
                <w:szCs w:val="21"/>
                <w14:textFill>
                  <w14:solidFill>
                    <w14:schemeClr w14:val="tx1"/>
                  </w14:solidFill>
                </w14:textFill>
              </w:rPr>
              <w:t>.5L</w:t>
            </w:r>
          </w:p>
        </w:tc>
        <w:tc>
          <w:tcPr>
            <w:tcW w:w="649" w:type="pct"/>
          </w:tcPr>
          <w:p w14:paraId="06FAFF3E">
            <w:pPr>
              <w:adjustRightInd w:val="0"/>
              <w:snapToGrid w:val="0"/>
              <w:spacing w:line="30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w:t>
            </w:r>
          </w:p>
        </w:tc>
        <w:tc>
          <w:tcPr>
            <w:tcW w:w="697" w:type="pct"/>
            <w:vAlign w:val="center"/>
          </w:tcPr>
          <w:p w14:paraId="661E94B5">
            <w:pPr>
              <w:adjustRightInd w:val="0"/>
              <w:snapToGrid w:val="0"/>
              <w:spacing w:line="30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达标</w:t>
            </w:r>
          </w:p>
        </w:tc>
      </w:tr>
      <w:tr w14:paraId="5B225D9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66" w:type="pct"/>
            <w:vAlign w:val="center"/>
          </w:tcPr>
          <w:p w14:paraId="1AA21FCF">
            <w:pPr>
              <w:adjustRightInd w:val="0"/>
              <w:snapToGrid w:val="0"/>
              <w:spacing w:line="300" w:lineRule="exact"/>
              <w:jc w:val="center"/>
              <w:textAlignment w:val="baseline"/>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23</w:t>
            </w:r>
          </w:p>
        </w:tc>
        <w:tc>
          <w:tcPr>
            <w:tcW w:w="1177" w:type="pct"/>
            <w:vAlign w:val="center"/>
          </w:tcPr>
          <w:p w14:paraId="58AAFF58">
            <w:pPr>
              <w:adjustRightInd w:val="0"/>
              <w:snapToGrid w:val="0"/>
              <w:spacing w:line="300" w:lineRule="exact"/>
              <w:jc w:val="center"/>
              <w:textAlignment w:val="baseline"/>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乙苯</w:t>
            </w:r>
          </w:p>
        </w:tc>
        <w:tc>
          <w:tcPr>
            <w:tcW w:w="649" w:type="pct"/>
            <w:vAlign w:val="center"/>
          </w:tcPr>
          <w:p w14:paraId="3312C72F">
            <w:pPr>
              <w:adjustRightInd w:val="0"/>
              <w:snapToGrid w:val="0"/>
              <w:spacing w:line="300" w:lineRule="exact"/>
              <w:jc w:val="center"/>
              <w:textAlignment w:val="baseline"/>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28</w:t>
            </w:r>
          </w:p>
        </w:tc>
        <w:tc>
          <w:tcPr>
            <w:tcW w:w="893" w:type="pct"/>
            <w:vAlign w:val="center"/>
          </w:tcPr>
          <w:p w14:paraId="72702558">
            <w:pPr>
              <w:adjustRightInd w:val="0"/>
              <w:snapToGrid w:val="0"/>
              <w:spacing w:line="30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μg/kg</w:t>
            </w:r>
          </w:p>
        </w:tc>
        <w:tc>
          <w:tcPr>
            <w:tcW w:w="569" w:type="pct"/>
          </w:tcPr>
          <w:p w14:paraId="5355A7EA">
            <w:pPr>
              <w:adjustRightInd w:val="0"/>
              <w:snapToGrid w:val="0"/>
              <w:spacing w:line="30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1</w:t>
            </w:r>
            <w:r>
              <w:rPr>
                <w:rFonts w:ascii="宋体" w:hAnsi="宋体" w:cs="宋体"/>
                <w:color w:val="000000" w:themeColor="text1"/>
                <w:szCs w:val="21"/>
                <w14:textFill>
                  <w14:solidFill>
                    <w14:schemeClr w14:val="tx1"/>
                  </w14:solidFill>
                </w14:textFill>
              </w:rPr>
              <w:t>.2L</w:t>
            </w:r>
          </w:p>
        </w:tc>
        <w:tc>
          <w:tcPr>
            <w:tcW w:w="649" w:type="pct"/>
          </w:tcPr>
          <w:p w14:paraId="18179B18">
            <w:pPr>
              <w:adjustRightInd w:val="0"/>
              <w:snapToGrid w:val="0"/>
              <w:spacing w:line="30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w:t>
            </w:r>
          </w:p>
        </w:tc>
        <w:tc>
          <w:tcPr>
            <w:tcW w:w="697" w:type="pct"/>
            <w:vAlign w:val="center"/>
          </w:tcPr>
          <w:p w14:paraId="5CA5AE73">
            <w:pPr>
              <w:adjustRightInd w:val="0"/>
              <w:snapToGrid w:val="0"/>
              <w:spacing w:line="30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达标</w:t>
            </w:r>
          </w:p>
        </w:tc>
      </w:tr>
      <w:tr w14:paraId="716F124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66" w:type="pct"/>
            <w:vAlign w:val="center"/>
          </w:tcPr>
          <w:p w14:paraId="506D9F08">
            <w:pPr>
              <w:adjustRightInd w:val="0"/>
              <w:snapToGrid w:val="0"/>
              <w:spacing w:line="300" w:lineRule="exact"/>
              <w:jc w:val="center"/>
              <w:textAlignment w:val="baseline"/>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24</w:t>
            </w:r>
          </w:p>
        </w:tc>
        <w:tc>
          <w:tcPr>
            <w:tcW w:w="1177" w:type="pct"/>
            <w:vAlign w:val="center"/>
          </w:tcPr>
          <w:p w14:paraId="187AD7B1">
            <w:pPr>
              <w:adjustRightInd w:val="0"/>
              <w:snapToGrid w:val="0"/>
              <w:spacing w:line="300" w:lineRule="exact"/>
              <w:jc w:val="center"/>
              <w:textAlignment w:val="baseline"/>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苯乙烯</w:t>
            </w:r>
          </w:p>
        </w:tc>
        <w:tc>
          <w:tcPr>
            <w:tcW w:w="649" w:type="pct"/>
            <w:vAlign w:val="center"/>
          </w:tcPr>
          <w:p w14:paraId="3BB1565A">
            <w:pPr>
              <w:adjustRightInd w:val="0"/>
              <w:snapToGrid w:val="0"/>
              <w:spacing w:line="300" w:lineRule="exact"/>
              <w:jc w:val="center"/>
              <w:textAlignment w:val="baseline"/>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1290</w:t>
            </w:r>
          </w:p>
        </w:tc>
        <w:tc>
          <w:tcPr>
            <w:tcW w:w="893" w:type="pct"/>
            <w:vAlign w:val="center"/>
          </w:tcPr>
          <w:p w14:paraId="1D4A8540">
            <w:pPr>
              <w:adjustRightInd w:val="0"/>
              <w:snapToGrid w:val="0"/>
              <w:spacing w:line="30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μg/kg</w:t>
            </w:r>
          </w:p>
        </w:tc>
        <w:tc>
          <w:tcPr>
            <w:tcW w:w="569" w:type="pct"/>
          </w:tcPr>
          <w:p w14:paraId="4EE6B7D3">
            <w:pPr>
              <w:adjustRightInd w:val="0"/>
              <w:snapToGrid w:val="0"/>
              <w:spacing w:line="30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1</w:t>
            </w:r>
            <w:r>
              <w:rPr>
                <w:rFonts w:ascii="宋体" w:hAnsi="宋体" w:cs="宋体"/>
                <w:color w:val="000000" w:themeColor="text1"/>
                <w:szCs w:val="21"/>
                <w14:textFill>
                  <w14:solidFill>
                    <w14:schemeClr w14:val="tx1"/>
                  </w14:solidFill>
                </w14:textFill>
              </w:rPr>
              <w:t>.1L</w:t>
            </w:r>
          </w:p>
        </w:tc>
        <w:tc>
          <w:tcPr>
            <w:tcW w:w="649" w:type="pct"/>
          </w:tcPr>
          <w:p w14:paraId="0426EFC0">
            <w:pPr>
              <w:adjustRightInd w:val="0"/>
              <w:snapToGrid w:val="0"/>
              <w:spacing w:line="30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w:t>
            </w:r>
          </w:p>
        </w:tc>
        <w:tc>
          <w:tcPr>
            <w:tcW w:w="697" w:type="pct"/>
            <w:vAlign w:val="center"/>
          </w:tcPr>
          <w:p w14:paraId="64C840E9">
            <w:pPr>
              <w:adjustRightInd w:val="0"/>
              <w:snapToGrid w:val="0"/>
              <w:spacing w:line="30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达标</w:t>
            </w:r>
          </w:p>
        </w:tc>
      </w:tr>
      <w:tr w14:paraId="7CAFED0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66" w:type="pct"/>
            <w:vAlign w:val="center"/>
          </w:tcPr>
          <w:p w14:paraId="4D1CC2EC">
            <w:pPr>
              <w:adjustRightInd w:val="0"/>
              <w:snapToGrid w:val="0"/>
              <w:spacing w:line="300" w:lineRule="exact"/>
              <w:jc w:val="center"/>
              <w:textAlignment w:val="baseline"/>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25</w:t>
            </w:r>
          </w:p>
        </w:tc>
        <w:tc>
          <w:tcPr>
            <w:tcW w:w="1177" w:type="pct"/>
            <w:vAlign w:val="center"/>
          </w:tcPr>
          <w:p w14:paraId="636EBA43">
            <w:pPr>
              <w:adjustRightInd w:val="0"/>
              <w:snapToGrid w:val="0"/>
              <w:spacing w:line="300" w:lineRule="exact"/>
              <w:jc w:val="center"/>
              <w:textAlignment w:val="baseline"/>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甲苯</w:t>
            </w:r>
          </w:p>
        </w:tc>
        <w:tc>
          <w:tcPr>
            <w:tcW w:w="649" w:type="pct"/>
            <w:vAlign w:val="center"/>
          </w:tcPr>
          <w:p w14:paraId="29EC9713">
            <w:pPr>
              <w:adjustRightInd w:val="0"/>
              <w:snapToGrid w:val="0"/>
              <w:spacing w:line="300" w:lineRule="exact"/>
              <w:jc w:val="center"/>
              <w:textAlignment w:val="baseline"/>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1200</w:t>
            </w:r>
          </w:p>
        </w:tc>
        <w:tc>
          <w:tcPr>
            <w:tcW w:w="893" w:type="pct"/>
            <w:vAlign w:val="center"/>
          </w:tcPr>
          <w:p w14:paraId="746C7B9B">
            <w:pPr>
              <w:adjustRightInd w:val="0"/>
              <w:snapToGrid w:val="0"/>
              <w:spacing w:line="30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μg/kg</w:t>
            </w:r>
          </w:p>
        </w:tc>
        <w:tc>
          <w:tcPr>
            <w:tcW w:w="569" w:type="pct"/>
          </w:tcPr>
          <w:p w14:paraId="00CEE2FF">
            <w:pPr>
              <w:adjustRightInd w:val="0"/>
              <w:snapToGrid w:val="0"/>
              <w:spacing w:line="30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1</w:t>
            </w:r>
            <w:r>
              <w:rPr>
                <w:rFonts w:ascii="宋体" w:hAnsi="宋体" w:cs="宋体"/>
                <w:color w:val="000000" w:themeColor="text1"/>
                <w:szCs w:val="21"/>
                <w14:textFill>
                  <w14:solidFill>
                    <w14:schemeClr w14:val="tx1"/>
                  </w14:solidFill>
                </w14:textFill>
              </w:rPr>
              <w:t>.3L</w:t>
            </w:r>
          </w:p>
        </w:tc>
        <w:tc>
          <w:tcPr>
            <w:tcW w:w="649" w:type="pct"/>
          </w:tcPr>
          <w:p w14:paraId="1BE70384">
            <w:pPr>
              <w:adjustRightInd w:val="0"/>
              <w:snapToGrid w:val="0"/>
              <w:spacing w:line="30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w:t>
            </w:r>
          </w:p>
        </w:tc>
        <w:tc>
          <w:tcPr>
            <w:tcW w:w="697" w:type="pct"/>
            <w:vAlign w:val="center"/>
          </w:tcPr>
          <w:p w14:paraId="087E9F3F">
            <w:pPr>
              <w:adjustRightInd w:val="0"/>
              <w:snapToGrid w:val="0"/>
              <w:spacing w:line="30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达标</w:t>
            </w:r>
          </w:p>
        </w:tc>
      </w:tr>
      <w:tr w14:paraId="6678F3A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66" w:type="pct"/>
            <w:vAlign w:val="center"/>
          </w:tcPr>
          <w:p w14:paraId="0424B2B2">
            <w:pPr>
              <w:adjustRightInd w:val="0"/>
              <w:snapToGrid w:val="0"/>
              <w:spacing w:line="300" w:lineRule="exact"/>
              <w:jc w:val="center"/>
              <w:textAlignment w:val="baseline"/>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26</w:t>
            </w:r>
          </w:p>
        </w:tc>
        <w:tc>
          <w:tcPr>
            <w:tcW w:w="1177" w:type="pct"/>
            <w:vAlign w:val="center"/>
          </w:tcPr>
          <w:p w14:paraId="0EE818AE">
            <w:pPr>
              <w:adjustRightInd w:val="0"/>
              <w:snapToGrid w:val="0"/>
              <w:spacing w:line="300" w:lineRule="exact"/>
              <w:jc w:val="center"/>
              <w:textAlignment w:val="baseline"/>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间二甲苯+对二甲苯</w:t>
            </w:r>
          </w:p>
        </w:tc>
        <w:tc>
          <w:tcPr>
            <w:tcW w:w="649" w:type="pct"/>
            <w:vAlign w:val="center"/>
          </w:tcPr>
          <w:p w14:paraId="79077FA8">
            <w:pPr>
              <w:adjustRightInd w:val="0"/>
              <w:snapToGrid w:val="0"/>
              <w:spacing w:line="300" w:lineRule="exact"/>
              <w:jc w:val="center"/>
              <w:textAlignment w:val="baseline"/>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570</w:t>
            </w:r>
          </w:p>
        </w:tc>
        <w:tc>
          <w:tcPr>
            <w:tcW w:w="893" w:type="pct"/>
            <w:vAlign w:val="center"/>
          </w:tcPr>
          <w:p w14:paraId="2FB955EE">
            <w:pPr>
              <w:adjustRightInd w:val="0"/>
              <w:snapToGrid w:val="0"/>
              <w:spacing w:line="30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μg/kg</w:t>
            </w:r>
          </w:p>
        </w:tc>
        <w:tc>
          <w:tcPr>
            <w:tcW w:w="569" w:type="pct"/>
          </w:tcPr>
          <w:p w14:paraId="742255B6">
            <w:pPr>
              <w:adjustRightInd w:val="0"/>
              <w:snapToGrid w:val="0"/>
              <w:spacing w:line="30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1</w:t>
            </w:r>
            <w:r>
              <w:rPr>
                <w:rFonts w:ascii="宋体" w:hAnsi="宋体" w:cs="宋体"/>
                <w:color w:val="000000" w:themeColor="text1"/>
                <w:szCs w:val="21"/>
                <w14:textFill>
                  <w14:solidFill>
                    <w14:schemeClr w14:val="tx1"/>
                  </w14:solidFill>
                </w14:textFill>
              </w:rPr>
              <w:t>.2L</w:t>
            </w:r>
          </w:p>
        </w:tc>
        <w:tc>
          <w:tcPr>
            <w:tcW w:w="649" w:type="pct"/>
          </w:tcPr>
          <w:p w14:paraId="643F278B">
            <w:pPr>
              <w:adjustRightInd w:val="0"/>
              <w:snapToGrid w:val="0"/>
              <w:spacing w:line="30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w:t>
            </w:r>
          </w:p>
        </w:tc>
        <w:tc>
          <w:tcPr>
            <w:tcW w:w="697" w:type="pct"/>
            <w:vAlign w:val="center"/>
          </w:tcPr>
          <w:p w14:paraId="65DCE639">
            <w:pPr>
              <w:adjustRightInd w:val="0"/>
              <w:snapToGrid w:val="0"/>
              <w:spacing w:line="30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达标</w:t>
            </w:r>
          </w:p>
        </w:tc>
      </w:tr>
      <w:tr w14:paraId="277785D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66" w:type="pct"/>
            <w:vAlign w:val="center"/>
          </w:tcPr>
          <w:p w14:paraId="4928D497">
            <w:pPr>
              <w:adjustRightInd w:val="0"/>
              <w:snapToGrid w:val="0"/>
              <w:spacing w:line="300" w:lineRule="exact"/>
              <w:jc w:val="center"/>
              <w:textAlignment w:val="baseline"/>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27</w:t>
            </w:r>
          </w:p>
        </w:tc>
        <w:tc>
          <w:tcPr>
            <w:tcW w:w="1177" w:type="pct"/>
            <w:vAlign w:val="center"/>
          </w:tcPr>
          <w:p w14:paraId="3E708D28">
            <w:pPr>
              <w:adjustRightInd w:val="0"/>
              <w:snapToGrid w:val="0"/>
              <w:spacing w:line="300" w:lineRule="exact"/>
              <w:jc w:val="center"/>
              <w:textAlignment w:val="baseline"/>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邻二甲苯</w:t>
            </w:r>
          </w:p>
        </w:tc>
        <w:tc>
          <w:tcPr>
            <w:tcW w:w="649" w:type="pct"/>
            <w:vAlign w:val="center"/>
          </w:tcPr>
          <w:p w14:paraId="7EE40B5F">
            <w:pPr>
              <w:adjustRightInd w:val="0"/>
              <w:snapToGrid w:val="0"/>
              <w:spacing w:line="300" w:lineRule="exact"/>
              <w:jc w:val="center"/>
              <w:textAlignment w:val="baseline"/>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640</w:t>
            </w:r>
          </w:p>
        </w:tc>
        <w:tc>
          <w:tcPr>
            <w:tcW w:w="893" w:type="pct"/>
            <w:vAlign w:val="center"/>
          </w:tcPr>
          <w:p w14:paraId="0D954588">
            <w:pPr>
              <w:adjustRightInd w:val="0"/>
              <w:snapToGrid w:val="0"/>
              <w:spacing w:line="30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μg/kg</w:t>
            </w:r>
          </w:p>
        </w:tc>
        <w:tc>
          <w:tcPr>
            <w:tcW w:w="569" w:type="pct"/>
          </w:tcPr>
          <w:p w14:paraId="32993C5D">
            <w:pPr>
              <w:adjustRightInd w:val="0"/>
              <w:snapToGrid w:val="0"/>
              <w:spacing w:line="30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1</w:t>
            </w:r>
            <w:r>
              <w:rPr>
                <w:rFonts w:ascii="宋体" w:hAnsi="宋体" w:cs="宋体"/>
                <w:color w:val="000000" w:themeColor="text1"/>
                <w:szCs w:val="21"/>
                <w14:textFill>
                  <w14:solidFill>
                    <w14:schemeClr w14:val="tx1"/>
                  </w14:solidFill>
                </w14:textFill>
              </w:rPr>
              <w:t>.2L</w:t>
            </w:r>
          </w:p>
        </w:tc>
        <w:tc>
          <w:tcPr>
            <w:tcW w:w="649" w:type="pct"/>
          </w:tcPr>
          <w:p w14:paraId="3BAD79FA">
            <w:pPr>
              <w:adjustRightInd w:val="0"/>
              <w:snapToGrid w:val="0"/>
              <w:spacing w:line="30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w:t>
            </w:r>
          </w:p>
        </w:tc>
        <w:tc>
          <w:tcPr>
            <w:tcW w:w="697" w:type="pct"/>
            <w:vAlign w:val="center"/>
          </w:tcPr>
          <w:p w14:paraId="092D3C86">
            <w:pPr>
              <w:adjustRightInd w:val="0"/>
              <w:snapToGrid w:val="0"/>
              <w:spacing w:line="30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达标</w:t>
            </w:r>
          </w:p>
        </w:tc>
      </w:tr>
      <w:tr w14:paraId="51D93E3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66" w:type="pct"/>
            <w:vAlign w:val="center"/>
          </w:tcPr>
          <w:p w14:paraId="2F568CE8">
            <w:pPr>
              <w:adjustRightInd w:val="0"/>
              <w:snapToGrid w:val="0"/>
              <w:spacing w:line="300" w:lineRule="exact"/>
              <w:jc w:val="center"/>
              <w:textAlignment w:val="baseline"/>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28</w:t>
            </w:r>
          </w:p>
        </w:tc>
        <w:tc>
          <w:tcPr>
            <w:tcW w:w="1177" w:type="pct"/>
            <w:vAlign w:val="center"/>
          </w:tcPr>
          <w:p w14:paraId="2668672A">
            <w:pPr>
              <w:adjustRightInd w:val="0"/>
              <w:snapToGrid w:val="0"/>
              <w:spacing w:line="300" w:lineRule="exact"/>
              <w:jc w:val="center"/>
              <w:textAlignment w:val="baseline"/>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硝基苯</w:t>
            </w:r>
          </w:p>
        </w:tc>
        <w:tc>
          <w:tcPr>
            <w:tcW w:w="649" w:type="pct"/>
            <w:vAlign w:val="center"/>
          </w:tcPr>
          <w:p w14:paraId="0E4A89A8">
            <w:pPr>
              <w:adjustRightInd w:val="0"/>
              <w:snapToGrid w:val="0"/>
              <w:spacing w:line="300" w:lineRule="exact"/>
              <w:jc w:val="center"/>
              <w:textAlignment w:val="baseline"/>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76</w:t>
            </w:r>
          </w:p>
        </w:tc>
        <w:tc>
          <w:tcPr>
            <w:tcW w:w="893" w:type="pct"/>
            <w:vAlign w:val="center"/>
          </w:tcPr>
          <w:p w14:paraId="5C8FABE0">
            <w:pPr>
              <w:adjustRightInd w:val="0"/>
              <w:snapToGrid w:val="0"/>
              <w:spacing w:line="30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mg/kg</w:t>
            </w:r>
          </w:p>
        </w:tc>
        <w:tc>
          <w:tcPr>
            <w:tcW w:w="569" w:type="pct"/>
          </w:tcPr>
          <w:p w14:paraId="0EC192E9">
            <w:pPr>
              <w:adjustRightInd w:val="0"/>
              <w:snapToGrid w:val="0"/>
              <w:spacing w:line="30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0</w:t>
            </w:r>
            <w:r>
              <w:rPr>
                <w:rFonts w:ascii="宋体" w:hAnsi="宋体" w:cs="宋体"/>
                <w:color w:val="000000" w:themeColor="text1"/>
                <w:szCs w:val="21"/>
                <w14:textFill>
                  <w14:solidFill>
                    <w14:schemeClr w14:val="tx1"/>
                  </w14:solidFill>
                </w14:textFill>
              </w:rPr>
              <w:t>.09L</w:t>
            </w:r>
          </w:p>
        </w:tc>
        <w:tc>
          <w:tcPr>
            <w:tcW w:w="649" w:type="pct"/>
          </w:tcPr>
          <w:p w14:paraId="332DA2A7">
            <w:pPr>
              <w:adjustRightInd w:val="0"/>
              <w:snapToGrid w:val="0"/>
              <w:spacing w:line="30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w:t>
            </w:r>
          </w:p>
        </w:tc>
        <w:tc>
          <w:tcPr>
            <w:tcW w:w="697" w:type="pct"/>
            <w:vAlign w:val="center"/>
          </w:tcPr>
          <w:p w14:paraId="78C5A85F">
            <w:pPr>
              <w:adjustRightInd w:val="0"/>
              <w:snapToGrid w:val="0"/>
              <w:spacing w:line="30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达标</w:t>
            </w:r>
          </w:p>
        </w:tc>
      </w:tr>
      <w:tr w14:paraId="7EB64B1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66" w:type="pct"/>
            <w:vAlign w:val="center"/>
          </w:tcPr>
          <w:p w14:paraId="1633DD68">
            <w:pPr>
              <w:adjustRightInd w:val="0"/>
              <w:snapToGrid w:val="0"/>
              <w:spacing w:line="300" w:lineRule="exact"/>
              <w:jc w:val="center"/>
              <w:textAlignment w:val="baseline"/>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29</w:t>
            </w:r>
          </w:p>
        </w:tc>
        <w:tc>
          <w:tcPr>
            <w:tcW w:w="1177" w:type="pct"/>
            <w:vAlign w:val="center"/>
          </w:tcPr>
          <w:p w14:paraId="5EC19F11">
            <w:pPr>
              <w:adjustRightInd w:val="0"/>
              <w:snapToGrid w:val="0"/>
              <w:spacing w:line="300" w:lineRule="exact"/>
              <w:jc w:val="center"/>
              <w:textAlignment w:val="baseline"/>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苯胺</w:t>
            </w:r>
          </w:p>
        </w:tc>
        <w:tc>
          <w:tcPr>
            <w:tcW w:w="649" w:type="pct"/>
            <w:vAlign w:val="center"/>
          </w:tcPr>
          <w:p w14:paraId="45004989">
            <w:pPr>
              <w:adjustRightInd w:val="0"/>
              <w:snapToGrid w:val="0"/>
              <w:spacing w:line="300" w:lineRule="exact"/>
              <w:jc w:val="center"/>
              <w:textAlignment w:val="baseline"/>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260</w:t>
            </w:r>
          </w:p>
        </w:tc>
        <w:tc>
          <w:tcPr>
            <w:tcW w:w="893" w:type="pct"/>
            <w:vAlign w:val="center"/>
          </w:tcPr>
          <w:p w14:paraId="3711D800">
            <w:pPr>
              <w:adjustRightInd w:val="0"/>
              <w:snapToGrid w:val="0"/>
              <w:spacing w:line="30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mg/kg</w:t>
            </w:r>
          </w:p>
        </w:tc>
        <w:tc>
          <w:tcPr>
            <w:tcW w:w="569" w:type="pct"/>
          </w:tcPr>
          <w:p w14:paraId="42983990">
            <w:pPr>
              <w:adjustRightInd w:val="0"/>
              <w:snapToGrid w:val="0"/>
              <w:spacing w:line="30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0</w:t>
            </w:r>
            <w:r>
              <w:rPr>
                <w:rFonts w:ascii="宋体" w:hAnsi="宋体" w:cs="宋体"/>
                <w:color w:val="000000" w:themeColor="text1"/>
                <w:szCs w:val="21"/>
                <w14:textFill>
                  <w14:solidFill>
                    <w14:schemeClr w14:val="tx1"/>
                  </w14:solidFill>
                </w14:textFill>
              </w:rPr>
              <w:t>.08L</w:t>
            </w:r>
          </w:p>
        </w:tc>
        <w:tc>
          <w:tcPr>
            <w:tcW w:w="649" w:type="pct"/>
          </w:tcPr>
          <w:p w14:paraId="64E520AD">
            <w:pPr>
              <w:adjustRightInd w:val="0"/>
              <w:snapToGrid w:val="0"/>
              <w:spacing w:line="30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w:t>
            </w:r>
          </w:p>
        </w:tc>
        <w:tc>
          <w:tcPr>
            <w:tcW w:w="697" w:type="pct"/>
            <w:vAlign w:val="center"/>
          </w:tcPr>
          <w:p w14:paraId="4523851C">
            <w:pPr>
              <w:adjustRightInd w:val="0"/>
              <w:snapToGrid w:val="0"/>
              <w:spacing w:line="30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达标</w:t>
            </w:r>
          </w:p>
        </w:tc>
      </w:tr>
      <w:tr w14:paraId="19197E8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66" w:type="pct"/>
            <w:vAlign w:val="center"/>
          </w:tcPr>
          <w:p w14:paraId="326C0CAC">
            <w:pPr>
              <w:adjustRightInd w:val="0"/>
              <w:snapToGrid w:val="0"/>
              <w:spacing w:line="300" w:lineRule="exact"/>
              <w:jc w:val="center"/>
              <w:textAlignment w:val="baseline"/>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30</w:t>
            </w:r>
          </w:p>
        </w:tc>
        <w:tc>
          <w:tcPr>
            <w:tcW w:w="1177" w:type="pct"/>
            <w:vAlign w:val="center"/>
          </w:tcPr>
          <w:p w14:paraId="762EEF6F">
            <w:pPr>
              <w:adjustRightInd w:val="0"/>
              <w:snapToGrid w:val="0"/>
              <w:spacing w:line="300" w:lineRule="exact"/>
              <w:jc w:val="center"/>
              <w:textAlignment w:val="baseline"/>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2-氯酚</w:t>
            </w:r>
          </w:p>
        </w:tc>
        <w:tc>
          <w:tcPr>
            <w:tcW w:w="649" w:type="pct"/>
            <w:vAlign w:val="center"/>
          </w:tcPr>
          <w:p w14:paraId="01A46413">
            <w:pPr>
              <w:adjustRightInd w:val="0"/>
              <w:snapToGrid w:val="0"/>
              <w:spacing w:line="300" w:lineRule="exact"/>
              <w:jc w:val="center"/>
              <w:textAlignment w:val="baseline"/>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2256</w:t>
            </w:r>
          </w:p>
        </w:tc>
        <w:tc>
          <w:tcPr>
            <w:tcW w:w="893" w:type="pct"/>
            <w:vAlign w:val="center"/>
          </w:tcPr>
          <w:p w14:paraId="1A9FCC00">
            <w:pPr>
              <w:adjustRightInd w:val="0"/>
              <w:snapToGrid w:val="0"/>
              <w:spacing w:line="30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mg/kg</w:t>
            </w:r>
          </w:p>
        </w:tc>
        <w:tc>
          <w:tcPr>
            <w:tcW w:w="569" w:type="pct"/>
          </w:tcPr>
          <w:p w14:paraId="7F61DE16">
            <w:pPr>
              <w:adjustRightInd w:val="0"/>
              <w:snapToGrid w:val="0"/>
              <w:spacing w:line="30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0</w:t>
            </w:r>
            <w:r>
              <w:rPr>
                <w:rFonts w:ascii="宋体" w:hAnsi="宋体" w:cs="宋体"/>
                <w:color w:val="000000" w:themeColor="text1"/>
                <w:szCs w:val="21"/>
                <w14:textFill>
                  <w14:solidFill>
                    <w14:schemeClr w14:val="tx1"/>
                  </w14:solidFill>
                </w14:textFill>
              </w:rPr>
              <w:t>.04L</w:t>
            </w:r>
          </w:p>
        </w:tc>
        <w:tc>
          <w:tcPr>
            <w:tcW w:w="649" w:type="pct"/>
          </w:tcPr>
          <w:p w14:paraId="6891DF46">
            <w:pPr>
              <w:adjustRightInd w:val="0"/>
              <w:snapToGrid w:val="0"/>
              <w:spacing w:line="30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w:t>
            </w:r>
          </w:p>
        </w:tc>
        <w:tc>
          <w:tcPr>
            <w:tcW w:w="697" w:type="pct"/>
            <w:vAlign w:val="center"/>
          </w:tcPr>
          <w:p w14:paraId="3F2F6A9A">
            <w:pPr>
              <w:adjustRightInd w:val="0"/>
              <w:snapToGrid w:val="0"/>
              <w:spacing w:line="30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达标</w:t>
            </w:r>
          </w:p>
        </w:tc>
      </w:tr>
      <w:tr w14:paraId="2A9369F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66" w:type="pct"/>
            <w:vAlign w:val="center"/>
          </w:tcPr>
          <w:p w14:paraId="02188A38">
            <w:pPr>
              <w:adjustRightInd w:val="0"/>
              <w:snapToGrid w:val="0"/>
              <w:spacing w:line="300" w:lineRule="exact"/>
              <w:jc w:val="center"/>
              <w:textAlignment w:val="baseline"/>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31</w:t>
            </w:r>
          </w:p>
        </w:tc>
        <w:tc>
          <w:tcPr>
            <w:tcW w:w="1177" w:type="pct"/>
            <w:vAlign w:val="center"/>
          </w:tcPr>
          <w:p w14:paraId="027B3328">
            <w:pPr>
              <w:adjustRightInd w:val="0"/>
              <w:snapToGrid w:val="0"/>
              <w:spacing w:line="300" w:lineRule="exact"/>
              <w:jc w:val="center"/>
              <w:textAlignment w:val="baseline"/>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苯并[a]蒽</w:t>
            </w:r>
          </w:p>
        </w:tc>
        <w:tc>
          <w:tcPr>
            <w:tcW w:w="649" w:type="pct"/>
            <w:vAlign w:val="center"/>
          </w:tcPr>
          <w:p w14:paraId="4B662A79">
            <w:pPr>
              <w:adjustRightInd w:val="0"/>
              <w:snapToGrid w:val="0"/>
              <w:spacing w:line="300" w:lineRule="exact"/>
              <w:jc w:val="center"/>
              <w:textAlignment w:val="baseline"/>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15</w:t>
            </w:r>
          </w:p>
        </w:tc>
        <w:tc>
          <w:tcPr>
            <w:tcW w:w="893" w:type="pct"/>
            <w:vAlign w:val="center"/>
          </w:tcPr>
          <w:p w14:paraId="2978437D">
            <w:pPr>
              <w:adjustRightInd w:val="0"/>
              <w:snapToGrid w:val="0"/>
              <w:spacing w:line="30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μg/kg</w:t>
            </w:r>
          </w:p>
        </w:tc>
        <w:tc>
          <w:tcPr>
            <w:tcW w:w="569" w:type="pct"/>
          </w:tcPr>
          <w:p w14:paraId="05C1D4F3">
            <w:pPr>
              <w:adjustRightInd w:val="0"/>
              <w:snapToGrid w:val="0"/>
              <w:spacing w:line="30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0</w:t>
            </w:r>
            <w:r>
              <w:rPr>
                <w:rFonts w:ascii="宋体" w:hAnsi="宋体" w:cs="宋体"/>
                <w:color w:val="000000" w:themeColor="text1"/>
                <w:szCs w:val="21"/>
                <w14:textFill>
                  <w14:solidFill>
                    <w14:schemeClr w14:val="tx1"/>
                  </w14:solidFill>
                </w14:textFill>
              </w:rPr>
              <w:t>.1L</w:t>
            </w:r>
          </w:p>
        </w:tc>
        <w:tc>
          <w:tcPr>
            <w:tcW w:w="649" w:type="pct"/>
          </w:tcPr>
          <w:p w14:paraId="78132D24">
            <w:pPr>
              <w:adjustRightInd w:val="0"/>
              <w:snapToGrid w:val="0"/>
              <w:spacing w:line="30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w:t>
            </w:r>
          </w:p>
        </w:tc>
        <w:tc>
          <w:tcPr>
            <w:tcW w:w="697" w:type="pct"/>
            <w:vAlign w:val="center"/>
          </w:tcPr>
          <w:p w14:paraId="12B7A721">
            <w:pPr>
              <w:adjustRightInd w:val="0"/>
              <w:snapToGrid w:val="0"/>
              <w:spacing w:line="30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达标</w:t>
            </w:r>
          </w:p>
        </w:tc>
      </w:tr>
      <w:tr w14:paraId="06C0FD2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66" w:type="pct"/>
            <w:vAlign w:val="center"/>
          </w:tcPr>
          <w:p w14:paraId="74540AEE">
            <w:pPr>
              <w:adjustRightInd w:val="0"/>
              <w:snapToGrid w:val="0"/>
              <w:spacing w:line="300" w:lineRule="exact"/>
              <w:jc w:val="center"/>
              <w:textAlignment w:val="baseline"/>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32</w:t>
            </w:r>
          </w:p>
        </w:tc>
        <w:tc>
          <w:tcPr>
            <w:tcW w:w="1177" w:type="pct"/>
            <w:vAlign w:val="center"/>
          </w:tcPr>
          <w:p w14:paraId="57343822">
            <w:pPr>
              <w:adjustRightInd w:val="0"/>
              <w:snapToGrid w:val="0"/>
              <w:spacing w:line="300" w:lineRule="exact"/>
              <w:jc w:val="center"/>
              <w:textAlignment w:val="baseline"/>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苯并[a]芘</w:t>
            </w:r>
          </w:p>
        </w:tc>
        <w:tc>
          <w:tcPr>
            <w:tcW w:w="649" w:type="pct"/>
            <w:vAlign w:val="center"/>
          </w:tcPr>
          <w:p w14:paraId="095A4AF2">
            <w:pPr>
              <w:adjustRightInd w:val="0"/>
              <w:snapToGrid w:val="0"/>
              <w:spacing w:line="300" w:lineRule="exact"/>
              <w:jc w:val="center"/>
              <w:textAlignment w:val="baseline"/>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1.5</w:t>
            </w:r>
          </w:p>
        </w:tc>
        <w:tc>
          <w:tcPr>
            <w:tcW w:w="893" w:type="pct"/>
            <w:vAlign w:val="center"/>
          </w:tcPr>
          <w:p w14:paraId="67F9CA2D">
            <w:pPr>
              <w:adjustRightInd w:val="0"/>
              <w:snapToGrid w:val="0"/>
              <w:spacing w:line="30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μg/kg</w:t>
            </w:r>
          </w:p>
        </w:tc>
        <w:tc>
          <w:tcPr>
            <w:tcW w:w="569" w:type="pct"/>
          </w:tcPr>
          <w:p w14:paraId="74CE1D40">
            <w:pPr>
              <w:adjustRightInd w:val="0"/>
              <w:snapToGrid w:val="0"/>
              <w:spacing w:line="30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0</w:t>
            </w:r>
            <w:r>
              <w:rPr>
                <w:rFonts w:ascii="宋体" w:hAnsi="宋体" w:cs="宋体"/>
                <w:color w:val="000000" w:themeColor="text1"/>
                <w:szCs w:val="21"/>
                <w14:textFill>
                  <w14:solidFill>
                    <w14:schemeClr w14:val="tx1"/>
                  </w14:solidFill>
                </w14:textFill>
              </w:rPr>
              <w:t>.1L</w:t>
            </w:r>
          </w:p>
        </w:tc>
        <w:tc>
          <w:tcPr>
            <w:tcW w:w="649" w:type="pct"/>
          </w:tcPr>
          <w:p w14:paraId="22451896">
            <w:pPr>
              <w:adjustRightInd w:val="0"/>
              <w:snapToGrid w:val="0"/>
              <w:spacing w:line="30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w:t>
            </w:r>
          </w:p>
        </w:tc>
        <w:tc>
          <w:tcPr>
            <w:tcW w:w="697" w:type="pct"/>
            <w:vAlign w:val="center"/>
          </w:tcPr>
          <w:p w14:paraId="4FCD018A">
            <w:pPr>
              <w:adjustRightInd w:val="0"/>
              <w:snapToGrid w:val="0"/>
              <w:spacing w:line="30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达标</w:t>
            </w:r>
          </w:p>
        </w:tc>
      </w:tr>
      <w:tr w14:paraId="6D53CDB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66" w:type="pct"/>
            <w:vAlign w:val="center"/>
          </w:tcPr>
          <w:p w14:paraId="34BD6C5C">
            <w:pPr>
              <w:adjustRightInd w:val="0"/>
              <w:snapToGrid w:val="0"/>
              <w:spacing w:line="300" w:lineRule="exact"/>
              <w:jc w:val="center"/>
              <w:textAlignment w:val="baseline"/>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33</w:t>
            </w:r>
          </w:p>
        </w:tc>
        <w:tc>
          <w:tcPr>
            <w:tcW w:w="1177" w:type="pct"/>
            <w:vAlign w:val="center"/>
          </w:tcPr>
          <w:p w14:paraId="61F2C40F">
            <w:pPr>
              <w:adjustRightInd w:val="0"/>
              <w:snapToGrid w:val="0"/>
              <w:spacing w:line="300" w:lineRule="exact"/>
              <w:jc w:val="center"/>
              <w:textAlignment w:val="baseline"/>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苯并[b]荧蒽</w:t>
            </w:r>
          </w:p>
        </w:tc>
        <w:tc>
          <w:tcPr>
            <w:tcW w:w="649" w:type="pct"/>
            <w:vAlign w:val="center"/>
          </w:tcPr>
          <w:p w14:paraId="39586DF5">
            <w:pPr>
              <w:adjustRightInd w:val="0"/>
              <w:snapToGrid w:val="0"/>
              <w:spacing w:line="300" w:lineRule="exact"/>
              <w:jc w:val="center"/>
              <w:textAlignment w:val="baseline"/>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15</w:t>
            </w:r>
          </w:p>
        </w:tc>
        <w:tc>
          <w:tcPr>
            <w:tcW w:w="893" w:type="pct"/>
            <w:vAlign w:val="center"/>
          </w:tcPr>
          <w:p w14:paraId="107F292C">
            <w:pPr>
              <w:adjustRightInd w:val="0"/>
              <w:snapToGrid w:val="0"/>
              <w:spacing w:line="30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μg/kg</w:t>
            </w:r>
          </w:p>
        </w:tc>
        <w:tc>
          <w:tcPr>
            <w:tcW w:w="569" w:type="pct"/>
          </w:tcPr>
          <w:p w14:paraId="795B364D">
            <w:pPr>
              <w:adjustRightInd w:val="0"/>
              <w:snapToGrid w:val="0"/>
              <w:spacing w:line="30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0</w:t>
            </w:r>
            <w:r>
              <w:rPr>
                <w:rFonts w:ascii="宋体" w:hAnsi="宋体" w:cs="宋体"/>
                <w:color w:val="000000" w:themeColor="text1"/>
                <w:szCs w:val="21"/>
                <w14:textFill>
                  <w14:solidFill>
                    <w14:schemeClr w14:val="tx1"/>
                  </w14:solidFill>
                </w14:textFill>
              </w:rPr>
              <w:t>.2L</w:t>
            </w:r>
          </w:p>
        </w:tc>
        <w:tc>
          <w:tcPr>
            <w:tcW w:w="649" w:type="pct"/>
          </w:tcPr>
          <w:p w14:paraId="3B3F2674">
            <w:pPr>
              <w:adjustRightInd w:val="0"/>
              <w:snapToGrid w:val="0"/>
              <w:spacing w:line="30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w:t>
            </w:r>
          </w:p>
        </w:tc>
        <w:tc>
          <w:tcPr>
            <w:tcW w:w="697" w:type="pct"/>
            <w:vAlign w:val="center"/>
          </w:tcPr>
          <w:p w14:paraId="00B2FB00">
            <w:pPr>
              <w:adjustRightInd w:val="0"/>
              <w:snapToGrid w:val="0"/>
              <w:spacing w:line="30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达标</w:t>
            </w:r>
          </w:p>
        </w:tc>
      </w:tr>
      <w:tr w14:paraId="2258D51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66" w:type="pct"/>
            <w:vAlign w:val="center"/>
          </w:tcPr>
          <w:p w14:paraId="4307F7D1">
            <w:pPr>
              <w:adjustRightInd w:val="0"/>
              <w:snapToGrid w:val="0"/>
              <w:spacing w:line="300" w:lineRule="exact"/>
              <w:jc w:val="center"/>
              <w:textAlignment w:val="baseline"/>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34</w:t>
            </w:r>
          </w:p>
        </w:tc>
        <w:tc>
          <w:tcPr>
            <w:tcW w:w="1177" w:type="pct"/>
            <w:vAlign w:val="center"/>
          </w:tcPr>
          <w:p w14:paraId="23BAE891">
            <w:pPr>
              <w:adjustRightInd w:val="0"/>
              <w:snapToGrid w:val="0"/>
              <w:spacing w:line="300" w:lineRule="exact"/>
              <w:jc w:val="center"/>
              <w:textAlignment w:val="baseline"/>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苯并[k]荧蒽</w:t>
            </w:r>
          </w:p>
        </w:tc>
        <w:tc>
          <w:tcPr>
            <w:tcW w:w="649" w:type="pct"/>
            <w:vAlign w:val="center"/>
          </w:tcPr>
          <w:p w14:paraId="5478BBC5">
            <w:pPr>
              <w:adjustRightInd w:val="0"/>
              <w:snapToGrid w:val="0"/>
              <w:spacing w:line="300" w:lineRule="exact"/>
              <w:jc w:val="center"/>
              <w:textAlignment w:val="baseline"/>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151</w:t>
            </w:r>
          </w:p>
        </w:tc>
        <w:tc>
          <w:tcPr>
            <w:tcW w:w="893" w:type="pct"/>
            <w:vAlign w:val="center"/>
          </w:tcPr>
          <w:p w14:paraId="36C85E24">
            <w:pPr>
              <w:adjustRightInd w:val="0"/>
              <w:snapToGrid w:val="0"/>
              <w:spacing w:line="30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μg/kg</w:t>
            </w:r>
          </w:p>
        </w:tc>
        <w:tc>
          <w:tcPr>
            <w:tcW w:w="569" w:type="pct"/>
          </w:tcPr>
          <w:p w14:paraId="3FD0624C">
            <w:pPr>
              <w:adjustRightInd w:val="0"/>
              <w:snapToGrid w:val="0"/>
              <w:spacing w:line="30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0</w:t>
            </w:r>
            <w:r>
              <w:rPr>
                <w:rFonts w:ascii="宋体" w:hAnsi="宋体" w:cs="宋体"/>
                <w:color w:val="000000" w:themeColor="text1"/>
                <w:szCs w:val="21"/>
                <w14:textFill>
                  <w14:solidFill>
                    <w14:schemeClr w14:val="tx1"/>
                  </w14:solidFill>
                </w14:textFill>
              </w:rPr>
              <w:t>.1L</w:t>
            </w:r>
          </w:p>
        </w:tc>
        <w:tc>
          <w:tcPr>
            <w:tcW w:w="649" w:type="pct"/>
          </w:tcPr>
          <w:p w14:paraId="3857C192">
            <w:pPr>
              <w:adjustRightInd w:val="0"/>
              <w:snapToGrid w:val="0"/>
              <w:spacing w:line="30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w:t>
            </w:r>
          </w:p>
        </w:tc>
        <w:tc>
          <w:tcPr>
            <w:tcW w:w="697" w:type="pct"/>
            <w:vAlign w:val="center"/>
          </w:tcPr>
          <w:p w14:paraId="19A9CE37">
            <w:pPr>
              <w:adjustRightInd w:val="0"/>
              <w:snapToGrid w:val="0"/>
              <w:spacing w:line="30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达标</w:t>
            </w:r>
          </w:p>
        </w:tc>
      </w:tr>
      <w:tr w14:paraId="44E34C3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66" w:type="pct"/>
            <w:vAlign w:val="center"/>
          </w:tcPr>
          <w:p w14:paraId="44F3CDA3">
            <w:pPr>
              <w:adjustRightInd w:val="0"/>
              <w:snapToGrid w:val="0"/>
              <w:spacing w:line="300" w:lineRule="exact"/>
              <w:jc w:val="center"/>
              <w:textAlignment w:val="baseline"/>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35</w:t>
            </w:r>
          </w:p>
        </w:tc>
        <w:tc>
          <w:tcPr>
            <w:tcW w:w="1177" w:type="pct"/>
            <w:vAlign w:val="center"/>
          </w:tcPr>
          <w:p w14:paraId="5824D0D6">
            <w:pPr>
              <w:adjustRightInd w:val="0"/>
              <w:snapToGrid w:val="0"/>
              <w:spacing w:line="300" w:lineRule="exact"/>
              <w:jc w:val="center"/>
              <w:textAlignment w:val="baseline"/>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䓛</w:t>
            </w:r>
          </w:p>
        </w:tc>
        <w:tc>
          <w:tcPr>
            <w:tcW w:w="649" w:type="pct"/>
            <w:vAlign w:val="center"/>
          </w:tcPr>
          <w:p w14:paraId="176C8DCB">
            <w:pPr>
              <w:adjustRightInd w:val="0"/>
              <w:snapToGrid w:val="0"/>
              <w:spacing w:line="300" w:lineRule="exact"/>
              <w:jc w:val="center"/>
              <w:textAlignment w:val="baseline"/>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1293</w:t>
            </w:r>
          </w:p>
        </w:tc>
        <w:tc>
          <w:tcPr>
            <w:tcW w:w="893" w:type="pct"/>
            <w:vAlign w:val="center"/>
          </w:tcPr>
          <w:p w14:paraId="3A885560">
            <w:pPr>
              <w:adjustRightInd w:val="0"/>
              <w:snapToGrid w:val="0"/>
              <w:spacing w:line="30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μg/kg</w:t>
            </w:r>
          </w:p>
        </w:tc>
        <w:tc>
          <w:tcPr>
            <w:tcW w:w="569" w:type="pct"/>
          </w:tcPr>
          <w:p w14:paraId="1B40194C">
            <w:pPr>
              <w:adjustRightInd w:val="0"/>
              <w:snapToGrid w:val="0"/>
              <w:spacing w:line="30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0</w:t>
            </w:r>
            <w:r>
              <w:rPr>
                <w:rFonts w:ascii="宋体" w:hAnsi="宋体" w:cs="宋体"/>
                <w:color w:val="000000" w:themeColor="text1"/>
                <w:szCs w:val="21"/>
                <w14:textFill>
                  <w14:solidFill>
                    <w14:schemeClr w14:val="tx1"/>
                  </w14:solidFill>
                </w14:textFill>
              </w:rPr>
              <w:t>.1L</w:t>
            </w:r>
          </w:p>
        </w:tc>
        <w:tc>
          <w:tcPr>
            <w:tcW w:w="649" w:type="pct"/>
          </w:tcPr>
          <w:p w14:paraId="05172EC9">
            <w:pPr>
              <w:adjustRightInd w:val="0"/>
              <w:snapToGrid w:val="0"/>
              <w:spacing w:line="30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w:t>
            </w:r>
          </w:p>
        </w:tc>
        <w:tc>
          <w:tcPr>
            <w:tcW w:w="697" w:type="pct"/>
            <w:vAlign w:val="center"/>
          </w:tcPr>
          <w:p w14:paraId="656A9502">
            <w:pPr>
              <w:adjustRightInd w:val="0"/>
              <w:snapToGrid w:val="0"/>
              <w:spacing w:line="30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达标</w:t>
            </w:r>
          </w:p>
        </w:tc>
      </w:tr>
      <w:tr w14:paraId="5C45C61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66" w:type="pct"/>
            <w:vAlign w:val="center"/>
          </w:tcPr>
          <w:p w14:paraId="5EEF8F54">
            <w:pPr>
              <w:adjustRightInd w:val="0"/>
              <w:snapToGrid w:val="0"/>
              <w:spacing w:line="300" w:lineRule="exact"/>
              <w:jc w:val="center"/>
              <w:textAlignment w:val="baseline"/>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36</w:t>
            </w:r>
          </w:p>
        </w:tc>
        <w:tc>
          <w:tcPr>
            <w:tcW w:w="1177" w:type="pct"/>
            <w:vAlign w:val="center"/>
          </w:tcPr>
          <w:p w14:paraId="275A6FF2">
            <w:pPr>
              <w:adjustRightInd w:val="0"/>
              <w:snapToGrid w:val="0"/>
              <w:spacing w:line="300" w:lineRule="exact"/>
              <w:jc w:val="center"/>
              <w:textAlignment w:val="baseline"/>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二苯并[a,h]蒽</w:t>
            </w:r>
          </w:p>
        </w:tc>
        <w:tc>
          <w:tcPr>
            <w:tcW w:w="649" w:type="pct"/>
            <w:vAlign w:val="center"/>
          </w:tcPr>
          <w:p w14:paraId="53855601">
            <w:pPr>
              <w:adjustRightInd w:val="0"/>
              <w:snapToGrid w:val="0"/>
              <w:spacing w:line="300" w:lineRule="exact"/>
              <w:jc w:val="center"/>
              <w:textAlignment w:val="baseline"/>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1.5</w:t>
            </w:r>
          </w:p>
        </w:tc>
        <w:tc>
          <w:tcPr>
            <w:tcW w:w="893" w:type="pct"/>
            <w:vAlign w:val="center"/>
          </w:tcPr>
          <w:p w14:paraId="3D413BF4">
            <w:pPr>
              <w:adjustRightInd w:val="0"/>
              <w:snapToGrid w:val="0"/>
              <w:spacing w:line="30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μg/kg</w:t>
            </w:r>
          </w:p>
        </w:tc>
        <w:tc>
          <w:tcPr>
            <w:tcW w:w="569" w:type="pct"/>
          </w:tcPr>
          <w:p w14:paraId="0AA5E672">
            <w:pPr>
              <w:adjustRightInd w:val="0"/>
              <w:snapToGrid w:val="0"/>
              <w:spacing w:line="30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0</w:t>
            </w:r>
            <w:r>
              <w:rPr>
                <w:rFonts w:ascii="宋体" w:hAnsi="宋体" w:cs="宋体"/>
                <w:color w:val="000000" w:themeColor="text1"/>
                <w:szCs w:val="21"/>
                <w14:textFill>
                  <w14:solidFill>
                    <w14:schemeClr w14:val="tx1"/>
                  </w14:solidFill>
                </w14:textFill>
              </w:rPr>
              <w:t>.1L</w:t>
            </w:r>
          </w:p>
        </w:tc>
        <w:tc>
          <w:tcPr>
            <w:tcW w:w="649" w:type="pct"/>
          </w:tcPr>
          <w:p w14:paraId="19865EFC">
            <w:pPr>
              <w:adjustRightInd w:val="0"/>
              <w:snapToGrid w:val="0"/>
              <w:spacing w:line="30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w:t>
            </w:r>
          </w:p>
        </w:tc>
        <w:tc>
          <w:tcPr>
            <w:tcW w:w="697" w:type="pct"/>
            <w:vAlign w:val="center"/>
          </w:tcPr>
          <w:p w14:paraId="52F6AC88">
            <w:pPr>
              <w:adjustRightInd w:val="0"/>
              <w:snapToGrid w:val="0"/>
              <w:spacing w:line="30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达标</w:t>
            </w:r>
          </w:p>
        </w:tc>
      </w:tr>
      <w:tr w14:paraId="454AE12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66" w:type="pct"/>
            <w:vAlign w:val="center"/>
          </w:tcPr>
          <w:p w14:paraId="7BCCE3F3">
            <w:pPr>
              <w:adjustRightInd w:val="0"/>
              <w:snapToGrid w:val="0"/>
              <w:spacing w:line="300" w:lineRule="exact"/>
              <w:jc w:val="center"/>
              <w:textAlignment w:val="baseline"/>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37</w:t>
            </w:r>
          </w:p>
        </w:tc>
        <w:tc>
          <w:tcPr>
            <w:tcW w:w="1177" w:type="pct"/>
            <w:vAlign w:val="center"/>
          </w:tcPr>
          <w:p w14:paraId="7E51D6B0">
            <w:pPr>
              <w:adjustRightInd w:val="0"/>
              <w:snapToGrid w:val="0"/>
              <w:spacing w:line="300" w:lineRule="exact"/>
              <w:jc w:val="center"/>
              <w:textAlignment w:val="baseline"/>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茚并[1,2,3-cd]芘</w:t>
            </w:r>
          </w:p>
        </w:tc>
        <w:tc>
          <w:tcPr>
            <w:tcW w:w="649" w:type="pct"/>
            <w:vAlign w:val="center"/>
          </w:tcPr>
          <w:p w14:paraId="24A6100E">
            <w:pPr>
              <w:adjustRightInd w:val="0"/>
              <w:snapToGrid w:val="0"/>
              <w:spacing w:line="300" w:lineRule="exact"/>
              <w:jc w:val="center"/>
              <w:textAlignment w:val="baseline"/>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15</w:t>
            </w:r>
          </w:p>
        </w:tc>
        <w:tc>
          <w:tcPr>
            <w:tcW w:w="893" w:type="pct"/>
            <w:vAlign w:val="center"/>
          </w:tcPr>
          <w:p w14:paraId="11C2B524">
            <w:pPr>
              <w:adjustRightInd w:val="0"/>
              <w:snapToGrid w:val="0"/>
              <w:spacing w:line="30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μg/kg</w:t>
            </w:r>
          </w:p>
        </w:tc>
        <w:tc>
          <w:tcPr>
            <w:tcW w:w="569" w:type="pct"/>
          </w:tcPr>
          <w:p w14:paraId="75ABE790">
            <w:pPr>
              <w:adjustRightInd w:val="0"/>
              <w:snapToGrid w:val="0"/>
              <w:spacing w:line="30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0</w:t>
            </w:r>
            <w:r>
              <w:rPr>
                <w:rFonts w:ascii="宋体" w:hAnsi="宋体" w:cs="宋体"/>
                <w:color w:val="000000" w:themeColor="text1"/>
                <w:szCs w:val="21"/>
                <w14:textFill>
                  <w14:solidFill>
                    <w14:schemeClr w14:val="tx1"/>
                  </w14:solidFill>
                </w14:textFill>
              </w:rPr>
              <w:t>.1L</w:t>
            </w:r>
          </w:p>
        </w:tc>
        <w:tc>
          <w:tcPr>
            <w:tcW w:w="649" w:type="pct"/>
          </w:tcPr>
          <w:p w14:paraId="5EDF7613">
            <w:pPr>
              <w:adjustRightInd w:val="0"/>
              <w:snapToGrid w:val="0"/>
              <w:spacing w:line="30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w:t>
            </w:r>
          </w:p>
        </w:tc>
        <w:tc>
          <w:tcPr>
            <w:tcW w:w="697" w:type="pct"/>
            <w:vAlign w:val="center"/>
          </w:tcPr>
          <w:p w14:paraId="3DC18CFF">
            <w:pPr>
              <w:adjustRightInd w:val="0"/>
              <w:snapToGrid w:val="0"/>
              <w:spacing w:line="30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达标</w:t>
            </w:r>
          </w:p>
        </w:tc>
      </w:tr>
      <w:tr w14:paraId="574EE1A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66" w:type="pct"/>
            <w:vAlign w:val="center"/>
          </w:tcPr>
          <w:p w14:paraId="64ACC985">
            <w:pPr>
              <w:adjustRightInd w:val="0"/>
              <w:snapToGrid w:val="0"/>
              <w:spacing w:line="300" w:lineRule="exact"/>
              <w:jc w:val="center"/>
              <w:textAlignment w:val="baseline"/>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38</w:t>
            </w:r>
          </w:p>
        </w:tc>
        <w:tc>
          <w:tcPr>
            <w:tcW w:w="1177" w:type="pct"/>
            <w:vAlign w:val="center"/>
          </w:tcPr>
          <w:p w14:paraId="53BBD52C">
            <w:pPr>
              <w:adjustRightInd w:val="0"/>
              <w:snapToGrid w:val="0"/>
              <w:spacing w:line="300" w:lineRule="exact"/>
              <w:jc w:val="center"/>
              <w:textAlignment w:val="baseline"/>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萘</w:t>
            </w:r>
          </w:p>
        </w:tc>
        <w:tc>
          <w:tcPr>
            <w:tcW w:w="649" w:type="pct"/>
            <w:vAlign w:val="center"/>
          </w:tcPr>
          <w:p w14:paraId="67EDDB5D">
            <w:pPr>
              <w:adjustRightInd w:val="0"/>
              <w:snapToGrid w:val="0"/>
              <w:spacing w:line="300" w:lineRule="exact"/>
              <w:jc w:val="center"/>
              <w:textAlignment w:val="baseline"/>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70</w:t>
            </w:r>
          </w:p>
        </w:tc>
        <w:tc>
          <w:tcPr>
            <w:tcW w:w="893" w:type="pct"/>
            <w:vAlign w:val="center"/>
          </w:tcPr>
          <w:p w14:paraId="2B056B95">
            <w:pPr>
              <w:adjustRightInd w:val="0"/>
              <w:snapToGrid w:val="0"/>
              <w:spacing w:line="30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μg/kg</w:t>
            </w:r>
          </w:p>
        </w:tc>
        <w:tc>
          <w:tcPr>
            <w:tcW w:w="569" w:type="pct"/>
          </w:tcPr>
          <w:p w14:paraId="09FD0315">
            <w:pPr>
              <w:adjustRightInd w:val="0"/>
              <w:snapToGrid w:val="0"/>
              <w:spacing w:line="30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0</w:t>
            </w:r>
            <w:r>
              <w:rPr>
                <w:rFonts w:ascii="宋体" w:hAnsi="宋体" w:cs="宋体"/>
                <w:color w:val="000000" w:themeColor="text1"/>
                <w:szCs w:val="21"/>
                <w14:textFill>
                  <w14:solidFill>
                    <w14:schemeClr w14:val="tx1"/>
                  </w14:solidFill>
                </w14:textFill>
              </w:rPr>
              <w:t>.09L</w:t>
            </w:r>
          </w:p>
        </w:tc>
        <w:tc>
          <w:tcPr>
            <w:tcW w:w="649" w:type="pct"/>
          </w:tcPr>
          <w:p w14:paraId="4A6BE8D6">
            <w:pPr>
              <w:adjustRightInd w:val="0"/>
              <w:snapToGrid w:val="0"/>
              <w:spacing w:line="30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w:t>
            </w:r>
          </w:p>
        </w:tc>
        <w:tc>
          <w:tcPr>
            <w:tcW w:w="697" w:type="pct"/>
            <w:vAlign w:val="center"/>
          </w:tcPr>
          <w:p w14:paraId="28D03A07">
            <w:pPr>
              <w:adjustRightInd w:val="0"/>
              <w:snapToGrid w:val="0"/>
              <w:spacing w:line="30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达标</w:t>
            </w:r>
          </w:p>
        </w:tc>
      </w:tr>
    </w:tbl>
    <w:p w14:paraId="0834A076">
      <w:pPr>
        <w:ind w:firstLine="197" w:firstLineChars="94"/>
        <w:jc w:val="center"/>
        <w:rPr>
          <w:rFonts w:hint="eastAsia" w:ascii="黑体" w:hAnsi="黑体" w:eastAsia="黑体"/>
          <w:bCs/>
          <w:color w:val="000000" w:themeColor="text1"/>
          <w:szCs w:val="21"/>
          <w14:textFill>
            <w14:solidFill>
              <w14:schemeClr w14:val="tx1"/>
            </w14:solidFill>
          </w14:textFill>
        </w:rPr>
      </w:pPr>
    </w:p>
    <w:p w14:paraId="65FC96F2">
      <w:pPr>
        <w:ind w:firstLine="197" w:firstLineChars="94"/>
        <w:jc w:val="center"/>
        <w:rPr>
          <w:rFonts w:hint="eastAsia" w:ascii="黑体" w:hAnsi="黑体" w:eastAsia="黑体"/>
          <w:bCs/>
          <w:color w:val="000000" w:themeColor="text1"/>
          <w:szCs w:val="21"/>
          <w14:textFill>
            <w14:solidFill>
              <w14:schemeClr w14:val="tx1"/>
            </w14:solidFill>
          </w14:textFill>
        </w:rPr>
        <w:sectPr>
          <w:pgSz w:w="11906" w:h="16838"/>
          <w:pgMar w:top="1418" w:right="1588" w:bottom="1418" w:left="1588" w:header="1020" w:footer="1020" w:gutter="0"/>
          <w:cols w:space="720" w:num="1"/>
          <w:docGrid w:type="lines" w:linePitch="312" w:charSpace="0"/>
        </w:sectPr>
      </w:pPr>
    </w:p>
    <w:p w14:paraId="2637B814">
      <w:pPr>
        <w:ind w:firstLine="197" w:firstLineChars="94"/>
        <w:jc w:val="center"/>
        <w:rPr>
          <w:rFonts w:hint="eastAsia" w:ascii="黑体" w:hAnsi="黑体" w:eastAsia="黑体"/>
          <w:bCs/>
          <w:color w:val="000000" w:themeColor="text1"/>
          <w:szCs w:val="21"/>
          <w14:textFill>
            <w14:solidFill>
              <w14:schemeClr w14:val="tx1"/>
            </w14:solidFill>
          </w14:textFill>
        </w:rPr>
      </w:pPr>
      <w:r>
        <w:rPr>
          <w:rFonts w:hint="eastAsia" w:ascii="黑体" w:hAnsi="黑体" w:eastAsia="黑体"/>
          <w:bCs/>
          <w:color w:val="000000" w:themeColor="text1"/>
          <w:szCs w:val="21"/>
          <w14:textFill>
            <w14:solidFill>
              <w14:schemeClr w14:val="tx1"/>
            </w14:solidFill>
          </w14:textFill>
        </w:rPr>
        <w:t>表</w:t>
      </w:r>
      <w:r>
        <w:rPr>
          <w:rFonts w:ascii="黑体" w:hAnsi="黑体" w:eastAsia="黑体"/>
          <w:bCs/>
          <w:color w:val="000000" w:themeColor="text1"/>
          <w:szCs w:val="21"/>
          <w14:textFill>
            <w14:solidFill>
              <w14:schemeClr w14:val="tx1"/>
            </w14:solidFill>
          </w14:textFill>
        </w:rPr>
        <w:t>4.3</w:t>
      </w:r>
      <w:r>
        <w:rPr>
          <w:rFonts w:hint="eastAsia" w:ascii="黑体" w:hAnsi="黑体" w:eastAsia="黑体"/>
          <w:bCs/>
          <w:color w:val="000000" w:themeColor="text1"/>
          <w:szCs w:val="21"/>
          <w14:textFill>
            <w14:solidFill>
              <w14:schemeClr w14:val="tx1"/>
            </w14:solidFill>
          </w14:textFill>
        </w:rPr>
        <w:t>-</w:t>
      </w:r>
      <w:r>
        <w:rPr>
          <w:rFonts w:ascii="黑体" w:hAnsi="黑体" w:eastAsia="黑体"/>
          <w:bCs/>
          <w:color w:val="000000" w:themeColor="text1"/>
          <w:szCs w:val="21"/>
          <w14:textFill>
            <w14:solidFill>
              <w14:schemeClr w14:val="tx1"/>
            </w14:solidFill>
          </w14:textFill>
        </w:rPr>
        <w:t>1</w:t>
      </w:r>
      <w:r>
        <w:rPr>
          <w:rFonts w:hint="eastAsia" w:ascii="黑体" w:hAnsi="黑体" w:eastAsia="黑体"/>
          <w:bCs/>
          <w:color w:val="000000" w:themeColor="text1"/>
          <w:szCs w:val="21"/>
          <w14:textFill>
            <w14:solidFill>
              <w14:schemeClr w14:val="tx1"/>
            </w14:solidFill>
          </w14:textFill>
        </w:rPr>
        <w:t>4</w:t>
      </w:r>
      <w:r>
        <w:rPr>
          <w:rFonts w:ascii="黑体" w:hAnsi="黑体" w:eastAsia="黑体"/>
          <w:bCs/>
          <w:color w:val="000000" w:themeColor="text1"/>
          <w:szCs w:val="21"/>
          <w14:textFill>
            <w14:solidFill>
              <w14:schemeClr w14:val="tx1"/>
            </w14:solidFill>
          </w14:textFill>
        </w:rPr>
        <w:t xml:space="preserve">  </w:t>
      </w:r>
      <w:r>
        <w:rPr>
          <w:rFonts w:hint="eastAsia" w:ascii="黑体" w:hAnsi="黑体" w:eastAsia="黑体"/>
          <w:bCs/>
          <w:color w:val="000000" w:themeColor="text1"/>
          <w:szCs w:val="21"/>
          <w14:textFill>
            <w14:solidFill>
              <w14:schemeClr w14:val="tx1"/>
            </w14:solidFill>
          </w14:textFill>
        </w:rPr>
        <w:t>占地范围内</w:t>
      </w:r>
      <w:r>
        <w:rPr>
          <w:rFonts w:ascii="黑体" w:hAnsi="黑体" w:eastAsia="黑体"/>
          <w:bCs/>
          <w:color w:val="000000" w:themeColor="text1"/>
          <w:szCs w:val="21"/>
          <w14:textFill>
            <w14:solidFill>
              <w14:schemeClr w14:val="tx1"/>
            </w14:solidFill>
          </w14:textFill>
        </w:rPr>
        <w:t>监测结果及评价结果一览表</w:t>
      </w:r>
    </w:p>
    <w:tbl>
      <w:tblPr>
        <w:tblStyle w:val="51"/>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37"/>
        <w:gridCol w:w="1796"/>
        <w:gridCol w:w="1161"/>
        <w:gridCol w:w="863"/>
        <w:gridCol w:w="863"/>
        <w:gridCol w:w="1151"/>
        <w:gridCol w:w="1156"/>
        <w:gridCol w:w="878"/>
        <w:gridCol w:w="1148"/>
        <w:gridCol w:w="1148"/>
        <w:gridCol w:w="862"/>
        <w:gridCol w:w="1149"/>
        <w:gridCol w:w="1106"/>
      </w:tblGrid>
      <w:tr w14:paraId="60B2E06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30" w:type="pct"/>
            <w:vMerge w:val="restart"/>
            <w:shd w:val="clear" w:color="auto" w:fill="auto"/>
            <w:vAlign w:val="center"/>
          </w:tcPr>
          <w:p w14:paraId="429D9BE6">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序号</w:t>
            </w:r>
          </w:p>
        </w:tc>
        <w:tc>
          <w:tcPr>
            <w:tcW w:w="632" w:type="pct"/>
            <w:vMerge w:val="restart"/>
            <w:shd w:val="clear" w:color="auto" w:fill="auto"/>
            <w:vAlign w:val="center"/>
          </w:tcPr>
          <w:p w14:paraId="3372AF15">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名称</w:t>
            </w:r>
          </w:p>
        </w:tc>
        <w:tc>
          <w:tcPr>
            <w:tcW w:w="405" w:type="pct"/>
            <w:vMerge w:val="restart"/>
            <w:shd w:val="clear" w:color="auto" w:fill="auto"/>
            <w:vAlign w:val="center"/>
          </w:tcPr>
          <w:p w14:paraId="51B37B04">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标准限值（mg/kg）</w:t>
            </w:r>
          </w:p>
        </w:tc>
        <w:tc>
          <w:tcPr>
            <w:tcW w:w="304" w:type="pct"/>
            <w:vMerge w:val="restart"/>
            <w:shd w:val="clear" w:color="auto" w:fill="auto"/>
            <w:vAlign w:val="center"/>
          </w:tcPr>
          <w:p w14:paraId="6D831FBE">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监测值单位</w:t>
            </w:r>
          </w:p>
        </w:tc>
        <w:tc>
          <w:tcPr>
            <w:tcW w:w="1116" w:type="pct"/>
            <w:gridSpan w:val="3"/>
            <w:shd w:val="clear" w:color="auto" w:fill="auto"/>
            <w:vAlign w:val="center"/>
          </w:tcPr>
          <w:p w14:paraId="5A65AD50">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0m～0.5m</w:t>
            </w:r>
          </w:p>
        </w:tc>
        <w:tc>
          <w:tcPr>
            <w:tcW w:w="1117" w:type="pct"/>
            <w:gridSpan w:val="3"/>
            <w:shd w:val="clear" w:color="auto" w:fill="auto"/>
            <w:vAlign w:val="center"/>
          </w:tcPr>
          <w:p w14:paraId="09B6C87B">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0.5m～1.5m</w:t>
            </w:r>
          </w:p>
        </w:tc>
        <w:tc>
          <w:tcPr>
            <w:tcW w:w="1097" w:type="pct"/>
            <w:gridSpan w:val="3"/>
            <w:shd w:val="clear" w:color="auto" w:fill="auto"/>
            <w:vAlign w:val="center"/>
          </w:tcPr>
          <w:p w14:paraId="4435D82C">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1.5m～3m</w:t>
            </w:r>
          </w:p>
        </w:tc>
      </w:tr>
      <w:tr w14:paraId="423D699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30" w:type="pct"/>
            <w:vMerge w:val="continue"/>
            <w:vAlign w:val="center"/>
          </w:tcPr>
          <w:p w14:paraId="4956E59E">
            <w:pPr>
              <w:widowControl/>
              <w:jc w:val="center"/>
              <w:rPr>
                <w:rFonts w:hint="eastAsia" w:ascii="宋体" w:hAnsi="宋体" w:cs="宋体"/>
                <w:color w:val="000000" w:themeColor="text1"/>
                <w:kern w:val="0"/>
                <w:szCs w:val="21"/>
                <w14:textFill>
                  <w14:solidFill>
                    <w14:schemeClr w14:val="tx1"/>
                  </w14:solidFill>
                </w14:textFill>
              </w:rPr>
            </w:pPr>
          </w:p>
        </w:tc>
        <w:tc>
          <w:tcPr>
            <w:tcW w:w="632" w:type="pct"/>
            <w:vMerge w:val="continue"/>
            <w:vAlign w:val="center"/>
          </w:tcPr>
          <w:p w14:paraId="25B3CC52">
            <w:pPr>
              <w:widowControl/>
              <w:jc w:val="center"/>
              <w:rPr>
                <w:rFonts w:hint="eastAsia" w:ascii="宋体" w:hAnsi="宋体" w:cs="宋体"/>
                <w:color w:val="000000" w:themeColor="text1"/>
                <w:kern w:val="0"/>
                <w:szCs w:val="21"/>
                <w14:textFill>
                  <w14:solidFill>
                    <w14:schemeClr w14:val="tx1"/>
                  </w14:solidFill>
                </w14:textFill>
              </w:rPr>
            </w:pPr>
          </w:p>
        </w:tc>
        <w:tc>
          <w:tcPr>
            <w:tcW w:w="405" w:type="pct"/>
            <w:vMerge w:val="continue"/>
            <w:vAlign w:val="center"/>
          </w:tcPr>
          <w:p w14:paraId="7DB22B2B">
            <w:pPr>
              <w:widowControl/>
              <w:jc w:val="center"/>
              <w:rPr>
                <w:rFonts w:hint="eastAsia" w:ascii="宋体" w:hAnsi="宋体" w:cs="宋体"/>
                <w:color w:val="000000" w:themeColor="text1"/>
                <w:kern w:val="0"/>
                <w:szCs w:val="21"/>
                <w14:textFill>
                  <w14:solidFill>
                    <w14:schemeClr w14:val="tx1"/>
                  </w14:solidFill>
                </w14:textFill>
              </w:rPr>
            </w:pPr>
          </w:p>
        </w:tc>
        <w:tc>
          <w:tcPr>
            <w:tcW w:w="304" w:type="pct"/>
            <w:vMerge w:val="continue"/>
            <w:vAlign w:val="center"/>
          </w:tcPr>
          <w:p w14:paraId="372F1878">
            <w:pPr>
              <w:widowControl/>
              <w:jc w:val="center"/>
              <w:rPr>
                <w:rFonts w:hint="eastAsia" w:ascii="宋体" w:hAnsi="宋体" w:cs="宋体"/>
                <w:color w:val="000000" w:themeColor="text1"/>
                <w:kern w:val="0"/>
                <w:szCs w:val="21"/>
                <w14:textFill>
                  <w14:solidFill>
                    <w14:schemeClr w14:val="tx1"/>
                  </w14:solidFill>
                </w14:textFill>
              </w:rPr>
            </w:pPr>
          </w:p>
        </w:tc>
        <w:tc>
          <w:tcPr>
            <w:tcW w:w="304" w:type="pct"/>
            <w:shd w:val="clear" w:color="auto" w:fill="auto"/>
            <w:vAlign w:val="center"/>
          </w:tcPr>
          <w:p w14:paraId="24CA7336">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监测值</w:t>
            </w:r>
          </w:p>
        </w:tc>
        <w:tc>
          <w:tcPr>
            <w:tcW w:w="405" w:type="pct"/>
            <w:shd w:val="clear" w:color="auto" w:fill="auto"/>
            <w:vAlign w:val="center"/>
          </w:tcPr>
          <w:p w14:paraId="05B29A44">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标准指数</w:t>
            </w:r>
          </w:p>
        </w:tc>
        <w:tc>
          <w:tcPr>
            <w:tcW w:w="407" w:type="pct"/>
            <w:shd w:val="clear" w:color="auto" w:fill="auto"/>
            <w:vAlign w:val="center"/>
          </w:tcPr>
          <w:p w14:paraId="2FD4C64C">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达标情况</w:t>
            </w:r>
          </w:p>
        </w:tc>
        <w:tc>
          <w:tcPr>
            <w:tcW w:w="309" w:type="pct"/>
            <w:shd w:val="clear" w:color="auto" w:fill="auto"/>
            <w:vAlign w:val="center"/>
          </w:tcPr>
          <w:p w14:paraId="10C80FCE">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监测值</w:t>
            </w:r>
          </w:p>
        </w:tc>
        <w:tc>
          <w:tcPr>
            <w:tcW w:w="404" w:type="pct"/>
            <w:shd w:val="clear" w:color="auto" w:fill="auto"/>
            <w:vAlign w:val="center"/>
          </w:tcPr>
          <w:p w14:paraId="6612FC2B">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标准指数</w:t>
            </w:r>
          </w:p>
        </w:tc>
        <w:tc>
          <w:tcPr>
            <w:tcW w:w="404" w:type="pct"/>
            <w:shd w:val="clear" w:color="auto" w:fill="auto"/>
            <w:vAlign w:val="center"/>
          </w:tcPr>
          <w:p w14:paraId="0160EF84">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达标情况</w:t>
            </w:r>
          </w:p>
        </w:tc>
        <w:tc>
          <w:tcPr>
            <w:tcW w:w="303" w:type="pct"/>
            <w:shd w:val="clear" w:color="auto" w:fill="auto"/>
            <w:vAlign w:val="center"/>
          </w:tcPr>
          <w:p w14:paraId="7ED15206">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监测值</w:t>
            </w:r>
          </w:p>
        </w:tc>
        <w:tc>
          <w:tcPr>
            <w:tcW w:w="404" w:type="pct"/>
            <w:shd w:val="clear" w:color="auto" w:fill="auto"/>
            <w:vAlign w:val="center"/>
          </w:tcPr>
          <w:p w14:paraId="3F449D6D">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标准指数</w:t>
            </w:r>
          </w:p>
        </w:tc>
        <w:tc>
          <w:tcPr>
            <w:tcW w:w="390" w:type="pct"/>
            <w:shd w:val="clear" w:color="auto" w:fill="auto"/>
            <w:vAlign w:val="center"/>
          </w:tcPr>
          <w:p w14:paraId="46583D88">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达标情况</w:t>
            </w:r>
          </w:p>
        </w:tc>
      </w:tr>
      <w:tr w14:paraId="4693239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000" w:type="pct"/>
            <w:gridSpan w:val="13"/>
            <w:shd w:val="clear" w:color="auto" w:fill="auto"/>
            <w:vAlign w:val="center"/>
          </w:tcPr>
          <w:p w14:paraId="4907AD60">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T1</w:t>
            </w:r>
          </w:p>
        </w:tc>
      </w:tr>
      <w:tr w14:paraId="3266C1F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30" w:type="pct"/>
            <w:shd w:val="clear" w:color="auto" w:fill="auto"/>
            <w:vAlign w:val="center"/>
          </w:tcPr>
          <w:p w14:paraId="15C8A73B">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1</w:t>
            </w:r>
          </w:p>
        </w:tc>
        <w:tc>
          <w:tcPr>
            <w:tcW w:w="632" w:type="pct"/>
            <w:shd w:val="clear" w:color="auto" w:fill="auto"/>
            <w:vAlign w:val="center"/>
          </w:tcPr>
          <w:p w14:paraId="4DC43A54">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汞</w:t>
            </w:r>
          </w:p>
        </w:tc>
        <w:tc>
          <w:tcPr>
            <w:tcW w:w="405" w:type="pct"/>
            <w:shd w:val="clear" w:color="auto" w:fill="auto"/>
            <w:vAlign w:val="center"/>
          </w:tcPr>
          <w:p w14:paraId="7BFE95AF">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38</w:t>
            </w:r>
          </w:p>
        </w:tc>
        <w:tc>
          <w:tcPr>
            <w:tcW w:w="304" w:type="pct"/>
            <w:shd w:val="clear" w:color="auto" w:fill="auto"/>
            <w:vAlign w:val="center"/>
          </w:tcPr>
          <w:p w14:paraId="70C14D5D">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mg/kg</w:t>
            </w:r>
          </w:p>
        </w:tc>
        <w:tc>
          <w:tcPr>
            <w:tcW w:w="304" w:type="pct"/>
            <w:shd w:val="clear" w:color="auto" w:fill="auto"/>
            <w:vAlign w:val="center"/>
          </w:tcPr>
          <w:p w14:paraId="42C1CD1D">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0.04</w:t>
            </w:r>
          </w:p>
        </w:tc>
        <w:tc>
          <w:tcPr>
            <w:tcW w:w="405" w:type="pct"/>
            <w:shd w:val="clear" w:color="auto" w:fill="auto"/>
            <w:vAlign w:val="center"/>
          </w:tcPr>
          <w:p w14:paraId="1FE6B3C5">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0.0011</w:t>
            </w:r>
          </w:p>
        </w:tc>
        <w:tc>
          <w:tcPr>
            <w:tcW w:w="407" w:type="pct"/>
            <w:shd w:val="clear" w:color="auto" w:fill="auto"/>
            <w:vAlign w:val="center"/>
          </w:tcPr>
          <w:p w14:paraId="708B450F">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达标</w:t>
            </w:r>
          </w:p>
        </w:tc>
        <w:tc>
          <w:tcPr>
            <w:tcW w:w="309" w:type="pct"/>
            <w:shd w:val="clear" w:color="auto" w:fill="auto"/>
            <w:vAlign w:val="center"/>
          </w:tcPr>
          <w:p w14:paraId="29E54F01">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0.039</w:t>
            </w:r>
          </w:p>
        </w:tc>
        <w:tc>
          <w:tcPr>
            <w:tcW w:w="404" w:type="pct"/>
            <w:shd w:val="clear" w:color="auto" w:fill="auto"/>
            <w:vAlign w:val="center"/>
          </w:tcPr>
          <w:p w14:paraId="5D14AB42">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0.0010</w:t>
            </w:r>
          </w:p>
        </w:tc>
        <w:tc>
          <w:tcPr>
            <w:tcW w:w="404" w:type="pct"/>
            <w:shd w:val="clear" w:color="auto" w:fill="auto"/>
            <w:vAlign w:val="center"/>
          </w:tcPr>
          <w:p w14:paraId="7CFAF145">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达标</w:t>
            </w:r>
          </w:p>
        </w:tc>
        <w:tc>
          <w:tcPr>
            <w:tcW w:w="303" w:type="pct"/>
            <w:shd w:val="clear" w:color="auto" w:fill="auto"/>
            <w:vAlign w:val="center"/>
          </w:tcPr>
          <w:p w14:paraId="4206CC4B">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0.04</w:t>
            </w:r>
          </w:p>
        </w:tc>
        <w:tc>
          <w:tcPr>
            <w:tcW w:w="404" w:type="pct"/>
            <w:shd w:val="clear" w:color="auto" w:fill="auto"/>
            <w:vAlign w:val="center"/>
          </w:tcPr>
          <w:p w14:paraId="19D82633">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0.0011</w:t>
            </w:r>
          </w:p>
        </w:tc>
        <w:tc>
          <w:tcPr>
            <w:tcW w:w="390" w:type="pct"/>
            <w:shd w:val="clear" w:color="auto" w:fill="auto"/>
            <w:vAlign w:val="center"/>
          </w:tcPr>
          <w:p w14:paraId="143E3AE9">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达标</w:t>
            </w:r>
          </w:p>
        </w:tc>
      </w:tr>
      <w:tr w14:paraId="44F7F77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30" w:type="pct"/>
            <w:shd w:val="clear" w:color="auto" w:fill="auto"/>
            <w:vAlign w:val="center"/>
          </w:tcPr>
          <w:p w14:paraId="2B2B8828">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2</w:t>
            </w:r>
          </w:p>
        </w:tc>
        <w:tc>
          <w:tcPr>
            <w:tcW w:w="632" w:type="pct"/>
            <w:shd w:val="clear" w:color="auto" w:fill="auto"/>
            <w:vAlign w:val="center"/>
          </w:tcPr>
          <w:p w14:paraId="40132A31">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砷</w:t>
            </w:r>
          </w:p>
        </w:tc>
        <w:tc>
          <w:tcPr>
            <w:tcW w:w="405" w:type="pct"/>
            <w:shd w:val="clear" w:color="auto" w:fill="auto"/>
            <w:vAlign w:val="center"/>
          </w:tcPr>
          <w:p w14:paraId="3A467477">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60</w:t>
            </w:r>
          </w:p>
        </w:tc>
        <w:tc>
          <w:tcPr>
            <w:tcW w:w="304" w:type="pct"/>
            <w:shd w:val="clear" w:color="auto" w:fill="auto"/>
            <w:vAlign w:val="center"/>
          </w:tcPr>
          <w:p w14:paraId="3BEECAD4">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mg/kg</w:t>
            </w:r>
          </w:p>
        </w:tc>
        <w:tc>
          <w:tcPr>
            <w:tcW w:w="304" w:type="pct"/>
            <w:shd w:val="clear" w:color="auto" w:fill="auto"/>
            <w:vAlign w:val="center"/>
          </w:tcPr>
          <w:p w14:paraId="52E7F970">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8.7</w:t>
            </w:r>
          </w:p>
        </w:tc>
        <w:tc>
          <w:tcPr>
            <w:tcW w:w="405" w:type="pct"/>
            <w:shd w:val="clear" w:color="auto" w:fill="auto"/>
            <w:vAlign w:val="center"/>
          </w:tcPr>
          <w:p w14:paraId="28591009">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0.1450</w:t>
            </w:r>
          </w:p>
        </w:tc>
        <w:tc>
          <w:tcPr>
            <w:tcW w:w="407" w:type="pct"/>
            <w:shd w:val="clear" w:color="auto" w:fill="auto"/>
            <w:vAlign w:val="center"/>
          </w:tcPr>
          <w:p w14:paraId="7BC8F4A5">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达标</w:t>
            </w:r>
          </w:p>
        </w:tc>
        <w:tc>
          <w:tcPr>
            <w:tcW w:w="309" w:type="pct"/>
            <w:shd w:val="clear" w:color="auto" w:fill="auto"/>
            <w:vAlign w:val="center"/>
          </w:tcPr>
          <w:p w14:paraId="675E53CD">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8.2</w:t>
            </w:r>
          </w:p>
        </w:tc>
        <w:tc>
          <w:tcPr>
            <w:tcW w:w="404" w:type="pct"/>
            <w:shd w:val="clear" w:color="auto" w:fill="auto"/>
            <w:vAlign w:val="center"/>
          </w:tcPr>
          <w:p w14:paraId="28C1D509">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0.1367</w:t>
            </w:r>
          </w:p>
        </w:tc>
        <w:tc>
          <w:tcPr>
            <w:tcW w:w="404" w:type="pct"/>
            <w:shd w:val="clear" w:color="auto" w:fill="auto"/>
            <w:vAlign w:val="center"/>
          </w:tcPr>
          <w:p w14:paraId="2F1693E3">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达标</w:t>
            </w:r>
          </w:p>
        </w:tc>
        <w:tc>
          <w:tcPr>
            <w:tcW w:w="303" w:type="pct"/>
            <w:shd w:val="clear" w:color="auto" w:fill="auto"/>
            <w:vAlign w:val="center"/>
          </w:tcPr>
          <w:p w14:paraId="1034283C">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8.07</w:t>
            </w:r>
          </w:p>
        </w:tc>
        <w:tc>
          <w:tcPr>
            <w:tcW w:w="404" w:type="pct"/>
            <w:shd w:val="clear" w:color="auto" w:fill="auto"/>
            <w:vAlign w:val="center"/>
          </w:tcPr>
          <w:p w14:paraId="3BF84530">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0.1345</w:t>
            </w:r>
          </w:p>
        </w:tc>
        <w:tc>
          <w:tcPr>
            <w:tcW w:w="390" w:type="pct"/>
            <w:shd w:val="clear" w:color="auto" w:fill="auto"/>
            <w:vAlign w:val="center"/>
          </w:tcPr>
          <w:p w14:paraId="3E830F8A">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达标</w:t>
            </w:r>
          </w:p>
        </w:tc>
      </w:tr>
      <w:tr w14:paraId="3D6A710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30" w:type="pct"/>
            <w:shd w:val="clear" w:color="auto" w:fill="auto"/>
            <w:vAlign w:val="center"/>
          </w:tcPr>
          <w:p w14:paraId="77DCDA34">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3</w:t>
            </w:r>
          </w:p>
        </w:tc>
        <w:tc>
          <w:tcPr>
            <w:tcW w:w="632" w:type="pct"/>
            <w:shd w:val="clear" w:color="auto" w:fill="auto"/>
            <w:vAlign w:val="center"/>
          </w:tcPr>
          <w:p w14:paraId="6EABFE84">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铅</w:t>
            </w:r>
          </w:p>
        </w:tc>
        <w:tc>
          <w:tcPr>
            <w:tcW w:w="405" w:type="pct"/>
            <w:shd w:val="clear" w:color="auto" w:fill="auto"/>
            <w:vAlign w:val="center"/>
          </w:tcPr>
          <w:p w14:paraId="574FF115">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800</w:t>
            </w:r>
          </w:p>
        </w:tc>
        <w:tc>
          <w:tcPr>
            <w:tcW w:w="304" w:type="pct"/>
            <w:shd w:val="clear" w:color="auto" w:fill="auto"/>
            <w:vAlign w:val="center"/>
          </w:tcPr>
          <w:p w14:paraId="30E09875">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mg/kg</w:t>
            </w:r>
          </w:p>
        </w:tc>
        <w:tc>
          <w:tcPr>
            <w:tcW w:w="304" w:type="pct"/>
            <w:shd w:val="clear" w:color="auto" w:fill="auto"/>
            <w:vAlign w:val="center"/>
          </w:tcPr>
          <w:p w14:paraId="33459493">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14.2</w:t>
            </w:r>
          </w:p>
        </w:tc>
        <w:tc>
          <w:tcPr>
            <w:tcW w:w="405" w:type="pct"/>
            <w:shd w:val="clear" w:color="auto" w:fill="auto"/>
            <w:vAlign w:val="center"/>
          </w:tcPr>
          <w:p w14:paraId="0F619D9A">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0.0178</w:t>
            </w:r>
          </w:p>
        </w:tc>
        <w:tc>
          <w:tcPr>
            <w:tcW w:w="407" w:type="pct"/>
            <w:shd w:val="clear" w:color="auto" w:fill="auto"/>
            <w:vAlign w:val="center"/>
          </w:tcPr>
          <w:p w14:paraId="2EE7DA63">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达标</w:t>
            </w:r>
          </w:p>
        </w:tc>
        <w:tc>
          <w:tcPr>
            <w:tcW w:w="309" w:type="pct"/>
            <w:shd w:val="clear" w:color="auto" w:fill="auto"/>
            <w:vAlign w:val="center"/>
          </w:tcPr>
          <w:p w14:paraId="0FB1DFB6">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13</w:t>
            </w:r>
          </w:p>
        </w:tc>
        <w:tc>
          <w:tcPr>
            <w:tcW w:w="404" w:type="pct"/>
            <w:shd w:val="clear" w:color="auto" w:fill="auto"/>
            <w:vAlign w:val="center"/>
          </w:tcPr>
          <w:p w14:paraId="35DFF121">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0.0163</w:t>
            </w:r>
          </w:p>
        </w:tc>
        <w:tc>
          <w:tcPr>
            <w:tcW w:w="404" w:type="pct"/>
            <w:shd w:val="clear" w:color="auto" w:fill="auto"/>
            <w:vAlign w:val="center"/>
          </w:tcPr>
          <w:p w14:paraId="6B3258AD">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达标</w:t>
            </w:r>
          </w:p>
        </w:tc>
        <w:tc>
          <w:tcPr>
            <w:tcW w:w="303" w:type="pct"/>
            <w:shd w:val="clear" w:color="auto" w:fill="auto"/>
            <w:vAlign w:val="center"/>
          </w:tcPr>
          <w:p w14:paraId="0580CEF3">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14.4</w:t>
            </w:r>
          </w:p>
        </w:tc>
        <w:tc>
          <w:tcPr>
            <w:tcW w:w="404" w:type="pct"/>
            <w:shd w:val="clear" w:color="auto" w:fill="auto"/>
            <w:vAlign w:val="center"/>
          </w:tcPr>
          <w:p w14:paraId="398FFB8C">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0.0180</w:t>
            </w:r>
          </w:p>
        </w:tc>
        <w:tc>
          <w:tcPr>
            <w:tcW w:w="390" w:type="pct"/>
            <w:shd w:val="clear" w:color="auto" w:fill="auto"/>
            <w:vAlign w:val="center"/>
          </w:tcPr>
          <w:p w14:paraId="63B1F755">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达标</w:t>
            </w:r>
          </w:p>
        </w:tc>
      </w:tr>
      <w:tr w14:paraId="11DFC08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30" w:type="pct"/>
            <w:shd w:val="clear" w:color="auto" w:fill="auto"/>
            <w:vAlign w:val="center"/>
          </w:tcPr>
          <w:p w14:paraId="377F5B75">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4</w:t>
            </w:r>
          </w:p>
        </w:tc>
        <w:tc>
          <w:tcPr>
            <w:tcW w:w="632" w:type="pct"/>
            <w:shd w:val="clear" w:color="auto" w:fill="auto"/>
            <w:vAlign w:val="center"/>
          </w:tcPr>
          <w:p w14:paraId="2BE474A4">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镉</w:t>
            </w:r>
          </w:p>
        </w:tc>
        <w:tc>
          <w:tcPr>
            <w:tcW w:w="405" w:type="pct"/>
            <w:shd w:val="clear" w:color="auto" w:fill="auto"/>
            <w:vAlign w:val="center"/>
          </w:tcPr>
          <w:p w14:paraId="765B88F2">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65</w:t>
            </w:r>
          </w:p>
        </w:tc>
        <w:tc>
          <w:tcPr>
            <w:tcW w:w="304" w:type="pct"/>
            <w:shd w:val="clear" w:color="auto" w:fill="auto"/>
            <w:vAlign w:val="center"/>
          </w:tcPr>
          <w:p w14:paraId="30A1B628">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mg/kg</w:t>
            </w:r>
          </w:p>
        </w:tc>
        <w:tc>
          <w:tcPr>
            <w:tcW w:w="304" w:type="pct"/>
            <w:shd w:val="clear" w:color="auto" w:fill="auto"/>
            <w:vAlign w:val="center"/>
          </w:tcPr>
          <w:p w14:paraId="46D5FB51">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0.12</w:t>
            </w:r>
          </w:p>
        </w:tc>
        <w:tc>
          <w:tcPr>
            <w:tcW w:w="405" w:type="pct"/>
            <w:shd w:val="clear" w:color="auto" w:fill="auto"/>
            <w:vAlign w:val="center"/>
          </w:tcPr>
          <w:p w14:paraId="1A1723A7">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0.0018</w:t>
            </w:r>
          </w:p>
        </w:tc>
        <w:tc>
          <w:tcPr>
            <w:tcW w:w="407" w:type="pct"/>
            <w:shd w:val="clear" w:color="auto" w:fill="auto"/>
            <w:vAlign w:val="center"/>
          </w:tcPr>
          <w:p w14:paraId="04BF6D40">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达标</w:t>
            </w:r>
          </w:p>
        </w:tc>
        <w:tc>
          <w:tcPr>
            <w:tcW w:w="309" w:type="pct"/>
            <w:shd w:val="clear" w:color="auto" w:fill="auto"/>
            <w:vAlign w:val="center"/>
          </w:tcPr>
          <w:p w14:paraId="3ECEF0D7">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0.21</w:t>
            </w:r>
          </w:p>
        </w:tc>
        <w:tc>
          <w:tcPr>
            <w:tcW w:w="404" w:type="pct"/>
            <w:shd w:val="clear" w:color="auto" w:fill="auto"/>
            <w:vAlign w:val="center"/>
          </w:tcPr>
          <w:p w14:paraId="23FA319D">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0.0032</w:t>
            </w:r>
          </w:p>
        </w:tc>
        <w:tc>
          <w:tcPr>
            <w:tcW w:w="404" w:type="pct"/>
            <w:shd w:val="clear" w:color="auto" w:fill="auto"/>
            <w:vAlign w:val="center"/>
          </w:tcPr>
          <w:p w14:paraId="504E0EC7">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达标</w:t>
            </w:r>
          </w:p>
        </w:tc>
        <w:tc>
          <w:tcPr>
            <w:tcW w:w="303" w:type="pct"/>
            <w:shd w:val="clear" w:color="auto" w:fill="auto"/>
            <w:vAlign w:val="center"/>
          </w:tcPr>
          <w:p w14:paraId="5D99D1B7">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0.08</w:t>
            </w:r>
          </w:p>
        </w:tc>
        <w:tc>
          <w:tcPr>
            <w:tcW w:w="404" w:type="pct"/>
            <w:shd w:val="clear" w:color="auto" w:fill="auto"/>
            <w:vAlign w:val="center"/>
          </w:tcPr>
          <w:p w14:paraId="710F491F">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0.0012</w:t>
            </w:r>
          </w:p>
        </w:tc>
        <w:tc>
          <w:tcPr>
            <w:tcW w:w="390" w:type="pct"/>
            <w:shd w:val="clear" w:color="auto" w:fill="auto"/>
            <w:vAlign w:val="center"/>
          </w:tcPr>
          <w:p w14:paraId="72751CD3">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达标</w:t>
            </w:r>
          </w:p>
        </w:tc>
      </w:tr>
      <w:tr w14:paraId="132DAC0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30" w:type="pct"/>
            <w:shd w:val="clear" w:color="auto" w:fill="auto"/>
            <w:vAlign w:val="center"/>
          </w:tcPr>
          <w:p w14:paraId="4FE95727">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5</w:t>
            </w:r>
          </w:p>
        </w:tc>
        <w:tc>
          <w:tcPr>
            <w:tcW w:w="632" w:type="pct"/>
            <w:shd w:val="clear" w:color="auto" w:fill="auto"/>
            <w:vAlign w:val="center"/>
          </w:tcPr>
          <w:p w14:paraId="45C14CC8">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六价铬</w:t>
            </w:r>
          </w:p>
        </w:tc>
        <w:tc>
          <w:tcPr>
            <w:tcW w:w="405" w:type="pct"/>
            <w:shd w:val="clear" w:color="auto" w:fill="auto"/>
            <w:vAlign w:val="center"/>
          </w:tcPr>
          <w:p w14:paraId="23AB77CA">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5.7</w:t>
            </w:r>
          </w:p>
        </w:tc>
        <w:tc>
          <w:tcPr>
            <w:tcW w:w="304" w:type="pct"/>
            <w:shd w:val="clear" w:color="auto" w:fill="auto"/>
            <w:vAlign w:val="center"/>
          </w:tcPr>
          <w:p w14:paraId="041F3FC7">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mg/kg</w:t>
            </w:r>
          </w:p>
        </w:tc>
        <w:tc>
          <w:tcPr>
            <w:tcW w:w="304" w:type="pct"/>
            <w:shd w:val="clear" w:color="auto" w:fill="auto"/>
            <w:vAlign w:val="center"/>
          </w:tcPr>
          <w:p w14:paraId="3DDE5C08">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0.5L</w:t>
            </w:r>
          </w:p>
        </w:tc>
        <w:tc>
          <w:tcPr>
            <w:tcW w:w="405" w:type="pct"/>
            <w:shd w:val="clear" w:color="auto" w:fill="auto"/>
            <w:vAlign w:val="center"/>
          </w:tcPr>
          <w:p w14:paraId="167D753A">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w:t>
            </w:r>
          </w:p>
        </w:tc>
        <w:tc>
          <w:tcPr>
            <w:tcW w:w="407" w:type="pct"/>
            <w:shd w:val="clear" w:color="auto" w:fill="auto"/>
            <w:vAlign w:val="center"/>
          </w:tcPr>
          <w:p w14:paraId="6606EF23">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达标</w:t>
            </w:r>
          </w:p>
        </w:tc>
        <w:tc>
          <w:tcPr>
            <w:tcW w:w="309" w:type="pct"/>
            <w:shd w:val="clear" w:color="auto" w:fill="auto"/>
            <w:vAlign w:val="center"/>
          </w:tcPr>
          <w:p w14:paraId="3310ECFB">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0.5L</w:t>
            </w:r>
          </w:p>
        </w:tc>
        <w:tc>
          <w:tcPr>
            <w:tcW w:w="404" w:type="pct"/>
            <w:shd w:val="clear" w:color="auto" w:fill="auto"/>
            <w:vAlign w:val="center"/>
          </w:tcPr>
          <w:p w14:paraId="2B6015CD">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w:t>
            </w:r>
          </w:p>
        </w:tc>
        <w:tc>
          <w:tcPr>
            <w:tcW w:w="404" w:type="pct"/>
            <w:shd w:val="clear" w:color="auto" w:fill="auto"/>
            <w:vAlign w:val="center"/>
          </w:tcPr>
          <w:p w14:paraId="2031314A">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达标</w:t>
            </w:r>
          </w:p>
        </w:tc>
        <w:tc>
          <w:tcPr>
            <w:tcW w:w="303" w:type="pct"/>
            <w:shd w:val="clear" w:color="auto" w:fill="auto"/>
            <w:vAlign w:val="center"/>
          </w:tcPr>
          <w:p w14:paraId="1A3CB93B">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0.5L</w:t>
            </w:r>
          </w:p>
        </w:tc>
        <w:tc>
          <w:tcPr>
            <w:tcW w:w="404" w:type="pct"/>
            <w:shd w:val="clear" w:color="auto" w:fill="auto"/>
            <w:vAlign w:val="center"/>
          </w:tcPr>
          <w:p w14:paraId="269ABBA4">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w:t>
            </w:r>
          </w:p>
        </w:tc>
        <w:tc>
          <w:tcPr>
            <w:tcW w:w="390" w:type="pct"/>
            <w:shd w:val="clear" w:color="auto" w:fill="auto"/>
            <w:vAlign w:val="center"/>
          </w:tcPr>
          <w:p w14:paraId="191D46B1">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达标</w:t>
            </w:r>
          </w:p>
        </w:tc>
      </w:tr>
      <w:tr w14:paraId="2FFE700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30" w:type="pct"/>
            <w:shd w:val="clear" w:color="auto" w:fill="auto"/>
            <w:vAlign w:val="center"/>
          </w:tcPr>
          <w:p w14:paraId="5A2E2798">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6</w:t>
            </w:r>
          </w:p>
        </w:tc>
        <w:tc>
          <w:tcPr>
            <w:tcW w:w="632" w:type="pct"/>
            <w:shd w:val="clear" w:color="auto" w:fill="auto"/>
            <w:vAlign w:val="center"/>
          </w:tcPr>
          <w:p w14:paraId="37B1C6E3">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铜</w:t>
            </w:r>
          </w:p>
        </w:tc>
        <w:tc>
          <w:tcPr>
            <w:tcW w:w="405" w:type="pct"/>
            <w:shd w:val="clear" w:color="auto" w:fill="auto"/>
            <w:vAlign w:val="center"/>
          </w:tcPr>
          <w:p w14:paraId="3A27D60C">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18000</w:t>
            </w:r>
          </w:p>
        </w:tc>
        <w:tc>
          <w:tcPr>
            <w:tcW w:w="304" w:type="pct"/>
            <w:shd w:val="clear" w:color="auto" w:fill="auto"/>
            <w:vAlign w:val="center"/>
          </w:tcPr>
          <w:p w14:paraId="254B4D33">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mg/kg</w:t>
            </w:r>
          </w:p>
        </w:tc>
        <w:tc>
          <w:tcPr>
            <w:tcW w:w="304" w:type="pct"/>
            <w:shd w:val="clear" w:color="auto" w:fill="auto"/>
            <w:vAlign w:val="center"/>
          </w:tcPr>
          <w:p w14:paraId="54DD51E7">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28</w:t>
            </w:r>
          </w:p>
        </w:tc>
        <w:tc>
          <w:tcPr>
            <w:tcW w:w="405" w:type="pct"/>
            <w:shd w:val="clear" w:color="auto" w:fill="auto"/>
            <w:vAlign w:val="center"/>
          </w:tcPr>
          <w:p w14:paraId="499BE37C">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0.0016</w:t>
            </w:r>
          </w:p>
        </w:tc>
        <w:tc>
          <w:tcPr>
            <w:tcW w:w="407" w:type="pct"/>
            <w:shd w:val="clear" w:color="auto" w:fill="auto"/>
            <w:vAlign w:val="center"/>
          </w:tcPr>
          <w:p w14:paraId="7C72DA58">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达标</w:t>
            </w:r>
          </w:p>
        </w:tc>
        <w:tc>
          <w:tcPr>
            <w:tcW w:w="309" w:type="pct"/>
            <w:shd w:val="clear" w:color="auto" w:fill="auto"/>
            <w:vAlign w:val="center"/>
          </w:tcPr>
          <w:p w14:paraId="5D2F5B0D">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30</w:t>
            </w:r>
          </w:p>
        </w:tc>
        <w:tc>
          <w:tcPr>
            <w:tcW w:w="404" w:type="pct"/>
            <w:shd w:val="clear" w:color="auto" w:fill="auto"/>
            <w:vAlign w:val="center"/>
          </w:tcPr>
          <w:p w14:paraId="7CC4EFF0">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0.0017</w:t>
            </w:r>
          </w:p>
        </w:tc>
        <w:tc>
          <w:tcPr>
            <w:tcW w:w="404" w:type="pct"/>
            <w:shd w:val="clear" w:color="auto" w:fill="auto"/>
            <w:vAlign w:val="center"/>
          </w:tcPr>
          <w:p w14:paraId="2A35D1CF">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达标</w:t>
            </w:r>
          </w:p>
        </w:tc>
        <w:tc>
          <w:tcPr>
            <w:tcW w:w="303" w:type="pct"/>
            <w:shd w:val="clear" w:color="auto" w:fill="auto"/>
            <w:vAlign w:val="center"/>
          </w:tcPr>
          <w:p w14:paraId="6DBEC358">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25</w:t>
            </w:r>
          </w:p>
        </w:tc>
        <w:tc>
          <w:tcPr>
            <w:tcW w:w="404" w:type="pct"/>
            <w:shd w:val="clear" w:color="auto" w:fill="auto"/>
            <w:vAlign w:val="center"/>
          </w:tcPr>
          <w:p w14:paraId="4A58FC4E">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0.0014</w:t>
            </w:r>
          </w:p>
        </w:tc>
        <w:tc>
          <w:tcPr>
            <w:tcW w:w="390" w:type="pct"/>
            <w:shd w:val="clear" w:color="auto" w:fill="auto"/>
            <w:vAlign w:val="center"/>
          </w:tcPr>
          <w:p w14:paraId="52D4278F">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达标</w:t>
            </w:r>
          </w:p>
        </w:tc>
      </w:tr>
      <w:tr w14:paraId="3323A47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30" w:type="pct"/>
            <w:shd w:val="clear" w:color="auto" w:fill="auto"/>
            <w:vAlign w:val="center"/>
          </w:tcPr>
          <w:p w14:paraId="4F1C25D7">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7</w:t>
            </w:r>
          </w:p>
        </w:tc>
        <w:tc>
          <w:tcPr>
            <w:tcW w:w="632" w:type="pct"/>
            <w:shd w:val="clear" w:color="auto" w:fill="auto"/>
            <w:vAlign w:val="center"/>
          </w:tcPr>
          <w:p w14:paraId="05E48186">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镍</w:t>
            </w:r>
          </w:p>
        </w:tc>
        <w:tc>
          <w:tcPr>
            <w:tcW w:w="405" w:type="pct"/>
            <w:shd w:val="clear" w:color="auto" w:fill="auto"/>
            <w:vAlign w:val="center"/>
          </w:tcPr>
          <w:p w14:paraId="2A49B20B">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900</w:t>
            </w:r>
          </w:p>
        </w:tc>
        <w:tc>
          <w:tcPr>
            <w:tcW w:w="304" w:type="pct"/>
            <w:shd w:val="clear" w:color="auto" w:fill="auto"/>
            <w:vAlign w:val="center"/>
          </w:tcPr>
          <w:p w14:paraId="68402AF5">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mg/kg</w:t>
            </w:r>
          </w:p>
        </w:tc>
        <w:tc>
          <w:tcPr>
            <w:tcW w:w="304" w:type="pct"/>
            <w:shd w:val="clear" w:color="auto" w:fill="auto"/>
            <w:vAlign w:val="center"/>
          </w:tcPr>
          <w:p w14:paraId="00BCE67A">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37</w:t>
            </w:r>
          </w:p>
        </w:tc>
        <w:tc>
          <w:tcPr>
            <w:tcW w:w="405" w:type="pct"/>
            <w:shd w:val="clear" w:color="auto" w:fill="auto"/>
            <w:vAlign w:val="center"/>
          </w:tcPr>
          <w:p w14:paraId="69E29841">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0.0411</w:t>
            </w:r>
          </w:p>
        </w:tc>
        <w:tc>
          <w:tcPr>
            <w:tcW w:w="407" w:type="pct"/>
            <w:shd w:val="clear" w:color="auto" w:fill="auto"/>
            <w:vAlign w:val="center"/>
          </w:tcPr>
          <w:p w14:paraId="34F7EFD3">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达标</w:t>
            </w:r>
          </w:p>
        </w:tc>
        <w:tc>
          <w:tcPr>
            <w:tcW w:w="309" w:type="pct"/>
            <w:shd w:val="clear" w:color="auto" w:fill="auto"/>
            <w:vAlign w:val="center"/>
          </w:tcPr>
          <w:p w14:paraId="26B83A69">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51</w:t>
            </w:r>
          </w:p>
        </w:tc>
        <w:tc>
          <w:tcPr>
            <w:tcW w:w="404" w:type="pct"/>
            <w:shd w:val="clear" w:color="auto" w:fill="auto"/>
            <w:vAlign w:val="center"/>
          </w:tcPr>
          <w:p w14:paraId="04A58FEF">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0.0567</w:t>
            </w:r>
          </w:p>
        </w:tc>
        <w:tc>
          <w:tcPr>
            <w:tcW w:w="404" w:type="pct"/>
            <w:shd w:val="clear" w:color="auto" w:fill="auto"/>
            <w:vAlign w:val="center"/>
          </w:tcPr>
          <w:p w14:paraId="5E8F89BB">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达标</w:t>
            </w:r>
          </w:p>
        </w:tc>
        <w:tc>
          <w:tcPr>
            <w:tcW w:w="303" w:type="pct"/>
            <w:shd w:val="clear" w:color="auto" w:fill="auto"/>
            <w:vAlign w:val="center"/>
          </w:tcPr>
          <w:p w14:paraId="43A3B6D5">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41</w:t>
            </w:r>
          </w:p>
        </w:tc>
        <w:tc>
          <w:tcPr>
            <w:tcW w:w="404" w:type="pct"/>
            <w:shd w:val="clear" w:color="auto" w:fill="auto"/>
            <w:vAlign w:val="center"/>
          </w:tcPr>
          <w:p w14:paraId="7AA9D26E">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0.0456</w:t>
            </w:r>
          </w:p>
        </w:tc>
        <w:tc>
          <w:tcPr>
            <w:tcW w:w="390" w:type="pct"/>
            <w:shd w:val="clear" w:color="auto" w:fill="auto"/>
            <w:vAlign w:val="center"/>
          </w:tcPr>
          <w:p w14:paraId="5FFAC9FC">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达标</w:t>
            </w:r>
          </w:p>
        </w:tc>
      </w:tr>
      <w:tr w14:paraId="7728A65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30" w:type="pct"/>
            <w:shd w:val="clear" w:color="auto" w:fill="auto"/>
            <w:vAlign w:val="center"/>
          </w:tcPr>
          <w:p w14:paraId="7969FE03">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8</w:t>
            </w:r>
          </w:p>
        </w:tc>
        <w:tc>
          <w:tcPr>
            <w:tcW w:w="632" w:type="pct"/>
            <w:shd w:val="clear" w:color="auto" w:fill="auto"/>
            <w:vAlign w:val="center"/>
          </w:tcPr>
          <w:p w14:paraId="7242B88A">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pH</w:t>
            </w:r>
          </w:p>
        </w:tc>
        <w:tc>
          <w:tcPr>
            <w:tcW w:w="405" w:type="pct"/>
            <w:shd w:val="clear" w:color="auto" w:fill="auto"/>
            <w:vAlign w:val="center"/>
          </w:tcPr>
          <w:p w14:paraId="04AE854A">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w:t>
            </w:r>
          </w:p>
        </w:tc>
        <w:tc>
          <w:tcPr>
            <w:tcW w:w="304" w:type="pct"/>
            <w:shd w:val="clear" w:color="auto" w:fill="auto"/>
            <w:vAlign w:val="center"/>
          </w:tcPr>
          <w:p w14:paraId="363C24CD">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w:t>
            </w:r>
          </w:p>
        </w:tc>
        <w:tc>
          <w:tcPr>
            <w:tcW w:w="304" w:type="pct"/>
            <w:shd w:val="clear" w:color="auto" w:fill="auto"/>
            <w:vAlign w:val="center"/>
          </w:tcPr>
          <w:p w14:paraId="3C5C99CD">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8.35</w:t>
            </w:r>
          </w:p>
        </w:tc>
        <w:tc>
          <w:tcPr>
            <w:tcW w:w="405" w:type="pct"/>
            <w:shd w:val="clear" w:color="auto" w:fill="auto"/>
            <w:vAlign w:val="center"/>
          </w:tcPr>
          <w:p w14:paraId="47851255">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w:t>
            </w:r>
          </w:p>
        </w:tc>
        <w:tc>
          <w:tcPr>
            <w:tcW w:w="407" w:type="pct"/>
            <w:shd w:val="clear" w:color="auto" w:fill="auto"/>
            <w:vAlign w:val="center"/>
          </w:tcPr>
          <w:p w14:paraId="571D1DF2">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w:t>
            </w:r>
          </w:p>
        </w:tc>
        <w:tc>
          <w:tcPr>
            <w:tcW w:w="309" w:type="pct"/>
            <w:shd w:val="clear" w:color="auto" w:fill="auto"/>
            <w:vAlign w:val="center"/>
          </w:tcPr>
          <w:p w14:paraId="1312A94E">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8.69</w:t>
            </w:r>
          </w:p>
        </w:tc>
        <w:tc>
          <w:tcPr>
            <w:tcW w:w="404" w:type="pct"/>
            <w:shd w:val="clear" w:color="auto" w:fill="auto"/>
            <w:vAlign w:val="center"/>
          </w:tcPr>
          <w:p w14:paraId="4DF5C763">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w:t>
            </w:r>
          </w:p>
        </w:tc>
        <w:tc>
          <w:tcPr>
            <w:tcW w:w="404" w:type="pct"/>
            <w:shd w:val="clear" w:color="auto" w:fill="auto"/>
            <w:vAlign w:val="center"/>
          </w:tcPr>
          <w:p w14:paraId="68EF07B0">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w:t>
            </w:r>
          </w:p>
        </w:tc>
        <w:tc>
          <w:tcPr>
            <w:tcW w:w="303" w:type="pct"/>
            <w:shd w:val="clear" w:color="auto" w:fill="auto"/>
            <w:vAlign w:val="center"/>
          </w:tcPr>
          <w:p w14:paraId="3506EC44">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8.67</w:t>
            </w:r>
          </w:p>
        </w:tc>
        <w:tc>
          <w:tcPr>
            <w:tcW w:w="404" w:type="pct"/>
            <w:shd w:val="clear" w:color="auto" w:fill="auto"/>
            <w:vAlign w:val="center"/>
          </w:tcPr>
          <w:p w14:paraId="65A2B3CF">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w:t>
            </w:r>
          </w:p>
        </w:tc>
        <w:tc>
          <w:tcPr>
            <w:tcW w:w="390" w:type="pct"/>
            <w:shd w:val="clear" w:color="auto" w:fill="auto"/>
            <w:vAlign w:val="center"/>
          </w:tcPr>
          <w:p w14:paraId="2DD8F480">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w:t>
            </w:r>
          </w:p>
        </w:tc>
      </w:tr>
      <w:tr w14:paraId="6D6BE9F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30" w:type="pct"/>
            <w:shd w:val="clear" w:color="auto" w:fill="auto"/>
            <w:vAlign w:val="center"/>
          </w:tcPr>
          <w:p w14:paraId="6D82619F">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9</w:t>
            </w:r>
          </w:p>
        </w:tc>
        <w:tc>
          <w:tcPr>
            <w:tcW w:w="632" w:type="pct"/>
            <w:shd w:val="clear" w:color="auto" w:fill="auto"/>
            <w:vAlign w:val="center"/>
          </w:tcPr>
          <w:p w14:paraId="3DE80114">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土壤盐分含量</w:t>
            </w:r>
          </w:p>
        </w:tc>
        <w:tc>
          <w:tcPr>
            <w:tcW w:w="405" w:type="pct"/>
            <w:shd w:val="clear" w:color="auto" w:fill="auto"/>
            <w:vAlign w:val="center"/>
          </w:tcPr>
          <w:p w14:paraId="087E40E6">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w:t>
            </w:r>
          </w:p>
        </w:tc>
        <w:tc>
          <w:tcPr>
            <w:tcW w:w="304" w:type="pct"/>
            <w:shd w:val="clear" w:color="auto" w:fill="auto"/>
            <w:vAlign w:val="center"/>
          </w:tcPr>
          <w:p w14:paraId="6E8C68DB">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g/kg</w:t>
            </w:r>
          </w:p>
        </w:tc>
        <w:tc>
          <w:tcPr>
            <w:tcW w:w="304" w:type="pct"/>
            <w:shd w:val="clear" w:color="auto" w:fill="auto"/>
            <w:vAlign w:val="center"/>
          </w:tcPr>
          <w:p w14:paraId="1B9F8755">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6.6</w:t>
            </w:r>
          </w:p>
        </w:tc>
        <w:tc>
          <w:tcPr>
            <w:tcW w:w="405" w:type="pct"/>
            <w:shd w:val="clear" w:color="auto" w:fill="auto"/>
            <w:vAlign w:val="center"/>
          </w:tcPr>
          <w:p w14:paraId="52177F66">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w:t>
            </w:r>
          </w:p>
        </w:tc>
        <w:tc>
          <w:tcPr>
            <w:tcW w:w="407" w:type="pct"/>
            <w:shd w:val="clear" w:color="auto" w:fill="auto"/>
            <w:vAlign w:val="center"/>
          </w:tcPr>
          <w:p w14:paraId="6A7F5CBF">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w:t>
            </w:r>
          </w:p>
        </w:tc>
        <w:tc>
          <w:tcPr>
            <w:tcW w:w="309" w:type="pct"/>
            <w:shd w:val="clear" w:color="auto" w:fill="auto"/>
            <w:vAlign w:val="center"/>
          </w:tcPr>
          <w:p w14:paraId="3315EC6C">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23.2</w:t>
            </w:r>
          </w:p>
        </w:tc>
        <w:tc>
          <w:tcPr>
            <w:tcW w:w="404" w:type="pct"/>
            <w:shd w:val="clear" w:color="auto" w:fill="auto"/>
            <w:vAlign w:val="center"/>
          </w:tcPr>
          <w:p w14:paraId="6B1BA753">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w:t>
            </w:r>
          </w:p>
        </w:tc>
        <w:tc>
          <w:tcPr>
            <w:tcW w:w="404" w:type="pct"/>
            <w:shd w:val="clear" w:color="auto" w:fill="auto"/>
            <w:vAlign w:val="center"/>
          </w:tcPr>
          <w:p w14:paraId="1EEF0EEB">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w:t>
            </w:r>
          </w:p>
        </w:tc>
        <w:tc>
          <w:tcPr>
            <w:tcW w:w="303" w:type="pct"/>
            <w:shd w:val="clear" w:color="auto" w:fill="auto"/>
            <w:vAlign w:val="center"/>
          </w:tcPr>
          <w:p w14:paraId="541C1946">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12.2</w:t>
            </w:r>
          </w:p>
        </w:tc>
        <w:tc>
          <w:tcPr>
            <w:tcW w:w="404" w:type="pct"/>
            <w:shd w:val="clear" w:color="auto" w:fill="auto"/>
            <w:vAlign w:val="center"/>
          </w:tcPr>
          <w:p w14:paraId="55026C58">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w:t>
            </w:r>
          </w:p>
        </w:tc>
        <w:tc>
          <w:tcPr>
            <w:tcW w:w="390" w:type="pct"/>
            <w:shd w:val="clear" w:color="auto" w:fill="auto"/>
            <w:vAlign w:val="center"/>
          </w:tcPr>
          <w:p w14:paraId="5903449C">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w:t>
            </w:r>
          </w:p>
        </w:tc>
      </w:tr>
      <w:tr w14:paraId="164AE7D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30" w:type="pct"/>
            <w:shd w:val="clear" w:color="auto" w:fill="auto"/>
            <w:vAlign w:val="center"/>
          </w:tcPr>
          <w:p w14:paraId="5FFA9126">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10</w:t>
            </w:r>
          </w:p>
        </w:tc>
        <w:tc>
          <w:tcPr>
            <w:tcW w:w="632" w:type="pct"/>
            <w:shd w:val="clear" w:color="auto" w:fill="auto"/>
            <w:vAlign w:val="center"/>
          </w:tcPr>
          <w:p w14:paraId="2A9F4D7A">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石油烃</w:t>
            </w:r>
          </w:p>
        </w:tc>
        <w:tc>
          <w:tcPr>
            <w:tcW w:w="405" w:type="pct"/>
            <w:shd w:val="clear" w:color="auto" w:fill="auto"/>
            <w:vAlign w:val="center"/>
          </w:tcPr>
          <w:p w14:paraId="3C6BFFA9">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4500</w:t>
            </w:r>
          </w:p>
        </w:tc>
        <w:tc>
          <w:tcPr>
            <w:tcW w:w="304" w:type="pct"/>
            <w:shd w:val="clear" w:color="auto" w:fill="auto"/>
            <w:vAlign w:val="center"/>
          </w:tcPr>
          <w:p w14:paraId="163BD508">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mg/kg</w:t>
            </w:r>
          </w:p>
        </w:tc>
        <w:tc>
          <w:tcPr>
            <w:tcW w:w="304" w:type="pct"/>
            <w:shd w:val="clear" w:color="auto" w:fill="auto"/>
            <w:vAlign w:val="center"/>
          </w:tcPr>
          <w:p w14:paraId="10685732">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29</w:t>
            </w:r>
          </w:p>
        </w:tc>
        <w:tc>
          <w:tcPr>
            <w:tcW w:w="405" w:type="pct"/>
            <w:shd w:val="clear" w:color="auto" w:fill="auto"/>
            <w:vAlign w:val="center"/>
          </w:tcPr>
          <w:p w14:paraId="0DE5D0FD">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0.0064</w:t>
            </w:r>
          </w:p>
        </w:tc>
        <w:tc>
          <w:tcPr>
            <w:tcW w:w="407" w:type="pct"/>
            <w:shd w:val="clear" w:color="auto" w:fill="auto"/>
            <w:vAlign w:val="center"/>
          </w:tcPr>
          <w:p w14:paraId="448F39C0">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达标</w:t>
            </w:r>
          </w:p>
        </w:tc>
        <w:tc>
          <w:tcPr>
            <w:tcW w:w="309" w:type="pct"/>
            <w:shd w:val="clear" w:color="auto" w:fill="auto"/>
            <w:vAlign w:val="center"/>
          </w:tcPr>
          <w:p w14:paraId="45A74B4C">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13</w:t>
            </w:r>
          </w:p>
        </w:tc>
        <w:tc>
          <w:tcPr>
            <w:tcW w:w="404" w:type="pct"/>
            <w:shd w:val="clear" w:color="auto" w:fill="auto"/>
            <w:vAlign w:val="center"/>
          </w:tcPr>
          <w:p w14:paraId="3E008690">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0.0029</w:t>
            </w:r>
          </w:p>
        </w:tc>
        <w:tc>
          <w:tcPr>
            <w:tcW w:w="404" w:type="pct"/>
            <w:shd w:val="clear" w:color="auto" w:fill="auto"/>
            <w:vAlign w:val="center"/>
          </w:tcPr>
          <w:p w14:paraId="353727FE">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达标</w:t>
            </w:r>
          </w:p>
        </w:tc>
        <w:tc>
          <w:tcPr>
            <w:tcW w:w="303" w:type="pct"/>
            <w:shd w:val="clear" w:color="auto" w:fill="auto"/>
            <w:vAlign w:val="center"/>
          </w:tcPr>
          <w:p w14:paraId="20060169">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16</w:t>
            </w:r>
          </w:p>
        </w:tc>
        <w:tc>
          <w:tcPr>
            <w:tcW w:w="404" w:type="pct"/>
            <w:shd w:val="clear" w:color="auto" w:fill="auto"/>
            <w:vAlign w:val="center"/>
          </w:tcPr>
          <w:p w14:paraId="2170CD39">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0.0036</w:t>
            </w:r>
          </w:p>
        </w:tc>
        <w:tc>
          <w:tcPr>
            <w:tcW w:w="390" w:type="pct"/>
            <w:shd w:val="clear" w:color="auto" w:fill="auto"/>
            <w:vAlign w:val="center"/>
          </w:tcPr>
          <w:p w14:paraId="7F7DC065">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达标</w:t>
            </w:r>
          </w:p>
        </w:tc>
      </w:tr>
      <w:tr w14:paraId="5028F05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000" w:type="pct"/>
            <w:gridSpan w:val="13"/>
            <w:shd w:val="clear" w:color="auto" w:fill="auto"/>
            <w:vAlign w:val="center"/>
          </w:tcPr>
          <w:p w14:paraId="52ACF467">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T5</w:t>
            </w:r>
          </w:p>
        </w:tc>
      </w:tr>
      <w:tr w14:paraId="5CB5981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30" w:type="pct"/>
            <w:shd w:val="clear" w:color="auto" w:fill="auto"/>
            <w:vAlign w:val="center"/>
          </w:tcPr>
          <w:p w14:paraId="4D98A958">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1</w:t>
            </w:r>
          </w:p>
        </w:tc>
        <w:tc>
          <w:tcPr>
            <w:tcW w:w="632" w:type="pct"/>
            <w:shd w:val="clear" w:color="auto" w:fill="auto"/>
            <w:vAlign w:val="center"/>
          </w:tcPr>
          <w:p w14:paraId="74A58535">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汞</w:t>
            </w:r>
          </w:p>
        </w:tc>
        <w:tc>
          <w:tcPr>
            <w:tcW w:w="405" w:type="pct"/>
            <w:shd w:val="clear" w:color="auto" w:fill="auto"/>
            <w:vAlign w:val="center"/>
          </w:tcPr>
          <w:p w14:paraId="0CF44635">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38</w:t>
            </w:r>
          </w:p>
        </w:tc>
        <w:tc>
          <w:tcPr>
            <w:tcW w:w="304" w:type="pct"/>
            <w:shd w:val="clear" w:color="auto" w:fill="auto"/>
            <w:vAlign w:val="center"/>
          </w:tcPr>
          <w:p w14:paraId="12360DCA">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mg/kg</w:t>
            </w:r>
          </w:p>
        </w:tc>
        <w:tc>
          <w:tcPr>
            <w:tcW w:w="304" w:type="pct"/>
            <w:shd w:val="clear" w:color="auto" w:fill="auto"/>
            <w:vAlign w:val="center"/>
          </w:tcPr>
          <w:p w14:paraId="3EBBAA24">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0.044</w:t>
            </w:r>
          </w:p>
        </w:tc>
        <w:tc>
          <w:tcPr>
            <w:tcW w:w="405" w:type="pct"/>
            <w:shd w:val="clear" w:color="auto" w:fill="auto"/>
            <w:vAlign w:val="center"/>
          </w:tcPr>
          <w:p w14:paraId="407B03EA">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0.0012</w:t>
            </w:r>
          </w:p>
        </w:tc>
        <w:tc>
          <w:tcPr>
            <w:tcW w:w="407" w:type="pct"/>
            <w:shd w:val="clear" w:color="auto" w:fill="auto"/>
            <w:vAlign w:val="center"/>
          </w:tcPr>
          <w:p w14:paraId="4A5203DF">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达标</w:t>
            </w:r>
          </w:p>
        </w:tc>
        <w:tc>
          <w:tcPr>
            <w:tcW w:w="309" w:type="pct"/>
            <w:shd w:val="clear" w:color="auto" w:fill="auto"/>
            <w:vAlign w:val="center"/>
          </w:tcPr>
          <w:p w14:paraId="476B5003">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0.045</w:t>
            </w:r>
          </w:p>
        </w:tc>
        <w:tc>
          <w:tcPr>
            <w:tcW w:w="404" w:type="pct"/>
            <w:shd w:val="clear" w:color="auto" w:fill="auto"/>
            <w:vAlign w:val="center"/>
          </w:tcPr>
          <w:p w14:paraId="7AE9604C">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0.0012</w:t>
            </w:r>
          </w:p>
        </w:tc>
        <w:tc>
          <w:tcPr>
            <w:tcW w:w="404" w:type="pct"/>
            <w:shd w:val="clear" w:color="auto" w:fill="auto"/>
            <w:vAlign w:val="center"/>
          </w:tcPr>
          <w:p w14:paraId="66204250">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达标</w:t>
            </w:r>
          </w:p>
        </w:tc>
        <w:tc>
          <w:tcPr>
            <w:tcW w:w="303" w:type="pct"/>
            <w:shd w:val="clear" w:color="auto" w:fill="auto"/>
            <w:vAlign w:val="center"/>
          </w:tcPr>
          <w:p w14:paraId="7E9CD6E4">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0.048</w:t>
            </w:r>
          </w:p>
        </w:tc>
        <w:tc>
          <w:tcPr>
            <w:tcW w:w="404" w:type="pct"/>
            <w:shd w:val="clear" w:color="auto" w:fill="auto"/>
            <w:vAlign w:val="center"/>
          </w:tcPr>
          <w:p w14:paraId="61ECF53E">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0.0013</w:t>
            </w:r>
          </w:p>
        </w:tc>
        <w:tc>
          <w:tcPr>
            <w:tcW w:w="390" w:type="pct"/>
            <w:shd w:val="clear" w:color="auto" w:fill="auto"/>
            <w:vAlign w:val="center"/>
          </w:tcPr>
          <w:p w14:paraId="5A8934A6">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达标</w:t>
            </w:r>
          </w:p>
        </w:tc>
      </w:tr>
      <w:tr w14:paraId="3E05D4A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30" w:type="pct"/>
            <w:shd w:val="clear" w:color="auto" w:fill="auto"/>
            <w:vAlign w:val="center"/>
          </w:tcPr>
          <w:p w14:paraId="3D97ED97">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2</w:t>
            </w:r>
          </w:p>
        </w:tc>
        <w:tc>
          <w:tcPr>
            <w:tcW w:w="632" w:type="pct"/>
            <w:shd w:val="clear" w:color="auto" w:fill="auto"/>
            <w:vAlign w:val="center"/>
          </w:tcPr>
          <w:p w14:paraId="088287C9">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砷</w:t>
            </w:r>
          </w:p>
        </w:tc>
        <w:tc>
          <w:tcPr>
            <w:tcW w:w="405" w:type="pct"/>
            <w:shd w:val="clear" w:color="auto" w:fill="auto"/>
            <w:vAlign w:val="center"/>
          </w:tcPr>
          <w:p w14:paraId="129FD9E7">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60</w:t>
            </w:r>
          </w:p>
        </w:tc>
        <w:tc>
          <w:tcPr>
            <w:tcW w:w="304" w:type="pct"/>
            <w:shd w:val="clear" w:color="auto" w:fill="auto"/>
            <w:vAlign w:val="center"/>
          </w:tcPr>
          <w:p w14:paraId="19772905">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mg/kg</w:t>
            </w:r>
          </w:p>
        </w:tc>
        <w:tc>
          <w:tcPr>
            <w:tcW w:w="304" w:type="pct"/>
            <w:shd w:val="clear" w:color="auto" w:fill="auto"/>
            <w:vAlign w:val="center"/>
          </w:tcPr>
          <w:p w14:paraId="0B6D5DD7">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8.82</w:t>
            </w:r>
          </w:p>
        </w:tc>
        <w:tc>
          <w:tcPr>
            <w:tcW w:w="405" w:type="pct"/>
            <w:shd w:val="clear" w:color="auto" w:fill="auto"/>
            <w:vAlign w:val="center"/>
          </w:tcPr>
          <w:p w14:paraId="7DB5BD58">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0.1470</w:t>
            </w:r>
          </w:p>
        </w:tc>
        <w:tc>
          <w:tcPr>
            <w:tcW w:w="407" w:type="pct"/>
            <w:shd w:val="clear" w:color="auto" w:fill="auto"/>
            <w:vAlign w:val="center"/>
          </w:tcPr>
          <w:p w14:paraId="402DDAAC">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达标</w:t>
            </w:r>
          </w:p>
        </w:tc>
        <w:tc>
          <w:tcPr>
            <w:tcW w:w="309" w:type="pct"/>
            <w:shd w:val="clear" w:color="auto" w:fill="auto"/>
            <w:vAlign w:val="center"/>
          </w:tcPr>
          <w:p w14:paraId="3A2ABC25">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9.38</w:t>
            </w:r>
          </w:p>
        </w:tc>
        <w:tc>
          <w:tcPr>
            <w:tcW w:w="404" w:type="pct"/>
            <w:shd w:val="clear" w:color="auto" w:fill="auto"/>
            <w:vAlign w:val="center"/>
          </w:tcPr>
          <w:p w14:paraId="1480B21C">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0.1563</w:t>
            </w:r>
          </w:p>
        </w:tc>
        <w:tc>
          <w:tcPr>
            <w:tcW w:w="404" w:type="pct"/>
            <w:shd w:val="clear" w:color="auto" w:fill="auto"/>
            <w:vAlign w:val="center"/>
          </w:tcPr>
          <w:p w14:paraId="283D8768">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达标</w:t>
            </w:r>
          </w:p>
        </w:tc>
        <w:tc>
          <w:tcPr>
            <w:tcW w:w="303" w:type="pct"/>
            <w:shd w:val="clear" w:color="auto" w:fill="auto"/>
            <w:vAlign w:val="center"/>
          </w:tcPr>
          <w:p w14:paraId="5B807333">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8.2</w:t>
            </w:r>
          </w:p>
        </w:tc>
        <w:tc>
          <w:tcPr>
            <w:tcW w:w="404" w:type="pct"/>
            <w:shd w:val="clear" w:color="auto" w:fill="auto"/>
            <w:vAlign w:val="center"/>
          </w:tcPr>
          <w:p w14:paraId="69D0643C">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0.1367</w:t>
            </w:r>
          </w:p>
        </w:tc>
        <w:tc>
          <w:tcPr>
            <w:tcW w:w="390" w:type="pct"/>
            <w:shd w:val="clear" w:color="auto" w:fill="auto"/>
            <w:vAlign w:val="center"/>
          </w:tcPr>
          <w:p w14:paraId="7AA24389">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达标</w:t>
            </w:r>
          </w:p>
        </w:tc>
      </w:tr>
      <w:tr w14:paraId="66C9F3B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30" w:type="pct"/>
            <w:shd w:val="clear" w:color="auto" w:fill="auto"/>
            <w:vAlign w:val="center"/>
          </w:tcPr>
          <w:p w14:paraId="00BB1A0E">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3</w:t>
            </w:r>
          </w:p>
        </w:tc>
        <w:tc>
          <w:tcPr>
            <w:tcW w:w="632" w:type="pct"/>
            <w:shd w:val="clear" w:color="auto" w:fill="auto"/>
            <w:vAlign w:val="center"/>
          </w:tcPr>
          <w:p w14:paraId="24E33E57">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铅</w:t>
            </w:r>
          </w:p>
        </w:tc>
        <w:tc>
          <w:tcPr>
            <w:tcW w:w="405" w:type="pct"/>
            <w:shd w:val="clear" w:color="auto" w:fill="auto"/>
            <w:vAlign w:val="center"/>
          </w:tcPr>
          <w:p w14:paraId="3CDB4C60">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800</w:t>
            </w:r>
          </w:p>
        </w:tc>
        <w:tc>
          <w:tcPr>
            <w:tcW w:w="304" w:type="pct"/>
            <w:shd w:val="clear" w:color="auto" w:fill="auto"/>
            <w:vAlign w:val="center"/>
          </w:tcPr>
          <w:p w14:paraId="440DC9C4">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mg/kg</w:t>
            </w:r>
          </w:p>
        </w:tc>
        <w:tc>
          <w:tcPr>
            <w:tcW w:w="304" w:type="pct"/>
            <w:shd w:val="clear" w:color="auto" w:fill="auto"/>
            <w:vAlign w:val="center"/>
          </w:tcPr>
          <w:p w14:paraId="60023FEA">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15.4</w:t>
            </w:r>
          </w:p>
        </w:tc>
        <w:tc>
          <w:tcPr>
            <w:tcW w:w="405" w:type="pct"/>
            <w:shd w:val="clear" w:color="auto" w:fill="auto"/>
            <w:vAlign w:val="center"/>
          </w:tcPr>
          <w:p w14:paraId="515ADA6F">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0.0193</w:t>
            </w:r>
          </w:p>
        </w:tc>
        <w:tc>
          <w:tcPr>
            <w:tcW w:w="407" w:type="pct"/>
            <w:shd w:val="clear" w:color="auto" w:fill="auto"/>
            <w:vAlign w:val="center"/>
          </w:tcPr>
          <w:p w14:paraId="257AB9C7">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达标</w:t>
            </w:r>
          </w:p>
        </w:tc>
        <w:tc>
          <w:tcPr>
            <w:tcW w:w="309" w:type="pct"/>
            <w:shd w:val="clear" w:color="auto" w:fill="auto"/>
            <w:vAlign w:val="center"/>
          </w:tcPr>
          <w:p w14:paraId="7035DEE2">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16.9</w:t>
            </w:r>
          </w:p>
        </w:tc>
        <w:tc>
          <w:tcPr>
            <w:tcW w:w="404" w:type="pct"/>
            <w:shd w:val="clear" w:color="auto" w:fill="auto"/>
            <w:vAlign w:val="center"/>
          </w:tcPr>
          <w:p w14:paraId="5DB46AE7">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0.0211</w:t>
            </w:r>
          </w:p>
        </w:tc>
        <w:tc>
          <w:tcPr>
            <w:tcW w:w="404" w:type="pct"/>
            <w:shd w:val="clear" w:color="auto" w:fill="auto"/>
            <w:vAlign w:val="center"/>
          </w:tcPr>
          <w:p w14:paraId="6D7601D9">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达标</w:t>
            </w:r>
          </w:p>
        </w:tc>
        <w:tc>
          <w:tcPr>
            <w:tcW w:w="303" w:type="pct"/>
            <w:shd w:val="clear" w:color="auto" w:fill="auto"/>
            <w:vAlign w:val="center"/>
          </w:tcPr>
          <w:p w14:paraId="6331CB2E">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15.9</w:t>
            </w:r>
          </w:p>
        </w:tc>
        <w:tc>
          <w:tcPr>
            <w:tcW w:w="404" w:type="pct"/>
            <w:shd w:val="clear" w:color="auto" w:fill="auto"/>
            <w:vAlign w:val="center"/>
          </w:tcPr>
          <w:p w14:paraId="084C8C8A">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0.0199</w:t>
            </w:r>
          </w:p>
        </w:tc>
        <w:tc>
          <w:tcPr>
            <w:tcW w:w="390" w:type="pct"/>
            <w:shd w:val="clear" w:color="auto" w:fill="auto"/>
            <w:vAlign w:val="center"/>
          </w:tcPr>
          <w:p w14:paraId="7BB84207">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达标</w:t>
            </w:r>
          </w:p>
        </w:tc>
      </w:tr>
      <w:tr w14:paraId="3B44257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30" w:type="pct"/>
            <w:shd w:val="clear" w:color="auto" w:fill="auto"/>
            <w:vAlign w:val="center"/>
          </w:tcPr>
          <w:p w14:paraId="6C977FFB">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4</w:t>
            </w:r>
          </w:p>
        </w:tc>
        <w:tc>
          <w:tcPr>
            <w:tcW w:w="632" w:type="pct"/>
            <w:shd w:val="clear" w:color="auto" w:fill="auto"/>
            <w:vAlign w:val="center"/>
          </w:tcPr>
          <w:p w14:paraId="0B15AB7C">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镉</w:t>
            </w:r>
          </w:p>
        </w:tc>
        <w:tc>
          <w:tcPr>
            <w:tcW w:w="405" w:type="pct"/>
            <w:shd w:val="clear" w:color="auto" w:fill="auto"/>
            <w:vAlign w:val="center"/>
          </w:tcPr>
          <w:p w14:paraId="59606BB8">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65</w:t>
            </w:r>
          </w:p>
        </w:tc>
        <w:tc>
          <w:tcPr>
            <w:tcW w:w="304" w:type="pct"/>
            <w:shd w:val="clear" w:color="auto" w:fill="auto"/>
            <w:vAlign w:val="center"/>
          </w:tcPr>
          <w:p w14:paraId="63114A1C">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mg/kg</w:t>
            </w:r>
          </w:p>
        </w:tc>
        <w:tc>
          <w:tcPr>
            <w:tcW w:w="304" w:type="pct"/>
            <w:shd w:val="clear" w:color="auto" w:fill="auto"/>
            <w:vAlign w:val="center"/>
          </w:tcPr>
          <w:p w14:paraId="2954ECF7">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0.1</w:t>
            </w:r>
          </w:p>
        </w:tc>
        <w:tc>
          <w:tcPr>
            <w:tcW w:w="405" w:type="pct"/>
            <w:shd w:val="clear" w:color="auto" w:fill="auto"/>
            <w:vAlign w:val="center"/>
          </w:tcPr>
          <w:p w14:paraId="3A137C93">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0.0015</w:t>
            </w:r>
          </w:p>
        </w:tc>
        <w:tc>
          <w:tcPr>
            <w:tcW w:w="407" w:type="pct"/>
            <w:shd w:val="clear" w:color="auto" w:fill="auto"/>
            <w:vAlign w:val="center"/>
          </w:tcPr>
          <w:p w14:paraId="189ED9C3">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达标</w:t>
            </w:r>
          </w:p>
        </w:tc>
        <w:tc>
          <w:tcPr>
            <w:tcW w:w="309" w:type="pct"/>
            <w:shd w:val="clear" w:color="auto" w:fill="auto"/>
            <w:vAlign w:val="center"/>
          </w:tcPr>
          <w:p w14:paraId="2114D6D2">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0.27</w:t>
            </w:r>
          </w:p>
        </w:tc>
        <w:tc>
          <w:tcPr>
            <w:tcW w:w="404" w:type="pct"/>
            <w:shd w:val="clear" w:color="auto" w:fill="auto"/>
            <w:vAlign w:val="center"/>
          </w:tcPr>
          <w:p w14:paraId="37820CFB">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0.0042</w:t>
            </w:r>
          </w:p>
        </w:tc>
        <w:tc>
          <w:tcPr>
            <w:tcW w:w="404" w:type="pct"/>
            <w:shd w:val="clear" w:color="auto" w:fill="auto"/>
            <w:vAlign w:val="center"/>
          </w:tcPr>
          <w:p w14:paraId="1338D918">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达标</w:t>
            </w:r>
          </w:p>
        </w:tc>
        <w:tc>
          <w:tcPr>
            <w:tcW w:w="303" w:type="pct"/>
            <w:shd w:val="clear" w:color="auto" w:fill="auto"/>
            <w:vAlign w:val="center"/>
          </w:tcPr>
          <w:p w14:paraId="06ED3461">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0.25</w:t>
            </w:r>
          </w:p>
        </w:tc>
        <w:tc>
          <w:tcPr>
            <w:tcW w:w="404" w:type="pct"/>
            <w:shd w:val="clear" w:color="auto" w:fill="auto"/>
            <w:vAlign w:val="center"/>
          </w:tcPr>
          <w:p w14:paraId="54FF2BBA">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0.0038</w:t>
            </w:r>
          </w:p>
        </w:tc>
        <w:tc>
          <w:tcPr>
            <w:tcW w:w="390" w:type="pct"/>
            <w:shd w:val="clear" w:color="auto" w:fill="auto"/>
            <w:vAlign w:val="center"/>
          </w:tcPr>
          <w:p w14:paraId="5C3D6B24">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达标</w:t>
            </w:r>
          </w:p>
        </w:tc>
      </w:tr>
      <w:tr w14:paraId="15AA05E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30" w:type="pct"/>
            <w:shd w:val="clear" w:color="auto" w:fill="auto"/>
            <w:vAlign w:val="center"/>
          </w:tcPr>
          <w:p w14:paraId="405EE4FB">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5</w:t>
            </w:r>
          </w:p>
        </w:tc>
        <w:tc>
          <w:tcPr>
            <w:tcW w:w="632" w:type="pct"/>
            <w:shd w:val="clear" w:color="auto" w:fill="auto"/>
            <w:vAlign w:val="center"/>
          </w:tcPr>
          <w:p w14:paraId="13835058">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六价铬</w:t>
            </w:r>
          </w:p>
        </w:tc>
        <w:tc>
          <w:tcPr>
            <w:tcW w:w="405" w:type="pct"/>
            <w:shd w:val="clear" w:color="auto" w:fill="auto"/>
            <w:vAlign w:val="center"/>
          </w:tcPr>
          <w:p w14:paraId="2FAE0DAC">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5.7</w:t>
            </w:r>
          </w:p>
        </w:tc>
        <w:tc>
          <w:tcPr>
            <w:tcW w:w="304" w:type="pct"/>
            <w:shd w:val="clear" w:color="auto" w:fill="auto"/>
            <w:vAlign w:val="center"/>
          </w:tcPr>
          <w:p w14:paraId="434F40D2">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mg/kg</w:t>
            </w:r>
          </w:p>
        </w:tc>
        <w:tc>
          <w:tcPr>
            <w:tcW w:w="304" w:type="pct"/>
            <w:shd w:val="clear" w:color="auto" w:fill="auto"/>
            <w:vAlign w:val="center"/>
          </w:tcPr>
          <w:p w14:paraId="5276A11D">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0.5L</w:t>
            </w:r>
          </w:p>
        </w:tc>
        <w:tc>
          <w:tcPr>
            <w:tcW w:w="405" w:type="pct"/>
            <w:shd w:val="clear" w:color="auto" w:fill="auto"/>
            <w:vAlign w:val="center"/>
          </w:tcPr>
          <w:p w14:paraId="2C0FB3CC">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w:t>
            </w:r>
          </w:p>
        </w:tc>
        <w:tc>
          <w:tcPr>
            <w:tcW w:w="407" w:type="pct"/>
            <w:shd w:val="clear" w:color="auto" w:fill="auto"/>
            <w:vAlign w:val="center"/>
          </w:tcPr>
          <w:p w14:paraId="71715FEA">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达标</w:t>
            </w:r>
          </w:p>
        </w:tc>
        <w:tc>
          <w:tcPr>
            <w:tcW w:w="309" w:type="pct"/>
            <w:shd w:val="clear" w:color="auto" w:fill="auto"/>
            <w:vAlign w:val="center"/>
          </w:tcPr>
          <w:p w14:paraId="257986CD">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0.5L</w:t>
            </w:r>
          </w:p>
        </w:tc>
        <w:tc>
          <w:tcPr>
            <w:tcW w:w="404" w:type="pct"/>
            <w:shd w:val="clear" w:color="auto" w:fill="auto"/>
            <w:vAlign w:val="center"/>
          </w:tcPr>
          <w:p w14:paraId="42352470">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w:t>
            </w:r>
          </w:p>
        </w:tc>
        <w:tc>
          <w:tcPr>
            <w:tcW w:w="404" w:type="pct"/>
            <w:shd w:val="clear" w:color="auto" w:fill="auto"/>
            <w:vAlign w:val="center"/>
          </w:tcPr>
          <w:p w14:paraId="0BC3BED9">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达标</w:t>
            </w:r>
          </w:p>
        </w:tc>
        <w:tc>
          <w:tcPr>
            <w:tcW w:w="303" w:type="pct"/>
            <w:shd w:val="clear" w:color="auto" w:fill="auto"/>
            <w:vAlign w:val="center"/>
          </w:tcPr>
          <w:p w14:paraId="6F7D3C5B">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0.5L</w:t>
            </w:r>
          </w:p>
        </w:tc>
        <w:tc>
          <w:tcPr>
            <w:tcW w:w="404" w:type="pct"/>
            <w:shd w:val="clear" w:color="auto" w:fill="auto"/>
            <w:vAlign w:val="center"/>
          </w:tcPr>
          <w:p w14:paraId="328171BC">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w:t>
            </w:r>
          </w:p>
        </w:tc>
        <w:tc>
          <w:tcPr>
            <w:tcW w:w="390" w:type="pct"/>
            <w:shd w:val="clear" w:color="auto" w:fill="auto"/>
            <w:vAlign w:val="center"/>
          </w:tcPr>
          <w:p w14:paraId="2AF50ABF">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达标</w:t>
            </w:r>
          </w:p>
        </w:tc>
      </w:tr>
      <w:tr w14:paraId="2E259A8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30" w:type="pct"/>
            <w:shd w:val="clear" w:color="auto" w:fill="auto"/>
            <w:vAlign w:val="center"/>
          </w:tcPr>
          <w:p w14:paraId="36B0169A">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6</w:t>
            </w:r>
          </w:p>
        </w:tc>
        <w:tc>
          <w:tcPr>
            <w:tcW w:w="632" w:type="pct"/>
            <w:shd w:val="clear" w:color="auto" w:fill="auto"/>
            <w:vAlign w:val="center"/>
          </w:tcPr>
          <w:p w14:paraId="1C5FDC94">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铜</w:t>
            </w:r>
          </w:p>
        </w:tc>
        <w:tc>
          <w:tcPr>
            <w:tcW w:w="405" w:type="pct"/>
            <w:shd w:val="clear" w:color="auto" w:fill="auto"/>
            <w:vAlign w:val="center"/>
          </w:tcPr>
          <w:p w14:paraId="249DC9F2">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18000</w:t>
            </w:r>
          </w:p>
        </w:tc>
        <w:tc>
          <w:tcPr>
            <w:tcW w:w="304" w:type="pct"/>
            <w:shd w:val="clear" w:color="auto" w:fill="auto"/>
            <w:vAlign w:val="center"/>
          </w:tcPr>
          <w:p w14:paraId="54591AE2">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mg/kg</w:t>
            </w:r>
          </w:p>
        </w:tc>
        <w:tc>
          <w:tcPr>
            <w:tcW w:w="304" w:type="pct"/>
            <w:shd w:val="clear" w:color="auto" w:fill="auto"/>
            <w:vAlign w:val="center"/>
          </w:tcPr>
          <w:p w14:paraId="7969455C">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34</w:t>
            </w:r>
          </w:p>
        </w:tc>
        <w:tc>
          <w:tcPr>
            <w:tcW w:w="405" w:type="pct"/>
            <w:shd w:val="clear" w:color="auto" w:fill="auto"/>
            <w:vAlign w:val="center"/>
          </w:tcPr>
          <w:p w14:paraId="5696E4E3">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0.0019</w:t>
            </w:r>
          </w:p>
        </w:tc>
        <w:tc>
          <w:tcPr>
            <w:tcW w:w="407" w:type="pct"/>
            <w:shd w:val="clear" w:color="auto" w:fill="auto"/>
            <w:vAlign w:val="center"/>
          </w:tcPr>
          <w:p w14:paraId="75D7CC14">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达标</w:t>
            </w:r>
          </w:p>
        </w:tc>
        <w:tc>
          <w:tcPr>
            <w:tcW w:w="309" w:type="pct"/>
            <w:shd w:val="clear" w:color="auto" w:fill="auto"/>
            <w:vAlign w:val="center"/>
          </w:tcPr>
          <w:p w14:paraId="72BCFF84">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25</w:t>
            </w:r>
          </w:p>
        </w:tc>
        <w:tc>
          <w:tcPr>
            <w:tcW w:w="404" w:type="pct"/>
            <w:shd w:val="clear" w:color="auto" w:fill="auto"/>
            <w:vAlign w:val="center"/>
          </w:tcPr>
          <w:p w14:paraId="57A36CA7">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0.0014</w:t>
            </w:r>
          </w:p>
        </w:tc>
        <w:tc>
          <w:tcPr>
            <w:tcW w:w="404" w:type="pct"/>
            <w:shd w:val="clear" w:color="auto" w:fill="auto"/>
            <w:vAlign w:val="center"/>
          </w:tcPr>
          <w:p w14:paraId="338C2CB1">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达标</w:t>
            </w:r>
          </w:p>
        </w:tc>
        <w:tc>
          <w:tcPr>
            <w:tcW w:w="303" w:type="pct"/>
            <w:shd w:val="clear" w:color="auto" w:fill="auto"/>
            <w:vAlign w:val="center"/>
          </w:tcPr>
          <w:p w14:paraId="239B5CF7">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25</w:t>
            </w:r>
          </w:p>
        </w:tc>
        <w:tc>
          <w:tcPr>
            <w:tcW w:w="404" w:type="pct"/>
            <w:shd w:val="clear" w:color="auto" w:fill="auto"/>
            <w:vAlign w:val="center"/>
          </w:tcPr>
          <w:p w14:paraId="1A4A4154">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0.0014</w:t>
            </w:r>
          </w:p>
        </w:tc>
        <w:tc>
          <w:tcPr>
            <w:tcW w:w="390" w:type="pct"/>
            <w:shd w:val="clear" w:color="auto" w:fill="auto"/>
            <w:vAlign w:val="center"/>
          </w:tcPr>
          <w:p w14:paraId="2DB905F0">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达标</w:t>
            </w:r>
          </w:p>
        </w:tc>
      </w:tr>
      <w:tr w14:paraId="1888E9F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30" w:type="pct"/>
            <w:shd w:val="clear" w:color="auto" w:fill="auto"/>
            <w:vAlign w:val="center"/>
          </w:tcPr>
          <w:p w14:paraId="73A64525">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7</w:t>
            </w:r>
          </w:p>
        </w:tc>
        <w:tc>
          <w:tcPr>
            <w:tcW w:w="632" w:type="pct"/>
            <w:shd w:val="clear" w:color="auto" w:fill="auto"/>
            <w:vAlign w:val="center"/>
          </w:tcPr>
          <w:p w14:paraId="4CB7924E">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镍</w:t>
            </w:r>
          </w:p>
        </w:tc>
        <w:tc>
          <w:tcPr>
            <w:tcW w:w="405" w:type="pct"/>
            <w:shd w:val="clear" w:color="auto" w:fill="auto"/>
            <w:vAlign w:val="center"/>
          </w:tcPr>
          <w:p w14:paraId="39748989">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900</w:t>
            </w:r>
          </w:p>
        </w:tc>
        <w:tc>
          <w:tcPr>
            <w:tcW w:w="304" w:type="pct"/>
            <w:shd w:val="clear" w:color="auto" w:fill="auto"/>
            <w:vAlign w:val="center"/>
          </w:tcPr>
          <w:p w14:paraId="46CD2662">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mg/kg</w:t>
            </w:r>
          </w:p>
        </w:tc>
        <w:tc>
          <w:tcPr>
            <w:tcW w:w="304" w:type="pct"/>
            <w:shd w:val="clear" w:color="auto" w:fill="auto"/>
            <w:vAlign w:val="center"/>
          </w:tcPr>
          <w:p w14:paraId="474660BB">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56</w:t>
            </w:r>
          </w:p>
        </w:tc>
        <w:tc>
          <w:tcPr>
            <w:tcW w:w="405" w:type="pct"/>
            <w:shd w:val="clear" w:color="auto" w:fill="auto"/>
            <w:vAlign w:val="center"/>
          </w:tcPr>
          <w:p w14:paraId="71F9CBAF">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0.0622</w:t>
            </w:r>
          </w:p>
        </w:tc>
        <w:tc>
          <w:tcPr>
            <w:tcW w:w="407" w:type="pct"/>
            <w:shd w:val="clear" w:color="auto" w:fill="auto"/>
            <w:vAlign w:val="center"/>
          </w:tcPr>
          <w:p w14:paraId="1707EC0B">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达标</w:t>
            </w:r>
          </w:p>
        </w:tc>
        <w:tc>
          <w:tcPr>
            <w:tcW w:w="309" w:type="pct"/>
            <w:shd w:val="clear" w:color="auto" w:fill="auto"/>
            <w:vAlign w:val="center"/>
          </w:tcPr>
          <w:p w14:paraId="25F71207">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47</w:t>
            </w:r>
          </w:p>
        </w:tc>
        <w:tc>
          <w:tcPr>
            <w:tcW w:w="404" w:type="pct"/>
            <w:shd w:val="clear" w:color="auto" w:fill="auto"/>
            <w:vAlign w:val="center"/>
          </w:tcPr>
          <w:p w14:paraId="127B5A95">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0.0522</w:t>
            </w:r>
          </w:p>
        </w:tc>
        <w:tc>
          <w:tcPr>
            <w:tcW w:w="404" w:type="pct"/>
            <w:shd w:val="clear" w:color="auto" w:fill="auto"/>
            <w:vAlign w:val="center"/>
          </w:tcPr>
          <w:p w14:paraId="214EB6E9">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达标</w:t>
            </w:r>
          </w:p>
        </w:tc>
        <w:tc>
          <w:tcPr>
            <w:tcW w:w="303" w:type="pct"/>
            <w:shd w:val="clear" w:color="auto" w:fill="auto"/>
            <w:vAlign w:val="center"/>
          </w:tcPr>
          <w:p w14:paraId="63CBC5A2">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55</w:t>
            </w:r>
          </w:p>
        </w:tc>
        <w:tc>
          <w:tcPr>
            <w:tcW w:w="404" w:type="pct"/>
            <w:shd w:val="clear" w:color="auto" w:fill="auto"/>
            <w:vAlign w:val="center"/>
          </w:tcPr>
          <w:p w14:paraId="1B69D283">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0.0611</w:t>
            </w:r>
          </w:p>
        </w:tc>
        <w:tc>
          <w:tcPr>
            <w:tcW w:w="390" w:type="pct"/>
            <w:shd w:val="clear" w:color="auto" w:fill="auto"/>
            <w:vAlign w:val="center"/>
          </w:tcPr>
          <w:p w14:paraId="45BDAC54">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达标</w:t>
            </w:r>
          </w:p>
        </w:tc>
      </w:tr>
      <w:tr w14:paraId="5430A71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30" w:type="pct"/>
            <w:shd w:val="clear" w:color="auto" w:fill="auto"/>
            <w:vAlign w:val="center"/>
          </w:tcPr>
          <w:p w14:paraId="578434DE">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8</w:t>
            </w:r>
          </w:p>
        </w:tc>
        <w:tc>
          <w:tcPr>
            <w:tcW w:w="632" w:type="pct"/>
            <w:shd w:val="clear" w:color="auto" w:fill="auto"/>
            <w:vAlign w:val="center"/>
          </w:tcPr>
          <w:p w14:paraId="05ED12D3">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pH</w:t>
            </w:r>
          </w:p>
        </w:tc>
        <w:tc>
          <w:tcPr>
            <w:tcW w:w="405" w:type="pct"/>
            <w:shd w:val="clear" w:color="auto" w:fill="auto"/>
            <w:vAlign w:val="center"/>
          </w:tcPr>
          <w:p w14:paraId="72F7EAE3">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w:t>
            </w:r>
          </w:p>
        </w:tc>
        <w:tc>
          <w:tcPr>
            <w:tcW w:w="304" w:type="pct"/>
            <w:shd w:val="clear" w:color="auto" w:fill="auto"/>
            <w:vAlign w:val="center"/>
          </w:tcPr>
          <w:p w14:paraId="2BFAF62F">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w:t>
            </w:r>
          </w:p>
        </w:tc>
        <w:tc>
          <w:tcPr>
            <w:tcW w:w="304" w:type="pct"/>
            <w:shd w:val="clear" w:color="auto" w:fill="auto"/>
            <w:vAlign w:val="center"/>
          </w:tcPr>
          <w:p w14:paraId="55C33C52">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8.78</w:t>
            </w:r>
          </w:p>
        </w:tc>
        <w:tc>
          <w:tcPr>
            <w:tcW w:w="405" w:type="pct"/>
            <w:shd w:val="clear" w:color="auto" w:fill="auto"/>
            <w:vAlign w:val="center"/>
          </w:tcPr>
          <w:p w14:paraId="3DEDE810">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w:t>
            </w:r>
          </w:p>
        </w:tc>
        <w:tc>
          <w:tcPr>
            <w:tcW w:w="407" w:type="pct"/>
            <w:shd w:val="clear" w:color="auto" w:fill="auto"/>
            <w:vAlign w:val="center"/>
          </w:tcPr>
          <w:p w14:paraId="6AEC7238">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w:t>
            </w:r>
          </w:p>
        </w:tc>
        <w:tc>
          <w:tcPr>
            <w:tcW w:w="309" w:type="pct"/>
            <w:shd w:val="clear" w:color="auto" w:fill="auto"/>
            <w:vAlign w:val="center"/>
          </w:tcPr>
          <w:p w14:paraId="0BE6C855">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8.61</w:t>
            </w:r>
          </w:p>
        </w:tc>
        <w:tc>
          <w:tcPr>
            <w:tcW w:w="404" w:type="pct"/>
            <w:shd w:val="clear" w:color="auto" w:fill="auto"/>
            <w:vAlign w:val="center"/>
          </w:tcPr>
          <w:p w14:paraId="2FA00D44">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w:t>
            </w:r>
          </w:p>
        </w:tc>
        <w:tc>
          <w:tcPr>
            <w:tcW w:w="404" w:type="pct"/>
            <w:shd w:val="clear" w:color="auto" w:fill="auto"/>
            <w:vAlign w:val="center"/>
          </w:tcPr>
          <w:p w14:paraId="2A29BFDF">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w:t>
            </w:r>
          </w:p>
        </w:tc>
        <w:tc>
          <w:tcPr>
            <w:tcW w:w="303" w:type="pct"/>
            <w:shd w:val="clear" w:color="auto" w:fill="auto"/>
            <w:vAlign w:val="center"/>
          </w:tcPr>
          <w:p w14:paraId="1EB2A382">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8.87</w:t>
            </w:r>
          </w:p>
        </w:tc>
        <w:tc>
          <w:tcPr>
            <w:tcW w:w="404" w:type="pct"/>
            <w:shd w:val="clear" w:color="auto" w:fill="auto"/>
            <w:vAlign w:val="center"/>
          </w:tcPr>
          <w:p w14:paraId="46376F5E">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w:t>
            </w:r>
          </w:p>
        </w:tc>
        <w:tc>
          <w:tcPr>
            <w:tcW w:w="390" w:type="pct"/>
            <w:shd w:val="clear" w:color="auto" w:fill="auto"/>
            <w:vAlign w:val="center"/>
          </w:tcPr>
          <w:p w14:paraId="57B84B61">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w:t>
            </w:r>
          </w:p>
        </w:tc>
      </w:tr>
      <w:tr w14:paraId="28CCD6C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30" w:type="pct"/>
            <w:shd w:val="clear" w:color="auto" w:fill="auto"/>
            <w:vAlign w:val="center"/>
          </w:tcPr>
          <w:p w14:paraId="69874245">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9</w:t>
            </w:r>
          </w:p>
        </w:tc>
        <w:tc>
          <w:tcPr>
            <w:tcW w:w="632" w:type="pct"/>
            <w:shd w:val="clear" w:color="auto" w:fill="auto"/>
            <w:vAlign w:val="center"/>
          </w:tcPr>
          <w:p w14:paraId="05064941">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土壤盐分含量</w:t>
            </w:r>
          </w:p>
        </w:tc>
        <w:tc>
          <w:tcPr>
            <w:tcW w:w="405" w:type="pct"/>
            <w:shd w:val="clear" w:color="auto" w:fill="auto"/>
            <w:vAlign w:val="center"/>
          </w:tcPr>
          <w:p w14:paraId="5D350393">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w:t>
            </w:r>
          </w:p>
        </w:tc>
        <w:tc>
          <w:tcPr>
            <w:tcW w:w="304" w:type="pct"/>
            <w:shd w:val="clear" w:color="auto" w:fill="auto"/>
            <w:vAlign w:val="center"/>
          </w:tcPr>
          <w:p w14:paraId="55D70ABF">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g/kg</w:t>
            </w:r>
          </w:p>
        </w:tc>
        <w:tc>
          <w:tcPr>
            <w:tcW w:w="304" w:type="pct"/>
            <w:shd w:val="clear" w:color="auto" w:fill="auto"/>
            <w:vAlign w:val="center"/>
          </w:tcPr>
          <w:p w14:paraId="35C43441">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28.2</w:t>
            </w:r>
          </w:p>
        </w:tc>
        <w:tc>
          <w:tcPr>
            <w:tcW w:w="405" w:type="pct"/>
            <w:shd w:val="clear" w:color="auto" w:fill="auto"/>
            <w:vAlign w:val="center"/>
          </w:tcPr>
          <w:p w14:paraId="4315668C">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w:t>
            </w:r>
          </w:p>
        </w:tc>
        <w:tc>
          <w:tcPr>
            <w:tcW w:w="407" w:type="pct"/>
            <w:shd w:val="clear" w:color="auto" w:fill="auto"/>
            <w:vAlign w:val="center"/>
          </w:tcPr>
          <w:p w14:paraId="270BE6E5">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w:t>
            </w:r>
          </w:p>
        </w:tc>
        <w:tc>
          <w:tcPr>
            <w:tcW w:w="309" w:type="pct"/>
            <w:shd w:val="clear" w:color="auto" w:fill="auto"/>
            <w:vAlign w:val="center"/>
          </w:tcPr>
          <w:p w14:paraId="0EA5B776">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21.3</w:t>
            </w:r>
          </w:p>
        </w:tc>
        <w:tc>
          <w:tcPr>
            <w:tcW w:w="404" w:type="pct"/>
            <w:shd w:val="clear" w:color="auto" w:fill="auto"/>
            <w:vAlign w:val="center"/>
          </w:tcPr>
          <w:p w14:paraId="067BDC4C">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w:t>
            </w:r>
          </w:p>
        </w:tc>
        <w:tc>
          <w:tcPr>
            <w:tcW w:w="404" w:type="pct"/>
            <w:shd w:val="clear" w:color="auto" w:fill="auto"/>
            <w:vAlign w:val="center"/>
          </w:tcPr>
          <w:p w14:paraId="58BF0C73">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w:t>
            </w:r>
          </w:p>
        </w:tc>
        <w:tc>
          <w:tcPr>
            <w:tcW w:w="303" w:type="pct"/>
            <w:shd w:val="clear" w:color="auto" w:fill="auto"/>
            <w:vAlign w:val="center"/>
          </w:tcPr>
          <w:p w14:paraId="344D8480">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16.9</w:t>
            </w:r>
          </w:p>
        </w:tc>
        <w:tc>
          <w:tcPr>
            <w:tcW w:w="404" w:type="pct"/>
            <w:shd w:val="clear" w:color="auto" w:fill="auto"/>
            <w:vAlign w:val="center"/>
          </w:tcPr>
          <w:p w14:paraId="1CE0EB7C">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w:t>
            </w:r>
          </w:p>
        </w:tc>
        <w:tc>
          <w:tcPr>
            <w:tcW w:w="390" w:type="pct"/>
            <w:shd w:val="clear" w:color="auto" w:fill="auto"/>
            <w:vAlign w:val="center"/>
          </w:tcPr>
          <w:p w14:paraId="7BB6A45F">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w:t>
            </w:r>
          </w:p>
        </w:tc>
      </w:tr>
      <w:tr w14:paraId="28D8DAC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30" w:type="pct"/>
            <w:shd w:val="clear" w:color="auto" w:fill="auto"/>
            <w:vAlign w:val="center"/>
          </w:tcPr>
          <w:p w14:paraId="5558A3AD">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10</w:t>
            </w:r>
          </w:p>
        </w:tc>
        <w:tc>
          <w:tcPr>
            <w:tcW w:w="632" w:type="pct"/>
            <w:shd w:val="clear" w:color="auto" w:fill="auto"/>
            <w:vAlign w:val="center"/>
          </w:tcPr>
          <w:p w14:paraId="448C08B4">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石油烃</w:t>
            </w:r>
          </w:p>
        </w:tc>
        <w:tc>
          <w:tcPr>
            <w:tcW w:w="405" w:type="pct"/>
            <w:shd w:val="clear" w:color="auto" w:fill="auto"/>
            <w:vAlign w:val="center"/>
          </w:tcPr>
          <w:p w14:paraId="4B36A799">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4500</w:t>
            </w:r>
          </w:p>
        </w:tc>
        <w:tc>
          <w:tcPr>
            <w:tcW w:w="304" w:type="pct"/>
            <w:shd w:val="clear" w:color="auto" w:fill="auto"/>
            <w:vAlign w:val="center"/>
          </w:tcPr>
          <w:p w14:paraId="0AC879FE">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mg/kg</w:t>
            </w:r>
          </w:p>
        </w:tc>
        <w:tc>
          <w:tcPr>
            <w:tcW w:w="304" w:type="pct"/>
            <w:shd w:val="clear" w:color="auto" w:fill="auto"/>
            <w:vAlign w:val="center"/>
          </w:tcPr>
          <w:p w14:paraId="47FCBDD8">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13</w:t>
            </w:r>
          </w:p>
        </w:tc>
        <w:tc>
          <w:tcPr>
            <w:tcW w:w="405" w:type="pct"/>
            <w:shd w:val="clear" w:color="auto" w:fill="auto"/>
            <w:vAlign w:val="center"/>
          </w:tcPr>
          <w:p w14:paraId="460BE6A1">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0.0029</w:t>
            </w:r>
          </w:p>
        </w:tc>
        <w:tc>
          <w:tcPr>
            <w:tcW w:w="407" w:type="pct"/>
            <w:shd w:val="clear" w:color="auto" w:fill="auto"/>
            <w:vAlign w:val="center"/>
          </w:tcPr>
          <w:p w14:paraId="519B7C30">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达标</w:t>
            </w:r>
          </w:p>
        </w:tc>
        <w:tc>
          <w:tcPr>
            <w:tcW w:w="309" w:type="pct"/>
            <w:shd w:val="clear" w:color="auto" w:fill="auto"/>
            <w:vAlign w:val="center"/>
          </w:tcPr>
          <w:p w14:paraId="54F82523">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9</w:t>
            </w:r>
          </w:p>
        </w:tc>
        <w:tc>
          <w:tcPr>
            <w:tcW w:w="404" w:type="pct"/>
            <w:shd w:val="clear" w:color="auto" w:fill="auto"/>
            <w:vAlign w:val="center"/>
          </w:tcPr>
          <w:p w14:paraId="4EB5988A">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0.0020</w:t>
            </w:r>
          </w:p>
        </w:tc>
        <w:tc>
          <w:tcPr>
            <w:tcW w:w="404" w:type="pct"/>
            <w:shd w:val="clear" w:color="auto" w:fill="auto"/>
            <w:vAlign w:val="center"/>
          </w:tcPr>
          <w:p w14:paraId="27A9C465">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达标</w:t>
            </w:r>
          </w:p>
        </w:tc>
        <w:tc>
          <w:tcPr>
            <w:tcW w:w="303" w:type="pct"/>
            <w:shd w:val="clear" w:color="auto" w:fill="auto"/>
            <w:vAlign w:val="center"/>
          </w:tcPr>
          <w:p w14:paraId="36E01D80">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11</w:t>
            </w:r>
          </w:p>
        </w:tc>
        <w:tc>
          <w:tcPr>
            <w:tcW w:w="404" w:type="pct"/>
            <w:shd w:val="clear" w:color="auto" w:fill="auto"/>
            <w:vAlign w:val="center"/>
          </w:tcPr>
          <w:p w14:paraId="4ED883ED">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0.0024</w:t>
            </w:r>
          </w:p>
        </w:tc>
        <w:tc>
          <w:tcPr>
            <w:tcW w:w="390" w:type="pct"/>
            <w:shd w:val="clear" w:color="auto" w:fill="auto"/>
            <w:vAlign w:val="center"/>
          </w:tcPr>
          <w:p w14:paraId="6349FF6D">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达标</w:t>
            </w:r>
          </w:p>
        </w:tc>
      </w:tr>
      <w:tr w14:paraId="7D8660A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000" w:type="pct"/>
            <w:gridSpan w:val="13"/>
            <w:shd w:val="clear" w:color="auto" w:fill="auto"/>
            <w:vAlign w:val="center"/>
          </w:tcPr>
          <w:p w14:paraId="224CF602">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T7</w:t>
            </w:r>
          </w:p>
        </w:tc>
      </w:tr>
      <w:tr w14:paraId="6853FA8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30" w:type="pct"/>
            <w:shd w:val="clear" w:color="auto" w:fill="auto"/>
            <w:vAlign w:val="center"/>
          </w:tcPr>
          <w:p w14:paraId="27379E4C">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1</w:t>
            </w:r>
          </w:p>
        </w:tc>
        <w:tc>
          <w:tcPr>
            <w:tcW w:w="632" w:type="pct"/>
            <w:shd w:val="clear" w:color="auto" w:fill="auto"/>
            <w:vAlign w:val="center"/>
          </w:tcPr>
          <w:p w14:paraId="1BC08E2C">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汞</w:t>
            </w:r>
          </w:p>
        </w:tc>
        <w:tc>
          <w:tcPr>
            <w:tcW w:w="405" w:type="pct"/>
            <w:shd w:val="clear" w:color="auto" w:fill="auto"/>
            <w:vAlign w:val="center"/>
          </w:tcPr>
          <w:p w14:paraId="451AE92E">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38</w:t>
            </w:r>
          </w:p>
        </w:tc>
        <w:tc>
          <w:tcPr>
            <w:tcW w:w="304" w:type="pct"/>
            <w:shd w:val="clear" w:color="auto" w:fill="auto"/>
            <w:vAlign w:val="center"/>
          </w:tcPr>
          <w:p w14:paraId="34705038">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mg/kg</w:t>
            </w:r>
          </w:p>
        </w:tc>
        <w:tc>
          <w:tcPr>
            <w:tcW w:w="304" w:type="pct"/>
            <w:shd w:val="clear" w:color="auto" w:fill="auto"/>
            <w:vAlign w:val="center"/>
          </w:tcPr>
          <w:p w14:paraId="53C24B42">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0.08</w:t>
            </w:r>
          </w:p>
        </w:tc>
        <w:tc>
          <w:tcPr>
            <w:tcW w:w="405" w:type="pct"/>
            <w:shd w:val="clear" w:color="auto" w:fill="auto"/>
            <w:vAlign w:val="center"/>
          </w:tcPr>
          <w:p w14:paraId="5FCE17CA">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0.0021</w:t>
            </w:r>
          </w:p>
        </w:tc>
        <w:tc>
          <w:tcPr>
            <w:tcW w:w="407" w:type="pct"/>
            <w:shd w:val="clear" w:color="auto" w:fill="auto"/>
            <w:vAlign w:val="center"/>
          </w:tcPr>
          <w:p w14:paraId="0073810B">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达标</w:t>
            </w:r>
          </w:p>
        </w:tc>
        <w:tc>
          <w:tcPr>
            <w:tcW w:w="309" w:type="pct"/>
            <w:shd w:val="clear" w:color="auto" w:fill="auto"/>
            <w:vAlign w:val="center"/>
          </w:tcPr>
          <w:p w14:paraId="6A2A429C">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0.062</w:t>
            </w:r>
          </w:p>
        </w:tc>
        <w:tc>
          <w:tcPr>
            <w:tcW w:w="404" w:type="pct"/>
            <w:shd w:val="clear" w:color="auto" w:fill="auto"/>
            <w:vAlign w:val="center"/>
          </w:tcPr>
          <w:p w14:paraId="724A3CAD">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0.0016</w:t>
            </w:r>
          </w:p>
        </w:tc>
        <w:tc>
          <w:tcPr>
            <w:tcW w:w="404" w:type="pct"/>
            <w:shd w:val="clear" w:color="auto" w:fill="auto"/>
            <w:vAlign w:val="center"/>
          </w:tcPr>
          <w:p w14:paraId="2506B4A2">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达标</w:t>
            </w:r>
          </w:p>
        </w:tc>
        <w:tc>
          <w:tcPr>
            <w:tcW w:w="303" w:type="pct"/>
            <w:shd w:val="clear" w:color="auto" w:fill="auto"/>
            <w:vAlign w:val="center"/>
          </w:tcPr>
          <w:p w14:paraId="0D4C6107">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0.066</w:t>
            </w:r>
          </w:p>
        </w:tc>
        <w:tc>
          <w:tcPr>
            <w:tcW w:w="404" w:type="pct"/>
            <w:shd w:val="clear" w:color="auto" w:fill="auto"/>
            <w:vAlign w:val="center"/>
          </w:tcPr>
          <w:p w14:paraId="46330988">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0.0017</w:t>
            </w:r>
          </w:p>
        </w:tc>
        <w:tc>
          <w:tcPr>
            <w:tcW w:w="390" w:type="pct"/>
            <w:shd w:val="clear" w:color="auto" w:fill="auto"/>
            <w:vAlign w:val="center"/>
          </w:tcPr>
          <w:p w14:paraId="2F0184E4">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达标</w:t>
            </w:r>
          </w:p>
        </w:tc>
      </w:tr>
      <w:tr w14:paraId="11FD793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30" w:type="pct"/>
            <w:shd w:val="clear" w:color="auto" w:fill="auto"/>
            <w:vAlign w:val="center"/>
          </w:tcPr>
          <w:p w14:paraId="78BF668F">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2</w:t>
            </w:r>
          </w:p>
        </w:tc>
        <w:tc>
          <w:tcPr>
            <w:tcW w:w="632" w:type="pct"/>
            <w:shd w:val="clear" w:color="auto" w:fill="auto"/>
            <w:vAlign w:val="center"/>
          </w:tcPr>
          <w:p w14:paraId="61CE6167">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砷</w:t>
            </w:r>
          </w:p>
        </w:tc>
        <w:tc>
          <w:tcPr>
            <w:tcW w:w="405" w:type="pct"/>
            <w:shd w:val="clear" w:color="auto" w:fill="auto"/>
            <w:vAlign w:val="center"/>
          </w:tcPr>
          <w:p w14:paraId="457B8429">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60</w:t>
            </w:r>
          </w:p>
        </w:tc>
        <w:tc>
          <w:tcPr>
            <w:tcW w:w="304" w:type="pct"/>
            <w:shd w:val="clear" w:color="auto" w:fill="auto"/>
            <w:vAlign w:val="center"/>
          </w:tcPr>
          <w:p w14:paraId="2E89E745">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mg/kg</w:t>
            </w:r>
          </w:p>
        </w:tc>
        <w:tc>
          <w:tcPr>
            <w:tcW w:w="304" w:type="pct"/>
            <w:shd w:val="clear" w:color="auto" w:fill="auto"/>
            <w:vAlign w:val="center"/>
          </w:tcPr>
          <w:p w14:paraId="7B7A1BC1">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8.3</w:t>
            </w:r>
          </w:p>
        </w:tc>
        <w:tc>
          <w:tcPr>
            <w:tcW w:w="405" w:type="pct"/>
            <w:shd w:val="clear" w:color="auto" w:fill="auto"/>
            <w:vAlign w:val="center"/>
          </w:tcPr>
          <w:p w14:paraId="1687A537">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0.1383</w:t>
            </w:r>
          </w:p>
        </w:tc>
        <w:tc>
          <w:tcPr>
            <w:tcW w:w="407" w:type="pct"/>
            <w:shd w:val="clear" w:color="auto" w:fill="auto"/>
            <w:vAlign w:val="center"/>
          </w:tcPr>
          <w:p w14:paraId="6CD9EA3F">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达标</w:t>
            </w:r>
          </w:p>
        </w:tc>
        <w:tc>
          <w:tcPr>
            <w:tcW w:w="309" w:type="pct"/>
            <w:shd w:val="clear" w:color="auto" w:fill="auto"/>
            <w:vAlign w:val="center"/>
          </w:tcPr>
          <w:p w14:paraId="7EFC66B9">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8.14</w:t>
            </w:r>
          </w:p>
        </w:tc>
        <w:tc>
          <w:tcPr>
            <w:tcW w:w="404" w:type="pct"/>
            <w:shd w:val="clear" w:color="auto" w:fill="auto"/>
            <w:vAlign w:val="center"/>
          </w:tcPr>
          <w:p w14:paraId="33FDC084">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0.1357</w:t>
            </w:r>
          </w:p>
        </w:tc>
        <w:tc>
          <w:tcPr>
            <w:tcW w:w="404" w:type="pct"/>
            <w:shd w:val="clear" w:color="auto" w:fill="auto"/>
            <w:vAlign w:val="center"/>
          </w:tcPr>
          <w:p w14:paraId="28CF64CB">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达标</w:t>
            </w:r>
          </w:p>
        </w:tc>
        <w:tc>
          <w:tcPr>
            <w:tcW w:w="303" w:type="pct"/>
            <w:shd w:val="clear" w:color="auto" w:fill="auto"/>
            <w:vAlign w:val="center"/>
          </w:tcPr>
          <w:p w14:paraId="375A753F">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8.96</w:t>
            </w:r>
          </w:p>
        </w:tc>
        <w:tc>
          <w:tcPr>
            <w:tcW w:w="404" w:type="pct"/>
            <w:shd w:val="clear" w:color="auto" w:fill="auto"/>
            <w:vAlign w:val="center"/>
          </w:tcPr>
          <w:p w14:paraId="2450BFE4">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0.1493</w:t>
            </w:r>
          </w:p>
        </w:tc>
        <w:tc>
          <w:tcPr>
            <w:tcW w:w="390" w:type="pct"/>
            <w:shd w:val="clear" w:color="auto" w:fill="auto"/>
            <w:vAlign w:val="center"/>
          </w:tcPr>
          <w:p w14:paraId="48DE44AD">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达标</w:t>
            </w:r>
          </w:p>
        </w:tc>
      </w:tr>
      <w:tr w14:paraId="2DBDAB2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30" w:type="pct"/>
            <w:shd w:val="clear" w:color="auto" w:fill="auto"/>
            <w:vAlign w:val="center"/>
          </w:tcPr>
          <w:p w14:paraId="441F0632">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3</w:t>
            </w:r>
          </w:p>
        </w:tc>
        <w:tc>
          <w:tcPr>
            <w:tcW w:w="632" w:type="pct"/>
            <w:shd w:val="clear" w:color="auto" w:fill="auto"/>
            <w:vAlign w:val="center"/>
          </w:tcPr>
          <w:p w14:paraId="753D8B3F">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铅</w:t>
            </w:r>
          </w:p>
        </w:tc>
        <w:tc>
          <w:tcPr>
            <w:tcW w:w="405" w:type="pct"/>
            <w:shd w:val="clear" w:color="auto" w:fill="auto"/>
            <w:vAlign w:val="center"/>
          </w:tcPr>
          <w:p w14:paraId="5513DCFB">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800</w:t>
            </w:r>
          </w:p>
        </w:tc>
        <w:tc>
          <w:tcPr>
            <w:tcW w:w="304" w:type="pct"/>
            <w:shd w:val="clear" w:color="auto" w:fill="auto"/>
            <w:vAlign w:val="center"/>
          </w:tcPr>
          <w:p w14:paraId="76117501">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mg/kg</w:t>
            </w:r>
          </w:p>
        </w:tc>
        <w:tc>
          <w:tcPr>
            <w:tcW w:w="304" w:type="pct"/>
            <w:shd w:val="clear" w:color="auto" w:fill="auto"/>
            <w:vAlign w:val="center"/>
          </w:tcPr>
          <w:p w14:paraId="16C28FD1">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9.6</w:t>
            </w:r>
          </w:p>
        </w:tc>
        <w:tc>
          <w:tcPr>
            <w:tcW w:w="405" w:type="pct"/>
            <w:shd w:val="clear" w:color="auto" w:fill="auto"/>
            <w:vAlign w:val="center"/>
          </w:tcPr>
          <w:p w14:paraId="4114007E">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0.0120</w:t>
            </w:r>
          </w:p>
        </w:tc>
        <w:tc>
          <w:tcPr>
            <w:tcW w:w="407" w:type="pct"/>
            <w:shd w:val="clear" w:color="auto" w:fill="auto"/>
            <w:vAlign w:val="center"/>
          </w:tcPr>
          <w:p w14:paraId="3763CB20">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达标</w:t>
            </w:r>
          </w:p>
        </w:tc>
        <w:tc>
          <w:tcPr>
            <w:tcW w:w="309" w:type="pct"/>
            <w:shd w:val="clear" w:color="auto" w:fill="auto"/>
            <w:vAlign w:val="center"/>
          </w:tcPr>
          <w:p w14:paraId="0A744CF1">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18.8</w:t>
            </w:r>
          </w:p>
        </w:tc>
        <w:tc>
          <w:tcPr>
            <w:tcW w:w="404" w:type="pct"/>
            <w:shd w:val="clear" w:color="auto" w:fill="auto"/>
            <w:vAlign w:val="center"/>
          </w:tcPr>
          <w:p w14:paraId="2AB86383">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0.0235</w:t>
            </w:r>
          </w:p>
        </w:tc>
        <w:tc>
          <w:tcPr>
            <w:tcW w:w="404" w:type="pct"/>
            <w:shd w:val="clear" w:color="auto" w:fill="auto"/>
            <w:vAlign w:val="center"/>
          </w:tcPr>
          <w:p w14:paraId="7ECE67A3">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达标</w:t>
            </w:r>
          </w:p>
        </w:tc>
        <w:tc>
          <w:tcPr>
            <w:tcW w:w="303" w:type="pct"/>
            <w:shd w:val="clear" w:color="auto" w:fill="auto"/>
            <w:vAlign w:val="center"/>
          </w:tcPr>
          <w:p w14:paraId="4F6ACA41">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16.3</w:t>
            </w:r>
          </w:p>
        </w:tc>
        <w:tc>
          <w:tcPr>
            <w:tcW w:w="404" w:type="pct"/>
            <w:shd w:val="clear" w:color="auto" w:fill="auto"/>
            <w:vAlign w:val="center"/>
          </w:tcPr>
          <w:p w14:paraId="4EDE0B23">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0.0204</w:t>
            </w:r>
          </w:p>
        </w:tc>
        <w:tc>
          <w:tcPr>
            <w:tcW w:w="390" w:type="pct"/>
            <w:shd w:val="clear" w:color="auto" w:fill="auto"/>
            <w:vAlign w:val="center"/>
          </w:tcPr>
          <w:p w14:paraId="375E0A4B">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达标</w:t>
            </w:r>
          </w:p>
        </w:tc>
      </w:tr>
      <w:tr w14:paraId="620BBFC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30" w:type="pct"/>
            <w:shd w:val="clear" w:color="auto" w:fill="auto"/>
            <w:vAlign w:val="center"/>
          </w:tcPr>
          <w:p w14:paraId="605BAAB8">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4</w:t>
            </w:r>
          </w:p>
        </w:tc>
        <w:tc>
          <w:tcPr>
            <w:tcW w:w="632" w:type="pct"/>
            <w:shd w:val="clear" w:color="auto" w:fill="auto"/>
            <w:vAlign w:val="center"/>
          </w:tcPr>
          <w:p w14:paraId="37B12D7C">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镉</w:t>
            </w:r>
          </w:p>
        </w:tc>
        <w:tc>
          <w:tcPr>
            <w:tcW w:w="405" w:type="pct"/>
            <w:shd w:val="clear" w:color="auto" w:fill="auto"/>
            <w:vAlign w:val="center"/>
          </w:tcPr>
          <w:p w14:paraId="232AC351">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65</w:t>
            </w:r>
          </w:p>
        </w:tc>
        <w:tc>
          <w:tcPr>
            <w:tcW w:w="304" w:type="pct"/>
            <w:shd w:val="clear" w:color="auto" w:fill="auto"/>
            <w:vAlign w:val="center"/>
          </w:tcPr>
          <w:p w14:paraId="3A93C907">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mg/kg</w:t>
            </w:r>
          </w:p>
        </w:tc>
        <w:tc>
          <w:tcPr>
            <w:tcW w:w="304" w:type="pct"/>
            <w:shd w:val="clear" w:color="auto" w:fill="auto"/>
            <w:vAlign w:val="center"/>
          </w:tcPr>
          <w:p w14:paraId="5293D9C6">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0.14</w:t>
            </w:r>
          </w:p>
        </w:tc>
        <w:tc>
          <w:tcPr>
            <w:tcW w:w="405" w:type="pct"/>
            <w:shd w:val="clear" w:color="auto" w:fill="auto"/>
            <w:vAlign w:val="center"/>
          </w:tcPr>
          <w:p w14:paraId="0D165EAB">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0.0022</w:t>
            </w:r>
          </w:p>
        </w:tc>
        <w:tc>
          <w:tcPr>
            <w:tcW w:w="407" w:type="pct"/>
            <w:shd w:val="clear" w:color="auto" w:fill="auto"/>
            <w:vAlign w:val="center"/>
          </w:tcPr>
          <w:p w14:paraId="2E3A8284">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达标</w:t>
            </w:r>
          </w:p>
        </w:tc>
        <w:tc>
          <w:tcPr>
            <w:tcW w:w="309" w:type="pct"/>
            <w:shd w:val="clear" w:color="auto" w:fill="auto"/>
            <w:vAlign w:val="center"/>
          </w:tcPr>
          <w:p w14:paraId="15ADC4DE">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0.35</w:t>
            </w:r>
          </w:p>
        </w:tc>
        <w:tc>
          <w:tcPr>
            <w:tcW w:w="404" w:type="pct"/>
            <w:shd w:val="clear" w:color="auto" w:fill="auto"/>
            <w:vAlign w:val="center"/>
          </w:tcPr>
          <w:p w14:paraId="466633FE">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0.0054</w:t>
            </w:r>
          </w:p>
        </w:tc>
        <w:tc>
          <w:tcPr>
            <w:tcW w:w="404" w:type="pct"/>
            <w:shd w:val="clear" w:color="auto" w:fill="auto"/>
            <w:vAlign w:val="center"/>
          </w:tcPr>
          <w:p w14:paraId="59E56BB7">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达标</w:t>
            </w:r>
          </w:p>
        </w:tc>
        <w:tc>
          <w:tcPr>
            <w:tcW w:w="303" w:type="pct"/>
            <w:shd w:val="clear" w:color="auto" w:fill="auto"/>
            <w:vAlign w:val="center"/>
          </w:tcPr>
          <w:p w14:paraId="51624085">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0.27</w:t>
            </w:r>
          </w:p>
        </w:tc>
        <w:tc>
          <w:tcPr>
            <w:tcW w:w="404" w:type="pct"/>
            <w:shd w:val="clear" w:color="auto" w:fill="auto"/>
            <w:vAlign w:val="center"/>
          </w:tcPr>
          <w:p w14:paraId="4151FD84">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0.0042</w:t>
            </w:r>
          </w:p>
        </w:tc>
        <w:tc>
          <w:tcPr>
            <w:tcW w:w="390" w:type="pct"/>
            <w:shd w:val="clear" w:color="auto" w:fill="auto"/>
            <w:vAlign w:val="center"/>
          </w:tcPr>
          <w:p w14:paraId="01778A92">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达标</w:t>
            </w:r>
          </w:p>
        </w:tc>
      </w:tr>
      <w:tr w14:paraId="5BEA5DA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30" w:type="pct"/>
            <w:shd w:val="clear" w:color="auto" w:fill="auto"/>
            <w:vAlign w:val="center"/>
          </w:tcPr>
          <w:p w14:paraId="77CA2796">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5</w:t>
            </w:r>
          </w:p>
        </w:tc>
        <w:tc>
          <w:tcPr>
            <w:tcW w:w="632" w:type="pct"/>
            <w:shd w:val="clear" w:color="auto" w:fill="auto"/>
            <w:vAlign w:val="center"/>
          </w:tcPr>
          <w:p w14:paraId="215DA46C">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六价铬</w:t>
            </w:r>
          </w:p>
        </w:tc>
        <w:tc>
          <w:tcPr>
            <w:tcW w:w="405" w:type="pct"/>
            <w:shd w:val="clear" w:color="auto" w:fill="auto"/>
            <w:vAlign w:val="center"/>
          </w:tcPr>
          <w:p w14:paraId="207991B0">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5.7</w:t>
            </w:r>
          </w:p>
        </w:tc>
        <w:tc>
          <w:tcPr>
            <w:tcW w:w="304" w:type="pct"/>
            <w:shd w:val="clear" w:color="auto" w:fill="auto"/>
            <w:vAlign w:val="center"/>
          </w:tcPr>
          <w:p w14:paraId="72D6C73B">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mg/kg</w:t>
            </w:r>
          </w:p>
        </w:tc>
        <w:tc>
          <w:tcPr>
            <w:tcW w:w="304" w:type="pct"/>
            <w:shd w:val="clear" w:color="auto" w:fill="auto"/>
            <w:vAlign w:val="center"/>
          </w:tcPr>
          <w:p w14:paraId="34A60869">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0.5L</w:t>
            </w:r>
          </w:p>
        </w:tc>
        <w:tc>
          <w:tcPr>
            <w:tcW w:w="405" w:type="pct"/>
            <w:shd w:val="clear" w:color="auto" w:fill="auto"/>
            <w:vAlign w:val="center"/>
          </w:tcPr>
          <w:p w14:paraId="609D8639">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w:t>
            </w:r>
          </w:p>
        </w:tc>
        <w:tc>
          <w:tcPr>
            <w:tcW w:w="407" w:type="pct"/>
            <w:shd w:val="clear" w:color="auto" w:fill="auto"/>
            <w:vAlign w:val="center"/>
          </w:tcPr>
          <w:p w14:paraId="16332FFF">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达标</w:t>
            </w:r>
          </w:p>
        </w:tc>
        <w:tc>
          <w:tcPr>
            <w:tcW w:w="309" w:type="pct"/>
            <w:shd w:val="clear" w:color="auto" w:fill="auto"/>
            <w:vAlign w:val="center"/>
          </w:tcPr>
          <w:p w14:paraId="44C503B5">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0.5L</w:t>
            </w:r>
          </w:p>
        </w:tc>
        <w:tc>
          <w:tcPr>
            <w:tcW w:w="404" w:type="pct"/>
            <w:shd w:val="clear" w:color="auto" w:fill="auto"/>
            <w:vAlign w:val="center"/>
          </w:tcPr>
          <w:p w14:paraId="552C07D3">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w:t>
            </w:r>
          </w:p>
        </w:tc>
        <w:tc>
          <w:tcPr>
            <w:tcW w:w="404" w:type="pct"/>
            <w:shd w:val="clear" w:color="auto" w:fill="auto"/>
            <w:vAlign w:val="center"/>
          </w:tcPr>
          <w:p w14:paraId="15351806">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达标</w:t>
            </w:r>
          </w:p>
        </w:tc>
        <w:tc>
          <w:tcPr>
            <w:tcW w:w="303" w:type="pct"/>
            <w:shd w:val="clear" w:color="auto" w:fill="auto"/>
            <w:vAlign w:val="center"/>
          </w:tcPr>
          <w:p w14:paraId="30E76703">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0.5L</w:t>
            </w:r>
          </w:p>
        </w:tc>
        <w:tc>
          <w:tcPr>
            <w:tcW w:w="404" w:type="pct"/>
            <w:shd w:val="clear" w:color="auto" w:fill="auto"/>
            <w:vAlign w:val="center"/>
          </w:tcPr>
          <w:p w14:paraId="3867A6D9">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w:t>
            </w:r>
          </w:p>
        </w:tc>
        <w:tc>
          <w:tcPr>
            <w:tcW w:w="390" w:type="pct"/>
            <w:shd w:val="clear" w:color="auto" w:fill="auto"/>
            <w:vAlign w:val="center"/>
          </w:tcPr>
          <w:p w14:paraId="7B78949E">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达标</w:t>
            </w:r>
          </w:p>
        </w:tc>
      </w:tr>
      <w:tr w14:paraId="5AA7580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30" w:type="pct"/>
            <w:shd w:val="clear" w:color="auto" w:fill="auto"/>
            <w:vAlign w:val="center"/>
          </w:tcPr>
          <w:p w14:paraId="49185518">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6</w:t>
            </w:r>
          </w:p>
        </w:tc>
        <w:tc>
          <w:tcPr>
            <w:tcW w:w="632" w:type="pct"/>
            <w:shd w:val="clear" w:color="auto" w:fill="auto"/>
            <w:vAlign w:val="center"/>
          </w:tcPr>
          <w:p w14:paraId="458549BE">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铜</w:t>
            </w:r>
          </w:p>
        </w:tc>
        <w:tc>
          <w:tcPr>
            <w:tcW w:w="405" w:type="pct"/>
            <w:shd w:val="clear" w:color="auto" w:fill="auto"/>
            <w:vAlign w:val="center"/>
          </w:tcPr>
          <w:p w14:paraId="256AD791">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18000</w:t>
            </w:r>
          </w:p>
        </w:tc>
        <w:tc>
          <w:tcPr>
            <w:tcW w:w="304" w:type="pct"/>
            <w:shd w:val="clear" w:color="auto" w:fill="auto"/>
            <w:vAlign w:val="center"/>
          </w:tcPr>
          <w:p w14:paraId="0EDC8B7A">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mg/kg</w:t>
            </w:r>
          </w:p>
        </w:tc>
        <w:tc>
          <w:tcPr>
            <w:tcW w:w="304" w:type="pct"/>
            <w:shd w:val="clear" w:color="auto" w:fill="auto"/>
            <w:vAlign w:val="center"/>
          </w:tcPr>
          <w:p w14:paraId="3DDF8AD5">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36</w:t>
            </w:r>
          </w:p>
        </w:tc>
        <w:tc>
          <w:tcPr>
            <w:tcW w:w="405" w:type="pct"/>
            <w:shd w:val="clear" w:color="auto" w:fill="auto"/>
            <w:vAlign w:val="center"/>
          </w:tcPr>
          <w:p w14:paraId="43DDDA1B">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0.0020</w:t>
            </w:r>
          </w:p>
        </w:tc>
        <w:tc>
          <w:tcPr>
            <w:tcW w:w="407" w:type="pct"/>
            <w:shd w:val="clear" w:color="auto" w:fill="auto"/>
            <w:vAlign w:val="center"/>
          </w:tcPr>
          <w:p w14:paraId="310517A6">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达标</w:t>
            </w:r>
          </w:p>
        </w:tc>
        <w:tc>
          <w:tcPr>
            <w:tcW w:w="309" w:type="pct"/>
            <w:shd w:val="clear" w:color="auto" w:fill="auto"/>
            <w:vAlign w:val="center"/>
          </w:tcPr>
          <w:p w14:paraId="2B690CFA">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32</w:t>
            </w:r>
          </w:p>
        </w:tc>
        <w:tc>
          <w:tcPr>
            <w:tcW w:w="404" w:type="pct"/>
            <w:shd w:val="clear" w:color="auto" w:fill="auto"/>
            <w:vAlign w:val="center"/>
          </w:tcPr>
          <w:p w14:paraId="7823AC35">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0.0018</w:t>
            </w:r>
          </w:p>
        </w:tc>
        <w:tc>
          <w:tcPr>
            <w:tcW w:w="404" w:type="pct"/>
            <w:shd w:val="clear" w:color="auto" w:fill="auto"/>
            <w:vAlign w:val="center"/>
          </w:tcPr>
          <w:p w14:paraId="0B9261D9">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达标</w:t>
            </w:r>
          </w:p>
        </w:tc>
        <w:tc>
          <w:tcPr>
            <w:tcW w:w="303" w:type="pct"/>
            <w:shd w:val="clear" w:color="auto" w:fill="auto"/>
            <w:vAlign w:val="center"/>
          </w:tcPr>
          <w:p w14:paraId="09C0673A">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29</w:t>
            </w:r>
          </w:p>
        </w:tc>
        <w:tc>
          <w:tcPr>
            <w:tcW w:w="404" w:type="pct"/>
            <w:shd w:val="clear" w:color="auto" w:fill="auto"/>
            <w:vAlign w:val="center"/>
          </w:tcPr>
          <w:p w14:paraId="3544C1AF">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0.0016</w:t>
            </w:r>
          </w:p>
        </w:tc>
        <w:tc>
          <w:tcPr>
            <w:tcW w:w="390" w:type="pct"/>
            <w:shd w:val="clear" w:color="auto" w:fill="auto"/>
            <w:vAlign w:val="center"/>
          </w:tcPr>
          <w:p w14:paraId="29C73775">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达标</w:t>
            </w:r>
          </w:p>
        </w:tc>
      </w:tr>
      <w:tr w14:paraId="4585F3D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30" w:type="pct"/>
            <w:shd w:val="clear" w:color="auto" w:fill="auto"/>
            <w:vAlign w:val="center"/>
          </w:tcPr>
          <w:p w14:paraId="60E8B3D2">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7</w:t>
            </w:r>
          </w:p>
        </w:tc>
        <w:tc>
          <w:tcPr>
            <w:tcW w:w="632" w:type="pct"/>
            <w:shd w:val="clear" w:color="auto" w:fill="auto"/>
            <w:vAlign w:val="center"/>
          </w:tcPr>
          <w:p w14:paraId="5A4770BB">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镍</w:t>
            </w:r>
          </w:p>
        </w:tc>
        <w:tc>
          <w:tcPr>
            <w:tcW w:w="405" w:type="pct"/>
            <w:shd w:val="clear" w:color="auto" w:fill="auto"/>
            <w:vAlign w:val="center"/>
          </w:tcPr>
          <w:p w14:paraId="01BC8FED">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900</w:t>
            </w:r>
          </w:p>
        </w:tc>
        <w:tc>
          <w:tcPr>
            <w:tcW w:w="304" w:type="pct"/>
            <w:shd w:val="clear" w:color="auto" w:fill="auto"/>
            <w:vAlign w:val="center"/>
          </w:tcPr>
          <w:p w14:paraId="39EA3058">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mg/kg</w:t>
            </w:r>
          </w:p>
        </w:tc>
        <w:tc>
          <w:tcPr>
            <w:tcW w:w="304" w:type="pct"/>
            <w:shd w:val="clear" w:color="auto" w:fill="auto"/>
            <w:vAlign w:val="center"/>
          </w:tcPr>
          <w:p w14:paraId="684D711E">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31</w:t>
            </w:r>
          </w:p>
        </w:tc>
        <w:tc>
          <w:tcPr>
            <w:tcW w:w="405" w:type="pct"/>
            <w:shd w:val="clear" w:color="auto" w:fill="auto"/>
            <w:vAlign w:val="center"/>
          </w:tcPr>
          <w:p w14:paraId="7DF971DF">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0.0344</w:t>
            </w:r>
          </w:p>
        </w:tc>
        <w:tc>
          <w:tcPr>
            <w:tcW w:w="407" w:type="pct"/>
            <w:shd w:val="clear" w:color="auto" w:fill="auto"/>
            <w:vAlign w:val="center"/>
          </w:tcPr>
          <w:p w14:paraId="65928061">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达标</w:t>
            </w:r>
          </w:p>
        </w:tc>
        <w:tc>
          <w:tcPr>
            <w:tcW w:w="309" w:type="pct"/>
            <w:shd w:val="clear" w:color="auto" w:fill="auto"/>
            <w:vAlign w:val="center"/>
          </w:tcPr>
          <w:p w14:paraId="4053F98E">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41</w:t>
            </w:r>
          </w:p>
        </w:tc>
        <w:tc>
          <w:tcPr>
            <w:tcW w:w="404" w:type="pct"/>
            <w:shd w:val="clear" w:color="auto" w:fill="auto"/>
            <w:vAlign w:val="center"/>
          </w:tcPr>
          <w:p w14:paraId="7099A123">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0.0456</w:t>
            </w:r>
          </w:p>
        </w:tc>
        <w:tc>
          <w:tcPr>
            <w:tcW w:w="404" w:type="pct"/>
            <w:shd w:val="clear" w:color="auto" w:fill="auto"/>
            <w:vAlign w:val="center"/>
          </w:tcPr>
          <w:p w14:paraId="50C7B2C6">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达标</w:t>
            </w:r>
          </w:p>
        </w:tc>
        <w:tc>
          <w:tcPr>
            <w:tcW w:w="303" w:type="pct"/>
            <w:shd w:val="clear" w:color="auto" w:fill="auto"/>
            <w:vAlign w:val="center"/>
          </w:tcPr>
          <w:p w14:paraId="182247E6">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43</w:t>
            </w:r>
          </w:p>
        </w:tc>
        <w:tc>
          <w:tcPr>
            <w:tcW w:w="404" w:type="pct"/>
            <w:shd w:val="clear" w:color="auto" w:fill="auto"/>
            <w:vAlign w:val="center"/>
          </w:tcPr>
          <w:p w14:paraId="762D0098">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0.0478</w:t>
            </w:r>
          </w:p>
        </w:tc>
        <w:tc>
          <w:tcPr>
            <w:tcW w:w="390" w:type="pct"/>
            <w:shd w:val="clear" w:color="auto" w:fill="auto"/>
            <w:vAlign w:val="center"/>
          </w:tcPr>
          <w:p w14:paraId="377CB058">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达标</w:t>
            </w:r>
          </w:p>
        </w:tc>
      </w:tr>
      <w:tr w14:paraId="38692F4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30" w:type="pct"/>
            <w:shd w:val="clear" w:color="auto" w:fill="auto"/>
            <w:vAlign w:val="center"/>
          </w:tcPr>
          <w:p w14:paraId="3EE75638">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8</w:t>
            </w:r>
          </w:p>
        </w:tc>
        <w:tc>
          <w:tcPr>
            <w:tcW w:w="632" w:type="pct"/>
            <w:shd w:val="clear" w:color="auto" w:fill="auto"/>
            <w:vAlign w:val="center"/>
          </w:tcPr>
          <w:p w14:paraId="4BE36C26">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pH</w:t>
            </w:r>
          </w:p>
        </w:tc>
        <w:tc>
          <w:tcPr>
            <w:tcW w:w="405" w:type="pct"/>
            <w:shd w:val="clear" w:color="auto" w:fill="auto"/>
            <w:vAlign w:val="center"/>
          </w:tcPr>
          <w:p w14:paraId="6EB8C46B">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w:t>
            </w:r>
          </w:p>
        </w:tc>
        <w:tc>
          <w:tcPr>
            <w:tcW w:w="304" w:type="pct"/>
            <w:shd w:val="clear" w:color="auto" w:fill="auto"/>
            <w:vAlign w:val="center"/>
          </w:tcPr>
          <w:p w14:paraId="41543C2D">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w:t>
            </w:r>
          </w:p>
        </w:tc>
        <w:tc>
          <w:tcPr>
            <w:tcW w:w="304" w:type="pct"/>
            <w:shd w:val="clear" w:color="auto" w:fill="auto"/>
            <w:vAlign w:val="center"/>
          </w:tcPr>
          <w:p w14:paraId="57955533">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8.8</w:t>
            </w:r>
          </w:p>
        </w:tc>
        <w:tc>
          <w:tcPr>
            <w:tcW w:w="405" w:type="pct"/>
            <w:shd w:val="clear" w:color="auto" w:fill="auto"/>
            <w:vAlign w:val="center"/>
          </w:tcPr>
          <w:p w14:paraId="16F270FA">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w:t>
            </w:r>
          </w:p>
        </w:tc>
        <w:tc>
          <w:tcPr>
            <w:tcW w:w="407" w:type="pct"/>
            <w:shd w:val="clear" w:color="auto" w:fill="auto"/>
            <w:vAlign w:val="center"/>
          </w:tcPr>
          <w:p w14:paraId="6DE4EC6D">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w:t>
            </w:r>
          </w:p>
        </w:tc>
        <w:tc>
          <w:tcPr>
            <w:tcW w:w="309" w:type="pct"/>
            <w:shd w:val="clear" w:color="auto" w:fill="auto"/>
            <w:vAlign w:val="center"/>
          </w:tcPr>
          <w:p w14:paraId="024F07FD">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8.9</w:t>
            </w:r>
          </w:p>
        </w:tc>
        <w:tc>
          <w:tcPr>
            <w:tcW w:w="404" w:type="pct"/>
            <w:shd w:val="clear" w:color="auto" w:fill="auto"/>
            <w:vAlign w:val="center"/>
          </w:tcPr>
          <w:p w14:paraId="2CF22816">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w:t>
            </w:r>
          </w:p>
        </w:tc>
        <w:tc>
          <w:tcPr>
            <w:tcW w:w="404" w:type="pct"/>
            <w:shd w:val="clear" w:color="auto" w:fill="auto"/>
            <w:vAlign w:val="center"/>
          </w:tcPr>
          <w:p w14:paraId="60F8B028">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w:t>
            </w:r>
          </w:p>
        </w:tc>
        <w:tc>
          <w:tcPr>
            <w:tcW w:w="303" w:type="pct"/>
            <w:shd w:val="clear" w:color="auto" w:fill="auto"/>
            <w:vAlign w:val="center"/>
          </w:tcPr>
          <w:p w14:paraId="3F8AC90C">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8.66</w:t>
            </w:r>
          </w:p>
        </w:tc>
        <w:tc>
          <w:tcPr>
            <w:tcW w:w="404" w:type="pct"/>
            <w:shd w:val="clear" w:color="auto" w:fill="auto"/>
            <w:vAlign w:val="center"/>
          </w:tcPr>
          <w:p w14:paraId="4A4F9505">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w:t>
            </w:r>
          </w:p>
        </w:tc>
        <w:tc>
          <w:tcPr>
            <w:tcW w:w="390" w:type="pct"/>
            <w:shd w:val="clear" w:color="auto" w:fill="auto"/>
            <w:vAlign w:val="center"/>
          </w:tcPr>
          <w:p w14:paraId="6A14BB7A">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w:t>
            </w:r>
          </w:p>
        </w:tc>
      </w:tr>
      <w:tr w14:paraId="22C47D0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30" w:type="pct"/>
            <w:shd w:val="clear" w:color="auto" w:fill="auto"/>
            <w:vAlign w:val="center"/>
          </w:tcPr>
          <w:p w14:paraId="3647AF94">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9</w:t>
            </w:r>
          </w:p>
        </w:tc>
        <w:tc>
          <w:tcPr>
            <w:tcW w:w="632" w:type="pct"/>
            <w:shd w:val="clear" w:color="auto" w:fill="auto"/>
            <w:vAlign w:val="center"/>
          </w:tcPr>
          <w:p w14:paraId="7727931C">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土壤盐分含量</w:t>
            </w:r>
          </w:p>
        </w:tc>
        <w:tc>
          <w:tcPr>
            <w:tcW w:w="405" w:type="pct"/>
            <w:shd w:val="clear" w:color="auto" w:fill="auto"/>
            <w:vAlign w:val="center"/>
          </w:tcPr>
          <w:p w14:paraId="44438AEA">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w:t>
            </w:r>
          </w:p>
        </w:tc>
        <w:tc>
          <w:tcPr>
            <w:tcW w:w="304" w:type="pct"/>
            <w:shd w:val="clear" w:color="auto" w:fill="auto"/>
            <w:vAlign w:val="center"/>
          </w:tcPr>
          <w:p w14:paraId="6E3502A7">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g/kg</w:t>
            </w:r>
          </w:p>
        </w:tc>
        <w:tc>
          <w:tcPr>
            <w:tcW w:w="304" w:type="pct"/>
            <w:shd w:val="clear" w:color="auto" w:fill="auto"/>
            <w:vAlign w:val="center"/>
          </w:tcPr>
          <w:p w14:paraId="02B3C419">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15.6</w:t>
            </w:r>
          </w:p>
        </w:tc>
        <w:tc>
          <w:tcPr>
            <w:tcW w:w="405" w:type="pct"/>
            <w:shd w:val="clear" w:color="auto" w:fill="auto"/>
            <w:vAlign w:val="center"/>
          </w:tcPr>
          <w:p w14:paraId="45769746">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w:t>
            </w:r>
          </w:p>
        </w:tc>
        <w:tc>
          <w:tcPr>
            <w:tcW w:w="407" w:type="pct"/>
            <w:shd w:val="clear" w:color="auto" w:fill="auto"/>
            <w:vAlign w:val="center"/>
          </w:tcPr>
          <w:p w14:paraId="71962801">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w:t>
            </w:r>
          </w:p>
        </w:tc>
        <w:tc>
          <w:tcPr>
            <w:tcW w:w="309" w:type="pct"/>
            <w:shd w:val="clear" w:color="auto" w:fill="auto"/>
            <w:vAlign w:val="center"/>
          </w:tcPr>
          <w:p w14:paraId="28899B76">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21.4</w:t>
            </w:r>
          </w:p>
        </w:tc>
        <w:tc>
          <w:tcPr>
            <w:tcW w:w="404" w:type="pct"/>
            <w:shd w:val="clear" w:color="auto" w:fill="auto"/>
            <w:vAlign w:val="center"/>
          </w:tcPr>
          <w:p w14:paraId="421DC353">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w:t>
            </w:r>
          </w:p>
        </w:tc>
        <w:tc>
          <w:tcPr>
            <w:tcW w:w="404" w:type="pct"/>
            <w:shd w:val="clear" w:color="auto" w:fill="auto"/>
            <w:vAlign w:val="center"/>
          </w:tcPr>
          <w:p w14:paraId="0ADB2F9B">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w:t>
            </w:r>
          </w:p>
        </w:tc>
        <w:tc>
          <w:tcPr>
            <w:tcW w:w="303" w:type="pct"/>
            <w:shd w:val="clear" w:color="auto" w:fill="auto"/>
            <w:vAlign w:val="center"/>
          </w:tcPr>
          <w:p w14:paraId="15BE08BB">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19.3</w:t>
            </w:r>
          </w:p>
        </w:tc>
        <w:tc>
          <w:tcPr>
            <w:tcW w:w="404" w:type="pct"/>
            <w:shd w:val="clear" w:color="auto" w:fill="auto"/>
            <w:vAlign w:val="center"/>
          </w:tcPr>
          <w:p w14:paraId="3661A2FC">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w:t>
            </w:r>
          </w:p>
        </w:tc>
        <w:tc>
          <w:tcPr>
            <w:tcW w:w="390" w:type="pct"/>
            <w:shd w:val="clear" w:color="auto" w:fill="auto"/>
            <w:vAlign w:val="center"/>
          </w:tcPr>
          <w:p w14:paraId="5AB66819">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w:t>
            </w:r>
          </w:p>
        </w:tc>
      </w:tr>
      <w:tr w14:paraId="383A04B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30" w:type="pct"/>
            <w:shd w:val="clear" w:color="auto" w:fill="auto"/>
            <w:vAlign w:val="center"/>
          </w:tcPr>
          <w:p w14:paraId="66FCFEE8">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10</w:t>
            </w:r>
          </w:p>
        </w:tc>
        <w:tc>
          <w:tcPr>
            <w:tcW w:w="632" w:type="pct"/>
            <w:shd w:val="clear" w:color="auto" w:fill="auto"/>
            <w:vAlign w:val="center"/>
          </w:tcPr>
          <w:p w14:paraId="12CBFF2C">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石油烃</w:t>
            </w:r>
          </w:p>
        </w:tc>
        <w:tc>
          <w:tcPr>
            <w:tcW w:w="405" w:type="pct"/>
            <w:shd w:val="clear" w:color="auto" w:fill="auto"/>
            <w:vAlign w:val="center"/>
          </w:tcPr>
          <w:p w14:paraId="3708FC3F">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4500</w:t>
            </w:r>
          </w:p>
        </w:tc>
        <w:tc>
          <w:tcPr>
            <w:tcW w:w="304" w:type="pct"/>
            <w:shd w:val="clear" w:color="auto" w:fill="auto"/>
            <w:vAlign w:val="center"/>
          </w:tcPr>
          <w:p w14:paraId="6EC1DEBE">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mg/kg</w:t>
            </w:r>
          </w:p>
        </w:tc>
        <w:tc>
          <w:tcPr>
            <w:tcW w:w="304" w:type="pct"/>
            <w:shd w:val="clear" w:color="auto" w:fill="auto"/>
            <w:vAlign w:val="center"/>
          </w:tcPr>
          <w:p w14:paraId="1E8B0168">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11</w:t>
            </w:r>
          </w:p>
        </w:tc>
        <w:tc>
          <w:tcPr>
            <w:tcW w:w="405" w:type="pct"/>
            <w:shd w:val="clear" w:color="auto" w:fill="auto"/>
            <w:vAlign w:val="center"/>
          </w:tcPr>
          <w:p w14:paraId="55C1B94A">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0.0024</w:t>
            </w:r>
          </w:p>
        </w:tc>
        <w:tc>
          <w:tcPr>
            <w:tcW w:w="407" w:type="pct"/>
            <w:shd w:val="clear" w:color="auto" w:fill="auto"/>
            <w:vAlign w:val="center"/>
          </w:tcPr>
          <w:p w14:paraId="03EE22CE">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达标</w:t>
            </w:r>
          </w:p>
        </w:tc>
        <w:tc>
          <w:tcPr>
            <w:tcW w:w="309" w:type="pct"/>
            <w:shd w:val="clear" w:color="auto" w:fill="auto"/>
            <w:vAlign w:val="center"/>
          </w:tcPr>
          <w:p w14:paraId="61B9E0EC">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8</w:t>
            </w:r>
          </w:p>
        </w:tc>
        <w:tc>
          <w:tcPr>
            <w:tcW w:w="404" w:type="pct"/>
            <w:shd w:val="clear" w:color="auto" w:fill="auto"/>
            <w:vAlign w:val="center"/>
          </w:tcPr>
          <w:p w14:paraId="32F69E65">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0.0018</w:t>
            </w:r>
          </w:p>
        </w:tc>
        <w:tc>
          <w:tcPr>
            <w:tcW w:w="404" w:type="pct"/>
            <w:shd w:val="clear" w:color="auto" w:fill="auto"/>
            <w:vAlign w:val="center"/>
          </w:tcPr>
          <w:p w14:paraId="3A27484E">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达标</w:t>
            </w:r>
          </w:p>
        </w:tc>
        <w:tc>
          <w:tcPr>
            <w:tcW w:w="303" w:type="pct"/>
            <w:shd w:val="clear" w:color="auto" w:fill="auto"/>
            <w:vAlign w:val="center"/>
          </w:tcPr>
          <w:p w14:paraId="100DBA58">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9</w:t>
            </w:r>
          </w:p>
        </w:tc>
        <w:tc>
          <w:tcPr>
            <w:tcW w:w="404" w:type="pct"/>
            <w:shd w:val="clear" w:color="auto" w:fill="auto"/>
            <w:vAlign w:val="center"/>
          </w:tcPr>
          <w:p w14:paraId="79B28BEB">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0.0020</w:t>
            </w:r>
          </w:p>
        </w:tc>
        <w:tc>
          <w:tcPr>
            <w:tcW w:w="390" w:type="pct"/>
            <w:shd w:val="clear" w:color="auto" w:fill="auto"/>
            <w:vAlign w:val="center"/>
          </w:tcPr>
          <w:p w14:paraId="51AEC14A">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达标</w:t>
            </w:r>
          </w:p>
        </w:tc>
      </w:tr>
      <w:tr w14:paraId="0090454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000" w:type="pct"/>
            <w:gridSpan w:val="13"/>
            <w:shd w:val="clear" w:color="auto" w:fill="auto"/>
            <w:vAlign w:val="center"/>
          </w:tcPr>
          <w:p w14:paraId="24D45366">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T8</w:t>
            </w:r>
          </w:p>
        </w:tc>
      </w:tr>
      <w:tr w14:paraId="0937442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30" w:type="pct"/>
            <w:shd w:val="clear" w:color="auto" w:fill="auto"/>
            <w:vAlign w:val="center"/>
          </w:tcPr>
          <w:p w14:paraId="39BD6FE2">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1</w:t>
            </w:r>
          </w:p>
        </w:tc>
        <w:tc>
          <w:tcPr>
            <w:tcW w:w="632" w:type="pct"/>
            <w:shd w:val="clear" w:color="auto" w:fill="auto"/>
            <w:vAlign w:val="center"/>
          </w:tcPr>
          <w:p w14:paraId="3379FD75">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汞</w:t>
            </w:r>
          </w:p>
        </w:tc>
        <w:tc>
          <w:tcPr>
            <w:tcW w:w="405" w:type="pct"/>
            <w:shd w:val="clear" w:color="auto" w:fill="auto"/>
            <w:vAlign w:val="center"/>
          </w:tcPr>
          <w:p w14:paraId="69FD33F7">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38</w:t>
            </w:r>
          </w:p>
        </w:tc>
        <w:tc>
          <w:tcPr>
            <w:tcW w:w="304" w:type="pct"/>
            <w:shd w:val="clear" w:color="auto" w:fill="auto"/>
            <w:vAlign w:val="center"/>
          </w:tcPr>
          <w:p w14:paraId="31BF68FE">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mg/kg</w:t>
            </w:r>
          </w:p>
        </w:tc>
        <w:tc>
          <w:tcPr>
            <w:tcW w:w="304" w:type="pct"/>
            <w:shd w:val="clear" w:color="auto" w:fill="auto"/>
            <w:vAlign w:val="center"/>
          </w:tcPr>
          <w:p w14:paraId="172B9F15">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0.063</w:t>
            </w:r>
          </w:p>
        </w:tc>
        <w:tc>
          <w:tcPr>
            <w:tcW w:w="405" w:type="pct"/>
            <w:shd w:val="clear" w:color="auto" w:fill="auto"/>
            <w:vAlign w:val="center"/>
          </w:tcPr>
          <w:p w14:paraId="7F82B50D">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0.0017</w:t>
            </w:r>
          </w:p>
        </w:tc>
        <w:tc>
          <w:tcPr>
            <w:tcW w:w="407" w:type="pct"/>
            <w:shd w:val="clear" w:color="auto" w:fill="auto"/>
            <w:vAlign w:val="center"/>
          </w:tcPr>
          <w:p w14:paraId="5468BE6A">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达标</w:t>
            </w:r>
          </w:p>
        </w:tc>
        <w:tc>
          <w:tcPr>
            <w:tcW w:w="309" w:type="pct"/>
            <w:shd w:val="clear" w:color="auto" w:fill="auto"/>
            <w:vAlign w:val="center"/>
          </w:tcPr>
          <w:p w14:paraId="515DCABD">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0.052</w:t>
            </w:r>
          </w:p>
        </w:tc>
        <w:tc>
          <w:tcPr>
            <w:tcW w:w="404" w:type="pct"/>
            <w:shd w:val="clear" w:color="auto" w:fill="auto"/>
            <w:vAlign w:val="center"/>
          </w:tcPr>
          <w:p w14:paraId="16379386">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0.0014</w:t>
            </w:r>
          </w:p>
        </w:tc>
        <w:tc>
          <w:tcPr>
            <w:tcW w:w="404" w:type="pct"/>
            <w:shd w:val="clear" w:color="auto" w:fill="auto"/>
            <w:vAlign w:val="center"/>
          </w:tcPr>
          <w:p w14:paraId="6D232D81">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达标</w:t>
            </w:r>
          </w:p>
        </w:tc>
        <w:tc>
          <w:tcPr>
            <w:tcW w:w="303" w:type="pct"/>
            <w:shd w:val="clear" w:color="auto" w:fill="auto"/>
            <w:vAlign w:val="center"/>
          </w:tcPr>
          <w:p w14:paraId="7995A60C">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0.057</w:t>
            </w:r>
          </w:p>
        </w:tc>
        <w:tc>
          <w:tcPr>
            <w:tcW w:w="404" w:type="pct"/>
            <w:shd w:val="clear" w:color="auto" w:fill="auto"/>
            <w:vAlign w:val="center"/>
          </w:tcPr>
          <w:p w14:paraId="7D1001AF">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0.0015</w:t>
            </w:r>
          </w:p>
        </w:tc>
        <w:tc>
          <w:tcPr>
            <w:tcW w:w="390" w:type="pct"/>
            <w:shd w:val="clear" w:color="auto" w:fill="auto"/>
            <w:vAlign w:val="center"/>
          </w:tcPr>
          <w:p w14:paraId="6A1D82FE">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达标</w:t>
            </w:r>
          </w:p>
        </w:tc>
      </w:tr>
      <w:tr w14:paraId="26515C6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30" w:type="pct"/>
            <w:shd w:val="clear" w:color="auto" w:fill="auto"/>
            <w:vAlign w:val="center"/>
          </w:tcPr>
          <w:p w14:paraId="283F86DB">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2</w:t>
            </w:r>
          </w:p>
        </w:tc>
        <w:tc>
          <w:tcPr>
            <w:tcW w:w="632" w:type="pct"/>
            <w:shd w:val="clear" w:color="auto" w:fill="auto"/>
            <w:vAlign w:val="center"/>
          </w:tcPr>
          <w:p w14:paraId="282559D9">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砷</w:t>
            </w:r>
          </w:p>
        </w:tc>
        <w:tc>
          <w:tcPr>
            <w:tcW w:w="405" w:type="pct"/>
            <w:shd w:val="clear" w:color="auto" w:fill="auto"/>
            <w:vAlign w:val="center"/>
          </w:tcPr>
          <w:p w14:paraId="3BF4AEF3">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60</w:t>
            </w:r>
          </w:p>
        </w:tc>
        <w:tc>
          <w:tcPr>
            <w:tcW w:w="304" w:type="pct"/>
            <w:shd w:val="clear" w:color="auto" w:fill="auto"/>
            <w:vAlign w:val="center"/>
          </w:tcPr>
          <w:p w14:paraId="34E8874E">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mg/kg</w:t>
            </w:r>
          </w:p>
        </w:tc>
        <w:tc>
          <w:tcPr>
            <w:tcW w:w="304" w:type="pct"/>
            <w:shd w:val="clear" w:color="auto" w:fill="auto"/>
            <w:vAlign w:val="center"/>
          </w:tcPr>
          <w:p w14:paraId="579B8BCF">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8.37</w:t>
            </w:r>
          </w:p>
        </w:tc>
        <w:tc>
          <w:tcPr>
            <w:tcW w:w="405" w:type="pct"/>
            <w:shd w:val="clear" w:color="auto" w:fill="auto"/>
            <w:vAlign w:val="center"/>
          </w:tcPr>
          <w:p w14:paraId="054F6130">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0.1395</w:t>
            </w:r>
          </w:p>
        </w:tc>
        <w:tc>
          <w:tcPr>
            <w:tcW w:w="407" w:type="pct"/>
            <w:shd w:val="clear" w:color="auto" w:fill="auto"/>
            <w:vAlign w:val="center"/>
          </w:tcPr>
          <w:p w14:paraId="515031DF">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达标</w:t>
            </w:r>
          </w:p>
        </w:tc>
        <w:tc>
          <w:tcPr>
            <w:tcW w:w="309" w:type="pct"/>
            <w:shd w:val="clear" w:color="auto" w:fill="auto"/>
            <w:vAlign w:val="center"/>
          </w:tcPr>
          <w:p w14:paraId="0C962423">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8.76</w:t>
            </w:r>
          </w:p>
        </w:tc>
        <w:tc>
          <w:tcPr>
            <w:tcW w:w="404" w:type="pct"/>
            <w:shd w:val="clear" w:color="auto" w:fill="auto"/>
            <w:vAlign w:val="center"/>
          </w:tcPr>
          <w:p w14:paraId="76F50A4F">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0.1460</w:t>
            </w:r>
          </w:p>
        </w:tc>
        <w:tc>
          <w:tcPr>
            <w:tcW w:w="404" w:type="pct"/>
            <w:shd w:val="clear" w:color="auto" w:fill="auto"/>
            <w:vAlign w:val="center"/>
          </w:tcPr>
          <w:p w14:paraId="3199705C">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达标</w:t>
            </w:r>
          </w:p>
        </w:tc>
        <w:tc>
          <w:tcPr>
            <w:tcW w:w="303" w:type="pct"/>
            <w:shd w:val="clear" w:color="auto" w:fill="auto"/>
            <w:vAlign w:val="center"/>
          </w:tcPr>
          <w:p w14:paraId="66785668">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8.3</w:t>
            </w:r>
          </w:p>
        </w:tc>
        <w:tc>
          <w:tcPr>
            <w:tcW w:w="404" w:type="pct"/>
            <w:shd w:val="clear" w:color="auto" w:fill="auto"/>
            <w:vAlign w:val="center"/>
          </w:tcPr>
          <w:p w14:paraId="3197BD95">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0.1383</w:t>
            </w:r>
          </w:p>
        </w:tc>
        <w:tc>
          <w:tcPr>
            <w:tcW w:w="390" w:type="pct"/>
            <w:shd w:val="clear" w:color="auto" w:fill="auto"/>
            <w:vAlign w:val="center"/>
          </w:tcPr>
          <w:p w14:paraId="2550C2E4">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达标</w:t>
            </w:r>
          </w:p>
        </w:tc>
      </w:tr>
      <w:tr w14:paraId="11A9CA0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30" w:type="pct"/>
            <w:shd w:val="clear" w:color="auto" w:fill="auto"/>
            <w:vAlign w:val="center"/>
          </w:tcPr>
          <w:p w14:paraId="1A5392E6">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3</w:t>
            </w:r>
          </w:p>
        </w:tc>
        <w:tc>
          <w:tcPr>
            <w:tcW w:w="632" w:type="pct"/>
            <w:shd w:val="clear" w:color="auto" w:fill="auto"/>
            <w:vAlign w:val="center"/>
          </w:tcPr>
          <w:p w14:paraId="1337381B">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铅</w:t>
            </w:r>
          </w:p>
        </w:tc>
        <w:tc>
          <w:tcPr>
            <w:tcW w:w="405" w:type="pct"/>
            <w:shd w:val="clear" w:color="auto" w:fill="auto"/>
            <w:vAlign w:val="center"/>
          </w:tcPr>
          <w:p w14:paraId="48702047">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800</w:t>
            </w:r>
          </w:p>
        </w:tc>
        <w:tc>
          <w:tcPr>
            <w:tcW w:w="304" w:type="pct"/>
            <w:shd w:val="clear" w:color="auto" w:fill="auto"/>
            <w:vAlign w:val="center"/>
          </w:tcPr>
          <w:p w14:paraId="10930DAD">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mg/kg</w:t>
            </w:r>
          </w:p>
        </w:tc>
        <w:tc>
          <w:tcPr>
            <w:tcW w:w="304" w:type="pct"/>
            <w:shd w:val="clear" w:color="auto" w:fill="auto"/>
            <w:vAlign w:val="center"/>
          </w:tcPr>
          <w:p w14:paraId="74805D11">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17.4</w:t>
            </w:r>
          </w:p>
        </w:tc>
        <w:tc>
          <w:tcPr>
            <w:tcW w:w="405" w:type="pct"/>
            <w:shd w:val="clear" w:color="auto" w:fill="auto"/>
            <w:vAlign w:val="center"/>
          </w:tcPr>
          <w:p w14:paraId="7B7F505B">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0.0218</w:t>
            </w:r>
          </w:p>
        </w:tc>
        <w:tc>
          <w:tcPr>
            <w:tcW w:w="407" w:type="pct"/>
            <w:shd w:val="clear" w:color="auto" w:fill="auto"/>
            <w:vAlign w:val="center"/>
          </w:tcPr>
          <w:p w14:paraId="5E3AA493">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达标</w:t>
            </w:r>
          </w:p>
        </w:tc>
        <w:tc>
          <w:tcPr>
            <w:tcW w:w="309" w:type="pct"/>
            <w:shd w:val="clear" w:color="auto" w:fill="auto"/>
            <w:vAlign w:val="center"/>
          </w:tcPr>
          <w:p w14:paraId="0AC87C70">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17.8</w:t>
            </w:r>
          </w:p>
        </w:tc>
        <w:tc>
          <w:tcPr>
            <w:tcW w:w="404" w:type="pct"/>
            <w:shd w:val="clear" w:color="auto" w:fill="auto"/>
            <w:vAlign w:val="center"/>
          </w:tcPr>
          <w:p w14:paraId="485A90C8">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0.0223</w:t>
            </w:r>
          </w:p>
        </w:tc>
        <w:tc>
          <w:tcPr>
            <w:tcW w:w="404" w:type="pct"/>
            <w:shd w:val="clear" w:color="auto" w:fill="auto"/>
            <w:vAlign w:val="center"/>
          </w:tcPr>
          <w:p w14:paraId="5571160E">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达标</w:t>
            </w:r>
          </w:p>
        </w:tc>
        <w:tc>
          <w:tcPr>
            <w:tcW w:w="303" w:type="pct"/>
            <w:shd w:val="clear" w:color="auto" w:fill="auto"/>
            <w:vAlign w:val="center"/>
          </w:tcPr>
          <w:p w14:paraId="6E680946">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17.1</w:t>
            </w:r>
          </w:p>
        </w:tc>
        <w:tc>
          <w:tcPr>
            <w:tcW w:w="404" w:type="pct"/>
            <w:shd w:val="clear" w:color="auto" w:fill="auto"/>
            <w:vAlign w:val="center"/>
          </w:tcPr>
          <w:p w14:paraId="2838BBBE">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0.0214</w:t>
            </w:r>
          </w:p>
        </w:tc>
        <w:tc>
          <w:tcPr>
            <w:tcW w:w="390" w:type="pct"/>
            <w:shd w:val="clear" w:color="auto" w:fill="auto"/>
            <w:vAlign w:val="center"/>
          </w:tcPr>
          <w:p w14:paraId="23871E80">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达标</w:t>
            </w:r>
          </w:p>
        </w:tc>
      </w:tr>
      <w:tr w14:paraId="28670DC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30" w:type="pct"/>
            <w:shd w:val="clear" w:color="auto" w:fill="auto"/>
            <w:vAlign w:val="center"/>
          </w:tcPr>
          <w:p w14:paraId="39B73000">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4</w:t>
            </w:r>
          </w:p>
        </w:tc>
        <w:tc>
          <w:tcPr>
            <w:tcW w:w="632" w:type="pct"/>
            <w:shd w:val="clear" w:color="auto" w:fill="auto"/>
            <w:vAlign w:val="center"/>
          </w:tcPr>
          <w:p w14:paraId="43B94D36">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镉</w:t>
            </w:r>
          </w:p>
        </w:tc>
        <w:tc>
          <w:tcPr>
            <w:tcW w:w="405" w:type="pct"/>
            <w:shd w:val="clear" w:color="auto" w:fill="auto"/>
            <w:vAlign w:val="center"/>
          </w:tcPr>
          <w:p w14:paraId="36D3E8F5">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65</w:t>
            </w:r>
          </w:p>
        </w:tc>
        <w:tc>
          <w:tcPr>
            <w:tcW w:w="304" w:type="pct"/>
            <w:shd w:val="clear" w:color="auto" w:fill="auto"/>
            <w:vAlign w:val="center"/>
          </w:tcPr>
          <w:p w14:paraId="7A9CDEC2">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mg/kg</w:t>
            </w:r>
          </w:p>
        </w:tc>
        <w:tc>
          <w:tcPr>
            <w:tcW w:w="304" w:type="pct"/>
            <w:shd w:val="clear" w:color="auto" w:fill="auto"/>
            <w:vAlign w:val="center"/>
          </w:tcPr>
          <w:p w14:paraId="6F1ABDEC">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0.09</w:t>
            </w:r>
          </w:p>
        </w:tc>
        <w:tc>
          <w:tcPr>
            <w:tcW w:w="405" w:type="pct"/>
            <w:shd w:val="clear" w:color="auto" w:fill="auto"/>
            <w:vAlign w:val="center"/>
          </w:tcPr>
          <w:p w14:paraId="6FF4F3E7">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0.0014</w:t>
            </w:r>
          </w:p>
        </w:tc>
        <w:tc>
          <w:tcPr>
            <w:tcW w:w="407" w:type="pct"/>
            <w:shd w:val="clear" w:color="auto" w:fill="auto"/>
            <w:vAlign w:val="center"/>
          </w:tcPr>
          <w:p w14:paraId="233DD7C9">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达标</w:t>
            </w:r>
          </w:p>
        </w:tc>
        <w:tc>
          <w:tcPr>
            <w:tcW w:w="309" w:type="pct"/>
            <w:shd w:val="clear" w:color="auto" w:fill="auto"/>
            <w:vAlign w:val="center"/>
          </w:tcPr>
          <w:p w14:paraId="168BFF08">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0.11</w:t>
            </w:r>
          </w:p>
        </w:tc>
        <w:tc>
          <w:tcPr>
            <w:tcW w:w="404" w:type="pct"/>
            <w:shd w:val="clear" w:color="auto" w:fill="auto"/>
            <w:vAlign w:val="center"/>
          </w:tcPr>
          <w:p w14:paraId="13C3948D">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0.0017</w:t>
            </w:r>
          </w:p>
        </w:tc>
        <w:tc>
          <w:tcPr>
            <w:tcW w:w="404" w:type="pct"/>
            <w:shd w:val="clear" w:color="auto" w:fill="auto"/>
            <w:vAlign w:val="center"/>
          </w:tcPr>
          <w:p w14:paraId="51269301">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达标</w:t>
            </w:r>
          </w:p>
        </w:tc>
        <w:tc>
          <w:tcPr>
            <w:tcW w:w="303" w:type="pct"/>
            <w:shd w:val="clear" w:color="auto" w:fill="auto"/>
            <w:vAlign w:val="center"/>
          </w:tcPr>
          <w:p w14:paraId="4FE26687">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0.09</w:t>
            </w:r>
          </w:p>
        </w:tc>
        <w:tc>
          <w:tcPr>
            <w:tcW w:w="404" w:type="pct"/>
            <w:shd w:val="clear" w:color="auto" w:fill="auto"/>
            <w:vAlign w:val="center"/>
          </w:tcPr>
          <w:p w14:paraId="3B8428BA">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0.0014</w:t>
            </w:r>
          </w:p>
        </w:tc>
        <w:tc>
          <w:tcPr>
            <w:tcW w:w="390" w:type="pct"/>
            <w:shd w:val="clear" w:color="auto" w:fill="auto"/>
            <w:vAlign w:val="center"/>
          </w:tcPr>
          <w:p w14:paraId="581B3FAF">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达标</w:t>
            </w:r>
          </w:p>
        </w:tc>
      </w:tr>
      <w:tr w14:paraId="6539868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30" w:type="pct"/>
            <w:shd w:val="clear" w:color="auto" w:fill="auto"/>
            <w:vAlign w:val="center"/>
          </w:tcPr>
          <w:p w14:paraId="1488E9D5">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5</w:t>
            </w:r>
          </w:p>
        </w:tc>
        <w:tc>
          <w:tcPr>
            <w:tcW w:w="632" w:type="pct"/>
            <w:shd w:val="clear" w:color="auto" w:fill="auto"/>
            <w:vAlign w:val="center"/>
          </w:tcPr>
          <w:p w14:paraId="637F55FC">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六价铬</w:t>
            </w:r>
          </w:p>
        </w:tc>
        <w:tc>
          <w:tcPr>
            <w:tcW w:w="405" w:type="pct"/>
            <w:shd w:val="clear" w:color="auto" w:fill="auto"/>
            <w:vAlign w:val="center"/>
          </w:tcPr>
          <w:p w14:paraId="27129AEF">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5.7</w:t>
            </w:r>
          </w:p>
        </w:tc>
        <w:tc>
          <w:tcPr>
            <w:tcW w:w="304" w:type="pct"/>
            <w:shd w:val="clear" w:color="auto" w:fill="auto"/>
            <w:vAlign w:val="center"/>
          </w:tcPr>
          <w:p w14:paraId="0FCE9C5E">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mg/kg</w:t>
            </w:r>
          </w:p>
        </w:tc>
        <w:tc>
          <w:tcPr>
            <w:tcW w:w="304" w:type="pct"/>
            <w:shd w:val="clear" w:color="auto" w:fill="auto"/>
            <w:vAlign w:val="center"/>
          </w:tcPr>
          <w:p w14:paraId="045177F3">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0.5L</w:t>
            </w:r>
          </w:p>
        </w:tc>
        <w:tc>
          <w:tcPr>
            <w:tcW w:w="405" w:type="pct"/>
            <w:shd w:val="clear" w:color="auto" w:fill="auto"/>
            <w:vAlign w:val="center"/>
          </w:tcPr>
          <w:p w14:paraId="447368CA">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w:t>
            </w:r>
          </w:p>
        </w:tc>
        <w:tc>
          <w:tcPr>
            <w:tcW w:w="407" w:type="pct"/>
            <w:shd w:val="clear" w:color="auto" w:fill="auto"/>
            <w:vAlign w:val="center"/>
          </w:tcPr>
          <w:p w14:paraId="1A87DA1D">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达标</w:t>
            </w:r>
          </w:p>
        </w:tc>
        <w:tc>
          <w:tcPr>
            <w:tcW w:w="309" w:type="pct"/>
            <w:shd w:val="clear" w:color="auto" w:fill="auto"/>
            <w:vAlign w:val="center"/>
          </w:tcPr>
          <w:p w14:paraId="68C73E02">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0.5L</w:t>
            </w:r>
          </w:p>
        </w:tc>
        <w:tc>
          <w:tcPr>
            <w:tcW w:w="404" w:type="pct"/>
            <w:shd w:val="clear" w:color="auto" w:fill="auto"/>
            <w:vAlign w:val="center"/>
          </w:tcPr>
          <w:p w14:paraId="3EA2CAC3">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w:t>
            </w:r>
          </w:p>
        </w:tc>
        <w:tc>
          <w:tcPr>
            <w:tcW w:w="404" w:type="pct"/>
            <w:shd w:val="clear" w:color="auto" w:fill="auto"/>
            <w:vAlign w:val="center"/>
          </w:tcPr>
          <w:p w14:paraId="0649743C">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达标</w:t>
            </w:r>
          </w:p>
        </w:tc>
        <w:tc>
          <w:tcPr>
            <w:tcW w:w="303" w:type="pct"/>
            <w:shd w:val="clear" w:color="auto" w:fill="auto"/>
            <w:vAlign w:val="center"/>
          </w:tcPr>
          <w:p w14:paraId="4AFCC9A9">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0.5L</w:t>
            </w:r>
          </w:p>
        </w:tc>
        <w:tc>
          <w:tcPr>
            <w:tcW w:w="404" w:type="pct"/>
            <w:shd w:val="clear" w:color="auto" w:fill="auto"/>
            <w:vAlign w:val="center"/>
          </w:tcPr>
          <w:p w14:paraId="5ED12425">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w:t>
            </w:r>
          </w:p>
        </w:tc>
        <w:tc>
          <w:tcPr>
            <w:tcW w:w="390" w:type="pct"/>
            <w:shd w:val="clear" w:color="auto" w:fill="auto"/>
            <w:vAlign w:val="center"/>
          </w:tcPr>
          <w:p w14:paraId="186491C9">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达标</w:t>
            </w:r>
          </w:p>
        </w:tc>
      </w:tr>
      <w:tr w14:paraId="2668DAC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30" w:type="pct"/>
            <w:shd w:val="clear" w:color="auto" w:fill="auto"/>
            <w:vAlign w:val="center"/>
          </w:tcPr>
          <w:p w14:paraId="6AEB30A6">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6</w:t>
            </w:r>
          </w:p>
        </w:tc>
        <w:tc>
          <w:tcPr>
            <w:tcW w:w="632" w:type="pct"/>
            <w:shd w:val="clear" w:color="auto" w:fill="auto"/>
            <w:vAlign w:val="center"/>
          </w:tcPr>
          <w:p w14:paraId="5BB64C4F">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铜</w:t>
            </w:r>
          </w:p>
        </w:tc>
        <w:tc>
          <w:tcPr>
            <w:tcW w:w="405" w:type="pct"/>
            <w:shd w:val="clear" w:color="auto" w:fill="auto"/>
            <w:vAlign w:val="center"/>
          </w:tcPr>
          <w:p w14:paraId="7B9A6436">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18000</w:t>
            </w:r>
          </w:p>
        </w:tc>
        <w:tc>
          <w:tcPr>
            <w:tcW w:w="304" w:type="pct"/>
            <w:shd w:val="clear" w:color="auto" w:fill="auto"/>
            <w:vAlign w:val="center"/>
          </w:tcPr>
          <w:p w14:paraId="6D0372EF">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mg/kg</w:t>
            </w:r>
          </w:p>
        </w:tc>
        <w:tc>
          <w:tcPr>
            <w:tcW w:w="304" w:type="pct"/>
            <w:shd w:val="clear" w:color="auto" w:fill="auto"/>
            <w:vAlign w:val="center"/>
          </w:tcPr>
          <w:p w14:paraId="385D3CD3">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30</w:t>
            </w:r>
          </w:p>
        </w:tc>
        <w:tc>
          <w:tcPr>
            <w:tcW w:w="405" w:type="pct"/>
            <w:shd w:val="clear" w:color="auto" w:fill="auto"/>
            <w:vAlign w:val="center"/>
          </w:tcPr>
          <w:p w14:paraId="6BF34A2F">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0.0017</w:t>
            </w:r>
          </w:p>
        </w:tc>
        <w:tc>
          <w:tcPr>
            <w:tcW w:w="407" w:type="pct"/>
            <w:shd w:val="clear" w:color="auto" w:fill="auto"/>
            <w:vAlign w:val="center"/>
          </w:tcPr>
          <w:p w14:paraId="6F71DD9D">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达标</w:t>
            </w:r>
          </w:p>
        </w:tc>
        <w:tc>
          <w:tcPr>
            <w:tcW w:w="309" w:type="pct"/>
            <w:shd w:val="clear" w:color="auto" w:fill="auto"/>
            <w:vAlign w:val="center"/>
          </w:tcPr>
          <w:p w14:paraId="7E4FC9A4">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33</w:t>
            </w:r>
          </w:p>
        </w:tc>
        <w:tc>
          <w:tcPr>
            <w:tcW w:w="404" w:type="pct"/>
            <w:shd w:val="clear" w:color="auto" w:fill="auto"/>
            <w:vAlign w:val="center"/>
          </w:tcPr>
          <w:p w14:paraId="55F79149">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0.0018</w:t>
            </w:r>
          </w:p>
        </w:tc>
        <w:tc>
          <w:tcPr>
            <w:tcW w:w="404" w:type="pct"/>
            <w:shd w:val="clear" w:color="auto" w:fill="auto"/>
            <w:vAlign w:val="center"/>
          </w:tcPr>
          <w:p w14:paraId="158D8F57">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达标</w:t>
            </w:r>
          </w:p>
        </w:tc>
        <w:tc>
          <w:tcPr>
            <w:tcW w:w="303" w:type="pct"/>
            <w:shd w:val="clear" w:color="auto" w:fill="auto"/>
            <w:vAlign w:val="center"/>
          </w:tcPr>
          <w:p w14:paraId="72C0ACB5">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38</w:t>
            </w:r>
          </w:p>
        </w:tc>
        <w:tc>
          <w:tcPr>
            <w:tcW w:w="404" w:type="pct"/>
            <w:shd w:val="clear" w:color="auto" w:fill="auto"/>
            <w:vAlign w:val="center"/>
          </w:tcPr>
          <w:p w14:paraId="64AE8D1E">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0.0021</w:t>
            </w:r>
          </w:p>
        </w:tc>
        <w:tc>
          <w:tcPr>
            <w:tcW w:w="390" w:type="pct"/>
            <w:shd w:val="clear" w:color="auto" w:fill="auto"/>
            <w:vAlign w:val="center"/>
          </w:tcPr>
          <w:p w14:paraId="1768B15C">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达标</w:t>
            </w:r>
          </w:p>
        </w:tc>
      </w:tr>
      <w:tr w14:paraId="5C8E0EB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30" w:type="pct"/>
            <w:shd w:val="clear" w:color="auto" w:fill="auto"/>
            <w:vAlign w:val="center"/>
          </w:tcPr>
          <w:p w14:paraId="1F9D1121">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7</w:t>
            </w:r>
          </w:p>
        </w:tc>
        <w:tc>
          <w:tcPr>
            <w:tcW w:w="632" w:type="pct"/>
            <w:shd w:val="clear" w:color="auto" w:fill="auto"/>
            <w:vAlign w:val="center"/>
          </w:tcPr>
          <w:p w14:paraId="67A6F1DB">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镍</w:t>
            </w:r>
          </w:p>
        </w:tc>
        <w:tc>
          <w:tcPr>
            <w:tcW w:w="405" w:type="pct"/>
            <w:shd w:val="clear" w:color="auto" w:fill="auto"/>
            <w:vAlign w:val="center"/>
          </w:tcPr>
          <w:p w14:paraId="0A995AB8">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900</w:t>
            </w:r>
          </w:p>
        </w:tc>
        <w:tc>
          <w:tcPr>
            <w:tcW w:w="304" w:type="pct"/>
            <w:shd w:val="clear" w:color="auto" w:fill="auto"/>
            <w:vAlign w:val="center"/>
          </w:tcPr>
          <w:p w14:paraId="3839F77F">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mg/kg</w:t>
            </w:r>
          </w:p>
        </w:tc>
        <w:tc>
          <w:tcPr>
            <w:tcW w:w="304" w:type="pct"/>
            <w:shd w:val="clear" w:color="auto" w:fill="auto"/>
            <w:vAlign w:val="center"/>
          </w:tcPr>
          <w:p w14:paraId="22D894E3">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38</w:t>
            </w:r>
          </w:p>
        </w:tc>
        <w:tc>
          <w:tcPr>
            <w:tcW w:w="405" w:type="pct"/>
            <w:shd w:val="clear" w:color="auto" w:fill="auto"/>
            <w:vAlign w:val="center"/>
          </w:tcPr>
          <w:p w14:paraId="69D48275">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0.0422</w:t>
            </w:r>
          </w:p>
        </w:tc>
        <w:tc>
          <w:tcPr>
            <w:tcW w:w="407" w:type="pct"/>
            <w:shd w:val="clear" w:color="auto" w:fill="auto"/>
            <w:vAlign w:val="center"/>
          </w:tcPr>
          <w:p w14:paraId="189DB2F9">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达标</w:t>
            </w:r>
          </w:p>
        </w:tc>
        <w:tc>
          <w:tcPr>
            <w:tcW w:w="309" w:type="pct"/>
            <w:shd w:val="clear" w:color="auto" w:fill="auto"/>
            <w:vAlign w:val="center"/>
          </w:tcPr>
          <w:p w14:paraId="74E7C695">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38</w:t>
            </w:r>
          </w:p>
        </w:tc>
        <w:tc>
          <w:tcPr>
            <w:tcW w:w="404" w:type="pct"/>
            <w:shd w:val="clear" w:color="auto" w:fill="auto"/>
            <w:vAlign w:val="center"/>
          </w:tcPr>
          <w:p w14:paraId="7ABA30F2">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0.0422</w:t>
            </w:r>
          </w:p>
        </w:tc>
        <w:tc>
          <w:tcPr>
            <w:tcW w:w="404" w:type="pct"/>
            <w:shd w:val="clear" w:color="auto" w:fill="auto"/>
            <w:vAlign w:val="center"/>
          </w:tcPr>
          <w:p w14:paraId="53F4A6A1">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达标</w:t>
            </w:r>
          </w:p>
        </w:tc>
        <w:tc>
          <w:tcPr>
            <w:tcW w:w="303" w:type="pct"/>
            <w:shd w:val="clear" w:color="auto" w:fill="auto"/>
            <w:vAlign w:val="center"/>
          </w:tcPr>
          <w:p w14:paraId="6BA94BEC">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51</w:t>
            </w:r>
          </w:p>
        </w:tc>
        <w:tc>
          <w:tcPr>
            <w:tcW w:w="404" w:type="pct"/>
            <w:shd w:val="clear" w:color="auto" w:fill="auto"/>
            <w:vAlign w:val="center"/>
          </w:tcPr>
          <w:p w14:paraId="58D289FB">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0.0567</w:t>
            </w:r>
          </w:p>
        </w:tc>
        <w:tc>
          <w:tcPr>
            <w:tcW w:w="390" w:type="pct"/>
            <w:shd w:val="clear" w:color="auto" w:fill="auto"/>
            <w:vAlign w:val="center"/>
          </w:tcPr>
          <w:p w14:paraId="200435BB">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达标</w:t>
            </w:r>
          </w:p>
        </w:tc>
      </w:tr>
      <w:tr w14:paraId="2967868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30" w:type="pct"/>
            <w:shd w:val="clear" w:color="auto" w:fill="auto"/>
            <w:vAlign w:val="center"/>
          </w:tcPr>
          <w:p w14:paraId="50D75CC5">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8</w:t>
            </w:r>
          </w:p>
        </w:tc>
        <w:tc>
          <w:tcPr>
            <w:tcW w:w="632" w:type="pct"/>
            <w:shd w:val="clear" w:color="auto" w:fill="auto"/>
            <w:vAlign w:val="center"/>
          </w:tcPr>
          <w:p w14:paraId="710EC6AF">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pH</w:t>
            </w:r>
          </w:p>
        </w:tc>
        <w:tc>
          <w:tcPr>
            <w:tcW w:w="405" w:type="pct"/>
            <w:shd w:val="clear" w:color="auto" w:fill="auto"/>
            <w:vAlign w:val="center"/>
          </w:tcPr>
          <w:p w14:paraId="5EE90E99">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w:t>
            </w:r>
          </w:p>
        </w:tc>
        <w:tc>
          <w:tcPr>
            <w:tcW w:w="304" w:type="pct"/>
            <w:shd w:val="clear" w:color="auto" w:fill="auto"/>
            <w:vAlign w:val="center"/>
          </w:tcPr>
          <w:p w14:paraId="2DE1FA7F">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w:t>
            </w:r>
          </w:p>
        </w:tc>
        <w:tc>
          <w:tcPr>
            <w:tcW w:w="304" w:type="pct"/>
            <w:shd w:val="clear" w:color="auto" w:fill="auto"/>
            <w:vAlign w:val="center"/>
          </w:tcPr>
          <w:p w14:paraId="515397BA">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8.42</w:t>
            </w:r>
          </w:p>
        </w:tc>
        <w:tc>
          <w:tcPr>
            <w:tcW w:w="405" w:type="pct"/>
            <w:shd w:val="clear" w:color="auto" w:fill="auto"/>
            <w:vAlign w:val="center"/>
          </w:tcPr>
          <w:p w14:paraId="0EF0A040">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w:t>
            </w:r>
          </w:p>
        </w:tc>
        <w:tc>
          <w:tcPr>
            <w:tcW w:w="407" w:type="pct"/>
            <w:shd w:val="clear" w:color="auto" w:fill="auto"/>
            <w:vAlign w:val="center"/>
          </w:tcPr>
          <w:p w14:paraId="40407D62">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w:t>
            </w:r>
          </w:p>
        </w:tc>
        <w:tc>
          <w:tcPr>
            <w:tcW w:w="309" w:type="pct"/>
            <w:shd w:val="clear" w:color="auto" w:fill="auto"/>
            <w:vAlign w:val="center"/>
          </w:tcPr>
          <w:p w14:paraId="0516F30B">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8.55</w:t>
            </w:r>
          </w:p>
        </w:tc>
        <w:tc>
          <w:tcPr>
            <w:tcW w:w="404" w:type="pct"/>
            <w:shd w:val="clear" w:color="auto" w:fill="auto"/>
            <w:vAlign w:val="center"/>
          </w:tcPr>
          <w:p w14:paraId="5C76A9B0">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w:t>
            </w:r>
          </w:p>
        </w:tc>
        <w:tc>
          <w:tcPr>
            <w:tcW w:w="404" w:type="pct"/>
            <w:shd w:val="clear" w:color="auto" w:fill="auto"/>
            <w:vAlign w:val="center"/>
          </w:tcPr>
          <w:p w14:paraId="4F58A3B9">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w:t>
            </w:r>
          </w:p>
        </w:tc>
        <w:tc>
          <w:tcPr>
            <w:tcW w:w="303" w:type="pct"/>
            <w:shd w:val="clear" w:color="auto" w:fill="auto"/>
            <w:vAlign w:val="center"/>
          </w:tcPr>
          <w:p w14:paraId="168DC16F">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8.28</w:t>
            </w:r>
          </w:p>
        </w:tc>
        <w:tc>
          <w:tcPr>
            <w:tcW w:w="404" w:type="pct"/>
            <w:shd w:val="clear" w:color="auto" w:fill="auto"/>
            <w:vAlign w:val="center"/>
          </w:tcPr>
          <w:p w14:paraId="57426EE7">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w:t>
            </w:r>
          </w:p>
        </w:tc>
        <w:tc>
          <w:tcPr>
            <w:tcW w:w="390" w:type="pct"/>
            <w:shd w:val="clear" w:color="auto" w:fill="auto"/>
            <w:vAlign w:val="center"/>
          </w:tcPr>
          <w:p w14:paraId="2AA57ADF">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w:t>
            </w:r>
          </w:p>
        </w:tc>
      </w:tr>
      <w:tr w14:paraId="266DB4D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30" w:type="pct"/>
            <w:shd w:val="clear" w:color="auto" w:fill="auto"/>
            <w:vAlign w:val="center"/>
          </w:tcPr>
          <w:p w14:paraId="03A05710">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9</w:t>
            </w:r>
          </w:p>
        </w:tc>
        <w:tc>
          <w:tcPr>
            <w:tcW w:w="632" w:type="pct"/>
            <w:shd w:val="clear" w:color="auto" w:fill="auto"/>
            <w:vAlign w:val="center"/>
          </w:tcPr>
          <w:p w14:paraId="3938C3E0">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土壤盐分含量</w:t>
            </w:r>
          </w:p>
        </w:tc>
        <w:tc>
          <w:tcPr>
            <w:tcW w:w="405" w:type="pct"/>
            <w:shd w:val="clear" w:color="auto" w:fill="auto"/>
            <w:vAlign w:val="center"/>
          </w:tcPr>
          <w:p w14:paraId="51BF31A7">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w:t>
            </w:r>
          </w:p>
        </w:tc>
        <w:tc>
          <w:tcPr>
            <w:tcW w:w="304" w:type="pct"/>
            <w:shd w:val="clear" w:color="auto" w:fill="auto"/>
            <w:vAlign w:val="center"/>
          </w:tcPr>
          <w:p w14:paraId="2EE0C63C">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g/kg</w:t>
            </w:r>
          </w:p>
        </w:tc>
        <w:tc>
          <w:tcPr>
            <w:tcW w:w="304" w:type="pct"/>
            <w:shd w:val="clear" w:color="auto" w:fill="auto"/>
            <w:vAlign w:val="center"/>
          </w:tcPr>
          <w:p w14:paraId="0021BB3A">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23</w:t>
            </w:r>
          </w:p>
        </w:tc>
        <w:tc>
          <w:tcPr>
            <w:tcW w:w="405" w:type="pct"/>
            <w:shd w:val="clear" w:color="auto" w:fill="auto"/>
            <w:vAlign w:val="center"/>
          </w:tcPr>
          <w:p w14:paraId="291841DD">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w:t>
            </w:r>
          </w:p>
        </w:tc>
        <w:tc>
          <w:tcPr>
            <w:tcW w:w="407" w:type="pct"/>
            <w:shd w:val="clear" w:color="auto" w:fill="auto"/>
            <w:vAlign w:val="center"/>
          </w:tcPr>
          <w:p w14:paraId="22A3920E">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w:t>
            </w:r>
          </w:p>
        </w:tc>
        <w:tc>
          <w:tcPr>
            <w:tcW w:w="309" w:type="pct"/>
            <w:shd w:val="clear" w:color="auto" w:fill="auto"/>
            <w:vAlign w:val="center"/>
          </w:tcPr>
          <w:p w14:paraId="7826F1FB">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18.7</w:t>
            </w:r>
          </w:p>
        </w:tc>
        <w:tc>
          <w:tcPr>
            <w:tcW w:w="404" w:type="pct"/>
            <w:shd w:val="clear" w:color="auto" w:fill="auto"/>
            <w:vAlign w:val="center"/>
          </w:tcPr>
          <w:p w14:paraId="091E34A8">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w:t>
            </w:r>
          </w:p>
        </w:tc>
        <w:tc>
          <w:tcPr>
            <w:tcW w:w="404" w:type="pct"/>
            <w:shd w:val="clear" w:color="auto" w:fill="auto"/>
            <w:vAlign w:val="center"/>
          </w:tcPr>
          <w:p w14:paraId="66D6B7EB">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w:t>
            </w:r>
          </w:p>
        </w:tc>
        <w:tc>
          <w:tcPr>
            <w:tcW w:w="303" w:type="pct"/>
            <w:shd w:val="clear" w:color="auto" w:fill="auto"/>
            <w:vAlign w:val="center"/>
          </w:tcPr>
          <w:p w14:paraId="565A96A0">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14.7</w:t>
            </w:r>
          </w:p>
        </w:tc>
        <w:tc>
          <w:tcPr>
            <w:tcW w:w="404" w:type="pct"/>
            <w:shd w:val="clear" w:color="auto" w:fill="auto"/>
            <w:vAlign w:val="center"/>
          </w:tcPr>
          <w:p w14:paraId="6C51534F">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w:t>
            </w:r>
          </w:p>
        </w:tc>
        <w:tc>
          <w:tcPr>
            <w:tcW w:w="390" w:type="pct"/>
            <w:shd w:val="clear" w:color="auto" w:fill="auto"/>
            <w:vAlign w:val="center"/>
          </w:tcPr>
          <w:p w14:paraId="06F60014">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w:t>
            </w:r>
          </w:p>
        </w:tc>
      </w:tr>
      <w:tr w14:paraId="36F5BD4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30" w:type="pct"/>
            <w:shd w:val="clear" w:color="auto" w:fill="auto"/>
            <w:vAlign w:val="center"/>
          </w:tcPr>
          <w:p w14:paraId="59BF7113">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10</w:t>
            </w:r>
          </w:p>
        </w:tc>
        <w:tc>
          <w:tcPr>
            <w:tcW w:w="632" w:type="pct"/>
            <w:shd w:val="clear" w:color="auto" w:fill="auto"/>
            <w:vAlign w:val="center"/>
          </w:tcPr>
          <w:p w14:paraId="2061BEFF">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石油烃</w:t>
            </w:r>
          </w:p>
        </w:tc>
        <w:tc>
          <w:tcPr>
            <w:tcW w:w="405" w:type="pct"/>
            <w:shd w:val="clear" w:color="auto" w:fill="auto"/>
            <w:vAlign w:val="center"/>
          </w:tcPr>
          <w:p w14:paraId="60E8EEFD">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4500</w:t>
            </w:r>
          </w:p>
        </w:tc>
        <w:tc>
          <w:tcPr>
            <w:tcW w:w="304" w:type="pct"/>
            <w:shd w:val="clear" w:color="auto" w:fill="auto"/>
            <w:vAlign w:val="center"/>
          </w:tcPr>
          <w:p w14:paraId="63253C25">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mg/kg</w:t>
            </w:r>
          </w:p>
        </w:tc>
        <w:tc>
          <w:tcPr>
            <w:tcW w:w="304" w:type="pct"/>
            <w:shd w:val="clear" w:color="auto" w:fill="auto"/>
            <w:vAlign w:val="center"/>
          </w:tcPr>
          <w:p w14:paraId="26814849">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7</w:t>
            </w:r>
          </w:p>
        </w:tc>
        <w:tc>
          <w:tcPr>
            <w:tcW w:w="405" w:type="pct"/>
            <w:shd w:val="clear" w:color="auto" w:fill="auto"/>
            <w:vAlign w:val="center"/>
          </w:tcPr>
          <w:p w14:paraId="48BEE120">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0.0016</w:t>
            </w:r>
          </w:p>
        </w:tc>
        <w:tc>
          <w:tcPr>
            <w:tcW w:w="407" w:type="pct"/>
            <w:shd w:val="clear" w:color="auto" w:fill="auto"/>
            <w:vAlign w:val="center"/>
          </w:tcPr>
          <w:p w14:paraId="5DCF62D6">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达标</w:t>
            </w:r>
          </w:p>
        </w:tc>
        <w:tc>
          <w:tcPr>
            <w:tcW w:w="309" w:type="pct"/>
            <w:shd w:val="clear" w:color="auto" w:fill="auto"/>
            <w:vAlign w:val="center"/>
          </w:tcPr>
          <w:p w14:paraId="780FA041">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11</w:t>
            </w:r>
          </w:p>
        </w:tc>
        <w:tc>
          <w:tcPr>
            <w:tcW w:w="404" w:type="pct"/>
            <w:shd w:val="clear" w:color="auto" w:fill="auto"/>
            <w:vAlign w:val="center"/>
          </w:tcPr>
          <w:p w14:paraId="0A83C8C4">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0.0024</w:t>
            </w:r>
          </w:p>
        </w:tc>
        <w:tc>
          <w:tcPr>
            <w:tcW w:w="404" w:type="pct"/>
            <w:shd w:val="clear" w:color="auto" w:fill="auto"/>
            <w:vAlign w:val="center"/>
          </w:tcPr>
          <w:p w14:paraId="7CB9B116">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达标</w:t>
            </w:r>
          </w:p>
        </w:tc>
        <w:tc>
          <w:tcPr>
            <w:tcW w:w="303" w:type="pct"/>
            <w:shd w:val="clear" w:color="auto" w:fill="auto"/>
            <w:vAlign w:val="center"/>
          </w:tcPr>
          <w:p w14:paraId="7ACB876F">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9</w:t>
            </w:r>
          </w:p>
        </w:tc>
        <w:tc>
          <w:tcPr>
            <w:tcW w:w="404" w:type="pct"/>
            <w:shd w:val="clear" w:color="auto" w:fill="auto"/>
            <w:vAlign w:val="center"/>
          </w:tcPr>
          <w:p w14:paraId="6D17A3A2">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0.0020</w:t>
            </w:r>
          </w:p>
        </w:tc>
        <w:tc>
          <w:tcPr>
            <w:tcW w:w="390" w:type="pct"/>
            <w:shd w:val="clear" w:color="auto" w:fill="auto"/>
            <w:vAlign w:val="center"/>
          </w:tcPr>
          <w:p w14:paraId="3EED76DC">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达标</w:t>
            </w:r>
          </w:p>
        </w:tc>
      </w:tr>
      <w:tr w14:paraId="5A7DF84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000" w:type="pct"/>
            <w:gridSpan w:val="13"/>
            <w:shd w:val="clear" w:color="auto" w:fill="auto"/>
            <w:vAlign w:val="center"/>
          </w:tcPr>
          <w:p w14:paraId="0C6A063D">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T11</w:t>
            </w:r>
          </w:p>
        </w:tc>
      </w:tr>
      <w:tr w14:paraId="5B7EFE8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30" w:type="pct"/>
            <w:shd w:val="clear" w:color="auto" w:fill="auto"/>
            <w:vAlign w:val="center"/>
          </w:tcPr>
          <w:p w14:paraId="2DAB66E8">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1</w:t>
            </w:r>
          </w:p>
        </w:tc>
        <w:tc>
          <w:tcPr>
            <w:tcW w:w="632" w:type="pct"/>
            <w:shd w:val="clear" w:color="auto" w:fill="auto"/>
            <w:vAlign w:val="center"/>
          </w:tcPr>
          <w:p w14:paraId="2397B051">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汞</w:t>
            </w:r>
          </w:p>
        </w:tc>
        <w:tc>
          <w:tcPr>
            <w:tcW w:w="405" w:type="pct"/>
            <w:shd w:val="clear" w:color="auto" w:fill="auto"/>
            <w:vAlign w:val="center"/>
          </w:tcPr>
          <w:p w14:paraId="0D53EBB2">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38</w:t>
            </w:r>
          </w:p>
        </w:tc>
        <w:tc>
          <w:tcPr>
            <w:tcW w:w="304" w:type="pct"/>
            <w:shd w:val="clear" w:color="auto" w:fill="auto"/>
            <w:vAlign w:val="center"/>
          </w:tcPr>
          <w:p w14:paraId="6785BE17">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mg/kg</w:t>
            </w:r>
          </w:p>
        </w:tc>
        <w:tc>
          <w:tcPr>
            <w:tcW w:w="304" w:type="pct"/>
            <w:shd w:val="clear" w:color="auto" w:fill="auto"/>
            <w:vAlign w:val="center"/>
          </w:tcPr>
          <w:p w14:paraId="10DA5B90">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0.059</w:t>
            </w:r>
          </w:p>
        </w:tc>
        <w:tc>
          <w:tcPr>
            <w:tcW w:w="405" w:type="pct"/>
            <w:shd w:val="clear" w:color="auto" w:fill="auto"/>
            <w:vAlign w:val="center"/>
          </w:tcPr>
          <w:p w14:paraId="23F769AC">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0.0016</w:t>
            </w:r>
          </w:p>
        </w:tc>
        <w:tc>
          <w:tcPr>
            <w:tcW w:w="407" w:type="pct"/>
            <w:shd w:val="clear" w:color="auto" w:fill="auto"/>
            <w:vAlign w:val="center"/>
          </w:tcPr>
          <w:p w14:paraId="659DB476">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达标</w:t>
            </w:r>
          </w:p>
        </w:tc>
        <w:tc>
          <w:tcPr>
            <w:tcW w:w="309" w:type="pct"/>
            <w:shd w:val="clear" w:color="auto" w:fill="auto"/>
            <w:vAlign w:val="center"/>
          </w:tcPr>
          <w:p w14:paraId="6E210FEC">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0.055</w:t>
            </w:r>
          </w:p>
        </w:tc>
        <w:tc>
          <w:tcPr>
            <w:tcW w:w="404" w:type="pct"/>
            <w:shd w:val="clear" w:color="auto" w:fill="auto"/>
            <w:vAlign w:val="center"/>
          </w:tcPr>
          <w:p w14:paraId="056CB0A6">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0.0014</w:t>
            </w:r>
          </w:p>
        </w:tc>
        <w:tc>
          <w:tcPr>
            <w:tcW w:w="404" w:type="pct"/>
            <w:shd w:val="clear" w:color="auto" w:fill="auto"/>
            <w:vAlign w:val="center"/>
          </w:tcPr>
          <w:p w14:paraId="35C1709A">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达标</w:t>
            </w:r>
          </w:p>
        </w:tc>
        <w:tc>
          <w:tcPr>
            <w:tcW w:w="303" w:type="pct"/>
            <w:shd w:val="clear" w:color="auto" w:fill="auto"/>
            <w:vAlign w:val="center"/>
          </w:tcPr>
          <w:p w14:paraId="5909826F">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0.02</w:t>
            </w:r>
          </w:p>
        </w:tc>
        <w:tc>
          <w:tcPr>
            <w:tcW w:w="404" w:type="pct"/>
            <w:shd w:val="clear" w:color="auto" w:fill="auto"/>
            <w:vAlign w:val="center"/>
          </w:tcPr>
          <w:p w14:paraId="5CDDC8E5">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0.0005</w:t>
            </w:r>
          </w:p>
        </w:tc>
        <w:tc>
          <w:tcPr>
            <w:tcW w:w="390" w:type="pct"/>
            <w:shd w:val="clear" w:color="auto" w:fill="auto"/>
            <w:vAlign w:val="center"/>
          </w:tcPr>
          <w:p w14:paraId="4370DA99">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达标</w:t>
            </w:r>
          </w:p>
        </w:tc>
      </w:tr>
      <w:tr w14:paraId="12EA668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30" w:type="pct"/>
            <w:shd w:val="clear" w:color="auto" w:fill="auto"/>
            <w:vAlign w:val="center"/>
          </w:tcPr>
          <w:p w14:paraId="31F6ED1D">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2</w:t>
            </w:r>
          </w:p>
        </w:tc>
        <w:tc>
          <w:tcPr>
            <w:tcW w:w="632" w:type="pct"/>
            <w:shd w:val="clear" w:color="auto" w:fill="auto"/>
            <w:vAlign w:val="center"/>
          </w:tcPr>
          <w:p w14:paraId="68F33F3C">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砷</w:t>
            </w:r>
          </w:p>
        </w:tc>
        <w:tc>
          <w:tcPr>
            <w:tcW w:w="405" w:type="pct"/>
            <w:shd w:val="clear" w:color="auto" w:fill="auto"/>
            <w:vAlign w:val="center"/>
          </w:tcPr>
          <w:p w14:paraId="56CDC87F">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60</w:t>
            </w:r>
          </w:p>
        </w:tc>
        <w:tc>
          <w:tcPr>
            <w:tcW w:w="304" w:type="pct"/>
            <w:shd w:val="clear" w:color="auto" w:fill="auto"/>
            <w:vAlign w:val="center"/>
          </w:tcPr>
          <w:p w14:paraId="2F9198F6">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mg/kg</w:t>
            </w:r>
          </w:p>
        </w:tc>
        <w:tc>
          <w:tcPr>
            <w:tcW w:w="304" w:type="pct"/>
            <w:shd w:val="clear" w:color="auto" w:fill="auto"/>
            <w:vAlign w:val="center"/>
          </w:tcPr>
          <w:p w14:paraId="7FA5F3A0">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8.52</w:t>
            </w:r>
          </w:p>
        </w:tc>
        <w:tc>
          <w:tcPr>
            <w:tcW w:w="405" w:type="pct"/>
            <w:shd w:val="clear" w:color="auto" w:fill="auto"/>
            <w:vAlign w:val="center"/>
          </w:tcPr>
          <w:p w14:paraId="1C802E4C">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0.1420</w:t>
            </w:r>
          </w:p>
        </w:tc>
        <w:tc>
          <w:tcPr>
            <w:tcW w:w="407" w:type="pct"/>
            <w:shd w:val="clear" w:color="auto" w:fill="auto"/>
            <w:vAlign w:val="center"/>
          </w:tcPr>
          <w:p w14:paraId="7C7CE61C">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达标</w:t>
            </w:r>
          </w:p>
        </w:tc>
        <w:tc>
          <w:tcPr>
            <w:tcW w:w="309" w:type="pct"/>
            <w:shd w:val="clear" w:color="auto" w:fill="auto"/>
            <w:vAlign w:val="center"/>
          </w:tcPr>
          <w:p w14:paraId="5E94AB78">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8.51</w:t>
            </w:r>
          </w:p>
        </w:tc>
        <w:tc>
          <w:tcPr>
            <w:tcW w:w="404" w:type="pct"/>
            <w:shd w:val="clear" w:color="auto" w:fill="auto"/>
            <w:vAlign w:val="center"/>
          </w:tcPr>
          <w:p w14:paraId="0882F8A2">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0.1418</w:t>
            </w:r>
          </w:p>
        </w:tc>
        <w:tc>
          <w:tcPr>
            <w:tcW w:w="404" w:type="pct"/>
            <w:shd w:val="clear" w:color="auto" w:fill="auto"/>
            <w:vAlign w:val="center"/>
          </w:tcPr>
          <w:p w14:paraId="238910C2">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达标</w:t>
            </w:r>
          </w:p>
        </w:tc>
        <w:tc>
          <w:tcPr>
            <w:tcW w:w="303" w:type="pct"/>
            <w:shd w:val="clear" w:color="auto" w:fill="auto"/>
            <w:vAlign w:val="center"/>
          </w:tcPr>
          <w:p w14:paraId="5C5494E7">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7.64</w:t>
            </w:r>
          </w:p>
        </w:tc>
        <w:tc>
          <w:tcPr>
            <w:tcW w:w="404" w:type="pct"/>
            <w:shd w:val="clear" w:color="auto" w:fill="auto"/>
            <w:vAlign w:val="center"/>
          </w:tcPr>
          <w:p w14:paraId="33E14520">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0.1273</w:t>
            </w:r>
          </w:p>
        </w:tc>
        <w:tc>
          <w:tcPr>
            <w:tcW w:w="390" w:type="pct"/>
            <w:shd w:val="clear" w:color="auto" w:fill="auto"/>
            <w:vAlign w:val="center"/>
          </w:tcPr>
          <w:p w14:paraId="6425A2FB">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达标</w:t>
            </w:r>
          </w:p>
        </w:tc>
      </w:tr>
      <w:tr w14:paraId="11E3E96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30" w:type="pct"/>
            <w:shd w:val="clear" w:color="auto" w:fill="auto"/>
            <w:vAlign w:val="center"/>
          </w:tcPr>
          <w:p w14:paraId="456C1FBC">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3</w:t>
            </w:r>
          </w:p>
        </w:tc>
        <w:tc>
          <w:tcPr>
            <w:tcW w:w="632" w:type="pct"/>
            <w:shd w:val="clear" w:color="auto" w:fill="auto"/>
            <w:vAlign w:val="center"/>
          </w:tcPr>
          <w:p w14:paraId="600A4F34">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铅</w:t>
            </w:r>
          </w:p>
        </w:tc>
        <w:tc>
          <w:tcPr>
            <w:tcW w:w="405" w:type="pct"/>
            <w:shd w:val="clear" w:color="auto" w:fill="auto"/>
            <w:vAlign w:val="center"/>
          </w:tcPr>
          <w:p w14:paraId="068D6AEA">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800</w:t>
            </w:r>
          </w:p>
        </w:tc>
        <w:tc>
          <w:tcPr>
            <w:tcW w:w="304" w:type="pct"/>
            <w:shd w:val="clear" w:color="auto" w:fill="auto"/>
            <w:vAlign w:val="center"/>
          </w:tcPr>
          <w:p w14:paraId="7A4B517F">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mg/kg</w:t>
            </w:r>
          </w:p>
        </w:tc>
        <w:tc>
          <w:tcPr>
            <w:tcW w:w="304" w:type="pct"/>
            <w:shd w:val="clear" w:color="auto" w:fill="auto"/>
            <w:vAlign w:val="center"/>
          </w:tcPr>
          <w:p w14:paraId="368261B5">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20.2</w:t>
            </w:r>
          </w:p>
        </w:tc>
        <w:tc>
          <w:tcPr>
            <w:tcW w:w="405" w:type="pct"/>
            <w:shd w:val="clear" w:color="auto" w:fill="auto"/>
            <w:vAlign w:val="center"/>
          </w:tcPr>
          <w:p w14:paraId="42EB3E3C">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0.0253</w:t>
            </w:r>
          </w:p>
        </w:tc>
        <w:tc>
          <w:tcPr>
            <w:tcW w:w="407" w:type="pct"/>
            <w:shd w:val="clear" w:color="auto" w:fill="auto"/>
            <w:vAlign w:val="center"/>
          </w:tcPr>
          <w:p w14:paraId="55BF69B3">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达标</w:t>
            </w:r>
          </w:p>
        </w:tc>
        <w:tc>
          <w:tcPr>
            <w:tcW w:w="309" w:type="pct"/>
            <w:shd w:val="clear" w:color="auto" w:fill="auto"/>
            <w:vAlign w:val="center"/>
          </w:tcPr>
          <w:p w14:paraId="2B46D311">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18.5</w:t>
            </w:r>
          </w:p>
        </w:tc>
        <w:tc>
          <w:tcPr>
            <w:tcW w:w="404" w:type="pct"/>
            <w:shd w:val="clear" w:color="auto" w:fill="auto"/>
            <w:vAlign w:val="center"/>
          </w:tcPr>
          <w:p w14:paraId="571C0140">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0.0231</w:t>
            </w:r>
          </w:p>
        </w:tc>
        <w:tc>
          <w:tcPr>
            <w:tcW w:w="404" w:type="pct"/>
            <w:shd w:val="clear" w:color="auto" w:fill="auto"/>
            <w:vAlign w:val="center"/>
          </w:tcPr>
          <w:p w14:paraId="6868D86D">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达标</w:t>
            </w:r>
          </w:p>
        </w:tc>
        <w:tc>
          <w:tcPr>
            <w:tcW w:w="303" w:type="pct"/>
            <w:shd w:val="clear" w:color="auto" w:fill="auto"/>
            <w:vAlign w:val="center"/>
          </w:tcPr>
          <w:p w14:paraId="1943C82F">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17.8</w:t>
            </w:r>
          </w:p>
        </w:tc>
        <w:tc>
          <w:tcPr>
            <w:tcW w:w="404" w:type="pct"/>
            <w:shd w:val="clear" w:color="auto" w:fill="auto"/>
            <w:vAlign w:val="center"/>
          </w:tcPr>
          <w:p w14:paraId="58636CD8">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0.0223</w:t>
            </w:r>
          </w:p>
        </w:tc>
        <w:tc>
          <w:tcPr>
            <w:tcW w:w="390" w:type="pct"/>
            <w:shd w:val="clear" w:color="auto" w:fill="auto"/>
            <w:vAlign w:val="center"/>
          </w:tcPr>
          <w:p w14:paraId="79537607">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达标</w:t>
            </w:r>
          </w:p>
        </w:tc>
      </w:tr>
      <w:tr w14:paraId="74D8EF0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30" w:type="pct"/>
            <w:shd w:val="clear" w:color="auto" w:fill="auto"/>
            <w:vAlign w:val="center"/>
          </w:tcPr>
          <w:p w14:paraId="6F7DB575">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4</w:t>
            </w:r>
          </w:p>
        </w:tc>
        <w:tc>
          <w:tcPr>
            <w:tcW w:w="632" w:type="pct"/>
            <w:shd w:val="clear" w:color="auto" w:fill="auto"/>
            <w:vAlign w:val="center"/>
          </w:tcPr>
          <w:p w14:paraId="44A74DAD">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镉</w:t>
            </w:r>
          </w:p>
        </w:tc>
        <w:tc>
          <w:tcPr>
            <w:tcW w:w="405" w:type="pct"/>
            <w:shd w:val="clear" w:color="auto" w:fill="auto"/>
            <w:vAlign w:val="center"/>
          </w:tcPr>
          <w:p w14:paraId="615BCF92">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65</w:t>
            </w:r>
          </w:p>
        </w:tc>
        <w:tc>
          <w:tcPr>
            <w:tcW w:w="304" w:type="pct"/>
            <w:shd w:val="clear" w:color="auto" w:fill="auto"/>
            <w:vAlign w:val="center"/>
          </w:tcPr>
          <w:p w14:paraId="1A36F932">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mg/kg</w:t>
            </w:r>
          </w:p>
        </w:tc>
        <w:tc>
          <w:tcPr>
            <w:tcW w:w="304" w:type="pct"/>
            <w:shd w:val="clear" w:color="auto" w:fill="auto"/>
            <w:vAlign w:val="center"/>
          </w:tcPr>
          <w:p w14:paraId="4A02AEE2">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0.23</w:t>
            </w:r>
          </w:p>
        </w:tc>
        <w:tc>
          <w:tcPr>
            <w:tcW w:w="405" w:type="pct"/>
            <w:shd w:val="clear" w:color="auto" w:fill="auto"/>
            <w:vAlign w:val="center"/>
          </w:tcPr>
          <w:p w14:paraId="63FBE506">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0.0035</w:t>
            </w:r>
          </w:p>
        </w:tc>
        <w:tc>
          <w:tcPr>
            <w:tcW w:w="407" w:type="pct"/>
            <w:shd w:val="clear" w:color="auto" w:fill="auto"/>
            <w:vAlign w:val="center"/>
          </w:tcPr>
          <w:p w14:paraId="518DF79D">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达标</w:t>
            </w:r>
          </w:p>
        </w:tc>
        <w:tc>
          <w:tcPr>
            <w:tcW w:w="309" w:type="pct"/>
            <w:shd w:val="clear" w:color="auto" w:fill="auto"/>
            <w:vAlign w:val="center"/>
          </w:tcPr>
          <w:p w14:paraId="4E61131B">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0.16</w:t>
            </w:r>
          </w:p>
        </w:tc>
        <w:tc>
          <w:tcPr>
            <w:tcW w:w="404" w:type="pct"/>
            <w:shd w:val="clear" w:color="auto" w:fill="auto"/>
            <w:vAlign w:val="center"/>
          </w:tcPr>
          <w:p w14:paraId="7D26E12D">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0.0025</w:t>
            </w:r>
          </w:p>
        </w:tc>
        <w:tc>
          <w:tcPr>
            <w:tcW w:w="404" w:type="pct"/>
            <w:shd w:val="clear" w:color="auto" w:fill="auto"/>
            <w:vAlign w:val="center"/>
          </w:tcPr>
          <w:p w14:paraId="57996A8A">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达标</w:t>
            </w:r>
          </w:p>
        </w:tc>
        <w:tc>
          <w:tcPr>
            <w:tcW w:w="303" w:type="pct"/>
            <w:shd w:val="clear" w:color="auto" w:fill="auto"/>
            <w:vAlign w:val="center"/>
          </w:tcPr>
          <w:p w14:paraId="33991F41">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0.14</w:t>
            </w:r>
          </w:p>
        </w:tc>
        <w:tc>
          <w:tcPr>
            <w:tcW w:w="404" w:type="pct"/>
            <w:shd w:val="clear" w:color="auto" w:fill="auto"/>
            <w:vAlign w:val="center"/>
          </w:tcPr>
          <w:p w14:paraId="1450C267">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0.0022</w:t>
            </w:r>
          </w:p>
        </w:tc>
        <w:tc>
          <w:tcPr>
            <w:tcW w:w="390" w:type="pct"/>
            <w:shd w:val="clear" w:color="auto" w:fill="auto"/>
            <w:vAlign w:val="center"/>
          </w:tcPr>
          <w:p w14:paraId="793EAF53">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达标</w:t>
            </w:r>
          </w:p>
        </w:tc>
      </w:tr>
      <w:tr w14:paraId="4F27651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30" w:type="pct"/>
            <w:shd w:val="clear" w:color="auto" w:fill="auto"/>
            <w:vAlign w:val="center"/>
          </w:tcPr>
          <w:p w14:paraId="41578EC7">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5</w:t>
            </w:r>
          </w:p>
        </w:tc>
        <w:tc>
          <w:tcPr>
            <w:tcW w:w="632" w:type="pct"/>
            <w:shd w:val="clear" w:color="auto" w:fill="auto"/>
            <w:vAlign w:val="center"/>
          </w:tcPr>
          <w:p w14:paraId="570D4607">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六价铬</w:t>
            </w:r>
          </w:p>
        </w:tc>
        <w:tc>
          <w:tcPr>
            <w:tcW w:w="405" w:type="pct"/>
            <w:shd w:val="clear" w:color="auto" w:fill="auto"/>
            <w:vAlign w:val="center"/>
          </w:tcPr>
          <w:p w14:paraId="33445D4D">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5.7</w:t>
            </w:r>
          </w:p>
        </w:tc>
        <w:tc>
          <w:tcPr>
            <w:tcW w:w="304" w:type="pct"/>
            <w:shd w:val="clear" w:color="auto" w:fill="auto"/>
            <w:vAlign w:val="center"/>
          </w:tcPr>
          <w:p w14:paraId="60BC15E2">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mg/kg</w:t>
            </w:r>
          </w:p>
        </w:tc>
        <w:tc>
          <w:tcPr>
            <w:tcW w:w="304" w:type="pct"/>
            <w:shd w:val="clear" w:color="auto" w:fill="auto"/>
            <w:vAlign w:val="center"/>
          </w:tcPr>
          <w:p w14:paraId="2AA060CF">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0.5L</w:t>
            </w:r>
          </w:p>
        </w:tc>
        <w:tc>
          <w:tcPr>
            <w:tcW w:w="405" w:type="pct"/>
            <w:shd w:val="clear" w:color="auto" w:fill="auto"/>
            <w:vAlign w:val="center"/>
          </w:tcPr>
          <w:p w14:paraId="65AEB9A4">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w:t>
            </w:r>
          </w:p>
        </w:tc>
        <w:tc>
          <w:tcPr>
            <w:tcW w:w="407" w:type="pct"/>
            <w:shd w:val="clear" w:color="auto" w:fill="auto"/>
            <w:vAlign w:val="center"/>
          </w:tcPr>
          <w:p w14:paraId="7B14BD9D">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达标</w:t>
            </w:r>
          </w:p>
        </w:tc>
        <w:tc>
          <w:tcPr>
            <w:tcW w:w="309" w:type="pct"/>
            <w:shd w:val="clear" w:color="auto" w:fill="auto"/>
            <w:vAlign w:val="center"/>
          </w:tcPr>
          <w:p w14:paraId="65BB2598">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0.5L</w:t>
            </w:r>
          </w:p>
        </w:tc>
        <w:tc>
          <w:tcPr>
            <w:tcW w:w="404" w:type="pct"/>
            <w:shd w:val="clear" w:color="auto" w:fill="auto"/>
            <w:vAlign w:val="center"/>
          </w:tcPr>
          <w:p w14:paraId="579E3845">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w:t>
            </w:r>
          </w:p>
        </w:tc>
        <w:tc>
          <w:tcPr>
            <w:tcW w:w="404" w:type="pct"/>
            <w:shd w:val="clear" w:color="auto" w:fill="auto"/>
            <w:vAlign w:val="center"/>
          </w:tcPr>
          <w:p w14:paraId="6BE1992A">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达标</w:t>
            </w:r>
          </w:p>
        </w:tc>
        <w:tc>
          <w:tcPr>
            <w:tcW w:w="303" w:type="pct"/>
            <w:shd w:val="clear" w:color="auto" w:fill="auto"/>
            <w:vAlign w:val="center"/>
          </w:tcPr>
          <w:p w14:paraId="48BDC1E4">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0.5L</w:t>
            </w:r>
          </w:p>
        </w:tc>
        <w:tc>
          <w:tcPr>
            <w:tcW w:w="404" w:type="pct"/>
            <w:shd w:val="clear" w:color="auto" w:fill="auto"/>
            <w:vAlign w:val="center"/>
          </w:tcPr>
          <w:p w14:paraId="32C41561">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w:t>
            </w:r>
          </w:p>
        </w:tc>
        <w:tc>
          <w:tcPr>
            <w:tcW w:w="390" w:type="pct"/>
            <w:shd w:val="clear" w:color="auto" w:fill="auto"/>
            <w:vAlign w:val="center"/>
          </w:tcPr>
          <w:p w14:paraId="27750401">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达标</w:t>
            </w:r>
          </w:p>
        </w:tc>
      </w:tr>
      <w:tr w14:paraId="3D9626D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30" w:type="pct"/>
            <w:shd w:val="clear" w:color="auto" w:fill="auto"/>
            <w:vAlign w:val="center"/>
          </w:tcPr>
          <w:p w14:paraId="355D1AB0">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6</w:t>
            </w:r>
          </w:p>
        </w:tc>
        <w:tc>
          <w:tcPr>
            <w:tcW w:w="632" w:type="pct"/>
            <w:shd w:val="clear" w:color="auto" w:fill="auto"/>
            <w:vAlign w:val="center"/>
          </w:tcPr>
          <w:p w14:paraId="4FD59FCA">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铜</w:t>
            </w:r>
          </w:p>
        </w:tc>
        <w:tc>
          <w:tcPr>
            <w:tcW w:w="405" w:type="pct"/>
            <w:shd w:val="clear" w:color="auto" w:fill="auto"/>
            <w:vAlign w:val="center"/>
          </w:tcPr>
          <w:p w14:paraId="515FD7A8">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18000</w:t>
            </w:r>
          </w:p>
        </w:tc>
        <w:tc>
          <w:tcPr>
            <w:tcW w:w="304" w:type="pct"/>
            <w:shd w:val="clear" w:color="auto" w:fill="auto"/>
            <w:vAlign w:val="center"/>
          </w:tcPr>
          <w:p w14:paraId="64E1289D">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mg/kg</w:t>
            </w:r>
          </w:p>
        </w:tc>
        <w:tc>
          <w:tcPr>
            <w:tcW w:w="304" w:type="pct"/>
            <w:shd w:val="clear" w:color="auto" w:fill="auto"/>
            <w:vAlign w:val="center"/>
          </w:tcPr>
          <w:p w14:paraId="2CDFEE0C">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26</w:t>
            </w:r>
          </w:p>
        </w:tc>
        <w:tc>
          <w:tcPr>
            <w:tcW w:w="405" w:type="pct"/>
            <w:shd w:val="clear" w:color="auto" w:fill="auto"/>
            <w:vAlign w:val="center"/>
          </w:tcPr>
          <w:p w14:paraId="25BC0220">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0.0014</w:t>
            </w:r>
          </w:p>
        </w:tc>
        <w:tc>
          <w:tcPr>
            <w:tcW w:w="407" w:type="pct"/>
            <w:shd w:val="clear" w:color="auto" w:fill="auto"/>
            <w:vAlign w:val="center"/>
          </w:tcPr>
          <w:p w14:paraId="38AA4F35">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达标</w:t>
            </w:r>
          </w:p>
        </w:tc>
        <w:tc>
          <w:tcPr>
            <w:tcW w:w="309" w:type="pct"/>
            <w:shd w:val="clear" w:color="auto" w:fill="auto"/>
            <w:vAlign w:val="center"/>
          </w:tcPr>
          <w:p w14:paraId="78AD65F6">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24</w:t>
            </w:r>
          </w:p>
        </w:tc>
        <w:tc>
          <w:tcPr>
            <w:tcW w:w="404" w:type="pct"/>
            <w:shd w:val="clear" w:color="auto" w:fill="auto"/>
            <w:vAlign w:val="center"/>
          </w:tcPr>
          <w:p w14:paraId="2F2D9A09">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0.0013</w:t>
            </w:r>
          </w:p>
        </w:tc>
        <w:tc>
          <w:tcPr>
            <w:tcW w:w="404" w:type="pct"/>
            <w:shd w:val="clear" w:color="auto" w:fill="auto"/>
            <w:vAlign w:val="center"/>
          </w:tcPr>
          <w:p w14:paraId="037B14EE">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达标</w:t>
            </w:r>
          </w:p>
        </w:tc>
        <w:tc>
          <w:tcPr>
            <w:tcW w:w="303" w:type="pct"/>
            <w:shd w:val="clear" w:color="auto" w:fill="auto"/>
            <w:vAlign w:val="center"/>
          </w:tcPr>
          <w:p w14:paraId="23DE90C8">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25</w:t>
            </w:r>
          </w:p>
        </w:tc>
        <w:tc>
          <w:tcPr>
            <w:tcW w:w="404" w:type="pct"/>
            <w:shd w:val="clear" w:color="auto" w:fill="auto"/>
            <w:vAlign w:val="center"/>
          </w:tcPr>
          <w:p w14:paraId="2C65037A">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0.0014</w:t>
            </w:r>
          </w:p>
        </w:tc>
        <w:tc>
          <w:tcPr>
            <w:tcW w:w="390" w:type="pct"/>
            <w:shd w:val="clear" w:color="auto" w:fill="auto"/>
            <w:vAlign w:val="center"/>
          </w:tcPr>
          <w:p w14:paraId="3A43295A">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达标</w:t>
            </w:r>
          </w:p>
        </w:tc>
      </w:tr>
      <w:tr w14:paraId="31CB857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30" w:type="pct"/>
            <w:shd w:val="clear" w:color="auto" w:fill="auto"/>
            <w:vAlign w:val="center"/>
          </w:tcPr>
          <w:p w14:paraId="445D6C23">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7</w:t>
            </w:r>
          </w:p>
        </w:tc>
        <w:tc>
          <w:tcPr>
            <w:tcW w:w="632" w:type="pct"/>
            <w:shd w:val="clear" w:color="auto" w:fill="auto"/>
            <w:vAlign w:val="center"/>
          </w:tcPr>
          <w:p w14:paraId="4F0A469E">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镍</w:t>
            </w:r>
          </w:p>
        </w:tc>
        <w:tc>
          <w:tcPr>
            <w:tcW w:w="405" w:type="pct"/>
            <w:shd w:val="clear" w:color="auto" w:fill="auto"/>
            <w:vAlign w:val="center"/>
          </w:tcPr>
          <w:p w14:paraId="5843F550">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900</w:t>
            </w:r>
          </w:p>
        </w:tc>
        <w:tc>
          <w:tcPr>
            <w:tcW w:w="304" w:type="pct"/>
            <w:shd w:val="clear" w:color="auto" w:fill="auto"/>
            <w:vAlign w:val="center"/>
          </w:tcPr>
          <w:p w14:paraId="4226D6B4">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mg/kg</w:t>
            </w:r>
          </w:p>
        </w:tc>
        <w:tc>
          <w:tcPr>
            <w:tcW w:w="304" w:type="pct"/>
            <w:shd w:val="clear" w:color="auto" w:fill="auto"/>
            <w:vAlign w:val="center"/>
          </w:tcPr>
          <w:p w14:paraId="67078CA8">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27</w:t>
            </w:r>
          </w:p>
        </w:tc>
        <w:tc>
          <w:tcPr>
            <w:tcW w:w="405" w:type="pct"/>
            <w:shd w:val="clear" w:color="auto" w:fill="auto"/>
            <w:vAlign w:val="center"/>
          </w:tcPr>
          <w:p w14:paraId="27ABFDFF">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0.0300</w:t>
            </w:r>
          </w:p>
        </w:tc>
        <w:tc>
          <w:tcPr>
            <w:tcW w:w="407" w:type="pct"/>
            <w:shd w:val="clear" w:color="auto" w:fill="auto"/>
            <w:vAlign w:val="center"/>
          </w:tcPr>
          <w:p w14:paraId="0C3BE7DF">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达标</w:t>
            </w:r>
          </w:p>
        </w:tc>
        <w:tc>
          <w:tcPr>
            <w:tcW w:w="309" w:type="pct"/>
            <w:shd w:val="clear" w:color="auto" w:fill="auto"/>
            <w:vAlign w:val="center"/>
          </w:tcPr>
          <w:p w14:paraId="713B0D62">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51</w:t>
            </w:r>
          </w:p>
        </w:tc>
        <w:tc>
          <w:tcPr>
            <w:tcW w:w="404" w:type="pct"/>
            <w:shd w:val="clear" w:color="auto" w:fill="auto"/>
            <w:vAlign w:val="center"/>
          </w:tcPr>
          <w:p w14:paraId="017D4B5C">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0.0567</w:t>
            </w:r>
          </w:p>
        </w:tc>
        <w:tc>
          <w:tcPr>
            <w:tcW w:w="404" w:type="pct"/>
            <w:shd w:val="clear" w:color="auto" w:fill="auto"/>
            <w:vAlign w:val="center"/>
          </w:tcPr>
          <w:p w14:paraId="3EC0CB7C">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达标</w:t>
            </w:r>
          </w:p>
        </w:tc>
        <w:tc>
          <w:tcPr>
            <w:tcW w:w="303" w:type="pct"/>
            <w:shd w:val="clear" w:color="auto" w:fill="auto"/>
            <w:vAlign w:val="center"/>
          </w:tcPr>
          <w:p w14:paraId="054B1D55">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55</w:t>
            </w:r>
          </w:p>
        </w:tc>
        <w:tc>
          <w:tcPr>
            <w:tcW w:w="404" w:type="pct"/>
            <w:shd w:val="clear" w:color="auto" w:fill="auto"/>
            <w:vAlign w:val="center"/>
          </w:tcPr>
          <w:p w14:paraId="2DB0F72F">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0.0611</w:t>
            </w:r>
          </w:p>
        </w:tc>
        <w:tc>
          <w:tcPr>
            <w:tcW w:w="390" w:type="pct"/>
            <w:shd w:val="clear" w:color="auto" w:fill="auto"/>
            <w:vAlign w:val="center"/>
          </w:tcPr>
          <w:p w14:paraId="79078D7A">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达标</w:t>
            </w:r>
          </w:p>
        </w:tc>
      </w:tr>
      <w:tr w14:paraId="5CAB9FE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30" w:type="pct"/>
            <w:shd w:val="clear" w:color="auto" w:fill="auto"/>
            <w:vAlign w:val="center"/>
          </w:tcPr>
          <w:p w14:paraId="67CD1C7F">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8</w:t>
            </w:r>
          </w:p>
        </w:tc>
        <w:tc>
          <w:tcPr>
            <w:tcW w:w="632" w:type="pct"/>
            <w:shd w:val="clear" w:color="auto" w:fill="auto"/>
            <w:vAlign w:val="center"/>
          </w:tcPr>
          <w:p w14:paraId="42CB194A">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pH</w:t>
            </w:r>
          </w:p>
        </w:tc>
        <w:tc>
          <w:tcPr>
            <w:tcW w:w="405" w:type="pct"/>
            <w:shd w:val="clear" w:color="auto" w:fill="auto"/>
            <w:vAlign w:val="center"/>
          </w:tcPr>
          <w:p w14:paraId="04960DF8">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w:t>
            </w:r>
          </w:p>
        </w:tc>
        <w:tc>
          <w:tcPr>
            <w:tcW w:w="304" w:type="pct"/>
            <w:shd w:val="clear" w:color="auto" w:fill="auto"/>
            <w:vAlign w:val="center"/>
          </w:tcPr>
          <w:p w14:paraId="0BA28DA8">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w:t>
            </w:r>
          </w:p>
        </w:tc>
        <w:tc>
          <w:tcPr>
            <w:tcW w:w="304" w:type="pct"/>
            <w:shd w:val="clear" w:color="auto" w:fill="auto"/>
            <w:vAlign w:val="center"/>
          </w:tcPr>
          <w:p w14:paraId="76212019">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8.49</w:t>
            </w:r>
          </w:p>
        </w:tc>
        <w:tc>
          <w:tcPr>
            <w:tcW w:w="405" w:type="pct"/>
            <w:shd w:val="clear" w:color="auto" w:fill="auto"/>
            <w:vAlign w:val="center"/>
          </w:tcPr>
          <w:p w14:paraId="6FD95684">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w:t>
            </w:r>
          </w:p>
        </w:tc>
        <w:tc>
          <w:tcPr>
            <w:tcW w:w="407" w:type="pct"/>
            <w:shd w:val="clear" w:color="auto" w:fill="auto"/>
            <w:vAlign w:val="center"/>
          </w:tcPr>
          <w:p w14:paraId="7FD8F478">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w:t>
            </w:r>
          </w:p>
        </w:tc>
        <w:tc>
          <w:tcPr>
            <w:tcW w:w="309" w:type="pct"/>
            <w:shd w:val="clear" w:color="auto" w:fill="auto"/>
            <w:vAlign w:val="center"/>
          </w:tcPr>
          <w:p w14:paraId="41279CCD">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8.61</w:t>
            </w:r>
          </w:p>
        </w:tc>
        <w:tc>
          <w:tcPr>
            <w:tcW w:w="404" w:type="pct"/>
            <w:shd w:val="clear" w:color="auto" w:fill="auto"/>
            <w:vAlign w:val="center"/>
          </w:tcPr>
          <w:p w14:paraId="27B72C08">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w:t>
            </w:r>
          </w:p>
        </w:tc>
        <w:tc>
          <w:tcPr>
            <w:tcW w:w="404" w:type="pct"/>
            <w:shd w:val="clear" w:color="auto" w:fill="auto"/>
            <w:vAlign w:val="center"/>
          </w:tcPr>
          <w:p w14:paraId="3920F44A">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w:t>
            </w:r>
          </w:p>
        </w:tc>
        <w:tc>
          <w:tcPr>
            <w:tcW w:w="303" w:type="pct"/>
            <w:shd w:val="clear" w:color="auto" w:fill="auto"/>
            <w:vAlign w:val="center"/>
          </w:tcPr>
          <w:p w14:paraId="40489C5D">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8.76</w:t>
            </w:r>
          </w:p>
        </w:tc>
        <w:tc>
          <w:tcPr>
            <w:tcW w:w="404" w:type="pct"/>
            <w:shd w:val="clear" w:color="auto" w:fill="auto"/>
            <w:vAlign w:val="center"/>
          </w:tcPr>
          <w:p w14:paraId="3CA381B0">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w:t>
            </w:r>
          </w:p>
        </w:tc>
        <w:tc>
          <w:tcPr>
            <w:tcW w:w="390" w:type="pct"/>
            <w:shd w:val="clear" w:color="auto" w:fill="auto"/>
            <w:vAlign w:val="center"/>
          </w:tcPr>
          <w:p w14:paraId="67B317F9">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w:t>
            </w:r>
          </w:p>
        </w:tc>
      </w:tr>
      <w:tr w14:paraId="0345994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30" w:type="pct"/>
            <w:shd w:val="clear" w:color="auto" w:fill="auto"/>
            <w:vAlign w:val="center"/>
          </w:tcPr>
          <w:p w14:paraId="3F21F85F">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9</w:t>
            </w:r>
          </w:p>
        </w:tc>
        <w:tc>
          <w:tcPr>
            <w:tcW w:w="632" w:type="pct"/>
            <w:shd w:val="clear" w:color="auto" w:fill="auto"/>
            <w:vAlign w:val="center"/>
          </w:tcPr>
          <w:p w14:paraId="154228BC">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土壤盐分含量</w:t>
            </w:r>
          </w:p>
        </w:tc>
        <w:tc>
          <w:tcPr>
            <w:tcW w:w="405" w:type="pct"/>
            <w:shd w:val="clear" w:color="auto" w:fill="auto"/>
            <w:vAlign w:val="center"/>
          </w:tcPr>
          <w:p w14:paraId="26216E12">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w:t>
            </w:r>
          </w:p>
        </w:tc>
        <w:tc>
          <w:tcPr>
            <w:tcW w:w="304" w:type="pct"/>
            <w:shd w:val="clear" w:color="auto" w:fill="auto"/>
            <w:vAlign w:val="center"/>
          </w:tcPr>
          <w:p w14:paraId="6B885DBC">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g/kg</w:t>
            </w:r>
          </w:p>
        </w:tc>
        <w:tc>
          <w:tcPr>
            <w:tcW w:w="304" w:type="pct"/>
            <w:shd w:val="clear" w:color="auto" w:fill="auto"/>
            <w:vAlign w:val="center"/>
          </w:tcPr>
          <w:p w14:paraId="6980F426">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20.4</w:t>
            </w:r>
          </w:p>
        </w:tc>
        <w:tc>
          <w:tcPr>
            <w:tcW w:w="405" w:type="pct"/>
            <w:shd w:val="clear" w:color="auto" w:fill="auto"/>
            <w:vAlign w:val="center"/>
          </w:tcPr>
          <w:p w14:paraId="13234394">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w:t>
            </w:r>
          </w:p>
        </w:tc>
        <w:tc>
          <w:tcPr>
            <w:tcW w:w="407" w:type="pct"/>
            <w:shd w:val="clear" w:color="auto" w:fill="auto"/>
            <w:vAlign w:val="center"/>
          </w:tcPr>
          <w:p w14:paraId="4AE43C36">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w:t>
            </w:r>
          </w:p>
        </w:tc>
        <w:tc>
          <w:tcPr>
            <w:tcW w:w="309" w:type="pct"/>
            <w:shd w:val="clear" w:color="auto" w:fill="auto"/>
            <w:vAlign w:val="center"/>
          </w:tcPr>
          <w:p w14:paraId="30E6CD58">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19.2</w:t>
            </w:r>
          </w:p>
        </w:tc>
        <w:tc>
          <w:tcPr>
            <w:tcW w:w="404" w:type="pct"/>
            <w:shd w:val="clear" w:color="auto" w:fill="auto"/>
            <w:vAlign w:val="center"/>
          </w:tcPr>
          <w:p w14:paraId="216067C3">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w:t>
            </w:r>
          </w:p>
        </w:tc>
        <w:tc>
          <w:tcPr>
            <w:tcW w:w="404" w:type="pct"/>
            <w:shd w:val="clear" w:color="auto" w:fill="auto"/>
            <w:vAlign w:val="center"/>
          </w:tcPr>
          <w:p w14:paraId="0A795F90">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w:t>
            </w:r>
          </w:p>
        </w:tc>
        <w:tc>
          <w:tcPr>
            <w:tcW w:w="303" w:type="pct"/>
            <w:shd w:val="clear" w:color="auto" w:fill="auto"/>
            <w:vAlign w:val="center"/>
          </w:tcPr>
          <w:p w14:paraId="6D53C1DF">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20</w:t>
            </w:r>
          </w:p>
        </w:tc>
        <w:tc>
          <w:tcPr>
            <w:tcW w:w="404" w:type="pct"/>
            <w:shd w:val="clear" w:color="auto" w:fill="auto"/>
            <w:vAlign w:val="center"/>
          </w:tcPr>
          <w:p w14:paraId="41416872">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w:t>
            </w:r>
          </w:p>
        </w:tc>
        <w:tc>
          <w:tcPr>
            <w:tcW w:w="390" w:type="pct"/>
            <w:shd w:val="clear" w:color="auto" w:fill="auto"/>
            <w:vAlign w:val="center"/>
          </w:tcPr>
          <w:p w14:paraId="0550AE91">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w:t>
            </w:r>
          </w:p>
        </w:tc>
      </w:tr>
      <w:tr w14:paraId="0136639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30" w:type="pct"/>
            <w:shd w:val="clear" w:color="auto" w:fill="auto"/>
            <w:vAlign w:val="center"/>
          </w:tcPr>
          <w:p w14:paraId="20167098">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10</w:t>
            </w:r>
          </w:p>
        </w:tc>
        <w:tc>
          <w:tcPr>
            <w:tcW w:w="632" w:type="pct"/>
            <w:shd w:val="clear" w:color="auto" w:fill="auto"/>
            <w:vAlign w:val="center"/>
          </w:tcPr>
          <w:p w14:paraId="17EA405B">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石油烃</w:t>
            </w:r>
          </w:p>
        </w:tc>
        <w:tc>
          <w:tcPr>
            <w:tcW w:w="405" w:type="pct"/>
            <w:shd w:val="clear" w:color="auto" w:fill="auto"/>
            <w:vAlign w:val="center"/>
          </w:tcPr>
          <w:p w14:paraId="10B391F8">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4500</w:t>
            </w:r>
          </w:p>
        </w:tc>
        <w:tc>
          <w:tcPr>
            <w:tcW w:w="304" w:type="pct"/>
            <w:shd w:val="clear" w:color="auto" w:fill="auto"/>
            <w:vAlign w:val="center"/>
          </w:tcPr>
          <w:p w14:paraId="53F37F54">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mg/kg</w:t>
            </w:r>
          </w:p>
        </w:tc>
        <w:tc>
          <w:tcPr>
            <w:tcW w:w="304" w:type="pct"/>
            <w:shd w:val="clear" w:color="auto" w:fill="auto"/>
            <w:vAlign w:val="center"/>
          </w:tcPr>
          <w:p w14:paraId="3F68A81C">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7</w:t>
            </w:r>
          </w:p>
        </w:tc>
        <w:tc>
          <w:tcPr>
            <w:tcW w:w="405" w:type="pct"/>
            <w:shd w:val="clear" w:color="auto" w:fill="auto"/>
            <w:vAlign w:val="center"/>
          </w:tcPr>
          <w:p w14:paraId="2D0617E9">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0.0016</w:t>
            </w:r>
          </w:p>
        </w:tc>
        <w:tc>
          <w:tcPr>
            <w:tcW w:w="407" w:type="pct"/>
            <w:shd w:val="clear" w:color="auto" w:fill="auto"/>
            <w:vAlign w:val="center"/>
          </w:tcPr>
          <w:p w14:paraId="5DD00209">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达标</w:t>
            </w:r>
          </w:p>
        </w:tc>
        <w:tc>
          <w:tcPr>
            <w:tcW w:w="309" w:type="pct"/>
            <w:shd w:val="clear" w:color="auto" w:fill="auto"/>
            <w:vAlign w:val="center"/>
          </w:tcPr>
          <w:p w14:paraId="0FEAFC8C">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6</w:t>
            </w:r>
          </w:p>
        </w:tc>
        <w:tc>
          <w:tcPr>
            <w:tcW w:w="404" w:type="pct"/>
            <w:shd w:val="clear" w:color="auto" w:fill="auto"/>
            <w:vAlign w:val="center"/>
          </w:tcPr>
          <w:p w14:paraId="44E74234">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0.0013</w:t>
            </w:r>
          </w:p>
        </w:tc>
        <w:tc>
          <w:tcPr>
            <w:tcW w:w="404" w:type="pct"/>
            <w:shd w:val="clear" w:color="auto" w:fill="auto"/>
            <w:vAlign w:val="center"/>
          </w:tcPr>
          <w:p w14:paraId="76E39955">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达标</w:t>
            </w:r>
          </w:p>
        </w:tc>
        <w:tc>
          <w:tcPr>
            <w:tcW w:w="303" w:type="pct"/>
            <w:shd w:val="clear" w:color="auto" w:fill="auto"/>
            <w:vAlign w:val="center"/>
          </w:tcPr>
          <w:p w14:paraId="147E46EB">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9</w:t>
            </w:r>
          </w:p>
        </w:tc>
        <w:tc>
          <w:tcPr>
            <w:tcW w:w="404" w:type="pct"/>
            <w:shd w:val="clear" w:color="auto" w:fill="auto"/>
            <w:vAlign w:val="center"/>
          </w:tcPr>
          <w:p w14:paraId="4B7374B8">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0.0020</w:t>
            </w:r>
          </w:p>
        </w:tc>
        <w:tc>
          <w:tcPr>
            <w:tcW w:w="390" w:type="pct"/>
            <w:shd w:val="clear" w:color="auto" w:fill="auto"/>
            <w:vAlign w:val="center"/>
          </w:tcPr>
          <w:p w14:paraId="27519E65">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达标</w:t>
            </w:r>
          </w:p>
        </w:tc>
      </w:tr>
      <w:tr w14:paraId="0C0F424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30" w:type="pct"/>
            <w:shd w:val="clear" w:color="auto" w:fill="auto"/>
            <w:vAlign w:val="center"/>
          </w:tcPr>
          <w:p w14:paraId="1E970B45">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w:t>
            </w:r>
          </w:p>
        </w:tc>
        <w:tc>
          <w:tcPr>
            <w:tcW w:w="632" w:type="pct"/>
            <w:shd w:val="clear" w:color="auto" w:fill="auto"/>
            <w:vAlign w:val="center"/>
          </w:tcPr>
          <w:p w14:paraId="23981C21">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w:t>
            </w:r>
          </w:p>
        </w:tc>
        <w:tc>
          <w:tcPr>
            <w:tcW w:w="405" w:type="pct"/>
            <w:shd w:val="clear" w:color="auto" w:fill="auto"/>
            <w:vAlign w:val="center"/>
          </w:tcPr>
          <w:p w14:paraId="1D7BD699">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w:t>
            </w:r>
          </w:p>
        </w:tc>
        <w:tc>
          <w:tcPr>
            <w:tcW w:w="304" w:type="pct"/>
            <w:shd w:val="clear" w:color="auto" w:fill="auto"/>
            <w:vAlign w:val="center"/>
          </w:tcPr>
          <w:p w14:paraId="32E47B0B">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w:t>
            </w:r>
          </w:p>
        </w:tc>
        <w:tc>
          <w:tcPr>
            <w:tcW w:w="1116" w:type="pct"/>
            <w:gridSpan w:val="3"/>
            <w:shd w:val="clear" w:color="auto" w:fill="auto"/>
            <w:vAlign w:val="center"/>
          </w:tcPr>
          <w:p w14:paraId="025133D2">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T3(0m～0.2m)</w:t>
            </w:r>
          </w:p>
        </w:tc>
        <w:tc>
          <w:tcPr>
            <w:tcW w:w="1117" w:type="pct"/>
            <w:gridSpan w:val="3"/>
            <w:shd w:val="clear" w:color="auto" w:fill="auto"/>
            <w:vAlign w:val="center"/>
          </w:tcPr>
          <w:p w14:paraId="003DC0D1">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T4(0m～0.2m)</w:t>
            </w:r>
          </w:p>
        </w:tc>
        <w:tc>
          <w:tcPr>
            <w:tcW w:w="1097" w:type="pct"/>
            <w:gridSpan w:val="3"/>
            <w:shd w:val="clear" w:color="auto" w:fill="auto"/>
            <w:vAlign w:val="center"/>
          </w:tcPr>
          <w:p w14:paraId="5C1AD2A1">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T6(0m～0.2m)</w:t>
            </w:r>
          </w:p>
        </w:tc>
      </w:tr>
      <w:tr w14:paraId="3F94D42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30" w:type="pct"/>
            <w:shd w:val="clear" w:color="auto" w:fill="auto"/>
            <w:vAlign w:val="center"/>
          </w:tcPr>
          <w:p w14:paraId="406DD929">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1</w:t>
            </w:r>
          </w:p>
        </w:tc>
        <w:tc>
          <w:tcPr>
            <w:tcW w:w="632" w:type="pct"/>
            <w:shd w:val="clear" w:color="auto" w:fill="auto"/>
            <w:vAlign w:val="center"/>
          </w:tcPr>
          <w:p w14:paraId="5130C50C">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汞</w:t>
            </w:r>
          </w:p>
        </w:tc>
        <w:tc>
          <w:tcPr>
            <w:tcW w:w="405" w:type="pct"/>
            <w:shd w:val="clear" w:color="auto" w:fill="auto"/>
            <w:vAlign w:val="center"/>
          </w:tcPr>
          <w:p w14:paraId="57043E51">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38</w:t>
            </w:r>
          </w:p>
        </w:tc>
        <w:tc>
          <w:tcPr>
            <w:tcW w:w="304" w:type="pct"/>
            <w:shd w:val="clear" w:color="auto" w:fill="auto"/>
            <w:vAlign w:val="center"/>
          </w:tcPr>
          <w:p w14:paraId="58D784E9">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mg/kg</w:t>
            </w:r>
          </w:p>
        </w:tc>
        <w:tc>
          <w:tcPr>
            <w:tcW w:w="304" w:type="pct"/>
            <w:shd w:val="clear" w:color="auto" w:fill="auto"/>
            <w:vAlign w:val="center"/>
          </w:tcPr>
          <w:p w14:paraId="5F12D687">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0.046</w:t>
            </w:r>
          </w:p>
        </w:tc>
        <w:tc>
          <w:tcPr>
            <w:tcW w:w="405" w:type="pct"/>
            <w:shd w:val="clear" w:color="auto" w:fill="auto"/>
            <w:vAlign w:val="center"/>
          </w:tcPr>
          <w:p w14:paraId="70BCEADB">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0.0012</w:t>
            </w:r>
          </w:p>
        </w:tc>
        <w:tc>
          <w:tcPr>
            <w:tcW w:w="407" w:type="pct"/>
            <w:shd w:val="clear" w:color="auto" w:fill="auto"/>
            <w:vAlign w:val="center"/>
          </w:tcPr>
          <w:p w14:paraId="1A8AD064">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达标</w:t>
            </w:r>
          </w:p>
        </w:tc>
        <w:tc>
          <w:tcPr>
            <w:tcW w:w="309" w:type="pct"/>
            <w:shd w:val="clear" w:color="auto" w:fill="auto"/>
            <w:vAlign w:val="center"/>
          </w:tcPr>
          <w:p w14:paraId="5A69577B">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0.031</w:t>
            </w:r>
          </w:p>
        </w:tc>
        <w:tc>
          <w:tcPr>
            <w:tcW w:w="404" w:type="pct"/>
            <w:shd w:val="clear" w:color="auto" w:fill="auto"/>
            <w:vAlign w:val="center"/>
          </w:tcPr>
          <w:p w14:paraId="164DEAA5">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0.0008</w:t>
            </w:r>
          </w:p>
        </w:tc>
        <w:tc>
          <w:tcPr>
            <w:tcW w:w="404" w:type="pct"/>
            <w:shd w:val="clear" w:color="auto" w:fill="auto"/>
            <w:vAlign w:val="center"/>
          </w:tcPr>
          <w:p w14:paraId="462F7111">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达标</w:t>
            </w:r>
          </w:p>
        </w:tc>
        <w:tc>
          <w:tcPr>
            <w:tcW w:w="303" w:type="pct"/>
            <w:shd w:val="clear" w:color="auto" w:fill="auto"/>
            <w:vAlign w:val="center"/>
          </w:tcPr>
          <w:p w14:paraId="25116AB3">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0.074</w:t>
            </w:r>
          </w:p>
        </w:tc>
        <w:tc>
          <w:tcPr>
            <w:tcW w:w="404" w:type="pct"/>
            <w:shd w:val="clear" w:color="auto" w:fill="auto"/>
            <w:vAlign w:val="center"/>
          </w:tcPr>
          <w:p w14:paraId="2837207B">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0.0019</w:t>
            </w:r>
          </w:p>
        </w:tc>
        <w:tc>
          <w:tcPr>
            <w:tcW w:w="390" w:type="pct"/>
            <w:shd w:val="clear" w:color="auto" w:fill="auto"/>
            <w:vAlign w:val="center"/>
          </w:tcPr>
          <w:p w14:paraId="65E5E526">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达标</w:t>
            </w:r>
          </w:p>
        </w:tc>
      </w:tr>
      <w:tr w14:paraId="45156CA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30" w:type="pct"/>
            <w:shd w:val="clear" w:color="auto" w:fill="auto"/>
            <w:vAlign w:val="center"/>
          </w:tcPr>
          <w:p w14:paraId="4B9C6F01">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2</w:t>
            </w:r>
          </w:p>
        </w:tc>
        <w:tc>
          <w:tcPr>
            <w:tcW w:w="632" w:type="pct"/>
            <w:shd w:val="clear" w:color="auto" w:fill="auto"/>
            <w:vAlign w:val="center"/>
          </w:tcPr>
          <w:p w14:paraId="4B5B5D18">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砷</w:t>
            </w:r>
          </w:p>
        </w:tc>
        <w:tc>
          <w:tcPr>
            <w:tcW w:w="405" w:type="pct"/>
            <w:shd w:val="clear" w:color="auto" w:fill="auto"/>
            <w:vAlign w:val="center"/>
          </w:tcPr>
          <w:p w14:paraId="0B0F327F">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60</w:t>
            </w:r>
          </w:p>
        </w:tc>
        <w:tc>
          <w:tcPr>
            <w:tcW w:w="304" w:type="pct"/>
            <w:shd w:val="clear" w:color="auto" w:fill="auto"/>
            <w:vAlign w:val="center"/>
          </w:tcPr>
          <w:p w14:paraId="6110DE45">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mg/kg</w:t>
            </w:r>
          </w:p>
        </w:tc>
        <w:tc>
          <w:tcPr>
            <w:tcW w:w="304" w:type="pct"/>
            <w:shd w:val="clear" w:color="auto" w:fill="auto"/>
            <w:vAlign w:val="center"/>
          </w:tcPr>
          <w:p w14:paraId="5F2BD661">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7.62</w:t>
            </w:r>
          </w:p>
        </w:tc>
        <w:tc>
          <w:tcPr>
            <w:tcW w:w="405" w:type="pct"/>
            <w:shd w:val="clear" w:color="auto" w:fill="auto"/>
            <w:vAlign w:val="center"/>
          </w:tcPr>
          <w:p w14:paraId="2FCC34DC">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0.1270</w:t>
            </w:r>
          </w:p>
        </w:tc>
        <w:tc>
          <w:tcPr>
            <w:tcW w:w="407" w:type="pct"/>
            <w:shd w:val="clear" w:color="auto" w:fill="auto"/>
            <w:vAlign w:val="center"/>
          </w:tcPr>
          <w:p w14:paraId="4814ABCC">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达标</w:t>
            </w:r>
          </w:p>
        </w:tc>
        <w:tc>
          <w:tcPr>
            <w:tcW w:w="309" w:type="pct"/>
            <w:shd w:val="clear" w:color="auto" w:fill="auto"/>
            <w:vAlign w:val="center"/>
          </w:tcPr>
          <w:p w14:paraId="5C0F7CB6">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9.06</w:t>
            </w:r>
          </w:p>
        </w:tc>
        <w:tc>
          <w:tcPr>
            <w:tcW w:w="404" w:type="pct"/>
            <w:shd w:val="clear" w:color="auto" w:fill="auto"/>
            <w:vAlign w:val="center"/>
          </w:tcPr>
          <w:p w14:paraId="59303685">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0.1510</w:t>
            </w:r>
          </w:p>
        </w:tc>
        <w:tc>
          <w:tcPr>
            <w:tcW w:w="404" w:type="pct"/>
            <w:shd w:val="clear" w:color="auto" w:fill="auto"/>
            <w:vAlign w:val="center"/>
          </w:tcPr>
          <w:p w14:paraId="29A87571">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达标</w:t>
            </w:r>
          </w:p>
        </w:tc>
        <w:tc>
          <w:tcPr>
            <w:tcW w:w="303" w:type="pct"/>
            <w:shd w:val="clear" w:color="auto" w:fill="auto"/>
            <w:vAlign w:val="center"/>
          </w:tcPr>
          <w:p w14:paraId="3EAE43D2">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7.87</w:t>
            </w:r>
          </w:p>
        </w:tc>
        <w:tc>
          <w:tcPr>
            <w:tcW w:w="404" w:type="pct"/>
            <w:shd w:val="clear" w:color="auto" w:fill="auto"/>
            <w:vAlign w:val="center"/>
          </w:tcPr>
          <w:p w14:paraId="3E6CABFA">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0.1312</w:t>
            </w:r>
          </w:p>
        </w:tc>
        <w:tc>
          <w:tcPr>
            <w:tcW w:w="390" w:type="pct"/>
            <w:shd w:val="clear" w:color="auto" w:fill="auto"/>
            <w:vAlign w:val="center"/>
          </w:tcPr>
          <w:p w14:paraId="6A0E63BE">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达标</w:t>
            </w:r>
          </w:p>
        </w:tc>
      </w:tr>
      <w:tr w14:paraId="55778A7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30" w:type="pct"/>
            <w:shd w:val="clear" w:color="auto" w:fill="auto"/>
            <w:vAlign w:val="center"/>
          </w:tcPr>
          <w:p w14:paraId="61F538F3">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3</w:t>
            </w:r>
          </w:p>
        </w:tc>
        <w:tc>
          <w:tcPr>
            <w:tcW w:w="632" w:type="pct"/>
            <w:shd w:val="clear" w:color="auto" w:fill="auto"/>
            <w:vAlign w:val="center"/>
          </w:tcPr>
          <w:p w14:paraId="1796A1AA">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铅</w:t>
            </w:r>
          </w:p>
        </w:tc>
        <w:tc>
          <w:tcPr>
            <w:tcW w:w="405" w:type="pct"/>
            <w:shd w:val="clear" w:color="auto" w:fill="auto"/>
            <w:vAlign w:val="center"/>
          </w:tcPr>
          <w:p w14:paraId="08C4B301">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800</w:t>
            </w:r>
          </w:p>
        </w:tc>
        <w:tc>
          <w:tcPr>
            <w:tcW w:w="304" w:type="pct"/>
            <w:shd w:val="clear" w:color="auto" w:fill="auto"/>
            <w:vAlign w:val="center"/>
          </w:tcPr>
          <w:p w14:paraId="7D13E256">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mg/kg</w:t>
            </w:r>
          </w:p>
        </w:tc>
        <w:tc>
          <w:tcPr>
            <w:tcW w:w="304" w:type="pct"/>
            <w:shd w:val="clear" w:color="auto" w:fill="auto"/>
            <w:vAlign w:val="center"/>
          </w:tcPr>
          <w:p w14:paraId="7EDEE730">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14.8</w:t>
            </w:r>
          </w:p>
        </w:tc>
        <w:tc>
          <w:tcPr>
            <w:tcW w:w="405" w:type="pct"/>
            <w:shd w:val="clear" w:color="auto" w:fill="auto"/>
            <w:vAlign w:val="center"/>
          </w:tcPr>
          <w:p w14:paraId="485816A5">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0.0185</w:t>
            </w:r>
          </w:p>
        </w:tc>
        <w:tc>
          <w:tcPr>
            <w:tcW w:w="407" w:type="pct"/>
            <w:shd w:val="clear" w:color="auto" w:fill="auto"/>
            <w:vAlign w:val="center"/>
          </w:tcPr>
          <w:p w14:paraId="76699BAB">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达标</w:t>
            </w:r>
          </w:p>
        </w:tc>
        <w:tc>
          <w:tcPr>
            <w:tcW w:w="309" w:type="pct"/>
            <w:shd w:val="clear" w:color="auto" w:fill="auto"/>
            <w:vAlign w:val="center"/>
          </w:tcPr>
          <w:p w14:paraId="4C85E642">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16</w:t>
            </w:r>
          </w:p>
        </w:tc>
        <w:tc>
          <w:tcPr>
            <w:tcW w:w="404" w:type="pct"/>
            <w:shd w:val="clear" w:color="auto" w:fill="auto"/>
            <w:vAlign w:val="center"/>
          </w:tcPr>
          <w:p w14:paraId="47DF449F">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0.0200</w:t>
            </w:r>
          </w:p>
        </w:tc>
        <w:tc>
          <w:tcPr>
            <w:tcW w:w="404" w:type="pct"/>
            <w:shd w:val="clear" w:color="auto" w:fill="auto"/>
            <w:vAlign w:val="center"/>
          </w:tcPr>
          <w:p w14:paraId="5B586F03">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达标</w:t>
            </w:r>
          </w:p>
        </w:tc>
        <w:tc>
          <w:tcPr>
            <w:tcW w:w="303" w:type="pct"/>
            <w:shd w:val="clear" w:color="auto" w:fill="auto"/>
            <w:vAlign w:val="center"/>
          </w:tcPr>
          <w:p w14:paraId="6AA7AB77">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17.3</w:t>
            </w:r>
          </w:p>
        </w:tc>
        <w:tc>
          <w:tcPr>
            <w:tcW w:w="404" w:type="pct"/>
            <w:shd w:val="clear" w:color="auto" w:fill="auto"/>
            <w:vAlign w:val="center"/>
          </w:tcPr>
          <w:p w14:paraId="3D69EB38">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0.0216</w:t>
            </w:r>
          </w:p>
        </w:tc>
        <w:tc>
          <w:tcPr>
            <w:tcW w:w="390" w:type="pct"/>
            <w:shd w:val="clear" w:color="auto" w:fill="auto"/>
            <w:vAlign w:val="center"/>
          </w:tcPr>
          <w:p w14:paraId="237187E8">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达标</w:t>
            </w:r>
          </w:p>
        </w:tc>
      </w:tr>
      <w:tr w14:paraId="4B5078B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30" w:type="pct"/>
            <w:shd w:val="clear" w:color="auto" w:fill="auto"/>
            <w:vAlign w:val="center"/>
          </w:tcPr>
          <w:p w14:paraId="660830D3">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4</w:t>
            </w:r>
          </w:p>
        </w:tc>
        <w:tc>
          <w:tcPr>
            <w:tcW w:w="632" w:type="pct"/>
            <w:shd w:val="clear" w:color="auto" w:fill="auto"/>
            <w:vAlign w:val="center"/>
          </w:tcPr>
          <w:p w14:paraId="63460BEE">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镉</w:t>
            </w:r>
          </w:p>
        </w:tc>
        <w:tc>
          <w:tcPr>
            <w:tcW w:w="405" w:type="pct"/>
            <w:shd w:val="clear" w:color="auto" w:fill="auto"/>
            <w:vAlign w:val="center"/>
          </w:tcPr>
          <w:p w14:paraId="11449E47">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65</w:t>
            </w:r>
          </w:p>
        </w:tc>
        <w:tc>
          <w:tcPr>
            <w:tcW w:w="304" w:type="pct"/>
            <w:shd w:val="clear" w:color="auto" w:fill="auto"/>
            <w:vAlign w:val="center"/>
          </w:tcPr>
          <w:p w14:paraId="1078C417">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mg/kg</w:t>
            </w:r>
          </w:p>
        </w:tc>
        <w:tc>
          <w:tcPr>
            <w:tcW w:w="304" w:type="pct"/>
            <w:shd w:val="clear" w:color="auto" w:fill="auto"/>
            <w:vAlign w:val="center"/>
          </w:tcPr>
          <w:p w14:paraId="040765F9">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0.15</w:t>
            </w:r>
          </w:p>
        </w:tc>
        <w:tc>
          <w:tcPr>
            <w:tcW w:w="405" w:type="pct"/>
            <w:shd w:val="clear" w:color="auto" w:fill="auto"/>
            <w:vAlign w:val="center"/>
          </w:tcPr>
          <w:p w14:paraId="2ADFBD1A">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0.0023</w:t>
            </w:r>
          </w:p>
        </w:tc>
        <w:tc>
          <w:tcPr>
            <w:tcW w:w="407" w:type="pct"/>
            <w:shd w:val="clear" w:color="auto" w:fill="auto"/>
            <w:vAlign w:val="center"/>
          </w:tcPr>
          <w:p w14:paraId="64665866">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达标</w:t>
            </w:r>
          </w:p>
        </w:tc>
        <w:tc>
          <w:tcPr>
            <w:tcW w:w="309" w:type="pct"/>
            <w:shd w:val="clear" w:color="auto" w:fill="auto"/>
            <w:vAlign w:val="center"/>
          </w:tcPr>
          <w:p w14:paraId="455A259C">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0.15</w:t>
            </w:r>
          </w:p>
        </w:tc>
        <w:tc>
          <w:tcPr>
            <w:tcW w:w="404" w:type="pct"/>
            <w:shd w:val="clear" w:color="auto" w:fill="auto"/>
            <w:vAlign w:val="center"/>
          </w:tcPr>
          <w:p w14:paraId="2E61A25F">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0.0023</w:t>
            </w:r>
          </w:p>
        </w:tc>
        <w:tc>
          <w:tcPr>
            <w:tcW w:w="404" w:type="pct"/>
            <w:shd w:val="clear" w:color="auto" w:fill="auto"/>
            <w:vAlign w:val="center"/>
          </w:tcPr>
          <w:p w14:paraId="729EE209">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达标</w:t>
            </w:r>
          </w:p>
        </w:tc>
        <w:tc>
          <w:tcPr>
            <w:tcW w:w="303" w:type="pct"/>
            <w:shd w:val="clear" w:color="auto" w:fill="auto"/>
            <w:vAlign w:val="center"/>
          </w:tcPr>
          <w:p w14:paraId="54527711">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0.12</w:t>
            </w:r>
          </w:p>
        </w:tc>
        <w:tc>
          <w:tcPr>
            <w:tcW w:w="404" w:type="pct"/>
            <w:shd w:val="clear" w:color="auto" w:fill="auto"/>
            <w:vAlign w:val="center"/>
          </w:tcPr>
          <w:p w14:paraId="7AAEB47E">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0.0018</w:t>
            </w:r>
          </w:p>
        </w:tc>
        <w:tc>
          <w:tcPr>
            <w:tcW w:w="390" w:type="pct"/>
            <w:shd w:val="clear" w:color="auto" w:fill="auto"/>
            <w:vAlign w:val="center"/>
          </w:tcPr>
          <w:p w14:paraId="1B4F4681">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达标</w:t>
            </w:r>
          </w:p>
        </w:tc>
      </w:tr>
      <w:tr w14:paraId="6DB89FC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30" w:type="pct"/>
            <w:shd w:val="clear" w:color="auto" w:fill="auto"/>
            <w:vAlign w:val="center"/>
          </w:tcPr>
          <w:p w14:paraId="6934B523">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5</w:t>
            </w:r>
          </w:p>
        </w:tc>
        <w:tc>
          <w:tcPr>
            <w:tcW w:w="632" w:type="pct"/>
            <w:shd w:val="clear" w:color="auto" w:fill="auto"/>
            <w:vAlign w:val="center"/>
          </w:tcPr>
          <w:p w14:paraId="2615EEB0">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六价铬</w:t>
            </w:r>
          </w:p>
        </w:tc>
        <w:tc>
          <w:tcPr>
            <w:tcW w:w="405" w:type="pct"/>
            <w:shd w:val="clear" w:color="auto" w:fill="auto"/>
            <w:vAlign w:val="center"/>
          </w:tcPr>
          <w:p w14:paraId="327289CA">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5.7</w:t>
            </w:r>
          </w:p>
        </w:tc>
        <w:tc>
          <w:tcPr>
            <w:tcW w:w="304" w:type="pct"/>
            <w:shd w:val="clear" w:color="auto" w:fill="auto"/>
            <w:vAlign w:val="center"/>
          </w:tcPr>
          <w:p w14:paraId="6F1CD888">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mg/kg</w:t>
            </w:r>
          </w:p>
        </w:tc>
        <w:tc>
          <w:tcPr>
            <w:tcW w:w="304" w:type="pct"/>
            <w:shd w:val="clear" w:color="auto" w:fill="auto"/>
            <w:vAlign w:val="center"/>
          </w:tcPr>
          <w:p w14:paraId="40ABC48E">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0.5L</w:t>
            </w:r>
          </w:p>
        </w:tc>
        <w:tc>
          <w:tcPr>
            <w:tcW w:w="405" w:type="pct"/>
            <w:shd w:val="clear" w:color="auto" w:fill="auto"/>
            <w:vAlign w:val="center"/>
          </w:tcPr>
          <w:p w14:paraId="18A04BD6">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w:t>
            </w:r>
          </w:p>
        </w:tc>
        <w:tc>
          <w:tcPr>
            <w:tcW w:w="407" w:type="pct"/>
            <w:shd w:val="clear" w:color="auto" w:fill="auto"/>
            <w:vAlign w:val="center"/>
          </w:tcPr>
          <w:p w14:paraId="588A18D2">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达标</w:t>
            </w:r>
          </w:p>
        </w:tc>
        <w:tc>
          <w:tcPr>
            <w:tcW w:w="309" w:type="pct"/>
            <w:shd w:val="clear" w:color="auto" w:fill="auto"/>
            <w:vAlign w:val="center"/>
          </w:tcPr>
          <w:p w14:paraId="44E72673">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0.5L</w:t>
            </w:r>
          </w:p>
        </w:tc>
        <w:tc>
          <w:tcPr>
            <w:tcW w:w="404" w:type="pct"/>
            <w:shd w:val="clear" w:color="auto" w:fill="auto"/>
            <w:vAlign w:val="center"/>
          </w:tcPr>
          <w:p w14:paraId="72BAF4C6">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w:t>
            </w:r>
          </w:p>
        </w:tc>
        <w:tc>
          <w:tcPr>
            <w:tcW w:w="404" w:type="pct"/>
            <w:shd w:val="clear" w:color="auto" w:fill="auto"/>
            <w:vAlign w:val="center"/>
          </w:tcPr>
          <w:p w14:paraId="094D3875">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达标</w:t>
            </w:r>
          </w:p>
        </w:tc>
        <w:tc>
          <w:tcPr>
            <w:tcW w:w="303" w:type="pct"/>
            <w:shd w:val="clear" w:color="auto" w:fill="auto"/>
            <w:vAlign w:val="center"/>
          </w:tcPr>
          <w:p w14:paraId="727BA2F6">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0.5L</w:t>
            </w:r>
          </w:p>
        </w:tc>
        <w:tc>
          <w:tcPr>
            <w:tcW w:w="404" w:type="pct"/>
            <w:shd w:val="clear" w:color="auto" w:fill="auto"/>
            <w:vAlign w:val="center"/>
          </w:tcPr>
          <w:p w14:paraId="0C27BBFE">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w:t>
            </w:r>
          </w:p>
        </w:tc>
        <w:tc>
          <w:tcPr>
            <w:tcW w:w="390" w:type="pct"/>
            <w:shd w:val="clear" w:color="auto" w:fill="auto"/>
            <w:vAlign w:val="center"/>
          </w:tcPr>
          <w:p w14:paraId="6B63C63A">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达标</w:t>
            </w:r>
          </w:p>
        </w:tc>
      </w:tr>
      <w:tr w14:paraId="305755C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30" w:type="pct"/>
            <w:shd w:val="clear" w:color="auto" w:fill="auto"/>
            <w:vAlign w:val="center"/>
          </w:tcPr>
          <w:p w14:paraId="5ED73158">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6</w:t>
            </w:r>
          </w:p>
        </w:tc>
        <w:tc>
          <w:tcPr>
            <w:tcW w:w="632" w:type="pct"/>
            <w:shd w:val="clear" w:color="auto" w:fill="auto"/>
            <w:vAlign w:val="center"/>
          </w:tcPr>
          <w:p w14:paraId="008CEDE4">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铜</w:t>
            </w:r>
          </w:p>
        </w:tc>
        <w:tc>
          <w:tcPr>
            <w:tcW w:w="405" w:type="pct"/>
            <w:shd w:val="clear" w:color="auto" w:fill="auto"/>
            <w:vAlign w:val="center"/>
          </w:tcPr>
          <w:p w14:paraId="398EED0A">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18000</w:t>
            </w:r>
          </w:p>
        </w:tc>
        <w:tc>
          <w:tcPr>
            <w:tcW w:w="304" w:type="pct"/>
            <w:shd w:val="clear" w:color="auto" w:fill="auto"/>
            <w:vAlign w:val="center"/>
          </w:tcPr>
          <w:p w14:paraId="3B286EBA">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mg/kg</w:t>
            </w:r>
          </w:p>
        </w:tc>
        <w:tc>
          <w:tcPr>
            <w:tcW w:w="304" w:type="pct"/>
            <w:shd w:val="clear" w:color="auto" w:fill="auto"/>
            <w:vAlign w:val="center"/>
          </w:tcPr>
          <w:p w14:paraId="192CAF90">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34</w:t>
            </w:r>
          </w:p>
        </w:tc>
        <w:tc>
          <w:tcPr>
            <w:tcW w:w="405" w:type="pct"/>
            <w:shd w:val="clear" w:color="auto" w:fill="auto"/>
            <w:vAlign w:val="center"/>
          </w:tcPr>
          <w:p w14:paraId="6257E08E">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0.0019</w:t>
            </w:r>
          </w:p>
        </w:tc>
        <w:tc>
          <w:tcPr>
            <w:tcW w:w="407" w:type="pct"/>
            <w:shd w:val="clear" w:color="auto" w:fill="auto"/>
            <w:vAlign w:val="center"/>
          </w:tcPr>
          <w:p w14:paraId="604E9F18">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达标</w:t>
            </w:r>
          </w:p>
        </w:tc>
        <w:tc>
          <w:tcPr>
            <w:tcW w:w="309" w:type="pct"/>
            <w:shd w:val="clear" w:color="auto" w:fill="auto"/>
            <w:vAlign w:val="center"/>
          </w:tcPr>
          <w:p w14:paraId="433A510E">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27</w:t>
            </w:r>
          </w:p>
        </w:tc>
        <w:tc>
          <w:tcPr>
            <w:tcW w:w="404" w:type="pct"/>
            <w:shd w:val="clear" w:color="auto" w:fill="auto"/>
            <w:vAlign w:val="center"/>
          </w:tcPr>
          <w:p w14:paraId="2F447129">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0.0015</w:t>
            </w:r>
          </w:p>
        </w:tc>
        <w:tc>
          <w:tcPr>
            <w:tcW w:w="404" w:type="pct"/>
            <w:shd w:val="clear" w:color="auto" w:fill="auto"/>
            <w:vAlign w:val="center"/>
          </w:tcPr>
          <w:p w14:paraId="6FB5FB06">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达标</w:t>
            </w:r>
          </w:p>
        </w:tc>
        <w:tc>
          <w:tcPr>
            <w:tcW w:w="303" w:type="pct"/>
            <w:shd w:val="clear" w:color="auto" w:fill="auto"/>
            <w:vAlign w:val="center"/>
          </w:tcPr>
          <w:p w14:paraId="336BF9CF">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21</w:t>
            </w:r>
          </w:p>
        </w:tc>
        <w:tc>
          <w:tcPr>
            <w:tcW w:w="404" w:type="pct"/>
            <w:shd w:val="clear" w:color="auto" w:fill="auto"/>
            <w:vAlign w:val="center"/>
          </w:tcPr>
          <w:p w14:paraId="505B51F1">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0.0012</w:t>
            </w:r>
          </w:p>
        </w:tc>
        <w:tc>
          <w:tcPr>
            <w:tcW w:w="390" w:type="pct"/>
            <w:shd w:val="clear" w:color="auto" w:fill="auto"/>
            <w:vAlign w:val="center"/>
          </w:tcPr>
          <w:p w14:paraId="5A6358ED">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达标</w:t>
            </w:r>
          </w:p>
        </w:tc>
      </w:tr>
      <w:tr w14:paraId="3C11094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30" w:type="pct"/>
            <w:shd w:val="clear" w:color="auto" w:fill="auto"/>
            <w:vAlign w:val="center"/>
          </w:tcPr>
          <w:p w14:paraId="2182EA1F">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7</w:t>
            </w:r>
          </w:p>
        </w:tc>
        <w:tc>
          <w:tcPr>
            <w:tcW w:w="632" w:type="pct"/>
            <w:shd w:val="clear" w:color="auto" w:fill="auto"/>
            <w:vAlign w:val="center"/>
          </w:tcPr>
          <w:p w14:paraId="365C6288">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镍</w:t>
            </w:r>
          </w:p>
        </w:tc>
        <w:tc>
          <w:tcPr>
            <w:tcW w:w="405" w:type="pct"/>
            <w:shd w:val="clear" w:color="auto" w:fill="auto"/>
            <w:vAlign w:val="center"/>
          </w:tcPr>
          <w:p w14:paraId="113CC8E3">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900</w:t>
            </w:r>
          </w:p>
        </w:tc>
        <w:tc>
          <w:tcPr>
            <w:tcW w:w="304" w:type="pct"/>
            <w:shd w:val="clear" w:color="auto" w:fill="auto"/>
            <w:vAlign w:val="center"/>
          </w:tcPr>
          <w:p w14:paraId="63F358E5">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mg/kg</w:t>
            </w:r>
          </w:p>
        </w:tc>
        <w:tc>
          <w:tcPr>
            <w:tcW w:w="304" w:type="pct"/>
            <w:shd w:val="clear" w:color="auto" w:fill="auto"/>
            <w:vAlign w:val="center"/>
          </w:tcPr>
          <w:p w14:paraId="09A63E62">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46</w:t>
            </w:r>
          </w:p>
        </w:tc>
        <w:tc>
          <w:tcPr>
            <w:tcW w:w="405" w:type="pct"/>
            <w:shd w:val="clear" w:color="auto" w:fill="auto"/>
            <w:vAlign w:val="center"/>
          </w:tcPr>
          <w:p w14:paraId="49B3EC60">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0.0511</w:t>
            </w:r>
          </w:p>
        </w:tc>
        <w:tc>
          <w:tcPr>
            <w:tcW w:w="407" w:type="pct"/>
            <w:shd w:val="clear" w:color="auto" w:fill="auto"/>
            <w:vAlign w:val="center"/>
          </w:tcPr>
          <w:p w14:paraId="167FF040">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达标</w:t>
            </w:r>
          </w:p>
        </w:tc>
        <w:tc>
          <w:tcPr>
            <w:tcW w:w="309" w:type="pct"/>
            <w:shd w:val="clear" w:color="auto" w:fill="auto"/>
            <w:vAlign w:val="center"/>
          </w:tcPr>
          <w:p w14:paraId="453084C4">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54</w:t>
            </w:r>
          </w:p>
        </w:tc>
        <w:tc>
          <w:tcPr>
            <w:tcW w:w="404" w:type="pct"/>
            <w:shd w:val="clear" w:color="auto" w:fill="auto"/>
            <w:vAlign w:val="center"/>
          </w:tcPr>
          <w:p w14:paraId="716231E9">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0.0600</w:t>
            </w:r>
          </w:p>
        </w:tc>
        <w:tc>
          <w:tcPr>
            <w:tcW w:w="404" w:type="pct"/>
            <w:shd w:val="clear" w:color="auto" w:fill="auto"/>
            <w:vAlign w:val="center"/>
          </w:tcPr>
          <w:p w14:paraId="5F21A843">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达标</w:t>
            </w:r>
          </w:p>
        </w:tc>
        <w:tc>
          <w:tcPr>
            <w:tcW w:w="303" w:type="pct"/>
            <w:shd w:val="clear" w:color="auto" w:fill="auto"/>
            <w:vAlign w:val="center"/>
          </w:tcPr>
          <w:p w14:paraId="2940EC7B">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52</w:t>
            </w:r>
          </w:p>
        </w:tc>
        <w:tc>
          <w:tcPr>
            <w:tcW w:w="404" w:type="pct"/>
            <w:shd w:val="clear" w:color="auto" w:fill="auto"/>
            <w:vAlign w:val="center"/>
          </w:tcPr>
          <w:p w14:paraId="3ABCF1DE">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0.0578</w:t>
            </w:r>
          </w:p>
        </w:tc>
        <w:tc>
          <w:tcPr>
            <w:tcW w:w="390" w:type="pct"/>
            <w:shd w:val="clear" w:color="auto" w:fill="auto"/>
            <w:vAlign w:val="center"/>
          </w:tcPr>
          <w:p w14:paraId="7D979A8D">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达标</w:t>
            </w:r>
          </w:p>
        </w:tc>
      </w:tr>
      <w:tr w14:paraId="72A7F83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30" w:type="pct"/>
            <w:shd w:val="clear" w:color="auto" w:fill="auto"/>
            <w:vAlign w:val="center"/>
          </w:tcPr>
          <w:p w14:paraId="749EFFBA">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8</w:t>
            </w:r>
          </w:p>
        </w:tc>
        <w:tc>
          <w:tcPr>
            <w:tcW w:w="632" w:type="pct"/>
            <w:shd w:val="clear" w:color="auto" w:fill="auto"/>
            <w:vAlign w:val="center"/>
          </w:tcPr>
          <w:p w14:paraId="12C56F38">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pH</w:t>
            </w:r>
          </w:p>
        </w:tc>
        <w:tc>
          <w:tcPr>
            <w:tcW w:w="405" w:type="pct"/>
            <w:shd w:val="clear" w:color="auto" w:fill="auto"/>
            <w:vAlign w:val="center"/>
          </w:tcPr>
          <w:p w14:paraId="3B487982">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w:t>
            </w:r>
          </w:p>
        </w:tc>
        <w:tc>
          <w:tcPr>
            <w:tcW w:w="304" w:type="pct"/>
            <w:shd w:val="clear" w:color="auto" w:fill="auto"/>
            <w:vAlign w:val="center"/>
          </w:tcPr>
          <w:p w14:paraId="666A329C">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w:t>
            </w:r>
          </w:p>
        </w:tc>
        <w:tc>
          <w:tcPr>
            <w:tcW w:w="304" w:type="pct"/>
            <w:shd w:val="clear" w:color="auto" w:fill="auto"/>
            <w:vAlign w:val="center"/>
          </w:tcPr>
          <w:p w14:paraId="13248854">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8.77</w:t>
            </w:r>
          </w:p>
        </w:tc>
        <w:tc>
          <w:tcPr>
            <w:tcW w:w="405" w:type="pct"/>
            <w:shd w:val="clear" w:color="auto" w:fill="auto"/>
            <w:vAlign w:val="center"/>
          </w:tcPr>
          <w:p w14:paraId="7B8EC971">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w:t>
            </w:r>
          </w:p>
        </w:tc>
        <w:tc>
          <w:tcPr>
            <w:tcW w:w="407" w:type="pct"/>
            <w:shd w:val="clear" w:color="auto" w:fill="auto"/>
            <w:vAlign w:val="center"/>
          </w:tcPr>
          <w:p w14:paraId="2FD2E678">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w:t>
            </w:r>
          </w:p>
        </w:tc>
        <w:tc>
          <w:tcPr>
            <w:tcW w:w="309" w:type="pct"/>
            <w:shd w:val="clear" w:color="auto" w:fill="auto"/>
            <w:vAlign w:val="center"/>
          </w:tcPr>
          <w:p w14:paraId="48E04B28">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8.81</w:t>
            </w:r>
          </w:p>
        </w:tc>
        <w:tc>
          <w:tcPr>
            <w:tcW w:w="404" w:type="pct"/>
            <w:shd w:val="clear" w:color="auto" w:fill="auto"/>
            <w:vAlign w:val="center"/>
          </w:tcPr>
          <w:p w14:paraId="5FB014E5">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w:t>
            </w:r>
          </w:p>
        </w:tc>
        <w:tc>
          <w:tcPr>
            <w:tcW w:w="404" w:type="pct"/>
            <w:shd w:val="clear" w:color="auto" w:fill="auto"/>
            <w:vAlign w:val="center"/>
          </w:tcPr>
          <w:p w14:paraId="011E8D75">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w:t>
            </w:r>
          </w:p>
        </w:tc>
        <w:tc>
          <w:tcPr>
            <w:tcW w:w="303" w:type="pct"/>
            <w:shd w:val="clear" w:color="auto" w:fill="auto"/>
            <w:vAlign w:val="center"/>
          </w:tcPr>
          <w:p w14:paraId="0C256313">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8.88</w:t>
            </w:r>
          </w:p>
        </w:tc>
        <w:tc>
          <w:tcPr>
            <w:tcW w:w="404" w:type="pct"/>
            <w:shd w:val="clear" w:color="auto" w:fill="auto"/>
            <w:vAlign w:val="center"/>
          </w:tcPr>
          <w:p w14:paraId="115691C5">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w:t>
            </w:r>
          </w:p>
        </w:tc>
        <w:tc>
          <w:tcPr>
            <w:tcW w:w="390" w:type="pct"/>
            <w:shd w:val="clear" w:color="auto" w:fill="auto"/>
            <w:vAlign w:val="center"/>
          </w:tcPr>
          <w:p w14:paraId="4122E495">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w:t>
            </w:r>
          </w:p>
        </w:tc>
      </w:tr>
      <w:tr w14:paraId="0C699DF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30" w:type="pct"/>
            <w:shd w:val="clear" w:color="auto" w:fill="auto"/>
            <w:vAlign w:val="center"/>
          </w:tcPr>
          <w:p w14:paraId="30E939AE">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9</w:t>
            </w:r>
          </w:p>
        </w:tc>
        <w:tc>
          <w:tcPr>
            <w:tcW w:w="632" w:type="pct"/>
            <w:shd w:val="clear" w:color="auto" w:fill="auto"/>
            <w:vAlign w:val="center"/>
          </w:tcPr>
          <w:p w14:paraId="7E56A5F1">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土壤盐分含量</w:t>
            </w:r>
          </w:p>
        </w:tc>
        <w:tc>
          <w:tcPr>
            <w:tcW w:w="405" w:type="pct"/>
            <w:shd w:val="clear" w:color="auto" w:fill="auto"/>
            <w:vAlign w:val="center"/>
          </w:tcPr>
          <w:p w14:paraId="5D2917AB">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w:t>
            </w:r>
          </w:p>
        </w:tc>
        <w:tc>
          <w:tcPr>
            <w:tcW w:w="304" w:type="pct"/>
            <w:shd w:val="clear" w:color="auto" w:fill="auto"/>
            <w:vAlign w:val="center"/>
          </w:tcPr>
          <w:p w14:paraId="0C7DE48C">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g/kg</w:t>
            </w:r>
          </w:p>
        </w:tc>
        <w:tc>
          <w:tcPr>
            <w:tcW w:w="304" w:type="pct"/>
            <w:shd w:val="clear" w:color="auto" w:fill="auto"/>
            <w:vAlign w:val="center"/>
          </w:tcPr>
          <w:p w14:paraId="54B59823">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27.6</w:t>
            </w:r>
          </w:p>
        </w:tc>
        <w:tc>
          <w:tcPr>
            <w:tcW w:w="405" w:type="pct"/>
            <w:shd w:val="clear" w:color="auto" w:fill="auto"/>
            <w:vAlign w:val="center"/>
          </w:tcPr>
          <w:p w14:paraId="559A6947">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w:t>
            </w:r>
          </w:p>
        </w:tc>
        <w:tc>
          <w:tcPr>
            <w:tcW w:w="407" w:type="pct"/>
            <w:shd w:val="clear" w:color="auto" w:fill="auto"/>
            <w:vAlign w:val="center"/>
          </w:tcPr>
          <w:p w14:paraId="1FC5BE95">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w:t>
            </w:r>
          </w:p>
        </w:tc>
        <w:tc>
          <w:tcPr>
            <w:tcW w:w="309" w:type="pct"/>
            <w:shd w:val="clear" w:color="auto" w:fill="auto"/>
            <w:vAlign w:val="center"/>
          </w:tcPr>
          <w:p w14:paraId="002D224A">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57.7</w:t>
            </w:r>
          </w:p>
        </w:tc>
        <w:tc>
          <w:tcPr>
            <w:tcW w:w="404" w:type="pct"/>
            <w:shd w:val="clear" w:color="auto" w:fill="auto"/>
            <w:vAlign w:val="center"/>
          </w:tcPr>
          <w:p w14:paraId="5E892149">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w:t>
            </w:r>
          </w:p>
        </w:tc>
        <w:tc>
          <w:tcPr>
            <w:tcW w:w="404" w:type="pct"/>
            <w:shd w:val="clear" w:color="auto" w:fill="auto"/>
            <w:vAlign w:val="center"/>
          </w:tcPr>
          <w:p w14:paraId="4DCED466">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w:t>
            </w:r>
          </w:p>
        </w:tc>
        <w:tc>
          <w:tcPr>
            <w:tcW w:w="303" w:type="pct"/>
            <w:shd w:val="clear" w:color="auto" w:fill="auto"/>
            <w:vAlign w:val="center"/>
          </w:tcPr>
          <w:p w14:paraId="12B71DFB">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22.6</w:t>
            </w:r>
          </w:p>
        </w:tc>
        <w:tc>
          <w:tcPr>
            <w:tcW w:w="404" w:type="pct"/>
            <w:shd w:val="clear" w:color="auto" w:fill="auto"/>
            <w:vAlign w:val="center"/>
          </w:tcPr>
          <w:p w14:paraId="1605E042">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w:t>
            </w:r>
          </w:p>
        </w:tc>
        <w:tc>
          <w:tcPr>
            <w:tcW w:w="390" w:type="pct"/>
            <w:shd w:val="clear" w:color="auto" w:fill="auto"/>
            <w:vAlign w:val="center"/>
          </w:tcPr>
          <w:p w14:paraId="7A78EEAF">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w:t>
            </w:r>
          </w:p>
        </w:tc>
      </w:tr>
      <w:tr w14:paraId="4E5A471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30" w:type="pct"/>
            <w:shd w:val="clear" w:color="auto" w:fill="auto"/>
            <w:vAlign w:val="center"/>
          </w:tcPr>
          <w:p w14:paraId="4ADD15D2">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10</w:t>
            </w:r>
          </w:p>
        </w:tc>
        <w:tc>
          <w:tcPr>
            <w:tcW w:w="632" w:type="pct"/>
            <w:shd w:val="clear" w:color="auto" w:fill="auto"/>
            <w:vAlign w:val="center"/>
          </w:tcPr>
          <w:p w14:paraId="1E9AE904">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石油烃</w:t>
            </w:r>
          </w:p>
        </w:tc>
        <w:tc>
          <w:tcPr>
            <w:tcW w:w="405" w:type="pct"/>
            <w:shd w:val="clear" w:color="auto" w:fill="auto"/>
            <w:vAlign w:val="center"/>
          </w:tcPr>
          <w:p w14:paraId="37E9FC1F">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4500</w:t>
            </w:r>
          </w:p>
        </w:tc>
        <w:tc>
          <w:tcPr>
            <w:tcW w:w="304" w:type="pct"/>
            <w:shd w:val="clear" w:color="auto" w:fill="auto"/>
            <w:vAlign w:val="center"/>
          </w:tcPr>
          <w:p w14:paraId="2679F78C">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mg/kg</w:t>
            </w:r>
          </w:p>
        </w:tc>
        <w:tc>
          <w:tcPr>
            <w:tcW w:w="304" w:type="pct"/>
            <w:shd w:val="clear" w:color="auto" w:fill="auto"/>
            <w:vAlign w:val="center"/>
          </w:tcPr>
          <w:p w14:paraId="301A77DF">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19</w:t>
            </w:r>
          </w:p>
        </w:tc>
        <w:tc>
          <w:tcPr>
            <w:tcW w:w="405" w:type="pct"/>
            <w:shd w:val="clear" w:color="auto" w:fill="auto"/>
            <w:vAlign w:val="center"/>
          </w:tcPr>
          <w:p w14:paraId="027580D4">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0.0042</w:t>
            </w:r>
          </w:p>
        </w:tc>
        <w:tc>
          <w:tcPr>
            <w:tcW w:w="407" w:type="pct"/>
            <w:shd w:val="clear" w:color="auto" w:fill="auto"/>
            <w:vAlign w:val="center"/>
          </w:tcPr>
          <w:p w14:paraId="70DBFE2F">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达标</w:t>
            </w:r>
          </w:p>
        </w:tc>
        <w:tc>
          <w:tcPr>
            <w:tcW w:w="309" w:type="pct"/>
            <w:shd w:val="clear" w:color="auto" w:fill="auto"/>
            <w:vAlign w:val="center"/>
          </w:tcPr>
          <w:p w14:paraId="42B3419E">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10</w:t>
            </w:r>
          </w:p>
        </w:tc>
        <w:tc>
          <w:tcPr>
            <w:tcW w:w="404" w:type="pct"/>
            <w:shd w:val="clear" w:color="auto" w:fill="auto"/>
            <w:vAlign w:val="center"/>
          </w:tcPr>
          <w:p w14:paraId="71E93492">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0.0022</w:t>
            </w:r>
          </w:p>
        </w:tc>
        <w:tc>
          <w:tcPr>
            <w:tcW w:w="404" w:type="pct"/>
            <w:shd w:val="clear" w:color="auto" w:fill="auto"/>
            <w:vAlign w:val="center"/>
          </w:tcPr>
          <w:p w14:paraId="1A92ADA4">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达标</w:t>
            </w:r>
          </w:p>
        </w:tc>
        <w:tc>
          <w:tcPr>
            <w:tcW w:w="303" w:type="pct"/>
            <w:shd w:val="clear" w:color="auto" w:fill="auto"/>
            <w:vAlign w:val="center"/>
          </w:tcPr>
          <w:p w14:paraId="081C35F0">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8</w:t>
            </w:r>
          </w:p>
        </w:tc>
        <w:tc>
          <w:tcPr>
            <w:tcW w:w="404" w:type="pct"/>
            <w:shd w:val="clear" w:color="auto" w:fill="auto"/>
            <w:vAlign w:val="center"/>
          </w:tcPr>
          <w:p w14:paraId="3D4DE4FF">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0.0018</w:t>
            </w:r>
          </w:p>
        </w:tc>
        <w:tc>
          <w:tcPr>
            <w:tcW w:w="390" w:type="pct"/>
            <w:shd w:val="clear" w:color="auto" w:fill="auto"/>
            <w:vAlign w:val="center"/>
          </w:tcPr>
          <w:p w14:paraId="7056D5F0">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达标</w:t>
            </w:r>
          </w:p>
        </w:tc>
      </w:tr>
      <w:tr w14:paraId="61CEBD3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30" w:type="pct"/>
            <w:shd w:val="clear" w:color="auto" w:fill="auto"/>
            <w:vAlign w:val="center"/>
          </w:tcPr>
          <w:p w14:paraId="7865C3DF">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w:t>
            </w:r>
          </w:p>
        </w:tc>
        <w:tc>
          <w:tcPr>
            <w:tcW w:w="632" w:type="pct"/>
            <w:shd w:val="clear" w:color="auto" w:fill="auto"/>
            <w:vAlign w:val="center"/>
          </w:tcPr>
          <w:p w14:paraId="73183AA5">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w:t>
            </w:r>
          </w:p>
        </w:tc>
        <w:tc>
          <w:tcPr>
            <w:tcW w:w="405" w:type="pct"/>
            <w:shd w:val="clear" w:color="auto" w:fill="auto"/>
            <w:vAlign w:val="center"/>
          </w:tcPr>
          <w:p w14:paraId="038EB6DE">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w:t>
            </w:r>
          </w:p>
        </w:tc>
        <w:tc>
          <w:tcPr>
            <w:tcW w:w="304" w:type="pct"/>
            <w:shd w:val="clear" w:color="auto" w:fill="auto"/>
            <w:vAlign w:val="center"/>
          </w:tcPr>
          <w:p w14:paraId="150A1DEB">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w:t>
            </w:r>
          </w:p>
        </w:tc>
        <w:tc>
          <w:tcPr>
            <w:tcW w:w="1116" w:type="pct"/>
            <w:gridSpan w:val="3"/>
            <w:shd w:val="clear" w:color="auto" w:fill="auto"/>
            <w:vAlign w:val="center"/>
          </w:tcPr>
          <w:p w14:paraId="402A8DD9">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T9(0m～0.2m)</w:t>
            </w:r>
          </w:p>
        </w:tc>
        <w:tc>
          <w:tcPr>
            <w:tcW w:w="1117" w:type="pct"/>
            <w:gridSpan w:val="3"/>
            <w:shd w:val="clear" w:color="auto" w:fill="auto"/>
            <w:vAlign w:val="center"/>
          </w:tcPr>
          <w:p w14:paraId="3B9090A1">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T10(0m～0.2m)</w:t>
            </w:r>
          </w:p>
        </w:tc>
        <w:tc>
          <w:tcPr>
            <w:tcW w:w="1097" w:type="pct"/>
            <w:gridSpan w:val="3"/>
            <w:shd w:val="clear" w:color="auto" w:fill="auto"/>
            <w:vAlign w:val="center"/>
          </w:tcPr>
          <w:p w14:paraId="34093F50">
            <w:pPr>
              <w:widowControl/>
              <w:jc w:val="center"/>
              <w:rPr>
                <w:rFonts w:hint="eastAsia" w:ascii="宋体" w:hAnsi="宋体" w:cs="宋体"/>
                <w:color w:val="000000" w:themeColor="text1"/>
                <w:kern w:val="0"/>
                <w:szCs w:val="21"/>
                <w14:textFill>
                  <w14:solidFill>
                    <w14:schemeClr w14:val="tx1"/>
                  </w14:solidFill>
                </w14:textFill>
              </w:rPr>
            </w:pPr>
          </w:p>
        </w:tc>
      </w:tr>
      <w:tr w14:paraId="257DA09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30" w:type="pct"/>
            <w:shd w:val="clear" w:color="auto" w:fill="auto"/>
            <w:vAlign w:val="center"/>
          </w:tcPr>
          <w:p w14:paraId="533D1EE6">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1</w:t>
            </w:r>
          </w:p>
        </w:tc>
        <w:tc>
          <w:tcPr>
            <w:tcW w:w="632" w:type="pct"/>
            <w:shd w:val="clear" w:color="auto" w:fill="auto"/>
            <w:vAlign w:val="center"/>
          </w:tcPr>
          <w:p w14:paraId="6AD7416F">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汞</w:t>
            </w:r>
          </w:p>
        </w:tc>
        <w:tc>
          <w:tcPr>
            <w:tcW w:w="405" w:type="pct"/>
            <w:shd w:val="clear" w:color="auto" w:fill="auto"/>
            <w:vAlign w:val="center"/>
          </w:tcPr>
          <w:p w14:paraId="5EF61E08">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38</w:t>
            </w:r>
          </w:p>
        </w:tc>
        <w:tc>
          <w:tcPr>
            <w:tcW w:w="304" w:type="pct"/>
            <w:shd w:val="clear" w:color="auto" w:fill="auto"/>
            <w:vAlign w:val="center"/>
          </w:tcPr>
          <w:p w14:paraId="22EB0987">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mg/kg</w:t>
            </w:r>
          </w:p>
        </w:tc>
        <w:tc>
          <w:tcPr>
            <w:tcW w:w="304" w:type="pct"/>
            <w:shd w:val="clear" w:color="auto" w:fill="auto"/>
            <w:vAlign w:val="center"/>
          </w:tcPr>
          <w:p w14:paraId="2DD933BF">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0.051</w:t>
            </w:r>
          </w:p>
        </w:tc>
        <w:tc>
          <w:tcPr>
            <w:tcW w:w="405" w:type="pct"/>
            <w:shd w:val="clear" w:color="auto" w:fill="auto"/>
            <w:vAlign w:val="center"/>
          </w:tcPr>
          <w:p w14:paraId="00A2E69B">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0.0013</w:t>
            </w:r>
          </w:p>
        </w:tc>
        <w:tc>
          <w:tcPr>
            <w:tcW w:w="407" w:type="pct"/>
            <w:shd w:val="clear" w:color="auto" w:fill="auto"/>
            <w:vAlign w:val="center"/>
          </w:tcPr>
          <w:p w14:paraId="04756EFA">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达标</w:t>
            </w:r>
          </w:p>
        </w:tc>
        <w:tc>
          <w:tcPr>
            <w:tcW w:w="309" w:type="pct"/>
            <w:shd w:val="clear" w:color="auto" w:fill="auto"/>
            <w:vAlign w:val="center"/>
          </w:tcPr>
          <w:p w14:paraId="282F15CF">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0.053</w:t>
            </w:r>
          </w:p>
        </w:tc>
        <w:tc>
          <w:tcPr>
            <w:tcW w:w="404" w:type="pct"/>
            <w:shd w:val="clear" w:color="auto" w:fill="auto"/>
            <w:vAlign w:val="center"/>
          </w:tcPr>
          <w:p w14:paraId="316472E3">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0.0014</w:t>
            </w:r>
          </w:p>
        </w:tc>
        <w:tc>
          <w:tcPr>
            <w:tcW w:w="404" w:type="pct"/>
            <w:shd w:val="clear" w:color="auto" w:fill="auto"/>
            <w:vAlign w:val="center"/>
          </w:tcPr>
          <w:p w14:paraId="759829FE">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达标</w:t>
            </w:r>
          </w:p>
        </w:tc>
        <w:tc>
          <w:tcPr>
            <w:tcW w:w="303" w:type="pct"/>
            <w:shd w:val="clear" w:color="auto" w:fill="auto"/>
            <w:vAlign w:val="center"/>
          </w:tcPr>
          <w:p w14:paraId="698FEE51">
            <w:pPr>
              <w:widowControl/>
              <w:jc w:val="center"/>
              <w:rPr>
                <w:rFonts w:hint="eastAsia" w:ascii="宋体" w:hAnsi="宋体" w:cs="宋体"/>
                <w:color w:val="000000" w:themeColor="text1"/>
                <w:kern w:val="0"/>
                <w:szCs w:val="21"/>
                <w14:textFill>
                  <w14:solidFill>
                    <w14:schemeClr w14:val="tx1"/>
                  </w14:solidFill>
                </w14:textFill>
              </w:rPr>
            </w:pPr>
          </w:p>
        </w:tc>
        <w:tc>
          <w:tcPr>
            <w:tcW w:w="404" w:type="pct"/>
            <w:shd w:val="clear" w:color="auto" w:fill="auto"/>
            <w:vAlign w:val="center"/>
          </w:tcPr>
          <w:p w14:paraId="51B69761">
            <w:pPr>
              <w:widowControl/>
              <w:jc w:val="center"/>
              <w:rPr>
                <w:rFonts w:hint="eastAsia" w:ascii="宋体" w:hAnsi="宋体" w:cs="宋体"/>
                <w:color w:val="000000" w:themeColor="text1"/>
                <w:kern w:val="0"/>
                <w:szCs w:val="21"/>
                <w14:textFill>
                  <w14:solidFill>
                    <w14:schemeClr w14:val="tx1"/>
                  </w14:solidFill>
                </w14:textFill>
              </w:rPr>
            </w:pPr>
          </w:p>
        </w:tc>
        <w:tc>
          <w:tcPr>
            <w:tcW w:w="390" w:type="pct"/>
            <w:shd w:val="clear" w:color="auto" w:fill="auto"/>
            <w:vAlign w:val="center"/>
          </w:tcPr>
          <w:p w14:paraId="64DA4B0A">
            <w:pPr>
              <w:widowControl/>
              <w:jc w:val="center"/>
              <w:rPr>
                <w:rFonts w:hint="eastAsia" w:ascii="宋体" w:hAnsi="宋体" w:cs="宋体"/>
                <w:color w:val="000000" w:themeColor="text1"/>
                <w:kern w:val="0"/>
                <w:szCs w:val="21"/>
                <w14:textFill>
                  <w14:solidFill>
                    <w14:schemeClr w14:val="tx1"/>
                  </w14:solidFill>
                </w14:textFill>
              </w:rPr>
            </w:pPr>
          </w:p>
        </w:tc>
      </w:tr>
      <w:tr w14:paraId="5ABD2AB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30" w:type="pct"/>
            <w:shd w:val="clear" w:color="auto" w:fill="auto"/>
            <w:vAlign w:val="center"/>
          </w:tcPr>
          <w:p w14:paraId="5F859DA9">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2</w:t>
            </w:r>
          </w:p>
        </w:tc>
        <w:tc>
          <w:tcPr>
            <w:tcW w:w="632" w:type="pct"/>
            <w:shd w:val="clear" w:color="auto" w:fill="auto"/>
            <w:vAlign w:val="center"/>
          </w:tcPr>
          <w:p w14:paraId="23FE4512">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砷</w:t>
            </w:r>
          </w:p>
        </w:tc>
        <w:tc>
          <w:tcPr>
            <w:tcW w:w="405" w:type="pct"/>
            <w:shd w:val="clear" w:color="auto" w:fill="auto"/>
            <w:vAlign w:val="center"/>
          </w:tcPr>
          <w:p w14:paraId="6CAC93DC">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60</w:t>
            </w:r>
          </w:p>
        </w:tc>
        <w:tc>
          <w:tcPr>
            <w:tcW w:w="304" w:type="pct"/>
            <w:shd w:val="clear" w:color="auto" w:fill="auto"/>
            <w:vAlign w:val="center"/>
          </w:tcPr>
          <w:p w14:paraId="33B15456">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mg/kg</w:t>
            </w:r>
          </w:p>
        </w:tc>
        <w:tc>
          <w:tcPr>
            <w:tcW w:w="304" w:type="pct"/>
            <w:shd w:val="clear" w:color="auto" w:fill="auto"/>
            <w:vAlign w:val="center"/>
          </w:tcPr>
          <w:p w14:paraId="34FD32FF">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8.63</w:t>
            </w:r>
          </w:p>
        </w:tc>
        <w:tc>
          <w:tcPr>
            <w:tcW w:w="405" w:type="pct"/>
            <w:shd w:val="clear" w:color="auto" w:fill="auto"/>
            <w:vAlign w:val="center"/>
          </w:tcPr>
          <w:p w14:paraId="709A2C9D">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0.1438</w:t>
            </w:r>
          </w:p>
        </w:tc>
        <w:tc>
          <w:tcPr>
            <w:tcW w:w="407" w:type="pct"/>
            <w:shd w:val="clear" w:color="auto" w:fill="auto"/>
            <w:vAlign w:val="center"/>
          </w:tcPr>
          <w:p w14:paraId="65AE63EA">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达标</w:t>
            </w:r>
          </w:p>
        </w:tc>
        <w:tc>
          <w:tcPr>
            <w:tcW w:w="309" w:type="pct"/>
            <w:shd w:val="clear" w:color="auto" w:fill="auto"/>
            <w:vAlign w:val="center"/>
          </w:tcPr>
          <w:p w14:paraId="6E3C02F6">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8.35</w:t>
            </w:r>
          </w:p>
        </w:tc>
        <w:tc>
          <w:tcPr>
            <w:tcW w:w="404" w:type="pct"/>
            <w:shd w:val="clear" w:color="auto" w:fill="auto"/>
            <w:vAlign w:val="center"/>
          </w:tcPr>
          <w:p w14:paraId="0F4A9A58">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0.1392</w:t>
            </w:r>
          </w:p>
        </w:tc>
        <w:tc>
          <w:tcPr>
            <w:tcW w:w="404" w:type="pct"/>
            <w:shd w:val="clear" w:color="auto" w:fill="auto"/>
            <w:vAlign w:val="center"/>
          </w:tcPr>
          <w:p w14:paraId="3C0FE8ED">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达标</w:t>
            </w:r>
          </w:p>
        </w:tc>
        <w:tc>
          <w:tcPr>
            <w:tcW w:w="303" w:type="pct"/>
            <w:shd w:val="clear" w:color="auto" w:fill="auto"/>
            <w:vAlign w:val="center"/>
          </w:tcPr>
          <w:p w14:paraId="4967A676">
            <w:pPr>
              <w:widowControl/>
              <w:jc w:val="center"/>
              <w:rPr>
                <w:rFonts w:hint="eastAsia" w:ascii="宋体" w:hAnsi="宋体" w:cs="宋体"/>
                <w:color w:val="000000" w:themeColor="text1"/>
                <w:kern w:val="0"/>
                <w:szCs w:val="21"/>
                <w14:textFill>
                  <w14:solidFill>
                    <w14:schemeClr w14:val="tx1"/>
                  </w14:solidFill>
                </w14:textFill>
              </w:rPr>
            </w:pPr>
          </w:p>
        </w:tc>
        <w:tc>
          <w:tcPr>
            <w:tcW w:w="404" w:type="pct"/>
            <w:shd w:val="clear" w:color="auto" w:fill="auto"/>
            <w:vAlign w:val="center"/>
          </w:tcPr>
          <w:p w14:paraId="2869D8F5">
            <w:pPr>
              <w:widowControl/>
              <w:jc w:val="center"/>
              <w:rPr>
                <w:rFonts w:hint="eastAsia" w:ascii="宋体" w:hAnsi="宋体" w:cs="宋体"/>
                <w:color w:val="000000" w:themeColor="text1"/>
                <w:kern w:val="0"/>
                <w:szCs w:val="21"/>
                <w14:textFill>
                  <w14:solidFill>
                    <w14:schemeClr w14:val="tx1"/>
                  </w14:solidFill>
                </w14:textFill>
              </w:rPr>
            </w:pPr>
          </w:p>
        </w:tc>
        <w:tc>
          <w:tcPr>
            <w:tcW w:w="390" w:type="pct"/>
            <w:shd w:val="clear" w:color="auto" w:fill="auto"/>
            <w:vAlign w:val="center"/>
          </w:tcPr>
          <w:p w14:paraId="7FB4EB8B">
            <w:pPr>
              <w:widowControl/>
              <w:jc w:val="center"/>
              <w:rPr>
                <w:rFonts w:hint="eastAsia" w:ascii="宋体" w:hAnsi="宋体" w:cs="宋体"/>
                <w:color w:val="000000" w:themeColor="text1"/>
                <w:kern w:val="0"/>
                <w:szCs w:val="21"/>
                <w14:textFill>
                  <w14:solidFill>
                    <w14:schemeClr w14:val="tx1"/>
                  </w14:solidFill>
                </w14:textFill>
              </w:rPr>
            </w:pPr>
          </w:p>
        </w:tc>
      </w:tr>
      <w:tr w14:paraId="6ACE33F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30" w:type="pct"/>
            <w:shd w:val="clear" w:color="auto" w:fill="auto"/>
            <w:vAlign w:val="center"/>
          </w:tcPr>
          <w:p w14:paraId="261C3B4C">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3</w:t>
            </w:r>
          </w:p>
        </w:tc>
        <w:tc>
          <w:tcPr>
            <w:tcW w:w="632" w:type="pct"/>
            <w:shd w:val="clear" w:color="auto" w:fill="auto"/>
            <w:vAlign w:val="center"/>
          </w:tcPr>
          <w:p w14:paraId="241B8869">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铅</w:t>
            </w:r>
          </w:p>
        </w:tc>
        <w:tc>
          <w:tcPr>
            <w:tcW w:w="405" w:type="pct"/>
            <w:shd w:val="clear" w:color="auto" w:fill="auto"/>
            <w:vAlign w:val="center"/>
          </w:tcPr>
          <w:p w14:paraId="4F4CE7A8">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800</w:t>
            </w:r>
          </w:p>
        </w:tc>
        <w:tc>
          <w:tcPr>
            <w:tcW w:w="304" w:type="pct"/>
            <w:shd w:val="clear" w:color="auto" w:fill="auto"/>
            <w:vAlign w:val="center"/>
          </w:tcPr>
          <w:p w14:paraId="545FE4C2">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mg/kg</w:t>
            </w:r>
          </w:p>
        </w:tc>
        <w:tc>
          <w:tcPr>
            <w:tcW w:w="304" w:type="pct"/>
            <w:shd w:val="clear" w:color="auto" w:fill="auto"/>
            <w:vAlign w:val="center"/>
          </w:tcPr>
          <w:p w14:paraId="7DD7C050">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19.4</w:t>
            </w:r>
          </w:p>
        </w:tc>
        <w:tc>
          <w:tcPr>
            <w:tcW w:w="405" w:type="pct"/>
            <w:shd w:val="clear" w:color="auto" w:fill="auto"/>
            <w:vAlign w:val="center"/>
          </w:tcPr>
          <w:p w14:paraId="58F9B519">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0.0243</w:t>
            </w:r>
          </w:p>
        </w:tc>
        <w:tc>
          <w:tcPr>
            <w:tcW w:w="407" w:type="pct"/>
            <w:shd w:val="clear" w:color="auto" w:fill="auto"/>
            <w:vAlign w:val="center"/>
          </w:tcPr>
          <w:p w14:paraId="7EA5599E">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达标</w:t>
            </w:r>
          </w:p>
        </w:tc>
        <w:tc>
          <w:tcPr>
            <w:tcW w:w="309" w:type="pct"/>
            <w:shd w:val="clear" w:color="auto" w:fill="auto"/>
            <w:vAlign w:val="center"/>
          </w:tcPr>
          <w:p w14:paraId="286C04ED">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20.2</w:t>
            </w:r>
          </w:p>
        </w:tc>
        <w:tc>
          <w:tcPr>
            <w:tcW w:w="404" w:type="pct"/>
            <w:shd w:val="clear" w:color="auto" w:fill="auto"/>
            <w:vAlign w:val="center"/>
          </w:tcPr>
          <w:p w14:paraId="5305BBC2">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0.0253</w:t>
            </w:r>
          </w:p>
        </w:tc>
        <w:tc>
          <w:tcPr>
            <w:tcW w:w="404" w:type="pct"/>
            <w:shd w:val="clear" w:color="auto" w:fill="auto"/>
            <w:vAlign w:val="center"/>
          </w:tcPr>
          <w:p w14:paraId="1E00DC24">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达标</w:t>
            </w:r>
          </w:p>
        </w:tc>
        <w:tc>
          <w:tcPr>
            <w:tcW w:w="303" w:type="pct"/>
            <w:shd w:val="clear" w:color="auto" w:fill="auto"/>
            <w:vAlign w:val="center"/>
          </w:tcPr>
          <w:p w14:paraId="220A22AD">
            <w:pPr>
              <w:widowControl/>
              <w:jc w:val="center"/>
              <w:rPr>
                <w:rFonts w:hint="eastAsia" w:ascii="宋体" w:hAnsi="宋体" w:cs="宋体"/>
                <w:color w:val="000000" w:themeColor="text1"/>
                <w:kern w:val="0"/>
                <w:szCs w:val="21"/>
                <w14:textFill>
                  <w14:solidFill>
                    <w14:schemeClr w14:val="tx1"/>
                  </w14:solidFill>
                </w14:textFill>
              </w:rPr>
            </w:pPr>
          </w:p>
        </w:tc>
        <w:tc>
          <w:tcPr>
            <w:tcW w:w="404" w:type="pct"/>
            <w:shd w:val="clear" w:color="auto" w:fill="auto"/>
            <w:vAlign w:val="center"/>
          </w:tcPr>
          <w:p w14:paraId="79E11944">
            <w:pPr>
              <w:widowControl/>
              <w:jc w:val="center"/>
              <w:rPr>
                <w:rFonts w:hint="eastAsia" w:ascii="宋体" w:hAnsi="宋体" w:cs="宋体"/>
                <w:color w:val="000000" w:themeColor="text1"/>
                <w:kern w:val="0"/>
                <w:szCs w:val="21"/>
                <w14:textFill>
                  <w14:solidFill>
                    <w14:schemeClr w14:val="tx1"/>
                  </w14:solidFill>
                </w14:textFill>
              </w:rPr>
            </w:pPr>
          </w:p>
        </w:tc>
        <w:tc>
          <w:tcPr>
            <w:tcW w:w="390" w:type="pct"/>
            <w:shd w:val="clear" w:color="auto" w:fill="auto"/>
            <w:vAlign w:val="center"/>
          </w:tcPr>
          <w:p w14:paraId="4B933E6A">
            <w:pPr>
              <w:widowControl/>
              <w:jc w:val="center"/>
              <w:rPr>
                <w:rFonts w:hint="eastAsia" w:ascii="宋体" w:hAnsi="宋体" w:cs="宋体"/>
                <w:color w:val="000000" w:themeColor="text1"/>
                <w:kern w:val="0"/>
                <w:szCs w:val="21"/>
                <w14:textFill>
                  <w14:solidFill>
                    <w14:schemeClr w14:val="tx1"/>
                  </w14:solidFill>
                </w14:textFill>
              </w:rPr>
            </w:pPr>
          </w:p>
        </w:tc>
      </w:tr>
      <w:tr w14:paraId="63C54BB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30" w:type="pct"/>
            <w:shd w:val="clear" w:color="auto" w:fill="auto"/>
            <w:vAlign w:val="center"/>
          </w:tcPr>
          <w:p w14:paraId="03AC3AD7">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4</w:t>
            </w:r>
          </w:p>
        </w:tc>
        <w:tc>
          <w:tcPr>
            <w:tcW w:w="632" w:type="pct"/>
            <w:shd w:val="clear" w:color="auto" w:fill="auto"/>
            <w:vAlign w:val="center"/>
          </w:tcPr>
          <w:p w14:paraId="0159EEE6">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镉</w:t>
            </w:r>
          </w:p>
        </w:tc>
        <w:tc>
          <w:tcPr>
            <w:tcW w:w="405" w:type="pct"/>
            <w:shd w:val="clear" w:color="auto" w:fill="auto"/>
            <w:vAlign w:val="center"/>
          </w:tcPr>
          <w:p w14:paraId="722EA825">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65</w:t>
            </w:r>
          </w:p>
        </w:tc>
        <w:tc>
          <w:tcPr>
            <w:tcW w:w="304" w:type="pct"/>
            <w:shd w:val="clear" w:color="auto" w:fill="auto"/>
            <w:vAlign w:val="center"/>
          </w:tcPr>
          <w:p w14:paraId="02F5954C">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mg/kg</w:t>
            </w:r>
          </w:p>
        </w:tc>
        <w:tc>
          <w:tcPr>
            <w:tcW w:w="304" w:type="pct"/>
            <w:shd w:val="clear" w:color="auto" w:fill="auto"/>
            <w:vAlign w:val="center"/>
          </w:tcPr>
          <w:p w14:paraId="226D3B62">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0.15</w:t>
            </w:r>
          </w:p>
        </w:tc>
        <w:tc>
          <w:tcPr>
            <w:tcW w:w="405" w:type="pct"/>
            <w:shd w:val="clear" w:color="auto" w:fill="auto"/>
            <w:vAlign w:val="center"/>
          </w:tcPr>
          <w:p w14:paraId="538BEFFA">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0.0023</w:t>
            </w:r>
          </w:p>
        </w:tc>
        <w:tc>
          <w:tcPr>
            <w:tcW w:w="407" w:type="pct"/>
            <w:shd w:val="clear" w:color="auto" w:fill="auto"/>
            <w:vAlign w:val="center"/>
          </w:tcPr>
          <w:p w14:paraId="3A821E57">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达标</w:t>
            </w:r>
          </w:p>
        </w:tc>
        <w:tc>
          <w:tcPr>
            <w:tcW w:w="309" w:type="pct"/>
            <w:shd w:val="clear" w:color="auto" w:fill="auto"/>
            <w:vAlign w:val="center"/>
          </w:tcPr>
          <w:p w14:paraId="2CD2C540">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0.2</w:t>
            </w:r>
          </w:p>
        </w:tc>
        <w:tc>
          <w:tcPr>
            <w:tcW w:w="404" w:type="pct"/>
            <w:shd w:val="clear" w:color="auto" w:fill="auto"/>
            <w:vAlign w:val="center"/>
          </w:tcPr>
          <w:p w14:paraId="2CE5F354">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0.0031</w:t>
            </w:r>
          </w:p>
        </w:tc>
        <w:tc>
          <w:tcPr>
            <w:tcW w:w="404" w:type="pct"/>
            <w:shd w:val="clear" w:color="auto" w:fill="auto"/>
            <w:vAlign w:val="center"/>
          </w:tcPr>
          <w:p w14:paraId="0CB4B782">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达标</w:t>
            </w:r>
          </w:p>
        </w:tc>
        <w:tc>
          <w:tcPr>
            <w:tcW w:w="303" w:type="pct"/>
            <w:shd w:val="clear" w:color="auto" w:fill="auto"/>
            <w:vAlign w:val="center"/>
          </w:tcPr>
          <w:p w14:paraId="0BF0AF7A">
            <w:pPr>
              <w:widowControl/>
              <w:jc w:val="center"/>
              <w:rPr>
                <w:rFonts w:hint="eastAsia" w:ascii="宋体" w:hAnsi="宋体" w:cs="宋体"/>
                <w:color w:val="000000" w:themeColor="text1"/>
                <w:kern w:val="0"/>
                <w:szCs w:val="21"/>
                <w14:textFill>
                  <w14:solidFill>
                    <w14:schemeClr w14:val="tx1"/>
                  </w14:solidFill>
                </w14:textFill>
              </w:rPr>
            </w:pPr>
          </w:p>
        </w:tc>
        <w:tc>
          <w:tcPr>
            <w:tcW w:w="404" w:type="pct"/>
            <w:shd w:val="clear" w:color="auto" w:fill="auto"/>
            <w:vAlign w:val="center"/>
          </w:tcPr>
          <w:p w14:paraId="2B88861B">
            <w:pPr>
              <w:widowControl/>
              <w:jc w:val="center"/>
              <w:rPr>
                <w:rFonts w:hint="eastAsia" w:ascii="宋体" w:hAnsi="宋体" w:cs="宋体"/>
                <w:color w:val="000000" w:themeColor="text1"/>
                <w:kern w:val="0"/>
                <w:szCs w:val="21"/>
                <w14:textFill>
                  <w14:solidFill>
                    <w14:schemeClr w14:val="tx1"/>
                  </w14:solidFill>
                </w14:textFill>
              </w:rPr>
            </w:pPr>
          </w:p>
        </w:tc>
        <w:tc>
          <w:tcPr>
            <w:tcW w:w="390" w:type="pct"/>
            <w:shd w:val="clear" w:color="auto" w:fill="auto"/>
            <w:vAlign w:val="center"/>
          </w:tcPr>
          <w:p w14:paraId="2F8D88C9">
            <w:pPr>
              <w:widowControl/>
              <w:jc w:val="center"/>
              <w:rPr>
                <w:rFonts w:hint="eastAsia" w:ascii="宋体" w:hAnsi="宋体" w:cs="宋体"/>
                <w:color w:val="000000" w:themeColor="text1"/>
                <w:kern w:val="0"/>
                <w:szCs w:val="21"/>
                <w14:textFill>
                  <w14:solidFill>
                    <w14:schemeClr w14:val="tx1"/>
                  </w14:solidFill>
                </w14:textFill>
              </w:rPr>
            </w:pPr>
          </w:p>
        </w:tc>
      </w:tr>
      <w:tr w14:paraId="0DD1065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30" w:type="pct"/>
            <w:shd w:val="clear" w:color="auto" w:fill="auto"/>
            <w:vAlign w:val="center"/>
          </w:tcPr>
          <w:p w14:paraId="22F70E11">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5</w:t>
            </w:r>
          </w:p>
        </w:tc>
        <w:tc>
          <w:tcPr>
            <w:tcW w:w="632" w:type="pct"/>
            <w:shd w:val="clear" w:color="auto" w:fill="auto"/>
            <w:vAlign w:val="center"/>
          </w:tcPr>
          <w:p w14:paraId="7AE36070">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六价铬</w:t>
            </w:r>
          </w:p>
        </w:tc>
        <w:tc>
          <w:tcPr>
            <w:tcW w:w="405" w:type="pct"/>
            <w:shd w:val="clear" w:color="auto" w:fill="auto"/>
            <w:vAlign w:val="center"/>
          </w:tcPr>
          <w:p w14:paraId="7FF7A6B7">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5.7</w:t>
            </w:r>
          </w:p>
        </w:tc>
        <w:tc>
          <w:tcPr>
            <w:tcW w:w="304" w:type="pct"/>
            <w:shd w:val="clear" w:color="auto" w:fill="auto"/>
            <w:vAlign w:val="center"/>
          </w:tcPr>
          <w:p w14:paraId="5AC3A866">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mg/kg</w:t>
            </w:r>
          </w:p>
        </w:tc>
        <w:tc>
          <w:tcPr>
            <w:tcW w:w="304" w:type="pct"/>
            <w:shd w:val="clear" w:color="auto" w:fill="auto"/>
            <w:vAlign w:val="center"/>
          </w:tcPr>
          <w:p w14:paraId="1F203CE1">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0.5L</w:t>
            </w:r>
          </w:p>
        </w:tc>
        <w:tc>
          <w:tcPr>
            <w:tcW w:w="405" w:type="pct"/>
            <w:shd w:val="clear" w:color="auto" w:fill="auto"/>
            <w:vAlign w:val="center"/>
          </w:tcPr>
          <w:p w14:paraId="32CC45D3">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w:t>
            </w:r>
          </w:p>
        </w:tc>
        <w:tc>
          <w:tcPr>
            <w:tcW w:w="407" w:type="pct"/>
            <w:shd w:val="clear" w:color="auto" w:fill="auto"/>
            <w:vAlign w:val="center"/>
          </w:tcPr>
          <w:p w14:paraId="619F916F">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达标</w:t>
            </w:r>
          </w:p>
        </w:tc>
        <w:tc>
          <w:tcPr>
            <w:tcW w:w="309" w:type="pct"/>
            <w:shd w:val="clear" w:color="auto" w:fill="auto"/>
            <w:vAlign w:val="center"/>
          </w:tcPr>
          <w:p w14:paraId="419B2ABD">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0.5L</w:t>
            </w:r>
          </w:p>
        </w:tc>
        <w:tc>
          <w:tcPr>
            <w:tcW w:w="404" w:type="pct"/>
            <w:shd w:val="clear" w:color="auto" w:fill="auto"/>
            <w:vAlign w:val="center"/>
          </w:tcPr>
          <w:p w14:paraId="78C35F36">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w:t>
            </w:r>
          </w:p>
        </w:tc>
        <w:tc>
          <w:tcPr>
            <w:tcW w:w="404" w:type="pct"/>
            <w:shd w:val="clear" w:color="auto" w:fill="auto"/>
            <w:vAlign w:val="center"/>
          </w:tcPr>
          <w:p w14:paraId="7A28908D">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达标</w:t>
            </w:r>
          </w:p>
        </w:tc>
        <w:tc>
          <w:tcPr>
            <w:tcW w:w="303" w:type="pct"/>
            <w:shd w:val="clear" w:color="auto" w:fill="auto"/>
            <w:vAlign w:val="center"/>
          </w:tcPr>
          <w:p w14:paraId="013E6DD5">
            <w:pPr>
              <w:widowControl/>
              <w:jc w:val="center"/>
              <w:rPr>
                <w:rFonts w:hint="eastAsia" w:ascii="宋体" w:hAnsi="宋体" w:cs="宋体"/>
                <w:color w:val="000000" w:themeColor="text1"/>
                <w:kern w:val="0"/>
                <w:szCs w:val="21"/>
                <w14:textFill>
                  <w14:solidFill>
                    <w14:schemeClr w14:val="tx1"/>
                  </w14:solidFill>
                </w14:textFill>
              </w:rPr>
            </w:pPr>
          </w:p>
        </w:tc>
        <w:tc>
          <w:tcPr>
            <w:tcW w:w="404" w:type="pct"/>
            <w:shd w:val="clear" w:color="auto" w:fill="auto"/>
            <w:vAlign w:val="center"/>
          </w:tcPr>
          <w:p w14:paraId="53083A8D">
            <w:pPr>
              <w:widowControl/>
              <w:jc w:val="center"/>
              <w:rPr>
                <w:rFonts w:hint="eastAsia" w:ascii="宋体" w:hAnsi="宋体" w:cs="宋体"/>
                <w:color w:val="000000" w:themeColor="text1"/>
                <w:kern w:val="0"/>
                <w:szCs w:val="21"/>
                <w14:textFill>
                  <w14:solidFill>
                    <w14:schemeClr w14:val="tx1"/>
                  </w14:solidFill>
                </w14:textFill>
              </w:rPr>
            </w:pPr>
          </w:p>
        </w:tc>
        <w:tc>
          <w:tcPr>
            <w:tcW w:w="390" w:type="pct"/>
            <w:shd w:val="clear" w:color="auto" w:fill="auto"/>
            <w:vAlign w:val="center"/>
          </w:tcPr>
          <w:p w14:paraId="7DBB1993">
            <w:pPr>
              <w:widowControl/>
              <w:jc w:val="center"/>
              <w:rPr>
                <w:rFonts w:hint="eastAsia" w:ascii="宋体" w:hAnsi="宋体" w:cs="宋体"/>
                <w:color w:val="000000" w:themeColor="text1"/>
                <w:kern w:val="0"/>
                <w:szCs w:val="21"/>
                <w14:textFill>
                  <w14:solidFill>
                    <w14:schemeClr w14:val="tx1"/>
                  </w14:solidFill>
                </w14:textFill>
              </w:rPr>
            </w:pPr>
          </w:p>
        </w:tc>
      </w:tr>
      <w:tr w14:paraId="26E84A0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30" w:type="pct"/>
            <w:shd w:val="clear" w:color="auto" w:fill="auto"/>
            <w:vAlign w:val="center"/>
          </w:tcPr>
          <w:p w14:paraId="26ED7E8B">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6</w:t>
            </w:r>
          </w:p>
        </w:tc>
        <w:tc>
          <w:tcPr>
            <w:tcW w:w="632" w:type="pct"/>
            <w:shd w:val="clear" w:color="auto" w:fill="auto"/>
            <w:vAlign w:val="center"/>
          </w:tcPr>
          <w:p w14:paraId="001C57CB">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铜</w:t>
            </w:r>
          </w:p>
        </w:tc>
        <w:tc>
          <w:tcPr>
            <w:tcW w:w="405" w:type="pct"/>
            <w:shd w:val="clear" w:color="auto" w:fill="auto"/>
            <w:vAlign w:val="center"/>
          </w:tcPr>
          <w:p w14:paraId="5A60AA30">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18000</w:t>
            </w:r>
          </w:p>
        </w:tc>
        <w:tc>
          <w:tcPr>
            <w:tcW w:w="304" w:type="pct"/>
            <w:shd w:val="clear" w:color="auto" w:fill="auto"/>
            <w:vAlign w:val="center"/>
          </w:tcPr>
          <w:p w14:paraId="496DCA0E">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mg/kg</w:t>
            </w:r>
          </w:p>
        </w:tc>
        <w:tc>
          <w:tcPr>
            <w:tcW w:w="304" w:type="pct"/>
            <w:shd w:val="clear" w:color="auto" w:fill="auto"/>
            <w:vAlign w:val="center"/>
          </w:tcPr>
          <w:p w14:paraId="13ED626A">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34</w:t>
            </w:r>
          </w:p>
        </w:tc>
        <w:tc>
          <w:tcPr>
            <w:tcW w:w="405" w:type="pct"/>
            <w:shd w:val="clear" w:color="auto" w:fill="auto"/>
            <w:vAlign w:val="center"/>
          </w:tcPr>
          <w:p w14:paraId="14E5427E">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0.0019</w:t>
            </w:r>
          </w:p>
        </w:tc>
        <w:tc>
          <w:tcPr>
            <w:tcW w:w="407" w:type="pct"/>
            <w:shd w:val="clear" w:color="auto" w:fill="auto"/>
            <w:vAlign w:val="center"/>
          </w:tcPr>
          <w:p w14:paraId="3A34A847">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达标</w:t>
            </w:r>
          </w:p>
        </w:tc>
        <w:tc>
          <w:tcPr>
            <w:tcW w:w="309" w:type="pct"/>
            <w:shd w:val="clear" w:color="auto" w:fill="auto"/>
            <w:vAlign w:val="center"/>
          </w:tcPr>
          <w:p w14:paraId="112870BB">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24</w:t>
            </w:r>
          </w:p>
        </w:tc>
        <w:tc>
          <w:tcPr>
            <w:tcW w:w="404" w:type="pct"/>
            <w:shd w:val="clear" w:color="auto" w:fill="auto"/>
            <w:vAlign w:val="center"/>
          </w:tcPr>
          <w:p w14:paraId="57796D9B">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0.0013</w:t>
            </w:r>
          </w:p>
        </w:tc>
        <w:tc>
          <w:tcPr>
            <w:tcW w:w="404" w:type="pct"/>
            <w:shd w:val="clear" w:color="auto" w:fill="auto"/>
            <w:vAlign w:val="center"/>
          </w:tcPr>
          <w:p w14:paraId="686EAB92">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达标</w:t>
            </w:r>
          </w:p>
        </w:tc>
        <w:tc>
          <w:tcPr>
            <w:tcW w:w="303" w:type="pct"/>
            <w:shd w:val="clear" w:color="auto" w:fill="auto"/>
            <w:vAlign w:val="center"/>
          </w:tcPr>
          <w:p w14:paraId="78B8FF30">
            <w:pPr>
              <w:widowControl/>
              <w:jc w:val="center"/>
              <w:rPr>
                <w:rFonts w:hint="eastAsia" w:ascii="宋体" w:hAnsi="宋体" w:cs="宋体"/>
                <w:color w:val="000000" w:themeColor="text1"/>
                <w:kern w:val="0"/>
                <w:szCs w:val="21"/>
                <w14:textFill>
                  <w14:solidFill>
                    <w14:schemeClr w14:val="tx1"/>
                  </w14:solidFill>
                </w14:textFill>
              </w:rPr>
            </w:pPr>
          </w:p>
        </w:tc>
        <w:tc>
          <w:tcPr>
            <w:tcW w:w="404" w:type="pct"/>
            <w:shd w:val="clear" w:color="auto" w:fill="auto"/>
            <w:vAlign w:val="center"/>
          </w:tcPr>
          <w:p w14:paraId="6C22DE01">
            <w:pPr>
              <w:widowControl/>
              <w:jc w:val="center"/>
              <w:rPr>
                <w:rFonts w:hint="eastAsia" w:ascii="宋体" w:hAnsi="宋体" w:cs="宋体"/>
                <w:color w:val="000000" w:themeColor="text1"/>
                <w:kern w:val="0"/>
                <w:szCs w:val="21"/>
                <w14:textFill>
                  <w14:solidFill>
                    <w14:schemeClr w14:val="tx1"/>
                  </w14:solidFill>
                </w14:textFill>
              </w:rPr>
            </w:pPr>
          </w:p>
        </w:tc>
        <w:tc>
          <w:tcPr>
            <w:tcW w:w="390" w:type="pct"/>
            <w:shd w:val="clear" w:color="auto" w:fill="auto"/>
            <w:vAlign w:val="center"/>
          </w:tcPr>
          <w:p w14:paraId="10ABB916">
            <w:pPr>
              <w:widowControl/>
              <w:jc w:val="center"/>
              <w:rPr>
                <w:rFonts w:hint="eastAsia" w:ascii="宋体" w:hAnsi="宋体" w:cs="宋体"/>
                <w:color w:val="000000" w:themeColor="text1"/>
                <w:kern w:val="0"/>
                <w:szCs w:val="21"/>
                <w14:textFill>
                  <w14:solidFill>
                    <w14:schemeClr w14:val="tx1"/>
                  </w14:solidFill>
                </w14:textFill>
              </w:rPr>
            </w:pPr>
          </w:p>
        </w:tc>
      </w:tr>
      <w:tr w14:paraId="09F38A7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30" w:type="pct"/>
            <w:shd w:val="clear" w:color="auto" w:fill="auto"/>
            <w:vAlign w:val="center"/>
          </w:tcPr>
          <w:p w14:paraId="386D8C05">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7</w:t>
            </w:r>
          </w:p>
        </w:tc>
        <w:tc>
          <w:tcPr>
            <w:tcW w:w="632" w:type="pct"/>
            <w:shd w:val="clear" w:color="auto" w:fill="auto"/>
            <w:vAlign w:val="center"/>
          </w:tcPr>
          <w:p w14:paraId="5DA1779A">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镍</w:t>
            </w:r>
          </w:p>
        </w:tc>
        <w:tc>
          <w:tcPr>
            <w:tcW w:w="405" w:type="pct"/>
            <w:shd w:val="clear" w:color="auto" w:fill="auto"/>
            <w:vAlign w:val="center"/>
          </w:tcPr>
          <w:p w14:paraId="16763C58">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900</w:t>
            </w:r>
          </w:p>
        </w:tc>
        <w:tc>
          <w:tcPr>
            <w:tcW w:w="304" w:type="pct"/>
            <w:shd w:val="clear" w:color="auto" w:fill="auto"/>
            <w:vAlign w:val="center"/>
          </w:tcPr>
          <w:p w14:paraId="50F5B6F0">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mg/kg</w:t>
            </w:r>
          </w:p>
        </w:tc>
        <w:tc>
          <w:tcPr>
            <w:tcW w:w="304" w:type="pct"/>
            <w:shd w:val="clear" w:color="auto" w:fill="auto"/>
            <w:vAlign w:val="center"/>
          </w:tcPr>
          <w:p w14:paraId="7D77ED26">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47</w:t>
            </w:r>
          </w:p>
        </w:tc>
        <w:tc>
          <w:tcPr>
            <w:tcW w:w="405" w:type="pct"/>
            <w:shd w:val="clear" w:color="auto" w:fill="auto"/>
            <w:vAlign w:val="center"/>
          </w:tcPr>
          <w:p w14:paraId="7CD1D472">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0.0522</w:t>
            </w:r>
          </w:p>
        </w:tc>
        <w:tc>
          <w:tcPr>
            <w:tcW w:w="407" w:type="pct"/>
            <w:shd w:val="clear" w:color="auto" w:fill="auto"/>
            <w:vAlign w:val="center"/>
          </w:tcPr>
          <w:p w14:paraId="18D00D2E">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达标</w:t>
            </w:r>
          </w:p>
        </w:tc>
        <w:tc>
          <w:tcPr>
            <w:tcW w:w="309" w:type="pct"/>
            <w:shd w:val="clear" w:color="auto" w:fill="auto"/>
            <w:vAlign w:val="center"/>
          </w:tcPr>
          <w:p w14:paraId="0096699E">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46</w:t>
            </w:r>
          </w:p>
        </w:tc>
        <w:tc>
          <w:tcPr>
            <w:tcW w:w="404" w:type="pct"/>
            <w:shd w:val="clear" w:color="auto" w:fill="auto"/>
            <w:vAlign w:val="center"/>
          </w:tcPr>
          <w:p w14:paraId="255E85F3">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0.0511</w:t>
            </w:r>
          </w:p>
        </w:tc>
        <w:tc>
          <w:tcPr>
            <w:tcW w:w="404" w:type="pct"/>
            <w:shd w:val="clear" w:color="auto" w:fill="auto"/>
            <w:vAlign w:val="center"/>
          </w:tcPr>
          <w:p w14:paraId="364593EB">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达标</w:t>
            </w:r>
          </w:p>
        </w:tc>
        <w:tc>
          <w:tcPr>
            <w:tcW w:w="303" w:type="pct"/>
            <w:shd w:val="clear" w:color="auto" w:fill="auto"/>
            <w:vAlign w:val="center"/>
          </w:tcPr>
          <w:p w14:paraId="26487F25">
            <w:pPr>
              <w:widowControl/>
              <w:jc w:val="center"/>
              <w:rPr>
                <w:rFonts w:hint="eastAsia" w:ascii="宋体" w:hAnsi="宋体" w:cs="宋体"/>
                <w:color w:val="000000" w:themeColor="text1"/>
                <w:kern w:val="0"/>
                <w:szCs w:val="21"/>
                <w14:textFill>
                  <w14:solidFill>
                    <w14:schemeClr w14:val="tx1"/>
                  </w14:solidFill>
                </w14:textFill>
              </w:rPr>
            </w:pPr>
          </w:p>
        </w:tc>
        <w:tc>
          <w:tcPr>
            <w:tcW w:w="404" w:type="pct"/>
            <w:shd w:val="clear" w:color="auto" w:fill="auto"/>
            <w:vAlign w:val="center"/>
          </w:tcPr>
          <w:p w14:paraId="4642654A">
            <w:pPr>
              <w:widowControl/>
              <w:jc w:val="center"/>
              <w:rPr>
                <w:rFonts w:hint="eastAsia" w:ascii="宋体" w:hAnsi="宋体" w:cs="宋体"/>
                <w:color w:val="000000" w:themeColor="text1"/>
                <w:kern w:val="0"/>
                <w:szCs w:val="21"/>
                <w14:textFill>
                  <w14:solidFill>
                    <w14:schemeClr w14:val="tx1"/>
                  </w14:solidFill>
                </w14:textFill>
              </w:rPr>
            </w:pPr>
          </w:p>
        </w:tc>
        <w:tc>
          <w:tcPr>
            <w:tcW w:w="390" w:type="pct"/>
            <w:shd w:val="clear" w:color="auto" w:fill="auto"/>
            <w:vAlign w:val="center"/>
          </w:tcPr>
          <w:p w14:paraId="7C34A038">
            <w:pPr>
              <w:widowControl/>
              <w:jc w:val="center"/>
              <w:rPr>
                <w:rFonts w:hint="eastAsia" w:ascii="宋体" w:hAnsi="宋体" w:cs="宋体"/>
                <w:color w:val="000000" w:themeColor="text1"/>
                <w:kern w:val="0"/>
                <w:szCs w:val="21"/>
                <w14:textFill>
                  <w14:solidFill>
                    <w14:schemeClr w14:val="tx1"/>
                  </w14:solidFill>
                </w14:textFill>
              </w:rPr>
            </w:pPr>
          </w:p>
        </w:tc>
      </w:tr>
      <w:tr w14:paraId="39BA223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30" w:type="pct"/>
            <w:shd w:val="clear" w:color="auto" w:fill="auto"/>
            <w:vAlign w:val="center"/>
          </w:tcPr>
          <w:p w14:paraId="5F13D676">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8</w:t>
            </w:r>
          </w:p>
        </w:tc>
        <w:tc>
          <w:tcPr>
            <w:tcW w:w="632" w:type="pct"/>
            <w:shd w:val="clear" w:color="auto" w:fill="auto"/>
            <w:vAlign w:val="center"/>
          </w:tcPr>
          <w:p w14:paraId="171767E7">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pH</w:t>
            </w:r>
          </w:p>
        </w:tc>
        <w:tc>
          <w:tcPr>
            <w:tcW w:w="405" w:type="pct"/>
            <w:shd w:val="clear" w:color="auto" w:fill="auto"/>
            <w:vAlign w:val="center"/>
          </w:tcPr>
          <w:p w14:paraId="77F9C622">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w:t>
            </w:r>
          </w:p>
        </w:tc>
        <w:tc>
          <w:tcPr>
            <w:tcW w:w="304" w:type="pct"/>
            <w:shd w:val="clear" w:color="auto" w:fill="auto"/>
            <w:vAlign w:val="center"/>
          </w:tcPr>
          <w:p w14:paraId="4432EF8D">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w:t>
            </w:r>
          </w:p>
        </w:tc>
        <w:tc>
          <w:tcPr>
            <w:tcW w:w="304" w:type="pct"/>
            <w:shd w:val="clear" w:color="auto" w:fill="auto"/>
            <w:vAlign w:val="center"/>
          </w:tcPr>
          <w:p w14:paraId="711CCEF5">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8.48</w:t>
            </w:r>
          </w:p>
        </w:tc>
        <w:tc>
          <w:tcPr>
            <w:tcW w:w="405" w:type="pct"/>
            <w:shd w:val="clear" w:color="auto" w:fill="auto"/>
            <w:vAlign w:val="center"/>
          </w:tcPr>
          <w:p w14:paraId="793C8BEE">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w:t>
            </w:r>
          </w:p>
        </w:tc>
        <w:tc>
          <w:tcPr>
            <w:tcW w:w="407" w:type="pct"/>
            <w:shd w:val="clear" w:color="auto" w:fill="auto"/>
            <w:vAlign w:val="center"/>
          </w:tcPr>
          <w:p w14:paraId="22D11E47">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w:t>
            </w:r>
          </w:p>
        </w:tc>
        <w:tc>
          <w:tcPr>
            <w:tcW w:w="309" w:type="pct"/>
            <w:shd w:val="clear" w:color="auto" w:fill="auto"/>
            <w:vAlign w:val="center"/>
          </w:tcPr>
          <w:p w14:paraId="4B834429">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8.62</w:t>
            </w:r>
          </w:p>
        </w:tc>
        <w:tc>
          <w:tcPr>
            <w:tcW w:w="404" w:type="pct"/>
            <w:shd w:val="clear" w:color="auto" w:fill="auto"/>
            <w:vAlign w:val="center"/>
          </w:tcPr>
          <w:p w14:paraId="05DAC5D8">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w:t>
            </w:r>
          </w:p>
        </w:tc>
        <w:tc>
          <w:tcPr>
            <w:tcW w:w="404" w:type="pct"/>
            <w:shd w:val="clear" w:color="auto" w:fill="auto"/>
            <w:vAlign w:val="center"/>
          </w:tcPr>
          <w:p w14:paraId="34E4A6FE">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w:t>
            </w:r>
          </w:p>
        </w:tc>
        <w:tc>
          <w:tcPr>
            <w:tcW w:w="303" w:type="pct"/>
            <w:shd w:val="clear" w:color="auto" w:fill="auto"/>
            <w:vAlign w:val="center"/>
          </w:tcPr>
          <w:p w14:paraId="42E7289A">
            <w:pPr>
              <w:widowControl/>
              <w:jc w:val="center"/>
              <w:rPr>
                <w:rFonts w:hint="eastAsia" w:ascii="宋体" w:hAnsi="宋体" w:cs="宋体"/>
                <w:color w:val="000000" w:themeColor="text1"/>
                <w:kern w:val="0"/>
                <w:szCs w:val="21"/>
                <w14:textFill>
                  <w14:solidFill>
                    <w14:schemeClr w14:val="tx1"/>
                  </w14:solidFill>
                </w14:textFill>
              </w:rPr>
            </w:pPr>
          </w:p>
        </w:tc>
        <w:tc>
          <w:tcPr>
            <w:tcW w:w="404" w:type="pct"/>
            <w:shd w:val="clear" w:color="auto" w:fill="auto"/>
            <w:vAlign w:val="center"/>
          </w:tcPr>
          <w:p w14:paraId="390D7CFA">
            <w:pPr>
              <w:widowControl/>
              <w:jc w:val="center"/>
              <w:rPr>
                <w:rFonts w:hint="eastAsia" w:ascii="宋体" w:hAnsi="宋体" w:cs="宋体"/>
                <w:color w:val="000000" w:themeColor="text1"/>
                <w:kern w:val="0"/>
                <w:szCs w:val="21"/>
                <w14:textFill>
                  <w14:solidFill>
                    <w14:schemeClr w14:val="tx1"/>
                  </w14:solidFill>
                </w14:textFill>
              </w:rPr>
            </w:pPr>
          </w:p>
        </w:tc>
        <w:tc>
          <w:tcPr>
            <w:tcW w:w="390" w:type="pct"/>
            <w:shd w:val="clear" w:color="auto" w:fill="auto"/>
            <w:vAlign w:val="center"/>
          </w:tcPr>
          <w:p w14:paraId="55806546">
            <w:pPr>
              <w:widowControl/>
              <w:jc w:val="center"/>
              <w:rPr>
                <w:rFonts w:hint="eastAsia" w:ascii="宋体" w:hAnsi="宋体" w:cs="宋体"/>
                <w:color w:val="000000" w:themeColor="text1"/>
                <w:kern w:val="0"/>
                <w:szCs w:val="21"/>
                <w14:textFill>
                  <w14:solidFill>
                    <w14:schemeClr w14:val="tx1"/>
                  </w14:solidFill>
                </w14:textFill>
              </w:rPr>
            </w:pPr>
          </w:p>
        </w:tc>
      </w:tr>
      <w:tr w14:paraId="7A8BA78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30" w:type="pct"/>
            <w:shd w:val="clear" w:color="auto" w:fill="auto"/>
            <w:vAlign w:val="center"/>
          </w:tcPr>
          <w:p w14:paraId="34BEA3FE">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9</w:t>
            </w:r>
          </w:p>
        </w:tc>
        <w:tc>
          <w:tcPr>
            <w:tcW w:w="632" w:type="pct"/>
            <w:shd w:val="clear" w:color="auto" w:fill="auto"/>
            <w:vAlign w:val="center"/>
          </w:tcPr>
          <w:p w14:paraId="10A61A39">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土壤盐分含量</w:t>
            </w:r>
          </w:p>
        </w:tc>
        <w:tc>
          <w:tcPr>
            <w:tcW w:w="405" w:type="pct"/>
            <w:shd w:val="clear" w:color="auto" w:fill="auto"/>
            <w:vAlign w:val="center"/>
          </w:tcPr>
          <w:p w14:paraId="4F48B31B">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w:t>
            </w:r>
          </w:p>
        </w:tc>
        <w:tc>
          <w:tcPr>
            <w:tcW w:w="304" w:type="pct"/>
            <w:shd w:val="clear" w:color="auto" w:fill="auto"/>
            <w:vAlign w:val="center"/>
          </w:tcPr>
          <w:p w14:paraId="330BE7B4">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g/kg</w:t>
            </w:r>
          </w:p>
        </w:tc>
        <w:tc>
          <w:tcPr>
            <w:tcW w:w="304" w:type="pct"/>
            <w:shd w:val="clear" w:color="auto" w:fill="auto"/>
            <w:vAlign w:val="center"/>
          </w:tcPr>
          <w:p w14:paraId="6AC4B682">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27.4</w:t>
            </w:r>
          </w:p>
        </w:tc>
        <w:tc>
          <w:tcPr>
            <w:tcW w:w="405" w:type="pct"/>
            <w:shd w:val="clear" w:color="auto" w:fill="auto"/>
            <w:vAlign w:val="center"/>
          </w:tcPr>
          <w:p w14:paraId="179A9C6E">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w:t>
            </w:r>
          </w:p>
        </w:tc>
        <w:tc>
          <w:tcPr>
            <w:tcW w:w="407" w:type="pct"/>
            <w:shd w:val="clear" w:color="auto" w:fill="auto"/>
            <w:vAlign w:val="center"/>
          </w:tcPr>
          <w:p w14:paraId="216FDD89">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w:t>
            </w:r>
          </w:p>
        </w:tc>
        <w:tc>
          <w:tcPr>
            <w:tcW w:w="309" w:type="pct"/>
            <w:shd w:val="clear" w:color="auto" w:fill="auto"/>
            <w:vAlign w:val="center"/>
          </w:tcPr>
          <w:p w14:paraId="5B92A5BD">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18.9</w:t>
            </w:r>
          </w:p>
        </w:tc>
        <w:tc>
          <w:tcPr>
            <w:tcW w:w="404" w:type="pct"/>
            <w:shd w:val="clear" w:color="auto" w:fill="auto"/>
            <w:vAlign w:val="center"/>
          </w:tcPr>
          <w:p w14:paraId="23ED1CC0">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w:t>
            </w:r>
          </w:p>
        </w:tc>
        <w:tc>
          <w:tcPr>
            <w:tcW w:w="404" w:type="pct"/>
            <w:shd w:val="clear" w:color="auto" w:fill="auto"/>
            <w:vAlign w:val="center"/>
          </w:tcPr>
          <w:p w14:paraId="5A74CA77">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w:t>
            </w:r>
          </w:p>
        </w:tc>
        <w:tc>
          <w:tcPr>
            <w:tcW w:w="303" w:type="pct"/>
            <w:shd w:val="clear" w:color="auto" w:fill="auto"/>
            <w:vAlign w:val="center"/>
          </w:tcPr>
          <w:p w14:paraId="4D881377">
            <w:pPr>
              <w:widowControl/>
              <w:jc w:val="center"/>
              <w:rPr>
                <w:rFonts w:hint="eastAsia" w:ascii="宋体" w:hAnsi="宋体" w:cs="宋体"/>
                <w:color w:val="000000" w:themeColor="text1"/>
                <w:kern w:val="0"/>
                <w:szCs w:val="21"/>
                <w14:textFill>
                  <w14:solidFill>
                    <w14:schemeClr w14:val="tx1"/>
                  </w14:solidFill>
                </w14:textFill>
              </w:rPr>
            </w:pPr>
          </w:p>
        </w:tc>
        <w:tc>
          <w:tcPr>
            <w:tcW w:w="404" w:type="pct"/>
            <w:shd w:val="clear" w:color="auto" w:fill="auto"/>
            <w:vAlign w:val="center"/>
          </w:tcPr>
          <w:p w14:paraId="785FAD12">
            <w:pPr>
              <w:widowControl/>
              <w:jc w:val="center"/>
              <w:rPr>
                <w:rFonts w:hint="eastAsia" w:ascii="宋体" w:hAnsi="宋体" w:cs="宋体"/>
                <w:color w:val="000000" w:themeColor="text1"/>
                <w:kern w:val="0"/>
                <w:szCs w:val="21"/>
                <w14:textFill>
                  <w14:solidFill>
                    <w14:schemeClr w14:val="tx1"/>
                  </w14:solidFill>
                </w14:textFill>
              </w:rPr>
            </w:pPr>
          </w:p>
        </w:tc>
        <w:tc>
          <w:tcPr>
            <w:tcW w:w="390" w:type="pct"/>
            <w:shd w:val="clear" w:color="auto" w:fill="auto"/>
            <w:vAlign w:val="center"/>
          </w:tcPr>
          <w:p w14:paraId="097F7A83">
            <w:pPr>
              <w:widowControl/>
              <w:jc w:val="center"/>
              <w:rPr>
                <w:rFonts w:hint="eastAsia" w:ascii="宋体" w:hAnsi="宋体" w:cs="宋体"/>
                <w:color w:val="000000" w:themeColor="text1"/>
                <w:kern w:val="0"/>
                <w:szCs w:val="21"/>
                <w14:textFill>
                  <w14:solidFill>
                    <w14:schemeClr w14:val="tx1"/>
                  </w14:solidFill>
                </w14:textFill>
              </w:rPr>
            </w:pPr>
          </w:p>
        </w:tc>
      </w:tr>
      <w:tr w14:paraId="23D7097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30" w:type="pct"/>
            <w:shd w:val="clear" w:color="auto" w:fill="auto"/>
            <w:vAlign w:val="center"/>
          </w:tcPr>
          <w:p w14:paraId="5AA64812">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10</w:t>
            </w:r>
          </w:p>
        </w:tc>
        <w:tc>
          <w:tcPr>
            <w:tcW w:w="632" w:type="pct"/>
            <w:shd w:val="clear" w:color="auto" w:fill="auto"/>
            <w:vAlign w:val="center"/>
          </w:tcPr>
          <w:p w14:paraId="3827C191">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石油烃</w:t>
            </w:r>
          </w:p>
        </w:tc>
        <w:tc>
          <w:tcPr>
            <w:tcW w:w="405" w:type="pct"/>
            <w:shd w:val="clear" w:color="auto" w:fill="auto"/>
            <w:vAlign w:val="center"/>
          </w:tcPr>
          <w:p w14:paraId="6839A826">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4500</w:t>
            </w:r>
          </w:p>
        </w:tc>
        <w:tc>
          <w:tcPr>
            <w:tcW w:w="304" w:type="pct"/>
            <w:shd w:val="clear" w:color="auto" w:fill="auto"/>
            <w:vAlign w:val="center"/>
          </w:tcPr>
          <w:p w14:paraId="06F496CB">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mg/kg</w:t>
            </w:r>
          </w:p>
        </w:tc>
        <w:tc>
          <w:tcPr>
            <w:tcW w:w="304" w:type="pct"/>
            <w:shd w:val="clear" w:color="auto" w:fill="auto"/>
            <w:vAlign w:val="center"/>
          </w:tcPr>
          <w:p w14:paraId="7049AD2E">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12</w:t>
            </w:r>
          </w:p>
        </w:tc>
        <w:tc>
          <w:tcPr>
            <w:tcW w:w="405" w:type="pct"/>
            <w:shd w:val="clear" w:color="auto" w:fill="auto"/>
            <w:vAlign w:val="center"/>
          </w:tcPr>
          <w:p w14:paraId="5585A9D5">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0.0027</w:t>
            </w:r>
          </w:p>
        </w:tc>
        <w:tc>
          <w:tcPr>
            <w:tcW w:w="407" w:type="pct"/>
            <w:shd w:val="clear" w:color="auto" w:fill="auto"/>
            <w:vAlign w:val="center"/>
          </w:tcPr>
          <w:p w14:paraId="03D12E6B">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达标</w:t>
            </w:r>
          </w:p>
        </w:tc>
        <w:tc>
          <w:tcPr>
            <w:tcW w:w="309" w:type="pct"/>
            <w:shd w:val="clear" w:color="auto" w:fill="auto"/>
            <w:vAlign w:val="center"/>
          </w:tcPr>
          <w:p w14:paraId="0AEE70C7">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8</w:t>
            </w:r>
          </w:p>
        </w:tc>
        <w:tc>
          <w:tcPr>
            <w:tcW w:w="404" w:type="pct"/>
            <w:shd w:val="clear" w:color="auto" w:fill="auto"/>
            <w:vAlign w:val="center"/>
          </w:tcPr>
          <w:p w14:paraId="786934B7">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0.0018</w:t>
            </w:r>
          </w:p>
        </w:tc>
        <w:tc>
          <w:tcPr>
            <w:tcW w:w="404" w:type="pct"/>
            <w:shd w:val="clear" w:color="auto" w:fill="auto"/>
            <w:vAlign w:val="center"/>
          </w:tcPr>
          <w:p w14:paraId="77185A0C">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达标</w:t>
            </w:r>
          </w:p>
        </w:tc>
        <w:tc>
          <w:tcPr>
            <w:tcW w:w="303" w:type="pct"/>
            <w:shd w:val="clear" w:color="auto" w:fill="auto"/>
            <w:vAlign w:val="center"/>
          </w:tcPr>
          <w:p w14:paraId="7C436B14">
            <w:pPr>
              <w:widowControl/>
              <w:jc w:val="center"/>
              <w:rPr>
                <w:rFonts w:hint="eastAsia" w:ascii="宋体" w:hAnsi="宋体" w:cs="宋体"/>
                <w:color w:val="000000" w:themeColor="text1"/>
                <w:kern w:val="0"/>
                <w:szCs w:val="21"/>
                <w14:textFill>
                  <w14:solidFill>
                    <w14:schemeClr w14:val="tx1"/>
                  </w14:solidFill>
                </w14:textFill>
              </w:rPr>
            </w:pPr>
          </w:p>
        </w:tc>
        <w:tc>
          <w:tcPr>
            <w:tcW w:w="404" w:type="pct"/>
            <w:shd w:val="clear" w:color="auto" w:fill="auto"/>
            <w:vAlign w:val="center"/>
          </w:tcPr>
          <w:p w14:paraId="416FCDAF">
            <w:pPr>
              <w:widowControl/>
              <w:jc w:val="center"/>
              <w:rPr>
                <w:rFonts w:hint="eastAsia" w:ascii="宋体" w:hAnsi="宋体" w:cs="宋体"/>
                <w:color w:val="000000" w:themeColor="text1"/>
                <w:kern w:val="0"/>
                <w:szCs w:val="21"/>
                <w14:textFill>
                  <w14:solidFill>
                    <w14:schemeClr w14:val="tx1"/>
                  </w14:solidFill>
                </w14:textFill>
              </w:rPr>
            </w:pPr>
          </w:p>
        </w:tc>
        <w:tc>
          <w:tcPr>
            <w:tcW w:w="390" w:type="pct"/>
            <w:shd w:val="clear" w:color="auto" w:fill="auto"/>
            <w:vAlign w:val="center"/>
          </w:tcPr>
          <w:p w14:paraId="7932904E">
            <w:pPr>
              <w:widowControl/>
              <w:jc w:val="center"/>
              <w:rPr>
                <w:rFonts w:hint="eastAsia" w:ascii="宋体" w:hAnsi="宋体" w:cs="宋体"/>
                <w:color w:val="000000" w:themeColor="text1"/>
                <w:kern w:val="0"/>
                <w:szCs w:val="21"/>
                <w14:textFill>
                  <w14:solidFill>
                    <w14:schemeClr w14:val="tx1"/>
                  </w14:solidFill>
                </w14:textFill>
              </w:rPr>
            </w:pPr>
          </w:p>
        </w:tc>
      </w:tr>
    </w:tbl>
    <w:p w14:paraId="0B929091">
      <w:pPr>
        <w:ind w:firstLine="197" w:firstLineChars="94"/>
        <w:jc w:val="center"/>
        <w:rPr>
          <w:rFonts w:hint="eastAsia" w:ascii="黑体" w:hAnsi="黑体" w:eastAsia="黑体"/>
          <w:bCs/>
          <w:color w:val="000000" w:themeColor="text1"/>
          <w:szCs w:val="21"/>
          <w14:textFill>
            <w14:solidFill>
              <w14:schemeClr w14:val="tx1"/>
            </w14:solidFill>
          </w14:textFill>
        </w:rPr>
      </w:pPr>
      <w:r>
        <w:rPr>
          <w:rFonts w:hint="eastAsia" w:ascii="黑体" w:hAnsi="黑体" w:eastAsia="黑体"/>
          <w:bCs/>
          <w:color w:val="000000" w:themeColor="text1"/>
          <w:szCs w:val="21"/>
          <w14:textFill>
            <w14:solidFill>
              <w14:schemeClr w14:val="tx1"/>
            </w14:solidFill>
          </w14:textFill>
        </w:rPr>
        <w:t>表4.3-15  占地范围外土壤监测及评价结果一览表</w:t>
      </w:r>
    </w:p>
    <w:tbl>
      <w:tblPr>
        <w:tblStyle w:val="51"/>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76"/>
        <w:gridCol w:w="1587"/>
        <w:gridCol w:w="1294"/>
        <w:gridCol w:w="1006"/>
        <w:gridCol w:w="864"/>
        <w:gridCol w:w="1151"/>
        <w:gridCol w:w="1151"/>
        <w:gridCol w:w="864"/>
        <w:gridCol w:w="1151"/>
        <w:gridCol w:w="1151"/>
        <w:gridCol w:w="1009"/>
        <w:gridCol w:w="1297"/>
        <w:gridCol w:w="1115"/>
      </w:tblGrid>
      <w:tr w14:paraId="59BF603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2" w:type="pct"/>
            <w:vMerge w:val="restart"/>
            <w:shd w:val="clear" w:color="auto" w:fill="auto"/>
            <w:vAlign w:val="center"/>
          </w:tcPr>
          <w:p w14:paraId="10C0D3F5">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序号</w:t>
            </w:r>
          </w:p>
        </w:tc>
        <w:tc>
          <w:tcPr>
            <w:tcW w:w="558" w:type="pct"/>
            <w:vMerge w:val="restart"/>
            <w:shd w:val="clear" w:color="auto" w:fill="auto"/>
            <w:vAlign w:val="center"/>
          </w:tcPr>
          <w:p w14:paraId="50902A35">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名称</w:t>
            </w:r>
          </w:p>
        </w:tc>
        <w:tc>
          <w:tcPr>
            <w:tcW w:w="455" w:type="pct"/>
            <w:vMerge w:val="restart"/>
            <w:shd w:val="clear" w:color="auto" w:fill="auto"/>
            <w:vAlign w:val="center"/>
          </w:tcPr>
          <w:p w14:paraId="45B002AE">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标准限值（mg/kg）</w:t>
            </w:r>
          </w:p>
        </w:tc>
        <w:tc>
          <w:tcPr>
            <w:tcW w:w="354" w:type="pct"/>
            <w:vMerge w:val="restart"/>
            <w:shd w:val="clear" w:color="auto" w:fill="auto"/>
            <w:vAlign w:val="center"/>
          </w:tcPr>
          <w:p w14:paraId="0C63955F">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监测值单位</w:t>
            </w:r>
          </w:p>
        </w:tc>
        <w:tc>
          <w:tcPr>
            <w:tcW w:w="1114" w:type="pct"/>
            <w:gridSpan w:val="3"/>
            <w:shd w:val="clear" w:color="auto" w:fill="auto"/>
            <w:vAlign w:val="center"/>
          </w:tcPr>
          <w:p w14:paraId="63660DEA">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T2(0m～0.2m)</w:t>
            </w:r>
          </w:p>
        </w:tc>
        <w:tc>
          <w:tcPr>
            <w:tcW w:w="1113" w:type="pct"/>
            <w:gridSpan w:val="3"/>
            <w:shd w:val="clear" w:color="auto" w:fill="auto"/>
            <w:vAlign w:val="center"/>
          </w:tcPr>
          <w:p w14:paraId="5D30B0E2">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T12(0m～0.2m)</w:t>
            </w:r>
          </w:p>
        </w:tc>
        <w:tc>
          <w:tcPr>
            <w:tcW w:w="1203" w:type="pct"/>
            <w:gridSpan w:val="3"/>
            <w:shd w:val="clear" w:color="auto" w:fill="auto"/>
            <w:vAlign w:val="center"/>
          </w:tcPr>
          <w:p w14:paraId="2FFEB701">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T13(0m～0.2m)</w:t>
            </w:r>
          </w:p>
        </w:tc>
      </w:tr>
      <w:tr w14:paraId="218A159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2" w:type="pct"/>
            <w:vMerge w:val="continue"/>
            <w:vAlign w:val="center"/>
          </w:tcPr>
          <w:p w14:paraId="1DDB7A1F">
            <w:pPr>
              <w:widowControl/>
              <w:jc w:val="center"/>
              <w:rPr>
                <w:rFonts w:hint="eastAsia" w:ascii="宋体" w:hAnsi="宋体" w:cs="宋体"/>
                <w:color w:val="000000" w:themeColor="text1"/>
                <w:kern w:val="0"/>
                <w:szCs w:val="21"/>
                <w14:textFill>
                  <w14:solidFill>
                    <w14:schemeClr w14:val="tx1"/>
                  </w14:solidFill>
                </w14:textFill>
              </w:rPr>
            </w:pPr>
          </w:p>
        </w:tc>
        <w:tc>
          <w:tcPr>
            <w:tcW w:w="558" w:type="pct"/>
            <w:vMerge w:val="continue"/>
            <w:vAlign w:val="center"/>
          </w:tcPr>
          <w:p w14:paraId="07E8C411">
            <w:pPr>
              <w:widowControl/>
              <w:jc w:val="center"/>
              <w:rPr>
                <w:rFonts w:hint="eastAsia" w:ascii="宋体" w:hAnsi="宋体" w:cs="宋体"/>
                <w:color w:val="000000" w:themeColor="text1"/>
                <w:kern w:val="0"/>
                <w:szCs w:val="21"/>
                <w14:textFill>
                  <w14:solidFill>
                    <w14:schemeClr w14:val="tx1"/>
                  </w14:solidFill>
                </w14:textFill>
              </w:rPr>
            </w:pPr>
          </w:p>
        </w:tc>
        <w:tc>
          <w:tcPr>
            <w:tcW w:w="455" w:type="pct"/>
            <w:vMerge w:val="continue"/>
            <w:vAlign w:val="center"/>
          </w:tcPr>
          <w:p w14:paraId="07B67AA0">
            <w:pPr>
              <w:widowControl/>
              <w:jc w:val="center"/>
              <w:rPr>
                <w:rFonts w:hint="eastAsia" w:ascii="宋体" w:hAnsi="宋体" w:cs="宋体"/>
                <w:color w:val="000000" w:themeColor="text1"/>
                <w:kern w:val="0"/>
                <w:szCs w:val="21"/>
                <w14:textFill>
                  <w14:solidFill>
                    <w14:schemeClr w14:val="tx1"/>
                  </w14:solidFill>
                </w14:textFill>
              </w:rPr>
            </w:pPr>
          </w:p>
        </w:tc>
        <w:tc>
          <w:tcPr>
            <w:tcW w:w="354" w:type="pct"/>
            <w:vMerge w:val="continue"/>
            <w:vAlign w:val="center"/>
          </w:tcPr>
          <w:p w14:paraId="7E8AF34F">
            <w:pPr>
              <w:widowControl/>
              <w:jc w:val="center"/>
              <w:rPr>
                <w:rFonts w:hint="eastAsia" w:ascii="宋体" w:hAnsi="宋体" w:cs="宋体"/>
                <w:color w:val="000000" w:themeColor="text1"/>
                <w:kern w:val="0"/>
                <w:szCs w:val="21"/>
                <w14:textFill>
                  <w14:solidFill>
                    <w14:schemeClr w14:val="tx1"/>
                  </w14:solidFill>
                </w14:textFill>
              </w:rPr>
            </w:pPr>
          </w:p>
        </w:tc>
        <w:tc>
          <w:tcPr>
            <w:tcW w:w="304" w:type="pct"/>
            <w:shd w:val="clear" w:color="auto" w:fill="auto"/>
            <w:vAlign w:val="center"/>
          </w:tcPr>
          <w:p w14:paraId="33A51DD4">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监测值</w:t>
            </w:r>
          </w:p>
        </w:tc>
        <w:tc>
          <w:tcPr>
            <w:tcW w:w="405" w:type="pct"/>
            <w:shd w:val="clear" w:color="auto" w:fill="auto"/>
            <w:vAlign w:val="center"/>
          </w:tcPr>
          <w:p w14:paraId="607618DE">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标准指数</w:t>
            </w:r>
          </w:p>
        </w:tc>
        <w:tc>
          <w:tcPr>
            <w:tcW w:w="405" w:type="pct"/>
            <w:shd w:val="clear" w:color="auto" w:fill="auto"/>
            <w:vAlign w:val="center"/>
          </w:tcPr>
          <w:p w14:paraId="2DA4E819">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达标情况</w:t>
            </w:r>
          </w:p>
        </w:tc>
        <w:tc>
          <w:tcPr>
            <w:tcW w:w="304" w:type="pct"/>
            <w:shd w:val="clear" w:color="auto" w:fill="auto"/>
            <w:vAlign w:val="center"/>
          </w:tcPr>
          <w:p w14:paraId="2A68CCB1">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监测值</w:t>
            </w:r>
          </w:p>
        </w:tc>
        <w:tc>
          <w:tcPr>
            <w:tcW w:w="405" w:type="pct"/>
            <w:shd w:val="clear" w:color="auto" w:fill="auto"/>
            <w:vAlign w:val="center"/>
          </w:tcPr>
          <w:p w14:paraId="11817254">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标准指数</w:t>
            </w:r>
          </w:p>
        </w:tc>
        <w:tc>
          <w:tcPr>
            <w:tcW w:w="405" w:type="pct"/>
            <w:shd w:val="clear" w:color="auto" w:fill="auto"/>
            <w:vAlign w:val="center"/>
          </w:tcPr>
          <w:p w14:paraId="2E0BB3B1">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达标情况</w:t>
            </w:r>
          </w:p>
        </w:tc>
        <w:tc>
          <w:tcPr>
            <w:tcW w:w="355" w:type="pct"/>
            <w:shd w:val="clear" w:color="auto" w:fill="auto"/>
            <w:vAlign w:val="center"/>
          </w:tcPr>
          <w:p w14:paraId="11F96977">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监测值</w:t>
            </w:r>
          </w:p>
        </w:tc>
        <w:tc>
          <w:tcPr>
            <w:tcW w:w="456" w:type="pct"/>
            <w:shd w:val="clear" w:color="auto" w:fill="auto"/>
            <w:vAlign w:val="center"/>
          </w:tcPr>
          <w:p w14:paraId="284FBDBE">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标准指数</w:t>
            </w:r>
          </w:p>
        </w:tc>
        <w:tc>
          <w:tcPr>
            <w:tcW w:w="392" w:type="pct"/>
            <w:shd w:val="clear" w:color="auto" w:fill="auto"/>
            <w:vAlign w:val="center"/>
          </w:tcPr>
          <w:p w14:paraId="162EEEC1">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达标情况</w:t>
            </w:r>
          </w:p>
        </w:tc>
      </w:tr>
      <w:tr w14:paraId="19DC124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2" w:type="pct"/>
            <w:shd w:val="clear" w:color="auto" w:fill="auto"/>
            <w:vAlign w:val="center"/>
          </w:tcPr>
          <w:p w14:paraId="496B1387">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1</w:t>
            </w:r>
          </w:p>
        </w:tc>
        <w:tc>
          <w:tcPr>
            <w:tcW w:w="558" w:type="pct"/>
            <w:shd w:val="clear" w:color="auto" w:fill="auto"/>
            <w:vAlign w:val="center"/>
          </w:tcPr>
          <w:p w14:paraId="2BD8FB6F">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汞</w:t>
            </w:r>
          </w:p>
        </w:tc>
        <w:tc>
          <w:tcPr>
            <w:tcW w:w="455" w:type="pct"/>
            <w:shd w:val="clear" w:color="auto" w:fill="auto"/>
            <w:vAlign w:val="center"/>
          </w:tcPr>
          <w:p w14:paraId="3E329F8D">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3.4</w:t>
            </w:r>
          </w:p>
        </w:tc>
        <w:tc>
          <w:tcPr>
            <w:tcW w:w="354" w:type="pct"/>
            <w:shd w:val="clear" w:color="auto" w:fill="auto"/>
            <w:vAlign w:val="center"/>
          </w:tcPr>
          <w:p w14:paraId="371FAFFA">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mg/kg</w:t>
            </w:r>
          </w:p>
        </w:tc>
        <w:tc>
          <w:tcPr>
            <w:tcW w:w="304" w:type="pct"/>
            <w:shd w:val="clear" w:color="auto" w:fill="auto"/>
            <w:vAlign w:val="center"/>
          </w:tcPr>
          <w:p w14:paraId="55AED5CC">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0.044</w:t>
            </w:r>
          </w:p>
        </w:tc>
        <w:tc>
          <w:tcPr>
            <w:tcW w:w="405" w:type="pct"/>
            <w:shd w:val="clear" w:color="auto" w:fill="auto"/>
            <w:vAlign w:val="center"/>
          </w:tcPr>
          <w:p w14:paraId="2F4CD3FE">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0.0129</w:t>
            </w:r>
          </w:p>
        </w:tc>
        <w:tc>
          <w:tcPr>
            <w:tcW w:w="405" w:type="pct"/>
            <w:shd w:val="clear" w:color="auto" w:fill="auto"/>
            <w:vAlign w:val="center"/>
          </w:tcPr>
          <w:p w14:paraId="316D8BCB">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达标</w:t>
            </w:r>
          </w:p>
        </w:tc>
        <w:tc>
          <w:tcPr>
            <w:tcW w:w="304" w:type="pct"/>
            <w:shd w:val="clear" w:color="auto" w:fill="auto"/>
            <w:vAlign w:val="center"/>
          </w:tcPr>
          <w:p w14:paraId="5298C063">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0.025</w:t>
            </w:r>
          </w:p>
        </w:tc>
        <w:tc>
          <w:tcPr>
            <w:tcW w:w="405" w:type="pct"/>
            <w:shd w:val="clear" w:color="auto" w:fill="auto"/>
            <w:vAlign w:val="center"/>
          </w:tcPr>
          <w:p w14:paraId="49198768">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0.0074</w:t>
            </w:r>
          </w:p>
        </w:tc>
        <w:tc>
          <w:tcPr>
            <w:tcW w:w="405" w:type="pct"/>
            <w:shd w:val="clear" w:color="auto" w:fill="auto"/>
            <w:vAlign w:val="center"/>
          </w:tcPr>
          <w:p w14:paraId="736C7AC4">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达标</w:t>
            </w:r>
          </w:p>
        </w:tc>
        <w:tc>
          <w:tcPr>
            <w:tcW w:w="355" w:type="pct"/>
            <w:shd w:val="clear" w:color="auto" w:fill="auto"/>
            <w:vAlign w:val="center"/>
          </w:tcPr>
          <w:p w14:paraId="23AEB72D">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0.019</w:t>
            </w:r>
          </w:p>
        </w:tc>
        <w:tc>
          <w:tcPr>
            <w:tcW w:w="456" w:type="pct"/>
            <w:shd w:val="clear" w:color="auto" w:fill="auto"/>
            <w:vAlign w:val="center"/>
          </w:tcPr>
          <w:p w14:paraId="00B60A80">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0.0056</w:t>
            </w:r>
          </w:p>
        </w:tc>
        <w:tc>
          <w:tcPr>
            <w:tcW w:w="392" w:type="pct"/>
            <w:shd w:val="clear" w:color="auto" w:fill="auto"/>
            <w:vAlign w:val="center"/>
          </w:tcPr>
          <w:p w14:paraId="62BD791C">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达标</w:t>
            </w:r>
          </w:p>
        </w:tc>
      </w:tr>
      <w:tr w14:paraId="7C0A493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2" w:type="pct"/>
            <w:shd w:val="clear" w:color="auto" w:fill="auto"/>
            <w:vAlign w:val="center"/>
          </w:tcPr>
          <w:p w14:paraId="2AB4CF7B">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2</w:t>
            </w:r>
          </w:p>
        </w:tc>
        <w:tc>
          <w:tcPr>
            <w:tcW w:w="558" w:type="pct"/>
            <w:shd w:val="clear" w:color="auto" w:fill="auto"/>
            <w:vAlign w:val="center"/>
          </w:tcPr>
          <w:p w14:paraId="75887E4B">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砷</w:t>
            </w:r>
          </w:p>
        </w:tc>
        <w:tc>
          <w:tcPr>
            <w:tcW w:w="455" w:type="pct"/>
            <w:shd w:val="clear" w:color="auto" w:fill="auto"/>
            <w:vAlign w:val="center"/>
          </w:tcPr>
          <w:p w14:paraId="1061F092">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25</w:t>
            </w:r>
          </w:p>
        </w:tc>
        <w:tc>
          <w:tcPr>
            <w:tcW w:w="354" w:type="pct"/>
            <w:shd w:val="clear" w:color="auto" w:fill="auto"/>
            <w:vAlign w:val="center"/>
          </w:tcPr>
          <w:p w14:paraId="1856C51E">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mg/kg</w:t>
            </w:r>
          </w:p>
        </w:tc>
        <w:tc>
          <w:tcPr>
            <w:tcW w:w="304" w:type="pct"/>
            <w:shd w:val="clear" w:color="auto" w:fill="auto"/>
            <w:vAlign w:val="center"/>
          </w:tcPr>
          <w:p w14:paraId="53D4CC97">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8.86</w:t>
            </w:r>
          </w:p>
        </w:tc>
        <w:tc>
          <w:tcPr>
            <w:tcW w:w="405" w:type="pct"/>
            <w:shd w:val="clear" w:color="auto" w:fill="auto"/>
            <w:vAlign w:val="center"/>
          </w:tcPr>
          <w:p w14:paraId="25B99BA4">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0.3544</w:t>
            </w:r>
          </w:p>
        </w:tc>
        <w:tc>
          <w:tcPr>
            <w:tcW w:w="405" w:type="pct"/>
            <w:shd w:val="clear" w:color="auto" w:fill="auto"/>
            <w:vAlign w:val="center"/>
          </w:tcPr>
          <w:p w14:paraId="5C94B3CD">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达标</w:t>
            </w:r>
          </w:p>
        </w:tc>
        <w:tc>
          <w:tcPr>
            <w:tcW w:w="304" w:type="pct"/>
            <w:shd w:val="clear" w:color="auto" w:fill="auto"/>
            <w:vAlign w:val="center"/>
          </w:tcPr>
          <w:p w14:paraId="4FC2956A">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8.44</w:t>
            </w:r>
          </w:p>
        </w:tc>
        <w:tc>
          <w:tcPr>
            <w:tcW w:w="405" w:type="pct"/>
            <w:shd w:val="clear" w:color="auto" w:fill="auto"/>
            <w:vAlign w:val="center"/>
          </w:tcPr>
          <w:p w14:paraId="76EAEA75">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0.3376</w:t>
            </w:r>
          </w:p>
        </w:tc>
        <w:tc>
          <w:tcPr>
            <w:tcW w:w="405" w:type="pct"/>
            <w:shd w:val="clear" w:color="auto" w:fill="auto"/>
            <w:vAlign w:val="center"/>
          </w:tcPr>
          <w:p w14:paraId="2D317A60">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达标</w:t>
            </w:r>
          </w:p>
        </w:tc>
        <w:tc>
          <w:tcPr>
            <w:tcW w:w="355" w:type="pct"/>
            <w:shd w:val="clear" w:color="auto" w:fill="auto"/>
            <w:vAlign w:val="center"/>
          </w:tcPr>
          <w:p w14:paraId="5E306FB1">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9.96</w:t>
            </w:r>
          </w:p>
        </w:tc>
        <w:tc>
          <w:tcPr>
            <w:tcW w:w="456" w:type="pct"/>
            <w:shd w:val="clear" w:color="auto" w:fill="auto"/>
            <w:vAlign w:val="center"/>
          </w:tcPr>
          <w:p w14:paraId="0339C9B2">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0.3984</w:t>
            </w:r>
          </w:p>
        </w:tc>
        <w:tc>
          <w:tcPr>
            <w:tcW w:w="392" w:type="pct"/>
            <w:shd w:val="clear" w:color="auto" w:fill="auto"/>
            <w:vAlign w:val="center"/>
          </w:tcPr>
          <w:p w14:paraId="5AFB76D2">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达标</w:t>
            </w:r>
          </w:p>
        </w:tc>
      </w:tr>
      <w:tr w14:paraId="43FAD29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2" w:type="pct"/>
            <w:shd w:val="clear" w:color="auto" w:fill="auto"/>
            <w:vAlign w:val="center"/>
          </w:tcPr>
          <w:p w14:paraId="31A83F57">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3</w:t>
            </w:r>
          </w:p>
        </w:tc>
        <w:tc>
          <w:tcPr>
            <w:tcW w:w="558" w:type="pct"/>
            <w:shd w:val="clear" w:color="auto" w:fill="auto"/>
            <w:vAlign w:val="center"/>
          </w:tcPr>
          <w:p w14:paraId="1E92BD75">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铅</w:t>
            </w:r>
          </w:p>
        </w:tc>
        <w:tc>
          <w:tcPr>
            <w:tcW w:w="455" w:type="pct"/>
            <w:shd w:val="clear" w:color="auto" w:fill="auto"/>
            <w:vAlign w:val="center"/>
          </w:tcPr>
          <w:p w14:paraId="7E7AE49A">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170</w:t>
            </w:r>
          </w:p>
        </w:tc>
        <w:tc>
          <w:tcPr>
            <w:tcW w:w="354" w:type="pct"/>
            <w:shd w:val="clear" w:color="auto" w:fill="auto"/>
            <w:vAlign w:val="center"/>
          </w:tcPr>
          <w:p w14:paraId="4BA0E380">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mg/kg</w:t>
            </w:r>
          </w:p>
        </w:tc>
        <w:tc>
          <w:tcPr>
            <w:tcW w:w="304" w:type="pct"/>
            <w:shd w:val="clear" w:color="auto" w:fill="auto"/>
            <w:vAlign w:val="center"/>
          </w:tcPr>
          <w:p w14:paraId="76449391">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14.9</w:t>
            </w:r>
          </w:p>
        </w:tc>
        <w:tc>
          <w:tcPr>
            <w:tcW w:w="405" w:type="pct"/>
            <w:shd w:val="clear" w:color="auto" w:fill="auto"/>
            <w:vAlign w:val="center"/>
          </w:tcPr>
          <w:p w14:paraId="3FDE1B5C">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0.0876</w:t>
            </w:r>
          </w:p>
        </w:tc>
        <w:tc>
          <w:tcPr>
            <w:tcW w:w="405" w:type="pct"/>
            <w:shd w:val="clear" w:color="auto" w:fill="auto"/>
            <w:vAlign w:val="center"/>
          </w:tcPr>
          <w:p w14:paraId="46CC71A9">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达标</w:t>
            </w:r>
          </w:p>
        </w:tc>
        <w:tc>
          <w:tcPr>
            <w:tcW w:w="304" w:type="pct"/>
            <w:shd w:val="clear" w:color="auto" w:fill="auto"/>
            <w:vAlign w:val="center"/>
          </w:tcPr>
          <w:p w14:paraId="2C31470C">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20.4</w:t>
            </w:r>
          </w:p>
        </w:tc>
        <w:tc>
          <w:tcPr>
            <w:tcW w:w="405" w:type="pct"/>
            <w:shd w:val="clear" w:color="auto" w:fill="auto"/>
            <w:vAlign w:val="center"/>
          </w:tcPr>
          <w:p w14:paraId="797F6B5A">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0.1200</w:t>
            </w:r>
          </w:p>
        </w:tc>
        <w:tc>
          <w:tcPr>
            <w:tcW w:w="405" w:type="pct"/>
            <w:shd w:val="clear" w:color="auto" w:fill="auto"/>
            <w:vAlign w:val="center"/>
          </w:tcPr>
          <w:p w14:paraId="28464D4A">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达标</w:t>
            </w:r>
          </w:p>
        </w:tc>
        <w:tc>
          <w:tcPr>
            <w:tcW w:w="355" w:type="pct"/>
            <w:shd w:val="clear" w:color="auto" w:fill="auto"/>
            <w:vAlign w:val="center"/>
          </w:tcPr>
          <w:p w14:paraId="2C0FD172">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16.1</w:t>
            </w:r>
          </w:p>
        </w:tc>
        <w:tc>
          <w:tcPr>
            <w:tcW w:w="456" w:type="pct"/>
            <w:shd w:val="clear" w:color="auto" w:fill="auto"/>
            <w:vAlign w:val="center"/>
          </w:tcPr>
          <w:p w14:paraId="75E2D9C7">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0.0947</w:t>
            </w:r>
          </w:p>
        </w:tc>
        <w:tc>
          <w:tcPr>
            <w:tcW w:w="392" w:type="pct"/>
            <w:shd w:val="clear" w:color="auto" w:fill="auto"/>
            <w:vAlign w:val="center"/>
          </w:tcPr>
          <w:p w14:paraId="1AC99F8E">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达标</w:t>
            </w:r>
          </w:p>
        </w:tc>
      </w:tr>
      <w:tr w14:paraId="22A265C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2" w:type="pct"/>
            <w:shd w:val="clear" w:color="auto" w:fill="auto"/>
            <w:vAlign w:val="center"/>
          </w:tcPr>
          <w:p w14:paraId="086DDA0E">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4</w:t>
            </w:r>
          </w:p>
        </w:tc>
        <w:tc>
          <w:tcPr>
            <w:tcW w:w="558" w:type="pct"/>
            <w:shd w:val="clear" w:color="auto" w:fill="auto"/>
            <w:vAlign w:val="center"/>
          </w:tcPr>
          <w:p w14:paraId="7952ED7A">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镉</w:t>
            </w:r>
          </w:p>
        </w:tc>
        <w:tc>
          <w:tcPr>
            <w:tcW w:w="455" w:type="pct"/>
            <w:shd w:val="clear" w:color="auto" w:fill="auto"/>
            <w:vAlign w:val="center"/>
          </w:tcPr>
          <w:p w14:paraId="7D6D4978">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0.6</w:t>
            </w:r>
          </w:p>
        </w:tc>
        <w:tc>
          <w:tcPr>
            <w:tcW w:w="354" w:type="pct"/>
            <w:shd w:val="clear" w:color="auto" w:fill="auto"/>
            <w:vAlign w:val="center"/>
          </w:tcPr>
          <w:p w14:paraId="64A86D03">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mg/kg</w:t>
            </w:r>
          </w:p>
        </w:tc>
        <w:tc>
          <w:tcPr>
            <w:tcW w:w="304" w:type="pct"/>
            <w:shd w:val="clear" w:color="auto" w:fill="auto"/>
            <w:vAlign w:val="center"/>
          </w:tcPr>
          <w:p w14:paraId="2C6B0600">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0.09</w:t>
            </w:r>
          </w:p>
        </w:tc>
        <w:tc>
          <w:tcPr>
            <w:tcW w:w="405" w:type="pct"/>
            <w:shd w:val="clear" w:color="auto" w:fill="auto"/>
            <w:vAlign w:val="center"/>
          </w:tcPr>
          <w:p w14:paraId="20D1F5C9">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0.1500</w:t>
            </w:r>
          </w:p>
        </w:tc>
        <w:tc>
          <w:tcPr>
            <w:tcW w:w="405" w:type="pct"/>
            <w:shd w:val="clear" w:color="auto" w:fill="auto"/>
            <w:vAlign w:val="center"/>
          </w:tcPr>
          <w:p w14:paraId="31CED3F2">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达标</w:t>
            </w:r>
          </w:p>
        </w:tc>
        <w:tc>
          <w:tcPr>
            <w:tcW w:w="304" w:type="pct"/>
            <w:shd w:val="clear" w:color="auto" w:fill="auto"/>
            <w:vAlign w:val="center"/>
          </w:tcPr>
          <w:p w14:paraId="66A5C008">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0.15</w:t>
            </w:r>
          </w:p>
        </w:tc>
        <w:tc>
          <w:tcPr>
            <w:tcW w:w="405" w:type="pct"/>
            <w:shd w:val="clear" w:color="auto" w:fill="auto"/>
            <w:vAlign w:val="center"/>
          </w:tcPr>
          <w:p w14:paraId="7FC4D9EE">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0.2500</w:t>
            </w:r>
          </w:p>
        </w:tc>
        <w:tc>
          <w:tcPr>
            <w:tcW w:w="405" w:type="pct"/>
            <w:shd w:val="clear" w:color="auto" w:fill="auto"/>
            <w:vAlign w:val="center"/>
          </w:tcPr>
          <w:p w14:paraId="3DE9764C">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达标</w:t>
            </w:r>
          </w:p>
        </w:tc>
        <w:tc>
          <w:tcPr>
            <w:tcW w:w="355" w:type="pct"/>
            <w:shd w:val="clear" w:color="auto" w:fill="auto"/>
            <w:vAlign w:val="center"/>
          </w:tcPr>
          <w:p w14:paraId="406C1EBF">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0.19</w:t>
            </w:r>
          </w:p>
        </w:tc>
        <w:tc>
          <w:tcPr>
            <w:tcW w:w="456" w:type="pct"/>
            <w:shd w:val="clear" w:color="auto" w:fill="auto"/>
            <w:vAlign w:val="center"/>
          </w:tcPr>
          <w:p w14:paraId="0EE456C3">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0.3167</w:t>
            </w:r>
          </w:p>
        </w:tc>
        <w:tc>
          <w:tcPr>
            <w:tcW w:w="392" w:type="pct"/>
            <w:shd w:val="clear" w:color="auto" w:fill="auto"/>
            <w:vAlign w:val="center"/>
          </w:tcPr>
          <w:p w14:paraId="68E1345B">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达标</w:t>
            </w:r>
          </w:p>
        </w:tc>
      </w:tr>
      <w:tr w14:paraId="0AC187D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2" w:type="pct"/>
            <w:shd w:val="clear" w:color="auto" w:fill="auto"/>
            <w:vAlign w:val="center"/>
          </w:tcPr>
          <w:p w14:paraId="4B2700D2">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5</w:t>
            </w:r>
          </w:p>
        </w:tc>
        <w:tc>
          <w:tcPr>
            <w:tcW w:w="558" w:type="pct"/>
            <w:shd w:val="clear" w:color="auto" w:fill="auto"/>
            <w:vAlign w:val="center"/>
          </w:tcPr>
          <w:p w14:paraId="3257525B">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六价铬</w:t>
            </w:r>
          </w:p>
        </w:tc>
        <w:tc>
          <w:tcPr>
            <w:tcW w:w="455" w:type="pct"/>
            <w:shd w:val="clear" w:color="auto" w:fill="auto"/>
            <w:vAlign w:val="center"/>
          </w:tcPr>
          <w:p w14:paraId="5AFF2D45">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5.7</w:t>
            </w:r>
          </w:p>
        </w:tc>
        <w:tc>
          <w:tcPr>
            <w:tcW w:w="354" w:type="pct"/>
            <w:shd w:val="clear" w:color="auto" w:fill="auto"/>
            <w:vAlign w:val="center"/>
          </w:tcPr>
          <w:p w14:paraId="0A78A376">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mg/kg</w:t>
            </w:r>
          </w:p>
        </w:tc>
        <w:tc>
          <w:tcPr>
            <w:tcW w:w="304" w:type="pct"/>
            <w:shd w:val="clear" w:color="auto" w:fill="auto"/>
            <w:vAlign w:val="center"/>
          </w:tcPr>
          <w:p w14:paraId="51238EDA">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0.5L</w:t>
            </w:r>
          </w:p>
        </w:tc>
        <w:tc>
          <w:tcPr>
            <w:tcW w:w="405" w:type="pct"/>
            <w:shd w:val="clear" w:color="auto" w:fill="auto"/>
            <w:vAlign w:val="center"/>
          </w:tcPr>
          <w:p w14:paraId="5C2C28BF">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w:t>
            </w:r>
          </w:p>
        </w:tc>
        <w:tc>
          <w:tcPr>
            <w:tcW w:w="405" w:type="pct"/>
            <w:shd w:val="clear" w:color="auto" w:fill="auto"/>
            <w:vAlign w:val="center"/>
          </w:tcPr>
          <w:p w14:paraId="25240247">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达标</w:t>
            </w:r>
          </w:p>
        </w:tc>
        <w:tc>
          <w:tcPr>
            <w:tcW w:w="304" w:type="pct"/>
            <w:shd w:val="clear" w:color="auto" w:fill="auto"/>
            <w:vAlign w:val="center"/>
          </w:tcPr>
          <w:p w14:paraId="71781DEE">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0.5L</w:t>
            </w:r>
          </w:p>
        </w:tc>
        <w:tc>
          <w:tcPr>
            <w:tcW w:w="405" w:type="pct"/>
            <w:shd w:val="clear" w:color="auto" w:fill="auto"/>
            <w:vAlign w:val="center"/>
          </w:tcPr>
          <w:p w14:paraId="28211FE2">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w:t>
            </w:r>
          </w:p>
        </w:tc>
        <w:tc>
          <w:tcPr>
            <w:tcW w:w="405" w:type="pct"/>
            <w:shd w:val="clear" w:color="auto" w:fill="auto"/>
            <w:vAlign w:val="center"/>
          </w:tcPr>
          <w:p w14:paraId="19D0F4A6">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达标`</w:t>
            </w:r>
          </w:p>
        </w:tc>
        <w:tc>
          <w:tcPr>
            <w:tcW w:w="355" w:type="pct"/>
            <w:shd w:val="clear" w:color="auto" w:fill="auto"/>
            <w:vAlign w:val="center"/>
          </w:tcPr>
          <w:p w14:paraId="00464C17">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0.5L</w:t>
            </w:r>
          </w:p>
        </w:tc>
        <w:tc>
          <w:tcPr>
            <w:tcW w:w="456" w:type="pct"/>
            <w:shd w:val="clear" w:color="auto" w:fill="auto"/>
            <w:vAlign w:val="center"/>
          </w:tcPr>
          <w:p w14:paraId="23E1C248">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w:t>
            </w:r>
          </w:p>
        </w:tc>
        <w:tc>
          <w:tcPr>
            <w:tcW w:w="392" w:type="pct"/>
            <w:shd w:val="clear" w:color="auto" w:fill="auto"/>
            <w:vAlign w:val="center"/>
          </w:tcPr>
          <w:p w14:paraId="26E71947">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达标`</w:t>
            </w:r>
          </w:p>
        </w:tc>
      </w:tr>
      <w:tr w14:paraId="659071C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2" w:type="pct"/>
            <w:shd w:val="clear" w:color="auto" w:fill="auto"/>
            <w:vAlign w:val="center"/>
          </w:tcPr>
          <w:p w14:paraId="3D853526">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6</w:t>
            </w:r>
          </w:p>
        </w:tc>
        <w:tc>
          <w:tcPr>
            <w:tcW w:w="558" w:type="pct"/>
            <w:shd w:val="clear" w:color="auto" w:fill="auto"/>
            <w:vAlign w:val="center"/>
          </w:tcPr>
          <w:p w14:paraId="3A54B7D0">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铜</w:t>
            </w:r>
          </w:p>
        </w:tc>
        <w:tc>
          <w:tcPr>
            <w:tcW w:w="455" w:type="pct"/>
            <w:shd w:val="clear" w:color="auto" w:fill="auto"/>
            <w:vAlign w:val="center"/>
          </w:tcPr>
          <w:p w14:paraId="5F1C8B90">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100</w:t>
            </w:r>
          </w:p>
        </w:tc>
        <w:tc>
          <w:tcPr>
            <w:tcW w:w="354" w:type="pct"/>
            <w:shd w:val="clear" w:color="auto" w:fill="auto"/>
            <w:vAlign w:val="center"/>
          </w:tcPr>
          <w:p w14:paraId="65230DD1">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mg/kg</w:t>
            </w:r>
          </w:p>
        </w:tc>
        <w:tc>
          <w:tcPr>
            <w:tcW w:w="304" w:type="pct"/>
            <w:shd w:val="clear" w:color="auto" w:fill="auto"/>
            <w:vAlign w:val="center"/>
          </w:tcPr>
          <w:p w14:paraId="0CD60A75">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28</w:t>
            </w:r>
          </w:p>
        </w:tc>
        <w:tc>
          <w:tcPr>
            <w:tcW w:w="405" w:type="pct"/>
            <w:shd w:val="clear" w:color="auto" w:fill="auto"/>
            <w:vAlign w:val="center"/>
          </w:tcPr>
          <w:p w14:paraId="0A5BE3D4">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0.2800</w:t>
            </w:r>
          </w:p>
        </w:tc>
        <w:tc>
          <w:tcPr>
            <w:tcW w:w="405" w:type="pct"/>
            <w:shd w:val="clear" w:color="auto" w:fill="auto"/>
            <w:vAlign w:val="center"/>
          </w:tcPr>
          <w:p w14:paraId="023FEDC6">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达标</w:t>
            </w:r>
          </w:p>
        </w:tc>
        <w:tc>
          <w:tcPr>
            <w:tcW w:w="304" w:type="pct"/>
            <w:shd w:val="clear" w:color="auto" w:fill="auto"/>
            <w:vAlign w:val="center"/>
          </w:tcPr>
          <w:p w14:paraId="6991696B">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28</w:t>
            </w:r>
          </w:p>
        </w:tc>
        <w:tc>
          <w:tcPr>
            <w:tcW w:w="405" w:type="pct"/>
            <w:shd w:val="clear" w:color="auto" w:fill="auto"/>
            <w:vAlign w:val="center"/>
          </w:tcPr>
          <w:p w14:paraId="0A861953">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0.2800</w:t>
            </w:r>
          </w:p>
        </w:tc>
        <w:tc>
          <w:tcPr>
            <w:tcW w:w="405" w:type="pct"/>
            <w:shd w:val="clear" w:color="auto" w:fill="auto"/>
            <w:vAlign w:val="center"/>
          </w:tcPr>
          <w:p w14:paraId="55863B66">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达标</w:t>
            </w:r>
          </w:p>
        </w:tc>
        <w:tc>
          <w:tcPr>
            <w:tcW w:w="355" w:type="pct"/>
            <w:shd w:val="clear" w:color="auto" w:fill="auto"/>
            <w:vAlign w:val="center"/>
          </w:tcPr>
          <w:p w14:paraId="19A1A561">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10</w:t>
            </w:r>
          </w:p>
        </w:tc>
        <w:tc>
          <w:tcPr>
            <w:tcW w:w="456" w:type="pct"/>
            <w:shd w:val="clear" w:color="auto" w:fill="auto"/>
            <w:vAlign w:val="center"/>
          </w:tcPr>
          <w:p w14:paraId="69522E3C">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0.1000</w:t>
            </w:r>
          </w:p>
        </w:tc>
        <w:tc>
          <w:tcPr>
            <w:tcW w:w="392" w:type="pct"/>
            <w:shd w:val="clear" w:color="auto" w:fill="auto"/>
            <w:vAlign w:val="center"/>
          </w:tcPr>
          <w:p w14:paraId="10C4B640">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达标</w:t>
            </w:r>
          </w:p>
        </w:tc>
      </w:tr>
      <w:tr w14:paraId="5E9DAB7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2" w:type="pct"/>
            <w:shd w:val="clear" w:color="auto" w:fill="auto"/>
            <w:vAlign w:val="center"/>
          </w:tcPr>
          <w:p w14:paraId="716A4997">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7</w:t>
            </w:r>
          </w:p>
        </w:tc>
        <w:tc>
          <w:tcPr>
            <w:tcW w:w="558" w:type="pct"/>
            <w:shd w:val="clear" w:color="auto" w:fill="auto"/>
            <w:vAlign w:val="center"/>
          </w:tcPr>
          <w:p w14:paraId="159625B0">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镍</w:t>
            </w:r>
          </w:p>
        </w:tc>
        <w:tc>
          <w:tcPr>
            <w:tcW w:w="455" w:type="pct"/>
            <w:shd w:val="clear" w:color="auto" w:fill="auto"/>
            <w:vAlign w:val="center"/>
          </w:tcPr>
          <w:p w14:paraId="3C307FEB">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190</w:t>
            </w:r>
          </w:p>
        </w:tc>
        <w:tc>
          <w:tcPr>
            <w:tcW w:w="354" w:type="pct"/>
            <w:shd w:val="clear" w:color="auto" w:fill="auto"/>
            <w:vAlign w:val="center"/>
          </w:tcPr>
          <w:p w14:paraId="2BA82FF1">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mg/kg</w:t>
            </w:r>
          </w:p>
        </w:tc>
        <w:tc>
          <w:tcPr>
            <w:tcW w:w="304" w:type="pct"/>
            <w:shd w:val="clear" w:color="auto" w:fill="auto"/>
            <w:vAlign w:val="center"/>
          </w:tcPr>
          <w:p w14:paraId="6E43F4A8">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42</w:t>
            </w:r>
          </w:p>
        </w:tc>
        <w:tc>
          <w:tcPr>
            <w:tcW w:w="405" w:type="pct"/>
            <w:shd w:val="clear" w:color="auto" w:fill="auto"/>
            <w:vAlign w:val="center"/>
          </w:tcPr>
          <w:p w14:paraId="400DD581">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0.2211</w:t>
            </w:r>
          </w:p>
        </w:tc>
        <w:tc>
          <w:tcPr>
            <w:tcW w:w="405" w:type="pct"/>
            <w:shd w:val="clear" w:color="auto" w:fill="auto"/>
            <w:vAlign w:val="center"/>
          </w:tcPr>
          <w:p w14:paraId="6DC49518">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达标</w:t>
            </w:r>
          </w:p>
        </w:tc>
        <w:tc>
          <w:tcPr>
            <w:tcW w:w="304" w:type="pct"/>
            <w:shd w:val="clear" w:color="auto" w:fill="auto"/>
            <w:vAlign w:val="center"/>
          </w:tcPr>
          <w:p w14:paraId="2998B4C1">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50</w:t>
            </w:r>
          </w:p>
        </w:tc>
        <w:tc>
          <w:tcPr>
            <w:tcW w:w="405" w:type="pct"/>
            <w:shd w:val="clear" w:color="auto" w:fill="auto"/>
            <w:vAlign w:val="center"/>
          </w:tcPr>
          <w:p w14:paraId="625B0D7A">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0.2632</w:t>
            </w:r>
          </w:p>
        </w:tc>
        <w:tc>
          <w:tcPr>
            <w:tcW w:w="405" w:type="pct"/>
            <w:shd w:val="clear" w:color="auto" w:fill="auto"/>
            <w:vAlign w:val="center"/>
          </w:tcPr>
          <w:p w14:paraId="5A20F874">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达标</w:t>
            </w:r>
          </w:p>
        </w:tc>
        <w:tc>
          <w:tcPr>
            <w:tcW w:w="355" w:type="pct"/>
            <w:shd w:val="clear" w:color="auto" w:fill="auto"/>
            <w:vAlign w:val="center"/>
          </w:tcPr>
          <w:p w14:paraId="3DE87300">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30</w:t>
            </w:r>
          </w:p>
        </w:tc>
        <w:tc>
          <w:tcPr>
            <w:tcW w:w="456" w:type="pct"/>
            <w:shd w:val="clear" w:color="auto" w:fill="auto"/>
            <w:vAlign w:val="center"/>
          </w:tcPr>
          <w:p w14:paraId="1990A051">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0.1579</w:t>
            </w:r>
          </w:p>
        </w:tc>
        <w:tc>
          <w:tcPr>
            <w:tcW w:w="392" w:type="pct"/>
            <w:shd w:val="clear" w:color="auto" w:fill="auto"/>
            <w:vAlign w:val="center"/>
          </w:tcPr>
          <w:p w14:paraId="5C630AAE">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达标</w:t>
            </w:r>
          </w:p>
        </w:tc>
      </w:tr>
      <w:tr w14:paraId="783CC33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2" w:type="pct"/>
            <w:shd w:val="clear" w:color="auto" w:fill="auto"/>
            <w:vAlign w:val="center"/>
          </w:tcPr>
          <w:p w14:paraId="61C72661">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9</w:t>
            </w:r>
          </w:p>
        </w:tc>
        <w:tc>
          <w:tcPr>
            <w:tcW w:w="558" w:type="pct"/>
            <w:shd w:val="clear" w:color="auto" w:fill="auto"/>
            <w:vAlign w:val="center"/>
          </w:tcPr>
          <w:p w14:paraId="30183BA5">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pH</w:t>
            </w:r>
          </w:p>
        </w:tc>
        <w:tc>
          <w:tcPr>
            <w:tcW w:w="455" w:type="pct"/>
            <w:shd w:val="clear" w:color="auto" w:fill="auto"/>
            <w:vAlign w:val="center"/>
          </w:tcPr>
          <w:p w14:paraId="2CB4EBB4">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w:t>
            </w:r>
          </w:p>
        </w:tc>
        <w:tc>
          <w:tcPr>
            <w:tcW w:w="354" w:type="pct"/>
            <w:shd w:val="clear" w:color="auto" w:fill="auto"/>
            <w:vAlign w:val="center"/>
          </w:tcPr>
          <w:p w14:paraId="33C32C29">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w:t>
            </w:r>
          </w:p>
        </w:tc>
        <w:tc>
          <w:tcPr>
            <w:tcW w:w="304" w:type="pct"/>
            <w:shd w:val="clear" w:color="auto" w:fill="auto"/>
            <w:vAlign w:val="center"/>
          </w:tcPr>
          <w:p w14:paraId="6181FD94">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8.44</w:t>
            </w:r>
          </w:p>
        </w:tc>
        <w:tc>
          <w:tcPr>
            <w:tcW w:w="405" w:type="pct"/>
            <w:shd w:val="clear" w:color="auto" w:fill="auto"/>
            <w:vAlign w:val="center"/>
          </w:tcPr>
          <w:p w14:paraId="52EA0B0E">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w:t>
            </w:r>
          </w:p>
        </w:tc>
        <w:tc>
          <w:tcPr>
            <w:tcW w:w="405" w:type="pct"/>
            <w:shd w:val="clear" w:color="auto" w:fill="auto"/>
            <w:vAlign w:val="center"/>
          </w:tcPr>
          <w:p w14:paraId="77B6EE53">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w:t>
            </w:r>
          </w:p>
        </w:tc>
        <w:tc>
          <w:tcPr>
            <w:tcW w:w="304" w:type="pct"/>
            <w:shd w:val="clear" w:color="auto" w:fill="auto"/>
            <w:vAlign w:val="center"/>
          </w:tcPr>
          <w:p w14:paraId="3FE1E8FA">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8.62</w:t>
            </w:r>
          </w:p>
        </w:tc>
        <w:tc>
          <w:tcPr>
            <w:tcW w:w="405" w:type="pct"/>
            <w:shd w:val="clear" w:color="auto" w:fill="auto"/>
            <w:vAlign w:val="center"/>
          </w:tcPr>
          <w:p w14:paraId="58B39E5A">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w:t>
            </w:r>
          </w:p>
        </w:tc>
        <w:tc>
          <w:tcPr>
            <w:tcW w:w="405" w:type="pct"/>
            <w:shd w:val="clear" w:color="auto" w:fill="auto"/>
            <w:vAlign w:val="center"/>
          </w:tcPr>
          <w:p w14:paraId="7DCED33C">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w:t>
            </w:r>
          </w:p>
        </w:tc>
        <w:tc>
          <w:tcPr>
            <w:tcW w:w="355" w:type="pct"/>
            <w:shd w:val="clear" w:color="auto" w:fill="auto"/>
            <w:vAlign w:val="center"/>
          </w:tcPr>
          <w:p w14:paraId="028A9E42">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8.69</w:t>
            </w:r>
          </w:p>
        </w:tc>
        <w:tc>
          <w:tcPr>
            <w:tcW w:w="456" w:type="pct"/>
            <w:shd w:val="clear" w:color="auto" w:fill="auto"/>
            <w:vAlign w:val="center"/>
          </w:tcPr>
          <w:p w14:paraId="1AE60E64">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w:t>
            </w:r>
          </w:p>
        </w:tc>
        <w:tc>
          <w:tcPr>
            <w:tcW w:w="392" w:type="pct"/>
            <w:shd w:val="clear" w:color="auto" w:fill="auto"/>
            <w:vAlign w:val="center"/>
          </w:tcPr>
          <w:p w14:paraId="06C2BF97">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w:t>
            </w:r>
          </w:p>
        </w:tc>
      </w:tr>
      <w:tr w14:paraId="5204056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2" w:type="pct"/>
            <w:shd w:val="clear" w:color="auto" w:fill="auto"/>
            <w:vAlign w:val="center"/>
          </w:tcPr>
          <w:p w14:paraId="4E1B14FD">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10</w:t>
            </w:r>
          </w:p>
        </w:tc>
        <w:tc>
          <w:tcPr>
            <w:tcW w:w="558" w:type="pct"/>
            <w:shd w:val="clear" w:color="auto" w:fill="auto"/>
            <w:vAlign w:val="center"/>
          </w:tcPr>
          <w:p w14:paraId="0001044F">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土壤盐分含量</w:t>
            </w:r>
          </w:p>
        </w:tc>
        <w:tc>
          <w:tcPr>
            <w:tcW w:w="455" w:type="pct"/>
            <w:shd w:val="clear" w:color="auto" w:fill="auto"/>
            <w:vAlign w:val="center"/>
          </w:tcPr>
          <w:p w14:paraId="420EE85F">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w:t>
            </w:r>
          </w:p>
        </w:tc>
        <w:tc>
          <w:tcPr>
            <w:tcW w:w="354" w:type="pct"/>
            <w:shd w:val="clear" w:color="auto" w:fill="auto"/>
            <w:vAlign w:val="center"/>
          </w:tcPr>
          <w:p w14:paraId="50F55BA7">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g/kg</w:t>
            </w:r>
          </w:p>
        </w:tc>
        <w:tc>
          <w:tcPr>
            <w:tcW w:w="304" w:type="pct"/>
            <w:shd w:val="clear" w:color="auto" w:fill="auto"/>
            <w:vAlign w:val="center"/>
          </w:tcPr>
          <w:p w14:paraId="6FCA06E2">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19</w:t>
            </w:r>
          </w:p>
        </w:tc>
        <w:tc>
          <w:tcPr>
            <w:tcW w:w="405" w:type="pct"/>
            <w:shd w:val="clear" w:color="auto" w:fill="auto"/>
            <w:vAlign w:val="center"/>
          </w:tcPr>
          <w:p w14:paraId="3476F78D">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w:t>
            </w:r>
          </w:p>
        </w:tc>
        <w:tc>
          <w:tcPr>
            <w:tcW w:w="405" w:type="pct"/>
            <w:shd w:val="clear" w:color="auto" w:fill="auto"/>
            <w:vAlign w:val="center"/>
          </w:tcPr>
          <w:p w14:paraId="5303A1FB">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w:t>
            </w:r>
          </w:p>
        </w:tc>
        <w:tc>
          <w:tcPr>
            <w:tcW w:w="304" w:type="pct"/>
            <w:shd w:val="clear" w:color="auto" w:fill="auto"/>
            <w:vAlign w:val="center"/>
          </w:tcPr>
          <w:p w14:paraId="4D69F825">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5.4</w:t>
            </w:r>
          </w:p>
        </w:tc>
        <w:tc>
          <w:tcPr>
            <w:tcW w:w="405" w:type="pct"/>
            <w:shd w:val="clear" w:color="auto" w:fill="auto"/>
            <w:vAlign w:val="center"/>
          </w:tcPr>
          <w:p w14:paraId="756174BC">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w:t>
            </w:r>
          </w:p>
        </w:tc>
        <w:tc>
          <w:tcPr>
            <w:tcW w:w="405" w:type="pct"/>
            <w:shd w:val="clear" w:color="auto" w:fill="auto"/>
            <w:vAlign w:val="center"/>
          </w:tcPr>
          <w:p w14:paraId="36C85392">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w:t>
            </w:r>
          </w:p>
        </w:tc>
        <w:tc>
          <w:tcPr>
            <w:tcW w:w="355" w:type="pct"/>
            <w:shd w:val="clear" w:color="auto" w:fill="auto"/>
            <w:vAlign w:val="center"/>
          </w:tcPr>
          <w:p w14:paraId="3E3AEADF">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43.1</w:t>
            </w:r>
          </w:p>
        </w:tc>
        <w:tc>
          <w:tcPr>
            <w:tcW w:w="456" w:type="pct"/>
            <w:shd w:val="clear" w:color="auto" w:fill="auto"/>
            <w:vAlign w:val="center"/>
          </w:tcPr>
          <w:p w14:paraId="755136E3">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w:t>
            </w:r>
          </w:p>
        </w:tc>
        <w:tc>
          <w:tcPr>
            <w:tcW w:w="392" w:type="pct"/>
            <w:shd w:val="clear" w:color="auto" w:fill="auto"/>
            <w:vAlign w:val="center"/>
          </w:tcPr>
          <w:p w14:paraId="47B3A66A">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w:t>
            </w:r>
          </w:p>
        </w:tc>
      </w:tr>
      <w:tr w14:paraId="3ED0242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2" w:type="pct"/>
            <w:shd w:val="clear" w:color="auto" w:fill="auto"/>
            <w:vAlign w:val="center"/>
          </w:tcPr>
          <w:p w14:paraId="7F501289">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8</w:t>
            </w:r>
          </w:p>
        </w:tc>
        <w:tc>
          <w:tcPr>
            <w:tcW w:w="558" w:type="pct"/>
            <w:shd w:val="clear" w:color="auto" w:fill="auto"/>
            <w:vAlign w:val="center"/>
          </w:tcPr>
          <w:p w14:paraId="3DE414F8">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石油烃</w:t>
            </w:r>
          </w:p>
        </w:tc>
        <w:tc>
          <w:tcPr>
            <w:tcW w:w="455" w:type="pct"/>
            <w:shd w:val="clear" w:color="auto" w:fill="auto"/>
            <w:vAlign w:val="center"/>
          </w:tcPr>
          <w:p w14:paraId="72054A07">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4500</w:t>
            </w:r>
          </w:p>
        </w:tc>
        <w:tc>
          <w:tcPr>
            <w:tcW w:w="354" w:type="pct"/>
            <w:shd w:val="clear" w:color="auto" w:fill="auto"/>
            <w:vAlign w:val="center"/>
          </w:tcPr>
          <w:p w14:paraId="4FF5E9E0">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mg/kg</w:t>
            </w:r>
          </w:p>
        </w:tc>
        <w:tc>
          <w:tcPr>
            <w:tcW w:w="304" w:type="pct"/>
            <w:shd w:val="clear" w:color="auto" w:fill="auto"/>
            <w:vAlign w:val="center"/>
          </w:tcPr>
          <w:p w14:paraId="281A0F9E">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21</w:t>
            </w:r>
          </w:p>
        </w:tc>
        <w:tc>
          <w:tcPr>
            <w:tcW w:w="405" w:type="pct"/>
            <w:shd w:val="clear" w:color="auto" w:fill="auto"/>
            <w:vAlign w:val="center"/>
          </w:tcPr>
          <w:p w14:paraId="0AD5E0B1">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0.0047</w:t>
            </w:r>
          </w:p>
        </w:tc>
        <w:tc>
          <w:tcPr>
            <w:tcW w:w="405" w:type="pct"/>
            <w:shd w:val="clear" w:color="auto" w:fill="auto"/>
            <w:vAlign w:val="center"/>
          </w:tcPr>
          <w:p w14:paraId="4A1993EF">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达标</w:t>
            </w:r>
          </w:p>
        </w:tc>
        <w:tc>
          <w:tcPr>
            <w:tcW w:w="304" w:type="pct"/>
            <w:shd w:val="clear" w:color="auto" w:fill="auto"/>
            <w:vAlign w:val="center"/>
          </w:tcPr>
          <w:p w14:paraId="524D030D">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11</w:t>
            </w:r>
          </w:p>
        </w:tc>
        <w:tc>
          <w:tcPr>
            <w:tcW w:w="405" w:type="pct"/>
            <w:shd w:val="clear" w:color="auto" w:fill="auto"/>
            <w:vAlign w:val="center"/>
          </w:tcPr>
          <w:p w14:paraId="6F7AF1A5">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0.0024</w:t>
            </w:r>
          </w:p>
        </w:tc>
        <w:tc>
          <w:tcPr>
            <w:tcW w:w="405" w:type="pct"/>
            <w:shd w:val="clear" w:color="auto" w:fill="auto"/>
            <w:vAlign w:val="center"/>
          </w:tcPr>
          <w:p w14:paraId="5A9544AB">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达标</w:t>
            </w:r>
          </w:p>
        </w:tc>
        <w:tc>
          <w:tcPr>
            <w:tcW w:w="355" w:type="pct"/>
            <w:shd w:val="clear" w:color="auto" w:fill="auto"/>
            <w:vAlign w:val="center"/>
          </w:tcPr>
          <w:p w14:paraId="2B784C88">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7</w:t>
            </w:r>
          </w:p>
        </w:tc>
        <w:tc>
          <w:tcPr>
            <w:tcW w:w="456" w:type="pct"/>
            <w:shd w:val="clear" w:color="auto" w:fill="auto"/>
            <w:vAlign w:val="center"/>
          </w:tcPr>
          <w:p w14:paraId="411CD346">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0.0016</w:t>
            </w:r>
          </w:p>
        </w:tc>
        <w:tc>
          <w:tcPr>
            <w:tcW w:w="392" w:type="pct"/>
            <w:shd w:val="clear" w:color="auto" w:fill="auto"/>
            <w:vAlign w:val="center"/>
          </w:tcPr>
          <w:p w14:paraId="09E2046B">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达标</w:t>
            </w:r>
          </w:p>
        </w:tc>
      </w:tr>
      <w:tr w14:paraId="190E15D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2" w:type="pct"/>
            <w:shd w:val="clear" w:color="auto" w:fill="auto"/>
            <w:vAlign w:val="center"/>
          </w:tcPr>
          <w:p w14:paraId="52070D15">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11</w:t>
            </w:r>
          </w:p>
        </w:tc>
        <w:tc>
          <w:tcPr>
            <w:tcW w:w="558" w:type="pct"/>
            <w:shd w:val="clear" w:color="auto" w:fill="auto"/>
            <w:vAlign w:val="center"/>
          </w:tcPr>
          <w:p w14:paraId="738DCB92">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铬</w:t>
            </w:r>
          </w:p>
        </w:tc>
        <w:tc>
          <w:tcPr>
            <w:tcW w:w="455" w:type="pct"/>
            <w:shd w:val="clear" w:color="auto" w:fill="auto"/>
            <w:vAlign w:val="center"/>
          </w:tcPr>
          <w:p w14:paraId="21C7A44A">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250</w:t>
            </w:r>
          </w:p>
        </w:tc>
        <w:tc>
          <w:tcPr>
            <w:tcW w:w="354" w:type="pct"/>
            <w:shd w:val="clear" w:color="auto" w:fill="auto"/>
            <w:vAlign w:val="center"/>
          </w:tcPr>
          <w:p w14:paraId="02F6754A">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mg/kg</w:t>
            </w:r>
          </w:p>
        </w:tc>
        <w:tc>
          <w:tcPr>
            <w:tcW w:w="304" w:type="pct"/>
            <w:shd w:val="clear" w:color="auto" w:fill="auto"/>
            <w:vAlign w:val="center"/>
          </w:tcPr>
          <w:p w14:paraId="43FE5985">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56</w:t>
            </w:r>
          </w:p>
        </w:tc>
        <w:tc>
          <w:tcPr>
            <w:tcW w:w="405" w:type="pct"/>
            <w:shd w:val="clear" w:color="auto" w:fill="auto"/>
            <w:vAlign w:val="center"/>
          </w:tcPr>
          <w:p w14:paraId="0FBD21A8">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0.2240</w:t>
            </w:r>
          </w:p>
        </w:tc>
        <w:tc>
          <w:tcPr>
            <w:tcW w:w="405" w:type="pct"/>
            <w:shd w:val="clear" w:color="auto" w:fill="auto"/>
            <w:vAlign w:val="center"/>
          </w:tcPr>
          <w:p w14:paraId="65C0E872">
            <w:pPr>
              <w:widowControl/>
              <w:jc w:val="center"/>
              <w:rPr>
                <w:rFonts w:hint="eastAsia" w:ascii="宋体" w:hAnsi="宋体" w:cs="宋体"/>
                <w:color w:val="000000" w:themeColor="text1"/>
                <w:kern w:val="0"/>
                <w:szCs w:val="21"/>
                <w14:textFill>
                  <w14:solidFill>
                    <w14:schemeClr w14:val="tx1"/>
                  </w14:solidFill>
                </w14:textFill>
              </w:rPr>
            </w:pPr>
          </w:p>
        </w:tc>
        <w:tc>
          <w:tcPr>
            <w:tcW w:w="304" w:type="pct"/>
            <w:shd w:val="clear" w:color="auto" w:fill="auto"/>
            <w:vAlign w:val="center"/>
          </w:tcPr>
          <w:p w14:paraId="34A24305">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w:t>
            </w:r>
          </w:p>
        </w:tc>
        <w:tc>
          <w:tcPr>
            <w:tcW w:w="405" w:type="pct"/>
            <w:shd w:val="clear" w:color="auto" w:fill="auto"/>
            <w:vAlign w:val="center"/>
          </w:tcPr>
          <w:p w14:paraId="4FF1D5FB">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w:t>
            </w:r>
          </w:p>
        </w:tc>
        <w:tc>
          <w:tcPr>
            <w:tcW w:w="405" w:type="pct"/>
            <w:shd w:val="clear" w:color="auto" w:fill="auto"/>
            <w:vAlign w:val="center"/>
          </w:tcPr>
          <w:p w14:paraId="0BAADCBF">
            <w:pPr>
              <w:widowControl/>
              <w:jc w:val="center"/>
              <w:rPr>
                <w:rFonts w:hint="eastAsia" w:ascii="宋体" w:hAnsi="宋体" w:cs="宋体"/>
                <w:color w:val="000000" w:themeColor="text1"/>
                <w:kern w:val="0"/>
                <w:szCs w:val="21"/>
                <w14:textFill>
                  <w14:solidFill>
                    <w14:schemeClr w14:val="tx1"/>
                  </w14:solidFill>
                </w14:textFill>
              </w:rPr>
            </w:pPr>
          </w:p>
        </w:tc>
        <w:tc>
          <w:tcPr>
            <w:tcW w:w="355" w:type="pct"/>
            <w:shd w:val="clear" w:color="auto" w:fill="auto"/>
            <w:vAlign w:val="center"/>
          </w:tcPr>
          <w:p w14:paraId="34E347B4">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37</w:t>
            </w:r>
          </w:p>
        </w:tc>
        <w:tc>
          <w:tcPr>
            <w:tcW w:w="456" w:type="pct"/>
            <w:shd w:val="clear" w:color="auto" w:fill="auto"/>
            <w:vAlign w:val="center"/>
          </w:tcPr>
          <w:p w14:paraId="0E42A6B3">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0.1480</w:t>
            </w:r>
          </w:p>
        </w:tc>
        <w:tc>
          <w:tcPr>
            <w:tcW w:w="392" w:type="pct"/>
            <w:shd w:val="clear" w:color="auto" w:fill="auto"/>
            <w:vAlign w:val="center"/>
          </w:tcPr>
          <w:p w14:paraId="2E01E07E">
            <w:pPr>
              <w:widowControl/>
              <w:jc w:val="center"/>
              <w:rPr>
                <w:rFonts w:hint="eastAsia" w:ascii="宋体" w:hAnsi="宋体" w:cs="宋体"/>
                <w:color w:val="000000" w:themeColor="text1"/>
                <w:kern w:val="0"/>
                <w:szCs w:val="21"/>
                <w14:textFill>
                  <w14:solidFill>
                    <w14:schemeClr w14:val="tx1"/>
                  </w14:solidFill>
                </w14:textFill>
              </w:rPr>
            </w:pPr>
          </w:p>
        </w:tc>
      </w:tr>
      <w:tr w14:paraId="5CF9DEB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2" w:type="pct"/>
            <w:shd w:val="clear" w:color="auto" w:fill="auto"/>
            <w:vAlign w:val="center"/>
          </w:tcPr>
          <w:p w14:paraId="4C68D1AA">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12</w:t>
            </w:r>
          </w:p>
        </w:tc>
        <w:tc>
          <w:tcPr>
            <w:tcW w:w="558" w:type="pct"/>
            <w:shd w:val="clear" w:color="auto" w:fill="auto"/>
            <w:vAlign w:val="center"/>
          </w:tcPr>
          <w:p w14:paraId="6C404A8F">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锌</w:t>
            </w:r>
          </w:p>
        </w:tc>
        <w:tc>
          <w:tcPr>
            <w:tcW w:w="455" w:type="pct"/>
            <w:shd w:val="clear" w:color="auto" w:fill="auto"/>
            <w:vAlign w:val="center"/>
          </w:tcPr>
          <w:p w14:paraId="79794E0D">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300</w:t>
            </w:r>
          </w:p>
        </w:tc>
        <w:tc>
          <w:tcPr>
            <w:tcW w:w="354" w:type="pct"/>
            <w:shd w:val="clear" w:color="auto" w:fill="auto"/>
            <w:vAlign w:val="center"/>
          </w:tcPr>
          <w:p w14:paraId="3DB43D89">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mg/kg</w:t>
            </w:r>
          </w:p>
        </w:tc>
        <w:tc>
          <w:tcPr>
            <w:tcW w:w="304" w:type="pct"/>
            <w:shd w:val="clear" w:color="auto" w:fill="auto"/>
            <w:vAlign w:val="center"/>
          </w:tcPr>
          <w:p w14:paraId="46A99180">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40</w:t>
            </w:r>
          </w:p>
        </w:tc>
        <w:tc>
          <w:tcPr>
            <w:tcW w:w="405" w:type="pct"/>
            <w:shd w:val="clear" w:color="auto" w:fill="auto"/>
            <w:vAlign w:val="center"/>
          </w:tcPr>
          <w:p w14:paraId="723FC871">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0.1333</w:t>
            </w:r>
          </w:p>
        </w:tc>
        <w:tc>
          <w:tcPr>
            <w:tcW w:w="405" w:type="pct"/>
            <w:shd w:val="clear" w:color="auto" w:fill="auto"/>
            <w:vAlign w:val="center"/>
          </w:tcPr>
          <w:p w14:paraId="13F99B4D">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达标</w:t>
            </w:r>
          </w:p>
        </w:tc>
        <w:tc>
          <w:tcPr>
            <w:tcW w:w="304" w:type="pct"/>
            <w:shd w:val="clear" w:color="auto" w:fill="auto"/>
            <w:vAlign w:val="center"/>
          </w:tcPr>
          <w:p w14:paraId="69C7A360">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w:t>
            </w:r>
          </w:p>
        </w:tc>
        <w:tc>
          <w:tcPr>
            <w:tcW w:w="405" w:type="pct"/>
            <w:shd w:val="clear" w:color="auto" w:fill="auto"/>
            <w:vAlign w:val="center"/>
          </w:tcPr>
          <w:p w14:paraId="2AD381E1">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w:t>
            </w:r>
          </w:p>
        </w:tc>
        <w:tc>
          <w:tcPr>
            <w:tcW w:w="405" w:type="pct"/>
            <w:shd w:val="clear" w:color="auto" w:fill="auto"/>
            <w:vAlign w:val="center"/>
          </w:tcPr>
          <w:p w14:paraId="0F2A4CB7">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达标</w:t>
            </w:r>
          </w:p>
        </w:tc>
        <w:tc>
          <w:tcPr>
            <w:tcW w:w="355" w:type="pct"/>
            <w:shd w:val="clear" w:color="auto" w:fill="auto"/>
            <w:vAlign w:val="center"/>
          </w:tcPr>
          <w:p w14:paraId="64CDAFE4">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30</w:t>
            </w:r>
          </w:p>
        </w:tc>
        <w:tc>
          <w:tcPr>
            <w:tcW w:w="456" w:type="pct"/>
            <w:shd w:val="clear" w:color="auto" w:fill="auto"/>
            <w:vAlign w:val="center"/>
          </w:tcPr>
          <w:p w14:paraId="41E1AC7F">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0.1000</w:t>
            </w:r>
          </w:p>
        </w:tc>
        <w:tc>
          <w:tcPr>
            <w:tcW w:w="392" w:type="pct"/>
            <w:shd w:val="clear" w:color="auto" w:fill="auto"/>
            <w:vAlign w:val="center"/>
          </w:tcPr>
          <w:p w14:paraId="09A368D8">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达标</w:t>
            </w:r>
          </w:p>
        </w:tc>
      </w:tr>
      <w:tr w14:paraId="29D2BB9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2" w:type="pct"/>
            <w:vMerge w:val="restart"/>
            <w:shd w:val="clear" w:color="auto" w:fill="auto"/>
            <w:vAlign w:val="center"/>
          </w:tcPr>
          <w:p w14:paraId="78E2E24E">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序号</w:t>
            </w:r>
          </w:p>
        </w:tc>
        <w:tc>
          <w:tcPr>
            <w:tcW w:w="558" w:type="pct"/>
            <w:vMerge w:val="restart"/>
            <w:shd w:val="clear" w:color="auto" w:fill="auto"/>
            <w:vAlign w:val="center"/>
          </w:tcPr>
          <w:p w14:paraId="3310CEE3">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名称</w:t>
            </w:r>
          </w:p>
        </w:tc>
        <w:tc>
          <w:tcPr>
            <w:tcW w:w="455" w:type="pct"/>
            <w:vMerge w:val="restart"/>
            <w:shd w:val="clear" w:color="auto" w:fill="auto"/>
            <w:vAlign w:val="center"/>
          </w:tcPr>
          <w:p w14:paraId="26DD9A61">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标准限值（mg/kg）</w:t>
            </w:r>
          </w:p>
        </w:tc>
        <w:tc>
          <w:tcPr>
            <w:tcW w:w="354" w:type="pct"/>
            <w:vMerge w:val="restart"/>
            <w:shd w:val="clear" w:color="auto" w:fill="auto"/>
            <w:vAlign w:val="center"/>
          </w:tcPr>
          <w:p w14:paraId="1E7852C2">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监测值单位</w:t>
            </w:r>
          </w:p>
        </w:tc>
        <w:tc>
          <w:tcPr>
            <w:tcW w:w="1114" w:type="pct"/>
            <w:gridSpan w:val="3"/>
            <w:shd w:val="clear" w:color="auto" w:fill="auto"/>
            <w:vAlign w:val="center"/>
          </w:tcPr>
          <w:p w14:paraId="090B95F3">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T14(0m～0.2m)</w:t>
            </w:r>
          </w:p>
        </w:tc>
        <w:tc>
          <w:tcPr>
            <w:tcW w:w="1113" w:type="pct"/>
            <w:gridSpan w:val="3"/>
            <w:shd w:val="clear" w:color="auto" w:fill="auto"/>
            <w:vAlign w:val="center"/>
          </w:tcPr>
          <w:p w14:paraId="1C844AF8">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T15(0m～0.2m)</w:t>
            </w:r>
          </w:p>
        </w:tc>
        <w:tc>
          <w:tcPr>
            <w:tcW w:w="1203" w:type="pct"/>
            <w:gridSpan w:val="3"/>
            <w:shd w:val="clear" w:color="auto" w:fill="auto"/>
            <w:vAlign w:val="center"/>
          </w:tcPr>
          <w:p w14:paraId="1A3CCEB5">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T16(0m～0.2m)</w:t>
            </w:r>
          </w:p>
        </w:tc>
      </w:tr>
      <w:tr w14:paraId="68C2C35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2" w:type="pct"/>
            <w:vMerge w:val="continue"/>
            <w:vAlign w:val="center"/>
          </w:tcPr>
          <w:p w14:paraId="14734E6C">
            <w:pPr>
              <w:widowControl/>
              <w:jc w:val="center"/>
              <w:rPr>
                <w:rFonts w:hint="eastAsia" w:ascii="宋体" w:hAnsi="宋体" w:cs="宋体"/>
                <w:color w:val="000000" w:themeColor="text1"/>
                <w:kern w:val="0"/>
                <w:szCs w:val="21"/>
                <w14:textFill>
                  <w14:solidFill>
                    <w14:schemeClr w14:val="tx1"/>
                  </w14:solidFill>
                </w14:textFill>
              </w:rPr>
            </w:pPr>
          </w:p>
        </w:tc>
        <w:tc>
          <w:tcPr>
            <w:tcW w:w="558" w:type="pct"/>
            <w:vMerge w:val="continue"/>
            <w:vAlign w:val="center"/>
          </w:tcPr>
          <w:p w14:paraId="2694526A">
            <w:pPr>
              <w:widowControl/>
              <w:jc w:val="center"/>
              <w:rPr>
                <w:rFonts w:hint="eastAsia" w:ascii="宋体" w:hAnsi="宋体" w:cs="宋体"/>
                <w:color w:val="000000" w:themeColor="text1"/>
                <w:kern w:val="0"/>
                <w:szCs w:val="21"/>
                <w14:textFill>
                  <w14:solidFill>
                    <w14:schemeClr w14:val="tx1"/>
                  </w14:solidFill>
                </w14:textFill>
              </w:rPr>
            </w:pPr>
          </w:p>
        </w:tc>
        <w:tc>
          <w:tcPr>
            <w:tcW w:w="455" w:type="pct"/>
            <w:vMerge w:val="continue"/>
            <w:vAlign w:val="center"/>
          </w:tcPr>
          <w:p w14:paraId="232A636F">
            <w:pPr>
              <w:widowControl/>
              <w:jc w:val="center"/>
              <w:rPr>
                <w:rFonts w:hint="eastAsia" w:ascii="宋体" w:hAnsi="宋体" w:cs="宋体"/>
                <w:color w:val="000000" w:themeColor="text1"/>
                <w:kern w:val="0"/>
                <w:szCs w:val="21"/>
                <w14:textFill>
                  <w14:solidFill>
                    <w14:schemeClr w14:val="tx1"/>
                  </w14:solidFill>
                </w14:textFill>
              </w:rPr>
            </w:pPr>
          </w:p>
        </w:tc>
        <w:tc>
          <w:tcPr>
            <w:tcW w:w="354" w:type="pct"/>
            <w:vMerge w:val="continue"/>
            <w:vAlign w:val="center"/>
          </w:tcPr>
          <w:p w14:paraId="2C355245">
            <w:pPr>
              <w:widowControl/>
              <w:jc w:val="center"/>
              <w:rPr>
                <w:rFonts w:hint="eastAsia" w:ascii="宋体" w:hAnsi="宋体" w:cs="宋体"/>
                <w:color w:val="000000" w:themeColor="text1"/>
                <w:kern w:val="0"/>
                <w:szCs w:val="21"/>
                <w14:textFill>
                  <w14:solidFill>
                    <w14:schemeClr w14:val="tx1"/>
                  </w14:solidFill>
                </w14:textFill>
              </w:rPr>
            </w:pPr>
          </w:p>
        </w:tc>
        <w:tc>
          <w:tcPr>
            <w:tcW w:w="304" w:type="pct"/>
            <w:shd w:val="clear" w:color="auto" w:fill="auto"/>
            <w:vAlign w:val="center"/>
          </w:tcPr>
          <w:p w14:paraId="14A1FCB5">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监测值</w:t>
            </w:r>
          </w:p>
        </w:tc>
        <w:tc>
          <w:tcPr>
            <w:tcW w:w="405" w:type="pct"/>
            <w:shd w:val="clear" w:color="auto" w:fill="auto"/>
            <w:vAlign w:val="center"/>
          </w:tcPr>
          <w:p w14:paraId="256864DA">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标准指数</w:t>
            </w:r>
          </w:p>
        </w:tc>
        <w:tc>
          <w:tcPr>
            <w:tcW w:w="405" w:type="pct"/>
            <w:shd w:val="clear" w:color="auto" w:fill="auto"/>
            <w:vAlign w:val="center"/>
          </w:tcPr>
          <w:p w14:paraId="30F1C268">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达标情况</w:t>
            </w:r>
          </w:p>
        </w:tc>
        <w:tc>
          <w:tcPr>
            <w:tcW w:w="304" w:type="pct"/>
            <w:shd w:val="clear" w:color="auto" w:fill="auto"/>
            <w:vAlign w:val="center"/>
          </w:tcPr>
          <w:p w14:paraId="45BBE6FF">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监测值</w:t>
            </w:r>
          </w:p>
        </w:tc>
        <w:tc>
          <w:tcPr>
            <w:tcW w:w="405" w:type="pct"/>
            <w:shd w:val="clear" w:color="auto" w:fill="auto"/>
            <w:vAlign w:val="center"/>
          </w:tcPr>
          <w:p w14:paraId="5499AEF6">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标准指数</w:t>
            </w:r>
          </w:p>
        </w:tc>
        <w:tc>
          <w:tcPr>
            <w:tcW w:w="405" w:type="pct"/>
            <w:shd w:val="clear" w:color="auto" w:fill="auto"/>
            <w:vAlign w:val="center"/>
          </w:tcPr>
          <w:p w14:paraId="26D9E38B">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达标情况</w:t>
            </w:r>
          </w:p>
        </w:tc>
        <w:tc>
          <w:tcPr>
            <w:tcW w:w="355" w:type="pct"/>
            <w:shd w:val="clear" w:color="auto" w:fill="auto"/>
            <w:vAlign w:val="center"/>
          </w:tcPr>
          <w:p w14:paraId="0FFB0C9D">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监测值</w:t>
            </w:r>
          </w:p>
        </w:tc>
        <w:tc>
          <w:tcPr>
            <w:tcW w:w="456" w:type="pct"/>
            <w:shd w:val="clear" w:color="auto" w:fill="auto"/>
            <w:vAlign w:val="center"/>
          </w:tcPr>
          <w:p w14:paraId="2D1F9098">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标准指数</w:t>
            </w:r>
          </w:p>
        </w:tc>
        <w:tc>
          <w:tcPr>
            <w:tcW w:w="392" w:type="pct"/>
            <w:shd w:val="clear" w:color="auto" w:fill="auto"/>
            <w:vAlign w:val="center"/>
          </w:tcPr>
          <w:p w14:paraId="2EFADB7B">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达标情况</w:t>
            </w:r>
          </w:p>
        </w:tc>
      </w:tr>
      <w:tr w14:paraId="3C6903D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2" w:type="pct"/>
            <w:shd w:val="clear" w:color="auto" w:fill="auto"/>
            <w:vAlign w:val="center"/>
          </w:tcPr>
          <w:p w14:paraId="12CDC425">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1</w:t>
            </w:r>
          </w:p>
        </w:tc>
        <w:tc>
          <w:tcPr>
            <w:tcW w:w="558" w:type="pct"/>
            <w:shd w:val="clear" w:color="auto" w:fill="auto"/>
            <w:vAlign w:val="center"/>
          </w:tcPr>
          <w:p w14:paraId="7AEA6E7E">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汞</w:t>
            </w:r>
          </w:p>
        </w:tc>
        <w:tc>
          <w:tcPr>
            <w:tcW w:w="455" w:type="pct"/>
            <w:shd w:val="clear" w:color="auto" w:fill="auto"/>
            <w:vAlign w:val="center"/>
          </w:tcPr>
          <w:p w14:paraId="0E9DDAAD">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3.4</w:t>
            </w:r>
          </w:p>
        </w:tc>
        <w:tc>
          <w:tcPr>
            <w:tcW w:w="354" w:type="pct"/>
            <w:shd w:val="clear" w:color="auto" w:fill="auto"/>
            <w:vAlign w:val="center"/>
          </w:tcPr>
          <w:p w14:paraId="58DADEE9">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mg/kg</w:t>
            </w:r>
          </w:p>
        </w:tc>
        <w:tc>
          <w:tcPr>
            <w:tcW w:w="304" w:type="pct"/>
            <w:shd w:val="clear" w:color="auto" w:fill="auto"/>
            <w:vAlign w:val="center"/>
          </w:tcPr>
          <w:p w14:paraId="5FA67619">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0.019</w:t>
            </w:r>
          </w:p>
        </w:tc>
        <w:tc>
          <w:tcPr>
            <w:tcW w:w="405" w:type="pct"/>
            <w:shd w:val="clear" w:color="auto" w:fill="auto"/>
            <w:vAlign w:val="center"/>
          </w:tcPr>
          <w:p w14:paraId="100D74AD">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0.0056</w:t>
            </w:r>
          </w:p>
        </w:tc>
        <w:tc>
          <w:tcPr>
            <w:tcW w:w="405" w:type="pct"/>
            <w:shd w:val="clear" w:color="auto" w:fill="auto"/>
            <w:vAlign w:val="center"/>
          </w:tcPr>
          <w:p w14:paraId="6F41D149">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达标</w:t>
            </w:r>
          </w:p>
        </w:tc>
        <w:tc>
          <w:tcPr>
            <w:tcW w:w="304" w:type="pct"/>
            <w:shd w:val="clear" w:color="auto" w:fill="auto"/>
            <w:vAlign w:val="center"/>
          </w:tcPr>
          <w:p w14:paraId="4B06BF73">
            <w:pPr>
              <w:widowControl/>
              <w:jc w:val="center"/>
              <w:rPr>
                <w:rFonts w:cs="Calibri"/>
                <w:color w:val="000000" w:themeColor="text1"/>
                <w:kern w:val="0"/>
                <w:szCs w:val="21"/>
                <w14:textFill>
                  <w14:solidFill>
                    <w14:schemeClr w14:val="tx1"/>
                  </w14:solidFill>
                </w14:textFill>
              </w:rPr>
            </w:pPr>
            <w:r>
              <w:rPr>
                <w:rFonts w:cs="Calibri"/>
                <w:color w:val="000000" w:themeColor="text1"/>
                <w:kern w:val="0"/>
                <w:szCs w:val="21"/>
                <w14:textFill>
                  <w14:solidFill>
                    <w14:schemeClr w14:val="tx1"/>
                  </w14:solidFill>
                </w14:textFill>
              </w:rPr>
              <w:t>0.02</w:t>
            </w:r>
          </w:p>
        </w:tc>
        <w:tc>
          <w:tcPr>
            <w:tcW w:w="405" w:type="pct"/>
            <w:shd w:val="clear" w:color="auto" w:fill="auto"/>
            <w:vAlign w:val="center"/>
          </w:tcPr>
          <w:p w14:paraId="5CEB8833">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0.0059</w:t>
            </w:r>
          </w:p>
        </w:tc>
        <w:tc>
          <w:tcPr>
            <w:tcW w:w="405" w:type="pct"/>
            <w:shd w:val="clear" w:color="auto" w:fill="auto"/>
            <w:vAlign w:val="center"/>
          </w:tcPr>
          <w:p w14:paraId="52D4FC2B">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达标</w:t>
            </w:r>
          </w:p>
        </w:tc>
        <w:tc>
          <w:tcPr>
            <w:tcW w:w="355" w:type="pct"/>
            <w:shd w:val="clear" w:color="auto" w:fill="auto"/>
            <w:vAlign w:val="center"/>
          </w:tcPr>
          <w:p w14:paraId="4FDAF030">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0.018</w:t>
            </w:r>
          </w:p>
        </w:tc>
        <w:tc>
          <w:tcPr>
            <w:tcW w:w="456" w:type="pct"/>
            <w:shd w:val="clear" w:color="auto" w:fill="auto"/>
            <w:vAlign w:val="center"/>
          </w:tcPr>
          <w:p w14:paraId="1D3D30DD">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0.0053</w:t>
            </w:r>
          </w:p>
        </w:tc>
        <w:tc>
          <w:tcPr>
            <w:tcW w:w="392" w:type="pct"/>
            <w:shd w:val="clear" w:color="auto" w:fill="auto"/>
            <w:vAlign w:val="center"/>
          </w:tcPr>
          <w:p w14:paraId="4F885671">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达标</w:t>
            </w:r>
          </w:p>
        </w:tc>
      </w:tr>
      <w:tr w14:paraId="4F0238B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2" w:type="pct"/>
            <w:shd w:val="clear" w:color="auto" w:fill="auto"/>
            <w:vAlign w:val="center"/>
          </w:tcPr>
          <w:p w14:paraId="23C44FCE">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2</w:t>
            </w:r>
          </w:p>
        </w:tc>
        <w:tc>
          <w:tcPr>
            <w:tcW w:w="558" w:type="pct"/>
            <w:shd w:val="clear" w:color="auto" w:fill="auto"/>
            <w:vAlign w:val="center"/>
          </w:tcPr>
          <w:p w14:paraId="3D36545F">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砷</w:t>
            </w:r>
          </w:p>
        </w:tc>
        <w:tc>
          <w:tcPr>
            <w:tcW w:w="455" w:type="pct"/>
            <w:shd w:val="clear" w:color="auto" w:fill="auto"/>
            <w:vAlign w:val="center"/>
          </w:tcPr>
          <w:p w14:paraId="684FA5BD">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25</w:t>
            </w:r>
          </w:p>
        </w:tc>
        <w:tc>
          <w:tcPr>
            <w:tcW w:w="354" w:type="pct"/>
            <w:shd w:val="clear" w:color="auto" w:fill="auto"/>
            <w:vAlign w:val="center"/>
          </w:tcPr>
          <w:p w14:paraId="52962CB5">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mg/kg</w:t>
            </w:r>
          </w:p>
        </w:tc>
        <w:tc>
          <w:tcPr>
            <w:tcW w:w="304" w:type="pct"/>
            <w:shd w:val="clear" w:color="auto" w:fill="auto"/>
            <w:vAlign w:val="center"/>
          </w:tcPr>
          <w:p w14:paraId="663E0EEB">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8.91</w:t>
            </w:r>
          </w:p>
        </w:tc>
        <w:tc>
          <w:tcPr>
            <w:tcW w:w="405" w:type="pct"/>
            <w:shd w:val="clear" w:color="auto" w:fill="auto"/>
            <w:vAlign w:val="center"/>
          </w:tcPr>
          <w:p w14:paraId="75CF2E2D">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0.3564</w:t>
            </w:r>
          </w:p>
        </w:tc>
        <w:tc>
          <w:tcPr>
            <w:tcW w:w="405" w:type="pct"/>
            <w:shd w:val="clear" w:color="auto" w:fill="auto"/>
            <w:vAlign w:val="center"/>
          </w:tcPr>
          <w:p w14:paraId="282B6843">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达标</w:t>
            </w:r>
          </w:p>
        </w:tc>
        <w:tc>
          <w:tcPr>
            <w:tcW w:w="304" w:type="pct"/>
            <w:shd w:val="clear" w:color="auto" w:fill="auto"/>
            <w:vAlign w:val="center"/>
          </w:tcPr>
          <w:p w14:paraId="244BAC2E">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8.41</w:t>
            </w:r>
          </w:p>
        </w:tc>
        <w:tc>
          <w:tcPr>
            <w:tcW w:w="405" w:type="pct"/>
            <w:shd w:val="clear" w:color="auto" w:fill="auto"/>
            <w:vAlign w:val="center"/>
          </w:tcPr>
          <w:p w14:paraId="06193263">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0.3364</w:t>
            </w:r>
          </w:p>
        </w:tc>
        <w:tc>
          <w:tcPr>
            <w:tcW w:w="405" w:type="pct"/>
            <w:shd w:val="clear" w:color="auto" w:fill="auto"/>
            <w:vAlign w:val="center"/>
          </w:tcPr>
          <w:p w14:paraId="0FAEB2FF">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达标</w:t>
            </w:r>
          </w:p>
        </w:tc>
        <w:tc>
          <w:tcPr>
            <w:tcW w:w="355" w:type="pct"/>
            <w:shd w:val="clear" w:color="auto" w:fill="auto"/>
            <w:vAlign w:val="center"/>
          </w:tcPr>
          <w:p w14:paraId="3C158880">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8.58</w:t>
            </w:r>
          </w:p>
        </w:tc>
        <w:tc>
          <w:tcPr>
            <w:tcW w:w="456" w:type="pct"/>
            <w:shd w:val="clear" w:color="auto" w:fill="auto"/>
            <w:vAlign w:val="center"/>
          </w:tcPr>
          <w:p w14:paraId="21226241">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0.3432</w:t>
            </w:r>
          </w:p>
        </w:tc>
        <w:tc>
          <w:tcPr>
            <w:tcW w:w="392" w:type="pct"/>
            <w:shd w:val="clear" w:color="auto" w:fill="auto"/>
            <w:vAlign w:val="center"/>
          </w:tcPr>
          <w:p w14:paraId="3F202397">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达标</w:t>
            </w:r>
          </w:p>
        </w:tc>
      </w:tr>
      <w:tr w14:paraId="55A1D8C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2" w:type="pct"/>
            <w:shd w:val="clear" w:color="auto" w:fill="auto"/>
            <w:vAlign w:val="center"/>
          </w:tcPr>
          <w:p w14:paraId="23477F2E">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3</w:t>
            </w:r>
          </w:p>
        </w:tc>
        <w:tc>
          <w:tcPr>
            <w:tcW w:w="558" w:type="pct"/>
            <w:shd w:val="clear" w:color="auto" w:fill="auto"/>
            <w:vAlign w:val="center"/>
          </w:tcPr>
          <w:p w14:paraId="08E6DD5C">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铅</w:t>
            </w:r>
          </w:p>
        </w:tc>
        <w:tc>
          <w:tcPr>
            <w:tcW w:w="455" w:type="pct"/>
            <w:shd w:val="clear" w:color="auto" w:fill="auto"/>
            <w:vAlign w:val="center"/>
          </w:tcPr>
          <w:p w14:paraId="1BC6B724">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170</w:t>
            </w:r>
          </w:p>
        </w:tc>
        <w:tc>
          <w:tcPr>
            <w:tcW w:w="354" w:type="pct"/>
            <w:shd w:val="clear" w:color="auto" w:fill="auto"/>
            <w:vAlign w:val="center"/>
          </w:tcPr>
          <w:p w14:paraId="316C93B4">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mg/kg</w:t>
            </w:r>
          </w:p>
        </w:tc>
        <w:tc>
          <w:tcPr>
            <w:tcW w:w="304" w:type="pct"/>
            <w:shd w:val="clear" w:color="auto" w:fill="auto"/>
            <w:vAlign w:val="center"/>
          </w:tcPr>
          <w:p w14:paraId="2D6B4000">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17.7</w:t>
            </w:r>
          </w:p>
        </w:tc>
        <w:tc>
          <w:tcPr>
            <w:tcW w:w="405" w:type="pct"/>
            <w:shd w:val="clear" w:color="auto" w:fill="auto"/>
            <w:vAlign w:val="center"/>
          </w:tcPr>
          <w:p w14:paraId="06831127">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0.1041</w:t>
            </w:r>
          </w:p>
        </w:tc>
        <w:tc>
          <w:tcPr>
            <w:tcW w:w="405" w:type="pct"/>
            <w:shd w:val="clear" w:color="auto" w:fill="auto"/>
            <w:vAlign w:val="center"/>
          </w:tcPr>
          <w:p w14:paraId="6D35ADC7">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达标</w:t>
            </w:r>
          </w:p>
        </w:tc>
        <w:tc>
          <w:tcPr>
            <w:tcW w:w="304" w:type="pct"/>
            <w:shd w:val="clear" w:color="auto" w:fill="auto"/>
            <w:vAlign w:val="center"/>
          </w:tcPr>
          <w:p w14:paraId="3F58965E">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20.9</w:t>
            </w:r>
          </w:p>
        </w:tc>
        <w:tc>
          <w:tcPr>
            <w:tcW w:w="405" w:type="pct"/>
            <w:shd w:val="clear" w:color="auto" w:fill="auto"/>
            <w:vAlign w:val="center"/>
          </w:tcPr>
          <w:p w14:paraId="448D5D5A">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0.1229</w:t>
            </w:r>
          </w:p>
        </w:tc>
        <w:tc>
          <w:tcPr>
            <w:tcW w:w="405" w:type="pct"/>
            <w:shd w:val="clear" w:color="auto" w:fill="auto"/>
            <w:vAlign w:val="center"/>
          </w:tcPr>
          <w:p w14:paraId="7E43314A">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达标</w:t>
            </w:r>
          </w:p>
        </w:tc>
        <w:tc>
          <w:tcPr>
            <w:tcW w:w="355" w:type="pct"/>
            <w:shd w:val="clear" w:color="auto" w:fill="auto"/>
            <w:vAlign w:val="center"/>
          </w:tcPr>
          <w:p w14:paraId="72C6DDCA">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19</w:t>
            </w:r>
          </w:p>
        </w:tc>
        <w:tc>
          <w:tcPr>
            <w:tcW w:w="456" w:type="pct"/>
            <w:shd w:val="clear" w:color="auto" w:fill="auto"/>
            <w:vAlign w:val="center"/>
          </w:tcPr>
          <w:p w14:paraId="52377C9A">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0.1118</w:t>
            </w:r>
          </w:p>
        </w:tc>
        <w:tc>
          <w:tcPr>
            <w:tcW w:w="392" w:type="pct"/>
            <w:shd w:val="clear" w:color="auto" w:fill="auto"/>
            <w:vAlign w:val="center"/>
          </w:tcPr>
          <w:p w14:paraId="35B40147">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达标</w:t>
            </w:r>
          </w:p>
        </w:tc>
      </w:tr>
      <w:tr w14:paraId="3D5C955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2" w:type="pct"/>
            <w:shd w:val="clear" w:color="auto" w:fill="auto"/>
            <w:vAlign w:val="center"/>
          </w:tcPr>
          <w:p w14:paraId="3D056DC2">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4</w:t>
            </w:r>
          </w:p>
        </w:tc>
        <w:tc>
          <w:tcPr>
            <w:tcW w:w="558" w:type="pct"/>
            <w:shd w:val="clear" w:color="auto" w:fill="auto"/>
            <w:vAlign w:val="center"/>
          </w:tcPr>
          <w:p w14:paraId="145078CE">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镉</w:t>
            </w:r>
          </w:p>
        </w:tc>
        <w:tc>
          <w:tcPr>
            <w:tcW w:w="455" w:type="pct"/>
            <w:shd w:val="clear" w:color="auto" w:fill="auto"/>
            <w:vAlign w:val="center"/>
          </w:tcPr>
          <w:p w14:paraId="6E373BB1">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0.6</w:t>
            </w:r>
          </w:p>
        </w:tc>
        <w:tc>
          <w:tcPr>
            <w:tcW w:w="354" w:type="pct"/>
            <w:shd w:val="clear" w:color="auto" w:fill="auto"/>
            <w:vAlign w:val="center"/>
          </w:tcPr>
          <w:p w14:paraId="57F9F2BB">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mg/kg</w:t>
            </w:r>
          </w:p>
        </w:tc>
        <w:tc>
          <w:tcPr>
            <w:tcW w:w="304" w:type="pct"/>
            <w:shd w:val="clear" w:color="auto" w:fill="auto"/>
            <w:vAlign w:val="center"/>
          </w:tcPr>
          <w:p w14:paraId="2AE1CC79">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0.2</w:t>
            </w:r>
          </w:p>
        </w:tc>
        <w:tc>
          <w:tcPr>
            <w:tcW w:w="405" w:type="pct"/>
            <w:shd w:val="clear" w:color="auto" w:fill="auto"/>
            <w:vAlign w:val="center"/>
          </w:tcPr>
          <w:p w14:paraId="336DFDF2">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0.3333</w:t>
            </w:r>
          </w:p>
        </w:tc>
        <w:tc>
          <w:tcPr>
            <w:tcW w:w="405" w:type="pct"/>
            <w:shd w:val="clear" w:color="auto" w:fill="auto"/>
            <w:vAlign w:val="center"/>
          </w:tcPr>
          <w:p w14:paraId="1DB40B67">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达标</w:t>
            </w:r>
          </w:p>
        </w:tc>
        <w:tc>
          <w:tcPr>
            <w:tcW w:w="304" w:type="pct"/>
            <w:shd w:val="clear" w:color="auto" w:fill="auto"/>
            <w:vAlign w:val="center"/>
          </w:tcPr>
          <w:p w14:paraId="1F2623C5">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0.24</w:t>
            </w:r>
          </w:p>
        </w:tc>
        <w:tc>
          <w:tcPr>
            <w:tcW w:w="405" w:type="pct"/>
            <w:shd w:val="clear" w:color="auto" w:fill="auto"/>
            <w:vAlign w:val="center"/>
          </w:tcPr>
          <w:p w14:paraId="1536FCA2">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0.4000</w:t>
            </w:r>
          </w:p>
        </w:tc>
        <w:tc>
          <w:tcPr>
            <w:tcW w:w="405" w:type="pct"/>
            <w:shd w:val="clear" w:color="auto" w:fill="auto"/>
            <w:vAlign w:val="center"/>
          </w:tcPr>
          <w:p w14:paraId="798691F0">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达标</w:t>
            </w:r>
          </w:p>
        </w:tc>
        <w:tc>
          <w:tcPr>
            <w:tcW w:w="355" w:type="pct"/>
            <w:shd w:val="clear" w:color="auto" w:fill="auto"/>
            <w:vAlign w:val="center"/>
          </w:tcPr>
          <w:p w14:paraId="3A99A225">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0.17</w:t>
            </w:r>
          </w:p>
        </w:tc>
        <w:tc>
          <w:tcPr>
            <w:tcW w:w="456" w:type="pct"/>
            <w:shd w:val="clear" w:color="auto" w:fill="auto"/>
            <w:vAlign w:val="center"/>
          </w:tcPr>
          <w:p w14:paraId="32EE25F5">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0.2833</w:t>
            </w:r>
          </w:p>
        </w:tc>
        <w:tc>
          <w:tcPr>
            <w:tcW w:w="392" w:type="pct"/>
            <w:shd w:val="clear" w:color="auto" w:fill="auto"/>
            <w:vAlign w:val="center"/>
          </w:tcPr>
          <w:p w14:paraId="7532EA8A">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达标</w:t>
            </w:r>
          </w:p>
        </w:tc>
      </w:tr>
      <w:tr w14:paraId="017A1A5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2" w:type="pct"/>
            <w:shd w:val="clear" w:color="auto" w:fill="auto"/>
            <w:vAlign w:val="center"/>
          </w:tcPr>
          <w:p w14:paraId="23DAD38C">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5</w:t>
            </w:r>
          </w:p>
        </w:tc>
        <w:tc>
          <w:tcPr>
            <w:tcW w:w="558" w:type="pct"/>
            <w:shd w:val="clear" w:color="auto" w:fill="auto"/>
            <w:vAlign w:val="center"/>
          </w:tcPr>
          <w:p w14:paraId="1CF275A2">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六价铬</w:t>
            </w:r>
          </w:p>
        </w:tc>
        <w:tc>
          <w:tcPr>
            <w:tcW w:w="455" w:type="pct"/>
            <w:shd w:val="clear" w:color="auto" w:fill="auto"/>
            <w:vAlign w:val="center"/>
          </w:tcPr>
          <w:p w14:paraId="1C977E2D">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5.7</w:t>
            </w:r>
          </w:p>
        </w:tc>
        <w:tc>
          <w:tcPr>
            <w:tcW w:w="354" w:type="pct"/>
            <w:shd w:val="clear" w:color="auto" w:fill="auto"/>
            <w:vAlign w:val="center"/>
          </w:tcPr>
          <w:p w14:paraId="7AD05245">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mg/kg</w:t>
            </w:r>
          </w:p>
        </w:tc>
        <w:tc>
          <w:tcPr>
            <w:tcW w:w="304" w:type="pct"/>
            <w:shd w:val="clear" w:color="auto" w:fill="auto"/>
            <w:vAlign w:val="center"/>
          </w:tcPr>
          <w:p w14:paraId="24F11DAD">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0.5L</w:t>
            </w:r>
          </w:p>
        </w:tc>
        <w:tc>
          <w:tcPr>
            <w:tcW w:w="405" w:type="pct"/>
            <w:shd w:val="clear" w:color="auto" w:fill="auto"/>
            <w:vAlign w:val="center"/>
          </w:tcPr>
          <w:p w14:paraId="510C2C05">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w:t>
            </w:r>
          </w:p>
        </w:tc>
        <w:tc>
          <w:tcPr>
            <w:tcW w:w="405" w:type="pct"/>
            <w:shd w:val="clear" w:color="auto" w:fill="auto"/>
            <w:vAlign w:val="center"/>
          </w:tcPr>
          <w:p w14:paraId="5B01A22B">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达标</w:t>
            </w:r>
          </w:p>
        </w:tc>
        <w:tc>
          <w:tcPr>
            <w:tcW w:w="304" w:type="pct"/>
            <w:shd w:val="clear" w:color="auto" w:fill="auto"/>
            <w:vAlign w:val="center"/>
          </w:tcPr>
          <w:p w14:paraId="68B72A1A">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0.5L</w:t>
            </w:r>
          </w:p>
        </w:tc>
        <w:tc>
          <w:tcPr>
            <w:tcW w:w="405" w:type="pct"/>
            <w:shd w:val="clear" w:color="auto" w:fill="auto"/>
            <w:vAlign w:val="center"/>
          </w:tcPr>
          <w:p w14:paraId="55D72985">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w:t>
            </w:r>
          </w:p>
        </w:tc>
        <w:tc>
          <w:tcPr>
            <w:tcW w:w="405" w:type="pct"/>
            <w:shd w:val="clear" w:color="auto" w:fill="auto"/>
            <w:vAlign w:val="center"/>
          </w:tcPr>
          <w:p w14:paraId="3A60B9BE">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达标</w:t>
            </w:r>
          </w:p>
        </w:tc>
        <w:tc>
          <w:tcPr>
            <w:tcW w:w="355" w:type="pct"/>
            <w:shd w:val="clear" w:color="auto" w:fill="auto"/>
            <w:vAlign w:val="center"/>
          </w:tcPr>
          <w:p w14:paraId="2BC2937A">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0.5L</w:t>
            </w:r>
          </w:p>
        </w:tc>
        <w:tc>
          <w:tcPr>
            <w:tcW w:w="456" w:type="pct"/>
            <w:shd w:val="clear" w:color="auto" w:fill="auto"/>
            <w:vAlign w:val="center"/>
          </w:tcPr>
          <w:p w14:paraId="62A086E9">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w:t>
            </w:r>
          </w:p>
        </w:tc>
        <w:tc>
          <w:tcPr>
            <w:tcW w:w="392" w:type="pct"/>
            <w:shd w:val="clear" w:color="auto" w:fill="auto"/>
            <w:vAlign w:val="center"/>
          </w:tcPr>
          <w:p w14:paraId="43647F72">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达标</w:t>
            </w:r>
          </w:p>
        </w:tc>
      </w:tr>
      <w:tr w14:paraId="2154712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2" w:type="pct"/>
            <w:shd w:val="clear" w:color="auto" w:fill="auto"/>
            <w:vAlign w:val="center"/>
          </w:tcPr>
          <w:p w14:paraId="44518B51">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6</w:t>
            </w:r>
          </w:p>
        </w:tc>
        <w:tc>
          <w:tcPr>
            <w:tcW w:w="558" w:type="pct"/>
            <w:shd w:val="clear" w:color="auto" w:fill="auto"/>
            <w:vAlign w:val="center"/>
          </w:tcPr>
          <w:p w14:paraId="075A8B1B">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铜</w:t>
            </w:r>
          </w:p>
        </w:tc>
        <w:tc>
          <w:tcPr>
            <w:tcW w:w="455" w:type="pct"/>
            <w:shd w:val="clear" w:color="auto" w:fill="auto"/>
            <w:vAlign w:val="center"/>
          </w:tcPr>
          <w:p w14:paraId="3797403C">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100</w:t>
            </w:r>
          </w:p>
        </w:tc>
        <w:tc>
          <w:tcPr>
            <w:tcW w:w="354" w:type="pct"/>
            <w:shd w:val="clear" w:color="auto" w:fill="auto"/>
            <w:vAlign w:val="center"/>
          </w:tcPr>
          <w:p w14:paraId="408804D4">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mg/kg</w:t>
            </w:r>
          </w:p>
        </w:tc>
        <w:tc>
          <w:tcPr>
            <w:tcW w:w="304" w:type="pct"/>
            <w:shd w:val="clear" w:color="auto" w:fill="auto"/>
            <w:vAlign w:val="center"/>
          </w:tcPr>
          <w:p w14:paraId="3D2E1A59">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27</w:t>
            </w:r>
          </w:p>
        </w:tc>
        <w:tc>
          <w:tcPr>
            <w:tcW w:w="405" w:type="pct"/>
            <w:shd w:val="clear" w:color="auto" w:fill="auto"/>
            <w:vAlign w:val="center"/>
          </w:tcPr>
          <w:p w14:paraId="2CB5A04D">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0.2700</w:t>
            </w:r>
          </w:p>
        </w:tc>
        <w:tc>
          <w:tcPr>
            <w:tcW w:w="405" w:type="pct"/>
            <w:shd w:val="clear" w:color="auto" w:fill="auto"/>
            <w:vAlign w:val="center"/>
          </w:tcPr>
          <w:p w14:paraId="4ED366E4">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达标</w:t>
            </w:r>
          </w:p>
        </w:tc>
        <w:tc>
          <w:tcPr>
            <w:tcW w:w="304" w:type="pct"/>
            <w:shd w:val="clear" w:color="auto" w:fill="auto"/>
            <w:vAlign w:val="center"/>
          </w:tcPr>
          <w:p w14:paraId="1F1F0628">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23</w:t>
            </w:r>
          </w:p>
        </w:tc>
        <w:tc>
          <w:tcPr>
            <w:tcW w:w="405" w:type="pct"/>
            <w:shd w:val="clear" w:color="auto" w:fill="auto"/>
            <w:vAlign w:val="center"/>
          </w:tcPr>
          <w:p w14:paraId="043BF165">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0.2300</w:t>
            </w:r>
          </w:p>
        </w:tc>
        <w:tc>
          <w:tcPr>
            <w:tcW w:w="405" w:type="pct"/>
            <w:shd w:val="clear" w:color="auto" w:fill="auto"/>
            <w:vAlign w:val="center"/>
          </w:tcPr>
          <w:p w14:paraId="0AA86066">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达标</w:t>
            </w:r>
          </w:p>
        </w:tc>
        <w:tc>
          <w:tcPr>
            <w:tcW w:w="355" w:type="pct"/>
            <w:shd w:val="clear" w:color="auto" w:fill="auto"/>
            <w:vAlign w:val="center"/>
          </w:tcPr>
          <w:p w14:paraId="7886DF13">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27</w:t>
            </w:r>
          </w:p>
        </w:tc>
        <w:tc>
          <w:tcPr>
            <w:tcW w:w="456" w:type="pct"/>
            <w:shd w:val="clear" w:color="auto" w:fill="auto"/>
            <w:vAlign w:val="center"/>
          </w:tcPr>
          <w:p w14:paraId="6928DAAE">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0.2700</w:t>
            </w:r>
          </w:p>
        </w:tc>
        <w:tc>
          <w:tcPr>
            <w:tcW w:w="392" w:type="pct"/>
            <w:shd w:val="clear" w:color="auto" w:fill="auto"/>
            <w:vAlign w:val="center"/>
          </w:tcPr>
          <w:p w14:paraId="5F5A2BF0">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达标</w:t>
            </w:r>
          </w:p>
        </w:tc>
      </w:tr>
      <w:tr w14:paraId="12CDAE5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2" w:type="pct"/>
            <w:shd w:val="clear" w:color="auto" w:fill="auto"/>
            <w:vAlign w:val="center"/>
          </w:tcPr>
          <w:p w14:paraId="3F85AC46">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7</w:t>
            </w:r>
          </w:p>
        </w:tc>
        <w:tc>
          <w:tcPr>
            <w:tcW w:w="558" w:type="pct"/>
            <w:shd w:val="clear" w:color="auto" w:fill="auto"/>
            <w:vAlign w:val="center"/>
          </w:tcPr>
          <w:p w14:paraId="062EE1BC">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镍</w:t>
            </w:r>
          </w:p>
        </w:tc>
        <w:tc>
          <w:tcPr>
            <w:tcW w:w="455" w:type="pct"/>
            <w:shd w:val="clear" w:color="auto" w:fill="auto"/>
            <w:vAlign w:val="center"/>
          </w:tcPr>
          <w:p w14:paraId="4F9696C7">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190</w:t>
            </w:r>
          </w:p>
        </w:tc>
        <w:tc>
          <w:tcPr>
            <w:tcW w:w="354" w:type="pct"/>
            <w:shd w:val="clear" w:color="auto" w:fill="auto"/>
            <w:vAlign w:val="center"/>
          </w:tcPr>
          <w:p w14:paraId="5F2333F2">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mg/kg</w:t>
            </w:r>
          </w:p>
        </w:tc>
        <w:tc>
          <w:tcPr>
            <w:tcW w:w="304" w:type="pct"/>
            <w:shd w:val="clear" w:color="auto" w:fill="auto"/>
            <w:vAlign w:val="center"/>
          </w:tcPr>
          <w:p w14:paraId="648CBB14">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53</w:t>
            </w:r>
          </w:p>
        </w:tc>
        <w:tc>
          <w:tcPr>
            <w:tcW w:w="405" w:type="pct"/>
            <w:shd w:val="clear" w:color="auto" w:fill="auto"/>
            <w:vAlign w:val="center"/>
          </w:tcPr>
          <w:p w14:paraId="05F1EB40">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0.2789</w:t>
            </w:r>
          </w:p>
        </w:tc>
        <w:tc>
          <w:tcPr>
            <w:tcW w:w="405" w:type="pct"/>
            <w:shd w:val="clear" w:color="auto" w:fill="auto"/>
            <w:vAlign w:val="center"/>
          </w:tcPr>
          <w:p w14:paraId="2CDAA8D4">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达标</w:t>
            </w:r>
          </w:p>
        </w:tc>
        <w:tc>
          <w:tcPr>
            <w:tcW w:w="304" w:type="pct"/>
            <w:shd w:val="clear" w:color="auto" w:fill="auto"/>
            <w:vAlign w:val="center"/>
          </w:tcPr>
          <w:p w14:paraId="5B8B97CB">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47</w:t>
            </w:r>
          </w:p>
        </w:tc>
        <w:tc>
          <w:tcPr>
            <w:tcW w:w="405" w:type="pct"/>
            <w:shd w:val="clear" w:color="auto" w:fill="auto"/>
            <w:vAlign w:val="center"/>
          </w:tcPr>
          <w:p w14:paraId="154B2B3A">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0.2474</w:t>
            </w:r>
          </w:p>
        </w:tc>
        <w:tc>
          <w:tcPr>
            <w:tcW w:w="405" w:type="pct"/>
            <w:shd w:val="clear" w:color="auto" w:fill="auto"/>
            <w:vAlign w:val="center"/>
          </w:tcPr>
          <w:p w14:paraId="7FC619CC">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达标</w:t>
            </w:r>
          </w:p>
        </w:tc>
        <w:tc>
          <w:tcPr>
            <w:tcW w:w="355" w:type="pct"/>
            <w:shd w:val="clear" w:color="auto" w:fill="auto"/>
            <w:vAlign w:val="center"/>
          </w:tcPr>
          <w:p w14:paraId="6DD89D1E">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45</w:t>
            </w:r>
          </w:p>
        </w:tc>
        <w:tc>
          <w:tcPr>
            <w:tcW w:w="456" w:type="pct"/>
            <w:shd w:val="clear" w:color="auto" w:fill="auto"/>
            <w:vAlign w:val="center"/>
          </w:tcPr>
          <w:p w14:paraId="2A108B66">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0.2368</w:t>
            </w:r>
          </w:p>
        </w:tc>
        <w:tc>
          <w:tcPr>
            <w:tcW w:w="392" w:type="pct"/>
            <w:shd w:val="clear" w:color="auto" w:fill="auto"/>
            <w:vAlign w:val="center"/>
          </w:tcPr>
          <w:p w14:paraId="57C09980">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达标</w:t>
            </w:r>
          </w:p>
        </w:tc>
      </w:tr>
      <w:tr w14:paraId="329F95E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2" w:type="pct"/>
            <w:shd w:val="clear" w:color="auto" w:fill="auto"/>
            <w:vAlign w:val="center"/>
          </w:tcPr>
          <w:p w14:paraId="77A666EB">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8</w:t>
            </w:r>
          </w:p>
        </w:tc>
        <w:tc>
          <w:tcPr>
            <w:tcW w:w="558" w:type="pct"/>
            <w:shd w:val="clear" w:color="auto" w:fill="auto"/>
            <w:vAlign w:val="center"/>
          </w:tcPr>
          <w:p w14:paraId="45C7365D">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pH</w:t>
            </w:r>
          </w:p>
        </w:tc>
        <w:tc>
          <w:tcPr>
            <w:tcW w:w="455" w:type="pct"/>
            <w:shd w:val="clear" w:color="auto" w:fill="auto"/>
            <w:vAlign w:val="center"/>
          </w:tcPr>
          <w:p w14:paraId="067D6455">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w:t>
            </w:r>
          </w:p>
        </w:tc>
        <w:tc>
          <w:tcPr>
            <w:tcW w:w="354" w:type="pct"/>
            <w:shd w:val="clear" w:color="auto" w:fill="auto"/>
            <w:vAlign w:val="center"/>
          </w:tcPr>
          <w:p w14:paraId="137EBC7D">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w:t>
            </w:r>
          </w:p>
        </w:tc>
        <w:tc>
          <w:tcPr>
            <w:tcW w:w="304" w:type="pct"/>
            <w:shd w:val="clear" w:color="auto" w:fill="auto"/>
            <w:vAlign w:val="center"/>
          </w:tcPr>
          <w:p w14:paraId="0011D650">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8.66</w:t>
            </w:r>
          </w:p>
        </w:tc>
        <w:tc>
          <w:tcPr>
            <w:tcW w:w="405" w:type="pct"/>
            <w:shd w:val="clear" w:color="auto" w:fill="auto"/>
            <w:vAlign w:val="center"/>
          </w:tcPr>
          <w:p w14:paraId="475778CE">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w:t>
            </w:r>
          </w:p>
        </w:tc>
        <w:tc>
          <w:tcPr>
            <w:tcW w:w="405" w:type="pct"/>
            <w:shd w:val="clear" w:color="auto" w:fill="auto"/>
            <w:vAlign w:val="center"/>
          </w:tcPr>
          <w:p w14:paraId="01C24418">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w:t>
            </w:r>
          </w:p>
        </w:tc>
        <w:tc>
          <w:tcPr>
            <w:tcW w:w="304" w:type="pct"/>
            <w:shd w:val="clear" w:color="auto" w:fill="auto"/>
            <w:vAlign w:val="center"/>
          </w:tcPr>
          <w:p w14:paraId="14BAF1E3">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8.35</w:t>
            </w:r>
          </w:p>
        </w:tc>
        <w:tc>
          <w:tcPr>
            <w:tcW w:w="405" w:type="pct"/>
            <w:shd w:val="clear" w:color="auto" w:fill="auto"/>
            <w:vAlign w:val="center"/>
          </w:tcPr>
          <w:p w14:paraId="62DE488A">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w:t>
            </w:r>
          </w:p>
        </w:tc>
        <w:tc>
          <w:tcPr>
            <w:tcW w:w="405" w:type="pct"/>
            <w:shd w:val="clear" w:color="auto" w:fill="auto"/>
            <w:vAlign w:val="center"/>
          </w:tcPr>
          <w:p w14:paraId="0491B406">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w:t>
            </w:r>
          </w:p>
        </w:tc>
        <w:tc>
          <w:tcPr>
            <w:tcW w:w="355" w:type="pct"/>
            <w:shd w:val="clear" w:color="auto" w:fill="auto"/>
            <w:vAlign w:val="center"/>
          </w:tcPr>
          <w:p w14:paraId="64B3EE25">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8.15</w:t>
            </w:r>
          </w:p>
        </w:tc>
        <w:tc>
          <w:tcPr>
            <w:tcW w:w="456" w:type="pct"/>
            <w:shd w:val="clear" w:color="auto" w:fill="auto"/>
            <w:vAlign w:val="center"/>
          </w:tcPr>
          <w:p w14:paraId="65C3E279">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w:t>
            </w:r>
          </w:p>
        </w:tc>
        <w:tc>
          <w:tcPr>
            <w:tcW w:w="392" w:type="pct"/>
            <w:shd w:val="clear" w:color="auto" w:fill="auto"/>
            <w:vAlign w:val="center"/>
          </w:tcPr>
          <w:p w14:paraId="26D41E6A">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w:t>
            </w:r>
          </w:p>
        </w:tc>
      </w:tr>
      <w:tr w14:paraId="20ECD7B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2" w:type="pct"/>
            <w:shd w:val="clear" w:color="auto" w:fill="auto"/>
            <w:vAlign w:val="center"/>
          </w:tcPr>
          <w:p w14:paraId="2F46D779">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9</w:t>
            </w:r>
          </w:p>
        </w:tc>
        <w:tc>
          <w:tcPr>
            <w:tcW w:w="558" w:type="pct"/>
            <w:shd w:val="clear" w:color="auto" w:fill="auto"/>
            <w:vAlign w:val="center"/>
          </w:tcPr>
          <w:p w14:paraId="4BC50FE7">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土壤盐分含量</w:t>
            </w:r>
          </w:p>
        </w:tc>
        <w:tc>
          <w:tcPr>
            <w:tcW w:w="455" w:type="pct"/>
            <w:shd w:val="clear" w:color="auto" w:fill="auto"/>
            <w:vAlign w:val="center"/>
          </w:tcPr>
          <w:p w14:paraId="61FFEDAD">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w:t>
            </w:r>
          </w:p>
        </w:tc>
        <w:tc>
          <w:tcPr>
            <w:tcW w:w="354" w:type="pct"/>
            <w:shd w:val="clear" w:color="auto" w:fill="auto"/>
            <w:vAlign w:val="center"/>
          </w:tcPr>
          <w:p w14:paraId="324E011B">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g/kg</w:t>
            </w:r>
          </w:p>
        </w:tc>
        <w:tc>
          <w:tcPr>
            <w:tcW w:w="304" w:type="pct"/>
            <w:shd w:val="clear" w:color="auto" w:fill="auto"/>
            <w:vAlign w:val="center"/>
          </w:tcPr>
          <w:p w14:paraId="758D3AED">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24.6</w:t>
            </w:r>
          </w:p>
        </w:tc>
        <w:tc>
          <w:tcPr>
            <w:tcW w:w="405" w:type="pct"/>
            <w:shd w:val="clear" w:color="auto" w:fill="auto"/>
            <w:vAlign w:val="center"/>
          </w:tcPr>
          <w:p w14:paraId="461A994C">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w:t>
            </w:r>
          </w:p>
        </w:tc>
        <w:tc>
          <w:tcPr>
            <w:tcW w:w="405" w:type="pct"/>
            <w:shd w:val="clear" w:color="auto" w:fill="auto"/>
            <w:vAlign w:val="center"/>
          </w:tcPr>
          <w:p w14:paraId="0577D48D">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w:t>
            </w:r>
          </w:p>
        </w:tc>
        <w:tc>
          <w:tcPr>
            <w:tcW w:w="304" w:type="pct"/>
            <w:shd w:val="clear" w:color="auto" w:fill="auto"/>
            <w:vAlign w:val="center"/>
          </w:tcPr>
          <w:p w14:paraId="6121D3D4">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26.6</w:t>
            </w:r>
          </w:p>
        </w:tc>
        <w:tc>
          <w:tcPr>
            <w:tcW w:w="405" w:type="pct"/>
            <w:shd w:val="clear" w:color="auto" w:fill="auto"/>
            <w:vAlign w:val="center"/>
          </w:tcPr>
          <w:p w14:paraId="69C8451A">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w:t>
            </w:r>
          </w:p>
        </w:tc>
        <w:tc>
          <w:tcPr>
            <w:tcW w:w="405" w:type="pct"/>
            <w:shd w:val="clear" w:color="auto" w:fill="auto"/>
            <w:vAlign w:val="center"/>
          </w:tcPr>
          <w:p w14:paraId="430FF586">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w:t>
            </w:r>
          </w:p>
        </w:tc>
        <w:tc>
          <w:tcPr>
            <w:tcW w:w="355" w:type="pct"/>
            <w:shd w:val="clear" w:color="auto" w:fill="auto"/>
            <w:vAlign w:val="center"/>
          </w:tcPr>
          <w:p w14:paraId="564AF1EA">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13.2</w:t>
            </w:r>
          </w:p>
        </w:tc>
        <w:tc>
          <w:tcPr>
            <w:tcW w:w="456" w:type="pct"/>
            <w:shd w:val="clear" w:color="auto" w:fill="auto"/>
            <w:vAlign w:val="center"/>
          </w:tcPr>
          <w:p w14:paraId="142F8EDA">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w:t>
            </w:r>
          </w:p>
        </w:tc>
        <w:tc>
          <w:tcPr>
            <w:tcW w:w="392" w:type="pct"/>
            <w:shd w:val="clear" w:color="auto" w:fill="auto"/>
            <w:vAlign w:val="center"/>
          </w:tcPr>
          <w:p w14:paraId="7F8809CC">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w:t>
            </w:r>
          </w:p>
        </w:tc>
      </w:tr>
      <w:tr w14:paraId="41EBAA0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2" w:type="pct"/>
            <w:shd w:val="clear" w:color="auto" w:fill="auto"/>
            <w:vAlign w:val="center"/>
          </w:tcPr>
          <w:p w14:paraId="391B4917">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10</w:t>
            </w:r>
          </w:p>
        </w:tc>
        <w:tc>
          <w:tcPr>
            <w:tcW w:w="558" w:type="pct"/>
            <w:shd w:val="clear" w:color="auto" w:fill="auto"/>
            <w:vAlign w:val="center"/>
          </w:tcPr>
          <w:p w14:paraId="66CFBC23">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石油烃</w:t>
            </w:r>
          </w:p>
        </w:tc>
        <w:tc>
          <w:tcPr>
            <w:tcW w:w="455" w:type="pct"/>
            <w:shd w:val="clear" w:color="auto" w:fill="auto"/>
            <w:vAlign w:val="center"/>
          </w:tcPr>
          <w:p w14:paraId="4A71812D">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4500</w:t>
            </w:r>
          </w:p>
        </w:tc>
        <w:tc>
          <w:tcPr>
            <w:tcW w:w="354" w:type="pct"/>
            <w:shd w:val="clear" w:color="auto" w:fill="auto"/>
            <w:vAlign w:val="center"/>
          </w:tcPr>
          <w:p w14:paraId="7F757BDA">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mg/kg</w:t>
            </w:r>
          </w:p>
        </w:tc>
        <w:tc>
          <w:tcPr>
            <w:tcW w:w="304" w:type="pct"/>
            <w:shd w:val="clear" w:color="auto" w:fill="auto"/>
            <w:vAlign w:val="center"/>
          </w:tcPr>
          <w:p w14:paraId="591D5899">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8</w:t>
            </w:r>
          </w:p>
        </w:tc>
        <w:tc>
          <w:tcPr>
            <w:tcW w:w="405" w:type="pct"/>
            <w:shd w:val="clear" w:color="auto" w:fill="auto"/>
            <w:vAlign w:val="center"/>
          </w:tcPr>
          <w:p w14:paraId="55DCCFE7">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0.0018</w:t>
            </w:r>
          </w:p>
        </w:tc>
        <w:tc>
          <w:tcPr>
            <w:tcW w:w="405" w:type="pct"/>
            <w:shd w:val="clear" w:color="auto" w:fill="auto"/>
            <w:vAlign w:val="center"/>
          </w:tcPr>
          <w:p w14:paraId="1320C775">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达标</w:t>
            </w:r>
          </w:p>
        </w:tc>
        <w:tc>
          <w:tcPr>
            <w:tcW w:w="304" w:type="pct"/>
            <w:shd w:val="clear" w:color="auto" w:fill="auto"/>
            <w:vAlign w:val="center"/>
          </w:tcPr>
          <w:p w14:paraId="6B90949D">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9</w:t>
            </w:r>
          </w:p>
        </w:tc>
        <w:tc>
          <w:tcPr>
            <w:tcW w:w="405" w:type="pct"/>
            <w:shd w:val="clear" w:color="auto" w:fill="auto"/>
            <w:vAlign w:val="center"/>
          </w:tcPr>
          <w:p w14:paraId="24A24552">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0.0020</w:t>
            </w:r>
          </w:p>
        </w:tc>
        <w:tc>
          <w:tcPr>
            <w:tcW w:w="405" w:type="pct"/>
            <w:shd w:val="clear" w:color="auto" w:fill="auto"/>
            <w:vAlign w:val="center"/>
          </w:tcPr>
          <w:p w14:paraId="004A1F0E">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达标</w:t>
            </w:r>
          </w:p>
        </w:tc>
        <w:tc>
          <w:tcPr>
            <w:tcW w:w="355" w:type="pct"/>
            <w:shd w:val="clear" w:color="auto" w:fill="auto"/>
            <w:vAlign w:val="center"/>
          </w:tcPr>
          <w:p w14:paraId="3695FB68">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42</w:t>
            </w:r>
          </w:p>
        </w:tc>
        <w:tc>
          <w:tcPr>
            <w:tcW w:w="456" w:type="pct"/>
            <w:shd w:val="clear" w:color="auto" w:fill="auto"/>
            <w:vAlign w:val="center"/>
          </w:tcPr>
          <w:p w14:paraId="32DA9BC7">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0.0093</w:t>
            </w:r>
          </w:p>
        </w:tc>
        <w:tc>
          <w:tcPr>
            <w:tcW w:w="392" w:type="pct"/>
            <w:shd w:val="clear" w:color="auto" w:fill="auto"/>
            <w:vAlign w:val="center"/>
          </w:tcPr>
          <w:p w14:paraId="0796DEBD">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达标</w:t>
            </w:r>
          </w:p>
        </w:tc>
      </w:tr>
      <w:tr w14:paraId="1F7FF4F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2" w:type="pct"/>
            <w:shd w:val="clear" w:color="auto" w:fill="auto"/>
            <w:vAlign w:val="center"/>
          </w:tcPr>
          <w:p w14:paraId="08E71003">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11</w:t>
            </w:r>
          </w:p>
        </w:tc>
        <w:tc>
          <w:tcPr>
            <w:tcW w:w="558" w:type="pct"/>
            <w:shd w:val="clear" w:color="auto" w:fill="auto"/>
            <w:vAlign w:val="center"/>
          </w:tcPr>
          <w:p w14:paraId="235DF66B">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铬</w:t>
            </w:r>
          </w:p>
        </w:tc>
        <w:tc>
          <w:tcPr>
            <w:tcW w:w="455" w:type="pct"/>
            <w:shd w:val="clear" w:color="auto" w:fill="auto"/>
            <w:vAlign w:val="center"/>
          </w:tcPr>
          <w:p w14:paraId="66C32A9B">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250</w:t>
            </w:r>
          </w:p>
        </w:tc>
        <w:tc>
          <w:tcPr>
            <w:tcW w:w="354" w:type="pct"/>
            <w:shd w:val="clear" w:color="auto" w:fill="auto"/>
            <w:vAlign w:val="center"/>
          </w:tcPr>
          <w:p w14:paraId="68465DF0">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mg/kg</w:t>
            </w:r>
          </w:p>
        </w:tc>
        <w:tc>
          <w:tcPr>
            <w:tcW w:w="304" w:type="pct"/>
            <w:shd w:val="clear" w:color="auto" w:fill="auto"/>
            <w:vAlign w:val="center"/>
          </w:tcPr>
          <w:p w14:paraId="6E8EB406">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52</w:t>
            </w:r>
          </w:p>
        </w:tc>
        <w:tc>
          <w:tcPr>
            <w:tcW w:w="405" w:type="pct"/>
            <w:shd w:val="clear" w:color="auto" w:fill="auto"/>
            <w:vAlign w:val="center"/>
          </w:tcPr>
          <w:p w14:paraId="739D4356">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0.2080</w:t>
            </w:r>
          </w:p>
        </w:tc>
        <w:tc>
          <w:tcPr>
            <w:tcW w:w="405" w:type="pct"/>
            <w:shd w:val="clear" w:color="auto" w:fill="auto"/>
            <w:vAlign w:val="center"/>
          </w:tcPr>
          <w:p w14:paraId="732D2F81">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达标</w:t>
            </w:r>
          </w:p>
        </w:tc>
        <w:tc>
          <w:tcPr>
            <w:tcW w:w="304" w:type="pct"/>
            <w:shd w:val="clear" w:color="auto" w:fill="auto"/>
            <w:vAlign w:val="center"/>
          </w:tcPr>
          <w:p w14:paraId="27844C0B">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46</w:t>
            </w:r>
          </w:p>
        </w:tc>
        <w:tc>
          <w:tcPr>
            <w:tcW w:w="405" w:type="pct"/>
            <w:shd w:val="clear" w:color="auto" w:fill="auto"/>
            <w:vAlign w:val="center"/>
          </w:tcPr>
          <w:p w14:paraId="1966164B">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0.1840</w:t>
            </w:r>
          </w:p>
        </w:tc>
        <w:tc>
          <w:tcPr>
            <w:tcW w:w="405" w:type="pct"/>
            <w:shd w:val="clear" w:color="auto" w:fill="auto"/>
            <w:vAlign w:val="center"/>
          </w:tcPr>
          <w:p w14:paraId="7C71FBFB">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达标</w:t>
            </w:r>
          </w:p>
        </w:tc>
        <w:tc>
          <w:tcPr>
            <w:tcW w:w="355" w:type="pct"/>
            <w:shd w:val="clear" w:color="auto" w:fill="auto"/>
            <w:vAlign w:val="center"/>
          </w:tcPr>
          <w:p w14:paraId="3BDCC9FD">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54</w:t>
            </w:r>
          </w:p>
        </w:tc>
        <w:tc>
          <w:tcPr>
            <w:tcW w:w="456" w:type="pct"/>
            <w:shd w:val="clear" w:color="auto" w:fill="auto"/>
            <w:vAlign w:val="center"/>
          </w:tcPr>
          <w:p w14:paraId="203DC7DA">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0.2160</w:t>
            </w:r>
          </w:p>
        </w:tc>
        <w:tc>
          <w:tcPr>
            <w:tcW w:w="392" w:type="pct"/>
            <w:shd w:val="clear" w:color="auto" w:fill="auto"/>
            <w:vAlign w:val="center"/>
          </w:tcPr>
          <w:p w14:paraId="7D28C0F8">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达标</w:t>
            </w:r>
          </w:p>
        </w:tc>
      </w:tr>
      <w:tr w14:paraId="75EA6CC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2" w:type="pct"/>
            <w:shd w:val="clear" w:color="auto" w:fill="auto"/>
            <w:vAlign w:val="center"/>
          </w:tcPr>
          <w:p w14:paraId="0AE464FF">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12</w:t>
            </w:r>
          </w:p>
        </w:tc>
        <w:tc>
          <w:tcPr>
            <w:tcW w:w="558" w:type="pct"/>
            <w:shd w:val="clear" w:color="auto" w:fill="auto"/>
            <w:vAlign w:val="center"/>
          </w:tcPr>
          <w:p w14:paraId="77033AE3">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锌</w:t>
            </w:r>
          </w:p>
        </w:tc>
        <w:tc>
          <w:tcPr>
            <w:tcW w:w="455" w:type="pct"/>
            <w:shd w:val="clear" w:color="auto" w:fill="auto"/>
            <w:vAlign w:val="center"/>
          </w:tcPr>
          <w:p w14:paraId="51F715C4">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300</w:t>
            </w:r>
          </w:p>
        </w:tc>
        <w:tc>
          <w:tcPr>
            <w:tcW w:w="354" w:type="pct"/>
            <w:shd w:val="clear" w:color="auto" w:fill="auto"/>
            <w:vAlign w:val="center"/>
          </w:tcPr>
          <w:p w14:paraId="0F0AF16C">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mg/kg</w:t>
            </w:r>
          </w:p>
        </w:tc>
        <w:tc>
          <w:tcPr>
            <w:tcW w:w="304" w:type="pct"/>
            <w:shd w:val="clear" w:color="auto" w:fill="auto"/>
            <w:vAlign w:val="center"/>
          </w:tcPr>
          <w:p w14:paraId="31DC8152">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52</w:t>
            </w:r>
          </w:p>
        </w:tc>
        <w:tc>
          <w:tcPr>
            <w:tcW w:w="405" w:type="pct"/>
            <w:shd w:val="clear" w:color="auto" w:fill="auto"/>
            <w:vAlign w:val="center"/>
          </w:tcPr>
          <w:p w14:paraId="7359EC65">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0.1733</w:t>
            </w:r>
          </w:p>
        </w:tc>
        <w:tc>
          <w:tcPr>
            <w:tcW w:w="405" w:type="pct"/>
            <w:shd w:val="clear" w:color="auto" w:fill="auto"/>
            <w:vAlign w:val="center"/>
          </w:tcPr>
          <w:p w14:paraId="5BCED514">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达标</w:t>
            </w:r>
          </w:p>
        </w:tc>
        <w:tc>
          <w:tcPr>
            <w:tcW w:w="304" w:type="pct"/>
            <w:shd w:val="clear" w:color="auto" w:fill="auto"/>
            <w:vAlign w:val="center"/>
          </w:tcPr>
          <w:p w14:paraId="28D139CF">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55</w:t>
            </w:r>
          </w:p>
        </w:tc>
        <w:tc>
          <w:tcPr>
            <w:tcW w:w="405" w:type="pct"/>
            <w:shd w:val="clear" w:color="auto" w:fill="auto"/>
            <w:vAlign w:val="center"/>
          </w:tcPr>
          <w:p w14:paraId="7DA36FFF">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0.1833</w:t>
            </w:r>
          </w:p>
        </w:tc>
        <w:tc>
          <w:tcPr>
            <w:tcW w:w="405" w:type="pct"/>
            <w:shd w:val="clear" w:color="auto" w:fill="auto"/>
            <w:vAlign w:val="center"/>
          </w:tcPr>
          <w:p w14:paraId="020C7384">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达标</w:t>
            </w:r>
          </w:p>
        </w:tc>
        <w:tc>
          <w:tcPr>
            <w:tcW w:w="355" w:type="pct"/>
            <w:shd w:val="clear" w:color="auto" w:fill="auto"/>
            <w:vAlign w:val="center"/>
          </w:tcPr>
          <w:p w14:paraId="32B83564">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61</w:t>
            </w:r>
          </w:p>
        </w:tc>
        <w:tc>
          <w:tcPr>
            <w:tcW w:w="456" w:type="pct"/>
            <w:shd w:val="clear" w:color="auto" w:fill="auto"/>
            <w:vAlign w:val="center"/>
          </w:tcPr>
          <w:p w14:paraId="5FE51E23">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0.2033</w:t>
            </w:r>
          </w:p>
        </w:tc>
        <w:tc>
          <w:tcPr>
            <w:tcW w:w="392" w:type="pct"/>
            <w:shd w:val="clear" w:color="auto" w:fill="auto"/>
            <w:vAlign w:val="center"/>
          </w:tcPr>
          <w:p w14:paraId="73C20944">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达标</w:t>
            </w:r>
          </w:p>
        </w:tc>
      </w:tr>
    </w:tbl>
    <w:p w14:paraId="3D5B66CE">
      <w:pPr>
        <w:ind w:firstLine="197" w:firstLineChars="94"/>
        <w:jc w:val="center"/>
        <w:rPr>
          <w:rFonts w:hint="eastAsia" w:ascii="黑体" w:hAnsi="黑体" w:eastAsia="黑体"/>
          <w:bCs/>
          <w:color w:val="000000" w:themeColor="text1"/>
          <w:szCs w:val="21"/>
          <w14:textFill>
            <w14:solidFill>
              <w14:schemeClr w14:val="tx1"/>
            </w14:solidFill>
          </w14:textFill>
        </w:rPr>
      </w:pPr>
    </w:p>
    <w:p w14:paraId="7683D150">
      <w:pPr>
        <w:ind w:firstLine="197" w:firstLineChars="94"/>
        <w:jc w:val="center"/>
        <w:rPr>
          <w:rFonts w:hint="eastAsia" w:ascii="黑体" w:hAnsi="黑体" w:eastAsia="黑体"/>
          <w:bCs/>
          <w:color w:val="000000" w:themeColor="text1"/>
          <w:szCs w:val="21"/>
          <w14:textFill>
            <w14:solidFill>
              <w14:schemeClr w14:val="tx1"/>
            </w14:solidFill>
          </w14:textFill>
        </w:rPr>
      </w:pPr>
    </w:p>
    <w:p w14:paraId="3A01DA28">
      <w:pPr>
        <w:ind w:firstLine="197" w:firstLineChars="94"/>
        <w:jc w:val="center"/>
        <w:rPr>
          <w:rFonts w:hint="eastAsia" w:ascii="黑体" w:hAnsi="黑体" w:eastAsia="黑体"/>
          <w:bCs/>
          <w:color w:val="000000" w:themeColor="text1"/>
          <w:szCs w:val="21"/>
          <w14:textFill>
            <w14:solidFill>
              <w14:schemeClr w14:val="tx1"/>
            </w14:solidFill>
          </w14:textFill>
        </w:rPr>
      </w:pPr>
    </w:p>
    <w:p w14:paraId="741B002D">
      <w:pPr>
        <w:ind w:firstLine="197" w:firstLineChars="94"/>
        <w:jc w:val="center"/>
        <w:rPr>
          <w:rFonts w:hint="eastAsia" w:ascii="黑体" w:hAnsi="黑体" w:eastAsia="黑体"/>
          <w:bCs/>
          <w:color w:val="000000" w:themeColor="text1"/>
          <w:szCs w:val="21"/>
          <w14:textFill>
            <w14:solidFill>
              <w14:schemeClr w14:val="tx1"/>
            </w14:solidFill>
          </w14:textFill>
        </w:rPr>
      </w:pPr>
    </w:p>
    <w:p w14:paraId="4AE2C1C6">
      <w:pPr>
        <w:ind w:firstLine="197" w:firstLineChars="94"/>
        <w:jc w:val="center"/>
        <w:rPr>
          <w:rFonts w:hint="eastAsia" w:ascii="黑体" w:hAnsi="黑体" w:eastAsia="黑体"/>
          <w:bCs/>
          <w:color w:val="000000" w:themeColor="text1"/>
          <w:szCs w:val="21"/>
          <w14:textFill>
            <w14:solidFill>
              <w14:schemeClr w14:val="tx1"/>
            </w14:solidFill>
          </w14:textFill>
        </w:rPr>
      </w:pPr>
    </w:p>
    <w:p w14:paraId="7830937B">
      <w:pPr>
        <w:ind w:firstLine="197" w:firstLineChars="94"/>
        <w:jc w:val="center"/>
        <w:rPr>
          <w:rFonts w:hint="eastAsia" w:ascii="黑体" w:hAnsi="黑体" w:eastAsia="黑体"/>
          <w:bCs/>
          <w:color w:val="000000" w:themeColor="text1"/>
          <w:szCs w:val="21"/>
          <w14:textFill>
            <w14:solidFill>
              <w14:schemeClr w14:val="tx1"/>
            </w14:solidFill>
          </w14:textFill>
        </w:rPr>
      </w:pPr>
    </w:p>
    <w:p w14:paraId="7A96CB9E">
      <w:pPr>
        <w:ind w:firstLine="197" w:firstLineChars="94"/>
        <w:jc w:val="center"/>
        <w:rPr>
          <w:rFonts w:hint="eastAsia" w:ascii="黑体" w:hAnsi="黑体" w:eastAsia="黑体"/>
          <w:bCs/>
          <w:color w:val="000000" w:themeColor="text1"/>
          <w:szCs w:val="21"/>
          <w14:textFill>
            <w14:solidFill>
              <w14:schemeClr w14:val="tx1"/>
            </w14:solidFill>
          </w14:textFill>
        </w:rPr>
        <w:sectPr>
          <w:pgSz w:w="16838" w:h="11906" w:orient="landscape"/>
          <w:pgMar w:top="1588" w:right="1418" w:bottom="1588" w:left="1418" w:header="1020" w:footer="1020" w:gutter="0"/>
          <w:cols w:space="720" w:num="1"/>
          <w:docGrid w:type="lines" w:linePitch="312" w:charSpace="0"/>
        </w:sectPr>
      </w:pPr>
    </w:p>
    <w:p w14:paraId="060E6902">
      <w:pPr>
        <w:spacing w:line="480" w:lineRule="exact"/>
        <w:jc w:val="center"/>
        <w:rPr>
          <w:rFonts w:hint="eastAsia" w:ascii="黑体" w:hAnsi="黑体" w:eastAsia="黑体"/>
          <w:color w:val="000000" w:themeColor="text1"/>
          <w:szCs w:val="21"/>
          <w14:textFill>
            <w14:solidFill>
              <w14:schemeClr w14:val="tx1"/>
            </w14:solidFill>
          </w14:textFill>
        </w:rPr>
      </w:pPr>
      <w:r>
        <w:rPr>
          <w:rFonts w:hint="eastAsia" w:ascii="黑体" w:hAnsi="黑体" w:eastAsia="黑体"/>
          <w:color w:val="000000" w:themeColor="text1"/>
          <w:szCs w:val="21"/>
          <w14:textFill>
            <w14:solidFill>
              <w14:schemeClr w14:val="tx1"/>
            </w14:solidFill>
          </w14:textFill>
        </w:rPr>
        <w:t>表</w:t>
      </w:r>
      <w:r>
        <w:rPr>
          <w:rFonts w:ascii="黑体" w:hAnsi="黑体" w:eastAsia="黑体"/>
          <w:color w:val="000000" w:themeColor="text1"/>
          <w:szCs w:val="21"/>
          <w14:textFill>
            <w14:solidFill>
              <w14:schemeClr w14:val="tx1"/>
            </w14:solidFill>
          </w14:textFill>
        </w:rPr>
        <w:t>4.3-1</w:t>
      </w:r>
      <w:r>
        <w:rPr>
          <w:rFonts w:hint="eastAsia" w:ascii="黑体" w:hAnsi="黑体" w:eastAsia="黑体"/>
          <w:color w:val="000000" w:themeColor="text1"/>
          <w:szCs w:val="21"/>
          <w14:textFill>
            <w14:solidFill>
              <w14:schemeClr w14:val="tx1"/>
            </w14:solidFill>
          </w14:textFill>
        </w:rPr>
        <w:t>6</w:t>
      </w:r>
      <w:r>
        <w:rPr>
          <w:rFonts w:ascii="黑体" w:hAnsi="黑体" w:eastAsia="黑体"/>
          <w:color w:val="000000" w:themeColor="text1"/>
          <w:szCs w:val="21"/>
          <w14:textFill>
            <w14:solidFill>
              <w14:schemeClr w14:val="tx1"/>
            </w14:solidFill>
          </w14:textFill>
        </w:rPr>
        <w:t xml:space="preserve">  </w:t>
      </w:r>
      <w:r>
        <w:rPr>
          <w:rFonts w:hint="eastAsia" w:ascii="黑体" w:hAnsi="黑体" w:eastAsia="黑体"/>
          <w:color w:val="000000" w:themeColor="text1"/>
          <w:szCs w:val="21"/>
          <w14:textFill>
            <w14:solidFill>
              <w14:schemeClr w14:val="tx1"/>
            </w14:solidFill>
          </w14:textFill>
        </w:rPr>
        <w:t>土壤理化性质一览表</w:t>
      </w:r>
    </w:p>
    <w:tbl>
      <w:tblPr>
        <w:tblStyle w:val="51"/>
        <w:tblW w:w="5000"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Layout w:type="autofit"/>
        <w:tblCellMar>
          <w:top w:w="0" w:type="dxa"/>
          <w:left w:w="108" w:type="dxa"/>
          <w:bottom w:w="0" w:type="dxa"/>
          <w:right w:w="108" w:type="dxa"/>
        </w:tblCellMar>
      </w:tblPr>
      <w:tblGrid>
        <w:gridCol w:w="886"/>
        <w:gridCol w:w="2746"/>
        <w:gridCol w:w="1308"/>
        <w:gridCol w:w="2024"/>
        <w:gridCol w:w="1982"/>
      </w:tblGrid>
      <w:tr w14:paraId="44330AEA">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PrEx>
        <w:trPr>
          <w:trHeight w:val="284" w:hRule="atLeast"/>
        </w:trPr>
        <w:tc>
          <w:tcPr>
            <w:tcW w:w="2030" w:type="pct"/>
            <w:gridSpan w:val="2"/>
            <w:vAlign w:val="center"/>
          </w:tcPr>
          <w:p w14:paraId="71DF27E6">
            <w:pPr>
              <w:pStyle w:val="527"/>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点号</w:t>
            </w:r>
          </w:p>
        </w:tc>
        <w:tc>
          <w:tcPr>
            <w:tcW w:w="2970" w:type="pct"/>
            <w:gridSpan w:val="3"/>
            <w:vAlign w:val="center"/>
          </w:tcPr>
          <w:p w14:paraId="190A88E9">
            <w:pPr>
              <w:pStyle w:val="527"/>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T5</w:t>
            </w:r>
          </w:p>
        </w:tc>
      </w:tr>
      <w:tr w14:paraId="0900879C">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108" w:type="dxa"/>
            <w:bottom w:w="0" w:type="dxa"/>
            <w:right w:w="108" w:type="dxa"/>
          </w:tblCellMar>
        </w:tblPrEx>
        <w:trPr>
          <w:trHeight w:val="284" w:hRule="atLeast"/>
        </w:trPr>
        <w:tc>
          <w:tcPr>
            <w:tcW w:w="2030" w:type="pct"/>
            <w:gridSpan w:val="2"/>
            <w:vAlign w:val="center"/>
          </w:tcPr>
          <w:p w14:paraId="75369CA7">
            <w:pPr>
              <w:pStyle w:val="527"/>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层次</w:t>
            </w:r>
          </w:p>
        </w:tc>
        <w:tc>
          <w:tcPr>
            <w:tcW w:w="731" w:type="pct"/>
            <w:vAlign w:val="center"/>
          </w:tcPr>
          <w:p w14:paraId="4B24B737">
            <w:pPr>
              <w:pStyle w:val="527"/>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0～0.5m</w:t>
            </w:r>
          </w:p>
        </w:tc>
        <w:tc>
          <w:tcPr>
            <w:tcW w:w="1131" w:type="pct"/>
            <w:vAlign w:val="center"/>
          </w:tcPr>
          <w:p w14:paraId="5A959F42">
            <w:pPr>
              <w:pStyle w:val="527"/>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0.5～1.5m</w:t>
            </w:r>
          </w:p>
        </w:tc>
        <w:tc>
          <w:tcPr>
            <w:tcW w:w="1108" w:type="pct"/>
          </w:tcPr>
          <w:p w14:paraId="390B7E7E">
            <w:pPr>
              <w:pStyle w:val="527"/>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1.5～3m</w:t>
            </w:r>
          </w:p>
        </w:tc>
      </w:tr>
      <w:tr w14:paraId="7A4A7843">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108" w:type="dxa"/>
            <w:bottom w:w="0" w:type="dxa"/>
            <w:right w:w="108" w:type="dxa"/>
          </w:tblCellMar>
        </w:tblPrEx>
        <w:trPr>
          <w:trHeight w:val="284" w:hRule="atLeast"/>
        </w:trPr>
        <w:tc>
          <w:tcPr>
            <w:tcW w:w="495" w:type="pct"/>
            <w:vMerge w:val="restart"/>
            <w:vAlign w:val="center"/>
          </w:tcPr>
          <w:p w14:paraId="745F2B5C">
            <w:pPr>
              <w:pStyle w:val="527"/>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现场记录</w:t>
            </w:r>
          </w:p>
        </w:tc>
        <w:tc>
          <w:tcPr>
            <w:tcW w:w="1535" w:type="pct"/>
            <w:vAlign w:val="center"/>
          </w:tcPr>
          <w:p w14:paraId="020F5167">
            <w:pPr>
              <w:pStyle w:val="527"/>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颜色</w:t>
            </w:r>
          </w:p>
        </w:tc>
        <w:tc>
          <w:tcPr>
            <w:tcW w:w="2970" w:type="pct"/>
            <w:gridSpan w:val="3"/>
            <w:vAlign w:val="center"/>
          </w:tcPr>
          <w:p w14:paraId="20B27BF7">
            <w:pPr>
              <w:pStyle w:val="527"/>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黄棕色</w:t>
            </w:r>
          </w:p>
        </w:tc>
      </w:tr>
      <w:tr w14:paraId="4DCCD4ED">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108" w:type="dxa"/>
            <w:bottom w:w="0" w:type="dxa"/>
            <w:right w:w="108" w:type="dxa"/>
          </w:tblCellMar>
        </w:tblPrEx>
        <w:trPr>
          <w:trHeight w:val="284" w:hRule="atLeast"/>
        </w:trPr>
        <w:tc>
          <w:tcPr>
            <w:tcW w:w="495" w:type="pct"/>
            <w:vMerge w:val="continue"/>
            <w:vAlign w:val="center"/>
          </w:tcPr>
          <w:p w14:paraId="15F4A8C4">
            <w:pPr>
              <w:pStyle w:val="527"/>
              <w:rPr>
                <w:rFonts w:hint="eastAsia"/>
                <w:color w:val="000000" w:themeColor="text1"/>
                <w14:textFill>
                  <w14:solidFill>
                    <w14:schemeClr w14:val="tx1"/>
                  </w14:solidFill>
                </w14:textFill>
              </w:rPr>
            </w:pPr>
          </w:p>
        </w:tc>
        <w:tc>
          <w:tcPr>
            <w:tcW w:w="1535" w:type="pct"/>
            <w:vAlign w:val="center"/>
          </w:tcPr>
          <w:p w14:paraId="65FB1595">
            <w:pPr>
              <w:pStyle w:val="527"/>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结构</w:t>
            </w:r>
          </w:p>
        </w:tc>
        <w:tc>
          <w:tcPr>
            <w:tcW w:w="2970" w:type="pct"/>
            <w:gridSpan w:val="3"/>
            <w:vAlign w:val="center"/>
          </w:tcPr>
          <w:p w14:paraId="6C77DFAD">
            <w:pPr>
              <w:pStyle w:val="527"/>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核状结构</w:t>
            </w:r>
          </w:p>
        </w:tc>
      </w:tr>
      <w:tr w14:paraId="7D3548EF">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108" w:type="dxa"/>
            <w:bottom w:w="0" w:type="dxa"/>
            <w:right w:w="108" w:type="dxa"/>
          </w:tblCellMar>
        </w:tblPrEx>
        <w:trPr>
          <w:trHeight w:val="284" w:hRule="atLeast"/>
        </w:trPr>
        <w:tc>
          <w:tcPr>
            <w:tcW w:w="495" w:type="pct"/>
            <w:vMerge w:val="continue"/>
            <w:vAlign w:val="center"/>
          </w:tcPr>
          <w:p w14:paraId="46116349">
            <w:pPr>
              <w:pStyle w:val="527"/>
              <w:rPr>
                <w:rFonts w:hint="eastAsia"/>
                <w:color w:val="000000" w:themeColor="text1"/>
                <w14:textFill>
                  <w14:solidFill>
                    <w14:schemeClr w14:val="tx1"/>
                  </w14:solidFill>
                </w14:textFill>
              </w:rPr>
            </w:pPr>
          </w:p>
        </w:tc>
        <w:tc>
          <w:tcPr>
            <w:tcW w:w="1535" w:type="pct"/>
            <w:vAlign w:val="center"/>
          </w:tcPr>
          <w:p w14:paraId="241AC389">
            <w:pPr>
              <w:pStyle w:val="527"/>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质地</w:t>
            </w:r>
          </w:p>
        </w:tc>
        <w:tc>
          <w:tcPr>
            <w:tcW w:w="2970" w:type="pct"/>
            <w:gridSpan w:val="3"/>
            <w:vAlign w:val="center"/>
          </w:tcPr>
          <w:p w14:paraId="31CC1458">
            <w:pPr>
              <w:pStyle w:val="527"/>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砂土</w:t>
            </w:r>
          </w:p>
        </w:tc>
      </w:tr>
      <w:tr w14:paraId="7565674A">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108" w:type="dxa"/>
            <w:bottom w:w="0" w:type="dxa"/>
            <w:right w:w="108" w:type="dxa"/>
          </w:tblCellMar>
        </w:tblPrEx>
        <w:trPr>
          <w:trHeight w:val="284" w:hRule="atLeast"/>
        </w:trPr>
        <w:tc>
          <w:tcPr>
            <w:tcW w:w="495" w:type="pct"/>
            <w:vMerge w:val="continue"/>
            <w:vAlign w:val="center"/>
          </w:tcPr>
          <w:p w14:paraId="003BF848">
            <w:pPr>
              <w:pStyle w:val="527"/>
              <w:rPr>
                <w:rFonts w:hint="eastAsia"/>
                <w:color w:val="000000" w:themeColor="text1"/>
                <w14:textFill>
                  <w14:solidFill>
                    <w14:schemeClr w14:val="tx1"/>
                  </w14:solidFill>
                </w14:textFill>
              </w:rPr>
            </w:pPr>
          </w:p>
        </w:tc>
        <w:tc>
          <w:tcPr>
            <w:tcW w:w="1535" w:type="pct"/>
            <w:vAlign w:val="center"/>
          </w:tcPr>
          <w:p w14:paraId="17B09496">
            <w:pPr>
              <w:pStyle w:val="527"/>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砂砾含量（%）</w:t>
            </w:r>
          </w:p>
        </w:tc>
        <w:tc>
          <w:tcPr>
            <w:tcW w:w="731" w:type="pct"/>
            <w:vAlign w:val="center"/>
          </w:tcPr>
          <w:p w14:paraId="6C40FB55">
            <w:pPr>
              <w:pStyle w:val="527"/>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5</w:t>
            </w:r>
          </w:p>
        </w:tc>
        <w:tc>
          <w:tcPr>
            <w:tcW w:w="1131" w:type="pct"/>
            <w:vAlign w:val="center"/>
          </w:tcPr>
          <w:p w14:paraId="13F6E6F8">
            <w:pPr>
              <w:pStyle w:val="527"/>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5</w:t>
            </w:r>
          </w:p>
        </w:tc>
        <w:tc>
          <w:tcPr>
            <w:tcW w:w="1108" w:type="pct"/>
          </w:tcPr>
          <w:p w14:paraId="02078426">
            <w:pPr>
              <w:pStyle w:val="527"/>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5</w:t>
            </w:r>
          </w:p>
        </w:tc>
      </w:tr>
      <w:tr w14:paraId="61EC78EA">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108" w:type="dxa"/>
            <w:bottom w:w="0" w:type="dxa"/>
            <w:right w:w="108" w:type="dxa"/>
          </w:tblCellMar>
        </w:tblPrEx>
        <w:trPr>
          <w:trHeight w:val="284" w:hRule="atLeast"/>
        </w:trPr>
        <w:tc>
          <w:tcPr>
            <w:tcW w:w="495" w:type="pct"/>
            <w:vMerge w:val="continue"/>
            <w:vAlign w:val="center"/>
          </w:tcPr>
          <w:p w14:paraId="4E3878A5">
            <w:pPr>
              <w:pStyle w:val="527"/>
              <w:rPr>
                <w:rFonts w:hint="eastAsia"/>
                <w:color w:val="000000" w:themeColor="text1"/>
                <w14:textFill>
                  <w14:solidFill>
                    <w14:schemeClr w14:val="tx1"/>
                  </w14:solidFill>
                </w14:textFill>
              </w:rPr>
            </w:pPr>
          </w:p>
        </w:tc>
        <w:tc>
          <w:tcPr>
            <w:tcW w:w="1535" w:type="pct"/>
            <w:vAlign w:val="center"/>
          </w:tcPr>
          <w:p w14:paraId="67793EF6">
            <w:pPr>
              <w:pStyle w:val="527"/>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其他异物</w:t>
            </w:r>
          </w:p>
        </w:tc>
        <w:tc>
          <w:tcPr>
            <w:tcW w:w="2970" w:type="pct"/>
            <w:gridSpan w:val="3"/>
            <w:vAlign w:val="center"/>
          </w:tcPr>
          <w:p w14:paraId="31714839">
            <w:pPr>
              <w:pStyle w:val="527"/>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无</w:t>
            </w:r>
          </w:p>
        </w:tc>
      </w:tr>
      <w:tr w14:paraId="0B9DD974">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108" w:type="dxa"/>
            <w:bottom w:w="0" w:type="dxa"/>
            <w:right w:w="108" w:type="dxa"/>
          </w:tblCellMar>
        </w:tblPrEx>
        <w:trPr>
          <w:trHeight w:val="284" w:hRule="atLeast"/>
        </w:trPr>
        <w:tc>
          <w:tcPr>
            <w:tcW w:w="495" w:type="pct"/>
            <w:vMerge w:val="continue"/>
            <w:vAlign w:val="center"/>
          </w:tcPr>
          <w:p w14:paraId="47E78A6A">
            <w:pPr>
              <w:pStyle w:val="527"/>
              <w:rPr>
                <w:rFonts w:hint="eastAsia"/>
                <w:color w:val="000000" w:themeColor="text1"/>
                <w14:textFill>
                  <w14:solidFill>
                    <w14:schemeClr w14:val="tx1"/>
                  </w14:solidFill>
                </w14:textFill>
              </w:rPr>
            </w:pPr>
          </w:p>
        </w:tc>
        <w:tc>
          <w:tcPr>
            <w:tcW w:w="1535" w:type="pct"/>
            <w:vAlign w:val="center"/>
          </w:tcPr>
          <w:p w14:paraId="18B5E372">
            <w:pPr>
              <w:pStyle w:val="527"/>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氧化还原电位（m</w:t>
            </w:r>
            <w:r>
              <w:rPr>
                <w:color w:val="000000" w:themeColor="text1"/>
                <w14:textFill>
                  <w14:solidFill>
                    <w14:schemeClr w14:val="tx1"/>
                  </w14:solidFill>
                </w14:textFill>
              </w:rPr>
              <w:t>V</w:t>
            </w:r>
            <w:r>
              <w:rPr>
                <w:rFonts w:hint="eastAsia"/>
                <w:color w:val="000000" w:themeColor="text1"/>
                <w14:textFill>
                  <w14:solidFill>
                    <w14:schemeClr w14:val="tx1"/>
                  </w14:solidFill>
                </w14:textFill>
              </w:rPr>
              <w:t>）</w:t>
            </w:r>
          </w:p>
        </w:tc>
        <w:tc>
          <w:tcPr>
            <w:tcW w:w="731" w:type="pct"/>
            <w:vAlign w:val="center"/>
          </w:tcPr>
          <w:p w14:paraId="14E34536">
            <w:pPr>
              <w:pStyle w:val="527"/>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190</w:t>
            </w:r>
          </w:p>
        </w:tc>
        <w:tc>
          <w:tcPr>
            <w:tcW w:w="1131" w:type="pct"/>
            <w:vAlign w:val="center"/>
          </w:tcPr>
          <w:p w14:paraId="6DE2F651">
            <w:pPr>
              <w:pStyle w:val="527"/>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172</w:t>
            </w:r>
          </w:p>
        </w:tc>
        <w:tc>
          <w:tcPr>
            <w:tcW w:w="1108" w:type="pct"/>
          </w:tcPr>
          <w:p w14:paraId="37106921">
            <w:pPr>
              <w:pStyle w:val="527"/>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156</w:t>
            </w:r>
          </w:p>
        </w:tc>
      </w:tr>
      <w:tr w14:paraId="2EC59CE9">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108" w:type="dxa"/>
            <w:bottom w:w="0" w:type="dxa"/>
            <w:right w:w="108" w:type="dxa"/>
          </w:tblCellMar>
        </w:tblPrEx>
        <w:trPr>
          <w:trHeight w:val="284" w:hRule="atLeast"/>
        </w:trPr>
        <w:tc>
          <w:tcPr>
            <w:tcW w:w="495" w:type="pct"/>
            <w:vMerge w:val="restart"/>
            <w:vAlign w:val="center"/>
          </w:tcPr>
          <w:p w14:paraId="41ABEF0A">
            <w:pPr>
              <w:pStyle w:val="527"/>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实验室测点</w:t>
            </w:r>
          </w:p>
        </w:tc>
        <w:tc>
          <w:tcPr>
            <w:tcW w:w="1535" w:type="pct"/>
            <w:vAlign w:val="center"/>
          </w:tcPr>
          <w:p w14:paraId="7BFE1970">
            <w:pPr>
              <w:pStyle w:val="527"/>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p</w:t>
            </w:r>
            <w:r>
              <w:rPr>
                <w:color w:val="000000" w:themeColor="text1"/>
                <w14:textFill>
                  <w14:solidFill>
                    <w14:schemeClr w14:val="tx1"/>
                  </w14:solidFill>
                </w14:textFill>
              </w:rPr>
              <w:t>H</w:t>
            </w:r>
            <w:r>
              <w:rPr>
                <w:rFonts w:hint="eastAsia"/>
                <w:color w:val="000000" w:themeColor="text1"/>
                <w14:textFill>
                  <w14:solidFill>
                    <w14:schemeClr w14:val="tx1"/>
                  </w14:solidFill>
                </w14:textFill>
              </w:rPr>
              <w:t>值</w:t>
            </w:r>
          </w:p>
        </w:tc>
        <w:tc>
          <w:tcPr>
            <w:tcW w:w="731" w:type="pct"/>
            <w:vAlign w:val="center"/>
          </w:tcPr>
          <w:p w14:paraId="5E22D07A">
            <w:pPr>
              <w:pStyle w:val="527"/>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8.78</w:t>
            </w:r>
          </w:p>
        </w:tc>
        <w:tc>
          <w:tcPr>
            <w:tcW w:w="1131" w:type="pct"/>
            <w:vAlign w:val="center"/>
          </w:tcPr>
          <w:p w14:paraId="78A4BCA5">
            <w:pPr>
              <w:pStyle w:val="527"/>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8.61</w:t>
            </w:r>
          </w:p>
        </w:tc>
        <w:tc>
          <w:tcPr>
            <w:tcW w:w="1108" w:type="pct"/>
          </w:tcPr>
          <w:p w14:paraId="62E60E75">
            <w:pPr>
              <w:pStyle w:val="527"/>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8.87</w:t>
            </w:r>
          </w:p>
        </w:tc>
      </w:tr>
      <w:tr w14:paraId="7775E46A">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108" w:type="dxa"/>
            <w:bottom w:w="0" w:type="dxa"/>
            <w:right w:w="108" w:type="dxa"/>
          </w:tblCellMar>
        </w:tblPrEx>
        <w:trPr>
          <w:trHeight w:val="284" w:hRule="atLeast"/>
        </w:trPr>
        <w:tc>
          <w:tcPr>
            <w:tcW w:w="495" w:type="pct"/>
            <w:vMerge w:val="continue"/>
            <w:vAlign w:val="center"/>
          </w:tcPr>
          <w:p w14:paraId="6E215A87">
            <w:pPr>
              <w:pStyle w:val="527"/>
              <w:rPr>
                <w:rFonts w:hint="eastAsia"/>
                <w:color w:val="000000" w:themeColor="text1"/>
                <w14:textFill>
                  <w14:solidFill>
                    <w14:schemeClr w14:val="tx1"/>
                  </w14:solidFill>
                </w14:textFill>
              </w:rPr>
            </w:pPr>
          </w:p>
        </w:tc>
        <w:tc>
          <w:tcPr>
            <w:tcW w:w="1535" w:type="pct"/>
            <w:vAlign w:val="center"/>
          </w:tcPr>
          <w:p w14:paraId="109ADC9D">
            <w:pPr>
              <w:pStyle w:val="527"/>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阳离子交换量（cmo</w:t>
            </w:r>
            <w:r>
              <w:rPr>
                <w:color w:val="000000" w:themeColor="text1"/>
                <w14:textFill>
                  <w14:solidFill>
                    <w14:schemeClr w14:val="tx1"/>
                  </w14:solidFill>
                </w14:textFill>
              </w:rPr>
              <w:t>l/kg</w:t>
            </w:r>
            <w:r>
              <w:rPr>
                <w:rFonts w:hint="eastAsia"/>
                <w:color w:val="000000" w:themeColor="text1"/>
                <w14:textFill>
                  <w14:solidFill>
                    <w14:schemeClr w14:val="tx1"/>
                  </w14:solidFill>
                </w14:textFill>
              </w:rPr>
              <w:t>）</w:t>
            </w:r>
          </w:p>
        </w:tc>
        <w:tc>
          <w:tcPr>
            <w:tcW w:w="731" w:type="pct"/>
            <w:vAlign w:val="center"/>
          </w:tcPr>
          <w:p w14:paraId="200E3859">
            <w:pPr>
              <w:pStyle w:val="527"/>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16.0</w:t>
            </w:r>
          </w:p>
        </w:tc>
        <w:tc>
          <w:tcPr>
            <w:tcW w:w="1131" w:type="pct"/>
            <w:vAlign w:val="center"/>
          </w:tcPr>
          <w:p w14:paraId="5C94627B">
            <w:pPr>
              <w:pStyle w:val="527"/>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14.3</w:t>
            </w:r>
          </w:p>
        </w:tc>
        <w:tc>
          <w:tcPr>
            <w:tcW w:w="1108" w:type="pct"/>
          </w:tcPr>
          <w:p w14:paraId="4392F2B5">
            <w:pPr>
              <w:pStyle w:val="527"/>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14.9</w:t>
            </w:r>
          </w:p>
        </w:tc>
      </w:tr>
      <w:tr w14:paraId="6CF75956">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108" w:type="dxa"/>
            <w:bottom w:w="0" w:type="dxa"/>
            <w:right w:w="108" w:type="dxa"/>
          </w:tblCellMar>
        </w:tblPrEx>
        <w:trPr>
          <w:trHeight w:val="284" w:hRule="atLeast"/>
        </w:trPr>
        <w:tc>
          <w:tcPr>
            <w:tcW w:w="495" w:type="pct"/>
            <w:vMerge w:val="continue"/>
            <w:vAlign w:val="center"/>
          </w:tcPr>
          <w:p w14:paraId="00C8AE79">
            <w:pPr>
              <w:pStyle w:val="527"/>
              <w:rPr>
                <w:rFonts w:hint="eastAsia"/>
                <w:color w:val="000000" w:themeColor="text1"/>
                <w14:textFill>
                  <w14:solidFill>
                    <w14:schemeClr w14:val="tx1"/>
                  </w14:solidFill>
                </w14:textFill>
              </w:rPr>
            </w:pPr>
          </w:p>
        </w:tc>
        <w:tc>
          <w:tcPr>
            <w:tcW w:w="1535" w:type="pct"/>
            <w:vAlign w:val="center"/>
          </w:tcPr>
          <w:p w14:paraId="2DDA0417">
            <w:pPr>
              <w:pStyle w:val="527"/>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饱和导水率（mm</w:t>
            </w:r>
            <w:r>
              <w:rPr>
                <w:color w:val="000000" w:themeColor="text1"/>
                <w14:textFill>
                  <w14:solidFill>
                    <w14:schemeClr w14:val="tx1"/>
                  </w14:solidFill>
                </w14:textFill>
              </w:rPr>
              <w:t>/min</w:t>
            </w:r>
            <w:r>
              <w:rPr>
                <w:rFonts w:hint="eastAsia"/>
                <w:color w:val="000000" w:themeColor="text1"/>
                <w14:textFill>
                  <w14:solidFill>
                    <w14:schemeClr w14:val="tx1"/>
                  </w14:solidFill>
                </w14:textFill>
              </w:rPr>
              <w:t>）</w:t>
            </w:r>
          </w:p>
        </w:tc>
        <w:tc>
          <w:tcPr>
            <w:tcW w:w="731" w:type="pct"/>
            <w:vAlign w:val="center"/>
          </w:tcPr>
          <w:p w14:paraId="1FDBBFAC">
            <w:pPr>
              <w:pStyle w:val="527"/>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5.53</w:t>
            </w:r>
          </w:p>
        </w:tc>
        <w:tc>
          <w:tcPr>
            <w:tcW w:w="1131" w:type="pct"/>
            <w:vAlign w:val="center"/>
          </w:tcPr>
          <w:p w14:paraId="4C54FC3E">
            <w:pPr>
              <w:pStyle w:val="527"/>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5.57</w:t>
            </w:r>
          </w:p>
        </w:tc>
        <w:tc>
          <w:tcPr>
            <w:tcW w:w="1108" w:type="pct"/>
          </w:tcPr>
          <w:p w14:paraId="735DB50B">
            <w:pPr>
              <w:pStyle w:val="527"/>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5.55</w:t>
            </w:r>
          </w:p>
        </w:tc>
      </w:tr>
      <w:tr w14:paraId="3AC30CD6">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108" w:type="dxa"/>
            <w:bottom w:w="0" w:type="dxa"/>
            <w:right w:w="108" w:type="dxa"/>
          </w:tblCellMar>
        </w:tblPrEx>
        <w:trPr>
          <w:trHeight w:val="284" w:hRule="atLeast"/>
        </w:trPr>
        <w:tc>
          <w:tcPr>
            <w:tcW w:w="495" w:type="pct"/>
            <w:vMerge w:val="continue"/>
            <w:vAlign w:val="center"/>
          </w:tcPr>
          <w:p w14:paraId="682B1946">
            <w:pPr>
              <w:pStyle w:val="527"/>
              <w:rPr>
                <w:rFonts w:hint="eastAsia"/>
                <w:color w:val="000000" w:themeColor="text1"/>
                <w14:textFill>
                  <w14:solidFill>
                    <w14:schemeClr w14:val="tx1"/>
                  </w14:solidFill>
                </w14:textFill>
              </w:rPr>
            </w:pPr>
          </w:p>
        </w:tc>
        <w:tc>
          <w:tcPr>
            <w:tcW w:w="1535" w:type="pct"/>
            <w:vAlign w:val="center"/>
          </w:tcPr>
          <w:p w14:paraId="587574F6">
            <w:pPr>
              <w:pStyle w:val="527"/>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土壤容重（g</w:t>
            </w:r>
            <w:r>
              <w:rPr>
                <w:color w:val="000000" w:themeColor="text1"/>
                <w14:textFill>
                  <w14:solidFill>
                    <w14:schemeClr w14:val="tx1"/>
                  </w14:solidFill>
                </w14:textFill>
              </w:rPr>
              <w:t>/cm</w:t>
            </w:r>
            <w:r>
              <w:rPr>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w:t>
            </w:r>
          </w:p>
        </w:tc>
        <w:tc>
          <w:tcPr>
            <w:tcW w:w="731" w:type="pct"/>
            <w:vAlign w:val="center"/>
          </w:tcPr>
          <w:p w14:paraId="2D14D5BD">
            <w:pPr>
              <w:pStyle w:val="527"/>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1.23</w:t>
            </w:r>
          </w:p>
        </w:tc>
        <w:tc>
          <w:tcPr>
            <w:tcW w:w="1131" w:type="pct"/>
            <w:vAlign w:val="center"/>
          </w:tcPr>
          <w:p w14:paraId="13587B5F">
            <w:pPr>
              <w:pStyle w:val="527"/>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1.31</w:t>
            </w:r>
          </w:p>
        </w:tc>
        <w:tc>
          <w:tcPr>
            <w:tcW w:w="1108" w:type="pct"/>
          </w:tcPr>
          <w:p w14:paraId="44819878">
            <w:pPr>
              <w:pStyle w:val="527"/>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1.30</w:t>
            </w:r>
          </w:p>
        </w:tc>
      </w:tr>
      <w:tr w14:paraId="79CE86D9">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108" w:type="dxa"/>
            <w:bottom w:w="0" w:type="dxa"/>
            <w:right w:w="108" w:type="dxa"/>
          </w:tblCellMar>
        </w:tblPrEx>
        <w:trPr>
          <w:trHeight w:val="284" w:hRule="atLeast"/>
        </w:trPr>
        <w:tc>
          <w:tcPr>
            <w:tcW w:w="495" w:type="pct"/>
            <w:vMerge w:val="continue"/>
            <w:vAlign w:val="center"/>
          </w:tcPr>
          <w:p w14:paraId="67D02E07">
            <w:pPr>
              <w:pStyle w:val="527"/>
              <w:rPr>
                <w:rFonts w:hint="eastAsia"/>
                <w:color w:val="000000" w:themeColor="text1"/>
                <w14:textFill>
                  <w14:solidFill>
                    <w14:schemeClr w14:val="tx1"/>
                  </w14:solidFill>
                </w14:textFill>
              </w:rPr>
            </w:pPr>
          </w:p>
        </w:tc>
        <w:tc>
          <w:tcPr>
            <w:tcW w:w="1535" w:type="pct"/>
            <w:vAlign w:val="center"/>
          </w:tcPr>
          <w:p w14:paraId="3882BCE7">
            <w:pPr>
              <w:pStyle w:val="527"/>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孔隙度（%）</w:t>
            </w:r>
          </w:p>
        </w:tc>
        <w:tc>
          <w:tcPr>
            <w:tcW w:w="731" w:type="pct"/>
            <w:vAlign w:val="center"/>
          </w:tcPr>
          <w:p w14:paraId="0A95B526">
            <w:pPr>
              <w:pStyle w:val="527"/>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38.1</w:t>
            </w:r>
          </w:p>
        </w:tc>
        <w:tc>
          <w:tcPr>
            <w:tcW w:w="1131" w:type="pct"/>
            <w:vAlign w:val="center"/>
          </w:tcPr>
          <w:p w14:paraId="2C53345E">
            <w:pPr>
              <w:pStyle w:val="527"/>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37.7</w:t>
            </w:r>
          </w:p>
        </w:tc>
        <w:tc>
          <w:tcPr>
            <w:tcW w:w="1108" w:type="pct"/>
          </w:tcPr>
          <w:p w14:paraId="0F0CD185">
            <w:pPr>
              <w:pStyle w:val="527"/>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39.1</w:t>
            </w:r>
          </w:p>
        </w:tc>
      </w:tr>
      <w:tr w14:paraId="6E7C6812">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108" w:type="dxa"/>
            <w:bottom w:w="0" w:type="dxa"/>
            <w:right w:w="108" w:type="dxa"/>
          </w:tblCellMar>
        </w:tblPrEx>
        <w:trPr>
          <w:trHeight w:val="284" w:hRule="atLeast"/>
        </w:trPr>
        <w:tc>
          <w:tcPr>
            <w:tcW w:w="2030" w:type="pct"/>
            <w:gridSpan w:val="2"/>
            <w:vAlign w:val="center"/>
          </w:tcPr>
          <w:p w14:paraId="03182121">
            <w:pPr>
              <w:pStyle w:val="527"/>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点号</w:t>
            </w:r>
          </w:p>
        </w:tc>
        <w:tc>
          <w:tcPr>
            <w:tcW w:w="2970" w:type="pct"/>
            <w:gridSpan w:val="3"/>
            <w:vAlign w:val="center"/>
          </w:tcPr>
          <w:p w14:paraId="4FBBB0DA">
            <w:pPr>
              <w:pStyle w:val="527"/>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T11</w:t>
            </w:r>
          </w:p>
        </w:tc>
      </w:tr>
      <w:tr w14:paraId="6771B98B">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108" w:type="dxa"/>
            <w:bottom w:w="0" w:type="dxa"/>
            <w:right w:w="108" w:type="dxa"/>
          </w:tblCellMar>
        </w:tblPrEx>
        <w:trPr>
          <w:trHeight w:val="284" w:hRule="atLeast"/>
        </w:trPr>
        <w:tc>
          <w:tcPr>
            <w:tcW w:w="2030" w:type="pct"/>
            <w:gridSpan w:val="2"/>
            <w:vAlign w:val="center"/>
          </w:tcPr>
          <w:p w14:paraId="35B17952">
            <w:pPr>
              <w:pStyle w:val="527"/>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层次</w:t>
            </w:r>
          </w:p>
        </w:tc>
        <w:tc>
          <w:tcPr>
            <w:tcW w:w="731" w:type="pct"/>
            <w:vAlign w:val="center"/>
          </w:tcPr>
          <w:p w14:paraId="7487FF26">
            <w:pPr>
              <w:pStyle w:val="527"/>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0～0.5m</w:t>
            </w:r>
          </w:p>
        </w:tc>
        <w:tc>
          <w:tcPr>
            <w:tcW w:w="1131" w:type="pct"/>
            <w:vAlign w:val="center"/>
          </w:tcPr>
          <w:p w14:paraId="20545622">
            <w:pPr>
              <w:pStyle w:val="527"/>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0.5～1.5m</w:t>
            </w:r>
          </w:p>
        </w:tc>
        <w:tc>
          <w:tcPr>
            <w:tcW w:w="1108" w:type="pct"/>
          </w:tcPr>
          <w:p w14:paraId="5E791D9B">
            <w:pPr>
              <w:pStyle w:val="527"/>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1.5～3m</w:t>
            </w:r>
          </w:p>
        </w:tc>
      </w:tr>
      <w:tr w14:paraId="622EBD92">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108" w:type="dxa"/>
            <w:bottom w:w="0" w:type="dxa"/>
            <w:right w:w="108" w:type="dxa"/>
          </w:tblCellMar>
        </w:tblPrEx>
        <w:trPr>
          <w:trHeight w:val="284" w:hRule="atLeast"/>
        </w:trPr>
        <w:tc>
          <w:tcPr>
            <w:tcW w:w="495" w:type="pct"/>
            <w:vMerge w:val="restart"/>
            <w:vAlign w:val="center"/>
          </w:tcPr>
          <w:p w14:paraId="10E7FB77">
            <w:pPr>
              <w:pStyle w:val="527"/>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现场记录</w:t>
            </w:r>
          </w:p>
        </w:tc>
        <w:tc>
          <w:tcPr>
            <w:tcW w:w="1535" w:type="pct"/>
            <w:vAlign w:val="center"/>
          </w:tcPr>
          <w:p w14:paraId="2EA6C246">
            <w:pPr>
              <w:pStyle w:val="527"/>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颜色</w:t>
            </w:r>
          </w:p>
        </w:tc>
        <w:tc>
          <w:tcPr>
            <w:tcW w:w="2970" w:type="pct"/>
            <w:gridSpan w:val="3"/>
            <w:vAlign w:val="center"/>
          </w:tcPr>
          <w:p w14:paraId="4E77BA31">
            <w:pPr>
              <w:pStyle w:val="527"/>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黄棕色</w:t>
            </w:r>
          </w:p>
        </w:tc>
      </w:tr>
      <w:tr w14:paraId="26D4DEB4">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108" w:type="dxa"/>
            <w:bottom w:w="0" w:type="dxa"/>
            <w:right w:w="108" w:type="dxa"/>
          </w:tblCellMar>
        </w:tblPrEx>
        <w:trPr>
          <w:trHeight w:val="284" w:hRule="atLeast"/>
        </w:trPr>
        <w:tc>
          <w:tcPr>
            <w:tcW w:w="495" w:type="pct"/>
            <w:vMerge w:val="continue"/>
            <w:vAlign w:val="center"/>
          </w:tcPr>
          <w:p w14:paraId="362B66BA">
            <w:pPr>
              <w:pStyle w:val="527"/>
              <w:rPr>
                <w:rFonts w:hint="eastAsia"/>
                <w:color w:val="000000" w:themeColor="text1"/>
                <w14:textFill>
                  <w14:solidFill>
                    <w14:schemeClr w14:val="tx1"/>
                  </w14:solidFill>
                </w14:textFill>
              </w:rPr>
            </w:pPr>
          </w:p>
        </w:tc>
        <w:tc>
          <w:tcPr>
            <w:tcW w:w="1535" w:type="pct"/>
            <w:vAlign w:val="center"/>
          </w:tcPr>
          <w:p w14:paraId="3A10BB7F">
            <w:pPr>
              <w:pStyle w:val="527"/>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结构</w:t>
            </w:r>
          </w:p>
        </w:tc>
        <w:tc>
          <w:tcPr>
            <w:tcW w:w="2970" w:type="pct"/>
            <w:gridSpan w:val="3"/>
            <w:vAlign w:val="center"/>
          </w:tcPr>
          <w:p w14:paraId="2EF5CD61">
            <w:pPr>
              <w:pStyle w:val="527"/>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核状结构</w:t>
            </w:r>
          </w:p>
        </w:tc>
      </w:tr>
      <w:tr w14:paraId="4D2578F1">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108" w:type="dxa"/>
            <w:bottom w:w="0" w:type="dxa"/>
            <w:right w:w="108" w:type="dxa"/>
          </w:tblCellMar>
        </w:tblPrEx>
        <w:trPr>
          <w:trHeight w:val="284" w:hRule="atLeast"/>
        </w:trPr>
        <w:tc>
          <w:tcPr>
            <w:tcW w:w="495" w:type="pct"/>
            <w:vMerge w:val="continue"/>
            <w:vAlign w:val="center"/>
          </w:tcPr>
          <w:p w14:paraId="4F705869">
            <w:pPr>
              <w:pStyle w:val="527"/>
              <w:rPr>
                <w:rFonts w:hint="eastAsia"/>
                <w:color w:val="000000" w:themeColor="text1"/>
                <w14:textFill>
                  <w14:solidFill>
                    <w14:schemeClr w14:val="tx1"/>
                  </w14:solidFill>
                </w14:textFill>
              </w:rPr>
            </w:pPr>
          </w:p>
        </w:tc>
        <w:tc>
          <w:tcPr>
            <w:tcW w:w="1535" w:type="pct"/>
            <w:vAlign w:val="center"/>
          </w:tcPr>
          <w:p w14:paraId="23FC96C1">
            <w:pPr>
              <w:pStyle w:val="527"/>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质地</w:t>
            </w:r>
          </w:p>
        </w:tc>
        <w:tc>
          <w:tcPr>
            <w:tcW w:w="2970" w:type="pct"/>
            <w:gridSpan w:val="3"/>
            <w:vAlign w:val="center"/>
          </w:tcPr>
          <w:p w14:paraId="2C301F17">
            <w:pPr>
              <w:pStyle w:val="527"/>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砂土</w:t>
            </w:r>
          </w:p>
        </w:tc>
      </w:tr>
      <w:tr w14:paraId="374177ED">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108" w:type="dxa"/>
            <w:bottom w:w="0" w:type="dxa"/>
            <w:right w:w="108" w:type="dxa"/>
          </w:tblCellMar>
        </w:tblPrEx>
        <w:trPr>
          <w:trHeight w:val="284" w:hRule="atLeast"/>
        </w:trPr>
        <w:tc>
          <w:tcPr>
            <w:tcW w:w="495" w:type="pct"/>
            <w:vMerge w:val="continue"/>
            <w:vAlign w:val="center"/>
          </w:tcPr>
          <w:p w14:paraId="319D893F">
            <w:pPr>
              <w:pStyle w:val="527"/>
              <w:rPr>
                <w:rFonts w:hint="eastAsia"/>
                <w:color w:val="000000" w:themeColor="text1"/>
                <w14:textFill>
                  <w14:solidFill>
                    <w14:schemeClr w14:val="tx1"/>
                  </w14:solidFill>
                </w14:textFill>
              </w:rPr>
            </w:pPr>
          </w:p>
        </w:tc>
        <w:tc>
          <w:tcPr>
            <w:tcW w:w="1535" w:type="pct"/>
            <w:vAlign w:val="center"/>
          </w:tcPr>
          <w:p w14:paraId="03A70B9C">
            <w:pPr>
              <w:pStyle w:val="527"/>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其他异物</w:t>
            </w:r>
          </w:p>
        </w:tc>
        <w:tc>
          <w:tcPr>
            <w:tcW w:w="2970" w:type="pct"/>
            <w:gridSpan w:val="3"/>
            <w:vAlign w:val="center"/>
          </w:tcPr>
          <w:p w14:paraId="3A750B5B">
            <w:pPr>
              <w:pStyle w:val="527"/>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无</w:t>
            </w:r>
          </w:p>
        </w:tc>
      </w:tr>
      <w:tr w14:paraId="71153985">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108" w:type="dxa"/>
            <w:bottom w:w="0" w:type="dxa"/>
            <w:right w:w="108" w:type="dxa"/>
          </w:tblCellMar>
        </w:tblPrEx>
        <w:trPr>
          <w:trHeight w:val="284" w:hRule="atLeast"/>
        </w:trPr>
        <w:tc>
          <w:tcPr>
            <w:tcW w:w="495" w:type="pct"/>
            <w:vMerge w:val="continue"/>
            <w:vAlign w:val="center"/>
          </w:tcPr>
          <w:p w14:paraId="65A29F14">
            <w:pPr>
              <w:pStyle w:val="527"/>
              <w:rPr>
                <w:rFonts w:hint="eastAsia"/>
                <w:color w:val="000000" w:themeColor="text1"/>
                <w14:textFill>
                  <w14:solidFill>
                    <w14:schemeClr w14:val="tx1"/>
                  </w14:solidFill>
                </w14:textFill>
              </w:rPr>
            </w:pPr>
          </w:p>
        </w:tc>
        <w:tc>
          <w:tcPr>
            <w:tcW w:w="1535" w:type="pct"/>
            <w:vAlign w:val="center"/>
          </w:tcPr>
          <w:p w14:paraId="2ABDB642">
            <w:pPr>
              <w:pStyle w:val="527"/>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砂砾含量（%）</w:t>
            </w:r>
          </w:p>
        </w:tc>
        <w:tc>
          <w:tcPr>
            <w:tcW w:w="731" w:type="pct"/>
            <w:vAlign w:val="center"/>
          </w:tcPr>
          <w:p w14:paraId="4B05BC58">
            <w:pPr>
              <w:pStyle w:val="527"/>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5</w:t>
            </w:r>
          </w:p>
        </w:tc>
        <w:tc>
          <w:tcPr>
            <w:tcW w:w="1131" w:type="pct"/>
            <w:vAlign w:val="center"/>
          </w:tcPr>
          <w:p w14:paraId="361768EA">
            <w:pPr>
              <w:pStyle w:val="527"/>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5</w:t>
            </w:r>
          </w:p>
        </w:tc>
        <w:tc>
          <w:tcPr>
            <w:tcW w:w="1108" w:type="pct"/>
            <w:vAlign w:val="center"/>
          </w:tcPr>
          <w:p w14:paraId="3B20B6E5">
            <w:pPr>
              <w:pStyle w:val="527"/>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5</w:t>
            </w:r>
          </w:p>
        </w:tc>
      </w:tr>
      <w:tr w14:paraId="543F216C">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108" w:type="dxa"/>
            <w:bottom w:w="0" w:type="dxa"/>
            <w:right w:w="108" w:type="dxa"/>
          </w:tblCellMar>
        </w:tblPrEx>
        <w:trPr>
          <w:trHeight w:val="284" w:hRule="atLeast"/>
        </w:trPr>
        <w:tc>
          <w:tcPr>
            <w:tcW w:w="495" w:type="pct"/>
            <w:vMerge w:val="continue"/>
            <w:vAlign w:val="center"/>
          </w:tcPr>
          <w:p w14:paraId="564C8459">
            <w:pPr>
              <w:pStyle w:val="527"/>
              <w:rPr>
                <w:rFonts w:hint="eastAsia"/>
                <w:color w:val="000000" w:themeColor="text1"/>
                <w14:textFill>
                  <w14:solidFill>
                    <w14:schemeClr w14:val="tx1"/>
                  </w14:solidFill>
                </w14:textFill>
              </w:rPr>
            </w:pPr>
          </w:p>
        </w:tc>
        <w:tc>
          <w:tcPr>
            <w:tcW w:w="1535" w:type="pct"/>
            <w:vAlign w:val="center"/>
          </w:tcPr>
          <w:p w14:paraId="507E2CDD">
            <w:pPr>
              <w:pStyle w:val="527"/>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氧化还原电位（m</w:t>
            </w:r>
            <w:r>
              <w:rPr>
                <w:color w:val="000000" w:themeColor="text1"/>
                <w14:textFill>
                  <w14:solidFill>
                    <w14:schemeClr w14:val="tx1"/>
                  </w14:solidFill>
                </w14:textFill>
              </w:rPr>
              <w:t>V</w:t>
            </w:r>
            <w:r>
              <w:rPr>
                <w:rFonts w:hint="eastAsia"/>
                <w:color w:val="000000" w:themeColor="text1"/>
                <w14:textFill>
                  <w14:solidFill>
                    <w14:schemeClr w14:val="tx1"/>
                  </w14:solidFill>
                </w14:textFill>
              </w:rPr>
              <w:t>）</w:t>
            </w:r>
          </w:p>
        </w:tc>
        <w:tc>
          <w:tcPr>
            <w:tcW w:w="731" w:type="pct"/>
            <w:vAlign w:val="center"/>
          </w:tcPr>
          <w:p w14:paraId="138BEEA8">
            <w:pPr>
              <w:pStyle w:val="527"/>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182</w:t>
            </w:r>
          </w:p>
        </w:tc>
        <w:tc>
          <w:tcPr>
            <w:tcW w:w="1131" w:type="pct"/>
            <w:vAlign w:val="center"/>
          </w:tcPr>
          <w:p w14:paraId="7A4F6ABC">
            <w:pPr>
              <w:pStyle w:val="527"/>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147</w:t>
            </w:r>
          </w:p>
        </w:tc>
        <w:tc>
          <w:tcPr>
            <w:tcW w:w="1108" w:type="pct"/>
            <w:vAlign w:val="center"/>
          </w:tcPr>
          <w:p w14:paraId="53BEA7FB">
            <w:pPr>
              <w:pStyle w:val="527"/>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127</w:t>
            </w:r>
          </w:p>
        </w:tc>
      </w:tr>
      <w:tr w14:paraId="4E1A39BF">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108" w:type="dxa"/>
            <w:bottom w:w="0" w:type="dxa"/>
            <w:right w:w="108" w:type="dxa"/>
          </w:tblCellMar>
        </w:tblPrEx>
        <w:trPr>
          <w:trHeight w:val="284" w:hRule="atLeast"/>
        </w:trPr>
        <w:tc>
          <w:tcPr>
            <w:tcW w:w="495" w:type="pct"/>
            <w:vMerge w:val="restart"/>
            <w:vAlign w:val="center"/>
          </w:tcPr>
          <w:p w14:paraId="14F212E4">
            <w:pPr>
              <w:pStyle w:val="527"/>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实验室测点</w:t>
            </w:r>
          </w:p>
        </w:tc>
        <w:tc>
          <w:tcPr>
            <w:tcW w:w="1535" w:type="pct"/>
            <w:vAlign w:val="center"/>
          </w:tcPr>
          <w:p w14:paraId="25CB6276">
            <w:pPr>
              <w:pStyle w:val="527"/>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p</w:t>
            </w:r>
            <w:r>
              <w:rPr>
                <w:color w:val="000000" w:themeColor="text1"/>
                <w14:textFill>
                  <w14:solidFill>
                    <w14:schemeClr w14:val="tx1"/>
                  </w14:solidFill>
                </w14:textFill>
              </w:rPr>
              <w:t>H</w:t>
            </w:r>
            <w:r>
              <w:rPr>
                <w:rFonts w:hint="eastAsia"/>
                <w:color w:val="000000" w:themeColor="text1"/>
                <w14:textFill>
                  <w14:solidFill>
                    <w14:schemeClr w14:val="tx1"/>
                  </w14:solidFill>
                </w14:textFill>
              </w:rPr>
              <w:t>值</w:t>
            </w:r>
          </w:p>
        </w:tc>
        <w:tc>
          <w:tcPr>
            <w:tcW w:w="731" w:type="pct"/>
            <w:vAlign w:val="center"/>
          </w:tcPr>
          <w:p w14:paraId="068D1419">
            <w:pPr>
              <w:pStyle w:val="527"/>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8.49</w:t>
            </w:r>
          </w:p>
        </w:tc>
        <w:tc>
          <w:tcPr>
            <w:tcW w:w="1131" w:type="pct"/>
            <w:vAlign w:val="center"/>
          </w:tcPr>
          <w:p w14:paraId="6D48C4A4">
            <w:pPr>
              <w:pStyle w:val="527"/>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8.61</w:t>
            </w:r>
          </w:p>
        </w:tc>
        <w:tc>
          <w:tcPr>
            <w:tcW w:w="1108" w:type="pct"/>
          </w:tcPr>
          <w:p w14:paraId="1BACC54F">
            <w:pPr>
              <w:pStyle w:val="527"/>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8.76</w:t>
            </w:r>
          </w:p>
        </w:tc>
      </w:tr>
      <w:tr w14:paraId="25E77EA9">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108" w:type="dxa"/>
            <w:bottom w:w="0" w:type="dxa"/>
            <w:right w:w="108" w:type="dxa"/>
          </w:tblCellMar>
        </w:tblPrEx>
        <w:trPr>
          <w:trHeight w:val="284" w:hRule="atLeast"/>
        </w:trPr>
        <w:tc>
          <w:tcPr>
            <w:tcW w:w="495" w:type="pct"/>
            <w:vMerge w:val="continue"/>
            <w:vAlign w:val="center"/>
          </w:tcPr>
          <w:p w14:paraId="5F262A41">
            <w:pPr>
              <w:pStyle w:val="527"/>
              <w:rPr>
                <w:rFonts w:hint="eastAsia"/>
                <w:color w:val="000000" w:themeColor="text1"/>
                <w14:textFill>
                  <w14:solidFill>
                    <w14:schemeClr w14:val="tx1"/>
                  </w14:solidFill>
                </w14:textFill>
              </w:rPr>
            </w:pPr>
          </w:p>
        </w:tc>
        <w:tc>
          <w:tcPr>
            <w:tcW w:w="1535" w:type="pct"/>
            <w:vAlign w:val="center"/>
          </w:tcPr>
          <w:p w14:paraId="562FDF98">
            <w:pPr>
              <w:pStyle w:val="527"/>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阳离子交换量（cmo</w:t>
            </w:r>
            <w:r>
              <w:rPr>
                <w:color w:val="000000" w:themeColor="text1"/>
                <w14:textFill>
                  <w14:solidFill>
                    <w14:schemeClr w14:val="tx1"/>
                  </w14:solidFill>
                </w14:textFill>
              </w:rPr>
              <w:t>l/kg</w:t>
            </w:r>
            <w:r>
              <w:rPr>
                <w:rFonts w:hint="eastAsia"/>
                <w:color w:val="000000" w:themeColor="text1"/>
                <w14:textFill>
                  <w14:solidFill>
                    <w14:schemeClr w14:val="tx1"/>
                  </w14:solidFill>
                </w14:textFill>
              </w:rPr>
              <w:t>）</w:t>
            </w:r>
          </w:p>
        </w:tc>
        <w:tc>
          <w:tcPr>
            <w:tcW w:w="731" w:type="pct"/>
            <w:vAlign w:val="center"/>
          </w:tcPr>
          <w:p w14:paraId="05A1BE36">
            <w:pPr>
              <w:pStyle w:val="527"/>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14.1</w:t>
            </w:r>
          </w:p>
        </w:tc>
        <w:tc>
          <w:tcPr>
            <w:tcW w:w="1131" w:type="pct"/>
            <w:vAlign w:val="center"/>
          </w:tcPr>
          <w:p w14:paraId="290AD7FD">
            <w:pPr>
              <w:pStyle w:val="527"/>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11.2</w:t>
            </w:r>
          </w:p>
        </w:tc>
        <w:tc>
          <w:tcPr>
            <w:tcW w:w="1108" w:type="pct"/>
          </w:tcPr>
          <w:p w14:paraId="200CCB7F">
            <w:pPr>
              <w:pStyle w:val="527"/>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8.73</w:t>
            </w:r>
          </w:p>
        </w:tc>
      </w:tr>
      <w:tr w14:paraId="38FF19EB">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108" w:type="dxa"/>
            <w:bottom w:w="0" w:type="dxa"/>
            <w:right w:w="108" w:type="dxa"/>
          </w:tblCellMar>
        </w:tblPrEx>
        <w:trPr>
          <w:trHeight w:val="284" w:hRule="atLeast"/>
        </w:trPr>
        <w:tc>
          <w:tcPr>
            <w:tcW w:w="495" w:type="pct"/>
            <w:vMerge w:val="continue"/>
            <w:vAlign w:val="center"/>
          </w:tcPr>
          <w:p w14:paraId="3CF2E3B9">
            <w:pPr>
              <w:pStyle w:val="527"/>
              <w:rPr>
                <w:rFonts w:hint="eastAsia"/>
                <w:color w:val="000000" w:themeColor="text1"/>
                <w14:textFill>
                  <w14:solidFill>
                    <w14:schemeClr w14:val="tx1"/>
                  </w14:solidFill>
                </w14:textFill>
              </w:rPr>
            </w:pPr>
          </w:p>
        </w:tc>
        <w:tc>
          <w:tcPr>
            <w:tcW w:w="1535" w:type="pct"/>
            <w:vAlign w:val="center"/>
          </w:tcPr>
          <w:p w14:paraId="4D17113D">
            <w:pPr>
              <w:pStyle w:val="527"/>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土壤容重（g</w:t>
            </w:r>
            <w:r>
              <w:rPr>
                <w:color w:val="000000" w:themeColor="text1"/>
                <w14:textFill>
                  <w14:solidFill>
                    <w14:schemeClr w14:val="tx1"/>
                  </w14:solidFill>
                </w14:textFill>
              </w:rPr>
              <w:t>/cm</w:t>
            </w:r>
            <w:r>
              <w:rPr>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w:t>
            </w:r>
          </w:p>
        </w:tc>
        <w:tc>
          <w:tcPr>
            <w:tcW w:w="731" w:type="pct"/>
            <w:vAlign w:val="center"/>
          </w:tcPr>
          <w:p w14:paraId="08FD339F">
            <w:pPr>
              <w:pStyle w:val="527"/>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1.19</w:t>
            </w:r>
          </w:p>
        </w:tc>
        <w:tc>
          <w:tcPr>
            <w:tcW w:w="1131" w:type="pct"/>
            <w:vAlign w:val="center"/>
          </w:tcPr>
          <w:p w14:paraId="74B201CC">
            <w:pPr>
              <w:pStyle w:val="527"/>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1.17</w:t>
            </w:r>
          </w:p>
        </w:tc>
        <w:tc>
          <w:tcPr>
            <w:tcW w:w="1108" w:type="pct"/>
          </w:tcPr>
          <w:p w14:paraId="6BFBE14C">
            <w:pPr>
              <w:pStyle w:val="527"/>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1.14</w:t>
            </w:r>
          </w:p>
        </w:tc>
      </w:tr>
      <w:tr w14:paraId="60677154">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108" w:type="dxa"/>
            <w:bottom w:w="0" w:type="dxa"/>
            <w:right w:w="108" w:type="dxa"/>
          </w:tblCellMar>
        </w:tblPrEx>
        <w:trPr>
          <w:trHeight w:val="284" w:hRule="atLeast"/>
        </w:trPr>
        <w:tc>
          <w:tcPr>
            <w:tcW w:w="495" w:type="pct"/>
            <w:vMerge w:val="continue"/>
            <w:vAlign w:val="center"/>
          </w:tcPr>
          <w:p w14:paraId="2D922935">
            <w:pPr>
              <w:pStyle w:val="527"/>
              <w:rPr>
                <w:rFonts w:hint="eastAsia"/>
                <w:color w:val="000000" w:themeColor="text1"/>
                <w14:textFill>
                  <w14:solidFill>
                    <w14:schemeClr w14:val="tx1"/>
                  </w14:solidFill>
                </w14:textFill>
              </w:rPr>
            </w:pPr>
          </w:p>
        </w:tc>
        <w:tc>
          <w:tcPr>
            <w:tcW w:w="1535" w:type="pct"/>
            <w:vAlign w:val="center"/>
          </w:tcPr>
          <w:p w14:paraId="5B43B21D">
            <w:pPr>
              <w:pStyle w:val="527"/>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孔隙度（%）</w:t>
            </w:r>
          </w:p>
        </w:tc>
        <w:tc>
          <w:tcPr>
            <w:tcW w:w="731" w:type="pct"/>
            <w:vAlign w:val="center"/>
          </w:tcPr>
          <w:p w14:paraId="4F14F6E6">
            <w:pPr>
              <w:pStyle w:val="527"/>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33.5</w:t>
            </w:r>
          </w:p>
        </w:tc>
        <w:tc>
          <w:tcPr>
            <w:tcW w:w="1131" w:type="pct"/>
            <w:vAlign w:val="center"/>
          </w:tcPr>
          <w:p w14:paraId="7250B2C3">
            <w:pPr>
              <w:pStyle w:val="527"/>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31.8</w:t>
            </w:r>
          </w:p>
        </w:tc>
        <w:tc>
          <w:tcPr>
            <w:tcW w:w="1108" w:type="pct"/>
          </w:tcPr>
          <w:p w14:paraId="1CE6E18C">
            <w:pPr>
              <w:pStyle w:val="527"/>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32.6</w:t>
            </w:r>
          </w:p>
        </w:tc>
      </w:tr>
      <w:tr w14:paraId="6298C034">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108" w:type="dxa"/>
            <w:bottom w:w="0" w:type="dxa"/>
            <w:right w:w="108" w:type="dxa"/>
          </w:tblCellMar>
        </w:tblPrEx>
        <w:trPr>
          <w:trHeight w:val="284" w:hRule="atLeast"/>
        </w:trPr>
        <w:tc>
          <w:tcPr>
            <w:tcW w:w="495" w:type="pct"/>
            <w:vMerge w:val="continue"/>
            <w:vAlign w:val="center"/>
          </w:tcPr>
          <w:p w14:paraId="7B738991">
            <w:pPr>
              <w:pStyle w:val="527"/>
              <w:rPr>
                <w:rFonts w:hint="eastAsia"/>
                <w:color w:val="000000" w:themeColor="text1"/>
                <w14:textFill>
                  <w14:solidFill>
                    <w14:schemeClr w14:val="tx1"/>
                  </w14:solidFill>
                </w14:textFill>
              </w:rPr>
            </w:pPr>
          </w:p>
        </w:tc>
        <w:tc>
          <w:tcPr>
            <w:tcW w:w="1535" w:type="pct"/>
            <w:vAlign w:val="center"/>
          </w:tcPr>
          <w:p w14:paraId="1A7168A7">
            <w:pPr>
              <w:pStyle w:val="527"/>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饱和导水率（mm</w:t>
            </w:r>
            <w:r>
              <w:rPr>
                <w:color w:val="000000" w:themeColor="text1"/>
                <w14:textFill>
                  <w14:solidFill>
                    <w14:schemeClr w14:val="tx1"/>
                  </w14:solidFill>
                </w14:textFill>
              </w:rPr>
              <w:t>/min</w:t>
            </w:r>
            <w:r>
              <w:rPr>
                <w:rFonts w:hint="eastAsia"/>
                <w:color w:val="000000" w:themeColor="text1"/>
                <w14:textFill>
                  <w14:solidFill>
                    <w14:schemeClr w14:val="tx1"/>
                  </w14:solidFill>
                </w14:textFill>
              </w:rPr>
              <w:t>）</w:t>
            </w:r>
          </w:p>
        </w:tc>
        <w:tc>
          <w:tcPr>
            <w:tcW w:w="731" w:type="pct"/>
            <w:vAlign w:val="center"/>
          </w:tcPr>
          <w:p w14:paraId="0BC89494">
            <w:pPr>
              <w:pStyle w:val="527"/>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5.06</w:t>
            </w:r>
          </w:p>
        </w:tc>
        <w:tc>
          <w:tcPr>
            <w:tcW w:w="1131" w:type="pct"/>
            <w:vAlign w:val="center"/>
          </w:tcPr>
          <w:p w14:paraId="28F8B74D">
            <w:pPr>
              <w:pStyle w:val="527"/>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5.23</w:t>
            </w:r>
          </w:p>
        </w:tc>
        <w:tc>
          <w:tcPr>
            <w:tcW w:w="1108" w:type="pct"/>
          </w:tcPr>
          <w:p w14:paraId="689CCE07">
            <w:pPr>
              <w:pStyle w:val="527"/>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5.19</w:t>
            </w:r>
          </w:p>
        </w:tc>
      </w:tr>
    </w:tbl>
    <w:p w14:paraId="08B59798">
      <w:pPr>
        <w:pStyle w:val="117"/>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由表</w:t>
      </w:r>
      <w:r>
        <w:rPr>
          <w:color w:val="000000" w:themeColor="text1"/>
          <w14:textFill>
            <w14:solidFill>
              <w14:schemeClr w14:val="tx1"/>
            </w14:solidFill>
          </w14:textFill>
        </w:rPr>
        <w:t>4.3</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1</w:t>
      </w:r>
      <w:r>
        <w:rPr>
          <w:rFonts w:hint="eastAsia"/>
          <w:color w:val="000000" w:themeColor="text1"/>
          <w14:textFill>
            <w14:solidFill>
              <w14:schemeClr w14:val="tx1"/>
            </w14:solidFill>
          </w14:textFill>
        </w:rPr>
        <w:t>3、表</w:t>
      </w:r>
      <w:r>
        <w:rPr>
          <w:color w:val="000000" w:themeColor="text1"/>
          <w14:textFill>
            <w14:solidFill>
              <w14:schemeClr w14:val="tx1"/>
            </w14:solidFill>
          </w14:textFill>
        </w:rPr>
        <w:t>4.3</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1</w:t>
      </w:r>
      <w:r>
        <w:rPr>
          <w:rFonts w:hint="eastAsia"/>
          <w:color w:val="000000" w:themeColor="text1"/>
          <w14:textFill>
            <w14:solidFill>
              <w14:schemeClr w14:val="tx1"/>
            </w14:solidFill>
          </w14:textFill>
        </w:rPr>
        <w:t>4和表4.3-15可知：</w:t>
      </w:r>
      <w:bookmarkStart w:id="476" w:name="OLE_LINK108"/>
      <w:r>
        <w:rPr>
          <w:rFonts w:hint="eastAsia"/>
          <w:color w:val="000000" w:themeColor="text1"/>
          <w14:textFill>
            <w14:solidFill>
              <w14:schemeClr w14:val="tx1"/>
            </w14:solidFill>
          </w14:textFill>
        </w:rPr>
        <w:t>占地范围内土壤各监测因子和占地范围外石油烃和六价铬监测浓度均满足《土壤环境质量  建设用地土壤污染风险管控标准（试行）》（GB36600-2018）中第二类用地筛选值要求，占地范围外其余监测因子监测浓度满足《土壤环境质量 农用地土壤污染风险管控标准（试行）》（GB15618-2018）。</w:t>
      </w:r>
    </w:p>
    <w:bookmarkEnd w:id="476"/>
    <w:p w14:paraId="398566A1">
      <w:pPr>
        <w:pStyle w:val="4"/>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生态环境现状调查与评价</w:t>
      </w:r>
    </w:p>
    <w:p w14:paraId="4DBF021C">
      <w:pPr>
        <w:pStyle w:val="117"/>
        <w:ind w:firstLine="480"/>
        <w:rPr>
          <w:rFonts w:hint="eastAsia"/>
          <w:color w:val="000000" w:themeColor="text1"/>
          <w14:textFill>
            <w14:solidFill>
              <w14:schemeClr w14:val="tx1"/>
            </w14:solidFill>
          </w14:textFill>
        </w:rPr>
      </w:pPr>
      <w:bookmarkStart w:id="477" w:name="_Hlk80201310"/>
      <w:r>
        <w:rPr>
          <w:rFonts w:hint="eastAsia"/>
          <w:color w:val="000000" w:themeColor="text1"/>
          <w14:textFill>
            <w14:solidFill>
              <w14:schemeClr w14:val="tx1"/>
            </w14:solidFill>
          </w14:textFill>
        </w:rPr>
        <w:t>（1）生态功能区划</w:t>
      </w:r>
    </w:p>
    <w:p w14:paraId="33C0BAEC">
      <w:pPr>
        <w:pStyle w:val="117"/>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根据《新疆生态功能区划》，项目所在区生态功能区的主要生态服务功能、生态敏感因子、主要生态环境问题和主要保护目标见表4.3-18。</w:t>
      </w:r>
      <w:bookmarkStart w:id="478" w:name="_Hlk111788199"/>
      <w:bookmarkStart w:id="479" w:name="_Ref474659032"/>
    </w:p>
    <w:bookmarkEnd w:id="478"/>
    <w:bookmarkEnd w:id="479"/>
    <w:p w14:paraId="03CFC5E8">
      <w:pPr>
        <w:pStyle w:val="19"/>
        <w:spacing w:after="0" w:line="500" w:lineRule="exact"/>
        <w:jc w:val="center"/>
        <w:rPr>
          <w:rFonts w:hint="eastAsia" w:ascii="黑体" w:hAnsi="黑体" w:eastAsia="黑体" w:cs="黑体"/>
          <w:color w:val="000000" w:themeColor="text1"/>
          <w:szCs w:val="21"/>
          <w14:textFill>
            <w14:solidFill>
              <w14:schemeClr w14:val="tx1"/>
            </w14:solidFill>
          </w14:textFill>
        </w:rPr>
      </w:pPr>
      <w:r>
        <w:rPr>
          <w:rFonts w:hint="eastAsia" w:ascii="黑体" w:hAnsi="黑体" w:eastAsia="黑体" w:cs="黑体"/>
          <w:color w:val="000000" w:themeColor="text1"/>
          <w:szCs w:val="21"/>
          <w14:textFill>
            <w14:solidFill>
              <w14:schemeClr w14:val="tx1"/>
            </w14:solidFill>
          </w14:textFill>
        </w:rPr>
        <w:t>表</w:t>
      </w:r>
      <w:r>
        <w:rPr>
          <w:rFonts w:ascii="黑体" w:hAnsi="黑体" w:eastAsia="黑体" w:cs="黑体"/>
          <w:color w:val="000000" w:themeColor="text1"/>
          <w:szCs w:val="21"/>
          <w14:textFill>
            <w14:solidFill>
              <w14:schemeClr w14:val="tx1"/>
            </w14:solidFill>
          </w14:textFill>
        </w:rPr>
        <w:t>4.3</w:t>
      </w:r>
      <w:r>
        <w:rPr>
          <w:rFonts w:hint="eastAsia" w:ascii="黑体" w:hAnsi="黑体" w:eastAsia="黑体" w:cs="黑体"/>
          <w:color w:val="000000" w:themeColor="text1"/>
          <w:szCs w:val="21"/>
          <w14:textFill>
            <w14:solidFill>
              <w14:schemeClr w14:val="tx1"/>
            </w14:solidFill>
          </w14:textFill>
        </w:rPr>
        <w:t>-18  区域生态功能区划</w:t>
      </w:r>
    </w:p>
    <w:tbl>
      <w:tblPr>
        <w:tblStyle w:val="51"/>
        <w:tblW w:w="4999"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046"/>
        <w:gridCol w:w="1424"/>
        <w:gridCol w:w="6474"/>
      </w:tblGrid>
      <w:tr w14:paraId="5628CBA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5" w:type="pct"/>
            <w:vMerge w:val="restart"/>
            <w:tcBorders>
              <w:top w:val="single" w:color="000000" w:sz="12" w:space="0"/>
            </w:tcBorders>
            <w:vAlign w:val="center"/>
          </w:tcPr>
          <w:p w14:paraId="54E80469">
            <w:pPr>
              <w:widowControl/>
              <w:snapToGrid w:val="0"/>
              <w:spacing w:line="30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生态功能分区单元</w:t>
            </w:r>
          </w:p>
        </w:tc>
        <w:tc>
          <w:tcPr>
            <w:tcW w:w="796" w:type="pct"/>
            <w:tcBorders>
              <w:top w:val="single" w:color="000000" w:sz="12" w:space="0"/>
            </w:tcBorders>
            <w:vAlign w:val="center"/>
          </w:tcPr>
          <w:p w14:paraId="63FE13A6">
            <w:pPr>
              <w:widowControl/>
              <w:snapToGrid w:val="0"/>
              <w:spacing w:line="30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生态区</w:t>
            </w:r>
          </w:p>
        </w:tc>
        <w:tc>
          <w:tcPr>
            <w:tcW w:w="3619" w:type="pct"/>
            <w:tcBorders>
              <w:top w:val="single" w:color="000000" w:sz="12" w:space="0"/>
            </w:tcBorders>
            <w:vAlign w:val="center"/>
          </w:tcPr>
          <w:p w14:paraId="2544A98A">
            <w:pPr>
              <w:widowControl/>
              <w:snapToGrid w:val="0"/>
              <w:spacing w:line="300" w:lineRule="exact"/>
              <w:jc w:val="left"/>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Ⅱ准噶尔盆地温性荒漠与绿洲农业生态区</w:t>
            </w:r>
          </w:p>
        </w:tc>
      </w:tr>
      <w:tr w14:paraId="5D1F95C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5" w:type="pct"/>
            <w:vMerge w:val="continue"/>
            <w:vAlign w:val="center"/>
          </w:tcPr>
          <w:p w14:paraId="7618B7AD">
            <w:pPr>
              <w:widowControl/>
              <w:snapToGrid w:val="0"/>
              <w:spacing w:line="300" w:lineRule="exact"/>
              <w:jc w:val="center"/>
              <w:rPr>
                <w:rFonts w:hint="eastAsia" w:ascii="宋体" w:hAnsi="宋体" w:cs="宋体"/>
                <w:color w:val="000000" w:themeColor="text1"/>
                <w:szCs w:val="21"/>
                <w14:textFill>
                  <w14:solidFill>
                    <w14:schemeClr w14:val="tx1"/>
                  </w14:solidFill>
                </w14:textFill>
              </w:rPr>
            </w:pPr>
          </w:p>
        </w:tc>
        <w:tc>
          <w:tcPr>
            <w:tcW w:w="796" w:type="pct"/>
            <w:vAlign w:val="center"/>
          </w:tcPr>
          <w:p w14:paraId="2D4B6009">
            <w:pPr>
              <w:widowControl/>
              <w:snapToGrid w:val="0"/>
              <w:spacing w:line="30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生态亚区</w:t>
            </w:r>
          </w:p>
        </w:tc>
        <w:tc>
          <w:tcPr>
            <w:tcW w:w="3619" w:type="pct"/>
            <w:vAlign w:val="center"/>
          </w:tcPr>
          <w:p w14:paraId="3FAFFA3C">
            <w:pPr>
              <w:widowControl/>
              <w:snapToGrid w:val="0"/>
              <w:spacing w:line="300" w:lineRule="exact"/>
              <w:jc w:val="left"/>
              <w:rPr>
                <w:rFonts w:hint="eastAsia" w:ascii="宋体" w:hAnsi="宋体" w:cs="宋体"/>
                <w:color w:val="000000" w:themeColor="text1"/>
                <w:szCs w:val="21"/>
                <w14:textFill>
                  <w14:solidFill>
                    <w14:schemeClr w14:val="tx1"/>
                  </w14:solidFill>
                </w14:textFill>
              </w:rPr>
            </w:pPr>
            <w:r>
              <w:rPr>
                <w:rFonts w:ascii="宋体" w:hAnsi="宋体" w:cs="宋体"/>
                <w:color w:val="000000" w:themeColor="text1"/>
                <w:szCs w:val="21"/>
                <w14:textFill>
                  <w14:solidFill>
                    <w14:schemeClr w14:val="tx1"/>
                  </w14:solidFill>
                </w14:textFill>
              </w:rPr>
              <w:t>Ⅱ</w:t>
            </w:r>
            <w:r>
              <w:rPr>
                <w:rFonts w:ascii="宋体" w:hAnsi="宋体" w:cs="宋体"/>
                <w:color w:val="000000" w:themeColor="text1"/>
                <w:szCs w:val="21"/>
                <w:vertAlign w:val="subscript"/>
                <w14:textFill>
                  <w14:solidFill>
                    <w14:schemeClr w14:val="tx1"/>
                  </w14:solidFill>
                </w14:textFill>
              </w:rPr>
              <w:t>5</w:t>
            </w:r>
            <w:r>
              <w:rPr>
                <w:rFonts w:ascii="宋体" w:hAnsi="宋体" w:cs="宋体"/>
                <w:color w:val="000000" w:themeColor="text1"/>
                <w:szCs w:val="21"/>
                <w14:textFill>
                  <w14:solidFill>
                    <w14:schemeClr w14:val="tx1"/>
                  </w14:solidFill>
                </w14:textFill>
              </w:rPr>
              <w:t>准噶尔盆地南部荒漠绿洲农业生态亚区</w:t>
            </w:r>
          </w:p>
        </w:tc>
      </w:tr>
      <w:tr w14:paraId="55CF711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5" w:type="pct"/>
            <w:vMerge w:val="continue"/>
            <w:vAlign w:val="center"/>
          </w:tcPr>
          <w:p w14:paraId="1FC1E629">
            <w:pPr>
              <w:widowControl/>
              <w:snapToGrid w:val="0"/>
              <w:spacing w:line="300" w:lineRule="exact"/>
              <w:jc w:val="center"/>
              <w:rPr>
                <w:rFonts w:hint="eastAsia" w:ascii="宋体" w:hAnsi="宋体" w:cs="宋体"/>
                <w:color w:val="000000" w:themeColor="text1"/>
                <w:szCs w:val="21"/>
                <w14:textFill>
                  <w14:solidFill>
                    <w14:schemeClr w14:val="tx1"/>
                  </w14:solidFill>
                </w14:textFill>
              </w:rPr>
            </w:pPr>
          </w:p>
        </w:tc>
        <w:tc>
          <w:tcPr>
            <w:tcW w:w="796" w:type="pct"/>
            <w:vAlign w:val="center"/>
          </w:tcPr>
          <w:p w14:paraId="6CA777D3">
            <w:pPr>
              <w:widowControl/>
              <w:snapToGrid w:val="0"/>
              <w:spacing w:line="30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生态功能区</w:t>
            </w:r>
          </w:p>
        </w:tc>
        <w:tc>
          <w:tcPr>
            <w:tcW w:w="3619" w:type="pct"/>
            <w:vAlign w:val="center"/>
          </w:tcPr>
          <w:p w14:paraId="6FACDE0C">
            <w:pPr>
              <w:widowControl/>
              <w:snapToGrid w:val="0"/>
              <w:spacing w:line="300" w:lineRule="exact"/>
              <w:jc w:val="left"/>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28阜康—木垒绿洲农业、荒漠草地保护生态功能区</w:t>
            </w:r>
          </w:p>
        </w:tc>
      </w:tr>
      <w:tr w14:paraId="6DBB1E3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81" w:type="pct"/>
            <w:gridSpan w:val="2"/>
            <w:vAlign w:val="center"/>
          </w:tcPr>
          <w:p w14:paraId="123152A6">
            <w:pPr>
              <w:widowControl/>
              <w:snapToGrid w:val="0"/>
              <w:spacing w:line="30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主要生态服务功能</w:t>
            </w:r>
          </w:p>
        </w:tc>
        <w:tc>
          <w:tcPr>
            <w:tcW w:w="3619" w:type="pct"/>
            <w:vAlign w:val="center"/>
          </w:tcPr>
          <w:p w14:paraId="093C69FF">
            <w:pPr>
              <w:widowControl/>
              <w:snapToGrid w:val="0"/>
              <w:spacing w:line="300" w:lineRule="exact"/>
              <w:jc w:val="left"/>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农牧业产品生产、人居环境、荒漠化控制</w:t>
            </w:r>
          </w:p>
        </w:tc>
      </w:tr>
      <w:tr w14:paraId="09C1782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81" w:type="pct"/>
            <w:gridSpan w:val="2"/>
            <w:vAlign w:val="center"/>
          </w:tcPr>
          <w:p w14:paraId="3E844315">
            <w:pPr>
              <w:widowControl/>
              <w:snapToGrid w:val="0"/>
              <w:spacing w:line="30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主要生态环境问题</w:t>
            </w:r>
          </w:p>
        </w:tc>
        <w:tc>
          <w:tcPr>
            <w:tcW w:w="3619" w:type="pct"/>
            <w:vAlign w:val="center"/>
          </w:tcPr>
          <w:p w14:paraId="730E618E">
            <w:pPr>
              <w:widowControl/>
              <w:snapToGrid w:val="0"/>
              <w:spacing w:line="300" w:lineRule="exact"/>
              <w:jc w:val="left"/>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地下水超采、荒漠植被退化、沙漠化威胁、局部土壤盐渍化、河流萎缩、滥开荒地</w:t>
            </w:r>
          </w:p>
        </w:tc>
      </w:tr>
      <w:tr w14:paraId="505C850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81" w:type="pct"/>
            <w:gridSpan w:val="2"/>
            <w:vAlign w:val="center"/>
          </w:tcPr>
          <w:p w14:paraId="5E2A410F">
            <w:pPr>
              <w:widowControl/>
              <w:snapToGrid w:val="0"/>
              <w:spacing w:line="30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主要生态敏感因子、敏感程度</w:t>
            </w:r>
          </w:p>
        </w:tc>
        <w:tc>
          <w:tcPr>
            <w:tcW w:w="3619" w:type="pct"/>
            <w:vAlign w:val="center"/>
          </w:tcPr>
          <w:p w14:paraId="160EC9B3">
            <w:pPr>
              <w:widowControl/>
              <w:snapToGrid w:val="0"/>
              <w:spacing w:line="300" w:lineRule="exact"/>
              <w:jc w:val="left"/>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生物多样性及其生境中度敏感，土壤侵蚀轻度敏感，土地沙漠化中度敏感，土壤盐渍化轻度敏感</w:t>
            </w:r>
          </w:p>
        </w:tc>
      </w:tr>
      <w:tr w14:paraId="20A8CBA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81" w:type="pct"/>
            <w:gridSpan w:val="2"/>
            <w:vAlign w:val="center"/>
          </w:tcPr>
          <w:p w14:paraId="086970A9">
            <w:pPr>
              <w:widowControl/>
              <w:snapToGrid w:val="0"/>
              <w:spacing w:line="30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主要保护目标</w:t>
            </w:r>
          </w:p>
        </w:tc>
        <w:tc>
          <w:tcPr>
            <w:tcW w:w="3619" w:type="pct"/>
            <w:vAlign w:val="center"/>
          </w:tcPr>
          <w:p w14:paraId="5013BF90">
            <w:pPr>
              <w:widowControl/>
              <w:snapToGrid w:val="0"/>
              <w:spacing w:line="300" w:lineRule="exact"/>
              <w:jc w:val="left"/>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保护基本农田、保护荒漠植被、保护土壤环境质量</w:t>
            </w:r>
          </w:p>
        </w:tc>
      </w:tr>
      <w:tr w14:paraId="2341EA9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81" w:type="pct"/>
            <w:gridSpan w:val="2"/>
            <w:vAlign w:val="center"/>
          </w:tcPr>
          <w:p w14:paraId="069AC049">
            <w:pPr>
              <w:widowControl/>
              <w:snapToGrid w:val="0"/>
              <w:spacing w:line="30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主要保护措施</w:t>
            </w:r>
          </w:p>
        </w:tc>
        <w:tc>
          <w:tcPr>
            <w:tcW w:w="3619" w:type="pct"/>
            <w:vAlign w:val="center"/>
          </w:tcPr>
          <w:p w14:paraId="79CF5D79">
            <w:pPr>
              <w:widowControl/>
              <w:snapToGrid w:val="0"/>
              <w:spacing w:line="300" w:lineRule="exact"/>
              <w:jc w:val="left"/>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节水灌溉、草场休牧、对坡耕地和沙化土地实施退耕还林（草），在水源无保障、植被稀少、生态脆弱地带禁止开荒、加强农田投入品的使用管理</w:t>
            </w:r>
          </w:p>
        </w:tc>
      </w:tr>
      <w:tr w14:paraId="18DDC3A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81" w:type="pct"/>
            <w:gridSpan w:val="2"/>
            <w:tcBorders>
              <w:bottom w:val="single" w:color="000000" w:sz="12" w:space="0"/>
            </w:tcBorders>
            <w:vAlign w:val="center"/>
          </w:tcPr>
          <w:p w14:paraId="32D056AD">
            <w:pPr>
              <w:widowControl/>
              <w:snapToGrid w:val="0"/>
              <w:spacing w:line="30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eastAsia="等线" w:cs="宋体"/>
                <w:color w:val="000000" w:themeColor="text1"/>
                <w:szCs w:val="21"/>
                <w14:textFill>
                  <w14:solidFill>
                    <w14:schemeClr w14:val="tx1"/>
                  </w14:solidFill>
                </w14:textFill>
              </w:rPr>
              <w:t>适宜</w:t>
            </w:r>
            <w:r>
              <w:rPr>
                <w:rFonts w:hint="eastAsia" w:ascii="宋体" w:hAnsi="宋体" w:cs="宋体"/>
                <w:color w:val="000000" w:themeColor="text1"/>
                <w:szCs w:val="21"/>
                <w14:textFill>
                  <w14:solidFill>
                    <w14:schemeClr w14:val="tx1"/>
                  </w14:solidFill>
                </w14:textFill>
              </w:rPr>
              <w:t>发展方向</w:t>
            </w:r>
          </w:p>
        </w:tc>
        <w:tc>
          <w:tcPr>
            <w:tcW w:w="3619" w:type="pct"/>
            <w:tcBorders>
              <w:bottom w:val="single" w:color="000000" w:sz="12" w:space="0"/>
            </w:tcBorders>
            <w:vAlign w:val="center"/>
          </w:tcPr>
          <w:p w14:paraId="7D9A05CF">
            <w:pPr>
              <w:widowControl/>
              <w:snapToGrid w:val="0"/>
              <w:spacing w:line="300" w:lineRule="exact"/>
              <w:jc w:val="left"/>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农牧结合，发展优质、高效特色农业和畜牧业</w:t>
            </w:r>
          </w:p>
        </w:tc>
      </w:tr>
    </w:tbl>
    <w:p w14:paraId="0EA85F80">
      <w:pPr>
        <w:pStyle w:val="117"/>
        <w:ind w:firstLine="480"/>
        <w:rPr>
          <w:rFonts w:hint="eastAsia"/>
          <w:color w:val="000000" w:themeColor="text1"/>
          <w14:textFill>
            <w14:solidFill>
              <w14:schemeClr w14:val="tx1"/>
            </w14:solidFill>
          </w14:textFill>
        </w:rPr>
      </w:pPr>
      <w:bookmarkStart w:id="480" w:name="_Hlk173405041"/>
      <w:bookmarkStart w:id="481" w:name="_Hlk160376418"/>
      <w:bookmarkStart w:id="482" w:name="_Hlk147591298"/>
      <w:r>
        <w:rPr>
          <w:rFonts w:hint="eastAsia"/>
          <w:color w:val="000000" w:themeColor="text1"/>
          <w14:textFill>
            <w14:solidFill>
              <w14:schemeClr w14:val="tx1"/>
            </w14:solidFill>
          </w14:textFill>
        </w:rPr>
        <w:t>（</w:t>
      </w:r>
      <w:r>
        <w:rPr>
          <w:color w:val="000000" w:themeColor="text1"/>
          <w14:textFill>
            <w14:solidFill>
              <w14:schemeClr w14:val="tx1"/>
            </w14:solidFill>
          </w14:textFill>
        </w:rPr>
        <w:t>2</w:t>
      </w:r>
      <w:r>
        <w:rPr>
          <w:rFonts w:hint="eastAsia"/>
          <w:color w:val="000000" w:themeColor="text1"/>
          <w14:textFill>
            <w14:solidFill>
              <w14:schemeClr w14:val="tx1"/>
            </w14:solidFill>
          </w14:textFill>
        </w:rPr>
        <w:t>）土地利用现状与评价</w:t>
      </w:r>
    </w:p>
    <w:p w14:paraId="6C6465F3">
      <w:pPr>
        <w:pStyle w:val="117"/>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参照全国土地利用现状调查技术规程、全国土地利用现状分类系统，通过现场踏勘及收集资料绘制土地利用类型示意图，土地利用类型为</w:t>
      </w:r>
      <w:bookmarkStart w:id="483" w:name="OLE_LINK117"/>
      <w:r>
        <w:rPr>
          <w:rFonts w:hint="eastAsia"/>
          <w:color w:val="000000" w:themeColor="text1"/>
          <w14:textFill>
            <w14:solidFill>
              <w14:schemeClr w14:val="tx1"/>
            </w14:solidFill>
          </w14:textFill>
        </w:rPr>
        <w:t>中低覆盖度草地</w:t>
      </w:r>
      <w:bookmarkEnd w:id="483"/>
      <w:r>
        <w:rPr>
          <w:rFonts w:hint="eastAsia"/>
          <w:color w:val="000000" w:themeColor="text1"/>
          <w14:textFill>
            <w14:solidFill>
              <w14:schemeClr w14:val="tx1"/>
            </w14:solidFill>
          </w14:textFill>
        </w:rPr>
        <w:t>，占地均为天然牧草地，均不占用耕地</w:t>
      </w:r>
      <w:bookmarkEnd w:id="480"/>
      <w:r>
        <w:rPr>
          <w:rFonts w:hint="eastAsia"/>
          <w:color w:val="000000" w:themeColor="text1"/>
          <w14:textFill>
            <w14:solidFill>
              <w14:schemeClr w14:val="tx1"/>
            </w14:solidFill>
          </w14:textFill>
        </w:rPr>
        <w:t>，详见图</w:t>
      </w:r>
      <w:r>
        <w:rPr>
          <w:color w:val="000000" w:themeColor="text1"/>
          <w14:textFill>
            <w14:solidFill>
              <w14:schemeClr w14:val="tx1"/>
            </w14:solidFill>
          </w14:textFill>
        </w:rPr>
        <w:t>4</w:t>
      </w:r>
      <w:r>
        <w:rPr>
          <w:rFonts w:hint="eastAsia"/>
          <w:color w:val="000000" w:themeColor="text1"/>
          <w14:textFill>
            <w14:solidFill>
              <w14:schemeClr w14:val="tx1"/>
            </w14:solidFill>
          </w14:textFill>
        </w:rPr>
        <w:t>.3-5</w:t>
      </w:r>
      <w:r>
        <w:rPr>
          <w:color w:val="000000" w:themeColor="text1"/>
          <w14:textFill>
            <w14:solidFill>
              <w14:schemeClr w14:val="tx1"/>
            </w14:solidFill>
          </w14:textFill>
        </w:rPr>
        <w:t>。</w:t>
      </w:r>
    </w:p>
    <w:bookmarkEnd w:id="481"/>
    <w:p w14:paraId="62A7FACF">
      <w:pPr>
        <w:pStyle w:val="117"/>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w:t>
      </w:r>
      <w:r>
        <w:rPr>
          <w:color w:val="000000" w:themeColor="text1"/>
          <w14:textFill>
            <w14:solidFill>
              <w14:schemeClr w14:val="tx1"/>
            </w14:solidFill>
          </w14:textFill>
        </w:rPr>
        <w:t>3</w:t>
      </w:r>
      <w:r>
        <w:rPr>
          <w:rFonts w:hint="eastAsia"/>
          <w:color w:val="000000" w:themeColor="text1"/>
          <w14:textFill>
            <w14:solidFill>
              <w14:schemeClr w14:val="tx1"/>
            </w14:solidFill>
          </w14:textFill>
        </w:rPr>
        <w:t>）植物现状调查与评价</w:t>
      </w:r>
    </w:p>
    <w:p w14:paraId="6A63F161">
      <w:pPr>
        <w:pStyle w:val="117"/>
        <w:ind w:firstLine="480"/>
        <w:rPr>
          <w:rFonts w:hint="eastAsia"/>
          <w:color w:val="000000" w:themeColor="text1"/>
          <w14:textFill>
            <w14:solidFill>
              <w14:schemeClr w14:val="tx1"/>
            </w14:solidFill>
          </w14:textFill>
        </w:rPr>
      </w:pPr>
      <w:bookmarkStart w:id="484" w:name="_Hlk3978320"/>
      <w:bookmarkStart w:id="485" w:name="_Hlk91195853"/>
      <w:r>
        <w:rPr>
          <w:rFonts w:hint="eastAsia"/>
          <w:color w:val="000000" w:themeColor="text1"/>
          <w14:textFill>
            <w14:solidFill>
              <w14:schemeClr w14:val="tx1"/>
            </w14:solidFill>
          </w14:textFill>
        </w:rPr>
        <w:t>项目区所在地生态环境属于荒漠草地生态系统，主要植被类型为荒漠植被，按中国植被自然地理区划划分，项目所在区域属新疆荒漠区、北疆荒漠亚区、准噶尔荒漠省、准噶尔荒漠亚省、乌苏</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奇台州。区域内植被类型分布有樟味藜、短叶假木贼荒漠、多枝柽柳灌丛、盐节木盐漠、芨芨草草甸及农田。植被类型见图4.3-6。  根据现场调查，项目</w:t>
      </w:r>
      <w:bookmarkStart w:id="486" w:name="OLE_LINK110"/>
      <w:r>
        <w:rPr>
          <w:rFonts w:hint="eastAsia"/>
          <w:color w:val="000000" w:themeColor="text1"/>
          <w14:textFill>
            <w14:solidFill>
              <w14:schemeClr w14:val="tx1"/>
            </w14:solidFill>
          </w14:textFill>
        </w:rPr>
        <w:t>评价范围植被类型主要有多枝柽柳、琵琶柴荒漠</w:t>
      </w:r>
      <w:bookmarkEnd w:id="486"/>
      <w:r>
        <w:rPr>
          <w:rFonts w:hint="eastAsia"/>
          <w:color w:val="000000" w:themeColor="text1"/>
          <w14:textFill>
            <w14:solidFill>
              <w14:schemeClr w14:val="tx1"/>
            </w14:solidFill>
          </w14:textFill>
        </w:rPr>
        <w:t>。评价区域野生高等植物估算在近20科90种以上，这里仅将油区主要分布的9科22种野生高等植物分布状况见表4.3-19。评价范围内</w:t>
      </w:r>
      <w:r>
        <w:rPr>
          <w:rFonts w:hint="eastAsia"/>
          <w:color w:val="000000" w:themeColor="text1"/>
          <w:kern w:val="0"/>
          <w14:textFill>
            <w14:solidFill>
              <w14:schemeClr w14:val="tx1"/>
            </w14:solidFill>
          </w14:textFill>
        </w:rPr>
        <w:t>植被覆盖度约20%，</w:t>
      </w:r>
      <w:r>
        <w:rPr>
          <w:rFonts w:hint="eastAsia"/>
          <w:color w:val="000000" w:themeColor="text1"/>
          <w14:textFill>
            <w14:solidFill>
              <w14:schemeClr w14:val="tx1"/>
            </w14:solidFill>
          </w14:textFill>
        </w:rPr>
        <w:t>根据《新疆国家重点保护野生植物名录》（2022）、《新疆维吾尔自治区重点保护野生植物名录》（2024），评价范围内无受保护的野生植物分布。</w:t>
      </w:r>
    </w:p>
    <w:p w14:paraId="172FF939">
      <w:pPr>
        <w:spacing w:line="500" w:lineRule="atLeast"/>
        <w:jc w:val="center"/>
        <w:rPr>
          <w:rFonts w:hint="eastAsia" w:ascii="宋体" w:hAnsi="宋体" w:eastAsia="黑体" w:cs="宋体"/>
          <w:color w:val="000000" w:themeColor="text1"/>
          <w:szCs w:val="21"/>
          <w14:textFill>
            <w14:solidFill>
              <w14:schemeClr w14:val="tx1"/>
            </w14:solidFill>
          </w14:textFill>
        </w:rPr>
      </w:pPr>
      <w:r>
        <w:rPr>
          <w:rFonts w:hint="eastAsia" w:ascii="宋体" w:hAnsi="宋体" w:eastAsia="黑体"/>
          <w:color w:val="000000" w:themeColor="text1"/>
          <w:szCs w:val="20"/>
          <w14:textFill>
            <w14:solidFill>
              <w14:schemeClr w14:val="tx1"/>
            </w14:solidFill>
          </w14:textFill>
        </w:rPr>
        <w:t>表4.3-19</w:t>
      </w:r>
      <w:r>
        <w:rPr>
          <w:rFonts w:ascii="宋体" w:hAnsi="宋体" w:eastAsia="黑体" w:cs="宋体"/>
          <w:color w:val="000000" w:themeColor="text1"/>
          <w:szCs w:val="21"/>
          <w14:textFill>
            <w14:solidFill>
              <w14:schemeClr w14:val="tx1"/>
            </w14:solidFill>
          </w14:textFill>
        </w:rPr>
        <w:t xml:space="preserve"> </w:t>
      </w:r>
      <w:r>
        <w:rPr>
          <w:rFonts w:hint="eastAsia" w:ascii="宋体" w:hAnsi="宋体" w:eastAsia="黑体" w:cs="宋体"/>
          <w:color w:val="000000" w:themeColor="text1"/>
          <w:szCs w:val="21"/>
          <w14:textFill>
            <w14:solidFill>
              <w14:schemeClr w14:val="tx1"/>
            </w14:solidFill>
          </w14:textFill>
        </w:rPr>
        <w:t xml:space="preserve"> 主要植物名录</w:t>
      </w:r>
    </w:p>
    <w:tbl>
      <w:tblPr>
        <w:tblStyle w:val="51"/>
        <w:tblW w:w="5000" w:type="pct"/>
        <w:tblInd w:w="0" w:type="dxa"/>
        <w:tblLayout w:type="autofit"/>
        <w:tblCellMar>
          <w:top w:w="0" w:type="dxa"/>
          <w:left w:w="0" w:type="dxa"/>
          <w:bottom w:w="0" w:type="dxa"/>
          <w:right w:w="0" w:type="dxa"/>
        </w:tblCellMar>
      </w:tblPr>
      <w:tblGrid>
        <w:gridCol w:w="2336"/>
        <w:gridCol w:w="4630"/>
        <w:gridCol w:w="1764"/>
      </w:tblGrid>
      <w:tr w14:paraId="6D35FE31">
        <w:tblPrEx>
          <w:tblCellMar>
            <w:top w:w="0" w:type="dxa"/>
            <w:left w:w="0" w:type="dxa"/>
            <w:bottom w:w="0" w:type="dxa"/>
            <w:right w:w="0" w:type="dxa"/>
          </w:tblCellMar>
        </w:tblPrEx>
        <w:trPr>
          <w:trHeight w:val="340" w:hRule="atLeast"/>
        </w:trPr>
        <w:tc>
          <w:tcPr>
            <w:tcW w:w="1338" w:type="pct"/>
            <w:tcBorders>
              <w:top w:val="single" w:color="000000" w:sz="12" w:space="0"/>
              <w:left w:val="nil"/>
              <w:bottom w:val="single" w:color="000000" w:sz="4" w:space="0"/>
              <w:right w:val="single" w:color="000000" w:sz="4" w:space="0"/>
            </w:tcBorders>
            <w:vAlign w:val="center"/>
          </w:tcPr>
          <w:p w14:paraId="2678B129">
            <w:pPr>
              <w:spacing w:line="240" w:lineRule="exact"/>
              <w:jc w:val="center"/>
              <w:rPr>
                <w:rFonts w:hint="eastAsia"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中文名</w:t>
            </w:r>
          </w:p>
        </w:tc>
        <w:tc>
          <w:tcPr>
            <w:tcW w:w="2652" w:type="pct"/>
            <w:tcBorders>
              <w:top w:val="single" w:color="000000" w:sz="12" w:space="0"/>
              <w:left w:val="single" w:color="000000" w:sz="4" w:space="0"/>
              <w:bottom w:val="single" w:color="000000" w:sz="4" w:space="0"/>
              <w:right w:val="single" w:color="000000" w:sz="4" w:space="0"/>
            </w:tcBorders>
            <w:vAlign w:val="center"/>
          </w:tcPr>
          <w:p w14:paraId="7F31473C">
            <w:pPr>
              <w:spacing w:line="240" w:lineRule="exact"/>
              <w:jc w:val="center"/>
              <w:rPr>
                <w:rFonts w:hint="eastAsia"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学名</w:t>
            </w:r>
          </w:p>
        </w:tc>
        <w:tc>
          <w:tcPr>
            <w:tcW w:w="1010" w:type="pct"/>
            <w:tcBorders>
              <w:top w:val="single" w:color="000000" w:sz="12" w:space="0"/>
              <w:left w:val="single" w:color="000000" w:sz="4" w:space="0"/>
              <w:bottom w:val="single" w:color="000000" w:sz="4" w:space="0"/>
              <w:right w:val="nil"/>
            </w:tcBorders>
            <w:vAlign w:val="center"/>
          </w:tcPr>
          <w:p w14:paraId="2086C4BB">
            <w:pPr>
              <w:spacing w:line="240" w:lineRule="exact"/>
              <w:jc w:val="center"/>
              <w:rPr>
                <w:rFonts w:hint="eastAsia"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分布</w:t>
            </w:r>
          </w:p>
        </w:tc>
      </w:tr>
      <w:tr w14:paraId="5EC9A6DB">
        <w:tblPrEx>
          <w:tblCellMar>
            <w:top w:w="0" w:type="dxa"/>
            <w:left w:w="0" w:type="dxa"/>
            <w:bottom w:w="0" w:type="dxa"/>
            <w:right w:w="0" w:type="dxa"/>
          </w:tblCellMar>
        </w:tblPrEx>
        <w:trPr>
          <w:trHeight w:val="340" w:hRule="atLeast"/>
        </w:trPr>
        <w:tc>
          <w:tcPr>
            <w:tcW w:w="1338" w:type="pct"/>
            <w:tcBorders>
              <w:top w:val="single" w:color="000000" w:sz="4" w:space="0"/>
              <w:left w:val="nil"/>
              <w:bottom w:val="single" w:color="000000" w:sz="4" w:space="0"/>
              <w:right w:val="single" w:color="000000" w:sz="4" w:space="0"/>
            </w:tcBorders>
            <w:vAlign w:val="center"/>
          </w:tcPr>
          <w:p w14:paraId="4B6589D9">
            <w:pPr>
              <w:spacing w:line="240" w:lineRule="exact"/>
              <w:jc w:val="center"/>
              <w:rPr>
                <w:rFonts w:hint="eastAsia"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一、禾本科</w:t>
            </w:r>
          </w:p>
        </w:tc>
        <w:tc>
          <w:tcPr>
            <w:tcW w:w="2652" w:type="pct"/>
            <w:tcBorders>
              <w:top w:val="single" w:color="000000" w:sz="4" w:space="0"/>
              <w:left w:val="single" w:color="000000" w:sz="4" w:space="0"/>
              <w:bottom w:val="single" w:color="000000" w:sz="4" w:space="0"/>
              <w:right w:val="single" w:color="000000" w:sz="4" w:space="0"/>
            </w:tcBorders>
            <w:vAlign w:val="center"/>
          </w:tcPr>
          <w:p w14:paraId="116620FA">
            <w:pPr>
              <w:spacing w:line="240" w:lineRule="exact"/>
              <w:jc w:val="center"/>
              <w:rPr>
                <w:rFonts w:hint="eastAsia" w:ascii="宋体" w:hAnsi="宋体"/>
                <w:i/>
                <w:iCs/>
                <w:color w:val="000000" w:themeColor="text1"/>
                <w:spacing w:val="-2"/>
                <w:kern w:val="0"/>
                <w:szCs w:val="21"/>
                <w14:textFill>
                  <w14:solidFill>
                    <w14:schemeClr w14:val="tx1"/>
                  </w14:solidFill>
                </w14:textFill>
              </w:rPr>
            </w:pPr>
            <w:r>
              <w:rPr>
                <w:rFonts w:ascii="宋体" w:hAnsi="宋体"/>
                <w:i/>
                <w:iCs/>
                <w:color w:val="000000" w:themeColor="text1"/>
                <w:spacing w:val="-2"/>
                <w:kern w:val="0"/>
                <w:szCs w:val="21"/>
                <w14:textFill>
                  <w14:solidFill>
                    <w14:schemeClr w14:val="tx1"/>
                  </w14:solidFill>
                </w14:textFill>
              </w:rPr>
              <w:t>Gramineae</w:t>
            </w:r>
          </w:p>
        </w:tc>
        <w:tc>
          <w:tcPr>
            <w:tcW w:w="1010" w:type="pct"/>
            <w:tcBorders>
              <w:top w:val="single" w:color="000000" w:sz="4" w:space="0"/>
              <w:left w:val="single" w:color="000000" w:sz="4" w:space="0"/>
              <w:bottom w:val="single" w:color="000000" w:sz="4" w:space="0"/>
              <w:right w:val="nil"/>
            </w:tcBorders>
            <w:vAlign w:val="center"/>
          </w:tcPr>
          <w:p w14:paraId="160BD3D1">
            <w:pPr>
              <w:spacing w:line="240" w:lineRule="exact"/>
              <w:jc w:val="center"/>
              <w:rPr>
                <w:rFonts w:hint="eastAsia" w:ascii="宋体" w:hAnsi="宋体"/>
                <w:color w:val="000000" w:themeColor="text1"/>
                <w:kern w:val="0"/>
                <w:szCs w:val="21"/>
                <w14:textFill>
                  <w14:solidFill>
                    <w14:schemeClr w14:val="tx1"/>
                  </w14:solidFill>
                </w14:textFill>
              </w:rPr>
            </w:pPr>
          </w:p>
        </w:tc>
      </w:tr>
      <w:tr w14:paraId="253C1E5B">
        <w:tblPrEx>
          <w:tblCellMar>
            <w:top w:w="0" w:type="dxa"/>
            <w:left w:w="0" w:type="dxa"/>
            <w:bottom w:w="0" w:type="dxa"/>
            <w:right w:w="0" w:type="dxa"/>
          </w:tblCellMar>
        </w:tblPrEx>
        <w:trPr>
          <w:trHeight w:val="340" w:hRule="atLeast"/>
        </w:trPr>
        <w:tc>
          <w:tcPr>
            <w:tcW w:w="1338" w:type="pct"/>
            <w:tcBorders>
              <w:top w:val="single" w:color="000000" w:sz="4" w:space="0"/>
              <w:left w:val="nil"/>
              <w:bottom w:val="single" w:color="000000" w:sz="4" w:space="0"/>
              <w:right w:val="single" w:color="000000" w:sz="4" w:space="0"/>
            </w:tcBorders>
            <w:vAlign w:val="center"/>
          </w:tcPr>
          <w:p w14:paraId="791306A8">
            <w:pPr>
              <w:spacing w:line="240" w:lineRule="exact"/>
              <w:jc w:val="center"/>
              <w:rPr>
                <w:rFonts w:hint="eastAsia"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羽状三芒草</w:t>
            </w:r>
          </w:p>
        </w:tc>
        <w:tc>
          <w:tcPr>
            <w:tcW w:w="2652" w:type="pct"/>
            <w:tcBorders>
              <w:top w:val="single" w:color="000000" w:sz="4" w:space="0"/>
              <w:left w:val="single" w:color="000000" w:sz="4" w:space="0"/>
              <w:bottom w:val="single" w:color="000000" w:sz="4" w:space="0"/>
              <w:right w:val="single" w:color="000000" w:sz="4" w:space="0"/>
            </w:tcBorders>
            <w:vAlign w:val="center"/>
          </w:tcPr>
          <w:p w14:paraId="69F358D5">
            <w:pPr>
              <w:spacing w:line="240" w:lineRule="exact"/>
              <w:jc w:val="center"/>
              <w:rPr>
                <w:rFonts w:hint="eastAsia" w:ascii="宋体" w:hAnsi="宋体"/>
                <w:i/>
                <w:iCs/>
                <w:color w:val="000000" w:themeColor="text1"/>
                <w:spacing w:val="-2"/>
                <w:kern w:val="0"/>
                <w:szCs w:val="21"/>
                <w14:textFill>
                  <w14:solidFill>
                    <w14:schemeClr w14:val="tx1"/>
                  </w14:solidFill>
                </w14:textFill>
              </w:rPr>
            </w:pPr>
            <w:r>
              <w:rPr>
                <w:rFonts w:ascii="宋体" w:hAnsi="宋体"/>
                <w:i/>
                <w:iCs/>
                <w:color w:val="000000" w:themeColor="text1"/>
                <w:kern w:val="0"/>
                <w:szCs w:val="21"/>
                <w14:textFill>
                  <w14:solidFill>
                    <w14:schemeClr w14:val="tx1"/>
                  </w14:solidFill>
                </w14:textFill>
              </w:rPr>
              <w:t>Aristida</w:t>
            </w:r>
            <w:r>
              <w:rPr>
                <w:rFonts w:ascii="宋体" w:hAnsi="宋体"/>
                <w:i/>
                <w:iCs/>
                <w:color w:val="000000" w:themeColor="text1"/>
                <w:spacing w:val="-9"/>
                <w:kern w:val="0"/>
                <w:szCs w:val="21"/>
                <w14:textFill>
                  <w14:solidFill>
                    <w14:schemeClr w14:val="tx1"/>
                  </w14:solidFill>
                </w14:textFill>
              </w:rPr>
              <w:t xml:space="preserve"> </w:t>
            </w:r>
            <w:r>
              <w:rPr>
                <w:rFonts w:ascii="宋体" w:hAnsi="宋体"/>
                <w:i/>
                <w:iCs/>
                <w:color w:val="000000" w:themeColor="text1"/>
                <w:spacing w:val="-2"/>
                <w:kern w:val="0"/>
                <w:szCs w:val="21"/>
                <w14:textFill>
                  <w14:solidFill>
                    <w14:schemeClr w14:val="tx1"/>
                  </w14:solidFill>
                </w14:textFill>
              </w:rPr>
              <w:t>pennata</w:t>
            </w:r>
          </w:p>
        </w:tc>
        <w:tc>
          <w:tcPr>
            <w:tcW w:w="1010" w:type="pct"/>
            <w:tcBorders>
              <w:top w:val="single" w:color="000000" w:sz="4" w:space="0"/>
              <w:left w:val="single" w:color="000000" w:sz="4" w:space="0"/>
              <w:bottom w:val="single" w:color="000000" w:sz="4" w:space="0"/>
              <w:right w:val="nil"/>
            </w:tcBorders>
            <w:vAlign w:val="center"/>
          </w:tcPr>
          <w:p w14:paraId="37A3E2AF">
            <w:pPr>
              <w:spacing w:line="240" w:lineRule="exact"/>
              <w:jc w:val="center"/>
              <w:rPr>
                <w:rFonts w:hint="eastAsia" w:ascii="宋体" w:hAnsi="宋体"/>
                <w:color w:val="000000" w:themeColor="text1"/>
                <w:w w:val="99"/>
                <w:kern w:val="0"/>
                <w:szCs w:val="21"/>
                <w14:textFill>
                  <w14:solidFill>
                    <w14:schemeClr w14:val="tx1"/>
                  </w14:solidFill>
                </w14:textFill>
              </w:rPr>
            </w:pPr>
            <w:r>
              <w:rPr>
                <w:rFonts w:ascii="宋体" w:hAnsi="宋体"/>
                <w:color w:val="000000" w:themeColor="text1"/>
                <w:w w:val="99"/>
                <w:kern w:val="0"/>
                <w:szCs w:val="21"/>
                <w14:textFill>
                  <w14:solidFill>
                    <w14:schemeClr w14:val="tx1"/>
                  </w14:solidFill>
                </w14:textFill>
              </w:rPr>
              <w:t>+</w:t>
            </w:r>
          </w:p>
        </w:tc>
      </w:tr>
      <w:tr w14:paraId="5AB1EF11">
        <w:tblPrEx>
          <w:tblCellMar>
            <w:top w:w="0" w:type="dxa"/>
            <w:left w:w="0" w:type="dxa"/>
            <w:bottom w:w="0" w:type="dxa"/>
            <w:right w:w="0" w:type="dxa"/>
          </w:tblCellMar>
        </w:tblPrEx>
        <w:trPr>
          <w:trHeight w:val="340" w:hRule="atLeast"/>
        </w:trPr>
        <w:tc>
          <w:tcPr>
            <w:tcW w:w="1338" w:type="pct"/>
            <w:tcBorders>
              <w:top w:val="single" w:color="000000" w:sz="4" w:space="0"/>
              <w:left w:val="nil"/>
              <w:bottom w:val="single" w:color="000000" w:sz="4" w:space="0"/>
              <w:right w:val="single" w:color="000000" w:sz="4" w:space="0"/>
            </w:tcBorders>
            <w:vAlign w:val="center"/>
          </w:tcPr>
          <w:p w14:paraId="0E65472D">
            <w:pPr>
              <w:spacing w:line="240" w:lineRule="exact"/>
              <w:jc w:val="center"/>
              <w:rPr>
                <w:rFonts w:hint="eastAsia"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二、杨柳科</w:t>
            </w:r>
          </w:p>
        </w:tc>
        <w:tc>
          <w:tcPr>
            <w:tcW w:w="2652" w:type="pct"/>
            <w:tcBorders>
              <w:top w:val="single" w:color="000000" w:sz="4" w:space="0"/>
              <w:left w:val="single" w:color="000000" w:sz="4" w:space="0"/>
              <w:bottom w:val="single" w:color="000000" w:sz="4" w:space="0"/>
              <w:right w:val="single" w:color="000000" w:sz="4" w:space="0"/>
            </w:tcBorders>
            <w:vAlign w:val="center"/>
          </w:tcPr>
          <w:p w14:paraId="5E685313">
            <w:pPr>
              <w:spacing w:line="240" w:lineRule="exact"/>
              <w:jc w:val="center"/>
              <w:rPr>
                <w:rFonts w:hint="eastAsia" w:ascii="宋体" w:hAnsi="宋体"/>
                <w:i/>
                <w:iCs/>
                <w:color w:val="000000" w:themeColor="text1"/>
                <w:spacing w:val="-2"/>
                <w:kern w:val="0"/>
                <w:szCs w:val="21"/>
                <w14:textFill>
                  <w14:solidFill>
                    <w14:schemeClr w14:val="tx1"/>
                  </w14:solidFill>
                </w14:textFill>
              </w:rPr>
            </w:pPr>
            <w:r>
              <w:rPr>
                <w:rFonts w:ascii="宋体" w:hAnsi="宋体"/>
                <w:i/>
                <w:iCs/>
                <w:color w:val="000000" w:themeColor="text1"/>
                <w:spacing w:val="-2"/>
                <w:kern w:val="0"/>
                <w:szCs w:val="21"/>
                <w14:textFill>
                  <w14:solidFill>
                    <w14:schemeClr w14:val="tx1"/>
                  </w14:solidFill>
                </w14:textFill>
              </w:rPr>
              <w:t>Salicaceae</w:t>
            </w:r>
          </w:p>
        </w:tc>
        <w:tc>
          <w:tcPr>
            <w:tcW w:w="1010" w:type="pct"/>
            <w:tcBorders>
              <w:top w:val="single" w:color="000000" w:sz="4" w:space="0"/>
              <w:left w:val="single" w:color="000000" w:sz="4" w:space="0"/>
              <w:bottom w:val="single" w:color="000000" w:sz="4" w:space="0"/>
              <w:right w:val="nil"/>
            </w:tcBorders>
            <w:vAlign w:val="center"/>
          </w:tcPr>
          <w:p w14:paraId="6347F5EA">
            <w:pPr>
              <w:spacing w:line="240" w:lineRule="exact"/>
              <w:jc w:val="center"/>
              <w:rPr>
                <w:rFonts w:hint="eastAsia" w:ascii="宋体" w:hAnsi="宋体"/>
                <w:color w:val="000000" w:themeColor="text1"/>
                <w:kern w:val="0"/>
                <w:szCs w:val="21"/>
                <w14:textFill>
                  <w14:solidFill>
                    <w14:schemeClr w14:val="tx1"/>
                  </w14:solidFill>
                </w14:textFill>
              </w:rPr>
            </w:pPr>
          </w:p>
        </w:tc>
      </w:tr>
      <w:tr w14:paraId="1E1E56BA">
        <w:tblPrEx>
          <w:tblCellMar>
            <w:top w:w="0" w:type="dxa"/>
            <w:left w:w="0" w:type="dxa"/>
            <w:bottom w:w="0" w:type="dxa"/>
            <w:right w:w="0" w:type="dxa"/>
          </w:tblCellMar>
        </w:tblPrEx>
        <w:trPr>
          <w:trHeight w:val="340" w:hRule="atLeast"/>
        </w:trPr>
        <w:tc>
          <w:tcPr>
            <w:tcW w:w="1338" w:type="pct"/>
            <w:tcBorders>
              <w:top w:val="single" w:color="000000" w:sz="4" w:space="0"/>
              <w:left w:val="nil"/>
              <w:bottom w:val="single" w:color="000000" w:sz="4" w:space="0"/>
              <w:right w:val="single" w:color="000000" w:sz="4" w:space="0"/>
            </w:tcBorders>
            <w:vAlign w:val="center"/>
          </w:tcPr>
          <w:p w14:paraId="772D4FF1">
            <w:pPr>
              <w:spacing w:line="240" w:lineRule="exact"/>
              <w:jc w:val="center"/>
              <w:rPr>
                <w:rFonts w:hint="eastAsia"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白柳</w:t>
            </w:r>
          </w:p>
        </w:tc>
        <w:tc>
          <w:tcPr>
            <w:tcW w:w="2652" w:type="pct"/>
            <w:tcBorders>
              <w:top w:val="single" w:color="000000" w:sz="4" w:space="0"/>
              <w:left w:val="single" w:color="000000" w:sz="4" w:space="0"/>
              <w:bottom w:val="single" w:color="000000" w:sz="4" w:space="0"/>
              <w:right w:val="single" w:color="000000" w:sz="4" w:space="0"/>
            </w:tcBorders>
            <w:vAlign w:val="center"/>
          </w:tcPr>
          <w:p w14:paraId="2060B88E">
            <w:pPr>
              <w:spacing w:line="240" w:lineRule="exact"/>
              <w:jc w:val="center"/>
              <w:rPr>
                <w:rFonts w:hint="eastAsia" w:ascii="宋体" w:hAnsi="宋体"/>
                <w:i/>
                <w:iCs/>
                <w:color w:val="000000" w:themeColor="text1"/>
                <w:kern w:val="0"/>
                <w:szCs w:val="21"/>
                <w14:textFill>
                  <w14:solidFill>
                    <w14:schemeClr w14:val="tx1"/>
                  </w14:solidFill>
                </w14:textFill>
              </w:rPr>
            </w:pPr>
            <w:r>
              <w:rPr>
                <w:rFonts w:ascii="宋体" w:hAnsi="宋体"/>
                <w:i/>
                <w:iCs/>
                <w:color w:val="000000" w:themeColor="text1"/>
                <w:kern w:val="0"/>
                <w:szCs w:val="21"/>
                <w14:textFill>
                  <w14:solidFill>
                    <w14:schemeClr w14:val="tx1"/>
                  </w14:solidFill>
                </w14:textFill>
              </w:rPr>
              <w:t>Sect alba</w:t>
            </w:r>
          </w:p>
        </w:tc>
        <w:tc>
          <w:tcPr>
            <w:tcW w:w="1010" w:type="pct"/>
            <w:tcBorders>
              <w:top w:val="single" w:color="000000" w:sz="4" w:space="0"/>
              <w:left w:val="single" w:color="000000" w:sz="4" w:space="0"/>
              <w:bottom w:val="single" w:color="000000" w:sz="4" w:space="0"/>
              <w:right w:val="nil"/>
            </w:tcBorders>
            <w:vAlign w:val="center"/>
          </w:tcPr>
          <w:p w14:paraId="3994D78F">
            <w:pPr>
              <w:spacing w:line="240" w:lineRule="exact"/>
              <w:jc w:val="center"/>
              <w:rPr>
                <w:rFonts w:hint="eastAsia" w:ascii="宋体" w:hAnsi="宋体"/>
                <w:color w:val="000000" w:themeColor="text1"/>
                <w:w w:val="99"/>
                <w:kern w:val="0"/>
                <w:szCs w:val="21"/>
                <w14:textFill>
                  <w14:solidFill>
                    <w14:schemeClr w14:val="tx1"/>
                  </w14:solidFill>
                </w14:textFill>
              </w:rPr>
            </w:pPr>
            <w:r>
              <w:rPr>
                <w:rFonts w:ascii="宋体" w:hAnsi="宋体"/>
                <w:color w:val="000000" w:themeColor="text1"/>
                <w:w w:val="99"/>
                <w:kern w:val="0"/>
                <w:szCs w:val="21"/>
                <w14:textFill>
                  <w14:solidFill>
                    <w14:schemeClr w14:val="tx1"/>
                  </w14:solidFill>
                </w14:textFill>
              </w:rPr>
              <w:t>+</w:t>
            </w:r>
          </w:p>
        </w:tc>
      </w:tr>
      <w:tr w14:paraId="73FAC933">
        <w:tblPrEx>
          <w:tblCellMar>
            <w:top w:w="0" w:type="dxa"/>
            <w:left w:w="0" w:type="dxa"/>
            <w:bottom w:w="0" w:type="dxa"/>
            <w:right w:w="0" w:type="dxa"/>
          </w:tblCellMar>
        </w:tblPrEx>
        <w:trPr>
          <w:trHeight w:val="340" w:hRule="atLeast"/>
        </w:trPr>
        <w:tc>
          <w:tcPr>
            <w:tcW w:w="1338" w:type="pct"/>
            <w:tcBorders>
              <w:top w:val="single" w:color="000000" w:sz="4" w:space="0"/>
              <w:left w:val="nil"/>
              <w:bottom w:val="single" w:color="000000" w:sz="4" w:space="0"/>
              <w:right w:val="single" w:color="000000" w:sz="4" w:space="0"/>
            </w:tcBorders>
            <w:vAlign w:val="center"/>
          </w:tcPr>
          <w:p w14:paraId="0CF1E5E1">
            <w:pPr>
              <w:spacing w:line="240" w:lineRule="exact"/>
              <w:jc w:val="center"/>
              <w:rPr>
                <w:rFonts w:hint="eastAsia"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三、藜科</w:t>
            </w:r>
          </w:p>
        </w:tc>
        <w:tc>
          <w:tcPr>
            <w:tcW w:w="2652" w:type="pct"/>
            <w:tcBorders>
              <w:top w:val="single" w:color="000000" w:sz="4" w:space="0"/>
              <w:left w:val="single" w:color="000000" w:sz="4" w:space="0"/>
              <w:bottom w:val="single" w:color="000000" w:sz="4" w:space="0"/>
              <w:right w:val="single" w:color="000000" w:sz="4" w:space="0"/>
            </w:tcBorders>
            <w:vAlign w:val="center"/>
          </w:tcPr>
          <w:p w14:paraId="370CA714">
            <w:pPr>
              <w:spacing w:line="240" w:lineRule="exact"/>
              <w:jc w:val="center"/>
              <w:rPr>
                <w:rFonts w:hint="eastAsia" w:ascii="宋体" w:hAnsi="宋体"/>
                <w:i/>
                <w:iCs/>
                <w:color w:val="000000" w:themeColor="text1"/>
                <w:spacing w:val="-2"/>
                <w:kern w:val="0"/>
                <w:szCs w:val="21"/>
                <w14:textFill>
                  <w14:solidFill>
                    <w14:schemeClr w14:val="tx1"/>
                  </w14:solidFill>
                </w14:textFill>
              </w:rPr>
            </w:pPr>
            <w:r>
              <w:rPr>
                <w:rFonts w:ascii="宋体" w:hAnsi="宋体"/>
                <w:i/>
                <w:iCs/>
                <w:color w:val="000000" w:themeColor="text1"/>
                <w:spacing w:val="-2"/>
                <w:kern w:val="0"/>
                <w:szCs w:val="21"/>
                <w14:textFill>
                  <w14:solidFill>
                    <w14:schemeClr w14:val="tx1"/>
                  </w14:solidFill>
                </w14:textFill>
              </w:rPr>
              <w:t>Chenopodiaceae</w:t>
            </w:r>
          </w:p>
        </w:tc>
        <w:tc>
          <w:tcPr>
            <w:tcW w:w="1010" w:type="pct"/>
            <w:tcBorders>
              <w:top w:val="single" w:color="000000" w:sz="4" w:space="0"/>
              <w:left w:val="single" w:color="000000" w:sz="4" w:space="0"/>
              <w:bottom w:val="single" w:color="000000" w:sz="4" w:space="0"/>
              <w:right w:val="nil"/>
            </w:tcBorders>
            <w:vAlign w:val="center"/>
          </w:tcPr>
          <w:p w14:paraId="7B7288E6">
            <w:pPr>
              <w:spacing w:line="240" w:lineRule="exact"/>
              <w:jc w:val="center"/>
              <w:rPr>
                <w:rFonts w:hint="eastAsia" w:ascii="宋体" w:hAnsi="宋体"/>
                <w:color w:val="000000" w:themeColor="text1"/>
                <w:kern w:val="0"/>
                <w:szCs w:val="21"/>
                <w14:textFill>
                  <w14:solidFill>
                    <w14:schemeClr w14:val="tx1"/>
                  </w14:solidFill>
                </w14:textFill>
              </w:rPr>
            </w:pPr>
          </w:p>
        </w:tc>
      </w:tr>
      <w:tr w14:paraId="7330BA2D">
        <w:tblPrEx>
          <w:tblCellMar>
            <w:top w:w="0" w:type="dxa"/>
            <w:left w:w="0" w:type="dxa"/>
            <w:bottom w:w="0" w:type="dxa"/>
            <w:right w:w="0" w:type="dxa"/>
          </w:tblCellMar>
        </w:tblPrEx>
        <w:trPr>
          <w:trHeight w:val="340" w:hRule="atLeast"/>
        </w:trPr>
        <w:tc>
          <w:tcPr>
            <w:tcW w:w="1338" w:type="pct"/>
            <w:tcBorders>
              <w:top w:val="single" w:color="000000" w:sz="4" w:space="0"/>
              <w:left w:val="nil"/>
              <w:bottom w:val="single" w:color="000000" w:sz="4" w:space="0"/>
              <w:right w:val="single" w:color="000000" w:sz="4" w:space="0"/>
            </w:tcBorders>
            <w:vAlign w:val="center"/>
          </w:tcPr>
          <w:p w14:paraId="7705AE39">
            <w:pPr>
              <w:spacing w:line="240" w:lineRule="exact"/>
              <w:jc w:val="center"/>
              <w:rPr>
                <w:rFonts w:hint="eastAsia"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盐节木</w:t>
            </w:r>
          </w:p>
        </w:tc>
        <w:tc>
          <w:tcPr>
            <w:tcW w:w="2652" w:type="pct"/>
            <w:tcBorders>
              <w:top w:val="single" w:color="000000" w:sz="4" w:space="0"/>
              <w:left w:val="single" w:color="000000" w:sz="4" w:space="0"/>
              <w:bottom w:val="single" w:color="000000" w:sz="4" w:space="0"/>
              <w:right w:val="single" w:color="000000" w:sz="4" w:space="0"/>
            </w:tcBorders>
            <w:vAlign w:val="center"/>
          </w:tcPr>
          <w:p w14:paraId="2FF9B4EC">
            <w:pPr>
              <w:spacing w:line="240" w:lineRule="exact"/>
              <w:jc w:val="center"/>
              <w:rPr>
                <w:rFonts w:hint="eastAsia" w:ascii="宋体" w:hAnsi="宋体"/>
                <w:i/>
                <w:iCs/>
                <w:color w:val="000000" w:themeColor="text1"/>
                <w:spacing w:val="-2"/>
                <w:w w:val="95"/>
                <w:kern w:val="0"/>
                <w:szCs w:val="21"/>
                <w14:textFill>
                  <w14:solidFill>
                    <w14:schemeClr w14:val="tx1"/>
                  </w14:solidFill>
                </w14:textFill>
              </w:rPr>
            </w:pPr>
            <w:r>
              <w:rPr>
                <w:rFonts w:ascii="宋体" w:hAnsi="宋体"/>
                <w:i/>
                <w:iCs/>
                <w:color w:val="000000" w:themeColor="text1"/>
                <w:w w:val="95"/>
                <w:kern w:val="0"/>
                <w:szCs w:val="21"/>
                <w14:textFill>
                  <w14:solidFill>
                    <w14:schemeClr w14:val="tx1"/>
                  </w14:solidFill>
                </w14:textFill>
              </w:rPr>
              <w:t>Halocnemum</w:t>
            </w:r>
            <w:r>
              <w:rPr>
                <w:rFonts w:ascii="宋体" w:hAnsi="宋体"/>
                <w:i/>
                <w:iCs/>
                <w:color w:val="000000" w:themeColor="text1"/>
                <w:spacing w:val="45"/>
                <w:kern w:val="0"/>
                <w:szCs w:val="21"/>
                <w14:textFill>
                  <w14:solidFill>
                    <w14:schemeClr w14:val="tx1"/>
                  </w14:solidFill>
                </w14:textFill>
              </w:rPr>
              <w:t xml:space="preserve"> </w:t>
            </w:r>
            <w:r>
              <w:rPr>
                <w:rFonts w:ascii="宋体" w:hAnsi="宋体"/>
                <w:i/>
                <w:iCs/>
                <w:color w:val="000000" w:themeColor="text1"/>
                <w:spacing w:val="-2"/>
                <w:w w:val="95"/>
                <w:kern w:val="0"/>
                <w:szCs w:val="21"/>
                <w14:textFill>
                  <w14:solidFill>
                    <w14:schemeClr w14:val="tx1"/>
                  </w14:solidFill>
                </w14:textFill>
              </w:rPr>
              <w:t>strobilaceum</w:t>
            </w:r>
          </w:p>
        </w:tc>
        <w:tc>
          <w:tcPr>
            <w:tcW w:w="1010" w:type="pct"/>
            <w:tcBorders>
              <w:top w:val="single" w:color="000000" w:sz="4" w:space="0"/>
              <w:left w:val="single" w:color="000000" w:sz="4" w:space="0"/>
              <w:bottom w:val="single" w:color="000000" w:sz="4" w:space="0"/>
              <w:right w:val="nil"/>
            </w:tcBorders>
            <w:vAlign w:val="center"/>
          </w:tcPr>
          <w:p w14:paraId="199E9116">
            <w:pPr>
              <w:spacing w:line="240" w:lineRule="exact"/>
              <w:jc w:val="center"/>
              <w:rPr>
                <w:rFonts w:hint="eastAsia" w:ascii="宋体" w:hAnsi="宋体"/>
                <w:color w:val="000000" w:themeColor="text1"/>
                <w:spacing w:val="-5"/>
                <w:kern w:val="0"/>
                <w:szCs w:val="21"/>
                <w14:textFill>
                  <w14:solidFill>
                    <w14:schemeClr w14:val="tx1"/>
                  </w14:solidFill>
                </w14:textFill>
              </w:rPr>
            </w:pPr>
            <w:r>
              <w:rPr>
                <w:rFonts w:ascii="宋体" w:hAnsi="宋体"/>
                <w:color w:val="000000" w:themeColor="text1"/>
                <w:spacing w:val="-5"/>
                <w:kern w:val="0"/>
                <w:szCs w:val="21"/>
                <w14:textFill>
                  <w14:solidFill>
                    <w14:schemeClr w14:val="tx1"/>
                  </w14:solidFill>
                </w14:textFill>
              </w:rPr>
              <w:t>++</w:t>
            </w:r>
          </w:p>
        </w:tc>
      </w:tr>
      <w:tr w14:paraId="76B5C315">
        <w:tblPrEx>
          <w:tblCellMar>
            <w:top w:w="0" w:type="dxa"/>
            <w:left w:w="0" w:type="dxa"/>
            <w:bottom w:w="0" w:type="dxa"/>
            <w:right w:w="0" w:type="dxa"/>
          </w:tblCellMar>
        </w:tblPrEx>
        <w:trPr>
          <w:trHeight w:val="340" w:hRule="atLeast"/>
        </w:trPr>
        <w:tc>
          <w:tcPr>
            <w:tcW w:w="1338" w:type="pct"/>
            <w:tcBorders>
              <w:top w:val="single" w:color="000000" w:sz="4" w:space="0"/>
              <w:left w:val="nil"/>
              <w:bottom w:val="single" w:color="000000" w:sz="4" w:space="0"/>
              <w:right w:val="single" w:color="000000" w:sz="4" w:space="0"/>
            </w:tcBorders>
            <w:vAlign w:val="center"/>
          </w:tcPr>
          <w:p w14:paraId="2F63519A">
            <w:pPr>
              <w:spacing w:line="240" w:lineRule="exact"/>
              <w:jc w:val="center"/>
              <w:rPr>
                <w:rFonts w:hint="eastAsia"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盐穗木</w:t>
            </w:r>
          </w:p>
        </w:tc>
        <w:tc>
          <w:tcPr>
            <w:tcW w:w="2652" w:type="pct"/>
            <w:tcBorders>
              <w:top w:val="single" w:color="000000" w:sz="4" w:space="0"/>
              <w:left w:val="single" w:color="000000" w:sz="4" w:space="0"/>
              <w:bottom w:val="single" w:color="000000" w:sz="4" w:space="0"/>
              <w:right w:val="single" w:color="000000" w:sz="4" w:space="0"/>
            </w:tcBorders>
            <w:vAlign w:val="center"/>
          </w:tcPr>
          <w:p w14:paraId="103E4129">
            <w:pPr>
              <w:spacing w:line="240" w:lineRule="exact"/>
              <w:jc w:val="center"/>
              <w:rPr>
                <w:rFonts w:hint="eastAsia" w:ascii="宋体" w:hAnsi="宋体"/>
                <w:i/>
                <w:iCs/>
                <w:color w:val="000000" w:themeColor="text1"/>
                <w:spacing w:val="-2"/>
                <w:kern w:val="0"/>
                <w:szCs w:val="21"/>
                <w14:textFill>
                  <w14:solidFill>
                    <w14:schemeClr w14:val="tx1"/>
                  </w14:solidFill>
                </w14:textFill>
              </w:rPr>
            </w:pPr>
            <w:r>
              <w:rPr>
                <w:rFonts w:ascii="宋体" w:hAnsi="宋体"/>
                <w:i/>
                <w:iCs/>
                <w:color w:val="000000" w:themeColor="text1"/>
                <w:kern w:val="0"/>
                <w:szCs w:val="21"/>
                <w14:textFill>
                  <w14:solidFill>
                    <w14:schemeClr w14:val="tx1"/>
                  </w14:solidFill>
                </w14:textFill>
              </w:rPr>
              <w:t>Halostachys</w:t>
            </w:r>
            <w:r>
              <w:rPr>
                <w:rFonts w:ascii="宋体" w:hAnsi="宋体"/>
                <w:i/>
                <w:iCs/>
                <w:color w:val="000000" w:themeColor="text1"/>
                <w:spacing w:val="-11"/>
                <w:kern w:val="0"/>
                <w:szCs w:val="21"/>
                <w14:textFill>
                  <w14:solidFill>
                    <w14:schemeClr w14:val="tx1"/>
                  </w14:solidFill>
                </w14:textFill>
              </w:rPr>
              <w:t xml:space="preserve"> </w:t>
            </w:r>
            <w:r>
              <w:rPr>
                <w:rFonts w:ascii="宋体" w:hAnsi="宋体"/>
                <w:i/>
                <w:iCs/>
                <w:color w:val="000000" w:themeColor="text1"/>
                <w:spacing w:val="-2"/>
                <w:kern w:val="0"/>
                <w:szCs w:val="21"/>
                <w14:textFill>
                  <w14:solidFill>
                    <w14:schemeClr w14:val="tx1"/>
                  </w14:solidFill>
                </w14:textFill>
              </w:rPr>
              <w:t>caspica</w:t>
            </w:r>
          </w:p>
        </w:tc>
        <w:tc>
          <w:tcPr>
            <w:tcW w:w="1010" w:type="pct"/>
            <w:tcBorders>
              <w:top w:val="single" w:color="000000" w:sz="4" w:space="0"/>
              <w:left w:val="single" w:color="000000" w:sz="4" w:space="0"/>
              <w:bottom w:val="single" w:color="000000" w:sz="4" w:space="0"/>
              <w:right w:val="nil"/>
            </w:tcBorders>
            <w:vAlign w:val="center"/>
          </w:tcPr>
          <w:p w14:paraId="3F568EEC">
            <w:pPr>
              <w:spacing w:line="240" w:lineRule="exact"/>
              <w:jc w:val="center"/>
              <w:rPr>
                <w:rFonts w:hint="eastAsia" w:ascii="宋体" w:hAnsi="宋体"/>
                <w:color w:val="000000" w:themeColor="text1"/>
                <w:w w:val="99"/>
                <w:kern w:val="0"/>
                <w:szCs w:val="21"/>
                <w14:textFill>
                  <w14:solidFill>
                    <w14:schemeClr w14:val="tx1"/>
                  </w14:solidFill>
                </w14:textFill>
              </w:rPr>
            </w:pPr>
            <w:r>
              <w:rPr>
                <w:rFonts w:ascii="宋体" w:hAnsi="宋体"/>
                <w:color w:val="000000" w:themeColor="text1"/>
                <w:w w:val="99"/>
                <w:kern w:val="0"/>
                <w:szCs w:val="21"/>
                <w14:textFill>
                  <w14:solidFill>
                    <w14:schemeClr w14:val="tx1"/>
                  </w14:solidFill>
                </w14:textFill>
              </w:rPr>
              <w:t>-</w:t>
            </w:r>
          </w:p>
        </w:tc>
      </w:tr>
      <w:tr w14:paraId="30EE54D5">
        <w:tblPrEx>
          <w:tblCellMar>
            <w:top w:w="0" w:type="dxa"/>
            <w:left w:w="0" w:type="dxa"/>
            <w:bottom w:w="0" w:type="dxa"/>
            <w:right w:w="0" w:type="dxa"/>
          </w:tblCellMar>
        </w:tblPrEx>
        <w:trPr>
          <w:trHeight w:val="340" w:hRule="atLeast"/>
        </w:trPr>
        <w:tc>
          <w:tcPr>
            <w:tcW w:w="1338" w:type="pct"/>
            <w:tcBorders>
              <w:top w:val="single" w:color="000000" w:sz="4" w:space="0"/>
              <w:left w:val="nil"/>
              <w:bottom w:val="single" w:color="000000" w:sz="4" w:space="0"/>
              <w:right w:val="single" w:color="000000" w:sz="4" w:space="0"/>
            </w:tcBorders>
            <w:vAlign w:val="center"/>
          </w:tcPr>
          <w:p w14:paraId="3609E42E">
            <w:pPr>
              <w:spacing w:line="240" w:lineRule="exact"/>
              <w:jc w:val="center"/>
              <w:rPr>
                <w:rFonts w:hint="eastAsia"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猪毛菜</w:t>
            </w:r>
          </w:p>
        </w:tc>
        <w:tc>
          <w:tcPr>
            <w:tcW w:w="2652" w:type="pct"/>
            <w:tcBorders>
              <w:top w:val="single" w:color="000000" w:sz="4" w:space="0"/>
              <w:left w:val="single" w:color="000000" w:sz="4" w:space="0"/>
              <w:bottom w:val="single" w:color="000000" w:sz="4" w:space="0"/>
              <w:right w:val="single" w:color="000000" w:sz="4" w:space="0"/>
            </w:tcBorders>
            <w:vAlign w:val="center"/>
          </w:tcPr>
          <w:p w14:paraId="348393C0">
            <w:pPr>
              <w:spacing w:line="240" w:lineRule="exact"/>
              <w:jc w:val="center"/>
              <w:rPr>
                <w:rFonts w:hint="eastAsia" w:ascii="宋体" w:hAnsi="宋体"/>
                <w:i/>
                <w:iCs/>
                <w:color w:val="000000" w:themeColor="text1"/>
                <w:spacing w:val="-2"/>
                <w:kern w:val="0"/>
                <w:szCs w:val="21"/>
                <w14:textFill>
                  <w14:solidFill>
                    <w14:schemeClr w14:val="tx1"/>
                  </w14:solidFill>
                </w14:textFill>
              </w:rPr>
            </w:pPr>
            <w:r>
              <w:rPr>
                <w:rFonts w:ascii="宋体" w:hAnsi="宋体"/>
                <w:i/>
                <w:iCs/>
                <w:color w:val="000000" w:themeColor="text1"/>
                <w:kern w:val="0"/>
                <w:szCs w:val="21"/>
                <w14:textFill>
                  <w14:solidFill>
                    <w14:schemeClr w14:val="tx1"/>
                  </w14:solidFill>
                </w14:textFill>
              </w:rPr>
              <w:t>Salsola</w:t>
            </w:r>
            <w:r>
              <w:rPr>
                <w:rFonts w:ascii="宋体" w:hAnsi="宋体"/>
                <w:i/>
                <w:iCs/>
                <w:color w:val="000000" w:themeColor="text1"/>
                <w:spacing w:val="-7"/>
                <w:kern w:val="0"/>
                <w:szCs w:val="21"/>
                <w14:textFill>
                  <w14:solidFill>
                    <w14:schemeClr w14:val="tx1"/>
                  </w14:solidFill>
                </w14:textFill>
              </w:rPr>
              <w:t xml:space="preserve"> </w:t>
            </w:r>
            <w:r>
              <w:rPr>
                <w:rFonts w:ascii="宋体" w:hAnsi="宋体"/>
                <w:i/>
                <w:iCs/>
                <w:color w:val="000000" w:themeColor="text1"/>
                <w:spacing w:val="-2"/>
                <w:kern w:val="0"/>
                <w:szCs w:val="21"/>
                <w14:textFill>
                  <w14:solidFill>
                    <w14:schemeClr w14:val="tx1"/>
                  </w14:solidFill>
                </w14:textFill>
              </w:rPr>
              <w:t>collina</w:t>
            </w:r>
          </w:p>
        </w:tc>
        <w:tc>
          <w:tcPr>
            <w:tcW w:w="1010" w:type="pct"/>
            <w:tcBorders>
              <w:top w:val="single" w:color="000000" w:sz="4" w:space="0"/>
              <w:left w:val="single" w:color="000000" w:sz="4" w:space="0"/>
              <w:bottom w:val="single" w:color="000000" w:sz="4" w:space="0"/>
              <w:right w:val="nil"/>
            </w:tcBorders>
            <w:vAlign w:val="center"/>
          </w:tcPr>
          <w:p w14:paraId="36C7FAD3">
            <w:pPr>
              <w:spacing w:line="240" w:lineRule="exact"/>
              <w:jc w:val="center"/>
              <w:rPr>
                <w:rFonts w:hint="eastAsia" w:ascii="宋体" w:hAnsi="宋体"/>
                <w:color w:val="000000" w:themeColor="text1"/>
                <w:spacing w:val="-5"/>
                <w:kern w:val="0"/>
                <w:szCs w:val="21"/>
                <w14:textFill>
                  <w14:solidFill>
                    <w14:schemeClr w14:val="tx1"/>
                  </w14:solidFill>
                </w14:textFill>
              </w:rPr>
            </w:pPr>
            <w:r>
              <w:rPr>
                <w:rFonts w:ascii="宋体" w:hAnsi="宋体"/>
                <w:color w:val="000000" w:themeColor="text1"/>
                <w:spacing w:val="-5"/>
                <w:kern w:val="0"/>
                <w:szCs w:val="21"/>
                <w14:textFill>
                  <w14:solidFill>
                    <w14:schemeClr w14:val="tx1"/>
                  </w14:solidFill>
                </w14:textFill>
              </w:rPr>
              <w:t>++</w:t>
            </w:r>
          </w:p>
        </w:tc>
      </w:tr>
      <w:tr w14:paraId="644BEA7C">
        <w:tblPrEx>
          <w:tblCellMar>
            <w:top w:w="0" w:type="dxa"/>
            <w:left w:w="0" w:type="dxa"/>
            <w:bottom w:w="0" w:type="dxa"/>
            <w:right w:w="0" w:type="dxa"/>
          </w:tblCellMar>
        </w:tblPrEx>
        <w:trPr>
          <w:trHeight w:val="340" w:hRule="atLeast"/>
        </w:trPr>
        <w:tc>
          <w:tcPr>
            <w:tcW w:w="1338" w:type="pct"/>
            <w:tcBorders>
              <w:top w:val="single" w:color="000000" w:sz="4" w:space="0"/>
              <w:left w:val="nil"/>
              <w:bottom w:val="single" w:color="000000" w:sz="4" w:space="0"/>
              <w:right w:val="single" w:color="000000" w:sz="4" w:space="0"/>
            </w:tcBorders>
            <w:vAlign w:val="center"/>
          </w:tcPr>
          <w:p w14:paraId="42394399">
            <w:pPr>
              <w:spacing w:line="240" w:lineRule="exact"/>
              <w:jc w:val="center"/>
              <w:rPr>
                <w:rFonts w:hint="eastAsia"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盐爪爪</w:t>
            </w:r>
          </w:p>
        </w:tc>
        <w:tc>
          <w:tcPr>
            <w:tcW w:w="2652" w:type="pct"/>
            <w:tcBorders>
              <w:top w:val="single" w:color="000000" w:sz="4" w:space="0"/>
              <w:left w:val="single" w:color="000000" w:sz="4" w:space="0"/>
              <w:bottom w:val="single" w:color="000000" w:sz="4" w:space="0"/>
              <w:right w:val="single" w:color="000000" w:sz="4" w:space="0"/>
            </w:tcBorders>
            <w:vAlign w:val="center"/>
          </w:tcPr>
          <w:p w14:paraId="29E324B7">
            <w:pPr>
              <w:spacing w:line="240" w:lineRule="exact"/>
              <w:jc w:val="center"/>
              <w:rPr>
                <w:rFonts w:hint="eastAsia" w:ascii="宋体" w:hAnsi="宋体"/>
                <w:i/>
                <w:iCs/>
                <w:color w:val="000000" w:themeColor="text1"/>
                <w:spacing w:val="-2"/>
                <w:kern w:val="0"/>
                <w:szCs w:val="21"/>
                <w14:textFill>
                  <w14:solidFill>
                    <w14:schemeClr w14:val="tx1"/>
                  </w14:solidFill>
                </w14:textFill>
              </w:rPr>
            </w:pPr>
            <w:r>
              <w:rPr>
                <w:rFonts w:ascii="宋体" w:hAnsi="宋体"/>
                <w:i/>
                <w:iCs/>
                <w:color w:val="000000" w:themeColor="text1"/>
                <w:kern w:val="0"/>
                <w:szCs w:val="21"/>
                <w14:textFill>
                  <w14:solidFill>
                    <w14:schemeClr w14:val="tx1"/>
                  </w14:solidFill>
                </w14:textFill>
              </w:rPr>
              <w:t>Kalidium</w:t>
            </w:r>
            <w:r>
              <w:rPr>
                <w:rFonts w:ascii="宋体" w:hAnsi="宋体"/>
                <w:i/>
                <w:iCs/>
                <w:color w:val="000000" w:themeColor="text1"/>
                <w:spacing w:val="-6"/>
                <w:kern w:val="0"/>
                <w:szCs w:val="21"/>
                <w14:textFill>
                  <w14:solidFill>
                    <w14:schemeClr w14:val="tx1"/>
                  </w14:solidFill>
                </w14:textFill>
              </w:rPr>
              <w:t xml:space="preserve"> </w:t>
            </w:r>
            <w:r>
              <w:rPr>
                <w:rFonts w:ascii="宋体" w:hAnsi="宋体"/>
                <w:i/>
                <w:iCs/>
                <w:color w:val="000000" w:themeColor="text1"/>
                <w:spacing w:val="-2"/>
                <w:kern w:val="0"/>
                <w:szCs w:val="21"/>
                <w14:textFill>
                  <w14:solidFill>
                    <w14:schemeClr w14:val="tx1"/>
                  </w14:solidFill>
                </w14:textFill>
              </w:rPr>
              <w:t>cuspidatum</w:t>
            </w:r>
          </w:p>
        </w:tc>
        <w:tc>
          <w:tcPr>
            <w:tcW w:w="1010" w:type="pct"/>
            <w:tcBorders>
              <w:top w:val="single" w:color="000000" w:sz="4" w:space="0"/>
              <w:left w:val="single" w:color="000000" w:sz="4" w:space="0"/>
              <w:bottom w:val="single" w:color="000000" w:sz="4" w:space="0"/>
              <w:right w:val="nil"/>
            </w:tcBorders>
            <w:vAlign w:val="center"/>
          </w:tcPr>
          <w:p w14:paraId="0A045C0C">
            <w:pPr>
              <w:spacing w:line="240" w:lineRule="exact"/>
              <w:jc w:val="center"/>
              <w:rPr>
                <w:rFonts w:hint="eastAsia" w:ascii="宋体" w:hAnsi="宋体"/>
                <w:color w:val="000000" w:themeColor="text1"/>
                <w:w w:val="99"/>
                <w:kern w:val="0"/>
                <w:szCs w:val="21"/>
                <w14:textFill>
                  <w14:solidFill>
                    <w14:schemeClr w14:val="tx1"/>
                  </w14:solidFill>
                </w14:textFill>
              </w:rPr>
            </w:pPr>
            <w:r>
              <w:rPr>
                <w:rFonts w:ascii="宋体" w:hAnsi="宋体"/>
                <w:color w:val="000000" w:themeColor="text1"/>
                <w:w w:val="99"/>
                <w:kern w:val="0"/>
                <w:szCs w:val="21"/>
                <w14:textFill>
                  <w14:solidFill>
                    <w14:schemeClr w14:val="tx1"/>
                  </w14:solidFill>
                </w14:textFill>
              </w:rPr>
              <w:t>-</w:t>
            </w:r>
          </w:p>
        </w:tc>
      </w:tr>
      <w:tr w14:paraId="0CA3CDC5">
        <w:tblPrEx>
          <w:tblCellMar>
            <w:top w:w="0" w:type="dxa"/>
            <w:left w:w="0" w:type="dxa"/>
            <w:bottom w:w="0" w:type="dxa"/>
            <w:right w:w="0" w:type="dxa"/>
          </w:tblCellMar>
        </w:tblPrEx>
        <w:trPr>
          <w:trHeight w:val="340" w:hRule="atLeast"/>
        </w:trPr>
        <w:tc>
          <w:tcPr>
            <w:tcW w:w="1338" w:type="pct"/>
            <w:tcBorders>
              <w:top w:val="single" w:color="000000" w:sz="4" w:space="0"/>
              <w:left w:val="nil"/>
              <w:bottom w:val="single" w:color="000000" w:sz="4" w:space="0"/>
              <w:right w:val="single" w:color="000000" w:sz="4" w:space="0"/>
            </w:tcBorders>
            <w:vAlign w:val="center"/>
          </w:tcPr>
          <w:p w14:paraId="4F6F84BE">
            <w:pPr>
              <w:spacing w:line="240" w:lineRule="exact"/>
              <w:jc w:val="center"/>
              <w:rPr>
                <w:rFonts w:hint="eastAsia"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角果碱蓬</w:t>
            </w:r>
          </w:p>
        </w:tc>
        <w:tc>
          <w:tcPr>
            <w:tcW w:w="2652" w:type="pct"/>
            <w:tcBorders>
              <w:top w:val="single" w:color="000000" w:sz="4" w:space="0"/>
              <w:left w:val="single" w:color="000000" w:sz="4" w:space="0"/>
              <w:bottom w:val="single" w:color="000000" w:sz="4" w:space="0"/>
              <w:right w:val="single" w:color="000000" w:sz="4" w:space="0"/>
            </w:tcBorders>
            <w:vAlign w:val="center"/>
          </w:tcPr>
          <w:p w14:paraId="044443DF">
            <w:pPr>
              <w:spacing w:line="240" w:lineRule="exact"/>
              <w:jc w:val="center"/>
              <w:rPr>
                <w:rFonts w:hint="eastAsia" w:ascii="宋体" w:hAnsi="宋体"/>
                <w:i/>
                <w:iCs/>
                <w:color w:val="000000" w:themeColor="text1"/>
                <w:spacing w:val="-2"/>
                <w:kern w:val="0"/>
                <w:szCs w:val="21"/>
                <w14:textFill>
                  <w14:solidFill>
                    <w14:schemeClr w14:val="tx1"/>
                  </w14:solidFill>
                </w14:textFill>
              </w:rPr>
            </w:pPr>
            <w:r>
              <w:rPr>
                <w:rFonts w:ascii="宋体" w:hAnsi="宋体"/>
                <w:i/>
                <w:iCs/>
                <w:color w:val="000000" w:themeColor="text1"/>
                <w:kern w:val="0"/>
                <w:szCs w:val="21"/>
                <w14:textFill>
                  <w14:solidFill>
                    <w14:schemeClr w14:val="tx1"/>
                  </w14:solidFill>
                </w14:textFill>
              </w:rPr>
              <w:t>Suaeda</w:t>
            </w:r>
            <w:r>
              <w:rPr>
                <w:rFonts w:ascii="宋体" w:hAnsi="宋体"/>
                <w:i/>
                <w:iCs/>
                <w:color w:val="000000" w:themeColor="text1"/>
                <w:spacing w:val="-7"/>
                <w:kern w:val="0"/>
                <w:szCs w:val="21"/>
                <w14:textFill>
                  <w14:solidFill>
                    <w14:schemeClr w14:val="tx1"/>
                  </w14:solidFill>
                </w14:textFill>
              </w:rPr>
              <w:t xml:space="preserve"> </w:t>
            </w:r>
            <w:r>
              <w:rPr>
                <w:rFonts w:ascii="宋体" w:hAnsi="宋体"/>
                <w:i/>
                <w:iCs/>
                <w:color w:val="000000" w:themeColor="text1"/>
                <w:spacing w:val="-2"/>
                <w:kern w:val="0"/>
                <w:szCs w:val="21"/>
                <w14:textFill>
                  <w14:solidFill>
                    <w14:schemeClr w14:val="tx1"/>
                  </w14:solidFill>
                </w14:textFill>
              </w:rPr>
              <w:t>corniculate</w:t>
            </w:r>
          </w:p>
        </w:tc>
        <w:tc>
          <w:tcPr>
            <w:tcW w:w="1010" w:type="pct"/>
            <w:tcBorders>
              <w:top w:val="single" w:color="000000" w:sz="4" w:space="0"/>
              <w:left w:val="single" w:color="000000" w:sz="4" w:space="0"/>
              <w:bottom w:val="single" w:color="000000" w:sz="4" w:space="0"/>
              <w:right w:val="nil"/>
            </w:tcBorders>
            <w:vAlign w:val="center"/>
          </w:tcPr>
          <w:p w14:paraId="49EC6321">
            <w:pPr>
              <w:spacing w:line="240" w:lineRule="exact"/>
              <w:jc w:val="center"/>
              <w:rPr>
                <w:rFonts w:hint="eastAsia" w:ascii="宋体" w:hAnsi="宋体"/>
                <w:color w:val="000000" w:themeColor="text1"/>
                <w:w w:val="99"/>
                <w:kern w:val="0"/>
                <w:szCs w:val="21"/>
                <w14:textFill>
                  <w14:solidFill>
                    <w14:schemeClr w14:val="tx1"/>
                  </w14:solidFill>
                </w14:textFill>
              </w:rPr>
            </w:pPr>
            <w:r>
              <w:rPr>
                <w:rFonts w:ascii="宋体" w:hAnsi="宋体"/>
                <w:color w:val="000000" w:themeColor="text1"/>
                <w:w w:val="99"/>
                <w:kern w:val="0"/>
                <w:szCs w:val="21"/>
                <w14:textFill>
                  <w14:solidFill>
                    <w14:schemeClr w14:val="tx1"/>
                  </w14:solidFill>
                </w14:textFill>
              </w:rPr>
              <w:t>-</w:t>
            </w:r>
          </w:p>
        </w:tc>
      </w:tr>
      <w:tr w14:paraId="41A494A7">
        <w:tblPrEx>
          <w:tblCellMar>
            <w:top w:w="0" w:type="dxa"/>
            <w:left w:w="0" w:type="dxa"/>
            <w:bottom w:w="0" w:type="dxa"/>
            <w:right w:w="0" w:type="dxa"/>
          </w:tblCellMar>
        </w:tblPrEx>
        <w:trPr>
          <w:trHeight w:val="340" w:hRule="atLeast"/>
        </w:trPr>
        <w:tc>
          <w:tcPr>
            <w:tcW w:w="1338" w:type="pct"/>
            <w:tcBorders>
              <w:top w:val="single" w:color="000000" w:sz="4" w:space="0"/>
              <w:left w:val="nil"/>
              <w:bottom w:val="single" w:color="000000" w:sz="4" w:space="0"/>
              <w:right w:val="single" w:color="000000" w:sz="4" w:space="0"/>
            </w:tcBorders>
            <w:vAlign w:val="center"/>
          </w:tcPr>
          <w:p w14:paraId="0319BDCF">
            <w:pPr>
              <w:spacing w:line="240" w:lineRule="exact"/>
              <w:jc w:val="center"/>
              <w:rPr>
                <w:rFonts w:hint="eastAsia"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驼绒藜</w:t>
            </w:r>
          </w:p>
        </w:tc>
        <w:tc>
          <w:tcPr>
            <w:tcW w:w="2652" w:type="pct"/>
            <w:tcBorders>
              <w:top w:val="single" w:color="000000" w:sz="4" w:space="0"/>
              <w:left w:val="single" w:color="000000" w:sz="4" w:space="0"/>
              <w:bottom w:val="single" w:color="000000" w:sz="4" w:space="0"/>
              <w:right w:val="single" w:color="000000" w:sz="4" w:space="0"/>
            </w:tcBorders>
            <w:vAlign w:val="center"/>
          </w:tcPr>
          <w:p w14:paraId="0D936D5E">
            <w:pPr>
              <w:spacing w:line="240" w:lineRule="exact"/>
              <w:jc w:val="center"/>
              <w:rPr>
                <w:rFonts w:hint="eastAsia" w:ascii="宋体" w:hAnsi="宋体"/>
                <w:i/>
                <w:iCs/>
                <w:color w:val="000000" w:themeColor="text1"/>
                <w:spacing w:val="-2"/>
                <w:kern w:val="0"/>
                <w:szCs w:val="21"/>
                <w14:textFill>
                  <w14:solidFill>
                    <w14:schemeClr w14:val="tx1"/>
                  </w14:solidFill>
                </w14:textFill>
              </w:rPr>
            </w:pPr>
            <w:r>
              <w:rPr>
                <w:rFonts w:ascii="宋体" w:hAnsi="宋体"/>
                <w:i/>
                <w:iCs/>
                <w:color w:val="000000" w:themeColor="text1"/>
                <w:kern w:val="0"/>
                <w:szCs w:val="21"/>
                <w14:textFill>
                  <w14:solidFill>
                    <w14:schemeClr w14:val="tx1"/>
                  </w14:solidFill>
                </w14:textFill>
              </w:rPr>
              <w:t>Ceratoides</w:t>
            </w:r>
            <w:r>
              <w:rPr>
                <w:rFonts w:ascii="宋体" w:hAnsi="宋体"/>
                <w:i/>
                <w:iCs/>
                <w:color w:val="000000" w:themeColor="text1"/>
                <w:spacing w:val="-10"/>
                <w:kern w:val="0"/>
                <w:szCs w:val="21"/>
                <w14:textFill>
                  <w14:solidFill>
                    <w14:schemeClr w14:val="tx1"/>
                  </w14:solidFill>
                </w14:textFill>
              </w:rPr>
              <w:t xml:space="preserve"> </w:t>
            </w:r>
            <w:r>
              <w:rPr>
                <w:rFonts w:ascii="宋体" w:hAnsi="宋体"/>
                <w:i/>
                <w:iCs/>
                <w:color w:val="000000" w:themeColor="text1"/>
                <w:spacing w:val="-2"/>
                <w:kern w:val="0"/>
                <w:szCs w:val="21"/>
                <w14:textFill>
                  <w14:solidFill>
                    <w14:schemeClr w14:val="tx1"/>
                  </w14:solidFill>
                </w14:textFill>
              </w:rPr>
              <w:t>ewersmanniana</w:t>
            </w:r>
          </w:p>
        </w:tc>
        <w:tc>
          <w:tcPr>
            <w:tcW w:w="1010" w:type="pct"/>
            <w:tcBorders>
              <w:top w:val="single" w:color="000000" w:sz="4" w:space="0"/>
              <w:left w:val="single" w:color="000000" w:sz="4" w:space="0"/>
              <w:bottom w:val="single" w:color="000000" w:sz="4" w:space="0"/>
              <w:right w:val="nil"/>
            </w:tcBorders>
            <w:vAlign w:val="center"/>
          </w:tcPr>
          <w:p w14:paraId="6BD76758">
            <w:pPr>
              <w:spacing w:line="240" w:lineRule="exact"/>
              <w:jc w:val="center"/>
              <w:rPr>
                <w:rFonts w:hint="eastAsia" w:ascii="宋体" w:hAnsi="宋体"/>
                <w:color w:val="000000" w:themeColor="text1"/>
                <w:spacing w:val="-5"/>
                <w:kern w:val="0"/>
                <w:szCs w:val="21"/>
                <w14:textFill>
                  <w14:solidFill>
                    <w14:schemeClr w14:val="tx1"/>
                  </w14:solidFill>
                </w14:textFill>
              </w:rPr>
            </w:pPr>
            <w:r>
              <w:rPr>
                <w:rFonts w:ascii="宋体" w:hAnsi="宋体"/>
                <w:color w:val="000000" w:themeColor="text1"/>
                <w:spacing w:val="-5"/>
                <w:kern w:val="0"/>
                <w:szCs w:val="21"/>
                <w14:textFill>
                  <w14:solidFill>
                    <w14:schemeClr w14:val="tx1"/>
                  </w14:solidFill>
                </w14:textFill>
              </w:rPr>
              <w:t>++</w:t>
            </w:r>
          </w:p>
        </w:tc>
      </w:tr>
      <w:tr w14:paraId="4CFC8084">
        <w:tblPrEx>
          <w:tblCellMar>
            <w:top w:w="0" w:type="dxa"/>
            <w:left w:w="0" w:type="dxa"/>
            <w:bottom w:w="0" w:type="dxa"/>
            <w:right w:w="0" w:type="dxa"/>
          </w:tblCellMar>
        </w:tblPrEx>
        <w:trPr>
          <w:trHeight w:val="340" w:hRule="atLeast"/>
        </w:trPr>
        <w:tc>
          <w:tcPr>
            <w:tcW w:w="1338" w:type="pct"/>
            <w:tcBorders>
              <w:top w:val="single" w:color="000000" w:sz="4" w:space="0"/>
              <w:left w:val="nil"/>
              <w:bottom w:val="single" w:color="000000" w:sz="4" w:space="0"/>
              <w:right w:val="single" w:color="000000" w:sz="4" w:space="0"/>
            </w:tcBorders>
            <w:vAlign w:val="center"/>
          </w:tcPr>
          <w:p w14:paraId="61E7A3E8">
            <w:pPr>
              <w:spacing w:line="240" w:lineRule="exact"/>
              <w:jc w:val="center"/>
              <w:rPr>
                <w:rFonts w:hint="eastAsia"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盐生草</w:t>
            </w:r>
          </w:p>
        </w:tc>
        <w:tc>
          <w:tcPr>
            <w:tcW w:w="2652" w:type="pct"/>
            <w:tcBorders>
              <w:top w:val="single" w:color="000000" w:sz="4" w:space="0"/>
              <w:left w:val="single" w:color="000000" w:sz="4" w:space="0"/>
              <w:bottom w:val="single" w:color="000000" w:sz="4" w:space="0"/>
              <w:right w:val="single" w:color="000000" w:sz="4" w:space="0"/>
            </w:tcBorders>
            <w:vAlign w:val="center"/>
          </w:tcPr>
          <w:p w14:paraId="0E87E1F0">
            <w:pPr>
              <w:spacing w:line="240" w:lineRule="exact"/>
              <w:jc w:val="center"/>
              <w:rPr>
                <w:rFonts w:hint="eastAsia" w:ascii="宋体" w:hAnsi="宋体"/>
                <w:i/>
                <w:iCs/>
                <w:color w:val="000000" w:themeColor="text1"/>
                <w:spacing w:val="-2"/>
                <w:kern w:val="0"/>
                <w:szCs w:val="21"/>
                <w14:textFill>
                  <w14:solidFill>
                    <w14:schemeClr w14:val="tx1"/>
                  </w14:solidFill>
                </w14:textFill>
              </w:rPr>
            </w:pPr>
            <w:r>
              <w:rPr>
                <w:rFonts w:ascii="宋体" w:hAnsi="宋体"/>
                <w:i/>
                <w:iCs/>
                <w:color w:val="000000" w:themeColor="text1"/>
                <w:kern w:val="0"/>
                <w:szCs w:val="21"/>
                <w14:textFill>
                  <w14:solidFill>
                    <w14:schemeClr w14:val="tx1"/>
                  </w14:solidFill>
                </w14:textFill>
              </w:rPr>
              <w:t>Halogeton</w:t>
            </w:r>
            <w:r>
              <w:rPr>
                <w:rFonts w:ascii="宋体" w:hAnsi="宋体"/>
                <w:i/>
                <w:iCs/>
                <w:color w:val="000000" w:themeColor="text1"/>
                <w:spacing w:val="-6"/>
                <w:kern w:val="0"/>
                <w:szCs w:val="21"/>
                <w14:textFill>
                  <w14:solidFill>
                    <w14:schemeClr w14:val="tx1"/>
                  </w14:solidFill>
                </w14:textFill>
              </w:rPr>
              <w:t xml:space="preserve"> </w:t>
            </w:r>
            <w:r>
              <w:rPr>
                <w:rFonts w:ascii="宋体" w:hAnsi="宋体"/>
                <w:i/>
                <w:iCs/>
                <w:color w:val="000000" w:themeColor="text1"/>
                <w:spacing w:val="-2"/>
                <w:kern w:val="0"/>
                <w:szCs w:val="21"/>
                <w14:textFill>
                  <w14:solidFill>
                    <w14:schemeClr w14:val="tx1"/>
                  </w14:solidFill>
                </w14:textFill>
              </w:rPr>
              <w:t>glomeratus</w:t>
            </w:r>
          </w:p>
        </w:tc>
        <w:tc>
          <w:tcPr>
            <w:tcW w:w="1010" w:type="pct"/>
            <w:tcBorders>
              <w:top w:val="single" w:color="000000" w:sz="4" w:space="0"/>
              <w:left w:val="single" w:color="000000" w:sz="4" w:space="0"/>
              <w:bottom w:val="single" w:color="000000" w:sz="4" w:space="0"/>
              <w:right w:val="nil"/>
            </w:tcBorders>
            <w:vAlign w:val="center"/>
          </w:tcPr>
          <w:p w14:paraId="0DF361D2">
            <w:pPr>
              <w:spacing w:line="240" w:lineRule="exact"/>
              <w:jc w:val="center"/>
              <w:rPr>
                <w:rFonts w:hint="eastAsia" w:ascii="宋体" w:hAnsi="宋体"/>
                <w:color w:val="000000" w:themeColor="text1"/>
                <w:spacing w:val="-5"/>
                <w:kern w:val="0"/>
                <w:szCs w:val="21"/>
                <w14:textFill>
                  <w14:solidFill>
                    <w14:schemeClr w14:val="tx1"/>
                  </w14:solidFill>
                </w14:textFill>
              </w:rPr>
            </w:pPr>
            <w:r>
              <w:rPr>
                <w:rFonts w:ascii="宋体" w:hAnsi="宋体"/>
                <w:color w:val="000000" w:themeColor="text1"/>
                <w:spacing w:val="-5"/>
                <w:kern w:val="0"/>
                <w:szCs w:val="21"/>
                <w14:textFill>
                  <w14:solidFill>
                    <w14:schemeClr w14:val="tx1"/>
                  </w14:solidFill>
                </w14:textFill>
              </w:rPr>
              <w:t>++</w:t>
            </w:r>
          </w:p>
        </w:tc>
      </w:tr>
      <w:tr w14:paraId="183762B0">
        <w:tblPrEx>
          <w:tblCellMar>
            <w:top w:w="0" w:type="dxa"/>
            <w:left w:w="0" w:type="dxa"/>
            <w:bottom w:w="0" w:type="dxa"/>
            <w:right w:w="0" w:type="dxa"/>
          </w:tblCellMar>
        </w:tblPrEx>
        <w:trPr>
          <w:trHeight w:val="340" w:hRule="atLeast"/>
        </w:trPr>
        <w:tc>
          <w:tcPr>
            <w:tcW w:w="1338" w:type="pct"/>
            <w:tcBorders>
              <w:top w:val="single" w:color="000000" w:sz="4" w:space="0"/>
              <w:left w:val="nil"/>
              <w:bottom w:val="single" w:color="000000" w:sz="4" w:space="0"/>
              <w:right w:val="single" w:color="000000" w:sz="4" w:space="0"/>
            </w:tcBorders>
            <w:vAlign w:val="center"/>
          </w:tcPr>
          <w:p w14:paraId="0DDB2FE2">
            <w:pPr>
              <w:spacing w:line="240" w:lineRule="exact"/>
              <w:jc w:val="center"/>
              <w:rPr>
                <w:rFonts w:hint="eastAsia"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叉毛蓬</w:t>
            </w:r>
          </w:p>
        </w:tc>
        <w:tc>
          <w:tcPr>
            <w:tcW w:w="2652" w:type="pct"/>
            <w:tcBorders>
              <w:top w:val="single" w:color="000000" w:sz="4" w:space="0"/>
              <w:left w:val="single" w:color="000000" w:sz="4" w:space="0"/>
              <w:bottom w:val="single" w:color="000000" w:sz="4" w:space="0"/>
              <w:right w:val="single" w:color="000000" w:sz="4" w:space="0"/>
            </w:tcBorders>
            <w:vAlign w:val="center"/>
          </w:tcPr>
          <w:p w14:paraId="2CC8A21B">
            <w:pPr>
              <w:spacing w:line="240" w:lineRule="exact"/>
              <w:jc w:val="center"/>
              <w:rPr>
                <w:rFonts w:hint="eastAsia" w:ascii="宋体" w:hAnsi="宋体"/>
                <w:i/>
                <w:iCs/>
                <w:color w:val="000000" w:themeColor="text1"/>
                <w:spacing w:val="-2"/>
                <w:kern w:val="0"/>
                <w:szCs w:val="21"/>
                <w14:textFill>
                  <w14:solidFill>
                    <w14:schemeClr w14:val="tx1"/>
                  </w14:solidFill>
                </w14:textFill>
              </w:rPr>
            </w:pPr>
            <w:r>
              <w:rPr>
                <w:rFonts w:ascii="宋体" w:hAnsi="宋体"/>
                <w:i/>
                <w:iCs/>
                <w:color w:val="000000" w:themeColor="text1"/>
                <w:spacing w:val="-2"/>
                <w:kern w:val="0"/>
                <w:szCs w:val="21"/>
                <w14:textFill>
                  <w14:solidFill>
                    <w14:schemeClr w14:val="tx1"/>
                  </w14:solidFill>
                </w14:textFill>
              </w:rPr>
              <w:t>Petrosimonia</w:t>
            </w:r>
            <w:r>
              <w:rPr>
                <w:rFonts w:ascii="宋体" w:hAnsi="宋体"/>
                <w:i/>
                <w:iCs/>
                <w:color w:val="000000" w:themeColor="text1"/>
                <w:spacing w:val="4"/>
                <w:kern w:val="0"/>
                <w:szCs w:val="21"/>
                <w14:textFill>
                  <w14:solidFill>
                    <w14:schemeClr w14:val="tx1"/>
                  </w14:solidFill>
                </w14:textFill>
              </w:rPr>
              <w:t xml:space="preserve"> </w:t>
            </w:r>
            <w:r>
              <w:rPr>
                <w:rFonts w:ascii="宋体" w:hAnsi="宋体"/>
                <w:i/>
                <w:iCs/>
                <w:color w:val="000000" w:themeColor="text1"/>
                <w:spacing w:val="-2"/>
                <w:kern w:val="0"/>
                <w:szCs w:val="21"/>
                <w14:textFill>
                  <w14:solidFill>
                    <w14:schemeClr w14:val="tx1"/>
                  </w14:solidFill>
                </w14:textFill>
              </w:rPr>
              <w:t>sibirica</w:t>
            </w:r>
          </w:p>
        </w:tc>
        <w:tc>
          <w:tcPr>
            <w:tcW w:w="1010" w:type="pct"/>
            <w:tcBorders>
              <w:top w:val="single" w:color="000000" w:sz="4" w:space="0"/>
              <w:left w:val="single" w:color="000000" w:sz="4" w:space="0"/>
              <w:bottom w:val="single" w:color="000000" w:sz="4" w:space="0"/>
              <w:right w:val="nil"/>
            </w:tcBorders>
            <w:vAlign w:val="center"/>
          </w:tcPr>
          <w:p w14:paraId="27FFB7B5">
            <w:pPr>
              <w:spacing w:line="240" w:lineRule="exact"/>
              <w:jc w:val="center"/>
              <w:rPr>
                <w:rFonts w:hint="eastAsia" w:ascii="宋体" w:hAnsi="宋体"/>
                <w:color w:val="000000" w:themeColor="text1"/>
                <w:spacing w:val="-5"/>
                <w:kern w:val="0"/>
                <w:szCs w:val="21"/>
                <w14:textFill>
                  <w14:solidFill>
                    <w14:schemeClr w14:val="tx1"/>
                  </w14:solidFill>
                </w14:textFill>
              </w:rPr>
            </w:pPr>
            <w:r>
              <w:rPr>
                <w:rFonts w:ascii="宋体" w:hAnsi="宋体"/>
                <w:color w:val="000000" w:themeColor="text1"/>
                <w:spacing w:val="-5"/>
                <w:kern w:val="0"/>
                <w:szCs w:val="21"/>
                <w14:textFill>
                  <w14:solidFill>
                    <w14:schemeClr w14:val="tx1"/>
                  </w14:solidFill>
                </w14:textFill>
              </w:rPr>
              <w:t>++</w:t>
            </w:r>
          </w:p>
        </w:tc>
      </w:tr>
      <w:tr w14:paraId="245A959B">
        <w:tblPrEx>
          <w:tblCellMar>
            <w:top w:w="0" w:type="dxa"/>
            <w:left w:w="0" w:type="dxa"/>
            <w:bottom w:w="0" w:type="dxa"/>
            <w:right w:w="0" w:type="dxa"/>
          </w:tblCellMar>
        </w:tblPrEx>
        <w:trPr>
          <w:trHeight w:val="340" w:hRule="atLeast"/>
        </w:trPr>
        <w:tc>
          <w:tcPr>
            <w:tcW w:w="1338" w:type="pct"/>
            <w:tcBorders>
              <w:top w:val="single" w:color="000000" w:sz="4" w:space="0"/>
              <w:left w:val="nil"/>
              <w:bottom w:val="single" w:color="000000" w:sz="4" w:space="0"/>
              <w:right w:val="single" w:color="000000" w:sz="4" w:space="0"/>
            </w:tcBorders>
            <w:vAlign w:val="center"/>
          </w:tcPr>
          <w:p w14:paraId="1FD1BBCD">
            <w:pPr>
              <w:spacing w:line="240" w:lineRule="exact"/>
              <w:jc w:val="center"/>
              <w:rPr>
                <w:rFonts w:hint="eastAsia"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盐生假木贼</w:t>
            </w:r>
          </w:p>
        </w:tc>
        <w:tc>
          <w:tcPr>
            <w:tcW w:w="2652" w:type="pct"/>
            <w:tcBorders>
              <w:top w:val="single" w:color="000000" w:sz="4" w:space="0"/>
              <w:left w:val="single" w:color="000000" w:sz="4" w:space="0"/>
              <w:bottom w:val="single" w:color="000000" w:sz="4" w:space="0"/>
              <w:right w:val="single" w:color="000000" w:sz="4" w:space="0"/>
            </w:tcBorders>
            <w:vAlign w:val="center"/>
          </w:tcPr>
          <w:p w14:paraId="4C1E7459">
            <w:pPr>
              <w:spacing w:line="240" w:lineRule="exact"/>
              <w:jc w:val="center"/>
              <w:rPr>
                <w:rFonts w:hint="eastAsia" w:ascii="宋体" w:hAnsi="宋体"/>
                <w:i/>
                <w:iCs/>
                <w:color w:val="000000" w:themeColor="text1"/>
                <w:spacing w:val="-2"/>
                <w:kern w:val="0"/>
                <w:szCs w:val="21"/>
                <w14:textFill>
                  <w14:solidFill>
                    <w14:schemeClr w14:val="tx1"/>
                  </w14:solidFill>
                </w14:textFill>
              </w:rPr>
            </w:pPr>
            <w:r>
              <w:rPr>
                <w:rFonts w:ascii="宋体" w:hAnsi="宋体"/>
                <w:i/>
                <w:iCs/>
                <w:color w:val="000000" w:themeColor="text1"/>
                <w:kern w:val="0"/>
                <w:szCs w:val="21"/>
                <w14:textFill>
                  <w14:solidFill>
                    <w14:schemeClr w14:val="tx1"/>
                  </w14:solidFill>
                </w14:textFill>
              </w:rPr>
              <w:t>Anabasis</w:t>
            </w:r>
            <w:r>
              <w:rPr>
                <w:rFonts w:ascii="宋体" w:hAnsi="宋体"/>
                <w:i/>
                <w:iCs/>
                <w:color w:val="000000" w:themeColor="text1"/>
                <w:spacing w:val="-6"/>
                <w:kern w:val="0"/>
                <w:szCs w:val="21"/>
                <w14:textFill>
                  <w14:solidFill>
                    <w14:schemeClr w14:val="tx1"/>
                  </w14:solidFill>
                </w14:textFill>
              </w:rPr>
              <w:t xml:space="preserve"> </w:t>
            </w:r>
            <w:r>
              <w:rPr>
                <w:rFonts w:ascii="宋体" w:hAnsi="宋体"/>
                <w:i/>
                <w:iCs/>
                <w:color w:val="000000" w:themeColor="text1"/>
                <w:spacing w:val="-2"/>
                <w:kern w:val="0"/>
                <w:szCs w:val="21"/>
                <w14:textFill>
                  <w14:solidFill>
                    <w14:schemeClr w14:val="tx1"/>
                  </w14:solidFill>
                </w14:textFill>
              </w:rPr>
              <w:t>salsa</w:t>
            </w:r>
          </w:p>
        </w:tc>
        <w:tc>
          <w:tcPr>
            <w:tcW w:w="1010" w:type="pct"/>
            <w:tcBorders>
              <w:top w:val="single" w:color="000000" w:sz="4" w:space="0"/>
              <w:left w:val="single" w:color="000000" w:sz="4" w:space="0"/>
              <w:bottom w:val="single" w:color="000000" w:sz="4" w:space="0"/>
              <w:right w:val="nil"/>
            </w:tcBorders>
            <w:vAlign w:val="center"/>
          </w:tcPr>
          <w:p w14:paraId="4762621C">
            <w:pPr>
              <w:spacing w:line="240" w:lineRule="exact"/>
              <w:jc w:val="center"/>
              <w:rPr>
                <w:rFonts w:hint="eastAsia" w:ascii="宋体" w:hAnsi="宋体"/>
                <w:color w:val="000000" w:themeColor="text1"/>
                <w:spacing w:val="-5"/>
                <w:kern w:val="0"/>
                <w:szCs w:val="21"/>
                <w14:textFill>
                  <w14:solidFill>
                    <w14:schemeClr w14:val="tx1"/>
                  </w14:solidFill>
                </w14:textFill>
              </w:rPr>
            </w:pPr>
            <w:r>
              <w:rPr>
                <w:rFonts w:ascii="宋体" w:hAnsi="宋体"/>
                <w:color w:val="000000" w:themeColor="text1"/>
                <w:spacing w:val="-5"/>
                <w:kern w:val="0"/>
                <w:szCs w:val="21"/>
                <w14:textFill>
                  <w14:solidFill>
                    <w14:schemeClr w14:val="tx1"/>
                  </w14:solidFill>
                </w14:textFill>
              </w:rPr>
              <w:t>++</w:t>
            </w:r>
          </w:p>
        </w:tc>
      </w:tr>
      <w:tr w14:paraId="2568CE57">
        <w:tblPrEx>
          <w:tblCellMar>
            <w:top w:w="0" w:type="dxa"/>
            <w:left w:w="0" w:type="dxa"/>
            <w:bottom w:w="0" w:type="dxa"/>
            <w:right w:w="0" w:type="dxa"/>
          </w:tblCellMar>
        </w:tblPrEx>
        <w:trPr>
          <w:trHeight w:val="340" w:hRule="atLeast"/>
        </w:trPr>
        <w:tc>
          <w:tcPr>
            <w:tcW w:w="1338" w:type="pct"/>
            <w:tcBorders>
              <w:top w:val="single" w:color="000000" w:sz="4" w:space="0"/>
              <w:left w:val="nil"/>
              <w:bottom w:val="single" w:color="000000" w:sz="4" w:space="0"/>
              <w:right w:val="single" w:color="000000" w:sz="4" w:space="0"/>
            </w:tcBorders>
            <w:vAlign w:val="center"/>
          </w:tcPr>
          <w:p w14:paraId="422A0F16">
            <w:pPr>
              <w:spacing w:line="240" w:lineRule="exact"/>
              <w:jc w:val="center"/>
              <w:rPr>
                <w:rFonts w:hint="eastAsia"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短叶假木贼</w:t>
            </w:r>
          </w:p>
        </w:tc>
        <w:tc>
          <w:tcPr>
            <w:tcW w:w="2652" w:type="pct"/>
            <w:tcBorders>
              <w:top w:val="single" w:color="000000" w:sz="4" w:space="0"/>
              <w:left w:val="single" w:color="000000" w:sz="4" w:space="0"/>
              <w:bottom w:val="single" w:color="000000" w:sz="4" w:space="0"/>
              <w:right w:val="single" w:color="000000" w:sz="4" w:space="0"/>
            </w:tcBorders>
            <w:vAlign w:val="center"/>
          </w:tcPr>
          <w:p w14:paraId="6291862C">
            <w:pPr>
              <w:spacing w:line="240" w:lineRule="exact"/>
              <w:jc w:val="center"/>
              <w:rPr>
                <w:rFonts w:hint="eastAsia" w:ascii="宋体" w:hAnsi="宋体"/>
                <w:i/>
                <w:iCs/>
                <w:color w:val="000000" w:themeColor="text1"/>
                <w:spacing w:val="-2"/>
                <w:kern w:val="0"/>
                <w:szCs w:val="21"/>
                <w14:textFill>
                  <w14:solidFill>
                    <w14:schemeClr w14:val="tx1"/>
                  </w14:solidFill>
                </w14:textFill>
              </w:rPr>
            </w:pPr>
            <w:r>
              <w:rPr>
                <w:rFonts w:ascii="宋体" w:hAnsi="宋体"/>
                <w:i/>
                <w:iCs/>
                <w:color w:val="000000" w:themeColor="text1"/>
                <w:kern w:val="0"/>
                <w:szCs w:val="21"/>
                <w14:textFill>
                  <w14:solidFill>
                    <w14:schemeClr w14:val="tx1"/>
                  </w14:solidFill>
                </w14:textFill>
              </w:rPr>
              <w:t>Anabasis</w:t>
            </w:r>
            <w:r>
              <w:rPr>
                <w:rFonts w:ascii="宋体" w:hAnsi="宋体"/>
                <w:i/>
                <w:iCs/>
                <w:color w:val="000000" w:themeColor="text1"/>
                <w:spacing w:val="-8"/>
                <w:kern w:val="0"/>
                <w:szCs w:val="21"/>
                <w14:textFill>
                  <w14:solidFill>
                    <w14:schemeClr w14:val="tx1"/>
                  </w14:solidFill>
                </w14:textFill>
              </w:rPr>
              <w:t xml:space="preserve"> </w:t>
            </w:r>
            <w:r>
              <w:rPr>
                <w:rFonts w:ascii="宋体" w:hAnsi="宋体"/>
                <w:i/>
                <w:iCs/>
                <w:color w:val="000000" w:themeColor="text1"/>
                <w:spacing w:val="-2"/>
                <w:kern w:val="0"/>
                <w:szCs w:val="21"/>
                <w14:textFill>
                  <w14:solidFill>
                    <w14:schemeClr w14:val="tx1"/>
                  </w14:solidFill>
                </w14:textFill>
              </w:rPr>
              <w:t>brevifolia</w:t>
            </w:r>
          </w:p>
        </w:tc>
        <w:tc>
          <w:tcPr>
            <w:tcW w:w="1010" w:type="pct"/>
            <w:tcBorders>
              <w:top w:val="single" w:color="000000" w:sz="4" w:space="0"/>
              <w:left w:val="single" w:color="000000" w:sz="4" w:space="0"/>
              <w:bottom w:val="single" w:color="000000" w:sz="4" w:space="0"/>
              <w:right w:val="nil"/>
            </w:tcBorders>
            <w:vAlign w:val="center"/>
          </w:tcPr>
          <w:p w14:paraId="03D53542">
            <w:pPr>
              <w:spacing w:line="240" w:lineRule="exact"/>
              <w:jc w:val="center"/>
              <w:rPr>
                <w:rFonts w:hint="eastAsia" w:ascii="宋体" w:hAnsi="宋体"/>
                <w:color w:val="000000" w:themeColor="text1"/>
                <w:spacing w:val="-5"/>
                <w:kern w:val="0"/>
                <w:szCs w:val="21"/>
                <w14:textFill>
                  <w14:solidFill>
                    <w14:schemeClr w14:val="tx1"/>
                  </w14:solidFill>
                </w14:textFill>
              </w:rPr>
            </w:pPr>
            <w:r>
              <w:rPr>
                <w:rFonts w:ascii="宋体" w:hAnsi="宋体"/>
                <w:color w:val="000000" w:themeColor="text1"/>
                <w:spacing w:val="-5"/>
                <w:kern w:val="0"/>
                <w:szCs w:val="21"/>
                <w14:textFill>
                  <w14:solidFill>
                    <w14:schemeClr w14:val="tx1"/>
                  </w14:solidFill>
                </w14:textFill>
              </w:rPr>
              <w:t>++</w:t>
            </w:r>
          </w:p>
        </w:tc>
      </w:tr>
      <w:tr w14:paraId="03B21E97">
        <w:tblPrEx>
          <w:tblCellMar>
            <w:top w:w="0" w:type="dxa"/>
            <w:left w:w="0" w:type="dxa"/>
            <w:bottom w:w="0" w:type="dxa"/>
            <w:right w:w="0" w:type="dxa"/>
          </w:tblCellMar>
        </w:tblPrEx>
        <w:trPr>
          <w:trHeight w:val="340" w:hRule="atLeast"/>
        </w:trPr>
        <w:tc>
          <w:tcPr>
            <w:tcW w:w="1338" w:type="pct"/>
            <w:tcBorders>
              <w:top w:val="single" w:color="000000" w:sz="4" w:space="0"/>
              <w:left w:val="nil"/>
              <w:bottom w:val="single" w:color="000000" w:sz="4" w:space="0"/>
              <w:right w:val="single" w:color="000000" w:sz="4" w:space="0"/>
            </w:tcBorders>
            <w:vAlign w:val="center"/>
          </w:tcPr>
          <w:p w14:paraId="40C09D46">
            <w:pPr>
              <w:spacing w:line="240" w:lineRule="exact"/>
              <w:jc w:val="center"/>
              <w:rPr>
                <w:rFonts w:hint="eastAsia"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小蓬</w:t>
            </w:r>
          </w:p>
        </w:tc>
        <w:tc>
          <w:tcPr>
            <w:tcW w:w="2652" w:type="pct"/>
            <w:tcBorders>
              <w:top w:val="single" w:color="000000" w:sz="4" w:space="0"/>
              <w:left w:val="single" w:color="000000" w:sz="4" w:space="0"/>
              <w:bottom w:val="single" w:color="000000" w:sz="4" w:space="0"/>
              <w:right w:val="single" w:color="000000" w:sz="4" w:space="0"/>
            </w:tcBorders>
            <w:vAlign w:val="center"/>
          </w:tcPr>
          <w:p w14:paraId="385E4CB7">
            <w:pPr>
              <w:spacing w:line="240" w:lineRule="exact"/>
              <w:jc w:val="center"/>
              <w:rPr>
                <w:rFonts w:hint="eastAsia" w:ascii="宋体" w:hAnsi="宋体"/>
                <w:i/>
                <w:iCs/>
                <w:color w:val="000000" w:themeColor="text1"/>
                <w:spacing w:val="-2"/>
                <w:kern w:val="0"/>
                <w:szCs w:val="21"/>
                <w14:textFill>
                  <w14:solidFill>
                    <w14:schemeClr w14:val="tx1"/>
                  </w14:solidFill>
                </w14:textFill>
              </w:rPr>
            </w:pPr>
            <w:r>
              <w:rPr>
                <w:rFonts w:ascii="宋体" w:hAnsi="宋体"/>
                <w:i/>
                <w:iCs/>
                <w:color w:val="000000" w:themeColor="text1"/>
                <w:kern w:val="0"/>
                <w:szCs w:val="21"/>
                <w14:textFill>
                  <w14:solidFill>
                    <w14:schemeClr w14:val="tx1"/>
                  </w14:solidFill>
                </w14:textFill>
              </w:rPr>
              <w:t>Nanophyton</w:t>
            </w:r>
            <w:r>
              <w:rPr>
                <w:rFonts w:ascii="宋体" w:hAnsi="宋体"/>
                <w:i/>
                <w:iCs/>
                <w:color w:val="000000" w:themeColor="text1"/>
                <w:spacing w:val="-10"/>
                <w:kern w:val="0"/>
                <w:szCs w:val="21"/>
                <w14:textFill>
                  <w14:solidFill>
                    <w14:schemeClr w14:val="tx1"/>
                  </w14:solidFill>
                </w14:textFill>
              </w:rPr>
              <w:t xml:space="preserve"> </w:t>
            </w:r>
            <w:r>
              <w:rPr>
                <w:rFonts w:ascii="宋体" w:hAnsi="宋体"/>
                <w:i/>
                <w:iCs/>
                <w:color w:val="000000" w:themeColor="text1"/>
                <w:spacing w:val="-2"/>
                <w:kern w:val="0"/>
                <w:szCs w:val="21"/>
                <w14:textFill>
                  <w14:solidFill>
                    <w14:schemeClr w14:val="tx1"/>
                  </w14:solidFill>
                </w14:textFill>
              </w:rPr>
              <w:t>erinaceum</w:t>
            </w:r>
          </w:p>
        </w:tc>
        <w:tc>
          <w:tcPr>
            <w:tcW w:w="1010" w:type="pct"/>
            <w:tcBorders>
              <w:top w:val="single" w:color="000000" w:sz="4" w:space="0"/>
              <w:left w:val="single" w:color="000000" w:sz="4" w:space="0"/>
              <w:bottom w:val="single" w:color="000000" w:sz="4" w:space="0"/>
              <w:right w:val="nil"/>
            </w:tcBorders>
            <w:vAlign w:val="center"/>
          </w:tcPr>
          <w:p w14:paraId="14B1CA7F">
            <w:pPr>
              <w:spacing w:line="240" w:lineRule="exact"/>
              <w:jc w:val="center"/>
              <w:rPr>
                <w:rFonts w:hint="eastAsia" w:ascii="宋体" w:hAnsi="宋体"/>
                <w:color w:val="000000" w:themeColor="text1"/>
                <w:spacing w:val="-5"/>
                <w:kern w:val="0"/>
                <w:szCs w:val="21"/>
                <w14:textFill>
                  <w14:solidFill>
                    <w14:schemeClr w14:val="tx1"/>
                  </w14:solidFill>
                </w14:textFill>
              </w:rPr>
            </w:pPr>
            <w:r>
              <w:rPr>
                <w:rFonts w:ascii="宋体" w:hAnsi="宋体"/>
                <w:color w:val="000000" w:themeColor="text1"/>
                <w:spacing w:val="-5"/>
                <w:kern w:val="0"/>
                <w:szCs w:val="21"/>
                <w14:textFill>
                  <w14:solidFill>
                    <w14:schemeClr w14:val="tx1"/>
                  </w14:solidFill>
                </w14:textFill>
              </w:rPr>
              <w:t>++</w:t>
            </w:r>
          </w:p>
        </w:tc>
      </w:tr>
      <w:tr w14:paraId="5EF396BE">
        <w:tblPrEx>
          <w:tblCellMar>
            <w:top w:w="0" w:type="dxa"/>
            <w:left w:w="0" w:type="dxa"/>
            <w:bottom w:w="0" w:type="dxa"/>
            <w:right w:w="0" w:type="dxa"/>
          </w:tblCellMar>
        </w:tblPrEx>
        <w:trPr>
          <w:trHeight w:val="340" w:hRule="atLeast"/>
        </w:trPr>
        <w:tc>
          <w:tcPr>
            <w:tcW w:w="1338" w:type="pct"/>
            <w:tcBorders>
              <w:top w:val="single" w:color="000000" w:sz="4" w:space="0"/>
              <w:left w:val="nil"/>
              <w:bottom w:val="single" w:color="000000" w:sz="4" w:space="0"/>
              <w:right w:val="single" w:color="000000" w:sz="4" w:space="0"/>
            </w:tcBorders>
            <w:vAlign w:val="center"/>
          </w:tcPr>
          <w:p w14:paraId="634C4006">
            <w:pPr>
              <w:spacing w:line="240" w:lineRule="exact"/>
              <w:jc w:val="center"/>
              <w:rPr>
                <w:rFonts w:hint="eastAsia"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梭梭</w:t>
            </w:r>
          </w:p>
        </w:tc>
        <w:tc>
          <w:tcPr>
            <w:tcW w:w="2652" w:type="pct"/>
            <w:tcBorders>
              <w:top w:val="single" w:color="000000" w:sz="4" w:space="0"/>
              <w:left w:val="single" w:color="000000" w:sz="4" w:space="0"/>
              <w:bottom w:val="single" w:color="000000" w:sz="4" w:space="0"/>
              <w:right w:val="single" w:color="000000" w:sz="4" w:space="0"/>
            </w:tcBorders>
            <w:vAlign w:val="center"/>
          </w:tcPr>
          <w:p w14:paraId="7F4116B8">
            <w:pPr>
              <w:spacing w:line="240" w:lineRule="exact"/>
              <w:jc w:val="center"/>
              <w:rPr>
                <w:rFonts w:hint="eastAsia" w:ascii="宋体" w:hAnsi="宋体"/>
                <w:i/>
                <w:iCs/>
                <w:color w:val="000000" w:themeColor="text1"/>
                <w:spacing w:val="-2"/>
                <w:kern w:val="0"/>
                <w:szCs w:val="21"/>
                <w14:textFill>
                  <w14:solidFill>
                    <w14:schemeClr w14:val="tx1"/>
                  </w14:solidFill>
                </w14:textFill>
              </w:rPr>
            </w:pPr>
            <w:r>
              <w:rPr>
                <w:rFonts w:ascii="宋体" w:hAnsi="宋体"/>
                <w:i/>
                <w:iCs/>
                <w:color w:val="000000" w:themeColor="text1"/>
                <w:kern w:val="0"/>
                <w:szCs w:val="21"/>
                <w14:textFill>
                  <w14:solidFill>
                    <w14:schemeClr w14:val="tx1"/>
                  </w14:solidFill>
                </w14:textFill>
              </w:rPr>
              <w:t>Haloxylon</w:t>
            </w:r>
            <w:r>
              <w:rPr>
                <w:rFonts w:ascii="宋体" w:hAnsi="宋体"/>
                <w:i/>
                <w:iCs/>
                <w:color w:val="000000" w:themeColor="text1"/>
                <w:spacing w:val="-7"/>
                <w:kern w:val="0"/>
                <w:szCs w:val="21"/>
                <w14:textFill>
                  <w14:solidFill>
                    <w14:schemeClr w14:val="tx1"/>
                  </w14:solidFill>
                </w14:textFill>
              </w:rPr>
              <w:t xml:space="preserve"> </w:t>
            </w:r>
            <w:r>
              <w:rPr>
                <w:rFonts w:ascii="宋体" w:hAnsi="宋体"/>
                <w:i/>
                <w:iCs/>
                <w:color w:val="000000" w:themeColor="text1"/>
                <w:spacing w:val="-2"/>
                <w:kern w:val="0"/>
                <w:szCs w:val="21"/>
                <w14:textFill>
                  <w14:solidFill>
                    <w14:schemeClr w14:val="tx1"/>
                  </w14:solidFill>
                </w14:textFill>
              </w:rPr>
              <w:t>ammodendron</w:t>
            </w:r>
          </w:p>
        </w:tc>
        <w:tc>
          <w:tcPr>
            <w:tcW w:w="1010" w:type="pct"/>
            <w:tcBorders>
              <w:top w:val="single" w:color="000000" w:sz="4" w:space="0"/>
              <w:left w:val="single" w:color="000000" w:sz="4" w:space="0"/>
              <w:bottom w:val="single" w:color="000000" w:sz="4" w:space="0"/>
              <w:right w:val="nil"/>
            </w:tcBorders>
            <w:vAlign w:val="center"/>
          </w:tcPr>
          <w:p w14:paraId="7F118A4D">
            <w:pPr>
              <w:spacing w:line="240" w:lineRule="exact"/>
              <w:jc w:val="center"/>
              <w:rPr>
                <w:rFonts w:hint="eastAsia" w:ascii="宋体" w:hAnsi="宋体"/>
                <w:color w:val="000000" w:themeColor="text1"/>
                <w:w w:val="99"/>
                <w:kern w:val="0"/>
                <w:szCs w:val="21"/>
                <w14:textFill>
                  <w14:solidFill>
                    <w14:schemeClr w14:val="tx1"/>
                  </w14:solidFill>
                </w14:textFill>
              </w:rPr>
            </w:pPr>
            <w:r>
              <w:rPr>
                <w:rFonts w:ascii="宋体" w:hAnsi="宋体"/>
                <w:color w:val="000000" w:themeColor="text1"/>
                <w:w w:val="99"/>
                <w:kern w:val="0"/>
                <w:szCs w:val="21"/>
                <w14:textFill>
                  <w14:solidFill>
                    <w14:schemeClr w14:val="tx1"/>
                  </w14:solidFill>
                </w14:textFill>
              </w:rPr>
              <w:t>+</w:t>
            </w:r>
          </w:p>
        </w:tc>
      </w:tr>
      <w:tr w14:paraId="1F45AF2F">
        <w:tblPrEx>
          <w:tblCellMar>
            <w:top w:w="0" w:type="dxa"/>
            <w:left w:w="0" w:type="dxa"/>
            <w:bottom w:w="0" w:type="dxa"/>
            <w:right w:w="0" w:type="dxa"/>
          </w:tblCellMar>
        </w:tblPrEx>
        <w:trPr>
          <w:trHeight w:val="340" w:hRule="atLeast"/>
        </w:trPr>
        <w:tc>
          <w:tcPr>
            <w:tcW w:w="1338" w:type="pct"/>
            <w:tcBorders>
              <w:top w:val="single" w:color="000000" w:sz="4" w:space="0"/>
              <w:left w:val="nil"/>
              <w:bottom w:val="single" w:color="000000" w:sz="4" w:space="0"/>
              <w:right w:val="single" w:color="000000" w:sz="4" w:space="0"/>
            </w:tcBorders>
            <w:vAlign w:val="center"/>
          </w:tcPr>
          <w:p w14:paraId="41EAF115">
            <w:pPr>
              <w:spacing w:line="240" w:lineRule="exact"/>
              <w:jc w:val="center"/>
              <w:rPr>
                <w:rFonts w:hint="eastAsia"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白梭梭</w:t>
            </w:r>
          </w:p>
        </w:tc>
        <w:tc>
          <w:tcPr>
            <w:tcW w:w="2652" w:type="pct"/>
            <w:tcBorders>
              <w:top w:val="single" w:color="000000" w:sz="4" w:space="0"/>
              <w:left w:val="single" w:color="000000" w:sz="4" w:space="0"/>
              <w:bottom w:val="single" w:color="000000" w:sz="4" w:space="0"/>
              <w:right w:val="single" w:color="000000" w:sz="4" w:space="0"/>
            </w:tcBorders>
            <w:vAlign w:val="center"/>
          </w:tcPr>
          <w:p w14:paraId="6D2F8858">
            <w:pPr>
              <w:spacing w:line="240" w:lineRule="exact"/>
              <w:jc w:val="center"/>
              <w:rPr>
                <w:rFonts w:hint="eastAsia" w:ascii="宋体" w:hAnsi="宋体"/>
                <w:i/>
                <w:iCs/>
                <w:color w:val="000000" w:themeColor="text1"/>
                <w:kern w:val="0"/>
                <w:szCs w:val="21"/>
                <w14:textFill>
                  <w14:solidFill>
                    <w14:schemeClr w14:val="tx1"/>
                  </w14:solidFill>
                </w14:textFill>
              </w:rPr>
            </w:pPr>
            <w:r>
              <w:rPr>
                <w:rFonts w:ascii="宋体" w:hAnsi="宋体"/>
                <w:i/>
                <w:iCs/>
                <w:color w:val="000000" w:themeColor="text1"/>
                <w:szCs w:val="21"/>
                <w14:textFill>
                  <w14:solidFill>
                    <w14:schemeClr w14:val="tx1"/>
                  </w14:solidFill>
                </w14:textFill>
              </w:rPr>
              <w:t>Haloxylon persicum</w:t>
            </w:r>
          </w:p>
        </w:tc>
        <w:tc>
          <w:tcPr>
            <w:tcW w:w="1010" w:type="pct"/>
            <w:tcBorders>
              <w:top w:val="single" w:color="000000" w:sz="4" w:space="0"/>
              <w:left w:val="single" w:color="000000" w:sz="4" w:space="0"/>
              <w:bottom w:val="single" w:color="000000" w:sz="4" w:space="0"/>
              <w:right w:val="nil"/>
            </w:tcBorders>
            <w:vAlign w:val="center"/>
          </w:tcPr>
          <w:p w14:paraId="538E9061">
            <w:pPr>
              <w:spacing w:line="240" w:lineRule="exact"/>
              <w:jc w:val="center"/>
              <w:rPr>
                <w:rFonts w:hint="eastAsia" w:ascii="宋体" w:hAnsi="宋体"/>
                <w:color w:val="000000" w:themeColor="text1"/>
                <w:w w:val="99"/>
                <w:kern w:val="0"/>
                <w:szCs w:val="21"/>
                <w14:textFill>
                  <w14:solidFill>
                    <w14:schemeClr w14:val="tx1"/>
                  </w14:solidFill>
                </w14:textFill>
              </w:rPr>
            </w:pPr>
            <w:r>
              <w:rPr>
                <w:rFonts w:hint="eastAsia" w:ascii="宋体" w:hAnsi="宋体"/>
                <w:color w:val="000000" w:themeColor="text1"/>
                <w:w w:val="99"/>
                <w:kern w:val="0"/>
                <w:szCs w:val="21"/>
                <w14:textFill>
                  <w14:solidFill>
                    <w14:schemeClr w14:val="tx1"/>
                  </w14:solidFill>
                </w14:textFill>
              </w:rPr>
              <w:t>+</w:t>
            </w:r>
          </w:p>
        </w:tc>
      </w:tr>
      <w:tr w14:paraId="271CCED7">
        <w:tblPrEx>
          <w:tblCellMar>
            <w:top w:w="0" w:type="dxa"/>
            <w:left w:w="0" w:type="dxa"/>
            <w:bottom w:w="0" w:type="dxa"/>
            <w:right w:w="0" w:type="dxa"/>
          </w:tblCellMar>
        </w:tblPrEx>
        <w:trPr>
          <w:trHeight w:val="340" w:hRule="atLeast"/>
        </w:trPr>
        <w:tc>
          <w:tcPr>
            <w:tcW w:w="1338" w:type="pct"/>
            <w:tcBorders>
              <w:top w:val="single" w:color="000000" w:sz="4" w:space="0"/>
              <w:left w:val="nil"/>
              <w:bottom w:val="single" w:color="000000" w:sz="4" w:space="0"/>
              <w:right w:val="single" w:color="000000" w:sz="4" w:space="0"/>
            </w:tcBorders>
            <w:vAlign w:val="center"/>
          </w:tcPr>
          <w:p w14:paraId="4F5E5EA9">
            <w:pPr>
              <w:spacing w:line="240" w:lineRule="exact"/>
              <w:jc w:val="center"/>
              <w:rPr>
                <w:rFonts w:hint="eastAsia"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四、十字花科</w:t>
            </w:r>
          </w:p>
        </w:tc>
        <w:tc>
          <w:tcPr>
            <w:tcW w:w="2652" w:type="pct"/>
            <w:tcBorders>
              <w:top w:val="single" w:color="000000" w:sz="4" w:space="0"/>
              <w:left w:val="single" w:color="000000" w:sz="4" w:space="0"/>
              <w:bottom w:val="single" w:color="000000" w:sz="4" w:space="0"/>
              <w:right w:val="single" w:color="000000" w:sz="4" w:space="0"/>
            </w:tcBorders>
            <w:vAlign w:val="center"/>
          </w:tcPr>
          <w:p w14:paraId="72626942">
            <w:pPr>
              <w:spacing w:line="240" w:lineRule="exact"/>
              <w:jc w:val="center"/>
              <w:rPr>
                <w:rFonts w:hint="eastAsia" w:ascii="宋体" w:hAnsi="宋体"/>
                <w:i/>
                <w:iCs/>
                <w:color w:val="000000" w:themeColor="text1"/>
                <w:spacing w:val="-2"/>
                <w:kern w:val="0"/>
                <w:szCs w:val="21"/>
                <w14:textFill>
                  <w14:solidFill>
                    <w14:schemeClr w14:val="tx1"/>
                  </w14:solidFill>
                </w14:textFill>
              </w:rPr>
            </w:pPr>
            <w:r>
              <w:rPr>
                <w:rFonts w:ascii="宋体" w:hAnsi="宋体"/>
                <w:i/>
                <w:iCs/>
                <w:color w:val="000000" w:themeColor="text1"/>
                <w:spacing w:val="-2"/>
                <w:kern w:val="0"/>
                <w:szCs w:val="21"/>
                <w14:textFill>
                  <w14:solidFill>
                    <w14:schemeClr w14:val="tx1"/>
                  </w14:solidFill>
                </w14:textFill>
              </w:rPr>
              <w:t>Cruciferae</w:t>
            </w:r>
          </w:p>
        </w:tc>
        <w:tc>
          <w:tcPr>
            <w:tcW w:w="1010" w:type="pct"/>
            <w:tcBorders>
              <w:top w:val="single" w:color="000000" w:sz="4" w:space="0"/>
              <w:left w:val="single" w:color="000000" w:sz="4" w:space="0"/>
              <w:bottom w:val="single" w:color="000000" w:sz="4" w:space="0"/>
              <w:right w:val="nil"/>
            </w:tcBorders>
            <w:vAlign w:val="center"/>
          </w:tcPr>
          <w:p w14:paraId="446D1072">
            <w:pPr>
              <w:spacing w:line="240" w:lineRule="exact"/>
              <w:jc w:val="center"/>
              <w:rPr>
                <w:rFonts w:hint="eastAsia" w:ascii="宋体" w:hAnsi="宋体"/>
                <w:color w:val="000000" w:themeColor="text1"/>
                <w:kern w:val="0"/>
                <w:szCs w:val="21"/>
                <w14:textFill>
                  <w14:solidFill>
                    <w14:schemeClr w14:val="tx1"/>
                  </w14:solidFill>
                </w14:textFill>
              </w:rPr>
            </w:pPr>
          </w:p>
        </w:tc>
      </w:tr>
      <w:tr w14:paraId="230E9684">
        <w:tblPrEx>
          <w:tblCellMar>
            <w:top w:w="0" w:type="dxa"/>
            <w:left w:w="0" w:type="dxa"/>
            <w:bottom w:w="0" w:type="dxa"/>
            <w:right w:w="0" w:type="dxa"/>
          </w:tblCellMar>
        </w:tblPrEx>
        <w:trPr>
          <w:trHeight w:val="340" w:hRule="atLeast"/>
        </w:trPr>
        <w:tc>
          <w:tcPr>
            <w:tcW w:w="1338" w:type="pct"/>
            <w:tcBorders>
              <w:top w:val="single" w:color="000000" w:sz="4" w:space="0"/>
              <w:left w:val="nil"/>
              <w:bottom w:val="single" w:color="000000" w:sz="4" w:space="0"/>
              <w:right w:val="single" w:color="000000" w:sz="4" w:space="0"/>
            </w:tcBorders>
            <w:vAlign w:val="center"/>
          </w:tcPr>
          <w:p w14:paraId="1737D763">
            <w:pPr>
              <w:spacing w:line="240" w:lineRule="exact"/>
              <w:jc w:val="center"/>
              <w:rPr>
                <w:rFonts w:hint="eastAsia"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荒漠庭荠</w:t>
            </w:r>
          </w:p>
        </w:tc>
        <w:tc>
          <w:tcPr>
            <w:tcW w:w="2652" w:type="pct"/>
            <w:tcBorders>
              <w:top w:val="single" w:color="000000" w:sz="4" w:space="0"/>
              <w:left w:val="single" w:color="000000" w:sz="4" w:space="0"/>
              <w:bottom w:val="single" w:color="000000" w:sz="4" w:space="0"/>
              <w:right w:val="single" w:color="000000" w:sz="4" w:space="0"/>
            </w:tcBorders>
            <w:vAlign w:val="center"/>
          </w:tcPr>
          <w:p w14:paraId="544EBD2A">
            <w:pPr>
              <w:spacing w:line="240" w:lineRule="exact"/>
              <w:jc w:val="center"/>
              <w:rPr>
                <w:rFonts w:hint="eastAsia" w:ascii="宋体" w:hAnsi="宋体"/>
                <w:i/>
                <w:iCs/>
                <w:color w:val="000000" w:themeColor="text1"/>
                <w:spacing w:val="-2"/>
                <w:kern w:val="0"/>
                <w:szCs w:val="21"/>
                <w14:textFill>
                  <w14:solidFill>
                    <w14:schemeClr w14:val="tx1"/>
                  </w14:solidFill>
                </w14:textFill>
              </w:rPr>
            </w:pPr>
            <w:r>
              <w:rPr>
                <w:rFonts w:ascii="宋体" w:hAnsi="宋体"/>
                <w:i/>
                <w:iCs/>
                <w:color w:val="000000" w:themeColor="text1"/>
                <w:kern w:val="0"/>
                <w:szCs w:val="21"/>
                <w14:textFill>
                  <w14:solidFill>
                    <w14:schemeClr w14:val="tx1"/>
                  </w14:solidFill>
                </w14:textFill>
              </w:rPr>
              <w:t>Alyssum</w:t>
            </w:r>
            <w:r>
              <w:rPr>
                <w:rFonts w:ascii="宋体" w:hAnsi="宋体"/>
                <w:i/>
                <w:iCs/>
                <w:color w:val="000000" w:themeColor="text1"/>
                <w:spacing w:val="-8"/>
                <w:kern w:val="0"/>
                <w:szCs w:val="21"/>
                <w14:textFill>
                  <w14:solidFill>
                    <w14:schemeClr w14:val="tx1"/>
                  </w14:solidFill>
                </w14:textFill>
              </w:rPr>
              <w:t xml:space="preserve"> </w:t>
            </w:r>
            <w:r>
              <w:rPr>
                <w:rFonts w:ascii="宋体" w:hAnsi="宋体"/>
                <w:i/>
                <w:iCs/>
                <w:color w:val="000000" w:themeColor="text1"/>
                <w:spacing w:val="-2"/>
                <w:kern w:val="0"/>
                <w:szCs w:val="21"/>
                <w14:textFill>
                  <w14:solidFill>
                    <w14:schemeClr w14:val="tx1"/>
                  </w14:solidFill>
                </w14:textFill>
              </w:rPr>
              <w:t>desertorum</w:t>
            </w:r>
          </w:p>
        </w:tc>
        <w:tc>
          <w:tcPr>
            <w:tcW w:w="1010" w:type="pct"/>
            <w:tcBorders>
              <w:top w:val="single" w:color="000000" w:sz="4" w:space="0"/>
              <w:left w:val="single" w:color="000000" w:sz="4" w:space="0"/>
              <w:bottom w:val="single" w:color="000000" w:sz="4" w:space="0"/>
              <w:right w:val="nil"/>
            </w:tcBorders>
            <w:vAlign w:val="center"/>
          </w:tcPr>
          <w:p w14:paraId="6BBBEA0B">
            <w:pPr>
              <w:spacing w:line="240" w:lineRule="exact"/>
              <w:jc w:val="center"/>
              <w:rPr>
                <w:rFonts w:hint="eastAsia" w:ascii="宋体" w:hAnsi="宋体"/>
                <w:color w:val="000000" w:themeColor="text1"/>
                <w:spacing w:val="-5"/>
                <w:kern w:val="0"/>
                <w:szCs w:val="21"/>
                <w14:textFill>
                  <w14:solidFill>
                    <w14:schemeClr w14:val="tx1"/>
                  </w14:solidFill>
                </w14:textFill>
              </w:rPr>
            </w:pPr>
            <w:r>
              <w:rPr>
                <w:rFonts w:ascii="宋体" w:hAnsi="宋体"/>
                <w:color w:val="000000" w:themeColor="text1"/>
                <w:spacing w:val="-5"/>
                <w:kern w:val="0"/>
                <w:szCs w:val="21"/>
                <w14:textFill>
                  <w14:solidFill>
                    <w14:schemeClr w14:val="tx1"/>
                  </w14:solidFill>
                </w14:textFill>
              </w:rPr>
              <w:t>++</w:t>
            </w:r>
          </w:p>
        </w:tc>
      </w:tr>
      <w:tr w14:paraId="73DE0173">
        <w:tblPrEx>
          <w:tblCellMar>
            <w:top w:w="0" w:type="dxa"/>
            <w:left w:w="0" w:type="dxa"/>
            <w:bottom w:w="0" w:type="dxa"/>
            <w:right w:w="0" w:type="dxa"/>
          </w:tblCellMar>
        </w:tblPrEx>
        <w:trPr>
          <w:trHeight w:val="340" w:hRule="atLeast"/>
        </w:trPr>
        <w:tc>
          <w:tcPr>
            <w:tcW w:w="1338" w:type="pct"/>
            <w:tcBorders>
              <w:top w:val="single" w:color="000000" w:sz="4" w:space="0"/>
              <w:left w:val="nil"/>
              <w:bottom w:val="single" w:color="000000" w:sz="4" w:space="0"/>
              <w:right w:val="single" w:color="000000" w:sz="4" w:space="0"/>
            </w:tcBorders>
            <w:vAlign w:val="center"/>
          </w:tcPr>
          <w:p w14:paraId="01B11CCD">
            <w:pPr>
              <w:spacing w:line="240" w:lineRule="exact"/>
              <w:jc w:val="center"/>
              <w:rPr>
                <w:rFonts w:hint="eastAsia"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五、蒺藜科</w:t>
            </w:r>
          </w:p>
        </w:tc>
        <w:tc>
          <w:tcPr>
            <w:tcW w:w="2652" w:type="pct"/>
            <w:tcBorders>
              <w:top w:val="single" w:color="000000" w:sz="4" w:space="0"/>
              <w:left w:val="single" w:color="000000" w:sz="4" w:space="0"/>
              <w:bottom w:val="single" w:color="000000" w:sz="4" w:space="0"/>
              <w:right w:val="single" w:color="000000" w:sz="4" w:space="0"/>
            </w:tcBorders>
            <w:vAlign w:val="center"/>
          </w:tcPr>
          <w:p w14:paraId="02AA8598">
            <w:pPr>
              <w:spacing w:line="240" w:lineRule="exact"/>
              <w:jc w:val="center"/>
              <w:rPr>
                <w:rFonts w:hint="eastAsia" w:ascii="宋体" w:hAnsi="宋体"/>
                <w:color w:val="000000" w:themeColor="text1"/>
                <w:kern w:val="0"/>
                <w:szCs w:val="21"/>
                <w14:textFill>
                  <w14:solidFill>
                    <w14:schemeClr w14:val="tx1"/>
                  </w14:solidFill>
                </w14:textFill>
              </w:rPr>
            </w:pPr>
          </w:p>
        </w:tc>
        <w:tc>
          <w:tcPr>
            <w:tcW w:w="1010" w:type="pct"/>
            <w:tcBorders>
              <w:top w:val="single" w:color="000000" w:sz="4" w:space="0"/>
              <w:left w:val="single" w:color="000000" w:sz="4" w:space="0"/>
              <w:bottom w:val="single" w:color="000000" w:sz="4" w:space="0"/>
              <w:right w:val="nil"/>
            </w:tcBorders>
            <w:vAlign w:val="center"/>
          </w:tcPr>
          <w:p w14:paraId="62D3D6A2">
            <w:pPr>
              <w:spacing w:line="240" w:lineRule="exact"/>
              <w:jc w:val="center"/>
              <w:rPr>
                <w:rFonts w:hint="eastAsia" w:ascii="宋体" w:hAnsi="宋体"/>
                <w:color w:val="000000" w:themeColor="text1"/>
                <w:kern w:val="0"/>
                <w:szCs w:val="21"/>
                <w14:textFill>
                  <w14:solidFill>
                    <w14:schemeClr w14:val="tx1"/>
                  </w14:solidFill>
                </w14:textFill>
              </w:rPr>
            </w:pPr>
          </w:p>
        </w:tc>
      </w:tr>
      <w:tr w14:paraId="5E2E52EA">
        <w:tblPrEx>
          <w:tblCellMar>
            <w:top w:w="0" w:type="dxa"/>
            <w:left w:w="0" w:type="dxa"/>
            <w:bottom w:w="0" w:type="dxa"/>
            <w:right w:w="0" w:type="dxa"/>
          </w:tblCellMar>
        </w:tblPrEx>
        <w:trPr>
          <w:trHeight w:val="340" w:hRule="atLeast"/>
        </w:trPr>
        <w:tc>
          <w:tcPr>
            <w:tcW w:w="1338" w:type="pct"/>
            <w:tcBorders>
              <w:top w:val="single" w:color="000000" w:sz="4" w:space="0"/>
              <w:left w:val="nil"/>
              <w:bottom w:val="single" w:color="000000" w:sz="4" w:space="0"/>
              <w:right w:val="single" w:color="000000" w:sz="4" w:space="0"/>
            </w:tcBorders>
            <w:vAlign w:val="center"/>
          </w:tcPr>
          <w:p w14:paraId="26EA93F6">
            <w:pPr>
              <w:spacing w:line="240" w:lineRule="exact"/>
              <w:jc w:val="center"/>
              <w:rPr>
                <w:rFonts w:hint="eastAsia"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西伯利亚白刺</w:t>
            </w:r>
          </w:p>
        </w:tc>
        <w:tc>
          <w:tcPr>
            <w:tcW w:w="2652" w:type="pct"/>
            <w:tcBorders>
              <w:top w:val="single" w:color="000000" w:sz="4" w:space="0"/>
              <w:left w:val="single" w:color="000000" w:sz="4" w:space="0"/>
              <w:bottom w:val="single" w:color="000000" w:sz="4" w:space="0"/>
              <w:right w:val="single" w:color="000000" w:sz="4" w:space="0"/>
            </w:tcBorders>
            <w:vAlign w:val="center"/>
          </w:tcPr>
          <w:p w14:paraId="103B0F86">
            <w:pPr>
              <w:spacing w:line="240" w:lineRule="exact"/>
              <w:jc w:val="center"/>
              <w:rPr>
                <w:rFonts w:hint="eastAsia" w:ascii="宋体" w:hAnsi="宋体"/>
                <w:i/>
                <w:iCs/>
                <w:color w:val="000000" w:themeColor="text1"/>
                <w:spacing w:val="-2"/>
                <w:kern w:val="0"/>
                <w:szCs w:val="21"/>
                <w14:textFill>
                  <w14:solidFill>
                    <w14:schemeClr w14:val="tx1"/>
                  </w14:solidFill>
                </w14:textFill>
              </w:rPr>
            </w:pPr>
            <w:r>
              <w:rPr>
                <w:rFonts w:ascii="宋体" w:hAnsi="宋体"/>
                <w:i/>
                <w:iCs/>
                <w:color w:val="000000" w:themeColor="text1"/>
                <w:kern w:val="0"/>
                <w:szCs w:val="21"/>
                <w14:textFill>
                  <w14:solidFill>
                    <w14:schemeClr w14:val="tx1"/>
                  </w14:solidFill>
                </w14:textFill>
              </w:rPr>
              <w:t>Nitraria</w:t>
            </w:r>
            <w:r>
              <w:rPr>
                <w:rFonts w:ascii="宋体" w:hAnsi="宋体"/>
                <w:i/>
                <w:iCs/>
                <w:color w:val="000000" w:themeColor="text1"/>
                <w:spacing w:val="-7"/>
                <w:kern w:val="0"/>
                <w:szCs w:val="21"/>
                <w14:textFill>
                  <w14:solidFill>
                    <w14:schemeClr w14:val="tx1"/>
                  </w14:solidFill>
                </w14:textFill>
              </w:rPr>
              <w:t xml:space="preserve"> </w:t>
            </w:r>
            <w:r>
              <w:rPr>
                <w:rFonts w:ascii="宋体" w:hAnsi="宋体"/>
                <w:i/>
                <w:iCs/>
                <w:color w:val="000000" w:themeColor="text1"/>
                <w:spacing w:val="-2"/>
                <w:kern w:val="0"/>
                <w:szCs w:val="21"/>
                <w14:textFill>
                  <w14:solidFill>
                    <w14:schemeClr w14:val="tx1"/>
                  </w14:solidFill>
                </w14:textFill>
              </w:rPr>
              <w:t>sibirica</w:t>
            </w:r>
          </w:p>
        </w:tc>
        <w:tc>
          <w:tcPr>
            <w:tcW w:w="1010" w:type="pct"/>
            <w:tcBorders>
              <w:top w:val="single" w:color="000000" w:sz="4" w:space="0"/>
              <w:left w:val="single" w:color="000000" w:sz="4" w:space="0"/>
              <w:bottom w:val="single" w:color="000000" w:sz="4" w:space="0"/>
              <w:right w:val="nil"/>
            </w:tcBorders>
            <w:vAlign w:val="center"/>
          </w:tcPr>
          <w:p w14:paraId="44CF4246">
            <w:pPr>
              <w:spacing w:line="240" w:lineRule="exact"/>
              <w:jc w:val="center"/>
              <w:rPr>
                <w:rFonts w:hint="eastAsia" w:ascii="宋体" w:hAnsi="宋体"/>
                <w:color w:val="000000" w:themeColor="text1"/>
                <w:w w:val="99"/>
                <w:kern w:val="0"/>
                <w:szCs w:val="21"/>
                <w14:textFill>
                  <w14:solidFill>
                    <w14:schemeClr w14:val="tx1"/>
                  </w14:solidFill>
                </w14:textFill>
              </w:rPr>
            </w:pPr>
            <w:r>
              <w:rPr>
                <w:rFonts w:ascii="宋体" w:hAnsi="宋体"/>
                <w:color w:val="000000" w:themeColor="text1"/>
                <w:w w:val="99"/>
                <w:kern w:val="0"/>
                <w:szCs w:val="21"/>
                <w14:textFill>
                  <w14:solidFill>
                    <w14:schemeClr w14:val="tx1"/>
                  </w14:solidFill>
                </w14:textFill>
              </w:rPr>
              <w:t>+</w:t>
            </w:r>
          </w:p>
        </w:tc>
      </w:tr>
      <w:tr w14:paraId="7BC9ED4B">
        <w:tblPrEx>
          <w:tblCellMar>
            <w:top w:w="0" w:type="dxa"/>
            <w:left w:w="0" w:type="dxa"/>
            <w:bottom w:w="0" w:type="dxa"/>
            <w:right w:w="0" w:type="dxa"/>
          </w:tblCellMar>
        </w:tblPrEx>
        <w:trPr>
          <w:trHeight w:val="340" w:hRule="atLeast"/>
        </w:trPr>
        <w:tc>
          <w:tcPr>
            <w:tcW w:w="1338" w:type="pct"/>
            <w:tcBorders>
              <w:top w:val="single" w:color="000000" w:sz="4" w:space="0"/>
              <w:left w:val="nil"/>
              <w:bottom w:val="single" w:color="000000" w:sz="4" w:space="0"/>
              <w:right w:val="single" w:color="000000" w:sz="4" w:space="0"/>
            </w:tcBorders>
            <w:vAlign w:val="center"/>
          </w:tcPr>
          <w:p w14:paraId="322FD2E5">
            <w:pPr>
              <w:spacing w:line="240" w:lineRule="exact"/>
              <w:jc w:val="center"/>
              <w:rPr>
                <w:rFonts w:hint="eastAsia"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六、大戟科</w:t>
            </w:r>
          </w:p>
        </w:tc>
        <w:tc>
          <w:tcPr>
            <w:tcW w:w="2652" w:type="pct"/>
            <w:tcBorders>
              <w:top w:val="single" w:color="000000" w:sz="4" w:space="0"/>
              <w:left w:val="single" w:color="000000" w:sz="4" w:space="0"/>
              <w:bottom w:val="single" w:color="000000" w:sz="4" w:space="0"/>
              <w:right w:val="single" w:color="000000" w:sz="4" w:space="0"/>
            </w:tcBorders>
            <w:vAlign w:val="center"/>
          </w:tcPr>
          <w:p w14:paraId="6FBA66A4">
            <w:pPr>
              <w:spacing w:line="240" w:lineRule="exact"/>
              <w:jc w:val="center"/>
              <w:rPr>
                <w:rFonts w:hint="eastAsia" w:ascii="宋体" w:hAnsi="宋体"/>
                <w:i/>
                <w:iCs/>
                <w:color w:val="000000" w:themeColor="text1"/>
                <w:spacing w:val="-2"/>
                <w:kern w:val="0"/>
                <w:szCs w:val="21"/>
                <w14:textFill>
                  <w14:solidFill>
                    <w14:schemeClr w14:val="tx1"/>
                  </w14:solidFill>
                </w14:textFill>
              </w:rPr>
            </w:pPr>
            <w:r>
              <w:rPr>
                <w:rFonts w:ascii="宋体" w:hAnsi="宋体"/>
                <w:i/>
                <w:iCs/>
                <w:color w:val="000000" w:themeColor="text1"/>
                <w:spacing w:val="-2"/>
                <w:kern w:val="0"/>
                <w:szCs w:val="21"/>
                <w14:textFill>
                  <w14:solidFill>
                    <w14:schemeClr w14:val="tx1"/>
                  </w14:solidFill>
                </w14:textFill>
              </w:rPr>
              <w:t>Euphorbiacea</w:t>
            </w:r>
          </w:p>
        </w:tc>
        <w:tc>
          <w:tcPr>
            <w:tcW w:w="1010" w:type="pct"/>
            <w:tcBorders>
              <w:top w:val="single" w:color="000000" w:sz="4" w:space="0"/>
              <w:left w:val="single" w:color="000000" w:sz="4" w:space="0"/>
              <w:bottom w:val="single" w:color="000000" w:sz="4" w:space="0"/>
              <w:right w:val="nil"/>
            </w:tcBorders>
            <w:vAlign w:val="center"/>
          </w:tcPr>
          <w:p w14:paraId="5D009E68">
            <w:pPr>
              <w:spacing w:line="240" w:lineRule="exact"/>
              <w:jc w:val="center"/>
              <w:rPr>
                <w:rFonts w:hint="eastAsia" w:ascii="宋体" w:hAnsi="宋体"/>
                <w:color w:val="000000" w:themeColor="text1"/>
                <w:kern w:val="0"/>
                <w:szCs w:val="21"/>
                <w14:textFill>
                  <w14:solidFill>
                    <w14:schemeClr w14:val="tx1"/>
                  </w14:solidFill>
                </w14:textFill>
              </w:rPr>
            </w:pPr>
          </w:p>
        </w:tc>
      </w:tr>
      <w:tr w14:paraId="5B855AE4">
        <w:tblPrEx>
          <w:tblCellMar>
            <w:top w:w="0" w:type="dxa"/>
            <w:left w:w="0" w:type="dxa"/>
            <w:bottom w:w="0" w:type="dxa"/>
            <w:right w:w="0" w:type="dxa"/>
          </w:tblCellMar>
        </w:tblPrEx>
        <w:trPr>
          <w:trHeight w:val="340" w:hRule="atLeast"/>
        </w:trPr>
        <w:tc>
          <w:tcPr>
            <w:tcW w:w="1338" w:type="pct"/>
            <w:tcBorders>
              <w:top w:val="single" w:color="000000" w:sz="4" w:space="0"/>
              <w:left w:val="nil"/>
              <w:bottom w:val="single" w:color="000000" w:sz="4" w:space="0"/>
              <w:right w:val="single" w:color="000000" w:sz="4" w:space="0"/>
            </w:tcBorders>
            <w:vAlign w:val="center"/>
          </w:tcPr>
          <w:p w14:paraId="0CA15D92">
            <w:pPr>
              <w:spacing w:line="240" w:lineRule="exact"/>
              <w:jc w:val="center"/>
              <w:rPr>
                <w:rFonts w:hint="eastAsia"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沙生大戟</w:t>
            </w:r>
          </w:p>
        </w:tc>
        <w:tc>
          <w:tcPr>
            <w:tcW w:w="2652" w:type="pct"/>
            <w:tcBorders>
              <w:top w:val="single" w:color="000000" w:sz="4" w:space="0"/>
              <w:left w:val="single" w:color="000000" w:sz="4" w:space="0"/>
              <w:bottom w:val="single" w:color="000000" w:sz="4" w:space="0"/>
              <w:right w:val="single" w:color="000000" w:sz="4" w:space="0"/>
            </w:tcBorders>
            <w:vAlign w:val="center"/>
          </w:tcPr>
          <w:p w14:paraId="258F5F51">
            <w:pPr>
              <w:spacing w:line="240" w:lineRule="exact"/>
              <w:jc w:val="center"/>
              <w:rPr>
                <w:rFonts w:hint="eastAsia" w:ascii="宋体" w:hAnsi="宋体"/>
                <w:i/>
                <w:iCs/>
                <w:color w:val="000000" w:themeColor="text1"/>
                <w:spacing w:val="-2"/>
                <w:kern w:val="0"/>
                <w:szCs w:val="21"/>
                <w14:textFill>
                  <w14:solidFill>
                    <w14:schemeClr w14:val="tx1"/>
                  </w14:solidFill>
                </w14:textFill>
              </w:rPr>
            </w:pPr>
            <w:r>
              <w:rPr>
                <w:rFonts w:ascii="宋体" w:hAnsi="宋体"/>
                <w:i/>
                <w:iCs/>
                <w:color w:val="000000" w:themeColor="text1"/>
                <w:kern w:val="0"/>
                <w:szCs w:val="21"/>
                <w14:textFill>
                  <w14:solidFill>
                    <w14:schemeClr w14:val="tx1"/>
                  </w14:solidFill>
                </w14:textFill>
              </w:rPr>
              <w:t>Euphorbia</w:t>
            </w:r>
            <w:r>
              <w:rPr>
                <w:rFonts w:ascii="宋体" w:hAnsi="宋体"/>
                <w:i/>
                <w:iCs/>
                <w:color w:val="000000" w:themeColor="text1"/>
                <w:spacing w:val="-7"/>
                <w:kern w:val="0"/>
                <w:szCs w:val="21"/>
                <w14:textFill>
                  <w14:solidFill>
                    <w14:schemeClr w14:val="tx1"/>
                  </w14:solidFill>
                </w14:textFill>
              </w:rPr>
              <w:t xml:space="preserve"> </w:t>
            </w:r>
            <w:r>
              <w:rPr>
                <w:rFonts w:ascii="宋体" w:hAnsi="宋体"/>
                <w:i/>
                <w:iCs/>
                <w:color w:val="000000" w:themeColor="text1"/>
                <w:spacing w:val="-2"/>
                <w:kern w:val="0"/>
                <w:szCs w:val="21"/>
                <w14:textFill>
                  <w14:solidFill>
                    <w14:schemeClr w14:val="tx1"/>
                  </w14:solidFill>
                </w14:textFill>
              </w:rPr>
              <w:t>turazaninovii</w:t>
            </w:r>
          </w:p>
        </w:tc>
        <w:tc>
          <w:tcPr>
            <w:tcW w:w="1010" w:type="pct"/>
            <w:tcBorders>
              <w:top w:val="single" w:color="000000" w:sz="4" w:space="0"/>
              <w:left w:val="single" w:color="000000" w:sz="4" w:space="0"/>
              <w:bottom w:val="single" w:color="000000" w:sz="4" w:space="0"/>
              <w:right w:val="nil"/>
            </w:tcBorders>
            <w:vAlign w:val="center"/>
          </w:tcPr>
          <w:p w14:paraId="08485F86">
            <w:pPr>
              <w:spacing w:line="240" w:lineRule="exact"/>
              <w:jc w:val="center"/>
              <w:rPr>
                <w:rFonts w:hint="eastAsia" w:ascii="宋体" w:hAnsi="宋体"/>
                <w:color w:val="000000" w:themeColor="text1"/>
                <w:w w:val="99"/>
                <w:kern w:val="0"/>
                <w:szCs w:val="21"/>
                <w14:textFill>
                  <w14:solidFill>
                    <w14:schemeClr w14:val="tx1"/>
                  </w14:solidFill>
                </w14:textFill>
              </w:rPr>
            </w:pPr>
            <w:r>
              <w:rPr>
                <w:rFonts w:ascii="宋体" w:hAnsi="宋体"/>
                <w:color w:val="000000" w:themeColor="text1"/>
                <w:w w:val="99"/>
                <w:kern w:val="0"/>
                <w:szCs w:val="21"/>
                <w14:textFill>
                  <w14:solidFill>
                    <w14:schemeClr w14:val="tx1"/>
                  </w14:solidFill>
                </w14:textFill>
              </w:rPr>
              <w:t>+</w:t>
            </w:r>
          </w:p>
        </w:tc>
      </w:tr>
      <w:tr w14:paraId="22546DD8">
        <w:tblPrEx>
          <w:tblCellMar>
            <w:top w:w="0" w:type="dxa"/>
            <w:left w:w="0" w:type="dxa"/>
            <w:bottom w:w="0" w:type="dxa"/>
            <w:right w:w="0" w:type="dxa"/>
          </w:tblCellMar>
        </w:tblPrEx>
        <w:trPr>
          <w:trHeight w:val="340" w:hRule="atLeast"/>
        </w:trPr>
        <w:tc>
          <w:tcPr>
            <w:tcW w:w="1338" w:type="pct"/>
            <w:tcBorders>
              <w:top w:val="single" w:color="000000" w:sz="4" w:space="0"/>
              <w:left w:val="nil"/>
              <w:bottom w:val="single" w:color="000000" w:sz="4" w:space="0"/>
              <w:right w:val="single" w:color="000000" w:sz="4" w:space="0"/>
            </w:tcBorders>
            <w:vAlign w:val="center"/>
          </w:tcPr>
          <w:p w14:paraId="25FCB40C">
            <w:pPr>
              <w:spacing w:line="240" w:lineRule="exact"/>
              <w:jc w:val="center"/>
              <w:rPr>
                <w:rFonts w:hint="eastAsia"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七、菊科</w:t>
            </w:r>
          </w:p>
        </w:tc>
        <w:tc>
          <w:tcPr>
            <w:tcW w:w="2652" w:type="pct"/>
            <w:tcBorders>
              <w:top w:val="single" w:color="000000" w:sz="4" w:space="0"/>
              <w:left w:val="single" w:color="000000" w:sz="4" w:space="0"/>
              <w:bottom w:val="single" w:color="000000" w:sz="4" w:space="0"/>
              <w:right w:val="single" w:color="000000" w:sz="4" w:space="0"/>
            </w:tcBorders>
            <w:vAlign w:val="center"/>
          </w:tcPr>
          <w:p w14:paraId="6A93F451">
            <w:pPr>
              <w:spacing w:line="240" w:lineRule="exact"/>
              <w:jc w:val="center"/>
              <w:rPr>
                <w:rFonts w:hint="eastAsia" w:ascii="宋体" w:hAnsi="宋体"/>
                <w:i/>
                <w:iCs/>
                <w:color w:val="000000" w:themeColor="text1"/>
                <w:spacing w:val="-2"/>
                <w:kern w:val="0"/>
                <w:szCs w:val="21"/>
                <w14:textFill>
                  <w14:solidFill>
                    <w14:schemeClr w14:val="tx1"/>
                  </w14:solidFill>
                </w14:textFill>
              </w:rPr>
            </w:pPr>
            <w:r>
              <w:rPr>
                <w:rFonts w:ascii="宋体" w:hAnsi="宋体"/>
                <w:i/>
                <w:iCs/>
                <w:color w:val="000000" w:themeColor="text1"/>
                <w:spacing w:val="-2"/>
                <w:kern w:val="0"/>
                <w:szCs w:val="21"/>
                <w14:textFill>
                  <w14:solidFill>
                    <w14:schemeClr w14:val="tx1"/>
                  </w14:solidFill>
                </w14:textFill>
              </w:rPr>
              <w:t>Compsitae</w:t>
            </w:r>
          </w:p>
        </w:tc>
        <w:tc>
          <w:tcPr>
            <w:tcW w:w="1010" w:type="pct"/>
            <w:tcBorders>
              <w:top w:val="single" w:color="000000" w:sz="4" w:space="0"/>
              <w:left w:val="single" w:color="000000" w:sz="4" w:space="0"/>
              <w:bottom w:val="single" w:color="000000" w:sz="4" w:space="0"/>
              <w:right w:val="nil"/>
            </w:tcBorders>
            <w:vAlign w:val="center"/>
          </w:tcPr>
          <w:p w14:paraId="4910BDF6">
            <w:pPr>
              <w:spacing w:line="240" w:lineRule="exact"/>
              <w:jc w:val="center"/>
              <w:rPr>
                <w:rFonts w:hint="eastAsia" w:ascii="宋体" w:hAnsi="宋体"/>
                <w:color w:val="000000" w:themeColor="text1"/>
                <w:kern w:val="0"/>
                <w:szCs w:val="21"/>
                <w14:textFill>
                  <w14:solidFill>
                    <w14:schemeClr w14:val="tx1"/>
                  </w14:solidFill>
                </w14:textFill>
              </w:rPr>
            </w:pPr>
          </w:p>
        </w:tc>
      </w:tr>
      <w:tr w14:paraId="69654A1F">
        <w:tblPrEx>
          <w:tblCellMar>
            <w:top w:w="0" w:type="dxa"/>
            <w:left w:w="0" w:type="dxa"/>
            <w:bottom w:w="0" w:type="dxa"/>
            <w:right w:w="0" w:type="dxa"/>
          </w:tblCellMar>
        </w:tblPrEx>
        <w:trPr>
          <w:trHeight w:val="340" w:hRule="atLeast"/>
        </w:trPr>
        <w:tc>
          <w:tcPr>
            <w:tcW w:w="1338" w:type="pct"/>
            <w:tcBorders>
              <w:top w:val="single" w:color="000000" w:sz="4" w:space="0"/>
              <w:left w:val="nil"/>
              <w:bottom w:val="single" w:color="000000" w:sz="4" w:space="0"/>
              <w:right w:val="single" w:color="000000" w:sz="4" w:space="0"/>
            </w:tcBorders>
            <w:vAlign w:val="center"/>
          </w:tcPr>
          <w:p w14:paraId="1C06CB64">
            <w:pPr>
              <w:spacing w:line="240" w:lineRule="exact"/>
              <w:jc w:val="center"/>
              <w:rPr>
                <w:rFonts w:hint="eastAsia"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苦艾蒿</w:t>
            </w:r>
          </w:p>
        </w:tc>
        <w:tc>
          <w:tcPr>
            <w:tcW w:w="2652" w:type="pct"/>
            <w:tcBorders>
              <w:top w:val="single" w:color="000000" w:sz="4" w:space="0"/>
              <w:left w:val="single" w:color="000000" w:sz="4" w:space="0"/>
              <w:bottom w:val="single" w:color="000000" w:sz="4" w:space="0"/>
              <w:right w:val="single" w:color="000000" w:sz="4" w:space="0"/>
            </w:tcBorders>
            <w:vAlign w:val="center"/>
          </w:tcPr>
          <w:p w14:paraId="4BB57F96">
            <w:pPr>
              <w:spacing w:line="240" w:lineRule="exact"/>
              <w:jc w:val="center"/>
              <w:rPr>
                <w:rFonts w:hint="eastAsia" w:ascii="宋体" w:hAnsi="宋体"/>
                <w:i/>
                <w:iCs/>
                <w:color w:val="000000" w:themeColor="text1"/>
                <w:spacing w:val="-2"/>
                <w:kern w:val="0"/>
                <w:szCs w:val="21"/>
                <w14:textFill>
                  <w14:solidFill>
                    <w14:schemeClr w14:val="tx1"/>
                  </w14:solidFill>
                </w14:textFill>
              </w:rPr>
            </w:pPr>
            <w:r>
              <w:rPr>
                <w:rFonts w:ascii="宋体" w:hAnsi="宋体"/>
                <w:i/>
                <w:iCs/>
                <w:color w:val="000000" w:themeColor="text1"/>
                <w:kern w:val="0"/>
                <w:szCs w:val="21"/>
                <w14:textFill>
                  <w14:solidFill>
                    <w14:schemeClr w14:val="tx1"/>
                  </w14:solidFill>
                </w14:textFill>
              </w:rPr>
              <w:t>Artemisia</w:t>
            </w:r>
            <w:r>
              <w:rPr>
                <w:rFonts w:ascii="宋体" w:hAnsi="宋体"/>
                <w:i/>
                <w:iCs/>
                <w:color w:val="000000" w:themeColor="text1"/>
                <w:spacing w:val="-10"/>
                <w:kern w:val="0"/>
                <w:szCs w:val="21"/>
                <w14:textFill>
                  <w14:solidFill>
                    <w14:schemeClr w14:val="tx1"/>
                  </w14:solidFill>
                </w14:textFill>
              </w:rPr>
              <w:t xml:space="preserve"> </w:t>
            </w:r>
            <w:r>
              <w:rPr>
                <w:rFonts w:ascii="宋体" w:hAnsi="宋体"/>
                <w:i/>
                <w:iCs/>
                <w:color w:val="000000" w:themeColor="text1"/>
                <w:spacing w:val="-2"/>
                <w:kern w:val="0"/>
                <w:szCs w:val="21"/>
                <w14:textFill>
                  <w14:solidFill>
                    <w14:schemeClr w14:val="tx1"/>
                  </w14:solidFill>
                </w14:textFill>
              </w:rPr>
              <w:t>santolina</w:t>
            </w:r>
          </w:p>
        </w:tc>
        <w:tc>
          <w:tcPr>
            <w:tcW w:w="1010" w:type="pct"/>
            <w:tcBorders>
              <w:top w:val="single" w:color="000000" w:sz="4" w:space="0"/>
              <w:left w:val="single" w:color="000000" w:sz="4" w:space="0"/>
              <w:bottom w:val="single" w:color="000000" w:sz="4" w:space="0"/>
              <w:right w:val="nil"/>
            </w:tcBorders>
            <w:vAlign w:val="center"/>
          </w:tcPr>
          <w:p w14:paraId="0CEC898B">
            <w:pPr>
              <w:spacing w:line="240" w:lineRule="exact"/>
              <w:jc w:val="center"/>
              <w:rPr>
                <w:rFonts w:hint="eastAsia" w:ascii="宋体" w:hAnsi="宋体"/>
                <w:color w:val="000000" w:themeColor="text1"/>
                <w:w w:val="99"/>
                <w:kern w:val="0"/>
                <w:szCs w:val="21"/>
                <w14:textFill>
                  <w14:solidFill>
                    <w14:schemeClr w14:val="tx1"/>
                  </w14:solidFill>
                </w14:textFill>
              </w:rPr>
            </w:pPr>
            <w:r>
              <w:rPr>
                <w:rFonts w:ascii="宋体" w:hAnsi="宋体"/>
                <w:color w:val="000000" w:themeColor="text1"/>
                <w:w w:val="99"/>
                <w:kern w:val="0"/>
                <w:szCs w:val="21"/>
                <w14:textFill>
                  <w14:solidFill>
                    <w14:schemeClr w14:val="tx1"/>
                  </w14:solidFill>
                </w14:textFill>
              </w:rPr>
              <w:t>+</w:t>
            </w:r>
          </w:p>
        </w:tc>
      </w:tr>
      <w:tr w14:paraId="65C33CD4">
        <w:trPr>
          <w:trHeight w:val="340" w:hRule="atLeast"/>
        </w:trPr>
        <w:tc>
          <w:tcPr>
            <w:tcW w:w="1338" w:type="pct"/>
            <w:tcBorders>
              <w:top w:val="single" w:color="000000" w:sz="4" w:space="0"/>
              <w:left w:val="nil"/>
              <w:bottom w:val="single" w:color="000000" w:sz="4" w:space="0"/>
              <w:right w:val="single" w:color="000000" w:sz="4" w:space="0"/>
            </w:tcBorders>
            <w:vAlign w:val="center"/>
          </w:tcPr>
          <w:p w14:paraId="6DD9830A">
            <w:pPr>
              <w:spacing w:line="240" w:lineRule="exact"/>
              <w:jc w:val="center"/>
              <w:rPr>
                <w:rFonts w:hint="eastAsia"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地白蒿</w:t>
            </w:r>
          </w:p>
        </w:tc>
        <w:tc>
          <w:tcPr>
            <w:tcW w:w="2652" w:type="pct"/>
            <w:tcBorders>
              <w:top w:val="single" w:color="000000" w:sz="4" w:space="0"/>
              <w:left w:val="single" w:color="000000" w:sz="4" w:space="0"/>
              <w:bottom w:val="single" w:color="000000" w:sz="4" w:space="0"/>
              <w:right w:val="single" w:color="000000" w:sz="4" w:space="0"/>
            </w:tcBorders>
            <w:vAlign w:val="center"/>
          </w:tcPr>
          <w:p w14:paraId="4C851988">
            <w:pPr>
              <w:spacing w:line="240" w:lineRule="exact"/>
              <w:jc w:val="center"/>
              <w:rPr>
                <w:rFonts w:hint="eastAsia" w:ascii="宋体" w:hAnsi="宋体"/>
                <w:i/>
                <w:iCs/>
                <w:color w:val="000000" w:themeColor="text1"/>
                <w:w w:val="95"/>
                <w:kern w:val="0"/>
                <w:szCs w:val="21"/>
                <w14:textFill>
                  <w14:solidFill>
                    <w14:schemeClr w14:val="tx1"/>
                  </w14:solidFill>
                </w14:textFill>
              </w:rPr>
            </w:pPr>
            <w:r>
              <w:rPr>
                <w:rFonts w:ascii="宋体" w:hAnsi="宋体"/>
                <w:i/>
                <w:iCs/>
                <w:color w:val="000000" w:themeColor="text1"/>
                <w:w w:val="95"/>
                <w:kern w:val="0"/>
                <w:szCs w:val="21"/>
                <w14:textFill>
                  <w14:solidFill>
                    <w14:schemeClr w14:val="tx1"/>
                  </w14:solidFill>
                </w14:textFill>
              </w:rPr>
              <w:t>Areemisia</w:t>
            </w:r>
            <w:r>
              <w:rPr>
                <w:rFonts w:ascii="宋体" w:hAnsi="宋体"/>
                <w:i/>
                <w:iCs/>
                <w:color w:val="000000" w:themeColor="text1"/>
                <w:spacing w:val="48"/>
                <w:kern w:val="0"/>
                <w:szCs w:val="21"/>
                <w14:textFill>
                  <w14:solidFill>
                    <w14:schemeClr w14:val="tx1"/>
                  </w14:solidFill>
                </w14:textFill>
              </w:rPr>
              <w:t xml:space="preserve"> </w:t>
            </w:r>
            <w:r>
              <w:rPr>
                <w:rFonts w:ascii="宋体" w:hAnsi="宋体"/>
                <w:i/>
                <w:iCs/>
                <w:color w:val="000000" w:themeColor="text1"/>
                <w:w w:val="95"/>
                <w:kern w:val="0"/>
                <w:szCs w:val="21"/>
                <w14:textFill>
                  <w14:solidFill>
                    <w14:schemeClr w14:val="tx1"/>
                  </w14:solidFill>
                </w14:textFill>
              </w:rPr>
              <w:t>terrae-ablae</w:t>
            </w:r>
          </w:p>
        </w:tc>
        <w:tc>
          <w:tcPr>
            <w:tcW w:w="1010" w:type="pct"/>
            <w:tcBorders>
              <w:top w:val="single" w:color="000000" w:sz="4" w:space="0"/>
              <w:left w:val="single" w:color="000000" w:sz="4" w:space="0"/>
              <w:bottom w:val="single" w:color="000000" w:sz="4" w:space="0"/>
              <w:right w:val="nil"/>
            </w:tcBorders>
            <w:vAlign w:val="center"/>
          </w:tcPr>
          <w:p w14:paraId="29315CD6">
            <w:pPr>
              <w:spacing w:line="240" w:lineRule="exact"/>
              <w:jc w:val="center"/>
              <w:rPr>
                <w:rFonts w:hint="eastAsia" w:ascii="宋体" w:hAnsi="宋体"/>
                <w:color w:val="000000" w:themeColor="text1"/>
                <w:w w:val="99"/>
                <w:kern w:val="0"/>
                <w:szCs w:val="21"/>
                <w14:textFill>
                  <w14:solidFill>
                    <w14:schemeClr w14:val="tx1"/>
                  </w14:solidFill>
                </w14:textFill>
              </w:rPr>
            </w:pPr>
            <w:r>
              <w:rPr>
                <w:rFonts w:ascii="宋体" w:hAnsi="宋体"/>
                <w:color w:val="000000" w:themeColor="text1"/>
                <w:w w:val="99"/>
                <w:kern w:val="0"/>
                <w:szCs w:val="21"/>
                <w14:textFill>
                  <w14:solidFill>
                    <w14:schemeClr w14:val="tx1"/>
                  </w14:solidFill>
                </w14:textFill>
              </w:rPr>
              <w:t>+</w:t>
            </w:r>
          </w:p>
        </w:tc>
      </w:tr>
      <w:tr w14:paraId="43DF6BB0">
        <w:tblPrEx>
          <w:tblCellMar>
            <w:top w:w="0" w:type="dxa"/>
            <w:left w:w="0" w:type="dxa"/>
            <w:bottom w:w="0" w:type="dxa"/>
            <w:right w:w="0" w:type="dxa"/>
          </w:tblCellMar>
        </w:tblPrEx>
        <w:trPr>
          <w:trHeight w:val="340" w:hRule="atLeast"/>
        </w:trPr>
        <w:tc>
          <w:tcPr>
            <w:tcW w:w="1338" w:type="pct"/>
            <w:tcBorders>
              <w:top w:val="single" w:color="000000" w:sz="4" w:space="0"/>
              <w:left w:val="nil"/>
              <w:bottom w:val="single" w:color="000000" w:sz="4" w:space="0"/>
              <w:right w:val="single" w:color="000000" w:sz="4" w:space="0"/>
            </w:tcBorders>
            <w:vAlign w:val="center"/>
          </w:tcPr>
          <w:p w14:paraId="0E018EF9">
            <w:pPr>
              <w:spacing w:line="240" w:lineRule="exact"/>
              <w:jc w:val="center"/>
              <w:rPr>
                <w:rFonts w:hint="eastAsia"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沙地千里光</w:t>
            </w:r>
          </w:p>
        </w:tc>
        <w:tc>
          <w:tcPr>
            <w:tcW w:w="2652" w:type="pct"/>
            <w:tcBorders>
              <w:top w:val="single" w:color="000000" w:sz="4" w:space="0"/>
              <w:left w:val="single" w:color="000000" w:sz="4" w:space="0"/>
              <w:bottom w:val="single" w:color="000000" w:sz="4" w:space="0"/>
              <w:right w:val="single" w:color="000000" w:sz="4" w:space="0"/>
            </w:tcBorders>
            <w:vAlign w:val="center"/>
          </w:tcPr>
          <w:p w14:paraId="6CD6A6E5">
            <w:pPr>
              <w:spacing w:line="240" w:lineRule="exact"/>
              <w:jc w:val="center"/>
              <w:rPr>
                <w:rFonts w:hint="eastAsia" w:ascii="宋体" w:hAnsi="宋体"/>
                <w:i/>
                <w:iCs/>
                <w:color w:val="000000" w:themeColor="text1"/>
                <w:spacing w:val="-2"/>
                <w:kern w:val="0"/>
                <w:szCs w:val="21"/>
                <w14:textFill>
                  <w14:solidFill>
                    <w14:schemeClr w14:val="tx1"/>
                  </w14:solidFill>
                </w14:textFill>
              </w:rPr>
            </w:pPr>
            <w:r>
              <w:rPr>
                <w:rFonts w:ascii="宋体" w:hAnsi="宋体"/>
                <w:i/>
                <w:iCs/>
                <w:color w:val="000000" w:themeColor="text1"/>
                <w:kern w:val="0"/>
                <w:szCs w:val="21"/>
                <w14:textFill>
                  <w14:solidFill>
                    <w14:schemeClr w14:val="tx1"/>
                  </w14:solidFill>
                </w14:textFill>
              </w:rPr>
              <w:t>Senecio</w:t>
            </w:r>
            <w:r>
              <w:rPr>
                <w:rFonts w:ascii="宋体" w:hAnsi="宋体"/>
                <w:i/>
                <w:iCs/>
                <w:color w:val="000000" w:themeColor="text1"/>
                <w:spacing w:val="-9"/>
                <w:kern w:val="0"/>
                <w:szCs w:val="21"/>
                <w14:textFill>
                  <w14:solidFill>
                    <w14:schemeClr w14:val="tx1"/>
                  </w14:solidFill>
                </w14:textFill>
              </w:rPr>
              <w:t xml:space="preserve"> </w:t>
            </w:r>
            <w:r>
              <w:rPr>
                <w:rFonts w:ascii="宋体" w:hAnsi="宋体"/>
                <w:i/>
                <w:iCs/>
                <w:color w:val="000000" w:themeColor="text1"/>
                <w:spacing w:val="-2"/>
                <w:kern w:val="0"/>
                <w:szCs w:val="21"/>
                <w14:textFill>
                  <w14:solidFill>
                    <w14:schemeClr w14:val="tx1"/>
                  </w14:solidFill>
                </w14:textFill>
              </w:rPr>
              <w:t>subdentatus</w:t>
            </w:r>
          </w:p>
        </w:tc>
        <w:tc>
          <w:tcPr>
            <w:tcW w:w="1010" w:type="pct"/>
            <w:tcBorders>
              <w:top w:val="single" w:color="000000" w:sz="4" w:space="0"/>
              <w:left w:val="single" w:color="000000" w:sz="4" w:space="0"/>
              <w:bottom w:val="single" w:color="000000" w:sz="4" w:space="0"/>
              <w:right w:val="nil"/>
            </w:tcBorders>
            <w:vAlign w:val="center"/>
          </w:tcPr>
          <w:p w14:paraId="01CD8120">
            <w:pPr>
              <w:spacing w:line="240" w:lineRule="exact"/>
              <w:jc w:val="center"/>
              <w:rPr>
                <w:rFonts w:hint="eastAsia" w:ascii="宋体" w:hAnsi="宋体"/>
                <w:color w:val="000000" w:themeColor="text1"/>
                <w:spacing w:val="-5"/>
                <w:kern w:val="0"/>
                <w:szCs w:val="21"/>
                <w14:textFill>
                  <w14:solidFill>
                    <w14:schemeClr w14:val="tx1"/>
                  </w14:solidFill>
                </w14:textFill>
              </w:rPr>
            </w:pPr>
            <w:r>
              <w:rPr>
                <w:rFonts w:ascii="宋体" w:hAnsi="宋体"/>
                <w:color w:val="000000" w:themeColor="text1"/>
                <w:spacing w:val="-5"/>
                <w:kern w:val="0"/>
                <w:szCs w:val="21"/>
                <w14:textFill>
                  <w14:solidFill>
                    <w14:schemeClr w14:val="tx1"/>
                  </w14:solidFill>
                </w14:textFill>
              </w:rPr>
              <w:t>++</w:t>
            </w:r>
          </w:p>
        </w:tc>
      </w:tr>
      <w:tr w14:paraId="091CEF1D">
        <w:tblPrEx>
          <w:tblCellMar>
            <w:top w:w="0" w:type="dxa"/>
            <w:left w:w="0" w:type="dxa"/>
            <w:bottom w:w="0" w:type="dxa"/>
            <w:right w:w="0" w:type="dxa"/>
          </w:tblCellMar>
        </w:tblPrEx>
        <w:trPr>
          <w:trHeight w:val="340" w:hRule="atLeast"/>
        </w:trPr>
        <w:tc>
          <w:tcPr>
            <w:tcW w:w="1338" w:type="pct"/>
            <w:tcBorders>
              <w:top w:val="single" w:color="000000" w:sz="4" w:space="0"/>
              <w:left w:val="nil"/>
              <w:bottom w:val="single" w:color="000000" w:sz="4" w:space="0"/>
              <w:right w:val="single" w:color="000000" w:sz="4" w:space="0"/>
            </w:tcBorders>
            <w:vAlign w:val="center"/>
          </w:tcPr>
          <w:p w14:paraId="6D330838">
            <w:pPr>
              <w:spacing w:line="240" w:lineRule="exact"/>
              <w:jc w:val="center"/>
              <w:rPr>
                <w:rFonts w:hint="eastAsia"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八、莎草科</w:t>
            </w:r>
          </w:p>
        </w:tc>
        <w:tc>
          <w:tcPr>
            <w:tcW w:w="2652" w:type="pct"/>
            <w:tcBorders>
              <w:top w:val="single" w:color="000000" w:sz="4" w:space="0"/>
              <w:left w:val="single" w:color="000000" w:sz="4" w:space="0"/>
              <w:bottom w:val="single" w:color="000000" w:sz="4" w:space="0"/>
              <w:right w:val="single" w:color="000000" w:sz="4" w:space="0"/>
            </w:tcBorders>
            <w:vAlign w:val="center"/>
          </w:tcPr>
          <w:p w14:paraId="59CF2F8C">
            <w:pPr>
              <w:spacing w:line="240" w:lineRule="exact"/>
              <w:jc w:val="center"/>
              <w:rPr>
                <w:rFonts w:hint="eastAsia" w:ascii="宋体" w:hAnsi="宋体"/>
                <w:color w:val="000000" w:themeColor="text1"/>
                <w:kern w:val="0"/>
                <w:szCs w:val="21"/>
                <w14:textFill>
                  <w14:solidFill>
                    <w14:schemeClr w14:val="tx1"/>
                  </w14:solidFill>
                </w14:textFill>
              </w:rPr>
            </w:pPr>
          </w:p>
        </w:tc>
        <w:tc>
          <w:tcPr>
            <w:tcW w:w="1010" w:type="pct"/>
            <w:tcBorders>
              <w:top w:val="single" w:color="000000" w:sz="4" w:space="0"/>
              <w:left w:val="single" w:color="000000" w:sz="4" w:space="0"/>
              <w:bottom w:val="single" w:color="000000" w:sz="4" w:space="0"/>
              <w:right w:val="nil"/>
            </w:tcBorders>
            <w:vAlign w:val="center"/>
          </w:tcPr>
          <w:p w14:paraId="7C5FFA94">
            <w:pPr>
              <w:spacing w:line="240" w:lineRule="exact"/>
              <w:jc w:val="center"/>
              <w:rPr>
                <w:rFonts w:hint="eastAsia" w:ascii="宋体" w:hAnsi="宋体"/>
                <w:color w:val="000000" w:themeColor="text1"/>
                <w:kern w:val="0"/>
                <w:szCs w:val="21"/>
                <w14:textFill>
                  <w14:solidFill>
                    <w14:schemeClr w14:val="tx1"/>
                  </w14:solidFill>
                </w14:textFill>
              </w:rPr>
            </w:pPr>
          </w:p>
        </w:tc>
      </w:tr>
      <w:tr w14:paraId="2A39668D">
        <w:tblPrEx>
          <w:tblCellMar>
            <w:top w:w="0" w:type="dxa"/>
            <w:left w:w="0" w:type="dxa"/>
            <w:bottom w:w="0" w:type="dxa"/>
            <w:right w:w="0" w:type="dxa"/>
          </w:tblCellMar>
        </w:tblPrEx>
        <w:trPr>
          <w:trHeight w:val="340" w:hRule="atLeast"/>
        </w:trPr>
        <w:tc>
          <w:tcPr>
            <w:tcW w:w="1338" w:type="pct"/>
            <w:tcBorders>
              <w:top w:val="single" w:color="000000" w:sz="4" w:space="0"/>
              <w:left w:val="nil"/>
              <w:bottom w:val="single" w:color="000000" w:sz="4" w:space="0"/>
              <w:right w:val="single" w:color="000000" w:sz="4" w:space="0"/>
            </w:tcBorders>
            <w:vAlign w:val="center"/>
          </w:tcPr>
          <w:p w14:paraId="360DDC04">
            <w:pPr>
              <w:spacing w:line="240" w:lineRule="exact"/>
              <w:jc w:val="center"/>
              <w:rPr>
                <w:rFonts w:hint="eastAsia"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囊果苔草</w:t>
            </w:r>
          </w:p>
        </w:tc>
        <w:tc>
          <w:tcPr>
            <w:tcW w:w="2652" w:type="pct"/>
            <w:tcBorders>
              <w:top w:val="single" w:color="000000" w:sz="4" w:space="0"/>
              <w:left w:val="single" w:color="000000" w:sz="4" w:space="0"/>
              <w:bottom w:val="single" w:color="000000" w:sz="4" w:space="0"/>
              <w:right w:val="single" w:color="000000" w:sz="4" w:space="0"/>
            </w:tcBorders>
            <w:vAlign w:val="center"/>
          </w:tcPr>
          <w:p w14:paraId="4CBE4CEF">
            <w:pPr>
              <w:spacing w:line="240" w:lineRule="exact"/>
              <w:jc w:val="center"/>
              <w:rPr>
                <w:rFonts w:hint="eastAsia" w:ascii="宋体" w:hAnsi="宋体"/>
                <w:i/>
                <w:iCs/>
                <w:color w:val="000000" w:themeColor="text1"/>
                <w:spacing w:val="-2"/>
                <w:kern w:val="0"/>
                <w:szCs w:val="21"/>
                <w14:textFill>
                  <w14:solidFill>
                    <w14:schemeClr w14:val="tx1"/>
                  </w14:solidFill>
                </w14:textFill>
              </w:rPr>
            </w:pPr>
            <w:r>
              <w:rPr>
                <w:rFonts w:ascii="宋体" w:hAnsi="宋体"/>
                <w:i/>
                <w:iCs/>
                <w:color w:val="000000" w:themeColor="text1"/>
                <w:spacing w:val="-2"/>
                <w:kern w:val="0"/>
                <w:szCs w:val="21"/>
                <w14:textFill>
                  <w14:solidFill>
                    <w14:schemeClr w14:val="tx1"/>
                  </w14:solidFill>
                </w14:textFill>
              </w:rPr>
              <w:t>Carex</w:t>
            </w:r>
            <w:r>
              <w:rPr>
                <w:rFonts w:ascii="宋体" w:hAnsi="宋体"/>
                <w:i/>
                <w:iCs/>
                <w:color w:val="000000" w:themeColor="text1"/>
                <w:spacing w:val="-5"/>
                <w:kern w:val="0"/>
                <w:szCs w:val="21"/>
                <w14:textFill>
                  <w14:solidFill>
                    <w14:schemeClr w14:val="tx1"/>
                  </w14:solidFill>
                </w14:textFill>
              </w:rPr>
              <w:t xml:space="preserve"> </w:t>
            </w:r>
            <w:r>
              <w:rPr>
                <w:rFonts w:ascii="宋体" w:hAnsi="宋体"/>
                <w:i/>
                <w:iCs/>
                <w:color w:val="000000" w:themeColor="text1"/>
                <w:spacing w:val="-2"/>
                <w:kern w:val="0"/>
                <w:szCs w:val="21"/>
                <w14:textFill>
                  <w14:solidFill>
                    <w14:schemeClr w14:val="tx1"/>
                  </w14:solidFill>
                </w14:textFill>
              </w:rPr>
              <w:t>physodes</w:t>
            </w:r>
          </w:p>
        </w:tc>
        <w:tc>
          <w:tcPr>
            <w:tcW w:w="1010" w:type="pct"/>
            <w:tcBorders>
              <w:top w:val="single" w:color="000000" w:sz="4" w:space="0"/>
              <w:left w:val="single" w:color="000000" w:sz="4" w:space="0"/>
              <w:bottom w:val="single" w:color="000000" w:sz="4" w:space="0"/>
              <w:right w:val="nil"/>
            </w:tcBorders>
            <w:vAlign w:val="center"/>
          </w:tcPr>
          <w:p w14:paraId="3B9A519A">
            <w:pPr>
              <w:spacing w:line="240" w:lineRule="exact"/>
              <w:jc w:val="center"/>
              <w:rPr>
                <w:rFonts w:hint="eastAsia" w:ascii="宋体" w:hAnsi="宋体"/>
                <w:color w:val="000000" w:themeColor="text1"/>
                <w:w w:val="99"/>
                <w:kern w:val="0"/>
                <w:szCs w:val="21"/>
                <w14:textFill>
                  <w14:solidFill>
                    <w14:schemeClr w14:val="tx1"/>
                  </w14:solidFill>
                </w14:textFill>
              </w:rPr>
            </w:pPr>
            <w:r>
              <w:rPr>
                <w:rFonts w:ascii="宋体" w:hAnsi="宋体"/>
                <w:color w:val="000000" w:themeColor="text1"/>
                <w:w w:val="99"/>
                <w:kern w:val="0"/>
                <w:szCs w:val="21"/>
                <w14:textFill>
                  <w14:solidFill>
                    <w14:schemeClr w14:val="tx1"/>
                  </w14:solidFill>
                </w14:textFill>
              </w:rPr>
              <w:t>+</w:t>
            </w:r>
          </w:p>
        </w:tc>
      </w:tr>
      <w:tr w14:paraId="52F82078">
        <w:tblPrEx>
          <w:tblCellMar>
            <w:top w:w="0" w:type="dxa"/>
            <w:left w:w="0" w:type="dxa"/>
            <w:bottom w:w="0" w:type="dxa"/>
            <w:right w:w="0" w:type="dxa"/>
          </w:tblCellMar>
        </w:tblPrEx>
        <w:trPr>
          <w:trHeight w:val="340" w:hRule="atLeast"/>
        </w:trPr>
        <w:tc>
          <w:tcPr>
            <w:tcW w:w="1338" w:type="pct"/>
            <w:tcBorders>
              <w:top w:val="single" w:color="000000" w:sz="4" w:space="0"/>
              <w:left w:val="nil"/>
              <w:bottom w:val="single" w:color="000000" w:sz="4" w:space="0"/>
              <w:right w:val="single" w:color="000000" w:sz="4" w:space="0"/>
            </w:tcBorders>
            <w:vAlign w:val="center"/>
          </w:tcPr>
          <w:p w14:paraId="771FEE62">
            <w:pPr>
              <w:spacing w:line="240" w:lineRule="exact"/>
              <w:jc w:val="center"/>
              <w:rPr>
                <w:rFonts w:hint="eastAsia"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九、柽柳科</w:t>
            </w:r>
          </w:p>
        </w:tc>
        <w:tc>
          <w:tcPr>
            <w:tcW w:w="2652" w:type="pct"/>
            <w:tcBorders>
              <w:top w:val="single" w:color="000000" w:sz="4" w:space="0"/>
              <w:left w:val="single" w:color="000000" w:sz="4" w:space="0"/>
              <w:bottom w:val="single" w:color="000000" w:sz="4" w:space="0"/>
              <w:right w:val="single" w:color="000000" w:sz="4" w:space="0"/>
            </w:tcBorders>
            <w:vAlign w:val="center"/>
          </w:tcPr>
          <w:p w14:paraId="1F092A87">
            <w:pPr>
              <w:spacing w:line="240" w:lineRule="exact"/>
              <w:jc w:val="center"/>
              <w:rPr>
                <w:rFonts w:hint="eastAsia" w:ascii="宋体" w:hAnsi="宋体"/>
                <w:i/>
                <w:iCs/>
                <w:color w:val="000000" w:themeColor="text1"/>
                <w:spacing w:val="-2"/>
                <w:kern w:val="0"/>
                <w:szCs w:val="21"/>
                <w14:textFill>
                  <w14:solidFill>
                    <w14:schemeClr w14:val="tx1"/>
                  </w14:solidFill>
                </w14:textFill>
              </w:rPr>
            </w:pPr>
            <w:r>
              <w:rPr>
                <w:rFonts w:ascii="宋体" w:hAnsi="宋体"/>
                <w:i/>
                <w:iCs/>
                <w:color w:val="000000" w:themeColor="text1"/>
                <w:spacing w:val="-2"/>
                <w:kern w:val="0"/>
                <w:szCs w:val="21"/>
                <w14:textFill>
                  <w14:solidFill>
                    <w14:schemeClr w14:val="tx1"/>
                  </w14:solidFill>
                </w14:textFill>
              </w:rPr>
              <w:t>Tamaricacene</w:t>
            </w:r>
          </w:p>
        </w:tc>
        <w:tc>
          <w:tcPr>
            <w:tcW w:w="1010" w:type="pct"/>
            <w:tcBorders>
              <w:top w:val="single" w:color="000000" w:sz="4" w:space="0"/>
              <w:left w:val="single" w:color="000000" w:sz="4" w:space="0"/>
              <w:bottom w:val="single" w:color="000000" w:sz="4" w:space="0"/>
              <w:right w:val="nil"/>
            </w:tcBorders>
            <w:vAlign w:val="center"/>
          </w:tcPr>
          <w:p w14:paraId="3DB13983">
            <w:pPr>
              <w:spacing w:line="240" w:lineRule="exact"/>
              <w:jc w:val="center"/>
              <w:rPr>
                <w:rFonts w:hint="eastAsia" w:ascii="宋体" w:hAnsi="宋体"/>
                <w:color w:val="000000" w:themeColor="text1"/>
                <w:kern w:val="0"/>
                <w:szCs w:val="21"/>
                <w14:textFill>
                  <w14:solidFill>
                    <w14:schemeClr w14:val="tx1"/>
                  </w14:solidFill>
                </w14:textFill>
              </w:rPr>
            </w:pPr>
          </w:p>
        </w:tc>
      </w:tr>
      <w:tr w14:paraId="495CE8E8">
        <w:tblPrEx>
          <w:tblCellMar>
            <w:top w:w="0" w:type="dxa"/>
            <w:left w:w="0" w:type="dxa"/>
            <w:bottom w:w="0" w:type="dxa"/>
            <w:right w:w="0" w:type="dxa"/>
          </w:tblCellMar>
        </w:tblPrEx>
        <w:trPr>
          <w:trHeight w:val="340" w:hRule="atLeast"/>
        </w:trPr>
        <w:tc>
          <w:tcPr>
            <w:tcW w:w="1338" w:type="pct"/>
            <w:tcBorders>
              <w:top w:val="single" w:color="000000" w:sz="4" w:space="0"/>
              <w:left w:val="nil"/>
              <w:bottom w:val="single" w:color="000000" w:sz="4" w:space="0"/>
              <w:right w:val="single" w:color="000000" w:sz="4" w:space="0"/>
            </w:tcBorders>
            <w:vAlign w:val="center"/>
          </w:tcPr>
          <w:p w14:paraId="1402792F">
            <w:pPr>
              <w:spacing w:line="240" w:lineRule="exact"/>
              <w:jc w:val="center"/>
              <w:rPr>
                <w:rFonts w:hint="eastAsia"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琵琶柴</w:t>
            </w:r>
          </w:p>
        </w:tc>
        <w:tc>
          <w:tcPr>
            <w:tcW w:w="2652" w:type="pct"/>
            <w:tcBorders>
              <w:top w:val="single" w:color="000000" w:sz="4" w:space="0"/>
              <w:left w:val="single" w:color="000000" w:sz="4" w:space="0"/>
              <w:bottom w:val="single" w:color="000000" w:sz="4" w:space="0"/>
              <w:right w:val="single" w:color="000000" w:sz="4" w:space="0"/>
            </w:tcBorders>
            <w:vAlign w:val="center"/>
          </w:tcPr>
          <w:p w14:paraId="3DEFAE88">
            <w:pPr>
              <w:spacing w:line="240" w:lineRule="exact"/>
              <w:jc w:val="center"/>
              <w:rPr>
                <w:rFonts w:hint="eastAsia" w:ascii="宋体" w:hAnsi="宋体"/>
                <w:i/>
                <w:iCs/>
                <w:color w:val="000000" w:themeColor="text1"/>
                <w:spacing w:val="-2"/>
                <w:kern w:val="0"/>
                <w:szCs w:val="21"/>
                <w14:textFill>
                  <w14:solidFill>
                    <w14:schemeClr w14:val="tx1"/>
                  </w14:solidFill>
                </w14:textFill>
              </w:rPr>
            </w:pPr>
            <w:r>
              <w:rPr>
                <w:rFonts w:ascii="宋体" w:hAnsi="宋体"/>
                <w:i/>
                <w:iCs/>
                <w:color w:val="000000" w:themeColor="text1"/>
                <w:kern w:val="0"/>
                <w:szCs w:val="21"/>
                <w14:textFill>
                  <w14:solidFill>
                    <w14:schemeClr w14:val="tx1"/>
                  </w14:solidFill>
                </w14:textFill>
              </w:rPr>
              <w:t>Reaumuria</w:t>
            </w:r>
            <w:r>
              <w:rPr>
                <w:rFonts w:ascii="宋体" w:hAnsi="宋体"/>
                <w:i/>
                <w:iCs/>
                <w:color w:val="000000" w:themeColor="text1"/>
                <w:spacing w:val="-8"/>
                <w:kern w:val="0"/>
                <w:szCs w:val="21"/>
                <w14:textFill>
                  <w14:solidFill>
                    <w14:schemeClr w14:val="tx1"/>
                  </w14:solidFill>
                </w14:textFill>
              </w:rPr>
              <w:t xml:space="preserve"> </w:t>
            </w:r>
            <w:r>
              <w:rPr>
                <w:rFonts w:ascii="宋体" w:hAnsi="宋体"/>
                <w:i/>
                <w:iCs/>
                <w:color w:val="000000" w:themeColor="text1"/>
                <w:spacing w:val="-2"/>
                <w:kern w:val="0"/>
                <w:szCs w:val="21"/>
                <w14:textFill>
                  <w14:solidFill>
                    <w14:schemeClr w14:val="tx1"/>
                  </w14:solidFill>
                </w14:textFill>
              </w:rPr>
              <w:t>soongorica</w:t>
            </w:r>
          </w:p>
        </w:tc>
        <w:tc>
          <w:tcPr>
            <w:tcW w:w="1010" w:type="pct"/>
            <w:tcBorders>
              <w:top w:val="single" w:color="000000" w:sz="4" w:space="0"/>
              <w:left w:val="single" w:color="000000" w:sz="4" w:space="0"/>
              <w:bottom w:val="single" w:color="000000" w:sz="4" w:space="0"/>
              <w:right w:val="nil"/>
            </w:tcBorders>
            <w:vAlign w:val="center"/>
          </w:tcPr>
          <w:p w14:paraId="2F076290">
            <w:pPr>
              <w:spacing w:line="240" w:lineRule="exact"/>
              <w:jc w:val="center"/>
              <w:rPr>
                <w:rFonts w:hint="eastAsia" w:ascii="宋体" w:hAnsi="宋体"/>
                <w:color w:val="000000" w:themeColor="text1"/>
                <w:spacing w:val="-5"/>
                <w:kern w:val="0"/>
                <w:szCs w:val="21"/>
                <w14:textFill>
                  <w14:solidFill>
                    <w14:schemeClr w14:val="tx1"/>
                  </w14:solidFill>
                </w14:textFill>
              </w:rPr>
            </w:pPr>
            <w:r>
              <w:rPr>
                <w:rFonts w:ascii="宋体" w:hAnsi="宋体"/>
                <w:color w:val="000000" w:themeColor="text1"/>
                <w:spacing w:val="-5"/>
                <w:kern w:val="0"/>
                <w:szCs w:val="21"/>
                <w14:textFill>
                  <w14:solidFill>
                    <w14:schemeClr w14:val="tx1"/>
                  </w14:solidFill>
                </w14:textFill>
              </w:rPr>
              <w:t>++</w:t>
            </w:r>
          </w:p>
        </w:tc>
      </w:tr>
      <w:tr w14:paraId="67F0D6AA">
        <w:tblPrEx>
          <w:tblCellMar>
            <w:top w:w="0" w:type="dxa"/>
            <w:left w:w="0" w:type="dxa"/>
            <w:bottom w:w="0" w:type="dxa"/>
            <w:right w:w="0" w:type="dxa"/>
          </w:tblCellMar>
        </w:tblPrEx>
        <w:trPr>
          <w:trHeight w:val="340" w:hRule="atLeast"/>
        </w:trPr>
        <w:tc>
          <w:tcPr>
            <w:tcW w:w="1338" w:type="pct"/>
            <w:tcBorders>
              <w:top w:val="single" w:color="000000" w:sz="4" w:space="0"/>
              <w:left w:val="nil"/>
              <w:bottom w:val="single" w:color="000000" w:sz="12" w:space="0"/>
              <w:right w:val="single" w:color="000000" w:sz="4" w:space="0"/>
            </w:tcBorders>
            <w:vAlign w:val="center"/>
          </w:tcPr>
          <w:p w14:paraId="0C5FE7C6">
            <w:pPr>
              <w:spacing w:line="240" w:lineRule="exact"/>
              <w:jc w:val="center"/>
              <w:rPr>
                <w:rFonts w:hint="eastAsia"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多枝柽柳</w:t>
            </w:r>
          </w:p>
        </w:tc>
        <w:tc>
          <w:tcPr>
            <w:tcW w:w="2652" w:type="pct"/>
            <w:tcBorders>
              <w:top w:val="single" w:color="000000" w:sz="4" w:space="0"/>
              <w:left w:val="single" w:color="000000" w:sz="4" w:space="0"/>
              <w:bottom w:val="single" w:color="000000" w:sz="12" w:space="0"/>
              <w:right w:val="single" w:color="000000" w:sz="4" w:space="0"/>
            </w:tcBorders>
            <w:vAlign w:val="center"/>
          </w:tcPr>
          <w:p w14:paraId="564B4216">
            <w:pPr>
              <w:spacing w:line="240" w:lineRule="exact"/>
              <w:jc w:val="center"/>
              <w:rPr>
                <w:rFonts w:hint="eastAsia" w:ascii="宋体" w:hAnsi="宋体"/>
                <w:i/>
                <w:iCs/>
                <w:color w:val="000000" w:themeColor="text1"/>
                <w:spacing w:val="-2"/>
                <w:kern w:val="0"/>
                <w:szCs w:val="21"/>
                <w14:textFill>
                  <w14:solidFill>
                    <w14:schemeClr w14:val="tx1"/>
                  </w14:solidFill>
                </w14:textFill>
              </w:rPr>
            </w:pPr>
            <w:r>
              <w:rPr>
                <w:rFonts w:ascii="宋体" w:hAnsi="宋体"/>
                <w:i/>
                <w:iCs/>
                <w:color w:val="000000" w:themeColor="text1"/>
                <w:kern w:val="0"/>
                <w:szCs w:val="21"/>
                <w14:textFill>
                  <w14:solidFill>
                    <w14:schemeClr w14:val="tx1"/>
                  </w14:solidFill>
                </w14:textFill>
              </w:rPr>
              <w:t xml:space="preserve">Tamarix </w:t>
            </w:r>
            <w:r>
              <w:rPr>
                <w:rFonts w:ascii="宋体" w:hAnsi="宋体"/>
                <w:i/>
                <w:iCs/>
                <w:color w:val="000000" w:themeColor="text1"/>
                <w:spacing w:val="-2"/>
                <w:kern w:val="0"/>
                <w:szCs w:val="21"/>
                <w14:textFill>
                  <w14:solidFill>
                    <w14:schemeClr w14:val="tx1"/>
                  </w14:solidFill>
                </w14:textFill>
              </w:rPr>
              <w:t>ramosissima</w:t>
            </w:r>
          </w:p>
        </w:tc>
        <w:tc>
          <w:tcPr>
            <w:tcW w:w="1010" w:type="pct"/>
            <w:tcBorders>
              <w:top w:val="single" w:color="000000" w:sz="4" w:space="0"/>
              <w:left w:val="single" w:color="000000" w:sz="4" w:space="0"/>
              <w:bottom w:val="single" w:color="000000" w:sz="12" w:space="0"/>
              <w:right w:val="nil"/>
            </w:tcBorders>
            <w:vAlign w:val="center"/>
          </w:tcPr>
          <w:p w14:paraId="203337CF">
            <w:pPr>
              <w:spacing w:line="240" w:lineRule="exact"/>
              <w:jc w:val="center"/>
              <w:rPr>
                <w:rFonts w:hint="eastAsia" w:ascii="宋体" w:hAnsi="宋体"/>
                <w:color w:val="000000" w:themeColor="text1"/>
                <w:w w:val="99"/>
                <w:kern w:val="0"/>
                <w:szCs w:val="21"/>
                <w14:textFill>
                  <w14:solidFill>
                    <w14:schemeClr w14:val="tx1"/>
                  </w14:solidFill>
                </w14:textFill>
              </w:rPr>
            </w:pPr>
            <w:r>
              <w:rPr>
                <w:rFonts w:ascii="宋体" w:hAnsi="宋体"/>
                <w:color w:val="000000" w:themeColor="text1"/>
                <w:w w:val="99"/>
                <w:kern w:val="0"/>
                <w:szCs w:val="21"/>
                <w14:textFill>
                  <w14:solidFill>
                    <w14:schemeClr w14:val="tx1"/>
                  </w14:solidFill>
                </w14:textFill>
              </w:rPr>
              <w:t>+</w:t>
            </w:r>
          </w:p>
        </w:tc>
      </w:tr>
    </w:tbl>
    <w:p w14:paraId="1D682920">
      <w:pPr>
        <w:spacing w:line="300" w:lineRule="atLeast"/>
        <w:ind w:firstLine="422"/>
        <w:jc w:val="left"/>
        <w:rPr>
          <w:rFonts w:hint="eastAsia" w:ascii="宋体" w:hAnsi="宋体"/>
          <w:b/>
          <w:color w:val="000000" w:themeColor="text1"/>
          <w:kern w:val="0"/>
          <w:sz w:val="20"/>
          <w:szCs w:val="21"/>
          <w14:textFill>
            <w14:solidFill>
              <w14:schemeClr w14:val="tx1"/>
            </w14:solidFill>
          </w14:textFill>
        </w:rPr>
      </w:pPr>
      <w:r>
        <w:rPr>
          <w:rFonts w:ascii="宋体" w:hAnsi="宋体"/>
          <w:b/>
          <w:color w:val="000000" w:themeColor="text1"/>
          <w:kern w:val="0"/>
          <w:sz w:val="20"/>
          <w:szCs w:val="21"/>
          <w14:textFill>
            <w14:solidFill>
              <w14:schemeClr w14:val="tx1"/>
            </w14:solidFill>
          </w14:textFill>
        </w:rPr>
        <w:t>注：++多见，+少见，-偶见。</w:t>
      </w:r>
    </w:p>
    <w:p w14:paraId="3FFE83A5">
      <w:pPr>
        <w:pStyle w:val="117"/>
        <w:spacing w:line="460" w:lineRule="exact"/>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（4）</w:t>
      </w:r>
      <w:r>
        <w:rPr>
          <w:color w:val="000000" w:themeColor="text1"/>
          <w14:textFill>
            <w14:solidFill>
              <w14:schemeClr w14:val="tx1"/>
            </w14:solidFill>
          </w14:textFill>
        </w:rPr>
        <w:t>动物资源</w:t>
      </w:r>
    </w:p>
    <w:p w14:paraId="220D34AC">
      <w:pPr>
        <w:pStyle w:val="117"/>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项目区动物区系类型属古北界、中亚亚界、蒙新区、西部荒漠亚区、准噶尔盆地小区。主要分布有适于荒漠及荒漠草原和人工绿洲生活的动物。爬行动物的蜥脚类种类较多，如快步麻蜥、变色沙蜥等。鸟类中麻雀、斑鸠等较为常见。哺乳类大沙鼠、小家鼠等啮齿动物在该区分布很广，数量较大。</w:t>
      </w:r>
    </w:p>
    <w:p w14:paraId="6FAA7B41">
      <w:pPr>
        <w:pStyle w:val="117"/>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由于项目区所在准噶尔盆地边缘严酷的气候条件，野生动物分布种类少，主要为小型爬行类、啮齿类动物。根据《国家重点保护野生动物名录（2021）》及《新疆国家重点保护野生动物名录（2022）》，现场调查期间未发现国家重点保护野生动物及其生境。</w:t>
      </w:r>
      <w:r>
        <w:rPr>
          <w:color w:val="000000" w:themeColor="text1"/>
          <w14:textFill>
            <w14:solidFill>
              <w14:schemeClr w14:val="tx1"/>
            </w14:solidFill>
          </w14:textFill>
        </w:rPr>
        <w:t>野生动物种类</w:t>
      </w:r>
      <w:r>
        <w:rPr>
          <w:rFonts w:hint="eastAsia"/>
          <w:color w:val="000000" w:themeColor="text1"/>
          <w14:textFill>
            <w14:solidFill>
              <w14:schemeClr w14:val="tx1"/>
            </w14:solidFill>
          </w14:textFill>
        </w:rPr>
        <w:t>见表4.3-20。</w:t>
      </w:r>
    </w:p>
    <w:p w14:paraId="7A476578">
      <w:pPr>
        <w:pStyle w:val="109"/>
        <w:rPr>
          <w:rFonts w:hint="eastAsia"/>
          <w:color w:val="000000" w:themeColor="text1"/>
          <w14:textFill>
            <w14:solidFill>
              <w14:schemeClr w14:val="tx1"/>
            </w14:solidFill>
          </w14:textFill>
        </w:rPr>
      </w:pPr>
      <w:bookmarkStart w:id="487" w:name="_Ref139480590"/>
      <w:r>
        <w:rPr>
          <w:color w:val="000000" w:themeColor="text1"/>
          <w14:textFill>
            <w14:solidFill>
              <w14:schemeClr w14:val="tx1"/>
            </w14:solidFill>
          </w14:textFill>
        </w:rPr>
        <w:t>表</w:t>
      </w:r>
      <w:bookmarkEnd w:id="487"/>
      <w:r>
        <w:rPr>
          <w:rFonts w:hint="eastAsia"/>
          <w:color w:val="000000" w:themeColor="text1"/>
          <w14:textFill>
            <w14:solidFill>
              <w14:schemeClr w14:val="tx1"/>
            </w14:solidFill>
          </w14:textFill>
        </w:rPr>
        <w:t>4.3-20</w:t>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 xml:space="preserve"> 评价区</w:t>
      </w:r>
      <w:r>
        <w:rPr>
          <w:color w:val="000000" w:themeColor="text1"/>
          <w14:textFill>
            <w14:solidFill>
              <w14:schemeClr w14:val="tx1"/>
            </w14:solidFill>
          </w14:textFill>
        </w:rPr>
        <w:t>及周围主要脊椎动物的种类</w:t>
      </w:r>
    </w:p>
    <w:tbl>
      <w:tblPr>
        <w:tblStyle w:val="51"/>
        <w:tblW w:w="8532" w:type="dxa"/>
        <w:tblInd w:w="21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34"/>
        <w:gridCol w:w="2028"/>
        <w:gridCol w:w="3807"/>
        <w:gridCol w:w="1134"/>
        <w:gridCol w:w="829"/>
      </w:tblGrid>
      <w:tr w14:paraId="340C844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762" w:type="dxa"/>
            <w:gridSpan w:val="2"/>
            <w:vMerge w:val="restart"/>
            <w:vAlign w:val="center"/>
          </w:tcPr>
          <w:p w14:paraId="200CAC59">
            <w:pPr>
              <w:pStyle w:val="278"/>
              <w:adjustRightInd w:val="0"/>
              <w:snapToGrid w:val="0"/>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中文名</w:t>
            </w:r>
          </w:p>
        </w:tc>
        <w:tc>
          <w:tcPr>
            <w:tcW w:w="3807" w:type="dxa"/>
            <w:vMerge w:val="restart"/>
            <w:vAlign w:val="center"/>
          </w:tcPr>
          <w:p w14:paraId="213CA0A2">
            <w:pPr>
              <w:pStyle w:val="278"/>
              <w:adjustRightInd w:val="0"/>
              <w:snapToGrid w:val="0"/>
              <w:spacing w:line="300" w:lineRule="exact"/>
              <w:rPr>
                <w:rFonts w:hint="eastAsia"/>
                <w:color w:val="000000" w:themeColor="text1"/>
                <w14:textFill>
                  <w14:solidFill>
                    <w14:schemeClr w14:val="tx1"/>
                  </w14:solidFill>
                </w14:textFill>
              </w:rPr>
            </w:pPr>
            <w:r>
              <w:rPr>
                <w:color w:val="000000" w:themeColor="text1"/>
                <w14:textFill>
                  <w14:solidFill>
                    <w14:schemeClr w14:val="tx1"/>
                  </w14:solidFill>
                </w14:textFill>
              </w:rPr>
              <w:t>学名</w:t>
            </w:r>
          </w:p>
        </w:tc>
        <w:tc>
          <w:tcPr>
            <w:tcW w:w="1963" w:type="dxa"/>
            <w:gridSpan w:val="2"/>
            <w:vAlign w:val="center"/>
          </w:tcPr>
          <w:p w14:paraId="2DEB3993">
            <w:pPr>
              <w:pStyle w:val="278"/>
              <w:adjustRightInd w:val="0"/>
              <w:snapToGrid w:val="0"/>
              <w:spacing w:line="300" w:lineRule="exact"/>
              <w:rPr>
                <w:rFonts w:hint="eastAsia"/>
                <w:color w:val="000000" w:themeColor="text1"/>
                <w14:textFill>
                  <w14:solidFill>
                    <w14:schemeClr w14:val="tx1"/>
                  </w14:solidFill>
                </w14:textFill>
              </w:rPr>
            </w:pPr>
            <w:r>
              <w:rPr>
                <w:color w:val="000000" w:themeColor="text1"/>
                <w14:textFill>
                  <w14:solidFill>
                    <w14:schemeClr w14:val="tx1"/>
                  </w14:solidFill>
                </w14:textFill>
              </w:rPr>
              <w:t>分布</w:t>
            </w:r>
          </w:p>
        </w:tc>
      </w:tr>
      <w:tr w14:paraId="479DDAD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762" w:type="dxa"/>
            <w:gridSpan w:val="2"/>
            <w:vMerge w:val="continue"/>
            <w:vAlign w:val="center"/>
          </w:tcPr>
          <w:p w14:paraId="5F3AB93B">
            <w:pPr>
              <w:pStyle w:val="278"/>
              <w:adjustRightInd w:val="0"/>
              <w:snapToGrid w:val="0"/>
              <w:spacing w:line="300" w:lineRule="exact"/>
              <w:rPr>
                <w:rFonts w:hint="eastAsia"/>
                <w:color w:val="000000" w:themeColor="text1"/>
                <w14:textFill>
                  <w14:solidFill>
                    <w14:schemeClr w14:val="tx1"/>
                  </w14:solidFill>
                </w14:textFill>
              </w:rPr>
            </w:pPr>
          </w:p>
        </w:tc>
        <w:tc>
          <w:tcPr>
            <w:tcW w:w="3807" w:type="dxa"/>
            <w:vMerge w:val="continue"/>
            <w:vAlign w:val="center"/>
          </w:tcPr>
          <w:p w14:paraId="6AE103CB">
            <w:pPr>
              <w:pStyle w:val="278"/>
              <w:adjustRightInd w:val="0"/>
              <w:snapToGrid w:val="0"/>
              <w:spacing w:line="300" w:lineRule="exact"/>
              <w:rPr>
                <w:rFonts w:hint="eastAsia" w:ascii="Times New Roman" w:eastAsia="等线"/>
                <w:i/>
                <w:iCs/>
                <w:color w:val="000000" w:themeColor="text1"/>
                <w:spacing w:val="-2"/>
                <w14:textFill>
                  <w14:solidFill>
                    <w14:schemeClr w14:val="tx1"/>
                  </w14:solidFill>
                </w14:textFill>
              </w:rPr>
            </w:pPr>
          </w:p>
        </w:tc>
        <w:tc>
          <w:tcPr>
            <w:tcW w:w="1134" w:type="dxa"/>
            <w:vAlign w:val="center"/>
          </w:tcPr>
          <w:p w14:paraId="555B6A25">
            <w:pPr>
              <w:pStyle w:val="278"/>
              <w:adjustRightInd w:val="0"/>
              <w:snapToGrid w:val="0"/>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荒漠草原</w:t>
            </w:r>
          </w:p>
        </w:tc>
        <w:tc>
          <w:tcPr>
            <w:tcW w:w="829" w:type="dxa"/>
            <w:vAlign w:val="center"/>
          </w:tcPr>
          <w:p w14:paraId="2F0400C2">
            <w:pPr>
              <w:pStyle w:val="278"/>
              <w:adjustRightInd w:val="0"/>
              <w:snapToGrid w:val="0"/>
              <w:spacing w:line="300" w:lineRule="exact"/>
              <w:rPr>
                <w:rFonts w:hint="eastAsia"/>
                <w:color w:val="000000" w:themeColor="text1"/>
                <w14:textFill>
                  <w14:solidFill>
                    <w14:schemeClr w14:val="tx1"/>
                  </w14:solidFill>
                </w14:textFill>
              </w:rPr>
            </w:pPr>
            <w:r>
              <w:rPr>
                <w:color w:val="000000" w:themeColor="text1"/>
                <w14:textFill>
                  <w14:solidFill>
                    <w14:schemeClr w14:val="tx1"/>
                  </w14:solidFill>
                </w14:textFill>
              </w:rPr>
              <w:t>农田</w:t>
            </w:r>
          </w:p>
        </w:tc>
      </w:tr>
      <w:tr w14:paraId="4673082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34" w:type="dxa"/>
            <w:vAlign w:val="center"/>
          </w:tcPr>
          <w:p w14:paraId="0DE1EF3C">
            <w:pPr>
              <w:pStyle w:val="278"/>
              <w:adjustRightInd w:val="0"/>
              <w:snapToGrid w:val="0"/>
              <w:spacing w:line="300" w:lineRule="exact"/>
              <w:rPr>
                <w:rFonts w:hint="eastAsia"/>
                <w:color w:val="000000" w:themeColor="text1"/>
                <w14:textFill>
                  <w14:solidFill>
                    <w14:schemeClr w14:val="tx1"/>
                  </w14:solidFill>
                </w14:textFill>
              </w:rPr>
            </w:pPr>
            <w:r>
              <w:rPr>
                <w:color w:val="000000" w:themeColor="text1"/>
                <w14:textFill>
                  <w14:solidFill>
                    <w14:schemeClr w14:val="tx1"/>
                  </w14:solidFill>
                </w14:textFill>
              </w:rPr>
              <w:t>1</w:t>
            </w:r>
          </w:p>
        </w:tc>
        <w:tc>
          <w:tcPr>
            <w:tcW w:w="2028" w:type="dxa"/>
            <w:vAlign w:val="center"/>
          </w:tcPr>
          <w:p w14:paraId="2FA384F3">
            <w:pPr>
              <w:pStyle w:val="278"/>
              <w:adjustRightInd w:val="0"/>
              <w:snapToGrid w:val="0"/>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变色沙蜥</w:t>
            </w:r>
          </w:p>
        </w:tc>
        <w:tc>
          <w:tcPr>
            <w:tcW w:w="3807" w:type="dxa"/>
            <w:vAlign w:val="center"/>
          </w:tcPr>
          <w:p w14:paraId="2F3021F0">
            <w:pPr>
              <w:pStyle w:val="278"/>
              <w:adjustRightInd w:val="0"/>
              <w:snapToGrid w:val="0"/>
              <w:spacing w:line="300" w:lineRule="exact"/>
              <w:rPr>
                <w:rFonts w:hint="eastAsia" w:ascii="Times New Roman" w:eastAsia="等线"/>
                <w:i/>
                <w:iCs/>
                <w:color w:val="000000" w:themeColor="text1"/>
                <w:w w:val="95"/>
                <w14:textFill>
                  <w14:solidFill>
                    <w14:schemeClr w14:val="tx1"/>
                  </w14:solidFill>
                </w14:textFill>
              </w:rPr>
            </w:pPr>
            <w:r>
              <w:rPr>
                <w:rFonts w:ascii="Times New Roman" w:eastAsia="等线"/>
                <w:i/>
                <w:iCs/>
                <w:color w:val="000000" w:themeColor="text1"/>
                <w:w w:val="95"/>
                <w14:textFill>
                  <w14:solidFill>
                    <w14:schemeClr w14:val="tx1"/>
                  </w14:solidFill>
                </w14:textFill>
              </w:rPr>
              <w:t>Phrynocephalus</w:t>
            </w:r>
            <w:r>
              <w:rPr>
                <w:rFonts w:ascii="Times New Roman" w:eastAsia="等线"/>
                <w:i/>
                <w:iCs/>
                <w:color w:val="000000" w:themeColor="text1"/>
                <w:spacing w:val="54"/>
                <w14:textFill>
                  <w14:solidFill>
                    <w14:schemeClr w14:val="tx1"/>
                  </w14:solidFill>
                </w14:textFill>
              </w:rPr>
              <w:t xml:space="preserve"> </w:t>
            </w:r>
            <w:r>
              <w:rPr>
                <w:rFonts w:ascii="Times New Roman" w:eastAsia="等线"/>
                <w:i/>
                <w:iCs/>
                <w:color w:val="000000" w:themeColor="text1"/>
                <w:spacing w:val="-2"/>
                <w14:textFill>
                  <w14:solidFill>
                    <w14:schemeClr w14:val="tx1"/>
                  </w14:solidFill>
                </w14:textFill>
              </w:rPr>
              <w:t>Versicolor</w:t>
            </w:r>
          </w:p>
        </w:tc>
        <w:tc>
          <w:tcPr>
            <w:tcW w:w="1134" w:type="dxa"/>
            <w:vAlign w:val="center"/>
          </w:tcPr>
          <w:p w14:paraId="6492CED9">
            <w:pPr>
              <w:pStyle w:val="278"/>
              <w:adjustRightInd w:val="0"/>
              <w:snapToGrid w:val="0"/>
              <w:spacing w:line="300" w:lineRule="exact"/>
              <w:rPr>
                <w:rFonts w:hint="eastAsia" w:ascii="Times New Roman" w:eastAsia="等线"/>
                <w:color w:val="000000" w:themeColor="text1"/>
                <w:spacing w:val="-5"/>
                <w14:textFill>
                  <w14:solidFill>
                    <w14:schemeClr w14:val="tx1"/>
                  </w14:solidFill>
                </w14:textFill>
              </w:rPr>
            </w:pPr>
            <w:r>
              <w:rPr>
                <w:rFonts w:ascii="Times New Roman" w:eastAsia="等线"/>
                <w:color w:val="000000" w:themeColor="text1"/>
                <w:spacing w:val="-5"/>
                <w14:textFill>
                  <w14:solidFill>
                    <w14:schemeClr w14:val="tx1"/>
                  </w14:solidFill>
                </w14:textFill>
              </w:rPr>
              <w:t>++</w:t>
            </w:r>
          </w:p>
        </w:tc>
        <w:tc>
          <w:tcPr>
            <w:tcW w:w="829" w:type="dxa"/>
            <w:vAlign w:val="center"/>
          </w:tcPr>
          <w:p w14:paraId="6F1652CA">
            <w:pPr>
              <w:pStyle w:val="278"/>
              <w:adjustRightInd w:val="0"/>
              <w:snapToGrid w:val="0"/>
              <w:spacing w:line="300" w:lineRule="exact"/>
              <w:rPr>
                <w:rFonts w:hint="eastAsia" w:ascii="Times New Roman" w:eastAsia="等线"/>
                <w:color w:val="000000" w:themeColor="text1"/>
                <w:sz w:val="22"/>
                <w:szCs w:val="22"/>
                <w14:textFill>
                  <w14:solidFill>
                    <w14:schemeClr w14:val="tx1"/>
                  </w14:solidFill>
                </w14:textFill>
              </w:rPr>
            </w:pPr>
          </w:p>
        </w:tc>
      </w:tr>
      <w:tr w14:paraId="151396E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34" w:type="dxa"/>
            <w:vAlign w:val="center"/>
          </w:tcPr>
          <w:p w14:paraId="460D2BF8">
            <w:pPr>
              <w:pStyle w:val="278"/>
              <w:adjustRightInd w:val="0"/>
              <w:snapToGrid w:val="0"/>
              <w:spacing w:line="300" w:lineRule="exact"/>
              <w:rPr>
                <w:rFonts w:hint="eastAsia"/>
                <w:color w:val="000000" w:themeColor="text1"/>
                <w14:textFill>
                  <w14:solidFill>
                    <w14:schemeClr w14:val="tx1"/>
                  </w14:solidFill>
                </w14:textFill>
              </w:rPr>
            </w:pPr>
            <w:r>
              <w:rPr>
                <w:color w:val="000000" w:themeColor="text1"/>
                <w14:textFill>
                  <w14:solidFill>
                    <w14:schemeClr w14:val="tx1"/>
                  </w14:solidFill>
                </w14:textFill>
              </w:rPr>
              <w:t>2</w:t>
            </w:r>
          </w:p>
        </w:tc>
        <w:tc>
          <w:tcPr>
            <w:tcW w:w="2028" w:type="dxa"/>
            <w:vAlign w:val="center"/>
          </w:tcPr>
          <w:p w14:paraId="025C947A">
            <w:pPr>
              <w:pStyle w:val="278"/>
              <w:adjustRightInd w:val="0"/>
              <w:snapToGrid w:val="0"/>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快步麻蜥</w:t>
            </w:r>
          </w:p>
        </w:tc>
        <w:tc>
          <w:tcPr>
            <w:tcW w:w="3807" w:type="dxa"/>
            <w:vAlign w:val="center"/>
          </w:tcPr>
          <w:p w14:paraId="34B8B575">
            <w:pPr>
              <w:pStyle w:val="278"/>
              <w:adjustRightInd w:val="0"/>
              <w:snapToGrid w:val="0"/>
              <w:spacing w:line="300" w:lineRule="exact"/>
              <w:rPr>
                <w:rFonts w:hint="eastAsia" w:ascii="Times New Roman" w:eastAsia="等线"/>
                <w:i/>
                <w:iCs/>
                <w:color w:val="000000" w:themeColor="text1"/>
                <w:spacing w:val="-2"/>
                <w14:textFill>
                  <w14:solidFill>
                    <w14:schemeClr w14:val="tx1"/>
                  </w14:solidFill>
                </w14:textFill>
              </w:rPr>
            </w:pPr>
            <w:r>
              <w:rPr>
                <w:rFonts w:ascii="Times New Roman" w:eastAsia="等线"/>
                <w:i/>
                <w:iCs/>
                <w:color w:val="000000" w:themeColor="text1"/>
                <w14:textFill>
                  <w14:solidFill>
                    <w14:schemeClr w14:val="tx1"/>
                  </w14:solidFill>
                </w14:textFill>
              </w:rPr>
              <w:t>Eryx</w:t>
            </w:r>
            <w:r>
              <w:rPr>
                <w:rFonts w:ascii="Times New Roman" w:eastAsia="等线"/>
                <w:i/>
                <w:iCs/>
                <w:color w:val="000000" w:themeColor="text1"/>
                <w:spacing w:val="-4"/>
                <w14:textFill>
                  <w14:solidFill>
                    <w14:schemeClr w14:val="tx1"/>
                  </w14:solidFill>
                </w14:textFill>
              </w:rPr>
              <w:t xml:space="preserve"> </w:t>
            </w:r>
            <w:r>
              <w:rPr>
                <w:rFonts w:ascii="Times New Roman" w:eastAsia="等线"/>
                <w:i/>
                <w:iCs/>
                <w:color w:val="000000" w:themeColor="text1"/>
                <w:spacing w:val="-2"/>
                <w14:textFill>
                  <w14:solidFill>
                    <w14:schemeClr w14:val="tx1"/>
                  </w14:solidFill>
                </w14:textFill>
              </w:rPr>
              <w:t>tataricus</w:t>
            </w:r>
          </w:p>
        </w:tc>
        <w:tc>
          <w:tcPr>
            <w:tcW w:w="1134" w:type="dxa"/>
            <w:vAlign w:val="center"/>
          </w:tcPr>
          <w:p w14:paraId="2D1618A2">
            <w:pPr>
              <w:pStyle w:val="278"/>
              <w:adjustRightInd w:val="0"/>
              <w:snapToGrid w:val="0"/>
              <w:spacing w:line="300" w:lineRule="exact"/>
              <w:rPr>
                <w:rFonts w:hint="eastAsia" w:ascii="Times New Roman" w:eastAsia="等线"/>
                <w:color w:val="000000" w:themeColor="text1"/>
                <w:w w:val="99"/>
                <w14:textFill>
                  <w14:solidFill>
                    <w14:schemeClr w14:val="tx1"/>
                  </w14:solidFill>
                </w14:textFill>
              </w:rPr>
            </w:pPr>
            <w:r>
              <w:rPr>
                <w:rFonts w:ascii="Times New Roman" w:eastAsia="等线"/>
                <w:color w:val="000000" w:themeColor="text1"/>
                <w:w w:val="99"/>
                <w14:textFill>
                  <w14:solidFill>
                    <w14:schemeClr w14:val="tx1"/>
                  </w14:solidFill>
                </w14:textFill>
              </w:rPr>
              <w:t>+</w:t>
            </w:r>
          </w:p>
        </w:tc>
        <w:tc>
          <w:tcPr>
            <w:tcW w:w="829" w:type="dxa"/>
            <w:vAlign w:val="center"/>
          </w:tcPr>
          <w:p w14:paraId="43BBC223">
            <w:pPr>
              <w:pStyle w:val="278"/>
              <w:adjustRightInd w:val="0"/>
              <w:snapToGrid w:val="0"/>
              <w:spacing w:line="300" w:lineRule="exact"/>
              <w:rPr>
                <w:rFonts w:hint="eastAsia" w:ascii="Times New Roman" w:eastAsia="等线"/>
                <w:color w:val="000000" w:themeColor="text1"/>
                <w:w w:val="99"/>
                <w14:textFill>
                  <w14:solidFill>
                    <w14:schemeClr w14:val="tx1"/>
                  </w14:solidFill>
                </w14:textFill>
              </w:rPr>
            </w:pPr>
            <w:r>
              <w:rPr>
                <w:rFonts w:ascii="Times New Roman" w:eastAsia="等线"/>
                <w:color w:val="000000" w:themeColor="text1"/>
                <w:w w:val="99"/>
                <w14:textFill>
                  <w14:solidFill>
                    <w14:schemeClr w14:val="tx1"/>
                  </w14:solidFill>
                </w14:textFill>
              </w:rPr>
              <w:t>+</w:t>
            </w:r>
          </w:p>
        </w:tc>
      </w:tr>
      <w:tr w14:paraId="2CD614D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34" w:type="dxa"/>
            <w:vAlign w:val="center"/>
          </w:tcPr>
          <w:p w14:paraId="2B90DBC2">
            <w:pPr>
              <w:pStyle w:val="278"/>
              <w:adjustRightInd w:val="0"/>
              <w:snapToGrid w:val="0"/>
              <w:spacing w:line="300" w:lineRule="exact"/>
              <w:rPr>
                <w:rFonts w:hint="eastAsia"/>
                <w:color w:val="000000" w:themeColor="text1"/>
                <w14:textFill>
                  <w14:solidFill>
                    <w14:schemeClr w14:val="tx1"/>
                  </w14:solidFill>
                </w14:textFill>
              </w:rPr>
            </w:pPr>
            <w:r>
              <w:rPr>
                <w:color w:val="000000" w:themeColor="text1"/>
                <w14:textFill>
                  <w14:solidFill>
                    <w14:schemeClr w14:val="tx1"/>
                  </w14:solidFill>
                </w14:textFill>
              </w:rPr>
              <w:t>3</w:t>
            </w:r>
          </w:p>
        </w:tc>
        <w:tc>
          <w:tcPr>
            <w:tcW w:w="2028" w:type="dxa"/>
            <w:vAlign w:val="center"/>
          </w:tcPr>
          <w:p w14:paraId="6F4B7206">
            <w:pPr>
              <w:pStyle w:val="278"/>
              <w:adjustRightInd w:val="0"/>
              <w:snapToGrid w:val="0"/>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黄脊游蛇</w:t>
            </w:r>
          </w:p>
        </w:tc>
        <w:tc>
          <w:tcPr>
            <w:tcW w:w="3807" w:type="dxa"/>
            <w:vAlign w:val="center"/>
          </w:tcPr>
          <w:p w14:paraId="3C623422">
            <w:pPr>
              <w:pStyle w:val="278"/>
              <w:adjustRightInd w:val="0"/>
              <w:snapToGrid w:val="0"/>
              <w:spacing w:line="300" w:lineRule="exact"/>
              <w:rPr>
                <w:rFonts w:hint="eastAsia" w:ascii="Times New Roman" w:eastAsia="等线"/>
                <w:i/>
                <w:iCs/>
                <w:color w:val="000000" w:themeColor="text1"/>
                <w:spacing w:val="-2"/>
                <w14:textFill>
                  <w14:solidFill>
                    <w14:schemeClr w14:val="tx1"/>
                  </w14:solidFill>
                </w14:textFill>
              </w:rPr>
            </w:pPr>
            <w:r>
              <w:rPr>
                <w:rFonts w:ascii="Times New Roman" w:eastAsia="等线"/>
                <w:i/>
                <w:iCs/>
                <w:color w:val="000000" w:themeColor="text1"/>
                <w14:textFill>
                  <w14:solidFill>
                    <w14:schemeClr w14:val="tx1"/>
                  </w14:solidFill>
                </w14:textFill>
              </w:rPr>
              <w:t>Coluber</w:t>
            </w:r>
            <w:r>
              <w:rPr>
                <w:rFonts w:ascii="Times New Roman" w:eastAsia="等线"/>
                <w:i/>
                <w:iCs/>
                <w:color w:val="000000" w:themeColor="text1"/>
                <w:spacing w:val="-8"/>
                <w14:textFill>
                  <w14:solidFill>
                    <w14:schemeClr w14:val="tx1"/>
                  </w14:solidFill>
                </w14:textFill>
              </w:rPr>
              <w:t xml:space="preserve"> </w:t>
            </w:r>
            <w:r>
              <w:rPr>
                <w:rFonts w:ascii="Times New Roman" w:eastAsia="等线"/>
                <w:i/>
                <w:iCs/>
                <w:color w:val="000000" w:themeColor="text1"/>
                <w:spacing w:val="-2"/>
                <w14:textFill>
                  <w14:solidFill>
                    <w14:schemeClr w14:val="tx1"/>
                  </w14:solidFill>
                </w14:textFill>
              </w:rPr>
              <w:t>spinalis</w:t>
            </w:r>
          </w:p>
        </w:tc>
        <w:tc>
          <w:tcPr>
            <w:tcW w:w="1134" w:type="dxa"/>
            <w:vAlign w:val="center"/>
          </w:tcPr>
          <w:p w14:paraId="1E76E22E">
            <w:pPr>
              <w:pStyle w:val="278"/>
              <w:adjustRightInd w:val="0"/>
              <w:snapToGrid w:val="0"/>
              <w:spacing w:line="300" w:lineRule="exact"/>
              <w:rPr>
                <w:rFonts w:hint="eastAsia" w:ascii="Times New Roman" w:eastAsia="等线"/>
                <w:color w:val="000000" w:themeColor="text1"/>
                <w:w w:val="99"/>
                <w14:textFill>
                  <w14:solidFill>
                    <w14:schemeClr w14:val="tx1"/>
                  </w14:solidFill>
                </w14:textFill>
              </w:rPr>
            </w:pPr>
            <w:r>
              <w:rPr>
                <w:rFonts w:ascii="Times New Roman" w:eastAsia="等线"/>
                <w:color w:val="000000" w:themeColor="text1"/>
                <w:w w:val="99"/>
                <w14:textFill>
                  <w14:solidFill>
                    <w14:schemeClr w14:val="tx1"/>
                  </w14:solidFill>
                </w14:textFill>
              </w:rPr>
              <w:t>+</w:t>
            </w:r>
          </w:p>
        </w:tc>
        <w:tc>
          <w:tcPr>
            <w:tcW w:w="829" w:type="dxa"/>
            <w:vAlign w:val="center"/>
          </w:tcPr>
          <w:p w14:paraId="51CFD2C8">
            <w:pPr>
              <w:pStyle w:val="278"/>
              <w:adjustRightInd w:val="0"/>
              <w:snapToGrid w:val="0"/>
              <w:spacing w:line="300" w:lineRule="exact"/>
              <w:rPr>
                <w:rFonts w:hint="eastAsia" w:ascii="Times New Roman" w:eastAsia="等线"/>
                <w:color w:val="000000" w:themeColor="text1"/>
                <w:w w:val="99"/>
                <w14:textFill>
                  <w14:solidFill>
                    <w14:schemeClr w14:val="tx1"/>
                  </w14:solidFill>
                </w14:textFill>
              </w:rPr>
            </w:pPr>
            <w:r>
              <w:rPr>
                <w:rFonts w:ascii="Times New Roman" w:eastAsia="等线"/>
                <w:color w:val="000000" w:themeColor="text1"/>
                <w:w w:val="99"/>
                <w14:textFill>
                  <w14:solidFill>
                    <w14:schemeClr w14:val="tx1"/>
                  </w14:solidFill>
                </w14:textFill>
              </w:rPr>
              <w:t>-</w:t>
            </w:r>
          </w:p>
        </w:tc>
      </w:tr>
      <w:tr w14:paraId="6AAD7EB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532" w:type="dxa"/>
            <w:gridSpan w:val="5"/>
            <w:vAlign w:val="center"/>
          </w:tcPr>
          <w:p w14:paraId="2BEAD300">
            <w:pPr>
              <w:pStyle w:val="278"/>
              <w:adjustRightInd w:val="0"/>
              <w:snapToGrid w:val="0"/>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鸟类</w:t>
            </w:r>
          </w:p>
        </w:tc>
      </w:tr>
      <w:tr w14:paraId="5CE1491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34" w:type="dxa"/>
            <w:vAlign w:val="center"/>
          </w:tcPr>
          <w:p w14:paraId="1CE40D67">
            <w:pPr>
              <w:pStyle w:val="278"/>
              <w:adjustRightInd w:val="0"/>
              <w:snapToGrid w:val="0"/>
              <w:spacing w:line="300" w:lineRule="exact"/>
              <w:rPr>
                <w:rFonts w:hint="eastAsia"/>
                <w:color w:val="000000" w:themeColor="text1"/>
                <w14:textFill>
                  <w14:solidFill>
                    <w14:schemeClr w14:val="tx1"/>
                  </w14:solidFill>
                </w14:textFill>
              </w:rPr>
            </w:pPr>
            <w:r>
              <w:rPr>
                <w:color w:val="000000" w:themeColor="text1"/>
                <w14:textFill>
                  <w14:solidFill>
                    <w14:schemeClr w14:val="tx1"/>
                  </w14:solidFill>
                </w14:textFill>
              </w:rPr>
              <w:t>4</w:t>
            </w:r>
          </w:p>
        </w:tc>
        <w:tc>
          <w:tcPr>
            <w:tcW w:w="2028" w:type="dxa"/>
            <w:vAlign w:val="center"/>
          </w:tcPr>
          <w:p w14:paraId="73E2DBBE">
            <w:pPr>
              <w:pStyle w:val="278"/>
              <w:adjustRightInd w:val="0"/>
              <w:snapToGrid w:val="0"/>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家燕</w:t>
            </w:r>
          </w:p>
        </w:tc>
        <w:tc>
          <w:tcPr>
            <w:tcW w:w="3807" w:type="dxa"/>
            <w:vAlign w:val="center"/>
          </w:tcPr>
          <w:p w14:paraId="6114F21F">
            <w:pPr>
              <w:pStyle w:val="278"/>
              <w:adjustRightInd w:val="0"/>
              <w:snapToGrid w:val="0"/>
              <w:spacing w:line="300" w:lineRule="exact"/>
              <w:rPr>
                <w:rFonts w:hint="eastAsia" w:ascii="Times New Roman" w:eastAsia="等线"/>
                <w:i/>
                <w:iCs/>
                <w:color w:val="000000" w:themeColor="text1"/>
                <w:spacing w:val="-2"/>
                <w14:textFill>
                  <w14:solidFill>
                    <w14:schemeClr w14:val="tx1"/>
                  </w14:solidFill>
                </w14:textFill>
              </w:rPr>
            </w:pPr>
            <w:r>
              <w:rPr>
                <w:rFonts w:ascii="Times New Roman" w:eastAsia="等线"/>
                <w:i/>
                <w:iCs/>
                <w:color w:val="000000" w:themeColor="text1"/>
                <w14:textFill>
                  <w14:solidFill>
                    <w14:schemeClr w14:val="tx1"/>
                  </w14:solidFill>
                </w14:textFill>
              </w:rPr>
              <w:t>Hirundo</w:t>
            </w:r>
            <w:r>
              <w:rPr>
                <w:rFonts w:ascii="Times New Roman" w:eastAsia="等线"/>
                <w:i/>
                <w:iCs/>
                <w:color w:val="000000" w:themeColor="text1"/>
                <w:spacing w:val="-7"/>
                <w14:textFill>
                  <w14:solidFill>
                    <w14:schemeClr w14:val="tx1"/>
                  </w14:solidFill>
                </w14:textFill>
              </w:rPr>
              <w:t xml:space="preserve"> </w:t>
            </w:r>
            <w:r>
              <w:rPr>
                <w:rFonts w:ascii="Times New Roman" w:eastAsia="等线"/>
                <w:i/>
                <w:iCs/>
                <w:color w:val="000000" w:themeColor="text1"/>
                <w:spacing w:val="-2"/>
                <w14:textFill>
                  <w14:solidFill>
                    <w14:schemeClr w14:val="tx1"/>
                  </w14:solidFill>
                </w14:textFill>
              </w:rPr>
              <w:t>rustica</w:t>
            </w:r>
          </w:p>
        </w:tc>
        <w:tc>
          <w:tcPr>
            <w:tcW w:w="1134" w:type="dxa"/>
            <w:vAlign w:val="center"/>
          </w:tcPr>
          <w:p w14:paraId="7B9970E4">
            <w:pPr>
              <w:pStyle w:val="278"/>
              <w:adjustRightInd w:val="0"/>
              <w:snapToGrid w:val="0"/>
              <w:spacing w:line="300" w:lineRule="exact"/>
              <w:rPr>
                <w:rFonts w:hint="eastAsia" w:ascii="Times New Roman" w:eastAsia="等线"/>
                <w:color w:val="000000" w:themeColor="text1"/>
                <w:w w:val="99"/>
                <w14:textFill>
                  <w14:solidFill>
                    <w14:schemeClr w14:val="tx1"/>
                  </w14:solidFill>
                </w14:textFill>
              </w:rPr>
            </w:pPr>
            <w:r>
              <w:rPr>
                <w:rFonts w:ascii="Times New Roman" w:eastAsia="等线"/>
                <w:color w:val="000000" w:themeColor="text1"/>
                <w:w w:val="99"/>
                <w14:textFill>
                  <w14:solidFill>
                    <w14:schemeClr w14:val="tx1"/>
                  </w14:solidFill>
                </w14:textFill>
              </w:rPr>
              <w:t>+</w:t>
            </w:r>
          </w:p>
        </w:tc>
        <w:tc>
          <w:tcPr>
            <w:tcW w:w="829" w:type="dxa"/>
            <w:vAlign w:val="center"/>
          </w:tcPr>
          <w:p w14:paraId="488CCEAB">
            <w:pPr>
              <w:pStyle w:val="278"/>
              <w:adjustRightInd w:val="0"/>
              <w:snapToGrid w:val="0"/>
              <w:spacing w:line="300" w:lineRule="exact"/>
              <w:rPr>
                <w:rFonts w:hint="eastAsia" w:ascii="Times New Roman" w:eastAsia="等线"/>
                <w:color w:val="000000" w:themeColor="text1"/>
                <w:spacing w:val="-5"/>
                <w14:textFill>
                  <w14:solidFill>
                    <w14:schemeClr w14:val="tx1"/>
                  </w14:solidFill>
                </w14:textFill>
              </w:rPr>
            </w:pPr>
            <w:r>
              <w:rPr>
                <w:rFonts w:ascii="Times New Roman" w:eastAsia="等线"/>
                <w:color w:val="000000" w:themeColor="text1"/>
                <w:spacing w:val="-5"/>
                <w14:textFill>
                  <w14:solidFill>
                    <w14:schemeClr w14:val="tx1"/>
                  </w14:solidFill>
                </w14:textFill>
              </w:rPr>
              <w:t>++</w:t>
            </w:r>
          </w:p>
        </w:tc>
      </w:tr>
      <w:tr w14:paraId="262788E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34" w:type="dxa"/>
            <w:vAlign w:val="center"/>
          </w:tcPr>
          <w:p w14:paraId="49BCEDF0">
            <w:pPr>
              <w:pStyle w:val="278"/>
              <w:adjustRightInd w:val="0"/>
              <w:snapToGrid w:val="0"/>
              <w:spacing w:line="300" w:lineRule="exact"/>
              <w:rPr>
                <w:rFonts w:hint="eastAsia"/>
                <w:color w:val="000000" w:themeColor="text1"/>
                <w14:textFill>
                  <w14:solidFill>
                    <w14:schemeClr w14:val="tx1"/>
                  </w14:solidFill>
                </w14:textFill>
              </w:rPr>
            </w:pPr>
            <w:r>
              <w:rPr>
                <w:color w:val="000000" w:themeColor="text1"/>
                <w14:textFill>
                  <w14:solidFill>
                    <w14:schemeClr w14:val="tx1"/>
                  </w14:solidFill>
                </w14:textFill>
              </w:rPr>
              <w:t>5</w:t>
            </w:r>
          </w:p>
        </w:tc>
        <w:tc>
          <w:tcPr>
            <w:tcW w:w="2028" w:type="dxa"/>
            <w:vAlign w:val="center"/>
          </w:tcPr>
          <w:p w14:paraId="7000E514">
            <w:pPr>
              <w:pStyle w:val="278"/>
              <w:adjustRightInd w:val="0"/>
              <w:snapToGrid w:val="0"/>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麻雀</w:t>
            </w:r>
          </w:p>
        </w:tc>
        <w:tc>
          <w:tcPr>
            <w:tcW w:w="3807" w:type="dxa"/>
            <w:vAlign w:val="center"/>
          </w:tcPr>
          <w:p w14:paraId="6D6128BF">
            <w:pPr>
              <w:pStyle w:val="278"/>
              <w:adjustRightInd w:val="0"/>
              <w:snapToGrid w:val="0"/>
              <w:spacing w:line="300" w:lineRule="exact"/>
              <w:rPr>
                <w:rFonts w:hint="eastAsia" w:ascii="Times New Roman" w:eastAsia="等线"/>
                <w:i/>
                <w:iCs/>
                <w:color w:val="000000" w:themeColor="text1"/>
                <w:spacing w:val="-2"/>
                <w14:textFill>
                  <w14:solidFill>
                    <w14:schemeClr w14:val="tx1"/>
                  </w14:solidFill>
                </w14:textFill>
              </w:rPr>
            </w:pPr>
            <w:r>
              <w:rPr>
                <w:rFonts w:ascii="Times New Roman" w:eastAsia="等线"/>
                <w:i/>
                <w:iCs/>
                <w:color w:val="000000" w:themeColor="text1"/>
                <w14:textFill>
                  <w14:solidFill>
                    <w14:schemeClr w14:val="tx1"/>
                  </w14:solidFill>
                </w14:textFill>
              </w:rPr>
              <w:t>Passer</w:t>
            </w:r>
            <w:r>
              <w:rPr>
                <w:rFonts w:ascii="Times New Roman" w:eastAsia="等线"/>
                <w:i/>
                <w:iCs/>
                <w:color w:val="000000" w:themeColor="text1"/>
                <w:spacing w:val="-6"/>
                <w14:textFill>
                  <w14:solidFill>
                    <w14:schemeClr w14:val="tx1"/>
                  </w14:solidFill>
                </w14:textFill>
              </w:rPr>
              <w:t xml:space="preserve"> </w:t>
            </w:r>
            <w:r>
              <w:rPr>
                <w:rFonts w:ascii="Times New Roman" w:eastAsia="等线"/>
                <w:i/>
                <w:iCs/>
                <w:color w:val="000000" w:themeColor="text1"/>
                <w:spacing w:val="-2"/>
                <w14:textFill>
                  <w14:solidFill>
                    <w14:schemeClr w14:val="tx1"/>
                  </w14:solidFill>
                </w14:textFill>
              </w:rPr>
              <w:t>domesticus</w:t>
            </w:r>
          </w:p>
        </w:tc>
        <w:tc>
          <w:tcPr>
            <w:tcW w:w="1134" w:type="dxa"/>
            <w:vAlign w:val="center"/>
          </w:tcPr>
          <w:p w14:paraId="43652A96">
            <w:pPr>
              <w:pStyle w:val="278"/>
              <w:adjustRightInd w:val="0"/>
              <w:snapToGrid w:val="0"/>
              <w:spacing w:line="300" w:lineRule="exact"/>
              <w:rPr>
                <w:rFonts w:hint="eastAsia" w:ascii="Times New Roman" w:eastAsia="等线"/>
                <w:color w:val="000000" w:themeColor="text1"/>
                <w:spacing w:val="-5"/>
                <w14:textFill>
                  <w14:solidFill>
                    <w14:schemeClr w14:val="tx1"/>
                  </w14:solidFill>
                </w14:textFill>
              </w:rPr>
            </w:pPr>
            <w:r>
              <w:rPr>
                <w:rFonts w:ascii="Times New Roman" w:eastAsia="等线"/>
                <w:color w:val="000000" w:themeColor="text1"/>
                <w:spacing w:val="-5"/>
                <w14:textFill>
                  <w14:solidFill>
                    <w14:schemeClr w14:val="tx1"/>
                  </w14:solidFill>
                </w14:textFill>
              </w:rPr>
              <w:t>++</w:t>
            </w:r>
          </w:p>
        </w:tc>
        <w:tc>
          <w:tcPr>
            <w:tcW w:w="829" w:type="dxa"/>
            <w:vAlign w:val="center"/>
          </w:tcPr>
          <w:p w14:paraId="1B1F986F">
            <w:pPr>
              <w:pStyle w:val="278"/>
              <w:adjustRightInd w:val="0"/>
              <w:snapToGrid w:val="0"/>
              <w:spacing w:line="300" w:lineRule="exact"/>
              <w:rPr>
                <w:rFonts w:hint="eastAsia" w:ascii="Times New Roman" w:eastAsia="等线"/>
                <w:color w:val="000000" w:themeColor="text1"/>
                <w:spacing w:val="-5"/>
                <w14:textFill>
                  <w14:solidFill>
                    <w14:schemeClr w14:val="tx1"/>
                  </w14:solidFill>
                </w14:textFill>
              </w:rPr>
            </w:pPr>
            <w:r>
              <w:rPr>
                <w:rFonts w:ascii="Times New Roman" w:eastAsia="等线"/>
                <w:color w:val="000000" w:themeColor="text1"/>
                <w:spacing w:val="-5"/>
                <w14:textFill>
                  <w14:solidFill>
                    <w14:schemeClr w14:val="tx1"/>
                  </w14:solidFill>
                </w14:textFill>
              </w:rPr>
              <w:t>++</w:t>
            </w:r>
          </w:p>
        </w:tc>
      </w:tr>
      <w:tr w14:paraId="5022A73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34" w:type="dxa"/>
            <w:vAlign w:val="center"/>
          </w:tcPr>
          <w:p w14:paraId="55BCEB8D">
            <w:pPr>
              <w:pStyle w:val="278"/>
              <w:adjustRightInd w:val="0"/>
              <w:snapToGrid w:val="0"/>
              <w:spacing w:line="300" w:lineRule="exact"/>
              <w:rPr>
                <w:rFonts w:hint="eastAsia"/>
                <w:color w:val="000000" w:themeColor="text1"/>
                <w14:textFill>
                  <w14:solidFill>
                    <w14:schemeClr w14:val="tx1"/>
                  </w14:solidFill>
                </w14:textFill>
              </w:rPr>
            </w:pPr>
            <w:r>
              <w:rPr>
                <w:color w:val="000000" w:themeColor="text1"/>
                <w14:textFill>
                  <w14:solidFill>
                    <w14:schemeClr w14:val="tx1"/>
                  </w14:solidFill>
                </w14:textFill>
              </w:rPr>
              <w:t>6</w:t>
            </w:r>
          </w:p>
        </w:tc>
        <w:tc>
          <w:tcPr>
            <w:tcW w:w="2028" w:type="dxa"/>
            <w:vAlign w:val="center"/>
          </w:tcPr>
          <w:p w14:paraId="4BA558F0">
            <w:pPr>
              <w:pStyle w:val="278"/>
              <w:adjustRightInd w:val="0"/>
              <w:snapToGrid w:val="0"/>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斑鸠</w:t>
            </w:r>
          </w:p>
        </w:tc>
        <w:tc>
          <w:tcPr>
            <w:tcW w:w="3807" w:type="dxa"/>
            <w:vAlign w:val="center"/>
          </w:tcPr>
          <w:p w14:paraId="2151CB6D">
            <w:pPr>
              <w:pStyle w:val="278"/>
              <w:adjustRightInd w:val="0"/>
              <w:snapToGrid w:val="0"/>
              <w:spacing w:line="300" w:lineRule="exact"/>
              <w:rPr>
                <w:rFonts w:hint="eastAsia" w:ascii="Times New Roman" w:eastAsia="等线"/>
                <w:i/>
                <w:iCs/>
                <w:color w:val="000000" w:themeColor="text1"/>
                <w:spacing w:val="-2"/>
                <w14:textFill>
                  <w14:solidFill>
                    <w14:schemeClr w14:val="tx1"/>
                  </w14:solidFill>
                </w14:textFill>
              </w:rPr>
            </w:pPr>
            <w:r>
              <w:rPr>
                <w:rFonts w:ascii="Times New Roman" w:eastAsia="等线"/>
                <w:i/>
                <w:iCs/>
                <w:color w:val="000000" w:themeColor="text1"/>
                <w14:textFill>
                  <w14:solidFill>
                    <w14:schemeClr w14:val="tx1"/>
                  </w14:solidFill>
                </w14:textFill>
              </w:rPr>
              <w:t>Streptopelia</w:t>
            </w:r>
            <w:r>
              <w:rPr>
                <w:rFonts w:ascii="Times New Roman" w:eastAsia="等线"/>
                <w:i/>
                <w:iCs/>
                <w:color w:val="000000" w:themeColor="text1"/>
                <w:spacing w:val="-10"/>
                <w14:textFill>
                  <w14:solidFill>
                    <w14:schemeClr w14:val="tx1"/>
                  </w14:solidFill>
                </w14:textFill>
              </w:rPr>
              <w:t xml:space="preserve"> </w:t>
            </w:r>
            <w:r>
              <w:rPr>
                <w:rFonts w:ascii="Times New Roman" w:eastAsia="等线"/>
                <w:i/>
                <w:iCs/>
                <w:color w:val="000000" w:themeColor="text1"/>
                <w:spacing w:val="-2"/>
                <w14:textFill>
                  <w14:solidFill>
                    <w14:schemeClr w14:val="tx1"/>
                  </w14:solidFill>
                </w14:textFill>
              </w:rPr>
              <w:t>decaocta</w:t>
            </w:r>
          </w:p>
        </w:tc>
        <w:tc>
          <w:tcPr>
            <w:tcW w:w="1134" w:type="dxa"/>
            <w:vAlign w:val="center"/>
          </w:tcPr>
          <w:p w14:paraId="59F5DF13">
            <w:pPr>
              <w:pStyle w:val="278"/>
              <w:adjustRightInd w:val="0"/>
              <w:snapToGrid w:val="0"/>
              <w:spacing w:line="300" w:lineRule="exact"/>
              <w:rPr>
                <w:rFonts w:hint="eastAsia" w:ascii="Times New Roman" w:eastAsia="等线"/>
                <w:color w:val="000000" w:themeColor="text1"/>
                <w:sz w:val="22"/>
                <w:szCs w:val="22"/>
                <w14:textFill>
                  <w14:solidFill>
                    <w14:schemeClr w14:val="tx1"/>
                  </w14:solidFill>
                </w14:textFill>
              </w:rPr>
            </w:pPr>
          </w:p>
        </w:tc>
        <w:tc>
          <w:tcPr>
            <w:tcW w:w="829" w:type="dxa"/>
            <w:vAlign w:val="center"/>
          </w:tcPr>
          <w:p w14:paraId="487BCADF">
            <w:pPr>
              <w:pStyle w:val="278"/>
              <w:adjustRightInd w:val="0"/>
              <w:snapToGrid w:val="0"/>
              <w:spacing w:line="300" w:lineRule="exact"/>
              <w:rPr>
                <w:rFonts w:hint="eastAsia" w:ascii="Times New Roman" w:eastAsia="等线"/>
                <w:color w:val="000000" w:themeColor="text1"/>
                <w:spacing w:val="-5"/>
                <w14:textFill>
                  <w14:solidFill>
                    <w14:schemeClr w14:val="tx1"/>
                  </w14:solidFill>
                </w14:textFill>
              </w:rPr>
            </w:pPr>
            <w:r>
              <w:rPr>
                <w:rFonts w:ascii="Times New Roman" w:eastAsia="等线"/>
                <w:color w:val="000000" w:themeColor="text1"/>
                <w:spacing w:val="-5"/>
                <w14:textFill>
                  <w14:solidFill>
                    <w14:schemeClr w14:val="tx1"/>
                  </w14:solidFill>
                </w14:textFill>
              </w:rPr>
              <w:t>++</w:t>
            </w:r>
          </w:p>
        </w:tc>
      </w:tr>
      <w:tr w14:paraId="7570344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trPr>
        <w:tc>
          <w:tcPr>
            <w:tcW w:w="734" w:type="dxa"/>
            <w:vAlign w:val="center"/>
          </w:tcPr>
          <w:p w14:paraId="5C762A38">
            <w:pPr>
              <w:pStyle w:val="278"/>
              <w:adjustRightInd w:val="0"/>
              <w:snapToGrid w:val="0"/>
              <w:spacing w:line="300" w:lineRule="exact"/>
              <w:rPr>
                <w:rFonts w:hint="eastAsia"/>
                <w:color w:val="000000" w:themeColor="text1"/>
                <w14:textFill>
                  <w14:solidFill>
                    <w14:schemeClr w14:val="tx1"/>
                  </w14:solidFill>
                </w14:textFill>
              </w:rPr>
            </w:pPr>
            <w:r>
              <w:rPr>
                <w:color w:val="000000" w:themeColor="text1"/>
                <w14:textFill>
                  <w14:solidFill>
                    <w14:schemeClr w14:val="tx1"/>
                  </w14:solidFill>
                </w14:textFill>
              </w:rPr>
              <w:t>7</w:t>
            </w:r>
          </w:p>
        </w:tc>
        <w:tc>
          <w:tcPr>
            <w:tcW w:w="2028" w:type="dxa"/>
            <w:vAlign w:val="center"/>
          </w:tcPr>
          <w:p w14:paraId="3C3E917E">
            <w:pPr>
              <w:pStyle w:val="278"/>
              <w:adjustRightInd w:val="0"/>
              <w:snapToGrid w:val="0"/>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乌鸦</w:t>
            </w:r>
          </w:p>
        </w:tc>
        <w:tc>
          <w:tcPr>
            <w:tcW w:w="3807" w:type="dxa"/>
            <w:vAlign w:val="center"/>
          </w:tcPr>
          <w:p w14:paraId="47605EDF">
            <w:pPr>
              <w:pStyle w:val="278"/>
              <w:adjustRightInd w:val="0"/>
              <w:snapToGrid w:val="0"/>
              <w:spacing w:line="300" w:lineRule="exact"/>
              <w:rPr>
                <w:rFonts w:hint="eastAsia" w:ascii="Times New Roman" w:eastAsia="等线"/>
                <w:i/>
                <w:iCs/>
                <w:color w:val="000000" w:themeColor="text1"/>
                <w:spacing w:val="-4"/>
                <w14:textFill>
                  <w14:solidFill>
                    <w14:schemeClr w14:val="tx1"/>
                  </w14:solidFill>
                </w14:textFill>
              </w:rPr>
            </w:pPr>
            <w:r>
              <w:rPr>
                <w:rFonts w:ascii="Times New Roman" w:eastAsia="等线"/>
                <w:i/>
                <w:iCs/>
                <w:color w:val="000000" w:themeColor="text1"/>
                <w14:textFill>
                  <w14:solidFill>
                    <w14:schemeClr w14:val="tx1"/>
                  </w14:solidFill>
                </w14:textFill>
              </w:rPr>
              <w:t>Corvus</w:t>
            </w:r>
            <w:r>
              <w:rPr>
                <w:rFonts w:ascii="Times New Roman" w:eastAsia="等线"/>
                <w:i/>
                <w:iCs/>
                <w:color w:val="000000" w:themeColor="text1"/>
                <w:spacing w:val="-6"/>
                <w14:textFill>
                  <w14:solidFill>
                    <w14:schemeClr w14:val="tx1"/>
                  </w14:solidFill>
                </w14:textFill>
              </w:rPr>
              <w:t xml:space="preserve"> </w:t>
            </w:r>
            <w:r>
              <w:rPr>
                <w:rFonts w:ascii="Times New Roman" w:eastAsia="等线"/>
                <w:i/>
                <w:iCs/>
                <w:color w:val="000000" w:themeColor="text1"/>
                <w:spacing w:val="-4"/>
                <w14:textFill>
                  <w14:solidFill>
                    <w14:schemeClr w14:val="tx1"/>
                  </w14:solidFill>
                </w14:textFill>
              </w:rPr>
              <w:t>Spp.</w:t>
            </w:r>
          </w:p>
        </w:tc>
        <w:tc>
          <w:tcPr>
            <w:tcW w:w="1134" w:type="dxa"/>
            <w:vAlign w:val="center"/>
          </w:tcPr>
          <w:p w14:paraId="57247185">
            <w:pPr>
              <w:pStyle w:val="278"/>
              <w:adjustRightInd w:val="0"/>
              <w:snapToGrid w:val="0"/>
              <w:spacing w:line="300" w:lineRule="exact"/>
              <w:rPr>
                <w:rFonts w:hint="eastAsia" w:ascii="Times New Roman" w:eastAsia="等线"/>
                <w:color w:val="000000" w:themeColor="text1"/>
                <w:w w:val="99"/>
                <w14:textFill>
                  <w14:solidFill>
                    <w14:schemeClr w14:val="tx1"/>
                  </w14:solidFill>
                </w14:textFill>
              </w:rPr>
            </w:pPr>
            <w:r>
              <w:rPr>
                <w:rFonts w:ascii="Times New Roman" w:eastAsia="等线"/>
                <w:color w:val="000000" w:themeColor="text1"/>
                <w:w w:val="99"/>
                <w14:textFill>
                  <w14:solidFill>
                    <w14:schemeClr w14:val="tx1"/>
                  </w14:solidFill>
                </w14:textFill>
              </w:rPr>
              <w:t>+</w:t>
            </w:r>
          </w:p>
        </w:tc>
        <w:tc>
          <w:tcPr>
            <w:tcW w:w="829" w:type="dxa"/>
            <w:vAlign w:val="center"/>
          </w:tcPr>
          <w:p w14:paraId="2C23D35C">
            <w:pPr>
              <w:pStyle w:val="278"/>
              <w:adjustRightInd w:val="0"/>
              <w:snapToGrid w:val="0"/>
              <w:spacing w:line="300" w:lineRule="exact"/>
              <w:rPr>
                <w:rFonts w:hint="eastAsia" w:ascii="Times New Roman" w:eastAsia="等线"/>
                <w:color w:val="000000" w:themeColor="text1"/>
                <w:spacing w:val="-5"/>
                <w14:textFill>
                  <w14:solidFill>
                    <w14:schemeClr w14:val="tx1"/>
                  </w14:solidFill>
                </w14:textFill>
              </w:rPr>
            </w:pPr>
            <w:r>
              <w:rPr>
                <w:rFonts w:ascii="Times New Roman" w:eastAsia="等线"/>
                <w:color w:val="000000" w:themeColor="text1"/>
                <w:spacing w:val="-5"/>
                <w14:textFill>
                  <w14:solidFill>
                    <w14:schemeClr w14:val="tx1"/>
                  </w14:solidFill>
                </w14:textFill>
              </w:rPr>
              <w:t>++</w:t>
            </w:r>
          </w:p>
        </w:tc>
      </w:tr>
      <w:tr w14:paraId="72663CD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34" w:type="dxa"/>
            <w:vAlign w:val="center"/>
          </w:tcPr>
          <w:p w14:paraId="6C9383E7">
            <w:pPr>
              <w:pStyle w:val="278"/>
              <w:adjustRightInd w:val="0"/>
              <w:snapToGrid w:val="0"/>
              <w:spacing w:line="300" w:lineRule="exact"/>
              <w:rPr>
                <w:rFonts w:hint="eastAsia"/>
                <w:color w:val="000000" w:themeColor="text1"/>
                <w14:textFill>
                  <w14:solidFill>
                    <w14:schemeClr w14:val="tx1"/>
                  </w14:solidFill>
                </w14:textFill>
              </w:rPr>
            </w:pPr>
            <w:r>
              <w:rPr>
                <w:color w:val="000000" w:themeColor="text1"/>
                <w14:textFill>
                  <w14:solidFill>
                    <w14:schemeClr w14:val="tx1"/>
                  </w14:solidFill>
                </w14:textFill>
              </w:rPr>
              <w:t>8</w:t>
            </w:r>
          </w:p>
        </w:tc>
        <w:tc>
          <w:tcPr>
            <w:tcW w:w="2028" w:type="dxa"/>
            <w:vAlign w:val="center"/>
          </w:tcPr>
          <w:p w14:paraId="72382096">
            <w:pPr>
              <w:pStyle w:val="278"/>
              <w:adjustRightInd w:val="0"/>
              <w:snapToGrid w:val="0"/>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黑尾地鸦</w:t>
            </w:r>
          </w:p>
        </w:tc>
        <w:tc>
          <w:tcPr>
            <w:tcW w:w="3807" w:type="dxa"/>
            <w:vAlign w:val="center"/>
          </w:tcPr>
          <w:p w14:paraId="6E471B71">
            <w:pPr>
              <w:pStyle w:val="278"/>
              <w:adjustRightInd w:val="0"/>
              <w:snapToGrid w:val="0"/>
              <w:spacing w:line="300" w:lineRule="exact"/>
              <w:rPr>
                <w:rFonts w:hint="eastAsia" w:ascii="Times New Roman" w:eastAsia="等线"/>
                <w:i/>
                <w:iCs/>
                <w:color w:val="000000" w:themeColor="text1"/>
                <w:spacing w:val="-2"/>
                <w14:textFill>
                  <w14:solidFill>
                    <w14:schemeClr w14:val="tx1"/>
                  </w14:solidFill>
                </w14:textFill>
              </w:rPr>
            </w:pPr>
            <w:r>
              <w:rPr>
                <w:rFonts w:ascii="Times New Roman" w:eastAsia="等线"/>
                <w:i/>
                <w:iCs/>
                <w:color w:val="000000" w:themeColor="text1"/>
                <w14:textFill>
                  <w14:solidFill>
                    <w14:schemeClr w14:val="tx1"/>
                  </w14:solidFill>
                </w14:textFill>
              </w:rPr>
              <w:t>Podoces</w:t>
            </w:r>
            <w:r>
              <w:rPr>
                <w:rFonts w:ascii="Times New Roman" w:eastAsia="等线"/>
                <w:i/>
                <w:iCs/>
                <w:color w:val="000000" w:themeColor="text1"/>
                <w:spacing w:val="-8"/>
                <w14:textFill>
                  <w14:solidFill>
                    <w14:schemeClr w14:val="tx1"/>
                  </w14:solidFill>
                </w14:textFill>
              </w:rPr>
              <w:t xml:space="preserve"> </w:t>
            </w:r>
            <w:r>
              <w:rPr>
                <w:rFonts w:ascii="Times New Roman" w:eastAsia="等线"/>
                <w:i/>
                <w:iCs/>
                <w:color w:val="000000" w:themeColor="text1"/>
                <w:spacing w:val="-2"/>
                <w14:textFill>
                  <w14:solidFill>
                    <w14:schemeClr w14:val="tx1"/>
                  </w14:solidFill>
                </w14:textFill>
              </w:rPr>
              <w:t>hendersoni</w:t>
            </w:r>
          </w:p>
        </w:tc>
        <w:tc>
          <w:tcPr>
            <w:tcW w:w="1134" w:type="dxa"/>
            <w:vAlign w:val="center"/>
          </w:tcPr>
          <w:p w14:paraId="38F4AF1E">
            <w:pPr>
              <w:pStyle w:val="278"/>
              <w:adjustRightInd w:val="0"/>
              <w:snapToGrid w:val="0"/>
              <w:spacing w:line="300" w:lineRule="exact"/>
              <w:rPr>
                <w:rFonts w:hint="eastAsia" w:ascii="Times New Roman" w:eastAsia="等线"/>
                <w:color w:val="000000" w:themeColor="text1"/>
                <w:w w:val="99"/>
                <w14:textFill>
                  <w14:solidFill>
                    <w14:schemeClr w14:val="tx1"/>
                  </w14:solidFill>
                </w14:textFill>
              </w:rPr>
            </w:pPr>
            <w:r>
              <w:rPr>
                <w:rFonts w:ascii="Times New Roman" w:eastAsia="等线"/>
                <w:color w:val="000000" w:themeColor="text1"/>
                <w:w w:val="99"/>
                <w14:textFill>
                  <w14:solidFill>
                    <w14:schemeClr w14:val="tx1"/>
                  </w14:solidFill>
                </w14:textFill>
              </w:rPr>
              <w:t>+</w:t>
            </w:r>
          </w:p>
        </w:tc>
        <w:tc>
          <w:tcPr>
            <w:tcW w:w="829" w:type="dxa"/>
            <w:vAlign w:val="center"/>
          </w:tcPr>
          <w:p w14:paraId="1DEEEF7C">
            <w:pPr>
              <w:pStyle w:val="278"/>
              <w:adjustRightInd w:val="0"/>
              <w:snapToGrid w:val="0"/>
              <w:spacing w:line="300" w:lineRule="exact"/>
              <w:rPr>
                <w:rFonts w:hint="eastAsia" w:ascii="Times New Roman" w:eastAsia="等线"/>
                <w:color w:val="000000" w:themeColor="text1"/>
                <w:sz w:val="22"/>
                <w:szCs w:val="22"/>
                <w14:textFill>
                  <w14:solidFill>
                    <w14:schemeClr w14:val="tx1"/>
                  </w14:solidFill>
                </w14:textFill>
              </w:rPr>
            </w:pPr>
          </w:p>
        </w:tc>
      </w:tr>
      <w:tr w14:paraId="61B2288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532" w:type="dxa"/>
            <w:gridSpan w:val="5"/>
            <w:vAlign w:val="center"/>
          </w:tcPr>
          <w:p w14:paraId="5739DBCD">
            <w:pPr>
              <w:pStyle w:val="278"/>
              <w:adjustRightInd w:val="0"/>
              <w:snapToGrid w:val="0"/>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哺乳类</w:t>
            </w:r>
          </w:p>
        </w:tc>
      </w:tr>
      <w:tr w14:paraId="27A157E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34" w:type="dxa"/>
            <w:vAlign w:val="center"/>
          </w:tcPr>
          <w:p w14:paraId="0AC8BF53">
            <w:pPr>
              <w:pStyle w:val="278"/>
              <w:adjustRightInd w:val="0"/>
              <w:snapToGrid w:val="0"/>
              <w:spacing w:line="300" w:lineRule="exact"/>
              <w:rPr>
                <w:rFonts w:hint="eastAsia"/>
                <w:color w:val="000000" w:themeColor="text1"/>
                <w14:textFill>
                  <w14:solidFill>
                    <w14:schemeClr w14:val="tx1"/>
                  </w14:solidFill>
                </w14:textFill>
              </w:rPr>
            </w:pPr>
            <w:r>
              <w:rPr>
                <w:color w:val="000000" w:themeColor="text1"/>
                <w14:textFill>
                  <w14:solidFill>
                    <w14:schemeClr w14:val="tx1"/>
                  </w14:solidFill>
                </w14:textFill>
              </w:rPr>
              <w:t>9</w:t>
            </w:r>
          </w:p>
        </w:tc>
        <w:tc>
          <w:tcPr>
            <w:tcW w:w="2028" w:type="dxa"/>
            <w:vAlign w:val="center"/>
          </w:tcPr>
          <w:p w14:paraId="52607A30">
            <w:pPr>
              <w:pStyle w:val="278"/>
              <w:adjustRightInd w:val="0"/>
              <w:snapToGrid w:val="0"/>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小五趾跳鼠</w:t>
            </w:r>
          </w:p>
        </w:tc>
        <w:tc>
          <w:tcPr>
            <w:tcW w:w="3807" w:type="dxa"/>
            <w:vAlign w:val="center"/>
          </w:tcPr>
          <w:p w14:paraId="5A3C75A0">
            <w:pPr>
              <w:pStyle w:val="278"/>
              <w:adjustRightInd w:val="0"/>
              <w:snapToGrid w:val="0"/>
              <w:spacing w:line="300" w:lineRule="exact"/>
              <w:rPr>
                <w:rFonts w:hint="eastAsia" w:ascii="Times New Roman" w:eastAsia="等线"/>
                <w:i/>
                <w:iCs/>
                <w:color w:val="000000" w:themeColor="text1"/>
                <w:spacing w:val="-2"/>
                <w14:textFill>
                  <w14:solidFill>
                    <w14:schemeClr w14:val="tx1"/>
                  </w14:solidFill>
                </w14:textFill>
              </w:rPr>
            </w:pPr>
            <w:r>
              <w:rPr>
                <w:rFonts w:ascii="Times New Roman" w:eastAsia="等线"/>
                <w:i/>
                <w:iCs/>
                <w:color w:val="000000" w:themeColor="text1"/>
                <w14:textFill>
                  <w14:solidFill>
                    <w14:schemeClr w14:val="tx1"/>
                  </w14:solidFill>
                </w14:textFill>
              </w:rPr>
              <w:t>Allactage</w:t>
            </w:r>
            <w:r>
              <w:rPr>
                <w:rFonts w:ascii="Times New Roman" w:eastAsia="等线"/>
                <w:i/>
                <w:iCs/>
                <w:color w:val="000000" w:themeColor="text1"/>
                <w:spacing w:val="-9"/>
                <w14:textFill>
                  <w14:solidFill>
                    <w14:schemeClr w14:val="tx1"/>
                  </w14:solidFill>
                </w14:textFill>
              </w:rPr>
              <w:t xml:space="preserve"> </w:t>
            </w:r>
            <w:r>
              <w:rPr>
                <w:rFonts w:ascii="Times New Roman" w:eastAsia="等线"/>
                <w:i/>
                <w:iCs/>
                <w:color w:val="000000" w:themeColor="text1"/>
                <w:spacing w:val="-2"/>
                <w14:textFill>
                  <w14:solidFill>
                    <w14:schemeClr w14:val="tx1"/>
                  </w14:solidFill>
                </w14:textFill>
              </w:rPr>
              <w:t>elater</w:t>
            </w:r>
          </w:p>
        </w:tc>
        <w:tc>
          <w:tcPr>
            <w:tcW w:w="1134" w:type="dxa"/>
            <w:vAlign w:val="center"/>
          </w:tcPr>
          <w:p w14:paraId="5C79746F">
            <w:pPr>
              <w:pStyle w:val="278"/>
              <w:adjustRightInd w:val="0"/>
              <w:snapToGrid w:val="0"/>
              <w:spacing w:line="300" w:lineRule="exact"/>
              <w:rPr>
                <w:rFonts w:hint="eastAsia" w:ascii="Times New Roman" w:eastAsia="等线"/>
                <w:color w:val="000000" w:themeColor="text1"/>
                <w:w w:val="99"/>
                <w14:textFill>
                  <w14:solidFill>
                    <w14:schemeClr w14:val="tx1"/>
                  </w14:solidFill>
                </w14:textFill>
              </w:rPr>
            </w:pPr>
            <w:r>
              <w:rPr>
                <w:rFonts w:ascii="Times New Roman" w:eastAsia="等线"/>
                <w:color w:val="000000" w:themeColor="text1"/>
                <w:w w:val="99"/>
                <w14:textFill>
                  <w14:solidFill>
                    <w14:schemeClr w14:val="tx1"/>
                  </w14:solidFill>
                </w14:textFill>
              </w:rPr>
              <w:t>+</w:t>
            </w:r>
          </w:p>
        </w:tc>
        <w:tc>
          <w:tcPr>
            <w:tcW w:w="829" w:type="dxa"/>
            <w:vAlign w:val="center"/>
          </w:tcPr>
          <w:p w14:paraId="3A74A316">
            <w:pPr>
              <w:pStyle w:val="278"/>
              <w:adjustRightInd w:val="0"/>
              <w:snapToGrid w:val="0"/>
              <w:spacing w:line="300" w:lineRule="exact"/>
              <w:rPr>
                <w:rFonts w:hint="eastAsia" w:ascii="Times New Roman" w:eastAsia="等线"/>
                <w:color w:val="000000" w:themeColor="text1"/>
                <w:w w:val="99"/>
                <w14:textFill>
                  <w14:solidFill>
                    <w14:schemeClr w14:val="tx1"/>
                  </w14:solidFill>
                </w14:textFill>
              </w:rPr>
            </w:pPr>
            <w:r>
              <w:rPr>
                <w:rFonts w:ascii="Times New Roman" w:eastAsia="等线"/>
                <w:color w:val="000000" w:themeColor="text1"/>
                <w:w w:val="99"/>
                <w14:textFill>
                  <w14:solidFill>
                    <w14:schemeClr w14:val="tx1"/>
                  </w14:solidFill>
                </w14:textFill>
              </w:rPr>
              <w:t>+</w:t>
            </w:r>
          </w:p>
        </w:tc>
      </w:tr>
      <w:tr w14:paraId="649DEF0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34" w:type="dxa"/>
            <w:vAlign w:val="center"/>
          </w:tcPr>
          <w:p w14:paraId="73B57195">
            <w:pPr>
              <w:pStyle w:val="278"/>
              <w:adjustRightInd w:val="0"/>
              <w:snapToGrid w:val="0"/>
              <w:spacing w:line="300" w:lineRule="exact"/>
              <w:rPr>
                <w:rFonts w:hint="eastAsia"/>
                <w:color w:val="000000" w:themeColor="text1"/>
                <w14:textFill>
                  <w14:solidFill>
                    <w14:schemeClr w14:val="tx1"/>
                  </w14:solidFill>
                </w14:textFill>
              </w:rPr>
            </w:pPr>
            <w:r>
              <w:rPr>
                <w:color w:val="000000" w:themeColor="text1"/>
                <w14:textFill>
                  <w14:solidFill>
                    <w14:schemeClr w14:val="tx1"/>
                  </w14:solidFill>
                </w14:textFill>
              </w:rPr>
              <w:t>10</w:t>
            </w:r>
          </w:p>
        </w:tc>
        <w:tc>
          <w:tcPr>
            <w:tcW w:w="2028" w:type="dxa"/>
            <w:vAlign w:val="center"/>
          </w:tcPr>
          <w:p w14:paraId="12D36455">
            <w:pPr>
              <w:pStyle w:val="278"/>
              <w:adjustRightInd w:val="0"/>
              <w:snapToGrid w:val="0"/>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小家鼠</w:t>
            </w:r>
          </w:p>
        </w:tc>
        <w:tc>
          <w:tcPr>
            <w:tcW w:w="3807" w:type="dxa"/>
            <w:vAlign w:val="center"/>
          </w:tcPr>
          <w:p w14:paraId="52BCC674">
            <w:pPr>
              <w:pStyle w:val="278"/>
              <w:adjustRightInd w:val="0"/>
              <w:snapToGrid w:val="0"/>
              <w:spacing w:line="300" w:lineRule="exact"/>
              <w:rPr>
                <w:rFonts w:hint="eastAsia" w:ascii="Times New Roman" w:eastAsia="等线"/>
                <w:i/>
                <w:iCs/>
                <w:color w:val="000000" w:themeColor="text1"/>
                <w:spacing w:val="-2"/>
                <w14:textFill>
                  <w14:solidFill>
                    <w14:schemeClr w14:val="tx1"/>
                  </w14:solidFill>
                </w14:textFill>
              </w:rPr>
            </w:pPr>
            <w:r>
              <w:rPr>
                <w:rFonts w:ascii="Times New Roman" w:eastAsia="等线"/>
                <w:i/>
                <w:iCs/>
                <w:color w:val="000000" w:themeColor="text1"/>
                <w14:textFill>
                  <w14:solidFill>
                    <w14:schemeClr w14:val="tx1"/>
                  </w14:solidFill>
                </w14:textFill>
              </w:rPr>
              <w:t xml:space="preserve">Mus </w:t>
            </w:r>
            <w:r>
              <w:rPr>
                <w:rFonts w:ascii="Times New Roman" w:eastAsia="等线"/>
                <w:i/>
                <w:iCs/>
                <w:color w:val="000000" w:themeColor="text1"/>
                <w:spacing w:val="-2"/>
                <w14:textFill>
                  <w14:solidFill>
                    <w14:schemeClr w14:val="tx1"/>
                  </w14:solidFill>
                </w14:textFill>
              </w:rPr>
              <w:t>musculus</w:t>
            </w:r>
          </w:p>
        </w:tc>
        <w:tc>
          <w:tcPr>
            <w:tcW w:w="1134" w:type="dxa"/>
            <w:vAlign w:val="center"/>
          </w:tcPr>
          <w:p w14:paraId="2F16251C">
            <w:pPr>
              <w:pStyle w:val="278"/>
              <w:adjustRightInd w:val="0"/>
              <w:snapToGrid w:val="0"/>
              <w:spacing w:line="300" w:lineRule="exact"/>
              <w:rPr>
                <w:rFonts w:hint="eastAsia" w:ascii="Times New Roman" w:eastAsia="等线"/>
                <w:color w:val="000000" w:themeColor="text1"/>
                <w:w w:val="99"/>
                <w14:textFill>
                  <w14:solidFill>
                    <w14:schemeClr w14:val="tx1"/>
                  </w14:solidFill>
                </w14:textFill>
              </w:rPr>
            </w:pPr>
            <w:r>
              <w:rPr>
                <w:rFonts w:ascii="Times New Roman" w:eastAsia="等线"/>
                <w:color w:val="000000" w:themeColor="text1"/>
                <w:w w:val="99"/>
                <w14:textFill>
                  <w14:solidFill>
                    <w14:schemeClr w14:val="tx1"/>
                  </w14:solidFill>
                </w14:textFill>
              </w:rPr>
              <w:t>+</w:t>
            </w:r>
          </w:p>
        </w:tc>
        <w:tc>
          <w:tcPr>
            <w:tcW w:w="829" w:type="dxa"/>
            <w:vAlign w:val="center"/>
          </w:tcPr>
          <w:p w14:paraId="7F9A7C42">
            <w:pPr>
              <w:pStyle w:val="278"/>
              <w:adjustRightInd w:val="0"/>
              <w:snapToGrid w:val="0"/>
              <w:spacing w:line="300" w:lineRule="exact"/>
              <w:rPr>
                <w:rFonts w:hint="eastAsia" w:ascii="Times New Roman" w:eastAsia="等线"/>
                <w:color w:val="000000" w:themeColor="text1"/>
                <w:spacing w:val="-5"/>
                <w14:textFill>
                  <w14:solidFill>
                    <w14:schemeClr w14:val="tx1"/>
                  </w14:solidFill>
                </w14:textFill>
              </w:rPr>
            </w:pPr>
            <w:r>
              <w:rPr>
                <w:rFonts w:ascii="Times New Roman" w:eastAsia="等线"/>
                <w:color w:val="000000" w:themeColor="text1"/>
                <w:spacing w:val="-5"/>
                <w14:textFill>
                  <w14:solidFill>
                    <w14:schemeClr w14:val="tx1"/>
                  </w14:solidFill>
                </w14:textFill>
              </w:rPr>
              <w:t>++</w:t>
            </w:r>
          </w:p>
        </w:tc>
      </w:tr>
      <w:tr w14:paraId="0C139A6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34" w:type="dxa"/>
            <w:vAlign w:val="center"/>
          </w:tcPr>
          <w:p w14:paraId="19E8C853">
            <w:pPr>
              <w:pStyle w:val="278"/>
              <w:adjustRightInd w:val="0"/>
              <w:snapToGrid w:val="0"/>
              <w:spacing w:line="300" w:lineRule="exact"/>
              <w:rPr>
                <w:rFonts w:hint="eastAsia"/>
                <w:color w:val="000000" w:themeColor="text1"/>
                <w14:textFill>
                  <w14:solidFill>
                    <w14:schemeClr w14:val="tx1"/>
                  </w14:solidFill>
                </w14:textFill>
              </w:rPr>
            </w:pPr>
            <w:r>
              <w:rPr>
                <w:color w:val="000000" w:themeColor="text1"/>
                <w14:textFill>
                  <w14:solidFill>
                    <w14:schemeClr w14:val="tx1"/>
                  </w14:solidFill>
                </w14:textFill>
              </w:rPr>
              <w:t>11</w:t>
            </w:r>
          </w:p>
        </w:tc>
        <w:tc>
          <w:tcPr>
            <w:tcW w:w="2028" w:type="dxa"/>
            <w:vAlign w:val="center"/>
          </w:tcPr>
          <w:p w14:paraId="1259E2A2">
            <w:pPr>
              <w:pStyle w:val="278"/>
              <w:adjustRightInd w:val="0"/>
              <w:snapToGrid w:val="0"/>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毛脚跳鼠</w:t>
            </w:r>
          </w:p>
        </w:tc>
        <w:tc>
          <w:tcPr>
            <w:tcW w:w="3807" w:type="dxa"/>
            <w:vAlign w:val="center"/>
          </w:tcPr>
          <w:p w14:paraId="1D582976">
            <w:pPr>
              <w:pStyle w:val="278"/>
              <w:adjustRightInd w:val="0"/>
              <w:snapToGrid w:val="0"/>
              <w:spacing w:line="300" w:lineRule="exact"/>
              <w:rPr>
                <w:rFonts w:hint="eastAsia" w:ascii="Times New Roman" w:eastAsia="等线"/>
                <w:i/>
                <w:iCs/>
                <w:color w:val="000000" w:themeColor="text1"/>
                <w:spacing w:val="-2"/>
                <w14:textFill>
                  <w14:solidFill>
                    <w14:schemeClr w14:val="tx1"/>
                  </w14:solidFill>
                </w14:textFill>
              </w:rPr>
            </w:pPr>
            <w:r>
              <w:rPr>
                <w:rFonts w:ascii="Times New Roman" w:eastAsia="等线"/>
                <w:i/>
                <w:iCs/>
                <w:color w:val="000000" w:themeColor="text1"/>
                <w14:textFill>
                  <w14:solidFill>
                    <w14:schemeClr w14:val="tx1"/>
                  </w14:solidFill>
                </w14:textFill>
              </w:rPr>
              <w:t>Dipus</w:t>
            </w:r>
            <w:r>
              <w:rPr>
                <w:rFonts w:ascii="Times New Roman" w:eastAsia="等线"/>
                <w:i/>
                <w:iCs/>
                <w:color w:val="000000" w:themeColor="text1"/>
                <w:spacing w:val="-5"/>
                <w14:textFill>
                  <w14:solidFill>
                    <w14:schemeClr w14:val="tx1"/>
                  </w14:solidFill>
                </w14:textFill>
              </w:rPr>
              <w:t xml:space="preserve"> </w:t>
            </w:r>
            <w:r>
              <w:rPr>
                <w:rFonts w:ascii="Times New Roman" w:eastAsia="等线"/>
                <w:i/>
                <w:iCs/>
                <w:color w:val="000000" w:themeColor="text1"/>
                <w:spacing w:val="-2"/>
                <w14:textFill>
                  <w14:solidFill>
                    <w14:schemeClr w14:val="tx1"/>
                  </w14:solidFill>
                </w14:textFill>
              </w:rPr>
              <w:t>sagitta</w:t>
            </w:r>
          </w:p>
        </w:tc>
        <w:tc>
          <w:tcPr>
            <w:tcW w:w="1134" w:type="dxa"/>
            <w:vAlign w:val="center"/>
          </w:tcPr>
          <w:p w14:paraId="5A3B47B7">
            <w:pPr>
              <w:pStyle w:val="278"/>
              <w:adjustRightInd w:val="0"/>
              <w:snapToGrid w:val="0"/>
              <w:spacing w:line="300" w:lineRule="exact"/>
              <w:rPr>
                <w:rFonts w:hint="eastAsia" w:ascii="Times New Roman" w:eastAsia="等线"/>
                <w:color w:val="000000" w:themeColor="text1"/>
                <w:w w:val="99"/>
                <w14:textFill>
                  <w14:solidFill>
                    <w14:schemeClr w14:val="tx1"/>
                  </w14:solidFill>
                </w14:textFill>
              </w:rPr>
            </w:pPr>
            <w:r>
              <w:rPr>
                <w:rFonts w:ascii="Times New Roman" w:eastAsia="等线"/>
                <w:color w:val="000000" w:themeColor="text1"/>
                <w:w w:val="99"/>
                <w14:textFill>
                  <w14:solidFill>
                    <w14:schemeClr w14:val="tx1"/>
                  </w14:solidFill>
                </w14:textFill>
              </w:rPr>
              <w:t>+</w:t>
            </w:r>
          </w:p>
        </w:tc>
        <w:tc>
          <w:tcPr>
            <w:tcW w:w="829" w:type="dxa"/>
            <w:vAlign w:val="center"/>
          </w:tcPr>
          <w:p w14:paraId="2F3B2BFF">
            <w:pPr>
              <w:pStyle w:val="278"/>
              <w:adjustRightInd w:val="0"/>
              <w:snapToGrid w:val="0"/>
              <w:spacing w:line="300" w:lineRule="exact"/>
              <w:rPr>
                <w:rFonts w:hint="eastAsia" w:ascii="Times New Roman" w:eastAsia="等线"/>
                <w:color w:val="000000" w:themeColor="text1"/>
                <w:w w:val="99"/>
                <w14:textFill>
                  <w14:solidFill>
                    <w14:schemeClr w14:val="tx1"/>
                  </w14:solidFill>
                </w14:textFill>
              </w:rPr>
            </w:pPr>
            <w:r>
              <w:rPr>
                <w:rFonts w:ascii="Times New Roman" w:eastAsia="等线"/>
                <w:color w:val="000000" w:themeColor="text1"/>
                <w:w w:val="99"/>
                <w14:textFill>
                  <w14:solidFill>
                    <w14:schemeClr w14:val="tx1"/>
                  </w14:solidFill>
                </w14:textFill>
              </w:rPr>
              <w:t>-</w:t>
            </w:r>
          </w:p>
        </w:tc>
      </w:tr>
      <w:tr w14:paraId="20ED5FC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34" w:type="dxa"/>
            <w:vAlign w:val="center"/>
          </w:tcPr>
          <w:p w14:paraId="6717F155">
            <w:pPr>
              <w:pStyle w:val="278"/>
              <w:adjustRightInd w:val="0"/>
              <w:snapToGrid w:val="0"/>
              <w:spacing w:line="300" w:lineRule="exact"/>
              <w:rPr>
                <w:rFonts w:hint="eastAsia"/>
                <w:color w:val="000000" w:themeColor="text1"/>
                <w14:textFill>
                  <w14:solidFill>
                    <w14:schemeClr w14:val="tx1"/>
                  </w14:solidFill>
                </w14:textFill>
              </w:rPr>
            </w:pPr>
            <w:r>
              <w:rPr>
                <w:color w:val="000000" w:themeColor="text1"/>
                <w14:textFill>
                  <w14:solidFill>
                    <w14:schemeClr w14:val="tx1"/>
                  </w14:solidFill>
                </w14:textFill>
              </w:rPr>
              <w:t>12</w:t>
            </w:r>
          </w:p>
        </w:tc>
        <w:tc>
          <w:tcPr>
            <w:tcW w:w="2028" w:type="dxa"/>
            <w:vAlign w:val="center"/>
          </w:tcPr>
          <w:p w14:paraId="1C922A64">
            <w:pPr>
              <w:pStyle w:val="278"/>
              <w:adjustRightInd w:val="0"/>
              <w:snapToGrid w:val="0"/>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大沙鼠</w:t>
            </w:r>
          </w:p>
        </w:tc>
        <w:tc>
          <w:tcPr>
            <w:tcW w:w="3807" w:type="dxa"/>
            <w:vAlign w:val="center"/>
          </w:tcPr>
          <w:p w14:paraId="2E70F002">
            <w:pPr>
              <w:pStyle w:val="278"/>
              <w:adjustRightInd w:val="0"/>
              <w:snapToGrid w:val="0"/>
              <w:spacing w:line="300" w:lineRule="exact"/>
              <w:rPr>
                <w:rFonts w:hint="eastAsia" w:ascii="Times New Roman" w:eastAsia="等线"/>
                <w:i/>
                <w:iCs/>
                <w:color w:val="000000" w:themeColor="text1"/>
                <w:spacing w:val="-2"/>
                <w14:textFill>
                  <w14:solidFill>
                    <w14:schemeClr w14:val="tx1"/>
                  </w14:solidFill>
                </w14:textFill>
              </w:rPr>
            </w:pPr>
            <w:r>
              <w:rPr>
                <w:rFonts w:ascii="Times New Roman" w:eastAsia="等线"/>
                <w:i/>
                <w:iCs/>
                <w:color w:val="000000" w:themeColor="text1"/>
                <w14:textFill>
                  <w14:solidFill>
                    <w14:schemeClr w14:val="tx1"/>
                  </w14:solidFill>
                </w14:textFill>
              </w:rPr>
              <w:t>Rhombomys</w:t>
            </w:r>
            <w:r>
              <w:rPr>
                <w:rFonts w:ascii="Times New Roman" w:eastAsia="等线"/>
                <w:i/>
                <w:iCs/>
                <w:color w:val="000000" w:themeColor="text1"/>
                <w:spacing w:val="-8"/>
                <w14:textFill>
                  <w14:solidFill>
                    <w14:schemeClr w14:val="tx1"/>
                  </w14:solidFill>
                </w14:textFill>
              </w:rPr>
              <w:t xml:space="preserve"> </w:t>
            </w:r>
            <w:r>
              <w:rPr>
                <w:rFonts w:ascii="Times New Roman" w:eastAsia="等线"/>
                <w:i/>
                <w:iCs/>
                <w:color w:val="000000" w:themeColor="text1"/>
                <w:spacing w:val="-2"/>
                <w14:textFill>
                  <w14:solidFill>
                    <w14:schemeClr w14:val="tx1"/>
                  </w14:solidFill>
                </w14:textFill>
              </w:rPr>
              <w:t>opimus</w:t>
            </w:r>
          </w:p>
        </w:tc>
        <w:tc>
          <w:tcPr>
            <w:tcW w:w="1134" w:type="dxa"/>
            <w:vAlign w:val="center"/>
          </w:tcPr>
          <w:p w14:paraId="3DB4409D">
            <w:pPr>
              <w:pStyle w:val="278"/>
              <w:adjustRightInd w:val="0"/>
              <w:snapToGrid w:val="0"/>
              <w:spacing w:line="300" w:lineRule="exact"/>
              <w:rPr>
                <w:rFonts w:hint="eastAsia" w:ascii="Times New Roman" w:eastAsia="等线"/>
                <w:color w:val="000000" w:themeColor="text1"/>
                <w:w w:val="99"/>
                <w14:textFill>
                  <w14:solidFill>
                    <w14:schemeClr w14:val="tx1"/>
                  </w14:solidFill>
                </w14:textFill>
              </w:rPr>
            </w:pPr>
            <w:r>
              <w:rPr>
                <w:rFonts w:ascii="Times New Roman" w:eastAsia="等线"/>
                <w:color w:val="000000" w:themeColor="text1"/>
                <w:w w:val="99"/>
                <w14:textFill>
                  <w14:solidFill>
                    <w14:schemeClr w14:val="tx1"/>
                  </w14:solidFill>
                </w14:textFill>
              </w:rPr>
              <w:t>+</w:t>
            </w:r>
          </w:p>
        </w:tc>
        <w:tc>
          <w:tcPr>
            <w:tcW w:w="829" w:type="dxa"/>
            <w:vAlign w:val="center"/>
          </w:tcPr>
          <w:p w14:paraId="471F903D">
            <w:pPr>
              <w:pStyle w:val="278"/>
              <w:adjustRightInd w:val="0"/>
              <w:snapToGrid w:val="0"/>
              <w:spacing w:line="300" w:lineRule="exact"/>
              <w:rPr>
                <w:rFonts w:hint="eastAsia" w:ascii="Times New Roman" w:eastAsia="等线"/>
                <w:color w:val="000000" w:themeColor="text1"/>
                <w:w w:val="99"/>
                <w14:textFill>
                  <w14:solidFill>
                    <w14:schemeClr w14:val="tx1"/>
                  </w14:solidFill>
                </w14:textFill>
              </w:rPr>
            </w:pPr>
            <w:r>
              <w:rPr>
                <w:rFonts w:ascii="Times New Roman" w:eastAsia="等线"/>
                <w:color w:val="000000" w:themeColor="text1"/>
                <w:w w:val="99"/>
                <w14:textFill>
                  <w14:solidFill>
                    <w14:schemeClr w14:val="tx1"/>
                  </w14:solidFill>
                </w14:textFill>
              </w:rPr>
              <w:t>-</w:t>
            </w:r>
          </w:p>
        </w:tc>
      </w:tr>
      <w:tr w14:paraId="2A958AD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34" w:type="dxa"/>
            <w:vAlign w:val="center"/>
          </w:tcPr>
          <w:p w14:paraId="4D7F6905">
            <w:pPr>
              <w:pStyle w:val="278"/>
              <w:adjustRightInd w:val="0"/>
              <w:snapToGrid w:val="0"/>
              <w:spacing w:line="300" w:lineRule="exact"/>
              <w:rPr>
                <w:rFonts w:hint="eastAsia"/>
                <w:color w:val="000000" w:themeColor="text1"/>
                <w14:textFill>
                  <w14:solidFill>
                    <w14:schemeClr w14:val="tx1"/>
                  </w14:solidFill>
                </w14:textFill>
              </w:rPr>
            </w:pPr>
            <w:r>
              <w:rPr>
                <w:color w:val="000000" w:themeColor="text1"/>
                <w14:textFill>
                  <w14:solidFill>
                    <w14:schemeClr w14:val="tx1"/>
                  </w14:solidFill>
                </w14:textFill>
              </w:rPr>
              <w:t>13</w:t>
            </w:r>
          </w:p>
        </w:tc>
        <w:tc>
          <w:tcPr>
            <w:tcW w:w="2028" w:type="dxa"/>
            <w:vAlign w:val="center"/>
          </w:tcPr>
          <w:p w14:paraId="2BECD2F6">
            <w:pPr>
              <w:pStyle w:val="278"/>
              <w:adjustRightInd w:val="0"/>
              <w:snapToGrid w:val="0"/>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子午沙鼠</w:t>
            </w:r>
          </w:p>
        </w:tc>
        <w:tc>
          <w:tcPr>
            <w:tcW w:w="3807" w:type="dxa"/>
            <w:vAlign w:val="center"/>
          </w:tcPr>
          <w:p w14:paraId="376601A8">
            <w:pPr>
              <w:pStyle w:val="278"/>
              <w:adjustRightInd w:val="0"/>
              <w:snapToGrid w:val="0"/>
              <w:spacing w:line="300" w:lineRule="exact"/>
              <w:rPr>
                <w:rFonts w:hint="eastAsia" w:ascii="Times New Roman" w:eastAsia="等线"/>
                <w:i/>
                <w:iCs/>
                <w:color w:val="000000" w:themeColor="text1"/>
                <w:spacing w:val="-2"/>
                <w14:textFill>
                  <w14:solidFill>
                    <w14:schemeClr w14:val="tx1"/>
                  </w14:solidFill>
                </w14:textFill>
              </w:rPr>
            </w:pPr>
            <w:r>
              <w:rPr>
                <w:rFonts w:ascii="Times New Roman" w:eastAsia="等线"/>
                <w:i/>
                <w:iCs/>
                <w:color w:val="000000" w:themeColor="text1"/>
                <w14:textFill>
                  <w14:solidFill>
                    <w14:schemeClr w14:val="tx1"/>
                  </w14:solidFill>
                </w14:textFill>
              </w:rPr>
              <w:t>Meriones</w:t>
            </w:r>
            <w:r>
              <w:rPr>
                <w:rFonts w:ascii="Times New Roman" w:eastAsia="等线"/>
                <w:i/>
                <w:iCs/>
                <w:color w:val="000000" w:themeColor="text1"/>
                <w:spacing w:val="-9"/>
                <w14:textFill>
                  <w14:solidFill>
                    <w14:schemeClr w14:val="tx1"/>
                  </w14:solidFill>
                </w14:textFill>
              </w:rPr>
              <w:t xml:space="preserve"> </w:t>
            </w:r>
            <w:r>
              <w:rPr>
                <w:rFonts w:ascii="Times New Roman" w:eastAsia="等线"/>
                <w:i/>
                <w:iCs/>
                <w:color w:val="000000" w:themeColor="text1"/>
                <w:spacing w:val="-2"/>
                <w14:textFill>
                  <w14:solidFill>
                    <w14:schemeClr w14:val="tx1"/>
                  </w14:solidFill>
                </w14:textFill>
              </w:rPr>
              <w:t>meridianus</w:t>
            </w:r>
          </w:p>
        </w:tc>
        <w:tc>
          <w:tcPr>
            <w:tcW w:w="1134" w:type="dxa"/>
            <w:vAlign w:val="center"/>
          </w:tcPr>
          <w:p w14:paraId="5F5A5F26">
            <w:pPr>
              <w:pStyle w:val="278"/>
              <w:adjustRightInd w:val="0"/>
              <w:snapToGrid w:val="0"/>
              <w:spacing w:line="300" w:lineRule="exact"/>
              <w:rPr>
                <w:rFonts w:hint="eastAsia" w:ascii="Times New Roman" w:eastAsia="等线"/>
                <w:color w:val="000000" w:themeColor="text1"/>
                <w:w w:val="99"/>
                <w14:textFill>
                  <w14:solidFill>
                    <w14:schemeClr w14:val="tx1"/>
                  </w14:solidFill>
                </w14:textFill>
              </w:rPr>
            </w:pPr>
            <w:r>
              <w:rPr>
                <w:rFonts w:ascii="Times New Roman" w:eastAsia="等线"/>
                <w:color w:val="000000" w:themeColor="text1"/>
                <w:w w:val="99"/>
                <w14:textFill>
                  <w14:solidFill>
                    <w14:schemeClr w14:val="tx1"/>
                  </w14:solidFill>
                </w14:textFill>
              </w:rPr>
              <w:t>+</w:t>
            </w:r>
          </w:p>
        </w:tc>
        <w:tc>
          <w:tcPr>
            <w:tcW w:w="829" w:type="dxa"/>
            <w:vAlign w:val="center"/>
          </w:tcPr>
          <w:p w14:paraId="29011BD5">
            <w:pPr>
              <w:pStyle w:val="278"/>
              <w:adjustRightInd w:val="0"/>
              <w:snapToGrid w:val="0"/>
              <w:spacing w:line="300" w:lineRule="exact"/>
              <w:rPr>
                <w:rFonts w:hint="eastAsia" w:ascii="Times New Roman" w:eastAsia="等线"/>
                <w:color w:val="000000" w:themeColor="text1"/>
                <w:w w:val="99"/>
                <w14:textFill>
                  <w14:solidFill>
                    <w14:schemeClr w14:val="tx1"/>
                  </w14:solidFill>
                </w14:textFill>
              </w:rPr>
            </w:pPr>
            <w:r>
              <w:rPr>
                <w:rFonts w:ascii="Times New Roman" w:eastAsia="等线"/>
                <w:color w:val="000000" w:themeColor="text1"/>
                <w:w w:val="99"/>
                <w14:textFill>
                  <w14:solidFill>
                    <w14:schemeClr w14:val="tx1"/>
                  </w14:solidFill>
                </w14:textFill>
              </w:rPr>
              <w:t>-</w:t>
            </w:r>
          </w:p>
        </w:tc>
      </w:tr>
    </w:tbl>
    <w:p w14:paraId="45FCAA2E">
      <w:pPr>
        <w:spacing w:line="300" w:lineRule="atLeast"/>
        <w:ind w:firstLine="422"/>
        <w:jc w:val="left"/>
        <w:rPr>
          <w:rFonts w:hint="eastAsia" w:ascii="宋体" w:hAnsi="宋体"/>
          <w:b/>
          <w:color w:val="000000" w:themeColor="text1"/>
          <w:kern w:val="0"/>
          <w:sz w:val="20"/>
          <w:szCs w:val="21"/>
          <w14:textFill>
            <w14:solidFill>
              <w14:schemeClr w14:val="tx1"/>
            </w14:solidFill>
          </w14:textFill>
        </w:rPr>
      </w:pPr>
      <w:r>
        <w:rPr>
          <w:rFonts w:hint="eastAsia" w:ascii="宋体" w:hAnsi="宋体"/>
          <w:b/>
          <w:color w:val="000000" w:themeColor="text1"/>
          <w:kern w:val="0"/>
          <w:sz w:val="20"/>
          <w:szCs w:val="21"/>
          <w14:textFill>
            <w14:solidFill>
              <w14:schemeClr w14:val="tx1"/>
            </w14:solidFill>
          </w14:textFill>
        </w:rPr>
        <w:t>注：</w:t>
      </w:r>
      <w:r>
        <w:rPr>
          <w:rFonts w:ascii="宋体" w:hAnsi="宋体"/>
          <w:b/>
          <w:color w:val="000000" w:themeColor="text1"/>
          <w:kern w:val="0"/>
          <w:sz w:val="20"/>
          <w:szCs w:val="21"/>
          <w14:textFill>
            <w14:solidFill>
              <w14:schemeClr w14:val="tx1"/>
            </w14:solidFill>
          </w14:textFill>
        </w:rPr>
        <w:t>“</w:t>
      </w:r>
      <w:r>
        <w:rPr>
          <w:rFonts w:hint="eastAsia" w:ascii="宋体" w:hAnsi="宋体"/>
          <w:b/>
          <w:color w:val="000000" w:themeColor="text1"/>
          <w:kern w:val="0"/>
          <w:sz w:val="20"/>
          <w:szCs w:val="21"/>
          <w14:textFill>
            <w14:solidFill>
              <w14:schemeClr w14:val="tx1"/>
            </w14:solidFill>
          </w14:textFill>
        </w:rPr>
        <w:t>＋</w:t>
      </w:r>
      <w:r>
        <w:rPr>
          <w:rFonts w:ascii="宋体" w:hAnsi="宋体"/>
          <w:b/>
          <w:color w:val="000000" w:themeColor="text1"/>
          <w:kern w:val="0"/>
          <w:sz w:val="20"/>
          <w:szCs w:val="21"/>
          <w14:textFill>
            <w14:solidFill>
              <w14:schemeClr w14:val="tx1"/>
            </w14:solidFill>
          </w14:textFill>
        </w:rPr>
        <w:t>”</w:t>
      </w:r>
      <w:r>
        <w:rPr>
          <w:rFonts w:hint="eastAsia" w:ascii="宋体" w:hAnsi="宋体"/>
          <w:b/>
          <w:color w:val="000000" w:themeColor="text1"/>
          <w:kern w:val="0"/>
          <w:sz w:val="20"/>
          <w:szCs w:val="21"/>
          <w14:textFill>
            <w14:solidFill>
              <w14:schemeClr w14:val="tx1"/>
            </w14:solidFill>
          </w14:textFill>
        </w:rPr>
        <w:t>常见种；</w:t>
      </w:r>
      <w:r>
        <w:rPr>
          <w:rFonts w:ascii="宋体" w:hAnsi="宋体"/>
          <w:b/>
          <w:color w:val="000000" w:themeColor="text1"/>
          <w:kern w:val="0"/>
          <w:sz w:val="20"/>
          <w:szCs w:val="21"/>
          <w14:textFill>
            <w14:solidFill>
              <w14:schemeClr w14:val="tx1"/>
            </w14:solidFill>
          </w14:textFill>
        </w:rPr>
        <w:t>“</w:t>
      </w:r>
      <w:r>
        <w:rPr>
          <w:rFonts w:hint="eastAsia" w:ascii="宋体" w:hAnsi="宋体"/>
          <w:b/>
          <w:color w:val="000000" w:themeColor="text1"/>
          <w:kern w:val="0"/>
          <w:sz w:val="20"/>
          <w:szCs w:val="21"/>
          <w14:textFill>
            <w14:solidFill>
              <w14:schemeClr w14:val="tx1"/>
            </w14:solidFill>
          </w14:textFill>
        </w:rPr>
        <w:t>－</w:t>
      </w:r>
      <w:r>
        <w:rPr>
          <w:rFonts w:ascii="宋体" w:hAnsi="宋体"/>
          <w:b/>
          <w:color w:val="000000" w:themeColor="text1"/>
          <w:kern w:val="0"/>
          <w:sz w:val="20"/>
          <w:szCs w:val="21"/>
          <w14:textFill>
            <w14:solidFill>
              <w14:schemeClr w14:val="tx1"/>
            </w14:solidFill>
          </w14:textFill>
        </w:rPr>
        <w:t>”</w:t>
      </w:r>
      <w:r>
        <w:rPr>
          <w:rFonts w:hint="eastAsia" w:ascii="宋体" w:hAnsi="宋体"/>
          <w:b/>
          <w:color w:val="000000" w:themeColor="text1"/>
          <w:kern w:val="0"/>
          <w:sz w:val="20"/>
          <w:szCs w:val="21"/>
          <w14:textFill>
            <w14:solidFill>
              <w14:schemeClr w14:val="tx1"/>
            </w14:solidFill>
          </w14:textFill>
        </w:rPr>
        <w:t>偶见种。</w:t>
      </w:r>
    </w:p>
    <w:bookmarkEnd w:id="477"/>
    <w:bookmarkEnd w:id="482"/>
    <w:bookmarkEnd w:id="484"/>
    <w:bookmarkEnd w:id="485"/>
    <w:p w14:paraId="09199083">
      <w:pPr>
        <w:pStyle w:val="4"/>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区域沙化土地现状</w:t>
      </w:r>
    </w:p>
    <w:p w14:paraId="34C9B759">
      <w:pPr>
        <w:pStyle w:val="191"/>
        <w:ind w:firstLine="480"/>
        <w:rPr>
          <w:rFonts w:hint="eastAsia"/>
          <w:color w:val="000000" w:themeColor="text1"/>
          <w14:textFill>
            <w14:solidFill>
              <w14:schemeClr w14:val="tx1"/>
            </w14:solidFill>
          </w14:textFill>
        </w:rPr>
      </w:pPr>
      <w:bookmarkStart w:id="488" w:name="_Hlk80874981"/>
      <w:r>
        <w:rPr>
          <w:rFonts w:hint="eastAsia"/>
          <w:color w:val="000000" w:themeColor="text1"/>
          <w14:textFill>
            <w14:solidFill>
              <w14:schemeClr w14:val="tx1"/>
            </w14:solidFill>
          </w14:textFill>
        </w:rPr>
        <w:t>本项目位于吉木萨尔县，根据</w:t>
      </w:r>
      <w:r>
        <w:rPr>
          <w:color w:val="000000" w:themeColor="text1"/>
          <w14:textFill>
            <w14:solidFill>
              <w14:schemeClr w14:val="tx1"/>
            </w14:solidFill>
          </w14:textFill>
        </w:rPr>
        <w:t>《新疆第</w:t>
      </w:r>
      <w:r>
        <w:rPr>
          <w:rFonts w:hint="eastAsia"/>
          <w:color w:val="000000" w:themeColor="text1"/>
          <w14:textFill>
            <w14:solidFill>
              <w14:schemeClr w14:val="tx1"/>
            </w14:solidFill>
          </w14:textFill>
        </w:rPr>
        <w:t>六</w:t>
      </w:r>
      <w:r>
        <w:rPr>
          <w:color w:val="000000" w:themeColor="text1"/>
          <w14:textFill>
            <w14:solidFill>
              <w14:schemeClr w14:val="tx1"/>
            </w14:solidFill>
          </w14:textFill>
        </w:rPr>
        <w:t>次沙化监测报告（20</w:t>
      </w:r>
      <w:r>
        <w:rPr>
          <w:rFonts w:hint="eastAsia"/>
          <w:color w:val="000000" w:themeColor="text1"/>
          <w14:textFill>
            <w14:solidFill>
              <w14:schemeClr w14:val="tx1"/>
            </w14:solidFill>
          </w14:textFill>
        </w:rPr>
        <w:t>21</w:t>
      </w:r>
      <w:r>
        <w:rPr>
          <w:color w:val="000000" w:themeColor="text1"/>
          <w14:textFill>
            <w14:solidFill>
              <w14:schemeClr w14:val="tx1"/>
            </w14:solidFill>
          </w14:textFill>
        </w:rPr>
        <w:t>年）》</w:t>
      </w:r>
      <w:r>
        <w:rPr>
          <w:rFonts w:hint="eastAsia"/>
          <w:color w:val="000000" w:themeColor="text1"/>
          <w14:textFill>
            <w14:solidFill>
              <w14:schemeClr w14:val="tx1"/>
            </w14:solidFill>
          </w14:textFill>
        </w:rPr>
        <w:t>可知，项目区为非沙化土地，详见图4.3-7。</w:t>
      </w:r>
    </w:p>
    <w:p w14:paraId="398BAF4B">
      <w:pPr>
        <w:pStyle w:val="191"/>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土地沙化形成的自然因素主要为气候干旱、降水稀少，多风的动力条件是沙化土地发生发展的主要自然营力，丰富的沙物质是发生土地沙化的物质基础。人口快速增长，盲目开垦土地，过度放牧，过度樵采和不合理的水资源利用等是土地沙化的人为因素。本项目所在区域的土地沙化形成的主要原因多为自然因素。</w:t>
      </w:r>
    </w:p>
    <w:p w14:paraId="6E4B2E9C">
      <w:pPr>
        <w:pStyle w:val="4"/>
        <w:rPr>
          <w:rFonts w:hint="eastAsia"/>
          <w:color w:val="000000" w:themeColor="text1"/>
          <w14:textFill>
            <w14:solidFill>
              <w14:schemeClr w14:val="tx1"/>
            </w14:solidFill>
          </w14:textFill>
        </w:rPr>
      </w:pPr>
      <w:bookmarkStart w:id="489" w:name="OLE_LINK159"/>
      <w:r>
        <w:rPr>
          <w:rFonts w:hint="eastAsia"/>
          <w:color w:val="000000" w:themeColor="text1"/>
          <w14:textFill>
            <w14:solidFill>
              <w14:schemeClr w14:val="tx1"/>
            </w14:solidFill>
          </w14:textFill>
        </w:rPr>
        <w:t>水土流失现状调查</w:t>
      </w:r>
    </w:p>
    <w:p w14:paraId="554806EA">
      <w:pPr>
        <w:pStyle w:val="191"/>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根据《新疆维吾尔自治区昌吉回族自治州水土保持规划（2021-2030年）》，本项目不涉及水土流失重点治理区和重点预防区，水土流失类型主要为风力侵蚀，侵蚀强度以轻度为主。</w:t>
      </w:r>
    </w:p>
    <w:bookmarkEnd w:id="488"/>
    <w:bookmarkEnd w:id="489"/>
    <w:p w14:paraId="473E1CBE">
      <w:pPr>
        <w:pStyle w:val="4"/>
        <w:rPr>
          <w:rFonts w:hint="eastAsia"/>
          <w:color w:val="000000" w:themeColor="text1"/>
          <w14:textFill>
            <w14:solidFill>
              <w14:schemeClr w14:val="tx1"/>
            </w14:solidFill>
          </w14:textFill>
        </w:rPr>
      </w:pPr>
      <w:bookmarkStart w:id="490" w:name="_Hlk147587103"/>
      <w:bookmarkStart w:id="491" w:name="_Hlk92204648"/>
      <w:r>
        <w:rPr>
          <w:rFonts w:hint="eastAsia"/>
          <w:color w:val="000000" w:themeColor="text1"/>
          <w14:textFill>
            <w14:solidFill>
              <w14:schemeClr w14:val="tx1"/>
            </w14:solidFill>
          </w14:textFill>
        </w:rPr>
        <w:t>既有工程实际生态影响及采取的生态保护措施</w:t>
      </w:r>
    </w:p>
    <w:p w14:paraId="34E187C8">
      <w:pPr>
        <w:pStyle w:val="117"/>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w:t>
      </w:r>
      <w:r>
        <w:rPr>
          <w:color w:val="000000" w:themeColor="text1"/>
          <w14:textFill>
            <w14:solidFill>
              <w14:schemeClr w14:val="tx1"/>
            </w14:solidFill>
          </w14:textFill>
        </w:rPr>
        <w:t>1</w:t>
      </w:r>
      <w:r>
        <w:rPr>
          <w:rFonts w:hint="eastAsia"/>
          <w:color w:val="000000" w:themeColor="text1"/>
          <w14:textFill>
            <w14:solidFill>
              <w14:schemeClr w14:val="tx1"/>
            </w14:solidFill>
          </w14:textFill>
        </w:rPr>
        <w:t>）既有工程实际生态影响</w:t>
      </w:r>
    </w:p>
    <w:p w14:paraId="4B22C691">
      <w:pPr>
        <w:pStyle w:val="117"/>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本项目为改扩建项目，既有工程对生态的影响主要表现在占地对土壤结构破坏、植被损失、对景观格局的影响以及各种机械产生的噪声和人员活动对野生动物的影响。</w:t>
      </w:r>
    </w:p>
    <w:p w14:paraId="10288A63">
      <w:pPr>
        <w:pStyle w:val="117"/>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既有工程对土壤的影响主要是工程建设时对土壤的扰动、流失，对植被的影响主要表现为工程建设过程中，占地范围内的植被灭失，以及永久占地范围内植被生产力的减少。对景观生态格局的影响主要表现在油田道路、管线及各类场站的建设，对生态景观的切割，增大了区域景观生态格局的破碎化程度。对野生动物的影响主要为占地范围内植被的灭失和减少对野生动物生境和食源的影响。既有工程已开发区域内植被状况恢复较好的地段，动物活动的痕迹较多，而在井场和站场附近则很少有活动的迹象，这主要是由于现有工程各类生产井数量多，开发活动使得区域内自然植被的覆盖度降低，影响了爬行类及鼠类动物生存及栖息的基本环境条件。</w:t>
      </w:r>
    </w:p>
    <w:p w14:paraId="7E51A60B">
      <w:pPr>
        <w:pStyle w:val="117"/>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w:t>
      </w:r>
      <w:r>
        <w:rPr>
          <w:color w:val="000000" w:themeColor="text1"/>
          <w14:textFill>
            <w14:solidFill>
              <w14:schemeClr w14:val="tx1"/>
            </w14:solidFill>
          </w14:textFill>
        </w:rPr>
        <w:t>2</w:t>
      </w:r>
      <w:r>
        <w:rPr>
          <w:rFonts w:hint="eastAsia"/>
          <w:color w:val="000000" w:themeColor="text1"/>
          <w14:textFill>
            <w14:solidFill>
              <w14:schemeClr w14:val="tx1"/>
            </w14:solidFill>
          </w14:textFill>
        </w:rPr>
        <w:t>）既有工程实际采取的生态保护措施有效性评价</w:t>
      </w:r>
    </w:p>
    <w:p w14:paraId="1D5BE909">
      <w:pPr>
        <w:pStyle w:val="117"/>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根据现场踏勘可知，既有工程已建井场永久性占地范围内进行了砾石铺垫，站场地面进行了水泥或砾石铺垫等硬化，有效地防止了因既有工程临时占地引起的水土流失和土地沙化。临时占地内的梭梭、白梭梭、多枝柽柳等野生植被在自然缓慢恢复。</w:t>
      </w:r>
    </w:p>
    <w:p w14:paraId="6A07CD9E">
      <w:pPr>
        <w:pStyle w:val="117"/>
        <w:adjustRightInd w:val="0"/>
        <w:snapToGrid w:val="0"/>
        <w:spacing w:line="480" w:lineRule="exact"/>
        <w:ind w:firstLine="480"/>
        <w:rPr>
          <w:rFonts w:hint="eastAsia"/>
          <w:color w:val="000000" w:themeColor="text1"/>
          <w14:textFill>
            <w14:solidFill>
              <w14:schemeClr w14:val="tx1"/>
            </w14:solidFill>
          </w14:textFill>
        </w:rPr>
      </w:pPr>
    </w:p>
    <w:bookmarkEnd w:id="490"/>
    <w:p w14:paraId="48680DF3">
      <w:pPr>
        <w:pStyle w:val="117"/>
        <w:adjustRightInd w:val="0"/>
        <w:snapToGrid w:val="0"/>
        <w:ind w:firstLine="480"/>
        <w:rPr>
          <w:rFonts w:hint="eastAsia"/>
          <w:color w:val="000000" w:themeColor="text1"/>
          <w14:textFill>
            <w14:solidFill>
              <w14:schemeClr w14:val="tx1"/>
            </w14:solidFill>
          </w14:textFill>
        </w:rPr>
        <w:sectPr>
          <w:pgSz w:w="11906" w:h="16838"/>
          <w:pgMar w:top="1418" w:right="1588" w:bottom="1418" w:left="1588" w:header="1020" w:footer="1020" w:gutter="0"/>
          <w:cols w:space="720" w:num="1"/>
          <w:docGrid w:type="lines" w:linePitch="312" w:charSpace="0"/>
        </w:sectPr>
      </w:pPr>
    </w:p>
    <w:bookmarkEnd w:id="491"/>
    <w:p w14:paraId="5AEBFE2A">
      <w:pPr>
        <w:pStyle w:val="3"/>
        <w:rPr>
          <w:rFonts w:hint="eastAsia"/>
          <w:color w:val="000000" w:themeColor="text1"/>
          <w14:textFill>
            <w14:solidFill>
              <w14:schemeClr w14:val="tx1"/>
            </w14:solidFill>
          </w14:textFill>
        </w:rPr>
      </w:pPr>
      <w:bookmarkStart w:id="492" w:name="_Toc216260308"/>
      <w:r>
        <w:rPr>
          <w:rFonts w:hint="eastAsia"/>
          <w:color w:val="000000" w:themeColor="text1"/>
          <w14:textFill>
            <w14:solidFill>
              <w14:schemeClr w14:val="tx1"/>
            </w14:solidFill>
          </w14:textFill>
        </w:rPr>
        <w:t>环境影响预测与评价</w:t>
      </w:r>
      <w:bookmarkEnd w:id="492"/>
    </w:p>
    <w:p w14:paraId="2A8277C3">
      <w:pPr>
        <w:pStyle w:val="2"/>
        <w:rPr>
          <w:rFonts w:hint="eastAsia"/>
          <w:color w:val="000000" w:themeColor="text1"/>
          <w14:textFill>
            <w14:solidFill>
              <w14:schemeClr w14:val="tx1"/>
            </w14:solidFill>
          </w14:textFill>
        </w:rPr>
      </w:pPr>
      <w:bookmarkStart w:id="493" w:name="_Toc475624481"/>
      <w:bookmarkStart w:id="494" w:name="_Toc474793586"/>
      <w:bookmarkStart w:id="495" w:name="_Toc216260309"/>
      <w:r>
        <w:rPr>
          <w:rFonts w:hint="eastAsia"/>
          <w:color w:val="000000" w:themeColor="text1"/>
          <w14:textFill>
            <w14:solidFill>
              <w14:schemeClr w14:val="tx1"/>
            </w14:solidFill>
          </w14:textFill>
        </w:rPr>
        <w:t>施工期环境影响预测与评价</w:t>
      </w:r>
      <w:bookmarkEnd w:id="493"/>
      <w:bookmarkEnd w:id="494"/>
      <w:bookmarkEnd w:id="495"/>
    </w:p>
    <w:p w14:paraId="6A3939E5">
      <w:pPr>
        <w:pStyle w:val="4"/>
        <w:rPr>
          <w:rFonts w:hint="eastAsia"/>
          <w:color w:val="000000" w:themeColor="text1"/>
          <w14:textFill>
            <w14:solidFill>
              <w14:schemeClr w14:val="tx1"/>
            </w14:solidFill>
          </w14:textFill>
        </w:rPr>
      </w:pPr>
      <w:bookmarkStart w:id="496" w:name="_Hlk511377578"/>
      <w:bookmarkStart w:id="497" w:name="_Toc475624482"/>
      <w:bookmarkStart w:id="498" w:name="_Toc474793587"/>
      <w:r>
        <w:rPr>
          <w:rFonts w:hint="eastAsia"/>
          <w:color w:val="000000" w:themeColor="text1"/>
          <w14:textFill>
            <w14:solidFill>
              <w14:schemeClr w14:val="tx1"/>
            </w14:solidFill>
          </w14:textFill>
        </w:rPr>
        <w:t>施工期大气环境影响分析</w:t>
      </w:r>
    </w:p>
    <w:p w14:paraId="306F0007">
      <w:pPr>
        <w:pStyle w:val="117"/>
        <w:ind w:firstLine="480"/>
        <w:rPr>
          <w:rFonts w:hint="eastAsia"/>
          <w:color w:val="000000" w:themeColor="text1"/>
          <w14:textFill>
            <w14:solidFill>
              <w14:schemeClr w14:val="tx1"/>
            </w14:solidFill>
          </w14:textFill>
        </w:rPr>
      </w:pPr>
      <w:bookmarkStart w:id="499" w:name="_Hlk33634555"/>
      <w:bookmarkStart w:id="500" w:name="_Hlk87267769"/>
      <w:bookmarkStart w:id="501" w:name="_Toc445842090"/>
      <w:bookmarkStart w:id="502" w:name="_Toc445996412"/>
      <w:bookmarkStart w:id="503" w:name="_Toc1992"/>
      <w:r>
        <w:rPr>
          <w:rFonts w:hint="eastAsia"/>
          <w:color w:val="000000" w:themeColor="text1"/>
          <w14:textFill>
            <w14:solidFill>
              <w14:schemeClr w14:val="tx1"/>
            </w14:solidFill>
          </w14:textFill>
        </w:rPr>
        <w:t>废气主要为</w:t>
      </w:r>
      <w:bookmarkStart w:id="504" w:name="_Hlk33634148"/>
      <w:r>
        <w:rPr>
          <w:rFonts w:hint="eastAsia"/>
          <w:color w:val="000000" w:themeColor="text1"/>
          <w14:textFill>
            <w14:solidFill>
              <w14:schemeClr w14:val="tx1"/>
            </w14:solidFill>
          </w14:textFill>
        </w:rPr>
        <w:t>施工扬尘、施工机械及施工车辆尾气</w:t>
      </w:r>
      <w:bookmarkEnd w:id="499"/>
      <w:bookmarkEnd w:id="504"/>
      <w:r>
        <w:rPr>
          <w:rFonts w:hint="eastAsia"/>
          <w:color w:val="000000" w:themeColor="text1"/>
          <w14:textFill>
            <w14:solidFill>
              <w14:schemeClr w14:val="tx1"/>
            </w14:solidFill>
          </w14:textFill>
        </w:rPr>
        <w:t>、焊接烟尘。</w:t>
      </w:r>
    </w:p>
    <w:p w14:paraId="2D60CD5B">
      <w:pPr>
        <w:pStyle w:val="117"/>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w:t>
      </w:r>
      <w:r>
        <w:rPr>
          <w:color w:val="000000" w:themeColor="text1"/>
          <w14:textFill>
            <w14:solidFill>
              <w14:schemeClr w14:val="tx1"/>
            </w14:solidFill>
          </w14:textFill>
        </w:rPr>
        <w:t>1</w:t>
      </w:r>
      <w:r>
        <w:rPr>
          <w:rFonts w:hint="eastAsia"/>
          <w:color w:val="000000" w:themeColor="text1"/>
          <w14:textFill>
            <w14:solidFill>
              <w14:schemeClr w14:val="tx1"/>
            </w14:solidFill>
          </w14:textFill>
        </w:rPr>
        <w:t>）施工扬尘</w:t>
      </w:r>
    </w:p>
    <w:p w14:paraId="75B2FA77">
      <w:pPr>
        <w:pStyle w:val="117"/>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在井场建设、管沟开挖、回填</w:t>
      </w:r>
      <w:r>
        <w:rPr>
          <w:rFonts w:hint="eastAsia" w:cs="宋体"/>
          <w:color w:val="000000" w:themeColor="text1"/>
          <w:lang w:val="zh-CN"/>
          <w14:textFill>
            <w14:solidFill>
              <w14:schemeClr w14:val="tx1"/>
            </w14:solidFill>
          </w14:textFill>
        </w:rPr>
        <w:t>等地面工程</w:t>
      </w:r>
      <w:r>
        <w:rPr>
          <w:rFonts w:hint="eastAsia"/>
          <w:color w:val="000000" w:themeColor="text1"/>
          <w14:textFill>
            <w14:solidFill>
              <w14:schemeClr w14:val="tx1"/>
            </w14:solidFill>
          </w14:textFill>
        </w:rPr>
        <w:t>施工过程中都会产生扬尘，同时运输车辆行驶以及所用材料的装卸、运输及堆放等均会产生扬尘，对周围环境空气产生一定的影响，污染物主要为T</w:t>
      </w:r>
      <w:r>
        <w:rPr>
          <w:color w:val="000000" w:themeColor="text1"/>
          <w14:textFill>
            <w14:solidFill>
              <w14:schemeClr w14:val="tx1"/>
            </w14:solidFill>
          </w14:textFill>
        </w:rPr>
        <w:t>SP</w:t>
      </w:r>
      <w:r>
        <w:rPr>
          <w:rFonts w:hint="eastAsia"/>
          <w:color w:val="000000" w:themeColor="text1"/>
          <w14:textFill>
            <w14:solidFill>
              <w14:schemeClr w14:val="tx1"/>
            </w14:solidFill>
          </w14:textFill>
        </w:rPr>
        <w:t>。</w:t>
      </w:r>
      <w:r>
        <w:rPr>
          <w:rFonts w:hint="eastAsia" w:cs="宋体"/>
          <w:color w:val="000000" w:themeColor="text1"/>
          <w:lang w:val="zh-CN"/>
          <w14:textFill>
            <w14:solidFill>
              <w14:schemeClr w14:val="tx1"/>
            </w14:solidFill>
          </w14:textFill>
        </w:rPr>
        <w:t>项目区远离人群居住区，周围空旷，扩散条件良好，类比同类工程，本项目施工过程中产生的扬尘不会对环境空气产生明显影响</w:t>
      </w:r>
      <w:r>
        <w:rPr>
          <w:rFonts w:hint="eastAsia"/>
          <w:color w:val="000000" w:themeColor="text1"/>
          <w14:textFill>
            <w14:solidFill>
              <w14:schemeClr w14:val="tx1"/>
            </w14:solidFill>
          </w14:textFill>
        </w:rPr>
        <w:t>。</w:t>
      </w:r>
    </w:p>
    <w:p w14:paraId="6E3FA256">
      <w:pPr>
        <w:pStyle w:val="117"/>
        <w:ind w:firstLine="480" w:firstLineChars="0"/>
        <w:rPr>
          <w:rFonts w:hint="eastAsia" w:cs="宋体"/>
          <w:color w:val="000000" w:themeColor="text1"/>
          <w:lang w:val="zh-CN"/>
          <w14:textFill>
            <w14:solidFill>
              <w14:schemeClr w14:val="tx1"/>
            </w14:solidFill>
          </w14:textFill>
        </w:rPr>
      </w:pPr>
      <w:r>
        <w:rPr>
          <w:rFonts w:hint="eastAsia" w:cs="宋体"/>
          <w:color w:val="000000" w:themeColor="text1"/>
          <w:lang w:val="zh-CN"/>
          <w14:textFill>
            <w14:solidFill>
              <w14:schemeClr w14:val="tx1"/>
            </w14:solidFill>
          </w14:textFill>
        </w:rPr>
        <w:t>（</w:t>
      </w:r>
      <w:r>
        <w:rPr>
          <w:rFonts w:cs="宋体"/>
          <w:color w:val="000000" w:themeColor="text1"/>
          <w:lang w:val="zh-CN"/>
          <w14:textFill>
            <w14:solidFill>
              <w14:schemeClr w14:val="tx1"/>
            </w14:solidFill>
          </w14:textFill>
        </w:rPr>
        <w:t>2</w:t>
      </w:r>
      <w:r>
        <w:rPr>
          <w:rFonts w:hint="eastAsia" w:cs="宋体"/>
          <w:color w:val="000000" w:themeColor="text1"/>
          <w:lang w:val="zh-CN"/>
          <w14:textFill>
            <w14:solidFill>
              <w14:schemeClr w14:val="tx1"/>
            </w14:solidFill>
          </w14:textFill>
        </w:rPr>
        <w:t>）</w:t>
      </w:r>
      <w:r>
        <w:rPr>
          <w:rFonts w:hint="eastAsia"/>
          <w:color w:val="000000" w:themeColor="text1"/>
          <w14:textFill>
            <w14:solidFill>
              <w14:schemeClr w14:val="tx1"/>
            </w14:solidFill>
          </w14:textFill>
        </w:rPr>
        <w:t>施工机械及施工车辆</w:t>
      </w:r>
      <w:r>
        <w:rPr>
          <w:rFonts w:hint="eastAsia" w:cs="宋体"/>
          <w:color w:val="000000" w:themeColor="text1"/>
          <w:lang w:val="zh-CN"/>
          <w14:textFill>
            <w14:solidFill>
              <w14:schemeClr w14:val="tx1"/>
            </w14:solidFill>
          </w14:textFill>
        </w:rPr>
        <w:t>尾气</w:t>
      </w:r>
    </w:p>
    <w:p w14:paraId="1A43A7DE">
      <w:pPr>
        <w:pStyle w:val="117"/>
        <w:ind w:firstLine="480"/>
        <w:rPr>
          <w:rFonts w:hint="eastAsia" w:cs="宋体"/>
          <w:color w:val="000000" w:themeColor="text1"/>
          <w:lang w:val="zh-CN"/>
          <w14:textFill>
            <w14:solidFill>
              <w14:schemeClr w14:val="tx1"/>
            </w14:solidFill>
          </w14:textFill>
        </w:rPr>
      </w:pPr>
      <w:r>
        <w:rPr>
          <w:rFonts w:hint="eastAsia" w:cs="宋体"/>
          <w:color w:val="000000" w:themeColor="text1"/>
          <w:lang w:val="zh-CN"/>
          <w14:textFill>
            <w14:solidFill>
              <w14:schemeClr w14:val="tx1"/>
            </w14:solidFill>
          </w14:textFill>
        </w:rPr>
        <w:t>施工机械及运输车辆燃料燃烧产生的汽车尾气会对环境空气造成影响，各施工机械及车辆均采用合格油品，对周围大气环境影响较小。</w:t>
      </w:r>
    </w:p>
    <w:p w14:paraId="308BB568">
      <w:pPr>
        <w:pStyle w:val="117"/>
        <w:ind w:firstLine="480" w:firstLineChars="0"/>
        <w:rPr>
          <w:rFonts w:hint="eastAsia" w:cs="宋体"/>
          <w:color w:val="000000" w:themeColor="text1"/>
          <w:lang w:val="zh-CN"/>
          <w14:textFill>
            <w14:solidFill>
              <w14:schemeClr w14:val="tx1"/>
            </w14:solidFill>
          </w14:textFill>
        </w:rPr>
      </w:pPr>
      <w:r>
        <w:rPr>
          <w:rFonts w:cs="宋体"/>
          <w:color w:val="000000" w:themeColor="text1"/>
          <w:lang w:val="zh-CN"/>
          <w14:textFill>
            <w14:solidFill>
              <w14:schemeClr w14:val="tx1"/>
            </w14:solidFill>
          </w14:textFill>
        </w:rPr>
        <w:t>（3）焊接烟尘</w:t>
      </w:r>
    </w:p>
    <w:p w14:paraId="7ABB34BD">
      <w:pPr>
        <w:pStyle w:val="117"/>
        <w:ind w:firstLine="480" w:firstLineChars="0"/>
        <w:rPr>
          <w:rFonts w:hint="eastAsia" w:cs="宋体"/>
          <w:color w:val="000000" w:themeColor="text1"/>
          <w:lang w:val="zh-CN"/>
          <w14:textFill>
            <w14:solidFill>
              <w14:schemeClr w14:val="tx1"/>
            </w14:solidFill>
          </w14:textFill>
        </w:rPr>
      </w:pPr>
      <w:r>
        <w:rPr>
          <w:rFonts w:cs="宋体"/>
          <w:color w:val="000000" w:themeColor="text1"/>
          <w:lang w:val="zh-CN"/>
          <w14:textFill>
            <w14:solidFill>
              <w14:schemeClr w14:val="tx1"/>
            </w14:solidFill>
          </w14:textFill>
        </w:rPr>
        <w:t>管道组对连接过程中将有一定量的焊接烟尘产生，主要污染物为CO、CO</w:t>
      </w:r>
      <w:r>
        <w:rPr>
          <w:rFonts w:cs="宋体"/>
          <w:color w:val="000000" w:themeColor="text1"/>
          <w:vertAlign w:val="subscript"/>
          <w:lang w:val="zh-CN"/>
          <w14:textFill>
            <w14:solidFill>
              <w14:schemeClr w14:val="tx1"/>
            </w14:solidFill>
          </w14:textFill>
        </w:rPr>
        <w:t>2</w:t>
      </w:r>
      <w:r>
        <w:rPr>
          <w:rFonts w:cs="宋体"/>
          <w:color w:val="000000" w:themeColor="text1"/>
          <w:lang w:val="zh-CN"/>
          <w14:textFill>
            <w14:solidFill>
              <w14:schemeClr w14:val="tx1"/>
            </w14:solidFill>
          </w14:textFill>
        </w:rPr>
        <w:t>、NO</w:t>
      </w:r>
      <w:r>
        <w:rPr>
          <w:rFonts w:cs="宋体"/>
          <w:color w:val="000000" w:themeColor="text1"/>
          <w:vertAlign w:val="subscript"/>
          <w:lang w:val="zh-CN"/>
          <w14:textFill>
            <w14:solidFill>
              <w14:schemeClr w14:val="tx1"/>
            </w14:solidFill>
          </w14:textFill>
        </w:rPr>
        <w:t>X</w:t>
      </w:r>
      <w:r>
        <w:rPr>
          <w:rFonts w:cs="宋体"/>
          <w:color w:val="000000" w:themeColor="text1"/>
          <w:lang w:val="zh-CN"/>
          <w14:textFill>
            <w14:solidFill>
              <w14:schemeClr w14:val="tx1"/>
            </w14:solidFill>
          </w14:textFill>
        </w:rPr>
        <w:t>、CH</w:t>
      </w:r>
      <w:r>
        <w:rPr>
          <w:rFonts w:cs="宋体"/>
          <w:color w:val="000000" w:themeColor="text1"/>
          <w:vertAlign w:val="subscript"/>
          <w:lang w:val="zh-CN"/>
          <w14:textFill>
            <w14:solidFill>
              <w14:schemeClr w14:val="tx1"/>
            </w14:solidFill>
          </w14:textFill>
        </w:rPr>
        <w:t>4</w:t>
      </w:r>
      <w:r>
        <w:rPr>
          <w:rFonts w:cs="宋体"/>
          <w:color w:val="000000" w:themeColor="text1"/>
          <w:lang w:val="zh-CN"/>
          <w14:textFill>
            <w14:solidFill>
              <w14:schemeClr w14:val="tx1"/>
            </w14:solidFill>
          </w14:textFill>
        </w:rPr>
        <w:t>，该废气排放量很少，</w:t>
      </w:r>
      <w:r>
        <w:rPr>
          <w:rFonts w:hint="eastAsia" w:cs="宋体"/>
          <w:color w:val="000000" w:themeColor="text1"/>
          <w:lang w:val="zh-CN"/>
          <w14:textFill>
            <w14:solidFill>
              <w14:schemeClr w14:val="tx1"/>
            </w14:solidFill>
          </w14:textFill>
        </w:rPr>
        <w:t>焊条使用国家合格产品，且为间歇不连续排放，</w:t>
      </w:r>
      <w:r>
        <w:rPr>
          <w:rFonts w:cs="宋体"/>
          <w:color w:val="000000" w:themeColor="text1"/>
          <w:lang w:val="zh-CN"/>
          <w14:textFill>
            <w14:solidFill>
              <w14:schemeClr w14:val="tx1"/>
            </w14:solidFill>
          </w14:textFill>
        </w:rPr>
        <w:t>施工场地位于开阔通风状况良好的户外，焊接烟尘易于扩散，</w:t>
      </w:r>
      <w:r>
        <w:rPr>
          <w:rFonts w:hint="eastAsia" w:cs="宋体"/>
          <w:color w:val="000000" w:themeColor="text1"/>
          <w:lang w:val="zh-CN"/>
          <w14:textFill>
            <w14:solidFill>
              <w14:schemeClr w14:val="tx1"/>
            </w14:solidFill>
          </w14:textFill>
        </w:rPr>
        <w:t>焊接烟尘随着施工期的结束而消失，</w:t>
      </w:r>
      <w:r>
        <w:rPr>
          <w:rFonts w:cs="宋体"/>
          <w:color w:val="000000" w:themeColor="text1"/>
          <w:lang w:val="zh-CN"/>
          <w14:textFill>
            <w14:solidFill>
              <w14:schemeClr w14:val="tx1"/>
            </w14:solidFill>
          </w14:textFill>
        </w:rPr>
        <w:t>对周围大气环境影响很小。</w:t>
      </w:r>
    </w:p>
    <w:bookmarkEnd w:id="500"/>
    <w:p w14:paraId="7AE32E51">
      <w:pPr>
        <w:pStyle w:val="4"/>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施工期</w:t>
      </w:r>
      <w:r>
        <w:rPr>
          <w:color w:val="000000" w:themeColor="text1"/>
          <w14:textFill>
            <w14:solidFill>
              <w14:schemeClr w14:val="tx1"/>
            </w14:solidFill>
          </w14:textFill>
        </w:rPr>
        <w:t>水环境影响分析</w:t>
      </w:r>
      <w:bookmarkEnd w:id="501"/>
      <w:bookmarkEnd w:id="502"/>
      <w:bookmarkEnd w:id="503"/>
    </w:p>
    <w:p w14:paraId="7874DCC6">
      <w:pPr>
        <w:pStyle w:val="117"/>
        <w:ind w:firstLine="480"/>
        <w:rPr>
          <w:rFonts w:hint="eastAsia" w:cs="宋体"/>
          <w:color w:val="000000" w:themeColor="text1"/>
          <w:lang w:val="zh-CN"/>
          <w14:textFill>
            <w14:solidFill>
              <w14:schemeClr w14:val="tx1"/>
            </w14:solidFill>
          </w14:textFill>
        </w:rPr>
      </w:pPr>
      <w:bookmarkStart w:id="505" w:name="_Toc234"/>
      <w:bookmarkStart w:id="506" w:name="_Toc445842095"/>
      <w:bookmarkStart w:id="507" w:name="_Toc445996417"/>
      <w:r>
        <w:rPr>
          <w:rFonts w:hint="eastAsia" w:cs="宋体"/>
          <w:color w:val="000000" w:themeColor="text1"/>
          <w:lang w:val="zh-CN"/>
          <w14:textFill>
            <w14:solidFill>
              <w14:schemeClr w14:val="tx1"/>
            </w14:solidFill>
          </w14:textFill>
        </w:rPr>
        <w:t>（1）废水对周围水环境影响分析</w:t>
      </w:r>
    </w:p>
    <w:p w14:paraId="364681CE">
      <w:pPr>
        <w:pStyle w:val="117"/>
        <w:ind w:firstLine="480"/>
        <w:rPr>
          <w:rFonts w:hint="eastAsia" w:cs="宋体"/>
          <w:color w:val="000000" w:themeColor="text1"/>
          <w:lang w:val="zh-CN"/>
          <w14:textFill>
            <w14:solidFill>
              <w14:schemeClr w14:val="tx1"/>
            </w14:solidFill>
          </w14:textFill>
        </w:rPr>
      </w:pPr>
      <w:r>
        <w:rPr>
          <w:rFonts w:hint="eastAsia" w:cs="宋体"/>
          <w:color w:val="000000" w:themeColor="text1"/>
          <w:lang w:val="zh-CN"/>
          <w14:textFill>
            <w14:solidFill>
              <w14:schemeClr w14:val="tx1"/>
            </w14:solidFill>
          </w14:textFill>
        </w:rPr>
        <w:t>废水主要为管道试压废水、混凝土养护废水、洗井废水。管道试压采用清水，废水中污染物主要为悬浮物，试压结束后用于项目区的洒水抑尘；混凝土养护废水污染物主要为悬浮物，用于项目区的洒水抑尘；洗井废水由罐车拉运至压裂返排液处理装置处理。项目产生的各类废水均得到妥善处置，不会对周围水环境产生不利影响。</w:t>
      </w:r>
    </w:p>
    <w:p w14:paraId="49EE88A3">
      <w:pPr>
        <w:pStyle w:val="117"/>
        <w:spacing w:line="480" w:lineRule="exact"/>
        <w:ind w:firstLine="480"/>
        <w:rPr>
          <w:rFonts w:hint="eastAsia"/>
          <w:color w:val="000000" w:themeColor="text1"/>
          <w:lang w:bidi="ar"/>
          <w14:textFill>
            <w14:solidFill>
              <w14:schemeClr w14:val="tx1"/>
            </w14:solidFill>
          </w14:textFill>
        </w:rPr>
      </w:pPr>
      <w:r>
        <w:rPr>
          <w:rFonts w:hint="eastAsia"/>
          <w:color w:val="000000" w:themeColor="text1"/>
          <w:lang w:bidi="ar"/>
          <w14:textFill>
            <w14:solidFill>
              <w14:schemeClr w14:val="tx1"/>
            </w14:solidFill>
          </w14:textFill>
        </w:rPr>
        <w:t>（</w:t>
      </w:r>
      <w:r>
        <w:rPr>
          <w:color w:val="000000" w:themeColor="text1"/>
          <w:lang w:bidi="ar"/>
          <w14:textFill>
            <w14:solidFill>
              <w14:schemeClr w14:val="tx1"/>
            </w14:solidFill>
          </w14:textFill>
        </w:rPr>
        <w:t>2</w:t>
      </w:r>
      <w:r>
        <w:rPr>
          <w:rFonts w:hint="eastAsia"/>
          <w:color w:val="000000" w:themeColor="text1"/>
          <w:lang w:bidi="ar"/>
          <w14:textFill>
            <w14:solidFill>
              <w14:schemeClr w14:val="tx1"/>
            </w14:solidFill>
          </w14:textFill>
        </w:rPr>
        <w:t>）管线施工对地下水环境影响分析</w:t>
      </w:r>
    </w:p>
    <w:p w14:paraId="5EFCB605">
      <w:pPr>
        <w:pStyle w:val="117"/>
        <w:ind w:firstLine="480"/>
        <w:rPr>
          <w:rFonts w:hint="eastAsia"/>
          <w:color w:val="000000" w:themeColor="text1"/>
          <w:lang w:bidi="ar"/>
          <w14:textFill>
            <w14:solidFill>
              <w14:schemeClr w14:val="tx1"/>
            </w14:solidFill>
          </w14:textFill>
        </w:rPr>
      </w:pPr>
      <w:r>
        <w:rPr>
          <w:rFonts w:hint="eastAsia"/>
          <w:color w:val="000000" w:themeColor="text1"/>
          <w:lang w:bidi="ar"/>
          <w14:textFill>
            <w14:solidFill>
              <w14:schemeClr w14:val="tx1"/>
            </w14:solidFill>
          </w14:textFill>
        </w:rPr>
        <w:t>拟建管线采用埋地敷设，在施工过程中的辅料、废料等在降水的淋滤作用下产生的浸出液，可能进入地下含水层，将对地下水造成不同程度的影响，其影响程度决定于下渗量及其饱和地带的厚度、岩性和对污染物的阻滞、吸附分解等自然净化能力。由于管线施工期短，项目区少雨，发生降水淋滤的可能性很小，且管道沿线表层土壤有一定的自然净化能力，管线施工对地下水的影响很小。因此，正常的管线埋设不会对地下水造成不利影响。</w:t>
      </w:r>
    </w:p>
    <w:p w14:paraId="1FDFD1BC">
      <w:pPr>
        <w:pStyle w:val="117"/>
        <w:ind w:firstLine="480"/>
        <w:rPr>
          <w:rFonts w:hint="eastAsia"/>
          <w:color w:val="000000" w:themeColor="text1"/>
          <w:lang w:bidi="ar"/>
          <w14:textFill>
            <w14:solidFill>
              <w14:schemeClr w14:val="tx1"/>
            </w14:solidFill>
          </w14:textFill>
        </w:rPr>
      </w:pPr>
      <w:r>
        <w:rPr>
          <w:rFonts w:hint="eastAsia"/>
          <w:color w:val="000000" w:themeColor="text1"/>
          <w:lang w:bidi="ar"/>
          <w14:textFill>
            <w14:solidFill>
              <w14:schemeClr w14:val="tx1"/>
            </w14:solidFill>
          </w14:textFill>
        </w:rPr>
        <w:t>（3）井筒改造对地下水的影响分析</w:t>
      </w:r>
    </w:p>
    <w:p w14:paraId="687DCCB2">
      <w:pPr>
        <w:pStyle w:val="117"/>
        <w:ind w:firstLine="480"/>
        <w:rPr>
          <w:rFonts w:hint="eastAsia"/>
          <w:color w:val="000000" w:themeColor="text1"/>
          <w:lang w:bidi="ar"/>
          <w14:textFill>
            <w14:solidFill>
              <w14:schemeClr w14:val="tx1"/>
            </w14:solidFill>
          </w14:textFill>
        </w:rPr>
      </w:pPr>
      <w:r>
        <w:rPr>
          <w:rFonts w:hint="eastAsia"/>
          <w:color w:val="000000" w:themeColor="text1"/>
          <w:lang w:bidi="ar"/>
          <w14:textFill>
            <w14:solidFill>
              <w14:schemeClr w14:val="tx1"/>
            </w14:solidFill>
          </w14:textFill>
        </w:rPr>
        <w:t>井筒改造过程中可能对地下水环境产生一定的影响，现有井均采用水泥固井，且目前固井质量合格，井筒改造过程中不会对地下水环境产生明显不利影响。</w:t>
      </w:r>
    </w:p>
    <w:p w14:paraId="3D22B9BB">
      <w:pPr>
        <w:pStyle w:val="4"/>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施工期声环境</w:t>
      </w:r>
      <w:r>
        <w:rPr>
          <w:color w:val="000000" w:themeColor="text1"/>
          <w14:textFill>
            <w14:solidFill>
              <w14:schemeClr w14:val="tx1"/>
            </w14:solidFill>
          </w14:textFill>
        </w:rPr>
        <w:t>影响分析</w:t>
      </w:r>
      <w:bookmarkEnd w:id="505"/>
      <w:bookmarkEnd w:id="506"/>
      <w:bookmarkEnd w:id="507"/>
    </w:p>
    <w:p w14:paraId="783C1871">
      <w:pPr>
        <w:pStyle w:val="117"/>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噪声源主要为施工机械及车辆，</w:t>
      </w:r>
      <w:r>
        <w:rPr>
          <w:rFonts w:hint="eastAsia" w:hAnsi="Times New Roman"/>
          <w:color w:val="000000" w:themeColor="text1"/>
          <w:szCs w:val="20"/>
          <w14:textFill>
            <w14:solidFill>
              <w14:schemeClr w14:val="tx1"/>
            </w14:solidFill>
          </w14:textFill>
        </w:rPr>
        <w:t>源强</w:t>
      </w:r>
      <w:r>
        <w:rPr>
          <w:rFonts w:hint="eastAsia"/>
          <w:color w:val="000000" w:themeColor="text1"/>
          <w14:textFill>
            <w14:solidFill>
              <w14:schemeClr w14:val="tx1"/>
            </w14:solidFill>
          </w14:textFill>
        </w:rPr>
        <w:t>一般为</w:t>
      </w:r>
      <w:r>
        <w:rPr>
          <w:color w:val="000000" w:themeColor="text1"/>
          <w14:textFill>
            <w14:solidFill>
              <w14:schemeClr w14:val="tx1"/>
            </w14:solidFill>
          </w14:textFill>
        </w:rPr>
        <w:t>60</w:t>
      </w:r>
      <w:r>
        <w:rPr>
          <w:rFonts w:hint="eastAsia"/>
          <w:color w:val="000000" w:themeColor="text1"/>
          <w14:textFill>
            <w14:solidFill>
              <w14:schemeClr w14:val="tx1"/>
            </w14:solidFill>
          </w14:textFill>
        </w:rPr>
        <w:t>～105dB（A）。根据现场调查，声环境评价范围内没有固定居住人群等声敏感目标，不会造成扰民现象，施工期的噪声仅对施工人员产生影响。通过类比调查可知，施工期场界外</w:t>
      </w:r>
      <w:r>
        <w:rPr>
          <w:color w:val="000000" w:themeColor="text1"/>
          <w14:textFill>
            <w14:solidFill>
              <w14:schemeClr w14:val="tx1"/>
            </w14:solidFill>
          </w14:textFill>
        </w:rPr>
        <w:t>200m处可达到《建筑施工场界噪声排放标准》（GB12523-2011）中限值要求</w:t>
      </w:r>
      <w:r>
        <w:rPr>
          <w:rFonts w:hint="eastAsia"/>
          <w:color w:val="000000" w:themeColor="text1"/>
          <w14:textFill>
            <w14:solidFill>
              <w14:schemeClr w14:val="tx1"/>
            </w14:solidFill>
          </w14:textFill>
        </w:rPr>
        <w:t>。</w:t>
      </w:r>
    </w:p>
    <w:p w14:paraId="34829B44">
      <w:pPr>
        <w:pStyle w:val="4"/>
        <w:rPr>
          <w:rFonts w:hint="eastAsia"/>
          <w:color w:val="000000" w:themeColor="text1"/>
          <w14:textFill>
            <w14:solidFill>
              <w14:schemeClr w14:val="tx1"/>
            </w14:solidFill>
          </w14:textFill>
        </w:rPr>
      </w:pPr>
      <w:bookmarkStart w:id="508" w:name="_Toc445996421"/>
      <w:bookmarkStart w:id="509" w:name="_Toc22582"/>
      <w:bookmarkStart w:id="510" w:name="_Toc445842100"/>
      <w:r>
        <w:rPr>
          <w:rFonts w:hint="eastAsia"/>
          <w:color w:val="000000" w:themeColor="text1"/>
          <w14:textFill>
            <w14:solidFill>
              <w14:schemeClr w14:val="tx1"/>
            </w14:solidFill>
          </w14:textFill>
        </w:rPr>
        <w:t>施工期固体废物环境</w:t>
      </w:r>
      <w:r>
        <w:rPr>
          <w:color w:val="000000" w:themeColor="text1"/>
          <w14:textFill>
            <w14:solidFill>
              <w14:schemeClr w14:val="tx1"/>
            </w14:solidFill>
          </w14:textFill>
        </w:rPr>
        <w:t>影响</w:t>
      </w:r>
      <w:bookmarkEnd w:id="508"/>
      <w:bookmarkEnd w:id="509"/>
      <w:bookmarkEnd w:id="510"/>
      <w:r>
        <w:rPr>
          <w:rFonts w:hint="eastAsia"/>
          <w:color w:val="000000" w:themeColor="text1"/>
          <w14:textFill>
            <w14:solidFill>
              <w14:schemeClr w14:val="tx1"/>
            </w14:solidFill>
          </w14:textFill>
        </w:rPr>
        <w:t>分析</w:t>
      </w:r>
    </w:p>
    <w:p w14:paraId="118B4F0E">
      <w:pPr>
        <w:pStyle w:val="117"/>
        <w:spacing w:line="480" w:lineRule="exact"/>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施工过程中的挖方全部回填，无弃方产生，固体废物主要为建筑垃圾</w:t>
      </w:r>
      <w:bookmarkStart w:id="511" w:name="_Hlk84618356"/>
      <w:r>
        <w:rPr>
          <w:rFonts w:hint="eastAsia"/>
          <w:color w:val="000000" w:themeColor="text1"/>
          <w14:textFill>
            <w14:solidFill>
              <w14:schemeClr w14:val="tx1"/>
            </w14:solidFill>
          </w14:textFill>
        </w:rPr>
        <w:t>和通井、刮井时产生的含油废渣，</w:t>
      </w:r>
      <w:bookmarkStart w:id="512" w:name="_Hlk111760932"/>
      <w:r>
        <w:rPr>
          <w:rFonts w:hint="eastAsia"/>
          <w:color w:val="000000" w:themeColor="text1"/>
          <w14:textFill>
            <w14:solidFill>
              <w14:schemeClr w14:val="tx1"/>
            </w14:solidFill>
          </w14:textFill>
        </w:rPr>
        <w:t>施工过程中使用材料产生的废边角料等尽量由施工单位统一回收利用，无法再利用的集中堆放，定期送至当地建筑垃圾填埋场填埋处理。通井、刮井时产生的含油废渣属于《国家危险废物名录（2025年版）》HW08类废矿物油与含矿物油废物，废物代码为</w:t>
      </w:r>
      <w:r>
        <w:rPr>
          <w:color w:val="000000" w:themeColor="text1"/>
          <w14:textFill>
            <w14:solidFill>
              <w14:schemeClr w14:val="tx1"/>
            </w14:solidFill>
          </w14:textFill>
        </w:rPr>
        <w:t>900-249-08</w:t>
      </w:r>
      <w:r>
        <w:rPr>
          <w:rFonts w:hint="eastAsia"/>
          <w:color w:val="000000" w:themeColor="text1"/>
          <w14:textFill>
            <w14:solidFill>
              <w14:schemeClr w14:val="tx1"/>
            </w14:solidFill>
          </w14:textFill>
        </w:rPr>
        <w:t>，危险特性为</w:t>
      </w:r>
      <w:r>
        <w:rPr>
          <w:color w:val="000000" w:themeColor="text1"/>
          <w14:textFill>
            <w14:solidFill>
              <w14:schemeClr w14:val="tx1"/>
            </w14:solidFill>
          </w14:textFill>
        </w:rPr>
        <w:t>T</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I</w:t>
      </w:r>
      <w:r>
        <w:rPr>
          <w:rFonts w:hint="eastAsia"/>
          <w:color w:val="000000" w:themeColor="text1"/>
          <w14:textFill>
            <w14:solidFill>
              <w14:schemeClr w14:val="tx1"/>
            </w14:solidFill>
          </w14:textFill>
        </w:rPr>
        <w:t>，不在项目区暂存，临时暂存在吉祥联合站危险废物暂存间暂存，最终交由有相应危险废物处理资质的单位回收处置。固体废物均得到了妥善处置，正常情况下不会对周围环境产生不利影响。</w:t>
      </w:r>
    </w:p>
    <w:bookmarkEnd w:id="511"/>
    <w:bookmarkEnd w:id="512"/>
    <w:p w14:paraId="28648D46">
      <w:pPr>
        <w:pStyle w:val="4"/>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施工期土壤环境</w:t>
      </w:r>
      <w:r>
        <w:rPr>
          <w:color w:val="000000" w:themeColor="text1"/>
          <w14:textFill>
            <w14:solidFill>
              <w14:schemeClr w14:val="tx1"/>
            </w14:solidFill>
          </w14:textFill>
        </w:rPr>
        <w:t>影响</w:t>
      </w:r>
      <w:r>
        <w:rPr>
          <w:rFonts w:hint="eastAsia"/>
          <w:color w:val="000000" w:themeColor="text1"/>
          <w14:textFill>
            <w14:solidFill>
              <w14:schemeClr w14:val="tx1"/>
            </w14:solidFill>
          </w14:textFill>
        </w:rPr>
        <w:t>分析</w:t>
      </w:r>
    </w:p>
    <w:p w14:paraId="348C9152">
      <w:pPr>
        <w:pStyle w:val="117"/>
        <w:spacing w:line="480" w:lineRule="exact"/>
        <w:ind w:firstLine="480"/>
        <w:rPr>
          <w:rFonts w:hint="eastAsia" w:cs="宋体"/>
          <w:color w:val="000000" w:themeColor="text1"/>
          <w:lang w:val="zh-CN"/>
          <w14:textFill>
            <w14:solidFill>
              <w14:schemeClr w14:val="tx1"/>
            </w14:solidFill>
          </w14:textFill>
        </w:rPr>
      </w:pPr>
      <w:r>
        <w:rPr>
          <w:rFonts w:hint="eastAsia" w:cs="宋体"/>
          <w:color w:val="000000" w:themeColor="text1"/>
          <w:lang w:val="zh-CN"/>
          <w14:textFill>
            <w14:solidFill>
              <w14:schemeClr w14:val="tx1"/>
            </w14:solidFill>
          </w14:textFill>
        </w:rPr>
        <w:t>施工期对土壤环境质量的影响主要为人为扰动、车辆行驶和机械施工、各种废弃物污染影响。</w:t>
      </w:r>
    </w:p>
    <w:p w14:paraId="0FAFB6EE">
      <w:pPr>
        <w:pStyle w:val="117"/>
        <w:spacing w:line="480" w:lineRule="exact"/>
        <w:ind w:firstLine="480"/>
        <w:rPr>
          <w:rFonts w:hint="eastAsia" w:cs="宋体"/>
          <w:color w:val="000000" w:themeColor="text1"/>
          <w:lang w:val="zh-CN"/>
          <w14:textFill>
            <w14:solidFill>
              <w14:schemeClr w14:val="tx1"/>
            </w14:solidFill>
          </w14:textFill>
        </w:rPr>
      </w:pPr>
      <w:r>
        <w:rPr>
          <w:rFonts w:hint="eastAsia" w:cs="宋体"/>
          <w:color w:val="000000" w:themeColor="text1"/>
          <w:lang w:val="zh-CN"/>
          <w14:textFill>
            <w14:solidFill>
              <w14:schemeClr w14:val="tx1"/>
            </w14:solidFill>
          </w14:textFill>
        </w:rPr>
        <w:t>（1）人为扰动对土壤的影响分析</w:t>
      </w:r>
    </w:p>
    <w:p w14:paraId="63098E84">
      <w:pPr>
        <w:pStyle w:val="117"/>
        <w:spacing w:line="480" w:lineRule="exact"/>
        <w:ind w:firstLine="480"/>
        <w:rPr>
          <w:rFonts w:hint="eastAsia" w:cs="宋体"/>
          <w:color w:val="000000" w:themeColor="text1"/>
          <w:lang w:val="zh-CN"/>
          <w14:textFill>
            <w14:solidFill>
              <w14:schemeClr w14:val="tx1"/>
            </w14:solidFill>
          </w14:textFill>
        </w:rPr>
      </w:pPr>
      <w:r>
        <w:rPr>
          <w:rFonts w:hint="eastAsia" w:cs="宋体"/>
          <w:color w:val="000000" w:themeColor="text1"/>
          <w:lang w:val="zh-CN"/>
          <w14:textFill>
            <w14:solidFill>
              <w14:schemeClr w14:val="tx1"/>
            </w14:solidFill>
          </w14:textFill>
        </w:rPr>
        <w:t>项目实施过程中不可避免地会对土壤造成扰动，主要是站场各设备建设、管道敷设等工程建设过程中对土壤的开挖，以及车辆行驶、机械施工碾压和踩踏破坏土壤结构。</w:t>
      </w:r>
    </w:p>
    <w:p w14:paraId="00AD57CA">
      <w:pPr>
        <w:pStyle w:val="117"/>
        <w:spacing w:line="480" w:lineRule="exact"/>
        <w:ind w:firstLine="480"/>
        <w:rPr>
          <w:rFonts w:hint="eastAsia" w:cs="宋体"/>
          <w:color w:val="000000" w:themeColor="text1"/>
          <w:lang w:val="zh-CN"/>
          <w14:textFill>
            <w14:solidFill>
              <w14:schemeClr w14:val="tx1"/>
            </w14:solidFill>
          </w14:textFill>
        </w:rPr>
      </w:pPr>
      <w:r>
        <w:rPr>
          <w:rFonts w:hint="eastAsia" w:cs="宋体"/>
          <w:color w:val="000000" w:themeColor="text1"/>
          <w:lang w:val="zh-CN"/>
          <w14:textFill>
            <w14:solidFill>
              <w14:schemeClr w14:val="tx1"/>
            </w14:solidFill>
          </w14:textFill>
        </w:rPr>
        <w:t>在施工中，设备碾压、人员踩踏等都会对土壤的紧实度产生影响，而开挖作业则会改变土壤层次。机械碾压和人员踩踏致使土壤紧实度增高，地表水入渗减少，土壤团粒结构遭到破坏，土壤养分流失，不利于植物生长。各种车辆（尤其是重型卡车）反复碾压后的土壤，植物很难再生长。管道的开挖和回填过程中势必会对土壤原有层次产生扰动和破坏，若不同质地、不同层次的土壤混合，将直接影响植物的生长。井场距离耕地的最近距离为100m，项目不占用耕地，施工期各种施工机械及车辆沿已有道路行驶，施工人员</w:t>
      </w:r>
      <w:r>
        <w:rPr>
          <w:rFonts w:hint="eastAsia"/>
          <w:color w:val="000000" w:themeColor="text1"/>
          <w14:textFill>
            <w14:solidFill>
              <w14:schemeClr w14:val="tx1"/>
            </w14:solidFill>
          </w14:textFill>
        </w:rPr>
        <w:t>在施工区范围内活动，施工期产生的废水、固体废物禁止乱排，尤其是禁止排至耕地里，施工期不会对耕地内的土壤环境产生不利影响。</w:t>
      </w:r>
    </w:p>
    <w:p w14:paraId="150DA133">
      <w:pPr>
        <w:pStyle w:val="117"/>
        <w:spacing w:line="480" w:lineRule="exact"/>
        <w:ind w:firstLine="480"/>
        <w:rPr>
          <w:rFonts w:hint="eastAsia" w:cs="宋体"/>
          <w:color w:val="000000" w:themeColor="text1"/>
          <w:lang w:val="zh-CN"/>
          <w14:textFill>
            <w14:solidFill>
              <w14:schemeClr w14:val="tx1"/>
            </w14:solidFill>
          </w14:textFill>
        </w:rPr>
      </w:pPr>
      <w:r>
        <w:rPr>
          <w:rFonts w:hint="eastAsia" w:cs="宋体"/>
          <w:color w:val="000000" w:themeColor="text1"/>
          <w:lang w:val="zh-CN"/>
          <w14:textFill>
            <w14:solidFill>
              <w14:schemeClr w14:val="tx1"/>
            </w14:solidFill>
          </w14:textFill>
        </w:rPr>
        <w:t>（</w:t>
      </w:r>
      <w:r>
        <w:rPr>
          <w:rFonts w:cs="宋体"/>
          <w:color w:val="000000" w:themeColor="text1"/>
          <w:lang w:val="zh-CN"/>
          <w14:textFill>
            <w14:solidFill>
              <w14:schemeClr w14:val="tx1"/>
            </w14:solidFill>
          </w14:textFill>
        </w:rPr>
        <w:t>2</w:t>
      </w:r>
      <w:r>
        <w:rPr>
          <w:rFonts w:hint="eastAsia" w:cs="宋体"/>
          <w:color w:val="000000" w:themeColor="text1"/>
          <w:lang w:val="zh-CN"/>
          <w14:textFill>
            <w14:solidFill>
              <w14:schemeClr w14:val="tx1"/>
            </w14:solidFill>
          </w14:textFill>
        </w:rPr>
        <w:t>）废弃物排放对土壤环境的影响分析</w:t>
      </w:r>
    </w:p>
    <w:p w14:paraId="46EDD993">
      <w:pPr>
        <w:pStyle w:val="117"/>
        <w:spacing w:line="480" w:lineRule="exact"/>
        <w:ind w:firstLine="480"/>
        <w:rPr>
          <w:rFonts w:hint="eastAsia" w:cs="宋体"/>
          <w:color w:val="000000" w:themeColor="text1"/>
          <w:lang w:val="zh-CN"/>
          <w14:textFill>
            <w14:solidFill>
              <w14:schemeClr w14:val="tx1"/>
            </w14:solidFill>
          </w14:textFill>
        </w:rPr>
      </w:pPr>
      <w:r>
        <w:rPr>
          <w:rFonts w:hint="eastAsia" w:cs="宋体"/>
          <w:color w:val="000000" w:themeColor="text1"/>
          <w:lang w:val="zh-CN"/>
          <w14:textFill>
            <w14:solidFill>
              <w14:schemeClr w14:val="tx1"/>
            </w14:solidFill>
          </w14:textFill>
        </w:rPr>
        <w:t>施工期各种原辅料堆放，如各类施工设备、原辅料堆放及各类施工废弃物暂存等，若遇防渗措施破损或大雨淋滤等情况，导致物料泄漏、废弃物渗滤液直接进入土壤，对土壤造成污染影响。</w:t>
      </w:r>
    </w:p>
    <w:p w14:paraId="2DC0BCA6">
      <w:pPr>
        <w:pStyle w:val="4"/>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施工期生态环境影响分析</w:t>
      </w:r>
    </w:p>
    <w:p w14:paraId="5611FF2D">
      <w:pPr>
        <w:pStyle w:val="117"/>
        <w:ind w:firstLine="480"/>
        <w:rPr>
          <w:rFonts w:hint="eastAsia"/>
          <w:color w:val="000000" w:themeColor="text1"/>
          <w14:textFill>
            <w14:solidFill>
              <w14:schemeClr w14:val="tx1"/>
            </w14:solidFill>
          </w14:textFill>
        </w:rPr>
      </w:pPr>
      <w:bookmarkStart w:id="513" w:name="_Hlk147587115"/>
      <w:r>
        <w:rPr>
          <w:rFonts w:hint="eastAsia"/>
          <w:color w:val="000000" w:themeColor="text1"/>
          <w14:textFill>
            <w14:solidFill>
              <w14:schemeClr w14:val="tx1"/>
            </w14:solidFill>
          </w14:textFill>
        </w:rPr>
        <w:t>施工期生态影响主要表现为占地影响，临时占地主要为单井采油管线、集油支线、单井注气管线等施工临时占用，永久占地主要为采油井场、预处理注入站、道路占地。施工结束后，永久占地被永久性构筑物代替，这部分占地的土壤类型、土地利用类型和植被类型将发生彻底的改变，永久占地使原先土壤——植被复合体构成的自然地表被各类人工构造物长期取代；临时占地伴随着永久性占地的工程建设而发生，也不可避免地对原有地表造成破坏，使原有土壤—植被自然体系受到影响或瓦解，在扰动结束后，临时占地影响区的土壤—植被体系的恢复能力与程度取决于临时占地影响程度的大小及原先的生态背景状况。施工活动和工程占地在油区范围内并呈点线状分布，对土壤、植物、野生动物等各生态要素产生不同程度的影响，同时也对原有景观结构和生态系统产生一定程度影响。</w:t>
      </w:r>
    </w:p>
    <w:p w14:paraId="0B773725">
      <w:pPr>
        <w:pStyle w:val="117"/>
        <w:ind w:firstLine="480"/>
        <w:rPr>
          <w:rFonts w:hint="eastAsia"/>
          <w:color w:val="000000" w:themeColor="text1"/>
          <w14:textFill>
            <w14:solidFill>
              <w14:schemeClr w14:val="tx1"/>
            </w14:solidFill>
          </w14:textFill>
        </w:rPr>
      </w:pPr>
      <w:bookmarkStart w:id="514" w:name="OLE_LINK160"/>
      <w:r>
        <w:rPr>
          <w:rFonts w:hint="eastAsia"/>
          <w:color w:val="000000" w:themeColor="text1"/>
          <w14:textFill>
            <w14:solidFill>
              <w14:schemeClr w14:val="tx1"/>
            </w14:solidFill>
          </w14:textFill>
        </w:rPr>
        <w:t>（</w:t>
      </w:r>
      <w:r>
        <w:rPr>
          <w:color w:val="000000" w:themeColor="text1"/>
          <w14:textFill>
            <w14:solidFill>
              <w14:schemeClr w14:val="tx1"/>
            </w14:solidFill>
          </w14:textFill>
        </w:rPr>
        <w:t>1</w:t>
      </w:r>
      <w:r>
        <w:rPr>
          <w:rFonts w:hint="eastAsia"/>
          <w:color w:val="000000" w:themeColor="text1"/>
          <w14:textFill>
            <w14:solidFill>
              <w14:schemeClr w14:val="tx1"/>
            </w14:solidFill>
          </w14:textFill>
        </w:rPr>
        <w:t>）对植物影响分析</w:t>
      </w:r>
    </w:p>
    <w:p w14:paraId="778B3917">
      <w:pPr>
        <w:pStyle w:val="117"/>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①工程占地对植物的影响分析</w:t>
      </w:r>
    </w:p>
    <w:p w14:paraId="331A1F77">
      <w:pPr>
        <w:pStyle w:val="117"/>
        <w:ind w:firstLine="480"/>
        <w:rPr>
          <w:rFonts w:hint="eastAsia"/>
          <w:color w:val="000000" w:themeColor="text1"/>
          <w14:textFill>
            <w14:solidFill>
              <w14:schemeClr w14:val="tx1"/>
            </w14:solidFill>
          </w14:textFill>
        </w:rPr>
      </w:pPr>
      <w:r>
        <w:rPr>
          <w:rFonts w:hint="eastAsia"/>
          <w:bCs/>
          <w:color w:val="000000" w:themeColor="text1"/>
          <w14:textFill>
            <w14:solidFill>
              <w14:schemeClr w14:val="tx1"/>
            </w14:solidFill>
          </w14:textFill>
        </w:rPr>
        <w:t>工程占地主要为采油井场、预处理注入站、单井采油管线、集油支线、道路等，总占地面积为</w:t>
      </w:r>
      <w:r>
        <w:rPr>
          <w:rFonts w:hint="eastAsia"/>
          <w:color w:val="000000" w:themeColor="text1"/>
          <w14:textFill>
            <w14:solidFill>
              <w14:schemeClr w14:val="tx1"/>
            </w14:solidFill>
          </w14:textFill>
        </w:rPr>
        <w:t>118881</w:t>
      </w:r>
      <w:r>
        <w:rPr>
          <w:rFonts w:hint="eastAsia"/>
          <w:bCs/>
          <w:color w:val="000000" w:themeColor="text1"/>
          <w14:textFill>
            <w14:solidFill>
              <w14:schemeClr w14:val="tx1"/>
            </w14:solidFill>
          </w14:textFill>
        </w:rPr>
        <w:t>m</w:t>
      </w:r>
      <w:r>
        <w:rPr>
          <w:rFonts w:hint="eastAsia"/>
          <w:bCs/>
          <w:color w:val="000000" w:themeColor="text1"/>
          <w:vertAlign w:val="superscript"/>
          <w14:textFill>
            <w14:solidFill>
              <w14:schemeClr w14:val="tx1"/>
            </w14:solidFill>
          </w14:textFill>
        </w:rPr>
        <w:t>2</w:t>
      </w:r>
      <w:r>
        <w:rPr>
          <w:rFonts w:hint="eastAsia"/>
          <w:bCs/>
          <w:color w:val="000000" w:themeColor="text1"/>
          <w14:textFill>
            <w14:solidFill>
              <w14:schemeClr w14:val="tx1"/>
            </w14:solidFill>
          </w14:textFill>
        </w:rPr>
        <w:t>，其中永久占地6801m</w:t>
      </w:r>
      <w:r>
        <w:rPr>
          <w:rFonts w:hint="eastAsia"/>
          <w:bCs/>
          <w:color w:val="000000" w:themeColor="text1"/>
          <w:vertAlign w:val="superscript"/>
          <w14:textFill>
            <w14:solidFill>
              <w14:schemeClr w14:val="tx1"/>
            </w14:solidFill>
          </w14:textFill>
        </w:rPr>
        <w:t>2</w:t>
      </w:r>
      <w:r>
        <w:rPr>
          <w:rFonts w:hint="eastAsia"/>
          <w:bCs/>
          <w:color w:val="000000" w:themeColor="text1"/>
          <w14:textFill>
            <w14:solidFill>
              <w14:schemeClr w14:val="tx1"/>
            </w14:solidFill>
          </w14:textFill>
        </w:rPr>
        <w:t>，临时占地112080m</w:t>
      </w:r>
      <w:r>
        <w:rPr>
          <w:rFonts w:hint="eastAsia"/>
          <w:bCs/>
          <w:color w:val="000000" w:themeColor="text1"/>
          <w:vertAlign w:val="superscript"/>
          <w14:textFill>
            <w14:solidFill>
              <w14:schemeClr w14:val="tx1"/>
            </w14:solidFill>
          </w14:textFill>
        </w:rPr>
        <w:t>2</w:t>
      </w:r>
      <w:r>
        <w:rPr>
          <w:rFonts w:hint="eastAsia"/>
          <w:bCs/>
          <w:color w:val="000000" w:themeColor="text1"/>
          <w14:textFill>
            <w14:solidFill>
              <w14:schemeClr w14:val="tx1"/>
            </w14:solidFill>
          </w14:textFill>
        </w:rPr>
        <w:t>，</w:t>
      </w:r>
      <w:r>
        <w:rPr>
          <w:rFonts w:hint="eastAsia"/>
          <w:color w:val="000000" w:themeColor="text1"/>
          <w14:textFill>
            <w14:solidFill>
              <w14:schemeClr w14:val="tx1"/>
            </w14:solidFill>
          </w14:textFill>
        </w:rPr>
        <w:t>占地类型为牧草地。</w:t>
      </w:r>
      <w:bookmarkEnd w:id="514"/>
      <w:r>
        <w:rPr>
          <w:rFonts w:hint="eastAsia"/>
          <w:color w:val="000000" w:themeColor="text1"/>
          <w14:textFill>
            <w14:solidFill>
              <w14:schemeClr w14:val="tx1"/>
            </w14:solidFill>
          </w14:textFill>
        </w:rPr>
        <w:t>各项施工作业对植被的主要影响是土地的占用和施工阶段清场过程中对地表植被的清理和碾压。场站施工过程中有一部分地表土地被各种构筑物或砾石覆盖，永久性地改变了原有土地的利用类型，对原有植被造成了永久的破坏。临时占地范围内地表植被及地表结构却发生了较大的变化，地表保护层被破坏后，稳定性下降，防止水土流失的能力也随之下降。在工程施工结束后，土地将不再受人为扰动，逐步自然恢复，重新回到原来的自然状态。</w:t>
      </w:r>
    </w:p>
    <w:p w14:paraId="0C35F8AB">
      <w:pPr>
        <w:pStyle w:val="117"/>
        <w:ind w:firstLine="480"/>
        <w:rPr>
          <w:rFonts w:hint="eastAsia"/>
          <w:color w:val="000000" w:themeColor="text1"/>
          <w14:textFill>
            <w14:solidFill>
              <w14:schemeClr w14:val="tx1"/>
            </w14:solidFill>
          </w14:textFill>
        </w:rPr>
      </w:pPr>
      <w:bookmarkStart w:id="515" w:name="OLE_LINK161"/>
      <w:r>
        <w:rPr>
          <w:rFonts w:hint="eastAsia"/>
          <w:color w:val="000000" w:themeColor="text1"/>
          <w14:textFill>
            <w14:solidFill>
              <w14:schemeClr w14:val="tx1"/>
            </w14:solidFill>
          </w14:textFill>
        </w:rPr>
        <w:t>工程占地及施工人员、机械活动会对区域植物产生一定的影响，本项目占地类型为天然牧草地，属于正在发展的荒漠化，在施工结束的</w:t>
      </w:r>
      <w:r>
        <w:rPr>
          <w:color w:val="000000" w:themeColor="text1"/>
          <w14:textFill>
            <w14:solidFill>
              <w14:schemeClr w14:val="tx1"/>
            </w14:solidFill>
          </w14:textFill>
        </w:rPr>
        <w:t>2a</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3a</w:t>
      </w:r>
      <w:r>
        <w:rPr>
          <w:rFonts w:hint="eastAsia"/>
          <w:color w:val="000000" w:themeColor="text1"/>
          <w14:textFill>
            <w14:solidFill>
              <w14:schemeClr w14:val="tx1"/>
            </w14:solidFill>
          </w14:textFill>
        </w:rPr>
        <w:t>中，将影响占地范围之内的植被初级生产力，其生物损失量参照《陆地石油天然气开发建设项目环境影响评价技术导则》（</w:t>
      </w:r>
      <w:r>
        <w:rPr>
          <w:color w:val="000000" w:themeColor="text1"/>
          <w14:textFill>
            <w14:solidFill>
              <w14:schemeClr w14:val="tx1"/>
            </w14:solidFill>
          </w14:textFill>
        </w:rPr>
        <w:t>HJ/T349-2007</w:t>
      </w:r>
      <w:r>
        <w:rPr>
          <w:rFonts w:hint="eastAsia"/>
          <w:color w:val="000000" w:themeColor="text1"/>
          <w14:textFill>
            <w14:solidFill>
              <w14:schemeClr w14:val="tx1"/>
            </w14:solidFill>
          </w14:textFill>
        </w:rPr>
        <w:t>）中荒漠化量化指标2.9</w:t>
      </w:r>
      <w:r>
        <w:rPr>
          <w:color w:val="000000" w:themeColor="text1"/>
          <w14:textFill>
            <w14:solidFill>
              <w14:schemeClr w14:val="tx1"/>
            </w14:solidFill>
          </w14:textFill>
        </w:rPr>
        <w:t>t/</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hm</w:t>
      </w:r>
      <w:r>
        <w:rPr>
          <w:color w:val="000000" w:themeColor="text1"/>
          <w:vertAlign w:val="superscript"/>
          <w14:textFill>
            <w14:solidFill>
              <w14:schemeClr w14:val="tx1"/>
            </w14:solidFill>
          </w14:textFill>
        </w:rPr>
        <w:t>2</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a</w:t>
      </w:r>
      <w:r>
        <w:rPr>
          <w:rFonts w:hint="eastAsia"/>
          <w:color w:val="000000" w:themeColor="text1"/>
          <w14:textFill>
            <w14:solidFill>
              <w14:schemeClr w14:val="tx1"/>
            </w14:solidFill>
          </w14:textFill>
        </w:rPr>
        <w:t>）计算，约为34.5</w:t>
      </w:r>
      <w:r>
        <w:rPr>
          <w:color w:val="000000" w:themeColor="text1"/>
          <w14:textFill>
            <w14:solidFill>
              <w14:schemeClr w14:val="tx1"/>
            </w14:solidFill>
          </w14:textFill>
        </w:rPr>
        <w:t>t/a</w:t>
      </w:r>
      <w:r>
        <w:rPr>
          <w:rFonts w:hint="eastAsia"/>
          <w:color w:val="000000" w:themeColor="text1"/>
          <w14:textFill>
            <w14:solidFill>
              <w14:schemeClr w14:val="tx1"/>
            </w14:solidFill>
          </w14:textFill>
        </w:rPr>
        <w:t>，当临时性占地的植被得到初步恢复后，这种损失将逐渐减少。通过加强环保宣传教育，以及严格的环境保护管理措施，可以有效地避免施工及人员活动对保护植物的破坏。</w:t>
      </w:r>
    </w:p>
    <w:p w14:paraId="0D9162D5">
      <w:pPr>
        <w:pStyle w:val="117"/>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建设单位正在严格按照有关规定办理用地审批手续，按照正式征地文件对所占用的天然牧草地进行经济补偿，施工结束后及时对占地进行植被恢复；运输车辆沿道路行驶，禁止乱压乱碾；通过加强环保宣传教育，普及野生动物保护相关法律法规，以及严格的环境保护管理措施，可以有效地避免施工及人员活动对保护植物的破坏，项目实施不会对项目区的植被类型及植被覆盖度产生太大影响。</w:t>
      </w:r>
    </w:p>
    <w:bookmarkEnd w:id="515"/>
    <w:p w14:paraId="1D894D63">
      <w:pPr>
        <w:pStyle w:val="117"/>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②施工人员活动对植物的影响分析</w:t>
      </w:r>
    </w:p>
    <w:p w14:paraId="376A97CC">
      <w:pPr>
        <w:pStyle w:val="117"/>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井区开发建设过程中大量人员、机械进入项目区，使项目区环境中人类活动频率大幅度增加，对植被的影响主要表现在人类和机械对植物的踩踏和碾压，使原生植被生境发生较大变化。荒漠区单位面积上人口密度的增加将导致工程开发范围内及边缘区域地表土壤被践踏和自然植被覆盖率减少，使工程区域内局部地带沙漠化的可能性增加。</w:t>
      </w:r>
    </w:p>
    <w:p w14:paraId="0F4E35DE">
      <w:pPr>
        <w:pStyle w:val="117"/>
        <w:ind w:firstLine="480"/>
        <w:rPr>
          <w:rFonts w:hint="eastAsia"/>
          <w:color w:val="000000" w:themeColor="text1"/>
          <w14:textFill>
            <w14:solidFill>
              <w14:schemeClr w14:val="tx1"/>
            </w14:solidFill>
          </w14:textFill>
        </w:rPr>
      </w:pPr>
      <w:bookmarkStart w:id="516" w:name="OLE_LINK162"/>
      <w:r>
        <w:rPr>
          <w:rFonts w:hint="eastAsia"/>
          <w:color w:val="000000" w:themeColor="text1"/>
          <w14:textFill>
            <w14:solidFill>
              <w14:schemeClr w14:val="tx1"/>
            </w14:solidFill>
          </w14:textFill>
        </w:rPr>
        <w:t>③污染物排放对植物的影响分析</w:t>
      </w:r>
    </w:p>
    <w:p w14:paraId="4675476F">
      <w:pPr>
        <w:pStyle w:val="117"/>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施工期产生的试压废水、</w:t>
      </w:r>
      <w:r>
        <w:rPr>
          <w:rFonts w:hint="eastAsia" w:cs="宋体"/>
          <w:color w:val="000000" w:themeColor="text1"/>
          <w:lang w:val="zh-CN"/>
          <w14:textFill>
            <w14:solidFill>
              <w14:schemeClr w14:val="tx1"/>
            </w14:solidFill>
          </w14:textFill>
        </w:rPr>
        <w:t>混凝土养护废水和洗井废水，管道试压废水和混凝土养护废水污染物主要为悬浮物，用于项目区的洒水抑尘；洗井废水主要产生于井场内，集中收集后由罐车拉运至压裂返排液处理装置处理；建筑垃圾及时清运，废水和固体废物均得到妥善处置，不会对周围植物产生明显不利影响。</w:t>
      </w:r>
    </w:p>
    <w:p w14:paraId="1C425999">
      <w:pPr>
        <w:pStyle w:val="117"/>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④对农作物的影响分析</w:t>
      </w:r>
    </w:p>
    <w:p w14:paraId="3874081E">
      <w:pPr>
        <w:pStyle w:val="117"/>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项目区周围有耕地，农作物主要为玉米、苜蓿等，项目不占用耕地，施工期严格控制施工作业带宽度，并加强施工人员活动范围，禁止随意踩踏农作物，禁止将废水及固体废物倒入耕地中，加强施工期的环境管理，不会对周围农作物产生明显不利影响。</w:t>
      </w:r>
    </w:p>
    <w:bookmarkEnd w:id="513"/>
    <w:bookmarkEnd w:id="516"/>
    <w:p w14:paraId="56682FF4">
      <w:pPr>
        <w:pStyle w:val="117"/>
        <w:adjustRightInd w:val="0"/>
        <w:snapToGrid w:val="0"/>
        <w:ind w:firstLine="480"/>
        <w:rPr>
          <w:rFonts w:hint="eastAsia" w:cs="宋体"/>
          <w:color w:val="000000" w:themeColor="text1"/>
          <w:lang w:bidi="ar"/>
          <w14:textFill>
            <w14:solidFill>
              <w14:schemeClr w14:val="tx1"/>
            </w14:solidFill>
          </w14:textFill>
        </w:rPr>
      </w:pPr>
      <w:r>
        <w:rPr>
          <w:rFonts w:hint="eastAsia"/>
          <w:color w:val="000000" w:themeColor="text1"/>
          <w14:textFill>
            <w14:solidFill>
              <w14:schemeClr w14:val="tx1"/>
            </w14:solidFill>
          </w14:textFill>
        </w:rPr>
        <w:t>（3）</w:t>
      </w:r>
      <w:r>
        <w:rPr>
          <w:rFonts w:hint="eastAsia" w:cs="宋体"/>
          <w:color w:val="000000" w:themeColor="text1"/>
          <w:lang w:bidi="ar"/>
          <w14:textFill>
            <w14:solidFill>
              <w14:schemeClr w14:val="tx1"/>
            </w14:solidFill>
          </w14:textFill>
        </w:rPr>
        <w:t>对野生动物影响分析</w:t>
      </w:r>
    </w:p>
    <w:p w14:paraId="7604814C">
      <w:pPr>
        <w:pStyle w:val="117"/>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地面工程施工和运营对陆栖动物的影响具体表现为破坏植被导致动物栖息地受到损害，道路和管线施工可能阻断动物活动路线，以及施工与运营噪声、废气对动物的不良影响等方面。</w:t>
      </w:r>
    </w:p>
    <w:p w14:paraId="25E142C3">
      <w:pPr>
        <w:pStyle w:val="117"/>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施工期对野生动物的影响分为直接影响和间接影响两个方面，主要表现在对生存环境、分布范围和种群数量的影响。直接影响主要表现为建设项目占地，使野生动物的原始生存环境被破坏或改变；间接影响主要表现为由于植被的减少或污染破坏而引起野生动物食物来源减少。钻井工程和地面工程等施工过程中，由于机械设备的轰鸣惊扰、人群活动的增加，使区域内单位面积上的动物种群数量下降。但此类影响对爬行类和小型啮齿动物的干扰不大，它们能很快适应当地的环境，并重建新栖息地。</w:t>
      </w:r>
    </w:p>
    <w:p w14:paraId="4DCAF9F2">
      <w:pPr>
        <w:pStyle w:val="117"/>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本项目建成后人类活动降低，仅日常巡井和管线巡检等检查活动，对区域野生动物影响较小。</w:t>
      </w:r>
    </w:p>
    <w:p w14:paraId="7EE3A136">
      <w:pPr>
        <w:pStyle w:val="117"/>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（4）对生态系统结构、功能的影响</w:t>
      </w:r>
    </w:p>
    <w:p w14:paraId="7DAC8ED2">
      <w:pPr>
        <w:pStyle w:val="117"/>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管线工程、采油井场、道路等建设活动对原有生态系统结构的完整性有一定的影响，会降低生态系统的生产力，导致生态系统部分物质循环受阻，能量流动中断，因此将对区域内生物的栖息环境产生不良影响。同时项目区内系统自我调节能力减弱，受扰动后恢复能力降低，生态稳定性降低，生物种群、数量将受到一定程度的影响，但项目占地面积小，对生态系统结构和功能的影响较小，对评价范围内生态系统完整性影响亦较小，生态系统完整性变化主要受区域自然环境变化影响。项目建设加大了评价区人为干扰的力度，同时也加剧局部区域由自然荒漠生态系统向人工生态系统演替的趋势。项目占地类型为天然牧草地，地表植被稀疏，由于工程造成的生物量损失较小，不会造成区域的生物多样性下降，加上占地面积有限，区域生态系统仍保持开放、物质循环和能量流动。因此对于评价区生态系统的完整性影响较小，其生态稳定性及其结构与功能也不会受到明显影响，项目实施造成的不利影响均在可接受的范围内。</w:t>
      </w:r>
    </w:p>
    <w:p w14:paraId="5FF01861">
      <w:pPr>
        <w:pStyle w:val="117"/>
        <w:adjustRightInd w:val="0"/>
        <w:snapToGrid w:val="0"/>
        <w:ind w:firstLine="480"/>
        <w:rPr>
          <w:rFonts w:hint="eastAsia" w:cs="宋体"/>
          <w:color w:val="000000" w:themeColor="text1"/>
          <w:kern w:val="0"/>
          <w:lang w:bidi="ar"/>
          <w14:textFill>
            <w14:solidFill>
              <w14:schemeClr w14:val="tx1"/>
            </w14:solidFill>
          </w14:textFill>
        </w:rPr>
      </w:pPr>
      <w:r>
        <w:rPr>
          <w:rFonts w:hint="eastAsia" w:cs="宋体"/>
          <w:color w:val="000000" w:themeColor="text1"/>
          <w:lang w:bidi="ar"/>
          <w14:textFill>
            <w14:solidFill>
              <w14:schemeClr w14:val="tx1"/>
            </w14:solidFill>
          </w14:textFill>
        </w:rPr>
        <w:t>（</w:t>
      </w:r>
      <w:r>
        <w:rPr>
          <w:rFonts w:cs="宋体"/>
          <w:color w:val="000000" w:themeColor="text1"/>
          <w:lang w:bidi="ar"/>
          <w14:textFill>
            <w14:solidFill>
              <w14:schemeClr w14:val="tx1"/>
            </w14:solidFill>
          </w14:textFill>
        </w:rPr>
        <w:t>5</w:t>
      </w:r>
      <w:r>
        <w:rPr>
          <w:rFonts w:hint="eastAsia" w:cs="宋体"/>
          <w:color w:val="000000" w:themeColor="text1"/>
          <w:lang w:bidi="ar"/>
          <w14:textFill>
            <w14:solidFill>
              <w14:schemeClr w14:val="tx1"/>
            </w14:solidFill>
          </w14:textFill>
        </w:rPr>
        <w:t>）对区域景观影响分析</w:t>
      </w:r>
    </w:p>
    <w:p w14:paraId="18E43874">
      <w:pPr>
        <w:pStyle w:val="117"/>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景观是指地表空间相对稳定的景物或景象，是一个空间高度异质性的区域，由相互作用的景观元素或生态系统，按一定的空间组合规律及相似的形式重复出现而形成。</w:t>
      </w:r>
    </w:p>
    <w:p w14:paraId="06566D3F">
      <w:pPr>
        <w:pStyle w:val="117"/>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油田开发区属于景观生态等级自然体系和人工体系的复合体，它是由荒漠生态系统和道路等景观相间组成。项目区属于页岩油老区块开发建设，区域已形成了油田生产设施、道路及荒漠生态系统的景观，本项目占地面积不大，实施后可以与现有的区域景观相协调。</w:t>
      </w:r>
    </w:p>
    <w:p w14:paraId="3CA9B8B8">
      <w:pPr>
        <w:pStyle w:val="117"/>
        <w:ind w:firstLine="480"/>
        <w:rPr>
          <w:rFonts w:hint="eastAsia"/>
          <w:color w:val="000000" w:themeColor="text1"/>
          <w14:textFill>
            <w14:solidFill>
              <w14:schemeClr w14:val="tx1"/>
            </w14:solidFill>
          </w14:textFill>
        </w:rPr>
      </w:pPr>
      <w:bookmarkStart w:id="517" w:name="OLE_LINK163"/>
      <w:r>
        <w:rPr>
          <w:rFonts w:hint="eastAsia"/>
          <w:color w:val="000000" w:themeColor="text1"/>
          <w14:textFill>
            <w14:solidFill>
              <w14:schemeClr w14:val="tx1"/>
            </w14:solidFill>
          </w14:textFill>
        </w:rPr>
        <w:t>（6）生态系统稳定性、完整性分析</w:t>
      </w:r>
    </w:p>
    <w:p w14:paraId="56203279">
      <w:pPr>
        <w:pStyle w:val="117"/>
        <w:spacing w:line="480" w:lineRule="exact"/>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本项目开发区的基质主要是荒漠生态景观，荒漠生态景观稳定性较差，异质化程度低，生态体系的稳定性和必要的抵御干扰的柔韧性差。在油田开发如井场、站场、管线、道路等建设中，新设施的增加及永久性构筑物的作用，不但不会使区域内异质化程度降低，反而在一定程度上会增加区域的异质性。区域的异质性越大，抵抗外界干扰的能力就越大。因而油田开发建设不会改变区域内景观生态的稳定性及完整性。</w:t>
      </w:r>
    </w:p>
    <w:p w14:paraId="2C3D3EAC">
      <w:pPr>
        <w:pStyle w:val="117"/>
        <w:spacing w:line="480" w:lineRule="exact"/>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油田开发加大了评价区人为干扰的力度，同时也加剧局部区域有自然荒漠生态系统向人工生态系统演替的趋势；但是由于本项目占地面积较小，区域生态系统仍保持开放、物质循环和能量流动。因此对于评价区生态系统的完整性影响较小，其生态稳定性及其结构与功能也不会受到明显影响。</w:t>
      </w:r>
    </w:p>
    <w:bookmarkEnd w:id="517"/>
    <w:p w14:paraId="449A29D8">
      <w:pPr>
        <w:pStyle w:val="4"/>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水土流失影响分析</w:t>
      </w:r>
    </w:p>
    <w:p w14:paraId="694429BE">
      <w:pPr>
        <w:pStyle w:val="117"/>
        <w:ind w:firstLine="480"/>
        <w:rPr>
          <w:rFonts w:hint="eastAsia"/>
          <w:color w:val="000000" w:themeColor="text1"/>
          <w14:textFill>
            <w14:solidFill>
              <w14:schemeClr w14:val="tx1"/>
            </w14:solidFill>
          </w14:textFill>
        </w:rPr>
      </w:pPr>
      <w:bookmarkStart w:id="518" w:name="_Hlk160376615"/>
      <w:r>
        <w:rPr>
          <w:rFonts w:hint="eastAsia"/>
          <w:color w:val="000000" w:themeColor="text1"/>
          <w14:textFill>
            <w14:solidFill>
              <w14:schemeClr w14:val="tx1"/>
            </w14:solidFill>
          </w14:textFill>
        </w:rPr>
        <w:t>项目对水土流失影响的方式包括地表扰动、植被损坏、管沟开挖及破坏原地貌、地表土壤结构。施工时场地平整、土方堆放、机械作业人员活动等都会加剧水土流失。油田开发过程中加剧水土流失的不良影响主要表现在以下几个方面：</w:t>
      </w:r>
    </w:p>
    <w:p w14:paraId="77025BE6">
      <w:pPr>
        <w:pStyle w:val="117"/>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①施工时施工车辆对地表的大面积碾压，使所经过地段的植被和地表结构遭到不同程度的破坏，</w:t>
      </w:r>
      <w:r>
        <w:rPr>
          <w:color w:val="000000" w:themeColor="text1"/>
          <w14:textFill>
            <w14:solidFill>
              <w14:schemeClr w14:val="tx1"/>
            </w14:solidFill>
          </w14:textFill>
        </w:rPr>
        <w:t>降低了项目占地范围内的土壤抗侵蚀能力，若在施工过程中不加以治理和防护，遇大风天气易产生严重的水土流失现象。</w:t>
      </w:r>
    </w:p>
    <w:p w14:paraId="308C8CC1">
      <w:pPr>
        <w:pStyle w:val="117"/>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②井场、预处理注入站、集输管线、道路的敷设及配套工程的建设，使临时占地范围内的土壤地表表层遭到破坏，下层的粉细物质暴露在地层表面，在风力的作用下，风蚀量会明显加大，这种影响在短时间内不会完全恢复。但随着时间的推移，风蚀量会随着地表新保护层的逐渐形成而减弱。井场、预处理注入站、道路等永久占地范围内采用砾石铺垫，可减少区域水土流失。</w:t>
      </w:r>
    </w:p>
    <w:p w14:paraId="1B0087E1">
      <w:pPr>
        <w:pStyle w:val="117"/>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③管线施工采用明沟开挖方式，管沟开挖土方在管道一侧临时堆放，施工期内，管沟边堆起一道临时土垄，在大风状态下易发生风力侵蚀，即使在堆土回填后风蚀量会有所减少，但地表仍为疏松地带，需要一个较长的恢复阶段。</w:t>
      </w:r>
    </w:p>
    <w:p w14:paraId="7E698C50">
      <w:pPr>
        <w:pStyle w:val="117"/>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建设单位在采取一系列的水土保持措施后，对</w:t>
      </w:r>
      <w:r>
        <w:rPr>
          <w:rFonts w:hint="eastAsia"/>
          <w:color w:val="000000" w:themeColor="text1"/>
          <w:lang w:eastAsia="zh-CN"/>
          <w14:textFill>
            <w14:solidFill>
              <w14:schemeClr w14:val="tx1"/>
            </w14:solidFill>
          </w14:textFill>
        </w:rPr>
        <w:t>防治荒漠化</w:t>
      </w:r>
      <w:r>
        <w:rPr>
          <w:rFonts w:hint="eastAsia"/>
          <w:color w:val="000000" w:themeColor="text1"/>
          <w14:textFill>
            <w14:solidFill>
              <w14:schemeClr w14:val="tx1"/>
            </w14:solidFill>
          </w14:textFill>
        </w:rPr>
        <w:t>促进生态环境的恢复起到了良好的作用，可将水土流失的程度降低到最低限度。</w:t>
      </w:r>
    </w:p>
    <w:bookmarkEnd w:id="518"/>
    <w:p w14:paraId="3238E781">
      <w:pPr>
        <w:pStyle w:val="4"/>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土地沙化环境影响分析</w:t>
      </w:r>
    </w:p>
    <w:p w14:paraId="4C15FEE1">
      <w:pPr>
        <w:pStyle w:val="117"/>
        <w:spacing w:line="480" w:lineRule="exact"/>
        <w:ind w:firstLine="480"/>
        <w:rPr>
          <w:rFonts w:hint="eastAsia" w:cs="宋体"/>
          <w:color w:val="000000" w:themeColor="text1"/>
          <w:kern w:val="0"/>
          <w14:textFill>
            <w14:solidFill>
              <w14:schemeClr w14:val="tx1"/>
            </w14:solidFill>
          </w14:textFill>
        </w:rPr>
      </w:pPr>
      <w:r>
        <w:rPr>
          <w:rFonts w:hint="eastAsia"/>
          <w:color w:val="000000" w:themeColor="text1"/>
          <w14:textFill>
            <w14:solidFill>
              <w14:schemeClr w14:val="tx1"/>
            </w14:solidFill>
          </w14:textFill>
        </w:rPr>
        <w:t>项目所在区域为非沙化土地，井场平整、管沟开挖、</w:t>
      </w:r>
      <w:r>
        <w:rPr>
          <w:rFonts w:hint="eastAsia" w:cs="宋体"/>
          <w:color w:val="000000" w:themeColor="text1"/>
          <w:kern w:val="0"/>
          <w14:textFill>
            <w14:solidFill>
              <w14:schemeClr w14:val="tx1"/>
            </w14:solidFill>
          </w14:textFill>
        </w:rPr>
        <w:t>车辆碾压等工程将扰动原有地貌，施工过程中对地表的大面积碾压，使所经过地段的植被和地表结构遭到不同程度的破坏，使风蚀荒漠化的过程加剧，降低项目占地范围内的土壤抗侵蚀能力，造成局部土地沙化。</w:t>
      </w:r>
      <w:r>
        <w:rPr>
          <w:rFonts w:cs="宋体"/>
          <w:color w:val="000000" w:themeColor="text1"/>
          <w:kern w:val="0"/>
          <w14:textFill>
            <w14:solidFill>
              <w14:schemeClr w14:val="tx1"/>
            </w14:solidFill>
          </w14:textFill>
        </w:rPr>
        <w:t>管沟开挖过程中，若未采取分层开挖、分层回填措施，可能导致土壤的蓄水保肥能力降低，影响区域植被生长，造成土壤逐渐沙化。</w:t>
      </w:r>
      <w:r>
        <w:rPr>
          <w:rFonts w:hint="eastAsia" w:cs="宋体"/>
          <w:color w:val="000000" w:themeColor="text1"/>
          <w:kern w:val="0"/>
          <w14:textFill>
            <w14:solidFill>
              <w14:schemeClr w14:val="tx1"/>
            </w14:solidFill>
          </w14:textFill>
        </w:rPr>
        <w:t>此外，在施工过程中，各种车辆（尤其是重型卡车）如乱碾压行驶，将使经过的土壤变得紧实，严重的经过多次碾压后植物很难再生长，甚至退化为沙地。</w:t>
      </w:r>
    </w:p>
    <w:p w14:paraId="02DFCE5D">
      <w:pPr>
        <w:pStyle w:val="117"/>
        <w:spacing w:line="480" w:lineRule="exact"/>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施工结束后对永久占地进行地面硬化，以减少风蚀量，对临时占地范围内场地进行平整和清理，尽量利用施工时产生的表层弃土对临时占地进行覆盖，采用自然恢复的方式对区域植被进行恢复，建设过程中严格落实防沙治沙措施，严格控制施工占地范围。综上所述，本项目对区域土地沙化影响不大。</w:t>
      </w:r>
    </w:p>
    <w:p w14:paraId="5EFC8A58">
      <w:pPr>
        <w:pStyle w:val="2"/>
        <w:rPr>
          <w:rFonts w:hint="eastAsia"/>
          <w:color w:val="000000" w:themeColor="text1"/>
          <w14:textFill>
            <w14:solidFill>
              <w14:schemeClr w14:val="tx1"/>
            </w14:solidFill>
          </w14:textFill>
        </w:rPr>
      </w:pPr>
      <w:bookmarkStart w:id="519" w:name="_Toc216260310"/>
      <w:r>
        <w:rPr>
          <w:rFonts w:hint="eastAsia"/>
          <w:color w:val="000000" w:themeColor="text1"/>
          <w14:textFill>
            <w14:solidFill>
              <w14:schemeClr w14:val="tx1"/>
            </w14:solidFill>
          </w14:textFill>
        </w:rPr>
        <w:t>运营期环境影响预测与评价</w:t>
      </w:r>
      <w:bookmarkEnd w:id="519"/>
    </w:p>
    <w:bookmarkEnd w:id="496"/>
    <w:bookmarkEnd w:id="497"/>
    <w:bookmarkEnd w:id="498"/>
    <w:p w14:paraId="19543388">
      <w:pPr>
        <w:pStyle w:val="4"/>
        <w:rPr>
          <w:rFonts w:hint="eastAsia"/>
          <w:color w:val="000000" w:themeColor="text1"/>
          <w14:textFill>
            <w14:solidFill>
              <w14:schemeClr w14:val="tx1"/>
            </w14:solidFill>
          </w14:textFill>
        </w:rPr>
      </w:pPr>
      <w:bookmarkStart w:id="520" w:name="_Toc459026579"/>
      <w:bookmarkStart w:id="521" w:name="_Toc474416139"/>
      <w:r>
        <w:rPr>
          <w:rFonts w:hint="eastAsia"/>
          <w:color w:val="000000" w:themeColor="text1"/>
          <w14:textFill>
            <w14:solidFill>
              <w14:schemeClr w14:val="tx1"/>
            </w14:solidFill>
          </w14:textFill>
        </w:rPr>
        <w:t>运营期大气环境影响预测与评价</w:t>
      </w:r>
      <w:bookmarkEnd w:id="520"/>
      <w:bookmarkEnd w:id="521"/>
    </w:p>
    <w:p w14:paraId="4E499F8E">
      <w:pPr>
        <w:pStyle w:val="89"/>
        <w:spacing w:line="480" w:lineRule="exact"/>
        <w:ind w:firstLine="480"/>
        <w:rPr>
          <w:rFonts w:hint="eastAsia" w:ascii="宋体" w:hAnsi="宋体" w:eastAsia="宋体"/>
          <w:color w:val="000000" w:themeColor="text1"/>
          <w14:textFill>
            <w14:solidFill>
              <w14:schemeClr w14:val="tx1"/>
            </w14:solidFill>
          </w14:textFill>
        </w:rPr>
      </w:pPr>
      <w:r>
        <w:rPr>
          <w:rFonts w:hint="eastAsia" w:ascii="宋体" w:hAnsi="宋体" w:eastAsia="宋体"/>
          <w:color w:val="000000" w:themeColor="text1"/>
          <w14:textFill>
            <w14:solidFill>
              <w14:schemeClr w14:val="tx1"/>
            </w14:solidFill>
          </w14:textFill>
        </w:rPr>
        <w:t>（</w:t>
      </w:r>
      <w:r>
        <w:rPr>
          <w:rFonts w:ascii="宋体" w:hAnsi="宋体" w:eastAsia="宋体"/>
          <w:color w:val="000000" w:themeColor="text1"/>
          <w14:textFill>
            <w14:solidFill>
              <w14:schemeClr w14:val="tx1"/>
            </w14:solidFill>
          </w14:textFill>
        </w:rPr>
        <w:t>1）相关判定</w:t>
      </w:r>
    </w:p>
    <w:p w14:paraId="797AD86F">
      <w:pPr>
        <w:pStyle w:val="117"/>
        <w:spacing w:line="480" w:lineRule="exact"/>
        <w:ind w:firstLine="480"/>
        <w:rPr>
          <w:rFonts w:hint="eastAsia" w:cs="宋体"/>
          <w:color w:val="000000" w:themeColor="text1"/>
          <w14:textFill>
            <w14:solidFill>
              <w14:schemeClr w14:val="tx1"/>
            </w14:solidFill>
          </w14:textFill>
        </w:rPr>
      </w:pPr>
      <w:r>
        <w:rPr>
          <w:rFonts w:hint="eastAsia"/>
          <w:color w:val="000000" w:themeColor="text1"/>
          <w14:textFill>
            <w14:solidFill>
              <w14:schemeClr w14:val="tx1"/>
            </w14:solidFill>
          </w14:textFill>
        </w:rPr>
        <w:t>本项目大气环境影响评价等级为二级，根据</w:t>
      </w:r>
      <w:r>
        <w:rPr>
          <w:color w:val="000000" w:themeColor="text1"/>
          <w14:textFill>
            <w14:solidFill>
              <w14:schemeClr w14:val="tx1"/>
            </w14:solidFill>
          </w14:textFill>
        </w:rPr>
        <w:t>《环境影响评价技术导则 大气环境》（HJ2.2-2018）</w:t>
      </w:r>
      <w:r>
        <w:rPr>
          <w:rFonts w:hint="eastAsia"/>
          <w:color w:val="000000" w:themeColor="text1"/>
          <w14:textFill>
            <w14:solidFill>
              <w14:schemeClr w14:val="tx1"/>
            </w14:solidFill>
          </w14:textFill>
        </w:rPr>
        <w:t>的相关规定，</w:t>
      </w:r>
      <w:r>
        <w:rPr>
          <w:rFonts w:hint="eastAsia" w:cs="宋体"/>
          <w:color w:val="000000" w:themeColor="text1"/>
          <w14:textFill>
            <w14:solidFill>
              <w14:schemeClr w14:val="tx1"/>
            </w14:solidFill>
          </w14:textFill>
        </w:rPr>
        <w:t>本次采用</w:t>
      </w:r>
      <w:r>
        <w:rPr>
          <w:color w:val="000000" w:themeColor="text1"/>
          <w14:textFill>
            <w14:solidFill>
              <w14:schemeClr w14:val="tx1"/>
            </w14:solidFill>
          </w14:textFill>
        </w:rPr>
        <w:t>AERSCREEN模式预测的结果进行评价，不进行进一步预测</w:t>
      </w:r>
      <w:r>
        <w:rPr>
          <w:rFonts w:hint="eastAsia" w:cs="宋体"/>
          <w:color w:val="000000" w:themeColor="text1"/>
          <w14:textFill>
            <w14:solidFill>
              <w14:schemeClr w14:val="tx1"/>
            </w14:solidFill>
          </w14:textFill>
        </w:rPr>
        <w:t>。</w:t>
      </w:r>
    </w:p>
    <w:p w14:paraId="78CE0FF5">
      <w:pPr>
        <w:pStyle w:val="89"/>
        <w:spacing w:line="480" w:lineRule="exact"/>
        <w:ind w:firstLine="480"/>
        <w:rPr>
          <w:rFonts w:hint="eastAsia" w:ascii="宋体" w:hAnsi="宋体" w:eastAsia="宋体"/>
          <w:color w:val="000000" w:themeColor="text1"/>
          <w14:textFill>
            <w14:solidFill>
              <w14:schemeClr w14:val="tx1"/>
            </w14:solidFill>
          </w14:textFill>
        </w:rPr>
      </w:pPr>
      <w:r>
        <w:rPr>
          <w:rFonts w:hint="eastAsia" w:ascii="宋体" w:hAnsi="宋体" w:eastAsia="宋体"/>
          <w:color w:val="000000" w:themeColor="text1"/>
          <w14:textFill>
            <w14:solidFill>
              <w14:schemeClr w14:val="tx1"/>
            </w14:solidFill>
          </w14:textFill>
        </w:rPr>
        <w:t>（</w:t>
      </w:r>
      <w:r>
        <w:rPr>
          <w:rFonts w:ascii="宋体" w:hAnsi="宋体" w:eastAsia="宋体"/>
          <w:color w:val="000000" w:themeColor="text1"/>
          <w14:textFill>
            <w14:solidFill>
              <w14:schemeClr w14:val="tx1"/>
            </w14:solidFill>
          </w14:textFill>
        </w:rPr>
        <w:t>2）模型选用</w:t>
      </w:r>
    </w:p>
    <w:p w14:paraId="1447311A">
      <w:pPr>
        <w:pStyle w:val="89"/>
        <w:spacing w:line="480" w:lineRule="exact"/>
        <w:ind w:firstLine="480"/>
        <w:rPr>
          <w:rFonts w:hint="eastAsia" w:ascii="宋体" w:hAnsi="宋体" w:eastAsia="宋体"/>
          <w:color w:val="000000" w:themeColor="text1"/>
          <w14:textFill>
            <w14:solidFill>
              <w14:schemeClr w14:val="tx1"/>
            </w14:solidFill>
          </w14:textFill>
        </w:rPr>
      </w:pPr>
      <w:r>
        <w:rPr>
          <w:rFonts w:hint="eastAsia" w:ascii="宋体" w:hAnsi="宋体" w:eastAsia="宋体"/>
          <w:color w:val="000000" w:themeColor="text1"/>
          <w14:textFill>
            <w14:solidFill>
              <w14:schemeClr w14:val="tx1"/>
            </w14:solidFill>
          </w14:textFill>
        </w:rPr>
        <w:t>采用</w:t>
      </w:r>
      <w:r>
        <w:rPr>
          <w:rFonts w:ascii="宋体" w:hAnsi="宋体" w:eastAsia="宋体"/>
          <w:color w:val="000000" w:themeColor="text1"/>
          <w14:textFill>
            <w14:solidFill>
              <w14:schemeClr w14:val="tx1"/>
            </w14:solidFill>
          </w14:textFill>
        </w:rPr>
        <w:t>《环境影响评价技术导则 大气环境》（HJ2.2-2018）</w:t>
      </w:r>
      <w:r>
        <w:rPr>
          <w:rFonts w:hint="eastAsia" w:ascii="宋体" w:hAnsi="宋体" w:eastAsia="宋体"/>
          <w:color w:val="000000" w:themeColor="text1"/>
          <w14:textFill>
            <w14:solidFill>
              <w14:schemeClr w14:val="tx1"/>
            </w14:solidFill>
          </w14:textFill>
        </w:rPr>
        <w:t>中推荐的估算模型</w:t>
      </w:r>
      <w:r>
        <w:rPr>
          <w:rFonts w:ascii="宋体" w:hAnsi="宋体" w:eastAsia="宋体"/>
          <w:color w:val="000000" w:themeColor="text1"/>
          <w14:textFill>
            <w14:solidFill>
              <w14:schemeClr w14:val="tx1"/>
            </w14:solidFill>
          </w14:textFill>
        </w:rPr>
        <w:t>AERSCREEN</w:t>
      </w:r>
      <w:r>
        <w:rPr>
          <w:rFonts w:hint="eastAsia" w:ascii="宋体" w:hAnsi="宋体" w:eastAsia="宋体"/>
          <w:color w:val="000000" w:themeColor="text1"/>
          <w14:textFill>
            <w14:solidFill>
              <w14:schemeClr w14:val="tx1"/>
            </w14:solidFill>
          </w14:textFill>
        </w:rPr>
        <w:t>进行估算。</w:t>
      </w:r>
    </w:p>
    <w:p w14:paraId="0A33791B">
      <w:pPr>
        <w:pStyle w:val="89"/>
        <w:spacing w:line="480" w:lineRule="exact"/>
        <w:ind w:firstLine="480"/>
        <w:rPr>
          <w:rFonts w:hint="eastAsia" w:ascii="宋体" w:hAnsi="宋体" w:eastAsia="宋体"/>
          <w:color w:val="000000" w:themeColor="text1"/>
          <w14:textFill>
            <w14:solidFill>
              <w14:schemeClr w14:val="tx1"/>
            </w14:solidFill>
          </w14:textFill>
        </w:rPr>
      </w:pPr>
      <w:r>
        <w:rPr>
          <w:rFonts w:hint="eastAsia" w:ascii="宋体" w:hAnsi="宋体" w:eastAsia="宋体"/>
          <w:color w:val="000000" w:themeColor="text1"/>
          <w14:textFill>
            <w14:solidFill>
              <w14:schemeClr w14:val="tx1"/>
            </w14:solidFill>
          </w14:textFill>
        </w:rPr>
        <w:t>（</w:t>
      </w:r>
      <w:r>
        <w:rPr>
          <w:rFonts w:ascii="宋体" w:hAnsi="宋体" w:eastAsia="宋体"/>
          <w:color w:val="000000" w:themeColor="text1"/>
          <w14:textFill>
            <w14:solidFill>
              <w14:schemeClr w14:val="tx1"/>
            </w14:solidFill>
          </w14:textFill>
        </w:rPr>
        <w:t>3）估算模型使用数据来源</w:t>
      </w:r>
    </w:p>
    <w:p w14:paraId="73B9BF4C">
      <w:pPr>
        <w:pStyle w:val="89"/>
        <w:spacing w:line="480" w:lineRule="exact"/>
        <w:ind w:firstLine="480"/>
        <w:rPr>
          <w:rFonts w:hint="eastAsia" w:ascii="宋体" w:hAnsi="宋体" w:eastAsia="宋体"/>
          <w:color w:val="000000" w:themeColor="text1"/>
          <w14:textFill>
            <w14:solidFill>
              <w14:schemeClr w14:val="tx1"/>
            </w14:solidFill>
          </w14:textFill>
        </w:rPr>
      </w:pPr>
      <w:r>
        <w:rPr>
          <w:rFonts w:hint="eastAsia" w:ascii="宋体" w:hAnsi="宋体" w:eastAsia="宋体"/>
          <w:color w:val="000000" w:themeColor="text1"/>
          <w14:textFill>
            <w14:solidFill>
              <w14:schemeClr w14:val="tx1"/>
            </w14:solidFill>
          </w14:textFill>
        </w:rPr>
        <w:t>①地形数据</w:t>
      </w:r>
    </w:p>
    <w:p w14:paraId="37ECB32E">
      <w:pPr>
        <w:pStyle w:val="89"/>
        <w:spacing w:line="480" w:lineRule="exact"/>
        <w:ind w:firstLine="480"/>
        <w:rPr>
          <w:rFonts w:hint="eastAsia" w:ascii="宋体" w:hAnsi="宋体" w:eastAsia="宋体"/>
          <w:color w:val="000000" w:themeColor="text1"/>
          <w14:textFill>
            <w14:solidFill>
              <w14:schemeClr w14:val="tx1"/>
            </w14:solidFill>
          </w14:textFill>
        </w:rPr>
      </w:pPr>
      <w:r>
        <w:rPr>
          <w:rFonts w:hint="eastAsia" w:ascii="宋体" w:hAnsi="宋体" w:eastAsia="宋体"/>
          <w:color w:val="000000" w:themeColor="text1"/>
          <w14:textFill>
            <w14:solidFill>
              <w14:schemeClr w14:val="tx1"/>
            </w14:solidFill>
          </w14:textFill>
        </w:rPr>
        <w:t>估算模型使用的原始地形数据为美国</w:t>
      </w:r>
      <w:r>
        <w:rPr>
          <w:rFonts w:ascii="宋体" w:hAnsi="宋体" w:eastAsia="宋体"/>
          <w:color w:val="000000" w:themeColor="text1"/>
          <w14:textFill>
            <w14:solidFill>
              <w14:schemeClr w14:val="tx1"/>
            </w14:solidFill>
          </w14:textFill>
        </w:rPr>
        <w:t>NASA和NIMA联合测量并公布的全球90</w:t>
      </w:r>
      <w:r>
        <w:rPr>
          <w:rFonts w:hint="eastAsia" w:ascii="宋体" w:hAnsi="宋体" w:eastAsia="宋体"/>
          <w:color w:val="000000" w:themeColor="text1"/>
          <w14:textFill>
            <w14:solidFill>
              <w14:schemeClr w14:val="tx1"/>
            </w14:solidFill>
          </w14:textFill>
        </w:rPr>
        <w:t>m</w:t>
      </w:r>
      <w:r>
        <w:rPr>
          <w:rFonts w:ascii="宋体" w:hAnsi="宋体" w:eastAsia="宋体"/>
          <w:color w:val="000000" w:themeColor="text1"/>
          <w14:textFill>
            <w14:solidFill>
              <w14:schemeClr w14:val="tx1"/>
            </w14:solidFill>
          </w14:textFill>
        </w:rPr>
        <w:t>×90m地形数据，自CSI的SRTM网站获取（http</w:t>
      </w:r>
      <w:r>
        <w:rPr>
          <w:rFonts w:hint="eastAsia" w:ascii="宋体" w:hAnsi="宋体" w:eastAsia="宋体"/>
          <w:color w:val="000000" w:themeColor="text1"/>
          <w14:textFill>
            <w14:solidFill>
              <w14:schemeClr w14:val="tx1"/>
            </w14:solidFill>
          </w14:textFill>
        </w:rPr>
        <w:t>:</w:t>
      </w:r>
      <w:r>
        <w:rPr>
          <w:rFonts w:ascii="宋体" w:hAnsi="宋体" w:eastAsia="宋体"/>
          <w:color w:val="000000" w:themeColor="text1"/>
          <w14:textFill>
            <w14:solidFill>
              <w14:schemeClr w14:val="tx1"/>
            </w14:solidFill>
          </w14:textFill>
        </w:rPr>
        <w:t>//srtm.csi.cgiar.org），符合导则要求。</w:t>
      </w:r>
    </w:p>
    <w:p w14:paraId="0EA2CD32">
      <w:pPr>
        <w:pStyle w:val="89"/>
        <w:spacing w:line="480" w:lineRule="exact"/>
        <w:ind w:firstLine="480" w:firstLineChars="0"/>
        <w:rPr>
          <w:rFonts w:hint="eastAsia" w:ascii="宋体" w:hAnsi="宋体" w:eastAsia="宋体"/>
          <w:color w:val="000000" w:themeColor="text1"/>
          <w14:textFill>
            <w14:solidFill>
              <w14:schemeClr w14:val="tx1"/>
            </w14:solidFill>
          </w14:textFill>
        </w:rPr>
      </w:pPr>
      <w:r>
        <w:rPr>
          <w:rFonts w:hint="eastAsia" w:ascii="宋体" w:hAnsi="宋体" w:eastAsia="宋体"/>
          <w:color w:val="000000" w:themeColor="text1"/>
          <w14:textFill>
            <w14:solidFill>
              <w14:schemeClr w14:val="tx1"/>
            </w14:solidFill>
          </w14:textFill>
        </w:rPr>
        <w:t>②地表参数</w:t>
      </w:r>
    </w:p>
    <w:p w14:paraId="16A6B6B5">
      <w:pPr>
        <w:pStyle w:val="117"/>
        <w:spacing w:line="480" w:lineRule="exact"/>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大气评价</w:t>
      </w:r>
      <w:r>
        <w:rPr>
          <w:color w:val="000000" w:themeColor="text1"/>
          <w14:textFill>
            <w14:solidFill>
              <w14:schemeClr w14:val="tx1"/>
            </w14:solidFill>
          </w14:textFill>
        </w:rPr>
        <w:t>范围</w:t>
      </w:r>
      <w:r>
        <w:rPr>
          <w:rFonts w:hint="eastAsia"/>
          <w:color w:val="000000" w:themeColor="text1"/>
          <w14:textFill>
            <w14:solidFill>
              <w14:schemeClr w14:val="tx1"/>
            </w14:solidFill>
          </w14:textFill>
        </w:rPr>
        <w:t>内通用地表类型为草地，通用地表湿度为干燥气候，</w:t>
      </w:r>
      <w:r>
        <w:rPr>
          <w:color w:val="000000" w:themeColor="text1"/>
          <w14:textFill>
            <w14:solidFill>
              <w14:schemeClr w14:val="tx1"/>
            </w14:solidFill>
          </w14:textFill>
        </w:rPr>
        <w:t>该类型土地的经验参数，见</w:t>
      </w:r>
      <w:r>
        <w:rPr>
          <w:rFonts w:hint="eastAsia"/>
          <w:color w:val="000000" w:themeColor="text1"/>
          <w14:textFill>
            <w14:solidFill>
              <w14:schemeClr w14:val="tx1"/>
            </w14:solidFill>
          </w14:textFill>
        </w:rPr>
        <w:t>表</w:t>
      </w:r>
      <w:r>
        <w:rPr>
          <w:color w:val="000000" w:themeColor="text1"/>
          <w14:textFill>
            <w14:solidFill>
              <w14:schemeClr w14:val="tx1"/>
            </w14:solidFill>
          </w14:textFill>
        </w:rPr>
        <w:t>5</w:t>
      </w:r>
      <w:r>
        <w:rPr>
          <w:rFonts w:hint="eastAsia"/>
          <w:color w:val="000000" w:themeColor="text1"/>
          <w14:textFill>
            <w14:solidFill>
              <w14:schemeClr w14:val="tx1"/>
            </w14:solidFill>
          </w14:textFill>
        </w:rPr>
        <w:t>.2-1。</w:t>
      </w:r>
    </w:p>
    <w:p w14:paraId="14BBF26E">
      <w:pPr>
        <w:pStyle w:val="15"/>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表</w:t>
      </w:r>
      <w:r>
        <w:rPr>
          <w:color w:val="000000" w:themeColor="text1"/>
          <w14:textFill>
            <w14:solidFill>
              <w14:schemeClr w14:val="tx1"/>
            </w14:solidFill>
          </w14:textFill>
        </w:rPr>
        <w:t>5</w:t>
      </w:r>
      <w:r>
        <w:rPr>
          <w:rFonts w:hint="eastAsia"/>
          <w:color w:val="000000" w:themeColor="text1"/>
          <w14:textFill>
            <w14:solidFill>
              <w14:schemeClr w14:val="tx1"/>
            </w14:solidFill>
          </w14:textFill>
        </w:rPr>
        <w:t>.2-1</w:t>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地表特征参数一览表</w:t>
      </w:r>
    </w:p>
    <w:tbl>
      <w:tblPr>
        <w:tblStyle w:val="51"/>
        <w:tblW w:w="0" w:type="auto"/>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790"/>
        <w:gridCol w:w="1789"/>
        <w:gridCol w:w="1789"/>
        <w:gridCol w:w="1789"/>
        <w:gridCol w:w="1789"/>
      </w:tblGrid>
      <w:tr w14:paraId="6F20897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1790" w:type="dxa"/>
            <w:vAlign w:val="center"/>
          </w:tcPr>
          <w:p w14:paraId="0950340A">
            <w:pPr>
              <w:pStyle w:val="89"/>
              <w:adjustRightInd w:val="0"/>
              <w:snapToGrid w:val="0"/>
              <w:spacing w:line="300" w:lineRule="exact"/>
              <w:ind w:firstLine="0" w:firstLineChars="0"/>
              <w:jc w:val="center"/>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扇区</w:t>
            </w:r>
          </w:p>
        </w:tc>
        <w:tc>
          <w:tcPr>
            <w:tcW w:w="1789" w:type="dxa"/>
            <w:vAlign w:val="center"/>
          </w:tcPr>
          <w:p w14:paraId="64E92172">
            <w:pPr>
              <w:pStyle w:val="89"/>
              <w:adjustRightInd w:val="0"/>
              <w:snapToGrid w:val="0"/>
              <w:spacing w:line="300" w:lineRule="exact"/>
              <w:ind w:firstLine="0" w:firstLineChars="0"/>
              <w:jc w:val="center"/>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时段</w:t>
            </w:r>
          </w:p>
        </w:tc>
        <w:tc>
          <w:tcPr>
            <w:tcW w:w="1789" w:type="dxa"/>
            <w:vAlign w:val="center"/>
          </w:tcPr>
          <w:p w14:paraId="5EB50CFF">
            <w:pPr>
              <w:pStyle w:val="89"/>
              <w:adjustRightInd w:val="0"/>
              <w:snapToGrid w:val="0"/>
              <w:spacing w:line="300" w:lineRule="exact"/>
              <w:ind w:firstLine="0" w:firstLineChars="0"/>
              <w:jc w:val="center"/>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正午反照率</w:t>
            </w:r>
          </w:p>
        </w:tc>
        <w:tc>
          <w:tcPr>
            <w:tcW w:w="1789" w:type="dxa"/>
            <w:vAlign w:val="center"/>
          </w:tcPr>
          <w:p w14:paraId="62C072C5">
            <w:pPr>
              <w:pStyle w:val="89"/>
              <w:adjustRightInd w:val="0"/>
              <w:snapToGrid w:val="0"/>
              <w:spacing w:line="300" w:lineRule="exact"/>
              <w:ind w:firstLine="0" w:firstLineChars="0"/>
              <w:jc w:val="center"/>
              <w:rPr>
                <w:rFonts w:hint="eastAsia" w:ascii="宋体" w:hAnsi="宋体" w:eastAsia="宋体"/>
                <w:color w:val="000000" w:themeColor="text1"/>
                <w:sz w:val="21"/>
                <w:szCs w:val="21"/>
                <w14:textFill>
                  <w14:solidFill>
                    <w14:schemeClr w14:val="tx1"/>
                  </w14:solidFill>
                </w14:textFill>
              </w:rPr>
            </w:pPr>
            <w:r>
              <w:rPr>
                <w:rFonts w:ascii="宋体" w:hAnsi="宋体" w:eastAsia="宋体"/>
                <w:color w:val="000000" w:themeColor="text1"/>
                <w:sz w:val="21"/>
                <w:szCs w:val="21"/>
                <w14:textFill>
                  <w14:solidFill>
                    <w14:schemeClr w14:val="tx1"/>
                  </w14:solidFill>
                </w14:textFill>
              </w:rPr>
              <w:t>BOWEN</w:t>
            </w:r>
          </w:p>
        </w:tc>
        <w:tc>
          <w:tcPr>
            <w:tcW w:w="1789" w:type="dxa"/>
            <w:vAlign w:val="center"/>
          </w:tcPr>
          <w:p w14:paraId="0BFFCB22">
            <w:pPr>
              <w:pStyle w:val="89"/>
              <w:adjustRightInd w:val="0"/>
              <w:snapToGrid w:val="0"/>
              <w:spacing w:line="300" w:lineRule="exact"/>
              <w:ind w:firstLine="0" w:firstLineChars="0"/>
              <w:jc w:val="center"/>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粗糙度</w:t>
            </w:r>
          </w:p>
        </w:tc>
      </w:tr>
      <w:tr w14:paraId="5F7B542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1790" w:type="dxa"/>
            <w:vAlign w:val="center"/>
          </w:tcPr>
          <w:p w14:paraId="4E46FB04">
            <w:pPr>
              <w:pStyle w:val="89"/>
              <w:adjustRightInd w:val="0"/>
              <w:snapToGrid w:val="0"/>
              <w:spacing w:line="300" w:lineRule="exact"/>
              <w:ind w:firstLine="0" w:firstLineChars="0"/>
              <w:jc w:val="center"/>
              <w:rPr>
                <w:rFonts w:hint="eastAsia" w:ascii="宋体" w:hAnsi="宋体" w:eastAsia="宋体"/>
                <w:color w:val="000000" w:themeColor="text1"/>
                <w:sz w:val="21"/>
                <w:szCs w:val="21"/>
                <w14:textFill>
                  <w14:solidFill>
                    <w14:schemeClr w14:val="tx1"/>
                  </w14:solidFill>
                </w14:textFill>
              </w:rPr>
            </w:pPr>
            <w:r>
              <w:rPr>
                <w:rFonts w:ascii="宋体" w:hAnsi="宋体" w:eastAsia="宋体"/>
                <w:color w:val="000000" w:themeColor="text1"/>
                <w:sz w:val="21"/>
                <w:szCs w:val="21"/>
                <w14:textFill>
                  <w14:solidFill>
                    <w14:schemeClr w14:val="tx1"/>
                  </w14:solidFill>
                </w14:textFill>
              </w:rPr>
              <w:t>0</w:t>
            </w:r>
            <w:r>
              <w:rPr>
                <w:rFonts w:hint="eastAsia" w:ascii="宋体" w:hAnsi="宋体" w:eastAsia="宋体"/>
                <w:color w:val="000000" w:themeColor="text1"/>
                <w:sz w:val="21"/>
                <w:szCs w:val="21"/>
                <w14:textFill>
                  <w14:solidFill>
                    <w14:schemeClr w14:val="tx1"/>
                  </w14:solidFill>
                </w14:textFill>
              </w:rPr>
              <w:t>～</w:t>
            </w:r>
            <w:r>
              <w:rPr>
                <w:rFonts w:ascii="宋体" w:hAnsi="宋体" w:eastAsia="宋体"/>
                <w:color w:val="000000" w:themeColor="text1"/>
                <w:sz w:val="21"/>
                <w:szCs w:val="21"/>
                <w14:textFill>
                  <w14:solidFill>
                    <w14:schemeClr w14:val="tx1"/>
                  </w14:solidFill>
                </w14:textFill>
              </w:rPr>
              <w:t>360</w:t>
            </w:r>
          </w:p>
        </w:tc>
        <w:tc>
          <w:tcPr>
            <w:tcW w:w="1789" w:type="dxa"/>
            <w:vAlign w:val="center"/>
          </w:tcPr>
          <w:p w14:paraId="14189F4C">
            <w:pPr>
              <w:pStyle w:val="89"/>
              <w:adjustRightInd w:val="0"/>
              <w:snapToGrid w:val="0"/>
              <w:spacing w:line="300" w:lineRule="exact"/>
              <w:ind w:firstLine="0" w:firstLineChars="0"/>
              <w:jc w:val="center"/>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全年</w:t>
            </w:r>
          </w:p>
        </w:tc>
        <w:tc>
          <w:tcPr>
            <w:tcW w:w="1789" w:type="dxa"/>
            <w:vAlign w:val="center"/>
          </w:tcPr>
          <w:p w14:paraId="0FA3EE18">
            <w:pPr>
              <w:pStyle w:val="89"/>
              <w:adjustRightInd w:val="0"/>
              <w:snapToGrid w:val="0"/>
              <w:spacing w:line="300" w:lineRule="exact"/>
              <w:ind w:firstLine="0" w:firstLineChars="0"/>
              <w:jc w:val="center"/>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0.29</w:t>
            </w:r>
          </w:p>
        </w:tc>
        <w:tc>
          <w:tcPr>
            <w:tcW w:w="1789" w:type="dxa"/>
            <w:vAlign w:val="center"/>
          </w:tcPr>
          <w:p w14:paraId="1EF1CD23">
            <w:pPr>
              <w:pStyle w:val="89"/>
              <w:adjustRightInd w:val="0"/>
              <w:snapToGrid w:val="0"/>
              <w:spacing w:line="300" w:lineRule="exact"/>
              <w:ind w:firstLine="0" w:firstLineChars="0"/>
              <w:jc w:val="center"/>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1.75</w:t>
            </w:r>
          </w:p>
        </w:tc>
        <w:tc>
          <w:tcPr>
            <w:tcW w:w="1789" w:type="dxa"/>
            <w:vAlign w:val="center"/>
          </w:tcPr>
          <w:p w14:paraId="3D5776F4">
            <w:pPr>
              <w:pStyle w:val="89"/>
              <w:adjustRightInd w:val="0"/>
              <w:snapToGrid w:val="0"/>
              <w:spacing w:line="300" w:lineRule="exact"/>
              <w:ind w:firstLine="0" w:firstLineChars="0"/>
              <w:jc w:val="center"/>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0.04025</w:t>
            </w:r>
          </w:p>
        </w:tc>
      </w:tr>
    </w:tbl>
    <w:p w14:paraId="1958D42F">
      <w:pPr>
        <w:pStyle w:val="89"/>
        <w:ind w:firstLine="480" w:firstLineChars="0"/>
        <w:rPr>
          <w:rFonts w:hint="eastAsia" w:ascii="宋体" w:hAnsi="宋体" w:eastAsia="宋体"/>
          <w:color w:val="000000" w:themeColor="text1"/>
          <w14:textFill>
            <w14:solidFill>
              <w14:schemeClr w14:val="tx1"/>
            </w14:solidFill>
          </w14:textFill>
        </w:rPr>
      </w:pPr>
      <w:r>
        <w:rPr>
          <w:rFonts w:hint="eastAsia" w:ascii="宋体" w:hAnsi="宋体" w:eastAsia="宋体"/>
          <w:color w:val="000000" w:themeColor="text1"/>
          <w14:textFill>
            <w14:solidFill>
              <w14:schemeClr w14:val="tx1"/>
            </w14:solidFill>
          </w14:textFill>
        </w:rPr>
        <w:t>③气象数据</w:t>
      </w:r>
    </w:p>
    <w:p w14:paraId="7FD0CB63">
      <w:pPr>
        <w:pStyle w:val="89"/>
        <w:ind w:firstLine="480"/>
        <w:rPr>
          <w:rStyle w:val="201"/>
          <w:rFonts w:hint="eastAsia"/>
          <w:color w:val="000000" w:themeColor="text1"/>
          <w14:textFill>
            <w14:solidFill>
              <w14:schemeClr w14:val="tx1"/>
            </w14:solidFill>
          </w14:textFill>
        </w:rPr>
      </w:pPr>
      <w:r>
        <w:rPr>
          <w:rFonts w:hint="eastAsia" w:ascii="宋体" w:hAnsi="宋体" w:eastAsia="宋体"/>
          <w:color w:val="000000" w:themeColor="text1"/>
          <w14:textFill>
            <w14:solidFill>
              <w14:schemeClr w14:val="tx1"/>
            </w14:solidFill>
          </w14:textFill>
        </w:rPr>
        <w:t>以下资料为项目区近</w:t>
      </w:r>
      <w:r>
        <w:rPr>
          <w:rStyle w:val="201"/>
          <w:rFonts w:hint="eastAsia"/>
          <w:color w:val="000000" w:themeColor="text1"/>
          <w14:textFill>
            <w14:solidFill>
              <w14:schemeClr w14:val="tx1"/>
            </w14:solidFill>
          </w14:textFill>
        </w:rPr>
        <w:t>20年气象数据统计分析，具体详见表</w:t>
      </w:r>
      <w:r>
        <w:rPr>
          <w:rStyle w:val="201"/>
          <w:color w:val="000000" w:themeColor="text1"/>
          <w14:textFill>
            <w14:solidFill>
              <w14:schemeClr w14:val="tx1"/>
            </w14:solidFill>
          </w14:textFill>
        </w:rPr>
        <w:t>5</w:t>
      </w:r>
      <w:r>
        <w:rPr>
          <w:rStyle w:val="201"/>
          <w:rFonts w:hint="eastAsia"/>
          <w:color w:val="000000" w:themeColor="text1"/>
          <w14:textFill>
            <w14:solidFill>
              <w14:schemeClr w14:val="tx1"/>
            </w14:solidFill>
          </w14:textFill>
        </w:rPr>
        <w:t>.2-2。</w:t>
      </w:r>
    </w:p>
    <w:p w14:paraId="08179DA3">
      <w:pPr>
        <w:pStyle w:val="109"/>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表</w:t>
      </w:r>
      <w:r>
        <w:rPr>
          <w:color w:val="000000" w:themeColor="text1"/>
          <w14:textFill>
            <w14:solidFill>
              <w14:schemeClr w14:val="tx1"/>
            </w14:solidFill>
          </w14:textFill>
        </w:rPr>
        <w:t>5</w:t>
      </w:r>
      <w:r>
        <w:rPr>
          <w:rFonts w:hint="eastAsia"/>
          <w:color w:val="000000" w:themeColor="text1"/>
          <w14:textFill>
            <w14:solidFill>
              <w14:schemeClr w14:val="tx1"/>
            </w14:solidFill>
          </w14:textFill>
        </w:rPr>
        <w:t>.2-2</w:t>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气象数据一览表</w:t>
      </w:r>
    </w:p>
    <w:tbl>
      <w:tblPr>
        <w:tblStyle w:val="51"/>
        <w:tblW w:w="8946"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789"/>
        <w:gridCol w:w="1789"/>
        <w:gridCol w:w="1790"/>
        <w:gridCol w:w="1789"/>
        <w:gridCol w:w="1789"/>
      </w:tblGrid>
      <w:tr w14:paraId="36D35AE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89" w:type="dxa"/>
            <w:vAlign w:val="center"/>
          </w:tcPr>
          <w:p w14:paraId="0D0735AF">
            <w:pPr>
              <w:pStyle w:val="89"/>
              <w:spacing w:line="300" w:lineRule="exact"/>
              <w:ind w:firstLine="0" w:firstLineChars="0"/>
              <w:jc w:val="center"/>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统计时间</w:t>
            </w:r>
          </w:p>
        </w:tc>
        <w:tc>
          <w:tcPr>
            <w:tcW w:w="1789" w:type="dxa"/>
            <w:vAlign w:val="center"/>
          </w:tcPr>
          <w:p w14:paraId="68A32847">
            <w:pPr>
              <w:pStyle w:val="89"/>
              <w:spacing w:line="300" w:lineRule="exact"/>
              <w:ind w:firstLine="0" w:firstLineChars="0"/>
              <w:jc w:val="center"/>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最低温度</w:t>
            </w:r>
          </w:p>
        </w:tc>
        <w:tc>
          <w:tcPr>
            <w:tcW w:w="1790" w:type="dxa"/>
            <w:vAlign w:val="center"/>
          </w:tcPr>
          <w:p w14:paraId="564D245A">
            <w:pPr>
              <w:pStyle w:val="89"/>
              <w:spacing w:line="300" w:lineRule="exact"/>
              <w:ind w:firstLine="0" w:firstLineChars="0"/>
              <w:jc w:val="center"/>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最高温度</w:t>
            </w:r>
          </w:p>
        </w:tc>
        <w:tc>
          <w:tcPr>
            <w:tcW w:w="1789" w:type="dxa"/>
            <w:vAlign w:val="center"/>
          </w:tcPr>
          <w:p w14:paraId="6878747F">
            <w:pPr>
              <w:pStyle w:val="89"/>
              <w:spacing w:line="300" w:lineRule="exact"/>
              <w:ind w:firstLine="0" w:firstLineChars="0"/>
              <w:jc w:val="center"/>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最小风速</w:t>
            </w:r>
          </w:p>
        </w:tc>
        <w:tc>
          <w:tcPr>
            <w:tcW w:w="1789" w:type="dxa"/>
            <w:vAlign w:val="center"/>
          </w:tcPr>
          <w:p w14:paraId="701A2A3D">
            <w:pPr>
              <w:pStyle w:val="89"/>
              <w:spacing w:line="300" w:lineRule="exact"/>
              <w:ind w:firstLine="0" w:firstLineChars="0"/>
              <w:jc w:val="center"/>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测风高度</w:t>
            </w:r>
          </w:p>
        </w:tc>
      </w:tr>
      <w:tr w14:paraId="155A458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89" w:type="dxa"/>
            <w:vAlign w:val="center"/>
          </w:tcPr>
          <w:p w14:paraId="65530364">
            <w:pPr>
              <w:pStyle w:val="89"/>
              <w:spacing w:line="300" w:lineRule="exact"/>
              <w:ind w:firstLine="0" w:firstLineChars="0"/>
              <w:jc w:val="center"/>
              <w:rPr>
                <w:rFonts w:hint="eastAsia" w:ascii="宋体" w:hAnsi="宋体" w:eastAsia="宋体"/>
                <w:color w:val="000000" w:themeColor="text1"/>
                <w:sz w:val="21"/>
                <w:szCs w:val="21"/>
                <w14:textFill>
                  <w14:solidFill>
                    <w14:schemeClr w14:val="tx1"/>
                  </w14:solidFill>
                </w14:textFill>
              </w:rPr>
            </w:pPr>
            <w:r>
              <w:rPr>
                <w:rFonts w:ascii="宋体" w:hAnsi="宋体" w:eastAsia="宋体"/>
                <w:color w:val="000000" w:themeColor="text1"/>
                <w:sz w:val="21"/>
                <w:szCs w:val="21"/>
                <w14:textFill>
                  <w14:solidFill>
                    <w14:schemeClr w14:val="tx1"/>
                  </w14:solidFill>
                </w14:textFill>
              </w:rPr>
              <w:t>20</w:t>
            </w:r>
            <w:r>
              <w:rPr>
                <w:rFonts w:hint="eastAsia" w:ascii="宋体" w:hAnsi="宋体" w:eastAsia="宋体"/>
                <w:color w:val="000000" w:themeColor="text1"/>
                <w:sz w:val="21"/>
                <w:szCs w:val="21"/>
                <w14:textFill>
                  <w14:solidFill>
                    <w14:schemeClr w14:val="tx1"/>
                  </w14:solidFill>
                </w14:textFill>
              </w:rPr>
              <w:t>年</w:t>
            </w:r>
          </w:p>
        </w:tc>
        <w:tc>
          <w:tcPr>
            <w:tcW w:w="1789" w:type="dxa"/>
            <w:vAlign w:val="center"/>
          </w:tcPr>
          <w:p w14:paraId="3CB60B5D">
            <w:pPr>
              <w:pStyle w:val="89"/>
              <w:spacing w:line="300" w:lineRule="exact"/>
              <w:ind w:firstLine="0" w:firstLineChars="0"/>
              <w:jc w:val="center"/>
              <w:rPr>
                <w:rFonts w:hint="eastAsia" w:ascii="宋体" w:hAnsi="宋体" w:eastAsia="宋体"/>
                <w:color w:val="000000" w:themeColor="text1"/>
                <w:sz w:val="21"/>
                <w:szCs w:val="21"/>
                <w14:textFill>
                  <w14:solidFill>
                    <w14:schemeClr w14:val="tx1"/>
                  </w14:solidFill>
                </w14:textFill>
              </w:rPr>
            </w:pPr>
            <w:r>
              <w:rPr>
                <w:rFonts w:ascii="宋体" w:hAnsi="宋体" w:eastAsia="宋体"/>
                <w:color w:val="000000" w:themeColor="text1"/>
                <w:sz w:val="21"/>
                <w:szCs w:val="21"/>
                <w14:textFill>
                  <w14:solidFill>
                    <w14:schemeClr w14:val="tx1"/>
                  </w14:solidFill>
                </w14:textFill>
              </w:rPr>
              <w:t>-</w:t>
            </w:r>
            <w:r>
              <w:rPr>
                <w:rFonts w:hint="eastAsia" w:ascii="宋体" w:hAnsi="宋体" w:eastAsia="宋体"/>
                <w:color w:val="000000" w:themeColor="text1"/>
                <w:sz w:val="21"/>
                <w:szCs w:val="21"/>
                <w14:textFill>
                  <w14:solidFill>
                    <w14:schemeClr w14:val="tx1"/>
                  </w14:solidFill>
                </w14:textFill>
              </w:rPr>
              <w:t>26.0℃</w:t>
            </w:r>
          </w:p>
        </w:tc>
        <w:tc>
          <w:tcPr>
            <w:tcW w:w="1790" w:type="dxa"/>
            <w:vAlign w:val="center"/>
          </w:tcPr>
          <w:p w14:paraId="2EDEC82D">
            <w:pPr>
              <w:pStyle w:val="89"/>
              <w:spacing w:line="300" w:lineRule="exact"/>
              <w:ind w:firstLine="0" w:firstLineChars="0"/>
              <w:jc w:val="center"/>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38.9℃</w:t>
            </w:r>
          </w:p>
        </w:tc>
        <w:tc>
          <w:tcPr>
            <w:tcW w:w="1789" w:type="dxa"/>
            <w:vAlign w:val="center"/>
          </w:tcPr>
          <w:p w14:paraId="33B23493">
            <w:pPr>
              <w:pStyle w:val="89"/>
              <w:spacing w:line="300" w:lineRule="exact"/>
              <w:ind w:firstLine="0" w:firstLineChars="0"/>
              <w:jc w:val="center"/>
              <w:rPr>
                <w:rFonts w:hint="eastAsia" w:ascii="宋体" w:hAnsi="宋体" w:eastAsia="宋体"/>
                <w:color w:val="000000" w:themeColor="text1"/>
                <w:sz w:val="21"/>
                <w:szCs w:val="21"/>
                <w14:textFill>
                  <w14:solidFill>
                    <w14:schemeClr w14:val="tx1"/>
                  </w14:solidFill>
                </w14:textFill>
              </w:rPr>
            </w:pPr>
            <w:r>
              <w:rPr>
                <w:rFonts w:ascii="宋体" w:hAnsi="宋体" w:eastAsia="宋体"/>
                <w:color w:val="000000" w:themeColor="text1"/>
                <w:sz w:val="21"/>
                <w:szCs w:val="21"/>
                <w14:textFill>
                  <w14:solidFill>
                    <w14:schemeClr w14:val="tx1"/>
                  </w14:solidFill>
                </w14:textFill>
              </w:rPr>
              <w:t>0.5m/s</w:t>
            </w:r>
          </w:p>
        </w:tc>
        <w:tc>
          <w:tcPr>
            <w:tcW w:w="1789" w:type="dxa"/>
            <w:vAlign w:val="center"/>
          </w:tcPr>
          <w:p w14:paraId="5697B727">
            <w:pPr>
              <w:pStyle w:val="89"/>
              <w:spacing w:line="300" w:lineRule="exact"/>
              <w:ind w:firstLine="0" w:firstLineChars="0"/>
              <w:jc w:val="center"/>
              <w:rPr>
                <w:rFonts w:hint="eastAsia" w:ascii="宋体" w:hAnsi="宋体" w:eastAsia="宋体"/>
                <w:color w:val="000000" w:themeColor="text1"/>
                <w:sz w:val="21"/>
                <w:szCs w:val="21"/>
                <w14:textFill>
                  <w14:solidFill>
                    <w14:schemeClr w14:val="tx1"/>
                  </w14:solidFill>
                </w14:textFill>
              </w:rPr>
            </w:pPr>
            <w:r>
              <w:rPr>
                <w:rFonts w:ascii="宋体" w:hAnsi="宋体" w:eastAsia="宋体"/>
                <w:color w:val="000000" w:themeColor="text1"/>
                <w:sz w:val="21"/>
                <w:szCs w:val="21"/>
                <w14:textFill>
                  <w14:solidFill>
                    <w14:schemeClr w14:val="tx1"/>
                  </w14:solidFill>
                </w14:textFill>
              </w:rPr>
              <w:t>10</w:t>
            </w:r>
            <w:r>
              <w:rPr>
                <w:rFonts w:hint="eastAsia" w:ascii="宋体" w:hAnsi="宋体" w:eastAsia="宋体"/>
                <w:color w:val="000000" w:themeColor="text1"/>
                <w:sz w:val="21"/>
                <w:szCs w:val="21"/>
                <w14:textFill>
                  <w14:solidFill>
                    <w14:schemeClr w14:val="tx1"/>
                  </w14:solidFill>
                </w14:textFill>
              </w:rPr>
              <w:t>m</w:t>
            </w:r>
          </w:p>
        </w:tc>
      </w:tr>
    </w:tbl>
    <w:p w14:paraId="43296D1C">
      <w:pPr>
        <w:pStyle w:val="89"/>
        <w:ind w:firstLine="480"/>
        <w:rPr>
          <w:rFonts w:hint="eastAsia" w:ascii="宋体" w:hAnsi="宋体" w:eastAsia="宋体"/>
          <w:color w:val="000000" w:themeColor="text1"/>
          <w14:textFill>
            <w14:solidFill>
              <w14:schemeClr w14:val="tx1"/>
            </w14:solidFill>
          </w14:textFill>
        </w:rPr>
      </w:pPr>
      <w:r>
        <w:rPr>
          <w:rFonts w:hint="eastAsia" w:ascii="宋体" w:hAnsi="宋体" w:eastAsia="宋体"/>
          <w:color w:val="000000" w:themeColor="text1"/>
          <w14:textFill>
            <w14:solidFill>
              <w14:schemeClr w14:val="tx1"/>
            </w14:solidFill>
          </w14:textFill>
        </w:rPr>
        <w:t>（</w:t>
      </w:r>
      <w:r>
        <w:rPr>
          <w:rFonts w:ascii="宋体" w:hAnsi="宋体" w:eastAsia="宋体"/>
          <w:color w:val="000000" w:themeColor="text1"/>
          <w14:textFill>
            <w14:solidFill>
              <w14:schemeClr w14:val="tx1"/>
            </w14:solidFill>
          </w14:textFill>
        </w:rPr>
        <w:t>4）估算模型参数</w:t>
      </w:r>
    </w:p>
    <w:p w14:paraId="274B9FB1">
      <w:pPr>
        <w:pStyle w:val="89"/>
        <w:ind w:firstLine="480"/>
        <w:rPr>
          <w:rFonts w:hint="eastAsia"/>
          <w:color w:val="000000" w:themeColor="text1"/>
          <w14:textFill>
            <w14:solidFill>
              <w14:schemeClr w14:val="tx1"/>
            </w14:solidFill>
          </w14:textFill>
        </w:rPr>
      </w:pPr>
      <w:r>
        <w:rPr>
          <w:rFonts w:hint="eastAsia" w:ascii="宋体" w:hAnsi="宋体" w:eastAsia="宋体"/>
          <w:color w:val="000000" w:themeColor="text1"/>
          <w14:textFill>
            <w14:solidFill>
              <w14:schemeClr w14:val="tx1"/>
            </w14:solidFill>
          </w14:textFill>
        </w:rPr>
        <w:t>估算模型参数</w:t>
      </w:r>
      <w:r>
        <w:rPr>
          <w:rStyle w:val="233"/>
          <w:rFonts w:hint="eastAsia"/>
          <w:color w:val="000000" w:themeColor="text1"/>
          <w14:textFill>
            <w14:solidFill>
              <w14:schemeClr w14:val="tx1"/>
            </w14:solidFill>
          </w14:textFill>
        </w:rPr>
        <w:t>选择见表</w:t>
      </w:r>
      <w:r>
        <w:rPr>
          <w:rStyle w:val="233"/>
          <w:color w:val="000000" w:themeColor="text1"/>
          <w14:textFill>
            <w14:solidFill>
              <w14:schemeClr w14:val="tx1"/>
            </w14:solidFill>
          </w14:textFill>
        </w:rPr>
        <w:t>5</w:t>
      </w:r>
      <w:r>
        <w:rPr>
          <w:rStyle w:val="233"/>
          <w:rFonts w:hint="eastAsia"/>
          <w:color w:val="000000" w:themeColor="text1"/>
          <w14:textFill>
            <w14:solidFill>
              <w14:schemeClr w14:val="tx1"/>
            </w14:solidFill>
          </w14:textFill>
        </w:rPr>
        <w:t>.2-3。</w:t>
      </w:r>
    </w:p>
    <w:p w14:paraId="1B3A1EF2">
      <w:pPr>
        <w:pStyle w:val="109"/>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表</w:t>
      </w:r>
      <w:r>
        <w:rPr>
          <w:color w:val="000000" w:themeColor="text1"/>
          <w14:textFill>
            <w14:solidFill>
              <w14:schemeClr w14:val="tx1"/>
            </w14:solidFill>
          </w14:textFill>
        </w:rPr>
        <w:t>5</w:t>
      </w:r>
      <w:r>
        <w:rPr>
          <w:rFonts w:hint="eastAsia"/>
          <w:color w:val="000000" w:themeColor="text1"/>
          <w14:textFill>
            <w14:solidFill>
              <w14:schemeClr w14:val="tx1"/>
            </w14:solidFill>
          </w14:textFill>
        </w:rPr>
        <w:t>.2-3</w:t>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估算模型参数选择一览表</w:t>
      </w:r>
    </w:p>
    <w:tbl>
      <w:tblPr>
        <w:tblStyle w:val="51"/>
        <w:tblW w:w="0" w:type="auto"/>
        <w:tblInd w:w="0" w:type="dxa"/>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0" w:type="dxa"/>
          <w:bottom w:w="0" w:type="dxa"/>
          <w:right w:w="0" w:type="dxa"/>
        </w:tblCellMar>
      </w:tblPr>
      <w:tblGrid>
        <w:gridCol w:w="1932"/>
        <w:gridCol w:w="4437"/>
        <w:gridCol w:w="2361"/>
      </w:tblGrid>
      <w:tr w14:paraId="37BE7FF3">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6369" w:type="dxa"/>
            <w:gridSpan w:val="2"/>
            <w:vAlign w:val="center"/>
          </w:tcPr>
          <w:p w14:paraId="1FC1F4FF">
            <w:pPr>
              <w:adjustRightInd w:val="0"/>
              <w:spacing w:line="300" w:lineRule="exact"/>
              <w:jc w:val="center"/>
              <w:textAlignment w:val="baseline"/>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参数</w:t>
            </w:r>
          </w:p>
        </w:tc>
        <w:tc>
          <w:tcPr>
            <w:tcW w:w="2361" w:type="dxa"/>
            <w:vAlign w:val="center"/>
          </w:tcPr>
          <w:p w14:paraId="6EE08E43">
            <w:pPr>
              <w:adjustRightInd w:val="0"/>
              <w:spacing w:line="300" w:lineRule="exact"/>
              <w:jc w:val="center"/>
              <w:textAlignment w:val="baseline"/>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取值</w:t>
            </w:r>
          </w:p>
        </w:tc>
      </w:tr>
      <w:tr w14:paraId="711F57BD">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1932" w:type="dxa"/>
            <w:vMerge w:val="restart"/>
            <w:vAlign w:val="center"/>
          </w:tcPr>
          <w:p w14:paraId="223F5E6D">
            <w:pPr>
              <w:adjustRightInd w:val="0"/>
              <w:spacing w:line="300" w:lineRule="exact"/>
              <w:jc w:val="center"/>
              <w:textAlignment w:val="baseline"/>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城市/农村选项</w:t>
            </w:r>
          </w:p>
        </w:tc>
        <w:tc>
          <w:tcPr>
            <w:tcW w:w="4437" w:type="dxa"/>
            <w:vAlign w:val="center"/>
          </w:tcPr>
          <w:p w14:paraId="74164A92">
            <w:pPr>
              <w:adjustRightInd w:val="0"/>
              <w:spacing w:line="300" w:lineRule="exact"/>
              <w:jc w:val="center"/>
              <w:textAlignment w:val="baseline"/>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城市/农村</w:t>
            </w:r>
          </w:p>
        </w:tc>
        <w:tc>
          <w:tcPr>
            <w:tcW w:w="2361" w:type="dxa"/>
            <w:vAlign w:val="center"/>
          </w:tcPr>
          <w:p w14:paraId="1637AE1D">
            <w:pPr>
              <w:adjustRightInd w:val="0"/>
              <w:spacing w:line="300" w:lineRule="exact"/>
              <w:jc w:val="center"/>
              <w:textAlignment w:val="baseline"/>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农村</w:t>
            </w:r>
          </w:p>
        </w:tc>
      </w:tr>
      <w:tr w14:paraId="1A7C614F">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1932" w:type="dxa"/>
            <w:vMerge w:val="continue"/>
            <w:vAlign w:val="center"/>
          </w:tcPr>
          <w:p w14:paraId="5A75D942">
            <w:pPr>
              <w:adjustRightInd w:val="0"/>
              <w:spacing w:line="300" w:lineRule="exact"/>
              <w:jc w:val="center"/>
              <w:textAlignment w:val="baseline"/>
              <w:rPr>
                <w:rFonts w:hint="eastAsia" w:ascii="宋体" w:hAnsi="宋体" w:cs="宋体"/>
                <w:color w:val="000000" w:themeColor="text1"/>
                <w:kern w:val="0"/>
                <w:szCs w:val="21"/>
                <w14:textFill>
                  <w14:solidFill>
                    <w14:schemeClr w14:val="tx1"/>
                  </w14:solidFill>
                </w14:textFill>
              </w:rPr>
            </w:pPr>
          </w:p>
        </w:tc>
        <w:tc>
          <w:tcPr>
            <w:tcW w:w="4437" w:type="dxa"/>
            <w:vAlign w:val="center"/>
          </w:tcPr>
          <w:p w14:paraId="761C8C85">
            <w:pPr>
              <w:adjustRightInd w:val="0"/>
              <w:spacing w:line="300" w:lineRule="exact"/>
              <w:jc w:val="center"/>
              <w:textAlignment w:val="baseline"/>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人口数（城市选项时）</w:t>
            </w:r>
          </w:p>
        </w:tc>
        <w:tc>
          <w:tcPr>
            <w:tcW w:w="2361" w:type="dxa"/>
            <w:vAlign w:val="center"/>
          </w:tcPr>
          <w:p w14:paraId="4047B876">
            <w:pPr>
              <w:adjustRightInd w:val="0"/>
              <w:spacing w:line="300" w:lineRule="exact"/>
              <w:jc w:val="center"/>
              <w:textAlignment w:val="baseline"/>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w:t>
            </w:r>
          </w:p>
        </w:tc>
      </w:tr>
      <w:tr w14:paraId="51BA08C2">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6369" w:type="dxa"/>
            <w:gridSpan w:val="2"/>
            <w:vAlign w:val="center"/>
          </w:tcPr>
          <w:p w14:paraId="30ADD064">
            <w:pPr>
              <w:adjustRightInd w:val="0"/>
              <w:spacing w:line="300" w:lineRule="exact"/>
              <w:jc w:val="center"/>
              <w:textAlignment w:val="baseline"/>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最高环境温度/℃</w:t>
            </w:r>
          </w:p>
        </w:tc>
        <w:tc>
          <w:tcPr>
            <w:tcW w:w="2361" w:type="dxa"/>
            <w:vAlign w:val="center"/>
          </w:tcPr>
          <w:p w14:paraId="17206B1D">
            <w:pPr>
              <w:adjustRightInd w:val="0"/>
              <w:spacing w:line="300" w:lineRule="exact"/>
              <w:jc w:val="center"/>
              <w:textAlignment w:val="baseline"/>
              <w:rPr>
                <w:rFonts w:hint="eastAsia" w:ascii="宋体" w:hAnsi="宋体" w:cs="宋体"/>
                <w:color w:val="000000" w:themeColor="text1"/>
                <w:kern w:val="0"/>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38.9℃</w:t>
            </w:r>
          </w:p>
        </w:tc>
      </w:tr>
      <w:tr w14:paraId="233A8B29">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6369" w:type="dxa"/>
            <w:gridSpan w:val="2"/>
            <w:vAlign w:val="center"/>
          </w:tcPr>
          <w:p w14:paraId="68EED06B">
            <w:pPr>
              <w:adjustRightInd w:val="0"/>
              <w:spacing w:line="300" w:lineRule="exact"/>
              <w:jc w:val="center"/>
              <w:textAlignment w:val="baseline"/>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最低环境温度/℃</w:t>
            </w:r>
          </w:p>
        </w:tc>
        <w:tc>
          <w:tcPr>
            <w:tcW w:w="2361" w:type="dxa"/>
            <w:vAlign w:val="center"/>
          </w:tcPr>
          <w:p w14:paraId="2CBE7FD3">
            <w:pPr>
              <w:adjustRightInd w:val="0"/>
              <w:spacing w:line="300" w:lineRule="exact"/>
              <w:jc w:val="center"/>
              <w:textAlignment w:val="baseline"/>
              <w:rPr>
                <w:rFonts w:hint="eastAsia" w:ascii="宋体" w:hAnsi="宋体" w:cs="宋体"/>
                <w:color w:val="000000" w:themeColor="text1"/>
                <w:kern w:val="0"/>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-26.0℃</w:t>
            </w:r>
          </w:p>
        </w:tc>
      </w:tr>
      <w:tr w14:paraId="11AA68DC">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6369" w:type="dxa"/>
            <w:gridSpan w:val="2"/>
            <w:vAlign w:val="center"/>
          </w:tcPr>
          <w:p w14:paraId="17F95EA4">
            <w:pPr>
              <w:adjustRightInd w:val="0"/>
              <w:spacing w:line="300" w:lineRule="exact"/>
              <w:jc w:val="center"/>
              <w:textAlignment w:val="baseline"/>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土地利用类型</w:t>
            </w:r>
          </w:p>
        </w:tc>
        <w:tc>
          <w:tcPr>
            <w:tcW w:w="2361" w:type="dxa"/>
            <w:vAlign w:val="center"/>
          </w:tcPr>
          <w:p w14:paraId="54B07CA3">
            <w:pPr>
              <w:adjustRightInd w:val="0"/>
              <w:spacing w:line="300" w:lineRule="exact"/>
              <w:jc w:val="center"/>
              <w:textAlignment w:val="baseline"/>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草地</w:t>
            </w:r>
          </w:p>
        </w:tc>
      </w:tr>
      <w:tr w14:paraId="1BACF5E2">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6369" w:type="dxa"/>
            <w:gridSpan w:val="2"/>
            <w:vAlign w:val="center"/>
          </w:tcPr>
          <w:p w14:paraId="51858C20">
            <w:pPr>
              <w:adjustRightInd w:val="0"/>
              <w:spacing w:line="300" w:lineRule="exact"/>
              <w:jc w:val="center"/>
              <w:textAlignment w:val="baseline"/>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区域湿度条件</w:t>
            </w:r>
          </w:p>
        </w:tc>
        <w:tc>
          <w:tcPr>
            <w:tcW w:w="2361" w:type="dxa"/>
            <w:vAlign w:val="center"/>
          </w:tcPr>
          <w:p w14:paraId="0B5D770D">
            <w:pPr>
              <w:adjustRightInd w:val="0"/>
              <w:spacing w:line="300" w:lineRule="exact"/>
              <w:jc w:val="center"/>
              <w:textAlignment w:val="baseline"/>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干燥气候</w:t>
            </w:r>
          </w:p>
        </w:tc>
      </w:tr>
      <w:tr w14:paraId="745BE02D">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1932" w:type="dxa"/>
            <w:vMerge w:val="restart"/>
            <w:vAlign w:val="center"/>
          </w:tcPr>
          <w:p w14:paraId="55618F81">
            <w:pPr>
              <w:adjustRightInd w:val="0"/>
              <w:spacing w:line="300" w:lineRule="exact"/>
              <w:jc w:val="center"/>
              <w:textAlignment w:val="baseline"/>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是否考虑地形</w:t>
            </w:r>
          </w:p>
        </w:tc>
        <w:tc>
          <w:tcPr>
            <w:tcW w:w="4437" w:type="dxa"/>
            <w:vAlign w:val="center"/>
          </w:tcPr>
          <w:p w14:paraId="1ACB2EBE">
            <w:pPr>
              <w:adjustRightInd w:val="0"/>
              <w:spacing w:line="300" w:lineRule="exact"/>
              <w:jc w:val="center"/>
              <w:textAlignment w:val="baseline"/>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考虑地形</w:t>
            </w:r>
          </w:p>
        </w:tc>
        <w:tc>
          <w:tcPr>
            <w:tcW w:w="2361" w:type="dxa"/>
            <w:vAlign w:val="center"/>
          </w:tcPr>
          <w:p w14:paraId="7FCCF18E">
            <w:pPr>
              <w:adjustRightInd w:val="0"/>
              <w:spacing w:line="300" w:lineRule="exact"/>
              <w:jc w:val="center"/>
              <w:textAlignment w:val="baseline"/>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sym w:font="Wingdings 2" w:char="0052"/>
            </w:r>
            <w:r>
              <w:rPr>
                <w:rFonts w:hint="eastAsia" w:ascii="宋体" w:hAnsi="宋体" w:cs="宋体"/>
                <w:color w:val="000000" w:themeColor="text1"/>
                <w:kern w:val="0"/>
                <w:szCs w:val="21"/>
                <w14:textFill>
                  <w14:solidFill>
                    <w14:schemeClr w14:val="tx1"/>
                  </w14:solidFill>
                </w14:textFill>
              </w:rPr>
              <w:t xml:space="preserve">是  </w:t>
            </w:r>
            <w:r>
              <w:rPr>
                <w:rFonts w:hint="eastAsia" w:ascii="宋体" w:hAnsi="宋体" w:cs="宋体"/>
                <w:color w:val="000000" w:themeColor="text1"/>
                <w:kern w:val="0"/>
                <w:szCs w:val="21"/>
                <w14:textFill>
                  <w14:solidFill>
                    <w14:schemeClr w14:val="tx1"/>
                  </w14:solidFill>
                </w14:textFill>
              </w:rPr>
              <w:fldChar w:fldCharType="begin"/>
            </w:r>
            <w:r>
              <w:rPr>
                <w:rFonts w:hint="eastAsia" w:ascii="宋体" w:hAnsi="宋体" w:cs="宋体"/>
                <w:color w:val="000000" w:themeColor="text1"/>
                <w:kern w:val="0"/>
                <w:szCs w:val="21"/>
                <w14:textFill>
                  <w14:solidFill>
                    <w14:schemeClr w14:val="tx1"/>
                  </w14:solidFill>
                </w14:textFill>
              </w:rPr>
              <w:instrText xml:space="preserve"> eq \o\ac(</w:instrText>
            </w:r>
            <w:r>
              <w:rPr>
                <w:rFonts w:hint="eastAsia" w:ascii="宋体" w:hAnsi="宋体" w:cs="宋体"/>
                <w:color w:val="000000" w:themeColor="text1"/>
                <w:kern w:val="0"/>
                <w:position w:val="-4"/>
                <w:sz w:val="31"/>
                <w:szCs w:val="21"/>
                <w14:textFill>
                  <w14:solidFill>
                    <w14:schemeClr w14:val="tx1"/>
                  </w14:solidFill>
                </w14:textFill>
              </w:rPr>
              <w:instrText xml:space="preserve">□</w:instrText>
            </w:r>
            <w:r>
              <w:rPr>
                <w:rFonts w:hint="eastAsia" w:ascii="宋体" w:hAnsi="宋体" w:cs="宋体"/>
                <w:color w:val="000000" w:themeColor="text1"/>
                <w:kern w:val="0"/>
                <w:szCs w:val="21"/>
                <w14:textFill>
                  <w14:solidFill>
                    <w14:schemeClr w14:val="tx1"/>
                  </w14:solidFill>
                </w14:textFill>
              </w:rPr>
              <w:instrText xml:space="preserve">)</w:instrText>
            </w:r>
            <w:r>
              <w:rPr>
                <w:rFonts w:hint="eastAsia" w:ascii="宋体" w:hAnsi="宋体" w:cs="宋体"/>
                <w:color w:val="000000" w:themeColor="text1"/>
                <w:kern w:val="0"/>
                <w:szCs w:val="21"/>
                <w14:textFill>
                  <w14:solidFill>
                    <w14:schemeClr w14:val="tx1"/>
                  </w14:solidFill>
                </w14:textFill>
              </w:rPr>
              <w:fldChar w:fldCharType="end"/>
            </w:r>
            <w:r>
              <w:rPr>
                <w:rFonts w:hint="eastAsia" w:ascii="宋体" w:hAnsi="宋体" w:cs="宋体"/>
                <w:color w:val="000000" w:themeColor="text1"/>
                <w:kern w:val="0"/>
                <w:szCs w:val="21"/>
                <w14:textFill>
                  <w14:solidFill>
                    <w14:schemeClr w14:val="tx1"/>
                  </w14:solidFill>
                </w14:textFill>
              </w:rPr>
              <w:t>否</w:t>
            </w:r>
          </w:p>
        </w:tc>
      </w:tr>
      <w:tr w14:paraId="613CE7CA">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1932" w:type="dxa"/>
            <w:vMerge w:val="continue"/>
            <w:vAlign w:val="center"/>
          </w:tcPr>
          <w:p w14:paraId="03B4077A">
            <w:pPr>
              <w:adjustRightInd w:val="0"/>
              <w:spacing w:line="300" w:lineRule="exact"/>
              <w:jc w:val="center"/>
              <w:textAlignment w:val="baseline"/>
              <w:rPr>
                <w:rFonts w:hint="eastAsia" w:ascii="宋体" w:hAnsi="宋体" w:cs="宋体"/>
                <w:color w:val="000000" w:themeColor="text1"/>
                <w:kern w:val="0"/>
                <w:szCs w:val="21"/>
                <w14:textFill>
                  <w14:solidFill>
                    <w14:schemeClr w14:val="tx1"/>
                  </w14:solidFill>
                </w14:textFill>
              </w:rPr>
            </w:pPr>
          </w:p>
        </w:tc>
        <w:tc>
          <w:tcPr>
            <w:tcW w:w="4437" w:type="dxa"/>
            <w:vAlign w:val="center"/>
          </w:tcPr>
          <w:p w14:paraId="2C8F80CE">
            <w:pPr>
              <w:adjustRightInd w:val="0"/>
              <w:spacing w:line="300" w:lineRule="exact"/>
              <w:jc w:val="center"/>
              <w:textAlignment w:val="baseline"/>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地形数据分辨率/m</w:t>
            </w:r>
          </w:p>
        </w:tc>
        <w:tc>
          <w:tcPr>
            <w:tcW w:w="2361" w:type="dxa"/>
            <w:vAlign w:val="center"/>
          </w:tcPr>
          <w:p w14:paraId="184D1C21">
            <w:pPr>
              <w:adjustRightInd w:val="0"/>
              <w:spacing w:line="300" w:lineRule="exact"/>
              <w:jc w:val="center"/>
              <w:textAlignment w:val="baseline"/>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90</w:t>
            </w:r>
          </w:p>
        </w:tc>
      </w:tr>
      <w:tr w14:paraId="44DFC5AE">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1932" w:type="dxa"/>
            <w:vMerge w:val="restart"/>
            <w:vAlign w:val="center"/>
          </w:tcPr>
          <w:p w14:paraId="78952D5C">
            <w:pPr>
              <w:adjustRightInd w:val="0"/>
              <w:spacing w:line="300" w:lineRule="exact"/>
              <w:jc w:val="center"/>
              <w:textAlignment w:val="baseline"/>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是否考虑岸线熏烟</w:t>
            </w:r>
          </w:p>
        </w:tc>
        <w:tc>
          <w:tcPr>
            <w:tcW w:w="4437" w:type="dxa"/>
            <w:vAlign w:val="center"/>
          </w:tcPr>
          <w:p w14:paraId="0DFA21BA">
            <w:pPr>
              <w:adjustRightInd w:val="0"/>
              <w:spacing w:line="300" w:lineRule="exact"/>
              <w:jc w:val="center"/>
              <w:textAlignment w:val="baseline"/>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考虑岸线熏烟</w:t>
            </w:r>
          </w:p>
        </w:tc>
        <w:tc>
          <w:tcPr>
            <w:tcW w:w="2361" w:type="dxa"/>
            <w:vAlign w:val="center"/>
          </w:tcPr>
          <w:p w14:paraId="4FECA76C">
            <w:pPr>
              <w:adjustRightInd w:val="0"/>
              <w:spacing w:line="300" w:lineRule="exact"/>
              <w:jc w:val="center"/>
              <w:textAlignment w:val="baseline"/>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 xml:space="preserve">□是 </w:t>
            </w:r>
            <w:r>
              <w:rPr>
                <w:rFonts w:hint="eastAsia" w:ascii="宋体" w:hAnsi="宋体" w:cs="宋体"/>
                <w:color w:val="000000" w:themeColor="text1"/>
                <w:kern w:val="0"/>
                <w:szCs w:val="21"/>
                <w14:textFill>
                  <w14:solidFill>
                    <w14:schemeClr w14:val="tx1"/>
                  </w14:solidFill>
                </w14:textFill>
              </w:rPr>
              <w:fldChar w:fldCharType="begin"/>
            </w:r>
            <w:r>
              <w:rPr>
                <w:rFonts w:hint="eastAsia" w:ascii="宋体" w:hAnsi="宋体" w:cs="宋体"/>
                <w:color w:val="000000" w:themeColor="text1"/>
                <w:kern w:val="0"/>
                <w:szCs w:val="21"/>
                <w14:textFill>
                  <w14:solidFill>
                    <w14:schemeClr w14:val="tx1"/>
                  </w14:solidFill>
                </w14:textFill>
              </w:rPr>
              <w:instrText xml:space="preserve"> eq \o\ac(</w:instrText>
            </w:r>
            <w:r>
              <w:rPr>
                <w:rFonts w:hint="eastAsia" w:ascii="宋体" w:hAnsi="宋体" w:cs="宋体"/>
                <w:color w:val="000000" w:themeColor="text1"/>
                <w:kern w:val="0"/>
                <w:position w:val="-4"/>
                <w:sz w:val="31"/>
                <w:szCs w:val="21"/>
                <w14:textFill>
                  <w14:solidFill>
                    <w14:schemeClr w14:val="tx1"/>
                  </w14:solidFill>
                </w14:textFill>
              </w:rPr>
              <w:instrText xml:space="preserve">□</w:instrText>
            </w:r>
            <w:r>
              <w:rPr>
                <w:rFonts w:hint="eastAsia" w:ascii="宋体" w:hAnsi="宋体" w:cs="宋体"/>
                <w:color w:val="000000" w:themeColor="text1"/>
                <w:kern w:val="0"/>
                <w:szCs w:val="21"/>
                <w14:textFill>
                  <w14:solidFill>
                    <w14:schemeClr w14:val="tx1"/>
                  </w14:solidFill>
                </w14:textFill>
              </w:rPr>
              <w:instrText xml:space="preserve">,√)</w:instrText>
            </w:r>
            <w:r>
              <w:rPr>
                <w:rFonts w:hint="eastAsia" w:ascii="宋体" w:hAnsi="宋体" w:cs="宋体"/>
                <w:color w:val="000000" w:themeColor="text1"/>
                <w:kern w:val="0"/>
                <w:szCs w:val="21"/>
                <w14:textFill>
                  <w14:solidFill>
                    <w14:schemeClr w14:val="tx1"/>
                  </w14:solidFill>
                </w14:textFill>
              </w:rPr>
              <w:fldChar w:fldCharType="end"/>
            </w:r>
            <w:r>
              <w:rPr>
                <w:rFonts w:hint="eastAsia" w:ascii="宋体" w:hAnsi="宋体" w:cs="宋体"/>
                <w:color w:val="000000" w:themeColor="text1"/>
                <w:kern w:val="0"/>
                <w:szCs w:val="21"/>
                <w14:textFill>
                  <w14:solidFill>
                    <w14:schemeClr w14:val="tx1"/>
                  </w14:solidFill>
                </w14:textFill>
              </w:rPr>
              <w:t>否</w:t>
            </w:r>
          </w:p>
        </w:tc>
      </w:tr>
      <w:tr w14:paraId="45EFAAEC">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1932" w:type="dxa"/>
            <w:vMerge w:val="continue"/>
            <w:vAlign w:val="center"/>
          </w:tcPr>
          <w:p w14:paraId="57AF902E">
            <w:pPr>
              <w:adjustRightInd w:val="0"/>
              <w:spacing w:line="300" w:lineRule="exact"/>
              <w:jc w:val="center"/>
              <w:textAlignment w:val="baseline"/>
              <w:rPr>
                <w:rFonts w:hint="eastAsia" w:ascii="宋体" w:hAnsi="宋体" w:cs="宋体"/>
                <w:color w:val="000000" w:themeColor="text1"/>
                <w:kern w:val="0"/>
                <w:szCs w:val="21"/>
                <w14:textFill>
                  <w14:solidFill>
                    <w14:schemeClr w14:val="tx1"/>
                  </w14:solidFill>
                </w14:textFill>
              </w:rPr>
            </w:pPr>
          </w:p>
        </w:tc>
        <w:tc>
          <w:tcPr>
            <w:tcW w:w="4437" w:type="dxa"/>
            <w:vAlign w:val="center"/>
          </w:tcPr>
          <w:p w14:paraId="053B2B1A">
            <w:pPr>
              <w:adjustRightInd w:val="0"/>
              <w:spacing w:line="300" w:lineRule="exact"/>
              <w:jc w:val="center"/>
              <w:textAlignment w:val="baseline"/>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岸线距离/km</w:t>
            </w:r>
          </w:p>
        </w:tc>
        <w:tc>
          <w:tcPr>
            <w:tcW w:w="2361" w:type="dxa"/>
            <w:vAlign w:val="center"/>
          </w:tcPr>
          <w:p w14:paraId="49F1379F">
            <w:pPr>
              <w:adjustRightInd w:val="0"/>
              <w:spacing w:line="300" w:lineRule="exact"/>
              <w:jc w:val="center"/>
              <w:textAlignment w:val="baseline"/>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w:t>
            </w:r>
          </w:p>
        </w:tc>
      </w:tr>
      <w:tr w14:paraId="438CFEDD">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1932" w:type="dxa"/>
            <w:vMerge w:val="continue"/>
            <w:vAlign w:val="center"/>
          </w:tcPr>
          <w:p w14:paraId="167D099C">
            <w:pPr>
              <w:adjustRightInd w:val="0"/>
              <w:spacing w:line="300" w:lineRule="exact"/>
              <w:jc w:val="center"/>
              <w:textAlignment w:val="baseline"/>
              <w:rPr>
                <w:rFonts w:hint="eastAsia" w:ascii="宋体" w:hAnsi="宋体" w:cs="宋体"/>
                <w:color w:val="000000" w:themeColor="text1"/>
                <w:kern w:val="0"/>
                <w:szCs w:val="21"/>
                <w14:textFill>
                  <w14:solidFill>
                    <w14:schemeClr w14:val="tx1"/>
                  </w14:solidFill>
                </w14:textFill>
              </w:rPr>
            </w:pPr>
          </w:p>
        </w:tc>
        <w:tc>
          <w:tcPr>
            <w:tcW w:w="4437" w:type="dxa"/>
            <w:vAlign w:val="center"/>
          </w:tcPr>
          <w:p w14:paraId="55E67266">
            <w:pPr>
              <w:adjustRightInd w:val="0"/>
              <w:spacing w:line="300" w:lineRule="exact"/>
              <w:jc w:val="center"/>
              <w:textAlignment w:val="baseline"/>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岸线方向/°</w:t>
            </w:r>
          </w:p>
        </w:tc>
        <w:tc>
          <w:tcPr>
            <w:tcW w:w="2361" w:type="dxa"/>
            <w:vAlign w:val="center"/>
          </w:tcPr>
          <w:p w14:paraId="04BF8CE6">
            <w:pPr>
              <w:adjustRightInd w:val="0"/>
              <w:spacing w:line="300" w:lineRule="exact"/>
              <w:jc w:val="center"/>
              <w:textAlignment w:val="baseline"/>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w:t>
            </w:r>
          </w:p>
        </w:tc>
      </w:tr>
    </w:tbl>
    <w:p w14:paraId="131A3DAD">
      <w:pPr>
        <w:pStyle w:val="117"/>
        <w:ind w:firstLine="480"/>
        <w:rPr>
          <w:rFonts w:hint="eastAsia"/>
          <w:color w:val="000000" w:themeColor="text1"/>
          <w14:textFill>
            <w14:solidFill>
              <w14:schemeClr w14:val="tx1"/>
            </w14:solidFill>
          </w14:textFill>
        </w:rPr>
      </w:pPr>
      <w:bookmarkStart w:id="522" w:name="_Hlk147587577"/>
      <w:r>
        <w:rPr>
          <w:rFonts w:hint="eastAsia"/>
          <w:color w:val="000000" w:themeColor="text1"/>
          <w14:textFill>
            <w14:solidFill>
              <w14:schemeClr w14:val="tx1"/>
            </w14:solidFill>
          </w14:textFill>
        </w:rPr>
        <w:t>（</w:t>
      </w:r>
      <w:r>
        <w:rPr>
          <w:color w:val="000000" w:themeColor="text1"/>
          <w14:textFill>
            <w14:solidFill>
              <w14:schemeClr w14:val="tx1"/>
            </w14:solidFill>
          </w14:textFill>
        </w:rPr>
        <w:t>5</w:t>
      </w:r>
      <w:r>
        <w:rPr>
          <w:rFonts w:hint="eastAsia"/>
          <w:color w:val="000000" w:themeColor="text1"/>
          <w14:textFill>
            <w14:solidFill>
              <w14:schemeClr w14:val="tx1"/>
            </w14:solidFill>
          </w14:textFill>
        </w:rPr>
        <w:t>）污染源参数</w:t>
      </w:r>
    </w:p>
    <w:p w14:paraId="70BCE412">
      <w:pPr>
        <w:pStyle w:val="89"/>
        <w:ind w:firstLine="480"/>
        <w:rPr>
          <w:rFonts w:hint="eastAsia" w:ascii="宋体" w:hAnsi="宋体" w:eastAsia="宋体"/>
          <w:color w:val="000000" w:themeColor="text1"/>
          <w14:textFill>
            <w14:solidFill>
              <w14:schemeClr w14:val="tx1"/>
            </w14:solidFill>
          </w14:textFill>
        </w:rPr>
      </w:pPr>
      <w:bookmarkStart w:id="523" w:name="_Ref78375761"/>
      <w:r>
        <w:rPr>
          <w:rFonts w:hint="eastAsia" w:ascii="宋体" w:hAnsi="宋体" w:eastAsia="宋体"/>
          <w:color w:val="000000" w:themeColor="text1"/>
          <w14:textFill>
            <w14:solidFill>
              <w14:schemeClr w14:val="tx1"/>
            </w14:solidFill>
          </w14:textFill>
        </w:rPr>
        <w:t>注采井场占地面积及污染物排放量均相同，占地面积相同及污染物排放相同的注采井场本次仅选取其中一座进行预测，无组织废气排放情况见表</w:t>
      </w:r>
      <w:r>
        <w:rPr>
          <w:rFonts w:ascii="宋体" w:hAnsi="宋体" w:eastAsia="宋体"/>
          <w:color w:val="000000" w:themeColor="text1"/>
          <w14:textFill>
            <w14:solidFill>
              <w14:schemeClr w14:val="tx1"/>
            </w14:solidFill>
          </w14:textFill>
        </w:rPr>
        <w:t>5.2</w:t>
      </w:r>
      <w:r>
        <w:rPr>
          <w:rFonts w:hint="eastAsia" w:ascii="宋体" w:hAnsi="宋体" w:eastAsia="宋体"/>
          <w:color w:val="000000" w:themeColor="text1"/>
          <w14:textFill>
            <w14:solidFill>
              <w14:schemeClr w14:val="tx1"/>
            </w14:solidFill>
          </w14:textFill>
        </w:rPr>
        <w:t>-</w:t>
      </w:r>
      <w:r>
        <w:rPr>
          <w:rFonts w:ascii="宋体" w:hAnsi="宋体" w:eastAsia="宋体"/>
          <w:color w:val="000000" w:themeColor="text1"/>
          <w14:textFill>
            <w14:solidFill>
              <w14:schemeClr w14:val="tx1"/>
            </w14:solidFill>
          </w14:textFill>
        </w:rPr>
        <w:t>4</w:t>
      </w:r>
      <w:r>
        <w:rPr>
          <w:rFonts w:hint="eastAsia" w:ascii="宋体" w:hAnsi="宋体" w:eastAsia="宋体"/>
          <w:color w:val="000000" w:themeColor="text1"/>
          <w14:textFill>
            <w14:solidFill>
              <w14:schemeClr w14:val="tx1"/>
            </w14:solidFill>
          </w14:textFill>
        </w:rPr>
        <w:t>。</w:t>
      </w:r>
    </w:p>
    <w:bookmarkEnd w:id="522"/>
    <w:bookmarkEnd w:id="523"/>
    <w:p w14:paraId="198678A8">
      <w:pPr>
        <w:pStyle w:val="117"/>
        <w:ind w:firstLine="0" w:firstLineChars="0"/>
        <w:jc w:val="center"/>
        <w:rPr>
          <w:rFonts w:hint="eastAsia" w:ascii="黑体" w:hAnsi="黑体" w:eastAsia="黑体"/>
          <w:color w:val="000000" w:themeColor="text1"/>
          <w:sz w:val="21"/>
          <w:szCs w:val="21"/>
          <w14:textFill>
            <w14:solidFill>
              <w14:schemeClr w14:val="tx1"/>
            </w14:solidFill>
          </w14:textFill>
        </w:rPr>
      </w:pPr>
      <w:bookmarkStart w:id="524" w:name="_Hlk147587602"/>
      <w:r>
        <w:rPr>
          <w:rFonts w:hint="eastAsia" w:ascii="黑体" w:hAnsi="黑体" w:eastAsia="黑体"/>
          <w:color w:val="000000" w:themeColor="text1"/>
          <w:sz w:val="21"/>
          <w:szCs w:val="21"/>
          <w14:textFill>
            <w14:solidFill>
              <w14:schemeClr w14:val="tx1"/>
            </w14:solidFill>
          </w14:textFill>
        </w:rPr>
        <w:t>表</w:t>
      </w:r>
      <w:r>
        <w:rPr>
          <w:rFonts w:ascii="黑体" w:hAnsi="黑体" w:eastAsia="黑体"/>
          <w:color w:val="000000" w:themeColor="text1"/>
          <w:sz w:val="21"/>
          <w:szCs w:val="21"/>
          <w14:textFill>
            <w14:solidFill>
              <w14:schemeClr w14:val="tx1"/>
            </w14:solidFill>
          </w14:textFill>
        </w:rPr>
        <w:t>5</w:t>
      </w:r>
      <w:r>
        <w:rPr>
          <w:rFonts w:hint="eastAsia" w:ascii="黑体" w:hAnsi="黑体" w:eastAsia="黑体"/>
          <w:color w:val="000000" w:themeColor="text1"/>
          <w:sz w:val="21"/>
          <w:szCs w:val="21"/>
          <w14:textFill>
            <w14:solidFill>
              <w14:schemeClr w14:val="tx1"/>
            </w14:solidFill>
          </w14:textFill>
        </w:rPr>
        <w:t>.2-</w:t>
      </w:r>
      <w:r>
        <w:rPr>
          <w:rFonts w:ascii="黑体" w:hAnsi="黑体" w:eastAsia="黑体"/>
          <w:color w:val="000000" w:themeColor="text1"/>
          <w:sz w:val="21"/>
          <w:szCs w:val="21"/>
          <w14:textFill>
            <w14:solidFill>
              <w14:schemeClr w14:val="tx1"/>
            </w14:solidFill>
          </w14:textFill>
        </w:rPr>
        <w:t>4</w:t>
      </w:r>
      <w:r>
        <w:rPr>
          <w:rFonts w:hint="eastAsia" w:ascii="黑体" w:hAnsi="黑体" w:eastAsia="黑体"/>
          <w:color w:val="000000" w:themeColor="text1"/>
          <w:sz w:val="21"/>
          <w:szCs w:val="21"/>
          <w14:textFill>
            <w14:solidFill>
              <w14:schemeClr w14:val="tx1"/>
            </w14:solidFill>
          </w14:textFill>
        </w:rPr>
        <w:t xml:space="preserve"> </w:t>
      </w:r>
      <w:r>
        <w:rPr>
          <w:rFonts w:ascii="黑体" w:hAnsi="黑体" w:eastAsia="黑体"/>
          <w:color w:val="000000" w:themeColor="text1"/>
          <w:sz w:val="21"/>
          <w:szCs w:val="21"/>
          <w14:textFill>
            <w14:solidFill>
              <w14:schemeClr w14:val="tx1"/>
            </w14:solidFill>
          </w14:textFill>
        </w:rPr>
        <w:t xml:space="preserve"> </w:t>
      </w:r>
      <w:r>
        <w:rPr>
          <w:rFonts w:hint="eastAsia" w:ascii="黑体" w:hAnsi="黑体" w:eastAsia="黑体"/>
          <w:color w:val="000000" w:themeColor="text1"/>
          <w:sz w:val="21"/>
          <w:szCs w:val="21"/>
          <w14:textFill>
            <w14:solidFill>
              <w14:schemeClr w14:val="tx1"/>
            </w14:solidFill>
          </w14:textFill>
        </w:rPr>
        <w:t>面源污染源参数一览表</w:t>
      </w:r>
    </w:p>
    <w:tbl>
      <w:tblPr>
        <w:tblStyle w:val="51"/>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981"/>
        <w:gridCol w:w="740"/>
        <w:gridCol w:w="740"/>
        <w:gridCol w:w="740"/>
        <w:gridCol w:w="740"/>
        <w:gridCol w:w="740"/>
        <w:gridCol w:w="562"/>
        <w:gridCol w:w="684"/>
        <w:gridCol w:w="848"/>
        <w:gridCol w:w="795"/>
        <w:gridCol w:w="1160"/>
      </w:tblGrid>
      <w:tr w14:paraId="320E687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62" w:type="pct"/>
            <w:vMerge w:val="restart"/>
            <w:vAlign w:val="center"/>
          </w:tcPr>
          <w:p w14:paraId="56CF9115">
            <w:pPr>
              <w:adjustRightInd w:val="0"/>
              <w:snapToGrid w:val="0"/>
              <w:spacing w:line="300" w:lineRule="exact"/>
              <w:jc w:val="center"/>
              <w:rPr>
                <w:rFonts w:hint="eastAsia" w:ascii="宋体" w:hAnsi="宋体" w:cs="宋体"/>
                <w:bCs/>
                <w:color w:val="000000" w:themeColor="text1"/>
                <w:szCs w:val="21"/>
                <w14:textFill>
                  <w14:solidFill>
                    <w14:schemeClr w14:val="tx1"/>
                  </w14:solidFill>
                </w14:textFill>
              </w:rPr>
            </w:pPr>
            <w:bookmarkStart w:id="525" w:name="OLE_LINK125"/>
            <w:r>
              <w:rPr>
                <w:rFonts w:hint="eastAsia" w:ascii="宋体" w:hAnsi="宋体" w:cs="宋体"/>
                <w:bCs/>
                <w:color w:val="000000" w:themeColor="text1"/>
                <w:szCs w:val="21"/>
                <w14:textFill>
                  <w14:solidFill>
                    <w14:schemeClr w14:val="tx1"/>
                  </w14:solidFill>
                </w14:textFill>
              </w:rPr>
              <w:t>位置</w:t>
            </w:r>
          </w:p>
        </w:tc>
        <w:tc>
          <w:tcPr>
            <w:tcW w:w="424" w:type="pct"/>
            <w:vMerge w:val="restart"/>
            <w:vAlign w:val="center"/>
          </w:tcPr>
          <w:p w14:paraId="73FDBA7A">
            <w:pPr>
              <w:adjustRightInd w:val="0"/>
              <w:snapToGrid w:val="0"/>
              <w:spacing w:line="300" w:lineRule="exact"/>
              <w:jc w:val="center"/>
              <w:rPr>
                <w:rFonts w:hint="eastAsia" w:ascii="宋体" w:hAnsi="宋体" w:cs="宋体"/>
                <w:bCs/>
                <w:color w:val="000000" w:themeColor="text1"/>
                <w:szCs w:val="21"/>
                <w14:textFill>
                  <w14:solidFill>
                    <w14:schemeClr w14:val="tx1"/>
                  </w14:solidFill>
                </w14:textFill>
              </w:rPr>
            </w:pPr>
            <w:r>
              <w:rPr>
                <w:rFonts w:hint="eastAsia" w:ascii="宋体" w:hAnsi="宋体" w:cs="宋体"/>
                <w:bCs/>
                <w:color w:val="000000" w:themeColor="text1"/>
                <w:szCs w:val="21"/>
                <w14:textFill>
                  <w14:solidFill>
                    <w14:schemeClr w14:val="tx1"/>
                  </w14:solidFill>
                </w14:textFill>
              </w:rPr>
              <w:t>海拔高度（m）</w:t>
            </w:r>
          </w:p>
        </w:tc>
        <w:tc>
          <w:tcPr>
            <w:tcW w:w="424" w:type="pct"/>
            <w:vMerge w:val="restart"/>
            <w:vAlign w:val="center"/>
          </w:tcPr>
          <w:p w14:paraId="67E7D114">
            <w:pPr>
              <w:adjustRightInd w:val="0"/>
              <w:snapToGrid w:val="0"/>
              <w:spacing w:line="300" w:lineRule="exact"/>
              <w:jc w:val="center"/>
              <w:rPr>
                <w:rFonts w:hint="eastAsia" w:ascii="宋体" w:hAnsi="宋体" w:cs="宋体"/>
                <w:bCs/>
                <w:color w:val="000000" w:themeColor="text1"/>
                <w:szCs w:val="21"/>
                <w14:textFill>
                  <w14:solidFill>
                    <w14:schemeClr w14:val="tx1"/>
                  </w14:solidFill>
                </w14:textFill>
              </w:rPr>
            </w:pPr>
            <w:r>
              <w:rPr>
                <w:rFonts w:hint="eastAsia" w:ascii="宋体" w:hAnsi="宋体" w:cs="宋体"/>
                <w:bCs/>
                <w:color w:val="000000" w:themeColor="text1"/>
                <w:szCs w:val="21"/>
                <w14:textFill>
                  <w14:solidFill>
                    <w14:schemeClr w14:val="tx1"/>
                  </w14:solidFill>
                </w14:textFill>
              </w:rPr>
              <w:t>面源长度（m）</w:t>
            </w:r>
          </w:p>
        </w:tc>
        <w:tc>
          <w:tcPr>
            <w:tcW w:w="424" w:type="pct"/>
            <w:vMerge w:val="restart"/>
            <w:vAlign w:val="center"/>
          </w:tcPr>
          <w:p w14:paraId="434CE8B9">
            <w:pPr>
              <w:adjustRightInd w:val="0"/>
              <w:snapToGrid w:val="0"/>
              <w:spacing w:line="300" w:lineRule="exact"/>
              <w:jc w:val="center"/>
              <w:rPr>
                <w:rFonts w:hint="eastAsia" w:ascii="宋体" w:hAnsi="宋体" w:cs="宋体"/>
                <w:bCs/>
                <w:color w:val="000000" w:themeColor="text1"/>
                <w:szCs w:val="21"/>
                <w14:textFill>
                  <w14:solidFill>
                    <w14:schemeClr w14:val="tx1"/>
                  </w14:solidFill>
                </w14:textFill>
              </w:rPr>
            </w:pPr>
            <w:r>
              <w:rPr>
                <w:rFonts w:hint="eastAsia" w:ascii="宋体" w:hAnsi="宋体" w:cs="宋体"/>
                <w:bCs/>
                <w:color w:val="000000" w:themeColor="text1"/>
                <w:szCs w:val="21"/>
                <w14:textFill>
                  <w14:solidFill>
                    <w14:schemeClr w14:val="tx1"/>
                  </w14:solidFill>
                </w14:textFill>
              </w:rPr>
              <w:t>面源宽度（m）</w:t>
            </w:r>
          </w:p>
        </w:tc>
        <w:tc>
          <w:tcPr>
            <w:tcW w:w="424" w:type="pct"/>
            <w:vMerge w:val="restart"/>
            <w:vAlign w:val="center"/>
          </w:tcPr>
          <w:p w14:paraId="7888CFBB">
            <w:pPr>
              <w:adjustRightInd w:val="0"/>
              <w:snapToGrid w:val="0"/>
              <w:spacing w:line="300" w:lineRule="exact"/>
              <w:jc w:val="center"/>
              <w:rPr>
                <w:rFonts w:hint="eastAsia" w:ascii="宋体" w:hAnsi="宋体" w:cs="宋体"/>
                <w:bCs/>
                <w:color w:val="000000" w:themeColor="text1"/>
                <w:szCs w:val="21"/>
                <w14:textFill>
                  <w14:solidFill>
                    <w14:schemeClr w14:val="tx1"/>
                  </w14:solidFill>
                </w14:textFill>
              </w:rPr>
            </w:pPr>
            <w:r>
              <w:rPr>
                <w:rFonts w:hint="eastAsia" w:ascii="宋体" w:hAnsi="宋体" w:cs="宋体"/>
                <w:bCs/>
                <w:color w:val="000000" w:themeColor="text1"/>
                <w:szCs w:val="21"/>
                <w14:textFill>
                  <w14:solidFill>
                    <w14:schemeClr w14:val="tx1"/>
                  </w14:solidFill>
                </w14:textFill>
              </w:rPr>
              <w:t>有效排放高度（m）</w:t>
            </w:r>
          </w:p>
        </w:tc>
        <w:tc>
          <w:tcPr>
            <w:tcW w:w="424" w:type="pct"/>
            <w:vMerge w:val="restart"/>
            <w:vAlign w:val="center"/>
          </w:tcPr>
          <w:p w14:paraId="3396208F">
            <w:pPr>
              <w:adjustRightInd w:val="0"/>
              <w:snapToGrid w:val="0"/>
              <w:spacing w:line="300" w:lineRule="exact"/>
              <w:jc w:val="center"/>
              <w:rPr>
                <w:rFonts w:hint="eastAsia" w:ascii="宋体" w:hAnsi="宋体" w:cs="宋体"/>
                <w:bCs/>
                <w:color w:val="000000" w:themeColor="text1"/>
                <w:szCs w:val="21"/>
                <w14:textFill>
                  <w14:solidFill>
                    <w14:schemeClr w14:val="tx1"/>
                  </w14:solidFill>
                </w14:textFill>
              </w:rPr>
            </w:pPr>
            <w:r>
              <w:rPr>
                <w:rFonts w:hint="eastAsia" w:ascii="宋体" w:hAnsi="宋体" w:cs="宋体"/>
                <w:bCs/>
                <w:color w:val="000000" w:themeColor="text1"/>
                <w:szCs w:val="21"/>
                <w14:textFill>
                  <w14:solidFill>
                    <w14:schemeClr w14:val="tx1"/>
                  </w14:solidFill>
                </w14:textFill>
              </w:rPr>
              <w:t>年排放小时数（h）</w:t>
            </w:r>
          </w:p>
        </w:tc>
        <w:tc>
          <w:tcPr>
            <w:tcW w:w="322" w:type="pct"/>
            <w:vMerge w:val="restart"/>
            <w:vAlign w:val="center"/>
          </w:tcPr>
          <w:p w14:paraId="216BEFE2">
            <w:pPr>
              <w:adjustRightInd w:val="0"/>
              <w:snapToGrid w:val="0"/>
              <w:spacing w:line="300" w:lineRule="exact"/>
              <w:jc w:val="center"/>
              <w:rPr>
                <w:rFonts w:hint="eastAsia" w:ascii="宋体" w:hAnsi="宋体" w:cs="宋体"/>
                <w:bCs/>
                <w:color w:val="000000" w:themeColor="text1"/>
                <w:szCs w:val="21"/>
                <w14:textFill>
                  <w14:solidFill>
                    <w14:schemeClr w14:val="tx1"/>
                  </w14:solidFill>
                </w14:textFill>
              </w:rPr>
            </w:pPr>
            <w:r>
              <w:rPr>
                <w:rFonts w:hint="eastAsia" w:ascii="宋体" w:hAnsi="宋体" w:cs="宋体"/>
                <w:bCs/>
                <w:color w:val="000000" w:themeColor="text1"/>
                <w:szCs w:val="21"/>
                <w14:textFill>
                  <w14:solidFill>
                    <w14:schemeClr w14:val="tx1"/>
                  </w14:solidFill>
                </w14:textFill>
              </w:rPr>
              <w:t>排放工况</w:t>
            </w:r>
          </w:p>
        </w:tc>
        <w:tc>
          <w:tcPr>
            <w:tcW w:w="877" w:type="pct"/>
            <w:gridSpan w:val="2"/>
            <w:vAlign w:val="center"/>
          </w:tcPr>
          <w:p w14:paraId="44DE7416">
            <w:pPr>
              <w:adjustRightInd w:val="0"/>
              <w:snapToGrid w:val="0"/>
              <w:spacing w:line="300" w:lineRule="exact"/>
              <w:jc w:val="center"/>
              <w:rPr>
                <w:rFonts w:hint="eastAsia" w:ascii="宋体" w:hAnsi="宋体" w:cs="宋体"/>
                <w:bCs/>
                <w:color w:val="000000" w:themeColor="text1"/>
                <w:szCs w:val="21"/>
                <w14:textFill>
                  <w14:solidFill>
                    <w14:schemeClr w14:val="tx1"/>
                  </w14:solidFill>
                </w14:textFill>
              </w:rPr>
            </w:pPr>
            <w:r>
              <w:rPr>
                <w:rFonts w:hint="eastAsia" w:ascii="宋体" w:hAnsi="宋体" w:cs="宋体"/>
                <w:bCs/>
                <w:color w:val="000000" w:themeColor="text1"/>
                <w:szCs w:val="21"/>
                <w14:textFill>
                  <w14:solidFill>
                    <w14:schemeClr w14:val="tx1"/>
                  </w14:solidFill>
                </w14:textFill>
              </w:rPr>
              <w:t>NMHC排放量</w:t>
            </w:r>
          </w:p>
        </w:tc>
        <w:tc>
          <w:tcPr>
            <w:tcW w:w="1119" w:type="pct"/>
            <w:gridSpan w:val="2"/>
            <w:vAlign w:val="center"/>
          </w:tcPr>
          <w:p w14:paraId="251858AB">
            <w:pPr>
              <w:adjustRightInd w:val="0"/>
              <w:snapToGrid w:val="0"/>
              <w:spacing w:line="300" w:lineRule="exact"/>
              <w:jc w:val="center"/>
              <w:rPr>
                <w:rFonts w:hint="eastAsia" w:ascii="宋体" w:hAnsi="宋体" w:cs="宋体"/>
                <w:bCs/>
                <w:color w:val="000000" w:themeColor="text1"/>
                <w:szCs w:val="21"/>
                <w14:textFill>
                  <w14:solidFill>
                    <w14:schemeClr w14:val="tx1"/>
                  </w14:solidFill>
                </w14:textFill>
              </w:rPr>
            </w:pPr>
            <w:r>
              <w:rPr>
                <w:rFonts w:hint="eastAsia" w:ascii="宋体" w:hAnsi="宋体" w:cs="宋体"/>
                <w:bCs/>
                <w:color w:val="000000" w:themeColor="text1"/>
                <w:szCs w:val="21"/>
                <w14:textFill>
                  <w14:solidFill>
                    <w14:schemeClr w14:val="tx1"/>
                  </w14:solidFill>
                </w14:textFill>
              </w:rPr>
              <w:t>硫化氢排放量</w:t>
            </w:r>
          </w:p>
        </w:tc>
      </w:tr>
      <w:tr w14:paraId="011D584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62" w:type="pct"/>
            <w:vMerge w:val="continue"/>
            <w:vAlign w:val="center"/>
          </w:tcPr>
          <w:p w14:paraId="6DC9AC76">
            <w:pPr>
              <w:adjustRightInd w:val="0"/>
              <w:snapToGrid w:val="0"/>
              <w:spacing w:line="300" w:lineRule="exact"/>
              <w:jc w:val="center"/>
              <w:rPr>
                <w:rFonts w:hint="eastAsia" w:ascii="宋体" w:hAnsi="宋体" w:cs="宋体"/>
                <w:bCs/>
                <w:color w:val="000000" w:themeColor="text1"/>
                <w:szCs w:val="21"/>
                <w14:textFill>
                  <w14:solidFill>
                    <w14:schemeClr w14:val="tx1"/>
                  </w14:solidFill>
                </w14:textFill>
              </w:rPr>
            </w:pPr>
          </w:p>
        </w:tc>
        <w:tc>
          <w:tcPr>
            <w:tcW w:w="424" w:type="pct"/>
            <w:vMerge w:val="continue"/>
            <w:vAlign w:val="center"/>
          </w:tcPr>
          <w:p w14:paraId="6CEA1CE8">
            <w:pPr>
              <w:adjustRightInd w:val="0"/>
              <w:snapToGrid w:val="0"/>
              <w:spacing w:line="300" w:lineRule="exact"/>
              <w:jc w:val="center"/>
              <w:rPr>
                <w:rFonts w:hint="eastAsia" w:ascii="宋体" w:hAnsi="宋体" w:cs="宋体"/>
                <w:bCs/>
                <w:color w:val="000000" w:themeColor="text1"/>
                <w:szCs w:val="21"/>
                <w14:textFill>
                  <w14:solidFill>
                    <w14:schemeClr w14:val="tx1"/>
                  </w14:solidFill>
                </w14:textFill>
              </w:rPr>
            </w:pPr>
          </w:p>
        </w:tc>
        <w:tc>
          <w:tcPr>
            <w:tcW w:w="424" w:type="pct"/>
            <w:vMerge w:val="continue"/>
            <w:vAlign w:val="center"/>
          </w:tcPr>
          <w:p w14:paraId="6C63DBCD">
            <w:pPr>
              <w:adjustRightInd w:val="0"/>
              <w:snapToGrid w:val="0"/>
              <w:spacing w:line="300" w:lineRule="exact"/>
              <w:jc w:val="center"/>
              <w:rPr>
                <w:rFonts w:hint="eastAsia" w:ascii="宋体" w:hAnsi="宋体" w:cs="宋体"/>
                <w:bCs/>
                <w:color w:val="000000" w:themeColor="text1"/>
                <w:szCs w:val="21"/>
                <w14:textFill>
                  <w14:solidFill>
                    <w14:schemeClr w14:val="tx1"/>
                  </w14:solidFill>
                </w14:textFill>
              </w:rPr>
            </w:pPr>
          </w:p>
        </w:tc>
        <w:tc>
          <w:tcPr>
            <w:tcW w:w="424" w:type="pct"/>
            <w:vMerge w:val="continue"/>
            <w:vAlign w:val="center"/>
          </w:tcPr>
          <w:p w14:paraId="4DF43A7D">
            <w:pPr>
              <w:adjustRightInd w:val="0"/>
              <w:snapToGrid w:val="0"/>
              <w:spacing w:line="300" w:lineRule="exact"/>
              <w:jc w:val="center"/>
              <w:rPr>
                <w:rFonts w:hint="eastAsia" w:ascii="宋体" w:hAnsi="宋体" w:cs="宋体"/>
                <w:bCs/>
                <w:color w:val="000000" w:themeColor="text1"/>
                <w:szCs w:val="21"/>
                <w14:textFill>
                  <w14:solidFill>
                    <w14:schemeClr w14:val="tx1"/>
                  </w14:solidFill>
                </w14:textFill>
              </w:rPr>
            </w:pPr>
          </w:p>
        </w:tc>
        <w:tc>
          <w:tcPr>
            <w:tcW w:w="424" w:type="pct"/>
            <w:vMerge w:val="continue"/>
            <w:vAlign w:val="center"/>
          </w:tcPr>
          <w:p w14:paraId="2D74A05B">
            <w:pPr>
              <w:adjustRightInd w:val="0"/>
              <w:snapToGrid w:val="0"/>
              <w:spacing w:line="300" w:lineRule="exact"/>
              <w:jc w:val="center"/>
              <w:rPr>
                <w:rFonts w:hint="eastAsia" w:ascii="宋体" w:hAnsi="宋体" w:cs="宋体"/>
                <w:bCs/>
                <w:color w:val="000000" w:themeColor="text1"/>
                <w:szCs w:val="21"/>
                <w14:textFill>
                  <w14:solidFill>
                    <w14:schemeClr w14:val="tx1"/>
                  </w14:solidFill>
                </w14:textFill>
              </w:rPr>
            </w:pPr>
          </w:p>
        </w:tc>
        <w:tc>
          <w:tcPr>
            <w:tcW w:w="424" w:type="pct"/>
            <w:vMerge w:val="continue"/>
            <w:vAlign w:val="center"/>
          </w:tcPr>
          <w:p w14:paraId="6E389FD1">
            <w:pPr>
              <w:adjustRightInd w:val="0"/>
              <w:snapToGrid w:val="0"/>
              <w:spacing w:line="300" w:lineRule="exact"/>
              <w:jc w:val="center"/>
              <w:rPr>
                <w:rFonts w:hint="eastAsia" w:ascii="宋体" w:hAnsi="宋体" w:cs="宋体"/>
                <w:bCs/>
                <w:color w:val="000000" w:themeColor="text1"/>
                <w:szCs w:val="21"/>
                <w14:textFill>
                  <w14:solidFill>
                    <w14:schemeClr w14:val="tx1"/>
                  </w14:solidFill>
                </w14:textFill>
              </w:rPr>
            </w:pPr>
          </w:p>
        </w:tc>
        <w:tc>
          <w:tcPr>
            <w:tcW w:w="322" w:type="pct"/>
            <w:vMerge w:val="continue"/>
            <w:vAlign w:val="center"/>
          </w:tcPr>
          <w:p w14:paraId="0D581030">
            <w:pPr>
              <w:adjustRightInd w:val="0"/>
              <w:snapToGrid w:val="0"/>
              <w:spacing w:line="300" w:lineRule="exact"/>
              <w:jc w:val="center"/>
              <w:rPr>
                <w:rFonts w:hint="eastAsia" w:ascii="宋体" w:hAnsi="宋体" w:cs="宋体"/>
                <w:bCs/>
                <w:color w:val="000000" w:themeColor="text1"/>
                <w:szCs w:val="21"/>
                <w14:textFill>
                  <w14:solidFill>
                    <w14:schemeClr w14:val="tx1"/>
                  </w14:solidFill>
                </w14:textFill>
              </w:rPr>
            </w:pPr>
          </w:p>
        </w:tc>
        <w:tc>
          <w:tcPr>
            <w:tcW w:w="392" w:type="pct"/>
            <w:vAlign w:val="center"/>
          </w:tcPr>
          <w:p w14:paraId="0671AD46">
            <w:pPr>
              <w:adjustRightInd w:val="0"/>
              <w:snapToGrid w:val="0"/>
              <w:spacing w:line="300" w:lineRule="exact"/>
              <w:jc w:val="center"/>
              <w:rPr>
                <w:rFonts w:hint="eastAsia" w:ascii="宋体" w:hAnsi="宋体" w:cs="宋体"/>
                <w:bCs/>
                <w:color w:val="000000" w:themeColor="text1"/>
                <w:szCs w:val="21"/>
                <w14:textFill>
                  <w14:solidFill>
                    <w14:schemeClr w14:val="tx1"/>
                  </w14:solidFill>
                </w14:textFill>
              </w:rPr>
            </w:pPr>
            <w:r>
              <w:rPr>
                <w:rFonts w:hint="eastAsia" w:ascii="宋体" w:hAnsi="宋体" w:cs="宋体"/>
                <w:bCs/>
                <w:color w:val="000000" w:themeColor="text1"/>
                <w:szCs w:val="21"/>
                <w14:textFill>
                  <w14:solidFill>
                    <w14:schemeClr w14:val="tx1"/>
                  </w14:solidFill>
                </w14:textFill>
              </w:rPr>
              <w:t>t/a</w:t>
            </w:r>
          </w:p>
        </w:tc>
        <w:tc>
          <w:tcPr>
            <w:tcW w:w="485" w:type="pct"/>
            <w:vAlign w:val="center"/>
          </w:tcPr>
          <w:p w14:paraId="521113DF">
            <w:pPr>
              <w:adjustRightInd w:val="0"/>
              <w:snapToGrid w:val="0"/>
              <w:spacing w:line="300" w:lineRule="exact"/>
              <w:jc w:val="center"/>
              <w:rPr>
                <w:rFonts w:hint="eastAsia" w:ascii="宋体" w:hAnsi="宋体" w:cs="宋体"/>
                <w:bCs/>
                <w:color w:val="000000" w:themeColor="text1"/>
                <w:szCs w:val="21"/>
                <w14:textFill>
                  <w14:solidFill>
                    <w14:schemeClr w14:val="tx1"/>
                  </w14:solidFill>
                </w14:textFill>
              </w:rPr>
            </w:pPr>
            <w:r>
              <w:rPr>
                <w:rFonts w:hint="eastAsia" w:ascii="宋体" w:hAnsi="宋体" w:cs="宋体"/>
                <w:bCs/>
                <w:color w:val="000000" w:themeColor="text1"/>
                <w:szCs w:val="21"/>
                <w14:textFill>
                  <w14:solidFill>
                    <w14:schemeClr w14:val="tx1"/>
                  </w14:solidFill>
                </w14:textFill>
              </w:rPr>
              <w:t>kg</w:t>
            </w:r>
            <w:r>
              <w:rPr>
                <w:rFonts w:ascii="宋体" w:hAnsi="宋体" w:cs="宋体"/>
                <w:bCs/>
                <w:color w:val="000000" w:themeColor="text1"/>
                <w:szCs w:val="21"/>
                <w14:textFill>
                  <w14:solidFill>
                    <w14:schemeClr w14:val="tx1"/>
                  </w14:solidFill>
                </w14:textFill>
              </w:rPr>
              <w:t>/h</w:t>
            </w:r>
          </w:p>
        </w:tc>
        <w:tc>
          <w:tcPr>
            <w:tcW w:w="455" w:type="pct"/>
            <w:vAlign w:val="center"/>
          </w:tcPr>
          <w:p w14:paraId="743429C0">
            <w:pPr>
              <w:adjustRightInd w:val="0"/>
              <w:snapToGrid w:val="0"/>
              <w:spacing w:line="300" w:lineRule="exact"/>
              <w:jc w:val="center"/>
              <w:rPr>
                <w:rFonts w:hint="eastAsia" w:ascii="宋体" w:hAnsi="宋体" w:cs="宋体"/>
                <w:bCs/>
                <w:color w:val="000000" w:themeColor="text1"/>
                <w:szCs w:val="21"/>
                <w14:textFill>
                  <w14:solidFill>
                    <w14:schemeClr w14:val="tx1"/>
                  </w14:solidFill>
                </w14:textFill>
              </w:rPr>
            </w:pPr>
            <w:r>
              <w:rPr>
                <w:rFonts w:hint="eastAsia" w:ascii="宋体" w:hAnsi="宋体" w:cs="宋体"/>
                <w:bCs/>
                <w:color w:val="000000" w:themeColor="text1"/>
                <w:szCs w:val="21"/>
                <w14:textFill>
                  <w14:solidFill>
                    <w14:schemeClr w14:val="tx1"/>
                  </w14:solidFill>
                </w14:textFill>
              </w:rPr>
              <w:t>kg/a</w:t>
            </w:r>
          </w:p>
        </w:tc>
        <w:tc>
          <w:tcPr>
            <w:tcW w:w="664" w:type="pct"/>
            <w:vAlign w:val="center"/>
          </w:tcPr>
          <w:p w14:paraId="10329F7E">
            <w:pPr>
              <w:adjustRightInd w:val="0"/>
              <w:snapToGrid w:val="0"/>
              <w:spacing w:line="300" w:lineRule="exact"/>
              <w:jc w:val="center"/>
              <w:rPr>
                <w:rFonts w:hint="eastAsia" w:ascii="宋体" w:hAnsi="宋体" w:cs="宋体"/>
                <w:bCs/>
                <w:color w:val="000000" w:themeColor="text1"/>
                <w:szCs w:val="21"/>
                <w14:textFill>
                  <w14:solidFill>
                    <w14:schemeClr w14:val="tx1"/>
                  </w14:solidFill>
                </w14:textFill>
              </w:rPr>
            </w:pPr>
            <w:r>
              <w:rPr>
                <w:rFonts w:hint="eastAsia" w:ascii="宋体" w:hAnsi="宋体" w:cs="宋体"/>
                <w:bCs/>
                <w:color w:val="000000" w:themeColor="text1"/>
                <w:szCs w:val="21"/>
                <w14:textFill>
                  <w14:solidFill>
                    <w14:schemeClr w14:val="tx1"/>
                  </w14:solidFill>
                </w14:textFill>
              </w:rPr>
              <w:t>kg</w:t>
            </w:r>
            <w:r>
              <w:rPr>
                <w:rFonts w:ascii="宋体" w:hAnsi="宋体" w:cs="宋体"/>
                <w:bCs/>
                <w:color w:val="000000" w:themeColor="text1"/>
                <w:szCs w:val="21"/>
                <w14:textFill>
                  <w14:solidFill>
                    <w14:schemeClr w14:val="tx1"/>
                  </w14:solidFill>
                </w14:textFill>
              </w:rPr>
              <w:t>/h</w:t>
            </w:r>
          </w:p>
        </w:tc>
      </w:tr>
      <w:tr w14:paraId="1B12361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62" w:type="pct"/>
            <w:vAlign w:val="center"/>
          </w:tcPr>
          <w:p w14:paraId="5DCF60EC">
            <w:pPr>
              <w:adjustRightInd w:val="0"/>
              <w:snapToGrid w:val="0"/>
              <w:spacing w:line="300" w:lineRule="exact"/>
              <w:jc w:val="center"/>
              <w:rPr>
                <w:rFonts w:hint="eastAsia" w:ascii="宋体" w:hAnsi="宋体" w:cs="宋体"/>
                <w:bCs/>
                <w:color w:val="000000" w:themeColor="text1"/>
                <w:szCs w:val="21"/>
                <w14:textFill>
                  <w14:solidFill>
                    <w14:schemeClr w14:val="tx1"/>
                  </w14:solidFill>
                </w14:textFill>
              </w:rPr>
            </w:pPr>
            <w:r>
              <w:rPr>
                <w:rFonts w:hint="eastAsia" w:ascii="宋体" w:hAnsi="宋体" w:cs="宋体"/>
                <w:bCs/>
                <w:color w:val="000000" w:themeColor="text1"/>
                <w:szCs w:val="21"/>
                <w14:textFill>
                  <w14:solidFill>
                    <w14:schemeClr w14:val="tx1"/>
                  </w14:solidFill>
                </w14:textFill>
              </w:rPr>
              <w:t>1号计量站</w:t>
            </w:r>
          </w:p>
        </w:tc>
        <w:tc>
          <w:tcPr>
            <w:tcW w:w="424" w:type="pct"/>
            <w:vAlign w:val="center"/>
          </w:tcPr>
          <w:p w14:paraId="77C6171F">
            <w:pPr>
              <w:adjustRightInd w:val="0"/>
              <w:snapToGrid w:val="0"/>
              <w:spacing w:line="300" w:lineRule="exact"/>
              <w:jc w:val="center"/>
              <w:rPr>
                <w:rFonts w:hint="eastAsia" w:ascii="宋体" w:hAnsi="宋体" w:cs="宋体"/>
                <w:bCs/>
                <w:color w:val="000000" w:themeColor="text1"/>
                <w:szCs w:val="21"/>
                <w14:textFill>
                  <w14:solidFill>
                    <w14:schemeClr w14:val="tx1"/>
                  </w14:solidFill>
                </w14:textFill>
              </w:rPr>
            </w:pPr>
            <w:r>
              <w:rPr>
                <w:rFonts w:hint="eastAsia" w:ascii="宋体" w:hAnsi="宋体" w:cs="宋体"/>
                <w:bCs/>
                <w:color w:val="000000" w:themeColor="text1"/>
                <w:szCs w:val="21"/>
                <w14:textFill>
                  <w14:solidFill>
                    <w14:schemeClr w14:val="tx1"/>
                  </w14:solidFill>
                </w14:textFill>
              </w:rPr>
              <w:t>635</w:t>
            </w:r>
          </w:p>
        </w:tc>
        <w:tc>
          <w:tcPr>
            <w:tcW w:w="424" w:type="pct"/>
            <w:vAlign w:val="center"/>
          </w:tcPr>
          <w:p w14:paraId="05720051">
            <w:pPr>
              <w:adjustRightInd w:val="0"/>
              <w:snapToGrid w:val="0"/>
              <w:spacing w:line="300" w:lineRule="exact"/>
              <w:jc w:val="center"/>
              <w:rPr>
                <w:rFonts w:hint="eastAsia" w:ascii="宋体" w:hAnsi="宋体" w:cs="宋体"/>
                <w:bCs/>
                <w:color w:val="000000" w:themeColor="text1"/>
                <w:szCs w:val="21"/>
                <w14:textFill>
                  <w14:solidFill>
                    <w14:schemeClr w14:val="tx1"/>
                  </w14:solidFill>
                </w14:textFill>
              </w:rPr>
            </w:pPr>
            <w:r>
              <w:rPr>
                <w:rFonts w:hint="eastAsia" w:ascii="宋体" w:hAnsi="宋体" w:cs="宋体"/>
                <w:bCs/>
                <w:color w:val="000000" w:themeColor="text1"/>
                <w:szCs w:val="21"/>
                <w14:textFill>
                  <w14:solidFill>
                    <w14:schemeClr w14:val="tx1"/>
                  </w14:solidFill>
                </w14:textFill>
              </w:rPr>
              <w:t>15</w:t>
            </w:r>
          </w:p>
        </w:tc>
        <w:tc>
          <w:tcPr>
            <w:tcW w:w="424" w:type="pct"/>
            <w:vAlign w:val="center"/>
          </w:tcPr>
          <w:p w14:paraId="0182E73D">
            <w:pPr>
              <w:adjustRightInd w:val="0"/>
              <w:snapToGrid w:val="0"/>
              <w:spacing w:line="300" w:lineRule="exact"/>
              <w:jc w:val="center"/>
              <w:rPr>
                <w:rFonts w:hint="eastAsia" w:ascii="宋体" w:hAnsi="宋体" w:cs="宋体"/>
                <w:bCs/>
                <w:color w:val="000000" w:themeColor="text1"/>
                <w:szCs w:val="21"/>
                <w14:textFill>
                  <w14:solidFill>
                    <w14:schemeClr w14:val="tx1"/>
                  </w14:solidFill>
                </w14:textFill>
              </w:rPr>
            </w:pPr>
            <w:r>
              <w:rPr>
                <w:rFonts w:hint="eastAsia" w:ascii="宋体" w:hAnsi="宋体" w:cs="宋体"/>
                <w:bCs/>
                <w:color w:val="000000" w:themeColor="text1"/>
                <w:szCs w:val="21"/>
                <w14:textFill>
                  <w14:solidFill>
                    <w14:schemeClr w14:val="tx1"/>
                  </w14:solidFill>
                </w14:textFill>
              </w:rPr>
              <w:t>10</w:t>
            </w:r>
          </w:p>
        </w:tc>
        <w:tc>
          <w:tcPr>
            <w:tcW w:w="424" w:type="pct"/>
            <w:vAlign w:val="center"/>
          </w:tcPr>
          <w:p w14:paraId="15EDD166">
            <w:pPr>
              <w:adjustRightInd w:val="0"/>
              <w:snapToGrid w:val="0"/>
              <w:spacing w:line="300" w:lineRule="exact"/>
              <w:jc w:val="center"/>
              <w:rPr>
                <w:rFonts w:hint="eastAsia" w:ascii="宋体" w:hAnsi="宋体" w:cs="宋体"/>
                <w:bCs/>
                <w:color w:val="000000" w:themeColor="text1"/>
                <w:szCs w:val="21"/>
                <w14:textFill>
                  <w14:solidFill>
                    <w14:schemeClr w14:val="tx1"/>
                  </w14:solidFill>
                </w14:textFill>
              </w:rPr>
            </w:pPr>
            <w:r>
              <w:rPr>
                <w:rFonts w:hint="eastAsia" w:ascii="宋体" w:hAnsi="宋体" w:cs="宋体"/>
                <w:bCs/>
                <w:color w:val="000000" w:themeColor="text1"/>
                <w:szCs w:val="21"/>
                <w14:textFill>
                  <w14:solidFill>
                    <w14:schemeClr w14:val="tx1"/>
                  </w14:solidFill>
                </w14:textFill>
              </w:rPr>
              <w:t>5</w:t>
            </w:r>
          </w:p>
        </w:tc>
        <w:tc>
          <w:tcPr>
            <w:tcW w:w="424" w:type="pct"/>
            <w:vAlign w:val="center"/>
          </w:tcPr>
          <w:p w14:paraId="5F86FF69">
            <w:pPr>
              <w:adjustRightInd w:val="0"/>
              <w:snapToGrid w:val="0"/>
              <w:spacing w:line="300" w:lineRule="exact"/>
              <w:jc w:val="center"/>
              <w:rPr>
                <w:rFonts w:hint="eastAsia" w:ascii="宋体" w:hAnsi="宋体" w:cs="宋体"/>
                <w:bCs/>
                <w:color w:val="000000" w:themeColor="text1"/>
                <w:szCs w:val="21"/>
                <w14:textFill>
                  <w14:solidFill>
                    <w14:schemeClr w14:val="tx1"/>
                  </w14:solidFill>
                </w14:textFill>
              </w:rPr>
            </w:pPr>
            <w:r>
              <w:rPr>
                <w:rFonts w:hint="eastAsia" w:ascii="宋体" w:hAnsi="宋体" w:cs="宋体"/>
                <w:bCs/>
                <w:color w:val="000000" w:themeColor="text1"/>
                <w:szCs w:val="21"/>
                <w14:textFill>
                  <w14:solidFill>
                    <w14:schemeClr w14:val="tx1"/>
                  </w14:solidFill>
                </w14:textFill>
              </w:rPr>
              <w:t>7200</w:t>
            </w:r>
          </w:p>
        </w:tc>
        <w:tc>
          <w:tcPr>
            <w:tcW w:w="322" w:type="pct"/>
            <w:vMerge w:val="restart"/>
            <w:vAlign w:val="center"/>
          </w:tcPr>
          <w:p w14:paraId="59013DD1">
            <w:pPr>
              <w:adjustRightInd w:val="0"/>
              <w:snapToGrid w:val="0"/>
              <w:spacing w:line="300" w:lineRule="exact"/>
              <w:jc w:val="center"/>
              <w:rPr>
                <w:rFonts w:hint="eastAsia" w:ascii="宋体" w:hAnsi="宋体" w:cs="宋体"/>
                <w:bCs/>
                <w:color w:val="000000" w:themeColor="text1"/>
                <w:szCs w:val="21"/>
                <w14:textFill>
                  <w14:solidFill>
                    <w14:schemeClr w14:val="tx1"/>
                  </w14:solidFill>
                </w14:textFill>
              </w:rPr>
            </w:pPr>
            <w:r>
              <w:rPr>
                <w:rFonts w:hint="eastAsia" w:ascii="宋体" w:hAnsi="宋体" w:cs="宋体"/>
                <w:bCs/>
                <w:color w:val="000000" w:themeColor="text1"/>
                <w:szCs w:val="21"/>
                <w14:textFill>
                  <w14:solidFill>
                    <w14:schemeClr w14:val="tx1"/>
                  </w14:solidFill>
                </w14:textFill>
              </w:rPr>
              <w:t>正常工况</w:t>
            </w:r>
          </w:p>
        </w:tc>
        <w:tc>
          <w:tcPr>
            <w:tcW w:w="392" w:type="pct"/>
            <w:vAlign w:val="center"/>
          </w:tcPr>
          <w:p w14:paraId="1FAD54D8">
            <w:pPr>
              <w:adjustRightInd w:val="0"/>
              <w:snapToGrid w:val="0"/>
              <w:spacing w:line="300" w:lineRule="exact"/>
              <w:jc w:val="center"/>
              <w:rPr>
                <w:rFonts w:hint="eastAsia" w:ascii="宋体" w:hAnsi="宋体" w:cs="宋体"/>
                <w:bCs/>
                <w:color w:val="000000" w:themeColor="text1"/>
                <w:szCs w:val="21"/>
                <w14:textFill>
                  <w14:solidFill>
                    <w14:schemeClr w14:val="tx1"/>
                  </w14:solidFill>
                </w14:textFill>
              </w:rPr>
            </w:pPr>
            <w:r>
              <w:rPr>
                <w:rFonts w:hint="eastAsia" w:ascii="宋体" w:hAnsi="宋体" w:cs="宋体"/>
                <w:bCs/>
                <w:color w:val="000000" w:themeColor="text1"/>
                <w:szCs w:val="21"/>
                <w14:textFill>
                  <w14:solidFill>
                    <w14:schemeClr w14:val="tx1"/>
                  </w14:solidFill>
                </w14:textFill>
              </w:rPr>
              <w:t>0.098</w:t>
            </w:r>
          </w:p>
        </w:tc>
        <w:tc>
          <w:tcPr>
            <w:tcW w:w="485" w:type="pct"/>
            <w:vAlign w:val="center"/>
          </w:tcPr>
          <w:p w14:paraId="579C94BF">
            <w:pPr>
              <w:adjustRightInd w:val="0"/>
              <w:snapToGrid w:val="0"/>
              <w:spacing w:line="300" w:lineRule="exact"/>
              <w:jc w:val="center"/>
              <w:rPr>
                <w:rFonts w:hint="eastAsia" w:ascii="宋体" w:hAnsi="宋体" w:cs="宋体"/>
                <w:bCs/>
                <w:color w:val="000000" w:themeColor="text1"/>
                <w:szCs w:val="21"/>
                <w14:textFill>
                  <w14:solidFill>
                    <w14:schemeClr w14:val="tx1"/>
                  </w14:solidFill>
                </w14:textFill>
              </w:rPr>
            </w:pPr>
            <w:r>
              <w:rPr>
                <w:rFonts w:hint="eastAsia" w:ascii="宋体" w:hAnsi="宋体" w:cs="宋体"/>
                <w:bCs/>
                <w:color w:val="000000" w:themeColor="text1"/>
                <w:szCs w:val="21"/>
                <w14:textFill>
                  <w14:solidFill>
                    <w14:schemeClr w14:val="tx1"/>
                  </w14:solidFill>
                </w14:textFill>
              </w:rPr>
              <w:t>0.0136</w:t>
            </w:r>
          </w:p>
        </w:tc>
        <w:tc>
          <w:tcPr>
            <w:tcW w:w="455" w:type="pct"/>
            <w:vAlign w:val="center"/>
          </w:tcPr>
          <w:p w14:paraId="2D0338A8">
            <w:pPr>
              <w:adjustRightInd w:val="0"/>
              <w:snapToGrid w:val="0"/>
              <w:spacing w:line="300" w:lineRule="exact"/>
              <w:jc w:val="center"/>
              <w:rPr>
                <w:rFonts w:hint="eastAsia" w:ascii="宋体" w:hAnsi="宋体" w:cs="宋体"/>
                <w:bCs/>
                <w:color w:val="000000" w:themeColor="text1"/>
                <w:szCs w:val="21"/>
                <w14:textFill>
                  <w14:solidFill>
                    <w14:schemeClr w14:val="tx1"/>
                  </w14:solidFill>
                </w14:textFill>
              </w:rPr>
            </w:pPr>
            <w:r>
              <w:rPr>
                <w:rFonts w:hint="eastAsia" w:ascii="宋体" w:hAnsi="宋体" w:cs="宋体"/>
                <w:bCs/>
                <w:color w:val="000000" w:themeColor="text1"/>
                <w:szCs w:val="21"/>
                <w14:textFill>
                  <w14:solidFill>
                    <w14:schemeClr w14:val="tx1"/>
                  </w14:solidFill>
                </w14:textFill>
              </w:rPr>
              <w:t>0.026</w:t>
            </w:r>
          </w:p>
        </w:tc>
        <w:tc>
          <w:tcPr>
            <w:tcW w:w="664" w:type="pct"/>
            <w:vAlign w:val="center"/>
          </w:tcPr>
          <w:p w14:paraId="6FA153A1">
            <w:pPr>
              <w:adjustRightInd w:val="0"/>
              <w:snapToGrid w:val="0"/>
              <w:spacing w:line="300" w:lineRule="exact"/>
              <w:jc w:val="center"/>
              <w:rPr>
                <w:rFonts w:hint="eastAsia" w:ascii="宋体" w:hAnsi="宋体" w:cs="宋体"/>
                <w:bCs/>
                <w:color w:val="000000" w:themeColor="text1"/>
                <w:szCs w:val="21"/>
                <w14:textFill>
                  <w14:solidFill>
                    <w14:schemeClr w14:val="tx1"/>
                  </w14:solidFill>
                </w14:textFill>
              </w:rPr>
            </w:pPr>
            <w:r>
              <w:rPr>
                <w:rFonts w:hint="eastAsia" w:ascii="宋体" w:hAnsi="宋体" w:cs="宋体"/>
                <w:bCs/>
                <w:color w:val="000000" w:themeColor="text1"/>
                <w:szCs w:val="21"/>
                <w14:textFill>
                  <w14:solidFill>
                    <w14:schemeClr w14:val="tx1"/>
                  </w14:solidFill>
                </w14:textFill>
              </w:rPr>
              <w:t>0.0000036</w:t>
            </w:r>
          </w:p>
        </w:tc>
      </w:tr>
      <w:tr w14:paraId="678A04F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62" w:type="pct"/>
            <w:vAlign w:val="center"/>
          </w:tcPr>
          <w:p w14:paraId="24B1A15E">
            <w:pPr>
              <w:adjustRightInd w:val="0"/>
              <w:snapToGrid w:val="0"/>
              <w:spacing w:line="300" w:lineRule="exact"/>
              <w:jc w:val="center"/>
              <w:rPr>
                <w:rFonts w:hint="eastAsia" w:ascii="宋体" w:hAnsi="宋体" w:cs="宋体"/>
                <w:bCs/>
                <w:color w:val="000000" w:themeColor="text1"/>
                <w:szCs w:val="21"/>
                <w14:textFill>
                  <w14:solidFill>
                    <w14:schemeClr w14:val="tx1"/>
                  </w14:solidFill>
                </w14:textFill>
              </w:rPr>
            </w:pPr>
            <w:r>
              <w:rPr>
                <w:rFonts w:hint="eastAsia" w:ascii="宋体" w:hAnsi="宋体" w:cs="宋体"/>
                <w:bCs/>
                <w:color w:val="000000" w:themeColor="text1"/>
                <w:szCs w:val="21"/>
                <w14:textFill>
                  <w14:solidFill>
                    <w14:schemeClr w14:val="tx1"/>
                  </w14:solidFill>
                </w14:textFill>
              </w:rPr>
              <w:t>预处理注入站</w:t>
            </w:r>
          </w:p>
        </w:tc>
        <w:tc>
          <w:tcPr>
            <w:tcW w:w="424" w:type="pct"/>
            <w:vAlign w:val="center"/>
          </w:tcPr>
          <w:p w14:paraId="4D884F8A">
            <w:pPr>
              <w:adjustRightInd w:val="0"/>
              <w:snapToGrid w:val="0"/>
              <w:spacing w:line="300" w:lineRule="exact"/>
              <w:jc w:val="center"/>
              <w:rPr>
                <w:rFonts w:hint="eastAsia" w:ascii="宋体" w:hAnsi="宋体" w:cs="宋体"/>
                <w:bCs/>
                <w:color w:val="000000" w:themeColor="text1"/>
                <w:szCs w:val="21"/>
                <w14:textFill>
                  <w14:solidFill>
                    <w14:schemeClr w14:val="tx1"/>
                  </w14:solidFill>
                </w14:textFill>
              </w:rPr>
            </w:pPr>
            <w:r>
              <w:rPr>
                <w:rFonts w:hint="eastAsia" w:ascii="宋体" w:hAnsi="宋体" w:cs="宋体"/>
                <w:bCs/>
                <w:color w:val="000000" w:themeColor="text1"/>
                <w:szCs w:val="21"/>
                <w14:textFill>
                  <w14:solidFill>
                    <w14:schemeClr w14:val="tx1"/>
                  </w14:solidFill>
                </w14:textFill>
              </w:rPr>
              <w:t>640</w:t>
            </w:r>
          </w:p>
        </w:tc>
        <w:tc>
          <w:tcPr>
            <w:tcW w:w="424" w:type="pct"/>
            <w:vAlign w:val="center"/>
          </w:tcPr>
          <w:p w14:paraId="01604A69">
            <w:pPr>
              <w:adjustRightInd w:val="0"/>
              <w:snapToGrid w:val="0"/>
              <w:spacing w:line="300" w:lineRule="exact"/>
              <w:jc w:val="center"/>
              <w:rPr>
                <w:rFonts w:hint="eastAsia" w:ascii="宋体" w:hAnsi="宋体" w:cs="宋体"/>
                <w:bCs/>
                <w:color w:val="000000" w:themeColor="text1"/>
                <w:szCs w:val="21"/>
                <w14:textFill>
                  <w14:solidFill>
                    <w14:schemeClr w14:val="tx1"/>
                  </w14:solidFill>
                </w14:textFill>
              </w:rPr>
            </w:pPr>
            <w:r>
              <w:rPr>
                <w:rFonts w:hint="eastAsia" w:ascii="宋体" w:hAnsi="宋体" w:cs="宋体"/>
                <w:bCs/>
                <w:color w:val="000000" w:themeColor="text1"/>
                <w:szCs w:val="21"/>
                <w14:textFill>
                  <w14:solidFill>
                    <w14:schemeClr w14:val="tx1"/>
                  </w14:solidFill>
                </w14:textFill>
              </w:rPr>
              <w:t>79</w:t>
            </w:r>
          </w:p>
        </w:tc>
        <w:tc>
          <w:tcPr>
            <w:tcW w:w="424" w:type="pct"/>
            <w:vAlign w:val="center"/>
          </w:tcPr>
          <w:p w14:paraId="6613597C">
            <w:pPr>
              <w:adjustRightInd w:val="0"/>
              <w:snapToGrid w:val="0"/>
              <w:spacing w:line="300" w:lineRule="exact"/>
              <w:jc w:val="center"/>
              <w:rPr>
                <w:rFonts w:hint="eastAsia" w:ascii="宋体" w:hAnsi="宋体" w:cs="宋体"/>
                <w:bCs/>
                <w:color w:val="000000" w:themeColor="text1"/>
                <w:szCs w:val="21"/>
                <w14:textFill>
                  <w14:solidFill>
                    <w14:schemeClr w14:val="tx1"/>
                  </w14:solidFill>
                </w14:textFill>
              </w:rPr>
            </w:pPr>
            <w:r>
              <w:rPr>
                <w:rFonts w:hint="eastAsia" w:ascii="宋体" w:hAnsi="宋体" w:cs="宋体"/>
                <w:bCs/>
                <w:color w:val="000000" w:themeColor="text1"/>
                <w:szCs w:val="21"/>
                <w14:textFill>
                  <w14:solidFill>
                    <w14:schemeClr w14:val="tx1"/>
                  </w14:solidFill>
                </w14:textFill>
              </w:rPr>
              <w:t>39</w:t>
            </w:r>
          </w:p>
        </w:tc>
        <w:tc>
          <w:tcPr>
            <w:tcW w:w="424" w:type="pct"/>
            <w:vAlign w:val="center"/>
          </w:tcPr>
          <w:p w14:paraId="0F5CE4DC">
            <w:pPr>
              <w:adjustRightInd w:val="0"/>
              <w:snapToGrid w:val="0"/>
              <w:spacing w:line="300" w:lineRule="exact"/>
              <w:jc w:val="center"/>
              <w:rPr>
                <w:rFonts w:hint="eastAsia" w:ascii="宋体" w:hAnsi="宋体" w:cs="宋体"/>
                <w:bCs/>
                <w:color w:val="000000" w:themeColor="text1"/>
                <w:szCs w:val="21"/>
                <w14:textFill>
                  <w14:solidFill>
                    <w14:schemeClr w14:val="tx1"/>
                  </w14:solidFill>
                </w14:textFill>
              </w:rPr>
            </w:pPr>
            <w:r>
              <w:rPr>
                <w:rFonts w:hint="eastAsia" w:ascii="宋体" w:hAnsi="宋体" w:cs="宋体"/>
                <w:bCs/>
                <w:color w:val="000000" w:themeColor="text1"/>
                <w:szCs w:val="21"/>
                <w14:textFill>
                  <w14:solidFill>
                    <w14:schemeClr w14:val="tx1"/>
                  </w14:solidFill>
                </w14:textFill>
              </w:rPr>
              <w:t>5</w:t>
            </w:r>
          </w:p>
        </w:tc>
        <w:tc>
          <w:tcPr>
            <w:tcW w:w="424" w:type="pct"/>
            <w:vAlign w:val="center"/>
          </w:tcPr>
          <w:p w14:paraId="79C47FB2">
            <w:pPr>
              <w:adjustRightInd w:val="0"/>
              <w:snapToGrid w:val="0"/>
              <w:spacing w:line="300" w:lineRule="exact"/>
              <w:jc w:val="center"/>
              <w:rPr>
                <w:rFonts w:hint="eastAsia" w:ascii="宋体" w:hAnsi="宋体" w:cs="宋体"/>
                <w:bCs/>
                <w:color w:val="000000" w:themeColor="text1"/>
                <w:szCs w:val="21"/>
                <w14:textFill>
                  <w14:solidFill>
                    <w14:schemeClr w14:val="tx1"/>
                  </w14:solidFill>
                </w14:textFill>
              </w:rPr>
            </w:pPr>
            <w:r>
              <w:rPr>
                <w:rFonts w:hint="eastAsia" w:ascii="宋体" w:hAnsi="宋体" w:cs="宋体"/>
                <w:bCs/>
                <w:color w:val="000000" w:themeColor="text1"/>
                <w:szCs w:val="21"/>
                <w14:textFill>
                  <w14:solidFill>
                    <w14:schemeClr w14:val="tx1"/>
                  </w14:solidFill>
                </w14:textFill>
              </w:rPr>
              <w:t>7200</w:t>
            </w:r>
          </w:p>
        </w:tc>
        <w:tc>
          <w:tcPr>
            <w:tcW w:w="322" w:type="pct"/>
            <w:vMerge w:val="continue"/>
            <w:vAlign w:val="center"/>
          </w:tcPr>
          <w:p w14:paraId="0263BD37">
            <w:pPr>
              <w:adjustRightInd w:val="0"/>
              <w:snapToGrid w:val="0"/>
              <w:spacing w:line="300" w:lineRule="exact"/>
              <w:jc w:val="center"/>
              <w:rPr>
                <w:rFonts w:hint="eastAsia" w:ascii="宋体" w:hAnsi="宋体" w:cs="宋体"/>
                <w:bCs/>
                <w:color w:val="000000" w:themeColor="text1"/>
                <w:szCs w:val="21"/>
                <w14:textFill>
                  <w14:solidFill>
                    <w14:schemeClr w14:val="tx1"/>
                  </w14:solidFill>
                </w14:textFill>
              </w:rPr>
            </w:pPr>
          </w:p>
        </w:tc>
        <w:tc>
          <w:tcPr>
            <w:tcW w:w="392" w:type="pct"/>
            <w:vAlign w:val="center"/>
          </w:tcPr>
          <w:p w14:paraId="475E89AC">
            <w:pPr>
              <w:adjustRightInd w:val="0"/>
              <w:snapToGrid w:val="0"/>
              <w:spacing w:line="300" w:lineRule="exact"/>
              <w:jc w:val="center"/>
              <w:rPr>
                <w:rFonts w:hint="eastAsia" w:ascii="宋体" w:hAnsi="宋体" w:cs="宋体"/>
                <w:bCs/>
                <w:color w:val="000000" w:themeColor="text1"/>
                <w:szCs w:val="21"/>
                <w14:textFill>
                  <w14:solidFill>
                    <w14:schemeClr w14:val="tx1"/>
                  </w14:solidFill>
                </w14:textFill>
              </w:rPr>
            </w:pPr>
            <w:r>
              <w:rPr>
                <w:rFonts w:hint="eastAsia" w:ascii="宋体" w:hAnsi="宋体" w:cs="宋体"/>
                <w:bCs/>
                <w:color w:val="000000" w:themeColor="text1"/>
                <w:szCs w:val="21"/>
                <w14:textFill>
                  <w14:solidFill>
                    <w14:schemeClr w14:val="tx1"/>
                  </w14:solidFill>
                </w14:textFill>
              </w:rPr>
              <w:t>1.24</w:t>
            </w:r>
          </w:p>
        </w:tc>
        <w:tc>
          <w:tcPr>
            <w:tcW w:w="485" w:type="pct"/>
            <w:vAlign w:val="center"/>
          </w:tcPr>
          <w:p w14:paraId="10D46926">
            <w:pPr>
              <w:adjustRightInd w:val="0"/>
              <w:snapToGrid w:val="0"/>
              <w:spacing w:line="300" w:lineRule="exact"/>
              <w:jc w:val="center"/>
              <w:rPr>
                <w:rFonts w:hint="eastAsia" w:ascii="宋体" w:hAnsi="宋体" w:cs="宋体"/>
                <w:bCs/>
                <w:color w:val="000000" w:themeColor="text1"/>
                <w:szCs w:val="21"/>
                <w14:textFill>
                  <w14:solidFill>
                    <w14:schemeClr w14:val="tx1"/>
                  </w14:solidFill>
                </w14:textFill>
              </w:rPr>
            </w:pPr>
            <w:r>
              <w:rPr>
                <w:rFonts w:hint="eastAsia" w:ascii="宋体" w:hAnsi="宋体" w:cs="宋体"/>
                <w:bCs/>
                <w:color w:val="000000" w:themeColor="text1"/>
                <w:szCs w:val="21"/>
                <w14:textFill>
                  <w14:solidFill>
                    <w14:schemeClr w14:val="tx1"/>
                  </w14:solidFill>
                </w14:textFill>
              </w:rPr>
              <w:t>0.176</w:t>
            </w:r>
          </w:p>
        </w:tc>
        <w:tc>
          <w:tcPr>
            <w:tcW w:w="455" w:type="pct"/>
            <w:vAlign w:val="center"/>
          </w:tcPr>
          <w:p w14:paraId="3FD2A33B">
            <w:pPr>
              <w:adjustRightInd w:val="0"/>
              <w:snapToGrid w:val="0"/>
              <w:spacing w:line="300" w:lineRule="exact"/>
              <w:jc w:val="center"/>
              <w:rPr>
                <w:rFonts w:hint="eastAsia" w:ascii="宋体" w:hAnsi="宋体" w:cs="宋体"/>
                <w:bCs/>
                <w:color w:val="000000" w:themeColor="text1"/>
                <w:szCs w:val="21"/>
                <w14:textFill>
                  <w14:solidFill>
                    <w14:schemeClr w14:val="tx1"/>
                  </w14:solidFill>
                </w14:textFill>
              </w:rPr>
            </w:pPr>
            <w:r>
              <w:rPr>
                <w:rFonts w:hint="eastAsia" w:ascii="宋体" w:hAnsi="宋体" w:cs="宋体"/>
                <w:bCs/>
                <w:color w:val="000000" w:themeColor="text1"/>
                <w:szCs w:val="21"/>
                <w14:textFill>
                  <w14:solidFill>
                    <w14:schemeClr w14:val="tx1"/>
                  </w14:solidFill>
                </w14:textFill>
              </w:rPr>
              <w:t>0.333</w:t>
            </w:r>
          </w:p>
        </w:tc>
        <w:tc>
          <w:tcPr>
            <w:tcW w:w="664" w:type="pct"/>
            <w:vAlign w:val="center"/>
          </w:tcPr>
          <w:p w14:paraId="0ECCF2C4">
            <w:pPr>
              <w:adjustRightInd w:val="0"/>
              <w:snapToGrid w:val="0"/>
              <w:spacing w:line="300" w:lineRule="exact"/>
              <w:jc w:val="center"/>
              <w:rPr>
                <w:rFonts w:hint="eastAsia" w:ascii="宋体" w:hAnsi="宋体" w:cs="宋体"/>
                <w:bCs/>
                <w:color w:val="000000" w:themeColor="text1"/>
                <w:szCs w:val="21"/>
                <w14:textFill>
                  <w14:solidFill>
                    <w14:schemeClr w14:val="tx1"/>
                  </w14:solidFill>
                </w14:textFill>
              </w:rPr>
            </w:pPr>
            <w:r>
              <w:rPr>
                <w:rFonts w:hint="eastAsia" w:ascii="宋体" w:hAnsi="宋体" w:cs="宋体"/>
                <w:bCs/>
                <w:color w:val="000000" w:themeColor="text1"/>
                <w:szCs w:val="21"/>
                <w14:textFill>
                  <w14:solidFill>
                    <w14:schemeClr w14:val="tx1"/>
                  </w14:solidFill>
                </w14:textFill>
              </w:rPr>
              <w:t>0.0000463</w:t>
            </w:r>
          </w:p>
        </w:tc>
      </w:tr>
      <w:bookmarkEnd w:id="525"/>
    </w:tbl>
    <w:p w14:paraId="34EE8287">
      <w:pPr>
        <w:pStyle w:val="117"/>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（6）预测结果</w:t>
      </w:r>
    </w:p>
    <w:p w14:paraId="3D12515B">
      <w:pPr>
        <w:pStyle w:val="117"/>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预测结果详见表</w:t>
      </w:r>
      <w:r>
        <w:rPr>
          <w:color w:val="000000" w:themeColor="text1"/>
          <w14:textFill>
            <w14:solidFill>
              <w14:schemeClr w14:val="tx1"/>
            </w14:solidFill>
          </w14:textFill>
        </w:rPr>
        <w:t>5.2</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5</w:t>
      </w:r>
      <w:r>
        <w:rPr>
          <w:rFonts w:hint="eastAsia"/>
          <w:color w:val="000000" w:themeColor="text1"/>
          <w14:textFill>
            <w14:solidFill>
              <w14:schemeClr w14:val="tx1"/>
            </w14:solidFill>
          </w14:textFill>
        </w:rPr>
        <w:t>。</w:t>
      </w:r>
      <w:bookmarkEnd w:id="524"/>
      <w:bookmarkStart w:id="526" w:name="_Hlk129688515"/>
    </w:p>
    <w:p w14:paraId="02C7E182">
      <w:pPr>
        <w:pStyle w:val="117"/>
        <w:ind w:firstLine="0" w:firstLineChars="0"/>
        <w:jc w:val="center"/>
        <w:rPr>
          <w:rFonts w:hint="eastAsia"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表5</w:t>
      </w:r>
      <w:r>
        <w:rPr>
          <w:rFonts w:ascii="黑体" w:hAnsi="黑体" w:eastAsia="黑体"/>
          <w:color w:val="000000" w:themeColor="text1"/>
          <w:sz w:val="21"/>
          <w:szCs w:val="21"/>
          <w14:textFill>
            <w14:solidFill>
              <w14:schemeClr w14:val="tx1"/>
            </w14:solidFill>
          </w14:textFill>
        </w:rPr>
        <w:t>.2</w:t>
      </w:r>
      <w:r>
        <w:rPr>
          <w:rFonts w:hint="eastAsia" w:ascii="黑体" w:hAnsi="黑体" w:eastAsia="黑体"/>
          <w:color w:val="000000" w:themeColor="text1"/>
          <w:sz w:val="21"/>
          <w:szCs w:val="21"/>
          <w14:textFill>
            <w14:solidFill>
              <w14:schemeClr w14:val="tx1"/>
            </w14:solidFill>
          </w14:textFill>
        </w:rPr>
        <w:t>-</w:t>
      </w:r>
      <w:r>
        <w:rPr>
          <w:rFonts w:ascii="黑体" w:hAnsi="黑体" w:eastAsia="黑体"/>
          <w:color w:val="000000" w:themeColor="text1"/>
          <w:sz w:val="21"/>
          <w:szCs w:val="21"/>
          <w14:textFill>
            <w14:solidFill>
              <w14:schemeClr w14:val="tx1"/>
            </w14:solidFill>
          </w14:textFill>
        </w:rPr>
        <w:t>5</w:t>
      </w:r>
      <w:r>
        <w:rPr>
          <w:rFonts w:hint="eastAsia" w:ascii="黑体" w:hAnsi="黑体" w:eastAsia="黑体"/>
          <w:color w:val="000000" w:themeColor="text1"/>
          <w:sz w:val="21"/>
          <w:szCs w:val="21"/>
          <w14:textFill>
            <w14:solidFill>
              <w14:schemeClr w14:val="tx1"/>
            </w14:solidFill>
          </w14:textFill>
        </w:rPr>
        <w:t xml:space="preserve"> </w:t>
      </w:r>
      <w:r>
        <w:rPr>
          <w:rFonts w:ascii="黑体" w:hAnsi="黑体" w:eastAsia="黑体"/>
          <w:color w:val="000000" w:themeColor="text1"/>
          <w:sz w:val="21"/>
          <w:szCs w:val="21"/>
          <w14:textFill>
            <w14:solidFill>
              <w14:schemeClr w14:val="tx1"/>
            </w14:solidFill>
          </w14:textFill>
        </w:rPr>
        <w:t xml:space="preserve"> </w:t>
      </w:r>
      <w:r>
        <w:rPr>
          <w:rFonts w:hint="eastAsia" w:ascii="黑体" w:hAnsi="黑体" w:eastAsia="黑体"/>
          <w:color w:val="000000" w:themeColor="text1"/>
          <w:sz w:val="21"/>
          <w:szCs w:val="21"/>
          <w14:textFill>
            <w14:solidFill>
              <w14:schemeClr w14:val="tx1"/>
            </w14:solidFill>
          </w14:textFill>
        </w:rPr>
        <w:t>预测结果一览表</w:t>
      </w:r>
    </w:p>
    <w:bookmarkEnd w:id="526"/>
    <w:tbl>
      <w:tblPr>
        <w:tblStyle w:val="51"/>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873"/>
        <w:gridCol w:w="873"/>
        <w:gridCol w:w="873"/>
        <w:gridCol w:w="873"/>
        <w:gridCol w:w="873"/>
        <w:gridCol w:w="873"/>
        <w:gridCol w:w="873"/>
        <w:gridCol w:w="873"/>
        <w:gridCol w:w="873"/>
        <w:gridCol w:w="873"/>
      </w:tblGrid>
      <w:tr w14:paraId="31FF7D6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2500" w:type="pct"/>
            <w:gridSpan w:val="5"/>
            <w:vAlign w:val="center"/>
          </w:tcPr>
          <w:p w14:paraId="4922FCB6">
            <w:pPr>
              <w:pStyle w:val="278"/>
              <w:adjustRightInd w:val="0"/>
              <w:snapToGrid w:val="0"/>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1号计量站</w:t>
            </w:r>
          </w:p>
        </w:tc>
        <w:tc>
          <w:tcPr>
            <w:tcW w:w="2500" w:type="pct"/>
            <w:gridSpan w:val="5"/>
          </w:tcPr>
          <w:p w14:paraId="5E45ACB5">
            <w:pPr>
              <w:pStyle w:val="278"/>
              <w:adjustRightInd w:val="0"/>
              <w:snapToGrid w:val="0"/>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预处理注入站</w:t>
            </w:r>
          </w:p>
        </w:tc>
      </w:tr>
      <w:tr w14:paraId="55B7142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500" w:type="pct"/>
            <w:gridSpan w:val="3"/>
            <w:vAlign w:val="center"/>
          </w:tcPr>
          <w:p w14:paraId="317A0C71">
            <w:pPr>
              <w:pStyle w:val="278"/>
              <w:adjustRightInd w:val="0"/>
              <w:snapToGrid w:val="0"/>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非甲烷总烃</w:t>
            </w:r>
          </w:p>
        </w:tc>
        <w:tc>
          <w:tcPr>
            <w:tcW w:w="1000" w:type="pct"/>
            <w:gridSpan w:val="2"/>
            <w:vAlign w:val="center"/>
          </w:tcPr>
          <w:p w14:paraId="323C1DD9">
            <w:pPr>
              <w:pStyle w:val="278"/>
              <w:adjustRightInd w:val="0"/>
              <w:snapToGrid w:val="0"/>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硫化氢</w:t>
            </w:r>
          </w:p>
        </w:tc>
        <w:tc>
          <w:tcPr>
            <w:tcW w:w="500" w:type="pct"/>
            <w:vMerge w:val="restart"/>
            <w:vAlign w:val="center"/>
          </w:tcPr>
          <w:p w14:paraId="4751DCA8">
            <w:pPr>
              <w:pStyle w:val="278"/>
              <w:adjustRightInd w:val="0"/>
              <w:snapToGrid w:val="0"/>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离源距离/m</w:t>
            </w:r>
          </w:p>
        </w:tc>
        <w:tc>
          <w:tcPr>
            <w:tcW w:w="1000" w:type="pct"/>
            <w:gridSpan w:val="2"/>
            <w:vAlign w:val="center"/>
          </w:tcPr>
          <w:p w14:paraId="2A8AF62B">
            <w:pPr>
              <w:pStyle w:val="278"/>
              <w:adjustRightInd w:val="0"/>
              <w:snapToGrid w:val="0"/>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非甲烷总烃</w:t>
            </w:r>
          </w:p>
        </w:tc>
        <w:tc>
          <w:tcPr>
            <w:tcW w:w="1000" w:type="pct"/>
            <w:gridSpan w:val="2"/>
            <w:vAlign w:val="center"/>
          </w:tcPr>
          <w:p w14:paraId="3012A0FF">
            <w:pPr>
              <w:pStyle w:val="278"/>
              <w:adjustRightInd w:val="0"/>
              <w:snapToGrid w:val="0"/>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硫化氢</w:t>
            </w:r>
          </w:p>
        </w:tc>
      </w:tr>
      <w:tr w14:paraId="48B8175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00" w:type="pct"/>
            <w:vAlign w:val="center"/>
          </w:tcPr>
          <w:p w14:paraId="6B8CFAE0">
            <w:pPr>
              <w:pStyle w:val="278"/>
              <w:adjustRightInd w:val="0"/>
              <w:snapToGrid w:val="0"/>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离源距离/m</w:t>
            </w:r>
          </w:p>
        </w:tc>
        <w:tc>
          <w:tcPr>
            <w:tcW w:w="500" w:type="pct"/>
            <w:vAlign w:val="center"/>
          </w:tcPr>
          <w:p w14:paraId="1A8153FF">
            <w:pPr>
              <w:pStyle w:val="278"/>
              <w:adjustRightInd w:val="0"/>
              <w:snapToGrid w:val="0"/>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浓度/μg/m</w:t>
            </w:r>
            <w:r>
              <w:rPr>
                <w:rFonts w:hint="eastAsia"/>
                <w:color w:val="000000" w:themeColor="text1"/>
                <w:vertAlign w:val="superscript"/>
                <w14:textFill>
                  <w14:solidFill>
                    <w14:schemeClr w14:val="tx1"/>
                  </w14:solidFill>
                </w14:textFill>
              </w:rPr>
              <w:t>3</w:t>
            </w:r>
          </w:p>
        </w:tc>
        <w:tc>
          <w:tcPr>
            <w:tcW w:w="500" w:type="pct"/>
            <w:vAlign w:val="center"/>
          </w:tcPr>
          <w:p w14:paraId="6E801169">
            <w:pPr>
              <w:pStyle w:val="278"/>
              <w:adjustRightInd w:val="0"/>
              <w:snapToGrid w:val="0"/>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占标率/%</w:t>
            </w:r>
          </w:p>
        </w:tc>
        <w:tc>
          <w:tcPr>
            <w:tcW w:w="500" w:type="pct"/>
            <w:vAlign w:val="center"/>
          </w:tcPr>
          <w:p w14:paraId="4228D6B1">
            <w:pPr>
              <w:pStyle w:val="278"/>
              <w:adjustRightInd w:val="0"/>
              <w:snapToGrid w:val="0"/>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浓度/μg/m</w:t>
            </w:r>
            <w:r>
              <w:rPr>
                <w:rFonts w:hint="eastAsia"/>
                <w:color w:val="000000" w:themeColor="text1"/>
                <w:vertAlign w:val="superscript"/>
                <w14:textFill>
                  <w14:solidFill>
                    <w14:schemeClr w14:val="tx1"/>
                  </w14:solidFill>
                </w14:textFill>
              </w:rPr>
              <w:t>3</w:t>
            </w:r>
          </w:p>
        </w:tc>
        <w:tc>
          <w:tcPr>
            <w:tcW w:w="500" w:type="pct"/>
            <w:vAlign w:val="center"/>
          </w:tcPr>
          <w:p w14:paraId="33C10D5B">
            <w:pPr>
              <w:pStyle w:val="278"/>
              <w:adjustRightInd w:val="0"/>
              <w:snapToGrid w:val="0"/>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占标率/%</w:t>
            </w:r>
          </w:p>
        </w:tc>
        <w:tc>
          <w:tcPr>
            <w:tcW w:w="500" w:type="pct"/>
            <w:vMerge w:val="continue"/>
            <w:vAlign w:val="center"/>
          </w:tcPr>
          <w:p w14:paraId="102A39B9">
            <w:pPr>
              <w:pStyle w:val="278"/>
              <w:adjustRightInd w:val="0"/>
              <w:snapToGrid w:val="0"/>
              <w:spacing w:line="300" w:lineRule="exact"/>
              <w:rPr>
                <w:rFonts w:hint="eastAsia"/>
                <w:color w:val="000000" w:themeColor="text1"/>
                <w14:textFill>
                  <w14:solidFill>
                    <w14:schemeClr w14:val="tx1"/>
                  </w14:solidFill>
                </w14:textFill>
              </w:rPr>
            </w:pPr>
          </w:p>
        </w:tc>
        <w:tc>
          <w:tcPr>
            <w:tcW w:w="500" w:type="pct"/>
            <w:vAlign w:val="center"/>
          </w:tcPr>
          <w:p w14:paraId="3EF523A2">
            <w:pPr>
              <w:pStyle w:val="278"/>
              <w:adjustRightInd w:val="0"/>
              <w:snapToGrid w:val="0"/>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浓度/μg/m</w:t>
            </w:r>
            <w:r>
              <w:rPr>
                <w:rFonts w:hint="eastAsia"/>
                <w:color w:val="000000" w:themeColor="text1"/>
                <w:vertAlign w:val="superscript"/>
                <w14:textFill>
                  <w14:solidFill>
                    <w14:schemeClr w14:val="tx1"/>
                  </w14:solidFill>
                </w14:textFill>
              </w:rPr>
              <w:t>3</w:t>
            </w:r>
          </w:p>
        </w:tc>
        <w:tc>
          <w:tcPr>
            <w:tcW w:w="500" w:type="pct"/>
            <w:vAlign w:val="center"/>
          </w:tcPr>
          <w:p w14:paraId="5D64C4E2">
            <w:pPr>
              <w:pStyle w:val="278"/>
              <w:adjustRightInd w:val="0"/>
              <w:snapToGrid w:val="0"/>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占标率/%</w:t>
            </w:r>
          </w:p>
        </w:tc>
        <w:tc>
          <w:tcPr>
            <w:tcW w:w="500" w:type="pct"/>
            <w:vAlign w:val="center"/>
          </w:tcPr>
          <w:p w14:paraId="7DE1F36E">
            <w:pPr>
              <w:pStyle w:val="278"/>
              <w:adjustRightInd w:val="0"/>
              <w:snapToGrid w:val="0"/>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浓度/μg/m</w:t>
            </w:r>
            <w:r>
              <w:rPr>
                <w:rFonts w:hint="eastAsia"/>
                <w:color w:val="000000" w:themeColor="text1"/>
                <w:vertAlign w:val="superscript"/>
                <w14:textFill>
                  <w14:solidFill>
                    <w14:schemeClr w14:val="tx1"/>
                  </w14:solidFill>
                </w14:textFill>
              </w:rPr>
              <w:t>3</w:t>
            </w:r>
          </w:p>
        </w:tc>
        <w:tc>
          <w:tcPr>
            <w:tcW w:w="500" w:type="pct"/>
            <w:vAlign w:val="center"/>
          </w:tcPr>
          <w:p w14:paraId="6044C14A">
            <w:pPr>
              <w:pStyle w:val="278"/>
              <w:adjustRightInd w:val="0"/>
              <w:snapToGrid w:val="0"/>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占标率/%</w:t>
            </w:r>
          </w:p>
        </w:tc>
      </w:tr>
      <w:tr w14:paraId="59A8A2C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00" w:type="pct"/>
            <w:vAlign w:val="center"/>
          </w:tcPr>
          <w:p w14:paraId="59633353">
            <w:pPr>
              <w:pStyle w:val="278"/>
              <w:adjustRightInd w:val="0"/>
              <w:snapToGrid w:val="0"/>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10</w:t>
            </w:r>
          </w:p>
        </w:tc>
        <w:tc>
          <w:tcPr>
            <w:tcW w:w="500" w:type="pct"/>
            <w:vAlign w:val="center"/>
          </w:tcPr>
          <w:p w14:paraId="4DB4DA22">
            <w:pPr>
              <w:pStyle w:val="278"/>
              <w:adjustRightInd w:val="0"/>
              <w:snapToGrid w:val="0"/>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49.4760</w:t>
            </w:r>
          </w:p>
        </w:tc>
        <w:tc>
          <w:tcPr>
            <w:tcW w:w="500" w:type="pct"/>
            <w:vAlign w:val="center"/>
          </w:tcPr>
          <w:p w14:paraId="2E21222B">
            <w:pPr>
              <w:pStyle w:val="278"/>
              <w:adjustRightInd w:val="0"/>
              <w:snapToGrid w:val="0"/>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2.47</w:t>
            </w:r>
          </w:p>
        </w:tc>
        <w:tc>
          <w:tcPr>
            <w:tcW w:w="500" w:type="pct"/>
            <w:vAlign w:val="center"/>
          </w:tcPr>
          <w:p w14:paraId="4828A0F7">
            <w:pPr>
              <w:pStyle w:val="278"/>
              <w:adjustRightInd w:val="0"/>
              <w:snapToGrid w:val="0"/>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0.0131</w:t>
            </w:r>
          </w:p>
        </w:tc>
        <w:tc>
          <w:tcPr>
            <w:tcW w:w="500" w:type="pct"/>
            <w:vAlign w:val="center"/>
          </w:tcPr>
          <w:p w14:paraId="59B3F94C">
            <w:pPr>
              <w:pStyle w:val="278"/>
              <w:adjustRightInd w:val="0"/>
              <w:snapToGrid w:val="0"/>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0.13</w:t>
            </w:r>
          </w:p>
        </w:tc>
        <w:tc>
          <w:tcPr>
            <w:tcW w:w="500" w:type="pct"/>
            <w:vAlign w:val="center"/>
          </w:tcPr>
          <w:p w14:paraId="686FC315">
            <w:pPr>
              <w:pStyle w:val="278"/>
              <w:adjustRightInd w:val="0"/>
              <w:snapToGrid w:val="0"/>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10</w:t>
            </w:r>
          </w:p>
        </w:tc>
        <w:tc>
          <w:tcPr>
            <w:tcW w:w="500" w:type="pct"/>
            <w:vAlign w:val="center"/>
          </w:tcPr>
          <w:p w14:paraId="229BDABE">
            <w:pPr>
              <w:pStyle w:val="278"/>
              <w:adjustRightInd w:val="0"/>
              <w:snapToGrid w:val="0"/>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57.846</w:t>
            </w:r>
          </w:p>
        </w:tc>
        <w:tc>
          <w:tcPr>
            <w:tcW w:w="500" w:type="pct"/>
            <w:vAlign w:val="center"/>
          </w:tcPr>
          <w:p w14:paraId="502363E5">
            <w:pPr>
              <w:pStyle w:val="278"/>
              <w:adjustRightInd w:val="0"/>
              <w:snapToGrid w:val="0"/>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2.89</w:t>
            </w:r>
          </w:p>
        </w:tc>
        <w:tc>
          <w:tcPr>
            <w:tcW w:w="500" w:type="pct"/>
            <w:vAlign w:val="center"/>
          </w:tcPr>
          <w:p w14:paraId="78BC1CDB">
            <w:pPr>
              <w:pStyle w:val="278"/>
              <w:adjustRightInd w:val="0"/>
              <w:snapToGrid w:val="0"/>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0.0152</w:t>
            </w:r>
          </w:p>
        </w:tc>
        <w:tc>
          <w:tcPr>
            <w:tcW w:w="500" w:type="pct"/>
            <w:vAlign w:val="center"/>
          </w:tcPr>
          <w:p w14:paraId="63AC0780">
            <w:pPr>
              <w:pStyle w:val="278"/>
              <w:adjustRightInd w:val="0"/>
              <w:snapToGrid w:val="0"/>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0.15</w:t>
            </w:r>
          </w:p>
        </w:tc>
      </w:tr>
      <w:tr w14:paraId="4072B34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00" w:type="pct"/>
            <w:vAlign w:val="center"/>
          </w:tcPr>
          <w:p w14:paraId="357967A3">
            <w:pPr>
              <w:pStyle w:val="278"/>
              <w:adjustRightInd w:val="0"/>
              <w:snapToGrid w:val="0"/>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16</w:t>
            </w:r>
          </w:p>
        </w:tc>
        <w:tc>
          <w:tcPr>
            <w:tcW w:w="500" w:type="pct"/>
            <w:vAlign w:val="center"/>
          </w:tcPr>
          <w:p w14:paraId="0D89ACAA">
            <w:pPr>
              <w:pStyle w:val="278"/>
              <w:adjustRightInd w:val="0"/>
              <w:snapToGrid w:val="0"/>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51.7170</w:t>
            </w:r>
          </w:p>
        </w:tc>
        <w:tc>
          <w:tcPr>
            <w:tcW w:w="500" w:type="pct"/>
            <w:vAlign w:val="center"/>
          </w:tcPr>
          <w:p w14:paraId="75B19E11">
            <w:pPr>
              <w:pStyle w:val="278"/>
              <w:adjustRightInd w:val="0"/>
              <w:snapToGrid w:val="0"/>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2.59</w:t>
            </w:r>
          </w:p>
        </w:tc>
        <w:tc>
          <w:tcPr>
            <w:tcW w:w="500" w:type="pct"/>
            <w:vAlign w:val="center"/>
          </w:tcPr>
          <w:p w14:paraId="3A09E7BD">
            <w:pPr>
              <w:pStyle w:val="278"/>
              <w:adjustRightInd w:val="0"/>
              <w:snapToGrid w:val="0"/>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0.0137</w:t>
            </w:r>
          </w:p>
        </w:tc>
        <w:tc>
          <w:tcPr>
            <w:tcW w:w="500" w:type="pct"/>
            <w:vAlign w:val="center"/>
          </w:tcPr>
          <w:p w14:paraId="290C175A">
            <w:pPr>
              <w:pStyle w:val="278"/>
              <w:adjustRightInd w:val="0"/>
              <w:snapToGrid w:val="0"/>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0.14</w:t>
            </w:r>
          </w:p>
        </w:tc>
        <w:tc>
          <w:tcPr>
            <w:tcW w:w="500" w:type="pct"/>
            <w:vAlign w:val="center"/>
          </w:tcPr>
          <w:p w14:paraId="4FE89B6E">
            <w:pPr>
              <w:pStyle w:val="278"/>
              <w:adjustRightInd w:val="0"/>
              <w:snapToGrid w:val="0"/>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57</w:t>
            </w:r>
          </w:p>
        </w:tc>
        <w:tc>
          <w:tcPr>
            <w:tcW w:w="500" w:type="pct"/>
            <w:vAlign w:val="center"/>
          </w:tcPr>
          <w:p w14:paraId="299FAC98">
            <w:pPr>
              <w:pStyle w:val="278"/>
              <w:adjustRightInd w:val="0"/>
              <w:snapToGrid w:val="0"/>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105.00</w:t>
            </w:r>
          </w:p>
        </w:tc>
        <w:tc>
          <w:tcPr>
            <w:tcW w:w="500" w:type="pct"/>
            <w:vAlign w:val="center"/>
          </w:tcPr>
          <w:p w14:paraId="6DAD10B1">
            <w:pPr>
              <w:pStyle w:val="278"/>
              <w:adjustRightInd w:val="0"/>
              <w:snapToGrid w:val="0"/>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5.25</w:t>
            </w:r>
          </w:p>
        </w:tc>
        <w:tc>
          <w:tcPr>
            <w:tcW w:w="500" w:type="pct"/>
            <w:vAlign w:val="center"/>
          </w:tcPr>
          <w:p w14:paraId="23664F76">
            <w:pPr>
              <w:pStyle w:val="278"/>
              <w:adjustRightInd w:val="0"/>
              <w:snapToGrid w:val="0"/>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0.0276</w:t>
            </w:r>
          </w:p>
        </w:tc>
        <w:tc>
          <w:tcPr>
            <w:tcW w:w="500" w:type="pct"/>
            <w:vAlign w:val="center"/>
          </w:tcPr>
          <w:p w14:paraId="270330C5">
            <w:pPr>
              <w:pStyle w:val="278"/>
              <w:adjustRightInd w:val="0"/>
              <w:snapToGrid w:val="0"/>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0.28</w:t>
            </w:r>
          </w:p>
        </w:tc>
      </w:tr>
      <w:tr w14:paraId="7F973E3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00" w:type="pct"/>
            <w:vAlign w:val="center"/>
          </w:tcPr>
          <w:p w14:paraId="0B55AAF4">
            <w:pPr>
              <w:pStyle w:val="278"/>
              <w:adjustRightInd w:val="0"/>
              <w:snapToGrid w:val="0"/>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100</w:t>
            </w:r>
          </w:p>
        </w:tc>
        <w:tc>
          <w:tcPr>
            <w:tcW w:w="500" w:type="pct"/>
            <w:vAlign w:val="center"/>
          </w:tcPr>
          <w:p w14:paraId="708C1087">
            <w:pPr>
              <w:pStyle w:val="278"/>
              <w:adjustRightInd w:val="0"/>
              <w:snapToGrid w:val="0"/>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18.6680</w:t>
            </w:r>
          </w:p>
        </w:tc>
        <w:tc>
          <w:tcPr>
            <w:tcW w:w="500" w:type="pct"/>
            <w:vAlign w:val="center"/>
          </w:tcPr>
          <w:p w14:paraId="48630C98">
            <w:pPr>
              <w:pStyle w:val="278"/>
              <w:adjustRightInd w:val="0"/>
              <w:snapToGrid w:val="0"/>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0.93</w:t>
            </w:r>
          </w:p>
        </w:tc>
        <w:tc>
          <w:tcPr>
            <w:tcW w:w="500" w:type="pct"/>
            <w:vAlign w:val="center"/>
          </w:tcPr>
          <w:p w14:paraId="1AE6FF4F">
            <w:pPr>
              <w:pStyle w:val="278"/>
              <w:adjustRightInd w:val="0"/>
              <w:snapToGrid w:val="0"/>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0.0049</w:t>
            </w:r>
          </w:p>
        </w:tc>
        <w:tc>
          <w:tcPr>
            <w:tcW w:w="500" w:type="pct"/>
            <w:vAlign w:val="center"/>
          </w:tcPr>
          <w:p w14:paraId="2ADD363E">
            <w:pPr>
              <w:pStyle w:val="278"/>
              <w:adjustRightInd w:val="0"/>
              <w:snapToGrid w:val="0"/>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0.05</w:t>
            </w:r>
          </w:p>
        </w:tc>
        <w:tc>
          <w:tcPr>
            <w:tcW w:w="500" w:type="pct"/>
            <w:vAlign w:val="center"/>
          </w:tcPr>
          <w:p w14:paraId="0376B960">
            <w:pPr>
              <w:pStyle w:val="278"/>
              <w:adjustRightInd w:val="0"/>
              <w:snapToGrid w:val="0"/>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100</w:t>
            </w:r>
          </w:p>
        </w:tc>
        <w:tc>
          <w:tcPr>
            <w:tcW w:w="500" w:type="pct"/>
            <w:vAlign w:val="center"/>
          </w:tcPr>
          <w:p w14:paraId="7CB24AF9">
            <w:pPr>
              <w:pStyle w:val="278"/>
              <w:adjustRightInd w:val="0"/>
              <w:snapToGrid w:val="0"/>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77.787</w:t>
            </w:r>
          </w:p>
        </w:tc>
        <w:tc>
          <w:tcPr>
            <w:tcW w:w="500" w:type="pct"/>
            <w:vAlign w:val="center"/>
          </w:tcPr>
          <w:p w14:paraId="5EF32E03">
            <w:pPr>
              <w:pStyle w:val="278"/>
              <w:adjustRightInd w:val="0"/>
              <w:snapToGrid w:val="0"/>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3.89</w:t>
            </w:r>
          </w:p>
        </w:tc>
        <w:tc>
          <w:tcPr>
            <w:tcW w:w="500" w:type="pct"/>
            <w:vAlign w:val="center"/>
          </w:tcPr>
          <w:p w14:paraId="32391729">
            <w:pPr>
              <w:pStyle w:val="278"/>
              <w:adjustRightInd w:val="0"/>
              <w:snapToGrid w:val="0"/>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0.0205</w:t>
            </w:r>
          </w:p>
        </w:tc>
        <w:tc>
          <w:tcPr>
            <w:tcW w:w="500" w:type="pct"/>
            <w:vAlign w:val="center"/>
          </w:tcPr>
          <w:p w14:paraId="533A5337">
            <w:pPr>
              <w:pStyle w:val="278"/>
              <w:adjustRightInd w:val="0"/>
              <w:snapToGrid w:val="0"/>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0.2</w:t>
            </w:r>
          </w:p>
        </w:tc>
      </w:tr>
      <w:tr w14:paraId="4387884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00" w:type="pct"/>
            <w:vAlign w:val="center"/>
          </w:tcPr>
          <w:p w14:paraId="683AD0FE">
            <w:pPr>
              <w:pStyle w:val="278"/>
              <w:adjustRightInd w:val="0"/>
              <w:snapToGrid w:val="0"/>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200</w:t>
            </w:r>
          </w:p>
        </w:tc>
        <w:tc>
          <w:tcPr>
            <w:tcW w:w="500" w:type="pct"/>
            <w:vAlign w:val="center"/>
          </w:tcPr>
          <w:p w14:paraId="33709AC8">
            <w:pPr>
              <w:pStyle w:val="278"/>
              <w:adjustRightInd w:val="0"/>
              <w:snapToGrid w:val="0"/>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14.8560</w:t>
            </w:r>
          </w:p>
        </w:tc>
        <w:tc>
          <w:tcPr>
            <w:tcW w:w="500" w:type="pct"/>
            <w:vAlign w:val="center"/>
          </w:tcPr>
          <w:p w14:paraId="01EEC3D3">
            <w:pPr>
              <w:pStyle w:val="278"/>
              <w:adjustRightInd w:val="0"/>
              <w:snapToGrid w:val="0"/>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0.74</w:t>
            </w:r>
          </w:p>
        </w:tc>
        <w:tc>
          <w:tcPr>
            <w:tcW w:w="500" w:type="pct"/>
            <w:vAlign w:val="center"/>
          </w:tcPr>
          <w:p w14:paraId="3FDB2EF9">
            <w:pPr>
              <w:pStyle w:val="278"/>
              <w:adjustRightInd w:val="0"/>
              <w:snapToGrid w:val="0"/>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0.0039</w:t>
            </w:r>
          </w:p>
        </w:tc>
        <w:tc>
          <w:tcPr>
            <w:tcW w:w="500" w:type="pct"/>
            <w:vAlign w:val="center"/>
          </w:tcPr>
          <w:p w14:paraId="56A5DE93">
            <w:pPr>
              <w:pStyle w:val="278"/>
              <w:adjustRightInd w:val="0"/>
              <w:snapToGrid w:val="0"/>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0.04</w:t>
            </w:r>
          </w:p>
        </w:tc>
        <w:tc>
          <w:tcPr>
            <w:tcW w:w="500" w:type="pct"/>
            <w:vAlign w:val="center"/>
          </w:tcPr>
          <w:p w14:paraId="34588F42">
            <w:pPr>
              <w:pStyle w:val="278"/>
              <w:adjustRightInd w:val="0"/>
              <w:snapToGrid w:val="0"/>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200</w:t>
            </w:r>
          </w:p>
        </w:tc>
        <w:tc>
          <w:tcPr>
            <w:tcW w:w="500" w:type="pct"/>
            <w:vAlign w:val="center"/>
          </w:tcPr>
          <w:p w14:paraId="447CB95C">
            <w:pPr>
              <w:pStyle w:val="278"/>
              <w:adjustRightInd w:val="0"/>
              <w:snapToGrid w:val="0"/>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43.637</w:t>
            </w:r>
          </w:p>
        </w:tc>
        <w:tc>
          <w:tcPr>
            <w:tcW w:w="500" w:type="pct"/>
            <w:vAlign w:val="center"/>
          </w:tcPr>
          <w:p w14:paraId="7FDFC4DA">
            <w:pPr>
              <w:pStyle w:val="278"/>
              <w:adjustRightInd w:val="0"/>
              <w:snapToGrid w:val="0"/>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2.18</w:t>
            </w:r>
          </w:p>
        </w:tc>
        <w:tc>
          <w:tcPr>
            <w:tcW w:w="500" w:type="pct"/>
            <w:vAlign w:val="center"/>
          </w:tcPr>
          <w:p w14:paraId="468FD582">
            <w:pPr>
              <w:pStyle w:val="278"/>
              <w:adjustRightInd w:val="0"/>
              <w:snapToGrid w:val="0"/>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0.0115</w:t>
            </w:r>
          </w:p>
        </w:tc>
        <w:tc>
          <w:tcPr>
            <w:tcW w:w="500" w:type="pct"/>
            <w:vAlign w:val="center"/>
          </w:tcPr>
          <w:p w14:paraId="16FEAEE0">
            <w:pPr>
              <w:pStyle w:val="278"/>
              <w:adjustRightInd w:val="0"/>
              <w:snapToGrid w:val="0"/>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0.11</w:t>
            </w:r>
          </w:p>
        </w:tc>
      </w:tr>
      <w:tr w14:paraId="124D0ED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00" w:type="pct"/>
            <w:vAlign w:val="center"/>
          </w:tcPr>
          <w:p w14:paraId="418357B8">
            <w:pPr>
              <w:pStyle w:val="278"/>
              <w:adjustRightInd w:val="0"/>
              <w:snapToGrid w:val="0"/>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300</w:t>
            </w:r>
          </w:p>
        </w:tc>
        <w:tc>
          <w:tcPr>
            <w:tcW w:w="500" w:type="pct"/>
            <w:vAlign w:val="center"/>
          </w:tcPr>
          <w:p w14:paraId="66C8FE77">
            <w:pPr>
              <w:pStyle w:val="278"/>
              <w:adjustRightInd w:val="0"/>
              <w:snapToGrid w:val="0"/>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12.3490</w:t>
            </w:r>
          </w:p>
        </w:tc>
        <w:tc>
          <w:tcPr>
            <w:tcW w:w="500" w:type="pct"/>
            <w:vAlign w:val="center"/>
          </w:tcPr>
          <w:p w14:paraId="47D70627">
            <w:pPr>
              <w:pStyle w:val="278"/>
              <w:adjustRightInd w:val="0"/>
              <w:snapToGrid w:val="0"/>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0.62</w:t>
            </w:r>
          </w:p>
        </w:tc>
        <w:tc>
          <w:tcPr>
            <w:tcW w:w="500" w:type="pct"/>
            <w:vAlign w:val="center"/>
          </w:tcPr>
          <w:p w14:paraId="1F13E7BA">
            <w:pPr>
              <w:pStyle w:val="278"/>
              <w:adjustRightInd w:val="0"/>
              <w:snapToGrid w:val="0"/>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0.0033</w:t>
            </w:r>
          </w:p>
        </w:tc>
        <w:tc>
          <w:tcPr>
            <w:tcW w:w="500" w:type="pct"/>
            <w:vAlign w:val="center"/>
          </w:tcPr>
          <w:p w14:paraId="59AD9114">
            <w:pPr>
              <w:pStyle w:val="278"/>
              <w:adjustRightInd w:val="0"/>
              <w:snapToGrid w:val="0"/>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0.03</w:t>
            </w:r>
          </w:p>
        </w:tc>
        <w:tc>
          <w:tcPr>
            <w:tcW w:w="500" w:type="pct"/>
            <w:vAlign w:val="center"/>
          </w:tcPr>
          <w:p w14:paraId="72A3832E">
            <w:pPr>
              <w:pStyle w:val="278"/>
              <w:adjustRightInd w:val="0"/>
              <w:snapToGrid w:val="0"/>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300</w:t>
            </w:r>
          </w:p>
        </w:tc>
        <w:tc>
          <w:tcPr>
            <w:tcW w:w="500" w:type="pct"/>
            <w:vAlign w:val="center"/>
          </w:tcPr>
          <w:p w14:paraId="05EC7087">
            <w:pPr>
              <w:pStyle w:val="278"/>
              <w:adjustRightInd w:val="0"/>
              <w:snapToGrid w:val="0"/>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34.715</w:t>
            </w:r>
          </w:p>
        </w:tc>
        <w:tc>
          <w:tcPr>
            <w:tcW w:w="500" w:type="pct"/>
            <w:vAlign w:val="center"/>
          </w:tcPr>
          <w:p w14:paraId="5AA5A569">
            <w:pPr>
              <w:pStyle w:val="278"/>
              <w:adjustRightInd w:val="0"/>
              <w:snapToGrid w:val="0"/>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1.74</w:t>
            </w:r>
          </w:p>
        </w:tc>
        <w:tc>
          <w:tcPr>
            <w:tcW w:w="500" w:type="pct"/>
            <w:vAlign w:val="center"/>
          </w:tcPr>
          <w:p w14:paraId="1FC79A18">
            <w:pPr>
              <w:pStyle w:val="278"/>
              <w:adjustRightInd w:val="0"/>
              <w:snapToGrid w:val="0"/>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0.0091</w:t>
            </w:r>
          </w:p>
        </w:tc>
        <w:tc>
          <w:tcPr>
            <w:tcW w:w="500" w:type="pct"/>
            <w:vAlign w:val="center"/>
          </w:tcPr>
          <w:p w14:paraId="476F423E">
            <w:pPr>
              <w:pStyle w:val="278"/>
              <w:adjustRightInd w:val="0"/>
              <w:snapToGrid w:val="0"/>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0.09</w:t>
            </w:r>
          </w:p>
        </w:tc>
      </w:tr>
      <w:tr w14:paraId="6A8C7A1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00" w:type="pct"/>
            <w:vAlign w:val="center"/>
          </w:tcPr>
          <w:p w14:paraId="313FA23B">
            <w:pPr>
              <w:pStyle w:val="278"/>
              <w:adjustRightInd w:val="0"/>
              <w:snapToGrid w:val="0"/>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400</w:t>
            </w:r>
          </w:p>
        </w:tc>
        <w:tc>
          <w:tcPr>
            <w:tcW w:w="500" w:type="pct"/>
            <w:vAlign w:val="center"/>
          </w:tcPr>
          <w:p w14:paraId="713F6D86">
            <w:pPr>
              <w:pStyle w:val="278"/>
              <w:adjustRightInd w:val="0"/>
              <w:snapToGrid w:val="0"/>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10.4260</w:t>
            </w:r>
          </w:p>
        </w:tc>
        <w:tc>
          <w:tcPr>
            <w:tcW w:w="500" w:type="pct"/>
            <w:vAlign w:val="center"/>
          </w:tcPr>
          <w:p w14:paraId="2959A172">
            <w:pPr>
              <w:pStyle w:val="278"/>
              <w:adjustRightInd w:val="0"/>
              <w:snapToGrid w:val="0"/>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0.52</w:t>
            </w:r>
          </w:p>
        </w:tc>
        <w:tc>
          <w:tcPr>
            <w:tcW w:w="500" w:type="pct"/>
            <w:vAlign w:val="center"/>
          </w:tcPr>
          <w:p w14:paraId="6E935E50">
            <w:pPr>
              <w:pStyle w:val="278"/>
              <w:adjustRightInd w:val="0"/>
              <w:snapToGrid w:val="0"/>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0.0028</w:t>
            </w:r>
          </w:p>
        </w:tc>
        <w:tc>
          <w:tcPr>
            <w:tcW w:w="500" w:type="pct"/>
            <w:vAlign w:val="center"/>
          </w:tcPr>
          <w:p w14:paraId="26962357">
            <w:pPr>
              <w:pStyle w:val="278"/>
              <w:adjustRightInd w:val="0"/>
              <w:snapToGrid w:val="0"/>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0.03</w:t>
            </w:r>
          </w:p>
        </w:tc>
        <w:tc>
          <w:tcPr>
            <w:tcW w:w="500" w:type="pct"/>
            <w:vAlign w:val="center"/>
          </w:tcPr>
          <w:p w14:paraId="68D6993E">
            <w:pPr>
              <w:pStyle w:val="278"/>
              <w:adjustRightInd w:val="0"/>
              <w:snapToGrid w:val="0"/>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400</w:t>
            </w:r>
          </w:p>
        </w:tc>
        <w:tc>
          <w:tcPr>
            <w:tcW w:w="500" w:type="pct"/>
            <w:vAlign w:val="center"/>
          </w:tcPr>
          <w:p w14:paraId="0BC1DB29">
            <w:pPr>
              <w:pStyle w:val="278"/>
              <w:adjustRightInd w:val="0"/>
              <w:snapToGrid w:val="0"/>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31.764</w:t>
            </w:r>
          </w:p>
        </w:tc>
        <w:tc>
          <w:tcPr>
            <w:tcW w:w="500" w:type="pct"/>
            <w:vAlign w:val="center"/>
          </w:tcPr>
          <w:p w14:paraId="27015C22">
            <w:pPr>
              <w:pStyle w:val="278"/>
              <w:adjustRightInd w:val="0"/>
              <w:snapToGrid w:val="0"/>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1.59</w:t>
            </w:r>
          </w:p>
        </w:tc>
        <w:tc>
          <w:tcPr>
            <w:tcW w:w="500" w:type="pct"/>
            <w:vAlign w:val="center"/>
          </w:tcPr>
          <w:p w14:paraId="7A384C94">
            <w:pPr>
              <w:pStyle w:val="278"/>
              <w:adjustRightInd w:val="0"/>
              <w:snapToGrid w:val="0"/>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0.0084</w:t>
            </w:r>
          </w:p>
        </w:tc>
        <w:tc>
          <w:tcPr>
            <w:tcW w:w="500" w:type="pct"/>
            <w:vAlign w:val="center"/>
          </w:tcPr>
          <w:p w14:paraId="5CDECDDD">
            <w:pPr>
              <w:pStyle w:val="278"/>
              <w:adjustRightInd w:val="0"/>
              <w:snapToGrid w:val="0"/>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0.08</w:t>
            </w:r>
          </w:p>
        </w:tc>
      </w:tr>
      <w:tr w14:paraId="3EB1B99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00" w:type="pct"/>
            <w:vAlign w:val="center"/>
          </w:tcPr>
          <w:p w14:paraId="2A359AC8">
            <w:pPr>
              <w:pStyle w:val="278"/>
              <w:adjustRightInd w:val="0"/>
              <w:snapToGrid w:val="0"/>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500</w:t>
            </w:r>
          </w:p>
        </w:tc>
        <w:tc>
          <w:tcPr>
            <w:tcW w:w="500" w:type="pct"/>
            <w:vAlign w:val="center"/>
          </w:tcPr>
          <w:p w14:paraId="657FA1E0">
            <w:pPr>
              <w:pStyle w:val="278"/>
              <w:adjustRightInd w:val="0"/>
              <w:snapToGrid w:val="0"/>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8.9520</w:t>
            </w:r>
          </w:p>
        </w:tc>
        <w:tc>
          <w:tcPr>
            <w:tcW w:w="500" w:type="pct"/>
            <w:vAlign w:val="center"/>
          </w:tcPr>
          <w:p w14:paraId="6C72098E">
            <w:pPr>
              <w:pStyle w:val="278"/>
              <w:adjustRightInd w:val="0"/>
              <w:snapToGrid w:val="0"/>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0.45</w:t>
            </w:r>
          </w:p>
        </w:tc>
        <w:tc>
          <w:tcPr>
            <w:tcW w:w="500" w:type="pct"/>
            <w:vAlign w:val="center"/>
          </w:tcPr>
          <w:p w14:paraId="6DE57E1A">
            <w:pPr>
              <w:pStyle w:val="278"/>
              <w:adjustRightInd w:val="0"/>
              <w:snapToGrid w:val="0"/>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0.0024</w:t>
            </w:r>
          </w:p>
        </w:tc>
        <w:tc>
          <w:tcPr>
            <w:tcW w:w="500" w:type="pct"/>
            <w:vAlign w:val="center"/>
          </w:tcPr>
          <w:p w14:paraId="18238C7B">
            <w:pPr>
              <w:pStyle w:val="278"/>
              <w:adjustRightInd w:val="0"/>
              <w:snapToGrid w:val="0"/>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0.02</w:t>
            </w:r>
          </w:p>
        </w:tc>
        <w:tc>
          <w:tcPr>
            <w:tcW w:w="500" w:type="pct"/>
            <w:vAlign w:val="center"/>
          </w:tcPr>
          <w:p w14:paraId="26D106DA">
            <w:pPr>
              <w:pStyle w:val="278"/>
              <w:adjustRightInd w:val="0"/>
              <w:snapToGrid w:val="0"/>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500</w:t>
            </w:r>
          </w:p>
        </w:tc>
        <w:tc>
          <w:tcPr>
            <w:tcW w:w="500" w:type="pct"/>
            <w:vAlign w:val="center"/>
          </w:tcPr>
          <w:p w14:paraId="3C00AD91">
            <w:pPr>
              <w:pStyle w:val="278"/>
              <w:adjustRightInd w:val="0"/>
              <w:snapToGrid w:val="0"/>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29.610</w:t>
            </w:r>
          </w:p>
        </w:tc>
        <w:tc>
          <w:tcPr>
            <w:tcW w:w="500" w:type="pct"/>
            <w:vAlign w:val="center"/>
          </w:tcPr>
          <w:p w14:paraId="010F5B63">
            <w:pPr>
              <w:pStyle w:val="278"/>
              <w:adjustRightInd w:val="0"/>
              <w:snapToGrid w:val="0"/>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1.48</w:t>
            </w:r>
          </w:p>
        </w:tc>
        <w:tc>
          <w:tcPr>
            <w:tcW w:w="500" w:type="pct"/>
            <w:vAlign w:val="center"/>
          </w:tcPr>
          <w:p w14:paraId="453191EC">
            <w:pPr>
              <w:pStyle w:val="278"/>
              <w:adjustRightInd w:val="0"/>
              <w:snapToGrid w:val="0"/>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0.0078</w:t>
            </w:r>
          </w:p>
        </w:tc>
        <w:tc>
          <w:tcPr>
            <w:tcW w:w="500" w:type="pct"/>
            <w:vAlign w:val="center"/>
          </w:tcPr>
          <w:p w14:paraId="19B7E3FA">
            <w:pPr>
              <w:pStyle w:val="278"/>
              <w:adjustRightInd w:val="0"/>
              <w:snapToGrid w:val="0"/>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0.08</w:t>
            </w:r>
          </w:p>
        </w:tc>
      </w:tr>
      <w:tr w14:paraId="1B4EF23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00" w:type="pct"/>
            <w:vAlign w:val="center"/>
          </w:tcPr>
          <w:p w14:paraId="43290861">
            <w:pPr>
              <w:pStyle w:val="278"/>
              <w:adjustRightInd w:val="0"/>
              <w:snapToGrid w:val="0"/>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600</w:t>
            </w:r>
          </w:p>
        </w:tc>
        <w:tc>
          <w:tcPr>
            <w:tcW w:w="500" w:type="pct"/>
            <w:vAlign w:val="center"/>
          </w:tcPr>
          <w:p w14:paraId="18335220">
            <w:pPr>
              <w:pStyle w:val="278"/>
              <w:adjustRightInd w:val="0"/>
              <w:snapToGrid w:val="0"/>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7.8456</w:t>
            </w:r>
          </w:p>
        </w:tc>
        <w:tc>
          <w:tcPr>
            <w:tcW w:w="500" w:type="pct"/>
            <w:vAlign w:val="center"/>
          </w:tcPr>
          <w:p w14:paraId="03E243C9">
            <w:pPr>
              <w:pStyle w:val="278"/>
              <w:adjustRightInd w:val="0"/>
              <w:snapToGrid w:val="0"/>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0.39</w:t>
            </w:r>
          </w:p>
        </w:tc>
        <w:tc>
          <w:tcPr>
            <w:tcW w:w="500" w:type="pct"/>
            <w:vAlign w:val="center"/>
          </w:tcPr>
          <w:p w14:paraId="1A4F254D">
            <w:pPr>
              <w:pStyle w:val="278"/>
              <w:adjustRightInd w:val="0"/>
              <w:snapToGrid w:val="0"/>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0.0021</w:t>
            </w:r>
          </w:p>
        </w:tc>
        <w:tc>
          <w:tcPr>
            <w:tcW w:w="500" w:type="pct"/>
            <w:vAlign w:val="center"/>
          </w:tcPr>
          <w:p w14:paraId="6956C60C">
            <w:pPr>
              <w:pStyle w:val="278"/>
              <w:adjustRightInd w:val="0"/>
              <w:snapToGrid w:val="0"/>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0.02</w:t>
            </w:r>
          </w:p>
        </w:tc>
        <w:tc>
          <w:tcPr>
            <w:tcW w:w="500" w:type="pct"/>
            <w:vAlign w:val="center"/>
          </w:tcPr>
          <w:p w14:paraId="40F8BAB6">
            <w:pPr>
              <w:pStyle w:val="278"/>
              <w:adjustRightInd w:val="0"/>
              <w:snapToGrid w:val="0"/>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600</w:t>
            </w:r>
          </w:p>
        </w:tc>
        <w:tc>
          <w:tcPr>
            <w:tcW w:w="500" w:type="pct"/>
            <w:vAlign w:val="center"/>
          </w:tcPr>
          <w:p w14:paraId="211FB7BA">
            <w:pPr>
              <w:pStyle w:val="278"/>
              <w:adjustRightInd w:val="0"/>
              <w:snapToGrid w:val="0"/>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27.935</w:t>
            </w:r>
          </w:p>
        </w:tc>
        <w:tc>
          <w:tcPr>
            <w:tcW w:w="500" w:type="pct"/>
            <w:vAlign w:val="center"/>
          </w:tcPr>
          <w:p w14:paraId="58D82BB7">
            <w:pPr>
              <w:pStyle w:val="278"/>
              <w:adjustRightInd w:val="0"/>
              <w:snapToGrid w:val="0"/>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1.4</w:t>
            </w:r>
          </w:p>
        </w:tc>
        <w:tc>
          <w:tcPr>
            <w:tcW w:w="500" w:type="pct"/>
            <w:vAlign w:val="center"/>
          </w:tcPr>
          <w:p w14:paraId="781200D1">
            <w:pPr>
              <w:pStyle w:val="278"/>
              <w:adjustRightInd w:val="0"/>
              <w:snapToGrid w:val="0"/>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0.0073</w:t>
            </w:r>
          </w:p>
        </w:tc>
        <w:tc>
          <w:tcPr>
            <w:tcW w:w="500" w:type="pct"/>
            <w:vAlign w:val="center"/>
          </w:tcPr>
          <w:p w14:paraId="65B63CFF">
            <w:pPr>
              <w:pStyle w:val="278"/>
              <w:adjustRightInd w:val="0"/>
              <w:snapToGrid w:val="0"/>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0.07</w:t>
            </w:r>
          </w:p>
        </w:tc>
      </w:tr>
      <w:tr w14:paraId="7A48BD1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00" w:type="pct"/>
            <w:vAlign w:val="center"/>
          </w:tcPr>
          <w:p w14:paraId="3EAEA07D">
            <w:pPr>
              <w:pStyle w:val="278"/>
              <w:adjustRightInd w:val="0"/>
              <w:snapToGrid w:val="0"/>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700</w:t>
            </w:r>
          </w:p>
        </w:tc>
        <w:tc>
          <w:tcPr>
            <w:tcW w:w="500" w:type="pct"/>
            <w:vAlign w:val="center"/>
          </w:tcPr>
          <w:p w14:paraId="4C4FAEF4">
            <w:pPr>
              <w:pStyle w:val="278"/>
              <w:adjustRightInd w:val="0"/>
              <w:snapToGrid w:val="0"/>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6.9792</w:t>
            </w:r>
          </w:p>
        </w:tc>
        <w:tc>
          <w:tcPr>
            <w:tcW w:w="500" w:type="pct"/>
            <w:vAlign w:val="center"/>
          </w:tcPr>
          <w:p w14:paraId="27F7B4C9">
            <w:pPr>
              <w:pStyle w:val="278"/>
              <w:adjustRightInd w:val="0"/>
              <w:snapToGrid w:val="0"/>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0.35</w:t>
            </w:r>
          </w:p>
        </w:tc>
        <w:tc>
          <w:tcPr>
            <w:tcW w:w="500" w:type="pct"/>
            <w:vAlign w:val="center"/>
          </w:tcPr>
          <w:p w14:paraId="64DF5D4E">
            <w:pPr>
              <w:pStyle w:val="278"/>
              <w:adjustRightInd w:val="0"/>
              <w:snapToGrid w:val="0"/>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0.0018</w:t>
            </w:r>
          </w:p>
        </w:tc>
        <w:tc>
          <w:tcPr>
            <w:tcW w:w="500" w:type="pct"/>
            <w:vAlign w:val="center"/>
          </w:tcPr>
          <w:p w14:paraId="680B74D1">
            <w:pPr>
              <w:pStyle w:val="278"/>
              <w:adjustRightInd w:val="0"/>
              <w:snapToGrid w:val="0"/>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0.02</w:t>
            </w:r>
          </w:p>
        </w:tc>
        <w:tc>
          <w:tcPr>
            <w:tcW w:w="500" w:type="pct"/>
            <w:vAlign w:val="center"/>
          </w:tcPr>
          <w:p w14:paraId="1A8D5CF4">
            <w:pPr>
              <w:pStyle w:val="278"/>
              <w:adjustRightInd w:val="0"/>
              <w:snapToGrid w:val="0"/>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700</w:t>
            </w:r>
          </w:p>
        </w:tc>
        <w:tc>
          <w:tcPr>
            <w:tcW w:w="500" w:type="pct"/>
            <w:vAlign w:val="center"/>
          </w:tcPr>
          <w:p w14:paraId="3C33CD1D">
            <w:pPr>
              <w:pStyle w:val="278"/>
              <w:adjustRightInd w:val="0"/>
              <w:snapToGrid w:val="0"/>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26.497</w:t>
            </w:r>
          </w:p>
        </w:tc>
        <w:tc>
          <w:tcPr>
            <w:tcW w:w="500" w:type="pct"/>
            <w:vAlign w:val="center"/>
          </w:tcPr>
          <w:p w14:paraId="2A50AE86">
            <w:pPr>
              <w:pStyle w:val="278"/>
              <w:adjustRightInd w:val="0"/>
              <w:snapToGrid w:val="0"/>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1.32</w:t>
            </w:r>
          </w:p>
        </w:tc>
        <w:tc>
          <w:tcPr>
            <w:tcW w:w="500" w:type="pct"/>
            <w:vAlign w:val="center"/>
          </w:tcPr>
          <w:p w14:paraId="74440E1D">
            <w:pPr>
              <w:pStyle w:val="278"/>
              <w:adjustRightInd w:val="0"/>
              <w:snapToGrid w:val="0"/>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0.0070</w:t>
            </w:r>
          </w:p>
        </w:tc>
        <w:tc>
          <w:tcPr>
            <w:tcW w:w="500" w:type="pct"/>
            <w:vAlign w:val="center"/>
          </w:tcPr>
          <w:p w14:paraId="71DE5AA7">
            <w:pPr>
              <w:pStyle w:val="278"/>
              <w:adjustRightInd w:val="0"/>
              <w:snapToGrid w:val="0"/>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0.07</w:t>
            </w:r>
          </w:p>
        </w:tc>
      </w:tr>
      <w:tr w14:paraId="1CDC71A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00" w:type="pct"/>
            <w:vAlign w:val="center"/>
          </w:tcPr>
          <w:p w14:paraId="538A0D84">
            <w:pPr>
              <w:pStyle w:val="278"/>
              <w:adjustRightInd w:val="0"/>
              <w:snapToGrid w:val="0"/>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800</w:t>
            </w:r>
          </w:p>
        </w:tc>
        <w:tc>
          <w:tcPr>
            <w:tcW w:w="500" w:type="pct"/>
            <w:vAlign w:val="center"/>
          </w:tcPr>
          <w:p w14:paraId="723560C9">
            <w:pPr>
              <w:pStyle w:val="278"/>
              <w:adjustRightInd w:val="0"/>
              <w:snapToGrid w:val="0"/>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6.2779</w:t>
            </w:r>
          </w:p>
        </w:tc>
        <w:tc>
          <w:tcPr>
            <w:tcW w:w="500" w:type="pct"/>
            <w:vAlign w:val="center"/>
          </w:tcPr>
          <w:p w14:paraId="04CEE513">
            <w:pPr>
              <w:pStyle w:val="278"/>
              <w:adjustRightInd w:val="0"/>
              <w:snapToGrid w:val="0"/>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0.31</w:t>
            </w:r>
          </w:p>
        </w:tc>
        <w:tc>
          <w:tcPr>
            <w:tcW w:w="500" w:type="pct"/>
            <w:vAlign w:val="center"/>
          </w:tcPr>
          <w:p w14:paraId="1036CCAB">
            <w:pPr>
              <w:pStyle w:val="278"/>
              <w:adjustRightInd w:val="0"/>
              <w:snapToGrid w:val="0"/>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0.0017</w:t>
            </w:r>
          </w:p>
        </w:tc>
        <w:tc>
          <w:tcPr>
            <w:tcW w:w="500" w:type="pct"/>
            <w:vAlign w:val="center"/>
          </w:tcPr>
          <w:p w14:paraId="21566988">
            <w:pPr>
              <w:pStyle w:val="278"/>
              <w:adjustRightInd w:val="0"/>
              <w:snapToGrid w:val="0"/>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0.02</w:t>
            </w:r>
          </w:p>
        </w:tc>
        <w:tc>
          <w:tcPr>
            <w:tcW w:w="500" w:type="pct"/>
            <w:vAlign w:val="center"/>
          </w:tcPr>
          <w:p w14:paraId="0B1B3CBC">
            <w:pPr>
              <w:pStyle w:val="278"/>
              <w:adjustRightInd w:val="0"/>
              <w:snapToGrid w:val="0"/>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800</w:t>
            </w:r>
          </w:p>
        </w:tc>
        <w:tc>
          <w:tcPr>
            <w:tcW w:w="500" w:type="pct"/>
            <w:vAlign w:val="center"/>
          </w:tcPr>
          <w:p w14:paraId="2EF59FDC">
            <w:pPr>
              <w:pStyle w:val="278"/>
              <w:adjustRightInd w:val="0"/>
              <w:snapToGrid w:val="0"/>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25.255</w:t>
            </w:r>
          </w:p>
        </w:tc>
        <w:tc>
          <w:tcPr>
            <w:tcW w:w="500" w:type="pct"/>
            <w:vAlign w:val="center"/>
          </w:tcPr>
          <w:p w14:paraId="2002912B">
            <w:pPr>
              <w:pStyle w:val="278"/>
              <w:adjustRightInd w:val="0"/>
              <w:snapToGrid w:val="0"/>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1.26</w:t>
            </w:r>
          </w:p>
        </w:tc>
        <w:tc>
          <w:tcPr>
            <w:tcW w:w="500" w:type="pct"/>
            <w:vAlign w:val="center"/>
          </w:tcPr>
          <w:p w14:paraId="1D87D4B9">
            <w:pPr>
              <w:pStyle w:val="278"/>
              <w:adjustRightInd w:val="0"/>
              <w:snapToGrid w:val="0"/>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0.0066</w:t>
            </w:r>
          </w:p>
        </w:tc>
        <w:tc>
          <w:tcPr>
            <w:tcW w:w="500" w:type="pct"/>
            <w:vAlign w:val="center"/>
          </w:tcPr>
          <w:p w14:paraId="7EF87639">
            <w:pPr>
              <w:pStyle w:val="278"/>
              <w:adjustRightInd w:val="0"/>
              <w:snapToGrid w:val="0"/>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0.07</w:t>
            </w:r>
          </w:p>
        </w:tc>
      </w:tr>
      <w:tr w14:paraId="3F2F1EA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00" w:type="pct"/>
            <w:vAlign w:val="center"/>
          </w:tcPr>
          <w:p w14:paraId="5001D52F">
            <w:pPr>
              <w:pStyle w:val="278"/>
              <w:adjustRightInd w:val="0"/>
              <w:snapToGrid w:val="0"/>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900</w:t>
            </w:r>
          </w:p>
        </w:tc>
        <w:tc>
          <w:tcPr>
            <w:tcW w:w="500" w:type="pct"/>
            <w:vAlign w:val="center"/>
          </w:tcPr>
          <w:p w14:paraId="715C5605">
            <w:pPr>
              <w:pStyle w:val="278"/>
              <w:adjustRightInd w:val="0"/>
              <w:snapToGrid w:val="0"/>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5.7076</w:t>
            </w:r>
          </w:p>
        </w:tc>
        <w:tc>
          <w:tcPr>
            <w:tcW w:w="500" w:type="pct"/>
            <w:vAlign w:val="center"/>
          </w:tcPr>
          <w:p w14:paraId="7E5CF7DF">
            <w:pPr>
              <w:pStyle w:val="278"/>
              <w:adjustRightInd w:val="0"/>
              <w:snapToGrid w:val="0"/>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0.29</w:t>
            </w:r>
          </w:p>
        </w:tc>
        <w:tc>
          <w:tcPr>
            <w:tcW w:w="500" w:type="pct"/>
            <w:vAlign w:val="center"/>
          </w:tcPr>
          <w:p w14:paraId="4F9E222B">
            <w:pPr>
              <w:pStyle w:val="278"/>
              <w:adjustRightInd w:val="0"/>
              <w:snapToGrid w:val="0"/>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0.0015</w:t>
            </w:r>
          </w:p>
        </w:tc>
        <w:tc>
          <w:tcPr>
            <w:tcW w:w="500" w:type="pct"/>
            <w:vAlign w:val="center"/>
          </w:tcPr>
          <w:p w14:paraId="0091A4B7">
            <w:pPr>
              <w:pStyle w:val="278"/>
              <w:adjustRightInd w:val="0"/>
              <w:snapToGrid w:val="0"/>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0.02</w:t>
            </w:r>
          </w:p>
        </w:tc>
        <w:tc>
          <w:tcPr>
            <w:tcW w:w="500" w:type="pct"/>
            <w:vAlign w:val="center"/>
          </w:tcPr>
          <w:p w14:paraId="6E68B2D4">
            <w:pPr>
              <w:pStyle w:val="278"/>
              <w:adjustRightInd w:val="0"/>
              <w:snapToGrid w:val="0"/>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900</w:t>
            </w:r>
          </w:p>
        </w:tc>
        <w:tc>
          <w:tcPr>
            <w:tcW w:w="500" w:type="pct"/>
            <w:vAlign w:val="center"/>
          </w:tcPr>
          <w:p w14:paraId="41A1719E">
            <w:pPr>
              <w:pStyle w:val="278"/>
              <w:adjustRightInd w:val="0"/>
              <w:snapToGrid w:val="0"/>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24.153</w:t>
            </w:r>
          </w:p>
        </w:tc>
        <w:tc>
          <w:tcPr>
            <w:tcW w:w="500" w:type="pct"/>
            <w:vAlign w:val="center"/>
          </w:tcPr>
          <w:p w14:paraId="6990907D">
            <w:pPr>
              <w:pStyle w:val="278"/>
              <w:adjustRightInd w:val="0"/>
              <w:snapToGrid w:val="0"/>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1.21</w:t>
            </w:r>
          </w:p>
        </w:tc>
        <w:tc>
          <w:tcPr>
            <w:tcW w:w="500" w:type="pct"/>
            <w:vAlign w:val="center"/>
          </w:tcPr>
          <w:p w14:paraId="6A04004C">
            <w:pPr>
              <w:pStyle w:val="278"/>
              <w:adjustRightInd w:val="0"/>
              <w:snapToGrid w:val="0"/>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0.0064</w:t>
            </w:r>
          </w:p>
        </w:tc>
        <w:tc>
          <w:tcPr>
            <w:tcW w:w="500" w:type="pct"/>
            <w:vAlign w:val="center"/>
          </w:tcPr>
          <w:p w14:paraId="368C4B3C">
            <w:pPr>
              <w:pStyle w:val="278"/>
              <w:adjustRightInd w:val="0"/>
              <w:snapToGrid w:val="0"/>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0.06</w:t>
            </w:r>
          </w:p>
        </w:tc>
      </w:tr>
      <w:tr w14:paraId="2E7EBED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00" w:type="pct"/>
            <w:vAlign w:val="center"/>
          </w:tcPr>
          <w:p w14:paraId="0DB7CF0D">
            <w:pPr>
              <w:pStyle w:val="278"/>
              <w:adjustRightInd w:val="0"/>
              <w:snapToGrid w:val="0"/>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1000</w:t>
            </w:r>
          </w:p>
        </w:tc>
        <w:tc>
          <w:tcPr>
            <w:tcW w:w="500" w:type="pct"/>
            <w:vAlign w:val="center"/>
          </w:tcPr>
          <w:p w14:paraId="5F8EEC27">
            <w:pPr>
              <w:pStyle w:val="278"/>
              <w:adjustRightInd w:val="0"/>
              <w:snapToGrid w:val="0"/>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5.2213</w:t>
            </w:r>
          </w:p>
        </w:tc>
        <w:tc>
          <w:tcPr>
            <w:tcW w:w="500" w:type="pct"/>
            <w:vAlign w:val="center"/>
          </w:tcPr>
          <w:p w14:paraId="09068A7C">
            <w:pPr>
              <w:pStyle w:val="278"/>
              <w:adjustRightInd w:val="0"/>
              <w:snapToGrid w:val="0"/>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0.26</w:t>
            </w:r>
          </w:p>
        </w:tc>
        <w:tc>
          <w:tcPr>
            <w:tcW w:w="500" w:type="pct"/>
            <w:vAlign w:val="center"/>
          </w:tcPr>
          <w:p w14:paraId="5AFB6341">
            <w:pPr>
              <w:pStyle w:val="278"/>
              <w:adjustRightInd w:val="0"/>
              <w:snapToGrid w:val="0"/>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0.0014</w:t>
            </w:r>
          </w:p>
        </w:tc>
        <w:tc>
          <w:tcPr>
            <w:tcW w:w="500" w:type="pct"/>
            <w:vAlign w:val="center"/>
          </w:tcPr>
          <w:p w14:paraId="791B94E5">
            <w:pPr>
              <w:pStyle w:val="278"/>
              <w:adjustRightInd w:val="0"/>
              <w:snapToGrid w:val="0"/>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0.01</w:t>
            </w:r>
          </w:p>
        </w:tc>
        <w:tc>
          <w:tcPr>
            <w:tcW w:w="500" w:type="pct"/>
            <w:vAlign w:val="center"/>
          </w:tcPr>
          <w:p w14:paraId="322BFEB1">
            <w:pPr>
              <w:pStyle w:val="278"/>
              <w:adjustRightInd w:val="0"/>
              <w:snapToGrid w:val="0"/>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1000</w:t>
            </w:r>
          </w:p>
        </w:tc>
        <w:tc>
          <w:tcPr>
            <w:tcW w:w="500" w:type="pct"/>
            <w:vAlign w:val="center"/>
          </w:tcPr>
          <w:p w14:paraId="5CD69C8C">
            <w:pPr>
              <w:pStyle w:val="278"/>
              <w:adjustRightInd w:val="0"/>
              <w:snapToGrid w:val="0"/>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23.161</w:t>
            </w:r>
          </w:p>
        </w:tc>
        <w:tc>
          <w:tcPr>
            <w:tcW w:w="500" w:type="pct"/>
            <w:vAlign w:val="center"/>
          </w:tcPr>
          <w:p w14:paraId="3040954E">
            <w:pPr>
              <w:pStyle w:val="278"/>
              <w:adjustRightInd w:val="0"/>
              <w:snapToGrid w:val="0"/>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1.16</w:t>
            </w:r>
          </w:p>
        </w:tc>
        <w:tc>
          <w:tcPr>
            <w:tcW w:w="500" w:type="pct"/>
            <w:vAlign w:val="center"/>
          </w:tcPr>
          <w:p w14:paraId="38ACA123">
            <w:pPr>
              <w:pStyle w:val="278"/>
              <w:adjustRightInd w:val="0"/>
              <w:snapToGrid w:val="0"/>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0.0061</w:t>
            </w:r>
          </w:p>
        </w:tc>
        <w:tc>
          <w:tcPr>
            <w:tcW w:w="500" w:type="pct"/>
            <w:vAlign w:val="center"/>
          </w:tcPr>
          <w:p w14:paraId="51AE8059">
            <w:pPr>
              <w:pStyle w:val="278"/>
              <w:adjustRightInd w:val="0"/>
              <w:snapToGrid w:val="0"/>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0.06</w:t>
            </w:r>
          </w:p>
        </w:tc>
      </w:tr>
      <w:tr w14:paraId="2A049C6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00" w:type="pct"/>
            <w:vAlign w:val="center"/>
          </w:tcPr>
          <w:p w14:paraId="4F6CC04F">
            <w:pPr>
              <w:pStyle w:val="278"/>
              <w:adjustRightInd w:val="0"/>
              <w:snapToGrid w:val="0"/>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1100</w:t>
            </w:r>
          </w:p>
        </w:tc>
        <w:tc>
          <w:tcPr>
            <w:tcW w:w="500" w:type="pct"/>
            <w:vAlign w:val="center"/>
          </w:tcPr>
          <w:p w14:paraId="1A1A6DFE">
            <w:pPr>
              <w:pStyle w:val="278"/>
              <w:adjustRightInd w:val="0"/>
              <w:snapToGrid w:val="0"/>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4.8028</w:t>
            </w:r>
          </w:p>
        </w:tc>
        <w:tc>
          <w:tcPr>
            <w:tcW w:w="500" w:type="pct"/>
            <w:vAlign w:val="center"/>
          </w:tcPr>
          <w:p w14:paraId="02FA7435">
            <w:pPr>
              <w:pStyle w:val="278"/>
              <w:adjustRightInd w:val="0"/>
              <w:snapToGrid w:val="0"/>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0.24</w:t>
            </w:r>
          </w:p>
        </w:tc>
        <w:tc>
          <w:tcPr>
            <w:tcW w:w="500" w:type="pct"/>
            <w:vAlign w:val="center"/>
          </w:tcPr>
          <w:p w14:paraId="5D48BAF1">
            <w:pPr>
              <w:pStyle w:val="278"/>
              <w:adjustRightInd w:val="0"/>
              <w:snapToGrid w:val="0"/>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0.0013</w:t>
            </w:r>
          </w:p>
        </w:tc>
        <w:tc>
          <w:tcPr>
            <w:tcW w:w="500" w:type="pct"/>
            <w:vAlign w:val="center"/>
          </w:tcPr>
          <w:p w14:paraId="4A389767">
            <w:pPr>
              <w:pStyle w:val="278"/>
              <w:adjustRightInd w:val="0"/>
              <w:snapToGrid w:val="0"/>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0.01</w:t>
            </w:r>
          </w:p>
        </w:tc>
        <w:tc>
          <w:tcPr>
            <w:tcW w:w="500" w:type="pct"/>
            <w:vAlign w:val="center"/>
          </w:tcPr>
          <w:p w14:paraId="781531D1">
            <w:pPr>
              <w:pStyle w:val="278"/>
              <w:adjustRightInd w:val="0"/>
              <w:snapToGrid w:val="0"/>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1100</w:t>
            </w:r>
          </w:p>
        </w:tc>
        <w:tc>
          <w:tcPr>
            <w:tcW w:w="500" w:type="pct"/>
            <w:vAlign w:val="center"/>
          </w:tcPr>
          <w:p w14:paraId="6025123D">
            <w:pPr>
              <w:pStyle w:val="278"/>
              <w:adjustRightInd w:val="0"/>
              <w:snapToGrid w:val="0"/>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22.232</w:t>
            </w:r>
          </w:p>
        </w:tc>
        <w:tc>
          <w:tcPr>
            <w:tcW w:w="500" w:type="pct"/>
            <w:vAlign w:val="center"/>
          </w:tcPr>
          <w:p w14:paraId="09399CFC">
            <w:pPr>
              <w:pStyle w:val="278"/>
              <w:adjustRightInd w:val="0"/>
              <w:snapToGrid w:val="0"/>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1.11</w:t>
            </w:r>
          </w:p>
        </w:tc>
        <w:tc>
          <w:tcPr>
            <w:tcW w:w="500" w:type="pct"/>
            <w:vAlign w:val="center"/>
          </w:tcPr>
          <w:p w14:paraId="02481577">
            <w:pPr>
              <w:pStyle w:val="278"/>
              <w:adjustRightInd w:val="0"/>
              <w:snapToGrid w:val="0"/>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0.0058</w:t>
            </w:r>
          </w:p>
        </w:tc>
        <w:tc>
          <w:tcPr>
            <w:tcW w:w="500" w:type="pct"/>
            <w:vAlign w:val="center"/>
          </w:tcPr>
          <w:p w14:paraId="226C2643">
            <w:pPr>
              <w:pStyle w:val="278"/>
              <w:adjustRightInd w:val="0"/>
              <w:snapToGrid w:val="0"/>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0.06</w:t>
            </w:r>
          </w:p>
        </w:tc>
      </w:tr>
      <w:tr w14:paraId="3939159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00" w:type="pct"/>
            <w:vAlign w:val="center"/>
          </w:tcPr>
          <w:p w14:paraId="0DEFFD06">
            <w:pPr>
              <w:pStyle w:val="278"/>
              <w:adjustRightInd w:val="0"/>
              <w:snapToGrid w:val="0"/>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1200</w:t>
            </w:r>
          </w:p>
        </w:tc>
        <w:tc>
          <w:tcPr>
            <w:tcW w:w="500" w:type="pct"/>
            <w:vAlign w:val="center"/>
          </w:tcPr>
          <w:p w14:paraId="4ACA831B">
            <w:pPr>
              <w:pStyle w:val="278"/>
              <w:adjustRightInd w:val="0"/>
              <w:snapToGrid w:val="0"/>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4.4394</w:t>
            </w:r>
          </w:p>
        </w:tc>
        <w:tc>
          <w:tcPr>
            <w:tcW w:w="500" w:type="pct"/>
            <w:vAlign w:val="center"/>
          </w:tcPr>
          <w:p w14:paraId="561477ED">
            <w:pPr>
              <w:pStyle w:val="278"/>
              <w:adjustRightInd w:val="0"/>
              <w:snapToGrid w:val="0"/>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0.22</w:t>
            </w:r>
          </w:p>
        </w:tc>
        <w:tc>
          <w:tcPr>
            <w:tcW w:w="500" w:type="pct"/>
            <w:vAlign w:val="center"/>
          </w:tcPr>
          <w:p w14:paraId="6A49A61F">
            <w:pPr>
              <w:pStyle w:val="278"/>
              <w:adjustRightInd w:val="0"/>
              <w:snapToGrid w:val="0"/>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0.0012</w:t>
            </w:r>
          </w:p>
        </w:tc>
        <w:tc>
          <w:tcPr>
            <w:tcW w:w="500" w:type="pct"/>
            <w:vAlign w:val="center"/>
          </w:tcPr>
          <w:p w14:paraId="2676EA1A">
            <w:pPr>
              <w:pStyle w:val="278"/>
              <w:adjustRightInd w:val="0"/>
              <w:snapToGrid w:val="0"/>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0.01</w:t>
            </w:r>
          </w:p>
        </w:tc>
        <w:tc>
          <w:tcPr>
            <w:tcW w:w="500" w:type="pct"/>
            <w:vAlign w:val="center"/>
          </w:tcPr>
          <w:p w14:paraId="3AFF9E12">
            <w:pPr>
              <w:pStyle w:val="278"/>
              <w:adjustRightInd w:val="0"/>
              <w:snapToGrid w:val="0"/>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1200</w:t>
            </w:r>
          </w:p>
        </w:tc>
        <w:tc>
          <w:tcPr>
            <w:tcW w:w="500" w:type="pct"/>
            <w:vAlign w:val="center"/>
          </w:tcPr>
          <w:p w14:paraId="7B5FDBF9">
            <w:pPr>
              <w:pStyle w:val="278"/>
              <w:adjustRightInd w:val="0"/>
              <w:snapToGrid w:val="0"/>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21.487</w:t>
            </w:r>
          </w:p>
        </w:tc>
        <w:tc>
          <w:tcPr>
            <w:tcW w:w="500" w:type="pct"/>
            <w:vAlign w:val="center"/>
          </w:tcPr>
          <w:p w14:paraId="2786CB95">
            <w:pPr>
              <w:pStyle w:val="278"/>
              <w:adjustRightInd w:val="0"/>
              <w:snapToGrid w:val="0"/>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1.07</w:t>
            </w:r>
          </w:p>
        </w:tc>
        <w:tc>
          <w:tcPr>
            <w:tcW w:w="500" w:type="pct"/>
            <w:vAlign w:val="center"/>
          </w:tcPr>
          <w:p w14:paraId="793CCACC">
            <w:pPr>
              <w:pStyle w:val="278"/>
              <w:adjustRightInd w:val="0"/>
              <w:snapToGrid w:val="0"/>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0.0057</w:t>
            </w:r>
          </w:p>
        </w:tc>
        <w:tc>
          <w:tcPr>
            <w:tcW w:w="500" w:type="pct"/>
            <w:vAlign w:val="center"/>
          </w:tcPr>
          <w:p w14:paraId="2C3CF2BD">
            <w:pPr>
              <w:pStyle w:val="278"/>
              <w:adjustRightInd w:val="0"/>
              <w:snapToGrid w:val="0"/>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0.06</w:t>
            </w:r>
          </w:p>
        </w:tc>
      </w:tr>
      <w:tr w14:paraId="35B0843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00" w:type="pct"/>
            <w:vAlign w:val="center"/>
          </w:tcPr>
          <w:p w14:paraId="5DFE7FB9">
            <w:pPr>
              <w:pStyle w:val="278"/>
              <w:adjustRightInd w:val="0"/>
              <w:snapToGrid w:val="0"/>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1300</w:t>
            </w:r>
          </w:p>
        </w:tc>
        <w:tc>
          <w:tcPr>
            <w:tcW w:w="500" w:type="pct"/>
            <w:vAlign w:val="center"/>
          </w:tcPr>
          <w:p w14:paraId="0776C0B1">
            <w:pPr>
              <w:pStyle w:val="278"/>
              <w:adjustRightInd w:val="0"/>
              <w:snapToGrid w:val="0"/>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4.1752</w:t>
            </w:r>
          </w:p>
        </w:tc>
        <w:tc>
          <w:tcPr>
            <w:tcW w:w="500" w:type="pct"/>
            <w:vAlign w:val="center"/>
          </w:tcPr>
          <w:p w14:paraId="71CAE9AA">
            <w:pPr>
              <w:pStyle w:val="278"/>
              <w:adjustRightInd w:val="0"/>
              <w:snapToGrid w:val="0"/>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0.21</w:t>
            </w:r>
          </w:p>
        </w:tc>
        <w:tc>
          <w:tcPr>
            <w:tcW w:w="500" w:type="pct"/>
            <w:vAlign w:val="center"/>
          </w:tcPr>
          <w:p w14:paraId="107314C6">
            <w:pPr>
              <w:pStyle w:val="278"/>
              <w:adjustRightInd w:val="0"/>
              <w:snapToGrid w:val="0"/>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0.0011</w:t>
            </w:r>
          </w:p>
        </w:tc>
        <w:tc>
          <w:tcPr>
            <w:tcW w:w="500" w:type="pct"/>
            <w:vAlign w:val="center"/>
          </w:tcPr>
          <w:p w14:paraId="29F0A6B4">
            <w:pPr>
              <w:pStyle w:val="278"/>
              <w:adjustRightInd w:val="0"/>
              <w:snapToGrid w:val="0"/>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0.01</w:t>
            </w:r>
          </w:p>
        </w:tc>
        <w:tc>
          <w:tcPr>
            <w:tcW w:w="500" w:type="pct"/>
            <w:vAlign w:val="center"/>
          </w:tcPr>
          <w:p w14:paraId="103818C4">
            <w:pPr>
              <w:pStyle w:val="278"/>
              <w:adjustRightInd w:val="0"/>
              <w:snapToGrid w:val="0"/>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1300</w:t>
            </w:r>
          </w:p>
        </w:tc>
        <w:tc>
          <w:tcPr>
            <w:tcW w:w="500" w:type="pct"/>
            <w:vAlign w:val="center"/>
          </w:tcPr>
          <w:p w14:paraId="531AD4B8">
            <w:pPr>
              <w:pStyle w:val="278"/>
              <w:adjustRightInd w:val="0"/>
              <w:snapToGrid w:val="0"/>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20.675</w:t>
            </w:r>
          </w:p>
        </w:tc>
        <w:tc>
          <w:tcPr>
            <w:tcW w:w="500" w:type="pct"/>
            <w:vAlign w:val="center"/>
          </w:tcPr>
          <w:p w14:paraId="475F758E">
            <w:pPr>
              <w:pStyle w:val="278"/>
              <w:adjustRightInd w:val="0"/>
              <w:snapToGrid w:val="0"/>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1.03</w:t>
            </w:r>
          </w:p>
        </w:tc>
        <w:tc>
          <w:tcPr>
            <w:tcW w:w="500" w:type="pct"/>
            <w:vAlign w:val="center"/>
          </w:tcPr>
          <w:p w14:paraId="342D92D7">
            <w:pPr>
              <w:pStyle w:val="278"/>
              <w:adjustRightInd w:val="0"/>
              <w:snapToGrid w:val="0"/>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0.0054</w:t>
            </w:r>
          </w:p>
        </w:tc>
        <w:tc>
          <w:tcPr>
            <w:tcW w:w="500" w:type="pct"/>
            <w:vAlign w:val="center"/>
          </w:tcPr>
          <w:p w14:paraId="53671C2B">
            <w:pPr>
              <w:pStyle w:val="278"/>
              <w:adjustRightInd w:val="0"/>
              <w:snapToGrid w:val="0"/>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0.05</w:t>
            </w:r>
          </w:p>
        </w:tc>
      </w:tr>
      <w:tr w14:paraId="2711638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00" w:type="pct"/>
            <w:vAlign w:val="center"/>
          </w:tcPr>
          <w:p w14:paraId="4FCC658E">
            <w:pPr>
              <w:pStyle w:val="278"/>
              <w:adjustRightInd w:val="0"/>
              <w:snapToGrid w:val="0"/>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1400</w:t>
            </w:r>
          </w:p>
        </w:tc>
        <w:tc>
          <w:tcPr>
            <w:tcW w:w="500" w:type="pct"/>
            <w:vAlign w:val="center"/>
          </w:tcPr>
          <w:p w14:paraId="6F60C7EF">
            <w:pPr>
              <w:pStyle w:val="278"/>
              <w:adjustRightInd w:val="0"/>
              <w:snapToGrid w:val="0"/>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3.9671</w:t>
            </w:r>
          </w:p>
        </w:tc>
        <w:tc>
          <w:tcPr>
            <w:tcW w:w="500" w:type="pct"/>
            <w:vAlign w:val="center"/>
          </w:tcPr>
          <w:p w14:paraId="6EE3035F">
            <w:pPr>
              <w:pStyle w:val="278"/>
              <w:adjustRightInd w:val="0"/>
              <w:snapToGrid w:val="0"/>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0.2</w:t>
            </w:r>
          </w:p>
        </w:tc>
        <w:tc>
          <w:tcPr>
            <w:tcW w:w="500" w:type="pct"/>
            <w:vAlign w:val="center"/>
          </w:tcPr>
          <w:p w14:paraId="160554EA">
            <w:pPr>
              <w:pStyle w:val="278"/>
              <w:adjustRightInd w:val="0"/>
              <w:snapToGrid w:val="0"/>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0.0011</w:t>
            </w:r>
          </w:p>
        </w:tc>
        <w:tc>
          <w:tcPr>
            <w:tcW w:w="500" w:type="pct"/>
            <w:vAlign w:val="center"/>
          </w:tcPr>
          <w:p w14:paraId="65976328">
            <w:pPr>
              <w:pStyle w:val="278"/>
              <w:adjustRightInd w:val="0"/>
              <w:snapToGrid w:val="0"/>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0.01</w:t>
            </w:r>
          </w:p>
        </w:tc>
        <w:tc>
          <w:tcPr>
            <w:tcW w:w="500" w:type="pct"/>
            <w:vAlign w:val="center"/>
          </w:tcPr>
          <w:p w14:paraId="7BC3E0AD">
            <w:pPr>
              <w:pStyle w:val="278"/>
              <w:adjustRightInd w:val="0"/>
              <w:snapToGrid w:val="0"/>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1400</w:t>
            </w:r>
          </w:p>
        </w:tc>
        <w:tc>
          <w:tcPr>
            <w:tcW w:w="500" w:type="pct"/>
            <w:vAlign w:val="center"/>
          </w:tcPr>
          <w:p w14:paraId="248F4350">
            <w:pPr>
              <w:pStyle w:val="278"/>
              <w:adjustRightInd w:val="0"/>
              <w:snapToGrid w:val="0"/>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19.920</w:t>
            </w:r>
          </w:p>
        </w:tc>
        <w:tc>
          <w:tcPr>
            <w:tcW w:w="500" w:type="pct"/>
            <w:vAlign w:val="center"/>
          </w:tcPr>
          <w:p w14:paraId="27160E49">
            <w:pPr>
              <w:pStyle w:val="278"/>
              <w:adjustRightInd w:val="0"/>
              <w:snapToGrid w:val="0"/>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1</w:t>
            </w:r>
          </w:p>
        </w:tc>
        <w:tc>
          <w:tcPr>
            <w:tcW w:w="500" w:type="pct"/>
            <w:vAlign w:val="center"/>
          </w:tcPr>
          <w:p w14:paraId="142EBF2B">
            <w:pPr>
              <w:pStyle w:val="278"/>
              <w:adjustRightInd w:val="0"/>
              <w:snapToGrid w:val="0"/>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0.0052</w:t>
            </w:r>
          </w:p>
        </w:tc>
        <w:tc>
          <w:tcPr>
            <w:tcW w:w="500" w:type="pct"/>
            <w:vAlign w:val="center"/>
          </w:tcPr>
          <w:p w14:paraId="60689462">
            <w:pPr>
              <w:pStyle w:val="278"/>
              <w:adjustRightInd w:val="0"/>
              <w:snapToGrid w:val="0"/>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0.05</w:t>
            </w:r>
          </w:p>
        </w:tc>
      </w:tr>
      <w:tr w14:paraId="3AC7CC4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00" w:type="pct"/>
            <w:vAlign w:val="center"/>
          </w:tcPr>
          <w:p w14:paraId="6124B392">
            <w:pPr>
              <w:pStyle w:val="278"/>
              <w:adjustRightInd w:val="0"/>
              <w:snapToGrid w:val="0"/>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1500</w:t>
            </w:r>
          </w:p>
        </w:tc>
        <w:tc>
          <w:tcPr>
            <w:tcW w:w="500" w:type="pct"/>
            <w:vAlign w:val="center"/>
          </w:tcPr>
          <w:p w14:paraId="5809CD57">
            <w:pPr>
              <w:pStyle w:val="278"/>
              <w:adjustRightInd w:val="0"/>
              <w:snapToGrid w:val="0"/>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3.7760</w:t>
            </w:r>
          </w:p>
        </w:tc>
        <w:tc>
          <w:tcPr>
            <w:tcW w:w="500" w:type="pct"/>
            <w:vAlign w:val="center"/>
          </w:tcPr>
          <w:p w14:paraId="0B1772A0">
            <w:pPr>
              <w:pStyle w:val="278"/>
              <w:adjustRightInd w:val="0"/>
              <w:snapToGrid w:val="0"/>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0.19</w:t>
            </w:r>
          </w:p>
        </w:tc>
        <w:tc>
          <w:tcPr>
            <w:tcW w:w="500" w:type="pct"/>
            <w:vAlign w:val="center"/>
          </w:tcPr>
          <w:p w14:paraId="1D952CCF">
            <w:pPr>
              <w:pStyle w:val="278"/>
              <w:adjustRightInd w:val="0"/>
              <w:snapToGrid w:val="0"/>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0.0010</w:t>
            </w:r>
          </w:p>
        </w:tc>
        <w:tc>
          <w:tcPr>
            <w:tcW w:w="500" w:type="pct"/>
            <w:vAlign w:val="center"/>
          </w:tcPr>
          <w:p w14:paraId="7EE4BC04">
            <w:pPr>
              <w:pStyle w:val="278"/>
              <w:adjustRightInd w:val="0"/>
              <w:snapToGrid w:val="0"/>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0.01</w:t>
            </w:r>
          </w:p>
        </w:tc>
        <w:tc>
          <w:tcPr>
            <w:tcW w:w="500" w:type="pct"/>
            <w:vAlign w:val="center"/>
          </w:tcPr>
          <w:p w14:paraId="280DD5D9">
            <w:pPr>
              <w:pStyle w:val="278"/>
              <w:adjustRightInd w:val="0"/>
              <w:snapToGrid w:val="0"/>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1500</w:t>
            </w:r>
          </w:p>
        </w:tc>
        <w:tc>
          <w:tcPr>
            <w:tcW w:w="500" w:type="pct"/>
            <w:vAlign w:val="center"/>
          </w:tcPr>
          <w:p w14:paraId="35D1AAFE">
            <w:pPr>
              <w:pStyle w:val="278"/>
              <w:adjustRightInd w:val="0"/>
              <w:snapToGrid w:val="0"/>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19.215</w:t>
            </w:r>
          </w:p>
        </w:tc>
        <w:tc>
          <w:tcPr>
            <w:tcW w:w="500" w:type="pct"/>
            <w:vAlign w:val="center"/>
          </w:tcPr>
          <w:p w14:paraId="47999EDA">
            <w:pPr>
              <w:pStyle w:val="278"/>
              <w:adjustRightInd w:val="0"/>
              <w:snapToGrid w:val="0"/>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0.96</w:t>
            </w:r>
          </w:p>
        </w:tc>
        <w:tc>
          <w:tcPr>
            <w:tcW w:w="500" w:type="pct"/>
            <w:vAlign w:val="center"/>
          </w:tcPr>
          <w:p w14:paraId="6B6FDD18">
            <w:pPr>
              <w:pStyle w:val="278"/>
              <w:adjustRightInd w:val="0"/>
              <w:snapToGrid w:val="0"/>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0.0051</w:t>
            </w:r>
          </w:p>
        </w:tc>
        <w:tc>
          <w:tcPr>
            <w:tcW w:w="500" w:type="pct"/>
            <w:vAlign w:val="center"/>
          </w:tcPr>
          <w:p w14:paraId="3D81E1FF">
            <w:pPr>
              <w:pStyle w:val="278"/>
              <w:adjustRightInd w:val="0"/>
              <w:snapToGrid w:val="0"/>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0.05</w:t>
            </w:r>
          </w:p>
        </w:tc>
      </w:tr>
      <w:tr w14:paraId="4639E1F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00" w:type="pct"/>
            <w:vAlign w:val="center"/>
          </w:tcPr>
          <w:p w14:paraId="1DF49510">
            <w:pPr>
              <w:pStyle w:val="278"/>
              <w:adjustRightInd w:val="0"/>
              <w:snapToGrid w:val="0"/>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1600</w:t>
            </w:r>
          </w:p>
        </w:tc>
        <w:tc>
          <w:tcPr>
            <w:tcW w:w="500" w:type="pct"/>
            <w:vAlign w:val="center"/>
          </w:tcPr>
          <w:p w14:paraId="4B075569">
            <w:pPr>
              <w:pStyle w:val="278"/>
              <w:adjustRightInd w:val="0"/>
              <w:snapToGrid w:val="0"/>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3.5999</w:t>
            </w:r>
          </w:p>
        </w:tc>
        <w:tc>
          <w:tcPr>
            <w:tcW w:w="500" w:type="pct"/>
            <w:vAlign w:val="center"/>
          </w:tcPr>
          <w:p w14:paraId="73648BBC">
            <w:pPr>
              <w:pStyle w:val="278"/>
              <w:adjustRightInd w:val="0"/>
              <w:snapToGrid w:val="0"/>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0.18</w:t>
            </w:r>
          </w:p>
        </w:tc>
        <w:tc>
          <w:tcPr>
            <w:tcW w:w="500" w:type="pct"/>
            <w:vAlign w:val="center"/>
          </w:tcPr>
          <w:p w14:paraId="7351AF65">
            <w:pPr>
              <w:pStyle w:val="278"/>
              <w:adjustRightInd w:val="0"/>
              <w:snapToGrid w:val="0"/>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0.0010</w:t>
            </w:r>
          </w:p>
        </w:tc>
        <w:tc>
          <w:tcPr>
            <w:tcW w:w="500" w:type="pct"/>
            <w:vAlign w:val="center"/>
          </w:tcPr>
          <w:p w14:paraId="1FC29886">
            <w:pPr>
              <w:pStyle w:val="278"/>
              <w:adjustRightInd w:val="0"/>
              <w:snapToGrid w:val="0"/>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0.01</w:t>
            </w:r>
          </w:p>
        </w:tc>
        <w:tc>
          <w:tcPr>
            <w:tcW w:w="500" w:type="pct"/>
            <w:vAlign w:val="center"/>
          </w:tcPr>
          <w:p w14:paraId="076216A3">
            <w:pPr>
              <w:pStyle w:val="278"/>
              <w:adjustRightInd w:val="0"/>
              <w:snapToGrid w:val="0"/>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1600</w:t>
            </w:r>
          </w:p>
        </w:tc>
        <w:tc>
          <w:tcPr>
            <w:tcW w:w="500" w:type="pct"/>
            <w:vAlign w:val="center"/>
          </w:tcPr>
          <w:p w14:paraId="590B2967">
            <w:pPr>
              <w:pStyle w:val="278"/>
              <w:adjustRightInd w:val="0"/>
              <w:snapToGrid w:val="0"/>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18.555</w:t>
            </w:r>
          </w:p>
        </w:tc>
        <w:tc>
          <w:tcPr>
            <w:tcW w:w="500" w:type="pct"/>
            <w:vAlign w:val="center"/>
          </w:tcPr>
          <w:p w14:paraId="1C404B7B">
            <w:pPr>
              <w:pStyle w:val="278"/>
              <w:adjustRightInd w:val="0"/>
              <w:snapToGrid w:val="0"/>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0.93</w:t>
            </w:r>
          </w:p>
        </w:tc>
        <w:tc>
          <w:tcPr>
            <w:tcW w:w="500" w:type="pct"/>
            <w:vAlign w:val="center"/>
          </w:tcPr>
          <w:p w14:paraId="699C7936">
            <w:pPr>
              <w:pStyle w:val="278"/>
              <w:adjustRightInd w:val="0"/>
              <w:snapToGrid w:val="0"/>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0.0049</w:t>
            </w:r>
          </w:p>
        </w:tc>
        <w:tc>
          <w:tcPr>
            <w:tcW w:w="500" w:type="pct"/>
            <w:vAlign w:val="center"/>
          </w:tcPr>
          <w:p w14:paraId="32E2EA0E">
            <w:pPr>
              <w:pStyle w:val="278"/>
              <w:adjustRightInd w:val="0"/>
              <w:snapToGrid w:val="0"/>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0.05</w:t>
            </w:r>
          </w:p>
        </w:tc>
      </w:tr>
      <w:tr w14:paraId="478B635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00" w:type="pct"/>
            <w:vAlign w:val="center"/>
          </w:tcPr>
          <w:p w14:paraId="359EBA7D">
            <w:pPr>
              <w:pStyle w:val="278"/>
              <w:adjustRightInd w:val="0"/>
              <w:snapToGrid w:val="0"/>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1700</w:t>
            </w:r>
          </w:p>
        </w:tc>
        <w:tc>
          <w:tcPr>
            <w:tcW w:w="500" w:type="pct"/>
            <w:vAlign w:val="center"/>
          </w:tcPr>
          <w:p w14:paraId="25652D9F">
            <w:pPr>
              <w:pStyle w:val="278"/>
              <w:adjustRightInd w:val="0"/>
              <w:snapToGrid w:val="0"/>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3.4374</w:t>
            </w:r>
          </w:p>
        </w:tc>
        <w:tc>
          <w:tcPr>
            <w:tcW w:w="500" w:type="pct"/>
            <w:vAlign w:val="center"/>
          </w:tcPr>
          <w:p w14:paraId="3593E8EE">
            <w:pPr>
              <w:pStyle w:val="278"/>
              <w:adjustRightInd w:val="0"/>
              <w:snapToGrid w:val="0"/>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0.17</w:t>
            </w:r>
          </w:p>
        </w:tc>
        <w:tc>
          <w:tcPr>
            <w:tcW w:w="500" w:type="pct"/>
            <w:vAlign w:val="center"/>
          </w:tcPr>
          <w:p w14:paraId="065BC6D6">
            <w:pPr>
              <w:pStyle w:val="278"/>
              <w:adjustRightInd w:val="0"/>
              <w:snapToGrid w:val="0"/>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0.0009</w:t>
            </w:r>
          </w:p>
        </w:tc>
        <w:tc>
          <w:tcPr>
            <w:tcW w:w="500" w:type="pct"/>
            <w:vAlign w:val="center"/>
          </w:tcPr>
          <w:p w14:paraId="09E7A117">
            <w:pPr>
              <w:pStyle w:val="278"/>
              <w:adjustRightInd w:val="0"/>
              <w:snapToGrid w:val="0"/>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0.01</w:t>
            </w:r>
          </w:p>
        </w:tc>
        <w:tc>
          <w:tcPr>
            <w:tcW w:w="500" w:type="pct"/>
            <w:vAlign w:val="center"/>
          </w:tcPr>
          <w:p w14:paraId="161B9C51">
            <w:pPr>
              <w:pStyle w:val="278"/>
              <w:adjustRightInd w:val="0"/>
              <w:snapToGrid w:val="0"/>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1700</w:t>
            </w:r>
          </w:p>
        </w:tc>
        <w:tc>
          <w:tcPr>
            <w:tcW w:w="500" w:type="pct"/>
            <w:vAlign w:val="center"/>
          </w:tcPr>
          <w:p w14:paraId="3C48824D">
            <w:pPr>
              <w:pStyle w:val="278"/>
              <w:adjustRightInd w:val="0"/>
              <w:snapToGrid w:val="0"/>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17.935</w:t>
            </w:r>
          </w:p>
        </w:tc>
        <w:tc>
          <w:tcPr>
            <w:tcW w:w="500" w:type="pct"/>
            <w:vAlign w:val="center"/>
          </w:tcPr>
          <w:p w14:paraId="44BBAAA0">
            <w:pPr>
              <w:pStyle w:val="278"/>
              <w:adjustRightInd w:val="0"/>
              <w:snapToGrid w:val="0"/>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0.9</w:t>
            </w:r>
          </w:p>
        </w:tc>
        <w:tc>
          <w:tcPr>
            <w:tcW w:w="500" w:type="pct"/>
            <w:vAlign w:val="center"/>
          </w:tcPr>
          <w:p w14:paraId="6E8D901E">
            <w:pPr>
              <w:pStyle w:val="278"/>
              <w:adjustRightInd w:val="0"/>
              <w:snapToGrid w:val="0"/>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0.0047</w:t>
            </w:r>
          </w:p>
        </w:tc>
        <w:tc>
          <w:tcPr>
            <w:tcW w:w="500" w:type="pct"/>
            <w:vAlign w:val="center"/>
          </w:tcPr>
          <w:p w14:paraId="47DEC07D">
            <w:pPr>
              <w:pStyle w:val="278"/>
              <w:adjustRightInd w:val="0"/>
              <w:snapToGrid w:val="0"/>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0.05</w:t>
            </w:r>
          </w:p>
        </w:tc>
      </w:tr>
      <w:tr w14:paraId="71D49D3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00" w:type="pct"/>
            <w:vAlign w:val="center"/>
          </w:tcPr>
          <w:p w14:paraId="496EB19C">
            <w:pPr>
              <w:pStyle w:val="278"/>
              <w:adjustRightInd w:val="0"/>
              <w:snapToGrid w:val="0"/>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1800</w:t>
            </w:r>
          </w:p>
        </w:tc>
        <w:tc>
          <w:tcPr>
            <w:tcW w:w="500" w:type="pct"/>
            <w:vAlign w:val="center"/>
          </w:tcPr>
          <w:p w14:paraId="36A07F92">
            <w:pPr>
              <w:pStyle w:val="278"/>
              <w:adjustRightInd w:val="0"/>
              <w:snapToGrid w:val="0"/>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3.2871</w:t>
            </w:r>
          </w:p>
        </w:tc>
        <w:tc>
          <w:tcPr>
            <w:tcW w:w="500" w:type="pct"/>
            <w:vAlign w:val="center"/>
          </w:tcPr>
          <w:p w14:paraId="464ACBF8">
            <w:pPr>
              <w:pStyle w:val="278"/>
              <w:adjustRightInd w:val="0"/>
              <w:snapToGrid w:val="0"/>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0.16</w:t>
            </w:r>
          </w:p>
        </w:tc>
        <w:tc>
          <w:tcPr>
            <w:tcW w:w="500" w:type="pct"/>
            <w:vAlign w:val="center"/>
          </w:tcPr>
          <w:p w14:paraId="3E7FD152">
            <w:pPr>
              <w:pStyle w:val="278"/>
              <w:adjustRightInd w:val="0"/>
              <w:snapToGrid w:val="0"/>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0.0009</w:t>
            </w:r>
          </w:p>
        </w:tc>
        <w:tc>
          <w:tcPr>
            <w:tcW w:w="500" w:type="pct"/>
            <w:vAlign w:val="center"/>
          </w:tcPr>
          <w:p w14:paraId="488E03AA">
            <w:pPr>
              <w:pStyle w:val="278"/>
              <w:adjustRightInd w:val="0"/>
              <w:snapToGrid w:val="0"/>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0.01</w:t>
            </w:r>
          </w:p>
        </w:tc>
        <w:tc>
          <w:tcPr>
            <w:tcW w:w="500" w:type="pct"/>
            <w:vAlign w:val="center"/>
          </w:tcPr>
          <w:p w14:paraId="0B2F7889">
            <w:pPr>
              <w:pStyle w:val="278"/>
              <w:adjustRightInd w:val="0"/>
              <w:snapToGrid w:val="0"/>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1800</w:t>
            </w:r>
          </w:p>
        </w:tc>
        <w:tc>
          <w:tcPr>
            <w:tcW w:w="500" w:type="pct"/>
            <w:vAlign w:val="center"/>
          </w:tcPr>
          <w:p w14:paraId="372FE933">
            <w:pPr>
              <w:pStyle w:val="278"/>
              <w:adjustRightInd w:val="0"/>
              <w:snapToGrid w:val="0"/>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17.352</w:t>
            </w:r>
          </w:p>
        </w:tc>
        <w:tc>
          <w:tcPr>
            <w:tcW w:w="500" w:type="pct"/>
            <w:vAlign w:val="center"/>
          </w:tcPr>
          <w:p w14:paraId="441223AB">
            <w:pPr>
              <w:pStyle w:val="278"/>
              <w:adjustRightInd w:val="0"/>
              <w:snapToGrid w:val="0"/>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0.87</w:t>
            </w:r>
          </w:p>
        </w:tc>
        <w:tc>
          <w:tcPr>
            <w:tcW w:w="500" w:type="pct"/>
            <w:vAlign w:val="center"/>
          </w:tcPr>
          <w:p w14:paraId="06EF1E4F">
            <w:pPr>
              <w:pStyle w:val="278"/>
              <w:adjustRightInd w:val="0"/>
              <w:snapToGrid w:val="0"/>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0.0046</w:t>
            </w:r>
          </w:p>
        </w:tc>
        <w:tc>
          <w:tcPr>
            <w:tcW w:w="500" w:type="pct"/>
            <w:vAlign w:val="center"/>
          </w:tcPr>
          <w:p w14:paraId="1E6A5F3E">
            <w:pPr>
              <w:pStyle w:val="278"/>
              <w:adjustRightInd w:val="0"/>
              <w:snapToGrid w:val="0"/>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0.05</w:t>
            </w:r>
          </w:p>
        </w:tc>
      </w:tr>
      <w:tr w14:paraId="08DB457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00" w:type="pct"/>
            <w:vAlign w:val="center"/>
          </w:tcPr>
          <w:p w14:paraId="04A15DEC">
            <w:pPr>
              <w:pStyle w:val="278"/>
              <w:adjustRightInd w:val="0"/>
              <w:snapToGrid w:val="0"/>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1900</w:t>
            </w:r>
          </w:p>
        </w:tc>
        <w:tc>
          <w:tcPr>
            <w:tcW w:w="500" w:type="pct"/>
            <w:vAlign w:val="center"/>
          </w:tcPr>
          <w:p w14:paraId="3D9CC6BB">
            <w:pPr>
              <w:pStyle w:val="278"/>
              <w:adjustRightInd w:val="0"/>
              <w:snapToGrid w:val="0"/>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3.1477</w:t>
            </w:r>
          </w:p>
        </w:tc>
        <w:tc>
          <w:tcPr>
            <w:tcW w:w="500" w:type="pct"/>
            <w:vAlign w:val="center"/>
          </w:tcPr>
          <w:p w14:paraId="4280BCEA">
            <w:pPr>
              <w:pStyle w:val="278"/>
              <w:adjustRightInd w:val="0"/>
              <w:snapToGrid w:val="0"/>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0.16</w:t>
            </w:r>
          </w:p>
        </w:tc>
        <w:tc>
          <w:tcPr>
            <w:tcW w:w="500" w:type="pct"/>
            <w:vAlign w:val="center"/>
          </w:tcPr>
          <w:p w14:paraId="5FDC33B3">
            <w:pPr>
              <w:pStyle w:val="278"/>
              <w:adjustRightInd w:val="0"/>
              <w:snapToGrid w:val="0"/>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0.0008</w:t>
            </w:r>
          </w:p>
        </w:tc>
        <w:tc>
          <w:tcPr>
            <w:tcW w:w="500" w:type="pct"/>
            <w:vAlign w:val="center"/>
          </w:tcPr>
          <w:p w14:paraId="1DB839F0">
            <w:pPr>
              <w:pStyle w:val="278"/>
              <w:adjustRightInd w:val="0"/>
              <w:snapToGrid w:val="0"/>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0.01</w:t>
            </w:r>
          </w:p>
        </w:tc>
        <w:tc>
          <w:tcPr>
            <w:tcW w:w="500" w:type="pct"/>
            <w:vAlign w:val="center"/>
          </w:tcPr>
          <w:p w14:paraId="3F9372D8">
            <w:pPr>
              <w:pStyle w:val="278"/>
              <w:adjustRightInd w:val="0"/>
              <w:snapToGrid w:val="0"/>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1900</w:t>
            </w:r>
          </w:p>
        </w:tc>
        <w:tc>
          <w:tcPr>
            <w:tcW w:w="500" w:type="pct"/>
            <w:vAlign w:val="center"/>
          </w:tcPr>
          <w:p w14:paraId="16A9AD53">
            <w:pPr>
              <w:pStyle w:val="278"/>
              <w:adjustRightInd w:val="0"/>
              <w:snapToGrid w:val="0"/>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16.802</w:t>
            </w:r>
          </w:p>
        </w:tc>
        <w:tc>
          <w:tcPr>
            <w:tcW w:w="500" w:type="pct"/>
            <w:vAlign w:val="center"/>
          </w:tcPr>
          <w:p w14:paraId="066B0F5D">
            <w:pPr>
              <w:pStyle w:val="278"/>
              <w:adjustRightInd w:val="0"/>
              <w:snapToGrid w:val="0"/>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0.84</w:t>
            </w:r>
          </w:p>
        </w:tc>
        <w:tc>
          <w:tcPr>
            <w:tcW w:w="500" w:type="pct"/>
            <w:vAlign w:val="center"/>
          </w:tcPr>
          <w:p w14:paraId="54391DD4">
            <w:pPr>
              <w:pStyle w:val="278"/>
              <w:adjustRightInd w:val="0"/>
              <w:snapToGrid w:val="0"/>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0.0044</w:t>
            </w:r>
          </w:p>
        </w:tc>
        <w:tc>
          <w:tcPr>
            <w:tcW w:w="500" w:type="pct"/>
            <w:vAlign w:val="center"/>
          </w:tcPr>
          <w:p w14:paraId="2E3A2CF4">
            <w:pPr>
              <w:pStyle w:val="278"/>
              <w:adjustRightInd w:val="0"/>
              <w:snapToGrid w:val="0"/>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0.04</w:t>
            </w:r>
          </w:p>
        </w:tc>
      </w:tr>
      <w:tr w14:paraId="19643F8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00" w:type="pct"/>
            <w:vAlign w:val="center"/>
          </w:tcPr>
          <w:p w14:paraId="5F03A763">
            <w:pPr>
              <w:pStyle w:val="278"/>
              <w:adjustRightInd w:val="0"/>
              <w:snapToGrid w:val="0"/>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2000</w:t>
            </w:r>
          </w:p>
        </w:tc>
        <w:tc>
          <w:tcPr>
            <w:tcW w:w="500" w:type="pct"/>
            <w:vAlign w:val="center"/>
          </w:tcPr>
          <w:p w14:paraId="2A3968AB">
            <w:pPr>
              <w:pStyle w:val="278"/>
              <w:adjustRightInd w:val="0"/>
              <w:snapToGrid w:val="0"/>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3.0204</w:t>
            </w:r>
          </w:p>
        </w:tc>
        <w:tc>
          <w:tcPr>
            <w:tcW w:w="500" w:type="pct"/>
            <w:vAlign w:val="center"/>
          </w:tcPr>
          <w:p w14:paraId="77712A94">
            <w:pPr>
              <w:pStyle w:val="278"/>
              <w:adjustRightInd w:val="0"/>
              <w:snapToGrid w:val="0"/>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0.15</w:t>
            </w:r>
          </w:p>
        </w:tc>
        <w:tc>
          <w:tcPr>
            <w:tcW w:w="500" w:type="pct"/>
            <w:vAlign w:val="center"/>
          </w:tcPr>
          <w:p w14:paraId="4B7B7463">
            <w:pPr>
              <w:pStyle w:val="278"/>
              <w:adjustRightInd w:val="0"/>
              <w:snapToGrid w:val="0"/>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0.0008</w:t>
            </w:r>
          </w:p>
        </w:tc>
        <w:tc>
          <w:tcPr>
            <w:tcW w:w="500" w:type="pct"/>
            <w:vAlign w:val="center"/>
          </w:tcPr>
          <w:p w14:paraId="5A2CE749">
            <w:pPr>
              <w:pStyle w:val="278"/>
              <w:adjustRightInd w:val="0"/>
              <w:snapToGrid w:val="0"/>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0.01</w:t>
            </w:r>
          </w:p>
        </w:tc>
        <w:tc>
          <w:tcPr>
            <w:tcW w:w="500" w:type="pct"/>
            <w:vAlign w:val="center"/>
          </w:tcPr>
          <w:p w14:paraId="07B1B5E3">
            <w:pPr>
              <w:pStyle w:val="278"/>
              <w:adjustRightInd w:val="0"/>
              <w:snapToGrid w:val="0"/>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2000</w:t>
            </w:r>
          </w:p>
        </w:tc>
        <w:tc>
          <w:tcPr>
            <w:tcW w:w="500" w:type="pct"/>
            <w:vAlign w:val="center"/>
          </w:tcPr>
          <w:p w14:paraId="479B7B30">
            <w:pPr>
              <w:pStyle w:val="278"/>
              <w:adjustRightInd w:val="0"/>
              <w:snapToGrid w:val="0"/>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16.283</w:t>
            </w:r>
          </w:p>
        </w:tc>
        <w:tc>
          <w:tcPr>
            <w:tcW w:w="500" w:type="pct"/>
            <w:vAlign w:val="center"/>
          </w:tcPr>
          <w:p w14:paraId="32D1C358">
            <w:pPr>
              <w:pStyle w:val="278"/>
              <w:adjustRightInd w:val="0"/>
              <w:snapToGrid w:val="0"/>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0.81</w:t>
            </w:r>
          </w:p>
        </w:tc>
        <w:tc>
          <w:tcPr>
            <w:tcW w:w="500" w:type="pct"/>
            <w:vAlign w:val="center"/>
          </w:tcPr>
          <w:p w14:paraId="343FD7D1">
            <w:pPr>
              <w:pStyle w:val="278"/>
              <w:adjustRightInd w:val="0"/>
              <w:snapToGrid w:val="0"/>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0.0043</w:t>
            </w:r>
          </w:p>
        </w:tc>
        <w:tc>
          <w:tcPr>
            <w:tcW w:w="500" w:type="pct"/>
            <w:vAlign w:val="center"/>
          </w:tcPr>
          <w:p w14:paraId="10474665">
            <w:pPr>
              <w:pStyle w:val="278"/>
              <w:adjustRightInd w:val="0"/>
              <w:snapToGrid w:val="0"/>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0.04</w:t>
            </w:r>
          </w:p>
        </w:tc>
      </w:tr>
      <w:tr w14:paraId="689AA8C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00" w:type="pct"/>
            <w:vAlign w:val="center"/>
          </w:tcPr>
          <w:p w14:paraId="35E5BF50">
            <w:pPr>
              <w:pStyle w:val="278"/>
              <w:adjustRightInd w:val="0"/>
              <w:snapToGrid w:val="0"/>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2100</w:t>
            </w:r>
          </w:p>
        </w:tc>
        <w:tc>
          <w:tcPr>
            <w:tcW w:w="500" w:type="pct"/>
            <w:vAlign w:val="center"/>
          </w:tcPr>
          <w:p w14:paraId="49E92C6A">
            <w:pPr>
              <w:pStyle w:val="278"/>
              <w:adjustRightInd w:val="0"/>
              <w:snapToGrid w:val="0"/>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2.9038</w:t>
            </w:r>
          </w:p>
        </w:tc>
        <w:tc>
          <w:tcPr>
            <w:tcW w:w="500" w:type="pct"/>
            <w:vAlign w:val="center"/>
          </w:tcPr>
          <w:p w14:paraId="1159BBDF">
            <w:pPr>
              <w:pStyle w:val="278"/>
              <w:adjustRightInd w:val="0"/>
              <w:snapToGrid w:val="0"/>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0.15</w:t>
            </w:r>
          </w:p>
        </w:tc>
        <w:tc>
          <w:tcPr>
            <w:tcW w:w="500" w:type="pct"/>
            <w:vAlign w:val="center"/>
          </w:tcPr>
          <w:p w14:paraId="3A8919ED">
            <w:pPr>
              <w:pStyle w:val="278"/>
              <w:adjustRightInd w:val="0"/>
              <w:snapToGrid w:val="0"/>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0.0008</w:t>
            </w:r>
          </w:p>
        </w:tc>
        <w:tc>
          <w:tcPr>
            <w:tcW w:w="500" w:type="pct"/>
            <w:vAlign w:val="center"/>
          </w:tcPr>
          <w:p w14:paraId="38B4709D">
            <w:pPr>
              <w:pStyle w:val="278"/>
              <w:adjustRightInd w:val="0"/>
              <w:snapToGrid w:val="0"/>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0.01</w:t>
            </w:r>
          </w:p>
        </w:tc>
        <w:tc>
          <w:tcPr>
            <w:tcW w:w="500" w:type="pct"/>
            <w:vAlign w:val="center"/>
          </w:tcPr>
          <w:p w14:paraId="7D5116DD">
            <w:pPr>
              <w:pStyle w:val="278"/>
              <w:adjustRightInd w:val="0"/>
              <w:snapToGrid w:val="0"/>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2100</w:t>
            </w:r>
          </w:p>
        </w:tc>
        <w:tc>
          <w:tcPr>
            <w:tcW w:w="500" w:type="pct"/>
            <w:vAlign w:val="center"/>
          </w:tcPr>
          <w:p w14:paraId="2AE728B4">
            <w:pPr>
              <w:pStyle w:val="278"/>
              <w:adjustRightInd w:val="0"/>
              <w:snapToGrid w:val="0"/>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15.792</w:t>
            </w:r>
          </w:p>
        </w:tc>
        <w:tc>
          <w:tcPr>
            <w:tcW w:w="500" w:type="pct"/>
            <w:vAlign w:val="center"/>
          </w:tcPr>
          <w:p w14:paraId="01114428">
            <w:pPr>
              <w:pStyle w:val="278"/>
              <w:adjustRightInd w:val="0"/>
              <w:snapToGrid w:val="0"/>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0.79</w:t>
            </w:r>
          </w:p>
        </w:tc>
        <w:tc>
          <w:tcPr>
            <w:tcW w:w="500" w:type="pct"/>
            <w:vAlign w:val="center"/>
          </w:tcPr>
          <w:p w14:paraId="0E705FF1">
            <w:pPr>
              <w:pStyle w:val="278"/>
              <w:adjustRightInd w:val="0"/>
              <w:snapToGrid w:val="0"/>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0.0042</w:t>
            </w:r>
          </w:p>
        </w:tc>
        <w:tc>
          <w:tcPr>
            <w:tcW w:w="500" w:type="pct"/>
            <w:vAlign w:val="center"/>
          </w:tcPr>
          <w:p w14:paraId="081D56E1">
            <w:pPr>
              <w:pStyle w:val="278"/>
              <w:adjustRightInd w:val="0"/>
              <w:snapToGrid w:val="0"/>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0.04</w:t>
            </w:r>
          </w:p>
        </w:tc>
      </w:tr>
      <w:tr w14:paraId="16A8433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00" w:type="pct"/>
            <w:vAlign w:val="center"/>
          </w:tcPr>
          <w:p w14:paraId="104AA55E">
            <w:pPr>
              <w:pStyle w:val="278"/>
              <w:adjustRightInd w:val="0"/>
              <w:snapToGrid w:val="0"/>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2200</w:t>
            </w:r>
          </w:p>
        </w:tc>
        <w:tc>
          <w:tcPr>
            <w:tcW w:w="500" w:type="pct"/>
            <w:vAlign w:val="center"/>
          </w:tcPr>
          <w:p w14:paraId="1AB6BDB3">
            <w:pPr>
              <w:pStyle w:val="278"/>
              <w:adjustRightInd w:val="0"/>
              <w:snapToGrid w:val="0"/>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2.7985</w:t>
            </w:r>
          </w:p>
        </w:tc>
        <w:tc>
          <w:tcPr>
            <w:tcW w:w="500" w:type="pct"/>
            <w:vAlign w:val="center"/>
          </w:tcPr>
          <w:p w14:paraId="6F98387E">
            <w:pPr>
              <w:pStyle w:val="278"/>
              <w:adjustRightInd w:val="0"/>
              <w:snapToGrid w:val="0"/>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0.14</w:t>
            </w:r>
          </w:p>
        </w:tc>
        <w:tc>
          <w:tcPr>
            <w:tcW w:w="500" w:type="pct"/>
            <w:vAlign w:val="center"/>
          </w:tcPr>
          <w:p w14:paraId="3DBC2A04">
            <w:pPr>
              <w:pStyle w:val="278"/>
              <w:adjustRightInd w:val="0"/>
              <w:snapToGrid w:val="0"/>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0.0007</w:t>
            </w:r>
          </w:p>
        </w:tc>
        <w:tc>
          <w:tcPr>
            <w:tcW w:w="500" w:type="pct"/>
            <w:vAlign w:val="center"/>
          </w:tcPr>
          <w:p w14:paraId="76A4B92F">
            <w:pPr>
              <w:pStyle w:val="278"/>
              <w:adjustRightInd w:val="0"/>
              <w:snapToGrid w:val="0"/>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0.01</w:t>
            </w:r>
          </w:p>
        </w:tc>
        <w:tc>
          <w:tcPr>
            <w:tcW w:w="500" w:type="pct"/>
            <w:vAlign w:val="center"/>
          </w:tcPr>
          <w:p w14:paraId="28614932">
            <w:pPr>
              <w:pStyle w:val="278"/>
              <w:adjustRightInd w:val="0"/>
              <w:snapToGrid w:val="0"/>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2200</w:t>
            </w:r>
          </w:p>
        </w:tc>
        <w:tc>
          <w:tcPr>
            <w:tcW w:w="500" w:type="pct"/>
            <w:vAlign w:val="center"/>
          </w:tcPr>
          <w:p w14:paraId="3741C63A">
            <w:pPr>
              <w:pStyle w:val="278"/>
              <w:adjustRightInd w:val="0"/>
              <w:snapToGrid w:val="0"/>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15.327</w:t>
            </w:r>
          </w:p>
        </w:tc>
        <w:tc>
          <w:tcPr>
            <w:tcW w:w="500" w:type="pct"/>
            <w:vAlign w:val="center"/>
          </w:tcPr>
          <w:p w14:paraId="715E6859">
            <w:pPr>
              <w:pStyle w:val="278"/>
              <w:adjustRightInd w:val="0"/>
              <w:snapToGrid w:val="0"/>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0.77</w:t>
            </w:r>
          </w:p>
        </w:tc>
        <w:tc>
          <w:tcPr>
            <w:tcW w:w="500" w:type="pct"/>
            <w:vAlign w:val="center"/>
          </w:tcPr>
          <w:p w14:paraId="4DD610E6">
            <w:pPr>
              <w:pStyle w:val="278"/>
              <w:adjustRightInd w:val="0"/>
              <w:snapToGrid w:val="0"/>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0.0040</w:t>
            </w:r>
          </w:p>
        </w:tc>
        <w:tc>
          <w:tcPr>
            <w:tcW w:w="500" w:type="pct"/>
            <w:vAlign w:val="center"/>
          </w:tcPr>
          <w:p w14:paraId="2853170E">
            <w:pPr>
              <w:pStyle w:val="278"/>
              <w:adjustRightInd w:val="0"/>
              <w:snapToGrid w:val="0"/>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0.04</w:t>
            </w:r>
          </w:p>
        </w:tc>
      </w:tr>
      <w:tr w14:paraId="7BBDB13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00" w:type="pct"/>
            <w:vAlign w:val="center"/>
          </w:tcPr>
          <w:p w14:paraId="50274143">
            <w:pPr>
              <w:pStyle w:val="278"/>
              <w:adjustRightInd w:val="0"/>
              <w:snapToGrid w:val="0"/>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2300</w:t>
            </w:r>
          </w:p>
        </w:tc>
        <w:tc>
          <w:tcPr>
            <w:tcW w:w="500" w:type="pct"/>
            <w:vAlign w:val="center"/>
          </w:tcPr>
          <w:p w14:paraId="0CFF8E98">
            <w:pPr>
              <w:pStyle w:val="278"/>
              <w:adjustRightInd w:val="0"/>
              <w:snapToGrid w:val="0"/>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2.6995</w:t>
            </w:r>
          </w:p>
        </w:tc>
        <w:tc>
          <w:tcPr>
            <w:tcW w:w="500" w:type="pct"/>
            <w:vAlign w:val="center"/>
          </w:tcPr>
          <w:p w14:paraId="430E1C3C">
            <w:pPr>
              <w:pStyle w:val="278"/>
              <w:adjustRightInd w:val="0"/>
              <w:snapToGrid w:val="0"/>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0.13</w:t>
            </w:r>
          </w:p>
        </w:tc>
        <w:tc>
          <w:tcPr>
            <w:tcW w:w="500" w:type="pct"/>
            <w:vAlign w:val="center"/>
          </w:tcPr>
          <w:p w14:paraId="0F5DFA6C">
            <w:pPr>
              <w:pStyle w:val="278"/>
              <w:adjustRightInd w:val="0"/>
              <w:snapToGrid w:val="0"/>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0.0007</w:t>
            </w:r>
          </w:p>
        </w:tc>
        <w:tc>
          <w:tcPr>
            <w:tcW w:w="500" w:type="pct"/>
            <w:vAlign w:val="center"/>
          </w:tcPr>
          <w:p w14:paraId="235CC5CC">
            <w:pPr>
              <w:pStyle w:val="278"/>
              <w:adjustRightInd w:val="0"/>
              <w:snapToGrid w:val="0"/>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0.01</w:t>
            </w:r>
          </w:p>
        </w:tc>
        <w:tc>
          <w:tcPr>
            <w:tcW w:w="500" w:type="pct"/>
            <w:vAlign w:val="center"/>
          </w:tcPr>
          <w:p w14:paraId="391CDE4E">
            <w:pPr>
              <w:pStyle w:val="278"/>
              <w:adjustRightInd w:val="0"/>
              <w:snapToGrid w:val="0"/>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2300</w:t>
            </w:r>
          </w:p>
        </w:tc>
        <w:tc>
          <w:tcPr>
            <w:tcW w:w="500" w:type="pct"/>
            <w:vAlign w:val="center"/>
          </w:tcPr>
          <w:p w14:paraId="23891CD8">
            <w:pPr>
              <w:pStyle w:val="278"/>
              <w:adjustRightInd w:val="0"/>
              <w:snapToGrid w:val="0"/>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14.886</w:t>
            </w:r>
          </w:p>
        </w:tc>
        <w:tc>
          <w:tcPr>
            <w:tcW w:w="500" w:type="pct"/>
            <w:vAlign w:val="center"/>
          </w:tcPr>
          <w:p w14:paraId="5E246162">
            <w:pPr>
              <w:pStyle w:val="278"/>
              <w:adjustRightInd w:val="0"/>
              <w:snapToGrid w:val="0"/>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0.74</w:t>
            </w:r>
          </w:p>
        </w:tc>
        <w:tc>
          <w:tcPr>
            <w:tcW w:w="500" w:type="pct"/>
            <w:vAlign w:val="center"/>
          </w:tcPr>
          <w:p w14:paraId="34B8E16A">
            <w:pPr>
              <w:pStyle w:val="278"/>
              <w:adjustRightInd w:val="0"/>
              <w:snapToGrid w:val="0"/>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0.0039</w:t>
            </w:r>
          </w:p>
        </w:tc>
        <w:tc>
          <w:tcPr>
            <w:tcW w:w="500" w:type="pct"/>
            <w:vAlign w:val="center"/>
          </w:tcPr>
          <w:p w14:paraId="33AC802B">
            <w:pPr>
              <w:pStyle w:val="278"/>
              <w:adjustRightInd w:val="0"/>
              <w:snapToGrid w:val="0"/>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0.04</w:t>
            </w:r>
          </w:p>
        </w:tc>
      </w:tr>
      <w:tr w14:paraId="368A4A4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00" w:type="pct"/>
            <w:vAlign w:val="center"/>
          </w:tcPr>
          <w:p w14:paraId="37452CCE">
            <w:pPr>
              <w:pStyle w:val="278"/>
              <w:adjustRightInd w:val="0"/>
              <w:snapToGrid w:val="0"/>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2400</w:t>
            </w:r>
          </w:p>
        </w:tc>
        <w:tc>
          <w:tcPr>
            <w:tcW w:w="500" w:type="pct"/>
            <w:vAlign w:val="center"/>
          </w:tcPr>
          <w:p w14:paraId="73D4A4CA">
            <w:pPr>
              <w:pStyle w:val="278"/>
              <w:adjustRightInd w:val="0"/>
              <w:snapToGrid w:val="0"/>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2.6093</w:t>
            </w:r>
          </w:p>
        </w:tc>
        <w:tc>
          <w:tcPr>
            <w:tcW w:w="500" w:type="pct"/>
            <w:vAlign w:val="center"/>
          </w:tcPr>
          <w:p w14:paraId="3FC2BDF0">
            <w:pPr>
              <w:pStyle w:val="278"/>
              <w:adjustRightInd w:val="0"/>
              <w:snapToGrid w:val="0"/>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0.13</w:t>
            </w:r>
          </w:p>
        </w:tc>
        <w:tc>
          <w:tcPr>
            <w:tcW w:w="500" w:type="pct"/>
            <w:vAlign w:val="center"/>
          </w:tcPr>
          <w:p w14:paraId="2CFD7109">
            <w:pPr>
              <w:pStyle w:val="278"/>
              <w:adjustRightInd w:val="0"/>
              <w:snapToGrid w:val="0"/>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0.0007</w:t>
            </w:r>
          </w:p>
        </w:tc>
        <w:tc>
          <w:tcPr>
            <w:tcW w:w="500" w:type="pct"/>
            <w:vAlign w:val="center"/>
          </w:tcPr>
          <w:p w14:paraId="11E63FBD">
            <w:pPr>
              <w:pStyle w:val="278"/>
              <w:adjustRightInd w:val="0"/>
              <w:snapToGrid w:val="0"/>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0.01</w:t>
            </w:r>
          </w:p>
        </w:tc>
        <w:tc>
          <w:tcPr>
            <w:tcW w:w="500" w:type="pct"/>
            <w:vAlign w:val="center"/>
          </w:tcPr>
          <w:p w14:paraId="4927E47D">
            <w:pPr>
              <w:pStyle w:val="278"/>
              <w:adjustRightInd w:val="0"/>
              <w:snapToGrid w:val="0"/>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2400</w:t>
            </w:r>
          </w:p>
        </w:tc>
        <w:tc>
          <w:tcPr>
            <w:tcW w:w="500" w:type="pct"/>
            <w:vAlign w:val="center"/>
          </w:tcPr>
          <w:p w14:paraId="1A757D68">
            <w:pPr>
              <w:pStyle w:val="278"/>
              <w:adjustRightInd w:val="0"/>
              <w:snapToGrid w:val="0"/>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14.467</w:t>
            </w:r>
          </w:p>
        </w:tc>
        <w:tc>
          <w:tcPr>
            <w:tcW w:w="500" w:type="pct"/>
            <w:vAlign w:val="center"/>
          </w:tcPr>
          <w:p w14:paraId="2858CB23">
            <w:pPr>
              <w:pStyle w:val="278"/>
              <w:adjustRightInd w:val="0"/>
              <w:snapToGrid w:val="0"/>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0.72</w:t>
            </w:r>
          </w:p>
        </w:tc>
        <w:tc>
          <w:tcPr>
            <w:tcW w:w="500" w:type="pct"/>
            <w:vAlign w:val="center"/>
          </w:tcPr>
          <w:p w14:paraId="7175B4B6">
            <w:pPr>
              <w:pStyle w:val="278"/>
              <w:adjustRightInd w:val="0"/>
              <w:snapToGrid w:val="0"/>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0.0038</w:t>
            </w:r>
          </w:p>
        </w:tc>
        <w:tc>
          <w:tcPr>
            <w:tcW w:w="500" w:type="pct"/>
            <w:vAlign w:val="center"/>
          </w:tcPr>
          <w:p w14:paraId="4BA29065">
            <w:pPr>
              <w:pStyle w:val="278"/>
              <w:adjustRightInd w:val="0"/>
              <w:snapToGrid w:val="0"/>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0.04</w:t>
            </w:r>
          </w:p>
        </w:tc>
      </w:tr>
      <w:tr w14:paraId="1D56392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00" w:type="pct"/>
            <w:vAlign w:val="center"/>
          </w:tcPr>
          <w:p w14:paraId="725092F5">
            <w:pPr>
              <w:pStyle w:val="278"/>
              <w:adjustRightInd w:val="0"/>
              <w:snapToGrid w:val="0"/>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2500</w:t>
            </w:r>
          </w:p>
        </w:tc>
        <w:tc>
          <w:tcPr>
            <w:tcW w:w="500" w:type="pct"/>
            <w:vAlign w:val="center"/>
          </w:tcPr>
          <w:p w14:paraId="1822A2F0">
            <w:pPr>
              <w:pStyle w:val="278"/>
              <w:adjustRightInd w:val="0"/>
              <w:snapToGrid w:val="0"/>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2.5261</w:t>
            </w:r>
          </w:p>
        </w:tc>
        <w:tc>
          <w:tcPr>
            <w:tcW w:w="500" w:type="pct"/>
            <w:vAlign w:val="center"/>
          </w:tcPr>
          <w:p w14:paraId="03D19441">
            <w:pPr>
              <w:pStyle w:val="278"/>
              <w:adjustRightInd w:val="0"/>
              <w:snapToGrid w:val="0"/>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0.13</w:t>
            </w:r>
          </w:p>
        </w:tc>
        <w:tc>
          <w:tcPr>
            <w:tcW w:w="500" w:type="pct"/>
            <w:vAlign w:val="center"/>
          </w:tcPr>
          <w:p w14:paraId="1A312488">
            <w:pPr>
              <w:pStyle w:val="278"/>
              <w:adjustRightInd w:val="0"/>
              <w:snapToGrid w:val="0"/>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0.0007</w:t>
            </w:r>
          </w:p>
        </w:tc>
        <w:tc>
          <w:tcPr>
            <w:tcW w:w="500" w:type="pct"/>
            <w:vAlign w:val="center"/>
          </w:tcPr>
          <w:p w14:paraId="6A53419B">
            <w:pPr>
              <w:pStyle w:val="278"/>
              <w:adjustRightInd w:val="0"/>
              <w:snapToGrid w:val="0"/>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0.01</w:t>
            </w:r>
          </w:p>
        </w:tc>
        <w:tc>
          <w:tcPr>
            <w:tcW w:w="500" w:type="pct"/>
            <w:vAlign w:val="center"/>
          </w:tcPr>
          <w:p w14:paraId="1708CD19">
            <w:pPr>
              <w:pStyle w:val="278"/>
              <w:adjustRightInd w:val="0"/>
              <w:snapToGrid w:val="0"/>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2500</w:t>
            </w:r>
          </w:p>
        </w:tc>
        <w:tc>
          <w:tcPr>
            <w:tcW w:w="500" w:type="pct"/>
            <w:vAlign w:val="center"/>
          </w:tcPr>
          <w:p w14:paraId="47B1003D">
            <w:pPr>
              <w:pStyle w:val="278"/>
              <w:adjustRightInd w:val="0"/>
              <w:snapToGrid w:val="0"/>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14.069</w:t>
            </w:r>
          </w:p>
        </w:tc>
        <w:tc>
          <w:tcPr>
            <w:tcW w:w="500" w:type="pct"/>
            <w:vAlign w:val="center"/>
          </w:tcPr>
          <w:p w14:paraId="6C62FAED">
            <w:pPr>
              <w:pStyle w:val="278"/>
              <w:adjustRightInd w:val="0"/>
              <w:snapToGrid w:val="0"/>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0.7</w:t>
            </w:r>
          </w:p>
        </w:tc>
        <w:tc>
          <w:tcPr>
            <w:tcW w:w="500" w:type="pct"/>
            <w:vAlign w:val="center"/>
          </w:tcPr>
          <w:p w14:paraId="2C413CFA">
            <w:pPr>
              <w:pStyle w:val="278"/>
              <w:adjustRightInd w:val="0"/>
              <w:snapToGrid w:val="0"/>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0.0037</w:t>
            </w:r>
          </w:p>
        </w:tc>
        <w:tc>
          <w:tcPr>
            <w:tcW w:w="500" w:type="pct"/>
            <w:vAlign w:val="center"/>
          </w:tcPr>
          <w:p w14:paraId="5DCD056E">
            <w:pPr>
              <w:pStyle w:val="278"/>
              <w:adjustRightInd w:val="0"/>
              <w:snapToGrid w:val="0"/>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0.04</w:t>
            </w:r>
          </w:p>
        </w:tc>
      </w:tr>
    </w:tbl>
    <w:p w14:paraId="0FDB9877">
      <w:pPr>
        <w:pStyle w:val="117"/>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由预测结果可知：非甲烷总烃和硫化氢的短期浓度贡献值小，不会使区域环境空气质量发生明显改变；厂界N</w:t>
      </w:r>
      <w:r>
        <w:rPr>
          <w:color w:val="000000" w:themeColor="text1"/>
          <w14:textFill>
            <w14:solidFill>
              <w14:schemeClr w14:val="tx1"/>
            </w14:solidFill>
          </w14:textFill>
        </w:rPr>
        <w:t>MHC</w:t>
      </w:r>
      <w:r>
        <w:rPr>
          <w:rFonts w:hint="eastAsia"/>
          <w:color w:val="000000" w:themeColor="text1"/>
          <w14:textFill>
            <w14:solidFill>
              <w14:schemeClr w14:val="tx1"/>
            </w14:solidFill>
          </w14:textFill>
        </w:rPr>
        <w:t>浓度可满足</w:t>
      </w:r>
      <w:bookmarkStart w:id="527" w:name="OLE_LINK73"/>
      <w:bookmarkStart w:id="528" w:name="OLE_LINK71"/>
      <w:r>
        <w:rPr>
          <w:rFonts w:hint="eastAsia"/>
          <w:color w:val="000000" w:themeColor="text1"/>
          <w14:textFill>
            <w14:solidFill>
              <w14:schemeClr w14:val="tx1"/>
            </w14:solidFill>
          </w14:textFill>
        </w:rPr>
        <w:t>《陆上石油天然气开采工业大气污染物排放标准》（GB39728—2020）企业边界污染物控制要求</w:t>
      </w:r>
      <w:bookmarkEnd w:id="527"/>
      <w:r>
        <w:rPr>
          <w:rFonts w:hint="eastAsia"/>
          <w:color w:val="000000" w:themeColor="text1"/>
          <w14:textFill>
            <w14:solidFill>
              <w14:schemeClr w14:val="tx1"/>
            </w14:solidFill>
          </w14:textFill>
        </w:rPr>
        <w:t>，</w:t>
      </w:r>
      <w:bookmarkEnd w:id="528"/>
      <w:r>
        <w:rPr>
          <w:rFonts w:hint="eastAsia"/>
          <w:color w:val="000000" w:themeColor="text1"/>
          <w14:textFill>
            <w14:solidFill>
              <w14:schemeClr w14:val="tx1"/>
            </w14:solidFill>
          </w14:textFill>
        </w:rPr>
        <w:t>硫化氢满足《恶臭污染物排放标准》（GB14554-93）表1二级新改扩建浓度限值要求。项目区地域空旷，无集中固定</w:t>
      </w:r>
      <w:r>
        <w:rPr>
          <w:color w:val="000000" w:themeColor="text1"/>
          <w14:textFill>
            <w14:solidFill>
              <w14:schemeClr w14:val="tx1"/>
            </w14:solidFill>
          </w14:textFill>
        </w:rPr>
        <w:t>人</w:t>
      </w:r>
      <w:r>
        <w:rPr>
          <w:rFonts w:hint="eastAsia"/>
          <w:color w:val="000000" w:themeColor="text1"/>
          <w14:textFill>
            <w14:solidFill>
              <w14:schemeClr w14:val="tx1"/>
            </w14:solidFill>
          </w14:textFill>
        </w:rPr>
        <w:t>群</w:t>
      </w:r>
      <w:r>
        <w:rPr>
          <w:color w:val="000000" w:themeColor="text1"/>
          <w14:textFill>
            <w14:solidFill>
              <w14:schemeClr w14:val="tx1"/>
            </w14:solidFill>
          </w14:textFill>
        </w:rPr>
        <w:t>居住</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项目</w:t>
      </w:r>
      <w:r>
        <w:rPr>
          <w:rFonts w:hint="eastAsia"/>
          <w:color w:val="000000" w:themeColor="text1"/>
          <w14:textFill>
            <w14:solidFill>
              <w14:schemeClr w14:val="tx1"/>
            </w14:solidFill>
          </w14:textFill>
        </w:rPr>
        <w:t>运营期</w:t>
      </w:r>
      <w:r>
        <w:rPr>
          <w:color w:val="000000" w:themeColor="text1"/>
          <w14:textFill>
            <w14:solidFill>
              <w14:schemeClr w14:val="tx1"/>
            </w14:solidFill>
          </w14:textFill>
        </w:rPr>
        <w:t>对区域大气环境的影响可以保持在环境可接受的范围之内。</w:t>
      </w:r>
    </w:p>
    <w:p w14:paraId="7674B40A">
      <w:pPr>
        <w:pStyle w:val="117"/>
        <w:ind w:firstLine="480"/>
        <w:rPr>
          <w:rFonts w:hint="eastAsia"/>
          <w:color w:val="000000" w:themeColor="text1"/>
          <w14:textFill>
            <w14:solidFill>
              <w14:schemeClr w14:val="tx1"/>
            </w14:solidFill>
          </w14:textFill>
        </w:rPr>
      </w:pPr>
      <w:bookmarkStart w:id="529" w:name="_Toc453870928"/>
      <w:bookmarkStart w:id="530" w:name="_Toc459026582"/>
      <w:bookmarkStart w:id="531" w:name="_Toc445829789"/>
      <w:bookmarkStart w:id="532" w:name="_Toc445840405"/>
      <w:bookmarkStart w:id="533" w:name="_Toc445996415"/>
      <w:bookmarkStart w:id="534" w:name="_Toc445842093"/>
      <w:bookmarkStart w:id="535" w:name="_Toc20265"/>
      <w:bookmarkStart w:id="536" w:name="_Toc474416141"/>
      <w:r>
        <w:rPr>
          <w:rFonts w:hint="eastAsia"/>
          <w:color w:val="000000" w:themeColor="text1"/>
          <w14:textFill>
            <w14:solidFill>
              <w14:schemeClr w14:val="tx1"/>
            </w14:solidFill>
          </w14:textFill>
        </w:rPr>
        <w:t>大气环境影响评价自查表见附件5。</w:t>
      </w:r>
    </w:p>
    <w:p w14:paraId="762BE747">
      <w:pPr>
        <w:pStyle w:val="117"/>
        <w:ind w:firstLine="480"/>
        <w:rPr>
          <w:rFonts w:hint="eastAsia"/>
          <w:color w:val="000000" w:themeColor="text1"/>
          <w14:textFill>
            <w14:solidFill>
              <w14:schemeClr w14:val="tx1"/>
            </w14:solidFill>
          </w14:textFill>
        </w:rPr>
      </w:pPr>
      <w:bookmarkStart w:id="537" w:name="_Hlk173406894"/>
      <w:bookmarkStart w:id="538" w:name="OLE_LINK74"/>
      <w:r>
        <w:rPr>
          <w:rFonts w:hint="eastAsia"/>
          <w:color w:val="000000" w:themeColor="text1"/>
          <w14:textFill>
            <w14:solidFill>
              <w14:schemeClr w14:val="tx1"/>
            </w14:solidFill>
          </w14:textFill>
        </w:rPr>
        <w:t>（7）硫化氢对周围农业的影响分析</w:t>
      </w:r>
    </w:p>
    <w:p w14:paraId="0D54948B">
      <w:pPr>
        <w:pStyle w:val="117"/>
        <w:ind w:firstLine="480"/>
        <w:rPr>
          <w:rFonts w:hint="eastAsia"/>
          <w:color w:val="000000" w:themeColor="text1"/>
          <w:kern w:val="0"/>
          <w14:textFill>
            <w14:solidFill>
              <w14:schemeClr w14:val="tx1"/>
            </w14:solidFill>
          </w14:textFill>
        </w:rPr>
      </w:pPr>
      <w:r>
        <w:rPr>
          <w:rFonts w:hint="eastAsia"/>
          <w:color w:val="000000" w:themeColor="text1"/>
          <w14:textFill>
            <w14:solidFill>
              <w14:schemeClr w14:val="tx1"/>
            </w14:solidFill>
          </w14:textFill>
        </w:rPr>
        <w:t>伴生气中硫化氢含量</w:t>
      </w:r>
      <w:r>
        <w:rPr>
          <w:rFonts w:hint="eastAsia"/>
          <w:color w:val="000000" w:themeColor="text1"/>
          <w:kern w:val="0"/>
          <w14:textFill>
            <w14:solidFill>
              <w14:schemeClr w14:val="tx1"/>
            </w14:solidFill>
          </w14:textFill>
        </w:rPr>
        <w:t>30ppm（41.7mg/m</w:t>
      </w:r>
      <w:r>
        <w:rPr>
          <w:rFonts w:hint="eastAsia"/>
          <w:color w:val="000000" w:themeColor="text1"/>
          <w:kern w:val="0"/>
          <w:vertAlign w:val="superscript"/>
          <w14:textFill>
            <w14:solidFill>
              <w14:schemeClr w14:val="tx1"/>
            </w14:solidFill>
          </w14:textFill>
        </w:rPr>
        <w:t>3</w:t>
      </w:r>
      <w:r>
        <w:rPr>
          <w:rFonts w:hint="eastAsia"/>
          <w:color w:val="000000" w:themeColor="text1"/>
          <w:kern w:val="0"/>
          <w14:textFill>
            <w14:solidFill>
              <w14:schemeClr w14:val="tx1"/>
            </w14:solidFill>
          </w14:textFill>
        </w:rPr>
        <w:t>），注采井场设有除硫加药装置去除采出物中的硫化氢；项目区地域空旷，扩散条件较好，且评价范围内的农业大部分位于采油平台的上风向，伴生气中的硫化氢不会对周围农业产生明显不利影响。</w:t>
      </w:r>
    </w:p>
    <w:bookmarkEnd w:id="537"/>
    <w:p w14:paraId="00D354D1">
      <w:pPr>
        <w:pStyle w:val="117"/>
        <w:ind w:firstLine="480"/>
        <w:rPr>
          <w:rFonts w:hint="eastAsia"/>
          <w:color w:val="000000" w:themeColor="text1"/>
          <w:kern w:val="0"/>
          <w14:textFill>
            <w14:solidFill>
              <w14:schemeClr w14:val="tx1"/>
            </w14:solidFill>
          </w14:textFill>
        </w:rPr>
      </w:pPr>
      <w:r>
        <w:rPr>
          <w:rFonts w:hint="eastAsia"/>
          <w:color w:val="000000" w:themeColor="text1"/>
          <w:kern w:val="0"/>
          <w14:textFill>
            <w14:solidFill>
              <w14:schemeClr w14:val="tx1"/>
            </w14:solidFill>
          </w14:textFill>
        </w:rPr>
        <w:t>（8）对大气环境敏感目标的影响分析</w:t>
      </w:r>
    </w:p>
    <w:p w14:paraId="466991DE">
      <w:pPr>
        <w:pStyle w:val="117"/>
        <w:ind w:firstLine="480"/>
        <w:rPr>
          <w:rFonts w:hint="eastAsia"/>
          <w:color w:val="000000" w:themeColor="text1"/>
          <w:kern w:val="0"/>
          <w14:textFill>
            <w14:solidFill>
              <w14:schemeClr w14:val="tx1"/>
            </w14:solidFill>
          </w14:textFill>
        </w:rPr>
      </w:pPr>
      <w:r>
        <w:rPr>
          <w:rFonts w:hint="eastAsia"/>
          <w:color w:val="000000" w:themeColor="text1"/>
          <w:kern w:val="0"/>
          <w14:textFill>
            <w14:solidFill>
              <w14:schemeClr w14:val="tx1"/>
            </w14:solidFill>
          </w14:textFill>
        </w:rPr>
        <w:t>大气评价范围内存在居民区，项目产生的各类废气均可实现达标排放，居民区主要位于项目区的上风向和侧风向，且项目区地域空旷，扩散条件较好，项目实施不会对大气环境敏感目标产生明显不利影响。</w:t>
      </w:r>
    </w:p>
    <w:bookmarkEnd w:id="538"/>
    <w:p w14:paraId="5B0DD77A">
      <w:pPr>
        <w:pStyle w:val="4"/>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运营期水环境影响分析</w:t>
      </w:r>
    </w:p>
    <w:p w14:paraId="3D1042DB">
      <w:pPr>
        <w:pStyle w:val="117"/>
        <w:spacing w:line="480" w:lineRule="exact"/>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（1）区域水文地质概况</w:t>
      </w:r>
    </w:p>
    <w:p w14:paraId="33E195BD">
      <w:pPr>
        <w:pStyle w:val="117"/>
        <w:spacing w:line="480" w:lineRule="exact"/>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第四系松散岩地层沉积厚度数十米至上百米不等，含水层为一套冲积—湖积的双层结构，上部为潜水，下部为承压水，含水层岩性以粗砂为主，承压含水顶板埋深多大于100m，潜水位埋深较大（10～50m），矿化度＞10g/l，水化学类型主要以CaCl</w:t>
      </w:r>
      <w:r>
        <w:rPr>
          <w:rFonts w:hint="eastAsia"/>
          <w:color w:val="000000" w:themeColor="text1"/>
          <w:vertAlign w:val="subscript"/>
          <w14:textFill>
            <w14:solidFill>
              <w14:schemeClr w14:val="tx1"/>
            </w14:solidFill>
          </w14:textFill>
        </w:rPr>
        <w:t>2</w:t>
      </w:r>
      <w:r>
        <w:rPr>
          <w:rFonts w:hint="eastAsia"/>
          <w:color w:val="000000" w:themeColor="text1"/>
          <w14:textFill>
            <w14:solidFill>
              <w14:schemeClr w14:val="tx1"/>
            </w14:solidFill>
          </w14:textFill>
        </w:rPr>
        <w:t>型为主；水量小，无开采利用价值。</w:t>
      </w:r>
    </w:p>
    <w:p w14:paraId="703A46C1">
      <w:pPr>
        <w:pStyle w:val="117"/>
        <w:spacing w:line="480" w:lineRule="exact"/>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第三系碎屑岩类孔隙—裂隙水广泛分布于准噶尔盆地广大地区，为主要的生产用水开采水源。其含水层岩性主要是砂岩和泥质砂岩，承压水顶板埋深在50～100m以下，矿化度3～10g/L，水化学类型主要以CaCl</w:t>
      </w:r>
      <w:r>
        <w:rPr>
          <w:rFonts w:hint="eastAsia"/>
          <w:color w:val="000000" w:themeColor="text1"/>
          <w:vertAlign w:val="subscript"/>
          <w14:textFill>
            <w14:solidFill>
              <w14:schemeClr w14:val="tx1"/>
            </w14:solidFill>
          </w14:textFill>
        </w:rPr>
        <w:t>2</w:t>
      </w:r>
      <w:r>
        <w:rPr>
          <w:rFonts w:hint="eastAsia"/>
          <w:color w:val="000000" w:themeColor="text1"/>
          <w14:textFill>
            <w14:solidFill>
              <w14:schemeClr w14:val="tx1"/>
            </w14:solidFill>
          </w14:textFill>
        </w:rPr>
        <w:t>型为主；富水性极不均匀，单井涌水量90～500m³/d。</w:t>
      </w:r>
    </w:p>
    <w:p w14:paraId="06B944D1">
      <w:pPr>
        <w:pStyle w:val="191"/>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油田区域地层岩性为：表层为第四系干燥松散的风成沙沉积，厚约</w:t>
      </w:r>
      <w:r>
        <w:rPr>
          <w:color w:val="000000" w:themeColor="text1"/>
          <w14:textFill>
            <w14:solidFill>
              <w14:schemeClr w14:val="tx1"/>
            </w14:solidFill>
          </w14:textFill>
        </w:rPr>
        <w:t>200m</w:t>
      </w:r>
      <w:r>
        <w:rPr>
          <w:rFonts w:hint="eastAsia"/>
          <w:color w:val="000000" w:themeColor="text1"/>
          <w14:textFill>
            <w14:solidFill>
              <w14:schemeClr w14:val="tx1"/>
            </w14:solidFill>
          </w14:textFill>
        </w:rPr>
        <w:t>左右；向下为第三系，地层由以泥岩、砂岩、粉砂岩为主的碎屑沉积物组成，含水层以砂岩为主，厚度在</w:t>
      </w:r>
      <w:r>
        <w:rPr>
          <w:color w:val="000000" w:themeColor="text1"/>
          <w14:textFill>
            <w14:solidFill>
              <w14:schemeClr w14:val="tx1"/>
            </w14:solidFill>
          </w14:textFill>
        </w:rPr>
        <w:t>50</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150m</w:t>
      </w:r>
      <w:r>
        <w:rPr>
          <w:rFonts w:hint="eastAsia"/>
          <w:color w:val="000000" w:themeColor="text1"/>
          <w14:textFill>
            <w14:solidFill>
              <w14:schemeClr w14:val="tx1"/>
            </w14:solidFill>
          </w14:textFill>
        </w:rPr>
        <w:t>；底部为第三系的粉砂岩、泥岩沉积。地下水主要为第三系碎屑岩类承压水，顶板埋深大于</w:t>
      </w:r>
      <w:r>
        <w:rPr>
          <w:color w:val="000000" w:themeColor="text1"/>
          <w14:textFill>
            <w14:solidFill>
              <w14:schemeClr w14:val="tx1"/>
            </w14:solidFill>
          </w14:textFill>
        </w:rPr>
        <w:t>100m</w:t>
      </w:r>
      <w:r>
        <w:rPr>
          <w:rFonts w:hint="eastAsia"/>
          <w:color w:val="000000" w:themeColor="text1"/>
          <w14:textFill>
            <w14:solidFill>
              <w14:schemeClr w14:val="tx1"/>
            </w14:solidFill>
          </w14:textFill>
        </w:rPr>
        <w:t>。本区主要含水层水文地质特征如下：</w:t>
      </w:r>
    </w:p>
    <w:p w14:paraId="0C91AC38">
      <w:pPr>
        <w:pStyle w:val="191"/>
        <w:ind w:firstLine="472"/>
        <w:rPr>
          <w:rFonts w:hint="eastAsia"/>
          <w:color w:val="000000" w:themeColor="text1"/>
          <w:spacing w:val="-2"/>
          <w14:textFill>
            <w14:solidFill>
              <w14:schemeClr w14:val="tx1"/>
            </w14:solidFill>
          </w14:textFill>
        </w:rPr>
      </w:pPr>
      <w:r>
        <w:rPr>
          <w:rFonts w:hint="eastAsia"/>
          <w:color w:val="000000" w:themeColor="text1"/>
          <w:spacing w:val="-4"/>
          <w14:textFill>
            <w14:solidFill>
              <w14:schemeClr w14:val="tx1"/>
            </w14:solidFill>
          </w14:textFill>
        </w:rPr>
        <w:t>①白垩系含水岩组：含水层为砂岩、砾岩，富水性为贫乏～中等，一般水质</w:t>
      </w:r>
      <w:r>
        <w:rPr>
          <w:rFonts w:hint="eastAsia"/>
          <w:color w:val="000000" w:themeColor="text1"/>
          <w:spacing w:val="-2"/>
          <w14:textFill>
            <w14:solidFill>
              <w14:schemeClr w14:val="tx1"/>
            </w14:solidFill>
          </w14:textFill>
        </w:rPr>
        <w:t>较差，为咸水。</w:t>
      </w:r>
    </w:p>
    <w:p w14:paraId="4B888CDA">
      <w:pPr>
        <w:pStyle w:val="191"/>
        <w:ind w:firstLine="476"/>
        <w:rPr>
          <w:rFonts w:hint="eastAsia"/>
          <w:color w:val="000000" w:themeColor="text1"/>
          <w:spacing w:val="-14"/>
          <w14:textFill>
            <w14:solidFill>
              <w14:schemeClr w14:val="tx1"/>
            </w14:solidFill>
          </w14:textFill>
        </w:rPr>
      </w:pPr>
      <w:r>
        <w:rPr>
          <w:rFonts w:hint="eastAsia"/>
          <w:color w:val="000000" w:themeColor="text1"/>
          <w:spacing w:val="-2"/>
          <w14:textFill>
            <w14:solidFill>
              <w14:schemeClr w14:val="tx1"/>
            </w14:solidFill>
          </w14:textFill>
        </w:rPr>
        <w:t>②第三系含水岩组：岩性为中、粗粒砂岩、砾岩、泥岩互层，泥岩将含水的中粗粒砂岩、砾岩分隔成若干层，岩石颗粒越粗，相对富水性越好。因第三系地</w:t>
      </w:r>
      <w:r>
        <w:rPr>
          <w:rFonts w:hint="eastAsia"/>
          <w:color w:val="000000" w:themeColor="text1"/>
          <w:spacing w:val="-14"/>
          <w14:textFill>
            <w14:solidFill>
              <w14:schemeClr w14:val="tx1"/>
            </w14:solidFill>
          </w14:textFill>
        </w:rPr>
        <w:t>层在项目区内厚度很大，分布广泛，主要为承压水，为项目区内重要的含水岩组。</w:t>
      </w:r>
    </w:p>
    <w:p w14:paraId="50905CFD">
      <w:pPr>
        <w:pStyle w:val="191"/>
        <w:ind w:firstLine="472"/>
        <w:rPr>
          <w:rFonts w:hint="eastAsia"/>
          <w:color w:val="000000" w:themeColor="text1"/>
          <w:spacing w:val="-2"/>
          <w14:textFill>
            <w14:solidFill>
              <w14:schemeClr w14:val="tx1"/>
            </w14:solidFill>
          </w14:textFill>
        </w:rPr>
      </w:pPr>
      <w:r>
        <w:rPr>
          <w:rFonts w:hint="eastAsia"/>
          <w:color w:val="000000" w:themeColor="text1"/>
          <w:spacing w:val="-4"/>
          <w14:textFill>
            <w14:solidFill>
              <w14:schemeClr w14:val="tx1"/>
            </w14:solidFill>
          </w14:textFill>
        </w:rPr>
        <w:t>③第四系含水岩组：岩性主要为风成沙，该套岩层基本不含水，富水特征多</w:t>
      </w:r>
      <w:r>
        <w:rPr>
          <w:rFonts w:hint="eastAsia"/>
          <w:color w:val="000000" w:themeColor="text1"/>
          <w:spacing w:val="-2"/>
          <w14:textFill>
            <w14:solidFill>
              <w14:schemeClr w14:val="tx1"/>
            </w14:solidFill>
          </w14:textFill>
        </w:rPr>
        <w:t>为潜水性质。</w:t>
      </w:r>
    </w:p>
    <w:p w14:paraId="4D4C2EED">
      <w:pPr>
        <w:pStyle w:val="191"/>
        <w:ind w:firstLine="476"/>
        <w:rPr>
          <w:rFonts w:hint="eastAsia"/>
          <w:color w:val="000000" w:themeColor="text1"/>
          <w:spacing w:val="-2"/>
          <w14:textFill>
            <w14:solidFill>
              <w14:schemeClr w14:val="tx1"/>
            </w14:solidFill>
          </w14:textFill>
        </w:rPr>
      </w:pPr>
      <w:r>
        <w:rPr>
          <w:rFonts w:hint="eastAsia"/>
          <w:color w:val="000000" w:themeColor="text1"/>
          <w:spacing w:val="-2"/>
          <w14:textFill>
            <w14:solidFill>
              <w14:schemeClr w14:val="tx1"/>
            </w14:solidFill>
          </w14:textFill>
        </w:rPr>
        <w:t>（2）补径排条件</w:t>
      </w:r>
    </w:p>
    <w:p w14:paraId="7EB10BD7">
      <w:pPr>
        <w:pStyle w:val="191"/>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本项目位于准噶尔古尔班通古特沙漠东南缘。山区以及丘陵区为中生界碎屑岩中孔隙裂隙潜水及层间水提供赋存条件。现代河流及间隙水山口外，呈扇形堆积，由洪积造成山麓带，为灰色砾石层，由各种变质岩及火成岩构成，近平原地带，则颗粒变细夹亚砂土层或砂质黏土层，厚度不等</w:t>
      </w:r>
      <w:r>
        <w:rPr>
          <w:color w:val="000000" w:themeColor="text1"/>
          <w14:textFill>
            <w14:solidFill>
              <w14:schemeClr w14:val="tx1"/>
            </w14:solidFill>
          </w14:textFill>
        </w:rPr>
        <w:t>10</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210.4m</w:t>
      </w:r>
      <w:r>
        <w:rPr>
          <w:rFonts w:hint="eastAsia"/>
          <w:color w:val="000000" w:themeColor="text1"/>
          <w14:textFill>
            <w14:solidFill>
              <w14:schemeClr w14:val="tx1"/>
            </w14:solidFill>
          </w14:textFill>
        </w:rPr>
        <w:t>；倾斜平原区砂石层为松散岩类孔隙裂隙水提供了良好地下水储存场所。</w:t>
      </w:r>
    </w:p>
    <w:p w14:paraId="69203DD3">
      <w:pPr>
        <w:pStyle w:val="191"/>
        <w:ind w:firstLine="472"/>
        <w:rPr>
          <w:rFonts w:hint="eastAsia"/>
          <w:color w:val="000000" w:themeColor="text1"/>
          <w:spacing w:val="-4"/>
          <w14:textFill>
            <w14:solidFill>
              <w14:schemeClr w14:val="tx1"/>
            </w14:solidFill>
          </w14:textFill>
        </w:rPr>
      </w:pPr>
      <w:r>
        <w:rPr>
          <w:rFonts w:hint="eastAsia"/>
          <w:color w:val="000000" w:themeColor="text1"/>
          <w:spacing w:val="-4"/>
          <w14:textFill>
            <w14:solidFill>
              <w14:schemeClr w14:val="tx1"/>
            </w14:solidFill>
          </w14:textFill>
        </w:rPr>
        <w:t>本项目区域上属于南部的天山水系地下水系统，从南部天山山区分水岭到平原、沙漠构成一个完整的水文地质单元。按区域地下水运动规律，南侧的博格达高山区是地下水的总发源地和补给区，中山带是地下水补给、径流、排泄交替带，山前倾斜砾质平原及细土平原区是地下水径流、排泄区，沙漠地带是以蒸发为主的地下水排泄区。</w:t>
      </w:r>
    </w:p>
    <w:p w14:paraId="14F0B846">
      <w:pPr>
        <w:pStyle w:val="191"/>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本项目区域地层水的水型为</w:t>
      </w:r>
      <w:r>
        <w:rPr>
          <w:color w:val="000000" w:themeColor="text1"/>
          <w14:textFill>
            <w14:solidFill>
              <w14:schemeClr w14:val="tx1"/>
            </w14:solidFill>
          </w14:textFill>
        </w:rPr>
        <w:t>CaCl</w:t>
      </w:r>
      <w:r>
        <w:rPr>
          <w:color w:val="000000" w:themeColor="text1"/>
          <w:vertAlign w:val="subscript"/>
          <w14:textFill>
            <w14:solidFill>
              <w14:schemeClr w14:val="tx1"/>
            </w14:solidFill>
          </w14:textFill>
        </w:rPr>
        <w:t>2</w:t>
      </w:r>
      <w:r>
        <w:rPr>
          <w:rFonts w:hint="eastAsia"/>
          <w:color w:val="000000" w:themeColor="text1"/>
          <w14:textFill>
            <w14:solidFill>
              <w14:schemeClr w14:val="tx1"/>
            </w14:solidFill>
          </w14:textFill>
        </w:rPr>
        <w:t>型，地下水径流方向基本由南向北。</w:t>
      </w:r>
    </w:p>
    <w:p w14:paraId="71DA0921">
      <w:pPr>
        <w:pStyle w:val="117"/>
        <w:spacing w:line="480" w:lineRule="exact"/>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本工程区域水文地质见图5.2-1。</w:t>
      </w:r>
    </w:p>
    <w:p w14:paraId="549D1D90">
      <w:pPr>
        <w:pStyle w:val="117"/>
        <w:ind w:firstLine="480"/>
        <w:rPr>
          <w:rFonts w:hint="eastAsia"/>
          <w:color w:val="000000" w:themeColor="text1"/>
          <w14:textFill>
            <w14:solidFill>
              <w14:schemeClr w14:val="tx1"/>
            </w14:solidFill>
          </w14:textFill>
        </w:rPr>
      </w:pPr>
      <w:bookmarkStart w:id="539" w:name="OLE_LINK175"/>
      <w:r>
        <w:rPr>
          <w:rFonts w:hint="eastAsia"/>
          <w:color w:val="000000" w:themeColor="text1"/>
          <w14:textFill>
            <w14:solidFill>
              <w14:schemeClr w14:val="tx1"/>
            </w14:solidFill>
          </w14:textFill>
        </w:rPr>
        <w:t>（</w:t>
      </w:r>
      <w:r>
        <w:rPr>
          <w:color w:val="000000" w:themeColor="text1"/>
          <w14:textFill>
            <w14:solidFill>
              <w14:schemeClr w14:val="tx1"/>
            </w14:solidFill>
          </w14:textFill>
        </w:rPr>
        <w:t>2</w:t>
      </w:r>
      <w:r>
        <w:rPr>
          <w:rFonts w:hint="eastAsia"/>
          <w:color w:val="000000" w:themeColor="text1"/>
          <w14:textFill>
            <w14:solidFill>
              <w14:schemeClr w14:val="tx1"/>
            </w14:solidFill>
          </w14:textFill>
        </w:rPr>
        <w:t>）正常工况下对地下水环境影响分析</w:t>
      </w:r>
    </w:p>
    <w:p w14:paraId="2A8410C7">
      <w:pPr>
        <w:pStyle w:val="117"/>
        <w:ind w:firstLine="480"/>
        <w:rPr>
          <w:rFonts w:hint="eastAsia"/>
          <w:color w:val="000000" w:themeColor="text1"/>
          <w14:textFill>
            <w14:solidFill>
              <w14:schemeClr w14:val="tx1"/>
            </w14:solidFill>
          </w14:textFill>
        </w:rPr>
      </w:pPr>
      <w:bookmarkStart w:id="540" w:name="OLE_LINK7"/>
      <w:r>
        <w:rPr>
          <w:rFonts w:hint="eastAsia"/>
          <w:color w:val="000000" w:themeColor="text1"/>
          <w14:textFill>
            <w14:solidFill>
              <w14:schemeClr w14:val="tx1"/>
            </w14:solidFill>
          </w14:textFill>
        </w:rPr>
        <w:t>废水主要为洗井废水、压裂返排液、废洗井液和装置排污水；</w:t>
      </w:r>
      <w:bookmarkEnd w:id="540"/>
      <w:r>
        <w:rPr>
          <w:rFonts w:hint="eastAsia"/>
          <w:color w:val="000000" w:themeColor="text1"/>
          <w14:textFill>
            <w14:solidFill>
              <w14:schemeClr w14:val="tx1"/>
            </w14:solidFill>
          </w14:textFill>
        </w:rPr>
        <w:t>井下作业时带罐作业，废水采用储罐收集后，由罐车拉运至压裂液返排液处理装置处理，出水水质满足</w:t>
      </w:r>
      <w:r>
        <w:rPr>
          <w:rFonts w:hint="eastAsia"/>
          <w:color w:val="000000" w:themeColor="text1"/>
          <w:lang w:val="zh-CN"/>
          <w14:textFill>
            <w14:solidFill>
              <w14:schemeClr w14:val="tx1"/>
            </w14:solidFill>
          </w14:textFill>
        </w:rPr>
        <w:t>《压裂酸化返排液处理技术规范》（Q/SY02012-2016）中的相关要求用于</w:t>
      </w:r>
      <w:r>
        <w:rPr>
          <w:rFonts w:hint="eastAsia"/>
          <w:color w:val="000000" w:themeColor="text1"/>
          <w14:textFill>
            <w14:solidFill>
              <w14:schemeClr w14:val="tx1"/>
            </w14:solidFill>
          </w14:textFill>
        </w:rPr>
        <w:t>压裂液复配，不外排；装置排污水排至排污罐中，由污水泵将排污罐中的液体管输至进站管汇。项目各类废水均得到妥善处置，正常情况下不会对地下水产生不利影响。</w:t>
      </w:r>
    </w:p>
    <w:p w14:paraId="2784789D">
      <w:pPr>
        <w:pStyle w:val="117"/>
        <w:spacing w:line="480" w:lineRule="exact"/>
        <w:ind w:firstLine="480"/>
        <w:rPr>
          <w:rFonts w:hint="eastAsia"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w:t>
      </w:r>
      <w:r>
        <w:rPr>
          <w:rFonts w:cs="宋体"/>
          <w:color w:val="000000" w:themeColor="text1"/>
          <w14:textFill>
            <w14:solidFill>
              <w14:schemeClr w14:val="tx1"/>
            </w14:solidFill>
          </w14:textFill>
        </w:rPr>
        <w:t>3</w:t>
      </w:r>
      <w:r>
        <w:rPr>
          <w:rFonts w:hint="eastAsia" w:cs="宋体"/>
          <w:color w:val="000000" w:themeColor="text1"/>
          <w14:textFill>
            <w14:solidFill>
              <w14:schemeClr w14:val="tx1"/>
            </w14:solidFill>
          </w14:textFill>
        </w:rPr>
        <w:t>）非正常工况对地下水环境影响分析</w:t>
      </w:r>
    </w:p>
    <w:p w14:paraId="2013DC1B">
      <w:pPr>
        <w:pStyle w:val="117"/>
        <w:spacing w:line="480" w:lineRule="exact"/>
        <w:ind w:firstLine="480"/>
        <w:rPr>
          <w:rFonts w:hint="eastAsia" w:cs="宋体"/>
          <w:color w:val="000000" w:themeColor="text1"/>
          <w14:textFill>
            <w14:solidFill>
              <w14:schemeClr w14:val="tx1"/>
            </w14:solidFill>
          </w14:textFill>
        </w:rPr>
      </w:pPr>
      <w:bookmarkStart w:id="541" w:name="_Hlk173435833"/>
      <w:r>
        <w:rPr>
          <w:rFonts w:hint="eastAsia" w:cs="宋体"/>
          <w:color w:val="000000" w:themeColor="text1"/>
          <w14:textFill>
            <w14:solidFill>
              <w14:schemeClr w14:val="tx1"/>
            </w14:solidFill>
          </w14:textFill>
        </w:rPr>
        <w:t>本次评价非正常工况主要考虑集油支线泄漏、套管破损泄漏对地下水环境的影响分析。</w:t>
      </w:r>
    </w:p>
    <w:bookmarkEnd w:id="541"/>
    <w:p w14:paraId="34EFACB5">
      <w:pPr>
        <w:pStyle w:val="117"/>
        <w:spacing w:line="480" w:lineRule="exact"/>
        <w:ind w:firstLine="480"/>
        <w:rPr>
          <w:rFonts w:hint="eastAsia" w:cs="宋体"/>
          <w:color w:val="000000" w:themeColor="text1"/>
          <w14:textFill>
            <w14:solidFill>
              <w14:schemeClr w14:val="tx1"/>
            </w14:solidFill>
          </w14:textFill>
        </w:rPr>
      </w:pPr>
      <w:r>
        <w:rPr>
          <w:rFonts w:hint="eastAsia"/>
          <w:color w:val="000000" w:themeColor="text1"/>
          <w14:textFill>
            <w14:solidFill>
              <w14:schemeClr w14:val="tx1"/>
            </w14:solidFill>
          </w14:textFill>
        </w:rPr>
        <w:t>①集油支线</w:t>
      </w:r>
      <w:r>
        <w:rPr>
          <w:rFonts w:hint="eastAsia" w:cs="宋体"/>
          <w:color w:val="000000" w:themeColor="text1"/>
          <w14:textFill>
            <w14:solidFill>
              <w14:schemeClr w14:val="tx1"/>
            </w14:solidFill>
          </w14:textFill>
        </w:rPr>
        <w:t>泄漏对地下水的影响</w:t>
      </w:r>
    </w:p>
    <w:p w14:paraId="69C17EBB">
      <w:pPr>
        <w:spacing w:line="500" w:lineRule="exact"/>
        <w:ind w:firstLine="480"/>
        <w:rPr>
          <w:rFonts w:hint="eastAsia" w:ascii="宋体" w:hAnsi="宋体"/>
          <w:color w:val="000000" w:themeColor="text1"/>
          <w:sz w:val="24"/>
          <w14:textFill>
            <w14:solidFill>
              <w14:schemeClr w14:val="tx1"/>
            </w14:solidFill>
          </w14:textFill>
        </w:rPr>
      </w:pPr>
      <w:bookmarkStart w:id="542" w:name="_Hlk147587649"/>
      <w:r>
        <w:rPr>
          <w:rFonts w:hint="eastAsia" w:ascii="宋体" w:hAnsi="宋体"/>
          <w:color w:val="000000" w:themeColor="text1"/>
          <w:sz w:val="24"/>
          <w:szCs w:val="24"/>
          <w14:textFill>
            <w14:solidFill>
              <w14:schemeClr w14:val="tx1"/>
            </w14:solidFill>
          </w14:textFill>
        </w:rPr>
        <w:t>※</w:t>
      </w:r>
      <w:r>
        <w:rPr>
          <w:rFonts w:hint="eastAsia" w:ascii="宋体" w:hAnsi="宋体"/>
          <w:color w:val="000000" w:themeColor="text1"/>
          <w:sz w:val="24"/>
          <w14:textFill>
            <w14:solidFill>
              <w14:schemeClr w14:val="tx1"/>
            </w14:solidFill>
          </w14:textFill>
        </w:rPr>
        <w:t>预测情景设定</w:t>
      </w:r>
    </w:p>
    <w:p w14:paraId="3F27CA1D">
      <w:pPr>
        <w:pStyle w:val="117"/>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非正常工况下，单井采油管线和集油干支线破裂导致原油泄漏，泄漏的原油可能通过包气带土层</w:t>
      </w:r>
      <w:r>
        <w:rPr>
          <w:color w:val="000000" w:themeColor="text1"/>
          <w14:textFill>
            <w14:solidFill>
              <w14:schemeClr w14:val="tx1"/>
            </w14:solidFill>
          </w14:textFill>
        </w:rPr>
        <w:t>渗漏进入</w:t>
      </w:r>
      <w:r>
        <w:rPr>
          <w:rFonts w:hint="eastAsia"/>
          <w:color w:val="000000" w:themeColor="text1"/>
          <w14:textFill>
            <w14:solidFill>
              <w14:schemeClr w14:val="tx1"/>
            </w14:solidFill>
          </w14:textFill>
        </w:rPr>
        <w:t>地下</w:t>
      </w:r>
      <w:r>
        <w:rPr>
          <w:color w:val="000000" w:themeColor="text1"/>
          <w14:textFill>
            <w14:solidFill>
              <w14:schemeClr w14:val="tx1"/>
            </w14:solidFill>
          </w14:textFill>
        </w:rPr>
        <w:t>含水层</w:t>
      </w:r>
      <w:r>
        <w:rPr>
          <w:rFonts w:hint="eastAsia"/>
          <w:color w:val="000000" w:themeColor="text1"/>
          <w14:textFill>
            <w14:solidFill>
              <w14:schemeClr w14:val="tx1"/>
            </w14:solidFill>
          </w14:textFill>
        </w:rPr>
        <w:t>，对地下水造成污染影响。</w:t>
      </w:r>
      <w:bookmarkEnd w:id="542"/>
      <w:r>
        <w:rPr>
          <w:rFonts w:hint="eastAsia"/>
          <w:color w:val="000000" w:themeColor="text1"/>
          <w14:textFill>
            <w14:solidFill>
              <w14:schemeClr w14:val="tx1"/>
            </w14:solidFill>
          </w14:textFill>
        </w:rPr>
        <w:t>据前节工程分析，本次针对集油支线泄漏对地下水产生的影响进行预测。</w:t>
      </w:r>
    </w:p>
    <w:p w14:paraId="74818FE0">
      <w:pPr>
        <w:pStyle w:val="117"/>
        <w:ind w:firstLine="480" w:firstLineChars="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※泄漏量预测</w:t>
      </w:r>
    </w:p>
    <w:p w14:paraId="2979804F">
      <w:pPr>
        <w:pStyle w:val="117"/>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按最不利情况考虑假设条件，假设集油干线发生孔径10mm的泄漏和排污罐在距离底部0</w:t>
      </w:r>
      <w:r>
        <w:rPr>
          <w:color w:val="000000" w:themeColor="text1"/>
          <w14:textFill>
            <w14:solidFill>
              <w14:schemeClr w14:val="tx1"/>
            </w14:solidFill>
          </w14:textFill>
        </w:rPr>
        <w:t>.5</w:t>
      </w:r>
      <w:r>
        <w:rPr>
          <w:rFonts w:hint="eastAsia"/>
          <w:color w:val="000000" w:themeColor="text1"/>
          <w14:textFill>
            <w14:solidFill>
              <w14:schemeClr w14:val="tx1"/>
            </w14:solidFill>
          </w14:textFill>
        </w:rPr>
        <w:t>m处发生0</w:t>
      </w:r>
      <w:r>
        <w:rPr>
          <w:color w:val="000000" w:themeColor="text1"/>
          <w14:textFill>
            <w14:solidFill>
              <w14:schemeClr w14:val="tx1"/>
            </w14:solidFill>
          </w14:textFill>
        </w:rPr>
        <w:t>.01</w:t>
      </w:r>
      <w:r>
        <w:rPr>
          <w:rFonts w:hint="eastAsia"/>
          <w:color w:val="000000" w:themeColor="text1"/>
          <w14:textFill>
            <w14:solidFill>
              <w14:schemeClr w14:val="tx1"/>
            </w14:solidFill>
          </w14:textFill>
        </w:rPr>
        <w:t>m孔径破裂，泄漏</w:t>
      </w:r>
      <w:r>
        <w:rPr>
          <w:color w:val="000000" w:themeColor="text1"/>
          <w14:textFill>
            <w14:solidFill>
              <w14:schemeClr w14:val="tx1"/>
            </w14:solidFill>
          </w14:textFill>
        </w:rPr>
        <w:t>速度Q</w:t>
      </w:r>
      <w:r>
        <w:rPr>
          <w:color w:val="000000" w:themeColor="text1"/>
          <w:vertAlign w:val="subscript"/>
          <w14:textFill>
            <w14:solidFill>
              <w14:schemeClr w14:val="tx1"/>
            </w14:solidFill>
          </w14:textFill>
        </w:rPr>
        <w:t>L</w:t>
      </w:r>
      <w:r>
        <w:rPr>
          <w:color w:val="000000" w:themeColor="text1"/>
          <w14:textFill>
            <w14:solidFill>
              <w14:schemeClr w14:val="tx1"/>
            </w14:solidFill>
          </w14:textFill>
        </w:rPr>
        <w:t>用</w:t>
      </w:r>
      <w:r>
        <w:rPr>
          <w:rFonts w:hint="eastAsia"/>
          <w:color w:val="000000" w:themeColor="text1"/>
          <w14:textFill>
            <w14:solidFill>
              <w14:schemeClr w14:val="tx1"/>
            </w14:solidFill>
          </w14:textFill>
        </w:rPr>
        <w:t>伯</w:t>
      </w:r>
      <w:r>
        <w:rPr>
          <w:color w:val="000000" w:themeColor="text1"/>
          <w14:textFill>
            <w14:solidFill>
              <w14:schemeClr w14:val="tx1"/>
            </w14:solidFill>
          </w14:textFill>
        </w:rPr>
        <w:t>努利方程计算：</w:t>
      </w:r>
    </w:p>
    <w:p w14:paraId="353C1AF6">
      <w:pPr>
        <w:pStyle w:val="117"/>
        <w:spacing w:line="480" w:lineRule="exact"/>
        <w:ind w:firstLine="393"/>
        <w:rPr>
          <w:rFonts w:ascii="Calibri" w:hAnsi="Calibri"/>
          <w:b/>
          <w:bCs/>
          <w:color w:val="000000" w:themeColor="text1"/>
          <w:spacing w:val="-3"/>
          <w:w w:val="95"/>
          <w:sz w:val="21"/>
          <w:szCs w:val="22"/>
          <w14:textFill>
            <w14:solidFill>
              <w14:schemeClr w14:val="tx1"/>
            </w14:solidFill>
          </w14:textFill>
        </w:rPr>
      </w:pPr>
    </w:p>
    <w:p w14:paraId="5DE3150D">
      <w:pPr>
        <w:pStyle w:val="117"/>
        <w:spacing w:line="480" w:lineRule="exact"/>
        <w:ind w:firstLine="393"/>
        <w:rPr>
          <w:rFonts w:ascii="Calibri" w:hAnsi="Calibri"/>
          <w:b/>
          <w:bCs/>
          <w:color w:val="000000" w:themeColor="text1"/>
          <w:spacing w:val="-3"/>
          <w:w w:val="95"/>
          <w:sz w:val="21"/>
          <w:szCs w:val="22"/>
          <w14:textFill>
            <w14:solidFill>
              <w14:schemeClr w14:val="tx1"/>
            </w14:solidFill>
          </w14:textFill>
        </w:rPr>
      </w:pPr>
    </w:p>
    <w:p w14:paraId="6BAB6AB6">
      <w:pPr>
        <w:pStyle w:val="117"/>
        <w:spacing w:line="480" w:lineRule="exact"/>
        <w:ind w:firstLine="480"/>
        <w:rPr>
          <w:rFonts w:ascii="Calibri" w:hAnsi="Calibri"/>
          <w:b/>
          <w:bCs/>
          <w:color w:val="000000" w:themeColor="text1"/>
          <w:spacing w:val="-3"/>
          <w:w w:val="95"/>
          <w:sz w:val="21"/>
          <w:szCs w:val="22"/>
          <w14:textFill>
            <w14:solidFill>
              <w14:schemeClr w14:val="tx1"/>
            </w14:solidFill>
          </w14:textFill>
        </w:rPr>
      </w:pPr>
      <w:r>
        <w:rPr>
          <w:color w:val="000000" w:themeColor="text1"/>
          <w14:textFill>
            <w14:solidFill>
              <w14:schemeClr w14:val="tx1"/>
            </w14:solidFill>
          </w14:textFill>
        </w:rPr>
        <mc:AlternateContent>
          <mc:Choice Requires="wpg">
            <w:drawing>
              <wp:anchor distT="0" distB="0" distL="114300" distR="114300" simplePos="0" relativeHeight="251673600" behindDoc="0" locked="0" layoutInCell="0" allowOverlap="1">
                <wp:simplePos x="0" y="0"/>
                <wp:positionH relativeFrom="column">
                  <wp:posOffset>136525</wp:posOffset>
                </wp:positionH>
                <wp:positionV relativeFrom="paragraph">
                  <wp:posOffset>128905</wp:posOffset>
                </wp:positionV>
                <wp:extent cx="5278755" cy="7323455"/>
                <wp:effectExtent l="0" t="0" r="1270" b="0"/>
                <wp:wrapNone/>
                <wp:docPr id="6" name="组合 6"/>
                <wp:cNvGraphicFramePr/>
                <a:graphic xmlns:a="http://schemas.openxmlformats.org/drawingml/2006/main">
                  <a:graphicData uri="http://schemas.microsoft.com/office/word/2010/wordprocessingGroup">
                    <wpg:wgp>
                      <wpg:cNvGrpSpPr/>
                      <wpg:grpSpPr>
                        <a:xfrm>
                          <a:off x="0" y="0"/>
                          <a:ext cx="5278754" cy="7323455"/>
                          <a:chOff x="0" y="0"/>
                          <a:chExt cx="7280" cy="10760"/>
                        </a:xfrm>
                      </wpg:grpSpPr>
                      <pic:pic xmlns:pic="http://schemas.openxmlformats.org/drawingml/2006/picture">
                        <pic:nvPicPr>
                          <pic:cNvPr id="7"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7280" cy="10760"/>
                          </a:xfrm>
                          <a:prstGeom prst="rect">
                            <a:avLst/>
                          </a:prstGeom>
                          <a:noFill/>
                          <a:ln>
                            <a:noFill/>
                          </a:ln>
                        </pic:spPr>
                      </pic:pic>
                      <wpg:grpSp>
                        <wpg:cNvPr id="12" name="Group 9"/>
                        <wpg:cNvGrpSpPr/>
                        <wpg:grpSpPr>
                          <a:xfrm>
                            <a:off x="4126" y="1860"/>
                            <a:ext cx="2163" cy="1156"/>
                            <a:chOff x="4126" y="1860"/>
                            <a:chExt cx="2163" cy="1156"/>
                          </a:xfrm>
                        </wpg:grpSpPr>
                        <wps:wsp>
                          <wps:cNvPr id="13" name="Freeform 10"/>
                          <wps:cNvSpPr/>
                          <wps:spPr bwMode="auto">
                            <a:xfrm>
                              <a:off x="4126" y="1860"/>
                              <a:ext cx="2163" cy="1156"/>
                            </a:xfrm>
                            <a:custGeom>
                              <a:avLst/>
                              <a:gdLst>
                                <a:gd name="T0" fmla="*/ 965 w 2163"/>
                                <a:gd name="T1" fmla="*/ 536 h 1156"/>
                                <a:gd name="T2" fmla="*/ 759 w 2163"/>
                                <a:gd name="T3" fmla="*/ 536 h 1156"/>
                                <a:gd name="T4" fmla="*/ 759 w 2163"/>
                                <a:gd name="T5" fmla="*/ 0 h 1156"/>
                                <a:gd name="T6" fmla="*/ 2162 w 2163"/>
                                <a:gd name="T7" fmla="*/ 0 h 1156"/>
                                <a:gd name="T8" fmla="*/ 2162 w 2163"/>
                                <a:gd name="T9" fmla="*/ 10 h 1156"/>
                                <a:gd name="T10" fmla="*/ 779 w 2163"/>
                                <a:gd name="T11" fmla="*/ 10 h 1156"/>
                                <a:gd name="T12" fmla="*/ 769 w 2163"/>
                                <a:gd name="T13" fmla="*/ 20 h 1156"/>
                                <a:gd name="T14" fmla="*/ 779 w 2163"/>
                                <a:gd name="T15" fmla="*/ 20 h 1156"/>
                                <a:gd name="T16" fmla="*/ 779 w 2163"/>
                                <a:gd name="T17" fmla="*/ 516 h 1156"/>
                                <a:gd name="T18" fmla="*/ 769 w 2163"/>
                                <a:gd name="T19" fmla="*/ 516 h 1156"/>
                                <a:gd name="T20" fmla="*/ 779 w 2163"/>
                                <a:gd name="T21" fmla="*/ 526 h 1156"/>
                                <a:gd name="T22" fmla="*/ 981 w 2163"/>
                                <a:gd name="T23" fmla="*/ 526 h 1156"/>
                                <a:gd name="T24" fmla="*/ 965 w 2163"/>
                                <a:gd name="T25" fmla="*/ 536 h 11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163" h="1156">
                                  <a:moveTo>
                                    <a:pt x="965" y="536"/>
                                  </a:moveTo>
                                  <a:lnTo>
                                    <a:pt x="759" y="536"/>
                                  </a:lnTo>
                                  <a:lnTo>
                                    <a:pt x="759" y="0"/>
                                  </a:lnTo>
                                  <a:lnTo>
                                    <a:pt x="2162" y="0"/>
                                  </a:lnTo>
                                  <a:lnTo>
                                    <a:pt x="2162" y="10"/>
                                  </a:lnTo>
                                  <a:lnTo>
                                    <a:pt x="779" y="10"/>
                                  </a:lnTo>
                                  <a:lnTo>
                                    <a:pt x="769" y="20"/>
                                  </a:lnTo>
                                  <a:lnTo>
                                    <a:pt x="779" y="20"/>
                                  </a:lnTo>
                                  <a:lnTo>
                                    <a:pt x="779" y="516"/>
                                  </a:lnTo>
                                  <a:lnTo>
                                    <a:pt x="769" y="516"/>
                                  </a:lnTo>
                                  <a:lnTo>
                                    <a:pt x="779" y="526"/>
                                  </a:lnTo>
                                  <a:lnTo>
                                    <a:pt x="981" y="526"/>
                                  </a:lnTo>
                                  <a:lnTo>
                                    <a:pt x="965" y="536"/>
                                  </a:lnTo>
                                  <a:close/>
                                </a:path>
                              </a:pathLst>
                            </a:custGeom>
                            <a:solidFill>
                              <a:srgbClr val="FF0000"/>
                            </a:solidFill>
                            <a:ln>
                              <a:noFill/>
                            </a:ln>
                          </wps:spPr>
                          <wps:bodyPr rot="0" vert="horz" wrap="square" lIns="91440" tIns="45720" rIns="91440" bIns="45720" anchor="t" anchorCtr="0" upright="1">
                            <a:noAutofit/>
                          </wps:bodyPr>
                        </wps:wsp>
                        <wps:wsp>
                          <wps:cNvPr id="14" name="Freeform 11"/>
                          <wps:cNvSpPr/>
                          <wps:spPr bwMode="auto">
                            <a:xfrm>
                              <a:off x="4126" y="1860"/>
                              <a:ext cx="2163" cy="1156"/>
                            </a:xfrm>
                            <a:custGeom>
                              <a:avLst/>
                              <a:gdLst>
                                <a:gd name="T0" fmla="*/ 779 w 2163"/>
                                <a:gd name="T1" fmla="*/ 20 h 1156"/>
                                <a:gd name="T2" fmla="*/ 769 w 2163"/>
                                <a:gd name="T3" fmla="*/ 20 h 1156"/>
                                <a:gd name="T4" fmla="*/ 779 w 2163"/>
                                <a:gd name="T5" fmla="*/ 10 h 1156"/>
                                <a:gd name="T6" fmla="*/ 779 w 2163"/>
                                <a:gd name="T7" fmla="*/ 20 h 1156"/>
                              </a:gdLst>
                              <a:ahLst/>
                              <a:cxnLst>
                                <a:cxn ang="0">
                                  <a:pos x="T0" y="T1"/>
                                </a:cxn>
                                <a:cxn ang="0">
                                  <a:pos x="T2" y="T3"/>
                                </a:cxn>
                                <a:cxn ang="0">
                                  <a:pos x="T4" y="T5"/>
                                </a:cxn>
                                <a:cxn ang="0">
                                  <a:pos x="T6" y="T7"/>
                                </a:cxn>
                              </a:cxnLst>
                              <a:rect l="0" t="0" r="r" b="b"/>
                              <a:pathLst>
                                <a:path w="2163" h="1156">
                                  <a:moveTo>
                                    <a:pt x="779" y="20"/>
                                  </a:moveTo>
                                  <a:lnTo>
                                    <a:pt x="769" y="20"/>
                                  </a:lnTo>
                                  <a:lnTo>
                                    <a:pt x="779" y="10"/>
                                  </a:lnTo>
                                  <a:lnTo>
                                    <a:pt x="779" y="20"/>
                                  </a:lnTo>
                                  <a:close/>
                                </a:path>
                              </a:pathLst>
                            </a:custGeom>
                            <a:solidFill>
                              <a:srgbClr val="FF0000"/>
                            </a:solidFill>
                            <a:ln>
                              <a:noFill/>
                            </a:ln>
                          </wps:spPr>
                          <wps:bodyPr rot="0" vert="horz" wrap="square" lIns="91440" tIns="45720" rIns="91440" bIns="45720" anchor="t" anchorCtr="0" upright="1">
                            <a:noAutofit/>
                          </wps:bodyPr>
                        </wps:wsp>
                        <wps:wsp>
                          <wps:cNvPr id="15" name="Freeform 12"/>
                          <wps:cNvSpPr/>
                          <wps:spPr bwMode="auto">
                            <a:xfrm>
                              <a:off x="4126" y="1860"/>
                              <a:ext cx="2163" cy="1156"/>
                            </a:xfrm>
                            <a:custGeom>
                              <a:avLst/>
                              <a:gdLst>
                                <a:gd name="T0" fmla="*/ 2142 w 2163"/>
                                <a:gd name="T1" fmla="*/ 20 h 1156"/>
                                <a:gd name="T2" fmla="*/ 779 w 2163"/>
                                <a:gd name="T3" fmla="*/ 20 h 1156"/>
                                <a:gd name="T4" fmla="*/ 779 w 2163"/>
                                <a:gd name="T5" fmla="*/ 10 h 1156"/>
                                <a:gd name="T6" fmla="*/ 2142 w 2163"/>
                                <a:gd name="T7" fmla="*/ 10 h 1156"/>
                                <a:gd name="T8" fmla="*/ 2142 w 2163"/>
                                <a:gd name="T9" fmla="*/ 20 h 1156"/>
                              </a:gdLst>
                              <a:ahLst/>
                              <a:cxnLst>
                                <a:cxn ang="0">
                                  <a:pos x="T0" y="T1"/>
                                </a:cxn>
                                <a:cxn ang="0">
                                  <a:pos x="T2" y="T3"/>
                                </a:cxn>
                                <a:cxn ang="0">
                                  <a:pos x="T4" y="T5"/>
                                </a:cxn>
                                <a:cxn ang="0">
                                  <a:pos x="T6" y="T7"/>
                                </a:cxn>
                                <a:cxn ang="0">
                                  <a:pos x="T8" y="T9"/>
                                </a:cxn>
                              </a:cxnLst>
                              <a:rect l="0" t="0" r="r" b="b"/>
                              <a:pathLst>
                                <a:path w="2163" h="1156">
                                  <a:moveTo>
                                    <a:pt x="2142" y="20"/>
                                  </a:moveTo>
                                  <a:lnTo>
                                    <a:pt x="779" y="20"/>
                                  </a:lnTo>
                                  <a:lnTo>
                                    <a:pt x="779" y="10"/>
                                  </a:lnTo>
                                  <a:lnTo>
                                    <a:pt x="2142" y="10"/>
                                  </a:lnTo>
                                  <a:lnTo>
                                    <a:pt x="2142" y="20"/>
                                  </a:lnTo>
                                  <a:close/>
                                </a:path>
                              </a:pathLst>
                            </a:custGeom>
                            <a:solidFill>
                              <a:srgbClr val="FF0000"/>
                            </a:solidFill>
                            <a:ln>
                              <a:noFill/>
                            </a:ln>
                          </wps:spPr>
                          <wps:bodyPr rot="0" vert="horz" wrap="square" lIns="91440" tIns="45720" rIns="91440" bIns="45720" anchor="t" anchorCtr="0" upright="1">
                            <a:noAutofit/>
                          </wps:bodyPr>
                        </wps:wsp>
                        <wps:wsp>
                          <wps:cNvPr id="20" name="Freeform 13"/>
                          <wps:cNvSpPr/>
                          <wps:spPr bwMode="auto">
                            <a:xfrm>
                              <a:off x="4126" y="1860"/>
                              <a:ext cx="2163" cy="1156"/>
                            </a:xfrm>
                            <a:custGeom>
                              <a:avLst/>
                              <a:gdLst>
                                <a:gd name="T0" fmla="*/ 2142 w 2163"/>
                                <a:gd name="T1" fmla="*/ 526 h 1156"/>
                                <a:gd name="T2" fmla="*/ 2142 w 2163"/>
                                <a:gd name="T3" fmla="*/ 10 h 1156"/>
                                <a:gd name="T4" fmla="*/ 2152 w 2163"/>
                                <a:gd name="T5" fmla="*/ 20 h 1156"/>
                                <a:gd name="T6" fmla="*/ 2162 w 2163"/>
                                <a:gd name="T7" fmla="*/ 20 h 1156"/>
                                <a:gd name="T8" fmla="*/ 2162 w 2163"/>
                                <a:gd name="T9" fmla="*/ 516 h 1156"/>
                                <a:gd name="T10" fmla="*/ 2152 w 2163"/>
                                <a:gd name="T11" fmla="*/ 516 h 1156"/>
                                <a:gd name="T12" fmla="*/ 2142 w 2163"/>
                                <a:gd name="T13" fmla="*/ 526 h 1156"/>
                              </a:gdLst>
                              <a:ahLst/>
                              <a:cxnLst>
                                <a:cxn ang="0">
                                  <a:pos x="T0" y="T1"/>
                                </a:cxn>
                                <a:cxn ang="0">
                                  <a:pos x="T2" y="T3"/>
                                </a:cxn>
                                <a:cxn ang="0">
                                  <a:pos x="T4" y="T5"/>
                                </a:cxn>
                                <a:cxn ang="0">
                                  <a:pos x="T6" y="T7"/>
                                </a:cxn>
                                <a:cxn ang="0">
                                  <a:pos x="T8" y="T9"/>
                                </a:cxn>
                                <a:cxn ang="0">
                                  <a:pos x="T10" y="T11"/>
                                </a:cxn>
                                <a:cxn ang="0">
                                  <a:pos x="T12" y="T13"/>
                                </a:cxn>
                              </a:cxnLst>
                              <a:rect l="0" t="0" r="r" b="b"/>
                              <a:pathLst>
                                <a:path w="2163" h="1156">
                                  <a:moveTo>
                                    <a:pt x="2142" y="526"/>
                                  </a:moveTo>
                                  <a:lnTo>
                                    <a:pt x="2142" y="10"/>
                                  </a:lnTo>
                                  <a:lnTo>
                                    <a:pt x="2152" y="20"/>
                                  </a:lnTo>
                                  <a:lnTo>
                                    <a:pt x="2162" y="20"/>
                                  </a:lnTo>
                                  <a:lnTo>
                                    <a:pt x="2162" y="516"/>
                                  </a:lnTo>
                                  <a:lnTo>
                                    <a:pt x="2152" y="516"/>
                                  </a:lnTo>
                                  <a:lnTo>
                                    <a:pt x="2142" y="526"/>
                                  </a:lnTo>
                                  <a:close/>
                                </a:path>
                              </a:pathLst>
                            </a:custGeom>
                            <a:solidFill>
                              <a:srgbClr val="FF0000"/>
                            </a:solidFill>
                            <a:ln>
                              <a:noFill/>
                            </a:ln>
                          </wps:spPr>
                          <wps:bodyPr rot="0" vert="horz" wrap="square" lIns="91440" tIns="45720" rIns="91440" bIns="45720" anchor="t" anchorCtr="0" upright="1">
                            <a:noAutofit/>
                          </wps:bodyPr>
                        </wps:wsp>
                        <wps:wsp>
                          <wps:cNvPr id="25" name="Freeform 14"/>
                          <wps:cNvSpPr/>
                          <wps:spPr bwMode="auto">
                            <a:xfrm>
                              <a:off x="4126" y="1860"/>
                              <a:ext cx="2163" cy="1156"/>
                            </a:xfrm>
                            <a:custGeom>
                              <a:avLst/>
                              <a:gdLst>
                                <a:gd name="T0" fmla="*/ 2162 w 2163"/>
                                <a:gd name="T1" fmla="*/ 20 h 1156"/>
                                <a:gd name="T2" fmla="*/ 2152 w 2163"/>
                                <a:gd name="T3" fmla="*/ 20 h 1156"/>
                                <a:gd name="T4" fmla="*/ 2142 w 2163"/>
                                <a:gd name="T5" fmla="*/ 10 h 1156"/>
                                <a:gd name="T6" fmla="*/ 2162 w 2163"/>
                                <a:gd name="T7" fmla="*/ 10 h 1156"/>
                                <a:gd name="T8" fmla="*/ 2162 w 2163"/>
                                <a:gd name="T9" fmla="*/ 20 h 1156"/>
                              </a:gdLst>
                              <a:ahLst/>
                              <a:cxnLst>
                                <a:cxn ang="0">
                                  <a:pos x="T0" y="T1"/>
                                </a:cxn>
                                <a:cxn ang="0">
                                  <a:pos x="T2" y="T3"/>
                                </a:cxn>
                                <a:cxn ang="0">
                                  <a:pos x="T4" y="T5"/>
                                </a:cxn>
                                <a:cxn ang="0">
                                  <a:pos x="T6" y="T7"/>
                                </a:cxn>
                                <a:cxn ang="0">
                                  <a:pos x="T8" y="T9"/>
                                </a:cxn>
                              </a:cxnLst>
                              <a:rect l="0" t="0" r="r" b="b"/>
                              <a:pathLst>
                                <a:path w="2163" h="1156">
                                  <a:moveTo>
                                    <a:pt x="2162" y="20"/>
                                  </a:moveTo>
                                  <a:lnTo>
                                    <a:pt x="2152" y="20"/>
                                  </a:lnTo>
                                  <a:lnTo>
                                    <a:pt x="2142" y="10"/>
                                  </a:lnTo>
                                  <a:lnTo>
                                    <a:pt x="2162" y="10"/>
                                  </a:lnTo>
                                  <a:lnTo>
                                    <a:pt x="2162" y="20"/>
                                  </a:lnTo>
                                  <a:close/>
                                </a:path>
                              </a:pathLst>
                            </a:custGeom>
                            <a:solidFill>
                              <a:srgbClr val="FF0000"/>
                            </a:solidFill>
                            <a:ln>
                              <a:noFill/>
                            </a:ln>
                          </wps:spPr>
                          <wps:bodyPr rot="0" vert="horz" wrap="square" lIns="91440" tIns="45720" rIns="91440" bIns="45720" anchor="t" anchorCtr="0" upright="1">
                            <a:noAutofit/>
                          </wps:bodyPr>
                        </wps:wsp>
                        <wps:wsp>
                          <wps:cNvPr id="26" name="Freeform 15"/>
                          <wps:cNvSpPr/>
                          <wps:spPr bwMode="auto">
                            <a:xfrm>
                              <a:off x="4126" y="1860"/>
                              <a:ext cx="2163" cy="1156"/>
                            </a:xfrm>
                            <a:custGeom>
                              <a:avLst/>
                              <a:gdLst>
                                <a:gd name="T0" fmla="*/ 779 w 2163"/>
                                <a:gd name="T1" fmla="*/ 526 h 1156"/>
                                <a:gd name="T2" fmla="*/ 769 w 2163"/>
                                <a:gd name="T3" fmla="*/ 516 h 1156"/>
                                <a:gd name="T4" fmla="*/ 779 w 2163"/>
                                <a:gd name="T5" fmla="*/ 516 h 1156"/>
                                <a:gd name="T6" fmla="*/ 779 w 2163"/>
                                <a:gd name="T7" fmla="*/ 526 h 1156"/>
                              </a:gdLst>
                              <a:ahLst/>
                              <a:cxnLst>
                                <a:cxn ang="0">
                                  <a:pos x="T0" y="T1"/>
                                </a:cxn>
                                <a:cxn ang="0">
                                  <a:pos x="T2" y="T3"/>
                                </a:cxn>
                                <a:cxn ang="0">
                                  <a:pos x="T4" y="T5"/>
                                </a:cxn>
                                <a:cxn ang="0">
                                  <a:pos x="T6" y="T7"/>
                                </a:cxn>
                              </a:cxnLst>
                              <a:rect l="0" t="0" r="r" b="b"/>
                              <a:pathLst>
                                <a:path w="2163" h="1156">
                                  <a:moveTo>
                                    <a:pt x="779" y="526"/>
                                  </a:moveTo>
                                  <a:lnTo>
                                    <a:pt x="769" y="516"/>
                                  </a:lnTo>
                                  <a:lnTo>
                                    <a:pt x="779" y="516"/>
                                  </a:lnTo>
                                  <a:lnTo>
                                    <a:pt x="779" y="526"/>
                                  </a:lnTo>
                                  <a:close/>
                                </a:path>
                              </a:pathLst>
                            </a:custGeom>
                            <a:solidFill>
                              <a:srgbClr val="FF0000"/>
                            </a:solidFill>
                            <a:ln>
                              <a:noFill/>
                            </a:ln>
                          </wps:spPr>
                          <wps:bodyPr rot="0" vert="horz" wrap="square" lIns="91440" tIns="45720" rIns="91440" bIns="45720" anchor="t" anchorCtr="0" upright="1">
                            <a:noAutofit/>
                          </wps:bodyPr>
                        </wps:wsp>
                        <wps:wsp>
                          <wps:cNvPr id="27" name="Freeform 16"/>
                          <wps:cNvSpPr/>
                          <wps:spPr bwMode="auto">
                            <a:xfrm>
                              <a:off x="4126" y="1860"/>
                              <a:ext cx="2163" cy="1156"/>
                            </a:xfrm>
                            <a:custGeom>
                              <a:avLst/>
                              <a:gdLst>
                                <a:gd name="T0" fmla="*/ 981 w 2163"/>
                                <a:gd name="T1" fmla="*/ 526 h 1156"/>
                                <a:gd name="T2" fmla="*/ 779 w 2163"/>
                                <a:gd name="T3" fmla="*/ 526 h 1156"/>
                                <a:gd name="T4" fmla="*/ 779 w 2163"/>
                                <a:gd name="T5" fmla="*/ 516 h 1156"/>
                                <a:gd name="T6" fmla="*/ 1034 w 2163"/>
                                <a:gd name="T7" fmla="*/ 516 h 1156"/>
                                <a:gd name="T8" fmla="*/ 1032 w 2163"/>
                                <a:gd name="T9" fmla="*/ 518 h 1156"/>
                                <a:gd name="T10" fmla="*/ 994 w 2163"/>
                                <a:gd name="T11" fmla="*/ 518 h 1156"/>
                                <a:gd name="T12" fmla="*/ 981 w 2163"/>
                                <a:gd name="T13" fmla="*/ 526 h 1156"/>
                              </a:gdLst>
                              <a:ahLst/>
                              <a:cxnLst>
                                <a:cxn ang="0">
                                  <a:pos x="T0" y="T1"/>
                                </a:cxn>
                                <a:cxn ang="0">
                                  <a:pos x="T2" y="T3"/>
                                </a:cxn>
                                <a:cxn ang="0">
                                  <a:pos x="T4" y="T5"/>
                                </a:cxn>
                                <a:cxn ang="0">
                                  <a:pos x="T6" y="T7"/>
                                </a:cxn>
                                <a:cxn ang="0">
                                  <a:pos x="T8" y="T9"/>
                                </a:cxn>
                                <a:cxn ang="0">
                                  <a:pos x="T10" y="T11"/>
                                </a:cxn>
                                <a:cxn ang="0">
                                  <a:pos x="T12" y="T13"/>
                                </a:cxn>
                              </a:cxnLst>
                              <a:rect l="0" t="0" r="r" b="b"/>
                              <a:pathLst>
                                <a:path w="2163" h="1156">
                                  <a:moveTo>
                                    <a:pt x="981" y="526"/>
                                  </a:moveTo>
                                  <a:lnTo>
                                    <a:pt x="779" y="526"/>
                                  </a:lnTo>
                                  <a:lnTo>
                                    <a:pt x="779" y="516"/>
                                  </a:lnTo>
                                  <a:lnTo>
                                    <a:pt x="1034" y="516"/>
                                  </a:lnTo>
                                  <a:lnTo>
                                    <a:pt x="1032" y="518"/>
                                  </a:lnTo>
                                  <a:lnTo>
                                    <a:pt x="994" y="518"/>
                                  </a:lnTo>
                                  <a:lnTo>
                                    <a:pt x="981" y="526"/>
                                  </a:lnTo>
                                  <a:close/>
                                </a:path>
                              </a:pathLst>
                            </a:custGeom>
                            <a:solidFill>
                              <a:srgbClr val="FF0000"/>
                            </a:solidFill>
                            <a:ln>
                              <a:noFill/>
                            </a:ln>
                          </wps:spPr>
                          <wps:bodyPr rot="0" vert="horz" wrap="square" lIns="91440" tIns="45720" rIns="91440" bIns="45720" anchor="t" anchorCtr="0" upright="1">
                            <a:noAutofit/>
                          </wps:bodyPr>
                        </wps:wsp>
                        <wps:wsp>
                          <wps:cNvPr id="34" name="Freeform 17"/>
                          <wps:cNvSpPr/>
                          <wps:spPr bwMode="auto">
                            <a:xfrm>
                              <a:off x="4126" y="1860"/>
                              <a:ext cx="2163" cy="1156"/>
                            </a:xfrm>
                            <a:custGeom>
                              <a:avLst/>
                              <a:gdLst>
                                <a:gd name="T0" fmla="*/ 78 w 2163"/>
                                <a:gd name="T1" fmla="*/ 1121 h 1156"/>
                                <a:gd name="T2" fmla="*/ 77 w 2163"/>
                                <a:gd name="T3" fmla="*/ 1121 h 1156"/>
                                <a:gd name="T4" fmla="*/ 205 w 2163"/>
                                <a:gd name="T5" fmla="*/ 1040 h 1156"/>
                                <a:gd name="T6" fmla="*/ 1343 w 2163"/>
                                <a:gd name="T7" fmla="*/ 516 h 1156"/>
                                <a:gd name="T8" fmla="*/ 2142 w 2163"/>
                                <a:gd name="T9" fmla="*/ 516 h 1156"/>
                                <a:gd name="T10" fmla="*/ 2142 w 2163"/>
                                <a:gd name="T11" fmla="*/ 526 h 1156"/>
                                <a:gd name="T12" fmla="*/ 2162 w 2163"/>
                                <a:gd name="T13" fmla="*/ 526 h 1156"/>
                                <a:gd name="T14" fmla="*/ 2162 w 2163"/>
                                <a:gd name="T15" fmla="*/ 536 h 1156"/>
                                <a:gd name="T16" fmla="*/ 1349 w 2163"/>
                                <a:gd name="T17" fmla="*/ 536 h 1156"/>
                                <a:gd name="T18" fmla="*/ 1345 w 2163"/>
                                <a:gd name="T19" fmla="*/ 536 h 1156"/>
                                <a:gd name="T20" fmla="*/ 1347 w 2163"/>
                                <a:gd name="T21" fmla="*/ 536 h 1156"/>
                                <a:gd name="T22" fmla="*/ 78 w 2163"/>
                                <a:gd name="T23" fmla="*/ 1121 h 11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163" h="1156">
                                  <a:moveTo>
                                    <a:pt x="78" y="1121"/>
                                  </a:moveTo>
                                  <a:lnTo>
                                    <a:pt x="77" y="1121"/>
                                  </a:lnTo>
                                  <a:lnTo>
                                    <a:pt x="205" y="1040"/>
                                  </a:lnTo>
                                  <a:lnTo>
                                    <a:pt x="1343" y="516"/>
                                  </a:lnTo>
                                  <a:lnTo>
                                    <a:pt x="2142" y="516"/>
                                  </a:lnTo>
                                  <a:lnTo>
                                    <a:pt x="2142" y="526"/>
                                  </a:lnTo>
                                  <a:lnTo>
                                    <a:pt x="2162" y="526"/>
                                  </a:lnTo>
                                  <a:lnTo>
                                    <a:pt x="2162" y="536"/>
                                  </a:lnTo>
                                  <a:lnTo>
                                    <a:pt x="1349" y="536"/>
                                  </a:lnTo>
                                  <a:lnTo>
                                    <a:pt x="1345" y="536"/>
                                  </a:lnTo>
                                  <a:lnTo>
                                    <a:pt x="1347" y="536"/>
                                  </a:lnTo>
                                  <a:lnTo>
                                    <a:pt x="78" y="1121"/>
                                  </a:lnTo>
                                  <a:close/>
                                </a:path>
                              </a:pathLst>
                            </a:custGeom>
                            <a:solidFill>
                              <a:srgbClr val="FF0000"/>
                            </a:solidFill>
                            <a:ln>
                              <a:noFill/>
                            </a:ln>
                          </wps:spPr>
                          <wps:bodyPr rot="0" vert="horz" wrap="square" lIns="91440" tIns="45720" rIns="91440" bIns="45720" anchor="t" anchorCtr="0" upright="1">
                            <a:noAutofit/>
                          </wps:bodyPr>
                        </wps:wsp>
                        <wps:wsp>
                          <wps:cNvPr id="35" name="Freeform 18"/>
                          <wps:cNvSpPr/>
                          <wps:spPr bwMode="auto">
                            <a:xfrm>
                              <a:off x="4126" y="1860"/>
                              <a:ext cx="2163" cy="1156"/>
                            </a:xfrm>
                            <a:custGeom>
                              <a:avLst/>
                              <a:gdLst>
                                <a:gd name="T0" fmla="*/ 2162 w 2163"/>
                                <a:gd name="T1" fmla="*/ 526 h 1156"/>
                                <a:gd name="T2" fmla="*/ 2142 w 2163"/>
                                <a:gd name="T3" fmla="*/ 526 h 1156"/>
                                <a:gd name="T4" fmla="*/ 2152 w 2163"/>
                                <a:gd name="T5" fmla="*/ 516 h 1156"/>
                                <a:gd name="T6" fmla="*/ 2162 w 2163"/>
                                <a:gd name="T7" fmla="*/ 516 h 1156"/>
                                <a:gd name="T8" fmla="*/ 2162 w 2163"/>
                                <a:gd name="T9" fmla="*/ 526 h 1156"/>
                              </a:gdLst>
                              <a:ahLst/>
                              <a:cxnLst>
                                <a:cxn ang="0">
                                  <a:pos x="T0" y="T1"/>
                                </a:cxn>
                                <a:cxn ang="0">
                                  <a:pos x="T2" y="T3"/>
                                </a:cxn>
                                <a:cxn ang="0">
                                  <a:pos x="T4" y="T5"/>
                                </a:cxn>
                                <a:cxn ang="0">
                                  <a:pos x="T6" y="T7"/>
                                </a:cxn>
                                <a:cxn ang="0">
                                  <a:pos x="T8" y="T9"/>
                                </a:cxn>
                              </a:cxnLst>
                              <a:rect l="0" t="0" r="r" b="b"/>
                              <a:pathLst>
                                <a:path w="2163" h="1156">
                                  <a:moveTo>
                                    <a:pt x="2162" y="526"/>
                                  </a:moveTo>
                                  <a:lnTo>
                                    <a:pt x="2142" y="526"/>
                                  </a:lnTo>
                                  <a:lnTo>
                                    <a:pt x="2152" y="516"/>
                                  </a:lnTo>
                                  <a:lnTo>
                                    <a:pt x="2162" y="516"/>
                                  </a:lnTo>
                                  <a:lnTo>
                                    <a:pt x="2162" y="526"/>
                                  </a:lnTo>
                                  <a:close/>
                                </a:path>
                              </a:pathLst>
                            </a:custGeom>
                            <a:solidFill>
                              <a:srgbClr val="FF0000"/>
                            </a:solidFill>
                            <a:ln>
                              <a:noFill/>
                            </a:ln>
                          </wps:spPr>
                          <wps:bodyPr rot="0" vert="horz" wrap="square" lIns="91440" tIns="45720" rIns="91440" bIns="45720" anchor="t" anchorCtr="0" upright="1">
                            <a:noAutofit/>
                          </wps:bodyPr>
                        </wps:wsp>
                        <wps:wsp>
                          <wps:cNvPr id="50" name="Freeform 19"/>
                          <wps:cNvSpPr/>
                          <wps:spPr bwMode="auto">
                            <a:xfrm>
                              <a:off x="4126" y="1860"/>
                              <a:ext cx="2163" cy="1156"/>
                            </a:xfrm>
                            <a:custGeom>
                              <a:avLst/>
                              <a:gdLst>
                                <a:gd name="T0" fmla="*/ 4 w 2163"/>
                                <a:gd name="T1" fmla="*/ 1155 h 1156"/>
                                <a:gd name="T2" fmla="*/ 0 w 2163"/>
                                <a:gd name="T3" fmla="*/ 1147 h 1156"/>
                                <a:gd name="T4" fmla="*/ 994 w 2163"/>
                                <a:gd name="T5" fmla="*/ 518 h 1156"/>
                                <a:gd name="T6" fmla="*/ 1000 w 2163"/>
                                <a:gd name="T7" fmla="*/ 536 h 1156"/>
                                <a:gd name="T8" fmla="*/ 1002 w 2163"/>
                                <a:gd name="T9" fmla="*/ 536 h 1156"/>
                                <a:gd name="T10" fmla="*/ 205 w 2163"/>
                                <a:gd name="T11" fmla="*/ 1040 h 1156"/>
                                <a:gd name="T12" fmla="*/ 68 w 2163"/>
                                <a:gd name="T13" fmla="*/ 1103 h 1156"/>
                                <a:gd name="T14" fmla="*/ 77 w 2163"/>
                                <a:gd name="T15" fmla="*/ 1121 h 1156"/>
                                <a:gd name="T16" fmla="*/ 78 w 2163"/>
                                <a:gd name="T17" fmla="*/ 1121 h 1156"/>
                                <a:gd name="T18" fmla="*/ 4 w 2163"/>
                                <a:gd name="T19" fmla="*/ 1155 h 11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163" h="1156">
                                  <a:moveTo>
                                    <a:pt x="4" y="1155"/>
                                  </a:moveTo>
                                  <a:lnTo>
                                    <a:pt x="0" y="1147"/>
                                  </a:lnTo>
                                  <a:lnTo>
                                    <a:pt x="994" y="518"/>
                                  </a:lnTo>
                                  <a:lnTo>
                                    <a:pt x="1000" y="536"/>
                                  </a:lnTo>
                                  <a:lnTo>
                                    <a:pt x="1002" y="536"/>
                                  </a:lnTo>
                                  <a:lnTo>
                                    <a:pt x="205" y="1040"/>
                                  </a:lnTo>
                                  <a:lnTo>
                                    <a:pt x="68" y="1103"/>
                                  </a:lnTo>
                                  <a:lnTo>
                                    <a:pt x="77" y="1121"/>
                                  </a:lnTo>
                                  <a:lnTo>
                                    <a:pt x="78" y="1121"/>
                                  </a:lnTo>
                                  <a:lnTo>
                                    <a:pt x="4" y="1155"/>
                                  </a:lnTo>
                                  <a:close/>
                                </a:path>
                              </a:pathLst>
                            </a:custGeom>
                            <a:solidFill>
                              <a:srgbClr val="FF0000"/>
                            </a:solidFill>
                            <a:ln>
                              <a:noFill/>
                            </a:ln>
                          </wps:spPr>
                          <wps:bodyPr rot="0" vert="horz" wrap="square" lIns="91440" tIns="45720" rIns="91440" bIns="45720" anchor="t" anchorCtr="0" upright="1">
                            <a:noAutofit/>
                          </wps:bodyPr>
                        </wps:wsp>
                        <wps:wsp>
                          <wps:cNvPr id="51" name="Freeform 20"/>
                          <wps:cNvSpPr/>
                          <wps:spPr bwMode="auto">
                            <a:xfrm>
                              <a:off x="4126" y="1860"/>
                              <a:ext cx="2163" cy="1156"/>
                            </a:xfrm>
                            <a:custGeom>
                              <a:avLst/>
                              <a:gdLst>
                                <a:gd name="T0" fmla="*/ 1002 w 2163"/>
                                <a:gd name="T1" fmla="*/ 536 h 1156"/>
                                <a:gd name="T2" fmla="*/ 1000 w 2163"/>
                                <a:gd name="T3" fmla="*/ 536 h 1156"/>
                                <a:gd name="T4" fmla="*/ 994 w 2163"/>
                                <a:gd name="T5" fmla="*/ 518 h 1156"/>
                                <a:gd name="T6" fmla="*/ 1032 w 2163"/>
                                <a:gd name="T7" fmla="*/ 518 h 1156"/>
                                <a:gd name="T8" fmla="*/ 1002 w 2163"/>
                                <a:gd name="T9" fmla="*/ 536 h 1156"/>
                              </a:gdLst>
                              <a:ahLst/>
                              <a:cxnLst>
                                <a:cxn ang="0">
                                  <a:pos x="T0" y="T1"/>
                                </a:cxn>
                                <a:cxn ang="0">
                                  <a:pos x="T2" y="T3"/>
                                </a:cxn>
                                <a:cxn ang="0">
                                  <a:pos x="T4" y="T5"/>
                                </a:cxn>
                                <a:cxn ang="0">
                                  <a:pos x="T6" y="T7"/>
                                </a:cxn>
                                <a:cxn ang="0">
                                  <a:pos x="T8" y="T9"/>
                                </a:cxn>
                              </a:cxnLst>
                              <a:rect l="0" t="0" r="r" b="b"/>
                              <a:pathLst>
                                <a:path w="2163" h="1156">
                                  <a:moveTo>
                                    <a:pt x="1002" y="536"/>
                                  </a:moveTo>
                                  <a:lnTo>
                                    <a:pt x="1000" y="536"/>
                                  </a:lnTo>
                                  <a:lnTo>
                                    <a:pt x="994" y="518"/>
                                  </a:lnTo>
                                  <a:lnTo>
                                    <a:pt x="1032" y="518"/>
                                  </a:lnTo>
                                  <a:lnTo>
                                    <a:pt x="1002" y="536"/>
                                  </a:lnTo>
                                  <a:close/>
                                </a:path>
                              </a:pathLst>
                            </a:custGeom>
                            <a:solidFill>
                              <a:srgbClr val="FF0000"/>
                            </a:solidFill>
                            <a:ln>
                              <a:noFill/>
                            </a:ln>
                          </wps:spPr>
                          <wps:bodyPr rot="0" vert="horz" wrap="square" lIns="91440" tIns="45720" rIns="91440" bIns="45720" anchor="t" anchorCtr="0" upright="1">
                            <a:noAutofit/>
                          </wps:bodyPr>
                        </wps:wsp>
                        <wps:wsp>
                          <wps:cNvPr id="52" name="Freeform 21"/>
                          <wps:cNvSpPr/>
                          <wps:spPr bwMode="auto">
                            <a:xfrm>
                              <a:off x="4126" y="1860"/>
                              <a:ext cx="2163" cy="1156"/>
                            </a:xfrm>
                            <a:custGeom>
                              <a:avLst/>
                              <a:gdLst>
                                <a:gd name="T0" fmla="*/ 1347 w 2163"/>
                                <a:gd name="T1" fmla="*/ 536 h 1156"/>
                                <a:gd name="T2" fmla="*/ 1345 w 2163"/>
                                <a:gd name="T3" fmla="*/ 536 h 1156"/>
                                <a:gd name="T4" fmla="*/ 1349 w 2163"/>
                                <a:gd name="T5" fmla="*/ 536 h 1156"/>
                                <a:gd name="T6" fmla="*/ 1347 w 2163"/>
                                <a:gd name="T7" fmla="*/ 536 h 1156"/>
                              </a:gdLst>
                              <a:ahLst/>
                              <a:cxnLst>
                                <a:cxn ang="0">
                                  <a:pos x="T0" y="T1"/>
                                </a:cxn>
                                <a:cxn ang="0">
                                  <a:pos x="T2" y="T3"/>
                                </a:cxn>
                                <a:cxn ang="0">
                                  <a:pos x="T4" y="T5"/>
                                </a:cxn>
                                <a:cxn ang="0">
                                  <a:pos x="T6" y="T7"/>
                                </a:cxn>
                              </a:cxnLst>
                              <a:rect l="0" t="0" r="r" b="b"/>
                              <a:pathLst>
                                <a:path w="2163" h="1156">
                                  <a:moveTo>
                                    <a:pt x="1347" y="536"/>
                                  </a:moveTo>
                                  <a:lnTo>
                                    <a:pt x="1345" y="536"/>
                                  </a:lnTo>
                                  <a:lnTo>
                                    <a:pt x="1349" y="536"/>
                                  </a:lnTo>
                                  <a:lnTo>
                                    <a:pt x="1347" y="536"/>
                                  </a:lnTo>
                                  <a:close/>
                                </a:path>
                              </a:pathLst>
                            </a:custGeom>
                            <a:solidFill>
                              <a:srgbClr val="FF0000"/>
                            </a:solidFill>
                            <a:ln>
                              <a:noFill/>
                            </a:ln>
                          </wps:spPr>
                          <wps:bodyPr rot="0" vert="horz" wrap="square" lIns="91440" tIns="45720" rIns="91440" bIns="45720" anchor="t" anchorCtr="0" upright="1">
                            <a:noAutofit/>
                          </wps:bodyPr>
                        </wps:wsp>
                        <wps:wsp>
                          <wps:cNvPr id="53" name="Freeform 22"/>
                          <wps:cNvSpPr/>
                          <wps:spPr bwMode="auto">
                            <a:xfrm>
                              <a:off x="4126" y="1860"/>
                              <a:ext cx="2163" cy="1156"/>
                            </a:xfrm>
                            <a:custGeom>
                              <a:avLst/>
                              <a:gdLst>
                                <a:gd name="T0" fmla="*/ 2162 w 2163"/>
                                <a:gd name="T1" fmla="*/ 536 h 1156"/>
                                <a:gd name="T2" fmla="*/ 1347 w 2163"/>
                                <a:gd name="T3" fmla="*/ 536 h 1156"/>
                                <a:gd name="T4" fmla="*/ 1349 w 2163"/>
                                <a:gd name="T5" fmla="*/ 536 h 1156"/>
                                <a:gd name="T6" fmla="*/ 2162 w 2163"/>
                                <a:gd name="T7" fmla="*/ 536 h 1156"/>
                                <a:gd name="T8" fmla="*/ 2162 w 2163"/>
                                <a:gd name="T9" fmla="*/ 536 h 1156"/>
                              </a:gdLst>
                              <a:ahLst/>
                              <a:cxnLst>
                                <a:cxn ang="0">
                                  <a:pos x="T0" y="T1"/>
                                </a:cxn>
                                <a:cxn ang="0">
                                  <a:pos x="T2" y="T3"/>
                                </a:cxn>
                                <a:cxn ang="0">
                                  <a:pos x="T4" y="T5"/>
                                </a:cxn>
                                <a:cxn ang="0">
                                  <a:pos x="T6" y="T7"/>
                                </a:cxn>
                                <a:cxn ang="0">
                                  <a:pos x="T8" y="T9"/>
                                </a:cxn>
                              </a:cxnLst>
                              <a:rect l="0" t="0" r="r" b="b"/>
                              <a:pathLst>
                                <a:path w="2163" h="1156">
                                  <a:moveTo>
                                    <a:pt x="2162" y="536"/>
                                  </a:moveTo>
                                  <a:lnTo>
                                    <a:pt x="1347" y="536"/>
                                  </a:lnTo>
                                  <a:lnTo>
                                    <a:pt x="1349" y="536"/>
                                  </a:lnTo>
                                  <a:lnTo>
                                    <a:pt x="2162" y="536"/>
                                  </a:lnTo>
                                  <a:lnTo>
                                    <a:pt x="2162" y="536"/>
                                  </a:lnTo>
                                  <a:close/>
                                </a:path>
                              </a:pathLst>
                            </a:custGeom>
                            <a:solidFill>
                              <a:srgbClr val="FF0000"/>
                            </a:solidFill>
                            <a:ln>
                              <a:noFill/>
                            </a:ln>
                          </wps:spPr>
                          <wps:bodyPr rot="0" vert="horz" wrap="square" lIns="91440" tIns="45720" rIns="91440" bIns="45720" anchor="t" anchorCtr="0" upright="1">
                            <a:noAutofit/>
                          </wps:bodyPr>
                        </wps:wsp>
                        <wps:wsp>
                          <wps:cNvPr id="54" name="Freeform 23"/>
                          <wps:cNvSpPr/>
                          <wps:spPr bwMode="auto">
                            <a:xfrm>
                              <a:off x="4126" y="1860"/>
                              <a:ext cx="2163" cy="1156"/>
                            </a:xfrm>
                            <a:custGeom>
                              <a:avLst/>
                              <a:gdLst>
                                <a:gd name="T0" fmla="*/ 77 w 2163"/>
                                <a:gd name="T1" fmla="*/ 1121 h 1156"/>
                                <a:gd name="T2" fmla="*/ 68 w 2163"/>
                                <a:gd name="T3" fmla="*/ 1103 h 1156"/>
                                <a:gd name="T4" fmla="*/ 205 w 2163"/>
                                <a:gd name="T5" fmla="*/ 1040 h 1156"/>
                                <a:gd name="T6" fmla="*/ 77 w 2163"/>
                                <a:gd name="T7" fmla="*/ 1121 h 1156"/>
                              </a:gdLst>
                              <a:ahLst/>
                              <a:cxnLst>
                                <a:cxn ang="0">
                                  <a:pos x="T0" y="T1"/>
                                </a:cxn>
                                <a:cxn ang="0">
                                  <a:pos x="T2" y="T3"/>
                                </a:cxn>
                                <a:cxn ang="0">
                                  <a:pos x="T4" y="T5"/>
                                </a:cxn>
                                <a:cxn ang="0">
                                  <a:pos x="T6" y="T7"/>
                                </a:cxn>
                              </a:cxnLst>
                              <a:rect l="0" t="0" r="r" b="b"/>
                              <a:pathLst>
                                <a:path w="2163" h="1156">
                                  <a:moveTo>
                                    <a:pt x="77" y="1121"/>
                                  </a:moveTo>
                                  <a:lnTo>
                                    <a:pt x="68" y="1103"/>
                                  </a:lnTo>
                                  <a:lnTo>
                                    <a:pt x="205" y="1040"/>
                                  </a:lnTo>
                                  <a:lnTo>
                                    <a:pt x="77" y="1121"/>
                                  </a:lnTo>
                                  <a:close/>
                                </a:path>
                              </a:pathLst>
                            </a:custGeom>
                            <a:solidFill>
                              <a:srgbClr val="FF0000"/>
                            </a:solidFill>
                            <a:ln>
                              <a:noFill/>
                            </a:ln>
                          </wps:spPr>
                          <wps:bodyPr rot="0" vert="horz" wrap="square" lIns="91440" tIns="45720" rIns="91440" bIns="45720" anchor="t" anchorCtr="0" upright="1">
                            <a:noAutofit/>
                          </wps:bodyPr>
                        </wps:wsp>
                      </wpg:grpSp>
                      <pic:pic xmlns:pic="http://schemas.openxmlformats.org/drawingml/2006/picture">
                        <pic:nvPicPr>
                          <pic:cNvPr id="55" name="Picture 2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4009" y="2862"/>
                            <a:ext cx="280" cy="280"/>
                          </a:xfrm>
                          <a:prstGeom prst="rect">
                            <a:avLst/>
                          </a:prstGeom>
                          <a:noFill/>
                          <a:ln>
                            <a:noFill/>
                          </a:ln>
                        </pic:spPr>
                      </pic:pic>
                      <wps:wsp>
                        <wps:cNvPr id="56" name="Text Box 25"/>
                        <wps:cNvSpPr txBox="1">
                          <a:spLocks noChangeArrowheads="1"/>
                        </wps:cNvSpPr>
                        <wps:spPr bwMode="auto">
                          <a:xfrm>
                            <a:off x="5050" y="1988"/>
                            <a:ext cx="983" cy="240"/>
                          </a:xfrm>
                          <a:prstGeom prst="rect">
                            <a:avLst/>
                          </a:prstGeom>
                          <a:noFill/>
                          <a:ln>
                            <a:noFill/>
                          </a:ln>
                        </wps:spPr>
                        <wps:txbx>
                          <w:txbxContent>
                            <w:p w14:paraId="64E4EF4A">
                              <w:pPr>
                                <w:pStyle w:val="19"/>
                                <w:kinsoku w:val="0"/>
                                <w:overflowPunct w:val="0"/>
                                <w:spacing w:line="240" w:lineRule="exact"/>
                                <w:rPr>
                                  <w:b/>
                                  <w:bCs/>
                                  <w:color w:val="FF0000"/>
                                  <w:spacing w:val="-3"/>
                                  <w:w w:val="95"/>
                                </w:rPr>
                              </w:pPr>
                              <w:r>
                                <w:rPr>
                                  <w:rFonts w:hint="eastAsia"/>
                                  <w:b/>
                                  <w:bCs/>
                                  <w:color w:val="FF0000"/>
                                  <w:spacing w:val="-3"/>
                                  <w:w w:val="95"/>
                                </w:rPr>
                                <w:t>项目位置</w:t>
                              </w:r>
                            </w:p>
                          </w:txbxContent>
                        </wps:txbx>
                        <wps:bodyPr rot="0" vert="horz" wrap="square" lIns="0" tIns="0" rIns="0" bIns="0" anchor="t" anchorCtr="0" upright="1">
                          <a:noAutofit/>
                        </wps:bodyPr>
                      </wps:wsp>
                    </wpg:wgp>
                  </a:graphicData>
                </a:graphic>
              </wp:anchor>
            </w:drawing>
          </mc:Choice>
          <mc:Fallback>
            <w:pict>
              <v:group id="_x0000_s1026" o:spid="_x0000_s1026" o:spt="203" style="position:absolute;left:0pt;margin-left:10.75pt;margin-top:10.15pt;height:576.65pt;width:415.65pt;z-index:251673600;mso-width-relative:page;mso-height-relative:page;" coordsize="7280,10760" o:allowincell="f" o:gfxdata="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">
                <o:lock v:ext="edit" aspectratio="f"/>
                <v:shape id="Picture 8" o:spid="_x0000_s1026" o:spt="75" type="#_x0000_t75" style="position:absolute;left:0;top:0;height:10760;width:7280;" filled="f" o:preferrelative="t" stroked="f" coordsize="21600,21600" o:gfxdata="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eL/R74A&#10;AADaAAAADwAAAAAAAAABACAAAAAiAAAAZHJzL2Rvd25yZXYueG1sUEsBAhQAFAAAAAgAh07iQDMv&#10;BZ47AAAAOQAAABAAAAAAAAAAAQAgAAAADQEAAGRycy9zaGFwZXhtbC54bWxQSwUGAAAAAAYABgBb&#10;AQAAtwMAAAAA&#10;">
                  <v:fill on="f" focussize="0,0"/>
                  <v:stroke on="f"/>
                  <v:imagedata r:id="rId27" o:title=""/>
                  <o:lock v:ext="edit" aspectratio="t"/>
                </v:shape>
                <v:group id="Group 9" o:spid="_x0000_s1026" o:spt="203" style="position:absolute;left:4126;top:1860;height:1156;width:2163;" coordorigin="4126,1860" coordsize="2163,1156" o:gfxdata="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tkKr5vAAAANsAAAAPAAAAAAAAAAEAIAAAACIAAABkcnMvZG93bnJldi54bWxQ&#10;SwECFAAUAAAACACHTuJAMy8FnjsAAAA5AAAAFQAAAAAAAAABACAAAAALAQAAZHJzL2dyb3Vwc2hh&#10;cGV4bWwueG1sUEsFBgAAAAAGAAYAYAEAAMgDAAAAAA==&#10;">
                  <o:lock v:ext="edit" aspectratio="f"/>
                  <v:shape id="Freeform 10" o:spid="_x0000_s1026" o:spt="100" style="position:absolute;left:4126;top:1860;height:1156;width:2163;" fillcolor="#FF0000" filled="t" stroked="f" coordsize="2163,1156" o:gfxdata="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wBSKm5AAAA2wAA&#10;AA8AAAAAAAAAAQAgAAAAIgAAAGRycy9kb3ducmV2LnhtbFBLAQIUABQAAAAIAIdO4kAzLwWeOwAA&#10;ADkAAAAQAAAAAAAAAAEAIAAAAAgBAABkcnMvc2hhcGV4bWwueG1sUEsFBgAAAAAGAAYAWwEAALID&#10;AAAAAA==&#10;" path="m965,536l759,536,759,0,2162,0,2162,10,779,10,769,20,779,20,779,516,769,516,779,526,981,526,965,536xe">
                    <v:path o:connectlocs="965,536;759,536;759,0;2162,0;2162,10;779,10;769,20;779,20;779,516;769,516;779,526;981,526;965,536" o:connectangles="0,0,0,0,0,0,0,0,0,0,0,0,0"/>
                    <v:fill on="t" focussize="0,0"/>
                    <v:stroke on="f"/>
                    <v:imagedata o:title=""/>
                    <o:lock v:ext="edit" aspectratio="f"/>
                  </v:shape>
                  <v:shape id="Freeform 11" o:spid="_x0000_s1026" o:spt="100" style="position:absolute;left:4126;top:1860;height:1156;width:2163;" fillcolor="#FF0000" filled="t" stroked="f" coordsize="2163,1156" o:gfxdata="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Po0N25AAAA2wAA&#10;AA8AAAAAAAAAAQAgAAAAIgAAAGRycy9kb3ducmV2LnhtbFBLAQIUABQAAAAIAIdO4kAzLwWeOwAA&#10;ADkAAAAQAAAAAAAAAAEAIAAAAAgBAABkcnMvc2hhcGV4bWwueG1sUEsFBgAAAAAGAAYAWwEAALID&#10;AAAAAA==&#10;" path="m779,20l769,20,779,10,779,20xe">
                    <v:path o:connectlocs="779,20;769,20;779,10;779,20" o:connectangles="0,0,0,0"/>
                    <v:fill on="t" focussize="0,0"/>
                    <v:stroke on="f"/>
                    <v:imagedata o:title=""/>
                    <o:lock v:ext="edit" aspectratio="f"/>
                  </v:shape>
                  <v:shape id="Freeform 12" o:spid="_x0000_s1026" o:spt="100" style="position:absolute;left:4126;top:1860;height:1156;width:2163;" fillcolor="#FF0000" filled="t" stroked="f" coordsize="2163,1156" o:gfxdata="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ykdUa5AAAA2wAA&#10;AA8AAAAAAAAAAQAgAAAAIgAAAGRycy9kb3ducmV2LnhtbFBLAQIUABQAAAAIAIdO4kAzLwWeOwAA&#10;ADkAAAAQAAAAAAAAAAEAIAAAAAgBAABkcnMvc2hhcGV4bWwueG1sUEsFBgAAAAAGAAYAWwEAALID&#10;AAAAAA==&#10;" path="m2142,20l779,20,779,10,2142,10,2142,20xe">
                    <v:path o:connectlocs="2142,20;779,20;779,10;2142,10;2142,20" o:connectangles="0,0,0,0,0"/>
                    <v:fill on="t" focussize="0,0"/>
                    <v:stroke on="f"/>
                    <v:imagedata o:title=""/>
                    <o:lock v:ext="edit" aspectratio="f"/>
                  </v:shape>
                  <v:shape id="Freeform 13" o:spid="_x0000_s1026" o:spt="100" style="position:absolute;left:4126;top:1860;height:1156;width:2163;" fillcolor="#FF0000" filled="t" stroked="f" coordsize="2163,1156" o:gfxdata="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gr8cY7gAAADbAAAA&#10;DwAAAAAAAAABACAAAAAiAAAAZHJzL2Rvd25yZXYueG1sUEsBAhQAFAAAAAgAh07iQDMvBZ47AAAA&#10;OQAAABAAAAAAAAAAAQAgAAAABwEAAGRycy9zaGFwZXhtbC54bWxQSwUGAAAAAAYABgBbAQAAsQMA&#10;AAAA&#10;" path="m2142,526l2142,10,2152,20,2162,20,2162,516,2152,516,2142,526xe">
                    <v:path o:connectlocs="2142,526;2142,10;2152,20;2162,20;2162,516;2152,516;2142,526" o:connectangles="0,0,0,0,0,0,0"/>
                    <v:fill on="t" focussize="0,0"/>
                    <v:stroke on="f"/>
                    <v:imagedata o:title=""/>
                    <o:lock v:ext="edit" aspectratio="f"/>
                  </v:shape>
                  <v:shape id="Freeform 14" o:spid="_x0000_s1026" o:spt="100" style="position:absolute;left:4126;top:1860;height:1156;width:2163;" fillcolor="#FF0000" filled="t" stroked="f" coordsize="2163,1156" o:gfxdata="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LIv/u8AAAA&#10;2wAAAA8AAAAAAAAAAQAgAAAAIgAAAGRycy9kb3ducmV2LnhtbFBLAQIUABQAAAAIAIdO4kAzLwWe&#10;OwAAADkAAAAQAAAAAAAAAAEAIAAAAAsBAABkcnMvc2hhcGV4bWwueG1sUEsFBgAAAAAGAAYAWwEA&#10;ALUDAAAAAA==&#10;" path="m2162,20l2152,20,2142,10,2162,10,2162,20xe">
                    <v:path o:connectlocs="2162,20;2152,20;2142,10;2162,10;2162,20" o:connectangles="0,0,0,0,0"/>
                    <v:fill on="t" focussize="0,0"/>
                    <v:stroke on="f"/>
                    <v:imagedata o:title=""/>
                    <o:lock v:ext="edit" aspectratio="f"/>
                  </v:shape>
                  <v:shape id="Freeform 15" o:spid="_x0000_s1026" o:spt="100" style="position:absolute;left:4126;top:1860;height:1156;width:2163;" fillcolor="#FF0000" filled="t" stroked="f" coordsize="2163,1156" o:gfxdata="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IaIYy8AAAA&#10;2wAAAA8AAAAAAAAAAQAgAAAAIgAAAGRycy9kb3ducmV2LnhtbFBLAQIUABQAAAAIAIdO4kAzLwWe&#10;OwAAADkAAAAQAAAAAAAAAAEAIAAAAAsBAABkcnMvc2hhcGV4bWwueG1sUEsFBgAAAAAGAAYAWwEA&#10;ALUDAAAAAA==&#10;" path="m779,526l769,516,779,516,779,526xe">
                    <v:path o:connectlocs="779,526;769,516;779,516;779,526" o:connectangles="0,0,0,0"/>
                    <v:fill on="t" focussize="0,0"/>
                    <v:stroke on="f"/>
                    <v:imagedata o:title=""/>
                    <o:lock v:ext="edit" aspectratio="f"/>
                  </v:shape>
                  <v:shape id="Freeform 16" o:spid="_x0000_s1026" o:spt="100" style="position:absolute;left:4126;top:1860;height:1156;width:2163;" fillcolor="#FF0000" filled="t" stroked="f" coordsize="2163,1156" o:gfxdata="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1WhBe8AAAA&#10;2wAAAA8AAAAAAAAAAQAgAAAAIgAAAGRycy9kb3ducmV2LnhtbFBLAQIUABQAAAAIAIdO4kAzLwWe&#10;OwAAADkAAAAQAAAAAAAAAAEAIAAAAAsBAABkcnMvc2hhcGV4bWwueG1sUEsFBgAAAAAGAAYAWwEA&#10;ALUDAAAAAA==&#10;" path="m981,526l779,526,779,516,1034,516,1032,518,994,518,981,526xe">
                    <v:path o:connectlocs="981,526;779,526;779,516;1034,516;1032,518;994,518;981,526" o:connectangles="0,0,0,0,0,0,0"/>
                    <v:fill on="t" focussize="0,0"/>
                    <v:stroke on="f"/>
                    <v:imagedata o:title=""/>
                    <o:lock v:ext="edit" aspectratio="f"/>
                  </v:shape>
                  <v:shape id="Freeform 17" o:spid="_x0000_s1026" o:spt="100" style="position:absolute;left:4126;top:1860;height:1156;width:2163;" fillcolor="#FF0000" filled="t" stroked="f" coordsize="2163,1156" o:gfxdata="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hdjL28AAAA&#10;2wAAAA8AAAAAAAAAAQAgAAAAIgAAAGRycy9kb3ducmV2LnhtbFBLAQIUABQAAAAIAIdO4kAzLwWe&#10;OwAAADkAAAAQAAAAAAAAAAEAIAAAAAsBAABkcnMvc2hhcGV4bWwueG1sUEsFBgAAAAAGAAYAWwEA&#10;ALUDAAAAAA==&#10;" path="m78,1121l77,1121,205,1040,1343,516,2142,516,2142,526,2162,526,2162,536,1349,536,1345,536,1347,536,78,1121xe">
                    <v:path o:connectlocs="78,1121;77,1121;205,1040;1343,516;2142,516;2142,526;2162,526;2162,536;1349,536;1345,536;1347,536;78,1121" o:connectangles="0,0,0,0,0,0,0,0,0,0,0,0"/>
                    <v:fill on="t" focussize="0,0"/>
                    <v:stroke on="f"/>
                    <v:imagedata o:title=""/>
                    <o:lock v:ext="edit" aspectratio="f"/>
                  </v:shape>
                  <v:shape id="Freeform 18" o:spid="_x0000_s1026" o:spt="100" style="position:absolute;left:4126;top:1860;height:1156;width:2163;" fillcolor="#FF0000" filled="t" stroked="f" coordsize="2163,1156" o:gfxdata="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xEpJrsAAADb&#10;AAAADwAAAAAAAAABACAAAAAiAAAAZHJzL2Rvd25yZXYueG1sUEsBAhQAFAAAAAgAh07iQDMvBZ47&#10;AAAAOQAAABAAAAAAAAAAAQAgAAAACgEAAGRycy9zaGFwZXhtbC54bWxQSwUGAAAAAAYABgBbAQAA&#10;tAMAAAAA&#10;" path="m2162,526l2142,526,2152,516,2162,516,2162,526xe">
                    <v:path o:connectlocs="2162,526;2142,526;2152,516;2162,516;2162,526" o:connectangles="0,0,0,0,0"/>
                    <v:fill on="t" focussize="0,0"/>
                    <v:stroke on="f"/>
                    <v:imagedata o:title=""/>
                    <o:lock v:ext="edit" aspectratio="f"/>
                  </v:shape>
                  <v:shape id="Freeform 19" o:spid="_x0000_s1026" o:spt="100" style="position:absolute;left:4126;top:1860;height:1156;width:2163;" fillcolor="#FF0000" filled="t" stroked="f" coordsize="2163,1156" o:gfxdata="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2rlvHrgAAADbAAAA&#10;DwAAAAAAAAABACAAAAAiAAAAZHJzL2Rvd25yZXYueG1sUEsBAhQAFAAAAAgAh07iQDMvBZ47AAAA&#10;OQAAABAAAAAAAAAAAQAgAAAABwEAAGRycy9zaGFwZXhtbC54bWxQSwUGAAAAAAYABgBbAQAAsQMA&#10;AAAA&#10;" path="m4,1155l0,1147,994,518,1000,536,1002,536,205,1040,68,1103,77,1121,78,1121,4,1155xe">
                    <v:path o:connectlocs="4,1155;0,1147;994,518;1000,536;1002,536;205,1040;68,1103;77,1121;78,1121;4,1155" o:connectangles="0,0,0,0,0,0,0,0,0,0"/>
                    <v:fill on="t" focussize="0,0"/>
                    <v:stroke on="f"/>
                    <v:imagedata o:title=""/>
                    <o:lock v:ext="edit" aspectratio="f"/>
                  </v:shape>
                  <v:shape id="Freeform 20" o:spid="_x0000_s1026" o:spt="100" style="position:absolute;left:4126;top:1860;height:1156;width:2163;" fillcolor="#FF0000" filled="t" stroked="f" coordsize="2163,1156" o:gfxdata="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X1yoW8AAAA&#10;2wAAAA8AAAAAAAAAAQAgAAAAIgAAAGRycy9kb3ducmV2LnhtbFBLAQIUABQAAAAIAIdO4kAzLwWe&#10;OwAAADkAAAAQAAAAAAAAAAEAIAAAAAsBAABkcnMvc2hhcGV4bWwueG1sUEsFBgAAAAAGAAYAWwEA&#10;ALUDAAAAAA==&#10;" path="m1002,536l1000,536,994,518,1032,518,1002,536xe">
                    <v:path o:connectlocs="1002,536;1000,536;994,518;1032,518;1002,536" o:connectangles="0,0,0,0,0"/>
                    <v:fill on="t" focussize="0,0"/>
                    <v:stroke on="f"/>
                    <v:imagedata o:title=""/>
                    <o:lock v:ext="edit" aspectratio="f"/>
                  </v:shape>
                  <v:shape id="Freeform 21" o:spid="_x0000_s1026" o:spt="100" style="position:absolute;left:4126;top:1860;height:1156;width:2163;" fillcolor="#FF0000" filled="t" stroked="f" coordsize="2163,1156" o:gfxdata="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UnVPK8AAAA&#10;2wAAAA8AAAAAAAAAAQAgAAAAIgAAAGRycy9kb3ducmV2LnhtbFBLAQIUABQAAAAIAIdO4kAzLwWe&#10;OwAAADkAAAAQAAAAAAAAAAEAIAAAAAsBAABkcnMvc2hhcGV4bWwueG1sUEsFBgAAAAAGAAYAWwEA&#10;ALUDAAAAAA==&#10;" path="m1347,536l1345,536,1349,536,1347,536xe">
                    <v:path o:connectlocs="1347,536;1345,536;1349,536;1347,536" o:connectangles="0,0,0,0"/>
                    <v:fill on="t" focussize="0,0"/>
                    <v:stroke on="f"/>
                    <v:imagedata o:title=""/>
                    <o:lock v:ext="edit" aspectratio="f"/>
                  </v:shape>
                  <v:shape id="Freeform 22" o:spid="_x0000_s1026" o:spt="100" style="position:absolute;left:4126;top:1860;height:1156;width:2163;" fillcolor="#FF0000" filled="t" stroked="f" coordsize="2163,1156" o:gfxdata="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mvxabsAAADb&#10;AAAADwAAAAAAAAABACAAAAAiAAAAZHJzL2Rvd25yZXYueG1sUEsBAhQAFAAAAAgAh07iQDMvBZ47&#10;AAAAOQAAABAAAAAAAAAAAQAgAAAACgEAAGRycy9zaGFwZXhtbC54bWxQSwUGAAAAAAYABgBbAQAA&#10;tAMAAAAA&#10;" path="m2162,536l1347,536,1349,536,2162,536,2162,536xe">
                    <v:path o:connectlocs="2162,536;1347,536;1349,536;2162,536;2162,536" o:connectangles="0,0,0,0,0"/>
                    <v:fill on="t" focussize="0,0"/>
                    <v:stroke on="f"/>
                    <v:imagedata o:title=""/>
                    <o:lock v:ext="edit" aspectratio="f"/>
                  </v:shape>
                  <v:shape id="Freeform 23" o:spid="_x0000_s1026" o:spt="100" style="position:absolute;left:4126;top:1860;height:1156;width:2163;" fillcolor="#FF0000" filled="t" stroked="f" coordsize="2163,1156" o:gfxdata="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YJpHbsAAADb&#10;AAAADwAAAAAAAAABACAAAAAiAAAAZHJzL2Rvd25yZXYueG1sUEsBAhQAFAAAAAgAh07iQDMvBZ47&#10;AAAAOQAAABAAAAAAAAAAAQAgAAAACgEAAGRycy9zaGFwZXhtbC54bWxQSwUGAAAAAAYABgBbAQAA&#10;tAMAAAAA&#10;" path="m77,1121l68,1103,205,1040,77,1121xe">
                    <v:path o:connectlocs="77,1121;68,1103;205,1040;77,1121" o:connectangles="0,0,0,0"/>
                    <v:fill on="t" focussize="0,0"/>
                    <v:stroke on="f"/>
                    <v:imagedata o:title=""/>
                    <o:lock v:ext="edit" aspectratio="f"/>
                  </v:shape>
                </v:group>
                <v:shape id="Picture 24" o:spid="_x0000_s1026" o:spt="75" type="#_x0000_t75" style="position:absolute;left:4009;top:2862;height:280;width:280;" filled="f" o:preferrelative="t" stroked="f" coordsize="21600,21600" o:gfxdata="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h7wZvvQAA&#10;ANsAAAAPAAAAAAAAAAEAIAAAACIAAABkcnMvZG93bnJldi54bWxQSwECFAAUAAAACACHTuJAMy8F&#10;njsAAAA5AAAAEAAAAAAAAAABACAAAAAMAQAAZHJzL3NoYXBleG1sLnhtbFBLBQYAAAAABgAGAFsB&#10;AAC2AwAAAAA=&#10;">
                  <v:fill on="f" focussize="0,0"/>
                  <v:stroke on="f"/>
                  <v:imagedata r:id="rId28" o:title=""/>
                  <o:lock v:ext="edit" aspectratio="t"/>
                </v:shape>
                <v:shape id="Text Box 25" o:spid="_x0000_s1026" o:spt="202" type="#_x0000_t202" style="position:absolute;left:5050;top:1988;height:240;width:983;" filled="f" stroked="f" coordsize="21600,21600" o:gfxdata="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8xXWX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64E4EF4A">
                        <w:pPr>
                          <w:pStyle w:val="19"/>
                          <w:kinsoku w:val="0"/>
                          <w:overflowPunct w:val="0"/>
                          <w:spacing w:line="240" w:lineRule="exact"/>
                          <w:rPr>
                            <w:b/>
                            <w:bCs/>
                            <w:color w:val="FF0000"/>
                            <w:spacing w:val="-3"/>
                            <w:w w:val="95"/>
                          </w:rPr>
                        </w:pPr>
                        <w:r>
                          <w:rPr>
                            <w:rFonts w:hint="eastAsia"/>
                            <w:b/>
                            <w:bCs/>
                            <w:color w:val="FF0000"/>
                            <w:spacing w:val="-3"/>
                            <w:w w:val="95"/>
                          </w:rPr>
                          <w:t>项目位置</w:t>
                        </w:r>
                      </w:p>
                    </w:txbxContent>
                  </v:textbox>
                </v:shape>
              </v:group>
            </w:pict>
          </mc:Fallback>
        </mc:AlternateContent>
      </w:r>
    </w:p>
    <w:p w14:paraId="2A29C3E6">
      <w:pPr>
        <w:pStyle w:val="117"/>
        <w:spacing w:line="480" w:lineRule="exact"/>
        <w:ind w:firstLine="393"/>
        <w:rPr>
          <w:rFonts w:ascii="Calibri" w:hAnsi="Calibri"/>
          <w:b/>
          <w:bCs/>
          <w:color w:val="000000" w:themeColor="text1"/>
          <w:spacing w:val="-3"/>
          <w:w w:val="95"/>
          <w:sz w:val="21"/>
          <w:szCs w:val="22"/>
          <w14:textFill>
            <w14:solidFill>
              <w14:schemeClr w14:val="tx1"/>
            </w14:solidFill>
          </w14:textFill>
        </w:rPr>
      </w:pPr>
    </w:p>
    <w:p w14:paraId="1F4D2B18">
      <w:pPr>
        <w:pStyle w:val="117"/>
        <w:spacing w:line="480" w:lineRule="exact"/>
        <w:ind w:firstLine="393"/>
        <w:rPr>
          <w:rFonts w:ascii="Calibri" w:hAnsi="Calibri"/>
          <w:b/>
          <w:bCs/>
          <w:color w:val="000000" w:themeColor="text1"/>
          <w:spacing w:val="-3"/>
          <w:w w:val="95"/>
          <w:sz w:val="21"/>
          <w:szCs w:val="22"/>
          <w14:textFill>
            <w14:solidFill>
              <w14:schemeClr w14:val="tx1"/>
            </w14:solidFill>
          </w14:textFill>
        </w:rPr>
      </w:pPr>
    </w:p>
    <w:p w14:paraId="6E7AF7B4">
      <w:pPr>
        <w:pStyle w:val="117"/>
        <w:spacing w:line="480" w:lineRule="exact"/>
        <w:ind w:firstLine="480"/>
        <w:rPr>
          <w:rFonts w:hint="eastAsia"/>
          <w:color w:val="000000" w:themeColor="text1"/>
          <w14:textFill>
            <w14:solidFill>
              <w14:schemeClr w14:val="tx1"/>
            </w14:solidFill>
          </w14:textFill>
        </w:rPr>
      </w:pPr>
    </w:p>
    <w:p w14:paraId="7E7DB93C">
      <w:pPr>
        <w:pStyle w:val="117"/>
        <w:spacing w:line="480" w:lineRule="exact"/>
        <w:ind w:firstLine="480"/>
        <w:rPr>
          <w:rFonts w:hint="eastAsia"/>
          <w:color w:val="000000" w:themeColor="text1"/>
          <w14:textFill>
            <w14:solidFill>
              <w14:schemeClr w14:val="tx1"/>
            </w14:solidFill>
          </w14:textFill>
        </w:rPr>
      </w:pPr>
    </w:p>
    <w:p w14:paraId="383834F3">
      <w:pPr>
        <w:pStyle w:val="117"/>
        <w:spacing w:line="480" w:lineRule="exact"/>
        <w:ind w:firstLine="480"/>
        <w:rPr>
          <w:rFonts w:hint="eastAsia"/>
          <w:color w:val="000000" w:themeColor="text1"/>
          <w14:textFill>
            <w14:solidFill>
              <w14:schemeClr w14:val="tx1"/>
            </w14:solidFill>
          </w14:textFill>
        </w:rPr>
      </w:pPr>
    </w:p>
    <w:p w14:paraId="5F541562">
      <w:pPr>
        <w:pStyle w:val="117"/>
        <w:spacing w:line="480" w:lineRule="exact"/>
        <w:ind w:firstLine="480"/>
        <w:rPr>
          <w:rFonts w:hint="eastAsia"/>
          <w:color w:val="000000" w:themeColor="text1"/>
          <w14:textFill>
            <w14:solidFill>
              <w14:schemeClr w14:val="tx1"/>
            </w14:solidFill>
          </w14:textFill>
        </w:rPr>
      </w:pPr>
    </w:p>
    <w:p w14:paraId="37C538E7">
      <w:pPr>
        <w:pStyle w:val="117"/>
        <w:spacing w:line="480" w:lineRule="exact"/>
        <w:ind w:firstLine="480"/>
        <w:rPr>
          <w:rFonts w:hint="eastAsia"/>
          <w:color w:val="000000" w:themeColor="text1"/>
          <w14:textFill>
            <w14:solidFill>
              <w14:schemeClr w14:val="tx1"/>
            </w14:solidFill>
          </w14:textFill>
        </w:rPr>
      </w:pPr>
    </w:p>
    <w:p w14:paraId="2424C9C4">
      <w:pPr>
        <w:pStyle w:val="117"/>
        <w:spacing w:line="480" w:lineRule="exact"/>
        <w:ind w:firstLine="480"/>
        <w:rPr>
          <w:rFonts w:hint="eastAsia"/>
          <w:color w:val="000000" w:themeColor="text1"/>
          <w14:textFill>
            <w14:solidFill>
              <w14:schemeClr w14:val="tx1"/>
            </w14:solidFill>
          </w14:textFill>
        </w:rPr>
      </w:pPr>
    </w:p>
    <w:p w14:paraId="325D217F">
      <w:pPr>
        <w:pStyle w:val="117"/>
        <w:spacing w:line="480" w:lineRule="exact"/>
        <w:ind w:firstLine="480"/>
        <w:rPr>
          <w:rFonts w:hint="eastAsia"/>
          <w:color w:val="000000" w:themeColor="text1"/>
          <w14:textFill>
            <w14:solidFill>
              <w14:schemeClr w14:val="tx1"/>
            </w14:solidFill>
          </w14:textFill>
        </w:rPr>
      </w:pPr>
    </w:p>
    <w:p w14:paraId="39DACEF1">
      <w:pPr>
        <w:pStyle w:val="117"/>
        <w:spacing w:line="480" w:lineRule="exact"/>
        <w:ind w:firstLine="0" w:firstLineChars="0"/>
        <w:rPr>
          <w:rFonts w:hint="eastAsia"/>
          <w:color w:val="000000" w:themeColor="text1"/>
          <w14:textFill>
            <w14:solidFill>
              <w14:schemeClr w14:val="tx1"/>
            </w14:solidFill>
          </w14:textFill>
        </w:rPr>
      </w:pPr>
    </w:p>
    <w:p w14:paraId="1A41CA2C">
      <w:pPr>
        <w:pStyle w:val="117"/>
        <w:spacing w:line="480" w:lineRule="exact"/>
        <w:ind w:firstLine="480"/>
        <w:rPr>
          <w:rFonts w:hint="eastAsia"/>
          <w:color w:val="000000" w:themeColor="text1"/>
          <w14:textFill>
            <w14:solidFill>
              <w14:schemeClr w14:val="tx1"/>
            </w14:solidFill>
          </w14:textFill>
        </w:rPr>
      </w:pPr>
    </w:p>
    <w:p w14:paraId="68F5AC8F">
      <w:pPr>
        <w:pStyle w:val="117"/>
        <w:spacing w:line="480" w:lineRule="exact"/>
        <w:ind w:firstLine="480"/>
        <w:rPr>
          <w:rFonts w:hint="eastAsia"/>
          <w:color w:val="000000" w:themeColor="text1"/>
          <w14:textFill>
            <w14:solidFill>
              <w14:schemeClr w14:val="tx1"/>
            </w14:solidFill>
          </w14:textFill>
        </w:rPr>
      </w:pPr>
    </w:p>
    <w:p w14:paraId="33E9DB18">
      <w:pPr>
        <w:pStyle w:val="117"/>
        <w:spacing w:line="480" w:lineRule="exact"/>
        <w:ind w:firstLine="480"/>
        <w:rPr>
          <w:rFonts w:hint="eastAsia"/>
          <w:color w:val="000000" w:themeColor="text1"/>
          <w14:textFill>
            <w14:solidFill>
              <w14:schemeClr w14:val="tx1"/>
            </w14:solidFill>
          </w14:textFill>
        </w:rPr>
      </w:pPr>
    </w:p>
    <w:p w14:paraId="2D86E5D6">
      <w:pPr>
        <w:pStyle w:val="117"/>
        <w:spacing w:line="480" w:lineRule="exact"/>
        <w:ind w:firstLine="199" w:firstLineChars="83"/>
        <w:rPr>
          <w:rFonts w:hint="eastAsia"/>
          <w:color w:val="000000" w:themeColor="text1"/>
          <w14:textFill>
            <w14:solidFill>
              <w14:schemeClr w14:val="tx1"/>
            </w14:solidFill>
          </w14:textFill>
        </w:rPr>
      </w:pPr>
    </w:p>
    <w:p w14:paraId="2B2C0C79">
      <w:pPr>
        <w:pStyle w:val="117"/>
        <w:spacing w:line="480" w:lineRule="exact"/>
        <w:ind w:firstLine="480"/>
        <w:rPr>
          <w:rFonts w:hint="eastAsia"/>
          <w:color w:val="000000" w:themeColor="text1"/>
          <w14:textFill>
            <w14:solidFill>
              <w14:schemeClr w14:val="tx1"/>
            </w14:solidFill>
          </w14:textFill>
        </w:rPr>
      </w:pPr>
    </w:p>
    <w:p w14:paraId="53E74D9B">
      <w:pPr>
        <w:pStyle w:val="117"/>
        <w:spacing w:line="480" w:lineRule="exact"/>
        <w:ind w:firstLine="480"/>
        <w:rPr>
          <w:rFonts w:hint="eastAsia"/>
          <w:color w:val="000000" w:themeColor="text1"/>
          <w14:textFill>
            <w14:solidFill>
              <w14:schemeClr w14:val="tx1"/>
            </w14:solidFill>
          </w14:textFill>
        </w:rPr>
      </w:pPr>
    </w:p>
    <w:p w14:paraId="6B99105E">
      <w:pPr>
        <w:pStyle w:val="117"/>
        <w:spacing w:line="480" w:lineRule="exact"/>
        <w:ind w:firstLine="480"/>
        <w:rPr>
          <w:rFonts w:hint="eastAsia"/>
          <w:color w:val="000000" w:themeColor="text1"/>
          <w14:textFill>
            <w14:solidFill>
              <w14:schemeClr w14:val="tx1"/>
            </w14:solidFill>
          </w14:textFill>
        </w:rPr>
      </w:pPr>
    </w:p>
    <w:p w14:paraId="6A15D6EA">
      <w:pPr>
        <w:pStyle w:val="117"/>
        <w:spacing w:line="480" w:lineRule="exact"/>
        <w:ind w:firstLine="480"/>
        <w:rPr>
          <w:rFonts w:hint="eastAsia"/>
          <w:color w:val="000000" w:themeColor="text1"/>
          <w14:textFill>
            <w14:solidFill>
              <w14:schemeClr w14:val="tx1"/>
            </w14:solidFill>
          </w14:textFill>
        </w:rPr>
      </w:pPr>
    </w:p>
    <w:p w14:paraId="62E2B715">
      <w:pPr>
        <w:pStyle w:val="117"/>
        <w:spacing w:line="480" w:lineRule="exact"/>
        <w:ind w:firstLine="480"/>
        <w:rPr>
          <w:rFonts w:hint="eastAsia"/>
          <w:color w:val="000000" w:themeColor="text1"/>
          <w14:textFill>
            <w14:solidFill>
              <w14:schemeClr w14:val="tx1"/>
            </w14:solidFill>
          </w14:textFill>
        </w:rPr>
      </w:pPr>
    </w:p>
    <w:p w14:paraId="2E9685EF">
      <w:pPr>
        <w:pStyle w:val="117"/>
        <w:spacing w:line="480" w:lineRule="exact"/>
        <w:ind w:firstLine="480"/>
        <w:rPr>
          <w:rFonts w:hint="eastAsia"/>
          <w:color w:val="000000" w:themeColor="text1"/>
          <w14:textFill>
            <w14:solidFill>
              <w14:schemeClr w14:val="tx1"/>
            </w14:solidFill>
          </w14:textFill>
        </w:rPr>
      </w:pPr>
    </w:p>
    <w:p w14:paraId="5F9CEB7A">
      <w:pPr>
        <w:pStyle w:val="117"/>
        <w:spacing w:line="480" w:lineRule="exact"/>
        <w:ind w:firstLine="480"/>
        <w:rPr>
          <w:rFonts w:hint="eastAsia"/>
          <w:color w:val="000000" w:themeColor="text1"/>
          <w14:textFill>
            <w14:solidFill>
              <w14:schemeClr w14:val="tx1"/>
            </w14:solidFill>
          </w14:textFill>
        </w:rPr>
      </w:pPr>
    </w:p>
    <w:p w14:paraId="2202965E">
      <w:pPr>
        <w:pStyle w:val="117"/>
        <w:spacing w:line="480" w:lineRule="exact"/>
        <w:ind w:firstLine="480"/>
        <w:rPr>
          <w:rFonts w:hint="eastAsia"/>
          <w:color w:val="000000" w:themeColor="text1"/>
          <w14:textFill>
            <w14:solidFill>
              <w14:schemeClr w14:val="tx1"/>
            </w14:solidFill>
          </w14:textFill>
        </w:rPr>
      </w:pPr>
    </w:p>
    <w:p w14:paraId="584F4EF7">
      <w:pPr>
        <w:pStyle w:val="117"/>
        <w:spacing w:line="480" w:lineRule="exact"/>
        <w:ind w:firstLine="480"/>
        <w:rPr>
          <w:rFonts w:hint="eastAsia"/>
          <w:color w:val="000000" w:themeColor="text1"/>
          <w14:textFill>
            <w14:solidFill>
              <w14:schemeClr w14:val="tx1"/>
            </w14:solidFill>
          </w14:textFill>
        </w:rPr>
      </w:pPr>
    </w:p>
    <w:p w14:paraId="75954A1F">
      <w:pPr>
        <w:pStyle w:val="15"/>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图5.2-1  项目区水文地质示意图</w:t>
      </w:r>
    </w:p>
    <w:p w14:paraId="7B4972C8">
      <w:pPr>
        <w:rPr>
          <w:color w:val="000000" w:themeColor="text1"/>
          <w14:textFill>
            <w14:solidFill>
              <w14:schemeClr w14:val="tx1"/>
            </w14:solidFill>
          </w14:textFill>
        </w:rPr>
      </w:pPr>
    </w:p>
    <w:bookmarkEnd w:id="539"/>
    <w:p w14:paraId="4BC555AC">
      <w:pPr>
        <w:spacing w:line="860" w:lineRule="exact"/>
        <w:ind w:firstLine="480" w:firstLineChars="200"/>
        <w:jc w:val="center"/>
        <w:rPr>
          <w:rFonts w:hint="eastAsia" w:ascii="宋体" w:hAnsi="宋体"/>
          <w:color w:val="000000" w:themeColor="text1"/>
          <w:sz w:val="24"/>
          <w14:textFill>
            <w14:solidFill>
              <w14:schemeClr w14:val="tx1"/>
            </w14:solidFill>
          </w14:textFill>
        </w:rPr>
      </w:pPr>
      <w:bookmarkStart w:id="543" w:name="_Hlk147587667"/>
      <w:bookmarkStart w:id="544" w:name="_Toc25766"/>
      <w:bookmarkStart w:id="545" w:name="_Toc445842092"/>
      <w:bookmarkStart w:id="546" w:name="_Toc445996414"/>
      <w:r>
        <w:rPr>
          <w:rFonts w:ascii="宋体" w:hAnsi="宋体"/>
          <w:color w:val="000000" w:themeColor="text1"/>
          <w:sz w:val="24"/>
          <w14:textFill>
            <w14:solidFill>
              <w14:schemeClr w14:val="tx1"/>
            </w14:solidFill>
          </w14:textFill>
        </w:rPr>
        <w:object>
          <v:shape id="_x0000_i1026" o:spt="75" type="#_x0000_t75" style="height:34.65pt;width:144pt;" o:ole="t" filled="f" o:preferrelative="t" stroked="f" coordsize="21600,21600">
            <v:path/>
            <v:fill on="f" focussize="0,0"/>
            <v:stroke on="f" joinstyle="miter"/>
            <v:imagedata r:id="rId30" o:title=""/>
            <o:lock v:ext="edit" aspectratio="t"/>
            <w10:wrap type="none"/>
            <w10:anchorlock/>
          </v:shape>
          <o:OLEObject Type="Embed" ProgID="Visio.Drawing.11" ShapeID="_x0000_i1026" DrawAspect="Content" ObjectID="_1468075726" r:id="rId29">
            <o:LockedField>false</o:LockedField>
          </o:OLEObject>
        </w:object>
      </w:r>
    </w:p>
    <w:p w14:paraId="6C747A6D">
      <w:pPr>
        <w:pStyle w:val="117"/>
        <w:ind w:firstLine="480"/>
        <w:rPr>
          <w:rFonts w:hint="eastAsia"/>
          <w:color w:val="000000" w:themeColor="text1"/>
          <w14:textFill>
            <w14:solidFill>
              <w14:schemeClr w14:val="tx1"/>
            </w14:solidFill>
          </w14:textFill>
        </w:rPr>
      </w:pPr>
      <w:r>
        <w:rPr>
          <w:color w:val="000000" w:themeColor="text1"/>
          <w14:textFill>
            <w14:solidFill>
              <w14:schemeClr w14:val="tx1"/>
            </w14:solidFill>
          </w14:textFill>
        </w:rPr>
        <w:t>式中：</w:t>
      </w:r>
    </w:p>
    <w:p w14:paraId="4B89AAB9">
      <w:pPr>
        <w:pStyle w:val="117"/>
        <w:ind w:firstLine="991" w:firstLineChars="413"/>
        <w:rPr>
          <w:rFonts w:hint="eastAsia"/>
          <w:color w:val="000000" w:themeColor="text1"/>
          <w14:textFill>
            <w14:solidFill>
              <w14:schemeClr w14:val="tx1"/>
            </w14:solidFill>
          </w14:textFill>
        </w:rPr>
      </w:pPr>
      <w:r>
        <w:rPr>
          <w:color w:val="000000" w:themeColor="text1"/>
          <w14:textFill>
            <w14:solidFill>
              <w14:schemeClr w14:val="tx1"/>
            </w14:solidFill>
          </w14:textFill>
        </w:rPr>
        <w:t>Q</w:t>
      </w:r>
      <w:r>
        <w:rPr>
          <w:color w:val="000000" w:themeColor="text1"/>
          <w:vertAlign w:val="subscript"/>
          <w14:textFill>
            <w14:solidFill>
              <w14:schemeClr w14:val="tx1"/>
            </w14:solidFill>
          </w14:textFill>
        </w:rPr>
        <w:t>L</w:t>
      </w:r>
      <w:r>
        <w:rPr>
          <w:color w:val="000000" w:themeColor="text1"/>
          <w14:textFill>
            <w14:solidFill>
              <w14:schemeClr w14:val="tx1"/>
            </w14:solidFill>
          </w14:textFill>
        </w:rPr>
        <w:t>——液体泄漏速度，kg/s；</w:t>
      </w:r>
    </w:p>
    <w:p w14:paraId="7B67503F">
      <w:pPr>
        <w:pStyle w:val="117"/>
        <w:ind w:firstLine="991" w:firstLineChars="413"/>
        <w:rPr>
          <w:rFonts w:hint="eastAsia"/>
          <w:color w:val="000000" w:themeColor="text1"/>
          <w14:textFill>
            <w14:solidFill>
              <w14:schemeClr w14:val="tx1"/>
            </w14:solidFill>
          </w14:textFill>
        </w:rPr>
      </w:pPr>
      <w:r>
        <w:rPr>
          <w:color w:val="000000" w:themeColor="text1"/>
          <w14:textFill>
            <w14:solidFill>
              <w14:schemeClr w14:val="tx1"/>
            </w14:solidFill>
          </w14:textFill>
        </w:rPr>
        <w:t>C</w:t>
      </w:r>
      <w:r>
        <w:rPr>
          <w:color w:val="000000" w:themeColor="text1"/>
          <w:vertAlign w:val="subscript"/>
          <w14:textFill>
            <w14:solidFill>
              <w14:schemeClr w14:val="tx1"/>
            </w14:solidFill>
          </w14:textFill>
        </w:rPr>
        <w:t>d</w:t>
      </w:r>
      <w:r>
        <w:rPr>
          <w:color w:val="000000" w:themeColor="text1"/>
          <w14:textFill>
            <w14:solidFill>
              <w14:schemeClr w14:val="tx1"/>
            </w14:solidFill>
          </w14:textFill>
        </w:rPr>
        <w:t>——液体泄漏系数，取0.65；</w:t>
      </w:r>
    </w:p>
    <w:p w14:paraId="457E874F">
      <w:pPr>
        <w:pStyle w:val="117"/>
        <w:ind w:firstLine="991" w:firstLineChars="413"/>
        <w:rPr>
          <w:rFonts w:hint="eastAsia"/>
          <w:color w:val="000000" w:themeColor="text1"/>
          <w14:textFill>
            <w14:solidFill>
              <w14:schemeClr w14:val="tx1"/>
            </w14:solidFill>
          </w14:textFill>
        </w:rPr>
      </w:pPr>
      <w:r>
        <w:rPr>
          <w:color w:val="000000" w:themeColor="text1"/>
          <w14:textFill>
            <w14:solidFill>
              <w14:schemeClr w14:val="tx1"/>
            </w14:solidFill>
          </w14:textFill>
        </w:rPr>
        <w:t>A——裂口面积</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m</w:t>
      </w:r>
      <w:r>
        <w:rPr>
          <w:color w:val="000000" w:themeColor="text1"/>
          <w:vertAlign w:val="superscript"/>
          <w14:textFill>
            <w14:solidFill>
              <w14:schemeClr w14:val="tx1"/>
            </w14:solidFill>
          </w14:textFill>
        </w:rPr>
        <w:t>2</w:t>
      </w:r>
      <w:r>
        <w:rPr>
          <w:color w:val="000000" w:themeColor="text1"/>
          <w14:textFill>
            <w14:solidFill>
              <w14:schemeClr w14:val="tx1"/>
            </w14:solidFill>
          </w14:textFill>
        </w:rPr>
        <w:t>；</w:t>
      </w:r>
    </w:p>
    <w:p w14:paraId="2219B672">
      <w:pPr>
        <w:pStyle w:val="117"/>
        <w:ind w:firstLine="991" w:firstLineChars="413"/>
        <w:rPr>
          <w:rFonts w:hint="eastAsia"/>
          <w:color w:val="000000" w:themeColor="text1"/>
          <w14:textFill>
            <w14:solidFill>
              <w14:schemeClr w14:val="tx1"/>
            </w14:solidFill>
          </w14:textFill>
        </w:rPr>
      </w:pPr>
      <w:r>
        <w:rPr>
          <w:color w:val="000000" w:themeColor="text1"/>
          <w14:textFill>
            <w14:solidFill>
              <w14:schemeClr w14:val="tx1"/>
            </w14:solidFill>
          </w14:textFill>
        </w:rPr>
        <w:t>ρ——泄漏液体密度</w:t>
      </w:r>
      <w:r>
        <w:rPr>
          <w:rFonts w:hint="eastAsia"/>
          <w:color w:val="000000" w:themeColor="text1"/>
          <w14:textFill>
            <w14:solidFill>
              <w14:schemeClr w14:val="tx1"/>
            </w14:solidFill>
          </w14:textFill>
        </w:rPr>
        <w:t>；</w:t>
      </w:r>
    </w:p>
    <w:p w14:paraId="4F78F799">
      <w:pPr>
        <w:pStyle w:val="117"/>
        <w:ind w:firstLine="991" w:firstLineChars="413"/>
        <w:rPr>
          <w:rFonts w:hint="eastAsia"/>
          <w:color w:val="000000" w:themeColor="text1"/>
          <w14:textFill>
            <w14:solidFill>
              <w14:schemeClr w14:val="tx1"/>
            </w14:solidFill>
          </w14:textFill>
        </w:rPr>
      </w:pPr>
      <w:r>
        <w:rPr>
          <w:color w:val="000000" w:themeColor="text1"/>
          <w14:textFill>
            <w14:solidFill>
              <w14:schemeClr w14:val="tx1"/>
            </w14:solidFill>
          </w14:textFill>
        </w:rPr>
        <w:t>P——容器内介质压力，Pa；</w:t>
      </w:r>
    </w:p>
    <w:p w14:paraId="6EBF8DA8">
      <w:pPr>
        <w:pStyle w:val="117"/>
        <w:ind w:firstLine="991" w:firstLineChars="413"/>
        <w:rPr>
          <w:rFonts w:hint="eastAsia"/>
          <w:color w:val="000000" w:themeColor="text1"/>
          <w14:textFill>
            <w14:solidFill>
              <w14:schemeClr w14:val="tx1"/>
            </w14:solidFill>
          </w14:textFill>
        </w:rPr>
      </w:pPr>
      <w:r>
        <w:rPr>
          <w:color w:val="000000" w:themeColor="text1"/>
          <w14:textFill>
            <w14:solidFill>
              <w14:schemeClr w14:val="tx1"/>
            </w14:solidFill>
          </w14:textFill>
        </w:rPr>
        <w:t>P</w:t>
      </w:r>
      <w:r>
        <w:rPr>
          <w:color w:val="000000" w:themeColor="text1"/>
          <w:vertAlign w:val="subscript"/>
          <w14:textFill>
            <w14:solidFill>
              <w14:schemeClr w14:val="tx1"/>
            </w14:solidFill>
          </w14:textFill>
        </w:rPr>
        <w:t>0</w:t>
      </w:r>
      <w:r>
        <w:rPr>
          <w:color w:val="000000" w:themeColor="text1"/>
          <w14:textFill>
            <w14:solidFill>
              <w14:schemeClr w14:val="tx1"/>
            </w14:solidFill>
          </w14:textFill>
        </w:rPr>
        <w:t>——环境压力</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Pa；</w:t>
      </w:r>
    </w:p>
    <w:p w14:paraId="45AA6782">
      <w:pPr>
        <w:pStyle w:val="117"/>
        <w:ind w:firstLine="991" w:firstLineChars="413"/>
        <w:rPr>
          <w:rFonts w:hint="eastAsia"/>
          <w:color w:val="000000" w:themeColor="text1"/>
          <w14:textFill>
            <w14:solidFill>
              <w14:schemeClr w14:val="tx1"/>
            </w14:solidFill>
          </w14:textFill>
        </w:rPr>
      </w:pPr>
      <w:r>
        <w:rPr>
          <w:color w:val="000000" w:themeColor="text1"/>
          <w14:textFill>
            <w14:solidFill>
              <w14:schemeClr w14:val="tx1"/>
            </w14:solidFill>
          </w14:textFill>
        </w:rPr>
        <w:t>g——重力加速度，9.8m/s</w:t>
      </w:r>
      <w:r>
        <w:rPr>
          <w:color w:val="000000" w:themeColor="text1"/>
          <w:vertAlign w:val="superscript"/>
          <w14:textFill>
            <w14:solidFill>
              <w14:schemeClr w14:val="tx1"/>
            </w14:solidFill>
          </w14:textFill>
        </w:rPr>
        <w:t>2</w:t>
      </w:r>
      <w:r>
        <w:rPr>
          <w:color w:val="000000" w:themeColor="text1"/>
          <w14:textFill>
            <w14:solidFill>
              <w14:schemeClr w14:val="tx1"/>
            </w14:solidFill>
          </w14:textFill>
        </w:rPr>
        <w:t>；</w:t>
      </w:r>
    </w:p>
    <w:p w14:paraId="3551BB45">
      <w:pPr>
        <w:pStyle w:val="117"/>
        <w:ind w:firstLine="991" w:firstLineChars="413"/>
        <w:rPr>
          <w:rFonts w:hint="eastAsia"/>
          <w:color w:val="000000" w:themeColor="text1"/>
          <w14:textFill>
            <w14:solidFill>
              <w14:schemeClr w14:val="tx1"/>
            </w14:solidFill>
          </w14:textFill>
        </w:rPr>
      </w:pPr>
      <w:r>
        <w:rPr>
          <w:color w:val="000000" w:themeColor="text1"/>
          <w14:textFill>
            <w14:solidFill>
              <w14:schemeClr w14:val="tx1"/>
            </w14:solidFill>
          </w14:textFill>
        </w:rPr>
        <w:t>h——裂口之上液位高度</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m。</w:t>
      </w:r>
    </w:p>
    <w:p w14:paraId="1B8A2621">
      <w:pPr>
        <w:pStyle w:val="117"/>
        <w:adjustRightInd w:val="0"/>
        <w:snapToGrid w:val="0"/>
        <w:ind w:firstLine="480"/>
        <w:rPr>
          <w:rFonts w:hint="eastAsia"/>
          <w:color w:val="000000" w:themeColor="text1"/>
          <w14:textFill>
            <w14:solidFill>
              <w14:schemeClr w14:val="tx1"/>
            </w14:solidFill>
          </w14:textFill>
        </w:rPr>
      </w:pPr>
      <w:r>
        <w:rPr>
          <w:color w:val="000000" w:themeColor="text1"/>
          <w14:textFill>
            <w14:solidFill>
              <w14:schemeClr w14:val="tx1"/>
            </w14:solidFill>
          </w14:textFill>
        </w:rPr>
        <w:t>经计算，在设定事故条件下泄漏速率见</w:t>
      </w:r>
      <w:r>
        <w:rPr>
          <w:rFonts w:hint="eastAsia"/>
          <w:color w:val="000000" w:themeColor="text1"/>
          <w14:textFill>
            <w14:solidFill>
              <w14:schemeClr w14:val="tx1"/>
            </w14:solidFill>
          </w14:textFill>
        </w:rPr>
        <w:t>表</w:t>
      </w:r>
      <w:r>
        <w:rPr>
          <w:color w:val="000000" w:themeColor="text1"/>
          <w14:textFill>
            <w14:solidFill>
              <w14:schemeClr w14:val="tx1"/>
            </w14:solidFill>
          </w14:textFill>
        </w:rPr>
        <w:t>5.2</w:t>
      </w:r>
      <w:r>
        <w:rPr>
          <w:rFonts w:hint="eastAsia"/>
          <w:color w:val="000000" w:themeColor="text1"/>
          <w14:textFill>
            <w14:solidFill>
              <w14:schemeClr w14:val="tx1"/>
            </w14:solidFill>
          </w14:textFill>
        </w:rPr>
        <w:t>-6</w:t>
      </w:r>
      <w:r>
        <w:rPr>
          <w:color w:val="000000" w:themeColor="text1"/>
          <w14:textFill>
            <w14:solidFill>
              <w14:schemeClr w14:val="tx1"/>
            </w14:solidFill>
          </w14:textFill>
        </w:rPr>
        <w:t>。</w:t>
      </w:r>
    </w:p>
    <w:p w14:paraId="1DE56E39">
      <w:pPr>
        <w:pStyle w:val="15"/>
        <w:adjustRightInd w:val="0"/>
        <w:snapToGrid w:val="0"/>
        <w:spacing w:line="500" w:lineRule="exact"/>
        <w:rPr>
          <w:rFonts w:hint="eastAsia"/>
          <w:bCs/>
          <w:color w:val="000000" w:themeColor="text1"/>
          <w14:textFill>
            <w14:solidFill>
              <w14:schemeClr w14:val="tx1"/>
            </w14:solidFill>
          </w14:textFill>
        </w:rPr>
      </w:pPr>
      <w:bookmarkStart w:id="547" w:name="OLE_LINK177"/>
      <w:r>
        <w:rPr>
          <w:rFonts w:hint="eastAsia"/>
          <w:bCs/>
          <w:color w:val="000000" w:themeColor="text1"/>
          <w14:textFill>
            <w14:solidFill>
              <w14:schemeClr w14:val="tx1"/>
            </w14:solidFill>
          </w14:textFill>
        </w:rPr>
        <w:t>表</w:t>
      </w:r>
      <w:r>
        <w:rPr>
          <w:bCs/>
          <w:color w:val="000000" w:themeColor="text1"/>
          <w14:textFill>
            <w14:solidFill>
              <w14:schemeClr w14:val="tx1"/>
            </w14:solidFill>
          </w14:textFill>
        </w:rPr>
        <w:t>5.2</w:t>
      </w:r>
      <w:r>
        <w:rPr>
          <w:rFonts w:hint="eastAsia"/>
          <w:bCs/>
          <w:color w:val="000000" w:themeColor="text1"/>
          <w14:textFill>
            <w14:solidFill>
              <w14:schemeClr w14:val="tx1"/>
            </w14:solidFill>
          </w14:textFill>
        </w:rPr>
        <w:t>-6</w:t>
      </w:r>
      <w:r>
        <w:rPr>
          <w:bCs/>
          <w:color w:val="000000" w:themeColor="text1"/>
          <w14:textFill>
            <w14:solidFill>
              <w14:schemeClr w14:val="tx1"/>
            </w14:solidFill>
          </w14:textFill>
        </w:rPr>
        <w:t xml:space="preserve">  设定事故条件下泄漏速率计算结果</w:t>
      </w:r>
    </w:p>
    <w:tbl>
      <w:tblPr>
        <w:tblStyle w:val="51"/>
        <w:tblW w:w="8731" w:type="dxa"/>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169"/>
        <w:gridCol w:w="1200"/>
        <w:gridCol w:w="1866"/>
        <w:gridCol w:w="1118"/>
        <w:gridCol w:w="1021"/>
        <w:gridCol w:w="1256"/>
        <w:gridCol w:w="1101"/>
      </w:tblGrid>
      <w:tr w14:paraId="38BFD44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169" w:type="dxa"/>
            <w:vAlign w:val="center"/>
          </w:tcPr>
          <w:p w14:paraId="05C236F6">
            <w:pPr>
              <w:adjustRightInd w:val="0"/>
              <w:snapToGrid w:val="0"/>
              <w:spacing w:line="320" w:lineRule="atLeast"/>
              <w:jc w:val="center"/>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类别</w:t>
            </w:r>
          </w:p>
        </w:tc>
        <w:tc>
          <w:tcPr>
            <w:tcW w:w="1200" w:type="dxa"/>
            <w:vAlign w:val="center"/>
          </w:tcPr>
          <w:p w14:paraId="06C31BF7">
            <w:pPr>
              <w:adjustRightInd w:val="0"/>
              <w:snapToGrid w:val="0"/>
              <w:spacing w:line="320" w:lineRule="atLeast"/>
              <w:jc w:val="center"/>
              <w:rPr>
                <w:rFonts w:hint="eastAsia"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泄漏口面积</w:t>
            </w:r>
            <w:r>
              <w:rPr>
                <w:rFonts w:hint="eastAsia" w:ascii="宋体" w:hAnsi="宋体"/>
                <w:color w:val="000000" w:themeColor="text1"/>
                <w:szCs w:val="21"/>
                <w14:textFill>
                  <w14:solidFill>
                    <w14:schemeClr w14:val="tx1"/>
                  </w14:solidFill>
                </w14:textFill>
              </w:rPr>
              <w:t>（</w:t>
            </w:r>
            <w:r>
              <w:rPr>
                <w:rFonts w:ascii="宋体" w:hAnsi="宋体"/>
                <w:color w:val="000000" w:themeColor="text1"/>
                <w:szCs w:val="21"/>
                <w14:textFill>
                  <w14:solidFill>
                    <w14:schemeClr w14:val="tx1"/>
                  </w14:solidFill>
                </w14:textFill>
              </w:rPr>
              <w:t>m</w:t>
            </w:r>
            <w:r>
              <w:rPr>
                <w:rFonts w:ascii="宋体" w:hAnsi="宋体"/>
                <w:color w:val="000000" w:themeColor="text1"/>
                <w:szCs w:val="21"/>
                <w:vertAlign w:val="superscript"/>
                <w14:textFill>
                  <w14:solidFill>
                    <w14:schemeClr w14:val="tx1"/>
                  </w14:solidFill>
                </w14:textFill>
              </w:rPr>
              <w:t>2</w:t>
            </w:r>
            <w:r>
              <w:rPr>
                <w:rFonts w:hint="eastAsia" w:ascii="宋体" w:hAnsi="宋体"/>
                <w:color w:val="000000" w:themeColor="text1"/>
                <w:szCs w:val="21"/>
                <w14:textFill>
                  <w14:solidFill>
                    <w14:schemeClr w14:val="tx1"/>
                  </w14:solidFill>
                </w14:textFill>
              </w:rPr>
              <w:t>）</w:t>
            </w:r>
          </w:p>
        </w:tc>
        <w:tc>
          <w:tcPr>
            <w:tcW w:w="1866" w:type="dxa"/>
            <w:vAlign w:val="center"/>
          </w:tcPr>
          <w:p w14:paraId="061486BC">
            <w:pPr>
              <w:adjustRightInd w:val="0"/>
              <w:snapToGrid w:val="0"/>
              <w:spacing w:line="320" w:lineRule="atLeast"/>
              <w:jc w:val="center"/>
              <w:rPr>
                <w:rFonts w:hint="eastAsia"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泄漏口之上液位高度</w:t>
            </w:r>
            <w:r>
              <w:rPr>
                <w:rFonts w:hint="eastAsia" w:ascii="宋体" w:hAnsi="宋体"/>
                <w:color w:val="000000" w:themeColor="text1"/>
                <w:szCs w:val="21"/>
                <w14:textFill>
                  <w14:solidFill>
                    <w14:schemeClr w14:val="tx1"/>
                  </w14:solidFill>
                </w14:textFill>
              </w:rPr>
              <w:t>（</w:t>
            </w:r>
            <w:r>
              <w:rPr>
                <w:rFonts w:ascii="宋体" w:hAnsi="宋体"/>
                <w:color w:val="000000" w:themeColor="text1"/>
                <w:szCs w:val="21"/>
                <w14:textFill>
                  <w14:solidFill>
                    <w14:schemeClr w14:val="tx1"/>
                  </w14:solidFill>
                </w14:textFill>
              </w:rPr>
              <w:t>m</w:t>
            </w:r>
            <w:r>
              <w:rPr>
                <w:rFonts w:hint="eastAsia" w:ascii="宋体" w:hAnsi="宋体"/>
                <w:color w:val="000000" w:themeColor="text1"/>
                <w:szCs w:val="21"/>
                <w14:textFill>
                  <w14:solidFill>
                    <w14:schemeClr w14:val="tx1"/>
                  </w14:solidFill>
                </w14:textFill>
              </w:rPr>
              <w:t>）</w:t>
            </w:r>
          </w:p>
        </w:tc>
        <w:tc>
          <w:tcPr>
            <w:tcW w:w="1118" w:type="dxa"/>
            <w:vAlign w:val="center"/>
          </w:tcPr>
          <w:p w14:paraId="5C819005">
            <w:pPr>
              <w:adjustRightInd w:val="0"/>
              <w:snapToGrid w:val="0"/>
              <w:spacing w:line="320" w:lineRule="atLeast"/>
              <w:jc w:val="center"/>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底部</w:t>
            </w:r>
            <w:r>
              <w:rPr>
                <w:rFonts w:ascii="宋体" w:hAnsi="宋体"/>
                <w:color w:val="000000" w:themeColor="text1"/>
                <w:szCs w:val="21"/>
                <w14:textFill>
                  <w14:solidFill>
                    <w14:schemeClr w14:val="tx1"/>
                  </w14:solidFill>
                </w14:textFill>
              </w:rPr>
              <w:t>压力</w:t>
            </w:r>
            <w:r>
              <w:rPr>
                <w:rFonts w:hint="eastAsia" w:ascii="宋体" w:hAnsi="宋体"/>
                <w:color w:val="000000" w:themeColor="text1"/>
                <w:szCs w:val="21"/>
                <w14:textFill>
                  <w14:solidFill>
                    <w14:schemeClr w14:val="tx1"/>
                  </w14:solidFill>
                </w14:textFill>
              </w:rPr>
              <w:t>（MPa）</w:t>
            </w:r>
          </w:p>
        </w:tc>
        <w:tc>
          <w:tcPr>
            <w:tcW w:w="1021" w:type="dxa"/>
            <w:vAlign w:val="center"/>
          </w:tcPr>
          <w:p w14:paraId="717EF2B8">
            <w:pPr>
              <w:adjustRightInd w:val="0"/>
              <w:snapToGrid w:val="0"/>
              <w:spacing w:line="320" w:lineRule="atLeast"/>
              <w:jc w:val="center"/>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环境</w:t>
            </w:r>
            <w:r>
              <w:rPr>
                <w:rFonts w:ascii="宋体" w:hAnsi="宋体"/>
                <w:color w:val="000000" w:themeColor="text1"/>
                <w:szCs w:val="21"/>
                <w14:textFill>
                  <w14:solidFill>
                    <w14:schemeClr w14:val="tx1"/>
                  </w14:solidFill>
                </w14:textFill>
              </w:rPr>
              <w:t>压力</w:t>
            </w:r>
            <w:r>
              <w:rPr>
                <w:rFonts w:hint="eastAsia" w:ascii="宋体" w:hAnsi="宋体"/>
                <w:color w:val="000000" w:themeColor="text1"/>
                <w:szCs w:val="21"/>
                <w14:textFill>
                  <w14:solidFill>
                    <w14:schemeClr w14:val="tx1"/>
                  </w14:solidFill>
                </w14:textFill>
              </w:rPr>
              <w:t>（MPa）</w:t>
            </w:r>
          </w:p>
        </w:tc>
        <w:tc>
          <w:tcPr>
            <w:tcW w:w="1256" w:type="dxa"/>
            <w:vAlign w:val="center"/>
          </w:tcPr>
          <w:p w14:paraId="2E32740E">
            <w:pPr>
              <w:adjustRightInd w:val="0"/>
              <w:snapToGrid w:val="0"/>
              <w:spacing w:line="320" w:lineRule="atLeast"/>
              <w:jc w:val="center"/>
              <w:rPr>
                <w:rFonts w:hint="eastAsia"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液体密度</w:t>
            </w:r>
            <w:r>
              <w:rPr>
                <w:rFonts w:hint="eastAsia" w:ascii="宋体" w:hAnsi="宋体"/>
                <w:color w:val="000000" w:themeColor="text1"/>
                <w:szCs w:val="21"/>
                <w14:textFill>
                  <w14:solidFill>
                    <w14:schemeClr w14:val="tx1"/>
                  </w14:solidFill>
                </w14:textFill>
              </w:rPr>
              <w:t>（</w:t>
            </w:r>
            <w:r>
              <w:rPr>
                <w:rFonts w:ascii="宋体" w:hAnsi="宋体"/>
                <w:color w:val="000000" w:themeColor="text1"/>
                <w:szCs w:val="21"/>
                <w14:textFill>
                  <w14:solidFill>
                    <w14:schemeClr w14:val="tx1"/>
                  </w14:solidFill>
                </w14:textFill>
              </w:rPr>
              <w:t>kg/m</w:t>
            </w:r>
            <w:r>
              <w:rPr>
                <w:rFonts w:ascii="宋体" w:hAnsi="宋体"/>
                <w:color w:val="000000" w:themeColor="text1"/>
                <w:szCs w:val="21"/>
                <w:vertAlign w:val="superscript"/>
                <w14:textFill>
                  <w14:solidFill>
                    <w14:schemeClr w14:val="tx1"/>
                  </w14:solidFill>
                </w14:textFill>
              </w:rPr>
              <w:t>3</w:t>
            </w:r>
            <w:r>
              <w:rPr>
                <w:rFonts w:hint="eastAsia" w:ascii="宋体" w:hAnsi="宋体"/>
                <w:color w:val="000000" w:themeColor="text1"/>
                <w:szCs w:val="21"/>
                <w14:textFill>
                  <w14:solidFill>
                    <w14:schemeClr w14:val="tx1"/>
                  </w14:solidFill>
                </w14:textFill>
              </w:rPr>
              <w:t>）</w:t>
            </w:r>
          </w:p>
        </w:tc>
        <w:tc>
          <w:tcPr>
            <w:tcW w:w="1101" w:type="dxa"/>
            <w:vAlign w:val="center"/>
          </w:tcPr>
          <w:p w14:paraId="609B16A0">
            <w:pPr>
              <w:adjustRightInd w:val="0"/>
              <w:snapToGrid w:val="0"/>
              <w:spacing w:line="320" w:lineRule="atLeast"/>
              <w:jc w:val="center"/>
              <w:rPr>
                <w:rFonts w:hint="eastAsia"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泄漏速</w:t>
            </w:r>
            <w:r>
              <w:rPr>
                <w:rFonts w:hint="eastAsia" w:ascii="宋体" w:hAnsi="宋体"/>
                <w:color w:val="000000" w:themeColor="text1"/>
                <w:szCs w:val="21"/>
                <w14:textFill>
                  <w14:solidFill>
                    <w14:schemeClr w14:val="tx1"/>
                  </w14:solidFill>
                </w14:textFill>
              </w:rPr>
              <w:t>度（</w:t>
            </w:r>
            <w:r>
              <w:rPr>
                <w:rFonts w:ascii="宋体" w:hAnsi="宋体"/>
                <w:color w:val="000000" w:themeColor="text1"/>
                <w:szCs w:val="21"/>
                <w14:textFill>
                  <w14:solidFill>
                    <w14:schemeClr w14:val="tx1"/>
                  </w14:solidFill>
                </w14:textFill>
              </w:rPr>
              <w:t>kg/s</w:t>
            </w:r>
            <w:r>
              <w:rPr>
                <w:rFonts w:hint="eastAsia" w:ascii="宋体" w:hAnsi="宋体"/>
                <w:color w:val="000000" w:themeColor="text1"/>
                <w:szCs w:val="21"/>
                <w14:textFill>
                  <w14:solidFill>
                    <w14:schemeClr w14:val="tx1"/>
                  </w14:solidFill>
                </w14:textFill>
              </w:rPr>
              <w:t>）</w:t>
            </w:r>
          </w:p>
        </w:tc>
      </w:tr>
      <w:tr w14:paraId="52F50C7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169" w:type="dxa"/>
            <w:vAlign w:val="center"/>
          </w:tcPr>
          <w:p w14:paraId="323FDE65">
            <w:pPr>
              <w:adjustRightInd w:val="0"/>
              <w:snapToGrid w:val="0"/>
              <w:spacing w:line="320" w:lineRule="atLeast"/>
              <w:jc w:val="center"/>
              <w:rPr>
                <w:rFonts w:hint="eastAsia" w:ascii="宋体" w:hAnsi="宋体"/>
                <w:color w:val="000000" w:themeColor="text1"/>
                <w:szCs w:val="21"/>
                <w14:textFill>
                  <w14:solidFill>
                    <w14:schemeClr w14:val="tx1"/>
                  </w14:solidFill>
                </w14:textFill>
              </w:rPr>
            </w:pPr>
            <w:bookmarkStart w:id="548" w:name="_Hlk173854758"/>
            <w:r>
              <w:rPr>
                <w:rFonts w:hint="eastAsia" w:ascii="宋体" w:hAnsi="宋体"/>
                <w:color w:val="000000" w:themeColor="text1"/>
                <w:szCs w:val="21"/>
                <w14:textFill>
                  <w14:solidFill>
                    <w14:schemeClr w14:val="tx1"/>
                  </w14:solidFill>
                </w14:textFill>
              </w:rPr>
              <w:t>集油干线</w:t>
            </w:r>
          </w:p>
        </w:tc>
        <w:tc>
          <w:tcPr>
            <w:tcW w:w="1200" w:type="dxa"/>
            <w:vAlign w:val="center"/>
          </w:tcPr>
          <w:p w14:paraId="5743956B">
            <w:pPr>
              <w:adjustRightInd w:val="0"/>
              <w:snapToGrid w:val="0"/>
              <w:spacing w:line="320" w:lineRule="atLeast"/>
              <w:jc w:val="center"/>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0.0000785</w:t>
            </w:r>
          </w:p>
        </w:tc>
        <w:tc>
          <w:tcPr>
            <w:tcW w:w="1866" w:type="dxa"/>
            <w:vAlign w:val="center"/>
          </w:tcPr>
          <w:p w14:paraId="56C803B6">
            <w:pPr>
              <w:adjustRightInd w:val="0"/>
              <w:snapToGrid w:val="0"/>
              <w:spacing w:line="320" w:lineRule="atLeast"/>
              <w:jc w:val="center"/>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0</w:t>
            </w:r>
          </w:p>
        </w:tc>
        <w:tc>
          <w:tcPr>
            <w:tcW w:w="1118" w:type="dxa"/>
            <w:vAlign w:val="center"/>
          </w:tcPr>
          <w:p w14:paraId="52432ECA">
            <w:pPr>
              <w:adjustRightInd w:val="0"/>
              <w:snapToGrid w:val="0"/>
              <w:spacing w:line="320" w:lineRule="atLeast"/>
              <w:jc w:val="center"/>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1.353</w:t>
            </w:r>
          </w:p>
        </w:tc>
        <w:tc>
          <w:tcPr>
            <w:tcW w:w="1021" w:type="dxa"/>
            <w:vAlign w:val="center"/>
          </w:tcPr>
          <w:p w14:paraId="7666D4C5">
            <w:pPr>
              <w:adjustRightInd w:val="0"/>
              <w:snapToGrid w:val="0"/>
              <w:spacing w:line="320" w:lineRule="atLeast"/>
              <w:jc w:val="center"/>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0.101</w:t>
            </w:r>
          </w:p>
        </w:tc>
        <w:tc>
          <w:tcPr>
            <w:tcW w:w="1256" w:type="dxa"/>
            <w:vAlign w:val="center"/>
          </w:tcPr>
          <w:p w14:paraId="61FD7E27">
            <w:pPr>
              <w:adjustRightInd w:val="0"/>
              <w:snapToGrid w:val="0"/>
              <w:spacing w:line="320" w:lineRule="atLeast"/>
              <w:jc w:val="center"/>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896.2</w:t>
            </w:r>
          </w:p>
        </w:tc>
        <w:tc>
          <w:tcPr>
            <w:tcW w:w="1101" w:type="dxa"/>
            <w:vAlign w:val="center"/>
          </w:tcPr>
          <w:p w14:paraId="54DD9048">
            <w:pPr>
              <w:adjustRightInd w:val="0"/>
              <w:snapToGrid w:val="0"/>
              <w:spacing w:line="320" w:lineRule="atLeast"/>
              <w:jc w:val="center"/>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2.42</w:t>
            </w:r>
          </w:p>
        </w:tc>
      </w:tr>
      <w:tr w14:paraId="1B47E7C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169" w:type="dxa"/>
            <w:vAlign w:val="center"/>
          </w:tcPr>
          <w:p w14:paraId="1DED4505">
            <w:pPr>
              <w:adjustRightInd w:val="0"/>
              <w:snapToGrid w:val="0"/>
              <w:spacing w:line="320" w:lineRule="atLeast"/>
              <w:jc w:val="center"/>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排污罐</w:t>
            </w:r>
          </w:p>
        </w:tc>
        <w:tc>
          <w:tcPr>
            <w:tcW w:w="1200" w:type="dxa"/>
            <w:vAlign w:val="center"/>
          </w:tcPr>
          <w:p w14:paraId="327DA556">
            <w:pPr>
              <w:adjustRightInd w:val="0"/>
              <w:snapToGrid w:val="0"/>
              <w:spacing w:line="320" w:lineRule="atLeast"/>
              <w:jc w:val="center"/>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0.0000785</w:t>
            </w:r>
          </w:p>
        </w:tc>
        <w:tc>
          <w:tcPr>
            <w:tcW w:w="1866" w:type="dxa"/>
            <w:vAlign w:val="center"/>
          </w:tcPr>
          <w:p w14:paraId="193CA9E3">
            <w:pPr>
              <w:adjustRightInd w:val="0"/>
              <w:snapToGrid w:val="0"/>
              <w:spacing w:line="320" w:lineRule="atLeast"/>
              <w:jc w:val="center"/>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3.7</w:t>
            </w:r>
          </w:p>
        </w:tc>
        <w:tc>
          <w:tcPr>
            <w:tcW w:w="1118" w:type="dxa"/>
            <w:vAlign w:val="center"/>
          </w:tcPr>
          <w:p w14:paraId="474E348B">
            <w:pPr>
              <w:adjustRightInd w:val="0"/>
              <w:snapToGrid w:val="0"/>
              <w:spacing w:line="320" w:lineRule="atLeast"/>
              <w:jc w:val="center"/>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0.13726</w:t>
            </w:r>
          </w:p>
        </w:tc>
        <w:tc>
          <w:tcPr>
            <w:tcW w:w="1021" w:type="dxa"/>
            <w:vAlign w:val="center"/>
          </w:tcPr>
          <w:p w14:paraId="1E42927D">
            <w:pPr>
              <w:adjustRightInd w:val="0"/>
              <w:snapToGrid w:val="0"/>
              <w:spacing w:line="320" w:lineRule="atLeast"/>
              <w:jc w:val="center"/>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0.101</w:t>
            </w:r>
          </w:p>
        </w:tc>
        <w:tc>
          <w:tcPr>
            <w:tcW w:w="1256" w:type="dxa"/>
            <w:vAlign w:val="center"/>
          </w:tcPr>
          <w:p w14:paraId="7AFA7EA7">
            <w:pPr>
              <w:adjustRightInd w:val="0"/>
              <w:snapToGrid w:val="0"/>
              <w:spacing w:line="320" w:lineRule="atLeast"/>
              <w:jc w:val="center"/>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1000</w:t>
            </w:r>
          </w:p>
        </w:tc>
        <w:tc>
          <w:tcPr>
            <w:tcW w:w="1101" w:type="dxa"/>
            <w:vAlign w:val="center"/>
          </w:tcPr>
          <w:p w14:paraId="76D9C42D">
            <w:pPr>
              <w:adjustRightInd w:val="0"/>
              <w:snapToGrid w:val="0"/>
              <w:spacing w:line="320" w:lineRule="atLeast"/>
              <w:jc w:val="center"/>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0.551</w:t>
            </w:r>
          </w:p>
        </w:tc>
      </w:tr>
      <w:bookmarkEnd w:id="548"/>
    </w:tbl>
    <w:p w14:paraId="3092EF98">
      <w:pPr>
        <w:pStyle w:val="117"/>
        <w:adjustRightInd w:val="0"/>
        <w:snapToGrid w:val="0"/>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由表</w:t>
      </w:r>
      <w:r>
        <w:rPr>
          <w:color w:val="000000" w:themeColor="text1"/>
          <w14:textFill>
            <w14:solidFill>
              <w14:schemeClr w14:val="tx1"/>
            </w14:solidFill>
          </w14:textFill>
        </w:rPr>
        <w:t>5.2</w:t>
      </w:r>
      <w:r>
        <w:rPr>
          <w:rFonts w:hint="eastAsia"/>
          <w:color w:val="000000" w:themeColor="text1"/>
          <w14:textFill>
            <w14:solidFill>
              <w14:schemeClr w14:val="tx1"/>
            </w14:solidFill>
          </w14:textFill>
        </w:rPr>
        <w:t>-6可知，集油干线泄漏速率为2.42</w:t>
      </w:r>
      <w:r>
        <w:rPr>
          <w:color w:val="000000" w:themeColor="text1"/>
          <w14:textFill>
            <w14:solidFill>
              <w14:schemeClr w14:val="tx1"/>
            </w14:solidFill>
          </w14:textFill>
        </w:rPr>
        <w:t>kg/s</w:t>
      </w:r>
      <w:r>
        <w:rPr>
          <w:rFonts w:hint="eastAsia"/>
          <w:color w:val="000000" w:themeColor="text1"/>
          <w14:textFill>
            <w14:solidFill>
              <w14:schemeClr w14:val="tx1"/>
            </w14:solidFill>
          </w14:textFill>
        </w:rPr>
        <w:t>，</w:t>
      </w:r>
      <w:bookmarkStart w:id="549" w:name="_Hlk173415663"/>
      <w:r>
        <w:rPr>
          <w:rFonts w:hint="eastAsia"/>
          <w:color w:val="000000" w:themeColor="text1"/>
          <w14:textFill>
            <w14:solidFill>
              <w14:schemeClr w14:val="tx1"/>
            </w14:solidFill>
          </w14:textFill>
        </w:rPr>
        <w:t>排污罐泄漏速率为0.551kg/s。参照《建设项目环境风险评价技术导则》（HJ169-2018）中物质泄漏时间设定情况来确定泄漏时间，项目未设置紧急隔离系统，泄漏时间设定为</w:t>
      </w:r>
      <w:r>
        <w:rPr>
          <w:color w:val="000000" w:themeColor="text1"/>
          <w14:textFill>
            <w14:solidFill>
              <w14:schemeClr w14:val="tx1"/>
            </w14:solidFill>
          </w14:textFill>
        </w:rPr>
        <w:t>3</w:t>
      </w:r>
      <w:r>
        <w:rPr>
          <w:rFonts w:hint="eastAsia"/>
          <w:color w:val="000000" w:themeColor="text1"/>
          <w14:textFill>
            <w14:solidFill>
              <w14:schemeClr w14:val="tx1"/>
            </w14:solidFill>
          </w14:textFill>
        </w:rPr>
        <w:t>0min，</w:t>
      </w:r>
      <w:bookmarkEnd w:id="549"/>
      <w:r>
        <w:rPr>
          <w:rFonts w:hint="eastAsia"/>
          <w:color w:val="000000" w:themeColor="text1"/>
          <w14:textFill>
            <w14:solidFill>
              <w14:schemeClr w14:val="tx1"/>
            </w14:solidFill>
          </w14:textFill>
        </w:rPr>
        <w:t>事故发生后，切断事故阀门，则集油干线的泄漏量为4.356</w:t>
      </w:r>
      <w:r>
        <w:rPr>
          <w:color w:val="000000" w:themeColor="text1"/>
          <w14:textFill>
            <w14:solidFill>
              <w14:schemeClr w14:val="tx1"/>
            </w14:solidFill>
          </w14:textFill>
        </w:rPr>
        <w:t>t</w:t>
      </w:r>
      <w:r>
        <w:rPr>
          <w:rFonts w:hint="eastAsia"/>
          <w:color w:val="000000" w:themeColor="text1"/>
          <w14:textFill>
            <w14:solidFill>
              <w14:schemeClr w14:val="tx1"/>
            </w14:solidFill>
          </w14:textFill>
        </w:rPr>
        <w:t>、排污罐的泄漏量为1.322t，排污罐中污水主要为设备检维修时产生的含油污水，其中石油类含量约为254mg/L，则排污罐中石油类含量为0.00033t。按照土壤表层对污染物截留率90%计算，集油干线和排污罐泄漏后可能进入含水层的石油类分别为0.4536t和0.000033t。</w:t>
      </w:r>
    </w:p>
    <w:bookmarkEnd w:id="543"/>
    <w:bookmarkEnd w:id="547"/>
    <w:p w14:paraId="0FFE6633">
      <w:pPr>
        <w:spacing w:line="500" w:lineRule="exact"/>
        <w:ind w:firstLine="480" w:firstLineChars="200"/>
        <w:rPr>
          <w:rFonts w:hint="eastAsia" w:ascii="宋体" w:hAnsi="宋体"/>
          <w:color w:val="000000" w:themeColor="text1"/>
          <w:sz w:val="24"/>
          <w14:textFill>
            <w14:solidFill>
              <w14:schemeClr w14:val="tx1"/>
            </w14:solidFill>
          </w14:textFill>
        </w:rPr>
      </w:pPr>
      <w:bookmarkStart w:id="550" w:name="_Hlk147587693"/>
      <w:r>
        <w:rPr>
          <w:rFonts w:hint="eastAsia" w:ascii="宋体" w:hAnsi="宋体"/>
          <w:color w:val="000000" w:themeColor="text1"/>
          <w:sz w:val="24"/>
          <w14:textFill>
            <w14:solidFill>
              <w14:schemeClr w14:val="tx1"/>
            </w14:solidFill>
          </w14:textFill>
        </w:rPr>
        <w:t>※影响预测</w:t>
      </w:r>
    </w:p>
    <w:p w14:paraId="2DA36D0C">
      <w:pPr>
        <w:pStyle w:val="117"/>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预测因子为石油类，根据《环境影响评价技术导则  地下水环境》（HJ610-2016），采用解析法进行预测，预测模型选择导则推荐的地下水溶质运移解析法中的一维稳定流动二维弥散点源模型进行预测。</w:t>
      </w:r>
    </w:p>
    <w:p w14:paraId="719B39E0">
      <w:pPr>
        <w:pStyle w:val="117"/>
        <w:ind w:firstLine="480"/>
        <w:rPr>
          <w:rFonts w:hint="eastAsia"/>
          <w:color w:val="000000" w:themeColor="text1"/>
          <w14:textFill>
            <w14:solidFill>
              <w14:schemeClr w14:val="tx1"/>
            </w14:solidFill>
          </w14:textFill>
        </w:rPr>
      </w:pPr>
    </w:p>
    <w:p w14:paraId="6B084261">
      <w:pPr>
        <w:pStyle w:val="117"/>
        <w:ind w:firstLine="480"/>
        <w:rPr>
          <w:rFonts w:hint="eastAsia"/>
          <w:color w:val="000000" w:themeColor="text1"/>
          <w14:textFill>
            <w14:solidFill>
              <w14:schemeClr w14:val="tx1"/>
            </w14:solidFill>
          </w14:textFill>
        </w:rPr>
      </w:pPr>
      <w:r>
        <w:rPr>
          <w:color w:val="000000" w:themeColor="text1"/>
          <w14:textFill>
            <w14:solidFill>
              <w14:schemeClr w14:val="tx1"/>
            </w14:solidFill>
          </w14:textFill>
        </w:rPr>
        <w:drawing>
          <wp:anchor distT="0" distB="0" distL="114300" distR="114300" simplePos="0" relativeHeight="251661312" behindDoc="0" locked="0" layoutInCell="1" allowOverlap="1">
            <wp:simplePos x="0" y="0"/>
            <wp:positionH relativeFrom="column">
              <wp:posOffset>820420</wp:posOffset>
            </wp:positionH>
            <wp:positionV relativeFrom="paragraph">
              <wp:posOffset>51435</wp:posOffset>
            </wp:positionV>
            <wp:extent cx="2949575" cy="688975"/>
            <wp:effectExtent l="0" t="0" r="0" b="0"/>
            <wp:wrapNone/>
            <wp:docPr id="1146" name="图片 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 name="图片 769"/>
                    <pic:cNvPicPr>
                      <a:picLocks noChangeAspect="1" noChangeArrowheads="1"/>
                    </pic:cNvPicPr>
                  </pic:nvPicPr>
                  <pic:blipFill>
                    <a:blip r:embed="rId31">
                      <a:extLst>
                        <a:ext uri="{28A0092B-C50C-407E-A947-70E740481C1C}">
                          <a14:useLocalDpi xmlns:a14="http://schemas.microsoft.com/office/drawing/2010/main" val="0"/>
                        </a:ext>
                      </a:extLst>
                    </a:blip>
                    <a:srcRect t="8488" b="22752"/>
                    <a:stretch>
                      <a:fillRect/>
                    </a:stretch>
                  </pic:blipFill>
                  <pic:spPr>
                    <a:xfrm>
                      <a:off x="0" y="0"/>
                      <a:ext cx="2949575" cy="688975"/>
                    </a:xfrm>
                    <a:prstGeom prst="rect">
                      <a:avLst/>
                    </a:prstGeom>
                    <a:noFill/>
                    <a:ln>
                      <a:noFill/>
                    </a:ln>
                  </pic:spPr>
                </pic:pic>
              </a:graphicData>
            </a:graphic>
          </wp:anchor>
        </w:drawing>
      </w:r>
    </w:p>
    <w:p w14:paraId="36E774C1">
      <w:pPr>
        <w:pStyle w:val="117"/>
        <w:ind w:firstLine="480"/>
        <w:rPr>
          <w:rFonts w:hint="eastAsia"/>
          <w:color w:val="000000" w:themeColor="text1"/>
          <w14:textFill>
            <w14:solidFill>
              <w14:schemeClr w14:val="tx1"/>
            </w14:solidFill>
          </w14:textFill>
        </w:rPr>
      </w:pPr>
    </w:p>
    <w:p w14:paraId="6876F125">
      <w:pPr>
        <w:pStyle w:val="117"/>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式中：</w:t>
      </w:r>
    </w:p>
    <w:p w14:paraId="360DFAE6">
      <w:pPr>
        <w:pStyle w:val="117"/>
        <w:ind w:firstLine="1132" w:firstLineChars="472"/>
        <w:rPr>
          <w:rFonts w:hint="eastAsia"/>
          <w:color w:val="000000" w:themeColor="text1"/>
          <w14:textFill>
            <w14:solidFill>
              <w14:schemeClr w14:val="tx1"/>
            </w14:solidFill>
          </w14:textFill>
        </w:rPr>
      </w:pPr>
      <w:r>
        <w:rPr>
          <w:color w:val="000000" w:themeColor="text1"/>
          <w14:textFill>
            <w14:solidFill>
              <w14:schemeClr w14:val="tx1"/>
            </w14:solidFill>
          </w14:textFill>
        </w:rPr>
        <w:t>x</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y—</w:t>
      </w:r>
      <w:r>
        <w:rPr>
          <w:rFonts w:hint="eastAsia"/>
          <w:color w:val="000000" w:themeColor="text1"/>
          <w14:textFill>
            <w14:solidFill>
              <w14:schemeClr w14:val="tx1"/>
            </w14:solidFill>
          </w14:textFill>
        </w:rPr>
        <w:t>计算点处的位置坐标；</w:t>
      </w:r>
    </w:p>
    <w:p w14:paraId="515F16F4">
      <w:pPr>
        <w:pStyle w:val="117"/>
        <w:ind w:firstLine="1132" w:firstLineChars="472"/>
        <w:rPr>
          <w:rFonts w:hint="eastAsia"/>
          <w:color w:val="000000" w:themeColor="text1"/>
          <w14:textFill>
            <w14:solidFill>
              <w14:schemeClr w14:val="tx1"/>
            </w14:solidFill>
          </w14:textFill>
        </w:rPr>
      </w:pPr>
      <w:r>
        <w:rPr>
          <w:color w:val="000000" w:themeColor="text1"/>
          <w14:textFill>
            <w14:solidFill>
              <w14:schemeClr w14:val="tx1"/>
            </w14:solidFill>
          </w14:textFill>
        </w:rPr>
        <w:t>t—</w:t>
      </w:r>
      <w:r>
        <w:rPr>
          <w:rFonts w:hint="eastAsia"/>
          <w:color w:val="000000" w:themeColor="text1"/>
          <w14:textFill>
            <w14:solidFill>
              <w14:schemeClr w14:val="tx1"/>
            </w14:solidFill>
          </w14:textFill>
        </w:rPr>
        <w:t>时间（</w:t>
      </w:r>
      <w:r>
        <w:rPr>
          <w:color w:val="000000" w:themeColor="text1"/>
          <w14:textFill>
            <w14:solidFill>
              <w14:schemeClr w14:val="tx1"/>
            </w14:solidFill>
          </w14:textFill>
        </w:rPr>
        <w:t>d</w:t>
      </w:r>
      <w:r>
        <w:rPr>
          <w:rFonts w:hint="eastAsia"/>
          <w:color w:val="000000" w:themeColor="text1"/>
          <w14:textFill>
            <w14:solidFill>
              <w14:schemeClr w14:val="tx1"/>
            </w14:solidFill>
          </w14:textFill>
        </w:rPr>
        <w:t>）；</w:t>
      </w:r>
    </w:p>
    <w:p w14:paraId="480080D5">
      <w:pPr>
        <w:pStyle w:val="117"/>
        <w:ind w:firstLine="1132" w:firstLineChars="472"/>
        <w:rPr>
          <w:rFonts w:hint="eastAsia"/>
          <w:color w:val="000000" w:themeColor="text1"/>
          <w:spacing w:val="-2"/>
          <w14:textFill>
            <w14:solidFill>
              <w14:schemeClr w14:val="tx1"/>
            </w14:solidFill>
          </w14:textFill>
        </w:rPr>
      </w:pPr>
      <w:r>
        <w:rPr>
          <w:color w:val="000000" w:themeColor="text1"/>
          <w14:textFill>
            <w14:solidFill>
              <w14:schemeClr w14:val="tx1"/>
            </w14:solidFill>
          </w14:textFill>
        </w:rPr>
        <w:t>C(x,y,t)—t</w:t>
      </w:r>
      <w:r>
        <w:rPr>
          <w:rFonts w:hint="eastAsia"/>
          <w:color w:val="000000" w:themeColor="text1"/>
          <w:spacing w:val="-2"/>
          <w14:textFill>
            <w14:solidFill>
              <w14:schemeClr w14:val="tx1"/>
            </w14:solidFill>
          </w14:textFill>
        </w:rPr>
        <w:t>时刻点</w:t>
      </w:r>
      <w:r>
        <w:rPr>
          <w:color w:val="000000" w:themeColor="text1"/>
          <w14:textFill>
            <w14:solidFill>
              <w14:schemeClr w14:val="tx1"/>
            </w14:solidFill>
          </w14:textFill>
        </w:rPr>
        <w:t>x,y</w:t>
      </w:r>
      <w:r>
        <w:rPr>
          <w:rFonts w:hint="eastAsia"/>
          <w:color w:val="000000" w:themeColor="text1"/>
          <w:spacing w:val="-2"/>
          <w14:textFill>
            <w14:solidFill>
              <w14:schemeClr w14:val="tx1"/>
            </w14:solidFill>
          </w14:textFill>
        </w:rPr>
        <w:t>处的示踪剂浓度（</w:t>
      </w:r>
      <w:r>
        <w:rPr>
          <w:color w:val="000000" w:themeColor="text1"/>
          <w:spacing w:val="-2"/>
          <w14:textFill>
            <w14:solidFill>
              <w14:schemeClr w14:val="tx1"/>
            </w14:solidFill>
          </w14:textFill>
        </w:rPr>
        <w:t>g/L</w:t>
      </w:r>
      <w:r>
        <w:rPr>
          <w:rFonts w:hint="eastAsia"/>
          <w:color w:val="000000" w:themeColor="text1"/>
          <w:spacing w:val="-2"/>
          <w14:textFill>
            <w14:solidFill>
              <w14:schemeClr w14:val="tx1"/>
            </w14:solidFill>
          </w14:textFill>
        </w:rPr>
        <w:t>）；</w:t>
      </w:r>
    </w:p>
    <w:p w14:paraId="565B3E53">
      <w:pPr>
        <w:pStyle w:val="117"/>
        <w:ind w:firstLine="1132" w:firstLineChars="472"/>
        <w:rPr>
          <w:rFonts w:hint="eastAsia"/>
          <w:color w:val="000000" w:themeColor="text1"/>
          <w:spacing w:val="-2"/>
          <w14:textFill>
            <w14:solidFill>
              <w14:schemeClr w14:val="tx1"/>
            </w14:solidFill>
          </w14:textFill>
        </w:rPr>
      </w:pPr>
      <w:r>
        <w:rPr>
          <w:color w:val="000000" w:themeColor="text1"/>
          <w14:textFill>
            <w14:solidFill>
              <w14:schemeClr w14:val="tx1"/>
            </w14:solidFill>
          </w14:textFill>
        </w:rPr>
        <w:t>M—</w:t>
      </w:r>
      <w:r>
        <w:rPr>
          <w:rFonts w:hint="eastAsia"/>
          <w:color w:val="000000" w:themeColor="text1"/>
          <w14:textFill>
            <w14:solidFill>
              <w14:schemeClr w14:val="tx1"/>
            </w14:solidFill>
          </w14:textFill>
        </w:rPr>
        <w:t>含水层厚度（</w:t>
      </w:r>
      <w:r>
        <w:rPr>
          <w:color w:val="000000" w:themeColor="text1"/>
          <w14:textFill>
            <w14:solidFill>
              <w14:schemeClr w14:val="tx1"/>
            </w14:solidFill>
          </w14:textFill>
        </w:rPr>
        <w:t>m</w:t>
      </w:r>
      <w:r>
        <w:rPr>
          <w:rFonts w:hint="eastAsia"/>
          <w:color w:val="000000" w:themeColor="text1"/>
          <w14:textFill>
            <w14:solidFill>
              <w14:schemeClr w14:val="tx1"/>
            </w14:solidFill>
          </w14:textFill>
        </w:rPr>
        <w:t>）；</w:t>
      </w:r>
    </w:p>
    <w:p w14:paraId="0572D2EB">
      <w:pPr>
        <w:pStyle w:val="117"/>
        <w:ind w:firstLine="1132" w:firstLineChars="472"/>
        <w:rPr>
          <w:rFonts w:hint="eastAsia"/>
          <w:color w:val="000000" w:themeColor="text1"/>
          <w14:textFill>
            <w14:solidFill>
              <w14:schemeClr w14:val="tx1"/>
            </w14:solidFill>
          </w14:textFill>
        </w:rPr>
      </w:pPr>
      <w:r>
        <w:rPr>
          <w:color w:val="000000" w:themeColor="text1"/>
          <w:position w:val="2"/>
          <w14:textFill>
            <w14:solidFill>
              <w14:schemeClr w14:val="tx1"/>
            </w14:solidFill>
          </w14:textFill>
        </w:rPr>
        <w:t>m</w:t>
      </w:r>
      <w:r>
        <w:rPr>
          <w:rFonts w:hint="eastAsia"/>
          <w:color w:val="000000" w:themeColor="text1"/>
          <w:vertAlign w:val="subscript"/>
          <w14:textFill>
            <w14:solidFill>
              <w14:schemeClr w14:val="tx1"/>
            </w14:solidFill>
          </w14:textFill>
        </w:rPr>
        <w:t>M</w:t>
      </w:r>
      <w:r>
        <w:rPr>
          <w:color w:val="000000" w:themeColor="text1"/>
          <w:position w:val="2"/>
          <w14:textFill>
            <w14:solidFill>
              <w14:schemeClr w14:val="tx1"/>
            </w14:solidFill>
          </w14:textFill>
        </w:rPr>
        <w:t>—</w:t>
      </w:r>
      <w:r>
        <w:rPr>
          <w:rFonts w:hint="eastAsia"/>
          <w:color w:val="000000" w:themeColor="text1"/>
          <w:position w:val="2"/>
          <w14:textFill>
            <w14:solidFill>
              <w14:schemeClr w14:val="tx1"/>
            </w14:solidFill>
          </w14:textFill>
        </w:rPr>
        <w:t>瞬时注入的质量（</w:t>
      </w:r>
      <w:r>
        <w:rPr>
          <w:color w:val="000000" w:themeColor="text1"/>
          <w:position w:val="2"/>
          <w14:textFill>
            <w14:solidFill>
              <w14:schemeClr w14:val="tx1"/>
            </w14:solidFill>
          </w14:textFill>
        </w:rPr>
        <w:t>kg</w:t>
      </w:r>
      <w:r>
        <w:rPr>
          <w:rFonts w:hint="eastAsia"/>
          <w:color w:val="000000" w:themeColor="text1"/>
          <w:position w:val="2"/>
          <w14:textFill>
            <w14:solidFill>
              <w14:schemeClr w14:val="tx1"/>
            </w14:solidFill>
          </w14:textFill>
        </w:rPr>
        <w:t>）；</w:t>
      </w:r>
    </w:p>
    <w:p w14:paraId="21122FE7">
      <w:pPr>
        <w:pStyle w:val="117"/>
        <w:ind w:firstLine="1132" w:firstLineChars="472"/>
        <w:rPr>
          <w:rFonts w:hint="eastAsia"/>
          <w:color w:val="000000" w:themeColor="text1"/>
          <w14:textFill>
            <w14:solidFill>
              <w14:schemeClr w14:val="tx1"/>
            </w14:solidFill>
          </w14:textFill>
        </w:rPr>
      </w:pPr>
      <w:r>
        <w:rPr>
          <w:color w:val="000000" w:themeColor="text1"/>
          <w14:textFill>
            <w14:solidFill>
              <w14:schemeClr w14:val="tx1"/>
            </w14:solidFill>
          </w14:textFill>
        </w:rPr>
        <w:t>U—</w:t>
      </w:r>
      <w:r>
        <w:rPr>
          <w:rFonts w:hint="eastAsia"/>
          <w:color w:val="000000" w:themeColor="text1"/>
          <w14:textFill>
            <w14:solidFill>
              <w14:schemeClr w14:val="tx1"/>
            </w14:solidFill>
          </w14:textFill>
        </w:rPr>
        <w:t>水流速度（</w:t>
      </w:r>
      <w:r>
        <w:rPr>
          <w:color w:val="000000" w:themeColor="text1"/>
          <w14:textFill>
            <w14:solidFill>
              <w14:schemeClr w14:val="tx1"/>
            </w14:solidFill>
          </w14:textFill>
        </w:rPr>
        <w:t>m/d</w:t>
      </w:r>
      <w:r>
        <w:rPr>
          <w:rFonts w:hint="eastAsia"/>
          <w:color w:val="000000" w:themeColor="text1"/>
          <w14:textFill>
            <w14:solidFill>
              <w14:schemeClr w14:val="tx1"/>
            </w14:solidFill>
          </w14:textFill>
        </w:rPr>
        <w:t>）；</w:t>
      </w:r>
    </w:p>
    <w:p w14:paraId="51C4830A">
      <w:pPr>
        <w:pStyle w:val="117"/>
        <w:ind w:firstLine="1132" w:firstLineChars="472"/>
        <w:rPr>
          <w:rFonts w:hint="eastAsia"/>
          <w:color w:val="000000" w:themeColor="text1"/>
          <w14:textFill>
            <w14:solidFill>
              <w14:schemeClr w14:val="tx1"/>
            </w14:solidFill>
          </w14:textFill>
        </w:rPr>
      </w:pPr>
      <w:r>
        <w:rPr>
          <w:color w:val="000000" w:themeColor="text1"/>
          <w:position w:val="2"/>
          <w14:textFill>
            <w14:solidFill>
              <w14:schemeClr w14:val="tx1"/>
            </w14:solidFill>
          </w14:textFill>
        </w:rPr>
        <w:t>n</w:t>
      </w:r>
      <w:r>
        <w:rPr>
          <w:color w:val="000000" w:themeColor="text1"/>
          <w:vertAlign w:val="subscript"/>
          <w14:textFill>
            <w14:solidFill>
              <w14:schemeClr w14:val="tx1"/>
            </w14:solidFill>
          </w14:textFill>
        </w:rPr>
        <w:t>e</w:t>
      </w:r>
      <w:r>
        <w:rPr>
          <w:color w:val="000000" w:themeColor="text1"/>
          <w:position w:val="2"/>
          <w14:textFill>
            <w14:solidFill>
              <w14:schemeClr w14:val="tx1"/>
            </w14:solidFill>
          </w14:textFill>
        </w:rPr>
        <w:t>—</w:t>
      </w:r>
      <w:r>
        <w:rPr>
          <w:rFonts w:hint="eastAsia"/>
          <w:color w:val="000000" w:themeColor="text1"/>
          <w:position w:val="2"/>
          <w14:textFill>
            <w14:solidFill>
              <w14:schemeClr w14:val="tx1"/>
            </w14:solidFill>
          </w14:textFill>
        </w:rPr>
        <w:t>孔隙度，无量纲；</w:t>
      </w:r>
    </w:p>
    <w:p w14:paraId="7AE3F377">
      <w:pPr>
        <w:pStyle w:val="117"/>
        <w:ind w:firstLine="1132" w:firstLineChars="472"/>
        <w:rPr>
          <w:rFonts w:hint="eastAsia"/>
          <w:color w:val="000000" w:themeColor="text1"/>
          <w:spacing w:val="-1"/>
          <w14:textFill>
            <w14:solidFill>
              <w14:schemeClr w14:val="tx1"/>
            </w14:solidFill>
          </w14:textFill>
        </w:rPr>
      </w:pPr>
      <w:r>
        <w:rPr>
          <w:color w:val="000000" w:themeColor="text1"/>
          <w14:textFill>
            <w14:solidFill>
              <w14:schemeClr w14:val="tx1"/>
            </w14:solidFill>
          </w14:textFill>
        </w:rPr>
        <w:t>D</w:t>
      </w:r>
      <w:r>
        <w:rPr>
          <w:color w:val="000000" w:themeColor="text1"/>
          <w:vertAlign w:val="subscript"/>
          <w14:textFill>
            <w14:solidFill>
              <w14:schemeClr w14:val="tx1"/>
            </w14:solidFill>
          </w14:textFill>
        </w:rPr>
        <w:t>L</w:t>
      </w:r>
      <w:r>
        <w:rPr>
          <w:color w:val="000000" w:themeColor="text1"/>
          <w:spacing w:val="-1"/>
          <w14:textFill>
            <w14:solidFill>
              <w14:schemeClr w14:val="tx1"/>
            </w14:solidFill>
          </w14:textFill>
        </w:rPr>
        <w:t>—</w:t>
      </w:r>
      <w:r>
        <w:rPr>
          <w:rFonts w:hint="eastAsia"/>
          <w:color w:val="000000" w:themeColor="text1"/>
          <w:spacing w:val="-1"/>
          <w14:textFill>
            <w14:solidFill>
              <w14:schemeClr w14:val="tx1"/>
            </w14:solidFill>
          </w14:textFill>
        </w:rPr>
        <w:t>纵向弥散系数（</w:t>
      </w:r>
      <w:r>
        <w:rPr>
          <w:color w:val="000000" w:themeColor="text1"/>
          <w:spacing w:val="-1"/>
          <w14:textFill>
            <w14:solidFill>
              <w14:schemeClr w14:val="tx1"/>
            </w14:solidFill>
          </w14:textFill>
        </w:rPr>
        <w:t>m</w:t>
      </w:r>
      <w:r>
        <w:rPr>
          <w:color w:val="000000" w:themeColor="text1"/>
          <w:spacing w:val="-1"/>
          <w:vertAlign w:val="superscript"/>
          <w14:textFill>
            <w14:solidFill>
              <w14:schemeClr w14:val="tx1"/>
            </w14:solidFill>
          </w14:textFill>
        </w:rPr>
        <w:t>2</w:t>
      </w:r>
      <w:r>
        <w:rPr>
          <w:color w:val="000000" w:themeColor="text1"/>
          <w:spacing w:val="-1"/>
          <w14:textFill>
            <w14:solidFill>
              <w14:schemeClr w14:val="tx1"/>
            </w14:solidFill>
          </w14:textFill>
        </w:rPr>
        <w:t>/d</w:t>
      </w:r>
      <w:r>
        <w:rPr>
          <w:rFonts w:hint="eastAsia"/>
          <w:color w:val="000000" w:themeColor="text1"/>
          <w:spacing w:val="-1"/>
          <w14:textFill>
            <w14:solidFill>
              <w14:schemeClr w14:val="tx1"/>
            </w14:solidFill>
          </w14:textFill>
        </w:rPr>
        <w:t>）；</w:t>
      </w:r>
    </w:p>
    <w:p w14:paraId="16001E75">
      <w:pPr>
        <w:pStyle w:val="117"/>
        <w:ind w:firstLine="1132" w:firstLineChars="472"/>
        <w:rPr>
          <w:rFonts w:hint="eastAsia"/>
          <w:color w:val="000000" w:themeColor="text1"/>
          <w:spacing w:val="25"/>
          <w14:textFill>
            <w14:solidFill>
              <w14:schemeClr w14:val="tx1"/>
            </w14:solidFill>
          </w14:textFill>
        </w:rPr>
      </w:pPr>
      <w:r>
        <w:rPr>
          <w:color w:val="000000" w:themeColor="text1"/>
          <w14:textFill>
            <w14:solidFill>
              <w14:schemeClr w14:val="tx1"/>
            </w14:solidFill>
          </w14:textFill>
        </w:rPr>
        <w:t>D</w:t>
      </w:r>
      <w:r>
        <w:rPr>
          <w:rFonts w:hint="eastAsia"/>
          <w:color w:val="000000" w:themeColor="text1"/>
          <w:vertAlign w:val="subscript"/>
          <w14:textFill>
            <w14:solidFill>
              <w14:schemeClr w14:val="tx1"/>
            </w14:solidFill>
          </w14:textFill>
        </w:rPr>
        <w:t>t</w:t>
      </w:r>
      <w:r>
        <w:rPr>
          <w:color w:val="000000" w:themeColor="text1"/>
          <w:spacing w:val="-1"/>
          <w14:textFill>
            <w14:solidFill>
              <w14:schemeClr w14:val="tx1"/>
            </w14:solidFill>
          </w14:textFill>
        </w:rPr>
        <w:t>—</w:t>
      </w:r>
      <w:r>
        <w:rPr>
          <w:rFonts w:hint="eastAsia"/>
          <w:color w:val="000000" w:themeColor="text1"/>
          <w:spacing w:val="-1"/>
          <w14:textFill>
            <w14:solidFill>
              <w14:schemeClr w14:val="tx1"/>
            </w14:solidFill>
          </w14:textFill>
        </w:rPr>
        <w:t>横向y方向的弥散系数（</w:t>
      </w:r>
      <w:r>
        <w:rPr>
          <w:color w:val="000000" w:themeColor="text1"/>
          <w:spacing w:val="-1"/>
          <w14:textFill>
            <w14:solidFill>
              <w14:schemeClr w14:val="tx1"/>
            </w14:solidFill>
          </w14:textFill>
        </w:rPr>
        <w:t>m</w:t>
      </w:r>
      <w:r>
        <w:rPr>
          <w:color w:val="000000" w:themeColor="text1"/>
          <w:spacing w:val="-1"/>
          <w:vertAlign w:val="superscript"/>
          <w14:textFill>
            <w14:solidFill>
              <w14:schemeClr w14:val="tx1"/>
            </w14:solidFill>
          </w14:textFill>
        </w:rPr>
        <w:t>2</w:t>
      </w:r>
      <w:r>
        <w:rPr>
          <w:color w:val="000000" w:themeColor="text1"/>
          <w:spacing w:val="-1"/>
          <w14:textFill>
            <w14:solidFill>
              <w14:schemeClr w14:val="tx1"/>
            </w14:solidFill>
          </w14:textFill>
        </w:rPr>
        <w:t>/d</w:t>
      </w:r>
      <w:r>
        <w:rPr>
          <w:rFonts w:hint="eastAsia"/>
          <w:color w:val="000000" w:themeColor="text1"/>
          <w:spacing w:val="-1"/>
          <w14:textFill>
            <w14:solidFill>
              <w14:schemeClr w14:val="tx1"/>
            </w14:solidFill>
          </w14:textFill>
        </w:rPr>
        <w:t>）；</w:t>
      </w:r>
    </w:p>
    <w:p w14:paraId="1D9D3CA8">
      <w:pPr>
        <w:pStyle w:val="117"/>
        <w:ind w:firstLine="1123" w:firstLineChars="472"/>
        <w:rPr>
          <w:rFonts w:hint="eastAsia"/>
          <w:color w:val="000000" w:themeColor="text1"/>
          <w:spacing w:val="-1"/>
          <w14:textFill>
            <w14:solidFill>
              <w14:schemeClr w14:val="tx1"/>
            </w14:solidFill>
          </w14:textFill>
        </w:rPr>
      </w:pPr>
      <w:r>
        <w:rPr>
          <w:rFonts w:hint="eastAsia"/>
          <w:color w:val="000000" w:themeColor="text1"/>
          <w:spacing w:val="-1"/>
          <w14:textFill>
            <w14:solidFill>
              <w14:schemeClr w14:val="tx1"/>
            </w14:solidFill>
          </w14:textFill>
        </w:rPr>
        <w:t>Π</w:t>
      </w:r>
      <w:r>
        <w:rPr>
          <w:color w:val="000000" w:themeColor="text1"/>
          <w:spacing w:val="-1"/>
          <w14:textFill>
            <w14:solidFill>
              <w14:schemeClr w14:val="tx1"/>
            </w14:solidFill>
          </w14:textFill>
        </w:rPr>
        <w:t>—</w:t>
      </w:r>
      <w:r>
        <w:rPr>
          <w:rFonts w:hint="eastAsia"/>
          <w:color w:val="000000" w:themeColor="text1"/>
          <w:spacing w:val="-1"/>
          <w14:textFill>
            <w14:solidFill>
              <w14:schemeClr w14:val="tx1"/>
            </w14:solidFill>
          </w14:textFill>
        </w:rPr>
        <w:t>圆周率；</w:t>
      </w:r>
    </w:p>
    <w:p w14:paraId="342CBDD1">
      <w:pPr>
        <w:pStyle w:val="117"/>
        <w:adjustRightInd w:val="0"/>
        <w:snapToGrid w:val="0"/>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模型中所需参数及来源见表</w:t>
      </w:r>
      <w:r>
        <w:rPr>
          <w:color w:val="000000" w:themeColor="text1"/>
          <w14:textFill>
            <w14:solidFill>
              <w14:schemeClr w14:val="tx1"/>
            </w14:solidFill>
          </w14:textFill>
        </w:rPr>
        <w:t>5.2</w:t>
      </w:r>
      <w:r>
        <w:rPr>
          <w:rFonts w:hint="eastAsia"/>
          <w:color w:val="000000" w:themeColor="text1"/>
          <w14:textFill>
            <w14:solidFill>
              <w14:schemeClr w14:val="tx1"/>
            </w14:solidFill>
          </w14:textFill>
        </w:rPr>
        <w:t>-7。</w:t>
      </w:r>
    </w:p>
    <w:p w14:paraId="337ACB06">
      <w:pPr>
        <w:pStyle w:val="15"/>
        <w:keepNext/>
        <w:adjustRightInd w:val="0"/>
        <w:snapToGrid w:val="0"/>
        <w:spacing w:line="500" w:lineRule="exact"/>
        <w:rPr>
          <w:rFonts w:hint="eastAsia"/>
          <w:bCs/>
          <w:color w:val="000000" w:themeColor="text1"/>
          <w14:textFill>
            <w14:solidFill>
              <w14:schemeClr w14:val="tx1"/>
            </w14:solidFill>
          </w14:textFill>
        </w:rPr>
      </w:pPr>
      <w:bookmarkStart w:id="551" w:name="OLE_LINK178"/>
      <w:r>
        <w:rPr>
          <w:rFonts w:hint="eastAsia"/>
          <w:bCs/>
          <w:color w:val="000000" w:themeColor="text1"/>
          <w14:textFill>
            <w14:solidFill>
              <w14:schemeClr w14:val="tx1"/>
            </w14:solidFill>
          </w14:textFill>
        </w:rPr>
        <w:t>表</w:t>
      </w:r>
      <w:r>
        <w:rPr>
          <w:bCs/>
          <w:color w:val="000000" w:themeColor="text1"/>
          <w14:textFill>
            <w14:solidFill>
              <w14:schemeClr w14:val="tx1"/>
            </w14:solidFill>
          </w14:textFill>
        </w:rPr>
        <w:t>5.2</w:t>
      </w:r>
      <w:r>
        <w:rPr>
          <w:rFonts w:hint="eastAsia"/>
          <w:bCs/>
          <w:color w:val="000000" w:themeColor="text1"/>
          <w14:textFill>
            <w14:solidFill>
              <w14:schemeClr w14:val="tx1"/>
            </w14:solidFill>
          </w14:textFill>
        </w:rPr>
        <w:t>-7  模型所需参数一览表</w:t>
      </w:r>
    </w:p>
    <w:tbl>
      <w:tblPr>
        <w:tblStyle w:val="51"/>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26"/>
        <w:gridCol w:w="1161"/>
        <w:gridCol w:w="1744"/>
        <w:gridCol w:w="1598"/>
        <w:gridCol w:w="3717"/>
      </w:tblGrid>
      <w:tr w14:paraId="3C6DF39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06" w:type="pct"/>
            <w:vAlign w:val="center"/>
          </w:tcPr>
          <w:p w14:paraId="08CB85B1">
            <w:pPr>
              <w:pStyle w:val="286"/>
              <w:rPr>
                <w:rFonts w:hint="eastAsia"/>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序号</w:t>
            </w:r>
          </w:p>
        </w:tc>
        <w:tc>
          <w:tcPr>
            <w:tcW w:w="649" w:type="pct"/>
            <w:vAlign w:val="center"/>
          </w:tcPr>
          <w:p w14:paraId="02D488FB">
            <w:pPr>
              <w:pStyle w:val="286"/>
              <w:rPr>
                <w:rFonts w:hint="eastAsia"/>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参数符号</w:t>
            </w:r>
          </w:p>
        </w:tc>
        <w:tc>
          <w:tcPr>
            <w:tcW w:w="975" w:type="pct"/>
            <w:vAlign w:val="center"/>
          </w:tcPr>
          <w:p w14:paraId="2E97C912">
            <w:pPr>
              <w:pStyle w:val="286"/>
              <w:rPr>
                <w:rFonts w:hint="eastAsia"/>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参数名称</w:t>
            </w:r>
          </w:p>
        </w:tc>
        <w:tc>
          <w:tcPr>
            <w:tcW w:w="893" w:type="pct"/>
            <w:vAlign w:val="center"/>
          </w:tcPr>
          <w:p w14:paraId="100980C0">
            <w:pPr>
              <w:pStyle w:val="286"/>
              <w:rPr>
                <w:rFonts w:hint="eastAsia"/>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参考数值</w:t>
            </w:r>
          </w:p>
        </w:tc>
        <w:tc>
          <w:tcPr>
            <w:tcW w:w="2077" w:type="pct"/>
          </w:tcPr>
          <w:p w14:paraId="579CFB9F">
            <w:pPr>
              <w:pStyle w:val="286"/>
              <w:rPr>
                <w:rFonts w:hint="eastAsia"/>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参数来源</w:t>
            </w:r>
          </w:p>
        </w:tc>
      </w:tr>
      <w:tr w14:paraId="43AF22C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06" w:type="pct"/>
            <w:vAlign w:val="center"/>
          </w:tcPr>
          <w:p w14:paraId="612749EA">
            <w:pPr>
              <w:pStyle w:val="286"/>
              <w:rPr>
                <w:rFonts w:hint="eastAsia"/>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1</w:t>
            </w:r>
          </w:p>
        </w:tc>
        <w:tc>
          <w:tcPr>
            <w:tcW w:w="649" w:type="pct"/>
            <w:vAlign w:val="center"/>
          </w:tcPr>
          <w:p w14:paraId="3B4B7039">
            <w:pPr>
              <w:pStyle w:val="286"/>
              <w:rPr>
                <w:rFonts w:hint="eastAsia"/>
                <w:color w:val="000000" w:themeColor="text1"/>
                <w:sz w:val="21"/>
                <w14:textFill>
                  <w14:solidFill>
                    <w14:schemeClr w14:val="tx1"/>
                  </w14:solidFill>
                </w14:textFill>
              </w:rPr>
            </w:pPr>
            <w:r>
              <w:rPr>
                <w:color w:val="000000" w:themeColor="text1"/>
                <w:position w:val="2"/>
                <w:sz w:val="21"/>
                <w14:textFill>
                  <w14:solidFill>
                    <w14:schemeClr w14:val="tx1"/>
                  </w14:solidFill>
                </w14:textFill>
              </w:rPr>
              <w:t>m</w:t>
            </w:r>
            <w:r>
              <w:rPr>
                <w:rFonts w:hint="eastAsia"/>
                <w:color w:val="000000" w:themeColor="text1"/>
                <w:sz w:val="21"/>
                <w:vertAlign w:val="subscript"/>
                <w14:textFill>
                  <w14:solidFill>
                    <w14:schemeClr w14:val="tx1"/>
                  </w14:solidFill>
                </w14:textFill>
              </w:rPr>
              <w:t>M</w:t>
            </w:r>
          </w:p>
        </w:tc>
        <w:tc>
          <w:tcPr>
            <w:tcW w:w="975" w:type="pct"/>
            <w:vAlign w:val="center"/>
          </w:tcPr>
          <w:p w14:paraId="581D08DB">
            <w:pPr>
              <w:pStyle w:val="286"/>
              <w:adjustRightInd w:val="0"/>
              <w:snapToGrid w:val="0"/>
              <w:rPr>
                <w:rFonts w:hint="eastAsia"/>
                <w:color w:val="000000" w:themeColor="text1"/>
                <w:sz w:val="21"/>
                <w14:textFill>
                  <w14:solidFill>
                    <w14:schemeClr w14:val="tx1"/>
                  </w14:solidFill>
                </w14:textFill>
              </w:rPr>
            </w:pPr>
            <w:r>
              <w:rPr>
                <w:rFonts w:hint="eastAsia"/>
                <w:color w:val="000000" w:themeColor="text1"/>
                <w:position w:val="2"/>
                <w:sz w:val="21"/>
                <w14:textFill>
                  <w14:solidFill>
                    <w14:schemeClr w14:val="tx1"/>
                  </w14:solidFill>
                </w14:textFill>
              </w:rPr>
              <w:t>瞬时注入的质量</w:t>
            </w:r>
          </w:p>
        </w:tc>
        <w:tc>
          <w:tcPr>
            <w:tcW w:w="893" w:type="pct"/>
            <w:vAlign w:val="center"/>
          </w:tcPr>
          <w:p w14:paraId="6CE9A4B4">
            <w:pPr>
              <w:pStyle w:val="286"/>
              <w:rPr>
                <w:rFonts w:hint="eastAsia"/>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0.4536t和0.000033t</w:t>
            </w:r>
          </w:p>
        </w:tc>
        <w:tc>
          <w:tcPr>
            <w:tcW w:w="2077" w:type="pct"/>
          </w:tcPr>
          <w:p w14:paraId="5A6083DA">
            <w:pPr>
              <w:pStyle w:val="286"/>
              <w:rPr>
                <w:rFonts w:hint="eastAsia"/>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泄漏量计算</w:t>
            </w:r>
          </w:p>
        </w:tc>
      </w:tr>
      <w:tr w14:paraId="10ACA30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06" w:type="pct"/>
            <w:vAlign w:val="center"/>
          </w:tcPr>
          <w:p w14:paraId="30D60B4E">
            <w:pPr>
              <w:pStyle w:val="286"/>
              <w:rPr>
                <w:rFonts w:hint="eastAsia"/>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2</w:t>
            </w:r>
          </w:p>
        </w:tc>
        <w:tc>
          <w:tcPr>
            <w:tcW w:w="649" w:type="pct"/>
            <w:vAlign w:val="center"/>
          </w:tcPr>
          <w:p w14:paraId="1E7C6F1A">
            <w:pPr>
              <w:pStyle w:val="286"/>
              <w:rPr>
                <w:rFonts w:hint="eastAsia"/>
                <w:color w:val="000000" w:themeColor="text1"/>
                <w:sz w:val="21"/>
                <w14:textFill>
                  <w14:solidFill>
                    <w14:schemeClr w14:val="tx1"/>
                  </w14:solidFill>
                </w14:textFill>
              </w:rPr>
            </w:pPr>
            <w:r>
              <w:rPr>
                <w:color w:val="000000" w:themeColor="text1"/>
                <w:sz w:val="21"/>
                <w14:textFill>
                  <w14:solidFill>
                    <w14:schemeClr w14:val="tx1"/>
                  </w14:solidFill>
                </w14:textFill>
              </w:rPr>
              <w:t>t</w:t>
            </w:r>
          </w:p>
        </w:tc>
        <w:tc>
          <w:tcPr>
            <w:tcW w:w="975" w:type="pct"/>
            <w:vAlign w:val="center"/>
          </w:tcPr>
          <w:p w14:paraId="26BF0207">
            <w:pPr>
              <w:pStyle w:val="286"/>
              <w:adjustRightInd w:val="0"/>
              <w:snapToGrid w:val="0"/>
              <w:rPr>
                <w:rFonts w:hint="eastAsia"/>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时间</w:t>
            </w:r>
          </w:p>
        </w:tc>
        <w:tc>
          <w:tcPr>
            <w:tcW w:w="893" w:type="pct"/>
            <w:vAlign w:val="center"/>
          </w:tcPr>
          <w:p w14:paraId="08BD8842">
            <w:pPr>
              <w:pStyle w:val="286"/>
              <w:rPr>
                <w:rFonts w:hint="eastAsia"/>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100d、1000d</w:t>
            </w:r>
          </w:p>
        </w:tc>
        <w:tc>
          <w:tcPr>
            <w:tcW w:w="2077" w:type="pct"/>
          </w:tcPr>
          <w:p w14:paraId="6A210AEA">
            <w:pPr>
              <w:pStyle w:val="286"/>
              <w:rPr>
                <w:rFonts w:hint="eastAsia"/>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HJ610-2016预测时段要求</w:t>
            </w:r>
          </w:p>
        </w:tc>
      </w:tr>
      <w:tr w14:paraId="67D8472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06" w:type="pct"/>
            <w:vAlign w:val="center"/>
          </w:tcPr>
          <w:p w14:paraId="49F70C39">
            <w:pPr>
              <w:pStyle w:val="286"/>
              <w:rPr>
                <w:rFonts w:hint="eastAsia"/>
                <w:color w:val="000000" w:themeColor="text1"/>
                <w:sz w:val="21"/>
                <w14:textFill>
                  <w14:solidFill>
                    <w14:schemeClr w14:val="tx1"/>
                  </w14:solidFill>
                </w14:textFill>
              </w:rPr>
            </w:pPr>
            <w:bookmarkStart w:id="552" w:name="_Hlk173855286"/>
            <w:r>
              <w:rPr>
                <w:rFonts w:hint="eastAsia"/>
                <w:color w:val="000000" w:themeColor="text1"/>
                <w:sz w:val="21"/>
                <w14:textFill>
                  <w14:solidFill>
                    <w14:schemeClr w14:val="tx1"/>
                  </w14:solidFill>
                </w14:textFill>
              </w:rPr>
              <w:t>3</w:t>
            </w:r>
          </w:p>
        </w:tc>
        <w:tc>
          <w:tcPr>
            <w:tcW w:w="649" w:type="pct"/>
            <w:vAlign w:val="center"/>
          </w:tcPr>
          <w:p w14:paraId="259CC7E4">
            <w:pPr>
              <w:pStyle w:val="286"/>
              <w:rPr>
                <w:rFonts w:hint="eastAsia"/>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M</w:t>
            </w:r>
          </w:p>
        </w:tc>
        <w:tc>
          <w:tcPr>
            <w:tcW w:w="975" w:type="pct"/>
            <w:vAlign w:val="center"/>
          </w:tcPr>
          <w:p w14:paraId="0AAD3FDC">
            <w:pPr>
              <w:pStyle w:val="286"/>
              <w:adjustRightInd w:val="0"/>
              <w:snapToGrid w:val="0"/>
              <w:rPr>
                <w:rFonts w:hint="eastAsia"/>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含水层厚度</w:t>
            </w:r>
          </w:p>
        </w:tc>
        <w:tc>
          <w:tcPr>
            <w:tcW w:w="893" w:type="pct"/>
            <w:vAlign w:val="center"/>
          </w:tcPr>
          <w:p w14:paraId="3377A015">
            <w:pPr>
              <w:pStyle w:val="286"/>
              <w:rPr>
                <w:rFonts w:hint="eastAsia"/>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50m</w:t>
            </w:r>
          </w:p>
        </w:tc>
        <w:tc>
          <w:tcPr>
            <w:tcW w:w="2077" w:type="pct"/>
          </w:tcPr>
          <w:p w14:paraId="0F451235">
            <w:pPr>
              <w:pStyle w:val="286"/>
              <w:rPr>
                <w:rFonts w:hint="eastAsia"/>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根据项目所在区域含水层特征</w:t>
            </w:r>
          </w:p>
        </w:tc>
      </w:tr>
      <w:tr w14:paraId="6F0DF4F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06" w:type="pct"/>
            <w:vAlign w:val="center"/>
          </w:tcPr>
          <w:p w14:paraId="6F2EA371">
            <w:pPr>
              <w:pStyle w:val="286"/>
              <w:rPr>
                <w:rFonts w:hint="eastAsia"/>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4</w:t>
            </w:r>
          </w:p>
        </w:tc>
        <w:tc>
          <w:tcPr>
            <w:tcW w:w="649" w:type="pct"/>
            <w:vAlign w:val="center"/>
          </w:tcPr>
          <w:p w14:paraId="6B41250D">
            <w:pPr>
              <w:pStyle w:val="286"/>
              <w:rPr>
                <w:rFonts w:hint="eastAsia"/>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u</w:t>
            </w:r>
          </w:p>
        </w:tc>
        <w:tc>
          <w:tcPr>
            <w:tcW w:w="975" w:type="pct"/>
            <w:vAlign w:val="center"/>
          </w:tcPr>
          <w:p w14:paraId="3D375F6E">
            <w:pPr>
              <w:pStyle w:val="286"/>
              <w:adjustRightInd w:val="0"/>
              <w:snapToGrid w:val="0"/>
              <w:rPr>
                <w:rFonts w:hint="eastAsia"/>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水流速度</w:t>
            </w:r>
          </w:p>
        </w:tc>
        <w:tc>
          <w:tcPr>
            <w:tcW w:w="893" w:type="pct"/>
            <w:vAlign w:val="center"/>
          </w:tcPr>
          <w:p w14:paraId="1054D49B">
            <w:pPr>
              <w:pStyle w:val="286"/>
              <w:rPr>
                <w:rFonts w:hint="eastAsia"/>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0.33m/d</w:t>
            </w:r>
          </w:p>
        </w:tc>
        <w:tc>
          <w:tcPr>
            <w:tcW w:w="2077" w:type="pct"/>
          </w:tcPr>
          <w:p w14:paraId="216D0964">
            <w:pPr>
              <w:pStyle w:val="286"/>
              <w:rPr>
                <w:rFonts w:hint="eastAsia"/>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u=KI/n，根据项目所在区域含水层特征，参考前人研究成果确定水流速度为0.33m/d</w:t>
            </w:r>
          </w:p>
        </w:tc>
      </w:tr>
      <w:tr w14:paraId="2846D0A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06" w:type="pct"/>
            <w:vAlign w:val="center"/>
          </w:tcPr>
          <w:p w14:paraId="057B1441">
            <w:pPr>
              <w:pStyle w:val="286"/>
              <w:rPr>
                <w:rFonts w:hint="eastAsia"/>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5</w:t>
            </w:r>
          </w:p>
        </w:tc>
        <w:tc>
          <w:tcPr>
            <w:tcW w:w="649" w:type="pct"/>
            <w:vAlign w:val="center"/>
          </w:tcPr>
          <w:p w14:paraId="5DC4AC65">
            <w:pPr>
              <w:pStyle w:val="286"/>
              <w:rPr>
                <w:rFonts w:hint="eastAsia"/>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D</w:t>
            </w:r>
            <w:r>
              <w:rPr>
                <w:rFonts w:hint="eastAsia"/>
                <w:color w:val="000000" w:themeColor="text1"/>
                <w:sz w:val="21"/>
                <w:vertAlign w:val="subscript"/>
                <w14:textFill>
                  <w14:solidFill>
                    <w14:schemeClr w14:val="tx1"/>
                  </w14:solidFill>
                </w14:textFill>
              </w:rPr>
              <w:t>L</w:t>
            </w:r>
          </w:p>
        </w:tc>
        <w:tc>
          <w:tcPr>
            <w:tcW w:w="975" w:type="pct"/>
            <w:vAlign w:val="center"/>
          </w:tcPr>
          <w:p w14:paraId="5D169407">
            <w:pPr>
              <w:pStyle w:val="286"/>
              <w:adjustRightInd w:val="0"/>
              <w:snapToGrid w:val="0"/>
              <w:rPr>
                <w:rFonts w:hint="eastAsia"/>
                <w:color w:val="000000" w:themeColor="text1"/>
                <w:sz w:val="21"/>
                <w14:textFill>
                  <w14:solidFill>
                    <w14:schemeClr w14:val="tx1"/>
                  </w14:solidFill>
                </w14:textFill>
              </w:rPr>
            </w:pPr>
            <w:r>
              <w:rPr>
                <w:rFonts w:hint="eastAsia"/>
                <w:color w:val="000000" w:themeColor="text1"/>
                <w:spacing w:val="-1"/>
                <w:sz w:val="21"/>
                <w14:textFill>
                  <w14:solidFill>
                    <w14:schemeClr w14:val="tx1"/>
                  </w14:solidFill>
                </w14:textFill>
              </w:rPr>
              <w:t>纵向弥散系数</w:t>
            </w:r>
          </w:p>
        </w:tc>
        <w:tc>
          <w:tcPr>
            <w:tcW w:w="893" w:type="pct"/>
            <w:vAlign w:val="center"/>
          </w:tcPr>
          <w:p w14:paraId="4639BB9E">
            <w:pPr>
              <w:pStyle w:val="286"/>
              <w:rPr>
                <w:rFonts w:hint="eastAsia"/>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0.12m</w:t>
            </w:r>
            <w:r>
              <w:rPr>
                <w:rFonts w:hint="eastAsia"/>
                <w:color w:val="000000" w:themeColor="text1"/>
                <w:sz w:val="21"/>
                <w:vertAlign w:val="superscript"/>
                <w14:textFill>
                  <w14:solidFill>
                    <w14:schemeClr w14:val="tx1"/>
                  </w14:solidFill>
                </w14:textFill>
              </w:rPr>
              <w:t>2</w:t>
            </w:r>
            <w:r>
              <w:rPr>
                <w:rFonts w:hint="eastAsia"/>
                <w:color w:val="000000" w:themeColor="text1"/>
                <w:sz w:val="21"/>
                <w14:textFill>
                  <w14:solidFill>
                    <w14:schemeClr w14:val="tx1"/>
                  </w14:solidFill>
                </w14:textFill>
              </w:rPr>
              <w:t>/d</w:t>
            </w:r>
          </w:p>
        </w:tc>
        <w:tc>
          <w:tcPr>
            <w:tcW w:w="2077" w:type="pct"/>
          </w:tcPr>
          <w:p w14:paraId="2FDF6588">
            <w:pPr>
              <w:pStyle w:val="286"/>
              <w:rPr>
                <w:rFonts w:hint="eastAsia"/>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D</w:t>
            </w:r>
            <w:r>
              <w:rPr>
                <w:rFonts w:hint="eastAsia"/>
                <w:color w:val="000000" w:themeColor="text1"/>
                <w:sz w:val="21"/>
                <w:vertAlign w:val="subscript"/>
                <w14:textFill>
                  <w14:solidFill>
                    <w14:schemeClr w14:val="tx1"/>
                  </w14:solidFill>
                </w14:textFill>
              </w:rPr>
              <w:t>L</w:t>
            </w:r>
            <w:r>
              <w:rPr>
                <w:rFonts w:hint="eastAsia"/>
                <w:color w:val="000000" w:themeColor="text1"/>
                <w:sz w:val="21"/>
                <w14:textFill>
                  <w14:solidFill>
                    <w14:schemeClr w14:val="tx1"/>
                  </w14:solidFill>
                </w14:textFill>
              </w:rPr>
              <w:t>=a</w:t>
            </w:r>
            <w:r>
              <w:rPr>
                <w:rFonts w:hint="eastAsia"/>
                <w:color w:val="000000" w:themeColor="text1"/>
                <w:sz w:val="21"/>
                <w:vertAlign w:val="subscript"/>
                <w14:textFill>
                  <w14:solidFill>
                    <w14:schemeClr w14:val="tx1"/>
                  </w14:solidFill>
                </w14:textFill>
              </w:rPr>
              <w:t>L</w:t>
            </w:r>
            <w:r>
              <w:rPr>
                <w:rFonts w:hint="eastAsia"/>
                <w:color w:val="000000" w:themeColor="text1"/>
                <w:sz w:val="21"/>
                <w14:textFill>
                  <w14:solidFill>
                    <w14:schemeClr w14:val="tx1"/>
                  </w14:solidFill>
                </w14:textFill>
              </w:rPr>
              <w:t>u，a</w:t>
            </w:r>
            <w:r>
              <w:rPr>
                <w:rFonts w:hint="eastAsia"/>
                <w:color w:val="000000" w:themeColor="text1"/>
                <w:sz w:val="21"/>
                <w:vertAlign w:val="subscript"/>
                <w14:textFill>
                  <w14:solidFill>
                    <w14:schemeClr w14:val="tx1"/>
                  </w14:solidFill>
                </w14:textFill>
              </w:rPr>
              <w:t>L</w:t>
            </w:r>
            <w:r>
              <w:rPr>
                <w:rFonts w:hint="eastAsia"/>
                <w:color w:val="000000" w:themeColor="text1"/>
                <w:sz w:val="21"/>
                <w14:textFill>
                  <w14:solidFill>
                    <w14:schemeClr w14:val="tx1"/>
                  </w14:solidFill>
                </w14:textFill>
              </w:rPr>
              <w:t>为纵向弥散度，根据项目所在区域含水层特征，参考前人研究成果确定D</w:t>
            </w:r>
            <w:r>
              <w:rPr>
                <w:rFonts w:hint="eastAsia"/>
                <w:color w:val="000000" w:themeColor="text1"/>
                <w:sz w:val="21"/>
                <w:vertAlign w:val="subscript"/>
                <w14:textFill>
                  <w14:solidFill>
                    <w14:schemeClr w14:val="tx1"/>
                  </w14:solidFill>
                </w14:textFill>
              </w:rPr>
              <w:t>L</w:t>
            </w:r>
            <w:r>
              <w:rPr>
                <w:rFonts w:hint="eastAsia"/>
                <w:color w:val="000000" w:themeColor="text1"/>
                <w:sz w:val="21"/>
                <w14:textFill>
                  <w14:solidFill>
                    <w14:schemeClr w14:val="tx1"/>
                  </w14:solidFill>
                </w14:textFill>
              </w:rPr>
              <w:t>为0.12m</w:t>
            </w:r>
            <w:r>
              <w:rPr>
                <w:rFonts w:hint="eastAsia"/>
                <w:color w:val="000000" w:themeColor="text1"/>
                <w:sz w:val="21"/>
                <w:vertAlign w:val="superscript"/>
                <w14:textFill>
                  <w14:solidFill>
                    <w14:schemeClr w14:val="tx1"/>
                  </w14:solidFill>
                </w14:textFill>
              </w:rPr>
              <w:t>2</w:t>
            </w:r>
            <w:r>
              <w:rPr>
                <w:rFonts w:hint="eastAsia"/>
                <w:color w:val="000000" w:themeColor="text1"/>
                <w:sz w:val="21"/>
                <w14:textFill>
                  <w14:solidFill>
                    <w14:schemeClr w14:val="tx1"/>
                  </w14:solidFill>
                </w14:textFill>
              </w:rPr>
              <w:t>/d</w:t>
            </w:r>
          </w:p>
        </w:tc>
      </w:tr>
      <w:tr w14:paraId="3D9CF16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06" w:type="pct"/>
            <w:vAlign w:val="center"/>
          </w:tcPr>
          <w:p w14:paraId="3FC02E27">
            <w:pPr>
              <w:pStyle w:val="286"/>
              <w:rPr>
                <w:rFonts w:hint="eastAsia"/>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6</w:t>
            </w:r>
          </w:p>
        </w:tc>
        <w:tc>
          <w:tcPr>
            <w:tcW w:w="649" w:type="pct"/>
            <w:vAlign w:val="center"/>
          </w:tcPr>
          <w:p w14:paraId="4AB75593">
            <w:pPr>
              <w:pStyle w:val="286"/>
              <w:rPr>
                <w:rFonts w:hint="eastAsia"/>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D</w:t>
            </w:r>
            <w:r>
              <w:rPr>
                <w:rFonts w:hint="eastAsia"/>
                <w:color w:val="000000" w:themeColor="text1"/>
                <w:sz w:val="21"/>
                <w:vertAlign w:val="subscript"/>
                <w14:textFill>
                  <w14:solidFill>
                    <w14:schemeClr w14:val="tx1"/>
                  </w14:solidFill>
                </w14:textFill>
              </w:rPr>
              <w:t>T</w:t>
            </w:r>
          </w:p>
        </w:tc>
        <w:tc>
          <w:tcPr>
            <w:tcW w:w="975" w:type="pct"/>
            <w:vAlign w:val="center"/>
          </w:tcPr>
          <w:p w14:paraId="765AC636">
            <w:pPr>
              <w:pStyle w:val="286"/>
              <w:adjustRightInd w:val="0"/>
              <w:snapToGrid w:val="0"/>
              <w:jc w:val="both"/>
              <w:rPr>
                <w:rFonts w:hint="eastAsia"/>
                <w:color w:val="000000" w:themeColor="text1"/>
                <w:sz w:val="21"/>
                <w14:textFill>
                  <w14:solidFill>
                    <w14:schemeClr w14:val="tx1"/>
                  </w14:solidFill>
                </w14:textFill>
              </w:rPr>
            </w:pPr>
            <w:r>
              <w:rPr>
                <w:rFonts w:hint="eastAsia"/>
                <w:color w:val="000000" w:themeColor="text1"/>
                <w:spacing w:val="-1"/>
                <w:sz w:val="21"/>
                <w14:textFill>
                  <w14:solidFill>
                    <w14:schemeClr w14:val="tx1"/>
                  </w14:solidFill>
                </w14:textFill>
              </w:rPr>
              <w:t>横向y方向的弥散系数</w:t>
            </w:r>
          </w:p>
        </w:tc>
        <w:tc>
          <w:tcPr>
            <w:tcW w:w="893" w:type="pct"/>
            <w:vAlign w:val="center"/>
          </w:tcPr>
          <w:p w14:paraId="1372EF58">
            <w:pPr>
              <w:pStyle w:val="286"/>
              <w:rPr>
                <w:rFonts w:hint="eastAsia"/>
                <w:color w:val="000000" w:themeColor="text1"/>
                <w:sz w:val="21"/>
                <w14:textFill>
                  <w14:solidFill>
                    <w14:schemeClr w14:val="tx1"/>
                  </w14:solidFill>
                </w14:textFill>
              </w:rPr>
            </w:pPr>
            <w:r>
              <w:rPr>
                <w:color w:val="000000" w:themeColor="text1"/>
                <w:sz w:val="21"/>
                <w14:textFill>
                  <w14:solidFill>
                    <w14:schemeClr w14:val="tx1"/>
                  </w14:solidFill>
                </w14:textFill>
              </w:rPr>
              <w:t>0.0</w:t>
            </w:r>
            <w:r>
              <w:rPr>
                <w:rFonts w:hint="eastAsia"/>
                <w:color w:val="000000" w:themeColor="text1"/>
                <w:sz w:val="21"/>
                <w14:textFill>
                  <w14:solidFill>
                    <w14:schemeClr w14:val="tx1"/>
                  </w14:solidFill>
                </w14:textFill>
              </w:rPr>
              <w:t>12m</w:t>
            </w:r>
            <w:r>
              <w:rPr>
                <w:rFonts w:hint="eastAsia"/>
                <w:color w:val="000000" w:themeColor="text1"/>
                <w:sz w:val="21"/>
                <w:vertAlign w:val="superscript"/>
                <w14:textFill>
                  <w14:solidFill>
                    <w14:schemeClr w14:val="tx1"/>
                  </w14:solidFill>
                </w14:textFill>
              </w:rPr>
              <w:t>2</w:t>
            </w:r>
            <w:r>
              <w:rPr>
                <w:rFonts w:hint="eastAsia"/>
                <w:color w:val="000000" w:themeColor="text1"/>
                <w:sz w:val="21"/>
                <w14:textFill>
                  <w14:solidFill>
                    <w14:schemeClr w14:val="tx1"/>
                  </w14:solidFill>
                </w14:textFill>
              </w:rPr>
              <w:t>/d</w:t>
            </w:r>
          </w:p>
        </w:tc>
        <w:tc>
          <w:tcPr>
            <w:tcW w:w="2077" w:type="pct"/>
          </w:tcPr>
          <w:p w14:paraId="3B54C1D6">
            <w:pPr>
              <w:pStyle w:val="286"/>
              <w:rPr>
                <w:rFonts w:hint="eastAsia"/>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根据项目所在区域含水层特征，参考前人研究成果确定D</w:t>
            </w:r>
            <w:r>
              <w:rPr>
                <w:rFonts w:hint="eastAsia"/>
                <w:color w:val="000000" w:themeColor="text1"/>
                <w:sz w:val="21"/>
                <w:vertAlign w:val="subscript"/>
                <w14:textFill>
                  <w14:solidFill>
                    <w14:schemeClr w14:val="tx1"/>
                  </w14:solidFill>
                </w14:textFill>
              </w:rPr>
              <w:t>T</w:t>
            </w:r>
            <w:r>
              <w:rPr>
                <w:rFonts w:hint="eastAsia"/>
                <w:color w:val="000000" w:themeColor="text1"/>
                <w:sz w:val="21"/>
                <w14:textFill>
                  <w14:solidFill>
                    <w14:schemeClr w14:val="tx1"/>
                  </w14:solidFill>
                </w14:textFill>
              </w:rPr>
              <w:t>为0.012m</w:t>
            </w:r>
            <w:r>
              <w:rPr>
                <w:rFonts w:hint="eastAsia"/>
                <w:color w:val="000000" w:themeColor="text1"/>
                <w:sz w:val="21"/>
                <w:vertAlign w:val="superscript"/>
                <w14:textFill>
                  <w14:solidFill>
                    <w14:schemeClr w14:val="tx1"/>
                  </w14:solidFill>
                </w14:textFill>
              </w:rPr>
              <w:t>2</w:t>
            </w:r>
            <w:r>
              <w:rPr>
                <w:rFonts w:hint="eastAsia"/>
                <w:color w:val="000000" w:themeColor="text1"/>
                <w:sz w:val="21"/>
                <w14:textFill>
                  <w14:solidFill>
                    <w14:schemeClr w14:val="tx1"/>
                  </w14:solidFill>
                </w14:textFill>
              </w:rPr>
              <w:t>/d</w:t>
            </w:r>
          </w:p>
        </w:tc>
      </w:tr>
      <w:tr w14:paraId="687EFF2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06" w:type="pct"/>
            <w:vAlign w:val="center"/>
          </w:tcPr>
          <w:p w14:paraId="48E6D5C3">
            <w:pPr>
              <w:pStyle w:val="286"/>
              <w:rPr>
                <w:rFonts w:hint="eastAsia"/>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7</w:t>
            </w:r>
          </w:p>
        </w:tc>
        <w:tc>
          <w:tcPr>
            <w:tcW w:w="649" w:type="pct"/>
            <w:vAlign w:val="center"/>
          </w:tcPr>
          <w:p w14:paraId="5AA37AA5">
            <w:pPr>
              <w:pStyle w:val="286"/>
              <w:rPr>
                <w:rFonts w:hint="eastAsia"/>
                <w:color w:val="000000" w:themeColor="text1"/>
                <w:sz w:val="21"/>
                <w14:textFill>
                  <w14:solidFill>
                    <w14:schemeClr w14:val="tx1"/>
                  </w14:solidFill>
                </w14:textFill>
              </w:rPr>
            </w:pPr>
            <w:r>
              <w:rPr>
                <w:color w:val="000000" w:themeColor="text1"/>
                <w:position w:val="2"/>
                <w:sz w:val="21"/>
                <w14:textFill>
                  <w14:solidFill>
                    <w14:schemeClr w14:val="tx1"/>
                  </w14:solidFill>
                </w14:textFill>
              </w:rPr>
              <w:t>n</w:t>
            </w:r>
            <w:r>
              <w:rPr>
                <w:color w:val="000000" w:themeColor="text1"/>
                <w:sz w:val="21"/>
                <w:vertAlign w:val="subscript"/>
                <w14:textFill>
                  <w14:solidFill>
                    <w14:schemeClr w14:val="tx1"/>
                  </w14:solidFill>
                </w14:textFill>
              </w:rPr>
              <w:t>e</w:t>
            </w:r>
          </w:p>
        </w:tc>
        <w:tc>
          <w:tcPr>
            <w:tcW w:w="975" w:type="pct"/>
            <w:vAlign w:val="center"/>
          </w:tcPr>
          <w:p w14:paraId="4CA4FFDB">
            <w:pPr>
              <w:pStyle w:val="286"/>
              <w:adjustRightInd w:val="0"/>
              <w:snapToGrid w:val="0"/>
              <w:rPr>
                <w:rFonts w:hint="eastAsia"/>
                <w:color w:val="000000" w:themeColor="text1"/>
                <w:spacing w:val="-1"/>
                <w:sz w:val="21"/>
                <w14:textFill>
                  <w14:solidFill>
                    <w14:schemeClr w14:val="tx1"/>
                  </w14:solidFill>
                </w14:textFill>
              </w:rPr>
            </w:pPr>
            <w:r>
              <w:rPr>
                <w:rFonts w:hint="eastAsia"/>
                <w:color w:val="000000" w:themeColor="text1"/>
                <w:spacing w:val="-1"/>
                <w:sz w:val="21"/>
                <w14:textFill>
                  <w14:solidFill>
                    <w14:schemeClr w14:val="tx1"/>
                  </w14:solidFill>
                </w14:textFill>
              </w:rPr>
              <w:t>有效孔隙度</w:t>
            </w:r>
          </w:p>
        </w:tc>
        <w:tc>
          <w:tcPr>
            <w:tcW w:w="893" w:type="pct"/>
            <w:vAlign w:val="center"/>
          </w:tcPr>
          <w:p w14:paraId="70F84E52">
            <w:pPr>
              <w:pStyle w:val="286"/>
              <w:rPr>
                <w:rFonts w:hint="eastAsia"/>
                <w:color w:val="000000" w:themeColor="text1"/>
                <w:sz w:val="21"/>
                <w14:textFill>
                  <w14:solidFill>
                    <w14:schemeClr w14:val="tx1"/>
                  </w14:solidFill>
                </w14:textFill>
              </w:rPr>
            </w:pPr>
            <w:r>
              <w:rPr>
                <w:color w:val="000000" w:themeColor="text1"/>
                <w:sz w:val="21"/>
                <w14:textFill>
                  <w14:solidFill>
                    <w14:schemeClr w14:val="tx1"/>
                  </w14:solidFill>
                </w14:textFill>
              </w:rPr>
              <w:t>0.12</w:t>
            </w:r>
          </w:p>
        </w:tc>
        <w:tc>
          <w:tcPr>
            <w:tcW w:w="2077" w:type="pct"/>
          </w:tcPr>
          <w:p w14:paraId="00E190DC">
            <w:pPr>
              <w:pStyle w:val="286"/>
              <w:rPr>
                <w:rFonts w:hint="eastAsia"/>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根据所在区域含水层特征，确定有效孔隙度为0.12</w:t>
            </w:r>
          </w:p>
        </w:tc>
      </w:tr>
      <w:bookmarkEnd w:id="552"/>
    </w:tbl>
    <w:p w14:paraId="6B0F0342">
      <w:pPr>
        <w:pStyle w:val="117"/>
        <w:tabs>
          <w:tab w:val="left" w:pos="709"/>
        </w:tabs>
        <w:adjustRightInd w:val="0"/>
        <w:snapToGrid w:val="0"/>
        <w:ind w:firstLine="480"/>
        <w:rPr>
          <w:rFonts w:hint="eastAsia"/>
          <w:bCs/>
          <w:color w:val="000000" w:themeColor="text1"/>
          <w14:textFill>
            <w14:solidFill>
              <w14:schemeClr w14:val="tx1"/>
            </w14:solidFill>
          </w14:textFill>
        </w:rPr>
      </w:pPr>
      <w:r>
        <w:rPr>
          <w:rFonts w:hint="eastAsia"/>
          <w:color w:val="000000" w:themeColor="text1"/>
          <w14:textFill>
            <w14:solidFill>
              <w14:schemeClr w14:val="tx1"/>
            </w14:solidFill>
          </w14:textFill>
        </w:rPr>
        <w:t>当集油干线和排污罐发生泄漏时，石油类物质经过100d和1000d后在地下水中的扩散结果见表</w:t>
      </w:r>
      <w:r>
        <w:rPr>
          <w:color w:val="000000" w:themeColor="text1"/>
          <w14:textFill>
            <w14:solidFill>
              <w14:schemeClr w14:val="tx1"/>
            </w14:solidFill>
          </w14:textFill>
        </w:rPr>
        <w:t>5.2</w:t>
      </w:r>
      <w:r>
        <w:rPr>
          <w:rFonts w:hint="eastAsia"/>
          <w:color w:val="000000" w:themeColor="text1"/>
          <w14:textFill>
            <w14:solidFill>
              <w14:schemeClr w14:val="tx1"/>
            </w14:solidFill>
          </w14:textFill>
        </w:rPr>
        <w:t>-8。</w:t>
      </w:r>
    </w:p>
    <w:p w14:paraId="39FCF7F5">
      <w:pPr>
        <w:pStyle w:val="15"/>
        <w:adjustRightInd w:val="0"/>
        <w:snapToGrid w:val="0"/>
        <w:spacing w:line="500" w:lineRule="exact"/>
        <w:rPr>
          <w:rFonts w:hint="eastAsia"/>
          <w:bCs/>
          <w:color w:val="000000" w:themeColor="text1"/>
          <w14:textFill>
            <w14:solidFill>
              <w14:schemeClr w14:val="tx1"/>
            </w14:solidFill>
          </w14:textFill>
        </w:rPr>
      </w:pPr>
      <w:r>
        <w:rPr>
          <w:rFonts w:hint="eastAsia"/>
          <w:bCs/>
          <w:color w:val="000000" w:themeColor="text1"/>
          <w14:textFill>
            <w14:solidFill>
              <w14:schemeClr w14:val="tx1"/>
            </w14:solidFill>
          </w14:textFill>
        </w:rPr>
        <w:t>表</w:t>
      </w:r>
      <w:r>
        <w:rPr>
          <w:bCs/>
          <w:color w:val="000000" w:themeColor="text1"/>
          <w14:textFill>
            <w14:solidFill>
              <w14:schemeClr w14:val="tx1"/>
            </w14:solidFill>
          </w14:textFill>
        </w:rPr>
        <w:t>5.2</w:t>
      </w:r>
      <w:r>
        <w:rPr>
          <w:rFonts w:hint="eastAsia"/>
          <w:bCs/>
          <w:color w:val="000000" w:themeColor="text1"/>
          <w14:textFill>
            <w14:solidFill>
              <w14:schemeClr w14:val="tx1"/>
            </w14:solidFill>
          </w14:textFill>
        </w:rPr>
        <w:t>-8</w:t>
      </w:r>
      <w:r>
        <w:rPr>
          <w:bCs/>
          <w:color w:val="000000" w:themeColor="text1"/>
          <w14:textFill>
            <w14:solidFill>
              <w14:schemeClr w14:val="tx1"/>
            </w14:solidFill>
          </w14:textFill>
        </w:rPr>
        <w:t xml:space="preserve">  </w:t>
      </w:r>
      <w:r>
        <w:rPr>
          <w:rFonts w:hint="eastAsia"/>
          <w:bCs/>
          <w:color w:val="000000" w:themeColor="text1"/>
          <w14:textFill>
            <w14:solidFill>
              <w14:schemeClr w14:val="tx1"/>
            </w14:solidFill>
          </w14:textFill>
        </w:rPr>
        <w:t>地下水影响预测结果一览表</w:t>
      </w:r>
    </w:p>
    <w:tbl>
      <w:tblPr>
        <w:tblStyle w:val="51"/>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28" w:type="dxa"/>
          <w:bottom w:w="0" w:type="dxa"/>
          <w:right w:w="28" w:type="dxa"/>
        </w:tblCellMar>
      </w:tblPr>
      <w:tblGrid>
        <w:gridCol w:w="713"/>
        <w:gridCol w:w="619"/>
        <w:gridCol w:w="965"/>
        <w:gridCol w:w="1003"/>
        <w:gridCol w:w="1374"/>
        <w:gridCol w:w="1360"/>
        <w:gridCol w:w="1360"/>
        <w:gridCol w:w="1392"/>
      </w:tblGrid>
      <w:tr w14:paraId="643041E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29" w:hRule="atLeast"/>
          <w:jc w:val="center"/>
        </w:trPr>
        <w:tc>
          <w:tcPr>
            <w:tcW w:w="406" w:type="pct"/>
            <w:tcBorders>
              <w:right w:val="single" w:color="auto" w:sz="4" w:space="0"/>
            </w:tcBorders>
            <w:vAlign w:val="center"/>
          </w:tcPr>
          <w:p w14:paraId="38C14AF2">
            <w:pPr>
              <w:widowControl/>
              <w:adjustRightInd w:val="0"/>
              <w:snapToGrid w:val="0"/>
              <w:spacing w:line="30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泄漏点名称</w:t>
            </w:r>
          </w:p>
        </w:tc>
        <w:tc>
          <w:tcPr>
            <w:tcW w:w="352" w:type="pct"/>
            <w:tcBorders>
              <w:right w:val="single" w:color="auto" w:sz="4" w:space="0"/>
            </w:tcBorders>
            <w:vAlign w:val="center"/>
          </w:tcPr>
          <w:p w14:paraId="6A64F0B1">
            <w:pPr>
              <w:widowControl/>
              <w:adjustRightInd w:val="0"/>
              <w:snapToGrid w:val="0"/>
              <w:spacing w:line="30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污染物</w:t>
            </w:r>
          </w:p>
        </w:tc>
        <w:tc>
          <w:tcPr>
            <w:tcW w:w="549" w:type="pct"/>
            <w:vAlign w:val="center"/>
          </w:tcPr>
          <w:p w14:paraId="3D729AC8">
            <w:pPr>
              <w:widowControl/>
              <w:adjustRightInd w:val="0"/>
              <w:snapToGrid w:val="0"/>
              <w:spacing w:line="30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预测时间d</w:t>
            </w:r>
          </w:p>
        </w:tc>
        <w:tc>
          <w:tcPr>
            <w:tcW w:w="571" w:type="pct"/>
            <w:tcBorders>
              <w:right w:val="single" w:color="auto" w:sz="4" w:space="0"/>
            </w:tcBorders>
            <w:vAlign w:val="center"/>
          </w:tcPr>
          <w:p w14:paraId="70A8B462">
            <w:pPr>
              <w:widowControl/>
              <w:adjustRightInd w:val="0"/>
              <w:snapToGrid w:val="0"/>
              <w:spacing w:line="30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最大浓度</w:t>
            </w:r>
          </w:p>
          <w:p w14:paraId="131D099E">
            <w:pPr>
              <w:widowControl/>
              <w:adjustRightInd w:val="0"/>
              <w:snapToGrid w:val="0"/>
              <w:spacing w:line="30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(mg/L)</w:t>
            </w:r>
          </w:p>
        </w:tc>
        <w:tc>
          <w:tcPr>
            <w:tcW w:w="782" w:type="pct"/>
            <w:tcBorders>
              <w:left w:val="single" w:color="auto" w:sz="4" w:space="0"/>
              <w:right w:val="single" w:color="auto" w:sz="4" w:space="0"/>
            </w:tcBorders>
            <w:vAlign w:val="center"/>
          </w:tcPr>
          <w:p w14:paraId="5C06A92B">
            <w:pPr>
              <w:widowControl/>
              <w:adjustRightInd w:val="0"/>
              <w:snapToGrid w:val="0"/>
              <w:spacing w:line="30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下游最大浓度对应距离（m）</w:t>
            </w:r>
          </w:p>
        </w:tc>
        <w:tc>
          <w:tcPr>
            <w:tcW w:w="774" w:type="pct"/>
            <w:tcBorders>
              <w:left w:val="single" w:color="auto" w:sz="4" w:space="0"/>
              <w:right w:val="single" w:color="auto" w:sz="4" w:space="0"/>
            </w:tcBorders>
          </w:tcPr>
          <w:p w14:paraId="0694CE5C">
            <w:pPr>
              <w:widowControl/>
              <w:adjustRightInd w:val="0"/>
              <w:snapToGrid w:val="0"/>
              <w:spacing w:line="30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下游达标浓度</w:t>
            </w:r>
          </w:p>
          <w:p w14:paraId="15BD5CF1">
            <w:pPr>
              <w:widowControl/>
              <w:adjustRightInd w:val="0"/>
              <w:snapToGrid w:val="0"/>
              <w:spacing w:line="30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(mg/L)</w:t>
            </w:r>
          </w:p>
        </w:tc>
        <w:tc>
          <w:tcPr>
            <w:tcW w:w="774" w:type="pct"/>
            <w:tcBorders>
              <w:left w:val="single" w:color="auto" w:sz="4" w:space="0"/>
              <w:right w:val="single" w:color="auto" w:sz="4" w:space="0"/>
            </w:tcBorders>
            <w:vAlign w:val="center"/>
          </w:tcPr>
          <w:p w14:paraId="1CA341E6">
            <w:pPr>
              <w:widowControl/>
              <w:adjustRightInd w:val="0"/>
              <w:snapToGrid w:val="0"/>
              <w:spacing w:line="30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下游达标浓度对应距离（m）</w:t>
            </w:r>
          </w:p>
        </w:tc>
        <w:tc>
          <w:tcPr>
            <w:tcW w:w="792" w:type="pct"/>
            <w:tcBorders>
              <w:left w:val="single" w:color="auto" w:sz="4" w:space="0"/>
            </w:tcBorders>
            <w:vAlign w:val="center"/>
          </w:tcPr>
          <w:p w14:paraId="3E23DECF">
            <w:pPr>
              <w:adjustRightInd w:val="0"/>
              <w:snapToGrid w:val="0"/>
              <w:spacing w:line="30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Ⅲ类标准</w:t>
            </w:r>
          </w:p>
          <w:p w14:paraId="01278544">
            <w:pPr>
              <w:adjustRightInd w:val="0"/>
              <w:snapToGrid w:val="0"/>
              <w:spacing w:line="30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(mg/L)</w:t>
            </w:r>
          </w:p>
        </w:tc>
      </w:tr>
      <w:tr w14:paraId="4F09BE3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29" w:hRule="atLeast"/>
          <w:jc w:val="center"/>
        </w:trPr>
        <w:tc>
          <w:tcPr>
            <w:tcW w:w="406" w:type="pct"/>
            <w:vMerge w:val="restart"/>
            <w:tcBorders>
              <w:right w:val="single" w:color="auto" w:sz="4" w:space="0"/>
            </w:tcBorders>
            <w:vAlign w:val="center"/>
          </w:tcPr>
          <w:p w14:paraId="2A5DA166">
            <w:pPr>
              <w:widowControl/>
              <w:adjustRightInd w:val="0"/>
              <w:snapToGrid w:val="0"/>
              <w:spacing w:line="30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集油干线</w:t>
            </w:r>
          </w:p>
        </w:tc>
        <w:tc>
          <w:tcPr>
            <w:tcW w:w="352" w:type="pct"/>
            <w:vMerge w:val="restart"/>
            <w:tcBorders>
              <w:right w:val="single" w:color="auto" w:sz="4" w:space="0"/>
            </w:tcBorders>
            <w:vAlign w:val="center"/>
          </w:tcPr>
          <w:p w14:paraId="6505A0DE">
            <w:pPr>
              <w:widowControl/>
              <w:adjustRightInd w:val="0"/>
              <w:snapToGrid w:val="0"/>
              <w:spacing w:line="30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石油类</w:t>
            </w:r>
          </w:p>
        </w:tc>
        <w:tc>
          <w:tcPr>
            <w:tcW w:w="549" w:type="pct"/>
            <w:vAlign w:val="center"/>
          </w:tcPr>
          <w:p w14:paraId="23F9442F">
            <w:pPr>
              <w:widowControl/>
              <w:adjustRightInd w:val="0"/>
              <w:snapToGrid w:val="0"/>
              <w:spacing w:line="30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100</w:t>
            </w:r>
          </w:p>
        </w:tc>
        <w:tc>
          <w:tcPr>
            <w:tcW w:w="571" w:type="pct"/>
            <w:tcBorders>
              <w:right w:val="single" w:color="auto" w:sz="4" w:space="0"/>
            </w:tcBorders>
            <w:vAlign w:val="center"/>
          </w:tcPr>
          <w:p w14:paraId="2CB98941">
            <w:pPr>
              <w:widowControl/>
              <w:adjustRightInd w:val="0"/>
              <w:snapToGrid w:val="0"/>
              <w:spacing w:line="30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468.08</w:t>
            </w:r>
          </w:p>
        </w:tc>
        <w:tc>
          <w:tcPr>
            <w:tcW w:w="782" w:type="pct"/>
            <w:tcBorders>
              <w:left w:val="single" w:color="auto" w:sz="4" w:space="0"/>
              <w:right w:val="single" w:color="auto" w:sz="4" w:space="0"/>
            </w:tcBorders>
            <w:vAlign w:val="center"/>
          </w:tcPr>
          <w:p w14:paraId="64D355B5">
            <w:pPr>
              <w:adjustRightInd w:val="0"/>
              <w:snapToGrid w:val="0"/>
              <w:spacing w:line="30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12</w:t>
            </w:r>
          </w:p>
        </w:tc>
        <w:tc>
          <w:tcPr>
            <w:tcW w:w="774" w:type="pct"/>
            <w:tcBorders>
              <w:left w:val="single" w:color="auto" w:sz="4" w:space="0"/>
              <w:right w:val="single" w:color="auto" w:sz="4" w:space="0"/>
            </w:tcBorders>
          </w:tcPr>
          <w:p w14:paraId="1A8BEB74">
            <w:pPr>
              <w:adjustRightInd w:val="0"/>
              <w:snapToGrid w:val="0"/>
              <w:spacing w:line="30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0.048</w:t>
            </w:r>
          </w:p>
        </w:tc>
        <w:tc>
          <w:tcPr>
            <w:tcW w:w="774" w:type="pct"/>
            <w:tcBorders>
              <w:left w:val="single" w:color="auto" w:sz="4" w:space="0"/>
              <w:right w:val="single" w:color="auto" w:sz="4" w:space="0"/>
            </w:tcBorders>
            <w:vAlign w:val="center"/>
          </w:tcPr>
          <w:p w14:paraId="04D48DCC">
            <w:pPr>
              <w:adjustRightInd w:val="0"/>
              <w:snapToGrid w:val="0"/>
              <w:spacing w:line="30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33</w:t>
            </w:r>
          </w:p>
        </w:tc>
        <w:tc>
          <w:tcPr>
            <w:tcW w:w="792" w:type="pct"/>
            <w:vMerge w:val="restart"/>
            <w:tcBorders>
              <w:left w:val="single" w:color="auto" w:sz="4" w:space="0"/>
            </w:tcBorders>
            <w:vAlign w:val="center"/>
          </w:tcPr>
          <w:p w14:paraId="6950779D">
            <w:pPr>
              <w:adjustRightInd w:val="0"/>
              <w:snapToGrid w:val="0"/>
              <w:spacing w:line="30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≤0.05</w:t>
            </w:r>
          </w:p>
        </w:tc>
      </w:tr>
      <w:tr w14:paraId="1B4B327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29" w:hRule="atLeast"/>
          <w:jc w:val="center"/>
        </w:trPr>
        <w:tc>
          <w:tcPr>
            <w:tcW w:w="406" w:type="pct"/>
            <w:vMerge w:val="continue"/>
            <w:tcBorders>
              <w:right w:val="single" w:color="auto" w:sz="4" w:space="0"/>
            </w:tcBorders>
            <w:vAlign w:val="center"/>
          </w:tcPr>
          <w:p w14:paraId="43D236D1">
            <w:pPr>
              <w:widowControl/>
              <w:adjustRightInd w:val="0"/>
              <w:snapToGrid w:val="0"/>
              <w:spacing w:line="300" w:lineRule="exact"/>
              <w:jc w:val="center"/>
              <w:rPr>
                <w:rFonts w:hint="eastAsia" w:ascii="宋体" w:hAnsi="宋体" w:cs="宋体"/>
                <w:color w:val="000000" w:themeColor="text1"/>
                <w:szCs w:val="21"/>
                <w14:textFill>
                  <w14:solidFill>
                    <w14:schemeClr w14:val="tx1"/>
                  </w14:solidFill>
                </w14:textFill>
              </w:rPr>
            </w:pPr>
          </w:p>
        </w:tc>
        <w:tc>
          <w:tcPr>
            <w:tcW w:w="352" w:type="pct"/>
            <w:vMerge w:val="continue"/>
            <w:tcBorders>
              <w:right w:val="single" w:color="auto" w:sz="4" w:space="0"/>
            </w:tcBorders>
            <w:vAlign w:val="center"/>
          </w:tcPr>
          <w:p w14:paraId="728DC1AB">
            <w:pPr>
              <w:widowControl/>
              <w:adjustRightInd w:val="0"/>
              <w:snapToGrid w:val="0"/>
              <w:spacing w:line="300" w:lineRule="exact"/>
              <w:jc w:val="center"/>
              <w:rPr>
                <w:rFonts w:hint="eastAsia" w:ascii="宋体" w:hAnsi="宋体" w:cs="宋体"/>
                <w:color w:val="000000" w:themeColor="text1"/>
                <w:szCs w:val="21"/>
                <w14:textFill>
                  <w14:solidFill>
                    <w14:schemeClr w14:val="tx1"/>
                  </w14:solidFill>
                </w14:textFill>
              </w:rPr>
            </w:pPr>
          </w:p>
        </w:tc>
        <w:tc>
          <w:tcPr>
            <w:tcW w:w="549" w:type="pct"/>
            <w:vAlign w:val="center"/>
          </w:tcPr>
          <w:p w14:paraId="434BC3D8">
            <w:pPr>
              <w:widowControl/>
              <w:adjustRightInd w:val="0"/>
              <w:snapToGrid w:val="0"/>
              <w:spacing w:line="30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1000</w:t>
            </w:r>
          </w:p>
        </w:tc>
        <w:tc>
          <w:tcPr>
            <w:tcW w:w="571" w:type="pct"/>
            <w:tcBorders>
              <w:right w:val="single" w:color="auto" w:sz="4" w:space="0"/>
            </w:tcBorders>
            <w:vAlign w:val="center"/>
          </w:tcPr>
          <w:p w14:paraId="4CA4FFB9">
            <w:pPr>
              <w:widowControl/>
              <w:adjustRightInd w:val="0"/>
              <w:snapToGrid w:val="0"/>
              <w:spacing w:line="30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56.46</w:t>
            </w:r>
          </w:p>
        </w:tc>
        <w:tc>
          <w:tcPr>
            <w:tcW w:w="782" w:type="pct"/>
            <w:tcBorders>
              <w:left w:val="single" w:color="auto" w:sz="4" w:space="0"/>
              <w:right w:val="single" w:color="auto" w:sz="4" w:space="0"/>
            </w:tcBorders>
            <w:vAlign w:val="center"/>
          </w:tcPr>
          <w:p w14:paraId="70F33645">
            <w:pPr>
              <w:adjustRightInd w:val="0"/>
              <w:snapToGrid w:val="0"/>
              <w:spacing w:line="30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120</w:t>
            </w:r>
          </w:p>
        </w:tc>
        <w:tc>
          <w:tcPr>
            <w:tcW w:w="774" w:type="pct"/>
            <w:tcBorders>
              <w:left w:val="single" w:color="auto" w:sz="4" w:space="0"/>
              <w:right w:val="single" w:color="auto" w:sz="4" w:space="0"/>
            </w:tcBorders>
          </w:tcPr>
          <w:p w14:paraId="3D75DBA5">
            <w:pPr>
              <w:adjustRightInd w:val="0"/>
              <w:snapToGrid w:val="0"/>
              <w:spacing w:line="30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0.04</w:t>
            </w:r>
          </w:p>
        </w:tc>
        <w:tc>
          <w:tcPr>
            <w:tcW w:w="774" w:type="pct"/>
            <w:tcBorders>
              <w:left w:val="single" w:color="auto" w:sz="4" w:space="0"/>
              <w:right w:val="single" w:color="auto" w:sz="4" w:space="0"/>
            </w:tcBorders>
            <w:vAlign w:val="center"/>
          </w:tcPr>
          <w:p w14:paraId="6D78160A">
            <w:pPr>
              <w:adjustRightInd w:val="0"/>
              <w:snapToGrid w:val="0"/>
              <w:spacing w:line="30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179</w:t>
            </w:r>
          </w:p>
        </w:tc>
        <w:tc>
          <w:tcPr>
            <w:tcW w:w="792" w:type="pct"/>
            <w:vMerge w:val="continue"/>
            <w:tcBorders>
              <w:left w:val="single" w:color="auto" w:sz="4" w:space="0"/>
            </w:tcBorders>
            <w:vAlign w:val="center"/>
          </w:tcPr>
          <w:p w14:paraId="32F27A51">
            <w:pPr>
              <w:adjustRightInd w:val="0"/>
              <w:snapToGrid w:val="0"/>
              <w:spacing w:line="300" w:lineRule="exact"/>
              <w:jc w:val="center"/>
              <w:rPr>
                <w:rFonts w:hint="eastAsia" w:ascii="宋体" w:hAnsi="宋体" w:cs="宋体"/>
                <w:color w:val="000000" w:themeColor="text1"/>
                <w:szCs w:val="21"/>
                <w14:textFill>
                  <w14:solidFill>
                    <w14:schemeClr w14:val="tx1"/>
                  </w14:solidFill>
                </w14:textFill>
              </w:rPr>
            </w:pPr>
          </w:p>
        </w:tc>
      </w:tr>
      <w:tr w14:paraId="62972BB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29" w:hRule="atLeast"/>
          <w:jc w:val="center"/>
        </w:trPr>
        <w:tc>
          <w:tcPr>
            <w:tcW w:w="406" w:type="pct"/>
            <w:vMerge w:val="restart"/>
            <w:tcBorders>
              <w:right w:val="single" w:color="auto" w:sz="4" w:space="0"/>
            </w:tcBorders>
            <w:vAlign w:val="center"/>
          </w:tcPr>
          <w:p w14:paraId="2EDCE70A">
            <w:pPr>
              <w:widowControl/>
              <w:adjustRightInd w:val="0"/>
              <w:snapToGrid w:val="0"/>
              <w:spacing w:line="30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排污罐</w:t>
            </w:r>
          </w:p>
        </w:tc>
        <w:tc>
          <w:tcPr>
            <w:tcW w:w="352" w:type="pct"/>
            <w:vMerge w:val="restart"/>
            <w:tcBorders>
              <w:right w:val="single" w:color="auto" w:sz="4" w:space="0"/>
            </w:tcBorders>
            <w:vAlign w:val="center"/>
          </w:tcPr>
          <w:p w14:paraId="6B98273F">
            <w:pPr>
              <w:widowControl/>
              <w:adjustRightInd w:val="0"/>
              <w:snapToGrid w:val="0"/>
              <w:spacing w:line="30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石油类</w:t>
            </w:r>
          </w:p>
        </w:tc>
        <w:tc>
          <w:tcPr>
            <w:tcW w:w="549" w:type="pct"/>
            <w:vAlign w:val="center"/>
          </w:tcPr>
          <w:p w14:paraId="47269A11">
            <w:pPr>
              <w:widowControl/>
              <w:adjustRightInd w:val="0"/>
              <w:snapToGrid w:val="0"/>
              <w:spacing w:line="30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100</w:t>
            </w:r>
          </w:p>
        </w:tc>
        <w:tc>
          <w:tcPr>
            <w:tcW w:w="571" w:type="pct"/>
            <w:tcBorders>
              <w:right w:val="single" w:color="auto" w:sz="4" w:space="0"/>
            </w:tcBorders>
            <w:vAlign w:val="center"/>
          </w:tcPr>
          <w:p w14:paraId="2EF15385">
            <w:pPr>
              <w:widowControl/>
              <w:adjustRightInd w:val="0"/>
              <w:snapToGrid w:val="0"/>
              <w:spacing w:line="30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0.034</w:t>
            </w:r>
          </w:p>
        </w:tc>
        <w:tc>
          <w:tcPr>
            <w:tcW w:w="782" w:type="pct"/>
            <w:tcBorders>
              <w:left w:val="single" w:color="auto" w:sz="4" w:space="0"/>
              <w:right w:val="single" w:color="auto" w:sz="4" w:space="0"/>
            </w:tcBorders>
            <w:vAlign w:val="center"/>
          </w:tcPr>
          <w:p w14:paraId="7B1DEAE2">
            <w:pPr>
              <w:adjustRightInd w:val="0"/>
              <w:snapToGrid w:val="0"/>
              <w:spacing w:line="30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12</w:t>
            </w:r>
          </w:p>
        </w:tc>
        <w:tc>
          <w:tcPr>
            <w:tcW w:w="1548" w:type="pct"/>
            <w:gridSpan w:val="2"/>
            <w:tcBorders>
              <w:left w:val="single" w:color="auto" w:sz="4" w:space="0"/>
              <w:right w:val="single" w:color="auto" w:sz="4" w:space="0"/>
            </w:tcBorders>
          </w:tcPr>
          <w:p w14:paraId="45C8CA93">
            <w:pPr>
              <w:adjustRightInd w:val="0"/>
              <w:snapToGrid w:val="0"/>
              <w:spacing w:line="30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泄漏点处达标</w:t>
            </w:r>
          </w:p>
        </w:tc>
        <w:tc>
          <w:tcPr>
            <w:tcW w:w="792" w:type="pct"/>
            <w:vMerge w:val="continue"/>
            <w:tcBorders>
              <w:left w:val="single" w:color="auto" w:sz="4" w:space="0"/>
            </w:tcBorders>
            <w:vAlign w:val="center"/>
          </w:tcPr>
          <w:p w14:paraId="43104796">
            <w:pPr>
              <w:adjustRightInd w:val="0"/>
              <w:snapToGrid w:val="0"/>
              <w:spacing w:line="300" w:lineRule="exact"/>
              <w:jc w:val="center"/>
              <w:rPr>
                <w:rFonts w:hint="eastAsia" w:ascii="宋体" w:hAnsi="宋体" w:cs="宋体"/>
                <w:color w:val="000000" w:themeColor="text1"/>
                <w:szCs w:val="21"/>
                <w14:textFill>
                  <w14:solidFill>
                    <w14:schemeClr w14:val="tx1"/>
                  </w14:solidFill>
                </w14:textFill>
              </w:rPr>
            </w:pPr>
          </w:p>
        </w:tc>
      </w:tr>
      <w:tr w14:paraId="5B9324E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29" w:hRule="atLeast"/>
          <w:jc w:val="center"/>
        </w:trPr>
        <w:tc>
          <w:tcPr>
            <w:tcW w:w="406" w:type="pct"/>
            <w:vMerge w:val="continue"/>
            <w:tcBorders>
              <w:right w:val="single" w:color="auto" w:sz="4" w:space="0"/>
            </w:tcBorders>
            <w:vAlign w:val="center"/>
          </w:tcPr>
          <w:p w14:paraId="5C741C36">
            <w:pPr>
              <w:widowControl/>
              <w:adjustRightInd w:val="0"/>
              <w:snapToGrid w:val="0"/>
              <w:spacing w:line="300" w:lineRule="exact"/>
              <w:jc w:val="center"/>
              <w:rPr>
                <w:rFonts w:hint="eastAsia" w:ascii="宋体" w:hAnsi="宋体" w:cs="宋体"/>
                <w:color w:val="000000" w:themeColor="text1"/>
                <w:szCs w:val="21"/>
                <w14:textFill>
                  <w14:solidFill>
                    <w14:schemeClr w14:val="tx1"/>
                  </w14:solidFill>
                </w14:textFill>
              </w:rPr>
            </w:pPr>
          </w:p>
        </w:tc>
        <w:tc>
          <w:tcPr>
            <w:tcW w:w="352" w:type="pct"/>
            <w:vMerge w:val="continue"/>
            <w:tcBorders>
              <w:right w:val="single" w:color="auto" w:sz="4" w:space="0"/>
            </w:tcBorders>
            <w:vAlign w:val="center"/>
          </w:tcPr>
          <w:p w14:paraId="6D6B2792">
            <w:pPr>
              <w:widowControl/>
              <w:adjustRightInd w:val="0"/>
              <w:snapToGrid w:val="0"/>
              <w:spacing w:line="300" w:lineRule="exact"/>
              <w:jc w:val="center"/>
              <w:rPr>
                <w:rFonts w:hint="eastAsia" w:ascii="宋体" w:hAnsi="宋体" w:cs="宋体"/>
                <w:color w:val="000000" w:themeColor="text1"/>
                <w:szCs w:val="21"/>
                <w14:textFill>
                  <w14:solidFill>
                    <w14:schemeClr w14:val="tx1"/>
                  </w14:solidFill>
                </w14:textFill>
              </w:rPr>
            </w:pPr>
          </w:p>
        </w:tc>
        <w:tc>
          <w:tcPr>
            <w:tcW w:w="549" w:type="pct"/>
            <w:vAlign w:val="center"/>
          </w:tcPr>
          <w:p w14:paraId="42D9F1B8">
            <w:pPr>
              <w:widowControl/>
              <w:adjustRightInd w:val="0"/>
              <w:snapToGrid w:val="0"/>
              <w:spacing w:line="30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1000</w:t>
            </w:r>
          </w:p>
        </w:tc>
        <w:tc>
          <w:tcPr>
            <w:tcW w:w="571" w:type="pct"/>
            <w:tcBorders>
              <w:right w:val="single" w:color="auto" w:sz="4" w:space="0"/>
            </w:tcBorders>
            <w:vAlign w:val="center"/>
          </w:tcPr>
          <w:p w14:paraId="3E1AE60D">
            <w:pPr>
              <w:widowControl/>
              <w:adjustRightInd w:val="0"/>
              <w:snapToGrid w:val="0"/>
              <w:spacing w:line="30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0.0041</w:t>
            </w:r>
          </w:p>
        </w:tc>
        <w:tc>
          <w:tcPr>
            <w:tcW w:w="782" w:type="pct"/>
            <w:tcBorders>
              <w:left w:val="single" w:color="auto" w:sz="4" w:space="0"/>
              <w:right w:val="single" w:color="auto" w:sz="4" w:space="0"/>
            </w:tcBorders>
            <w:vAlign w:val="center"/>
          </w:tcPr>
          <w:p w14:paraId="28F86222">
            <w:pPr>
              <w:adjustRightInd w:val="0"/>
              <w:snapToGrid w:val="0"/>
              <w:spacing w:line="30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121</w:t>
            </w:r>
          </w:p>
        </w:tc>
        <w:tc>
          <w:tcPr>
            <w:tcW w:w="1548" w:type="pct"/>
            <w:gridSpan w:val="2"/>
            <w:tcBorders>
              <w:left w:val="single" w:color="auto" w:sz="4" w:space="0"/>
              <w:right w:val="single" w:color="auto" w:sz="4" w:space="0"/>
            </w:tcBorders>
          </w:tcPr>
          <w:p w14:paraId="5BD96AEC">
            <w:pPr>
              <w:adjustRightInd w:val="0"/>
              <w:snapToGrid w:val="0"/>
              <w:spacing w:line="30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泄漏点处达标</w:t>
            </w:r>
          </w:p>
        </w:tc>
        <w:tc>
          <w:tcPr>
            <w:tcW w:w="792" w:type="pct"/>
            <w:vMerge w:val="continue"/>
            <w:tcBorders>
              <w:left w:val="single" w:color="auto" w:sz="4" w:space="0"/>
            </w:tcBorders>
            <w:vAlign w:val="center"/>
          </w:tcPr>
          <w:p w14:paraId="3EE7BEE5">
            <w:pPr>
              <w:adjustRightInd w:val="0"/>
              <w:snapToGrid w:val="0"/>
              <w:spacing w:line="300" w:lineRule="exact"/>
              <w:jc w:val="center"/>
              <w:rPr>
                <w:rFonts w:hint="eastAsia" w:ascii="宋体" w:hAnsi="宋体" w:cs="宋体"/>
                <w:color w:val="000000" w:themeColor="text1"/>
                <w:szCs w:val="21"/>
                <w14:textFill>
                  <w14:solidFill>
                    <w14:schemeClr w14:val="tx1"/>
                  </w14:solidFill>
                </w14:textFill>
              </w:rPr>
            </w:pPr>
          </w:p>
        </w:tc>
      </w:tr>
    </w:tbl>
    <w:p w14:paraId="36FB2688">
      <w:pPr>
        <w:pStyle w:val="117"/>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从预测结果可知：随着时间的增加，污染范围有所增加，</w:t>
      </w:r>
      <w:bookmarkStart w:id="553" w:name="_Hlk148007850"/>
      <w:r>
        <w:rPr>
          <w:rFonts w:hint="eastAsia"/>
          <w:color w:val="000000" w:themeColor="text1"/>
          <w14:textFill>
            <w14:solidFill>
              <w14:schemeClr w14:val="tx1"/>
            </w14:solidFill>
          </w14:textFill>
        </w:rPr>
        <w:t>集油干线发生泄漏后100d和1000d下游石油类达标时对应的距离分别为33m和179m；排污罐发生泄漏后100d和1000d时泄漏点处石油类就达标。</w:t>
      </w:r>
      <w:bookmarkEnd w:id="553"/>
      <w:r>
        <w:rPr>
          <w:rFonts w:hint="eastAsia"/>
          <w:color w:val="000000" w:themeColor="text1"/>
          <w14:textFill>
            <w14:solidFill>
              <w14:schemeClr w14:val="tx1"/>
            </w14:solidFill>
          </w14:textFill>
        </w:rPr>
        <w:t>项目区土壤在消除土体裂隙和根孔影响的试验条件下，石油类下渗下移的深度不会超过30cm，</w:t>
      </w:r>
      <w:r>
        <w:rPr>
          <w:color w:val="000000" w:themeColor="text1"/>
          <w:kern w:val="0"/>
          <w:szCs w:val="26"/>
          <w14:textFill>
            <w14:solidFill>
              <w14:schemeClr w14:val="tx1"/>
            </w14:solidFill>
          </w14:textFill>
        </w:rPr>
        <w:t>承压水顶板埋深在50～100m</w:t>
      </w:r>
      <w:r>
        <w:rPr>
          <w:rFonts w:hint="eastAsia"/>
          <w:color w:val="000000" w:themeColor="text1"/>
          <w:kern w:val="0"/>
          <w:szCs w:val="26"/>
          <w14:textFill>
            <w14:solidFill>
              <w14:schemeClr w14:val="tx1"/>
            </w14:solidFill>
          </w14:textFill>
        </w:rPr>
        <w:t>以下</w:t>
      </w:r>
      <w:r>
        <w:rPr>
          <w:rFonts w:hint="eastAsia"/>
          <w:color w:val="000000" w:themeColor="text1"/>
          <w14:textFill>
            <w14:solidFill>
              <w14:schemeClr w14:val="tx1"/>
            </w14:solidFill>
          </w14:textFill>
        </w:rPr>
        <w:t>，泄漏的原油进入地下水的可能性很小，并定期对设备进行检修，将事故发生的概率降至最低，发生泄漏后做到及时发现、及时处理，彻底清除泄漏油品及被污染的土壤。因此，发生泄漏后采取相应的措施后不会对地下水环境产生大的影响。</w:t>
      </w:r>
    </w:p>
    <w:p w14:paraId="5C01F1DE">
      <w:pPr>
        <w:pStyle w:val="117"/>
        <w:ind w:firstLine="480"/>
        <w:rPr>
          <w:rFonts w:hint="eastAsia"/>
          <w:color w:val="000000" w:themeColor="text1"/>
          <w14:textFill>
            <w14:solidFill>
              <w14:schemeClr w14:val="tx1"/>
            </w14:solidFill>
          </w14:textFill>
        </w:rPr>
      </w:pPr>
      <w:bookmarkStart w:id="554" w:name="_Hlk173435865"/>
      <w:r>
        <w:rPr>
          <w:rFonts w:hint="eastAsia"/>
          <w:color w:val="000000" w:themeColor="text1"/>
          <w14:textFill>
            <w14:solidFill>
              <w14:schemeClr w14:val="tx1"/>
            </w14:solidFill>
          </w14:textFill>
        </w:rPr>
        <w:t>②固井质量不合格，油井套管破损泄漏对地下水的影响分析</w:t>
      </w:r>
    </w:p>
    <w:p w14:paraId="51A8AFE8">
      <w:pPr>
        <w:pStyle w:val="117"/>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若采油井固井质量不合格，油井套管破裂，发生井漏，石油类污染物有可能通过破裂的套管附近的孔隙、裂隙径流渗漏进入地下含水层，对地下水造成污染影响。</w:t>
      </w:r>
    </w:p>
    <w:p w14:paraId="4F714473">
      <w:pPr>
        <w:pStyle w:val="117"/>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※地下水污染途径分析</w:t>
      </w:r>
    </w:p>
    <w:p w14:paraId="475BE291">
      <w:pPr>
        <w:pStyle w:val="547"/>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井漏油水窜层污染的主要原因一般是由于表层套管和油气层套管的固井效果变差导致窜层使地下水受污染。井漏油水窜层而污染到地下水的现象，在开发前期不会发生，待井开发到中后期时，废弃井、套管被腐蚀破坏，才可能会对地下水有影响：废弃井在长期闲置过程中，在地下各种复合作用下，固井水泥被腐蚀，套管被腐蚀穿孔，加上只封死井口，油气物质失去了释放通道，会通过径流进入潜水含水层，参与地下水循环。虽然此时油层几乎没有多少压力，原油不大可能进入到含水层污染地下水，但这一现象仍应引起重视。</w:t>
      </w:r>
    </w:p>
    <w:p w14:paraId="2B0FB902">
      <w:pPr>
        <w:pStyle w:val="547"/>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本次地下水环境影响评价主要考虑最不利的极端情况下，油水窜层后对项目区承压水含水层水质的影响，针对污染物进入承压水含水层后的运移进行重点预测、评价。</w:t>
      </w:r>
    </w:p>
    <w:p w14:paraId="15393D86">
      <w:pPr>
        <w:spacing w:line="500" w:lineRule="exact"/>
        <w:ind w:firstLine="480"/>
        <w:rPr>
          <w:rFonts w:hint="eastAsia"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※预测情景设定</w:t>
      </w:r>
    </w:p>
    <w:p w14:paraId="4FF9EF35">
      <w:pPr>
        <w:pStyle w:val="117"/>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考虑最不利情况，当发生油水窜层时，污染物进入含水层对地下水产生的影响进行预测。</w:t>
      </w:r>
    </w:p>
    <w:p w14:paraId="425AA091">
      <w:pPr>
        <w:pStyle w:val="117"/>
        <w:adjustRightInd w:val="0"/>
        <w:snapToGrid w:val="0"/>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※泄漏量和影响预测</w:t>
      </w:r>
    </w:p>
    <w:p w14:paraId="29CEAC20">
      <w:pPr>
        <w:pStyle w:val="117"/>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考虑最不利情况，污染物泄漏为连续排放，发生油水窜层后，工程区内的污染物通过孔隙、裂隙径流至下游承压水含水层的水质。因此污染物在含水层中的迁移，可将预测情形概化为一维连续泄漏点源的水动力弥散问题。采用解析法对地下水环境影响进行预测。本次选取石油类作为预测特征因子。本次按照《环境影响评价技术导则地下水环境》（HJ610-2016）附录D 中一维无限长多孔介质柱体，一端为定浓度边界预测模型进行预测，计算公式如下：</w:t>
      </w:r>
    </w:p>
    <w:p w14:paraId="78AE0C1B">
      <w:pPr>
        <w:pStyle w:val="547"/>
        <w:spacing w:line="240" w:lineRule="auto"/>
        <w:jc w:val="center"/>
        <w:rPr>
          <w:rFonts w:hint="eastAsia"/>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3027680" cy="586740"/>
            <wp:effectExtent l="0" t="0" r="1270" b="3810"/>
            <wp:docPr id="8749452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4945217" name="图片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3027680" cy="586740"/>
                    </a:xfrm>
                    <a:prstGeom prst="rect">
                      <a:avLst/>
                    </a:prstGeom>
                    <a:noFill/>
                    <a:ln>
                      <a:noFill/>
                    </a:ln>
                  </pic:spPr>
                </pic:pic>
              </a:graphicData>
            </a:graphic>
          </wp:inline>
        </w:drawing>
      </w:r>
    </w:p>
    <w:p w14:paraId="481368C3">
      <w:pPr>
        <w:pStyle w:val="462"/>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式中：</w:t>
      </w:r>
      <w:r>
        <w:rPr>
          <w:i/>
          <w:iCs/>
          <w:color w:val="000000" w:themeColor="text1"/>
          <w14:textFill>
            <w14:solidFill>
              <w14:schemeClr w14:val="tx1"/>
            </w14:solidFill>
          </w14:textFill>
        </w:rPr>
        <w:t>x</w:t>
      </w:r>
      <w:r>
        <w:rPr>
          <w:rFonts w:hint="eastAsia"/>
          <w:color w:val="000000" w:themeColor="text1"/>
          <w14:textFill>
            <w14:solidFill>
              <w14:schemeClr w14:val="tx1"/>
            </w14:solidFill>
          </w14:textFill>
        </w:rPr>
        <w:t>—距注入点的距离，</w:t>
      </w:r>
      <w:r>
        <w:rPr>
          <w:color w:val="000000" w:themeColor="text1"/>
          <w14:textFill>
            <w14:solidFill>
              <w14:schemeClr w14:val="tx1"/>
            </w14:solidFill>
          </w14:textFill>
        </w:rPr>
        <w:t>m</w:t>
      </w:r>
      <w:r>
        <w:rPr>
          <w:rFonts w:hint="eastAsia"/>
          <w:color w:val="000000" w:themeColor="text1"/>
          <w14:textFill>
            <w14:solidFill>
              <w14:schemeClr w14:val="tx1"/>
            </w14:solidFill>
          </w14:textFill>
        </w:rPr>
        <w:t>；</w:t>
      </w:r>
    </w:p>
    <w:p w14:paraId="2BA6CB8B">
      <w:pPr>
        <w:pStyle w:val="462"/>
        <w:ind w:firstLine="1200" w:firstLineChars="500"/>
        <w:rPr>
          <w:rFonts w:hint="eastAsia"/>
          <w:color w:val="000000" w:themeColor="text1"/>
          <w14:textFill>
            <w14:solidFill>
              <w14:schemeClr w14:val="tx1"/>
            </w14:solidFill>
          </w14:textFill>
        </w:rPr>
      </w:pPr>
      <w:r>
        <w:rPr>
          <w:color w:val="000000" w:themeColor="text1"/>
          <w14:textFill>
            <w14:solidFill>
              <w14:schemeClr w14:val="tx1"/>
            </w14:solidFill>
          </w14:textFill>
        </w:rPr>
        <w:t>t</w:t>
      </w:r>
      <w:r>
        <w:rPr>
          <w:rFonts w:hint="eastAsia"/>
          <w:color w:val="000000" w:themeColor="text1"/>
          <w14:textFill>
            <w14:solidFill>
              <w14:schemeClr w14:val="tx1"/>
            </w14:solidFill>
          </w14:textFill>
        </w:rPr>
        <w:t>—时间，</w:t>
      </w:r>
      <w:r>
        <w:rPr>
          <w:color w:val="000000" w:themeColor="text1"/>
          <w14:textFill>
            <w14:solidFill>
              <w14:schemeClr w14:val="tx1"/>
            </w14:solidFill>
          </w14:textFill>
        </w:rPr>
        <w:t>d</w:t>
      </w:r>
      <w:r>
        <w:rPr>
          <w:rFonts w:hint="eastAsia"/>
          <w:color w:val="000000" w:themeColor="text1"/>
          <w14:textFill>
            <w14:solidFill>
              <w14:schemeClr w14:val="tx1"/>
            </w14:solidFill>
          </w14:textFill>
        </w:rPr>
        <w:t>；</w:t>
      </w:r>
    </w:p>
    <w:p w14:paraId="38DB7102">
      <w:pPr>
        <w:pStyle w:val="462"/>
        <w:ind w:firstLine="1200" w:firstLineChars="500"/>
        <w:rPr>
          <w:rFonts w:hint="eastAsia"/>
          <w:color w:val="000000" w:themeColor="text1"/>
          <w14:textFill>
            <w14:solidFill>
              <w14:schemeClr w14:val="tx1"/>
            </w14:solidFill>
          </w14:textFill>
        </w:rPr>
      </w:pPr>
      <w:r>
        <w:rPr>
          <w:color w:val="000000" w:themeColor="text1"/>
          <w14:textFill>
            <w14:solidFill>
              <w14:schemeClr w14:val="tx1"/>
            </w14:solidFill>
          </w14:textFill>
        </w:rPr>
        <w:t>C</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x</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t</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t</w:t>
      </w:r>
      <w:r>
        <w:rPr>
          <w:rFonts w:hint="eastAsia"/>
          <w:color w:val="000000" w:themeColor="text1"/>
          <w14:textFill>
            <w14:solidFill>
              <w14:schemeClr w14:val="tx1"/>
            </w14:solidFill>
          </w14:textFill>
        </w:rPr>
        <w:t>时刻</w:t>
      </w:r>
      <w:r>
        <w:rPr>
          <w:color w:val="000000" w:themeColor="text1"/>
          <w14:textFill>
            <w14:solidFill>
              <w14:schemeClr w14:val="tx1"/>
            </w14:solidFill>
          </w14:textFill>
        </w:rPr>
        <w:t>x</w:t>
      </w:r>
      <w:r>
        <w:rPr>
          <w:rFonts w:hint="eastAsia"/>
          <w:color w:val="000000" w:themeColor="text1"/>
          <w14:textFill>
            <w14:solidFill>
              <w14:schemeClr w14:val="tx1"/>
            </w14:solidFill>
          </w14:textFill>
        </w:rPr>
        <w:t>处的示踪剂浓度，</w:t>
      </w:r>
      <w:r>
        <w:rPr>
          <w:color w:val="000000" w:themeColor="text1"/>
          <w14:textFill>
            <w14:solidFill>
              <w14:schemeClr w14:val="tx1"/>
            </w14:solidFill>
          </w14:textFill>
        </w:rPr>
        <w:t>g/</w:t>
      </w:r>
      <w:r>
        <w:rPr>
          <w:rFonts w:hint="eastAsia"/>
          <w:color w:val="000000" w:themeColor="text1"/>
          <w14:textFill>
            <w14:solidFill>
              <w14:schemeClr w14:val="tx1"/>
            </w14:solidFill>
          </w14:textFill>
        </w:rPr>
        <w:t>L；</w:t>
      </w:r>
    </w:p>
    <w:p w14:paraId="558B2793">
      <w:pPr>
        <w:pStyle w:val="462"/>
        <w:ind w:firstLine="1200" w:firstLineChars="500"/>
        <w:rPr>
          <w:rFonts w:hint="eastAsia"/>
          <w:color w:val="000000" w:themeColor="text1"/>
          <w14:textFill>
            <w14:solidFill>
              <w14:schemeClr w14:val="tx1"/>
            </w14:solidFill>
          </w14:textFill>
        </w:rPr>
      </w:pPr>
      <w:r>
        <w:rPr>
          <w:color w:val="000000" w:themeColor="text1"/>
          <w14:textFill>
            <w14:solidFill>
              <w14:schemeClr w14:val="tx1"/>
            </w14:solidFill>
          </w14:textFill>
        </w:rPr>
        <w:t>C</w:t>
      </w:r>
      <w:r>
        <w:rPr>
          <w:color w:val="000000" w:themeColor="text1"/>
          <w:vertAlign w:val="subscript"/>
          <w14:textFill>
            <w14:solidFill>
              <w14:schemeClr w14:val="tx1"/>
            </w14:solidFill>
          </w14:textFill>
        </w:rPr>
        <w:t>0</w:t>
      </w:r>
      <w:r>
        <w:rPr>
          <w:rFonts w:hint="eastAsia"/>
          <w:color w:val="000000" w:themeColor="text1"/>
          <w14:textFill>
            <w14:solidFill>
              <w14:schemeClr w14:val="tx1"/>
            </w14:solidFill>
          </w14:textFill>
        </w:rPr>
        <w:t>——注入的示踪剂浓度，</w:t>
      </w:r>
      <w:r>
        <w:rPr>
          <w:color w:val="000000" w:themeColor="text1"/>
          <w14:textFill>
            <w14:solidFill>
              <w14:schemeClr w14:val="tx1"/>
            </w14:solidFill>
          </w14:textFill>
        </w:rPr>
        <w:t>g/</w:t>
      </w:r>
      <w:r>
        <w:rPr>
          <w:rFonts w:hint="eastAsia"/>
          <w:color w:val="000000" w:themeColor="text1"/>
          <w14:textFill>
            <w14:solidFill>
              <w14:schemeClr w14:val="tx1"/>
            </w14:solidFill>
          </w14:textFill>
        </w:rPr>
        <w:t>L；参照美国石油协会石油烃标准化工作组TPHCWG（1997）中关于石油类污染物的溶解度等相关文献，本次取18mg/L为石油类可溶态污染物的最高浓度值，作为本次预测的源强。</w:t>
      </w:r>
    </w:p>
    <w:p w14:paraId="567A280A">
      <w:pPr>
        <w:pStyle w:val="462"/>
        <w:ind w:firstLine="1200" w:firstLineChars="500"/>
        <w:rPr>
          <w:rFonts w:hint="eastAsia"/>
          <w:color w:val="000000" w:themeColor="text1"/>
          <w14:textFill>
            <w14:solidFill>
              <w14:schemeClr w14:val="tx1"/>
            </w14:solidFill>
          </w14:textFill>
        </w:rPr>
      </w:pPr>
      <w:r>
        <w:rPr>
          <w:color w:val="000000" w:themeColor="text1"/>
          <w14:textFill>
            <w14:solidFill>
              <w14:schemeClr w14:val="tx1"/>
            </w14:solidFill>
          </w14:textFill>
        </w:rPr>
        <w:t>u</w:t>
      </w:r>
      <w:r>
        <w:rPr>
          <w:rFonts w:hint="eastAsia"/>
          <w:color w:val="000000" w:themeColor="text1"/>
          <w14:textFill>
            <w14:solidFill>
              <w14:schemeClr w14:val="tx1"/>
            </w14:solidFill>
          </w14:textFill>
        </w:rPr>
        <w:t>——水流速度，</w:t>
      </w:r>
      <w:r>
        <w:rPr>
          <w:color w:val="000000" w:themeColor="text1"/>
          <w14:textFill>
            <w14:solidFill>
              <w14:schemeClr w14:val="tx1"/>
            </w14:solidFill>
          </w14:textFill>
        </w:rPr>
        <w:t>m/d</w:t>
      </w:r>
      <w:r>
        <w:rPr>
          <w:rFonts w:hint="eastAsia"/>
          <w:color w:val="000000" w:themeColor="text1"/>
          <w14:textFill>
            <w14:solidFill>
              <w14:schemeClr w14:val="tx1"/>
            </w14:solidFill>
          </w14:textFill>
        </w:rPr>
        <w:t>；</w:t>
      </w:r>
    </w:p>
    <w:p w14:paraId="275EE838">
      <w:pPr>
        <w:pStyle w:val="462"/>
        <w:ind w:firstLine="1200" w:firstLineChars="500"/>
        <w:rPr>
          <w:rFonts w:hint="eastAsia"/>
          <w:color w:val="000000" w:themeColor="text1"/>
          <w14:textFill>
            <w14:solidFill>
              <w14:schemeClr w14:val="tx1"/>
            </w14:solidFill>
          </w14:textFill>
        </w:rPr>
      </w:pPr>
      <w:r>
        <w:rPr>
          <w:color w:val="000000" w:themeColor="text1"/>
          <w14:textFill>
            <w14:solidFill>
              <w14:schemeClr w14:val="tx1"/>
            </w14:solidFill>
          </w14:textFill>
        </w:rPr>
        <w:t>n</w:t>
      </w:r>
      <w:r>
        <w:rPr>
          <w:rFonts w:hint="eastAsia"/>
          <w:color w:val="000000" w:themeColor="text1"/>
          <w14:textFill>
            <w14:solidFill>
              <w14:schemeClr w14:val="tx1"/>
            </w14:solidFill>
          </w14:textFill>
        </w:rPr>
        <w:t>——有效孔隙度，无量纲；</w:t>
      </w:r>
    </w:p>
    <w:p w14:paraId="7EFF64FC">
      <w:pPr>
        <w:pStyle w:val="462"/>
        <w:ind w:firstLine="1200" w:firstLineChars="500"/>
        <w:rPr>
          <w:rFonts w:hint="eastAsia"/>
          <w:color w:val="000000" w:themeColor="text1"/>
          <w14:textFill>
            <w14:solidFill>
              <w14:schemeClr w14:val="tx1"/>
            </w14:solidFill>
          </w14:textFill>
        </w:rPr>
      </w:pPr>
      <w:r>
        <w:rPr>
          <w:color w:val="000000" w:themeColor="text1"/>
          <w14:textFill>
            <w14:solidFill>
              <w14:schemeClr w14:val="tx1"/>
            </w14:solidFill>
          </w14:textFill>
        </w:rPr>
        <w:t>D</w:t>
      </w:r>
      <w:r>
        <w:rPr>
          <w:color w:val="000000" w:themeColor="text1"/>
          <w:vertAlign w:val="subscript"/>
          <w14:textFill>
            <w14:solidFill>
              <w14:schemeClr w14:val="tx1"/>
            </w14:solidFill>
          </w14:textFill>
        </w:rPr>
        <w:t>L</w:t>
      </w:r>
      <w:r>
        <w:rPr>
          <w:rFonts w:hint="eastAsia"/>
          <w:color w:val="000000" w:themeColor="text1"/>
          <w14:textFill>
            <w14:solidFill>
              <w14:schemeClr w14:val="tx1"/>
            </w14:solidFill>
          </w14:textFill>
        </w:rPr>
        <w:t>—纵向弥散系数，</w:t>
      </w:r>
      <w:r>
        <w:rPr>
          <w:color w:val="000000" w:themeColor="text1"/>
          <w14:textFill>
            <w14:solidFill>
              <w14:schemeClr w14:val="tx1"/>
            </w14:solidFill>
          </w14:textFill>
        </w:rPr>
        <w:t>m</w:t>
      </w:r>
      <w:r>
        <w:rPr>
          <w:color w:val="000000" w:themeColor="text1"/>
          <w:vertAlign w:val="superscript"/>
          <w14:textFill>
            <w14:solidFill>
              <w14:schemeClr w14:val="tx1"/>
            </w14:solidFill>
          </w14:textFill>
        </w:rPr>
        <w:t>2</w:t>
      </w:r>
      <w:r>
        <w:rPr>
          <w:color w:val="000000" w:themeColor="text1"/>
          <w14:textFill>
            <w14:solidFill>
              <w14:schemeClr w14:val="tx1"/>
            </w14:solidFill>
          </w14:textFill>
        </w:rPr>
        <w:t>/d</w:t>
      </w:r>
      <w:r>
        <w:rPr>
          <w:rFonts w:hint="eastAsia"/>
          <w:color w:val="000000" w:themeColor="text1"/>
          <w14:textFill>
            <w14:solidFill>
              <w14:schemeClr w14:val="tx1"/>
            </w14:solidFill>
          </w14:textFill>
        </w:rPr>
        <w:t>；</w:t>
      </w:r>
    </w:p>
    <w:p w14:paraId="26D2240A">
      <w:pPr>
        <w:pStyle w:val="462"/>
        <w:ind w:firstLine="1200" w:firstLineChars="500"/>
        <w:rPr>
          <w:rFonts w:hint="eastAsia"/>
          <w:color w:val="000000" w:themeColor="text1"/>
          <w14:textFill>
            <w14:solidFill>
              <w14:schemeClr w14:val="tx1"/>
            </w14:solidFill>
          </w14:textFill>
        </w:rPr>
      </w:pPr>
      <w:r>
        <w:rPr>
          <w:color w:val="000000" w:themeColor="text1"/>
          <w14:textFill>
            <w14:solidFill>
              <w14:schemeClr w14:val="tx1"/>
            </w14:solidFill>
          </w14:textFill>
        </w:rPr>
        <w:t>erfc</w:t>
      </w:r>
      <w:r>
        <w:rPr>
          <w:rFonts w:hint="eastAsia"/>
          <w:color w:val="000000" w:themeColor="text1"/>
          <w14:textFill>
            <w14:solidFill>
              <w14:schemeClr w14:val="tx1"/>
            </w14:solidFill>
          </w14:textFill>
        </w:rPr>
        <w:t>（）—余误差函数。</w:t>
      </w:r>
    </w:p>
    <w:p w14:paraId="66BD5D49">
      <w:pPr>
        <w:pStyle w:val="117"/>
        <w:adjustRightInd w:val="0"/>
        <w:snapToGrid w:val="0"/>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模型中所需参数及来源见表5.2-9。</w:t>
      </w:r>
    </w:p>
    <w:p w14:paraId="09B0A891">
      <w:pPr>
        <w:pStyle w:val="109"/>
        <w:ind w:firstLine="40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表5.2-9  模型所需参数一览表</w:t>
      </w:r>
    </w:p>
    <w:tbl>
      <w:tblPr>
        <w:tblStyle w:val="51"/>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741"/>
        <w:gridCol w:w="994"/>
        <w:gridCol w:w="1558"/>
        <w:gridCol w:w="5437"/>
      </w:tblGrid>
      <w:tr w14:paraId="0FA2C79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425" w:type="pct"/>
            <w:vAlign w:val="center"/>
          </w:tcPr>
          <w:p w14:paraId="593F7D7E">
            <w:pPr>
              <w:pStyle w:val="286"/>
              <w:adjustRightInd w:val="0"/>
              <w:snapToGrid w:val="0"/>
              <w:spacing w:line="300" w:lineRule="exact"/>
              <w:rPr>
                <w:rFonts w:hint="eastAsia"/>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序号</w:t>
            </w:r>
          </w:p>
        </w:tc>
        <w:tc>
          <w:tcPr>
            <w:tcW w:w="569" w:type="pct"/>
            <w:vAlign w:val="center"/>
          </w:tcPr>
          <w:p w14:paraId="73BE3B2A">
            <w:pPr>
              <w:pStyle w:val="286"/>
              <w:adjustRightInd w:val="0"/>
              <w:snapToGrid w:val="0"/>
              <w:spacing w:line="300" w:lineRule="exact"/>
              <w:rPr>
                <w:rFonts w:hint="eastAsia"/>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参数符号</w:t>
            </w:r>
          </w:p>
        </w:tc>
        <w:tc>
          <w:tcPr>
            <w:tcW w:w="892" w:type="pct"/>
            <w:vAlign w:val="center"/>
          </w:tcPr>
          <w:p w14:paraId="63F0A5C7">
            <w:pPr>
              <w:pStyle w:val="286"/>
              <w:adjustRightInd w:val="0"/>
              <w:snapToGrid w:val="0"/>
              <w:spacing w:line="300" w:lineRule="exact"/>
              <w:rPr>
                <w:rFonts w:hint="eastAsia"/>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参数名称</w:t>
            </w:r>
          </w:p>
        </w:tc>
        <w:tc>
          <w:tcPr>
            <w:tcW w:w="3113" w:type="pct"/>
            <w:vAlign w:val="center"/>
          </w:tcPr>
          <w:p w14:paraId="2214B64F">
            <w:pPr>
              <w:pStyle w:val="286"/>
              <w:adjustRightInd w:val="0"/>
              <w:snapToGrid w:val="0"/>
              <w:spacing w:line="300" w:lineRule="exact"/>
              <w:rPr>
                <w:rFonts w:hint="eastAsia"/>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参考数值</w:t>
            </w:r>
          </w:p>
        </w:tc>
      </w:tr>
      <w:tr w14:paraId="0568347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425" w:type="pct"/>
            <w:vAlign w:val="center"/>
          </w:tcPr>
          <w:p w14:paraId="72CF01D4">
            <w:pPr>
              <w:pStyle w:val="286"/>
              <w:adjustRightInd w:val="0"/>
              <w:snapToGrid w:val="0"/>
              <w:spacing w:line="300" w:lineRule="exact"/>
              <w:rPr>
                <w:rFonts w:hint="eastAsia"/>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1</w:t>
            </w:r>
          </w:p>
        </w:tc>
        <w:tc>
          <w:tcPr>
            <w:tcW w:w="569" w:type="pct"/>
            <w:vAlign w:val="center"/>
          </w:tcPr>
          <w:p w14:paraId="0A862166">
            <w:pPr>
              <w:pStyle w:val="286"/>
              <w:adjustRightInd w:val="0"/>
              <w:snapToGrid w:val="0"/>
              <w:spacing w:line="300" w:lineRule="exact"/>
              <w:rPr>
                <w:rFonts w:hint="eastAsia"/>
                <w:color w:val="000000" w:themeColor="text1"/>
                <w:sz w:val="21"/>
                <w14:textFill>
                  <w14:solidFill>
                    <w14:schemeClr w14:val="tx1"/>
                  </w14:solidFill>
                </w14:textFill>
              </w:rPr>
            </w:pPr>
            <w:r>
              <w:rPr>
                <w:i/>
                <w:iCs/>
                <w:color w:val="000000" w:themeColor="text1"/>
                <w:sz w:val="21"/>
                <w14:textFill>
                  <w14:solidFill>
                    <w14:schemeClr w14:val="tx1"/>
                  </w14:solidFill>
                </w14:textFill>
              </w:rPr>
              <w:t>C</w:t>
            </w:r>
            <w:r>
              <w:rPr>
                <w:i/>
                <w:iCs/>
                <w:color w:val="000000" w:themeColor="text1"/>
                <w:sz w:val="21"/>
                <w:vertAlign w:val="subscript"/>
                <w14:textFill>
                  <w14:solidFill>
                    <w14:schemeClr w14:val="tx1"/>
                  </w14:solidFill>
                </w14:textFill>
              </w:rPr>
              <w:t>0</w:t>
            </w:r>
          </w:p>
        </w:tc>
        <w:tc>
          <w:tcPr>
            <w:tcW w:w="892" w:type="pct"/>
            <w:vAlign w:val="center"/>
          </w:tcPr>
          <w:p w14:paraId="56BBF170">
            <w:pPr>
              <w:pStyle w:val="286"/>
              <w:adjustRightInd w:val="0"/>
              <w:snapToGrid w:val="0"/>
              <w:spacing w:line="300" w:lineRule="exact"/>
              <w:rPr>
                <w:rFonts w:hint="eastAsia"/>
                <w:color w:val="000000" w:themeColor="text1"/>
                <w:sz w:val="21"/>
                <w14:textFill>
                  <w14:solidFill>
                    <w14:schemeClr w14:val="tx1"/>
                  </w14:solidFill>
                </w14:textFill>
              </w:rPr>
            </w:pPr>
            <w:r>
              <w:rPr>
                <w:rFonts w:hint="eastAsia"/>
                <w:color w:val="000000" w:themeColor="text1"/>
                <w:position w:val="2"/>
                <w:sz w:val="21"/>
                <w14:textFill>
                  <w14:solidFill>
                    <w14:schemeClr w14:val="tx1"/>
                  </w14:solidFill>
                </w14:textFill>
              </w:rPr>
              <w:t>污染物浓度</w:t>
            </w:r>
          </w:p>
        </w:tc>
        <w:tc>
          <w:tcPr>
            <w:tcW w:w="3113" w:type="pct"/>
            <w:vAlign w:val="center"/>
          </w:tcPr>
          <w:p w14:paraId="032A360D">
            <w:pPr>
              <w:pStyle w:val="286"/>
              <w:adjustRightInd w:val="0"/>
              <w:snapToGrid w:val="0"/>
              <w:spacing w:line="300" w:lineRule="exact"/>
              <w:rPr>
                <w:rFonts w:hint="eastAsia"/>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18mg/L（参照美国石油协会石油烃标准化工作组TPHCWG（1997）中关于石油类污染物的溶解度等相关文献）</w:t>
            </w:r>
          </w:p>
        </w:tc>
      </w:tr>
      <w:tr w14:paraId="7EDAAA1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425" w:type="pct"/>
            <w:vAlign w:val="center"/>
          </w:tcPr>
          <w:p w14:paraId="09B1855D">
            <w:pPr>
              <w:pStyle w:val="286"/>
              <w:adjustRightInd w:val="0"/>
              <w:snapToGrid w:val="0"/>
              <w:spacing w:line="300" w:lineRule="exact"/>
              <w:rPr>
                <w:rFonts w:hint="eastAsia"/>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2</w:t>
            </w:r>
          </w:p>
        </w:tc>
        <w:tc>
          <w:tcPr>
            <w:tcW w:w="569" w:type="pct"/>
            <w:vAlign w:val="center"/>
          </w:tcPr>
          <w:p w14:paraId="7A55F9DE">
            <w:pPr>
              <w:pStyle w:val="286"/>
              <w:adjustRightInd w:val="0"/>
              <w:snapToGrid w:val="0"/>
              <w:spacing w:line="300" w:lineRule="exact"/>
              <w:rPr>
                <w:rFonts w:hint="eastAsia"/>
                <w:color w:val="000000" w:themeColor="text1"/>
                <w:sz w:val="21"/>
                <w14:textFill>
                  <w14:solidFill>
                    <w14:schemeClr w14:val="tx1"/>
                  </w14:solidFill>
                </w14:textFill>
              </w:rPr>
            </w:pPr>
            <w:r>
              <w:rPr>
                <w:color w:val="000000" w:themeColor="text1"/>
                <w:sz w:val="21"/>
                <w14:textFill>
                  <w14:solidFill>
                    <w14:schemeClr w14:val="tx1"/>
                  </w14:solidFill>
                </w14:textFill>
              </w:rPr>
              <w:t>t</w:t>
            </w:r>
          </w:p>
        </w:tc>
        <w:tc>
          <w:tcPr>
            <w:tcW w:w="892" w:type="pct"/>
            <w:vAlign w:val="center"/>
          </w:tcPr>
          <w:p w14:paraId="4F5FBA54">
            <w:pPr>
              <w:pStyle w:val="286"/>
              <w:adjustRightInd w:val="0"/>
              <w:snapToGrid w:val="0"/>
              <w:spacing w:line="300" w:lineRule="exact"/>
              <w:rPr>
                <w:rFonts w:hint="eastAsia"/>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时间</w:t>
            </w:r>
          </w:p>
        </w:tc>
        <w:tc>
          <w:tcPr>
            <w:tcW w:w="3113" w:type="pct"/>
            <w:vAlign w:val="center"/>
          </w:tcPr>
          <w:p w14:paraId="267C050E">
            <w:pPr>
              <w:pStyle w:val="286"/>
              <w:adjustRightInd w:val="0"/>
              <w:snapToGrid w:val="0"/>
              <w:spacing w:line="300" w:lineRule="exact"/>
              <w:rPr>
                <w:rFonts w:hint="eastAsia"/>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100d、1000d</w:t>
            </w:r>
          </w:p>
        </w:tc>
      </w:tr>
      <w:tr w14:paraId="3F5788E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425" w:type="pct"/>
            <w:vAlign w:val="center"/>
          </w:tcPr>
          <w:p w14:paraId="25BB7964">
            <w:pPr>
              <w:pStyle w:val="286"/>
              <w:adjustRightInd w:val="0"/>
              <w:snapToGrid w:val="0"/>
              <w:spacing w:line="300" w:lineRule="exact"/>
              <w:rPr>
                <w:rFonts w:hint="eastAsia"/>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3</w:t>
            </w:r>
          </w:p>
        </w:tc>
        <w:tc>
          <w:tcPr>
            <w:tcW w:w="569" w:type="pct"/>
            <w:vAlign w:val="center"/>
          </w:tcPr>
          <w:p w14:paraId="242CA6C1">
            <w:pPr>
              <w:pStyle w:val="286"/>
              <w:adjustRightInd w:val="0"/>
              <w:snapToGrid w:val="0"/>
              <w:spacing w:line="300" w:lineRule="exact"/>
              <w:rPr>
                <w:rFonts w:hint="eastAsia"/>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u</w:t>
            </w:r>
          </w:p>
        </w:tc>
        <w:tc>
          <w:tcPr>
            <w:tcW w:w="892" w:type="pct"/>
            <w:vAlign w:val="center"/>
          </w:tcPr>
          <w:p w14:paraId="60060125">
            <w:pPr>
              <w:pStyle w:val="286"/>
              <w:adjustRightInd w:val="0"/>
              <w:snapToGrid w:val="0"/>
              <w:spacing w:line="300" w:lineRule="exact"/>
              <w:rPr>
                <w:rFonts w:hint="eastAsia"/>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水流速度</w:t>
            </w:r>
          </w:p>
        </w:tc>
        <w:tc>
          <w:tcPr>
            <w:tcW w:w="3113" w:type="pct"/>
            <w:vAlign w:val="center"/>
          </w:tcPr>
          <w:p w14:paraId="6166C9C6">
            <w:pPr>
              <w:pStyle w:val="286"/>
              <w:adjustRightInd w:val="0"/>
              <w:snapToGrid w:val="0"/>
              <w:spacing w:line="300" w:lineRule="exact"/>
              <w:rPr>
                <w:rFonts w:hint="eastAsia"/>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0.33m/d</w:t>
            </w:r>
          </w:p>
        </w:tc>
      </w:tr>
      <w:tr w14:paraId="103990B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425" w:type="pct"/>
            <w:vAlign w:val="center"/>
          </w:tcPr>
          <w:p w14:paraId="1C2B9C79">
            <w:pPr>
              <w:pStyle w:val="286"/>
              <w:adjustRightInd w:val="0"/>
              <w:snapToGrid w:val="0"/>
              <w:spacing w:line="300" w:lineRule="exact"/>
              <w:rPr>
                <w:rFonts w:hint="eastAsia"/>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4</w:t>
            </w:r>
          </w:p>
        </w:tc>
        <w:tc>
          <w:tcPr>
            <w:tcW w:w="569" w:type="pct"/>
            <w:vAlign w:val="center"/>
          </w:tcPr>
          <w:p w14:paraId="501E9B48">
            <w:pPr>
              <w:pStyle w:val="286"/>
              <w:adjustRightInd w:val="0"/>
              <w:snapToGrid w:val="0"/>
              <w:spacing w:line="300" w:lineRule="exact"/>
              <w:rPr>
                <w:rFonts w:hint="eastAsia"/>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D</w:t>
            </w:r>
            <w:r>
              <w:rPr>
                <w:rFonts w:hint="eastAsia"/>
                <w:color w:val="000000" w:themeColor="text1"/>
                <w:sz w:val="21"/>
                <w:vertAlign w:val="subscript"/>
                <w14:textFill>
                  <w14:solidFill>
                    <w14:schemeClr w14:val="tx1"/>
                  </w14:solidFill>
                </w14:textFill>
              </w:rPr>
              <w:t>L</w:t>
            </w:r>
          </w:p>
        </w:tc>
        <w:tc>
          <w:tcPr>
            <w:tcW w:w="892" w:type="pct"/>
            <w:vAlign w:val="center"/>
          </w:tcPr>
          <w:p w14:paraId="41380461">
            <w:pPr>
              <w:pStyle w:val="286"/>
              <w:adjustRightInd w:val="0"/>
              <w:snapToGrid w:val="0"/>
              <w:spacing w:line="300" w:lineRule="exact"/>
              <w:rPr>
                <w:rFonts w:hint="eastAsia"/>
                <w:color w:val="000000" w:themeColor="text1"/>
                <w:sz w:val="21"/>
                <w14:textFill>
                  <w14:solidFill>
                    <w14:schemeClr w14:val="tx1"/>
                  </w14:solidFill>
                </w14:textFill>
              </w:rPr>
            </w:pPr>
            <w:r>
              <w:rPr>
                <w:rFonts w:hint="eastAsia"/>
                <w:color w:val="000000" w:themeColor="text1"/>
                <w:spacing w:val="-1"/>
                <w:sz w:val="21"/>
                <w14:textFill>
                  <w14:solidFill>
                    <w14:schemeClr w14:val="tx1"/>
                  </w14:solidFill>
                </w14:textFill>
              </w:rPr>
              <w:t>纵向弥散系数</w:t>
            </w:r>
          </w:p>
        </w:tc>
        <w:tc>
          <w:tcPr>
            <w:tcW w:w="3113" w:type="pct"/>
            <w:vAlign w:val="center"/>
          </w:tcPr>
          <w:p w14:paraId="1D0CD44F">
            <w:pPr>
              <w:pStyle w:val="286"/>
              <w:adjustRightInd w:val="0"/>
              <w:snapToGrid w:val="0"/>
              <w:spacing w:line="300" w:lineRule="exact"/>
              <w:rPr>
                <w:rFonts w:hint="eastAsia"/>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0.12m</w:t>
            </w:r>
            <w:r>
              <w:rPr>
                <w:rFonts w:hint="eastAsia"/>
                <w:color w:val="000000" w:themeColor="text1"/>
                <w:sz w:val="21"/>
                <w:vertAlign w:val="superscript"/>
                <w14:textFill>
                  <w14:solidFill>
                    <w14:schemeClr w14:val="tx1"/>
                  </w14:solidFill>
                </w14:textFill>
              </w:rPr>
              <w:t>2</w:t>
            </w:r>
            <w:r>
              <w:rPr>
                <w:rFonts w:hint="eastAsia"/>
                <w:color w:val="000000" w:themeColor="text1"/>
                <w:sz w:val="21"/>
                <w14:textFill>
                  <w14:solidFill>
                    <w14:schemeClr w14:val="tx1"/>
                  </w14:solidFill>
                </w14:textFill>
              </w:rPr>
              <w:t>/d</w:t>
            </w:r>
          </w:p>
        </w:tc>
      </w:tr>
      <w:tr w14:paraId="5438837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425" w:type="pct"/>
            <w:vAlign w:val="center"/>
          </w:tcPr>
          <w:p w14:paraId="0B71E1A0">
            <w:pPr>
              <w:pStyle w:val="286"/>
              <w:adjustRightInd w:val="0"/>
              <w:snapToGrid w:val="0"/>
              <w:spacing w:line="300" w:lineRule="exact"/>
              <w:rPr>
                <w:rFonts w:hint="eastAsia"/>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5</w:t>
            </w:r>
          </w:p>
        </w:tc>
        <w:tc>
          <w:tcPr>
            <w:tcW w:w="569" w:type="pct"/>
            <w:vAlign w:val="center"/>
          </w:tcPr>
          <w:p w14:paraId="2AE9777D">
            <w:pPr>
              <w:pStyle w:val="286"/>
              <w:adjustRightInd w:val="0"/>
              <w:snapToGrid w:val="0"/>
              <w:spacing w:line="300" w:lineRule="exact"/>
              <w:rPr>
                <w:rFonts w:hint="eastAsia"/>
                <w:color w:val="000000" w:themeColor="text1"/>
                <w:sz w:val="21"/>
                <w14:textFill>
                  <w14:solidFill>
                    <w14:schemeClr w14:val="tx1"/>
                  </w14:solidFill>
                </w14:textFill>
              </w:rPr>
            </w:pPr>
            <w:r>
              <w:rPr>
                <w:color w:val="000000" w:themeColor="text1"/>
                <w:position w:val="2"/>
                <w:sz w:val="21"/>
                <w14:textFill>
                  <w14:solidFill>
                    <w14:schemeClr w14:val="tx1"/>
                  </w14:solidFill>
                </w14:textFill>
              </w:rPr>
              <w:t>n</w:t>
            </w:r>
            <w:r>
              <w:rPr>
                <w:color w:val="000000" w:themeColor="text1"/>
                <w:sz w:val="21"/>
                <w:vertAlign w:val="subscript"/>
                <w14:textFill>
                  <w14:solidFill>
                    <w14:schemeClr w14:val="tx1"/>
                  </w14:solidFill>
                </w14:textFill>
              </w:rPr>
              <w:t>e</w:t>
            </w:r>
          </w:p>
        </w:tc>
        <w:tc>
          <w:tcPr>
            <w:tcW w:w="892" w:type="pct"/>
            <w:vAlign w:val="center"/>
          </w:tcPr>
          <w:p w14:paraId="5999D15F">
            <w:pPr>
              <w:pStyle w:val="286"/>
              <w:adjustRightInd w:val="0"/>
              <w:snapToGrid w:val="0"/>
              <w:spacing w:line="300" w:lineRule="exact"/>
              <w:rPr>
                <w:rFonts w:hint="eastAsia"/>
                <w:color w:val="000000" w:themeColor="text1"/>
                <w:sz w:val="21"/>
                <w14:textFill>
                  <w14:solidFill>
                    <w14:schemeClr w14:val="tx1"/>
                  </w14:solidFill>
                </w14:textFill>
              </w:rPr>
            </w:pPr>
            <w:r>
              <w:rPr>
                <w:rFonts w:hint="eastAsia"/>
                <w:color w:val="000000" w:themeColor="text1"/>
                <w:spacing w:val="-1"/>
                <w:sz w:val="21"/>
                <w14:textFill>
                  <w14:solidFill>
                    <w14:schemeClr w14:val="tx1"/>
                  </w14:solidFill>
                </w14:textFill>
              </w:rPr>
              <w:t>有效孔隙度</w:t>
            </w:r>
          </w:p>
        </w:tc>
        <w:tc>
          <w:tcPr>
            <w:tcW w:w="3113" w:type="pct"/>
            <w:vAlign w:val="center"/>
          </w:tcPr>
          <w:p w14:paraId="7D0216FB">
            <w:pPr>
              <w:pStyle w:val="286"/>
              <w:adjustRightInd w:val="0"/>
              <w:snapToGrid w:val="0"/>
              <w:spacing w:line="300" w:lineRule="exact"/>
              <w:rPr>
                <w:rFonts w:hint="eastAsia"/>
                <w:color w:val="000000" w:themeColor="text1"/>
                <w:sz w:val="21"/>
                <w14:textFill>
                  <w14:solidFill>
                    <w14:schemeClr w14:val="tx1"/>
                  </w14:solidFill>
                </w14:textFill>
              </w:rPr>
            </w:pPr>
            <w:r>
              <w:rPr>
                <w:color w:val="000000" w:themeColor="text1"/>
                <w:sz w:val="21"/>
                <w14:textFill>
                  <w14:solidFill>
                    <w14:schemeClr w14:val="tx1"/>
                  </w14:solidFill>
                </w14:textFill>
              </w:rPr>
              <w:t>0.</w:t>
            </w:r>
            <w:r>
              <w:rPr>
                <w:rFonts w:hint="eastAsia"/>
                <w:color w:val="000000" w:themeColor="text1"/>
                <w:sz w:val="21"/>
                <w14:textFill>
                  <w14:solidFill>
                    <w14:schemeClr w14:val="tx1"/>
                  </w14:solidFill>
                </w14:textFill>
              </w:rPr>
              <w:t>12</w:t>
            </w:r>
          </w:p>
        </w:tc>
      </w:tr>
    </w:tbl>
    <w:p w14:paraId="1718FFE5">
      <w:pPr>
        <w:pStyle w:val="117"/>
        <w:tabs>
          <w:tab w:val="left" w:pos="709"/>
        </w:tabs>
        <w:adjustRightInd w:val="0"/>
        <w:snapToGrid w:val="0"/>
        <w:ind w:firstLine="480"/>
        <w:rPr>
          <w:rFonts w:hint="eastAsia"/>
          <w:bCs/>
          <w:color w:val="000000" w:themeColor="text1"/>
          <w14:textFill>
            <w14:solidFill>
              <w14:schemeClr w14:val="tx1"/>
            </w14:solidFill>
          </w14:textFill>
        </w:rPr>
      </w:pPr>
      <w:r>
        <w:rPr>
          <w:rFonts w:hint="eastAsia"/>
          <w:color w:val="000000" w:themeColor="text1"/>
          <w14:textFill>
            <w14:solidFill>
              <w14:schemeClr w14:val="tx1"/>
            </w14:solidFill>
          </w14:textFill>
        </w:rPr>
        <w:t>当油水窜层发生泄漏时，石油类物质经过100d和1000d后在地下水中的扩散结果见表5.2-10。</w:t>
      </w:r>
    </w:p>
    <w:p w14:paraId="351DB17C">
      <w:pPr>
        <w:pStyle w:val="109"/>
        <w:ind w:firstLine="400"/>
        <w:rPr>
          <w:rFonts w:hint="eastAsia"/>
          <w:color w:val="000000" w:themeColor="text1"/>
          <w14:textFill>
            <w14:solidFill>
              <w14:schemeClr w14:val="tx1"/>
            </w14:solidFill>
          </w14:textFill>
        </w:rPr>
      </w:pPr>
    </w:p>
    <w:p w14:paraId="4F2EABDA">
      <w:pPr>
        <w:pStyle w:val="109"/>
        <w:ind w:firstLine="40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表5.2-10</w:t>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地下水影响预测结果一览表</w:t>
      </w:r>
    </w:p>
    <w:tbl>
      <w:tblPr>
        <w:tblStyle w:val="51"/>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0" w:type="dxa"/>
          <w:bottom w:w="0" w:type="dxa"/>
          <w:right w:w="0" w:type="dxa"/>
        </w:tblCellMar>
      </w:tblPr>
      <w:tblGrid>
        <w:gridCol w:w="1171"/>
        <w:gridCol w:w="850"/>
        <w:gridCol w:w="1109"/>
        <w:gridCol w:w="1853"/>
        <w:gridCol w:w="1853"/>
        <w:gridCol w:w="1894"/>
      </w:tblGrid>
      <w:tr w14:paraId="368F729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29" w:hRule="atLeast"/>
          <w:jc w:val="center"/>
        </w:trPr>
        <w:tc>
          <w:tcPr>
            <w:tcW w:w="671" w:type="pct"/>
            <w:tcBorders>
              <w:right w:val="single" w:color="auto" w:sz="4" w:space="0"/>
            </w:tcBorders>
            <w:vAlign w:val="center"/>
          </w:tcPr>
          <w:p w14:paraId="4C83A0D0">
            <w:pPr>
              <w:widowControl/>
              <w:adjustRightInd w:val="0"/>
              <w:snapToGrid w:val="0"/>
              <w:spacing w:line="30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泄漏点名称</w:t>
            </w:r>
          </w:p>
        </w:tc>
        <w:tc>
          <w:tcPr>
            <w:tcW w:w="487" w:type="pct"/>
            <w:tcBorders>
              <w:right w:val="single" w:color="auto" w:sz="4" w:space="0"/>
            </w:tcBorders>
            <w:vAlign w:val="center"/>
          </w:tcPr>
          <w:p w14:paraId="70BD2480">
            <w:pPr>
              <w:widowControl/>
              <w:adjustRightInd w:val="0"/>
              <w:snapToGrid w:val="0"/>
              <w:spacing w:line="30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污染物</w:t>
            </w:r>
          </w:p>
        </w:tc>
        <w:tc>
          <w:tcPr>
            <w:tcW w:w="635" w:type="pct"/>
            <w:vAlign w:val="center"/>
          </w:tcPr>
          <w:p w14:paraId="232E33A5">
            <w:pPr>
              <w:widowControl/>
              <w:adjustRightInd w:val="0"/>
              <w:snapToGrid w:val="0"/>
              <w:spacing w:line="30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预测时间d</w:t>
            </w:r>
          </w:p>
        </w:tc>
        <w:tc>
          <w:tcPr>
            <w:tcW w:w="1061" w:type="pct"/>
            <w:tcBorders>
              <w:left w:val="single" w:color="auto" w:sz="4" w:space="0"/>
              <w:right w:val="single" w:color="auto" w:sz="4" w:space="0"/>
            </w:tcBorders>
          </w:tcPr>
          <w:p w14:paraId="3E7FFF35">
            <w:pPr>
              <w:widowControl/>
              <w:adjustRightInd w:val="0"/>
              <w:snapToGrid w:val="0"/>
              <w:spacing w:line="30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下游达标浓度</w:t>
            </w:r>
          </w:p>
          <w:p w14:paraId="4F6E6BEB">
            <w:pPr>
              <w:widowControl/>
              <w:adjustRightInd w:val="0"/>
              <w:snapToGrid w:val="0"/>
              <w:spacing w:line="30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（mg/L）</w:t>
            </w:r>
          </w:p>
        </w:tc>
        <w:tc>
          <w:tcPr>
            <w:tcW w:w="1061" w:type="pct"/>
            <w:tcBorders>
              <w:left w:val="single" w:color="auto" w:sz="4" w:space="0"/>
              <w:right w:val="single" w:color="auto" w:sz="4" w:space="0"/>
            </w:tcBorders>
            <w:vAlign w:val="center"/>
          </w:tcPr>
          <w:p w14:paraId="5A2F0424">
            <w:pPr>
              <w:widowControl/>
              <w:adjustRightInd w:val="0"/>
              <w:snapToGrid w:val="0"/>
              <w:spacing w:line="30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下游达标浓度对应距离（m）</w:t>
            </w:r>
          </w:p>
        </w:tc>
        <w:tc>
          <w:tcPr>
            <w:tcW w:w="1085" w:type="pct"/>
            <w:tcBorders>
              <w:left w:val="single" w:color="auto" w:sz="4" w:space="0"/>
            </w:tcBorders>
            <w:vAlign w:val="center"/>
          </w:tcPr>
          <w:p w14:paraId="58BEB6E3">
            <w:pPr>
              <w:adjustRightInd w:val="0"/>
              <w:snapToGrid w:val="0"/>
              <w:spacing w:line="30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Ⅲ类标准</w:t>
            </w:r>
          </w:p>
          <w:p w14:paraId="277B0C31">
            <w:pPr>
              <w:adjustRightInd w:val="0"/>
              <w:snapToGrid w:val="0"/>
              <w:spacing w:line="30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（mg/L）</w:t>
            </w:r>
          </w:p>
        </w:tc>
      </w:tr>
      <w:tr w14:paraId="5D546E7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29" w:hRule="atLeast"/>
          <w:jc w:val="center"/>
        </w:trPr>
        <w:tc>
          <w:tcPr>
            <w:tcW w:w="671" w:type="pct"/>
            <w:vMerge w:val="restart"/>
            <w:tcBorders>
              <w:right w:val="single" w:color="auto" w:sz="4" w:space="0"/>
            </w:tcBorders>
            <w:vAlign w:val="center"/>
          </w:tcPr>
          <w:p w14:paraId="382BECF0">
            <w:pPr>
              <w:widowControl/>
              <w:adjustRightInd w:val="0"/>
              <w:snapToGrid w:val="0"/>
              <w:spacing w:line="300" w:lineRule="exact"/>
              <w:jc w:val="center"/>
              <w:rPr>
                <w:rFonts w:hint="eastAsia" w:ascii="宋体" w:hAnsi="宋体" w:cs="宋体"/>
                <w:color w:val="000000" w:themeColor="text1"/>
                <w:szCs w:val="21"/>
                <w14:textFill>
                  <w14:solidFill>
                    <w14:schemeClr w14:val="tx1"/>
                  </w14:solidFill>
                </w14:textFill>
              </w:rPr>
            </w:pPr>
            <w:r>
              <w:rPr>
                <w:rFonts w:hint="eastAsia"/>
                <w:color w:val="000000" w:themeColor="text1"/>
                <w14:textFill>
                  <w14:solidFill>
                    <w14:schemeClr w14:val="tx1"/>
                  </w14:solidFill>
                </w14:textFill>
              </w:rPr>
              <w:t>油水窜层</w:t>
            </w:r>
          </w:p>
        </w:tc>
        <w:tc>
          <w:tcPr>
            <w:tcW w:w="487" w:type="pct"/>
            <w:vMerge w:val="restart"/>
            <w:tcBorders>
              <w:right w:val="single" w:color="auto" w:sz="4" w:space="0"/>
            </w:tcBorders>
            <w:vAlign w:val="center"/>
          </w:tcPr>
          <w:p w14:paraId="082D841D">
            <w:pPr>
              <w:widowControl/>
              <w:adjustRightInd w:val="0"/>
              <w:snapToGrid w:val="0"/>
              <w:spacing w:line="30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石油类</w:t>
            </w:r>
          </w:p>
        </w:tc>
        <w:tc>
          <w:tcPr>
            <w:tcW w:w="635" w:type="pct"/>
            <w:vAlign w:val="center"/>
          </w:tcPr>
          <w:p w14:paraId="5532069B">
            <w:pPr>
              <w:widowControl/>
              <w:adjustRightInd w:val="0"/>
              <w:snapToGrid w:val="0"/>
              <w:spacing w:line="30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100</w:t>
            </w:r>
          </w:p>
        </w:tc>
        <w:tc>
          <w:tcPr>
            <w:tcW w:w="1061" w:type="pct"/>
            <w:tcBorders>
              <w:left w:val="single" w:color="auto" w:sz="4" w:space="0"/>
              <w:right w:val="single" w:color="auto" w:sz="4" w:space="0"/>
            </w:tcBorders>
          </w:tcPr>
          <w:p w14:paraId="7B343961">
            <w:pPr>
              <w:adjustRightInd w:val="0"/>
              <w:snapToGrid w:val="0"/>
              <w:spacing w:line="30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0.0384</w:t>
            </w:r>
          </w:p>
        </w:tc>
        <w:tc>
          <w:tcPr>
            <w:tcW w:w="1061" w:type="pct"/>
            <w:tcBorders>
              <w:left w:val="single" w:color="auto" w:sz="4" w:space="0"/>
              <w:right w:val="single" w:color="auto" w:sz="4" w:space="0"/>
            </w:tcBorders>
            <w:vAlign w:val="center"/>
          </w:tcPr>
          <w:p w14:paraId="1D8A2C9C">
            <w:pPr>
              <w:adjustRightInd w:val="0"/>
              <w:snapToGrid w:val="0"/>
              <w:spacing w:line="30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47</w:t>
            </w:r>
          </w:p>
        </w:tc>
        <w:tc>
          <w:tcPr>
            <w:tcW w:w="1085" w:type="pct"/>
            <w:vMerge w:val="restart"/>
            <w:tcBorders>
              <w:left w:val="single" w:color="auto" w:sz="4" w:space="0"/>
            </w:tcBorders>
            <w:vAlign w:val="center"/>
          </w:tcPr>
          <w:p w14:paraId="58DE2593">
            <w:pPr>
              <w:adjustRightInd w:val="0"/>
              <w:snapToGrid w:val="0"/>
              <w:spacing w:line="30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≤0.05</w:t>
            </w:r>
          </w:p>
        </w:tc>
      </w:tr>
      <w:tr w14:paraId="1E51B6A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29" w:hRule="atLeast"/>
          <w:jc w:val="center"/>
        </w:trPr>
        <w:tc>
          <w:tcPr>
            <w:tcW w:w="671" w:type="pct"/>
            <w:vMerge w:val="continue"/>
            <w:tcBorders>
              <w:right w:val="single" w:color="auto" w:sz="4" w:space="0"/>
            </w:tcBorders>
            <w:vAlign w:val="center"/>
          </w:tcPr>
          <w:p w14:paraId="0B1F9571">
            <w:pPr>
              <w:widowControl/>
              <w:adjustRightInd w:val="0"/>
              <w:snapToGrid w:val="0"/>
              <w:spacing w:line="300" w:lineRule="exact"/>
              <w:jc w:val="center"/>
              <w:rPr>
                <w:rFonts w:hint="eastAsia" w:ascii="宋体" w:hAnsi="宋体" w:cs="宋体"/>
                <w:color w:val="000000" w:themeColor="text1"/>
                <w:szCs w:val="21"/>
                <w14:textFill>
                  <w14:solidFill>
                    <w14:schemeClr w14:val="tx1"/>
                  </w14:solidFill>
                </w14:textFill>
              </w:rPr>
            </w:pPr>
          </w:p>
        </w:tc>
        <w:tc>
          <w:tcPr>
            <w:tcW w:w="487" w:type="pct"/>
            <w:vMerge w:val="continue"/>
            <w:tcBorders>
              <w:right w:val="single" w:color="auto" w:sz="4" w:space="0"/>
            </w:tcBorders>
            <w:vAlign w:val="center"/>
          </w:tcPr>
          <w:p w14:paraId="55B4D655">
            <w:pPr>
              <w:widowControl/>
              <w:adjustRightInd w:val="0"/>
              <w:snapToGrid w:val="0"/>
              <w:spacing w:line="300" w:lineRule="exact"/>
              <w:jc w:val="center"/>
              <w:rPr>
                <w:rFonts w:hint="eastAsia" w:ascii="宋体" w:hAnsi="宋体" w:cs="宋体"/>
                <w:color w:val="000000" w:themeColor="text1"/>
                <w:szCs w:val="21"/>
                <w14:textFill>
                  <w14:solidFill>
                    <w14:schemeClr w14:val="tx1"/>
                  </w14:solidFill>
                </w14:textFill>
              </w:rPr>
            </w:pPr>
          </w:p>
        </w:tc>
        <w:tc>
          <w:tcPr>
            <w:tcW w:w="635" w:type="pct"/>
            <w:vAlign w:val="center"/>
          </w:tcPr>
          <w:p w14:paraId="158F6342">
            <w:pPr>
              <w:widowControl/>
              <w:adjustRightInd w:val="0"/>
              <w:snapToGrid w:val="0"/>
              <w:spacing w:line="30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1000</w:t>
            </w:r>
          </w:p>
        </w:tc>
        <w:tc>
          <w:tcPr>
            <w:tcW w:w="1061" w:type="pct"/>
            <w:tcBorders>
              <w:left w:val="single" w:color="auto" w:sz="4" w:space="0"/>
              <w:right w:val="single" w:color="auto" w:sz="4" w:space="0"/>
            </w:tcBorders>
          </w:tcPr>
          <w:p w14:paraId="38DF8F6D">
            <w:pPr>
              <w:adjustRightInd w:val="0"/>
              <w:snapToGrid w:val="0"/>
              <w:spacing w:line="30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0.0406</w:t>
            </w:r>
          </w:p>
        </w:tc>
        <w:tc>
          <w:tcPr>
            <w:tcW w:w="1061" w:type="pct"/>
            <w:tcBorders>
              <w:left w:val="single" w:color="auto" w:sz="4" w:space="0"/>
              <w:right w:val="single" w:color="auto" w:sz="4" w:space="0"/>
            </w:tcBorders>
            <w:vAlign w:val="center"/>
          </w:tcPr>
          <w:p w14:paraId="738E2821">
            <w:pPr>
              <w:adjustRightInd w:val="0"/>
              <w:snapToGrid w:val="0"/>
              <w:spacing w:line="30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374</w:t>
            </w:r>
          </w:p>
        </w:tc>
        <w:tc>
          <w:tcPr>
            <w:tcW w:w="1085" w:type="pct"/>
            <w:vMerge w:val="continue"/>
            <w:tcBorders>
              <w:left w:val="single" w:color="auto" w:sz="4" w:space="0"/>
            </w:tcBorders>
            <w:vAlign w:val="center"/>
          </w:tcPr>
          <w:p w14:paraId="2FA66A88">
            <w:pPr>
              <w:adjustRightInd w:val="0"/>
              <w:snapToGrid w:val="0"/>
              <w:spacing w:line="300" w:lineRule="exact"/>
              <w:jc w:val="center"/>
              <w:rPr>
                <w:rFonts w:hint="eastAsia" w:ascii="宋体" w:hAnsi="宋体" w:cs="宋体"/>
                <w:color w:val="000000" w:themeColor="text1"/>
                <w:szCs w:val="21"/>
                <w14:textFill>
                  <w14:solidFill>
                    <w14:schemeClr w14:val="tx1"/>
                  </w14:solidFill>
                </w14:textFill>
              </w:rPr>
            </w:pPr>
          </w:p>
        </w:tc>
      </w:tr>
    </w:tbl>
    <w:p w14:paraId="3FD8F6F1">
      <w:pPr>
        <w:pStyle w:val="117"/>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从预测结果可知：随着时间的增加，污染范围有所增加，油水窜层发生泄漏后100d和1000d下游石油类达标时对应的距离分别为47m和374m。采油井套管发生泄漏后，采出液中的石油类在含水层中的迁移随着时间、距离增加，污染物污染范围也呈增加趋势。由于项目区地下水影响范围内无集中式饮用水源和分散式饮用水源地等地下水环境保护目标，流经的孔隙、裂隙对石油类的拦截作用，进入含水层的石油类量是有限的。为防止套管破损污染地下水，表层套管严格封闭含水层，定期维护，定期检查固井质量，保证其合格，若发现固井质量不合格以及套管破损的情况后，及时进行修复，尽量避免窜层污染到泄漏点周边区域内的地下水。</w:t>
      </w:r>
    </w:p>
    <w:p w14:paraId="01863FF7">
      <w:pPr>
        <w:pStyle w:val="117"/>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（3）回注井对地下水环境影响分析</w:t>
      </w:r>
    </w:p>
    <w:p w14:paraId="165093FD">
      <w:pPr>
        <w:pStyle w:val="117"/>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注采井和注气井回注的介质均为气体，基本不会对地下水环境产生不利影响。</w:t>
      </w:r>
    </w:p>
    <w:p w14:paraId="2C4A1FAA">
      <w:pPr>
        <w:pStyle w:val="117"/>
        <w:ind w:firstLine="480" w:firstLineChars="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①注水井井筒完整性分析</w:t>
      </w:r>
    </w:p>
    <w:p w14:paraId="32AD7811">
      <w:pPr>
        <w:pStyle w:val="117"/>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注水井</w:t>
      </w:r>
      <w:r>
        <w:rPr>
          <w:color w:val="000000" w:themeColor="text1"/>
          <w14:textFill>
            <w14:solidFill>
              <w14:schemeClr w14:val="tx1"/>
            </w14:solidFill>
          </w14:textFill>
        </w:rPr>
        <w:t>JHW00421</w:t>
      </w:r>
      <w:r>
        <w:rPr>
          <w:rFonts w:hint="eastAsia"/>
          <w:color w:val="000000" w:themeColor="text1"/>
          <w14:textFill>
            <w14:solidFill>
              <w14:schemeClr w14:val="tx1"/>
            </w14:solidFill>
          </w14:textFill>
        </w:rPr>
        <w:t>和</w:t>
      </w:r>
      <w:r>
        <w:rPr>
          <w:color w:val="000000" w:themeColor="text1"/>
          <w14:textFill>
            <w14:solidFill>
              <w14:schemeClr w14:val="tx1"/>
            </w14:solidFill>
          </w14:textFill>
        </w:rPr>
        <w:t>JHW034</w:t>
      </w:r>
      <w:r>
        <w:rPr>
          <w:rFonts w:hint="eastAsia"/>
          <w:color w:val="000000" w:themeColor="text1"/>
          <w14:textFill>
            <w14:solidFill>
              <w14:schemeClr w14:val="tx1"/>
            </w14:solidFill>
          </w14:textFill>
        </w:rPr>
        <w:t>井均为水平井井身结构，固井质量合格，采用表层套管、技术套管和油层套管，井筒</w:t>
      </w:r>
      <w:r>
        <w:rPr>
          <w:color w:val="000000" w:themeColor="text1"/>
          <w14:textFill>
            <w14:solidFill>
              <w14:schemeClr w14:val="tx1"/>
            </w14:solidFill>
          </w14:textFill>
        </w:rPr>
        <w:t>无套损、套变、严重腐蚀</w:t>
      </w:r>
      <w:r>
        <w:rPr>
          <w:rFonts w:hint="eastAsia"/>
          <w:color w:val="000000" w:themeColor="text1"/>
          <w14:textFill>
            <w14:solidFill>
              <w14:schemeClr w14:val="tx1"/>
            </w14:solidFill>
          </w14:textFill>
        </w:rPr>
        <w:t>，能够承受设计回注压力和防腐，采用水泥固井，对含水层进行了固封处理。</w:t>
      </w:r>
    </w:p>
    <w:p w14:paraId="43E3E1F4">
      <w:pPr>
        <w:pStyle w:val="117"/>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②回注层可注性分析</w:t>
      </w:r>
    </w:p>
    <w:p w14:paraId="1860318F">
      <w:pPr>
        <w:pStyle w:val="117"/>
        <w:ind w:firstLine="480"/>
        <w:rPr>
          <w:rFonts w:hint="eastAsia"/>
          <w:color w:val="000000" w:themeColor="text1"/>
          <w14:textFill>
            <w14:solidFill>
              <w14:schemeClr w14:val="tx1"/>
            </w14:solidFill>
          </w14:textFill>
        </w:rPr>
      </w:pPr>
      <w:r>
        <w:rPr>
          <w:color w:val="000000" w:themeColor="text1"/>
          <w14:textFill>
            <w14:solidFill>
              <w14:schemeClr w14:val="tx1"/>
            </w14:solidFill>
          </w14:textFill>
        </w:rPr>
        <w:t>先导试验</w:t>
      </w:r>
      <w:r>
        <w:rPr>
          <w:rFonts w:hint="eastAsia"/>
          <w:color w:val="000000" w:themeColor="text1"/>
          <w14:textFill>
            <w14:solidFill>
              <w14:schemeClr w14:val="tx1"/>
            </w14:solidFill>
          </w14:textFill>
        </w:rPr>
        <w:t>区</w:t>
      </w:r>
      <w:r>
        <w:rPr>
          <w:color w:val="000000" w:themeColor="text1"/>
          <w14:textFill>
            <w14:solidFill>
              <w14:schemeClr w14:val="tx1"/>
            </w14:solidFill>
          </w14:textFill>
        </w:rPr>
        <w:t>目标层为芦二段二亚段P</w:t>
      </w:r>
      <w:r>
        <w:rPr>
          <w:color w:val="000000" w:themeColor="text1"/>
          <w:vertAlign w:val="subscript"/>
          <w14:textFill>
            <w14:solidFill>
              <w14:schemeClr w14:val="tx1"/>
            </w14:solidFill>
          </w14:textFill>
        </w:rPr>
        <w:t>2</w:t>
      </w:r>
      <w:r>
        <w:rPr>
          <w:i/>
          <w:iCs/>
          <w:color w:val="000000" w:themeColor="text1"/>
          <w14:textFill>
            <w14:solidFill>
              <w14:schemeClr w14:val="tx1"/>
            </w14:solidFill>
          </w14:textFill>
        </w:rPr>
        <w:t>l</w:t>
      </w:r>
      <w:r>
        <w:rPr>
          <w:color w:val="000000" w:themeColor="text1"/>
          <w:vertAlign w:val="subscript"/>
          <w14:textFill>
            <w14:solidFill>
              <w14:schemeClr w14:val="tx1"/>
            </w14:solidFill>
          </w14:textFill>
        </w:rPr>
        <w:t>2</w:t>
      </w:r>
      <w:r>
        <w:rPr>
          <w:color w:val="000000" w:themeColor="text1"/>
          <w:vertAlign w:val="superscript"/>
          <w14:textFill>
            <w14:solidFill>
              <w14:schemeClr w14:val="tx1"/>
            </w14:solidFill>
          </w14:textFill>
        </w:rPr>
        <w:t>2</w:t>
      </w:r>
      <w:r>
        <w:rPr>
          <w:color w:val="000000" w:themeColor="text1"/>
          <w14:textFill>
            <w14:solidFill>
              <w14:schemeClr w14:val="tx1"/>
            </w14:solidFill>
          </w14:textFill>
        </w:rPr>
        <w:t>，平均地层厚度50m，</w:t>
      </w:r>
      <w:r>
        <w:rPr>
          <w:rFonts w:hint="eastAsia"/>
          <w:color w:val="000000" w:themeColor="text1"/>
          <w14:textFill>
            <w14:solidFill>
              <w14:schemeClr w14:val="tx1"/>
            </w14:solidFill>
          </w14:textFill>
        </w:rPr>
        <w:t>试验区P</w:t>
      </w:r>
      <w:r>
        <w:rPr>
          <w:rFonts w:hint="eastAsia"/>
          <w:color w:val="000000" w:themeColor="text1"/>
          <w:vertAlign w:val="subscript"/>
          <w14:textFill>
            <w14:solidFill>
              <w14:schemeClr w14:val="tx1"/>
            </w14:solidFill>
          </w14:textFill>
        </w:rPr>
        <w:t>2</w:t>
      </w:r>
      <w:r>
        <w:rPr>
          <w:rFonts w:hint="eastAsia"/>
          <w:i/>
          <w:iCs/>
          <w:color w:val="000000" w:themeColor="text1"/>
          <w14:textFill>
            <w14:solidFill>
              <w14:schemeClr w14:val="tx1"/>
            </w14:solidFill>
          </w14:textFill>
        </w:rPr>
        <w:t>l</w:t>
      </w:r>
      <w:r>
        <w:rPr>
          <w:rFonts w:hint="eastAsia"/>
          <w:color w:val="000000" w:themeColor="text1"/>
          <w:vertAlign w:val="subscript"/>
          <w14:textFill>
            <w14:solidFill>
              <w14:schemeClr w14:val="tx1"/>
            </w14:solidFill>
          </w14:textFill>
        </w:rPr>
        <w:t>2</w:t>
      </w:r>
      <w:r>
        <w:rPr>
          <w:rFonts w:hint="eastAsia"/>
          <w:color w:val="000000" w:themeColor="text1"/>
          <w:vertAlign w:val="superscript"/>
          <w14:textFill>
            <w14:solidFill>
              <w14:schemeClr w14:val="tx1"/>
            </w14:solidFill>
          </w14:textFill>
        </w:rPr>
        <w:t>2-1</w:t>
      </w:r>
      <w:r>
        <w:rPr>
          <w:rFonts w:hint="eastAsia"/>
          <w:color w:val="000000" w:themeColor="text1"/>
          <w14:textFill>
            <w14:solidFill>
              <w14:schemeClr w14:val="tx1"/>
            </w14:solidFill>
          </w14:textFill>
        </w:rPr>
        <w:t>储层主要为粉砂质云岩，P</w:t>
      </w:r>
      <w:r>
        <w:rPr>
          <w:rFonts w:hint="eastAsia"/>
          <w:color w:val="000000" w:themeColor="text1"/>
          <w:vertAlign w:val="subscript"/>
          <w14:textFill>
            <w14:solidFill>
              <w14:schemeClr w14:val="tx1"/>
            </w14:solidFill>
          </w14:textFill>
        </w:rPr>
        <w:t>2</w:t>
      </w:r>
      <w:r>
        <w:rPr>
          <w:rFonts w:hint="eastAsia"/>
          <w:i/>
          <w:iCs/>
          <w:color w:val="000000" w:themeColor="text1"/>
          <w14:textFill>
            <w14:solidFill>
              <w14:schemeClr w14:val="tx1"/>
            </w14:solidFill>
          </w14:textFill>
        </w:rPr>
        <w:t>l</w:t>
      </w:r>
      <w:r>
        <w:rPr>
          <w:rFonts w:hint="eastAsia"/>
          <w:color w:val="000000" w:themeColor="text1"/>
          <w:vertAlign w:val="subscript"/>
          <w14:textFill>
            <w14:solidFill>
              <w14:schemeClr w14:val="tx1"/>
            </w14:solidFill>
          </w14:textFill>
        </w:rPr>
        <w:t>2</w:t>
      </w:r>
      <w:r>
        <w:rPr>
          <w:rFonts w:hint="eastAsia"/>
          <w:color w:val="000000" w:themeColor="text1"/>
          <w:vertAlign w:val="superscript"/>
          <w14:textFill>
            <w14:solidFill>
              <w14:schemeClr w14:val="tx1"/>
            </w14:solidFill>
          </w14:textFill>
        </w:rPr>
        <w:t>2-</w:t>
      </w:r>
      <w:r>
        <w:rPr>
          <w:color w:val="000000" w:themeColor="text1"/>
          <w:vertAlign w:val="superscript"/>
          <w14:textFill>
            <w14:solidFill>
              <w14:schemeClr w14:val="tx1"/>
            </w14:solidFill>
          </w14:textFill>
        </w:rPr>
        <w:t>2</w:t>
      </w:r>
      <w:r>
        <w:rPr>
          <w:rFonts w:hint="eastAsia"/>
          <w:color w:val="000000" w:themeColor="text1"/>
          <w14:textFill>
            <w14:solidFill>
              <w14:schemeClr w14:val="tx1"/>
            </w14:solidFill>
          </w14:textFill>
        </w:rPr>
        <w:t>储层主要为粉细砂岩，P</w:t>
      </w:r>
      <w:r>
        <w:rPr>
          <w:rFonts w:hint="eastAsia"/>
          <w:color w:val="000000" w:themeColor="text1"/>
          <w:vertAlign w:val="subscript"/>
          <w14:textFill>
            <w14:solidFill>
              <w14:schemeClr w14:val="tx1"/>
            </w14:solidFill>
          </w14:textFill>
        </w:rPr>
        <w:t>2</w:t>
      </w:r>
      <w:r>
        <w:rPr>
          <w:rFonts w:hint="eastAsia"/>
          <w:i/>
          <w:iCs/>
          <w:color w:val="000000" w:themeColor="text1"/>
          <w14:textFill>
            <w14:solidFill>
              <w14:schemeClr w14:val="tx1"/>
            </w14:solidFill>
          </w14:textFill>
        </w:rPr>
        <w:t>l</w:t>
      </w:r>
      <w:r>
        <w:rPr>
          <w:rFonts w:hint="eastAsia"/>
          <w:color w:val="000000" w:themeColor="text1"/>
          <w:vertAlign w:val="subscript"/>
          <w14:textFill>
            <w14:solidFill>
              <w14:schemeClr w14:val="tx1"/>
            </w14:solidFill>
          </w14:textFill>
        </w:rPr>
        <w:t>2</w:t>
      </w:r>
      <w:r>
        <w:rPr>
          <w:rFonts w:hint="eastAsia"/>
          <w:color w:val="000000" w:themeColor="text1"/>
          <w:vertAlign w:val="superscript"/>
          <w14:textFill>
            <w14:solidFill>
              <w14:schemeClr w14:val="tx1"/>
            </w14:solidFill>
          </w14:textFill>
        </w:rPr>
        <w:t>2-</w:t>
      </w:r>
      <w:r>
        <w:rPr>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储层主要为云质粉砂岩，隔夹层（烃源岩）岩性主要为云质泥岩和粉砂质泥岩，含少量碳质泥岩；上甜点有效孔隙度平均12.7%，油层水平渗透率为0.061mD，属于低孔、特低超低渗储层；试验区有效孔隙度均值为14.4%，油层水平渗透率0.22mD；储层厚度0.5～2.5m，源岩厚度0.3～1.5m，甜点段以邻源供烃为主，充注效率高，含油饱和度高；注水水质满足《碎屑岩油藏注水水质指标技术要求及分析方法》（SY/T5329-2022）中的限值要求，注水水质不会形成二次沉淀堵塞地层，回注层有足够的储集空间，能满足油气田生产期内的回注要求。</w:t>
      </w:r>
    </w:p>
    <w:p w14:paraId="3D5A09ED">
      <w:pPr>
        <w:pStyle w:val="117"/>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③回注层的封闭性</w:t>
      </w:r>
    </w:p>
    <w:p w14:paraId="423B8DCF">
      <w:pPr>
        <w:pStyle w:val="117"/>
        <w:ind w:firstLine="480"/>
        <w:rPr>
          <w:rFonts w:hint="eastAsia"/>
          <w:color w:val="000000" w:themeColor="text1"/>
          <w14:textFill>
            <w14:solidFill>
              <w14:schemeClr w14:val="tx1"/>
            </w14:solidFill>
          </w14:textFill>
        </w:rPr>
      </w:pPr>
      <w:r>
        <w:rPr>
          <w:color w:val="000000" w:themeColor="text1"/>
          <w14:textFill>
            <w14:solidFill>
              <w14:schemeClr w14:val="tx1"/>
            </w14:solidFill>
          </w14:textFill>
        </w:rPr>
        <w:t>先导试验</w:t>
      </w:r>
      <w:r>
        <w:rPr>
          <w:rFonts w:hint="eastAsia"/>
          <w:color w:val="000000" w:themeColor="text1"/>
          <w14:textFill>
            <w14:solidFill>
              <w14:schemeClr w14:val="tx1"/>
            </w14:solidFill>
          </w14:textFill>
        </w:rPr>
        <w:t>区</w:t>
      </w:r>
      <w:r>
        <w:rPr>
          <w:color w:val="000000" w:themeColor="text1"/>
          <w14:textFill>
            <w14:solidFill>
              <w14:schemeClr w14:val="tx1"/>
            </w14:solidFill>
          </w14:textFill>
        </w:rPr>
        <w:t>目标层为芦二段二亚段P</w:t>
      </w:r>
      <w:r>
        <w:rPr>
          <w:color w:val="000000" w:themeColor="text1"/>
          <w:vertAlign w:val="subscript"/>
          <w14:textFill>
            <w14:solidFill>
              <w14:schemeClr w14:val="tx1"/>
            </w14:solidFill>
          </w14:textFill>
        </w:rPr>
        <w:t>2</w:t>
      </w:r>
      <w:r>
        <w:rPr>
          <w:i/>
          <w:iCs/>
          <w:color w:val="000000" w:themeColor="text1"/>
          <w14:textFill>
            <w14:solidFill>
              <w14:schemeClr w14:val="tx1"/>
            </w14:solidFill>
          </w14:textFill>
        </w:rPr>
        <w:t>l</w:t>
      </w:r>
      <w:r>
        <w:rPr>
          <w:color w:val="000000" w:themeColor="text1"/>
          <w:vertAlign w:val="subscript"/>
          <w14:textFill>
            <w14:solidFill>
              <w14:schemeClr w14:val="tx1"/>
            </w14:solidFill>
          </w14:textFill>
        </w:rPr>
        <w:t>2</w:t>
      </w:r>
      <w:r>
        <w:rPr>
          <w:color w:val="000000" w:themeColor="text1"/>
          <w:vertAlign w:val="superscript"/>
          <w14:textFill>
            <w14:solidFill>
              <w14:schemeClr w14:val="tx1"/>
            </w14:solidFill>
          </w14:textFill>
        </w:rPr>
        <w:t>2</w:t>
      </w:r>
      <w:r>
        <w:rPr>
          <w:color w:val="000000" w:themeColor="text1"/>
          <w14:textFill>
            <w14:solidFill>
              <w14:schemeClr w14:val="tx1"/>
            </w14:solidFill>
          </w14:textFill>
        </w:rPr>
        <w:t>，平均地层厚度50m，顶界构造形态表现为东高西低、东陡西缓的西倾单斜，地层倾角为4°</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8°</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P</w:t>
      </w:r>
      <w:r>
        <w:rPr>
          <w:color w:val="000000" w:themeColor="text1"/>
          <w:vertAlign w:val="subscript"/>
          <w14:textFill>
            <w14:solidFill>
              <w14:schemeClr w14:val="tx1"/>
            </w14:solidFill>
          </w14:textFill>
        </w:rPr>
        <w:t>2</w:t>
      </w:r>
      <w:r>
        <w:rPr>
          <w:i/>
          <w:iCs/>
          <w:color w:val="000000" w:themeColor="text1"/>
          <w14:textFill>
            <w14:solidFill>
              <w14:schemeClr w14:val="tx1"/>
            </w14:solidFill>
          </w14:textFill>
        </w:rPr>
        <w:t>l</w:t>
      </w:r>
      <w:r>
        <w:rPr>
          <w:color w:val="000000" w:themeColor="text1"/>
          <w:vertAlign w:val="subscript"/>
          <w14:textFill>
            <w14:solidFill>
              <w14:schemeClr w14:val="tx1"/>
            </w14:solidFill>
          </w14:textFill>
        </w:rPr>
        <w:t>2</w:t>
      </w:r>
      <w:r>
        <w:rPr>
          <w:color w:val="000000" w:themeColor="text1"/>
          <w:vertAlign w:val="superscript"/>
          <w14:textFill>
            <w14:solidFill>
              <w14:schemeClr w14:val="tx1"/>
            </w14:solidFill>
          </w14:textFill>
        </w:rPr>
        <w:t>2</w:t>
      </w:r>
      <w:r>
        <w:rPr>
          <w:color w:val="000000" w:themeColor="text1"/>
          <w14:textFill>
            <w14:solidFill>
              <w14:schemeClr w14:val="tx1"/>
            </w14:solidFill>
          </w14:textFill>
        </w:rPr>
        <w:t>整体为深湖-半深湖相细粒沉积，局部发育异重流相沉积，其微相类型主要为异重流朵叶体、异重流侧缘，异重流水道微相规模较小</w:t>
      </w:r>
      <w:r>
        <w:rPr>
          <w:rFonts w:hint="eastAsia"/>
          <w:color w:val="000000" w:themeColor="text1"/>
          <w14:textFill>
            <w14:solidFill>
              <w14:schemeClr w14:val="tx1"/>
            </w14:solidFill>
          </w14:textFill>
        </w:rPr>
        <w:t>；试验区P</w:t>
      </w:r>
      <w:r>
        <w:rPr>
          <w:rFonts w:hint="eastAsia"/>
          <w:color w:val="000000" w:themeColor="text1"/>
          <w:vertAlign w:val="subscript"/>
          <w14:textFill>
            <w14:solidFill>
              <w14:schemeClr w14:val="tx1"/>
            </w14:solidFill>
          </w14:textFill>
        </w:rPr>
        <w:t>2</w:t>
      </w:r>
      <w:r>
        <w:rPr>
          <w:rFonts w:hint="eastAsia"/>
          <w:i/>
          <w:iCs/>
          <w:color w:val="000000" w:themeColor="text1"/>
          <w14:textFill>
            <w14:solidFill>
              <w14:schemeClr w14:val="tx1"/>
            </w14:solidFill>
          </w14:textFill>
        </w:rPr>
        <w:t>l</w:t>
      </w:r>
      <w:r>
        <w:rPr>
          <w:rFonts w:hint="eastAsia"/>
          <w:color w:val="000000" w:themeColor="text1"/>
          <w:vertAlign w:val="subscript"/>
          <w14:textFill>
            <w14:solidFill>
              <w14:schemeClr w14:val="tx1"/>
            </w14:solidFill>
          </w14:textFill>
        </w:rPr>
        <w:t>2</w:t>
      </w:r>
      <w:r>
        <w:rPr>
          <w:rFonts w:hint="eastAsia"/>
          <w:color w:val="000000" w:themeColor="text1"/>
          <w:vertAlign w:val="superscript"/>
          <w14:textFill>
            <w14:solidFill>
              <w14:schemeClr w14:val="tx1"/>
            </w14:solidFill>
          </w14:textFill>
        </w:rPr>
        <w:t>2-1</w:t>
      </w:r>
      <w:r>
        <w:rPr>
          <w:rFonts w:hint="eastAsia"/>
          <w:color w:val="000000" w:themeColor="text1"/>
          <w14:textFill>
            <w14:solidFill>
              <w14:schemeClr w14:val="tx1"/>
            </w14:solidFill>
          </w14:textFill>
        </w:rPr>
        <w:t>储层主要为粉砂质云岩，P</w:t>
      </w:r>
      <w:r>
        <w:rPr>
          <w:rFonts w:hint="eastAsia"/>
          <w:color w:val="000000" w:themeColor="text1"/>
          <w:vertAlign w:val="subscript"/>
          <w14:textFill>
            <w14:solidFill>
              <w14:schemeClr w14:val="tx1"/>
            </w14:solidFill>
          </w14:textFill>
        </w:rPr>
        <w:t>2</w:t>
      </w:r>
      <w:r>
        <w:rPr>
          <w:rFonts w:hint="eastAsia"/>
          <w:i/>
          <w:iCs/>
          <w:color w:val="000000" w:themeColor="text1"/>
          <w14:textFill>
            <w14:solidFill>
              <w14:schemeClr w14:val="tx1"/>
            </w14:solidFill>
          </w14:textFill>
        </w:rPr>
        <w:t>l</w:t>
      </w:r>
      <w:r>
        <w:rPr>
          <w:rFonts w:hint="eastAsia"/>
          <w:color w:val="000000" w:themeColor="text1"/>
          <w:vertAlign w:val="subscript"/>
          <w14:textFill>
            <w14:solidFill>
              <w14:schemeClr w14:val="tx1"/>
            </w14:solidFill>
          </w14:textFill>
        </w:rPr>
        <w:t>2</w:t>
      </w:r>
      <w:r>
        <w:rPr>
          <w:rFonts w:hint="eastAsia"/>
          <w:color w:val="000000" w:themeColor="text1"/>
          <w:vertAlign w:val="superscript"/>
          <w14:textFill>
            <w14:solidFill>
              <w14:schemeClr w14:val="tx1"/>
            </w14:solidFill>
          </w14:textFill>
        </w:rPr>
        <w:t>2-</w:t>
      </w:r>
      <w:r>
        <w:rPr>
          <w:color w:val="000000" w:themeColor="text1"/>
          <w:vertAlign w:val="superscript"/>
          <w14:textFill>
            <w14:solidFill>
              <w14:schemeClr w14:val="tx1"/>
            </w14:solidFill>
          </w14:textFill>
        </w:rPr>
        <w:t>2</w:t>
      </w:r>
      <w:r>
        <w:rPr>
          <w:rFonts w:hint="eastAsia"/>
          <w:color w:val="000000" w:themeColor="text1"/>
          <w14:textFill>
            <w14:solidFill>
              <w14:schemeClr w14:val="tx1"/>
            </w14:solidFill>
          </w14:textFill>
        </w:rPr>
        <w:t>储层主要为粉细砂岩，P</w:t>
      </w:r>
      <w:r>
        <w:rPr>
          <w:rFonts w:hint="eastAsia"/>
          <w:color w:val="000000" w:themeColor="text1"/>
          <w:vertAlign w:val="subscript"/>
          <w14:textFill>
            <w14:solidFill>
              <w14:schemeClr w14:val="tx1"/>
            </w14:solidFill>
          </w14:textFill>
        </w:rPr>
        <w:t>2</w:t>
      </w:r>
      <w:r>
        <w:rPr>
          <w:rFonts w:hint="eastAsia"/>
          <w:i/>
          <w:iCs/>
          <w:color w:val="000000" w:themeColor="text1"/>
          <w14:textFill>
            <w14:solidFill>
              <w14:schemeClr w14:val="tx1"/>
            </w14:solidFill>
          </w14:textFill>
        </w:rPr>
        <w:t>l</w:t>
      </w:r>
      <w:r>
        <w:rPr>
          <w:rFonts w:hint="eastAsia"/>
          <w:color w:val="000000" w:themeColor="text1"/>
          <w:vertAlign w:val="subscript"/>
          <w14:textFill>
            <w14:solidFill>
              <w14:schemeClr w14:val="tx1"/>
            </w14:solidFill>
          </w14:textFill>
        </w:rPr>
        <w:t>2</w:t>
      </w:r>
      <w:r>
        <w:rPr>
          <w:rFonts w:hint="eastAsia"/>
          <w:color w:val="000000" w:themeColor="text1"/>
          <w:vertAlign w:val="superscript"/>
          <w14:textFill>
            <w14:solidFill>
              <w14:schemeClr w14:val="tx1"/>
            </w14:solidFill>
          </w14:textFill>
        </w:rPr>
        <w:t>2-</w:t>
      </w:r>
      <w:r>
        <w:rPr>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储层主要为云质粉砂岩，隔夹层（烃源岩）岩性主要为云质泥岩和粉砂质泥岩，含少量碳质泥岩；试验区储集空间以剩余粒间孔和溶蚀孔为主，</w:t>
      </w:r>
      <w:r>
        <w:rPr>
          <w:color w:val="000000" w:themeColor="text1"/>
          <w14:textFill>
            <w14:solidFill>
              <w14:schemeClr w14:val="tx1"/>
            </w14:solidFill>
          </w14:textFill>
        </w:rPr>
        <w:t>呈微米孔、纳米喉特征，</w:t>
      </w:r>
      <w:r>
        <w:rPr>
          <w:rFonts w:hint="eastAsia"/>
          <w:color w:val="000000" w:themeColor="text1"/>
          <w14:textFill>
            <w14:solidFill>
              <w14:schemeClr w14:val="tx1"/>
            </w14:solidFill>
          </w14:textFill>
        </w:rPr>
        <w:t>孔隙半径多介于0.04-0.16</w:t>
      </w:r>
      <w:r>
        <w:rPr>
          <w:color w:val="000000" w:themeColor="text1"/>
          <w14:textFill>
            <w14:solidFill>
              <w14:schemeClr w14:val="tx1"/>
            </w14:solidFill>
          </w14:textFill>
        </w:rPr>
        <w:t>μ</w:t>
      </w:r>
      <w:r>
        <w:rPr>
          <w:rFonts w:hint="eastAsia"/>
          <w:color w:val="000000" w:themeColor="text1"/>
          <w14:textFill>
            <w14:solidFill>
              <w14:schemeClr w14:val="tx1"/>
            </w14:solidFill>
          </w14:textFill>
        </w:rPr>
        <w:t>m之间；上甜点有效孔隙度平均12.7%，油层水平渗透率为0.061mD，属于低孔、特低超低渗储层；试验区有效孔隙度均值为14.4%，油层水平渗透率0.22mD，整体略优于上甜点；</w:t>
      </w:r>
      <w:r>
        <w:rPr>
          <w:color w:val="000000" w:themeColor="text1"/>
          <w14:textFill>
            <w14:solidFill>
              <w14:schemeClr w14:val="tx1"/>
            </w14:solidFill>
          </w14:textFill>
        </w:rPr>
        <w:t>从水敏实验和岩屑浸泡实验来看，</w:t>
      </w:r>
      <w:r>
        <w:rPr>
          <w:rFonts w:hint="eastAsia"/>
          <w:color w:val="000000" w:themeColor="text1"/>
          <w14:textFill>
            <w14:solidFill>
              <w14:schemeClr w14:val="tx1"/>
            </w14:solidFill>
          </w14:textFill>
        </w:rPr>
        <w:t>岩心浸泡前后的岩石稳定率基本都在99%以上</w:t>
      </w:r>
      <w:r>
        <w:rPr>
          <w:color w:val="000000" w:themeColor="text1"/>
          <w14:textFill>
            <w14:solidFill>
              <w14:schemeClr w14:val="tx1"/>
            </w14:solidFill>
          </w14:textFill>
        </w:rPr>
        <w:t>，总体上</w:t>
      </w:r>
      <w:r>
        <w:rPr>
          <w:rFonts w:hint="eastAsia"/>
          <w:color w:val="000000" w:themeColor="text1"/>
          <w14:textFill>
            <w14:solidFill>
              <w14:schemeClr w14:val="tx1"/>
            </w14:solidFill>
          </w14:textFill>
        </w:rPr>
        <w:t>呈中等偏弱水敏；试验区内源岩与储层频繁互层发育，储层厚度0.5～2.5m，源岩厚度0.3～1.5m，甜点段以邻源供烃为主，充注效率高，含油饱和度高；</w:t>
      </w:r>
      <w:r>
        <w:rPr>
          <w:color w:val="000000" w:themeColor="text1"/>
          <w14:textFill>
            <w14:solidFill>
              <w14:schemeClr w14:val="tx1"/>
            </w14:solidFill>
          </w14:textFill>
        </w:rPr>
        <w:t>地层封闭性好</w:t>
      </w:r>
      <w:r>
        <w:rPr>
          <w:rFonts w:hint="eastAsia"/>
          <w:color w:val="000000" w:themeColor="text1"/>
          <w14:textFill>
            <w14:solidFill>
              <w14:schemeClr w14:val="tx1"/>
            </w14:solidFill>
          </w14:textFill>
        </w:rPr>
        <w:t>；试验区整体处于构造相对稳定的状态，总回注量影响范围内无断层、无地表露头或出露点，回注不会对潜水含水层造成影响。</w:t>
      </w:r>
    </w:p>
    <w:bookmarkEnd w:id="544"/>
    <w:bookmarkEnd w:id="545"/>
    <w:bookmarkEnd w:id="546"/>
    <w:bookmarkEnd w:id="550"/>
    <w:bookmarkEnd w:id="551"/>
    <w:bookmarkEnd w:id="554"/>
    <w:p w14:paraId="01BC0755">
      <w:pPr>
        <w:pStyle w:val="4"/>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运营期声</w:t>
      </w:r>
      <w:r>
        <w:rPr>
          <w:color w:val="000000" w:themeColor="text1"/>
          <w14:textFill>
            <w14:solidFill>
              <w14:schemeClr w14:val="tx1"/>
            </w14:solidFill>
          </w14:textFill>
        </w:rPr>
        <w:t>环境影响</w:t>
      </w:r>
      <w:bookmarkEnd w:id="529"/>
      <w:bookmarkEnd w:id="530"/>
      <w:bookmarkEnd w:id="531"/>
      <w:bookmarkEnd w:id="532"/>
      <w:bookmarkEnd w:id="533"/>
      <w:bookmarkEnd w:id="534"/>
      <w:bookmarkEnd w:id="535"/>
      <w:bookmarkEnd w:id="536"/>
      <w:r>
        <w:rPr>
          <w:rFonts w:hint="eastAsia"/>
          <w:color w:val="000000" w:themeColor="text1"/>
          <w14:textFill>
            <w14:solidFill>
              <w14:schemeClr w14:val="tx1"/>
            </w14:solidFill>
          </w14:textFill>
        </w:rPr>
        <w:t>分析</w:t>
      </w:r>
    </w:p>
    <w:p w14:paraId="25720625">
      <w:pPr>
        <w:pStyle w:val="117"/>
        <w:ind w:firstLine="480"/>
        <w:rPr>
          <w:rFonts w:hint="eastAsia" w:cs="宋体"/>
          <w:color w:val="000000" w:themeColor="text1"/>
          <w14:textFill>
            <w14:solidFill>
              <w14:schemeClr w14:val="tx1"/>
            </w14:solidFill>
          </w14:textFill>
        </w:rPr>
      </w:pPr>
      <w:bookmarkStart w:id="555" w:name="_Toc489734603"/>
      <w:bookmarkStart w:id="556" w:name="_Toc445842097"/>
      <w:bookmarkStart w:id="557" w:name="_Hlk78996296"/>
      <w:bookmarkStart w:id="558" w:name="_Toc445996416"/>
      <w:bookmarkStart w:id="559" w:name="_Toc1325"/>
      <w:bookmarkStart w:id="560" w:name="_Toc445842094"/>
      <w:bookmarkStart w:id="561" w:name="_Toc16549"/>
      <w:bookmarkStart w:id="562" w:name="_Toc445996419"/>
      <w:r>
        <w:rPr>
          <w:rFonts w:hint="eastAsia" w:cs="宋体"/>
          <w:color w:val="000000" w:themeColor="text1"/>
          <w14:textFill>
            <w14:solidFill>
              <w14:schemeClr w14:val="tx1"/>
            </w14:solidFill>
          </w14:textFill>
        </w:rPr>
        <w:t>（1）预测模式</w:t>
      </w:r>
    </w:p>
    <w:p w14:paraId="2262911D">
      <w:pPr>
        <w:pStyle w:val="45"/>
        <w:spacing w:line="520" w:lineRule="exact"/>
        <w:ind w:firstLine="480" w:firstLineChars="200"/>
        <w:jc w:val="both"/>
        <w:rPr>
          <w:rFonts w:hint="eastAsia" w:ascii="宋体" w:hAnsi="宋体"/>
          <w:color w:val="000000" w:themeColor="text1"/>
          <w:lang w:bidi="ar"/>
          <w14:textFill>
            <w14:solidFill>
              <w14:schemeClr w14:val="tx1"/>
            </w14:solidFill>
          </w14:textFill>
        </w:rPr>
      </w:pPr>
      <w:r>
        <w:rPr>
          <w:rFonts w:hint="eastAsia"/>
          <w:color w:val="000000" w:themeColor="text1"/>
          <w14:textFill>
            <w14:solidFill>
              <w14:schemeClr w14:val="tx1"/>
            </w14:solidFill>
          </w14:textFill>
        </w:rPr>
        <w:t>采油井场的产噪设备均位于室外，</w:t>
      </w:r>
      <w:r>
        <w:rPr>
          <w:rFonts w:hint="eastAsia" w:ascii="宋体" w:hAnsi="宋体"/>
          <w:color w:val="000000" w:themeColor="text1"/>
          <w:lang w:bidi="ar"/>
          <w14:textFill>
            <w14:solidFill>
              <w14:schemeClr w14:val="tx1"/>
            </w14:solidFill>
          </w14:textFill>
        </w:rPr>
        <w:t>本次只考虑传播距离引起的衰减，鉴于声源到厂界预测点的传播距离远大于声源长度，各噪声源均按点源计。计算模式采用《环境影响评价技术导则—声环境》</w:t>
      </w:r>
      <w:r>
        <w:rPr>
          <w:rFonts w:hint="eastAsia" w:ascii="宋体" w:hAnsi="宋体"/>
          <w:color w:val="000000" w:themeColor="text1"/>
          <w14:textFill>
            <w14:solidFill>
              <w14:schemeClr w14:val="tx1"/>
            </w14:solidFill>
          </w14:textFill>
        </w:rPr>
        <w:t>（HJ2.4-20</w:t>
      </w:r>
      <w:r>
        <w:rPr>
          <w:rFonts w:ascii="宋体" w:hAnsi="宋体"/>
          <w:color w:val="000000" w:themeColor="text1"/>
          <w14:textFill>
            <w14:solidFill>
              <w14:schemeClr w14:val="tx1"/>
            </w14:solidFill>
          </w14:textFill>
        </w:rPr>
        <w:t>21</w:t>
      </w:r>
      <w:r>
        <w:rPr>
          <w:rFonts w:hint="eastAsia" w:ascii="宋体" w:hAnsi="宋体"/>
          <w:color w:val="000000" w:themeColor="text1"/>
          <w14:textFill>
            <w14:solidFill>
              <w14:schemeClr w14:val="tx1"/>
            </w14:solidFill>
          </w14:textFill>
        </w:rPr>
        <w:t>）</w:t>
      </w:r>
      <w:r>
        <w:rPr>
          <w:rFonts w:hint="eastAsia" w:ascii="宋体" w:hAnsi="宋体"/>
          <w:color w:val="000000" w:themeColor="text1"/>
          <w:lang w:bidi="ar"/>
          <w14:textFill>
            <w14:solidFill>
              <w14:schemeClr w14:val="tx1"/>
            </w14:solidFill>
          </w14:textFill>
        </w:rPr>
        <w:t>中所推荐的预测模式，计算式如下：</w:t>
      </w:r>
    </w:p>
    <w:p w14:paraId="3A65BD95">
      <w:pPr>
        <w:adjustRightInd w:val="0"/>
        <w:snapToGrid w:val="0"/>
        <w:spacing w:line="500" w:lineRule="exact"/>
        <w:ind w:firstLine="480" w:firstLineChars="200"/>
        <w:jc w:val="center"/>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lang w:bidi="ar"/>
          <w14:textFill>
            <w14:solidFill>
              <w14:schemeClr w14:val="tx1"/>
            </w14:solidFill>
          </w14:textFill>
        </w:rPr>
        <w:t>L</w:t>
      </w:r>
      <w:r>
        <w:rPr>
          <w:rFonts w:hint="eastAsia" w:ascii="宋体" w:hAnsi="宋体" w:cs="宋体"/>
          <w:color w:val="000000" w:themeColor="text1"/>
          <w:sz w:val="24"/>
          <w:vertAlign w:val="subscript"/>
          <w:lang w:bidi="ar"/>
          <w14:textFill>
            <w14:solidFill>
              <w14:schemeClr w14:val="tx1"/>
            </w14:solidFill>
          </w14:textFill>
        </w:rPr>
        <w:t>A</w:t>
      </w:r>
      <w:r>
        <w:rPr>
          <w:rFonts w:hint="eastAsia" w:ascii="宋体" w:hAnsi="宋体" w:cs="宋体"/>
          <w:color w:val="000000" w:themeColor="text1"/>
          <w:sz w:val="24"/>
          <w:lang w:bidi="ar"/>
          <w14:textFill>
            <w14:solidFill>
              <w14:schemeClr w14:val="tx1"/>
            </w14:solidFill>
          </w14:textFill>
        </w:rPr>
        <w:t>（r）=L</w:t>
      </w:r>
      <w:r>
        <w:rPr>
          <w:rFonts w:hint="eastAsia" w:ascii="宋体" w:hAnsi="宋体" w:cs="宋体"/>
          <w:color w:val="000000" w:themeColor="text1"/>
          <w:sz w:val="24"/>
          <w:vertAlign w:val="subscript"/>
          <w:lang w:bidi="ar"/>
          <w14:textFill>
            <w14:solidFill>
              <w14:schemeClr w14:val="tx1"/>
            </w14:solidFill>
          </w14:textFill>
        </w:rPr>
        <w:t>A</w:t>
      </w:r>
      <w:r>
        <w:rPr>
          <w:rFonts w:hint="eastAsia" w:ascii="宋体" w:hAnsi="宋体" w:cs="宋体"/>
          <w:color w:val="000000" w:themeColor="text1"/>
          <w:sz w:val="24"/>
          <w:lang w:bidi="ar"/>
          <w14:textFill>
            <w14:solidFill>
              <w14:schemeClr w14:val="tx1"/>
            </w14:solidFill>
          </w14:textFill>
        </w:rPr>
        <w:t>（r</w:t>
      </w:r>
      <w:r>
        <w:rPr>
          <w:rFonts w:hint="eastAsia" w:ascii="宋体" w:hAnsi="宋体" w:cs="宋体"/>
          <w:color w:val="000000" w:themeColor="text1"/>
          <w:sz w:val="24"/>
          <w:vertAlign w:val="subscript"/>
          <w:lang w:bidi="ar"/>
          <w14:textFill>
            <w14:solidFill>
              <w14:schemeClr w14:val="tx1"/>
            </w14:solidFill>
          </w14:textFill>
        </w:rPr>
        <w:t>0</w:t>
      </w:r>
      <w:r>
        <w:rPr>
          <w:rFonts w:hint="eastAsia" w:ascii="宋体" w:hAnsi="宋体" w:cs="宋体"/>
          <w:color w:val="000000" w:themeColor="text1"/>
          <w:sz w:val="24"/>
          <w:lang w:bidi="ar"/>
          <w14:textFill>
            <w14:solidFill>
              <w14:schemeClr w14:val="tx1"/>
            </w14:solidFill>
          </w14:textFill>
        </w:rPr>
        <w:t>）-20lg（r/r</w:t>
      </w:r>
      <w:r>
        <w:rPr>
          <w:rFonts w:hint="eastAsia" w:ascii="宋体" w:hAnsi="宋体" w:cs="宋体"/>
          <w:color w:val="000000" w:themeColor="text1"/>
          <w:sz w:val="24"/>
          <w:vertAlign w:val="subscript"/>
          <w:lang w:bidi="ar"/>
          <w14:textFill>
            <w14:solidFill>
              <w14:schemeClr w14:val="tx1"/>
            </w14:solidFill>
          </w14:textFill>
        </w:rPr>
        <w:t>0</w:t>
      </w:r>
      <w:r>
        <w:rPr>
          <w:rFonts w:hint="eastAsia" w:ascii="宋体" w:hAnsi="宋体" w:cs="宋体"/>
          <w:color w:val="000000" w:themeColor="text1"/>
          <w:sz w:val="24"/>
          <w:lang w:bidi="ar"/>
          <w14:textFill>
            <w14:solidFill>
              <w14:schemeClr w14:val="tx1"/>
            </w14:solidFill>
          </w14:textFill>
        </w:rPr>
        <w:t>）</w:t>
      </w:r>
    </w:p>
    <w:p w14:paraId="6C26D1DF">
      <w:pPr>
        <w:tabs>
          <w:tab w:val="left" w:pos="525"/>
        </w:tabs>
        <w:adjustRightInd w:val="0"/>
        <w:snapToGrid w:val="0"/>
        <w:spacing w:line="500" w:lineRule="exact"/>
        <w:ind w:firstLine="480" w:firstLineChars="200"/>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lang w:bidi="ar"/>
          <w14:textFill>
            <w14:solidFill>
              <w14:schemeClr w14:val="tx1"/>
            </w14:solidFill>
          </w14:textFill>
        </w:rPr>
        <w:t xml:space="preserve">       式中：L</w:t>
      </w:r>
      <w:r>
        <w:rPr>
          <w:rFonts w:hint="eastAsia" w:ascii="宋体" w:hAnsi="宋体" w:cs="宋体"/>
          <w:color w:val="000000" w:themeColor="text1"/>
          <w:sz w:val="24"/>
          <w:vertAlign w:val="subscript"/>
          <w:lang w:bidi="ar"/>
          <w14:textFill>
            <w14:solidFill>
              <w14:schemeClr w14:val="tx1"/>
            </w14:solidFill>
          </w14:textFill>
        </w:rPr>
        <w:t>A</w:t>
      </w:r>
      <w:r>
        <w:rPr>
          <w:rFonts w:hint="eastAsia" w:ascii="宋体" w:hAnsi="宋体" w:cs="宋体"/>
          <w:color w:val="000000" w:themeColor="text1"/>
          <w:sz w:val="24"/>
          <w:lang w:bidi="ar"/>
          <w14:textFill>
            <w14:solidFill>
              <w14:schemeClr w14:val="tx1"/>
            </w14:solidFill>
          </w14:textFill>
        </w:rPr>
        <w:t>（r）—距声源r处的A声级；</w:t>
      </w:r>
    </w:p>
    <w:p w14:paraId="284E4290">
      <w:pPr>
        <w:adjustRightInd w:val="0"/>
        <w:snapToGrid w:val="0"/>
        <w:spacing w:line="500" w:lineRule="exact"/>
        <w:ind w:firstLine="480" w:firstLineChars="200"/>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lang w:bidi="ar"/>
          <w14:textFill>
            <w14:solidFill>
              <w14:schemeClr w14:val="tx1"/>
            </w14:solidFill>
          </w14:textFill>
        </w:rPr>
        <w:t xml:space="preserve">             L</w:t>
      </w:r>
      <w:r>
        <w:rPr>
          <w:rFonts w:hint="eastAsia" w:ascii="宋体" w:hAnsi="宋体" w:cs="宋体"/>
          <w:color w:val="000000" w:themeColor="text1"/>
          <w:sz w:val="24"/>
          <w:vertAlign w:val="subscript"/>
          <w:lang w:bidi="ar"/>
          <w14:textFill>
            <w14:solidFill>
              <w14:schemeClr w14:val="tx1"/>
            </w14:solidFill>
          </w14:textFill>
        </w:rPr>
        <w:t>A</w:t>
      </w:r>
      <w:r>
        <w:rPr>
          <w:rFonts w:hint="eastAsia" w:ascii="宋体" w:hAnsi="宋体" w:cs="宋体"/>
          <w:color w:val="000000" w:themeColor="text1"/>
          <w:sz w:val="24"/>
          <w:lang w:bidi="ar"/>
          <w14:textFill>
            <w14:solidFill>
              <w14:schemeClr w14:val="tx1"/>
            </w14:solidFill>
          </w14:textFill>
        </w:rPr>
        <w:t>（r</w:t>
      </w:r>
      <w:r>
        <w:rPr>
          <w:rFonts w:hint="eastAsia" w:ascii="宋体" w:hAnsi="宋体" w:cs="宋体"/>
          <w:color w:val="000000" w:themeColor="text1"/>
          <w:sz w:val="24"/>
          <w:vertAlign w:val="subscript"/>
          <w:lang w:bidi="ar"/>
          <w14:textFill>
            <w14:solidFill>
              <w14:schemeClr w14:val="tx1"/>
            </w14:solidFill>
          </w14:textFill>
        </w:rPr>
        <w:t>0</w:t>
      </w:r>
      <w:r>
        <w:rPr>
          <w:rFonts w:hint="eastAsia" w:ascii="宋体" w:hAnsi="宋体" w:cs="宋体"/>
          <w:color w:val="000000" w:themeColor="text1"/>
          <w:sz w:val="24"/>
          <w:lang w:bidi="ar"/>
          <w14:textFill>
            <w14:solidFill>
              <w14:schemeClr w14:val="tx1"/>
            </w14:solidFill>
          </w14:textFill>
        </w:rPr>
        <w:t>）—参考位置r</w:t>
      </w:r>
      <w:r>
        <w:rPr>
          <w:rFonts w:hint="eastAsia" w:ascii="宋体" w:hAnsi="宋体" w:cs="宋体"/>
          <w:color w:val="000000" w:themeColor="text1"/>
          <w:sz w:val="24"/>
          <w:vertAlign w:val="subscript"/>
          <w:lang w:bidi="ar"/>
          <w14:textFill>
            <w14:solidFill>
              <w14:schemeClr w14:val="tx1"/>
            </w14:solidFill>
          </w14:textFill>
        </w:rPr>
        <w:t>0</w:t>
      </w:r>
      <w:r>
        <w:rPr>
          <w:rFonts w:hint="eastAsia" w:ascii="宋体" w:hAnsi="宋体" w:cs="宋体"/>
          <w:color w:val="000000" w:themeColor="text1"/>
          <w:sz w:val="24"/>
          <w:lang w:bidi="ar"/>
          <w14:textFill>
            <w14:solidFill>
              <w14:schemeClr w14:val="tx1"/>
            </w14:solidFill>
          </w14:textFill>
        </w:rPr>
        <w:t>处的A声级；</w:t>
      </w:r>
    </w:p>
    <w:p w14:paraId="5D5C4D2D">
      <w:pPr>
        <w:adjustRightInd w:val="0"/>
        <w:snapToGrid w:val="0"/>
        <w:spacing w:line="500" w:lineRule="exact"/>
        <w:ind w:firstLine="480" w:firstLineChars="200"/>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lang w:bidi="ar"/>
          <w14:textFill>
            <w14:solidFill>
              <w14:schemeClr w14:val="tx1"/>
            </w14:solidFill>
          </w14:textFill>
        </w:rPr>
        <w:t xml:space="preserve">             r—预测点距声源距离，m；</w:t>
      </w:r>
    </w:p>
    <w:p w14:paraId="3909A066">
      <w:pPr>
        <w:adjustRightInd w:val="0"/>
        <w:snapToGrid w:val="0"/>
        <w:spacing w:line="500" w:lineRule="exact"/>
        <w:ind w:firstLine="480" w:firstLineChars="200"/>
        <w:rPr>
          <w:rFonts w:hint="eastAsia" w:ascii="宋体" w:hAnsi="宋体" w:cs="宋体"/>
          <w:color w:val="000000" w:themeColor="text1"/>
          <w:sz w:val="24"/>
          <w:lang w:bidi="ar"/>
          <w14:textFill>
            <w14:solidFill>
              <w14:schemeClr w14:val="tx1"/>
            </w14:solidFill>
          </w14:textFill>
        </w:rPr>
      </w:pPr>
      <w:r>
        <w:rPr>
          <w:rFonts w:hint="eastAsia" w:ascii="宋体" w:hAnsi="宋体" w:cs="宋体"/>
          <w:color w:val="000000" w:themeColor="text1"/>
          <w:sz w:val="24"/>
          <w:lang w:bidi="ar"/>
          <w14:textFill>
            <w14:solidFill>
              <w14:schemeClr w14:val="tx1"/>
            </w14:solidFill>
          </w14:textFill>
        </w:rPr>
        <w:t xml:space="preserve">             r</w:t>
      </w:r>
      <w:r>
        <w:rPr>
          <w:rFonts w:hint="eastAsia" w:ascii="宋体" w:hAnsi="宋体" w:cs="宋体"/>
          <w:color w:val="000000" w:themeColor="text1"/>
          <w:sz w:val="24"/>
          <w:vertAlign w:val="subscript"/>
          <w:lang w:bidi="ar"/>
          <w14:textFill>
            <w14:solidFill>
              <w14:schemeClr w14:val="tx1"/>
            </w14:solidFill>
          </w14:textFill>
        </w:rPr>
        <w:t>0</w:t>
      </w:r>
      <w:r>
        <w:rPr>
          <w:rFonts w:hint="eastAsia" w:ascii="宋体" w:hAnsi="宋体" w:cs="宋体"/>
          <w:color w:val="000000" w:themeColor="text1"/>
          <w:sz w:val="24"/>
          <w:lang w:bidi="ar"/>
          <w14:textFill>
            <w14:solidFill>
              <w14:schemeClr w14:val="tx1"/>
            </w14:solidFill>
          </w14:textFill>
        </w:rPr>
        <w:t>—参考位置距离声源距离，m。</w:t>
      </w:r>
    </w:p>
    <w:p w14:paraId="415B35DB">
      <w:pPr>
        <w:pStyle w:val="340"/>
        <w:spacing w:line="500" w:lineRule="atLeast"/>
        <w:rPr>
          <w:rFonts w:hint="eastAsia"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设第i个室外声源在预测点产生的A声级为</w:t>
      </w:r>
      <w:r>
        <w:rPr>
          <w:rFonts w:ascii="宋体" w:hAnsi="宋体"/>
          <w:i/>
          <w:color w:val="000000" w:themeColor="text1"/>
          <w14:textFill>
            <w14:solidFill>
              <w14:schemeClr w14:val="tx1"/>
            </w14:solidFill>
          </w14:textFill>
        </w:rPr>
        <w:t>L</w:t>
      </w:r>
      <w:r>
        <w:rPr>
          <w:rFonts w:ascii="宋体" w:hAnsi="宋体"/>
          <w:i/>
          <w:color w:val="000000" w:themeColor="text1"/>
          <w:vertAlign w:val="subscript"/>
          <w14:textFill>
            <w14:solidFill>
              <w14:schemeClr w14:val="tx1"/>
            </w14:solidFill>
          </w14:textFill>
        </w:rPr>
        <w:t>Ain,i</w:t>
      </w:r>
      <w:r>
        <w:rPr>
          <w:rFonts w:ascii="宋体" w:hAnsi="宋体"/>
          <w:color w:val="000000" w:themeColor="text1"/>
          <w14:textFill>
            <w14:solidFill>
              <w14:schemeClr w14:val="tx1"/>
            </w14:solidFill>
          </w14:textFill>
        </w:rPr>
        <w:t>，在T时间内该声源工作时间为</w:t>
      </w:r>
      <w:r>
        <w:rPr>
          <w:rFonts w:ascii="宋体" w:hAnsi="宋体"/>
          <w:i/>
          <w:color w:val="000000" w:themeColor="text1"/>
          <w14:textFill>
            <w14:solidFill>
              <w14:schemeClr w14:val="tx1"/>
            </w14:solidFill>
          </w14:textFill>
        </w:rPr>
        <w:t>t</w:t>
      </w:r>
      <w:r>
        <w:rPr>
          <w:rFonts w:ascii="宋体" w:hAnsi="宋体"/>
          <w:i/>
          <w:color w:val="000000" w:themeColor="text1"/>
          <w:vertAlign w:val="subscript"/>
          <w14:textFill>
            <w14:solidFill>
              <w14:schemeClr w14:val="tx1"/>
            </w14:solidFill>
          </w14:textFill>
        </w:rPr>
        <w:t>in,i</w:t>
      </w:r>
      <w:r>
        <w:rPr>
          <w:rFonts w:ascii="宋体" w:hAnsi="宋体"/>
          <w:color w:val="000000" w:themeColor="text1"/>
          <w14:textFill>
            <w14:solidFill>
              <w14:schemeClr w14:val="tx1"/>
            </w14:solidFill>
          </w14:textFill>
        </w:rPr>
        <w:t>；第j个等效室外声源在预测点产生的A声级为</w:t>
      </w:r>
      <w:r>
        <w:rPr>
          <w:rFonts w:ascii="宋体" w:hAnsi="宋体"/>
          <w:i/>
          <w:color w:val="000000" w:themeColor="text1"/>
          <w14:textFill>
            <w14:solidFill>
              <w14:schemeClr w14:val="tx1"/>
            </w14:solidFill>
          </w14:textFill>
        </w:rPr>
        <w:t>L</w:t>
      </w:r>
      <w:r>
        <w:rPr>
          <w:rFonts w:ascii="宋体" w:hAnsi="宋体"/>
          <w:i/>
          <w:color w:val="000000" w:themeColor="text1"/>
          <w:vertAlign w:val="subscript"/>
          <w14:textFill>
            <w14:solidFill>
              <w14:schemeClr w14:val="tx1"/>
            </w14:solidFill>
          </w14:textFill>
        </w:rPr>
        <w:t>Aout,j</w:t>
      </w:r>
      <w:r>
        <w:rPr>
          <w:rFonts w:ascii="宋体" w:hAnsi="宋体"/>
          <w:color w:val="000000" w:themeColor="text1"/>
          <w14:textFill>
            <w14:solidFill>
              <w14:schemeClr w14:val="tx1"/>
            </w14:solidFill>
          </w14:textFill>
        </w:rPr>
        <w:t>，在T时间内该声源工作时间为</w:t>
      </w:r>
      <w:r>
        <w:rPr>
          <w:rFonts w:ascii="宋体" w:hAnsi="宋体"/>
          <w:i/>
          <w:color w:val="000000" w:themeColor="text1"/>
          <w14:textFill>
            <w14:solidFill>
              <w14:schemeClr w14:val="tx1"/>
            </w14:solidFill>
          </w14:textFill>
        </w:rPr>
        <w:t>t</w:t>
      </w:r>
      <w:r>
        <w:rPr>
          <w:rFonts w:ascii="宋体" w:hAnsi="宋体"/>
          <w:i/>
          <w:color w:val="000000" w:themeColor="text1"/>
          <w:vertAlign w:val="subscript"/>
          <w14:textFill>
            <w14:solidFill>
              <w14:schemeClr w14:val="tx1"/>
            </w14:solidFill>
          </w14:textFill>
        </w:rPr>
        <w:t>out,j</w:t>
      </w:r>
      <w:r>
        <w:rPr>
          <w:rFonts w:ascii="宋体" w:hAnsi="宋体"/>
          <w:color w:val="000000" w:themeColor="text1"/>
          <w14:textFill>
            <w14:solidFill>
              <w14:schemeClr w14:val="tx1"/>
            </w14:solidFill>
          </w14:textFill>
        </w:rPr>
        <w:t>，则预测点的总等效声级</w:t>
      </w:r>
      <w:r>
        <w:rPr>
          <w:rFonts w:hint="eastAsia" w:ascii="宋体" w:hAnsi="宋体"/>
          <w:color w:val="000000" w:themeColor="text1"/>
          <w14:textFill>
            <w14:solidFill>
              <w14:schemeClr w14:val="tx1"/>
            </w14:solidFill>
          </w14:textFill>
        </w:rPr>
        <w:t>按照下列公式进行计算：</w:t>
      </w:r>
    </w:p>
    <w:p w14:paraId="632DF35D">
      <w:pPr>
        <w:spacing w:before="156" w:beforeLines="50" w:after="156" w:afterLines="50" w:line="500" w:lineRule="atLeast"/>
        <w:jc w:val="center"/>
        <w:rPr>
          <w:rFonts w:hint="eastAsia" w:ascii="宋体" w:hAnsi="宋体"/>
          <w:color w:val="000000" w:themeColor="text1"/>
          <w14:textFill>
            <w14:solidFill>
              <w14:schemeClr w14:val="tx1"/>
            </w14:solidFill>
          </w14:textFill>
        </w:rPr>
      </w:pPr>
      <w:r>
        <w:rPr>
          <w:rFonts w:ascii="宋体" w:hAnsi="宋体"/>
          <w:color w:val="000000" w:themeColor="text1"/>
          <w:position w:val="-32"/>
          <w14:textFill>
            <w14:solidFill>
              <w14:schemeClr w14:val="tx1"/>
            </w14:solidFill>
          </w14:textFill>
        </w:rPr>
        <w:object>
          <v:shape id="_x0000_i1027" o:spt="75" type="#_x0000_t75" style="height:34.65pt;width:247.9pt;" o:ole="t" filled="f" o:preferrelative="t" stroked="f" coordsize="21600,21600">
            <v:path/>
            <v:fill on="f" focussize="0,0"/>
            <v:stroke on="f" joinstyle="miter"/>
            <v:imagedata r:id="rId34" o:title=""/>
            <o:lock v:ext="edit" aspectratio="t"/>
            <w10:wrap type="none"/>
            <w10:anchorlock/>
          </v:shape>
          <o:OLEObject Type="Embed" ProgID="Visio.Drawing.11" ShapeID="_x0000_i1027" DrawAspect="Content" ObjectID="_1468075727" r:id="rId33">
            <o:LockedField>false</o:LockedField>
          </o:OLEObject>
        </w:object>
      </w:r>
    </w:p>
    <w:p w14:paraId="74DE2AB2">
      <w:pPr>
        <w:spacing w:line="500" w:lineRule="atLeast"/>
        <w:ind w:firstLine="480" w:firstLineChars="200"/>
        <w:rPr>
          <w:rFonts w:hint="eastAsia" w:ascii="宋体" w:hAnsi="宋体"/>
          <w:color w:val="000000" w:themeColor="text1"/>
          <w:sz w:val="24"/>
          <w:szCs w:val="24"/>
          <w14:textFill>
            <w14:solidFill>
              <w14:schemeClr w14:val="tx1"/>
            </w14:solidFill>
          </w14:textFill>
        </w:rPr>
      </w:pPr>
      <w:r>
        <w:rPr>
          <w:rFonts w:ascii="宋体" w:hAnsi="宋体"/>
          <w:color w:val="000000" w:themeColor="text1"/>
          <w:sz w:val="24"/>
          <w:szCs w:val="24"/>
          <w14:textFill>
            <w14:solidFill>
              <w14:schemeClr w14:val="tx1"/>
            </w14:solidFill>
          </w14:textFill>
        </w:rPr>
        <w:t>式中：</w:t>
      </w:r>
    </w:p>
    <w:p w14:paraId="0A18EECC">
      <w:pPr>
        <w:spacing w:line="500" w:lineRule="atLeast"/>
        <w:ind w:firstLine="480" w:firstLineChars="200"/>
        <w:rPr>
          <w:rFonts w:hint="eastAsia" w:ascii="宋体" w:hAnsi="宋体"/>
          <w:color w:val="000000" w:themeColor="text1"/>
          <w:sz w:val="24"/>
          <w:szCs w:val="24"/>
          <w14:textFill>
            <w14:solidFill>
              <w14:schemeClr w14:val="tx1"/>
            </w14:solidFill>
          </w14:textFill>
        </w:rPr>
      </w:pPr>
      <w:r>
        <w:rPr>
          <w:rFonts w:ascii="宋体" w:hAnsi="宋体"/>
          <w:color w:val="000000" w:themeColor="text1"/>
          <w:sz w:val="24"/>
          <w:szCs w:val="24"/>
          <w14:textFill>
            <w14:solidFill>
              <w14:schemeClr w14:val="tx1"/>
            </w14:solidFill>
          </w14:textFill>
        </w:rPr>
        <w:t xml:space="preserve">      T</w:t>
      </w:r>
      <w:r>
        <w:rPr>
          <w:rFonts w:hint="eastAsia" w:ascii="宋体" w:hAnsi="宋体"/>
          <w:color w:val="000000" w:themeColor="text1"/>
          <w:sz w:val="24"/>
          <w:szCs w:val="24"/>
          <w14:textFill>
            <w14:solidFill>
              <w14:schemeClr w14:val="tx1"/>
            </w14:solidFill>
          </w14:textFill>
        </w:rPr>
        <w:t>——</w:t>
      </w:r>
      <w:r>
        <w:rPr>
          <w:rFonts w:ascii="宋体" w:hAnsi="宋体"/>
          <w:color w:val="000000" w:themeColor="text1"/>
          <w:sz w:val="24"/>
          <w:szCs w:val="24"/>
          <w14:textFill>
            <w14:solidFill>
              <w14:schemeClr w14:val="tx1"/>
            </w14:solidFill>
          </w14:textFill>
        </w:rPr>
        <w:t>计算等效声级的时间</w:t>
      </w:r>
      <w:r>
        <w:rPr>
          <w:rFonts w:hint="eastAsia" w:ascii="宋体" w:hAnsi="宋体"/>
          <w:color w:val="000000" w:themeColor="text1"/>
          <w:sz w:val="24"/>
          <w:szCs w:val="24"/>
          <w14:textFill>
            <w14:solidFill>
              <w14:schemeClr w14:val="tx1"/>
            </w14:solidFill>
          </w14:textFill>
        </w:rPr>
        <w:t>；</w:t>
      </w:r>
    </w:p>
    <w:p w14:paraId="798DAC99">
      <w:pPr>
        <w:spacing w:line="500" w:lineRule="atLeast"/>
        <w:ind w:firstLine="480" w:firstLineChars="200"/>
        <w:rPr>
          <w:rFonts w:hint="eastAsia" w:ascii="宋体" w:hAnsi="宋体"/>
          <w:color w:val="000000" w:themeColor="text1"/>
          <w:sz w:val="24"/>
          <w:szCs w:val="24"/>
          <w14:textFill>
            <w14:solidFill>
              <w14:schemeClr w14:val="tx1"/>
            </w14:solidFill>
          </w14:textFill>
        </w:rPr>
      </w:pPr>
      <w:r>
        <w:rPr>
          <w:rFonts w:ascii="宋体" w:hAnsi="宋体"/>
          <w:color w:val="000000" w:themeColor="text1"/>
          <w:sz w:val="24"/>
          <w:szCs w:val="24"/>
          <w14:textFill>
            <w14:solidFill>
              <w14:schemeClr w14:val="tx1"/>
            </w14:solidFill>
          </w14:textFill>
        </w:rPr>
        <w:t xml:space="preserve">      N</w:t>
      </w:r>
      <w:r>
        <w:rPr>
          <w:rFonts w:hint="eastAsia" w:ascii="宋体" w:hAnsi="宋体"/>
          <w:color w:val="000000" w:themeColor="text1"/>
          <w:sz w:val="24"/>
          <w:szCs w:val="24"/>
          <w14:textFill>
            <w14:solidFill>
              <w14:schemeClr w14:val="tx1"/>
            </w14:solidFill>
          </w14:textFill>
        </w:rPr>
        <w:t>——</w:t>
      </w:r>
      <w:r>
        <w:rPr>
          <w:rFonts w:ascii="宋体" w:hAnsi="宋体"/>
          <w:color w:val="000000" w:themeColor="text1"/>
          <w:sz w:val="24"/>
          <w:szCs w:val="24"/>
          <w14:textFill>
            <w14:solidFill>
              <w14:schemeClr w14:val="tx1"/>
            </w14:solidFill>
          </w14:textFill>
        </w:rPr>
        <w:t>为室外声源个数</w:t>
      </w:r>
      <w:r>
        <w:rPr>
          <w:rFonts w:hint="eastAsia" w:ascii="宋体" w:hAnsi="宋体"/>
          <w:color w:val="000000" w:themeColor="text1"/>
          <w:sz w:val="24"/>
          <w:szCs w:val="24"/>
          <w14:textFill>
            <w14:solidFill>
              <w14:schemeClr w14:val="tx1"/>
            </w14:solidFill>
          </w14:textFill>
        </w:rPr>
        <w:t>；</w:t>
      </w:r>
    </w:p>
    <w:p w14:paraId="4B235507">
      <w:pPr>
        <w:spacing w:line="500" w:lineRule="atLeast"/>
        <w:ind w:firstLine="480" w:firstLineChars="200"/>
        <w:rPr>
          <w:rFonts w:hint="eastAsia" w:ascii="宋体" w:hAnsi="宋体"/>
          <w:color w:val="000000" w:themeColor="text1"/>
          <w:sz w:val="24"/>
          <w:szCs w:val="24"/>
          <w14:textFill>
            <w14:solidFill>
              <w14:schemeClr w14:val="tx1"/>
            </w14:solidFill>
          </w14:textFill>
        </w:rPr>
      </w:pPr>
      <w:r>
        <w:rPr>
          <w:rFonts w:ascii="宋体" w:hAnsi="宋体"/>
          <w:color w:val="000000" w:themeColor="text1"/>
          <w:sz w:val="24"/>
          <w:szCs w:val="24"/>
          <w14:textFill>
            <w14:solidFill>
              <w14:schemeClr w14:val="tx1"/>
            </w14:solidFill>
          </w14:textFill>
        </w:rPr>
        <w:t xml:space="preserve">      M</w:t>
      </w:r>
      <w:r>
        <w:rPr>
          <w:rFonts w:hint="eastAsia" w:ascii="宋体" w:hAnsi="宋体"/>
          <w:color w:val="000000" w:themeColor="text1"/>
          <w:sz w:val="24"/>
          <w:szCs w:val="24"/>
          <w14:textFill>
            <w14:solidFill>
              <w14:schemeClr w14:val="tx1"/>
            </w14:solidFill>
          </w14:textFill>
        </w:rPr>
        <w:t>——</w:t>
      </w:r>
      <w:r>
        <w:rPr>
          <w:rFonts w:ascii="宋体" w:hAnsi="宋体"/>
          <w:color w:val="000000" w:themeColor="text1"/>
          <w:sz w:val="24"/>
          <w:szCs w:val="24"/>
          <w14:textFill>
            <w14:solidFill>
              <w14:schemeClr w14:val="tx1"/>
            </w14:solidFill>
          </w14:textFill>
        </w:rPr>
        <w:t>为等效室外声源个数。</w:t>
      </w:r>
    </w:p>
    <w:bookmarkEnd w:id="555"/>
    <w:p w14:paraId="2581D9AB">
      <w:pPr>
        <w:pStyle w:val="45"/>
        <w:adjustRightInd w:val="0"/>
        <w:snapToGrid w:val="0"/>
        <w:spacing w:line="500" w:lineRule="exact"/>
        <w:ind w:firstLine="480" w:firstLineChars="200"/>
        <w:jc w:val="both"/>
        <w:rPr>
          <w:rFonts w:hint="eastAsia" w:ascii="宋体" w:hAnsi="宋体"/>
          <w:color w:val="000000" w:themeColor="text1"/>
          <w:szCs w:val="22"/>
          <w:lang w:val="zh-CN" w:bidi="ar"/>
          <w14:textFill>
            <w14:solidFill>
              <w14:schemeClr w14:val="tx1"/>
            </w14:solidFill>
          </w14:textFill>
        </w:rPr>
      </w:pPr>
      <w:r>
        <w:rPr>
          <w:rFonts w:hint="eastAsia" w:ascii="宋体" w:hAnsi="宋体"/>
          <w:color w:val="000000" w:themeColor="text1"/>
          <w:szCs w:val="22"/>
          <w:lang w:val="zh-CN" w:bidi="ar"/>
          <w14:textFill>
            <w14:solidFill>
              <w14:schemeClr w14:val="tx1"/>
            </w14:solidFill>
          </w14:textFill>
        </w:rPr>
        <w:t>（</w:t>
      </w:r>
      <w:r>
        <w:rPr>
          <w:rFonts w:hint="eastAsia" w:ascii="宋体" w:hAnsi="宋体"/>
          <w:color w:val="000000" w:themeColor="text1"/>
          <w:szCs w:val="22"/>
          <w:lang w:bidi="ar"/>
          <w14:textFill>
            <w14:solidFill>
              <w14:schemeClr w14:val="tx1"/>
            </w14:solidFill>
          </w14:textFill>
        </w:rPr>
        <w:t>2</w:t>
      </w:r>
      <w:r>
        <w:rPr>
          <w:rFonts w:hint="eastAsia" w:ascii="宋体" w:hAnsi="宋体"/>
          <w:color w:val="000000" w:themeColor="text1"/>
          <w:szCs w:val="22"/>
          <w:lang w:val="zh-CN" w:bidi="ar"/>
          <w14:textFill>
            <w14:solidFill>
              <w14:schemeClr w14:val="tx1"/>
            </w14:solidFill>
          </w14:textFill>
        </w:rPr>
        <w:t>）噪声源源强及分布</w:t>
      </w:r>
    </w:p>
    <w:p w14:paraId="01882CB9">
      <w:pPr>
        <w:pStyle w:val="162"/>
        <w:rPr>
          <w:rStyle w:val="233"/>
          <w:rFonts w:hint="eastAsia"/>
          <w:color w:val="000000" w:themeColor="text1"/>
          <w14:textFill>
            <w14:solidFill>
              <w14:schemeClr w14:val="tx1"/>
            </w14:solidFill>
          </w14:textFill>
        </w:rPr>
      </w:pPr>
      <w:r>
        <w:rPr>
          <w:rFonts w:hint="eastAsia" w:cs="宋体"/>
          <w:color w:val="000000" w:themeColor="text1"/>
          <w:lang w:bidi="ar"/>
          <w14:textFill>
            <w14:solidFill>
              <w14:schemeClr w14:val="tx1"/>
            </w14:solidFill>
          </w14:textFill>
        </w:rPr>
        <w:t>噪声源强主要为井场内的各类机泵，噪声源强在</w:t>
      </w:r>
      <w:r>
        <w:rPr>
          <w:rFonts w:cs="宋体"/>
          <w:color w:val="000000" w:themeColor="text1"/>
          <w:lang w:bidi="ar"/>
          <w14:textFill>
            <w14:solidFill>
              <w14:schemeClr w14:val="tx1"/>
            </w14:solidFill>
          </w14:textFill>
        </w:rPr>
        <w:t>85</w:t>
      </w:r>
      <w:r>
        <w:rPr>
          <w:rFonts w:hint="eastAsia" w:cs="宋体"/>
          <w:color w:val="000000" w:themeColor="text1"/>
          <w:lang w:bidi="ar"/>
          <w14:textFill>
            <w14:solidFill>
              <w14:schemeClr w14:val="tx1"/>
            </w14:solidFill>
          </w14:textFill>
        </w:rPr>
        <w:t>～</w:t>
      </w:r>
      <w:r>
        <w:rPr>
          <w:rFonts w:cs="宋体"/>
          <w:color w:val="000000" w:themeColor="text1"/>
          <w:lang w:bidi="ar"/>
          <w14:textFill>
            <w14:solidFill>
              <w14:schemeClr w14:val="tx1"/>
            </w14:solidFill>
          </w14:textFill>
        </w:rPr>
        <w:t>9</w:t>
      </w:r>
      <w:r>
        <w:rPr>
          <w:rFonts w:hint="eastAsia" w:cs="宋体"/>
          <w:color w:val="000000" w:themeColor="text1"/>
          <w:lang w:bidi="ar"/>
          <w14:textFill>
            <w14:solidFill>
              <w14:schemeClr w14:val="tx1"/>
            </w14:solidFill>
          </w14:textFill>
        </w:rPr>
        <w:t>0dB（A）之间，设备选用低噪设备，并采取基础减振等措施，衰减量按2</w:t>
      </w:r>
      <w:r>
        <w:rPr>
          <w:rFonts w:cs="宋体"/>
          <w:color w:val="000000" w:themeColor="text1"/>
          <w:lang w:bidi="ar"/>
          <w14:textFill>
            <w14:solidFill>
              <w14:schemeClr w14:val="tx1"/>
            </w14:solidFill>
          </w14:textFill>
        </w:rPr>
        <w:t>5</w:t>
      </w:r>
      <w:r>
        <w:rPr>
          <w:rFonts w:hint="eastAsia" w:cs="宋体"/>
          <w:color w:val="000000" w:themeColor="text1"/>
          <w:lang w:bidi="ar"/>
          <w14:textFill>
            <w14:solidFill>
              <w14:schemeClr w14:val="tx1"/>
            </w14:solidFill>
          </w14:textFill>
        </w:rPr>
        <w:t>dB（A）计，噪声不高于65dB（A），噪声源强见</w:t>
      </w:r>
      <w:r>
        <w:rPr>
          <w:rFonts w:hint="eastAsia"/>
          <w:color w:val="000000" w:themeColor="text1"/>
          <w14:textFill>
            <w14:solidFill>
              <w14:schemeClr w14:val="tx1"/>
            </w14:solidFill>
          </w14:textFill>
        </w:rPr>
        <w:t>表</w:t>
      </w:r>
      <w:r>
        <w:rPr>
          <w:color w:val="000000" w:themeColor="text1"/>
          <w14:textFill>
            <w14:solidFill>
              <w14:schemeClr w14:val="tx1"/>
            </w14:solidFill>
          </w14:textFill>
        </w:rPr>
        <w:t>3.3</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16</w:t>
      </w:r>
      <w:r>
        <w:rPr>
          <w:rStyle w:val="233"/>
          <w:rFonts w:hint="eastAsia"/>
          <w:color w:val="000000" w:themeColor="text1"/>
          <w14:textFill>
            <w14:solidFill>
              <w14:schemeClr w14:val="tx1"/>
            </w14:solidFill>
          </w14:textFill>
        </w:rPr>
        <w:t>。</w:t>
      </w:r>
    </w:p>
    <w:p w14:paraId="60286024">
      <w:pPr>
        <w:spacing w:line="520" w:lineRule="exact"/>
        <w:ind w:firstLine="480"/>
        <w:rPr>
          <w:rFonts w:hint="eastAsia" w:ascii="宋体" w:hAnsi="宋体" w:cs="宋体"/>
          <w:color w:val="000000" w:themeColor="text1"/>
          <w:sz w:val="24"/>
          <w:szCs w:val="24"/>
          <w:lang w:bidi="ar"/>
          <w14:textFill>
            <w14:solidFill>
              <w14:schemeClr w14:val="tx1"/>
            </w14:solidFill>
          </w14:textFill>
        </w:rPr>
      </w:pPr>
      <w:bookmarkStart w:id="563" w:name="_Hlk173407296"/>
      <w:r>
        <w:rPr>
          <w:rFonts w:hint="eastAsia" w:ascii="宋体" w:hAnsi="宋体" w:cs="宋体"/>
          <w:color w:val="000000" w:themeColor="text1"/>
          <w:sz w:val="24"/>
          <w:szCs w:val="24"/>
          <w:lang w:bidi="ar"/>
          <w14:textFill>
            <w14:solidFill>
              <w14:schemeClr w14:val="tx1"/>
            </w14:solidFill>
          </w14:textFill>
        </w:rPr>
        <w:t>（3）预测结果</w:t>
      </w:r>
    </w:p>
    <w:p w14:paraId="07FD21FE">
      <w:pPr>
        <w:pStyle w:val="162"/>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因注采井场占地面积、机泵数量及源强相同，本次选取其中一座进行预测。根据以上公式，预测运营期厂界四周噪声贡献值，详见表</w:t>
      </w:r>
      <w:r>
        <w:rPr>
          <w:color w:val="000000" w:themeColor="text1"/>
          <w14:textFill>
            <w14:solidFill>
              <w14:schemeClr w14:val="tx1"/>
            </w14:solidFill>
          </w14:textFill>
        </w:rPr>
        <w:t>5.2</w:t>
      </w:r>
      <w:r>
        <w:rPr>
          <w:rFonts w:hint="eastAsia"/>
          <w:color w:val="000000" w:themeColor="text1"/>
          <w14:textFill>
            <w14:solidFill>
              <w14:schemeClr w14:val="tx1"/>
            </w14:solidFill>
          </w14:textFill>
        </w:rPr>
        <w:t>-11。</w:t>
      </w:r>
    </w:p>
    <w:p w14:paraId="150DD535">
      <w:pPr>
        <w:pStyle w:val="109"/>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表</w:t>
      </w:r>
      <w:r>
        <w:rPr>
          <w:color w:val="000000" w:themeColor="text1"/>
          <w14:textFill>
            <w14:solidFill>
              <w14:schemeClr w14:val="tx1"/>
            </w14:solidFill>
          </w14:textFill>
        </w:rPr>
        <w:t>5.2</w:t>
      </w:r>
      <w:r>
        <w:rPr>
          <w:rFonts w:hint="eastAsia"/>
          <w:color w:val="000000" w:themeColor="text1"/>
          <w14:textFill>
            <w14:solidFill>
              <w14:schemeClr w14:val="tx1"/>
            </w14:solidFill>
          </w14:textFill>
        </w:rPr>
        <w:t xml:space="preserve">-11  厂界噪声贡献值预测结果   </w:t>
      </w:r>
    </w:p>
    <w:tbl>
      <w:tblPr>
        <w:tblStyle w:val="51"/>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1000"/>
        <w:gridCol w:w="868"/>
        <w:gridCol w:w="945"/>
        <w:gridCol w:w="1221"/>
        <w:gridCol w:w="1652"/>
        <w:gridCol w:w="1160"/>
        <w:gridCol w:w="880"/>
        <w:gridCol w:w="1060"/>
      </w:tblGrid>
      <w:tr w14:paraId="62A1972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062" w:type="pct"/>
            <w:gridSpan w:val="2"/>
            <w:vMerge w:val="restart"/>
            <w:vAlign w:val="center"/>
          </w:tcPr>
          <w:p w14:paraId="4EB9141E">
            <w:pPr>
              <w:widowControl/>
              <w:adjustRightInd w:val="0"/>
              <w:snapToGrid w:val="0"/>
              <w:spacing w:line="300" w:lineRule="exact"/>
              <w:jc w:val="center"/>
              <w:rPr>
                <w:rFonts w:hint="eastAsia"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位置</w:t>
            </w:r>
          </w:p>
        </w:tc>
        <w:tc>
          <w:tcPr>
            <w:tcW w:w="2172" w:type="pct"/>
            <w:gridSpan w:val="3"/>
            <w:noWrap/>
            <w:vAlign w:val="center"/>
          </w:tcPr>
          <w:p w14:paraId="2D458FC7">
            <w:pPr>
              <w:widowControl/>
              <w:adjustRightInd w:val="0"/>
              <w:snapToGrid w:val="0"/>
              <w:spacing w:line="300" w:lineRule="exact"/>
              <w:jc w:val="center"/>
              <w:rPr>
                <w:rFonts w:hint="eastAsia"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昼间</w:t>
            </w:r>
            <w:r>
              <w:rPr>
                <w:rFonts w:ascii="宋体" w:hAnsi="宋体"/>
                <w:color w:val="000000" w:themeColor="text1"/>
                <w:kern w:val="0"/>
                <w:szCs w:val="21"/>
                <w14:textFill>
                  <w14:solidFill>
                    <w14:schemeClr w14:val="tx1"/>
                  </w14:solidFill>
                </w14:textFill>
              </w:rPr>
              <w:t>[</w:t>
            </w:r>
            <w:r>
              <w:rPr>
                <w:rFonts w:hint="eastAsia" w:ascii="宋体" w:hAnsi="宋体"/>
                <w:color w:val="000000" w:themeColor="text1"/>
                <w:kern w:val="0"/>
                <w:szCs w:val="21"/>
                <w14:textFill>
                  <w14:solidFill>
                    <w14:schemeClr w14:val="tx1"/>
                  </w14:solidFill>
                </w14:textFill>
              </w:rPr>
              <w:t>dB（A）</w:t>
            </w:r>
            <w:r>
              <w:rPr>
                <w:rFonts w:ascii="宋体" w:hAnsi="宋体"/>
                <w:color w:val="000000" w:themeColor="text1"/>
                <w:kern w:val="0"/>
                <w:szCs w:val="21"/>
                <w14:textFill>
                  <w14:solidFill>
                    <w14:schemeClr w14:val="tx1"/>
                  </w14:solidFill>
                </w14:textFill>
              </w:rPr>
              <w:t>]</w:t>
            </w:r>
          </w:p>
        </w:tc>
        <w:tc>
          <w:tcPr>
            <w:tcW w:w="1765" w:type="pct"/>
            <w:gridSpan w:val="3"/>
            <w:noWrap/>
            <w:vAlign w:val="center"/>
          </w:tcPr>
          <w:p w14:paraId="60A986B4">
            <w:pPr>
              <w:widowControl/>
              <w:adjustRightInd w:val="0"/>
              <w:snapToGrid w:val="0"/>
              <w:spacing w:line="300" w:lineRule="exact"/>
              <w:jc w:val="center"/>
              <w:rPr>
                <w:rFonts w:hint="eastAsia"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夜间</w:t>
            </w:r>
            <w:r>
              <w:rPr>
                <w:rFonts w:ascii="宋体" w:hAnsi="宋体"/>
                <w:color w:val="000000" w:themeColor="text1"/>
                <w:kern w:val="0"/>
                <w:szCs w:val="21"/>
                <w14:textFill>
                  <w14:solidFill>
                    <w14:schemeClr w14:val="tx1"/>
                  </w14:solidFill>
                </w14:textFill>
              </w:rPr>
              <w:t>[</w:t>
            </w:r>
            <w:r>
              <w:rPr>
                <w:rFonts w:hint="eastAsia" w:ascii="宋体" w:hAnsi="宋体"/>
                <w:color w:val="000000" w:themeColor="text1"/>
                <w:kern w:val="0"/>
                <w:szCs w:val="21"/>
                <w14:textFill>
                  <w14:solidFill>
                    <w14:schemeClr w14:val="tx1"/>
                  </w14:solidFill>
                </w14:textFill>
              </w:rPr>
              <w:t>dB（A）</w:t>
            </w:r>
            <w:r>
              <w:rPr>
                <w:rFonts w:ascii="宋体" w:hAnsi="宋体"/>
                <w:color w:val="000000" w:themeColor="text1"/>
                <w:kern w:val="0"/>
                <w:szCs w:val="21"/>
                <w14:textFill>
                  <w14:solidFill>
                    <w14:schemeClr w14:val="tx1"/>
                  </w14:solidFill>
                </w14:textFill>
              </w:rPr>
              <w:t>]</w:t>
            </w:r>
          </w:p>
        </w:tc>
      </w:tr>
      <w:tr w14:paraId="46E1FB8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062" w:type="pct"/>
            <w:gridSpan w:val="2"/>
            <w:vMerge w:val="continue"/>
            <w:vAlign w:val="center"/>
          </w:tcPr>
          <w:p w14:paraId="6C31C036">
            <w:pPr>
              <w:widowControl/>
              <w:adjustRightInd w:val="0"/>
              <w:snapToGrid w:val="0"/>
              <w:spacing w:line="300" w:lineRule="exact"/>
              <w:jc w:val="center"/>
              <w:rPr>
                <w:rFonts w:hint="eastAsia" w:ascii="宋体" w:hAnsi="宋体"/>
                <w:color w:val="000000" w:themeColor="text1"/>
                <w:kern w:val="0"/>
                <w:szCs w:val="21"/>
                <w14:textFill>
                  <w14:solidFill>
                    <w14:schemeClr w14:val="tx1"/>
                  </w14:solidFill>
                </w14:textFill>
              </w:rPr>
            </w:pPr>
          </w:p>
        </w:tc>
        <w:tc>
          <w:tcPr>
            <w:tcW w:w="538" w:type="pct"/>
            <w:noWrap/>
            <w:vAlign w:val="center"/>
          </w:tcPr>
          <w:p w14:paraId="4BA7C529">
            <w:pPr>
              <w:widowControl/>
              <w:adjustRightInd w:val="0"/>
              <w:snapToGrid w:val="0"/>
              <w:spacing w:line="300" w:lineRule="exact"/>
              <w:jc w:val="center"/>
              <w:rPr>
                <w:rFonts w:hint="eastAsia"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贡献值</w:t>
            </w:r>
          </w:p>
        </w:tc>
        <w:tc>
          <w:tcPr>
            <w:tcW w:w="695" w:type="pct"/>
            <w:vAlign w:val="center"/>
          </w:tcPr>
          <w:p w14:paraId="7E43A54F">
            <w:pPr>
              <w:widowControl/>
              <w:adjustRightInd w:val="0"/>
              <w:snapToGrid w:val="0"/>
              <w:spacing w:line="300" w:lineRule="exact"/>
              <w:jc w:val="center"/>
              <w:rPr>
                <w:rFonts w:hint="eastAsia"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标准值</w:t>
            </w:r>
          </w:p>
        </w:tc>
        <w:tc>
          <w:tcPr>
            <w:tcW w:w="940" w:type="pct"/>
            <w:vAlign w:val="center"/>
          </w:tcPr>
          <w:p w14:paraId="0429CBBA">
            <w:pPr>
              <w:widowControl/>
              <w:adjustRightInd w:val="0"/>
              <w:snapToGrid w:val="0"/>
              <w:spacing w:line="300" w:lineRule="exact"/>
              <w:jc w:val="center"/>
              <w:rPr>
                <w:rFonts w:hint="eastAsia"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达标情况</w:t>
            </w:r>
          </w:p>
        </w:tc>
        <w:tc>
          <w:tcPr>
            <w:tcW w:w="660" w:type="pct"/>
            <w:noWrap/>
            <w:vAlign w:val="center"/>
          </w:tcPr>
          <w:p w14:paraId="52795425">
            <w:pPr>
              <w:widowControl/>
              <w:adjustRightInd w:val="0"/>
              <w:snapToGrid w:val="0"/>
              <w:spacing w:line="300" w:lineRule="exact"/>
              <w:jc w:val="center"/>
              <w:rPr>
                <w:rFonts w:hint="eastAsia"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预测值</w:t>
            </w:r>
          </w:p>
        </w:tc>
        <w:tc>
          <w:tcPr>
            <w:tcW w:w="501" w:type="pct"/>
            <w:vAlign w:val="center"/>
          </w:tcPr>
          <w:p w14:paraId="139DE46A">
            <w:pPr>
              <w:widowControl/>
              <w:adjustRightInd w:val="0"/>
              <w:snapToGrid w:val="0"/>
              <w:spacing w:line="300" w:lineRule="exact"/>
              <w:jc w:val="center"/>
              <w:rPr>
                <w:rFonts w:hint="eastAsia"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标准值</w:t>
            </w:r>
          </w:p>
        </w:tc>
        <w:tc>
          <w:tcPr>
            <w:tcW w:w="604" w:type="pct"/>
            <w:vAlign w:val="center"/>
          </w:tcPr>
          <w:p w14:paraId="2B50693C">
            <w:pPr>
              <w:widowControl/>
              <w:adjustRightInd w:val="0"/>
              <w:snapToGrid w:val="0"/>
              <w:spacing w:line="300" w:lineRule="exact"/>
              <w:jc w:val="center"/>
              <w:rPr>
                <w:rFonts w:hint="eastAsia"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达标情况</w:t>
            </w:r>
          </w:p>
        </w:tc>
      </w:tr>
      <w:tr w14:paraId="7ED77D2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569" w:type="pct"/>
            <w:vMerge w:val="restart"/>
            <w:vAlign w:val="center"/>
          </w:tcPr>
          <w:p w14:paraId="667AACD3">
            <w:pPr>
              <w:widowControl/>
              <w:adjustRightInd w:val="0"/>
              <w:snapToGrid w:val="0"/>
              <w:spacing w:line="300" w:lineRule="exact"/>
              <w:jc w:val="center"/>
              <w:rPr>
                <w:rFonts w:hint="eastAsia" w:ascii="宋体" w:hAnsi="宋体"/>
                <w:color w:val="000000" w:themeColor="text1"/>
                <w:kern w:val="0"/>
                <w:szCs w:val="21"/>
                <w14:textFill>
                  <w14:solidFill>
                    <w14:schemeClr w14:val="tx1"/>
                  </w14:solidFill>
                </w14:textFill>
              </w:rPr>
            </w:pPr>
            <w:bookmarkStart w:id="564" w:name="_Hlk173339529"/>
            <w:r>
              <w:rPr>
                <w:rFonts w:hint="eastAsia" w:ascii="宋体" w:hAnsi="宋体" w:cs="宋体"/>
                <w:bCs/>
                <w:color w:val="000000" w:themeColor="text1"/>
                <w:szCs w:val="21"/>
                <w14:textFill>
                  <w14:solidFill>
                    <w14:schemeClr w14:val="tx1"/>
                  </w14:solidFill>
                </w14:textFill>
              </w:rPr>
              <w:t>注采井场</w:t>
            </w:r>
          </w:p>
        </w:tc>
        <w:tc>
          <w:tcPr>
            <w:tcW w:w="494" w:type="pct"/>
            <w:vAlign w:val="center"/>
          </w:tcPr>
          <w:p w14:paraId="0B450B7F">
            <w:pPr>
              <w:widowControl/>
              <w:adjustRightInd w:val="0"/>
              <w:snapToGrid w:val="0"/>
              <w:spacing w:line="300" w:lineRule="exact"/>
              <w:jc w:val="center"/>
              <w:rPr>
                <w:rFonts w:hint="eastAsia"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东厂界</w:t>
            </w:r>
          </w:p>
        </w:tc>
        <w:tc>
          <w:tcPr>
            <w:tcW w:w="538" w:type="pct"/>
            <w:noWrap/>
            <w:vAlign w:val="center"/>
          </w:tcPr>
          <w:p w14:paraId="72D6CFBD">
            <w:pPr>
              <w:adjustRightInd w:val="0"/>
              <w:snapToGrid w:val="0"/>
              <w:spacing w:line="300" w:lineRule="exact"/>
              <w:jc w:val="center"/>
              <w:rPr>
                <w:rFonts w:hint="eastAsia"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38</w:t>
            </w:r>
          </w:p>
        </w:tc>
        <w:tc>
          <w:tcPr>
            <w:tcW w:w="695" w:type="pct"/>
            <w:vAlign w:val="center"/>
          </w:tcPr>
          <w:p w14:paraId="35EC863D">
            <w:pPr>
              <w:adjustRightInd w:val="0"/>
              <w:snapToGrid w:val="0"/>
              <w:spacing w:line="300" w:lineRule="exact"/>
              <w:jc w:val="center"/>
              <w:rPr>
                <w:rFonts w:hint="eastAsia" w:ascii="宋体" w:hAnsi="宋体"/>
                <w:color w:val="000000" w:themeColor="text1"/>
                <w14:textFill>
                  <w14:solidFill>
                    <w14:schemeClr w14:val="tx1"/>
                  </w14:solidFill>
                </w14:textFill>
              </w:rPr>
            </w:pPr>
            <w:r>
              <w:rPr>
                <w:rFonts w:ascii="宋体" w:hAnsi="宋体"/>
                <w:color w:val="000000" w:themeColor="text1"/>
                <w:szCs w:val="21"/>
                <w14:textFill>
                  <w14:solidFill>
                    <w14:schemeClr w14:val="tx1"/>
                  </w14:solidFill>
                </w14:textFill>
              </w:rPr>
              <w:t>60</w:t>
            </w:r>
          </w:p>
        </w:tc>
        <w:tc>
          <w:tcPr>
            <w:tcW w:w="940" w:type="pct"/>
          </w:tcPr>
          <w:p w14:paraId="4DE6A04F">
            <w:pPr>
              <w:adjustRightInd w:val="0"/>
              <w:snapToGrid w:val="0"/>
              <w:spacing w:line="300" w:lineRule="exact"/>
              <w:jc w:val="center"/>
              <w:rPr>
                <w:rFonts w:hint="eastAsia"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达标</w:t>
            </w:r>
          </w:p>
        </w:tc>
        <w:tc>
          <w:tcPr>
            <w:tcW w:w="660" w:type="pct"/>
            <w:noWrap/>
            <w:vAlign w:val="center"/>
          </w:tcPr>
          <w:p w14:paraId="23A0E1D9">
            <w:pPr>
              <w:adjustRightInd w:val="0"/>
              <w:snapToGrid w:val="0"/>
              <w:spacing w:line="300" w:lineRule="exact"/>
              <w:jc w:val="center"/>
              <w:rPr>
                <w:rFonts w:hint="eastAsia" w:ascii="宋体" w:hAnsi="宋体"/>
                <w:color w:val="000000" w:themeColor="text1"/>
                <w:szCs w:val="21"/>
                <w14:textFill>
                  <w14:solidFill>
                    <w14:schemeClr w14:val="tx1"/>
                  </w14:solidFill>
                </w14:textFill>
              </w:rPr>
            </w:pPr>
            <w:r>
              <w:rPr>
                <w:rFonts w:hint="eastAsia" w:ascii="宋体" w:hAnsi="宋体"/>
                <w:color w:val="000000" w:themeColor="text1"/>
                <w14:textFill>
                  <w14:solidFill>
                    <w14:schemeClr w14:val="tx1"/>
                  </w14:solidFill>
                </w14:textFill>
              </w:rPr>
              <w:t>38</w:t>
            </w:r>
          </w:p>
        </w:tc>
        <w:tc>
          <w:tcPr>
            <w:tcW w:w="501" w:type="pct"/>
            <w:vAlign w:val="center"/>
          </w:tcPr>
          <w:p w14:paraId="6E0511EE">
            <w:pPr>
              <w:adjustRightInd w:val="0"/>
              <w:snapToGrid w:val="0"/>
              <w:spacing w:line="300" w:lineRule="exact"/>
              <w:jc w:val="center"/>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5</w:t>
            </w:r>
            <w:r>
              <w:rPr>
                <w:rFonts w:ascii="宋体" w:hAnsi="宋体"/>
                <w:color w:val="000000" w:themeColor="text1"/>
                <w:szCs w:val="21"/>
                <w14:textFill>
                  <w14:solidFill>
                    <w14:schemeClr w14:val="tx1"/>
                  </w14:solidFill>
                </w14:textFill>
              </w:rPr>
              <w:t>0</w:t>
            </w:r>
          </w:p>
        </w:tc>
        <w:tc>
          <w:tcPr>
            <w:tcW w:w="604" w:type="pct"/>
            <w:vAlign w:val="center"/>
          </w:tcPr>
          <w:p w14:paraId="538DB7F8">
            <w:pPr>
              <w:adjustRightInd w:val="0"/>
              <w:snapToGrid w:val="0"/>
              <w:spacing w:line="300" w:lineRule="exact"/>
              <w:jc w:val="center"/>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达标</w:t>
            </w:r>
          </w:p>
        </w:tc>
      </w:tr>
      <w:tr w14:paraId="28BE65D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569" w:type="pct"/>
            <w:vMerge w:val="continue"/>
            <w:vAlign w:val="center"/>
          </w:tcPr>
          <w:p w14:paraId="2BE86B9A">
            <w:pPr>
              <w:widowControl/>
              <w:adjustRightInd w:val="0"/>
              <w:snapToGrid w:val="0"/>
              <w:spacing w:line="300" w:lineRule="exact"/>
              <w:jc w:val="center"/>
              <w:rPr>
                <w:rFonts w:hint="eastAsia" w:ascii="宋体" w:hAnsi="宋体"/>
                <w:color w:val="000000" w:themeColor="text1"/>
                <w:kern w:val="0"/>
                <w:szCs w:val="21"/>
                <w14:textFill>
                  <w14:solidFill>
                    <w14:schemeClr w14:val="tx1"/>
                  </w14:solidFill>
                </w14:textFill>
              </w:rPr>
            </w:pPr>
          </w:p>
        </w:tc>
        <w:tc>
          <w:tcPr>
            <w:tcW w:w="494" w:type="pct"/>
            <w:vAlign w:val="center"/>
          </w:tcPr>
          <w:p w14:paraId="0E74BC4E">
            <w:pPr>
              <w:widowControl/>
              <w:adjustRightInd w:val="0"/>
              <w:snapToGrid w:val="0"/>
              <w:spacing w:line="300" w:lineRule="exact"/>
              <w:jc w:val="center"/>
              <w:rPr>
                <w:rFonts w:hint="eastAsia"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南厂界</w:t>
            </w:r>
          </w:p>
        </w:tc>
        <w:tc>
          <w:tcPr>
            <w:tcW w:w="538" w:type="pct"/>
            <w:noWrap/>
          </w:tcPr>
          <w:p w14:paraId="2F68A925">
            <w:pPr>
              <w:adjustRightInd w:val="0"/>
              <w:snapToGrid w:val="0"/>
              <w:spacing w:line="300" w:lineRule="exact"/>
              <w:jc w:val="center"/>
              <w:rPr>
                <w:rFonts w:hint="eastAsia"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45</w:t>
            </w:r>
          </w:p>
        </w:tc>
        <w:tc>
          <w:tcPr>
            <w:tcW w:w="695" w:type="pct"/>
            <w:vAlign w:val="center"/>
          </w:tcPr>
          <w:p w14:paraId="5D2DBBBE">
            <w:pPr>
              <w:adjustRightInd w:val="0"/>
              <w:snapToGrid w:val="0"/>
              <w:spacing w:line="300" w:lineRule="exact"/>
              <w:jc w:val="center"/>
              <w:rPr>
                <w:rFonts w:hint="eastAsia" w:ascii="宋体" w:hAnsi="宋体"/>
                <w:color w:val="000000" w:themeColor="text1"/>
                <w14:textFill>
                  <w14:solidFill>
                    <w14:schemeClr w14:val="tx1"/>
                  </w14:solidFill>
                </w14:textFill>
              </w:rPr>
            </w:pPr>
            <w:r>
              <w:rPr>
                <w:rFonts w:ascii="宋体" w:hAnsi="宋体"/>
                <w:color w:val="000000" w:themeColor="text1"/>
                <w:szCs w:val="21"/>
                <w14:textFill>
                  <w14:solidFill>
                    <w14:schemeClr w14:val="tx1"/>
                  </w14:solidFill>
                </w14:textFill>
              </w:rPr>
              <w:t>60</w:t>
            </w:r>
          </w:p>
        </w:tc>
        <w:tc>
          <w:tcPr>
            <w:tcW w:w="940" w:type="pct"/>
          </w:tcPr>
          <w:p w14:paraId="3E8856EB">
            <w:pPr>
              <w:adjustRightInd w:val="0"/>
              <w:snapToGrid w:val="0"/>
              <w:spacing w:line="300" w:lineRule="exact"/>
              <w:jc w:val="center"/>
              <w:rPr>
                <w:rFonts w:hint="eastAsia"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达标</w:t>
            </w:r>
          </w:p>
        </w:tc>
        <w:tc>
          <w:tcPr>
            <w:tcW w:w="660" w:type="pct"/>
            <w:noWrap/>
          </w:tcPr>
          <w:p w14:paraId="0F7B489F">
            <w:pPr>
              <w:adjustRightInd w:val="0"/>
              <w:snapToGrid w:val="0"/>
              <w:spacing w:line="300" w:lineRule="exact"/>
              <w:jc w:val="center"/>
              <w:rPr>
                <w:rFonts w:hint="eastAsia" w:ascii="宋体" w:hAnsi="宋体"/>
                <w:color w:val="000000" w:themeColor="text1"/>
                <w:szCs w:val="21"/>
                <w14:textFill>
                  <w14:solidFill>
                    <w14:schemeClr w14:val="tx1"/>
                  </w14:solidFill>
                </w14:textFill>
              </w:rPr>
            </w:pPr>
            <w:r>
              <w:rPr>
                <w:rFonts w:hint="eastAsia" w:ascii="宋体" w:hAnsi="宋体"/>
                <w:color w:val="000000" w:themeColor="text1"/>
                <w14:textFill>
                  <w14:solidFill>
                    <w14:schemeClr w14:val="tx1"/>
                  </w14:solidFill>
                </w14:textFill>
              </w:rPr>
              <w:t>45</w:t>
            </w:r>
          </w:p>
        </w:tc>
        <w:tc>
          <w:tcPr>
            <w:tcW w:w="501" w:type="pct"/>
            <w:vAlign w:val="center"/>
          </w:tcPr>
          <w:p w14:paraId="079DA7AC">
            <w:pPr>
              <w:adjustRightInd w:val="0"/>
              <w:snapToGrid w:val="0"/>
              <w:spacing w:line="300" w:lineRule="exact"/>
              <w:jc w:val="center"/>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5</w:t>
            </w:r>
            <w:r>
              <w:rPr>
                <w:rFonts w:ascii="宋体" w:hAnsi="宋体"/>
                <w:color w:val="000000" w:themeColor="text1"/>
                <w:szCs w:val="21"/>
                <w14:textFill>
                  <w14:solidFill>
                    <w14:schemeClr w14:val="tx1"/>
                  </w14:solidFill>
                </w14:textFill>
              </w:rPr>
              <w:t>0</w:t>
            </w:r>
          </w:p>
        </w:tc>
        <w:tc>
          <w:tcPr>
            <w:tcW w:w="604" w:type="pct"/>
            <w:vAlign w:val="center"/>
          </w:tcPr>
          <w:p w14:paraId="463635E5">
            <w:pPr>
              <w:adjustRightInd w:val="0"/>
              <w:snapToGrid w:val="0"/>
              <w:spacing w:line="300" w:lineRule="exact"/>
              <w:jc w:val="center"/>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达标</w:t>
            </w:r>
          </w:p>
        </w:tc>
      </w:tr>
      <w:tr w14:paraId="7555691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569" w:type="pct"/>
            <w:vMerge w:val="continue"/>
            <w:vAlign w:val="center"/>
          </w:tcPr>
          <w:p w14:paraId="2B54AB50">
            <w:pPr>
              <w:widowControl/>
              <w:adjustRightInd w:val="0"/>
              <w:snapToGrid w:val="0"/>
              <w:spacing w:line="300" w:lineRule="exact"/>
              <w:jc w:val="center"/>
              <w:rPr>
                <w:rFonts w:hint="eastAsia" w:ascii="宋体" w:hAnsi="宋体"/>
                <w:color w:val="000000" w:themeColor="text1"/>
                <w:kern w:val="0"/>
                <w:szCs w:val="21"/>
                <w14:textFill>
                  <w14:solidFill>
                    <w14:schemeClr w14:val="tx1"/>
                  </w14:solidFill>
                </w14:textFill>
              </w:rPr>
            </w:pPr>
          </w:p>
        </w:tc>
        <w:tc>
          <w:tcPr>
            <w:tcW w:w="494" w:type="pct"/>
            <w:vAlign w:val="center"/>
          </w:tcPr>
          <w:p w14:paraId="6A3CF23A">
            <w:pPr>
              <w:widowControl/>
              <w:adjustRightInd w:val="0"/>
              <w:snapToGrid w:val="0"/>
              <w:spacing w:line="300" w:lineRule="exact"/>
              <w:jc w:val="center"/>
              <w:rPr>
                <w:rFonts w:hint="eastAsia"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西厂界</w:t>
            </w:r>
          </w:p>
        </w:tc>
        <w:tc>
          <w:tcPr>
            <w:tcW w:w="538" w:type="pct"/>
            <w:noWrap/>
          </w:tcPr>
          <w:p w14:paraId="3F2596ED">
            <w:pPr>
              <w:adjustRightInd w:val="0"/>
              <w:snapToGrid w:val="0"/>
              <w:spacing w:line="300" w:lineRule="exact"/>
              <w:jc w:val="center"/>
              <w:rPr>
                <w:rFonts w:hint="eastAsia"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43</w:t>
            </w:r>
          </w:p>
        </w:tc>
        <w:tc>
          <w:tcPr>
            <w:tcW w:w="695" w:type="pct"/>
            <w:vAlign w:val="center"/>
          </w:tcPr>
          <w:p w14:paraId="201BE59B">
            <w:pPr>
              <w:adjustRightInd w:val="0"/>
              <w:snapToGrid w:val="0"/>
              <w:spacing w:line="300" w:lineRule="exact"/>
              <w:jc w:val="center"/>
              <w:rPr>
                <w:rFonts w:hint="eastAsia" w:ascii="宋体" w:hAnsi="宋体"/>
                <w:color w:val="000000" w:themeColor="text1"/>
                <w14:textFill>
                  <w14:solidFill>
                    <w14:schemeClr w14:val="tx1"/>
                  </w14:solidFill>
                </w14:textFill>
              </w:rPr>
            </w:pPr>
            <w:r>
              <w:rPr>
                <w:rFonts w:ascii="宋体" w:hAnsi="宋体"/>
                <w:color w:val="000000" w:themeColor="text1"/>
                <w:szCs w:val="21"/>
                <w14:textFill>
                  <w14:solidFill>
                    <w14:schemeClr w14:val="tx1"/>
                  </w14:solidFill>
                </w14:textFill>
              </w:rPr>
              <w:t>60</w:t>
            </w:r>
          </w:p>
        </w:tc>
        <w:tc>
          <w:tcPr>
            <w:tcW w:w="940" w:type="pct"/>
          </w:tcPr>
          <w:p w14:paraId="6944272D">
            <w:pPr>
              <w:adjustRightInd w:val="0"/>
              <w:snapToGrid w:val="0"/>
              <w:spacing w:line="300" w:lineRule="exact"/>
              <w:jc w:val="center"/>
              <w:rPr>
                <w:rFonts w:hint="eastAsia"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达标</w:t>
            </w:r>
          </w:p>
        </w:tc>
        <w:tc>
          <w:tcPr>
            <w:tcW w:w="660" w:type="pct"/>
            <w:noWrap/>
          </w:tcPr>
          <w:p w14:paraId="769FC834">
            <w:pPr>
              <w:adjustRightInd w:val="0"/>
              <w:snapToGrid w:val="0"/>
              <w:spacing w:line="300" w:lineRule="exact"/>
              <w:jc w:val="center"/>
              <w:rPr>
                <w:rFonts w:hint="eastAsia" w:ascii="宋体" w:hAnsi="宋体"/>
                <w:color w:val="000000" w:themeColor="text1"/>
                <w:szCs w:val="21"/>
                <w14:textFill>
                  <w14:solidFill>
                    <w14:schemeClr w14:val="tx1"/>
                  </w14:solidFill>
                </w14:textFill>
              </w:rPr>
            </w:pPr>
            <w:r>
              <w:rPr>
                <w:rFonts w:hint="eastAsia" w:ascii="宋体" w:hAnsi="宋体"/>
                <w:color w:val="000000" w:themeColor="text1"/>
                <w14:textFill>
                  <w14:solidFill>
                    <w14:schemeClr w14:val="tx1"/>
                  </w14:solidFill>
                </w14:textFill>
              </w:rPr>
              <w:t>43</w:t>
            </w:r>
          </w:p>
        </w:tc>
        <w:tc>
          <w:tcPr>
            <w:tcW w:w="501" w:type="pct"/>
            <w:vAlign w:val="center"/>
          </w:tcPr>
          <w:p w14:paraId="6AD07171">
            <w:pPr>
              <w:adjustRightInd w:val="0"/>
              <w:snapToGrid w:val="0"/>
              <w:spacing w:line="300" w:lineRule="exact"/>
              <w:jc w:val="center"/>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5</w:t>
            </w:r>
            <w:r>
              <w:rPr>
                <w:rFonts w:ascii="宋体" w:hAnsi="宋体"/>
                <w:color w:val="000000" w:themeColor="text1"/>
                <w:szCs w:val="21"/>
                <w14:textFill>
                  <w14:solidFill>
                    <w14:schemeClr w14:val="tx1"/>
                  </w14:solidFill>
                </w14:textFill>
              </w:rPr>
              <w:t>0</w:t>
            </w:r>
          </w:p>
        </w:tc>
        <w:tc>
          <w:tcPr>
            <w:tcW w:w="604" w:type="pct"/>
            <w:vAlign w:val="center"/>
          </w:tcPr>
          <w:p w14:paraId="599CF44F">
            <w:pPr>
              <w:adjustRightInd w:val="0"/>
              <w:snapToGrid w:val="0"/>
              <w:spacing w:line="300" w:lineRule="exact"/>
              <w:jc w:val="center"/>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达标</w:t>
            </w:r>
          </w:p>
        </w:tc>
      </w:tr>
      <w:tr w14:paraId="4E4A3DD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569" w:type="pct"/>
            <w:vMerge w:val="continue"/>
            <w:vAlign w:val="center"/>
          </w:tcPr>
          <w:p w14:paraId="68ACA05E">
            <w:pPr>
              <w:widowControl/>
              <w:adjustRightInd w:val="0"/>
              <w:snapToGrid w:val="0"/>
              <w:spacing w:line="300" w:lineRule="exact"/>
              <w:jc w:val="center"/>
              <w:rPr>
                <w:rFonts w:hint="eastAsia" w:ascii="宋体" w:hAnsi="宋体"/>
                <w:color w:val="000000" w:themeColor="text1"/>
                <w:kern w:val="0"/>
                <w:szCs w:val="21"/>
                <w14:textFill>
                  <w14:solidFill>
                    <w14:schemeClr w14:val="tx1"/>
                  </w14:solidFill>
                </w14:textFill>
              </w:rPr>
            </w:pPr>
          </w:p>
        </w:tc>
        <w:tc>
          <w:tcPr>
            <w:tcW w:w="494" w:type="pct"/>
            <w:vAlign w:val="center"/>
          </w:tcPr>
          <w:p w14:paraId="41912544">
            <w:pPr>
              <w:widowControl/>
              <w:adjustRightInd w:val="0"/>
              <w:snapToGrid w:val="0"/>
              <w:spacing w:line="300" w:lineRule="exact"/>
              <w:jc w:val="center"/>
              <w:rPr>
                <w:rFonts w:hint="eastAsia"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北厂界</w:t>
            </w:r>
          </w:p>
        </w:tc>
        <w:tc>
          <w:tcPr>
            <w:tcW w:w="538" w:type="pct"/>
            <w:noWrap/>
          </w:tcPr>
          <w:p w14:paraId="784F89DA">
            <w:pPr>
              <w:adjustRightInd w:val="0"/>
              <w:snapToGrid w:val="0"/>
              <w:spacing w:line="300" w:lineRule="exact"/>
              <w:jc w:val="center"/>
              <w:rPr>
                <w:rFonts w:hint="eastAsia"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39</w:t>
            </w:r>
          </w:p>
        </w:tc>
        <w:tc>
          <w:tcPr>
            <w:tcW w:w="695" w:type="pct"/>
            <w:vAlign w:val="center"/>
          </w:tcPr>
          <w:p w14:paraId="1E685C78">
            <w:pPr>
              <w:adjustRightInd w:val="0"/>
              <w:snapToGrid w:val="0"/>
              <w:spacing w:line="300" w:lineRule="exact"/>
              <w:jc w:val="center"/>
              <w:rPr>
                <w:rFonts w:hint="eastAsia" w:ascii="宋体" w:hAnsi="宋体"/>
                <w:color w:val="000000" w:themeColor="text1"/>
                <w14:textFill>
                  <w14:solidFill>
                    <w14:schemeClr w14:val="tx1"/>
                  </w14:solidFill>
                </w14:textFill>
              </w:rPr>
            </w:pPr>
            <w:r>
              <w:rPr>
                <w:rFonts w:ascii="宋体" w:hAnsi="宋体"/>
                <w:color w:val="000000" w:themeColor="text1"/>
                <w:szCs w:val="21"/>
                <w14:textFill>
                  <w14:solidFill>
                    <w14:schemeClr w14:val="tx1"/>
                  </w14:solidFill>
                </w14:textFill>
              </w:rPr>
              <w:t>60</w:t>
            </w:r>
          </w:p>
        </w:tc>
        <w:tc>
          <w:tcPr>
            <w:tcW w:w="940" w:type="pct"/>
          </w:tcPr>
          <w:p w14:paraId="24B02D34">
            <w:pPr>
              <w:adjustRightInd w:val="0"/>
              <w:snapToGrid w:val="0"/>
              <w:spacing w:line="300" w:lineRule="exact"/>
              <w:jc w:val="center"/>
              <w:rPr>
                <w:rFonts w:hint="eastAsia"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达标</w:t>
            </w:r>
          </w:p>
        </w:tc>
        <w:tc>
          <w:tcPr>
            <w:tcW w:w="660" w:type="pct"/>
            <w:noWrap/>
          </w:tcPr>
          <w:p w14:paraId="15C2F3EB">
            <w:pPr>
              <w:adjustRightInd w:val="0"/>
              <w:snapToGrid w:val="0"/>
              <w:spacing w:line="300" w:lineRule="exact"/>
              <w:jc w:val="center"/>
              <w:rPr>
                <w:rFonts w:hint="eastAsia" w:ascii="宋体" w:hAnsi="宋体"/>
                <w:color w:val="000000" w:themeColor="text1"/>
                <w:szCs w:val="21"/>
                <w14:textFill>
                  <w14:solidFill>
                    <w14:schemeClr w14:val="tx1"/>
                  </w14:solidFill>
                </w14:textFill>
              </w:rPr>
            </w:pPr>
            <w:r>
              <w:rPr>
                <w:rFonts w:hint="eastAsia" w:ascii="宋体" w:hAnsi="宋体"/>
                <w:color w:val="000000" w:themeColor="text1"/>
                <w14:textFill>
                  <w14:solidFill>
                    <w14:schemeClr w14:val="tx1"/>
                  </w14:solidFill>
                </w14:textFill>
              </w:rPr>
              <w:t>39</w:t>
            </w:r>
          </w:p>
        </w:tc>
        <w:tc>
          <w:tcPr>
            <w:tcW w:w="501" w:type="pct"/>
            <w:vAlign w:val="center"/>
          </w:tcPr>
          <w:p w14:paraId="7314318B">
            <w:pPr>
              <w:adjustRightInd w:val="0"/>
              <w:snapToGrid w:val="0"/>
              <w:spacing w:line="300" w:lineRule="exact"/>
              <w:jc w:val="center"/>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5</w:t>
            </w:r>
            <w:r>
              <w:rPr>
                <w:rFonts w:ascii="宋体" w:hAnsi="宋体"/>
                <w:color w:val="000000" w:themeColor="text1"/>
                <w:szCs w:val="21"/>
                <w14:textFill>
                  <w14:solidFill>
                    <w14:schemeClr w14:val="tx1"/>
                  </w14:solidFill>
                </w14:textFill>
              </w:rPr>
              <w:t>0</w:t>
            </w:r>
          </w:p>
        </w:tc>
        <w:tc>
          <w:tcPr>
            <w:tcW w:w="604" w:type="pct"/>
            <w:vAlign w:val="center"/>
          </w:tcPr>
          <w:p w14:paraId="68BDA405">
            <w:pPr>
              <w:adjustRightInd w:val="0"/>
              <w:snapToGrid w:val="0"/>
              <w:spacing w:line="300" w:lineRule="exact"/>
              <w:jc w:val="center"/>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达标</w:t>
            </w:r>
          </w:p>
        </w:tc>
      </w:tr>
      <w:tr w14:paraId="511EE66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569" w:type="pct"/>
            <w:vMerge w:val="restart"/>
            <w:vAlign w:val="center"/>
          </w:tcPr>
          <w:p w14:paraId="11333BC6">
            <w:pPr>
              <w:widowControl/>
              <w:adjustRightInd w:val="0"/>
              <w:snapToGrid w:val="0"/>
              <w:spacing w:line="300" w:lineRule="exact"/>
              <w:jc w:val="center"/>
              <w:rPr>
                <w:rFonts w:hint="eastAsia"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JHW031和JHW032注采井场</w:t>
            </w:r>
          </w:p>
        </w:tc>
        <w:tc>
          <w:tcPr>
            <w:tcW w:w="494" w:type="pct"/>
            <w:vAlign w:val="center"/>
          </w:tcPr>
          <w:p w14:paraId="7588C629">
            <w:pPr>
              <w:widowControl/>
              <w:adjustRightInd w:val="0"/>
              <w:snapToGrid w:val="0"/>
              <w:spacing w:line="300" w:lineRule="exact"/>
              <w:jc w:val="center"/>
              <w:rPr>
                <w:rFonts w:hint="eastAsia"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东厂界</w:t>
            </w:r>
          </w:p>
        </w:tc>
        <w:tc>
          <w:tcPr>
            <w:tcW w:w="538" w:type="pct"/>
            <w:noWrap/>
            <w:vAlign w:val="center"/>
          </w:tcPr>
          <w:p w14:paraId="1B270BAE">
            <w:pPr>
              <w:adjustRightInd w:val="0"/>
              <w:snapToGrid w:val="0"/>
              <w:spacing w:line="300" w:lineRule="exact"/>
              <w:jc w:val="center"/>
              <w:rPr>
                <w:rFonts w:hint="eastAsia"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39</w:t>
            </w:r>
          </w:p>
        </w:tc>
        <w:tc>
          <w:tcPr>
            <w:tcW w:w="695" w:type="pct"/>
            <w:vAlign w:val="center"/>
          </w:tcPr>
          <w:p w14:paraId="43F7E48F">
            <w:pPr>
              <w:adjustRightInd w:val="0"/>
              <w:snapToGrid w:val="0"/>
              <w:spacing w:line="300" w:lineRule="exact"/>
              <w:jc w:val="center"/>
              <w:rPr>
                <w:rFonts w:hint="eastAsia"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60</w:t>
            </w:r>
          </w:p>
        </w:tc>
        <w:tc>
          <w:tcPr>
            <w:tcW w:w="940" w:type="pct"/>
          </w:tcPr>
          <w:p w14:paraId="18080D54">
            <w:pPr>
              <w:adjustRightInd w:val="0"/>
              <w:snapToGrid w:val="0"/>
              <w:spacing w:line="300" w:lineRule="exact"/>
              <w:jc w:val="center"/>
              <w:rPr>
                <w:rFonts w:hint="eastAsia"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达标</w:t>
            </w:r>
          </w:p>
        </w:tc>
        <w:tc>
          <w:tcPr>
            <w:tcW w:w="660" w:type="pct"/>
            <w:noWrap/>
            <w:vAlign w:val="center"/>
          </w:tcPr>
          <w:p w14:paraId="07F41F05">
            <w:pPr>
              <w:adjustRightInd w:val="0"/>
              <w:snapToGrid w:val="0"/>
              <w:spacing w:line="300" w:lineRule="exact"/>
              <w:jc w:val="center"/>
              <w:rPr>
                <w:rFonts w:hint="eastAsia"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39</w:t>
            </w:r>
          </w:p>
        </w:tc>
        <w:tc>
          <w:tcPr>
            <w:tcW w:w="501" w:type="pct"/>
            <w:vAlign w:val="center"/>
          </w:tcPr>
          <w:p w14:paraId="3B56AB94">
            <w:pPr>
              <w:adjustRightInd w:val="0"/>
              <w:snapToGrid w:val="0"/>
              <w:spacing w:line="300" w:lineRule="exact"/>
              <w:jc w:val="center"/>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5</w:t>
            </w:r>
            <w:r>
              <w:rPr>
                <w:rFonts w:ascii="宋体" w:hAnsi="宋体"/>
                <w:color w:val="000000" w:themeColor="text1"/>
                <w:szCs w:val="21"/>
                <w14:textFill>
                  <w14:solidFill>
                    <w14:schemeClr w14:val="tx1"/>
                  </w14:solidFill>
                </w14:textFill>
              </w:rPr>
              <w:t>0</w:t>
            </w:r>
          </w:p>
        </w:tc>
        <w:tc>
          <w:tcPr>
            <w:tcW w:w="604" w:type="pct"/>
            <w:vAlign w:val="center"/>
          </w:tcPr>
          <w:p w14:paraId="07011F6A">
            <w:pPr>
              <w:adjustRightInd w:val="0"/>
              <w:snapToGrid w:val="0"/>
              <w:spacing w:line="300" w:lineRule="exact"/>
              <w:jc w:val="center"/>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达标</w:t>
            </w:r>
          </w:p>
        </w:tc>
      </w:tr>
      <w:tr w14:paraId="66C98F8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569" w:type="pct"/>
            <w:vMerge w:val="continue"/>
            <w:vAlign w:val="center"/>
          </w:tcPr>
          <w:p w14:paraId="29799612">
            <w:pPr>
              <w:widowControl/>
              <w:adjustRightInd w:val="0"/>
              <w:snapToGrid w:val="0"/>
              <w:spacing w:line="300" w:lineRule="exact"/>
              <w:jc w:val="center"/>
              <w:rPr>
                <w:rFonts w:hint="eastAsia" w:ascii="宋体" w:hAnsi="宋体"/>
                <w:color w:val="000000" w:themeColor="text1"/>
                <w:kern w:val="0"/>
                <w:szCs w:val="21"/>
                <w14:textFill>
                  <w14:solidFill>
                    <w14:schemeClr w14:val="tx1"/>
                  </w14:solidFill>
                </w14:textFill>
              </w:rPr>
            </w:pPr>
          </w:p>
        </w:tc>
        <w:tc>
          <w:tcPr>
            <w:tcW w:w="494" w:type="pct"/>
            <w:vAlign w:val="center"/>
          </w:tcPr>
          <w:p w14:paraId="387F012A">
            <w:pPr>
              <w:widowControl/>
              <w:adjustRightInd w:val="0"/>
              <w:snapToGrid w:val="0"/>
              <w:spacing w:line="300" w:lineRule="exact"/>
              <w:jc w:val="center"/>
              <w:rPr>
                <w:rFonts w:hint="eastAsia"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南厂界</w:t>
            </w:r>
          </w:p>
        </w:tc>
        <w:tc>
          <w:tcPr>
            <w:tcW w:w="538" w:type="pct"/>
            <w:noWrap/>
          </w:tcPr>
          <w:p w14:paraId="7B5C6CD0">
            <w:pPr>
              <w:adjustRightInd w:val="0"/>
              <w:snapToGrid w:val="0"/>
              <w:spacing w:line="300" w:lineRule="exact"/>
              <w:jc w:val="center"/>
              <w:rPr>
                <w:rFonts w:hint="eastAsia"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45</w:t>
            </w:r>
          </w:p>
        </w:tc>
        <w:tc>
          <w:tcPr>
            <w:tcW w:w="695" w:type="pct"/>
            <w:vAlign w:val="center"/>
          </w:tcPr>
          <w:p w14:paraId="23C76F7C">
            <w:pPr>
              <w:adjustRightInd w:val="0"/>
              <w:snapToGrid w:val="0"/>
              <w:spacing w:line="300" w:lineRule="exact"/>
              <w:jc w:val="center"/>
              <w:rPr>
                <w:rFonts w:hint="eastAsia"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60</w:t>
            </w:r>
          </w:p>
        </w:tc>
        <w:tc>
          <w:tcPr>
            <w:tcW w:w="940" w:type="pct"/>
          </w:tcPr>
          <w:p w14:paraId="350CAEB5">
            <w:pPr>
              <w:adjustRightInd w:val="0"/>
              <w:snapToGrid w:val="0"/>
              <w:spacing w:line="300" w:lineRule="exact"/>
              <w:jc w:val="center"/>
              <w:rPr>
                <w:rFonts w:hint="eastAsia"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达标</w:t>
            </w:r>
          </w:p>
        </w:tc>
        <w:tc>
          <w:tcPr>
            <w:tcW w:w="660" w:type="pct"/>
            <w:noWrap/>
          </w:tcPr>
          <w:p w14:paraId="4297143F">
            <w:pPr>
              <w:adjustRightInd w:val="0"/>
              <w:snapToGrid w:val="0"/>
              <w:spacing w:line="300" w:lineRule="exact"/>
              <w:jc w:val="center"/>
              <w:rPr>
                <w:rFonts w:hint="eastAsia"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45</w:t>
            </w:r>
          </w:p>
        </w:tc>
        <w:tc>
          <w:tcPr>
            <w:tcW w:w="501" w:type="pct"/>
            <w:vAlign w:val="center"/>
          </w:tcPr>
          <w:p w14:paraId="38F07B18">
            <w:pPr>
              <w:adjustRightInd w:val="0"/>
              <w:snapToGrid w:val="0"/>
              <w:spacing w:line="300" w:lineRule="exact"/>
              <w:jc w:val="center"/>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5</w:t>
            </w:r>
            <w:r>
              <w:rPr>
                <w:rFonts w:ascii="宋体" w:hAnsi="宋体"/>
                <w:color w:val="000000" w:themeColor="text1"/>
                <w:szCs w:val="21"/>
                <w14:textFill>
                  <w14:solidFill>
                    <w14:schemeClr w14:val="tx1"/>
                  </w14:solidFill>
                </w14:textFill>
              </w:rPr>
              <w:t>0</w:t>
            </w:r>
          </w:p>
        </w:tc>
        <w:tc>
          <w:tcPr>
            <w:tcW w:w="604" w:type="pct"/>
            <w:vAlign w:val="center"/>
          </w:tcPr>
          <w:p w14:paraId="7CAF291F">
            <w:pPr>
              <w:adjustRightInd w:val="0"/>
              <w:snapToGrid w:val="0"/>
              <w:spacing w:line="300" w:lineRule="exact"/>
              <w:jc w:val="center"/>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达标</w:t>
            </w:r>
          </w:p>
        </w:tc>
      </w:tr>
      <w:tr w14:paraId="72D9CEE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569" w:type="pct"/>
            <w:vMerge w:val="continue"/>
            <w:vAlign w:val="center"/>
          </w:tcPr>
          <w:p w14:paraId="5D95402E">
            <w:pPr>
              <w:widowControl/>
              <w:adjustRightInd w:val="0"/>
              <w:snapToGrid w:val="0"/>
              <w:spacing w:line="300" w:lineRule="exact"/>
              <w:jc w:val="center"/>
              <w:rPr>
                <w:rFonts w:hint="eastAsia" w:ascii="宋体" w:hAnsi="宋体"/>
                <w:color w:val="000000" w:themeColor="text1"/>
                <w:kern w:val="0"/>
                <w:szCs w:val="21"/>
                <w14:textFill>
                  <w14:solidFill>
                    <w14:schemeClr w14:val="tx1"/>
                  </w14:solidFill>
                </w14:textFill>
              </w:rPr>
            </w:pPr>
          </w:p>
        </w:tc>
        <w:tc>
          <w:tcPr>
            <w:tcW w:w="494" w:type="pct"/>
            <w:vAlign w:val="center"/>
          </w:tcPr>
          <w:p w14:paraId="41CC1FBE">
            <w:pPr>
              <w:widowControl/>
              <w:adjustRightInd w:val="0"/>
              <w:snapToGrid w:val="0"/>
              <w:spacing w:line="300" w:lineRule="exact"/>
              <w:jc w:val="center"/>
              <w:rPr>
                <w:rFonts w:hint="eastAsia"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西厂界</w:t>
            </w:r>
          </w:p>
        </w:tc>
        <w:tc>
          <w:tcPr>
            <w:tcW w:w="538" w:type="pct"/>
            <w:noWrap/>
          </w:tcPr>
          <w:p w14:paraId="4EEA9F9A">
            <w:pPr>
              <w:adjustRightInd w:val="0"/>
              <w:snapToGrid w:val="0"/>
              <w:spacing w:line="300" w:lineRule="exact"/>
              <w:jc w:val="center"/>
              <w:rPr>
                <w:rFonts w:hint="eastAsia"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44</w:t>
            </w:r>
          </w:p>
        </w:tc>
        <w:tc>
          <w:tcPr>
            <w:tcW w:w="695" w:type="pct"/>
            <w:vAlign w:val="center"/>
          </w:tcPr>
          <w:p w14:paraId="19F9C026">
            <w:pPr>
              <w:adjustRightInd w:val="0"/>
              <w:snapToGrid w:val="0"/>
              <w:spacing w:line="300" w:lineRule="exact"/>
              <w:jc w:val="center"/>
              <w:rPr>
                <w:rFonts w:hint="eastAsia"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60</w:t>
            </w:r>
          </w:p>
        </w:tc>
        <w:tc>
          <w:tcPr>
            <w:tcW w:w="940" w:type="pct"/>
          </w:tcPr>
          <w:p w14:paraId="1D4D262F">
            <w:pPr>
              <w:adjustRightInd w:val="0"/>
              <w:snapToGrid w:val="0"/>
              <w:spacing w:line="300" w:lineRule="exact"/>
              <w:jc w:val="center"/>
              <w:rPr>
                <w:rFonts w:hint="eastAsia"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达标</w:t>
            </w:r>
          </w:p>
        </w:tc>
        <w:tc>
          <w:tcPr>
            <w:tcW w:w="660" w:type="pct"/>
            <w:noWrap/>
          </w:tcPr>
          <w:p w14:paraId="33BE8B47">
            <w:pPr>
              <w:adjustRightInd w:val="0"/>
              <w:snapToGrid w:val="0"/>
              <w:spacing w:line="300" w:lineRule="exact"/>
              <w:jc w:val="center"/>
              <w:rPr>
                <w:rFonts w:hint="eastAsia"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44</w:t>
            </w:r>
          </w:p>
        </w:tc>
        <w:tc>
          <w:tcPr>
            <w:tcW w:w="501" w:type="pct"/>
            <w:vAlign w:val="center"/>
          </w:tcPr>
          <w:p w14:paraId="2FF1F118">
            <w:pPr>
              <w:adjustRightInd w:val="0"/>
              <w:snapToGrid w:val="0"/>
              <w:spacing w:line="300" w:lineRule="exact"/>
              <w:jc w:val="center"/>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5</w:t>
            </w:r>
            <w:r>
              <w:rPr>
                <w:rFonts w:ascii="宋体" w:hAnsi="宋体"/>
                <w:color w:val="000000" w:themeColor="text1"/>
                <w:szCs w:val="21"/>
                <w14:textFill>
                  <w14:solidFill>
                    <w14:schemeClr w14:val="tx1"/>
                  </w14:solidFill>
                </w14:textFill>
              </w:rPr>
              <w:t>0</w:t>
            </w:r>
          </w:p>
        </w:tc>
        <w:tc>
          <w:tcPr>
            <w:tcW w:w="604" w:type="pct"/>
            <w:vAlign w:val="center"/>
          </w:tcPr>
          <w:p w14:paraId="6FBAF870">
            <w:pPr>
              <w:adjustRightInd w:val="0"/>
              <w:snapToGrid w:val="0"/>
              <w:spacing w:line="300" w:lineRule="exact"/>
              <w:jc w:val="center"/>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达标</w:t>
            </w:r>
          </w:p>
        </w:tc>
      </w:tr>
      <w:tr w14:paraId="7E31649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569" w:type="pct"/>
            <w:vMerge w:val="continue"/>
            <w:vAlign w:val="center"/>
          </w:tcPr>
          <w:p w14:paraId="28E37B9D">
            <w:pPr>
              <w:widowControl/>
              <w:adjustRightInd w:val="0"/>
              <w:snapToGrid w:val="0"/>
              <w:spacing w:line="300" w:lineRule="exact"/>
              <w:jc w:val="center"/>
              <w:rPr>
                <w:rFonts w:hint="eastAsia" w:ascii="宋体" w:hAnsi="宋体"/>
                <w:color w:val="000000" w:themeColor="text1"/>
                <w:kern w:val="0"/>
                <w:szCs w:val="21"/>
                <w14:textFill>
                  <w14:solidFill>
                    <w14:schemeClr w14:val="tx1"/>
                  </w14:solidFill>
                </w14:textFill>
              </w:rPr>
            </w:pPr>
          </w:p>
        </w:tc>
        <w:tc>
          <w:tcPr>
            <w:tcW w:w="494" w:type="pct"/>
            <w:vAlign w:val="center"/>
          </w:tcPr>
          <w:p w14:paraId="3A0A0E14">
            <w:pPr>
              <w:widowControl/>
              <w:adjustRightInd w:val="0"/>
              <w:snapToGrid w:val="0"/>
              <w:spacing w:line="300" w:lineRule="exact"/>
              <w:jc w:val="center"/>
              <w:rPr>
                <w:rFonts w:hint="eastAsia"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北厂界</w:t>
            </w:r>
          </w:p>
        </w:tc>
        <w:tc>
          <w:tcPr>
            <w:tcW w:w="538" w:type="pct"/>
            <w:noWrap/>
          </w:tcPr>
          <w:p w14:paraId="2ECAD927">
            <w:pPr>
              <w:adjustRightInd w:val="0"/>
              <w:snapToGrid w:val="0"/>
              <w:spacing w:line="300" w:lineRule="exact"/>
              <w:jc w:val="center"/>
              <w:rPr>
                <w:rFonts w:hint="eastAsia"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40</w:t>
            </w:r>
          </w:p>
        </w:tc>
        <w:tc>
          <w:tcPr>
            <w:tcW w:w="695" w:type="pct"/>
            <w:vAlign w:val="center"/>
          </w:tcPr>
          <w:p w14:paraId="36F97660">
            <w:pPr>
              <w:adjustRightInd w:val="0"/>
              <w:snapToGrid w:val="0"/>
              <w:spacing w:line="300" w:lineRule="exact"/>
              <w:jc w:val="center"/>
              <w:rPr>
                <w:rFonts w:hint="eastAsia"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60</w:t>
            </w:r>
          </w:p>
        </w:tc>
        <w:tc>
          <w:tcPr>
            <w:tcW w:w="940" w:type="pct"/>
          </w:tcPr>
          <w:p w14:paraId="1B3F061C">
            <w:pPr>
              <w:adjustRightInd w:val="0"/>
              <w:snapToGrid w:val="0"/>
              <w:spacing w:line="300" w:lineRule="exact"/>
              <w:jc w:val="center"/>
              <w:rPr>
                <w:rFonts w:hint="eastAsia"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达标</w:t>
            </w:r>
          </w:p>
        </w:tc>
        <w:tc>
          <w:tcPr>
            <w:tcW w:w="660" w:type="pct"/>
            <w:noWrap/>
          </w:tcPr>
          <w:p w14:paraId="5BDA33B7">
            <w:pPr>
              <w:adjustRightInd w:val="0"/>
              <w:snapToGrid w:val="0"/>
              <w:spacing w:line="300" w:lineRule="exact"/>
              <w:jc w:val="center"/>
              <w:rPr>
                <w:rFonts w:hint="eastAsia"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40</w:t>
            </w:r>
          </w:p>
        </w:tc>
        <w:tc>
          <w:tcPr>
            <w:tcW w:w="501" w:type="pct"/>
            <w:vAlign w:val="center"/>
          </w:tcPr>
          <w:p w14:paraId="5CFEE1A0">
            <w:pPr>
              <w:adjustRightInd w:val="0"/>
              <w:snapToGrid w:val="0"/>
              <w:spacing w:line="300" w:lineRule="exact"/>
              <w:jc w:val="center"/>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5</w:t>
            </w:r>
            <w:r>
              <w:rPr>
                <w:rFonts w:ascii="宋体" w:hAnsi="宋体"/>
                <w:color w:val="000000" w:themeColor="text1"/>
                <w:szCs w:val="21"/>
                <w14:textFill>
                  <w14:solidFill>
                    <w14:schemeClr w14:val="tx1"/>
                  </w14:solidFill>
                </w14:textFill>
              </w:rPr>
              <w:t>0</w:t>
            </w:r>
          </w:p>
        </w:tc>
        <w:tc>
          <w:tcPr>
            <w:tcW w:w="604" w:type="pct"/>
            <w:vAlign w:val="center"/>
          </w:tcPr>
          <w:p w14:paraId="3922916A">
            <w:pPr>
              <w:adjustRightInd w:val="0"/>
              <w:snapToGrid w:val="0"/>
              <w:spacing w:line="300" w:lineRule="exact"/>
              <w:jc w:val="center"/>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达标</w:t>
            </w:r>
          </w:p>
        </w:tc>
      </w:tr>
      <w:bookmarkEnd w:id="564"/>
      <w:tr w14:paraId="7556F81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569" w:type="pct"/>
            <w:vMerge w:val="restart"/>
            <w:vAlign w:val="center"/>
          </w:tcPr>
          <w:p w14:paraId="47EE3527">
            <w:pPr>
              <w:widowControl/>
              <w:adjustRightInd w:val="0"/>
              <w:snapToGrid w:val="0"/>
              <w:spacing w:line="300" w:lineRule="exact"/>
              <w:jc w:val="center"/>
              <w:rPr>
                <w:rFonts w:hint="eastAsia" w:ascii="宋体" w:hAnsi="宋体"/>
                <w:color w:val="000000" w:themeColor="text1"/>
                <w:kern w:val="0"/>
                <w:szCs w:val="21"/>
                <w14:textFill>
                  <w14:solidFill>
                    <w14:schemeClr w14:val="tx1"/>
                  </w14:solidFill>
                </w14:textFill>
              </w:rPr>
            </w:pPr>
            <w:bookmarkStart w:id="565" w:name="_Hlk173339669"/>
            <w:r>
              <w:rPr>
                <w:rFonts w:hint="eastAsia" w:ascii="宋体" w:hAnsi="宋体" w:cs="宋体"/>
                <w:bCs/>
                <w:color w:val="000000" w:themeColor="text1"/>
                <w:szCs w:val="21"/>
                <w14:textFill>
                  <w14:solidFill>
                    <w14:schemeClr w14:val="tx1"/>
                  </w14:solidFill>
                </w14:textFill>
              </w:rPr>
              <w:t>注气井场</w:t>
            </w:r>
          </w:p>
        </w:tc>
        <w:tc>
          <w:tcPr>
            <w:tcW w:w="494" w:type="pct"/>
            <w:vAlign w:val="center"/>
          </w:tcPr>
          <w:p w14:paraId="1879E9B8">
            <w:pPr>
              <w:widowControl/>
              <w:adjustRightInd w:val="0"/>
              <w:snapToGrid w:val="0"/>
              <w:spacing w:line="300" w:lineRule="exact"/>
              <w:jc w:val="center"/>
              <w:rPr>
                <w:rFonts w:hint="eastAsia"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东厂界</w:t>
            </w:r>
          </w:p>
        </w:tc>
        <w:tc>
          <w:tcPr>
            <w:tcW w:w="538" w:type="pct"/>
            <w:noWrap/>
            <w:vAlign w:val="center"/>
          </w:tcPr>
          <w:p w14:paraId="1807F570">
            <w:pPr>
              <w:adjustRightInd w:val="0"/>
              <w:snapToGrid w:val="0"/>
              <w:spacing w:line="300" w:lineRule="exact"/>
              <w:jc w:val="center"/>
              <w:rPr>
                <w:rFonts w:hint="eastAsia"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37</w:t>
            </w:r>
          </w:p>
        </w:tc>
        <w:tc>
          <w:tcPr>
            <w:tcW w:w="695" w:type="pct"/>
            <w:vAlign w:val="center"/>
          </w:tcPr>
          <w:p w14:paraId="045F8902">
            <w:pPr>
              <w:adjustRightInd w:val="0"/>
              <w:snapToGrid w:val="0"/>
              <w:spacing w:line="300" w:lineRule="exact"/>
              <w:jc w:val="center"/>
              <w:rPr>
                <w:rFonts w:hint="eastAsia" w:ascii="宋体" w:hAnsi="宋体"/>
                <w:color w:val="000000" w:themeColor="text1"/>
                <w14:textFill>
                  <w14:solidFill>
                    <w14:schemeClr w14:val="tx1"/>
                  </w14:solidFill>
                </w14:textFill>
              </w:rPr>
            </w:pPr>
            <w:r>
              <w:rPr>
                <w:rFonts w:ascii="宋体" w:hAnsi="宋体"/>
                <w:color w:val="000000" w:themeColor="text1"/>
                <w:szCs w:val="21"/>
                <w14:textFill>
                  <w14:solidFill>
                    <w14:schemeClr w14:val="tx1"/>
                  </w14:solidFill>
                </w14:textFill>
              </w:rPr>
              <w:t>60</w:t>
            </w:r>
          </w:p>
        </w:tc>
        <w:tc>
          <w:tcPr>
            <w:tcW w:w="940" w:type="pct"/>
          </w:tcPr>
          <w:p w14:paraId="6017B17F">
            <w:pPr>
              <w:adjustRightInd w:val="0"/>
              <w:snapToGrid w:val="0"/>
              <w:spacing w:line="300" w:lineRule="exact"/>
              <w:jc w:val="center"/>
              <w:rPr>
                <w:rFonts w:hint="eastAsia"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达标</w:t>
            </w:r>
          </w:p>
        </w:tc>
        <w:tc>
          <w:tcPr>
            <w:tcW w:w="660" w:type="pct"/>
            <w:noWrap/>
            <w:vAlign w:val="center"/>
          </w:tcPr>
          <w:p w14:paraId="08012F94">
            <w:pPr>
              <w:adjustRightInd w:val="0"/>
              <w:snapToGrid w:val="0"/>
              <w:spacing w:line="300" w:lineRule="exact"/>
              <w:jc w:val="center"/>
              <w:rPr>
                <w:rFonts w:hint="eastAsia" w:ascii="宋体" w:hAnsi="宋体"/>
                <w:color w:val="000000" w:themeColor="text1"/>
                <w:szCs w:val="21"/>
                <w14:textFill>
                  <w14:solidFill>
                    <w14:schemeClr w14:val="tx1"/>
                  </w14:solidFill>
                </w14:textFill>
              </w:rPr>
            </w:pPr>
            <w:r>
              <w:rPr>
                <w:rFonts w:hint="eastAsia" w:ascii="宋体" w:hAnsi="宋体"/>
                <w:color w:val="000000" w:themeColor="text1"/>
                <w14:textFill>
                  <w14:solidFill>
                    <w14:schemeClr w14:val="tx1"/>
                  </w14:solidFill>
                </w14:textFill>
              </w:rPr>
              <w:t>37</w:t>
            </w:r>
          </w:p>
        </w:tc>
        <w:tc>
          <w:tcPr>
            <w:tcW w:w="501" w:type="pct"/>
            <w:vAlign w:val="center"/>
          </w:tcPr>
          <w:p w14:paraId="308AFD75">
            <w:pPr>
              <w:adjustRightInd w:val="0"/>
              <w:snapToGrid w:val="0"/>
              <w:spacing w:line="300" w:lineRule="exact"/>
              <w:jc w:val="center"/>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5</w:t>
            </w:r>
            <w:r>
              <w:rPr>
                <w:rFonts w:ascii="宋体" w:hAnsi="宋体"/>
                <w:color w:val="000000" w:themeColor="text1"/>
                <w:szCs w:val="21"/>
                <w14:textFill>
                  <w14:solidFill>
                    <w14:schemeClr w14:val="tx1"/>
                  </w14:solidFill>
                </w14:textFill>
              </w:rPr>
              <w:t>0</w:t>
            </w:r>
          </w:p>
        </w:tc>
        <w:tc>
          <w:tcPr>
            <w:tcW w:w="604" w:type="pct"/>
            <w:vAlign w:val="center"/>
          </w:tcPr>
          <w:p w14:paraId="5F2A5049">
            <w:pPr>
              <w:adjustRightInd w:val="0"/>
              <w:snapToGrid w:val="0"/>
              <w:spacing w:line="300" w:lineRule="exact"/>
              <w:jc w:val="center"/>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达标</w:t>
            </w:r>
          </w:p>
        </w:tc>
      </w:tr>
      <w:tr w14:paraId="150D594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569" w:type="pct"/>
            <w:vMerge w:val="continue"/>
            <w:vAlign w:val="center"/>
          </w:tcPr>
          <w:p w14:paraId="2478F9C1">
            <w:pPr>
              <w:widowControl/>
              <w:adjustRightInd w:val="0"/>
              <w:snapToGrid w:val="0"/>
              <w:spacing w:line="300" w:lineRule="exact"/>
              <w:jc w:val="center"/>
              <w:rPr>
                <w:rFonts w:hint="eastAsia" w:ascii="宋体" w:hAnsi="宋体"/>
                <w:color w:val="000000" w:themeColor="text1"/>
                <w:kern w:val="0"/>
                <w:szCs w:val="21"/>
                <w14:textFill>
                  <w14:solidFill>
                    <w14:schemeClr w14:val="tx1"/>
                  </w14:solidFill>
                </w14:textFill>
              </w:rPr>
            </w:pPr>
          </w:p>
        </w:tc>
        <w:tc>
          <w:tcPr>
            <w:tcW w:w="494" w:type="pct"/>
            <w:vAlign w:val="center"/>
          </w:tcPr>
          <w:p w14:paraId="501221C7">
            <w:pPr>
              <w:widowControl/>
              <w:adjustRightInd w:val="0"/>
              <w:snapToGrid w:val="0"/>
              <w:spacing w:line="300" w:lineRule="exact"/>
              <w:jc w:val="center"/>
              <w:rPr>
                <w:rFonts w:hint="eastAsia"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南厂界</w:t>
            </w:r>
          </w:p>
        </w:tc>
        <w:tc>
          <w:tcPr>
            <w:tcW w:w="538" w:type="pct"/>
            <w:noWrap/>
          </w:tcPr>
          <w:p w14:paraId="62A69FC4">
            <w:pPr>
              <w:adjustRightInd w:val="0"/>
              <w:snapToGrid w:val="0"/>
              <w:spacing w:line="300" w:lineRule="exact"/>
              <w:jc w:val="center"/>
              <w:rPr>
                <w:rFonts w:hint="eastAsia"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37</w:t>
            </w:r>
          </w:p>
        </w:tc>
        <w:tc>
          <w:tcPr>
            <w:tcW w:w="695" w:type="pct"/>
            <w:vAlign w:val="center"/>
          </w:tcPr>
          <w:p w14:paraId="2D4BFF31">
            <w:pPr>
              <w:adjustRightInd w:val="0"/>
              <w:snapToGrid w:val="0"/>
              <w:spacing w:line="300" w:lineRule="exact"/>
              <w:jc w:val="center"/>
              <w:rPr>
                <w:rFonts w:hint="eastAsia" w:ascii="宋体" w:hAnsi="宋体"/>
                <w:color w:val="000000" w:themeColor="text1"/>
                <w14:textFill>
                  <w14:solidFill>
                    <w14:schemeClr w14:val="tx1"/>
                  </w14:solidFill>
                </w14:textFill>
              </w:rPr>
            </w:pPr>
            <w:r>
              <w:rPr>
                <w:rFonts w:ascii="宋体" w:hAnsi="宋体"/>
                <w:color w:val="000000" w:themeColor="text1"/>
                <w:szCs w:val="21"/>
                <w14:textFill>
                  <w14:solidFill>
                    <w14:schemeClr w14:val="tx1"/>
                  </w14:solidFill>
                </w14:textFill>
              </w:rPr>
              <w:t>60</w:t>
            </w:r>
          </w:p>
        </w:tc>
        <w:tc>
          <w:tcPr>
            <w:tcW w:w="940" w:type="pct"/>
          </w:tcPr>
          <w:p w14:paraId="5789BE3C">
            <w:pPr>
              <w:adjustRightInd w:val="0"/>
              <w:snapToGrid w:val="0"/>
              <w:spacing w:line="300" w:lineRule="exact"/>
              <w:jc w:val="center"/>
              <w:rPr>
                <w:rFonts w:hint="eastAsia"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达标</w:t>
            </w:r>
          </w:p>
        </w:tc>
        <w:tc>
          <w:tcPr>
            <w:tcW w:w="660" w:type="pct"/>
            <w:noWrap/>
          </w:tcPr>
          <w:p w14:paraId="5A53EFEB">
            <w:pPr>
              <w:adjustRightInd w:val="0"/>
              <w:snapToGrid w:val="0"/>
              <w:spacing w:line="300" w:lineRule="exact"/>
              <w:jc w:val="center"/>
              <w:rPr>
                <w:rFonts w:hint="eastAsia" w:ascii="宋体" w:hAnsi="宋体"/>
                <w:color w:val="000000" w:themeColor="text1"/>
                <w:szCs w:val="21"/>
                <w14:textFill>
                  <w14:solidFill>
                    <w14:schemeClr w14:val="tx1"/>
                  </w14:solidFill>
                </w14:textFill>
              </w:rPr>
            </w:pPr>
            <w:r>
              <w:rPr>
                <w:rFonts w:hint="eastAsia" w:ascii="宋体" w:hAnsi="宋体"/>
                <w:color w:val="000000" w:themeColor="text1"/>
                <w14:textFill>
                  <w14:solidFill>
                    <w14:schemeClr w14:val="tx1"/>
                  </w14:solidFill>
                </w14:textFill>
              </w:rPr>
              <w:t>37</w:t>
            </w:r>
          </w:p>
        </w:tc>
        <w:tc>
          <w:tcPr>
            <w:tcW w:w="501" w:type="pct"/>
            <w:vAlign w:val="center"/>
          </w:tcPr>
          <w:p w14:paraId="6127E854">
            <w:pPr>
              <w:adjustRightInd w:val="0"/>
              <w:snapToGrid w:val="0"/>
              <w:spacing w:line="300" w:lineRule="exact"/>
              <w:jc w:val="center"/>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5</w:t>
            </w:r>
            <w:r>
              <w:rPr>
                <w:rFonts w:ascii="宋体" w:hAnsi="宋体"/>
                <w:color w:val="000000" w:themeColor="text1"/>
                <w:szCs w:val="21"/>
                <w14:textFill>
                  <w14:solidFill>
                    <w14:schemeClr w14:val="tx1"/>
                  </w14:solidFill>
                </w14:textFill>
              </w:rPr>
              <w:t>0</w:t>
            </w:r>
          </w:p>
        </w:tc>
        <w:tc>
          <w:tcPr>
            <w:tcW w:w="604" w:type="pct"/>
            <w:vAlign w:val="center"/>
          </w:tcPr>
          <w:p w14:paraId="5308D62D">
            <w:pPr>
              <w:adjustRightInd w:val="0"/>
              <w:snapToGrid w:val="0"/>
              <w:spacing w:line="300" w:lineRule="exact"/>
              <w:jc w:val="center"/>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达标</w:t>
            </w:r>
          </w:p>
        </w:tc>
      </w:tr>
      <w:tr w14:paraId="2A8421F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569" w:type="pct"/>
            <w:vMerge w:val="continue"/>
            <w:vAlign w:val="center"/>
          </w:tcPr>
          <w:p w14:paraId="3C261BCF">
            <w:pPr>
              <w:widowControl/>
              <w:adjustRightInd w:val="0"/>
              <w:snapToGrid w:val="0"/>
              <w:spacing w:line="300" w:lineRule="exact"/>
              <w:jc w:val="center"/>
              <w:rPr>
                <w:rFonts w:hint="eastAsia" w:ascii="宋体" w:hAnsi="宋体"/>
                <w:color w:val="000000" w:themeColor="text1"/>
                <w:kern w:val="0"/>
                <w:szCs w:val="21"/>
                <w14:textFill>
                  <w14:solidFill>
                    <w14:schemeClr w14:val="tx1"/>
                  </w14:solidFill>
                </w14:textFill>
              </w:rPr>
            </w:pPr>
          </w:p>
        </w:tc>
        <w:tc>
          <w:tcPr>
            <w:tcW w:w="494" w:type="pct"/>
            <w:vAlign w:val="center"/>
          </w:tcPr>
          <w:p w14:paraId="1D059E15">
            <w:pPr>
              <w:widowControl/>
              <w:adjustRightInd w:val="0"/>
              <w:snapToGrid w:val="0"/>
              <w:spacing w:line="300" w:lineRule="exact"/>
              <w:jc w:val="center"/>
              <w:rPr>
                <w:rFonts w:hint="eastAsia"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西厂界</w:t>
            </w:r>
          </w:p>
        </w:tc>
        <w:tc>
          <w:tcPr>
            <w:tcW w:w="538" w:type="pct"/>
            <w:noWrap/>
          </w:tcPr>
          <w:p w14:paraId="7B8E42D9">
            <w:pPr>
              <w:adjustRightInd w:val="0"/>
              <w:snapToGrid w:val="0"/>
              <w:spacing w:line="300" w:lineRule="exact"/>
              <w:jc w:val="center"/>
              <w:rPr>
                <w:rFonts w:hint="eastAsia"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37</w:t>
            </w:r>
          </w:p>
        </w:tc>
        <w:tc>
          <w:tcPr>
            <w:tcW w:w="695" w:type="pct"/>
            <w:vAlign w:val="center"/>
          </w:tcPr>
          <w:p w14:paraId="1BA77A04">
            <w:pPr>
              <w:adjustRightInd w:val="0"/>
              <w:snapToGrid w:val="0"/>
              <w:spacing w:line="300" w:lineRule="exact"/>
              <w:jc w:val="center"/>
              <w:rPr>
                <w:rFonts w:hint="eastAsia" w:ascii="宋体" w:hAnsi="宋体"/>
                <w:color w:val="000000" w:themeColor="text1"/>
                <w14:textFill>
                  <w14:solidFill>
                    <w14:schemeClr w14:val="tx1"/>
                  </w14:solidFill>
                </w14:textFill>
              </w:rPr>
            </w:pPr>
            <w:r>
              <w:rPr>
                <w:rFonts w:ascii="宋体" w:hAnsi="宋体"/>
                <w:color w:val="000000" w:themeColor="text1"/>
                <w:szCs w:val="21"/>
                <w14:textFill>
                  <w14:solidFill>
                    <w14:schemeClr w14:val="tx1"/>
                  </w14:solidFill>
                </w14:textFill>
              </w:rPr>
              <w:t>60</w:t>
            </w:r>
          </w:p>
        </w:tc>
        <w:tc>
          <w:tcPr>
            <w:tcW w:w="940" w:type="pct"/>
          </w:tcPr>
          <w:p w14:paraId="0300B69C">
            <w:pPr>
              <w:adjustRightInd w:val="0"/>
              <w:snapToGrid w:val="0"/>
              <w:spacing w:line="300" w:lineRule="exact"/>
              <w:jc w:val="center"/>
              <w:rPr>
                <w:rFonts w:hint="eastAsia"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达标</w:t>
            </w:r>
          </w:p>
        </w:tc>
        <w:tc>
          <w:tcPr>
            <w:tcW w:w="660" w:type="pct"/>
            <w:noWrap/>
          </w:tcPr>
          <w:p w14:paraId="4D6A3944">
            <w:pPr>
              <w:adjustRightInd w:val="0"/>
              <w:snapToGrid w:val="0"/>
              <w:spacing w:line="300" w:lineRule="exact"/>
              <w:jc w:val="center"/>
              <w:rPr>
                <w:rFonts w:hint="eastAsia" w:ascii="宋体" w:hAnsi="宋体"/>
                <w:color w:val="000000" w:themeColor="text1"/>
                <w:szCs w:val="21"/>
                <w14:textFill>
                  <w14:solidFill>
                    <w14:schemeClr w14:val="tx1"/>
                  </w14:solidFill>
                </w14:textFill>
              </w:rPr>
            </w:pPr>
            <w:r>
              <w:rPr>
                <w:rFonts w:hint="eastAsia" w:ascii="宋体" w:hAnsi="宋体"/>
                <w:color w:val="000000" w:themeColor="text1"/>
                <w14:textFill>
                  <w14:solidFill>
                    <w14:schemeClr w14:val="tx1"/>
                  </w14:solidFill>
                </w14:textFill>
              </w:rPr>
              <w:t>37</w:t>
            </w:r>
          </w:p>
        </w:tc>
        <w:tc>
          <w:tcPr>
            <w:tcW w:w="501" w:type="pct"/>
            <w:vAlign w:val="center"/>
          </w:tcPr>
          <w:p w14:paraId="7F23C130">
            <w:pPr>
              <w:adjustRightInd w:val="0"/>
              <w:snapToGrid w:val="0"/>
              <w:spacing w:line="300" w:lineRule="exact"/>
              <w:jc w:val="center"/>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5</w:t>
            </w:r>
            <w:r>
              <w:rPr>
                <w:rFonts w:ascii="宋体" w:hAnsi="宋体"/>
                <w:color w:val="000000" w:themeColor="text1"/>
                <w:szCs w:val="21"/>
                <w14:textFill>
                  <w14:solidFill>
                    <w14:schemeClr w14:val="tx1"/>
                  </w14:solidFill>
                </w14:textFill>
              </w:rPr>
              <w:t>0</w:t>
            </w:r>
          </w:p>
        </w:tc>
        <w:tc>
          <w:tcPr>
            <w:tcW w:w="604" w:type="pct"/>
            <w:vAlign w:val="center"/>
          </w:tcPr>
          <w:p w14:paraId="19B75D54">
            <w:pPr>
              <w:adjustRightInd w:val="0"/>
              <w:snapToGrid w:val="0"/>
              <w:spacing w:line="300" w:lineRule="exact"/>
              <w:jc w:val="center"/>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达标</w:t>
            </w:r>
          </w:p>
        </w:tc>
      </w:tr>
      <w:tr w14:paraId="6FE6700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569" w:type="pct"/>
            <w:vMerge w:val="continue"/>
            <w:vAlign w:val="center"/>
          </w:tcPr>
          <w:p w14:paraId="2A185215">
            <w:pPr>
              <w:widowControl/>
              <w:adjustRightInd w:val="0"/>
              <w:snapToGrid w:val="0"/>
              <w:spacing w:line="300" w:lineRule="exact"/>
              <w:jc w:val="center"/>
              <w:rPr>
                <w:rFonts w:hint="eastAsia" w:ascii="宋体" w:hAnsi="宋体"/>
                <w:color w:val="000000" w:themeColor="text1"/>
                <w:kern w:val="0"/>
                <w:szCs w:val="21"/>
                <w14:textFill>
                  <w14:solidFill>
                    <w14:schemeClr w14:val="tx1"/>
                  </w14:solidFill>
                </w14:textFill>
              </w:rPr>
            </w:pPr>
          </w:p>
        </w:tc>
        <w:tc>
          <w:tcPr>
            <w:tcW w:w="494" w:type="pct"/>
            <w:vAlign w:val="center"/>
          </w:tcPr>
          <w:p w14:paraId="0211B671">
            <w:pPr>
              <w:widowControl/>
              <w:adjustRightInd w:val="0"/>
              <w:snapToGrid w:val="0"/>
              <w:spacing w:line="300" w:lineRule="exact"/>
              <w:jc w:val="center"/>
              <w:rPr>
                <w:rFonts w:hint="eastAsia"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北厂界</w:t>
            </w:r>
          </w:p>
        </w:tc>
        <w:tc>
          <w:tcPr>
            <w:tcW w:w="538" w:type="pct"/>
            <w:noWrap/>
          </w:tcPr>
          <w:p w14:paraId="7C90B31C">
            <w:pPr>
              <w:adjustRightInd w:val="0"/>
              <w:snapToGrid w:val="0"/>
              <w:spacing w:line="300" w:lineRule="exact"/>
              <w:jc w:val="center"/>
              <w:rPr>
                <w:rFonts w:hint="eastAsia"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37</w:t>
            </w:r>
          </w:p>
        </w:tc>
        <w:tc>
          <w:tcPr>
            <w:tcW w:w="695" w:type="pct"/>
            <w:vAlign w:val="center"/>
          </w:tcPr>
          <w:p w14:paraId="563443DE">
            <w:pPr>
              <w:adjustRightInd w:val="0"/>
              <w:snapToGrid w:val="0"/>
              <w:spacing w:line="300" w:lineRule="exact"/>
              <w:jc w:val="center"/>
              <w:rPr>
                <w:rFonts w:hint="eastAsia" w:ascii="宋体" w:hAnsi="宋体"/>
                <w:color w:val="000000" w:themeColor="text1"/>
                <w14:textFill>
                  <w14:solidFill>
                    <w14:schemeClr w14:val="tx1"/>
                  </w14:solidFill>
                </w14:textFill>
              </w:rPr>
            </w:pPr>
            <w:r>
              <w:rPr>
                <w:rFonts w:ascii="宋体" w:hAnsi="宋体"/>
                <w:color w:val="000000" w:themeColor="text1"/>
                <w:szCs w:val="21"/>
                <w14:textFill>
                  <w14:solidFill>
                    <w14:schemeClr w14:val="tx1"/>
                  </w14:solidFill>
                </w14:textFill>
              </w:rPr>
              <w:t>60</w:t>
            </w:r>
          </w:p>
        </w:tc>
        <w:tc>
          <w:tcPr>
            <w:tcW w:w="940" w:type="pct"/>
          </w:tcPr>
          <w:p w14:paraId="2E1C6E72">
            <w:pPr>
              <w:adjustRightInd w:val="0"/>
              <w:snapToGrid w:val="0"/>
              <w:spacing w:line="300" w:lineRule="exact"/>
              <w:jc w:val="center"/>
              <w:rPr>
                <w:rFonts w:hint="eastAsia"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达标</w:t>
            </w:r>
          </w:p>
        </w:tc>
        <w:tc>
          <w:tcPr>
            <w:tcW w:w="660" w:type="pct"/>
            <w:noWrap/>
          </w:tcPr>
          <w:p w14:paraId="13C5DA3E">
            <w:pPr>
              <w:adjustRightInd w:val="0"/>
              <w:snapToGrid w:val="0"/>
              <w:spacing w:line="300" w:lineRule="exact"/>
              <w:jc w:val="center"/>
              <w:rPr>
                <w:rFonts w:hint="eastAsia" w:ascii="宋体" w:hAnsi="宋体"/>
                <w:color w:val="000000" w:themeColor="text1"/>
                <w:szCs w:val="21"/>
                <w14:textFill>
                  <w14:solidFill>
                    <w14:schemeClr w14:val="tx1"/>
                  </w14:solidFill>
                </w14:textFill>
              </w:rPr>
            </w:pPr>
            <w:r>
              <w:rPr>
                <w:rFonts w:hint="eastAsia" w:ascii="宋体" w:hAnsi="宋体"/>
                <w:color w:val="000000" w:themeColor="text1"/>
                <w14:textFill>
                  <w14:solidFill>
                    <w14:schemeClr w14:val="tx1"/>
                  </w14:solidFill>
                </w14:textFill>
              </w:rPr>
              <w:t>37</w:t>
            </w:r>
          </w:p>
        </w:tc>
        <w:tc>
          <w:tcPr>
            <w:tcW w:w="501" w:type="pct"/>
            <w:vAlign w:val="center"/>
          </w:tcPr>
          <w:p w14:paraId="2852334C">
            <w:pPr>
              <w:adjustRightInd w:val="0"/>
              <w:snapToGrid w:val="0"/>
              <w:spacing w:line="300" w:lineRule="exact"/>
              <w:jc w:val="center"/>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5</w:t>
            </w:r>
            <w:r>
              <w:rPr>
                <w:rFonts w:ascii="宋体" w:hAnsi="宋体"/>
                <w:color w:val="000000" w:themeColor="text1"/>
                <w:szCs w:val="21"/>
                <w14:textFill>
                  <w14:solidFill>
                    <w14:schemeClr w14:val="tx1"/>
                  </w14:solidFill>
                </w14:textFill>
              </w:rPr>
              <w:t>0</w:t>
            </w:r>
          </w:p>
        </w:tc>
        <w:tc>
          <w:tcPr>
            <w:tcW w:w="604" w:type="pct"/>
            <w:vAlign w:val="center"/>
          </w:tcPr>
          <w:p w14:paraId="7486BBFB">
            <w:pPr>
              <w:adjustRightInd w:val="0"/>
              <w:snapToGrid w:val="0"/>
              <w:spacing w:line="300" w:lineRule="exact"/>
              <w:jc w:val="center"/>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达标</w:t>
            </w:r>
          </w:p>
        </w:tc>
      </w:tr>
      <w:tr w14:paraId="01CE606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569" w:type="pct"/>
            <w:vMerge w:val="restart"/>
            <w:vAlign w:val="center"/>
          </w:tcPr>
          <w:p w14:paraId="7665F498">
            <w:pPr>
              <w:widowControl/>
              <w:adjustRightInd w:val="0"/>
              <w:snapToGrid w:val="0"/>
              <w:spacing w:line="300" w:lineRule="exact"/>
              <w:jc w:val="center"/>
              <w:rPr>
                <w:rFonts w:hint="eastAsia"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注水井场</w:t>
            </w:r>
          </w:p>
        </w:tc>
        <w:tc>
          <w:tcPr>
            <w:tcW w:w="494" w:type="pct"/>
            <w:vAlign w:val="center"/>
          </w:tcPr>
          <w:p w14:paraId="406562E1">
            <w:pPr>
              <w:widowControl/>
              <w:adjustRightInd w:val="0"/>
              <w:snapToGrid w:val="0"/>
              <w:spacing w:line="300" w:lineRule="exact"/>
              <w:jc w:val="center"/>
              <w:rPr>
                <w:rFonts w:hint="eastAsia"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东厂界</w:t>
            </w:r>
          </w:p>
        </w:tc>
        <w:tc>
          <w:tcPr>
            <w:tcW w:w="538" w:type="pct"/>
            <w:noWrap/>
            <w:vAlign w:val="center"/>
          </w:tcPr>
          <w:p w14:paraId="0C8F2EBA">
            <w:pPr>
              <w:adjustRightInd w:val="0"/>
              <w:snapToGrid w:val="0"/>
              <w:spacing w:line="300" w:lineRule="exact"/>
              <w:jc w:val="center"/>
              <w:rPr>
                <w:rFonts w:hint="eastAsia"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37</w:t>
            </w:r>
          </w:p>
        </w:tc>
        <w:tc>
          <w:tcPr>
            <w:tcW w:w="695" w:type="pct"/>
            <w:vAlign w:val="center"/>
          </w:tcPr>
          <w:p w14:paraId="6C005901">
            <w:pPr>
              <w:adjustRightInd w:val="0"/>
              <w:snapToGrid w:val="0"/>
              <w:spacing w:line="300" w:lineRule="exact"/>
              <w:jc w:val="center"/>
              <w:rPr>
                <w:rFonts w:hint="eastAsia"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60</w:t>
            </w:r>
          </w:p>
        </w:tc>
        <w:tc>
          <w:tcPr>
            <w:tcW w:w="940" w:type="pct"/>
          </w:tcPr>
          <w:p w14:paraId="6463677C">
            <w:pPr>
              <w:adjustRightInd w:val="0"/>
              <w:snapToGrid w:val="0"/>
              <w:spacing w:line="300" w:lineRule="exact"/>
              <w:jc w:val="center"/>
              <w:rPr>
                <w:rFonts w:hint="eastAsia"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达标</w:t>
            </w:r>
          </w:p>
        </w:tc>
        <w:tc>
          <w:tcPr>
            <w:tcW w:w="660" w:type="pct"/>
            <w:noWrap/>
            <w:vAlign w:val="center"/>
          </w:tcPr>
          <w:p w14:paraId="5485DE15">
            <w:pPr>
              <w:adjustRightInd w:val="0"/>
              <w:snapToGrid w:val="0"/>
              <w:spacing w:line="300" w:lineRule="exact"/>
              <w:jc w:val="center"/>
              <w:rPr>
                <w:rFonts w:hint="eastAsia"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37</w:t>
            </w:r>
          </w:p>
        </w:tc>
        <w:tc>
          <w:tcPr>
            <w:tcW w:w="501" w:type="pct"/>
            <w:vAlign w:val="center"/>
          </w:tcPr>
          <w:p w14:paraId="2EA5A3E5">
            <w:pPr>
              <w:adjustRightInd w:val="0"/>
              <w:snapToGrid w:val="0"/>
              <w:spacing w:line="300" w:lineRule="exact"/>
              <w:jc w:val="center"/>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5</w:t>
            </w:r>
            <w:r>
              <w:rPr>
                <w:rFonts w:ascii="宋体" w:hAnsi="宋体"/>
                <w:color w:val="000000" w:themeColor="text1"/>
                <w:szCs w:val="21"/>
                <w14:textFill>
                  <w14:solidFill>
                    <w14:schemeClr w14:val="tx1"/>
                  </w14:solidFill>
                </w14:textFill>
              </w:rPr>
              <w:t>0</w:t>
            </w:r>
          </w:p>
        </w:tc>
        <w:tc>
          <w:tcPr>
            <w:tcW w:w="604" w:type="pct"/>
            <w:vAlign w:val="center"/>
          </w:tcPr>
          <w:p w14:paraId="238D60FC">
            <w:pPr>
              <w:adjustRightInd w:val="0"/>
              <w:snapToGrid w:val="0"/>
              <w:spacing w:line="300" w:lineRule="exact"/>
              <w:jc w:val="center"/>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达标</w:t>
            </w:r>
          </w:p>
        </w:tc>
      </w:tr>
      <w:tr w14:paraId="0781A97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569" w:type="pct"/>
            <w:vMerge w:val="continue"/>
            <w:vAlign w:val="center"/>
          </w:tcPr>
          <w:p w14:paraId="6554A2AF">
            <w:pPr>
              <w:widowControl/>
              <w:adjustRightInd w:val="0"/>
              <w:snapToGrid w:val="0"/>
              <w:spacing w:line="300" w:lineRule="exact"/>
              <w:jc w:val="center"/>
              <w:rPr>
                <w:rFonts w:hint="eastAsia" w:ascii="宋体" w:hAnsi="宋体"/>
                <w:color w:val="000000" w:themeColor="text1"/>
                <w:kern w:val="0"/>
                <w:szCs w:val="21"/>
                <w14:textFill>
                  <w14:solidFill>
                    <w14:schemeClr w14:val="tx1"/>
                  </w14:solidFill>
                </w14:textFill>
              </w:rPr>
            </w:pPr>
          </w:p>
        </w:tc>
        <w:tc>
          <w:tcPr>
            <w:tcW w:w="494" w:type="pct"/>
            <w:vAlign w:val="center"/>
          </w:tcPr>
          <w:p w14:paraId="7AF202EB">
            <w:pPr>
              <w:widowControl/>
              <w:adjustRightInd w:val="0"/>
              <w:snapToGrid w:val="0"/>
              <w:spacing w:line="300" w:lineRule="exact"/>
              <w:jc w:val="center"/>
              <w:rPr>
                <w:rFonts w:hint="eastAsia"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南厂界</w:t>
            </w:r>
          </w:p>
        </w:tc>
        <w:tc>
          <w:tcPr>
            <w:tcW w:w="538" w:type="pct"/>
            <w:noWrap/>
          </w:tcPr>
          <w:p w14:paraId="3166DF11">
            <w:pPr>
              <w:adjustRightInd w:val="0"/>
              <w:snapToGrid w:val="0"/>
              <w:spacing w:line="300" w:lineRule="exact"/>
              <w:jc w:val="center"/>
              <w:rPr>
                <w:rFonts w:hint="eastAsia"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41</w:t>
            </w:r>
          </w:p>
        </w:tc>
        <w:tc>
          <w:tcPr>
            <w:tcW w:w="695" w:type="pct"/>
            <w:vAlign w:val="center"/>
          </w:tcPr>
          <w:p w14:paraId="52886604">
            <w:pPr>
              <w:adjustRightInd w:val="0"/>
              <w:snapToGrid w:val="0"/>
              <w:spacing w:line="300" w:lineRule="exact"/>
              <w:jc w:val="center"/>
              <w:rPr>
                <w:rFonts w:hint="eastAsia"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60</w:t>
            </w:r>
          </w:p>
        </w:tc>
        <w:tc>
          <w:tcPr>
            <w:tcW w:w="940" w:type="pct"/>
          </w:tcPr>
          <w:p w14:paraId="55BE954C">
            <w:pPr>
              <w:adjustRightInd w:val="0"/>
              <w:snapToGrid w:val="0"/>
              <w:spacing w:line="300" w:lineRule="exact"/>
              <w:jc w:val="center"/>
              <w:rPr>
                <w:rFonts w:hint="eastAsia"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达标</w:t>
            </w:r>
          </w:p>
        </w:tc>
        <w:tc>
          <w:tcPr>
            <w:tcW w:w="660" w:type="pct"/>
            <w:noWrap/>
          </w:tcPr>
          <w:p w14:paraId="0B726964">
            <w:pPr>
              <w:adjustRightInd w:val="0"/>
              <w:snapToGrid w:val="0"/>
              <w:spacing w:line="300" w:lineRule="exact"/>
              <w:jc w:val="center"/>
              <w:rPr>
                <w:rFonts w:hint="eastAsia"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41</w:t>
            </w:r>
          </w:p>
        </w:tc>
        <w:tc>
          <w:tcPr>
            <w:tcW w:w="501" w:type="pct"/>
            <w:vAlign w:val="center"/>
          </w:tcPr>
          <w:p w14:paraId="3F41E091">
            <w:pPr>
              <w:adjustRightInd w:val="0"/>
              <w:snapToGrid w:val="0"/>
              <w:spacing w:line="300" w:lineRule="exact"/>
              <w:jc w:val="center"/>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5</w:t>
            </w:r>
            <w:r>
              <w:rPr>
                <w:rFonts w:ascii="宋体" w:hAnsi="宋体"/>
                <w:color w:val="000000" w:themeColor="text1"/>
                <w:szCs w:val="21"/>
                <w14:textFill>
                  <w14:solidFill>
                    <w14:schemeClr w14:val="tx1"/>
                  </w14:solidFill>
                </w14:textFill>
              </w:rPr>
              <w:t>0</w:t>
            </w:r>
          </w:p>
        </w:tc>
        <w:tc>
          <w:tcPr>
            <w:tcW w:w="604" w:type="pct"/>
            <w:vAlign w:val="center"/>
          </w:tcPr>
          <w:p w14:paraId="5D510034">
            <w:pPr>
              <w:adjustRightInd w:val="0"/>
              <w:snapToGrid w:val="0"/>
              <w:spacing w:line="300" w:lineRule="exact"/>
              <w:jc w:val="center"/>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达标</w:t>
            </w:r>
          </w:p>
        </w:tc>
      </w:tr>
      <w:tr w14:paraId="689B1DE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569" w:type="pct"/>
            <w:vMerge w:val="continue"/>
            <w:vAlign w:val="center"/>
          </w:tcPr>
          <w:p w14:paraId="144E8376">
            <w:pPr>
              <w:widowControl/>
              <w:adjustRightInd w:val="0"/>
              <w:snapToGrid w:val="0"/>
              <w:spacing w:line="300" w:lineRule="exact"/>
              <w:jc w:val="center"/>
              <w:rPr>
                <w:rFonts w:hint="eastAsia" w:ascii="宋体" w:hAnsi="宋体"/>
                <w:color w:val="000000" w:themeColor="text1"/>
                <w:kern w:val="0"/>
                <w:szCs w:val="21"/>
                <w14:textFill>
                  <w14:solidFill>
                    <w14:schemeClr w14:val="tx1"/>
                  </w14:solidFill>
                </w14:textFill>
              </w:rPr>
            </w:pPr>
          </w:p>
        </w:tc>
        <w:tc>
          <w:tcPr>
            <w:tcW w:w="494" w:type="pct"/>
            <w:vAlign w:val="center"/>
          </w:tcPr>
          <w:p w14:paraId="231601D0">
            <w:pPr>
              <w:widowControl/>
              <w:adjustRightInd w:val="0"/>
              <w:snapToGrid w:val="0"/>
              <w:spacing w:line="300" w:lineRule="exact"/>
              <w:jc w:val="center"/>
              <w:rPr>
                <w:rFonts w:hint="eastAsia"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西厂界</w:t>
            </w:r>
          </w:p>
        </w:tc>
        <w:tc>
          <w:tcPr>
            <w:tcW w:w="538" w:type="pct"/>
            <w:noWrap/>
          </w:tcPr>
          <w:p w14:paraId="1E504807">
            <w:pPr>
              <w:adjustRightInd w:val="0"/>
              <w:snapToGrid w:val="0"/>
              <w:spacing w:line="300" w:lineRule="exact"/>
              <w:jc w:val="center"/>
              <w:rPr>
                <w:rFonts w:hint="eastAsia"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39</w:t>
            </w:r>
          </w:p>
        </w:tc>
        <w:tc>
          <w:tcPr>
            <w:tcW w:w="695" w:type="pct"/>
            <w:vAlign w:val="center"/>
          </w:tcPr>
          <w:p w14:paraId="08E8089E">
            <w:pPr>
              <w:adjustRightInd w:val="0"/>
              <w:snapToGrid w:val="0"/>
              <w:spacing w:line="300" w:lineRule="exact"/>
              <w:jc w:val="center"/>
              <w:rPr>
                <w:rFonts w:hint="eastAsia"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60</w:t>
            </w:r>
          </w:p>
        </w:tc>
        <w:tc>
          <w:tcPr>
            <w:tcW w:w="940" w:type="pct"/>
          </w:tcPr>
          <w:p w14:paraId="489F413B">
            <w:pPr>
              <w:adjustRightInd w:val="0"/>
              <w:snapToGrid w:val="0"/>
              <w:spacing w:line="300" w:lineRule="exact"/>
              <w:jc w:val="center"/>
              <w:rPr>
                <w:rFonts w:hint="eastAsia"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达标</w:t>
            </w:r>
          </w:p>
        </w:tc>
        <w:tc>
          <w:tcPr>
            <w:tcW w:w="660" w:type="pct"/>
            <w:noWrap/>
          </w:tcPr>
          <w:p w14:paraId="2096583E">
            <w:pPr>
              <w:adjustRightInd w:val="0"/>
              <w:snapToGrid w:val="0"/>
              <w:spacing w:line="300" w:lineRule="exact"/>
              <w:jc w:val="center"/>
              <w:rPr>
                <w:rFonts w:hint="eastAsia"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39</w:t>
            </w:r>
          </w:p>
        </w:tc>
        <w:tc>
          <w:tcPr>
            <w:tcW w:w="501" w:type="pct"/>
            <w:vAlign w:val="center"/>
          </w:tcPr>
          <w:p w14:paraId="42C3F3E7">
            <w:pPr>
              <w:adjustRightInd w:val="0"/>
              <w:snapToGrid w:val="0"/>
              <w:spacing w:line="300" w:lineRule="exact"/>
              <w:jc w:val="center"/>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5</w:t>
            </w:r>
            <w:r>
              <w:rPr>
                <w:rFonts w:ascii="宋体" w:hAnsi="宋体"/>
                <w:color w:val="000000" w:themeColor="text1"/>
                <w:szCs w:val="21"/>
                <w14:textFill>
                  <w14:solidFill>
                    <w14:schemeClr w14:val="tx1"/>
                  </w14:solidFill>
                </w14:textFill>
              </w:rPr>
              <w:t>0</w:t>
            </w:r>
          </w:p>
        </w:tc>
        <w:tc>
          <w:tcPr>
            <w:tcW w:w="604" w:type="pct"/>
            <w:vAlign w:val="center"/>
          </w:tcPr>
          <w:p w14:paraId="7270B34A">
            <w:pPr>
              <w:adjustRightInd w:val="0"/>
              <w:snapToGrid w:val="0"/>
              <w:spacing w:line="300" w:lineRule="exact"/>
              <w:jc w:val="center"/>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达标</w:t>
            </w:r>
          </w:p>
        </w:tc>
      </w:tr>
      <w:tr w14:paraId="63F119B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569" w:type="pct"/>
            <w:vMerge w:val="continue"/>
            <w:vAlign w:val="center"/>
          </w:tcPr>
          <w:p w14:paraId="21D84400">
            <w:pPr>
              <w:widowControl/>
              <w:adjustRightInd w:val="0"/>
              <w:snapToGrid w:val="0"/>
              <w:spacing w:line="300" w:lineRule="exact"/>
              <w:jc w:val="center"/>
              <w:rPr>
                <w:rFonts w:hint="eastAsia" w:ascii="宋体" w:hAnsi="宋体"/>
                <w:color w:val="000000" w:themeColor="text1"/>
                <w:kern w:val="0"/>
                <w:szCs w:val="21"/>
                <w14:textFill>
                  <w14:solidFill>
                    <w14:schemeClr w14:val="tx1"/>
                  </w14:solidFill>
                </w14:textFill>
              </w:rPr>
            </w:pPr>
          </w:p>
        </w:tc>
        <w:tc>
          <w:tcPr>
            <w:tcW w:w="494" w:type="pct"/>
            <w:vAlign w:val="center"/>
          </w:tcPr>
          <w:p w14:paraId="00B5763E">
            <w:pPr>
              <w:widowControl/>
              <w:adjustRightInd w:val="0"/>
              <w:snapToGrid w:val="0"/>
              <w:spacing w:line="300" w:lineRule="exact"/>
              <w:jc w:val="center"/>
              <w:rPr>
                <w:rFonts w:hint="eastAsia"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北厂界</w:t>
            </w:r>
          </w:p>
        </w:tc>
        <w:tc>
          <w:tcPr>
            <w:tcW w:w="538" w:type="pct"/>
            <w:noWrap/>
          </w:tcPr>
          <w:p w14:paraId="4C85CB84">
            <w:pPr>
              <w:adjustRightInd w:val="0"/>
              <w:snapToGrid w:val="0"/>
              <w:spacing w:line="300" w:lineRule="exact"/>
              <w:jc w:val="center"/>
              <w:rPr>
                <w:rFonts w:hint="eastAsia"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38</w:t>
            </w:r>
          </w:p>
        </w:tc>
        <w:tc>
          <w:tcPr>
            <w:tcW w:w="695" w:type="pct"/>
            <w:vAlign w:val="center"/>
          </w:tcPr>
          <w:p w14:paraId="43DD5A20">
            <w:pPr>
              <w:adjustRightInd w:val="0"/>
              <w:snapToGrid w:val="0"/>
              <w:spacing w:line="300" w:lineRule="exact"/>
              <w:jc w:val="center"/>
              <w:rPr>
                <w:rFonts w:hint="eastAsia"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60</w:t>
            </w:r>
          </w:p>
        </w:tc>
        <w:tc>
          <w:tcPr>
            <w:tcW w:w="940" w:type="pct"/>
          </w:tcPr>
          <w:p w14:paraId="1DD75465">
            <w:pPr>
              <w:adjustRightInd w:val="0"/>
              <w:snapToGrid w:val="0"/>
              <w:spacing w:line="300" w:lineRule="exact"/>
              <w:jc w:val="center"/>
              <w:rPr>
                <w:rFonts w:hint="eastAsia"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达标</w:t>
            </w:r>
          </w:p>
        </w:tc>
        <w:tc>
          <w:tcPr>
            <w:tcW w:w="660" w:type="pct"/>
            <w:noWrap/>
          </w:tcPr>
          <w:p w14:paraId="68CD6734">
            <w:pPr>
              <w:adjustRightInd w:val="0"/>
              <w:snapToGrid w:val="0"/>
              <w:spacing w:line="300" w:lineRule="exact"/>
              <w:jc w:val="center"/>
              <w:rPr>
                <w:rFonts w:hint="eastAsia"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38</w:t>
            </w:r>
          </w:p>
        </w:tc>
        <w:tc>
          <w:tcPr>
            <w:tcW w:w="501" w:type="pct"/>
            <w:vAlign w:val="center"/>
          </w:tcPr>
          <w:p w14:paraId="2AFD1ECB">
            <w:pPr>
              <w:adjustRightInd w:val="0"/>
              <w:snapToGrid w:val="0"/>
              <w:spacing w:line="300" w:lineRule="exact"/>
              <w:jc w:val="center"/>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5</w:t>
            </w:r>
            <w:r>
              <w:rPr>
                <w:rFonts w:ascii="宋体" w:hAnsi="宋体"/>
                <w:color w:val="000000" w:themeColor="text1"/>
                <w:szCs w:val="21"/>
                <w14:textFill>
                  <w14:solidFill>
                    <w14:schemeClr w14:val="tx1"/>
                  </w14:solidFill>
                </w14:textFill>
              </w:rPr>
              <w:t>0</w:t>
            </w:r>
          </w:p>
        </w:tc>
        <w:tc>
          <w:tcPr>
            <w:tcW w:w="604" w:type="pct"/>
            <w:vAlign w:val="center"/>
          </w:tcPr>
          <w:p w14:paraId="4B93109C">
            <w:pPr>
              <w:adjustRightInd w:val="0"/>
              <w:snapToGrid w:val="0"/>
              <w:spacing w:line="300" w:lineRule="exact"/>
              <w:jc w:val="center"/>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达标</w:t>
            </w:r>
          </w:p>
        </w:tc>
      </w:tr>
      <w:bookmarkEnd w:id="565"/>
      <w:tr w14:paraId="093A632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569" w:type="pct"/>
            <w:vMerge w:val="restart"/>
            <w:vAlign w:val="center"/>
          </w:tcPr>
          <w:p w14:paraId="33749B02">
            <w:pPr>
              <w:widowControl/>
              <w:adjustRightInd w:val="0"/>
              <w:snapToGrid w:val="0"/>
              <w:spacing w:line="300" w:lineRule="exact"/>
              <w:jc w:val="center"/>
              <w:rPr>
                <w:rFonts w:hint="eastAsia" w:ascii="宋体" w:hAnsi="宋体"/>
                <w:color w:val="000000" w:themeColor="text1"/>
                <w:kern w:val="0"/>
                <w:szCs w:val="21"/>
                <w14:textFill>
                  <w14:solidFill>
                    <w14:schemeClr w14:val="tx1"/>
                  </w14:solidFill>
                </w14:textFill>
              </w:rPr>
            </w:pPr>
            <w:bookmarkStart w:id="566" w:name="_Hlk173339818"/>
            <w:r>
              <w:rPr>
                <w:rFonts w:hint="eastAsia" w:ascii="宋体" w:hAnsi="宋体" w:cs="宋体"/>
                <w:bCs/>
                <w:color w:val="000000" w:themeColor="text1"/>
                <w:szCs w:val="21"/>
                <w14:textFill>
                  <w14:solidFill>
                    <w14:schemeClr w14:val="tx1"/>
                  </w14:solidFill>
                </w14:textFill>
              </w:rPr>
              <w:t>预处理注入站</w:t>
            </w:r>
          </w:p>
        </w:tc>
        <w:tc>
          <w:tcPr>
            <w:tcW w:w="494" w:type="pct"/>
            <w:vAlign w:val="center"/>
          </w:tcPr>
          <w:p w14:paraId="1B6B7C89">
            <w:pPr>
              <w:widowControl/>
              <w:adjustRightInd w:val="0"/>
              <w:snapToGrid w:val="0"/>
              <w:spacing w:line="300" w:lineRule="exact"/>
              <w:jc w:val="center"/>
              <w:rPr>
                <w:rFonts w:hint="eastAsia"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东厂界</w:t>
            </w:r>
          </w:p>
        </w:tc>
        <w:tc>
          <w:tcPr>
            <w:tcW w:w="538" w:type="pct"/>
            <w:noWrap/>
            <w:vAlign w:val="center"/>
          </w:tcPr>
          <w:p w14:paraId="05956153">
            <w:pPr>
              <w:adjustRightInd w:val="0"/>
              <w:snapToGrid w:val="0"/>
              <w:spacing w:line="300" w:lineRule="exact"/>
              <w:jc w:val="center"/>
              <w:rPr>
                <w:rFonts w:hint="eastAsia"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46</w:t>
            </w:r>
          </w:p>
        </w:tc>
        <w:tc>
          <w:tcPr>
            <w:tcW w:w="695" w:type="pct"/>
            <w:vAlign w:val="center"/>
          </w:tcPr>
          <w:p w14:paraId="4EC3608D">
            <w:pPr>
              <w:adjustRightInd w:val="0"/>
              <w:snapToGrid w:val="0"/>
              <w:spacing w:line="300" w:lineRule="exact"/>
              <w:jc w:val="center"/>
              <w:rPr>
                <w:rFonts w:hint="eastAsia" w:ascii="宋体" w:hAnsi="宋体"/>
                <w:color w:val="000000" w:themeColor="text1"/>
                <w14:textFill>
                  <w14:solidFill>
                    <w14:schemeClr w14:val="tx1"/>
                  </w14:solidFill>
                </w14:textFill>
              </w:rPr>
            </w:pPr>
            <w:r>
              <w:rPr>
                <w:rFonts w:ascii="宋体" w:hAnsi="宋体"/>
                <w:color w:val="000000" w:themeColor="text1"/>
                <w:szCs w:val="21"/>
                <w14:textFill>
                  <w14:solidFill>
                    <w14:schemeClr w14:val="tx1"/>
                  </w14:solidFill>
                </w14:textFill>
              </w:rPr>
              <w:t>60</w:t>
            </w:r>
          </w:p>
        </w:tc>
        <w:tc>
          <w:tcPr>
            <w:tcW w:w="940" w:type="pct"/>
          </w:tcPr>
          <w:p w14:paraId="385BF24A">
            <w:pPr>
              <w:adjustRightInd w:val="0"/>
              <w:snapToGrid w:val="0"/>
              <w:spacing w:line="300" w:lineRule="exact"/>
              <w:jc w:val="center"/>
              <w:rPr>
                <w:rFonts w:hint="eastAsia"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达标</w:t>
            </w:r>
          </w:p>
        </w:tc>
        <w:tc>
          <w:tcPr>
            <w:tcW w:w="660" w:type="pct"/>
            <w:noWrap/>
            <w:vAlign w:val="center"/>
          </w:tcPr>
          <w:p w14:paraId="3A6ADE65">
            <w:pPr>
              <w:adjustRightInd w:val="0"/>
              <w:snapToGrid w:val="0"/>
              <w:spacing w:line="300" w:lineRule="exact"/>
              <w:jc w:val="center"/>
              <w:rPr>
                <w:rFonts w:hint="eastAsia" w:ascii="宋体" w:hAnsi="宋体"/>
                <w:color w:val="000000" w:themeColor="text1"/>
                <w:szCs w:val="21"/>
                <w14:textFill>
                  <w14:solidFill>
                    <w14:schemeClr w14:val="tx1"/>
                  </w14:solidFill>
                </w14:textFill>
              </w:rPr>
            </w:pPr>
            <w:r>
              <w:rPr>
                <w:rFonts w:hint="eastAsia" w:ascii="宋体" w:hAnsi="宋体"/>
                <w:color w:val="000000" w:themeColor="text1"/>
                <w14:textFill>
                  <w14:solidFill>
                    <w14:schemeClr w14:val="tx1"/>
                  </w14:solidFill>
                </w14:textFill>
              </w:rPr>
              <w:t>46</w:t>
            </w:r>
          </w:p>
        </w:tc>
        <w:tc>
          <w:tcPr>
            <w:tcW w:w="501" w:type="pct"/>
            <w:vAlign w:val="center"/>
          </w:tcPr>
          <w:p w14:paraId="30E2968B">
            <w:pPr>
              <w:adjustRightInd w:val="0"/>
              <w:snapToGrid w:val="0"/>
              <w:spacing w:line="300" w:lineRule="exact"/>
              <w:jc w:val="center"/>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5</w:t>
            </w:r>
            <w:r>
              <w:rPr>
                <w:rFonts w:ascii="宋体" w:hAnsi="宋体"/>
                <w:color w:val="000000" w:themeColor="text1"/>
                <w:szCs w:val="21"/>
                <w14:textFill>
                  <w14:solidFill>
                    <w14:schemeClr w14:val="tx1"/>
                  </w14:solidFill>
                </w14:textFill>
              </w:rPr>
              <w:t>0</w:t>
            </w:r>
          </w:p>
        </w:tc>
        <w:tc>
          <w:tcPr>
            <w:tcW w:w="604" w:type="pct"/>
            <w:vAlign w:val="center"/>
          </w:tcPr>
          <w:p w14:paraId="7FB621C4">
            <w:pPr>
              <w:adjustRightInd w:val="0"/>
              <w:snapToGrid w:val="0"/>
              <w:spacing w:line="300" w:lineRule="exact"/>
              <w:jc w:val="center"/>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达标</w:t>
            </w:r>
          </w:p>
        </w:tc>
      </w:tr>
      <w:tr w14:paraId="6A2B960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569" w:type="pct"/>
            <w:vMerge w:val="continue"/>
            <w:vAlign w:val="center"/>
          </w:tcPr>
          <w:p w14:paraId="1FFA87E4">
            <w:pPr>
              <w:widowControl/>
              <w:adjustRightInd w:val="0"/>
              <w:snapToGrid w:val="0"/>
              <w:spacing w:line="300" w:lineRule="exact"/>
              <w:jc w:val="center"/>
              <w:rPr>
                <w:rFonts w:hint="eastAsia" w:ascii="宋体" w:hAnsi="宋体"/>
                <w:color w:val="000000" w:themeColor="text1"/>
                <w:kern w:val="0"/>
                <w:szCs w:val="21"/>
                <w14:textFill>
                  <w14:solidFill>
                    <w14:schemeClr w14:val="tx1"/>
                  </w14:solidFill>
                </w14:textFill>
              </w:rPr>
            </w:pPr>
          </w:p>
        </w:tc>
        <w:tc>
          <w:tcPr>
            <w:tcW w:w="494" w:type="pct"/>
            <w:vAlign w:val="center"/>
          </w:tcPr>
          <w:p w14:paraId="693BFC8F">
            <w:pPr>
              <w:widowControl/>
              <w:adjustRightInd w:val="0"/>
              <w:snapToGrid w:val="0"/>
              <w:spacing w:line="300" w:lineRule="exact"/>
              <w:jc w:val="center"/>
              <w:rPr>
                <w:rFonts w:hint="eastAsia"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南厂界</w:t>
            </w:r>
          </w:p>
        </w:tc>
        <w:tc>
          <w:tcPr>
            <w:tcW w:w="538" w:type="pct"/>
            <w:noWrap/>
          </w:tcPr>
          <w:p w14:paraId="3D54E5C6">
            <w:pPr>
              <w:adjustRightInd w:val="0"/>
              <w:snapToGrid w:val="0"/>
              <w:spacing w:line="300" w:lineRule="exact"/>
              <w:jc w:val="center"/>
              <w:rPr>
                <w:rFonts w:hint="eastAsia"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46</w:t>
            </w:r>
          </w:p>
        </w:tc>
        <w:tc>
          <w:tcPr>
            <w:tcW w:w="695" w:type="pct"/>
            <w:vAlign w:val="center"/>
          </w:tcPr>
          <w:p w14:paraId="7CFF9F03">
            <w:pPr>
              <w:adjustRightInd w:val="0"/>
              <w:snapToGrid w:val="0"/>
              <w:spacing w:line="300" w:lineRule="exact"/>
              <w:jc w:val="center"/>
              <w:rPr>
                <w:rFonts w:hint="eastAsia" w:ascii="宋体" w:hAnsi="宋体"/>
                <w:color w:val="000000" w:themeColor="text1"/>
                <w14:textFill>
                  <w14:solidFill>
                    <w14:schemeClr w14:val="tx1"/>
                  </w14:solidFill>
                </w14:textFill>
              </w:rPr>
            </w:pPr>
            <w:r>
              <w:rPr>
                <w:rFonts w:ascii="宋体" w:hAnsi="宋体"/>
                <w:color w:val="000000" w:themeColor="text1"/>
                <w:szCs w:val="21"/>
                <w14:textFill>
                  <w14:solidFill>
                    <w14:schemeClr w14:val="tx1"/>
                  </w14:solidFill>
                </w14:textFill>
              </w:rPr>
              <w:t>60</w:t>
            </w:r>
          </w:p>
        </w:tc>
        <w:tc>
          <w:tcPr>
            <w:tcW w:w="940" w:type="pct"/>
          </w:tcPr>
          <w:p w14:paraId="75843E3B">
            <w:pPr>
              <w:adjustRightInd w:val="0"/>
              <w:snapToGrid w:val="0"/>
              <w:spacing w:line="300" w:lineRule="exact"/>
              <w:jc w:val="center"/>
              <w:rPr>
                <w:rFonts w:hint="eastAsia"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达标</w:t>
            </w:r>
          </w:p>
        </w:tc>
        <w:tc>
          <w:tcPr>
            <w:tcW w:w="660" w:type="pct"/>
            <w:noWrap/>
          </w:tcPr>
          <w:p w14:paraId="6D545F48">
            <w:pPr>
              <w:adjustRightInd w:val="0"/>
              <w:snapToGrid w:val="0"/>
              <w:spacing w:line="300" w:lineRule="exact"/>
              <w:jc w:val="center"/>
              <w:rPr>
                <w:rFonts w:hint="eastAsia" w:ascii="宋体" w:hAnsi="宋体"/>
                <w:color w:val="000000" w:themeColor="text1"/>
                <w:szCs w:val="21"/>
                <w14:textFill>
                  <w14:solidFill>
                    <w14:schemeClr w14:val="tx1"/>
                  </w14:solidFill>
                </w14:textFill>
              </w:rPr>
            </w:pPr>
            <w:r>
              <w:rPr>
                <w:rFonts w:hint="eastAsia" w:ascii="宋体" w:hAnsi="宋体"/>
                <w:color w:val="000000" w:themeColor="text1"/>
                <w14:textFill>
                  <w14:solidFill>
                    <w14:schemeClr w14:val="tx1"/>
                  </w14:solidFill>
                </w14:textFill>
              </w:rPr>
              <w:t>46</w:t>
            </w:r>
          </w:p>
        </w:tc>
        <w:tc>
          <w:tcPr>
            <w:tcW w:w="501" w:type="pct"/>
            <w:vAlign w:val="center"/>
          </w:tcPr>
          <w:p w14:paraId="58D8451E">
            <w:pPr>
              <w:adjustRightInd w:val="0"/>
              <w:snapToGrid w:val="0"/>
              <w:spacing w:line="300" w:lineRule="exact"/>
              <w:jc w:val="center"/>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5</w:t>
            </w:r>
            <w:r>
              <w:rPr>
                <w:rFonts w:ascii="宋体" w:hAnsi="宋体"/>
                <w:color w:val="000000" w:themeColor="text1"/>
                <w:szCs w:val="21"/>
                <w14:textFill>
                  <w14:solidFill>
                    <w14:schemeClr w14:val="tx1"/>
                  </w14:solidFill>
                </w14:textFill>
              </w:rPr>
              <w:t>0</w:t>
            </w:r>
          </w:p>
        </w:tc>
        <w:tc>
          <w:tcPr>
            <w:tcW w:w="604" w:type="pct"/>
            <w:vAlign w:val="center"/>
          </w:tcPr>
          <w:p w14:paraId="7BE06264">
            <w:pPr>
              <w:adjustRightInd w:val="0"/>
              <w:snapToGrid w:val="0"/>
              <w:spacing w:line="300" w:lineRule="exact"/>
              <w:jc w:val="center"/>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达标</w:t>
            </w:r>
          </w:p>
        </w:tc>
      </w:tr>
      <w:tr w14:paraId="14E94DF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569" w:type="pct"/>
            <w:vMerge w:val="continue"/>
            <w:vAlign w:val="center"/>
          </w:tcPr>
          <w:p w14:paraId="252691FC">
            <w:pPr>
              <w:widowControl/>
              <w:adjustRightInd w:val="0"/>
              <w:snapToGrid w:val="0"/>
              <w:spacing w:line="300" w:lineRule="exact"/>
              <w:jc w:val="center"/>
              <w:rPr>
                <w:rFonts w:hint="eastAsia" w:ascii="宋体" w:hAnsi="宋体"/>
                <w:color w:val="000000" w:themeColor="text1"/>
                <w:kern w:val="0"/>
                <w:szCs w:val="21"/>
                <w14:textFill>
                  <w14:solidFill>
                    <w14:schemeClr w14:val="tx1"/>
                  </w14:solidFill>
                </w14:textFill>
              </w:rPr>
            </w:pPr>
          </w:p>
        </w:tc>
        <w:tc>
          <w:tcPr>
            <w:tcW w:w="494" w:type="pct"/>
            <w:vAlign w:val="center"/>
          </w:tcPr>
          <w:p w14:paraId="53BB406B">
            <w:pPr>
              <w:widowControl/>
              <w:adjustRightInd w:val="0"/>
              <w:snapToGrid w:val="0"/>
              <w:spacing w:line="300" w:lineRule="exact"/>
              <w:jc w:val="center"/>
              <w:rPr>
                <w:rFonts w:hint="eastAsia"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西厂界</w:t>
            </w:r>
          </w:p>
        </w:tc>
        <w:tc>
          <w:tcPr>
            <w:tcW w:w="538" w:type="pct"/>
            <w:noWrap/>
          </w:tcPr>
          <w:p w14:paraId="51A33AD6">
            <w:pPr>
              <w:adjustRightInd w:val="0"/>
              <w:snapToGrid w:val="0"/>
              <w:spacing w:line="300" w:lineRule="exact"/>
              <w:jc w:val="center"/>
              <w:rPr>
                <w:rFonts w:hint="eastAsia"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42</w:t>
            </w:r>
          </w:p>
        </w:tc>
        <w:tc>
          <w:tcPr>
            <w:tcW w:w="695" w:type="pct"/>
            <w:vAlign w:val="center"/>
          </w:tcPr>
          <w:p w14:paraId="7E150825">
            <w:pPr>
              <w:adjustRightInd w:val="0"/>
              <w:snapToGrid w:val="0"/>
              <w:spacing w:line="300" w:lineRule="exact"/>
              <w:jc w:val="center"/>
              <w:rPr>
                <w:rFonts w:hint="eastAsia" w:ascii="宋体" w:hAnsi="宋体"/>
                <w:color w:val="000000" w:themeColor="text1"/>
                <w14:textFill>
                  <w14:solidFill>
                    <w14:schemeClr w14:val="tx1"/>
                  </w14:solidFill>
                </w14:textFill>
              </w:rPr>
            </w:pPr>
            <w:r>
              <w:rPr>
                <w:rFonts w:ascii="宋体" w:hAnsi="宋体"/>
                <w:color w:val="000000" w:themeColor="text1"/>
                <w:szCs w:val="21"/>
                <w14:textFill>
                  <w14:solidFill>
                    <w14:schemeClr w14:val="tx1"/>
                  </w14:solidFill>
                </w14:textFill>
              </w:rPr>
              <w:t>60</w:t>
            </w:r>
          </w:p>
        </w:tc>
        <w:tc>
          <w:tcPr>
            <w:tcW w:w="940" w:type="pct"/>
          </w:tcPr>
          <w:p w14:paraId="07E65C92">
            <w:pPr>
              <w:adjustRightInd w:val="0"/>
              <w:snapToGrid w:val="0"/>
              <w:spacing w:line="300" w:lineRule="exact"/>
              <w:jc w:val="center"/>
              <w:rPr>
                <w:rFonts w:hint="eastAsia"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达标</w:t>
            </w:r>
          </w:p>
        </w:tc>
        <w:tc>
          <w:tcPr>
            <w:tcW w:w="660" w:type="pct"/>
            <w:noWrap/>
          </w:tcPr>
          <w:p w14:paraId="2B79FA86">
            <w:pPr>
              <w:adjustRightInd w:val="0"/>
              <w:snapToGrid w:val="0"/>
              <w:spacing w:line="300" w:lineRule="exact"/>
              <w:jc w:val="center"/>
              <w:rPr>
                <w:rFonts w:hint="eastAsia" w:ascii="宋体" w:hAnsi="宋体"/>
                <w:color w:val="000000" w:themeColor="text1"/>
                <w:szCs w:val="21"/>
                <w14:textFill>
                  <w14:solidFill>
                    <w14:schemeClr w14:val="tx1"/>
                  </w14:solidFill>
                </w14:textFill>
              </w:rPr>
            </w:pPr>
            <w:r>
              <w:rPr>
                <w:rFonts w:hint="eastAsia" w:ascii="宋体" w:hAnsi="宋体"/>
                <w:color w:val="000000" w:themeColor="text1"/>
                <w14:textFill>
                  <w14:solidFill>
                    <w14:schemeClr w14:val="tx1"/>
                  </w14:solidFill>
                </w14:textFill>
              </w:rPr>
              <w:t>42</w:t>
            </w:r>
          </w:p>
        </w:tc>
        <w:tc>
          <w:tcPr>
            <w:tcW w:w="501" w:type="pct"/>
            <w:vAlign w:val="center"/>
          </w:tcPr>
          <w:p w14:paraId="018CA3FA">
            <w:pPr>
              <w:adjustRightInd w:val="0"/>
              <w:snapToGrid w:val="0"/>
              <w:spacing w:line="300" w:lineRule="exact"/>
              <w:jc w:val="center"/>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5</w:t>
            </w:r>
            <w:r>
              <w:rPr>
                <w:rFonts w:ascii="宋体" w:hAnsi="宋体"/>
                <w:color w:val="000000" w:themeColor="text1"/>
                <w:szCs w:val="21"/>
                <w14:textFill>
                  <w14:solidFill>
                    <w14:schemeClr w14:val="tx1"/>
                  </w14:solidFill>
                </w14:textFill>
              </w:rPr>
              <w:t>0</w:t>
            </w:r>
          </w:p>
        </w:tc>
        <w:tc>
          <w:tcPr>
            <w:tcW w:w="604" w:type="pct"/>
            <w:vAlign w:val="center"/>
          </w:tcPr>
          <w:p w14:paraId="0B7B5144">
            <w:pPr>
              <w:adjustRightInd w:val="0"/>
              <w:snapToGrid w:val="0"/>
              <w:spacing w:line="300" w:lineRule="exact"/>
              <w:jc w:val="center"/>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达标</w:t>
            </w:r>
          </w:p>
        </w:tc>
      </w:tr>
      <w:tr w14:paraId="72C2DF6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569" w:type="pct"/>
            <w:vMerge w:val="continue"/>
            <w:vAlign w:val="center"/>
          </w:tcPr>
          <w:p w14:paraId="55609472">
            <w:pPr>
              <w:widowControl/>
              <w:adjustRightInd w:val="0"/>
              <w:snapToGrid w:val="0"/>
              <w:spacing w:line="300" w:lineRule="exact"/>
              <w:jc w:val="center"/>
              <w:rPr>
                <w:rFonts w:hint="eastAsia" w:ascii="宋体" w:hAnsi="宋体"/>
                <w:color w:val="000000" w:themeColor="text1"/>
                <w:kern w:val="0"/>
                <w:szCs w:val="21"/>
                <w14:textFill>
                  <w14:solidFill>
                    <w14:schemeClr w14:val="tx1"/>
                  </w14:solidFill>
                </w14:textFill>
              </w:rPr>
            </w:pPr>
          </w:p>
        </w:tc>
        <w:tc>
          <w:tcPr>
            <w:tcW w:w="494" w:type="pct"/>
            <w:vAlign w:val="center"/>
          </w:tcPr>
          <w:p w14:paraId="752BB2D7">
            <w:pPr>
              <w:widowControl/>
              <w:adjustRightInd w:val="0"/>
              <w:snapToGrid w:val="0"/>
              <w:spacing w:line="300" w:lineRule="exact"/>
              <w:jc w:val="center"/>
              <w:rPr>
                <w:rFonts w:hint="eastAsia"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北厂界</w:t>
            </w:r>
          </w:p>
        </w:tc>
        <w:tc>
          <w:tcPr>
            <w:tcW w:w="538" w:type="pct"/>
            <w:noWrap/>
          </w:tcPr>
          <w:p w14:paraId="2878C6F6">
            <w:pPr>
              <w:adjustRightInd w:val="0"/>
              <w:snapToGrid w:val="0"/>
              <w:spacing w:line="300" w:lineRule="exact"/>
              <w:jc w:val="center"/>
              <w:rPr>
                <w:rFonts w:hint="eastAsia"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48</w:t>
            </w:r>
          </w:p>
        </w:tc>
        <w:tc>
          <w:tcPr>
            <w:tcW w:w="695" w:type="pct"/>
            <w:vAlign w:val="center"/>
          </w:tcPr>
          <w:p w14:paraId="3C7591BA">
            <w:pPr>
              <w:adjustRightInd w:val="0"/>
              <w:snapToGrid w:val="0"/>
              <w:spacing w:line="300" w:lineRule="exact"/>
              <w:jc w:val="center"/>
              <w:rPr>
                <w:rFonts w:hint="eastAsia" w:ascii="宋体" w:hAnsi="宋体"/>
                <w:color w:val="000000" w:themeColor="text1"/>
                <w14:textFill>
                  <w14:solidFill>
                    <w14:schemeClr w14:val="tx1"/>
                  </w14:solidFill>
                </w14:textFill>
              </w:rPr>
            </w:pPr>
            <w:r>
              <w:rPr>
                <w:rFonts w:ascii="宋体" w:hAnsi="宋体"/>
                <w:color w:val="000000" w:themeColor="text1"/>
                <w:szCs w:val="21"/>
                <w14:textFill>
                  <w14:solidFill>
                    <w14:schemeClr w14:val="tx1"/>
                  </w14:solidFill>
                </w14:textFill>
              </w:rPr>
              <w:t>60</w:t>
            </w:r>
          </w:p>
        </w:tc>
        <w:tc>
          <w:tcPr>
            <w:tcW w:w="940" w:type="pct"/>
          </w:tcPr>
          <w:p w14:paraId="0564558E">
            <w:pPr>
              <w:adjustRightInd w:val="0"/>
              <w:snapToGrid w:val="0"/>
              <w:spacing w:line="300" w:lineRule="exact"/>
              <w:jc w:val="center"/>
              <w:rPr>
                <w:rFonts w:hint="eastAsia"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达标</w:t>
            </w:r>
          </w:p>
        </w:tc>
        <w:tc>
          <w:tcPr>
            <w:tcW w:w="660" w:type="pct"/>
            <w:noWrap/>
          </w:tcPr>
          <w:p w14:paraId="7532D8E9">
            <w:pPr>
              <w:adjustRightInd w:val="0"/>
              <w:snapToGrid w:val="0"/>
              <w:spacing w:line="300" w:lineRule="exact"/>
              <w:jc w:val="center"/>
              <w:rPr>
                <w:rFonts w:hint="eastAsia" w:ascii="宋体" w:hAnsi="宋体"/>
                <w:color w:val="000000" w:themeColor="text1"/>
                <w:szCs w:val="21"/>
                <w14:textFill>
                  <w14:solidFill>
                    <w14:schemeClr w14:val="tx1"/>
                  </w14:solidFill>
                </w14:textFill>
              </w:rPr>
            </w:pPr>
            <w:r>
              <w:rPr>
                <w:rFonts w:hint="eastAsia" w:ascii="宋体" w:hAnsi="宋体"/>
                <w:color w:val="000000" w:themeColor="text1"/>
                <w14:textFill>
                  <w14:solidFill>
                    <w14:schemeClr w14:val="tx1"/>
                  </w14:solidFill>
                </w14:textFill>
              </w:rPr>
              <w:t>48</w:t>
            </w:r>
          </w:p>
        </w:tc>
        <w:tc>
          <w:tcPr>
            <w:tcW w:w="501" w:type="pct"/>
            <w:vAlign w:val="center"/>
          </w:tcPr>
          <w:p w14:paraId="3AB868EB">
            <w:pPr>
              <w:adjustRightInd w:val="0"/>
              <w:snapToGrid w:val="0"/>
              <w:spacing w:line="300" w:lineRule="exact"/>
              <w:jc w:val="center"/>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5</w:t>
            </w:r>
            <w:r>
              <w:rPr>
                <w:rFonts w:ascii="宋体" w:hAnsi="宋体"/>
                <w:color w:val="000000" w:themeColor="text1"/>
                <w:szCs w:val="21"/>
                <w14:textFill>
                  <w14:solidFill>
                    <w14:schemeClr w14:val="tx1"/>
                  </w14:solidFill>
                </w14:textFill>
              </w:rPr>
              <w:t>0</w:t>
            </w:r>
          </w:p>
        </w:tc>
        <w:tc>
          <w:tcPr>
            <w:tcW w:w="604" w:type="pct"/>
            <w:vAlign w:val="center"/>
          </w:tcPr>
          <w:p w14:paraId="4F9DC607">
            <w:pPr>
              <w:adjustRightInd w:val="0"/>
              <w:snapToGrid w:val="0"/>
              <w:spacing w:line="300" w:lineRule="exact"/>
              <w:jc w:val="center"/>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达标</w:t>
            </w:r>
          </w:p>
        </w:tc>
      </w:tr>
      <w:bookmarkEnd w:id="566"/>
    </w:tbl>
    <w:p w14:paraId="39011243">
      <w:pPr>
        <w:pStyle w:val="117"/>
        <w:ind w:firstLine="480"/>
        <w:rPr>
          <w:rFonts w:hint="eastAsia" w:ascii="黑体" w:hAnsi="黑体" w:eastAsia="黑体" w:cs="宋体"/>
          <w:color w:val="000000" w:themeColor="text1"/>
          <w:sz w:val="21"/>
          <w:szCs w:val="21"/>
          <w14:textFill>
            <w14:solidFill>
              <w14:schemeClr w14:val="tx1"/>
            </w14:solidFill>
          </w14:textFill>
        </w:rPr>
      </w:pPr>
      <w:r>
        <w:rPr>
          <w:rFonts w:hint="eastAsia"/>
          <w:color w:val="000000" w:themeColor="text1"/>
          <w:lang w:bidi="ar"/>
          <w14:textFill>
            <w14:solidFill>
              <w14:schemeClr w14:val="tx1"/>
            </w14:solidFill>
          </w14:textFill>
        </w:rPr>
        <w:t>由预测结果可知：各井场和预处理注入站厂界四周噪声值均满足《工业企业厂界环境噪声排放标准》（GB12348-2008）2类标准限值要求</w:t>
      </w:r>
      <w:r>
        <w:rPr>
          <w:rFonts w:hint="eastAsia" w:cs="宋体"/>
          <w:color w:val="000000" w:themeColor="text1"/>
          <w14:textFill>
            <w14:solidFill>
              <w14:schemeClr w14:val="tx1"/>
            </w14:solidFill>
          </w14:textFill>
        </w:rPr>
        <w:t>。声环境评价范围内</w:t>
      </w:r>
      <w:r>
        <w:rPr>
          <w:rFonts w:hint="eastAsia"/>
          <w:color w:val="000000" w:themeColor="text1"/>
          <w:lang w:bidi="ar"/>
          <w14:textFill>
            <w14:solidFill>
              <w14:schemeClr w14:val="tx1"/>
            </w14:solidFill>
          </w14:textFill>
        </w:rPr>
        <w:t>无声环境敏感点，不会出现扰民现象，</w:t>
      </w:r>
      <w:r>
        <w:rPr>
          <w:rFonts w:cs="宋体"/>
          <w:color w:val="000000" w:themeColor="text1"/>
          <w14:textFill>
            <w14:solidFill>
              <w14:schemeClr w14:val="tx1"/>
            </w14:solidFill>
          </w14:textFill>
        </w:rPr>
        <w:t>不会对周围声环境产生明显的影响。</w:t>
      </w:r>
    </w:p>
    <w:bookmarkEnd w:id="556"/>
    <w:bookmarkEnd w:id="557"/>
    <w:bookmarkEnd w:id="558"/>
    <w:bookmarkEnd w:id="559"/>
    <w:bookmarkEnd w:id="560"/>
    <w:bookmarkEnd w:id="561"/>
    <w:bookmarkEnd w:id="562"/>
    <w:bookmarkEnd w:id="563"/>
    <w:p w14:paraId="792675D2">
      <w:pPr>
        <w:pStyle w:val="4"/>
        <w:rPr>
          <w:rFonts w:hint="eastAsia"/>
          <w:color w:val="000000" w:themeColor="text1"/>
          <w14:textFill>
            <w14:solidFill>
              <w14:schemeClr w14:val="tx1"/>
            </w14:solidFill>
          </w14:textFill>
        </w:rPr>
      </w:pPr>
      <w:bookmarkStart w:id="567" w:name="_Toc445996422"/>
      <w:bookmarkStart w:id="568" w:name="_Toc445842101"/>
      <w:bookmarkStart w:id="569" w:name="_Toc13399"/>
      <w:r>
        <w:rPr>
          <w:rFonts w:hint="eastAsia"/>
          <w:color w:val="000000" w:themeColor="text1"/>
          <w14:textFill>
            <w14:solidFill>
              <w14:schemeClr w14:val="tx1"/>
            </w14:solidFill>
          </w14:textFill>
        </w:rPr>
        <w:t>运营期固体废物</w:t>
      </w:r>
      <w:r>
        <w:rPr>
          <w:color w:val="000000" w:themeColor="text1"/>
          <w14:textFill>
            <w14:solidFill>
              <w14:schemeClr w14:val="tx1"/>
            </w14:solidFill>
          </w14:textFill>
        </w:rPr>
        <w:t>环境影响</w:t>
      </w:r>
      <w:bookmarkEnd w:id="567"/>
      <w:bookmarkEnd w:id="568"/>
      <w:bookmarkEnd w:id="569"/>
      <w:r>
        <w:rPr>
          <w:rFonts w:hint="eastAsia"/>
          <w:color w:val="000000" w:themeColor="text1"/>
          <w14:textFill>
            <w14:solidFill>
              <w14:schemeClr w14:val="tx1"/>
            </w14:solidFill>
          </w14:textFill>
        </w:rPr>
        <w:t>分析</w:t>
      </w:r>
    </w:p>
    <w:p w14:paraId="5382DF31">
      <w:pPr>
        <w:pStyle w:val="117"/>
        <w:ind w:firstLine="480"/>
        <w:rPr>
          <w:rFonts w:hint="eastAsia" w:cs="宋体"/>
          <w:color w:val="000000" w:themeColor="text1"/>
          <w14:textFill>
            <w14:solidFill>
              <w14:schemeClr w14:val="tx1"/>
            </w14:solidFill>
          </w14:textFill>
        </w:rPr>
      </w:pPr>
      <w:bookmarkStart w:id="570" w:name="_Hlk40434482"/>
      <w:bookmarkStart w:id="571" w:name="_Toc445996423"/>
      <w:bookmarkStart w:id="572" w:name="_Toc445842102"/>
      <w:bookmarkStart w:id="573" w:name="_Toc6279"/>
      <w:r>
        <w:rPr>
          <w:rFonts w:hint="eastAsia" w:cs="宋体"/>
          <w:color w:val="000000" w:themeColor="text1"/>
          <w14:textFill>
            <w14:solidFill>
              <w14:schemeClr w14:val="tx1"/>
            </w14:solidFill>
          </w14:textFill>
        </w:rPr>
        <w:t>固体废物主要为一般工业固体废物——</w:t>
      </w:r>
      <w:r>
        <w:rPr>
          <w:rFonts w:hint="eastAsia" w:cs="宋体"/>
          <w:color w:val="000000" w:themeColor="text1"/>
          <w:lang w:val="zh-CN"/>
          <w14:textFill>
            <w14:solidFill>
              <w14:schemeClr w14:val="tx1"/>
            </w14:solidFill>
          </w14:textFill>
        </w:rPr>
        <w:t>废包装物和危险废物——废润滑油、废油桶、废分子筛、沾油废防渗材料、废含油抹布和劳保用品。废润滑油、废油桶、沾油废防渗膜属于《国家危险废物名录（</w:t>
      </w:r>
      <w:r>
        <w:rPr>
          <w:rFonts w:cs="宋体"/>
          <w:color w:val="000000" w:themeColor="text1"/>
          <w:lang w:val="zh-CN"/>
          <w14:textFill>
            <w14:solidFill>
              <w14:schemeClr w14:val="tx1"/>
            </w14:solidFill>
          </w14:textFill>
        </w:rPr>
        <w:t>202</w:t>
      </w:r>
      <w:r>
        <w:rPr>
          <w:rFonts w:hint="eastAsia" w:cs="宋体"/>
          <w:color w:val="000000" w:themeColor="text1"/>
          <w:lang w:val="zh-CN"/>
          <w14:textFill>
            <w14:solidFill>
              <w14:schemeClr w14:val="tx1"/>
            </w14:solidFill>
          </w14:textFill>
        </w:rPr>
        <w:t>5年版）》</w:t>
      </w:r>
      <w:r>
        <w:rPr>
          <w:rFonts w:cs="宋体"/>
          <w:color w:val="000000" w:themeColor="text1"/>
          <w:lang w:val="zh-CN"/>
          <w14:textFill>
            <w14:solidFill>
              <w14:schemeClr w14:val="tx1"/>
            </w14:solidFill>
          </w14:textFill>
        </w:rPr>
        <w:t>HW08</w:t>
      </w:r>
      <w:r>
        <w:rPr>
          <w:rFonts w:hint="eastAsia" w:cs="宋体"/>
          <w:color w:val="000000" w:themeColor="text1"/>
          <w:lang w:val="zh-CN"/>
          <w14:textFill>
            <w14:solidFill>
              <w14:schemeClr w14:val="tx1"/>
            </w14:solidFill>
          </w14:textFill>
        </w:rPr>
        <w:t>废矿物油和含矿物油废物，废含油抹布和劳保用品和废分子筛属于《国家危险废物名录（</w:t>
      </w:r>
      <w:r>
        <w:rPr>
          <w:rFonts w:cs="宋体"/>
          <w:color w:val="000000" w:themeColor="text1"/>
          <w:lang w:val="zh-CN"/>
          <w14:textFill>
            <w14:solidFill>
              <w14:schemeClr w14:val="tx1"/>
            </w14:solidFill>
          </w14:textFill>
        </w:rPr>
        <w:t>202</w:t>
      </w:r>
      <w:r>
        <w:rPr>
          <w:rFonts w:hint="eastAsia" w:cs="宋体"/>
          <w:color w:val="000000" w:themeColor="text1"/>
          <w:lang w:val="zh-CN"/>
          <w14:textFill>
            <w14:solidFill>
              <w14:schemeClr w14:val="tx1"/>
            </w14:solidFill>
          </w14:textFill>
        </w:rPr>
        <w:t>5年版）》HW49其他废物，临时贮存在页岩油联合站危险废物临时暂存场，最终交由有相应危险废物处理资质的单位处理，</w:t>
      </w:r>
      <w:r>
        <w:rPr>
          <w:rFonts w:hint="eastAsia" w:cs="宋体"/>
          <w:color w:val="000000" w:themeColor="text1"/>
          <w14:textFill>
            <w14:solidFill>
              <w14:schemeClr w14:val="tx1"/>
            </w14:solidFill>
          </w14:textFill>
        </w:rPr>
        <w:t>吉庆油田作业区已与</w:t>
      </w:r>
      <w:r>
        <w:rPr>
          <w:rFonts w:hint="eastAsia"/>
          <w:color w:val="000000" w:themeColor="text1"/>
          <w14:textFill>
            <w14:solidFill>
              <w14:schemeClr w14:val="tx1"/>
            </w14:solidFill>
          </w14:textFill>
        </w:rPr>
        <w:t>克拉玛依市博达生态环保科技有限责任公司签订了危险废物处置协议，产生的危险废物可</w:t>
      </w:r>
      <w:r>
        <w:rPr>
          <w:rFonts w:hint="eastAsia" w:cs="宋体"/>
          <w:color w:val="000000" w:themeColor="text1"/>
          <w14:textFill>
            <w14:solidFill>
              <w14:schemeClr w14:val="tx1"/>
            </w14:solidFill>
          </w14:textFill>
        </w:rPr>
        <w:t>得到妥善处置。</w:t>
      </w:r>
      <w:r>
        <w:rPr>
          <w:rFonts w:hint="eastAsia" w:cs="宋体"/>
          <w:color w:val="000000" w:themeColor="text1"/>
          <w:lang w:val="zh-CN"/>
          <w14:textFill>
            <w14:solidFill>
              <w14:schemeClr w14:val="tx1"/>
            </w14:solidFill>
          </w14:textFill>
        </w:rPr>
        <w:t>一般工业固体废物——废包装物由厂家回收处置。</w:t>
      </w:r>
      <w:r>
        <w:rPr>
          <w:rFonts w:hint="eastAsia" w:cs="宋体"/>
          <w:color w:val="000000" w:themeColor="text1"/>
          <w14:textFill>
            <w14:solidFill>
              <w14:schemeClr w14:val="tx1"/>
            </w14:solidFill>
          </w14:textFill>
        </w:rPr>
        <w:t>综上所述，固体废物均得到妥善处理，不会对周围环境造成不利影响。</w:t>
      </w:r>
    </w:p>
    <w:bookmarkEnd w:id="570"/>
    <w:p w14:paraId="5EB935D6">
      <w:pPr>
        <w:pStyle w:val="4"/>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运营期土壤</w:t>
      </w:r>
      <w:r>
        <w:rPr>
          <w:color w:val="000000" w:themeColor="text1"/>
          <w14:textFill>
            <w14:solidFill>
              <w14:schemeClr w14:val="tx1"/>
            </w14:solidFill>
          </w14:textFill>
        </w:rPr>
        <w:t>环境影响</w:t>
      </w:r>
      <w:r>
        <w:rPr>
          <w:rFonts w:hint="eastAsia"/>
          <w:color w:val="000000" w:themeColor="text1"/>
          <w14:textFill>
            <w14:solidFill>
              <w14:schemeClr w14:val="tx1"/>
            </w14:solidFill>
          </w14:textFill>
        </w:rPr>
        <w:t>分析</w:t>
      </w:r>
    </w:p>
    <w:p w14:paraId="0253472F">
      <w:pPr>
        <w:pStyle w:val="117"/>
        <w:ind w:firstLine="480"/>
        <w:rPr>
          <w:rFonts w:hint="eastAsia"/>
          <w:color w:val="000000" w:themeColor="text1"/>
          <w14:textFill>
            <w14:solidFill>
              <w14:schemeClr w14:val="tx1"/>
            </w14:solidFill>
          </w14:textFill>
        </w:rPr>
      </w:pPr>
      <w:bookmarkStart w:id="574" w:name="OLE_LINK194"/>
      <w:r>
        <w:rPr>
          <w:rFonts w:hint="eastAsia"/>
          <w:color w:val="000000" w:themeColor="text1"/>
          <w14:textFill>
            <w14:solidFill>
              <w14:schemeClr w14:val="tx1"/>
            </w14:solidFill>
          </w14:textFill>
        </w:rPr>
        <w:t>（1）污染影响型</w:t>
      </w:r>
    </w:p>
    <w:p w14:paraId="4FDE93E4">
      <w:pPr>
        <w:pStyle w:val="117"/>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①管线泄漏对土壤环境的影响分析</w:t>
      </w:r>
    </w:p>
    <w:bookmarkEnd w:id="574"/>
    <w:p w14:paraId="28DC660D">
      <w:pPr>
        <w:pStyle w:val="117"/>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正常工况下无废水及固废等污染物外排，不会造成土壤环境污染。事故状态下可能对土壤环境产生一定的影响，根据《环境影响评价技术导则</w:t>
      </w:r>
      <w:r>
        <w:rPr>
          <w:color w:val="000000" w:themeColor="text1"/>
          <w14:textFill>
            <w14:solidFill>
              <w14:schemeClr w14:val="tx1"/>
            </w14:solidFill>
          </w14:textFill>
        </w:rPr>
        <w:t xml:space="preserve"> 土壤环境（试行）》（HJ 964-2018）</w:t>
      </w:r>
      <w:r>
        <w:rPr>
          <w:rFonts w:hint="eastAsia"/>
          <w:color w:val="000000" w:themeColor="text1"/>
          <w14:textFill>
            <w14:solidFill>
              <w14:schemeClr w14:val="tx1"/>
            </w14:solidFill>
          </w14:textFill>
        </w:rPr>
        <w:t>，事故状态下对土壤环境的影响主要为污染影响型，对土壤环境的影响主要为单井采油管线、集油干支线发生破裂泄漏的原油垂直入渗对土壤的影响，运营期土壤环境影响源及影响因子识别详见表</w:t>
      </w:r>
      <w:r>
        <w:rPr>
          <w:color w:val="000000" w:themeColor="text1"/>
          <w14:textFill>
            <w14:solidFill>
              <w14:schemeClr w14:val="tx1"/>
            </w14:solidFill>
          </w14:textFill>
        </w:rPr>
        <w:t>5.2</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1</w:t>
      </w:r>
      <w:r>
        <w:rPr>
          <w:rFonts w:hint="eastAsia"/>
          <w:color w:val="000000" w:themeColor="text1"/>
          <w14:textFill>
            <w14:solidFill>
              <w14:schemeClr w14:val="tx1"/>
            </w14:solidFill>
          </w14:textFill>
        </w:rPr>
        <w:t>2。</w:t>
      </w:r>
    </w:p>
    <w:p w14:paraId="2A43D17F">
      <w:pPr>
        <w:pStyle w:val="109"/>
        <w:rPr>
          <w:rFonts w:hint="eastAsia"/>
          <w:color w:val="000000" w:themeColor="text1"/>
          <w14:textFill>
            <w14:solidFill>
              <w14:schemeClr w14:val="tx1"/>
            </w14:solidFill>
          </w14:textFill>
        </w:rPr>
      </w:pPr>
    </w:p>
    <w:p w14:paraId="06C8C7A3">
      <w:pPr>
        <w:pStyle w:val="109"/>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表</w:t>
      </w:r>
      <w:r>
        <w:rPr>
          <w:color w:val="000000" w:themeColor="text1"/>
          <w14:textFill>
            <w14:solidFill>
              <w14:schemeClr w14:val="tx1"/>
            </w14:solidFill>
          </w14:textFill>
        </w:rPr>
        <w:t>5.2</w:t>
      </w:r>
      <w:r>
        <w:rPr>
          <w:rFonts w:hint="eastAsia"/>
          <w:color w:val="000000" w:themeColor="text1"/>
          <w14:textFill>
            <w14:solidFill>
              <w14:schemeClr w14:val="tx1"/>
            </w14:solidFill>
          </w14:textFill>
        </w:rPr>
        <w:t>-12</w:t>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 xml:space="preserve"> </w:t>
      </w:r>
      <w:bookmarkStart w:id="575" w:name="_Hlk117530406"/>
      <w:bookmarkStart w:id="576" w:name="_Hlk117430406"/>
      <w:r>
        <w:rPr>
          <w:rFonts w:hint="eastAsia"/>
          <w:color w:val="000000" w:themeColor="text1"/>
          <w14:textFill>
            <w14:solidFill>
              <w14:schemeClr w14:val="tx1"/>
            </w14:solidFill>
          </w14:textFill>
        </w:rPr>
        <w:t>运营期</w:t>
      </w:r>
      <w:bookmarkStart w:id="577" w:name="_Hlk98508160"/>
      <w:r>
        <w:rPr>
          <w:rFonts w:hint="eastAsia"/>
          <w:color w:val="000000" w:themeColor="text1"/>
          <w14:textFill>
            <w14:solidFill>
              <w14:schemeClr w14:val="tx1"/>
            </w14:solidFill>
          </w14:textFill>
        </w:rPr>
        <w:t>土壤环境影响源及影响因子识别表</w:t>
      </w:r>
      <w:bookmarkEnd w:id="575"/>
      <w:bookmarkEnd w:id="577"/>
    </w:p>
    <w:bookmarkEnd w:id="576"/>
    <w:tbl>
      <w:tblPr>
        <w:tblStyle w:val="51"/>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889"/>
        <w:gridCol w:w="2033"/>
        <w:gridCol w:w="1448"/>
        <w:gridCol w:w="1790"/>
        <w:gridCol w:w="1786"/>
      </w:tblGrid>
      <w:tr w14:paraId="22FD47D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56" w:type="pct"/>
            <w:vAlign w:val="center"/>
          </w:tcPr>
          <w:p w14:paraId="5F9F6B2A">
            <w:pPr>
              <w:pStyle w:val="36"/>
              <w:rPr>
                <w:rFonts w:hint="eastAsia"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污染源</w:t>
            </w:r>
          </w:p>
        </w:tc>
        <w:tc>
          <w:tcPr>
            <w:tcW w:w="1136" w:type="pct"/>
            <w:vAlign w:val="center"/>
          </w:tcPr>
          <w:p w14:paraId="01DF17E2">
            <w:pPr>
              <w:pStyle w:val="36"/>
              <w:rPr>
                <w:rFonts w:hint="eastAsia"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工艺流程/节点</w:t>
            </w:r>
          </w:p>
        </w:tc>
        <w:tc>
          <w:tcPr>
            <w:tcW w:w="809" w:type="pct"/>
            <w:vAlign w:val="center"/>
          </w:tcPr>
          <w:p w14:paraId="66A3E29C">
            <w:pPr>
              <w:pStyle w:val="36"/>
              <w:rPr>
                <w:rFonts w:hint="eastAsia"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污染途径</w:t>
            </w:r>
          </w:p>
        </w:tc>
        <w:tc>
          <w:tcPr>
            <w:tcW w:w="1000" w:type="pct"/>
            <w:vAlign w:val="center"/>
          </w:tcPr>
          <w:p w14:paraId="38396CA4">
            <w:pPr>
              <w:pStyle w:val="36"/>
              <w:rPr>
                <w:rFonts w:hint="eastAsia"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全部污染物指标</w:t>
            </w:r>
          </w:p>
        </w:tc>
        <w:tc>
          <w:tcPr>
            <w:tcW w:w="998" w:type="pct"/>
            <w:vAlign w:val="center"/>
          </w:tcPr>
          <w:p w14:paraId="0E09A4A0">
            <w:pPr>
              <w:pStyle w:val="36"/>
              <w:rPr>
                <w:rFonts w:hint="eastAsia"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特征因子</w:t>
            </w:r>
          </w:p>
        </w:tc>
      </w:tr>
      <w:tr w14:paraId="7EDE46F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56" w:type="pct"/>
            <w:vAlign w:val="center"/>
          </w:tcPr>
          <w:p w14:paraId="69B917E2">
            <w:pPr>
              <w:pStyle w:val="36"/>
              <w:rPr>
                <w:rFonts w:hint="eastAsia"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单井采油管线、集油支线</w:t>
            </w:r>
          </w:p>
        </w:tc>
        <w:tc>
          <w:tcPr>
            <w:tcW w:w="1136" w:type="pct"/>
            <w:vAlign w:val="center"/>
          </w:tcPr>
          <w:p w14:paraId="7CD615B6">
            <w:pPr>
              <w:pStyle w:val="36"/>
              <w:rPr>
                <w:rFonts w:hint="eastAsia"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管道破损发生泄漏</w:t>
            </w:r>
          </w:p>
        </w:tc>
        <w:tc>
          <w:tcPr>
            <w:tcW w:w="809" w:type="pct"/>
            <w:vAlign w:val="center"/>
          </w:tcPr>
          <w:p w14:paraId="3C0BD470">
            <w:pPr>
              <w:pStyle w:val="36"/>
              <w:rPr>
                <w:rFonts w:hint="eastAsia"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垂直入渗</w:t>
            </w:r>
          </w:p>
        </w:tc>
        <w:tc>
          <w:tcPr>
            <w:tcW w:w="1000" w:type="pct"/>
            <w:vAlign w:val="center"/>
          </w:tcPr>
          <w:p w14:paraId="2CE1A721">
            <w:pPr>
              <w:pStyle w:val="36"/>
              <w:rPr>
                <w:rFonts w:hint="eastAsia"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石油烃</w:t>
            </w:r>
          </w:p>
        </w:tc>
        <w:tc>
          <w:tcPr>
            <w:tcW w:w="998" w:type="pct"/>
            <w:vAlign w:val="center"/>
          </w:tcPr>
          <w:p w14:paraId="67D559AE">
            <w:pPr>
              <w:pStyle w:val="36"/>
              <w:rPr>
                <w:rFonts w:hint="eastAsia"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石油烃</w:t>
            </w:r>
          </w:p>
        </w:tc>
      </w:tr>
    </w:tbl>
    <w:p w14:paraId="305675DC">
      <w:pPr>
        <w:pStyle w:val="191"/>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根据《环境影响评价技术导则</w:t>
      </w:r>
      <w:r>
        <w:rPr>
          <w:color w:val="000000" w:themeColor="text1"/>
          <w14:textFill>
            <w14:solidFill>
              <w14:schemeClr w14:val="tx1"/>
            </w14:solidFill>
          </w14:textFill>
        </w:rPr>
        <w:t xml:space="preserve">  土壤环境（试行）》（HJ964-02018）8.7.3污染影响型</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评价工作等级为</w:t>
      </w:r>
      <w:r>
        <w:rPr>
          <w:rFonts w:hint="eastAsia"/>
          <w:color w:val="000000" w:themeColor="text1"/>
          <w14:textFill>
            <w14:solidFill>
              <w14:schemeClr w14:val="tx1"/>
            </w14:solidFill>
          </w14:textFill>
        </w:rPr>
        <w:t>一</w:t>
      </w:r>
      <w:r>
        <w:rPr>
          <w:color w:val="000000" w:themeColor="text1"/>
          <w14:textFill>
            <w14:solidFill>
              <w14:schemeClr w14:val="tx1"/>
            </w14:solidFill>
          </w14:textFill>
        </w:rPr>
        <w:t>级的建设项目，预测方法可参见附录E或类比分析进行预测。本次评价采用类比分析法预测项目实施对土壤环境的影响。</w:t>
      </w:r>
    </w:p>
    <w:p w14:paraId="7FF44EDC">
      <w:pPr>
        <w:pStyle w:val="191"/>
        <w:ind w:firstLine="480"/>
        <w:rPr>
          <w:rFonts w:hint="eastAsia"/>
          <w:color w:val="000000" w:themeColor="text1"/>
          <w14:textFill>
            <w14:solidFill>
              <w14:schemeClr w14:val="tx1"/>
            </w14:solidFill>
          </w14:textFill>
        </w:rPr>
      </w:pPr>
      <w:bookmarkStart w:id="578" w:name="_Hlk115193801"/>
      <w:r>
        <w:rPr>
          <w:rFonts w:hint="eastAsia"/>
          <w:color w:val="000000" w:themeColor="text1"/>
          <w14:textFill>
            <w14:solidFill>
              <w14:schemeClr w14:val="tx1"/>
            </w14:solidFill>
          </w14:textFill>
        </w:rPr>
        <w:t>管线发生泄漏后，泄漏的采出液通过垂直入渗的方式进入管线、新增设备污染下方及周边土壤，使受浸染的土壤理化性状发生变化，对土壤产生一定的影响。</w:t>
      </w:r>
    </w:p>
    <w:p w14:paraId="5A825B3C">
      <w:pPr>
        <w:pStyle w:val="117"/>
        <w:ind w:firstLine="480"/>
        <w:rPr>
          <w:rFonts w:hint="eastAsia"/>
          <w:color w:val="000000" w:themeColor="text1"/>
          <w14:textFill>
            <w14:solidFill>
              <w14:schemeClr w14:val="tx1"/>
            </w14:solidFill>
          </w14:textFill>
        </w:rPr>
      </w:pPr>
      <w:r>
        <w:rPr>
          <w:color w:val="000000" w:themeColor="text1"/>
          <w14:textFill>
            <w14:solidFill>
              <w14:schemeClr w14:val="tx1"/>
            </w14:solidFill>
          </w14:textFill>
        </w:rPr>
        <w:t>本次评价</w:t>
      </w:r>
      <w:bookmarkStart w:id="579" w:name="_Hlk115191896"/>
      <w:bookmarkStart w:id="580" w:name="_Hlk109730584"/>
      <w:r>
        <w:rPr>
          <w:rFonts w:hint="eastAsia"/>
          <w:color w:val="000000" w:themeColor="text1"/>
          <w14:textFill>
            <w14:solidFill>
              <w14:schemeClr w14:val="tx1"/>
            </w14:solidFill>
          </w14:textFill>
        </w:rPr>
        <w:t>引用的《</w:t>
      </w:r>
      <w:bookmarkStart w:id="581" w:name="_Hlk115191207"/>
      <w:r>
        <w:rPr>
          <w:rFonts w:hint="eastAsia"/>
          <w:color w:val="000000" w:themeColor="text1"/>
          <w14:textFill>
            <w14:solidFill>
              <w14:schemeClr w14:val="tx1"/>
            </w14:solidFill>
          </w14:textFill>
        </w:rPr>
        <w:t>石西油田作业区石南</w:t>
      </w:r>
      <w:r>
        <w:rPr>
          <w:color w:val="000000" w:themeColor="text1"/>
          <w14:textFill>
            <w14:solidFill>
              <w14:schemeClr w14:val="tx1"/>
            </w14:solidFill>
          </w14:textFill>
        </w:rPr>
        <w:t>4原油转输管线</w:t>
      </w:r>
      <w:bookmarkEnd w:id="581"/>
      <w:r>
        <w:rPr>
          <w:color w:val="000000" w:themeColor="text1"/>
          <w14:textFill>
            <w14:solidFill>
              <w14:schemeClr w14:val="tx1"/>
            </w14:solidFill>
          </w14:textFill>
        </w:rPr>
        <w:t>安全隐患治理工程</w:t>
      </w:r>
      <w:r>
        <w:rPr>
          <w:rFonts w:hint="eastAsia"/>
          <w:color w:val="000000" w:themeColor="text1"/>
          <w14:textFill>
            <w14:solidFill>
              <w14:schemeClr w14:val="tx1"/>
            </w14:solidFill>
          </w14:textFill>
        </w:rPr>
        <w:t>》</w:t>
      </w:r>
      <w:bookmarkEnd w:id="579"/>
      <w:r>
        <w:rPr>
          <w:rFonts w:hint="eastAsia"/>
          <w:color w:val="000000" w:themeColor="text1"/>
          <w14:textFill>
            <w14:solidFill>
              <w14:schemeClr w14:val="tx1"/>
            </w14:solidFill>
          </w14:textFill>
        </w:rPr>
        <w:t>中发生过原油泄漏并进行过应急处置的管段土壤环境质量现状监测数据来进行类比分析说明本项目单井采油管线事故状态下原油泄漏对土壤环境的影响，监测数据详见表</w:t>
      </w:r>
      <w:r>
        <w:rPr>
          <w:color w:val="000000" w:themeColor="text1"/>
          <w14:textFill>
            <w14:solidFill>
              <w14:schemeClr w14:val="tx1"/>
            </w14:solidFill>
          </w14:textFill>
        </w:rPr>
        <w:t>5.2</w:t>
      </w:r>
      <w:r>
        <w:rPr>
          <w:rFonts w:hint="eastAsia"/>
          <w:color w:val="000000" w:themeColor="text1"/>
          <w14:textFill>
            <w14:solidFill>
              <w14:schemeClr w14:val="tx1"/>
            </w14:solidFill>
          </w14:textFill>
        </w:rPr>
        <w:t>-13。</w:t>
      </w:r>
    </w:p>
    <w:p w14:paraId="55F2FCD0">
      <w:pPr>
        <w:pStyle w:val="117"/>
        <w:ind w:firstLine="0" w:firstLineChars="0"/>
        <w:jc w:val="center"/>
        <w:rPr>
          <w:rFonts w:hint="eastAsia" w:ascii="黑体" w:hAnsi="黑体" w:eastAsia="黑体"/>
          <w:color w:val="000000" w:themeColor="text1"/>
          <w:sz w:val="21"/>
          <w:szCs w:val="21"/>
          <w14:textFill>
            <w14:solidFill>
              <w14:schemeClr w14:val="tx1"/>
            </w14:solidFill>
          </w14:textFill>
        </w:rPr>
      </w:pPr>
      <w:r>
        <w:rPr>
          <w:rFonts w:ascii="黑体" w:hAnsi="黑体" w:eastAsia="黑体"/>
          <w:color w:val="000000" w:themeColor="text1"/>
          <w:sz w:val="21"/>
          <w:szCs w:val="21"/>
          <w14:textFill>
            <w14:solidFill>
              <w14:schemeClr w14:val="tx1"/>
            </w14:solidFill>
          </w14:textFill>
        </w:rPr>
        <w:t>表5.2</w:t>
      </w:r>
      <w:r>
        <w:rPr>
          <w:rFonts w:hint="eastAsia" w:ascii="黑体" w:hAnsi="黑体" w:eastAsia="黑体"/>
          <w:color w:val="000000" w:themeColor="text1"/>
          <w:sz w:val="21"/>
          <w:szCs w:val="21"/>
          <w14:textFill>
            <w14:solidFill>
              <w14:schemeClr w14:val="tx1"/>
            </w14:solidFill>
          </w14:textFill>
        </w:rPr>
        <w:t>-</w:t>
      </w:r>
      <w:r>
        <w:rPr>
          <w:rFonts w:ascii="黑体" w:hAnsi="黑体" w:eastAsia="黑体"/>
          <w:color w:val="000000" w:themeColor="text1"/>
          <w:sz w:val="21"/>
          <w:szCs w:val="21"/>
          <w14:textFill>
            <w14:solidFill>
              <w14:schemeClr w14:val="tx1"/>
            </w14:solidFill>
          </w14:textFill>
        </w:rPr>
        <w:t>1</w:t>
      </w:r>
      <w:r>
        <w:rPr>
          <w:rFonts w:hint="eastAsia" w:ascii="黑体" w:hAnsi="黑体" w:eastAsia="黑体"/>
          <w:color w:val="000000" w:themeColor="text1"/>
          <w:sz w:val="21"/>
          <w:szCs w:val="21"/>
          <w14:textFill>
            <w14:solidFill>
              <w14:schemeClr w14:val="tx1"/>
            </w14:solidFill>
          </w14:textFill>
        </w:rPr>
        <w:t>3</w:t>
      </w:r>
      <w:r>
        <w:rPr>
          <w:rFonts w:ascii="黑体" w:hAnsi="黑体" w:eastAsia="黑体"/>
          <w:color w:val="000000" w:themeColor="text1"/>
          <w:sz w:val="21"/>
          <w:szCs w:val="21"/>
          <w14:textFill>
            <w14:solidFill>
              <w14:schemeClr w14:val="tx1"/>
            </w14:solidFill>
          </w14:textFill>
        </w:rPr>
        <w:t xml:space="preserve">  </w:t>
      </w:r>
      <w:r>
        <w:rPr>
          <w:rFonts w:hint="eastAsia" w:ascii="黑体" w:hAnsi="黑体" w:eastAsia="黑体"/>
          <w:color w:val="000000" w:themeColor="text1"/>
          <w:sz w:val="21"/>
          <w:szCs w:val="21"/>
          <w14:textFill>
            <w14:solidFill>
              <w14:schemeClr w14:val="tx1"/>
            </w14:solidFill>
          </w14:textFill>
        </w:rPr>
        <w:t>《石西油田作业区石南</w:t>
      </w:r>
      <w:r>
        <w:rPr>
          <w:rFonts w:ascii="黑体" w:hAnsi="黑体" w:eastAsia="黑体"/>
          <w:color w:val="000000" w:themeColor="text1"/>
          <w:sz w:val="21"/>
          <w:szCs w:val="21"/>
          <w14:textFill>
            <w14:solidFill>
              <w14:schemeClr w14:val="tx1"/>
            </w14:solidFill>
          </w14:textFill>
        </w:rPr>
        <w:t>4原油转输管线安全隐患治理工程</w:t>
      </w:r>
      <w:r>
        <w:rPr>
          <w:rFonts w:hint="eastAsia" w:ascii="黑体" w:hAnsi="黑体" w:eastAsia="黑体"/>
          <w:color w:val="000000" w:themeColor="text1"/>
          <w:sz w:val="21"/>
          <w:szCs w:val="21"/>
          <w14:textFill>
            <w14:solidFill>
              <w14:schemeClr w14:val="tx1"/>
            </w14:solidFill>
          </w14:textFill>
        </w:rPr>
        <w:t>》土壤监测结果一览表</w:t>
      </w:r>
    </w:p>
    <w:tbl>
      <w:tblPr>
        <w:tblStyle w:val="51"/>
        <w:tblW w:w="5000"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676"/>
        <w:gridCol w:w="1134"/>
        <w:gridCol w:w="846"/>
        <w:gridCol w:w="1140"/>
        <w:gridCol w:w="1134"/>
        <w:gridCol w:w="1136"/>
        <w:gridCol w:w="991"/>
        <w:gridCol w:w="1137"/>
        <w:gridCol w:w="752"/>
      </w:tblGrid>
      <w:tr w14:paraId="2CA28A3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4" w:hRule="atLeast"/>
        </w:trPr>
        <w:tc>
          <w:tcPr>
            <w:tcW w:w="378" w:type="pct"/>
            <w:vMerge w:val="restart"/>
            <w:vAlign w:val="center"/>
          </w:tcPr>
          <w:p w14:paraId="65D9A69B">
            <w:pPr>
              <w:pStyle w:val="208"/>
              <w:adjustRightInd w:val="0"/>
              <w:snapToGrid w:val="0"/>
              <w:rPr>
                <w:rFonts w:hint="eastAsia"/>
                <w:color w:val="000000" w:themeColor="text1"/>
                <w:szCs w:val="21"/>
                <w:lang w:val="zh-CN"/>
                <w14:textFill>
                  <w14:solidFill>
                    <w14:schemeClr w14:val="tx1"/>
                  </w14:solidFill>
                </w14:textFill>
              </w:rPr>
            </w:pPr>
            <w:bookmarkStart w:id="582" w:name="_Hlk110354415"/>
            <w:r>
              <w:rPr>
                <w:rFonts w:hint="eastAsia"/>
                <w:color w:val="000000" w:themeColor="text1"/>
                <w:szCs w:val="21"/>
                <w:lang w:val="zh-CN"/>
                <w14:textFill>
                  <w14:solidFill>
                    <w14:schemeClr w14:val="tx1"/>
                  </w14:solidFill>
                </w14:textFill>
              </w:rPr>
              <w:t>点位</w:t>
            </w:r>
            <w:r>
              <w:rPr>
                <w:color w:val="000000" w:themeColor="text1"/>
                <w:szCs w:val="21"/>
                <w:lang w:val="zh-CN"/>
                <w14:textFill>
                  <w14:solidFill>
                    <w14:schemeClr w14:val="tx1"/>
                  </w14:solidFill>
                </w14:textFill>
              </w:rPr>
              <w:t>编号</w:t>
            </w:r>
          </w:p>
        </w:tc>
        <w:tc>
          <w:tcPr>
            <w:tcW w:w="634" w:type="pct"/>
            <w:vMerge w:val="restart"/>
            <w:vAlign w:val="center"/>
          </w:tcPr>
          <w:p w14:paraId="69D9697D">
            <w:pPr>
              <w:pStyle w:val="208"/>
              <w:adjustRightInd w:val="0"/>
              <w:snapToGrid w:val="0"/>
              <w:rPr>
                <w:rFonts w:hint="eastAsia"/>
                <w:color w:val="000000" w:themeColor="text1"/>
                <w:szCs w:val="21"/>
                <w:lang w:val="zh-CN"/>
                <w14:textFill>
                  <w14:solidFill>
                    <w14:schemeClr w14:val="tx1"/>
                  </w14:solidFill>
                </w14:textFill>
              </w:rPr>
            </w:pPr>
            <w:r>
              <w:rPr>
                <w:rFonts w:hint="eastAsia"/>
                <w:color w:val="000000" w:themeColor="text1"/>
                <w:szCs w:val="21"/>
                <w:lang w:val="zh-CN"/>
                <w14:textFill>
                  <w14:solidFill>
                    <w14:schemeClr w14:val="tx1"/>
                  </w14:solidFill>
                </w14:textFill>
              </w:rPr>
              <w:t>监测因子</w:t>
            </w:r>
          </w:p>
        </w:tc>
        <w:tc>
          <w:tcPr>
            <w:tcW w:w="3568" w:type="pct"/>
            <w:gridSpan w:val="6"/>
            <w:vAlign w:val="center"/>
          </w:tcPr>
          <w:p w14:paraId="54B0D0CD">
            <w:pPr>
              <w:pStyle w:val="208"/>
              <w:adjustRightInd w:val="0"/>
              <w:snapToGrid w:val="0"/>
              <w:rPr>
                <w:rFonts w:hint="eastAsia"/>
                <w:color w:val="000000" w:themeColor="text1"/>
                <w:szCs w:val="21"/>
                <w:lang w:val="zh-CN"/>
                <w14:textFill>
                  <w14:solidFill>
                    <w14:schemeClr w14:val="tx1"/>
                  </w14:solidFill>
                </w14:textFill>
              </w:rPr>
            </w:pPr>
            <w:r>
              <w:rPr>
                <w:rFonts w:hint="eastAsia"/>
                <w:color w:val="000000" w:themeColor="text1"/>
                <w14:textFill>
                  <w14:solidFill>
                    <w14:schemeClr w14:val="tx1"/>
                  </w14:solidFill>
                </w14:textFill>
              </w:rPr>
              <w:t>（柱状样）</w:t>
            </w:r>
            <w:r>
              <w:rPr>
                <w:rFonts w:hint="eastAsia"/>
                <w:color w:val="000000" w:themeColor="text1"/>
                <w:szCs w:val="21"/>
                <w14:textFill>
                  <w14:solidFill>
                    <w14:schemeClr w14:val="tx1"/>
                  </w14:solidFill>
                </w14:textFill>
              </w:rPr>
              <w:t>检测值</w:t>
            </w:r>
            <w:r>
              <w:rPr>
                <w:color w:val="000000" w:themeColor="text1"/>
                <w:szCs w:val="21"/>
                <w14:textFill>
                  <w14:solidFill>
                    <w14:schemeClr w14:val="tx1"/>
                  </w14:solidFill>
                </w14:textFill>
              </w:rPr>
              <w:t>（</w:t>
            </w:r>
            <w:r>
              <w:rPr>
                <w:rFonts w:hint="eastAsia"/>
                <w:color w:val="000000" w:themeColor="text1"/>
                <w:szCs w:val="21"/>
                <w14:textFill>
                  <w14:solidFill>
                    <w14:schemeClr w14:val="tx1"/>
                  </w14:solidFill>
                </w14:textFill>
              </w:rPr>
              <w:t>m</w:t>
            </w:r>
            <w:r>
              <w:rPr>
                <w:color w:val="000000" w:themeColor="text1"/>
                <w:szCs w:val="21"/>
                <w14:textFill>
                  <w14:solidFill>
                    <w14:schemeClr w14:val="tx1"/>
                  </w14:solidFill>
                </w14:textFill>
              </w:rPr>
              <w:t>g/</w:t>
            </w:r>
            <w:r>
              <w:rPr>
                <w:rFonts w:hint="eastAsia"/>
                <w:color w:val="000000" w:themeColor="text1"/>
                <w:szCs w:val="21"/>
                <w14:textFill>
                  <w14:solidFill>
                    <w14:schemeClr w14:val="tx1"/>
                  </w14:solidFill>
                </w14:textFill>
              </w:rPr>
              <w:t>kg</w:t>
            </w:r>
            <w:r>
              <w:rPr>
                <w:color w:val="000000" w:themeColor="text1"/>
                <w:szCs w:val="21"/>
                <w14:textFill>
                  <w14:solidFill>
                    <w14:schemeClr w14:val="tx1"/>
                  </w14:solidFill>
                </w14:textFill>
              </w:rPr>
              <w:t>）</w:t>
            </w:r>
          </w:p>
        </w:tc>
        <w:tc>
          <w:tcPr>
            <w:tcW w:w="420" w:type="pct"/>
            <w:vMerge w:val="restart"/>
            <w:vAlign w:val="center"/>
          </w:tcPr>
          <w:p w14:paraId="1E4733FF">
            <w:pPr>
              <w:pStyle w:val="208"/>
              <w:adjustRightInd w:val="0"/>
              <w:snapToGrid w:val="0"/>
              <w:rPr>
                <w:rFonts w:hint="eastAsia"/>
                <w:color w:val="000000" w:themeColor="text1"/>
                <w:szCs w:val="21"/>
                <w:lang w:val="zh-CN"/>
                <w14:textFill>
                  <w14:solidFill>
                    <w14:schemeClr w14:val="tx1"/>
                  </w14:solidFill>
                </w14:textFill>
              </w:rPr>
            </w:pPr>
            <w:r>
              <w:rPr>
                <w:rFonts w:hint="eastAsia"/>
                <w:color w:val="000000" w:themeColor="text1"/>
                <w:szCs w:val="21"/>
                <w:lang w:val="zh-CN"/>
                <w14:textFill>
                  <w14:solidFill>
                    <w14:schemeClr w14:val="tx1"/>
                  </w14:solidFill>
                </w14:textFill>
              </w:rPr>
              <w:t>达标情况</w:t>
            </w:r>
          </w:p>
        </w:tc>
      </w:tr>
      <w:tr w14:paraId="112EC81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4" w:hRule="atLeast"/>
        </w:trPr>
        <w:tc>
          <w:tcPr>
            <w:tcW w:w="378" w:type="pct"/>
            <w:vMerge w:val="continue"/>
            <w:vAlign w:val="center"/>
          </w:tcPr>
          <w:p w14:paraId="729D2BE1">
            <w:pPr>
              <w:pStyle w:val="208"/>
              <w:adjustRightInd w:val="0"/>
              <w:snapToGrid w:val="0"/>
              <w:rPr>
                <w:rFonts w:hint="eastAsia"/>
                <w:color w:val="000000" w:themeColor="text1"/>
                <w:szCs w:val="21"/>
                <w:lang w:val="zh-CN"/>
                <w14:textFill>
                  <w14:solidFill>
                    <w14:schemeClr w14:val="tx1"/>
                  </w14:solidFill>
                </w14:textFill>
              </w:rPr>
            </w:pPr>
          </w:p>
        </w:tc>
        <w:tc>
          <w:tcPr>
            <w:tcW w:w="634" w:type="pct"/>
            <w:vMerge w:val="continue"/>
            <w:vAlign w:val="center"/>
          </w:tcPr>
          <w:p w14:paraId="12A95705">
            <w:pPr>
              <w:pStyle w:val="208"/>
              <w:adjustRightInd w:val="0"/>
              <w:snapToGrid w:val="0"/>
              <w:rPr>
                <w:rFonts w:hint="eastAsia"/>
                <w:color w:val="000000" w:themeColor="text1"/>
                <w:szCs w:val="21"/>
                <w:lang w:val="zh-CN"/>
                <w14:textFill>
                  <w14:solidFill>
                    <w14:schemeClr w14:val="tx1"/>
                  </w14:solidFill>
                </w14:textFill>
              </w:rPr>
            </w:pPr>
          </w:p>
        </w:tc>
        <w:tc>
          <w:tcPr>
            <w:tcW w:w="1110" w:type="pct"/>
            <w:gridSpan w:val="2"/>
            <w:tcBorders>
              <w:bottom w:val="single" w:color="auto" w:sz="4" w:space="0"/>
            </w:tcBorders>
            <w:vAlign w:val="center"/>
          </w:tcPr>
          <w:p w14:paraId="057C0D19">
            <w:pPr>
              <w:pStyle w:val="208"/>
              <w:adjustRightInd w:val="0"/>
              <w:snapToGrid w:val="0"/>
              <w:rPr>
                <w:rFonts w:hint="eastAsia"/>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w:t>
            </w:r>
            <w:r>
              <w:rPr>
                <w:color w:val="000000" w:themeColor="text1"/>
                <w:szCs w:val="21"/>
                <w14:textFill>
                  <w14:solidFill>
                    <w14:schemeClr w14:val="tx1"/>
                  </w14:solidFill>
                </w14:textFill>
              </w:rPr>
              <w:t>0.5</w:t>
            </w:r>
            <w:r>
              <w:rPr>
                <w:rFonts w:hint="eastAsia"/>
                <w:color w:val="000000" w:themeColor="text1"/>
                <w:szCs w:val="21"/>
                <w14:textFill>
                  <w14:solidFill>
                    <w14:schemeClr w14:val="tx1"/>
                  </w14:solidFill>
                </w14:textFill>
              </w:rPr>
              <w:t>m</w:t>
            </w:r>
          </w:p>
        </w:tc>
        <w:tc>
          <w:tcPr>
            <w:tcW w:w="1269" w:type="pct"/>
            <w:gridSpan w:val="2"/>
            <w:tcBorders>
              <w:bottom w:val="single" w:color="auto" w:sz="4" w:space="0"/>
            </w:tcBorders>
            <w:vAlign w:val="center"/>
          </w:tcPr>
          <w:p w14:paraId="030F26FE">
            <w:pPr>
              <w:pStyle w:val="208"/>
              <w:adjustRightInd w:val="0"/>
              <w:snapToGrid w:val="0"/>
              <w:rPr>
                <w:rFonts w:hint="eastAsia"/>
                <w:color w:val="000000" w:themeColor="text1"/>
                <w:szCs w:val="21"/>
                <w14:textFill>
                  <w14:solidFill>
                    <w14:schemeClr w14:val="tx1"/>
                  </w14:solidFill>
                </w14:textFill>
              </w:rPr>
            </w:pPr>
            <w:r>
              <w:rPr>
                <w:color w:val="000000" w:themeColor="text1"/>
                <w:szCs w:val="21"/>
                <w14:textFill>
                  <w14:solidFill>
                    <w14:schemeClr w14:val="tx1"/>
                  </w14:solidFill>
                </w14:textFill>
              </w:rPr>
              <w:t>0.5</w:t>
            </w:r>
            <w:r>
              <w:rPr>
                <w:rFonts w:hint="eastAsia"/>
                <w:color w:val="000000" w:themeColor="text1"/>
                <w:szCs w:val="21"/>
                <w14:textFill>
                  <w14:solidFill>
                    <w14:schemeClr w14:val="tx1"/>
                  </w14:solidFill>
                </w14:textFill>
              </w:rPr>
              <w:t>～1</w:t>
            </w:r>
            <w:r>
              <w:rPr>
                <w:color w:val="000000" w:themeColor="text1"/>
                <w:szCs w:val="21"/>
                <w14:textFill>
                  <w14:solidFill>
                    <w14:schemeClr w14:val="tx1"/>
                  </w14:solidFill>
                </w14:textFill>
              </w:rPr>
              <w:t>.5</w:t>
            </w:r>
            <w:r>
              <w:rPr>
                <w:rFonts w:hint="eastAsia"/>
                <w:color w:val="000000" w:themeColor="text1"/>
                <w:szCs w:val="21"/>
                <w14:textFill>
                  <w14:solidFill>
                    <w14:schemeClr w14:val="tx1"/>
                  </w14:solidFill>
                </w14:textFill>
              </w:rPr>
              <w:t>m</w:t>
            </w:r>
          </w:p>
        </w:tc>
        <w:tc>
          <w:tcPr>
            <w:tcW w:w="1189" w:type="pct"/>
            <w:gridSpan w:val="2"/>
            <w:tcBorders>
              <w:bottom w:val="single" w:color="auto" w:sz="4" w:space="0"/>
            </w:tcBorders>
            <w:vAlign w:val="center"/>
          </w:tcPr>
          <w:p w14:paraId="77578682">
            <w:pPr>
              <w:pStyle w:val="208"/>
              <w:adjustRightInd w:val="0"/>
              <w:snapToGrid w:val="0"/>
              <w:rPr>
                <w:rFonts w:hint="eastAsia"/>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w:t>
            </w:r>
            <w:r>
              <w:rPr>
                <w:color w:val="000000" w:themeColor="text1"/>
                <w:szCs w:val="21"/>
                <w14:textFill>
                  <w14:solidFill>
                    <w14:schemeClr w14:val="tx1"/>
                  </w14:solidFill>
                </w14:textFill>
              </w:rPr>
              <w:t>.5</w:t>
            </w:r>
            <w:r>
              <w:rPr>
                <w:rFonts w:hint="eastAsia"/>
                <w:color w:val="000000" w:themeColor="text1"/>
                <w:szCs w:val="21"/>
                <w14:textFill>
                  <w14:solidFill>
                    <w14:schemeClr w14:val="tx1"/>
                  </w14:solidFill>
                </w14:textFill>
              </w:rPr>
              <w:t>～3m</w:t>
            </w:r>
          </w:p>
        </w:tc>
        <w:tc>
          <w:tcPr>
            <w:tcW w:w="420" w:type="pct"/>
            <w:vMerge w:val="continue"/>
            <w:vAlign w:val="center"/>
          </w:tcPr>
          <w:p w14:paraId="73D017D2">
            <w:pPr>
              <w:pStyle w:val="208"/>
              <w:adjustRightInd w:val="0"/>
              <w:snapToGrid w:val="0"/>
              <w:rPr>
                <w:rFonts w:hint="eastAsia"/>
                <w:color w:val="000000" w:themeColor="text1"/>
                <w:szCs w:val="21"/>
                <w:lang w:val="zh-CN"/>
                <w14:textFill>
                  <w14:solidFill>
                    <w14:schemeClr w14:val="tx1"/>
                  </w14:solidFill>
                </w14:textFill>
              </w:rPr>
            </w:pPr>
          </w:p>
        </w:tc>
      </w:tr>
      <w:tr w14:paraId="6460377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4" w:hRule="atLeast"/>
        </w:trPr>
        <w:tc>
          <w:tcPr>
            <w:tcW w:w="378" w:type="pct"/>
            <w:vMerge w:val="continue"/>
            <w:vAlign w:val="center"/>
          </w:tcPr>
          <w:p w14:paraId="4ABF6E2D">
            <w:pPr>
              <w:pStyle w:val="208"/>
              <w:adjustRightInd w:val="0"/>
              <w:snapToGrid w:val="0"/>
              <w:rPr>
                <w:rFonts w:hint="eastAsia"/>
                <w:color w:val="000000" w:themeColor="text1"/>
                <w:szCs w:val="21"/>
                <w:lang w:val="zh-CN"/>
                <w14:textFill>
                  <w14:solidFill>
                    <w14:schemeClr w14:val="tx1"/>
                  </w14:solidFill>
                </w14:textFill>
              </w:rPr>
            </w:pPr>
          </w:p>
        </w:tc>
        <w:tc>
          <w:tcPr>
            <w:tcW w:w="634" w:type="pct"/>
            <w:vMerge w:val="continue"/>
            <w:vAlign w:val="center"/>
          </w:tcPr>
          <w:p w14:paraId="2CF2A14B">
            <w:pPr>
              <w:pStyle w:val="208"/>
              <w:adjustRightInd w:val="0"/>
              <w:snapToGrid w:val="0"/>
              <w:rPr>
                <w:rFonts w:hint="eastAsia"/>
                <w:color w:val="000000" w:themeColor="text1"/>
                <w:szCs w:val="21"/>
                <w:lang w:val="zh-CN"/>
                <w14:textFill>
                  <w14:solidFill>
                    <w14:schemeClr w14:val="tx1"/>
                  </w14:solidFill>
                </w14:textFill>
              </w:rPr>
            </w:pPr>
          </w:p>
        </w:tc>
        <w:tc>
          <w:tcPr>
            <w:tcW w:w="473" w:type="pct"/>
            <w:tcBorders>
              <w:top w:val="single" w:color="auto" w:sz="4" w:space="0"/>
              <w:right w:val="single" w:color="auto" w:sz="4" w:space="0"/>
            </w:tcBorders>
            <w:vAlign w:val="center"/>
          </w:tcPr>
          <w:p w14:paraId="73229821">
            <w:pPr>
              <w:pStyle w:val="208"/>
              <w:adjustRightInd w:val="0"/>
              <w:snapToGrid w:val="0"/>
              <w:rPr>
                <w:rFonts w:hint="eastAsia"/>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监测值</w:t>
            </w:r>
          </w:p>
        </w:tc>
        <w:tc>
          <w:tcPr>
            <w:tcW w:w="637" w:type="pct"/>
            <w:tcBorders>
              <w:top w:val="single" w:color="auto" w:sz="4" w:space="0"/>
              <w:left w:val="single" w:color="auto" w:sz="4" w:space="0"/>
            </w:tcBorders>
            <w:vAlign w:val="center"/>
          </w:tcPr>
          <w:p w14:paraId="11331AAF">
            <w:pPr>
              <w:pStyle w:val="208"/>
              <w:adjustRightInd w:val="0"/>
              <w:snapToGrid w:val="0"/>
              <w:rPr>
                <w:rFonts w:hint="eastAsia"/>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标准指数</w:t>
            </w:r>
          </w:p>
        </w:tc>
        <w:tc>
          <w:tcPr>
            <w:tcW w:w="634" w:type="pct"/>
            <w:tcBorders>
              <w:top w:val="single" w:color="auto" w:sz="4" w:space="0"/>
              <w:right w:val="single" w:color="auto" w:sz="4" w:space="0"/>
            </w:tcBorders>
            <w:vAlign w:val="center"/>
          </w:tcPr>
          <w:p w14:paraId="7093663E">
            <w:pPr>
              <w:pStyle w:val="208"/>
              <w:adjustRightInd w:val="0"/>
              <w:snapToGrid w:val="0"/>
              <w:rPr>
                <w:rFonts w:hint="eastAsia"/>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监测值</w:t>
            </w:r>
          </w:p>
        </w:tc>
        <w:tc>
          <w:tcPr>
            <w:tcW w:w="635" w:type="pct"/>
            <w:tcBorders>
              <w:top w:val="single" w:color="auto" w:sz="4" w:space="0"/>
              <w:left w:val="single" w:color="auto" w:sz="4" w:space="0"/>
            </w:tcBorders>
            <w:vAlign w:val="center"/>
          </w:tcPr>
          <w:p w14:paraId="61C63AFA">
            <w:pPr>
              <w:pStyle w:val="208"/>
              <w:adjustRightInd w:val="0"/>
              <w:snapToGrid w:val="0"/>
              <w:rPr>
                <w:rFonts w:hint="eastAsia"/>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标准指数</w:t>
            </w:r>
          </w:p>
        </w:tc>
        <w:tc>
          <w:tcPr>
            <w:tcW w:w="554" w:type="pct"/>
            <w:tcBorders>
              <w:top w:val="single" w:color="auto" w:sz="4" w:space="0"/>
              <w:right w:val="single" w:color="auto" w:sz="4" w:space="0"/>
            </w:tcBorders>
            <w:vAlign w:val="center"/>
          </w:tcPr>
          <w:p w14:paraId="0CD17CBD">
            <w:pPr>
              <w:pStyle w:val="208"/>
              <w:adjustRightInd w:val="0"/>
              <w:snapToGrid w:val="0"/>
              <w:rPr>
                <w:rFonts w:hint="eastAsia"/>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监测值</w:t>
            </w:r>
          </w:p>
        </w:tc>
        <w:tc>
          <w:tcPr>
            <w:tcW w:w="635" w:type="pct"/>
            <w:tcBorders>
              <w:top w:val="single" w:color="auto" w:sz="4" w:space="0"/>
              <w:left w:val="single" w:color="auto" w:sz="4" w:space="0"/>
            </w:tcBorders>
            <w:vAlign w:val="center"/>
          </w:tcPr>
          <w:p w14:paraId="5BAB120F">
            <w:pPr>
              <w:pStyle w:val="208"/>
              <w:adjustRightInd w:val="0"/>
              <w:snapToGrid w:val="0"/>
              <w:rPr>
                <w:rFonts w:hint="eastAsia"/>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标准指数</w:t>
            </w:r>
          </w:p>
        </w:tc>
        <w:tc>
          <w:tcPr>
            <w:tcW w:w="420" w:type="pct"/>
            <w:vMerge w:val="continue"/>
            <w:vAlign w:val="center"/>
          </w:tcPr>
          <w:p w14:paraId="4CE0BA84">
            <w:pPr>
              <w:pStyle w:val="208"/>
              <w:adjustRightInd w:val="0"/>
              <w:snapToGrid w:val="0"/>
              <w:rPr>
                <w:rFonts w:hint="eastAsia"/>
                <w:color w:val="000000" w:themeColor="text1"/>
                <w:szCs w:val="21"/>
                <w:lang w:val="zh-CN"/>
                <w14:textFill>
                  <w14:solidFill>
                    <w14:schemeClr w14:val="tx1"/>
                  </w14:solidFill>
                </w14:textFill>
              </w:rPr>
            </w:pPr>
          </w:p>
        </w:tc>
      </w:tr>
      <w:tr w14:paraId="3E3F1AC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4" w:hRule="atLeast"/>
        </w:trPr>
        <w:tc>
          <w:tcPr>
            <w:tcW w:w="378" w:type="pct"/>
            <w:vMerge w:val="restart"/>
            <w:vAlign w:val="center"/>
          </w:tcPr>
          <w:p w14:paraId="5A3C9E14">
            <w:pPr>
              <w:pStyle w:val="208"/>
              <w:adjustRightInd w:val="0"/>
              <w:snapToGrid w:val="0"/>
              <w:rPr>
                <w:rFonts w:hint="eastAsia"/>
                <w:color w:val="000000" w:themeColor="text1"/>
                <w:szCs w:val="21"/>
                <w:lang w:val="zh-CN"/>
                <w14:textFill>
                  <w14:solidFill>
                    <w14:schemeClr w14:val="tx1"/>
                  </w14:solidFill>
                </w14:textFill>
              </w:rPr>
            </w:pPr>
            <w:r>
              <w:rPr>
                <w:color w:val="000000" w:themeColor="text1"/>
                <w:szCs w:val="21"/>
                <w:lang w:val="zh-CN"/>
                <w14:textFill>
                  <w14:solidFill>
                    <w14:schemeClr w14:val="tx1"/>
                  </w14:solidFill>
                </w14:textFill>
              </w:rPr>
              <w:t>S1</w:t>
            </w:r>
          </w:p>
        </w:tc>
        <w:tc>
          <w:tcPr>
            <w:tcW w:w="634" w:type="pct"/>
            <w:vAlign w:val="center"/>
          </w:tcPr>
          <w:p w14:paraId="62895AE7">
            <w:pPr>
              <w:pStyle w:val="208"/>
              <w:adjustRightInd w:val="0"/>
              <w:snapToGrid w:val="0"/>
              <w:rPr>
                <w:rFonts w:hint="eastAsia"/>
                <w:color w:val="000000" w:themeColor="text1"/>
                <w:szCs w:val="21"/>
                <w14:textFill>
                  <w14:solidFill>
                    <w14:schemeClr w14:val="tx1"/>
                  </w14:solidFill>
                </w14:textFill>
              </w:rPr>
            </w:pPr>
            <w:r>
              <w:rPr>
                <w:color w:val="000000" w:themeColor="text1"/>
                <w:szCs w:val="21"/>
                <w14:textFill>
                  <w14:solidFill>
                    <w14:schemeClr w14:val="tx1"/>
                  </w14:solidFill>
                </w14:textFill>
              </w:rPr>
              <w:t>pH</w:t>
            </w:r>
          </w:p>
        </w:tc>
        <w:tc>
          <w:tcPr>
            <w:tcW w:w="473" w:type="pct"/>
            <w:tcBorders>
              <w:right w:val="single" w:color="auto" w:sz="4" w:space="0"/>
            </w:tcBorders>
            <w:vAlign w:val="center"/>
          </w:tcPr>
          <w:p w14:paraId="4A713080">
            <w:pPr>
              <w:pStyle w:val="208"/>
              <w:adjustRightInd w:val="0"/>
              <w:snapToGrid w:val="0"/>
              <w:rPr>
                <w:rFonts w:hint="eastAsia"/>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8</w:t>
            </w:r>
            <w:r>
              <w:rPr>
                <w:color w:val="000000" w:themeColor="text1"/>
                <w:szCs w:val="21"/>
                <w14:textFill>
                  <w14:solidFill>
                    <w14:schemeClr w14:val="tx1"/>
                  </w14:solidFill>
                </w14:textFill>
              </w:rPr>
              <w:t>.37</w:t>
            </w:r>
          </w:p>
        </w:tc>
        <w:tc>
          <w:tcPr>
            <w:tcW w:w="637" w:type="pct"/>
            <w:tcBorders>
              <w:left w:val="single" w:color="auto" w:sz="4" w:space="0"/>
            </w:tcBorders>
            <w:vAlign w:val="center"/>
          </w:tcPr>
          <w:p w14:paraId="735E7D82">
            <w:pPr>
              <w:pStyle w:val="208"/>
              <w:adjustRightInd w:val="0"/>
              <w:snapToGrid w:val="0"/>
              <w:rPr>
                <w:rFonts w:hint="eastAsia"/>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c>
          <w:tcPr>
            <w:tcW w:w="634" w:type="pct"/>
            <w:tcBorders>
              <w:right w:val="single" w:color="auto" w:sz="4" w:space="0"/>
            </w:tcBorders>
            <w:vAlign w:val="center"/>
          </w:tcPr>
          <w:p w14:paraId="0B01CA5B">
            <w:pPr>
              <w:pStyle w:val="208"/>
              <w:adjustRightInd w:val="0"/>
              <w:snapToGrid w:val="0"/>
              <w:rPr>
                <w:rFonts w:hint="eastAsia"/>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8</w:t>
            </w:r>
            <w:r>
              <w:rPr>
                <w:color w:val="000000" w:themeColor="text1"/>
                <w:szCs w:val="21"/>
                <w14:textFill>
                  <w14:solidFill>
                    <w14:schemeClr w14:val="tx1"/>
                  </w14:solidFill>
                </w14:textFill>
              </w:rPr>
              <w:t>.39</w:t>
            </w:r>
          </w:p>
        </w:tc>
        <w:tc>
          <w:tcPr>
            <w:tcW w:w="635" w:type="pct"/>
            <w:tcBorders>
              <w:left w:val="single" w:color="auto" w:sz="4" w:space="0"/>
            </w:tcBorders>
            <w:vAlign w:val="center"/>
          </w:tcPr>
          <w:p w14:paraId="5EBCCEB6">
            <w:pPr>
              <w:pStyle w:val="208"/>
              <w:adjustRightInd w:val="0"/>
              <w:snapToGrid w:val="0"/>
              <w:rPr>
                <w:rFonts w:hint="eastAsia"/>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c>
          <w:tcPr>
            <w:tcW w:w="554" w:type="pct"/>
            <w:tcBorders>
              <w:right w:val="single" w:color="auto" w:sz="4" w:space="0"/>
            </w:tcBorders>
            <w:vAlign w:val="center"/>
          </w:tcPr>
          <w:p w14:paraId="0C530B2A">
            <w:pPr>
              <w:pStyle w:val="208"/>
              <w:adjustRightInd w:val="0"/>
              <w:snapToGrid w:val="0"/>
              <w:rPr>
                <w:rFonts w:hint="eastAsia"/>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8</w:t>
            </w:r>
            <w:r>
              <w:rPr>
                <w:color w:val="000000" w:themeColor="text1"/>
                <w:szCs w:val="21"/>
                <w14:textFill>
                  <w14:solidFill>
                    <w14:schemeClr w14:val="tx1"/>
                  </w14:solidFill>
                </w14:textFill>
              </w:rPr>
              <w:t>.45</w:t>
            </w:r>
          </w:p>
        </w:tc>
        <w:tc>
          <w:tcPr>
            <w:tcW w:w="635" w:type="pct"/>
            <w:tcBorders>
              <w:left w:val="single" w:color="auto" w:sz="4" w:space="0"/>
            </w:tcBorders>
            <w:vAlign w:val="center"/>
          </w:tcPr>
          <w:p w14:paraId="68E00513">
            <w:pPr>
              <w:pStyle w:val="208"/>
              <w:adjustRightInd w:val="0"/>
              <w:snapToGrid w:val="0"/>
              <w:rPr>
                <w:rFonts w:hint="eastAsia"/>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c>
          <w:tcPr>
            <w:tcW w:w="420" w:type="pct"/>
            <w:vAlign w:val="center"/>
          </w:tcPr>
          <w:p w14:paraId="752F9A4B">
            <w:pPr>
              <w:pStyle w:val="208"/>
              <w:adjustRightInd w:val="0"/>
              <w:snapToGrid w:val="0"/>
              <w:rPr>
                <w:rFonts w:hint="eastAsia"/>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达标</w:t>
            </w:r>
          </w:p>
        </w:tc>
      </w:tr>
      <w:tr w14:paraId="0EA62AA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4" w:hRule="atLeast"/>
        </w:trPr>
        <w:tc>
          <w:tcPr>
            <w:tcW w:w="378" w:type="pct"/>
            <w:vMerge w:val="continue"/>
            <w:vAlign w:val="center"/>
          </w:tcPr>
          <w:p w14:paraId="15F2C439">
            <w:pPr>
              <w:pStyle w:val="208"/>
              <w:adjustRightInd w:val="0"/>
              <w:snapToGrid w:val="0"/>
              <w:rPr>
                <w:rFonts w:hint="eastAsia"/>
                <w:color w:val="000000" w:themeColor="text1"/>
                <w:szCs w:val="21"/>
                <w:lang w:val="zh-CN"/>
                <w14:textFill>
                  <w14:solidFill>
                    <w14:schemeClr w14:val="tx1"/>
                  </w14:solidFill>
                </w14:textFill>
              </w:rPr>
            </w:pPr>
          </w:p>
        </w:tc>
        <w:tc>
          <w:tcPr>
            <w:tcW w:w="634" w:type="pct"/>
            <w:vAlign w:val="center"/>
          </w:tcPr>
          <w:p w14:paraId="1D5E6B38">
            <w:pPr>
              <w:pStyle w:val="208"/>
              <w:adjustRightInd w:val="0"/>
              <w:snapToGrid w:val="0"/>
              <w:rPr>
                <w:rFonts w:hint="eastAsia"/>
                <w:color w:val="000000" w:themeColor="text1"/>
                <w:szCs w:val="21"/>
                <w14:textFill>
                  <w14:solidFill>
                    <w14:schemeClr w14:val="tx1"/>
                  </w14:solidFill>
                </w14:textFill>
              </w:rPr>
            </w:pPr>
            <w:r>
              <w:rPr>
                <w:rFonts w:hint="eastAsia"/>
                <w:color w:val="000000" w:themeColor="text1"/>
                <w14:textFill>
                  <w14:solidFill>
                    <w14:schemeClr w14:val="tx1"/>
                  </w14:solidFill>
                </w14:textFill>
              </w:rPr>
              <w:t>石油烃（</w:t>
            </w:r>
            <w:r>
              <w:rPr>
                <w:color w:val="000000" w:themeColor="text1"/>
                <w14:textFill>
                  <w14:solidFill>
                    <w14:schemeClr w14:val="tx1"/>
                  </w14:solidFill>
                </w14:textFill>
              </w:rPr>
              <w:t>C</w:t>
            </w:r>
            <w:r>
              <w:rPr>
                <w:color w:val="000000" w:themeColor="text1"/>
                <w:vertAlign w:val="subscript"/>
                <w14:textFill>
                  <w14:solidFill>
                    <w14:schemeClr w14:val="tx1"/>
                  </w14:solidFill>
                </w14:textFill>
              </w:rPr>
              <w:t>10</w:t>
            </w:r>
            <w:r>
              <w:rPr>
                <w:color w:val="000000" w:themeColor="text1"/>
                <w14:textFill>
                  <w14:solidFill>
                    <w14:schemeClr w14:val="tx1"/>
                  </w14:solidFill>
                </w14:textFill>
              </w:rPr>
              <w:t>～C</w:t>
            </w:r>
            <w:r>
              <w:rPr>
                <w:color w:val="000000" w:themeColor="text1"/>
                <w:vertAlign w:val="subscript"/>
                <w14:textFill>
                  <w14:solidFill>
                    <w14:schemeClr w14:val="tx1"/>
                  </w14:solidFill>
                </w14:textFill>
              </w:rPr>
              <w:t>40</w:t>
            </w:r>
            <w:r>
              <w:rPr>
                <w:color w:val="000000" w:themeColor="text1"/>
                <w14:textFill>
                  <w14:solidFill>
                    <w14:schemeClr w14:val="tx1"/>
                  </w14:solidFill>
                </w14:textFill>
              </w:rPr>
              <w:t>)</w:t>
            </w:r>
          </w:p>
        </w:tc>
        <w:tc>
          <w:tcPr>
            <w:tcW w:w="473" w:type="pct"/>
            <w:tcBorders>
              <w:right w:val="single" w:color="auto" w:sz="4" w:space="0"/>
            </w:tcBorders>
            <w:vAlign w:val="center"/>
          </w:tcPr>
          <w:p w14:paraId="4A43F2C6">
            <w:pPr>
              <w:pStyle w:val="208"/>
              <w:adjustRightInd w:val="0"/>
              <w:snapToGrid w:val="0"/>
              <w:rPr>
                <w:rFonts w:hint="eastAsia"/>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6</w:t>
            </w:r>
            <w:r>
              <w:rPr>
                <w:color w:val="000000" w:themeColor="text1"/>
                <w:szCs w:val="21"/>
                <w14:textFill>
                  <w14:solidFill>
                    <w14:schemeClr w14:val="tx1"/>
                  </w14:solidFill>
                </w14:textFill>
              </w:rPr>
              <w:t>3</w:t>
            </w:r>
          </w:p>
        </w:tc>
        <w:tc>
          <w:tcPr>
            <w:tcW w:w="637" w:type="pct"/>
            <w:tcBorders>
              <w:left w:val="single" w:color="auto" w:sz="4" w:space="0"/>
            </w:tcBorders>
            <w:vAlign w:val="center"/>
          </w:tcPr>
          <w:p w14:paraId="2BC56EF2">
            <w:pPr>
              <w:pStyle w:val="208"/>
              <w:adjustRightInd w:val="0"/>
              <w:snapToGrid w:val="0"/>
              <w:rPr>
                <w:rFonts w:hint="eastAsia"/>
                <w:color w:val="000000" w:themeColor="text1"/>
                <w:szCs w:val="21"/>
                <w14:textFill>
                  <w14:solidFill>
                    <w14:schemeClr w14:val="tx1"/>
                  </w14:solidFill>
                </w14:textFill>
              </w:rPr>
            </w:pPr>
            <w:r>
              <w:rPr>
                <w:color w:val="000000" w:themeColor="text1"/>
                <w:szCs w:val="21"/>
                <w14:textFill>
                  <w14:solidFill>
                    <w14:schemeClr w14:val="tx1"/>
                  </w14:solidFill>
                </w14:textFill>
              </w:rPr>
              <w:t>0.0140</w:t>
            </w:r>
          </w:p>
        </w:tc>
        <w:tc>
          <w:tcPr>
            <w:tcW w:w="634" w:type="pct"/>
            <w:tcBorders>
              <w:right w:val="single" w:color="auto" w:sz="4" w:space="0"/>
            </w:tcBorders>
            <w:vAlign w:val="center"/>
          </w:tcPr>
          <w:p w14:paraId="503E0BA9">
            <w:pPr>
              <w:pStyle w:val="208"/>
              <w:adjustRightInd w:val="0"/>
              <w:snapToGrid w:val="0"/>
              <w:rPr>
                <w:rFonts w:hint="eastAsia"/>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w:t>
            </w:r>
            <w:r>
              <w:rPr>
                <w:color w:val="000000" w:themeColor="text1"/>
                <w:szCs w:val="21"/>
                <w14:textFill>
                  <w14:solidFill>
                    <w14:schemeClr w14:val="tx1"/>
                  </w14:solidFill>
                </w14:textFill>
              </w:rPr>
              <w:t>5</w:t>
            </w:r>
          </w:p>
        </w:tc>
        <w:tc>
          <w:tcPr>
            <w:tcW w:w="635" w:type="pct"/>
            <w:tcBorders>
              <w:left w:val="single" w:color="auto" w:sz="4" w:space="0"/>
            </w:tcBorders>
            <w:vAlign w:val="center"/>
          </w:tcPr>
          <w:p w14:paraId="775232C0">
            <w:pPr>
              <w:pStyle w:val="208"/>
              <w:adjustRightInd w:val="0"/>
              <w:snapToGrid w:val="0"/>
              <w:rPr>
                <w:rFonts w:hint="eastAsia"/>
                <w:color w:val="000000" w:themeColor="text1"/>
                <w:szCs w:val="21"/>
                <w14:textFill>
                  <w14:solidFill>
                    <w14:schemeClr w14:val="tx1"/>
                  </w14:solidFill>
                </w14:textFill>
              </w:rPr>
            </w:pPr>
            <w:r>
              <w:rPr>
                <w:color w:val="000000" w:themeColor="text1"/>
                <w:szCs w:val="21"/>
                <w14:textFill>
                  <w14:solidFill>
                    <w14:schemeClr w14:val="tx1"/>
                  </w14:solidFill>
                </w14:textFill>
              </w:rPr>
              <w:t>0.0078</w:t>
            </w:r>
          </w:p>
        </w:tc>
        <w:tc>
          <w:tcPr>
            <w:tcW w:w="554" w:type="pct"/>
            <w:tcBorders>
              <w:right w:val="single" w:color="auto" w:sz="4" w:space="0"/>
            </w:tcBorders>
            <w:vAlign w:val="center"/>
          </w:tcPr>
          <w:p w14:paraId="2771E038">
            <w:pPr>
              <w:pStyle w:val="208"/>
              <w:adjustRightInd w:val="0"/>
              <w:snapToGrid w:val="0"/>
              <w:rPr>
                <w:rFonts w:hint="eastAsia"/>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w:t>
            </w:r>
            <w:r>
              <w:rPr>
                <w:color w:val="000000" w:themeColor="text1"/>
                <w:szCs w:val="21"/>
                <w14:textFill>
                  <w14:solidFill>
                    <w14:schemeClr w14:val="tx1"/>
                  </w14:solidFill>
                </w14:textFill>
              </w:rPr>
              <w:t>0</w:t>
            </w:r>
          </w:p>
        </w:tc>
        <w:tc>
          <w:tcPr>
            <w:tcW w:w="635" w:type="pct"/>
            <w:tcBorders>
              <w:left w:val="single" w:color="auto" w:sz="4" w:space="0"/>
            </w:tcBorders>
            <w:vAlign w:val="center"/>
          </w:tcPr>
          <w:p w14:paraId="56B3908B">
            <w:pPr>
              <w:pStyle w:val="208"/>
              <w:adjustRightInd w:val="0"/>
              <w:snapToGrid w:val="0"/>
              <w:rPr>
                <w:rFonts w:hint="eastAsia"/>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0.0022</w:t>
            </w:r>
          </w:p>
        </w:tc>
        <w:tc>
          <w:tcPr>
            <w:tcW w:w="420" w:type="pct"/>
            <w:vAlign w:val="center"/>
          </w:tcPr>
          <w:p w14:paraId="41BD1A49">
            <w:pPr>
              <w:pStyle w:val="208"/>
              <w:adjustRightInd w:val="0"/>
              <w:snapToGrid w:val="0"/>
              <w:rPr>
                <w:rFonts w:hint="eastAsia"/>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达标</w:t>
            </w:r>
          </w:p>
        </w:tc>
      </w:tr>
      <w:tr w14:paraId="2167532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4" w:hRule="atLeast"/>
        </w:trPr>
        <w:tc>
          <w:tcPr>
            <w:tcW w:w="378" w:type="pct"/>
            <w:vMerge w:val="continue"/>
            <w:vAlign w:val="center"/>
          </w:tcPr>
          <w:p w14:paraId="17C0059E">
            <w:pPr>
              <w:pStyle w:val="208"/>
              <w:adjustRightInd w:val="0"/>
              <w:snapToGrid w:val="0"/>
              <w:rPr>
                <w:rFonts w:hint="eastAsia"/>
                <w:color w:val="000000" w:themeColor="text1"/>
                <w:szCs w:val="21"/>
                <w:lang w:val="zh-CN"/>
                <w14:textFill>
                  <w14:solidFill>
                    <w14:schemeClr w14:val="tx1"/>
                  </w14:solidFill>
                </w14:textFill>
              </w:rPr>
            </w:pPr>
          </w:p>
        </w:tc>
        <w:tc>
          <w:tcPr>
            <w:tcW w:w="634" w:type="pct"/>
            <w:vAlign w:val="center"/>
          </w:tcPr>
          <w:p w14:paraId="3CA43EEA">
            <w:pPr>
              <w:pStyle w:val="208"/>
              <w:adjustRightInd w:val="0"/>
              <w:snapToGrid w:val="0"/>
              <w:rPr>
                <w:rFonts w:hint="eastAsia"/>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镉</w:t>
            </w:r>
          </w:p>
        </w:tc>
        <w:tc>
          <w:tcPr>
            <w:tcW w:w="473" w:type="pct"/>
            <w:tcBorders>
              <w:right w:val="single" w:color="auto" w:sz="4" w:space="0"/>
            </w:tcBorders>
            <w:vAlign w:val="center"/>
          </w:tcPr>
          <w:p w14:paraId="040E598C">
            <w:pPr>
              <w:pStyle w:val="208"/>
              <w:adjustRightInd w:val="0"/>
              <w:snapToGrid w:val="0"/>
              <w:rPr>
                <w:rFonts w:hint="eastAsia"/>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w:t>
            </w:r>
            <w:r>
              <w:rPr>
                <w:color w:val="000000" w:themeColor="text1"/>
                <w:szCs w:val="21"/>
                <w14:textFill>
                  <w14:solidFill>
                    <w14:schemeClr w14:val="tx1"/>
                  </w14:solidFill>
                </w14:textFill>
              </w:rPr>
              <w:t>.07</w:t>
            </w:r>
          </w:p>
        </w:tc>
        <w:tc>
          <w:tcPr>
            <w:tcW w:w="637" w:type="pct"/>
            <w:tcBorders>
              <w:left w:val="single" w:color="auto" w:sz="4" w:space="0"/>
            </w:tcBorders>
            <w:vAlign w:val="center"/>
          </w:tcPr>
          <w:p w14:paraId="358E0EBA">
            <w:pPr>
              <w:pStyle w:val="208"/>
              <w:adjustRightInd w:val="0"/>
              <w:snapToGrid w:val="0"/>
              <w:rPr>
                <w:rFonts w:hint="eastAsia"/>
                <w:color w:val="000000" w:themeColor="text1"/>
                <w:szCs w:val="21"/>
                <w14:textFill>
                  <w14:solidFill>
                    <w14:schemeClr w14:val="tx1"/>
                  </w14:solidFill>
                </w14:textFill>
              </w:rPr>
            </w:pPr>
            <w:r>
              <w:rPr>
                <w:color w:val="000000" w:themeColor="text1"/>
                <w:szCs w:val="21"/>
                <w14:textFill>
                  <w14:solidFill>
                    <w14:schemeClr w14:val="tx1"/>
                  </w14:solidFill>
                </w14:textFill>
              </w:rPr>
              <w:t>0.0011</w:t>
            </w:r>
          </w:p>
        </w:tc>
        <w:tc>
          <w:tcPr>
            <w:tcW w:w="634" w:type="pct"/>
            <w:tcBorders>
              <w:right w:val="single" w:color="auto" w:sz="4" w:space="0"/>
            </w:tcBorders>
            <w:vAlign w:val="center"/>
          </w:tcPr>
          <w:p w14:paraId="25D7B842">
            <w:pPr>
              <w:pStyle w:val="208"/>
              <w:adjustRightInd w:val="0"/>
              <w:snapToGrid w:val="0"/>
              <w:rPr>
                <w:rFonts w:hint="eastAsia"/>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w:t>
            </w:r>
            <w:r>
              <w:rPr>
                <w:color w:val="000000" w:themeColor="text1"/>
                <w:szCs w:val="21"/>
                <w14:textFill>
                  <w14:solidFill>
                    <w14:schemeClr w14:val="tx1"/>
                  </w14:solidFill>
                </w14:textFill>
              </w:rPr>
              <w:t>.05</w:t>
            </w:r>
          </w:p>
        </w:tc>
        <w:tc>
          <w:tcPr>
            <w:tcW w:w="635" w:type="pct"/>
            <w:tcBorders>
              <w:left w:val="single" w:color="auto" w:sz="4" w:space="0"/>
            </w:tcBorders>
            <w:vAlign w:val="center"/>
          </w:tcPr>
          <w:p w14:paraId="5FC488C7">
            <w:pPr>
              <w:pStyle w:val="208"/>
              <w:adjustRightInd w:val="0"/>
              <w:snapToGrid w:val="0"/>
              <w:rPr>
                <w:rFonts w:hint="eastAsia"/>
                <w:color w:val="000000" w:themeColor="text1"/>
                <w:szCs w:val="21"/>
                <w14:textFill>
                  <w14:solidFill>
                    <w14:schemeClr w14:val="tx1"/>
                  </w14:solidFill>
                </w14:textFill>
              </w:rPr>
            </w:pPr>
            <w:r>
              <w:rPr>
                <w:color w:val="000000" w:themeColor="text1"/>
                <w:szCs w:val="21"/>
                <w14:textFill>
                  <w14:solidFill>
                    <w14:schemeClr w14:val="tx1"/>
                  </w14:solidFill>
                </w14:textFill>
              </w:rPr>
              <w:t>0.0008</w:t>
            </w:r>
          </w:p>
        </w:tc>
        <w:tc>
          <w:tcPr>
            <w:tcW w:w="554" w:type="pct"/>
            <w:tcBorders>
              <w:right w:val="single" w:color="auto" w:sz="4" w:space="0"/>
            </w:tcBorders>
            <w:vAlign w:val="center"/>
          </w:tcPr>
          <w:p w14:paraId="11C01B1A">
            <w:pPr>
              <w:pStyle w:val="208"/>
              <w:adjustRightInd w:val="0"/>
              <w:snapToGrid w:val="0"/>
              <w:rPr>
                <w:rFonts w:hint="eastAsia"/>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w:t>
            </w:r>
            <w:r>
              <w:rPr>
                <w:color w:val="000000" w:themeColor="text1"/>
                <w:szCs w:val="21"/>
                <w14:textFill>
                  <w14:solidFill>
                    <w14:schemeClr w14:val="tx1"/>
                  </w14:solidFill>
                </w14:textFill>
              </w:rPr>
              <w:t>.05</w:t>
            </w:r>
          </w:p>
        </w:tc>
        <w:tc>
          <w:tcPr>
            <w:tcW w:w="635" w:type="pct"/>
            <w:tcBorders>
              <w:left w:val="single" w:color="auto" w:sz="4" w:space="0"/>
            </w:tcBorders>
            <w:vAlign w:val="center"/>
          </w:tcPr>
          <w:p w14:paraId="11DC8200">
            <w:pPr>
              <w:pStyle w:val="208"/>
              <w:adjustRightInd w:val="0"/>
              <w:snapToGrid w:val="0"/>
              <w:rPr>
                <w:rFonts w:hint="eastAsia"/>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0.0008</w:t>
            </w:r>
          </w:p>
        </w:tc>
        <w:tc>
          <w:tcPr>
            <w:tcW w:w="420" w:type="pct"/>
            <w:vAlign w:val="center"/>
          </w:tcPr>
          <w:p w14:paraId="5373ED66">
            <w:pPr>
              <w:pStyle w:val="208"/>
              <w:adjustRightInd w:val="0"/>
              <w:snapToGrid w:val="0"/>
              <w:rPr>
                <w:rFonts w:hint="eastAsia"/>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达标</w:t>
            </w:r>
          </w:p>
        </w:tc>
      </w:tr>
      <w:tr w14:paraId="3F2762D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4" w:hRule="atLeast"/>
        </w:trPr>
        <w:tc>
          <w:tcPr>
            <w:tcW w:w="378" w:type="pct"/>
            <w:vMerge w:val="continue"/>
            <w:vAlign w:val="center"/>
          </w:tcPr>
          <w:p w14:paraId="13ECA9C6">
            <w:pPr>
              <w:pStyle w:val="208"/>
              <w:adjustRightInd w:val="0"/>
              <w:snapToGrid w:val="0"/>
              <w:rPr>
                <w:rFonts w:hint="eastAsia"/>
                <w:color w:val="000000" w:themeColor="text1"/>
                <w:szCs w:val="21"/>
                <w:lang w:val="zh-CN"/>
                <w14:textFill>
                  <w14:solidFill>
                    <w14:schemeClr w14:val="tx1"/>
                  </w14:solidFill>
                </w14:textFill>
              </w:rPr>
            </w:pPr>
          </w:p>
        </w:tc>
        <w:tc>
          <w:tcPr>
            <w:tcW w:w="634" w:type="pct"/>
            <w:vAlign w:val="center"/>
          </w:tcPr>
          <w:p w14:paraId="7939DEC7">
            <w:pPr>
              <w:pStyle w:val="208"/>
              <w:adjustRightInd w:val="0"/>
              <w:snapToGrid w:val="0"/>
              <w:rPr>
                <w:rFonts w:hint="eastAsia"/>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镍</w:t>
            </w:r>
          </w:p>
        </w:tc>
        <w:tc>
          <w:tcPr>
            <w:tcW w:w="473" w:type="pct"/>
            <w:tcBorders>
              <w:right w:val="single" w:color="auto" w:sz="4" w:space="0"/>
            </w:tcBorders>
            <w:vAlign w:val="center"/>
          </w:tcPr>
          <w:p w14:paraId="3C246DEE">
            <w:pPr>
              <w:pStyle w:val="208"/>
              <w:adjustRightInd w:val="0"/>
              <w:snapToGrid w:val="0"/>
              <w:rPr>
                <w:rFonts w:hint="eastAsia"/>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w:t>
            </w:r>
            <w:r>
              <w:rPr>
                <w:color w:val="000000" w:themeColor="text1"/>
                <w:szCs w:val="21"/>
                <w14:textFill>
                  <w14:solidFill>
                    <w14:schemeClr w14:val="tx1"/>
                  </w14:solidFill>
                </w14:textFill>
              </w:rPr>
              <w:t>3</w:t>
            </w:r>
          </w:p>
        </w:tc>
        <w:tc>
          <w:tcPr>
            <w:tcW w:w="637" w:type="pct"/>
            <w:tcBorders>
              <w:left w:val="single" w:color="auto" w:sz="4" w:space="0"/>
            </w:tcBorders>
            <w:vAlign w:val="center"/>
          </w:tcPr>
          <w:p w14:paraId="5C9A2431">
            <w:pPr>
              <w:pStyle w:val="208"/>
              <w:adjustRightInd w:val="0"/>
              <w:snapToGrid w:val="0"/>
              <w:rPr>
                <w:rFonts w:hint="eastAsia"/>
                <w:color w:val="000000" w:themeColor="text1"/>
                <w:szCs w:val="21"/>
                <w14:textFill>
                  <w14:solidFill>
                    <w14:schemeClr w14:val="tx1"/>
                  </w14:solidFill>
                </w14:textFill>
              </w:rPr>
            </w:pPr>
            <w:r>
              <w:rPr>
                <w:color w:val="000000" w:themeColor="text1"/>
                <w:szCs w:val="21"/>
                <w14:textFill>
                  <w14:solidFill>
                    <w14:schemeClr w14:val="tx1"/>
                  </w14:solidFill>
                </w14:textFill>
              </w:rPr>
              <w:t>0.0144</w:t>
            </w:r>
          </w:p>
        </w:tc>
        <w:tc>
          <w:tcPr>
            <w:tcW w:w="634" w:type="pct"/>
            <w:tcBorders>
              <w:right w:val="single" w:color="auto" w:sz="4" w:space="0"/>
            </w:tcBorders>
            <w:vAlign w:val="center"/>
          </w:tcPr>
          <w:p w14:paraId="206B58C0">
            <w:pPr>
              <w:pStyle w:val="208"/>
              <w:adjustRightInd w:val="0"/>
              <w:snapToGrid w:val="0"/>
              <w:rPr>
                <w:rFonts w:hint="eastAsia"/>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w:t>
            </w:r>
            <w:r>
              <w:rPr>
                <w:color w:val="000000" w:themeColor="text1"/>
                <w:szCs w:val="21"/>
                <w14:textFill>
                  <w14:solidFill>
                    <w14:schemeClr w14:val="tx1"/>
                  </w14:solidFill>
                </w14:textFill>
              </w:rPr>
              <w:t>5</w:t>
            </w:r>
          </w:p>
        </w:tc>
        <w:tc>
          <w:tcPr>
            <w:tcW w:w="635" w:type="pct"/>
            <w:tcBorders>
              <w:left w:val="single" w:color="auto" w:sz="4" w:space="0"/>
            </w:tcBorders>
            <w:vAlign w:val="center"/>
          </w:tcPr>
          <w:p w14:paraId="51387545">
            <w:pPr>
              <w:pStyle w:val="208"/>
              <w:adjustRightInd w:val="0"/>
              <w:snapToGrid w:val="0"/>
              <w:rPr>
                <w:rFonts w:hint="eastAsia"/>
                <w:color w:val="000000" w:themeColor="text1"/>
                <w:szCs w:val="21"/>
                <w14:textFill>
                  <w14:solidFill>
                    <w14:schemeClr w14:val="tx1"/>
                  </w14:solidFill>
                </w14:textFill>
              </w:rPr>
            </w:pPr>
            <w:r>
              <w:rPr>
                <w:color w:val="000000" w:themeColor="text1"/>
                <w:szCs w:val="21"/>
                <w14:textFill>
                  <w14:solidFill>
                    <w14:schemeClr w14:val="tx1"/>
                  </w14:solidFill>
                </w14:textFill>
              </w:rPr>
              <w:t>0.0167</w:t>
            </w:r>
          </w:p>
        </w:tc>
        <w:tc>
          <w:tcPr>
            <w:tcW w:w="554" w:type="pct"/>
            <w:tcBorders>
              <w:right w:val="single" w:color="auto" w:sz="4" w:space="0"/>
            </w:tcBorders>
            <w:vAlign w:val="center"/>
          </w:tcPr>
          <w:p w14:paraId="7DF7C8C1">
            <w:pPr>
              <w:pStyle w:val="208"/>
              <w:adjustRightInd w:val="0"/>
              <w:snapToGrid w:val="0"/>
              <w:rPr>
                <w:rFonts w:hint="eastAsia"/>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w:t>
            </w:r>
            <w:r>
              <w:rPr>
                <w:color w:val="000000" w:themeColor="text1"/>
                <w:szCs w:val="21"/>
                <w14:textFill>
                  <w14:solidFill>
                    <w14:schemeClr w14:val="tx1"/>
                  </w14:solidFill>
                </w14:textFill>
              </w:rPr>
              <w:t>3</w:t>
            </w:r>
          </w:p>
        </w:tc>
        <w:tc>
          <w:tcPr>
            <w:tcW w:w="635" w:type="pct"/>
            <w:tcBorders>
              <w:left w:val="single" w:color="auto" w:sz="4" w:space="0"/>
            </w:tcBorders>
            <w:vAlign w:val="center"/>
          </w:tcPr>
          <w:p w14:paraId="25DD9B83">
            <w:pPr>
              <w:pStyle w:val="208"/>
              <w:adjustRightInd w:val="0"/>
              <w:snapToGrid w:val="0"/>
              <w:rPr>
                <w:rFonts w:hint="eastAsia"/>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0.0144</w:t>
            </w:r>
          </w:p>
        </w:tc>
        <w:tc>
          <w:tcPr>
            <w:tcW w:w="420" w:type="pct"/>
            <w:vAlign w:val="center"/>
          </w:tcPr>
          <w:p w14:paraId="41A3ACC2">
            <w:pPr>
              <w:pStyle w:val="208"/>
              <w:adjustRightInd w:val="0"/>
              <w:snapToGrid w:val="0"/>
              <w:rPr>
                <w:rFonts w:hint="eastAsia"/>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达标</w:t>
            </w:r>
          </w:p>
        </w:tc>
      </w:tr>
      <w:tr w14:paraId="3A2BB82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4" w:hRule="atLeast"/>
        </w:trPr>
        <w:tc>
          <w:tcPr>
            <w:tcW w:w="378" w:type="pct"/>
            <w:vMerge w:val="continue"/>
            <w:vAlign w:val="center"/>
          </w:tcPr>
          <w:p w14:paraId="6507E689">
            <w:pPr>
              <w:pStyle w:val="208"/>
              <w:adjustRightInd w:val="0"/>
              <w:snapToGrid w:val="0"/>
              <w:rPr>
                <w:rFonts w:hint="eastAsia"/>
                <w:color w:val="000000" w:themeColor="text1"/>
                <w:szCs w:val="21"/>
                <w:lang w:val="zh-CN"/>
                <w14:textFill>
                  <w14:solidFill>
                    <w14:schemeClr w14:val="tx1"/>
                  </w14:solidFill>
                </w14:textFill>
              </w:rPr>
            </w:pPr>
          </w:p>
        </w:tc>
        <w:tc>
          <w:tcPr>
            <w:tcW w:w="634" w:type="pct"/>
            <w:vAlign w:val="center"/>
          </w:tcPr>
          <w:p w14:paraId="7B240F73">
            <w:pPr>
              <w:pStyle w:val="208"/>
              <w:adjustRightInd w:val="0"/>
              <w:snapToGrid w:val="0"/>
              <w:rPr>
                <w:rFonts w:hint="eastAsia"/>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铬</w:t>
            </w:r>
          </w:p>
        </w:tc>
        <w:tc>
          <w:tcPr>
            <w:tcW w:w="473" w:type="pct"/>
            <w:tcBorders>
              <w:right w:val="single" w:color="auto" w:sz="4" w:space="0"/>
            </w:tcBorders>
            <w:vAlign w:val="center"/>
          </w:tcPr>
          <w:p w14:paraId="3171AE62">
            <w:pPr>
              <w:pStyle w:val="208"/>
              <w:adjustRightInd w:val="0"/>
              <w:snapToGrid w:val="0"/>
              <w:rPr>
                <w:rFonts w:hint="eastAsia"/>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w:t>
            </w:r>
            <w:r>
              <w:rPr>
                <w:color w:val="000000" w:themeColor="text1"/>
                <w:szCs w:val="21"/>
                <w14:textFill>
                  <w14:solidFill>
                    <w14:schemeClr w14:val="tx1"/>
                  </w14:solidFill>
                </w14:textFill>
              </w:rPr>
              <w:t>.5L</w:t>
            </w:r>
          </w:p>
        </w:tc>
        <w:tc>
          <w:tcPr>
            <w:tcW w:w="637" w:type="pct"/>
            <w:tcBorders>
              <w:left w:val="single" w:color="auto" w:sz="4" w:space="0"/>
            </w:tcBorders>
            <w:vAlign w:val="center"/>
          </w:tcPr>
          <w:p w14:paraId="713BA5F6">
            <w:pPr>
              <w:pStyle w:val="208"/>
              <w:adjustRightInd w:val="0"/>
              <w:snapToGrid w:val="0"/>
              <w:rPr>
                <w:rFonts w:hint="eastAsia"/>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c>
          <w:tcPr>
            <w:tcW w:w="634" w:type="pct"/>
            <w:tcBorders>
              <w:right w:val="single" w:color="auto" w:sz="4" w:space="0"/>
            </w:tcBorders>
            <w:vAlign w:val="center"/>
          </w:tcPr>
          <w:p w14:paraId="185ACFB2">
            <w:pPr>
              <w:pStyle w:val="208"/>
              <w:adjustRightInd w:val="0"/>
              <w:snapToGrid w:val="0"/>
              <w:rPr>
                <w:rFonts w:hint="eastAsia"/>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w:t>
            </w:r>
            <w:r>
              <w:rPr>
                <w:color w:val="000000" w:themeColor="text1"/>
                <w:szCs w:val="21"/>
                <w14:textFill>
                  <w14:solidFill>
                    <w14:schemeClr w14:val="tx1"/>
                  </w14:solidFill>
                </w14:textFill>
              </w:rPr>
              <w:t>.5L</w:t>
            </w:r>
          </w:p>
        </w:tc>
        <w:tc>
          <w:tcPr>
            <w:tcW w:w="635" w:type="pct"/>
            <w:tcBorders>
              <w:left w:val="single" w:color="auto" w:sz="4" w:space="0"/>
            </w:tcBorders>
            <w:vAlign w:val="center"/>
          </w:tcPr>
          <w:p w14:paraId="6EDEA6EB">
            <w:pPr>
              <w:pStyle w:val="208"/>
              <w:adjustRightInd w:val="0"/>
              <w:snapToGrid w:val="0"/>
              <w:rPr>
                <w:rFonts w:hint="eastAsia"/>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c>
          <w:tcPr>
            <w:tcW w:w="554" w:type="pct"/>
            <w:tcBorders>
              <w:right w:val="single" w:color="auto" w:sz="4" w:space="0"/>
            </w:tcBorders>
            <w:vAlign w:val="center"/>
          </w:tcPr>
          <w:p w14:paraId="6EB67B9B">
            <w:pPr>
              <w:pStyle w:val="208"/>
              <w:adjustRightInd w:val="0"/>
              <w:snapToGrid w:val="0"/>
              <w:rPr>
                <w:rFonts w:hint="eastAsia"/>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w:t>
            </w:r>
            <w:r>
              <w:rPr>
                <w:color w:val="000000" w:themeColor="text1"/>
                <w:szCs w:val="21"/>
                <w14:textFill>
                  <w14:solidFill>
                    <w14:schemeClr w14:val="tx1"/>
                  </w14:solidFill>
                </w14:textFill>
              </w:rPr>
              <w:t>.5L</w:t>
            </w:r>
          </w:p>
        </w:tc>
        <w:tc>
          <w:tcPr>
            <w:tcW w:w="635" w:type="pct"/>
            <w:tcBorders>
              <w:left w:val="single" w:color="auto" w:sz="4" w:space="0"/>
            </w:tcBorders>
            <w:vAlign w:val="center"/>
          </w:tcPr>
          <w:p w14:paraId="69B0DB6C">
            <w:pPr>
              <w:pStyle w:val="208"/>
              <w:adjustRightInd w:val="0"/>
              <w:snapToGrid w:val="0"/>
              <w:rPr>
                <w:rFonts w:hint="eastAsia"/>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c>
          <w:tcPr>
            <w:tcW w:w="420" w:type="pct"/>
            <w:vAlign w:val="center"/>
          </w:tcPr>
          <w:p w14:paraId="40DEB0A6">
            <w:pPr>
              <w:pStyle w:val="208"/>
              <w:adjustRightInd w:val="0"/>
              <w:snapToGrid w:val="0"/>
              <w:rPr>
                <w:rFonts w:hint="eastAsia"/>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达标</w:t>
            </w:r>
          </w:p>
        </w:tc>
      </w:tr>
      <w:tr w14:paraId="0A023A3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4" w:hRule="atLeast"/>
        </w:trPr>
        <w:tc>
          <w:tcPr>
            <w:tcW w:w="378" w:type="pct"/>
            <w:vMerge w:val="continue"/>
            <w:vAlign w:val="center"/>
          </w:tcPr>
          <w:p w14:paraId="3A44A6EE">
            <w:pPr>
              <w:pStyle w:val="208"/>
              <w:adjustRightInd w:val="0"/>
              <w:snapToGrid w:val="0"/>
              <w:rPr>
                <w:rFonts w:hint="eastAsia"/>
                <w:color w:val="000000" w:themeColor="text1"/>
                <w:szCs w:val="21"/>
                <w:lang w:val="zh-CN"/>
                <w14:textFill>
                  <w14:solidFill>
                    <w14:schemeClr w14:val="tx1"/>
                  </w14:solidFill>
                </w14:textFill>
              </w:rPr>
            </w:pPr>
          </w:p>
        </w:tc>
        <w:tc>
          <w:tcPr>
            <w:tcW w:w="634" w:type="pct"/>
            <w:vAlign w:val="center"/>
          </w:tcPr>
          <w:p w14:paraId="76C4CE7A">
            <w:pPr>
              <w:pStyle w:val="208"/>
              <w:adjustRightInd w:val="0"/>
              <w:snapToGrid w:val="0"/>
              <w:rPr>
                <w:rFonts w:hint="eastAsia"/>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铜</w:t>
            </w:r>
          </w:p>
        </w:tc>
        <w:tc>
          <w:tcPr>
            <w:tcW w:w="473" w:type="pct"/>
            <w:tcBorders>
              <w:right w:val="single" w:color="auto" w:sz="4" w:space="0"/>
            </w:tcBorders>
            <w:vAlign w:val="center"/>
          </w:tcPr>
          <w:p w14:paraId="77320C3D">
            <w:pPr>
              <w:pStyle w:val="208"/>
              <w:adjustRightInd w:val="0"/>
              <w:snapToGrid w:val="0"/>
              <w:rPr>
                <w:rFonts w:hint="eastAsia"/>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w:t>
            </w:r>
            <w:r>
              <w:rPr>
                <w:color w:val="000000" w:themeColor="text1"/>
                <w:szCs w:val="21"/>
                <w14:textFill>
                  <w14:solidFill>
                    <w14:schemeClr w14:val="tx1"/>
                  </w14:solidFill>
                </w14:textFill>
              </w:rPr>
              <w:t>4</w:t>
            </w:r>
          </w:p>
        </w:tc>
        <w:tc>
          <w:tcPr>
            <w:tcW w:w="637" w:type="pct"/>
            <w:tcBorders>
              <w:left w:val="single" w:color="auto" w:sz="4" w:space="0"/>
            </w:tcBorders>
            <w:vAlign w:val="center"/>
          </w:tcPr>
          <w:p w14:paraId="560C6BFB">
            <w:pPr>
              <w:pStyle w:val="208"/>
              <w:adjustRightInd w:val="0"/>
              <w:snapToGrid w:val="0"/>
              <w:rPr>
                <w:rFonts w:hint="eastAsia"/>
                <w:color w:val="000000" w:themeColor="text1"/>
                <w:szCs w:val="21"/>
                <w14:textFill>
                  <w14:solidFill>
                    <w14:schemeClr w14:val="tx1"/>
                  </w14:solidFill>
                </w14:textFill>
              </w:rPr>
            </w:pPr>
            <w:r>
              <w:rPr>
                <w:color w:val="000000" w:themeColor="text1"/>
                <w:szCs w:val="21"/>
                <w14:textFill>
                  <w14:solidFill>
                    <w14:schemeClr w14:val="tx1"/>
                  </w14:solidFill>
                </w14:textFill>
              </w:rPr>
              <w:t>0.0013</w:t>
            </w:r>
          </w:p>
        </w:tc>
        <w:tc>
          <w:tcPr>
            <w:tcW w:w="634" w:type="pct"/>
            <w:tcBorders>
              <w:right w:val="single" w:color="auto" w:sz="4" w:space="0"/>
            </w:tcBorders>
            <w:vAlign w:val="center"/>
          </w:tcPr>
          <w:p w14:paraId="359764B6">
            <w:pPr>
              <w:pStyle w:val="208"/>
              <w:adjustRightInd w:val="0"/>
              <w:snapToGrid w:val="0"/>
              <w:rPr>
                <w:rFonts w:hint="eastAsia"/>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w:t>
            </w:r>
            <w:r>
              <w:rPr>
                <w:color w:val="000000" w:themeColor="text1"/>
                <w:szCs w:val="21"/>
                <w14:textFill>
                  <w14:solidFill>
                    <w14:schemeClr w14:val="tx1"/>
                  </w14:solidFill>
                </w14:textFill>
              </w:rPr>
              <w:t>5</w:t>
            </w:r>
          </w:p>
        </w:tc>
        <w:tc>
          <w:tcPr>
            <w:tcW w:w="635" w:type="pct"/>
            <w:tcBorders>
              <w:left w:val="single" w:color="auto" w:sz="4" w:space="0"/>
            </w:tcBorders>
            <w:vAlign w:val="center"/>
          </w:tcPr>
          <w:p w14:paraId="0BFF5C82">
            <w:pPr>
              <w:pStyle w:val="208"/>
              <w:adjustRightInd w:val="0"/>
              <w:snapToGrid w:val="0"/>
              <w:rPr>
                <w:rFonts w:hint="eastAsia"/>
                <w:color w:val="000000" w:themeColor="text1"/>
                <w:szCs w:val="21"/>
                <w14:textFill>
                  <w14:solidFill>
                    <w14:schemeClr w14:val="tx1"/>
                  </w14:solidFill>
                </w14:textFill>
              </w:rPr>
            </w:pPr>
            <w:r>
              <w:rPr>
                <w:color w:val="000000" w:themeColor="text1"/>
                <w:szCs w:val="21"/>
                <w14:textFill>
                  <w14:solidFill>
                    <w14:schemeClr w14:val="tx1"/>
                  </w14:solidFill>
                </w14:textFill>
              </w:rPr>
              <w:t>0.0014</w:t>
            </w:r>
          </w:p>
        </w:tc>
        <w:tc>
          <w:tcPr>
            <w:tcW w:w="554" w:type="pct"/>
            <w:tcBorders>
              <w:right w:val="single" w:color="auto" w:sz="4" w:space="0"/>
            </w:tcBorders>
            <w:vAlign w:val="center"/>
          </w:tcPr>
          <w:p w14:paraId="5E8C9827">
            <w:pPr>
              <w:pStyle w:val="208"/>
              <w:adjustRightInd w:val="0"/>
              <w:snapToGrid w:val="0"/>
              <w:rPr>
                <w:rFonts w:hint="eastAsia"/>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w:t>
            </w:r>
            <w:r>
              <w:rPr>
                <w:color w:val="000000" w:themeColor="text1"/>
                <w:szCs w:val="21"/>
                <w14:textFill>
                  <w14:solidFill>
                    <w14:schemeClr w14:val="tx1"/>
                  </w14:solidFill>
                </w14:textFill>
              </w:rPr>
              <w:t>5</w:t>
            </w:r>
          </w:p>
        </w:tc>
        <w:tc>
          <w:tcPr>
            <w:tcW w:w="635" w:type="pct"/>
            <w:tcBorders>
              <w:left w:val="single" w:color="auto" w:sz="4" w:space="0"/>
            </w:tcBorders>
            <w:vAlign w:val="center"/>
          </w:tcPr>
          <w:p w14:paraId="52B60175">
            <w:pPr>
              <w:pStyle w:val="208"/>
              <w:adjustRightInd w:val="0"/>
              <w:snapToGrid w:val="0"/>
              <w:rPr>
                <w:rFonts w:hint="eastAsia"/>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0.0014</w:t>
            </w:r>
          </w:p>
        </w:tc>
        <w:tc>
          <w:tcPr>
            <w:tcW w:w="420" w:type="pct"/>
            <w:vAlign w:val="center"/>
          </w:tcPr>
          <w:p w14:paraId="2B62D7EC">
            <w:pPr>
              <w:pStyle w:val="208"/>
              <w:adjustRightInd w:val="0"/>
              <w:snapToGrid w:val="0"/>
              <w:rPr>
                <w:rFonts w:hint="eastAsia"/>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达标</w:t>
            </w:r>
          </w:p>
        </w:tc>
      </w:tr>
      <w:tr w14:paraId="041672E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4" w:hRule="atLeast"/>
        </w:trPr>
        <w:tc>
          <w:tcPr>
            <w:tcW w:w="378" w:type="pct"/>
            <w:vMerge w:val="continue"/>
            <w:vAlign w:val="center"/>
          </w:tcPr>
          <w:p w14:paraId="12806D1C">
            <w:pPr>
              <w:pStyle w:val="208"/>
              <w:adjustRightInd w:val="0"/>
              <w:snapToGrid w:val="0"/>
              <w:rPr>
                <w:rFonts w:hint="eastAsia"/>
                <w:color w:val="000000" w:themeColor="text1"/>
                <w:szCs w:val="21"/>
                <w:lang w:val="zh-CN"/>
                <w14:textFill>
                  <w14:solidFill>
                    <w14:schemeClr w14:val="tx1"/>
                  </w14:solidFill>
                </w14:textFill>
              </w:rPr>
            </w:pPr>
          </w:p>
        </w:tc>
        <w:tc>
          <w:tcPr>
            <w:tcW w:w="634" w:type="pct"/>
            <w:vAlign w:val="center"/>
          </w:tcPr>
          <w:p w14:paraId="63E67AD3">
            <w:pPr>
              <w:pStyle w:val="208"/>
              <w:adjustRightInd w:val="0"/>
              <w:snapToGrid w:val="0"/>
              <w:rPr>
                <w:rFonts w:hint="eastAsia"/>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铅</w:t>
            </w:r>
          </w:p>
        </w:tc>
        <w:tc>
          <w:tcPr>
            <w:tcW w:w="473" w:type="pct"/>
            <w:tcBorders>
              <w:right w:val="single" w:color="auto" w:sz="4" w:space="0"/>
            </w:tcBorders>
            <w:vAlign w:val="center"/>
          </w:tcPr>
          <w:p w14:paraId="1C02DE93">
            <w:pPr>
              <w:pStyle w:val="208"/>
              <w:adjustRightInd w:val="0"/>
              <w:snapToGrid w:val="0"/>
              <w:rPr>
                <w:rFonts w:hint="eastAsia"/>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w:t>
            </w:r>
            <w:r>
              <w:rPr>
                <w:color w:val="000000" w:themeColor="text1"/>
                <w:szCs w:val="21"/>
                <w14:textFill>
                  <w14:solidFill>
                    <w14:schemeClr w14:val="tx1"/>
                  </w14:solidFill>
                </w14:textFill>
              </w:rPr>
              <w:t>3</w:t>
            </w:r>
          </w:p>
        </w:tc>
        <w:tc>
          <w:tcPr>
            <w:tcW w:w="637" w:type="pct"/>
            <w:tcBorders>
              <w:left w:val="single" w:color="auto" w:sz="4" w:space="0"/>
            </w:tcBorders>
            <w:vAlign w:val="center"/>
          </w:tcPr>
          <w:p w14:paraId="352172C9">
            <w:pPr>
              <w:pStyle w:val="208"/>
              <w:adjustRightInd w:val="0"/>
              <w:snapToGrid w:val="0"/>
              <w:rPr>
                <w:rFonts w:hint="eastAsia"/>
                <w:color w:val="000000" w:themeColor="text1"/>
                <w:szCs w:val="21"/>
                <w14:textFill>
                  <w14:solidFill>
                    <w14:schemeClr w14:val="tx1"/>
                  </w14:solidFill>
                </w14:textFill>
              </w:rPr>
            </w:pPr>
            <w:r>
              <w:rPr>
                <w:color w:val="000000" w:themeColor="text1"/>
                <w:szCs w:val="21"/>
                <w14:textFill>
                  <w14:solidFill>
                    <w14:schemeClr w14:val="tx1"/>
                  </w14:solidFill>
                </w14:textFill>
              </w:rPr>
              <w:t>0.0413</w:t>
            </w:r>
          </w:p>
        </w:tc>
        <w:tc>
          <w:tcPr>
            <w:tcW w:w="634" w:type="pct"/>
            <w:tcBorders>
              <w:right w:val="single" w:color="auto" w:sz="4" w:space="0"/>
            </w:tcBorders>
            <w:vAlign w:val="center"/>
          </w:tcPr>
          <w:p w14:paraId="5F3D6A80">
            <w:pPr>
              <w:pStyle w:val="208"/>
              <w:adjustRightInd w:val="0"/>
              <w:snapToGrid w:val="0"/>
              <w:rPr>
                <w:rFonts w:hint="eastAsia"/>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w:t>
            </w:r>
            <w:r>
              <w:rPr>
                <w:color w:val="000000" w:themeColor="text1"/>
                <w:szCs w:val="21"/>
                <w14:textFill>
                  <w14:solidFill>
                    <w14:schemeClr w14:val="tx1"/>
                  </w14:solidFill>
                </w14:textFill>
              </w:rPr>
              <w:t>4</w:t>
            </w:r>
          </w:p>
        </w:tc>
        <w:tc>
          <w:tcPr>
            <w:tcW w:w="635" w:type="pct"/>
            <w:tcBorders>
              <w:left w:val="single" w:color="auto" w:sz="4" w:space="0"/>
            </w:tcBorders>
            <w:vAlign w:val="center"/>
          </w:tcPr>
          <w:p w14:paraId="522B9667">
            <w:pPr>
              <w:pStyle w:val="208"/>
              <w:adjustRightInd w:val="0"/>
              <w:snapToGrid w:val="0"/>
              <w:rPr>
                <w:rFonts w:hint="eastAsia"/>
                <w:color w:val="000000" w:themeColor="text1"/>
                <w:szCs w:val="21"/>
                <w14:textFill>
                  <w14:solidFill>
                    <w14:schemeClr w14:val="tx1"/>
                  </w14:solidFill>
                </w14:textFill>
              </w:rPr>
            </w:pPr>
            <w:r>
              <w:rPr>
                <w:color w:val="000000" w:themeColor="text1"/>
                <w:szCs w:val="21"/>
                <w14:textFill>
                  <w14:solidFill>
                    <w14:schemeClr w14:val="tx1"/>
                  </w14:solidFill>
                </w14:textFill>
              </w:rPr>
              <w:t>0.0425</w:t>
            </w:r>
          </w:p>
        </w:tc>
        <w:tc>
          <w:tcPr>
            <w:tcW w:w="554" w:type="pct"/>
            <w:tcBorders>
              <w:right w:val="single" w:color="auto" w:sz="4" w:space="0"/>
            </w:tcBorders>
            <w:vAlign w:val="center"/>
          </w:tcPr>
          <w:p w14:paraId="6D35C874">
            <w:pPr>
              <w:pStyle w:val="208"/>
              <w:adjustRightInd w:val="0"/>
              <w:snapToGrid w:val="0"/>
              <w:rPr>
                <w:rFonts w:hint="eastAsia"/>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w:t>
            </w:r>
            <w:r>
              <w:rPr>
                <w:color w:val="000000" w:themeColor="text1"/>
                <w:szCs w:val="21"/>
                <w14:textFill>
                  <w14:solidFill>
                    <w14:schemeClr w14:val="tx1"/>
                  </w14:solidFill>
                </w14:textFill>
              </w:rPr>
              <w:t>6</w:t>
            </w:r>
          </w:p>
        </w:tc>
        <w:tc>
          <w:tcPr>
            <w:tcW w:w="635" w:type="pct"/>
            <w:tcBorders>
              <w:left w:val="single" w:color="auto" w:sz="4" w:space="0"/>
            </w:tcBorders>
            <w:vAlign w:val="center"/>
          </w:tcPr>
          <w:p w14:paraId="4357FE94">
            <w:pPr>
              <w:pStyle w:val="208"/>
              <w:adjustRightInd w:val="0"/>
              <w:snapToGrid w:val="0"/>
              <w:rPr>
                <w:rFonts w:hint="eastAsia"/>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0.0325</w:t>
            </w:r>
          </w:p>
        </w:tc>
        <w:tc>
          <w:tcPr>
            <w:tcW w:w="420" w:type="pct"/>
            <w:vAlign w:val="center"/>
          </w:tcPr>
          <w:p w14:paraId="21CE5819">
            <w:pPr>
              <w:pStyle w:val="208"/>
              <w:adjustRightInd w:val="0"/>
              <w:snapToGrid w:val="0"/>
              <w:rPr>
                <w:rFonts w:hint="eastAsia"/>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达标</w:t>
            </w:r>
          </w:p>
        </w:tc>
      </w:tr>
      <w:tr w14:paraId="3C6CBE1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4" w:hRule="atLeast"/>
        </w:trPr>
        <w:tc>
          <w:tcPr>
            <w:tcW w:w="378" w:type="pct"/>
            <w:vMerge w:val="continue"/>
            <w:vAlign w:val="center"/>
          </w:tcPr>
          <w:p w14:paraId="6C41D343">
            <w:pPr>
              <w:pStyle w:val="208"/>
              <w:adjustRightInd w:val="0"/>
              <w:snapToGrid w:val="0"/>
              <w:rPr>
                <w:rFonts w:hint="eastAsia"/>
                <w:color w:val="000000" w:themeColor="text1"/>
                <w:szCs w:val="21"/>
                <w:lang w:val="zh-CN"/>
                <w14:textFill>
                  <w14:solidFill>
                    <w14:schemeClr w14:val="tx1"/>
                  </w14:solidFill>
                </w14:textFill>
              </w:rPr>
            </w:pPr>
          </w:p>
        </w:tc>
        <w:tc>
          <w:tcPr>
            <w:tcW w:w="634" w:type="pct"/>
            <w:vAlign w:val="center"/>
          </w:tcPr>
          <w:p w14:paraId="3452B404">
            <w:pPr>
              <w:pStyle w:val="208"/>
              <w:adjustRightInd w:val="0"/>
              <w:snapToGrid w:val="0"/>
              <w:rPr>
                <w:rFonts w:hint="eastAsia"/>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汞</w:t>
            </w:r>
          </w:p>
        </w:tc>
        <w:tc>
          <w:tcPr>
            <w:tcW w:w="473" w:type="pct"/>
            <w:tcBorders>
              <w:right w:val="single" w:color="auto" w:sz="4" w:space="0"/>
            </w:tcBorders>
            <w:vAlign w:val="center"/>
          </w:tcPr>
          <w:p w14:paraId="63D0CEE6">
            <w:pPr>
              <w:pStyle w:val="208"/>
              <w:adjustRightInd w:val="0"/>
              <w:snapToGrid w:val="0"/>
              <w:rPr>
                <w:rFonts w:hint="eastAsia"/>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w:t>
            </w:r>
            <w:r>
              <w:rPr>
                <w:color w:val="000000" w:themeColor="text1"/>
                <w:szCs w:val="21"/>
                <w14:textFill>
                  <w14:solidFill>
                    <w14:schemeClr w14:val="tx1"/>
                  </w14:solidFill>
                </w14:textFill>
              </w:rPr>
              <w:t>.062</w:t>
            </w:r>
          </w:p>
        </w:tc>
        <w:tc>
          <w:tcPr>
            <w:tcW w:w="637" w:type="pct"/>
            <w:tcBorders>
              <w:left w:val="single" w:color="auto" w:sz="4" w:space="0"/>
            </w:tcBorders>
            <w:vAlign w:val="center"/>
          </w:tcPr>
          <w:p w14:paraId="5C9E3867">
            <w:pPr>
              <w:pStyle w:val="208"/>
              <w:adjustRightInd w:val="0"/>
              <w:snapToGrid w:val="0"/>
              <w:rPr>
                <w:rFonts w:hint="eastAsia"/>
                <w:color w:val="000000" w:themeColor="text1"/>
                <w:szCs w:val="21"/>
                <w14:textFill>
                  <w14:solidFill>
                    <w14:schemeClr w14:val="tx1"/>
                  </w14:solidFill>
                </w14:textFill>
              </w:rPr>
            </w:pPr>
            <w:r>
              <w:rPr>
                <w:color w:val="000000" w:themeColor="text1"/>
                <w:szCs w:val="21"/>
                <w14:textFill>
                  <w14:solidFill>
                    <w14:schemeClr w14:val="tx1"/>
                  </w14:solidFill>
                </w14:textFill>
              </w:rPr>
              <w:t>0.0016</w:t>
            </w:r>
          </w:p>
        </w:tc>
        <w:tc>
          <w:tcPr>
            <w:tcW w:w="634" w:type="pct"/>
            <w:tcBorders>
              <w:right w:val="single" w:color="auto" w:sz="4" w:space="0"/>
            </w:tcBorders>
            <w:vAlign w:val="center"/>
          </w:tcPr>
          <w:p w14:paraId="3CE6A202">
            <w:pPr>
              <w:pStyle w:val="208"/>
              <w:adjustRightInd w:val="0"/>
              <w:snapToGrid w:val="0"/>
              <w:rPr>
                <w:rFonts w:hint="eastAsia"/>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w:t>
            </w:r>
            <w:r>
              <w:rPr>
                <w:color w:val="000000" w:themeColor="text1"/>
                <w:szCs w:val="21"/>
                <w14:textFill>
                  <w14:solidFill>
                    <w14:schemeClr w14:val="tx1"/>
                  </w14:solidFill>
                </w14:textFill>
              </w:rPr>
              <w:t>.062</w:t>
            </w:r>
          </w:p>
        </w:tc>
        <w:tc>
          <w:tcPr>
            <w:tcW w:w="635" w:type="pct"/>
            <w:tcBorders>
              <w:left w:val="single" w:color="auto" w:sz="4" w:space="0"/>
            </w:tcBorders>
            <w:vAlign w:val="center"/>
          </w:tcPr>
          <w:p w14:paraId="76E1F15A">
            <w:pPr>
              <w:pStyle w:val="208"/>
              <w:adjustRightInd w:val="0"/>
              <w:snapToGrid w:val="0"/>
              <w:rPr>
                <w:rFonts w:hint="eastAsia"/>
                <w:color w:val="000000" w:themeColor="text1"/>
                <w:szCs w:val="21"/>
                <w14:textFill>
                  <w14:solidFill>
                    <w14:schemeClr w14:val="tx1"/>
                  </w14:solidFill>
                </w14:textFill>
              </w:rPr>
            </w:pPr>
            <w:r>
              <w:rPr>
                <w:color w:val="000000" w:themeColor="text1"/>
                <w:szCs w:val="21"/>
                <w14:textFill>
                  <w14:solidFill>
                    <w14:schemeClr w14:val="tx1"/>
                  </w14:solidFill>
                </w14:textFill>
              </w:rPr>
              <w:t>0.0016</w:t>
            </w:r>
          </w:p>
        </w:tc>
        <w:tc>
          <w:tcPr>
            <w:tcW w:w="554" w:type="pct"/>
            <w:tcBorders>
              <w:right w:val="single" w:color="auto" w:sz="4" w:space="0"/>
            </w:tcBorders>
            <w:vAlign w:val="center"/>
          </w:tcPr>
          <w:p w14:paraId="54F5069A">
            <w:pPr>
              <w:pStyle w:val="208"/>
              <w:adjustRightInd w:val="0"/>
              <w:snapToGrid w:val="0"/>
              <w:rPr>
                <w:rFonts w:hint="eastAsia"/>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w:t>
            </w:r>
            <w:r>
              <w:rPr>
                <w:color w:val="000000" w:themeColor="text1"/>
                <w:szCs w:val="21"/>
                <w14:textFill>
                  <w14:solidFill>
                    <w14:schemeClr w14:val="tx1"/>
                  </w14:solidFill>
                </w14:textFill>
              </w:rPr>
              <w:t>.058</w:t>
            </w:r>
          </w:p>
        </w:tc>
        <w:tc>
          <w:tcPr>
            <w:tcW w:w="635" w:type="pct"/>
            <w:tcBorders>
              <w:left w:val="single" w:color="auto" w:sz="4" w:space="0"/>
            </w:tcBorders>
            <w:vAlign w:val="center"/>
          </w:tcPr>
          <w:p w14:paraId="570B13FE">
            <w:pPr>
              <w:pStyle w:val="208"/>
              <w:adjustRightInd w:val="0"/>
              <w:snapToGrid w:val="0"/>
              <w:rPr>
                <w:rFonts w:hint="eastAsia"/>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0.0015</w:t>
            </w:r>
          </w:p>
        </w:tc>
        <w:tc>
          <w:tcPr>
            <w:tcW w:w="420" w:type="pct"/>
            <w:vAlign w:val="center"/>
          </w:tcPr>
          <w:p w14:paraId="5F0ACD24">
            <w:pPr>
              <w:pStyle w:val="208"/>
              <w:adjustRightInd w:val="0"/>
              <w:snapToGrid w:val="0"/>
              <w:rPr>
                <w:rFonts w:hint="eastAsia"/>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达标</w:t>
            </w:r>
          </w:p>
        </w:tc>
      </w:tr>
      <w:tr w14:paraId="553A4A2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4" w:hRule="atLeast"/>
        </w:trPr>
        <w:tc>
          <w:tcPr>
            <w:tcW w:w="378" w:type="pct"/>
            <w:vMerge w:val="continue"/>
            <w:vAlign w:val="center"/>
          </w:tcPr>
          <w:p w14:paraId="32C43970">
            <w:pPr>
              <w:pStyle w:val="208"/>
              <w:adjustRightInd w:val="0"/>
              <w:snapToGrid w:val="0"/>
              <w:rPr>
                <w:rFonts w:hint="eastAsia"/>
                <w:color w:val="000000" w:themeColor="text1"/>
                <w:szCs w:val="21"/>
                <w:lang w:val="zh-CN"/>
                <w14:textFill>
                  <w14:solidFill>
                    <w14:schemeClr w14:val="tx1"/>
                  </w14:solidFill>
                </w14:textFill>
              </w:rPr>
            </w:pPr>
          </w:p>
        </w:tc>
        <w:tc>
          <w:tcPr>
            <w:tcW w:w="634" w:type="pct"/>
            <w:vAlign w:val="center"/>
          </w:tcPr>
          <w:p w14:paraId="2CDC5E6C">
            <w:pPr>
              <w:pStyle w:val="208"/>
              <w:adjustRightInd w:val="0"/>
              <w:snapToGrid w:val="0"/>
              <w:rPr>
                <w:rFonts w:hint="eastAsia"/>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砷</w:t>
            </w:r>
          </w:p>
        </w:tc>
        <w:tc>
          <w:tcPr>
            <w:tcW w:w="473" w:type="pct"/>
            <w:tcBorders>
              <w:right w:val="single" w:color="auto" w:sz="4" w:space="0"/>
            </w:tcBorders>
            <w:vAlign w:val="center"/>
          </w:tcPr>
          <w:p w14:paraId="1D1F1BD2">
            <w:pPr>
              <w:pStyle w:val="208"/>
              <w:adjustRightInd w:val="0"/>
              <w:snapToGrid w:val="0"/>
              <w:rPr>
                <w:rFonts w:hint="eastAsia"/>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6</w:t>
            </w:r>
            <w:r>
              <w:rPr>
                <w:color w:val="000000" w:themeColor="text1"/>
                <w:szCs w:val="21"/>
                <w14:textFill>
                  <w14:solidFill>
                    <w14:schemeClr w14:val="tx1"/>
                  </w14:solidFill>
                </w14:textFill>
              </w:rPr>
              <w:t>.13</w:t>
            </w:r>
          </w:p>
        </w:tc>
        <w:tc>
          <w:tcPr>
            <w:tcW w:w="637" w:type="pct"/>
            <w:tcBorders>
              <w:left w:val="single" w:color="auto" w:sz="4" w:space="0"/>
            </w:tcBorders>
            <w:vAlign w:val="center"/>
          </w:tcPr>
          <w:p w14:paraId="4D7AFECF">
            <w:pPr>
              <w:pStyle w:val="208"/>
              <w:adjustRightInd w:val="0"/>
              <w:snapToGrid w:val="0"/>
              <w:rPr>
                <w:rFonts w:hint="eastAsia"/>
                <w:color w:val="000000" w:themeColor="text1"/>
                <w:szCs w:val="21"/>
                <w14:textFill>
                  <w14:solidFill>
                    <w14:schemeClr w14:val="tx1"/>
                  </w14:solidFill>
                </w14:textFill>
              </w:rPr>
            </w:pPr>
            <w:r>
              <w:rPr>
                <w:color w:val="000000" w:themeColor="text1"/>
                <w:szCs w:val="21"/>
                <w14:textFill>
                  <w14:solidFill>
                    <w14:schemeClr w14:val="tx1"/>
                  </w14:solidFill>
                </w14:textFill>
              </w:rPr>
              <w:t>0.1022</w:t>
            </w:r>
          </w:p>
        </w:tc>
        <w:tc>
          <w:tcPr>
            <w:tcW w:w="634" w:type="pct"/>
            <w:tcBorders>
              <w:right w:val="single" w:color="auto" w:sz="4" w:space="0"/>
            </w:tcBorders>
            <w:vAlign w:val="center"/>
          </w:tcPr>
          <w:p w14:paraId="028E3BE5">
            <w:pPr>
              <w:pStyle w:val="208"/>
              <w:adjustRightInd w:val="0"/>
              <w:snapToGrid w:val="0"/>
              <w:rPr>
                <w:rFonts w:hint="eastAsia"/>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6</w:t>
            </w:r>
            <w:r>
              <w:rPr>
                <w:color w:val="000000" w:themeColor="text1"/>
                <w:szCs w:val="21"/>
                <w14:textFill>
                  <w14:solidFill>
                    <w14:schemeClr w14:val="tx1"/>
                  </w14:solidFill>
                </w14:textFill>
              </w:rPr>
              <w:t>.22</w:t>
            </w:r>
          </w:p>
        </w:tc>
        <w:tc>
          <w:tcPr>
            <w:tcW w:w="635" w:type="pct"/>
            <w:tcBorders>
              <w:left w:val="single" w:color="auto" w:sz="4" w:space="0"/>
            </w:tcBorders>
            <w:vAlign w:val="center"/>
          </w:tcPr>
          <w:p w14:paraId="259C7ADD">
            <w:pPr>
              <w:pStyle w:val="208"/>
              <w:adjustRightInd w:val="0"/>
              <w:snapToGrid w:val="0"/>
              <w:rPr>
                <w:rFonts w:hint="eastAsia"/>
                <w:color w:val="000000" w:themeColor="text1"/>
                <w:szCs w:val="21"/>
                <w14:textFill>
                  <w14:solidFill>
                    <w14:schemeClr w14:val="tx1"/>
                  </w14:solidFill>
                </w14:textFill>
              </w:rPr>
            </w:pPr>
            <w:r>
              <w:rPr>
                <w:color w:val="000000" w:themeColor="text1"/>
                <w:szCs w:val="21"/>
                <w14:textFill>
                  <w14:solidFill>
                    <w14:schemeClr w14:val="tx1"/>
                  </w14:solidFill>
                </w14:textFill>
              </w:rPr>
              <w:t>0.1037</w:t>
            </w:r>
          </w:p>
        </w:tc>
        <w:tc>
          <w:tcPr>
            <w:tcW w:w="554" w:type="pct"/>
            <w:tcBorders>
              <w:right w:val="single" w:color="auto" w:sz="4" w:space="0"/>
            </w:tcBorders>
            <w:vAlign w:val="center"/>
          </w:tcPr>
          <w:p w14:paraId="7F222C60">
            <w:pPr>
              <w:pStyle w:val="208"/>
              <w:adjustRightInd w:val="0"/>
              <w:snapToGrid w:val="0"/>
              <w:rPr>
                <w:rFonts w:hint="eastAsia"/>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6</w:t>
            </w:r>
            <w:r>
              <w:rPr>
                <w:color w:val="000000" w:themeColor="text1"/>
                <w:szCs w:val="21"/>
                <w14:textFill>
                  <w14:solidFill>
                    <w14:schemeClr w14:val="tx1"/>
                  </w14:solidFill>
                </w14:textFill>
              </w:rPr>
              <w:t>.22</w:t>
            </w:r>
          </w:p>
        </w:tc>
        <w:tc>
          <w:tcPr>
            <w:tcW w:w="635" w:type="pct"/>
            <w:tcBorders>
              <w:left w:val="single" w:color="auto" w:sz="4" w:space="0"/>
            </w:tcBorders>
            <w:vAlign w:val="center"/>
          </w:tcPr>
          <w:p w14:paraId="5D0D69A4">
            <w:pPr>
              <w:pStyle w:val="208"/>
              <w:adjustRightInd w:val="0"/>
              <w:snapToGrid w:val="0"/>
              <w:rPr>
                <w:rFonts w:hint="eastAsia"/>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0.1037</w:t>
            </w:r>
          </w:p>
        </w:tc>
        <w:tc>
          <w:tcPr>
            <w:tcW w:w="420" w:type="pct"/>
            <w:vAlign w:val="center"/>
          </w:tcPr>
          <w:p w14:paraId="669AA1B3">
            <w:pPr>
              <w:pStyle w:val="208"/>
              <w:adjustRightInd w:val="0"/>
              <w:snapToGrid w:val="0"/>
              <w:rPr>
                <w:rFonts w:hint="eastAsia"/>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达标</w:t>
            </w:r>
          </w:p>
        </w:tc>
      </w:tr>
      <w:tr w14:paraId="0F93CAB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4" w:hRule="atLeast"/>
        </w:trPr>
        <w:tc>
          <w:tcPr>
            <w:tcW w:w="378" w:type="pct"/>
            <w:vMerge w:val="restart"/>
            <w:vAlign w:val="center"/>
          </w:tcPr>
          <w:p w14:paraId="383BE395">
            <w:pPr>
              <w:pStyle w:val="208"/>
              <w:adjustRightInd w:val="0"/>
              <w:snapToGrid w:val="0"/>
              <w:rPr>
                <w:rFonts w:hint="eastAsia"/>
                <w:color w:val="000000" w:themeColor="text1"/>
                <w:szCs w:val="21"/>
                <w:lang w:val="zh-CN"/>
                <w14:textFill>
                  <w14:solidFill>
                    <w14:schemeClr w14:val="tx1"/>
                  </w14:solidFill>
                </w14:textFill>
              </w:rPr>
            </w:pPr>
            <w:r>
              <w:rPr>
                <w:rFonts w:hint="eastAsia"/>
                <w:color w:val="000000" w:themeColor="text1"/>
                <w:szCs w:val="21"/>
                <w:lang w:val="zh-CN"/>
                <w14:textFill>
                  <w14:solidFill>
                    <w14:schemeClr w14:val="tx1"/>
                  </w14:solidFill>
                </w14:textFill>
              </w:rPr>
              <w:t>S</w:t>
            </w:r>
            <w:r>
              <w:rPr>
                <w:color w:val="000000" w:themeColor="text1"/>
                <w:szCs w:val="21"/>
                <w:lang w:val="zh-CN"/>
                <w14:textFill>
                  <w14:solidFill>
                    <w14:schemeClr w14:val="tx1"/>
                  </w14:solidFill>
                </w14:textFill>
              </w:rPr>
              <w:t>2</w:t>
            </w:r>
          </w:p>
        </w:tc>
        <w:tc>
          <w:tcPr>
            <w:tcW w:w="634" w:type="pct"/>
            <w:vAlign w:val="center"/>
          </w:tcPr>
          <w:p w14:paraId="6C96990D">
            <w:pPr>
              <w:pStyle w:val="208"/>
              <w:adjustRightInd w:val="0"/>
              <w:snapToGrid w:val="0"/>
              <w:rPr>
                <w:rFonts w:hint="eastAsia"/>
                <w:color w:val="000000" w:themeColor="text1"/>
                <w:szCs w:val="21"/>
                <w14:textFill>
                  <w14:solidFill>
                    <w14:schemeClr w14:val="tx1"/>
                  </w14:solidFill>
                </w14:textFill>
              </w:rPr>
            </w:pPr>
            <w:r>
              <w:rPr>
                <w:color w:val="000000" w:themeColor="text1"/>
                <w:szCs w:val="21"/>
                <w14:textFill>
                  <w14:solidFill>
                    <w14:schemeClr w14:val="tx1"/>
                  </w14:solidFill>
                </w14:textFill>
              </w:rPr>
              <w:t>pH</w:t>
            </w:r>
          </w:p>
        </w:tc>
        <w:tc>
          <w:tcPr>
            <w:tcW w:w="473" w:type="pct"/>
            <w:tcBorders>
              <w:right w:val="single" w:color="auto" w:sz="4" w:space="0"/>
            </w:tcBorders>
            <w:vAlign w:val="center"/>
          </w:tcPr>
          <w:p w14:paraId="687A8454">
            <w:pPr>
              <w:pStyle w:val="208"/>
              <w:adjustRightInd w:val="0"/>
              <w:snapToGrid w:val="0"/>
              <w:rPr>
                <w:rFonts w:hint="eastAsia"/>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8</w:t>
            </w:r>
            <w:r>
              <w:rPr>
                <w:color w:val="000000" w:themeColor="text1"/>
                <w:szCs w:val="21"/>
                <w14:textFill>
                  <w14:solidFill>
                    <w14:schemeClr w14:val="tx1"/>
                  </w14:solidFill>
                </w14:textFill>
              </w:rPr>
              <w:t>.</w:t>
            </w:r>
            <w:r>
              <w:rPr>
                <w:rFonts w:hint="eastAsia"/>
                <w:color w:val="000000" w:themeColor="text1"/>
                <w:szCs w:val="21"/>
                <w14:textFill>
                  <w14:solidFill>
                    <w14:schemeClr w14:val="tx1"/>
                  </w14:solidFill>
                </w14:textFill>
              </w:rPr>
              <w:t>4</w:t>
            </w:r>
            <w:r>
              <w:rPr>
                <w:color w:val="000000" w:themeColor="text1"/>
                <w:szCs w:val="21"/>
                <w14:textFill>
                  <w14:solidFill>
                    <w14:schemeClr w14:val="tx1"/>
                  </w14:solidFill>
                </w14:textFill>
              </w:rPr>
              <w:t>9</w:t>
            </w:r>
          </w:p>
        </w:tc>
        <w:tc>
          <w:tcPr>
            <w:tcW w:w="637" w:type="pct"/>
            <w:tcBorders>
              <w:left w:val="single" w:color="auto" w:sz="4" w:space="0"/>
            </w:tcBorders>
            <w:vAlign w:val="center"/>
          </w:tcPr>
          <w:p w14:paraId="3F33670D">
            <w:pPr>
              <w:pStyle w:val="208"/>
              <w:adjustRightInd w:val="0"/>
              <w:snapToGrid w:val="0"/>
              <w:rPr>
                <w:rFonts w:hint="eastAsia"/>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c>
          <w:tcPr>
            <w:tcW w:w="634" w:type="pct"/>
            <w:tcBorders>
              <w:right w:val="single" w:color="auto" w:sz="4" w:space="0"/>
            </w:tcBorders>
            <w:vAlign w:val="center"/>
          </w:tcPr>
          <w:p w14:paraId="32054413">
            <w:pPr>
              <w:pStyle w:val="208"/>
              <w:adjustRightInd w:val="0"/>
              <w:snapToGrid w:val="0"/>
              <w:rPr>
                <w:rFonts w:hint="eastAsia"/>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8</w:t>
            </w:r>
            <w:r>
              <w:rPr>
                <w:color w:val="000000" w:themeColor="text1"/>
                <w:szCs w:val="21"/>
                <w14:textFill>
                  <w14:solidFill>
                    <w14:schemeClr w14:val="tx1"/>
                  </w14:solidFill>
                </w14:textFill>
              </w:rPr>
              <w:t>.54</w:t>
            </w:r>
          </w:p>
        </w:tc>
        <w:tc>
          <w:tcPr>
            <w:tcW w:w="635" w:type="pct"/>
            <w:tcBorders>
              <w:left w:val="single" w:color="auto" w:sz="4" w:space="0"/>
            </w:tcBorders>
            <w:vAlign w:val="center"/>
          </w:tcPr>
          <w:p w14:paraId="0F116B64">
            <w:pPr>
              <w:pStyle w:val="208"/>
              <w:adjustRightInd w:val="0"/>
              <w:snapToGrid w:val="0"/>
              <w:rPr>
                <w:rFonts w:hint="eastAsia"/>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c>
          <w:tcPr>
            <w:tcW w:w="554" w:type="pct"/>
            <w:tcBorders>
              <w:right w:val="single" w:color="auto" w:sz="4" w:space="0"/>
            </w:tcBorders>
            <w:vAlign w:val="center"/>
          </w:tcPr>
          <w:p w14:paraId="2A5190AE">
            <w:pPr>
              <w:pStyle w:val="208"/>
              <w:adjustRightInd w:val="0"/>
              <w:snapToGrid w:val="0"/>
              <w:rPr>
                <w:rFonts w:hint="eastAsia"/>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8</w:t>
            </w:r>
            <w:r>
              <w:rPr>
                <w:color w:val="000000" w:themeColor="text1"/>
                <w:szCs w:val="21"/>
                <w14:textFill>
                  <w14:solidFill>
                    <w14:schemeClr w14:val="tx1"/>
                  </w14:solidFill>
                </w14:textFill>
              </w:rPr>
              <w:t>.62</w:t>
            </w:r>
          </w:p>
        </w:tc>
        <w:tc>
          <w:tcPr>
            <w:tcW w:w="635" w:type="pct"/>
            <w:tcBorders>
              <w:left w:val="single" w:color="auto" w:sz="4" w:space="0"/>
            </w:tcBorders>
            <w:vAlign w:val="center"/>
          </w:tcPr>
          <w:p w14:paraId="16282347">
            <w:pPr>
              <w:pStyle w:val="208"/>
              <w:adjustRightInd w:val="0"/>
              <w:snapToGrid w:val="0"/>
              <w:rPr>
                <w:rFonts w:hint="eastAsia"/>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c>
          <w:tcPr>
            <w:tcW w:w="420" w:type="pct"/>
            <w:vAlign w:val="center"/>
          </w:tcPr>
          <w:p w14:paraId="1CDE19E3">
            <w:pPr>
              <w:pStyle w:val="208"/>
              <w:adjustRightInd w:val="0"/>
              <w:snapToGrid w:val="0"/>
              <w:rPr>
                <w:rFonts w:hint="eastAsia"/>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达标</w:t>
            </w:r>
          </w:p>
        </w:tc>
      </w:tr>
      <w:tr w14:paraId="324AB12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4" w:hRule="atLeast"/>
        </w:trPr>
        <w:tc>
          <w:tcPr>
            <w:tcW w:w="378" w:type="pct"/>
            <w:vMerge w:val="continue"/>
            <w:vAlign w:val="center"/>
          </w:tcPr>
          <w:p w14:paraId="33D3CF1A">
            <w:pPr>
              <w:pStyle w:val="208"/>
              <w:adjustRightInd w:val="0"/>
              <w:snapToGrid w:val="0"/>
              <w:rPr>
                <w:rFonts w:hint="eastAsia"/>
                <w:color w:val="000000" w:themeColor="text1"/>
                <w:szCs w:val="21"/>
                <w:lang w:val="zh-CN"/>
                <w14:textFill>
                  <w14:solidFill>
                    <w14:schemeClr w14:val="tx1"/>
                  </w14:solidFill>
                </w14:textFill>
              </w:rPr>
            </w:pPr>
          </w:p>
        </w:tc>
        <w:tc>
          <w:tcPr>
            <w:tcW w:w="634" w:type="pct"/>
            <w:vAlign w:val="center"/>
          </w:tcPr>
          <w:p w14:paraId="5FBCFA60">
            <w:pPr>
              <w:pStyle w:val="208"/>
              <w:adjustRightInd w:val="0"/>
              <w:snapToGrid w:val="0"/>
              <w:rPr>
                <w:rFonts w:hint="eastAsia"/>
                <w:color w:val="000000" w:themeColor="text1"/>
                <w:szCs w:val="21"/>
                <w14:textFill>
                  <w14:solidFill>
                    <w14:schemeClr w14:val="tx1"/>
                  </w14:solidFill>
                </w14:textFill>
              </w:rPr>
            </w:pPr>
            <w:r>
              <w:rPr>
                <w:rFonts w:hint="eastAsia"/>
                <w:color w:val="000000" w:themeColor="text1"/>
                <w14:textFill>
                  <w14:solidFill>
                    <w14:schemeClr w14:val="tx1"/>
                  </w14:solidFill>
                </w14:textFill>
              </w:rPr>
              <w:t>石油烃</w:t>
            </w:r>
            <w:r>
              <w:rPr>
                <w:color w:val="000000" w:themeColor="text1"/>
                <w14:textFill>
                  <w14:solidFill>
                    <w14:schemeClr w14:val="tx1"/>
                  </w14:solidFill>
                </w14:textFill>
              </w:rPr>
              <w:t>(C</w:t>
            </w:r>
            <w:r>
              <w:rPr>
                <w:color w:val="000000" w:themeColor="text1"/>
                <w:vertAlign w:val="subscript"/>
                <w14:textFill>
                  <w14:solidFill>
                    <w14:schemeClr w14:val="tx1"/>
                  </w14:solidFill>
                </w14:textFill>
              </w:rPr>
              <w:t>10</w:t>
            </w:r>
            <w:r>
              <w:rPr>
                <w:color w:val="000000" w:themeColor="text1"/>
                <w14:textFill>
                  <w14:solidFill>
                    <w14:schemeClr w14:val="tx1"/>
                  </w14:solidFill>
                </w14:textFill>
              </w:rPr>
              <w:t>～C</w:t>
            </w:r>
            <w:r>
              <w:rPr>
                <w:color w:val="000000" w:themeColor="text1"/>
                <w:vertAlign w:val="subscript"/>
                <w14:textFill>
                  <w14:solidFill>
                    <w14:schemeClr w14:val="tx1"/>
                  </w14:solidFill>
                </w14:textFill>
              </w:rPr>
              <w:t>40</w:t>
            </w:r>
            <w:r>
              <w:rPr>
                <w:color w:val="000000" w:themeColor="text1"/>
                <w14:textFill>
                  <w14:solidFill>
                    <w14:schemeClr w14:val="tx1"/>
                  </w14:solidFill>
                </w14:textFill>
              </w:rPr>
              <w:t>)</w:t>
            </w:r>
          </w:p>
        </w:tc>
        <w:tc>
          <w:tcPr>
            <w:tcW w:w="473" w:type="pct"/>
            <w:tcBorders>
              <w:right w:val="single" w:color="auto" w:sz="4" w:space="0"/>
            </w:tcBorders>
            <w:vAlign w:val="center"/>
          </w:tcPr>
          <w:p w14:paraId="6FDE1E39">
            <w:pPr>
              <w:pStyle w:val="208"/>
              <w:adjustRightInd w:val="0"/>
              <w:snapToGrid w:val="0"/>
              <w:rPr>
                <w:rFonts w:hint="eastAsia"/>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4</w:t>
            </w:r>
            <w:r>
              <w:rPr>
                <w:color w:val="000000" w:themeColor="text1"/>
                <w:szCs w:val="21"/>
                <w14:textFill>
                  <w14:solidFill>
                    <w14:schemeClr w14:val="tx1"/>
                  </w14:solidFill>
                </w14:textFill>
              </w:rPr>
              <w:t>4</w:t>
            </w:r>
          </w:p>
        </w:tc>
        <w:tc>
          <w:tcPr>
            <w:tcW w:w="637" w:type="pct"/>
            <w:tcBorders>
              <w:left w:val="single" w:color="auto" w:sz="4" w:space="0"/>
            </w:tcBorders>
            <w:vAlign w:val="center"/>
          </w:tcPr>
          <w:p w14:paraId="373A5962">
            <w:pPr>
              <w:pStyle w:val="208"/>
              <w:adjustRightInd w:val="0"/>
              <w:snapToGrid w:val="0"/>
              <w:rPr>
                <w:rFonts w:hint="eastAsia"/>
                <w:color w:val="000000" w:themeColor="text1"/>
                <w:szCs w:val="21"/>
                <w14:textFill>
                  <w14:solidFill>
                    <w14:schemeClr w14:val="tx1"/>
                  </w14:solidFill>
                </w14:textFill>
              </w:rPr>
            </w:pPr>
            <w:r>
              <w:rPr>
                <w:color w:val="000000" w:themeColor="text1"/>
                <w:szCs w:val="21"/>
                <w14:textFill>
                  <w14:solidFill>
                    <w14:schemeClr w14:val="tx1"/>
                  </w14:solidFill>
                </w14:textFill>
              </w:rPr>
              <w:t>0.0098</w:t>
            </w:r>
          </w:p>
        </w:tc>
        <w:tc>
          <w:tcPr>
            <w:tcW w:w="634" w:type="pct"/>
            <w:tcBorders>
              <w:right w:val="single" w:color="auto" w:sz="4" w:space="0"/>
            </w:tcBorders>
            <w:vAlign w:val="center"/>
          </w:tcPr>
          <w:p w14:paraId="5483D500">
            <w:pPr>
              <w:pStyle w:val="208"/>
              <w:adjustRightInd w:val="0"/>
              <w:snapToGrid w:val="0"/>
              <w:rPr>
                <w:rFonts w:hint="eastAsia"/>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w:t>
            </w:r>
            <w:r>
              <w:rPr>
                <w:color w:val="000000" w:themeColor="text1"/>
                <w:szCs w:val="21"/>
                <w14:textFill>
                  <w14:solidFill>
                    <w14:schemeClr w14:val="tx1"/>
                  </w14:solidFill>
                </w14:textFill>
              </w:rPr>
              <w:t>5</w:t>
            </w:r>
          </w:p>
        </w:tc>
        <w:tc>
          <w:tcPr>
            <w:tcW w:w="635" w:type="pct"/>
            <w:tcBorders>
              <w:left w:val="single" w:color="auto" w:sz="4" w:space="0"/>
            </w:tcBorders>
            <w:vAlign w:val="center"/>
          </w:tcPr>
          <w:p w14:paraId="608F3704">
            <w:pPr>
              <w:pStyle w:val="208"/>
              <w:adjustRightInd w:val="0"/>
              <w:snapToGrid w:val="0"/>
              <w:rPr>
                <w:rFonts w:hint="eastAsia"/>
                <w:color w:val="000000" w:themeColor="text1"/>
                <w:szCs w:val="21"/>
                <w14:textFill>
                  <w14:solidFill>
                    <w14:schemeClr w14:val="tx1"/>
                  </w14:solidFill>
                </w14:textFill>
              </w:rPr>
            </w:pPr>
            <w:r>
              <w:rPr>
                <w:color w:val="000000" w:themeColor="text1"/>
                <w:szCs w:val="21"/>
                <w14:textFill>
                  <w14:solidFill>
                    <w14:schemeClr w14:val="tx1"/>
                  </w14:solidFill>
                </w14:textFill>
              </w:rPr>
              <w:t>0.0033</w:t>
            </w:r>
          </w:p>
        </w:tc>
        <w:tc>
          <w:tcPr>
            <w:tcW w:w="554" w:type="pct"/>
            <w:tcBorders>
              <w:right w:val="single" w:color="auto" w:sz="4" w:space="0"/>
            </w:tcBorders>
            <w:vAlign w:val="center"/>
          </w:tcPr>
          <w:p w14:paraId="713E825F">
            <w:pPr>
              <w:pStyle w:val="208"/>
              <w:adjustRightInd w:val="0"/>
              <w:snapToGrid w:val="0"/>
              <w:rPr>
                <w:rFonts w:hint="eastAsia"/>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w:t>
            </w:r>
            <w:r>
              <w:rPr>
                <w:color w:val="000000" w:themeColor="text1"/>
                <w:szCs w:val="21"/>
                <w14:textFill>
                  <w14:solidFill>
                    <w14:schemeClr w14:val="tx1"/>
                  </w14:solidFill>
                </w14:textFill>
              </w:rPr>
              <w:t>0</w:t>
            </w:r>
          </w:p>
        </w:tc>
        <w:tc>
          <w:tcPr>
            <w:tcW w:w="635" w:type="pct"/>
            <w:tcBorders>
              <w:left w:val="single" w:color="auto" w:sz="4" w:space="0"/>
            </w:tcBorders>
            <w:vAlign w:val="center"/>
          </w:tcPr>
          <w:p w14:paraId="061C6243">
            <w:pPr>
              <w:pStyle w:val="208"/>
              <w:adjustRightInd w:val="0"/>
              <w:snapToGrid w:val="0"/>
              <w:rPr>
                <w:rFonts w:hint="eastAsia"/>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0.0022</w:t>
            </w:r>
          </w:p>
        </w:tc>
        <w:tc>
          <w:tcPr>
            <w:tcW w:w="420" w:type="pct"/>
            <w:vAlign w:val="center"/>
          </w:tcPr>
          <w:p w14:paraId="09F25F9D">
            <w:pPr>
              <w:pStyle w:val="208"/>
              <w:adjustRightInd w:val="0"/>
              <w:snapToGrid w:val="0"/>
              <w:rPr>
                <w:rFonts w:hint="eastAsia"/>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达标</w:t>
            </w:r>
          </w:p>
        </w:tc>
      </w:tr>
      <w:tr w14:paraId="66AA865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4" w:hRule="atLeast"/>
        </w:trPr>
        <w:tc>
          <w:tcPr>
            <w:tcW w:w="378" w:type="pct"/>
            <w:vMerge w:val="continue"/>
            <w:vAlign w:val="center"/>
          </w:tcPr>
          <w:p w14:paraId="767AD199">
            <w:pPr>
              <w:pStyle w:val="208"/>
              <w:adjustRightInd w:val="0"/>
              <w:snapToGrid w:val="0"/>
              <w:rPr>
                <w:rFonts w:hint="eastAsia"/>
                <w:color w:val="000000" w:themeColor="text1"/>
                <w:szCs w:val="21"/>
                <w:lang w:val="zh-CN"/>
                <w14:textFill>
                  <w14:solidFill>
                    <w14:schemeClr w14:val="tx1"/>
                  </w14:solidFill>
                </w14:textFill>
              </w:rPr>
            </w:pPr>
          </w:p>
        </w:tc>
        <w:tc>
          <w:tcPr>
            <w:tcW w:w="634" w:type="pct"/>
            <w:vAlign w:val="center"/>
          </w:tcPr>
          <w:p w14:paraId="60C7CFC5">
            <w:pPr>
              <w:pStyle w:val="208"/>
              <w:adjustRightInd w:val="0"/>
              <w:snapToGrid w:val="0"/>
              <w:rPr>
                <w:rFonts w:hint="eastAsia"/>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镉</w:t>
            </w:r>
          </w:p>
        </w:tc>
        <w:tc>
          <w:tcPr>
            <w:tcW w:w="473" w:type="pct"/>
            <w:tcBorders>
              <w:right w:val="single" w:color="auto" w:sz="4" w:space="0"/>
            </w:tcBorders>
            <w:vAlign w:val="center"/>
          </w:tcPr>
          <w:p w14:paraId="6C7A95B3">
            <w:pPr>
              <w:pStyle w:val="208"/>
              <w:adjustRightInd w:val="0"/>
              <w:snapToGrid w:val="0"/>
              <w:rPr>
                <w:rFonts w:hint="eastAsia"/>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w:t>
            </w:r>
            <w:r>
              <w:rPr>
                <w:color w:val="000000" w:themeColor="text1"/>
                <w:szCs w:val="21"/>
                <w14:textFill>
                  <w14:solidFill>
                    <w14:schemeClr w14:val="tx1"/>
                  </w14:solidFill>
                </w14:textFill>
              </w:rPr>
              <w:t>.06</w:t>
            </w:r>
          </w:p>
        </w:tc>
        <w:tc>
          <w:tcPr>
            <w:tcW w:w="637" w:type="pct"/>
            <w:tcBorders>
              <w:left w:val="single" w:color="auto" w:sz="4" w:space="0"/>
            </w:tcBorders>
            <w:vAlign w:val="center"/>
          </w:tcPr>
          <w:p w14:paraId="35CDEBC4">
            <w:pPr>
              <w:pStyle w:val="208"/>
              <w:adjustRightInd w:val="0"/>
              <w:snapToGrid w:val="0"/>
              <w:rPr>
                <w:rFonts w:hint="eastAsia"/>
                <w:color w:val="000000" w:themeColor="text1"/>
                <w:szCs w:val="21"/>
                <w14:textFill>
                  <w14:solidFill>
                    <w14:schemeClr w14:val="tx1"/>
                  </w14:solidFill>
                </w14:textFill>
              </w:rPr>
            </w:pPr>
            <w:r>
              <w:rPr>
                <w:color w:val="000000" w:themeColor="text1"/>
                <w:szCs w:val="21"/>
                <w14:textFill>
                  <w14:solidFill>
                    <w14:schemeClr w14:val="tx1"/>
                  </w14:solidFill>
                </w14:textFill>
              </w:rPr>
              <w:t>0.0009</w:t>
            </w:r>
          </w:p>
        </w:tc>
        <w:tc>
          <w:tcPr>
            <w:tcW w:w="634" w:type="pct"/>
            <w:tcBorders>
              <w:right w:val="single" w:color="auto" w:sz="4" w:space="0"/>
            </w:tcBorders>
            <w:vAlign w:val="center"/>
          </w:tcPr>
          <w:p w14:paraId="37DA7BDF">
            <w:pPr>
              <w:pStyle w:val="208"/>
              <w:adjustRightInd w:val="0"/>
              <w:snapToGrid w:val="0"/>
              <w:rPr>
                <w:rFonts w:hint="eastAsia"/>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w:t>
            </w:r>
            <w:r>
              <w:rPr>
                <w:color w:val="000000" w:themeColor="text1"/>
                <w:szCs w:val="21"/>
                <w14:textFill>
                  <w14:solidFill>
                    <w14:schemeClr w14:val="tx1"/>
                  </w14:solidFill>
                </w14:textFill>
              </w:rPr>
              <w:t>.05</w:t>
            </w:r>
          </w:p>
        </w:tc>
        <w:tc>
          <w:tcPr>
            <w:tcW w:w="635" w:type="pct"/>
            <w:tcBorders>
              <w:left w:val="single" w:color="auto" w:sz="4" w:space="0"/>
            </w:tcBorders>
            <w:vAlign w:val="center"/>
          </w:tcPr>
          <w:p w14:paraId="53CEE04B">
            <w:pPr>
              <w:pStyle w:val="208"/>
              <w:adjustRightInd w:val="0"/>
              <w:snapToGrid w:val="0"/>
              <w:rPr>
                <w:rFonts w:hint="eastAsia"/>
                <w:color w:val="000000" w:themeColor="text1"/>
                <w:szCs w:val="21"/>
                <w14:textFill>
                  <w14:solidFill>
                    <w14:schemeClr w14:val="tx1"/>
                  </w14:solidFill>
                </w14:textFill>
              </w:rPr>
            </w:pPr>
            <w:r>
              <w:rPr>
                <w:color w:val="000000" w:themeColor="text1"/>
                <w:szCs w:val="21"/>
                <w14:textFill>
                  <w14:solidFill>
                    <w14:schemeClr w14:val="tx1"/>
                  </w14:solidFill>
                </w14:textFill>
              </w:rPr>
              <w:t>0.0008</w:t>
            </w:r>
          </w:p>
        </w:tc>
        <w:tc>
          <w:tcPr>
            <w:tcW w:w="554" w:type="pct"/>
            <w:tcBorders>
              <w:right w:val="single" w:color="auto" w:sz="4" w:space="0"/>
            </w:tcBorders>
            <w:vAlign w:val="center"/>
          </w:tcPr>
          <w:p w14:paraId="427F859F">
            <w:pPr>
              <w:pStyle w:val="208"/>
              <w:adjustRightInd w:val="0"/>
              <w:snapToGrid w:val="0"/>
              <w:rPr>
                <w:rFonts w:hint="eastAsia"/>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w:t>
            </w:r>
            <w:r>
              <w:rPr>
                <w:color w:val="000000" w:themeColor="text1"/>
                <w:szCs w:val="21"/>
                <w14:textFill>
                  <w14:solidFill>
                    <w14:schemeClr w14:val="tx1"/>
                  </w14:solidFill>
                </w14:textFill>
              </w:rPr>
              <w:t>.05</w:t>
            </w:r>
          </w:p>
        </w:tc>
        <w:tc>
          <w:tcPr>
            <w:tcW w:w="635" w:type="pct"/>
            <w:tcBorders>
              <w:left w:val="single" w:color="auto" w:sz="4" w:space="0"/>
            </w:tcBorders>
            <w:vAlign w:val="center"/>
          </w:tcPr>
          <w:p w14:paraId="3135FF93">
            <w:pPr>
              <w:pStyle w:val="208"/>
              <w:adjustRightInd w:val="0"/>
              <w:snapToGrid w:val="0"/>
              <w:rPr>
                <w:rFonts w:hint="eastAsia"/>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0.0008</w:t>
            </w:r>
          </w:p>
        </w:tc>
        <w:tc>
          <w:tcPr>
            <w:tcW w:w="420" w:type="pct"/>
            <w:vAlign w:val="center"/>
          </w:tcPr>
          <w:p w14:paraId="7F9A89EF">
            <w:pPr>
              <w:pStyle w:val="208"/>
              <w:adjustRightInd w:val="0"/>
              <w:snapToGrid w:val="0"/>
              <w:rPr>
                <w:rFonts w:hint="eastAsia"/>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达标</w:t>
            </w:r>
          </w:p>
        </w:tc>
      </w:tr>
      <w:tr w14:paraId="3C0C278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4" w:hRule="atLeast"/>
        </w:trPr>
        <w:tc>
          <w:tcPr>
            <w:tcW w:w="378" w:type="pct"/>
            <w:vMerge w:val="continue"/>
            <w:vAlign w:val="center"/>
          </w:tcPr>
          <w:p w14:paraId="36F19765">
            <w:pPr>
              <w:pStyle w:val="208"/>
              <w:adjustRightInd w:val="0"/>
              <w:snapToGrid w:val="0"/>
              <w:rPr>
                <w:rFonts w:hint="eastAsia"/>
                <w:color w:val="000000" w:themeColor="text1"/>
                <w:szCs w:val="21"/>
                <w:lang w:val="zh-CN"/>
                <w14:textFill>
                  <w14:solidFill>
                    <w14:schemeClr w14:val="tx1"/>
                  </w14:solidFill>
                </w14:textFill>
              </w:rPr>
            </w:pPr>
          </w:p>
        </w:tc>
        <w:tc>
          <w:tcPr>
            <w:tcW w:w="634" w:type="pct"/>
            <w:vAlign w:val="center"/>
          </w:tcPr>
          <w:p w14:paraId="6D49CFF6">
            <w:pPr>
              <w:pStyle w:val="208"/>
              <w:adjustRightInd w:val="0"/>
              <w:snapToGrid w:val="0"/>
              <w:rPr>
                <w:rFonts w:hint="eastAsia"/>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镍</w:t>
            </w:r>
          </w:p>
        </w:tc>
        <w:tc>
          <w:tcPr>
            <w:tcW w:w="473" w:type="pct"/>
            <w:tcBorders>
              <w:right w:val="single" w:color="auto" w:sz="4" w:space="0"/>
            </w:tcBorders>
            <w:vAlign w:val="center"/>
          </w:tcPr>
          <w:p w14:paraId="43BBFB24">
            <w:pPr>
              <w:pStyle w:val="208"/>
              <w:adjustRightInd w:val="0"/>
              <w:snapToGrid w:val="0"/>
              <w:rPr>
                <w:rFonts w:hint="eastAsia"/>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w:t>
            </w:r>
            <w:r>
              <w:rPr>
                <w:color w:val="000000" w:themeColor="text1"/>
                <w:szCs w:val="21"/>
                <w14:textFill>
                  <w14:solidFill>
                    <w14:schemeClr w14:val="tx1"/>
                  </w14:solidFill>
                </w14:textFill>
              </w:rPr>
              <w:t>4</w:t>
            </w:r>
          </w:p>
        </w:tc>
        <w:tc>
          <w:tcPr>
            <w:tcW w:w="637" w:type="pct"/>
            <w:tcBorders>
              <w:left w:val="single" w:color="auto" w:sz="4" w:space="0"/>
            </w:tcBorders>
            <w:vAlign w:val="center"/>
          </w:tcPr>
          <w:p w14:paraId="1D9E67C7">
            <w:pPr>
              <w:pStyle w:val="208"/>
              <w:adjustRightInd w:val="0"/>
              <w:snapToGrid w:val="0"/>
              <w:rPr>
                <w:rFonts w:hint="eastAsia"/>
                <w:color w:val="000000" w:themeColor="text1"/>
                <w:szCs w:val="21"/>
                <w14:textFill>
                  <w14:solidFill>
                    <w14:schemeClr w14:val="tx1"/>
                  </w14:solidFill>
                </w14:textFill>
              </w:rPr>
            </w:pPr>
            <w:r>
              <w:rPr>
                <w:color w:val="000000" w:themeColor="text1"/>
                <w:szCs w:val="21"/>
                <w14:textFill>
                  <w14:solidFill>
                    <w14:schemeClr w14:val="tx1"/>
                  </w14:solidFill>
                </w14:textFill>
              </w:rPr>
              <w:t>0.0156</w:t>
            </w:r>
          </w:p>
        </w:tc>
        <w:tc>
          <w:tcPr>
            <w:tcW w:w="634" w:type="pct"/>
            <w:tcBorders>
              <w:right w:val="single" w:color="auto" w:sz="4" w:space="0"/>
            </w:tcBorders>
            <w:vAlign w:val="center"/>
          </w:tcPr>
          <w:p w14:paraId="60FFECA5">
            <w:pPr>
              <w:pStyle w:val="208"/>
              <w:adjustRightInd w:val="0"/>
              <w:snapToGrid w:val="0"/>
              <w:rPr>
                <w:rFonts w:hint="eastAsia"/>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w:t>
            </w:r>
            <w:r>
              <w:rPr>
                <w:color w:val="000000" w:themeColor="text1"/>
                <w:szCs w:val="21"/>
                <w14:textFill>
                  <w14:solidFill>
                    <w14:schemeClr w14:val="tx1"/>
                  </w14:solidFill>
                </w14:textFill>
              </w:rPr>
              <w:t>2</w:t>
            </w:r>
          </w:p>
        </w:tc>
        <w:tc>
          <w:tcPr>
            <w:tcW w:w="635" w:type="pct"/>
            <w:tcBorders>
              <w:left w:val="single" w:color="auto" w:sz="4" w:space="0"/>
            </w:tcBorders>
            <w:vAlign w:val="center"/>
          </w:tcPr>
          <w:p w14:paraId="55266E5A">
            <w:pPr>
              <w:pStyle w:val="208"/>
              <w:adjustRightInd w:val="0"/>
              <w:snapToGrid w:val="0"/>
              <w:rPr>
                <w:rFonts w:hint="eastAsia"/>
                <w:color w:val="000000" w:themeColor="text1"/>
                <w:szCs w:val="21"/>
                <w14:textFill>
                  <w14:solidFill>
                    <w14:schemeClr w14:val="tx1"/>
                  </w14:solidFill>
                </w14:textFill>
              </w:rPr>
            </w:pPr>
            <w:r>
              <w:rPr>
                <w:color w:val="000000" w:themeColor="text1"/>
                <w:szCs w:val="21"/>
                <w14:textFill>
                  <w14:solidFill>
                    <w14:schemeClr w14:val="tx1"/>
                  </w14:solidFill>
                </w14:textFill>
              </w:rPr>
              <w:t>0.0133</w:t>
            </w:r>
          </w:p>
        </w:tc>
        <w:tc>
          <w:tcPr>
            <w:tcW w:w="554" w:type="pct"/>
            <w:tcBorders>
              <w:right w:val="single" w:color="auto" w:sz="4" w:space="0"/>
            </w:tcBorders>
            <w:vAlign w:val="center"/>
          </w:tcPr>
          <w:p w14:paraId="3E644890">
            <w:pPr>
              <w:pStyle w:val="208"/>
              <w:adjustRightInd w:val="0"/>
              <w:snapToGrid w:val="0"/>
              <w:rPr>
                <w:rFonts w:hint="eastAsia"/>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w:t>
            </w:r>
            <w:r>
              <w:rPr>
                <w:color w:val="000000" w:themeColor="text1"/>
                <w:szCs w:val="21"/>
                <w14:textFill>
                  <w14:solidFill>
                    <w14:schemeClr w14:val="tx1"/>
                  </w14:solidFill>
                </w14:textFill>
              </w:rPr>
              <w:t>3</w:t>
            </w:r>
          </w:p>
        </w:tc>
        <w:tc>
          <w:tcPr>
            <w:tcW w:w="635" w:type="pct"/>
            <w:tcBorders>
              <w:left w:val="single" w:color="auto" w:sz="4" w:space="0"/>
            </w:tcBorders>
            <w:vAlign w:val="center"/>
          </w:tcPr>
          <w:p w14:paraId="28409C4C">
            <w:pPr>
              <w:pStyle w:val="208"/>
              <w:adjustRightInd w:val="0"/>
              <w:snapToGrid w:val="0"/>
              <w:rPr>
                <w:rFonts w:hint="eastAsia"/>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0.0144</w:t>
            </w:r>
          </w:p>
        </w:tc>
        <w:tc>
          <w:tcPr>
            <w:tcW w:w="420" w:type="pct"/>
            <w:vAlign w:val="center"/>
          </w:tcPr>
          <w:p w14:paraId="51B8DD3C">
            <w:pPr>
              <w:pStyle w:val="208"/>
              <w:adjustRightInd w:val="0"/>
              <w:snapToGrid w:val="0"/>
              <w:rPr>
                <w:rFonts w:hint="eastAsia"/>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达标</w:t>
            </w:r>
          </w:p>
        </w:tc>
      </w:tr>
      <w:tr w14:paraId="6E68FD3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4" w:hRule="atLeast"/>
        </w:trPr>
        <w:tc>
          <w:tcPr>
            <w:tcW w:w="378" w:type="pct"/>
            <w:vMerge w:val="continue"/>
            <w:vAlign w:val="center"/>
          </w:tcPr>
          <w:p w14:paraId="395552FD">
            <w:pPr>
              <w:pStyle w:val="208"/>
              <w:adjustRightInd w:val="0"/>
              <w:snapToGrid w:val="0"/>
              <w:rPr>
                <w:rFonts w:hint="eastAsia"/>
                <w:color w:val="000000" w:themeColor="text1"/>
                <w:szCs w:val="21"/>
                <w:lang w:val="zh-CN"/>
                <w14:textFill>
                  <w14:solidFill>
                    <w14:schemeClr w14:val="tx1"/>
                  </w14:solidFill>
                </w14:textFill>
              </w:rPr>
            </w:pPr>
          </w:p>
        </w:tc>
        <w:tc>
          <w:tcPr>
            <w:tcW w:w="634" w:type="pct"/>
            <w:vAlign w:val="center"/>
          </w:tcPr>
          <w:p w14:paraId="195D91CC">
            <w:pPr>
              <w:pStyle w:val="208"/>
              <w:adjustRightInd w:val="0"/>
              <w:snapToGrid w:val="0"/>
              <w:rPr>
                <w:rFonts w:hint="eastAsia"/>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铬</w:t>
            </w:r>
          </w:p>
        </w:tc>
        <w:tc>
          <w:tcPr>
            <w:tcW w:w="473" w:type="pct"/>
            <w:tcBorders>
              <w:right w:val="single" w:color="auto" w:sz="4" w:space="0"/>
            </w:tcBorders>
            <w:vAlign w:val="center"/>
          </w:tcPr>
          <w:p w14:paraId="35AF0970">
            <w:pPr>
              <w:pStyle w:val="208"/>
              <w:adjustRightInd w:val="0"/>
              <w:snapToGrid w:val="0"/>
              <w:rPr>
                <w:rFonts w:hint="eastAsia"/>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w:t>
            </w:r>
            <w:r>
              <w:rPr>
                <w:color w:val="000000" w:themeColor="text1"/>
                <w:szCs w:val="21"/>
                <w14:textFill>
                  <w14:solidFill>
                    <w14:schemeClr w14:val="tx1"/>
                  </w14:solidFill>
                </w14:textFill>
              </w:rPr>
              <w:t>.5L</w:t>
            </w:r>
          </w:p>
        </w:tc>
        <w:tc>
          <w:tcPr>
            <w:tcW w:w="637" w:type="pct"/>
            <w:tcBorders>
              <w:left w:val="single" w:color="auto" w:sz="4" w:space="0"/>
            </w:tcBorders>
            <w:vAlign w:val="center"/>
          </w:tcPr>
          <w:p w14:paraId="1709EEB9">
            <w:pPr>
              <w:pStyle w:val="208"/>
              <w:adjustRightInd w:val="0"/>
              <w:snapToGrid w:val="0"/>
              <w:rPr>
                <w:rFonts w:hint="eastAsia"/>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c>
          <w:tcPr>
            <w:tcW w:w="634" w:type="pct"/>
            <w:tcBorders>
              <w:right w:val="single" w:color="auto" w:sz="4" w:space="0"/>
            </w:tcBorders>
            <w:vAlign w:val="center"/>
          </w:tcPr>
          <w:p w14:paraId="7317EB4C">
            <w:pPr>
              <w:pStyle w:val="208"/>
              <w:adjustRightInd w:val="0"/>
              <w:snapToGrid w:val="0"/>
              <w:rPr>
                <w:rFonts w:hint="eastAsia"/>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w:t>
            </w:r>
            <w:r>
              <w:rPr>
                <w:color w:val="000000" w:themeColor="text1"/>
                <w:szCs w:val="21"/>
                <w14:textFill>
                  <w14:solidFill>
                    <w14:schemeClr w14:val="tx1"/>
                  </w14:solidFill>
                </w14:textFill>
              </w:rPr>
              <w:t>.5L</w:t>
            </w:r>
          </w:p>
        </w:tc>
        <w:tc>
          <w:tcPr>
            <w:tcW w:w="635" w:type="pct"/>
            <w:tcBorders>
              <w:left w:val="single" w:color="auto" w:sz="4" w:space="0"/>
            </w:tcBorders>
            <w:vAlign w:val="center"/>
          </w:tcPr>
          <w:p w14:paraId="77AAB65F">
            <w:pPr>
              <w:pStyle w:val="208"/>
              <w:adjustRightInd w:val="0"/>
              <w:snapToGrid w:val="0"/>
              <w:rPr>
                <w:rFonts w:hint="eastAsia"/>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c>
          <w:tcPr>
            <w:tcW w:w="554" w:type="pct"/>
            <w:tcBorders>
              <w:right w:val="single" w:color="auto" w:sz="4" w:space="0"/>
            </w:tcBorders>
            <w:vAlign w:val="center"/>
          </w:tcPr>
          <w:p w14:paraId="6B234CC6">
            <w:pPr>
              <w:pStyle w:val="208"/>
              <w:adjustRightInd w:val="0"/>
              <w:snapToGrid w:val="0"/>
              <w:rPr>
                <w:rFonts w:hint="eastAsia"/>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w:t>
            </w:r>
            <w:r>
              <w:rPr>
                <w:color w:val="000000" w:themeColor="text1"/>
                <w:szCs w:val="21"/>
                <w14:textFill>
                  <w14:solidFill>
                    <w14:schemeClr w14:val="tx1"/>
                  </w14:solidFill>
                </w14:textFill>
              </w:rPr>
              <w:t>.5L</w:t>
            </w:r>
          </w:p>
        </w:tc>
        <w:tc>
          <w:tcPr>
            <w:tcW w:w="635" w:type="pct"/>
            <w:tcBorders>
              <w:left w:val="single" w:color="auto" w:sz="4" w:space="0"/>
            </w:tcBorders>
            <w:vAlign w:val="center"/>
          </w:tcPr>
          <w:p w14:paraId="44454848">
            <w:pPr>
              <w:pStyle w:val="208"/>
              <w:adjustRightInd w:val="0"/>
              <w:snapToGrid w:val="0"/>
              <w:rPr>
                <w:rFonts w:hint="eastAsia"/>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c>
          <w:tcPr>
            <w:tcW w:w="420" w:type="pct"/>
            <w:vAlign w:val="center"/>
          </w:tcPr>
          <w:p w14:paraId="30F2D1D7">
            <w:pPr>
              <w:pStyle w:val="208"/>
              <w:adjustRightInd w:val="0"/>
              <w:snapToGrid w:val="0"/>
              <w:rPr>
                <w:rFonts w:hint="eastAsia"/>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达标</w:t>
            </w:r>
          </w:p>
        </w:tc>
      </w:tr>
      <w:tr w14:paraId="436FC8F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4" w:hRule="atLeast"/>
        </w:trPr>
        <w:tc>
          <w:tcPr>
            <w:tcW w:w="378" w:type="pct"/>
            <w:vMerge w:val="continue"/>
            <w:vAlign w:val="center"/>
          </w:tcPr>
          <w:p w14:paraId="4CC73E8F">
            <w:pPr>
              <w:pStyle w:val="208"/>
              <w:adjustRightInd w:val="0"/>
              <w:snapToGrid w:val="0"/>
              <w:rPr>
                <w:rFonts w:hint="eastAsia"/>
                <w:color w:val="000000" w:themeColor="text1"/>
                <w:szCs w:val="21"/>
                <w:lang w:val="zh-CN"/>
                <w14:textFill>
                  <w14:solidFill>
                    <w14:schemeClr w14:val="tx1"/>
                  </w14:solidFill>
                </w14:textFill>
              </w:rPr>
            </w:pPr>
          </w:p>
        </w:tc>
        <w:tc>
          <w:tcPr>
            <w:tcW w:w="634" w:type="pct"/>
            <w:vAlign w:val="center"/>
          </w:tcPr>
          <w:p w14:paraId="12B7DF79">
            <w:pPr>
              <w:pStyle w:val="208"/>
              <w:adjustRightInd w:val="0"/>
              <w:snapToGrid w:val="0"/>
              <w:rPr>
                <w:rFonts w:hint="eastAsia"/>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铜</w:t>
            </w:r>
          </w:p>
        </w:tc>
        <w:tc>
          <w:tcPr>
            <w:tcW w:w="473" w:type="pct"/>
            <w:tcBorders>
              <w:right w:val="single" w:color="auto" w:sz="4" w:space="0"/>
            </w:tcBorders>
            <w:vAlign w:val="center"/>
          </w:tcPr>
          <w:p w14:paraId="3304F189">
            <w:pPr>
              <w:pStyle w:val="208"/>
              <w:adjustRightInd w:val="0"/>
              <w:snapToGrid w:val="0"/>
              <w:rPr>
                <w:rFonts w:hint="eastAsia"/>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w:t>
            </w:r>
            <w:r>
              <w:rPr>
                <w:color w:val="000000" w:themeColor="text1"/>
                <w:szCs w:val="21"/>
                <w14:textFill>
                  <w14:solidFill>
                    <w14:schemeClr w14:val="tx1"/>
                  </w14:solidFill>
                </w14:textFill>
              </w:rPr>
              <w:t>5</w:t>
            </w:r>
          </w:p>
        </w:tc>
        <w:tc>
          <w:tcPr>
            <w:tcW w:w="637" w:type="pct"/>
            <w:tcBorders>
              <w:left w:val="single" w:color="auto" w:sz="4" w:space="0"/>
            </w:tcBorders>
            <w:vAlign w:val="center"/>
          </w:tcPr>
          <w:p w14:paraId="5FB2E0AC">
            <w:pPr>
              <w:pStyle w:val="208"/>
              <w:adjustRightInd w:val="0"/>
              <w:snapToGrid w:val="0"/>
              <w:rPr>
                <w:rFonts w:hint="eastAsia"/>
                <w:color w:val="000000" w:themeColor="text1"/>
                <w:szCs w:val="21"/>
                <w14:textFill>
                  <w14:solidFill>
                    <w14:schemeClr w14:val="tx1"/>
                  </w14:solidFill>
                </w14:textFill>
              </w:rPr>
            </w:pPr>
            <w:r>
              <w:rPr>
                <w:color w:val="000000" w:themeColor="text1"/>
                <w:szCs w:val="21"/>
                <w14:textFill>
                  <w14:solidFill>
                    <w14:schemeClr w14:val="tx1"/>
                  </w14:solidFill>
                </w14:textFill>
              </w:rPr>
              <w:t>0.0014</w:t>
            </w:r>
          </w:p>
        </w:tc>
        <w:tc>
          <w:tcPr>
            <w:tcW w:w="634" w:type="pct"/>
            <w:tcBorders>
              <w:right w:val="single" w:color="auto" w:sz="4" w:space="0"/>
            </w:tcBorders>
            <w:vAlign w:val="center"/>
          </w:tcPr>
          <w:p w14:paraId="6C620065">
            <w:pPr>
              <w:pStyle w:val="208"/>
              <w:adjustRightInd w:val="0"/>
              <w:snapToGrid w:val="0"/>
              <w:rPr>
                <w:rFonts w:hint="eastAsia"/>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w:t>
            </w:r>
            <w:r>
              <w:rPr>
                <w:color w:val="000000" w:themeColor="text1"/>
                <w:szCs w:val="21"/>
                <w14:textFill>
                  <w14:solidFill>
                    <w14:schemeClr w14:val="tx1"/>
                  </w14:solidFill>
                </w14:textFill>
              </w:rPr>
              <w:t>3</w:t>
            </w:r>
          </w:p>
        </w:tc>
        <w:tc>
          <w:tcPr>
            <w:tcW w:w="635" w:type="pct"/>
            <w:tcBorders>
              <w:left w:val="single" w:color="auto" w:sz="4" w:space="0"/>
            </w:tcBorders>
            <w:vAlign w:val="center"/>
          </w:tcPr>
          <w:p w14:paraId="06B621B3">
            <w:pPr>
              <w:pStyle w:val="208"/>
              <w:adjustRightInd w:val="0"/>
              <w:snapToGrid w:val="0"/>
              <w:rPr>
                <w:rFonts w:hint="eastAsia"/>
                <w:color w:val="000000" w:themeColor="text1"/>
                <w:szCs w:val="21"/>
                <w14:textFill>
                  <w14:solidFill>
                    <w14:schemeClr w14:val="tx1"/>
                  </w14:solidFill>
                </w14:textFill>
              </w:rPr>
            </w:pPr>
            <w:r>
              <w:rPr>
                <w:color w:val="000000" w:themeColor="text1"/>
                <w:szCs w:val="21"/>
                <w14:textFill>
                  <w14:solidFill>
                    <w14:schemeClr w14:val="tx1"/>
                  </w14:solidFill>
                </w14:textFill>
              </w:rPr>
              <w:t>0.0013</w:t>
            </w:r>
          </w:p>
        </w:tc>
        <w:tc>
          <w:tcPr>
            <w:tcW w:w="554" w:type="pct"/>
            <w:tcBorders>
              <w:right w:val="single" w:color="auto" w:sz="4" w:space="0"/>
            </w:tcBorders>
            <w:vAlign w:val="center"/>
          </w:tcPr>
          <w:p w14:paraId="14377F03">
            <w:pPr>
              <w:pStyle w:val="208"/>
              <w:adjustRightInd w:val="0"/>
              <w:snapToGrid w:val="0"/>
              <w:rPr>
                <w:rFonts w:hint="eastAsia"/>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w:t>
            </w:r>
            <w:r>
              <w:rPr>
                <w:color w:val="000000" w:themeColor="text1"/>
                <w:szCs w:val="21"/>
                <w14:textFill>
                  <w14:solidFill>
                    <w14:schemeClr w14:val="tx1"/>
                  </w14:solidFill>
                </w14:textFill>
              </w:rPr>
              <w:t>5</w:t>
            </w:r>
          </w:p>
        </w:tc>
        <w:tc>
          <w:tcPr>
            <w:tcW w:w="635" w:type="pct"/>
            <w:tcBorders>
              <w:left w:val="single" w:color="auto" w:sz="4" w:space="0"/>
            </w:tcBorders>
            <w:vAlign w:val="center"/>
          </w:tcPr>
          <w:p w14:paraId="3010454C">
            <w:pPr>
              <w:pStyle w:val="208"/>
              <w:adjustRightInd w:val="0"/>
              <w:snapToGrid w:val="0"/>
              <w:rPr>
                <w:rFonts w:hint="eastAsia"/>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0.0014</w:t>
            </w:r>
          </w:p>
        </w:tc>
        <w:tc>
          <w:tcPr>
            <w:tcW w:w="420" w:type="pct"/>
            <w:vAlign w:val="center"/>
          </w:tcPr>
          <w:p w14:paraId="7B3F38B7">
            <w:pPr>
              <w:pStyle w:val="208"/>
              <w:adjustRightInd w:val="0"/>
              <w:snapToGrid w:val="0"/>
              <w:rPr>
                <w:rFonts w:hint="eastAsia"/>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达标</w:t>
            </w:r>
          </w:p>
        </w:tc>
      </w:tr>
      <w:tr w14:paraId="3F279C3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4" w:hRule="atLeast"/>
        </w:trPr>
        <w:tc>
          <w:tcPr>
            <w:tcW w:w="378" w:type="pct"/>
            <w:vMerge w:val="continue"/>
            <w:vAlign w:val="center"/>
          </w:tcPr>
          <w:p w14:paraId="327D17E0">
            <w:pPr>
              <w:pStyle w:val="208"/>
              <w:adjustRightInd w:val="0"/>
              <w:snapToGrid w:val="0"/>
              <w:rPr>
                <w:rFonts w:hint="eastAsia"/>
                <w:color w:val="000000" w:themeColor="text1"/>
                <w:szCs w:val="21"/>
                <w:lang w:val="zh-CN"/>
                <w14:textFill>
                  <w14:solidFill>
                    <w14:schemeClr w14:val="tx1"/>
                  </w14:solidFill>
                </w14:textFill>
              </w:rPr>
            </w:pPr>
          </w:p>
        </w:tc>
        <w:tc>
          <w:tcPr>
            <w:tcW w:w="634" w:type="pct"/>
            <w:vAlign w:val="center"/>
          </w:tcPr>
          <w:p w14:paraId="0409C10C">
            <w:pPr>
              <w:pStyle w:val="208"/>
              <w:adjustRightInd w:val="0"/>
              <w:snapToGrid w:val="0"/>
              <w:rPr>
                <w:rFonts w:hint="eastAsia"/>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铅</w:t>
            </w:r>
          </w:p>
        </w:tc>
        <w:tc>
          <w:tcPr>
            <w:tcW w:w="473" w:type="pct"/>
            <w:tcBorders>
              <w:right w:val="single" w:color="auto" w:sz="4" w:space="0"/>
            </w:tcBorders>
            <w:vAlign w:val="center"/>
          </w:tcPr>
          <w:p w14:paraId="053FA694">
            <w:pPr>
              <w:pStyle w:val="208"/>
              <w:adjustRightInd w:val="0"/>
              <w:snapToGrid w:val="0"/>
              <w:rPr>
                <w:rFonts w:hint="eastAsia"/>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w:t>
            </w:r>
            <w:r>
              <w:rPr>
                <w:color w:val="000000" w:themeColor="text1"/>
                <w:szCs w:val="21"/>
                <w14:textFill>
                  <w14:solidFill>
                    <w14:schemeClr w14:val="tx1"/>
                  </w14:solidFill>
                </w14:textFill>
              </w:rPr>
              <w:t>6</w:t>
            </w:r>
          </w:p>
        </w:tc>
        <w:tc>
          <w:tcPr>
            <w:tcW w:w="637" w:type="pct"/>
            <w:tcBorders>
              <w:left w:val="single" w:color="auto" w:sz="4" w:space="0"/>
            </w:tcBorders>
            <w:vAlign w:val="center"/>
          </w:tcPr>
          <w:p w14:paraId="75E63E99">
            <w:pPr>
              <w:pStyle w:val="208"/>
              <w:adjustRightInd w:val="0"/>
              <w:snapToGrid w:val="0"/>
              <w:rPr>
                <w:rFonts w:hint="eastAsia"/>
                <w:color w:val="000000" w:themeColor="text1"/>
                <w:szCs w:val="21"/>
                <w14:textFill>
                  <w14:solidFill>
                    <w14:schemeClr w14:val="tx1"/>
                  </w14:solidFill>
                </w14:textFill>
              </w:rPr>
            </w:pPr>
            <w:r>
              <w:rPr>
                <w:color w:val="000000" w:themeColor="text1"/>
                <w:szCs w:val="21"/>
                <w14:textFill>
                  <w14:solidFill>
                    <w14:schemeClr w14:val="tx1"/>
                  </w14:solidFill>
                </w14:textFill>
              </w:rPr>
              <w:t>0.0450</w:t>
            </w:r>
          </w:p>
        </w:tc>
        <w:tc>
          <w:tcPr>
            <w:tcW w:w="634" w:type="pct"/>
            <w:tcBorders>
              <w:right w:val="single" w:color="auto" w:sz="4" w:space="0"/>
            </w:tcBorders>
            <w:vAlign w:val="center"/>
          </w:tcPr>
          <w:p w14:paraId="1CFC74B0">
            <w:pPr>
              <w:pStyle w:val="208"/>
              <w:adjustRightInd w:val="0"/>
              <w:snapToGrid w:val="0"/>
              <w:rPr>
                <w:rFonts w:hint="eastAsia"/>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w:t>
            </w:r>
            <w:r>
              <w:rPr>
                <w:color w:val="000000" w:themeColor="text1"/>
                <w:szCs w:val="21"/>
                <w14:textFill>
                  <w14:solidFill>
                    <w14:schemeClr w14:val="tx1"/>
                  </w14:solidFill>
                </w14:textFill>
              </w:rPr>
              <w:t>4</w:t>
            </w:r>
          </w:p>
        </w:tc>
        <w:tc>
          <w:tcPr>
            <w:tcW w:w="635" w:type="pct"/>
            <w:tcBorders>
              <w:left w:val="single" w:color="auto" w:sz="4" w:space="0"/>
            </w:tcBorders>
            <w:vAlign w:val="center"/>
          </w:tcPr>
          <w:p w14:paraId="1C153638">
            <w:pPr>
              <w:pStyle w:val="208"/>
              <w:adjustRightInd w:val="0"/>
              <w:snapToGrid w:val="0"/>
              <w:rPr>
                <w:rFonts w:hint="eastAsia"/>
                <w:color w:val="000000" w:themeColor="text1"/>
                <w:szCs w:val="21"/>
                <w14:textFill>
                  <w14:solidFill>
                    <w14:schemeClr w14:val="tx1"/>
                  </w14:solidFill>
                </w14:textFill>
              </w:rPr>
            </w:pPr>
            <w:r>
              <w:rPr>
                <w:color w:val="000000" w:themeColor="text1"/>
                <w:szCs w:val="21"/>
                <w14:textFill>
                  <w14:solidFill>
                    <w14:schemeClr w14:val="tx1"/>
                  </w14:solidFill>
                </w14:textFill>
              </w:rPr>
              <w:t>0.0425</w:t>
            </w:r>
          </w:p>
        </w:tc>
        <w:tc>
          <w:tcPr>
            <w:tcW w:w="554" w:type="pct"/>
            <w:tcBorders>
              <w:right w:val="single" w:color="auto" w:sz="4" w:space="0"/>
            </w:tcBorders>
            <w:vAlign w:val="center"/>
          </w:tcPr>
          <w:p w14:paraId="74CDB13F">
            <w:pPr>
              <w:pStyle w:val="208"/>
              <w:adjustRightInd w:val="0"/>
              <w:snapToGrid w:val="0"/>
              <w:rPr>
                <w:rFonts w:hint="eastAsia"/>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4</w:t>
            </w:r>
            <w:r>
              <w:rPr>
                <w:color w:val="000000" w:themeColor="text1"/>
                <w:szCs w:val="21"/>
                <w14:textFill>
                  <w14:solidFill>
                    <w14:schemeClr w14:val="tx1"/>
                  </w14:solidFill>
                </w14:textFill>
              </w:rPr>
              <w:t>1</w:t>
            </w:r>
          </w:p>
        </w:tc>
        <w:tc>
          <w:tcPr>
            <w:tcW w:w="635" w:type="pct"/>
            <w:tcBorders>
              <w:left w:val="single" w:color="auto" w:sz="4" w:space="0"/>
            </w:tcBorders>
            <w:vAlign w:val="center"/>
          </w:tcPr>
          <w:p w14:paraId="1215B2DA">
            <w:pPr>
              <w:pStyle w:val="208"/>
              <w:adjustRightInd w:val="0"/>
              <w:snapToGrid w:val="0"/>
              <w:rPr>
                <w:rFonts w:hint="eastAsia"/>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0.0513</w:t>
            </w:r>
          </w:p>
        </w:tc>
        <w:tc>
          <w:tcPr>
            <w:tcW w:w="420" w:type="pct"/>
            <w:vAlign w:val="center"/>
          </w:tcPr>
          <w:p w14:paraId="657B1D80">
            <w:pPr>
              <w:pStyle w:val="208"/>
              <w:adjustRightInd w:val="0"/>
              <w:snapToGrid w:val="0"/>
              <w:rPr>
                <w:rFonts w:hint="eastAsia"/>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达标</w:t>
            </w:r>
          </w:p>
        </w:tc>
      </w:tr>
      <w:tr w14:paraId="19B0405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4" w:hRule="atLeast"/>
        </w:trPr>
        <w:tc>
          <w:tcPr>
            <w:tcW w:w="378" w:type="pct"/>
            <w:vMerge w:val="continue"/>
            <w:vAlign w:val="center"/>
          </w:tcPr>
          <w:p w14:paraId="6DA05586">
            <w:pPr>
              <w:pStyle w:val="208"/>
              <w:adjustRightInd w:val="0"/>
              <w:snapToGrid w:val="0"/>
              <w:rPr>
                <w:rFonts w:hint="eastAsia"/>
                <w:color w:val="000000" w:themeColor="text1"/>
                <w:szCs w:val="21"/>
                <w:lang w:val="zh-CN"/>
                <w14:textFill>
                  <w14:solidFill>
                    <w14:schemeClr w14:val="tx1"/>
                  </w14:solidFill>
                </w14:textFill>
              </w:rPr>
            </w:pPr>
          </w:p>
        </w:tc>
        <w:tc>
          <w:tcPr>
            <w:tcW w:w="634" w:type="pct"/>
            <w:vAlign w:val="center"/>
          </w:tcPr>
          <w:p w14:paraId="3AFDDF54">
            <w:pPr>
              <w:pStyle w:val="208"/>
              <w:adjustRightInd w:val="0"/>
              <w:snapToGrid w:val="0"/>
              <w:rPr>
                <w:rFonts w:hint="eastAsia"/>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汞</w:t>
            </w:r>
          </w:p>
        </w:tc>
        <w:tc>
          <w:tcPr>
            <w:tcW w:w="473" w:type="pct"/>
            <w:tcBorders>
              <w:right w:val="single" w:color="auto" w:sz="4" w:space="0"/>
            </w:tcBorders>
            <w:vAlign w:val="center"/>
          </w:tcPr>
          <w:p w14:paraId="386D77DA">
            <w:pPr>
              <w:pStyle w:val="208"/>
              <w:adjustRightInd w:val="0"/>
              <w:snapToGrid w:val="0"/>
              <w:rPr>
                <w:rFonts w:hint="eastAsia"/>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w:t>
            </w:r>
            <w:r>
              <w:rPr>
                <w:color w:val="000000" w:themeColor="text1"/>
                <w:szCs w:val="21"/>
                <w14:textFill>
                  <w14:solidFill>
                    <w14:schemeClr w14:val="tx1"/>
                  </w14:solidFill>
                </w14:textFill>
              </w:rPr>
              <w:t>.055</w:t>
            </w:r>
          </w:p>
        </w:tc>
        <w:tc>
          <w:tcPr>
            <w:tcW w:w="637" w:type="pct"/>
            <w:tcBorders>
              <w:left w:val="single" w:color="auto" w:sz="4" w:space="0"/>
            </w:tcBorders>
            <w:vAlign w:val="center"/>
          </w:tcPr>
          <w:p w14:paraId="5A9BB3F8">
            <w:pPr>
              <w:pStyle w:val="208"/>
              <w:adjustRightInd w:val="0"/>
              <w:snapToGrid w:val="0"/>
              <w:rPr>
                <w:rFonts w:hint="eastAsia"/>
                <w:color w:val="000000" w:themeColor="text1"/>
                <w:szCs w:val="21"/>
                <w14:textFill>
                  <w14:solidFill>
                    <w14:schemeClr w14:val="tx1"/>
                  </w14:solidFill>
                </w14:textFill>
              </w:rPr>
            </w:pPr>
            <w:r>
              <w:rPr>
                <w:color w:val="000000" w:themeColor="text1"/>
                <w:szCs w:val="21"/>
                <w14:textFill>
                  <w14:solidFill>
                    <w14:schemeClr w14:val="tx1"/>
                  </w14:solidFill>
                </w14:textFill>
              </w:rPr>
              <w:t>0.0014</w:t>
            </w:r>
          </w:p>
        </w:tc>
        <w:tc>
          <w:tcPr>
            <w:tcW w:w="634" w:type="pct"/>
            <w:tcBorders>
              <w:right w:val="single" w:color="auto" w:sz="4" w:space="0"/>
            </w:tcBorders>
            <w:vAlign w:val="center"/>
          </w:tcPr>
          <w:p w14:paraId="22541FC4">
            <w:pPr>
              <w:pStyle w:val="208"/>
              <w:adjustRightInd w:val="0"/>
              <w:snapToGrid w:val="0"/>
              <w:rPr>
                <w:rFonts w:hint="eastAsia"/>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w:t>
            </w:r>
            <w:r>
              <w:rPr>
                <w:color w:val="000000" w:themeColor="text1"/>
                <w:szCs w:val="21"/>
                <w14:textFill>
                  <w14:solidFill>
                    <w14:schemeClr w14:val="tx1"/>
                  </w14:solidFill>
                </w14:textFill>
              </w:rPr>
              <w:t>.06</w:t>
            </w:r>
          </w:p>
        </w:tc>
        <w:tc>
          <w:tcPr>
            <w:tcW w:w="635" w:type="pct"/>
            <w:tcBorders>
              <w:left w:val="single" w:color="auto" w:sz="4" w:space="0"/>
            </w:tcBorders>
            <w:vAlign w:val="center"/>
          </w:tcPr>
          <w:p w14:paraId="1053608C">
            <w:pPr>
              <w:pStyle w:val="208"/>
              <w:adjustRightInd w:val="0"/>
              <w:snapToGrid w:val="0"/>
              <w:rPr>
                <w:rFonts w:hint="eastAsia"/>
                <w:color w:val="000000" w:themeColor="text1"/>
                <w:szCs w:val="21"/>
                <w14:textFill>
                  <w14:solidFill>
                    <w14:schemeClr w14:val="tx1"/>
                  </w14:solidFill>
                </w14:textFill>
              </w:rPr>
            </w:pPr>
            <w:r>
              <w:rPr>
                <w:color w:val="000000" w:themeColor="text1"/>
                <w:szCs w:val="21"/>
                <w14:textFill>
                  <w14:solidFill>
                    <w14:schemeClr w14:val="tx1"/>
                  </w14:solidFill>
                </w14:textFill>
              </w:rPr>
              <w:t>0.0016</w:t>
            </w:r>
          </w:p>
        </w:tc>
        <w:tc>
          <w:tcPr>
            <w:tcW w:w="554" w:type="pct"/>
            <w:tcBorders>
              <w:right w:val="single" w:color="auto" w:sz="4" w:space="0"/>
            </w:tcBorders>
            <w:vAlign w:val="center"/>
          </w:tcPr>
          <w:p w14:paraId="69AB9321">
            <w:pPr>
              <w:pStyle w:val="208"/>
              <w:adjustRightInd w:val="0"/>
              <w:snapToGrid w:val="0"/>
              <w:rPr>
                <w:rFonts w:hint="eastAsia"/>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w:t>
            </w:r>
            <w:r>
              <w:rPr>
                <w:color w:val="000000" w:themeColor="text1"/>
                <w:szCs w:val="21"/>
                <w14:textFill>
                  <w14:solidFill>
                    <w14:schemeClr w14:val="tx1"/>
                  </w14:solidFill>
                </w14:textFill>
              </w:rPr>
              <w:t>.083</w:t>
            </w:r>
          </w:p>
        </w:tc>
        <w:tc>
          <w:tcPr>
            <w:tcW w:w="635" w:type="pct"/>
            <w:tcBorders>
              <w:left w:val="single" w:color="auto" w:sz="4" w:space="0"/>
            </w:tcBorders>
            <w:vAlign w:val="center"/>
          </w:tcPr>
          <w:p w14:paraId="763842A2">
            <w:pPr>
              <w:pStyle w:val="208"/>
              <w:adjustRightInd w:val="0"/>
              <w:snapToGrid w:val="0"/>
              <w:rPr>
                <w:rFonts w:hint="eastAsia"/>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0.0022</w:t>
            </w:r>
          </w:p>
        </w:tc>
        <w:tc>
          <w:tcPr>
            <w:tcW w:w="420" w:type="pct"/>
            <w:vAlign w:val="center"/>
          </w:tcPr>
          <w:p w14:paraId="67614566">
            <w:pPr>
              <w:pStyle w:val="208"/>
              <w:adjustRightInd w:val="0"/>
              <w:snapToGrid w:val="0"/>
              <w:rPr>
                <w:rFonts w:hint="eastAsia"/>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达标</w:t>
            </w:r>
          </w:p>
        </w:tc>
      </w:tr>
      <w:tr w14:paraId="156EA9C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4" w:hRule="atLeast"/>
        </w:trPr>
        <w:tc>
          <w:tcPr>
            <w:tcW w:w="378" w:type="pct"/>
            <w:vMerge w:val="continue"/>
            <w:vAlign w:val="center"/>
          </w:tcPr>
          <w:p w14:paraId="19A0D466">
            <w:pPr>
              <w:pStyle w:val="208"/>
              <w:adjustRightInd w:val="0"/>
              <w:snapToGrid w:val="0"/>
              <w:rPr>
                <w:rFonts w:hint="eastAsia"/>
                <w:color w:val="000000" w:themeColor="text1"/>
                <w:szCs w:val="21"/>
                <w:lang w:val="zh-CN"/>
                <w14:textFill>
                  <w14:solidFill>
                    <w14:schemeClr w14:val="tx1"/>
                  </w14:solidFill>
                </w14:textFill>
              </w:rPr>
            </w:pPr>
          </w:p>
        </w:tc>
        <w:tc>
          <w:tcPr>
            <w:tcW w:w="634" w:type="pct"/>
            <w:vAlign w:val="center"/>
          </w:tcPr>
          <w:p w14:paraId="4A010686">
            <w:pPr>
              <w:pStyle w:val="208"/>
              <w:adjustRightInd w:val="0"/>
              <w:snapToGrid w:val="0"/>
              <w:rPr>
                <w:rFonts w:hint="eastAsia"/>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砷</w:t>
            </w:r>
          </w:p>
        </w:tc>
        <w:tc>
          <w:tcPr>
            <w:tcW w:w="473" w:type="pct"/>
            <w:tcBorders>
              <w:right w:val="single" w:color="auto" w:sz="4" w:space="0"/>
            </w:tcBorders>
            <w:vAlign w:val="center"/>
          </w:tcPr>
          <w:p w14:paraId="246428BC">
            <w:pPr>
              <w:pStyle w:val="208"/>
              <w:adjustRightInd w:val="0"/>
              <w:snapToGrid w:val="0"/>
              <w:rPr>
                <w:rFonts w:hint="eastAsia"/>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6</w:t>
            </w:r>
            <w:r>
              <w:rPr>
                <w:color w:val="000000" w:themeColor="text1"/>
                <w:szCs w:val="21"/>
                <w14:textFill>
                  <w14:solidFill>
                    <w14:schemeClr w14:val="tx1"/>
                  </w14:solidFill>
                </w14:textFill>
              </w:rPr>
              <w:t>.45</w:t>
            </w:r>
          </w:p>
        </w:tc>
        <w:tc>
          <w:tcPr>
            <w:tcW w:w="637" w:type="pct"/>
            <w:tcBorders>
              <w:left w:val="single" w:color="auto" w:sz="4" w:space="0"/>
            </w:tcBorders>
            <w:vAlign w:val="center"/>
          </w:tcPr>
          <w:p w14:paraId="317B76E9">
            <w:pPr>
              <w:pStyle w:val="208"/>
              <w:adjustRightInd w:val="0"/>
              <w:snapToGrid w:val="0"/>
              <w:rPr>
                <w:rFonts w:hint="eastAsia"/>
                <w:color w:val="000000" w:themeColor="text1"/>
                <w:szCs w:val="21"/>
                <w14:textFill>
                  <w14:solidFill>
                    <w14:schemeClr w14:val="tx1"/>
                  </w14:solidFill>
                </w14:textFill>
              </w:rPr>
            </w:pPr>
            <w:r>
              <w:rPr>
                <w:color w:val="000000" w:themeColor="text1"/>
                <w:szCs w:val="21"/>
                <w14:textFill>
                  <w14:solidFill>
                    <w14:schemeClr w14:val="tx1"/>
                  </w14:solidFill>
                </w14:textFill>
              </w:rPr>
              <w:t>0.1075</w:t>
            </w:r>
          </w:p>
        </w:tc>
        <w:tc>
          <w:tcPr>
            <w:tcW w:w="634" w:type="pct"/>
            <w:tcBorders>
              <w:right w:val="single" w:color="auto" w:sz="4" w:space="0"/>
            </w:tcBorders>
            <w:vAlign w:val="center"/>
          </w:tcPr>
          <w:p w14:paraId="688D8E7A">
            <w:pPr>
              <w:pStyle w:val="208"/>
              <w:adjustRightInd w:val="0"/>
              <w:snapToGrid w:val="0"/>
              <w:rPr>
                <w:rFonts w:hint="eastAsia"/>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6</w:t>
            </w:r>
            <w:r>
              <w:rPr>
                <w:color w:val="000000" w:themeColor="text1"/>
                <w:szCs w:val="21"/>
                <w14:textFill>
                  <w14:solidFill>
                    <w14:schemeClr w14:val="tx1"/>
                  </w14:solidFill>
                </w14:textFill>
              </w:rPr>
              <w:t>.42</w:t>
            </w:r>
          </w:p>
        </w:tc>
        <w:tc>
          <w:tcPr>
            <w:tcW w:w="635" w:type="pct"/>
            <w:tcBorders>
              <w:left w:val="single" w:color="auto" w:sz="4" w:space="0"/>
            </w:tcBorders>
            <w:vAlign w:val="center"/>
          </w:tcPr>
          <w:p w14:paraId="199FC340">
            <w:pPr>
              <w:pStyle w:val="208"/>
              <w:adjustRightInd w:val="0"/>
              <w:snapToGrid w:val="0"/>
              <w:rPr>
                <w:rFonts w:hint="eastAsia"/>
                <w:color w:val="000000" w:themeColor="text1"/>
                <w:szCs w:val="21"/>
                <w14:textFill>
                  <w14:solidFill>
                    <w14:schemeClr w14:val="tx1"/>
                  </w14:solidFill>
                </w14:textFill>
              </w:rPr>
            </w:pPr>
            <w:r>
              <w:rPr>
                <w:color w:val="000000" w:themeColor="text1"/>
                <w:szCs w:val="21"/>
                <w14:textFill>
                  <w14:solidFill>
                    <w14:schemeClr w14:val="tx1"/>
                  </w14:solidFill>
                </w14:textFill>
              </w:rPr>
              <w:t>0.1070</w:t>
            </w:r>
          </w:p>
        </w:tc>
        <w:tc>
          <w:tcPr>
            <w:tcW w:w="554" w:type="pct"/>
            <w:tcBorders>
              <w:right w:val="single" w:color="auto" w:sz="4" w:space="0"/>
            </w:tcBorders>
            <w:vAlign w:val="center"/>
          </w:tcPr>
          <w:p w14:paraId="21123B6E">
            <w:pPr>
              <w:pStyle w:val="208"/>
              <w:adjustRightInd w:val="0"/>
              <w:snapToGrid w:val="0"/>
              <w:rPr>
                <w:rFonts w:hint="eastAsia"/>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6</w:t>
            </w:r>
            <w:r>
              <w:rPr>
                <w:color w:val="000000" w:themeColor="text1"/>
                <w:szCs w:val="21"/>
                <w14:textFill>
                  <w14:solidFill>
                    <w14:schemeClr w14:val="tx1"/>
                  </w14:solidFill>
                </w14:textFill>
              </w:rPr>
              <w:t>.43</w:t>
            </w:r>
          </w:p>
        </w:tc>
        <w:tc>
          <w:tcPr>
            <w:tcW w:w="635" w:type="pct"/>
            <w:tcBorders>
              <w:left w:val="single" w:color="auto" w:sz="4" w:space="0"/>
            </w:tcBorders>
            <w:vAlign w:val="center"/>
          </w:tcPr>
          <w:p w14:paraId="537EA1E2">
            <w:pPr>
              <w:pStyle w:val="208"/>
              <w:adjustRightInd w:val="0"/>
              <w:snapToGrid w:val="0"/>
              <w:rPr>
                <w:rFonts w:hint="eastAsia"/>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0.1072</w:t>
            </w:r>
          </w:p>
        </w:tc>
        <w:tc>
          <w:tcPr>
            <w:tcW w:w="420" w:type="pct"/>
            <w:vAlign w:val="center"/>
          </w:tcPr>
          <w:p w14:paraId="3C153A69">
            <w:pPr>
              <w:pStyle w:val="208"/>
              <w:adjustRightInd w:val="0"/>
              <w:snapToGrid w:val="0"/>
              <w:rPr>
                <w:rFonts w:hint="eastAsia"/>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达标</w:t>
            </w:r>
          </w:p>
        </w:tc>
      </w:tr>
      <w:bookmarkEnd w:id="582"/>
      <w:tr w14:paraId="42370D9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4" w:hRule="atLeast"/>
        </w:trPr>
        <w:tc>
          <w:tcPr>
            <w:tcW w:w="378" w:type="pct"/>
            <w:vMerge w:val="restart"/>
            <w:vAlign w:val="center"/>
          </w:tcPr>
          <w:p w14:paraId="51743D1D">
            <w:pPr>
              <w:pStyle w:val="208"/>
              <w:adjustRightInd w:val="0"/>
              <w:snapToGrid w:val="0"/>
              <w:rPr>
                <w:rFonts w:hint="eastAsia"/>
                <w:color w:val="000000" w:themeColor="text1"/>
                <w:szCs w:val="21"/>
                <w:lang w:val="zh-CN"/>
                <w14:textFill>
                  <w14:solidFill>
                    <w14:schemeClr w14:val="tx1"/>
                  </w14:solidFill>
                </w14:textFill>
              </w:rPr>
            </w:pPr>
            <w:r>
              <w:rPr>
                <w:color w:val="000000" w:themeColor="text1"/>
                <w:szCs w:val="21"/>
                <w:lang w:val="zh-CN"/>
                <w14:textFill>
                  <w14:solidFill>
                    <w14:schemeClr w14:val="tx1"/>
                  </w14:solidFill>
                </w14:textFill>
              </w:rPr>
              <w:t>S3</w:t>
            </w:r>
          </w:p>
        </w:tc>
        <w:tc>
          <w:tcPr>
            <w:tcW w:w="634" w:type="pct"/>
            <w:vAlign w:val="center"/>
          </w:tcPr>
          <w:p w14:paraId="73596B1B">
            <w:pPr>
              <w:pStyle w:val="208"/>
              <w:adjustRightInd w:val="0"/>
              <w:snapToGrid w:val="0"/>
              <w:rPr>
                <w:rFonts w:hint="eastAsia"/>
                <w:color w:val="000000" w:themeColor="text1"/>
                <w:szCs w:val="21"/>
                <w14:textFill>
                  <w14:solidFill>
                    <w14:schemeClr w14:val="tx1"/>
                  </w14:solidFill>
                </w14:textFill>
              </w:rPr>
            </w:pPr>
            <w:r>
              <w:rPr>
                <w:color w:val="000000" w:themeColor="text1"/>
                <w:szCs w:val="21"/>
                <w14:textFill>
                  <w14:solidFill>
                    <w14:schemeClr w14:val="tx1"/>
                  </w14:solidFill>
                </w14:textFill>
              </w:rPr>
              <w:t>pH</w:t>
            </w:r>
          </w:p>
        </w:tc>
        <w:tc>
          <w:tcPr>
            <w:tcW w:w="473" w:type="pct"/>
            <w:tcBorders>
              <w:right w:val="single" w:color="auto" w:sz="4" w:space="0"/>
            </w:tcBorders>
            <w:vAlign w:val="center"/>
          </w:tcPr>
          <w:p w14:paraId="486EE863">
            <w:pPr>
              <w:pStyle w:val="208"/>
              <w:adjustRightInd w:val="0"/>
              <w:snapToGrid w:val="0"/>
              <w:rPr>
                <w:rFonts w:hint="eastAsia"/>
                <w:color w:val="000000" w:themeColor="text1"/>
                <w:szCs w:val="21"/>
                <w14:textFill>
                  <w14:solidFill>
                    <w14:schemeClr w14:val="tx1"/>
                  </w14:solidFill>
                </w14:textFill>
              </w:rPr>
            </w:pPr>
            <w:r>
              <w:rPr>
                <w:color w:val="000000" w:themeColor="text1"/>
                <w:szCs w:val="21"/>
                <w14:textFill>
                  <w14:solidFill>
                    <w14:schemeClr w14:val="tx1"/>
                  </w14:solidFill>
                </w14:textFill>
              </w:rPr>
              <w:t>8.65</w:t>
            </w:r>
          </w:p>
        </w:tc>
        <w:tc>
          <w:tcPr>
            <w:tcW w:w="637" w:type="pct"/>
            <w:tcBorders>
              <w:left w:val="single" w:color="auto" w:sz="4" w:space="0"/>
            </w:tcBorders>
            <w:vAlign w:val="center"/>
          </w:tcPr>
          <w:p w14:paraId="61D60849">
            <w:pPr>
              <w:pStyle w:val="208"/>
              <w:adjustRightInd w:val="0"/>
              <w:snapToGrid w:val="0"/>
              <w:rPr>
                <w:rFonts w:hint="eastAsia"/>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c>
          <w:tcPr>
            <w:tcW w:w="634" w:type="pct"/>
            <w:tcBorders>
              <w:right w:val="single" w:color="auto" w:sz="4" w:space="0"/>
            </w:tcBorders>
            <w:vAlign w:val="center"/>
          </w:tcPr>
          <w:p w14:paraId="6B08CF0E">
            <w:pPr>
              <w:pStyle w:val="208"/>
              <w:adjustRightInd w:val="0"/>
              <w:snapToGrid w:val="0"/>
              <w:rPr>
                <w:rFonts w:hint="eastAsia"/>
                <w:color w:val="000000" w:themeColor="text1"/>
                <w:szCs w:val="21"/>
                <w14:textFill>
                  <w14:solidFill>
                    <w14:schemeClr w14:val="tx1"/>
                  </w14:solidFill>
                </w14:textFill>
              </w:rPr>
            </w:pPr>
            <w:r>
              <w:rPr>
                <w:color w:val="000000" w:themeColor="text1"/>
                <w:szCs w:val="21"/>
                <w14:textFill>
                  <w14:solidFill>
                    <w14:schemeClr w14:val="tx1"/>
                  </w14:solidFill>
                </w14:textFill>
              </w:rPr>
              <w:t>8.92</w:t>
            </w:r>
          </w:p>
        </w:tc>
        <w:tc>
          <w:tcPr>
            <w:tcW w:w="635" w:type="pct"/>
            <w:tcBorders>
              <w:left w:val="single" w:color="auto" w:sz="4" w:space="0"/>
            </w:tcBorders>
            <w:vAlign w:val="center"/>
          </w:tcPr>
          <w:p w14:paraId="4BFC3390">
            <w:pPr>
              <w:pStyle w:val="208"/>
              <w:adjustRightInd w:val="0"/>
              <w:snapToGrid w:val="0"/>
              <w:rPr>
                <w:rFonts w:hint="eastAsia"/>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c>
          <w:tcPr>
            <w:tcW w:w="554" w:type="pct"/>
            <w:tcBorders>
              <w:right w:val="single" w:color="auto" w:sz="4" w:space="0"/>
            </w:tcBorders>
            <w:vAlign w:val="center"/>
          </w:tcPr>
          <w:p w14:paraId="2552EF4F">
            <w:pPr>
              <w:pStyle w:val="208"/>
              <w:adjustRightInd w:val="0"/>
              <w:snapToGrid w:val="0"/>
              <w:rPr>
                <w:rFonts w:hint="eastAsia"/>
                <w:color w:val="000000" w:themeColor="text1"/>
                <w:szCs w:val="21"/>
                <w14:textFill>
                  <w14:solidFill>
                    <w14:schemeClr w14:val="tx1"/>
                  </w14:solidFill>
                </w14:textFill>
              </w:rPr>
            </w:pPr>
            <w:r>
              <w:rPr>
                <w:color w:val="000000" w:themeColor="text1"/>
                <w:szCs w:val="21"/>
                <w14:textFill>
                  <w14:solidFill>
                    <w14:schemeClr w14:val="tx1"/>
                  </w14:solidFill>
                </w14:textFill>
              </w:rPr>
              <w:t>8.95</w:t>
            </w:r>
          </w:p>
        </w:tc>
        <w:tc>
          <w:tcPr>
            <w:tcW w:w="635" w:type="pct"/>
            <w:tcBorders>
              <w:left w:val="single" w:color="auto" w:sz="4" w:space="0"/>
            </w:tcBorders>
            <w:vAlign w:val="center"/>
          </w:tcPr>
          <w:p w14:paraId="79B374ED">
            <w:pPr>
              <w:pStyle w:val="208"/>
              <w:adjustRightInd w:val="0"/>
              <w:snapToGrid w:val="0"/>
              <w:rPr>
                <w:rFonts w:hint="eastAsia"/>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c>
          <w:tcPr>
            <w:tcW w:w="420" w:type="pct"/>
            <w:vAlign w:val="center"/>
          </w:tcPr>
          <w:p w14:paraId="74999005">
            <w:pPr>
              <w:pStyle w:val="208"/>
              <w:adjustRightInd w:val="0"/>
              <w:snapToGrid w:val="0"/>
              <w:rPr>
                <w:rFonts w:hint="eastAsia"/>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达标</w:t>
            </w:r>
          </w:p>
        </w:tc>
      </w:tr>
      <w:tr w14:paraId="1572373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4" w:hRule="atLeast"/>
        </w:trPr>
        <w:tc>
          <w:tcPr>
            <w:tcW w:w="378" w:type="pct"/>
            <w:vMerge w:val="continue"/>
            <w:vAlign w:val="center"/>
          </w:tcPr>
          <w:p w14:paraId="551265B3">
            <w:pPr>
              <w:pStyle w:val="208"/>
              <w:adjustRightInd w:val="0"/>
              <w:snapToGrid w:val="0"/>
              <w:spacing w:line="300" w:lineRule="exact"/>
              <w:rPr>
                <w:rFonts w:hint="eastAsia"/>
                <w:color w:val="000000" w:themeColor="text1"/>
                <w:szCs w:val="21"/>
                <w:lang w:val="zh-CN"/>
                <w14:textFill>
                  <w14:solidFill>
                    <w14:schemeClr w14:val="tx1"/>
                  </w14:solidFill>
                </w14:textFill>
              </w:rPr>
            </w:pPr>
          </w:p>
        </w:tc>
        <w:tc>
          <w:tcPr>
            <w:tcW w:w="634" w:type="pct"/>
            <w:vAlign w:val="center"/>
          </w:tcPr>
          <w:p w14:paraId="3DD4752B">
            <w:pPr>
              <w:pStyle w:val="208"/>
              <w:adjustRightInd w:val="0"/>
              <w:snapToGrid w:val="0"/>
              <w:rPr>
                <w:rFonts w:hint="eastAsia"/>
                <w:color w:val="000000" w:themeColor="text1"/>
                <w:szCs w:val="21"/>
                <w14:textFill>
                  <w14:solidFill>
                    <w14:schemeClr w14:val="tx1"/>
                  </w14:solidFill>
                </w14:textFill>
              </w:rPr>
            </w:pPr>
            <w:r>
              <w:rPr>
                <w:rFonts w:hint="eastAsia"/>
                <w:color w:val="000000" w:themeColor="text1"/>
                <w14:textFill>
                  <w14:solidFill>
                    <w14:schemeClr w14:val="tx1"/>
                  </w14:solidFill>
                </w14:textFill>
              </w:rPr>
              <w:t>石油烃</w:t>
            </w:r>
            <w:r>
              <w:rPr>
                <w:color w:val="000000" w:themeColor="text1"/>
                <w14:textFill>
                  <w14:solidFill>
                    <w14:schemeClr w14:val="tx1"/>
                  </w14:solidFill>
                </w14:textFill>
              </w:rPr>
              <w:t>(C</w:t>
            </w:r>
            <w:r>
              <w:rPr>
                <w:color w:val="000000" w:themeColor="text1"/>
                <w:vertAlign w:val="subscript"/>
                <w14:textFill>
                  <w14:solidFill>
                    <w14:schemeClr w14:val="tx1"/>
                  </w14:solidFill>
                </w14:textFill>
              </w:rPr>
              <w:t>10</w:t>
            </w:r>
            <w:r>
              <w:rPr>
                <w:color w:val="000000" w:themeColor="text1"/>
                <w14:textFill>
                  <w14:solidFill>
                    <w14:schemeClr w14:val="tx1"/>
                  </w14:solidFill>
                </w14:textFill>
              </w:rPr>
              <w:t>～C</w:t>
            </w:r>
            <w:r>
              <w:rPr>
                <w:color w:val="000000" w:themeColor="text1"/>
                <w:vertAlign w:val="subscript"/>
                <w14:textFill>
                  <w14:solidFill>
                    <w14:schemeClr w14:val="tx1"/>
                  </w14:solidFill>
                </w14:textFill>
              </w:rPr>
              <w:t>40</w:t>
            </w:r>
            <w:r>
              <w:rPr>
                <w:color w:val="000000" w:themeColor="text1"/>
                <w14:textFill>
                  <w14:solidFill>
                    <w14:schemeClr w14:val="tx1"/>
                  </w14:solidFill>
                </w14:textFill>
              </w:rPr>
              <w:t>)</w:t>
            </w:r>
          </w:p>
        </w:tc>
        <w:tc>
          <w:tcPr>
            <w:tcW w:w="473" w:type="pct"/>
            <w:tcBorders>
              <w:right w:val="single" w:color="auto" w:sz="4" w:space="0"/>
            </w:tcBorders>
            <w:vAlign w:val="center"/>
          </w:tcPr>
          <w:p w14:paraId="1A9FD71A">
            <w:pPr>
              <w:pStyle w:val="208"/>
              <w:adjustRightInd w:val="0"/>
              <w:snapToGrid w:val="0"/>
              <w:rPr>
                <w:rFonts w:hint="eastAsia"/>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w:t>
            </w:r>
            <w:r>
              <w:rPr>
                <w:color w:val="000000" w:themeColor="text1"/>
                <w:szCs w:val="21"/>
                <w14:textFill>
                  <w14:solidFill>
                    <w14:schemeClr w14:val="tx1"/>
                  </w14:solidFill>
                </w14:textFill>
              </w:rPr>
              <w:t>1</w:t>
            </w:r>
          </w:p>
        </w:tc>
        <w:tc>
          <w:tcPr>
            <w:tcW w:w="637" w:type="pct"/>
            <w:tcBorders>
              <w:left w:val="single" w:color="auto" w:sz="4" w:space="0"/>
            </w:tcBorders>
            <w:vAlign w:val="center"/>
          </w:tcPr>
          <w:p w14:paraId="010BCA2E">
            <w:pPr>
              <w:pStyle w:val="208"/>
              <w:adjustRightInd w:val="0"/>
              <w:snapToGrid w:val="0"/>
              <w:rPr>
                <w:rFonts w:hint="eastAsia"/>
                <w:color w:val="000000" w:themeColor="text1"/>
                <w:szCs w:val="21"/>
                <w14:textFill>
                  <w14:solidFill>
                    <w14:schemeClr w14:val="tx1"/>
                  </w14:solidFill>
                </w14:textFill>
              </w:rPr>
            </w:pPr>
            <w:r>
              <w:rPr>
                <w:color w:val="000000" w:themeColor="text1"/>
                <w:szCs w:val="21"/>
                <w14:textFill>
                  <w14:solidFill>
                    <w14:schemeClr w14:val="tx1"/>
                  </w14:solidFill>
                </w14:textFill>
              </w:rPr>
              <w:t>0.0069</w:t>
            </w:r>
          </w:p>
        </w:tc>
        <w:tc>
          <w:tcPr>
            <w:tcW w:w="634" w:type="pct"/>
            <w:tcBorders>
              <w:right w:val="single" w:color="auto" w:sz="4" w:space="0"/>
            </w:tcBorders>
            <w:vAlign w:val="center"/>
          </w:tcPr>
          <w:p w14:paraId="3C57EFFF">
            <w:pPr>
              <w:pStyle w:val="208"/>
              <w:adjustRightInd w:val="0"/>
              <w:snapToGrid w:val="0"/>
              <w:rPr>
                <w:rFonts w:hint="eastAsia"/>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w:t>
            </w:r>
            <w:r>
              <w:rPr>
                <w:color w:val="000000" w:themeColor="text1"/>
                <w:szCs w:val="21"/>
                <w14:textFill>
                  <w14:solidFill>
                    <w14:schemeClr w14:val="tx1"/>
                  </w14:solidFill>
                </w14:textFill>
              </w:rPr>
              <w:t>8</w:t>
            </w:r>
          </w:p>
        </w:tc>
        <w:tc>
          <w:tcPr>
            <w:tcW w:w="635" w:type="pct"/>
            <w:tcBorders>
              <w:left w:val="single" w:color="auto" w:sz="4" w:space="0"/>
            </w:tcBorders>
            <w:vAlign w:val="center"/>
          </w:tcPr>
          <w:p w14:paraId="149EE6B4">
            <w:pPr>
              <w:pStyle w:val="208"/>
              <w:adjustRightInd w:val="0"/>
              <w:snapToGrid w:val="0"/>
              <w:rPr>
                <w:rFonts w:hint="eastAsia"/>
                <w:color w:val="000000" w:themeColor="text1"/>
                <w:szCs w:val="21"/>
                <w14:textFill>
                  <w14:solidFill>
                    <w14:schemeClr w14:val="tx1"/>
                  </w14:solidFill>
                </w14:textFill>
              </w:rPr>
            </w:pPr>
            <w:r>
              <w:rPr>
                <w:color w:val="000000" w:themeColor="text1"/>
                <w:szCs w:val="21"/>
                <w14:textFill>
                  <w14:solidFill>
                    <w14:schemeClr w14:val="tx1"/>
                  </w14:solidFill>
                </w14:textFill>
              </w:rPr>
              <w:t>0.0040</w:t>
            </w:r>
          </w:p>
        </w:tc>
        <w:tc>
          <w:tcPr>
            <w:tcW w:w="554" w:type="pct"/>
            <w:tcBorders>
              <w:right w:val="single" w:color="auto" w:sz="4" w:space="0"/>
            </w:tcBorders>
            <w:vAlign w:val="center"/>
          </w:tcPr>
          <w:p w14:paraId="2F0536E6">
            <w:pPr>
              <w:pStyle w:val="208"/>
              <w:adjustRightInd w:val="0"/>
              <w:snapToGrid w:val="0"/>
              <w:rPr>
                <w:rFonts w:hint="eastAsia"/>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9</w:t>
            </w:r>
          </w:p>
        </w:tc>
        <w:tc>
          <w:tcPr>
            <w:tcW w:w="635" w:type="pct"/>
            <w:tcBorders>
              <w:left w:val="single" w:color="auto" w:sz="4" w:space="0"/>
            </w:tcBorders>
            <w:vAlign w:val="center"/>
          </w:tcPr>
          <w:p w14:paraId="7617CF2C">
            <w:pPr>
              <w:pStyle w:val="208"/>
              <w:adjustRightInd w:val="0"/>
              <w:snapToGrid w:val="0"/>
              <w:rPr>
                <w:rFonts w:hint="eastAsia"/>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0.0020</w:t>
            </w:r>
          </w:p>
        </w:tc>
        <w:tc>
          <w:tcPr>
            <w:tcW w:w="420" w:type="pct"/>
            <w:vAlign w:val="center"/>
          </w:tcPr>
          <w:p w14:paraId="0A73BEFA">
            <w:pPr>
              <w:pStyle w:val="208"/>
              <w:adjustRightInd w:val="0"/>
              <w:snapToGrid w:val="0"/>
              <w:rPr>
                <w:rFonts w:hint="eastAsia"/>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达标</w:t>
            </w:r>
          </w:p>
        </w:tc>
      </w:tr>
      <w:tr w14:paraId="23E53A9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4" w:hRule="atLeast"/>
        </w:trPr>
        <w:tc>
          <w:tcPr>
            <w:tcW w:w="378" w:type="pct"/>
            <w:vMerge w:val="continue"/>
            <w:vAlign w:val="center"/>
          </w:tcPr>
          <w:p w14:paraId="59BC1962">
            <w:pPr>
              <w:pStyle w:val="208"/>
              <w:adjustRightInd w:val="0"/>
              <w:snapToGrid w:val="0"/>
              <w:spacing w:line="300" w:lineRule="exact"/>
              <w:rPr>
                <w:rFonts w:hint="eastAsia"/>
                <w:color w:val="000000" w:themeColor="text1"/>
                <w:szCs w:val="21"/>
                <w:lang w:val="zh-CN"/>
                <w14:textFill>
                  <w14:solidFill>
                    <w14:schemeClr w14:val="tx1"/>
                  </w14:solidFill>
                </w14:textFill>
              </w:rPr>
            </w:pPr>
          </w:p>
        </w:tc>
        <w:tc>
          <w:tcPr>
            <w:tcW w:w="634" w:type="pct"/>
            <w:vAlign w:val="center"/>
          </w:tcPr>
          <w:p w14:paraId="2026A27D">
            <w:pPr>
              <w:pStyle w:val="208"/>
              <w:adjustRightInd w:val="0"/>
              <w:snapToGrid w:val="0"/>
              <w:rPr>
                <w:rFonts w:hint="eastAsia"/>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镉</w:t>
            </w:r>
          </w:p>
        </w:tc>
        <w:tc>
          <w:tcPr>
            <w:tcW w:w="473" w:type="pct"/>
            <w:tcBorders>
              <w:right w:val="single" w:color="auto" w:sz="4" w:space="0"/>
            </w:tcBorders>
            <w:vAlign w:val="center"/>
          </w:tcPr>
          <w:p w14:paraId="05345FBE">
            <w:pPr>
              <w:pStyle w:val="208"/>
              <w:adjustRightInd w:val="0"/>
              <w:snapToGrid w:val="0"/>
              <w:rPr>
                <w:rFonts w:hint="eastAsia"/>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w:t>
            </w:r>
            <w:r>
              <w:rPr>
                <w:color w:val="000000" w:themeColor="text1"/>
                <w:szCs w:val="21"/>
                <w14:textFill>
                  <w14:solidFill>
                    <w14:schemeClr w14:val="tx1"/>
                  </w14:solidFill>
                </w14:textFill>
              </w:rPr>
              <w:t>.04</w:t>
            </w:r>
          </w:p>
        </w:tc>
        <w:tc>
          <w:tcPr>
            <w:tcW w:w="637" w:type="pct"/>
            <w:tcBorders>
              <w:left w:val="single" w:color="auto" w:sz="4" w:space="0"/>
            </w:tcBorders>
            <w:vAlign w:val="center"/>
          </w:tcPr>
          <w:p w14:paraId="4549B6B1">
            <w:pPr>
              <w:pStyle w:val="208"/>
              <w:adjustRightInd w:val="0"/>
              <w:snapToGrid w:val="0"/>
              <w:rPr>
                <w:rFonts w:hint="eastAsia"/>
                <w:color w:val="000000" w:themeColor="text1"/>
                <w:szCs w:val="21"/>
                <w14:textFill>
                  <w14:solidFill>
                    <w14:schemeClr w14:val="tx1"/>
                  </w14:solidFill>
                </w14:textFill>
              </w:rPr>
            </w:pPr>
            <w:r>
              <w:rPr>
                <w:color w:val="000000" w:themeColor="text1"/>
                <w:szCs w:val="21"/>
                <w14:textFill>
                  <w14:solidFill>
                    <w14:schemeClr w14:val="tx1"/>
                  </w14:solidFill>
                </w14:textFill>
              </w:rPr>
              <w:t>0.0006</w:t>
            </w:r>
          </w:p>
        </w:tc>
        <w:tc>
          <w:tcPr>
            <w:tcW w:w="634" w:type="pct"/>
            <w:tcBorders>
              <w:right w:val="single" w:color="auto" w:sz="4" w:space="0"/>
            </w:tcBorders>
            <w:vAlign w:val="center"/>
          </w:tcPr>
          <w:p w14:paraId="37F286C2">
            <w:pPr>
              <w:pStyle w:val="208"/>
              <w:adjustRightInd w:val="0"/>
              <w:snapToGrid w:val="0"/>
              <w:rPr>
                <w:rFonts w:hint="eastAsia"/>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w:t>
            </w:r>
            <w:r>
              <w:rPr>
                <w:color w:val="000000" w:themeColor="text1"/>
                <w:szCs w:val="21"/>
                <w14:textFill>
                  <w14:solidFill>
                    <w14:schemeClr w14:val="tx1"/>
                  </w14:solidFill>
                </w14:textFill>
              </w:rPr>
              <w:t>.04</w:t>
            </w:r>
          </w:p>
        </w:tc>
        <w:tc>
          <w:tcPr>
            <w:tcW w:w="635" w:type="pct"/>
            <w:tcBorders>
              <w:left w:val="single" w:color="auto" w:sz="4" w:space="0"/>
            </w:tcBorders>
            <w:vAlign w:val="center"/>
          </w:tcPr>
          <w:p w14:paraId="6E288DE0">
            <w:pPr>
              <w:pStyle w:val="208"/>
              <w:adjustRightInd w:val="0"/>
              <w:snapToGrid w:val="0"/>
              <w:rPr>
                <w:rFonts w:hint="eastAsia"/>
                <w:color w:val="000000" w:themeColor="text1"/>
                <w:szCs w:val="21"/>
                <w14:textFill>
                  <w14:solidFill>
                    <w14:schemeClr w14:val="tx1"/>
                  </w14:solidFill>
                </w14:textFill>
              </w:rPr>
            </w:pPr>
            <w:r>
              <w:rPr>
                <w:color w:val="000000" w:themeColor="text1"/>
                <w:szCs w:val="21"/>
                <w14:textFill>
                  <w14:solidFill>
                    <w14:schemeClr w14:val="tx1"/>
                  </w14:solidFill>
                </w14:textFill>
              </w:rPr>
              <w:t>0.0006</w:t>
            </w:r>
          </w:p>
        </w:tc>
        <w:tc>
          <w:tcPr>
            <w:tcW w:w="554" w:type="pct"/>
            <w:tcBorders>
              <w:right w:val="single" w:color="auto" w:sz="4" w:space="0"/>
            </w:tcBorders>
            <w:vAlign w:val="center"/>
          </w:tcPr>
          <w:p w14:paraId="24D7BC91">
            <w:pPr>
              <w:pStyle w:val="208"/>
              <w:adjustRightInd w:val="0"/>
              <w:snapToGrid w:val="0"/>
              <w:rPr>
                <w:rFonts w:hint="eastAsia"/>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w:t>
            </w:r>
            <w:r>
              <w:rPr>
                <w:color w:val="000000" w:themeColor="text1"/>
                <w:szCs w:val="21"/>
                <w14:textFill>
                  <w14:solidFill>
                    <w14:schemeClr w14:val="tx1"/>
                  </w14:solidFill>
                </w14:textFill>
              </w:rPr>
              <w:t>.05</w:t>
            </w:r>
          </w:p>
        </w:tc>
        <w:tc>
          <w:tcPr>
            <w:tcW w:w="635" w:type="pct"/>
            <w:tcBorders>
              <w:left w:val="single" w:color="auto" w:sz="4" w:space="0"/>
            </w:tcBorders>
            <w:vAlign w:val="center"/>
          </w:tcPr>
          <w:p w14:paraId="0369D9A0">
            <w:pPr>
              <w:pStyle w:val="208"/>
              <w:adjustRightInd w:val="0"/>
              <w:snapToGrid w:val="0"/>
              <w:rPr>
                <w:rFonts w:hint="eastAsia"/>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0.0008</w:t>
            </w:r>
          </w:p>
        </w:tc>
        <w:tc>
          <w:tcPr>
            <w:tcW w:w="420" w:type="pct"/>
            <w:vAlign w:val="center"/>
          </w:tcPr>
          <w:p w14:paraId="0ECE8587">
            <w:pPr>
              <w:pStyle w:val="208"/>
              <w:adjustRightInd w:val="0"/>
              <w:snapToGrid w:val="0"/>
              <w:rPr>
                <w:rFonts w:hint="eastAsia"/>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达标</w:t>
            </w:r>
          </w:p>
        </w:tc>
      </w:tr>
      <w:tr w14:paraId="5FB0A4F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4" w:hRule="atLeast"/>
        </w:trPr>
        <w:tc>
          <w:tcPr>
            <w:tcW w:w="378" w:type="pct"/>
            <w:vMerge w:val="continue"/>
            <w:vAlign w:val="center"/>
          </w:tcPr>
          <w:p w14:paraId="2C04EB86">
            <w:pPr>
              <w:pStyle w:val="208"/>
              <w:adjustRightInd w:val="0"/>
              <w:snapToGrid w:val="0"/>
              <w:spacing w:line="300" w:lineRule="exact"/>
              <w:rPr>
                <w:rFonts w:hint="eastAsia"/>
                <w:color w:val="000000" w:themeColor="text1"/>
                <w:szCs w:val="21"/>
                <w:lang w:val="zh-CN"/>
                <w14:textFill>
                  <w14:solidFill>
                    <w14:schemeClr w14:val="tx1"/>
                  </w14:solidFill>
                </w14:textFill>
              </w:rPr>
            </w:pPr>
          </w:p>
        </w:tc>
        <w:tc>
          <w:tcPr>
            <w:tcW w:w="634" w:type="pct"/>
            <w:vAlign w:val="center"/>
          </w:tcPr>
          <w:p w14:paraId="53CC5084">
            <w:pPr>
              <w:pStyle w:val="208"/>
              <w:adjustRightInd w:val="0"/>
              <w:snapToGrid w:val="0"/>
              <w:rPr>
                <w:rFonts w:hint="eastAsia"/>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镍</w:t>
            </w:r>
          </w:p>
        </w:tc>
        <w:tc>
          <w:tcPr>
            <w:tcW w:w="473" w:type="pct"/>
            <w:tcBorders>
              <w:right w:val="single" w:color="auto" w:sz="4" w:space="0"/>
            </w:tcBorders>
            <w:vAlign w:val="center"/>
          </w:tcPr>
          <w:p w14:paraId="6039B3D0">
            <w:pPr>
              <w:pStyle w:val="208"/>
              <w:adjustRightInd w:val="0"/>
              <w:snapToGrid w:val="0"/>
              <w:rPr>
                <w:rFonts w:hint="eastAsia"/>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w:t>
            </w:r>
            <w:r>
              <w:rPr>
                <w:color w:val="000000" w:themeColor="text1"/>
                <w:szCs w:val="21"/>
                <w14:textFill>
                  <w14:solidFill>
                    <w14:schemeClr w14:val="tx1"/>
                  </w14:solidFill>
                </w14:textFill>
              </w:rPr>
              <w:t>4</w:t>
            </w:r>
          </w:p>
        </w:tc>
        <w:tc>
          <w:tcPr>
            <w:tcW w:w="637" w:type="pct"/>
            <w:tcBorders>
              <w:left w:val="single" w:color="auto" w:sz="4" w:space="0"/>
            </w:tcBorders>
            <w:vAlign w:val="center"/>
          </w:tcPr>
          <w:p w14:paraId="20B426EE">
            <w:pPr>
              <w:pStyle w:val="208"/>
              <w:adjustRightInd w:val="0"/>
              <w:snapToGrid w:val="0"/>
              <w:rPr>
                <w:rFonts w:hint="eastAsia"/>
                <w:color w:val="000000" w:themeColor="text1"/>
                <w:szCs w:val="21"/>
                <w14:textFill>
                  <w14:solidFill>
                    <w14:schemeClr w14:val="tx1"/>
                  </w14:solidFill>
                </w14:textFill>
              </w:rPr>
            </w:pPr>
            <w:r>
              <w:rPr>
                <w:color w:val="000000" w:themeColor="text1"/>
                <w:szCs w:val="21"/>
                <w14:textFill>
                  <w14:solidFill>
                    <w14:schemeClr w14:val="tx1"/>
                  </w14:solidFill>
                </w14:textFill>
              </w:rPr>
              <w:t>0.0156</w:t>
            </w:r>
          </w:p>
        </w:tc>
        <w:tc>
          <w:tcPr>
            <w:tcW w:w="634" w:type="pct"/>
            <w:tcBorders>
              <w:right w:val="single" w:color="auto" w:sz="4" w:space="0"/>
            </w:tcBorders>
            <w:vAlign w:val="center"/>
          </w:tcPr>
          <w:p w14:paraId="3A462F4F">
            <w:pPr>
              <w:pStyle w:val="208"/>
              <w:adjustRightInd w:val="0"/>
              <w:snapToGrid w:val="0"/>
              <w:rPr>
                <w:rFonts w:hint="eastAsia"/>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w:t>
            </w:r>
            <w:r>
              <w:rPr>
                <w:color w:val="000000" w:themeColor="text1"/>
                <w:szCs w:val="21"/>
                <w14:textFill>
                  <w14:solidFill>
                    <w14:schemeClr w14:val="tx1"/>
                  </w14:solidFill>
                </w14:textFill>
              </w:rPr>
              <w:t>5</w:t>
            </w:r>
          </w:p>
        </w:tc>
        <w:tc>
          <w:tcPr>
            <w:tcW w:w="635" w:type="pct"/>
            <w:tcBorders>
              <w:left w:val="single" w:color="auto" w:sz="4" w:space="0"/>
            </w:tcBorders>
            <w:vAlign w:val="center"/>
          </w:tcPr>
          <w:p w14:paraId="3191C20A">
            <w:pPr>
              <w:pStyle w:val="208"/>
              <w:adjustRightInd w:val="0"/>
              <w:snapToGrid w:val="0"/>
              <w:rPr>
                <w:rFonts w:hint="eastAsia"/>
                <w:color w:val="000000" w:themeColor="text1"/>
                <w:szCs w:val="21"/>
                <w14:textFill>
                  <w14:solidFill>
                    <w14:schemeClr w14:val="tx1"/>
                  </w14:solidFill>
                </w14:textFill>
              </w:rPr>
            </w:pPr>
            <w:r>
              <w:rPr>
                <w:color w:val="000000" w:themeColor="text1"/>
                <w:szCs w:val="21"/>
                <w14:textFill>
                  <w14:solidFill>
                    <w14:schemeClr w14:val="tx1"/>
                  </w14:solidFill>
                </w14:textFill>
              </w:rPr>
              <w:t>0.0167</w:t>
            </w:r>
          </w:p>
        </w:tc>
        <w:tc>
          <w:tcPr>
            <w:tcW w:w="554" w:type="pct"/>
            <w:tcBorders>
              <w:right w:val="single" w:color="auto" w:sz="4" w:space="0"/>
            </w:tcBorders>
            <w:vAlign w:val="center"/>
          </w:tcPr>
          <w:p w14:paraId="3FCDD964">
            <w:pPr>
              <w:pStyle w:val="208"/>
              <w:adjustRightInd w:val="0"/>
              <w:snapToGrid w:val="0"/>
              <w:rPr>
                <w:rFonts w:hint="eastAsia"/>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w:t>
            </w:r>
            <w:r>
              <w:rPr>
                <w:color w:val="000000" w:themeColor="text1"/>
                <w:szCs w:val="21"/>
                <w14:textFill>
                  <w14:solidFill>
                    <w14:schemeClr w14:val="tx1"/>
                  </w14:solidFill>
                </w14:textFill>
              </w:rPr>
              <w:t>4</w:t>
            </w:r>
          </w:p>
        </w:tc>
        <w:tc>
          <w:tcPr>
            <w:tcW w:w="635" w:type="pct"/>
            <w:tcBorders>
              <w:left w:val="single" w:color="auto" w:sz="4" w:space="0"/>
            </w:tcBorders>
            <w:vAlign w:val="center"/>
          </w:tcPr>
          <w:p w14:paraId="5719B069">
            <w:pPr>
              <w:pStyle w:val="208"/>
              <w:adjustRightInd w:val="0"/>
              <w:snapToGrid w:val="0"/>
              <w:rPr>
                <w:rFonts w:hint="eastAsia"/>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0.0156</w:t>
            </w:r>
          </w:p>
        </w:tc>
        <w:tc>
          <w:tcPr>
            <w:tcW w:w="420" w:type="pct"/>
            <w:vAlign w:val="center"/>
          </w:tcPr>
          <w:p w14:paraId="0F91993E">
            <w:pPr>
              <w:pStyle w:val="208"/>
              <w:adjustRightInd w:val="0"/>
              <w:snapToGrid w:val="0"/>
              <w:rPr>
                <w:rFonts w:hint="eastAsia"/>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达标</w:t>
            </w:r>
          </w:p>
        </w:tc>
      </w:tr>
      <w:tr w14:paraId="3FBC075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4" w:hRule="atLeast"/>
        </w:trPr>
        <w:tc>
          <w:tcPr>
            <w:tcW w:w="378" w:type="pct"/>
            <w:vMerge w:val="continue"/>
            <w:vAlign w:val="center"/>
          </w:tcPr>
          <w:p w14:paraId="16B619A3">
            <w:pPr>
              <w:pStyle w:val="208"/>
              <w:adjustRightInd w:val="0"/>
              <w:snapToGrid w:val="0"/>
              <w:spacing w:line="300" w:lineRule="exact"/>
              <w:rPr>
                <w:rFonts w:hint="eastAsia"/>
                <w:color w:val="000000" w:themeColor="text1"/>
                <w:szCs w:val="21"/>
                <w:lang w:val="zh-CN"/>
                <w14:textFill>
                  <w14:solidFill>
                    <w14:schemeClr w14:val="tx1"/>
                  </w14:solidFill>
                </w14:textFill>
              </w:rPr>
            </w:pPr>
          </w:p>
        </w:tc>
        <w:tc>
          <w:tcPr>
            <w:tcW w:w="634" w:type="pct"/>
            <w:vAlign w:val="center"/>
          </w:tcPr>
          <w:p w14:paraId="63023DA2">
            <w:pPr>
              <w:pStyle w:val="208"/>
              <w:adjustRightInd w:val="0"/>
              <w:snapToGrid w:val="0"/>
              <w:rPr>
                <w:rFonts w:hint="eastAsia"/>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铬</w:t>
            </w:r>
          </w:p>
        </w:tc>
        <w:tc>
          <w:tcPr>
            <w:tcW w:w="473" w:type="pct"/>
            <w:tcBorders>
              <w:right w:val="single" w:color="auto" w:sz="4" w:space="0"/>
            </w:tcBorders>
            <w:vAlign w:val="center"/>
          </w:tcPr>
          <w:p w14:paraId="68034B43">
            <w:pPr>
              <w:pStyle w:val="208"/>
              <w:adjustRightInd w:val="0"/>
              <w:snapToGrid w:val="0"/>
              <w:rPr>
                <w:rFonts w:hint="eastAsia"/>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w:t>
            </w:r>
            <w:r>
              <w:rPr>
                <w:color w:val="000000" w:themeColor="text1"/>
                <w:szCs w:val="21"/>
                <w14:textFill>
                  <w14:solidFill>
                    <w14:schemeClr w14:val="tx1"/>
                  </w14:solidFill>
                </w14:textFill>
              </w:rPr>
              <w:t>.5L</w:t>
            </w:r>
          </w:p>
        </w:tc>
        <w:tc>
          <w:tcPr>
            <w:tcW w:w="637" w:type="pct"/>
            <w:tcBorders>
              <w:left w:val="single" w:color="auto" w:sz="4" w:space="0"/>
            </w:tcBorders>
            <w:vAlign w:val="center"/>
          </w:tcPr>
          <w:p w14:paraId="616B3A41">
            <w:pPr>
              <w:pStyle w:val="208"/>
              <w:adjustRightInd w:val="0"/>
              <w:snapToGrid w:val="0"/>
              <w:rPr>
                <w:rFonts w:hint="eastAsia"/>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c>
          <w:tcPr>
            <w:tcW w:w="634" w:type="pct"/>
            <w:tcBorders>
              <w:right w:val="single" w:color="auto" w:sz="4" w:space="0"/>
            </w:tcBorders>
            <w:vAlign w:val="center"/>
          </w:tcPr>
          <w:p w14:paraId="69A6C58C">
            <w:pPr>
              <w:pStyle w:val="208"/>
              <w:adjustRightInd w:val="0"/>
              <w:snapToGrid w:val="0"/>
              <w:rPr>
                <w:rFonts w:hint="eastAsia"/>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w:t>
            </w:r>
            <w:r>
              <w:rPr>
                <w:color w:val="000000" w:themeColor="text1"/>
                <w:szCs w:val="21"/>
                <w14:textFill>
                  <w14:solidFill>
                    <w14:schemeClr w14:val="tx1"/>
                  </w14:solidFill>
                </w14:textFill>
              </w:rPr>
              <w:t>.5L</w:t>
            </w:r>
          </w:p>
        </w:tc>
        <w:tc>
          <w:tcPr>
            <w:tcW w:w="635" w:type="pct"/>
            <w:tcBorders>
              <w:left w:val="single" w:color="auto" w:sz="4" w:space="0"/>
            </w:tcBorders>
            <w:vAlign w:val="center"/>
          </w:tcPr>
          <w:p w14:paraId="3DF58851">
            <w:pPr>
              <w:pStyle w:val="208"/>
              <w:adjustRightInd w:val="0"/>
              <w:snapToGrid w:val="0"/>
              <w:rPr>
                <w:rFonts w:hint="eastAsia"/>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c>
          <w:tcPr>
            <w:tcW w:w="554" w:type="pct"/>
            <w:tcBorders>
              <w:right w:val="single" w:color="auto" w:sz="4" w:space="0"/>
            </w:tcBorders>
            <w:vAlign w:val="center"/>
          </w:tcPr>
          <w:p w14:paraId="0F7B59F4">
            <w:pPr>
              <w:pStyle w:val="208"/>
              <w:adjustRightInd w:val="0"/>
              <w:snapToGrid w:val="0"/>
              <w:rPr>
                <w:rFonts w:hint="eastAsia"/>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w:t>
            </w:r>
            <w:r>
              <w:rPr>
                <w:color w:val="000000" w:themeColor="text1"/>
                <w:szCs w:val="21"/>
                <w14:textFill>
                  <w14:solidFill>
                    <w14:schemeClr w14:val="tx1"/>
                  </w14:solidFill>
                </w14:textFill>
              </w:rPr>
              <w:t>.5L</w:t>
            </w:r>
          </w:p>
        </w:tc>
        <w:tc>
          <w:tcPr>
            <w:tcW w:w="635" w:type="pct"/>
            <w:tcBorders>
              <w:left w:val="single" w:color="auto" w:sz="4" w:space="0"/>
            </w:tcBorders>
            <w:vAlign w:val="center"/>
          </w:tcPr>
          <w:p w14:paraId="0A36A6E8">
            <w:pPr>
              <w:pStyle w:val="208"/>
              <w:adjustRightInd w:val="0"/>
              <w:snapToGrid w:val="0"/>
              <w:rPr>
                <w:rFonts w:hint="eastAsia"/>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c>
          <w:tcPr>
            <w:tcW w:w="420" w:type="pct"/>
            <w:vAlign w:val="center"/>
          </w:tcPr>
          <w:p w14:paraId="6DADCDC6">
            <w:pPr>
              <w:pStyle w:val="208"/>
              <w:adjustRightInd w:val="0"/>
              <w:snapToGrid w:val="0"/>
              <w:rPr>
                <w:rFonts w:hint="eastAsia"/>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达标</w:t>
            </w:r>
          </w:p>
        </w:tc>
      </w:tr>
      <w:tr w14:paraId="2AE8EF0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4" w:hRule="atLeast"/>
        </w:trPr>
        <w:tc>
          <w:tcPr>
            <w:tcW w:w="378" w:type="pct"/>
            <w:vMerge w:val="continue"/>
            <w:vAlign w:val="center"/>
          </w:tcPr>
          <w:p w14:paraId="2B714E92">
            <w:pPr>
              <w:pStyle w:val="208"/>
              <w:adjustRightInd w:val="0"/>
              <w:snapToGrid w:val="0"/>
              <w:spacing w:line="300" w:lineRule="exact"/>
              <w:rPr>
                <w:rFonts w:hint="eastAsia"/>
                <w:color w:val="000000" w:themeColor="text1"/>
                <w:szCs w:val="21"/>
                <w:lang w:val="zh-CN"/>
                <w14:textFill>
                  <w14:solidFill>
                    <w14:schemeClr w14:val="tx1"/>
                  </w14:solidFill>
                </w14:textFill>
              </w:rPr>
            </w:pPr>
          </w:p>
        </w:tc>
        <w:tc>
          <w:tcPr>
            <w:tcW w:w="634" w:type="pct"/>
            <w:vAlign w:val="center"/>
          </w:tcPr>
          <w:p w14:paraId="34E00DF5">
            <w:pPr>
              <w:pStyle w:val="208"/>
              <w:adjustRightInd w:val="0"/>
              <w:snapToGrid w:val="0"/>
              <w:spacing w:line="300" w:lineRule="exact"/>
              <w:rPr>
                <w:rFonts w:hint="eastAsia"/>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铜</w:t>
            </w:r>
          </w:p>
        </w:tc>
        <w:tc>
          <w:tcPr>
            <w:tcW w:w="473" w:type="pct"/>
            <w:tcBorders>
              <w:right w:val="single" w:color="auto" w:sz="4" w:space="0"/>
            </w:tcBorders>
            <w:vAlign w:val="center"/>
          </w:tcPr>
          <w:p w14:paraId="12843E75">
            <w:pPr>
              <w:pStyle w:val="208"/>
              <w:adjustRightInd w:val="0"/>
              <w:snapToGrid w:val="0"/>
              <w:spacing w:line="300" w:lineRule="exact"/>
              <w:rPr>
                <w:rFonts w:hint="eastAsia"/>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w:t>
            </w:r>
            <w:r>
              <w:rPr>
                <w:color w:val="000000" w:themeColor="text1"/>
                <w:szCs w:val="21"/>
                <w14:textFill>
                  <w14:solidFill>
                    <w14:schemeClr w14:val="tx1"/>
                  </w14:solidFill>
                </w14:textFill>
              </w:rPr>
              <w:t>5</w:t>
            </w:r>
          </w:p>
        </w:tc>
        <w:tc>
          <w:tcPr>
            <w:tcW w:w="637" w:type="pct"/>
            <w:tcBorders>
              <w:left w:val="single" w:color="auto" w:sz="4" w:space="0"/>
            </w:tcBorders>
            <w:vAlign w:val="center"/>
          </w:tcPr>
          <w:p w14:paraId="765CC8CC">
            <w:pPr>
              <w:pStyle w:val="208"/>
              <w:adjustRightInd w:val="0"/>
              <w:snapToGrid w:val="0"/>
              <w:spacing w:line="300" w:lineRule="exact"/>
              <w:rPr>
                <w:rFonts w:hint="eastAsia"/>
                <w:color w:val="000000" w:themeColor="text1"/>
                <w:szCs w:val="21"/>
                <w14:textFill>
                  <w14:solidFill>
                    <w14:schemeClr w14:val="tx1"/>
                  </w14:solidFill>
                </w14:textFill>
              </w:rPr>
            </w:pPr>
            <w:r>
              <w:rPr>
                <w:color w:val="000000" w:themeColor="text1"/>
                <w:szCs w:val="21"/>
                <w14:textFill>
                  <w14:solidFill>
                    <w14:schemeClr w14:val="tx1"/>
                  </w14:solidFill>
                </w14:textFill>
              </w:rPr>
              <w:t>0.0014</w:t>
            </w:r>
          </w:p>
        </w:tc>
        <w:tc>
          <w:tcPr>
            <w:tcW w:w="634" w:type="pct"/>
            <w:tcBorders>
              <w:right w:val="single" w:color="auto" w:sz="4" w:space="0"/>
            </w:tcBorders>
            <w:vAlign w:val="center"/>
          </w:tcPr>
          <w:p w14:paraId="60902016">
            <w:pPr>
              <w:pStyle w:val="208"/>
              <w:adjustRightInd w:val="0"/>
              <w:snapToGrid w:val="0"/>
              <w:spacing w:line="300" w:lineRule="exact"/>
              <w:rPr>
                <w:rFonts w:hint="eastAsia"/>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w:t>
            </w:r>
            <w:r>
              <w:rPr>
                <w:color w:val="000000" w:themeColor="text1"/>
                <w:szCs w:val="21"/>
                <w14:textFill>
                  <w14:solidFill>
                    <w14:schemeClr w14:val="tx1"/>
                  </w14:solidFill>
                </w14:textFill>
              </w:rPr>
              <w:t>5</w:t>
            </w:r>
          </w:p>
        </w:tc>
        <w:tc>
          <w:tcPr>
            <w:tcW w:w="635" w:type="pct"/>
            <w:tcBorders>
              <w:left w:val="single" w:color="auto" w:sz="4" w:space="0"/>
            </w:tcBorders>
            <w:vAlign w:val="center"/>
          </w:tcPr>
          <w:p w14:paraId="142BCE14">
            <w:pPr>
              <w:pStyle w:val="208"/>
              <w:adjustRightInd w:val="0"/>
              <w:snapToGrid w:val="0"/>
              <w:spacing w:line="300" w:lineRule="exact"/>
              <w:rPr>
                <w:rFonts w:hint="eastAsia"/>
                <w:color w:val="000000" w:themeColor="text1"/>
                <w:szCs w:val="21"/>
                <w14:textFill>
                  <w14:solidFill>
                    <w14:schemeClr w14:val="tx1"/>
                  </w14:solidFill>
                </w14:textFill>
              </w:rPr>
            </w:pPr>
            <w:r>
              <w:rPr>
                <w:color w:val="000000" w:themeColor="text1"/>
                <w:szCs w:val="21"/>
                <w14:textFill>
                  <w14:solidFill>
                    <w14:schemeClr w14:val="tx1"/>
                  </w14:solidFill>
                </w14:textFill>
              </w:rPr>
              <w:t>0.0014</w:t>
            </w:r>
          </w:p>
        </w:tc>
        <w:tc>
          <w:tcPr>
            <w:tcW w:w="554" w:type="pct"/>
            <w:tcBorders>
              <w:right w:val="single" w:color="auto" w:sz="4" w:space="0"/>
            </w:tcBorders>
            <w:vAlign w:val="center"/>
          </w:tcPr>
          <w:p w14:paraId="6F8D7FD3">
            <w:pPr>
              <w:pStyle w:val="208"/>
              <w:adjustRightInd w:val="0"/>
              <w:snapToGrid w:val="0"/>
              <w:spacing w:line="300" w:lineRule="exact"/>
              <w:rPr>
                <w:rFonts w:hint="eastAsia"/>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w:t>
            </w:r>
            <w:r>
              <w:rPr>
                <w:color w:val="000000" w:themeColor="text1"/>
                <w:szCs w:val="21"/>
                <w14:textFill>
                  <w14:solidFill>
                    <w14:schemeClr w14:val="tx1"/>
                  </w14:solidFill>
                </w14:textFill>
              </w:rPr>
              <w:t>5</w:t>
            </w:r>
          </w:p>
        </w:tc>
        <w:tc>
          <w:tcPr>
            <w:tcW w:w="635" w:type="pct"/>
            <w:tcBorders>
              <w:left w:val="single" w:color="auto" w:sz="4" w:space="0"/>
            </w:tcBorders>
            <w:vAlign w:val="center"/>
          </w:tcPr>
          <w:p w14:paraId="226DA216">
            <w:pPr>
              <w:pStyle w:val="208"/>
              <w:adjustRightInd w:val="0"/>
              <w:snapToGrid w:val="0"/>
              <w:spacing w:line="300" w:lineRule="exact"/>
              <w:rPr>
                <w:rFonts w:hint="eastAsia"/>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0.0014</w:t>
            </w:r>
          </w:p>
        </w:tc>
        <w:tc>
          <w:tcPr>
            <w:tcW w:w="420" w:type="pct"/>
            <w:vAlign w:val="center"/>
          </w:tcPr>
          <w:p w14:paraId="62EFF723">
            <w:pPr>
              <w:pStyle w:val="208"/>
              <w:adjustRightInd w:val="0"/>
              <w:snapToGrid w:val="0"/>
              <w:spacing w:line="300" w:lineRule="exact"/>
              <w:rPr>
                <w:rFonts w:hint="eastAsia"/>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达标</w:t>
            </w:r>
          </w:p>
        </w:tc>
      </w:tr>
      <w:tr w14:paraId="47DE735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4" w:hRule="atLeast"/>
        </w:trPr>
        <w:tc>
          <w:tcPr>
            <w:tcW w:w="378" w:type="pct"/>
            <w:vMerge w:val="continue"/>
            <w:vAlign w:val="center"/>
          </w:tcPr>
          <w:p w14:paraId="4527B0CC">
            <w:pPr>
              <w:pStyle w:val="208"/>
              <w:adjustRightInd w:val="0"/>
              <w:snapToGrid w:val="0"/>
              <w:spacing w:line="300" w:lineRule="exact"/>
              <w:rPr>
                <w:rFonts w:hint="eastAsia"/>
                <w:color w:val="000000" w:themeColor="text1"/>
                <w:szCs w:val="21"/>
                <w:lang w:val="zh-CN"/>
                <w14:textFill>
                  <w14:solidFill>
                    <w14:schemeClr w14:val="tx1"/>
                  </w14:solidFill>
                </w14:textFill>
              </w:rPr>
            </w:pPr>
          </w:p>
        </w:tc>
        <w:tc>
          <w:tcPr>
            <w:tcW w:w="634" w:type="pct"/>
            <w:vAlign w:val="center"/>
          </w:tcPr>
          <w:p w14:paraId="1EB64B3E">
            <w:pPr>
              <w:pStyle w:val="208"/>
              <w:adjustRightInd w:val="0"/>
              <w:snapToGrid w:val="0"/>
              <w:spacing w:line="300" w:lineRule="exact"/>
              <w:rPr>
                <w:rFonts w:hint="eastAsia"/>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铅</w:t>
            </w:r>
          </w:p>
        </w:tc>
        <w:tc>
          <w:tcPr>
            <w:tcW w:w="473" w:type="pct"/>
            <w:tcBorders>
              <w:right w:val="single" w:color="auto" w:sz="4" w:space="0"/>
            </w:tcBorders>
            <w:vAlign w:val="center"/>
          </w:tcPr>
          <w:p w14:paraId="527147CA">
            <w:pPr>
              <w:pStyle w:val="208"/>
              <w:adjustRightInd w:val="0"/>
              <w:snapToGrid w:val="0"/>
              <w:spacing w:line="300" w:lineRule="exact"/>
              <w:rPr>
                <w:rFonts w:hint="eastAsia"/>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w:t>
            </w:r>
            <w:r>
              <w:rPr>
                <w:color w:val="000000" w:themeColor="text1"/>
                <w:szCs w:val="21"/>
                <w14:textFill>
                  <w14:solidFill>
                    <w14:schemeClr w14:val="tx1"/>
                  </w14:solidFill>
                </w14:textFill>
              </w:rPr>
              <w:t>7</w:t>
            </w:r>
          </w:p>
        </w:tc>
        <w:tc>
          <w:tcPr>
            <w:tcW w:w="637" w:type="pct"/>
            <w:tcBorders>
              <w:left w:val="single" w:color="auto" w:sz="4" w:space="0"/>
            </w:tcBorders>
            <w:vAlign w:val="center"/>
          </w:tcPr>
          <w:p w14:paraId="5EDBE80C">
            <w:pPr>
              <w:pStyle w:val="208"/>
              <w:adjustRightInd w:val="0"/>
              <w:snapToGrid w:val="0"/>
              <w:spacing w:line="300" w:lineRule="exact"/>
              <w:rPr>
                <w:rFonts w:hint="eastAsia"/>
                <w:color w:val="000000" w:themeColor="text1"/>
                <w:szCs w:val="21"/>
                <w14:textFill>
                  <w14:solidFill>
                    <w14:schemeClr w14:val="tx1"/>
                  </w14:solidFill>
                </w14:textFill>
              </w:rPr>
            </w:pPr>
            <w:r>
              <w:rPr>
                <w:color w:val="000000" w:themeColor="text1"/>
                <w:szCs w:val="21"/>
                <w14:textFill>
                  <w14:solidFill>
                    <w14:schemeClr w14:val="tx1"/>
                  </w14:solidFill>
                </w14:textFill>
              </w:rPr>
              <w:t>0.0463</w:t>
            </w:r>
          </w:p>
        </w:tc>
        <w:tc>
          <w:tcPr>
            <w:tcW w:w="634" w:type="pct"/>
            <w:tcBorders>
              <w:right w:val="single" w:color="auto" w:sz="4" w:space="0"/>
            </w:tcBorders>
            <w:vAlign w:val="center"/>
          </w:tcPr>
          <w:p w14:paraId="35620221">
            <w:pPr>
              <w:pStyle w:val="208"/>
              <w:adjustRightInd w:val="0"/>
              <w:snapToGrid w:val="0"/>
              <w:spacing w:line="300" w:lineRule="exact"/>
              <w:rPr>
                <w:rFonts w:hint="eastAsia"/>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w:t>
            </w:r>
            <w:r>
              <w:rPr>
                <w:color w:val="000000" w:themeColor="text1"/>
                <w:szCs w:val="21"/>
                <w14:textFill>
                  <w14:solidFill>
                    <w14:schemeClr w14:val="tx1"/>
                  </w14:solidFill>
                </w14:textFill>
              </w:rPr>
              <w:t>4</w:t>
            </w:r>
          </w:p>
        </w:tc>
        <w:tc>
          <w:tcPr>
            <w:tcW w:w="635" w:type="pct"/>
            <w:tcBorders>
              <w:left w:val="single" w:color="auto" w:sz="4" w:space="0"/>
            </w:tcBorders>
            <w:vAlign w:val="center"/>
          </w:tcPr>
          <w:p w14:paraId="0BF889CD">
            <w:pPr>
              <w:pStyle w:val="208"/>
              <w:adjustRightInd w:val="0"/>
              <w:snapToGrid w:val="0"/>
              <w:spacing w:line="300" w:lineRule="exact"/>
              <w:rPr>
                <w:rFonts w:hint="eastAsia"/>
                <w:color w:val="000000" w:themeColor="text1"/>
                <w:szCs w:val="21"/>
                <w14:textFill>
                  <w14:solidFill>
                    <w14:schemeClr w14:val="tx1"/>
                  </w14:solidFill>
                </w14:textFill>
              </w:rPr>
            </w:pPr>
            <w:r>
              <w:rPr>
                <w:color w:val="000000" w:themeColor="text1"/>
                <w:szCs w:val="21"/>
                <w14:textFill>
                  <w14:solidFill>
                    <w14:schemeClr w14:val="tx1"/>
                  </w14:solidFill>
                </w14:textFill>
              </w:rPr>
              <w:t>0.0425</w:t>
            </w:r>
          </w:p>
        </w:tc>
        <w:tc>
          <w:tcPr>
            <w:tcW w:w="554" w:type="pct"/>
            <w:tcBorders>
              <w:right w:val="single" w:color="auto" w:sz="4" w:space="0"/>
            </w:tcBorders>
            <w:vAlign w:val="center"/>
          </w:tcPr>
          <w:p w14:paraId="58CB40D5">
            <w:pPr>
              <w:pStyle w:val="208"/>
              <w:adjustRightInd w:val="0"/>
              <w:snapToGrid w:val="0"/>
              <w:spacing w:line="300" w:lineRule="exact"/>
              <w:rPr>
                <w:rFonts w:hint="eastAsia"/>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w:t>
            </w:r>
            <w:r>
              <w:rPr>
                <w:color w:val="000000" w:themeColor="text1"/>
                <w:szCs w:val="21"/>
                <w14:textFill>
                  <w14:solidFill>
                    <w14:schemeClr w14:val="tx1"/>
                  </w14:solidFill>
                </w14:textFill>
              </w:rPr>
              <w:t>7</w:t>
            </w:r>
          </w:p>
        </w:tc>
        <w:tc>
          <w:tcPr>
            <w:tcW w:w="635" w:type="pct"/>
            <w:tcBorders>
              <w:left w:val="single" w:color="auto" w:sz="4" w:space="0"/>
            </w:tcBorders>
            <w:vAlign w:val="center"/>
          </w:tcPr>
          <w:p w14:paraId="08831089">
            <w:pPr>
              <w:pStyle w:val="208"/>
              <w:adjustRightInd w:val="0"/>
              <w:snapToGrid w:val="0"/>
              <w:spacing w:line="300" w:lineRule="exact"/>
              <w:rPr>
                <w:rFonts w:hint="eastAsia"/>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0.0463</w:t>
            </w:r>
          </w:p>
        </w:tc>
        <w:tc>
          <w:tcPr>
            <w:tcW w:w="420" w:type="pct"/>
            <w:vAlign w:val="center"/>
          </w:tcPr>
          <w:p w14:paraId="271E137D">
            <w:pPr>
              <w:pStyle w:val="208"/>
              <w:adjustRightInd w:val="0"/>
              <w:snapToGrid w:val="0"/>
              <w:spacing w:line="300" w:lineRule="exact"/>
              <w:rPr>
                <w:rFonts w:hint="eastAsia"/>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达标</w:t>
            </w:r>
          </w:p>
        </w:tc>
      </w:tr>
      <w:tr w14:paraId="53F6A16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4" w:hRule="atLeast"/>
        </w:trPr>
        <w:tc>
          <w:tcPr>
            <w:tcW w:w="378" w:type="pct"/>
            <w:vMerge w:val="continue"/>
            <w:vAlign w:val="center"/>
          </w:tcPr>
          <w:p w14:paraId="3BFB6450">
            <w:pPr>
              <w:pStyle w:val="208"/>
              <w:adjustRightInd w:val="0"/>
              <w:snapToGrid w:val="0"/>
              <w:spacing w:line="300" w:lineRule="exact"/>
              <w:rPr>
                <w:rFonts w:hint="eastAsia"/>
                <w:color w:val="000000" w:themeColor="text1"/>
                <w:szCs w:val="21"/>
                <w:lang w:val="zh-CN"/>
                <w14:textFill>
                  <w14:solidFill>
                    <w14:schemeClr w14:val="tx1"/>
                  </w14:solidFill>
                </w14:textFill>
              </w:rPr>
            </w:pPr>
          </w:p>
        </w:tc>
        <w:tc>
          <w:tcPr>
            <w:tcW w:w="634" w:type="pct"/>
            <w:vAlign w:val="center"/>
          </w:tcPr>
          <w:p w14:paraId="36442223">
            <w:pPr>
              <w:pStyle w:val="208"/>
              <w:adjustRightInd w:val="0"/>
              <w:snapToGrid w:val="0"/>
              <w:spacing w:line="300" w:lineRule="exact"/>
              <w:rPr>
                <w:rFonts w:hint="eastAsia"/>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汞</w:t>
            </w:r>
          </w:p>
        </w:tc>
        <w:tc>
          <w:tcPr>
            <w:tcW w:w="473" w:type="pct"/>
            <w:tcBorders>
              <w:right w:val="single" w:color="auto" w:sz="4" w:space="0"/>
            </w:tcBorders>
            <w:vAlign w:val="center"/>
          </w:tcPr>
          <w:p w14:paraId="6EDE60B8">
            <w:pPr>
              <w:pStyle w:val="208"/>
              <w:adjustRightInd w:val="0"/>
              <w:snapToGrid w:val="0"/>
              <w:spacing w:line="300" w:lineRule="exact"/>
              <w:rPr>
                <w:rFonts w:hint="eastAsia"/>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w:t>
            </w:r>
            <w:r>
              <w:rPr>
                <w:color w:val="000000" w:themeColor="text1"/>
                <w:szCs w:val="21"/>
                <w14:textFill>
                  <w14:solidFill>
                    <w14:schemeClr w14:val="tx1"/>
                  </w14:solidFill>
                </w14:textFill>
              </w:rPr>
              <w:t>.121</w:t>
            </w:r>
          </w:p>
        </w:tc>
        <w:tc>
          <w:tcPr>
            <w:tcW w:w="637" w:type="pct"/>
            <w:tcBorders>
              <w:left w:val="single" w:color="auto" w:sz="4" w:space="0"/>
            </w:tcBorders>
            <w:vAlign w:val="center"/>
          </w:tcPr>
          <w:p w14:paraId="64316209">
            <w:pPr>
              <w:pStyle w:val="208"/>
              <w:adjustRightInd w:val="0"/>
              <w:snapToGrid w:val="0"/>
              <w:spacing w:line="300" w:lineRule="exact"/>
              <w:rPr>
                <w:rFonts w:hint="eastAsia"/>
                <w:color w:val="000000" w:themeColor="text1"/>
                <w:szCs w:val="21"/>
                <w14:textFill>
                  <w14:solidFill>
                    <w14:schemeClr w14:val="tx1"/>
                  </w14:solidFill>
                </w14:textFill>
              </w:rPr>
            </w:pPr>
            <w:r>
              <w:rPr>
                <w:color w:val="000000" w:themeColor="text1"/>
                <w:szCs w:val="21"/>
                <w14:textFill>
                  <w14:solidFill>
                    <w14:schemeClr w14:val="tx1"/>
                  </w14:solidFill>
                </w14:textFill>
              </w:rPr>
              <w:t>0.0032</w:t>
            </w:r>
          </w:p>
        </w:tc>
        <w:tc>
          <w:tcPr>
            <w:tcW w:w="634" w:type="pct"/>
            <w:tcBorders>
              <w:right w:val="single" w:color="auto" w:sz="4" w:space="0"/>
            </w:tcBorders>
            <w:vAlign w:val="center"/>
          </w:tcPr>
          <w:p w14:paraId="558AE263">
            <w:pPr>
              <w:pStyle w:val="208"/>
              <w:adjustRightInd w:val="0"/>
              <w:snapToGrid w:val="0"/>
              <w:spacing w:line="300" w:lineRule="exact"/>
              <w:rPr>
                <w:rFonts w:hint="eastAsia"/>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w:t>
            </w:r>
            <w:r>
              <w:rPr>
                <w:color w:val="000000" w:themeColor="text1"/>
                <w:szCs w:val="21"/>
                <w14:textFill>
                  <w14:solidFill>
                    <w14:schemeClr w14:val="tx1"/>
                  </w14:solidFill>
                </w14:textFill>
              </w:rPr>
              <w:t>.121</w:t>
            </w:r>
          </w:p>
        </w:tc>
        <w:tc>
          <w:tcPr>
            <w:tcW w:w="635" w:type="pct"/>
            <w:tcBorders>
              <w:left w:val="single" w:color="auto" w:sz="4" w:space="0"/>
            </w:tcBorders>
            <w:vAlign w:val="center"/>
          </w:tcPr>
          <w:p w14:paraId="4C1BD81D">
            <w:pPr>
              <w:pStyle w:val="208"/>
              <w:adjustRightInd w:val="0"/>
              <w:snapToGrid w:val="0"/>
              <w:spacing w:line="300" w:lineRule="exact"/>
              <w:rPr>
                <w:rFonts w:hint="eastAsia"/>
                <w:color w:val="000000" w:themeColor="text1"/>
                <w:szCs w:val="21"/>
                <w14:textFill>
                  <w14:solidFill>
                    <w14:schemeClr w14:val="tx1"/>
                  </w14:solidFill>
                </w14:textFill>
              </w:rPr>
            </w:pPr>
            <w:r>
              <w:rPr>
                <w:color w:val="000000" w:themeColor="text1"/>
                <w:szCs w:val="21"/>
                <w14:textFill>
                  <w14:solidFill>
                    <w14:schemeClr w14:val="tx1"/>
                  </w14:solidFill>
                </w14:textFill>
              </w:rPr>
              <w:t>0.0032</w:t>
            </w:r>
          </w:p>
        </w:tc>
        <w:tc>
          <w:tcPr>
            <w:tcW w:w="554" w:type="pct"/>
            <w:tcBorders>
              <w:right w:val="single" w:color="auto" w:sz="4" w:space="0"/>
            </w:tcBorders>
            <w:vAlign w:val="center"/>
          </w:tcPr>
          <w:p w14:paraId="633EBCCE">
            <w:pPr>
              <w:pStyle w:val="208"/>
              <w:adjustRightInd w:val="0"/>
              <w:snapToGrid w:val="0"/>
              <w:spacing w:line="300" w:lineRule="exact"/>
              <w:rPr>
                <w:rFonts w:hint="eastAsia"/>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w:t>
            </w:r>
            <w:r>
              <w:rPr>
                <w:color w:val="000000" w:themeColor="text1"/>
                <w:szCs w:val="21"/>
                <w14:textFill>
                  <w14:solidFill>
                    <w14:schemeClr w14:val="tx1"/>
                  </w14:solidFill>
                </w14:textFill>
              </w:rPr>
              <w:t>.129</w:t>
            </w:r>
          </w:p>
        </w:tc>
        <w:tc>
          <w:tcPr>
            <w:tcW w:w="635" w:type="pct"/>
            <w:tcBorders>
              <w:left w:val="single" w:color="auto" w:sz="4" w:space="0"/>
            </w:tcBorders>
            <w:vAlign w:val="center"/>
          </w:tcPr>
          <w:p w14:paraId="78DE16BB">
            <w:pPr>
              <w:pStyle w:val="208"/>
              <w:adjustRightInd w:val="0"/>
              <w:snapToGrid w:val="0"/>
              <w:spacing w:line="300" w:lineRule="exact"/>
              <w:rPr>
                <w:rFonts w:hint="eastAsia"/>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0.0034</w:t>
            </w:r>
          </w:p>
        </w:tc>
        <w:tc>
          <w:tcPr>
            <w:tcW w:w="420" w:type="pct"/>
            <w:vAlign w:val="center"/>
          </w:tcPr>
          <w:p w14:paraId="7B1AF359">
            <w:pPr>
              <w:pStyle w:val="208"/>
              <w:adjustRightInd w:val="0"/>
              <w:snapToGrid w:val="0"/>
              <w:spacing w:line="300" w:lineRule="exact"/>
              <w:rPr>
                <w:rFonts w:hint="eastAsia"/>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达标</w:t>
            </w:r>
          </w:p>
        </w:tc>
      </w:tr>
      <w:tr w14:paraId="5332442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4" w:hRule="atLeast"/>
        </w:trPr>
        <w:tc>
          <w:tcPr>
            <w:tcW w:w="378" w:type="pct"/>
            <w:vMerge w:val="continue"/>
            <w:vAlign w:val="center"/>
          </w:tcPr>
          <w:p w14:paraId="379BDBCB">
            <w:pPr>
              <w:pStyle w:val="208"/>
              <w:adjustRightInd w:val="0"/>
              <w:snapToGrid w:val="0"/>
              <w:spacing w:line="300" w:lineRule="exact"/>
              <w:rPr>
                <w:rFonts w:hint="eastAsia"/>
                <w:color w:val="000000" w:themeColor="text1"/>
                <w:szCs w:val="21"/>
                <w:lang w:val="zh-CN"/>
                <w14:textFill>
                  <w14:solidFill>
                    <w14:schemeClr w14:val="tx1"/>
                  </w14:solidFill>
                </w14:textFill>
              </w:rPr>
            </w:pPr>
          </w:p>
        </w:tc>
        <w:tc>
          <w:tcPr>
            <w:tcW w:w="634" w:type="pct"/>
            <w:vAlign w:val="center"/>
          </w:tcPr>
          <w:p w14:paraId="714BC49F">
            <w:pPr>
              <w:pStyle w:val="208"/>
              <w:adjustRightInd w:val="0"/>
              <w:snapToGrid w:val="0"/>
              <w:spacing w:line="300" w:lineRule="exact"/>
              <w:rPr>
                <w:rFonts w:hint="eastAsia"/>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砷</w:t>
            </w:r>
          </w:p>
        </w:tc>
        <w:tc>
          <w:tcPr>
            <w:tcW w:w="473" w:type="pct"/>
            <w:tcBorders>
              <w:right w:val="single" w:color="auto" w:sz="4" w:space="0"/>
            </w:tcBorders>
            <w:vAlign w:val="center"/>
          </w:tcPr>
          <w:p w14:paraId="02C30BB7">
            <w:pPr>
              <w:pStyle w:val="208"/>
              <w:adjustRightInd w:val="0"/>
              <w:snapToGrid w:val="0"/>
              <w:spacing w:line="300" w:lineRule="exact"/>
              <w:rPr>
                <w:rFonts w:hint="eastAsia"/>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5</w:t>
            </w:r>
            <w:r>
              <w:rPr>
                <w:color w:val="000000" w:themeColor="text1"/>
                <w:szCs w:val="21"/>
                <w14:textFill>
                  <w14:solidFill>
                    <w14:schemeClr w14:val="tx1"/>
                  </w14:solidFill>
                </w14:textFill>
              </w:rPr>
              <w:t>.97</w:t>
            </w:r>
          </w:p>
        </w:tc>
        <w:tc>
          <w:tcPr>
            <w:tcW w:w="637" w:type="pct"/>
            <w:tcBorders>
              <w:left w:val="single" w:color="auto" w:sz="4" w:space="0"/>
            </w:tcBorders>
            <w:vAlign w:val="center"/>
          </w:tcPr>
          <w:p w14:paraId="0FA51A04">
            <w:pPr>
              <w:pStyle w:val="208"/>
              <w:adjustRightInd w:val="0"/>
              <w:snapToGrid w:val="0"/>
              <w:spacing w:line="300" w:lineRule="exact"/>
              <w:rPr>
                <w:rFonts w:hint="eastAsia"/>
                <w:color w:val="000000" w:themeColor="text1"/>
                <w:szCs w:val="21"/>
                <w14:textFill>
                  <w14:solidFill>
                    <w14:schemeClr w14:val="tx1"/>
                  </w14:solidFill>
                </w14:textFill>
              </w:rPr>
            </w:pPr>
            <w:r>
              <w:rPr>
                <w:color w:val="000000" w:themeColor="text1"/>
                <w:szCs w:val="21"/>
                <w14:textFill>
                  <w14:solidFill>
                    <w14:schemeClr w14:val="tx1"/>
                  </w14:solidFill>
                </w14:textFill>
              </w:rPr>
              <w:t>0.0995</w:t>
            </w:r>
          </w:p>
        </w:tc>
        <w:tc>
          <w:tcPr>
            <w:tcW w:w="634" w:type="pct"/>
            <w:tcBorders>
              <w:right w:val="single" w:color="auto" w:sz="4" w:space="0"/>
            </w:tcBorders>
            <w:vAlign w:val="center"/>
          </w:tcPr>
          <w:p w14:paraId="4BE3B737">
            <w:pPr>
              <w:pStyle w:val="208"/>
              <w:adjustRightInd w:val="0"/>
              <w:snapToGrid w:val="0"/>
              <w:spacing w:line="300" w:lineRule="exact"/>
              <w:rPr>
                <w:rFonts w:hint="eastAsia"/>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5</w:t>
            </w:r>
            <w:r>
              <w:rPr>
                <w:color w:val="000000" w:themeColor="text1"/>
                <w:szCs w:val="21"/>
                <w14:textFill>
                  <w14:solidFill>
                    <w14:schemeClr w14:val="tx1"/>
                  </w14:solidFill>
                </w14:textFill>
              </w:rPr>
              <w:t>.86</w:t>
            </w:r>
          </w:p>
        </w:tc>
        <w:tc>
          <w:tcPr>
            <w:tcW w:w="635" w:type="pct"/>
            <w:tcBorders>
              <w:left w:val="single" w:color="auto" w:sz="4" w:space="0"/>
            </w:tcBorders>
            <w:vAlign w:val="center"/>
          </w:tcPr>
          <w:p w14:paraId="79F88674">
            <w:pPr>
              <w:pStyle w:val="208"/>
              <w:adjustRightInd w:val="0"/>
              <w:snapToGrid w:val="0"/>
              <w:spacing w:line="300" w:lineRule="exact"/>
              <w:rPr>
                <w:rFonts w:hint="eastAsia"/>
                <w:color w:val="000000" w:themeColor="text1"/>
                <w:szCs w:val="21"/>
                <w14:textFill>
                  <w14:solidFill>
                    <w14:schemeClr w14:val="tx1"/>
                  </w14:solidFill>
                </w14:textFill>
              </w:rPr>
            </w:pPr>
            <w:r>
              <w:rPr>
                <w:color w:val="000000" w:themeColor="text1"/>
                <w:szCs w:val="21"/>
                <w14:textFill>
                  <w14:solidFill>
                    <w14:schemeClr w14:val="tx1"/>
                  </w14:solidFill>
                </w14:textFill>
              </w:rPr>
              <w:t>0.0977</w:t>
            </w:r>
          </w:p>
        </w:tc>
        <w:tc>
          <w:tcPr>
            <w:tcW w:w="554" w:type="pct"/>
            <w:tcBorders>
              <w:right w:val="single" w:color="auto" w:sz="4" w:space="0"/>
            </w:tcBorders>
            <w:vAlign w:val="center"/>
          </w:tcPr>
          <w:p w14:paraId="4E4B094D">
            <w:pPr>
              <w:pStyle w:val="208"/>
              <w:adjustRightInd w:val="0"/>
              <w:snapToGrid w:val="0"/>
              <w:spacing w:line="300" w:lineRule="exact"/>
              <w:rPr>
                <w:rFonts w:hint="eastAsia"/>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5</w:t>
            </w:r>
            <w:r>
              <w:rPr>
                <w:color w:val="000000" w:themeColor="text1"/>
                <w:szCs w:val="21"/>
                <w14:textFill>
                  <w14:solidFill>
                    <w14:schemeClr w14:val="tx1"/>
                  </w14:solidFill>
                </w14:textFill>
              </w:rPr>
              <w:t>.97</w:t>
            </w:r>
          </w:p>
        </w:tc>
        <w:tc>
          <w:tcPr>
            <w:tcW w:w="635" w:type="pct"/>
            <w:tcBorders>
              <w:left w:val="single" w:color="auto" w:sz="4" w:space="0"/>
            </w:tcBorders>
            <w:vAlign w:val="center"/>
          </w:tcPr>
          <w:p w14:paraId="2FB09DE0">
            <w:pPr>
              <w:pStyle w:val="208"/>
              <w:adjustRightInd w:val="0"/>
              <w:snapToGrid w:val="0"/>
              <w:spacing w:line="300" w:lineRule="exact"/>
              <w:rPr>
                <w:rFonts w:hint="eastAsia"/>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0.0995</w:t>
            </w:r>
          </w:p>
        </w:tc>
        <w:tc>
          <w:tcPr>
            <w:tcW w:w="420" w:type="pct"/>
            <w:vAlign w:val="center"/>
          </w:tcPr>
          <w:p w14:paraId="25A5581E">
            <w:pPr>
              <w:pStyle w:val="208"/>
              <w:adjustRightInd w:val="0"/>
              <w:snapToGrid w:val="0"/>
              <w:spacing w:line="300" w:lineRule="exact"/>
              <w:rPr>
                <w:rFonts w:hint="eastAsia"/>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达标</w:t>
            </w:r>
          </w:p>
        </w:tc>
      </w:tr>
      <w:bookmarkEnd w:id="580"/>
    </w:tbl>
    <w:p w14:paraId="4A6D4A0F">
      <w:pPr>
        <w:pStyle w:val="117"/>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本次类比的石西油田作业区石南</w:t>
      </w:r>
      <w:r>
        <w:rPr>
          <w:color w:val="000000" w:themeColor="text1"/>
          <w14:textFill>
            <w14:solidFill>
              <w14:schemeClr w14:val="tx1"/>
            </w14:solidFill>
          </w14:textFill>
        </w:rPr>
        <w:t>4原油转输管线</w:t>
      </w:r>
      <w:r>
        <w:rPr>
          <w:rFonts w:hint="eastAsia"/>
          <w:color w:val="000000" w:themeColor="text1"/>
          <w14:textFill>
            <w14:solidFill>
              <w14:schemeClr w14:val="tx1"/>
            </w14:solidFill>
          </w14:textFill>
        </w:rPr>
        <w:t>已发生过数</w:t>
      </w:r>
      <w:r>
        <w:rPr>
          <w:color w:val="000000" w:themeColor="text1"/>
          <w14:textFill>
            <w14:solidFill>
              <w14:schemeClr w14:val="tx1"/>
            </w14:solidFill>
          </w14:textFill>
        </w:rPr>
        <w:t>次泄漏事故，</w:t>
      </w:r>
      <w:r>
        <w:rPr>
          <w:rFonts w:hint="eastAsia"/>
          <w:color w:val="000000" w:themeColor="text1"/>
          <w14:textFill>
            <w14:solidFill>
              <w14:schemeClr w14:val="tx1"/>
            </w14:solidFill>
          </w14:textFill>
        </w:rPr>
        <w:t>表</w:t>
      </w:r>
      <w:r>
        <w:rPr>
          <w:color w:val="000000" w:themeColor="text1"/>
          <w14:textFill>
            <w14:solidFill>
              <w14:schemeClr w14:val="tx1"/>
            </w14:solidFill>
          </w14:textFill>
        </w:rPr>
        <w:t>5.2</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1</w:t>
      </w:r>
      <w:r>
        <w:rPr>
          <w:rFonts w:hint="eastAsia"/>
          <w:color w:val="000000" w:themeColor="text1"/>
          <w14:textFill>
            <w14:solidFill>
              <w14:schemeClr w14:val="tx1"/>
            </w14:solidFill>
          </w14:textFill>
        </w:rPr>
        <w:t>3中3个监测点均为位于发生过原油泄漏并进行过应急处置的管段沿线的柱状样监测点，表5.2-11</w:t>
      </w:r>
      <w:r>
        <w:rPr>
          <w:color w:val="000000" w:themeColor="text1"/>
          <w14:textFill>
            <w14:solidFill>
              <w14:schemeClr w14:val="tx1"/>
            </w14:solidFill>
          </w14:textFill>
        </w:rPr>
        <w:t>监测数据表明，发生过泄漏事件的管段土壤环境质量</w:t>
      </w:r>
      <w:r>
        <w:rPr>
          <w:rFonts w:hint="eastAsia"/>
          <w:color w:val="000000" w:themeColor="text1"/>
          <w14:textFill>
            <w14:solidFill>
              <w14:schemeClr w14:val="tx1"/>
            </w14:solidFill>
          </w14:textFill>
        </w:rPr>
        <w:t>监测的柱状样点石油烃</w:t>
      </w:r>
      <w:r>
        <w:rPr>
          <w:color w:val="000000" w:themeColor="text1"/>
          <w14:textFill>
            <w14:solidFill>
              <w14:schemeClr w14:val="tx1"/>
            </w14:solidFill>
          </w14:textFill>
        </w:rPr>
        <w:t>(C</w:t>
      </w:r>
      <w:r>
        <w:rPr>
          <w:color w:val="000000" w:themeColor="text1"/>
          <w:vertAlign w:val="subscript"/>
          <w14:textFill>
            <w14:solidFill>
              <w14:schemeClr w14:val="tx1"/>
            </w14:solidFill>
          </w14:textFill>
        </w:rPr>
        <w:t>10</w:t>
      </w:r>
      <w:r>
        <w:rPr>
          <w:color w:val="000000" w:themeColor="text1"/>
          <w14:textFill>
            <w14:solidFill>
              <w14:schemeClr w14:val="tx1"/>
            </w14:solidFill>
          </w14:textFill>
        </w:rPr>
        <w:t>～C</w:t>
      </w:r>
      <w:r>
        <w:rPr>
          <w:color w:val="000000" w:themeColor="text1"/>
          <w:vertAlign w:val="subscript"/>
          <w14:textFill>
            <w14:solidFill>
              <w14:schemeClr w14:val="tx1"/>
            </w14:solidFill>
          </w14:textFill>
        </w:rPr>
        <w:t>40</w:t>
      </w:r>
      <w:r>
        <w:rPr>
          <w:color w:val="000000" w:themeColor="text1"/>
          <w14:textFill>
            <w14:solidFill>
              <w14:schemeClr w14:val="tx1"/>
            </w14:solidFill>
          </w14:textFill>
        </w:rPr>
        <w:t>)均满足《土壤环境质量  建设用地土壤污染风险管控标准（试行）》（GB36600-2018）中第二类用地筛选值要求，说明</w:t>
      </w:r>
      <w:r>
        <w:rPr>
          <w:rFonts w:hint="eastAsia"/>
          <w:color w:val="000000" w:themeColor="text1"/>
          <w14:textFill>
            <w14:solidFill>
              <w14:schemeClr w14:val="tx1"/>
            </w14:solidFill>
          </w14:textFill>
        </w:rPr>
        <w:t>输油管线泄漏应急处置措施有效，应急处置措施具体如下：当发生管线泄漏后，快速做出响应，</w:t>
      </w:r>
      <w:r>
        <w:rPr>
          <w:color w:val="000000" w:themeColor="text1"/>
          <w14:textFill>
            <w14:solidFill>
              <w14:schemeClr w14:val="tx1"/>
            </w14:solidFill>
          </w14:textFill>
        </w:rPr>
        <w:t>关闭单井采油管线物料来源</w:t>
      </w:r>
      <w:r>
        <w:rPr>
          <w:rFonts w:hint="eastAsia"/>
          <w:color w:val="000000" w:themeColor="text1"/>
          <w14:textFill>
            <w14:solidFill>
              <w14:schemeClr w14:val="tx1"/>
            </w14:solidFill>
          </w14:textFill>
        </w:rPr>
        <w:t>，挖出管线破点，可回收原油</w:t>
      </w:r>
      <w:r>
        <w:rPr>
          <w:color w:val="000000" w:themeColor="text1"/>
          <w14:textFill>
            <w14:solidFill>
              <w14:schemeClr w14:val="tx1"/>
            </w14:solidFill>
          </w14:textFill>
        </w:rPr>
        <w:t>回收至</w:t>
      </w:r>
      <w:r>
        <w:rPr>
          <w:rFonts w:hint="eastAsia"/>
          <w:color w:val="000000" w:themeColor="text1"/>
          <w14:textFill>
            <w14:solidFill>
              <w14:schemeClr w14:val="tx1"/>
            </w14:solidFill>
          </w14:textFill>
        </w:rPr>
        <w:t>处理站</w:t>
      </w:r>
      <w:r>
        <w:rPr>
          <w:color w:val="000000" w:themeColor="text1"/>
          <w14:textFill>
            <w14:solidFill>
              <w14:schemeClr w14:val="tx1"/>
            </w14:solidFill>
          </w14:textFill>
        </w:rPr>
        <w:t>原油处理系统；采用管卡对</w:t>
      </w:r>
      <w:r>
        <w:rPr>
          <w:rFonts w:hint="eastAsia"/>
          <w:color w:val="000000" w:themeColor="text1"/>
          <w14:textFill>
            <w14:solidFill>
              <w14:schemeClr w14:val="tx1"/>
            </w14:solidFill>
          </w14:textFill>
        </w:rPr>
        <w:t>管线</w:t>
      </w:r>
      <w:r>
        <w:rPr>
          <w:color w:val="000000" w:themeColor="text1"/>
          <w14:textFill>
            <w14:solidFill>
              <w14:schemeClr w14:val="tx1"/>
            </w14:solidFill>
          </w14:textFill>
        </w:rPr>
        <w:t>破点进行修复，挖出的含油污泥</w:t>
      </w:r>
      <w:r>
        <w:rPr>
          <w:rFonts w:hint="eastAsia"/>
          <w:color w:val="000000" w:themeColor="text1"/>
          <w14:textFill>
            <w14:solidFill>
              <w14:schemeClr w14:val="tx1"/>
            </w14:solidFill>
          </w14:textFill>
        </w:rPr>
        <w:t>全部清理，交由具有相应危废处置资质的单位负责接收、转运和处置。应急处理完成后，用外购砂土回填管沟。</w:t>
      </w:r>
    </w:p>
    <w:p w14:paraId="5DBEFCA3">
      <w:pPr>
        <w:pStyle w:val="117"/>
        <w:ind w:firstLine="480"/>
        <w:rPr>
          <w:rFonts w:hint="eastAsia"/>
          <w:color w:val="000000" w:themeColor="text1"/>
          <w14:textFill>
            <w14:solidFill>
              <w14:schemeClr w14:val="tx1"/>
            </w14:solidFill>
          </w14:textFill>
        </w:rPr>
      </w:pPr>
      <w:bookmarkStart w:id="583" w:name="_Hlk173407418"/>
      <w:r>
        <w:rPr>
          <w:rFonts w:hint="eastAsia"/>
          <w:color w:val="000000" w:themeColor="text1"/>
          <w14:textFill>
            <w14:solidFill>
              <w14:schemeClr w14:val="tx1"/>
            </w14:solidFill>
          </w14:textFill>
        </w:rPr>
        <w:t>本项目管线输送的介质与石南</w:t>
      </w:r>
      <w:r>
        <w:rPr>
          <w:color w:val="000000" w:themeColor="text1"/>
          <w14:textFill>
            <w14:solidFill>
              <w14:schemeClr w14:val="tx1"/>
            </w14:solidFill>
          </w14:textFill>
        </w:rPr>
        <w:t>4井区已经完成原油泄漏事故治理的管段类似，均为</w:t>
      </w:r>
      <w:r>
        <w:rPr>
          <w:rFonts w:hint="eastAsia"/>
          <w:color w:val="000000" w:themeColor="text1"/>
          <w14:textFill>
            <w14:solidFill>
              <w14:schemeClr w14:val="tx1"/>
            </w14:solidFill>
          </w14:textFill>
        </w:rPr>
        <w:t>含水原油</w:t>
      </w:r>
      <w:r>
        <w:rPr>
          <w:color w:val="000000" w:themeColor="text1"/>
          <w14:textFill>
            <w14:solidFill>
              <w14:schemeClr w14:val="tx1"/>
            </w14:solidFill>
          </w14:textFill>
        </w:rPr>
        <w:t>，对土壤的污染途径均为垂直入渗，</w:t>
      </w:r>
      <w:bookmarkStart w:id="584" w:name="OLE_LINK85"/>
      <w:r>
        <w:rPr>
          <w:rFonts w:hint="eastAsia"/>
          <w:color w:val="000000" w:themeColor="text1"/>
          <w14:textFill>
            <w14:solidFill>
              <w14:schemeClr w14:val="tx1"/>
            </w14:solidFill>
          </w14:textFill>
        </w:rPr>
        <w:t>石南4井区土壤类型为沙地，项目区的土壤类型为盐土，根据《环境影响评价技术导则 地下水环境》（HJ610-2016）附录B可知，沙地的渗透性比盐土的渗透性好，石南</w:t>
      </w:r>
      <w:r>
        <w:rPr>
          <w:color w:val="000000" w:themeColor="text1"/>
          <w14:textFill>
            <w14:solidFill>
              <w14:schemeClr w14:val="tx1"/>
            </w14:solidFill>
          </w14:textFill>
        </w:rPr>
        <w:t>4原油转输管线</w:t>
      </w:r>
      <w:r>
        <w:rPr>
          <w:rFonts w:hint="eastAsia"/>
          <w:color w:val="000000" w:themeColor="text1"/>
          <w14:textFill>
            <w14:solidFill>
              <w14:schemeClr w14:val="tx1"/>
            </w14:solidFill>
          </w14:textFill>
        </w:rPr>
        <w:t>发生</w:t>
      </w:r>
      <w:r>
        <w:rPr>
          <w:color w:val="000000" w:themeColor="text1"/>
          <w14:textFill>
            <w14:solidFill>
              <w14:schemeClr w14:val="tx1"/>
            </w14:solidFill>
          </w14:textFill>
        </w:rPr>
        <w:t>泄漏</w:t>
      </w:r>
      <w:r>
        <w:rPr>
          <w:rFonts w:hint="eastAsia"/>
          <w:color w:val="000000" w:themeColor="text1"/>
          <w14:textFill>
            <w14:solidFill>
              <w14:schemeClr w14:val="tx1"/>
            </w14:solidFill>
          </w14:textFill>
        </w:rPr>
        <w:t>后，</w:t>
      </w:r>
      <w:r>
        <w:rPr>
          <w:color w:val="000000" w:themeColor="text1"/>
          <w14:textFill>
            <w14:solidFill>
              <w14:schemeClr w14:val="tx1"/>
            </w14:solidFill>
          </w14:textFill>
        </w:rPr>
        <w:t>发生过泄漏事件的管段土壤环境质量</w:t>
      </w:r>
      <w:r>
        <w:rPr>
          <w:rFonts w:hint="eastAsia"/>
          <w:color w:val="000000" w:themeColor="text1"/>
          <w14:textFill>
            <w14:solidFill>
              <w14:schemeClr w14:val="tx1"/>
            </w14:solidFill>
          </w14:textFill>
        </w:rPr>
        <w:t>中石油烃</w:t>
      </w:r>
      <w:r>
        <w:rPr>
          <w:color w:val="000000" w:themeColor="text1"/>
          <w14:textFill>
            <w14:solidFill>
              <w14:schemeClr w14:val="tx1"/>
            </w14:solidFill>
          </w14:textFill>
        </w:rPr>
        <w:t>(C</w:t>
      </w:r>
      <w:r>
        <w:rPr>
          <w:color w:val="000000" w:themeColor="text1"/>
          <w:vertAlign w:val="subscript"/>
          <w14:textFill>
            <w14:solidFill>
              <w14:schemeClr w14:val="tx1"/>
            </w14:solidFill>
          </w14:textFill>
        </w:rPr>
        <w:t>10</w:t>
      </w:r>
      <w:r>
        <w:rPr>
          <w:color w:val="000000" w:themeColor="text1"/>
          <w14:textFill>
            <w14:solidFill>
              <w14:schemeClr w14:val="tx1"/>
            </w14:solidFill>
          </w14:textFill>
        </w:rPr>
        <w:t>～C</w:t>
      </w:r>
      <w:r>
        <w:rPr>
          <w:color w:val="000000" w:themeColor="text1"/>
          <w:vertAlign w:val="subscript"/>
          <w14:textFill>
            <w14:solidFill>
              <w14:schemeClr w14:val="tx1"/>
            </w14:solidFill>
          </w14:textFill>
        </w:rPr>
        <w:t>40</w:t>
      </w:r>
      <w:r>
        <w:rPr>
          <w:color w:val="000000" w:themeColor="text1"/>
          <w14:textFill>
            <w14:solidFill>
              <w14:schemeClr w14:val="tx1"/>
            </w14:solidFill>
          </w14:textFill>
        </w:rPr>
        <w:t>)均满足《土壤环境质量  建设用地土壤污染风险管控标准（试行）》（GB36600-2018）中第二类用地筛选值要求</w:t>
      </w:r>
      <w:r>
        <w:rPr>
          <w:rFonts w:hint="eastAsia"/>
          <w:color w:val="000000" w:themeColor="text1"/>
          <w14:textFill>
            <w14:solidFill>
              <w14:schemeClr w14:val="tx1"/>
            </w14:solidFill>
          </w14:textFill>
        </w:rPr>
        <w:t>，通过类比分析可知，</w:t>
      </w:r>
      <w:bookmarkStart w:id="585" w:name="_Hlk115195018"/>
      <w:r>
        <w:rPr>
          <w:color w:val="000000" w:themeColor="text1"/>
          <w14:textFill>
            <w14:solidFill>
              <w14:schemeClr w14:val="tx1"/>
            </w14:solidFill>
          </w14:textFill>
        </w:rPr>
        <w:t>即使</w:t>
      </w:r>
      <w:r>
        <w:rPr>
          <w:rFonts w:hint="eastAsia"/>
          <w:color w:val="000000" w:themeColor="text1"/>
          <w14:textFill>
            <w14:solidFill>
              <w14:schemeClr w14:val="tx1"/>
            </w14:solidFill>
          </w14:textFill>
        </w:rPr>
        <w:t>本项目</w:t>
      </w:r>
      <w:r>
        <w:rPr>
          <w:color w:val="000000" w:themeColor="text1"/>
          <w14:textFill>
            <w14:solidFill>
              <w14:schemeClr w14:val="tx1"/>
            </w14:solidFill>
          </w14:textFill>
        </w:rPr>
        <w:t>运营期发生了管线</w:t>
      </w:r>
      <w:r>
        <w:rPr>
          <w:rFonts w:hint="eastAsia"/>
          <w:color w:val="000000" w:themeColor="text1"/>
          <w14:textFill>
            <w14:solidFill>
              <w14:schemeClr w14:val="tx1"/>
            </w14:solidFill>
          </w14:textFill>
        </w:rPr>
        <w:t>等</w:t>
      </w:r>
      <w:r>
        <w:rPr>
          <w:color w:val="000000" w:themeColor="text1"/>
          <w14:textFill>
            <w14:solidFill>
              <w14:schemeClr w14:val="tx1"/>
            </w14:solidFill>
          </w14:textFill>
        </w:rPr>
        <w:t>泄漏事故，在继续落实</w:t>
      </w:r>
      <w:r>
        <w:rPr>
          <w:rFonts w:hint="eastAsia"/>
          <w:color w:val="000000" w:themeColor="text1"/>
          <w14:textFill>
            <w14:solidFill>
              <w14:schemeClr w14:val="tx1"/>
            </w14:solidFill>
          </w14:textFill>
        </w:rPr>
        <w:t>吉庆油田作业区</w:t>
      </w:r>
      <w:r>
        <w:rPr>
          <w:color w:val="000000" w:themeColor="text1"/>
          <w14:textFill>
            <w14:solidFill>
              <w14:schemeClr w14:val="tx1"/>
            </w14:solidFill>
          </w14:textFill>
        </w:rPr>
        <w:t>现有应急管理要求，建设单位及时响应，采取应急处置措施</w:t>
      </w:r>
      <w:r>
        <w:rPr>
          <w:rFonts w:hint="eastAsia"/>
          <w:color w:val="000000" w:themeColor="text1"/>
          <w14:textFill>
            <w14:solidFill>
              <w14:schemeClr w14:val="tx1"/>
            </w14:solidFill>
          </w14:textFill>
        </w:rPr>
        <w:t>封堵泄漏点，并将泄漏污油和含油污泥全部清理</w:t>
      </w:r>
      <w:r>
        <w:rPr>
          <w:color w:val="000000" w:themeColor="text1"/>
          <w14:textFill>
            <w14:solidFill>
              <w14:schemeClr w14:val="tx1"/>
            </w14:solidFill>
          </w14:textFill>
        </w:rPr>
        <w:t>的情况下，不会对项目区土壤环境产生不良影响</w:t>
      </w:r>
      <w:r>
        <w:rPr>
          <w:rFonts w:hint="eastAsia"/>
          <w:color w:val="000000" w:themeColor="text1"/>
          <w14:textFill>
            <w14:solidFill>
              <w14:schemeClr w14:val="tx1"/>
            </w14:solidFill>
          </w14:textFill>
        </w:rPr>
        <w:t>。</w:t>
      </w:r>
      <w:bookmarkEnd w:id="585"/>
    </w:p>
    <w:p w14:paraId="02EED53B">
      <w:pPr>
        <w:pStyle w:val="117"/>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②套管破损泄漏对土壤环境的影响分析</w:t>
      </w:r>
    </w:p>
    <w:p w14:paraId="1F76EE02">
      <w:pPr>
        <w:pStyle w:val="117"/>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若采油井固井质量不合格，油井套管破裂，发生井漏，石油类污染物有可能通过破裂的套管附近的孔隙、裂隙径流渗漏对周围土壤环境产生一定的影响。为防止套管破损污染周围土壤，对采油井的套管进行定期维护，定期检查固井质量，保证其合格，若发现固井质量不合格以及套管破损的情况后，及时进行修复，尽量避免套管破损对周围土壤环境产生影响。</w:t>
      </w:r>
    </w:p>
    <w:bookmarkEnd w:id="583"/>
    <w:bookmarkEnd w:id="584"/>
    <w:p w14:paraId="309597B3">
      <w:pPr>
        <w:pStyle w:val="191"/>
        <w:ind w:firstLine="480"/>
        <w:rPr>
          <w:rFonts w:hint="eastAsia"/>
          <w:color w:val="000000" w:themeColor="text1"/>
          <w14:textFill>
            <w14:solidFill>
              <w14:schemeClr w14:val="tx1"/>
            </w14:solidFill>
          </w14:textFill>
        </w:rPr>
      </w:pPr>
      <w:bookmarkStart w:id="586" w:name="_Hlk173407427"/>
      <w:r>
        <w:rPr>
          <w:rFonts w:hint="eastAsia"/>
          <w:color w:val="000000" w:themeColor="text1"/>
          <w14:textFill>
            <w14:solidFill>
              <w14:schemeClr w14:val="tx1"/>
            </w14:solidFill>
          </w14:textFill>
        </w:rPr>
        <w:t>（2）生态影响型</w:t>
      </w:r>
    </w:p>
    <w:bookmarkEnd w:id="586"/>
    <w:p w14:paraId="75E977C1">
      <w:pPr>
        <w:pStyle w:val="191"/>
        <w:ind w:firstLine="480"/>
        <w:rPr>
          <w:rFonts w:hint="eastAsia" w:cs="宋体"/>
          <w:color w:val="000000" w:themeColor="text1"/>
          <w14:textFill>
            <w14:solidFill>
              <w14:schemeClr w14:val="tx1"/>
            </w14:solidFill>
          </w14:textFill>
        </w:rPr>
      </w:pPr>
      <w:r>
        <w:rPr>
          <w:rFonts w:hint="eastAsia"/>
          <w:color w:val="000000" w:themeColor="text1"/>
          <w14:textFill>
            <w14:solidFill>
              <w14:schemeClr w14:val="tx1"/>
            </w14:solidFill>
          </w14:textFill>
        </w:rPr>
        <w:t>正常工况下采出液通过管线转输至页岩油联合站，运营期无废水及固废等污染物外排，不会造成土壤环境污染。事故状态下集油干支线破裂后，泄漏的采出液中的采出水进入土壤中，单井采油管线、集油干支线沿线设有压力和远传信号，</w:t>
      </w:r>
      <w:r>
        <w:rPr>
          <w:rFonts w:hint="eastAsia" w:cs="宋体"/>
          <w:color w:val="000000" w:themeColor="text1"/>
          <w14:textFill>
            <w14:solidFill>
              <w14:schemeClr w14:val="tx1"/>
            </w14:solidFill>
          </w14:textFill>
        </w:rPr>
        <w:t>当发生管道破裂时，可在30分钟内切断最近阀门，并在</w:t>
      </w:r>
      <w:r>
        <w:rPr>
          <w:rFonts w:cs="宋体"/>
          <w:color w:val="000000" w:themeColor="text1"/>
          <w14:textFill>
            <w14:solidFill>
              <w14:schemeClr w14:val="tx1"/>
            </w14:solidFill>
          </w14:textFill>
        </w:rPr>
        <w:t>2</w:t>
      </w:r>
      <w:r>
        <w:rPr>
          <w:rFonts w:hint="eastAsia" w:cs="宋体"/>
          <w:color w:val="000000" w:themeColor="text1"/>
          <w14:textFill>
            <w14:solidFill>
              <w14:schemeClr w14:val="tx1"/>
            </w14:solidFill>
          </w14:textFill>
        </w:rPr>
        <w:t>h内排查到泄漏点并进行紧急封堵。初步估算，发生泄漏到封堵，预计从集油干线中泄漏的采出液量为17</w:t>
      </w:r>
      <w:r>
        <w:rPr>
          <w:rFonts w:cs="宋体"/>
          <w:color w:val="000000" w:themeColor="text1"/>
          <w14:textFill>
            <w14:solidFill>
              <w14:schemeClr w14:val="tx1"/>
            </w14:solidFill>
          </w14:textFill>
        </w:rPr>
        <w:t>m</w:t>
      </w:r>
      <w:r>
        <w:rPr>
          <w:rFonts w:cs="宋体"/>
          <w:color w:val="000000" w:themeColor="text1"/>
          <w:vertAlign w:val="superscript"/>
          <w14:textFill>
            <w14:solidFill>
              <w14:schemeClr w14:val="tx1"/>
            </w14:solidFill>
          </w14:textFill>
        </w:rPr>
        <w:t>3</w:t>
      </w:r>
      <w:r>
        <w:rPr>
          <w:rFonts w:hint="eastAsia" w:cs="宋体"/>
          <w:color w:val="000000" w:themeColor="text1"/>
          <w14:textFill>
            <w14:solidFill>
              <w14:schemeClr w14:val="tx1"/>
            </w14:solidFill>
          </w14:textFill>
        </w:rPr>
        <w:t>，采出液中含水量为33%，则采出液中氯根为3290.7mg/L，则估算进入土壤中的盐分含量为=17×33%×3290.7×5</w:t>
      </w:r>
      <w:r>
        <w:rPr>
          <w:rFonts w:cs="宋体"/>
          <w:color w:val="000000" w:themeColor="text1"/>
          <w14:textFill>
            <w14:solidFill>
              <w14:schemeClr w14:val="tx1"/>
            </w14:solidFill>
          </w14:textFill>
        </w:rPr>
        <w:t>8.5</w:t>
      </w:r>
      <w:r>
        <w:rPr>
          <w:rFonts w:hint="eastAsia" w:cs="宋体"/>
          <w:color w:val="000000" w:themeColor="text1"/>
          <w14:textFill>
            <w14:solidFill>
              <w14:schemeClr w14:val="tx1"/>
            </w14:solidFill>
          </w14:textFill>
        </w:rPr>
        <w:t>÷35.5=30421.36g。</w:t>
      </w:r>
    </w:p>
    <w:p w14:paraId="18A41D21">
      <w:pPr>
        <w:pStyle w:val="191"/>
        <w:ind w:firstLine="480"/>
        <w:rPr>
          <w:rFonts w:hint="eastAsia"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本次预测采用HJ964-2018附录E.1.3中预测方法，预测公式如下：</w:t>
      </w:r>
    </w:p>
    <w:p w14:paraId="6AFE31C2">
      <w:pPr>
        <w:pStyle w:val="191"/>
        <w:ind w:firstLine="480"/>
        <w:rPr>
          <w:rFonts w:hint="eastAsia"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（1）单位质量土壤中某种物质的增量</w:t>
      </w:r>
    </w:p>
    <w:p w14:paraId="34C7D737">
      <w:pPr>
        <w:spacing w:before="120"/>
        <w:ind w:firstLine="411" w:firstLineChars="196"/>
        <w:rPr>
          <w:rFonts w:hint="eastAsia" w:hAnsi="宋体" w:cs="宋体"/>
          <w:color w:val="000000" w:themeColor="text1"/>
          <w14:textFill>
            <w14:solidFill>
              <w14:schemeClr w14:val="tx1"/>
            </w14:solidFill>
          </w14:textFill>
        </w:rPr>
      </w:pPr>
      <w:r>
        <w:rPr>
          <w:color w:val="000000" w:themeColor="text1"/>
          <w14:textFill>
            <w14:solidFill>
              <w14:schemeClr w14:val="tx1"/>
            </w14:solidFill>
          </w14:textFill>
        </w:rPr>
        <w:drawing>
          <wp:anchor distT="0" distB="0" distL="114300" distR="114300" simplePos="0" relativeHeight="251670528" behindDoc="1" locked="0" layoutInCell="1" allowOverlap="1">
            <wp:simplePos x="0" y="0"/>
            <wp:positionH relativeFrom="column">
              <wp:posOffset>545465</wp:posOffset>
            </wp:positionH>
            <wp:positionV relativeFrom="paragraph">
              <wp:posOffset>10160</wp:posOffset>
            </wp:positionV>
            <wp:extent cx="2809875" cy="304800"/>
            <wp:effectExtent l="0" t="0" r="9525" b="0"/>
            <wp:wrapNone/>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2809875" cy="304800"/>
                    </a:xfrm>
                    <a:prstGeom prst="rect">
                      <a:avLst/>
                    </a:prstGeom>
                    <a:noFill/>
                    <a:ln>
                      <a:noFill/>
                    </a:ln>
                  </pic:spPr>
                </pic:pic>
              </a:graphicData>
            </a:graphic>
          </wp:anchor>
        </w:drawing>
      </w:r>
    </w:p>
    <w:p w14:paraId="719816A5">
      <w:pPr>
        <w:adjustRightInd w:val="0"/>
        <w:snapToGrid w:val="0"/>
        <w:spacing w:line="500" w:lineRule="exact"/>
        <w:ind w:firstLine="480" w:firstLineChars="200"/>
        <w:rPr>
          <w:rFonts w:hint="eastAsia"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式中：△S-单位质量表层土壤中某种物质的增量，g/kg；</w:t>
      </w:r>
    </w:p>
    <w:p w14:paraId="72A9A496">
      <w:pPr>
        <w:adjustRightInd w:val="0"/>
        <w:snapToGrid w:val="0"/>
        <w:spacing w:line="500" w:lineRule="exact"/>
        <w:ind w:firstLine="1200" w:firstLineChars="500"/>
        <w:rPr>
          <w:rFonts w:hint="eastAsia"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I</w:t>
      </w:r>
      <w:r>
        <w:rPr>
          <w:rFonts w:hint="eastAsia" w:ascii="宋体" w:hAnsi="宋体" w:cs="宋体"/>
          <w:color w:val="000000" w:themeColor="text1"/>
          <w:sz w:val="24"/>
          <w:szCs w:val="24"/>
          <w:vertAlign w:val="subscript"/>
          <w14:textFill>
            <w14:solidFill>
              <w14:schemeClr w14:val="tx1"/>
            </w14:solidFill>
          </w14:textFill>
        </w:rPr>
        <w:t>s</w:t>
      </w:r>
      <w:r>
        <w:rPr>
          <w:rFonts w:hint="eastAsia" w:ascii="宋体" w:hAnsi="宋体" w:cs="宋体"/>
          <w:color w:val="000000" w:themeColor="text1"/>
          <w:sz w:val="24"/>
          <w:szCs w:val="24"/>
          <w14:textFill>
            <w14:solidFill>
              <w14:schemeClr w14:val="tx1"/>
            </w14:solidFill>
          </w14:textFill>
        </w:rPr>
        <w:t>-预测评价范围内单位年份表层土壤中某种物质的输入量，g；</w:t>
      </w:r>
    </w:p>
    <w:p w14:paraId="711BF704">
      <w:pPr>
        <w:adjustRightInd w:val="0"/>
        <w:snapToGrid w:val="0"/>
        <w:spacing w:line="500" w:lineRule="exact"/>
        <w:ind w:firstLine="1200" w:firstLineChars="500"/>
        <w:rPr>
          <w:rFonts w:hint="eastAsia"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L</w:t>
      </w:r>
      <w:r>
        <w:rPr>
          <w:rFonts w:hint="eastAsia" w:ascii="宋体" w:hAnsi="宋体" w:cs="宋体"/>
          <w:color w:val="000000" w:themeColor="text1"/>
          <w:sz w:val="24"/>
          <w:szCs w:val="24"/>
          <w:vertAlign w:val="subscript"/>
          <w14:textFill>
            <w14:solidFill>
              <w14:schemeClr w14:val="tx1"/>
            </w14:solidFill>
          </w14:textFill>
        </w:rPr>
        <w:t>s</w:t>
      </w:r>
      <w:r>
        <w:rPr>
          <w:rFonts w:hint="eastAsia" w:ascii="宋体" w:hAnsi="宋体" w:cs="宋体"/>
          <w:color w:val="000000" w:themeColor="text1"/>
          <w:sz w:val="24"/>
          <w:szCs w:val="24"/>
          <w14:textFill>
            <w14:solidFill>
              <w14:schemeClr w14:val="tx1"/>
            </w14:solidFill>
          </w14:textFill>
        </w:rPr>
        <w:t>-预测评价范围内单位年份表层土壤中某种物质经淋溶排出的量，g；</w:t>
      </w:r>
    </w:p>
    <w:p w14:paraId="58E03D47">
      <w:pPr>
        <w:adjustRightInd w:val="0"/>
        <w:snapToGrid w:val="0"/>
        <w:spacing w:line="500" w:lineRule="exact"/>
        <w:ind w:firstLine="1200" w:firstLineChars="500"/>
        <w:rPr>
          <w:rFonts w:hint="eastAsia"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R</w:t>
      </w:r>
      <w:r>
        <w:rPr>
          <w:rFonts w:hint="eastAsia" w:ascii="宋体" w:hAnsi="宋体" w:cs="宋体"/>
          <w:color w:val="000000" w:themeColor="text1"/>
          <w:sz w:val="24"/>
          <w:szCs w:val="24"/>
          <w:vertAlign w:val="subscript"/>
          <w14:textFill>
            <w14:solidFill>
              <w14:schemeClr w14:val="tx1"/>
            </w14:solidFill>
          </w14:textFill>
        </w:rPr>
        <w:t>s</w:t>
      </w:r>
      <w:r>
        <w:rPr>
          <w:rFonts w:hint="eastAsia" w:ascii="宋体" w:hAnsi="宋体" w:cs="宋体"/>
          <w:color w:val="000000" w:themeColor="text1"/>
          <w:sz w:val="24"/>
          <w:szCs w:val="24"/>
          <w14:textFill>
            <w14:solidFill>
              <w14:schemeClr w14:val="tx1"/>
            </w14:solidFill>
          </w14:textFill>
        </w:rPr>
        <w:t>-预测评价范围内单位年份表层土壤中某种物质经径流排出的量，g；</w:t>
      </w:r>
    </w:p>
    <w:p w14:paraId="2D9BAB21">
      <w:pPr>
        <w:adjustRightInd w:val="0"/>
        <w:snapToGrid w:val="0"/>
        <w:spacing w:line="500" w:lineRule="exact"/>
        <w:ind w:firstLine="1200" w:firstLineChars="500"/>
        <w:rPr>
          <w:rFonts w:hint="eastAsia"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ρ</w:t>
      </w:r>
      <w:r>
        <w:rPr>
          <w:rFonts w:hint="eastAsia" w:ascii="宋体" w:hAnsi="宋体" w:cs="宋体"/>
          <w:color w:val="000000" w:themeColor="text1"/>
          <w:sz w:val="24"/>
          <w:szCs w:val="24"/>
          <w:vertAlign w:val="subscript"/>
          <w14:textFill>
            <w14:solidFill>
              <w14:schemeClr w14:val="tx1"/>
            </w14:solidFill>
          </w14:textFill>
        </w:rPr>
        <w:t>b</w:t>
      </w:r>
      <w:r>
        <w:rPr>
          <w:rFonts w:hint="eastAsia" w:ascii="宋体" w:hAnsi="宋体" w:cs="宋体"/>
          <w:color w:val="000000" w:themeColor="text1"/>
          <w:sz w:val="24"/>
          <w:szCs w:val="24"/>
          <w14:textFill>
            <w14:solidFill>
              <w14:schemeClr w14:val="tx1"/>
            </w14:solidFill>
          </w14:textFill>
        </w:rPr>
        <w:t>-表层土壤容重，kg/m</w:t>
      </w:r>
      <w:r>
        <w:rPr>
          <w:rFonts w:hint="eastAsia" w:ascii="宋体" w:hAnsi="宋体" w:cs="宋体"/>
          <w:color w:val="000000" w:themeColor="text1"/>
          <w:sz w:val="24"/>
          <w:szCs w:val="24"/>
          <w:vertAlign w:val="superscript"/>
          <w14:textFill>
            <w14:solidFill>
              <w14:schemeClr w14:val="tx1"/>
            </w14:solidFill>
          </w14:textFill>
        </w:rPr>
        <w:t>3</w:t>
      </w:r>
      <w:r>
        <w:rPr>
          <w:rFonts w:hint="eastAsia" w:ascii="宋体" w:hAnsi="宋体" w:cs="宋体"/>
          <w:color w:val="000000" w:themeColor="text1"/>
          <w:sz w:val="24"/>
          <w:szCs w:val="24"/>
          <w14:textFill>
            <w14:solidFill>
              <w14:schemeClr w14:val="tx1"/>
            </w14:solidFill>
          </w14:textFill>
        </w:rPr>
        <w:t>；</w:t>
      </w:r>
    </w:p>
    <w:p w14:paraId="4800DEC4">
      <w:pPr>
        <w:adjustRightInd w:val="0"/>
        <w:snapToGrid w:val="0"/>
        <w:spacing w:line="500" w:lineRule="exact"/>
        <w:ind w:firstLine="1200" w:firstLineChars="500"/>
        <w:rPr>
          <w:rFonts w:hint="eastAsia"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A-预测评价范围，m</w:t>
      </w:r>
      <w:r>
        <w:rPr>
          <w:rFonts w:hint="eastAsia" w:ascii="宋体" w:hAnsi="宋体" w:cs="宋体"/>
          <w:color w:val="000000" w:themeColor="text1"/>
          <w:sz w:val="24"/>
          <w:szCs w:val="24"/>
          <w:vertAlign w:val="superscript"/>
          <w14:textFill>
            <w14:solidFill>
              <w14:schemeClr w14:val="tx1"/>
            </w14:solidFill>
          </w14:textFill>
        </w:rPr>
        <w:t>2</w:t>
      </w:r>
      <w:r>
        <w:rPr>
          <w:rFonts w:hint="eastAsia" w:ascii="宋体" w:hAnsi="宋体" w:cs="宋体"/>
          <w:color w:val="000000" w:themeColor="text1"/>
          <w:sz w:val="24"/>
          <w:szCs w:val="24"/>
          <w14:textFill>
            <w14:solidFill>
              <w14:schemeClr w14:val="tx1"/>
            </w14:solidFill>
          </w14:textFill>
        </w:rPr>
        <w:t>；</w:t>
      </w:r>
    </w:p>
    <w:p w14:paraId="646ECD82">
      <w:pPr>
        <w:adjustRightInd w:val="0"/>
        <w:snapToGrid w:val="0"/>
        <w:spacing w:line="500" w:lineRule="exact"/>
        <w:ind w:firstLine="1200" w:firstLineChars="500"/>
        <w:rPr>
          <w:rFonts w:hint="eastAsia"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D-表层土壤深度，一般取0.2m，可根据实际情况适当调整；</w:t>
      </w:r>
    </w:p>
    <w:p w14:paraId="09CED8EF">
      <w:pPr>
        <w:adjustRightInd w:val="0"/>
        <w:snapToGrid w:val="0"/>
        <w:spacing w:line="500" w:lineRule="exact"/>
        <w:ind w:firstLine="1200" w:firstLineChars="500"/>
        <w:rPr>
          <w:rFonts w:hint="eastAsia"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n-持续年份，a。</w:t>
      </w:r>
    </w:p>
    <w:p w14:paraId="5F650118">
      <w:pPr>
        <w:pStyle w:val="191"/>
        <w:ind w:firstLine="480"/>
        <w:rPr>
          <w:rFonts w:hint="eastAsia"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（2）单位质量土壤中某种物质的预测值</w:t>
      </w:r>
    </w:p>
    <w:p w14:paraId="40E7DF5E">
      <w:pPr>
        <w:adjustRightInd w:val="0"/>
        <w:snapToGrid w:val="0"/>
        <w:spacing w:line="500" w:lineRule="exact"/>
        <w:jc w:val="center"/>
        <w:rPr>
          <w:rFonts w:hint="eastAsia"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S=S</w:t>
      </w:r>
      <w:r>
        <w:rPr>
          <w:rFonts w:hint="eastAsia" w:ascii="宋体" w:hAnsi="宋体" w:cs="宋体"/>
          <w:color w:val="000000" w:themeColor="text1"/>
          <w:sz w:val="24"/>
          <w:szCs w:val="24"/>
          <w:vertAlign w:val="subscript"/>
          <w14:textFill>
            <w14:solidFill>
              <w14:schemeClr w14:val="tx1"/>
            </w14:solidFill>
          </w14:textFill>
        </w:rPr>
        <w:t>b</w:t>
      </w:r>
      <w:r>
        <w:rPr>
          <w:rFonts w:hint="eastAsia" w:ascii="宋体" w:hAnsi="宋体" w:cs="宋体"/>
          <w:color w:val="000000" w:themeColor="text1"/>
          <w:sz w:val="24"/>
          <w:szCs w:val="24"/>
          <w14:textFill>
            <w14:solidFill>
              <w14:schemeClr w14:val="tx1"/>
            </w14:solidFill>
          </w14:textFill>
        </w:rPr>
        <w:t>+△S</w:t>
      </w:r>
    </w:p>
    <w:p w14:paraId="1A70F756">
      <w:pPr>
        <w:adjustRightInd w:val="0"/>
        <w:snapToGrid w:val="0"/>
        <w:spacing w:line="500" w:lineRule="exact"/>
        <w:ind w:firstLine="480" w:firstLineChars="200"/>
        <w:rPr>
          <w:rFonts w:hint="eastAsia"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式中：S-单位质量土壤中某种物质的预测值，g/kg；</w:t>
      </w:r>
    </w:p>
    <w:p w14:paraId="7ACD5E14">
      <w:pPr>
        <w:adjustRightInd w:val="0"/>
        <w:snapToGrid w:val="0"/>
        <w:spacing w:line="500" w:lineRule="exact"/>
        <w:ind w:firstLine="480" w:firstLineChars="200"/>
        <w:rPr>
          <w:rFonts w:hint="eastAsia"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 xml:space="preserve">      S</w:t>
      </w:r>
      <w:r>
        <w:rPr>
          <w:rFonts w:hint="eastAsia" w:ascii="宋体" w:hAnsi="宋体" w:cs="宋体"/>
          <w:color w:val="000000" w:themeColor="text1"/>
          <w:sz w:val="24"/>
          <w:szCs w:val="24"/>
          <w:vertAlign w:val="subscript"/>
          <w14:textFill>
            <w14:solidFill>
              <w14:schemeClr w14:val="tx1"/>
            </w14:solidFill>
          </w14:textFill>
        </w:rPr>
        <w:t>b</w:t>
      </w:r>
      <w:r>
        <w:rPr>
          <w:rFonts w:hint="eastAsia" w:ascii="宋体" w:hAnsi="宋体" w:cs="宋体"/>
          <w:color w:val="000000" w:themeColor="text1"/>
          <w:sz w:val="24"/>
          <w:szCs w:val="24"/>
          <w14:textFill>
            <w14:solidFill>
              <w14:schemeClr w14:val="tx1"/>
            </w14:solidFill>
          </w14:textFill>
        </w:rPr>
        <w:t>-单位质量土壤中某种物质的现状值，g/kg。</w:t>
      </w:r>
    </w:p>
    <w:p w14:paraId="339F1C2E">
      <w:pPr>
        <w:adjustRightInd w:val="0"/>
        <w:snapToGrid w:val="0"/>
        <w:spacing w:line="500" w:lineRule="exact"/>
        <w:ind w:firstLine="480" w:firstLineChars="200"/>
        <w:rPr>
          <w:rFonts w:hint="eastAsia" w:ascii="宋体" w:hAnsi="宋体" w:cs="宋体"/>
          <w:color w:val="000000" w:themeColor="text1"/>
          <w:sz w:val="24"/>
          <w:szCs w:val="24"/>
          <w14:textFill>
            <w14:solidFill>
              <w14:schemeClr w14:val="tx1"/>
            </w14:solidFill>
          </w14:textFill>
        </w:rPr>
      </w:pPr>
      <w:bookmarkStart w:id="587" w:name="OLE_LINK195"/>
      <w:r>
        <w:rPr>
          <w:rFonts w:hint="eastAsia" w:ascii="宋体" w:hAnsi="宋体" w:cs="宋体"/>
          <w:color w:val="000000" w:themeColor="text1"/>
          <w:sz w:val="24"/>
          <w:szCs w:val="24"/>
          <w14:textFill>
            <w14:solidFill>
              <w14:schemeClr w14:val="tx1"/>
            </w14:solidFill>
          </w14:textFill>
        </w:rPr>
        <w:t>项目所处区域气候干燥，年降雨量较小，项目考虑最不利情况，Ls和Rs取值均为0，预测评价范围为以泄漏点为中心100m</w:t>
      </w:r>
      <w:r>
        <w:rPr>
          <w:rFonts w:hint="eastAsia" w:ascii="宋体" w:hAnsi="宋体" w:cs="宋体"/>
          <w:color w:val="000000" w:themeColor="text1"/>
          <w:kern w:val="0"/>
          <w:sz w:val="24"/>
          <w:szCs w:val="24"/>
          <w14:textFill>
            <w14:solidFill>
              <w14:schemeClr w14:val="tx1"/>
            </w14:solidFill>
          </w14:textFill>
        </w:rPr>
        <w:t>×1</w:t>
      </w:r>
      <w:r>
        <w:rPr>
          <w:rFonts w:hint="eastAsia" w:ascii="宋体" w:hAnsi="宋体" w:cs="宋体"/>
          <w:color w:val="000000" w:themeColor="text1"/>
          <w:sz w:val="24"/>
          <w:szCs w:val="24"/>
          <w14:textFill>
            <w14:solidFill>
              <w14:schemeClr w14:val="tx1"/>
            </w14:solidFill>
          </w14:textFill>
        </w:rPr>
        <w:t>00m范围，表层土壤容重根据区域土壤理化特性调查取值为</w:t>
      </w:r>
      <w:r>
        <w:rPr>
          <w:rFonts w:hint="eastAsia" w:ascii="宋体" w:hAnsi="宋体" w:cs="宋体"/>
          <w:color w:val="000000" w:themeColor="text1"/>
          <w:spacing w:val="-10"/>
          <w:sz w:val="24"/>
          <w:szCs w:val="24"/>
          <w14:textFill>
            <w14:solidFill>
              <w14:schemeClr w14:val="tx1"/>
            </w14:solidFill>
          </w14:textFill>
        </w:rPr>
        <w:t>1.31×</w:t>
      </w:r>
      <w:r>
        <w:rPr>
          <w:rFonts w:ascii="宋体" w:hAnsi="宋体" w:cs="宋体"/>
          <w:color w:val="000000" w:themeColor="text1"/>
          <w:spacing w:val="-10"/>
          <w:sz w:val="24"/>
          <w:szCs w:val="24"/>
          <w14:textFill>
            <w14:solidFill>
              <w14:schemeClr w14:val="tx1"/>
            </w14:solidFill>
          </w14:textFill>
        </w:rPr>
        <w:t>10</w:t>
      </w:r>
      <w:r>
        <w:rPr>
          <w:rFonts w:ascii="宋体" w:hAnsi="宋体" w:cs="宋体"/>
          <w:color w:val="000000" w:themeColor="text1"/>
          <w:spacing w:val="-10"/>
          <w:sz w:val="24"/>
          <w:szCs w:val="24"/>
          <w:vertAlign w:val="superscript"/>
          <w14:textFill>
            <w14:solidFill>
              <w14:schemeClr w14:val="tx1"/>
            </w14:solidFill>
          </w14:textFill>
        </w:rPr>
        <w:t>3</w:t>
      </w:r>
      <w:r>
        <w:rPr>
          <w:rFonts w:hint="eastAsia" w:ascii="宋体" w:hAnsi="宋体" w:cs="宋体"/>
          <w:color w:val="000000" w:themeColor="text1"/>
          <w:spacing w:val="-10"/>
          <w:sz w:val="24"/>
          <w:szCs w:val="24"/>
          <w14:textFill>
            <w14:solidFill>
              <w14:schemeClr w14:val="tx1"/>
            </w14:solidFill>
          </w14:textFill>
        </w:rPr>
        <w:t>kg/m</w:t>
      </w:r>
      <w:r>
        <w:rPr>
          <w:rFonts w:hint="eastAsia" w:ascii="宋体" w:hAnsi="宋体" w:cs="宋体"/>
          <w:color w:val="000000" w:themeColor="text1"/>
          <w:spacing w:val="-10"/>
          <w:sz w:val="24"/>
          <w:szCs w:val="24"/>
          <w:vertAlign w:val="superscript"/>
          <w14:textFill>
            <w14:solidFill>
              <w14:schemeClr w14:val="tx1"/>
            </w14:solidFill>
          </w14:textFill>
        </w:rPr>
        <w:t>3</w:t>
      </w:r>
      <w:r>
        <w:rPr>
          <w:rFonts w:hint="eastAsia" w:ascii="宋体" w:hAnsi="宋体" w:cs="宋体"/>
          <w:color w:val="000000" w:themeColor="text1"/>
          <w:spacing w:val="-10"/>
          <w:sz w:val="24"/>
          <w:szCs w:val="24"/>
          <w14:textFill>
            <w14:solidFill>
              <w14:schemeClr w14:val="tx1"/>
            </w14:solidFill>
          </w14:textFill>
        </w:rPr>
        <w:t>，根据项目区土壤盐分监测结果，</w:t>
      </w:r>
      <w:r>
        <w:rPr>
          <w:rFonts w:hint="eastAsia" w:ascii="宋体" w:hAnsi="宋体" w:cs="宋体"/>
          <w:color w:val="000000" w:themeColor="text1"/>
          <w:sz w:val="24"/>
          <w:szCs w:val="24"/>
          <w14:textFill>
            <w14:solidFill>
              <w14:schemeClr w14:val="tx1"/>
            </w14:solidFill>
          </w14:textFill>
        </w:rPr>
        <w:t>单位质量土壤中某种物质的现状值为57.7g/kg。</w:t>
      </w:r>
      <w:r>
        <w:rPr>
          <w:rFonts w:hint="eastAsia" w:ascii="宋体" w:hAnsi="宋体" w:cs="宋体"/>
          <w:color w:val="000000" w:themeColor="text1"/>
          <w:spacing w:val="-10"/>
          <w:sz w:val="24"/>
          <w:szCs w:val="24"/>
          <w14:textFill>
            <w14:solidFill>
              <w14:schemeClr w14:val="tx1"/>
            </w14:solidFill>
          </w14:textFill>
        </w:rPr>
        <w:t>预测年份为</w:t>
      </w:r>
      <w:r>
        <w:rPr>
          <w:rFonts w:ascii="宋体" w:hAnsi="宋体" w:cs="宋体"/>
          <w:color w:val="000000" w:themeColor="text1"/>
          <w:spacing w:val="-10"/>
          <w:sz w:val="24"/>
          <w:szCs w:val="24"/>
          <w14:textFill>
            <w14:solidFill>
              <w14:schemeClr w14:val="tx1"/>
            </w14:solidFill>
          </w14:textFill>
        </w:rPr>
        <w:t>1</w:t>
      </w:r>
      <w:r>
        <w:rPr>
          <w:rFonts w:hint="eastAsia" w:ascii="宋体" w:hAnsi="宋体" w:cs="宋体"/>
          <w:color w:val="000000" w:themeColor="text1"/>
          <w:spacing w:val="-10"/>
          <w:sz w:val="24"/>
          <w:szCs w:val="24"/>
          <w14:textFill>
            <w14:solidFill>
              <w14:schemeClr w14:val="tx1"/>
            </w14:solidFill>
          </w14:textFill>
        </w:rPr>
        <w:t>a(</w:t>
      </w:r>
      <w:r>
        <w:rPr>
          <w:rFonts w:ascii="宋体" w:hAnsi="宋体" w:cs="宋体"/>
          <w:color w:val="000000" w:themeColor="text1"/>
          <w:spacing w:val="-10"/>
          <w:sz w:val="24"/>
          <w:szCs w:val="24"/>
          <w14:textFill>
            <w14:solidFill>
              <w14:schemeClr w14:val="tx1"/>
            </w14:solidFill>
          </w14:textFill>
        </w:rPr>
        <w:t>365</w:t>
      </w:r>
      <w:r>
        <w:rPr>
          <w:rFonts w:hint="eastAsia" w:ascii="宋体" w:hAnsi="宋体" w:cs="宋体"/>
          <w:color w:val="000000" w:themeColor="text1"/>
          <w:spacing w:val="-10"/>
          <w:sz w:val="24"/>
          <w:szCs w:val="24"/>
          <w14:textFill>
            <w14:solidFill>
              <w14:schemeClr w14:val="tx1"/>
            </w14:solidFill>
          </w14:textFill>
        </w:rPr>
        <w:t>天)。</w:t>
      </w:r>
    </w:p>
    <w:p w14:paraId="7A08CE60">
      <w:pPr>
        <w:adjustRightInd w:val="0"/>
        <w:snapToGrid w:val="0"/>
        <w:spacing w:line="500" w:lineRule="exact"/>
        <w:ind w:firstLine="480" w:firstLineChars="200"/>
        <w:rPr>
          <w:rFonts w:hint="eastAsia"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根据上述计算结果，在</w:t>
      </w:r>
      <w:r>
        <w:rPr>
          <w:rFonts w:ascii="宋体" w:hAnsi="宋体" w:cs="宋体"/>
          <w:color w:val="000000" w:themeColor="text1"/>
          <w:spacing w:val="-10"/>
          <w:sz w:val="24"/>
          <w:szCs w:val="24"/>
          <w14:textFill>
            <w14:solidFill>
              <w14:schemeClr w14:val="tx1"/>
            </w14:solidFill>
          </w14:textFill>
        </w:rPr>
        <w:t>1</w:t>
      </w:r>
      <w:r>
        <w:rPr>
          <w:rFonts w:hint="eastAsia" w:ascii="宋体" w:hAnsi="宋体" w:cs="宋体"/>
          <w:color w:val="000000" w:themeColor="text1"/>
          <w:spacing w:val="-10"/>
          <w:sz w:val="24"/>
          <w:szCs w:val="24"/>
          <w14:textFill>
            <w14:solidFill>
              <w14:schemeClr w14:val="tx1"/>
            </w14:solidFill>
          </w14:textFill>
        </w:rPr>
        <w:t>年内，单位质量土壤中盐分含量的增量为0.012</w:t>
      </w:r>
      <w:r>
        <w:rPr>
          <w:rFonts w:hint="eastAsia" w:ascii="宋体" w:hAnsi="宋体" w:cs="宋体"/>
          <w:color w:val="000000" w:themeColor="text1"/>
          <w:sz w:val="24"/>
          <w:szCs w:val="24"/>
          <w14:textFill>
            <w14:solidFill>
              <w14:schemeClr w14:val="tx1"/>
            </w14:solidFill>
          </w14:textFill>
        </w:rPr>
        <w:t>g/kg，叠加现状值后的预测值为57.712g/kg。</w:t>
      </w:r>
    </w:p>
    <w:p w14:paraId="3EE22585">
      <w:pPr>
        <w:adjustRightInd w:val="0"/>
        <w:snapToGrid w:val="0"/>
        <w:spacing w:line="500" w:lineRule="exact"/>
        <w:ind w:firstLine="480" w:firstLineChars="200"/>
        <w:rPr>
          <w:rFonts w:hint="eastAsia"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从预测结果可知，发生泄漏后，导致泄漏点周边区域土壤中盐分含量有所升高，但增加量不大；根据《环境影响评价技术导则 土壤环境（试行）》（HJ964-2018）附录D可知，项目所在区属于重度盐化地区，集油干线泄漏后，泄漏的采出液不会改变项目所在区域的土壤盐化分级，不会明显改变区域土壤盐分含量。但在发生泄漏后，吉庆油田作业区按照要求将泄漏点周围区域土壤进行清理，且随着雨水淋溶，区域土壤中增加的盐分含量将逐渐降低直至恢复至平均水平。</w:t>
      </w:r>
    </w:p>
    <w:bookmarkEnd w:id="571"/>
    <w:bookmarkEnd w:id="572"/>
    <w:bookmarkEnd w:id="573"/>
    <w:bookmarkEnd w:id="578"/>
    <w:bookmarkEnd w:id="587"/>
    <w:p w14:paraId="04C647D8">
      <w:pPr>
        <w:pStyle w:val="4"/>
        <w:rPr>
          <w:rFonts w:hint="eastAsia"/>
          <w:color w:val="000000" w:themeColor="text1"/>
          <w14:textFill>
            <w14:solidFill>
              <w14:schemeClr w14:val="tx1"/>
            </w14:solidFill>
          </w14:textFill>
        </w:rPr>
      </w:pPr>
      <w:bookmarkStart w:id="588" w:name="_Toc474416145"/>
      <w:bookmarkStart w:id="589" w:name="_Toc474793588"/>
      <w:bookmarkStart w:id="590" w:name="_Toc475624483"/>
      <w:r>
        <w:rPr>
          <w:rFonts w:hint="eastAsia"/>
          <w:color w:val="000000" w:themeColor="text1"/>
          <w14:textFill>
            <w14:solidFill>
              <w14:schemeClr w14:val="tx1"/>
            </w14:solidFill>
          </w14:textFill>
        </w:rPr>
        <w:t>运营期生态环境影响分析</w:t>
      </w:r>
    </w:p>
    <w:p w14:paraId="45BEEBDB">
      <w:pPr>
        <w:pStyle w:val="117"/>
        <w:adjustRightInd w:val="0"/>
        <w:snapToGrid w:val="0"/>
        <w:ind w:firstLine="480"/>
        <w:rPr>
          <w:rFonts w:hint="eastAsia"/>
          <w:color w:val="000000" w:themeColor="text1"/>
          <w14:textFill>
            <w14:solidFill>
              <w14:schemeClr w14:val="tx1"/>
            </w14:solidFill>
          </w14:textFill>
        </w:rPr>
      </w:pPr>
      <w:bookmarkStart w:id="591" w:name="_Hlk80202844"/>
      <w:r>
        <w:rPr>
          <w:rFonts w:hint="eastAsia"/>
          <w:color w:val="000000" w:themeColor="text1"/>
          <w14:textFill>
            <w14:solidFill>
              <w14:schemeClr w14:val="tx1"/>
            </w14:solidFill>
          </w14:textFill>
        </w:rPr>
        <w:t>运营期不新增占地，临时占地正在进行自然恢复。随着施工人员撤离作业区域，人类活动和占地都将减少，野生动物对新环境适应后的活动和分布范围将恢复。运营期正常的巡检等活动也会对野生动物的生存及栖息造成影响，但是由于作业区加强对环境保护的宣传工作、员工的环保意识，特别是对野生动物的保护意识不断加强，对野生动物不会产生太大影响。</w:t>
      </w:r>
    </w:p>
    <w:p w14:paraId="486B07DA">
      <w:pPr>
        <w:pStyle w:val="4"/>
        <w:rPr>
          <w:rFonts w:hint="eastAsia"/>
          <w:color w:val="000000" w:themeColor="text1"/>
          <w14:textFill>
            <w14:solidFill>
              <w14:schemeClr w14:val="tx1"/>
            </w14:solidFill>
          </w14:textFill>
        </w:rPr>
      </w:pPr>
      <w:bookmarkStart w:id="592" w:name="_Hlk162374973"/>
      <w:r>
        <w:rPr>
          <w:rFonts w:hint="eastAsia"/>
          <w:color w:val="000000" w:themeColor="text1"/>
          <w14:textFill>
            <w14:solidFill>
              <w14:schemeClr w14:val="tx1"/>
            </w14:solidFill>
          </w14:textFill>
        </w:rPr>
        <w:t>温室气体影响分析</w:t>
      </w:r>
    </w:p>
    <w:p w14:paraId="4D190120">
      <w:pPr>
        <w:pStyle w:val="117"/>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温室气体排放会加剧温室效应，导致气候异常、破坏生态环境，进而影响农、林、牧、渔等方方面面，对人类生存环境造成威胁。本工程涉及温室气体排放环节为原油开采、处理过程中CH</w:t>
      </w:r>
      <w:r>
        <w:rPr>
          <w:rFonts w:hint="eastAsia"/>
          <w:color w:val="000000" w:themeColor="text1"/>
          <w:vertAlign w:val="subscript"/>
          <w14:textFill>
            <w14:solidFill>
              <w14:schemeClr w14:val="tx1"/>
            </w14:solidFill>
          </w14:textFill>
        </w:rPr>
        <w:t>4</w:t>
      </w:r>
      <w:r>
        <w:rPr>
          <w:rFonts w:hint="eastAsia"/>
          <w:color w:val="000000" w:themeColor="text1"/>
          <w14:textFill>
            <w14:solidFill>
              <w14:schemeClr w14:val="tx1"/>
            </w14:solidFill>
          </w14:textFill>
        </w:rPr>
        <w:t>逃逸排放量、事故火炬CH</w:t>
      </w:r>
      <w:r>
        <w:rPr>
          <w:rFonts w:hint="eastAsia"/>
          <w:color w:val="000000" w:themeColor="text1"/>
          <w:vertAlign w:val="subscript"/>
          <w14:textFill>
            <w14:solidFill>
              <w14:schemeClr w14:val="tx1"/>
            </w14:solidFill>
          </w14:textFill>
        </w:rPr>
        <w:t>4</w:t>
      </w:r>
      <w:r>
        <w:rPr>
          <w:rFonts w:hint="eastAsia"/>
          <w:color w:val="000000" w:themeColor="text1"/>
          <w14:textFill>
            <w14:solidFill>
              <w14:schemeClr w14:val="tx1"/>
            </w14:solidFill>
          </w14:textFill>
        </w:rPr>
        <w:t>排放和CO</w:t>
      </w:r>
      <w:r>
        <w:rPr>
          <w:rFonts w:hint="eastAsia"/>
          <w:color w:val="000000" w:themeColor="text1"/>
          <w:vertAlign w:val="subscript"/>
          <w14:textFill>
            <w14:solidFill>
              <w14:schemeClr w14:val="tx1"/>
            </w14:solidFill>
          </w14:textFill>
        </w:rPr>
        <w:t>2</w:t>
      </w:r>
      <w:r>
        <w:rPr>
          <w:rFonts w:hint="eastAsia"/>
          <w:color w:val="000000" w:themeColor="text1"/>
          <w14:textFill>
            <w14:solidFill>
              <w14:schemeClr w14:val="tx1"/>
            </w14:solidFill>
          </w14:textFill>
        </w:rPr>
        <w:t>排放、净购入电力隐含的CO</w:t>
      </w:r>
      <w:r>
        <w:rPr>
          <w:rFonts w:hint="eastAsia"/>
          <w:color w:val="000000" w:themeColor="text1"/>
          <w:vertAlign w:val="subscript"/>
          <w14:textFill>
            <w14:solidFill>
              <w14:schemeClr w14:val="tx1"/>
            </w14:solidFill>
          </w14:textFill>
        </w:rPr>
        <w:t>2</w:t>
      </w:r>
      <w:r>
        <w:rPr>
          <w:rFonts w:hint="eastAsia"/>
          <w:color w:val="000000" w:themeColor="text1"/>
          <w14:textFill>
            <w14:solidFill>
              <w14:schemeClr w14:val="tx1"/>
            </w14:solidFill>
          </w14:textFill>
        </w:rPr>
        <w:t>排放。项目运营期在工艺技术、节能设备及碳排放管理等方面均采取了较完善的减污降碳措施，加强各设备的检维修，减少事故状态发生，有利于减少二氧化碳排放，对比同类企业碳排放水平，本工程CO</w:t>
      </w:r>
      <w:r>
        <w:rPr>
          <w:rFonts w:hint="eastAsia"/>
          <w:color w:val="000000" w:themeColor="text1"/>
          <w:vertAlign w:val="subscript"/>
          <w14:textFill>
            <w14:solidFill>
              <w14:schemeClr w14:val="tx1"/>
            </w14:solidFill>
          </w14:textFill>
        </w:rPr>
        <w:t>2</w:t>
      </w:r>
      <w:r>
        <w:rPr>
          <w:rFonts w:hint="eastAsia"/>
          <w:color w:val="000000" w:themeColor="text1"/>
          <w14:textFill>
            <w14:solidFill>
              <w14:schemeClr w14:val="tx1"/>
            </w14:solidFill>
          </w14:textFill>
        </w:rPr>
        <w:t>排放强度相对较低，温室气体排放对环境的影响不大。同时项目采用二氧化碳注入地下驱油，不仅可以提高油田采收率，而且可以将二氧化碳永远封存于地下，有效减少了温室气体二氧化碳的排放量，为区域实现“碳达峰”目标和“碳中和”愿景贡献力量，对改善区域大气环境具有积极作用。</w:t>
      </w:r>
    </w:p>
    <w:bookmarkEnd w:id="591"/>
    <w:bookmarkEnd w:id="592"/>
    <w:p w14:paraId="534CF4AD">
      <w:pPr>
        <w:pStyle w:val="2"/>
        <w:rPr>
          <w:rFonts w:hint="eastAsia"/>
          <w:color w:val="000000" w:themeColor="text1"/>
          <w14:textFill>
            <w14:solidFill>
              <w14:schemeClr w14:val="tx1"/>
            </w14:solidFill>
          </w14:textFill>
        </w:rPr>
      </w:pPr>
      <w:bookmarkStart w:id="593" w:name="_Toc216260311"/>
      <w:r>
        <w:rPr>
          <w:rFonts w:hint="eastAsia"/>
          <w:color w:val="000000" w:themeColor="text1"/>
          <w14:textFill>
            <w14:solidFill>
              <w14:schemeClr w14:val="tx1"/>
            </w14:solidFill>
          </w14:textFill>
        </w:rPr>
        <w:t>退役期</w:t>
      </w:r>
      <w:r>
        <w:rPr>
          <w:color w:val="000000" w:themeColor="text1"/>
          <w14:textFill>
            <w14:solidFill>
              <w14:schemeClr w14:val="tx1"/>
            </w14:solidFill>
          </w14:textFill>
        </w:rPr>
        <w:t>影响分析</w:t>
      </w:r>
      <w:bookmarkEnd w:id="588"/>
      <w:bookmarkEnd w:id="589"/>
      <w:bookmarkEnd w:id="590"/>
      <w:bookmarkEnd w:id="593"/>
    </w:p>
    <w:p w14:paraId="4A5378B3">
      <w:pPr>
        <w:pStyle w:val="117"/>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退役期内，各种机械设备停用，工作人员陆续撤离，大气污染物、废水、噪声及固体废物等对环境的影响将会逐步消失。</w:t>
      </w:r>
    </w:p>
    <w:p w14:paraId="7F4A3B6C">
      <w:pPr>
        <w:pStyle w:val="117"/>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退役期的清理工作包括地面设施拆除、井筒用水泥灌注封井、设水泥标桩、井场清理、管线封堵</w:t>
      </w:r>
      <w:r>
        <w:rPr>
          <w:color w:val="000000" w:themeColor="text1"/>
          <w14:textFill>
            <w14:solidFill>
              <w14:schemeClr w14:val="tx1"/>
            </w14:solidFill>
          </w14:textFill>
        </w:rPr>
        <w:t>等。</w:t>
      </w:r>
      <w:r>
        <w:rPr>
          <w:rFonts w:hint="eastAsia"/>
          <w:color w:val="000000" w:themeColor="text1"/>
          <w14:textFill>
            <w14:solidFill>
              <w14:schemeClr w14:val="tx1"/>
            </w14:solidFill>
          </w14:textFill>
        </w:rPr>
        <w:t>项目封井水泥全部由混凝土供应商提供，现场不设置搅拌点。</w:t>
      </w:r>
      <w:r>
        <w:rPr>
          <w:color w:val="000000" w:themeColor="text1"/>
          <w14:textFill>
            <w14:solidFill>
              <w14:schemeClr w14:val="tx1"/>
            </w14:solidFill>
          </w14:textFill>
        </w:rPr>
        <w:t>在</w:t>
      </w:r>
      <w:r>
        <w:rPr>
          <w:rFonts w:hint="eastAsia"/>
          <w:color w:val="000000" w:themeColor="text1"/>
          <w14:textFill>
            <w14:solidFill>
              <w14:schemeClr w14:val="tx1"/>
            </w14:solidFill>
          </w14:textFill>
        </w:rPr>
        <w:t>此过程中</w:t>
      </w:r>
      <w:r>
        <w:rPr>
          <w:color w:val="000000" w:themeColor="text1"/>
          <w14:textFill>
            <w14:solidFill>
              <w14:schemeClr w14:val="tx1"/>
            </w14:solidFill>
          </w14:textFill>
        </w:rPr>
        <w:t>，将会产生少量扬尘</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部分废弃管线</w:t>
      </w:r>
      <w:r>
        <w:rPr>
          <w:rFonts w:hint="eastAsia"/>
          <w:color w:val="000000" w:themeColor="text1"/>
          <w14:textFill>
            <w14:solidFill>
              <w14:schemeClr w14:val="tx1"/>
            </w14:solidFill>
          </w14:textFill>
        </w:rPr>
        <w:t>和</w:t>
      </w:r>
      <w:r>
        <w:rPr>
          <w:color w:val="000000" w:themeColor="text1"/>
          <w14:textFill>
            <w14:solidFill>
              <w14:schemeClr w14:val="tx1"/>
            </w14:solidFill>
          </w14:textFill>
        </w:rPr>
        <w:t>废弃建筑残渣等固体废物，对这些废弃管线、残渣等进行集中清理收集，管线外运经清洗后可回收再利用，废弃建筑残渣运至</w:t>
      </w:r>
      <w:r>
        <w:rPr>
          <w:rFonts w:hint="eastAsia"/>
          <w:color w:val="000000" w:themeColor="text1"/>
          <w14:textFill>
            <w14:solidFill>
              <w14:schemeClr w14:val="tx1"/>
            </w14:solidFill>
          </w14:textFill>
        </w:rPr>
        <w:t>当地建筑垃圾填埋场处理</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地面设施拆除、井场清理等工作过程中被原油污染的防渗膜或油渣等危险固废，交由有资质的单位进行无害化处置，不会对周围环境产生影响。固体废物均妥善处理，可以有效控制对区域环境的影响。</w:t>
      </w:r>
    </w:p>
    <w:p w14:paraId="5DD69A9D">
      <w:pPr>
        <w:pStyle w:val="117"/>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井场及预处理注入站经过清理后，永久性占地范围内的水泥平台或砂砾石铺垫被清理，随后根据周边区域的自然现状对其进行恢复，使井场恢复到相对自然的一种状态。油田设施</w:t>
      </w:r>
      <w:bookmarkStart w:id="594" w:name="OLE_LINK4"/>
      <w:r>
        <w:rPr>
          <w:rFonts w:hint="eastAsia"/>
          <w:color w:val="000000" w:themeColor="text1"/>
          <w14:textFill>
            <w14:solidFill>
              <w14:schemeClr w14:val="tx1"/>
            </w14:solidFill>
          </w14:textFill>
        </w:rPr>
        <w:t>退役后，人员撤离，区域内没有了人为的扰动，井场范围内的自然植被会逐渐得以恢复，有助于区域生态环境的改善。</w:t>
      </w:r>
      <w:bookmarkEnd w:id="594"/>
    </w:p>
    <w:p w14:paraId="0CF666F5">
      <w:pPr>
        <w:pStyle w:val="2"/>
        <w:rPr>
          <w:rFonts w:hint="eastAsia"/>
          <w:color w:val="000000" w:themeColor="text1"/>
          <w14:textFill>
            <w14:solidFill>
              <w14:schemeClr w14:val="tx1"/>
            </w14:solidFill>
          </w14:textFill>
        </w:rPr>
      </w:pPr>
      <w:bookmarkStart w:id="595" w:name="_Toc475624485"/>
      <w:bookmarkStart w:id="596" w:name="_Toc216260312"/>
      <w:bookmarkStart w:id="597" w:name="_Toc474793590"/>
      <w:r>
        <w:rPr>
          <w:rFonts w:hint="eastAsia"/>
          <w:color w:val="000000" w:themeColor="text1"/>
          <w14:textFill>
            <w14:solidFill>
              <w14:schemeClr w14:val="tx1"/>
            </w14:solidFill>
          </w14:textFill>
        </w:rPr>
        <w:t>环境</w:t>
      </w:r>
      <w:r>
        <w:rPr>
          <w:color w:val="000000" w:themeColor="text1"/>
          <w14:textFill>
            <w14:solidFill>
              <w14:schemeClr w14:val="tx1"/>
            </w14:solidFill>
          </w14:textFill>
        </w:rPr>
        <w:t>风险分析</w:t>
      </w:r>
      <w:bookmarkEnd w:id="595"/>
      <w:bookmarkEnd w:id="596"/>
      <w:bookmarkEnd w:id="597"/>
    </w:p>
    <w:p w14:paraId="63D88A63">
      <w:pPr>
        <w:pStyle w:val="4"/>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评价依据</w:t>
      </w:r>
    </w:p>
    <w:p w14:paraId="0541D973">
      <w:pPr>
        <w:pStyle w:val="117"/>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本项目涉及的风险物质为原油、伴生气和少量的硫化氢。风险单元为单井采油管线、集油支线、预处理注入站、单井注气管线、转液管线等，则危险物质与临界量的比值（Q值）计算结果详见表</w:t>
      </w:r>
      <w:r>
        <w:rPr>
          <w:color w:val="000000" w:themeColor="text1"/>
          <w14:textFill>
            <w14:solidFill>
              <w14:schemeClr w14:val="tx1"/>
            </w14:solidFill>
          </w14:textFill>
        </w:rPr>
        <w:t>5.4</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1</w:t>
      </w:r>
      <w:r>
        <w:rPr>
          <w:rFonts w:hint="eastAsia"/>
          <w:color w:val="000000" w:themeColor="text1"/>
          <w14:textFill>
            <w14:solidFill>
              <w14:schemeClr w14:val="tx1"/>
            </w14:solidFill>
          </w14:textFill>
        </w:rPr>
        <w:t>。</w:t>
      </w:r>
    </w:p>
    <w:p w14:paraId="4A3FD051">
      <w:pPr>
        <w:pStyle w:val="15"/>
        <w:rPr>
          <w:rFonts w:hint="eastAsia"/>
          <w:color w:val="000000" w:themeColor="text1"/>
          <w14:textFill>
            <w14:solidFill>
              <w14:schemeClr w14:val="tx1"/>
            </w14:solidFill>
          </w14:textFill>
        </w:rPr>
      </w:pPr>
      <w:bookmarkStart w:id="598" w:name="_Hlk157857735"/>
      <w:r>
        <w:rPr>
          <w:rFonts w:hint="eastAsia"/>
          <w:color w:val="000000" w:themeColor="text1"/>
          <w14:textFill>
            <w14:solidFill>
              <w14:schemeClr w14:val="tx1"/>
            </w14:solidFill>
          </w14:textFill>
        </w:rPr>
        <w:t>表</w:t>
      </w:r>
      <w:r>
        <w:rPr>
          <w:color w:val="000000" w:themeColor="text1"/>
          <w14:textFill>
            <w14:solidFill>
              <w14:schemeClr w14:val="tx1"/>
            </w14:solidFill>
          </w14:textFill>
        </w:rPr>
        <w:t>5.4</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 xml:space="preserve">1  </w:t>
      </w:r>
      <w:r>
        <w:rPr>
          <w:rFonts w:hint="eastAsia"/>
          <w:color w:val="000000" w:themeColor="text1"/>
          <w14:textFill>
            <w14:solidFill>
              <w14:schemeClr w14:val="tx1"/>
            </w14:solidFill>
          </w14:textFill>
        </w:rPr>
        <w:t>各风险单元Q值一览表</w:t>
      </w:r>
      <w:bookmarkEnd w:id="598"/>
      <w:bookmarkStart w:id="599" w:name="_Toc459026585"/>
    </w:p>
    <w:tbl>
      <w:tblPr>
        <w:tblStyle w:val="51"/>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803"/>
        <w:gridCol w:w="1804"/>
        <w:gridCol w:w="1150"/>
        <w:gridCol w:w="986"/>
        <w:gridCol w:w="1804"/>
        <w:gridCol w:w="1399"/>
      </w:tblGrid>
      <w:tr w14:paraId="6553DB7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08" w:type="pct"/>
            <w:vAlign w:val="center"/>
          </w:tcPr>
          <w:p w14:paraId="0D278E78">
            <w:pPr>
              <w:pStyle w:val="286"/>
              <w:spacing w:line="300" w:lineRule="exact"/>
              <w:rPr>
                <w:rFonts w:hint="eastAsia"/>
                <w:color w:val="000000" w:themeColor="text1"/>
                <w:sz w:val="21"/>
                <w14:textFill>
                  <w14:solidFill>
                    <w14:schemeClr w14:val="tx1"/>
                  </w14:solidFill>
                </w14:textFill>
              </w:rPr>
            </w:pPr>
            <w:bookmarkStart w:id="600" w:name="_Hlk168245172"/>
            <w:r>
              <w:rPr>
                <w:rFonts w:hint="eastAsia"/>
                <w:color w:val="000000" w:themeColor="text1"/>
                <w:sz w:val="21"/>
                <w14:textFill>
                  <w14:solidFill>
                    <w14:schemeClr w14:val="tx1"/>
                  </w14:solidFill>
                </w14:textFill>
              </w:rPr>
              <w:t>风险单元</w:t>
            </w:r>
          </w:p>
        </w:tc>
        <w:tc>
          <w:tcPr>
            <w:tcW w:w="1008" w:type="pct"/>
            <w:vAlign w:val="center"/>
          </w:tcPr>
          <w:p w14:paraId="4191394E">
            <w:pPr>
              <w:pStyle w:val="286"/>
              <w:spacing w:line="300" w:lineRule="exact"/>
              <w:rPr>
                <w:rFonts w:hint="eastAsia"/>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规格</w:t>
            </w:r>
          </w:p>
        </w:tc>
        <w:tc>
          <w:tcPr>
            <w:tcW w:w="1194" w:type="pct"/>
            <w:gridSpan w:val="2"/>
            <w:vAlign w:val="center"/>
          </w:tcPr>
          <w:p w14:paraId="7B504983">
            <w:pPr>
              <w:pStyle w:val="286"/>
              <w:spacing w:line="300" w:lineRule="exact"/>
              <w:rPr>
                <w:rFonts w:hint="eastAsia"/>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风</w:t>
            </w:r>
            <w:bookmarkStart w:id="601" w:name="OLE_LINK3"/>
            <w:r>
              <w:rPr>
                <w:rFonts w:hint="eastAsia"/>
                <w:color w:val="000000" w:themeColor="text1"/>
                <w:sz w:val="21"/>
                <w14:textFill>
                  <w14:solidFill>
                    <w14:schemeClr w14:val="tx1"/>
                  </w14:solidFill>
                </w14:textFill>
              </w:rPr>
              <w:t>险物质在线量（t）</w:t>
            </w:r>
          </w:p>
        </w:tc>
        <w:tc>
          <w:tcPr>
            <w:tcW w:w="1008" w:type="pct"/>
            <w:vAlign w:val="center"/>
          </w:tcPr>
          <w:p w14:paraId="5221212C">
            <w:pPr>
              <w:pStyle w:val="286"/>
              <w:spacing w:line="300" w:lineRule="exact"/>
              <w:rPr>
                <w:rFonts w:hint="eastAsia"/>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风险物质临界量（t）</w:t>
            </w:r>
          </w:p>
        </w:tc>
        <w:tc>
          <w:tcPr>
            <w:tcW w:w="782" w:type="pct"/>
            <w:vAlign w:val="center"/>
          </w:tcPr>
          <w:p w14:paraId="5C02751E">
            <w:pPr>
              <w:pStyle w:val="286"/>
              <w:spacing w:line="300" w:lineRule="exact"/>
              <w:rPr>
                <w:rFonts w:hint="eastAsia"/>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Q值</w:t>
            </w:r>
          </w:p>
        </w:tc>
      </w:tr>
      <w:tr w14:paraId="487A99C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08" w:type="pct"/>
            <w:vMerge w:val="restart"/>
            <w:vAlign w:val="center"/>
          </w:tcPr>
          <w:p w14:paraId="5D17165B">
            <w:pPr>
              <w:pStyle w:val="286"/>
              <w:spacing w:line="300" w:lineRule="exact"/>
              <w:rPr>
                <w:rFonts w:hint="eastAsia"/>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单井采油管线</w:t>
            </w:r>
          </w:p>
        </w:tc>
        <w:tc>
          <w:tcPr>
            <w:tcW w:w="1008" w:type="pct"/>
            <w:vMerge w:val="restart"/>
            <w:vAlign w:val="center"/>
          </w:tcPr>
          <w:p w14:paraId="59C18EC1">
            <w:pPr>
              <w:pStyle w:val="286"/>
              <w:spacing w:line="300" w:lineRule="exact"/>
              <w:rPr>
                <w:rFonts w:hint="eastAsia"/>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长度4.64km、DN50、</w:t>
            </w:r>
            <w:r>
              <w:rPr>
                <w:rFonts w:cs="宋体"/>
                <w:snapToGrid w:val="0"/>
                <w:color w:val="000000" w:themeColor="text1"/>
                <w:sz w:val="21"/>
                <w14:textFill>
                  <w14:solidFill>
                    <w14:schemeClr w14:val="tx1"/>
                  </w14:solidFill>
                </w14:textFill>
              </w:rPr>
              <w:t>2.5MPa</w:t>
            </w:r>
          </w:p>
        </w:tc>
        <w:tc>
          <w:tcPr>
            <w:tcW w:w="643" w:type="pct"/>
            <w:vAlign w:val="center"/>
          </w:tcPr>
          <w:p w14:paraId="718E58F4">
            <w:pPr>
              <w:pStyle w:val="286"/>
              <w:spacing w:line="300" w:lineRule="exact"/>
              <w:rPr>
                <w:rFonts w:hint="eastAsia"/>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原油</w:t>
            </w:r>
          </w:p>
        </w:tc>
        <w:tc>
          <w:tcPr>
            <w:tcW w:w="551" w:type="pct"/>
            <w:vAlign w:val="center"/>
          </w:tcPr>
          <w:p w14:paraId="7CF7767B">
            <w:pPr>
              <w:pStyle w:val="286"/>
              <w:spacing w:line="300" w:lineRule="exact"/>
              <w:rPr>
                <w:rFonts w:hint="eastAsia"/>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2.599</w:t>
            </w:r>
          </w:p>
        </w:tc>
        <w:tc>
          <w:tcPr>
            <w:tcW w:w="1008" w:type="pct"/>
            <w:vAlign w:val="center"/>
          </w:tcPr>
          <w:p w14:paraId="3C8957FA">
            <w:pPr>
              <w:pStyle w:val="286"/>
              <w:spacing w:line="300" w:lineRule="exact"/>
              <w:rPr>
                <w:rFonts w:hint="eastAsia"/>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2500</w:t>
            </w:r>
          </w:p>
        </w:tc>
        <w:tc>
          <w:tcPr>
            <w:tcW w:w="782" w:type="pct"/>
            <w:vAlign w:val="center"/>
          </w:tcPr>
          <w:p w14:paraId="7C00DF11">
            <w:pPr>
              <w:pStyle w:val="286"/>
              <w:spacing w:line="300" w:lineRule="exact"/>
              <w:rPr>
                <w:rFonts w:hint="eastAsia"/>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 xml:space="preserve">0.0010 </w:t>
            </w:r>
          </w:p>
        </w:tc>
      </w:tr>
      <w:tr w14:paraId="12B5943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08" w:type="pct"/>
            <w:vMerge w:val="continue"/>
            <w:vAlign w:val="center"/>
          </w:tcPr>
          <w:p w14:paraId="226ADC16">
            <w:pPr>
              <w:pStyle w:val="286"/>
              <w:spacing w:line="300" w:lineRule="exact"/>
              <w:rPr>
                <w:rFonts w:hint="eastAsia"/>
                <w:color w:val="000000" w:themeColor="text1"/>
                <w:sz w:val="21"/>
                <w14:textFill>
                  <w14:solidFill>
                    <w14:schemeClr w14:val="tx1"/>
                  </w14:solidFill>
                </w14:textFill>
              </w:rPr>
            </w:pPr>
          </w:p>
        </w:tc>
        <w:tc>
          <w:tcPr>
            <w:tcW w:w="1008" w:type="pct"/>
            <w:vMerge w:val="continue"/>
            <w:vAlign w:val="center"/>
          </w:tcPr>
          <w:p w14:paraId="7889FB93">
            <w:pPr>
              <w:pStyle w:val="286"/>
              <w:spacing w:line="300" w:lineRule="exact"/>
              <w:rPr>
                <w:rFonts w:hint="eastAsia"/>
                <w:color w:val="000000" w:themeColor="text1"/>
                <w:sz w:val="21"/>
                <w14:textFill>
                  <w14:solidFill>
                    <w14:schemeClr w14:val="tx1"/>
                  </w14:solidFill>
                </w14:textFill>
              </w:rPr>
            </w:pPr>
          </w:p>
        </w:tc>
        <w:tc>
          <w:tcPr>
            <w:tcW w:w="643" w:type="pct"/>
            <w:vAlign w:val="center"/>
          </w:tcPr>
          <w:p w14:paraId="60853075">
            <w:pPr>
              <w:pStyle w:val="286"/>
              <w:spacing w:line="300" w:lineRule="exact"/>
              <w:rPr>
                <w:rFonts w:hint="eastAsia"/>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伴生气</w:t>
            </w:r>
          </w:p>
        </w:tc>
        <w:tc>
          <w:tcPr>
            <w:tcW w:w="551" w:type="pct"/>
            <w:vAlign w:val="center"/>
          </w:tcPr>
          <w:p w14:paraId="70A0F4A8">
            <w:pPr>
              <w:pStyle w:val="286"/>
              <w:spacing w:line="300" w:lineRule="exact"/>
              <w:rPr>
                <w:rFonts w:hint="eastAsia"/>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0.0054</w:t>
            </w:r>
          </w:p>
        </w:tc>
        <w:tc>
          <w:tcPr>
            <w:tcW w:w="1008" w:type="pct"/>
            <w:vAlign w:val="center"/>
          </w:tcPr>
          <w:p w14:paraId="69D6D068">
            <w:pPr>
              <w:pStyle w:val="286"/>
              <w:spacing w:line="300" w:lineRule="exact"/>
              <w:rPr>
                <w:rFonts w:hint="eastAsia"/>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10</w:t>
            </w:r>
          </w:p>
        </w:tc>
        <w:tc>
          <w:tcPr>
            <w:tcW w:w="782" w:type="pct"/>
            <w:vAlign w:val="center"/>
          </w:tcPr>
          <w:p w14:paraId="71061DE3">
            <w:pPr>
              <w:pStyle w:val="286"/>
              <w:spacing w:line="300" w:lineRule="exact"/>
              <w:rPr>
                <w:rFonts w:hint="eastAsia"/>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0.00054</w:t>
            </w:r>
          </w:p>
        </w:tc>
      </w:tr>
      <w:tr w14:paraId="1A89D60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08" w:type="pct"/>
            <w:vMerge w:val="continue"/>
            <w:vAlign w:val="center"/>
          </w:tcPr>
          <w:p w14:paraId="5B02BFB1">
            <w:pPr>
              <w:pStyle w:val="286"/>
              <w:spacing w:line="300" w:lineRule="exact"/>
              <w:rPr>
                <w:rFonts w:hint="eastAsia"/>
                <w:color w:val="000000" w:themeColor="text1"/>
                <w:sz w:val="21"/>
                <w14:textFill>
                  <w14:solidFill>
                    <w14:schemeClr w14:val="tx1"/>
                  </w14:solidFill>
                </w14:textFill>
              </w:rPr>
            </w:pPr>
          </w:p>
        </w:tc>
        <w:tc>
          <w:tcPr>
            <w:tcW w:w="1008" w:type="pct"/>
            <w:vMerge w:val="continue"/>
            <w:vAlign w:val="center"/>
          </w:tcPr>
          <w:p w14:paraId="1380C35E">
            <w:pPr>
              <w:pStyle w:val="286"/>
              <w:spacing w:line="300" w:lineRule="exact"/>
              <w:rPr>
                <w:rFonts w:hint="eastAsia"/>
                <w:color w:val="000000" w:themeColor="text1"/>
                <w:sz w:val="21"/>
                <w14:textFill>
                  <w14:solidFill>
                    <w14:schemeClr w14:val="tx1"/>
                  </w14:solidFill>
                </w14:textFill>
              </w:rPr>
            </w:pPr>
          </w:p>
        </w:tc>
        <w:tc>
          <w:tcPr>
            <w:tcW w:w="643" w:type="pct"/>
            <w:vAlign w:val="center"/>
          </w:tcPr>
          <w:p w14:paraId="4DD3AD5D">
            <w:pPr>
              <w:pStyle w:val="286"/>
              <w:spacing w:line="300" w:lineRule="exact"/>
              <w:rPr>
                <w:rFonts w:hint="eastAsia"/>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硫化氢</w:t>
            </w:r>
          </w:p>
        </w:tc>
        <w:tc>
          <w:tcPr>
            <w:tcW w:w="551" w:type="pct"/>
            <w:vAlign w:val="center"/>
          </w:tcPr>
          <w:p w14:paraId="4CAE95D0">
            <w:pPr>
              <w:pStyle w:val="286"/>
              <w:spacing w:line="300" w:lineRule="exact"/>
              <w:rPr>
                <w:rFonts w:hint="eastAsia"/>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极少量</w:t>
            </w:r>
          </w:p>
        </w:tc>
        <w:tc>
          <w:tcPr>
            <w:tcW w:w="1008" w:type="pct"/>
            <w:vAlign w:val="center"/>
          </w:tcPr>
          <w:p w14:paraId="60B61BE9">
            <w:pPr>
              <w:pStyle w:val="286"/>
              <w:spacing w:line="300" w:lineRule="exact"/>
              <w:rPr>
                <w:rFonts w:hint="eastAsia"/>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2.5</w:t>
            </w:r>
          </w:p>
        </w:tc>
        <w:tc>
          <w:tcPr>
            <w:tcW w:w="782" w:type="pct"/>
            <w:vAlign w:val="center"/>
          </w:tcPr>
          <w:p w14:paraId="4559A132">
            <w:pPr>
              <w:pStyle w:val="286"/>
              <w:spacing w:line="300" w:lineRule="exact"/>
              <w:rPr>
                <w:rFonts w:hint="eastAsia"/>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w:t>
            </w:r>
          </w:p>
        </w:tc>
      </w:tr>
      <w:tr w14:paraId="54556A6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08" w:type="pct"/>
            <w:vMerge w:val="restart"/>
            <w:vAlign w:val="center"/>
          </w:tcPr>
          <w:p w14:paraId="34E5973A">
            <w:pPr>
              <w:pStyle w:val="286"/>
              <w:spacing w:line="300" w:lineRule="exact"/>
              <w:rPr>
                <w:rFonts w:hint="eastAsia"/>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集油干线</w:t>
            </w:r>
          </w:p>
        </w:tc>
        <w:tc>
          <w:tcPr>
            <w:tcW w:w="1008" w:type="pct"/>
            <w:vMerge w:val="restart"/>
            <w:vAlign w:val="center"/>
          </w:tcPr>
          <w:p w14:paraId="66E75220">
            <w:pPr>
              <w:pStyle w:val="286"/>
              <w:spacing w:line="300" w:lineRule="exact"/>
              <w:rPr>
                <w:rFonts w:hint="eastAsia"/>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长度2.3km、</w:t>
            </w:r>
            <w:r>
              <w:rPr>
                <w:rFonts w:cs="宋体"/>
                <w:snapToGrid w:val="0"/>
                <w:color w:val="000000" w:themeColor="text1"/>
                <w:sz w:val="21"/>
                <w14:textFill>
                  <w14:solidFill>
                    <w14:schemeClr w14:val="tx1"/>
                  </w14:solidFill>
                </w14:textFill>
              </w:rPr>
              <w:t>DN1</w:t>
            </w:r>
            <w:r>
              <w:rPr>
                <w:rFonts w:hint="eastAsia" w:cs="宋体"/>
                <w:snapToGrid w:val="0"/>
                <w:color w:val="000000" w:themeColor="text1"/>
                <w:sz w:val="21"/>
                <w14:textFill>
                  <w14:solidFill>
                    <w14:schemeClr w14:val="tx1"/>
                  </w14:solidFill>
                </w14:textFill>
              </w:rPr>
              <w:t>0</w:t>
            </w:r>
            <w:r>
              <w:rPr>
                <w:rFonts w:cs="宋体"/>
                <w:snapToGrid w:val="0"/>
                <w:color w:val="000000" w:themeColor="text1"/>
                <w:sz w:val="21"/>
                <w14:textFill>
                  <w14:solidFill>
                    <w14:schemeClr w14:val="tx1"/>
                  </w14:solidFill>
                </w14:textFill>
              </w:rPr>
              <w:t>0</w:t>
            </w:r>
            <w:r>
              <w:rPr>
                <w:rFonts w:hint="eastAsia" w:cs="宋体"/>
                <w:snapToGrid w:val="0"/>
                <w:color w:val="000000" w:themeColor="text1"/>
                <w:sz w:val="21"/>
                <w14:textFill>
                  <w14:solidFill>
                    <w14:schemeClr w14:val="tx1"/>
                  </w14:solidFill>
                </w14:textFill>
              </w:rPr>
              <w:t>、</w:t>
            </w:r>
            <w:r>
              <w:rPr>
                <w:rFonts w:cs="宋体"/>
                <w:snapToGrid w:val="0"/>
                <w:color w:val="000000" w:themeColor="text1"/>
                <w:sz w:val="21"/>
                <w14:textFill>
                  <w14:solidFill>
                    <w14:schemeClr w14:val="tx1"/>
                  </w14:solidFill>
                </w14:textFill>
              </w:rPr>
              <w:t>3.5MPa</w:t>
            </w:r>
          </w:p>
        </w:tc>
        <w:tc>
          <w:tcPr>
            <w:tcW w:w="643" w:type="pct"/>
            <w:vAlign w:val="center"/>
          </w:tcPr>
          <w:p w14:paraId="53468F75">
            <w:pPr>
              <w:pStyle w:val="286"/>
              <w:spacing w:line="300" w:lineRule="exact"/>
              <w:rPr>
                <w:rFonts w:hint="eastAsia"/>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原油</w:t>
            </w:r>
          </w:p>
        </w:tc>
        <w:tc>
          <w:tcPr>
            <w:tcW w:w="551" w:type="pct"/>
            <w:vAlign w:val="center"/>
          </w:tcPr>
          <w:p w14:paraId="54FA62AE">
            <w:pPr>
              <w:pStyle w:val="286"/>
              <w:spacing w:line="300" w:lineRule="exact"/>
              <w:rPr>
                <w:rFonts w:hint="eastAsia"/>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5.153</w:t>
            </w:r>
          </w:p>
        </w:tc>
        <w:tc>
          <w:tcPr>
            <w:tcW w:w="1008" w:type="pct"/>
            <w:vAlign w:val="center"/>
          </w:tcPr>
          <w:p w14:paraId="24A88B9F">
            <w:pPr>
              <w:pStyle w:val="286"/>
              <w:spacing w:line="300" w:lineRule="exact"/>
              <w:rPr>
                <w:rFonts w:hint="eastAsia"/>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2500</w:t>
            </w:r>
          </w:p>
        </w:tc>
        <w:tc>
          <w:tcPr>
            <w:tcW w:w="782" w:type="pct"/>
            <w:vAlign w:val="center"/>
          </w:tcPr>
          <w:p w14:paraId="71012781">
            <w:pPr>
              <w:pStyle w:val="286"/>
              <w:spacing w:line="300" w:lineRule="exact"/>
              <w:rPr>
                <w:rFonts w:hint="eastAsia"/>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 xml:space="preserve">0.0021 </w:t>
            </w:r>
          </w:p>
        </w:tc>
      </w:tr>
      <w:tr w14:paraId="2FB1E61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08" w:type="pct"/>
            <w:vMerge w:val="continue"/>
            <w:vAlign w:val="center"/>
          </w:tcPr>
          <w:p w14:paraId="6BE0235F">
            <w:pPr>
              <w:pStyle w:val="286"/>
              <w:spacing w:line="300" w:lineRule="exact"/>
              <w:rPr>
                <w:rFonts w:hint="eastAsia"/>
                <w:color w:val="000000" w:themeColor="text1"/>
                <w:sz w:val="21"/>
                <w14:textFill>
                  <w14:solidFill>
                    <w14:schemeClr w14:val="tx1"/>
                  </w14:solidFill>
                </w14:textFill>
              </w:rPr>
            </w:pPr>
          </w:p>
        </w:tc>
        <w:tc>
          <w:tcPr>
            <w:tcW w:w="1008" w:type="pct"/>
            <w:vMerge w:val="continue"/>
            <w:vAlign w:val="center"/>
          </w:tcPr>
          <w:p w14:paraId="10B9DC90">
            <w:pPr>
              <w:pStyle w:val="286"/>
              <w:spacing w:line="300" w:lineRule="exact"/>
              <w:rPr>
                <w:rFonts w:hint="eastAsia"/>
                <w:color w:val="000000" w:themeColor="text1"/>
                <w:sz w:val="21"/>
                <w14:textFill>
                  <w14:solidFill>
                    <w14:schemeClr w14:val="tx1"/>
                  </w14:solidFill>
                </w14:textFill>
              </w:rPr>
            </w:pPr>
          </w:p>
        </w:tc>
        <w:tc>
          <w:tcPr>
            <w:tcW w:w="643" w:type="pct"/>
            <w:vAlign w:val="center"/>
          </w:tcPr>
          <w:p w14:paraId="454F4D44">
            <w:pPr>
              <w:pStyle w:val="286"/>
              <w:spacing w:line="300" w:lineRule="exact"/>
              <w:rPr>
                <w:rFonts w:hint="eastAsia"/>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伴生气</w:t>
            </w:r>
          </w:p>
        </w:tc>
        <w:tc>
          <w:tcPr>
            <w:tcW w:w="551" w:type="pct"/>
            <w:vAlign w:val="center"/>
          </w:tcPr>
          <w:p w14:paraId="0E53F216">
            <w:pPr>
              <w:pStyle w:val="286"/>
              <w:spacing w:line="300" w:lineRule="exact"/>
              <w:rPr>
                <w:rFonts w:hint="eastAsia"/>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0.0107</w:t>
            </w:r>
          </w:p>
        </w:tc>
        <w:tc>
          <w:tcPr>
            <w:tcW w:w="1008" w:type="pct"/>
            <w:vAlign w:val="center"/>
          </w:tcPr>
          <w:p w14:paraId="457AFB4D">
            <w:pPr>
              <w:pStyle w:val="286"/>
              <w:spacing w:line="300" w:lineRule="exact"/>
              <w:rPr>
                <w:rFonts w:hint="eastAsia"/>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10</w:t>
            </w:r>
          </w:p>
        </w:tc>
        <w:tc>
          <w:tcPr>
            <w:tcW w:w="782" w:type="pct"/>
            <w:vAlign w:val="center"/>
          </w:tcPr>
          <w:p w14:paraId="1A07937D">
            <w:pPr>
              <w:pStyle w:val="286"/>
              <w:spacing w:line="300" w:lineRule="exact"/>
              <w:rPr>
                <w:rFonts w:hint="eastAsia"/>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0.0011</w:t>
            </w:r>
          </w:p>
        </w:tc>
      </w:tr>
      <w:tr w14:paraId="4641AD6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08" w:type="pct"/>
            <w:vMerge w:val="continue"/>
            <w:vAlign w:val="center"/>
          </w:tcPr>
          <w:p w14:paraId="56D41B34">
            <w:pPr>
              <w:pStyle w:val="286"/>
              <w:spacing w:line="300" w:lineRule="exact"/>
              <w:rPr>
                <w:rFonts w:hint="eastAsia"/>
                <w:color w:val="000000" w:themeColor="text1"/>
                <w:sz w:val="21"/>
                <w14:textFill>
                  <w14:solidFill>
                    <w14:schemeClr w14:val="tx1"/>
                  </w14:solidFill>
                </w14:textFill>
              </w:rPr>
            </w:pPr>
          </w:p>
        </w:tc>
        <w:tc>
          <w:tcPr>
            <w:tcW w:w="1008" w:type="pct"/>
            <w:vMerge w:val="continue"/>
            <w:vAlign w:val="center"/>
          </w:tcPr>
          <w:p w14:paraId="22246B7D">
            <w:pPr>
              <w:pStyle w:val="286"/>
              <w:spacing w:line="300" w:lineRule="exact"/>
              <w:rPr>
                <w:rFonts w:hint="eastAsia"/>
                <w:color w:val="000000" w:themeColor="text1"/>
                <w:sz w:val="21"/>
                <w14:textFill>
                  <w14:solidFill>
                    <w14:schemeClr w14:val="tx1"/>
                  </w14:solidFill>
                </w14:textFill>
              </w:rPr>
            </w:pPr>
          </w:p>
        </w:tc>
        <w:tc>
          <w:tcPr>
            <w:tcW w:w="643" w:type="pct"/>
            <w:vAlign w:val="center"/>
          </w:tcPr>
          <w:p w14:paraId="6A3C6CD4">
            <w:pPr>
              <w:pStyle w:val="286"/>
              <w:spacing w:line="300" w:lineRule="exact"/>
              <w:rPr>
                <w:rFonts w:hint="eastAsia"/>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硫化氢</w:t>
            </w:r>
          </w:p>
        </w:tc>
        <w:tc>
          <w:tcPr>
            <w:tcW w:w="551" w:type="pct"/>
            <w:vAlign w:val="center"/>
          </w:tcPr>
          <w:p w14:paraId="2B27F9BA">
            <w:pPr>
              <w:pStyle w:val="286"/>
              <w:spacing w:line="300" w:lineRule="exact"/>
              <w:rPr>
                <w:rFonts w:hint="eastAsia"/>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极少量</w:t>
            </w:r>
          </w:p>
        </w:tc>
        <w:tc>
          <w:tcPr>
            <w:tcW w:w="1008" w:type="pct"/>
            <w:vAlign w:val="center"/>
          </w:tcPr>
          <w:p w14:paraId="37A41FF3">
            <w:pPr>
              <w:pStyle w:val="286"/>
              <w:spacing w:line="300" w:lineRule="exact"/>
              <w:rPr>
                <w:rFonts w:hint="eastAsia"/>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2.5</w:t>
            </w:r>
          </w:p>
        </w:tc>
        <w:tc>
          <w:tcPr>
            <w:tcW w:w="782" w:type="pct"/>
            <w:vAlign w:val="center"/>
          </w:tcPr>
          <w:p w14:paraId="2E6A7CC7">
            <w:pPr>
              <w:pStyle w:val="286"/>
              <w:spacing w:line="300" w:lineRule="exact"/>
              <w:rPr>
                <w:rFonts w:hint="eastAsia"/>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w:t>
            </w:r>
          </w:p>
        </w:tc>
      </w:tr>
      <w:tr w14:paraId="7DB17E6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08" w:type="pct"/>
            <w:vMerge w:val="restart"/>
            <w:vAlign w:val="center"/>
          </w:tcPr>
          <w:p w14:paraId="60A6B484">
            <w:pPr>
              <w:pStyle w:val="286"/>
              <w:spacing w:line="300" w:lineRule="exact"/>
              <w:rPr>
                <w:rFonts w:hint="eastAsia"/>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单井注气管线</w:t>
            </w:r>
          </w:p>
        </w:tc>
        <w:tc>
          <w:tcPr>
            <w:tcW w:w="1008" w:type="pct"/>
            <w:vMerge w:val="restart"/>
            <w:vAlign w:val="center"/>
          </w:tcPr>
          <w:p w14:paraId="76681334">
            <w:pPr>
              <w:pStyle w:val="286"/>
              <w:spacing w:line="300" w:lineRule="exact"/>
              <w:rPr>
                <w:rFonts w:hint="eastAsia"/>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长度1.2km、</w:t>
            </w:r>
            <w:r>
              <w:rPr>
                <w:rFonts w:cs="宋体"/>
                <w:snapToGrid w:val="0"/>
                <w:color w:val="000000" w:themeColor="text1"/>
                <w:sz w:val="21"/>
                <w14:textFill>
                  <w14:solidFill>
                    <w14:schemeClr w14:val="tx1"/>
                  </w14:solidFill>
                </w14:textFill>
              </w:rPr>
              <w:t>DN</w:t>
            </w:r>
            <w:r>
              <w:rPr>
                <w:rFonts w:hint="eastAsia" w:cs="宋体"/>
                <w:snapToGrid w:val="0"/>
                <w:color w:val="000000" w:themeColor="text1"/>
                <w:sz w:val="21"/>
                <w14:textFill>
                  <w14:solidFill>
                    <w14:schemeClr w14:val="tx1"/>
                  </w14:solidFill>
                </w14:textFill>
              </w:rPr>
              <w:t>5</w:t>
            </w:r>
            <w:r>
              <w:rPr>
                <w:rFonts w:cs="宋体"/>
                <w:snapToGrid w:val="0"/>
                <w:color w:val="000000" w:themeColor="text1"/>
                <w:sz w:val="21"/>
                <w14:textFill>
                  <w14:solidFill>
                    <w14:schemeClr w14:val="tx1"/>
                  </w14:solidFill>
                </w14:textFill>
              </w:rPr>
              <w:t>0</w:t>
            </w:r>
            <w:r>
              <w:rPr>
                <w:rFonts w:hint="eastAsia" w:cs="宋体"/>
                <w:snapToGrid w:val="0"/>
                <w:color w:val="000000" w:themeColor="text1"/>
                <w:sz w:val="21"/>
                <w14:textFill>
                  <w14:solidFill>
                    <w14:schemeClr w14:val="tx1"/>
                  </w14:solidFill>
                </w14:textFill>
              </w:rPr>
              <w:t>、</w:t>
            </w:r>
            <w:r>
              <w:rPr>
                <w:rFonts w:cs="宋体"/>
                <w:snapToGrid w:val="0"/>
                <w:color w:val="000000" w:themeColor="text1"/>
                <w:sz w:val="21"/>
                <w14:textFill>
                  <w14:solidFill>
                    <w14:schemeClr w14:val="tx1"/>
                  </w14:solidFill>
                </w14:textFill>
              </w:rPr>
              <w:t>3.5MPa</w:t>
            </w:r>
          </w:p>
        </w:tc>
        <w:tc>
          <w:tcPr>
            <w:tcW w:w="643" w:type="pct"/>
            <w:vAlign w:val="center"/>
          </w:tcPr>
          <w:p w14:paraId="11B59746">
            <w:pPr>
              <w:pStyle w:val="286"/>
              <w:spacing w:line="300" w:lineRule="exact"/>
              <w:rPr>
                <w:rFonts w:hint="eastAsia"/>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原油</w:t>
            </w:r>
          </w:p>
        </w:tc>
        <w:tc>
          <w:tcPr>
            <w:tcW w:w="551" w:type="pct"/>
            <w:vAlign w:val="center"/>
          </w:tcPr>
          <w:p w14:paraId="7E7902C3">
            <w:pPr>
              <w:pStyle w:val="286"/>
              <w:spacing w:line="300" w:lineRule="exact"/>
              <w:rPr>
                <w:rFonts w:hint="eastAsia"/>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0.6722</w:t>
            </w:r>
          </w:p>
        </w:tc>
        <w:tc>
          <w:tcPr>
            <w:tcW w:w="1008" w:type="pct"/>
            <w:vAlign w:val="center"/>
          </w:tcPr>
          <w:p w14:paraId="036BE4BC">
            <w:pPr>
              <w:pStyle w:val="286"/>
              <w:spacing w:line="300" w:lineRule="exact"/>
              <w:rPr>
                <w:rFonts w:hint="eastAsia"/>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2500</w:t>
            </w:r>
          </w:p>
        </w:tc>
        <w:tc>
          <w:tcPr>
            <w:tcW w:w="782" w:type="pct"/>
            <w:vAlign w:val="center"/>
          </w:tcPr>
          <w:p w14:paraId="5D32B75E">
            <w:pPr>
              <w:pStyle w:val="286"/>
              <w:spacing w:line="300" w:lineRule="exact"/>
              <w:rPr>
                <w:rFonts w:hint="eastAsia"/>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 xml:space="preserve">0.0003 </w:t>
            </w:r>
          </w:p>
        </w:tc>
      </w:tr>
      <w:tr w14:paraId="26443D2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08" w:type="pct"/>
            <w:vMerge w:val="continue"/>
            <w:vAlign w:val="center"/>
          </w:tcPr>
          <w:p w14:paraId="1D4ABC17">
            <w:pPr>
              <w:pStyle w:val="286"/>
              <w:spacing w:line="300" w:lineRule="exact"/>
              <w:rPr>
                <w:rFonts w:hint="eastAsia"/>
                <w:color w:val="000000" w:themeColor="text1"/>
                <w:sz w:val="21"/>
                <w14:textFill>
                  <w14:solidFill>
                    <w14:schemeClr w14:val="tx1"/>
                  </w14:solidFill>
                </w14:textFill>
              </w:rPr>
            </w:pPr>
          </w:p>
        </w:tc>
        <w:tc>
          <w:tcPr>
            <w:tcW w:w="1008" w:type="pct"/>
            <w:vMerge w:val="continue"/>
            <w:vAlign w:val="center"/>
          </w:tcPr>
          <w:p w14:paraId="571E7846">
            <w:pPr>
              <w:pStyle w:val="286"/>
              <w:spacing w:line="300" w:lineRule="exact"/>
              <w:rPr>
                <w:rFonts w:hint="eastAsia"/>
                <w:color w:val="000000" w:themeColor="text1"/>
                <w:sz w:val="21"/>
                <w14:textFill>
                  <w14:solidFill>
                    <w14:schemeClr w14:val="tx1"/>
                  </w14:solidFill>
                </w14:textFill>
              </w:rPr>
            </w:pPr>
          </w:p>
        </w:tc>
        <w:tc>
          <w:tcPr>
            <w:tcW w:w="643" w:type="pct"/>
            <w:vAlign w:val="center"/>
          </w:tcPr>
          <w:p w14:paraId="46F8FEEE">
            <w:pPr>
              <w:pStyle w:val="286"/>
              <w:spacing w:line="300" w:lineRule="exact"/>
              <w:rPr>
                <w:rFonts w:hint="eastAsia"/>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伴生气</w:t>
            </w:r>
          </w:p>
        </w:tc>
        <w:tc>
          <w:tcPr>
            <w:tcW w:w="551" w:type="pct"/>
            <w:vAlign w:val="center"/>
          </w:tcPr>
          <w:p w14:paraId="5958C0B5">
            <w:pPr>
              <w:pStyle w:val="286"/>
              <w:spacing w:line="300" w:lineRule="exact"/>
              <w:rPr>
                <w:rFonts w:hint="eastAsia"/>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0.0014</w:t>
            </w:r>
          </w:p>
        </w:tc>
        <w:tc>
          <w:tcPr>
            <w:tcW w:w="1008" w:type="pct"/>
            <w:vAlign w:val="center"/>
          </w:tcPr>
          <w:p w14:paraId="3CE5CE33">
            <w:pPr>
              <w:pStyle w:val="286"/>
              <w:spacing w:line="300" w:lineRule="exact"/>
              <w:rPr>
                <w:rFonts w:hint="eastAsia"/>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10</w:t>
            </w:r>
          </w:p>
        </w:tc>
        <w:tc>
          <w:tcPr>
            <w:tcW w:w="782" w:type="pct"/>
            <w:vAlign w:val="center"/>
          </w:tcPr>
          <w:p w14:paraId="57244A53">
            <w:pPr>
              <w:pStyle w:val="286"/>
              <w:spacing w:line="300" w:lineRule="exact"/>
              <w:rPr>
                <w:rFonts w:hint="eastAsia"/>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 xml:space="preserve">0.00014 </w:t>
            </w:r>
          </w:p>
        </w:tc>
      </w:tr>
      <w:tr w14:paraId="5920DAA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08" w:type="pct"/>
            <w:vMerge w:val="continue"/>
            <w:vAlign w:val="center"/>
          </w:tcPr>
          <w:p w14:paraId="22EAC355">
            <w:pPr>
              <w:pStyle w:val="286"/>
              <w:spacing w:line="300" w:lineRule="exact"/>
              <w:rPr>
                <w:rFonts w:hint="eastAsia"/>
                <w:color w:val="000000" w:themeColor="text1"/>
                <w:sz w:val="21"/>
                <w14:textFill>
                  <w14:solidFill>
                    <w14:schemeClr w14:val="tx1"/>
                  </w14:solidFill>
                </w14:textFill>
              </w:rPr>
            </w:pPr>
          </w:p>
        </w:tc>
        <w:tc>
          <w:tcPr>
            <w:tcW w:w="1008" w:type="pct"/>
            <w:vMerge w:val="continue"/>
            <w:vAlign w:val="center"/>
          </w:tcPr>
          <w:p w14:paraId="23545644">
            <w:pPr>
              <w:pStyle w:val="286"/>
              <w:spacing w:line="300" w:lineRule="exact"/>
              <w:rPr>
                <w:rFonts w:hint="eastAsia"/>
                <w:color w:val="000000" w:themeColor="text1"/>
                <w:sz w:val="21"/>
                <w14:textFill>
                  <w14:solidFill>
                    <w14:schemeClr w14:val="tx1"/>
                  </w14:solidFill>
                </w14:textFill>
              </w:rPr>
            </w:pPr>
          </w:p>
        </w:tc>
        <w:tc>
          <w:tcPr>
            <w:tcW w:w="643" w:type="pct"/>
            <w:vAlign w:val="center"/>
          </w:tcPr>
          <w:p w14:paraId="757E45FE">
            <w:pPr>
              <w:pStyle w:val="286"/>
              <w:spacing w:line="300" w:lineRule="exact"/>
              <w:rPr>
                <w:rFonts w:hint="eastAsia"/>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硫化氢</w:t>
            </w:r>
          </w:p>
        </w:tc>
        <w:tc>
          <w:tcPr>
            <w:tcW w:w="551" w:type="pct"/>
            <w:vAlign w:val="center"/>
          </w:tcPr>
          <w:p w14:paraId="08501292">
            <w:pPr>
              <w:pStyle w:val="286"/>
              <w:spacing w:line="300" w:lineRule="exact"/>
              <w:rPr>
                <w:rFonts w:hint="eastAsia"/>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极少量</w:t>
            </w:r>
          </w:p>
        </w:tc>
        <w:tc>
          <w:tcPr>
            <w:tcW w:w="1008" w:type="pct"/>
            <w:vAlign w:val="center"/>
          </w:tcPr>
          <w:p w14:paraId="02E510BB">
            <w:pPr>
              <w:pStyle w:val="286"/>
              <w:spacing w:line="300" w:lineRule="exact"/>
              <w:rPr>
                <w:rFonts w:hint="eastAsia"/>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2.5</w:t>
            </w:r>
          </w:p>
        </w:tc>
        <w:tc>
          <w:tcPr>
            <w:tcW w:w="782" w:type="pct"/>
            <w:vAlign w:val="center"/>
          </w:tcPr>
          <w:p w14:paraId="28BF976C">
            <w:pPr>
              <w:pStyle w:val="286"/>
              <w:spacing w:line="300" w:lineRule="exact"/>
              <w:rPr>
                <w:rFonts w:hint="eastAsia"/>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w:t>
            </w:r>
          </w:p>
        </w:tc>
      </w:tr>
      <w:tr w14:paraId="0CB0131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08" w:type="pct"/>
            <w:vMerge w:val="restart"/>
            <w:vAlign w:val="center"/>
          </w:tcPr>
          <w:p w14:paraId="5C7065DF">
            <w:pPr>
              <w:pStyle w:val="286"/>
              <w:spacing w:line="300" w:lineRule="exact"/>
              <w:rPr>
                <w:rFonts w:hint="eastAsia"/>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转液管线</w:t>
            </w:r>
          </w:p>
        </w:tc>
        <w:tc>
          <w:tcPr>
            <w:tcW w:w="1008" w:type="pct"/>
            <w:vMerge w:val="restart"/>
            <w:vAlign w:val="center"/>
          </w:tcPr>
          <w:p w14:paraId="5F0100DD">
            <w:pPr>
              <w:pStyle w:val="286"/>
              <w:spacing w:line="300" w:lineRule="exact"/>
              <w:rPr>
                <w:rFonts w:hint="eastAsia"/>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长度1.2km、</w:t>
            </w:r>
            <w:r>
              <w:rPr>
                <w:rFonts w:cs="宋体"/>
                <w:snapToGrid w:val="0"/>
                <w:color w:val="000000" w:themeColor="text1"/>
                <w:sz w:val="21"/>
                <w14:textFill>
                  <w14:solidFill>
                    <w14:schemeClr w14:val="tx1"/>
                  </w14:solidFill>
                </w14:textFill>
              </w:rPr>
              <w:t>DN</w:t>
            </w:r>
            <w:r>
              <w:rPr>
                <w:rFonts w:hint="eastAsia" w:cs="宋体"/>
                <w:snapToGrid w:val="0"/>
                <w:color w:val="000000" w:themeColor="text1"/>
                <w:sz w:val="21"/>
                <w14:textFill>
                  <w14:solidFill>
                    <w14:schemeClr w14:val="tx1"/>
                  </w14:solidFill>
                </w14:textFill>
              </w:rPr>
              <w:t>100、</w:t>
            </w:r>
            <w:r>
              <w:rPr>
                <w:rFonts w:cs="宋体"/>
                <w:snapToGrid w:val="0"/>
                <w:color w:val="000000" w:themeColor="text1"/>
                <w:sz w:val="21"/>
                <w14:textFill>
                  <w14:solidFill>
                    <w14:schemeClr w14:val="tx1"/>
                  </w14:solidFill>
                </w14:textFill>
              </w:rPr>
              <w:t>3.5MPa</w:t>
            </w:r>
          </w:p>
        </w:tc>
        <w:tc>
          <w:tcPr>
            <w:tcW w:w="643" w:type="pct"/>
            <w:vAlign w:val="center"/>
          </w:tcPr>
          <w:p w14:paraId="448B0ADB">
            <w:pPr>
              <w:pStyle w:val="286"/>
              <w:spacing w:line="300" w:lineRule="exact"/>
              <w:rPr>
                <w:rFonts w:hint="eastAsia"/>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原油</w:t>
            </w:r>
          </w:p>
        </w:tc>
        <w:tc>
          <w:tcPr>
            <w:tcW w:w="551" w:type="pct"/>
            <w:vAlign w:val="center"/>
          </w:tcPr>
          <w:p w14:paraId="252C54F8">
            <w:pPr>
              <w:pStyle w:val="286"/>
              <w:spacing w:line="300" w:lineRule="exact"/>
              <w:rPr>
                <w:rFonts w:hint="eastAsia"/>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2.6886</w:t>
            </w:r>
          </w:p>
        </w:tc>
        <w:tc>
          <w:tcPr>
            <w:tcW w:w="1008" w:type="pct"/>
            <w:vAlign w:val="center"/>
          </w:tcPr>
          <w:p w14:paraId="30C466AA">
            <w:pPr>
              <w:pStyle w:val="286"/>
              <w:spacing w:line="300" w:lineRule="exact"/>
              <w:rPr>
                <w:rFonts w:hint="eastAsia"/>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2500</w:t>
            </w:r>
          </w:p>
        </w:tc>
        <w:tc>
          <w:tcPr>
            <w:tcW w:w="782" w:type="pct"/>
            <w:vAlign w:val="center"/>
          </w:tcPr>
          <w:p w14:paraId="79A366EA">
            <w:pPr>
              <w:pStyle w:val="286"/>
              <w:spacing w:line="300" w:lineRule="exact"/>
              <w:rPr>
                <w:rFonts w:hint="eastAsia"/>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0.0011</w:t>
            </w:r>
          </w:p>
        </w:tc>
      </w:tr>
      <w:tr w14:paraId="7A2DB97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08" w:type="pct"/>
            <w:vMerge w:val="continue"/>
            <w:vAlign w:val="center"/>
          </w:tcPr>
          <w:p w14:paraId="59D88150">
            <w:pPr>
              <w:pStyle w:val="286"/>
              <w:spacing w:line="300" w:lineRule="exact"/>
              <w:rPr>
                <w:rFonts w:hint="eastAsia"/>
                <w:color w:val="000000" w:themeColor="text1"/>
                <w:sz w:val="21"/>
                <w14:textFill>
                  <w14:solidFill>
                    <w14:schemeClr w14:val="tx1"/>
                  </w14:solidFill>
                </w14:textFill>
              </w:rPr>
            </w:pPr>
          </w:p>
        </w:tc>
        <w:tc>
          <w:tcPr>
            <w:tcW w:w="1008" w:type="pct"/>
            <w:vMerge w:val="continue"/>
            <w:vAlign w:val="center"/>
          </w:tcPr>
          <w:p w14:paraId="61E5C9DB">
            <w:pPr>
              <w:pStyle w:val="286"/>
              <w:spacing w:line="300" w:lineRule="exact"/>
              <w:rPr>
                <w:rFonts w:hint="eastAsia"/>
                <w:color w:val="000000" w:themeColor="text1"/>
                <w:sz w:val="21"/>
                <w14:textFill>
                  <w14:solidFill>
                    <w14:schemeClr w14:val="tx1"/>
                  </w14:solidFill>
                </w14:textFill>
              </w:rPr>
            </w:pPr>
          </w:p>
        </w:tc>
        <w:tc>
          <w:tcPr>
            <w:tcW w:w="643" w:type="pct"/>
            <w:vAlign w:val="center"/>
          </w:tcPr>
          <w:p w14:paraId="477DB0B2">
            <w:pPr>
              <w:pStyle w:val="286"/>
              <w:spacing w:line="300" w:lineRule="exact"/>
              <w:rPr>
                <w:rFonts w:hint="eastAsia"/>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伴生气</w:t>
            </w:r>
          </w:p>
        </w:tc>
        <w:tc>
          <w:tcPr>
            <w:tcW w:w="551" w:type="pct"/>
            <w:vAlign w:val="center"/>
          </w:tcPr>
          <w:p w14:paraId="3BF08A36">
            <w:pPr>
              <w:pStyle w:val="286"/>
              <w:spacing w:line="300" w:lineRule="exact"/>
              <w:rPr>
                <w:rFonts w:hint="eastAsia"/>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0.0056</w:t>
            </w:r>
          </w:p>
        </w:tc>
        <w:tc>
          <w:tcPr>
            <w:tcW w:w="1008" w:type="pct"/>
            <w:vAlign w:val="center"/>
          </w:tcPr>
          <w:p w14:paraId="15F30286">
            <w:pPr>
              <w:pStyle w:val="286"/>
              <w:spacing w:line="300" w:lineRule="exact"/>
              <w:rPr>
                <w:rFonts w:hint="eastAsia"/>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10</w:t>
            </w:r>
          </w:p>
        </w:tc>
        <w:tc>
          <w:tcPr>
            <w:tcW w:w="782" w:type="pct"/>
            <w:vAlign w:val="center"/>
          </w:tcPr>
          <w:p w14:paraId="26B49E68">
            <w:pPr>
              <w:pStyle w:val="286"/>
              <w:spacing w:line="300" w:lineRule="exact"/>
              <w:rPr>
                <w:rFonts w:hint="eastAsia"/>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0.0006</w:t>
            </w:r>
          </w:p>
        </w:tc>
      </w:tr>
      <w:tr w14:paraId="1CE54F2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08" w:type="pct"/>
            <w:vMerge w:val="continue"/>
            <w:vAlign w:val="center"/>
          </w:tcPr>
          <w:p w14:paraId="4730370F">
            <w:pPr>
              <w:pStyle w:val="286"/>
              <w:spacing w:line="300" w:lineRule="exact"/>
              <w:rPr>
                <w:rFonts w:hint="eastAsia"/>
                <w:color w:val="000000" w:themeColor="text1"/>
                <w:sz w:val="21"/>
                <w14:textFill>
                  <w14:solidFill>
                    <w14:schemeClr w14:val="tx1"/>
                  </w14:solidFill>
                </w14:textFill>
              </w:rPr>
            </w:pPr>
          </w:p>
        </w:tc>
        <w:tc>
          <w:tcPr>
            <w:tcW w:w="1008" w:type="pct"/>
            <w:vMerge w:val="continue"/>
            <w:vAlign w:val="center"/>
          </w:tcPr>
          <w:p w14:paraId="1FBD22FA">
            <w:pPr>
              <w:pStyle w:val="286"/>
              <w:spacing w:line="300" w:lineRule="exact"/>
              <w:rPr>
                <w:rFonts w:hint="eastAsia"/>
                <w:color w:val="000000" w:themeColor="text1"/>
                <w:sz w:val="21"/>
                <w14:textFill>
                  <w14:solidFill>
                    <w14:schemeClr w14:val="tx1"/>
                  </w14:solidFill>
                </w14:textFill>
              </w:rPr>
            </w:pPr>
          </w:p>
        </w:tc>
        <w:tc>
          <w:tcPr>
            <w:tcW w:w="643" w:type="pct"/>
            <w:vAlign w:val="center"/>
          </w:tcPr>
          <w:p w14:paraId="35F39335">
            <w:pPr>
              <w:pStyle w:val="286"/>
              <w:spacing w:line="300" w:lineRule="exact"/>
              <w:rPr>
                <w:rFonts w:hint="eastAsia"/>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硫化氢</w:t>
            </w:r>
          </w:p>
        </w:tc>
        <w:tc>
          <w:tcPr>
            <w:tcW w:w="551" w:type="pct"/>
            <w:vAlign w:val="center"/>
          </w:tcPr>
          <w:p w14:paraId="5C632F8B">
            <w:pPr>
              <w:pStyle w:val="286"/>
              <w:spacing w:line="300" w:lineRule="exact"/>
              <w:rPr>
                <w:rFonts w:hint="eastAsia"/>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极少量</w:t>
            </w:r>
          </w:p>
        </w:tc>
        <w:tc>
          <w:tcPr>
            <w:tcW w:w="1008" w:type="pct"/>
            <w:vAlign w:val="center"/>
          </w:tcPr>
          <w:p w14:paraId="6423D8C9">
            <w:pPr>
              <w:pStyle w:val="286"/>
              <w:spacing w:line="300" w:lineRule="exact"/>
              <w:rPr>
                <w:rFonts w:hint="eastAsia"/>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2.5</w:t>
            </w:r>
          </w:p>
        </w:tc>
        <w:tc>
          <w:tcPr>
            <w:tcW w:w="782" w:type="pct"/>
            <w:vAlign w:val="center"/>
          </w:tcPr>
          <w:p w14:paraId="4E40896F">
            <w:pPr>
              <w:pStyle w:val="286"/>
              <w:spacing w:line="300" w:lineRule="exact"/>
              <w:rPr>
                <w:rFonts w:hint="eastAsia"/>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w:t>
            </w:r>
          </w:p>
        </w:tc>
      </w:tr>
      <w:tr w14:paraId="1B50AC5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08" w:type="pct"/>
            <w:vMerge w:val="restart"/>
            <w:vAlign w:val="center"/>
          </w:tcPr>
          <w:p w14:paraId="241B41BF">
            <w:pPr>
              <w:pStyle w:val="286"/>
              <w:spacing w:line="300" w:lineRule="exact"/>
              <w:rPr>
                <w:rFonts w:hint="eastAsia"/>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预处理注入站</w:t>
            </w:r>
          </w:p>
        </w:tc>
        <w:tc>
          <w:tcPr>
            <w:tcW w:w="1008" w:type="pct"/>
            <w:vMerge w:val="restart"/>
            <w:vAlign w:val="center"/>
          </w:tcPr>
          <w:p w14:paraId="44B61268">
            <w:pPr>
              <w:pStyle w:val="286"/>
              <w:spacing w:line="300" w:lineRule="exact"/>
              <w:rPr>
                <w:rFonts w:hint="eastAsia"/>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w:t>
            </w:r>
          </w:p>
        </w:tc>
        <w:tc>
          <w:tcPr>
            <w:tcW w:w="643" w:type="pct"/>
            <w:vAlign w:val="center"/>
          </w:tcPr>
          <w:p w14:paraId="17ECE757">
            <w:pPr>
              <w:pStyle w:val="286"/>
              <w:spacing w:line="300" w:lineRule="exact"/>
              <w:rPr>
                <w:rFonts w:hint="eastAsia"/>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原油</w:t>
            </w:r>
          </w:p>
        </w:tc>
        <w:tc>
          <w:tcPr>
            <w:tcW w:w="551" w:type="pct"/>
            <w:vAlign w:val="center"/>
          </w:tcPr>
          <w:p w14:paraId="7673B9FC">
            <w:pPr>
              <w:pStyle w:val="286"/>
              <w:spacing w:line="300" w:lineRule="exact"/>
              <w:rPr>
                <w:rFonts w:hint="eastAsia"/>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5.479</w:t>
            </w:r>
          </w:p>
        </w:tc>
        <w:tc>
          <w:tcPr>
            <w:tcW w:w="1008" w:type="pct"/>
            <w:vAlign w:val="center"/>
          </w:tcPr>
          <w:p w14:paraId="50B30064">
            <w:pPr>
              <w:pStyle w:val="286"/>
              <w:spacing w:line="300" w:lineRule="exact"/>
              <w:rPr>
                <w:rFonts w:hint="eastAsia"/>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2500</w:t>
            </w:r>
          </w:p>
        </w:tc>
        <w:tc>
          <w:tcPr>
            <w:tcW w:w="782" w:type="pct"/>
            <w:vAlign w:val="center"/>
          </w:tcPr>
          <w:p w14:paraId="7E22E24D">
            <w:pPr>
              <w:pStyle w:val="286"/>
              <w:spacing w:line="300" w:lineRule="exact"/>
              <w:rPr>
                <w:rFonts w:hint="eastAsia"/>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 xml:space="preserve">0.0022 </w:t>
            </w:r>
          </w:p>
        </w:tc>
      </w:tr>
      <w:tr w14:paraId="75A63FC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08" w:type="pct"/>
            <w:vMerge w:val="continue"/>
            <w:vAlign w:val="center"/>
          </w:tcPr>
          <w:p w14:paraId="00F075ED">
            <w:pPr>
              <w:pStyle w:val="286"/>
              <w:spacing w:line="300" w:lineRule="exact"/>
              <w:rPr>
                <w:rFonts w:hint="eastAsia"/>
                <w:color w:val="000000" w:themeColor="text1"/>
                <w:sz w:val="21"/>
                <w14:textFill>
                  <w14:solidFill>
                    <w14:schemeClr w14:val="tx1"/>
                  </w14:solidFill>
                </w14:textFill>
              </w:rPr>
            </w:pPr>
          </w:p>
        </w:tc>
        <w:tc>
          <w:tcPr>
            <w:tcW w:w="1008" w:type="pct"/>
            <w:vMerge w:val="continue"/>
            <w:vAlign w:val="center"/>
          </w:tcPr>
          <w:p w14:paraId="23E8C34A">
            <w:pPr>
              <w:pStyle w:val="286"/>
              <w:spacing w:line="300" w:lineRule="exact"/>
              <w:rPr>
                <w:rFonts w:hint="eastAsia"/>
                <w:color w:val="000000" w:themeColor="text1"/>
                <w:sz w:val="21"/>
                <w14:textFill>
                  <w14:solidFill>
                    <w14:schemeClr w14:val="tx1"/>
                  </w14:solidFill>
                </w14:textFill>
              </w:rPr>
            </w:pPr>
          </w:p>
        </w:tc>
        <w:tc>
          <w:tcPr>
            <w:tcW w:w="643" w:type="pct"/>
            <w:vAlign w:val="center"/>
          </w:tcPr>
          <w:p w14:paraId="3398BE95">
            <w:pPr>
              <w:pStyle w:val="286"/>
              <w:spacing w:line="300" w:lineRule="exact"/>
              <w:rPr>
                <w:rFonts w:hint="eastAsia"/>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伴生气</w:t>
            </w:r>
          </w:p>
        </w:tc>
        <w:tc>
          <w:tcPr>
            <w:tcW w:w="551" w:type="pct"/>
            <w:vAlign w:val="center"/>
          </w:tcPr>
          <w:p w14:paraId="05D43129">
            <w:pPr>
              <w:pStyle w:val="286"/>
              <w:spacing w:line="300" w:lineRule="exact"/>
              <w:rPr>
                <w:rFonts w:hint="eastAsia"/>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0.64</w:t>
            </w:r>
          </w:p>
        </w:tc>
        <w:tc>
          <w:tcPr>
            <w:tcW w:w="1008" w:type="pct"/>
            <w:vAlign w:val="center"/>
          </w:tcPr>
          <w:p w14:paraId="386EB79E">
            <w:pPr>
              <w:pStyle w:val="286"/>
              <w:spacing w:line="300" w:lineRule="exact"/>
              <w:rPr>
                <w:rFonts w:hint="eastAsia"/>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10</w:t>
            </w:r>
          </w:p>
        </w:tc>
        <w:tc>
          <w:tcPr>
            <w:tcW w:w="782" w:type="pct"/>
            <w:vAlign w:val="center"/>
          </w:tcPr>
          <w:p w14:paraId="0A86EFB2">
            <w:pPr>
              <w:pStyle w:val="286"/>
              <w:spacing w:line="300" w:lineRule="exact"/>
              <w:rPr>
                <w:rFonts w:hint="eastAsia"/>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 xml:space="preserve">0.064 </w:t>
            </w:r>
          </w:p>
        </w:tc>
      </w:tr>
      <w:tr w14:paraId="6460502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08" w:type="pct"/>
            <w:vMerge w:val="continue"/>
            <w:vAlign w:val="center"/>
          </w:tcPr>
          <w:p w14:paraId="05EA87E6">
            <w:pPr>
              <w:pStyle w:val="286"/>
              <w:spacing w:line="300" w:lineRule="exact"/>
              <w:rPr>
                <w:rFonts w:hint="eastAsia"/>
                <w:color w:val="000000" w:themeColor="text1"/>
                <w:sz w:val="21"/>
                <w14:textFill>
                  <w14:solidFill>
                    <w14:schemeClr w14:val="tx1"/>
                  </w14:solidFill>
                </w14:textFill>
              </w:rPr>
            </w:pPr>
          </w:p>
        </w:tc>
        <w:tc>
          <w:tcPr>
            <w:tcW w:w="1008" w:type="pct"/>
            <w:vMerge w:val="continue"/>
            <w:vAlign w:val="center"/>
          </w:tcPr>
          <w:p w14:paraId="116C2FBD">
            <w:pPr>
              <w:pStyle w:val="286"/>
              <w:spacing w:line="300" w:lineRule="exact"/>
              <w:rPr>
                <w:rFonts w:hint="eastAsia"/>
                <w:color w:val="000000" w:themeColor="text1"/>
                <w:sz w:val="21"/>
                <w14:textFill>
                  <w14:solidFill>
                    <w14:schemeClr w14:val="tx1"/>
                  </w14:solidFill>
                </w14:textFill>
              </w:rPr>
            </w:pPr>
          </w:p>
        </w:tc>
        <w:tc>
          <w:tcPr>
            <w:tcW w:w="643" w:type="pct"/>
            <w:vAlign w:val="center"/>
          </w:tcPr>
          <w:p w14:paraId="7E702D70">
            <w:pPr>
              <w:pStyle w:val="286"/>
              <w:spacing w:line="300" w:lineRule="exact"/>
              <w:rPr>
                <w:rFonts w:hint="eastAsia"/>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硫化氢</w:t>
            </w:r>
          </w:p>
        </w:tc>
        <w:tc>
          <w:tcPr>
            <w:tcW w:w="551" w:type="pct"/>
            <w:vAlign w:val="center"/>
          </w:tcPr>
          <w:p w14:paraId="308C2257">
            <w:pPr>
              <w:pStyle w:val="286"/>
              <w:spacing w:line="300" w:lineRule="exact"/>
              <w:rPr>
                <w:rFonts w:hint="eastAsia"/>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极少量</w:t>
            </w:r>
          </w:p>
        </w:tc>
        <w:tc>
          <w:tcPr>
            <w:tcW w:w="1008" w:type="pct"/>
            <w:vAlign w:val="center"/>
          </w:tcPr>
          <w:p w14:paraId="0B0E38CD">
            <w:pPr>
              <w:pStyle w:val="286"/>
              <w:spacing w:line="300" w:lineRule="exact"/>
              <w:rPr>
                <w:rFonts w:hint="eastAsia"/>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2.5</w:t>
            </w:r>
          </w:p>
        </w:tc>
        <w:tc>
          <w:tcPr>
            <w:tcW w:w="782" w:type="pct"/>
            <w:vAlign w:val="center"/>
          </w:tcPr>
          <w:p w14:paraId="3BA5D81B">
            <w:pPr>
              <w:pStyle w:val="286"/>
              <w:spacing w:line="300" w:lineRule="exact"/>
              <w:rPr>
                <w:rFonts w:hint="eastAsia"/>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w:t>
            </w:r>
          </w:p>
        </w:tc>
      </w:tr>
      <w:tr w14:paraId="74B87FF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08" w:type="pct"/>
            <w:vAlign w:val="center"/>
          </w:tcPr>
          <w:p w14:paraId="5DF01241">
            <w:pPr>
              <w:pStyle w:val="286"/>
              <w:spacing w:line="300" w:lineRule="exact"/>
              <w:rPr>
                <w:rFonts w:hint="eastAsia"/>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合计</w:t>
            </w:r>
          </w:p>
        </w:tc>
        <w:tc>
          <w:tcPr>
            <w:tcW w:w="1008" w:type="pct"/>
          </w:tcPr>
          <w:p w14:paraId="5DF92DE4">
            <w:pPr>
              <w:pStyle w:val="286"/>
              <w:spacing w:line="300" w:lineRule="exact"/>
              <w:rPr>
                <w:rFonts w:hint="eastAsia"/>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w:t>
            </w:r>
          </w:p>
        </w:tc>
        <w:tc>
          <w:tcPr>
            <w:tcW w:w="643" w:type="pct"/>
          </w:tcPr>
          <w:p w14:paraId="3B625B58">
            <w:pPr>
              <w:pStyle w:val="286"/>
              <w:spacing w:line="300" w:lineRule="exact"/>
              <w:rPr>
                <w:rFonts w:hint="eastAsia"/>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w:t>
            </w:r>
          </w:p>
        </w:tc>
        <w:tc>
          <w:tcPr>
            <w:tcW w:w="551" w:type="pct"/>
          </w:tcPr>
          <w:p w14:paraId="47571ECD">
            <w:pPr>
              <w:pStyle w:val="286"/>
              <w:spacing w:line="300" w:lineRule="exact"/>
              <w:rPr>
                <w:rFonts w:hint="eastAsia"/>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w:t>
            </w:r>
          </w:p>
        </w:tc>
        <w:tc>
          <w:tcPr>
            <w:tcW w:w="1008" w:type="pct"/>
          </w:tcPr>
          <w:p w14:paraId="74458486">
            <w:pPr>
              <w:pStyle w:val="286"/>
              <w:spacing w:line="300" w:lineRule="exact"/>
              <w:rPr>
                <w:rFonts w:hint="eastAsia"/>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w:t>
            </w:r>
          </w:p>
        </w:tc>
        <w:tc>
          <w:tcPr>
            <w:tcW w:w="782" w:type="pct"/>
            <w:vAlign w:val="center"/>
          </w:tcPr>
          <w:p w14:paraId="29F9F1A8">
            <w:pPr>
              <w:pStyle w:val="286"/>
              <w:spacing w:line="300" w:lineRule="exact"/>
              <w:rPr>
                <w:rFonts w:hint="eastAsia"/>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0.07308</w:t>
            </w:r>
          </w:p>
        </w:tc>
      </w:tr>
      <w:tr w14:paraId="5923430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000" w:type="pct"/>
            <w:gridSpan w:val="6"/>
            <w:vAlign w:val="center"/>
          </w:tcPr>
          <w:p w14:paraId="65110615">
            <w:pPr>
              <w:pStyle w:val="286"/>
              <w:spacing w:line="300" w:lineRule="exact"/>
              <w:jc w:val="left"/>
              <w:rPr>
                <w:rFonts w:hint="eastAsia"/>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注：预处理注入站内风险物质在线量按照30min的设计处理量计算</w:t>
            </w:r>
          </w:p>
        </w:tc>
      </w:tr>
      <w:bookmarkEnd w:id="600"/>
    </w:tbl>
    <w:p w14:paraId="38D00105">
      <w:pPr>
        <w:pStyle w:val="117"/>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根据上表计算结果可</w:t>
      </w:r>
      <w:bookmarkEnd w:id="601"/>
      <w:r>
        <w:rPr>
          <w:rFonts w:hint="eastAsia"/>
          <w:color w:val="000000" w:themeColor="text1"/>
          <w14:textFill>
            <w14:solidFill>
              <w14:schemeClr w14:val="tx1"/>
            </w14:solidFill>
          </w14:textFill>
        </w:rPr>
        <w:t>知，Q</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0.07308，小于1，判断风险潜势为Ⅰ。根据《建设项目环境风险评价技术导则》（H</w:t>
      </w:r>
      <w:r>
        <w:rPr>
          <w:color w:val="000000" w:themeColor="text1"/>
          <w14:textFill>
            <w14:solidFill>
              <w14:schemeClr w14:val="tx1"/>
            </w14:solidFill>
          </w14:textFill>
        </w:rPr>
        <w:t>J169-2018</w:t>
      </w:r>
      <w:r>
        <w:rPr>
          <w:rFonts w:hint="eastAsia"/>
          <w:color w:val="000000" w:themeColor="text1"/>
          <w14:textFill>
            <w14:solidFill>
              <w14:schemeClr w14:val="tx1"/>
            </w14:solidFill>
          </w14:textFill>
        </w:rPr>
        <w:t>）相关要求，本次评价仅对可能存在的环境风险进行简单分析。</w:t>
      </w:r>
    </w:p>
    <w:p w14:paraId="1EC3F89B">
      <w:pPr>
        <w:pStyle w:val="4"/>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环境敏感目标</w:t>
      </w:r>
    </w:p>
    <w:p w14:paraId="5F251957">
      <w:pPr>
        <w:pStyle w:val="117"/>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简单分析不设评价范围，项目区周围无环境风险敏感目标。</w:t>
      </w:r>
    </w:p>
    <w:p w14:paraId="2D49FFF0">
      <w:pPr>
        <w:pStyle w:val="4"/>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环境风险识别</w:t>
      </w:r>
    </w:p>
    <w:p w14:paraId="0AEC7228">
      <w:pPr>
        <w:pStyle w:val="117"/>
        <w:ind w:firstLine="480"/>
        <w:rPr>
          <w:rFonts w:hint="eastAsia"/>
          <w:color w:val="000000" w:themeColor="text1"/>
          <w14:textFill>
            <w14:solidFill>
              <w14:schemeClr w14:val="tx1"/>
            </w14:solidFill>
          </w14:textFill>
        </w:rPr>
      </w:pPr>
      <w:bookmarkStart w:id="602" w:name="OLE_LINK196"/>
      <w:r>
        <w:rPr>
          <w:rFonts w:hint="eastAsia"/>
          <w:color w:val="000000" w:themeColor="text1"/>
          <w14:textFill>
            <w14:solidFill>
              <w14:schemeClr w14:val="tx1"/>
            </w14:solidFill>
          </w14:textFill>
        </w:rPr>
        <w:t>（1）</w:t>
      </w:r>
      <w:r>
        <w:rPr>
          <w:color w:val="000000" w:themeColor="text1"/>
          <w14:textFill>
            <w14:solidFill>
              <w14:schemeClr w14:val="tx1"/>
            </w14:solidFill>
          </w14:textFill>
        </w:rPr>
        <w:t>物质危险性识别</w:t>
      </w:r>
    </w:p>
    <w:p w14:paraId="2BE42573">
      <w:pPr>
        <w:pStyle w:val="117"/>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危险物质主要为原油、伴生气和硫化氢，原油、伴生气和硫化氢的主要物化、毒理性质、危险等级划分见表</w:t>
      </w:r>
      <w:r>
        <w:rPr>
          <w:color w:val="000000" w:themeColor="text1"/>
          <w14:textFill>
            <w14:solidFill>
              <w14:schemeClr w14:val="tx1"/>
            </w14:solidFill>
          </w14:textFill>
        </w:rPr>
        <w:t>5.4</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2</w:t>
      </w:r>
      <w:r>
        <w:rPr>
          <w:rFonts w:hint="eastAsia"/>
          <w:color w:val="000000" w:themeColor="text1"/>
          <w14:textFill>
            <w14:solidFill>
              <w14:schemeClr w14:val="tx1"/>
            </w14:solidFill>
          </w14:textFill>
        </w:rPr>
        <w:t>和表5.4-3。</w:t>
      </w:r>
    </w:p>
    <w:p w14:paraId="6A7D7A1A">
      <w:pPr>
        <w:pStyle w:val="109"/>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表</w:t>
      </w:r>
      <w:r>
        <w:rPr>
          <w:color w:val="000000" w:themeColor="text1"/>
          <w14:textFill>
            <w14:solidFill>
              <w14:schemeClr w14:val="tx1"/>
            </w14:solidFill>
          </w14:textFill>
        </w:rPr>
        <w:t>5.4</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2</w:t>
      </w:r>
      <w:r>
        <w:rPr>
          <w:rFonts w:hint="eastAsia"/>
          <w:color w:val="000000" w:themeColor="text1"/>
          <w14:textFill>
            <w14:solidFill>
              <w14:schemeClr w14:val="tx1"/>
            </w14:solidFill>
          </w14:textFill>
        </w:rPr>
        <w:t xml:space="preserve">  原油、伴生气的理化性质及危险级别分类情况</w:t>
      </w:r>
    </w:p>
    <w:tbl>
      <w:tblPr>
        <w:tblStyle w:val="51"/>
        <w:tblW w:w="0" w:type="auto"/>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57" w:type="dxa"/>
          <w:bottom w:w="0" w:type="dxa"/>
          <w:right w:w="57" w:type="dxa"/>
        </w:tblCellMar>
      </w:tblPr>
      <w:tblGrid>
        <w:gridCol w:w="451"/>
        <w:gridCol w:w="726"/>
        <w:gridCol w:w="1400"/>
        <w:gridCol w:w="3235"/>
        <w:gridCol w:w="1985"/>
        <w:gridCol w:w="933"/>
      </w:tblGrid>
      <w:tr w14:paraId="788D2C3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PrEx>
        <w:trPr>
          <w:trHeight w:val="340" w:hRule="atLeast"/>
          <w:tblHeader/>
        </w:trPr>
        <w:tc>
          <w:tcPr>
            <w:tcW w:w="451" w:type="dxa"/>
            <w:tcMar>
              <w:left w:w="0" w:type="dxa"/>
              <w:right w:w="0" w:type="dxa"/>
            </w:tcMar>
            <w:vAlign w:val="center"/>
          </w:tcPr>
          <w:p w14:paraId="6AC222AA">
            <w:pPr>
              <w:adjustRightInd w:val="0"/>
              <w:snapToGrid w:val="0"/>
              <w:spacing w:line="300" w:lineRule="exact"/>
              <w:jc w:val="center"/>
              <w:rPr>
                <w:rFonts w:hint="eastAsia"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序号</w:t>
            </w:r>
          </w:p>
        </w:tc>
        <w:tc>
          <w:tcPr>
            <w:tcW w:w="726" w:type="dxa"/>
            <w:tcMar>
              <w:left w:w="0" w:type="dxa"/>
              <w:right w:w="0" w:type="dxa"/>
            </w:tcMar>
            <w:vAlign w:val="center"/>
          </w:tcPr>
          <w:p w14:paraId="34B8D130">
            <w:pPr>
              <w:adjustRightInd w:val="0"/>
              <w:snapToGrid w:val="0"/>
              <w:spacing w:line="300" w:lineRule="exact"/>
              <w:jc w:val="center"/>
              <w:rPr>
                <w:rFonts w:hint="eastAsia"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名称</w:t>
            </w:r>
          </w:p>
        </w:tc>
        <w:tc>
          <w:tcPr>
            <w:tcW w:w="1400" w:type="dxa"/>
            <w:tcMar>
              <w:left w:w="0" w:type="dxa"/>
              <w:right w:w="0" w:type="dxa"/>
            </w:tcMar>
            <w:vAlign w:val="center"/>
          </w:tcPr>
          <w:p w14:paraId="313DFAD3">
            <w:pPr>
              <w:adjustRightInd w:val="0"/>
              <w:snapToGrid w:val="0"/>
              <w:spacing w:line="300" w:lineRule="exact"/>
              <w:jc w:val="center"/>
              <w:rPr>
                <w:rFonts w:hint="eastAsia"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组分</w:t>
            </w:r>
          </w:p>
        </w:tc>
        <w:tc>
          <w:tcPr>
            <w:tcW w:w="3235" w:type="dxa"/>
            <w:tcMar>
              <w:left w:w="0" w:type="dxa"/>
              <w:right w:w="0" w:type="dxa"/>
            </w:tcMar>
            <w:vAlign w:val="center"/>
          </w:tcPr>
          <w:p w14:paraId="31CC4912">
            <w:pPr>
              <w:adjustRightInd w:val="0"/>
              <w:snapToGrid w:val="0"/>
              <w:spacing w:line="300" w:lineRule="exact"/>
              <w:jc w:val="center"/>
              <w:rPr>
                <w:rFonts w:hint="eastAsia"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毒性</w:t>
            </w:r>
          </w:p>
        </w:tc>
        <w:tc>
          <w:tcPr>
            <w:tcW w:w="1985" w:type="dxa"/>
            <w:tcMar>
              <w:left w:w="0" w:type="dxa"/>
              <w:right w:w="0" w:type="dxa"/>
            </w:tcMar>
            <w:vAlign w:val="center"/>
          </w:tcPr>
          <w:p w14:paraId="051BF7E8">
            <w:pPr>
              <w:adjustRightInd w:val="0"/>
              <w:snapToGrid w:val="0"/>
              <w:spacing w:line="300" w:lineRule="exact"/>
              <w:jc w:val="center"/>
              <w:rPr>
                <w:rFonts w:hint="eastAsia"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燃烧爆炸特性参数</w:t>
            </w:r>
          </w:p>
        </w:tc>
        <w:tc>
          <w:tcPr>
            <w:tcW w:w="933" w:type="dxa"/>
            <w:tcMar>
              <w:left w:w="0" w:type="dxa"/>
              <w:right w:w="0" w:type="dxa"/>
            </w:tcMar>
            <w:vAlign w:val="center"/>
          </w:tcPr>
          <w:p w14:paraId="1D0233E2">
            <w:pPr>
              <w:adjustRightInd w:val="0"/>
              <w:snapToGrid w:val="0"/>
              <w:spacing w:line="300" w:lineRule="exact"/>
              <w:jc w:val="center"/>
              <w:rPr>
                <w:rFonts w:hint="eastAsia"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危险级别</w:t>
            </w:r>
          </w:p>
        </w:tc>
      </w:tr>
      <w:tr w14:paraId="27E8960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40" w:hRule="atLeast"/>
        </w:trPr>
        <w:tc>
          <w:tcPr>
            <w:tcW w:w="451" w:type="dxa"/>
            <w:tcMar>
              <w:left w:w="0" w:type="dxa"/>
              <w:right w:w="0" w:type="dxa"/>
            </w:tcMar>
            <w:vAlign w:val="center"/>
          </w:tcPr>
          <w:p w14:paraId="5AE5D58E">
            <w:pPr>
              <w:adjustRightInd w:val="0"/>
              <w:snapToGrid w:val="0"/>
              <w:spacing w:line="300" w:lineRule="exact"/>
              <w:jc w:val="center"/>
              <w:rPr>
                <w:rFonts w:hint="eastAsia"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1</w:t>
            </w:r>
          </w:p>
        </w:tc>
        <w:tc>
          <w:tcPr>
            <w:tcW w:w="726" w:type="dxa"/>
            <w:tcMar>
              <w:left w:w="0" w:type="dxa"/>
              <w:right w:w="0" w:type="dxa"/>
            </w:tcMar>
            <w:vAlign w:val="center"/>
          </w:tcPr>
          <w:p w14:paraId="3E3E7C6E">
            <w:pPr>
              <w:adjustRightInd w:val="0"/>
              <w:snapToGrid w:val="0"/>
              <w:spacing w:line="300" w:lineRule="exact"/>
              <w:jc w:val="center"/>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原油</w:t>
            </w:r>
          </w:p>
        </w:tc>
        <w:tc>
          <w:tcPr>
            <w:tcW w:w="1400" w:type="dxa"/>
            <w:tcMar>
              <w:left w:w="0" w:type="dxa"/>
              <w:right w:w="0" w:type="dxa"/>
            </w:tcMar>
            <w:vAlign w:val="center"/>
          </w:tcPr>
          <w:p w14:paraId="7E386B9D">
            <w:pPr>
              <w:adjustRightInd w:val="0"/>
              <w:snapToGrid w:val="0"/>
              <w:spacing w:line="300" w:lineRule="exact"/>
              <w:jc w:val="center"/>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由</w:t>
            </w:r>
            <w:r>
              <w:rPr>
                <w:rFonts w:ascii="宋体" w:hAnsi="宋体"/>
                <w:color w:val="000000" w:themeColor="text1"/>
                <w:szCs w:val="21"/>
                <w14:textFill>
                  <w14:solidFill>
                    <w14:schemeClr w14:val="tx1"/>
                  </w14:solidFill>
                </w14:textFill>
              </w:rPr>
              <w:t>各种烃类和非烃类化合物所组成的复杂混合物</w:t>
            </w:r>
          </w:p>
        </w:tc>
        <w:tc>
          <w:tcPr>
            <w:tcW w:w="3235" w:type="dxa"/>
            <w:tcMar>
              <w:left w:w="0" w:type="dxa"/>
              <w:right w:w="0" w:type="dxa"/>
            </w:tcMar>
            <w:vAlign w:val="center"/>
          </w:tcPr>
          <w:p w14:paraId="55855634">
            <w:pPr>
              <w:adjustRightInd w:val="0"/>
              <w:snapToGrid w:val="0"/>
              <w:spacing w:line="300" w:lineRule="exact"/>
              <w:jc w:val="center"/>
              <w:rPr>
                <w:rFonts w:hint="eastAsia"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本身无明显毒性。遇热分解出有毒的烟雾，吸入大量可引起危害：有刺激和麻痹作用，吸入急性中毒者有上呼吸道刺激症状。流泪，随之出现头晕、头痛、恶心、运动失调及酒醉样症状</w:t>
            </w:r>
          </w:p>
        </w:tc>
        <w:tc>
          <w:tcPr>
            <w:tcW w:w="1985" w:type="dxa"/>
            <w:tcMar>
              <w:left w:w="0" w:type="dxa"/>
              <w:right w:w="0" w:type="dxa"/>
            </w:tcMar>
            <w:vAlign w:val="center"/>
          </w:tcPr>
          <w:p w14:paraId="7748DF94">
            <w:pPr>
              <w:adjustRightInd w:val="0"/>
              <w:snapToGrid w:val="0"/>
              <w:spacing w:line="300" w:lineRule="exact"/>
              <w:jc w:val="center"/>
              <w:rPr>
                <w:rFonts w:hint="eastAsia"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热值：41870KJ/kg</w:t>
            </w:r>
          </w:p>
          <w:p w14:paraId="41B6370A">
            <w:pPr>
              <w:adjustRightInd w:val="0"/>
              <w:snapToGrid w:val="0"/>
              <w:spacing w:line="300" w:lineRule="exact"/>
              <w:jc w:val="center"/>
              <w:rPr>
                <w:rFonts w:hint="eastAsia"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火焰温度：1100℃</w:t>
            </w:r>
          </w:p>
          <w:p w14:paraId="066A414B">
            <w:pPr>
              <w:adjustRightInd w:val="0"/>
              <w:snapToGrid w:val="0"/>
              <w:spacing w:line="300" w:lineRule="exact"/>
              <w:jc w:val="center"/>
              <w:rPr>
                <w:rFonts w:hint="eastAsia"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沸点：300℃</w:t>
            </w:r>
            <w:r>
              <w:rPr>
                <w:rFonts w:hint="eastAsia" w:ascii="宋体" w:hAnsi="宋体"/>
                <w:color w:val="000000" w:themeColor="text1"/>
                <w:szCs w:val="21"/>
                <w14:textFill>
                  <w14:solidFill>
                    <w14:schemeClr w14:val="tx1"/>
                  </w14:solidFill>
                </w14:textFill>
              </w:rPr>
              <w:t>～</w:t>
            </w:r>
            <w:r>
              <w:rPr>
                <w:rFonts w:ascii="宋体" w:hAnsi="宋体"/>
                <w:color w:val="000000" w:themeColor="text1"/>
                <w:szCs w:val="21"/>
                <w14:textFill>
                  <w14:solidFill>
                    <w14:schemeClr w14:val="tx1"/>
                  </w14:solidFill>
                </w14:textFill>
              </w:rPr>
              <w:t>325℃</w:t>
            </w:r>
          </w:p>
          <w:p w14:paraId="355798BD">
            <w:pPr>
              <w:adjustRightInd w:val="0"/>
              <w:snapToGrid w:val="0"/>
              <w:spacing w:line="300" w:lineRule="exact"/>
              <w:jc w:val="center"/>
              <w:rPr>
                <w:rFonts w:hint="eastAsia"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闪点：23.5℃</w:t>
            </w:r>
          </w:p>
          <w:p w14:paraId="7C8B50DD">
            <w:pPr>
              <w:adjustRightInd w:val="0"/>
              <w:snapToGrid w:val="0"/>
              <w:spacing w:line="300" w:lineRule="exact"/>
              <w:jc w:val="center"/>
              <w:rPr>
                <w:rFonts w:hint="eastAsia"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爆炸极限1.1%</w:t>
            </w:r>
            <w:r>
              <w:rPr>
                <w:rFonts w:hint="eastAsia" w:ascii="宋体" w:hAnsi="宋体"/>
                <w:color w:val="000000" w:themeColor="text1"/>
                <w:szCs w:val="21"/>
                <w14:textFill>
                  <w14:solidFill>
                    <w14:schemeClr w14:val="tx1"/>
                  </w14:solidFill>
                </w14:textFill>
              </w:rPr>
              <w:t>～</w:t>
            </w:r>
            <w:r>
              <w:rPr>
                <w:rFonts w:ascii="宋体" w:hAnsi="宋体"/>
                <w:color w:val="000000" w:themeColor="text1"/>
                <w:szCs w:val="21"/>
                <w14:textFill>
                  <w14:solidFill>
                    <w14:schemeClr w14:val="tx1"/>
                  </w14:solidFill>
                </w14:textFill>
              </w:rPr>
              <w:t>6.4%（v）自然燃点380℃</w:t>
            </w:r>
            <w:r>
              <w:rPr>
                <w:rFonts w:hint="eastAsia" w:ascii="宋体" w:hAnsi="宋体"/>
                <w:color w:val="000000" w:themeColor="text1"/>
                <w:szCs w:val="21"/>
                <w14:textFill>
                  <w14:solidFill>
                    <w14:schemeClr w14:val="tx1"/>
                  </w14:solidFill>
                </w14:textFill>
              </w:rPr>
              <w:t>～</w:t>
            </w:r>
            <w:r>
              <w:rPr>
                <w:rFonts w:ascii="宋体" w:hAnsi="宋体"/>
                <w:color w:val="000000" w:themeColor="text1"/>
                <w:szCs w:val="21"/>
                <w14:textFill>
                  <w14:solidFill>
                    <w14:schemeClr w14:val="tx1"/>
                  </w14:solidFill>
                </w14:textFill>
              </w:rPr>
              <w:t>530℃</w:t>
            </w:r>
          </w:p>
        </w:tc>
        <w:tc>
          <w:tcPr>
            <w:tcW w:w="933" w:type="dxa"/>
            <w:tcMar>
              <w:left w:w="0" w:type="dxa"/>
              <w:right w:w="0" w:type="dxa"/>
            </w:tcMar>
            <w:vAlign w:val="center"/>
          </w:tcPr>
          <w:p w14:paraId="07AA360F">
            <w:pPr>
              <w:adjustRightInd w:val="0"/>
              <w:snapToGrid w:val="0"/>
              <w:spacing w:line="300" w:lineRule="exact"/>
              <w:jc w:val="center"/>
              <w:rPr>
                <w:rFonts w:hint="eastAsia"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属于高闪点液体</w:t>
            </w:r>
          </w:p>
        </w:tc>
      </w:tr>
      <w:tr w14:paraId="780B20B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40" w:hRule="atLeast"/>
        </w:trPr>
        <w:tc>
          <w:tcPr>
            <w:tcW w:w="451" w:type="dxa"/>
            <w:tcMar>
              <w:left w:w="0" w:type="dxa"/>
              <w:right w:w="0" w:type="dxa"/>
            </w:tcMar>
            <w:vAlign w:val="center"/>
          </w:tcPr>
          <w:p w14:paraId="20D01CFA">
            <w:pPr>
              <w:adjustRightInd w:val="0"/>
              <w:snapToGrid w:val="0"/>
              <w:spacing w:line="300" w:lineRule="exact"/>
              <w:jc w:val="center"/>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2</w:t>
            </w:r>
          </w:p>
        </w:tc>
        <w:tc>
          <w:tcPr>
            <w:tcW w:w="726" w:type="dxa"/>
            <w:tcMar>
              <w:left w:w="0" w:type="dxa"/>
              <w:right w:w="0" w:type="dxa"/>
            </w:tcMar>
            <w:vAlign w:val="center"/>
          </w:tcPr>
          <w:p w14:paraId="6AF47085">
            <w:pPr>
              <w:adjustRightInd w:val="0"/>
              <w:snapToGrid w:val="0"/>
              <w:spacing w:line="300" w:lineRule="exact"/>
              <w:jc w:val="center"/>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伴生气</w:t>
            </w:r>
          </w:p>
        </w:tc>
        <w:tc>
          <w:tcPr>
            <w:tcW w:w="1400" w:type="dxa"/>
            <w:tcMar>
              <w:left w:w="0" w:type="dxa"/>
              <w:right w:w="0" w:type="dxa"/>
            </w:tcMar>
            <w:vAlign w:val="center"/>
          </w:tcPr>
          <w:p w14:paraId="3E8D8604">
            <w:pPr>
              <w:adjustRightInd w:val="0"/>
              <w:snapToGrid w:val="0"/>
              <w:spacing w:line="300" w:lineRule="exact"/>
              <w:jc w:val="center"/>
              <w:rPr>
                <w:rFonts w:hint="eastAsia"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多种可燃性气体的总称，主要成分包括甲烷、乙烷等</w:t>
            </w:r>
          </w:p>
        </w:tc>
        <w:tc>
          <w:tcPr>
            <w:tcW w:w="3235" w:type="dxa"/>
            <w:tcMar>
              <w:left w:w="0" w:type="dxa"/>
              <w:right w:w="0" w:type="dxa"/>
            </w:tcMar>
            <w:vAlign w:val="center"/>
          </w:tcPr>
          <w:p w14:paraId="565B3047">
            <w:pPr>
              <w:adjustRightInd w:val="0"/>
              <w:snapToGrid w:val="0"/>
              <w:spacing w:line="300" w:lineRule="exact"/>
              <w:jc w:val="center"/>
              <w:rPr>
                <w:rFonts w:hint="eastAsia" w:ascii="宋体" w:hAnsi="宋体"/>
                <w:color w:val="000000" w:themeColor="text1"/>
                <w:szCs w:val="21"/>
                <w14:textFill>
                  <w14:solidFill>
                    <w14:schemeClr w14:val="tx1"/>
                  </w14:solidFill>
                </w14:textFill>
              </w:rPr>
            </w:pPr>
            <w:bookmarkStart w:id="603" w:name="_Hlk173421952"/>
            <w:bookmarkStart w:id="604" w:name="OLE_LINK86"/>
            <w:r>
              <w:rPr>
                <w:rFonts w:hint="eastAsia" w:ascii="宋体" w:hAnsi="宋体"/>
                <w:color w:val="000000" w:themeColor="text1"/>
                <w:szCs w:val="21"/>
                <w14:textFill>
                  <w14:solidFill>
                    <w14:schemeClr w14:val="tx1"/>
                  </w14:solidFill>
                </w14:textFill>
              </w:rPr>
              <w:t>伴生气中甲烷含量在65.38%～71.07%，</w:t>
            </w:r>
            <w:bookmarkEnd w:id="603"/>
            <w:r>
              <w:rPr>
                <w:rFonts w:hint="eastAsia" w:ascii="宋体" w:hAnsi="宋体"/>
                <w:color w:val="000000" w:themeColor="text1"/>
                <w:szCs w:val="21"/>
                <w14:textFill>
                  <w14:solidFill>
                    <w14:schemeClr w14:val="tx1"/>
                  </w14:solidFill>
                </w14:textFill>
              </w:rPr>
              <w:t>伴生气</w:t>
            </w:r>
            <w:r>
              <w:rPr>
                <w:rFonts w:ascii="宋体" w:hAnsi="宋体"/>
                <w:color w:val="000000" w:themeColor="text1"/>
                <w:szCs w:val="21"/>
                <w14:textFill>
                  <w14:solidFill>
                    <w14:schemeClr w14:val="tx1"/>
                  </w14:solidFill>
                </w14:textFill>
              </w:rPr>
              <w:t>中含有的甲烷，是一种无毒气体，当空气中大量弥漫这种气体时它会造成人因氧气不足而呼吸困难，进而失去知觉、昏迷甚至残废</w:t>
            </w:r>
            <w:r>
              <w:rPr>
                <w:rFonts w:hint="eastAsia" w:ascii="宋体" w:hAnsi="宋体"/>
                <w:color w:val="000000" w:themeColor="text1"/>
                <w:szCs w:val="21"/>
                <w14:textFill>
                  <w14:solidFill>
                    <w14:schemeClr w14:val="tx1"/>
                  </w14:solidFill>
                </w14:textFill>
              </w:rPr>
              <w:t>，</w:t>
            </w:r>
            <w:bookmarkStart w:id="605" w:name="_Hlk173421957"/>
            <w:r>
              <w:rPr>
                <w:rFonts w:hint="eastAsia" w:ascii="宋体" w:hAnsi="宋体"/>
                <w:color w:val="000000" w:themeColor="text1"/>
                <w:szCs w:val="21"/>
                <w14:textFill>
                  <w14:solidFill>
                    <w14:schemeClr w14:val="tx1"/>
                  </w14:solidFill>
                </w14:textFill>
              </w:rPr>
              <w:t>伴生气中硫化氢的浓度在0～254ppm。</w:t>
            </w:r>
            <w:bookmarkEnd w:id="604"/>
            <w:bookmarkEnd w:id="605"/>
          </w:p>
        </w:tc>
        <w:tc>
          <w:tcPr>
            <w:tcW w:w="1985" w:type="dxa"/>
            <w:tcMar>
              <w:left w:w="0" w:type="dxa"/>
              <w:right w:w="0" w:type="dxa"/>
            </w:tcMar>
            <w:vAlign w:val="center"/>
          </w:tcPr>
          <w:p w14:paraId="0357F20F">
            <w:pPr>
              <w:adjustRightInd w:val="0"/>
              <w:snapToGrid w:val="0"/>
              <w:spacing w:line="300" w:lineRule="exact"/>
              <w:jc w:val="center"/>
              <w:rPr>
                <w:rFonts w:hint="eastAsia"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热值：50009KJ/kg</w:t>
            </w:r>
          </w:p>
          <w:p w14:paraId="5FEDC9E4">
            <w:pPr>
              <w:adjustRightInd w:val="0"/>
              <w:snapToGrid w:val="0"/>
              <w:spacing w:line="300" w:lineRule="exact"/>
              <w:jc w:val="center"/>
              <w:rPr>
                <w:rFonts w:hint="eastAsia"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爆炸极限5%</w:t>
            </w:r>
            <w:r>
              <w:rPr>
                <w:rFonts w:hint="eastAsia" w:ascii="宋体" w:hAnsi="宋体"/>
                <w:color w:val="000000" w:themeColor="text1"/>
                <w:szCs w:val="21"/>
                <w14:textFill>
                  <w14:solidFill>
                    <w14:schemeClr w14:val="tx1"/>
                  </w14:solidFill>
                </w14:textFill>
              </w:rPr>
              <w:t>～</w:t>
            </w:r>
            <w:r>
              <w:rPr>
                <w:rFonts w:ascii="宋体" w:hAnsi="宋体"/>
                <w:color w:val="000000" w:themeColor="text1"/>
                <w:szCs w:val="21"/>
                <w14:textFill>
                  <w14:solidFill>
                    <w14:schemeClr w14:val="tx1"/>
                  </w14:solidFill>
                </w14:textFill>
              </w:rPr>
              <w:t>14%（v）自然燃点</w:t>
            </w:r>
          </w:p>
          <w:p w14:paraId="4067229E">
            <w:pPr>
              <w:adjustRightInd w:val="0"/>
              <w:snapToGrid w:val="0"/>
              <w:spacing w:line="300" w:lineRule="exact"/>
              <w:jc w:val="center"/>
              <w:rPr>
                <w:rFonts w:hint="eastAsia"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482℃</w:t>
            </w:r>
            <w:r>
              <w:rPr>
                <w:rFonts w:hint="eastAsia" w:ascii="宋体" w:hAnsi="宋体"/>
                <w:color w:val="000000" w:themeColor="text1"/>
                <w:szCs w:val="21"/>
                <w14:textFill>
                  <w14:solidFill>
                    <w14:schemeClr w14:val="tx1"/>
                  </w14:solidFill>
                </w14:textFill>
              </w:rPr>
              <w:t>～</w:t>
            </w:r>
            <w:r>
              <w:rPr>
                <w:rFonts w:ascii="宋体" w:hAnsi="宋体"/>
                <w:color w:val="000000" w:themeColor="text1"/>
                <w:szCs w:val="21"/>
                <w14:textFill>
                  <w14:solidFill>
                    <w14:schemeClr w14:val="tx1"/>
                  </w14:solidFill>
                </w14:textFill>
              </w:rPr>
              <w:t>632℃</w:t>
            </w:r>
          </w:p>
        </w:tc>
        <w:tc>
          <w:tcPr>
            <w:tcW w:w="933" w:type="dxa"/>
            <w:tcMar>
              <w:left w:w="0" w:type="dxa"/>
              <w:right w:w="0" w:type="dxa"/>
            </w:tcMar>
            <w:vAlign w:val="center"/>
          </w:tcPr>
          <w:p w14:paraId="4FA7EBBA">
            <w:pPr>
              <w:adjustRightInd w:val="0"/>
              <w:snapToGrid w:val="0"/>
              <w:spacing w:line="300" w:lineRule="exact"/>
              <w:jc w:val="center"/>
              <w:rPr>
                <w:rFonts w:hint="eastAsia"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属于5.1类中易燃气体</w:t>
            </w:r>
          </w:p>
        </w:tc>
      </w:tr>
      <w:bookmarkEnd w:id="602"/>
    </w:tbl>
    <w:p w14:paraId="5DF35776">
      <w:pPr>
        <w:adjustRightInd w:val="0"/>
        <w:snapToGrid w:val="0"/>
        <w:spacing w:line="500" w:lineRule="exact"/>
        <w:ind w:firstLine="420" w:firstLineChars="200"/>
        <w:jc w:val="center"/>
        <w:rPr>
          <w:rFonts w:hint="eastAsia" w:ascii="黑体" w:hAnsi="黑体" w:eastAsia="黑体" w:cs="黑体"/>
          <w:color w:val="000000" w:themeColor="text1"/>
          <w:kern w:val="28"/>
          <w:szCs w:val="21"/>
          <w:lang w:bidi="ar"/>
          <w14:textFill>
            <w14:solidFill>
              <w14:schemeClr w14:val="tx1"/>
            </w14:solidFill>
          </w14:textFill>
        </w:rPr>
      </w:pPr>
      <w:bookmarkStart w:id="606" w:name="_Hlk176302656"/>
      <w:bookmarkStart w:id="607" w:name="_Hlk173407511"/>
      <w:r>
        <w:rPr>
          <w:rFonts w:hint="eastAsia" w:ascii="黑体" w:hAnsi="黑体" w:eastAsia="黑体" w:cs="黑体"/>
          <w:color w:val="000000" w:themeColor="text1"/>
          <w:kern w:val="28"/>
          <w:szCs w:val="21"/>
          <w:lang w:bidi="ar"/>
          <w14:textFill>
            <w14:solidFill>
              <w14:schemeClr w14:val="tx1"/>
            </w14:solidFill>
          </w14:textFill>
        </w:rPr>
        <w:t>表5.4-3  硫化氢理化性质及危险特性</w:t>
      </w:r>
    </w:p>
    <w:tbl>
      <w:tblPr>
        <w:tblStyle w:val="51"/>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49"/>
        <w:gridCol w:w="1034"/>
        <w:gridCol w:w="397"/>
        <w:gridCol w:w="780"/>
        <w:gridCol w:w="1100"/>
        <w:gridCol w:w="1116"/>
        <w:gridCol w:w="902"/>
        <w:gridCol w:w="1117"/>
        <w:gridCol w:w="1951"/>
      </w:tblGrid>
      <w:tr w14:paraId="7919922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307" w:type="pct"/>
            <w:vMerge w:val="restart"/>
            <w:vAlign w:val="center"/>
          </w:tcPr>
          <w:p w14:paraId="5B6F2641">
            <w:pPr>
              <w:adjustRightInd w:val="0"/>
              <w:snapToGrid w:val="0"/>
              <w:spacing w:line="30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标识</w:t>
            </w:r>
          </w:p>
        </w:tc>
        <w:tc>
          <w:tcPr>
            <w:tcW w:w="578" w:type="pct"/>
            <w:vAlign w:val="center"/>
          </w:tcPr>
          <w:p w14:paraId="521B6407">
            <w:pPr>
              <w:adjustRightInd w:val="0"/>
              <w:snapToGrid w:val="0"/>
              <w:spacing w:line="30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中文名</w:t>
            </w:r>
          </w:p>
        </w:tc>
        <w:tc>
          <w:tcPr>
            <w:tcW w:w="1273" w:type="pct"/>
            <w:gridSpan w:val="3"/>
            <w:vAlign w:val="center"/>
          </w:tcPr>
          <w:p w14:paraId="7FD94744">
            <w:pPr>
              <w:adjustRightInd w:val="0"/>
              <w:snapToGrid w:val="0"/>
              <w:spacing w:line="30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硫化氢</w:t>
            </w:r>
          </w:p>
        </w:tc>
        <w:tc>
          <w:tcPr>
            <w:tcW w:w="1128" w:type="pct"/>
            <w:gridSpan w:val="2"/>
            <w:vAlign w:val="center"/>
          </w:tcPr>
          <w:p w14:paraId="4D8FFD07">
            <w:pPr>
              <w:adjustRightInd w:val="0"/>
              <w:snapToGrid w:val="0"/>
              <w:spacing w:line="30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 xml:space="preserve">英文名      </w:t>
            </w:r>
          </w:p>
        </w:tc>
        <w:tc>
          <w:tcPr>
            <w:tcW w:w="1714" w:type="pct"/>
            <w:gridSpan w:val="2"/>
            <w:vAlign w:val="center"/>
          </w:tcPr>
          <w:p w14:paraId="27EAE32A">
            <w:pPr>
              <w:adjustRightInd w:val="0"/>
              <w:snapToGrid w:val="0"/>
              <w:spacing w:line="30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w:t>
            </w:r>
          </w:p>
        </w:tc>
      </w:tr>
      <w:tr w14:paraId="67FD998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307" w:type="pct"/>
            <w:vMerge w:val="continue"/>
            <w:vAlign w:val="center"/>
          </w:tcPr>
          <w:p w14:paraId="6507EDF4">
            <w:pPr>
              <w:widowControl/>
              <w:adjustRightInd w:val="0"/>
              <w:snapToGrid w:val="0"/>
              <w:spacing w:line="300" w:lineRule="exact"/>
              <w:jc w:val="left"/>
              <w:rPr>
                <w:rFonts w:hint="eastAsia" w:ascii="宋体" w:hAnsi="宋体" w:cs="宋体"/>
                <w:color w:val="000000" w:themeColor="text1"/>
                <w:szCs w:val="21"/>
                <w14:textFill>
                  <w14:solidFill>
                    <w14:schemeClr w14:val="tx1"/>
                  </w14:solidFill>
                </w14:textFill>
              </w:rPr>
            </w:pPr>
          </w:p>
        </w:tc>
        <w:tc>
          <w:tcPr>
            <w:tcW w:w="578" w:type="pct"/>
            <w:vAlign w:val="center"/>
          </w:tcPr>
          <w:p w14:paraId="7C408E1E">
            <w:pPr>
              <w:adjustRightInd w:val="0"/>
              <w:snapToGrid w:val="0"/>
              <w:spacing w:line="30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分子式</w:t>
            </w:r>
          </w:p>
        </w:tc>
        <w:tc>
          <w:tcPr>
            <w:tcW w:w="1273" w:type="pct"/>
            <w:gridSpan w:val="3"/>
            <w:vAlign w:val="center"/>
          </w:tcPr>
          <w:p w14:paraId="539904FE">
            <w:pPr>
              <w:adjustRightInd w:val="0"/>
              <w:snapToGrid w:val="0"/>
              <w:spacing w:line="30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H</w:t>
            </w:r>
            <w:r>
              <w:rPr>
                <w:rFonts w:hint="eastAsia" w:ascii="宋体" w:hAnsi="宋体" w:cs="宋体"/>
                <w:color w:val="000000" w:themeColor="text1"/>
                <w:szCs w:val="21"/>
                <w:vertAlign w:val="subscript"/>
                <w14:textFill>
                  <w14:solidFill>
                    <w14:schemeClr w14:val="tx1"/>
                  </w14:solidFill>
                </w14:textFill>
              </w:rPr>
              <w:t>2</w:t>
            </w:r>
            <w:r>
              <w:rPr>
                <w:rFonts w:hint="eastAsia" w:ascii="宋体" w:hAnsi="宋体" w:cs="宋体"/>
                <w:color w:val="000000" w:themeColor="text1"/>
                <w:szCs w:val="21"/>
                <w14:textFill>
                  <w14:solidFill>
                    <w14:schemeClr w14:val="tx1"/>
                  </w14:solidFill>
                </w14:textFill>
              </w:rPr>
              <w:t>S</w:t>
            </w:r>
          </w:p>
        </w:tc>
        <w:tc>
          <w:tcPr>
            <w:tcW w:w="1128" w:type="pct"/>
            <w:gridSpan w:val="2"/>
            <w:vAlign w:val="center"/>
          </w:tcPr>
          <w:p w14:paraId="306153EC">
            <w:pPr>
              <w:adjustRightInd w:val="0"/>
              <w:snapToGrid w:val="0"/>
              <w:spacing w:line="30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 xml:space="preserve">分子量    </w:t>
            </w:r>
          </w:p>
        </w:tc>
        <w:tc>
          <w:tcPr>
            <w:tcW w:w="1714" w:type="pct"/>
            <w:gridSpan w:val="2"/>
            <w:vAlign w:val="center"/>
          </w:tcPr>
          <w:p w14:paraId="20DD61CC">
            <w:pPr>
              <w:adjustRightInd w:val="0"/>
              <w:snapToGrid w:val="0"/>
              <w:spacing w:line="30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34</w:t>
            </w:r>
          </w:p>
        </w:tc>
      </w:tr>
      <w:tr w14:paraId="1FD7B41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307" w:type="pct"/>
            <w:vMerge w:val="restart"/>
            <w:vAlign w:val="center"/>
          </w:tcPr>
          <w:p w14:paraId="06F71E98">
            <w:pPr>
              <w:adjustRightInd w:val="0"/>
              <w:snapToGrid w:val="0"/>
              <w:spacing w:line="30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理化</w:t>
            </w:r>
          </w:p>
          <w:p w14:paraId="515D6531">
            <w:pPr>
              <w:adjustRightInd w:val="0"/>
              <w:snapToGrid w:val="0"/>
              <w:spacing w:line="30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性质</w:t>
            </w:r>
          </w:p>
        </w:tc>
        <w:tc>
          <w:tcPr>
            <w:tcW w:w="4693" w:type="pct"/>
            <w:gridSpan w:val="8"/>
            <w:vAlign w:val="center"/>
          </w:tcPr>
          <w:p w14:paraId="06FFD695">
            <w:pPr>
              <w:adjustRightInd w:val="0"/>
              <w:snapToGrid w:val="0"/>
              <w:spacing w:line="300" w:lineRule="exact"/>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外观与性状：</w:t>
            </w:r>
            <w:r>
              <w:rPr>
                <w:rFonts w:hint="eastAsia" w:ascii="宋体" w:hAnsi="宋体" w:cs="宋体"/>
                <w:snapToGrid w:val="0"/>
                <w:color w:val="000000" w:themeColor="text1"/>
                <w:spacing w:val="-2"/>
                <w:szCs w:val="21"/>
                <w:lang w:bidi="ar"/>
                <w14:textFill>
                  <w14:solidFill>
                    <w14:schemeClr w14:val="tx1"/>
                  </w14:solidFill>
                </w14:textFill>
              </w:rPr>
              <w:t>无色气体，比空气略重</w:t>
            </w:r>
          </w:p>
        </w:tc>
      </w:tr>
      <w:tr w14:paraId="26C4E02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307" w:type="pct"/>
            <w:vMerge w:val="continue"/>
            <w:vAlign w:val="center"/>
          </w:tcPr>
          <w:p w14:paraId="3123FB3E">
            <w:pPr>
              <w:widowControl/>
              <w:adjustRightInd w:val="0"/>
              <w:snapToGrid w:val="0"/>
              <w:spacing w:line="300" w:lineRule="exact"/>
              <w:jc w:val="left"/>
              <w:rPr>
                <w:rFonts w:hint="eastAsia" w:ascii="宋体" w:hAnsi="宋体" w:cs="宋体"/>
                <w:color w:val="000000" w:themeColor="text1"/>
                <w:szCs w:val="21"/>
                <w14:textFill>
                  <w14:solidFill>
                    <w14:schemeClr w14:val="tx1"/>
                  </w14:solidFill>
                </w14:textFill>
              </w:rPr>
            </w:pPr>
          </w:p>
        </w:tc>
        <w:tc>
          <w:tcPr>
            <w:tcW w:w="4693" w:type="pct"/>
            <w:gridSpan w:val="8"/>
            <w:vAlign w:val="center"/>
          </w:tcPr>
          <w:p w14:paraId="4C6A5828">
            <w:pPr>
              <w:adjustRightInd w:val="0"/>
              <w:snapToGrid w:val="0"/>
              <w:spacing w:line="300" w:lineRule="exact"/>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可燃性：溶于水，可混溶于醇、醚等多数有机溶剂。</w:t>
            </w:r>
          </w:p>
        </w:tc>
      </w:tr>
      <w:tr w14:paraId="45CDF21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307" w:type="pct"/>
            <w:vMerge w:val="continue"/>
            <w:vAlign w:val="center"/>
          </w:tcPr>
          <w:p w14:paraId="69D922E5">
            <w:pPr>
              <w:widowControl/>
              <w:adjustRightInd w:val="0"/>
              <w:snapToGrid w:val="0"/>
              <w:spacing w:line="300" w:lineRule="exact"/>
              <w:jc w:val="left"/>
              <w:rPr>
                <w:rFonts w:hint="eastAsia" w:ascii="宋体" w:hAnsi="宋体" w:cs="宋体"/>
                <w:color w:val="000000" w:themeColor="text1"/>
                <w:szCs w:val="21"/>
                <w14:textFill>
                  <w14:solidFill>
                    <w14:schemeClr w14:val="tx1"/>
                  </w14:solidFill>
                </w14:textFill>
              </w:rPr>
            </w:pPr>
          </w:p>
        </w:tc>
        <w:tc>
          <w:tcPr>
            <w:tcW w:w="1236" w:type="pct"/>
            <w:gridSpan w:val="3"/>
            <w:vAlign w:val="center"/>
          </w:tcPr>
          <w:p w14:paraId="4A1C9165">
            <w:pPr>
              <w:adjustRightInd w:val="0"/>
              <w:snapToGrid w:val="0"/>
              <w:spacing w:line="30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熔点(℃)</w:t>
            </w:r>
          </w:p>
        </w:tc>
        <w:tc>
          <w:tcPr>
            <w:tcW w:w="1239" w:type="pct"/>
            <w:gridSpan w:val="2"/>
            <w:vAlign w:val="center"/>
          </w:tcPr>
          <w:p w14:paraId="4502A03D">
            <w:pPr>
              <w:adjustRightInd w:val="0"/>
              <w:snapToGrid w:val="0"/>
              <w:spacing w:line="30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-82.9</w:t>
            </w:r>
          </w:p>
        </w:tc>
        <w:tc>
          <w:tcPr>
            <w:tcW w:w="1128" w:type="pct"/>
            <w:gridSpan w:val="2"/>
            <w:vAlign w:val="center"/>
          </w:tcPr>
          <w:p w14:paraId="10CA281E">
            <w:pPr>
              <w:adjustRightInd w:val="0"/>
              <w:snapToGrid w:val="0"/>
              <w:spacing w:line="300" w:lineRule="exact"/>
              <w:jc w:val="center"/>
              <w:rPr>
                <w:rFonts w:hint="eastAsia" w:ascii="宋体" w:hAnsi="宋体" w:cs="宋体"/>
                <w:color w:val="000000" w:themeColor="text1"/>
                <w:szCs w:val="21"/>
                <w14:textFill>
                  <w14:solidFill>
                    <w14:schemeClr w14:val="tx1"/>
                  </w14:solidFill>
                </w14:textFill>
              </w:rPr>
            </w:pPr>
            <w:r>
              <w:fldChar w:fldCharType="begin"/>
            </w:r>
            <w:r>
              <w:instrText xml:space="preserve"> HYPERLINK "http://baike.baidu.com/view/348358.htm" </w:instrText>
            </w:r>
            <w:r>
              <w:fldChar w:fldCharType="separate"/>
            </w:r>
            <w:r>
              <w:rPr>
                <w:rStyle w:val="59"/>
                <w:rFonts w:hint="eastAsia" w:ascii="宋体" w:hAnsi="宋体" w:cs="宋体"/>
                <w:color w:val="000000" w:themeColor="text1"/>
                <w:szCs w:val="21"/>
                <w14:textFill>
                  <w14:solidFill>
                    <w14:schemeClr w14:val="tx1"/>
                  </w14:solidFill>
                </w14:textFill>
              </w:rPr>
              <w:t>自燃点</w:t>
            </w:r>
            <w:r>
              <w:rPr>
                <w:rStyle w:val="59"/>
                <w:rFonts w:hint="eastAsia" w:ascii="宋体" w:hAnsi="宋体" w:cs="宋体"/>
                <w:color w:val="000000" w:themeColor="text1"/>
                <w:szCs w:val="21"/>
                <w14:textFill>
                  <w14:solidFill>
                    <w14:schemeClr w14:val="tx1"/>
                  </w14:solidFill>
                </w14:textFill>
              </w:rPr>
              <w:fldChar w:fldCharType="end"/>
            </w:r>
            <w:r>
              <w:rPr>
                <w:rFonts w:hint="eastAsia" w:ascii="宋体" w:hAnsi="宋体" w:cs="宋体"/>
                <w:color w:val="000000" w:themeColor="text1"/>
                <w:szCs w:val="21"/>
                <w14:textFill>
                  <w14:solidFill>
                    <w14:schemeClr w14:val="tx1"/>
                  </w14:solidFill>
                </w14:textFill>
              </w:rPr>
              <w:t>(℃)</w:t>
            </w:r>
          </w:p>
        </w:tc>
        <w:tc>
          <w:tcPr>
            <w:tcW w:w="1091" w:type="pct"/>
            <w:vAlign w:val="center"/>
          </w:tcPr>
          <w:p w14:paraId="3671C637">
            <w:pPr>
              <w:adjustRightInd w:val="0"/>
              <w:snapToGrid w:val="0"/>
              <w:spacing w:line="30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 xml:space="preserve">260 </w:t>
            </w:r>
          </w:p>
        </w:tc>
      </w:tr>
      <w:tr w14:paraId="4D74D12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307" w:type="pct"/>
            <w:vMerge w:val="continue"/>
            <w:vAlign w:val="center"/>
          </w:tcPr>
          <w:p w14:paraId="08CE1CFA">
            <w:pPr>
              <w:widowControl/>
              <w:adjustRightInd w:val="0"/>
              <w:snapToGrid w:val="0"/>
              <w:spacing w:line="300" w:lineRule="exact"/>
              <w:jc w:val="left"/>
              <w:rPr>
                <w:rFonts w:hint="eastAsia" w:ascii="宋体" w:hAnsi="宋体" w:cs="宋体"/>
                <w:color w:val="000000" w:themeColor="text1"/>
                <w:szCs w:val="21"/>
                <w14:textFill>
                  <w14:solidFill>
                    <w14:schemeClr w14:val="tx1"/>
                  </w14:solidFill>
                </w14:textFill>
              </w:rPr>
            </w:pPr>
          </w:p>
        </w:tc>
        <w:tc>
          <w:tcPr>
            <w:tcW w:w="1236" w:type="pct"/>
            <w:gridSpan w:val="3"/>
            <w:vAlign w:val="center"/>
          </w:tcPr>
          <w:p w14:paraId="663A5F83">
            <w:pPr>
              <w:adjustRightInd w:val="0"/>
              <w:snapToGrid w:val="0"/>
              <w:spacing w:line="30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沸点(℃)</w:t>
            </w:r>
          </w:p>
        </w:tc>
        <w:tc>
          <w:tcPr>
            <w:tcW w:w="1239" w:type="pct"/>
            <w:gridSpan w:val="2"/>
            <w:vAlign w:val="center"/>
          </w:tcPr>
          <w:p w14:paraId="686F035F">
            <w:pPr>
              <w:adjustRightInd w:val="0"/>
              <w:snapToGrid w:val="0"/>
              <w:spacing w:line="30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-60.2</w:t>
            </w:r>
          </w:p>
        </w:tc>
        <w:tc>
          <w:tcPr>
            <w:tcW w:w="1128" w:type="pct"/>
            <w:gridSpan w:val="2"/>
            <w:vAlign w:val="center"/>
          </w:tcPr>
          <w:p w14:paraId="05E14B1A">
            <w:pPr>
              <w:adjustRightInd w:val="0"/>
              <w:snapToGrid w:val="0"/>
              <w:spacing w:line="30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水溶液pH值</w:t>
            </w:r>
          </w:p>
        </w:tc>
        <w:tc>
          <w:tcPr>
            <w:tcW w:w="1091" w:type="pct"/>
            <w:vAlign w:val="center"/>
          </w:tcPr>
          <w:p w14:paraId="2F0AD407">
            <w:pPr>
              <w:adjustRightInd w:val="0"/>
              <w:snapToGrid w:val="0"/>
              <w:spacing w:line="30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shd w:val="clear" w:color="auto" w:fill="FFFFFF"/>
                <w14:textFill>
                  <w14:solidFill>
                    <w14:schemeClr w14:val="tx1"/>
                  </w14:solidFill>
                </w14:textFill>
              </w:rPr>
              <w:t>/</w:t>
            </w:r>
          </w:p>
        </w:tc>
      </w:tr>
      <w:tr w14:paraId="5A99935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307" w:type="pct"/>
            <w:vAlign w:val="center"/>
          </w:tcPr>
          <w:p w14:paraId="1587CEDC">
            <w:pPr>
              <w:adjustRightInd w:val="0"/>
              <w:snapToGrid w:val="0"/>
              <w:spacing w:line="30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暴露极限</w:t>
            </w:r>
          </w:p>
        </w:tc>
        <w:tc>
          <w:tcPr>
            <w:tcW w:w="4693" w:type="pct"/>
            <w:gridSpan w:val="8"/>
            <w:vAlign w:val="center"/>
          </w:tcPr>
          <w:p w14:paraId="161788AB">
            <w:pPr>
              <w:adjustRightInd w:val="0"/>
              <w:snapToGrid w:val="0"/>
              <w:spacing w:line="300" w:lineRule="exact"/>
              <w:jc w:val="left"/>
              <w:rPr>
                <w:rFonts w:hint="eastAsia" w:ascii="宋体" w:hAnsi="宋体" w:cs="宋体"/>
                <w:snapToGrid w:val="0"/>
                <w:color w:val="000000" w:themeColor="text1"/>
                <w:spacing w:val="-2"/>
                <w:szCs w:val="21"/>
                <w14:textFill>
                  <w14:solidFill>
                    <w14:schemeClr w14:val="tx1"/>
                  </w14:solidFill>
                </w14:textFill>
              </w:rPr>
            </w:pPr>
            <w:r>
              <w:rPr>
                <w:rFonts w:hint="eastAsia" w:ascii="宋体" w:hAnsi="宋体" w:cs="宋体"/>
                <w:snapToGrid w:val="0"/>
                <w:color w:val="000000" w:themeColor="text1"/>
                <w:spacing w:val="-2"/>
                <w:szCs w:val="21"/>
                <w:lang w:bidi="ar"/>
                <w14:textFill>
                  <w14:solidFill>
                    <w14:schemeClr w14:val="tx1"/>
                  </w14:solidFill>
                </w14:textFill>
              </w:rPr>
              <w:t>美国职业安全与健康局规定硫化氢可接受的上限浓度（ACC）为20ppm，</w:t>
            </w:r>
          </w:p>
          <w:p w14:paraId="1FE2CB2F">
            <w:pPr>
              <w:adjustRightInd w:val="0"/>
              <w:snapToGrid w:val="0"/>
              <w:spacing w:line="300" w:lineRule="exact"/>
              <w:jc w:val="left"/>
              <w:rPr>
                <w:rFonts w:hint="eastAsia" w:ascii="宋体" w:hAnsi="宋体" w:cs="宋体"/>
                <w:color w:val="000000" w:themeColor="text1"/>
                <w:szCs w:val="21"/>
                <w14:textFill>
                  <w14:solidFill>
                    <w14:schemeClr w14:val="tx1"/>
                  </w14:solidFill>
                </w14:textFill>
              </w:rPr>
            </w:pPr>
            <w:r>
              <w:rPr>
                <w:rFonts w:hint="eastAsia" w:ascii="宋体" w:hAnsi="宋体" w:cs="宋体"/>
                <w:snapToGrid w:val="0"/>
                <w:color w:val="000000" w:themeColor="text1"/>
                <w:spacing w:val="-2"/>
                <w:szCs w:val="21"/>
                <w:lang w:bidi="ar"/>
                <w14:textFill>
                  <w14:solidFill>
                    <w14:schemeClr w14:val="tx1"/>
                  </w14:solidFill>
                </w14:textFill>
              </w:rPr>
              <w:t>超过可接受的上限浓度（ACC）的每班8h能接受的最高值为50ppm。美国政府工业卫生专家联合会推荐的阈限值为10ppm；15min短期暴露极限是15ppm，每天暴露于短期暴露极限下的次数不能超过4次，连续两次间隔时间至少为60min。</w:t>
            </w:r>
          </w:p>
        </w:tc>
      </w:tr>
      <w:tr w14:paraId="121C5A3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307" w:type="pct"/>
            <w:vAlign w:val="center"/>
          </w:tcPr>
          <w:p w14:paraId="50B6D643">
            <w:pPr>
              <w:adjustRightInd w:val="0"/>
              <w:snapToGrid w:val="0"/>
              <w:spacing w:line="30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生理影响</w:t>
            </w:r>
          </w:p>
        </w:tc>
        <w:tc>
          <w:tcPr>
            <w:tcW w:w="4693" w:type="pct"/>
            <w:gridSpan w:val="8"/>
            <w:vAlign w:val="center"/>
          </w:tcPr>
          <w:p w14:paraId="114697C4">
            <w:pPr>
              <w:adjustRightInd w:val="0"/>
              <w:snapToGrid w:val="0"/>
              <w:spacing w:line="300" w:lineRule="exact"/>
              <w:jc w:val="left"/>
              <w:rPr>
                <w:rFonts w:hint="eastAsia" w:ascii="宋体" w:hAnsi="宋体" w:cs="宋体"/>
                <w:snapToGrid w:val="0"/>
                <w:color w:val="000000" w:themeColor="text1"/>
                <w:spacing w:val="-2"/>
                <w:szCs w:val="21"/>
                <w14:textFill>
                  <w14:solidFill>
                    <w14:schemeClr w14:val="tx1"/>
                  </w14:solidFill>
                </w14:textFill>
              </w:rPr>
            </w:pPr>
            <w:r>
              <w:rPr>
                <w:rFonts w:hint="eastAsia" w:ascii="宋体" w:hAnsi="宋体" w:cs="宋体"/>
                <w:color w:val="000000" w:themeColor="text1"/>
                <w:spacing w:val="-2"/>
                <w:szCs w:val="21"/>
                <w:lang w:bidi="ar"/>
                <w14:textFill>
                  <w14:solidFill>
                    <w14:schemeClr w14:val="tx1"/>
                  </w14:solidFill>
                </w14:textFill>
              </w:rPr>
              <w:t xml:space="preserve"> </w:t>
            </w:r>
            <w:r>
              <w:rPr>
                <w:rFonts w:hint="eastAsia" w:ascii="宋体" w:hAnsi="宋体" w:cs="宋体"/>
                <w:snapToGrid w:val="0"/>
                <w:color w:val="000000" w:themeColor="text1"/>
                <w:spacing w:val="-2"/>
                <w:szCs w:val="21"/>
                <w:lang w:bidi="ar"/>
                <w14:textFill>
                  <w14:solidFill>
                    <w14:schemeClr w14:val="tx1"/>
                  </w14:solidFill>
                </w14:textFill>
              </w:rPr>
              <w:t>硫化氢是一种剧毒、可燃气体，常在天然气生产、高含硫原油生产、原油馏分、伴生气和水的生产中可能遇到。因硫化氢比空气重，所以能在低洼地区聚集。</w:t>
            </w:r>
          </w:p>
          <w:p w14:paraId="5C39025C">
            <w:pPr>
              <w:adjustRightInd w:val="0"/>
              <w:snapToGrid w:val="0"/>
              <w:spacing w:line="300" w:lineRule="exact"/>
              <w:jc w:val="left"/>
              <w:rPr>
                <w:rFonts w:hint="eastAsia" w:ascii="宋体" w:hAnsi="宋体" w:cs="宋体"/>
                <w:color w:val="000000" w:themeColor="text1"/>
                <w:szCs w:val="21"/>
                <w14:textFill>
                  <w14:solidFill>
                    <w14:schemeClr w14:val="tx1"/>
                  </w14:solidFill>
                </w14:textFill>
              </w:rPr>
            </w:pPr>
            <w:r>
              <w:rPr>
                <w:rFonts w:hint="eastAsia" w:ascii="宋体" w:hAnsi="宋体" w:cs="宋体"/>
                <w:snapToGrid w:val="0"/>
                <w:color w:val="000000" w:themeColor="text1"/>
                <w:spacing w:val="-2"/>
                <w:szCs w:val="21"/>
                <w:lang w:bidi="ar"/>
                <w14:textFill>
                  <w14:solidFill>
                    <w14:schemeClr w14:val="tx1"/>
                  </w14:solidFill>
                </w14:textFill>
              </w:rPr>
              <w:t>过多暴露于硫化氢中能毒害呼吸系统细胞，导致死亡。有实例表明血液中存在酒精能加剧硫化氢的毒性。即使在低浓度（10ppm～50ppm）时，硫化氢也会刺激眼睛和呼吸道。间隔时间短的多次低浓度暴露也会刺激眼、鼻、喉，低浓度重复暴露引起的症状常在离开硫化氢环境后的一段时间消失。即使开始没有出现症状，频繁暴露最终也会引起刺激。</w:t>
            </w:r>
          </w:p>
        </w:tc>
      </w:tr>
      <w:tr w14:paraId="4444C8D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307" w:type="pct"/>
            <w:vAlign w:val="center"/>
          </w:tcPr>
          <w:p w14:paraId="64BCCA50">
            <w:pPr>
              <w:adjustRightInd w:val="0"/>
              <w:snapToGrid w:val="0"/>
              <w:spacing w:line="30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操作</w:t>
            </w:r>
          </w:p>
          <w:p w14:paraId="39AA47F6">
            <w:pPr>
              <w:adjustRightInd w:val="0"/>
              <w:snapToGrid w:val="0"/>
              <w:spacing w:line="30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注意</w:t>
            </w:r>
          </w:p>
          <w:p w14:paraId="54978D98">
            <w:pPr>
              <w:adjustRightInd w:val="0"/>
              <w:snapToGrid w:val="0"/>
              <w:spacing w:line="30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事项</w:t>
            </w:r>
          </w:p>
        </w:tc>
        <w:tc>
          <w:tcPr>
            <w:tcW w:w="4693" w:type="pct"/>
            <w:gridSpan w:val="8"/>
            <w:vAlign w:val="center"/>
          </w:tcPr>
          <w:p w14:paraId="551FE944">
            <w:pPr>
              <w:adjustRightInd w:val="0"/>
              <w:snapToGrid w:val="0"/>
              <w:spacing w:line="300" w:lineRule="exact"/>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严加密闭，提供充分的局部排风和全面通风。操作人员必须经过专门培训，严格遵守操作规程。建议操作人员佩戴过滤式防毒面具（半面罩），戴化学安全防护眼镜，穿防静电工作服，戴橡胶手套。远离火种、热源，工作场所严禁吸烟。使用防爆型的通风系统和设备。防止气体泄漏到工作场所空气中。避免与氧化剂、酸类、卤素接触。搬运时轻装轻卸，防止钢瓶及附件破损。配备相应品种和数量的消防器材及泄漏应急处理设备。</w:t>
            </w:r>
          </w:p>
        </w:tc>
      </w:tr>
      <w:tr w14:paraId="7E44E70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307" w:type="pct"/>
            <w:vMerge w:val="restart"/>
            <w:vAlign w:val="center"/>
          </w:tcPr>
          <w:p w14:paraId="1DDACD75">
            <w:pPr>
              <w:adjustRightInd w:val="0"/>
              <w:snapToGrid w:val="0"/>
              <w:spacing w:line="30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人体危害</w:t>
            </w:r>
          </w:p>
        </w:tc>
        <w:tc>
          <w:tcPr>
            <w:tcW w:w="800" w:type="pct"/>
            <w:gridSpan w:val="2"/>
            <w:vAlign w:val="center"/>
          </w:tcPr>
          <w:p w14:paraId="6E08CF0D">
            <w:pPr>
              <w:topLinePunct/>
              <w:adjustRightInd w:val="0"/>
              <w:snapToGrid w:val="0"/>
              <w:spacing w:before="48" w:line="30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lang w:bidi="ar"/>
                <w14:textFill>
                  <w14:solidFill>
                    <w14:schemeClr w14:val="tx1"/>
                  </w14:solidFill>
                </w14:textFill>
              </w:rPr>
              <w:t>空气中浓度（ppm）</w:t>
            </w:r>
          </w:p>
        </w:tc>
        <w:tc>
          <w:tcPr>
            <w:tcW w:w="3893" w:type="pct"/>
            <w:gridSpan w:val="6"/>
            <w:vAlign w:val="center"/>
          </w:tcPr>
          <w:p w14:paraId="62FC25D9">
            <w:pPr>
              <w:topLinePunct/>
              <w:adjustRightInd w:val="0"/>
              <w:snapToGrid w:val="0"/>
              <w:spacing w:before="48" w:line="30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lang w:bidi="ar"/>
                <w14:textFill>
                  <w14:solidFill>
                    <w14:schemeClr w14:val="tx1"/>
                  </w14:solidFill>
                </w14:textFill>
              </w:rPr>
              <w:t>暴露于硫化氢的典型特征</w:t>
            </w:r>
          </w:p>
        </w:tc>
      </w:tr>
      <w:tr w14:paraId="42235D2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307" w:type="pct"/>
            <w:vMerge w:val="continue"/>
            <w:vAlign w:val="center"/>
          </w:tcPr>
          <w:p w14:paraId="3460A2CF">
            <w:pPr>
              <w:pStyle w:val="50"/>
              <w:adjustRightInd w:val="0"/>
              <w:snapToGrid w:val="0"/>
              <w:spacing w:after="0" w:line="300" w:lineRule="exact"/>
              <w:ind w:left="0" w:leftChars="0" w:firstLine="0" w:firstLineChars="0"/>
              <w:rPr>
                <w:rFonts w:hint="eastAsia" w:ascii="宋体" w:hAnsi="宋体" w:cs="宋体"/>
                <w:color w:val="000000" w:themeColor="text1"/>
                <w:sz w:val="21"/>
                <w:szCs w:val="21"/>
                <w14:textFill>
                  <w14:solidFill>
                    <w14:schemeClr w14:val="tx1"/>
                  </w14:solidFill>
                </w14:textFill>
              </w:rPr>
            </w:pPr>
          </w:p>
        </w:tc>
        <w:tc>
          <w:tcPr>
            <w:tcW w:w="800" w:type="pct"/>
            <w:gridSpan w:val="2"/>
            <w:vAlign w:val="center"/>
          </w:tcPr>
          <w:p w14:paraId="7A52A4F4">
            <w:pPr>
              <w:adjustRightInd w:val="0"/>
              <w:snapToGrid w:val="0"/>
              <w:spacing w:line="30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lang w:bidi="ar"/>
                <w14:textFill>
                  <w14:solidFill>
                    <w14:schemeClr w14:val="tx1"/>
                  </w14:solidFill>
                </w14:textFill>
              </w:rPr>
              <w:t>0.13</w:t>
            </w:r>
          </w:p>
        </w:tc>
        <w:tc>
          <w:tcPr>
            <w:tcW w:w="3893" w:type="pct"/>
            <w:gridSpan w:val="6"/>
            <w:vAlign w:val="center"/>
          </w:tcPr>
          <w:p w14:paraId="4F8F28F7">
            <w:pPr>
              <w:topLinePunct/>
              <w:adjustRightInd w:val="0"/>
              <w:snapToGrid w:val="0"/>
              <w:spacing w:before="48" w:line="30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lang w:bidi="ar"/>
                <w14:textFill>
                  <w14:solidFill>
                    <w14:schemeClr w14:val="tx1"/>
                  </w14:solidFill>
                </w14:textFill>
              </w:rPr>
              <w:t>有明显的令人讨厌的气味；在大气中含量为4.6ppm时，就显而易见。随着浓度的增加，嗅觉就会疲劳，气体不再能通过气味来辨别。</w:t>
            </w:r>
          </w:p>
        </w:tc>
      </w:tr>
      <w:tr w14:paraId="21F9BF9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307" w:type="pct"/>
            <w:vMerge w:val="continue"/>
            <w:vAlign w:val="center"/>
          </w:tcPr>
          <w:p w14:paraId="61BA7232">
            <w:pPr>
              <w:pStyle w:val="50"/>
              <w:adjustRightInd w:val="0"/>
              <w:snapToGrid w:val="0"/>
              <w:spacing w:after="0" w:line="300" w:lineRule="exact"/>
              <w:ind w:left="0" w:leftChars="0" w:firstLine="0" w:firstLineChars="0"/>
              <w:rPr>
                <w:rFonts w:hint="eastAsia" w:ascii="宋体" w:hAnsi="宋体" w:cs="宋体"/>
                <w:color w:val="000000" w:themeColor="text1"/>
                <w:sz w:val="21"/>
                <w:szCs w:val="21"/>
                <w14:textFill>
                  <w14:solidFill>
                    <w14:schemeClr w14:val="tx1"/>
                  </w14:solidFill>
                </w14:textFill>
              </w:rPr>
            </w:pPr>
          </w:p>
        </w:tc>
        <w:tc>
          <w:tcPr>
            <w:tcW w:w="800" w:type="pct"/>
            <w:gridSpan w:val="2"/>
            <w:vAlign w:val="center"/>
          </w:tcPr>
          <w:p w14:paraId="48BBC2C1">
            <w:pPr>
              <w:adjustRightInd w:val="0"/>
              <w:snapToGrid w:val="0"/>
              <w:spacing w:line="30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lang w:bidi="ar"/>
                <w14:textFill>
                  <w14:solidFill>
                    <w14:schemeClr w14:val="tx1"/>
                  </w14:solidFill>
                </w14:textFill>
              </w:rPr>
              <w:t>10</w:t>
            </w:r>
          </w:p>
        </w:tc>
        <w:tc>
          <w:tcPr>
            <w:tcW w:w="3893" w:type="pct"/>
            <w:gridSpan w:val="6"/>
            <w:vAlign w:val="center"/>
          </w:tcPr>
          <w:p w14:paraId="662B30BD">
            <w:pPr>
              <w:topLinePunct/>
              <w:adjustRightInd w:val="0"/>
              <w:snapToGrid w:val="0"/>
              <w:spacing w:before="48" w:line="30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lang w:bidi="ar"/>
                <w14:textFill>
                  <w14:solidFill>
                    <w14:schemeClr w14:val="tx1"/>
                  </w14:solidFill>
                </w14:textFill>
              </w:rPr>
              <w:t>有令人讨厌的气味，眼睛可能受刺激。.美国政府工业卫生专家联合会推荐的阈限值（8h加权平均值）。</w:t>
            </w:r>
          </w:p>
        </w:tc>
      </w:tr>
      <w:tr w14:paraId="391E4BE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307" w:type="pct"/>
            <w:vMerge w:val="continue"/>
            <w:vAlign w:val="center"/>
          </w:tcPr>
          <w:p w14:paraId="0536EFA7">
            <w:pPr>
              <w:pStyle w:val="50"/>
              <w:adjustRightInd w:val="0"/>
              <w:snapToGrid w:val="0"/>
              <w:spacing w:after="0" w:line="300" w:lineRule="exact"/>
              <w:ind w:left="0" w:leftChars="0" w:firstLine="0" w:firstLineChars="0"/>
              <w:rPr>
                <w:rFonts w:hint="eastAsia" w:ascii="宋体" w:hAnsi="宋体" w:cs="宋体"/>
                <w:color w:val="000000" w:themeColor="text1"/>
                <w:sz w:val="21"/>
                <w:szCs w:val="21"/>
                <w14:textFill>
                  <w14:solidFill>
                    <w14:schemeClr w14:val="tx1"/>
                  </w14:solidFill>
                </w14:textFill>
              </w:rPr>
            </w:pPr>
          </w:p>
        </w:tc>
        <w:tc>
          <w:tcPr>
            <w:tcW w:w="800" w:type="pct"/>
            <w:gridSpan w:val="2"/>
            <w:vAlign w:val="center"/>
          </w:tcPr>
          <w:p w14:paraId="27948235">
            <w:pPr>
              <w:adjustRightInd w:val="0"/>
              <w:snapToGrid w:val="0"/>
              <w:spacing w:line="30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lang w:bidi="ar"/>
                <w14:textFill>
                  <w14:solidFill>
                    <w14:schemeClr w14:val="tx1"/>
                  </w14:solidFill>
                </w14:textFill>
              </w:rPr>
              <w:t>15</w:t>
            </w:r>
          </w:p>
        </w:tc>
        <w:tc>
          <w:tcPr>
            <w:tcW w:w="3893" w:type="pct"/>
            <w:gridSpan w:val="6"/>
            <w:vAlign w:val="center"/>
          </w:tcPr>
          <w:p w14:paraId="0753E900">
            <w:pPr>
              <w:topLinePunct/>
              <w:adjustRightInd w:val="0"/>
              <w:snapToGrid w:val="0"/>
              <w:spacing w:before="48" w:line="30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lang w:bidi="ar"/>
                <w14:textFill>
                  <w14:solidFill>
                    <w14:schemeClr w14:val="tx1"/>
                  </w14:solidFill>
                </w14:textFill>
              </w:rPr>
              <w:t>美国政府工业卫生专家联合会推荐的15min短期暴露范围平均值。</w:t>
            </w:r>
          </w:p>
        </w:tc>
      </w:tr>
      <w:tr w14:paraId="5A664A4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307" w:type="pct"/>
            <w:vMerge w:val="continue"/>
            <w:vAlign w:val="center"/>
          </w:tcPr>
          <w:p w14:paraId="5A5227B8">
            <w:pPr>
              <w:pStyle w:val="50"/>
              <w:adjustRightInd w:val="0"/>
              <w:snapToGrid w:val="0"/>
              <w:spacing w:after="0" w:line="300" w:lineRule="exact"/>
              <w:ind w:left="0" w:leftChars="0" w:firstLine="0" w:firstLineChars="0"/>
              <w:rPr>
                <w:rFonts w:hint="eastAsia" w:ascii="宋体" w:hAnsi="宋体" w:cs="宋体"/>
                <w:color w:val="000000" w:themeColor="text1"/>
                <w:sz w:val="21"/>
                <w:szCs w:val="21"/>
                <w14:textFill>
                  <w14:solidFill>
                    <w14:schemeClr w14:val="tx1"/>
                  </w14:solidFill>
                </w14:textFill>
              </w:rPr>
            </w:pPr>
          </w:p>
        </w:tc>
        <w:tc>
          <w:tcPr>
            <w:tcW w:w="800" w:type="pct"/>
            <w:gridSpan w:val="2"/>
            <w:vAlign w:val="center"/>
          </w:tcPr>
          <w:p w14:paraId="1CCA9909">
            <w:pPr>
              <w:adjustRightInd w:val="0"/>
              <w:snapToGrid w:val="0"/>
              <w:spacing w:line="30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lang w:bidi="ar"/>
                <w14:textFill>
                  <w14:solidFill>
                    <w14:schemeClr w14:val="tx1"/>
                  </w14:solidFill>
                </w14:textFill>
              </w:rPr>
              <w:t>20</w:t>
            </w:r>
          </w:p>
        </w:tc>
        <w:tc>
          <w:tcPr>
            <w:tcW w:w="3893" w:type="pct"/>
            <w:gridSpan w:val="6"/>
            <w:vAlign w:val="center"/>
          </w:tcPr>
          <w:p w14:paraId="235DA3EC">
            <w:pPr>
              <w:topLinePunct/>
              <w:adjustRightInd w:val="0"/>
              <w:snapToGrid w:val="0"/>
              <w:spacing w:before="48" w:line="30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lang w:bidi="ar"/>
                <w14:textFill>
                  <w14:solidFill>
                    <w14:schemeClr w14:val="tx1"/>
                  </w14:solidFill>
                </w14:textFill>
              </w:rPr>
              <w:t>在暴露1h或更长时间后，眼睛有烧灼感，呼吸道受到刺激，美国职业和健康局的可接受上限值。</w:t>
            </w:r>
          </w:p>
        </w:tc>
      </w:tr>
      <w:tr w14:paraId="003A8B1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307" w:type="pct"/>
            <w:vMerge w:val="continue"/>
            <w:vAlign w:val="center"/>
          </w:tcPr>
          <w:p w14:paraId="213D8DAC">
            <w:pPr>
              <w:pStyle w:val="50"/>
              <w:adjustRightInd w:val="0"/>
              <w:snapToGrid w:val="0"/>
              <w:spacing w:after="0" w:line="300" w:lineRule="exact"/>
              <w:ind w:left="0" w:leftChars="0" w:firstLine="0" w:firstLineChars="0"/>
              <w:rPr>
                <w:rFonts w:hint="eastAsia" w:ascii="宋体" w:hAnsi="宋体" w:cs="宋体"/>
                <w:color w:val="000000" w:themeColor="text1"/>
                <w:sz w:val="21"/>
                <w:szCs w:val="21"/>
                <w14:textFill>
                  <w14:solidFill>
                    <w14:schemeClr w14:val="tx1"/>
                  </w14:solidFill>
                </w14:textFill>
              </w:rPr>
            </w:pPr>
          </w:p>
        </w:tc>
        <w:tc>
          <w:tcPr>
            <w:tcW w:w="800" w:type="pct"/>
            <w:gridSpan w:val="2"/>
            <w:vAlign w:val="center"/>
          </w:tcPr>
          <w:p w14:paraId="5170B236">
            <w:pPr>
              <w:adjustRightInd w:val="0"/>
              <w:snapToGrid w:val="0"/>
              <w:spacing w:line="30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lang w:bidi="ar"/>
                <w14:textFill>
                  <w14:solidFill>
                    <w14:schemeClr w14:val="tx1"/>
                  </w14:solidFill>
                </w14:textFill>
              </w:rPr>
              <w:t>50</w:t>
            </w:r>
          </w:p>
        </w:tc>
        <w:tc>
          <w:tcPr>
            <w:tcW w:w="3893" w:type="pct"/>
            <w:gridSpan w:val="6"/>
            <w:vAlign w:val="center"/>
          </w:tcPr>
          <w:p w14:paraId="6B719A54">
            <w:pPr>
              <w:topLinePunct/>
              <w:adjustRightInd w:val="0"/>
              <w:snapToGrid w:val="0"/>
              <w:spacing w:before="48" w:line="30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lang w:bidi="ar"/>
                <w14:textFill>
                  <w14:solidFill>
                    <w14:schemeClr w14:val="tx1"/>
                  </w14:solidFill>
                </w14:textFill>
              </w:rPr>
              <w:t>暴露15min或15min以上的时间后嗅觉就会丧失，如果时间超过1h，可能导致头痛、头晕和摇晃。超过50ppm将会出现肺浮肿，也会对人的眼睛产生严重刺激或伤害。</w:t>
            </w:r>
          </w:p>
        </w:tc>
      </w:tr>
      <w:tr w14:paraId="69AF181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307" w:type="pct"/>
            <w:vMerge w:val="continue"/>
            <w:vAlign w:val="center"/>
          </w:tcPr>
          <w:p w14:paraId="60F7C873">
            <w:pPr>
              <w:pStyle w:val="50"/>
              <w:adjustRightInd w:val="0"/>
              <w:snapToGrid w:val="0"/>
              <w:spacing w:after="0" w:line="300" w:lineRule="exact"/>
              <w:ind w:left="0" w:leftChars="0" w:firstLine="0" w:firstLineChars="0"/>
              <w:rPr>
                <w:rFonts w:hint="eastAsia" w:ascii="宋体" w:hAnsi="宋体" w:cs="宋体"/>
                <w:color w:val="000000" w:themeColor="text1"/>
                <w:sz w:val="21"/>
                <w:szCs w:val="21"/>
                <w14:textFill>
                  <w14:solidFill>
                    <w14:schemeClr w14:val="tx1"/>
                  </w14:solidFill>
                </w14:textFill>
              </w:rPr>
            </w:pPr>
          </w:p>
        </w:tc>
        <w:tc>
          <w:tcPr>
            <w:tcW w:w="800" w:type="pct"/>
            <w:gridSpan w:val="2"/>
            <w:vAlign w:val="center"/>
          </w:tcPr>
          <w:p w14:paraId="1CD1D9B8">
            <w:pPr>
              <w:adjustRightInd w:val="0"/>
              <w:snapToGrid w:val="0"/>
              <w:spacing w:line="30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lang w:bidi="ar"/>
                <w14:textFill>
                  <w14:solidFill>
                    <w14:schemeClr w14:val="tx1"/>
                  </w14:solidFill>
                </w14:textFill>
              </w:rPr>
              <w:t>100</w:t>
            </w:r>
          </w:p>
        </w:tc>
        <w:tc>
          <w:tcPr>
            <w:tcW w:w="3893" w:type="pct"/>
            <w:gridSpan w:val="6"/>
            <w:vAlign w:val="center"/>
          </w:tcPr>
          <w:p w14:paraId="399A25F6">
            <w:pPr>
              <w:topLinePunct/>
              <w:adjustRightInd w:val="0"/>
              <w:snapToGrid w:val="0"/>
              <w:spacing w:before="48" w:line="30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lang w:bidi="ar"/>
                <w14:textFill>
                  <w14:solidFill>
                    <w14:schemeClr w14:val="tx1"/>
                  </w14:solidFill>
                </w14:textFill>
              </w:rPr>
              <w:t>3min～5min就会出现咳嗽、眼睛受刺激和失去嗅觉。在5min～20min过后，呼吸就会变样，眼睛就会疼痛并昏昏欲睡，在1h后就会刺激喉道。延长暴露时间将逐渐加重这些症状。</w:t>
            </w:r>
          </w:p>
        </w:tc>
      </w:tr>
      <w:tr w14:paraId="6992545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307" w:type="pct"/>
            <w:vMerge w:val="continue"/>
            <w:vAlign w:val="center"/>
          </w:tcPr>
          <w:p w14:paraId="7D3C46BA">
            <w:pPr>
              <w:pStyle w:val="50"/>
              <w:adjustRightInd w:val="0"/>
              <w:snapToGrid w:val="0"/>
              <w:spacing w:after="0" w:line="300" w:lineRule="exact"/>
              <w:ind w:left="0" w:leftChars="0" w:firstLine="0" w:firstLineChars="0"/>
              <w:rPr>
                <w:rFonts w:hint="eastAsia" w:ascii="宋体" w:hAnsi="宋体" w:cs="宋体"/>
                <w:color w:val="000000" w:themeColor="text1"/>
                <w:sz w:val="21"/>
                <w:szCs w:val="21"/>
                <w14:textFill>
                  <w14:solidFill>
                    <w14:schemeClr w14:val="tx1"/>
                  </w14:solidFill>
                </w14:textFill>
              </w:rPr>
            </w:pPr>
          </w:p>
        </w:tc>
        <w:tc>
          <w:tcPr>
            <w:tcW w:w="800" w:type="pct"/>
            <w:gridSpan w:val="2"/>
            <w:vAlign w:val="center"/>
          </w:tcPr>
          <w:p w14:paraId="0C7250FF">
            <w:pPr>
              <w:adjustRightInd w:val="0"/>
              <w:snapToGrid w:val="0"/>
              <w:spacing w:line="30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lang w:bidi="ar"/>
                <w14:textFill>
                  <w14:solidFill>
                    <w14:schemeClr w14:val="tx1"/>
                  </w14:solidFill>
                </w14:textFill>
              </w:rPr>
              <w:t>300</w:t>
            </w:r>
          </w:p>
        </w:tc>
        <w:tc>
          <w:tcPr>
            <w:tcW w:w="3893" w:type="pct"/>
            <w:gridSpan w:val="6"/>
            <w:vAlign w:val="center"/>
          </w:tcPr>
          <w:p w14:paraId="189A1131">
            <w:pPr>
              <w:topLinePunct/>
              <w:adjustRightInd w:val="0"/>
              <w:snapToGrid w:val="0"/>
              <w:spacing w:before="48" w:line="30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lang w:bidi="ar"/>
                <w14:textFill>
                  <w14:solidFill>
                    <w14:schemeClr w14:val="tx1"/>
                  </w14:solidFill>
                </w14:textFill>
              </w:rPr>
              <w:t>明显的结膜炎和呼吸道刺激，危害生命和健康。</w:t>
            </w:r>
          </w:p>
        </w:tc>
      </w:tr>
      <w:tr w14:paraId="2F544D0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307" w:type="pct"/>
            <w:vMerge w:val="continue"/>
            <w:vAlign w:val="center"/>
          </w:tcPr>
          <w:p w14:paraId="2DBBBCF8">
            <w:pPr>
              <w:pStyle w:val="50"/>
              <w:adjustRightInd w:val="0"/>
              <w:snapToGrid w:val="0"/>
              <w:spacing w:after="0" w:line="300" w:lineRule="exact"/>
              <w:ind w:left="0" w:leftChars="0" w:firstLine="0" w:firstLineChars="0"/>
              <w:rPr>
                <w:rFonts w:hint="eastAsia" w:ascii="宋体" w:hAnsi="宋体" w:cs="宋体"/>
                <w:color w:val="000000" w:themeColor="text1"/>
                <w:sz w:val="21"/>
                <w:szCs w:val="21"/>
                <w14:textFill>
                  <w14:solidFill>
                    <w14:schemeClr w14:val="tx1"/>
                  </w14:solidFill>
                </w14:textFill>
              </w:rPr>
            </w:pPr>
          </w:p>
        </w:tc>
        <w:tc>
          <w:tcPr>
            <w:tcW w:w="800" w:type="pct"/>
            <w:gridSpan w:val="2"/>
            <w:vAlign w:val="center"/>
          </w:tcPr>
          <w:p w14:paraId="164D449F">
            <w:pPr>
              <w:adjustRightInd w:val="0"/>
              <w:snapToGrid w:val="0"/>
              <w:spacing w:line="30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lang w:bidi="ar"/>
                <w14:textFill>
                  <w14:solidFill>
                    <w14:schemeClr w14:val="tx1"/>
                  </w14:solidFill>
                </w14:textFill>
              </w:rPr>
              <w:t>500</w:t>
            </w:r>
          </w:p>
        </w:tc>
        <w:tc>
          <w:tcPr>
            <w:tcW w:w="3893" w:type="pct"/>
            <w:gridSpan w:val="6"/>
            <w:vAlign w:val="center"/>
          </w:tcPr>
          <w:p w14:paraId="2D4E4907">
            <w:pPr>
              <w:topLinePunct/>
              <w:adjustRightInd w:val="0"/>
              <w:snapToGrid w:val="0"/>
              <w:spacing w:before="48" w:line="30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lang w:bidi="ar"/>
                <w14:textFill>
                  <w14:solidFill>
                    <w14:schemeClr w14:val="tx1"/>
                  </w14:solidFill>
                </w14:textFill>
              </w:rPr>
              <w:t>短期暴露就会不省人事，如不迅速处理就会停止呼吸。头晕、失去理智和平衡感。患者需要迅速进行人工呼吸和（或）心肺复苏技术。</w:t>
            </w:r>
          </w:p>
        </w:tc>
      </w:tr>
      <w:tr w14:paraId="0C3FAF4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307" w:type="pct"/>
            <w:vMerge w:val="continue"/>
            <w:vAlign w:val="center"/>
          </w:tcPr>
          <w:p w14:paraId="501C34A6">
            <w:pPr>
              <w:pStyle w:val="50"/>
              <w:adjustRightInd w:val="0"/>
              <w:snapToGrid w:val="0"/>
              <w:spacing w:after="0" w:line="300" w:lineRule="exact"/>
              <w:ind w:left="0" w:leftChars="0" w:firstLine="0" w:firstLineChars="0"/>
              <w:rPr>
                <w:rFonts w:hint="eastAsia" w:ascii="宋体" w:hAnsi="宋体" w:cs="宋体"/>
                <w:color w:val="000000" w:themeColor="text1"/>
                <w:sz w:val="21"/>
                <w:szCs w:val="21"/>
                <w14:textFill>
                  <w14:solidFill>
                    <w14:schemeClr w14:val="tx1"/>
                  </w14:solidFill>
                </w14:textFill>
              </w:rPr>
            </w:pPr>
          </w:p>
        </w:tc>
        <w:tc>
          <w:tcPr>
            <w:tcW w:w="800" w:type="pct"/>
            <w:gridSpan w:val="2"/>
            <w:vAlign w:val="center"/>
          </w:tcPr>
          <w:p w14:paraId="651CB119">
            <w:pPr>
              <w:adjustRightInd w:val="0"/>
              <w:snapToGrid w:val="0"/>
              <w:spacing w:line="30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lang w:bidi="ar"/>
                <w14:textFill>
                  <w14:solidFill>
                    <w14:schemeClr w14:val="tx1"/>
                  </w14:solidFill>
                </w14:textFill>
              </w:rPr>
              <w:t>700</w:t>
            </w:r>
          </w:p>
        </w:tc>
        <w:tc>
          <w:tcPr>
            <w:tcW w:w="3893" w:type="pct"/>
            <w:gridSpan w:val="6"/>
            <w:vAlign w:val="center"/>
          </w:tcPr>
          <w:p w14:paraId="18C30266">
            <w:pPr>
              <w:topLinePunct/>
              <w:adjustRightInd w:val="0"/>
              <w:snapToGrid w:val="0"/>
              <w:spacing w:before="48" w:line="30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lang w:bidi="ar"/>
                <w14:textFill>
                  <w14:solidFill>
                    <w14:schemeClr w14:val="tx1"/>
                  </w14:solidFill>
                </w14:textFill>
              </w:rPr>
              <w:t>意识快速丧失，如果不迅速营救，呼吸就会停止并导致死亡，应立即采取人工呼吸和（或）心肺复苏技术。</w:t>
            </w:r>
          </w:p>
        </w:tc>
      </w:tr>
      <w:tr w14:paraId="14D787E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307" w:type="pct"/>
            <w:vMerge w:val="continue"/>
            <w:vAlign w:val="center"/>
          </w:tcPr>
          <w:p w14:paraId="02337DA0">
            <w:pPr>
              <w:pStyle w:val="50"/>
              <w:adjustRightInd w:val="0"/>
              <w:snapToGrid w:val="0"/>
              <w:spacing w:after="0" w:line="300" w:lineRule="exact"/>
              <w:ind w:left="0" w:leftChars="0" w:firstLine="0" w:firstLineChars="0"/>
              <w:rPr>
                <w:rFonts w:hint="eastAsia" w:ascii="宋体" w:hAnsi="宋体" w:cs="宋体"/>
                <w:color w:val="000000" w:themeColor="text1"/>
                <w:sz w:val="21"/>
                <w:szCs w:val="21"/>
                <w14:textFill>
                  <w14:solidFill>
                    <w14:schemeClr w14:val="tx1"/>
                  </w14:solidFill>
                </w14:textFill>
              </w:rPr>
            </w:pPr>
          </w:p>
        </w:tc>
        <w:tc>
          <w:tcPr>
            <w:tcW w:w="800" w:type="pct"/>
            <w:gridSpan w:val="2"/>
            <w:vAlign w:val="center"/>
          </w:tcPr>
          <w:p w14:paraId="0C672644">
            <w:pPr>
              <w:adjustRightInd w:val="0"/>
              <w:snapToGrid w:val="0"/>
              <w:spacing w:line="30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lang w:bidi="ar"/>
                <w14:textFill>
                  <w14:solidFill>
                    <w14:schemeClr w14:val="tx1"/>
                  </w14:solidFill>
                </w14:textFill>
              </w:rPr>
              <w:t>1000</w:t>
            </w:r>
          </w:p>
        </w:tc>
        <w:tc>
          <w:tcPr>
            <w:tcW w:w="3893" w:type="pct"/>
            <w:gridSpan w:val="6"/>
            <w:vAlign w:val="center"/>
          </w:tcPr>
          <w:p w14:paraId="6C33A897">
            <w:pPr>
              <w:topLinePunct/>
              <w:adjustRightInd w:val="0"/>
              <w:snapToGrid w:val="0"/>
              <w:spacing w:before="48" w:line="30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lang w:bidi="ar"/>
                <w14:textFill>
                  <w14:solidFill>
                    <w14:schemeClr w14:val="tx1"/>
                  </w14:solidFill>
                </w14:textFill>
              </w:rPr>
              <w:t>立即丧失知觉，结果将会产生永久性的脑伤害或脑死亡。应迅速进行营救，应用人工呼吸和（或）心肺复苏。</w:t>
            </w:r>
          </w:p>
        </w:tc>
      </w:tr>
      <w:bookmarkEnd w:id="606"/>
    </w:tbl>
    <w:p w14:paraId="2B869359">
      <w:pPr>
        <w:pStyle w:val="117"/>
        <w:adjustRightInd w:val="0"/>
        <w:snapToGrid w:val="0"/>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w:t>
      </w:r>
      <w:r>
        <w:rPr>
          <w:color w:val="000000" w:themeColor="text1"/>
          <w14:textFill>
            <w14:solidFill>
              <w14:schemeClr w14:val="tx1"/>
            </w14:solidFill>
          </w14:textFill>
        </w:rPr>
        <w:t>2</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生产设施危险性识别</w:t>
      </w:r>
    </w:p>
    <w:bookmarkEnd w:id="607"/>
    <w:p w14:paraId="64CF87A9">
      <w:pPr>
        <w:overflowPunct w:val="0"/>
        <w:adjustRightInd w:val="0"/>
        <w:snapToGrid w:val="0"/>
        <w:spacing w:line="500" w:lineRule="exact"/>
        <w:ind w:firstLine="480" w:firstLineChars="200"/>
        <w:rPr>
          <w:rFonts w:hint="eastAsia"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可能发生风险事故的单元为井场、管线和计量站。</w:t>
      </w:r>
    </w:p>
    <w:p w14:paraId="08943F6E">
      <w:pPr>
        <w:overflowPunct w:val="0"/>
        <w:adjustRightInd w:val="0"/>
        <w:snapToGrid w:val="0"/>
        <w:spacing w:line="500" w:lineRule="exact"/>
        <w:ind w:firstLine="480" w:firstLineChars="200"/>
        <w:rPr>
          <w:rFonts w:hint="eastAsia"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①井场危险性识别</w:t>
      </w:r>
    </w:p>
    <w:p w14:paraId="3A521B0E">
      <w:pPr>
        <w:overflowPunct w:val="0"/>
        <w:adjustRightInd w:val="0"/>
        <w:snapToGrid w:val="0"/>
        <w:spacing w:line="500" w:lineRule="exact"/>
        <w:ind w:firstLine="480" w:firstLineChars="200"/>
        <w:rPr>
          <w:rFonts w:hint="eastAsia"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单井井场主要发生的风险事故为井漏和井喷。井漏主要由于生产井固井质量不好，井下作业时可能引发油水窜层，污染地下水。本项目井喷主要是在井下作业中发生的事故，井下作业过程中由于地层压力不稳、封井不严或者井控设备失灵，均可能发生井喷事故，发生井喷事故时，天然气、原油和地层水一同冲出井口，很容易发生爆炸和火灾事故，对周围大气环境、土壤环境、地下水环境和生态环境产生一定的影响。</w:t>
      </w:r>
    </w:p>
    <w:p w14:paraId="7AE4B57C">
      <w:pPr>
        <w:overflowPunct w:val="0"/>
        <w:adjustRightInd w:val="0"/>
        <w:snapToGrid w:val="0"/>
        <w:spacing w:line="500" w:lineRule="exact"/>
        <w:ind w:firstLine="480"/>
        <w:rPr>
          <w:rFonts w:hint="eastAsia" w:ascii="宋体" w:hAnsi="宋体"/>
          <w:color w:val="000000" w:themeColor="text1"/>
          <w:sz w:val="24"/>
          <w:szCs w:val="24"/>
          <w14:textFill>
            <w14:solidFill>
              <w14:schemeClr w14:val="tx1"/>
            </w14:solidFill>
          </w14:textFill>
        </w:rPr>
      </w:pPr>
      <w:bookmarkStart w:id="608" w:name="OLE_LINK197"/>
      <w:r>
        <w:rPr>
          <w:rFonts w:hint="eastAsia" w:ascii="宋体" w:hAnsi="宋体"/>
          <w:color w:val="000000" w:themeColor="text1"/>
          <w:sz w:val="24"/>
          <w:szCs w:val="24"/>
          <w14:textFill>
            <w14:solidFill>
              <w14:schemeClr w14:val="tx1"/>
            </w14:solidFill>
          </w14:textFill>
        </w:rPr>
        <w:t>②站场内危险性识别</w:t>
      </w:r>
    </w:p>
    <w:p w14:paraId="3313483D">
      <w:pPr>
        <w:overflowPunct w:val="0"/>
        <w:adjustRightInd w:val="0"/>
        <w:snapToGrid w:val="0"/>
        <w:spacing w:line="500" w:lineRule="exact"/>
        <w:ind w:firstLine="480" w:firstLineChars="200"/>
        <w:rPr>
          <w:rFonts w:hint="eastAsia"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预处理注入站内设备因设备本身设计、管材制造、施工、操作运行和管理等各环节都可能存在着缺陷和失误，所有这些因素都可能导致事故的发生。发生的事故主要为站内设备、管线破裂造成的原油、伴生气、硫化氢泄漏，对周围环境造成直接污染，而且泄漏的油气遇到明火还可能发生火灾、爆炸事故。</w:t>
      </w:r>
    </w:p>
    <w:bookmarkEnd w:id="608"/>
    <w:p w14:paraId="05C71F1C">
      <w:pPr>
        <w:overflowPunct w:val="0"/>
        <w:adjustRightInd w:val="0"/>
        <w:snapToGrid w:val="0"/>
        <w:spacing w:line="500" w:lineRule="exact"/>
        <w:ind w:firstLine="480"/>
        <w:rPr>
          <w:rFonts w:hint="eastAsia" w:ascii="宋体" w:hAnsi="宋体"/>
          <w:color w:val="000000" w:themeColor="text1"/>
          <w:sz w:val="24"/>
          <w:szCs w:val="24"/>
          <w14:textFill>
            <w14:solidFill>
              <w14:schemeClr w14:val="tx1"/>
            </w14:solidFill>
          </w14:textFill>
        </w:rPr>
      </w:pPr>
      <w:bookmarkStart w:id="609" w:name="_Hlk37930210"/>
      <w:r>
        <w:rPr>
          <w:rFonts w:hint="eastAsia" w:ascii="宋体" w:hAnsi="宋体"/>
          <w:color w:val="000000" w:themeColor="text1"/>
          <w:sz w:val="24"/>
          <w:szCs w:val="24"/>
          <w14:textFill>
            <w14:solidFill>
              <w14:schemeClr w14:val="tx1"/>
            </w14:solidFill>
          </w14:textFill>
        </w:rPr>
        <w:t>③管线危险性识别</w:t>
      </w:r>
    </w:p>
    <w:p w14:paraId="43012B92">
      <w:pPr>
        <w:overflowPunct w:val="0"/>
        <w:adjustRightInd w:val="0"/>
        <w:snapToGrid w:val="0"/>
        <w:spacing w:line="500" w:lineRule="exact"/>
        <w:ind w:firstLine="480" w:firstLineChars="200"/>
        <w:rPr>
          <w:rFonts w:hint="eastAsia"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单井采油管线、集油支线和单井注气管线因管线本身的设计、管材制造、施工、操作运行和管理等各环节都可能存在着缺陷和失误，所有这些因素都可能导致事故的发生。发生的事故主要为管线破裂造成的原油、伴生气、硫化氢泄漏，对周围土壤环境、地下水环境、大气环境和生态环境造成直接污染。</w:t>
      </w:r>
    </w:p>
    <w:bookmarkEnd w:id="609"/>
    <w:p w14:paraId="1EF154EF">
      <w:pPr>
        <w:pStyle w:val="117"/>
        <w:spacing w:line="480" w:lineRule="exact"/>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（3）风险</w:t>
      </w:r>
      <w:r>
        <w:rPr>
          <w:color w:val="000000" w:themeColor="text1"/>
          <w14:textFill>
            <w14:solidFill>
              <w14:schemeClr w14:val="tx1"/>
            </w14:solidFill>
          </w14:textFill>
        </w:rPr>
        <w:t>类型</w:t>
      </w:r>
      <w:r>
        <w:rPr>
          <w:rFonts w:hint="eastAsia"/>
          <w:color w:val="000000" w:themeColor="text1"/>
          <w14:textFill>
            <w14:solidFill>
              <w14:schemeClr w14:val="tx1"/>
            </w14:solidFill>
          </w14:textFill>
        </w:rPr>
        <w:t>识别</w:t>
      </w:r>
    </w:p>
    <w:p w14:paraId="2B5426F2">
      <w:pPr>
        <w:overflowPunct w:val="0"/>
        <w:spacing w:line="500" w:lineRule="exact"/>
        <w:ind w:firstLine="480" w:firstLineChars="200"/>
        <w:rPr>
          <w:rFonts w:hint="eastAsia"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环境风险类型</w:t>
      </w:r>
      <w:r>
        <w:rPr>
          <w:rFonts w:ascii="宋体" w:hAnsi="宋体"/>
          <w:color w:val="000000" w:themeColor="text1"/>
          <w:sz w:val="24"/>
          <w:szCs w:val="24"/>
          <w14:textFill>
            <w14:solidFill>
              <w14:schemeClr w14:val="tx1"/>
            </w14:solidFill>
          </w14:textFill>
        </w:rPr>
        <w:t>主要</w:t>
      </w:r>
      <w:r>
        <w:rPr>
          <w:rFonts w:hint="eastAsia" w:ascii="宋体" w:hAnsi="宋体"/>
          <w:color w:val="000000" w:themeColor="text1"/>
          <w:sz w:val="24"/>
          <w:szCs w:val="24"/>
          <w14:textFill>
            <w14:solidFill>
              <w14:schemeClr w14:val="tx1"/>
            </w14:solidFill>
          </w14:textFill>
        </w:rPr>
        <w:t>为</w:t>
      </w:r>
      <w:bookmarkStart w:id="610" w:name="_Hlk148008357"/>
      <w:r>
        <w:rPr>
          <w:rFonts w:hint="eastAsia" w:ascii="宋体" w:hAnsi="宋体"/>
          <w:color w:val="000000" w:themeColor="text1"/>
          <w:sz w:val="24"/>
          <w:szCs w:val="24"/>
          <w14:textFill>
            <w14:solidFill>
              <w14:schemeClr w14:val="tx1"/>
            </w14:solidFill>
          </w14:textFill>
        </w:rPr>
        <w:t>原油、伴生气、硫化氢泄漏，</w:t>
      </w:r>
      <w:r>
        <w:rPr>
          <w:rFonts w:ascii="宋体" w:hAnsi="宋体"/>
          <w:color w:val="000000" w:themeColor="text1"/>
          <w:sz w:val="24"/>
          <w:szCs w:val="24"/>
          <w14:textFill>
            <w14:solidFill>
              <w14:schemeClr w14:val="tx1"/>
            </w14:solidFill>
          </w14:textFill>
        </w:rPr>
        <w:t>火灾</w:t>
      </w:r>
      <w:r>
        <w:rPr>
          <w:rFonts w:hint="eastAsia" w:ascii="宋体" w:hAnsi="宋体"/>
          <w:color w:val="000000" w:themeColor="text1"/>
          <w:sz w:val="24"/>
          <w:szCs w:val="24"/>
          <w14:textFill>
            <w14:solidFill>
              <w14:schemeClr w14:val="tx1"/>
            </w14:solidFill>
          </w14:textFill>
        </w:rPr>
        <w:t>、</w:t>
      </w:r>
      <w:r>
        <w:rPr>
          <w:rFonts w:ascii="宋体" w:hAnsi="宋体"/>
          <w:color w:val="000000" w:themeColor="text1"/>
          <w:sz w:val="24"/>
          <w:szCs w:val="24"/>
          <w14:textFill>
            <w14:solidFill>
              <w14:schemeClr w14:val="tx1"/>
            </w14:solidFill>
          </w14:textFill>
        </w:rPr>
        <w:t>爆炸</w:t>
      </w:r>
      <w:r>
        <w:rPr>
          <w:rFonts w:hint="eastAsia" w:ascii="宋体" w:hAnsi="宋体"/>
          <w:color w:val="000000" w:themeColor="text1"/>
          <w:sz w:val="24"/>
          <w:szCs w:val="24"/>
          <w14:textFill>
            <w14:solidFill>
              <w14:schemeClr w14:val="tx1"/>
            </w14:solidFill>
          </w14:textFill>
        </w:rPr>
        <w:t>等引发的伴生/次生污染物排放。</w:t>
      </w:r>
    </w:p>
    <w:bookmarkEnd w:id="610"/>
    <w:p w14:paraId="5666EEC0">
      <w:pPr>
        <w:overflowPunct w:val="0"/>
        <w:spacing w:line="500" w:lineRule="exact"/>
        <w:ind w:firstLine="480"/>
        <w:rPr>
          <w:rFonts w:hint="eastAsia"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（4）危险物质向环境转移的可能途径和影响方式</w:t>
      </w:r>
    </w:p>
    <w:p w14:paraId="45E2179D">
      <w:pPr>
        <w:overflowPunct w:val="0"/>
        <w:spacing w:line="500" w:lineRule="exact"/>
        <w:ind w:firstLine="480" w:firstLineChars="200"/>
        <w:rPr>
          <w:rFonts w:hint="eastAsia"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运营期井场、管线、预处理注入站内设备发生破损造成</w:t>
      </w:r>
      <w:bookmarkStart w:id="611" w:name="_Hlk148008400"/>
      <w:r>
        <w:rPr>
          <w:rFonts w:hint="eastAsia" w:ascii="宋体" w:hAnsi="宋体"/>
          <w:color w:val="000000" w:themeColor="text1"/>
          <w:sz w:val="24"/>
          <w:szCs w:val="24"/>
          <w14:textFill>
            <w14:solidFill>
              <w14:schemeClr w14:val="tx1"/>
            </w14:solidFill>
          </w14:textFill>
        </w:rPr>
        <w:t>原油、伴生气、硫化氢发生泄漏，污染土壤和大气，泄漏原油可能通过包气带渗漏进入地下含水层，污染地下水；泄漏的油气若遇明火，发生火灾、爆炸，污染大气环境。</w:t>
      </w:r>
    </w:p>
    <w:bookmarkEnd w:id="611"/>
    <w:p w14:paraId="0DB0B00A">
      <w:pPr>
        <w:pStyle w:val="4"/>
        <w:rPr>
          <w:rFonts w:hint="eastAsia"/>
          <w:color w:val="000000" w:themeColor="text1"/>
          <w14:textFill>
            <w14:solidFill>
              <w14:schemeClr w14:val="tx1"/>
            </w14:solidFill>
          </w14:textFill>
        </w:rPr>
      </w:pPr>
      <w:bookmarkStart w:id="612" w:name="_Hlk521702572"/>
      <w:r>
        <w:rPr>
          <w:rFonts w:hint="eastAsia"/>
          <w:color w:val="000000" w:themeColor="text1"/>
          <w14:textFill>
            <w14:solidFill>
              <w14:schemeClr w14:val="tx1"/>
            </w14:solidFill>
          </w14:textFill>
        </w:rPr>
        <w:t>环境风险分析</w:t>
      </w:r>
    </w:p>
    <w:p w14:paraId="4E5E267B">
      <w:pPr>
        <w:pStyle w:val="162"/>
        <w:rPr>
          <w:rFonts w:hint="eastAsia"/>
          <w:color w:val="000000" w:themeColor="text1"/>
          <w14:textFill>
            <w14:solidFill>
              <w14:schemeClr w14:val="tx1"/>
            </w14:solidFill>
          </w14:textFill>
        </w:rPr>
      </w:pPr>
      <w:bookmarkStart w:id="613" w:name="_Hlk147587756"/>
      <w:r>
        <w:rPr>
          <w:rFonts w:hint="eastAsia"/>
          <w:color w:val="000000" w:themeColor="text1"/>
          <w14:textFill>
            <w14:solidFill>
              <w14:schemeClr w14:val="tx1"/>
            </w14:solidFill>
          </w14:textFill>
        </w:rPr>
        <w:t>原油、伴生气、硫化氢发生泄漏后，可能对周围土壤环境、大气环境、地下水环境和生态环境产生一定的影响，具体影响分析如下：</w:t>
      </w:r>
      <w:r>
        <w:rPr>
          <w:color w:val="000000" w:themeColor="text1"/>
          <w14:textFill>
            <w14:solidFill>
              <w14:schemeClr w14:val="tx1"/>
            </w14:solidFill>
          </w14:textFill>
        </w:rPr>
        <w:t xml:space="preserve"> </w:t>
      </w:r>
    </w:p>
    <w:p w14:paraId="0CF71507">
      <w:pPr>
        <w:overflowPunct w:val="0"/>
        <w:spacing w:line="500" w:lineRule="exact"/>
        <w:ind w:firstLine="480" w:firstLineChars="200"/>
        <w:rPr>
          <w:rFonts w:hint="eastAsia"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（1）井喷事故环境影响分析</w:t>
      </w:r>
    </w:p>
    <w:p w14:paraId="7DEE66EF">
      <w:pPr>
        <w:overflowPunct w:val="0"/>
        <w:spacing w:line="500" w:lineRule="exact"/>
        <w:ind w:firstLine="480" w:firstLineChars="200"/>
        <w:rPr>
          <w:rFonts w:hint="eastAsia"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①对土壤环境影响分析</w:t>
      </w:r>
    </w:p>
    <w:p w14:paraId="3DEFE446">
      <w:pPr>
        <w:overflowPunct w:val="0"/>
        <w:spacing w:line="500" w:lineRule="exact"/>
        <w:ind w:firstLine="480" w:firstLineChars="200"/>
        <w:rPr>
          <w:rFonts w:hint="eastAsia"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井喷是油田开发过程中的意外事故，一次井喷可抛洒大量的天然气和原油，其中的轻组分挥发，而重组分油对土壤有一定的影响。井喷会造成大量原油覆盖在土壤表层，使土壤表层的土壤透气性下降，理化性状发生变化，对影响范围内的土壤表层造成严重的污染。井喷持续时间越长，对土壤造成的污染越严重。但根据已有的相关资料，井喷事故主要影响事故区域内的表层土壤，对地表</w:t>
      </w:r>
      <w:r>
        <w:rPr>
          <w:rFonts w:ascii="宋体" w:hAnsi="宋体"/>
          <w:color w:val="000000" w:themeColor="text1"/>
          <w:sz w:val="24"/>
          <w:szCs w:val="24"/>
          <w14:textFill>
            <w14:solidFill>
              <w14:schemeClr w14:val="tx1"/>
            </w14:solidFill>
          </w14:textFill>
        </w:rPr>
        <w:t>20cm</w:t>
      </w:r>
      <w:r>
        <w:rPr>
          <w:rFonts w:hint="eastAsia" w:ascii="宋体" w:hAnsi="宋体"/>
          <w:color w:val="000000" w:themeColor="text1"/>
          <w:sz w:val="24"/>
          <w:szCs w:val="24"/>
          <w14:textFill>
            <w14:solidFill>
              <w14:schemeClr w14:val="tx1"/>
            </w14:solidFill>
          </w14:textFill>
        </w:rPr>
        <w:t>以下深度的土壤影响不大。</w:t>
      </w:r>
    </w:p>
    <w:p w14:paraId="3715183D">
      <w:pPr>
        <w:overflowPunct w:val="0"/>
        <w:spacing w:line="500" w:lineRule="exact"/>
        <w:ind w:firstLine="480" w:firstLineChars="200"/>
        <w:rPr>
          <w:rFonts w:hint="eastAsia"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井喷事故一旦发生，大量的油气喷出井口，散落于井场周围</w:t>
      </w:r>
      <w:r>
        <w:rPr>
          <w:rFonts w:hint="eastAsia" w:ascii="宋体" w:hAnsi="宋体"/>
          <w:color w:val="000000" w:themeColor="text1"/>
          <w:sz w:val="24"/>
          <w:szCs w:val="24"/>
          <w:lang w:eastAsia="zh-CN"/>
          <w14:textFill>
            <w14:solidFill>
              <w14:schemeClr w14:val="tx1"/>
            </w14:solidFill>
          </w14:textFill>
        </w:rPr>
        <w:t>，根</w:t>
      </w:r>
      <w:r>
        <w:rPr>
          <w:rFonts w:hint="eastAsia" w:ascii="宋体" w:hAnsi="宋体"/>
          <w:color w:val="000000" w:themeColor="text1"/>
          <w:sz w:val="24"/>
          <w:szCs w:val="24"/>
          <w14:textFill>
            <w14:solidFill>
              <w14:schemeClr w14:val="tx1"/>
            </w14:solidFill>
          </w14:textFill>
        </w:rPr>
        <w:t>据类比资料，井喷范围内土壤表层可见有蜡状的原油喷散物，井喷的影响范围主要集中在</w:t>
      </w:r>
      <w:r>
        <w:rPr>
          <w:rFonts w:ascii="宋体" w:hAnsi="宋体"/>
          <w:color w:val="000000" w:themeColor="text1"/>
          <w:sz w:val="24"/>
          <w:szCs w:val="24"/>
          <w14:textFill>
            <w14:solidFill>
              <w14:schemeClr w14:val="tx1"/>
            </w14:solidFill>
          </w14:textFill>
        </w:rPr>
        <w:t>200m×200m</w:t>
      </w:r>
      <w:r>
        <w:rPr>
          <w:rFonts w:hint="eastAsia" w:ascii="宋体" w:hAnsi="宋体"/>
          <w:color w:val="000000" w:themeColor="text1"/>
          <w:sz w:val="24"/>
          <w:szCs w:val="24"/>
          <w14:textFill>
            <w14:solidFill>
              <w14:schemeClr w14:val="tx1"/>
            </w14:solidFill>
          </w14:textFill>
        </w:rPr>
        <w:t>范围内，所以井喷对人员的伤害有限，对项目区及周边土壤环境、水环境产生一定影响。井场进行了分区防渗，一旦发生事故，可减缓对地表土壤环境的影响。</w:t>
      </w:r>
    </w:p>
    <w:p w14:paraId="3F4FA896">
      <w:pPr>
        <w:overflowPunct w:val="0"/>
        <w:spacing w:line="500" w:lineRule="exact"/>
        <w:ind w:firstLine="480" w:firstLineChars="200"/>
        <w:rPr>
          <w:rFonts w:hint="eastAsia"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②对水环境影响分析</w:t>
      </w:r>
    </w:p>
    <w:p w14:paraId="6E0366D2">
      <w:pPr>
        <w:overflowPunct w:val="0"/>
        <w:spacing w:line="500" w:lineRule="exact"/>
        <w:ind w:firstLine="480" w:firstLineChars="200"/>
        <w:rPr>
          <w:rFonts w:hint="eastAsia"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井喷事故一旦发生，大量的油气喷出井口，散落于井场周围，除造成重大经济损失外，还会造成严重的环境污染。根据测算，井喷发生后，喷出的液量较大，一般需要</w:t>
      </w:r>
      <w:r>
        <w:rPr>
          <w:rFonts w:ascii="宋体" w:hAnsi="宋体"/>
          <w:color w:val="000000" w:themeColor="text1"/>
          <w:sz w:val="24"/>
          <w:szCs w:val="24"/>
          <w14:textFill>
            <w14:solidFill>
              <w14:schemeClr w14:val="tx1"/>
            </w14:solidFill>
          </w14:textFill>
        </w:rPr>
        <w:t>1-2d</w:t>
      </w:r>
      <w:r>
        <w:rPr>
          <w:rFonts w:hint="eastAsia" w:ascii="宋体" w:hAnsi="宋体"/>
          <w:color w:val="000000" w:themeColor="text1"/>
          <w:sz w:val="24"/>
          <w:szCs w:val="24"/>
          <w14:textFill>
            <w14:solidFill>
              <w14:schemeClr w14:val="tx1"/>
            </w14:solidFill>
          </w14:textFill>
        </w:rPr>
        <w:t>才能得以控制。据类比资料，井喷污染范围在半径</w:t>
      </w:r>
      <w:r>
        <w:rPr>
          <w:rFonts w:ascii="宋体" w:hAnsi="宋体"/>
          <w:color w:val="000000" w:themeColor="text1"/>
          <w:sz w:val="24"/>
          <w:szCs w:val="24"/>
          <w14:textFill>
            <w14:solidFill>
              <w14:schemeClr w14:val="tx1"/>
            </w14:solidFill>
          </w14:textFill>
        </w:rPr>
        <w:t>200m</w:t>
      </w:r>
      <w:r>
        <w:rPr>
          <w:rFonts w:hint="eastAsia" w:ascii="宋体" w:hAnsi="宋体"/>
          <w:color w:val="000000" w:themeColor="text1"/>
          <w:sz w:val="24"/>
          <w:szCs w:val="24"/>
          <w14:textFill>
            <w14:solidFill>
              <w14:schemeClr w14:val="tx1"/>
            </w14:solidFill>
          </w14:textFill>
        </w:rPr>
        <w:t>左右时，井喷持续时间</w:t>
      </w:r>
      <w:r>
        <w:rPr>
          <w:rFonts w:ascii="宋体" w:hAnsi="宋体"/>
          <w:color w:val="000000" w:themeColor="text1"/>
          <w:sz w:val="24"/>
          <w:szCs w:val="24"/>
          <w14:textFill>
            <w14:solidFill>
              <w14:schemeClr w14:val="tx1"/>
            </w14:solidFill>
          </w14:textFill>
        </w:rPr>
        <w:t>2d</w:t>
      </w:r>
      <w:r>
        <w:rPr>
          <w:rFonts w:hint="eastAsia" w:ascii="宋体" w:hAnsi="宋体"/>
          <w:color w:val="000000" w:themeColor="text1"/>
          <w:sz w:val="24"/>
          <w:szCs w:val="24"/>
          <w14:textFill>
            <w14:solidFill>
              <w14:schemeClr w14:val="tx1"/>
            </w14:solidFill>
          </w14:textFill>
        </w:rPr>
        <w:t>，井喷范围内土壤表层可见有蜡状的喷散物，井喷的影响范围及影响程度较大。但从事故井区土壤剖面分析，井喷事故后石油类污染物主要聚集在土壤剖面</w:t>
      </w:r>
      <w:r>
        <w:rPr>
          <w:rFonts w:ascii="宋体" w:hAnsi="宋体"/>
          <w:color w:val="000000" w:themeColor="text1"/>
          <w:sz w:val="24"/>
          <w:szCs w:val="24"/>
          <w14:textFill>
            <w14:solidFill>
              <w14:schemeClr w14:val="tx1"/>
            </w14:solidFill>
          </w14:textFill>
        </w:rPr>
        <w:t>1m</w:t>
      </w:r>
      <w:r>
        <w:rPr>
          <w:rFonts w:hint="eastAsia" w:ascii="宋体" w:hAnsi="宋体"/>
          <w:color w:val="000000" w:themeColor="text1"/>
          <w:sz w:val="24"/>
          <w:szCs w:val="24"/>
          <w14:textFill>
            <w14:solidFill>
              <w14:schemeClr w14:val="tx1"/>
            </w14:solidFill>
          </w14:textFill>
        </w:rPr>
        <w:t>以内，石油类污染物很难下渗到</w:t>
      </w:r>
      <w:r>
        <w:rPr>
          <w:rFonts w:ascii="宋体" w:hAnsi="宋体"/>
          <w:color w:val="000000" w:themeColor="text1"/>
          <w:sz w:val="24"/>
          <w:szCs w:val="24"/>
          <w14:textFill>
            <w14:solidFill>
              <w14:schemeClr w14:val="tx1"/>
            </w14:solidFill>
          </w14:textFill>
        </w:rPr>
        <w:t>2m</w:t>
      </w:r>
      <w:r>
        <w:rPr>
          <w:rFonts w:hint="eastAsia" w:ascii="宋体" w:hAnsi="宋体"/>
          <w:color w:val="000000" w:themeColor="text1"/>
          <w:sz w:val="24"/>
          <w:szCs w:val="24"/>
          <w14:textFill>
            <w14:solidFill>
              <w14:schemeClr w14:val="tx1"/>
            </w14:solidFill>
          </w14:textFill>
        </w:rPr>
        <w:t>以下，对地下水体的影响概率不大，及时采取有效措施治理污染，井喷不会造成地下水污染。</w:t>
      </w:r>
    </w:p>
    <w:p w14:paraId="138C6873">
      <w:pPr>
        <w:overflowPunct w:val="0"/>
        <w:spacing w:line="500" w:lineRule="exact"/>
        <w:ind w:firstLine="480" w:firstLineChars="200"/>
        <w:rPr>
          <w:rFonts w:hint="eastAsia"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③对植被、农田的影响分析</w:t>
      </w:r>
    </w:p>
    <w:p w14:paraId="0C8FB575">
      <w:pPr>
        <w:overflowPunct w:val="0"/>
        <w:spacing w:line="500" w:lineRule="exact"/>
        <w:ind w:firstLine="480" w:firstLineChars="200"/>
        <w:rPr>
          <w:rFonts w:hint="eastAsia"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井喷发生时，原油中的轻组分挥发，在对空气环境产生影响的同时，也对周围农田及植物产生影响，井场周围半径200</w:t>
      </w:r>
      <w:r>
        <w:rPr>
          <w:rFonts w:ascii="宋体" w:hAnsi="宋体"/>
          <w:color w:val="000000" w:themeColor="text1"/>
          <w:sz w:val="24"/>
          <w:szCs w:val="24"/>
          <w14:textFill>
            <w14:solidFill>
              <w14:schemeClr w14:val="tx1"/>
            </w14:solidFill>
          </w14:textFill>
        </w:rPr>
        <w:t>m</w:t>
      </w:r>
      <w:r>
        <w:rPr>
          <w:rFonts w:hint="eastAsia" w:ascii="宋体" w:hAnsi="宋体"/>
          <w:color w:val="000000" w:themeColor="text1"/>
          <w:sz w:val="24"/>
          <w:szCs w:val="24"/>
          <w14:textFill>
            <w14:solidFill>
              <w14:schemeClr w14:val="tx1"/>
            </w14:solidFill>
          </w14:textFill>
        </w:rPr>
        <w:t>范围内的农田及植被将全部由于石油类污染而使其呼吸受阻，不能进行正常光合作用而死亡；原油进入土壤后与土壤结合，渗入土壤孔隙，使土壤透气性和呼吸作用减弱，改变了土壤质地和结构，影响到土壤的生物功能，进而造成生长其上的植物和土壤动物的死亡，这种影响会导致污染地段多年无法生长植物或长势减弱，甚至使这一区域变为裸地。由于这一影响使土壤结构受石油类污染而发生变化，因此，被污染区域的植被不易恢复。若井喷时发生火灾，结果将使燃烧范围内的植被全部死亡，必须采取严格有效的风险防范措施，防止、降低井喷事故风险发生。</w:t>
      </w:r>
    </w:p>
    <w:p w14:paraId="00310D65">
      <w:pPr>
        <w:pStyle w:val="162"/>
        <w:rPr>
          <w:rFonts w:hint="eastAsia"/>
          <w:snapToGrid w:val="0"/>
          <w:color w:val="000000" w:themeColor="text1"/>
          <w14:textFill>
            <w14:solidFill>
              <w14:schemeClr w14:val="tx1"/>
            </w14:solidFill>
          </w14:textFill>
        </w:rPr>
      </w:pPr>
      <w:bookmarkStart w:id="614" w:name="OLE_LINK88"/>
      <w:bookmarkStart w:id="615" w:name="OLE_LINK198"/>
      <w:r>
        <w:rPr>
          <w:rFonts w:hint="eastAsia"/>
          <w:snapToGrid w:val="0"/>
          <w:color w:val="000000" w:themeColor="text1"/>
          <w14:textFill>
            <w14:solidFill>
              <w14:schemeClr w14:val="tx1"/>
            </w14:solidFill>
          </w14:textFill>
        </w:rPr>
        <w:t>（2）井漏事故影响分析</w:t>
      </w:r>
    </w:p>
    <w:p w14:paraId="74DB7E88">
      <w:pPr>
        <w:pStyle w:val="162"/>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本项目井漏事故一般发生在井下作业修井过程中，通常是由于套管破损或者固井质量不好，导致修井液漏入地层。漏层的类型、井漏的严重程度，因漏失层位各不相同，变化很大，一旦发生井漏，使大量修井液漏失，除造成经济损失外，还可能对地下含水层和油层造成一定的污染和危害。本次拟部署采油井钻井表层套管下入深度超出本区域地下水含水层深度，拟部署井采用下套管注水泥固井、完井方式进行水泥固井，对含水层进行了固封处理，发生井漏的可能性较小，不会对地下水环境产生明显影响。</w:t>
      </w:r>
    </w:p>
    <w:bookmarkEnd w:id="614"/>
    <w:p w14:paraId="23921302">
      <w:pPr>
        <w:pStyle w:val="117"/>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（3）管线、设备泄漏事故影响分析</w:t>
      </w:r>
    </w:p>
    <w:p w14:paraId="35EFEF4C">
      <w:pPr>
        <w:pStyle w:val="117"/>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①</w:t>
      </w:r>
      <w:r>
        <w:rPr>
          <w:color w:val="000000" w:themeColor="text1"/>
          <w14:textFill>
            <w14:solidFill>
              <w14:schemeClr w14:val="tx1"/>
            </w14:solidFill>
          </w14:textFill>
        </w:rPr>
        <w:t>对土壤的影响</w:t>
      </w:r>
      <w:r>
        <w:rPr>
          <w:rFonts w:hint="eastAsia"/>
          <w:color w:val="000000" w:themeColor="text1"/>
          <w14:textFill>
            <w14:solidFill>
              <w14:schemeClr w14:val="tx1"/>
            </w14:solidFill>
          </w14:textFill>
        </w:rPr>
        <w:t>分析</w:t>
      </w:r>
    </w:p>
    <w:p w14:paraId="50BBF998">
      <w:pPr>
        <w:adjustRightInd w:val="0"/>
        <w:snapToGrid w:val="0"/>
        <w:spacing w:line="480" w:lineRule="exact"/>
        <w:ind w:firstLine="480" w:firstLineChars="200"/>
        <w:rPr>
          <w:rFonts w:hint="eastAsia"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井场、预处理注入站内设备和管线发生泄漏后相当于向土壤中直接注入油品，油品渗入土壤孔隙，则使土壤透气性和呼吸作用减弱，影响土壤中的微生物生存，造成土壤盐碱化，破坏土壤结构，增加土壤中石油类污染物，造成土地肥力下降，改变土壤的理化性质，影响土壤正常的结构和功能，进而影响荒漠植被的生长（尤其是对农田农作物的影响），并可影响局部的生态环境。</w:t>
      </w:r>
      <w:bookmarkEnd w:id="615"/>
      <w:r>
        <w:rPr>
          <w:rFonts w:hint="eastAsia" w:ascii="宋体" w:hAnsi="宋体"/>
          <w:color w:val="000000" w:themeColor="text1"/>
          <w:sz w:val="24"/>
          <w:szCs w:val="24"/>
          <w14:textFill>
            <w14:solidFill>
              <w14:schemeClr w14:val="tx1"/>
            </w14:solidFill>
          </w14:textFill>
        </w:rPr>
        <w:t>根据类比调查结果可知，油品泄漏事故发生后，在非渗透性的基岩及粘重土壤上污染（扩展）面积较大，而疏松土质上影响的扩展范围较小，在泄漏事故发生的最初，原油在土壤中下渗至一定深度，随泄漏历时的延长，下渗深度增加不大（落地原油一般在土壤表层20cm以上深度内积聚）。根据非正常工况下土壤环境影响分析结果可知，站内设备和管线等事故发生后及时采取措施并将受污染的土壤清理，不会对土壤环境产生明显不利影响。</w:t>
      </w:r>
    </w:p>
    <w:bookmarkEnd w:id="613"/>
    <w:p w14:paraId="566324E4">
      <w:pPr>
        <w:adjustRightInd w:val="0"/>
        <w:snapToGrid w:val="0"/>
        <w:spacing w:line="480" w:lineRule="exact"/>
        <w:ind w:firstLine="480" w:firstLineChars="200"/>
        <w:rPr>
          <w:rFonts w:hint="eastAsia"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②</w:t>
      </w:r>
      <w:r>
        <w:rPr>
          <w:rFonts w:ascii="宋体" w:hAnsi="宋体"/>
          <w:color w:val="000000" w:themeColor="text1"/>
          <w:sz w:val="24"/>
          <w:szCs w:val="24"/>
          <w14:textFill>
            <w14:solidFill>
              <w14:schemeClr w14:val="tx1"/>
            </w14:solidFill>
          </w14:textFill>
        </w:rPr>
        <w:t>对</w:t>
      </w:r>
      <w:r>
        <w:rPr>
          <w:rFonts w:hint="eastAsia" w:ascii="宋体" w:hAnsi="宋体"/>
          <w:color w:val="000000" w:themeColor="text1"/>
          <w:sz w:val="24"/>
          <w:szCs w:val="24"/>
          <w14:textFill>
            <w14:solidFill>
              <w14:schemeClr w14:val="tx1"/>
            </w14:solidFill>
          </w14:textFill>
        </w:rPr>
        <w:t>生态环境</w:t>
      </w:r>
      <w:r>
        <w:rPr>
          <w:rFonts w:ascii="宋体" w:hAnsi="宋体"/>
          <w:color w:val="000000" w:themeColor="text1"/>
          <w:sz w:val="24"/>
          <w:szCs w:val="24"/>
          <w14:textFill>
            <w14:solidFill>
              <w14:schemeClr w14:val="tx1"/>
            </w14:solidFill>
          </w14:textFill>
        </w:rPr>
        <w:t>的影响</w:t>
      </w:r>
    </w:p>
    <w:p w14:paraId="348B3584">
      <w:pPr>
        <w:pStyle w:val="462"/>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管线为埋地敷设，预处理注入站设备均位于站内，发生泄漏事故时基本不会对区域的野生动物产生影响，事故状态下对生态环境的影响主要为原油泄漏对植被的影响，原油泄漏对植被的影响主要分为三种途径，一是泄漏油品直接黏附于植物体阻断植物的光合作用，使植物枯萎、死亡；二是原油污染土壤造成的土壤理性化性状变化间接影响植物生长，严重时会导致植物死亡；三是泄漏的油品中的轻组分挥发，在对空气环境产生影响的同时，也对周围植物产生影响。发生事故后，及时采取相应的措施，不会对周围植被产生明显影响。</w:t>
      </w:r>
    </w:p>
    <w:p w14:paraId="5B90D800">
      <w:pPr>
        <w:adjustRightInd w:val="0"/>
        <w:snapToGrid w:val="0"/>
        <w:spacing w:line="480" w:lineRule="exact"/>
        <w:ind w:firstLine="480"/>
        <w:rPr>
          <w:rFonts w:hint="eastAsia" w:ascii="宋体" w:hAnsi="宋体"/>
          <w:color w:val="000000" w:themeColor="text1"/>
          <w:sz w:val="24"/>
          <w:szCs w:val="24"/>
          <w14:textFill>
            <w14:solidFill>
              <w14:schemeClr w14:val="tx1"/>
            </w14:solidFill>
          </w14:textFill>
        </w:rPr>
      </w:pPr>
      <w:bookmarkStart w:id="616" w:name="_Hlk147587769"/>
      <w:r>
        <w:rPr>
          <w:rFonts w:hint="eastAsia" w:ascii="宋体" w:hAnsi="宋体"/>
          <w:color w:val="000000" w:themeColor="text1"/>
          <w:sz w:val="24"/>
          <w:szCs w:val="24"/>
          <w14:textFill>
            <w14:solidFill>
              <w14:schemeClr w14:val="tx1"/>
            </w14:solidFill>
          </w14:textFill>
        </w:rPr>
        <w:t>③对地下水环境的影响</w:t>
      </w:r>
    </w:p>
    <w:bookmarkEnd w:id="616"/>
    <w:p w14:paraId="5EBB6A0A">
      <w:pPr>
        <w:pStyle w:val="117"/>
        <w:adjustRightInd w:val="0"/>
        <w:snapToGrid w:val="0"/>
        <w:spacing w:line="460" w:lineRule="exact"/>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井场、预处理注入站内设备和管线发生泄漏后，泄漏的油品下渗，进而导致地下水污染风险的发生。发生泄漏事故后，及时发现、及时维修处理，即使有少量的污染物泄漏，也很难通过防渗层渗入包气带。故在正常工况下，加强检修力度，发生泄漏事故及时找到泄漏点，及时维修，并将受污染的土壤全部回收，交由有相应危险废物处理资质的单位进行回收处置，污染物从源头和末端均得到控制，没有污染地下水的通道，污染物不会渗入地下污染地下水体。当泄漏事故不可控时，泄漏的油品经土层渗漏，通过包气带进入含水层。根据《采油废水中石油类污染物在土壤中的迁移规律研究》（岳占林文）中结论：土壤尽管颗粒较粗、结构较松散、孔隙比较大，但对石油类物质的截留作用是非常显著的，石油类很难在土壤剖面中随水下渗迁移，基本上被截留在0～10cm或0～20cm表层土壤中，其中表层0～5cm土壤截留了90%以上的泄漏原油。</w:t>
      </w:r>
    </w:p>
    <w:p w14:paraId="56DFED01">
      <w:pPr>
        <w:pStyle w:val="117"/>
        <w:adjustRightInd w:val="0"/>
        <w:snapToGrid w:val="0"/>
        <w:spacing w:line="460" w:lineRule="exact"/>
        <w:ind w:firstLine="480"/>
        <w:rPr>
          <w:rFonts w:hint="eastAsia"/>
          <w:color w:val="000000" w:themeColor="text1"/>
          <w14:textFill>
            <w14:solidFill>
              <w14:schemeClr w14:val="tx1"/>
            </w14:solidFill>
          </w14:textFill>
        </w:rPr>
      </w:pPr>
      <w:bookmarkStart w:id="617" w:name="_Hlk147587764"/>
      <w:r>
        <w:rPr>
          <w:rFonts w:hint="eastAsia"/>
          <w:color w:val="000000" w:themeColor="text1"/>
          <w14:textFill>
            <w14:solidFill>
              <w14:schemeClr w14:val="tx1"/>
            </w14:solidFill>
          </w14:textFill>
        </w:rPr>
        <w:t>根据事故状态下对地下的预测可知，集油干线发生泄漏后100d和1000d下游石油类达标时对应的距离分别为33m和179m；排污罐发生泄漏后100d和1000d时泄漏点处石油类就达标。项目区土壤在消除土体裂隙和根孔影响的试验条件下，石油类下渗下移的深度不会超过30cm，</w:t>
      </w:r>
      <w:r>
        <w:rPr>
          <w:color w:val="000000" w:themeColor="text1"/>
          <w:kern w:val="0"/>
          <w:szCs w:val="26"/>
          <w14:textFill>
            <w14:solidFill>
              <w14:schemeClr w14:val="tx1"/>
            </w14:solidFill>
          </w14:textFill>
        </w:rPr>
        <w:t>承压水顶板埋深在50～100m</w:t>
      </w:r>
      <w:r>
        <w:rPr>
          <w:rFonts w:hint="eastAsia"/>
          <w:color w:val="000000" w:themeColor="text1"/>
          <w:kern w:val="0"/>
          <w:szCs w:val="26"/>
          <w14:textFill>
            <w14:solidFill>
              <w14:schemeClr w14:val="tx1"/>
            </w14:solidFill>
          </w14:textFill>
        </w:rPr>
        <w:t>以下</w:t>
      </w:r>
      <w:r>
        <w:rPr>
          <w:rFonts w:hint="eastAsia"/>
          <w:color w:val="000000" w:themeColor="text1"/>
          <w14:textFill>
            <w14:solidFill>
              <w14:schemeClr w14:val="tx1"/>
            </w14:solidFill>
          </w14:textFill>
        </w:rPr>
        <w:t>，泄漏的原油进入地下水的可能性很小，并定期对设备进行检修，将事故发生的概率降至最低，发生泄漏后做到及时发现、及时处理，彻底清除泄漏油品及被污染的土壤。因此，发生泄漏后采取相应的措施后不会对地下水环境产生大的影响。</w:t>
      </w:r>
    </w:p>
    <w:bookmarkEnd w:id="617"/>
    <w:p w14:paraId="6794245D">
      <w:pPr>
        <w:pStyle w:val="117"/>
        <w:adjustRightInd w:val="0"/>
        <w:snapToGrid w:val="0"/>
        <w:spacing w:line="460" w:lineRule="exact"/>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④对大气环境的影响分析</w:t>
      </w:r>
    </w:p>
    <w:p w14:paraId="3943FE4B">
      <w:pPr>
        <w:pStyle w:val="117"/>
        <w:adjustRightInd w:val="0"/>
        <w:snapToGrid w:val="0"/>
        <w:spacing w:line="460" w:lineRule="exact"/>
        <w:ind w:firstLine="480"/>
        <w:rPr>
          <w:rFonts w:hint="eastAsia"/>
          <w:color w:val="000000" w:themeColor="text1"/>
          <w14:textFill>
            <w14:solidFill>
              <w14:schemeClr w14:val="tx1"/>
            </w14:solidFill>
          </w14:textFill>
        </w:rPr>
      </w:pPr>
      <w:bookmarkStart w:id="618" w:name="_Hlk80209261"/>
      <w:r>
        <w:rPr>
          <w:rFonts w:hint="eastAsia"/>
          <w:color w:val="000000" w:themeColor="text1"/>
          <w14:textFill>
            <w14:solidFill>
              <w14:schemeClr w14:val="tx1"/>
            </w14:solidFill>
          </w14:textFill>
        </w:rPr>
        <w:t>管线埋地敷设，管线发生泄漏后，油气和硫化氢很难透过土壤扩散到大气环境中，泄漏物对大气环境影响较小；井场和预处理注入站内设备发生泄漏事故后，油气和硫化氢进入环境空气，泄漏的油气（主要成分为废NMHC）和硫化氢可能会对周围环境空气产生影响，若遇明火，可发生火灾、爆炸，火灾、爆炸产生的伴生/次生污染物可能对环境空气产生一定的影响。由于项目区周围无环境敏感目标，且地域空旷，扩散条件较好，发生事故后，及时采取相应的措施，不会对周围环境空气产生明显影响。</w:t>
      </w:r>
      <w:bookmarkEnd w:id="599"/>
      <w:bookmarkEnd w:id="612"/>
      <w:bookmarkEnd w:id="618"/>
      <w:bookmarkStart w:id="619" w:name="_Hlk40733172"/>
      <w:bookmarkStart w:id="620" w:name="_Toc475624491"/>
      <w:bookmarkStart w:id="621" w:name="_Toc475624487"/>
    </w:p>
    <w:p w14:paraId="007F5C6A">
      <w:pPr>
        <w:pStyle w:val="117"/>
        <w:adjustRightInd w:val="0"/>
        <w:snapToGrid w:val="0"/>
        <w:spacing w:line="460" w:lineRule="exact"/>
        <w:ind w:firstLine="480"/>
        <w:rPr>
          <w:rFonts w:hint="eastAsia"/>
          <w:color w:val="000000" w:themeColor="text1"/>
          <w14:textFill>
            <w14:solidFill>
              <w14:schemeClr w14:val="tx1"/>
            </w14:solidFill>
          </w14:textFill>
        </w:rPr>
      </w:pPr>
      <w:bookmarkStart w:id="622" w:name="_Hlk173407554"/>
      <w:r>
        <w:rPr>
          <w:rFonts w:hint="eastAsia"/>
          <w:color w:val="000000" w:themeColor="text1"/>
          <w14:textFill>
            <w14:solidFill>
              <w14:schemeClr w14:val="tx1"/>
            </w14:solidFill>
          </w14:textFill>
        </w:rPr>
        <w:t>（3）事故状态下对大气环境保护目标的影响分析</w:t>
      </w:r>
    </w:p>
    <w:p w14:paraId="310907D4">
      <w:pPr>
        <w:pStyle w:val="117"/>
        <w:ind w:firstLine="480"/>
        <w:rPr>
          <w:rFonts w:hint="eastAsia"/>
          <w:color w:val="000000" w:themeColor="text1"/>
          <w:kern w:val="0"/>
          <w14:textFill>
            <w14:solidFill>
              <w14:schemeClr w14:val="tx1"/>
            </w14:solidFill>
          </w14:textFill>
        </w:rPr>
      </w:pPr>
      <w:r>
        <w:rPr>
          <w:rFonts w:hint="eastAsia"/>
          <w:color w:val="000000" w:themeColor="text1"/>
          <w14:textFill>
            <w14:solidFill>
              <w14:schemeClr w14:val="tx1"/>
            </w14:solidFill>
          </w14:textFill>
        </w:rPr>
        <w:t>事故状态下泄漏的油气及火灾、爆炸产生废伴生/次生污染物可能对大气环境保护目标产生一定的影响，运营过程中加强各类设备巡检、检修，项目区设置禁止烟火标识，事故发生概率较低；</w:t>
      </w:r>
      <w:r>
        <w:rPr>
          <w:rFonts w:hint="eastAsia"/>
          <w:color w:val="000000" w:themeColor="text1"/>
          <w:kern w:val="0"/>
          <w14:textFill>
            <w14:solidFill>
              <w14:schemeClr w14:val="tx1"/>
            </w14:solidFill>
          </w14:textFill>
        </w:rPr>
        <w:t>大气环境保护目标主要位于项目区的上风向和侧风向，且项目区地域空旷，扩散条件较好，项目实施不会对大气环境敏感目标产生明显不利影响。</w:t>
      </w:r>
    </w:p>
    <w:bookmarkEnd w:id="619"/>
    <w:bookmarkEnd w:id="620"/>
    <w:bookmarkEnd w:id="622"/>
    <w:p w14:paraId="427E2822">
      <w:pPr>
        <w:pStyle w:val="3"/>
        <w:rPr>
          <w:rFonts w:hint="eastAsia"/>
          <w:color w:val="000000" w:themeColor="text1"/>
          <w:lang w:val="zh-CN"/>
          <w14:textFill>
            <w14:solidFill>
              <w14:schemeClr w14:val="tx1"/>
            </w14:solidFill>
          </w14:textFill>
        </w:rPr>
      </w:pPr>
      <w:r>
        <w:rPr>
          <w:color w:val="000000" w:themeColor="text1"/>
          <w:lang w:val="zh-CN"/>
          <w14:textFill>
            <w14:solidFill>
              <w14:schemeClr w14:val="tx1"/>
            </w14:solidFill>
          </w14:textFill>
        </w:rPr>
        <w:br w:type="page"/>
      </w:r>
      <w:bookmarkStart w:id="623" w:name="_Toc216260313"/>
      <w:r>
        <w:rPr>
          <w:rFonts w:hint="eastAsia"/>
          <w:color w:val="000000" w:themeColor="text1"/>
          <w14:textFill>
            <w14:solidFill>
              <w14:schemeClr w14:val="tx1"/>
            </w14:solidFill>
          </w14:textFill>
        </w:rPr>
        <w:t>环境保护措施及其可行性论证</w:t>
      </w:r>
      <w:bookmarkEnd w:id="621"/>
      <w:bookmarkEnd w:id="623"/>
    </w:p>
    <w:p w14:paraId="7CD676B4">
      <w:pPr>
        <w:pStyle w:val="2"/>
        <w:rPr>
          <w:rFonts w:hint="eastAsia"/>
          <w:color w:val="000000" w:themeColor="text1"/>
          <w:lang w:val="zh-CN"/>
          <w14:textFill>
            <w14:solidFill>
              <w14:schemeClr w14:val="tx1"/>
            </w14:solidFill>
          </w14:textFill>
        </w:rPr>
      </w:pPr>
      <w:bookmarkStart w:id="624" w:name="_Toc475624488"/>
      <w:bookmarkStart w:id="625" w:name="_Toc216260314"/>
      <w:bookmarkStart w:id="626" w:name="_Toc445842140"/>
      <w:bookmarkStart w:id="627" w:name="_Toc445840420"/>
      <w:bookmarkStart w:id="628" w:name="_Toc459026594"/>
      <w:bookmarkStart w:id="629" w:name="_Toc31327"/>
      <w:bookmarkStart w:id="630" w:name="_Toc21102"/>
      <w:bookmarkStart w:id="631" w:name="_Toc445996461"/>
      <w:bookmarkStart w:id="632" w:name="_Toc14133"/>
      <w:bookmarkStart w:id="633" w:name="_Toc448413619"/>
      <w:r>
        <w:rPr>
          <w:rFonts w:hint="eastAsia"/>
          <w:color w:val="000000" w:themeColor="text1"/>
          <w:lang w:val="zh-CN"/>
          <w14:textFill>
            <w14:solidFill>
              <w14:schemeClr w14:val="tx1"/>
            </w14:solidFill>
          </w14:textFill>
        </w:rPr>
        <w:t>施工期</w:t>
      </w:r>
      <w:r>
        <w:rPr>
          <w:color w:val="000000" w:themeColor="text1"/>
          <w:lang w:val="zh-CN"/>
          <w14:textFill>
            <w14:solidFill>
              <w14:schemeClr w14:val="tx1"/>
            </w14:solidFill>
          </w14:textFill>
        </w:rPr>
        <w:t>环境保护措施</w:t>
      </w:r>
      <w:bookmarkEnd w:id="624"/>
      <w:r>
        <w:rPr>
          <w:rFonts w:hint="eastAsia"/>
          <w:color w:val="000000" w:themeColor="text1"/>
          <w:lang w:val="zh-CN"/>
          <w14:textFill>
            <w14:solidFill>
              <w14:schemeClr w14:val="tx1"/>
            </w14:solidFill>
          </w14:textFill>
        </w:rPr>
        <w:t>及其可行性论证</w:t>
      </w:r>
      <w:bookmarkEnd w:id="625"/>
    </w:p>
    <w:bookmarkEnd w:id="626"/>
    <w:bookmarkEnd w:id="627"/>
    <w:bookmarkEnd w:id="628"/>
    <w:bookmarkEnd w:id="629"/>
    <w:bookmarkEnd w:id="630"/>
    <w:bookmarkEnd w:id="631"/>
    <w:bookmarkEnd w:id="632"/>
    <w:bookmarkEnd w:id="633"/>
    <w:p w14:paraId="4A94D186">
      <w:pPr>
        <w:pStyle w:val="4"/>
        <w:rPr>
          <w:rFonts w:hint="eastAsia"/>
          <w:color w:val="000000" w:themeColor="text1"/>
          <w:lang w:val="zh-CN"/>
          <w14:textFill>
            <w14:solidFill>
              <w14:schemeClr w14:val="tx1"/>
            </w14:solidFill>
          </w14:textFill>
        </w:rPr>
      </w:pPr>
      <w:bookmarkStart w:id="634" w:name="_Toc445842141"/>
      <w:bookmarkStart w:id="635" w:name="_Toc10287"/>
      <w:bookmarkStart w:id="636" w:name="_Toc445996462"/>
      <w:bookmarkStart w:id="637" w:name="_Hlk40731057"/>
      <w:r>
        <w:rPr>
          <w:rFonts w:hint="eastAsia"/>
          <w:color w:val="000000" w:themeColor="text1"/>
          <w:lang w:val="zh-CN"/>
          <w14:textFill>
            <w14:solidFill>
              <w14:schemeClr w14:val="tx1"/>
            </w14:solidFill>
          </w14:textFill>
        </w:rPr>
        <w:t>施工期大气污染防治措施</w:t>
      </w:r>
      <w:bookmarkEnd w:id="634"/>
      <w:bookmarkEnd w:id="635"/>
      <w:bookmarkEnd w:id="636"/>
    </w:p>
    <w:bookmarkEnd w:id="637"/>
    <w:p w14:paraId="4A36DE84">
      <w:pPr>
        <w:pStyle w:val="117"/>
        <w:ind w:firstLine="480"/>
        <w:rPr>
          <w:rFonts w:hint="eastAsia"/>
          <w:color w:val="000000" w:themeColor="text1"/>
          <w14:textFill>
            <w14:solidFill>
              <w14:schemeClr w14:val="tx1"/>
            </w14:solidFill>
          </w14:textFill>
        </w:rPr>
      </w:pPr>
      <w:bookmarkStart w:id="638" w:name="_Hlk40731105"/>
      <w:bookmarkStart w:id="639" w:name="_Toc1790"/>
      <w:bookmarkStart w:id="640" w:name="_Toc445842142"/>
      <w:bookmarkStart w:id="641" w:name="_Toc445996463"/>
      <w:r>
        <w:rPr>
          <w:rFonts w:hint="eastAsia"/>
          <w:color w:val="000000" w:themeColor="text1"/>
          <w14:textFill>
            <w14:solidFill>
              <w14:schemeClr w14:val="tx1"/>
            </w14:solidFill>
          </w14:textFill>
        </w:rPr>
        <w:t>（</w:t>
      </w:r>
      <w:r>
        <w:rPr>
          <w:color w:val="000000" w:themeColor="text1"/>
          <w14:textFill>
            <w14:solidFill>
              <w14:schemeClr w14:val="tx1"/>
            </w14:solidFill>
          </w14:textFill>
        </w:rPr>
        <w:t>1</w:t>
      </w:r>
      <w:r>
        <w:rPr>
          <w:rFonts w:hint="eastAsia"/>
          <w:color w:val="000000" w:themeColor="text1"/>
          <w14:textFill>
            <w14:solidFill>
              <w14:schemeClr w14:val="tx1"/>
            </w14:solidFill>
          </w14:textFill>
        </w:rPr>
        <w:t>）合理规划运输道路线路，尽量利用油田现有的公路网，施工车辆严格按照规定线路行驶，严禁乱碾乱压。</w:t>
      </w:r>
      <w:bookmarkStart w:id="642" w:name="OLE_LINK139"/>
      <w:r>
        <w:rPr>
          <w:rFonts w:hint="eastAsia"/>
          <w:color w:val="000000" w:themeColor="text1"/>
          <w14:textFill>
            <w14:solidFill>
              <w14:schemeClr w14:val="tx1"/>
            </w14:solidFill>
          </w14:textFill>
        </w:rPr>
        <w:t>运输车辆应加盖篷布</w:t>
      </w:r>
      <w:bookmarkEnd w:id="642"/>
      <w:r>
        <w:rPr>
          <w:rFonts w:hint="eastAsia"/>
          <w:color w:val="000000" w:themeColor="text1"/>
          <w14:textFill>
            <w14:solidFill>
              <w14:schemeClr w14:val="tx1"/>
            </w14:solidFill>
          </w14:textFill>
        </w:rPr>
        <w:t>，不能超载过量；严禁车辆在行驶中沿途振漏建筑材料及建筑废料。</w:t>
      </w:r>
    </w:p>
    <w:p w14:paraId="360349D1">
      <w:pPr>
        <w:pStyle w:val="117"/>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w:t>
      </w:r>
      <w:r>
        <w:rPr>
          <w:color w:val="000000" w:themeColor="text1"/>
          <w14:textFill>
            <w14:solidFill>
              <w14:schemeClr w14:val="tx1"/>
            </w14:solidFill>
          </w14:textFill>
        </w:rPr>
        <w:t>2</w:t>
      </w:r>
      <w:r>
        <w:rPr>
          <w:rFonts w:hint="eastAsia"/>
          <w:color w:val="000000" w:themeColor="text1"/>
          <w14:textFill>
            <w14:solidFill>
              <w14:schemeClr w14:val="tx1"/>
            </w14:solidFill>
          </w14:textFill>
        </w:rPr>
        <w:t>）</w:t>
      </w:r>
      <w:bookmarkStart w:id="643" w:name="OLE_LINK138"/>
      <w:r>
        <w:rPr>
          <w:rFonts w:hint="eastAsia"/>
          <w:color w:val="000000" w:themeColor="text1"/>
          <w14:textFill>
            <w14:solidFill>
              <w14:schemeClr w14:val="tx1"/>
            </w14:solidFill>
          </w14:textFill>
        </w:rPr>
        <w:t>粉状材料及临时土方等在施工区堆放应采取覆盖防尘布，逸散性材料运输采用苫布遮盖</w:t>
      </w:r>
      <w:bookmarkEnd w:id="643"/>
      <w:r>
        <w:rPr>
          <w:rFonts w:hint="eastAsia"/>
          <w:color w:val="000000" w:themeColor="text1"/>
          <w14:textFill>
            <w14:solidFill>
              <w14:schemeClr w14:val="tx1"/>
            </w14:solidFill>
          </w14:textFill>
        </w:rPr>
        <w:t>。</w:t>
      </w:r>
    </w:p>
    <w:bookmarkEnd w:id="638"/>
    <w:p w14:paraId="3733A4ED">
      <w:pPr>
        <w:pStyle w:val="117"/>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w:t>
      </w:r>
      <w:r>
        <w:rPr>
          <w:color w:val="000000" w:themeColor="text1"/>
          <w14:textFill>
            <w14:solidFill>
              <w14:schemeClr w14:val="tx1"/>
            </w14:solidFill>
          </w14:textFill>
        </w:rPr>
        <w:t>3</w:t>
      </w:r>
      <w:r>
        <w:rPr>
          <w:rFonts w:hint="eastAsia"/>
          <w:color w:val="000000" w:themeColor="text1"/>
          <w14:textFill>
            <w14:solidFill>
              <w14:schemeClr w14:val="tx1"/>
            </w14:solidFill>
          </w14:textFill>
        </w:rPr>
        <w:t>）优化施工组织，道路和管线分段施工，缩短施工时间。场地平整时，禁止利用挖掘机进行抛撒土石方的作业。合理安排施工工期，严禁在大风天气进行土方作业。</w:t>
      </w:r>
    </w:p>
    <w:p w14:paraId="534AF54F">
      <w:pPr>
        <w:pStyle w:val="117"/>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w:t>
      </w:r>
      <w:r>
        <w:rPr>
          <w:color w:val="000000" w:themeColor="text1"/>
          <w14:textFill>
            <w14:solidFill>
              <w14:schemeClr w14:val="tx1"/>
            </w14:solidFill>
          </w14:textFill>
        </w:rPr>
        <w:t>4</w:t>
      </w:r>
      <w:r>
        <w:rPr>
          <w:rFonts w:hint="eastAsia"/>
          <w:color w:val="000000" w:themeColor="text1"/>
          <w14:textFill>
            <w14:solidFill>
              <w14:schemeClr w14:val="tx1"/>
            </w14:solidFill>
          </w14:textFill>
        </w:rPr>
        <w:t>）施工结束后尽快对施工场地进行整理和平整，减少风蚀量。</w:t>
      </w:r>
    </w:p>
    <w:p w14:paraId="7DB1B009">
      <w:pPr>
        <w:pStyle w:val="117"/>
        <w:ind w:firstLine="480"/>
        <w:rPr>
          <w:rFonts w:hint="eastAsia" w:cs="宋体"/>
          <w:color w:val="000000" w:themeColor="text1"/>
          <w:kern w:val="0"/>
          <w:lang w:bidi="ar"/>
          <w14:textFill>
            <w14:solidFill>
              <w14:schemeClr w14:val="tx1"/>
            </w14:solidFill>
          </w14:textFill>
        </w:rPr>
      </w:pPr>
      <w:r>
        <w:rPr>
          <w:rFonts w:hint="eastAsia" w:cs="宋体"/>
          <w:color w:val="000000" w:themeColor="text1"/>
          <w:kern w:val="0"/>
          <w:lang w:bidi="ar"/>
          <w14:textFill>
            <w14:solidFill>
              <w14:schemeClr w14:val="tx1"/>
            </w14:solidFill>
          </w14:textFill>
        </w:rPr>
        <w:t>（</w:t>
      </w:r>
      <w:r>
        <w:rPr>
          <w:rFonts w:cs="宋体"/>
          <w:color w:val="000000" w:themeColor="text1"/>
          <w:kern w:val="0"/>
          <w:lang w:bidi="ar"/>
          <w14:textFill>
            <w14:solidFill>
              <w14:schemeClr w14:val="tx1"/>
            </w14:solidFill>
          </w14:textFill>
        </w:rPr>
        <w:t>5</w:t>
      </w:r>
      <w:r>
        <w:rPr>
          <w:rFonts w:hint="eastAsia" w:cs="宋体"/>
          <w:color w:val="000000" w:themeColor="text1"/>
          <w:kern w:val="0"/>
          <w:lang w:bidi="ar"/>
          <w14:textFill>
            <w14:solidFill>
              <w14:schemeClr w14:val="tx1"/>
            </w14:solidFill>
          </w14:textFill>
        </w:rPr>
        <w:t>）加强对施工人员的环保教育，提高全体施工人员的环保意识，坚持文明施工、科学施工，减少施工期的大气污染。</w:t>
      </w:r>
    </w:p>
    <w:p w14:paraId="24BB4F65">
      <w:pPr>
        <w:pStyle w:val="117"/>
        <w:ind w:firstLine="480"/>
        <w:rPr>
          <w:rFonts w:hint="eastAsia" w:cs="宋体"/>
          <w:color w:val="000000" w:themeColor="text1"/>
          <w:kern w:val="0"/>
          <w:lang w:bidi="ar"/>
          <w14:textFill>
            <w14:solidFill>
              <w14:schemeClr w14:val="tx1"/>
            </w14:solidFill>
          </w14:textFill>
        </w:rPr>
      </w:pPr>
      <w:r>
        <w:rPr>
          <w:rFonts w:hint="eastAsia" w:cs="宋体"/>
          <w:color w:val="000000" w:themeColor="text1"/>
          <w:kern w:val="0"/>
          <w:lang w:bidi="ar"/>
          <w14:textFill>
            <w14:solidFill>
              <w14:schemeClr w14:val="tx1"/>
            </w14:solidFill>
          </w14:textFill>
        </w:rPr>
        <w:t>（</w:t>
      </w:r>
      <w:r>
        <w:rPr>
          <w:rFonts w:cs="宋体"/>
          <w:color w:val="000000" w:themeColor="text1"/>
          <w:kern w:val="0"/>
          <w:lang w:bidi="ar"/>
          <w14:textFill>
            <w14:solidFill>
              <w14:schemeClr w14:val="tx1"/>
            </w14:solidFill>
          </w14:textFill>
        </w:rPr>
        <w:t>6</w:t>
      </w:r>
      <w:r>
        <w:rPr>
          <w:rFonts w:hint="eastAsia" w:cs="宋体"/>
          <w:color w:val="000000" w:themeColor="text1"/>
          <w:kern w:val="0"/>
          <w:lang w:bidi="ar"/>
          <w14:textFill>
            <w14:solidFill>
              <w14:schemeClr w14:val="tx1"/>
            </w14:solidFill>
          </w14:textFill>
        </w:rPr>
        <w:t>）</w:t>
      </w:r>
      <w:bookmarkStart w:id="644" w:name="OLE_LINK150"/>
      <w:r>
        <w:rPr>
          <w:rFonts w:hint="eastAsia" w:cs="宋体"/>
          <w:color w:val="000000" w:themeColor="text1"/>
          <w:kern w:val="0"/>
          <w:lang w:bidi="ar"/>
          <w14:textFill>
            <w14:solidFill>
              <w14:schemeClr w14:val="tx1"/>
            </w14:solidFill>
          </w14:textFill>
        </w:rPr>
        <w:t>运输车辆及施工机械采用符合国家标准的油品，定期对施工机械及运输车辆保养维护。</w:t>
      </w:r>
    </w:p>
    <w:p w14:paraId="40E18E90">
      <w:pPr>
        <w:pStyle w:val="117"/>
        <w:ind w:firstLine="480"/>
        <w:rPr>
          <w:rFonts w:hint="eastAsia" w:cs="宋体"/>
          <w:color w:val="000000" w:themeColor="text1"/>
          <w:kern w:val="0"/>
          <w:lang w:bidi="ar"/>
          <w14:textFill>
            <w14:solidFill>
              <w14:schemeClr w14:val="tx1"/>
            </w14:solidFill>
          </w14:textFill>
        </w:rPr>
      </w:pPr>
      <w:r>
        <w:rPr>
          <w:rFonts w:hint="eastAsia" w:cs="宋体"/>
          <w:color w:val="000000" w:themeColor="text1"/>
          <w:kern w:val="0"/>
          <w:lang w:bidi="ar"/>
          <w14:textFill>
            <w14:solidFill>
              <w14:schemeClr w14:val="tx1"/>
            </w14:solidFill>
          </w14:textFill>
        </w:rPr>
        <w:t>（7）管线焊接时，使用国家合格的焊条产品</w:t>
      </w:r>
      <w:bookmarkEnd w:id="644"/>
      <w:r>
        <w:rPr>
          <w:rFonts w:hint="eastAsia" w:cs="宋体"/>
          <w:color w:val="000000" w:themeColor="text1"/>
          <w:kern w:val="0"/>
          <w:lang w:bidi="ar"/>
          <w14:textFill>
            <w14:solidFill>
              <w14:schemeClr w14:val="tx1"/>
            </w14:solidFill>
          </w14:textFill>
        </w:rPr>
        <w:t>。</w:t>
      </w:r>
    </w:p>
    <w:p w14:paraId="2826FEFC">
      <w:pPr>
        <w:pStyle w:val="4"/>
        <w:rPr>
          <w:rFonts w:hint="eastAsia"/>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施工期废水污染防治措施</w:t>
      </w:r>
    </w:p>
    <w:p w14:paraId="7B10C6C3">
      <w:pPr>
        <w:pStyle w:val="117"/>
        <w:ind w:firstLine="480"/>
        <w:rPr>
          <w:rFonts w:hint="eastAsia" w:cs="宋体"/>
          <w:color w:val="000000" w:themeColor="text1"/>
          <w:kern w:val="0"/>
          <w:lang w:bidi="ar"/>
          <w14:textFill>
            <w14:solidFill>
              <w14:schemeClr w14:val="tx1"/>
            </w14:solidFill>
          </w14:textFill>
        </w:rPr>
      </w:pPr>
      <w:bookmarkStart w:id="645" w:name="_Hlk80273130"/>
      <w:r>
        <w:rPr>
          <w:rFonts w:hint="eastAsia" w:cs="宋体"/>
          <w:color w:val="000000" w:themeColor="text1"/>
          <w:kern w:val="0"/>
          <w:lang w:bidi="ar"/>
          <w14:textFill>
            <w14:solidFill>
              <w14:schemeClr w14:val="tx1"/>
            </w14:solidFill>
          </w14:textFill>
        </w:rPr>
        <w:t>（1）管道试压采用清水试压，管道试压废水产生量较小，主要污染物为悬浮物，试压结束后，用于项目区洒水抑尘。</w:t>
      </w:r>
    </w:p>
    <w:p w14:paraId="4DA6100A">
      <w:pPr>
        <w:pStyle w:val="117"/>
        <w:ind w:firstLine="480"/>
        <w:rPr>
          <w:rFonts w:hint="eastAsia" w:cs="宋体"/>
          <w:color w:val="000000" w:themeColor="text1"/>
          <w:kern w:val="0"/>
          <w:lang w:bidi="ar"/>
          <w14:textFill>
            <w14:solidFill>
              <w14:schemeClr w14:val="tx1"/>
            </w14:solidFill>
          </w14:textFill>
        </w:rPr>
      </w:pPr>
      <w:r>
        <w:rPr>
          <w:rFonts w:hint="eastAsia" w:cs="宋体"/>
          <w:color w:val="000000" w:themeColor="text1"/>
          <w:kern w:val="0"/>
          <w:lang w:bidi="ar"/>
          <w14:textFill>
            <w14:solidFill>
              <w14:schemeClr w14:val="tx1"/>
            </w14:solidFill>
          </w14:textFill>
        </w:rPr>
        <w:t>（2）</w:t>
      </w:r>
      <w:bookmarkStart w:id="646" w:name="OLE_LINK152"/>
      <w:r>
        <w:rPr>
          <w:rFonts w:hint="eastAsia" w:cs="宋体"/>
          <w:color w:val="000000" w:themeColor="text1"/>
          <w:kern w:val="0"/>
          <w:lang w:bidi="ar"/>
          <w14:textFill>
            <w14:solidFill>
              <w14:schemeClr w14:val="tx1"/>
            </w14:solidFill>
          </w14:textFill>
        </w:rPr>
        <w:t>混凝土养护废水污染物为悬浮物，用于项目区洒水抑尘。</w:t>
      </w:r>
      <w:bookmarkEnd w:id="646"/>
    </w:p>
    <w:p w14:paraId="76C22A5E">
      <w:pPr>
        <w:pStyle w:val="117"/>
        <w:ind w:firstLine="480"/>
        <w:rPr>
          <w:rFonts w:hint="eastAsia" w:cs="宋体"/>
          <w:color w:val="000000" w:themeColor="text1"/>
          <w:kern w:val="0"/>
          <w:lang w:bidi="ar"/>
          <w14:textFill>
            <w14:solidFill>
              <w14:schemeClr w14:val="tx1"/>
            </w14:solidFill>
          </w14:textFill>
        </w:rPr>
      </w:pPr>
      <w:r>
        <w:rPr>
          <w:rFonts w:hint="eastAsia" w:cs="宋体"/>
          <w:color w:val="000000" w:themeColor="text1"/>
          <w:kern w:val="0"/>
          <w:lang w:bidi="ar"/>
          <w14:textFill>
            <w14:solidFill>
              <w14:schemeClr w14:val="tx1"/>
            </w14:solidFill>
          </w14:textFill>
        </w:rPr>
        <w:t>（3）洗井废水由罐车拉运至压裂返排液处理装置处理达标后回用于压裂液复配，不外排。</w:t>
      </w:r>
    </w:p>
    <w:bookmarkEnd w:id="645"/>
    <w:p w14:paraId="11E05715">
      <w:pPr>
        <w:pStyle w:val="4"/>
        <w:rPr>
          <w:rFonts w:hint="eastAsia"/>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施工期噪声污染防治措施</w:t>
      </w:r>
    </w:p>
    <w:p w14:paraId="667968B7">
      <w:pPr>
        <w:pStyle w:val="117"/>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（1）在设备选型上要求采用低噪声的设备，施工设备定期检维修，</w:t>
      </w:r>
      <w:bookmarkStart w:id="647" w:name="OLE_LINK155"/>
      <w:r>
        <w:rPr>
          <w:rFonts w:hint="eastAsia"/>
          <w:color w:val="000000" w:themeColor="text1"/>
          <w14:textFill>
            <w14:solidFill>
              <w14:schemeClr w14:val="tx1"/>
            </w14:solidFill>
          </w14:textFill>
        </w:rPr>
        <w:t>对噪声</w:t>
      </w:r>
      <w:r>
        <w:rPr>
          <w:color w:val="000000" w:themeColor="text1"/>
          <w14:textFill>
            <w14:solidFill>
              <w14:schemeClr w14:val="tx1"/>
            </w14:solidFill>
          </w14:textFill>
        </w:rPr>
        <w:t>较大的设备采取</w:t>
      </w:r>
      <w:r>
        <w:rPr>
          <w:rFonts w:hint="eastAsia"/>
          <w:color w:val="000000" w:themeColor="text1"/>
          <w14:textFill>
            <w14:solidFill>
              <w14:schemeClr w14:val="tx1"/>
            </w14:solidFill>
          </w14:textFill>
        </w:rPr>
        <w:t>基础减振措施</w:t>
      </w:r>
      <w:bookmarkEnd w:id="647"/>
      <w:r>
        <w:rPr>
          <w:rFonts w:hint="eastAsia"/>
          <w:color w:val="000000" w:themeColor="text1"/>
          <w14:textFill>
            <w14:solidFill>
              <w14:schemeClr w14:val="tx1"/>
            </w14:solidFill>
          </w14:textFill>
        </w:rPr>
        <w:t>。</w:t>
      </w:r>
    </w:p>
    <w:p w14:paraId="5AB31523">
      <w:pPr>
        <w:pStyle w:val="117"/>
        <w:ind w:firstLine="468"/>
        <w:rPr>
          <w:rFonts w:hint="eastAsia"/>
          <w:color w:val="000000" w:themeColor="text1"/>
          <w:spacing w:val="-6"/>
          <w14:textFill>
            <w14:solidFill>
              <w14:schemeClr w14:val="tx1"/>
            </w14:solidFill>
          </w14:textFill>
        </w:rPr>
      </w:pPr>
      <w:r>
        <w:rPr>
          <w:rFonts w:hint="eastAsia"/>
          <w:color w:val="000000" w:themeColor="text1"/>
          <w:spacing w:val="-6"/>
          <w14:textFill>
            <w14:solidFill>
              <w14:schemeClr w14:val="tx1"/>
            </w14:solidFill>
          </w14:textFill>
        </w:rPr>
        <w:t>（2）</w:t>
      </w:r>
      <w:bookmarkStart w:id="648" w:name="OLE_LINK156"/>
      <w:r>
        <w:rPr>
          <w:rFonts w:hint="eastAsia"/>
          <w:color w:val="000000" w:themeColor="text1"/>
          <w:spacing w:val="-6"/>
          <w14:textFill>
            <w14:solidFill>
              <w14:schemeClr w14:val="tx1"/>
            </w14:solidFill>
          </w14:textFill>
        </w:rPr>
        <w:t>加强施工场地管理，合理疏导进入施工区的车辆，禁止运输车辆随意高声鸣笛。</w:t>
      </w:r>
    </w:p>
    <w:bookmarkEnd w:id="648"/>
    <w:p w14:paraId="233EC5B2">
      <w:pPr>
        <w:pStyle w:val="117"/>
        <w:ind w:firstLine="468"/>
        <w:rPr>
          <w:rFonts w:hint="eastAsia"/>
          <w:color w:val="000000" w:themeColor="text1"/>
          <w:spacing w:val="-6"/>
          <w14:textFill>
            <w14:solidFill>
              <w14:schemeClr w14:val="tx1"/>
            </w14:solidFill>
          </w14:textFill>
        </w:rPr>
      </w:pPr>
      <w:r>
        <w:rPr>
          <w:rFonts w:hint="eastAsia"/>
          <w:color w:val="000000" w:themeColor="text1"/>
          <w:spacing w:val="-6"/>
          <w14:textFill>
            <w14:solidFill>
              <w14:schemeClr w14:val="tx1"/>
            </w14:solidFill>
          </w14:textFill>
        </w:rPr>
        <w:t>采取以上措施后，施工边界噪声符合《建筑施工场界环境噪声排放标准》（B12523-2011）中的相关要求。</w:t>
      </w:r>
    </w:p>
    <w:p w14:paraId="3A32F94F">
      <w:pPr>
        <w:pStyle w:val="4"/>
        <w:rPr>
          <w:rFonts w:hint="eastAsia"/>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施工期固体废物防治措施</w:t>
      </w:r>
    </w:p>
    <w:p w14:paraId="509315A7">
      <w:pPr>
        <w:pStyle w:val="117"/>
        <w:ind w:firstLine="480"/>
        <w:rPr>
          <w:rFonts w:hint="eastAsia"/>
          <w:color w:val="000000" w:themeColor="text1"/>
          <w14:textFill>
            <w14:solidFill>
              <w14:schemeClr w14:val="tx1"/>
            </w14:solidFill>
          </w14:textFill>
        </w:rPr>
      </w:pPr>
      <w:bookmarkStart w:id="649" w:name="_Hlk511374887"/>
      <w:r>
        <w:rPr>
          <w:rFonts w:hint="eastAsia"/>
          <w:color w:val="000000" w:themeColor="text1"/>
          <w14:textFill>
            <w14:solidFill>
              <w14:schemeClr w14:val="tx1"/>
            </w14:solidFill>
          </w14:textFill>
        </w:rPr>
        <w:t>（1）建筑垃圾集中收集后送至当地建筑垃圾填埋场进行填埋处理。</w:t>
      </w:r>
      <w:bookmarkStart w:id="650" w:name="_Hlk40359615"/>
    </w:p>
    <w:bookmarkEnd w:id="650"/>
    <w:p w14:paraId="35B28C39">
      <w:pPr>
        <w:pStyle w:val="117"/>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w:t>
      </w:r>
      <w:r>
        <w:rPr>
          <w:color w:val="000000" w:themeColor="text1"/>
          <w14:textFill>
            <w14:solidFill>
              <w14:schemeClr w14:val="tx1"/>
            </w14:solidFill>
          </w14:textFill>
        </w:rPr>
        <w:t>2</w:t>
      </w:r>
      <w:r>
        <w:rPr>
          <w:rFonts w:hint="eastAsia"/>
          <w:color w:val="000000" w:themeColor="text1"/>
          <w14:textFill>
            <w14:solidFill>
              <w14:schemeClr w14:val="tx1"/>
            </w14:solidFill>
          </w14:textFill>
        </w:rPr>
        <w:t>）施工单位应严格按照《中华人民共和国固体废物污染环境防治法》的要求对建筑垃圾进行妥善处置，具体措施如下：</w:t>
      </w:r>
    </w:p>
    <w:p w14:paraId="1DBA3768">
      <w:pPr>
        <w:pStyle w:val="117"/>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①编制建筑垃圾处理方案，采取污染防治措施，并报相关人民政府环境卫生主管部门备案。</w:t>
      </w:r>
    </w:p>
    <w:p w14:paraId="0BEC5C50">
      <w:pPr>
        <w:pStyle w:val="117"/>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②及时清运工程施工过程中产生的建筑垃圾等固体废物，并按照当地环境卫生主管部门的规定进行利用或者处置。施工建筑垃圾中的一部分如建筑废模块、建筑材料下脚料、废管材、断残钢筋头等可以回收利用的优先回收利用；另一部分无法回收利用的，施工单位集中收集后送至当地建筑垃圾填埋场处理。</w:t>
      </w:r>
    </w:p>
    <w:p w14:paraId="059E2024">
      <w:pPr>
        <w:pStyle w:val="117"/>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③</w:t>
      </w:r>
      <w:bookmarkStart w:id="651" w:name="_Hlk148007974"/>
      <w:r>
        <w:rPr>
          <w:rFonts w:hint="eastAsia"/>
          <w:color w:val="000000" w:themeColor="text1"/>
          <w14:textFill>
            <w14:solidFill>
              <w14:schemeClr w14:val="tx1"/>
            </w14:solidFill>
          </w14:textFill>
        </w:rPr>
        <w:t>不得擅自倾倒、抛撒或者堆放工程施工过程中产生的建筑垃圾，</w:t>
      </w:r>
      <w:bookmarkEnd w:id="651"/>
      <w:r>
        <w:rPr>
          <w:rFonts w:hint="eastAsia"/>
          <w:color w:val="000000" w:themeColor="text1"/>
          <w14:textFill>
            <w14:solidFill>
              <w14:schemeClr w14:val="tx1"/>
            </w14:solidFill>
          </w14:textFill>
        </w:rPr>
        <w:t>做到及时处置，避免占用土地对城市景观造成不良影响。</w:t>
      </w:r>
    </w:p>
    <w:p w14:paraId="1E43A599">
      <w:pPr>
        <w:pStyle w:val="117"/>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w:t>
      </w:r>
      <w:r>
        <w:rPr>
          <w:color w:val="000000" w:themeColor="text1"/>
          <w14:textFill>
            <w14:solidFill>
              <w14:schemeClr w14:val="tx1"/>
            </w14:solidFill>
          </w14:textFill>
        </w:rPr>
        <w:t>3</w:t>
      </w:r>
      <w:r>
        <w:rPr>
          <w:rFonts w:hint="eastAsia"/>
          <w:color w:val="000000" w:themeColor="text1"/>
          <w14:textFill>
            <w14:solidFill>
              <w14:schemeClr w14:val="tx1"/>
            </w14:solidFill>
          </w14:textFill>
        </w:rPr>
        <w:t>）运输过程中，</w:t>
      </w:r>
      <w:bookmarkStart w:id="652" w:name="_Hlk148007984"/>
      <w:r>
        <w:rPr>
          <w:rFonts w:hint="eastAsia"/>
          <w:color w:val="000000" w:themeColor="text1"/>
          <w14:textFill>
            <w14:solidFill>
              <w14:schemeClr w14:val="tx1"/>
            </w14:solidFill>
          </w14:textFill>
        </w:rPr>
        <w:t>运输车辆均加盖篷布，以防止行驶过程中固体废物的散落。</w:t>
      </w:r>
      <w:bookmarkEnd w:id="652"/>
    </w:p>
    <w:p w14:paraId="2434B1FB">
      <w:pPr>
        <w:pStyle w:val="117"/>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w:t>
      </w:r>
      <w:r>
        <w:rPr>
          <w:color w:val="000000" w:themeColor="text1"/>
          <w14:textFill>
            <w14:solidFill>
              <w14:schemeClr w14:val="tx1"/>
            </w14:solidFill>
          </w14:textFill>
        </w:rPr>
        <w:t>4</w:t>
      </w:r>
      <w:r>
        <w:rPr>
          <w:rFonts w:hint="eastAsia"/>
          <w:color w:val="000000" w:themeColor="text1"/>
          <w14:textFill>
            <w14:solidFill>
              <w14:schemeClr w14:val="tx1"/>
            </w14:solidFill>
          </w14:textFill>
        </w:rPr>
        <w:t>）施工结束后，站场废物全部进行清理，对可回收物优先回收处理，做到“工完、料尽、场地清”。</w:t>
      </w:r>
    </w:p>
    <w:p w14:paraId="149CA408">
      <w:pPr>
        <w:pStyle w:val="117"/>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（5）新建管线施工产生的土方在管线施工结束后回填在管堤上，并实施压实平整水土保持措施，不产生集中弃土。</w:t>
      </w:r>
    </w:p>
    <w:p w14:paraId="584D8313">
      <w:pPr>
        <w:pStyle w:val="117"/>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（6）通井、刮井时产生的含油废渣不在项目区暂存，临时暂存在吉祥联合站危险废物暂存间暂存，最终交由有相应危险废物处理资质的单位回收处置。</w:t>
      </w:r>
    </w:p>
    <w:p w14:paraId="30AA4446">
      <w:pPr>
        <w:pStyle w:val="4"/>
        <w:rPr>
          <w:rFonts w:hint="eastAsia"/>
          <w:color w:val="000000" w:themeColor="text1"/>
          <w14:textFill>
            <w14:solidFill>
              <w14:schemeClr w14:val="tx1"/>
            </w14:solidFill>
          </w14:textFill>
        </w:rPr>
      </w:pPr>
      <w:r>
        <w:rPr>
          <w:rFonts w:hint="eastAsia"/>
          <w:color w:val="000000" w:themeColor="text1"/>
          <w:lang w:val="zh-CN"/>
          <w14:textFill>
            <w14:solidFill>
              <w14:schemeClr w14:val="tx1"/>
            </w14:solidFill>
          </w14:textFill>
        </w:rPr>
        <w:t>施工期土壤污染防治措施</w:t>
      </w:r>
    </w:p>
    <w:bookmarkEnd w:id="649"/>
    <w:p w14:paraId="0F09F924">
      <w:pPr>
        <w:spacing w:line="480" w:lineRule="exact"/>
        <w:ind w:firstLine="480" w:firstLineChars="200"/>
        <w:rPr>
          <w:rFonts w:hint="eastAsia" w:ascii="宋体" w:hAnsi="宋体"/>
          <w:color w:val="000000" w:themeColor="text1"/>
          <w:kern w:val="0"/>
          <w:sz w:val="24"/>
          <w:szCs w:val="24"/>
          <w14:textFill>
            <w14:solidFill>
              <w14:schemeClr w14:val="tx1"/>
            </w14:solidFill>
          </w14:textFill>
        </w:rPr>
      </w:pPr>
      <w:bookmarkStart w:id="653" w:name="_Hlk40721133"/>
      <w:r>
        <w:rPr>
          <w:rFonts w:hint="eastAsia" w:ascii="宋体" w:hAnsi="宋体"/>
          <w:color w:val="000000" w:themeColor="text1"/>
          <w:kern w:val="0"/>
          <w:sz w:val="24"/>
          <w:szCs w:val="24"/>
          <w14:textFill>
            <w14:solidFill>
              <w14:schemeClr w14:val="tx1"/>
            </w14:solidFill>
          </w14:textFill>
        </w:rPr>
        <w:t>（1）严格控制施工期占地面积，按设计及规划的施工范围进行施工作业，减少土壤扰动。</w:t>
      </w:r>
    </w:p>
    <w:p w14:paraId="0CA7870A">
      <w:pPr>
        <w:spacing w:line="480" w:lineRule="exact"/>
        <w:ind w:firstLine="480" w:firstLineChars="200"/>
        <w:rPr>
          <w:rFonts w:hint="eastAsia" w:ascii="宋体" w:hAnsi="宋体"/>
          <w:color w:val="000000" w:themeColor="text1"/>
          <w:kern w:val="0"/>
          <w:sz w:val="24"/>
          <w:szCs w:val="24"/>
          <w14:textFill>
            <w14:solidFill>
              <w14:schemeClr w14:val="tx1"/>
            </w14:solidFill>
          </w14:textFill>
        </w:rPr>
      </w:pPr>
      <w:r>
        <w:rPr>
          <w:rFonts w:hint="eastAsia" w:ascii="宋体" w:hAnsi="宋体"/>
          <w:color w:val="000000" w:themeColor="text1"/>
          <w:kern w:val="0"/>
          <w:sz w:val="24"/>
          <w:szCs w:val="24"/>
          <w14:textFill>
            <w14:solidFill>
              <w14:schemeClr w14:val="tx1"/>
            </w14:solidFill>
          </w14:textFill>
        </w:rPr>
        <w:t>（2）施工机械及运输车辆应按规定的道路行驶，减少对土壤的碾压，减少碾压造成的土壤紧实度增加及养分流失。</w:t>
      </w:r>
    </w:p>
    <w:p w14:paraId="11F43D83">
      <w:pPr>
        <w:spacing w:line="480" w:lineRule="exact"/>
        <w:ind w:firstLine="480" w:firstLineChars="200"/>
        <w:rPr>
          <w:rFonts w:hint="eastAsia" w:ascii="宋体" w:hAnsi="宋体"/>
          <w:color w:val="000000" w:themeColor="text1"/>
          <w:kern w:val="0"/>
          <w:sz w:val="24"/>
          <w:szCs w:val="24"/>
          <w14:textFill>
            <w14:solidFill>
              <w14:schemeClr w14:val="tx1"/>
            </w14:solidFill>
          </w14:textFill>
        </w:rPr>
      </w:pPr>
      <w:r>
        <w:rPr>
          <w:rFonts w:hint="eastAsia" w:ascii="宋体" w:hAnsi="宋体"/>
          <w:color w:val="000000" w:themeColor="text1"/>
          <w:kern w:val="0"/>
          <w:sz w:val="24"/>
          <w:szCs w:val="24"/>
          <w14:textFill>
            <w14:solidFill>
              <w14:schemeClr w14:val="tx1"/>
            </w14:solidFill>
          </w14:textFill>
        </w:rPr>
        <w:t>（3）施工产生的建筑垃圾不得随意抛洒，应集中收集并及时清运，防止污染物进入土壤环境造成污染。</w:t>
      </w:r>
    </w:p>
    <w:p w14:paraId="61E88AE0">
      <w:pPr>
        <w:spacing w:line="480" w:lineRule="exact"/>
        <w:ind w:firstLine="480" w:firstLineChars="200"/>
        <w:rPr>
          <w:rFonts w:hint="eastAsia" w:ascii="宋体" w:hAnsi="宋体"/>
          <w:color w:val="000000" w:themeColor="text1"/>
          <w:kern w:val="0"/>
          <w:sz w:val="24"/>
          <w:szCs w:val="24"/>
          <w14:textFill>
            <w14:solidFill>
              <w14:schemeClr w14:val="tx1"/>
            </w14:solidFill>
          </w14:textFill>
        </w:rPr>
      </w:pPr>
      <w:r>
        <w:rPr>
          <w:rFonts w:hint="eastAsia" w:ascii="宋体" w:hAnsi="宋体"/>
          <w:color w:val="000000" w:themeColor="text1"/>
          <w:kern w:val="0"/>
          <w:sz w:val="24"/>
          <w:szCs w:val="24"/>
          <w14:textFill>
            <w14:solidFill>
              <w14:schemeClr w14:val="tx1"/>
            </w14:solidFill>
          </w14:textFill>
        </w:rPr>
        <w:t>（4）表层土壤集中堆放，用于临时占地复垦；管沟开挖，做到土壤的分层堆放，分类回填，在施工完毕后回铺于地表，减轻对土壤的破坏，以利于植被的恢复和生长。</w:t>
      </w:r>
    </w:p>
    <w:p w14:paraId="3124ADBC">
      <w:pPr>
        <w:pStyle w:val="4"/>
        <w:rPr>
          <w:rFonts w:hint="eastAsia"/>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施工期生态环境保护措施</w:t>
      </w:r>
    </w:p>
    <w:bookmarkEnd w:id="653"/>
    <w:p w14:paraId="6729D086">
      <w:pPr>
        <w:pStyle w:val="117"/>
        <w:ind w:firstLine="480"/>
        <w:rPr>
          <w:rFonts w:hint="eastAsia" w:cs="宋体"/>
          <w:color w:val="000000" w:themeColor="text1"/>
          <w14:textFill>
            <w14:solidFill>
              <w14:schemeClr w14:val="tx1"/>
            </w14:solidFill>
          </w14:textFill>
        </w:rPr>
      </w:pPr>
      <w:bookmarkStart w:id="654" w:name="_Hlk40721680"/>
      <w:bookmarkStart w:id="655" w:name="_Hlk147587129"/>
      <w:bookmarkStart w:id="656" w:name="_Hlk173405318"/>
      <w:bookmarkStart w:id="657" w:name="_Hlk80648419"/>
      <w:r>
        <w:rPr>
          <w:rFonts w:hint="eastAsia" w:cs="宋体"/>
          <w:color w:val="000000" w:themeColor="text1"/>
          <w14:textFill>
            <w14:solidFill>
              <w14:schemeClr w14:val="tx1"/>
            </w14:solidFill>
          </w14:textFill>
        </w:rPr>
        <w:t>（1）井场和预处理注入站生态环境保护措施</w:t>
      </w:r>
    </w:p>
    <w:p w14:paraId="4A318C9B">
      <w:pPr>
        <w:pStyle w:val="117"/>
        <w:ind w:firstLine="480"/>
        <w:rPr>
          <w:rFonts w:hint="eastAsia"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①避让措施：预处理注入站选址时尽可能避开植被密集区域，尽可能距各井口距离较短。</w:t>
      </w:r>
    </w:p>
    <w:p w14:paraId="69EBEDAC">
      <w:pPr>
        <w:pStyle w:val="117"/>
        <w:ind w:firstLine="480"/>
        <w:rPr>
          <w:rFonts w:hint="eastAsia"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②</w:t>
      </w:r>
      <w:bookmarkStart w:id="658" w:name="OLE_LINK158"/>
      <w:r>
        <w:rPr>
          <w:rFonts w:hint="eastAsia" w:cs="宋体"/>
          <w:color w:val="000000" w:themeColor="text1"/>
          <w14:textFill>
            <w14:solidFill>
              <w14:schemeClr w14:val="tx1"/>
            </w14:solidFill>
          </w14:textFill>
        </w:rPr>
        <w:t>合理布置预处理注入站和井场内的各类设备，尽量减少工程占地，</w:t>
      </w:r>
      <w:bookmarkEnd w:id="658"/>
      <w:r>
        <w:rPr>
          <w:rFonts w:hint="eastAsia" w:cs="宋体"/>
          <w:color w:val="000000" w:themeColor="text1"/>
          <w14:textFill>
            <w14:solidFill>
              <w14:schemeClr w14:val="tx1"/>
            </w14:solidFill>
          </w14:textFill>
        </w:rPr>
        <w:t>严禁超范围施工。</w:t>
      </w:r>
    </w:p>
    <w:p w14:paraId="1B09D7BF">
      <w:pPr>
        <w:pStyle w:val="117"/>
        <w:ind w:firstLine="480"/>
        <w:rPr>
          <w:rFonts w:hint="eastAsia"/>
          <w:color w:val="000000" w:themeColor="text1"/>
          <w14:textFill>
            <w14:solidFill>
              <w14:schemeClr w14:val="tx1"/>
            </w14:solidFill>
          </w14:textFill>
        </w:rPr>
      </w:pPr>
      <w:r>
        <w:rPr>
          <w:rFonts w:hint="eastAsia" w:cs="宋体"/>
          <w:color w:val="000000" w:themeColor="text1"/>
          <w14:textFill>
            <w14:solidFill>
              <w14:schemeClr w14:val="tx1"/>
            </w14:solidFill>
          </w14:textFill>
        </w:rPr>
        <w:t>③</w:t>
      </w:r>
      <w:bookmarkStart w:id="659" w:name="OLE_LINK164"/>
      <w:r>
        <w:rPr>
          <w:rFonts w:hint="eastAsia"/>
          <w:color w:val="000000" w:themeColor="text1"/>
          <w14:textFill>
            <w14:solidFill>
              <w14:schemeClr w14:val="tx1"/>
            </w14:solidFill>
          </w14:textFill>
        </w:rPr>
        <w:t>施工过程中严格规定车辆和各类工作人员的活动范围，使之限于在施工区范围内活动，不随意</w:t>
      </w:r>
      <w:r>
        <w:rPr>
          <w:color w:val="000000" w:themeColor="text1"/>
          <w14:textFill>
            <w14:solidFill>
              <w14:schemeClr w14:val="tx1"/>
            </w14:solidFill>
          </w14:textFill>
        </w:rPr>
        <w:t>踩踏砍伐野生植被</w:t>
      </w:r>
      <w:r>
        <w:rPr>
          <w:rFonts w:hint="eastAsia"/>
          <w:color w:val="000000" w:themeColor="text1"/>
          <w14:textFill>
            <w14:solidFill>
              <w14:schemeClr w14:val="tx1"/>
            </w14:solidFill>
          </w14:textFill>
        </w:rPr>
        <w:t>，尽量不侵扰野生动物的栖息地。</w:t>
      </w:r>
      <w:bookmarkEnd w:id="659"/>
    </w:p>
    <w:p w14:paraId="63A68251">
      <w:pPr>
        <w:pStyle w:val="117"/>
        <w:ind w:firstLine="480"/>
        <w:rPr>
          <w:rFonts w:hint="eastAsia" w:cs="宋体"/>
          <w:color w:val="000000" w:themeColor="text1"/>
          <w14:textFill>
            <w14:solidFill>
              <w14:schemeClr w14:val="tx1"/>
            </w14:solidFill>
          </w14:textFill>
        </w:rPr>
      </w:pPr>
      <w:r>
        <w:rPr>
          <w:rFonts w:hint="eastAsia"/>
          <w:color w:val="000000" w:themeColor="text1"/>
          <w14:textFill>
            <w14:solidFill>
              <w14:schemeClr w14:val="tx1"/>
            </w14:solidFill>
          </w14:textFill>
        </w:rPr>
        <w:t>④站场施工在开挖地表、平整土地时，临时堆土必须进行拦挡，施工完毕，应尽快整理施工现场；对采油平台和计量站采用砾石铺垫等地面硬化处理；</w:t>
      </w:r>
    </w:p>
    <w:p w14:paraId="05E245A8">
      <w:pPr>
        <w:pStyle w:val="117"/>
        <w:ind w:firstLine="480"/>
        <w:rPr>
          <w:rFonts w:hint="eastAsia"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（2）管线工程生态环境保护措施</w:t>
      </w:r>
    </w:p>
    <w:p w14:paraId="5496E48B">
      <w:pPr>
        <w:pStyle w:val="117"/>
        <w:ind w:firstLine="480"/>
        <w:rPr>
          <w:rFonts w:hint="eastAsia" w:ascii="等线" w:hAnsi="等线"/>
          <w:color w:val="000000" w:themeColor="text1"/>
          <w14:textFill>
            <w14:solidFill>
              <w14:schemeClr w14:val="tx1"/>
            </w14:solidFill>
          </w14:textFill>
        </w:rPr>
      </w:pPr>
      <w:r>
        <w:rPr>
          <w:rFonts w:hint="eastAsia" w:cs="宋体"/>
          <w:color w:val="000000" w:themeColor="text1"/>
          <w14:textFill>
            <w14:solidFill>
              <w14:schemeClr w14:val="tx1"/>
            </w14:solidFill>
          </w14:textFill>
        </w:rPr>
        <w:t>①避让措施：</w:t>
      </w:r>
      <w:bookmarkStart w:id="660" w:name="_Hlk148007318"/>
      <w:r>
        <w:rPr>
          <w:rFonts w:hint="eastAsia" w:cs="宋体"/>
          <w:color w:val="000000" w:themeColor="text1"/>
          <w14:textFill>
            <w14:solidFill>
              <w14:schemeClr w14:val="tx1"/>
            </w14:solidFill>
          </w14:textFill>
        </w:rPr>
        <w:t>单井采油管线、集油支线和单井注气管线选线过程中在满足设计需求的前提下，尽量避开植被密集区域，集油支线尽可能沿油区已建道路敷设；施工过程中尽量</w:t>
      </w:r>
      <w:r>
        <w:rPr>
          <w:rFonts w:hint="eastAsia" w:ascii="等线" w:hAnsi="等线"/>
          <w:color w:val="000000" w:themeColor="text1"/>
          <w14:textFill>
            <w14:solidFill>
              <w14:schemeClr w14:val="tx1"/>
            </w14:solidFill>
          </w14:textFill>
        </w:rPr>
        <w:t>避免破坏野生植物，最大限度避免破坏野生动物的活动场所和生存环境</w:t>
      </w:r>
      <w:bookmarkEnd w:id="660"/>
      <w:r>
        <w:rPr>
          <w:rFonts w:hint="eastAsia" w:ascii="等线" w:hAnsi="等线"/>
          <w:color w:val="000000" w:themeColor="text1"/>
          <w14:textFill>
            <w14:solidFill>
              <w14:schemeClr w14:val="tx1"/>
            </w14:solidFill>
          </w14:textFill>
        </w:rPr>
        <w:t>。</w:t>
      </w:r>
    </w:p>
    <w:p w14:paraId="3BCA9046">
      <w:pPr>
        <w:pStyle w:val="117"/>
        <w:ind w:firstLine="480"/>
        <w:rPr>
          <w:rFonts w:hint="eastAsia"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②</w:t>
      </w:r>
      <w:bookmarkStart w:id="661" w:name="OLE_LINK165"/>
      <w:bookmarkStart w:id="662" w:name="_Hlk148007330"/>
      <w:r>
        <w:rPr>
          <w:rFonts w:hint="eastAsia" w:cs="宋体"/>
          <w:color w:val="000000" w:themeColor="text1"/>
          <w14:textFill>
            <w14:solidFill>
              <w14:schemeClr w14:val="tx1"/>
            </w14:solidFill>
          </w14:textFill>
        </w:rPr>
        <w:t>严格控制施工作业带宽度，管线施工作业带宽度不超过12m。</w:t>
      </w:r>
      <w:bookmarkEnd w:id="661"/>
    </w:p>
    <w:p w14:paraId="650D96DC">
      <w:pPr>
        <w:pStyle w:val="117"/>
        <w:ind w:firstLine="480"/>
        <w:rPr>
          <w:rFonts w:hint="eastAsia" w:cs="宋体"/>
          <w:color w:val="000000" w:themeColor="text1"/>
          <w:spacing w:val="-2"/>
          <w:lang w:bidi="ar"/>
          <w14:textFill>
            <w14:solidFill>
              <w14:schemeClr w14:val="tx1"/>
            </w14:solidFill>
          </w14:textFill>
        </w:rPr>
      </w:pPr>
      <w:r>
        <w:rPr>
          <w:rFonts w:hint="eastAsia"/>
          <w:color w:val="000000" w:themeColor="text1"/>
          <w:lang w:bidi="ar"/>
          <w14:textFill>
            <w14:solidFill>
              <w14:schemeClr w14:val="tx1"/>
            </w14:solidFill>
          </w14:textFill>
        </w:rPr>
        <w:t>③</w:t>
      </w:r>
      <w:r>
        <w:rPr>
          <w:color w:val="000000" w:themeColor="text1"/>
          <w:lang w:bidi="ar"/>
          <w14:textFill>
            <w14:solidFill>
              <w14:schemeClr w14:val="tx1"/>
            </w14:solidFill>
          </w14:textFill>
        </w:rPr>
        <w:t>管沟应分层开挖、分层堆放、分层回填，特别是表层土壤分层堆放，以保护植被生长层，</w:t>
      </w:r>
      <w:bookmarkEnd w:id="662"/>
      <w:r>
        <w:rPr>
          <w:color w:val="000000" w:themeColor="text1"/>
          <w:lang w:bidi="ar"/>
          <w14:textFill>
            <w14:solidFill>
              <w14:schemeClr w14:val="tx1"/>
            </w14:solidFill>
          </w14:textFill>
        </w:rPr>
        <w:t>降低对土壤养分的影响，尽快使土壤恢复生产力，同时减少水土流失；</w:t>
      </w:r>
      <w:bookmarkStart w:id="663" w:name="OLE_LINK168"/>
      <w:r>
        <w:rPr>
          <w:rFonts w:hint="eastAsia"/>
          <w:color w:val="000000" w:themeColor="text1"/>
          <w:lang w:bidi="ar"/>
          <w14:textFill>
            <w14:solidFill>
              <w14:schemeClr w14:val="tx1"/>
            </w14:solidFill>
          </w14:textFill>
        </w:rPr>
        <w:t>表层土单独堆放，主要用于临时占地恢复</w:t>
      </w:r>
      <w:bookmarkEnd w:id="663"/>
      <w:r>
        <w:rPr>
          <w:rFonts w:hint="eastAsia"/>
          <w:color w:val="000000" w:themeColor="text1"/>
          <w:lang w:bidi="ar"/>
          <w14:textFill>
            <w14:solidFill>
              <w14:schemeClr w14:val="tx1"/>
            </w14:solidFill>
          </w14:textFill>
        </w:rPr>
        <w:t>；</w:t>
      </w:r>
      <w:r>
        <w:rPr>
          <w:color w:val="000000" w:themeColor="text1"/>
          <w:lang w:bidi="ar"/>
          <w14:textFill>
            <w14:solidFill>
              <w14:schemeClr w14:val="tx1"/>
            </w14:solidFill>
          </w14:textFill>
        </w:rPr>
        <w:t>土石方不得随意堆放，应集中堆</w:t>
      </w:r>
      <w:r>
        <w:rPr>
          <w:rFonts w:hint="eastAsia"/>
          <w:color w:val="000000" w:themeColor="text1"/>
          <w:lang w:bidi="ar"/>
          <w14:textFill>
            <w14:solidFill>
              <w14:schemeClr w14:val="tx1"/>
            </w14:solidFill>
          </w14:textFill>
        </w:rPr>
        <w:t>置于</w:t>
      </w:r>
      <w:r>
        <w:rPr>
          <w:color w:val="000000" w:themeColor="text1"/>
          <w:lang w:bidi="ar"/>
          <w14:textFill>
            <w14:solidFill>
              <w14:schemeClr w14:val="tx1"/>
            </w14:solidFill>
          </w14:textFill>
        </w:rPr>
        <w:t>管沟一侧</w:t>
      </w:r>
      <w:bookmarkEnd w:id="654"/>
      <w:bookmarkEnd w:id="655"/>
      <w:bookmarkEnd w:id="656"/>
      <w:bookmarkStart w:id="664" w:name="OLE_LINK8"/>
      <w:bookmarkStart w:id="665" w:name="_Hlk147587221"/>
      <w:bookmarkStart w:id="666" w:name="_Hlk80202941"/>
      <w:r>
        <w:rPr>
          <w:rFonts w:hint="eastAsia"/>
          <w:color w:val="000000" w:themeColor="text1"/>
          <w:lang w:bidi="ar"/>
          <w14:textFill>
            <w14:solidFill>
              <w14:schemeClr w14:val="tx1"/>
            </w14:solidFill>
          </w14:textFill>
        </w:rPr>
        <w:t>。</w:t>
      </w:r>
    </w:p>
    <w:bookmarkEnd w:id="639"/>
    <w:bookmarkEnd w:id="640"/>
    <w:bookmarkEnd w:id="641"/>
    <w:bookmarkEnd w:id="657"/>
    <w:bookmarkEnd w:id="664"/>
    <w:bookmarkEnd w:id="665"/>
    <w:bookmarkEnd w:id="666"/>
    <w:p w14:paraId="5561500F">
      <w:pPr>
        <w:pStyle w:val="2"/>
        <w:rPr>
          <w:rFonts w:hint="eastAsia"/>
          <w:color w:val="000000" w:themeColor="text1"/>
          <w:lang w:val="zh-CN"/>
          <w14:textFill>
            <w14:solidFill>
              <w14:schemeClr w14:val="tx1"/>
            </w14:solidFill>
          </w14:textFill>
        </w:rPr>
      </w:pPr>
      <w:bookmarkStart w:id="667" w:name="_Toc12323"/>
      <w:bookmarkStart w:id="668" w:name="_Toc445842144"/>
      <w:bookmarkStart w:id="669" w:name="_Toc4185"/>
      <w:bookmarkStart w:id="670" w:name="_Toc459026595"/>
      <w:bookmarkStart w:id="671" w:name="_Toc475624489"/>
      <w:bookmarkStart w:id="672" w:name="_Toc216260315"/>
      <w:bookmarkStart w:id="673" w:name="_Toc445996464"/>
      <w:bookmarkStart w:id="674" w:name="_Toc22137"/>
      <w:bookmarkStart w:id="675" w:name="_Toc445840421"/>
      <w:bookmarkStart w:id="676" w:name="_Toc448413620"/>
      <w:r>
        <w:rPr>
          <w:rFonts w:hint="eastAsia"/>
          <w:color w:val="000000" w:themeColor="text1"/>
          <w:lang w:val="zh-CN"/>
          <w14:textFill>
            <w14:solidFill>
              <w14:schemeClr w14:val="tx1"/>
            </w14:solidFill>
          </w14:textFill>
        </w:rPr>
        <w:t>运营期环境</w:t>
      </w:r>
      <w:r>
        <w:rPr>
          <w:color w:val="000000" w:themeColor="text1"/>
          <w:lang w:val="zh-CN"/>
          <w14:textFill>
            <w14:solidFill>
              <w14:schemeClr w14:val="tx1"/>
            </w14:solidFill>
          </w14:textFill>
        </w:rPr>
        <w:t>保护措施</w:t>
      </w:r>
      <w:bookmarkEnd w:id="667"/>
      <w:bookmarkEnd w:id="668"/>
      <w:bookmarkEnd w:id="669"/>
      <w:bookmarkEnd w:id="670"/>
      <w:bookmarkEnd w:id="671"/>
      <w:bookmarkEnd w:id="672"/>
      <w:bookmarkEnd w:id="673"/>
      <w:bookmarkEnd w:id="674"/>
      <w:bookmarkEnd w:id="675"/>
      <w:bookmarkEnd w:id="676"/>
      <w:bookmarkStart w:id="677" w:name="_Toc445996465"/>
      <w:bookmarkStart w:id="678" w:name="_Toc7470"/>
      <w:bookmarkStart w:id="679" w:name="_Toc445842145"/>
    </w:p>
    <w:p w14:paraId="11493CFF">
      <w:pPr>
        <w:pStyle w:val="4"/>
        <w:rPr>
          <w:rFonts w:hint="eastAsia"/>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运营期大气污染防治措施</w:t>
      </w:r>
    </w:p>
    <w:p w14:paraId="41B5CB8B">
      <w:pPr>
        <w:pStyle w:val="191"/>
        <w:ind w:firstLine="480"/>
        <w:rPr>
          <w:rFonts w:hint="eastAsia"/>
          <w:color w:val="000000" w:themeColor="text1"/>
          <w14:textFill>
            <w14:solidFill>
              <w14:schemeClr w14:val="tx1"/>
            </w14:solidFill>
          </w14:textFill>
        </w:rPr>
      </w:pPr>
      <w:bookmarkStart w:id="680" w:name="OLE_LINK90"/>
      <w:r>
        <w:rPr>
          <w:rFonts w:hint="eastAsia"/>
          <w:color w:val="000000" w:themeColor="text1"/>
          <w14:textFill>
            <w14:solidFill>
              <w14:schemeClr w14:val="tx1"/>
            </w14:solidFill>
          </w14:textFill>
        </w:rPr>
        <w:t>参照《陆上石油天然气开采工业大气污染物排放标准》（GB39728-2020）《挥发性有机物无组织排放控制标准》（GB37822-2019）中相关要求中的相关要求，针对废气提出如下防治措施：</w:t>
      </w:r>
    </w:p>
    <w:bookmarkEnd w:id="680"/>
    <w:p w14:paraId="764E6338">
      <w:pPr>
        <w:spacing w:line="520" w:lineRule="exact"/>
        <w:ind w:firstLine="480" w:firstLineChars="200"/>
        <w:rPr>
          <w:rFonts w:hint="eastAsia"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（1）</w:t>
      </w:r>
      <w:bookmarkStart w:id="681" w:name="_Hlk173757002"/>
      <w:bookmarkStart w:id="682" w:name="OLE_LINK89"/>
      <w:bookmarkStart w:id="683" w:name="OLE_LINK28"/>
      <w:r>
        <w:rPr>
          <w:rFonts w:hint="eastAsia" w:ascii="宋体" w:hAnsi="宋体"/>
          <w:color w:val="000000" w:themeColor="text1"/>
          <w:sz w:val="24"/>
          <w:szCs w:val="24"/>
          <w14:textFill>
            <w14:solidFill>
              <w14:schemeClr w14:val="tx1"/>
            </w14:solidFill>
          </w14:textFill>
        </w:rPr>
        <w:t>油气通过管线密闭集输至预处理注入站内，在预处理注入站进行气液分离，分离出的液相管输至1号混输泵站进行转输，最终输送至页岩油联合站进行处理；预处理注入站内分离出的伴生气经站内伴生气处理装置处理后回注注气井场，采出物处理均采用密闭工艺流程；采油井口密封并设有紧急截断阀</w:t>
      </w:r>
      <w:bookmarkEnd w:id="681"/>
      <w:r>
        <w:rPr>
          <w:rFonts w:hint="eastAsia" w:ascii="宋体" w:hAnsi="宋体"/>
          <w:color w:val="000000" w:themeColor="text1"/>
          <w:sz w:val="24"/>
          <w:szCs w:val="24"/>
          <w14:textFill>
            <w14:solidFill>
              <w14:schemeClr w14:val="tx1"/>
            </w14:solidFill>
          </w14:textFill>
        </w:rPr>
        <w:t>，可有效减少无组织挥发性有机物的产生。</w:t>
      </w:r>
      <w:bookmarkEnd w:id="682"/>
    </w:p>
    <w:p w14:paraId="38413F60">
      <w:pPr>
        <w:spacing w:line="520" w:lineRule="exact"/>
        <w:ind w:firstLine="480" w:firstLineChars="200"/>
        <w:rPr>
          <w:rFonts w:hint="eastAsia"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（2）</w:t>
      </w:r>
      <w:bookmarkStart w:id="684" w:name="_Hlk173757009"/>
      <w:r>
        <w:rPr>
          <w:rFonts w:hint="eastAsia" w:ascii="宋体" w:hAnsi="宋体"/>
          <w:color w:val="000000" w:themeColor="text1"/>
          <w:sz w:val="24"/>
          <w:szCs w:val="24"/>
          <w14:textFill>
            <w14:solidFill>
              <w14:schemeClr w14:val="tx1"/>
            </w14:solidFill>
          </w14:textFill>
        </w:rPr>
        <w:t>选用质量可靠的设备、仪表、阀门、管线等；</w:t>
      </w:r>
      <w:bookmarkStart w:id="685" w:name="_Hlk92466549"/>
      <w:r>
        <w:rPr>
          <w:rFonts w:hint="eastAsia" w:ascii="宋体" w:hAnsi="宋体"/>
          <w:color w:val="000000" w:themeColor="text1"/>
          <w:sz w:val="24"/>
          <w:szCs w:val="24"/>
          <w14:textFill>
            <w14:solidFill>
              <w14:schemeClr w14:val="tx1"/>
            </w14:solidFill>
          </w14:textFill>
        </w:rPr>
        <w:t>定期对井场、预处理注入站内各设备、阀门及各类管线等检查、检修</w:t>
      </w:r>
      <w:bookmarkEnd w:id="685"/>
      <w:r>
        <w:rPr>
          <w:rFonts w:hint="eastAsia" w:ascii="宋体" w:hAnsi="宋体"/>
          <w:color w:val="000000" w:themeColor="text1"/>
          <w:sz w:val="24"/>
          <w:szCs w:val="24"/>
          <w14:textFill>
            <w14:solidFill>
              <w14:schemeClr w14:val="tx1"/>
            </w14:solidFill>
          </w14:textFill>
        </w:rPr>
        <w:t>，以防止跑、冒、漏、漏现象的发生</w:t>
      </w:r>
      <w:bookmarkEnd w:id="684"/>
      <w:r>
        <w:rPr>
          <w:rFonts w:hint="eastAsia" w:ascii="宋体" w:hAnsi="宋体"/>
          <w:color w:val="000000" w:themeColor="text1"/>
          <w:sz w:val="24"/>
          <w:szCs w:val="24"/>
          <w14:textFill>
            <w14:solidFill>
              <w14:schemeClr w14:val="tx1"/>
            </w14:solidFill>
          </w14:textFill>
        </w:rPr>
        <w:t>。</w:t>
      </w:r>
    </w:p>
    <w:p w14:paraId="3A290C3C">
      <w:pPr>
        <w:pStyle w:val="191"/>
        <w:ind w:firstLine="480"/>
        <w:rPr>
          <w:rFonts w:hint="eastAsia"/>
          <w:color w:val="000000" w:themeColor="text1"/>
          <w14:textFill>
            <w14:solidFill>
              <w14:schemeClr w14:val="tx1"/>
            </w14:solidFill>
          </w14:textFill>
        </w:rPr>
      </w:pPr>
      <w:bookmarkStart w:id="686" w:name="_Hlk160376789"/>
      <w:r>
        <w:rPr>
          <w:rFonts w:hint="eastAsia"/>
          <w:color w:val="000000" w:themeColor="text1"/>
          <w14:textFill>
            <w14:solidFill>
              <w14:schemeClr w14:val="tx1"/>
            </w14:solidFill>
          </w14:textFill>
        </w:rPr>
        <w:t>（3）</w:t>
      </w:r>
      <w:bookmarkStart w:id="687" w:name="_Hlk173757017"/>
      <w:r>
        <w:rPr>
          <w:rFonts w:hint="eastAsia"/>
          <w:color w:val="000000" w:themeColor="text1"/>
          <w14:textFill>
            <w14:solidFill>
              <w14:schemeClr w14:val="tx1"/>
            </w14:solidFill>
          </w14:textFill>
        </w:rPr>
        <w:t>建设单位应建立台账，记录V</w:t>
      </w:r>
      <w:r>
        <w:rPr>
          <w:color w:val="000000" w:themeColor="text1"/>
          <w14:textFill>
            <w14:solidFill>
              <w14:schemeClr w14:val="tx1"/>
            </w14:solidFill>
          </w14:textFill>
        </w:rPr>
        <w:t>OCs</w:t>
      </w:r>
      <w:r>
        <w:rPr>
          <w:rFonts w:hint="eastAsia"/>
          <w:color w:val="000000" w:themeColor="text1"/>
          <w14:textFill>
            <w14:solidFill>
              <w14:schemeClr w14:val="tx1"/>
            </w14:solidFill>
          </w14:textFill>
        </w:rPr>
        <w:t>原辅材料及含V</w:t>
      </w:r>
      <w:r>
        <w:rPr>
          <w:color w:val="000000" w:themeColor="text1"/>
          <w14:textFill>
            <w14:solidFill>
              <w14:schemeClr w14:val="tx1"/>
            </w14:solidFill>
          </w14:textFill>
        </w:rPr>
        <w:t>OCs</w:t>
      </w:r>
      <w:r>
        <w:rPr>
          <w:rFonts w:hint="eastAsia"/>
          <w:color w:val="000000" w:themeColor="text1"/>
          <w14:textFill>
            <w14:solidFill>
              <w14:schemeClr w14:val="tx1"/>
            </w14:solidFill>
          </w14:textFill>
        </w:rPr>
        <w:t>产品的名称、使用量、回收量、去向及</w:t>
      </w:r>
      <w:r>
        <w:rPr>
          <w:color w:val="000000" w:themeColor="text1"/>
          <w14:textFill>
            <w14:solidFill>
              <w14:schemeClr w14:val="tx1"/>
            </w14:solidFill>
          </w14:textFill>
        </w:rPr>
        <w:t>VOCs</w:t>
      </w:r>
      <w:r>
        <w:rPr>
          <w:rFonts w:hint="eastAsia"/>
          <w:color w:val="000000" w:themeColor="text1"/>
          <w14:textFill>
            <w14:solidFill>
              <w14:schemeClr w14:val="tx1"/>
            </w14:solidFill>
          </w14:textFill>
        </w:rPr>
        <w:t>含量等信息</w:t>
      </w:r>
      <w:bookmarkEnd w:id="687"/>
      <w:r>
        <w:rPr>
          <w:rFonts w:hint="eastAsia"/>
          <w:color w:val="000000" w:themeColor="text1"/>
          <w14:textFill>
            <w14:solidFill>
              <w14:schemeClr w14:val="tx1"/>
            </w14:solidFill>
          </w14:textFill>
        </w:rPr>
        <w:t>，</w:t>
      </w:r>
      <w:bookmarkStart w:id="688" w:name="_Hlk173757046"/>
      <w:r>
        <w:rPr>
          <w:rFonts w:hint="eastAsia"/>
          <w:color w:val="000000" w:themeColor="text1"/>
          <w14:textFill>
            <w14:solidFill>
              <w14:schemeClr w14:val="tx1"/>
            </w14:solidFill>
          </w14:textFill>
        </w:rPr>
        <w:t>台账保存期限不少于3年</w:t>
      </w:r>
      <w:bookmarkEnd w:id="683"/>
      <w:bookmarkEnd w:id="688"/>
      <w:r>
        <w:rPr>
          <w:rFonts w:hint="eastAsia"/>
          <w:color w:val="000000" w:themeColor="text1"/>
          <w14:textFill>
            <w14:solidFill>
              <w14:schemeClr w14:val="tx1"/>
            </w14:solidFill>
          </w14:textFill>
        </w:rPr>
        <w:t>。</w:t>
      </w:r>
    </w:p>
    <w:p w14:paraId="53C722C7">
      <w:pPr>
        <w:pStyle w:val="191"/>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（4）</w:t>
      </w:r>
      <w:bookmarkStart w:id="689" w:name="OLE_LINK172"/>
      <w:r>
        <w:rPr>
          <w:rFonts w:hint="eastAsia"/>
          <w:color w:val="000000" w:themeColor="text1"/>
          <w14:textFill>
            <w14:solidFill>
              <w14:schemeClr w14:val="tx1"/>
            </w14:solidFill>
          </w14:textFill>
        </w:rPr>
        <w:t>井口设除硫加药装置，去除采出物中的硫化氢，本次选用第三代三嗪类硫化氢处理剂去除硫化氢</w:t>
      </w:r>
      <w:bookmarkEnd w:id="689"/>
      <w:r>
        <w:rPr>
          <w:rFonts w:hint="eastAsia"/>
          <w:color w:val="000000" w:themeColor="text1"/>
          <w14:textFill>
            <w14:solidFill>
              <w14:schemeClr w14:val="tx1"/>
            </w14:solidFill>
          </w14:textFill>
        </w:rPr>
        <w:t>，三嗪类硫化氢处理剂是一种非再生型新型高效硫化氢处理剂</w:t>
      </w:r>
      <w:r>
        <w:rPr>
          <w:color w:val="000000" w:themeColor="text1"/>
          <w14:textFill>
            <w14:solidFill>
              <w14:schemeClr w14:val="tx1"/>
            </w14:solidFill>
          </w14:textFill>
        </w:rPr>
        <w:t>，通常为无色或淡黄色透明</w:t>
      </w:r>
      <w:r>
        <w:rPr>
          <w:rFonts w:hint="eastAsia"/>
          <w:color w:val="000000" w:themeColor="text1"/>
          <w14:textFill>
            <w14:solidFill>
              <w14:schemeClr w14:val="tx1"/>
            </w14:solidFill>
          </w14:textFill>
        </w:rPr>
        <w:t>黏稠</w:t>
      </w:r>
      <w:r>
        <w:rPr>
          <w:color w:val="000000" w:themeColor="text1"/>
          <w14:textFill>
            <w14:solidFill>
              <w14:schemeClr w14:val="tx1"/>
            </w14:solidFill>
          </w14:textFill>
        </w:rPr>
        <w:t>状液体，无</w:t>
      </w:r>
      <w:r>
        <w:rPr>
          <w:rFonts w:hint="eastAsia"/>
          <w:color w:val="000000" w:themeColor="text1"/>
          <w14:textFill>
            <w14:solidFill>
              <w14:schemeClr w14:val="tx1"/>
            </w14:solidFill>
          </w14:textFill>
        </w:rPr>
        <w:t>刺激性</w:t>
      </w:r>
      <w:r>
        <w:rPr>
          <w:color w:val="000000" w:themeColor="text1"/>
          <w14:textFill>
            <w14:solidFill>
              <w14:schemeClr w14:val="tx1"/>
            </w14:solidFill>
          </w14:textFill>
        </w:rPr>
        <w:t>气味。三嗪化合物是一种大分子活性剂，分子链上富含氮原子，并且含有活泼氢原子，能与</w:t>
      </w:r>
      <w:r>
        <w:rPr>
          <w:rFonts w:hint="eastAsia"/>
          <w:color w:val="000000" w:themeColor="text1"/>
          <w14:textFill>
            <w14:solidFill>
              <w14:schemeClr w14:val="tx1"/>
            </w14:solidFill>
          </w14:textFill>
        </w:rPr>
        <w:t>H</w:t>
      </w:r>
      <w:r>
        <w:rPr>
          <w:rFonts w:hint="eastAsia"/>
          <w:color w:val="000000" w:themeColor="text1"/>
          <w:vertAlign w:val="subscript"/>
          <w14:textFill>
            <w14:solidFill>
              <w14:schemeClr w14:val="tx1"/>
            </w14:solidFill>
          </w14:textFill>
        </w:rPr>
        <w:t>2</w:t>
      </w:r>
      <w:r>
        <w:rPr>
          <w:rFonts w:hint="eastAsia"/>
          <w:color w:val="000000" w:themeColor="text1"/>
          <w14:textFill>
            <w14:solidFill>
              <w14:schemeClr w14:val="tx1"/>
            </w14:solidFill>
          </w14:textFill>
        </w:rPr>
        <w:t>S</w:t>
      </w:r>
      <w:r>
        <w:rPr>
          <w:color w:val="000000" w:themeColor="text1"/>
          <w14:textFill>
            <w14:solidFill>
              <w14:schemeClr w14:val="tx1"/>
            </w14:solidFill>
          </w14:textFill>
        </w:rPr>
        <w:t>里的S</w:t>
      </w:r>
      <w:r>
        <w:rPr>
          <w:color w:val="000000" w:themeColor="text1"/>
          <w:vertAlign w:val="superscript"/>
          <w14:textFill>
            <w14:solidFill>
              <w14:schemeClr w14:val="tx1"/>
            </w14:solidFill>
          </w14:textFill>
        </w:rPr>
        <w:t>2-</w:t>
      </w:r>
      <w:r>
        <w:rPr>
          <w:color w:val="000000" w:themeColor="text1"/>
          <w14:textFill>
            <w14:solidFill>
              <w14:schemeClr w14:val="tx1"/>
            </w14:solidFill>
          </w14:textFill>
        </w:rPr>
        <w:t>发生不可逆化学反应生成噻二嗪，从而达到</w:t>
      </w:r>
      <w:r>
        <w:rPr>
          <w:rFonts w:hint="eastAsia"/>
          <w:color w:val="000000" w:themeColor="text1"/>
          <w14:textFill>
            <w14:solidFill>
              <w14:schemeClr w14:val="tx1"/>
            </w14:solidFill>
          </w14:textFill>
        </w:rPr>
        <w:t>去</w:t>
      </w:r>
      <w:r>
        <w:rPr>
          <w:color w:val="000000" w:themeColor="text1"/>
          <w14:textFill>
            <w14:solidFill>
              <w14:schemeClr w14:val="tx1"/>
            </w14:solidFill>
          </w14:textFill>
        </w:rPr>
        <w:t>除H</w:t>
      </w:r>
      <w:r>
        <w:rPr>
          <w:color w:val="000000" w:themeColor="text1"/>
          <w:vertAlign w:val="subscript"/>
          <w14:textFill>
            <w14:solidFill>
              <w14:schemeClr w14:val="tx1"/>
            </w14:solidFill>
          </w14:textFill>
        </w:rPr>
        <w:t>2</w:t>
      </w:r>
      <w:r>
        <w:rPr>
          <w:color w:val="000000" w:themeColor="text1"/>
          <w14:textFill>
            <w14:solidFill>
              <w14:schemeClr w14:val="tx1"/>
            </w14:solidFill>
          </w14:textFill>
        </w:rPr>
        <w:t>S的目的。其脱硫产物均为水溶性液体，安全性高，而且不需回收，可直接回注地层</w:t>
      </w:r>
      <w:r>
        <w:rPr>
          <w:rFonts w:hint="eastAsia"/>
          <w:color w:val="000000" w:themeColor="text1"/>
          <w14:textFill>
            <w14:solidFill>
              <w14:schemeClr w14:val="tx1"/>
            </w14:solidFill>
          </w14:textFill>
        </w:rPr>
        <w:t>。</w:t>
      </w:r>
    </w:p>
    <w:p w14:paraId="198E02FD">
      <w:pPr>
        <w:pStyle w:val="191"/>
        <w:ind w:firstLine="480"/>
        <w:rPr>
          <w:rFonts w:hint="eastAsia"/>
          <w:color w:val="000000" w:themeColor="text1"/>
          <w14:textFill>
            <w14:solidFill>
              <w14:schemeClr w14:val="tx1"/>
            </w14:solidFill>
          </w14:textFill>
        </w:rPr>
      </w:pPr>
      <w:bookmarkStart w:id="690" w:name="OLE_LINK93"/>
      <w:r>
        <w:rPr>
          <w:rFonts w:hint="eastAsia"/>
          <w:color w:val="000000" w:themeColor="text1"/>
          <w14:textFill>
            <w14:solidFill>
              <w14:schemeClr w14:val="tx1"/>
            </w14:solidFill>
          </w14:textFill>
        </w:rPr>
        <w:t>在采取上述措施后，</w:t>
      </w:r>
      <w:bookmarkStart w:id="691" w:name="OLE_LINK176"/>
      <w:r>
        <w:rPr>
          <w:rFonts w:hint="eastAsia"/>
          <w:color w:val="000000" w:themeColor="text1"/>
          <w14:textFill>
            <w14:solidFill>
              <w14:schemeClr w14:val="tx1"/>
            </w14:solidFill>
          </w14:textFill>
        </w:rPr>
        <w:t>场站厂界无组织非甲烷总烃排放浓度满足</w:t>
      </w:r>
      <w:bookmarkStart w:id="692" w:name="OLE_LINK141"/>
      <w:r>
        <w:rPr>
          <w:rFonts w:hint="eastAsia"/>
          <w:color w:val="000000" w:themeColor="text1"/>
          <w14:textFill>
            <w14:solidFill>
              <w14:schemeClr w14:val="tx1"/>
            </w14:solidFill>
          </w14:textFill>
        </w:rPr>
        <w:t>《陆上石油天然气开采工业大气污染物排放标准》（GB39728—2020）企业边界污染物控制要求</w:t>
      </w:r>
      <w:bookmarkEnd w:id="692"/>
      <w:r>
        <w:rPr>
          <w:rFonts w:hint="eastAsia"/>
          <w:color w:val="000000" w:themeColor="text1"/>
          <w14:textFill>
            <w14:solidFill>
              <w14:schemeClr w14:val="tx1"/>
            </w14:solidFill>
          </w14:textFill>
        </w:rPr>
        <w:t>，硫化氢排放浓度满足《恶臭污染物排放标准》（GB14554-93）表1二级新改扩建浓度。</w:t>
      </w:r>
    </w:p>
    <w:bookmarkEnd w:id="686"/>
    <w:bookmarkEnd w:id="690"/>
    <w:bookmarkEnd w:id="691"/>
    <w:p w14:paraId="78155D74">
      <w:pPr>
        <w:pStyle w:val="4"/>
        <w:rPr>
          <w:rFonts w:hint="eastAsia"/>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运营期废水污染防治措施</w:t>
      </w:r>
    </w:p>
    <w:p w14:paraId="66AF1829">
      <w:pPr>
        <w:pStyle w:val="117"/>
        <w:ind w:firstLine="480"/>
        <w:rPr>
          <w:rFonts w:hint="eastAsia"/>
          <w:color w:val="000000" w:themeColor="text1"/>
          <w14:textFill>
            <w14:solidFill>
              <w14:schemeClr w14:val="tx1"/>
            </w14:solidFill>
          </w14:textFill>
        </w:rPr>
      </w:pPr>
      <w:bookmarkStart w:id="693" w:name="OLE_LINK181"/>
      <w:bookmarkStart w:id="694" w:name="OLE_LINK180"/>
      <w:r>
        <w:rPr>
          <w:rFonts w:hint="eastAsia"/>
          <w:color w:val="000000" w:themeColor="text1"/>
          <w14:textFill>
            <w14:solidFill>
              <w14:schemeClr w14:val="tx1"/>
            </w14:solidFill>
          </w14:textFill>
        </w:rPr>
        <w:t>（1）废水处理方案</w:t>
      </w:r>
    </w:p>
    <w:p w14:paraId="663EC1D2">
      <w:pPr>
        <w:pStyle w:val="117"/>
        <w:ind w:firstLine="480"/>
        <w:rPr>
          <w:rFonts w:hint="eastAsia" w:cs="宋体"/>
          <w:color w:val="000000" w:themeColor="text1"/>
          <w:kern w:val="0"/>
          <w:lang w:bidi="ar"/>
          <w14:textFill>
            <w14:solidFill>
              <w14:schemeClr w14:val="tx1"/>
            </w14:solidFill>
          </w14:textFill>
        </w:rPr>
      </w:pPr>
      <w:r>
        <w:rPr>
          <w:rFonts w:hint="eastAsia" w:cs="宋体"/>
          <w:color w:val="000000" w:themeColor="text1"/>
          <w:kern w:val="0"/>
          <w:lang w:bidi="ar"/>
          <w14:textFill>
            <w14:solidFill>
              <w14:schemeClr w14:val="tx1"/>
            </w14:solidFill>
          </w14:textFill>
        </w:rPr>
        <w:t>①</w:t>
      </w:r>
      <w:r>
        <w:rPr>
          <w:rFonts w:hint="eastAsia"/>
          <w:color w:val="000000" w:themeColor="text1"/>
          <w14:textFill>
            <w14:solidFill>
              <w14:schemeClr w14:val="tx1"/>
            </w14:solidFill>
          </w14:textFill>
        </w:rPr>
        <w:t>废水主要为洗井废水、压裂返排液、废洗井液和装置排污水；</w:t>
      </w:r>
      <w:r>
        <w:rPr>
          <w:rFonts w:hint="eastAsia" w:cs="宋体"/>
          <w:color w:val="000000" w:themeColor="text1"/>
          <w:kern w:val="0"/>
          <w:lang w:bidi="ar"/>
          <w14:textFill>
            <w14:solidFill>
              <w14:schemeClr w14:val="tx1"/>
            </w14:solidFill>
          </w14:textFill>
        </w:rPr>
        <w:t>洗井废水、井下作业废液（压裂返排液和废洗井液）由罐车拉运至页岩油联合站旁的压裂液返排液处理装置处理，压裂返排液处理装置出水水质满足</w:t>
      </w:r>
      <w:bookmarkStart w:id="695" w:name="OLE_LINK96"/>
      <w:bookmarkStart w:id="696" w:name="OLE_LINK179"/>
      <w:r>
        <w:rPr>
          <w:rFonts w:hint="eastAsia" w:cs="宋体"/>
          <w:color w:val="000000" w:themeColor="text1"/>
          <w:kern w:val="0"/>
          <w:lang w:bidi="ar"/>
          <w14:textFill>
            <w14:solidFill>
              <w14:schemeClr w14:val="tx1"/>
            </w14:solidFill>
          </w14:textFill>
        </w:rPr>
        <w:t>《压裂酸化返排液处理技术规范》（Q/SY02012-2016）</w:t>
      </w:r>
      <w:bookmarkEnd w:id="695"/>
      <w:r>
        <w:rPr>
          <w:rFonts w:hint="eastAsia" w:cs="宋体"/>
          <w:color w:val="000000" w:themeColor="text1"/>
          <w:kern w:val="0"/>
          <w:lang w:bidi="ar"/>
          <w14:textFill>
            <w14:solidFill>
              <w14:schemeClr w14:val="tx1"/>
            </w14:solidFill>
          </w14:textFill>
        </w:rPr>
        <w:t>中的相关要求后用于压裂液复配</w:t>
      </w:r>
      <w:bookmarkEnd w:id="696"/>
      <w:r>
        <w:rPr>
          <w:rFonts w:hint="eastAsia" w:cs="宋体"/>
          <w:color w:val="000000" w:themeColor="text1"/>
          <w:kern w:val="0"/>
          <w:lang w:bidi="ar"/>
          <w14:textFill>
            <w14:solidFill>
              <w14:schemeClr w14:val="tx1"/>
            </w14:solidFill>
          </w14:textFill>
        </w:rPr>
        <w:t>；装置排污水排至排污罐中，由污油泵将排污罐中的液体管输至进站管汇。</w:t>
      </w:r>
    </w:p>
    <w:bookmarkEnd w:id="693"/>
    <w:p w14:paraId="109E88D5">
      <w:pPr>
        <w:pStyle w:val="117"/>
        <w:ind w:firstLine="480"/>
        <w:rPr>
          <w:rFonts w:hint="eastAsia"/>
          <w:color w:val="000000" w:themeColor="text1"/>
          <w:lang w:val="zh-CN"/>
          <w14:textFill>
            <w14:solidFill>
              <w14:schemeClr w14:val="tx1"/>
            </w14:solidFill>
          </w14:textFill>
        </w:rPr>
      </w:pPr>
      <w:bookmarkStart w:id="697" w:name="_Hlk37933724"/>
      <w:bookmarkStart w:id="698" w:name="_Hlk40626837"/>
      <w:r>
        <w:rPr>
          <w:rFonts w:hint="eastAsia"/>
          <w:color w:val="000000" w:themeColor="text1"/>
          <w:lang w:val="zh-CN"/>
          <w14:textFill>
            <w14:solidFill>
              <w14:schemeClr w14:val="tx1"/>
            </w14:solidFill>
          </w14:textFill>
        </w:rPr>
        <w:t>②井下作业过程中需建立完善的运行台账，严禁废水随意倾倒。</w:t>
      </w:r>
    </w:p>
    <w:p w14:paraId="2CF40A4E">
      <w:pPr>
        <w:spacing w:line="520" w:lineRule="exact"/>
        <w:ind w:firstLine="480"/>
        <w:rPr>
          <w:rFonts w:hint="eastAsia" w:ascii="宋体" w:hAnsi="宋体" w:cs="宋体"/>
          <w:color w:val="000000" w:themeColor="text1"/>
          <w:sz w:val="24"/>
          <w:szCs w:val="24"/>
          <w14:textFill>
            <w14:solidFill>
              <w14:schemeClr w14:val="tx1"/>
            </w14:solidFill>
          </w14:textFill>
        </w:rPr>
      </w:pPr>
      <w:bookmarkStart w:id="699" w:name="OLE_LINK182"/>
      <w:r>
        <w:rPr>
          <w:rFonts w:hint="eastAsia" w:ascii="宋体" w:hAnsi="宋体" w:cs="宋体"/>
          <w:color w:val="000000" w:themeColor="text1"/>
          <w:sz w:val="24"/>
          <w:szCs w:val="24"/>
          <w14:textFill>
            <w14:solidFill>
              <w14:schemeClr w14:val="tx1"/>
            </w14:solidFill>
          </w14:textFill>
        </w:rPr>
        <w:t>（2）地下水污染防治措施</w:t>
      </w:r>
    </w:p>
    <w:bookmarkEnd w:id="699"/>
    <w:p w14:paraId="293C0B48">
      <w:pPr>
        <w:spacing w:line="520" w:lineRule="exact"/>
        <w:ind w:firstLine="480"/>
        <w:rPr>
          <w:rFonts w:hint="eastAsia"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①采取源头控制措施，使用先进、成熟、可靠的工艺技术，良好合格的防渗材料，尽可能从源头上减少污染物泄漏风险；同时，严格按照施工规范施工，保证施工质量；定期做好站井场、计量站内设备、阀门、管线等巡检，一旦发现异常，及时采取措施，防止“跑、冒、滴、漏”的发生。</w:t>
      </w:r>
    </w:p>
    <w:p w14:paraId="7F89A4CA">
      <w:pPr>
        <w:adjustRightInd w:val="0"/>
        <w:snapToGrid w:val="0"/>
        <w:spacing w:line="500" w:lineRule="exact"/>
        <w:ind w:firstLine="482"/>
        <w:rPr>
          <w:rFonts w:hint="eastAsia"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②建设单位应参照《石油天然气工业套管和油管的维护与使用》（GB/T17745-2011）要求进行井筒完整性管理，定期开展井筒完整性检查。</w:t>
      </w:r>
    </w:p>
    <w:p w14:paraId="5E83DF34">
      <w:pPr>
        <w:adjustRightInd w:val="0"/>
        <w:snapToGrid w:val="0"/>
        <w:spacing w:line="500" w:lineRule="exact"/>
        <w:ind w:firstLine="482"/>
        <w:rPr>
          <w:rFonts w:hint="eastAsia"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③回注井运行过程中，应持续对回注井口压力、套管压力、环空压力、回注流体的流量、水质等指标进行监测，注水水质满足</w:t>
      </w:r>
      <w:r>
        <w:rPr>
          <w:rFonts w:hint="eastAsia" w:ascii="宋体" w:hAnsi="宋体"/>
          <w:color w:val="000000" w:themeColor="text1"/>
          <w:sz w:val="24"/>
          <w:szCs w:val="24"/>
          <w14:textFill>
            <w14:solidFill>
              <w14:schemeClr w14:val="tx1"/>
            </w14:solidFill>
          </w14:textFill>
        </w:rPr>
        <w:t>《气田注入技术要求》（SY/T6596-2016）</w:t>
      </w:r>
      <w:r>
        <w:rPr>
          <w:rFonts w:hint="eastAsia" w:ascii="宋体" w:hAnsi="宋体" w:cs="宋体"/>
          <w:color w:val="000000" w:themeColor="text1"/>
          <w:sz w:val="24"/>
          <w:szCs w:val="24"/>
          <w14:textFill>
            <w14:solidFill>
              <w14:schemeClr w14:val="tx1"/>
            </w14:solidFill>
          </w14:textFill>
        </w:rPr>
        <w:t>要求；定期开展套管腐蚀和水泥环状况检测，检测周期不超过</w:t>
      </w:r>
      <w:r>
        <w:rPr>
          <w:rFonts w:ascii="宋体" w:hAnsi="宋体" w:cs="宋体"/>
          <w:color w:val="000000" w:themeColor="text1"/>
          <w:sz w:val="24"/>
          <w:szCs w:val="24"/>
          <w14:textFill>
            <w14:solidFill>
              <w14:schemeClr w14:val="tx1"/>
            </w14:solidFill>
          </w14:textFill>
        </w:rPr>
        <w:t>3</w:t>
      </w:r>
      <w:r>
        <w:rPr>
          <w:rFonts w:hint="eastAsia" w:ascii="宋体" w:hAnsi="宋体" w:cs="宋体"/>
          <w:color w:val="000000" w:themeColor="text1"/>
          <w:sz w:val="24"/>
          <w:szCs w:val="24"/>
          <w14:textFill>
            <w14:solidFill>
              <w14:schemeClr w14:val="tx1"/>
            </w14:solidFill>
          </w14:textFill>
        </w:rPr>
        <w:t>年。新启用或检维修后初次启用的回注井运行前，应进行井筒完整性测试；本项目</w:t>
      </w:r>
      <w:r>
        <w:rPr>
          <w:rFonts w:hint="eastAsia" w:ascii="宋体" w:hAnsi="宋体"/>
          <w:color w:val="000000" w:themeColor="text1"/>
          <w:sz w:val="24"/>
          <w:szCs w:val="32"/>
          <w14:textFill>
            <w14:solidFill>
              <w14:schemeClr w14:val="tx1"/>
            </w14:solidFill>
          </w14:textFill>
        </w:rPr>
        <w:t>JHW00421和JHW034的设计注水量分别为140m</w:t>
      </w:r>
      <w:r>
        <w:rPr>
          <w:rFonts w:hint="eastAsia" w:ascii="宋体" w:hAnsi="宋体"/>
          <w:color w:val="000000" w:themeColor="text1"/>
          <w:sz w:val="24"/>
          <w:szCs w:val="32"/>
          <w:vertAlign w:val="superscript"/>
          <w14:textFill>
            <w14:solidFill>
              <w14:schemeClr w14:val="tx1"/>
            </w14:solidFill>
          </w14:textFill>
        </w:rPr>
        <w:t>3</w:t>
      </w:r>
      <w:r>
        <w:rPr>
          <w:rFonts w:hint="eastAsia" w:ascii="宋体" w:hAnsi="宋体"/>
          <w:color w:val="000000" w:themeColor="text1"/>
          <w:sz w:val="24"/>
          <w:szCs w:val="32"/>
          <w14:textFill>
            <w14:solidFill>
              <w14:schemeClr w14:val="tx1"/>
            </w14:solidFill>
          </w14:textFill>
        </w:rPr>
        <w:t>/d、90m</w:t>
      </w:r>
      <w:r>
        <w:rPr>
          <w:rFonts w:hint="eastAsia" w:ascii="宋体" w:hAnsi="宋体"/>
          <w:color w:val="000000" w:themeColor="text1"/>
          <w:sz w:val="24"/>
          <w:szCs w:val="32"/>
          <w:vertAlign w:val="superscript"/>
          <w14:textFill>
            <w14:solidFill>
              <w14:schemeClr w14:val="tx1"/>
            </w14:solidFill>
          </w14:textFill>
        </w:rPr>
        <w:t>3</w:t>
      </w:r>
      <w:r>
        <w:rPr>
          <w:rFonts w:hint="eastAsia" w:ascii="宋体" w:hAnsi="宋体"/>
          <w:color w:val="000000" w:themeColor="text1"/>
          <w:sz w:val="24"/>
          <w:szCs w:val="32"/>
          <w14:textFill>
            <w14:solidFill>
              <w14:schemeClr w14:val="tx1"/>
            </w14:solidFill>
          </w14:textFill>
        </w:rPr>
        <w:t>/d</w:t>
      </w:r>
      <w:r>
        <w:rPr>
          <w:rFonts w:hint="eastAsia" w:ascii="宋体" w:hAnsi="宋体" w:cs="宋体"/>
          <w:color w:val="000000" w:themeColor="text1"/>
          <w:sz w:val="24"/>
          <w:szCs w:val="24"/>
          <w14:textFill>
            <w14:solidFill>
              <w14:schemeClr w14:val="tx1"/>
            </w14:solidFill>
          </w14:textFill>
        </w:rPr>
        <w:t>，小于</w:t>
      </w:r>
      <w:r>
        <w:rPr>
          <w:rFonts w:ascii="宋体" w:hAnsi="宋体" w:cs="宋体"/>
          <w:color w:val="000000" w:themeColor="text1"/>
          <w:sz w:val="24"/>
          <w:szCs w:val="24"/>
          <w14:textFill>
            <w14:solidFill>
              <w14:schemeClr w14:val="tx1"/>
            </w14:solidFill>
          </w14:textFill>
        </w:rPr>
        <w:t>300m</w:t>
      </w:r>
      <w:r>
        <w:rPr>
          <w:rFonts w:ascii="宋体" w:hAnsi="宋体" w:cs="宋体"/>
          <w:color w:val="000000" w:themeColor="text1"/>
          <w:sz w:val="24"/>
          <w:szCs w:val="24"/>
          <w:vertAlign w:val="superscript"/>
          <w14:textFill>
            <w14:solidFill>
              <w14:schemeClr w14:val="tx1"/>
            </w14:solidFill>
          </w14:textFill>
        </w:rPr>
        <w:t>3</w:t>
      </w:r>
      <w:r>
        <w:rPr>
          <w:rFonts w:ascii="宋体" w:hAnsi="宋体" w:cs="宋体"/>
          <w:color w:val="000000" w:themeColor="text1"/>
          <w:sz w:val="24"/>
          <w:szCs w:val="24"/>
          <w14:textFill>
            <w14:solidFill>
              <w14:schemeClr w14:val="tx1"/>
            </w14:solidFill>
          </w14:textFill>
        </w:rPr>
        <w:t>/d</w:t>
      </w:r>
      <w:r>
        <w:rPr>
          <w:rFonts w:hint="eastAsia" w:ascii="宋体" w:hAnsi="宋体" w:cs="宋体"/>
          <w:color w:val="000000" w:themeColor="text1"/>
          <w:sz w:val="24"/>
          <w:szCs w:val="24"/>
          <w14:textFill>
            <w14:solidFill>
              <w14:schemeClr w14:val="tx1"/>
            </w14:solidFill>
          </w14:textFill>
        </w:rPr>
        <w:t>，注采井设计注入二氧化碳量为150t/d，注气井设计规模为</w:t>
      </w:r>
      <w:r>
        <w:rPr>
          <w:rFonts w:ascii="宋体" w:hAnsi="宋体" w:cs="宋体"/>
          <w:color w:val="000000" w:themeColor="text1"/>
          <w:sz w:val="24"/>
          <w:szCs w:val="24"/>
          <w14:textFill>
            <w14:solidFill>
              <w14:schemeClr w14:val="tx1"/>
            </w14:solidFill>
          </w14:textFill>
        </w:rPr>
        <w:t>1.65</w:t>
      </w:r>
      <w:r>
        <w:rPr>
          <w:rFonts w:hint="eastAsia" w:ascii="宋体" w:hAnsi="宋体" w:cs="宋体"/>
          <w:color w:val="000000" w:themeColor="text1"/>
          <w:sz w:val="24"/>
          <w:szCs w:val="24"/>
          <w14:textFill>
            <w14:solidFill>
              <w14:schemeClr w14:val="tx1"/>
            </w14:solidFill>
          </w14:textFill>
        </w:rPr>
        <w:t>×</w:t>
      </w:r>
      <w:r>
        <w:rPr>
          <w:rFonts w:ascii="宋体" w:hAnsi="宋体" w:cs="宋体"/>
          <w:color w:val="000000" w:themeColor="text1"/>
          <w:sz w:val="24"/>
          <w:szCs w:val="24"/>
          <w14:textFill>
            <w14:solidFill>
              <w14:schemeClr w14:val="tx1"/>
            </w14:solidFill>
          </w14:textFill>
        </w:rPr>
        <w:t>10</w:t>
      </w:r>
      <w:r>
        <w:rPr>
          <w:rFonts w:ascii="宋体" w:hAnsi="宋体" w:cs="宋体"/>
          <w:color w:val="000000" w:themeColor="text1"/>
          <w:sz w:val="24"/>
          <w:szCs w:val="24"/>
          <w:vertAlign w:val="superscript"/>
          <w14:textFill>
            <w14:solidFill>
              <w14:schemeClr w14:val="tx1"/>
            </w14:solidFill>
          </w14:textFill>
        </w:rPr>
        <w:t>4</w:t>
      </w:r>
      <w:r>
        <w:rPr>
          <w:rFonts w:ascii="宋体" w:hAnsi="宋体" w:cs="宋体"/>
          <w:color w:val="000000" w:themeColor="text1"/>
          <w:sz w:val="24"/>
          <w:szCs w:val="24"/>
          <w14:textFill>
            <w14:solidFill>
              <w14:schemeClr w14:val="tx1"/>
            </w14:solidFill>
          </w14:textFill>
        </w:rPr>
        <w:t>m</w:t>
      </w:r>
      <w:r>
        <w:rPr>
          <w:rFonts w:ascii="宋体" w:hAnsi="宋体" w:cs="宋体"/>
          <w:color w:val="000000" w:themeColor="text1"/>
          <w:sz w:val="24"/>
          <w:szCs w:val="24"/>
          <w:vertAlign w:val="superscript"/>
          <w14:textFill>
            <w14:solidFill>
              <w14:schemeClr w14:val="tx1"/>
            </w14:solidFill>
          </w14:textFill>
        </w:rPr>
        <w:t>3</w:t>
      </w:r>
      <w:r>
        <w:rPr>
          <w:rFonts w:ascii="宋体" w:hAnsi="宋体" w:cs="宋体"/>
          <w:color w:val="000000" w:themeColor="text1"/>
          <w:sz w:val="24"/>
          <w:szCs w:val="24"/>
          <w14:textFill>
            <w14:solidFill>
              <w14:schemeClr w14:val="tx1"/>
            </w14:solidFill>
          </w14:textFill>
        </w:rPr>
        <w:t>/d</w:t>
      </w:r>
      <w:r>
        <w:rPr>
          <w:rFonts w:hint="eastAsia" w:ascii="宋体" w:hAnsi="宋体" w:cs="宋体"/>
          <w:color w:val="000000" w:themeColor="text1"/>
          <w:sz w:val="24"/>
          <w:szCs w:val="24"/>
          <w14:textFill>
            <w14:solidFill>
              <w14:schemeClr w14:val="tx1"/>
            </w14:solidFill>
          </w14:textFill>
        </w:rPr>
        <w:t>，平均注入量大于300m</w:t>
      </w:r>
      <w:r>
        <w:rPr>
          <w:rFonts w:hint="eastAsia" w:ascii="宋体" w:hAnsi="宋体" w:cs="宋体"/>
          <w:color w:val="000000" w:themeColor="text1"/>
          <w:sz w:val="24"/>
          <w:szCs w:val="24"/>
          <w:vertAlign w:val="superscript"/>
          <w14:textFill>
            <w14:solidFill>
              <w14:schemeClr w14:val="tx1"/>
            </w14:solidFill>
          </w14:textFill>
        </w:rPr>
        <w:t>3</w:t>
      </w:r>
      <w:r>
        <w:rPr>
          <w:rFonts w:hint="eastAsia" w:ascii="宋体" w:hAnsi="宋体" w:cs="宋体"/>
          <w:color w:val="000000" w:themeColor="text1"/>
          <w:sz w:val="24"/>
          <w:szCs w:val="24"/>
          <w14:textFill>
            <w14:solidFill>
              <w14:schemeClr w14:val="tx1"/>
            </w14:solidFill>
          </w14:textFill>
        </w:rPr>
        <w:t>/d，回注井应至少每年进行</w:t>
      </w:r>
      <w:r>
        <w:rPr>
          <w:rFonts w:ascii="宋体" w:hAnsi="宋体" w:cs="宋体"/>
          <w:color w:val="000000" w:themeColor="text1"/>
          <w:sz w:val="24"/>
          <w:szCs w:val="24"/>
          <w14:textFill>
            <w14:solidFill>
              <w14:schemeClr w14:val="tx1"/>
            </w14:solidFill>
          </w14:textFill>
        </w:rPr>
        <w:t>1</w:t>
      </w:r>
      <w:r>
        <w:rPr>
          <w:rFonts w:hint="eastAsia" w:ascii="宋体" w:hAnsi="宋体" w:cs="宋体"/>
          <w:color w:val="000000" w:themeColor="text1"/>
          <w:sz w:val="24"/>
          <w:szCs w:val="24"/>
          <w14:textFill>
            <w14:solidFill>
              <w14:schemeClr w14:val="tx1"/>
            </w14:solidFill>
          </w14:textFill>
        </w:rPr>
        <w:t>次井筒完整性检测，检测发现井筒完整性失效，应立即停止回注。</w:t>
      </w:r>
    </w:p>
    <w:p w14:paraId="0416B79E">
      <w:pPr>
        <w:adjustRightInd w:val="0"/>
        <w:snapToGrid w:val="0"/>
        <w:spacing w:line="500" w:lineRule="exact"/>
        <w:ind w:firstLine="482"/>
        <w:rPr>
          <w:rFonts w:hint="eastAsia"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③分区防渗</w:t>
      </w:r>
    </w:p>
    <w:p w14:paraId="768EE72F">
      <w:pPr>
        <w:pStyle w:val="162"/>
        <w:adjustRightInd w:val="0"/>
        <w:snapToGrid w:val="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项目主要污染物为石油类，根据《环境影响评价技术导则-地下水环境》（HJ610-2016）中表5污染控制难易程度分级参照表、表6天然包气带防污性能分级参照表、表7地下水污染防渗分区参照表，</w:t>
      </w:r>
      <w:bookmarkStart w:id="700" w:name="_Hlk148007898"/>
      <w:bookmarkStart w:id="701" w:name="OLE_LINK206"/>
      <w:r>
        <w:rPr>
          <w:rFonts w:hint="eastAsia"/>
          <w:color w:val="000000" w:themeColor="text1"/>
          <w14:textFill>
            <w14:solidFill>
              <w14:schemeClr w14:val="tx1"/>
            </w14:solidFill>
          </w14:textFill>
        </w:rPr>
        <w:t>将井场井口、预处理注入站排污罐处划为重点防渗区，注采井场值班室、注水井场值班室和预处理注入站的撬装值班室、仪控橇、撬装变电站划为简单防渗区，注采井场和预处理注入站的其他区域、注气井场、注水井场和1号计量站全部划为一般防渗区，重点防渗区防渗性能不应低于</w:t>
      </w:r>
      <w:r>
        <w:rPr>
          <w:color w:val="000000" w:themeColor="text1"/>
          <w14:textFill>
            <w14:solidFill>
              <w14:schemeClr w14:val="tx1"/>
            </w14:solidFill>
          </w14:textFill>
        </w:rPr>
        <w:t>6</w:t>
      </w:r>
      <w:r>
        <w:rPr>
          <w:rFonts w:hint="eastAsia"/>
          <w:color w:val="000000" w:themeColor="text1"/>
          <w14:textFill>
            <w14:solidFill>
              <w14:schemeClr w14:val="tx1"/>
            </w14:solidFill>
          </w14:textFill>
        </w:rPr>
        <w:t>m厚渗透系数为1.0×10</w:t>
      </w:r>
      <w:r>
        <w:rPr>
          <w:rFonts w:hint="eastAsia"/>
          <w:color w:val="000000" w:themeColor="text1"/>
          <w:vertAlign w:val="superscript"/>
          <w14:textFill>
            <w14:solidFill>
              <w14:schemeClr w14:val="tx1"/>
            </w14:solidFill>
          </w14:textFill>
        </w:rPr>
        <w:t>-7</w:t>
      </w:r>
      <w:r>
        <w:rPr>
          <w:rFonts w:hint="eastAsia"/>
          <w:color w:val="000000" w:themeColor="text1"/>
          <w14:textFill>
            <w14:solidFill>
              <w14:schemeClr w14:val="tx1"/>
            </w14:solidFill>
          </w14:textFill>
        </w:rPr>
        <w:t>cm/s的黏土层的防渗性能，一般防渗区防渗性能不应低于</w:t>
      </w:r>
      <w:r>
        <w:rPr>
          <w:color w:val="000000" w:themeColor="text1"/>
          <w14:textFill>
            <w14:solidFill>
              <w14:schemeClr w14:val="tx1"/>
            </w14:solidFill>
          </w14:textFill>
        </w:rPr>
        <w:t>1.5</w:t>
      </w:r>
      <w:r>
        <w:rPr>
          <w:rFonts w:hint="eastAsia"/>
          <w:color w:val="000000" w:themeColor="text1"/>
          <w14:textFill>
            <w14:solidFill>
              <w14:schemeClr w14:val="tx1"/>
            </w14:solidFill>
          </w14:textFill>
        </w:rPr>
        <w:t>m厚渗透系数为1.0×10</w:t>
      </w:r>
      <w:r>
        <w:rPr>
          <w:rFonts w:hint="eastAsia"/>
          <w:color w:val="000000" w:themeColor="text1"/>
          <w:vertAlign w:val="superscript"/>
          <w14:textFill>
            <w14:solidFill>
              <w14:schemeClr w14:val="tx1"/>
            </w14:solidFill>
          </w14:textFill>
        </w:rPr>
        <w:t>-7</w:t>
      </w:r>
      <w:r>
        <w:rPr>
          <w:rFonts w:hint="eastAsia"/>
          <w:color w:val="000000" w:themeColor="text1"/>
          <w14:textFill>
            <w14:solidFill>
              <w14:schemeClr w14:val="tx1"/>
            </w14:solidFill>
          </w14:textFill>
        </w:rPr>
        <w:t>cm/s的黏土层的防渗性能</w:t>
      </w:r>
      <w:bookmarkEnd w:id="700"/>
      <w:r>
        <w:rPr>
          <w:rFonts w:hint="eastAsia"/>
          <w:color w:val="000000" w:themeColor="text1"/>
          <w14:textFill>
            <w14:solidFill>
              <w14:schemeClr w14:val="tx1"/>
            </w14:solidFill>
          </w14:textFill>
        </w:rPr>
        <w:t>，简单防渗区采取一般地面硬化处理。</w:t>
      </w:r>
      <w:bookmarkEnd w:id="701"/>
      <w:r>
        <w:rPr>
          <w:rFonts w:hint="eastAsia"/>
          <w:color w:val="000000" w:themeColor="text1"/>
          <w14:textFill>
            <w14:solidFill>
              <w14:schemeClr w14:val="tx1"/>
            </w14:solidFill>
          </w14:textFill>
        </w:rPr>
        <w:t>采油井场采用砾石铺垫，井下作业时铺设防渗膜，管线采用无缝钢管，管道设计壁厚的腐蚀余量不应小于2mm，管道的连接方式采用焊接。详见图6.2-1～6.2-5。</w:t>
      </w:r>
    </w:p>
    <w:p w14:paraId="56185E22">
      <w:pPr>
        <w:pStyle w:val="162"/>
        <w:rPr>
          <w:rFonts w:hint="eastAsia"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④污染监控</w:t>
      </w:r>
    </w:p>
    <w:p w14:paraId="7FE02154">
      <w:pPr>
        <w:spacing w:line="520" w:lineRule="exact"/>
        <w:ind w:firstLine="480"/>
        <w:rPr>
          <w:rFonts w:hint="eastAsia"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按照《环境影响评价技术导则  地下水》（HJ610-2016）中的相关规定</w:t>
      </w:r>
      <w:bookmarkStart w:id="702" w:name="_Hlk92219686"/>
      <w:r>
        <w:rPr>
          <w:rFonts w:hint="eastAsia" w:ascii="宋体" w:hAnsi="宋体" w:cs="宋体"/>
          <w:color w:val="000000" w:themeColor="text1"/>
          <w:sz w:val="24"/>
          <w:szCs w:val="24"/>
          <w14:textFill>
            <w14:solidFill>
              <w14:schemeClr w14:val="tx1"/>
            </w14:solidFill>
          </w14:textFill>
        </w:rPr>
        <w:t>并结合工程实际情况，建设单位可利用吉庆油田作业区已有水源井作为地下水监测井，地下水监测点数量应不少于</w:t>
      </w:r>
      <w:r>
        <w:rPr>
          <w:rFonts w:ascii="宋体" w:hAnsi="宋体" w:cs="宋体"/>
          <w:color w:val="000000" w:themeColor="text1"/>
          <w:sz w:val="24"/>
          <w:szCs w:val="24"/>
          <w14:textFill>
            <w14:solidFill>
              <w14:schemeClr w14:val="tx1"/>
            </w14:solidFill>
          </w14:textFill>
        </w:rPr>
        <w:t>3</w:t>
      </w:r>
      <w:r>
        <w:rPr>
          <w:rFonts w:hint="eastAsia" w:ascii="宋体" w:hAnsi="宋体" w:cs="宋体"/>
          <w:color w:val="000000" w:themeColor="text1"/>
          <w:sz w:val="24"/>
          <w:szCs w:val="24"/>
          <w14:textFill>
            <w14:solidFill>
              <w14:schemeClr w14:val="tx1"/>
            </w14:solidFill>
          </w14:textFill>
        </w:rPr>
        <w:t>个，监测因子主要为</w:t>
      </w:r>
      <w:bookmarkStart w:id="703" w:name="OLE_LINK38"/>
      <w:r>
        <w:rPr>
          <w:rFonts w:hint="eastAsia" w:ascii="宋体" w:hAnsi="宋体" w:cs="宋体"/>
          <w:color w:val="000000" w:themeColor="text1"/>
          <w:sz w:val="24"/>
          <w:szCs w:val="24"/>
          <w14:textFill>
            <w14:solidFill>
              <w14:schemeClr w14:val="tx1"/>
            </w14:solidFill>
          </w14:textFill>
        </w:rPr>
        <w:t>pH、硫化物、石油类钡、汞、砷、六价铬</w:t>
      </w:r>
      <w:bookmarkEnd w:id="703"/>
      <w:r>
        <w:rPr>
          <w:rFonts w:hint="eastAsia" w:ascii="宋体" w:hAnsi="宋体" w:cs="宋体"/>
          <w:color w:val="000000" w:themeColor="text1"/>
          <w:sz w:val="24"/>
          <w:szCs w:val="24"/>
          <w14:textFill>
            <w14:solidFill>
              <w14:schemeClr w14:val="tx1"/>
            </w14:solidFill>
          </w14:textFill>
        </w:rPr>
        <w:t>，石油类参照执行《地表水环境质量标准》（</w:t>
      </w:r>
      <w:r>
        <w:rPr>
          <w:rFonts w:ascii="宋体" w:hAnsi="宋体" w:cs="宋体"/>
          <w:color w:val="000000" w:themeColor="text1"/>
          <w:sz w:val="24"/>
          <w:szCs w:val="24"/>
          <w14:textFill>
            <w14:solidFill>
              <w14:schemeClr w14:val="tx1"/>
            </w14:solidFill>
          </w14:textFill>
        </w:rPr>
        <w:t>GB3838-2002</w:t>
      </w:r>
      <w:r>
        <w:rPr>
          <w:rFonts w:hint="eastAsia" w:ascii="宋体" w:hAnsi="宋体" w:cs="宋体"/>
          <w:color w:val="000000" w:themeColor="text1"/>
          <w:sz w:val="24"/>
          <w:szCs w:val="24"/>
          <w14:textFill>
            <w14:solidFill>
              <w14:schemeClr w14:val="tx1"/>
            </w14:solidFill>
          </w14:textFill>
        </w:rPr>
        <w:t>）中Ⅲ类标准，其余监测因子执行</w:t>
      </w:r>
      <w:r>
        <w:rPr>
          <w:rFonts w:ascii="宋体" w:hAnsi="宋体" w:cs="宋体"/>
          <w:color w:val="000000" w:themeColor="text1"/>
          <w:sz w:val="24"/>
          <w:szCs w:val="24"/>
          <w:lang w:bidi="ar"/>
          <w14:textFill>
            <w14:solidFill>
              <w14:schemeClr w14:val="tx1"/>
            </w14:solidFill>
          </w14:textFill>
        </w:rPr>
        <w:t>《地下水质量标准》（GB/T14848-</w:t>
      </w:r>
      <w:r>
        <w:rPr>
          <w:rFonts w:hint="eastAsia" w:ascii="宋体" w:hAnsi="宋体" w:cs="宋体"/>
          <w:color w:val="000000" w:themeColor="text1"/>
          <w:sz w:val="24"/>
          <w:szCs w:val="24"/>
          <w:lang w:bidi="ar"/>
          <w14:textFill>
            <w14:solidFill>
              <w14:schemeClr w14:val="tx1"/>
            </w14:solidFill>
          </w14:textFill>
        </w:rPr>
        <w:t>2017</w:t>
      </w:r>
      <w:r>
        <w:rPr>
          <w:rFonts w:ascii="宋体" w:hAnsi="宋体" w:cs="宋体"/>
          <w:color w:val="000000" w:themeColor="text1"/>
          <w:sz w:val="24"/>
          <w:szCs w:val="24"/>
          <w:lang w:bidi="ar"/>
          <w14:textFill>
            <w14:solidFill>
              <w14:schemeClr w14:val="tx1"/>
            </w14:solidFill>
          </w14:textFill>
        </w:rPr>
        <w:t>）</w:t>
      </w:r>
      <w:r>
        <w:rPr>
          <w:rFonts w:hint="eastAsia" w:ascii="宋体" w:hAnsi="宋体" w:cs="宋体"/>
          <w:color w:val="000000" w:themeColor="text1"/>
          <w:sz w:val="24"/>
          <w:szCs w:val="24"/>
          <w:lang w:bidi="ar"/>
          <w14:textFill>
            <w14:solidFill>
              <w14:schemeClr w14:val="tx1"/>
            </w14:solidFill>
          </w14:textFill>
        </w:rPr>
        <w:t>Ⅲ</w:t>
      </w:r>
      <w:r>
        <w:rPr>
          <w:rFonts w:ascii="宋体" w:hAnsi="宋体" w:cs="宋体"/>
          <w:color w:val="000000" w:themeColor="text1"/>
          <w:sz w:val="24"/>
          <w:szCs w:val="24"/>
          <w:lang w:bidi="ar"/>
          <w14:textFill>
            <w14:solidFill>
              <w14:schemeClr w14:val="tx1"/>
            </w14:solidFill>
          </w14:textFill>
        </w:rPr>
        <w:t>类标准</w:t>
      </w:r>
      <w:r>
        <w:rPr>
          <w:rFonts w:hint="eastAsia" w:ascii="宋体" w:hAnsi="宋体" w:cs="宋体"/>
          <w:color w:val="000000" w:themeColor="text1"/>
          <w:sz w:val="24"/>
          <w:szCs w:val="24"/>
          <w:lang w:bidi="ar"/>
          <w14:textFill>
            <w14:solidFill>
              <w14:schemeClr w14:val="tx1"/>
            </w14:solidFill>
          </w14:textFill>
        </w:rPr>
        <w:t>。</w:t>
      </w:r>
    </w:p>
    <w:p w14:paraId="546B91B2">
      <w:pPr>
        <w:spacing w:line="520" w:lineRule="exact"/>
        <w:ind w:firstLine="480"/>
        <w:rPr>
          <w:rFonts w:hint="eastAsia"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对跟踪监测点监测结果应按有关规定及时建立档案，并定期向安全环保部门汇报，对于常规监测数据应该进行公开。如发现异常或发生事故，加密监测频次，并分析污染原因，确定泄漏污染源，及时采取应急措施。</w:t>
      </w:r>
    </w:p>
    <w:bookmarkEnd w:id="702"/>
    <w:p w14:paraId="3DC12F02">
      <w:pPr>
        <w:spacing w:line="520" w:lineRule="exact"/>
        <w:ind w:firstLine="480"/>
        <w:rPr>
          <w:rFonts w:hint="eastAsia"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⑤应急响应</w:t>
      </w:r>
    </w:p>
    <w:p w14:paraId="3735354C">
      <w:pPr>
        <w:spacing w:line="520" w:lineRule="exact"/>
        <w:ind w:firstLine="480"/>
        <w:rPr>
          <w:rFonts w:hint="eastAsia"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制定地下水污染应急响应预案，</w:t>
      </w:r>
      <w:r>
        <w:rPr>
          <w:color w:val="000000" w:themeColor="text1"/>
          <w:kern w:val="0"/>
          <w:sz w:val="24"/>
          <w:szCs w:val="24"/>
          <w14:textFill>
            <w14:solidFill>
              <w14:schemeClr w14:val="tx1"/>
            </w14:solidFill>
          </w14:textFill>
        </w:rPr>
        <w:t>与</w:t>
      </w:r>
      <w:r>
        <w:rPr>
          <w:rFonts w:hint="eastAsia"/>
          <w:color w:val="000000" w:themeColor="text1"/>
          <w:kern w:val="0"/>
          <w:sz w:val="24"/>
          <w:szCs w:val="24"/>
          <w14:textFill>
            <w14:solidFill>
              <w14:schemeClr w14:val="tx1"/>
            </w14:solidFill>
          </w14:textFill>
        </w:rPr>
        <w:t>其他</w:t>
      </w:r>
      <w:r>
        <w:rPr>
          <w:color w:val="000000" w:themeColor="text1"/>
          <w:kern w:val="0"/>
          <w:sz w:val="24"/>
          <w:szCs w:val="24"/>
          <w14:textFill>
            <w14:solidFill>
              <w14:schemeClr w14:val="tx1"/>
            </w14:solidFill>
          </w14:textFill>
        </w:rPr>
        <w:t>类型事故的应急预案相协调，并纳入</w:t>
      </w:r>
      <w:r>
        <w:rPr>
          <w:rFonts w:hint="eastAsia"/>
          <w:color w:val="000000" w:themeColor="text1"/>
          <w:kern w:val="0"/>
          <w:sz w:val="24"/>
          <w:szCs w:val="24"/>
          <w14:textFill>
            <w14:solidFill>
              <w14:schemeClr w14:val="tx1"/>
            </w14:solidFill>
          </w14:textFill>
        </w:rPr>
        <w:t>作业区现有突发环境事件</w:t>
      </w:r>
      <w:r>
        <w:rPr>
          <w:color w:val="000000" w:themeColor="text1"/>
          <w:kern w:val="0"/>
          <w:sz w:val="24"/>
          <w:szCs w:val="24"/>
          <w14:textFill>
            <w14:solidFill>
              <w14:schemeClr w14:val="tx1"/>
            </w14:solidFill>
          </w14:textFill>
        </w:rPr>
        <w:t>应急预案中</w:t>
      </w:r>
      <w:r>
        <w:rPr>
          <w:rFonts w:hint="eastAsia"/>
          <w:color w:val="000000" w:themeColor="text1"/>
          <w:kern w:val="0"/>
          <w:sz w:val="24"/>
          <w:szCs w:val="24"/>
          <w14:textFill>
            <w14:solidFill>
              <w14:schemeClr w14:val="tx1"/>
            </w14:solidFill>
          </w14:textFill>
        </w:rPr>
        <w:t>，</w:t>
      </w:r>
      <w:r>
        <w:rPr>
          <w:rFonts w:hint="eastAsia" w:ascii="宋体" w:hAnsi="宋体" w:cs="宋体"/>
          <w:color w:val="000000" w:themeColor="text1"/>
          <w:sz w:val="24"/>
          <w:szCs w:val="24"/>
          <w14:textFill>
            <w14:solidFill>
              <w14:schemeClr w14:val="tx1"/>
            </w14:solidFill>
          </w14:textFill>
        </w:rPr>
        <w:t>组建应急队伍，组织实施演习，协调各级、各专业应急力量支</w:t>
      </w:r>
      <w:r>
        <w:rPr>
          <w:rFonts w:hint="eastAsia"/>
          <w:color w:val="000000" w:themeColor="text1"/>
          <w:kern w:val="0"/>
          <w:sz w:val="24"/>
          <w:szCs w:val="24"/>
          <w14:textFill>
            <w14:solidFill>
              <w14:schemeClr w14:val="tx1"/>
            </w14:solidFill>
          </w14:textFill>
        </w:rPr>
        <w:t>援行动。</w:t>
      </w:r>
      <w:bookmarkEnd w:id="697"/>
      <w:bookmarkEnd w:id="698"/>
      <w:r>
        <w:rPr>
          <w:color w:val="000000" w:themeColor="text1"/>
          <w:kern w:val="0"/>
          <w:sz w:val="24"/>
          <w:szCs w:val="24"/>
          <w14:textFill>
            <w14:solidFill>
              <w14:schemeClr w14:val="tx1"/>
            </w14:solidFill>
          </w14:textFill>
        </w:rPr>
        <w:t>地下水</w:t>
      </w:r>
      <w:r>
        <w:rPr>
          <w:rFonts w:hint="eastAsia"/>
          <w:color w:val="000000" w:themeColor="text1"/>
          <w:kern w:val="0"/>
          <w:sz w:val="24"/>
          <w:szCs w:val="24"/>
          <w14:textFill>
            <w14:solidFill>
              <w14:schemeClr w14:val="tx1"/>
            </w14:solidFill>
          </w14:textFill>
        </w:rPr>
        <w:t>污染应急响应</w:t>
      </w:r>
      <w:r>
        <w:rPr>
          <w:color w:val="000000" w:themeColor="text1"/>
          <w:kern w:val="0"/>
          <w:sz w:val="24"/>
          <w:szCs w:val="24"/>
          <w14:textFill>
            <w14:solidFill>
              <w14:schemeClr w14:val="tx1"/>
            </w14:solidFill>
          </w14:textFill>
        </w:rPr>
        <w:t>预案的内容</w:t>
      </w:r>
      <w:r>
        <w:rPr>
          <w:rFonts w:hint="eastAsia"/>
          <w:color w:val="000000" w:themeColor="text1"/>
          <w:kern w:val="0"/>
          <w:sz w:val="24"/>
          <w:szCs w:val="24"/>
          <w14:textFill>
            <w14:solidFill>
              <w14:schemeClr w14:val="tx1"/>
            </w14:solidFill>
          </w14:textFill>
        </w:rPr>
        <w:t>主要包括</w:t>
      </w:r>
      <w:r>
        <w:rPr>
          <w:color w:val="000000" w:themeColor="text1"/>
          <w:kern w:val="0"/>
          <w:sz w:val="24"/>
          <w:szCs w:val="24"/>
          <w14:textFill>
            <w14:solidFill>
              <w14:schemeClr w14:val="tx1"/>
            </w14:solidFill>
          </w14:textFill>
        </w:rPr>
        <w:t>应急预案的</w:t>
      </w:r>
      <w:r>
        <w:rPr>
          <w:rFonts w:hint="eastAsia"/>
          <w:color w:val="000000" w:themeColor="text1"/>
          <w:kern w:val="0"/>
          <w:sz w:val="24"/>
          <w:szCs w:val="24"/>
          <w14:textFill>
            <w14:solidFill>
              <w14:schemeClr w14:val="tx1"/>
            </w14:solidFill>
          </w14:textFill>
        </w:rPr>
        <w:t>日常</w:t>
      </w:r>
      <w:r>
        <w:rPr>
          <w:color w:val="000000" w:themeColor="text1"/>
          <w:kern w:val="0"/>
          <w:sz w:val="24"/>
          <w:szCs w:val="24"/>
          <w14:textFill>
            <w14:solidFill>
              <w14:schemeClr w14:val="tx1"/>
            </w14:solidFill>
          </w14:textFill>
        </w:rPr>
        <w:t>协调和指挥机构；各部门在应急预案中的职责和分工；确定地下水环境保护目标和对目标采取的紧急处置措施</w:t>
      </w:r>
      <w:r>
        <w:rPr>
          <w:rFonts w:ascii="宋体" w:hAnsi="宋体" w:cs="宋体"/>
          <w:color w:val="000000" w:themeColor="text1"/>
          <w:sz w:val="24"/>
          <w:szCs w:val="24"/>
          <w14:textFill>
            <w14:solidFill>
              <w14:schemeClr w14:val="tx1"/>
            </w14:solidFill>
          </w14:textFill>
        </w:rPr>
        <w:t>，评估潜在污染可能性；特大事故应急救援组织状况、人员和装备情况，平常的训练和演习。</w:t>
      </w:r>
    </w:p>
    <w:p w14:paraId="0F4A68B9">
      <w:pPr>
        <w:spacing w:line="520" w:lineRule="exact"/>
        <w:ind w:firstLine="480"/>
        <w:rPr>
          <w:rFonts w:hint="eastAsia" w:ascii="宋体" w:hAnsi="宋体" w:cs="宋体"/>
          <w:color w:val="000000" w:themeColor="text1"/>
          <w:sz w:val="24"/>
          <w:szCs w:val="24"/>
          <w14:textFill>
            <w14:solidFill>
              <w14:schemeClr w14:val="tx1"/>
            </w14:solidFill>
          </w14:textFill>
        </w:rPr>
      </w:pPr>
      <w:r>
        <w:rPr>
          <w:rFonts w:ascii="宋体" w:hAnsi="宋体" w:cs="宋体"/>
          <w:color w:val="000000" w:themeColor="text1"/>
          <w:sz w:val="24"/>
          <w:szCs w:val="24"/>
          <w14:textFill>
            <w14:solidFill>
              <w14:schemeClr w14:val="tx1"/>
            </w14:solidFill>
          </w14:textFill>
        </w:rPr>
        <w:t>在发现异常或者事故状态下，建议采取如下污染治理措施</w:t>
      </w:r>
      <w:r>
        <w:rPr>
          <w:rFonts w:hint="eastAsia" w:ascii="宋体" w:hAnsi="宋体" w:cs="宋体"/>
          <w:color w:val="000000" w:themeColor="text1"/>
          <w:sz w:val="24"/>
          <w:szCs w:val="24"/>
          <w14:textFill>
            <w14:solidFill>
              <w14:schemeClr w14:val="tx1"/>
            </w14:solidFill>
          </w14:textFill>
        </w:rPr>
        <w:t>：</w:t>
      </w:r>
      <w:r>
        <w:rPr>
          <w:rFonts w:ascii="宋体" w:hAnsi="宋体" w:cs="宋体"/>
          <w:color w:val="000000" w:themeColor="text1"/>
          <w:sz w:val="24"/>
          <w:szCs w:val="24"/>
          <w14:textFill>
            <w14:solidFill>
              <w14:schemeClr w14:val="tx1"/>
            </w14:solidFill>
          </w14:textFill>
        </w:rPr>
        <w:t>如发现异常或发生事故，加密监测频次，并分析污染原因，确定泄漏污染源，及时采取应急措施</w:t>
      </w:r>
      <w:r>
        <w:rPr>
          <w:rFonts w:hint="eastAsia" w:ascii="宋体" w:hAnsi="宋体" w:cs="宋体"/>
          <w:color w:val="000000" w:themeColor="text1"/>
          <w:sz w:val="24"/>
          <w:szCs w:val="24"/>
          <w14:textFill>
            <w14:solidFill>
              <w14:schemeClr w14:val="tx1"/>
            </w14:solidFill>
          </w14:textFill>
        </w:rPr>
        <w:t>；</w:t>
      </w:r>
      <w:r>
        <w:rPr>
          <w:rFonts w:ascii="宋体" w:hAnsi="宋体" w:cs="宋体"/>
          <w:color w:val="000000" w:themeColor="text1"/>
          <w:sz w:val="24"/>
          <w:szCs w:val="24"/>
          <w14:textFill>
            <w14:solidFill>
              <w14:schemeClr w14:val="tx1"/>
            </w14:solidFill>
          </w14:textFill>
        </w:rPr>
        <w:t>一旦发生地下水污染事故，应立即启动应急预案</w:t>
      </w:r>
      <w:r>
        <w:rPr>
          <w:rFonts w:hint="eastAsia" w:ascii="宋体" w:hAnsi="宋体" w:cs="宋体"/>
          <w:color w:val="000000" w:themeColor="text1"/>
          <w:sz w:val="24"/>
          <w:szCs w:val="24"/>
          <w14:textFill>
            <w14:solidFill>
              <w14:schemeClr w14:val="tx1"/>
            </w14:solidFill>
          </w14:textFill>
        </w:rPr>
        <w:t>；</w:t>
      </w:r>
      <w:r>
        <w:rPr>
          <w:rFonts w:ascii="宋体" w:hAnsi="宋体" w:cs="宋体"/>
          <w:color w:val="000000" w:themeColor="text1"/>
          <w:sz w:val="24"/>
          <w:szCs w:val="24"/>
          <w14:textFill>
            <w14:solidFill>
              <w14:schemeClr w14:val="tx1"/>
            </w14:solidFill>
          </w14:textFill>
        </w:rPr>
        <w:t>查明并切断污染源</w:t>
      </w:r>
      <w:r>
        <w:rPr>
          <w:rFonts w:hint="eastAsia" w:ascii="宋体" w:hAnsi="宋体" w:cs="宋体"/>
          <w:color w:val="000000" w:themeColor="text1"/>
          <w:sz w:val="24"/>
          <w:szCs w:val="24"/>
          <w14:textFill>
            <w14:solidFill>
              <w14:schemeClr w14:val="tx1"/>
            </w14:solidFill>
          </w14:textFill>
        </w:rPr>
        <w:t>；</w:t>
      </w:r>
      <w:r>
        <w:rPr>
          <w:rFonts w:ascii="宋体" w:hAnsi="宋体" w:cs="宋体"/>
          <w:color w:val="000000" w:themeColor="text1"/>
          <w:sz w:val="24"/>
          <w:szCs w:val="24"/>
          <w14:textFill>
            <w14:solidFill>
              <w14:schemeClr w14:val="tx1"/>
            </w14:solidFill>
          </w14:textFill>
        </w:rPr>
        <w:t>探明地下水污染深度、范围和污染程度。</w:t>
      </w:r>
    </w:p>
    <w:p w14:paraId="34A038F4">
      <w:pPr>
        <w:spacing w:line="520" w:lineRule="exact"/>
        <w:ind w:firstLine="480"/>
        <w:rPr>
          <w:rFonts w:hint="eastAsia"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⑥</w:t>
      </w:r>
      <w:r>
        <w:rPr>
          <w:rFonts w:ascii="宋体" w:hAnsi="宋体" w:cs="宋体"/>
          <w:color w:val="000000" w:themeColor="text1"/>
          <w:sz w:val="24"/>
          <w:szCs w:val="24"/>
          <w14:textFill>
            <w14:solidFill>
              <w14:schemeClr w14:val="tx1"/>
            </w14:solidFill>
          </w14:textFill>
        </w:rPr>
        <w:t>完整性监测</w:t>
      </w:r>
      <w:r>
        <w:rPr>
          <w:rFonts w:hint="eastAsia" w:ascii="宋体" w:hAnsi="宋体" w:cs="宋体"/>
          <w:color w:val="000000" w:themeColor="text1"/>
          <w:sz w:val="24"/>
          <w:szCs w:val="24"/>
          <w14:textFill>
            <w14:solidFill>
              <w14:schemeClr w14:val="tx1"/>
            </w14:solidFill>
          </w14:textFill>
        </w:rPr>
        <w:t>：</w:t>
      </w:r>
      <w:r>
        <w:rPr>
          <w:rFonts w:ascii="宋体" w:hAnsi="宋体" w:cs="宋体"/>
          <w:color w:val="000000" w:themeColor="text1"/>
          <w:sz w:val="24"/>
          <w:szCs w:val="24"/>
          <w14:textFill>
            <w14:solidFill>
              <w14:schemeClr w14:val="tx1"/>
            </w14:solidFill>
          </w14:textFill>
        </w:rPr>
        <w:t>定期采用超声波定点测试</w:t>
      </w:r>
      <w:r>
        <w:rPr>
          <w:rFonts w:hint="eastAsia" w:ascii="宋体" w:hAnsi="宋体" w:cs="宋体"/>
          <w:color w:val="000000" w:themeColor="text1"/>
          <w:sz w:val="24"/>
          <w:szCs w:val="24"/>
          <w14:textFill>
            <w14:solidFill>
              <w14:schemeClr w14:val="tx1"/>
            </w14:solidFill>
          </w14:textFill>
        </w:rPr>
        <w:t>结构完整性、壁厚、腐蚀缺陷、埋藏缺陷检测。定期开展环空压力监测；定期测试环空保护液液面，距井口大于50m及时补加。</w:t>
      </w:r>
    </w:p>
    <w:p w14:paraId="01B5C7E1">
      <w:pPr>
        <w:spacing w:line="520" w:lineRule="exact"/>
        <w:ind w:firstLine="480"/>
        <w:rPr>
          <w:rFonts w:hint="eastAsia"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⑦腐蚀监测：</w:t>
      </w:r>
      <w:r>
        <w:rPr>
          <w:rFonts w:ascii="宋体" w:hAnsi="宋体" w:cs="宋体"/>
          <w:color w:val="000000" w:themeColor="text1"/>
          <w:sz w:val="24"/>
          <w:szCs w:val="24"/>
          <w14:textFill>
            <w14:solidFill>
              <w14:schemeClr w14:val="tx1"/>
            </w14:solidFill>
          </w14:textFill>
        </w:rPr>
        <w:t>定期在吞吐井、回注井井口采用超声波定点测试厚度，判断井口腐蚀情况。自喷阶段每天监测试验井的套压、产液、含水变化，定期取套气，要求分析气体各组分组成及含量。定期取产出水，分析铁离子、钙离子等含量变化，为缓蚀剂的加药量及周期调整提供依据。在采油井修井作业时，在监测井油管上和封隔器下部加装腐蚀测试筒，监测油管内壁及油管外壁腐蚀情况。定期取现场水，并用原样在室内高温高压釜进行腐蚀实验，测定现场水在CO2环境下的腐蚀性，用于指导防腐工艺参数调整。</w:t>
      </w:r>
    </w:p>
    <w:p w14:paraId="35C1B10B">
      <w:pPr>
        <w:spacing w:line="520" w:lineRule="exact"/>
        <w:ind w:firstLine="480"/>
        <w:rPr>
          <w:rFonts w:hint="eastAsia"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⑧窜流监测：定期监测试验区邻井油压、套压、</w:t>
      </w:r>
      <w:r>
        <w:rPr>
          <w:rFonts w:ascii="宋体" w:hAnsi="宋体" w:cs="宋体"/>
          <w:color w:val="000000" w:themeColor="text1"/>
          <w:sz w:val="24"/>
          <w:szCs w:val="24"/>
          <w14:textFill>
            <w14:solidFill>
              <w14:schemeClr w14:val="tx1"/>
            </w14:solidFill>
          </w14:textFill>
        </w:rPr>
        <w:t>产液、含水变化</w:t>
      </w:r>
      <w:r>
        <w:rPr>
          <w:rFonts w:hint="eastAsia" w:ascii="宋体" w:hAnsi="宋体" w:cs="宋体"/>
          <w:color w:val="000000" w:themeColor="text1"/>
          <w:sz w:val="24"/>
          <w:szCs w:val="24"/>
          <w14:textFill>
            <w14:solidFill>
              <w14:schemeClr w14:val="tx1"/>
            </w14:solidFill>
          </w14:textFill>
        </w:rPr>
        <w:t>，生产情况，</w:t>
      </w:r>
      <w:r>
        <w:rPr>
          <w:rFonts w:ascii="宋体" w:hAnsi="宋体" w:cs="宋体"/>
          <w:color w:val="000000" w:themeColor="text1"/>
          <w:sz w:val="24"/>
          <w:szCs w:val="24"/>
          <w14:textFill>
            <w14:solidFill>
              <w14:schemeClr w14:val="tx1"/>
            </w14:solidFill>
          </w14:textFill>
        </w:rPr>
        <w:t>定期取套气，要求分析气体各组分组成及含量</w:t>
      </w:r>
      <w:r>
        <w:rPr>
          <w:rFonts w:hint="eastAsia" w:ascii="宋体" w:hAnsi="宋体" w:cs="宋体"/>
          <w:color w:val="000000" w:themeColor="text1"/>
          <w:sz w:val="24"/>
          <w:szCs w:val="24"/>
          <w14:textFill>
            <w14:solidFill>
              <w14:schemeClr w14:val="tx1"/>
            </w14:solidFill>
          </w14:textFill>
        </w:rPr>
        <w:t>，综合分析判断是否发生气窜。转为注气井前</w:t>
      </w:r>
      <w:r>
        <w:rPr>
          <w:rFonts w:ascii="宋体" w:hAnsi="宋体" w:cs="宋体"/>
          <w:color w:val="000000" w:themeColor="text1"/>
          <w:sz w:val="24"/>
          <w:szCs w:val="24"/>
          <w14:textFill>
            <w14:solidFill>
              <w14:schemeClr w14:val="tx1"/>
            </w14:solidFill>
          </w14:textFill>
        </w:rPr>
        <w:t>应</w:t>
      </w:r>
      <w:r>
        <w:rPr>
          <w:rFonts w:hint="eastAsia" w:ascii="宋体" w:hAnsi="宋体" w:cs="宋体"/>
          <w:color w:val="000000" w:themeColor="text1"/>
          <w:sz w:val="24"/>
          <w:szCs w:val="24"/>
          <w14:textFill>
            <w14:solidFill>
              <w14:schemeClr w14:val="tx1"/>
            </w14:solidFill>
          </w14:textFill>
        </w:rPr>
        <w:t>先</w:t>
      </w:r>
      <w:r>
        <w:rPr>
          <w:rFonts w:ascii="宋体" w:hAnsi="宋体" w:cs="宋体"/>
          <w:color w:val="000000" w:themeColor="text1"/>
          <w:sz w:val="24"/>
          <w:szCs w:val="24"/>
          <w14:textFill>
            <w14:solidFill>
              <w14:schemeClr w14:val="tx1"/>
            </w14:solidFill>
          </w14:textFill>
        </w:rPr>
        <w:t>对套管完整性、承压能力、套管壁厚等进行检测评价，评价合格方可转为注二氧化碳井。</w:t>
      </w:r>
    </w:p>
    <w:bookmarkEnd w:id="677"/>
    <w:bookmarkEnd w:id="678"/>
    <w:bookmarkEnd w:id="679"/>
    <w:bookmarkEnd w:id="694"/>
    <w:p w14:paraId="62B1D694">
      <w:pPr>
        <w:pStyle w:val="4"/>
        <w:rPr>
          <w:rFonts w:hint="eastAsia"/>
          <w:color w:val="000000" w:themeColor="text1"/>
          <w:lang w:val="zh-CN"/>
          <w14:textFill>
            <w14:solidFill>
              <w14:schemeClr w14:val="tx1"/>
            </w14:solidFill>
          </w14:textFill>
        </w:rPr>
      </w:pPr>
      <w:bookmarkStart w:id="704" w:name="_Toc445996467"/>
      <w:bookmarkStart w:id="705" w:name="_Toc445842147"/>
      <w:bookmarkStart w:id="706" w:name="_Toc32189"/>
      <w:r>
        <w:rPr>
          <w:rFonts w:hint="eastAsia"/>
          <w:color w:val="000000" w:themeColor="text1"/>
          <w:lang w:val="zh-CN"/>
          <w14:textFill>
            <w14:solidFill>
              <w14:schemeClr w14:val="tx1"/>
            </w14:solidFill>
          </w14:textFill>
        </w:rPr>
        <w:t>运营期</w:t>
      </w:r>
      <w:r>
        <w:rPr>
          <w:color w:val="000000" w:themeColor="text1"/>
          <w:lang w:val="zh-CN"/>
          <w14:textFill>
            <w14:solidFill>
              <w14:schemeClr w14:val="tx1"/>
            </w14:solidFill>
          </w14:textFill>
        </w:rPr>
        <w:t>噪声污染防治措施</w:t>
      </w:r>
    </w:p>
    <w:p w14:paraId="5B81C59A">
      <w:pPr>
        <w:pStyle w:val="117"/>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（1）</w:t>
      </w:r>
      <w:bookmarkStart w:id="707" w:name="OLE_LINK184"/>
      <w:r>
        <w:rPr>
          <w:rFonts w:hint="eastAsia"/>
          <w:color w:val="000000" w:themeColor="text1"/>
          <w14:textFill>
            <w14:solidFill>
              <w14:schemeClr w14:val="tx1"/>
            </w14:solidFill>
          </w14:textFill>
        </w:rPr>
        <w:t>尽量选用低噪声设备，对噪声强度较大的设备进行减噪处理。</w:t>
      </w:r>
    </w:p>
    <w:p w14:paraId="1C869CFC">
      <w:pPr>
        <w:pStyle w:val="117"/>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（2）定期给机泵等设备加润滑油和减振垫，对各种机械设备定期保养。</w:t>
      </w:r>
    </w:p>
    <w:p w14:paraId="73412292">
      <w:pPr>
        <w:pStyle w:val="117"/>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（3）合理布局使各产噪设备尽可能位于站场中心。</w:t>
      </w:r>
    </w:p>
    <w:p w14:paraId="24D82FA1">
      <w:pPr>
        <w:pStyle w:val="117"/>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（4）加强噪声防范，做好个人防护工作。</w:t>
      </w:r>
    </w:p>
    <w:bookmarkEnd w:id="707"/>
    <w:p w14:paraId="14A7FF3E">
      <w:pPr>
        <w:pStyle w:val="117"/>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经以上措施，井场、预处理注入站厂界能够满足《工业企业厂界环境噪声排放标准》（GB12348-2008）</w:t>
      </w:r>
      <w:r>
        <w:rPr>
          <w:color w:val="000000" w:themeColor="text1"/>
          <w14:textFill>
            <w14:solidFill>
              <w14:schemeClr w14:val="tx1"/>
            </w14:solidFill>
          </w14:textFill>
        </w:rPr>
        <w:t>2</w:t>
      </w:r>
      <w:r>
        <w:rPr>
          <w:rFonts w:hint="eastAsia"/>
          <w:color w:val="000000" w:themeColor="text1"/>
          <w14:textFill>
            <w14:solidFill>
              <w14:schemeClr w14:val="tx1"/>
            </w14:solidFill>
          </w14:textFill>
        </w:rPr>
        <w:t>类声功能区环境噪声限值要求。</w:t>
      </w:r>
    </w:p>
    <w:p w14:paraId="0BF7B981">
      <w:pPr>
        <w:pStyle w:val="4"/>
        <w:rPr>
          <w:rFonts w:hint="eastAsia"/>
          <w:color w:val="000000" w:themeColor="text1"/>
          <w:lang w:val="zh-CN"/>
          <w14:textFill>
            <w14:solidFill>
              <w14:schemeClr w14:val="tx1"/>
            </w14:solidFill>
          </w14:textFill>
        </w:rPr>
      </w:pPr>
      <w:bookmarkStart w:id="708" w:name="_Hlk40434589"/>
      <w:bookmarkStart w:id="709" w:name="_Hlk40733113"/>
      <w:r>
        <w:rPr>
          <w:rFonts w:hint="eastAsia"/>
          <w:color w:val="000000" w:themeColor="text1"/>
          <w:lang w:val="zh-CN"/>
          <w14:textFill>
            <w14:solidFill>
              <w14:schemeClr w14:val="tx1"/>
            </w14:solidFill>
          </w14:textFill>
        </w:rPr>
        <w:t>运营期</w:t>
      </w:r>
      <w:r>
        <w:rPr>
          <w:color w:val="000000" w:themeColor="text1"/>
          <w:lang w:val="zh-CN"/>
          <w14:textFill>
            <w14:solidFill>
              <w14:schemeClr w14:val="tx1"/>
            </w14:solidFill>
          </w14:textFill>
        </w:rPr>
        <w:t>固体废物污染防治</w:t>
      </w:r>
      <w:bookmarkEnd w:id="708"/>
      <w:r>
        <w:rPr>
          <w:color w:val="000000" w:themeColor="text1"/>
          <w:lang w:val="zh-CN"/>
          <w14:textFill>
            <w14:solidFill>
              <w14:schemeClr w14:val="tx1"/>
            </w14:solidFill>
          </w14:textFill>
        </w:rPr>
        <w:t>措施</w:t>
      </w:r>
    </w:p>
    <w:bookmarkEnd w:id="709"/>
    <w:p w14:paraId="39944462">
      <w:pPr>
        <w:pStyle w:val="117"/>
        <w:ind w:firstLine="480" w:firstLineChars="0"/>
        <w:rPr>
          <w:rFonts w:hint="eastAsia" w:cs="宋体"/>
          <w:color w:val="000000" w:themeColor="text1"/>
          <w14:textFill>
            <w14:solidFill>
              <w14:schemeClr w14:val="tx1"/>
            </w14:solidFill>
          </w14:textFill>
        </w:rPr>
      </w:pPr>
      <w:bookmarkStart w:id="710" w:name="OLE_LINK191"/>
      <w:r>
        <w:rPr>
          <w:rFonts w:hint="eastAsia"/>
          <w:color w:val="000000" w:themeColor="text1"/>
          <w14:textFill>
            <w14:solidFill>
              <w14:schemeClr w14:val="tx1"/>
            </w14:solidFill>
          </w14:textFill>
        </w:rPr>
        <w:t>（1）</w:t>
      </w:r>
      <w:bookmarkStart w:id="711" w:name="_Hlk147589724"/>
      <w:r>
        <w:rPr>
          <w:rFonts w:hint="eastAsia" w:cs="宋体"/>
          <w:color w:val="000000" w:themeColor="text1"/>
          <w14:textFill>
            <w14:solidFill>
              <w14:schemeClr w14:val="tx1"/>
            </w14:solidFill>
          </w14:textFill>
        </w:rPr>
        <w:t>固体废物主要为</w:t>
      </w:r>
      <w:r>
        <w:rPr>
          <w:rFonts w:hint="eastAsia" w:cs="宋体"/>
          <w:color w:val="000000" w:themeColor="text1"/>
          <w:lang w:val="zh-CN"/>
          <w14:textFill>
            <w14:solidFill>
              <w14:schemeClr w14:val="tx1"/>
            </w14:solidFill>
          </w14:textFill>
        </w:rPr>
        <w:t>废包装物、废润滑油、废油桶、废分子筛、沾油废防渗材料、废含油抹布和劳保用品。</w:t>
      </w:r>
      <w:bookmarkStart w:id="712" w:name="OLE_LINK185"/>
      <w:r>
        <w:rPr>
          <w:rFonts w:hint="eastAsia" w:cs="宋体"/>
          <w:color w:val="000000" w:themeColor="text1"/>
          <w:lang w:val="zh-CN"/>
          <w14:textFill>
            <w14:solidFill>
              <w14:schemeClr w14:val="tx1"/>
            </w14:solidFill>
          </w14:textFill>
        </w:rPr>
        <w:t>废润滑油、废油桶、沾油废防渗膜属于《国家危险废物名录（</w:t>
      </w:r>
      <w:r>
        <w:rPr>
          <w:rFonts w:cs="宋体"/>
          <w:color w:val="000000" w:themeColor="text1"/>
          <w:lang w:val="zh-CN"/>
          <w14:textFill>
            <w14:solidFill>
              <w14:schemeClr w14:val="tx1"/>
            </w14:solidFill>
          </w14:textFill>
        </w:rPr>
        <w:t>202</w:t>
      </w:r>
      <w:r>
        <w:rPr>
          <w:rFonts w:hint="eastAsia" w:cs="宋体"/>
          <w:color w:val="000000" w:themeColor="text1"/>
          <w:lang w:val="zh-CN"/>
          <w14:textFill>
            <w14:solidFill>
              <w14:schemeClr w14:val="tx1"/>
            </w14:solidFill>
          </w14:textFill>
        </w:rPr>
        <w:t>5年版）》</w:t>
      </w:r>
      <w:r>
        <w:rPr>
          <w:rFonts w:cs="宋体"/>
          <w:color w:val="000000" w:themeColor="text1"/>
          <w:lang w:val="zh-CN"/>
          <w14:textFill>
            <w14:solidFill>
              <w14:schemeClr w14:val="tx1"/>
            </w14:solidFill>
          </w14:textFill>
        </w:rPr>
        <w:t>HW08</w:t>
      </w:r>
      <w:r>
        <w:rPr>
          <w:rFonts w:hint="eastAsia" w:cs="宋体"/>
          <w:color w:val="000000" w:themeColor="text1"/>
          <w:lang w:val="zh-CN"/>
          <w14:textFill>
            <w14:solidFill>
              <w14:schemeClr w14:val="tx1"/>
            </w14:solidFill>
          </w14:textFill>
        </w:rPr>
        <w:t>废矿物油和含矿物油废物，废分子筛、废含油抹布和劳保用品属于《国家危险废物名录（</w:t>
      </w:r>
      <w:r>
        <w:rPr>
          <w:rFonts w:cs="宋体"/>
          <w:color w:val="000000" w:themeColor="text1"/>
          <w:lang w:val="zh-CN"/>
          <w14:textFill>
            <w14:solidFill>
              <w14:schemeClr w14:val="tx1"/>
            </w14:solidFill>
          </w14:textFill>
        </w:rPr>
        <w:t>202</w:t>
      </w:r>
      <w:r>
        <w:rPr>
          <w:rFonts w:hint="eastAsia" w:cs="宋体"/>
          <w:color w:val="000000" w:themeColor="text1"/>
          <w:lang w:val="zh-CN"/>
          <w14:textFill>
            <w14:solidFill>
              <w14:schemeClr w14:val="tx1"/>
            </w14:solidFill>
          </w14:textFill>
        </w:rPr>
        <w:t>5年版）》HW49其他废物，临时贮存在页岩油联合站危险废物临时暂存场，最终交由有相应危险废物处理资质的单位处理</w:t>
      </w:r>
      <w:bookmarkEnd w:id="712"/>
      <w:r>
        <w:rPr>
          <w:rFonts w:hint="eastAsia" w:cs="宋体"/>
          <w:color w:val="000000" w:themeColor="text1"/>
          <w:lang w:val="zh-CN"/>
          <w14:textFill>
            <w14:solidFill>
              <w14:schemeClr w14:val="tx1"/>
            </w14:solidFill>
          </w14:textFill>
        </w:rPr>
        <w:t>；</w:t>
      </w:r>
      <w:bookmarkStart w:id="713" w:name="OLE_LINK280"/>
      <w:bookmarkStart w:id="714" w:name="OLE_LINK281"/>
      <w:r>
        <w:rPr>
          <w:rFonts w:hint="eastAsia" w:cs="宋体"/>
          <w:color w:val="000000" w:themeColor="text1"/>
          <w:lang w:val="zh-CN"/>
          <w14:textFill>
            <w14:solidFill>
              <w14:schemeClr w14:val="tx1"/>
            </w14:solidFill>
          </w14:textFill>
        </w:rPr>
        <w:t>建设单位应根据</w:t>
      </w:r>
      <w:r>
        <w:rPr>
          <w:rFonts w:hint="eastAsia" w:cs="宋体"/>
          <w:color w:val="000000" w:themeColor="text1"/>
          <w14:textFill>
            <w14:solidFill>
              <w14:schemeClr w14:val="tx1"/>
            </w14:solidFill>
          </w14:textFill>
        </w:rPr>
        <w:t>《危险废物识别标志设置技术规范》（HJ1267-2022）中的相关规定应在</w:t>
      </w:r>
      <w:r>
        <w:rPr>
          <w:rFonts w:hint="eastAsia" w:cs="宋体"/>
          <w:color w:val="000000" w:themeColor="text1"/>
          <w:lang w:val="zh-CN"/>
          <w14:textFill>
            <w14:solidFill>
              <w14:schemeClr w14:val="tx1"/>
            </w14:solidFill>
          </w14:textFill>
        </w:rPr>
        <w:t>危险废物临时暂存场</w:t>
      </w:r>
      <w:r>
        <w:rPr>
          <w:rFonts w:hint="eastAsia" w:cs="宋体"/>
          <w:color w:val="000000" w:themeColor="text1"/>
          <w14:textFill>
            <w14:solidFill>
              <w14:schemeClr w14:val="tx1"/>
            </w14:solidFill>
          </w14:textFill>
        </w:rPr>
        <w:t>设置危险废物贮存分区标志、危险废物标签等</w:t>
      </w:r>
      <w:bookmarkEnd w:id="710"/>
      <w:bookmarkEnd w:id="713"/>
      <w:r>
        <w:rPr>
          <w:rFonts w:hint="eastAsia" w:cs="宋体"/>
          <w:color w:val="000000" w:themeColor="text1"/>
          <w14:textFill>
            <w14:solidFill>
              <w14:schemeClr w14:val="tx1"/>
            </w14:solidFill>
          </w14:textFill>
        </w:rPr>
        <w:t>；</w:t>
      </w:r>
      <w:bookmarkEnd w:id="714"/>
      <w:r>
        <w:rPr>
          <w:rFonts w:hint="eastAsia" w:cs="宋体"/>
          <w:color w:val="000000" w:themeColor="text1"/>
          <w14:textFill>
            <w14:solidFill>
              <w14:schemeClr w14:val="tx1"/>
            </w14:solidFill>
          </w14:textFill>
        </w:rPr>
        <w:t>吉庆油田作业区已与</w:t>
      </w:r>
      <w:r>
        <w:rPr>
          <w:rFonts w:hint="eastAsia"/>
          <w:color w:val="000000" w:themeColor="text1"/>
          <w14:textFill>
            <w14:solidFill>
              <w14:schemeClr w14:val="tx1"/>
            </w14:solidFill>
          </w14:textFill>
        </w:rPr>
        <w:t>克拉玛依市博达生态环保科技有限责任公司签订了危险废物处置协议，产生的危险废物可</w:t>
      </w:r>
      <w:r>
        <w:rPr>
          <w:rFonts w:hint="eastAsia" w:cs="宋体"/>
          <w:color w:val="000000" w:themeColor="text1"/>
          <w14:textFill>
            <w14:solidFill>
              <w14:schemeClr w14:val="tx1"/>
            </w14:solidFill>
          </w14:textFill>
        </w:rPr>
        <w:t>得到妥善处置。废包装物由厂家回收处理。</w:t>
      </w:r>
    </w:p>
    <w:bookmarkEnd w:id="711"/>
    <w:p w14:paraId="08103820">
      <w:pPr>
        <w:pStyle w:val="462"/>
        <w:rPr>
          <w:rFonts w:hint="eastAsia"/>
          <w:color w:val="000000" w:themeColor="text1"/>
          <w14:textFill>
            <w14:solidFill>
              <w14:schemeClr w14:val="tx1"/>
            </w14:solidFill>
          </w14:textFill>
        </w:rPr>
      </w:pPr>
      <w:bookmarkStart w:id="715" w:name="OLE_LINK192"/>
      <w:r>
        <w:rPr>
          <w:rFonts w:hint="eastAsia" w:cs="宋体"/>
          <w:color w:val="000000" w:themeColor="text1"/>
          <w14:textFill>
            <w14:solidFill>
              <w14:schemeClr w14:val="tx1"/>
            </w14:solidFill>
          </w14:textFill>
        </w:rPr>
        <w:t>（</w:t>
      </w:r>
      <w:r>
        <w:rPr>
          <w:rFonts w:cs="宋体"/>
          <w:color w:val="000000" w:themeColor="text1"/>
          <w14:textFill>
            <w14:solidFill>
              <w14:schemeClr w14:val="tx1"/>
            </w14:solidFill>
          </w14:textFill>
        </w:rPr>
        <w:t>2</w:t>
      </w:r>
      <w:r>
        <w:rPr>
          <w:rFonts w:hint="eastAsia" w:cs="宋体"/>
          <w:color w:val="000000" w:themeColor="text1"/>
          <w14:textFill>
            <w14:solidFill>
              <w14:schemeClr w14:val="tx1"/>
            </w14:solidFill>
          </w14:textFill>
        </w:rPr>
        <w:t>）</w:t>
      </w:r>
      <w:r>
        <w:rPr>
          <w:rFonts w:hint="eastAsia" w:cs="宋体"/>
          <w:color w:val="000000" w:themeColor="text1"/>
          <w:lang w:val="zh-CN"/>
          <w14:textFill>
            <w14:solidFill>
              <w14:schemeClr w14:val="tx1"/>
            </w14:solidFill>
          </w14:textFill>
        </w:rPr>
        <w:t>废润滑油、废油桶、废分子筛、沾油废防渗膜和废含油抹布和劳保用品</w:t>
      </w:r>
      <w:r>
        <w:rPr>
          <w:rFonts w:hint="eastAsia" w:cs="宋体"/>
          <w:color w:val="000000" w:themeColor="text1"/>
          <w14:textFill>
            <w14:solidFill>
              <w14:schemeClr w14:val="tx1"/>
            </w14:solidFill>
          </w14:textFill>
        </w:rPr>
        <w:t>的收集、贮存、运输须符合《危险废物收集 贮存 运输 技术规范》（HJ2025-2012）</w:t>
      </w:r>
      <w:r>
        <w:rPr>
          <w:color w:val="000000" w:themeColor="text1"/>
          <w14:textFill>
            <w14:solidFill>
              <w14:schemeClr w14:val="tx1"/>
            </w14:solidFill>
          </w14:textFill>
        </w:rPr>
        <w:t>和《危险废物转移管理办法》（生态环境部、公安部、交通运输部令第23号）要求，相关资料存档备查。</w:t>
      </w:r>
      <w:r>
        <w:rPr>
          <w:rFonts w:hint="eastAsia"/>
          <w:color w:val="000000" w:themeColor="text1"/>
          <w14:textFill>
            <w14:solidFill>
              <w14:schemeClr w14:val="tx1"/>
            </w14:solidFill>
          </w14:textFill>
        </w:rPr>
        <w:t>具体如下：</w:t>
      </w:r>
    </w:p>
    <w:p w14:paraId="7145D2E7">
      <w:pPr>
        <w:pStyle w:val="462"/>
        <w:rPr>
          <w:rFonts w:hint="eastAsia"/>
          <w:color w:val="000000" w:themeColor="text1"/>
          <w14:textFill>
            <w14:solidFill>
              <w14:schemeClr w14:val="tx1"/>
            </w14:solidFill>
          </w14:textFill>
        </w:rPr>
      </w:pPr>
      <w:bookmarkStart w:id="716" w:name="_Hlk110526123"/>
      <w:r>
        <w:rPr>
          <w:rFonts w:hint="eastAsia" w:cs="宋体"/>
          <w:color w:val="000000" w:themeColor="text1"/>
          <w14:textFill>
            <w14:solidFill>
              <w14:schemeClr w14:val="tx1"/>
            </w14:solidFill>
          </w14:textFill>
        </w:rPr>
        <w:t>①</w:t>
      </w:r>
      <w:r>
        <w:rPr>
          <w:color w:val="000000" w:themeColor="text1"/>
          <w14:textFill>
            <w14:solidFill>
              <w14:schemeClr w14:val="tx1"/>
            </w14:solidFill>
          </w14:textFill>
        </w:rPr>
        <w:t>危废收集过程污染防治措施</w:t>
      </w:r>
    </w:p>
    <w:p w14:paraId="1EB8D95D">
      <w:pPr>
        <w:pStyle w:val="117"/>
        <w:ind w:firstLine="480"/>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在危险废物收集过程中应采取以下防治措施：</w:t>
      </w:r>
    </w:p>
    <w:p w14:paraId="34777890">
      <w:pPr>
        <w:pStyle w:val="117"/>
        <w:ind w:firstLine="480"/>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w:t>
      </w:r>
      <w:r>
        <w:rPr>
          <w:rFonts w:ascii="Times New Roman" w:hAnsi="Times New Roman"/>
          <w:color w:val="000000" w:themeColor="text1"/>
          <w14:textFill>
            <w14:solidFill>
              <w14:schemeClr w14:val="tx1"/>
            </w14:solidFill>
          </w14:textFill>
        </w:rPr>
        <w:t>危险废物的收集应根据危险废物产生的工艺特征、排放周期、危险废物特性、废物管理计划等因素制定收集计划。收集计划应包括收集任务概述、收集目标及原则、危险废物特性评估、危险废物收集量估算、收集作业范围和方法、收集设备与包装容器、安全生产与个人防护、工程防护与事故应急、进度安排与组织管理等。</w:t>
      </w:r>
    </w:p>
    <w:p w14:paraId="6658F37E">
      <w:pPr>
        <w:pStyle w:val="117"/>
        <w:ind w:firstLine="480"/>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w:t>
      </w:r>
      <w:r>
        <w:rPr>
          <w:rFonts w:ascii="Times New Roman" w:hAnsi="Times New Roman"/>
          <w:color w:val="000000" w:themeColor="text1"/>
          <w14:textFill>
            <w14:solidFill>
              <w14:schemeClr w14:val="tx1"/>
            </w14:solidFill>
          </w14:textFill>
        </w:rPr>
        <w:t>危险废物的收集应制定详细的操作规程，内容至少应包括适用范围、操作程序和方法、专用设备和工具、转移和交接、安全保障和应急防护等。</w:t>
      </w:r>
    </w:p>
    <w:p w14:paraId="7D82180A">
      <w:pPr>
        <w:pStyle w:val="117"/>
        <w:ind w:firstLine="480"/>
        <w:rPr>
          <w:rFonts w:ascii="Times New Roman" w:hAnsi="Times New Roman"/>
          <w:color w:val="000000" w:themeColor="text1"/>
          <w14:textFill>
            <w14:solidFill>
              <w14:schemeClr w14:val="tx1"/>
            </w14:solidFill>
          </w14:textFill>
        </w:rPr>
      </w:pPr>
      <w:r>
        <w:rPr>
          <w:rFonts w:hint="eastAsia" w:cs="宋体"/>
          <w:color w:val="000000" w:themeColor="text1"/>
          <w14:textFill>
            <w14:solidFill>
              <w14:schemeClr w14:val="tx1"/>
            </w14:solidFill>
          </w14:textFill>
        </w:rPr>
        <w:t>※</w:t>
      </w:r>
      <w:r>
        <w:rPr>
          <w:rFonts w:ascii="Times New Roman" w:hAnsi="Times New Roman"/>
          <w:color w:val="000000" w:themeColor="text1"/>
          <w14:textFill>
            <w14:solidFill>
              <w14:schemeClr w14:val="tx1"/>
            </w14:solidFill>
          </w14:textFill>
        </w:rPr>
        <w:t>危险废物收集和转运作业人员应根据工作需要配备必要的个人防护装备，如手套、防护镜、防护服、防毒面具或口罩等。</w:t>
      </w:r>
    </w:p>
    <w:p w14:paraId="02E12DB9">
      <w:pPr>
        <w:pStyle w:val="117"/>
        <w:ind w:firstLine="480"/>
        <w:rPr>
          <w:rFonts w:ascii="Times New Roman" w:hAnsi="Times New Roman"/>
          <w:color w:val="000000" w:themeColor="text1"/>
          <w14:textFill>
            <w14:solidFill>
              <w14:schemeClr w14:val="tx1"/>
            </w14:solidFill>
          </w14:textFill>
        </w:rPr>
      </w:pPr>
      <w:r>
        <w:rPr>
          <w:rFonts w:hint="eastAsia" w:cs="宋体"/>
          <w:color w:val="000000" w:themeColor="text1"/>
          <w14:textFill>
            <w14:solidFill>
              <w14:schemeClr w14:val="tx1"/>
            </w14:solidFill>
          </w14:textFill>
        </w:rPr>
        <w:t>※</w:t>
      </w:r>
      <w:r>
        <w:rPr>
          <w:rFonts w:ascii="Times New Roman" w:hAnsi="Times New Roman"/>
          <w:color w:val="000000" w:themeColor="text1"/>
          <w14:textFill>
            <w14:solidFill>
              <w14:schemeClr w14:val="tx1"/>
            </w14:solidFill>
          </w14:textFill>
        </w:rPr>
        <w:t>在危险废物的收集和转运过程中，应采取相应的安全防护和污染防治措施，包括防爆、防火、防中毒、防感染、防</w:t>
      </w:r>
      <w:r>
        <w:rPr>
          <w:rFonts w:hint="eastAsia" w:ascii="Times New Roman" w:hAnsi="Times New Roman"/>
          <w:color w:val="000000" w:themeColor="text1"/>
          <w14:textFill>
            <w14:solidFill>
              <w14:schemeClr w14:val="tx1"/>
            </w14:solidFill>
          </w14:textFill>
        </w:rPr>
        <w:t>泄漏</w:t>
      </w:r>
      <w:r>
        <w:rPr>
          <w:rFonts w:ascii="Times New Roman" w:hAnsi="Times New Roman"/>
          <w:color w:val="000000" w:themeColor="text1"/>
          <w14:textFill>
            <w14:solidFill>
              <w14:schemeClr w14:val="tx1"/>
            </w14:solidFill>
          </w14:textFill>
        </w:rPr>
        <w:t>、防飞扬、防雨或</w:t>
      </w:r>
      <w:r>
        <w:rPr>
          <w:rFonts w:hint="eastAsia" w:ascii="Times New Roman" w:hAnsi="Times New Roman"/>
          <w:color w:val="000000" w:themeColor="text1"/>
          <w14:textFill>
            <w14:solidFill>
              <w14:schemeClr w14:val="tx1"/>
            </w14:solidFill>
          </w14:textFill>
        </w:rPr>
        <w:t>其他</w:t>
      </w:r>
      <w:r>
        <w:rPr>
          <w:rFonts w:ascii="Times New Roman" w:hAnsi="Times New Roman"/>
          <w:color w:val="000000" w:themeColor="text1"/>
          <w14:textFill>
            <w14:solidFill>
              <w14:schemeClr w14:val="tx1"/>
            </w14:solidFill>
          </w14:textFill>
        </w:rPr>
        <w:t>防止污染环境的措施。</w:t>
      </w:r>
    </w:p>
    <w:p w14:paraId="13A3CFE0">
      <w:pPr>
        <w:pStyle w:val="117"/>
        <w:ind w:firstLine="480"/>
        <w:rPr>
          <w:rFonts w:ascii="Times New Roman" w:hAnsi="Times New Roman"/>
          <w:color w:val="000000" w:themeColor="text1"/>
          <w14:textFill>
            <w14:solidFill>
              <w14:schemeClr w14:val="tx1"/>
            </w14:solidFill>
          </w14:textFill>
        </w:rPr>
      </w:pPr>
      <w:r>
        <w:rPr>
          <w:rFonts w:hint="eastAsia" w:cs="宋体"/>
          <w:color w:val="000000" w:themeColor="text1"/>
          <w14:textFill>
            <w14:solidFill>
              <w14:schemeClr w14:val="tx1"/>
            </w14:solidFill>
          </w14:textFill>
        </w:rPr>
        <w:t>※</w:t>
      </w:r>
      <w:r>
        <w:rPr>
          <w:rFonts w:ascii="Times New Roman" w:hAnsi="Times New Roman"/>
          <w:color w:val="000000" w:themeColor="text1"/>
          <w14:textFill>
            <w14:solidFill>
              <w14:schemeClr w14:val="tx1"/>
            </w14:solidFill>
          </w14:textFill>
        </w:rPr>
        <w:t>危险废物收集时应根据危险废物的种类、数量、危险特性、物理形态、运输要求等因素确定包装形式，具体包装应符合如下要求</w:t>
      </w:r>
      <w:r>
        <w:rPr>
          <w:rFonts w:hint="eastAsia" w:ascii="Times New Roman" w:hAnsi="Times New Roman"/>
          <w:color w:val="000000" w:themeColor="text1"/>
          <w14:textFill>
            <w14:solidFill>
              <w14:schemeClr w14:val="tx1"/>
            </w14:solidFill>
          </w14:textFill>
        </w:rPr>
        <w:t>：</w:t>
      </w:r>
      <w:r>
        <w:rPr>
          <w:rFonts w:ascii="Times New Roman" w:hAnsi="Times New Roman"/>
          <w:color w:val="000000" w:themeColor="text1"/>
          <w14:textFill>
            <w14:solidFill>
              <w14:schemeClr w14:val="tx1"/>
            </w14:solidFill>
          </w14:textFill>
        </w:rPr>
        <w:t>各类危险废物使用符合标准的容器盛装，装载危险废物的容器及材质要满足相应的强度要求，容器必须完好无损，材质和衬里要与危险废物相容（不相互反应）</w:t>
      </w:r>
      <w:r>
        <w:rPr>
          <w:rFonts w:hint="eastAsia" w:ascii="Times New Roman" w:hAnsi="Times New Roman"/>
          <w:color w:val="000000" w:themeColor="text1"/>
          <w14:textFill>
            <w14:solidFill>
              <w14:schemeClr w14:val="tx1"/>
            </w14:solidFill>
          </w14:textFill>
        </w:rPr>
        <w:t>；</w:t>
      </w:r>
      <w:r>
        <w:rPr>
          <w:rFonts w:ascii="Times New Roman" w:hAnsi="Times New Roman"/>
          <w:color w:val="000000" w:themeColor="text1"/>
          <w14:textFill>
            <w14:solidFill>
              <w14:schemeClr w14:val="tx1"/>
            </w14:solidFill>
          </w14:textFill>
        </w:rPr>
        <w:t>性质类似的废物可收集到同一容器中，性质不相容的危险废物不应混合包装；危险废物包装应能有效隔断危险废物迁移扩散途径，并达到防渗、防漏要求；容器上必须粘贴符合标准的标签，标签信息填写完整翔实；盛装危废后的废包装桶及时转运至处置场所进行处置；盛装过危险废物的包装袋或包装容器破损后应按危险废物进行管理和处置</w:t>
      </w:r>
      <w:r>
        <w:rPr>
          <w:rFonts w:hint="eastAsia" w:ascii="Times New Roman" w:hAnsi="Times New Roman"/>
          <w:color w:val="000000" w:themeColor="text1"/>
          <w14:textFill>
            <w14:solidFill>
              <w14:schemeClr w14:val="tx1"/>
            </w14:solidFill>
          </w14:textFill>
        </w:rPr>
        <w:t>；</w:t>
      </w:r>
      <w:r>
        <w:rPr>
          <w:rFonts w:ascii="Times New Roman" w:hAnsi="Times New Roman"/>
          <w:color w:val="000000" w:themeColor="text1"/>
          <w14:textFill>
            <w14:solidFill>
              <w14:schemeClr w14:val="tx1"/>
            </w14:solidFill>
          </w14:textFill>
        </w:rPr>
        <w:t>在危险废物的收集和转运过程中，应采取相应的安全防护和污染防治措施，包括防爆、防火、防中毒、防感染、防泄漏、防飞扬、防雨等其他防治污染环境的措施。</w:t>
      </w:r>
    </w:p>
    <w:p w14:paraId="0E6A8AAA">
      <w:pPr>
        <w:pStyle w:val="117"/>
        <w:ind w:firstLine="480"/>
        <w:rPr>
          <w:rFonts w:ascii="Times New Roman" w:hAnsi="Times New Roman"/>
          <w:color w:val="000000" w:themeColor="text1"/>
          <w14:textFill>
            <w14:solidFill>
              <w14:schemeClr w14:val="tx1"/>
            </w14:solidFill>
          </w14:textFill>
        </w:rPr>
      </w:pPr>
      <w:r>
        <w:rPr>
          <w:rFonts w:hint="eastAsia" w:cs="宋体"/>
          <w:color w:val="000000" w:themeColor="text1"/>
          <w14:textFill>
            <w14:solidFill>
              <w14:schemeClr w14:val="tx1"/>
            </w14:solidFill>
          </w14:textFill>
        </w:rPr>
        <w:t>②</w:t>
      </w:r>
      <w:r>
        <w:rPr>
          <w:rFonts w:ascii="Times New Roman" w:hAnsi="Times New Roman"/>
          <w:color w:val="000000" w:themeColor="text1"/>
          <w14:textFill>
            <w14:solidFill>
              <w14:schemeClr w14:val="tx1"/>
            </w14:solidFill>
          </w14:textFill>
        </w:rPr>
        <w:t>危险废物的收集作业应满足如下要求：设置作业界限标志和警示牌；收集时应配备必要的收集工具和包装物，以及必要的应急监测设备及应急装备；收集时应填写记录表，并将记录表作为危险废物管理的重要档案妥善保存；收集结束后应清理和恢复收集作业</w:t>
      </w:r>
      <w:r>
        <w:rPr>
          <w:rFonts w:hint="eastAsia" w:ascii="Times New Roman" w:hAnsi="Times New Roman"/>
          <w:color w:val="000000" w:themeColor="text1"/>
          <w14:textFill>
            <w14:solidFill>
              <w14:schemeClr w14:val="tx1"/>
            </w14:solidFill>
          </w14:textFill>
        </w:rPr>
        <w:t>区域</w:t>
      </w:r>
      <w:r>
        <w:rPr>
          <w:rFonts w:ascii="Times New Roman" w:hAnsi="Times New Roman"/>
          <w:color w:val="000000" w:themeColor="text1"/>
          <w14:textFill>
            <w14:solidFill>
              <w14:schemeClr w14:val="tx1"/>
            </w14:solidFill>
          </w14:textFill>
        </w:rPr>
        <w:t>，确保作业区域环境整洁安全；收集过危险废物的容器、设备、场所及其他物品转作</w:t>
      </w:r>
      <w:r>
        <w:rPr>
          <w:rFonts w:hint="eastAsia" w:ascii="Times New Roman" w:hAnsi="Times New Roman"/>
          <w:color w:val="000000" w:themeColor="text1"/>
          <w14:textFill>
            <w14:solidFill>
              <w14:schemeClr w14:val="tx1"/>
            </w14:solidFill>
          </w14:textFill>
        </w:rPr>
        <w:t>他</w:t>
      </w:r>
      <w:r>
        <w:rPr>
          <w:rFonts w:ascii="Times New Roman" w:hAnsi="Times New Roman"/>
          <w:color w:val="000000" w:themeColor="text1"/>
          <w14:textFill>
            <w14:solidFill>
              <w14:schemeClr w14:val="tx1"/>
            </w14:solidFill>
          </w14:textFill>
        </w:rPr>
        <w:t>用时，应消除污染，确保使用安全。</w:t>
      </w:r>
    </w:p>
    <w:bookmarkEnd w:id="716"/>
    <w:p w14:paraId="28564E69">
      <w:pPr>
        <w:pStyle w:val="117"/>
        <w:ind w:firstLine="480"/>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③危险废物贮存污染防治措施</w:t>
      </w:r>
    </w:p>
    <w:p w14:paraId="120AE3E5">
      <w:pPr>
        <w:pStyle w:val="117"/>
        <w:ind w:firstLine="480"/>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本项目产生的危险废气临时贮存在</w:t>
      </w:r>
      <w:r>
        <w:rPr>
          <w:rFonts w:hint="eastAsia" w:cs="宋体"/>
          <w:color w:val="000000" w:themeColor="text1"/>
          <w:lang w:val="zh-CN"/>
          <w14:textFill>
            <w14:solidFill>
              <w14:schemeClr w14:val="tx1"/>
            </w14:solidFill>
          </w14:textFill>
        </w:rPr>
        <w:t>页岩油联合站危险废物暂存场</w:t>
      </w:r>
      <w:r>
        <w:rPr>
          <w:rFonts w:hint="eastAsia" w:ascii="Times New Roman" w:hAnsi="Times New Roman"/>
          <w:color w:val="000000" w:themeColor="text1"/>
          <w14:textFill>
            <w14:solidFill>
              <w14:schemeClr w14:val="tx1"/>
            </w14:solidFill>
          </w14:textFill>
        </w:rPr>
        <w:t>，该危险废物临时贮存点满足</w:t>
      </w:r>
      <w:r>
        <w:rPr>
          <w:rFonts w:ascii="Times New Roman" w:hAnsi="Times New Roman"/>
          <w:color w:val="000000" w:themeColor="text1"/>
          <w14:textFill>
            <w14:solidFill>
              <w14:schemeClr w14:val="tx1"/>
            </w14:solidFill>
          </w14:textFill>
        </w:rPr>
        <w:t>《危险废物</w:t>
      </w:r>
      <w:r>
        <w:rPr>
          <w:color w:val="000000" w:themeColor="text1"/>
          <w14:textFill>
            <w14:solidFill>
              <w14:schemeClr w14:val="tx1"/>
            </w14:solidFill>
          </w14:textFill>
        </w:rPr>
        <w:t>贮存污染控制标准》（GB18597-2023）</w:t>
      </w:r>
      <w:r>
        <w:rPr>
          <w:rFonts w:hint="eastAsia"/>
          <w:color w:val="000000" w:themeColor="text1"/>
          <w14:textFill>
            <w14:solidFill>
              <w14:schemeClr w14:val="tx1"/>
            </w14:solidFill>
          </w14:textFill>
        </w:rPr>
        <w:t>中的相关要</w:t>
      </w:r>
      <w:r>
        <w:rPr>
          <w:rFonts w:hint="eastAsia" w:ascii="Times New Roman" w:hAnsi="Times New Roman"/>
          <w:color w:val="000000" w:themeColor="text1"/>
          <w14:textFill>
            <w14:solidFill>
              <w14:schemeClr w14:val="tx1"/>
            </w14:solidFill>
          </w14:textFill>
        </w:rPr>
        <w:t>求，危险废物暂存间运营管理要求：危险废物存入危险废物暂存场前应对危险废物类别和特性与危险废物标签等危险废物识别标志的一致性进行核验，不一致的或类别、特性不明的不应存入；应定期检查危险废物暂存场状况，及时清理暂存场地面，更换破损泄漏的危险废物贮存容器和包装物，保证堆存危险废物的防雨、防风、防扬尘等设施功能完好；作业设备及车辆等结束作业离开危险废物暂存场时，应对其残留的危险废物进行清理，清理的废物或清洗废水应收集处理；贮存设施运行期间，应按国家有关标准和规定建立危险废物管理台账并保存。</w:t>
      </w:r>
    </w:p>
    <w:p w14:paraId="46D58230">
      <w:pPr>
        <w:pStyle w:val="117"/>
        <w:ind w:firstLine="480"/>
        <w:rPr>
          <w:rFonts w:ascii="Times New Roman" w:hAnsi="Times New Roman"/>
          <w:color w:val="000000" w:themeColor="text1"/>
          <w14:textFill>
            <w14:solidFill>
              <w14:schemeClr w14:val="tx1"/>
            </w14:solidFill>
          </w14:textFill>
        </w:rPr>
      </w:pPr>
      <w:bookmarkStart w:id="717" w:name="_Hlk147589850"/>
      <w:r>
        <w:rPr>
          <w:rFonts w:hint="eastAsia" w:ascii="Times New Roman" w:hAnsi="Times New Roman"/>
          <w:color w:val="000000" w:themeColor="text1"/>
          <w14:textFill>
            <w14:solidFill>
              <w14:schemeClr w14:val="tx1"/>
            </w14:solidFill>
          </w14:textFill>
        </w:rPr>
        <w:t>④危险废物的运输</w:t>
      </w:r>
    </w:p>
    <w:p w14:paraId="07F0358C">
      <w:pPr>
        <w:pStyle w:val="117"/>
        <w:ind w:firstLine="480"/>
        <w:rPr>
          <w:rFonts w:hint="eastAsia"/>
          <w:color w:val="000000" w:themeColor="text1"/>
          <w14:textFill>
            <w14:solidFill>
              <w14:schemeClr w14:val="tx1"/>
            </w14:solidFill>
          </w14:textFill>
        </w:rPr>
      </w:pPr>
      <w:bookmarkStart w:id="718" w:name="OLE_LINK282"/>
      <w:r>
        <w:rPr>
          <w:rFonts w:hint="eastAsia"/>
          <w:color w:val="000000" w:themeColor="text1"/>
          <w14:textFill>
            <w14:solidFill>
              <w14:schemeClr w14:val="tx1"/>
            </w14:solidFill>
          </w14:textFill>
        </w:rPr>
        <w:t>危险废物运输应由持有危险废物经营许可证的单位按照其许可证的经营范围组织实施，承担危险废物运输的单位应获得交通运输部门颁发的危险货物运输资质，在委托运输协议中应明确双方的义务和责任</w:t>
      </w:r>
      <w:bookmarkEnd w:id="718"/>
      <w:r>
        <w:rPr>
          <w:rFonts w:hint="eastAsia"/>
          <w:color w:val="000000" w:themeColor="text1"/>
          <w14:textFill>
            <w14:solidFill>
              <w14:schemeClr w14:val="tx1"/>
            </w14:solidFill>
          </w14:textFill>
        </w:rPr>
        <w:t>；危险废物公路运输应按照《道路危险货物运输管理规定》（交通运输部令〔2005年〕第9号）、JT617以及JT618执行；运输单位承运危险废物时，应在危险废物包装上按照GB18597附录A设置标志；危险废物公路运输时，运输车辆应按GB13392设置车辆标志；危险废物运输时的中转、装卸过程应遵守如下技术要求：卸载区的工作人员应熟悉废物的危险特性，并配备适当的个人防护装备，装卸剧毒废物应配备特殊的防护装备；卸载区应配备必要的消防设备和设施，并设置明显的指示标志；危险废物装卸区应设置隔离设施，液态废物卸载区应设置收集槽和缓冲罐。</w:t>
      </w:r>
    </w:p>
    <w:bookmarkEnd w:id="717"/>
    <w:p w14:paraId="2542E1A0">
      <w:pPr>
        <w:pStyle w:val="117"/>
        <w:ind w:firstLine="480" w:firstLineChars="0"/>
        <w:rPr>
          <w:rFonts w:hint="eastAsia" w:cs="宋体"/>
          <w:color w:val="000000" w:themeColor="text1"/>
          <w:kern w:val="0"/>
          <w:szCs w:val="21"/>
          <w14:textFill>
            <w14:solidFill>
              <w14:schemeClr w14:val="tx1"/>
            </w14:solidFill>
          </w14:textFill>
        </w:rPr>
      </w:pPr>
      <w:r>
        <w:rPr>
          <w:rFonts w:hint="eastAsia" w:cs="宋体"/>
          <w:color w:val="000000" w:themeColor="text1"/>
          <w:kern w:val="0"/>
          <w:szCs w:val="21"/>
          <w14:textFill>
            <w14:solidFill>
              <w14:schemeClr w14:val="tx1"/>
            </w14:solidFill>
          </w14:textFill>
        </w:rPr>
        <w:t>（</w:t>
      </w:r>
      <w:r>
        <w:rPr>
          <w:rFonts w:cs="宋体"/>
          <w:color w:val="000000" w:themeColor="text1"/>
          <w:kern w:val="0"/>
          <w:szCs w:val="21"/>
          <w14:textFill>
            <w14:solidFill>
              <w14:schemeClr w14:val="tx1"/>
            </w14:solidFill>
          </w14:textFill>
        </w:rPr>
        <w:t>3</w:t>
      </w:r>
      <w:r>
        <w:rPr>
          <w:rFonts w:hint="eastAsia" w:cs="宋体"/>
          <w:color w:val="000000" w:themeColor="text1"/>
          <w:kern w:val="0"/>
          <w:szCs w:val="21"/>
          <w14:textFill>
            <w14:solidFill>
              <w14:schemeClr w14:val="tx1"/>
            </w14:solidFill>
          </w14:textFill>
        </w:rPr>
        <w:t>）按照《环境保护图形标志固体废物贮存（处置）场》（</w:t>
      </w:r>
      <w:r>
        <w:rPr>
          <w:color w:val="000000" w:themeColor="text1"/>
          <w:kern w:val="0"/>
          <w:szCs w:val="21"/>
          <w14:textFill>
            <w14:solidFill>
              <w14:schemeClr w14:val="tx1"/>
            </w14:solidFill>
          </w14:textFill>
        </w:rPr>
        <w:t>GB15562.2</w:t>
      </w:r>
      <w:r>
        <w:rPr>
          <w:rFonts w:hint="eastAsia" w:cs="宋体"/>
          <w:color w:val="000000" w:themeColor="text1"/>
          <w:kern w:val="0"/>
          <w:szCs w:val="21"/>
          <w14:textFill>
            <w14:solidFill>
              <w14:schemeClr w14:val="tx1"/>
            </w14:solidFill>
          </w14:textFill>
        </w:rPr>
        <w:t>）等有关规定，对危险废物的容器和包装物设置危险废物识别标志。</w:t>
      </w:r>
    </w:p>
    <w:p w14:paraId="11D67F95">
      <w:pPr>
        <w:pStyle w:val="462"/>
        <w:rPr>
          <w:rFonts w:hint="eastAsia"/>
          <w:color w:val="000000" w:themeColor="text1"/>
          <w:lang w:val="zh-CN"/>
          <w14:textFill>
            <w14:solidFill>
              <w14:schemeClr w14:val="tx1"/>
            </w14:solidFill>
          </w14:textFill>
        </w:rPr>
      </w:pPr>
      <w:r>
        <w:rPr>
          <w:rFonts w:hint="eastAsia" w:cs="宋体"/>
          <w:color w:val="000000" w:themeColor="text1"/>
          <w:szCs w:val="21"/>
          <w14:textFill>
            <w14:solidFill>
              <w14:schemeClr w14:val="tx1"/>
            </w14:solidFill>
          </w14:textFill>
        </w:rPr>
        <w:t>（</w:t>
      </w:r>
      <w:r>
        <w:rPr>
          <w:rFonts w:cs="宋体"/>
          <w:color w:val="000000" w:themeColor="text1"/>
          <w:szCs w:val="21"/>
          <w14:textFill>
            <w14:solidFill>
              <w14:schemeClr w14:val="tx1"/>
            </w14:solidFill>
          </w14:textFill>
        </w:rPr>
        <w:t>4</w:t>
      </w:r>
      <w:r>
        <w:rPr>
          <w:rFonts w:hint="eastAsia" w:cs="宋体"/>
          <w:color w:val="000000" w:themeColor="text1"/>
          <w:szCs w:val="21"/>
          <w14:textFill>
            <w14:solidFill>
              <w14:schemeClr w14:val="tx1"/>
            </w14:solidFill>
          </w14:textFill>
        </w:rPr>
        <w:t>）</w:t>
      </w:r>
      <w:r>
        <w:rPr>
          <w:rFonts w:hint="eastAsia"/>
          <w:color w:val="000000" w:themeColor="text1"/>
          <w:lang w:val="zh-CN"/>
          <w14:textFill>
            <w14:solidFill>
              <w14:schemeClr w14:val="tx1"/>
            </w14:solidFill>
          </w14:textFill>
        </w:rPr>
        <w:t>吉庆油田作业区已按照年度建立了完善的危险废物管理计划，并定期向生态环境主管部门上报备案，项目建成后总体按照既定计划进行危险废物管理。</w:t>
      </w:r>
    </w:p>
    <w:p w14:paraId="6CE94367">
      <w:pPr>
        <w:pStyle w:val="462"/>
        <w:rPr>
          <w:rFonts w:hint="eastAsia"/>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（5）吉庆油田作业区已建立了污染环境防治责任制度，建立了危险废物产生、收集、贮存、处置等全过程的污染环境防治责任制度；</w:t>
      </w:r>
    </w:p>
    <w:p w14:paraId="4BCBC32C">
      <w:pPr>
        <w:pStyle w:val="462"/>
        <w:rPr>
          <w:rFonts w:hint="eastAsia"/>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（6）吉庆油田</w:t>
      </w:r>
      <w:bookmarkStart w:id="719" w:name="_Hlk162376067"/>
      <w:r>
        <w:rPr>
          <w:rFonts w:hint="eastAsia"/>
          <w:color w:val="000000" w:themeColor="text1"/>
          <w:lang w:val="zh-CN"/>
          <w14:textFill>
            <w14:solidFill>
              <w14:schemeClr w14:val="tx1"/>
            </w14:solidFill>
          </w14:textFill>
        </w:rPr>
        <w:t>作业区已按照《危险废物产生单位管理计划制定指南》有关要求制定，按年度建立了完善的危险废物管理计划，并定期向生态环境主管部门上报备案，项目建成后总体按照既定计划进行危险废物管理。</w:t>
      </w:r>
      <w:bookmarkEnd w:id="719"/>
    </w:p>
    <w:p w14:paraId="630B5975">
      <w:pPr>
        <w:pStyle w:val="462"/>
        <w:rPr>
          <w:rFonts w:hint="eastAsia"/>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（7）建设单位应建立危险废物转移联单制度，转移危险废物的，应当按照《危险废物转移管理办法》</w:t>
      </w:r>
      <w:r>
        <w:rPr>
          <w:color w:val="000000" w:themeColor="text1"/>
          <w14:textFill>
            <w14:solidFill>
              <w14:schemeClr w14:val="tx1"/>
            </w14:solidFill>
          </w14:textFill>
        </w:rPr>
        <w:t>（生态环境部、公安部、交通运输部令第23号）</w:t>
      </w:r>
      <w:r>
        <w:rPr>
          <w:rFonts w:hint="eastAsia"/>
          <w:color w:val="000000" w:themeColor="text1"/>
          <w:lang w:val="zh-CN"/>
          <w14:textFill>
            <w14:solidFill>
              <w14:schemeClr w14:val="tx1"/>
            </w14:solidFill>
          </w14:textFill>
        </w:rPr>
        <w:t>的有关规定填写、运行危险废物转移联单。</w:t>
      </w:r>
    </w:p>
    <w:p w14:paraId="4573BB9D">
      <w:pPr>
        <w:pStyle w:val="462"/>
        <w:rPr>
          <w:rFonts w:hint="eastAsia"/>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8）建设单位应按照国家有关规定和环境保护标准要求贮存、利用、处置危险废物，不得将其擅自倾倒处置；禁止混合收集、贮存、运输、处置性质不相容或未经安全性处置的危险废物；危险废物收集、贮存应当按照其特性分类进行，禁止将危险废物混入非危险废物中贮存。</w:t>
      </w:r>
    </w:p>
    <w:p w14:paraId="03F15546">
      <w:pPr>
        <w:pStyle w:val="462"/>
        <w:rPr>
          <w:rFonts w:hint="eastAsia"/>
          <w:color w:val="000000" w:themeColor="text1"/>
          <w:lang w:val="zh-CN"/>
          <w14:textFill>
            <w14:solidFill>
              <w14:schemeClr w14:val="tx1"/>
            </w14:solidFill>
          </w14:textFill>
        </w:rPr>
      </w:pPr>
      <w:bookmarkStart w:id="720" w:name="OLE_LINK283"/>
      <w:r>
        <w:rPr>
          <w:rFonts w:hint="eastAsia"/>
          <w:color w:val="000000" w:themeColor="text1"/>
          <w:lang w:val="zh-CN"/>
          <w14:textFill>
            <w14:solidFill>
              <w14:schemeClr w14:val="tx1"/>
            </w14:solidFill>
          </w14:textFill>
        </w:rPr>
        <w:t>（9）建设单位应与有相应危险废物处理资质的单位签订处置协议，协议中要约定处置方应依法合规处置危险废物，处置完毕后报告委托方。</w:t>
      </w:r>
    </w:p>
    <w:bookmarkEnd w:id="720"/>
    <w:p w14:paraId="5C610CBC">
      <w:pPr>
        <w:pStyle w:val="462"/>
        <w:rPr>
          <w:rFonts w:hint="eastAsia"/>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（10）建设单位应</w:t>
      </w:r>
      <w:bookmarkStart w:id="721" w:name="_Hlk173422510"/>
      <w:r>
        <w:rPr>
          <w:rFonts w:hint="eastAsia"/>
          <w:color w:val="000000" w:themeColor="text1"/>
          <w:lang w:val="zh-CN"/>
          <w14:textFill>
            <w14:solidFill>
              <w14:schemeClr w14:val="tx1"/>
            </w14:solidFill>
          </w14:textFill>
        </w:rPr>
        <w:t>根据</w:t>
      </w:r>
      <w:r>
        <w:rPr>
          <w:rFonts w:hint="eastAsia" w:cs="宋体"/>
          <w:color w:val="000000" w:themeColor="text1"/>
          <w14:textFill>
            <w14:solidFill>
              <w14:schemeClr w14:val="tx1"/>
            </w14:solidFill>
          </w14:textFill>
        </w:rPr>
        <w:t>《一般工业固体废物管理台账制定指南（试行）》</w:t>
      </w:r>
      <w:r>
        <w:rPr>
          <w:rFonts w:hint="eastAsia"/>
          <w:color w:val="000000" w:themeColor="text1"/>
          <w:lang w:val="zh-CN"/>
          <w14:textFill>
            <w14:solidFill>
              <w14:schemeClr w14:val="tx1"/>
            </w14:solidFill>
          </w14:textFill>
        </w:rPr>
        <w:t>相关规定建立一般工业固体废物管理台账</w:t>
      </w:r>
      <w:bookmarkEnd w:id="721"/>
      <w:r>
        <w:rPr>
          <w:rFonts w:hint="eastAsia"/>
          <w:color w:val="000000" w:themeColor="text1"/>
          <w:lang w:val="zh-CN"/>
          <w14:textFill>
            <w14:solidFill>
              <w14:schemeClr w14:val="tx1"/>
            </w14:solidFill>
          </w14:textFill>
        </w:rPr>
        <w:t>，如实记录一般工业固体废物的种类、数量、流向、处置等信息。鼓励建设单位建立一般工业固体废物管理电子台账，简化数据填写、台账管理等工作；设立专人负责台账的管理与归档，一般工业固体废物管理台账保存期限不少于</w:t>
      </w:r>
      <w:r>
        <w:rPr>
          <w:color w:val="000000" w:themeColor="text1"/>
          <w:lang w:val="zh-CN"/>
          <w14:textFill>
            <w14:solidFill>
              <w14:schemeClr w14:val="tx1"/>
            </w14:solidFill>
          </w14:textFill>
        </w:rPr>
        <w:t>5</w:t>
      </w:r>
      <w:r>
        <w:rPr>
          <w:rFonts w:hint="eastAsia"/>
          <w:color w:val="000000" w:themeColor="text1"/>
          <w:lang w:val="zh-CN"/>
          <w14:textFill>
            <w14:solidFill>
              <w14:schemeClr w14:val="tx1"/>
            </w14:solidFill>
          </w14:textFill>
        </w:rPr>
        <w:t>年。</w:t>
      </w:r>
    </w:p>
    <w:bookmarkEnd w:id="715"/>
    <w:p w14:paraId="12326BE1">
      <w:pPr>
        <w:pStyle w:val="117"/>
        <w:ind w:firstLine="480" w:firstLineChars="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以上措施符合固体废物处置“减量化、资源化、无害化”原则。</w:t>
      </w:r>
    </w:p>
    <w:p w14:paraId="33615993">
      <w:pPr>
        <w:pStyle w:val="4"/>
        <w:rPr>
          <w:rFonts w:hint="eastAsia"/>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运营期土壤污染防治措施</w:t>
      </w:r>
    </w:p>
    <w:p w14:paraId="38B63724">
      <w:pPr>
        <w:pStyle w:val="117"/>
        <w:ind w:firstLine="480" w:firstLineChars="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（1）源头控制</w:t>
      </w:r>
    </w:p>
    <w:p w14:paraId="416E38A5">
      <w:pPr>
        <w:pStyle w:val="117"/>
        <w:ind w:firstLine="480"/>
        <w:rPr>
          <w:rFonts w:hint="eastAsia"/>
          <w:color w:val="000000" w:themeColor="text1"/>
          <w14:textFill>
            <w14:solidFill>
              <w14:schemeClr w14:val="tx1"/>
            </w14:solidFill>
          </w14:textFill>
        </w:rPr>
      </w:pPr>
      <w:bookmarkStart w:id="722" w:name="_Hlk148012561"/>
      <w:r>
        <w:rPr>
          <w:rFonts w:hint="eastAsia" w:cs="宋体"/>
          <w:color w:val="000000" w:themeColor="text1"/>
          <w:kern w:val="0"/>
          <w:lang w:bidi="ar"/>
          <w14:textFill>
            <w14:solidFill>
              <w14:schemeClr w14:val="tx1"/>
            </w14:solidFill>
          </w14:textFill>
        </w:rPr>
        <w:t>洗井废水、井下作业废液（压裂返排液和废洗井液）由罐车拉运至压裂液返排液处理装置处理，压裂返排液处理装置</w:t>
      </w:r>
      <w:r>
        <w:rPr>
          <w:rFonts w:hint="eastAsia"/>
          <w:color w:val="000000" w:themeColor="text1"/>
          <w14:textFill>
            <w14:solidFill>
              <w14:schemeClr w14:val="tx1"/>
            </w14:solidFill>
          </w14:textFill>
        </w:rPr>
        <w:t>出水水质满足</w:t>
      </w:r>
      <w:r>
        <w:rPr>
          <w:rFonts w:hint="eastAsia"/>
          <w:color w:val="000000" w:themeColor="text1"/>
          <w:lang w:val="zh-CN"/>
          <w14:textFill>
            <w14:solidFill>
              <w14:schemeClr w14:val="tx1"/>
            </w14:solidFill>
          </w14:textFill>
        </w:rPr>
        <w:t>《压裂酸化返排液处理技术规范》（Q/SY02012-2016）中的相关要求后</w:t>
      </w:r>
      <w:r>
        <w:rPr>
          <w:rFonts w:hint="eastAsia" w:cs="宋体"/>
          <w:color w:val="000000" w:themeColor="text1"/>
          <w:kern w:val="0"/>
          <w:lang w:bidi="ar"/>
          <w14:textFill>
            <w14:solidFill>
              <w14:schemeClr w14:val="tx1"/>
            </w14:solidFill>
          </w14:textFill>
        </w:rPr>
        <w:t>用于压裂液复配；装置排污水排至排污罐中，由污油泵将排污罐中的液体管输至进站管汇。各类危险废物</w:t>
      </w:r>
      <w:r>
        <w:rPr>
          <w:rFonts w:hint="eastAsia"/>
          <w:color w:val="000000" w:themeColor="text1"/>
          <w14:textFill>
            <w14:solidFill>
              <w14:schemeClr w14:val="tx1"/>
            </w14:solidFill>
          </w14:textFill>
        </w:rPr>
        <w:t>集中收集后交由有相应危险废物处理资质的单位回收处置；</w:t>
      </w:r>
      <w:r>
        <w:rPr>
          <w:rFonts w:hint="eastAsia" w:cs="宋体"/>
          <w:color w:val="000000" w:themeColor="text1"/>
          <w14:textFill>
            <w14:solidFill>
              <w14:schemeClr w14:val="tx1"/>
            </w14:solidFill>
          </w14:textFill>
        </w:rPr>
        <w:t>建设单位应参照《石油天然气工业套管和油管的维护与使用》（GB/T17745-2011）要求进行井筒完整性管理，定期开展井筒完整性检查；</w:t>
      </w:r>
      <w:r>
        <w:rPr>
          <w:rFonts w:hint="eastAsia"/>
          <w:color w:val="000000" w:themeColor="text1"/>
          <w14:textFill>
            <w14:solidFill>
              <w14:schemeClr w14:val="tx1"/>
            </w14:solidFill>
          </w14:textFill>
        </w:rPr>
        <w:t>产生的各类废物均可得到妥善处置，从源头减少了污染物的产生。</w:t>
      </w:r>
    </w:p>
    <w:bookmarkEnd w:id="722"/>
    <w:p w14:paraId="3C7FE03E">
      <w:pPr>
        <w:pStyle w:val="117"/>
        <w:ind w:firstLine="480" w:firstLineChars="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（2）防渗措施</w:t>
      </w:r>
    </w:p>
    <w:p w14:paraId="10CA7D3F">
      <w:pPr>
        <w:pStyle w:val="117"/>
        <w:ind w:firstLine="480" w:firstLineChars="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防渗措施见“</w:t>
      </w:r>
      <w:r>
        <w:rPr>
          <w:color w:val="000000" w:themeColor="text1"/>
          <w14:textFill>
            <w14:solidFill>
              <w14:schemeClr w14:val="tx1"/>
            </w14:solidFill>
          </w14:textFill>
        </w:rPr>
        <w:t>6</w:t>
      </w:r>
      <w:r>
        <w:rPr>
          <w:rFonts w:hint="eastAsia"/>
          <w:color w:val="000000" w:themeColor="text1"/>
          <w14:textFill>
            <w14:solidFill>
              <w14:schemeClr w14:val="tx1"/>
            </w14:solidFill>
          </w14:textFill>
        </w:rPr>
        <w:t>.2.</w:t>
      </w:r>
      <w:r>
        <w:rPr>
          <w:color w:val="000000" w:themeColor="text1"/>
          <w14:textFill>
            <w14:solidFill>
              <w14:schemeClr w14:val="tx1"/>
            </w14:solidFill>
          </w14:textFill>
        </w:rPr>
        <w:t>2</w:t>
      </w:r>
      <w:r>
        <w:rPr>
          <w:rFonts w:hint="eastAsia"/>
          <w:color w:val="000000" w:themeColor="text1"/>
          <w14:textFill>
            <w14:solidFill>
              <w14:schemeClr w14:val="tx1"/>
            </w14:solidFill>
          </w14:textFill>
        </w:rPr>
        <w:t>运营期废水污染防治措施”章节。</w:t>
      </w:r>
    </w:p>
    <w:p w14:paraId="4333A1BE">
      <w:pPr>
        <w:pStyle w:val="4"/>
        <w:rPr>
          <w:rFonts w:hint="eastAsia"/>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运营期生态环境保护措施</w:t>
      </w:r>
    </w:p>
    <w:p w14:paraId="2ED0D748">
      <w:pPr>
        <w:pStyle w:val="117"/>
        <w:ind w:firstLine="480"/>
        <w:rPr>
          <w:rFonts w:hint="eastAsia"/>
          <w:color w:val="000000" w:themeColor="text1"/>
          <w14:textFill>
            <w14:solidFill>
              <w14:schemeClr w14:val="tx1"/>
            </w14:solidFill>
          </w14:textFill>
        </w:rPr>
      </w:pPr>
      <w:bookmarkStart w:id="723" w:name="_Hlk80529873"/>
      <w:r>
        <w:rPr>
          <w:rFonts w:hint="eastAsia"/>
          <w:color w:val="000000" w:themeColor="text1"/>
          <w14:textFill>
            <w14:solidFill>
              <w14:schemeClr w14:val="tx1"/>
            </w14:solidFill>
          </w14:textFill>
        </w:rPr>
        <w:t>（</w:t>
      </w:r>
      <w:r>
        <w:rPr>
          <w:color w:val="000000" w:themeColor="text1"/>
          <w14:textFill>
            <w14:solidFill>
              <w14:schemeClr w14:val="tx1"/>
            </w14:solidFill>
          </w14:textFill>
        </w:rPr>
        <w:t>1）</w:t>
      </w:r>
      <w:bookmarkStart w:id="724" w:name="_Hlk148007417"/>
      <w:bookmarkStart w:id="725" w:name="OLE_LINK186"/>
      <w:r>
        <w:rPr>
          <w:rFonts w:hint="eastAsia"/>
          <w:color w:val="000000" w:themeColor="text1"/>
          <w14:textFill>
            <w14:solidFill>
              <w14:schemeClr w14:val="tx1"/>
            </w14:solidFill>
          </w14:textFill>
        </w:rPr>
        <w:t>集油支线上方设置标志，以防止附近的各类施工活动对管线的破坏；定期检查管线，如发现管线刺漏，需采取补救措施，并对受浸土壤回收处理。</w:t>
      </w:r>
    </w:p>
    <w:p w14:paraId="1CDFB628">
      <w:pPr>
        <w:pStyle w:val="117"/>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w:t>
      </w:r>
      <w:r>
        <w:rPr>
          <w:color w:val="000000" w:themeColor="text1"/>
          <w14:textFill>
            <w14:solidFill>
              <w14:schemeClr w14:val="tx1"/>
            </w14:solidFill>
          </w14:textFill>
        </w:rPr>
        <w:t>2</w:t>
      </w:r>
      <w:r>
        <w:rPr>
          <w:rFonts w:hint="eastAsia"/>
          <w:color w:val="000000" w:themeColor="text1"/>
          <w14:textFill>
            <w14:solidFill>
              <w14:schemeClr w14:val="tx1"/>
            </w14:solidFill>
          </w14:textFill>
        </w:rPr>
        <w:t>）定时巡查井场、管线、预处理注入站等，严防跑、冒、滴、漏，避免泄漏油品污染周围生态环境。</w:t>
      </w:r>
    </w:p>
    <w:p w14:paraId="4D5BDD92">
      <w:pPr>
        <w:pStyle w:val="117"/>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w:t>
      </w:r>
      <w:r>
        <w:rPr>
          <w:color w:val="000000" w:themeColor="text1"/>
          <w14:textFill>
            <w14:solidFill>
              <w14:schemeClr w14:val="tx1"/>
            </w14:solidFill>
          </w14:textFill>
        </w:rPr>
        <w:t>3</w:t>
      </w:r>
      <w:r>
        <w:rPr>
          <w:rFonts w:hint="eastAsia"/>
          <w:color w:val="000000" w:themeColor="text1"/>
          <w14:textFill>
            <w14:solidFill>
              <w14:schemeClr w14:val="tx1"/>
            </w14:solidFill>
          </w14:textFill>
        </w:rPr>
        <w:t>）日常巡检时应控制车速，减少对野生动物的惊扰。</w:t>
      </w:r>
    </w:p>
    <w:p w14:paraId="584FF6FD">
      <w:pPr>
        <w:pStyle w:val="117"/>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w:t>
      </w:r>
      <w:r>
        <w:rPr>
          <w:color w:val="000000" w:themeColor="text1"/>
          <w14:textFill>
            <w14:solidFill>
              <w14:schemeClr w14:val="tx1"/>
            </w14:solidFill>
          </w14:textFill>
        </w:rPr>
        <w:t>4</w:t>
      </w:r>
      <w:r>
        <w:rPr>
          <w:rFonts w:hint="eastAsia"/>
          <w:color w:val="000000" w:themeColor="text1"/>
          <w14:textFill>
            <w14:solidFill>
              <w14:schemeClr w14:val="tx1"/>
            </w14:solidFill>
          </w14:textFill>
        </w:rPr>
        <w:t>）加强作业人员宣传教育工作，严禁捕杀野生动物，在道路边和井区内，设置“保护生态环境、保护野生动植物”等环境保护警示牌。</w:t>
      </w:r>
    </w:p>
    <w:p w14:paraId="0EC336A8">
      <w:pPr>
        <w:pStyle w:val="117"/>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w:t>
      </w:r>
      <w:r>
        <w:rPr>
          <w:color w:val="000000" w:themeColor="text1"/>
          <w14:textFill>
            <w14:solidFill>
              <w14:schemeClr w14:val="tx1"/>
            </w14:solidFill>
          </w14:textFill>
        </w:rPr>
        <w:t>5</w:t>
      </w:r>
      <w:r>
        <w:rPr>
          <w:rFonts w:hint="eastAsia"/>
          <w:color w:val="000000" w:themeColor="text1"/>
          <w14:textFill>
            <w14:solidFill>
              <w14:schemeClr w14:val="tx1"/>
            </w14:solidFill>
          </w14:textFill>
        </w:rPr>
        <w:t>）永久占地采取砾石覆盖，减少风蚀量。</w:t>
      </w:r>
    </w:p>
    <w:p w14:paraId="72149056">
      <w:pPr>
        <w:pStyle w:val="117"/>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w:t>
      </w:r>
      <w:r>
        <w:rPr>
          <w:color w:val="000000" w:themeColor="text1"/>
          <w14:textFill>
            <w14:solidFill>
              <w14:schemeClr w14:val="tx1"/>
            </w14:solidFill>
          </w14:textFill>
        </w:rPr>
        <w:t>6</w:t>
      </w:r>
      <w:r>
        <w:rPr>
          <w:rFonts w:hint="eastAsia"/>
          <w:color w:val="000000" w:themeColor="text1"/>
          <w14:textFill>
            <w14:solidFill>
              <w14:schemeClr w14:val="tx1"/>
            </w14:solidFill>
          </w14:textFill>
        </w:rPr>
        <w:t>）提高车辆拉运驾驶人员技术素质、加强责任心，贯彻安全驾驶机动车辆的行为规定，严格遵守交通法规。</w:t>
      </w:r>
    </w:p>
    <w:bookmarkEnd w:id="724"/>
    <w:p w14:paraId="19F2341F">
      <w:pPr>
        <w:pStyle w:val="117"/>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（7）地表要及时进行植被恢复工作，防止水土流失。管道维修二次开挖回填时，尽量按原有土壤层次进行回填。</w:t>
      </w:r>
    </w:p>
    <w:p w14:paraId="7BC64CEB">
      <w:pPr>
        <w:pStyle w:val="117"/>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（8）巡检车辆严格按照现有道路行驶，不得驶入农田中。</w:t>
      </w:r>
      <w:bookmarkEnd w:id="725"/>
    </w:p>
    <w:p w14:paraId="0181D467">
      <w:pPr>
        <w:pStyle w:val="2"/>
        <w:rPr>
          <w:rFonts w:hint="eastAsia"/>
          <w:color w:val="000000" w:themeColor="text1"/>
          <w:lang w:val="zh-CN"/>
          <w14:textFill>
            <w14:solidFill>
              <w14:schemeClr w14:val="tx1"/>
            </w14:solidFill>
          </w14:textFill>
        </w:rPr>
      </w:pPr>
      <w:bookmarkStart w:id="726" w:name="_Toc216260316"/>
      <w:r>
        <w:rPr>
          <w:rFonts w:hint="eastAsia"/>
          <w:color w:val="000000" w:themeColor="text1"/>
          <w14:textFill>
            <w14:solidFill>
              <w14:schemeClr w14:val="tx1"/>
            </w14:solidFill>
          </w14:textFill>
        </w:rPr>
        <w:t>温室气体管控措施</w:t>
      </w:r>
      <w:bookmarkEnd w:id="726"/>
    </w:p>
    <w:p w14:paraId="6CBE1ECD">
      <w:pPr>
        <w:pStyle w:val="117"/>
        <w:ind w:firstLine="480"/>
        <w:rPr>
          <w:rFonts w:hint="eastAsia" w:cs="宋体"/>
          <w:color w:val="000000" w:themeColor="text1"/>
          <w:kern w:val="0"/>
          <w14:textFill>
            <w14:solidFill>
              <w14:schemeClr w14:val="tx1"/>
            </w14:solidFill>
          </w14:textFill>
        </w:rPr>
      </w:pPr>
      <w:bookmarkStart w:id="727" w:name="OLE_LINK205"/>
      <w:r>
        <w:rPr>
          <w:rFonts w:hint="eastAsia" w:cs="宋体"/>
          <w:color w:val="000000" w:themeColor="text1"/>
          <w:kern w:val="0"/>
          <w14:textFill>
            <w14:solidFill>
              <w14:schemeClr w14:val="tx1"/>
            </w14:solidFill>
          </w14:textFill>
        </w:rPr>
        <w:t>（1）原油采用密闭集输工艺，伴生气通过单井注气管线回注至地层，减少了温室气体甲烷的产生。</w:t>
      </w:r>
    </w:p>
    <w:p w14:paraId="54B07ED5">
      <w:pPr>
        <w:pStyle w:val="117"/>
        <w:ind w:firstLine="480"/>
        <w:rPr>
          <w:rFonts w:hint="eastAsia" w:cs="宋体"/>
          <w:color w:val="000000" w:themeColor="text1"/>
          <w:kern w:val="0"/>
          <w14:textFill>
            <w14:solidFill>
              <w14:schemeClr w14:val="tx1"/>
            </w14:solidFill>
          </w14:textFill>
        </w:rPr>
      </w:pPr>
      <w:r>
        <w:rPr>
          <w:rFonts w:hint="eastAsia" w:cs="宋体"/>
          <w:color w:val="000000" w:themeColor="text1"/>
          <w:kern w:val="0"/>
          <w14:textFill>
            <w14:solidFill>
              <w14:schemeClr w14:val="tx1"/>
            </w14:solidFill>
          </w14:textFill>
        </w:rPr>
        <w:t>（2）配电网设置了无功补偿装置，线路功率因数不低于0</w:t>
      </w:r>
      <w:r>
        <w:rPr>
          <w:rFonts w:cs="宋体"/>
          <w:color w:val="000000" w:themeColor="text1"/>
          <w:kern w:val="0"/>
          <w14:textFill>
            <w14:solidFill>
              <w14:schemeClr w14:val="tx1"/>
            </w14:solidFill>
          </w14:textFill>
        </w:rPr>
        <w:t>.85</w:t>
      </w:r>
      <w:r>
        <w:rPr>
          <w:rFonts w:hint="eastAsia" w:cs="宋体"/>
          <w:color w:val="000000" w:themeColor="text1"/>
          <w:kern w:val="0"/>
          <w14:textFill>
            <w14:solidFill>
              <w14:schemeClr w14:val="tx1"/>
            </w14:solidFill>
          </w14:textFill>
        </w:rPr>
        <w:t>，站区功率因数不低于0</w:t>
      </w:r>
      <w:r>
        <w:rPr>
          <w:rFonts w:cs="宋体"/>
          <w:color w:val="000000" w:themeColor="text1"/>
          <w:kern w:val="0"/>
          <w14:textFill>
            <w14:solidFill>
              <w14:schemeClr w14:val="tx1"/>
            </w14:solidFill>
          </w14:textFill>
        </w:rPr>
        <w:t>.95</w:t>
      </w:r>
      <w:r>
        <w:rPr>
          <w:rFonts w:hint="eastAsia" w:cs="宋体"/>
          <w:color w:val="000000" w:themeColor="text1"/>
          <w:kern w:val="0"/>
          <w14:textFill>
            <w14:solidFill>
              <w14:schemeClr w14:val="tx1"/>
            </w14:solidFill>
          </w14:textFill>
        </w:rPr>
        <w:t>。</w:t>
      </w:r>
    </w:p>
    <w:p w14:paraId="11FE8706">
      <w:pPr>
        <w:pStyle w:val="117"/>
        <w:ind w:firstLine="480"/>
        <w:rPr>
          <w:rFonts w:hint="eastAsia" w:cs="宋体"/>
          <w:color w:val="000000" w:themeColor="text1"/>
          <w:kern w:val="0"/>
          <w14:textFill>
            <w14:solidFill>
              <w14:schemeClr w14:val="tx1"/>
            </w14:solidFill>
          </w14:textFill>
        </w:rPr>
      </w:pPr>
      <w:r>
        <w:rPr>
          <w:rFonts w:hint="eastAsia" w:cs="宋体"/>
          <w:color w:val="000000" w:themeColor="text1"/>
          <w:kern w:val="0"/>
          <w14:textFill>
            <w14:solidFill>
              <w14:schemeClr w14:val="tx1"/>
            </w14:solidFill>
          </w14:textFill>
        </w:rPr>
        <w:t>（3）加强各设备、阀门、法兰、管线等巡检、维护。</w:t>
      </w:r>
    </w:p>
    <w:p w14:paraId="6C8EBC41">
      <w:pPr>
        <w:pStyle w:val="117"/>
        <w:ind w:firstLine="480"/>
        <w:rPr>
          <w:rFonts w:hint="eastAsia"/>
          <w:color w:val="000000" w:themeColor="text1"/>
          <w14:textFill>
            <w14:solidFill>
              <w14:schemeClr w14:val="tx1"/>
            </w14:solidFill>
          </w14:textFill>
        </w:rPr>
      </w:pPr>
      <w:r>
        <w:rPr>
          <w:rFonts w:hint="eastAsia" w:cs="宋体"/>
          <w:color w:val="000000" w:themeColor="text1"/>
          <w:kern w:val="0"/>
          <w14:textFill>
            <w14:solidFill>
              <w14:schemeClr w14:val="tx1"/>
            </w14:solidFill>
          </w14:textFill>
        </w:rPr>
        <w:t>（4）本项目采用</w:t>
      </w:r>
      <w:r>
        <w:rPr>
          <w:rFonts w:hint="eastAsia"/>
          <w:color w:val="000000" w:themeColor="text1"/>
          <w14:textFill>
            <w14:solidFill>
              <w14:schemeClr w14:val="tx1"/>
            </w14:solidFill>
          </w14:textFill>
        </w:rPr>
        <w:t>二氧化碳注入地下驱油，可以将二氧化碳永远封存于地下，有效减少了温室气体二氧化碳的排放量。</w:t>
      </w:r>
    </w:p>
    <w:bookmarkEnd w:id="727"/>
    <w:p w14:paraId="3AD909F7">
      <w:pPr>
        <w:pStyle w:val="2"/>
        <w:rPr>
          <w:rFonts w:hint="eastAsia"/>
          <w:color w:val="000000" w:themeColor="text1"/>
          <w:lang w:val="zh-CN"/>
          <w14:textFill>
            <w14:solidFill>
              <w14:schemeClr w14:val="tx1"/>
            </w14:solidFill>
          </w14:textFill>
        </w:rPr>
      </w:pPr>
      <w:bookmarkStart w:id="728" w:name="_Toc216260317"/>
      <w:r>
        <w:rPr>
          <w:rFonts w:hint="eastAsia"/>
          <w:color w:val="000000" w:themeColor="text1"/>
          <w:lang w:val="zh-CN"/>
          <w14:textFill>
            <w14:solidFill>
              <w14:schemeClr w14:val="tx1"/>
            </w14:solidFill>
          </w14:textFill>
        </w:rPr>
        <w:t>环境</w:t>
      </w:r>
      <w:r>
        <w:rPr>
          <w:color w:val="000000" w:themeColor="text1"/>
          <w:lang w:val="zh-CN"/>
          <w14:textFill>
            <w14:solidFill>
              <w14:schemeClr w14:val="tx1"/>
            </w14:solidFill>
          </w14:textFill>
        </w:rPr>
        <w:t>风险</w:t>
      </w:r>
      <w:r>
        <w:rPr>
          <w:rFonts w:hint="eastAsia"/>
          <w:color w:val="000000" w:themeColor="text1"/>
          <w:lang w:val="zh-CN"/>
          <w14:textFill>
            <w14:solidFill>
              <w14:schemeClr w14:val="tx1"/>
            </w14:solidFill>
          </w14:textFill>
        </w:rPr>
        <w:t>事故防范</w:t>
      </w:r>
      <w:r>
        <w:rPr>
          <w:color w:val="000000" w:themeColor="text1"/>
          <w:lang w:val="zh-CN"/>
          <w14:textFill>
            <w14:solidFill>
              <w14:schemeClr w14:val="tx1"/>
            </w14:solidFill>
          </w14:textFill>
        </w:rPr>
        <w:t>措施</w:t>
      </w:r>
      <w:bookmarkEnd w:id="728"/>
    </w:p>
    <w:p w14:paraId="3360286A">
      <w:pPr>
        <w:pStyle w:val="4"/>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井下作业及井喷事故防范措施</w:t>
      </w:r>
    </w:p>
    <w:p w14:paraId="0AFB42A1">
      <w:pPr>
        <w:pStyle w:val="117"/>
        <w:ind w:firstLine="480"/>
        <w:rPr>
          <w:rFonts w:hint="eastAsia"/>
          <w:color w:val="000000" w:themeColor="text1"/>
          <w14:textFill>
            <w14:solidFill>
              <w14:schemeClr w14:val="tx1"/>
            </w14:solidFill>
          </w14:textFill>
        </w:rPr>
      </w:pPr>
      <w:bookmarkStart w:id="729" w:name="OLE_LINK235"/>
      <w:r>
        <w:rPr>
          <w:rFonts w:hint="eastAsia"/>
          <w:color w:val="000000" w:themeColor="text1"/>
          <w14:textFill>
            <w14:solidFill>
              <w14:schemeClr w14:val="tx1"/>
            </w14:solidFill>
          </w14:textFill>
        </w:rPr>
        <w:t>（1）</w:t>
      </w:r>
      <w:bookmarkStart w:id="730" w:name="OLE_LINK188"/>
      <w:r>
        <w:rPr>
          <w:rFonts w:hint="eastAsia"/>
          <w:color w:val="000000" w:themeColor="text1"/>
          <w14:textFill>
            <w14:solidFill>
              <w14:schemeClr w14:val="tx1"/>
            </w14:solidFill>
          </w14:textFill>
        </w:rPr>
        <w:t>井场井控严格执行《新疆油田钻井井控实施细则》，防止井喷、井喷失控和井喷着火，设计、施工和生产各单位严格遵守《石油天然气工程设计防火规范》（</w:t>
      </w:r>
      <w:r>
        <w:rPr>
          <w:color w:val="000000" w:themeColor="text1"/>
          <w14:textFill>
            <w14:solidFill>
              <w14:schemeClr w14:val="tx1"/>
            </w14:solidFill>
          </w14:textFill>
        </w:rPr>
        <w:t>GB50183-2015</w:t>
      </w:r>
      <w:r>
        <w:rPr>
          <w:rFonts w:hint="eastAsia"/>
          <w:color w:val="000000" w:themeColor="text1"/>
          <w14:textFill>
            <w14:solidFill>
              <w14:schemeClr w14:val="tx1"/>
            </w14:solidFill>
          </w14:textFill>
        </w:rPr>
        <w:t>）、《石油化工企业设计防火规范》（</w:t>
      </w:r>
      <w:r>
        <w:rPr>
          <w:color w:val="000000" w:themeColor="text1"/>
          <w14:textFill>
            <w14:solidFill>
              <w14:schemeClr w14:val="tx1"/>
            </w14:solidFill>
          </w14:textFill>
        </w:rPr>
        <w:t>GB 50160-2008</w:t>
      </w:r>
      <w:r>
        <w:rPr>
          <w:rFonts w:hint="eastAsia"/>
          <w:color w:val="000000" w:themeColor="text1"/>
          <w14:textFill>
            <w14:solidFill>
              <w14:schemeClr w14:val="tx1"/>
            </w14:solidFill>
          </w14:textFill>
        </w:rPr>
        <w:t>）、《石油和天然气钻井、开发、储运防火防爆安全生产管理规定》（</w:t>
      </w:r>
      <w:r>
        <w:rPr>
          <w:color w:val="000000" w:themeColor="text1"/>
          <w14:textFill>
            <w14:solidFill>
              <w14:schemeClr w14:val="tx1"/>
            </w14:solidFill>
          </w14:textFill>
        </w:rPr>
        <w:t>SY/T5225-2019</w:t>
      </w:r>
      <w:r>
        <w:rPr>
          <w:rFonts w:hint="eastAsia"/>
          <w:color w:val="000000" w:themeColor="text1"/>
          <w14:textFill>
            <w14:solidFill>
              <w14:schemeClr w14:val="tx1"/>
            </w14:solidFill>
          </w14:textFill>
        </w:rPr>
        <w:t>）</w:t>
      </w:r>
    </w:p>
    <w:p w14:paraId="6437BEFA">
      <w:pPr>
        <w:pStyle w:val="117"/>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（2）设置专职安全环保管理人员，设计、生产中采取有效的预防措施，在生产中采取有效预防措施，严格遵守钻井的安全规定，在井口安装防喷器和控制装置，杜绝井喷的发生。</w:t>
      </w:r>
    </w:p>
    <w:p w14:paraId="49A66844">
      <w:pPr>
        <w:pStyle w:val="117"/>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（3）井控操作实行持证上岗，各岗位的钻井人员有明确的分工，并且应经过井控专业培训。</w:t>
      </w:r>
    </w:p>
    <w:p w14:paraId="0FFAE4AE">
      <w:pPr>
        <w:pStyle w:val="117"/>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（4）在井架、井场路口等处设风向标，发生事故时人员迅速向上风向疏散。</w:t>
      </w:r>
    </w:p>
    <w:p w14:paraId="272390DF">
      <w:pPr>
        <w:pStyle w:val="117"/>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（5）按消防规定配备灭火器、消防铁锹和其他消防器材。井场设置明显的禁止烟火标志。</w:t>
      </w:r>
    </w:p>
    <w:p w14:paraId="1A79948E">
      <w:pPr>
        <w:pStyle w:val="117"/>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（6）井下作业时要求带罐操作，最大限度避免落地油产生，而泄漏物料和落地原油应及时回收、妥善处置。</w:t>
      </w:r>
    </w:p>
    <w:p w14:paraId="4544C162">
      <w:pPr>
        <w:pStyle w:val="117"/>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7）一旦发生井喷，绝大多数井都通过防喷器关闭，再采取压井措施控制井喷；最后还可采用向事故井打定位斜井等方法尽快采取措施回收原油；事故处理中要有专人负责，管好电源、火源，以免火灾发生。井喷时，泄漏的落地油</w:t>
      </w:r>
      <w:r>
        <w:rPr>
          <w:color w:val="000000" w:themeColor="text1"/>
          <w14:textFill>
            <w14:solidFill>
              <w14:schemeClr w14:val="tx1"/>
            </w14:solidFill>
          </w14:textFill>
        </w:rPr>
        <w:t>100%</w:t>
      </w:r>
      <w:r>
        <w:rPr>
          <w:rFonts w:hint="eastAsia"/>
          <w:color w:val="000000" w:themeColor="text1"/>
          <w14:textFill>
            <w14:solidFill>
              <w14:schemeClr w14:val="tx1"/>
            </w14:solidFill>
          </w14:textFill>
        </w:rPr>
        <w:t>进行回收，收集的废油运至页岩油联合站处理。受污染的土壤需进行换填，交由具有相应危险废物处置资质单位收集、转运、处置。</w:t>
      </w:r>
    </w:p>
    <w:p w14:paraId="79BBB679">
      <w:pPr>
        <w:pStyle w:val="117"/>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（8）硫化氢防范措施：</w:t>
      </w:r>
      <w:r>
        <w:rPr>
          <w:rFonts w:hint="eastAsia" w:cs="宋体"/>
          <w:color w:val="000000" w:themeColor="text1"/>
          <w:kern w:val="0"/>
          <w14:textFill>
            <w14:solidFill>
              <w14:schemeClr w14:val="tx1"/>
            </w14:solidFill>
          </w14:textFill>
        </w:rPr>
        <w:t>井下作业时应至少配备</w:t>
      </w:r>
      <w:r>
        <w:rPr>
          <w:rFonts w:cs="TimesNewRomanPSMT"/>
          <w:color w:val="000000" w:themeColor="text1"/>
          <w:kern w:val="0"/>
          <w14:textFill>
            <w14:solidFill>
              <w14:schemeClr w14:val="tx1"/>
            </w14:solidFill>
          </w14:textFill>
        </w:rPr>
        <w:t>1</w:t>
      </w:r>
      <w:r>
        <w:rPr>
          <w:rFonts w:hint="eastAsia" w:cs="宋体"/>
          <w:color w:val="000000" w:themeColor="text1"/>
          <w:kern w:val="0"/>
          <w14:textFill>
            <w14:solidFill>
              <w14:schemeClr w14:val="tx1"/>
            </w14:solidFill>
          </w14:textFill>
        </w:rPr>
        <w:t>套便携式硫化氢检测仪做好硫化氢检测工作，制定防硫化氢应急预案；在井场大门口、坐岗房、防喷器液控房等处设立风向标（风袋、风飘带、风旗或其他适用的装置），并在不同方向上划定两个紧急集合点，一旦发生紧急情况，作业人员可向上风方向疏散</w:t>
      </w:r>
      <w:bookmarkEnd w:id="730"/>
      <w:r>
        <w:rPr>
          <w:rFonts w:hint="eastAsia" w:cs="宋体"/>
          <w:color w:val="000000" w:themeColor="text1"/>
          <w:kern w:val="0"/>
          <w14:textFill>
            <w14:solidFill>
              <w14:schemeClr w14:val="tx1"/>
            </w14:solidFill>
          </w14:textFill>
        </w:rPr>
        <w:t>。</w:t>
      </w:r>
    </w:p>
    <w:bookmarkEnd w:id="729"/>
    <w:p w14:paraId="3154330C">
      <w:pPr>
        <w:pStyle w:val="4"/>
        <w:rPr>
          <w:rFonts w:hint="eastAsia"/>
          <w:color w:val="000000" w:themeColor="text1"/>
          <w14:textFill>
            <w14:solidFill>
              <w14:schemeClr w14:val="tx1"/>
            </w14:solidFill>
          </w14:textFill>
        </w:rPr>
      </w:pPr>
      <w:bookmarkStart w:id="731" w:name="_Hlk92205364"/>
      <w:bookmarkStart w:id="732" w:name="_Toc445996449"/>
      <w:bookmarkStart w:id="733" w:name="_Toc453929541"/>
      <w:bookmarkStart w:id="734" w:name="_Toc445996451"/>
      <w:bookmarkStart w:id="735" w:name="_Toc445840417"/>
      <w:bookmarkStart w:id="736" w:name="_Toc16038"/>
      <w:bookmarkStart w:id="737" w:name="_Toc445996589"/>
      <w:bookmarkStart w:id="738" w:name="_Toc459026591"/>
      <w:bookmarkStart w:id="739" w:name="_Toc445842130"/>
      <w:bookmarkStart w:id="740" w:name="_Toc445829801"/>
      <w:r>
        <w:rPr>
          <w:rFonts w:hint="eastAsia"/>
          <w:color w:val="000000" w:themeColor="text1"/>
          <w14:textFill>
            <w14:solidFill>
              <w14:schemeClr w14:val="tx1"/>
            </w14:solidFill>
          </w14:textFill>
        </w:rPr>
        <w:t>站场环境风险事故防范措施</w:t>
      </w:r>
    </w:p>
    <w:p w14:paraId="06372D34">
      <w:pPr>
        <w:pStyle w:val="117"/>
        <w:ind w:firstLine="480"/>
        <w:rPr>
          <w:rFonts w:hint="eastAsia"/>
          <w:color w:val="000000" w:themeColor="text1"/>
          <w14:textFill>
            <w14:solidFill>
              <w14:schemeClr w14:val="tx1"/>
            </w14:solidFill>
          </w14:textFill>
        </w:rPr>
      </w:pPr>
      <w:bookmarkStart w:id="741" w:name="OLE_LINK236"/>
      <w:r>
        <w:rPr>
          <w:rFonts w:hint="eastAsia"/>
          <w:color w:val="000000" w:themeColor="text1"/>
          <w14:textFill>
            <w14:solidFill>
              <w14:schemeClr w14:val="tx1"/>
            </w14:solidFill>
          </w14:textFill>
        </w:rPr>
        <w:t>（1）平面布置中尽量将火灾危险性相近的设施集中布置，并保持规定的防火距离；将全场内的明火点控制到最小，并布置在油气生产区场地边缘部位。</w:t>
      </w:r>
    </w:p>
    <w:p w14:paraId="0DCDCF34">
      <w:pPr>
        <w:pStyle w:val="117"/>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（2）按规定配置齐全各类消防设施，并定期进行检查，保持有效性及完好可用。</w:t>
      </w:r>
    </w:p>
    <w:p w14:paraId="2B92B0EB">
      <w:pPr>
        <w:pStyle w:val="117"/>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（3）加强设计单位相互间的配合，做好衔接，减少设计失误；站场内的装置区等均为爆炸火灾危险区域，区域内的配电设备均应采用防爆型；根据各建筑物的不同防爆等级采取相应的防爆措施。</w:t>
      </w:r>
    </w:p>
    <w:p w14:paraId="3599F599">
      <w:pPr>
        <w:pStyle w:val="117"/>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（4）加强对职工的教育培训，实行上岗证制度，增强职工风险意识，提高事故自救能力，制定和强化各种安全管理、安全生产的规程，减少人为风险事故（如误操作）的发生。</w:t>
      </w:r>
    </w:p>
    <w:p w14:paraId="6E6FBA55">
      <w:pPr>
        <w:pStyle w:val="117"/>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（5）预处理注入站设置风向标，以便发生事故时人员能迅速向上风向疏散。</w:t>
      </w:r>
    </w:p>
    <w:p w14:paraId="4F4C4138">
      <w:pPr>
        <w:pStyle w:val="117"/>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（6）在油气可能泄漏和积聚的区域设置可燃气体浓度检测报警装置。</w:t>
      </w:r>
    </w:p>
    <w:p w14:paraId="3B6EE260">
      <w:pPr>
        <w:pStyle w:val="117"/>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（7）检维修时采用防渗膜铺垫井场，严禁产生落地油。</w:t>
      </w:r>
    </w:p>
    <w:bookmarkEnd w:id="731"/>
    <w:bookmarkEnd w:id="741"/>
    <w:p w14:paraId="27EF5F55">
      <w:pPr>
        <w:pStyle w:val="4"/>
        <w:rPr>
          <w:rFonts w:hint="eastAsia"/>
          <w:color w:val="000000" w:themeColor="text1"/>
          <w14:textFill>
            <w14:solidFill>
              <w14:schemeClr w14:val="tx1"/>
            </w14:solidFill>
          </w14:textFill>
        </w:rPr>
      </w:pPr>
      <w:bookmarkStart w:id="742" w:name="_Hlk40632300"/>
      <w:r>
        <w:rPr>
          <w:color w:val="000000" w:themeColor="text1"/>
          <w14:textFill>
            <w14:solidFill>
              <w14:schemeClr w14:val="tx1"/>
            </w14:solidFill>
          </w14:textFill>
        </w:rPr>
        <w:t>油气集输事故风险</w:t>
      </w:r>
      <w:r>
        <w:rPr>
          <w:rFonts w:hint="eastAsia"/>
          <w:color w:val="000000" w:themeColor="text1"/>
          <w14:textFill>
            <w14:solidFill>
              <w14:schemeClr w14:val="tx1"/>
            </w14:solidFill>
          </w14:textFill>
        </w:rPr>
        <w:t>防范</w:t>
      </w:r>
      <w:r>
        <w:rPr>
          <w:color w:val="000000" w:themeColor="text1"/>
          <w14:textFill>
            <w14:solidFill>
              <w14:schemeClr w14:val="tx1"/>
            </w14:solidFill>
          </w14:textFill>
        </w:rPr>
        <w:t>措施</w:t>
      </w:r>
      <w:bookmarkEnd w:id="732"/>
    </w:p>
    <w:bookmarkEnd w:id="742"/>
    <w:p w14:paraId="25290D48">
      <w:pPr>
        <w:pStyle w:val="117"/>
        <w:ind w:firstLine="480"/>
        <w:rPr>
          <w:rFonts w:hint="eastAsia"/>
          <w:color w:val="000000" w:themeColor="text1"/>
          <w14:textFill>
            <w14:solidFill>
              <w14:schemeClr w14:val="tx1"/>
            </w14:solidFill>
          </w14:textFill>
        </w:rPr>
      </w:pPr>
      <w:bookmarkStart w:id="743" w:name="OLE_LINK237"/>
      <w:r>
        <w:rPr>
          <w:rFonts w:hint="eastAsia"/>
          <w:color w:val="000000" w:themeColor="text1"/>
          <w14:textFill>
            <w14:solidFill>
              <w14:schemeClr w14:val="tx1"/>
            </w14:solidFill>
          </w14:textFill>
        </w:rPr>
        <w:t>（1）定期对管线进行巡检，</w:t>
      </w:r>
      <w:r>
        <w:rPr>
          <w:color w:val="000000" w:themeColor="text1"/>
          <w14:textFill>
            <w14:solidFill>
              <w14:schemeClr w14:val="tx1"/>
            </w14:solidFill>
          </w14:textFill>
        </w:rPr>
        <w:t>严格按照管道施工、验收等规范进行设计、施工和验收。管线敷设前，应加强对管材和焊接质量的检查，严禁使用不合格产品。对焊接质量严格检验，防止焊接缺陷造成泄漏事故的发生。</w:t>
      </w:r>
    </w:p>
    <w:p w14:paraId="32EF4EFC">
      <w:pPr>
        <w:pStyle w:val="117"/>
        <w:ind w:firstLine="480"/>
        <w:rPr>
          <w:rFonts w:hint="eastAsia"/>
          <w:color w:val="000000" w:themeColor="text1"/>
          <w14:textFill>
            <w14:solidFill>
              <w14:schemeClr w14:val="tx1"/>
            </w14:solidFill>
          </w14:textFill>
        </w:rPr>
      </w:pPr>
      <w:bookmarkStart w:id="744" w:name="_Hlk40722285"/>
      <w:r>
        <w:rPr>
          <w:rFonts w:hint="eastAsia"/>
          <w:color w:val="000000" w:themeColor="text1"/>
          <w14:textFill>
            <w14:solidFill>
              <w14:schemeClr w14:val="tx1"/>
            </w14:solidFill>
          </w14:textFill>
        </w:rPr>
        <w:t>（</w:t>
      </w:r>
      <w:r>
        <w:rPr>
          <w:color w:val="000000" w:themeColor="text1"/>
          <w14:textFill>
            <w14:solidFill>
              <w14:schemeClr w14:val="tx1"/>
            </w14:solidFill>
          </w14:textFill>
        </w:rPr>
        <w:t>2</w:t>
      </w:r>
      <w:r>
        <w:rPr>
          <w:rFonts w:hint="eastAsia"/>
          <w:color w:val="000000" w:themeColor="text1"/>
          <w14:textFill>
            <w14:solidFill>
              <w14:schemeClr w14:val="tx1"/>
            </w14:solidFill>
          </w14:textFill>
        </w:rPr>
        <w:t>）建立施工质量保证体系，提高施工检验人员水平，加强检验手段。选择有丰富经验的单位进行施工，并对其施工质量进行监理。</w:t>
      </w:r>
    </w:p>
    <w:p w14:paraId="21B5EC7F">
      <w:pPr>
        <w:pStyle w:val="117"/>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w:t>
      </w:r>
      <w:r>
        <w:rPr>
          <w:color w:val="000000" w:themeColor="text1"/>
          <w14:textFill>
            <w14:solidFill>
              <w14:schemeClr w14:val="tx1"/>
            </w14:solidFill>
          </w14:textFill>
        </w:rPr>
        <w:t>3</w:t>
      </w:r>
      <w:r>
        <w:rPr>
          <w:rFonts w:hint="eastAsia"/>
          <w:color w:val="000000" w:themeColor="text1"/>
          <w14:textFill>
            <w14:solidFill>
              <w14:schemeClr w14:val="tx1"/>
            </w14:solidFill>
          </w14:textFill>
        </w:rPr>
        <w:t>）加强自动控制系统的管理和控制，严格控制压力平衡</w:t>
      </w:r>
      <w:bookmarkEnd w:id="744"/>
      <w:r>
        <w:rPr>
          <w:color w:val="000000" w:themeColor="text1"/>
          <w14:textFill>
            <w14:solidFill>
              <w14:schemeClr w14:val="tx1"/>
            </w14:solidFill>
          </w14:textFill>
        </w:rPr>
        <w:t>；定期对管线进行超声波检查，对壁厚低于规定要求的管段应及时更换，消除爆管的隐患；定期对</w:t>
      </w:r>
      <w:r>
        <w:rPr>
          <w:rFonts w:hint="eastAsia"/>
          <w:color w:val="000000" w:themeColor="text1"/>
          <w14:textFill>
            <w14:solidFill>
              <w14:schemeClr w14:val="tx1"/>
            </w14:solidFill>
          </w14:textFill>
        </w:rPr>
        <w:t>管线</w:t>
      </w:r>
      <w:r>
        <w:rPr>
          <w:color w:val="000000" w:themeColor="text1"/>
          <w14:textFill>
            <w14:solidFill>
              <w14:schemeClr w14:val="tx1"/>
            </w14:solidFill>
          </w14:textFill>
        </w:rPr>
        <w:t>上的安全保护设施，如截断阀、安全阀、放空系统等进行检查，使管道在超压时能够得到安全处理，在管道破裂时能够及时截断上下游管段，以减少事故时油气的释放量，使危害影响范围减小到最低程度</w:t>
      </w:r>
      <w:r>
        <w:rPr>
          <w:rFonts w:hint="eastAsia"/>
          <w:color w:val="000000" w:themeColor="text1"/>
          <w14:textFill>
            <w14:solidFill>
              <w14:schemeClr w14:val="tx1"/>
            </w14:solidFill>
          </w14:textFill>
        </w:rPr>
        <w:t>。</w:t>
      </w:r>
    </w:p>
    <w:p w14:paraId="5B3E7A89">
      <w:pPr>
        <w:pStyle w:val="117"/>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w:t>
      </w:r>
      <w:r>
        <w:rPr>
          <w:color w:val="000000" w:themeColor="text1"/>
          <w14:textFill>
            <w14:solidFill>
              <w14:schemeClr w14:val="tx1"/>
            </w14:solidFill>
          </w14:textFill>
        </w:rPr>
        <w:t>4</w:t>
      </w:r>
      <w:r>
        <w:rPr>
          <w:rFonts w:hint="eastAsia"/>
          <w:color w:val="000000" w:themeColor="text1"/>
          <w14:textFill>
            <w14:solidFill>
              <w14:schemeClr w14:val="tx1"/>
            </w14:solidFill>
          </w14:textFill>
        </w:rPr>
        <w:t>）严禁在管线两侧各5m范围内修筑工程，在管线上方及近旁严禁动土开挖和修建超过管道负荷的建筑物。</w:t>
      </w:r>
    </w:p>
    <w:p w14:paraId="06EFAEAB">
      <w:pPr>
        <w:pStyle w:val="117"/>
        <w:ind w:firstLine="480"/>
        <w:rPr>
          <w:rFonts w:hint="eastAsia"/>
          <w:color w:val="000000" w:themeColor="text1"/>
          <w14:textFill>
            <w14:solidFill>
              <w14:schemeClr w14:val="tx1"/>
            </w14:solidFill>
          </w14:textFill>
        </w:rPr>
      </w:pPr>
      <w:bookmarkStart w:id="745" w:name="_Hlk160377214"/>
      <w:r>
        <w:rPr>
          <w:rFonts w:hint="eastAsia"/>
          <w:color w:val="000000" w:themeColor="text1"/>
          <w14:textFill>
            <w14:solidFill>
              <w14:schemeClr w14:val="tx1"/>
            </w14:solidFill>
          </w14:textFill>
        </w:rPr>
        <w:t>（5）泄漏环境应急处置</w:t>
      </w:r>
    </w:p>
    <w:p w14:paraId="340C81E1">
      <w:pPr>
        <w:pStyle w:val="117"/>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管线泄漏发生后，迅速关闭截断阀，并及时封堵泄漏源；泄漏的原油尽可能回收至页岩油联合站，无法收集的泄漏原油及被污染的土壤集中收集后交由有相应危险废物处理资质的单位回收处置；泄漏油品环境应急处置过程需要注意安全防爆，防止次生爆炸等安全事故发生。</w:t>
      </w:r>
    </w:p>
    <w:p w14:paraId="5EDF7193">
      <w:pPr>
        <w:pStyle w:val="117"/>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（7）泄漏预防</w:t>
      </w:r>
    </w:p>
    <w:p w14:paraId="3D14F044">
      <w:pPr>
        <w:pStyle w:val="117"/>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原油管道的工艺、设备运行规程参照《原油管道运行规范》（S</w:t>
      </w:r>
      <w:r>
        <w:rPr>
          <w:color w:val="000000" w:themeColor="text1"/>
          <w14:textFill>
            <w14:solidFill>
              <w14:schemeClr w14:val="tx1"/>
            </w14:solidFill>
          </w14:textFill>
        </w:rPr>
        <w:t>Y/T5536-2016</w:t>
      </w:r>
      <w:r>
        <w:rPr>
          <w:rFonts w:hint="eastAsia"/>
          <w:color w:val="000000" w:themeColor="text1"/>
          <w14:textFill>
            <w14:solidFill>
              <w14:schemeClr w14:val="tx1"/>
            </w14:solidFill>
          </w14:textFill>
        </w:rPr>
        <w:t>）中的相关要求执行；建议对外腐蚀控制，定期检测管地电位，识别、测试杂散电流对管道的影响，并采取措施减缓杂散电流对管道的影响；建议对内腐蚀进行控制，对输送采出液的腐蚀性进行分析；建议定期对监控与数据采集系统进行维护，定期对管道的腐蚀情况和防腐保护系统进行检验、监测；管道在停运工况下，阴极保护系统不宜停止运行；当管道出现局部管壁减薄，建议对局部管道进行更换或降压运行，降压运行宜经管道压力评定。</w:t>
      </w:r>
    </w:p>
    <w:p w14:paraId="67522EB4">
      <w:pPr>
        <w:pStyle w:val="117"/>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8）建议开展突发环境事件隐患排查，明确排查频次、排查规模、排查项目等，对排查出的隐患根据可能造成的危害程度、治理难度等实施分级管理，并建立隐患排查治理档案。突发环境事件隐患排查内容宜包括环境应急管理、环境风险防控措施、管段与环境风险受体之间的通道等；建立管道环境风险信息管理系统。</w:t>
      </w:r>
    </w:p>
    <w:bookmarkEnd w:id="743"/>
    <w:p w14:paraId="56D68C9A">
      <w:pPr>
        <w:pStyle w:val="4"/>
        <w:rPr>
          <w:rFonts w:hint="eastAsia"/>
          <w:color w:val="000000" w:themeColor="text1"/>
          <w14:textFill>
            <w14:solidFill>
              <w14:schemeClr w14:val="tx1"/>
            </w14:solidFill>
          </w14:textFill>
        </w:rPr>
      </w:pPr>
      <w:bookmarkStart w:id="746" w:name="_Hlk173407586"/>
      <w:r>
        <w:rPr>
          <w:rFonts w:hint="eastAsia"/>
          <w:color w:val="000000" w:themeColor="text1"/>
          <w14:textFill>
            <w14:solidFill>
              <w14:schemeClr w14:val="tx1"/>
            </w14:solidFill>
          </w14:textFill>
        </w:rPr>
        <w:t>居民区风险防范措施</w:t>
      </w:r>
    </w:p>
    <w:p w14:paraId="7FDCC848">
      <w:pPr>
        <w:pStyle w:val="117"/>
        <w:ind w:firstLine="480"/>
        <w:rPr>
          <w:rFonts w:hint="eastAsia"/>
          <w:color w:val="000000" w:themeColor="text1"/>
          <w14:textFill>
            <w14:solidFill>
              <w14:schemeClr w14:val="tx1"/>
            </w14:solidFill>
          </w14:textFill>
        </w:rPr>
      </w:pPr>
      <w:bookmarkStart w:id="747" w:name="OLE_LINK238"/>
      <w:r>
        <w:rPr>
          <w:rFonts w:hint="eastAsia"/>
          <w:color w:val="000000" w:themeColor="text1"/>
          <w14:textFill>
            <w14:solidFill>
              <w14:schemeClr w14:val="tx1"/>
            </w14:solidFill>
          </w14:textFill>
        </w:rPr>
        <w:t>（1）加强井场、预处理注入站内的设备、阀门、法兰和管线等巡检、检维修，防止跑冒滴漏。</w:t>
      </w:r>
    </w:p>
    <w:p w14:paraId="53FC7847">
      <w:pPr>
        <w:pStyle w:val="117"/>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（2）井场、预处理注入站设有硫化氢检测仪。</w:t>
      </w:r>
    </w:p>
    <w:p w14:paraId="179F1B08">
      <w:pPr>
        <w:pStyle w:val="117"/>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（3）加强除硫加药装置的检维修，保证其正常运行。</w:t>
      </w:r>
    </w:p>
    <w:p w14:paraId="4DDCB036">
      <w:pPr>
        <w:pStyle w:val="117"/>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（4）发生泄漏事故后，及时疏散附近的居民。</w:t>
      </w:r>
    </w:p>
    <w:bookmarkEnd w:id="745"/>
    <w:bookmarkEnd w:id="746"/>
    <w:bookmarkEnd w:id="747"/>
    <w:p w14:paraId="2660EB33">
      <w:pPr>
        <w:pStyle w:val="4"/>
        <w:rPr>
          <w:rFonts w:hint="eastAsia"/>
          <w:color w:val="000000" w:themeColor="text1"/>
          <w14:textFill>
            <w14:solidFill>
              <w14:schemeClr w14:val="tx1"/>
            </w14:solidFill>
          </w14:textFill>
        </w:rPr>
      </w:pPr>
      <w:bookmarkStart w:id="748" w:name="_Hlk40733197"/>
      <w:r>
        <w:rPr>
          <w:color w:val="000000" w:themeColor="text1"/>
          <w14:textFill>
            <w14:solidFill>
              <w14:schemeClr w14:val="tx1"/>
            </w14:solidFill>
          </w14:textFill>
        </w:rPr>
        <w:t>环境风险应急</w:t>
      </w:r>
      <w:bookmarkEnd w:id="733"/>
      <w:bookmarkEnd w:id="734"/>
      <w:bookmarkEnd w:id="735"/>
      <w:bookmarkEnd w:id="736"/>
      <w:bookmarkEnd w:id="737"/>
      <w:bookmarkEnd w:id="738"/>
      <w:bookmarkEnd w:id="739"/>
      <w:bookmarkEnd w:id="740"/>
      <w:r>
        <w:rPr>
          <w:rFonts w:hint="eastAsia"/>
          <w:color w:val="000000" w:themeColor="text1"/>
          <w14:textFill>
            <w14:solidFill>
              <w14:schemeClr w14:val="tx1"/>
            </w14:solidFill>
          </w14:textFill>
        </w:rPr>
        <w:t>措施</w:t>
      </w:r>
    </w:p>
    <w:p w14:paraId="6F2BC65C">
      <w:pPr>
        <w:pStyle w:val="191"/>
        <w:ind w:firstLine="480"/>
        <w:rPr>
          <w:rFonts w:hint="eastAsia"/>
          <w:color w:val="000000" w:themeColor="text1"/>
          <w14:textFill>
            <w14:solidFill>
              <w14:schemeClr w14:val="tx1"/>
            </w14:solidFill>
          </w14:textFill>
        </w:rPr>
      </w:pPr>
      <w:bookmarkStart w:id="749" w:name="OLE_LINK239"/>
      <w:r>
        <w:rPr>
          <w:rFonts w:hint="eastAsia"/>
          <w:color w:val="000000" w:themeColor="text1"/>
          <w14:textFill>
            <w14:solidFill>
              <w14:schemeClr w14:val="tx1"/>
            </w14:solidFill>
          </w14:textFill>
        </w:rPr>
        <w:t>（1）应急处置措施</w:t>
      </w:r>
    </w:p>
    <w:p w14:paraId="7D65B885">
      <w:pPr>
        <w:pStyle w:val="191"/>
        <w:ind w:firstLine="480"/>
        <w:rPr>
          <w:rFonts w:hint="eastAsia"/>
          <w:color w:val="000000" w:themeColor="text1"/>
          <w14:textFill>
            <w14:solidFill>
              <w14:schemeClr w14:val="tx1"/>
            </w14:solidFill>
          </w14:textFill>
        </w:rPr>
      </w:pPr>
      <w:bookmarkStart w:id="750" w:name="_Hlk40377182"/>
      <w:r>
        <w:rPr>
          <w:rFonts w:hint="eastAsia"/>
          <w:color w:val="000000" w:themeColor="text1"/>
          <w14:textFill>
            <w14:solidFill>
              <w14:schemeClr w14:val="tx1"/>
            </w14:solidFill>
          </w14:textFill>
        </w:rPr>
        <w:t>发生事故时，</w:t>
      </w:r>
      <w:bookmarkStart w:id="751" w:name="_Hlk40632491"/>
      <w:r>
        <w:rPr>
          <w:rFonts w:hint="eastAsia"/>
          <w:color w:val="000000" w:themeColor="text1"/>
          <w14:textFill>
            <w14:solidFill>
              <w14:schemeClr w14:val="tx1"/>
            </w14:solidFill>
          </w14:textFill>
        </w:rPr>
        <w:t>如管线、设备发生泄漏</w:t>
      </w:r>
      <w:bookmarkEnd w:id="751"/>
      <w:r>
        <w:rPr>
          <w:rFonts w:hint="eastAsia"/>
          <w:color w:val="000000" w:themeColor="text1"/>
          <w14:textFill>
            <w14:solidFill>
              <w14:schemeClr w14:val="tx1"/>
            </w14:solidFill>
          </w14:textFill>
        </w:rPr>
        <w:t>事故时，上层能收集的原油回收送页岩油联合站处理</w:t>
      </w:r>
      <w:r>
        <w:rPr>
          <w:color w:val="000000" w:themeColor="text1"/>
          <w14:textFill>
            <w14:solidFill>
              <w14:schemeClr w14:val="tx1"/>
            </w14:solidFill>
          </w14:textFill>
        </w:rPr>
        <w:t>，无法收集的原油和受浸染的土壤</w:t>
      </w:r>
      <w:r>
        <w:rPr>
          <w:rFonts w:hint="eastAsia"/>
          <w:color w:val="000000" w:themeColor="text1"/>
          <w14:textFill>
            <w14:solidFill>
              <w14:schemeClr w14:val="tx1"/>
            </w14:solidFill>
          </w14:textFill>
        </w:rPr>
        <w:t>等</w:t>
      </w:r>
      <w:r>
        <w:rPr>
          <w:color w:val="000000" w:themeColor="text1"/>
          <w14:textFill>
            <w14:solidFill>
              <w14:schemeClr w14:val="tx1"/>
            </w14:solidFill>
          </w14:textFill>
        </w:rPr>
        <w:t>含油污泥属于《国家危险废物名录（20</w:t>
      </w:r>
      <w:r>
        <w:rPr>
          <w:rFonts w:hint="eastAsia"/>
          <w:color w:val="000000" w:themeColor="text1"/>
          <w14:textFill>
            <w14:solidFill>
              <w14:schemeClr w14:val="tx1"/>
            </w14:solidFill>
          </w14:textFill>
        </w:rPr>
        <w:t>25年版</w:t>
      </w:r>
      <w:r>
        <w:rPr>
          <w:color w:val="000000" w:themeColor="text1"/>
          <w14:textFill>
            <w14:solidFill>
              <w14:schemeClr w14:val="tx1"/>
            </w14:solidFill>
          </w14:textFill>
        </w:rPr>
        <w:t>）》HW08废矿物油和含矿物油废物，交由具有相应危险废物处置资质的单位进行回收、处置</w:t>
      </w:r>
      <w:bookmarkEnd w:id="750"/>
      <w:r>
        <w:rPr>
          <w:rFonts w:hint="eastAsia"/>
          <w:color w:val="000000" w:themeColor="text1"/>
          <w14:textFill>
            <w14:solidFill>
              <w14:schemeClr w14:val="tx1"/>
            </w14:solidFill>
          </w14:textFill>
        </w:rPr>
        <w:t>。若发生不可控风险事故，应立即启动《中国石油新疆油田分公司吉庆油田作业区突发环境污染事件应急预案》，由应急领导小组对事故进行处理。</w:t>
      </w:r>
    </w:p>
    <w:p w14:paraId="4264C552">
      <w:pPr>
        <w:pStyle w:val="191"/>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（2）应急预案</w:t>
      </w:r>
    </w:p>
    <w:bookmarkEnd w:id="748"/>
    <w:p w14:paraId="2EF2B022">
      <w:pPr>
        <w:pStyle w:val="191"/>
        <w:ind w:firstLine="480"/>
        <w:rPr>
          <w:rFonts w:hint="eastAsia"/>
          <w:color w:val="000000" w:themeColor="text1"/>
          <w14:textFill>
            <w14:solidFill>
              <w14:schemeClr w14:val="tx1"/>
            </w14:solidFill>
          </w14:textFill>
        </w:rPr>
      </w:pPr>
      <w:bookmarkStart w:id="752" w:name="_Hlk40733242"/>
      <w:bookmarkStart w:id="753" w:name="_Hlk12460212"/>
      <w:bookmarkStart w:id="754" w:name="_Hlk147588542"/>
      <w:r>
        <w:rPr>
          <w:rFonts w:hint="eastAsia"/>
          <w:color w:val="000000" w:themeColor="text1"/>
          <w14:textFill>
            <w14:solidFill>
              <w14:schemeClr w14:val="tx1"/>
            </w14:solidFill>
          </w14:textFill>
        </w:rPr>
        <w:t>项目投产后应纳入《中国石油新疆油田分公司吉庆油田作业区突发环境污染事件应急预案》，从而对环境风险进行有效防治。</w:t>
      </w:r>
      <w:bookmarkEnd w:id="752"/>
      <w:bookmarkEnd w:id="753"/>
      <w:bookmarkStart w:id="755" w:name="_Hlk40733273"/>
      <w:r>
        <w:rPr>
          <w:rFonts w:hint="eastAsia"/>
          <w:color w:val="000000" w:themeColor="text1"/>
          <w14:textFill>
            <w14:solidFill>
              <w14:schemeClr w14:val="tx1"/>
            </w14:solidFill>
          </w14:textFill>
        </w:rPr>
        <w:t>吉庆油田作业区已在昌吉回族自治州生态环境局吉木萨尔县分局进行了突发环境事件应急预案备案（备案编号：6</w:t>
      </w:r>
      <w:r>
        <w:rPr>
          <w:color w:val="000000" w:themeColor="text1"/>
          <w14:textFill>
            <w14:solidFill>
              <w14:schemeClr w14:val="tx1"/>
            </w14:solidFill>
          </w14:textFill>
        </w:rPr>
        <w:t>52327-2023-016-L</w:t>
      </w:r>
      <w:r>
        <w:rPr>
          <w:rFonts w:hint="eastAsia"/>
          <w:color w:val="000000" w:themeColor="text1"/>
          <w14:textFill>
            <w14:solidFill>
              <w14:schemeClr w14:val="tx1"/>
            </w14:solidFill>
          </w14:textFill>
        </w:rPr>
        <w:t>）。项目实施后建设单位应根据实际建设情况</w:t>
      </w:r>
      <w:bookmarkStart w:id="756" w:name="_Hlk92216992"/>
      <w:r>
        <w:rPr>
          <w:rFonts w:hint="eastAsia"/>
          <w:color w:val="000000" w:themeColor="text1"/>
          <w14:textFill>
            <w14:solidFill>
              <w14:schemeClr w14:val="tx1"/>
            </w14:solidFill>
          </w14:textFill>
        </w:rPr>
        <w:t>对应急预案中的</w:t>
      </w:r>
      <w:r>
        <w:rPr>
          <w:rFonts w:hint="eastAsia" w:cs="Arial"/>
          <w:color w:val="000000" w:themeColor="text1"/>
          <w14:textFill>
            <w14:solidFill>
              <w14:schemeClr w14:val="tx1"/>
            </w14:solidFill>
          </w14:textFill>
        </w:rPr>
        <w:t>环境风险源基本情况、环境风险源识别、装置风险识别进行修改完善</w:t>
      </w:r>
      <w:bookmarkEnd w:id="756"/>
      <w:r>
        <w:rPr>
          <w:rFonts w:hint="eastAsia" w:cs="Arial"/>
          <w:color w:val="000000" w:themeColor="text1"/>
          <w14:textFill>
            <w14:solidFill>
              <w14:schemeClr w14:val="tx1"/>
            </w14:solidFill>
          </w14:textFill>
        </w:rPr>
        <w:t>，其余与现有应急预案保持一致，并根据风险等级要求对现有应急预案进行修订。</w:t>
      </w:r>
    </w:p>
    <w:bookmarkEnd w:id="749"/>
    <w:bookmarkEnd w:id="754"/>
    <w:p w14:paraId="2F5BDDEC">
      <w:pPr>
        <w:pStyle w:val="117"/>
        <w:ind w:firstLine="480"/>
        <w:rPr>
          <w:rStyle w:val="190"/>
          <w:rFonts w:hint="eastAsia"/>
          <w:color w:val="000000" w:themeColor="text1"/>
          <w14:textFill>
            <w14:solidFill>
              <w14:schemeClr w14:val="tx1"/>
            </w14:solidFill>
          </w14:textFill>
        </w:rPr>
      </w:pPr>
      <w:bookmarkStart w:id="757" w:name="_Hlk78887558"/>
      <w:r>
        <w:rPr>
          <w:rFonts w:hint="eastAsia" w:cs="Arial"/>
          <w:color w:val="000000" w:themeColor="text1"/>
          <w:kern w:val="0"/>
          <w14:textFill>
            <w14:solidFill>
              <w14:schemeClr w14:val="tx1"/>
            </w14:solidFill>
          </w14:textFill>
        </w:rPr>
        <w:t>环境风险简单分析内容详</w:t>
      </w:r>
      <w:r>
        <w:rPr>
          <w:rStyle w:val="190"/>
          <w:rFonts w:hint="eastAsia"/>
          <w:color w:val="000000" w:themeColor="text1"/>
          <w14:textFill>
            <w14:solidFill>
              <w14:schemeClr w14:val="tx1"/>
            </w14:solidFill>
          </w14:textFill>
        </w:rPr>
        <w:t>见表6.4-1。</w:t>
      </w:r>
    </w:p>
    <w:p w14:paraId="725D6AD7">
      <w:pPr>
        <w:pStyle w:val="15"/>
        <w:rPr>
          <w:rFonts w:hint="eastAsia" w:ascii="黑体" w:hAnsi="黑体" w:cs="黑体"/>
          <w:color w:val="000000" w:themeColor="text1"/>
          <w:kern w:val="0"/>
          <w:szCs w:val="21"/>
          <w14:textFill>
            <w14:solidFill>
              <w14:schemeClr w14:val="tx1"/>
            </w14:solidFill>
          </w14:textFill>
        </w:rPr>
      </w:pPr>
      <w:r>
        <w:rPr>
          <w:rFonts w:hint="eastAsia"/>
          <w:color w:val="000000" w:themeColor="text1"/>
          <w14:textFill>
            <w14:solidFill>
              <w14:schemeClr w14:val="tx1"/>
            </w14:solidFill>
          </w14:textFill>
        </w:rPr>
        <w:t>表6.4-1</w:t>
      </w:r>
      <w:r>
        <w:rPr>
          <w:rFonts w:hint="eastAsia" w:ascii="黑体" w:hAnsi="黑体" w:cs="黑体"/>
          <w:color w:val="000000" w:themeColor="text1"/>
          <w:kern w:val="0"/>
          <w:szCs w:val="21"/>
          <w14:textFill>
            <w14:solidFill>
              <w14:schemeClr w14:val="tx1"/>
            </w14:solidFill>
          </w14:textFill>
        </w:rPr>
        <w:t xml:space="preserve">  </w:t>
      </w:r>
      <w:bookmarkStart w:id="758" w:name="_Hlk80209137"/>
      <w:r>
        <w:rPr>
          <w:rFonts w:hint="eastAsia" w:ascii="黑体" w:hAnsi="黑体" w:cs="黑体"/>
          <w:color w:val="000000" w:themeColor="text1"/>
          <w:kern w:val="0"/>
          <w:szCs w:val="21"/>
          <w14:textFill>
            <w14:solidFill>
              <w14:schemeClr w14:val="tx1"/>
            </w14:solidFill>
          </w14:textFill>
        </w:rPr>
        <w:t>环境风险简单分析一览表</w:t>
      </w:r>
    </w:p>
    <w:tbl>
      <w:tblPr>
        <w:tblStyle w:val="51"/>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598"/>
        <w:gridCol w:w="7348"/>
      </w:tblGrid>
      <w:tr w14:paraId="3F29BBA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93" w:type="pct"/>
            <w:vAlign w:val="center"/>
          </w:tcPr>
          <w:p w14:paraId="04D8BE95">
            <w:pPr>
              <w:pStyle w:val="117"/>
              <w:adjustRightInd w:val="0"/>
              <w:snapToGrid w:val="0"/>
              <w:spacing w:line="300" w:lineRule="exact"/>
              <w:ind w:firstLine="0" w:firstLineChars="0"/>
              <w:jc w:val="center"/>
              <w:rPr>
                <w:rFonts w:hint="eastAsia" w:cs="宋体"/>
                <w:color w:val="000000" w:themeColor="text1"/>
                <w:kern w:val="0"/>
                <w:sz w:val="21"/>
                <w:szCs w:val="21"/>
                <w14:textFill>
                  <w14:solidFill>
                    <w14:schemeClr w14:val="tx1"/>
                  </w14:solidFill>
                </w14:textFill>
              </w:rPr>
            </w:pPr>
            <w:r>
              <w:rPr>
                <w:rFonts w:hint="eastAsia" w:cs="宋体"/>
                <w:color w:val="000000" w:themeColor="text1"/>
                <w:kern w:val="0"/>
                <w:sz w:val="21"/>
                <w:szCs w:val="21"/>
                <w14:textFill>
                  <w14:solidFill>
                    <w14:schemeClr w14:val="tx1"/>
                  </w14:solidFill>
                </w14:textFill>
              </w:rPr>
              <w:t>建设项目名称</w:t>
            </w:r>
          </w:p>
        </w:tc>
        <w:tc>
          <w:tcPr>
            <w:tcW w:w="4107" w:type="pct"/>
            <w:vAlign w:val="center"/>
          </w:tcPr>
          <w:p w14:paraId="0A141301">
            <w:pPr>
              <w:pStyle w:val="117"/>
              <w:adjustRightInd w:val="0"/>
              <w:snapToGrid w:val="0"/>
              <w:spacing w:line="300" w:lineRule="exact"/>
              <w:ind w:firstLine="0" w:firstLineChars="0"/>
              <w:rPr>
                <w:rFonts w:hint="eastAsia" w:cs="宋体"/>
                <w:color w:val="000000" w:themeColor="text1"/>
                <w:kern w:val="0"/>
                <w:sz w:val="21"/>
                <w:szCs w:val="21"/>
                <w14:textFill>
                  <w14:solidFill>
                    <w14:schemeClr w14:val="tx1"/>
                  </w14:solidFill>
                </w14:textFill>
              </w:rPr>
            </w:pPr>
            <w:r>
              <w:rPr>
                <w:rFonts w:hint="eastAsia" w:cs="宋体"/>
                <w:color w:val="000000" w:themeColor="text1"/>
                <w:kern w:val="0"/>
                <w:sz w:val="21"/>
                <w:szCs w:val="21"/>
                <w14:textFill>
                  <w14:solidFill>
                    <w14:schemeClr w14:val="tx1"/>
                  </w14:solidFill>
                </w14:textFill>
              </w:rPr>
              <w:t>新疆吉木萨尔页岩油注CO</w:t>
            </w:r>
            <w:r>
              <w:rPr>
                <w:rFonts w:hint="eastAsia" w:cs="宋体"/>
                <w:color w:val="000000" w:themeColor="text1"/>
                <w:kern w:val="0"/>
                <w:sz w:val="21"/>
                <w:szCs w:val="21"/>
                <w:vertAlign w:val="subscript"/>
                <w14:textFill>
                  <w14:solidFill>
                    <w14:schemeClr w14:val="tx1"/>
                  </w14:solidFill>
                </w14:textFill>
              </w:rPr>
              <w:t>2</w:t>
            </w:r>
            <w:r>
              <w:rPr>
                <w:rFonts w:hint="eastAsia" w:cs="宋体"/>
                <w:color w:val="000000" w:themeColor="text1"/>
                <w:kern w:val="0"/>
                <w:sz w:val="21"/>
                <w:szCs w:val="21"/>
                <w14:textFill>
                  <w14:solidFill>
                    <w14:schemeClr w14:val="tx1"/>
                  </w14:solidFill>
                </w14:textFill>
              </w:rPr>
              <w:t>提高采收率先导试验项目。</w:t>
            </w:r>
          </w:p>
        </w:tc>
      </w:tr>
      <w:tr w14:paraId="524959C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93" w:type="pct"/>
            <w:vAlign w:val="center"/>
          </w:tcPr>
          <w:p w14:paraId="3F1172B4">
            <w:pPr>
              <w:pStyle w:val="117"/>
              <w:adjustRightInd w:val="0"/>
              <w:snapToGrid w:val="0"/>
              <w:spacing w:line="300" w:lineRule="exact"/>
              <w:ind w:firstLine="0" w:firstLineChars="0"/>
              <w:jc w:val="center"/>
              <w:rPr>
                <w:rFonts w:hint="eastAsia" w:cs="宋体"/>
                <w:color w:val="000000" w:themeColor="text1"/>
                <w:kern w:val="0"/>
                <w:sz w:val="21"/>
                <w:szCs w:val="21"/>
                <w14:textFill>
                  <w14:solidFill>
                    <w14:schemeClr w14:val="tx1"/>
                  </w14:solidFill>
                </w14:textFill>
              </w:rPr>
            </w:pPr>
            <w:r>
              <w:rPr>
                <w:rFonts w:hint="eastAsia" w:cs="宋体"/>
                <w:color w:val="000000" w:themeColor="text1"/>
                <w:kern w:val="0"/>
                <w:sz w:val="21"/>
                <w:szCs w:val="21"/>
                <w14:textFill>
                  <w14:solidFill>
                    <w14:schemeClr w14:val="tx1"/>
                  </w14:solidFill>
                </w14:textFill>
              </w:rPr>
              <w:t>建设地点</w:t>
            </w:r>
          </w:p>
        </w:tc>
        <w:tc>
          <w:tcPr>
            <w:tcW w:w="4107" w:type="pct"/>
            <w:vAlign w:val="center"/>
          </w:tcPr>
          <w:p w14:paraId="1B6A263B">
            <w:pPr>
              <w:pStyle w:val="117"/>
              <w:adjustRightInd w:val="0"/>
              <w:snapToGrid w:val="0"/>
              <w:spacing w:line="300" w:lineRule="exact"/>
              <w:ind w:firstLine="0" w:firstLineChars="0"/>
              <w:rPr>
                <w:rFonts w:hint="eastAsia" w:cs="宋体"/>
                <w:color w:val="000000" w:themeColor="text1"/>
                <w:kern w:val="0"/>
                <w:sz w:val="21"/>
                <w:szCs w:val="21"/>
                <w14:textFill>
                  <w14:solidFill>
                    <w14:schemeClr w14:val="tx1"/>
                  </w14:solidFill>
                </w14:textFill>
              </w:rPr>
            </w:pPr>
            <w:r>
              <w:rPr>
                <w:rFonts w:hint="eastAsia" w:cs="宋体"/>
                <w:color w:val="000000" w:themeColor="text1"/>
                <w:kern w:val="0"/>
                <w:sz w:val="21"/>
                <w:szCs w:val="21"/>
                <w14:textFill>
                  <w14:solidFill>
                    <w14:schemeClr w14:val="tx1"/>
                  </w14:solidFill>
                </w14:textFill>
              </w:rPr>
              <w:t>本项目行政隶属于新疆维吾尔自治区昌吉回族自治州吉木萨尔县，西南距吉木萨尔县城约14km，西北距红旗农场约14km。</w:t>
            </w:r>
          </w:p>
        </w:tc>
      </w:tr>
      <w:tr w14:paraId="1AB0C29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93" w:type="pct"/>
            <w:vAlign w:val="center"/>
          </w:tcPr>
          <w:p w14:paraId="630732C3">
            <w:pPr>
              <w:pStyle w:val="117"/>
              <w:adjustRightInd w:val="0"/>
              <w:snapToGrid w:val="0"/>
              <w:spacing w:line="300" w:lineRule="exact"/>
              <w:ind w:firstLine="0" w:firstLineChars="0"/>
              <w:jc w:val="center"/>
              <w:rPr>
                <w:rFonts w:hint="eastAsia" w:cs="宋体"/>
                <w:color w:val="000000" w:themeColor="text1"/>
                <w:kern w:val="0"/>
                <w:sz w:val="21"/>
                <w:szCs w:val="21"/>
                <w14:textFill>
                  <w14:solidFill>
                    <w14:schemeClr w14:val="tx1"/>
                  </w14:solidFill>
                </w14:textFill>
              </w:rPr>
            </w:pPr>
            <w:r>
              <w:rPr>
                <w:rFonts w:hint="eastAsia" w:cs="宋体"/>
                <w:color w:val="000000" w:themeColor="text1"/>
                <w:kern w:val="0"/>
                <w:sz w:val="21"/>
                <w:szCs w:val="21"/>
                <w14:textFill>
                  <w14:solidFill>
                    <w14:schemeClr w14:val="tx1"/>
                  </w14:solidFill>
                </w14:textFill>
              </w:rPr>
              <w:t>地理坐标</w:t>
            </w:r>
          </w:p>
        </w:tc>
        <w:tc>
          <w:tcPr>
            <w:tcW w:w="4107" w:type="pct"/>
            <w:vAlign w:val="center"/>
          </w:tcPr>
          <w:p w14:paraId="26335781">
            <w:pPr>
              <w:pStyle w:val="117"/>
              <w:adjustRightInd w:val="0"/>
              <w:snapToGrid w:val="0"/>
              <w:spacing w:line="300" w:lineRule="exact"/>
              <w:ind w:firstLine="0" w:firstLineChars="0"/>
              <w:rPr>
                <w:rFonts w:hint="eastAsia" w:cs="宋体"/>
                <w:color w:val="000000" w:themeColor="text1"/>
                <w:kern w:val="0"/>
                <w:sz w:val="21"/>
                <w:szCs w:val="21"/>
                <w14:textFill>
                  <w14:solidFill>
                    <w14:schemeClr w14:val="tx1"/>
                  </w14:solidFill>
                </w14:textFill>
              </w:rPr>
            </w:pPr>
          </w:p>
        </w:tc>
      </w:tr>
      <w:tr w14:paraId="6F4008D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93" w:type="pct"/>
            <w:vAlign w:val="center"/>
          </w:tcPr>
          <w:p w14:paraId="0A25BC5A">
            <w:pPr>
              <w:pStyle w:val="117"/>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主要危险物质及分布</w:t>
            </w:r>
          </w:p>
        </w:tc>
        <w:tc>
          <w:tcPr>
            <w:tcW w:w="4107" w:type="pct"/>
            <w:vAlign w:val="center"/>
          </w:tcPr>
          <w:p w14:paraId="64B78396">
            <w:pPr>
              <w:pStyle w:val="117"/>
              <w:adjustRightInd w:val="0"/>
              <w:snapToGrid w:val="0"/>
              <w:spacing w:line="300" w:lineRule="exact"/>
              <w:ind w:firstLine="0" w:firstLineChars="0"/>
              <w:jc w:val="left"/>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危险物质主要为原油、伴生气和硫化氢。原油和伴生气主要分布在单井采油管线和集油干线、预处理注入站内各设备中。</w:t>
            </w:r>
          </w:p>
        </w:tc>
      </w:tr>
      <w:tr w14:paraId="78C9AC2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93" w:type="pct"/>
            <w:vAlign w:val="center"/>
          </w:tcPr>
          <w:p w14:paraId="06A07A9A">
            <w:pPr>
              <w:pStyle w:val="117"/>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环境影响途径及危害后果</w:t>
            </w:r>
          </w:p>
        </w:tc>
        <w:tc>
          <w:tcPr>
            <w:tcW w:w="4107" w:type="pct"/>
            <w:vAlign w:val="center"/>
          </w:tcPr>
          <w:p w14:paraId="558C0C88">
            <w:pPr>
              <w:overflowPunct w:val="0"/>
              <w:adjustRightInd w:val="0"/>
              <w:snapToGrid w:val="0"/>
              <w:spacing w:line="300" w:lineRule="exact"/>
              <w:rPr>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运营期井场、管线、预处理注入站内设备发生破损造成原油、伴生气、硫化氢发生泄漏，污染土壤和大气，泄漏原油可能通过包气带渗漏进入地下含水层，污染地下水；泄漏的油气若遇明火，发生火灾、爆炸，污染大气环境。</w:t>
            </w:r>
            <w:r>
              <w:rPr>
                <w:rFonts w:hint="eastAsia"/>
                <w:color w:val="000000" w:themeColor="text1"/>
                <w:szCs w:val="21"/>
                <w14:textFill>
                  <w14:solidFill>
                    <w14:schemeClr w14:val="tx1"/>
                  </w14:solidFill>
                </w14:textFill>
              </w:rPr>
              <w:t>事故发生概率较低，发生事故后，及时采取相应的应急措施，不会对周围环境产生明显影响。</w:t>
            </w:r>
          </w:p>
        </w:tc>
      </w:tr>
      <w:tr w14:paraId="37AB902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93" w:type="pct"/>
            <w:vAlign w:val="center"/>
          </w:tcPr>
          <w:p w14:paraId="6BDE1979">
            <w:pPr>
              <w:pStyle w:val="117"/>
              <w:adjustRightInd w:val="0"/>
              <w:snapToGrid w:val="0"/>
              <w:spacing w:line="300" w:lineRule="exact"/>
              <w:ind w:firstLine="0" w:firstLineChars="0"/>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环境风险防范措施要求</w:t>
            </w:r>
          </w:p>
        </w:tc>
        <w:tc>
          <w:tcPr>
            <w:tcW w:w="4107" w:type="pct"/>
            <w:vAlign w:val="center"/>
          </w:tcPr>
          <w:p w14:paraId="428437E9">
            <w:pPr>
              <w:pStyle w:val="117"/>
              <w:adjustRightInd w:val="0"/>
              <w:snapToGrid w:val="0"/>
              <w:spacing w:line="300" w:lineRule="exact"/>
              <w:ind w:firstLine="0" w:firstLineChars="0"/>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（1）</w:t>
            </w:r>
            <w:bookmarkStart w:id="759" w:name="OLE_LINK190"/>
            <w:r>
              <w:rPr>
                <w:rFonts w:hint="eastAsia"/>
                <w:color w:val="000000" w:themeColor="text1"/>
                <w:sz w:val="21"/>
                <w:szCs w:val="21"/>
                <w14:textFill>
                  <w14:solidFill>
                    <w14:schemeClr w14:val="tx1"/>
                  </w14:solidFill>
                </w14:textFill>
              </w:rPr>
              <w:t>严格遵守钻井的安全规定，在井口安装防喷器和控制装置；井场设置明显的禁止烟火标志；井场钻井设备及电器设备、照明灯具符合防火防爆的安全要求，井场安装探照灯，以备井喷时钻台照明；在井架、井场路口等处设风向标，发生事故时人员迅速向上风向疏散；按消防规定配备灭火器、消防铁锹和其他消防器材。井场设置明显的禁止烟火标志；井下作业时要求带罐操作，最大限度避免落地油产生，而泄漏物料和落地原油应及时回收、妥善处置。</w:t>
            </w:r>
            <w:bookmarkEnd w:id="759"/>
          </w:p>
          <w:p w14:paraId="6561B059">
            <w:pPr>
              <w:pStyle w:val="117"/>
              <w:adjustRightInd w:val="0"/>
              <w:snapToGrid w:val="0"/>
              <w:spacing w:line="300" w:lineRule="exact"/>
              <w:ind w:firstLine="0" w:firstLineChars="0"/>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（2）</w:t>
            </w:r>
            <w:bookmarkStart w:id="760" w:name="OLE_LINK193"/>
            <w:bookmarkStart w:id="761" w:name="OLE_LINK200"/>
            <w:r>
              <w:rPr>
                <w:rFonts w:hint="eastAsia"/>
                <w:color w:val="000000" w:themeColor="text1"/>
                <w:sz w:val="21"/>
                <w:szCs w:val="21"/>
                <w14:textFill>
                  <w14:solidFill>
                    <w14:schemeClr w14:val="tx1"/>
                  </w14:solidFill>
                </w14:textFill>
              </w:rPr>
              <w:t>平面布置中尽量将火灾危险性相近的设施集中布置，并保持规定的防火距离；将场内的明火点控制到最小，并布置在油气生产区场地边缘部位；按规定配置齐全各类消防设施，并定期进行检查，保持有效性及完好可用；站场内的装置区等均为爆炸火灾危险区域，区域内的配电设备均应采用防爆型；加强对职工的教育培训，实行上岗证制度，增强职工风险意识；井场设置风向标</w:t>
            </w:r>
            <w:bookmarkEnd w:id="760"/>
            <w:r>
              <w:rPr>
                <w:rFonts w:hint="eastAsia"/>
                <w:color w:val="000000" w:themeColor="text1"/>
                <w:sz w:val="21"/>
                <w:szCs w:val="21"/>
                <w14:textFill>
                  <w14:solidFill>
                    <w14:schemeClr w14:val="tx1"/>
                  </w14:solidFill>
                </w14:textFill>
              </w:rPr>
              <w:t>；在油气可能泄漏和积聚的区域设置可燃气体浓度检测报警装置</w:t>
            </w:r>
            <w:bookmarkEnd w:id="761"/>
            <w:r>
              <w:rPr>
                <w:rFonts w:hint="eastAsia"/>
                <w:color w:val="000000" w:themeColor="text1"/>
                <w:sz w:val="21"/>
                <w:szCs w:val="21"/>
                <w14:textFill>
                  <w14:solidFill>
                    <w14:schemeClr w14:val="tx1"/>
                  </w14:solidFill>
                </w14:textFill>
              </w:rPr>
              <w:t>。</w:t>
            </w:r>
          </w:p>
          <w:p w14:paraId="6FB723D7">
            <w:pPr>
              <w:pStyle w:val="117"/>
              <w:adjustRightInd w:val="0"/>
              <w:snapToGrid w:val="0"/>
              <w:spacing w:line="300" w:lineRule="exact"/>
              <w:ind w:firstLine="0" w:firstLineChars="0"/>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（3）</w:t>
            </w:r>
            <w:bookmarkStart w:id="762" w:name="OLE_LINK201"/>
            <w:r>
              <w:rPr>
                <w:rFonts w:hint="eastAsia"/>
                <w:color w:val="000000" w:themeColor="text1"/>
                <w:sz w:val="21"/>
                <w:szCs w:val="21"/>
                <w14:textFill>
                  <w14:solidFill>
                    <w14:schemeClr w14:val="tx1"/>
                  </w14:solidFill>
                </w14:textFill>
              </w:rPr>
              <w:t>定期对管线进行巡检，</w:t>
            </w:r>
            <w:r>
              <w:rPr>
                <w:color w:val="000000" w:themeColor="text1"/>
                <w:sz w:val="21"/>
                <w:szCs w:val="21"/>
                <w14:textFill>
                  <w14:solidFill>
                    <w14:schemeClr w14:val="tx1"/>
                  </w14:solidFill>
                </w14:textFill>
              </w:rPr>
              <w:t>严格按照管道施工、验收等规范进行设计、施工和验收。管线敷设前，应加强对管材和焊接质量的检查，严禁使用不合格产品</w:t>
            </w:r>
            <w:r>
              <w:rPr>
                <w:rFonts w:hint="eastAsia"/>
                <w:color w:val="000000" w:themeColor="text1"/>
                <w:sz w:val="21"/>
                <w:szCs w:val="21"/>
                <w14:textFill>
                  <w14:solidFill>
                    <w14:schemeClr w14:val="tx1"/>
                  </w14:solidFill>
                </w14:textFill>
              </w:rPr>
              <w:t>；</w:t>
            </w:r>
            <w:r>
              <w:rPr>
                <w:color w:val="000000" w:themeColor="text1"/>
                <w:sz w:val="21"/>
                <w:szCs w:val="21"/>
                <w14:textFill>
                  <w14:solidFill>
                    <w14:schemeClr w14:val="tx1"/>
                  </w14:solidFill>
                </w14:textFill>
              </w:rPr>
              <w:t>定期对管线进行超声波检查，对壁厚低于规定要求的管段应及时更换，消除爆管的隐患；定期对</w:t>
            </w:r>
            <w:r>
              <w:rPr>
                <w:rFonts w:hint="eastAsia"/>
                <w:color w:val="000000" w:themeColor="text1"/>
                <w:sz w:val="21"/>
                <w:szCs w:val="21"/>
                <w14:textFill>
                  <w14:solidFill>
                    <w14:schemeClr w14:val="tx1"/>
                  </w14:solidFill>
                </w14:textFill>
              </w:rPr>
              <w:t>管线</w:t>
            </w:r>
            <w:r>
              <w:rPr>
                <w:color w:val="000000" w:themeColor="text1"/>
                <w:sz w:val="21"/>
                <w:szCs w:val="21"/>
                <w14:textFill>
                  <w14:solidFill>
                    <w14:schemeClr w14:val="tx1"/>
                  </w14:solidFill>
                </w14:textFill>
              </w:rPr>
              <w:t>上的安全保护设施，如截断阀、安全阀、放空系统等进行检查</w:t>
            </w:r>
            <w:r>
              <w:rPr>
                <w:rFonts w:hint="eastAsia"/>
                <w:color w:val="000000" w:themeColor="text1"/>
                <w:sz w:val="21"/>
                <w:szCs w:val="21"/>
                <w14:textFill>
                  <w14:solidFill>
                    <w14:schemeClr w14:val="tx1"/>
                  </w14:solidFill>
                </w14:textFill>
              </w:rPr>
              <w:t>；严禁在管线两侧各5m范围内修筑工程，在管线上方及近旁严禁动土开挖和修建超过管道负荷的建筑物。</w:t>
            </w:r>
          </w:p>
          <w:bookmarkEnd w:id="762"/>
          <w:p w14:paraId="5FE6E351">
            <w:pPr>
              <w:pStyle w:val="191"/>
              <w:adjustRightInd w:val="0"/>
              <w:snapToGrid w:val="0"/>
              <w:spacing w:line="300" w:lineRule="exact"/>
              <w:ind w:firstLine="0" w:firstLineChars="0"/>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（4）项目投产后应纳入《中国石油新疆油田分公司吉庆油田作业区突发环境污染事件应急预案》，从而对环境风险进行有效防治。项目实施后建设单位应根据实际建设情况对应急预案中的</w:t>
            </w:r>
            <w:r>
              <w:rPr>
                <w:rFonts w:hint="eastAsia" w:cs="Arial"/>
                <w:color w:val="000000" w:themeColor="text1"/>
                <w:sz w:val="21"/>
                <w:szCs w:val="21"/>
                <w14:textFill>
                  <w14:solidFill>
                    <w14:schemeClr w14:val="tx1"/>
                  </w14:solidFill>
                </w14:textFill>
              </w:rPr>
              <w:t>环境风险源基本情况、环境风险源识别、装置风险识别进行修改完善，其余与现有应急预案保持一致，并根据风险等级要求对现有应急预案进行修订。</w:t>
            </w:r>
          </w:p>
        </w:tc>
      </w:tr>
      <w:bookmarkEnd w:id="704"/>
      <w:bookmarkEnd w:id="705"/>
      <w:bookmarkEnd w:id="706"/>
      <w:bookmarkEnd w:id="723"/>
      <w:bookmarkEnd w:id="755"/>
      <w:bookmarkEnd w:id="757"/>
      <w:bookmarkEnd w:id="758"/>
    </w:tbl>
    <w:p w14:paraId="4BC57644">
      <w:pPr>
        <w:pStyle w:val="2"/>
        <w:rPr>
          <w:rFonts w:hint="eastAsia"/>
          <w:color w:val="000000" w:themeColor="text1"/>
          <w:lang w:val="zh-CN"/>
          <w14:textFill>
            <w14:solidFill>
              <w14:schemeClr w14:val="tx1"/>
            </w14:solidFill>
          </w14:textFill>
        </w:rPr>
      </w:pPr>
      <w:bookmarkStart w:id="763" w:name="_Toc448413621"/>
      <w:bookmarkStart w:id="764" w:name="_Toc475624490"/>
      <w:bookmarkStart w:id="765" w:name="_Toc445840422"/>
      <w:bookmarkStart w:id="766" w:name="_Toc445996468"/>
      <w:bookmarkStart w:id="767" w:name="_Toc459026596"/>
      <w:bookmarkStart w:id="768" w:name="_Toc445842149"/>
      <w:bookmarkStart w:id="769" w:name="_Toc14918"/>
      <w:bookmarkStart w:id="770" w:name="_Toc21737"/>
      <w:bookmarkStart w:id="771" w:name="_Toc216260318"/>
      <w:bookmarkStart w:id="772" w:name="_Toc9979"/>
      <w:r>
        <w:rPr>
          <w:rFonts w:hint="eastAsia"/>
          <w:color w:val="000000" w:themeColor="text1"/>
          <w:lang w:val="zh-CN"/>
          <w14:textFill>
            <w14:solidFill>
              <w14:schemeClr w14:val="tx1"/>
            </w14:solidFill>
          </w14:textFill>
        </w:rPr>
        <w:t>退役</w:t>
      </w:r>
      <w:r>
        <w:rPr>
          <w:color w:val="000000" w:themeColor="text1"/>
          <w:lang w:val="zh-CN"/>
          <w14:textFill>
            <w14:solidFill>
              <w14:schemeClr w14:val="tx1"/>
            </w14:solidFill>
          </w14:textFill>
        </w:rPr>
        <w:t>期环境保护</w:t>
      </w:r>
      <w:r>
        <w:rPr>
          <w:rFonts w:hint="eastAsia"/>
          <w:color w:val="000000" w:themeColor="text1"/>
          <w:lang w:val="zh-CN"/>
          <w14:textFill>
            <w14:solidFill>
              <w14:schemeClr w14:val="tx1"/>
            </w14:solidFill>
          </w14:textFill>
        </w:rPr>
        <w:t>措施</w:t>
      </w:r>
      <w:bookmarkEnd w:id="763"/>
      <w:bookmarkEnd w:id="764"/>
      <w:bookmarkEnd w:id="765"/>
      <w:bookmarkEnd w:id="766"/>
      <w:bookmarkEnd w:id="767"/>
      <w:bookmarkEnd w:id="768"/>
      <w:bookmarkEnd w:id="769"/>
      <w:bookmarkEnd w:id="770"/>
      <w:bookmarkEnd w:id="771"/>
      <w:bookmarkEnd w:id="772"/>
    </w:p>
    <w:p w14:paraId="7156E997">
      <w:pPr>
        <w:pStyle w:val="4"/>
        <w:rPr>
          <w:rFonts w:hint="eastAsia"/>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退役</w:t>
      </w:r>
      <w:r>
        <w:rPr>
          <w:color w:val="000000" w:themeColor="text1"/>
          <w:lang w:val="zh-CN"/>
          <w14:textFill>
            <w14:solidFill>
              <w14:schemeClr w14:val="tx1"/>
            </w14:solidFill>
          </w14:textFill>
        </w:rPr>
        <w:t>期</w:t>
      </w:r>
      <w:r>
        <w:rPr>
          <w:rFonts w:hint="eastAsia"/>
          <w:color w:val="000000" w:themeColor="text1"/>
          <w:lang w:val="zh-CN"/>
          <w14:textFill>
            <w14:solidFill>
              <w14:schemeClr w14:val="tx1"/>
            </w14:solidFill>
          </w14:textFill>
        </w:rPr>
        <w:t>大气环境保护措施</w:t>
      </w:r>
    </w:p>
    <w:p w14:paraId="2E4C2C5C">
      <w:pPr>
        <w:pStyle w:val="117"/>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w:t>
      </w:r>
      <w:r>
        <w:rPr>
          <w:color w:val="000000" w:themeColor="text1"/>
          <w14:textFill>
            <w14:solidFill>
              <w14:schemeClr w14:val="tx1"/>
            </w14:solidFill>
          </w14:textFill>
        </w:rPr>
        <w:t>1）运输车辆使用符合国家标准的油品。</w:t>
      </w:r>
    </w:p>
    <w:p w14:paraId="3B4E8B7B">
      <w:pPr>
        <w:pStyle w:val="117"/>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w:t>
      </w:r>
      <w:r>
        <w:rPr>
          <w:color w:val="000000" w:themeColor="text1"/>
          <w14:textFill>
            <w14:solidFill>
              <w14:schemeClr w14:val="tx1"/>
            </w14:solidFill>
          </w14:textFill>
        </w:rPr>
        <w:t>2）在施工操作中应做到文明施工，防止水泥等的洒落与飘散；尽量避开大风天气进行作业。</w:t>
      </w:r>
    </w:p>
    <w:p w14:paraId="4F49C127">
      <w:pPr>
        <w:pStyle w:val="4"/>
        <w:rPr>
          <w:rFonts w:hint="eastAsia"/>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退役期水环境保护措施</w:t>
      </w:r>
    </w:p>
    <w:p w14:paraId="5B83DC58">
      <w:pPr>
        <w:pStyle w:val="117"/>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对完成采油的废弃井应封堵，拆除井口装置，截去地下</w:t>
      </w:r>
      <w:r>
        <w:rPr>
          <w:color w:val="000000" w:themeColor="text1"/>
          <w14:textFill>
            <w14:solidFill>
              <w14:schemeClr w14:val="tx1"/>
            </w14:solidFill>
          </w14:textFill>
        </w:rPr>
        <w:t>1m内管头，</w:t>
      </w:r>
      <w:r>
        <w:rPr>
          <w:rFonts w:hint="eastAsia"/>
          <w:color w:val="000000" w:themeColor="text1"/>
          <w14:textFill>
            <w14:solidFill>
              <w14:schemeClr w14:val="tx1"/>
            </w14:solidFill>
          </w14:textFill>
        </w:rPr>
        <w:t>废弃井应根据则应根据《废弃井封井回填技术指南（试行）》《废弃井及长停井处置指南》（SY/T6646-2017）、《陆上石油天然气生产环境保护推荐作法》（SY/T6628-2005）、《矿山生态环境保护与恢复治理技术规范（试行）》（HJ651-2013）中的相关要求进行封井回填，并拆除相关设施，确保无土壤及地下水环境污染遗留问题；单井采油管线和集油支线清扫确保管线内无残留采出物，管线两端使用盲板封堵。清扫的废水集中收集后送至压裂返排液处理装置处理。</w:t>
      </w:r>
    </w:p>
    <w:p w14:paraId="6CA8FA60">
      <w:pPr>
        <w:pStyle w:val="4"/>
        <w:rPr>
          <w:rFonts w:hint="eastAsia"/>
          <w:color w:val="000000" w:themeColor="text1"/>
          <w:lang w:val="zh-CN"/>
          <w14:textFill>
            <w14:solidFill>
              <w14:schemeClr w14:val="tx1"/>
            </w14:solidFill>
          </w14:textFill>
        </w:rPr>
      </w:pPr>
      <w:bookmarkStart w:id="773" w:name="_Toc445842153"/>
      <w:bookmarkStart w:id="774" w:name="_Toc11580"/>
      <w:bookmarkStart w:id="775" w:name="_Toc445996471"/>
      <w:bookmarkStart w:id="776" w:name="_Toc445840423"/>
      <w:r>
        <w:rPr>
          <w:rFonts w:hint="eastAsia"/>
          <w:color w:val="000000" w:themeColor="text1"/>
          <w:lang w:val="zh-CN"/>
          <w14:textFill>
            <w14:solidFill>
              <w14:schemeClr w14:val="tx1"/>
            </w14:solidFill>
          </w14:textFill>
        </w:rPr>
        <w:t>退役期</w:t>
      </w:r>
      <w:r>
        <w:rPr>
          <w:color w:val="000000" w:themeColor="text1"/>
          <w:lang w:val="zh-CN"/>
          <w14:textFill>
            <w14:solidFill>
              <w14:schemeClr w14:val="tx1"/>
            </w14:solidFill>
          </w14:textFill>
        </w:rPr>
        <w:t>噪声污染防治措施</w:t>
      </w:r>
    </w:p>
    <w:p w14:paraId="299A2FFC">
      <w:pPr>
        <w:pStyle w:val="117"/>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w:t>
      </w:r>
      <w:r>
        <w:rPr>
          <w:color w:val="000000" w:themeColor="text1"/>
          <w14:textFill>
            <w14:solidFill>
              <w14:schemeClr w14:val="tx1"/>
            </w14:solidFill>
          </w14:textFill>
        </w:rPr>
        <w:t>1）</w:t>
      </w:r>
      <w:bookmarkStart w:id="777" w:name="OLE_LINK5"/>
      <w:r>
        <w:rPr>
          <w:color w:val="000000" w:themeColor="text1"/>
          <w14:textFill>
            <w14:solidFill>
              <w14:schemeClr w14:val="tx1"/>
            </w14:solidFill>
          </w14:textFill>
        </w:rPr>
        <w:t>选用低噪声机械和车辆。</w:t>
      </w:r>
    </w:p>
    <w:p w14:paraId="1B2F9ACF">
      <w:pPr>
        <w:pStyle w:val="117"/>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w:t>
      </w:r>
      <w:r>
        <w:rPr>
          <w:color w:val="000000" w:themeColor="text1"/>
          <w14:textFill>
            <w14:solidFill>
              <w14:schemeClr w14:val="tx1"/>
            </w14:solidFill>
          </w14:textFill>
        </w:rPr>
        <w:t>2）加强设备检查维修，保证其正常运行。</w:t>
      </w:r>
    </w:p>
    <w:bookmarkEnd w:id="777"/>
    <w:p w14:paraId="0C52BCE3">
      <w:pPr>
        <w:pStyle w:val="117"/>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w:t>
      </w:r>
      <w:r>
        <w:rPr>
          <w:color w:val="000000" w:themeColor="text1"/>
          <w14:textFill>
            <w14:solidFill>
              <w14:schemeClr w14:val="tx1"/>
            </w14:solidFill>
          </w14:textFill>
        </w:rPr>
        <w:t>3）加强运输车辆管理，合理规划运输路线，禁止运输车辆随意高声鸣笛</w:t>
      </w:r>
      <w:r>
        <w:rPr>
          <w:rFonts w:hint="eastAsia"/>
          <w:color w:val="000000" w:themeColor="text1"/>
          <w14:textFill>
            <w14:solidFill>
              <w14:schemeClr w14:val="tx1"/>
            </w14:solidFill>
          </w14:textFill>
        </w:rPr>
        <w:t>。</w:t>
      </w:r>
    </w:p>
    <w:p w14:paraId="5D250118">
      <w:pPr>
        <w:pStyle w:val="4"/>
        <w:rPr>
          <w:rFonts w:hint="eastAsia"/>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退役期固废及土壤污染防治措施</w:t>
      </w:r>
    </w:p>
    <w:p w14:paraId="6FA7CB22">
      <w:pPr>
        <w:pStyle w:val="117"/>
        <w:ind w:firstLine="480"/>
        <w:rPr>
          <w:rFonts w:hint="eastAsia"/>
          <w:color w:val="000000" w:themeColor="text1"/>
          <w14:textFill>
            <w14:solidFill>
              <w14:schemeClr w14:val="tx1"/>
            </w14:solidFill>
          </w14:textFill>
        </w:rPr>
      </w:pPr>
      <w:bookmarkStart w:id="778" w:name="_Toc22367"/>
      <w:bookmarkStart w:id="779" w:name="_Toc30821"/>
      <w:bookmarkStart w:id="780" w:name="_Toc448413622"/>
      <w:r>
        <w:rPr>
          <w:rFonts w:hint="eastAsia"/>
          <w:color w:val="000000" w:themeColor="text1"/>
          <w14:textFill>
            <w14:solidFill>
              <w14:schemeClr w14:val="tx1"/>
            </w14:solidFill>
          </w14:textFill>
        </w:rPr>
        <w:t>（1）地面设施拆除、清理等工作中会产生废弃管线、废弃建筑残渣，应集中清理收集。管线外运清洗后可回收利用，废弃建筑残渣外运至当地建筑垃圾填埋场，不得遗留在场地内影响土壤环境质量。</w:t>
      </w:r>
    </w:p>
    <w:p w14:paraId="1328DA41">
      <w:pPr>
        <w:pStyle w:val="117"/>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（2）运输过程中，运输车辆均加盖篷布，以防止行驶过程中固体废物的散落。</w:t>
      </w:r>
    </w:p>
    <w:p w14:paraId="2149AFAE">
      <w:pPr>
        <w:pStyle w:val="117"/>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w:t>
      </w:r>
      <w:r>
        <w:rPr>
          <w:color w:val="000000" w:themeColor="text1"/>
          <w14:textFill>
            <w14:solidFill>
              <w14:schemeClr w14:val="tx1"/>
            </w14:solidFill>
          </w14:textFill>
        </w:rPr>
        <w:t>3</w:t>
      </w:r>
      <w:r>
        <w:rPr>
          <w:rFonts w:hint="eastAsia"/>
          <w:color w:val="000000" w:themeColor="text1"/>
          <w14:textFill>
            <w14:solidFill>
              <w14:schemeClr w14:val="tx1"/>
            </w14:solidFill>
          </w14:textFill>
        </w:rPr>
        <w:t>）对完成采油的废弃井应封堵，拆除井口装置，截去地下1m内管头，最后清理场地，清除各种固体废弃物，植被主要依靠自然恢复。</w:t>
      </w:r>
    </w:p>
    <w:p w14:paraId="22E5654D">
      <w:pPr>
        <w:pStyle w:val="4"/>
        <w:rPr>
          <w:rFonts w:hint="eastAsia"/>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退役期生态环境保护措施</w:t>
      </w:r>
    </w:p>
    <w:bookmarkEnd w:id="773"/>
    <w:bookmarkEnd w:id="774"/>
    <w:bookmarkEnd w:id="775"/>
    <w:bookmarkEnd w:id="776"/>
    <w:bookmarkEnd w:id="778"/>
    <w:bookmarkEnd w:id="779"/>
    <w:bookmarkEnd w:id="780"/>
    <w:p w14:paraId="556C1290">
      <w:pPr>
        <w:pStyle w:val="117"/>
        <w:ind w:firstLine="480"/>
        <w:rPr>
          <w:rFonts w:hint="eastAsia"/>
          <w:color w:val="000000" w:themeColor="text1"/>
          <w14:textFill>
            <w14:solidFill>
              <w14:schemeClr w14:val="tx1"/>
            </w14:solidFill>
          </w14:textFill>
        </w:rPr>
      </w:pPr>
      <w:bookmarkStart w:id="781" w:name="_Hlk173405423"/>
      <w:bookmarkStart w:id="782" w:name="_Hlk511374601"/>
      <w:bookmarkStart w:id="783" w:name="_Hlk512466345"/>
      <w:r>
        <w:rPr>
          <w:rFonts w:hint="eastAsia"/>
          <w:color w:val="000000" w:themeColor="text1"/>
          <w14:textFill>
            <w14:solidFill>
              <w14:schemeClr w14:val="tx1"/>
            </w14:solidFill>
          </w14:textFill>
        </w:rPr>
        <w:t>退役期对完成采油的废弃井应封堵，拆除井口装置及其他设施，截去地下1m内管头；对永久性占地范围内的水泥平台或砂砾石铺垫应进行清理，并清除各种固体废弃物，确保无环境遗留问题；挖松固化地面，对井场、预处理注入站进行平整、覆土，植被主要靠自然恢复，使站场恢复到相对自然的一种状态。</w:t>
      </w:r>
    </w:p>
    <w:bookmarkEnd w:id="781"/>
    <w:p w14:paraId="2E11051E">
      <w:pPr>
        <w:pStyle w:val="4"/>
        <w:rPr>
          <w:rFonts w:hint="eastAsia"/>
          <w:color w:val="000000" w:themeColor="text1"/>
          <w:lang w:val="zh-CN"/>
          <w14:textFill>
            <w14:solidFill>
              <w14:schemeClr w14:val="tx1"/>
            </w14:solidFill>
          </w14:textFill>
        </w:rPr>
      </w:pPr>
      <w:bookmarkStart w:id="784" w:name="_Hlk40721850"/>
      <w:bookmarkStart w:id="785" w:name="_Hlk512466869"/>
      <w:r>
        <w:rPr>
          <w:rFonts w:hint="eastAsia"/>
          <w:color w:val="000000" w:themeColor="text1"/>
          <w:lang w:val="zh-CN"/>
          <w14:textFill>
            <w14:solidFill>
              <w14:schemeClr w14:val="tx1"/>
            </w14:solidFill>
          </w14:textFill>
        </w:rPr>
        <w:t>生态恢复治理方案</w:t>
      </w:r>
    </w:p>
    <w:bookmarkEnd w:id="784"/>
    <w:p w14:paraId="5DFE0B77">
      <w:pPr>
        <w:pStyle w:val="117"/>
        <w:ind w:firstLine="480"/>
        <w:rPr>
          <w:rFonts w:hint="eastAsia"/>
          <w:color w:val="000000" w:themeColor="text1"/>
          <w14:textFill>
            <w14:solidFill>
              <w14:schemeClr w14:val="tx1"/>
            </w14:solidFill>
          </w14:textFill>
        </w:rPr>
      </w:pPr>
      <w:bookmarkStart w:id="786" w:name="_Hlk80207146"/>
      <w:r>
        <w:rPr>
          <w:rFonts w:hint="eastAsia"/>
          <w:color w:val="000000" w:themeColor="text1"/>
          <w14:textFill>
            <w14:solidFill>
              <w14:schemeClr w14:val="tx1"/>
            </w14:solidFill>
          </w14:textFill>
        </w:rPr>
        <w:t>（1）生态环境保护与恢复治理的一般要求</w:t>
      </w:r>
    </w:p>
    <w:p w14:paraId="760ABD94">
      <w:pPr>
        <w:adjustRightInd w:val="0"/>
        <w:snapToGrid w:val="0"/>
        <w:spacing w:line="520" w:lineRule="exact"/>
        <w:ind w:firstLine="496"/>
        <w:rPr>
          <w:rFonts w:hint="eastAsia" w:ascii="宋体" w:hAnsi="宋体"/>
          <w:color w:val="000000" w:themeColor="text1"/>
          <w:spacing w:val="4"/>
          <w:sz w:val="24"/>
          <w:szCs w:val="24"/>
          <w14:textFill>
            <w14:solidFill>
              <w14:schemeClr w14:val="tx1"/>
            </w14:solidFill>
          </w14:textFill>
        </w:rPr>
      </w:pPr>
      <w:r>
        <w:rPr>
          <w:rFonts w:hint="eastAsia" w:ascii="宋体" w:hAnsi="宋体"/>
          <w:color w:val="000000" w:themeColor="text1"/>
          <w:spacing w:val="4"/>
          <w:sz w:val="24"/>
          <w:szCs w:val="24"/>
          <w14:textFill>
            <w14:solidFill>
              <w14:schemeClr w14:val="tx1"/>
            </w14:solidFill>
          </w14:textFill>
        </w:rPr>
        <w:t>根据《矿山生态环境保护与恢复治理技术规范（试行）》（HJ651-2013）、《废弃井封井回填技术指南（试行）》的相关要求，制定生态环境保护与恢复治理方案时需遵循以下要求：</w:t>
      </w:r>
    </w:p>
    <w:p w14:paraId="1517BF72">
      <w:pPr>
        <w:adjustRightInd w:val="0"/>
        <w:snapToGrid w:val="0"/>
        <w:spacing w:line="520" w:lineRule="exact"/>
        <w:ind w:firstLine="496"/>
        <w:rPr>
          <w:rFonts w:hint="eastAsia" w:ascii="宋体" w:hAnsi="宋体"/>
          <w:color w:val="000000" w:themeColor="text1"/>
          <w:spacing w:val="4"/>
          <w:sz w:val="24"/>
          <w:szCs w:val="24"/>
          <w14:textFill>
            <w14:solidFill>
              <w14:schemeClr w14:val="tx1"/>
            </w14:solidFill>
          </w14:textFill>
        </w:rPr>
      </w:pPr>
      <w:r>
        <w:rPr>
          <w:rFonts w:hint="eastAsia" w:ascii="宋体" w:hAnsi="宋体"/>
          <w:color w:val="000000" w:themeColor="text1"/>
          <w:spacing w:val="4"/>
          <w:sz w:val="24"/>
          <w:szCs w:val="24"/>
          <w14:textFill>
            <w14:solidFill>
              <w14:schemeClr w14:val="tx1"/>
            </w14:solidFill>
          </w14:textFill>
        </w:rPr>
        <w:t>①禁止在依法划定的饮用水水源保护区内进行开采。</w:t>
      </w:r>
    </w:p>
    <w:p w14:paraId="4B182273">
      <w:pPr>
        <w:adjustRightInd w:val="0"/>
        <w:snapToGrid w:val="0"/>
        <w:spacing w:line="520" w:lineRule="exact"/>
        <w:ind w:firstLine="496"/>
        <w:rPr>
          <w:rFonts w:hint="eastAsia" w:ascii="宋体" w:hAnsi="宋体"/>
          <w:color w:val="000000" w:themeColor="text1"/>
          <w:spacing w:val="4"/>
          <w:sz w:val="24"/>
          <w:szCs w:val="24"/>
          <w14:textFill>
            <w14:solidFill>
              <w14:schemeClr w14:val="tx1"/>
            </w14:solidFill>
          </w14:textFill>
        </w:rPr>
      </w:pPr>
      <w:r>
        <w:rPr>
          <w:rFonts w:hint="eastAsia" w:ascii="宋体" w:hAnsi="宋体"/>
          <w:color w:val="000000" w:themeColor="text1"/>
          <w:spacing w:val="4"/>
          <w:sz w:val="24"/>
          <w:szCs w:val="24"/>
          <w14:textFill>
            <w14:solidFill>
              <w14:schemeClr w14:val="tx1"/>
            </w14:solidFill>
          </w14:textFill>
        </w:rPr>
        <w:t>②采取有效预防和保护措施，避免或减轻矿产资源开发活动造成的生态破坏和环境污染。</w:t>
      </w:r>
    </w:p>
    <w:p w14:paraId="77EE6BCB">
      <w:pPr>
        <w:adjustRightInd w:val="0"/>
        <w:snapToGrid w:val="0"/>
        <w:spacing w:line="520" w:lineRule="exact"/>
        <w:ind w:firstLine="496"/>
        <w:rPr>
          <w:rFonts w:hint="eastAsia" w:ascii="宋体" w:hAnsi="宋体"/>
          <w:color w:val="000000" w:themeColor="text1"/>
          <w:spacing w:val="4"/>
          <w:sz w:val="24"/>
          <w:szCs w:val="24"/>
          <w14:textFill>
            <w14:solidFill>
              <w14:schemeClr w14:val="tx1"/>
            </w14:solidFill>
          </w14:textFill>
        </w:rPr>
      </w:pPr>
      <w:r>
        <w:rPr>
          <w:rFonts w:hint="eastAsia" w:ascii="宋体" w:hAnsi="宋体"/>
          <w:color w:val="000000" w:themeColor="text1"/>
          <w:spacing w:val="4"/>
          <w:sz w:val="24"/>
          <w:szCs w:val="24"/>
          <w14:textFill>
            <w14:solidFill>
              <w14:schemeClr w14:val="tx1"/>
            </w14:solidFill>
          </w14:textFill>
        </w:rPr>
        <w:t>③坚持“预防为主、防治结合、过程控制”的原则，将生态环境保护与恢复治理贯穿开采的全过程。</w:t>
      </w:r>
    </w:p>
    <w:p w14:paraId="10AA38AB">
      <w:pPr>
        <w:spacing w:line="360" w:lineRule="auto"/>
        <w:ind w:firstLine="480" w:firstLineChars="200"/>
        <w:rPr>
          <w:color w:val="000000" w:themeColor="text1"/>
          <w:sz w:val="24"/>
          <w14:textFill>
            <w14:solidFill>
              <w14:schemeClr w14:val="tx1"/>
            </w14:solidFill>
          </w14:textFill>
        </w:rPr>
      </w:pPr>
      <w:bookmarkStart w:id="787" w:name="_Hlk72012541"/>
      <w:r>
        <w:rPr>
          <w:rFonts w:hint="eastAsia"/>
          <w:color w:val="000000" w:themeColor="text1"/>
          <w:sz w:val="24"/>
          <w14:textFill>
            <w14:solidFill>
              <w14:schemeClr w14:val="tx1"/>
            </w14:solidFill>
          </w14:textFill>
        </w:rPr>
        <w:t>④贯彻“边开采，边治理，边恢复”的原则，及时治理恢复生态环境。</w:t>
      </w:r>
    </w:p>
    <w:p w14:paraId="6D4CBD94">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⑤遵循矿区油气资源赋存状况、生态环境特征等条件，科学合理地确定开发方案，选择与油气藏类型相适应的先进开采技术和工艺，推广使用成熟、先进的技术装备，严禁使用国家明文规定的限制和淘汰的技术工艺及装备。</w:t>
      </w:r>
    </w:p>
    <w:bookmarkEnd w:id="787"/>
    <w:p w14:paraId="3411BF37">
      <w:pPr>
        <w:spacing w:line="360" w:lineRule="auto"/>
        <w:ind w:firstLine="480" w:firstLineChars="200"/>
        <w:rPr>
          <w:rFonts w:hint="eastAsia"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（2）井口封井</w:t>
      </w:r>
    </w:p>
    <w:p w14:paraId="27E182EA">
      <w:pPr>
        <w:spacing w:line="360" w:lineRule="auto"/>
        <w:ind w:firstLine="480" w:firstLineChars="200"/>
        <w:rPr>
          <w:rFonts w:hint="eastAsia"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油田停采后将进行一系列清理工作，包括地面设施拆除、地下截去至少</w:t>
      </w:r>
      <w:r>
        <w:rPr>
          <w:rFonts w:ascii="宋体" w:hAnsi="宋体"/>
          <w:color w:val="000000" w:themeColor="text1"/>
          <w:sz w:val="24"/>
          <w14:textFill>
            <w14:solidFill>
              <w14:schemeClr w14:val="tx1"/>
            </w14:solidFill>
          </w14:textFill>
        </w:rPr>
        <w:t>1m</w:t>
      </w:r>
      <w:r>
        <w:rPr>
          <w:rFonts w:hint="eastAsia" w:ascii="宋体" w:hAnsi="宋体"/>
          <w:color w:val="000000" w:themeColor="text1"/>
          <w:sz w:val="24"/>
          <w14:textFill>
            <w14:solidFill>
              <w14:schemeClr w14:val="tx1"/>
            </w14:solidFill>
          </w14:textFill>
        </w:rPr>
        <w:t>的井筒并用水泥灌注封井、井场清理等，封井过程中严格按照《废弃井封井回填技术指南（试行）》中要求进行封井回填，要求如下：</w:t>
      </w:r>
    </w:p>
    <w:p w14:paraId="11680DFF">
      <w:pPr>
        <w:spacing w:line="360" w:lineRule="auto"/>
        <w:ind w:firstLine="480" w:firstLineChars="200"/>
        <w:rPr>
          <w:rFonts w:hint="eastAsia"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①对管鞋封隔：采取顶替法，水泥塞在套管鞋上下的长度至少应各为</w:t>
      </w:r>
      <w:r>
        <w:rPr>
          <w:rFonts w:ascii="宋体" w:hAnsi="宋体"/>
          <w:color w:val="000000" w:themeColor="text1"/>
          <w:sz w:val="24"/>
          <w14:textFill>
            <w14:solidFill>
              <w14:schemeClr w14:val="tx1"/>
            </w14:solidFill>
          </w14:textFill>
        </w:rPr>
        <w:t>30m</w:t>
      </w:r>
      <w:r>
        <w:rPr>
          <w:rFonts w:hint="eastAsia" w:ascii="宋体" w:hAnsi="宋体"/>
          <w:color w:val="000000" w:themeColor="text1"/>
          <w:sz w:val="24"/>
          <w14:textFill>
            <w14:solidFill>
              <w14:schemeClr w14:val="tx1"/>
            </w14:solidFill>
          </w14:textFill>
        </w:rPr>
        <w:t>；也可采取水泥承留器法，在套管鞋以上位置放置一个水泥承留器，向该器下方挤水泥进行封堵，水泥浆的量应填满水泥承留器以下</w:t>
      </w:r>
      <w:r>
        <w:rPr>
          <w:rFonts w:ascii="宋体" w:hAnsi="宋体"/>
          <w:color w:val="000000" w:themeColor="text1"/>
          <w:sz w:val="24"/>
          <w14:textFill>
            <w14:solidFill>
              <w14:schemeClr w14:val="tx1"/>
            </w14:solidFill>
          </w14:textFill>
        </w:rPr>
        <w:t>30m</w:t>
      </w:r>
      <w:r>
        <w:rPr>
          <w:rFonts w:hint="eastAsia" w:ascii="宋体" w:hAnsi="宋体"/>
          <w:color w:val="000000" w:themeColor="text1"/>
          <w:sz w:val="24"/>
          <w14:textFill>
            <w14:solidFill>
              <w14:schemeClr w14:val="tx1"/>
            </w14:solidFill>
          </w14:textFill>
        </w:rPr>
        <w:t>的裸眼井段，且留在水泥承留器上部的水泥塞长度应大于</w:t>
      </w:r>
      <w:r>
        <w:rPr>
          <w:rFonts w:ascii="宋体" w:hAnsi="宋体"/>
          <w:color w:val="000000" w:themeColor="text1"/>
          <w:sz w:val="24"/>
          <w14:textFill>
            <w14:solidFill>
              <w14:schemeClr w14:val="tx1"/>
            </w14:solidFill>
          </w14:textFill>
        </w:rPr>
        <w:t>15m</w:t>
      </w:r>
      <w:r>
        <w:rPr>
          <w:rFonts w:hint="eastAsia" w:ascii="宋体" w:hAnsi="宋体"/>
          <w:color w:val="000000" w:themeColor="text1"/>
          <w:sz w:val="24"/>
          <w14:textFill>
            <w14:solidFill>
              <w14:schemeClr w14:val="tx1"/>
            </w14:solidFill>
          </w14:textFill>
        </w:rPr>
        <w:t>。</w:t>
      </w:r>
    </w:p>
    <w:p w14:paraId="5FEDB1F2">
      <w:pPr>
        <w:spacing w:line="360" w:lineRule="auto"/>
        <w:ind w:firstLine="480" w:firstLineChars="200"/>
        <w:rPr>
          <w:rFonts w:hint="eastAsia"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②裸眼井段内的封隔：裸眼井段悬空水泥塞应封堵封层上下</w:t>
      </w:r>
      <w:r>
        <w:rPr>
          <w:rFonts w:ascii="宋体" w:hAnsi="宋体"/>
          <w:color w:val="000000" w:themeColor="text1"/>
          <w:sz w:val="24"/>
          <w14:textFill>
            <w14:solidFill>
              <w14:schemeClr w14:val="tx1"/>
            </w14:solidFill>
          </w14:textFill>
        </w:rPr>
        <w:t>30m</w:t>
      </w:r>
      <w:r>
        <w:rPr>
          <w:rFonts w:hint="eastAsia" w:ascii="宋体" w:hAnsi="宋体"/>
          <w:color w:val="000000" w:themeColor="text1"/>
          <w:sz w:val="24"/>
          <w14:textFill>
            <w14:solidFill>
              <w14:schemeClr w14:val="tx1"/>
            </w14:solidFill>
          </w14:textFill>
        </w:rPr>
        <w:t>；裸眼井段井壁垮塌，施工管柱无法下至待封井段的井，可在井壁垮塌位置以上裸眼井段挤注打水泥塞。垮塌深度较浅的井，从垮塌部位开始采取全井灌注水泥至井口进行封井。</w:t>
      </w:r>
    </w:p>
    <w:p w14:paraId="3CD0879A">
      <w:pPr>
        <w:spacing w:line="360" w:lineRule="auto"/>
        <w:ind w:firstLine="480" w:firstLineChars="200"/>
        <w:rPr>
          <w:rFonts w:hint="eastAsia"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③对套管井的封隔：套管被切割后，当余留套管下部地层没有产液运移或漏失时，可用顶替法来封堵余留套管；若在余留套管中底层有产液或有漏失时，则应采用挤水泥法。</w:t>
      </w:r>
    </w:p>
    <w:p w14:paraId="26EEEDFF">
      <w:pPr>
        <w:pStyle w:val="117"/>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（3）站场生态恢复治理</w:t>
      </w:r>
    </w:p>
    <w:p w14:paraId="372D1B51">
      <w:pPr>
        <w:pStyle w:val="117"/>
        <w:ind w:firstLine="480"/>
        <w:rPr>
          <w:rFonts w:hint="eastAsia"/>
          <w:color w:val="000000" w:themeColor="text1"/>
          <w14:textFill>
            <w14:solidFill>
              <w14:schemeClr w14:val="tx1"/>
            </w14:solidFill>
          </w14:textFill>
        </w:rPr>
      </w:pPr>
      <w:bookmarkStart w:id="788" w:name="_Hlk80530047"/>
      <w:r>
        <w:rPr>
          <w:rFonts w:hint="eastAsia"/>
          <w:color w:val="000000" w:themeColor="text1"/>
          <w14:textFill>
            <w14:solidFill>
              <w14:schemeClr w14:val="tx1"/>
            </w14:solidFill>
          </w14:textFill>
        </w:rPr>
        <w:t>拆除井场、预处理注入站各项生产设施，清除地面硬化、砾石铺垫，释放永久占地。最后进行场地清理，清除各种固体废物，并对施工场地进行平整，避免影响植被自然恢复。</w:t>
      </w:r>
      <w:bookmarkEnd w:id="788"/>
    </w:p>
    <w:p w14:paraId="587DB76F">
      <w:pPr>
        <w:pStyle w:val="117"/>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（3）管线生态恢复</w:t>
      </w:r>
    </w:p>
    <w:p w14:paraId="69F30253">
      <w:pPr>
        <w:pStyle w:val="191"/>
        <w:ind w:firstLine="480"/>
        <w:rPr>
          <w:rFonts w:hint="eastAsia"/>
          <w:color w:val="000000" w:themeColor="text1"/>
          <w14:textFill>
            <w14:solidFill>
              <w14:schemeClr w14:val="tx1"/>
            </w14:solidFill>
          </w14:textFill>
        </w:rPr>
      </w:pPr>
      <w:bookmarkStart w:id="789" w:name="_Hlk80530867"/>
      <w:r>
        <w:rPr>
          <w:rFonts w:hint="eastAsia"/>
          <w:color w:val="000000" w:themeColor="text1"/>
          <w14:textFill>
            <w14:solidFill>
              <w14:schemeClr w14:val="tx1"/>
            </w14:solidFill>
          </w14:textFill>
        </w:rPr>
        <w:t>单井采油管线、集油支线和单井注气管线维持现状，避免因开挖管线对区域生态环境造成二次破坏。管线内物质应清空干净，并按要求进行吹扫，确保管线内无残留采出物，管线两端使用盲板封堵，吹扫废水由罐车拉运至压裂返排液处理装置处理。</w:t>
      </w:r>
    </w:p>
    <w:bookmarkEnd w:id="789"/>
    <w:p w14:paraId="2AAD24A9">
      <w:pPr>
        <w:pStyle w:val="117"/>
        <w:ind w:firstLine="439" w:firstLineChars="183"/>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w:t>
      </w:r>
      <w:r>
        <w:rPr>
          <w:color w:val="000000" w:themeColor="text1"/>
          <w14:textFill>
            <w14:solidFill>
              <w14:schemeClr w14:val="tx1"/>
            </w14:solidFill>
          </w14:textFill>
        </w:rPr>
        <w:t>4</w:t>
      </w:r>
      <w:r>
        <w:rPr>
          <w:rFonts w:hint="eastAsia"/>
          <w:color w:val="000000" w:themeColor="text1"/>
          <w14:textFill>
            <w14:solidFill>
              <w14:schemeClr w14:val="tx1"/>
            </w14:solidFill>
          </w14:textFill>
        </w:rPr>
        <w:t>）植被恢复措施及恢复要求</w:t>
      </w:r>
    </w:p>
    <w:p w14:paraId="4F64408F">
      <w:pPr>
        <w:pStyle w:val="117"/>
        <w:ind w:firstLine="480"/>
        <w:rPr>
          <w:rFonts w:hint="eastAsia"/>
          <w:color w:val="000000" w:themeColor="text1"/>
          <w14:textFill>
            <w14:solidFill>
              <w14:schemeClr w14:val="tx1"/>
            </w14:solidFill>
          </w14:textFill>
        </w:rPr>
      </w:pPr>
      <w:bookmarkStart w:id="790" w:name="_Hlk40721908"/>
      <w:bookmarkStart w:id="791" w:name="_Hlk80530885"/>
      <w:r>
        <w:rPr>
          <w:rFonts w:hint="eastAsia"/>
          <w:color w:val="000000" w:themeColor="text1"/>
          <w14:textFill>
            <w14:solidFill>
              <w14:schemeClr w14:val="tx1"/>
            </w14:solidFill>
          </w14:textFill>
        </w:rPr>
        <w:t>工程施工结束后，应对临时占地内的土地进行平整，做到“工完、料净、场地清”。经治理后应做到不漏油、不漏气、不漏电，无油污、无垃圾。各种机动车辆固定线路，禁止随意开路。</w:t>
      </w:r>
    </w:p>
    <w:bookmarkEnd w:id="790"/>
    <w:p w14:paraId="540D8DA2">
      <w:pPr>
        <w:pStyle w:val="117"/>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采用自然恢复的方式对区域植被进行恢复，植被类型应与原有类型相似，并与周边自然景观协调，不得使用外来有害物种进行植被恢复。</w:t>
      </w:r>
    </w:p>
    <w:p w14:paraId="26FF57F8">
      <w:pPr>
        <w:pStyle w:val="2"/>
        <w:rPr>
          <w:rFonts w:hint="eastAsia"/>
          <w:color w:val="000000" w:themeColor="text1"/>
          <w14:textFill>
            <w14:solidFill>
              <w14:schemeClr w14:val="tx1"/>
            </w14:solidFill>
          </w14:textFill>
        </w:rPr>
      </w:pPr>
      <w:bookmarkStart w:id="792" w:name="_Toc216260319"/>
      <w:r>
        <w:rPr>
          <w:rFonts w:hint="eastAsia"/>
          <w:color w:val="000000" w:themeColor="text1"/>
          <w14:textFill>
            <w14:solidFill>
              <w14:schemeClr w14:val="tx1"/>
            </w14:solidFill>
          </w14:textFill>
        </w:rPr>
        <w:t>环境保护措施可行性分析</w:t>
      </w:r>
      <w:bookmarkEnd w:id="792"/>
    </w:p>
    <w:p w14:paraId="2CDE8FF3">
      <w:pPr>
        <w:pStyle w:val="117"/>
        <w:ind w:firstLine="480"/>
        <w:rPr>
          <w:rFonts w:hint="eastAsia"/>
          <w:color w:val="000000" w:themeColor="text1"/>
          <w:kern w:val="0"/>
          <w14:textFill>
            <w14:solidFill>
              <w14:schemeClr w14:val="tx1"/>
            </w14:solidFill>
          </w14:textFill>
        </w:rPr>
      </w:pPr>
      <w:r>
        <w:rPr>
          <w:rFonts w:hint="eastAsia"/>
          <w:color w:val="000000" w:themeColor="text1"/>
          <w14:textFill>
            <w14:solidFill>
              <w14:schemeClr w14:val="tx1"/>
            </w14:solidFill>
          </w14:textFill>
        </w:rPr>
        <w:t>本次评价类比中国石油新疆油田分公司吉庆油田作业区同类项目来说明采取的环境保护措施的技术可行性、经济合理性、长期稳定运行和达标排放的可靠性。中国石油新疆油田分公司吉庆油田作业区开发多年来，油气集输大部分采用密闭集输工艺，</w:t>
      </w:r>
      <w:r>
        <w:rPr>
          <w:rFonts w:hint="eastAsia" w:cs="宋体"/>
          <w:color w:val="000000" w:themeColor="text1"/>
          <w14:textFill>
            <w14:solidFill>
              <w14:schemeClr w14:val="tx1"/>
            </w14:solidFill>
          </w14:textFill>
        </w:rPr>
        <w:t>且</w:t>
      </w:r>
      <w:r>
        <w:rPr>
          <w:rFonts w:hint="eastAsia"/>
          <w:color w:val="000000" w:themeColor="text1"/>
          <w:kern w:val="0"/>
          <w14:textFill>
            <w14:solidFill>
              <w14:schemeClr w14:val="tx1"/>
            </w14:solidFill>
          </w14:textFill>
        </w:rPr>
        <w:t>近年来实际生产运行过程均未发生环境风险事故，</w:t>
      </w:r>
      <w:r>
        <w:rPr>
          <w:rFonts w:hint="eastAsia" w:cs="宋体"/>
          <w:color w:val="000000" w:themeColor="text1"/>
          <w14:textFill>
            <w14:solidFill>
              <w14:schemeClr w14:val="tx1"/>
            </w14:solidFill>
          </w14:textFill>
        </w:rPr>
        <w:t>各类油气生产和储存设</w:t>
      </w:r>
      <w:r>
        <w:rPr>
          <w:rFonts w:hint="eastAsia"/>
          <w:color w:val="000000" w:themeColor="text1"/>
          <w:kern w:val="0"/>
          <w14:textFill>
            <w14:solidFill>
              <w14:schemeClr w14:val="tx1"/>
            </w14:solidFill>
          </w14:textFill>
        </w:rPr>
        <w:t>备、设施运转、维护基本正常。</w:t>
      </w:r>
    </w:p>
    <w:p w14:paraId="7145225C">
      <w:pPr>
        <w:pStyle w:val="117"/>
        <w:ind w:firstLine="480"/>
        <w:rPr>
          <w:rFonts w:hint="eastAsia" w:cs="宋体"/>
          <w:color w:val="000000" w:themeColor="text1"/>
          <w14:textFill>
            <w14:solidFill>
              <w14:schemeClr w14:val="tx1"/>
            </w14:solidFill>
          </w14:textFill>
        </w:rPr>
      </w:pPr>
      <w:r>
        <w:rPr>
          <w:rFonts w:hint="eastAsia"/>
          <w:color w:val="000000" w:themeColor="text1"/>
          <w:kern w:val="0"/>
          <w14:textFill>
            <w14:solidFill>
              <w14:schemeClr w14:val="tx1"/>
            </w14:solidFill>
          </w14:textFill>
        </w:rPr>
        <w:t>根据《</w:t>
      </w:r>
      <w:bookmarkStart w:id="793" w:name="_Hlk34330956"/>
      <w:bookmarkStart w:id="794" w:name="_Hlk42181995"/>
      <w:r>
        <w:rPr>
          <w:rFonts w:hint="eastAsia"/>
          <w:color w:val="000000" w:themeColor="text1"/>
          <w:kern w:val="0"/>
          <w14:textFill>
            <w14:solidFill>
              <w14:schemeClr w14:val="tx1"/>
            </w14:solidFill>
          </w14:textFill>
        </w:rPr>
        <w:t>吉木萨尔凹陷芦草沟组油藏吉</w:t>
      </w:r>
      <w:r>
        <w:rPr>
          <w:color w:val="000000" w:themeColor="text1"/>
          <w:kern w:val="0"/>
          <w14:textFill>
            <w14:solidFill>
              <w14:schemeClr w14:val="tx1"/>
            </w14:solidFill>
          </w14:textFill>
        </w:rPr>
        <w:t>305-吉17-吉37井区开发地面工程</w:t>
      </w:r>
      <w:r>
        <w:rPr>
          <w:rFonts w:hint="eastAsia"/>
          <w:color w:val="000000" w:themeColor="text1"/>
          <w:kern w:val="0"/>
          <w14:textFill>
            <w14:solidFill>
              <w14:schemeClr w14:val="tx1"/>
            </w14:solidFill>
          </w14:textFill>
        </w:rPr>
        <w:t>（第一批）竣工</w:t>
      </w:r>
      <w:r>
        <w:rPr>
          <w:color w:val="000000" w:themeColor="text1"/>
          <w:kern w:val="0"/>
          <w14:textFill>
            <w14:solidFill>
              <w14:schemeClr w14:val="tx1"/>
            </w14:solidFill>
          </w14:textFill>
        </w:rPr>
        <w:t>环境保护验收调查报告</w:t>
      </w:r>
      <w:r>
        <w:rPr>
          <w:rFonts w:hint="eastAsia"/>
          <w:color w:val="000000" w:themeColor="text1"/>
          <w:kern w:val="0"/>
          <w14:textFill>
            <w14:solidFill>
              <w14:schemeClr w14:val="tx1"/>
            </w14:solidFill>
          </w14:textFill>
        </w:rPr>
        <w:t>》</w:t>
      </w:r>
      <w:bookmarkEnd w:id="793"/>
      <w:bookmarkEnd w:id="794"/>
      <w:r>
        <w:rPr>
          <w:rFonts w:hint="eastAsia"/>
          <w:color w:val="000000" w:themeColor="text1"/>
          <w14:textFill>
            <w14:solidFill>
              <w14:schemeClr w14:val="tx1"/>
            </w14:solidFill>
          </w14:textFill>
        </w:rPr>
        <w:t>结论可知</w:t>
      </w:r>
      <w:r>
        <w:rPr>
          <w:rFonts w:hint="eastAsia" w:cs="宋体"/>
          <w:color w:val="000000" w:themeColor="text1"/>
          <w14:textFill>
            <w14:solidFill>
              <w14:schemeClr w14:val="tx1"/>
            </w14:solidFill>
          </w14:textFill>
        </w:rPr>
        <w:t>，厂界非甲烷总烃</w:t>
      </w:r>
      <w:bookmarkStart w:id="795" w:name="OLE_LINK101"/>
      <w:r>
        <w:rPr>
          <w:rFonts w:hint="eastAsia"/>
          <w:color w:val="000000" w:themeColor="text1"/>
          <w14:textFill>
            <w14:solidFill>
              <w14:schemeClr w14:val="tx1"/>
            </w14:solidFill>
          </w14:textFill>
        </w:rPr>
        <w:t>满足</w:t>
      </w:r>
      <w:bookmarkStart w:id="796" w:name="OLE_LINK102"/>
      <w:r>
        <w:rPr>
          <w:rFonts w:hint="eastAsia"/>
          <w:color w:val="000000" w:themeColor="text1"/>
          <w14:textFill>
            <w14:solidFill>
              <w14:schemeClr w14:val="tx1"/>
            </w14:solidFill>
          </w14:textFill>
        </w:rPr>
        <w:t>《陆上石油天然气开采工业大气污染物排放标准》（GB39728—2020）企业边界污染物控制要求</w:t>
      </w:r>
      <w:bookmarkEnd w:id="795"/>
      <w:bookmarkEnd w:id="796"/>
      <w:r>
        <w:rPr>
          <w:rFonts w:hint="eastAsia"/>
          <w:color w:val="000000" w:themeColor="text1"/>
          <w14:textFill>
            <w14:solidFill>
              <w14:schemeClr w14:val="tx1"/>
            </w14:solidFill>
          </w14:textFill>
        </w:rPr>
        <w:t>，H</w:t>
      </w:r>
      <w:r>
        <w:rPr>
          <w:color w:val="000000" w:themeColor="text1"/>
          <w:vertAlign w:val="subscript"/>
          <w14:textFill>
            <w14:solidFill>
              <w14:schemeClr w14:val="tx1"/>
            </w14:solidFill>
          </w14:textFill>
        </w:rPr>
        <w:t>2</w:t>
      </w:r>
      <w:r>
        <w:rPr>
          <w:color w:val="000000" w:themeColor="text1"/>
          <w14:textFill>
            <w14:solidFill>
              <w14:schemeClr w14:val="tx1"/>
            </w14:solidFill>
          </w14:textFill>
        </w:rPr>
        <w:t>S</w:t>
      </w:r>
      <w:r>
        <w:rPr>
          <w:rFonts w:hint="eastAsia"/>
          <w:color w:val="000000" w:themeColor="text1"/>
          <w14:textFill>
            <w14:solidFill>
              <w14:schemeClr w14:val="tx1"/>
            </w14:solidFill>
          </w14:textFill>
        </w:rPr>
        <w:t>满足《恶臭污染物排放标准》（G</w:t>
      </w:r>
      <w:r>
        <w:rPr>
          <w:color w:val="000000" w:themeColor="text1"/>
          <w14:textFill>
            <w14:solidFill>
              <w14:schemeClr w14:val="tx1"/>
            </w14:solidFill>
          </w14:textFill>
        </w:rPr>
        <w:t>B14554-1993</w:t>
      </w:r>
      <w:r>
        <w:rPr>
          <w:rFonts w:hint="eastAsia"/>
          <w:color w:val="000000" w:themeColor="text1"/>
          <w14:textFill>
            <w14:solidFill>
              <w14:schemeClr w14:val="tx1"/>
            </w14:solidFill>
          </w14:textFill>
        </w:rPr>
        <w:t>）标准限值</w:t>
      </w:r>
      <w:r>
        <w:rPr>
          <w:rFonts w:hint="eastAsia" w:cs="宋体"/>
          <w:color w:val="000000" w:themeColor="text1"/>
          <w14:textFill>
            <w14:solidFill>
              <w14:schemeClr w14:val="tx1"/>
            </w14:solidFill>
          </w14:textFill>
        </w:rPr>
        <w:t>；</w:t>
      </w:r>
      <w:r>
        <w:rPr>
          <w:rFonts w:cs="宋体"/>
          <w:color w:val="000000" w:themeColor="text1"/>
          <w14:textFill>
            <w14:solidFill>
              <w14:schemeClr w14:val="tx1"/>
            </w14:solidFill>
          </w14:textFill>
        </w:rPr>
        <w:t>声环境质量满足《声环境质量标准》（GB3096-2008）中2类标准限值</w:t>
      </w:r>
      <w:r>
        <w:rPr>
          <w:rFonts w:hint="eastAsia" w:cs="宋体"/>
          <w:color w:val="000000" w:themeColor="text1"/>
          <w14:textFill>
            <w14:solidFill>
              <w14:schemeClr w14:val="tx1"/>
            </w14:solidFill>
          </w14:textFill>
        </w:rPr>
        <w:t>；</w:t>
      </w:r>
      <w:r>
        <w:rPr>
          <w:rFonts w:hint="eastAsia" w:ascii="Times New Roman" w:hAnsi="Times New Roman"/>
          <w:color w:val="000000" w:themeColor="text1"/>
          <w:kern w:val="0"/>
          <w14:textFill>
            <w14:solidFill>
              <w14:schemeClr w14:val="tx1"/>
            </w14:solidFill>
          </w14:textFill>
        </w:rPr>
        <w:t>采出水、井下作业废液送至压裂返排液处理装置处理</w:t>
      </w:r>
      <w:r>
        <w:rPr>
          <w:rFonts w:hint="eastAsia" w:cs="宋体"/>
          <w:color w:val="000000" w:themeColor="text1"/>
          <w14:textFill>
            <w14:solidFill>
              <w14:schemeClr w14:val="tx1"/>
            </w14:solidFill>
          </w14:textFill>
        </w:rPr>
        <w:t>；产生的危险废物均交由有相应危险废物处理资质的单位回收处置，</w:t>
      </w:r>
      <w:r>
        <w:rPr>
          <w:rFonts w:cs="宋体"/>
          <w:color w:val="000000" w:themeColor="text1"/>
          <w14:textFill>
            <w14:solidFill>
              <w14:schemeClr w14:val="tx1"/>
            </w14:solidFill>
          </w14:textFill>
        </w:rPr>
        <w:t>没有对周围环境产生重大不利影响</w:t>
      </w:r>
      <w:r>
        <w:rPr>
          <w:rFonts w:hint="eastAsia" w:cs="宋体"/>
          <w:color w:val="000000" w:themeColor="text1"/>
          <w14:textFill>
            <w14:solidFill>
              <w14:schemeClr w14:val="tx1"/>
            </w14:solidFill>
          </w14:textFill>
        </w:rPr>
        <w:t>；</w:t>
      </w:r>
      <w:r>
        <w:rPr>
          <w:rFonts w:cs="宋体"/>
          <w:color w:val="000000" w:themeColor="text1"/>
          <w14:textFill>
            <w14:solidFill>
              <w14:schemeClr w14:val="tx1"/>
            </w14:solidFill>
          </w14:textFill>
        </w:rPr>
        <w:t>永久性占地地面均进行了硬化处理，临时性占地范围内草本植被</w:t>
      </w:r>
      <w:r>
        <w:rPr>
          <w:rFonts w:hint="eastAsia" w:cs="宋体"/>
          <w:color w:val="000000" w:themeColor="text1"/>
          <w14:textFill>
            <w14:solidFill>
              <w14:schemeClr w14:val="tx1"/>
            </w14:solidFill>
          </w14:textFill>
        </w:rPr>
        <w:t>正在</w:t>
      </w:r>
      <w:r>
        <w:rPr>
          <w:rFonts w:cs="宋体"/>
          <w:color w:val="000000" w:themeColor="text1"/>
          <w14:textFill>
            <w14:solidFill>
              <w14:schemeClr w14:val="tx1"/>
            </w14:solidFill>
          </w14:textFill>
        </w:rPr>
        <w:t>恢复。</w:t>
      </w:r>
    </w:p>
    <w:p w14:paraId="04440F66">
      <w:pPr>
        <w:pStyle w:val="117"/>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综上所述，本次采取的环境保护措施与中国石油新疆油田分公司吉庆油田作业区现有的环境保护措施基本相同，均为技术可行、经济合理、稳定可靠、便于实施的成熟措施，在油田开发过程中得到广泛应用。综上所述，本次采取的环境保护措施为技术可行、经济合理、可以达到长期稳定运行和达标排放。</w:t>
      </w:r>
    </w:p>
    <w:bookmarkEnd w:id="782"/>
    <w:bookmarkEnd w:id="783"/>
    <w:bookmarkEnd w:id="785"/>
    <w:bookmarkEnd w:id="786"/>
    <w:bookmarkEnd w:id="791"/>
    <w:p w14:paraId="420F65CA">
      <w:pPr>
        <w:pStyle w:val="2"/>
        <w:rPr>
          <w:rFonts w:hint="eastAsia"/>
          <w:color w:val="000000" w:themeColor="text1"/>
          <w14:textFill>
            <w14:solidFill>
              <w14:schemeClr w14:val="tx1"/>
            </w14:solidFill>
          </w14:textFill>
        </w:rPr>
      </w:pPr>
      <w:bookmarkStart w:id="797" w:name="_Toc216260320"/>
      <w:bookmarkStart w:id="798" w:name="_Toc445840444"/>
      <w:bookmarkStart w:id="799" w:name="_Toc23463"/>
      <w:bookmarkStart w:id="800" w:name="_Toc445842206"/>
      <w:bookmarkStart w:id="801" w:name="_Toc459026612"/>
      <w:bookmarkStart w:id="802" w:name="_Toc21031"/>
      <w:bookmarkStart w:id="803" w:name="_Toc16453"/>
      <w:bookmarkStart w:id="804" w:name="_Toc448413636"/>
      <w:bookmarkStart w:id="805" w:name="_Toc445829834"/>
      <w:bookmarkStart w:id="806" w:name="_Toc475624492"/>
      <w:bookmarkStart w:id="807" w:name="_Toc445996513"/>
      <w:r>
        <w:rPr>
          <w:color w:val="000000" w:themeColor="text1"/>
          <w14:textFill>
            <w14:solidFill>
              <w14:schemeClr w14:val="tx1"/>
            </w14:solidFill>
          </w14:textFill>
        </w:rPr>
        <w:t>环保投资分析</w:t>
      </w:r>
      <w:bookmarkEnd w:id="797"/>
      <w:bookmarkEnd w:id="798"/>
      <w:bookmarkEnd w:id="799"/>
      <w:bookmarkEnd w:id="800"/>
      <w:bookmarkEnd w:id="801"/>
      <w:bookmarkEnd w:id="802"/>
      <w:bookmarkEnd w:id="803"/>
      <w:bookmarkEnd w:id="804"/>
      <w:bookmarkEnd w:id="805"/>
      <w:bookmarkEnd w:id="806"/>
      <w:bookmarkEnd w:id="807"/>
    </w:p>
    <w:p w14:paraId="63C0D6E3">
      <w:pPr>
        <w:pStyle w:val="117"/>
        <w:ind w:firstLine="480"/>
        <w:rPr>
          <w:rFonts w:hint="eastAsia"/>
          <w:color w:val="000000" w:themeColor="text1"/>
          <w14:textFill>
            <w14:solidFill>
              <w14:schemeClr w14:val="tx1"/>
            </w14:solidFill>
          </w14:textFill>
        </w:rPr>
      </w:pPr>
      <w:bookmarkStart w:id="808" w:name="OLE_LINK35"/>
      <w:bookmarkStart w:id="809" w:name="_Hlk147588038"/>
      <w:bookmarkStart w:id="810" w:name="_Hlk40722423"/>
      <w:r>
        <w:rPr>
          <w:rFonts w:hint="eastAsia"/>
          <w:color w:val="000000" w:themeColor="text1"/>
          <w14:textFill>
            <w14:solidFill>
              <w14:schemeClr w14:val="tx1"/>
            </w14:solidFill>
          </w14:textFill>
        </w:rPr>
        <w:t>项目总投资5908.52万元，</w:t>
      </w:r>
      <w:r>
        <w:rPr>
          <w:color w:val="000000" w:themeColor="text1"/>
          <w14:textFill>
            <w14:solidFill>
              <w14:schemeClr w14:val="tx1"/>
            </w14:solidFill>
          </w14:textFill>
        </w:rPr>
        <w:t>环保投资约</w:t>
      </w:r>
      <w:r>
        <w:rPr>
          <w:rFonts w:hint="eastAsia"/>
          <w:color w:val="000000" w:themeColor="text1"/>
          <w14:textFill>
            <w14:solidFill>
              <w14:schemeClr w14:val="tx1"/>
            </w14:solidFill>
          </w14:textFill>
        </w:rPr>
        <w:t>281万</w:t>
      </w:r>
      <w:r>
        <w:rPr>
          <w:color w:val="000000" w:themeColor="text1"/>
          <w14:textFill>
            <w14:solidFill>
              <w14:schemeClr w14:val="tx1"/>
            </w14:solidFill>
          </w14:textFill>
        </w:rPr>
        <w:t>元，占总投资的</w:t>
      </w:r>
      <w:r>
        <w:rPr>
          <w:rFonts w:hint="eastAsia"/>
          <w:color w:val="000000" w:themeColor="text1"/>
          <w14:textFill>
            <w14:solidFill>
              <w14:schemeClr w14:val="tx1"/>
            </w14:solidFill>
          </w14:textFill>
        </w:rPr>
        <w:t>4.76</w:t>
      </w:r>
      <w:r>
        <w:rPr>
          <w:color w:val="000000" w:themeColor="text1"/>
          <w14:textFill>
            <w14:solidFill>
              <w14:schemeClr w14:val="tx1"/>
            </w14:solidFill>
          </w14:textFill>
        </w:rPr>
        <w:t>%</w:t>
      </w:r>
      <w:bookmarkEnd w:id="808"/>
      <w:r>
        <w:rPr>
          <w:rFonts w:hint="eastAsia"/>
          <w:color w:val="000000" w:themeColor="text1"/>
          <w14:textFill>
            <w14:solidFill>
              <w14:schemeClr w14:val="tx1"/>
            </w14:solidFill>
          </w14:textFill>
        </w:rPr>
        <w:t>，见表</w:t>
      </w:r>
      <w:r>
        <w:rPr>
          <w:color w:val="000000" w:themeColor="text1"/>
          <w14:textFill>
            <w14:solidFill>
              <w14:schemeClr w14:val="tx1"/>
            </w14:solidFill>
          </w14:textFill>
        </w:rPr>
        <w:t>6.7</w:t>
      </w:r>
      <w:r>
        <w:rPr>
          <w:rFonts w:hint="eastAsia"/>
          <w:color w:val="000000" w:themeColor="text1"/>
          <w14:textFill>
            <w14:solidFill>
              <w14:schemeClr w14:val="tx1"/>
            </w14:solidFill>
          </w14:textFill>
        </w:rPr>
        <w:t>-1。</w:t>
      </w:r>
    </w:p>
    <w:p w14:paraId="7800C0DE">
      <w:pPr>
        <w:pStyle w:val="109"/>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表</w:t>
      </w:r>
      <w:r>
        <w:rPr>
          <w:color w:val="000000" w:themeColor="text1"/>
          <w14:textFill>
            <w14:solidFill>
              <w14:schemeClr w14:val="tx1"/>
            </w14:solidFill>
          </w14:textFill>
        </w:rPr>
        <w:t>6.7</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 xml:space="preserve">1 </w:t>
      </w:r>
      <w:r>
        <w:rPr>
          <w:rFonts w:hint="eastAsia"/>
          <w:color w:val="000000" w:themeColor="text1"/>
          <w14:textFill>
            <w14:solidFill>
              <w14:schemeClr w14:val="tx1"/>
            </w14:solidFill>
          </w14:textFill>
        </w:rPr>
        <w:t xml:space="preserve"> 环境保护投资估算一览表</w:t>
      </w:r>
    </w:p>
    <w:tbl>
      <w:tblPr>
        <w:tblStyle w:val="51"/>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Layout w:type="fixed"/>
        <w:tblCellMar>
          <w:top w:w="0" w:type="dxa"/>
          <w:left w:w="28" w:type="dxa"/>
          <w:bottom w:w="0" w:type="dxa"/>
          <w:right w:w="28" w:type="dxa"/>
        </w:tblCellMar>
      </w:tblPr>
      <w:tblGrid>
        <w:gridCol w:w="474"/>
        <w:gridCol w:w="829"/>
        <w:gridCol w:w="1835"/>
        <w:gridCol w:w="4687"/>
        <w:gridCol w:w="942"/>
        <w:gridCol w:w="19"/>
      </w:tblGrid>
      <w:tr w14:paraId="1DF8BF69">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28" w:type="dxa"/>
            <w:bottom w:w="0" w:type="dxa"/>
            <w:right w:w="28" w:type="dxa"/>
          </w:tblCellMar>
        </w:tblPrEx>
        <w:trPr>
          <w:trHeight w:val="340" w:hRule="atLeast"/>
        </w:trPr>
        <w:tc>
          <w:tcPr>
            <w:tcW w:w="270" w:type="pct"/>
            <w:vAlign w:val="center"/>
          </w:tcPr>
          <w:p w14:paraId="4FF3EEE5">
            <w:pPr>
              <w:pStyle w:val="286"/>
              <w:adjustRightInd w:val="0"/>
              <w:snapToGrid w:val="0"/>
              <w:spacing w:line="300" w:lineRule="exact"/>
              <w:rPr>
                <w:rFonts w:hint="eastAsia" w:cs="宋体"/>
                <w:color w:val="000000" w:themeColor="text1"/>
                <w:sz w:val="21"/>
                <w14:textFill>
                  <w14:solidFill>
                    <w14:schemeClr w14:val="tx1"/>
                  </w14:solidFill>
                </w14:textFill>
              </w:rPr>
            </w:pPr>
            <w:bookmarkStart w:id="811" w:name="OLE_LINK87"/>
            <w:r>
              <w:rPr>
                <w:rFonts w:hint="eastAsia" w:cs="宋体"/>
                <w:color w:val="000000" w:themeColor="text1"/>
                <w:sz w:val="21"/>
                <w14:textFill>
                  <w14:solidFill>
                    <w14:schemeClr w14:val="tx1"/>
                  </w14:solidFill>
                </w14:textFill>
              </w:rPr>
              <w:t>阶段</w:t>
            </w:r>
          </w:p>
        </w:tc>
        <w:tc>
          <w:tcPr>
            <w:tcW w:w="472" w:type="pct"/>
            <w:vAlign w:val="center"/>
          </w:tcPr>
          <w:p w14:paraId="5C20B6E8">
            <w:pPr>
              <w:pStyle w:val="286"/>
              <w:adjustRightInd w:val="0"/>
              <w:snapToGrid w:val="0"/>
              <w:spacing w:line="300" w:lineRule="exact"/>
              <w:rPr>
                <w:rFonts w:hint="eastAsia" w:cs="宋体"/>
                <w:color w:val="000000" w:themeColor="text1"/>
                <w:sz w:val="21"/>
                <w14:textFill>
                  <w14:solidFill>
                    <w14:schemeClr w14:val="tx1"/>
                  </w14:solidFill>
                </w14:textFill>
              </w:rPr>
            </w:pPr>
            <w:r>
              <w:rPr>
                <w:rFonts w:hint="eastAsia" w:cs="宋体"/>
                <w:color w:val="000000" w:themeColor="text1"/>
                <w:sz w:val="21"/>
                <w14:textFill>
                  <w14:solidFill>
                    <w14:schemeClr w14:val="tx1"/>
                  </w14:solidFill>
                </w14:textFill>
              </w:rPr>
              <w:t>环境</w:t>
            </w:r>
          </w:p>
          <w:p w14:paraId="6E15DBD0">
            <w:pPr>
              <w:pStyle w:val="286"/>
              <w:adjustRightInd w:val="0"/>
              <w:snapToGrid w:val="0"/>
              <w:spacing w:line="300" w:lineRule="exact"/>
              <w:rPr>
                <w:rFonts w:hint="eastAsia" w:cs="宋体"/>
                <w:color w:val="000000" w:themeColor="text1"/>
                <w:sz w:val="21"/>
                <w14:textFill>
                  <w14:solidFill>
                    <w14:schemeClr w14:val="tx1"/>
                  </w14:solidFill>
                </w14:textFill>
              </w:rPr>
            </w:pPr>
            <w:r>
              <w:rPr>
                <w:rFonts w:hint="eastAsia" w:cs="宋体"/>
                <w:color w:val="000000" w:themeColor="text1"/>
                <w:sz w:val="21"/>
                <w14:textFill>
                  <w14:solidFill>
                    <w14:schemeClr w14:val="tx1"/>
                  </w14:solidFill>
                </w14:textFill>
              </w:rPr>
              <w:t>要素</w:t>
            </w:r>
          </w:p>
        </w:tc>
        <w:tc>
          <w:tcPr>
            <w:tcW w:w="1044" w:type="pct"/>
            <w:vAlign w:val="center"/>
          </w:tcPr>
          <w:p w14:paraId="579EAC3A">
            <w:pPr>
              <w:pStyle w:val="286"/>
              <w:adjustRightInd w:val="0"/>
              <w:snapToGrid w:val="0"/>
              <w:spacing w:line="300" w:lineRule="exact"/>
              <w:rPr>
                <w:rFonts w:hint="eastAsia" w:cs="宋体"/>
                <w:color w:val="000000" w:themeColor="text1"/>
                <w:sz w:val="21"/>
                <w14:textFill>
                  <w14:solidFill>
                    <w14:schemeClr w14:val="tx1"/>
                  </w14:solidFill>
                </w14:textFill>
              </w:rPr>
            </w:pPr>
            <w:r>
              <w:rPr>
                <w:rFonts w:hint="eastAsia" w:cs="宋体"/>
                <w:color w:val="000000" w:themeColor="text1"/>
                <w:sz w:val="21"/>
                <w14:textFill>
                  <w14:solidFill>
                    <w14:schemeClr w14:val="tx1"/>
                  </w14:solidFill>
                </w14:textFill>
              </w:rPr>
              <w:t>类别</w:t>
            </w:r>
          </w:p>
        </w:tc>
        <w:tc>
          <w:tcPr>
            <w:tcW w:w="2667" w:type="pct"/>
            <w:vAlign w:val="center"/>
          </w:tcPr>
          <w:p w14:paraId="7D421C09">
            <w:pPr>
              <w:pStyle w:val="286"/>
              <w:adjustRightInd w:val="0"/>
              <w:snapToGrid w:val="0"/>
              <w:spacing w:line="300" w:lineRule="exact"/>
              <w:rPr>
                <w:rFonts w:hint="eastAsia" w:cs="宋体"/>
                <w:color w:val="000000" w:themeColor="text1"/>
                <w:sz w:val="21"/>
                <w14:textFill>
                  <w14:solidFill>
                    <w14:schemeClr w14:val="tx1"/>
                  </w14:solidFill>
                </w14:textFill>
              </w:rPr>
            </w:pPr>
            <w:r>
              <w:rPr>
                <w:rFonts w:hint="eastAsia" w:cs="宋体"/>
                <w:color w:val="000000" w:themeColor="text1"/>
                <w:sz w:val="21"/>
                <w14:textFill>
                  <w14:solidFill>
                    <w14:schemeClr w14:val="tx1"/>
                  </w14:solidFill>
                </w14:textFill>
              </w:rPr>
              <w:t>环保措施</w:t>
            </w:r>
          </w:p>
        </w:tc>
        <w:tc>
          <w:tcPr>
            <w:tcW w:w="547" w:type="pct"/>
            <w:gridSpan w:val="2"/>
            <w:vAlign w:val="center"/>
          </w:tcPr>
          <w:p w14:paraId="6C3A85D8">
            <w:pPr>
              <w:pStyle w:val="286"/>
              <w:adjustRightInd w:val="0"/>
              <w:snapToGrid w:val="0"/>
              <w:spacing w:line="300" w:lineRule="exact"/>
              <w:rPr>
                <w:rFonts w:hint="eastAsia" w:cs="宋体"/>
                <w:color w:val="000000" w:themeColor="text1"/>
                <w:sz w:val="21"/>
                <w14:textFill>
                  <w14:solidFill>
                    <w14:schemeClr w14:val="tx1"/>
                  </w14:solidFill>
                </w14:textFill>
              </w:rPr>
            </w:pPr>
            <w:r>
              <w:rPr>
                <w:rFonts w:hint="eastAsia" w:cs="宋体"/>
                <w:color w:val="000000" w:themeColor="text1"/>
                <w:sz w:val="21"/>
                <w14:textFill>
                  <w14:solidFill>
                    <w14:schemeClr w14:val="tx1"/>
                  </w14:solidFill>
                </w14:textFill>
              </w:rPr>
              <w:t>投资</w:t>
            </w:r>
          </w:p>
          <w:p w14:paraId="1C2DA3FC">
            <w:pPr>
              <w:pStyle w:val="286"/>
              <w:adjustRightInd w:val="0"/>
              <w:snapToGrid w:val="0"/>
              <w:spacing w:line="300" w:lineRule="exact"/>
              <w:rPr>
                <w:rFonts w:hint="eastAsia" w:cs="宋体"/>
                <w:color w:val="000000" w:themeColor="text1"/>
                <w:sz w:val="21"/>
                <w14:textFill>
                  <w14:solidFill>
                    <w14:schemeClr w14:val="tx1"/>
                  </w14:solidFill>
                </w14:textFill>
              </w:rPr>
            </w:pPr>
            <w:r>
              <w:rPr>
                <w:rFonts w:hint="eastAsia" w:cs="宋体"/>
                <w:color w:val="000000" w:themeColor="text1"/>
                <w:sz w:val="21"/>
                <w14:textFill>
                  <w14:solidFill>
                    <w14:schemeClr w14:val="tx1"/>
                  </w14:solidFill>
                </w14:textFill>
              </w:rPr>
              <w:t>（万元）</w:t>
            </w:r>
          </w:p>
        </w:tc>
      </w:tr>
      <w:tr w14:paraId="4A333C42">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28" w:type="dxa"/>
            <w:bottom w:w="0" w:type="dxa"/>
            <w:right w:w="28" w:type="dxa"/>
          </w:tblCellMar>
        </w:tblPrEx>
        <w:trPr>
          <w:trHeight w:val="340" w:hRule="atLeast"/>
        </w:trPr>
        <w:tc>
          <w:tcPr>
            <w:tcW w:w="270" w:type="pct"/>
            <w:vMerge w:val="restart"/>
            <w:vAlign w:val="center"/>
          </w:tcPr>
          <w:p w14:paraId="6AD3CFD8">
            <w:pPr>
              <w:pStyle w:val="286"/>
              <w:adjustRightInd w:val="0"/>
              <w:snapToGrid w:val="0"/>
              <w:spacing w:line="300" w:lineRule="exact"/>
              <w:rPr>
                <w:rFonts w:hint="eastAsia" w:cs="宋体"/>
                <w:color w:val="000000" w:themeColor="text1"/>
                <w:sz w:val="21"/>
                <w14:textFill>
                  <w14:solidFill>
                    <w14:schemeClr w14:val="tx1"/>
                  </w14:solidFill>
                </w14:textFill>
              </w:rPr>
            </w:pPr>
            <w:bookmarkStart w:id="812" w:name="_Hlk173342290"/>
            <w:r>
              <w:rPr>
                <w:rFonts w:hint="eastAsia" w:cs="宋体"/>
                <w:color w:val="000000" w:themeColor="text1"/>
                <w:sz w:val="21"/>
                <w14:textFill>
                  <w14:solidFill>
                    <w14:schemeClr w14:val="tx1"/>
                  </w14:solidFill>
                </w14:textFill>
              </w:rPr>
              <w:t>施</w:t>
            </w:r>
          </w:p>
          <w:p w14:paraId="5AD99438">
            <w:pPr>
              <w:pStyle w:val="286"/>
              <w:adjustRightInd w:val="0"/>
              <w:snapToGrid w:val="0"/>
              <w:spacing w:line="300" w:lineRule="exact"/>
              <w:rPr>
                <w:rFonts w:hint="eastAsia" w:cs="宋体"/>
                <w:color w:val="000000" w:themeColor="text1"/>
                <w:sz w:val="21"/>
                <w14:textFill>
                  <w14:solidFill>
                    <w14:schemeClr w14:val="tx1"/>
                  </w14:solidFill>
                </w14:textFill>
              </w:rPr>
            </w:pPr>
            <w:r>
              <w:rPr>
                <w:rFonts w:hint="eastAsia" w:cs="宋体"/>
                <w:color w:val="000000" w:themeColor="text1"/>
                <w:sz w:val="21"/>
                <w14:textFill>
                  <w14:solidFill>
                    <w14:schemeClr w14:val="tx1"/>
                  </w14:solidFill>
                </w14:textFill>
              </w:rPr>
              <w:t>工</w:t>
            </w:r>
          </w:p>
          <w:p w14:paraId="681800D5">
            <w:pPr>
              <w:pStyle w:val="286"/>
              <w:adjustRightInd w:val="0"/>
              <w:snapToGrid w:val="0"/>
              <w:spacing w:line="300" w:lineRule="exact"/>
              <w:rPr>
                <w:rFonts w:hint="eastAsia" w:cs="宋体"/>
                <w:color w:val="000000" w:themeColor="text1"/>
                <w:sz w:val="21"/>
                <w14:textFill>
                  <w14:solidFill>
                    <w14:schemeClr w14:val="tx1"/>
                  </w14:solidFill>
                </w14:textFill>
              </w:rPr>
            </w:pPr>
            <w:r>
              <w:rPr>
                <w:rFonts w:hint="eastAsia" w:cs="宋体"/>
                <w:color w:val="000000" w:themeColor="text1"/>
                <w:sz w:val="21"/>
                <w14:textFill>
                  <w14:solidFill>
                    <w14:schemeClr w14:val="tx1"/>
                  </w14:solidFill>
                </w14:textFill>
              </w:rPr>
              <w:t>期</w:t>
            </w:r>
          </w:p>
        </w:tc>
        <w:tc>
          <w:tcPr>
            <w:tcW w:w="472" w:type="pct"/>
            <w:vMerge w:val="restart"/>
            <w:vAlign w:val="center"/>
          </w:tcPr>
          <w:p w14:paraId="7BE4D912">
            <w:pPr>
              <w:pStyle w:val="286"/>
              <w:adjustRightInd w:val="0"/>
              <w:snapToGrid w:val="0"/>
              <w:spacing w:line="300" w:lineRule="exact"/>
              <w:rPr>
                <w:rFonts w:hint="eastAsia" w:cs="宋体"/>
                <w:color w:val="000000" w:themeColor="text1"/>
                <w:sz w:val="21"/>
                <w14:textFill>
                  <w14:solidFill>
                    <w14:schemeClr w14:val="tx1"/>
                  </w14:solidFill>
                </w14:textFill>
              </w:rPr>
            </w:pPr>
            <w:r>
              <w:rPr>
                <w:rFonts w:hint="eastAsia" w:cs="宋体"/>
                <w:color w:val="000000" w:themeColor="text1"/>
                <w:sz w:val="21"/>
                <w14:textFill>
                  <w14:solidFill>
                    <w14:schemeClr w14:val="tx1"/>
                  </w14:solidFill>
                </w14:textFill>
              </w:rPr>
              <w:t>生态</w:t>
            </w:r>
          </w:p>
          <w:p w14:paraId="156884BF">
            <w:pPr>
              <w:pStyle w:val="286"/>
              <w:adjustRightInd w:val="0"/>
              <w:snapToGrid w:val="0"/>
              <w:spacing w:line="300" w:lineRule="exact"/>
              <w:rPr>
                <w:rFonts w:hint="eastAsia" w:cs="宋体"/>
                <w:color w:val="000000" w:themeColor="text1"/>
                <w:sz w:val="21"/>
                <w14:textFill>
                  <w14:solidFill>
                    <w14:schemeClr w14:val="tx1"/>
                  </w14:solidFill>
                </w14:textFill>
              </w:rPr>
            </w:pPr>
            <w:r>
              <w:rPr>
                <w:rFonts w:hint="eastAsia" w:cs="宋体"/>
                <w:color w:val="000000" w:themeColor="text1"/>
                <w:sz w:val="21"/>
                <w14:textFill>
                  <w14:solidFill>
                    <w14:schemeClr w14:val="tx1"/>
                  </w14:solidFill>
                </w14:textFill>
              </w:rPr>
              <w:t>环境</w:t>
            </w:r>
          </w:p>
        </w:tc>
        <w:tc>
          <w:tcPr>
            <w:tcW w:w="1044" w:type="pct"/>
            <w:vMerge w:val="restart"/>
            <w:vAlign w:val="center"/>
          </w:tcPr>
          <w:p w14:paraId="65B95AF1">
            <w:pPr>
              <w:pStyle w:val="286"/>
              <w:adjustRightInd w:val="0"/>
              <w:snapToGrid w:val="0"/>
              <w:spacing w:line="300" w:lineRule="exact"/>
              <w:rPr>
                <w:rFonts w:hint="eastAsia" w:cs="宋体"/>
                <w:color w:val="000000" w:themeColor="text1"/>
                <w:sz w:val="21"/>
                <w14:textFill>
                  <w14:solidFill>
                    <w14:schemeClr w14:val="tx1"/>
                  </w14:solidFill>
                </w14:textFill>
              </w:rPr>
            </w:pPr>
            <w:r>
              <w:rPr>
                <w:rFonts w:hint="eastAsia" w:cs="宋体"/>
                <w:color w:val="000000" w:themeColor="text1"/>
                <w:sz w:val="21"/>
                <w14:textFill>
                  <w14:solidFill>
                    <w14:schemeClr w14:val="tx1"/>
                  </w14:solidFill>
                </w14:textFill>
              </w:rPr>
              <w:t>工程占地</w:t>
            </w:r>
          </w:p>
        </w:tc>
        <w:tc>
          <w:tcPr>
            <w:tcW w:w="2667" w:type="pct"/>
            <w:vAlign w:val="center"/>
          </w:tcPr>
          <w:p w14:paraId="12E2BB4D">
            <w:pPr>
              <w:pStyle w:val="286"/>
              <w:adjustRightInd w:val="0"/>
              <w:snapToGrid w:val="0"/>
              <w:spacing w:line="300" w:lineRule="exact"/>
              <w:rPr>
                <w:rFonts w:hint="eastAsia" w:cs="宋体"/>
                <w:color w:val="000000" w:themeColor="text1"/>
                <w:sz w:val="21"/>
                <w14:textFill>
                  <w14:solidFill>
                    <w14:schemeClr w14:val="tx1"/>
                  </w14:solidFill>
                </w14:textFill>
              </w:rPr>
            </w:pPr>
            <w:r>
              <w:rPr>
                <w:rFonts w:hint="eastAsia" w:cs="宋体"/>
                <w:color w:val="000000" w:themeColor="text1"/>
                <w:sz w:val="21"/>
                <w14:textFill>
                  <w14:solidFill>
                    <w14:schemeClr w14:val="tx1"/>
                  </w14:solidFill>
                </w14:textFill>
              </w:rPr>
              <w:t>对占地造成的生态破坏进行经济补偿</w:t>
            </w:r>
          </w:p>
        </w:tc>
        <w:tc>
          <w:tcPr>
            <w:tcW w:w="547" w:type="pct"/>
            <w:gridSpan w:val="2"/>
            <w:vAlign w:val="center"/>
          </w:tcPr>
          <w:p w14:paraId="1F383418">
            <w:pPr>
              <w:overflowPunct w:val="0"/>
              <w:adjustRightInd w:val="0"/>
              <w:snapToGrid w:val="0"/>
              <w:spacing w:line="300" w:lineRule="exact"/>
              <w:jc w:val="center"/>
              <w:rPr>
                <w:rFonts w:hint="eastAsia" w:ascii="宋体" w:hAnsi="宋体" w:cs="宋体"/>
                <w:color w:val="000000" w:themeColor="text1"/>
                <w:spacing w:val="4"/>
                <w:szCs w:val="21"/>
                <w14:textFill>
                  <w14:solidFill>
                    <w14:schemeClr w14:val="tx1"/>
                  </w14:solidFill>
                </w14:textFill>
              </w:rPr>
            </w:pPr>
            <w:r>
              <w:rPr>
                <w:rFonts w:hint="eastAsia" w:ascii="宋体" w:hAnsi="宋体" w:cs="宋体"/>
                <w:color w:val="000000" w:themeColor="text1"/>
                <w:spacing w:val="4"/>
                <w:szCs w:val="21"/>
                <w14:textFill>
                  <w14:solidFill>
                    <w14:schemeClr w14:val="tx1"/>
                  </w14:solidFill>
                </w14:textFill>
              </w:rPr>
              <w:t>50</w:t>
            </w:r>
          </w:p>
        </w:tc>
      </w:tr>
      <w:tr w14:paraId="4C0235FF">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28" w:type="dxa"/>
            <w:bottom w:w="0" w:type="dxa"/>
            <w:right w:w="28" w:type="dxa"/>
          </w:tblCellMar>
        </w:tblPrEx>
        <w:trPr>
          <w:trHeight w:val="340" w:hRule="atLeast"/>
        </w:trPr>
        <w:tc>
          <w:tcPr>
            <w:tcW w:w="270" w:type="pct"/>
            <w:vMerge w:val="continue"/>
            <w:vAlign w:val="center"/>
          </w:tcPr>
          <w:p w14:paraId="2A9B8B04">
            <w:pPr>
              <w:pStyle w:val="286"/>
              <w:adjustRightInd w:val="0"/>
              <w:snapToGrid w:val="0"/>
              <w:spacing w:line="300" w:lineRule="exact"/>
              <w:rPr>
                <w:rFonts w:hint="eastAsia" w:cs="宋体"/>
                <w:color w:val="000000" w:themeColor="text1"/>
                <w:sz w:val="21"/>
                <w14:textFill>
                  <w14:solidFill>
                    <w14:schemeClr w14:val="tx1"/>
                  </w14:solidFill>
                </w14:textFill>
              </w:rPr>
            </w:pPr>
          </w:p>
        </w:tc>
        <w:tc>
          <w:tcPr>
            <w:tcW w:w="472" w:type="pct"/>
            <w:vMerge w:val="continue"/>
            <w:vAlign w:val="center"/>
          </w:tcPr>
          <w:p w14:paraId="2C30E688">
            <w:pPr>
              <w:pStyle w:val="286"/>
              <w:adjustRightInd w:val="0"/>
              <w:snapToGrid w:val="0"/>
              <w:spacing w:line="300" w:lineRule="exact"/>
              <w:rPr>
                <w:rFonts w:hint="eastAsia" w:cs="宋体"/>
                <w:color w:val="000000" w:themeColor="text1"/>
                <w:sz w:val="21"/>
                <w14:textFill>
                  <w14:solidFill>
                    <w14:schemeClr w14:val="tx1"/>
                  </w14:solidFill>
                </w14:textFill>
              </w:rPr>
            </w:pPr>
          </w:p>
        </w:tc>
        <w:tc>
          <w:tcPr>
            <w:tcW w:w="1044" w:type="pct"/>
            <w:vMerge w:val="continue"/>
            <w:vAlign w:val="center"/>
          </w:tcPr>
          <w:p w14:paraId="6B08AD38">
            <w:pPr>
              <w:pStyle w:val="286"/>
              <w:adjustRightInd w:val="0"/>
              <w:snapToGrid w:val="0"/>
              <w:spacing w:line="300" w:lineRule="exact"/>
              <w:rPr>
                <w:rFonts w:hint="eastAsia" w:cs="宋体"/>
                <w:color w:val="000000" w:themeColor="text1"/>
                <w:sz w:val="21"/>
                <w14:textFill>
                  <w14:solidFill>
                    <w14:schemeClr w14:val="tx1"/>
                  </w14:solidFill>
                </w14:textFill>
              </w:rPr>
            </w:pPr>
          </w:p>
        </w:tc>
        <w:tc>
          <w:tcPr>
            <w:tcW w:w="2667" w:type="pct"/>
            <w:vAlign w:val="center"/>
          </w:tcPr>
          <w:p w14:paraId="46EA37ED">
            <w:pPr>
              <w:pStyle w:val="286"/>
              <w:adjustRightInd w:val="0"/>
              <w:snapToGrid w:val="0"/>
              <w:spacing w:line="300" w:lineRule="exact"/>
              <w:rPr>
                <w:rFonts w:hint="eastAsia" w:cs="宋体"/>
                <w:color w:val="000000" w:themeColor="text1"/>
                <w:sz w:val="21"/>
                <w14:textFill>
                  <w14:solidFill>
                    <w14:schemeClr w14:val="tx1"/>
                  </w14:solidFill>
                </w14:textFill>
              </w:rPr>
            </w:pPr>
            <w:r>
              <w:rPr>
                <w:rFonts w:hint="eastAsia" w:cs="宋体"/>
                <w:color w:val="000000" w:themeColor="text1"/>
                <w:sz w:val="21"/>
                <w14:textFill>
                  <w14:solidFill>
                    <w14:schemeClr w14:val="tx1"/>
                  </w14:solidFill>
                </w14:textFill>
              </w:rPr>
              <w:t>完工后迹地清理并平整压实、临时占地释放后植被和土壤的恢复</w:t>
            </w:r>
          </w:p>
        </w:tc>
        <w:tc>
          <w:tcPr>
            <w:tcW w:w="547" w:type="pct"/>
            <w:gridSpan w:val="2"/>
            <w:vAlign w:val="center"/>
          </w:tcPr>
          <w:p w14:paraId="22705F3C">
            <w:pPr>
              <w:overflowPunct w:val="0"/>
              <w:adjustRightInd w:val="0"/>
              <w:snapToGrid w:val="0"/>
              <w:spacing w:line="300" w:lineRule="exact"/>
              <w:jc w:val="center"/>
              <w:rPr>
                <w:rFonts w:hint="eastAsia" w:ascii="宋体" w:hAnsi="宋体" w:cs="宋体"/>
                <w:color w:val="000000" w:themeColor="text1"/>
                <w:spacing w:val="4"/>
                <w:szCs w:val="21"/>
                <w14:textFill>
                  <w14:solidFill>
                    <w14:schemeClr w14:val="tx1"/>
                  </w14:solidFill>
                </w14:textFill>
              </w:rPr>
            </w:pPr>
            <w:r>
              <w:rPr>
                <w:rFonts w:hint="eastAsia" w:ascii="宋体" w:hAnsi="宋体" w:cs="宋体"/>
                <w:color w:val="000000" w:themeColor="text1"/>
                <w:spacing w:val="4"/>
                <w:szCs w:val="21"/>
                <w14:textFill>
                  <w14:solidFill>
                    <w14:schemeClr w14:val="tx1"/>
                  </w14:solidFill>
                </w14:textFill>
              </w:rPr>
              <w:t>10</w:t>
            </w:r>
          </w:p>
        </w:tc>
      </w:tr>
      <w:tr w14:paraId="61BE46A2">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28" w:type="dxa"/>
            <w:bottom w:w="0" w:type="dxa"/>
            <w:right w:w="28" w:type="dxa"/>
          </w:tblCellMar>
        </w:tblPrEx>
        <w:trPr>
          <w:trHeight w:val="340" w:hRule="atLeast"/>
        </w:trPr>
        <w:tc>
          <w:tcPr>
            <w:tcW w:w="270" w:type="pct"/>
            <w:vMerge w:val="continue"/>
            <w:vAlign w:val="center"/>
          </w:tcPr>
          <w:p w14:paraId="0BDE5021">
            <w:pPr>
              <w:pStyle w:val="286"/>
              <w:adjustRightInd w:val="0"/>
              <w:snapToGrid w:val="0"/>
              <w:spacing w:line="300" w:lineRule="exact"/>
              <w:rPr>
                <w:rFonts w:hint="eastAsia" w:cs="宋体"/>
                <w:color w:val="000000" w:themeColor="text1"/>
                <w:sz w:val="21"/>
                <w14:textFill>
                  <w14:solidFill>
                    <w14:schemeClr w14:val="tx1"/>
                  </w14:solidFill>
                </w14:textFill>
              </w:rPr>
            </w:pPr>
          </w:p>
        </w:tc>
        <w:tc>
          <w:tcPr>
            <w:tcW w:w="472" w:type="pct"/>
            <w:vMerge w:val="restart"/>
            <w:vAlign w:val="center"/>
          </w:tcPr>
          <w:p w14:paraId="6AB4C951">
            <w:pPr>
              <w:pStyle w:val="286"/>
              <w:adjustRightInd w:val="0"/>
              <w:snapToGrid w:val="0"/>
              <w:spacing w:line="300" w:lineRule="exact"/>
              <w:rPr>
                <w:rFonts w:hint="eastAsia" w:cs="宋体"/>
                <w:color w:val="000000" w:themeColor="text1"/>
                <w:sz w:val="21"/>
                <w14:textFill>
                  <w14:solidFill>
                    <w14:schemeClr w14:val="tx1"/>
                  </w14:solidFill>
                </w14:textFill>
              </w:rPr>
            </w:pPr>
            <w:r>
              <w:rPr>
                <w:rFonts w:hint="eastAsia" w:cs="宋体"/>
                <w:color w:val="000000" w:themeColor="text1"/>
                <w:sz w:val="21"/>
                <w14:textFill>
                  <w14:solidFill>
                    <w14:schemeClr w14:val="tx1"/>
                  </w14:solidFill>
                </w14:textFill>
              </w:rPr>
              <w:t>废气</w:t>
            </w:r>
          </w:p>
        </w:tc>
        <w:tc>
          <w:tcPr>
            <w:tcW w:w="1044" w:type="pct"/>
            <w:vAlign w:val="center"/>
          </w:tcPr>
          <w:p w14:paraId="349C25A2">
            <w:pPr>
              <w:pStyle w:val="286"/>
              <w:adjustRightInd w:val="0"/>
              <w:snapToGrid w:val="0"/>
              <w:spacing w:line="300" w:lineRule="exact"/>
              <w:rPr>
                <w:rFonts w:hint="eastAsia" w:cs="宋体"/>
                <w:color w:val="000000" w:themeColor="text1"/>
                <w:sz w:val="21"/>
                <w14:textFill>
                  <w14:solidFill>
                    <w14:schemeClr w14:val="tx1"/>
                  </w14:solidFill>
                </w14:textFill>
              </w:rPr>
            </w:pPr>
            <w:r>
              <w:rPr>
                <w:rFonts w:hint="eastAsia" w:cs="宋体"/>
                <w:color w:val="000000" w:themeColor="text1"/>
                <w:sz w:val="21"/>
                <w14:textFill>
                  <w14:solidFill>
                    <w14:schemeClr w14:val="tx1"/>
                  </w14:solidFill>
                </w14:textFill>
              </w:rPr>
              <w:t>施工扬尘</w:t>
            </w:r>
          </w:p>
        </w:tc>
        <w:tc>
          <w:tcPr>
            <w:tcW w:w="2667" w:type="pct"/>
            <w:vAlign w:val="center"/>
          </w:tcPr>
          <w:p w14:paraId="655C7F55">
            <w:pPr>
              <w:pStyle w:val="286"/>
              <w:adjustRightInd w:val="0"/>
              <w:snapToGrid w:val="0"/>
              <w:spacing w:line="300" w:lineRule="exact"/>
              <w:rPr>
                <w:rFonts w:hint="eastAsia" w:cs="宋体"/>
                <w:color w:val="000000" w:themeColor="text1"/>
                <w:sz w:val="21"/>
                <w14:textFill>
                  <w14:solidFill>
                    <w14:schemeClr w14:val="tx1"/>
                  </w14:solidFill>
                </w14:textFill>
              </w:rPr>
            </w:pPr>
            <w:r>
              <w:rPr>
                <w:rFonts w:hint="eastAsia" w:cs="宋体"/>
                <w:color w:val="000000" w:themeColor="text1"/>
                <w:sz w:val="21"/>
                <w14:textFill>
                  <w14:solidFill>
                    <w14:schemeClr w14:val="tx1"/>
                  </w14:solidFill>
                </w14:textFill>
              </w:rPr>
              <w:t>运输车辆应加盖篷布，临时土方覆盖，防尘布（或网），逸散性材料运输采用苫布遮盖</w:t>
            </w:r>
          </w:p>
        </w:tc>
        <w:tc>
          <w:tcPr>
            <w:tcW w:w="547" w:type="pct"/>
            <w:gridSpan w:val="2"/>
            <w:vAlign w:val="center"/>
          </w:tcPr>
          <w:p w14:paraId="288DC4A9">
            <w:pPr>
              <w:pStyle w:val="286"/>
              <w:adjustRightInd w:val="0"/>
              <w:snapToGrid w:val="0"/>
              <w:spacing w:line="300" w:lineRule="exact"/>
              <w:rPr>
                <w:rFonts w:hint="eastAsia" w:cs="宋体"/>
                <w:color w:val="000000" w:themeColor="text1"/>
                <w:sz w:val="21"/>
                <w14:textFill>
                  <w14:solidFill>
                    <w14:schemeClr w14:val="tx1"/>
                  </w14:solidFill>
                </w14:textFill>
              </w:rPr>
            </w:pPr>
            <w:r>
              <w:rPr>
                <w:rFonts w:hint="eastAsia" w:cs="宋体"/>
                <w:color w:val="000000" w:themeColor="text1"/>
                <w:sz w:val="21"/>
                <w14:textFill>
                  <w14:solidFill>
                    <w14:schemeClr w14:val="tx1"/>
                  </w14:solidFill>
                </w14:textFill>
              </w:rPr>
              <w:t>2</w:t>
            </w:r>
          </w:p>
        </w:tc>
      </w:tr>
      <w:tr w14:paraId="7B173A29">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28" w:type="dxa"/>
            <w:bottom w:w="0" w:type="dxa"/>
            <w:right w:w="28" w:type="dxa"/>
          </w:tblCellMar>
        </w:tblPrEx>
        <w:trPr>
          <w:trHeight w:val="340" w:hRule="atLeast"/>
        </w:trPr>
        <w:tc>
          <w:tcPr>
            <w:tcW w:w="270" w:type="pct"/>
            <w:vMerge w:val="continue"/>
            <w:vAlign w:val="center"/>
          </w:tcPr>
          <w:p w14:paraId="5BA89A61">
            <w:pPr>
              <w:pStyle w:val="286"/>
              <w:adjustRightInd w:val="0"/>
              <w:snapToGrid w:val="0"/>
              <w:spacing w:line="300" w:lineRule="exact"/>
              <w:rPr>
                <w:rFonts w:hint="eastAsia" w:cs="宋体"/>
                <w:color w:val="000000" w:themeColor="text1"/>
                <w:sz w:val="21"/>
                <w14:textFill>
                  <w14:solidFill>
                    <w14:schemeClr w14:val="tx1"/>
                  </w14:solidFill>
                </w14:textFill>
              </w:rPr>
            </w:pPr>
          </w:p>
        </w:tc>
        <w:tc>
          <w:tcPr>
            <w:tcW w:w="472" w:type="pct"/>
            <w:vMerge w:val="continue"/>
            <w:vAlign w:val="center"/>
          </w:tcPr>
          <w:p w14:paraId="6E3759CC">
            <w:pPr>
              <w:pStyle w:val="286"/>
              <w:adjustRightInd w:val="0"/>
              <w:snapToGrid w:val="0"/>
              <w:spacing w:line="300" w:lineRule="exact"/>
              <w:rPr>
                <w:rFonts w:hint="eastAsia" w:cs="宋体"/>
                <w:color w:val="000000" w:themeColor="text1"/>
                <w:sz w:val="21"/>
                <w14:textFill>
                  <w14:solidFill>
                    <w14:schemeClr w14:val="tx1"/>
                  </w14:solidFill>
                </w14:textFill>
              </w:rPr>
            </w:pPr>
          </w:p>
        </w:tc>
        <w:tc>
          <w:tcPr>
            <w:tcW w:w="1044" w:type="pct"/>
            <w:vAlign w:val="center"/>
          </w:tcPr>
          <w:p w14:paraId="5C7CC9CA">
            <w:pPr>
              <w:pStyle w:val="286"/>
              <w:adjustRightInd w:val="0"/>
              <w:snapToGrid w:val="0"/>
              <w:spacing w:line="300" w:lineRule="exact"/>
              <w:rPr>
                <w:rFonts w:hint="eastAsia" w:cs="宋体"/>
                <w:color w:val="000000" w:themeColor="text1"/>
                <w:spacing w:val="-4"/>
                <w:sz w:val="21"/>
                <w14:textFill>
                  <w14:solidFill>
                    <w14:schemeClr w14:val="tx1"/>
                  </w14:solidFill>
                </w14:textFill>
              </w:rPr>
            </w:pPr>
            <w:r>
              <w:rPr>
                <w:rFonts w:hint="eastAsia" w:cs="宋体"/>
                <w:color w:val="000000" w:themeColor="text1"/>
                <w:spacing w:val="-4"/>
                <w:sz w:val="21"/>
                <w14:textFill>
                  <w14:solidFill>
                    <w14:schemeClr w14:val="tx1"/>
                  </w14:solidFill>
                </w14:textFill>
              </w:rPr>
              <w:t>施工机械和施工车辆尾气、焊接废气</w:t>
            </w:r>
          </w:p>
        </w:tc>
        <w:tc>
          <w:tcPr>
            <w:tcW w:w="2667" w:type="pct"/>
            <w:vAlign w:val="center"/>
          </w:tcPr>
          <w:p w14:paraId="3A562CC4">
            <w:pPr>
              <w:pStyle w:val="286"/>
              <w:adjustRightInd w:val="0"/>
              <w:snapToGrid w:val="0"/>
              <w:spacing w:line="300" w:lineRule="exact"/>
              <w:rPr>
                <w:rFonts w:hint="eastAsia" w:cs="宋体"/>
                <w:color w:val="000000" w:themeColor="text1"/>
                <w:spacing w:val="-4"/>
                <w:sz w:val="21"/>
                <w14:textFill>
                  <w14:solidFill>
                    <w14:schemeClr w14:val="tx1"/>
                  </w14:solidFill>
                </w14:textFill>
              </w:rPr>
            </w:pPr>
            <w:r>
              <w:rPr>
                <w:rFonts w:hint="eastAsia" w:cs="宋体"/>
                <w:color w:val="000000" w:themeColor="text1"/>
                <w:spacing w:val="-4"/>
                <w:sz w:val="21"/>
                <w14:textFill>
                  <w14:solidFill>
                    <w14:schemeClr w14:val="tx1"/>
                  </w14:solidFill>
                </w14:textFill>
              </w:rPr>
              <w:t>使用达标油品，加强设备维护；使用符合国家标准的焊条</w:t>
            </w:r>
          </w:p>
        </w:tc>
        <w:tc>
          <w:tcPr>
            <w:tcW w:w="547" w:type="pct"/>
            <w:gridSpan w:val="2"/>
            <w:vAlign w:val="center"/>
          </w:tcPr>
          <w:p w14:paraId="170021A3">
            <w:pPr>
              <w:pStyle w:val="286"/>
              <w:adjustRightInd w:val="0"/>
              <w:snapToGrid w:val="0"/>
              <w:spacing w:line="300" w:lineRule="exact"/>
              <w:rPr>
                <w:rFonts w:hint="eastAsia" w:cs="宋体"/>
                <w:color w:val="000000" w:themeColor="text1"/>
                <w:sz w:val="21"/>
                <w14:textFill>
                  <w14:solidFill>
                    <w14:schemeClr w14:val="tx1"/>
                  </w14:solidFill>
                </w14:textFill>
              </w:rPr>
            </w:pPr>
            <w:r>
              <w:rPr>
                <w:rFonts w:hint="eastAsia" w:cs="宋体"/>
                <w:color w:val="000000" w:themeColor="text1"/>
                <w:sz w:val="21"/>
                <w14:textFill>
                  <w14:solidFill>
                    <w14:schemeClr w14:val="tx1"/>
                  </w14:solidFill>
                </w14:textFill>
              </w:rPr>
              <w:t>3</w:t>
            </w:r>
          </w:p>
        </w:tc>
      </w:tr>
      <w:tr w14:paraId="323B87D6">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28" w:type="dxa"/>
            <w:bottom w:w="0" w:type="dxa"/>
            <w:right w:w="28" w:type="dxa"/>
          </w:tblCellMar>
        </w:tblPrEx>
        <w:trPr>
          <w:trHeight w:val="340" w:hRule="atLeast"/>
        </w:trPr>
        <w:tc>
          <w:tcPr>
            <w:tcW w:w="270" w:type="pct"/>
            <w:vMerge w:val="continue"/>
            <w:vAlign w:val="center"/>
          </w:tcPr>
          <w:p w14:paraId="451F2FD4">
            <w:pPr>
              <w:pStyle w:val="286"/>
              <w:adjustRightInd w:val="0"/>
              <w:snapToGrid w:val="0"/>
              <w:spacing w:line="300" w:lineRule="exact"/>
              <w:rPr>
                <w:rFonts w:hint="eastAsia" w:cs="宋体"/>
                <w:color w:val="000000" w:themeColor="text1"/>
                <w:sz w:val="21"/>
                <w14:textFill>
                  <w14:solidFill>
                    <w14:schemeClr w14:val="tx1"/>
                  </w14:solidFill>
                </w14:textFill>
              </w:rPr>
            </w:pPr>
          </w:p>
        </w:tc>
        <w:tc>
          <w:tcPr>
            <w:tcW w:w="472" w:type="pct"/>
            <w:vAlign w:val="center"/>
          </w:tcPr>
          <w:p w14:paraId="587AB872">
            <w:pPr>
              <w:pStyle w:val="286"/>
              <w:adjustRightInd w:val="0"/>
              <w:snapToGrid w:val="0"/>
              <w:spacing w:line="300" w:lineRule="exact"/>
              <w:rPr>
                <w:rFonts w:hint="eastAsia" w:cs="宋体"/>
                <w:color w:val="000000" w:themeColor="text1"/>
                <w:sz w:val="21"/>
                <w14:textFill>
                  <w14:solidFill>
                    <w14:schemeClr w14:val="tx1"/>
                  </w14:solidFill>
                </w14:textFill>
              </w:rPr>
            </w:pPr>
            <w:r>
              <w:rPr>
                <w:rFonts w:hint="eastAsia" w:cs="宋体"/>
                <w:color w:val="000000" w:themeColor="text1"/>
                <w:sz w:val="21"/>
                <w14:textFill>
                  <w14:solidFill>
                    <w14:schemeClr w14:val="tx1"/>
                  </w14:solidFill>
                </w14:textFill>
              </w:rPr>
              <w:t>噪声</w:t>
            </w:r>
          </w:p>
        </w:tc>
        <w:tc>
          <w:tcPr>
            <w:tcW w:w="1044" w:type="pct"/>
            <w:vAlign w:val="center"/>
          </w:tcPr>
          <w:p w14:paraId="7702E4D9">
            <w:pPr>
              <w:pStyle w:val="286"/>
              <w:adjustRightInd w:val="0"/>
              <w:snapToGrid w:val="0"/>
              <w:spacing w:line="300" w:lineRule="exact"/>
              <w:rPr>
                <w:rFonts w:hint="eastAsia" w:cs="宋体"/>
                <w:color w:val="000000" w:themeColor="text1"/>
                <w:spacing w:val="-4"/>
                <w:sz w:val="21"/>
                <w14:textFill>
                  <w14:solidFill>
                    <w14:schemeClr w14:val="tx1"/>
                  </w14:solidFill>
                </w14:textFill>
              </w:rPr>
            </w:pPr>
            <w:r>
              <w:rPr>
                <w:rFonts w:hint="eastAsia" w:cs="宋体"/>
                <w:color w:val="000000" w:themeColor="text1"/>
                <w:spacing w:val="-4"/>
                <w:sz w:val="21"/>
                <w14:textFill>
                  <w14:solidFill>
                    <w14:schemeClr w14:val="tx1"/>
                  </w14:solidFill>
                </w14:textFill>
              </w:rPr>
              <w:t>噪声</w:t>
            </w:r>
          </w:p>
        </w:tc>
        <w:tc>
          <w:tcPr>
            <w:tcW w:w="2667" w:type="pct"/>
            <w:vAlign w:val="center"/>
          </w:tcPr>
          <w:p w14:paraId="45124734">
            <w:pPr>
              <w:pStyle w:val="286"/>
              <w:adjustRightInd w:val="0"/>
              <w:snapToGrid w:val="0"/>
              <w:spacing w:line="300" w:lineRule="exact"/>
              <w:rPr>
                <w:rFonts w:hint="eastAsia" w:cs="宋体"/>
                <w:color w:val="000000" w:themeColor="text1"/>
                <w:spacing w:val="-4"/>
                <w:sz w:val="21"/>
                <w14:textFill>
                  <w14:solidFill>
                    <w14:schemeClr w14:val="tx1"/>
                  </w14:solidFill>
                </w14:textFill>
              </w:rPr>
            </w:pPr>
            <w:r>
              <w:rPr>
                <w:rFonts w:hint="eastAsia" w:cs="宋体"/>
                <w:color w:val="000000" w:themeColor="text1"/>
                <w:spacing w:val="-4"/>
                <w:sz w:val="21"/>
                <w14:textFill>
                  <w14:solidFill>
                    <w14:schemeClr w14:val="tx1"/>
                  </w14:solidFill>
                </w14:textFill>
              </w:rPr>
              <w:t>采用低噪声设备、基础减振，加强维修</w:t>
            </w:r>
          </w:p>
        </w:tc>
        <w:tc>
          <w:tcPr>
            <w:tcW w:w="547" w:type="pct"/>
            <w:gridSpan w:val="2"/>
            <w:vAlign w:val="center"/>
          </w:tcPr>
          <w:p w14:paraId="69425ECB">
            <w:pPr>
              <w:pStyle w:val="286"/>
              <w:adjustRightInd w:val="0"/>
              <w:snapToGrid w:val="0"/>
              <w:spacing w:line="300" w:lineRule="exact"/>
              <w:rPr>
                <w:rFonts w:hint="eastAsia" w:cs="宋体"/>
                <w:color w:val="000000" w:themeColor="text1"/>
                <w:sz w:val="21"/>
                <w14:textFill>
                  <w14:solidFill>
                    <w14:schemeClr w14:val="tx1"/>
                  </w14:solidFill>
                </w14:textFill>
              </w:rPr>
            </w:pPr>
            <w:r>
              <w:rPr>
                <w:rFonts w:hint="eastAsia" w:cs="宋体"/>
                <w:color w:val="000000" w:themeColor="text1"/>
                <w:sz w:val="21"/>
                <w14:textFill>
                  <w14:solidFill>
                    <w14:schemeClr w14:val="tx1"/>
                  </w14:solidFill>
                </w14:textFill>
              </w:rPr>
              <w:t>4</w:t>
            </w:r>
          </w:p>
        </w:tc>
      </w:tr>
      <w:tr w14:paraId="2A18F2B9">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28" w:type="dxa"/>
            <w:bottom w:w="0" w:type="dxa"/>
            <w:right w:w="28" w:type="dxa"/>
          </w:tblCellMar>
        </w:tblPrEx>
        <w:trPr>
          <w:trHeight w:val="340" w:hRule="atLeast"/>
        </w:trPr>
        <w:tc>
          <w:tcPr>
            <w:tcW w:w="270" w:type="pct"/>
            <w:vMerge w:val="continue"/>
            <w:vAlign w:val="center"/>
          </w:tcPr>
          <w:p w14:paraId="30D6DA69">
            <w:pPr>
              <w:pStyle w:val="286"/>
              <w:adjustRightInd w:val="0"/>
              <w:snapToGrid w:val="0"/>
              <w:spacing w:line="300" w:lineRule="exact"/>
              <w:rPr>
                <w:rFonts w:hint="eastAsia" w:cs="宋体"/>
                <w:color w:val="000000" w:themeColor="text1"/>
                <w:sz w:val="21"/>
                <w14:textFill>
                  <w14:solidFill>
                    <w14:schemeClr w14:val="tx1"/>
                  </w14:solidFill>
                </w14:textFill>
              </w:rPr>
            </w:pPr>
          </w:p>
        </w:tc>
        <w:tc>
          <w:tcPr>
            <w:tcW w:w="472" w:type="pct"/>
            <w:vAlign w:val="center"/>
          </w:tcPr>
          <w:p w14:paraId="3D85B46E">
            <w:pPr>
              <w:pStyle w:val="286"/>
              <w:adjustRightInd w:val="0"/>
              <w:snapToGrid w:val="0"/>
              <w:spacing w:line="300" w:lineRule="exact"/>
              <w:rPr>
                <w:rFonts w:hint="eastAsia" w:cs="宋体"/>
                <w:color w:val="000000" w:themeColor="text1"/>
                <w:sz w:val="21"/>
                <w14:textFill>
                  <w14:solidFill>
                    <w14:schemeClr w14:val="tx1"/>
                  </w14:solidFill>
                </w14:textFill>
              </w:rPr>
            </w:pPr>
            <w:r>
              <w:rPr>
                <w:rFonts w:hint="eastAsia" w:cs="宋体"/>
                <w:color w:val="000000" w:themeColor="text1"/>
                <w:sz w:val="21"/>
                <w14:textFill>
                  <w14:solidFill>
                    <w14:schemeClr w14:val="tx1"/>
                  </w14:solidFill>
                </w14:textFill>
              </w:rPr>
              <w:t>固体</w:t>
            </w:r>
          </w:p>
          <w:p w14:paraId="4D67A1F9">
            <w:pPr>
              <w:pStyle w:val="286"/>
              <w:adjustRightInd w:val="0"/>
              <w:snapToGrid w:val="0"/>
              <w:spacing w:line="300" w:lineRule="exact"/>
              <w:rPr>
                <w:rFonts w:hint="eastAsia" w:cs="宋体"/>
                <w:color w:val="000000" w:themeColor="text1"/>
                <w:sz w:val="21"/>
                <w14:textFill>
                  <w14:solidFill>
                    <w14:schemeClr w14:val="tx1"/>
                  </w14:solidFill>
                </w14:textFill>
              </w:rPr>
            </w:pPr>
            <w:r>
              <w:rPr>
                <w:rFonts w:hint="eastAsia" w:cs="宋体"/>
                <w:color w:val="000000" w:themeColor="text1"/>
                <w:sz w:val="21"/>
                <w14:textFill>
                  <w14:solidFill>
                    <w14:schemeClr w14:val="tx1"/>
                  </w14:solidFill>
                </w14:textFill>
              </w:rPr>
              <w:t>废物</w:t>
            </w:r>
          </w:p>
        </w:tc>
        <w:tc>
          <w:tcPr>
            <w:tcW w:w="1044" w:type="pct"/>
            <w:vAlign w:val="center"/>
          </w:tcPr>
          <w:p w14:paraId="1BBDA846">
            <w:pPr>
              <w:pStyle w:val="286"/>
              <w:adjustRightInd w:val="0"/>
              <w:snapToGrid w:val="0"/>
              <w:spacing w:line="300" w:lineRule="exact"/>
              <w:rPr>
                <w:rFonts w:hint="eastAsia" w:cs="宋体"/>
                <w:color w:val="000000" w:themeColor="text1"/>
                <w:spacing w:val="-4"/>
                <w:sz w:val="21"/>
                <w14:textFill>
                  <w14:solidFill>
                    <w14:schemeClr w14:val="tx1"/>
                  </w14:solidFill>
                </w14:textFill>
              </w:rPr>
            </w:pPr>
            <w:r>
              <w:rPr>
                <w:rFonts w:hint="eastAsia" w:cs="宋体"/>
                <w:color w:val="000000" w:themeColor="text1"/>
                <w:sz w:val="21"/>
                <w14:textFill>
                  <w14:solidFill>
                    <w14:schemeClr w14:val="tx1"/>
                  </w14:solidFill>
                </w14:textFill>
              </w:rPr>
              <w:t>建筑垃圾</w:t>
            </w:r>
          </w:p>
        </w:tc>
        <w:tc>
          <w:tcPr>
            <w:tcW w:w="2667" w:type="pct"/>
            <w:vAlign w:val="center"/>
          </w:tcPr>
          <w:p w14:paraId="55ED3E99">
            <w:pPr>
              <w:pStyle w:val="286"/>
              <w:adjustRightInd w:val="0"/>
              <w:snapToGrid w:val="0"/>
              <w:spacing w:line="300" w:lineRule="exact"/>
              <w:rPr>
                <w:rFonts w:hint="eastAsia" w:cs="宋体"/>
                <w:color w:val="000000" w:themeColor="text1"/>
                <w:spacing w:val="-4"/>
                <w:sz w:val="21"/>
                <w14:textFill>
                  <w14:solidFill>
                    <w14:schemeClr w14:val="tx1"/>
                  </w14:solidFill>
                </w14:textFill>
              </w:rPr>
            </w:pPr>
            <w:r>
              <w:rPr>
                <w:rFonts w:hint="eastAsia" w:cs="宋体"/>
                <w:color w:val="000000" w:themeColor="text1"/>
                <w:sz w:val="21"/>
                <w14:textFill>
                  <w14:solidFill>
                    <w14:schemeClr w14:val="tx1"/>
                  </w14:solidFill>
                </w14:textFill>
              </w:rPr>
              <w:t>送至当地建筑垃圾填埋场</w:t>
            </w:r>
          </w:p>
        </w:tc>
        <w:tc>
          <w:tcPr>
            <w:tcW w:w="547" w:type="pct"/>
            <w:gridSpan w:val="2"/>
            <w:vAlign w:val="center"/>
          </w:tcPr>
          <w:p w14:paraId="09876421">
            <w:pPr>
              <w:pStyle w:val="286"/>
              <w:adjustRightInd w:val="0"/>
              <w:snapToGrid w:val="0"/>
              <w:spacing w:line="300" w:lineRule="exact"/>
              <w:rPr>
                <w:rFonts w:hint="eastAsia" w:cs="宋体"/>
                <w:color w:val="000000" w:themeColor="text1"/>
                <w:sz w:val="21"/>
                <w14:textFill>
                  <w14:solidFill>
                    <w14:schemeClr w14:val="tx1"/>
                  </w14:solidFill>
                </w14:textFill>
              </w:rPr>
            </w:pPr>
            <w:r>
              <w:rPr>
                <w:rFonts w:hint="eastAsia" w:cs="宋体"/>
                <w:color w:val="000000" w:themeColor="text1"/>
                <w:sz w:val="21"/>
                <w14:textFill>
                  <w14:solidFill>
                    <w14:schemeClr w14:val="tx1"/>
                  </w14:solidFill>
                </w14:textFill>
              </w:rPr>
              <w:t>1</w:t>
            </w:r>
          </w:p>
        </w:tc>
      </w:tr>
      <w:tr w14:paraId="1016E862">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28" w:type="dxa"/>
            <w:bottom w:w="0" w:type="dxa"/>
            <w:right w:w="28" w:type="dxa"/>
          </w:tblCellMar>
        </w:tblPrEx>
        <w:trPr>
          <w:trHeight w:val="340" w:hRule="atLeast"/>
        </w:trPr>
        <w:tc>
          <w:tcPr>
            <w:tcW w:w="270" w:type="pct"/>
            <w:vMerge w:val="restart"/>
            <w:vAlign w:val="center"/>
          </w:tcPr>
          <w:p w14:paraId="1A24678B">
            <w:pPr>
              <w:pStyle w:val="286"/>
              <w:adjustRightInd w:val="0"/>
              <w:snapToGrid w:val="0"/>
              <w:spacing w:line="300" w:lineRule="exact"/>
              <w:rPr>
                <w:rFonts w:hint="eastAsia" w:cs="宋体"/>
                <w:color w:val="000000" w:themeColor="text1"/>
                <w:sz w:val="21"/>
                <w14:textFill>
                  <w14:solidFill>
                    <w14:schemeClr w14:val="tx1"/>
                  </w14:solidFill>
                </w14:textFill>
              </w:rPr>
            </w:pPr>
            <w:r>
              <w:rPr>
                <w:rFonts w:hint="eastAsia" w:cs="宋体"/>
                <w:color w:val="000000" w:themeColor="text1"/>
                <w:sz w:val="21"/>
                <w14:textFill>
                  <w14:solidFill>
                    <w14:schemeClr w14:val="tx1"/>
                  </w14:solidFill>
                </w14:textFill>
              </w:rPr>
              <w:t>运</w:t>
            </w:r>
          </w:p>
          <w:p w14:paraId="01A50C27">
            <w:pPr>
              <w:pStyle w:val="286"/>
              <w:adjustRightInd w:val="0"/>
              <w:snapToGrid w:val="0"/>
              <w:spacing w:line="300" w:lineRule="exact"/>
              <w:rPr>
                <w:rFonts w:hint="eastAsia" w:cs="宋体"/>
                <w:color w:val="000000" w:themeColor="text1"/>
                <w:sz w:val="21"/>
                <w14:textFill>
                  <w14:solidFill>
                    <w14:schemeClr w14:val="tx1"/>
                  </w14:solidFill>
                </w14:textFill>
              </w:rPr>
            </w:pPr>
            <w:r>
              <w:rPr>
                <w:rFonts w:hint="eastAsia" w:cs="宋体"/>
                <w:color w:val="000000" w:themeColor="text1"/>
                <w:sz w:val="21"/>
                <w14:textFill>
                  <w14:solidFill>
                    <w14:schemeClr w14:val="tx1"/>
                  </w14:solidFill>
                </w14:textFill>
              </w:rPr>
              <w:t>营</w:t>
            </w:r>
          </w:p>
          <w:p w14:paraId="33CFE0AD">
            <w:pPr>
              <w:pStyle w:val="286"/>
              <w:adjustRightInd w:val="0"/>
              <w:snapToGrid w:val="0"/>
              <w:spacing w:line="300" w:lineRule="exact"/>
              <w:rPr>
                <w:rFonts w:hint="eastAsia" w:cs="宋体"/>
                <w:color w:val="000000" w:themeColor="text1"/>
                <w:sz w:val="21"/>
                <w14:textFill>
                  <w14:solidFill>
                    <w14:schemeClr w14:val="tx1"/>
                  </w14:solidFill>
                </w14:textFill>
              </w:rPr>
            </w:pPr>
            <w:r>
              <w:rPr>
                <w:rFonts w:hint="eastAsia" w:cs="宋体"/>
                <w:color w:val="000000" w:themeColor="text1"/>
                <w:sz w:val="21"/>
                <w14:textFill>
                  <w14:solidFill>
                    <w14:schemeClr w14:val="tx1"/>
                  </w14:solidFill>
                </w14:textFill>
              </w:rPr>
              <w:t>期</w:t>
            </w:r>
          </w:p>
        </w:tc>
        <w:tc>
          <w:tcPr>
            <w:tcW w:w="472" w:type="pct"/>
            <w:vMerge w:val="restart"/>
            <w:vAlign w:val="center"/>
          </w:tcPr>
          <w:p w14:paraId="48EB22A4">
            <w:pPr>
              <w:pStyle w:val="286"/>
              <w:adjustRightInd w:val="0"/>
              <w:snapToGrid w:val="0"/>
              <w:spacing w:line="300" w:lineRule="exact"/>
              <w:rPr>
                <w:rFonts w:hint="eastAsia" w:cs="宋体"/>
                <w:color w:val="000000" w:themeColor="text1"/>
                <w:sz w:val="21"/>
                <w14:textFill>
                  <w14:solidFill>
                    <w14:schemeClr w14:val="tx1"/>
                  </w14:solidFill>
                </w14:textFill>
              </w:rPr>
            </w:pPr>
            <w:r>
              <w:rPr>
                <w:rFonts w:hint="eastAsia" w:cs="宋体"/>
                <w:color w:val="000000" w:themeColor="text1"/>
                <w:sz w:val="21"/>
                <w14:textFill>
                  <w14:solidFill>
                    <w14:schemeClr w14:val="tx1"/>
                  </w14:solidFill>
                </w14:textFill>
              </w:rPr>
              <w:t>废气</w:t>
            </w:r>
          </w:p>
        </w:tc>
        <w:tc>
          <w:tcPr>
            <w:tcW w:w="1044" w:type="pct"/>
            <w:vAlign w:val="center"/>
          </w:tcPr>
          <w:p w14:paraId="7F9CD217">
            <w:pPr>
              <w:pStyle w:val="286"/>
              <w:adjustRightInd w:val="0"/>
              <w:snapToGrid w:val="0"/>
              <w:spacing w:line="300" w:lineRule="exact"/>
              <w:rPr>
                <w:rFonts w:hint="eastAsia" w:cs="宋体"/>
                <w:color w:val="000000" w:themeColor="text1"/>
                <w:sz w:val="21"/>
                <w14:textFill>
                  <w14:solidFill>
                    <w14:schemeClr w14:val="tx1"/>
                  </w14:solidFill>
                </w14:textFill>
              </w:rPr>
            </w:pPr>
            <w:r>
              <w:rPr>
                <w:rFonts w:hint="eastAsia" w:cs="宋体"/>
                <w:color w:val="000000" w:themeColor="text1"/>
                <w:sz w:val="21"/>
                <w14:textFill>
                  <w14:solidFill>
                    <w14:schemeClr w14:val="tx1"/>
                  </w14:solidFill>
                </w14:textFill>
              </w:rPr>
              <w:t>无组织挥发烃类</w:t>
            </w:r>
          </w:p>
        </w:tc>
        <w:tc>
          <w:tcPr>
            <w:tcW w:w="2667" w:type="pct"/>
            <w:vAlign w:val="center"/>
          </w:tcPr>
          <w:p w14:paraId="3E34C314">
            <w:pPr>
              <w:pStyle w:val="286"/>
              <w:adjustRightInd w:val="0"/>
              <w:snapToGrid w:val="0"/>
              <w:spacing w:line="300" w:lineRule="exact"/>
              <w:rPr>
                <w:rFonts w:hint="eastAsia" w:cs="宋体"/>
                <w:color w:val="000000" w:themeColor="text1"/>
                <w:sz w:val="21"/>
                <w14:textFill>
                  <w14:solidFill>
                    <w14:schemeClr w14:val="tx1"/>
                  </w14:solidFill>
                </w14:textFill>
              </w:rPr>
            </w:pPr>
            <w:r>
              <w:rPr>
                <w:rFonts w:hint="eastAsia" w:cs="宋体"/>
                <w:color w:val="000000" w:themeColor="text1"/>
                <w:sz w:val="21"/>
                <w14:textFill>
                  <w14:solidFill>
                    <w14:schemeClr w14:val="tx1"/>
                  </w14:solidFill>
                </w14:textFill>
              </w:rPr>
              <w:t>选用技术质量可靠的设备、仪表控制、阀门，加强巡检</w:t>
            </w:r>
          </w:p>
        </w:tc>
        <w:tc>
          <w:tcPr>
            <w:tcW w:w="547" w:type="pct"/>
            <w:gridSpan w:val="2"/>
            <w:vAlign w:val="center"/>
          </w:tcPr>
          <w:p w14:paraId="092CA086">
            <w:pPr>
              <w:pStyle w:val="286"/>
              <w:adjustRightInd w:val="0"/>
              <w:snapToGrid w:val="0"/>
              <w:spacing w:line="300" w:lineRule="exact"/>
              <w:rPr>
                <w:rFonts w:hint="eastAsia" w:cs="宋体"/>
                <w:color w:val="000000" w:themeColor="text1"/>
                <w:sz w:val="21"/>
                <w14:textFill>
                  <w14:solidFill>
                    <w14:schemeClr w14:val="tx1"/>
                  </w14:solidFill>
                </w14:textFill>
              </w:rPr>
            </w:pPr>
            <w:r>
              <w:rPr>
                <w:rFonts w:hint="eastAsia" w:cs="宋体"/>
                <w:color w:val="000000" w:themeColor="text1"/>
                <w:sz w:val="21"/>
                <w14:textFill>
                  <w14:solidFill>
                    <w14:schemeClr w14:val="tx1"/>
                  </w14:solidFill>
                </w14:textFill>
              </w:rPr>
              <w:t>30</w:t>
            </w:r>
          </w:p>
        </w:tc>
      </w:tr>
      <w:tr w14:paraId="48B6749D">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28" w:type="dxa"/>
            <w:bottom w:w="0" w:type="dxa"/>
            <w:right w:w="28" w:type="dxa"/>
          </w:tblCellMar>
        </w:tblPrEx>
        <w:trPr>
          <w:trHeight w:val="340" w:hRule="atLeast"/>
        </w:trPr>
        <w:tc>
          <w:tcPr>
            <w:tcW w:w="270" w:type="pct"/>
            <w:vMerge w:val="continue"/>
            <w:vAlign w:val="center"/>
          </w:tcPr>
          <w:p w14:paraId="59DDB7D0">
            <w:pPr>
              <w:pStyle w:val="286"/>
              <w:adjustRightInd w:val="0"/>
              <w:snapToGrid w:val="0"/>
              <w:spacing w:line="300" w:lineRule="exact"/>
              <w:rPr>
                <w:rFonts w:hint="eastAsia" w:cs="宋体"/>
                <w:color w:val="000000" w:themeColor="text1"/>
                <w:sz w:val="21"/>
                <w14:textFill>
                  <w14:solidFill>
                    <w14:schemeClr w14:val="tx1"/>
                  </w14:solidFill>
                </w14:textFill>
              </w:rPr>
            </w:pPr>
          </w:p>
        </w:tc>
        <w:tc>
          <w:tcPr>
            <w:tcW w:w="472" w:type="pct"/>
            <w:vMerge w:val="continue"/>
            <w:vAlign w:val="center"/>
          </w:tcPr>
          <w:p w14:paraId="29E199F4">
            <w:pPr>
              <w:pStyle w:val="286"/>
              <w:adjustRightInd w:val="0"/>
              <w:snapToGrid w:val="0"/>
              <w:spacing w:line="300" w:lineRule="exact"/>
              <w:rPr>
                <w:rFonts w:hint="eastAsia" w:cs="宋体"/>
                <w:color w:val="000000" w:themeColor="text1"/>
                <w:sz w:val="21"/>
                <w14:textFill>
                  <w14:solidFill>
                    <w14:schemeClr w14:val="tx1"/>
                  </w14:solidFill>
                </w14:textFill>
              </w:rPr>
            </w:pPr>
          </w:p>
        </w:tc>
        <w:tc>
          <w:tcPr>
            <w:tcW w:w="1044" w:type="pct"/>
            <w:vAlign w:val="center"/>
          </w:tcPr>
          <w:p w14:paraId="4EDBF4FD">
            <w:pPr>
              <w:pStyle w:val="286"/>
              <w:adjustRightInd w:val="0"/>
              <w:snapToGrid w:val="0"/>
              <w:spacing w:line="300" w:lineRule="exact"/>
              <w:rPr>
                <w:rFonts w:hint="eastAsia" w:cs="宋体"/>
                <w:color w:val="000000" w:themeColor="text1"/>
                <w:sz w:val="21"/>
                <w14:textFill>
                  <w14:solidFill>
                    <w14:schemeClr w14:val="tx1"/>
                  </w14:solidFill>
                </w14:textFill>
              </w:rPr>
            </w:pPr>
            <w:r>
              <w:rPr>
                <w:rFonts w:hint="eastAsia" w:cs="宋体"/>
                <w:color w:val="000000" w:themeColor="text1"/>
                <w:sz w:val="21"/>
                <w14:textFill>
                  <w14:solidFill>
                    <w14:schemeClr w14:val="tx1"/>
                  </w14:solidFill>
                </w14:textFill>
              </w:rPr>
              <w:t>无组织硫化氢</w:t>
            </w:r>
          </w:p>
        </w:tc>
        <w:tc>
          <w:tcPr>
            <w:tcW w:w="2667" w:type="pct"/>
            <w:vAlign w:val="center"/>
          </w:tcPr>
          <w:p w14:paraId="67527575">
            <w:pPr>
              <w:pStyle w:val="286"/>
              <w:adjustRightInd w:val="0"/>
              <w:snapToGrid w:val="0"/>
              <w:spacing w:line="300" w:lineRule="exact"/>
              <w:rPr>
                <w:rFonts w:hint="eastAsia" w:cs="宋体"/>
                <w:color w:val="000000" w:themeColor="text1"/>
                <w:sz w:val="21"/>
                <w14:textFill>
                  <w14:solidFill>
                    <w14:schemeClr w14:val="tx1"/>
                  </w14:solidFill>
                </w14:textFill>
              </w:rPr>
            </w:pPr>
            <w:r>
              <w:rPr>
                <w:rFonts w:hint="eastAsia" w:cs="宋体"/>
                <w:color w:val="000000" w:themeColor="text1"/>
                <w:sz w:val="21"/>
                <w14:textFill>
                  <w14:solidFill>
                    <w14:schemeClr w14:val="tx1"/>
                  </w14:solidFill>
                </w14:textFill>
              </w:rPr>
              <w:t>设置除硫加药装置</w:t>
            </w:r>
          </w:p>
        </w:tc>
        <w:tc>
          <w:tcPr>
            <w:tcW w:w="547" w:type="pct"/>
            <w:gridSpan w:val="2"/>
            <w:vAlign w:val="center"/>
          </w:tcPr>
          <w:p w14:paraId="61710AC1">
            <w:pPr>
              <w:pStyle w:val="286"/>
              <w:adjustRightInd w:val="0"/>
              <w:snapToGrid w:val="0"/>
              <w:spacing w:line="300" w:lineRule="exact"/>
              <w:rPr>
                <w:rFonts w:hint="eastAsia" w:cs="宋体"/>
                <w:color w:val="000000" w:themeColor="text1"/>
                <w:sz w:val="21"/>
                <w14:textFill>
                  <w14:solidFill>
                    <w14:schemeClr w14:val="tx1"/>
                  </w14:solidFill>
                </w14:textFill>
              </w:rPr>
            </w:pPr>
            <w:r>
              <w:rPr>
                <w:rFonts w:hint="eastAsia" w:cs="宋体"/>
                <w:color w:val="000000" w:themeColor="text1"/>
                <w:sz w:val="21"/>
                <w14:textFill>
                  <w14:solidFill>
                    <w14:schemeClr w14:val="tx1"/>
                  </w14:solidFill>
                </w14:textFill>
              </w:rPr>
              <w:t>90</w:t>
            </w:r>
          </w:p>
        </w:tc>
      </w:tr>
      <w:tr w14:paraId="2C90492E">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28" w:type="dxa"/>
            <w:bottom w:w="0" w:type="dxa"/>
            <w:right w:w="28" w:type="dxa"/>
          </w:tblCellMar>
        </w:tblPrEx>
        <w:trPr>
          <w:trHeight w:val="340" w:hRule="atLeast"/>
        </w:trPr>
        <w:tc>
          <w:tcPr>
            <w:tcW w:w="270" w:type="pct"/>
            <w:vMerge w:val="continue"/>
            <w:vAlign w:val="center"/>
          </w:tcPr>
          <w:p w14:paraId="1AA49776">
            <w:pPr>
              <w:pStyle w:val="286"/>
              <w:adjustRightInd w:val="0"/>
              <w:snapToGrid w:val="0"/>
              <w:spacing w:line="300" w:lineRule="exact"/>
              <w:rPr>
                <w:rFonts w:hint="eastAsia" w:cs="宋体"/>
                <w:color w:val="000000" w:themeColor="text1"/>
                <w:sz w:val="21"/>
                <w14:textFill>
                  <w14:solidFill>
                    <w14:schemeClr w14:val="tx1"/>
                  </w14:solidFill>
                </w14:textFill>
              </w:rPr>
            </w:pPr>
          </w:p>
        </w:tc>
        <w:tc>
          <w:tcPr>
            <w:tcW w:w="472" w:type="pct"/>
            <w:vAlign w:val="center"/>
          </w:tcPr>
          <w:p w14:paraId="375336FA">
            <w:pPr>
              <w:pStyle w:val="286"/>
              <w:adjustRightInd w:val="0"/>
              <w:snapToGrid w:val="0"/>
              <w:spacing w:line="300" w:lineRule="exact"/>
              <w:rPr>
                <w:rFonts w:hint="eastAsia" w:cs="宋体"/>
                <w:color w:val="000000" w:themeColor="text1"/>
                <w:sz w:val="21"/>
                <w14:textFill>
                  <w14:solidFill>
                    <w14:schemeClr w14:val="tx1"/>
                  </w14:solidFill>
                </w14:textFill>
              </w:rPr>
            </w:pPr>
            <w:r>
              <w:rPr>
                <w:rFonts w:hint="eastAsia" w:cs="宋体"/>
                <w:color w:val="000000" w:themeColor="text1"/>
                <w:sz w:val="21"/>
                <w14:textFill>
                  <w14:solidFill>
                    <w14:schemeClr w14:val="tx1"/>
                  </w14:solidFill>
                </w14:textFill>
              </w:rPr>
              <w:t>废水</w:t>
            </w:r>
          </w:p>
        </w:tc>
        <w:tc>
          <w:tcPr>
            <w:tcW w:w="1044" w:type="pct"/>
            <w:vAlign w:val="center"/>
          </w:tcPr>
          <w:p w14:paraId="0E70D5A3">
            <w:pPr>
              <w:pStyle w:val="286"/>
              <w:adjustRightInd w:val="0"/>
              <w:snapToGrid w:val="0"/>
              <w:spacing w:line="300" w:lineRule="exact"/>
              <w:rPr>
                <w:rFonts w:hint="eastAsia" w:cs="宋体"/>
                <w:color w:val="000000" w:themeColor="text1"/>
                <w:sz w:val="21"/>
                <w14:textFill>
                  <w14:solidFill>
                    <w14:schemeClr w14:val="tx1"/>
                  </w14:solidFill>
                </w14:textFill>
              </w:rPr>
            </w:pPr>
            <w:r>
              <w:rPr>
                <w:rFonts w:hint="eastAsia" w:cs="宋体"/>
                <w:color w:val="000000" w:themeColor="text1"/>
                <w:sz w:val="21"/>
                <w14:textFill>
                  <w14:solidFill>
                    <w14:schemeClr w14:val="tx1"/>
                  </w14:solidFill>
                </w14:textFill>
              </w:rPr>
              <w:t>洗井废水和井下作业废液</w:t>
            </w:r>
          </w:p>
        </w:tc>
        <w:tc>
          <w:tcPr>
            <w:tcW w:w="2667" w:type="pct"/>
            <w:vAlign w:val="center"/>
          </w:tcPr>
          <w:p w14:paraId="19C08644">
            <w:pPr>
              <w:pStyle w:val="286"/>
              <w:adjustRightInd w:val="0"/>
              <w:snapToGrid w:val="0"/>
              <w:spacing w:line="300" w:lineRule="exact"/>
              <w:rPr>
                <w:rFonts w:hint="eastAsia" w:cs="宋体"/>
                <w:color w:val="000000" w:themeColor="text1"/>
                <w:sz w:val="21"/>
                <w14:textFill>
                  <w14:solidFill>
                    <w14:schemeClr w14:val="tx1"/>
                  </w14:solidFill>
                </w14:textFill>
              </w:rPr>
            </w:pPr>
            <w:r>
              <w:rPr>
                <w:rFonts w:hint="eastAsia" w:cs="宋体"/>
                <w:color w:val="000000" w:themeColor="text1"/>
                <w:sz w:val="21"/>
                <w14:textFill>
                  <w14:solidFill>
                    <w14:schemeClr w14:val="tx1"/>
                  </w14:solidFill>
                </w14:textFill>
              </w:rPr>
              <w:t>送至压裂返排液处理装置处理</w:t>
            </w:r>
          </w:p>
        </w:tc>
        <w:tc>
          <w:tcPr>
            <w:tcW w:w="547" w:type="pct"/>
            <w:gridSpan w:val="2"/>
            <w:vAlign w:val="center"/>
          </w:tcPr>
          <w:p w14:paraId="09EB8D16">
            <w:pPr>
              <w:pStyle w:val="286"/>
              <w:adjustRightInd w:val="0"/>
              <w:snapToGrid w:val="0"/>
              <w:spacing w:line="300" w:lineRule="exact"/>
              <w:rPr>
                <w:rFonts w:hint="eastAsia" w:cs="宋体"/>
                <w:color w:val="000000" w:themeColor="text1"/>
                <w:sz w:val="21"/>
                <w14:textFill>
                  <w14:solidFill>
                    <w14:schemeClr w14:val="tx1"/>
                  </w14:solidFill>
                </w14:textFill>
              </w:rPr>
            </w:pPr>
            <w:r>
              <w:rPr>
                <w:rFonts w:hint="eastAsia" w:cs="宋体"/>
                <w:color w:val="000000" w:themeColor="text1"/>
                <w:sz w:val="21"/>
                <w14:textFill>
                  <w14:solidFill>
                    <w14:schemeClr w14:val="tx1"/>
                  </w14:solidFill>
                </w14:textFill>
              </w:rPr>
              <w:t>5</w:t>
            </w:r>
          </w:p>
        </w:tc>
      </w:tr>
      <w:tr w14:paraId="613B2E26">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28" w:type="dxa"/>
            <w:bottom w:w="0" w:type="dxa"/>
            <w:right w:w="28" w:type="dxa"/>
          </w:tblCellMar>
        </w:tblPrEx>
        <w:trPr>
          <w:trHeight w:val="340" w:hRule="atLeast"/>
        </w:trPr>
        <w:tc>
          <w:tcPr>
            <w:tcW w:w="270" w:type="pct"/>
            <w:vMerge w:val="continue"/>
            <w:vAlign w:val="center"/>
          </w:tcPr>
          <w:p w14:paraId="3654286D">
            <w:pPr>
              <w:pStyle w:val="286"/>
              <w:adjustRightInd w:val="0"/>
              <w:snapToGrid w:val="0"/>
              <w:spacing w:line="300" w:lineRule="exact"/>
              <w:rPr>
                <w:rFonts w:hint="eastAsia" w:cs="宋体"/>
                <w:color w:val="000000" w:themeColor="text1"/>
                <w:sz w:val="21"/>
                <w14:textFill>
                  <w14:solidFill>
                    <w14:schemeClr w14:val="tx1"/>
                  </w14:solidFill>
                </w14:textFill>
              </w:rPr>
            </w:pPr>
          </w:p>
        </w:tc>
        <w:tc>
          <w:tcPr>
            <w:tcW w:w="472" w:type="pct"/>
            <w:vAlign w:val="center"/>
          </w:tcPr>
          <w:p w14:paraId="559FB8B6">
            <w:pPr>
              <w:adjustRightInd w:val="0"/>
              <w:snapToGrid w:val="0"/>
              <w:spacing w:line="300" w:lineRule="exact"/>
              <w:jc w:val="center"/>
              <w:rPr>
                <w:rFonts w:hint="eastAsia" w:ascii="宋体" w:hAnsi="宋体" w:cs="宋体"/>
                <w:color w:val="000000" w:themeColor="text1"/>
                <w:spacing w:val="4"/>
                <w:szCs w:val="21"/>
                <w14:textFill>
                  <w14:solidFill>
                    <w14:schemeClr w14:val="tx1"/>
                  </w14:solidFill>
                </w14:textFill>
              </w:rPr>
            </w:pPr>
            <w:r>
              <w:rPr>
                <w:rFonts w:hint="eastAsia" w:ascii="宋体" w:hAnsi="宋体" w:cs="宋体"/>
                <w:color w:val="000000" w:themeColor="text1"/>
                <w:spacing w:val="4"/>
                <w:szCs w:val="21"/>
                <w:lang w:bidi="ar"/>
                <w14:textFill>
                  <w14:solidFill>
                    <w14:schemeClr w14:val="tx1"/>
                  </w14:solidFill>
                </w14:textFill>
              </w:rPr>
              <w:t>噪声</w:t>
            </w:r>
          </w:p>
        </w:tc>
        <w:tc>
          <w:tcPr>
            <w:tcW w:w="1044" w:type="pct"/>
            <w:vAlign w:val="center"/>
          </w:tcPr>
          <w:p w14:paraId="6B7DF329">
            <w:pPr>
              <w:adjustRightInd w:val="0"/>
              <w:snapToGrid w:val="0"/>
              <w:spacing w:line="300" w:lineRule="exact"/>
              <w:jc w:val="center"/>
              <w:rPr>
                <w:rFonts w:hint="eastAsia" w:ascii="宋体" w:hAnsi="宋体" w:cs="宋体"/>
                <w:color w:val="000000" w:themeColor="text1"/>
                <w:spacing w:val="4"/>
                <w:szCs w:val="21"/>
                <w14:textFill>
                  <w14:solidFill>
                    <w14:schemeClr w14:val="tx1"/>
                  </w14:solidFill>
                </w14:textFill>
              </w:rPr>
            </w:pPr>
            <w:r>
              <w:rPr>
                <w:rFonts w:hint="eastAsia" w:ascii="宋体" w:hAnsi="宋体" w:cs="宋体"/>
                <w:color w:val="000000" w:themeColor="text1"/>
                <w:spacing w:val="4"/>
                <w:szCs w:val="21"/>
                <w:lang w:bidi="ar"/>
                <w14:textFill>
                  <w14:solidFill>
                    <w14:schemeClr w14:val="tx1"/>
                  </w14:solidFill>
                </w14:textFill>
              </w:rPr>
              <w:t>站场噪声</w:t>
            </w:r>
          </w:p>
        </w:tc>
        <w:tc>
          <w:tcPr>
            <w:tcW w:w="2667" w:type="pct"/>
            <w:vAlign w:val="center"/>
          </w:tcPr>
          <w:p w14:paraId="59E64BF4">
            <w:pPr>
              <w:adjustRightInd w:val="0"/>
              <w:snapToGrid w:val="0"/>
              <w:spacing w:line="300" w:lineRule="exact"/>
              <w:jc w:val="center"/>
              <w:rPr>
                <w:rFonts w:hint="eastAsia" w:ascii="宋体" w:hAnsi="宋体" w:cs="宋体"/>
                <w:color w:val="000000" w:themeColor="text1"/>
                <w:spacing w:val="4"/>
                <w:szCs w:val="21"/>
                <w14:textFill>
                  <w14:solidFill>
                    <w14:schemeClr w14:val="tx1"/>
                  </w14:solidFill>
                </w14:textFill>
              </w:rPr>
            </w:pPr>
            <w:r>
              <w:rPr>
                <w:rFonts w:hint="eastAsia" w:ascii="宋体" w:hAnsi="宋体" w:cs="宋体"/>
                <w:color w:val="000000" w:themeColor="text1"/>
                <w:szCs w:val="21"/>
                <w:lang w:bidi="ar"/>
                <w14:textFill>
                  <w14:solidFill>
                    <w14:schemeClr w14:val="tx1"/>
                  </w14:solidFill>
                </w14:textFill>
              </w:rPr>
              <w:t>采用低噪声设备、基础减振</w:t>
            </w:r>
          </w:p>
        </w:tc>
        <w:tc>
          <w:tcPr>
            <w:tcW w:w="547" w:type="pct"/>
            <w:gridSpan w:val="2"/>
            <w:vAlign w:val="center"/>
          </w:tcPr>
          <w:p w14:paraId="72FCA462">
            <w:pPr>
              <w:adjustRightInd w:val="0"/>
              <w:snapToGrid w:val="0"/>
              <w:spacing w:line="300" w:lineRule="exact"/>
              <w:jc w:val="center"/>
              <w:rPr>
                <w:rFonts w:hint="eastAsia" w:ascii="宋体" w:hAnsi="宋体" w:cs="宋体"/>
                <w:color w:val="000000" w:themeColor="text1"/>
                <w:spacing w:val="4"/>
                <w:szCs w:val="21"/>
                <w14:textFill>
                  <w14:solidFill>
                    <w14:schemeClr w14:val="tx1"/>
                  </w14:solidFill>
                </w14:textFill>
              </w:rPr>
            </w:pPr>
            <w:r>
              <w:rPr>
                <w:rFonts w:hint="eastAsia" w:ascii="宋体" w:hAnsi="宋体" w:cs="宋体"/>
                <w:color w:val="000000" w:themeColor="text1"/>
                <w:spacing w:val="4"/>
                <w:szCs w:val="21"/>
                <w14:textFill>
                  <w14:solidFill>
                    <w14:schemeClr w14:val="tx1"/>
                  </w14:solidFill>
                </w14:textFill>
              </w:rPr>
              <w:t>10</w:t>
            </w:r>
          </w:p>
        </w:tc>
      </w:tr>
      <w:tr w14:paraId="3C3098D6">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28" w:type="dxa"/>
            <w:bottom w:w="0" w:type="dxa"/>
            <w:right w:w="28" w:type="dxa"/>
          </w:tblCellMar>
        </w:tblPrEx>
        <w:trPr>
          <w:trHeight w:val="340" w:hRule="atLeast"/>
        </w:trPr>
        <w:tc>
          <w:tcPr>
            <w:tcW w:w="270" w:type="pct"/>
            <w:vMerge w:val="continue"/>
            <w:vAlign w:val="center"/>
          </w:tcPr>
          <w:p w14:paraId="36664D09">
            <w:pPr>
              <w:pStyle w:val="286"/>
              <w:adjustRightInd w:val="0"/>
              <w:snapToGrid w:val="0"/>
              <w:spacing w:line="300" w:lineRule="exact"/>
              <w:rPr>
                <w:rFonts w:hint="eastAsia" w:cs="宋体"/>
                <w:color w:val="000000" w:themeColor="text1"/>
                <w:sz w:val="21"/>
                <w14:textFill>
                  <w14:solidFill>
                    <w14:schemeClr w14:val="tx1"/>
                  </w14:solidFill>
                </w14:textFill>
              </w:rPr>
            </w:pPr>
          </w:p>
        </w:tc>
        <w:tc>
          <w:tcPr>
            <w:tcW w:w="472" w:type="pct"/>
            <w:vMerge w:val="restart"/>
            <w:vAlign w:val="center"/>
          </w:tcPr>
          <w:p w14:paraId="0DA614F6">
            <w:pPr>
              <w:adjustRightInd w:val="0"/>
              <w:snapToGrid w:val="0"/>
              <w:spacing w:line="300" w:lineRule="exact"/>
              <w:jc w:val="center"/>
              <w:rPr>
                <w:rFonts w:hint="eastAsia" w:ascii="宋体" w:hAnsi="宋体" w:cs="宋体"/>
                <w:color w:val="000000" w:themeColor="text1"/>
                <w:spacing w:val="4"/>
                <w:szCs w:val="21"/>
                <w:lang w:bidi="ar"/>
                <w14:textFill>
                  <w14:solidFill>
                    <w14:schemeClr w14:val="tx1"/>
                  </w14:solidFill>
                </w14:textFill>
              </w:rPr>
            </w:pPr>
            <w:r>
              <w:rPr>
                <w:rFonts w:hint="eastAsia" w:ascii="宋体" w:hAnsi="宋体" w:cs="宋体"/>
                <w:color w:val="000000" w:themeColor="text1"/>
                <w:spacing w:val="4"/>
                <w:szCs w:val="21"/>
                <w:lang w:bidi="ar"/>
                <w14:textFill>
                  <w14:solidFill>
                    <w14:schemeClr w14:val="tx1"/>
                  </w14:solidFill>
                </w14:textFill>
              </w:rPr>
              <w:t>固体</w:t>
            </w:r>
          </w:p>
          <w:p w14:paraId="377EC7CE">
            <w:pPr>
              <w:adjustRightInd w:val="0"/>
              <w:snapToGrid w:val="0"/>
              <w:spacing w:line="300" w:lineRule="exact"/>
              <w:jc w:val="center"/>
              <w:rPr>
                <w:rFonts w:hint="eastAsia" w:ascii="宋体" w:hAnsi="宋体" w:cs="宋体"/>
                <w:color w:val="000000" w:themeColor="text1"/>
                <w:spacing w:val="4"/>
                <w:szCs w:val="21"/>
                <w:lang w:bidi="ar"/>
                <w14:textFill>
                  <w14:solidFill>
                    <w14:schemeClr w14:val="tx1"/>
                  </w14:solidFill>
                </w14:textFill>
              </w:rPr>
            </w:pPr>
            <w:r>
              <w:rPr>
                <w:rFonts w:hint="eastAsia" w:ascii="宋体" w:hAnsi="宋体" w:cs="宋体"/>
                <w:color w:val="000000" w:themeColor="text1"/>
                <w:spacing w:val="4"/>
                <w:szCs w:val="21"/>
                <w:lang w:bidi="ar"/>
                <w14:textFill>
                  <w14:solidFill>
                    <w14:schemeClr w14:val="tx1"/>
                  </w14:solidFill>
                </w14:textFill>
              </w:rPr>
              <w:t>废物</w:t>
            </w:r>
          </w:p>
        </w:tc>
        <w:tc>
          <w:tcPr>
            <w:tcW w:w="1044" w:type="pct"/>
            <w:vAlign w:val="center"/>
          </w:tcPr>
          <w:p w14:paraId="15C40AA5">
            <w:pPr>
              <w:adjustRightInd w:val="0"/>
              <w:snapToGrid w:val="0"/>
              <w:spacing w:line="300" w:lineRule="exact"/>
              <w:jc w:val="center"/>
              <w:rPr>
                <w:rFonts w:hint="eastAsia" w:ascii="宋体" w:hAnsi="宋体" w:cs="宋体"/>
                <w:color w:val="000000" w:themeColor="text1"/>
                <w:spacing w:val="4"/>
                <w:szCs w:val="21"/>
                <w:lang w:bidi="ar"/>
                <w14:textFill>
                  <w14:solidFill>
                    <w14:schemeClr w14:val="tx1"/>
                  </w14:solidFill>
                </w14:textFill>
              </w:rPr>
            </w:pPr>
            <w:r>
              <w:rPr>
                <w:rFonts w:hint="eastAsia"/>
                <w:color w:val="000000" w:themeColor="text1"/>
                <w:szCs w:val="21"/>
                <w14:textFill>
                  <w14:solidFill>
                    <w14:schemeClr w14:val="tx1"/>
                  </w14:solidFill>
                </w14:textFill>
              </w:rPr>
              <w:t>废润滑油、废油桶、废分子筛、沾油废防渗材料及含油废抹布、劳保用品</w:t>
            </w:r>
          </w:p>
        </w:tc>
        <w:tc>
          <w:tcPr>
            <w:tcW w:w="2667" w:type="pct"/>
            <w:vAlign w:val="center"/>
          </w:tcPr>
          <w:p w14:paraId="1CD9297F">
            <w:pPr>
              <w:adjustRightInd w:val="0"/>
              <w:snapToGrid w:val="0"/>
              <w:spacing w:line="300" w:lineRule="exact"/>
              <w:jc w:val="center"/>
              <w:rPr>
                <w:rFonts w:hint="eastAsia" w:ascii="宋体" w:hAnsi="宋体" w:cs="宋体"/>
                <w:color w:val="000000" w:themeColor="text1"/>
                <w:szCs w:val="21"/>
                <w:lang w:bidi="ar"/>
                <w14:textFill>
                  <w14:solidFill>
                    <w14:schemeClr w14:val="tx1"/>
                  </w14:solidFill>
                </w14:textFill>
              </w:rPr>
            </w:pPr>
            <w:r>
              <w:rPr>
                <w:rFonts w:hint="eastAsia"/>
                <w:color w:val="000000" w:themeColor="text1"/>
                <w:szCs w:val="21"/>
                <w14:textFill>
                  <w14:solidFill>
                    <w14:schemeClr w14:val="tx1"/>
                  </w14:solidFill>
                </w14:textFill>
              </w:rPr>
              <w:t>集中收集后交由有相应危险废物处理资质的单位回收处置</w:t>
            </w:r>
          </w:p>
        </w:tc>
        <w:tc>
          <w:tcPr>
            <w:tcW w:w="547" w:type="pct"/>
            <w:gridSpan w:val="2"/>
            <w:vAlign w:val="center"/>
          </w:tcPr>
          <w:p w14:paraId="5219A089">
            <w:pPr>
              <w:adjustRightInd w:val="0"/>
              <w:snapToGrid w:val="0"/>
              <w:spacing w:line="300" w:lineRule="exact"/>
              <w:jc w:val="center"/>
              <w:rPr>
                <w:rFonts w:hint="eastAsia" w:ascii="宋体" w:hAnsi="宋体" w:cs="宋体"/>
                <w:color w:val="000000" w:themeColor="text1"/>
                <w:spacing w:val="4"/>
                <w:szCs w:val="21"/>
                <w:lang w:bidi="ar"/>
                <w14:textFill>
                  <w14:solidFill>
                    <w14:schemeClr w14:val="tx1"/>
                  </w14:solidFill>
                </w14:textFill>
              </w:rPr>
            </w:pPr>
            <w:r>
              <w:rPr>
                <w:rFonts w:hint="eastAsia" w:ascii="宋体" w:hAnsi="宋体" w:cs="宋体"/>
                <w:color w:val="000000" w:themeColor="text1"/>
                <w:spacing w:val="4"/>
                <w:szCs w:val="21"/>
                <w:lang w:bidi="ar"/>
                <w14:textFill>
                  <w14:solidFill>
                    <w14:schemeClr w14:val="tx1"/>
                  </w14:solidFill>
                </w14:textFill>
              </w:rPr>
              <w:t>10</w:t>
            </w:r>
          </w:p>
        </w:tc>
      </w:tr>
      <w:tr w14:paraId="270B205D">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28" w:type="dxa"/>
            <w:bottom w:w="0" w:type="dxa"/>
            <w:right w:w="28" w:type="dxa"/>
          </w:tblCellMar>
        </w:tblPrEx>
        <w:trPr>
          <w:trHeight w:val="340" w:hRule="atLeast"/>
        </w:trPr>
        <w:tc>
          <w:tcPr>
            <w:tcW w:w="270" w:type="pct"/>
            <w:vMerge w:val="continue"/>
            <w:vAlign w:val="center"/>
          </w:tcPr>
          <w:p w14:paraId="2F642741">
            <w:pPr>
              <w:pStyle w:val="286"/>
              <w:adjustRightInd w:val="0"/>
              <w:snapToGrid w:val="0"/>
              <w:spacing w:line="300" w:lineRule="exact"/>
              <w:rPr>
                <w:rFonts w:hint="eastAsia" w:cs="宋体"/>
                <w:color w:val="000000" w:themeColor="text1"/>
                <w:sz w:val="21"/>
                <w14:textFill>
                  <w14:solidFill>
                    <w14:schemeClr w14:val="tx1"/>
                  </w14:solidFill>
                </w14:textFill>
              </w:rPr>
            </w:pPr>
          </w:p>
        </w:tc>
        <w:tc>
          <w:tcPr>
            <w:tcW w:w="472" w:type="pct"/>
            <w:vMerge w:val="continue"/>
            <w:vAlign w:val="center"/>
          </w:tcPr>
          <w:p w14:paraId="3042B677">
            <w:pPr>
              <w:adjustRightInd w:val="0"/>
              <w:snapToGrid w:val="0"/>
              <w:spacing w:line="300" w:lineRule="exact"/>
              <w:jc w:val="center"/>
              <w:rPr>
                <w:rFonts w:hint="eastAsia" w:ascii="宋体" w:hAnsi="宋体" w:cs="宋体"/>
                <w:color w:val="000000" w:themeColor="text1"/>
                <w:spacing w:val="4"/>
                <w:szCs w:val="21"/>
                <w:lang w:bidi="ar"/>
                <w14:textFill>
                  <w14:solidFill>
                    <w14:schemeClr w14:val="tx1"/>
                  </w14:solidFill>
                </w14:textFill>
              </w:rPr>
            </w:pPr>
          </w:p>
        </w:tc>
        <w:tc>
          <w:tcPr>
            <w:tcW w:w="1044" w:type="pct"/>
            <w:vAlign w:val="center"/>
          </w:tcPr>
          <w:p w14:paraId="0A5EC282">
            <w:pPr>
              <w:adjustRightInd w:val="0"/>
              <w:snapToGrid w:val="0"/>
              <w:spacing w:line="30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废包装物</w:t>
            </w:r>
          </w:p>
        </w:tc>
        <w:tc>
          <w:tcPr>
            <w:tcW w:w="2667" w:type="pct"/>
            <w:vAlign w:val="center"/>
          </w:tcPr>
          <w:p w14:paraId="7058AF71">
            <w:pPr>
              <w:adjustRightInd w:val="0"/>
              <w:snapToGrid w:val="0"/>
              <w:spacing w:line="30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由厂家回收处置</w:t>
            </w:r>
          </w:p>
        </w:tc>
        <w:tc>
          <w:tcPr>
            <w:tcW w:w="547" w:type="pct"/>
            <w:gridSpan w:val="2"/>
            <w:vAlign w:val="center"/>
          </w:tcPr>
          <w:p w14:paraId="154F876D">
            <w:pPr>
              <w:adjustRightInd w:val="0"/>
              <w:snapToGrid w:val="0"/>
              <w:spacing w:line="300" w:lineRule="exact"/>
              <w:jc w:val="center"/>
              <w:rPr>
                <w:rFonts w:hint="eastAsia" w:ascii="宋体" w:hAnsi="宋体" w:cs="宋体"/>
                <w:color w:val="000000" w:themeColor="text1"/>
                <w:spacing w:val="4"/>
                <w:szCs w:val="21"/>
                <w:lang w:bidi="ar"/>
                <w14:textFill>
                  <w14:solidFill>
                    <w14:schemeClr w14:val="tx1"/>
                  </w14:solidFill>
                </w14:textFill>
              </w:rPr>
            </w:pPr>
            <w:r>
              <w:rPr>
                <w:rFonts w:hint="eastAsia" w:ascii="宋体" w:hAnsi="宋体" w:cs="宋体"/>
                <w:color w:val="000000" w:themeColor="text1"/>
                <w:spacing w:val="4"/>
                <w:szCs w:val="21"/>
                <w:lang w:bidi="ar"/>
                <w14:textFill>
                  <w14:solidFill>
                    <w14:schemeClr w14:val="tx1"/>
                  </w14:solidFill>
                </w14:textFill>
              </w:rPr>
              <w:t>1</w:t>
            </w:r>
          </w:p>
        </w:tc>
      </w:tr>
      <w:tr w14:paraId="2A364EE0">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28" w:type="dxa"/>
            <w:bottom w:w="0" w:type="dxa"/>
            <w:right w:w="28" w:type="dxa"/>
          </w:tblCellMar>
        </w:tblPrEx>
        <w:trPr>
          <w:trHeight w:val="340" w:hRule="atLeast"/>
        </w:trPr>
        <w:tc>
          <w:tcPr>
            <w:tcW w:w="270" w:type="pct"/>
            <w:vMerge w:val="restart"/>
            <w:vAlign w:val="center"/>
          </w:tcPr>
          <w:p w14:paraId="70E5595D">
            <w:pPr>
              <w:pStyle w:val="286"/>
              <w:adjustRightInd w:val="0"/>
              <w:snapToGrid w:val="0"/>
              <w:spacing w:line="300" w:lineRule="exact"/>
              <w:rPr>
                <w:rFonts w:hint="eastAsia" w:cs="宋体"/>
                <w:color w:val="000000" w:themeColor="text1"/>
                <w:sz w:val="21"/>
                <w14:textFill>
                  <w14:solidFill>
                    <w14:schemeClr w14:val="tx1"/>
                  </w14:solidFill>
                </w14:textFill>
              </w:rPr>
            </w:pPr>
            <w:r>
              <w:rPr>
                <w:rFonts w:hint="eastAsia" w:cs="宋体"/>
                <w:color w:val="000000" w:themeColor="text1"/>
                <w:sz w:val="21"/>
                <w14:textFill>
                  <w14:solidFill>
                    <w14:schemeClr w14:val="tx1"/>
                  </w14:solidFill>
                </w14:textFill>
              </w:rPr>
              <w:t>退役期</w:t>
            </w:r>
          </w:p>
        </w:tc>
        <w:tc>
          <w:tcPr>
            <w:tcW w:w="472" w:type="pct"/>
            <w:tcBorders>
              <w:top w:val="single" w:color="auto" w:sz="4" w:space="0"/>
              <w:left w:val="single" w:color="auto" w:sz="6" w:space="0"/>
              <w:right w:val="single" w:color="auto" w:sz="4" w:space="0"/>
            </w:tcBorders>
            <w:vAlign w:val="center"/>
          </w:tcPr>
          <w:p w14:paraId="29A22CDD">
            <w:pPr>
              <w:pStyle w:val="286"/>
              <w:adjustRightInd w:val="0"/>
              <w:snapToGrid w:val="0"/>
              <w:spacing w:line="300" w:lineRule="exact"/>
              <w:rPr>
                <w:rFonts w:hint="eastAsia" w:cs="宋体"/>
                <w:color w:val="000000" w:themeColor="text1"/>
                <w:sz w:val="21"/>
                <w14:textFill>
                  <w14:solidFill>
                    <w14:schemeClr w14:val="tx1"/>
                  </w14:solidFill>
                </w14:textFill>
              </w:rPr>
            </w:pPr>
            <w:r>
              <w:rPr>
                <w:rFonts w:hint="eastAsia" w:cs="宋体"/>
                <w:color w:val="000000" w:themeColor="text1"/>
                <w:sz w:val="21"/>
                <w14:textFill>
                  <w14:solidFill>
                    <w14:schemeClr w14:val="tx1"/>
                  </w14:solidFill>
                </w14:textFill>
              </w:rPr>
              <w:t>固体</w:t>
            </w:r>
          </w:p>
          <w:p w14:paraId="4D9FD94D">
            <w:pPr>
              <w:pStyle w:val="286"/>
              <w:adjustRightInd w:val="0"/>
              <w:snapToGrid w:val="0"/>
              <w:spacing w:line="300" w:lineRule="exact"/>
              <w:rPr>
                <w:rFonts w:hint="eastAsia" w:cs="宋体"/>
                <w:color w:val="000000" w:themeColor="text1"/>
                <w:sz w:val="21"/>
                <w14:textFill>
                  <w14:solidFill>
                    <w14:schemeClr w14:val="tx1"/>
                  </w14:solidFill>
                </w14:textFill>
              </w:rPr>
            </w:pPr>
            <w:r>
              <w:rPr>
                <w:rFonts w:hint="eastAsia" w:cs="宋体"/>
                <w:color w:val="000000" w:themeColor="text1"/>
                <w:sz w:val="21"/>
                <w14:textFill>
                  <w14:solidFill>
                    <w14:schemeClr w14:val="tx1"/>
                  </w14:solidFill>
                </w14:textFill>
              </w:rPr>
              <w:t>废物</w:t>
            </w:r>
          </w:p>
        </w:tc>
        <w:tc>
          <w:tcPr>
            <w:tcW w:w="1044" w:type="pct"/>
            <w:tcBorders>
              <w:top w:val="single" w:color="auto" w:sz="4" w:space="0"/>
              <w:left w:val="single" w:color="auto" w:sz="6" w:space="0"/>
              <w:bottom w:val="single" w:color="auto" w:sz="4" w:space="0"/>
              <w:right w:val="single" w:color="auto" w:sz="4" w:space="0"/>
            </w:tcBorders>
            <w:vAlign w:val="center"/>
          </w:tcPr>
          <w:p w14:paraId="08602F99">
            <w:pPr>
              <w:pStyle w:val="286"/>
              <w:adjustRightInd w:val="0"/>
              <w:snapToGrid w:val="0"/>
              <w:spacing w:line="300" w:lineRule="exact"/>
              <w:rPr>
                <w:rFonts w:hint="eastAsia" w:cs="宋体"/>
                <w:color w:val="000000" w:themeColor="text1"/>
                <w:sz w:val="21"/>
                <w14:textFill>
                  <w14:solidFill>
                    <w14:schemeClr w14:val="tx1"/>
                  </w14:solidFill>
                </w14:textFill>
              </w:rPr>
            </w:pPr>
            <w:r>
              <w:rPr>
                <w:rFonts w:hint="eastAsia" w:cs="宋体"/>
                <w:color w:val="000000" w:themeColor="text1"/>
                <w:sz w:val="21"/>
                <w14:textFill>
                  <w14:solidFill>
                    <w14:schemeClr w14:val="tx1"/>
                  </w14:solidFill>
                </w14:textFill>
              </w:rPr>
              <w:t>站场及管线拆除的建筑垃圾</w:t>
            </w:r>
          </w:p>
        </w:tc>
        <w:tc>
          <w:tcPr>
            <w:tcW w:w="2667" w:type="pct"/>
            <w:tcBorders>
              <w:top w:val="single" w:color="auto" w:sz="4" w:space="0"/>
              <w:left w:val="single" w:color="auto" w:sz="6" w:space="0"/>
              <w:bottom w:val="single" w:color="auto" w:sz="4" w:space="0"/>
              <w:right w:val="single" w:color="auto" w:sz="4" w:space="0"/>
            </w:tcBorders>
            <w:vAlign w:val="center"/>
          </w:tcPr>
          <w:p w14:paraId="6D0EC524">
            <w:pPr>
              <w:pStyle w:val="286"/>
              <w:adjustRightInd w:val="0"/>
              <w:snapToGrid w:val="0"/>
              <w:spacing w:line="300" w:lineRule="exact"/>
              <w:rPr>
                <w:rFonts w:hint="eastAsia" w:cs="宋体"/>
                <w:color w:val="000000" w:themeColor="text1"/>
                <w:sz w:val="21"/>
                <w14:textFill>
                  <w14:solidFill>
                    <w14:schemeClr w14:val="tx1"/>
                  </w14:solidFill>
                </w14:textFill>
              </w:rPr>
            </w:pPr>
            <w:r>
              <w:rPr>
                <w:rFonts w:hint="eastAsia" w:cs="宋体"/>
                <w:color w:val="000000" w:themeColor="text1"/>
                <w:sz w:val="21"/>
                <w14:textFill>
                  <w14:solidFill>
                    <w14:schemeClr w14:val="tx1"/>
                  </w14:solidFill>
                </w14:textFill>
              </w:rPr>
              <w:t>建筑垃圾清运至当地建筑垃圾填埋场</w:t>
            </w:r>
          </w:p>
        </w:tc>
        <w:tc>
          <w:tcPr>
            <w:tcW w:w="547" w:type="pct"/>
            <w:gridSpan w:val="2"/>
            <w:tcBorders>
              <w:top w:val="single" w:color="auto" w:sz="4" w:space="0"/>
              <w:left w:val="single" w:color="auto" w:sz="6" w:space="0"/>
              <w:bottom w:val="single" w:color="auto" w:sz="4" w:space="0"/>
            </w:tcBorders>
            <w:vAlign w:val="center"/>
          </w:tcPr>
          <w:p w14:paraId="6AADD7A2">
            <w:pPr>
              <w:pStyle w:val="286"/>
              <w:adjustRightInd w:val="0"/>
              <w:snapToGrid w:val="0"/>
              <w:spacing w:line="300" w:lineRule="exact"/>
              <w:rPr>
                <w:rFonts w:hint="eastAsia" w:cs="宋体"/>
                <w:color w:val="000000" w:themeColor="text1"/>
                <w:sz w:val="21"/>
                <w14:textFill>
                  <w14:solidFill>
                    <w14:schemeClr w14:val="tx1"/>
                  </w14:solidFill>
                </w14:textFill>
              </w:rPr>
            </w:pPr>
            <w:r>
              <w:rPr>
                <w:rFonts w:hint="eastAsia" w:cs="宋体"/>
                <w:color w:val="000000" w:themeColor="text1"/>
                <w:sz w:val="21"/>
                <w14:textFill>
                  <w14:solidFill>
                    <w14:schemeClr w14:val="tx1"/>
                  </w14:solidFill>
                </w14:textFill>
              </w:rPr>
              <w:t>3</w:t>
            </w:r>
          </w:p>
        </w:tc>
      </w:tr>
      <w:tr w14:paraId="67691D6B">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28" w:type="dxa"/>
            <w:bottom w:w="0" w:type="dxa"/>
            <w:right w:w="28" w:type="dxa"/>
          </w:tblCellMar>
        </w:tblPrEx>
        <w:trPr>
          <w:trHeight w:val="340" w:hRule="atLeast"/>
        </w:trPr>
        <w:tc>
          <w:tcPr>
            <w:tcW w:w="270" w:type="pct"/>
            <w:vMerge w:val="continue"/>
            <w:vAlign w:val="center"/>
          </w:tcPr>
          <w:p w14:paraId="007CA5DF">
            <w:pPr>
              <w:pStyle w:val="286"/>
              <w:adjustRightInd w:val="0"/>
              <w:snapToGrid w:val="0"/>
              <w:spacing w:line="300" w:lineRule="exact"/>
              <w:rPr>
                <w:rFonts w:hint="eastAsia" w:cs="宋体"/>
                <w:color w:val="000000" w:themeColor="text1"/>
                <w:sz w:val="21"/>
                <w14:textFill>
                  <w14:solidFill>
                    <w14:schemeClr w14:val="tx1"/>
                  </w14:solidFill>
                </w14:textFill>
              </w:rPr>
            </w:pPr>
          </w:p>
        </w:tc>
        <w:tc>
          <w:tcPr>
            <w:tcW w:w="472" w:type="pct"/>
            <w:tcBorders>
              <w:top w:val="single" w:color="auto" w:sz="4" w:space="0"/>
              <w:left w:val="single" w:color="auto" w:sz="6" w:space="0"/>
              <w:bottom w:val="single" w:color="auto" w:sz="4" w:space="0"/>
              <w:right w:val="single" w:color="auto" w:sz="4" w:space="0"/>
            </w:tcBorders>
            <w:vAlign w:val="center"/>
          </w:tcPr>
          <w:p w14:paraId="48F3FBDB">
            <w:pPr>
              <w:pStyle w:val="286"/>
              <w:adjustRightInd w:val="0"/>
              <w:snapToGrid w:val="0"/>
              <w:spacing w:line="300" w:lineRule="exact"/>
              <w:rPr>
                <w:rFonts w:hint="eastAsia" w:cs="宋体"/>
                <w:color w:val="000000" w:themeColor="text1"/>
                <w:sz w:val="21"/>
                <w14:textFill>
                  <w14:solidFill>
                    <w14:schemeClr w14:val="tx1"/>
                  </w14:solidFill>
                </w14:textFill>
              </w:rPr>
            </w:pPr>
            <w:r>
              <w:rPr>
                <w:rFonts w:hint="eastAsia" w:cs="宋体"/>
                <w:color w:val="000000" w:themeColor="text1"/>
                <w:sz w:val="21"/>
                <w14:textFill>
                  <w14:solidFill>
                    <w14:schemeClr w14:val="tx1"/>
                  </w14:solidFill>
                </w14:textFill>
              </w:rPr>
              <w:t>废水</w:t>
            </w:r>
          </w:p>
        </w:tc>
        <w:tc>
          <w:tcPr>
            <w:tcW w:w="1044" w:type="pct"/>
            <w:tcBorders>
              <w:top w:val="single" w:color="auto" w:sz="4" w:space="0"/>
              <w:left w:val="single" w:color="auto" w:sz="6" w:space="0"/>
              <w:bottom w:val="single" w:color="auto" w:sz="4" w:space="0"/>
              <w:right w:val="single" w:color="auto" w:sz="4" w:space="0"/>
            </w:tcBorders>
            <w:vAlign w:val="center"/>
          </w:tcPr>
          <w:p w14:paraId="5311E1F7">
            <w:pPr>
              <w:pStyle w:val="286"/>
              <w:adjustRightInd w:val="0"/>
              <w:snapToGrid w:val="0"/>
              <w:spacing w:line="300" w:lineRule="exact"/>
              <w:rPr>
                <w:rFonts w:hint="eastAsia" w:cs="宋体"/>
                <w:color w:val="000000" w:themeColor="text1"/>
                <w:sz w:val="21"/>
                <w14:textFill>
                  <w14:solidFill>
                    <w14:schemeClr w14:val="tx1"/>
                  </w14:solidFill>
                </w14:textFill>
              </w:rPr>
            </w:pPr>
            <w:r>
              <w:rPr>
                <w:rFonts w:hint="eastAsia" w:cs="宋体"/>
                <w:color w:val="000000" w:themeColor="text1"/>
                <w:sz w:val="21"/>
                <w14:textFill>
                  <w14:solidFill>
                    <w14:schemeClr w14:val="tx1"/>
                  </w14:solidFill>
                </w14:textFill>
              </w:rPr>
              <w:t>管线吹扫废水</w:t>
            </w:r>
          </w:p>
        </w:tc>
        <w:tc>
          <w:tcPr>
            <w:tcW w:w="2667" w:type="pct"/>
            <w:tcBorders>
              <w:top w:val="single" w:color="auto" w:sz="4" w:space="0"/>
              <w:left w:val="single" w:color="auto" w:sz="6" w:space="0"/>
              <w:bottom w:val="single" w:color="auto" w:sz="4" w:space="0"/>
              <w:right w:val="single" w:color="auto" w:sz="4" w:space="0"/>
            </w:tcBorders>
            <w:vAlign w:val="center"/>
          </w:tcPr>
          <w:p w14:paraId="7016AB20">
            <w:pPr>
              <w:pStyle w:val="286"/>
              <w:adjustRightInd w:val="0"/>
              <w:snapToGrid w:val="0"/>
              <w:spacing w:line="300" w:lineRule="exact"/>
              <w:rPr>
                <w:rFonts w:hint="eastAsia" w:cs="宋体"/>
                <w:color w:val="000000" w:themeColor="text1"/>
                <w:sz w:val="21"/>
                <w14:textFill>
                  <w14:solidFill>
                    <w14:schemeClr w14:val="tx1"/>
                  </w14:solidFill>
                </w14:textFill>
              </w:rPr>
            </w:pPr>
            <w:r>
              <w:rPr>
                <w:rFonts w:hint="eastAsia" w:cs="宋体"/>
                <w:color w:val="000000" w:themeColor="text1"/>
                <w:sz w:val="21"/>
                <w14:textFill>
                  <w14:solidFill>
                    <w14:schemeClr w14:val="tx1"/>
                  </w14:solidFill>
                </w14:textFill>
              </w:rPr>
              <w:t>送至压裂返排液处理装置处理</w:t>
            </w:r>
          </w:p>
        </w:tc>
        <w:tc>
          <w:tcPr>
            <w:tcW w:w="547" w:type="pct"/>
            <w:gridSpan w:val="2"/>
            <w:tcBorders>
              <w:top w:val="single" w:color="auto" w:sz="4" w:space="0"/>
              <w:left w:val="single" w:color="auto" w:sz="6" w:space="0"/>
              <w:bottom w:val="single" w:color="auto" w:sz="4" w:space="0"/>
            </w:tcBorders>
            <w:vAlign w:val="center"/>
          </w:tcPr>
          <w:p w14:paraId="30AFE822">
            <w:pPr>
              <w:pStyle w:val="286"/>
              <w:adjustRightInd w:val="0"/>
              <w:snapToGrid w:val="0"/>
              <w:spacing w:line="300" w:lineRule="exact"/>
              <w:rPr>
                <w:rFonts w:hint="eastAsia" w:cs="宋体"/>
                <w:color w:val="000000" w:themeColor="text1"/>
                <w:sz w:val="21"/>
                <w14:textFill>
                  <w14:solidFill>
                    <w14:schemeClr w14:val="tx1"/>
                  </w14:solidFill>
                </w14:textFill>
              </w:rPr>
            </w:pPr>
            <w:r>
              <w:rPr>
                <w:rFonts w:hint="eastAsia" w:cs="宋体"/>
                <w:color w:val="000000" w:themeColor="text1"/>
                <w:sz w:val="21"/>
                <w14:textFill>
                  <w14:solidFill>
                    <w14:schemeClr w14:val="tx1"/>
                  </w14:solidFill>
                </w14:textFill>
              </w:rPr>
              <w:t>2</w:t>
            </w:r>
          </w:p>
        </w:tc>
      </w:tr>
      <w:tr w14:paraId="2883AFF5">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28" w:type="dxa"/>
            <w:bottom w:w="0" w:type="dxa"/>
            <w:right w:w="28" w:type="dxa"/>
          </w:tblCellMar>
        </w:tblPrEx>
        <w:trPr>
          <w:trHeight w:val="340" w:hRule="atLeast"/>
        </w:trPr>
        <w:tc>
          <w:tcPr>
            <w:tcW w:w="270" w:type="pct"/>
            <w:vMerge w:val="continue"/>
            <w:vAlign w:val="center"/>
          </w:tcPr>
          <w:p w14:paraId="469A6D22">
            <w:pPr>
              <w:pStyle w:val="286"/>
              <w:adjustRightInd w:val="0"/>
              <w:snapToGrid w:val="0"/>
              <w:spacing w:line="300" w:lineRule="exact"/>
              <w:rPr>
                <w:rFonts w:hint="eastAsia" w:cs="宋体"/>
                <w:color w:val="000000" w:themeColor="text1"/>
                <w:sz w:val="21"/>
                <w14:textFill>
                  <w14:solidFill>
                    <w14:schemeClr w14:val="tx1"/>
                  </w14:solidFill>
                </w14:textFill>
              </w:rPr>
            </w:pPr>
          </w:p>
        </w:tc>
        <w:tc>
          <w:tcPr>
            <w:tcW w:w="472" w:type="pct"/>
            <w:tcBorders>
              <w:top w:val="single" w:color="auto" w:sz="4" w:space="0"/>
              <w:left w:val="single" w:color="auto" w:sz="6" w:space="0"/>
              <w:bottom w:val="single" w:color="auto" w:sz="4" w:space="0"/>
              <w:right w:val="single" w:color="auto" w:sz="4" w:space="0"/>
            </w:tcBorders>
            <w:vAlign w:val="center"/>
          </w:tcPr>
          <w:p w14:paraId="2D599455">
            <w:pPr>
              <w:pStyle w:val="286"/>
              <w:adjustRightInd w:val="0"/>
              <w:snapToGrid w:val="0"/>
              <w:spacing w:line="300" w:lineRule="exact"/>
              <w:rPr>
                <w:rFonts w:hint="eastAsia" w:cs="宋体"/>
                <w:color w:val="000000" w:themeColor="text1"/>
                <w:sz w:val="21"/>
                <w14:textFill>
                  <w14:solidFill>
                    <w14:schemeClr w14:val="tx1"/>
                  </w14:solidFill>
                </w14:textFill>
              </w:rPr>
            </w:pPr>
            <w:r>
              <w:rPr>
                <w:rFonts w:hint="eastAsia" w:cs="宋体"/>
                <w:color w:val="000000" w:themeColor="text1"/>
                <w:sz w:val="21"/>
                <w14:textFill>
                  <w14:solidFill>
                    <w14:schemeClr w14:val="tx1"/>
                  </w14:solidFill>
                </w14:textFill>
              </w:rPr>
              <w:t>生态</w:t>
            </w:r>
          </w:p>
          <w:p w14:paraId="609C58B1">
            <w:pPr>
              <w:pStyle w:val="286"/>
              <w:adjustRightInd w:val="0"/>
              <w:snapToGrid w:val="0"/>
              <w:spacing w:line="300" w:lineRule="exact"/>
              <w:rPr>
                <w:rFonts w:hint="eastAsia" w:cs="宋体"/>
                <w:color w:val="000000" w:themeColor="text1"/>
                <w:sz w:val="21"/>
                <w14:textFill>
                  <w14:solidFill>
                    <w14:schemeClr w14:val="tx1"/>
                  </w14:solidFill>
                </w14:textFill>
              </w:rPr>
            </w:pPr>
            <w:r>
              <w:rPr>
                <w:rFonts w:hint="eastAsia" w:cs="宋体"/>
                <w:color w:val="000000" w:themeColor="text1"/>
                <w:sz w:val="21"/>
                <w14:textFill>
                  <w14:solidFill>
                    <w14:schemeClr w14:val="tx1"/>
                  </w14:solidFill>
                </w14:textFill>
              </w:rPr>
              <w:t>恢复</w:t>
            </w:r>
          </w:p>
        </w:tc>
        <w:tc>
          <w:tcPr>
            <w:tcW w:w="1044" w:type="pct"/>
            <w:tcBorders>
              <w:top w:val="single" w:color="auto" w:sz="4" w:space="0"/>
              <w:left w:val="single" w:color="auto" w:sz="6" w:space="0"/>
              <w:bottom w:val="single" w:color="auto" w:sz="4" w:space="0"/>
              <w:right w:val="single" w:color="auto" w:sz="4" w:space="0"/>
            </w:tcBorders>
            <w:vAlign w:val="center"/>
          </w:tcPr>
          <w:p w14:paraId="69037A01">
            <w:pPr>
              <w:pStyle w:val="286"/>
              <w:adjustRightInd w:val="0"/>
              <w:snapToGrid w:val="0"/>
              <w:spacing w:line="300" w:lineRule="exact"/>
              <w:rPr>
                <w:rFonts w:hint="eastAsia" w:cs="宋体"/>
                <w:color w:val="000000" w:themeColor="text1"/>
                <w:sz w:val="21"/>
                <w14:textFill>
                  <w14:solidFill>
                    <w14:schemeClr w14:val="tx1"/>
                  </w14:solidFill>
                </w14:textFill>
              </w:rPr>
            </w:pPr>
            <w:r>
              <w:rPr>
                <w:rFonts w:hint="eastAsia" w:cs="宋体"/>
                <w:color w:val="000000" w:themeColor="text1"/>
                <w:sz w:val="21"/>
                <w14:textFill>
                  <w14:solidFill>
                    <w14:schemeClr w14:val="tx1"/>
                  </w14:solidFill>
                </w14:textFill>
              </w:rPr>
              <w:t>临时占地和永久占地</w:t>
            </w:r>
          </w:p>
        </w:tc>
        <w:tc>
          <w:tcPr>
            <w:tcW w:w="2667" w:type="pct"/>
            <w:tcBorders>
              <w:top w:val="single" w:color="auto" w:sz="4" w:space="0"/>
              <w:left w:val="single" w:color="auto" w:sz="6" w:space="0"/>
              <w:bottom w:val="single" w:color="auto" w:sz="4" w:space="0"/>
              <w:right w:val="single" w:color="auto" w:sz="4" w:space="0"/>
            </w:tcBorders>
            <w:vAlign w:val="center"/>
          </w:tcPr>
          <w:p w14:paraId="456C744B">
            <w:pPr>
              <w:pStyle w:val="286"/>
              <w:adjustRightInd w:val="0"/>
              <w:snapToGrid w:val="0"/>
              <w:spacing w:line="300" w:lineRule="exact"/>
              <w:rPr>
                <w:rFonts w:hint="eastAsia" w:cs="宋体"/>
                <w:color w:val="000000" w:themeColor="text1"/>
                <w:sz w:val="21"/>
                <w14:textFill>
                  <w14:solidFill>
                    <w14:schemeClr w14:val="tx1"/>
                  </w14:solidFill>
                </w14:textFill>
              </w:rPr>
            </w:pPr>
            <w:r>
              <w:rPr>
                <w:rFonts w:hint="eastAsia" w:cs="宋体"/>
                <w:color w:val="000000" w:themeColor="text1"/>
                <w:sz w:val="21"/>
                <w14:textFill>
                  <w14:solidFill>
                    <w14:schemeClr w14:val="tx1"/>
                  </w14:solidFill>
                </w14:textFill>
              </w:rPr>
              <w:t>完工后迹地清理并平整压实、施工临时占地和永久占地释放后植被和土壤的恢复</w:t>
            </w:r>
          </w:p>
        </w:tc>
        <w:tc>
          <w:tcPr>
            <w:tcW w:w="547" w:type="pct"/>
            <w:gridSpan w:val="2"/>
            <w:tcBorders>
              <w:top w:val="single" w:color="auto" w:sz="4" w:space="0"/>
              <w:left w:val="single" w:color="auto" w:sz="6" w:space="0"/>
              <w:bottom w:val="single" w:color="auto" w:sz="4" w:space="0"/>
            </w:tcBorders>
            <w:vAlign w:val="center"/>
          </w:tcPr>
          <w:p w14:paraId="6CB64BB7">
            <w:pPr>
              <w:pStyle w:val="286"/>
              <w:adjustRightInd w:val="0"/>
              <w:snapToGrid w:val="0"/>
              <w:spacing w:line="300" w:lineRule="exact"/>
              <w:rPr>
                <w:rFonts w:hint="eastAsia" w:cs="宋体"/>
                <w:color w:val="000000" w:themeColor="text1"/>
                <w:sz w:val="21"/>
                <w14:textFill>
                  <w14:solidFill>
                    <w14:schemeClr w14:val="tx1"/>
                  </w14:solidFill>
                </w14:textFill>
              </w:rPr>
            </w:pPr>
            <w:r>
              <w:rPr>
                <w:rFonts w:hint="eastAsia" w:cs="宋体"/>
                <w:color w:val="000000" w:themeColor="text1"/>
                <w:sz w:val="21"/>
                <w14:textFill>
                  <w14:solidFill>
                    <w14:schemeClr w14:val="tx1"/>
                  </w14:solidFill>
                </w14:textFill>
              </w:rPr>
              <w:t>10</w:t>
            </w:r>
          </w:p>
        </w:tc>
      </w:tr>
      <w:tr w14:paraId="50102FA1">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gridAfter w:val="1"/>
          <w:wAfter w:w="11" w:type="pct"/>
          <w:trHeight w:val="340" w:hRule="atLeast"/>
        </w:trPr>
        <w:tc>
          <w:tcPr>
            <w:tcW w:w="742" w:type="pct"/>
            <w:gridSpan w:val="2"/>
            <w:vMerge w:val="restart"/>
            <w:vAlign w:val="center"/>
          </w:tcPr>
          <w:p w14:paraId="5F0202DF">
            <w:pPr>
              <w:pStyle w:val="286"/>
              <w:adjustRightInd w:val="0"/>
              <w:snapToGrid w:val="0"/>
              <w:spacing w:line="300" w:lineRule="exact"/>
              <w:rPr>
                <w:rFonts w:hint="eastAsia" w:cs="宋体"/>
                <w:color w:val="000000" w:themeColor="text1"/>
                <w:sz w:val="21"/>
                <w14:textFill>
                  <w14:solidFill>
                    <w14:schemeClr w14:val="tx1"/>
                  </w14:solidFill>
                </w14:textFill>
              </w:rPr>
            </w:pPr>
            <w:r>
              <w:rPr>
                <w:rFonts w:hint="eastAsia" w:cs="宋体"/>
                <w:color w:val="000000" w:themeColor="text1"/>
                <w:sz w:val="21"/>
                <w14:textFill>
                  <w14:solidFill>
                    <w14:schemeClr w14:val="tx1"/>
                  </w14:solidFill>
                </w14:textFill>
              </w:rPr>
              <w:t>环境管理</w:t>
            </w:r>
          </w:p>
        </w:tc>
        <w:tc>
          <w:tcPr>
            <w:tcW w:w="1044" w:type="pct"/>
            <w:vAlign w:val="center"/>
          </w:tcPr>
          <w:p w14:paraId="6B35200B">
            <w:pPr>
              <w:pStyle w:val="286"/>
              <w:adjustRightInd w:val="0"/>
              <w:snapToGrid w:val="0"/>
              <w:spacing w:line="300" w:lineRule="exact"/>
              <w:rPr>
                <w:rFonts w:hint="eastAsia" w:cs="宋体"/>
                <w:color w:val="000000" w:themeColor="text1"/>
                <w:sz w:val="21"/>
                <w14:textFill>
                  <w14:solidFill>
                    <w14:schemeClr w14:val="tx1"/>
                  </w14:solidFill>
                </w14:textFill>
              </w:rPr>
            </w:pPr>
            <w:r>
              <w:rPr>
                <w:rFonts w:hint="eastAsia" w:cs="宋体"/>
                <w:color w:val="000000" w:themeColor="text1"/>
                <w:sz w:val="21"/>
                <w14:textFill>
                  <w14:solidFill>
                    <w14:schemeClr w14:val="tx1"/>
                  </w14:solidFill>
                </w14:textFill>
              </w:rPr>
              <w:t>环境监理</w:t>
            </w:r>
          </w:p>
        </w:tc>
        <w:tc>
          <w:tcPr>
            <w:tcW w:w="2667" w:type="pct"/>
            <w:vAlign w:val="center"/>
          </w:tcPr>
          <w:p w14:paraId="701B2993">
            <w:pPr>
              <w:pStyle w:val="286"/>
              <w:adjustRightInd w:val="0"/>
              <w:snapToGrid w:val="0"/>
              <w:spacing w:line="300" w:lineRule="exact"/>
              <w:rPr>
                <w:rFonts w:hint="eastAsia" w:cs="宋体"/>
                <w:color w:val="000000" w:themeColor="text1"/>
                <w:sz w:val="21"/>
                <w14:textFill>
                  <w14:solidFill>
                    <w14:schemeClr w14:val="tx1"/>
                  </w14:solidFill>
                </w14:textFill>
              </w:rPr>
            </w:pPr>
            <w:r>
              <w:rPr>
                <w:rFonts w:hint="eastAsia" w:cs="宋体"/>
                <w:color w:val="000000" w:themeColor="text1"/>
                <w:sz w:val="21"/>
                <w14:textFill>
                  <w14:solidFill>
                    <w14:schemeClr w14:val="tx1"/>
                  </w14:solidFill>
                </w14:textFill>
              </w:rPr>
              <w:t>防渗措施落实情况；严格监督各项环保措施落实情况，确保各项污染防治措施有效实施；</w:t>
            </w:r>
          </w:p>
        </w:tc>
        <w:tc>
          <w:tcPr>
            <w:tcW w:w="536" w:type="pct"/>
            <w:vAlign w:val="center"/>
          </w:tcPr>
          <w:p w14:paraId="5D16D5AD">
            <w:pPr>
              <w:pStyle w:val="286"/>
              <w:adjustRightInd w:val="0"/>
              <w:snapToGrid w:val="0"/>
              <w:spacing w:line="300" w:lineRule="exact"/>
              <w:rPr>
                <w:rFonts w:hint="eastAsia" w:cs="宋体"/>
                <w:color w:val="000000" w:themeColor="text1"/>
                <w:sz w:val="21"/>
                <w14:textFill>
                  <w14:solidFill>
                    <w14:schemeClr w14:val="tx1"/>
                  </w14:solidFill>
                </w14:textFill>
              </w:rPr>
            </w:pPr>
            <w:r>
              <w:rPr>
                <w:rFonts w:hint="eastAsia" w:cs="宋体"/>
                <w:color w:val="000000" w:themeColor="text1"/>
                <w:sz w:val="21"/>
                <w14:textFill>
                  <w14:solidFill>
                    <w14:schemeClr w14:val="tx1"/>
                  </w14:solidFill>
                </w14:textFill>
              </w:rPr>
              <w:t>15</w:t>
            </w:r>
          </w:p>
        </w:tc>
      </w:tr>
      <w:tr w14:paraId="7D6DA705">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gridAfter w:val="1"/>
          <w:wAfter w:w="11" w:type="pct"/>
          <w:trHeight w:val="340" w:hRule="atLeast"/>
        </w:trPr>
        <w:tc>
          <w:tcPr>
            <w:tcW w:w="742" w:type="pct"/>
            <w:gridSpan w:val="2"/>
            <w:vMerge w:val="continue"/>
            <w:vAlign w:val="center"/>
          </w:tcPr>
          <w:p w14:paraId="18000EE7">
            <w:pPr>
              <w:pStyle w:val="286"/>
              <w:adjustRightInd w:val="0"/>
              <w:snapToGrid w:val="0"/>
              <w:spacing w:line="300" w:lineRule="exact"/>
              <w:rPr>
                <w:rFonts w:hint="eastAsia" w:cs="宋体"/>
                <w:color w:val="000000" w:themeColor="text1"/>
                <w:sz w:val="21"/>
                <w14:textFill>
                  <w14:solidFill>
                    <w14:schemeClr w14:val="tx1"/>
                  </w14:solidFill>
                </w14:textFill>
              </w:rPr>
            </w:pPr>
          </w:p>
        </w:tc>
        <w:tc>
          <w:tcPr>
            <w:tcW w:w="1044" w:type="pct"/>
            <w:vAlign w:val="center"/>
          </w:tcPr>
          <w:p w14:paraId="55487E78">
            <w:pPr>
              <w:pStyle w:val="286"/>
              <w:adjustRightInd w:val="0"/>
              <w:snapToGrid w:val="0"/>
              <w:spacing w:line="300" w:lineRule="exact"/>
              <w:rPr>
                <w:rFonts w:hint="eastAsia" w:cs="宋体"/>
                <w:color w:val="000000" w:themeColor="text1"/>
                <w:sz w:val="21"/>
                <w14:textFill>
                  <w14:solidFill>
                    <w14:schemeClr w14:val="tx1"/>
                  </w14:solidFill>
                </w14:textFill>
              </w:rPr>
            </w:pPr>
            <w:r>
              <w:rPr>
                <w:rFonts w:hint="eastAsia" w:cs="宋体"/>
                <w:color w:val="000000" w:themeColor="text1"/>
                <w:sz w:val="21"/>
                <w14:textFill>
                  <w14:solidFill>
                    <w14:schemeClr w14:val="tx1"/>
                  </w14:solidFill>
                </w14:textFill>
              </w:rPr>
              <w:t>环境监测</w:t>
            </w:r>
          </w:p>
        </w:tc>
        <w:tc>
          <w:tcPr>
            <w:tcW w:w="2667" w:type="pct"/>
            <w:vAlign w:val="center"/>
          </w:tcPr>
          <w:p w14:paraId="5928B788">
            <w:pPr>
              <w:pStyle w:val="286"/>
              <w:adjustRightInd w:val="0"/>
              <w:snapToGrid w:val="0"/>
              <w:spacing w:line="300" w:lineRule="exact"/>
              <w:rPr>
                <w:rFonts w:hint="eastAsia" w:cs="宋体"/>
                <w:color w:val="000000" w:themeColor="text1"/>
                <w:sz w:val="21"/>
                <w14:textFill>
                  <w14:solidFill>
                    <w14:schemeClr w14:val="tx1"/>
                  </w14:solidFill>
                </w14:textFill>
              </w:rPr>
            </w:pPr>
            <w:r>
              <w:rPr>
                <w:rFonts w:hint="eastAsia" w:cs="宋体"/>
                <w:color w:val="000000" w:themeColor="text1"/>
                <w:sz w:val="21"/>
                <w14:textFill>
                  <w14:solidFill>
                    <w14:schemeClr w14:val="tx1"/>
                  </w14:solidFill>
                </w14:textFill>
              </w:rPr>
              <w:t>废气、噪声、生态环境、土壤和地下水跟踪监测</w:t>
            </w:r>
          </w:p>
        </w:tc>
        <w:tc>
          <w:tcPr>
            <w:tcW w:w="536" w:type="pct"/>
            <w:vAlign w:val="center"/>
          </w:tcPr>
          <w:p w14:paraId="0A15B281">
            <w:pPr>
              <w:pStyle w:val="286"/>
              <w:adjustRightInd w:val="0"/>
              <w:snapToGrid w:val="0"/>
              <w:spacing w:line="300" w:lineRule="exact"/>
              <w:rPr>
                <w:rFonts w:hint="eastAsia" w:cs="宋体"/>
                <w:color w:val="000000" w:themeColor="text1"/>
                <w:sz w:val="21"/>
                <w14:textFill>
                  <w14:solidFill>
                    <w14:schemeClr w14:val="tx1"/>
                  </w14:solidFill>
                </w14:textFill>
              </w:rPr>
            </w:pPr>
            <w:r>
              <w:rPr>
                <w:rFonts w:hint="eastAsia" w:cs="宋体"/>
                <w:color w:val="000000" w:themeColor="text1"/>
                <w:sz w:val="21"/>
                <w14:textFill>
                  <w14:solidFill>
                    <w14:schemeClr w14:val="tx1"/>
                  </w14:solidFill>
                </w14:textFill>
              </w:rPr>
              <w:t>30</w:t>
            </w:r>
          </w:p>
        </w:tc>
      </w:tr>
      <w:tr w14:paraId="4D6E29C5">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gridAfter w:val="1"/>
          <w:wAfter w:w="11" w:type="pct"/>
          <w:trHeight w:val="340" w:hRule="atLeast"/>
        </w:trPr>
        <w:tc>
          <w:tcPr>
            <w:tcW w:w="742" w:type="pct"/>
            <w:gridSpan w:val="2"/>
            <w:vAlign w:val="center"/>
          </w:tcPr>
          <w:p w14:paraId="72AD78CE">
            <w:pPr>
              <w:pStyle w:val="286"/>
              <w:adjustRightInd w:val="0"/>
              <w:snapToGrid w:val="0"/>
              <w:spacing w:line="300" w:lineRule="exact"/>
              <w:rPr>
                <w:rFonts w:hint="eastAsia" w:cs="宋体"/>
                <w:color w:val="000000" w:themeColor="text1"/>
                <w:sz w:val="21"/>
                <w14:textFill>
                  <w14:solidFill>
                    <w14:schemeClr w14:val="tx1"/>
                  </w14:solidFill>
                </w14:textFill>
              </w:rPr>
            </w:pPr>
            <w:r>
              <w:rPr>
                <w:rFonts w:hint="eastAsia" w:cs="宋体"/>
                <w:color w:val="000000" w:themeColor="text1"/>
                <w:sz w:val="21"/>
                <w14:textFill>
                  <w14:solidFill>
                    <w14:schemeClr w14:val="tx1"/>
                  </w14:solidFill>
                </w14:textFill>
              </w:rPr>
              <w:t>地下水保护措施</w:t>
            </w:r>
          </w:p>
        </w:tc>
        <w:tc>
          <w:tcPr>
            <w:tcW w:w="3711" w:type="pct"/>
            <w:gridSpan w:val="2"/>
            <w:vAlign w:val="center"/>
          </w:tcPr>
          <w:p w14:paraId="040058C5">
            <w:pPr>
              <w:pStyle w:val="286"/>
              <w:adjustRightInd w:val="0"/>
              <w:snapToGrid w:val="0"/>
              <w:spacing w:line="300" w:lineRule="exact"/>
              <w:rPr>
                <w:rFonts w:hint="eastAsia" w:cs="宋体"/>
                <w:color w:val="000000" w:themeColor="text1"/>
                <w:sz w:val="21"/>
                <w14:textFill>
                  <w14:solidFill>
                    <w14:schemeClr w14:val="tx1"/>
                  </w14:solidFill>
                </w14:textFill>
              </w:rPr>
            </w:pPr>
            <w:r>
              <w:rPr>
                <w:rFonts w:hint="eastAsia" w:cs="宋体"/>
                <w:color w:val="000000" w:themeColor="text1"/>
                <w:sz w:val="21"/>
                <w14:textFill>
                  <w14:solidFill>
                    <w14:schemeClr w14:val="tx1"/>
                  </w14:solidFill>
                </w14:textFill>
              </w:rPr>
              <w:t>井场和预处理注入站的防渗措施</w:t>
            </w:r>
          </w:p>
        </w:tc>
        <w:tc>
          <w:tcPr>
            <w:tcW w:w="536" w:type="pct"/>
            <w:vAlign w:val="center"/>
          </w:tcPr>
          <w:p w14:paraId="1C5A40A1">
            <w:pPr>
              <w:pStyle w:val="286"/>
              <w:adjustRightInd w:val="0"/>
              <w:snapToGrid w:val="0"/>
              <w:spacing w:line="300" w:lineRule="exact"/>
              <w:rPr>
                <w:rFonts w:hint="eastAsia" w:cs="宋体"/>
                <w:color w:val="000000" w:themeColor="text1"/>
                <w:sz w:val="21"/>
                <w14:textFill>
                  <w14:solidFill>
                    <w14:schemeClr w14:val="tx1"/>
                  </w14:solidFill>
                </w14:textFill>
              </w:rPr>
            </w:pPr>
            <w:r>
              <w:rPr>
                <w:rFonts w:hint="eastAsia" w:cs="宋体"/>
                <w:color w:val="000000" w:themeColor="text1"/>
                <w:sz w:val="21"/>
                <w14:textFill>
                  <w14:solidFill>
                    <w14:schemeClr w14:val="tx1"/>
                  </w14:solidFill>
                </w14:textFill>
              </w:rPr>
              <w:t>5</w:t>
            </w:r>
          </w:p>
        </w:tc>
      </w:tr>
      <w:bookmarkEnd w:id="812"/>
      <w:tr w14:paraId="4C6FCCCD">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gridAfter w:val="1"/>
          <w:wAfter w:w="11" w:type="pct"/>
          <w:trHeight w:val="340" w:hRule="atLeast"/>
        </w:trPr>
        <w:tc>
          <w:tcPr>
            <w:tcW w:w="742" w:type="pct"/>
            <w:gridSpan w:val="2"/>
            <w:vAlign w:val="center"/>
          </w:tcPr>
          <w:p w14:paraId="164536C5">
            <w:pPr>
              <w:pStyle w:val="286"/>
              <w:adjustRightInd w:val="0"/>
              <w:snapToGrid w:val="0"/>
              <w:spacing w:line="300" w:lineRule="exact"/>
              <w:rPr>
                <w:rFonts w:hint="eastAsia" w:cs="宋体"/>
                <w:color w:val="000000" w:themeColor="text1"/>
                <w:sz w:val="21"/>
                <w14:textFill>
                  <w14:solidFill>
                    <w14:schemeClr w14:val="tx1"/>
                  </w14:solidFill>
                </w14:textFill>
              </w:rPr>
            </w:pPr>
            <w:r>
              <w:rPr>
                <w:rFonts w:hint="eastAsia" w:cs="宋体"/>
                <w:color w:val="000000" w:themeColor="text1"/>
                <w:sz w:val="21"/>
                <w14:textFill>
                  <w14:solidFill>
                    <w14:schemeClr w14:val="tx1"/>
                  </w14:solidFill>
                </w14:textFill>
              </w:rPr>
              <w:t>合计</w:t>
            </w:r>
          </w:p>
        </w:tc>
        <w:tc>
          <w:tcPr>
            <w:tcW w:w="3711" w:type="pct"/>
            <w:gridSpan w:val="2"/>
            <w:vAlign w:val="center"/>
          </w:tcPr>
          <w:p w14:paraId="7852F2FD">
            <w:pPr>
              <w:pStyle w:val="286"/>
              <w:adjustRightInd w:val="0"/>
              <w:snapToGrid w:val="0"/>
              <w:spacing w:line="300" w:lineRule="exact"/>
              <w:rPr>
                <w:rFonts w:hint="eastAsia" w:cs="宋体"/>
                <w:color w:val="000000" w:themeColor="text1"/>
                <w:sz w:val="21"/>
                <w14:textFill>
                  <w14:solidFill>
                    <w14:schemeClr w14:val="tx1"/>
                  </w14:solidFill>
                </w14:textFill>
              </w:rPr>
            </w:pPr>
            <w:r>
              <w:rPr>
                <w:rFonts w:hint="eastAsia" w:cs="宋体"/>
                <w:color w:val="000000" w:themeColor="text1"/>
                <w:sz w:val="21"/>
                <w14:textFill>
                  <w14:solidFill>
                    <w14:schemeClr w14:val="tx1"/>
                  </w14:solidFill>
                </w14:textFill>
              </w:rPr>
              <w:t>/</w:t>
            </w:r>
          </w:p>
        </w:tc>
        <w:tc>
          <w:tcPr>
            <w:tcW w:w="536" w:type="pct"/>
            <w:vAlign w:val="center"/>
          </w:tcPr>
          <w:p w14:paraId="2140C26E">
            <w:pPr>
              <w:pStyle w:val="286"/>
              <w:adjustRightInd w:val="0"/>
              <w:snapToGrid w:val="0"/>
              <w:spacing w:line="300" w:lineRule="exact"/>
              <w:rPr>
                <w:rFonts w:hint="eastAsia" w:cs="宋体"/>
                <w:color w:val="000000" w:themeColor="text1"/>
                <w:sz w:val="21"/>
                <w14:textFill>
                  <w14:solidFill>
                    <w14:schemeClr w14:val="tx1"/>
                  </w14:solidFill>
                </w14:textFill>
              </w:rPr>
            </w:pPr>
            <w:r>
              <w:rPr>
                <w:rFonts w:hint="eastAsia" w:cs="宋体"/>
                <w:color w:val="000000" w:themeColor="text1"/>
                <w:sz w:val="21"/>
                <w14:textFill>
                  <w14:solidFill>
                    <w14:schemeClr w14:val="tx1"/>
                  </w14:solidFill>
                </w14:textFill>
              </w:rPr>
              <w:t>281</w:t>
            </w:r>
          </w:p>
        </w:tc>
      </w:tr>
      <w:bookmarkEnd w:id="809"/>
      <w:bookmarkEnd w:id="811"/>
    </w:tbl>
    <w:p w14:paraId="7810C250">
      <w:pPr>
        <w:pStyle w:val="3"/>
        <w:rPr>
          <w:rFonts w:hint="eastAsia"/>
          <w:color w:val="000000" w:themeColor="text1"/>
          <w14:textFill>
            <w14:solidFill>
              <w14:schemeClr w14:val="tx1"/>
            </w14:solidFill>
          </w14:textFill>
        </w:rPr>
      </w:pPr>
      <w:r>
        <w:rPr>
          <w:color w:val="000000" w:themeColor="text1"/>
          <w14:textFill>
            <w14:solidFill>
              <w14:schemeClr w14:val="tx1"/>
            </w14:solidFill>
          </w14:textFill>
        </w:rPr>
        <w:br w:type="page"/>
      </w:r>
      <w:bookmarkEnd w:id="810"/>
      <w:bookmarkStart w:id="813" w:name="_Toc468307959"/>
      <w:bookmarkStart w:id="814" w:name="_Toc471933676"/>
      <w:bookmarkStart w:id="815" w:name="_Toc216260321"/>
      <w:bookmarkStart w:id="816" w:name="_Toc459026608"/>
      <w:r>
        <w:rPr>
          <w:rFonts w:hint="eastAsia"/>
          <w:color w:val="000000" w:themeColor="text1"/>
          <w14:textFill>
            <w14:solidFill>
              <w14:schemeClr w14:val="tx1"/>
            </w14:solidFill>
          </w14:textFill>
        </w:rPr>
        <w:t>环境管理与监测</w:t>
      </w:r>
      <w:bookmarkEnd w:id="813"/>
      <w:bookmarkEnd w:id="814"/>
      <w:r>
        <w:rPr>
          <w:rFonts w:hint="eastAsia"/>
          <w:color w:val="000000" w:themeColor="text1"/>
          <w14:textFill>
            <w14:solidFill>
              <w14:schemeClr w14:val="tx1"/>
            </w14:solidFill>
          </w14:textFill>
        </w:rPr>
        <w:t>计划</w:t>
      </w:r>
      <w:bookmarkEnd w:id="815"/>
    </w:p>
    <w:p w14:paraId="35FB8235">
      <w:pPr>
        <w:pStyle w:val="2"/>
        <w:rPr>
          <w:rFonts w:hint="eastAsia"/>
          <w:color w:val="000000" w:themeColor="text1"/>
          <w14:textFill>
            <w14:solidFill>
              <w14:schemeClr w14:val="tx1"/>
            </w14:solidFill>
          </w14:textFill>
        </w:rPr>
      </w:pPr>
      <w:bookmarkStart w:id="817" w:name="_Toc471933677"/>
      <w:bookmarkStart w:id="818" w:name="_Toc468307960"/>
      <w:bookmarkStart w:id="819" w:name="_Toc216260322"/>
      <w:r>
        <w:rPr>
          <w:rFonts w:hint="eastAsia"/>
          <w:color w:val="000000" w:themeColor="text1"/>
          <w14:textFill>
            <w14:solidFill>
              <w14:schemeClr w14:val="tx1"/>
            </w14:solidFill>
          </w14:textFill>
        </w:rPr>
        <w:t>环境</w:t>
      </w:r>
      <w:bookmarkEnd w:id="816"/>
      <w:r>
        <w:rPr>
          <w:color w:val="000000" w:themeColor="text1"/>
          <w14:textFill>
            <w14:solidFill>
              <w14:schemeClr w14:val="tx1"/>
            </w14:solidFill>
          </w14:textFill>
        </w:rPr>
        <w:t>管理</w:t>
      </w:r>
      <w:r>
        <w:rPr>
          <w:rFonts w:hint="eastAsia"/>
          <w:color w:val="000000" w:themeColor="text1"/>
          <w14:textFill>
            <w14:solidFill>
              <w14:schemeClr w14:val="tx1"/>
            </w14:solidFill>
          </w14:textFill>
        </w:rPr>
        <w:t>机构</w:t>
      </w:r>
      <w:bookmarkEnd w:id="817"/>
      <w:bookmarkEnd w:id="818"/>
      <w:bookmarkEnd w:id="819"/>
    </w:p>
    <w:p w14:paraId="0CBEEA92">
      <w:pPr>
        <w:pStyle w:val="117"/>
        <w:ind w:firstLine="480"/>
        <w:rPr>
          <w:rFonts w:hint="eastAsia"/>
          <w:color w:val="000000" w:themeColor="text1"/>
          <w:kern w:val="0"/>
          <w14:textFill>
            <w14:solidFill>
              <w14:schemeClr w14:val="tx1"/>
            </w14:solidFill>
          </w14:textFill>
        </w:rPr>
      </w:pPr>
      <w:r>
        <w:rPr>
          <w:rFonts w:hint="eastAsia"/>
          <w:color w:val="000000" w:themeColor="text1"/>
          <w:kern w:val="0"/>
          <w14:textFill>
            <w14:solidFill>
              <w14:schemeClr w14:val="tx1"/>
            </w14:solidFill>
          </w14:textFill>
        </w:rPr>
        <w:t>本项目依托吉庆油田作业区在环境管理上建立的健康、安全与环境管理体系（</w:t>
      </w:r>
      <w:r>
        <w:rPr>
          <w:color w:val="000000" w:themeColor="text1"/>
          <w:kern w:val="0"/>
          <w14:textFill>
            <w14:solidFill>
              <w14:schemeClr w14:val="tx1"/>
            </w14:solidFill>
          </w14:textFill>
        </w:rPr>
        <w:t>HSE</w:t>
      </w:r>
      <w:r>
        <w:rPr>
          <w:rFonts w:hint="eastAsia"/>
          <w:color w:val="000000" w:themeColor="text1"/>
          <w:kern w:val="0"/>
          <w14:textFill>
            <w14:solidFill>
              <w14:schemeClr w14:val="tx1"/>
            </w14:solidFill>
          </w14:textFill>
        </w:rPr>
        <w:t>管理体系），减少建设期和运营期对周围环境的影响，落实各项环保和安全措施，作业区编制有《吉庆油田作业区质量、健康、安全与环境管理体系管理手册》（版本号A/O，2020年6月8日实施）。</w:t>
      </w:r>
    </w:p>
    <w:p w14:paraId="1339A92D">
      <w:pPr>
        <w:pStyle w:val="117"/>
        <w:ind w:firstLine="480"/>
        <w:rPr>
          <w:rFonts w:hint="eastAsia"/>
          <w:color w:val="000000" w:themeColor="text1"/>
          <w:kern w:val="0"/>
          <w14:textFill>
            <w14:solidFill>
              <w14:schemeClr w14:val="tx1"/>
            </w14:solidFill>
          </w14:textFill>
        </w:rPr>
      </w:pPr>
      <w:r>
        <w:rPr>
          <w:rFonts w:hint="eastAsia"/>
          <w:color w:val="000000" w:themeColor="text1"/>
          <w:kern w:val="0"/>
          <w14:textFill>
            <w14:solidFill>
              <w14:schemeClr w14:val="tx1"/>
            </w14:solidFill>
          </w14:textFill>
        </w:rPr>
        <w:t>作业区在环境管理机构设置上实行逐级负责制，作业区管理体系最高管理者负责制定环境方针和环境目标，为环境管理方案的执行提供必要的支持和物质保障等；日常环境管理工作由安全环保科负责，在环境管理中行使职权，监督体系的建立和实施等；作业区安全环保科负责环境标准的贯彻实施，确保所有有关管理体系方面要求和管理文件能正确、完全地执行；各单位安全环保负责人负责解决油田开发过程中出现的各类环境问题以及发生污染事故的处理等。</w:t>
      </w:r>
    </w:p>
    <w:p w14:paraId="261BD76D">
      <w:pPr>
        <w:pStyle w:val="2"/>
        <w:rPr>
          <w:rFonts w:hint="eastAsia"/>
          <w:color w:val="000000" w:themeColor="text1"/>
          <w14:textFill>
            <w14:solidFill>
              <w14:schemeClr w14:val="tx1"/>
            </w14:solidFill>
          </w14:textFill>
        </w:rPr>
      </w:pPr>
      <w:bookmarkStart w:id="820" w:name="_Toc471933678"/>
      <w:bookmarkStart w:id="821" w:name="_Toc468307961"/>
      <w:bookmarkStart w:id="822" w:name="_Toc459026609"/>
      <w:bookmarkStart w:id="823" w:name="_Toc216260323"/>
      <w:r>
        <w:rPr>
          <w:rFonts w:hint="eastAsia"/>
          <w:color w:val="000000" w:themeColor="text1"/>
          <w14:textFill>
            <w14:solidFill>
              <w14:schemeClr w14:val="tx1"/>
            </w14:solidFill>
          </w14:textFill>
        </w:rPr>
        <w:t>生产区</w:t>
      </w:r>
      <w:r>
        <w:rPr>
          <w:color w:val="000000" w:themeColor="text1"/>
          <w14:textFill>
            <w14:solidFill>
              <w14:schemeClr w14:val="tx1"/>
            </w14:solidFill>
          </w14:textFill>
        </w:rPr>
        <w:t>环境管理</w:t>
      </w:r>
      <w:bookmarkEnd w:id="820"/>
      <w:bookmarkEnd w:id="821"/>
      <w:bookmarkEnd w:id="822"/>
      <w:bookmarkEnd w:id="823"/>
    </w:p>
    <w:p w14:paraId="15242D4B">
      <w:pPr>
        <w:pStyle w:val="4"/>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施工期环境</w:t>
      </w:r>
      <w:r>
        <w:rPr>
          <w:color w:val="000000" w:themeColor="text1"/>
          <w14:textFill>
            <w14:solidFill>
              <w14:schemeClr w14:val="tx1"/>
            </w14:solidFill>
          </w14:textFill>
        </w:rPr>
        <w:t>管理</w:t>
      </w:r>
    </w:p>
    <w:p w14:paraId="27EA4EAB">
      <w:pPr>
        <w:pStyle w:val="117"/>
        <w:ind w:firstLine="480"/>
        <w:rPr>
          <w:rStyle w:val="233"/>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建设单位在施工期应加强对施工单位环境保护工作的监督与管理，施工单位应遵守相关环境保护法律法规，并严格落实本报告以及环评批复中提出的施工期环境保护要求；建立环境保护档案，对施工期采取的环境保护工作进行记录，保留施工前后施工区域的影像资料，便于建设单位进行监督检查。</w:t>
      </w:r>
      <w:r>
        <w:rPr>
          <w:rFonts w:hint="eastAsia" w:cs="宋体"/>
          <w:color w:val="000000" w:themeColor="text1"/>
          <w:lang w:bidi="ar"/>
          <w14:textFill>
            <w14:solidFill>
              <w14:schemeClr w14:val="tx1"/>
            </w14:solidFill>
          </w14:textFill>
        </w:rPr>
        <w:t>施工期相关的施工期环境保护行动计划</w:t>
      </w:r>
      <w:r>
        <w:rPr>
          <w:rStyle w:val="233"/>
          <w:rFonts w:hint="eastAsia"/>
          <w:color w:val="000000" w:themeColor="text1"/>
          <w14:textFill>
            <w14:solidFill>
              <w14:schemeClr w14:val="tx1"/>
            </w14:solidFill>
          </w14:textFill>
        </w:rPr>
        <w:t>见</w:t>
      </w:r>
      <w:r>
        <w:rPr>
          <w:rFonts w:hint="eastAsia"/>
          <w:color w:val="000000" w:themeColor="text1"/>
          <w14:textFill>
            <w14:solidFill>
              <w14:schemeClr w14:val="tx1"/>
            </w14:solidFill>
          </w14:textFill>
        </w:rPr>
        <w:t>表</w:t>
      </w:r>
      <w:r>
        <w:rPr>
          <w:color w:val="000000" w:themeColor="text1"/>
          <w14:textFill>
            <w14:solidFill>
              <w14:schemeClr w14:val="tx1"/>
            </w14:solidFill>
          </w14:textFill>
        </w:rPr>
        <w:t>7.2</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1</w:t>
      </w:r>
      <w:r>
        <w:rPr>
          <w:rStyle w:val="233"/>
          <w:rFonts w:hint="eastAsia"/>
          <w:color w:val="000000" w:themeColor="text1"/>
          <w14:textFill>
            <w14:solidFill>
              <w14:schemeClr w14:val="tx1"/>
            </w14:solidFill>
          </w14:textFill>
        </w:rPr>
        <w:t>。</w:t>
      </w:r>
    </w:p>
    <w:p w14:paraId="62D8C757">
      <w:pPr>
        <w:pStyle w:val="15"/>
        <w:rPr>
          <w:rFonts w:hint="eastAsia"/>
          <w:color w:val="000000" w:themeColor="text1"/>
          <w14:textFill>
            <w14:solidFill>
              <w14:schemeClr w14:val="tx1"/>
            </w14:solidFill>
          </w14:textFill>
        </w:rPr>
      </w:pPr>
      <w:bookmarkStart w:id="824" w:name="_Ref468827344"/>
      <w:r>
        <w:rPr>
          <w:color w:val="000000" w:themeColor="text1"/>
          <w14:textFill>
            <w14:solidFill>
              <w14:schemeClr w14:val="tx1"/>
            </w14:solidFill>
          </w14:textFill>
        </w:rPr>
        <w:t>表</w:t>
      </w:r>
      <w:bookmarkEnd w:id="824"/>
      <w:r>
        <w:rPr>
          <w:color w:val="000000" w:themeColor="text1"/>
          <w14:textFill>
            <w14:solidFill>
              <w14:schemeClr w14:val="tx1"/>
            </w14:solidFill>
          </w14:textFill>
        </w:rPr>
        <w:t>7.2-1</w:t>
      </w:r>
      <w:r>
        <w:rPr>
          <w:rFonts w:hint="eastAsia"/>
          <w:color w:val="000000" w:themeColor="text1"/>
          <w14:textFill>
            <w14:solidFill>
              <w14:schemeClr w14:val="tx1"/>
            </w14:solidFill>
          </w14:textFill>
        </w:rPr>
        <w:t xml:space="preserve">  </w:t>
      </w:r>
      <w:bookmarkStart w:id="825" w:name="_Hlk33482327"/>
      <w:r>
        <w:rPr>
          <w:rFonts w:hint="eastAsia"/>
          <w:color w:val="000000" w:themeColor="text1"/>
          <w14:textFill>
            <w14:solidFill>
              <w14:schemeClr w14:val="tx1"/>
            </w14:solidFill>
          </w14:textFill>
        </w:rPr>
        <w:t>施工期</w:t>
      </w:r>
      <w:r>
        <w:rPr>
          <w:color w:val="000000" w:themeColor="text1"/>
          <w14:textFill>
            <w14:solidFill>
              <w14:schemeClr w14:val="tx1"/>
            </w14:solidFill>
          </w14:textFill>
        </w:rPr>
        <w:t>环境保护行动计划</w:t>
      </w:r>
    </w:p>
    <w:bookmarkEnd w:id="825"/>
    <w:tbl>
      <w:tblPr>
        <w:tblStyle w:val="51"/>
        <w:tblW w:w="8900"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85" w:type="dxa"/>
          <w:bottom w:w="0" w:type="dxa"/>
          <w:right w:w="85" w:type="dxa"/>
        </w:tblCellMar>
      </w:tblPr>
      <w:tblGrid>
        <w:gridCol w:w="631"/>
        <w:gridCol w:w="645"/>
        <w:gridCol w:w="5884"/>
        <w:gridCol w:w="722"/>
        <w:gridCol w:w="1018"/>
      </w:tblGrid>
      <w:tr w14:paraId="0831580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85" w:type="dxa"/>
            <w:bottom w:w="0" w:type="dxa"/>
            <w:right w:w="85" w:type="dxa"/>
          </w:tblCellMar>
        </w:tblPrEx>
        <w:trPr>
          <w:trHeight w:val="340" w:hRule="atLeast"/>
          <w:tblHeader/>
          <w:jc w:val="center"/>
        </w:trPr>
        <w:tc>
          <w:tcPr>
            <w:tcW w:w="631" w:type="dxa"/>
            <w:vAlign w:val="center"/>
          </w:tcPr>
          <w:p w14:paraId="316450EA">
            <w:pPr>
              <w:pStyle w:val="286"/>
              <w:spacing w:line="280" w:lineRule="exact"/>
              <w:rPr>
                <w:rFonts w:hint="eastAsia" w:cs="Arial"/>
                <w:color w:val="000000" w:themeColor="text1"/>
                <w:kern w:val="2"/>
                <w:sz w:val="21"/>
                <w14:textFill>
                  <w14:solidFill>
                    <w14:schemeClr w14:val="tx1"/>
                  </w14:solidFill>
                </w14:textFill>
              </w:rPr>
            </w:pPr>
            <w:r>
              <w:rPr>
                <w:rFonts w:hint="eastAsia" w:cs="Arial"/>
                <w:color w:val="000000" w:themeColor="text1"/>
                <w:kern w:val="2"/>
                <w:sz w:val="21"/>
                <w14:textFill>
                  <w14:solidFill>
                    <w14:schemeClr w14:val="tx1"/>
                  </w14:solidFill>
                </w14:textFill>
              </w:rPr>
              <w:t>序号</w:t>
            </w:r>
          </w:p>
        </w:tc>
        <w:tc>
          <w:tcPr>
            <w:tcW w:w="645" w:type="dxa"/>
            <w:vAlign w:val="center"/>
          </w:tcPr>
          <w:p w14:paraId="7080E198">
            <w:pPr>
              <w:pStyle w:val="286"/>
              <w:spacing w:line="280" w:lineRule="exact"/>
              <w:rPr>
                <w:rFonts w:hint="eastAsia" w:cs="Arial"/>
                <w:color w:val="000000" w:themeColor="text1"/>
                <w:kern w:val="2"/>
                <w:sz w:val="21"/>
                <w14:textFill>
                  <w14:solidFill>
                    <w14:schemeClr w14:val="tx1"/>
                  </w14:solidFill>
                </w14:textFill>
              </w:rPr>
            </w:pPr>
            <w:r>
              <w:rPr>
                <w:rFonts w:hint="eastAsia" w:cs="Arial"/>
                <w:color w:val="000000" w:themeColor="text1"/>
                <w:kern w:val="2"/>
                <w:sz w:val="21"/>
                <w14:textFill>
                  <w14:solidFill>
                    <w14:schemeClr w14:val="tx1"/>
                  </w14:solidFill>
                </w14:textFill>
              </w:rPr>
              <w:t>影响</w:t>
            </w:r>
          </w:p>
          <w:p w14:paraId="1B5B7417">
            <w:pPr>
              <w:pStyle w:val="286"/>
              <w:spacing w:line="280" w:lineRule="exact"/>
              <w:rPr>
                <w:rFonts w:hint="eastAsia" w:cs="Arial"/>
                <w:color w:val="000000" w:themeColor="text1"/>
                <w:kern w:val="2"/>
                <w:sz w:val="21"/>
                <w14:textFill>
                  <w14:solidFill>
                    <w14:schemeClr w14:val="tx1"/>
                  </w14:solidFill>
                </w14:textFill>
              </w:rPr>
            </w:pPr>
            <w:r>
              <w:rPr>
                <w:rFonts w:hint="eastAsia" w:cs="Arial"/>
                <w:color w:val="000000" w:themeColor="text1"/>
                <w:kern w:val="2"/>
                <w:sz w:val="21"/>
                <w14:textFill>
                  <w14:solidFill>
                    <w14:schemeClr w14:val="tx1"/>
                  </w14:solidFill>
                </w14:textFill>
              </w:rPr>
              <w:t>因素</w:t>
            </w:r>
          </w:p>
        </w:tc>
        <w:tc>
          <w:tcPr>
            <w:tcW w:w="5884" w:type="dxa"/>
            <w:vAlign w:val="center"/>
          </w:tcPr>
          <w:p w14:paraId="1E81512D">
            <w:pPr>
              <w:pStyle w:val="286"/>
              <w:spacing w:line="280" w:lineRule="exact"/>
              <w:rPr>
                <w:rFonts w:hint="eastAsia" w:cs="Arial"/>
                <w:color w:val="000000" w:themeColor="text1"/>
                <w:kern w:val="2"/>
                <w:sz w:val="21"/>
                <w14:textFill>
                  <w14:solidFill>
                    <w14:schemeClr w14:val="tx1"/>
                  </w14:solidFill>
                </w14:textFill>
              </w:rPr>
            </w:pPr>
            <w:r>
              <w:rPr>
                <w:rFonts w:hint="eastAsia" w:cs="Arial"/>
                <w:color w:val="000000" w:themeColor="text1"/>
                <w:kern w:val="2"/>
                <w:sz w:val="21"/>
                <w14:textFill>
                  <w14:solidFill>
                    <w14:schemeClr w14:val="tx1"/>
                  </w14:solidFill>
                </w14:textFill>
              </w:rPr>
              <w:t>环保措施</w:t>
            </w:r>
          </w:p>
        </w:tc>
        <w:tc>
          <w:tcPr>
            <w:tcW w:w="722" w:type="dxa"/>
            <w:vAlign w:val="center"/>
          </w:tcPr>
          <w:p w14:paraId="6213F560">
            <w:pPr>
              <w:pStyle w:val="286"/>
              <w:spacing w:line="280" w:lineRule="exact"/>
              <w:rPr>
                <w:rFonts w:hint="eastAsia" w:cs="Arial"/>
                <w:color w:val="000000" w:themeColor="text1"/>
                <w:kern w:val="2"/>
                <w:sz w:val="21"/>
                <w14:textFill>
                  <w14:solidFill>
                    <w14:schemeClr w14:val="tx1"/>
                  </w14:solidFill>
                </w14:textFill>
              </w:rPr>
            </w:pPr>
            <w:r>
              <w:rPr>
                <w:rFonts w:hint="eastAsia" w:cs="Arial"/>
                <w:color w:val="000000" w:themeColor="text1"/>
                <w:kern w:val="2"/>
                <w:sz w:val="21"/>
                <w14:textFill>
                  <w14:solidFill>
                    <w14:schemeClr w14:val="tx1"/>
                  </w14:solidFill>
                </w14:textFill>
              </w:rPr>
              <w:t>实施</w:t>
            </w:r>
          </w:p>
          <w:p w14:paraId="32B94F66">
            <w:pPr>
              <w:pStyle w:val="286"/>
              <w:spacing w:line="280" w:lineRule="exact"/>
              <w:rPr>
                <w:rFonts w:hint="eastAsia" w:cs="Arial"/>
                <w:color w:val="000000" w:themeColor="text1"/>
                <w:kern w:val="2"/>
                <w:sz w:val="21"/>
                <w14:textFill>
                  <w14:solidFill>
                    <w14:schemeClr w14:val="tx1"/>
                  </w14:solidFill>
                </w14:textFill>
              </w:rPr>
            </w:pPr>
            <w:r>
              <w:rPr>
                <w:rFonts w:hint="eastAsia" w:cs="Arial"/>
                <w:color w:val="000000" w:themeColor="text1"/>
                <w:kern w:val="2"/>
                <w:sz w:val="21"/>
                <w14:textFill>
                  <w14:solidFill>
                    <w14:schemeClr w14:val="tx1"/>
                  </w14:solidFill>
                </w14:textFill>
              </w:rPr>
              <w:t>单位</w:t>
            </w:r>
          </w:p>
        </w:tc>
        <w:tc>
          <w:tcPr>
            <w:tcW w:w="1018" w:type="dxa"/>
            <w:vAlign w:val="center"/>
          </w:tcPr>
          <w:p w14:paraId="0A27C8A3">
            <w:pPr>
              <w:pStyle w:val="286"/>
              <w:spacing w:line="280" w:lineRule="exact"/>
              <w:rPr>
                <w:rFonts w:hint="eastAsia" w:cs="Arial"/>
                <w:color w:val="000000" w:themeColor="text1"/>
                <w:kern w:val="2"/>
                <w:sz w:val="21"/>
                <w14:textFill>
                  <w14:solidFill>
                    <w14:schemeClr w14:val="tx1"/>
                  </w14:solidFill>
                </w14:textFill>
              </w:rPr>
            </w:pPr>
            <w:r>
              <w:rPr>
                <w:rFonts w:hint="eastAsia" w:cs="Arial"/>
                <w:color w:val="000000" w:themeColor="text1"/>
                <w:kern w:val="2"/>
                <w:sz w:val="21"/>
                <w14:textFill>
                  <w14:solidFill>
                    <w14:schemeClr w14:val="tx1"/>
                  </w14:solidFill>
                </w14:textFill>
              </w:rPr>
              <w:t>监督</w:t>
            </w:r>
          </w:p>
          <w:p w14:paraId="3348BAC1">
            <w:pPr>
              <w:pStyle w:val="286"/>
              <w:spacing w:line="280" w:lineRule="exact"/>
              <w:rPr>
                <w:rFonts w:hint="eastAsia" w:cs="Arial"/>
                <w:color w:val="000000" w:themeColor="text1"/>
                <w:kern w:val="2"/>
                <w:sz w:val="21"/>
                <w14:textFill>
                  <w14:solidFill>
                    <w14:schemeClr w14:val="tx1"/>
                  </w14:solidFill>
                </w14:textFill>
              </w:rPr>
            </w:pPr>
            <w:r>
              <w:rPr>
                <w:rFonts w:hint="eastAsia" w:cs="Arial"/>
                <w:color w:val="000000" w:themeColor="text1"/>
                <w:kern w:val="2"/>
                <w:sz w:val="21"/>
                <w14:textFill>
                  <w14:solidFill>
                    <w14:schemeClr w14:val="tx1"/>
                  </w14:solidFill>
                </w14:textFill>
              </w:rPr>
              <w:t>单位</w:t>
            </w:r>
          </w:p>
        </w:tc>
      </w:tr>
      <w:tr w14:paraId="19305D5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85" w:type="dxa"/>
            <w:bottom w:w="0" w:type="dxa"/>
            <w:right w:w="85" w:type="dxa"/>
          </w:tblCellMar>
        </w:tblPrEx>
        <w:trPr>
          <w:trHeight w:val="340" w:hRule="atLeast"/>
          <w:jc w:val="center"/>
        </w:trPr>
        <w:tc>
          <w:tcPr>
            <w:tcW w:w="631" w:type="dxa"/>
            <w:vAlign w:val="center"/>
          </w:tcPr>
          <w:p w14:paraId="680ADD2E">
            <w:pPr>
              <w:pStyle w:val="286"/>
              <w:spacing w:line="280" w:lineRule="exact"/>
              <w:rPr>
                <w:rFonts w:hint="eastAsia" w:cs="Arial"/>
                <w:color w:val="000000" w:themeColor="text1"/>
                <w:kern w:val="2"/>
                <w:sz w:val="21"/>
                <w14:textFill>
                  <w14:solidFill>
                    <w14:schemeClr w14:val="tx1"/>
                  </w14:solidFill>
                </w14:textFill>
              </w:rPr>
            </w:pPr>
            <w:r>
              <w:rPr>
                <w:rFonts w:hint="eastAsia" w:cs="Arial"/>
                <w:color w:val="000000" w:themeColor="text1"/>
                <w:kern w:val="2"/>
                <w:sz w:val="21"/>
                <w14:textFill>
                  <w14:solidFill>
                    <w14:schemeClr w14:val="tx1"/>
                  </w14:solidFill>
                </w14:textFill>
              </w:rPr>
              <w:t>1</w:t>
            </w:r>
          </w:p>
        </w:tc>
        <w:tc>
          <w:tcPr>
            <w:tcW w:w="645" w:type="dxa"/>
            <w:vAlign w:val="center"/>
          </w:tcPr>
          <w:p w14:paraId="03D42959">
            <w:pPr>
              <w:pStyle w:val="286"/>
              <w:spacing w:line="280" w:lineRule="exact"/>
              <w:rPr>
                <w:rFonts w:hint="eastAsia" w:cs="Arial"/>
                <w:color w:val="000000" w:themeColor="text1"/>
                <w:kern w:val="2"/>
                <w:sz w:val="21"/>
                <w14:textFill>
                  <w14:solidFill>
                    <w14:schemeClr w14:val="tx1"/>
                  </w14:solidFill>
                </w14:textFill>
              </w:rPr>
            </w:pPr>
            <w:r>
              <w:rPr>
                <w:rFonts w:hint="eastAsia" w:cs="Arial"/>
                <w:color w:val="000000" w:themeColor="text1"/>
                <w:kern w:val="2"/>
                <w:sz w:val="21"/>
                <w14:textFill>
                  <w14:solidFill>
                    <w14:schemeClr w14:val="tx1"/>
                  </w14:solidFill>
                </w14:textFill>
              </w:rPr>
              <w:t>生态</w:t>
            </w:r>
          </w:p>
          <w:p w14:paraId="7D42E391">
            <w:pPr>
              <w:pStyle w:val="286"/>
              <w:spacing w:line="280" w:lineRule="exact"/>
              <w:rPr>
                <w:rFonts w:hint="eastAsia" w:cs="Arial"/>
                <w:color w:val="000000" w:themeColor="text1"/>
                <w:kern w:val="2"/>
                <w:sz w:val="21"/>
                <w14:textFill>
                  <w14:solidFill>
                    <w14:schemeClr w14:val="tx1"/>
                  </w14:solidFill>
                </w14:textFill>
              </w:rPr>
            </w:pPr>
            <w:r>
              <w:rPr>
                <w:rFonts w:hint="eastAsia" w:cs="Arial"/>
                <w:color w:val="000000" w:themeColor="text1"/>
                <w:kern w:val="2"/>
                <w:sz w:val="21"/>
                <w14:textFill>
                  <w14:solidFill>
                    <w14:schemeClr w14:val="tx1"/>
                  </w14:solidFill>
                </w14:textFill>
              </w:rPr>
              <w:t>环境</w:t>
            </w:r>
          </w:p>
        </w:tc>
        <w:tc>
          <w:tcPr>
            <w:tcW w:w="5884" w:type="dxa"/>
            <w:vAlign w:val="center"/>
          </w:tcPr>
          <w:p w14:paraId="0A212046">
            <w:pPr>
              <w:pStyle w:val="286"/>
              <w:spacing w:line="280" w:lineRule="exact"/>
              <w:jc w:val="left"/>
              <w:rPr>
                <w:rFonts w:hint="eastAsia" w:cs="Arial"/>
                <w:color w:val="000000" w:themeColor="text1"/>
                <w:kern w:val="2"/>
                <w:sz w:val="21"/>
                <w14:textFill>
                  <w14:solidFill>
                    <w14:schemeClr w14:val="tx1"/>
                  </w14:solidFill>
                </w14:textFill>
              </w:rPr>
            </w:pPr>
            <w:r>
              <w:rPr>
                <w:rFonts w:hint="eastAsia" w:cs="Arial"/>
                <w:color w:val="000000" w:themeColor="text1"/>
                <w:kern w:val="2"/>
                <w:sz w:val="21"/>
                <w14:textFill>
                  <w14:solidFill>
                    <w14:schemeClr w14:val="tx1"/>
                  </w14:solidFill>
                </w14:textFill>
              </w:rPr>
              <w:t>施工过程中严格控制占地面积，规定施工活动范围，减少临时占地和对地表的扰动。施工结束后，施工单位应负责及时清理现场，使之尽快自然恢复，将施工期对生态环境影响降到最低。严禁施工人员踩踏植被和猎捕野生动物。</w:t>
            </w:r>
          </w:p>
        </w:tc>
        <w:tc>
          <w:tcPr>
            <w:tcW w:w="722" w:type="dxa"/>
            <w:vMerge w:val="restart"/>
            <w:vAlign w:val="center"/>
          </w:tcPr>
          <w:p w14:paraId="33DFD4CE">
            <w:pPr>
              <w:pStyle w:val="286"/>
              <w:spacing w:line="280" w:lineRule="exact"/>
              <w:rPr>
                <w:rFonts w:hint="eastAsia" w:cs="Arial"/>
                <w:color w:val="000000" w:themeColor="text1"/>
                <w:kern w:val="2"/>
                <w:sz w:val="21"/>
                <w14:textFill>
                  <w14:solidFill>
                    <w14:schemeClr w14:val="tx1"/>
                  </w14:solidFill>
                </w14:textFill>
              </w:rPr>
            </w:pPr>
            <w:r>
              <w:rPr>
                <w:rFonts w:hint="eastAsia" w:cs="Arial"/>
                <w:color w:val="000000" w:themeColor="text1"/>
                <w:kern w:val="2"/>
                <w:sz w:val="21"/>
                <w14:textFill>
                  <w14:solidFill>
                    <w14:schemeClr w14:val="tx1"/>
                  </w14:solidFill>
                </w14:textFill>
              </w:rPr>
              <w:t>施工单位</w:t>
            </w:r>
          </w:p>
        </w:tc>
        <w:tc>
          <w:tcPr>
            <w:tcW w:w="1018" w:type="dxa"/>
            <w:vMerge w:val="restart"/>
            <w:vAlign w:val="center"/>
          </w:tcPr>
          <w:p w14:paraId="2CF39F3B">
            <w:pPr>
              <w:pStyle w:val="286"/>
              <w:spacing w:line="280" w:lineRule="exact"/>
              <w:rPr>
                <w:rFonts w:hint="eastAsia" w:cs="Arial"/>
                <w:color w:val="000000" w:themeColor="text1"/>
                <w:kern w:val="2"/>
                <w:sz w:val="21"/>
                <w14:textFill>
                  <w14:solidFill>
                    <w14:schemeClr w14:val="tx1"/>
                  </w14:solidFill>
                </w14:textFill>
              </w:rPr>
            </w:pPr>
            <w:r>
              <w:rPr>
                <w:rFonts w:hint="eastAsia" w:cs="Arial"/>
                <w:color w:val="000000" w:themeColor="text1"/>
                <w:kern w:val="2"/>
                <w:sz w:val="21"/>
                <w14:textFill>
                  <w14:solidFill>
                    <w14:schemeClr w14:val="tx1"/>
                  </w14:solidFill>
                </w14:textFill>
              </w:rPr>
              <w:t>新疆维吾尔自治区生态环境厅、昌吉回族自治州生态环境局、昌吉回族自治州生态环境局吉木萨尔县分局</w:t>
            </w:r>
          </w:p>
        </w:tc>
      </w:tr>
      <w:tr w14:paraId="14E3E41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85" w:type="dxa"/>
            <w:bottom w:w="0" w:type="dxa"/>
            <w:right w:w="85" w:type="dxa"/>
          </w:tblCellMar>
        </w:tblPrEx>
        <w:trPr>
          <w:trHeight w:val="340" w:hRule="atLeast"/>
          <w:jc w:val="center"/>
        </w:trPr>
        <w:tc>
          <w:tcPr>
            <w:tcW w:w="631" w:type="dxa"/>
            <w:vAlign w:val="center"/>
          </w:tcPr>
          <w:p w14:paraId="6F79DAAC">
            <w:pPr>
              <w:pStyle w:val="286"/>
              <w:spacing w:line="280" w:lineRule="exact"/>
              <w:rPr>
                <w:rFonts w:hint="eastAsia" w:cs="Arial"/>
                <w:color w:val="000000" w:themeColor="text1"/>
                <w:kern w:val="2"/>
                <w:sz w:val="21"/>
                <w14:textFill>
                  <w14:solidFill>
                    <w14:schemeClr w14:val="tx1"/>
                  </w14:solidFill>
                </w14:textFill>
              </w:rPr>
            </w:pPr>
            <w:r>
              <w:rPr>
                <w:rFonts w:hint="eastAsia" w:cs="Arial"/>
                <w:color w:val="000000" w:themeColor="text1"/>
                <w:kern w:val="2"/>
                <w:sz w:val="21"/>
                <w14:textFill>
                  <w14:solidFill>
                    <w14:schemeClr w14:val="tx1"/>
                  </w14:solidFill>
                </w14:textFill>
              </w:rPr>
              <w:t>2</w:t>
            </w:r>
          </w:p>
        </w:tc>
        <w:tc>
          <w:tcPr>
            <w:tcW w:w="645" w:type="dxa"/>
            <w:vAlign w:val="center"/>
          </w:tcPr>
          <w:p w14:paraId="30C6F34B">
            <w:pPr>
              <w:pStyle w:val="286"/>
              <w:spacing w:line="280" w:lineRule="exact"/>
              <w:rPr>
                <w:rFonts w:hint="eastAsia" w:cs="Arial"/>
                <w:color w:val="000000" w:themeColor="text1"/>
                <w:kern w:val="2"/>
                <w:sz w:val="21"/>
                <w14:textFill>
                  <w14:solidFill>
                    <w14:schemeClr w14:val="tx1"/>
                  </w14:solidFill>
                </w14:textFill>
              </w:rPr>
            </w:pPr>
            <w:r>
              <w:rPr>
                <w:rFonts w:hint="eastAsia" w:cs="Arial"/>
                <w:color w:val="000000" w:themeColor="text1"/>
                <w:kern w:val="2"/>
                <w:sz w:val="21"/>
                <w14:textFill>
                  <w14:solidFill>
                    <w14:schemeClr w14:val="tx1"/>
                  </w14:solidFill>
                </w14:textFill>
              </w:rPr>
              <w:t>水环境</w:t>
            </w:r>
          </w:p>
        </w:tc>
        <w:tc>
          <w:tcPr>
            <w:tcW w:w="5884" w:type="dxa"/>
            <w:vAlign w:val="center"/>
          </w:tcPr>
          <w:p w14:paraId="5B7052FF">
            <w:pPr>
              <w:pStyle w:val="286"/>
              <w:spacing w:line="280" w:lineRule="exact"/>
              <w:jc w:val="left"/>
              <w:rPr>
                <w:rFonts w:hint="eastAsia" w:cs="Arial"/>
                <w:color w:val="000000" w:themeColor="text1"/>
                <w:kern w:val="2"/>
                <w:sz w:val="21"/>
                <w14:textFill>
                  <w14:solidFill>
                    <w14:schemeClr w14:val="tx1"/>
                  </w14:solidFill>
                </w14:textFill>
              </w:rPr>
            </w:pPr>
            <w:r>
              <w:rPr>
                <w:rFonts w:hint="eastAsia" w:cs="Arial"/>
                <w:color w:val="000000" w:themeColor="text1"/>
                <w:kern w:val="2"/>
                <w:sz w:val="21"/>
                <w14:textFill>
                  <w14:solidFill>
                    <w14:schemeClr w14:val="tx1"/>
                  </w14:solidFill>
                </w14:textFill>
              </w:rPr>
              <w:t>管线试压废水、混凝土养护废水用于施工洒水抑尘，洗井废水由罐车拉运至压裂返排液处理装置处理达标后回用于压裂液的复配，不外排。</w:t>
            </w:r>
          </w:p>
        </w:tc>
        <w:tc>
          <w:tcPr>
            <w:tcW w:w="722" w:type="dxa"/>
            <w:vMerge w:val="continue"/>
            <w:vAlign w:val="center"/>
          </w:tcPr>
          <w:p w14:paraId="7F2CD6CD">
            <w:pPr>
              <w:pStyle w:val="286"/>
              <w:spacing w:line="280" w:lineRule="exact"/>
              <w:rPr>
                <w:rFonts w:hint="eastAsia" w:cs="Arial"/>
                <w:color w:val="000000" w:themeColor="text1"/>
                <w:kern w:val="2"/>
                <w:sz w:val="21"/>
                <w14:textFill>
                  <w14:solidFill>
                    <w14:schemeClr w14:val="tx1"/>
                  </w14:solidFill>
                </w14:textFill>
              </w:rPr>
            </w:pPr>
          </w:p>
        </w:tc>
        <w:tc>
          <w:tcPr>
            <w:tcW w:w="1018" w:type="dxa"/>
            <w:vMerge w:val="continue"/>
            <w:vAlign w:val="center"/>
          </w:tcPr>
          <w:p w14:paraId="76397253">
            <w:pPr>
              <w:pStyle w:val="286"/>
              <w:spacing w:line="280" w:lineRule="exact"/>
              <w:rPr>
                <w:rFonts w:hint="eastAsia" w:cs="Arial"/>
                <w:color w:val="000000" w:themeColor="text1"/>
                <w:kern w:val="2"/>
                <w:sz w:val="21"/>
                <w14:textFill>
                  <w14:solidFill>
                    <w14:schemeClr w14:val="tx1"/>
                  </w14:solidFill>
                </w14:textFill>
              </w:rPr>
            </w:pPr>
          </w:p>
        </w:tc>
      </w:tr>
      <w:tr w14:paraId="3A8DBC0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85" w:type="dxa"/>
            <w:bottom w:w="0" w:type="dxa"/>
            <w:right w:w="85" w:type="dxa"/>
          </w:tblCellMar>
        </w:tblPrEx>
        <w:trPr>
          <w:trHeight w:val="340" w:hRule="atLeast"/>
          <w:jc w:val="center"/>
        </w:trPr>
        <w:tc>
          <w:tcPr>
            <w:tcW w:w="631" w:type="dxa"/>
            <w:vAlign w:val="center"/>
          </w:tcPr>
          <w:p w14:paraId="05B255FF">
            <w:pPr>
              <w:pStyle w:val="286"/>
              <w:spacing w:line="280" w:lineRule="exact"/>
              <w:rPr>
                <w:rFonts w:hint="eastAsia" w:cs="Arial"/>
                <w:color w:val="000000" w:themeColor="text1"/>
                <w:kern w:val="2"/>
                <w:sz w:val="21"/>
                <w14:textFill>
                  <w14:solidFill>
                    <w14:schemeClr w14:val="tx1"/>
                  </w14:solidFill>
                </w14:textFill>
              </w:rPr>
            </w:pPr>
            <w:r>
              <w:rPr>
                <w:rFonts w:hint="eastAsia" w:cs="Arial"/>
                <w:color w:val="000000" w:themeColor="text1"/>
                <w:kern w:val="2"/>
                <w:sz w:val="21"/>
                <w14:textFill>
                  <w14:solidFill>
                    <w14:schemeClr w14:val="tx1"/>
                  </w14:solidFill>
                </w14:textFill>
              </w:rPr>
              <w:t>3</w:t>
            </w:r>
          </w:p>
        </w:tc>
        <w:tc>
          <w:tcPr>
            <w:tcW w:w="645" w:type="dxa"/>
            <w:vAlign w:val="center"/>
          </w:tcPr>
          <w:p w14:paraId="2599D2FB">
            <w:pPr>
              <w:pStyle w:val="286"/>
              <w:spacing w:line="280" w:lineRule="exact"/>
              <w:rPr>
                <w:rFonts w:hint="eastAsia" w:cs="Arial"/>
                <w:color w:val="000000" w:themeColor="text1"/>
                <w:kern w:val="2"/>
                <w:sz w:val="21"/>
                <w14:textFill>
                  <w14:solidFill>
                    <w14:schemeClr w14:val="tx1"/>
                  </w14:solidFill>
                </w14:textFill>
              </w:rPr>
            </w:pPr>
            <w:r>
              <w:rPr>
                <w:rFonts w:hint="eastAsia" w:cs="Arial"/>
                <w:color w:val="000000" w:themeColor="text1"/>
                <w:kern w:val="2"/>
                <w:sz w:val="21"/>
                <w14:textFill>
                  <w14:solidFill>
                    <w14:schemeClr w14:val="tx1"/>
                  </w14:solidFill>
                </w14:textFill>
              </w:rPr>
              <w:t>土壤</w:t>
            </w:r>
          </w:p>
          <w:p w14:paraId="193FBBA1">
            <w:pPr>
              <w:pStyle w:val="286"/>
              <w:spacing w:line="280" w:lineRule="exact"/>
              <w:rPr>
                <w:rFonts w:hint="eastAsia" w:cs="Arial"/>
                <w:color w:val="000000" w:themeColor="text1"/>
                <w:kern w:val="2"/>
                <w:sz w:val="21"/>
                <w14:textFill>
                  <w14:solidFill>
                    <w14:schemeClr w14:val="tx1"/>
                  </w14:solidFill>
                </w14:textFill>
              </w:rPr>
            </w:pPr>
            <w:r>
              <w:rPr>
                <w:rFonts w:hint="eastAsia" w:cs="Arial"/>
                <w:color w:val="000000" w:themeColor="text1"/>
                <w:kern w:val="2"/>
                <w:sz w:val="21"/>
                <w14:textFill>
                  <w14:solidFill>
                    <w14:schemeClr w14:val="tx1"/>
                  </w14:solidFill>
                </w14:textFill>
              </w:rPr>
              <w:t>环境</w:t>
            </w:r>
          </w:p>
        </w:tc>
        <w:tc>
          <w:tcPr>
            <w:tcW w:w="5884" w:type="dxa"/>
            <w:vAlign w:val="center"/>
          </w:tcPr>
          <w:p w14:paraId="3D0DDE2A">
            <w:pPr>
              <w:pStyle w:val="286"/>
              <w:spacing w:line="280" w:lineRule="exact"/>
              <w:jc w:val="left"/>
              <w:rPr>
                <w:rFonts w:hint="eastAsia" w:cs="Arial"/>
                <w:color w:val="000000" w:themeColor="text1"/>
                <w:kern w:val="2"/>
                <w:sz w:val="21"/>
                <w14:textFill>
                  <w14:solidFill>
                    <w14:schemeClr w14:val="tx1"/>
                  </w14:solidFill>
                </w14:textFill>
              </w:rPr>
            </w:pPr>
            <w:r>
              <w:rPr>
                <w:rFonts w:hint="eastAsia" w:cs="Arial"/>
                <w:color w:val="000000" w:themeColor="text1"/>
                <w:kern w:val="2"/>
                <w:sz w:val="21"/>
                <w14:textFill>
                  <w14:solidFill>
                    <w14:schemeClr w14:val="tx1"/>
                  </w14:solidFill>
                </w14:textFill>
              </w:rPr>
              <w:t>按规定的施工范围进行作业，可有效减少土壤扰动，施工产生的建筑垃圾及时清运，可避免污染物进入土壤环境造成污染。</w:t>
            </w:r>
          </w:p>
        </w:tc>
        <w:tc>
          <w:tcPr>
            <w:tcW w:w="722" w:type="dxa"/>
            <w:vMerge w:val="continue"/>
            <w:vAlign w:val="center"/>
          </w:tcPr>
          <w:p w14:paraId="5810C075">
            <w:pPr>
              <w:pStyle w:val="286"/>
              <w:spacing w:line="280" w:lineRule="exact"/>
              <w:rPr>
                <w:rFonts w:hint="eastAsia" w:cs="Arial"/>
                <w:color w:val="000000" w:themeColor="text1"/>
                <w:kern w:val="2"/>
                <w:sz w:val="21"/>
                <w14:textFill>
                  <w14:solidFill>
                    <w14:schemeClr w14:val="tx1"/>
                  </w14:solidFill>
                </w14:textFill>
              </w:rPr>
            </w:pPr>
          </w:p>
        </w:tc>
        <w:tc>
          <w:tcPr>
            <w:tcW w:w="1018" w:type="dxa"/>
            <w:vMerge w:val="continue"/>
            <w:vAlign w:val="center"/>
          </w:tcPr>
          <w:p w14:paraId="15B4221F">
            <w:pPr>
              <w:pStyle w:val="286"/>
              <w:spacing w:line="280" w:lineRule="exact"/>
              <w:rPr>
                <w:rFonts w:hint="eastAsia" w:cs="Arial"/>
                <w:color w:val="000000" w:themeColor="text1"/>
                <w:kern w:val="2"/>
                <w:sz w:val="21"/>
                <w14:textFill>
                  <w14:solidFill>
                    <w14:schemeClr w14:val="tx1"/>
                  </w14:solidFill>
                </w14:textFill>
              </w:rPr>
            </w:pPr>
          </w:p>
        </w:tc>
      </w:tr>
      <w:tr w14:paraId="1B23FFB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85" w:type="dxa"/>
            <w:bottom w:w="0" w:type="dxa"/>
            <w:right w:w="85" w:type="dxa"/>
          </w:tblCellMar>
        </w:tblPrEx>
        <w:trPr>
          <w:trHeight w:val="340" w:hRule="atLeast"/>
          <w:jc w:val="center"/>
        </w:trPr>
        <w:tc>
          <w:tcPr>
            <w:tcW w:w="631" w:type="dxa"/>
            <w:vAlign w:val="center"/>
          </w:tcPr>
          <w:p w14:paraId="6A733E4B">
            <w:pPr>
              <w:pStyle w:val="286"/>
              <w:spacing w:line="280" w:lineRule="exact"/>
              <w:rPr>
                <w:rFonts w:hint="eastAsia" w:cs="Arial"/>
                <w:color w:val="000000" w:themeColor="text1"/>
                <w:kern w:val="2"/>
                <w:sz w:val="21"/>
                <w14:textFill>
                  <w14:solidFill>
                    <w14:schemeClr w14:val="tx1"/>
                  </w14:solidFill>
                </w14:textFill>
              </w:rPr>
            </w:pPr>
            <w:r>
              <w:rPr>
                <w:rFonts w:cs="Arial"/>
                <w:color w:val="000000" w:themeColor="text1"/>
                <w:kern w:val="2"/>
                <w:sz w:val="21"/>
                <w14:textFill>
                  <w14:solidFill>
                    <w14:schemeClr w14:val="tx1"/>
                  </w14:solidFill>
                </w14:textFill>
              </w:rPr>
              <w:t>4</w:t>
            </w:r>
          </w:p>
        </w:tc>
        <w:tc>
          <w:tcPr>
            <w:tcW w:w="645" w:type="dxa"/>
            <w:vAlign w:val="center"/>
          </w:tcPr>
          <w:p w14:paraId="6229B6B5">
            <w:pPr>
              <w:pStyle w:val="286"/>
              <w:spacing w:line="280" w:lineRule="exact"/>
              <w:rPr>
                <w:rFonts w:hint="eastAsia" w:cs="Arial"/>
                <w:color w:val="000000" w:themeColor="text1"/>
                <w:kern w:val="2"/>
                <w:sz w:val="21"/>
                <w14:textFill>
                  <w14:solidFill>
                    <w14:schemeClr w14:val="tx1"/>
                  </w14:solidFill>
                </w14:textFill>
              </w:rPr>
            </w:pPr>
            <w:r>
              <w:rPr>
                <w:rFonts w:hint="eastAsia" w:cs="Arial"/>
                <w:color w:val="000000" w:themeColor="text1"/>
                <w:kern w:val="2"/>
                <w:sz w:val="21"/>
                <w14:textFill>
                  <w14:solidFill>
                    <w14:schemeClr w14:val="tx1"/>
                  </w14:solidFill>
                </w14:textFill>
              </w:rPr>
              <w:t>声环境</w:t>
            </w:r>
          </w:p>
        </w:tc>
        <w:tc>
          <w:tcPr>
            <w:tcW w:w="5884" w:type="dxa"/>
            <w:vAlign w:val="center"/>
          </w:tcPr>
          <w:p w14:paraId="75533A6F">
            <w:pPr>
              <w:pStyle w:val="286"/>
              <w:spacing w:line="280" w:lineRule="exact"/>
              <w:jc w:val="left"/>
              <w:rPr>
                <w:rFonts w:hint="eastAsia" w:cs="Arial"/>
                <w:color w:val="000000" w:themeColor="text1"/>
                <w:kern w:val="2"/>
                <w:sz w:val="21"/>
                <w14:textFill>
                  <w14:solidFill>
                    <w14:schemeClr w14:val="tx1"/>
                  </w14:solidFill>
                </w14:textFill>
              </w:rPr>
            </w:pPr>
            <w:r>
              <w:rPr>
                <w:rFonts w:hint="eastAsia" w:cs="Arial"/>
                <w:color w:val="000000" w:themeColor="text1"/>
                <w:kern w:val="2"/>
                <w:sz w:val="21"/>
                <w14:textFill>
                  <w14:solidFill>
                    <w14:schemeClr w14:val="tx1"/>
                  </w14:solidFill>
                </w14:textFill>
              </w:rPr>
              <w:t>选用低噪声设备，并注意设备的正确使用和经常性维护，保持较低噪声水平。运输车辆限速、尽量减少鸣笛。</w:t>
            </w:r>
          </w:p>
        </w:tc>
        <w:tc>
          <w:tcPr>
            <w:tcW w:w="722" w:type="dxa"/>
            <w:vMerge w:val="continue"/>
            <w:vAlign w:val="center"/>
          </w:tcPr>
          <w:p w14:paraId="14F597C2">
            <w:pPr>
              <w:pStyle w:val="286"/>
              <w:spacing w:line="280" w:lineRule="exact"/>
              <w:rPr>
                <w:rFonts w:hint="eastAsia" w:cs="Arial"/>
                <w:color w:val="000000" w:themeColor="text1"/>
                <w:kern w:val="2"/>
                <w:sz w:val="21"/>
                <w14:textFill>
                  <w14:solidFill>
                    <w14:schemeClr w14:val="tx1"/>
                  </w14:solidFill>
                </w14:textFill>
              </w:rPr>
            </w:pPr>
          </w:p>
        </w:tc>
        <w:tc>
          <w:tcPr>
            <w:tcW w:w="1018" w:type="dxa"/>
            <w:vMerge w:val="continue"/>
            <w:vAlign w:val="center"/>
          </w:tcPr>
          <w:p w14:paraId="2CCBA274">
            <w:pPr>
              <w:pStyle w:val="286"/>
              <w:spacing w:line="280" w:lineRule="exact"/>
              <w:rPr>
                <w:rFonts w:hint="eastAsia" w:cs="Arial"/>
                <w:color w:val="000000" w:themeColor="text1"/>
                <w:kern w:val="2"/>
                <w:sz w:val="21"/>
                <w14:textFill>
                  <w14:solidFill>
                    <w14:schemeClr w14:val="tx1"/>
                  </w14:solidFill>
                </w14:textFill>
              </w:rPr>
            </w:pPr>
          </w:p>
        </w:tc>
      </w:tr>
      <w:tr w14:paraId="51FED1D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85" w:type="dxa"/>
            <w:bottom w:w="0" w:type="dxa"/>
            <w:right w:w="85" w:type="dxa"/>
          </w:tblCellMar>
        </w:tblPrEx>
        <w:trPr>
          <w:trHeight w:val="340" w:hRule="atLeast"/>
          <w:jc w:val="center"/>
        </w:trPr>
        <w:tc>
          <w:tcPr>
            <w:tcW w:w="631" w:type="dxa"/>
            <w:vAlign w:val="center"/>
          </w:tcPr>
          <w:p w14:paraId="4F165644">
            <w:pPr>
              <w:pStyle w:val="286"/>
              <w:spacing w:line="280" w:lineRule="exact"/>
              <w:rPr>
                <w:rFonts w:hint="eastAsia" w:cs="Arial"/>
                <w:color w:val="000000" w:themeColor="text1"/>
                <w:kern w:val="2"/>
                <w:sz w:val="21"/>
                <w14:textFill>
                  <w14:solidFill>
                    <w14:schemeClr w14:val="tx1"/>
                  </w14:solidFill>
                </w14:textFill>
              </w:rPr>
            </w:pPr>
            <w:r>
              <w:rPr>
                <w:rFonts w:cs="Arial"/>
                <w:color w:val="000000" w:themeColor="text1"/>
                <w:kern w:val="2"/>
                <w:sz w:val="21"/>
                <w14:textFill>
                  <w14:solidFill>
                    <w14:schemeClr w14:val="tx1"/>
                  </w14:solidFill>
                </w14:textFill>
              </w:rPr>
              <w:t>5</w:t>
            </w:r>
          </w:p>
        </w:tc>
        <w:tc>
          <w:tcPr>
            <w:tcW w:w="645" w:type="dxa"/>
            <w:vAlign w:val="center"/>
          </w:tcPr>
          <w:p w14:paraId="26F8446C">
            <w:pPr>
              <w:pStyle w:val="286"/>
              <w:spacing w:line="280" w:lineRule="exact"/>
              <w:rPr>
                <w:rFonts w:hint="eastAsia" w:cs="Arial"/>
                <w:color w:val="000000" w:themeColor="text1"/>
                <w:kern w:val="2"/>
                <w:sz w:val="21"/>
                <w14:textFill>
                  <w14:solidFill>
                    <w14:schemeClr w14:val="tx1"/>
                  </w14:solidFill>
                </w14:textFill>
              </w:rPr>
            </w:pPr>
            <w:r>
              <w:rPr>
                <w:rFonts w:hint="eastAsia" w:cs="Arial"/>
                <w:color w:val="000000" w:themeColor="text1"/>
                <w:kern w:val="2"/>
                <w:sz w:val="21"/>
                <w14:textFill>
                  <w14:solidFill>
                    <w14:schemeClr w14:val="tx1"/>
                  </w14:solidFill>
                </w14:textFill>
              </w:rPr>
              <w:t>大气</w:t>
            </w:r>
          </w:p>
          <w:p w14:paraId="1D65B549">
            <w:pPr>
              <w:pStyle w:val="286"/>
              <w:spacing w:line="280" w:lineRule="exact"/>
              <w:rPr>
                <w:rFonts w:hint="eastAsia" w:cs="Arial"/>
                <w:color w:val="000000" w:themeColor="text1"/>
                <w:kern w:val="2"/>
                <w:sz w:val="21"/>
                <w14:textFill>
                  <w14:solidFill>
                    <w14:schemeClr w14:val="tx1"/>
                  </w14:solidFill>
                </w14:textFill>
              </w:rPr>
            </w:pPr>
            <w:r>
              <w:rPr>
                <w:rFonts w:hint="eastAsia" w:cs="Arial"/>
                <w:color w:val="000000" w:themeColor="text1"/>
                <w:kern w:val="2"/>
                <w:sz w:val="21"/>
                <w14:textFill>
                  <w14:solidFill>
                    <w14:schemeClr w14:val="tx1"/>
                  </w14:solidFill>
                </w14:textFill>
              </w:rPr>
              <w:t>环境</w:t>
            </w:r>
          </w:p>
        </w:tc>
        <w:tc>
          <w:tcPr>
            <w:tcW w:w="5884" w:type="dxa"/>
            <w:vAlign w:val="center"/>
          </w:tcPr>
          <w:p w14:paraId="61E86106">
            <w:pPr>
              <w:pStyle w:val="286"/>
              <w:spacing w:line="280" w:lineRule="exact"/>
              <w:jc w:val="left"/>
              <w:rPr>
                <w:rFonts w:hint="eastAsia" w:cs="Arial"/>
                <w:color w:val="000000" w:themeColor="text1"/>
                <w:kern w:val="2"/>
                <w:sz w:val="21"/>
                <w14:textFill>
                  <w14:solidFill>
                    <w14:schemeClr w14:val="tx1"/>
                  </w14:solidFill>
                </w14:textFill>
              </w:rPr>
            </w:pPr>
            <w:r>
              <w:rPr>
                <w:rFonts w:hint="eastAsia" w:cs="Arial"/>
                <w:color w:val="000000" w:themeColor="text1"/>
                <w:kern w:val="2"/>
                <w:sz w:val="21"/>
                <w14:textFill>
                  <w14:solidFill>
                    <w14:schemeClr w14:val="tx1"/>
                  </w14:solidFill>
                </w14:textFill>
              </w:rPr>
              <w:t>逸散性材料运输、装卸和堆放过程中采取加盖苫布等抑尘措施，严禁散落和尘土飞扬。施工期各机械设备应使用符合国家标准的油品，加强设备的维护，减少大气污染物的排放量。</w:t>
            </w:r>
          </w:p>
        </w:tc>
        <w:tc>
          <w:tcPr>
            <w:tcW w:w="722" w:type="dxa"/>
            <w:vMerge w:val="continue"/>
            <w:vAlign w:val="center"/>
          </w:tcPr>
          <w:p w14:paraId="2ADF032A">
            <w:pPr>
              <w:pStyle w:val="286"/>
              <w:spacing w:line="280" w:lineRule="exact"/>
              <w:rPr>
                <w:rFonts w:hint="eastAsia" w:cs="Arial"/>
                <w:color w:val="000000" w:themeColor="text1"/>
                <w:kern w:val="2"/>
                <w:sz w:val="21"/>
                <w14:textFill>
                  <w14:solidFill>
                    <w14:schemeClr w14:val="tx1"/>
                  </w14:solidFill>
                </w14:textFill>
              </w:rPr>
            </w:pPr>
          </w:p>
        </w:tc>
        <w:tc>
          <w:tcPr>
            <w:tcW w:w="1018" w:type="dxa"/>
            <w:vMerge w:val="continue"/>
            <w:vAlign w:val="center"/>
          </w:tcPr>
          <w:p w14:paraId="48892FE2">
            <w:pPr>
              <w:pStyle w:val="286"/>
              <w:spacing w:line="280" w:lineRule="exact"/>
              <w:rPr>
                <w:rFonts w:hint="eastAsia" w:cs="Arial"/>
                <w:color w:val="000000" w:themeColor="text1"/>
                <w:kern w:val="2"/>
                <w:sz w:val="21"/>
                <w14:textFill>
                  <w14:solidFill>
                    <w14:schemeClr w14:val="tx1"/>
                  </w14:solidFill>
                </w14:textFill>
              </w:rPr>
            </w:pPr>
          </w:p>
        </w:tc>
      </w:tr>
      <w:tr w14:paraId="3F99571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85" w:type="dxa"/>
            <w:bottom w:w="0" w:type="dxa"/>
            <w:right w:w="85" w:type="dxa"/>
          </w:tblCellMar>
        </w:tblPrEx>
        <w:trPr>
          <w:trHeight w:val="340" w:hRule="atLeast"/>
          <w:jc w:val="center"/>
        </w:trPr>
        <w:tc>
          <w:tcPr>
            <w:tcW w:w="631" w:type="dxa"/>
            <w:vAlign w:val="center"/>
          </w:tcPr>
          <w:p w14:paraId="37C4C553">
            <w:pPr>
              <w:pStyle w:val="286"/>
              <w:spacing w:line="280" w:lineRule="exact"/>
              <w:rPr>
                <w:rFonts w:hint="eastAsia" w:cs="Arial"/>
                <w:color w:val="000000" w:themeColor="text1"/>
                <w:kern w:val="2"/>
                <w:sz w:val="21"/>
                <w14:textFill>
                  <w14:solidFill>
                    <w14:schemeClr w14:val="tx1"/>
                  </w14:solidFill>
                </w14:textFill>
              </w:rPr>
            </w:pPr>
            <w:r>
              <w:rPr>
                <w:rFonts w:cs="Arial"/>
                <w:color w:val="000000" w:themeColor="text1"/>
                <w:kern w:val="2"/>
                <w:sz w:val="21"/>
                <w14:textFill>
                  <w14:solidFill>
                    <w14:schemeClr w14:val="tx1"/>
                  </w14:solidFill>
                </w14:textFill>
              </w:rPr>
              <w:t>6</w:t>
            </w:r>
          </w:p>
        </w:tc>
        <w:tc>
          <w:tcPr>
            <w:tcW w:w="645" w:type="dxa"/>
            <w:vAlign w:val="center"/>
          </w:tcPr>
          <w:p w14:paraId="12D2DF0A">
            <w:pPr>
              <w:pStyle w:val="286"/>
              <w:spacing w:line="280" w:lineRule="exact"/>
              <w:rPr>
                <w:rFonts w:hint="eastAsia" w:cs="Arial"/>
                <w:color w:val="000000" w:themeColor="text1"/>
                <w:kern w:val="2"/>
                <w:sz w:val="21"/>
                <w14:textFill>
                  <w14:solidFill>
                    <w14:schemeClr w14:val="tx1"/>
                  </w14:solidFill>
                </w14:textFill>
              </w:rPr>
            </w:pPr>
            <w:r>
              <w:rPr>
                <w:rFonts w:hint="eastAsia" w:cs="Arial"/>
                <w:color w:val="000000" w:themeColor="text1"/>
                <w:kern w:val="2"/>
                <w:sz w:val="21"/>
                <w14:textFill>
                  <w14:solidFill>
                    <w14:schemeClr w14:val="tx1"/>
                  </w14:solidFill>
                </w14:textFill>
              </w:rPr>
              <w:t>水土</w:t>
            </w:r>
          </w:p>
          <w:p w14:paraId="3EC34CF6">
            <w:pPr>
              <w:pStyle w:val="286"/>
              <w:spacing w:line="280" w:lineRule="exact"/>
              <w:rPr>
                <w:rFonts w:hint="eastAsia" w:cs="Arial"/>
                <w:color w:val="000000" w:themeColor="text1"/>
                <w:kern w:val="2"/>
                <w:sz w:val="21"/>
                <w14:textFill>
                  <w14:solidFill>
                    <w14:schemeClr w14:val="tx1"/>
                  </w14:solidFill>
                </w14:textFill>
              </w:rPr>
            </w:pPr>
            <w:r>
              <w:rPr>
                <w:rFonts w:hint="eastAsia" w:cs="Arial"/>
                <w:color w:val="000000" w:themeColor="text1"/>
                <w:kern w:val="2"/>
                <w:sz w:val="21"/>
                <w14:textFill>
                  <w14:solidFill>
                    <w14:schemeClr w14:val="tx1"/>
                  </w14:solidFill>
                </w14:textFill>
              </w:rPr>
              <w:t>流失</w:t>
            </w:r>
          </w:p>
        </w:tc>
        <w:tc>
          <w:tcPr>
            <w:tcW w:w="5884" w:type="dxa"/>
            <w:vAlign w:val="center"/>
          </w:tcPr>
          <w:p w14:paraId="656C5A66">
            <w:pPr>
              <w:pStyle w:val="286"/>
              <w:spacing w:line="280" w:lineRule="exact"/>
              <w:jc w:val="left"/>
              <w:rPr>
                <w:rFonts w:hint="eastAsia" w:cs="Arial"/>
                <w:color w:val="000000" w:themeColor="text1"/>
                <w:kern w:val="2"/>
                <w:sz w:val="21"/>
                <w14:textFill>
                  <w14:solidFill>
                    <w14:schemeClr w14:val="tx1"/>
                  </w14:solidFill>
                </w14:textFill>
              </w:rPr>
            </w:pPr>
            <w:r>
              <w:rPr>
                <w:rFonts w:hint="eastAsia" w:cs="Arial"/>
                <w:color w:val="000000" w:themeColor="text1"/>
                <w:kern w:val="2"/>
                <w:sz w:val="21"/>
                <w14:textFill>
                  <w14:solidFill>
                    <w14:schemeClr w14:val="tx1"/>
                  </w14:solidFill>
                </w14:textFill>
              </w:rPr>
              <w:t>严格按规划的施工范围进行施工作业，不得随意开辟施工便道。施工后期，及时做好施工迹地的清理工作。做好施工后期的迹地恢复工作，包括土地平整，创造局部小环境以利于植被的恢复等，防止水土流失。</w:t>
            </w:r>
          </w:p>
        </w:tc>
        <w:tc>
          <w:tcPr>
            <w:tcW w:w="722" w:type="dxa"/>
            <w:vMerge w:val="continue"/>
            <w:vAlign w:val="center"/>
          </w:tcPr>
          <w:p w14:paraId="08D4DD84">
            <w:pPr>
              <w:pStyle w:val="286"/>
              <w:spacing w:line="280" w:lineRule="exact"/>
              <w:rPr>
                <w:rFonts w:hint="eastAsia" w:cs="Arial"/>
                <w:color w:val="000000" w:themeColor="text1"/>
                <w:kern w:val="2"/>
                <w:sz w:val="21"/>
                <w14:textFill>
                  <w14:solidFill>
                    <w14:schemeClr w14:val="tx1"/>
                  </w14:solidFill>
                </w14:textFill>
              </w:rPr>
            </w:pPr>
          </w:p>
        </w:tc>
        <w:tc>
          <w:tcPr>
            <w:tcW w:w="1018" w:type="dxa"/>
            <w:vMerge w:val="continue"/>
            <w:vAlign w:val="center"/>
          </w:tcPr>
          <w:p w14:paraId="6942B7FD">
            <w:pPr>
              <w:pStyle w:val="286"/>
              <w:spacing w:line="280" w:lineRule="exact"/>
              <w:rPr>
                <w:rFonts w:hint="eastAsia" w:cs="Arial"/>
                <w:color w:val="000000" w:themeColor="text1"/>
                <w:kern w:val="2"/>
                <w:sz w:val="21"/>
                <w14:textFill>
                  <w14:solidFill>
                    <w14:schemeClr w14:val="tx1"/>
                  </w14:solidFill>
                </w14:textFill>
              </w:rPr>
            </w:pPr>
          </w:p>
        </w:tc>
      </w:tr>
      <w:tr w14:paraId="57541A2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85" w:type="dxa"/>
            <w:bottom w:w="0" w:type="dxa"/>
            <w:right w:w="85" w:type="dxa"/>
          </w:tblCellMar>
        </w:tblPrEx>
        <w:trPr>
          <w:trHeight w:val="340" w:hRule="atLeast"/>
          <w:jc w:val="center"/>
        </w:trPr>
        <w:tc>
          <w:tcPr>
            <w:tcW w:w="631" w:type="dxa"/>
            <w:vAlign w:val="center"/>
          </w:tcPr>
          <w:p w14:paraId="78AF5363">
            <w:pPr>
              <w:pStyle w:val="286"/>
              <w:spacing w:line="280" w:lineRule="exact"/>
              <w:rPr>
                <w:rFonts w:hint="eastAsia" w:cs="Arial"/>
                <w:color w:val="000000" w:themeColor="text1"/>
                <w:kern w:val="2"/>
                <w:sz w:val="21"/>
                <w14:textFill>
                  <w14:solidFill>
                    <w14:schemeClr w14:val="tx1"/>
                  </w14:solidFill>
                </w14:textFill>
              </w:rPr>
            </w:pPr>
            <w:r>
              <w:rPr>
                <w:rFonts w:hint="eastAsia" w:cs="Arial"/>
                <w:color w:val="000000" w:themeColor="text1"/>
                <w:kern w:val="2"/>
                <w:sz w:val="21"/>
                <w14:textFill>
                  <w14:solidFill>
                    <w14:schemeClr w14:val="tx1"/>
                  </w14:solidFill>
                </w14:textFill>
              </w:rPr>
              <w:t>7</w:t>
            </w:r>
          </w:p>
        </w:tc>
        <w:tc>
          <w:tcPr>
            <w:tcW w:w="645" w:type="dxa"/>
            <w:vAlign w:val="center"/>
          </w:tcPr>
          <w:p w14:paraId="791F0016">
            <w:pPr>
              <w:pStyle w:val="286"/>
              <w:spacing w:line="280" w:lineRule="exact"/>
              <w:rPr>
                <w:rFonts w:hint="eastAsia" w:cs="Arial"/>
                <w:color w:val="000000" w:themeColor="text1"/>
                <w:kern w:val="2"/>
                <w:sz w:val="21"/>
                <w14:textFill>
                  <w14:solidFill>
                    <w14:schemeClr w14:val="tx1"/>
                  </w14:solidFill>
                </w14:textFill>
              </w:rPr>
            </w:pPr>
            <w:r>
              <w:rPr>
                <w:rFonts w:hint="eastAsia" w:cs="Arial"/>
                <w:color w:val="000000" w:themeColor="text1"/>
                <w:kern w:val="2"/>
                <w:sz w:val="21"/>
                <w14:textFill>
                  <w14:solidFill>
                    <w14:schemeClr w14:val="tx1"/>
                  </w14:solidFill>
                </w14:textFill>
              </w:rPr>
              <w:t>固体</w:t>
            </w:r>
          </w:p>
          <w:p w14:paraId="35534766">
            <w:pPr>
              <w:pStyle w:val="286"/>
              <w:spacing w:line="280" w:lineRule="exact"/>
              <w:rPr>
                <w:rFonts w:hint="eastAsia" w:cs="Arial"/>
                <w:color w:val="000000" w:themeColor="text1"/>
                <w:kern w:val="2"/>
                <w:sz w:val="21"/>
                <w14:textFill>
                  <w14:solidFill>
                    <w14:schemeClr w14:val="tx1"/>
                  </w14:solidFill>
                </w14:textFill>
              </w:rPr>
            </w:pPr>
            <w:r>
              <w:rPr>
                <w:rFonts w:hint="eastAsia" w:cs="Arial"/>
                <w:color w:val="000000" w:themeColor="text1"/>
                <w:kern w:val="2"/>
                <w:sz w:val="21"/>
                <w14:textFill>
                  <w14:solidFill>
                    <w14:schemeClr w14:val="tx1"/>
                  </w14:solidFill>
                </w14:textFill>
              </w:rPr>
              <w:t>废物</w:t>
            </w:r>
          </w:p>
        </w:tc>
        <w:tc>
          <w:tcPr>
            <w:tcW w:w="5884" w:type="dxa"/>
            <w:vAlign w:val="center"/>
          </w:tcPr>
          <w:p w14:paraId="56E6F430">
            <w:pPr>
              <w:pStyle w:val="286"/>
              <w:spacing w:line="280" w:lineRule="exact"/>
              <w:jc w:val="left"/>
              <w:rPr>
                <w:rFonts w:hint="eastAsia" w:cs="Arial"/>
                <w:color w:val="000000" w:themeColor="text1"/>
                <w:kern w:val="2"/>
                <w:sz w:val="21"/>
                <w14:textFill>
                  <w14:solidFill>
                    <w14:schemeClr w14:val="tx1"/>
                  </w14:solidFill>
                </w14:textFill>
              </w:rPr>
            </w:pPr>
            <w:r>
              <w:rPr>
                <w:rFonts w:hint="eastAsia" w:cs="Arial"/>
                <w:color w:val="000000" w:themeColor="text1"/>
                <w:kern w:val="2"/>
                <w:sz w:val="21"/>
                <w14:textFill>
                  <w14:solidFill>
                    <w14:schemeClr w14:val="tx1"/>
                  </w14:solidFill>
                </w14:textFill>
              </w:rPr>
              <w:t>建筑垃圾集中收集后送至当地建筑垃圾填埋场处理。</w:t>
            </w:r>
          </w:p>
        </w:tc>
        <w:tc>
          <w:tcPr>
            <w:tcW w:w="722" w:type="dxa"/>
            <w:vMerge w:val="continue"/>
            <w:vAlign w:val="center"/>
          </w:tcPr>
          <w:p w14:paraId="7532B0FF">
            <w:pPr>
              <w:pStyle w:val="286"/>
              <w:spacing w:line="280" w:lineRule="exact"/>
              <w:rPr>
                <w:rFonts w:hint="eastAsia" w:cs="Arial"/>
                <w:color w:val="000000" w:themeColor="text1"/>
                <w:kern w:val="2"/>
                <w:sz w:val="21"/>
                <w14:textFill>
                  <w14:solidFill>
                    <w14:schemeClr w14:val="tx1"/>
                  </w14:solidFill>
                </w14:textFill>
              </w:rPr>
            </w:pPr>
          </w:p>
        </w:tc>
        <w:tc>
          <w:tcPr>
            <w:tcW w:w="1018" w:type="dxa"/>
            <w:vMerge w:val="continue"/>
            <w:vAlign w:val="center"/>
          </w:tcPr>
          <w:p w14:paraId="34BD257E">
            <w:pPr>
              <w:pStyle w:val="286"/>
              <w:spacing w:line="280" w:lineRule="exact"/>
              <w:rPr>
                <w:rFonts w:hint="eastAsia" w:cs="Arial"/>
                <w:color w:val="000000" w:themeColor="text1"/>
                <w:kern w:val="2"/>
                <w:sz w:val="21"/>
                <w14:textFill>
                  <w14:solidFill>
                    <w14:schemeClr w14:val="tx1"/>
                  </w14:solidFill>
                </w14:textFill>
              </w:rPr>
            </w:pPr>
          </w:p>
        </w:tc>
      </w:tr>
    </w:tbl>
    <w:p w14:paraId="507D3485">
      <w:pPr>
        <w:pStyle w:val="4"/>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运营期环境管理</w:t>
      </w:r>
    </w:p>
    <w:p w14:paraId="6E54BC0A">
      <w:pPr>
        <w:pStyle w:val="117"/>
        <w:ind w:firstLine="480"/>
        <w:rPr>
          <w:rFonts w:hint="eastAsia"/>
          <w:color w:val="000000" w:themeColor="text1"/>
          <w14:textFill>
            <w14:solidFill>
              <w14:schemeClr w14:val="tx1"/>
            </w14:solidFill>
          </w14:textFill>
        </w:rPr>
      </w:pPr>
      <w:bookmarkStart w:id="826" w:name="_Ref468827447"/>
      <w:r>
        <w:rPr>
          <w:rFonts w:hint="eastAsia"/>
          <w:color w:val="000000" w:themeColor="text1"/>
          <w14:textFill>
            <w14:solidFill>
              <w14:schemeClr w14:val="tx1"/>
            </w14:solidFill>
          </w14:textFill>
        </w:rPr>
        <w:t>（1）建立和实施运营期的健康、安全与环境（HSE）管理体系。</w:t>
      </w:r>
    </w:p>
    <w:p w14:paraId="43BEB0C9">
      <w:pPr>
        <w:pStyle w:val="117"/>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（2）贯彻执行国家、地方及上级部门有关环境保护方针、政策、法律法规。</w:t>
      </w:r>
    </w:p>
    <w:p w14:paraId="0590F141">
      <w:pPr>
        <w:pStyle w:val="117"/>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（3</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加强环保管理人员的培训、教育，学习先进的环保管理理念，提高管理人员的技术水平与业务能力，定期对运营期环境保护工作进行总结和分析，根据环保水平的发展进步持续改进、强化运营期的环境保护与管理要求。</w:t>
      </w:r>
    </w:p>
    <w:p w14:paraId="2484031C">
      <w:pPr>
        <w:pStyle w:val="117"/>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w:t>
      </w:r>
      <w:r>
        <w:rPr>
          <w:color w:val="000000" w:themeColor="text1"/>
          <w14:textFill>
            <w14:solidFill>
              <w14:schemeClr w14:val="tx1"/>
            </w14:solidFill>
          </w14:textFill>
        </w:rPr>
        <w:t>4</w:t>
      </w:r>
      <w:r>
        <w:rPr>
          <w:rFonts w:hint="eastAsia"/>
          <w:color w:val="000000" w:themeColor="text1"/>
          <w14:textFill>
            <w14:solidFill>
              <w14:schemeClr w14:val="tx1"/>
            </w14:solidFill>
          </w14:textFill>
        </w:rPr>
        <w:t>）组织开展环境保护宣传教育、技术和经验交流活动，推广先进技术和科研成果；参加调查、分析、处理环境污染事故，并负责统计上报事故的基本情况及处理结果，协同有关部门制定防治污染事故措施，并监督实施。</w:t>
      </w:r>
    </w:p>
    <w:p w14:paraId="7778215C">
      <w:pPr>
        <w:pStyle w:val="117"/>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5）项目运行后3至5年内，须组织开展环境影响后评价工作，对实际产生的环境影响以及污染防治、生态保护和风险防范措施的有效性进行跟踪监测和验证评价，对存在问题提出补救方案或者改进措施，不断完善和提高建设项目环境影响评价的有效性，切实落实各项环境保护措施。</w:t>
      </w:r>
    </w:p>
    <w:p w14:paraId="56A4BE9B">
      <w:pPr>
        <w:pStyle w:val="117"/>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（6）运营期各环境要素的污染防治措施见表</w:t>
      </w:r>
      <w:r>
        <w:rPr>
          <w:color w:val="000000" w:themeColor="text1"/>
          <w14:textFill>
            <w14:solidFill>
              <w14:schemeClr w14:val="tx1"/>
            </w14:solidFill>
          </w14:textFill>
        </w:rPr>
        <w:t>7.2</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2</w:t>
      </w:r>
      <w:r>
        <w:rPr>
          <w:rFonts w:hint="eastAsia"/>
          <w:color w:val="000000" w:themeColor="text1"/>
          <w14:textFill>
            <w14:solidFill>
              <w14:schemeClr w14:val="tx1"/>
            </w14:solidFill>
          </w14:textFill>
        </w:rPr>
        <w:t>。</w:t>
      </w:r>
    </w:p>
    <w:p w14:paraId="093127A3">
      <w:pPr>
        <w:pStyle w:val="15"/>
        <w:rPr>
          <w:rFonts w:hint="eastAsia"/>
          <w:color w:val="000000" w:themeColor="text1"/>
          <w14:textFill>
            <w14:solidFill>
              <w14:schemeClr w14:val="tx1"/>
            </w14:solidFill>
          </w14:textFill>
        </w:rPr>
      </w:pPr>
      <w:bookmarkStart w:id="827" w:name="_Hlk173407875"/>
      <w:r>
        <w:rPr>
          <w:color w:val="000000" w:themeColor="text1"/>
          <w14:textFill>
            <w14:solidFill>
              <w14:schemeClr w14:val="tx1"/>
            </w14:solidFill>
          </w14:textFill>
        </w:rPr>
        <w:t>表</w:t>
      </w:r>
      <w:bookmarkEnd w:id="826"/>
      <w:r>
        <w:rPr>
          <w:color w:val="000000" w:themeColor="text1"/>
          <w14:textFill>
            <w14:solidFill>
              <w14:schemeClr w14:val="tx1"/>
            </w14:solidFill>
          </w14:textFill>
        </w:rPr>
        <w:t>7.2-2</w:t>
      </w:r>
      <w:r>
        <w:rPr>
          <w:rFonts w:hint="eastAsia"/>
          <w:color w:val="000000" w:themeColor="text1"/>
          <w14:textFill>
            <w14:solidFill>
              <w14:schemeClr w14:val="tx1"/>
            </w14:solidFill>
          </w14:textFill>
        </w:rPr>
        <w:t xml:space="preserve">  运营期</w:t>
      </w:r>
      <w:r>
        <w:rPr>
          <w:color w:val="000000" w:themeColor="text1"/>
          <w14:textFill>
            <w14:solidFill>
              <w14:schemeClr w14:val="tx1"/>
            </w14:solidFill>
          </w14:textFill>
        </w:rPr>
        <w:t>环境保护</w:t>
      </w:r>
      <w:r>
        <w:rPr>
          <w:rFonts w:hint="eastAsia"/>
          <w:color w:val="000000" w:themeColor="text1"/>
          <w14:textFill>
            <w14:solidFill>
              <w14:schemeClr w14:val="tx1"/>
            </w14:solidFill>
          </w14:textFill>
        </w:rPr>
        <w:t>行动计划</w:t>
      </w:r>
    </w:p>
    <w:tbl>
      <w:tblPr>
        <w:tblStyle w:val="51"/>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534"/>
        <w:gridCol w:w="1134"/>
        <w:gridCol w:w="5244"/>
        <w:gridCol w:w="709"/>
        <w:gridCol w:w="1325"/>
      </w:tblGrid>
      <w:tr w14:paraId="3214626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blHeader/>
          <w:jc w:val="center"/>
        </w:trPr>
        <w:tc>
          <w:tcPr>
            <w:tcW w:w="534" w:type="dxa"/>
            <w:vAlign w:val="center"/>
          </w:tcPr>
          <w:p w14:paraId="3DCA5E33">
            <w:pPr>
              <w:pStyle w:val="286"/>
              <w:adjustRightInd w:val="0"/>
              <w:snapToGrid w:val="0"/>
              <w:spacing w:line="300" w:lineRule="exact"/>
              <w:rPr>
                <w:rFonts w:hint="eastAsia" w:cs="Arial"/>
                <w:color w:val="000000" w:themeColor="text1"/>
                <w:kern w:val="2"/>
                <w:sz w:val="21"/>
                <w14:textFill>
                  <w14:solidFill>
                    <w14:schemeClr w14:val="tx1"/>
                  </w14:solidFill>
                </w14:textFill>
              </w:rPr>
            </w:pPr>
            <w:r>
              <w:rPr>
                <w:rFonts w:hint="eastAsia" w:cs="Arial"/>
                <w:color w:val="000000" w:themeColor="text1"/>
                <w:kern w:val="2"/>
                <w:sz w:val="21"/>
                <w14:textFill>
                  <w14:solidFill>
                    <w14:schemeClr w14:val="tx1"/>
                  </w14:solidFill>
                </w14:textFill>
              </w:rPr>
              <w:t>序号</w:t>
            </w:r>
          </w:p>
        </w:tc>
        <w:tc>
          <w:tcPr>
            <w:tcW w:w="1134" w:type="dxa"/>
            <w:vAlign w:val="center"/>
          </w:tcPr>
          <w:p w14:paraId="178C9708">
            <w:pPr>
              <w:pStyle w:val="286"/>
              <w:adjustRightInd w:val="0"/>
              <w:snapToGrid w:val="0"/>
              <w:spacing w:line="300" w:lineRule="exact"/>
              <w:rPr>
                <w:rFonts w:hint="eastAsia" w:cs="Arial"/>
                <w:color w:val="000000" w:themeColor="text1"/>
                <w:kern w:val="2"/>
                <w:sz w:val="21"/>
                <w14:textFill>
                  <w14:solidFill>
                    <w14:schemeClr w14:val="tx1"/>
                  </w14:solidFill>
                </w14:textFill>
              </w:rPr>
            </w:pPr>
            <w:r>
              <w:rPr>
                <w:rFonts w:hint="eastAsia" w:cs="Arial"/>
                <w:color w:val="000000" w:themeColor="text1"/>
                <w:kern w:val="2"/>
                <w:sz w:val="21"/>
                <w14:textFill>
                  <w14:solidFill>
                    <w14:schemeClr w14:val="tx1"/>
                  </w14:solidFill>
                </w14:textFill>
              </w:rPr>
              <w:t>影响因素</w:t>
            </w:r>
          </w:p>
        </w:tc>
        <w:tc>
          <w:tcPr>
            <w:tcW w:w="5244" w:type="dxa"/>
            <w:vAlign w:val="center"/>
          </w:tcPr>
          <w:p w14:paraId="078AD2D8">
            <w:pPr>
              <w:pStyle w:val="286"/>
              <w:adjustRightInd w:val="0"/>
              <w:snapToGrid w:val="0"/>
              <w:spacing w:line="300" w:lineRule="exact"/>
              <w:rPr>
                <w:rFonts w:hint="eastAsia" w:cs="Arial"/>
                <w:color w:val="000000" w:themeColor="text1"/>
                <w:kern w:val="2"/>
                <w:sz w:val="21"/>
                <w14:textFill>
                  <w14:solidFill>
                    <w14:schemeClr w14:val="tx1"/>
                  </w14:solidFill>
                </w14:textFill>
              </w:rPr>
            </w:pPr>
            <w:r>
              <w:rPr>
                <w:rFonts w:hint="eastAsia" w:cs="Arial"/>
                <w:color w:val="000000" w:themeColor="text1"/>
                <w:kern w:val="2"/>
                <w:sz w:val="21"/>
                <w14:textFill>
                  <w14:solidFill>
                    <w14:schemeClr w14:val="tx1"/>
                  </w14:solidFill>
                </w14:textFill>
              </w:rPr>
              <w:t>环保措施</w:t>
            </w:r>
          </w:p>
        </w:tc>
        <w:tc>
          <w:tcPr>
            <w:tcW w:w="709" w:type="dxa"/>
            <w:vAlign w:val="center"/>
          </w:tcPr>
          <w:p w14:paraId="73C76023">
            <w:pPr>
              <w:pStyle w:val="286"/>
              <w:adjustRightInd w:val="0"/>
              <w:snapToGrid w:val="0"/>
              <w:spacing w:line="300" w:lineRule="exact"/>
              <w:rPr>
                <w:rFonts w:hint="eastAsia" w:cs="Arial"/>
                <w:color w:val="000000" w:themeColor="text1"/>
                <w:kern w:val="2"/>
                <w:sz w:val="21"/>
                <w14:textFill>
                  <w14:solidFill>
                    <w14:schemeClr w14:val="tx1"/>
                  </w14:solidFill>
                </w14:textFill>
              </w:rPr>
            </w:pPr>
            <w:r>
              <w:rPr>
                <w:rFonts w:hint="eastAsia" w:cs="Arial"/>
                <w:color w:val="000000" w:themeColor="text1"/>
                <w:kern w:val="2"/>
                <w:sz w:val="21"/>
                <w14:textFill>
                  <w14:solidFill>
                    <w14:schemeClr w14:val="tx1"/>
                  </w14:solidFill>
                </w14:textFill>
              </w:rPr>
              <w:t>实施单位</w:t>
            </w:r>
          </w:p>
        </w:tc>
        <w:tc>
          <w:tcPr>
            <w:tcW w:w="1325" w:type="dxa"/>
            <w:vAlign w:val="center"/>
          </w:tcPr>
          <w:p w14:paraId="42C01D58">
            <w:pPr>
              <w:pStyle w:val="286"/>
              <w:adjustRightInd w:val="0"/>
              <w:snapToGrid w:val="0"/>
              <w:spacing w:line="300" w:lineRule="exact"/>
              <w:rPr>
                <w:rFonts w:hint="eastAsia" w:cs="Arial"/>
                <w:color w:val="000000" w:themeColor="text1"/>
                <w:kern w:val="2"/>
                <w:sz w:val="21"/>
                <w14:textFill>
                  <w14:solidFill>
                    <w14:schemeClr w14:val="tx1"/>
                  </w14:solidFill>
                </w14:textFill>
              </w:rPr>
            </w:pPr>
            <w:r>
              <w:rPr>
                <w:rFonts w:hint="eastAsia" w:cs="Arial"/>
                <w:color w:val="000000" w:themeColor="text1"/>
                <w:kern w:val="2"/>
                <w:sz w:val="21"/>
                <w14:textFill>
                  <w14:solidFill>
                    <w14:schemeClr w14:val="tx1"/>
                  </w14:solidFill>
                </w14:textFill>
              </w:rPr>
              <w:t>监督</w:t>
            </w:r>
          </w:p>
          <w:p w14:paraId="5F3291E8">
            <w:pPr>
              <w:pStyle w:val="286"/>
              <w:adjustRightInd w:val="0"/>
              <w:snapToGrid w:val="0"/>
              <w:spacing w:line="300" w:lineRule="exact"/>
              <w:rPr>
                <w:rFonts w:hint="eastAsia" w:cs="Arial"/>
                <w:color w:val="000000" w:themeColor="text1"/>
                <w:kern w:val="2"/>
                <w:sz w:val="21"/>
                <w14:textFill>
                  <w14:solidFill>
                    <w14:schemeClr w14:val="tx1"/>
                  </w14:solidFill>
                </w14:textFill>
              </w:rPr>
            </w:pPr>
            <w:r>
              <w:rPr>
                <w:rFonts w:hint="eastAsia" w:cs="Arial"/>
                <w:color w:val="000000" w:themeColor="text1"/>
                <w:kern w:val="2"/>
                <w:sz w:val="21"/>
                <w14:textFill>
                  <w14:solidFill>
                    <w14:schemeClr w14:val="tx1"/>
                  </w14:solidFill>
                </w14:textFill>
              </w:rPr>
              <w:t>单位</w:t>
            </w:r>
          </w:p>
        </w:tc>
      </w:tr>
      <w:tr w14:paraId="4E27FE4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34" w:type="dxa"/>
            <w:vAlign w:val="center"/>
          </w:tcPr>
          <w:p w14:paraId="5310ADB6">
            <w:pPr>
              <w:pStyle w:val="286"/>
              <w:adjustRightInd w:val="0"/>
              <w:snapToGrid w:val="0"/>
              <w:spacing w:line="300" w:lineRule="exact"/>
              <w:rPr>
                <w:rFonts w:hint="eastAsia" w:cs="Arial"/>
                <w:color w:val="000000" w:themeColor="text1"/>
                <w:kern w:val="2"/>
                <w:sz w:val="21"/>
                <w14:textFill>
                  <w14:solidFill>
                    <w14:schemeClr w14:val="tx1"/>
                  </w14:solidFill>
                </w14:textFill>
              </w:rPr>
            </w:pPr>
            <w:r>
              <w:rPr>
                <w:rFonts w:hint="eastAsia" w:cs="Arial"/>
                <w:color w:val="000000" w:themeColor="text1"/>
                <w:kern w:val="2"/>
                <w:sz w:val="21"/>
                <w14:textFill>
                  <w14:solidFill>
                    <w14:schemeClr w14:val="tx1"/>
                  </w14:solidFill>
                </w14:textFill>
              </w:rPr>
              <w:t>1</w:t>
            </w:r>
          </w:p>
        </w:tc>
        <w:tc>
          <w:tcPr>
            <w:tcW w:w="1134" w:type="dxa"/>
            <w:vAlign w:val="center"/>
          </w:tcPr>
          <w:p w14:paraId="41E50F36">
            <w:pPr>
              <w:pStyle w:val="286"/>
              <w:adjustRightInd w:val="0"/>
              <w:snapToGrid w:val="0"/>
              <w:spacing w:line="300" w:lineRule="exact"/>
              <w:rPr>
                <w:rFonts w:hint="eastAsia" w:cs="Arial"/>
                <w:color w:val="000000" w:themeColor="text1"/>
                <w:kern w:val="2"/>
                <w:sz w:val="21"/>
                <w14:textFill>
                  <w14:solidFill>
                    <w14:schemeClr w14:val="tx1"/>
                  </w14:solidFill>
                </w14:textFill>
              </w:rPr>
            </w:pPr>
            <w:r>
              <w:rPr>
                <w:rFonts w:hint="eastAsia" w:cs="Arial"/>
                <w:color w:val="000000" w:themeColor="text1"/>
                <w:kern w:val="2"/>
                <w:sz w:val="21"/>
                <w14:textFill>
                  <w14:solidFill>
                    <w14:schemeClr w14:val="tx1"/>
                  </w14:solidFill>
                </w14:textFill>
              </w:rPr>
              <w:t>大气环境</w:t>
            </w:r>
          </w:p>
        </w:tc>
        <w:tc>
          <w:tcPr>
            <w:tcW w:w="5244" w:type="dxa"/>
            <w:vAlign w:val="center"/>
          </w:tcPr>
          <w:p w14:paraId="0B855A45">
            <w:pPr>
              <w:adjustRightInd w:val="0"/>
              <w:snapToGrid w:val="0"/>
              <w:spacing w:line="300" w:lineRule="exact"/>
              <w:jc w:val="center"/>
              <w:rPr>
                <w:rFonts w:hint="eastAsia" w:ascii="宋体" w:hAnsi="宋体" w:cs="Arial"/>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选用质量可靠的设备、仪表、阀门等；定期对站场内各设备、阀门、各类管线等检查、检修。</w:t>
            </w:r>
          </w:p>
        </w:tc>
        <w:tc>
          <w:tcPr>
            <w:tcW w:w="709" w:type="dxa"/>
            <w:vMerge w:val="restart"/>
            <w:vAlign w:val="center"/>
          </w:tcPr>
          <w:p w14:paraId="15E4BFC4">
            <w:pPr>
              <w:pStyle w:val="286"/>
              <w:adjustRightInd w:val="0"/>
              <w:snapToGrid w:val="0"/>
              <w:spacing w:line="300" w:lineRule="exact"/>
              <w:rPr>
                <w:rFonts w:hint="eastAsia" w:cs="Arial"/>
                <w:color w:val="000000" w:themeColor="text1"/>
                <w:kern w:val="2"/>
                <w:sz w:val="21"/>
                <w14:textFill>
                  <w14:solidFill>
                    <w14:schemeClr w14:val="tx1"/>
                  </w14:solidFill>
                </w14:textFill>
              </w:rPr>
            </w:pPr>
            <w:r>
              <w:rPr>
                <w:rFonts w:hint="eastAsia" w:cs="Arial"/>
                <w:color w:val="000000" w:themeColor="text1"/>
                <w:kern w:val="2"/>
                <w:sz w:val="21"/>
                <w14:textFill>
                  <w14:solidFill>
                    <w14:schemeClr w14:val="tx1"/>
                  </w14:solidFill>
                </w14:textFill>
              </w:rPr>
              <w:t>中国石油新疆油田分公司吉庆油田作业区</w:t>
            </w:r>
          </w:p>
        </w:tc>
        <w:tc>
          <w:tcPr>
            <w:tcW w:w="1325" w:type="dxa"/>
            <w:vMerge w:val="restart"/>
            <w:vAlign w:val="center"/>
          </w:tcPr>
          <w:p w14:paraId="039D8C9C">
            <w:pPr>
              <w:pStyle w:val="286"/>
              <w:adjustRightInd w:val="0"/>
              <w:snapToGrid w:val="0"/>
              <w:spacing w:line="300" w:lineRule="exact"/>
              <w:rPr>
                <w:rFonts w:hint="eastAsia" w:cs="Arial"/>
                <w:color w:val="000000" w:themeColor="text1"/>
                <w:kern w:val="2"/>
                <w:sz w:val="21"/>
                <w14:textFill>
                  <w14:solidFill>
                    <w14:schemeClr w14:val="tx1"/>
                  </w14:solidFill>
                </w14:textFill>
              </w:rPr>
            </w:pPr>
            <w:r>
              <w:rPr>
                <w:rFonts w:hint="eastAsia" w:cs="Arial"/>
                <w:color w:val="000000" w:themeColor="text1"/>
                <w:kern w:val="2"/>
                <w:sz w:val="21"/>
                <w14:textFill>
                  <w14:solidFill>
                    <w14:schemeClr w14:val="tx1"/>
                  </w14:solidFill>
                </w14:textFill>
              </w:rPr>
              <w:t>新疆维吾尔自治区生态环境厅、昌吉回族自治州生态环境局、昌吉回族自治州生态环境局吉木萨尔县分局</w:t>
            </w:r>
          </w:p>
        </w:tc>
      </w:tr>
      <w:tr w14:paraId="3180D98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34" w:type="dxa"/>
            <w:vAlign w:val="center"/>
          </w:tcPr>
          <w:p w14:paraId="6F53FB08">
            <w:pPr>
              <w:pStyle w:val="286"/>
              <w:adjustRightInd w:val="0"/>
              <w:snapToGrid w:val="0"/>
              <w:spacing w:line="300" w:lineRule="exact"/>
              <w:rPr>
                <w:rFonts w:hint="eastAsia" w:cs="Arial"/>
                <w:color w:val="000000" w:themeColor="text1"/>
                <w:kern w:val="2"/>
                <w:sz w:val="21"/>
                <w14:textFill>
                  <w14:solidFill>
                    <w14:schemeClr w14:val="tx1"/>
                  </w14:solidFill>
                </w14:textFill>
              </w:rPr>
            </w:pPr>
            <w:r>
              <w:rPr>
                <w:rFonts w:hint="eastAsia" w:cs="Arial"/>
                <w:color w:val="000000" w:themeColor="text1"/>
                <w:kern w:val="2"/>
                <w:sz w:val="21"/>
                <w14:textFill>
                  <w14:solidFill>
                    <w14:schemeClr w14:val="tx1"/>
                  </w14:solidFill>
                </w14:textFill>
              </w:rPr>
              <w:t>2</w:t>
            </w:r>
          </w:p>
        </w:tc>
        <w:tc>
          <w:tcPr>
            <w:tcW w:w="1134" w:type="dxa"/>
            <w:vAlign w:val="center"/>
          </w:tcPr>
          <w:p w14:paraId="03D2560D">
            <w:pPr>
              <w:pStyle w:val="286"/>
              <w:adjustRightInd w:val="0"/>
              <w:snapToGrid w:val="0"/>
              <w:spacing w:line="300" w:lineRule="exact"/>
              <w:rPr>
                <w:rFonts w:hint="eastAsia" w:cs="Arial"/>
                <w:color w:val="000000" w:themeColor="text1"/>
                <w:kern w:val="2"/>
                <w:sz w:val="21"/>
                <w14:textFill>
                  <w14:solidFill>
                    <w14:schemeClr w14:val="tx1"/>
                  </w14:solidFill>
                </w14:textFill>
              </w:rPr>
            </w:pPr>
            <w:r>
              <w:rPr>
                <w:rFonts w:hint="eastAsia" w:cs="Arial"/>
                <w:color w:val="000000" w:themeColor="text1"/>
                <w:kern w:val="2"/>
                <w:sz w:val="21"/>
                <w14:textFill>
                  <w14:solidFill>
                    <w14:schemeClr w14:val="tx1"/>
                  </w14:solidFill>
                </w14:textFill>
              </w:rPr>
              <w:t>水环境</w:t>
            </w:r>
          </w:p>
        </w:tc>
        <w:tc>
          <w:tcPr>
            <w:tcW w:w="5244" w:type="dxa"/>
            <w:vAlign w:val="center"/>
          </w:tcPr>
          <w:p w14:paraId="373BD2D1">
            <w:pPr>
              <w:pStyle w:val="117"/>
              <w:adjustRightInd w:val="0"/>
              <w:snapToGrid w:val="0"/>
              <w:spacing w:line="300" w:lineRule="exact"/>
              <w:ind w:firstLine="0" w:firstLineChars="0"/>
              <w:jc w:val="center"/>
              <w:rPr>
                <w:rFonts w:hint="eastAsia" w:cs="宋体"/>
                <w:color w:val="000000" w:themeColor="text1"/>
                <w:kern w:val="0"/>
                <w:sz w:val="21"/>
                <w:szCs w:val="21"/>
                <w:lang w:bidi="ar"/>
                <w14:textFill>
                  <w14:solidFill>
                    <w14:schemeClr w14:val="tx1"/>
                  </w14:solidFill>
                </w14:textFill>
              </w:rPr>
            </w:pPr>
            <w:r>
              <w:rPr>
                <w:rFonts w:hint="eastAsia" w:cs="宋体"/>
                <w:color w:val="000000" w:themeColor="text1"/>
                <w:kern w:val="0"/>
                <w:sz w:val="21"/>
                <w:szCs w:val="21"/>
                <w:lang w:bidi="ar"/>
                <w14:textFill>
                  <w14:solidFill>
                    <w14:schemeClr w14:val="tx1"/>
                  </w14:solidFill>
                </w14:textFill>
              </w:rPr>
              <w:t>洗井废水和井下作业废液由罐车拉运至压裂返排液处理装置处理，出水水质达标后用于压裂液复配；装置排污水</w:t>
            </w:r>
            <w:r>
              <w:rPr>
                <w:rFonts w:hint="eastAsia"/>
                <w:color w:val="000000" w:themeColor="text1"/>
                <w:kern w:val="0"/>
                <w:sz w:val="21"/>
                <w14:textFill>
                  <w14:solidFill>
                    <w14:schemeClr w14:val="tx1"/>
                  </w14:solidFill>
                </w14:textFill>
              </w:rPr>
              <w:t>排至排污罐中，由污油泵将排污罐中的液体管输至进站管汇</w:t>
            </w:r>
          </w:p>
        </w:tc>
        <w:tc>
          <w:tcPr>
            <w:tcW w:w="709" w:type="dxa"/>
            <w:vMerge w:val="continue"/>
            <w:vAlign w:val="center"/>
          </w:tcPr>
          <w:p w14:paraId="0D136835">
            <w:pPr>
              <w:pStyle w:val="286"/>
              <w:adjustRightInd w:val="0"/>
              <w:snapToGrid w:val="0"/>
              <w:spacing w:line="300" w:lineRule="exact"/>
              <w:rPr>
                <w:rFonts w:hint="eastAsia" w:cs="Arial"/>
                <w:color w:val="000000" w:themeColor="text1"/>
                <w:kern w:val="2"/>
                <w:sz w:val="21"/>
                <w14:textFill>
                  <w14:solidFill>
                    <w14:schemeClr w14:val="tx1"/>
                  </w14:solidFill>
                </w14:textFill>
              </w:rPr>
            </w:pPr>
          </w:p>
        </w:tc>
        <w:tc>
          <w:tcPr>
            <w:tcW w:w="1325" w:type="dxa"/>
            <w:vMerge w:val="continue"/>
            <w:vAlign w:val="center"/>
          </w:tcPr>
          <w:p w14:paraId="3C916949">
            <w:pPr>
              <w:pStyle w:val="286"/>
              <w:adjustRightInd w:val="0"/>
              <w:snapToGrid w:val="0"/>
              <w:spacing w:line="300" w:lineRule="exact"/>
              <w:rPr>
                <w:rFonts w:hint="eastAsia" w:cs="Arial"/>
                <w:color w:val="000000" w:themeColor="text1"/>
                <w:kern w:val="2"/>
                <w:sz w:val="21"/>
                <w14:textFill>
                  <w14:solidFill>
                    <w14:schemeClr w14:val="tx1"/>
                  </w14:solidFill>
                </w14:textFill>
              </w:rPr>
            </w:pPr>
          </w:p>
        </w:tc>
      </w:tr>
      <w:tr w14:paraId="7461252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34" w:type="dxa"/>
            <w:vAlign w:val="center"/>
          </w:tcPr>
          <w:p w14:paraId="3726F3BA">
            <w:pPr>
              <w:pStyle w:val="286"/>
              <w:adjustRightInd w:val="0"/>
              <w:snapToGrid w:val="0"/>
              <w:spacing w:line="300" w:lineRule="exact"/>
              <w:rPr>
                <w:rFonts w:hint="eastAsia" w:cs="Arial"/>
                <w:color w:val="000000" w:themeColor="text1"/>
                <w:kern w:val="2"/>
                <w:sz w:val="21"/>
                <w14:textFill>
                  <w14:solidFill>
                    <w14:schemeClr w14:val="tx1"/>
                  </w14:solidFill>
                </w14:textFill>
              </w:rPr>
            </w:pPr>
            <w:r>
              <w:rPr>
                <w:rFonts w:hint="eastAsia" w:cs="Arial"/>
                <w:color w:val="000000" w:themeColor="text1"/>
                <w:kern w:val="2"/>
                <w:sz w:val="21"/>
                <w14:textFill>
                  <w14:solidFill>
                    <w14:schemeClr w14:val="tx1"/>
                  </w14:solidFill>
                </w14:textFill>
              </w:rPr>
              <w:t>3</w:t>
            </w:r>
          </w:p>
        </w:tc>
        <w:tc>
          <w:tcPr>
            <w:tcW w:w="1134" w:type="dxa"/>
            <w:vAlign w:val="center"/>
          </w:tcPr>
          <w:p w14:paraId="6C6109EC">
            <w:pPr>
              <w:pStyle w:val="286"/>
              <w:adjustRightInd w:val="0"/>
              <w:snapToGrid w:val="0"/>
              <w:spacing w:line="300" w:lineRule="exact"/>
              <w:rPr>
                <w:rFonts w:hint="eastAsia" w:cs="Arial"/>
                <w:color w:val="000000" w:themeColor="text1"/>
                <w:kern w:val="2"/>
                <w:sz w:val="21"/>
                <w14:textFill>
                  <w14:solidFill>
                    <w14:schemeClr w14:val="tx1"/>
                  </w14:solidFill>
                </w14:textFill>
              </w:rPr>
            </w:pPr>
            <w:r>
              <w:rPr>
                <w:rFonts w:hint="eastAsia" w:cs="Arial"/>
                <w:color w:val="000000" w:themeColor="text1"/>
                <w:kern w:val="2"/>
                <w:sz w:val="21"/>
                <w14:textFill>
                  <w14:solidFill>
                    <w14:schemeClr w14:val="tx1"/>
                  </w14:solidFill>
                </w14:textFill>
              </w:rPr>
              <w:t>声环境</w:t>
            </w:r>
          </w:p>
        </w:tc>
        <w:tc>
          <w:tcPr>
            <w:tcW w:w="5244" w:type="dxa"/>
            <w:vAlign w:val="center"/>
          </w:tcPr>
          <w:p w14:paraId="61C69D64">
            <w:pPr>
              <w:pStyle w:val="286"/>
              <w:adjustRightInd w:val="0"/>
              <w:snapToGrid w:val="0"/>
              <w:spacing w:line="300" w:lineRule="exact"/>
              <w:rPr>
                <w:rFonts w:hint="eastAsia" w:cs="Arial"/>
                <w:color w:val="000000" w:themeColor="text1"/>
                <w:kern w:val="2"/>
                <w:sz w:val="21"/>
                <w14:textFill>
                  <w14:solidFill>
                    <w14:schemeClr w14:val="tx1"/>
                  </w14:solidFill>
                </w14:textFill>
              </w:rPr>
            </w:pPr>
            <w:r>
              <w:rPr>
                <w:rFonts w:hint="eastAsia" w:cs="Arial"/>
                <w:color w:val="000000" w:themeColor="text1"/>
                <w:kern w:val="2"/>
                <w:sz w:val="21"/>
                <w14:textFill>
                  <w14:solidFill>
                    <w14:schemeClr w14:val="tx1"/>
                  </w14:solidFill>
                </w14:textFill>
              </w:rPr>
              <w:t>选用低噪声设备，定期对设备进行检修和维护，使其处于运行良好的状态。对站场厂界噪声进行定期监测</w:t>
            </w:r>
          </w:p>
        </w:tc>
        <w:tc>
          <w:tcPr>
            <w:tcW w:w="709" w:type="dxa"/>
            <w:vMerge w:val="continue"/>
            <w:vAlign w:val="center"/>
          </w:tcPr>
          <w:p w14:paraId="1B90EC82">
            <w:pPr>
              <w:pStyle w:val="286"/>
              <w:adjustRightInd w:val="0"/>
              <w:snapToGrid w:val="0"/>
              <w:spacing w:line="300" w:lineRule="exact"/>
              <w:rPr>
                <w:rFonts w:hint="eastAsia" w:cs="Arial"/>
                <w:color w:val="000000" w:themeColor="text1"/>
                <w:kern w:val="2"/>
                <w:sz w:val="21"/>
                <w14:textFill>
                  <w14:solidFill>
                    <w14:schemeClr w14:val="tx1"/>
                  </w14:solidFill>
                </w14:textFill>
              </w:rPr>
            </w:pPr>
          </w:p>
        </w:tc>
        <w:tc>
          <w:tcPr>
            <w:tcW w:w="1325" w:type="dxa"/>
            <w:vMerge w:val="continue"/>
            <w:vAlign w:val="center"/>
          </w:tcPr>
          <w:p w14:paraId="21CDEF46">
            <w:pPr>
              <w:pStyle w:val="286"/>
              <w:adjustRightInd w:val="0"/>
              <w:snapToGrid w:val="0"/>
              <w:spacing w:line="300" w:lineRule="exact"/>
              <w:rPr>
                <w:rFonts w:hint="eastAsia" w:cs="Arial"/>
                <w:color w:val="000000" w:themeColor="text1"/>
                <w:kern w:val="2"/>
                <w:sz w:val="21"/>
                <w14:textFill>
                  <w14:solidFill>
                    <w14:schemeClr w14:val="tx1"/>
                  </w14:solidFill>
                </w14:textFill>
              </w:rPr>
            </w:pPr>
          </w:p>
        </w:tc>
      </w:tr>
      <w:tr w14:paraId="493FDD3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34" w:type="dxa"/>
            <w:vAlign w:val="center"/>
          </w:tcPr>
          <w:p w14:paraId="4DDBF388">
            <w:pPr>
              <w:pStyle w:val="286"/>
              <w:adjustRightInd w:val="0"/>
              <w:snapToGrid w:val="0"/>
              <w:spacing w:line="300" w:lineRule="exact"/>
              <w:rPr>
                <w:rFonts w:hint="eastAsia" w:cs="Arial"/>
                <w:color w:val="000000" w:themeColor="text1"/>
                <w:kern w:val="2"/>
                <w:sz w:val="21"/>
                <w14:textFill>
                  <w14:solidFill>
                    <w14:schemeClr w14:val="tx1"/>
                  </w14:solidFill>
                </w14:textFill>
              </w:rPr>
            </w:pPr>
            <w:r>
              <w:rPr>
                <w:rFonts w:hint="eastAsia" w:cs="Arial"/>
                <w:color w:val="000000" w:themeColor="text1"/>
                <w:kern w:val="2"/>
                <w:sz w:val="21"/>
                <w14:textFill>
                  <w14:solidFill>
                    <w14:schemeClr w14:val="tx1"/>
                  </w14:solidFill>
                </w14:textFill>
              </w:rPr>
              <w:t>4</w:t>
            </w:r>
          </w:p>
        </w:tc>
        <w:tc>
          <w:tcPr>
            <w:tcW w:w="1134" w:type="dxa"/>
            <w:vAlign w:val="center"/>
          </w:tcPr>
          <w:p w14:paraId="0A1A8DA3">
            <w:pPr>
              <w:pStyle w:val="286"/>
              <w:adjustRightInd w:val="0"/>
              <w:snapToGrid w:val="0"/>
              <w:spacing w:line="300" w:lineRule="exact"/>
              <w:rPr>
                <w:rFonts w:hint="eastAsia" w:cs="Arial"/>
                <w:color w:val="000000" w:themeColor="text1"/>
                <w:kern w:val="2"/>
                <w:sz w:val="21"/>
                <w14:textFill>
                  <w14:solidFill>
                    <w14:schemeClr w14:val="tx1"/>
                  </w14:solidFill>
                </w14:textFill>
              </w:rPr>
            </w:pPr>
            <w:r>
              <w:rPr>
                <w:rFonts w:hint="eastAsia" w:cs="Arial"/>
                <w:color w:val="000000" w:themeColor="text1"/>
                <w:kern w:val="2"/>
                <w:sz w:val="21"/>
                <w14:textFill>
                  <w14:solidFill>
                    <w14:schemeClr w14:val="tx1"/>
                  </w14:solidFill>
                </w14:textFill>
              </w:rPr>
              <w:t>固体废物处置</w:t>
            </w:r>
          </w:p>
        </w:tc>
        <w:tc>
          <w:tcPr>
            <w:tcW w:w="5244" w:type="dxa"/>
            <w:vAlign w:val="center"/>
          </w:tcPr>
          <w:p w14:paraId="37B868E7">
            <w:pPr>
              <w:pStyle w:val="286"/>
              <w:adjustRightInd w:val="0"/>
              <w:snapToGrid w:val="0"/>
              <w:spacing w:line="300" w:lineRule="exact"/>
              <w:rPr>
                <w:rFonts w:hint="eastAsia" w:cs="Arial"/>
                <w:color w:val="000000" w:themeColor="text1"/>
                <w:kern w:val="2"/>
                <w:sz w:val="21"/>
                <w14:textFill>
                  <w14:solidFill>
                    <w14:schemeClr w14:val="tx1"/>
                  </w14:solidFill>
                </w14:textFill>
              </w:rPr>
            </w:pPr>
            <w:r>
              <w:rPr>
                <w:rFonts w:hint="eastAsia" w:cs="Arial"/>
                <w:color w:val="000000" w:themeColor="text1"/>
                <w:kern w:val="2"/>
                <w:sz w:val="21"/>
                <w14:textFill>
                  <w14:solidFill>
                    <w14:schemeClr w14:val="tx1"/>
                  </w14:solidFill>
                </w14:textFill>
              </w:rPr>
              <w:t>废润滑油、废油桶、废分子筛、沾油废防渗材料和含油废抹布、劳保用品集中收集后交由有相应危险废物处理资质的单位回收处置；废包装物由厂家回收处置</w:t>
            </w:r>
          </w:p>
        </w:tc>
        <w:tc>
          <w:tcPr>
            <w:tcW w:w="709" w:type="dxa"/>
            <w:vMerge w:val="continue"/>
            <w:vAlign w:val="center"/>
          </w:tcPr>
          <w:p w14:paraId="389D32B8">
            <w:pPr>
              <w:pStyle w:val="286"/>
              <w:adjustRightInd w:val="0"/>
              <w:snapToGrid w:val="0"/>
              <w:spacing w:line="300" w:lineRule="exact"/>
              <w:rPr>
                <w:rFonts w:hint="eastAsia" w:cs="Arial"/>
                <w:color w:val="000000" w:themeColor="text1"/>
                <w:kern w:val="2"/>
                <w:sz w:val="21"/>
                <w14:textFill>
                  <w14:solidFill>
                    <w14:schemeClr w14:val="tx1"/>
                  </w14:solidFill>
                </w14:textFill>
              </w:rPr>
            </w:pPr>
          </w:p>
        </w:tc>
        <w:tc>
          <w:tcPr>
            <w:tcW w:w="1325" w:type="dxa"/>
            <w:vMerge w:val="continue"/>
            <w:vAlign w:val="center"/>
          </w:tcPr>
          <w:p w14:paraId="01AF9DA8">
            <w:pPr>
              <w:pStyle w:val="286"/>
              <w:adjustRightInd w:val="0"/>
              <w:snapToGrid w:val="0"/>
              <w:spacing w:line="300" w:lineRule="exact"/>
              <w:rPr>
                <w:rFonts w:hint="eastAsia" w:cs="Arial"/>
                <w:color w:val="000000" w:themeColor="text1"/>
                <w:kern w:val="2"/>
                <w:sz w:val="21"/>
                <w14:textFill>
                  <w14:solidFill>
                    <w14:schemeClr w14:val="tx1"/>
                  </w14:solidFill>
                </w14:textFill>
              </w:rPr>
            </w:pPr>
          </w:p>
        </w:tc>
      </w:tr>
      <w:tr w14:paraId="42EBA2E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34" w:type="dxa"/>
            <w:vAlign w:val="center"/>
          </w:tcPr>
          <w:p w14:paraId="3216871D">
            <w:pPr>
              <w:pStyle w:val="286"/>
              <w:adjustRightInd w:val="0"/>
              <w:snapToGrid w:val="0"/>
              <w:spacing w:line="300" w:lineRule="exact"/>
              <w:rPr>
                <w:rFonts w:hint="eastAsia" w:cs="Arial"/>
                <w:color w:val="000000" w:themeColor="text1"/>
                <w:kern w:val="2"/>
                <w:sz w:val="21"/>
                <w14:textFill>
                  <w14:solidFill>
                    <w14:schemeClr w14:val="tx1"/>
                  </w14:solidFill>
                </w14:textFill>
              </w:rPr>
            </w:pPr>
            <w:r>
              <w:rPr>
                <w:rFonts w:hint="eastAsia" w:cs="Arial"/>
                <w:color w:val="000000" w:themeColor="text1"/>
                <w:kern w:val="2"/>
                <w:sz w:val="21"/>
                <w14:textFill>
                  <w14:solidFill>
                    <w14:schemeClr w14:val="tx1"/>
                  </w14:solidFill>
                </w14:textFill>
              </w:rPr>
              <w:t>5</w:t>
            </w:r>
          </w:p>
        </w:tc>
        <w:tc>
          <w:tcPr>
            <w:tcW w:w="1134" w:type="dxa"/>
            <w:vAlign w:val="center"/>
          </w:tcPr>
          <w:p w14:paraId="254A1EE1">
            <w:pPr>
              <w:pStyle w:val="286"/>
              <w:adjustRightInd w:val="0"/>
              <w:snapToGrid w:val="0"/>
              <w:spacing w:line="300" w:lineRule="exact"/>
              <w:rPr>
                <w:rFonts w:hint="eastAsia" w:cs="Arial"/>
                <w:color w:val="000000" w:themeColor="text1"/>
                <w:kern w:val="2"/>
                <w:sz w:val="21"/>
                <w14:textFill>
                  <w14:solidFill>
                    <w14:schemeClr w14:val="tx1"/>
                  </w14:solidFill>
                </w14:textFill>
              </w:rPr>
            </w:pPr>
            <w:r>
              <w:rPr>
                <w:rFonts w:hint="eastAsia" w:cs="Arial"/>
                <w:color w:val="000000" w:themeColor="text1"/>
                <w:kern w:val="2"/>
                <w:sz w:val="21"/>
                <w14:textFill>
                  <w14:solidFill>
                    <w14:schemeClr w14:val="tx1"/>
                  </w14:solidFill>
                </w14:textFill>
              </w:rPr>
              <w:t>生态环境</w:t>
            </w:r>
          </w:p>
        </w:tc>
        <w:tc>
          <w:tcPr>
            <w:tcW w:w="5244" w:type="dxa"/>
            <w:vAlign w:val="center"/>
          </w:tcPr>
          <w:p w14:paraId="278F722F">
            <w:pPr>
              <w:pStyle w:val="286"/>
              <w:adjustRightInd w:val="0"/>
              <w:snapToGrid w:val="0"/>
              <w:spacing w:line="300" w:lineRule="exact"/>
              <w:rPr>
                <w:rFonts w:hint="eastAsia" w:cs="Arial"/>
                <w:color w:val="000000" w:themeColor="text1"/>
                <w:kern w:val="2"/>
                <w:sz w:val="21"/>
                <w14:textFill>
                  <w14:solidFill>
                    <w14:schemeClr w14:val="tx1"/>
                  </w14:solidFill>
                </w14:textFill>
              </w:rPr>
            </w:pPr>
            <w:r>
              <w:rPr>
                <w:rFonts w:hint="eastAsia" w:cs="Arial"/>
                <w:color w:val="000000" w:themeColor="text1"/>
                <w:kern w:val="2"/>
                <w:sz w:val="21"/>
                <w14:textFill>
                  <w14:solidFill>
                    <w14:schemeClr w14:val="tx1"/>
                  </w14:solidFill>
                </w14:textFill>
              </w:rPr>
              <w:t>继续做好施工地的地表恢复工作，培训巡检人员相关环境保护知识，更好地保护沿线植被；对管道设施定期巡查，及时维修保养</w:t>
            </w:r>
          </w:p>
        </w:tc>
        <w:tc>
          <w:tcPr>
            <w:tcW w:w="709" w:type="dxa"/>
            <w:vMerge w:val="continue"/>
            <w:vAlign w:val="center"/>
          </w:tcPr>
          <w:p w14:paraId="451C43C0">
            <w:pPr>
              <w:pStyle w:val="286"/>
              <w:adjustRightInd w:val="0"/>
              <w:snapToGrid w:val="0"/>
              <w:spacing w:line="300" w:lineRule="exact"/>
              <w:rPr>
                <w:rFonts w:hint="eastAsia" w:cs="Arial"/>
                <w:color w:val="000000" w:themeColor="text1"/>
                <w:kern w:val="2"/>
                <w:sz w:val="21"/>
                <w14:textFill>
                  <w14:solidFill>
                    <w14:schemeClr w14:val="tx1"/>
                  </w14:solidFill>
                </w14:textFill>
              </w:rPr>
            </w:pPr>
          </w:p>
        </w:tc>
        <w:tc>
          <w:tcPr>
            <w:tcW w:w="1325" w:type="dxa"/>
            <w:vMerge w:val="continue"/>
            <w:vAlign w:val="center"/>
          </w:tcPr>
          <w:p w14:paraId="685FEBF2">
            <w:pPr>
              <w:pStyle w:val="286"/>
              <w:adjustRightInd w:val="0"/>
              <w:snapToGrid w:val="0"/>
              <w:spacing w:line="300" w:lineRule="exact"/>
              <w:rPr>
                <w:rFonts w:hint="eastAsia" w:cs="Arial"/>
                <w:color w:val="000000" w:themeColor="text1"/>
                <w:kern w:val="2"/>
                <w:sz w:val="21"/>
                <w14:textFill>
                  <w14:solidFill>
                    <w14:schemeClr w14:val="tx1"/>
                  </w14:solidFill>
                </w14:textFill>
              </w:rPr>
            </w:pPr>
          </w:p>
        </w:tc>
      </w:tr>
      <w:tr w14:paraId="5EB615B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34" w:type="dxa"/>
            <w:vAlign w:val="center"/>
          </w:tcPr>
          <w:p w14:paraId="64D4E7F5">
            <w:pPr>
              <w:pStyle w:val="286"/>
              <w:adjustRightInd w:val="0"/>
              <w:snapToGrid w:val="0"/>
              <w:spacing w:line="300" w:lineRule="exact"/>
              <w:rPr>
                <w:rFonts w:hint="eastAsia" w:cs="Arial"/>
                <w:color w:val="000000" w:themeColor="text1"/>
                <w:kern w:val="2"/>
                <w:sz w:val="21"/>
                <w14:textFill>
                  <w14:solidFill>
                    <w14:schemeClr w14:val="tx1"/>
                  </w14:solidFill>
                </w14:textFill>
              </w:rPr>
            </w:pPr>
            <w:r>
              <w:rPr>
                <w:rFonts w:cs="Arial"/>
                <w:color w:val="000000" w:themeColor="text1"/>
                <w:kern w:val="2"/>
                <w:sz w:val="21"/>
                <w14:textFill>
                  <w14:solidFill>
                    <w14:schemeClr w14:val="tx1"/>
                  </w14:solidFill>
                </w14:textFill>
              </w:rPr>
              <w:t>6</w:t>
            </w:r>
          </w:p>
        </w:tc>
        <w:tc>
          <w:tcPr>
            <w:tcW w:w="1134" w:type="dxa"/>
            <w:vAlign w:val="center"/>
          </w:tcPr>
          <w:p w14:paraId="56D387C1">
            <w:pPr>
              <w:pStyle w:val="286"/>
              <w:adjustRightInd w:val="0"/>
              <w:snapToGrid w:val="0"/>
              <w:spacing w:line="300" w:lineRule="exact"/>
              <w:rPr>
                <w:rFonts w:hint="eastAsia" w:cs="Arial"/>
                <w:color w:val="000000" w:themeColor="text1"/>
                <w:kern w:val="2"/>
                <w:sz w:val="21"/>
                <w14:textFill>
                  <w14:solidFill>
                    <w14:schemeClr w14:val="tx1"/>
                  </w14:solidFill>
                </w14:textFill>
              </w:rPr>
            </w:pPr>
            <w:r>
              <w:rPr>
                <w:rFonts w:hint="eastAsia" w:cs="Arial"/>
                <w:color w:val="000000" w:themeColor="text1"/>
                <w:kern w:val="2"/>
                <w:sz w:val="21"/>
                <w14:textFill>
                  <w14:solidFill>
                    <w14:schemeClr w14:val="tx1"/>
                  </w14:solidFill>
                </w14:textFill>
              </w:rPr>
              <w:t>风险防范措施</w:t>
            </w:r>
          </w:p>
        </w:tc>
        <w:tc>
          <w:tcPr>
            <w:tcW w:w="5244" w:type="dxa"/>
            <w:vAlign w:val="center"/>
          </w:tcPr>
          <w:p w14:paraId="0C0BEA95">
            <w:pPr>
              <w:pStyle w:val="286"/>
              <w:adjustRightInd w:val="0"/>
              <w:snapToGrid w:val="0"/>
              <w:spacing w:line="300" w:lineRule="exact"/>
              <w:rPr>
                <w:rFonts w:hint="eastAsia" w:cs="Arial"/>
                <w:color w:val="000000" w:themeColor="text1"/>
                <w:kern w:val="2"/>
                <w:sz w:val="21"/>
                <w14:textFill>
                  <w14:solidFill>
                    <w14:schemeClr w14:val="tx1"/>
                  </w14:solidFill>
                </w14:textFill>
              </w:rPr>
            </w:pPr>
            <w:r>
              <w:rPr>
                <w:rFonts w:hint="eastAsia" w:cs="Arial"/>
                <w:color w:val="000000" w:themeColor="text1"/>
                <w:kern w:val="2"/>
                <w:sz w:val="21"/>
                <w14:textFill>
                  <w14:solidFill>
                    <w14:schemeClr w14:val="tx1"/>
                  </w14:solidFill>
                </w14:textFill>
              </w:rPr>
              <w:t>制定事故应急预案，对重大隐患和重大事故能够快速做出反应并及时处理</w:t>
            </w:r>
          </w:p>
        </w:tc>
        <w:tc>
          <w:tcPr>
            <w:tcW w:w="709" w:type="dxa"/>
            <w:vMerge w:val="continue"/>
            <w:vAlign w:val="center"/>
          </w:tcPr>
          <w:p w14:paraId="40330615">
            <w:pPr>
              <w:pStyle w:val="286"/>
              <w:adjustRightInd w:val="0"/>
              <w:snapToGrid w:val="0"/>
              <w:spacing w:line="300" w:lineRule="exact"/>
              <w:rPr>
                <w:rFonts w:hint="eastAsia" w:cs="Arial"/>
                <w:color w:val="000000" w:themeColor="text1"/>
                <w:kern w:val="2"/>
                <w:sz w:val="21"/>
                <w14:textFill>
                  <w14:solidFill>
                    <w14:schemeClr w14:val="tx1"/>
                  </w14:solidFill>
                </w14:textFill>
              </w:rPr>
            </w:pPr>
          </w:p>
        </w:tc>
        <w:tc>
          <w:tcPr>
            <w:tcW w:w="1325" w:type="dxa"/>
            <w:vMerge w:val="continue"/>
            <w:vAlign w:val="center"/>
          </w:tcPr>
          <w:p w14:paraId="007D3710">
            <w:pPr>
              <w:pStyle w:val="286"/>
              <w:adjustRightInd w:val="0"/>
              <w:snapToGrid w:val="0"/>
              <w:spacing w:line="300" w:lineRule="exact"/>
              <w:rPr>
                <w:rFonts w:hint="eastAsia" w:cs="Arial"/>
                <w:color w:val="000000" w:themeColor="text1"/>
                <w:kern w:val="2"/>
                <w:sz w:val="21"/>
                <w14:textFill>
                  <w14:solidFill>
                    <w14:schemeClr w14:val="tx1"/>
                  </w14:solidFill>
                </w14:textFill>
              </w:rPr>
            </w:pPr>
          </w:p>
        </w:tc>
      </w:tr>
      <w:tr w14:paraId="77341DD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34" w:type="dxa"/>
            <w:vAlign w:val="center"/>
          </w:tcPr>
          <w:p w14:paraId="0A6BCA1A">
            <w:pPr>
              <w:pStyle w:val="286"/>
              <w:adjustRightInd w:val="0"/>
              <w:snapToGrid w:val="0"/>
              <w:spacing w:line="300" w:lineRule="exact"/>
              <w:rPr>
                <w:rFonts w:hint="eastAsia" w:cs="Arial"/>
                <w:color w:val="000000" w:themeColor="text1"/>
                <w:kern w:val="2"/>
                <w:sz w:val="21"/>
                <w14:textFill>
                  <w14:solidFill>
                    <w14:schemeClr w14:val="tx1"/>
                  </w14:solidFill>
                </w14:textFill>
              </w:rPr>
            </w:pPr>
            <w:r>
              <w:rPr>
                <w:rFonts w:cs="Arial"/>
                <w:color w:val="000000" w:themeColor="text1"/>
                <w:kern w:val="2"/>
                <w:sz w:val="21"/>
                <w14:textFill>
                  <w14:solidFill>
                    <w14:schemeClr w14:val="tx1"/>
                  </w14:solidFill>
                </w14:textFill>
              </w:rPr>
              <w:t>7</w:t>
            </w:r>
          </w:p>
        </w:tc>
        <w:tc>
          <w:tcPr>
            <w:tcW w:w="1134" w:type="dxa"/>
            <w:vAlign w:val="center"/>
          </w:tcPr>
          <w:p w14:paraId="6435045C">
            <w:pPr>
              <w:pStyle w:val="286"/>
              <w:adjustRightInd w:val="0"/>
              <w:snapToGrid w:val="0"/>
              <w:spacing w:line="300" w:lineRule="exact"/>
              <w:rPr>
                <w:rFonts w:hint="eastAsia" w:cs="Arial"/>
                <w:color w:val="000000" w:themeColor="text1"/>
                <w:kern w:val="2"/>
                <w:sz w:val="21"/>
                <w14:textFill>
                  <w14:solidFill>
                    <w14:schemeClr w14:val="tx1"/>
                  </w14:solidFill>
                </w14:textFill>
              </w:rPr>
            </w:pPr>
            <w:r>
              <w:rPr>
                <w:rFonts w:hint="eastAsia" w:cs="Arial"/>
                <w:color w:val="000000" w:themeColor="text1"/>
                <w:kern w:val="2"/>
                <w:sz w:val="21"/>
                <w14:textFill>
                  <w14:solidFill>
                    <w14:schemeClr w14:val="tx1"/>
                  </w14:solidFill>
                </w14:textFill>
              </w:rPr>
              <w:t>环境管理</w:t>
            </w:r>
          </w:p>
        </w:tc>
        <w:tc>
          <w:tcPr>
            <w:tcW w:w="5244" w:type="dxa"/>
            <w:vAlign w:val="center"/>
          </w:tcPr>
          <w:p w14:paraId="60F5311C">
            <w:pPr>
              <w:pStyle w:val="286"/>
              <w:adjustRightInd w:val="0"/>
              <w:snapToGrid w:val="0"/>
              <w:spacing w:line="300" w:lineRule="exact"/>
              <w:rPr>
                <w:rFonts w:hint="eastAsia" w:cs="Arial"/>
                <w:color w:val="000000" w:themeColor="text1"/>
                <w:kern w:val="2"/>
                <w:sz w:val="21"/>
                <w14:textFill>
                  <w14:solidFill>
                    <w14:schemeClr w14:val="tx1"/>
                  </w14:solidFill>
                </w14:textFill>
              </w:rPr>
            </w:pPr>
            <w:r>
              <w:rPr>
                <w:rFonts w:hint="eastAsia" w:cs="Arial"/>
                <w:color w:val="000000" w:themeColor="text1"/>
                <w:kern w:val="2"/>
                <w:sz w:val="21"/>
                <w14:textFill>
                  <w14:solidFill>
                    <w14:schemeClr w14:val="tx1"/>
                  </w14:solidFill>
                </w14:textFill>
              </w:rPr>
              <w:t>建立环境管理体系和事故应急体系，实施环境监测计划</w:t>
            </w:r>
          </w:p>
        </w:tc>
        <w:tc>
          <w:tcPr>
            <w:tcW w:w="709" w:type="dxa"/>
            <w:vMerge w:val="continue"/>
            <w:vAlign w:val="center"/>
          </w:tcPr>
          <w:p w14:paraId="3969EA65">
            <w:pPr>
              <w:pStyle w:val="286"/>
              <w:adjustRightInd w:val="0"/>
              <w:snapToGrid w:val="0"/>
              <w:spacing w:line="300" w:lineRule="exact"/>
              <w:rPr>
                <w:rFonts w:hint="eastAsia" w:cs="Arial"/>
                <w:color w:val="000000" w:themeColor="text1"/>
                <w:kern w:val="2"/>
                <w:sz w:val="21"/>
                <w14:textFill>
                  <w14:solidFill>
                    <w14:schemeClr w14:val="tx1"/>
                  </w14:solidFill>
                </w14:textFill>
              </w:rPr>
            </w:pPr>
          </w:p>
        </w:tc>
        <w:tc>
          <w:tcPr>
            <w:tcW w:w="1325" w:type="dxa"/>
            <w:vMerge w:val="continue"/>
            <w:vAlign w:val="center"/>
          </w:tcPr>
          <w:p w14:paraId="2F51FBC2">
            <w:pPr>
              <w:pStyle w:val="286"/>
              <w:adjustRightInd w:val="0"/>
              <w:snapToGrid w:val="0"/>
              <w:spacing w:line="300" w:lineRule="exact"/>
              <w:rPr>
                <w:rFonts w:hint="eastAsia" w:cs="Arial"/>
                <w:color w:val="000000" w:themeColor="text1"/>
                <w:kern w:val="2"/>
                <w:sz w:val="21"/>
                <w14:textFill>
                  <w14:solidFill>
                    <w14:schemeClr w14:val="tx1"/>
                  </w14:solidFill>
                </w14:textFill>
              </w:rPr>
            </w:pPr>
          </w:p>
        </w:tc>
      </w:tr>
      <w:bookmarkEnd w:id="827"/>
    </w:tbl>
    <w:p w14:paraId="256A7FB4">
      <w:pPr>
        <w:pStyle w:val="4"/>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排污许可管理</w:t>
      </w:r>
    </w:p>
    <w:p w14:paraId="01B1DCC2">
      <w:pPr>
        <w:pStyle w:val="117"/>
        <w:ind w:firstLine="480"/>
        <w:rPr>
          <w:rFonts w:hint="eastAsia"/>
          <w:color w:val="000000" w:themeColor="text1"/>
          <w14:textFill>
            <w14:solidFill>
              <w14:schemeClr w14:val="tx1"/>
            </w14:solidFill>
          </w14:textFill>
        </w:rPr>
      </w:pPr>
      <w:bookmarkStart w:id="828" w:name="_Hlk160377308"/>
      <w:r>
        <w:rPr>
          <w:rFonts w:hint="eastAsia"/>
          <w:color w:val="000000" w:themeColor="text1"/>
          <w14:textFill>
            <w14:solidFill>
              <w14:schemeClr w14:val="tx1"/>
            </w14:solidFill>
          </w14:textFill>
        </w:rPr>
        <w:t>《固定污染源排污许可分类管理名录》（2</w:t>
      </w:r>
      <w:r>
        <w:rPr>
          <w:color w:val="000000" w:themeColor="text1"/>
          <w14:textFill>
            <w14:solidFill>
              <w14:schemeClr w14:val="tx1"/>
            </w14:solidFill>
          </w14:textFill>
        </w:rPr>
        <w:t>019</w:t>
      </w:r>
      <w:r>
        <w:rPr>
          <w:rFonts w:hint="eastAsia"/>
          <w:color w:val="000000" w:themeColor="text1"/>
          <w14:textFill>
            <w14:solidFill>
              <w14:schemeClr w14:val="tx1"/>
            </w14:solidFill>
          </w14:textFill>
        </w:rPr>
        <w:t>年版）第六条规定：“属于本名录第</w:t>
      </w:r>
      <w:r>
        <w:rPr>
          <w:color w:val="000000" w:themeColor="text1"/>
          <w14:textFill>
            <w14:solidFill>
              <w14:schemeClr w14:val="tx1"/>
            </w14:solidFill>
          </w14:textFill>
        </w:rPr>
        <w:t>1</w:t>
      </w:r>
      <w:r>
        <w:rPr>
          <w:rFonts w:hint="eastAsia"/>
          <w:color w:val="000000" w:themeColor="text1"/>
          <w14:textFill>
            <w14:solidFill>
              <w14:schemeClr w14:val="tx1"/>
            </w14:solidFill>
          </w14:textFill>
        </w:rPr>
        <w:t>至</w:t>
      </w:r>
      <w:r>
        <w:rPr>
          <w:color w:val="000000" w:themeColor="text1"/>
          <w14:textFill>
            <w14:solidFill>
              <w14:schemeClr w14:val="tx1"/>
            </w14:solidFill>
          </w14:textFill>
        </w:rPr>
        <w:t>107</w:t>
      </w:r>
      <w:r>
        <w:rPr>
          <w:rFonts w:hint="eastAsia"/>
          <w:color w:val="000000" w:themeColor="text1"/>
          <w14:textFill>
            <w14:solidFill>
              <w14:schemeClr w14:val="tx1"/>
            </w14:solidFill>
          </w14:textFill>
        </w:rPr>
        <w:t>类行业的排污单位，按照本名录第</w:t>
      </w:r>
      <w:r>
        <w:rPr>
          <w:color w:val="000000" w:themeColor="text1"/>
          <w14:textFill>
            <w14:solidFill>
              <w14:schemeClr w14:val="tx1"/>
            </w14:solidFill>
          </w14:textFill>
        </w:rPr>
        <w:t>109</w:t>
      </w:r>
      <w:r>
        <w:rPr>
          <w:rFonts w:hint="eastAsia"/>
          <w:color w:val="000000" w:themeColor="text1"/>
          <w14:textFill>
            <w14:solidFill>
              <w14:schemeClr w14:val="tx1"/>
            </w14:solidFill>
          </w14:textFill>
        </w:rPr>
        <w:t>至</w:t>
      </w:r>
      <w:r>
        <w:rPr>
          <w:color w:val="000000" w:themeColor="text1"/>
          <w14:textFill>
            <w14:solidFill>
              <w14:schemeClr w14:val="tx1"/>
            </w14:solidFill>
          </w14:textFill>
        </w:rPr>
        <w:t>112</w:t>
      </w:r>
      <w:r>
        <w:rPr>
          <w:rFonts w:hint="eastAsia"/>
          <w:color w:val="000000" w:themeColor="text1"/>
          <w14:textFill>
            <w14:solidFill>
              <w14:schemeClr w14:val="tx1"/>
            </w14:solidFill>
          </w14:textFill>
        </w:rPr>
        <w:t>类规定的锅炉、工业炉窑、表面处理、水处理等通用工序实施重点管理或者简化管理的，只需对其涉及的通用工序申请取得排污许可证，不需要对其他生产设施和相应的排放口等申请取得排污许可证”。本项目不涉及锅炉、工业炉窑、表面处理和水处理等通用工序，不申领排污许可证。</w:t>
      </w:r>
    </w:p>
    <w:bookmarkEnd w:id="828"/>
    <w:p w14:paraId="1F6EB314">
      <w:pPr>
        <w:pStyle w:val="4"/>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退役期</w:t>
      </w:r>
      <w:r>
        <w:rPr>
          <w:color w:val="000000" w:themeColor="text1"/>
          <w14:textFill>
            <w14:solidFill>
              <w14:schemeClr w14:val="tx1"/>
            </w14:solidFill>
          </w14:textFill>
        </w:rPr>
        <w:t>环境管理</w:t>
      </w:r>
    </w:p>
    <w:p w14:paraId="74D8CD5F">
      <w:pPr>
        <w:pStyle w:val="117"/>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退役期环境管理</w:t>
      </w:r>
      <w:r>
        <w:rPr>
          <w:color w:val="000000" w:themeColor="text1"/>
          <w14:textFill>
            <w14:solidFill>
              <w14:schemeClr w14:val="tx1"/>
            </w14:solidFill>
          </w14:textFill>
        </w:rPr>
        <w:t>的主要内容见</w:t>
      </w:r>
      <w:r>
        <w:rPr>
          <w:rFonts w:hint="eastAsia"/>
          <w:color w:val="000000" w:themeColor="text1"/>
          <w14:textFill>
            <w14:solidFill>
              <w14:schemeClr w14:val="tx1"/>
            </w14:solidFill>
          </w14:textFill>
        </w:rPr>
        <w:t>表</w:t>
      </w:r>
      <w:r>
        <w:rPr>
          <w:color w:val="000000" w:themeColor="text1"/>
          <w14:textFill>
            <w14:solidFill>
              <w14:schemeClr w14:val="tx1"/>
            </w14:solidFill>
          </w14:textFill>
        </w:rPr>
        <w:t>7.2-3</w:t>
      </w:r>
      <w:r>
        <w:rPr>
          <w:rFonts w:hint="eastAsia"/>
          <w:color w:val="000000" w:themeColor="text1"/>
          <w14:textFill>
            <w14:solidFill>
              <w14:schemeClr w14:val="tx1"/>
            </w14:solidFill>
          </w14:textFill>
        </w:rPr>
        <w:t>。</w:t>
      </w:r>
    </w:p>
    <w:p w14:paraId="3C4BB4D1">
      <w:pPr>
        <w:pStyle w:val="15"/>
        <w:rPr>
          <w:rStyle w:val="163"/>
          <w:rFonts w:hint="eastAsia"/>
          <w:color w:val="000000" w:themeColor="text1"/>
          <w14:textFill>
            <w14:solidFill>
              <w14:schemeClr w14:val="tx1"/>
            </w14:solidFill>
          </w14:textFill>
        </w:rPr>
      </w:pPr>
      <w:bookmarkStart w:id="829" w:name="_Ref468827454"/>
      <w:r>
        <w:rPr>
          <w:rStyle w:val="163"/>
          <w:color w:val="000000" w:themeColor="text1"/>
          <w14:textFill>
            <w14:solidFill>
              <w14:schemeClr w14:val="tx1"/>
            </w14:solidFill>
          </w14:textFill>
        </w:rPr>
        <w:t>表</w:t>
      </w:r>
      <w:bookmarkEnd w:id="829"/>
      <w:r>
        <w:rPr>
          <w:rStyle w:val="163"/>
          <w:color w:val="000000" w:themeColor="text1"/>
          <w14:textFill>
            <w14:solidFill>
              <w14:schemeClr w14:val="tx1"/>
            </w14:solidFill>
          </w14:textFill>
        </w:rPr>
        <w:t>7.2-3</w:t>
      </w:r>
      <w:r>
        <w:rPr>
          <w:rStyle w:val="163"/>
          <w:rFonts w:hint="eastAsia"/>
          <w:color w:val="000000" w:themeColor="text1"/>
          <w14:textFill>
            <w14:solidFill>
              <w14:schemeClr w14:val="tx1"/>
            </w14:solidFill>
          </w14:textFill>
        </w:rPr>
        <w:t xml:space="preserve">  退役</w:t>
      </w:r>
      <w:r>
        <w:rPr>
          <w:rStyle w:val="163"/>
          <w:color w:val="000000" w:themeColor="text1"/>
          <w14:textFill>
            <w14:solidFill>
              <w14:schemeClr w14:val="tx1"/>
            </w14:solidFill>
          </w14:textFill>
        </w:rPr>
        <w:t>期</w:t>
      </w:r>
      <w:r>
        <w:rPr>
          <w:rStyle w:val="163"/>
          <w:rFonts w:hint="eastAsia"/>
          <w:color w:val="000000" w:themeColor="text1"/>
          <w14:textFill>
            <w14:solidFill>
              <w14:schemeClr w14:val="tx1"/>
            </w14:solidFill>
          </w14:textFill>
        </w:rPr>
        <w:t>的</w:t>
      </w:r>
      <w:r>
        <w:rPr>
          <w:rStyle w:val="163"/>
          <w:color w:val="000000" w:themeColor="text1"/>
          <w14:textFill>
            <w14:solidFill>
              <w14:schemeClr w14:val="tx1"/>
            </w14:solidFill>
          </w14:textFill>
        </w:rPr>
        <w:t>环境保护</w:t>
      </w:r>
      <w:r>
        <w:rPr>
          <w:rStyle w:val="163"/>
          <w:rFonts w:hint="eastAsia"/>
          <w:color w:val="000000" w:themeColor="text1"/>
          <w14:textFill>
            <w14:solidFill>
              <w14:schemeClr w14:val="tx1"/>
            </w14:solidFill>
          </w14:textFill>
        </w:rPr>
        <w:t>行动计划</w:t>
      </w:r>
    </w:p>
    <w:tbl>
      <w:tblPr>
        <w:tblStyle w:val="51"/>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426"/>
        <w:gridCol w:w="1133"/>
        <w:gridCol w:w="4538"/>
        <w:gridCol w:w="992"/>
        <w:gridCol w:w="1641"/>
      </w:tblGrid>
      <w:tr w14:paraId="525CB82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blHeader/>
        </w:trPr>
        <w:tc>
          <w:tcPr>
            <w:tcW w:w="244" w:type="pct"/>
            <w:vAlign w:val="center"/>
          </w:tcPr>
          <w:p w14:paraId="3F6480C8">
            <w:pPr>
              <w:pStyle w:val="286"/>
              <w:spacing w:line="280" w:lineRule="exact"/>
              <w:rPr>
                <w:rFonts w:hint="eastAsia" w:cs="Arial"/>
                <w:color w:val="000000" w:themeColor="text1"/>
                <w:sz w:val="21"/>
                <w14:textFill>
                  <w14:solidFill>
                    <w14:schemeClr w14:val="tx1"/>
                  </w14:solidFill>
                </w14:textFill>
              </w:rPr>
            </w:pPr>
            <w:r>
              <w:rPr>
                <w:rFonts w:hint="eastAsia" w:cs="Arial"/>
                <w:color w:val="000000" w:themeColor="text1"/>
                <w:sz w:val="21"/>
                <w14:textFill>
                  <w14:solidFill>
                    <w14:schemeClr w14:val="tx1"/>
                  </w14:solidFill>
                </w14:textFill>
              </w:rPr>
              <w:t>序号</w:t>
            </w:r>
          </w:p>
        </w:tc>
        <w:tc>
          <w:tcPr>
            <w:tcW w:w="649" w:type="pct"/>
            <w:vAlign w:val="center"/>
          </w:tcPr>
          <w:p w14:paraId="0DAD3DBE">
            <w:pPr>
              <w:pStyle w:val="286"/>
              <w:spacing w:line="280" w:lineRule="exact"/>
              <w:rPr>
                <w:rFonts w:hint="eastAsia" w:cs="Arial"/>
                <w:color w:val="000000" w:themeColor="text1"/>
                <w:sz w:val="21"/>
                <w14:textFill>
                  <w14:solidFill>
                    <w14:schemeClr w14:val="tx1"/>
                  </w14:solidFill>
                </w14:textFill>
              </w:rPr>
            </w:pPr>
            <w:r>
              <w:rPr>
                <w:rFonts w:hint="eastAsia" w:cs="Arial"/>
                <w:color w:val="000000" w:themeColor="text1"/>
                <w:sz w:val="21"/>
                <w14:textFill>
                  <w14:solidFill>
                    <w14:schemeClr w14:val="tx1"/>
                  </w14:solidFill>
                </w14:textFill>
              </w:rPr>
              <w:t>影响因素</w:t>
            </w:r>
          </w:p>
        </w:tc>
        <w:tc>
          <w:tcPr>
            <w:tcW w:w="2599" w:type="pct"/>
            <w:vAlign w:val="center"/>
          </w:tcPr>
          <w:p w14:paraId="4A2667A2">
            <w:pPr>
              <w:pStyle w:val="286"/>
              <w:spacing w:line="280" w:lineRule="exact"/>
              <w:rPr>
                <w:rFonts w:hint="eastAsia" w:cs="Arial"/>
                <w:color w:val="000000" w:themeColor="text1"/>
                <w:sz w:val="21"/>
                <w14:textFill>
                  <w14:solidFill>
                    <w14:schemeClr w14:val="tx1"/>
                  </w14:solidFill>
                </w14:textFill>
              </w:rPr>
            </w:pPr>
            <w:r>
              <w:rPr>
                <w:rFonts w:hint="eastAsia" w:cs="Arial"/>
                <w:color w:val="000000" w:themeColor="text1"/>
                <w:sz w:val="21"/>
                <w14:textFill>
                  <w14:solidFill>
                    <w14:schemeClr w14:val="tx1"/>
                  </w14:solidFill>
                </w14:textFill>
              </w:rPr>
              <w:t>环保措施</w:t>
            </w:r>
          </w:p>
        </w:tc>
        <w:tc>
          <w:tcPr>
            <w:tcW w:w="568" w:type="pct"/>
            <w:vAlign w:val="center"/>
          </w:tcPr>
          <w:p w14:paraId="3E6281E0">
            <w:pPr>
              <w:pStyle w:val="286"/>
              <w:spacing w:line="280" w:lineRule="exact"/>
              <w:rPr>
                <w:rFonts w:hint="eastAsia" w:cs="Arial"/>
                <w:color w:val="000000" w:themeColor="text1"/>
                <w:sz w:val="21"/>
                <w14:textFill>
                  <w14:solidFill>
                    <w14:schemeClr w14:val="tx1"/>
                  </w14:solidFill>
                </w14:textFill>
              </w:rPr>
            </w:pPr>
            <w:r>
              <w:rPr>
                <w:rFonts w:hint="eastAsia" w:cs="Arial"/>
                <w:color w:val="000000" w:themeColor="text1"/>
                <w:sz w:val="21"/>
                <w14:textFill>
                  <w14:solidFill>
                    <w14:schemeClr w14:val="tx1"/>
                  </w14:solidFill>
                </w14:textFill>
              </w:rPr>
              <w:t>实施单位</w:t>
            </w:r>
          </w:p>
        </w:tc>
        <w:tc>
          <w:tcPr>
            <w:tcW w:w="940" w:type="pct"/>
            <w:vAlign w:val="center"/>
          </w:tcPr>
          <w:p w14:paraId="641D47EA">
            <w:pPr>
              <w:pStyle w:val="286"/>
              <w:spacing w:line="280" w:lineRule="exact"/>
              <w:rPr>
                <w:rFonts w:hint="eastAsia" w:cs="Arial"/>
                <w:color w:val="000000" w:themeColor="text1"/>
                <w:sz w:val="21"/>
                <w14:textFill>
                  <w14:solidFill>
                    <w14:schemeClr w14:val="tx1"/>
                  </w14:solidFill>
                </w14:textFill>
              </w:rPr>
            </w:pPr>
            <w:r>
              <w:rPr>
                <w:rFonts w:hint="eastAsia" w:cs="Arial"/>
                <w:color w:val="000000" w:themeColor="text1"/>
                <w:sz w:val="21"/>
                <w14:textFill>
                  <w14:solidFill>
                    <w14:schemeClr w14:val="tx1"/>
                  </w14:solidFill>
                </w14:textFill>
              </w:rPr>
              <w:t>监督单位</w:t>
            </w:r>
          </w:p>
        </w:tc>
      </w:tr>
      <w:tr w14:paraId="57E15F4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244" w:type="pct"/>
            <w:vAlign w:val="center"/>
          </w:tcPr>
          <w:p w14:paraId="4A12337F">
            <w:pPr>
              <w:pStyle w:val="286"/>
              <w:spacing w:line="280" w:lineRule="exact"/>
              <w:rPr>
                <w:rFonts w:hint="eastAsia" w:cs="Arial"/>
                <w:color w:val="000000" w:themeColor="text1"/>
                <w:sz w:val="21"/>
                <w14:textFill>
                  <w14:solidFill>
                    <w14:schemeClr w14:val="tx1"/>
                  </w14:solidFill>
                </w14:textFill>
              </w:rPr>
            </w:pPr>
            <w:r>
              <w:rPr>
                <w:rFonts w:hint="eastAsia" w:cs="Arial"/>
                <w:color w:val="000000" w:themeColor="text1"/>
                <w:sz w:val="21"/>
                <w14:textFill>
                  <w14:solidFill>
                    <w14:schemeClr w14:val="tx1"/>
                  </w14:solidFill>
                </w14:textFill>
              </w:rPr>
              <w:t>1</w:t>
            </w:r>
          </w:p>
        </w:tc>
        <w:tc>
          <w:tcPr>
            <w:tcW w:w="649" w:type="pct"/>
            <w:vAlign w:val="center"/>
          </w:tcPr>
          <w:p w14:paraId="374E5BDD">
            <w:pPr>
              <w:pStyle w:val="286"/>
              <w:spacing w:line="280" w:lineRule="exact"/>
              <w:rPr>
                <w:rFonts w:hint="eastAsia" w:cs="Arial"/>
                <w:color w:val="000000" w:themeColor="text1"/>
                <w:sz w:val="21"/>
                <w14:textFill>
                  <w14:solidFill>
                    <w14:schemeClr w14:val="tx1"/>
                  </w14:solidFill>
                </w14:textFill>
              </w:rPr>
            </w:pPr>
            <w:r>
              <w:rPr>
                <w:rFonts w:hint="eastAsia" w:cs="Arial"/>
                <w:color w:val="000000" w:themeColor="text1"/>
                <w:sz w:val="21"/>
                <w14:textFill>
                  <w14:solidFill>
                    <w14:schemeClr w14:val="tx1"/>
                  </w14:solidFill>
                </w14:textFill>
              </w:rPr>
              <w:t>生态环境</w:t>
            </w:r>
          </w:p>
        </w:tc>
        <w:tc>
          <w:tcPr>
            <w:tcW w:w="2599" w:type="pct"/>
            <w:vAlign w:val="center"/>
          </w:tcPr>
          <w:p w14:paraId="54270720">
            <w:pPr>
              <w:pStyle w:val="286"/>
              <w:spacing w:line="280" w:lineRule="exact"/>
              <w:rPr>
                <w:rFonts w:hint="eastAsia" w:cs="Arial"/>
                <w:color w:val="000000" w:themeColor="text1"/>
                <w:sz w:val="21"/>
                <w14:textFill>
                  <w14:solidFill>
                    <w14:schemeClr w14:val="tx1"/>
                  </w14:solidFill>
                </w14:textFill>
              </w:rPr>
            </w:pPr>
            <w:r>
              <w:rPr>
                <w:rFonts w:hint="eastAsia" w:cs="Arial"/>
                <w:color w:val="000000" w:themeColor="text1"/>
                <w:sz w:val="21"/>
                <w14:textFill>
                  <w14:solidFill>
                    <w14:schemeClr w14:val="tx1"/>
                  </w14:solidFill>
                </w14:textFill>
              </w:rPr>
              <w:t>做好退役期的地表恢复工作，拆卸、迁移设备，恢复地貌。</w:t>
            </w:r>
          </w:p>
        </w:tc>
        <w:tc>
          <w:tcPr>
            <w:tcW w:w="568" w:type="pct"/>
            <w:vMerge w:val="restart"/>
            <w:vAlign w:val="center"/>
          </w:tcPr>
          <w:p w14:paraId="7849284B">
            <w:pPr>
              <w:pStyle w:val="286"/>
              <w:spacing w:line="280" w:lineRule="exact"/>
              <w:rPr>
                <w:rFonts w:hint="eastAsia" w:cs="Arial"/>
                <w:color w:val="000000" w:themeColor="text1"/>
                <w:sz w:val="21"/>
                <w14:textFill>
                  <w14:solidFill>
                    <w14:schemeClr w14:val="tx1"/>
                  </w14:solidFill>
                </w14:textFill>
              </w:rPr>
            </w:pPr>
            <w:r>
              <w:rPr>
                <w:rFonts w:hint="eastAsia" w:cs="Arial"/>
                <w:color w:val="000000" w:themeColor="text1"/>
                <w:kern w:val="2"/>
                <w:sz w:val="21"/>
                <w14:textFill>
                  <w14:solidFill>
                    <w14:schemeClr w14:val="tx1"/>
                  </w14:solidFill>
                </w14:textFill>
              </w:rPr>
              <w:t>中国石油新疆油田分公司吉庆油田作业区</w:t>
            </w:r>
          </w:p>
        </w:tc>
        <w:tc>
          <w:tcPr>
            <w:tcW w:w="940" w:type="pct"/>
            <w:vMerge w:val="restart"/>
            <w:vAlign w:val="center"/>
          </w:tcPr>
          <w:p w14:paraId="299BC500">
            <w:pPr>
              <w:pStyle w:val="286"/>
              <w:spacing w:line="280" w:lineRule="exact"/>
              <w:rPr>
                <w:rFonts w:hint="eastAsia" w:cs="Arial"/>
                <w:color w:val="000000" w:themeColor="text1"/>
                <w:sz w:val="21"/>
                <w14:textFill>
                  <w14:solidFill>
                    <w14:schemeClr w14:val="tx1"/>
                  </w14:solidFill>
                </w14:textFill>
              </w:rPr>
            </w:pPr>
            <w:r>
              <w:rPr>
                <w:rFonts w:hint="eastAsia" w:cs="Arial"/>
                <w:color w:val="000000" w:themeColor="text1"/>
                <w:kern w:val="2"/>
                <w:sz w:val="21"/>
                <w14:textFill>
                  <w14:solidFill>
                    <w14:schemeClr w14:val="tx1"/>
                  </w14:solidFill>
                </w14:textFill>
              </w:rPr>
              <w:t>新疆维吾尔自治区生态环境厅、昌吉回族自治州生态环境局、昌吉回族自治州生态环境局吉木萨尔县分局</w:t>
            </w:r>
          </w:p>
        </w:tc>
      </w:tr>
      <w:tr w14:paraId="3628DFA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244" w:type="pct"/>
            <w:vAlign w:val="center"/>
          </w:tcPr>
          <w:p w14:paraId="7C11DFB1">
            <w:pPr>
              <w:pStyle w:val="286"/>
              <w:spacing w:line="280" w:lineRule="exact"/>
              <w:rPr>
                <w:rFonts w:hint="eastAsia" w:cs="Arial"/>
                <w:color w:val="000000" w:themeColor="text1"/>
                <w:sz w:val="21"/>
                <w14:textFill>
                  <w14:solidFill>
                    <w14:schemeClr w14:val="tx1"/>
                  </w14:solidFill>
                </w14:textFill>
              </w:rPr>
            </w:pPr>
            <w:r>
              <w:rPr>
                <w:rFonts w:hint="eastAsia" w:cs="Arial"/>
                <w:color w:val="000000" w:themeColor="text1"/>
                <w:sz w:val="21"/>
                <w14:textFill>
                  <w14:solidFill>
                    <w14:schemeClr w14:val="tx1"/>
                  </w14:solidFill>
                </w14:textFill>
              </w:rPr>
              <w:t>2</w:t>
            </w:r>
          </w:p>
        </w:tc>
        <w:tc>
          <w:tcPr>
            <w:tcW w:w="649" w:type="pct"/>
            <w:vAlign w:val="center"/>
          </w:tcPr>
          <w:p w14:paraId="54BF7785">
            <w:pPr>
              <w:pStyle w:val="286"/>
              <w:spacing w:line="280" w:lineRule="exact"/>
              <w:rPr>
                <w:rFonts w:hint="eastAsia" w:cs="Arial"/>
                <w:color w:val="000000" w:themeColor="text1"/>
                <w:sz w:val="21"/>
                <w14:textFill>
                  <w14:solidFill>
                    <w14:schemeClr w14:val="tx1"/>
                  </w14:solidFill>
                </w14:textFill>
              </w:rPr>
            </w:pPr>
            <w:r>
              <w:rPr>
                <w:rFonts w:hint="eastAsia" w:cs="Arial"/>
                <w:color w:val="000000" w:themeColor="text1"/>
                <w:sz w:val="21"/>
                <w14:textFill>
                  <w14:solidFill>
                    <w14:schemeClr w14:val="tx1"/>
                  </w14:solidFill>
                </w14:textFill>
              </w:rPr>
              <w:t>声环境</w:t>
            </w:r>
          </w:p>
        </w:tc>
        <w:tc>
          <w:tcPr>
            <w:tcW w:w="2599" w:type="pct"/>
            <w:vAlign w:val="center"/>
          </w:tcPr>
          <w:p w14:paraId="50590AA6">
            <w:pPr>
              <w:pStyle w:val="286"/>
              <w:spacing w:line="280" w:lineRule="exact"/>
              <w:rPr>
                <w:rFonts w:hint="eastAsia" w:cs="Arial"/>
                <w:color w:val="000000" w:themeColor="text1"/>
                <w:sz w:val="21"/>
                <w14:textFill>
                  <w14:solidFill>
                    <w14:schemeClr w14:val="tx1"/>
                  </w14:solidFill>
                </w14:textFill>
              </w:rPr>
            </w:pPr>
            <w:r>
              <w:rPr>
                <w:rFonts w:hint="eastAsia" w:cs="Arial"/>
                <w:color w:val="000000" w:themeColor="text1"/>
                <w:sz w:val="21"/>
                <w14:textFill>
                  <w14:solidFill>
                    <w14:schemeClr w14:val="tx1"/>
                  </w14:solidFill>
                </w14:textFill>
              </w:rPr>
              <w:t>退役期间加强施工设备维护保养，合理安排施工时间。</w:t>
            </w:r>
          </w:p>
        </w:tc>
        <w:tc>
          <w:tcPr>
            <w:tcW w:w="568" w:type="pct"/>
            <w:vMerge w:val="continue"/>
            <w:vAlign w:val="center"/>
          </w:tcPr>
          <w:p w14:paraId="02FA5A46">
            <w:pPr>
              <w:pStyle w:val="286"/>
              <w:spacing w:line="280" w:lineRule="exact"/>
              <w:rPr>
                <w:rFonts w:hint="eastAsia" w:cs="Arial"/>
                <w:color w:val="000000" w:themeColor="text1"/>
                <w:sz w:val="21"/>
                <w14:textFill>
                  <w14:solidFill>
                    <w14:schemeClr w14:val="tx1"/>
                  </w14:solidFill>
                </w14:textFill>
              </w:rPr>
            </w:pPr>
          </w:p>
        </w:tc>
        <w:tc>
          <w:tcPr>
            <w:tcW w:w="940" w:type="pct"/>
            <w:vMerge w:val="continue"/>
            <w:vAlign w:val="center"/>
          </w:tcPr>
          <w:p w14:paraId="5965EC58">
            <w:pPr>
              <w:pStyle w:val="286"/>
              <w:spacing w:line="280" w:lineRule="exact"/>
              <w:rPr>
                <w:rFonts w:hint="eastAsia" w:cs="Arial"/>
                <w:color w:val="000000" w:themeColor="text1"/>
                <w:sz w:val="21"/>
                <w14:textFill>
                  <w14:solidFill>
                    <w14:schemeClr w14:val="tx1"/>
                  </w14:solidFill>
                </w14:textFill>
              </w:rPr>
            </w:pPr>
          </w:p>
        </w:tc>
      </w:tr>
      <w:tr w14:paraId="00AABB0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244" w:type="pct"/>
            <w:vAlign w:val="center"/>
          </w:tcPr>
          <w:p w14:paraId="59193241">
            <w:pPr>
              <w:pStyle w:val="286"/>
              <w:spacing w:line="280" w:lineRule="exact"/>
              <w:rPr>
                <w:rFonts w:hint="eastAsia" w:cs="Arial"/>
                <w:color w:val="000000" w:themeColor="text1"/>
                <w:sz w:val="21"/>
                <w14:textFill>
                  <w14:solidFill>
                    <w14:schemeClr w14:val="tx1"/>
                  </w14:solidFill>
                </w14:textFill>
              </w:rPr>
            </w:pPr>
            <w:r>
              <w:rPr>
                <w:rFonts w:hint="eastAsia" w:cs="Arial"/>
                <w:color w:val="000000" w:themeColor="text1"/>
                <w:sz w:val="21"/>
                <w14:textFill>
                  <w14:solidFill>
                    <w14:schemeClr w14:val="tx1"/>
                  </w14:solidFill>
                </w14:textFill>
              </w:rPr>
              <w:t>3</w:t>
            </w:r>
          </w:p>
        </w:tc>
        <w:tc>
          <w:tcPr>
            <w:tcW w:w="649" w:type="pct"/>
            <w:vAlign w:val="center"/>
          </w:tcPr>
          <w:p w14:paraId="36A9DBFA">
            <w:pPr>
              <w:pStyle w:val="286"/>
              <w:spacing w:line="280" w:lineRule="exact"/>
              <w:rPr>
                <w:rFonts w:hint="eastAsia" w:cs="Arial"/>
                <w:color w:val="000000" w:themeColor="text1"/>
                <w:sz w:val="21"/>
                <w14:textFill>
                  <w14:solidFill>
                    <w14:schemeClr w14:val="tx1"/>
                  </w14:solidFill>
                </w14:textFill>
              </w:rPr>
            </w:pPr>
            <w:r>
              <w:rPr>
                <w:rFonts w:hint="eastAsia" w:cs="Arial"/>
                <w:color w:val="000000" w:themeColor="text1"/>
                <w:sz w:val="21"/>
                <w14:textFill>
                  <w14:solidFill>
                    <w14:schemeClr w14:val="tx1"/>
                  </w14:solidFill>
                </w14:textFill>
              </w:rPr>
              <w:t>大气环境</w:t>
            </w:r>
          </w:p>
        </w:tc>
        <w:tc>
          <w:tcPr>
            <w:tcW w:w="2599" w:type="pct"/>
            <w:vAlign w:val="center"/>
          </w:tcPr>
          <w:p w14:paraId="2D68E308">
            <w:pPr>
              <w:pStyle w:val="286"/>
              <w:spacing w:line="280" w:lineRule="exact"/>
              <w:rPr>
                <w:rFonts w:hint="eastAsia" w:cs="Arial"/>
                <w:color w:val="000000" w:themeColor="text1"/>
                <w:sz w:val="21"/>
                <w14:textFill>
                  <w14:solidFill>
                    <w14:schemeClr w14:val="tx1"/>
                  </w14:solidFill>
                </w14:textFill>
              </w:rPr>
            </w:pPr>
            <w:r>
              <w:rPr>
                <w:rFonts w:hint="eastAsia" w:cs="Arial"/>
                <w:color w:val="000000" w:themeColor="text1"/>
                <w:sz w:val="21"/>
                <w14:textFill>
                  <w14:solidFill>
                    <w14:schemeClr w14:val="tx1"/>
                  </w14:solidFill>
                </w14:textFill>
              </w:rPr>
              <w:t>在对原有的设备拆卸、转移过程中会产生一定的扬尘，闭井工作避开大风等恶劣天气，避免对周围空气造成影响。</w:t>
            </w:r>
          </w:p>
        </w:tc>
        <w:tc>
          <w:tcPr>
            <w:tcW w:w="568" w:type="pct"/>
            <w:vMerge w:val="continue"/>
            <w:vAlign w:val="center"/>
          </w:tcPr>
          <w:p w14:paraId="2BDA8240">
            <w:pPr>
              <w:pStyle w:val="286"/>
              <w:spacing w:line="280" w:lineRule="exact"/>
              <w:rPr>
                <w:rFonts w:hint="eastAsia" w:cs="Arial"/>
                <w:color w:val="000000" w:themeColor="text1"/>
                <w:sz w:val="21"/>
                <w14:textFill>
                  <w14:solidFill>
                    <w14:schemeClr w14:val="tx1"/>
                  </w14:solidFill>
                </w14:textFill>
              </w:rPr>
            </w:pPr>
          </w:p>
        </w:tc>
        <w:tc>
          <w:tcPr>
            <w:tcW w:w="940" w:type="pct"/>
            <w:vMerge w:val="continue"/>
            <w:vAlign w:val="center"/>
          </w:tcPr>
          <w:p w14:paraId="78C38AA4">
            <w:pPr>
              <w:pStyle w:val="286"/>
              <w:spacing w:line="280" w:lineRule="exact"/>
              <w:rPr>
                <w:rFonts w:hint="eastAsia" w:cs="Arial"/>
                <w:color w:val="000000" w:themeColor="text1"/>
                <w:sz w:val="21"/>
                <w14:textFill>
                  <w14:solidFill>
                    <w14:schemeClr w14:val="tx1"/>
                  </w14:solidFill>
                </w14:textFill>
              </w:rPr>
            </w:pPr>
          </w:p>
        </w:tc>
      </w:tr>
      <w:tr w14:paraId="6B6CBDA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244" w:type="pct"/>
            <w:vAlign w:val="center"/>
          </w:tcPr>
          <w:p w14:paraId="30D5C25A">
            <w:pPr>
              <w:pStyle w:val="286"/>
              <w:spacing w:line="280" w:lineRule="exact"/>
              <w:rPr>
                <w:rFonts w:hint="eastAsia" w:cs="Arial"/>
                <w:color w:val="000000" w:themeColor="text1"/>
                <w:sz w:val="21"/>
                <w14:textFill>
                  <w14:solidFill>
                    <w14:schemeClr w14:val="tx1"/>
                  </w14:solidFill>
                </w14:textFill>
              </w:rPr>
            </w:pPr>
            <w:r>
              <w:rPr>
                <w:rFonts w:hint="eastAsia" w:cs="Arial"/>
                <w:color w:val="000000" w:themeColor="text1"/>
                <w:sz w:val="21"/>
                <w14:textFill>
                  <w14:solidFill>
                    <w14:schemeClr w14:val="tx1"/>
                  </w14:solidFill>
                </w14:textFill>
              </w:rPr>
              <w:t>4</w:t>
            </w:r>
          </w:p>
        </w:tc>
        <w:tc>
          <w:tcPr>
            <w:tcW w:w="649" w:type="pct"/>
            <w:vAlign w:val="center"/>
          </w:tcPr>
          <w:p w14:paraId="138DC320">
            <w:pPr>
              <w:pStyle w:val="286"/>
              <w:spacing w:line="280" w:lineRule="exact"/>
              <w:rPr>
                <w:rFonts w:hint="eastAsia" w:cs="Arial"/>
                <w:color w:val="000000" w:themeColor="text1"/>
                <w:sz w:val="21"/>
                <w14:textFill>
                  <w14:solidFill>
                    <w14:schemeClr w14:val="tx1"/>
                  </w14:solidFill>
                </w14:textFill>
              </w:rPr>
            </w:pPr>
            <w:r>
              <w:rPr>
                <w:rFonts w:hint="eastAsia" w:cs="Arial"/>
                <w:color w:val="000000" w:themeColor="text1"/>
                <w:sz w:val="21"/>
                <w14:textFill>
                  <w14:solidFill>
                    <w14:schemeClr w14:val="tx1"/>
                  </w14:solidFill>
                </w14:textFill>
              </w:rPr>
              <w:t>水环境</w:t>
            </w:r>
          </w:p>
        </w:tc>
        <w:tc>
          <w:tcPr>
            <w:tcW w:w="2599" w:type="pct"/>
            <w:vAlign w:val="center"/>
          </w:tcPr>
          <w:p w14:paraId="40836C18">
            <w:pPr>
              <w:pStyle w:val="286"/>
              <w:spacing w:line="280" w:lineRule="exact"/>
              <w:rPr>
                <w:rFonts w:hint="eastAsia" w:cs="Arial"/>
                <w:color w:val="000000" w:themeColor="text1"/>
                <w:sz w:val="21"/>
                <w14:textFill>
                  <w14:solidFill>
                    <w14:schemeClr w14:val="tx1"/>
                  </w14:solidFill>
                </w14:textFill>
              </w:rPr>
            </w:pPr>
            <w:r>
              <w:rPr>
                <w:rFonts w:hint="eastAsia" w:cs="Arial"/>
                <w:color w:val="000000" w:themeColor="text1"/>
                <w:sz w:val="21"/>
                <w14:textFill>
                  <w14:solidFill>
                    <w14:schemeClr w14:val="tx1"/>
                  </w14:solidFill>
                </w14:textFill>
              </w:rPr>
              <w:t>管线进行清扫封堵，产生的废液送至压裂返排液处理装置处理。</w:t>
            </w:r>
          </w:p>
        </w:tc>
        <w:tc>
          <w:tcPr>
            <w:tcW w:w="568" w:type="pct"/>
            <w:vMerge w:val="continue"/>
            <w:vAlign w:val="center"/>
          </w:tcPr>
          <w:p w14:paraId="0CD69F2A">
            <w:pPr>
              <w:pStyle w:val="286"/>
              <w:spacing w:line="280" w:lineRule="exact"/>
              <w:rPr>
                <w:rFonts w:hint="eastAsia" w:cs="Arial"/>
                <w:color w:val="000000" w:themeColor="text1"/>
                <w:sz w:val="21"/>
                <w14:textFill>
                  <w14:solidFill>
                    <w14:schemeClr w14:val="tx1"/>
                  </w14:solidFill>
                </w14:textFill>
              </w:rPr>
            </w:pPr>
          </w:p>
        </w:tc>
        <w:tc>
          <w:tcPr>
            <w:tcW w:w="940" w:type="pct"/>
            <w:vMerge w:val="continue"/>
            <w:vAlign w:val="center"/>
          </w:tcPr>
          <w:p w14:paraId="20A4C02A">
            <w:pPr>
              <w:pStyle w:val="286"/>
              <w:spacing w:line="280" w:lineRule="exact"/>
              <w:rPr>
                <w:rFonts w:hint="eastAsia" w:cs="Arial"/>
                <w:color w:val="000000" w:themeColor="text1"/>
                <w:sz w:val="21"/>
                <w14:textFill>
                  <w14:solidFill>
                    <w14:schemeClr w14:val="tx1"/>
                  </w14:solidFill>
                </w14:textFill>
              </w:rPr>
            </w:pPr>
          </w:p>
        </w:tc>
      </w:tr>
      <w:tr w14:paraId="30F3E67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244" w:type="pct"/>
            <w:vAlign w:val="center"/>
          </w:tcPr>
          <w:p w14:paraId="45B5C5C7">
            <w:pPr>
              <w:pStyle w:val="286"/>
              <w:spacing w:line="280" w:lineRule="exact"/>
              <w:rPr>
                <w:rFonts w:hint="eastAsia" w:cs="Arial"/>
                <w:color w:val="000000" w:themeColor="text1"/>
                <w:sz w:val="21"/>
                <w14:textFill>
                  <w14:solidFill>
                    <w14:schemeClr w14:val="tx1"/>
                  </w14:solidFill>
                </w14:textFill>
              </w:rPr>
            </w:pPr>
            <w:r>
              <w:rPr>
                <w:rFonts w:hint="eastAsia" w:cs="Arial"/>
                <w:color w:val="000000" w:themeColor="text1"/>
                <w:sz w:val="21"/>
                <w14:textFill>
                  <w14:solidFill>
                    <w14:schemeClr w14:val="tx1"/>
                  </w14:solidFill>
                </w14:textFill>
              </w:rPr>
              <w:t>5</w:t>
            </w:r>
          </w:p>
        </w:tc>
        <w:tc>
          <w:tcPr>
            <w:tcW w:w="649" w:type="pct"/>
            <w:vAlign w:val="center"/>
          </w:tcPr>
          <w:p w14:paraId="69715003">
            <w:pPr>
              <w:pStyle w:val="286"/>
              <w:spacing w:line="280" w:lineRule="exact"/>
              <w:rPr>
                <w:rFonts w:hint="eastAsia" w:cs="Arial"/>
                <w:color w:val="000000" w:themeColor="text1"/>
                <w:sz w:val="21"/>
                <w14:textFill>
                  <w14:solidFill>
                    <w14:schemeClr w14:val="tx1"/>
                  </w14:solidFill>
                </w14:textFill>
              </w:rPr>
            </w:pPr>
            <w:r>
              <w:rPr>
                <w:rFonts w:hint="eastAsia" w:cs="Arial"/>
                <w:color w:val="000000" w:themeColor="text1"/>
                <w:sz w:val="21"/>
                <w14:textFill>
                  <w14:solidFill>
                    <w14:schemeClr w14:val="tx1"/>
                  </w14:solidFill>
                </w14:textFill>
              </w:rPr>
              <w:t>固体废物</w:t>
            </w:r>
          </w:p>
        </w:tc>
        <w:tc>
          <w:tcPr>
            <w:tcW w:w="2599" w:type="pct"/>
            <w:vAlign w:val="center"/>
          </w:tcPr>
          <w:p w14:paraId="3B17726F">
            <w:pPr>
              <w:pStyle w:val="286"/>
              <w:spacing w:line="280" w:lineRule="exact"/>
              <w:rPr>
                <w:rFonts w:hint="eastAsia" w:cs="Arial"/>
                <w:color w:val="000000" w:themeColor="text1"/>
                <w:sz w:val="21"/>
                <w14:textFill>
                  <w14:solidFill>
                    <w14:schemeClr w14:val="tx1"/>
                  </w14:solidFill>
                </w14:textFill>
              </w:rPr>
            </w:pPr>
            <w:r>
              <w:rPr>
                <w:rFonts w:hint="eastAsia" w:cs="Arial"/>
                <w:color w:val="000000" w:themeColor="text1"/>
                <w:sz w:val="21"/>
                <w14:textFill>
                  <w14:solidFill>
                    <w14:schemeClr w14:val="tx1"/>
                  </w14:solidFill>
                </w14:textFill>
              </w:rPr>
              <w:t>固体废弃物分类收集，及时清运。</w:t>
            </w:r>
          </w:p>
        </w:tc>
        <w:tc>
          <w:tcPr>
            <w:tcW w:w="568" w:type="pct"/>
            <w:vMerge w:val="continue"/>
            <w:vAlign w:val="center"/>
          </w:tcPr>
          <w:p w14:paraId="0D8DE305">
            <w:pPr>
              <w:pStyle w:val="286"/>
              <w:spacing w:line="280" w:lineRule="exact"/>
              <w:rPr>
                <w:rFonts w:hint="eastAsia" w:cs="Arial"/>
                <w:color w:val="000000" w:themeColor="text1"/>
                <w:sz w:val="21"/>
                <w14:textFill>
                  <w14:solidFill>
                    <w14:schemeClr w14:val="tx1"/>
                  </w14:solidFill>
                </w14:textFill>
              </w:rPr>
            </w:pPr>
          </w:p>
        </w:tc>
        <w:tc>
          <w:tcPr>
            <w:tcW w:w="940" w:type="pct"/>
            <w:vMerge w:val="continue"/>
            <w:vAlign w:val="center"/>
          </w:tcPr>
          <w:p w14:paraId="174AF05D">
            <w:pPr>
              <w:pStyle w:val="286"/>
              <w:spacing w:line="280" w:lineRule="exact"/>
              <w:rPr>
                <w:rFonts w:hint="eastAsia" w:cs="Arial"/>
                <w:color w:val="000000" w:themeColor="text1"/>
                <w:sz w:val="21"/>
                <w14:textFill>
                  <w14:solidFill>
                    <w14:schemeClr w14:val="tx1"/>
                  </w14:solidFill>
                </w14:textFill>
              </w:rPr>
            </w:pPr>
          </w:p>
        </w:tc>
      </w:tr>
    </w:tbl>
    <w:p w14:paraId="17DC61E8">
      <w:pPr>
        <w:pStyle w:val="2"/>
        <w:rPr>
          <w:rFonts w:hint="eastAsia"/>
          <w:color w:val="000000" w:themeColor="text1"/>
          <w14:textFill>
            <w14:solidFill>
              <w14:schemeClr w14:val="tx1"/>
            </w14:solidFill>
          </w14:textFill>
        </w:rPr>
      </w:pPr>
      <w:bookmarkStart w:id="830" w:name="_Toc216260324"/>
      <w:bookmarkStart w:id="831" w:name="_Toc468307962"/>
      <w:bookmarkStart w:id="832" w:name="_Toc459026610"/>
      <w:bookmarkStart w:id="833" w:name="_Toc471933679"/>
      <w:r>
        <w:rPr>
          <w:rFonts w:hint="eastAsia"/>
          <w:color w:val="000000" w:themeColor="text1"/>
          <w14:textFill>
            <w14:solidFill>
              <w14:schemeClr w14:val="tx1"/>
            </w14:solidFill>
          </w14:textFill>
        </w:rPr>
        <w:t>污染物排放的管理要求</w:t>
      </w:r>
      <w:bookmarkEnd w:id="830"/>
    </w:p>
    <w:p w14:paraId="7CA4C77C">
      <w:pPr>
        <w:pStyle w:val="117"/>
        <w:ind w:firstLine="480"/>
        <w:jc w:val="lef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污染物排放清单及管理要求见表</w:t>
      </w:r>
      <w:r>
        <w:rPr>
          <w:color w:val="000000" w:themeColor="text1"/>
          <w14:textFill>
            <w14:solidFill>
              <w14:schemeClr w14:val="tx1"/>
            </w14:solidFill>
          </w14:textFill>
        </w:rPr>
        <w:t>7</w:t>
      </w:r>
      <w:r>
        <w:rPr>
          <w:rFonts w:hint="eastAsia"/>
          <w:color w:val="000000" w:themeColor="text1"/>
          <w14:textFill>
            <w14:solidFill>
              <w14:schemeClr w14:val="tx1"/>
            </w14:solidFill>
          </w14:textFill>
        </w:rPr>
        <w:t>.3-1、表</w:t>
      </w:r>
      <w:r>
        <w:rPr>
          <w:color w:val="000000" w:themeColor="text1"/>
          <w14:textFill>
            <w14:solidFill>
              <w14:schemeClr w14:val="tx1"/>
            </w14:solidFill>
          </w14:textFill>
        </w:rPr>
        <w:t>7</w:t>
      </w:r>
      <w:r>
        <w:rPr>
          <w:rFonts w:hint="eastAsia"/>
          <w:color w:val="000000" w:themeColor="text1"/>
          <w14:textFill>
            <w14:solidFill>
              <w14:schemeClr w14:val="tx1"/>
            </w14:solidFill>
          </w14:textFill>
        </w:rPr>
        <w:t>.3-</w:t>
      </w:r>
      <w:r>
        <w:rPr>
          <w:color w:val="000000" w:themeColor="text1"/>
          <w14:textFill>
            <w14:solidFill>
              <w14:schemeClr w14:val="tx1"/>
            </w14:solidFill>
          </w14:textFill>
        </w:rPr>
        <w:t>2</w:t>
      </w:r>
      <w:r>
        <w:rPr>
          <w:rFonts w:hint="eastAsia"/>
          <w:color w:val="000000" w:themeColor="text1"/>
          <w14:textFill>
            <w14:solidFill>
              <w14:schemeClr w14:val="tx1"/>
            </w14:solidFill>
          </w14:textFill>
        </w:rPr>
        <w:t>。</w:t>
      </w:r>
    </w:p>
    <w:p w14:paraId="5885E7D1">
      <w:pPr>
        <w:pStyle w:val="2"/>
        <w:rPr>
          <w:rFonts w:hint="eastAsia"/>
          <w:color w:val="000000" w:themeColor="text1"/>
          <w14:textFill>
            <w14:solidFill>
              <w14:schemeClr w14:val="tx1"/>
            </w14:solidFill>
          </w14:textFill>
        </w:rPr>
      </w:pPr>
      <w:bookmarkStart w:id="834" w:name="_Toc216260325"/>
      <w:r>
        <w:rPr>
          <w:rFonts w:hint="eastAsia"/>
          <w:color w:val="000000" w:themeColor="text1"/>
          <w14:textFill>
            <w14:solidFill>
              <w14:schemeClr w14:val="tx1"/>
            </w14:solidFill>
          </w14:textFill>
        </w:rPr>
        <w:t>企业环境信息公开</w:t>
      </w:r>
      <w:bookmarkEnd w:id="834"/>
    </w:p>
    <w:p w14:paraId="241B1BDD">
      <w:pPr>
        <w:pStyle w:val="117"/>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中国石油新疆油田分公司吉庆油田作业区应根据《企业环境信息依法披露管理办法》（生态环境部 部令第2</w:t>
      </w:r>
      <w:r>
        <w:rPr>
          <w:color w:val="000000" w:themeColor="text1"/>
          <w14:textFill>
            <w14:solidFill>
              <w14:schemeClr w14:val="tx1"/>
            </w14:solidFill>
          </w14:textFill>
        </w:rPr>
        <w:t>4</w:t>
      </w:r>
      <w:r>
        <w:rPr>
          <w:rFonts w:hint="eastAsia"/>
          <w:color w:val="000000" w:themeColor="text1"/>
          <w14:textFill>
            <w14:solidFill>
              <w14:schemeClr w14:val="tx1"/>
            </w14:solidFill>
          </w14:textFill>
        </w:rPr>
        <w:t>号）、《企业环境信息依法披露格式准则》（环办综合〔2</w:t>
      </w:r>
      <w:r>
        <w:rPr>
          <w:color w:val="000000" w:themeColor="text1"/>
          <w14:textFill>
            <w14:solidFill>
              <w14:schemeClr w14:val="tx1"/>
            </w14:solidFill>
          </w14:textFill>
        </w:rPr>
        <w:t>021</w:t>
      </w:r>
      <w:r>
        <w:rPr>
          <w:rFonts w:hint="eastAsia"/>
          <w:color w:val="000000" w:themeColor="text1"/>
          <w14:textFill>
            <w14:solidFill>
              <w14:schemeClr w14:val="tx1"/>
            </w14:solidFill>
          </w14:textFill>
        </w:rPr>
        <w:t>〕3</w:t>
      </w:r>
      <w:r>
        <w:rPr>
          <w:color w:val="000000" w:themeColor="text1"/>
          <w14:textFill>
            <w14:solidFill>
              <w14:schemeClr w14:val="tx1"/>
            </w14:solidFill>
          </w14:textFill>
        </w:rPr>
        <w:t>2</w:t>
      </w:r>
      <w:r>
        <w:rPr>
          <w:rFonts w:hint="eastAsia"/>
          <w:color w:val="000000" w:themeColor="text1"/>
          <w14:textFill>
            <w14:solidFill>
              <w14:schemeClr w14:val="tx1"/>
            </w14:solidFill>
          </w14:textFill>
        </w:rPr>
        <w:t>号</w:t>
      </w:r>
      <w:r>
        <w:rPr>
          <w:color w:val="000000" w:themeColor="text1"/>
          <w14:textFill>
            <w14:solidFill>
              <w14:schemeClr w14:val="tx1"/>
            </w14:solidFill>
          </w14:textFill>
        </w:rPr>
        <w:t>）规定，并结合新疆</w:t>
      </w:r>
      <w:r>
        <w:rPr>
          <w:rFonts w:hint="eastAsia"/>
          <w:color w:val="000000" w:themeColor="text1"/>
          <w14:textFill>
            <w14:solidFill>
              <w14:schemeClr w14:val="tx1"/>
            </w14:solidFill>
          </w14:textFill>
        </w:rPr>
        <w:t>维吾尔自治区</w:t>
      </w:r>
      <w:r>
        <w:rPr>
          <w:color w:val="000000" w:themeColor="text1"/>
          <w14:textFill>
            <w14:solidFill>
              <w14:schemeClr w14:val="tx1"/>
            </w14:solidFill>
          </w14:textFill>
        </w:rPr>
        <w:t>的相关要求，可通过政府网站、报刊、广播、电视等便于公众知晓的方式公布。公司应公开以下内容：</w:t>
      </w:r>
    </w:p>
    <w:p w14:paraId="3F08A615">
      <w:pPr>
        <w:pStyle w:val="117"/>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w:t>
      </w:r>
      <w:r>
        <w:rPr>
          <w:color w:val="000000" w:themeColor="text1"/>
          <w14:textFill>
            <w14:solidFill>
              <w14:schemeClr w14:val="tx1"/>
            </w14:solidFill>
          </w14:textFill>
        </w:rPr>
        <w:t>1）</w:t>
      </w:r>
      <w:r>
        <w:rPr>
          <w:rFonts w:hint="eastAsia"/>
          <w:color w:val="000000" w:themeColor="text1"/>
          <w14:textFill>
            <w14:solidFill>
              <w14:schemeClr w14:val="tx1"/>
            </w14:solidFill>
          </w14:textFill>
        </w:rPr>
        <w:t>企业基本</w:t>
      </w:r>
      <w:r>
        <w:rPr>
          <w:color w:val="000000" w:themeColor="text1"/>
          <w14:textFill>
            <w14:solidFill>
              <w14:schemeClr w14:val="tx1"/>
            </w14:solidFill>
          </w14:textFill>
        </w:rPr>
        <w:t>信息，包括</w:t>
      </w:r>
      <w:r>
        <w:rPr>
          <w:rFonts w:hint="eastAsia"/>
          <w:color w:val="000000" w:themeColor="text1"/>
          <w14:textFill>
            <w14:solidFill>
              <w14:schemeClr w14:val="tx1"/>
            </w14:solidFill>
          </w14:textFill>
        </w:rPr>
        <w:t>中文名称、法定代表人、注册地址、生产地址、行业类别、企业联系人及联系方式、企业性质，以及属于重点排污单位、实施强制性清洁生产审核的企业等情况，还包括主要产品与服务、生产工艺的名称，以及生产工艺属于国家、地方等公布的鼓励类、限制类或淘汰类目录（名录）的情况</w:t>
      </w:r>
      <w:r>
        <w:rPr>
          <w:color w:val="000000" w:themeColor="text1"/>
          <w14:textFill>
            <w14:solidFill>
              <w14:schemeClr w14:val="tx1"/>
            </w14:solidFill>
          </w14:textFill>
        </w:rPr>
        <w:t>；</w:t>
      </w:r>
    </w:p>
    <w:p w14:paraId="49D84154">
      <w:pPr>
        <w:pStyle w:val="117"/>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w:t>
      </w:r>
      <w:r>
        <w:rPr>
          <w:color w:val="000000" w:themeColor="text1"/>
          <w14:textFill>
            <w14:solidFill>
              <w14:schemeClr w14:val="tx1"/>
            </w14:solidFill>
          </w14:textFill>
        </w:rPr>
        <w:t>2）</w:t>
      </w:r>
      <w:r>
        <w:rPr>
          <w:rFonts w:hint="eastAsia"/>
          <w:color w:val="000000" w:themeColor="text1"/>
          <w14:textFill>
            <w14:solidFill>
              <w14:schemeClr w14:val="tx1"/>
            </w14:solidFill>
          </w14:textFill>
        </w:rPr>
        <w:t>环境管理</w:t>
      </w:r>
      <w:r>
        <w:rPr>
          <w:color w:val="000000" w:themeColor="text1"/>
          <w14:textFill>
            <w14:solidFill>
              <w14:schemeClr w14:val="tx1"/>
            </w14:solidFill>
          </w14:textFill>
        </w:rPr>
        <w:t>信息，</w:t>
      </w:r>
      <w:r>
        <w:rPr>
          <w:rFonts w:hint="eastAsia"/>
          <w:color w:val="000000" w:themeColor="text1"/>
          <w14:textFill>
            <w14:solidFill>
              <w14:schemeClr w14:val="tx1"/>
            </w14:solidFill>
          </w14:textFill>
        </w:rPr>
        <w:t>主要为有效期内或正在申请核发或变更的全部生态环境行政许可（包括但不限于排污许可、建设项目环境影响评价等）的相关信息；还包括环境保护税缴纳信息、依法投保环境污染责任保险信息、环保信用评价等级等情况；</w:t>
      </w:r>
    </w:p>
    <w:p w14:paraId="084F1B38">
      <w:pPr>
        <w:pStyle w:val="117"/>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（3）污染物产生、治理与排放信息，</w:t>
      </w:r>
      <w:r>
        <w:rPr>
          <w:color w:val="000000" w:themeColor="text1"/>
          <w14:textFill>
            <w14:solidFill>
              <w14:schemeClr w14:val="tx1"/>
            </w14:solidFill>
          </w14:textFill>
        </w:rPr>
        <w:t>包括主要</w:t>
      </w:r>
      <w:r>
        <w:rPr>
          <w:rFonts w:hint="eastAsia"/>
          <w:color w:val="000000" w:themeColor="text1"/>
          <w14:textFill>
            <w14:solidFill>
              <w14:schemeClr w14:val="tx1"/>
            </w14:solidFill>
          </w14:textFill>
        </w:rPr>
        <w:t>污染防治设施的名称、对应的产污环节、处理的污染物、对应排污口的名称、编号、年度非正常运行的设施名称、排放的污染物、次数、日期及时长、主要原因；污染防治设施由第三方负责运行维护的应当提供运维方信息；</w:t>
      </w:r>
    </w:p>
    <w:p w14:paraId="5DD3F5CE">
      <w:pPr>
        <w:pStyle w:val="117"/>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w:t>
      </w:r>
      <w:r>
        <w:rPr>
          <w:color w:val="000000" w:themeColor="text1"/>
          <w14:textFill>
            <w14:solidFill>
              <w14:schemeClr w14:val="tx1"/>
            </w14:solidFill>
          </w14:textFill>
        </w:rPr>
        <w:t>4）</w:t>
      </w:r>
      <w:r>
        <w:rPr>
          <w:rFonts w:hint="eastAsia"/>
          <w:color w:val="000000" w:themeColor="text1"/>
          <w14:textFill>
            <w14:solidFill>
              <w14:schemeClr w14:val="tx1"/>
            </w14:solidFill>
          </w14:textFill>
        </w:rPr>
        <w:t>企业应当就排污许可、建设项目环境影响评价等生态环境行政许可新获得、变更、撤销等情况，披露变更事项、批复机关、批复文件文号、批复时间、批复原文内容等信息；</w:t>
      </w:r>
    </w:p>
    <w:p w14:paraId="2789BE19">
      <w:pPr>
        <w:pStyle w:val="117"/>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w:t>
      </w:r>
      <w:r>
        <w:rPr>
          <w:color w:val="000000" w:themeColor="text1"/>
          <w14:textFill>
            <w14:solidFill>
              <w14:schemeClr w14:val="tx1"/>
            </w14:solidFill>
          </w14:textFill>
        </w:rPr>
        <w:t>5）突发环境事件应急预案；</w:t>
      </w:r>
    </w:p>
    <w:p w14:paraId="6A4E8BE3">
      <w:pPr>
        <w:pStyle w:val="117"/>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w:t>
      </w:r>
      <w:r>
        <w:rPr>
          <w:color w:val="000000" w:themeColor="text1"/>
          <w14:textFill>
            <w14:solidFill>
              <w14:schemeClr w14:val="tx1"/>
            </w14:solidFill>
          </w14:textFill>
        </w:rPr>
        <w:t>6）其他应当公开的环境信息。</w:t>
      </w:r>
    </w:p>
    <w:p w14:paraId="62597641">
      <w:pPr>
        <w:pStyle w:val="117"/>
        <w:ind w:firstLine="480"/>
        <w:rPr>
          <w:rFonts w:hint="eastAsia"/>
          <w:color w:val="000000" w:themeColor="text1"/>
          <w14:textFill>
            <w14:solidFill>
              <w14:schemeClr w14:val="tx1"/>
            </w14:solidFill>
          </w14:textFill>
        </w:rPr>
      </w:pPr>
    </w:p>
    <w:p w14:paraId="1D1A7FF2">
      <w:pPr>
        <w:pStyle w:val="117"/>
        <w:ind w:firstLine="480"/>
        <w:jc w:val="left"/>
        <w:rPr>
          <w:rFonts w:hint="eastAsia"/>
          <w:color w:val="000000" w:themeColor="text1"/>
          <w14:textFill>
            <w14:solidFill>
              <w14:schemeClr w14:val="tx1"/>
            </w14:solidFill>
          </w14:textFill>
        </w:rPr>
        <w:sectPr>
          <w:pgSz w:w="11906" w:h="16838"/>
          <w:pgMar w:top="1418" w:right="1588" w:bottom="1418" w:left="1588" w:header="1020" w:footer="1020" w:gutter="0"/>
          <w:cols w:space="720" w:num="1"/>
          <w:docGrid w:type="lines" w:linePitch="312" w:charSpace="0"/>
        </w:sectPr>
      </w:pPr>
    </w:p>
    <w:p w14:paraId="1CAB22B6">
      <w:pPr>
        <w:pStyle w:val="15"/>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表</w:t>
      </w:r>
      <w:r>
        <w:rPr>
          <w:color w:val="000000" w:themeColor="text1"/>
          <w14:textFill>
            <w14:solidFill>
              <w14:schemeClr w14:val="tx1"/>
            </w14:solidFill>
          </w14:textFill>
        </w:rPr>
        <w:t>7.3</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1</w:t>
      </w:r>
      <w:r>
        <w:rPr>
          <w:rFonts w:hint="eastAsia"/>
          <w:color w:val="000000" w:themeColor="text1"/>
          <w14:textFill>
            <w14:solidFill>
              <w14:schemeClr w14:val="tx1"/>
            </w14:solidFill>
          </w14:textFill>
        </w:rPr>
        <w:t xml:space="preserve"> </w:t>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无组织废气污染物排放清单</w:t>
      </w:r>
    </w:p>
    <w:tbl>
      <w:tblPr>
        <w:tblStyle w:val="51"/>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36"/>
        <w:gridCol w:w="1350"/>
        <w:gridCol w:w="1134"/>
        <w:gridCol w:w="1417"/>
        <w:gridCol w:w="4962"/>
        <w:gridCol w:w="2156"/>
        <w:gridCol w:w="2347"/>
      </w:tblGrid>
      <w:tr w14:paraId="338F014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7" w:type="pct"/>
            <w:tcMar>
              <w:left w:w="0" w:type="dxa"/>
              <w:right w:w="0" w:type="dxa"/>
            </w:tcMar>
            <w:vAlign w:val="center"/>
          </w:tcPr>
          <w:p w14:paraId="6C5F51A4">
            <w:pPr>
              <w:adjustRightInd w:val="0"/>
              <w:snapToGrid w:val="0"/>
              <w:spacing w:line="300" w:lineRule="exact"/>
              <w:jc w:val="center"/>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序号</w:t>
            </w:r>
          </w:p>
        </w:tc>
        <w:tc>
          <w:tcPr>
            <w:tcW w:w="482" w:type="pct"/>
            <w:vAlign w:val="center"/>
          </w:tcPr>
          <w:p w14:paraId="1FCC0341">
            <w:pPr>
              <w:adjustRightInd w:val="0"/>
              <w:snapToGrid w:val="0"/>
              <w:spacing w:line="300" w:lineRule="exact"/>
              <w:jc w:val="center"/>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污染源</w:t>
            </w:r>
          </w:p>
        </w:tc>
        <w:tc>
          <w:tcPr>
            <w:tcW w:w="405" w:type="pct"/>
            <w:tcMar>
              <w:left w:w="0" w:type="dxa"/>
              <w:right w:w="0" w:type="dxa"/>
            </w:tcMar>
            <w:vAlign w:val="center"/>
          </w:tcPr>
          <w:p w14:paraId="70A5A60F">
            <w:pPr>
              <w:adjustRightInd w:val="0"/>
              <w:snapToGrid w:val="0"/>
              <w:spacing w:line="300" w:lineRule="exact"/>
              <w:jc w:val="center"/>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污染物</w:t>
            </w:r>
          </w:p>
        </w:tc>
        <w:tc>
          <w:tcPr>
            <w:tcW w:w="506" w:type="pct"/>
            <w:tcMar>
              <w:left w:w="0" w:type="dxa"/>
              <w:right w:w="0" w:type="dxa"/>
            </w:tcMar>
            <w:vAlign w:val="center"/>
          </w:tcPr>
          <w:p w14:paraId="1DE0784D">
            <w:pPr>
              <w:adjustRightInd w:val="0"/>
              <w:snapToGrid w:val="0"/>
              <w:spacing w:line="300" w:lineRule="exact"/>
              <w:jc w:val="center"/>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产生量</w:t>
            </w:r>
          </w:p>
        </w:tc>
        <w:tc>
          <w:tcPr>
            <w:tcW w:w="1772" w:type="pct"/>
            <w:tcMar>
              <w:left w:w="0" w:type="dxa"/>
              <w:right w:w="0" w:type="dxa"/>
            </w:tcMar>
            <w:vAlign w:val="center"/>
          </w:tcPr>
          <w:p w14:paraId="4773D659">
            <w:pPr>
              <w:adjustRightInd w:val="0"/>
              <w:snapToGrid w:val="0"/>
              <w:spacing w:line="300" w:lineRule="exact"/>
              <w:jc w:val="center"/>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治理措施</w:t>
            </w:r>
          </w:p>
        </w:tc>
        <w:tc>
          <w:tcPr>
            <w:tcW w:w="770" w:type="pct"/>
            <w:tcMar>
              <w:left w:w="0" w:type="dxa"/>
              <w:right w:w="0" w:type="dxa"/>
            </w:tcMar>
            <w:vAlign w:val="center"/>
          </w:tcPr>
          <w:p w14:paraId="41F2ECE6">
            <w:pPr>
              <w:adjustRightInd w:val="0"/>
              <w:snapToGrid w:val="0"/>
              <w:spacing w:line="300" w:lineRule="exact"/>
              <w:jc w:val="center"/>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实际排放量（t</w:t>
            </w:r>
            <w:r>
              <w:rPr>
                <w:rFonts w:ascii="宋体" w:hAnsi="宋体"/>
                <w:color w:val="000000" w:themeColor="text1"/>
                <w:szCs w:val="21"/>
                <w14:textFill>
                  <w14:solidFill>
                    <w14:schemeClr w14:val="tx1"/>
                  </w14:solidFill>
                </w14:textFill>
              </w:rPr>
              <w:t>/</w:t>
            </w:r>
            <w:r>
              <w:rPr>
                <w:rFonts w:hint="eastAsia" w:ascii="宋体" w:hAnsi="宋体"/>
                <w:color w:val="000000" w:themeColor="text1"/>
                <w:szCs w:val="21"/>
                <w14:textFill>
                  <w14:solidFill>
                    <w14:schemeClr w14:val="tx1"/>
                  </w14:solidFill>
                </w14:textFill>
              </w:rPr>
              <w:t>a）</w:t>
            </w:r>
          </w:p>
        </w:tc>
        <w:tc>
          <w:tcPr>
            <w:tcW w:w="838" w:type="pct"/>
            <w:tcMar>
              <w:left w:w="0" w:type="dxa"/>
              <w:right w:w="0" w:type="dxa"/>
            </w:tcMar>
            <w:vAlign w:val="center"/>
          </w:tcPr>
          <w:p w14:paraId="1F7701DB">
            <w:pPr>
              <w:adjustRightInd w:val="0"/>
              <w:snapToGrid w:val="0"/>
              <w:spacing w:line="300" w:lineRule="exact"/>
              <w:jc w:val="center"/>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厂界浓度（mg</w:t>
            </w:r>
            <w:r>
              <w:rPr>
                <w:rFonts w:ascii="宋体" w:hAnsi="宋体"/>
                <w:color w:val="000000" w:themeColor="text1"/>
                <w:szCs w:val="21"/>
                <w14:textFill>
                  <w14:solidFill>
                    <w14:schemeClr w14:val="tx1"/>
                  </w14:solidFill>
                </w14:textFill>
              </w:rPr>
              <w:t>/</w:t>
            </w:r>
            <w:r>
              <w:rPr>
                <w:rFonts w:hint="eastAsia" w:ascii="宋体" w:hAnsi="宋体"/>
                <w:color w:val="000000" w:themeColor="text1"/>
                <w:szCs w:val="21"/>
                <w14:textFill>
                  <w14:solidFill>
                    <w14:schemeClr w14:val="tx1"/>
                  </w14:solidFill>
                </w14:textFill>
              </w:rPr>
              <w:t>m</w:t>
            </w:r>
            <w:r>
              <w:rPr>
                <w:rFonts w:ascii="宋体" w:hAnsi="宋体"/>
                <w:color w:val="000000" w:themeColor="text1"/>
                <w:szCs w:val="21"/>
                <w:vertAlign w:val="superscript"/>
                <w14:textFill>
                  <w14:solidFill>
                    <w14:schemeClr w14:val="tx1"/>
                  </w14:solidFill>
                </w14:textFill>
              </w:rPr>
              <w:t>3</w:t>
            </w:r>
            <w:r>
              <w:rPr>
                <w:rFonts w:hint="eastAsia" w:ascii="宋体" w:hAnsi="宋体"/>
                <w:color w:val="000000" w:themeColor="text1"/>
                <w:szCs w:val="21"/>
                <w14:textFill>
                  <w14:solidFill>
                    <w14:schemeClr w14:val="tx1"/>
                  </w14:solidFill>
                </w14:textFill>
              </w:rPr>
              <w:t>）</w:t>
            </w:r>
          </w:p>
        </w:tc>
      </w:tr>
      <w:tr w14:paraId="4511D5C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7" w:type="pct"/>
            <w:vMerge w:val="restart"/>
            <w:tcMar>
              <w:left w:w="0" w:type="dxa"/>
              <w:right w:w="0" w:type="dxa"/>
            </w:tcMar>
            <w:vAlign w:val="center"/>
          </w:tcPr>
          <w:p w14:paraId="1030EF04">
            <w:pPr>
              <w:adjustRightInd w:val="0"/>
              <w:snapToGrid w:val="0"/>
              <w:spacing w:line="300" w:lineRule="exact"/>
              <w:jc w:val="center"/>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1</w:t>
            </w:r>
          </w:p>
        </w:tc>
        <w:tc>
          <w:tcPr>
            <w:tcW w:w="482" w:type="pct"/>
            <w:vMerge w:val="restart"/>
            <w:vAlign w:val="center"/>
          </w:tcPr>
          <w:p w14:paraId="404E2759">
            <w:pPr>
              <w:adjustRightInd w:val="0"/>
              <w:snapToGrid w:val="0"/>
              <w:spacing w:line="300" w:lineRule="exact"/>
              <w:jc w:val="center"/>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1号计量站</w:t>
            </w:r>
          </w:p>
        </w:tc>
        <w:tc>
          <w:tcPr>
            <w:tcW w:w="405" w:type="pct"/>
            <w:tcMar>
              <w:left w:w="0" w:type="dxa"/>
              <w:right w:w="0" w:type="dxa"/>
            </w:tcMar>
            <w:vAlign w:val="center"/>
          </w:tcPr>
          <w:p w14:paraId="11485255">
            <w:pPr>
              <w:adjustRightInd w:val="0"/>
              <w:snapToGrid w:val="0"/>
              <w:spacing w:line="300" w:lineRule="exact"/>
              <w:jc w:val="center"/>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N</w:t>
            </w:r>
            <w:r>
              <w:rPr>
                <w:rFonts w:ascii="宋体" w:hAnsi="宋体"/>
                <w:color w:val="000000" w:themeColor="text1"/>
                <w:szCs w:val="21"/>
                <w14:textFill>
                  <w14:solidFill>
                    <w14:schemeClr w14:val="tx1"/>
                  </w14:solidFill>
                </w14:textFill>
              </w:rPr>
              <w:t>MHC</w:t>
            </w:r>
          </w:p>
        </w:tc>
        <w:tc>
          <w:tcPr>
            <w:tcW w:w="506" w:type="pct"/>
            <w:tcMar>
              <w:left w:w="0" w:type="dxa"/>
              <w:right w:w="0" w:type="dxa"/>
            </w:tcMar>
            <w:vAlign w:val="center"/>
          </w:tcPr>
          <w:p w14:paraId="1E8B47EB">
            <w:pPr>
              <w:adjustRightInd w:val="0"/>
              <w:snapToGrid w:val="0"/>
              <w:spacing w:line="300" w:lineRule="exact"/>
              <w:jc w:val="center"/>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0.098t/a</w:t>
            </w:r>
          </w:p>
        </w:tc>
        <w:tc>
          <w:tcPr>
            <w:tcW w:w="1772" w:type="pct"/>
            <w:vMerge w:val="restart"/>
            <w:tcMar>
              <w:left w:w="0" w:type="dxa"/>
              <w:right w:w="0" w:type="dxa"/>
            </w:tcMar>
            <w:vAlign w:val="center"/>
          </w:tcPr>
          <w:p w14:paraId="6052CF52">
            <w:pPr>
              <w:adjustRightInd w:val="0"/>
              <w:snapToGrid w:val="0"/>
              <w:spacing w:line="300" w:lineRule="exact"/>
              <w:jc w:val="center"/>
              <w:rPr>
                <w:rFonts w:hint="eastAsia" w:ascii="宋体" w:hAnsi="宋体"/>
                <w:color w:val="000000" w:themeColor="text1"/>
                <w:szCs w:val="21"/>
                <w14:textFill>
                  <w14:solidFill>
                    <w14:schemeClr w14:val="tx1"/>
                  </w14:solidFill>
                </w14:textFill>
              </w:rPr>
            </w:pPr>
            <w:r>
              <w:rPr>
                <w:rFonts w:hint="eastAsia" w:ascii="宋体" w:hAnsi="宋体" w:cs="宋体"/>
                <w:bCs/>
                <w:snapToGrid w:val="0"/>
                <w:color w:val="000000" w:themeColor="text1"/>
                <w:szCs w:val="21"/>
                <w14:textFill>
                  <w14:solidFill>
                    <w14:schemeClr w14:val="tx1"/>
                  </w14:solidFill>
                </w14:textFill>
              </w:rPr>
              <w:t>选用质量可靠的设备、仪表、阀门等；定期对设备、阀门等检查</w:t>
            </w:r>
          </w:p>
        </w:tc>
        <w:tc>
          <w:tcPr>
            <w:tcW w:w="770" w:type="pct"/>
            <w:tcMar>
              <w:left w:w="0" w:type="dxa"/>
              <w:right w:w="0" w:type="dxa"/>
            </w:tcMar>
            <w:vAlign w:val="center"/>
          </w:tcPr>
          <w:p w14:paraId="63E86B88">
            <w:pPr>
              <w:adjustRightInd w:val="0"/>
              <w:snapToGrid w:val="0"/>
              <w:spacing w:line="300" w:lineRule="exact"/>
              <w:jc w:val="center"/>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0.098t/a</w:t>
            </w:r>
          </w:p>
        </w:tc>
        <w:tc>
          <w:tcPr>
            <w:tcW w:w="838" w:type="pct"/>
            <w:tcMar>
              <w:left w:w="0" w:type="dxa"/>
              <w:right w:w="0" w:type="dxa"/>
            </w:tcMar>
            <w:vAlign w:val="center"/>
          </w:tcPr>
          <w:p w14:paraId="66722C14">
            <w:pPr>
              <w:adjustRightInd w:val="0"/>
              <w:snapToGrid w:val="0"/>
              <w:spacing w:line="300" w:lineRule="exact"/>
              <w:jc w:val="center"/>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4</w:t>
            </w:r>
          </w:p>
        </w:tc>
      </w:tr>
      <w:tr w14:paraId="20B7A6A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7" w:type="pct"/>
            <w:vMerge w:val="continue"/>
            <w:tcMar>
              <w:left w:w="0" w:type="dxa"/>
              <w:right w:w="0" w:type="dxa"/>
            </w:tcMar>
            <w:vAlign w:val="center"/>
          </w:tcPr>
          <w:p w14:paraId="58431D51">
            <w:pPr>
              <w:adjustRightInd w:val="0"/>
              <w:snapToGrid w:val="0"/>
              <w:spacing w:line="300" w:lineRule="exact"/>
              <w:jc w:val="center"/>
              <w:rPr>
                <w:rFonts w:hint="eastAsia" w:ascii="宋体" w:hAnsi="宋体"/>
                <w:color w:val="000000" w:themeColor="text1"/>
                <w:szCs w:val="21"/>
                <w14:textFill>
                  <w14:solidFill>
                    <w14:schemeClr w14:val="tx1"/>
                  </w14:solidFill>
                </w14:textFill>
              </w:rPr>
            </w:pPr>
          </w:p>
        </w:tc>
        <w:tc>
          <w:tcPr>
            <w:tcW w:w="482" w:type="pct"/>
            <w:vMerge w:val="continue"/>
            <w:vAlign w:val="center"/>
          </w:tcPr>
          <w:p w14:paraId="21C88717">
            <w:pPr>
              <w:adjustRightInd w:val="0"/>
              <w:snapToGrid w:val="0"/>
              <w:spacing w:line="300" w:lineRule="exact"/>
              <w:jc w:val="center"/>
              <w:rPr>
                <w:rFonts w:hint="eastAsia" w:ascii="宋体" w:hAnsi="宋体"/>
                <w:color w:val="000000" w:themeColor="text1"/>
                <w:szCs w:val="21"/>
                <w14:textFill>
                  <w14:solidFill>
                    <w14:schemeClr w14:val="tx1"/>
                  </w14:solidFill>
                </w14:textFill>
              </w:rPr>
            </w:pPr>
          </w:p>
        </w:tc>
        <w:tc>
          <w:tcPr>
            <w:tcW w:w="405" w:type="pct"/>
            <w:tcMar>
              <w:left w:w="0" w:type="dxa"/>
              <w:right w:w="0" w:type="dxa"/>
            </w:tcMar>
            <w:vAlign w:val="center"/>
          </w:tcPr>
          <w:p w14:paraId="24F34EF4">
            <w:pPr>
              <w:adjustRightInd w:val="0"/>
              <w:snapToGrid w:val="0"/>
              <w:spacing w:line="300" w:lineRule="exact"/>
              <w:jc w:val="center"/>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硫化氢</w:t>
            </w:r>
          </w:p>
        </w:tc>
        <w:tc>
          <w:tcPr>
            <w:tcW w:w="506" w:type="pct"/>
            <w:tcMar>
              <w:left w:w="0" w:type="dxa"/>
              <w:right w:w="0" w:type="dxa"/>
            </w:tcMar>
            <w:vAlign w:val="center"/>
          </w:tcPr>
          <w:p w14:paraId="2528B910">
            <w:pPr>
              <w:adjustRightInd w:val="0"/>
              <w:snapToGrid w:val="0"/>
              <w:spacing w:line="300" w:lineRule="exact"/>
              <w:jc w:val="center"/>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0.026kg/a</w:t>
            </w:r>
          </w:p>
        </w:tc>
        <w:tc>
          <w:tcPr>
            <w:tcW w:w="1772" w:type="pct"/>
            <w:vMerge w:val="continue"/>
            <w:tcMar>
              <w:left w:w="0" w:type="dxa"/>
              <w:right w:w="0" w:type="dxa"/>
            </w:tcMar>
            <w:vAlign w:val="center"/>
          </w:tcPr>
          <w:p w14:paraId="26506D29">
            <w:pPr>
              <w:adjustRightInd w:val="0"/>
              <w:snapToGrid w:val="0"/>
              <w:spacing w:line="300" w:lineRule="exact"/>
              <w:jc w:val="center"/>
              <w:rPr>
                <w:rFonts w:hint="eastAsia" w:ascii="宋体" w:hAnsi="宋体" w:cs="宋体"/>
                <w:bCs/>
                <w:snapToGrid w:val="0"/>
                <w:color w:val="000000" w:themeColor="text1"/>
                <w:szCs w:val="21"/>
                <w14:textFill>
                  <w14:solidFill>
                    <w14:schemeClr w14:val="tx1"/>
                  </w14:solidFill>
                </w14:textFill>
              </w:rPr>
            </w:pPr>
          </w:p>
        </w:tc>
        <w:tc>
          <w:tcPr>
            <w:tcW w:w="770" w:type="pct"/>
            <w:tcMar>
              <w:left w:w="0" w:type="dxa"/>
              <w:right w:w="0" w:type="dxa"/>
            </w:tcMar>
            <w:vAlign w:val="center"/>
          </w:tcPr>
          <w:p w14:paraId="76788945">
            <w:pPr>
              <w:adjustRightInd w:val="0"/>
              <w:snapToGrid w:val="0"/>
              <w:spacing w:line="300" w:lineRule="exact"/>
              <w:jc w:val="center"/>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0.026kg/a</w:t>
            </w:r>
          </w:p>
        </w:tc>
        <w:tc>
          <w:tcPr>
            <w:tcW w:w="838" w:type="pct"/>
            <w:tcMar>
              <w:left w:w="0" w:type="dxa"/>
              <w:right w:w="0" w:type="dxa"/>
            </w:tcMar>
            <w:vAlign w:val="center"/>
          </w:tcPr>
          <w:p w14:paraId="093711EF">
            <w:pPr>
              <w:adjustRightInd w:val="0"/>
              <w:snapToGrid w:val="0"/>
              <w:spacing w:line="300" w:lineRule="exact"/>
              <w:jc w:val="center"/>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0.06</w:t>
            </w:r>
          </w:p>
        </w:tc>
      </w:tr>
      <w:tr w14:paraId="726AA66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7" w:type="pct"/>
            <w:vMerge w:val="restart"/>
            <w:tcMar>
              <w:left w:w="0" w:type="dxa"/>
              <w:right w:w="0" w:type="dxa"/>
            </w:tcMar>
            <w:vAlign w:val="center"/>
          </w:tcPr>
          <w:p w14:paraId="40817B02">
            <w:pPr>
              <w:adjustRightInd w:val="0"/>
              <w:snapToGrid w:val="0"/>
              <w:spacing w:line="300" w:lineRule="exact"/>
              <w:jc w:val="center"/>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2</w:t>
            </w:r>
          </w:p>
        </w:tc>
        <w:tc>
          <w:tcPr>
            <w:tcW w:w="482" w:type="pct"/>
            <w:vMerge w:val="restart"/>
            <w:vAlign w:val="center"/>
          </w:tcPr>
          <w:p w14:paraId="4258DEDB">
            <w:pPr>
              <w:adjustRightInd w:val="0"/>
              <w:snapToGrid w:val="0"/>
              <w:spacing w:line="300" w:lineRule="exact"/>
              <w:jc w:val="center"/>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预处理注入站</w:t>
            </w:r>
          </w:p>
        </w:tc>
        <w:tc>
          <w:tcPr>
            <w:tcW w:w="405" w:type="pct"/>
            <w:tcMar>
              <w:left w:w="0" w:type="dxa"/>
              <w:right w:w="0" w:type="dxa"/>
            </w:tcMar>
            <w:vAlign w:val="center"/>
          </w:tcPr>
          <w:p w14:paraId="666A5D4F">
            <w:pPr>
              <w:adjustRightInd w:val="0"/>
              <w:snapToGrid w:val="0"/>
              <w:spacing w:line="300" w:lineRule="exact"/>
              <w:jc w:val="center"/>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N</w:t>
            </w:r>
            <w:r>
              <w:rPr>
                <w:rFonts w:ascii="宋体" w:hAnsi="宋体"/>
                <w:color w:val="000000" w:themeColor="text1"/>
                <w:szCs w:val="21"/>
                <w14:textFill>
                  <w14:solidFill>
                    <w14:schemeClr w14:val="tx1"/>
                  </w14:solidFill>
                </w14:textFill>
              </w:rPr>
              <w:t>MHC</w:t>
            </w:r>
          </w:p>
        </w:tc>
        <w:tc>
          <w:tcPr>
            <w:tcW w:w="506" w:type="pct"/>
            <w:tcMar>
              <w:left w:w="0" w:type="dxa"/>
              <w:right w:w="0" w:type="dxa"/>
            </w:tcMar>
            <w:vAlign w:val="center"/>
          </w:tcPr>
          <w:p w14:paraId="198A932B">
            <w:pPr>
              <w:adjustRightInd w:val="0"/>
              <w:snapToGrid w:val="0"/>
              <w:spacing w:line="300" w:lineRule="exact"/>
              <w:jc w:val="center"/>
              <w:rPr>
                <w:rFonts w:hint="eastAsia" w:ascii="宋体" w:hAnsi="宋体"/>
                <w:color w:val="000000" w:themeColor="text1"/>
                <w:szCs w:val="21"/>
                <w14:textFill>
                  <w14:solidFill>
                    <w14:schemeClr w14:val="tx1"/>
                  </w14:solidFill>
                </w14:textFill>
              </w:rPr>
            </w:pPr>
            <w:r>
              <w:rPr>
                <w:rFonts w:hint="eastAsia" w:ascii="宋体" w:hAnsi="宋体" w:cs="宋体"/>
                <w:bCs/>
                <w:snapToGrid w:val="0"/>
                <w:color w:val="000000" w:themeColor="text1"/>
                <w:szCs w:val="21"/>
                <w14:textFill>
                  <w14:solidFill>
                    <w14:schemeClr w14:val="tx1"/>
                  </w14:solidFill>
                </w14:textFill>
              </w:rPr>
              <w:t>1.24t/a</w:t>
            </w:r>
          </w:p>
        </w:tc>
        <w:tc>
          <w:tcPr>
            <w:tcW w:w="1772" w:type="pct"/>
            <w:vMerge w:val="continue"/>
            <w:tcMar>
              <w:left w:w="0" w:type="dxa"/>
              <w:right w:w="0" w:type="dxa"/>
            </w:tcMar>
            <w:vAlign w:val="center"/>
          </w:tcPr>
          <w:p w14:paraId="743C8893">
            <w:pPr>
              <w:adjustRightInd w:val="0"/>
              <w:snapToGrid w:val="0"/>
              <w:spacing w:line="300" w:lineRule="exact"/>
              <w:jc w:val="center"/>
              <w:rPr>
                <w:rFonts w:hint="eastAsia" w:ascii="宋体" w:hAnsi="宋体" w:cs="宋体"/>
                <w:bCs/>
                <w:snapToGrid w:val="0"/>
                <w:color w:val="000000" w:themeColor="text1"/>
                <w:szCs w:val="21"/>
                <w14:textFill>
                  <w14:solidFill>
                    <w14:schemeClr w14:val="tx1"/>
                  </w14:solidFill>
                </w14:textFill>
              </w:rPr>
            </w:pPr>
          </w:p>
        </w:tc>
        <w:tc>
          <w:tcPr>
            <w:tcW w:w="770" w:type="pct"/>
            <w:tcMar>
              <w:left w:w="0" w:type="dxa"/>
              <w:right w:w="0" w:type="dxa"/>
            </w:tcMar>
            <w:vAlign w:val="center"/>
          </w:tcPr>
          <w:p w14:paraId="515052D5">
            <w:pPr>
              <w:adjustRightInd w:val="0"/>
              <w:snapToGrid w:val="0"/>
              <w:spacing w:line="300" w:lineRule="exact"/>
              <w:jc w:val="center"/>
              <w:rPr>
                <w:rFonts w:hint="eastAsia" w:ascii="宋体" w:hAnsi="宋体"/>
                <w:color w:val="000000" w:themeColor="text1"/>
                <w:szCs w:val="21"/>
                <w14:textFill>
                  <w14:solidFill>
                    <w14:schemeClr w14:val="tx1"/>
                  </w14:solidFill>
                </w14:textFill>
              </w:rPr>
            </w:pPr>
            <w:r>
              <w:rPr>
                <w:rFonts w:hint="eastAsia" w:ascii="宋体" w:hAnsi="宋体" w:cs="宋体"/>
                <w:bCs/>
                <w:snapToGrid w:val="0"/>
                <w:color w:val="000000" w:themeColor="text1"/>
                <w:szCs w:val="21"/>
                <w14:textFill>
                  <w14:solidFill>
                    <w14:schemeClr w14:val="tx1"/>
                  </w14:solidFill>
                </w14:textFill>
              </w:rPr>
              <w:t>1.24t/a</w:t>
            </w:r>
          </w:p>
        </w:tc>
        <w:tc>
          <w:tcPr>
            <w:tcW w:w="838" w:type="pct"/>
            <w:tcMar>
              <w:left w:w="0" w:type="dxa"/>
              <w:right w:w="0" w:type="dxa"/>
            </w:tcMar>
            <w:vAlign w:val="center"/>
          </w:tcPr>
          <w:p w14:paraId="118690B8">
            <w:pPr>
              <w:adjustRightInd w:val="0"/>
              <w:snapToGrid w:val="0"/>
              <w:spacing w:line="300" w:lineRule="exact"/>
              <w:jc w:val="center"/>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4</w:t>
            </w:r>
          </w:p>
        </w:tc>
      </w:tr>
      <w:tr w14:paraId="69A4F42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7" w:type="pct"/>
            <w:vMerge w:val="continue"/>
            <w:tcMar>
              <w:left w:w="0" w:type="dxa"/>
              <w:right w:w="0" w:type="dxa"/>
            </w:tcMar>
            <w:vAlign w:val="center"/>
          </w:tcPr>
          <w:p w14:paraId="007F9DA9">
            <w:pPr>
              <w:adjustRightInd w:val="0"/>
              <w:snapToGrid w:val="0"/>
              <w:spacing w:line="300" w:lineRule="exact"/>
              <w:jc w:val="center"/>
              <w:rPr>
                <w:rFonts w:hint="eastAsia" w:ascii="宋体" w:hAnsi="宋体"/>
                <w:color w:val="000000" w:themeColor="text1"/>
                <w:szCs w:val="21"/>
                <w14:textFill>
                  <w14:solidFill>
                    <w14:schemeClr w14:val="tx1"/>
                  </w14:solidFill>
                </w14:textFill>
              </w:rPr>
            </w:pPr>
          </w:p>
        </w:tc>
        <w:tc>
          <w:tcPr>
            <w:tcW w:w="482" w:type="pct"/>
            <w:vMerge w:val="continue"/>
            <w:vAlign w:val="center"/>
          </w:tcPr>
          <w:p w14:paraId="3AD00BD3">
            <w:pPr>
              <w:adjustRightInd w:val="0"/>
              <w:snapToGrid w:val="0"/>
              <w:spacing w:line="300" w:lineRule="exact"/>
              <w:jc w:val="center"/>
              <w:rPr>
                <w:rFonts w:hint="eastAsia" w:ascii="宋体" w:hAnsi="宋体"/>
                <w:color w:val="000000" w:themeColor="text1"/>
                <w:szCs w:val="21"/>
                <w14:textFill>
                  <w14:solidFill>
                    <w14:schemeClr w14:val="tx1"/>
                  </w14:solidFill>
                </w14:textFill>
              </w:rPr>
            </w:pPr>
          </w:p>
        </w:tc>
        <w:tc>
          <w:tcPr>
            <w:tcW w:w="405" w:type="pct"/>
            <w:tcMar>
              <w:left w:w="0" w:type="dxa"/>
              <w:right w:w="0" w:type="dxa"/>
            </w:tcMar>
            <w:vAlign w:val="center"/>
          </w:tcPr>
          <w:p w14:paraId="5A6276AB">
            <w:pPr>
              <w:adjustRightInd w:val="0"/>
              <w:snapToGrid w:val="0"/>
              <w:spacing w:line="300" w:lineRule="exact"/>
              <w:jc w:val="center"/>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硫化氢</w:t>
            </w:r>
          </w:p>
        </w:tc>
        <w:tc>
          <w:tcPr>
            <w:tcW w:w="506" w:type="pct"/>
            <w:tcMar>
              <w:left w:w="0" w:type="dxa"/>
              <w:right w:w="0" w:type="dxa"/>
            </w:tcMar>
            <w:vAlign w:val="center"/>
          </w:tcPr>
          <w:p w14:paraId="0E6F5B56">
            <w:pPr>
              <w:adjustRightInd w:val="0"/>
              <w:snapToGrid w:val="0"/>
              <w:spacing w:line="300" w:lineRule="exact"/>
              <w:jc w:val="center"/>
              <w:rPr>
                <w:rFonts w:hint="eastAsia" w:ascii="宋体" w:hAnsi="宋体"/>
                <w:color w:val="000000" w:themeColor="text1"/>
                <w:szCs w:val="21"/>
                <w14:textFill>
                  <w14:solidFill>
                    <w14:schemeClr w14:val="tx1"/>
                  </w14:solidFill>
                </w14:textFill>
              </w:rPr>
            </w:pPr>
            <w:r>
              <w:rPr>
                <w:rFonts w:hint="eastAsia" w:ascii="宋体" w:hAnsi="宋体" w:cs="宋体"/>
                <w:bCs/>
                <w:snapToGrid w:val="0"/>
                <w:color w:val="000000" w:themeColor="text1"/>
                <w:szCs w:val="21"/>
                <w14:textFill>
                  <w14:solidFill>
                    <w14:schemeClr w14:val="tx1"/>
                  </w14:solidFill>
                </w14:textFill>
              </w:rPr>
              <w:t>0.333kg/a</w:t>
            </w:r>
          </w:p>
        </w:tc>
        <w:tc>
          <w:tcPr>
            <w:tcW w:w="1772" w:type="pct"/>
            <w:vMerge w:val="continue"/>
            <w:tcMar>
              <w:left w:w="0" w:type="dxa"/>
              <w:right w:w="0" w:type="dxa"/>
            </w:tcMar>
            <w:vAlign w:val="center"/>
          </w:tcPr>
          <w:p w14:paraId="610FA438">
            <w:pPr>
              <w:adjustRightInd w:val="0"/>
              <w:snapToGrid w:val="0"/>
              <w:spacing w:line="300" w:lineRule="exact"/>
              <w:jc w:val="center"/>
              <w:rPr>
                <w:rFonts w:hint="eastAsia" w:ascii="宋体" w:hAnsi="宋体" w:cs="宋体"/>
                <w:bCs/>
                <w:snapToGrid w:val="0"/>
                <w:color w:val="000000" w:themeColor="text1"/>
                <w:szCs w:val="21"/>
                <w14:textFill>
                  <w14:solidFill>
                    <w14:schemeClr w14:val="tx1"/>
                  </w14:solidFill>
                </w14:textFill>
              </w:rPr>
            </w:pPr>
          </w:p>
        </w:tc>
        <w:tc>
          <w:tcPr>
            <w:tcW w:w="770" w:type="pct"/>
            <w:tcMar>
              <w:left w:w="0" w:type="dxa"/>
              <w:right w:w="0" w:type="dxa"/>
            </w:tcMar>
            <w:vAlign w:val="center"/>
          </w:tcPr>
          <w:p w14:paraId="301BD81A">
            <w:pPr>
              <w:adjustRightInd w:val="0"/>
              <w:snapToGrid w:val="0"/>
              <w:spacing w:line="300" w:lineRule="exact"/>
              <w:jc w:val="center"/>
              <w:rPr>
                <w:rFonts w:hint="eastAsia" w:ascii="宋体" w:hAnsi="宋体"/>
                <w:color w:val="000000" w:themeColor="text1"/>
                <w:szCs w:val="21"/>
                <w14:textFill>
                  <w14:solidFill>
                    <w14:schemeClr w14:val="tx1"/>
                  </w14:solidFill>
                </w14:textFill>
              </w:rPr>
            </w:pPr>
            <w:r>
              <w:rPr>
                <w:rFonts w:hint="eastAsia" w:ascii="宋体" w:hAnsi="宋体" w:cs="宋体"/>
                <w:bCs/>
                <w:snapToGrid w:val="0"/>
                <w:color w:val="000000" w:themeColor="text1"/>
                <w:szCs w:val="21"/>
                <w14:textFill>
                  <w14:solidFill>
                    <w14:schemeClr w14:val="tx1"/>
                  </w14:solidFill>
                </w14:textFill>
              </w:rPr>
              <w:t>0.333kg/a</w:t>
            </w:r>
          </w:p>
        </w:tc>
        <w:tc>
          <w:tcPr>
            <w:tcW w:w="838" w:type="pct"/>
            <w:tcMar>
              <w:left w:w="0" w:type="dxa"/>
              <w:right w:w="0" w:type="dxa"/>
            </w:tcMar>
            <w:vAlign w:val="center"/>
          </w:tcPr>
          <w:p w14:paraId="373E3C88">
            <w:pPr>
              <w:adjustRightInd w:val="0"/>
              <w:snapToGrid w:val="0"/>
              <w:spacing w:line="300" w:lineRule="exact"/>
              <w:jc w:val="center"/>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0.06</w:t>
            </w:r>
          </w:p>
        </w:tc>
      </w:tr>
    </w:tbl>
    <w:p w14:paraId="7836CE89">
      <w:pPr>
        <w:pStyle w:val="15"/>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表</w:t>
      </w:r>
      <w:r>
        <w:rPr>
          <w:color w:val="000000" w:themeColor="text1"/>
          <w14:textFill>
            <w14:solidFill>
              <w14:schemeClr w14:val="tx1"/>
            </w14:solidFill>
          </w14:textFill>
        </w:rPr>
        <w:t>7</w:t>
      </w:r>
      <w:r>
        <w:rPr>
          <w:rFonts w:hint="eastAsia"/>
          <w:color w:val="000000" w:themeColor="text1"/>
          <w14:textFill>
            <w14:solidFill>
              <w14:schemeClr w14:val="tx1"/>
            </w14:solidFill>
          </w14:textFill>
        </w:rPr>
        <w:t>.3-</w:t>
      </w:r>
      <w:r>
        <w:rPr>
          <w:color w:val="000000" w:themeColor="text1"/>
          <w14:textFill>
            <w14:solidFill>
              <w14:schemeClr w14:val="tx1"/>
            </w14:solidFill>
          </w14:textFill>
        </w:rPr>
        <w:t xml:space="preserve">2  </w:t>
      </w:r>
      <w:r>
        <w:rPr>
          <w:rFonts w:hint="eastAsia"/>
          <w:color w:val="000000" w:themeColor="text1"/>
          <w14:textFill>
            <w14:solidFill>
              <w14:schemeClr w14:val="tx1"/>
            </w14:solidFill>
          </w14:textFill>
        </w:rPr>
        <w:t>噪声、废水及固废等污染物排放清单</w:t>
      </w:r>
    </w:p>
    <w:tbl>
      <w:tblPr>
        <w:tblStyle w:val="51"/>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76"/>
        <w:gridCol w:w="3253"/>
        <w:gridCol w:w="3887"/>
        <w:gridCol w:w="1439"/>
        <w:gridCol w:w="1871"/>
        <w:gridCol w:w="2992"/>
      </w:tblGrid>
      <w:tr w14:paraId="4D6779B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417" w:type="pct"/>
            <w:gridSpan w:val="2"/>
            <w:vAlign w:val="center"/>
          </w:tcPr>
          <w:p w14:paraId="699E4638">
            <w:pPr>
              <w:pStyle w:val="278"/>
              <w:adjustRightInd w:val="0"/>
              <w:snapToGrid w:val="0"/>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类别</w:t>
            </w:r>
          </w:p>
        </w:tc>
        <w:tc>
          <w:tcPr>
            <w:tcW w:w="1367" w:type="pct"/>
            <w:vAlign w:val="center"/>
          </w:tcPr>
          <w:p w14:paraId="77F8B446">
            <w:pPr>
              <w:pStyle w:val="278"/>
              <w:adjustRightInd w:val="0"/>
              <w:snapToGrid w:val="0"/>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环保措施</w:t>
            </w:r>
          </w:p>
        </w:tc>
        <w:tc>
          <w:tcPr>
            <w:tcW w:w="506" w:type="pct"/>
            <w:vAlign w:val="center"/>
          </w:tcPr>
          <w:p w14:paraId="1B28CAC8">
            <w:pPr>
              <w:pStyle w:val="278"/>
              <w:adjustRightInd w:val="0"/>
              <w:snapToGrid w:val="0"/>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运行参数</w:t>
            </w:r>
          </w:p>
        </w:tc>
        <w:tc>
          <w:tcPr>
            <w:tcW w:w="658" w:type="pct"/>
            <w:vAlign w:val="center"/>
          </w:tcPr>
          <w:p w14:paraId="06F81D1F">
            <w:pPr>
              <w:pStyle w:val="278"/>
              <w:adjustRightInd w:val="0"/>
              <w:snapToGrid w:val="0"/>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污染物种类</w:t>
            </w:r>
          </w:p>
        </w:tc>
        <w:tc>
          <w:tcPr>
            <w:tcW w:w="1052" w:type="pct"/>
            <w:vAlign w:val="center"/>
          </w:tcPr>
          <w:p w14:paraId="7781E628">
            <w:pPr>
              <w:pStyle w:val="278"/>
              <w:adjustRightInd w:val="0"/>
              <w:snapToGrid w:val="0"/>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排放标准</w:t>
            </w:r>
          </w:p>
        </w:tc>
      </w:tr>
      <w:tr w14:paraId="2363F60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273" w:type="pct"/>
            <w:vAlign w:val="center"/>
          </w:tcPr>
          <w:p w14:paraId="15B4BAE5">
            <w:pPr>
              <w:pStyle w:val="278"/>
              <w:adjustRightInd w:val="0"/>
              <w:snapToGrid w:val="0"/>
              <w:spacing w:line="300" w:lineRule="exact"/>
              <w:rPr>
                <w:rFonts w:hint="eastAsia"/>
                <w:color w:val="000000" w:themeColor="text1"/>
                <w14:textFill>
                  <w14:solidFill>
                    <w14:schemeClr w14:val="tx1"/>
                  </w14:solidFill>
                </w14:textFill>
              </w:rPr>
            </w:pPr>
            <w:r>
              <w:rPr>
                <w:color w:val="000000" w:themeColor="text1"/>
                <w14:textFill>
                  <w14:solidFill>
                    <w14:schemeClr w14:val="tx1"/>
                  </w14:solidFill>
                </w14:textFill>
              </w:rPr>
              <w:t>噪声</w:t>
            </w:r>
          </w:p>
        </w:tc>
        <w:tc>
          <w:tcPr>
            <w:tcW w:w="1144" w:type="pct"/>
            <w:vAlign w:val="center"/>
          </w:tcPr>
          <w:p w14:paraId="5172A820">
            <w:pPr>
              <w:pStyle w:val="278"/>
              <w:adjustRightInd w:val="0"/>
              <w:snapToGrid w:val="0"/>
              <w:spacing w:line="300" w:lineRule="exact"/>
              <w:rPr>
                <w:rFonts w:hint="eastAsia"/>
                <w:color w:val="000000" w:themeColor="text1"/>
                <w14:textFill>
                  <w14:solidFill>
                    <w14:schemeClr w14:val="tx1"/>
                  </w14:solidFill>
                </w14:textFill>
              </w:rPr>
            </w:pPr>
            <w:r>
              <w:rPr>
                <w:color w:val="000000" w:themeColor="text1"/>
                <w14:textFill>
                  <w14:solidFill>
                    <w14:schemeClr w14:val="tx1"/>
                  </w14:solidFill>
                </w14:textFill>
              </w:rPr>
              <w:t>设备噪声</w:t>
            </w:r>
          </w:p>
        </w:tc>
        <w:tc>
          <w:tcPr>
            <w:tcW w:w="1367" w:type="pct"/>
            <w:vAlign w:val="center"/>
          </w:tcPr>
          <w:p w14:paraId="36A8B1A9">
            <w:pPr>
              <w:pStyle w:val="278"/>
              <w:adjustRightInd w:val="0"/>
              <w:snapToGrid w:val="0"/>
              <w:spacing w:line="300" w:lineRule="exact"/>
              <w:rPr>
                <w:rFonts w:hint="eastAsia"/>
                <w:color w:val="000000" w:themeColor="text1"/>
                <w14:textFill>
                  <w14:solidFill>
                    <w14:schemeClr w14:val="tx1"/>
                  </w14:solidFill>
                </w14:textFill>
              </w:rPr>
            </w:pPr>
            <w:r>
              <w:rPr>
                <w:color w:val="000000" w:themeColor="text1"/>
                <w14:textFill>
                  <w14:solidFill>
                    <w14:schemeClr w14:val="tx1"/>
                  </w14:solidFill>
                </w14:textFill>
              </w:rPr>
              <w:t>选用低噪声设备+</w:t>
            </w:r>
            <w:r>
              <w:rPr>
                <w:rFonts w:hint="eastAsia"/>
                <w:color w:val="000000" w:themeColor="text1"/>
                <w14:textFill>
                  <w14:solidFill>
                    <w14:schemeClr w14:val="tx1"/>
                  </w14:solidFill>
                </w14:textFill>
              </w:rPr>
              <w:t>加防振垫</w:t>
            </w:r>
            <w:r>
              <w:rPr>
                <w:color w:val="000000" w:themeColor="text1"/>
                <w14:textFill>
                  <w14:solidFill>
                    <w14:schemeClr w14:val="tx1"/>
                  </w14:solidFill>
                </w14:textFill>
              </w:rPr>
              <w:t>+基础减振等</w:t>
            </w:r>
          </w:p>
        </w:tc>
        <w:tc>
          <w:tcPr>
            <w:tcW w:w="506" w:type="pct"/>
            <w:vAlign w:val="center"/>
          </w:tcPr>
          <w:p w14:paraId="00B478AA">
            <w:pPr>
              <w:pStyle w:val="278"/>
              <w:adjustRightInd w:val="0"/>
              <w:snapToGrid w:val="0"/>
              <w:spacing w:line="300" w:lineRule="exact"/>
              <w:rPr>
                <w:rFonts w:hint="eastAsia"/>
                <w:color w:val="000000" w:themeColor="text1"/>
                <w14:textFill>
                  <w14:solidFill>
                    <w14:schemeClr w14:val="tx1"/>
                  </w14:solidFill>
                </w14:textFill>
              </w:rPr>
            </w:pPr>
            <w:r>
              <w:rPr>
                <w:color w:val="000000" w:themeColor="text1"/>
                <w14:textFill>
                  <w14:solidFill>
                    <w14:schemeClr w14:val="tx1"/>
                  </w14:solidFill>
                </w14:textFill>
              </w:rPr>
              <w:t>85</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98dB</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A</w:t>
            </w:r>
            <w:r>
              <w:rPr>
                <w:rFonts w:hint="eastAsia"/>
                <w:color w:val="000000" w:themeColor="text1"/>
                <w14:textFill>
                  <w14:solidFill>
                    <w14:schemeClr w14:val="tx1"/>
                  </w14:solidFill>
                </w14:textFill>
              </w:rPr>
              <w:t>)</w:t>
            </w:r>
          </w:p>
        </w:tc>
        <w:tc>
          <w:tcPr>
            <w:tcW w:w="658" w:type="pct"/>
            <w:vAlign w:val="center"/>
          </w:tcPr>
          <w:p w14:paraId="2685C430">
            <w:pPr>
              <w:pStyle w:val="278"/>
              <w:adjustRightInd w:val="0"/>
              <w:snapToGrid w:val="0"/>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噪声</w:t>
            </w:r>
          </w:p>
        </w:tc>
        <w:tc>
          <w:tcPr>
            <w:tcW w:w="1052" w:type="pct"/>
            <w:vAlign w:val="center"/>
          </w:tcPr>
          <w:p w14:paraId="74C42247">
            <w:pPr>
              <w:pStyle w:val="278"/>
              <w:adjustRightInd w:val="0"/>
              <w:snapToGrid w:val="0"/>
              <w:spacing w:line="300" w:lineRule="exact"/>
              <w:rPr>
                <w:rFonts w:hint="eastAsia"/>
                <w:color w:val="000000" w:themeColor="text1"/>
                <w14:textFill>
                  <w14:solidFill>
                    <w14:schemeClr w14:val="tx1"/>
                  </w14:solidFill>
                </w14:textFill>
              </w:rPr>
            </w:pPr>
            <w:r>
              <w:rPr>
                <w:color w:val="000000" w:themeColor="text1"/>
                <w14:textFill>
                  <w14:solidFill>
                    <w14:schemeClr w14:val="tx1"/>
                  </w14:solidFill>
                </w14:textFill>
              </w:rPr>
              <w:t>昼60dB（A</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夜50dB（A</w:t>
            </w:r>
            <w:r>
              <w:rPr>
                <w:rFonts w:hint="eastAsia"/>
                <w:color w:val="000000" w:themeColor="text1"/>
                <w14:textFill>
                  <w14:solidFill>
                    <w14:schemeClr w14:val="tx1"/>
                  </w14:solidFill>
                </w14:textFill>
              </w:rPr>
              <w:t>）</w:t>
            </w:r>
          </w:p>
        </w:tc>
      </w:tr>
      <w:tr w14:paraId="319F643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273" w:type="pct"/>
            <w:vMerge w:val="restart"/>
            <w:vAlign w:val="center"/>
          </w:tcPr>
          <w:p w14:paraId="4CE1CF32">
            <w:pPr>
              <w:pStyle w:val="278"/>
              <w:adjustRightInd w:val="0"/>
              <w:snapToGrid w:val="0"/>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废水</w:t>
            </w:r>
          </w:p>
        </w:tc>
        <w:tc>
          <w:tcPr>
            <w:tcW w:w="1144" w:type="pct"/>
            <w:vAlign w:val="center"/>
          </w:tcPr>
          <w:p w14:paraId="0DD67F8B">
            <w:pPr>
              <w:pStyle w:val="278"/>
              <w:adjustRightInd w:val="0"/>
              <w:snapToGrid w:val="0"/>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洗井废水</w:t>
            </w:r>
          </w:p>
        </w:tc>
        <w:tc>
          <w:tcPr>
            <w:tcW w:w="1367" w:type="pct"/>
            <w:vMerge w:val="restart"/>
            <w:vAlign w:val="center"/>
          </w:tcPr>
          <w:p w14:paraId="78E7AAD2">
            <w:pPr>
              <w:pStyle w:val="278"/>
              <w:adjustRightInd w:val="0"/>
              <w:snapToGrid w:val="0"/>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送至压裂返排液处理系统处理</w:t>
            </w:r>
          </w:p>
        </w:tc>
        <w:tc>
          <w:tcPr>
            <w:tcW w:w="506" w:type="pct"/>
            <w:vAlign w:val="center"/>
          </w:tcPr>
          <w:p w14:paraId="6A912463">
            <w:pPr>
              <w:pStyle w:val="278"/>
              <w:adjustRightInd w:val="0"/>
              <w:snapToGrid w:val="0"/>
              <w:spacing w:line="300" w:lineRule="exact"/>
              <w:rPr>
                <w:rFonts w:hint="eastAsia"/>
                <w:color w:val="000000" w:themeColor="text1"/>
                <w14:textFill>
                  <w14:solidFill>
                    <w14:schemeClr w14:val="tx1"/>
                  </w14:solidFill>
                </w14:textFill>
              </w:rPr>
            </w:pPr>
            <w:r>
              <w:rPr>
                <w:rFonts w:hint="eastAsia" w:cs="宋体"/>
                <w:color w:val="000000" w:themeColor="text1"/>
                <w14:textFill>
                  <w14:solidFill>
                    <w14:schemeClr w14:val="tx1"/>
                  </w14:solidFill>
                </w14:textFill>
              </w:rPr>
              <w:t>325.56m</w:t>
            </w:r>
            <w:r>
              <w:rPr>
                <w:rFonts w:hint="eastAsia" w:cs="宋体"/>
                <w:color w:val="000000" w:themeColor="text1"/>
                <w:vertAlign w:val="superscript"/>
                <w14:textFill>
                  <w14:solidFill>
                    <w14:schemeClr w14:val="tx1"/>
                  </w14:solidFill>
                </w14:textFill>
              </w:rPr>
              <w:t>3</w:t>
            </w:r>
            <w:r>
              <w:rPr>
                <w:rFonts w:hint="eastAsia" w:cs="宋体"/>
                <w:color w:val="000000" w:themeColor="text1"/>
                <w14:textFill>
                  <w14:solidFill>
                    <w14:schemeClr w14:val="tx1"/>
                  </w14:solidFill>
                </w14:textFill>
              </w:rPr>
              <w:t>/a</w:t>
            </w:r>
          </w:p>
        </w:tc>
        <w:tc>
          <w:tcPr>
            <w:tcW w:w="658" w:type="pct"/>
            <w:vAlign w:val="center"/>
          </w:tcPr>
          <w:p w14:paraId="5D2DCB98">
            <w:pPr>
              <w:pStyle w:val="278"/>
              <w:adjustRightInd w:val="0"/>
              <w:snapToGrid w:val="0"/>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COD、SS、石油类</w:t>
            </w:r>
          </w:p>
        </w:tc>
        <w:tc>
          <w:tcPr>
            <w:tcW w:w="1052" w:type="pct"/>
            <w:vAlign w:val="center"/>
          </w:tcPr>
          <w:p w14:paraId="40E87A0F">
            <w:pPr>
              <w:pStyle w:val="278"/>
              <w:adjustRightInd w:val="0"/>
              <w:snapToGrid w:val="0"/>
              <w:spacing w:line="300" w:lineRule="exact"/>
              <w:rPr>
                <w:rFonts w:hint="eastAsia"/>
                <w:color w:val="000000" w:themeColor="text1"/>
                <w14:textFill>
                  <w14:solidFill>
                    <w14:schemeClr w14:val="tx1"/>
                  </w14:solidFill>
                </w14:textFill>
              </w:rPr>
            </w:pPr>
            <w:r>
              <w:rPr>
                <w:color w:val="000000" w:themeColor="text1"/>
                <w14:textFill>
                  <w14:solidFill>
                    <w14:schemeClr w14:val="tx1"/>
                  </w14:solidFill>
                </w14:textFill>
              </w:rPr>
              <w:t>/</w:t>
            </w:r>
          </w:p>
        </w:tc>
      </w:tr>
      <w:tr w14:paraId="13F6F21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273" w:type="pct"/>
            <w:vMerge w:val="continue"/>
            <w:vAlign w:val="center"/>
          </w:tcPr>
          <w:p w14:paraId="4AD593B6">
            <w:pPr>
              <w:pStyle w:val="278"/>
              <w:adjustRightInd w:val="0"/>
              <w:snapToGrid w:val="0"/>
              <w:spacing w:line="300" w:lineRule="exact"/>
              <w:rPr>
                <w:rFonts w:hint="eastAsia"/>
                <w:color w:val="000000" w:themeColor="text1"/>
                <w14:textFill>
                  <w14:solidFill>
                    <w14:schemeClr w14:val="tx1"/>
                  </w14:solidFill>
                </w14:textFill>
              </w:rPr>
            </w:pPr>
          </w:p>
        </w:tc>
        <w:tc>
          <w:tcPr>
            <w:tcW w:w="1144" w:type="pct"/>
            <w:vAlign w:val="center"/>
          </w:tcPr>
          <w:p w14:paraId="7E908A40">
            <w:pPr>
              <w:pStyle w:val="278"/>
              <w:adjustRightInd w:val="0"/>
              <w:snapToGrid w:val="0"/>
              <w:spacing w:line="300" w:lineRule="exact"/>
              <w:rPr>
                <w:rFonts w:hint="eastAsia"/>
                <w:color w:val="000000" w:themeColor="text1"/>
                <w14:textFill>
                  <w14:solidFill>
                    <w14:schemeClr w14:val="tx1"/>
                  </w14:solidFill>
                </w14:textFill>
              </w:rPr>
            </w:pPr>
            <w:r>
              <w:rPr>
                <w:rFonts w:hint="eastAsia" w:cs="宋体"/>
                <w:color w:val="000000" w:themeColor="text1"/>
                <w:kern w:val="2"/>
                <w14:textFill>
                  <w14:solidFill>
                    <w14:schemeClr w14:val="tx1"/>
                  </w14:solidFill>
                </w14:textFill>
              </w:rPr>
              <w:t>压裂返排液</w:t>
            </w:r>
          </w:p>
        </w:tc>
        <w:tc>
          <w:tcPr>
            <w:tcW w:w="1367" w:type="pct"/>
            <w:vMerge w:val="continue"/>
            <w:vAlign w:val="center"/>
          </w:tcPr>
          <w:p w14:paraId="0A14B0FD">
            <w:pPr>
              <w:pStyle w:val="278"/>
              <w:adjustRightInd w:val="0"/>
              <w:snapToGrid w:val="0"/>
              <w:spacing w:line="300" w:lineRule="exact"/>
              <w:rPr>
                <w:rFonts w:hint="eastAsia"/>
                <w:color w:val="000000" w:themeColor="text1"/>
                <w14:textFill>
                  <w14:solidFill>
                    <w14:schemeClr w14:val="tx1"/>
                  </w14:solidFill>
                </w14:textFill>
              </w:rPr>
            </w:pPr>
          </w:p>
        </w:tc>
        <w:tc>
          <w:tcPr>
            <w:tcW w:w="506" w:type="pct"/>
            <w:vAlign w:val="center"/>
          </w:tcPr>
          <w:p w14:paraId="56D69793">
            <w:pPr>
              <w:pStyle w:val="278"/>
              <w:adjustRightInd w:val="0"/>
              <w:snapToGrid w:val="0"/>
              <w:spacing w:line="300" w:lineRule="exact"/>
              <w:rPr>
                <w:rFonts w:hint="eastAsia"/>
                <w:color w:val="000000" w:themeColor="text1"/>
                <w14:textFill>
                  <w14:solidFill>
                    <w14:schemeClr w14:val="tx1"/>
                  </w14:solidFill>
                </w14:textFill>
              </w:rPr>
            </w:pPr>
            <w:r>
              <w:rPr>
                <w:rFonts w:hint="eastAsia" w:cs="宋体"/>
                <w:color w:val="000000" w:themeColor="text1"/>
                <w14:textFill>
                  <w14:solidFill>
                    <w14:schemeClr w14:val="tx1"/>
                  </w14:solidFill>
                </w14:textFill>
              </w:rPr>
              <w:t>1378.89m</w:t>
            </w:r>
            <w:r>
              <w:rPr>
                <w:rFonts w:hint="eastAsia" w:cs="宋体"/>
                <w:color w:val="000000" w:themeColor="text1"/>
                <w:vertAlign w:val="superscript"/>
                <w14:textFill>
                  <w14:solidFill>
                    <w14:schemeClr w14:val="tx1"/>
                  </w14:solidFill>
                </w14:textFill>
              </w:rPr>
              <w:t>3</w:t>
            </w:r>
            <w:r>
              <w:rPr>
                <w:rFonts w:hint="eastAsia" w:cs="宋体"/>
                <w:color w:val="000000" w:themeColor="text1"/>
                <w14:textFill>
                  <w14:solidFill>
                    <w14:schemeClr w14:val="tx1"/>
                  </w14:solidFill>
                </w14:textFill>
              </w:rPr>
              <w:t>/a</w:t>
            </w:r>
          </w:p>
        </w:tc>
        <w:tc>
          <w:tcPr>
            <w:tcW w:w="658" w:type="pct"/>
            <w:vAlign w:val="center"/>
          </w:tcPr>
          <w:p w14:paraId="0181CF0D">
            <w:pPr>
              <w:pStyle w:val="278"/>
              <w:adjustRightInd w:val="0"/>
              <w:snapToGrid w:val="0"/>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COD、SS、石油类</w:t>
            </w:r>
          </w:p>
        </w:tc>
        <w:tc>
          <w:tcPr>
            <w:tcW w:w="1052" w:type="pct"/>
            <w:vAlign w:val="center"/>
          </w:tcPr>
          <w:p w14:paraId="6BF0E7BB">
            <w:pPr>
              <w:pStyle w:val="278"/>
              <w:adjustRightInd w:val="0"/>
              <w:snapToGrid w:val="0"/>
              <w:spacing w:line="300" w:lineRule="exact"/>
              <w:rPr>
                <w:rFonts w:hint="eastAsia"/>
                <w:color w:val="000000" w:themeColor="text1"/>
                <w14:textFill>
                  <w14:solidFill>
                    <w14:schemeClr w14:val="tx1"/>
                  </w14:solidFill>
                </w14:textFill>
              </w:rPr>
            </w:pPr>
            <w:r>
              <w:rPr>
                <w:color w:val="000000" w:themeColor="text1"/>
                <w14:textFill>
                  <w14:solidFill>
                    <w14:schemeClr w14:val="tx1"/>
                  </w14:solidFill>
                </w14:textFill>
              </w:rPr>
              <w:t>/</w:t>
            </w:r>
          </w:p>
        </w:tc>
      </w:tr>
      <w:tr w14:paraId="3863221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273" w:type="pct"/>
            <w:vMerge w:val="continue"/>
            <w:vAlign w:val="center"/>
          </w:tcPr>
          <w:p w14:paraId="03B30740">
            <w:pPr>
              <w:pStyle w:val="278"/>
              <w:adjustRightInd w:val="0"/>
              <w:snapToGrid w:val="0"/>
              <w:spacing w:line="300" w:lineRule="exact"/>
              <w:rPr>
                <w:rFonts w:hint="eastAsia"/>
                <w:color w:val="000000" w:themeColor="text1"/>
                <w14:textFill>
                  <w14:solidFill>
                    <w14:schemeClr w14:val="tx1"/>
                  </w14:solidFill>
                </w14:textFill>
              </w:rPr>
            </w:pPr>
          </w:p>
        </w:tc>
        <w:tc>
          <w:tcPr>
            <w:tcW w:w="1144" w:type="pct"/>
            <w:vAlign w:val="center"/>
          </w:tcPr>
          <w:p w14:paraId="0629C505">
            <w:pPr>
              <w:pStyle w:val="278"/>
              <w:adjustRightInd w:val="0"/>
              <w:snapToGrid w:val="0"/>
              <w:spacing w:line="300" w:lineRule="exact"/>
              <w:rPr>
                <w:rFonts w:hint="eastAsia" w:cs="宋体"/>
                <w:color w:val="000000" w:themeColor="text1"/>
                <w:kern w:val="2"/>
                <w14:textFill>
                  <w14:solidFill>
                    <w14:schemeClr w14:val="tx1"/>
                  </w14:solidFill>
                </w14:textFill>
              </w:rPr>
            </w:pPr>
            <w:r>
              <w:rPr>
                <w:rFonts w:hint="eastAsia" w:cs="宋体"/>
                <w:color w:val="000000" w:themeColor="text1"/>
                <w:kern w:val="2"/>
                <w14:textFill>
                  <w14:solidFill>
                    <w14:schemeClr w14:val="tx1"/>
                  </w14:solidFill>
                </w14:textFill>
              </w:rPr>
              <w:t>废洗井液</w:t>
            </w:r>
          </w:p>
        </w:tc>
        <w:tc>
          <w:tcPr>
            <w:tcW w:w="1367" w:type="pct"/>
            <w:vMerge w:val="continue"/>
            <w:vAlign w:val="center"/>
          </w:tcPr>
          <w:p w14:paraId="0B780F16">
            <w:pPr>
              <w:pStyle w:val="278"/>
              <w:adjustRightInd w:val="0"/>
              <w:snapToGrid w:val="0"/>
              <w:spacing w:line="300" w:lineRule="exact"/>
              <w:rPr>
                <w:rFonts w:hint="eastAsia"/>
                <w:color w:val="000000" w:themeColor="text1"/>
                <w14:textFill>
                  <w14:solidFill>
                    <w14:schemeClr w14:val="tx1"/>
                  </w14:solidFill>
                </w14:textFill>
              </w:rPr>
            </w:pPr>
          </w:p>
        </w:tc>
        <w:tc>
          <w:tcPr>
            <w:tcW w:w="506" w:type="pct"/>
            <w:vAlign w:val="center"/>
          </w:tcPr>
          <w:p w14:paraId="17E7704C">
            <w:pPr>
              <w:pStyle w:val="278"/>
              <w:adjustRightInd w:val="0"/>
              <w:snapToGrid w:val="0"/>
              <w:spacing w:line="300" w:lineRule="exact"/>
              <w:rPr>
                <w:rFonts w:hint="eastAsia"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227.61m</w:t>
            </w:r>
            <w:r>
              <w:rPr>
                <w:rFonts w:hint="eastAsia" w:cs="宋体"/>
                <w:color w:val="000000" w:themeColor="text1"/>
                <w:vertAlign w:val="superscript"/>
                <w14:textFill>
                  <w14:solidFill>
                    <w14:schemeClr w14:val="tx1"/>
                  </w14:solidFill>
                </w14:textFill>
              </w:rPr>
              <w:t>3</w:t>
            </w:r>
            <w:r>
              <w:rPr>
                <w:rFonts w:hint="eastAsia" w:cs="宋体"/>
                <w:color w:val="000000" w:themeColor="text1"/>
                <w14:textFill>
                  <w14:solidFill>
                    <w14:schemeClr w14:val="tx1"/>
                  </w14:solidFill>
                </w14:textFill>
              </w:rPr>
              <w:t>/a</w:t>
            </w:r>
          </w:p>
        </w:tc>
        <w:tc>
          <w:tcPr>
            <w:tcW w:w="658" w:type="pct"/>
            <w:vAlign w:val="center"/>
          </w:tcPr>
          <w:p w14:paraId="24CBDB05">
            <w:pPr>
              <w:pStyle w:val="278"/>
              <w:adjustRightInd w:val="0"/>
              <w:snapToGrid w:val="0"/>
              <w:spacing w:line="300" w:lineRule="exact"/>
              <w:rPr>
                <w:rFonts w:hint="eastAsia" w:cs="宋体"/>
                <w:color w:val="000000" w:themeColor="text1"/>
                <w14:textFill>
                  <w14:solidFill>
                    <w14:schemeClr w14:val="tx1"/>
                  </w14:solidFill>
                </w14:textFill>
              </w:rPr>
            </w:pPr>
            <w:bookmarkStart w:id="835" w:name="OLE_LINK83"/>
            <w:bookmarkStart w:id="836" w:name="OLE_LINK9"/>
            <w:r>
              <w:rPr>
                <w:rFonts w:hint="eastAsia"/>
                <w:color w:val="000000" w:themeColor="text1"/>
                <w14:textFill>
                  <w14:solidFill>
                    <w14:schemeClr w14:val="tx1"/>
                  </w14:solidFill>
                </w14:textFill>
              </w:rPr>
              <w:t>COD、SS、</w:t>
            </w:r>
            <w:bookmarkEnd w:id="835"/>
            <w:r>
              <w:rPr>
                <w:rFonts w:hint="eastAsia"/>
                <w:color w:val="000000" w:themeColor="text1"/>
                <w14:textFill>
                  <w14:solidFill>
                    <w14:schemeClr w14:val="tx1"/>
                  </w14:solidFill>
                </w14:textFill>
              </w:rPr>
              <w:t>石油类</w:t>
            </w:r>
            <w:bookmarkEnd w:id="836"/>
          </w:p>
        </w:tc>
        <w:tc>
          <w:tcPr>
            <w:tcW w:w="1052" w:type="pct"/>
            <w:vAlign w:val="center"/>
          </w:tcPr>
          <w:p w14:paraId="3B9E0644">
            <w:pPr>
              <w:pStyle w:val="278"/>
              <w:adjustRightInd w:val="0"/>
              <w:snapToGrid w:val="0"/>
              <w:spacing w:line="300" w:lineRule="exact"/>
              <w:rPr>
                <w:rFonts w:hint="eastAsia"/>
                <w:color w:val="000000" w:themeColor="text1"/>
                <w14:textFill>
                  <w14:solidFill>
                    <w14:schemeClr w14:val="tx1"/>
                  </w14:solidFill>
                </w14:textFill>
              </w:rPr>
            </w:pPr>
            <w:r>
              <w:rPr>
                <w:color w:val="000000" w:themeColor="text1"/>
                <w14:textFill>
                  <w14:solidFill>
                    <w14:schemeClr w14:val="tx1"/>
                  </w14:solidFill>
                </w14:textFill>
              </w:rPr>
              <w:t>/</w:t>
            </w:r>
          </w:p>
        </w:tc>
      </w:tr>
      <w:tr w14:paraId="2AA810E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273" w:type="pct"/>
            <w:vMerge w:val="continue"/>
            <w:vAlign w:val="center"/>
          </w:tcPr>
          <w:p w14:paraId="4E1EA4F7">
            <w:pPr>
              <w:pStyle w:val="278"/>
              <w:adjustRightInd w:val="0"/>
              <w:snapToGrid w:val="0"/>
              <w:spacing w:line="300" w:lineRule="exact"/>
              <w:rPr>
                <w:rFonts w:hint="eastAsia"/>
                <w:color w:val="000000" w:themeColor="text1"/>
                <w14:textFill>
                  <w14:solidFill>
                    <w14:schemeClr w14:val="tx1"/>
                  </w14:solidFill>
                </w14:textFill>
              </w:rPr>
            </w:pPr>
          </w:p>
        </w:tc>
        <w:tc>
          <w:tcPr>
            <w:tcW w:w="1144" w:type="pct"/>
            <w:vAlign w:val="center"/>
          </w:tcPr>
          <w:p w14:paraId="08AB79D1">
            <w:pPr>
              <w:pStyle w:val="278"/>
              <w:adjustRightInd w:val="0"/>
              <w:snapToGrid w:val="0"/>
              <w:spacing w:line="300" w:lineRule="exact"/>
              <w:rPr>
                <w:rFonts w:hint="eastAsia" w:cs="宋体"/>
                <w:color w:val="000000" w:themeColor="text1"/>
                <w:kern w:val="2"/>
                <w14:textFill>
                  <w14:solidFill>
                    <w14:schemeClr w14:val="tx1"/>
                  </w14:solidFill>
                </w14:textFill>
              </w:rPr>
            </w:pPr>
            <w:r>
              <w:rPr>
                <w:rFonts w:hint="eastAsia" w:cs="宋体"/>
                <w:color w:val="000000" w:themeColor="text1"/>
                <w:kern w:val="2"/>
                <w14:textFill>
                  <w14:solidFill>
                    <w14:schemeClr w14:val="tx1"/>
                  </w14:solidFill>
                </w14:textFill>
              </w:rPr>
              <w:t>装置排污水</w:t>
            </w:r>
          </w:p>
        </w:tc>
        <w:tc>
          <w:tcPr>
            <w:tcW w:w="1367" w:type="pct"/>
            <w:vAlign w:val="center"/>
          </w:tcPr>
          <w:p w14:paraId="356CF17C">
            <w:pPr>
              <w:pStyle w:val="278"/>
              <w:adjustRightInd w:val="0"/>
              <w:snapToGrid w:val="0"/>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排至排污罐中，由污油泵将排污罐中的液体管输至进站管汇</w:t>
            </w:r>
          </w:p>
        </w:tc>
        <w:tc>
          <w:tcPr>
            <w:tcW w:w="506" w:type="pct"/>
            <w:vAlign w:val="center"/>
          </w:tcPr>
          <w:p w14:paraId="2F79027B">
            <w:pPr>
              <w:pStyle w:val="278"/>
              <w:adjustRightInd w:val="0"/>
              <w:snapToGrid w:val="0"/>
              <w:spacing w:line="300" w:lineRule="exact"/>
              <w:rPr>
                <w:rFonts w:hint="eastAsia"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45.6m</w:t>
            </w:r>
            <w:r>
              <w:rPr>
                <w:rFonts w:hint="eastAsia" w:cs="宋体"/>
                <w:color w:val="000000" w:themeColor="text1"/>
                <w:vertAlign w:val="superscript"/>
                <w14:textFill>
                  <w14:solidFill>
                    <w14:schemeClr w14:val="tx1"/>
                  </w14:solidFill>
                </w14:textFill>
              </w:rPr>
              <w:t>3</w:t>
            </w:r>
            <w:r>
              <w:rPr>
                <w:rFonts w:hint="eastAsia" w:cs="宋体"/>
                <w:color w:val="000000" w:themeColor="text1"/>
                <w14:textFill>
                  <w14:solidFill>
                    <w14:schemeClr w14:val="tx1"/>
                  </w14:solidFill>
                </w14:textFill>
              </w:rPr>
              <w:t>/a</w:t>
            </w:r>
          </w:p>
        </w:tc>
        <w:tc>
          <w:tcPr>
            <w:tcW w:w="658" w:type="pct"/>
            <w:vAlign w:val="center"/>
          </w:tcPr>
          <w:p w14:paraId="5060F9C1">
            <w:pPr>
              <w:pStyle w:val="278"/>
              <w:adjustRightInd w:val="0"/>
              <w:snapToGrid w:val="0"/>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SS、石油类</w:t>
            </w:r>
          </w:p>
        </w:tc>
        <w:tc>
          <w:tcPr>
            <w:tcW w:w="1052" w:type="pct"/>
            <w:vAlign w:val="center"/>
          </w:tcPr>
          <w:p w14:paraId="335A4F7C">
            <w:pPr>
              <w:pStyle w:val="278"/>
              <w:adjustRightInd w:val="0"/>
              <w:snapToGrid w:val="0"/>
              <w:spacing w:line="300" w:lineRule="exact"/>
              <w:rPr>
                <w:rFonts w:hint="eastAsia"/>
                <w:color w:val="000000" w:themeColor="text1"/>
                <w14:textFill>
                  <w14:solidFill>
                    <w14:schemeClr w14:val="tx1"/>
                  </w14:solidFill>
                </w14:textFill>
              </w:rPr>
            </w:pPr>
            <w:r>
              <w:rPr>
                <w:color w:val="000000" w:themeColor="text1"/>
                <w14:textFill>
                  <w14:solidFill>
                    <w14:schemeClr w14:val="tx1"/>
                  </w14:solidFill>
                </w14:textFill>
              </w:rPr>
              <w:t>/</w:t>
            </w:r>
          </w:p>
        </w:tc>
      </w:tr>
      <w:tr w14:paraId="79C9AC7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273" w:type="pct"/>
            <w:vMerge w:val="continue"/>
            <w:vAlign w:val="center"/>
          </w:tcPr>
          <w:p w14:paraId="0C9C507F">
            <w:pPr>
              <w:pStyle w:val="278"/>
              <w:adjustRightInd w:val="0"/>
              <w:snapToGrid w:val="0"/>
              <w:spacing w:line="300" w:lineRule="exact"/>
              <w:rPr>
                <w:rFonts w:hint="eastAsia"/>
                <w:color w:val="000000" w:themeColor="text1"/>
                <w14:textFill>
                  <w14:solidFill>
                    <w14:schemeClr w14:val="tx1"/>
                  </w14:solidFill>
                </w14:textFill>
              </w:rPr>
            </w:pPr>
          </w:p>
        </w:tc>
        <w:tc>
          <w:tcPr>
            <w:tcW w:w="1144" w:type="pct"/>
            <w:vAlign w:val="center"/>
          </w:tcPr>
          <w:p w14:paraId="63C8D9EC">
            <w:pPr>
              <w:pStyle w:val="278"/>
              <w:adjustRightInd w:val="0"/>
              <w:snapToGrid w:val="0"/>
              <w:spacing w:line="300" w:lineRule="exact"/>
              <w:rPr>
                <w:rFonts w:hint="eastAsia" w:cs="宋体"/>
                <w:color w:val="000000" w:themeColor="text1"/>
                <w:kern w:val="2"/>
                <w14:textFill>
                  <w14:solidFill>
                    <w14:schemeClr w14:val="tx1"/>
                  </w14:solidFill>
                </w14:textFill>
              </w:rPr>
            </w:pPr>
            <w:r>
              <w:rPr>
                <w:rFonts w:hint="eastAsia" w:cs="宋体"/>
                <w:color w:val="000000" w:themeColor="text1"/>
                <w:kern w:val="2"/>
                <w14:textFill>
                  <w14:solidFill>
                    <w14:schemeClr w14:val="tx1"/>
                  </w14:solidFill>
                </w14:textFill>
              </w:rPr>
              <w:t>生活污水</w:t>
            </w:r>
          </w:p>
        </w:tc>
        <w:tc>
          <w:tcPr>
            <w:tcW w:w="1367" w:type="pct"/>
            <w:vAlign w:val="center"/>
          </w:tcPr>
          <w:p w14:paraId="2B5D1F02">
            <w:pPr>
              <w:pStyle w:val="278"/>
              <w:adjustRightInd w:val="0"/>
              <w:snapToGrid w:val="0"/>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送至吉木萨尔县污水处理厂处理</w:t>
            </w:r>
          </w:p>
        </w:tc>
        <w:tc>
          <w:tcPr>
            <w:tcW w:w="506" w:type="pct"/>
            <w:vAlign w:val="center"/>
          </w:tcPr>
          <w:p w14:paraId="2E7B5543">
            <w:pPr>
              <w:pStyle w:val="278"/>
              <w:adjustRightInd w:val="0"/>
              <w:snapToGrid w:val="0"/>
              <w:spacing w:line="300" w:lineRule="exact"/>
              <w:rPr>
                <w:rFonts w:hint="eastAsia"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624m</w:t>
            </w:r>
            <w:r>
              <w:rPr>
                <w:rFonts w:hint="eastAsia" w:cs="宋体"/>
                <w:color w:val="000000" w:themeColor="text1"/>
                <w:vertAlign w:val="superscript"/>
                <w14:textFill>
                  <w14:solidFill>
                    <w14:schemeClr w14:val="tx1"/>
                  </w14:solidFill>
                </w14:textFill>
              </w:rPr>
              <w:t>3</w:t>
            </w:r>
            <w:r>
              <w:rPr>
                <w:rFonts w:hint="eastAsia" w:cs="宋体"/>
                <w:color w:val="000000" w:themeColor="text1"/>
                <w14:textFill>
                  <w14:solidFill>
                    <w14:schemeClr w14:val="tx1"/>
                  </w14:solidFill>
                </w14:textFill>
              </w:rPr>
              <w:t>/a</w:t>
            </w:r>
          </w:p>
        </w:tc>
        <w:tc>
          <w:tcPr>
            <w:tcW w:w="658" w:type="pct"/>
            <w:vAlign w:val="center"/>
          </w:tcPr>
          <w:p w14:paraId="4C82B465">
            <w:pPr>
              <w:pStyle w:val="278"/>
              <w:adjustRightInd w:val="0"/>
              <w:snapToGrid w:val="0"/>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COD、SS、氨氮</w:t>
            </w:r>
          </w:p>
        </w:tc>
        <w:tc>
          <w:tcPr>
            <w:tcW w:w="1052" w:type="pct"/>
            <w:vAlign w:val="center"/>
          </w:tcPr>
          <w:p w14:paraId="4D4F645A">
            <w:pPr>
              <w:pStyle w:val="278"/>
              <w:adjustRightInd w:val="0"/>
              <w:snapToGrid w:val="0"/>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w:t>
            </w:r>
          </w:p>
        </w:tc>
      </w:tr>
      <w:tr w14:paraId="1514A21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273" w:type="pct"/>
            <w:vMerge w:val="restart"/>
            <w:vAlign w:val="center"/>
          </w:tcPr>
          <w:p w14:paraId="48EAD814">
            <w:pPr>
              <w:pStyle w:val="278"/>
              <w:adjustRightInd w:val="0"/>
              <w:snapToGrid w:val="0"/>
              <w:spacing w:line="300" w:lineRule="exact"/>
              <w:rPr>
                <w:rFonts w:hint="eastAsia"/>
                <w:color w:val="000000" w:themeColor="text1"/>
                <w14:textFill>
                  <w14:solidFill>
                    <w14:schemeClr w14:val="tx1"/>
                  </w14:solidFill>
                </w14:textFill>
              </w:rPr>
            </w:pPr>
            <w:r>
              <w:rPr>
                <w:color w:val="000000" w:themeColor="text1"/>
                <w14:textFill>
                  <w14:solidFill>
                    <w14:schemeClr w14:val="tx1"/>
                  </w14:solidFill>
                </w14:textFill>
              </w:rPr>
              <w:t>固体</w:t>
            </w:r>
          </w:p>
          <w:p w14:paraId="74705898">
            <w:pPr>
              <w:pStyle w:val="278"/>
              <w:adjustRightInd w:val="0"/>
              <w:snapToGrid w:val="0"/>
              <w:spacing w:line="300" w:lineRule="exact"/>
              <w:rPr>
                <w:rFonts w:hint="eastAsia"/>
                <w:color w:val="000000" w:themeColor="text1"/>
                <w14:textFill>
                  <w14:solidFill>
                    <w14:schemeClr w14:val="tx1"/>
                  </w14:solidFill>
                </w14:textFill>
              </w:rPr>
            </w:pPr>
            <w:r>
              <w:rPr>
                <w:color w:val="000000" w:themeColor="text1"/>
                <w14:textFill>
                  <w14:solidFill>
                    <w14:schemeClr w14:val="tx1"/>
                  </w14:solidFill>
                </w14:textFill>
              </w:rPr>
              <w:t>废物</w:t>
            </w:r>
          </w:p>
        </w:tc>
        <w:tc>
          <w:tcPr>
            <w:tcW w:w="1144" w:type="pct"/>
            <w:vAlign w:val="center"/>
          </w:tcPr>
          <w:p w14:paraId="1503BD8D">
            <w:pPr>
              <w:pStyle w:val="278"/>
              <w:adjustRightInd w:val="0"/>
              <w:snapToGrid w:val="0"/>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废包装物</w:t>
            </w:r>
          </w:p>
        </w:tc>
        <w:tc>
          <w:tcPr>
            <w:tcW w:w="1367" w:type="pct"/>
            <w:vAlign w:val="center"/>
          </w:tcPr>
          <w:p w14:paraId="4B8B874A">
            <w:pPr>
              <w:pStyle w:val="278"/>
              <w:adjustRightInd w:val="0"/>
              <w:snapToGrid w:val="0"/>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厂家回收管理</w:t>
            </w:r>
          </w:p>
        </w:tc>
        <w:tc>
          <w:tcPr>
            <w:tcW w:w="506" w:type="pct"/>
            <w:vAlign w:val="center"/>
          </w:tcPr>
          <w:p w14:paraId="42D1FD25">
            <w:pPr>
              <w:pStyle w:val="278"/>
              <w:adjustRightInd w:val="0"/>
              <w:snapToGrid w:val="0"/>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0.2t</w:t>
            </w:r>
            <w:r>
              <w:rPr>
                <w:color w:val="000000" w:themeColor="text1"/>
                <w14:textFill>
                  <w14:solidFill>
                    <w14:schemeClr w14:val="tx1"/>
                  </w14:solidFill>
                </w14:textFill>
              </w:rPr>
              <w:t>/a</w:t>
            </w:r>
          </w:p>
        </w:tc>
        <w:tc>
          <w:tcPr>
            <w:tcW w:w="658" w:type="pct"/>
            <w:vAlign w:val="center"/>
          </w:tcPr>
          <w:p w14:paraId="0CE9576D">
            <w:pPr>
              <w:pStyle w:val="278"/>
              <w:adjustRightInd w:val="0"/>
              <w:snapToGrid w:val="0"/>
              <w:spacing w:line="300" w:lineRule="exact"/>
              <w:rPr>
                <w:rFonts w:hint="eastAsia"/>
                <w:color w:val="000000" w:themeColor="text1"/>
                <w14:textFill>
                  <w14:solidFill>
                    <w14:schemeClr w14:val="tx1"/>
                  </w14:solidFill>
                </w14:textFill>
              </w:rPr>
            </w:pPr>
            <w:r>
              <w:rPr>
                <w:color w:val="000000" w:themeColor="text1"/>
                <w14:textFill>
                  <w14:solidFill>
                    <w14:schemeClr w14:val="tx1"/>
                  </w14:solidFill>
                </w14:textFill>
              </w:rPr>
              <w:t>/</w:t>
            </w:r>
          </w:p>
        </w:tc>
        <w:tc>
          <w:tcPr>
            <w:tcW w:w="1052" w:type="pct"/>
            <w:vAlign w:val="center"/>
          </w:tcPr>
          <w:p w14:paraId="6ECBA20C">
            <w:pPr>
              <w:pStyle w:val="278"/>
              <w:adjustRightInd w:val="0"/>
              <w:snapToGrid w:val="0"/>
              <w:spacing w:line="300" w:lineRule="exact"/>
              <w:rPr>
                <w:rFonts w:hint="eastAsia"/>
                <w:color w:val="000000" w:themeColor="text1"/>
                <w14:textFill>
                  <w14:solidFill>
                    <w14:schemeClr w14:val="tx1"/>
                  </w14:solidFill>
                </w14:textFill>
              </w:rPr>
            </w:pPr>
            <w:r>
              <w:rPr>
                <w:color w:val="000000" w:themeColor="text1"/>
                <w14:textFill>
                  <w14:solidFill>
                    <w14:schemeClr w14:val="tx1"/>
                  </w14:solidFill>
                </w14:textFill>
              </w:rPr>
              <w:t>/</w:t>
            </w:r>
          </w:p>
        </w:tc>
      </w:tr>
      <w:tr w14:paraId="2F707FF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273" w:type="pct"/>
            <w:vMerge w:val="continue"/>
            <w:vAlign w:val="center"/>
          </w:tcPr>
          <w:p w14:paraId="539A3BD1">
            <w:pPr>
              <w:pStyle w:val="278"/>
              <w:adjustRightInd w:val="0"/>
              <w:snapToGrid w:val="0"/>
              <w:spacing w:line="300" w:lineRule="exact"/>
              <w:rPr>
                <w:rFonts w:hint="eastAsia"/>
                <w:color w:val="000000" w:themeColor="text1"/>
                <w14:textFill>
                  <w14:solidFill>
                    <w14:schemeClr w14:val="tx1"/>
                  </w14:solidFill>
                </w14:textFill>
              </w:rPr>
            </w:pPr>
          </w:p>
        </w:tc>
        <w:tc>
          <w:tcPr>
            <w:tcW w:w="1144" w:type="pct"/>
            <w:vAlign w:val="center"/>
          </w:tcPr>
          <w:p w14:paraId="5EF5B25E">
            <w:pPr>
              <w:pStyle w:val="278"/>
              <w:adjustRightInd w:val="0"/>
              <w:snapToGrid w:val="0"/>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废润滑油</w:t>
            </w:r>
          </w:p>
        </w:tc>
        <w:tc>
          <w:tcPr>
            <w:tcW w:w="1367" w:type="pct"/>
            <w:vMerge w:val="restart"/>
            <w:vAlign w:val="center"/>
          </w:tcPr>
          <w:p w14:paraId="12C89A24">
            <w:pPr>
              <w:pStyle w:val="278"/>
              <w:adjustRightInd w:val="0"/>
              <w:snapToGrid w:val="0"/>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集中收集后交由有相应危险废物处理资质的单位回收处置</w:t>
            </w:r>
          </w:p>
        </w:tc>
        <w:tc>
          <w:tcPr>
            <w:tcW w:w="506" w:type="pct"/>
            <w:vAlign w:val="center"/>
          </w:tcPr>
          <w:p w14:paraId="34CE1053">
            <w:pPr>
              <w:pStyle w:val="278"/>
              <w:adjustRightInd w:val="0"/>
              <w:snapToGrid w:val="0"/>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0.8t</w:t>
            </w:r>
            <w:r>
              <w:rPr>
                <w:color w:val="000000" w:themeColor="text1"/>
                <w14:textFill>
                  <w14:solidFill>
                    <w14:schemeClr w14:val="tx1"/>
                  </w14:solidFill>
                </w14:textFill>
              </w:rPr>
              <w:t>/a</w:t>
            </w:r>
          </w:p>
        </w:tc>
        <w:tc>
          <w:tcPr>
            <w:tcW w:w="658" w:type="pct"/>
          </w:tcPr>
          <w:p w14:paraId="6055114C">
            <w:pPr>
              <w:pStyle w:val="278"/>
              <w:adjustRightInd w:val="0"/>
              <w:snapToGrid w:val="0"/>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石油类</w:t>
            </w:r>
          </w:p>
        </w:tc>
        <w:tc>
          <w:tcPr>
            <w:tcW w:w="1052" w:type="pct"/>
          </w:tcPr>
          <w:p w14:paraId="3A8585F3">
            <w:pPr>
              <w:pStyle w:val="278"/>
              <w:adjustRightInd w:val="0"/>
              <w:snapToGrid w:val="0"/>
              <w:spacing w:line="300" w:lineRule="exact"/>
              <w:rPr>
                <w:rFonts w:hint="eastAsia"/>
                <w:color w:val="000000" w:themeColor="text1"/>
                <w14:textFill>
                  <w14:solidFill>
                    <w14:schemeClr w14:val="tx1"/>
                  </w14:solidFill>
                </w14:textFill>
              </w:rPr>
            </w:pPr>
            <w:r>
              <w:rPr>
                <w:color w:val="000000" w:themeColor="text1"/>
                <w14:textFill>
                  <w14:solidFill>
                    <w14:schemeClr w14:val="tx1"/>
                  </w14:solidFill>
                </w14:textFill>
              </w:rPr>
              <w:t>/</w:t>
            </w:r>
          </w:p>
        </w:tc>
      </w:tr>
      <w:tr w14:paraId="29EC2E8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273" w:type="pct"/>
            <w:vMerge w:val="continue"/>
            <w:vAlign w:val="center"/>
          </w:tcPr>
          <w:p w14:paraId="09EAD60B">
            <w:pPr>
              <w:pStyle w:val="278"/>
              <w:adjustRightInd w:val="0"/>
              <w:snapToGrid w:val="0"/>
              <w:spacing w:line="300" w:lineRule="exact"/>
              <w:rPr>
                <w:rFonts w:hint="eastAsia"/>
                <w:color w:val="000000" w:themeColor="text1"/>
                <w14:textFill>
                  <w14:solidFill>
                    <w14:schemeClr w14:val="tx1"/>
                  </w14:solidFill>
                </w14:textFill>
              </w:rPr>
            </w:pPr>
          </w:p>
        </w:tc>
        <w:tc>
          <w:tcPr>
            <w:tcW w:w="1144" w:type="pct"/>
            <w:vAlign w:val="center"/>
          </w:tcPr>
          <w:p w14:paraId="11222244">
            <w:pPr>
              <w:pStyle w:val="278"/>
              <w:adjustRightInd w:val="0"/>
              <w:snapToGrid w:val="0"/>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废油桶</w:t>
            </w:r>
          </w:p>
        </w:tc>
        <w:tc>
          <w:tcPr>
            <w:tcW w:w="1367" w:type="pct"/>
            <w:vMerge w:val="continue"/>
            <w:vAlign w:val="center"/>
          </w:tcPr>
          <w:p w14:paraId="65893C01">
            <w:pPr>
              <w:pStyle w:val="278"/>
              <w:adjustRightInd w:val="0"/>
              <w:snapToGrid w:val="0"/>
              <w:spacing w:line="300" w:lineRule="exact"/>
              <w:rPr>
                <w:rFonts w:hint="eastAsia"/>
                <w:color w:val="000000" w:themeColor="text1"/>
                <w14:textFill>
                  <w14:solidFill>
                    <w14:schemeClr w14:val="tx1"/>
                  </w14:solidFill>
                </w14:textFill>
              </w:rPr>
            </w:pPr>
          </w:p>
        </w:tc>
        <w:tc>
          <w:tcPr>
            <w:tcW w:w="506" w:type="pct"/>
          </w:tcPr>
          <w:p w14:paraId="5CCFE022">
            <w:pPr>
              <w:pStyle w:val="278"/>
              <w:adjustRightInd w:val="0"/>
              <w:snapToGrid w:val="0"/>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0.07t</w:t>
            </w:r>
            <w:r>
              <w:rPr>
                <w:color w:val="000000" w:themeColor="text1"/>
                <w14:textFill>
                  <w14:solidFill>
                    <w14:schemeClr w14:val="tx1"/>
                  </w14:solidFill>
                </w14:textFill>
              </w:rPr>
              <w:t>/a</w:t>
            </w:r>
          </w:p>
        </w:tc>
        <w:tc>
          <w:tcPr>
            <w:tcW w:w="658" w:type="pct"/>
          </w:tcPr>
          <w:p w14:paraId="2DD6562A">
            <w:pPr>
              <w:pStyle w:val="278"/>
              <w:adjustRightInd w:val="0"/>
              <w:snapToGrid w:val="0"/>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石油类</w:t>
            </w:r>
          </w:p>
        </w:tc>
        <w:tc>
          <w:tcPr>
            <w:tcW w:w="1052" w:type="pct"/>
          </w:tcPr>
          <w:p w14:paraId="12B44C9F">
            <w:pPr>
              <w:pStyle w:val="278"/>
              <w:adjustRightInd w:val="0"/>
              <w:snapToGrid w:val="0"/>
              <w:spacing w:line="300" w:lineRule="exact"/>
              <w:rPr>
                <w:rFonts w:hint="eastAsia"/>
                <w:color w:val="000000" w:themeColor="text1"/>
                <w14:textFill>
                  <w14:solidFill>
                    <w14:schemeClr w14:val="tx1"/>
                  </w14:solidFill>
                </w14:textFill>
              </w:rPr>
            </w:pPr>
            <w:r>
              <w:rPr>
                <w:color w:val="000000" w:themeColor="text1"/>
                <w14:textFill>
                  <w14:solidFill>
                    <w14:schemeClr w14:val="tx1"/>
                  </w14:solidFill>
                </w14:textFill>
              </w:rPr>
              <w:t>/</w:t>
            </w:r>
          </w:p>
        </w:tc>
      </w:tr>
      <w:tr w14:paraId="2F7ACE9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273" w:type="pct"/>
            <w:vMerge w:val="continue"/>
            <w:vAlign w:val="center"/>
          </w:tcPr>
          <w:p w14:paraId="64C2B94D">
            <w:pPr>
              <w:pStyle w:val="278"/>
              <w:adjustRightInd w:val="0"/>
              <w:snapToGrid w:val="0"/>
              <w:spacing w:line="300" w:lineRule="exact"/>
              <w:rPr>
                <w:rFonts w:hint="eastAsia"/>
                <w:color w:val="000000" w:themeColor="text1"/>
                <w14:textFill>
                  <w14:solidFill>
                    <w14:schemeClr w14:val="tx1"/>
                  </w14:solidFill>
                </w14:textFill>
              </w:rPr>
            </w:pPr>
          </w:p>
        </w:tc>
        <w:tc>
          <w:tcPr>
            <w:tcW w:w="1144" w:type="pct"/>
            <w:vAlign w:val="center"/>
          </w:tcPr>
          <w:p w14:paraId="1D4BB643">
            <w:pPr>
              <w:pStyle w:val="278"/>
              <w:adjustRightInd w:val="0"/>
              <w:snapToGrid w:val="0"/>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废分子筛</w:t>
            </w:r>
          </w:p>
        </w:tc>
        <w:tc>
          <w:tcPr>
            <w:tcW w:w="1367" w:type="pct"/>
            <w:vMerge w:val="continue"/>
            <w:vAlign w:val="center"/>
          </w:tcPr>
          <w:p w14:paraId="7C9BE268">
            <w:pPr>
              <w:pStyle w:val="278"/>
              <w:adjustRightInd w:val="0"/>
              <w:snapToGrid w:val="0"/>
              <w:spacing w:line="300" w:lineRule="exact"/>
              <w:rPr>
                <w:rFonts w:hint="eastAsia"/>
                <w:color w:val="000000" w:themeColor="text1"/>
                <w14:textFill>
                  <w14:solidFill>
                    <w14:schemeClr w14:val="tx1"/>
                  </w14:solidFill>
                </w14:textFill>
              </w:rPr>
            </w:pPr>
          </w:p>
        </w:tc>
        <w:tc>
          <w:tcPr>
            <w:tcW w:w="506" w:type="pct"/>
          </w:tcPr>
          <w:p w14:paraId="0349A739">
            <w:pPr>
              <w:pStyle w:val="278"/>
              <w:adjustRightInd w:val="0"/>
              <w:snapToGrid w:val="0"/>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2m</w:t>
            </w:r>
            <w:r>
              <w:rPr>
                <w:rFonts w:hint="eastAsia"/>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/次</w:t>
            </w:r>
          </w:p>
        </w:tc>
        <w:tc>
          <w:tcPr>
            <w:tcW w:w="658" w:type="pct"/>
          </w:tcPr>
          <w:p w14:paraId="3BA0D780">
            <w:pPr>
              <w:pStyle w:val="278"/>
              <w:adjustRightInd w:val="0"/>
              <w:snapToGrid w:val="0"/>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石油类</w:t>
            </w:r>
          </w:p>
        </w:tc>
        <w:tc>
          <w:tcPr>
            <w:tcW w:w="1052" w:type="pct"/>
          </w:tcPr>
          <w:p w14:paraId="24782045">
            <w:pPr>
              <w:pStyle w:val="278"/>
              <w:adjustRightInd w:val="0"/>
              <w:snapToGrid w:val="0"/>
              <w:spacing w:line="300" w:lineRule="exact"/>
              <w:rPr>
                <w:rFonts w:hint="eastAsia"/>
                <w:color w:val="000000" w:themeColor="text1"/>
                <w14:textFill>
                  <w14:solidFill>
                    <w14:schemeClr w14:val="tx1"/>
                  </w14:solidFill>
                </w14:textFill>
              </w:rPr>
            </w:pPr>
            <w:r>
              <w:rPr>
                <w:color w:val="000000" w:themeColor="text1"/>
                <w14:textFill>
                  <w14:solidFill>
                    <w14:schemeClr w14:val="tx1"/>
                  </w14:solidFill>
                </w14:textFill>
              </w:rPr>
              <w:t>/</w:t>
            </w:r>
          </w:p>
        </w:tc>
      </w:tr>
      <w:tr w14:paraId="2A94F7D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273" w:type="pct"/>
            <w:vMerge w:val="continue"/>
            <w:vAlign w:val="center"/>
          </w:tcPr>
          <w:p w14:paraId="155409F7">
            <w:pPr>
              <w:pStyle w:val="278"/>
              <w:adjustRightInd w:val="0"/>
              <w:snapToGrid w:val="0"/>
              <w:spacing w:line="300" w:lineRule="exact"/>
              <w:rPr>
                <w:rFonts w:hint="eastAsia"/>
                <w:color w:val="000000" w:themeColor="text1"/>
                <w14:textFill>
                  <w14:solidFill>
                    <w14:schemeClr w14:val="tx1"/>
                  </w14:solidFill>
                </w14:textFill>
              </w:rPr>
            </w:pPr>
          </w:p>
        </w:tc>
        <w:tc>
          <w:tcPr>
            <w:tcW w:w="1144" w:type="pct"/>
            <w:vAlign w:val="center"/>
          </w:tcPr>
          <w:p w14:paraId="540F086B">
            <w:pPr>
              <w:pStyle w:val="278"/>
              <w:adjustRightInd w:val="0"/>
              <w:snapToGrid w:val="0"/>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废含油抹布和劳保用品</w:t>
            </w:r>
          </w:p>
        </w:tc>
        <w:tc>
          <w:tcPr>
            <w:tcW w:w="1367" w:type="pct"/>
            <w:vMerge w:val="continue"/>
            <w:vAlign w:val="center"/>
          </w:tcPr>
          <w:p w14:paraId="5FC2D9D8">
            <w:pPr>
              <w:pStyle w:val="278"/>
              <w:adjustRightInd w:val="0"/>
              <w:snapToGrid w:val="0"/>
              <w:spacing w:line="300" w:lineRule="exact"/>
              <w:rPr>
                <w:rFonts w:hint="eastAsia"/>
                <w:color w:val="000000" w:themeColor="text1"/>
                <w14:textFill>
                  <w14:solidFill>
                    <w14:schemeClr w14:val="tx1"/>
                  </w14:solidFill>
                </w14:textFill>
              </w:rPr>
            </w:pPr>
          </w:p>
        </w:tc>
        <w:tc>
          <w:tcPr>
            <w:tcW w:w="506" w:type="pct"/>
          </w:tcPr>
          <w:p w14:paraId="512C1FAA">
            <w:pPr>
              <w:pStyle w:val="278"/>
              <w:adjustRightInd w:val="0"/>
              <w:snapToGrid w:val="0"/>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0.05t</w:t>
            </w:r>
            <w:r>
              <w:rPr>
                <w:color w:val="000000" w:themeColor="text1"/>
                <w14:textFill>
                  <w14:solidFill>
                    <w14:schemeClr w14:val="tx1"/>
                  </w14:solidFill>
                </w14:textFill>
              </w:rPr>
              <w:t>/a</w:t>
            </w:r>
          </w:p>
        </w:tc>
        <w:tc>
          <w:tcPr>
            <w:tcW w:w="658" w:type="pct"/>
          </w:tcPr>
          <w:p w14:paraId="24C7A1B0">
            <w:pPr>
              <w:pStyle w:val="278"/>
              <w:adjustRightInd w:val="0"/>
              <w:snapToGrid w:val="0"/>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石油类</w:t>
            </w:r>
          </w:p>
        </w:tc>
        <w:tc>
          <w:tcPr>
            <w:tcW w:w="1052" w:type="pct"/>
          </w:tcPr>
          <w:p w14:paraId="1992AA1E">
            <w:pPr>
              <w:pStyle w:val="278"/>
              <w:adjustRightInd w:val="0"/>
              <w:snapToGrid w:val="0"/>
              <w:spacing w:line="300" w:lineRule="exact"/>
              <w:rPr>
                <w:rFonts w:hint="eastAsia"/>
                <w:color w:val="000000" w:themeColor="text1"/>
                <w14:textFill>
                  <w14:solidFill>
                    <w14:schemeClr w14:val="tx1"/>
                  </w14:solidFill>
                </w14:textFill>
              </w:rPr>
            </w:pPr>
            <w:r>
              <w:rPr>
                <w:color w:val="000000" w:themeColor="text1"/>
                <w14:textFill>
                  <w14:solidFill>
                    <w14:schemeClr w14:val="tx1"/>
                  </w14:solidFill>
                </w14:textFill>
              </w:rPr>
              <w:t>/</w:t>
            </w:r>
          </w:p>
        </w:tc>
      </w:tr>
      <w:tr w14:paraId="5C62EBB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273" w:type="pct"/>
            <w:vMerge w:val="continue"/>
            <w:vAlign w:val="center"/>
          </w:tcPr>
          <w:p w14:paraId="2FF41299">
            <w:pPr>
              <w:pStyle w:val="278"/>
              <w:adjustRightInd w:val="0"/>
              <w:snapToGrid w:val="0"/>
              <w:spacing w:line="300" w:lineRule="exact"/>
              <w:rPr>
                <w:rFonts w:hint="eastAsia"/>
                <w:color w:val="000000" w:themeColor="text1"/>
                <w14:textFill>
                  <w14:solidFill>
                    <w14:schemeClr w14:val="tx1"/>
                  </w14:solidFill>
                </w14:textFill>
              </w:rPr>
            </w:pPr>
          </w:p>
        </w:tc>
        <w:tc>
          <w:tcPr>
            <w:tcW w:w="1144" w:type="pct"/>
            <w:vAlign w:val="center"/>
          </w:tcPr>
          <w:p w14:paraId="417A5338">
            <w:pPr>
              <w:pStyle w:val="278"/>
              <w:adjustRightInd w:val="0"/>
              <w:snapToGrid w:val="0"/>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沾油废防渗材料</w:t>
            </w:r>
          </w:p>
        </w:tc>
        <w:tc>
          <w:tcPr>
            <w:tcW w:w="1367" w:type="pct"/>
            <w:vMerge w:val="continue"/>
            <w:vAlign w:val="center"/>
          </w:tcPr>
          <w:p w14:paraId="0CD76ACE">
            <w:pPr>
              <w:pStyle w:val="278"/>
              <w:adjustRightInd w:val="0"/>
              <w:snapToGrid w:val="0"/>
              <w:spacing w:line="300" w:lineRule="exact"/>
              <w:rPr>
                <w:rFonts w:hint="eastAsia"/>
                <w:color w:val="000000" w:themeColor="text1"/>
                <w14:textFill>
                  <w14:solidFill>
                    <w14:schemeClr w14:val="tx1"/>
                  </w14:solidFill>
                </w14:textFill>
              </w:rPr>
            </w:pPr>
          </w:p>
        </w:tc>
        <w:tc>
          <w:tcPr>
            <w:tcW w:w="506" w:type="pct"/>
          </w:tcPr>
          <w:p w14:paraId="3F29240C">
            <w:pPr>
              <w:pStyle w:val="278"/>
              <w:adjustRightInd w:val="0"/>
              <w:snapToGrid w:val="0"/>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0.84t</w:t>
            </w:r>
            <w:r>
              <w:rPr>
                <w:color w:val="000000" w:themeColor="text1"/>
                <w14:textFill>
                  <w14:solidFill>
                    <w14:schemeClr w14:val="tx1"/>
                  </w14:solidFill>
                </w14:textFill>
              </w:rPr>
              <w:t>/a</w:t>
            </w:r>
          </w:p>
        </w:tc>
        <w:tc>
          <w:tcPr>
            <w:tcW w:w="658" w:type="pct"/>
          </w:tcPr>
          <w:p w14:paraId="2858B794">
            <w:pPr>
              <w:pStyle w:val="278"/>
              <w:adjustRightInd w:val="0"/>
              <w:snapToGrid w:val="0"/>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石油类</w:t>
            </w:r>
          </w:p>
        </w:tc>
        <w:tc>
          <w:tcPr>
            <w:tcW w:w="1052" w:type="pct"/>
          </w:tcPr>
          <w:p w14:paraId="6E876CB9">
            <w:pPr>
              <w:pStyle w:val="278"/>
              <w:adjustRightInd w:val="0"/>
              <w:snapToGrid w:val="0"/>
              <w:spacing w:line="300" w:lineRule="exact"/>
              <w:rPr>
                <w:rFonts w:hint="eastAsia"/>
                <w:color w:val="000000" w:themeColor="text1"/>
                <w14:textFill>
                  <w14:solidFill>
                    <w14:schemeClr w14:val="tx1"/>
                  </w14:solidFill>
                </w14:textFill>
              </w:rPr>
            </w:pPr>
            <w:r>
              <w:rPr>
                <w:color w:val="000000" w:themeColor="text1"/>
                <w14:textFill>
                  <w14:solidFill>
                    <w14:schemeClr w14:val="tx1"/>
                  </w14:solidFill>
                </w14:textFill>
              </w:rPr>
              <w:t>/</w:t>
            </w:r>
          </w:p>
        </w:tc>
      </w:tr>
      <w:tr w14:paraId="208D134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273" w:type="pct"/>
            <w:vMerge w:val="continue"/>
            <w:vAlign w:val="center"/>
          </w:tcPr>
          <w:p w14:paraId="59FABFA6">
            <w:pPr>
              <w:pStyle w:val="278"/>
              <w:adjustRightInd w:val="0"/>
              <w:snapToGrid w:val="0"/>
              <w:spacing w:line="300" w:lineRule="exact"/>
              <w:rPr>
                <w:rFonts w:hint="eastAsia"/>
                <w:color w:val="000000" w:themeColor="text1"/>
                <w14:textFill>
                  <w14:solidFill>
                    <w14:schemeClr w14:val="tx1"/>
                  </w14:solidFill>
                </w14:textFill>
              </w:rPr>
            </w:pPr>
          </w:p>
        </w:tc>
        <w:tc>
          <w:tcPr>
            <w:tcW w:w="1144" w:type="pct"/>
            <w:vAlign w:val="center"/>
          </w:tcPr>
          <w:p w14:paraId="0397252A">
            <w:pPr>
              <w:pStyle w:val="278"/>
              <w:adjustRightInd w:val="0"/>
              <w:snapToGrid w:val="0"/>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生活垃圾</w:t>
            </w:r>
          </w:p>
        </w:tc>
        <w:tc>
          <w:tcPr>
            <w:tcW w:w="1367" w:type="pct"/>
            <w:vAlign w:val="center"/>
          </w:tcPr>
          <w:p w14:paraId="58797846">
            <w:pPr>
              <w:pStyle w:val="278"/>
              <w:adjustRightInd w:val="0"/>
              <w:snapToGrid w:val="0"/>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送至吉木萨尔县生活垃圾填埋场</w:t>
            </w:r>
          </w:p>
        </w:tc>
        <w:tc>
          <w:tcPr>
            <w:tcW w:w="506" w:type="pct"/>
          </w:tcPr>
          <w:p w14:paraId="4708023A">
            <w:pPr>
              <w:pStyle w:val="278"/>
              <w:adjustRightInd w:val="0"/>
              <w:snapToGrid w:val="0"/>
              <w:spacing w:line="3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19.5t/a</w:t>
            </w:r>
          </w:p>
        </w:tc>
        <w:tc>
          <w:tcPr>
            <w:tcW w:w="658" w:type="pct"/>
            <w:vAlign w:val="center"/>
          </w:tcPr>
          <w:p w14:paraId="194A3B06">
            <w:pPr>
              <w:pStyle w:val="278"/>
              <w:adjustRightInd w:val="0"/>
              <w:snapToGrid w:val="0"/>
              <w:spacing w:line="300" w:lineRule="exact"/>
              <w:rPr>
                <w:rFonts w:hint="eastAsia"/>
                <w:color w:val="000000" w:themeColor="text1"/>
                <w14:textFill>
                  <w14:solidFill>
                    <w14:schemeClr w14:val="tx1"/>
                  </w14:solidFill>
                </w14:textFill>
              </w:rPr>
            </w:pPr>
            <w:r>
              <w:rPr>
                <w:color w:val="000000" w:themeColor="text1"/>
                <w14:textFill>
                  <w14:solidFill>
                    <w14:schemeClr w14:val="tx1"/>
                  </w14:solidFill>
                </w14:textFill>
              </w:rPr>
              <w:t>/</w:t>
            </w:r>
          </w:p>
        </w:tc>
        <w:tc>
          <w:tcPr>
            <w:tcW w:w="1052" w:type="pct"/>
            <w:vAlign w:val="center"/>
          </w:tcPr>
          <w:p w14:paraId="4FC70163">
            <w:pPr>
              <w:pStyle w:val="278"/>
              <w:adjustRightInd w:val="0"/>
              <w:snapToGrid w:val="0"/>
              <w:spacing w:line="300" w:lineRule="exact"/>
              <w:rPr>
                <w:rFonts w:hint="eastAsia"/>
                <w:color w:val="000000" w:themeColor="text1"/>
                <w14:textFill>
                  <w14:solidFill>
                    <w14:schemeClr w14:val="tx1"/>
                  </w14:solidFill>
                </w14:textFill>
              </w:rPr>
            </w:pPr>
            <w:r>
              <w:rPr>
                <w:color w:val="000000" w:themeColor="text1"/>
                <w14:textFill>
                  <w14:solidFill>
                    <w14:schemeClr w14:val="tx1"/>
                  </w14:solidFill>
                </w14:textFill>
              </w:rPr>
              <w:t>/</w:t>
            </w:r>
          </w:p>
        </w:tc>
      </w:tr>
    </w:tbl>
    <w:p w14:paraId="5F284162">
      <w:pPr>
        <w:pStyle w:val="117"/>
        <w:ind w:firstLine="480"/>
        <w:rPr>
          <w:rFonts w:hint="eastAsia"/>
          <w:color w:val="000000" w:themeColor="text1"/>
          <w14:textFill>
            <w14:solidFill>
              <w14:schemeClr w14:val="tx1"/>
            </w14:solidFill>
          </w14:textFill>
        </w:rPr>
        <w:sectPr>
          <w:pgSz w:w="16838" w:h="11906" w:orient="landscape"/>
          <w:pgMar w:top="1588" w:right="1418" w:bottom="1588" w:left="1418" w:header="1020" w:footer="1020" w:gutter="0"/>
          <w:cols w:space="720" w:num="1"/>
          <w:docGrid w:type="lines" w:linePitch="312" w:charSpace="0"/>
        </w:sectPr>
      </w:pPr>
    </w:p>
    <w:p w14:paraId="26614337">
      <w:pPr>
        <w:pStyle w:val="2"/>
        <w:rPr>
          <w:rFonts w:hint="eastAsia"/>
          <w:color w:val="000000" w:themeColor="text1"/>
          <w14:textFill>
            <w14:solidFill>
              <w14:schemeClr w14:val="tx1"/>
            </w14:solidFill>
          </w14:textFill>
        </w:rPr>
      </w:pPr>
      <w:bookmarkStart w:id="837" w:name="_Toc216260326"/>
      <w:r>
        <w:rPr>
          <w:rFonts w:hint="eastAsia"/>
          <w:color w:val="000000" w:themeColor="text1"/>
          <w14:textFill>
            <w14:solidFill>
              <w14:schemeClr w14:val="tx1"/>
            </w14:solidFill>
          </w14:textFill>
        </w:rPr>
        <w:t>环境监测与监控</w:t>
      </w:r>
      <w:bookmarkEnd w:id="837"/>
    </w:p>
    <w:p w14:paraId="7C5C5D0F">
      <w:pPr>
        <w:pStyle w:val="4"/>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施工期</w:t>
      </w:r>
      <w:r>
        <w:rPr>
          <w:color w:val="000000" w:themeColor="text1"/>
          <w14:textFill>
            <w14:solidFill>
              <w14:schemeClr w14:val="tx1"/>
            </w14:solidFill>
          </w14:textFill>
        </w:rPr>
        <w:t>开展环境工程现场监理</w:t>
      </w:r>
      <w:r>
        <w:rPr>
          <w:rFonts w:hint="eastAsia"/>
          <w:color w:val="000000" w:themeColor="text1"/>
          <w14:textFill>
            <w14:solidFill>
              <w14:schemeClr w14:val="tx1"/>
            </w14:solidFill>
          </w14:textFill>
        </w:rPr>
        <w:t>建议</w:t>
      </w:r>
    </w:p>
    <w:p w14:paraId="7E6AFE9C">
      <w:pPr>
        <w:pStyle w:val="117"/>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为减轻</w:t>
      </w:r>
      <w:r>
        <w:rPr>
          <w:color w:val="000000" w:themeColor="text1"/>
          <w14:textFill>
            <w14:solidFill>
              <w14:schemeClr w14:val="tx1"/>
            </w14:solidFill>
          </w14:textFill>
        </w:rPr>
        <w:t>对环境的影响，将环境管理制度从事后管理转变为全过程管理，建议实施环境监理。</w:t>
      </w:r>
    </w:p>
    <w:p w14:paraId="69B691BE">
      <w:pPr>
        <w:pStyle w:val="117"/>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由于建设单位</w:t>
      </w:r>
      <w:r>
        <w:rPr>
          <w:color w:val="000000" w:themeColor="text1"/>
          <w14:textFill>
            <w14:solidFill>
              <w14:schemeClr w14:val="tx1"/>
            </w14:solidFill>
          </w14:textFill>
        </w:rPr>
        <w:t>聘请相关环境监理</w:t>
      </w:r>
      <w:r>
        <w:rPr>
          <w:rFonts w:hint="eastAsia"/>
          <w:color w:val="000000" w:themeColor="text1"/>
          <w14:textFill>
            <w14:solidFill>
              <w14:schemeClr w14:val="tx1"/>
            </w14:solidFill>
          </w14:textFill>
        </w:rPr>
        <w:t>机构</w:t>
      </w:r>
      <w:r>
        <w:rPr>
          <w:color w:val="000000" w:themeColor="text1"/>
          <w14:textFill>
            <w14:solidFill>
              <w14:schemeClr w14:val="tx1"/>
            </w14:solidFill>
          </w14:textFill>
        </w:rPr>
        <w:t>对施工单位</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承包商、供应商和</w:t>
      </w:r>
      <w:r>
        <w:rPr>
          <w:rFonts w:hint="eastAsia"/>
          <w:color w:val="000000" w:themeColor="text1"/>
          <w14:textFill>
            <w14:solidFill>
              <w14:schemeClr w14:val="tx1"/>
            </w14:solidFill>
          </w14:textFill>
        </w:rPr>
        <w:t>中国石油新疆油田分公司</w:t>
      </w:r>
      <w:r>
        <w:rPr>
          <w:color w:val="000000" w:themeColor="text1"/>
          <w14:textFill>
            <w14:solidFill>
              <w14:schemeClr w14:val="tx1"/>
            </w14:solidFill>
          </w14:textFill>
        </w:rPr>
        <w:t>环保法律法规、制度、标准、规范的情况</w:t>
      </w:r>
      <w:r>
        <w:rPr>
          <w:rFonts w:hint="eastAsia"/>
          <w:color w:val="000000" w:themeColor="text1"/>
          <w14:textFill>
            <w14:solidFill>
              <w14:schemeClr w14:val="tx1"/>
            </w14:solidFill>
          </w14:textFill>
        </w:rPr>
        <w:t>依法</w:t>
      </w:r>
      <w:r>
        <w:rPr>
          <w:color w:val="000000" w:themeColor="text1"/>
          <w14:textFill>
            <w14:solidFill>
              <w14:schemeClr w14:val="tx1"/>
            </w14:solidFill>
          </w14:textFill>
        </w:rPr>
        <w:t>进行监督检查，特别是加强施工现场的环境监理检查工作，目的是协助建设单位落实</w:t>
      </w:r>
      <w:r>
        <w:rPr>
          <w:rFonts w:hint="eastAsia"/>
          <w:color w:val="000000" w:themeColor="text1"/>
          <w14:textFill>
            <w14:solidFill>
              <w14:schemeClr w14:val="tx1"/>
            </w14:solidFill>
          </w14:textFill>
        </w:rPr>
        <w:t>施工</w:t>
      </w:r>
      <w:r>
        <w:rPr>
          <w:color w:val="000000" w:themeColor="text1"/>
          <w14:textFill>
            <w14:solidFill>
              <w14:schemeClr w14:val="tx1"/>
            </w14:solidFill>
          </w14:textFill>
        </w:rPr>
        <w:t>期间的各项环境保护要求和施工合同中的环保规定，确保</w:t>
      </w:r>
      <w:r>
        <w:rPr>
          <w:rFonts w:hint="eastAsia"/>
          <w:color w:val="000000" w:themeColor="text1"/>
          <w14:textFill>
            <w14:solidFill>
              <w14:schemeClr w14:val="tx1"/>
            </w14:solidFill>
          </w14:textFill>
        </w:rPr>
        <w:t>项目</w:t>
      </w:r>
      <w:r>
        <w:rPr>
          <w:color w:val="000000" w:themeColor="text1"/>
          <w14:textFill>
            <w14:solidFill>
              <w14:schemeClr w14:val="tx1"/>
            </w14:solidFill>
          </w14:textFill>
        </w:rPr>
        <w:t>建设符合有关相关要求。因此</w:t>
      </w:r>
      <w:r>
        <w:rPr>
          <w:rFonts w:hint="eastAsia"/>
          <w:color w:val="000000" w:themeColor="text1"/>
          <w14:textFill>
            <w14:solidFill>
              <w14:schemeClr w14:val="tx1"/>
            </w14:solidFill>
          </w14:textFill>
        </w:rPr>
        <w:t>建议</w:t>
      </w:r>
      <w:r>
        <w:rPr>
          <w:color w:val="000000" w:themeColor="text1"/>
          <w14:textFill>
            <w14:solidFill>
              <w14:schemeClr w14:val="tx1"/>
            </w14:solidFill>
          </w14:textFill>
        </w:rPr>
        <w:t>建设单位外聘环保专业人员，对</w:t>
      </w:r>
      <w:r>
        <w:rPr>
          <w:rFonts w:hint="eastAsia"/>
          <w:color w:val="000000" w:themeColor="text1"/>
          <w14:textFill>
            <w14:solidFill>
              <w14:schemeClr w14:val="tx1"/>
            </w14:solidFill>
          </w14:textFill>
        </w:rPr>
        <w:t>各</w:t>
      </w:r>
      <w:r>
        <w:rPr>
          <w:color w:val="000000" w:themeColor="text1"/>
          <w14:textFill>
            <w14:solidFill>
              <w14:schemeClr w14:val="tx1"/>
            </w14:solidFill>
          </w14:textFill>
        </w:rPr>
        <w:t>作业</w:t>
      </w:r>
      <w:r>
        <w:rPr>
          <w:rFonts w:hint="eastAsia"/>
          <w:color w:val="000000" w:themeColor="text1"/>
          <w14:textFill>
            <w14:solidFill>
              <w14:schemeClr w14:val="tx1"/>
            </w14:solidFill>
          </w14:textFill>
        </w:rPr>
        <w:t>阶段</w:t>
      </w:r>
      <w:r>
        <w:rPr>
          <w:color w:val="000000" w:themeColor="text1"/>
          <w14:textFill>
            <w14:solidFill>
              <w14:schemeClr w14:val="tx1"/>
            </w14:solidFill>
          </w14:textFill>
        </w:rPr>
        <w:t>进行环境监理工作。</w:t>
      </w:r>
      <w:bookmarkEnd w:id="831"/>
      <w:bookmarkEnd w:id="832"/>
      <w:bookmarkEnd w:id="833"/>
    </w:p>
    <w:p w14:paraId="1C021598">
      <w:pPr>
        <w:pStyle w:val="117"/>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环境</w:t>
      </w:r>
      <w:r>
        <w:rPr>
          <w:color w:val="000000" w:themeColor="text1"/>
          <w14:textFill>
            <w14:solidFill>
              <w14:schemeClr w14:val="tx1"/>
            </w14:solidFill>
          </w14:textFill>
        </w:rPr>
        <w:t>监理人员要求</w:t>
      </w:r>
    </w:p>
    <w:p w14:paraId="17032D75">
      <w:pPr>
        <w:pStyle w:val="117"/>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①环境</w:t>
      </w:r>
      <w:r>
        <w:rPr>
          <w:color w:val="000000" w:themeColor="text1"/>
          <w14:textFill>
            <w14:solidFill>
              <w14:schemeClr w14:val="tx1"/>
            </w14:solidFill>
          </w14:textFill>
        </w:rPr>
        <w:t>监理人员必须具备环保专业</w:t>
      </w:r>
      <w:r>
        <w:rPr>
          <w:rFonts w:hint="eastAsia"/>
          <w:color w:val="000000" w:themeColor="text1"/>
          <w14:textFill>
            <w14:solidFill>
              <w14:schemeClr w14:val="tx1"/>
            </w14:solidFill>
          </w14:textFill>
        </w:rPr>
        <w:t>知识</w:t>
      </w:r>
      <w:r>
        <w:rPr>
          <w:color w:val="000000" w:themeColor="text1"/>
          <w14:textFill>
            <w14:solidFill>
              <w14:schemeClr w14:val="tx1"/>
            </w14:solidFill>
          </w14:textFill>
        </w:rPr>
        <w:t>，</w:t>
      </w:r>
      <w:bookmarkStart w:id="838" w:name="_Hlk33530010"/>
      <w:r>
        <w:rPr>
          <w:rFonts w:hint="eastAsia"/>
          <w:color w:val="000000" w:themeColor="text1"/>
          <w14:textFill>
            <w14:solidFill>
              <w14:schemeClr w14:val="tx1"/>
            </w14:solidFill>
          </w14:textFill>
        </w:rPr>
        <w:t>精通</w:t>
      </w:r>
      <w:r>
        <w:rPr>
          <w:color w:val="000000" w:themeColor="text1"/>
          <w14:textFill>
            <w14:solidFill>
              <w14:schemeClr w14:val="tx1"/>
            </w14:solidFill>
          </w14:textFill>
        </w:rPr>
        <w:t>国家环境</w:t>
      </w:r>
      <w:r>
        <w:rPr>
          <w:rFonts w:hint="eastAsia"/>
          <w:color w:val="000000" w:themeColor="text1"/>
          <w14:textFill>
            <w14:solidFill>
              <w14:schemeClr w14:val="tx1"/>
            </w14:solidFill>
          </w14:textFill>
        </w:rPr>
        <w:t>保护相关法律法规、标准</w:t>
      </w:r>
      <w:bookmarkStart w:id="839" w:name="OLE_LINK199"/>
      <w:r>
        <w:rPr>
          <w:color w:val="000000" w:themeColor="text1"/>
          <w14:textFill>
            <w14:solidFill>
              <w14:schemeClr w14:val="tx1"/>
            </w14:solidFill>
          </w14:textFill>
        </w:rPr>
        <w:t>和政策</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了解当地</w:t>
      </w:r>
      <w:bookmarkStart w:id="840" w:name="_Hlk33529977"/>
      <w:r>
        <w:rPr>
          <w:rFonts w:hint="eastAsia"/>
          <w:color w:val="000000" w:themeColor="text1"/>
          <w14:textFill>
            <w14:solidFill>
              <w14:schemeClr w14:val="tx1"/>
            </w14:solidFill>
          </w14:textFill>
        </w:rPr>
        <w:t>生态环境行政主管部门</w:t>
      </w:r>
      <w:bookmarkEnd w:id="840"/>
      <w:r>
        <w:rPr>
          <w:color w:val="000000" w:themeColor="text1"/>
          <w14:textFill>
            <w14:solidFill>
              <w14:schemeClr w14:val="tx1"/>
            </w14:solidFill>
          </w14:textFill>
        </w:rPr>
        <w:t>的</w:t>
      </w:r>
      <w:r>
        <w:rPr>
          <w:rFonts w:hint="eastAsia"/>
          <w:color w:val="000000" w:themeColor="text1"/>
          <w14:textFill>
            <w14:solidFill>
              <w14:schemeClr w14:val="tx1"/>
            </w14:solidFill>
          </w14:textFill>
        </w:rPr>
        <w:t>环保</w:t>
      </w:r>
      <w:r>
        <w:rPr>
          <w:color w:val="000000" w:themeColor="text1"/>
          <w14:textFill>
            <w14:solidFill>
              <w14:schemeClr w14:val="tx1"/>
            </w14:solidFill>
          </w14:textFill>
        </w:rPr>
        <w:t>要求</w:t>
      </w:r>
      <w:bookmarkEnd w:id="838"/>
      <w:r>
        <w:rPr>
          <w:color w:val="000000" w:themeColor="text1"/>
          <w14:textFill>
            <w14:solidFill>
              <w14:schemeClr w14:val="tx1"/>
            </w14:solidFill>
          </w14:textFill>
        </w:rPr>
        <w:t>。</w:t>
      </w:r>
    </w:p>
    <w:p w14:paraId="6FF38EAF">
      <w:pPr>
        <w:pStyle w:val="117"/>
        <w:spacing w:line="480" w:lineRule="exact"/>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②必须</w:t>
      </w:r>
      <w:r>
        <w:rPr>
          <w:color w:val="000000" w:themeColor="text1"/>
          <w14:textFill>
            <w14:solidFill>
              <w14:schemeClr w14:val="tx1"/>
            </w14:solidFill>
          </w14:textFill>
        </w:rPr>
        <w:t>接受</w:t>
      </w:r>
      <w:r>
        <w:rPr>
          <w:rFonts w:hint="eastAsia"/>
          <w:color w:val="000000" w:themeColor="text1"/>
          <w14:textFill>
            <w14:solidFill>
              <w14:schemeClr w14:val="tx1"/>
            </w14:solidFill>
          </w14:textFill>
        </w:rPr>
        <w:t>过HSE专门</w:t>
      </w:r>
      <w:r>
        <w:rPr>
          <w:color w:val="000000" w:themeColor="text1"/>
          <w14:textFill>
            <w14:solidFill>
              <w14:schemeClr w14:val="tx1"/>
            </w14:solidFill>
          </w14:textFill>
        </w:rPr>
        <w:t>培训，有较长的从事环保</w:t>
      </w:r>
      <w:r>
        <w:rPr>
          <w:rFonts w:hint="eastAsia"/>
          <w:color w:val="000000" w:themeColor="text1"/>
          <w14:textFill>
            <w14:solidFill>
              <w14:schemeClr w14:val="tx1"/>
            </w14:solidFill>
          </w14:textFill>
        </w:rPr>
        <w:t>工作经历。</w:t>
      </w:r>
    </w:p>
    <w:p w14:paraId="6DB5BDB7">
      <w:pPr>
        <w:pStyle w:val="117"/>
        <w:spacing w:line="480" w:lineRule="exact"/>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③具有</w:t>
      </w:r>
      <w:r>
        <w:rPr>
          <w:color w:val="000000" w:themeColor="text1"/>
          <w14:textFill>
            <w14:solidFill>
              <w14:schemeClr w14:val="tx1"/>
            </w14:solidFill>
          </w14:textFill>
        </w:rPr>
        <w:t>一定的油</w:t>
      </w:r>
      <w:r>
        <w:rPr>
          <w:rFonts w:hint="eastAsia"/>
          <w:color w:val="000000" w:themeColor="text1"/>
          <w14:textFill>
            <w14:solidFill>
              <w14:schemeClr w14:val="tx1"/>
            </w14:solidFill>
          </w14:textFill>
        </w:rPr>
        <w:t>气</w:t>
      </w:r>
      <w:r>
        <w:rPr>
          <w:color w:val="000000" w:themeColor="text1"/>
          <w14:textFill>
            <w14:solidFill>
              <w14:schemeClr w14:val="tx1"/>
            </w14:solidFill>
          </w14:textFill>
        </w:rPr>
        <w:t>田开发和输油气管道建设的现场施工经验。</w:t>
      </w:r>
    </w:p>
    <w:p w14:paraId="703C1648">
      <w:pPr>
        <w:pStyle w:val="117"/>
        <w:spacing w:line="480" w:lineRule="exact"/>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（2</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环境监理人员</w:t>
      </w:r>
      <w:r>
        <w:rPr>
          <w:color w:val="000000" w:themeColor="text1"/>
          <w14:textFill>
            <w14:solidFill>
              <w14:schemeClr w14:val="tx1"/>
            </w14:solidFill>
          </w14:textFill>
        </w:rPr>
        <w:t>主要职责</w:t>
      </w:r>
    </w:p>
    <w:p w14:paraId="4C2FAB49">
      <w:pPr>
        <w:pStyle w:val="117"/>
        <w:spacing w:line="480" w:lineRule="exact"/>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①监督</w:t>
      </w:r>
      <w:r>
        <w:rPr>
          <w:color w:val="000000" w:themeColor="text1"/>
          <w14:textFill>
            <w14:solidFill>
              <w14:schemeClr w14:val="tx1"/>
            </w14:solidFill>
          </w14:textFill>
        </w:rPr>
        <w:t>施工现场对</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环境管理方案</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的落实。</w:t>
      </w:r>
    </w:p>
    <w:p w14:paraId="5BCAF559">
      <w:pPr>
        <w:pStyle w:val="117"/>
        <w:spacing w:line="480" w:lineRule="exact"/>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②协助HSE部门</w:t>
      </w:r>
      <w:r>
        <w:rPr>
          <w:color w:val="000000" w:themeColor="text1"/>
          <w14:textFill>
            <w14:solidFill>
              <w14:schemeClr w14:val="tx1"/>
            </w14:solidFill>
          </w14:textFill>
        </w:rPr>
        <w:t>负责人汇报环境管理现状，并</w:t>
      </w:r>
      <w:r>
        <w:rPr>
          <w:rFonts w:hint="eastAsia"/>
          <w:color w:val="000000" w:themeColor="text1"/>
          <w14:textFill>
            <w14:solidFill>
              <w14:schemeClr w14:val="tx1"/>
            </w14:solidFill>
          </w14:textFill>
        </w:rPr>
        <w:t>根据发现</w:t>
      </w:r>
      <w:r>
        <w:rPr>
          <w:color w:val="000000" w:themeColor="text1"/>
          <w14:textFill>
            <w14:solidFill>
              <w14:schemeClr w14:val="tx1"/>
            </w14:solidFill>
          </w14:textFill>
        </w:rPr>
        <w:t>的问题提出合理</w:t>
      </w:r>
      <w:r>
        <w:rPr>
          <w:rFonts w:hint="eastAsia"/>
          <w:color w:val="000000" w:themeColor="text1"/>
          <w14:textFill>
            <w14:solidFill>
              <w14:schemeClr w14:val="tx1"/>
            </w14:solidFill>
          </w14:textFill>
        </w:rPr>
        <w:t>化</w:t>
      </w:r>
      <w:r>
        <w:rPr>
          <w:color w:val="000000" w:themeColor="text1"/>
          <w14:textFill>
            <w14:solidFill>
              <w14:schemeClr w14:val="tx1"/>
            </w14:solidFill>
          </w14:textFill>
        </w:rPr>
        <w:t>建议。</w:t>
      </w:r>
    </w:p>
    <w:p w14:paraId="14332B68">
      <w:pPr>
        <w:pStyle w:val="117"/>
        <w:spacing w:line="480" w:lineRule="exact"/>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③协助HSE部门</w:t>
      </w:r>
      <w:r>
        <w:rPr>
          <w:color w:val="000000" w:themeColor="text1"/>
          <w14:textFill>
            <w14:solidFill>
              <w14:schemeClr w14:val="tx1"/>
            </w14:solidFill>
          </w14:textFill>
        </w:rPr>
        <w:t>负责人</w:t>
      </w:r>
      <w:r>
        <w:rPr>
          <w:rFonts w:hint="eastAsia"/>
          <w:color w:val="000000" w:themeColor="text1"/>
          <w14:textFill>
            <w14:solidFill>
              <w14:schemeClr w14:val="tx1"/>
            </w14:solidFill>
          </w14:textFill>
        </w:rPr>
        <w:t>宣传</w:t>
      </w:r>
      <w:r>
        <w:rPr>
          <w:color w:val="000000" w:themeColor="text1"/>
          <w14:textFill>
            <w14:solidFill>
              <w14:schemeClr w14:val="tx1"/>
            </w14:solidFill>
          </w14:textFill>
        </w:rPr>
        <w:t>贯彻国家和当地</w:t>
      </w:r>
      <w:r>
        <w:rPr>
          <w:rFonts w:hint="eastAsia"/>
          <w:color w:val="000000" w:themeColor="text1"/>
          <w14:textFill>
            <w14:solidFill>
              <w14:schemeClr w14:val="tx1"/>
            </w14:solidFill>
          </w14:textFill>
        </w:rPr>
        <w:t>政府</w:t>
      </w:r>
      <w:r>
        <w:rPr>
          <w:color w:val="000000" w:themeColor="text1"/>
          <w14:textFill>
            <w14:solidFill>
              <w14:schemeClr w14:val="tx1"/>
            </w14:solidFill>
          </w14:textFill>
        </w:rPr>
        <w:t>有关</w:t>
      </w:r>
      <w:r>
        <w:rPr>
          <w:rFonts w:hint="eastAsia"/>
          <w:color w:val="000000" w:themeColor="text1"/>
          <w14:textFill>
            <w14:solidFill>
              <w14:schemeClr w14:val="tx1"/>
            </w14:solidFill>
          </w14:textFill>
        </w:rPr>
        <w:t>环境</w:t>
      </w:r>
      <w:r>
        <w:rPr>
          <w:color w:val="000000" w:themeColor="text1"/>
          <w14:textFill>
            <w14:solidFill>
              <w14:schemeClr w14:val="tx1"/>
            </w14:solidFill>
          </w14:textFill>
        </w:rPr>
        <w:t>方面的法律法规</w:t>
      </w:r>
      <w:r>
        <w:rPr>
          <w:rFonts w:hint="eastAsia"/>
          <w:color w:val="000000" w:themeColor="text1"/>
          <w14:textFill>
            <w14:solidFill>
              <w14:schemeClr w14:val="tx1"/>
            </w14:solidFill>
          </w14:textFill>
        </w:rPr>
        <w:t>和政策</w:t>
      </w:r>
      <w:r>
        <w:rPr>
          <w:color w:val="000000" w:themeColor="text1"/>
          <w14:textFill>
            <w14:solidFill>
              <w14:schemeClr w14:val="tx1"/>
            </w14:solidFill>
          </w14:textFill>
        </w:rPr>
        <w:t>。</w:t>
      </w:r>
    </w:p>
    <w:p w14:paraId="0A14E09E">
      <w:pPr>
        <w:pStyle w:val="117"/>
        <w:spacing w:line="480" w:lineRule="exact"/>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④对HSE工作</w:t>
      </w:r>
      <w:r>
        <w:rPr>
          <w:color w:val="000000" w:themeColor="text1"/>
          <w14:textFill>
            <w14:solidFill>
              <w14:schemeClr w14:val="tx1"/>
            </w14:solidFill>
          </w14:textFill>
        </w:rPr>
        <w:t>的真实性、合法性、效益</w:t>
      </w:r>
      <w:r>
        <w:rPr>
          <w:rFonts w:hint="eastAsia"/>
          <w:color w:val="000000" w:themeColor="text1"/>
          <w14:textFill>
            <w14:solidFill>
              <w14:schemeClr w14:val="tx1"/>
            </w14:solidFill>
          </w14:textFill>
        </w:rPr>
        <w:t>性进行</w:t>
      </w:r>
      <w:r>
        <w:rPr>
          <w:color w:val="000000" w:themeColor="text1"/>
          <w14:textFill>
            <w14:solidFill>
              <w14:schemeClr w14:val="tx1"/>
            </w14:solidFill>
          </w14:textFill>
        </w:rPr>
        <w:t>审查，评价其责任，并提出</w:t>
      </w:r>
      <w:r>
        <w:rPr>
          <w:rFonts w:hint="eastAsia"/>
          <w:color w:val="000000" w:themeColor="text1"/>
          <w14:textFill>
            <w14:solidFill>
              <w14:schemeClr w14:val="tx1"/>
            </w14:solidFill>
          </w14:textFill>
        </w:rPr>
        <w:t>改进</w:t>
      </w:r>
      <w:r>
        <w:rPr>
          <w:color w:val="000000" w:themeColor="text1"/>
          <w14:textFill>
            <w14:solidFill>
              <w14:schemeClr w14:val="tx1"/>
            </w14:solidFill>
          </w14:textFill>
        </w:rPr>
        <w:t>意见</w:t>
      </w:r>
      <w:r>
        <w:rPr>
          <w:rFonts w:hint="eastAsia"/>
          <w:color w:val="000000" w:themeColor="text1"/>
          <w14:textFill>
            <w14:solidFill>
              <w14:schemeClr w14:val="tx1"/>
            </w14:solidFill>
          </w14:textFill>
        </w:rPr>
        <w:t>。</w:t>
      </w:r>
    </w:p>
    <w:p w14:paraId="5DF9CAD7">
      <w:pPr>
        <w:pStyle w:val="117"/>
        <w:spacing w:line="480" w:lineRule="exact"/>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环境</w:t>
      </w:r>
      <w:r>
        <w:rPr>
          <w:color w:val="000000" w:themeColor="text1"/>
          <w14:textFill>
            <w14:solidFill>
              <w14:schemeClr w14:val="tx1"/>
            </w14:solidFill>
          </w14:textFill>
        </w:rPr>
        <w:t>监理工作计划</w:t>
      </w:r>
      <w:r>
        <w:rPr>
          <w:rFonts w:hint="eastAsia"/>
          <w:color w:val="000000" w:themeColor="text1"/>
          <w14:textFill>
            <w14:solidFill>
              <w14:schemeClr w14:val="tx1"/>
            </w14:solidFill>
          </w14:textFill>
        </w:rPr>
        <w:t>及</w:t>
      </w:r>
      <w:r>
        <w:rPr>
          <w:color w:val="000000" w:themeColor="text1"/>
          <w14:textFill>
            <w14:solidFill>
              <w14:schemeClr w14:val="tx1"/>
            </w14:solidFill>
          </w14:textFill>
        </w:rPr>
        <w:t>重点</w:t>
      </w:r>
      <w:r>
        <w:rPr>
          <w:rFonts w:hint="eastAsia"/>
          <w:color w:val="000000" w:themeColor="text1"/>
          <w14:textFill>
            <w14:solidFill>
              <w14:schemeClr w14:val="tx1"/>
            </w14:solidFill>
          </w14:textFill>
        </w:rPr>
        <w:t>见表</w:t>
      </w:r>
      <w:r>
        <w:rPr>
          <w:color w:val="000000" w:themeColor="text1"/>
          <w14:textFill>
            <w14:solidFill>
              <w14:schemeClr w14:val="tx1"/>
            </w14:solidFill>
          </w14:textFill>
        </w:rPr>
        <w:t>7.5</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1</w:t>
      </w:r>
      <w:r>
        <w:rPr>
          <w:rFonts w:hint="eastAsia"/>
          <w:color w:val="000000" w:themeColor="text1"/>
          <w14:textFill>
            <w14:solidFill>
              <w14:schemeClr w14:val="tx1"/>
            </w14:solidFill>
          </w14:textFill>
        </w:rPr>
        <w:t>。</w:t>
      </w:r>
    </w:p>
    <w:p w14:paraId="52E771D8">
      <w:pPr>
        <w:pStyle w:val="109"/>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表</w:t>
      </w:r>
      <w:r>
        <w:rPr>
          <w:color w:val="000000" w:themeColor="text1"/>
          <w14:textFill>
            <w14:solidFill>
              <w14:schemeClr w14:val="tx1"/>
            </w14:solidFill>
          </w14:textFill>
        </w:rPr>
        <w:t>7.5</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1</w:t>
      </w:r>
      <w:r>
        <w:rPr>
          <w:rFonts w:hint="eastAsia"/>
          <w:color w:val="000000" w:themeColor="text1"/>
          <w14:textFill>
            <w14:solidFill>
              <w14:schemeClr w14:val="tx1"/>
            </w14:solidFill>
          </w14:textFill>
        </w:rPr>
        <w:t xml:space="preserve">  现场</w:t>
      </w:r>
      <w:r>
        <w:rPr>
          <w:color w:val="000000" w:themeColor="text1"/>
          <w14:textFill>
            <w14:solidFill>
              <w14:schemeClr w14:val="tx1"/>
            </w14:solidFill>
          </w14:textFill>
        </w:rPr>
        <w:t>环境监理工作</w:t>
      </w:r>
      <w:r>
        <w:rPr>
          <w:rFonts w:hint="eastAsia"/>
          <w:color w:val="000000" w:themeColor="text1"/>
          <w14:textFill>
            <w14:solidFill>
              <w14:schemeClr w14:val="tx1"/>
            </w14:solidFill>
          </w14:textFill>
        </w:rPr>
        <w:t>计划</w:t>
      </w:r>
    </w:p>
    <w:tbl>
      <w:tblPr>
        <w:tblStyle w:val="51"/>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67"/>
        <w:gridCol w:w="959"/>
        <w:gridCol w:w="6129"/>
        <w:gridCol w:w="1075"/>
      </w:tblGrid>
      <w:tr w14:paraId="6C14B2A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567" w:type="dxa"/>
            <w:vAlign w:val="center"/>
          </w:tcPr>
          <w:p w14:paraId="14076036">
            <w:pPr>
              <w:pStyle w:val="208"/>
              <w:adjustRightInd w:val="0"/>
              <w:snapToGrid w:val="0"/>
              <w:spacing w:line="300" w:lineRule="exact"/>
              <w:rPr>
                <w:rFonts w:hint="eastAsia"/>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序号</w:t>
            </w:r>
          </w:p>
        </w:tc>
        <w:tc>
          <w:tcPr>
            <w:tcW w:w="959" w:type="dxa"/>
            <w:vAlign w:val="center"/>
          </w:tcPr>
          <w:p w14:paraId="7A02AAF1">
            <w:pPr>
              <w:pStyle w:val="208"/>
              <w:adjustRightInd w:val="0"/>
              <w:snapToGrid w:val="0"/>
              <w:spacing w:line="300" w:lineRule="exact"/>
              <w:rPr>
                <w:rFonts w:hint="eastAsia"/>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场地</w:t>
            </w:r>
          </w:p>
        </w:tc>
        <w:tc>
          <w:tcPr>
            <w:tcW w:w="6129" w:type="dxa"/>
            <w:vAlign w:val="center"/>
          </w:tcPr>
          <w:p w14:paraId="5364C9A6">
            <w:pPr>
              <w:pStyle w:val="208"/>
              <w:adjustRightInd w:val="0"/>
              <w:snapToGrid w:val="0"/>
              <w:spacing w:line="300" w:lineRule="exact"/>
              <w:rPr>
                <w:rFonts w:hint="eastAsia"/>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监督内容</w:t>
            </w:r>
          </w:p>
        </w:tc>
        <w:tc>
          <w:tcPr>
            <w:tcW w:w="1075" w:type="dxa"/>
            <w:vAlign w:val="center"/>
          </w:tcPr>
          <w:p w14:paraId="5C98C6EF">
            <w:pPr>
              <w:pStyle w:val="208"/>
              <w:adjustRightInd w:val="0"/>
              <w:snapToGrid w:val="0"/>
              <w:spacing w:line="300" w:lineRule="exact"/>
              <w:rPr>
                <w:rFonts w:hint="eastAsia"/>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监理要求</w:t>
            </w:r>
          </w:p>
        </w:tc>
      </w:tr>
      <w:tr w14:paraId="2F0687D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67" w:type="dxa"/>
            <w:vAlign w:val="center"/>
          </w:tcPr>
          <w:p w14:paraId="7116F68D">
            <w:pPr>
              <w:pStyle w:val="208"/>
              <w:adjustRightInd w:val="0"/>
              <w:snapToGrid w:val="0"/>
              <w:spacing w:line="300" w:lineRule="exact"/>
              <w:rPr>
                <w:rFonts w:hint="eastAsia"/>
                <w:color w:val="000000" w:themeColor="text1"/>
                <w:szCs w:val="21"/>
                <w14:textFill>
                  <w14:solidFill>
                    <w14:schemeClr w14:val="tx1"/>
                  </w14:solidFill>
                </w14:textFill>
              </w:rPr>
            </w:pPr>
            <w:r>
              <w:rPr>
                <w:color w:val="000000" w:themeColor="text1"/>
                <w:szCs w:val="21"/>
                <w14:textFill>
                  <w14:solidFill>
                    <w14:schemeClr w14:val="tx1"/>
                  </w14:solidFill>
                </w14:textFill>
              </w:rPr>
              <w:t>1</w:t>
            </w:r>
          </w:p>
        </w:tc>
        <w:tc>
          <w:tcPr>
            <w:tcW w:w="959" w:type="dxa"/>
            <w:vAlign w:val="center"/>
          </w:tcPr>
          <w:p w14:paraId="18FD747D">
            <w:pPr>
              <w:pStyle w:val="208"/>
              <w:adjustRightInd w:val="0"/>
              <w:snapToGrid w:val="0"/>
              <w:spacing w:line="300" w:lineRule="exact"/>
              <w:rPr>
                <w:rFonts w:hint="eastAsia" w:cs="宋体"/>
                <w:color w:val="000000" w:themeColor="text1"/>
                <w:szCs w:val="21"/>
                <w14:textFill>
                  <w14:solidFill>
                    <w14:schemeClr w14:val="tx1"/>
                  </w14:solidFill>
                </w14:textFill>
              </w:rPr>
            </w:pPr>
            <w:r>
              <w:rPr>
                <w:rFonts w:hint="eastAsia" w:cs="宋体"/>
                <w:color w:val="000000" w:themeColor="text1"/>
                <w:szCs w:val="21"/>
                <w:lang w:bidi="ar"/>
                <w14:textFill>
                  <w14:solidFill>
                    <w14:schemeClr w14:val="tx1"/>
                  </w14:solidFill>
                </w14:textFill>
              </w:rPr>
              <w:t>井场、计量站建设现场</w:t>
            </w:r>
          </w:p>
        </w:tc>
        <w:tc>
          <w:tcPr>
            <w:tcW w:w="6129" w:type="dxa"/>
            <w:vAlign w:val="center"/>
          </w:tcPr>
          <w:p w14:paraId="4E6A9D3A">
            <w:pPr>
              <w:pStyle w:val="208"/>
              <w:adjustRightInd w:val="0"/>
              <w:snapToGrid w:val="0"/>
              <w:spacing w:line="300" w:lineRule="exact"/>
              <w:jc w:val="left"/>
              <w:rPr>
                <w:rFonts w:hint="eastAsia" w:cs="宋体"/>
                <w:color w:val="000000" w:themeColor="text1"/>
                <w:szCs w:val="21"/>
                <w14:textFill>
                  <w14:solidFill>
                    <w14:schemeClr w14:val="tx1"/>
                  </w14:solidFill>
                </w14:textFill>
              </w:rPr>
            </w:pPr>
            <w:r>
              <w:rPr>
                <w:rFonts w:hint="eastAsia" w:cs="宋体"/>
                <w:color w:val="000000" w:themeColor="text1"/>
                <w:szCs w:val="21"/>
                <w:lang w:bidi="ar"/>
                <w14:textFill>
                  <w14:solidFill>
                    <w14:schemeClr w14:val="tx1"/>
                  </w14:solidFill>
                </w14:textFill>
              </w:rPr>
              <w:t>1）施工作业是否超越了限定范围，施工结束后，施工现场是否进行了及时清理；</w:t>
            </w:r>
          </w:p>
          <w:p w14:paraId="6B1E8E4A">
            <w:pPr>
              <w:pStyle w:val="208"/>
              <w:adjustRightInd w:val="0"/>
              <w:snapToGrid w:val="0"/>
              <w:spacing w:line="300" w:lineRule="exact"/>
              <w:jc w:val="left"/>
              <w:rPr>
                <w:rFonts w:hint="eastAsia" w:cs="宋体"/>
                <w:color w:val="000000" w:themeColor="text1"/>
                <w:szCs w:val="21"/>
                <w:lang w:bidi="ar"/>
                <w14:textFill>
                  <w14:solidFill>
                    <w14:schemeClr w14:val="tx1"/>
                  </w14:solidFill>
                </w14:textFill>
              </w:rPr>
            </w:pPr>
            <w:r>
              <w:rPr>
                <w:rFonts w:hint="eastAsia" w:cs="宋体"/>
                <w:color w:val="000000" w:themeColor="text1"/>
                <w:szCs w:val="21"/>
                <w:lang w:bidi="ar"/>
                <w14:textFill>
                  <w14:solidFill>
                    <w14:schemeClr w14:val="tx1"/>
                  </w14:solidFill>
                </w14:textFill>
              </w:rPr>
              <w:t>2）废气、噪声是否达标排放，废水、固体废物是否妥善处理；</w:t>
            </w:r>
          </w:p>
          <w:p w14:paraId="0E458D05">
            <w:pPr>
              <w:pStyle w:val="208"/>
              <w:adjustRightInd w:val="0"/>
              <w:snapToGrid w:val="0"/>
              <w:spacing w:line="300" w:lineRule="exact"/>
              <w:jc w:val="left"/>
              <w:rPr>
                <w:rFonts w:hint="eastAsia" w:cs="宋体"/>
                <w:color w:val="000000" w:themeColor="text1"/>
                <w:szCs w:val="21"/>
                <w14:textFill>
                  <w14:solidFill>
                    <w14:schemeClr w14:val="tx1"/>
                  </w14:solidFill>
                </w14:textFill>
              </w:rPr>
            </w:pPr>
            <w:r>
              <w:rPr>
                <w:rFonts w:cs="宋体"/>
                <w:color w:val="000000" w:themeColor="text1"/>
                <w:szCs w:val="21"/>
                <w:lang w:bidi="ar"/>
                <w14:textFill>
                  <w14:solidFill>
                    <w14:schemeClr w14:val="tx1"/>
                  </w14:solidFill>
                </w14:textFill>
              </w:rPr>
              <w:t>3</w:t>
            </w:r>
            <w:r>
              <w:rPr>
                <w:rFonts w:hint="eastAsia" w:cs="宋体"/>
                <w:color w:val="000000" w:themeColor="text1"/>
                <w:szCs w:val="21"/>
                <w:lang w:bidi="ar"/>
                <w14:textFill>
                  <w14:solidFill>
                    <w14:schemeClr w14:val="tx1"/>
                  </w14:solidFill>
                </w14:textFill>
              </w:rPr>
              <w:t>）防渗措施是否满足要求</w:t>
            </w:r>
          </w:p>
        </w:tc>
        <w:tc>
          <w:tcPr>
            <w:tcW w:w="1075" w:type="dxa"/>
            <w:vMerge w:val="restart"/>
            <w:vAlign w:val="center"/>
          </w:tcPr>
          <w:p w14:paraId="1D3FAE18">
            <w:pPr>
              <w:pStyle w:val="208"/>
              <w:adjustRightInd w:val="0"/>
              <w:snapToGrid w:val="0"/>
              <w:spacing w:line="300" w:lineRule="exact"/>
              <w:rPr>
                <w:rFonts w:hint="eastAsia"/>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环评中环保措施落实到位</w:t>
            </w:r>
          </w:p>
        </w:tc>
      </w:tr>
      <w:tr w14:paraId="7D83504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67" w:type="dxa"/>
            <w:vAlign w:val="center"/>
          </w:tcPr>
          <w:p w14:paraId="28952023">
            <w:pPr>
              <w:pStyle w:val="208"/>
              <w:adjustRightInd w:val="0"/>
              <w:snapToGrid w:val="0"/>
              <w:spacing w:line="300" w:lineRule="exact"/>
              <w:rPr>
                <w:rFonts w:hint="eastAsia"/>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w:t>
            </w:r>
          </w:p>
        </w:tc>
        <w:tc>
          <w:tcPr>
            <w:tcW w:w="959" w:type="dxa"/>
            <w:vAlign w:val="center"/>
          </w:tcPr>
          <w:p w14:paraId="7BFEB5EE">
            <w:pPr>
              <w:pStyle w:val="208"/>
              <w:adjustRightInd w:val="0"/>
              <w:snapToGrid w:val="0"/>
              <w:spacing w:line="300" w:lineRule="exact"/>
              <w:rPr>
                <w:rFonts w:hint="eastAsia" w:cs="宋体"/>
                <w:color w:val="000000" w:themeColor="text1"/>
                <w:szCs w:val="21"/>
                <w14:textFill>
                  <w14:solidFill>
                    <w14:schemeClr w14:val="tx1"/>
                  </w14:solidFill>
                </w14:textFill>
              </w:rPr>
            </w:pPr>
            <w:r>
              <w:rPr>
                <w:rFonts w:hint="eastAsia" w:cs="宋体"/>
                <w:color w:val="000000" w:themeColor="text1"/>
                <w:szCs w:val="21"/>
                <w:lang w:bidi="ar"/>
                <w14:textFill>
                  <w14:solidFill>
                    <w14:schemeClr w14:val="tx1"/>
                  </w14:solidFill>
                </w14:textFill>
              </w:rPr>
              <w:t>管线敷设建设现场</w:t>
            </w:r>
          </w:p>
        </w:tc>
        <w:tc>
          <w:tcPr>
            <w:tcW w:w="6129" w:type="dxa"/>
            <w:vAlign w:val="center"/>
          </w:tcPr>
          <w:p w14:paraId="759655C8">
            <w:pPr>
              <w:pStyle w:val="208"/>
              <w:adjustRightInd w:val="0"/>
              <w:snapToGrid w:val="0"/>
              <w:spacing w:line="300" w:lineRule="exact"/>
              <w:jc w:val="left"/>
              <w:rPr>
                <w:rFonts w:hint="eastAsia" w:cs="宋体"/>
                <w:color w:val="000000" w:themeColor="text1"/>
                <w:szCs w:val="21"/>
                <w:lang w:bidi="ar"/>
                <w14:textFill>
                  <w14:solidFill>
                    <w14:schemeClr w14:val="tx1"/>
                  </w14:solidFill>
                </w14:textFill>
              </w:rPr>
            </w:pPr>
            <w:r>
              <w:rPr>
                <w:rFonts w:hint="eastAsia" w:cs="宋体"/>
                <w:color w:val="000000" w:themeColor="text1"/>
                <w:szCs w:val="21"/>
                <w:lang w:bidi="ar"/>
                <w14:textFill>
                  <w14:solidFill>
                    <w14:schemeClr w14:val="tx1"/>
                  </w14:solidFill>
                </w14:textFill>
              </w:rPr>
              <w:t>1）管线选线是否满足环评要求。</w:t>
            </w:r>
          </w:p>
          <w:p w14:paraId="2365D045">
            <w:pPr>
              <w:pStyle w:val="208"/>
              <w:adjustRightInd w:val="0"/>
              <w:snapToGrid w:val="0"/>
              <w:spacing w:line="300" w:lineRule="exact"/>
              <w:jc w:val="left"/>
              <w:rPr>
                <w:rFonts w:hint="eastAsia" w:cs="宋体"/>
                <w:color w:val="000000" w:themeColor="text1"/>
                <w:szCs w:val="21"/>
                <w14:textFill>
                  <w14:solidFill>
                    <w14:schemeClr w14:val="tx1"/>
                  </w14:solidFill>
                </w14:textFill>
              </w:rPr>
            </w:pPr>
            <w:r>
              <w:rPr>
                <w:rFonts w:hint="eastAsia" w:cs="宋体"/>
                <w:color w:val="000000" w:themeColor="text1"/>
                <w:szCs w:val="21"/>
                <w:lang w:bidi="ar"/>
                <w14:textFill>
                  <w14:solidFill>
                    <w14:schemeClr w14:val="tx1"/>
                  </w14:solidFill>
                </w14:textFill>
              </w:rPr>
              <w:t>2）管线施工作业是否超越了施工宽度；</w:t>
            </w:r>
          </w:p>
          <w:p w14:paraId="13F3AF3A">
            <w:pPr>
              <w:pStyle w:val="208"/>
              <w:adjustRightInd w:val="0"/>
              <w:snapToGrid w:val="0"/>
              <w:spacing w:line="300" w:lineRule="exact"/>
              <w:jc w:val="left"/>
              <w:rPr>
                <w:rFonts w:hint="eastAsia" w:cs="宋体"/>
                <w:color w:val="000000" w:themeColor="text1"/>
                <w:szCs w:val="21"/>
                <w14:textFill>
                  <w14:solidFill>
                    <w14:schemeClr w14:val="tx1"/>
                  </w14:solidFill>
                </w14:textFill>
              </w:rPr>
            </w:pPr>
            <w:r>
              <w:rPr>
                <w:rFonts w:hint="eastAsia" w:cs="宋体"/>
                <w:color w:val="000000" w:themeColor="text1"/>
                <w:szCs w:val="21"/>
                <w:lang w:bidi="ar"/>
                <w14:textFill>
                  <w14:solidFill>
                    <w14:schemeClr w14:val="tx1"/>
                  </w14:solidFill>
                </w14:textFill>
              </w:rPr>
              <w:t>3）施工人员是否按操作规程及相关规定作业；</w:t>
            </w:r>
          </w:p>
          <w:p w14:paraId="0695F47A">
            <w:pPr>
              <w:pStyle w:val="208"/>
              <w:adjustRightInd w:val="0"/>
              <w:snapToGrid w:val="0"/>
              <w:spacing w:line="300" w:lineRule="exact"/>
              <w:jc w:val="left"/>
              <w:rPr>
                <w:rFonts w:hint="eastAsia" w:cs="Arial"/>
                <w:color w:val="000000" w:themeColor="text1"/>
                <w:szCs w:val="21"/>
                <w14:textFill>
                  <w14:solidFill>
                    <w14:schemeClr w14:val="tx1"/>
                  </w14:solidFill>
                </w14:textFill>
              </w:rPr>
            </w:pPr>
            <w:r>
              <w:rPr>
                <w:rFonts w:cs="Arial"/>
                <w:color w:val="000000" w:themeColor="text1"/>
                <w:szCs w:val="21"/>
                <w14:textFill>
                  <w14:solidFill>
                    <w14:schemeClr w14:val="tx1"/>
                  </w14:solidFill>
                </w14:textFill>
              </w:rPr>
              <w:t>4</w:t>
            </w:r>
            <w:r>
              <w:rPr>
                <w:rFonts w:hint="eastAsia" w:cs="Arial"/>
                <w:color w:val="000000" w:themeColor="text1"/>
                <w:szCs w:val="21"/>
                <w14:textFill>
                  <w14:solidFill>
                    <w14:schemeClr w14:val="tx1"/>
                  </w14:solidFill>
                </w14:textFill>
              </w:rPr>
              <w:t>）施工完成后是否进行了清理、临时占地是否恢复植被</w:t>
            </w:r>
          </w:p>
        </w:tc>
        <w:tc>
          <w:tcPr>
            <w:tcW w:w="1075" w:type="dxa"/>
            <w:vMerge w:val="continue"/>
            <w:vAlign w:val="center"/>
          </w:tcPr>
          <w:p w14:paraId="41D0ACD5">
            <w:pPr>
              <w:pStyle w:val="208"/>
              <w:adjustRightInd w:val="0"/>
              <w:snapToGrid w:val="0"/>
              <w:spacing w:line="300" w:lineRule="exact"/>
              <w:rPr>
                <w:rFonts w:hint="eastAsia"/>
                <w:color w:val="000000" w:themeColor="text1"/>
                <w:szCs w:val="21"/>
                <w14:textFill>
                  <w14:solidFill>
                    <w14:schemeClr w14:val="tx1"/>
                  </w14:solidFill>
                </w14:textFill>
              </w:rPr>
            </w:pPr>
          </w:p>
        </w:tc>
      </w:tr>
      <w:tr w14:paraId="3EA59D2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67" w:type="dxa"/>
            <w:vAlign w:val="center"/>
          </w:tcPr>
          <w:p w14:paraId="31AB9906">
            <w:pPr>
              <w:pStyle w:val="208"/>
              <w:adjustRightInd w:val="0"/>
              <w:snapToGrid w:val="0"/>
              <w:spacing w:line="300" w:lineRule="exact"/>
              <w:rPr>
                <w:rFonts w:hint="eastAsia"/>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w:t>
            </w:r>
          </w:p>
        </w:tc>
        <w:tc>
          <w:tcPr>
            <w:tcW w:w="959" w:type="dxa"/>
            <w:vAlign w:val="center"/>
          </w:tcPr>
          <w:p w14:paraId="1F1A3DF1">
            <w:pPr>
              <w:pStyle w:val="208"/>
              <w:adjustRightInd w:val="0"/>
              <w:snapToGrid w:val="0"/>
              <w:spacing w:line="300" w:lineRule="exact"/>
              <w:rPr>
                <w:rFonts w:hint="eastAsia"/>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其他</w:t>
            </w:r>
          </w:p>
        </w:tc>
        <w:tc>
          <w:tcPr>
            <w:tcW w:w="6129" w:type="dxa"/>
            <w:vAlign w:val="center"/>
          </w:tcPr>
          <w:p w14:paraId="4CC71A52">
            <w:pPr>
              <w:pStyle w:val="208"/>
              <w:adjustRightInd w:val="0"/>
              <w:snapToGrid w:val="0"/>
              <w:spacing w:line="300" w:lineRule="exact"/>
              <w:jc w:val="left"/>
              <w:rPr>
                <w:rFonts w:hint="eastAsia"/>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1）施工结束后是否及时清理现场、恢复地貌，是否及时采取了生态恢复和水土保持措施；</w:t>
            </w:r>
          </w:p>
          <w:p w14:paraId="0D49987B">
            <w:pPr>
              <w:pStyle w:val="208"/>
              <w:adjustRightInd w:val="0"/>
              <w:snapToGrid w:val="0"/>
              <w:spacing w:line="300" w:lineRule="exact"/>
              <w:jc w:val="left"/>
              <w:rPr>
                <w:rFonts w:hint="eastAsia"/>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2）有无砍伐、破坏施工区以外的植被，有无伤害野生动物等行为</w:t>
            </w:r>
          </w:p>
        </w:tc>
        <w:tc>
          <w:tcPr>
            <w:tcW w:w="1075" w:type="dxa"/>
            <w:vMerge w:val="continue"/>
            <w:vAlign w:val="center"/>
          </w:tcPr>
          <w:p w14:paraId="5B6B4E3F">
            <w:pPr>
              <w:pStyle w:val="208"/>
              <w:adjustRightInd w:val="0"/>
              <w:snapToGrid w:val="0"/>
              <w:spacing w:line="300" w:lineRule="exact"/>
              <w:rPr>
                <w:rFonts w:hint="eastAsia"/>
                <w:color w:val="000000" w:themeColor="text1"/>
                <w:szCs w:val="21"/>
                <w14:textFill>
                  <w14:solidFill>
                    <w14:schemeClr w14:val="tx1"/>
                  </w14:solidFill>
                </w14:textFill>
              </w:rPr>
            </w:pPr>
          </w:p>
        </w:tc>
      </w:tr>
      <w:bookmarkEnd w:id="839"/>
    </w:tbl>
    <w:p w14:paraId="7289D772">
      <w:pPr>
        <w:pStyle w:val="4"/>
        <w:rPr>
          <w:rFonts w:hint="eastAsia"/>
          <w:color w:val="000000" w:themeColor="text1"/>
          <w14:textFill>
            <w14:solidFill>
              <w14:schemeClr w14:val="tx1"/>
            </w14:solidFill>
          </w14:textFill>
        </w:rPr>
      </w:pPr>
      <w:bookmarkStart w:id="841" w:name="_Hlk92205417"/>
      <w:r>
        <w:rPr>
          <w:rFonts w:hint="eastAsia"/>
          <w:color w:val="000000" w:themeColor="text1"/>
          <w14:textFill>
            <w14:solidFill>
              <w14:schemeClr w14:val="tx1"/>
            </w14:solidFill>
          </w14:textFill>
        </w:rPr>
        <w:t>运营期</w:t>
      </w:r>
      <w:r>
        <w:rPr>
          <w:color w:val="000000" w:themeColor="text1"/>
          <w14:textFill>
            <w14:solidFill>
              <w14:schemeClr w14:val="tx1"/>
            </w14:solidFill>
          </w14:textFill>
        </w:rPr>
        <w:t>环境监测计划</w:t>
      </w:r>
    </w:p>
    <w:bookmarkEnd w:id="841"/>
    <w:p w14:paraId="2D1B362A">
      <w:pPr>
        <w:pStyle w:val="117"/>
        <w:ind w:firstLine="480"/>
        <w:rPr>
          <w:rFonts w:hint="eastAsia"/>
          <w:color w:val="000000" w:themeColor="text1"/>
          <w14:textFill>
            <w14:solidFill>
              <w14:schemeClr w14:val="tx1"/>
            </w14:solidFill>
          </w14:textFill>
        </w:rPr>
      </w:pPr>
      <w:bookmarkStart w:id="842" w:name="_Hlk147587863"/>
      <w:r>
        <w:rPr>
          <w:rFonts w:hint="eastAsia"/>
          <w:color w:val="000000" w:themeColor="text1"/>
          <w14:textFill>
            <w14:solidFill>
              <w14:schemeClr w14:val="tx1"/>
            </w14:solidFill>
          </w14:textFill>
        </w:rPr>
        <w:t>根据《排污单位自行监测技术指南</w:t>
      </w:r>
      <w:r>
        <w:rPr>
          <w:color w:val="000000" w:themeColor="text1"/>
          <w14:textFill>
            <w14:solidFill>
              <w14:schemeClr w14:val="tx1"/>
            </w14:solidFill>
          </w14:textFill>
        </w:rPr>
        <w:t xml:space="preserve"> 总则</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HJ819-2017）</w:t>
      </w:r>
      <w:r>
        <w:rPr>
          <w:rFonts w:hint="eastAsia"/>
          <w:color w:val="000000" w:themeColor="text1"/>
          <w14:textFill>
            <w14:solidFill>
              <w14:schemeClr w14:val="tx1"/>
            </w14:solidFill>
          </w14:textFill>
        </w:rPr>
        <w:t>和《排污单位自行监测技术指南陆上石油天然气开采工业》（HJ1248-2022）相关规定需</w:t>
      </w:r>
      <w:r>
        <w:rPr>
          <w:color w:val="000000" w:themeColor="text1"/>
          <w14:textFill>
            <w14:solidFill>
              <w14:schemeClr w14:val="tx1"/>
            </w14:solidFill>
          </w14:textFill>
        </w:rPr>
        <w:t>定期对</w:t>
      </w:r>
      <w:r>
        <w:rPr>
          <w:rFonts w:hint="eastAsia"/>
          <w:color w:val="000000" w:themeColor="text1"/>
          <w14:textFill>
            <w14:solidFill>
              <w14:schemeClr w14:val="tx1"/>
            </w14:solidFill>
          </w14:textFill>
        </w:rPr>
        <w:t>污染源和环境质量</w:t>
      </w:r>
      <w:r>
        <w:rPr>
          <w:color w:val="000000" w:themeColor="text1"/>
          <w14:textFill>
            <w14:solidFill>
              <w14:schemeClr w14:val="tx1"/>
            </w14:solidFill>
          </w14:textFill>
        </w:rPr>
        <w:t>进行监测</w:t>
      </w:r>
      <w:r>
        <w:rPr>
          <w:rFonts w:hint="eastAsia"/>
          <w:color w:val="000000" w:themeColor="text1"/>
          <w14:textFill>
            <w14:solidFill>
              <w14:schemeClr w14:val="tx1"/>
            </w14:solidFill>
          </w14:textFill>
        </w:rPr>
        <w:t>，监测计划见表7.5-2。</w:t>
      </w:r>
    </w:p>
    <w:p w14:paraId="07F9A594">
      <w:pPr>
        <w:pStyle w:val="109"/>
        <w:rPr>
          <w:rFonts w:hint="eastAsia"/>
          <w:color w:val="000000" w:themeColor="text1"/>
          <w14:textFill>
            <w14:solidFill>
              <w14:schemeClr w14:val="tx1"/>
            </w14:solidFill>
          </w14:textFill>
        </w:rPr>
      </w:pPr>
      <w:bookmarkStart w:id="843" w:name="_Hlk160374412"/>
      <w:r>
        <w:rPr>
          <w:rFonts w:hint="eastAsia"/>
          <w:color w:val="000000" w:themeColor="text1"/>
          <w14:textFill>
            <w14:solidFill>
              <w14:schemeClr w14:val="tx1"/>
            </w14:solidFill>
          </w14:textFill>
        </w:rPr>
        <w:t>表7</w:t>
      </w:r>
      <w:r>
        <w:rPr>
          <w:color w:val="000000" w:themeColor="text1"/>
          <w14:textFill>
            <w14:solidFill>
              <w14:schemeClr w14:val="tx1"/>
            </w14:solidFill>
          </w14:textFill>
        </w:rPr>
        <w:t>.5</w:t>
      </w:r>
      <w:r>
        <w:rPr>
          <w:rFonts w:hint="eastAsia"/>
          <w:color w:val="000000" w:themeColor="text1"/>
          <w14:textFill>
            <w14:solidFill>
              <w14:schemeClr w14:val="tx1"/>
            </w14:solidFill>
          </w14:textFill>
        </w:rPr>
        <w:t>-1</w:t>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环境监测计划一览表</w:t>
      </w:r>
    </w:p>
    <w:tbl>
      <w:tblPr>
        <w:tblStyle w:val="51"/>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1000"/>
        <w:gridCol w:w="752"/>
        <w:gridCol w:w="2100"/>
        <w:gridCol w:w="1998"/>
        <w:gridCol w:w="998"/>
        <w:gridCol w:w="1938"/>
      </w:tblGrid>
      <w:tr w14:paraId="1C01C1C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569" w:type="pct"/>
            <w:vAlign w:val="center"/>
          </w:tcPr>
          <w:p w14:paraId="0F51DAB6">
            <w:pPr>
              <w:kinsoku w:val="0"/>
              <w:overflowPunct w:val="0"/>
              <w:adjustRightInd w:val="0"/>
              <w:snapToGrid w:val="0"/>
              <w:spacing w:line="300" w:lineRule="exact"/>
              <w:jc w:val="center"/>
              <w:rPr>
                <w:rFonts w:hint="eastAsia" w:ascii="宋体" w:hAnsi="宋体" w:cs="宋体"/>
                <w:color w:val="000000" w:themeColor="text1"/>
                <w:szCs w:val="21"/>
                <w:lang w:bidi="ar"/>
                <w14:textFill>
                  <w14:solidFill>
                    <w14:schemeClr w14:val="tx1"/>
                  </w14:solidFill>
                </w14:textFill>
              </w:rPr>
            </w:pPr>
            <w:bookmarkStart w:id="844" w:name="OLE_LINK114"/>
            <w:r>
              <w:rPr>
                <w:rFonts w:hint="eastAsia" w:ascii="宋体" w:hAnsi="宋体" w:cs="宋体"/>
                <w:smallCaps/>
                <w:color w:val="000000" w:themeColor="text1"/>
                <w:szCs w:val="21"/>
                <w:lang w:bidi="ar"/>
                <w14:textFill>
                  <w14:solidFill>
                    <w14:schemeClr w14:val="tx1"/>
                  </w14:solidFill>
                </w14:textFill>
              </w:rPr>
              <w:t>监测对象</w:t>
            </w:r>
          </w:p>
        </w:tc>
        <w:tc>
          <w:tcPr>
            <w:tcW w:w="428" w:type="pct"/>
            <w:vAlign w:val="center"/>
          </w:tcPr>
          <w:p w14:paraId="52403795">
            <w:pPr>
              <w:kinsoku w:val="0"/>
              <w:overflowPunct w:val="0"/>
              <w:adjustRightInd w:val="0"/>
              <w:snapToGrid w:val="0"/>
              <w:spacing w:line="30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类别</w:t>
            </w:r>
          </w:p>
        </w:tc>
        <w:tc>
          <w:tcPr>
            <w:tcW w:w="1195" w:type="pct"/>
            <w:vAlign w:val="center"/>
          </w:tcPr>
          <w:p w14:paraId="04A12334">
            <w:pPr>
              <w:kinsoku w:val="0"/>
              <w:overflowPunct w:val="0"/>
              <w:adjustRightInd w:val="0"/>
              <w:snapToGrid w:val="0"/>
              <w:spacing w:line="300" w:lineRule="exact"/>
              <w:jc w:val="center"/>
              <w:rPr>
                <w:rFonts w:hint="eastAsia" w:ascii="宋体" w:hAnsi="宋体" w:cs="宋体"/>
                <w:color w:val="000000" w:themeColor="text1"/>
                <w:szCs w:val="21"/>
                <w:lang w:bidi="ar"/>
                <w14:textFill>
                  <w14:solidFill>
                    <w14:schemeClr w14:val="tx1"/>
                  </w14:solidFill>
                </w14:textFill>
              </w:rPr>
            </w:pPr>
            <w:r>
              <w:rPr>
                <w:rFonts w:hint="eastAsia" w:ascii="宋体" w:hAnsi="宋体" w:cs="宋体"/>
                <w:color w:val="000000" w:themeColor="text1"/>
                <w:szCs w:val="21"/>
                <w:lang w:bidi="ar"/>
                <w14:textFill>
                  <w14:solidFill>
                    <w14:schemeClr w14:val="tx1"/>
                  </w14:solidFill>
                </w14:textFill>
              </w:rPr>
              <w:t>监测点</w:t>
            </w:r>
          </w:p>
        </w:tc>
        <w:tc>
          <w:tcPr>
            <w:tcW w:w="1137" w:type="pct"/>
            <w:vAlign w:val="center"/>
          </w:tcPr>
          <w:p w14:paraId="34D02DBA">
            <w:pPr>
              <w:kinsoku w:val="0"/>
              <w:overflowPunct w:val="0"/>
              <w:adjustRightInd w:val="0"/>
              <w:snapToGrid w:val="0"/>
              <w:spacing w:line="30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lang w:bidi="ar"/>
                <w14:textFill>
                  <w14:solidFill>
                    <w14:schemeClr w14:val="tx1"/>
                  </w14:solidFill>
                </w14:textFill>
              </w:rPr>
              <w:t>监测因子</w:t>
            </w:r>
          </w:p>
        </w:tc>
        <w:tc>
          <w:tcPr>
            <w:tcW w:w="568" w:type="pct"/>
            <w:vAlign w:val="center"/>
          </w:tcPr>
          <w:p w14:paraId="3176F603">
            <w:pPr>
              <w:kinsoku w:val="0"/>
              <w:overflowPunct w:val="0"/>
              <w:adjustRightInd w:val="0"/>
              <w:snapToGrid w:val="0"/>
              <w:spacing w:line="30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lang w:bidi="ar"/>
                <w14:textFill>
                  <w14:solidFill>
                    <w14:schemeClr w14:val="tx1"/>
                  </w14:solidFill>
                </w14:textFill>
              </w:rPr>
              <w:t>监测频率</w:t>
            </w:r>
          </w:p>
        </w:tc>
        <w:tc>
          <w:tcPr>
            <w:tcW w:w="1103" w:type="pct"/>
            <w:vAlign w:val="center"/>
          </w:tcPr>
          <w:p w14:paraId="3BC8A8D5">
            <w:pPr>
              <w:kinsoku w:val="0"/>
              <w:overflowPunct w:val="0"/>
              <w:adjustRightInd w:val="0"/>
              <w:snapToGrid w:val="0"/>
              <w:spacing w:line="300" w:lineRule="exact"/>
              <w:jc w:val="center"/>
              <w:rPr>
                <w:rFonts w:hint="eastAsia" w:ascii="宋体" w:hAnsi="宋体" w:cs="宋体"/>
                <w:color w:val="000000" w:themeColor="text1"/>
                <w:szCs w:val="21"/>
                <w:lang w:bidi="ar"/>
                <w14:textFill>
                  <w14:solidFill>
                    <w14:schemeClr w14:val="tx1"/>
                  </w14:solidFill>
                </w14:textFill>
              </w:rPr>
            </w:pPr>
            <w:r>
              <w:rPr>
                <w:rFonts w:hint="eastAsia" w:ascii="宋体" w:hAnsi="宋体" w:cs="宋体"/>
                <w:color w:val="000000" w:themeColor="text1"/>
                <w:szCs w:val="21"/>
                <w:lang w:bidi="ar"/>
                <w14:textFill>
                  <w14:solidFill>
                    <w14:schemeClr w14:val="tx1"/>
                  </w14:solidFill>
                </w14:textFill>
              </w:rPr>
              <w:t>执行标准</w:t>
            </w:r>
          </w:p>
        </w:tc>
      </w:tr>
      <w:tr w14:paraId="27E794F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569" w:type="pct"/>
            <w:vAlign w:val="center"/>
          </w:tcPr>
          <w:p w14:paraId="0A72E2CE">
            <w:pPr>
              <w:kinsoku w:val="0"/>
              <w:overflowPunct w:val="0"/>
              <w:adjustRightInd w:val="0"/>
              <w:snapToGrid w:val="0"/>
              <w:spacing w:line="300" w:lineRule="exact"/>
              <w:jc w:val="center"/>
              <w:rPr>
                <w:rFonts w:hint="eastAsia" w:ascii="宋体" w:hAnsi="宋体" w:cs="宋体"/>
                <w:smallCaps/>
                <w:color w:val="000000" w:themeColor="text1"/>
                <w:szCs w:val="21"/>
                <w:lang w:bidi="ar"/>
                <w14:textFill>
                  <w14:solidFill>
                    <w14:schemeClr w14:val="tx1"/>
                  </w14:solidFill>
                </w14:textFill>
              </w:rPr>
            </w:pPr>
            <w:r>
              <w:rPr>
                <w:rFonts w:hint="eastAsia" w:ascii="宋体" w:hAnsi="宋体" w:cs="宋体"/>
                <w:smallCaps/>
                <w:color w:val="000000" w:themeColor="text1"/>
                <w:szCs w:val="21"/>
                <w:lang w:bidi="ar"/>
                <w14:textFill>
                  <w14:solidFill>
                    <w14:schemeClr w14:val="tx1"/>
                  </w14:solidFill>
                </w14:textFill>
              </w:rPr>
              <w:t>废气</w:t>
            </w:r>
          </w:p>
        </w:tc>
        <w:tc>
          <w:tcPr>
            <w:tcW w:w="428" w:type="pct"/>
            <w:vMerge w:val="restart"/>
            <w:vAlign w:val="center"/>
          </w:tcPr>
          <w:p w14:paraId="7473BC91">
            <w:pPr>
              <w:kinsoku w:val="0"/>
              <w:overflowPunct w:val="0"/>
              <w:adjustRightInd w:val="0"/>
              <w:snapToGrid w:val="0"/>
              <w:spacing w:line="300" w:lineRule="exact"/>
              <w:jc w:val="center"/>
              <w:rPr>
                <w:rFonts w:hint="eastAsia" w:ascii="宋体" w:hAnsi="宋体" w:cs="宋体"/>
                <w:smallCaps/>
                <w:color w:val="000000" w:themeColor="text1"/>
                <w:szCs w:val="21"/>
                <w:lang w:bidi="ar"/>
                <w14:textFill>
                  <w14:solidFill>
                    <w14:schemeClr w14:val="tx1"/>
                  </w14:solidFill>
                </w14:textFill>
              </w:rPr>
            </w:pPr>
            <w:r>
              <w:rPr>
                <w:rFonts w:hint="eastAsia" w:ascii="宋体" w:hAnsi="宋体" w:cs="宋体"/>
                <w:smallCaps/>
                <w:color w:val="000000" w:themeColor="text1"/>
                <w:szCs w:val="21"/>
                <w:lang w:bidi="ar"/>
                <w14:textFill>
                  <w14:solidFill>
                    <w14:schemeClr w14:val="tx1"/>
                  </w14:solidFill>
                </w14:textFill>
              </w:rPr>
              <w:t>污染源</w:t>
            </w:r>
          </w:p>
        </w:tc>
        <w:tc>
          <w:tcPr>
            <w:tcW w:w="1195" w:type="pct"/>
            <w:vAlign w:val="center"/>
          </w:tcPr>
          <w:p w14:paraId="17160EAC">
            <w:pPr>
              <w:kinsoku w:val="0"/>
              <w:overflowPunct w:val="0"/>
              <w:adjustRightInd w:val="0"/>
              <w:snapToGrid w:val="0"/>
              <w:spacing w:line="300" w:lineRule="exact"/>
              <w:jc w:val="center"/>
              <w:rPr>
                <w:rFonts w:hint="eastAsia" w:ascii="宋体" w:hAnsi="宋体" w:cs="宋体"/>
                <w:smallCaps/>
                <w:color w:val="000000" w:themeColor="text1"/>
                <w:szCs w:val="21"/>
                <w:lang w:bidi="ar"/>
                <w14:textFill>
                  <w14:solidFill>
                    <w14:schemeClr w14:val="tx1"/>
                  </w14:solidFill>
                </w14:textFill>
              </w:rPr>
            </w:pPr>
            <w:r>
              <w:rPr>
                <w:rFonts w:hint="eastAsia" w:ascii="宋体" w:hAnsi="宋体" w:cs="宋体"/>
                <w:smallCaps/>
                <w:color w:val="000000" w:themeColor="text1"/>
                <w:szCs w:val="21"/>
                <w:lang w:bidi="ar"/>
                <w14:textFill>
                  <w14:solidFill>
                    <w14:schemeClr w14:val="tx1"/>
                  </w14:solidFill>
                </w14:textFill>
              </w:rPr>
              <w:t>预处理注入站厂界外</w:t>
            </w:r>
          </w:p>
        </w:tc>
        <w:tc>
          <w:tcPr>
            <w:tcW w:w="1137" w:type="pct"/>
            <w:vAlign w:val="center"/>
          </w:tcPr>
          <w:p w14:paraId="443DAA09">
            <w:pPr>
              <w:kinsoku w:val="0"/>
              <w:overflowPunct w:val="0"/>
              <w:adjustRightInd w:val="0"/>
              <w:snapToGrid w:val="0"/>
              <w:spacing w:line="300" w:lineRule="exact"/>
              <w:jc w:val="center"/>
              <w:rPr>
                <w:rFonts w:hint="eastAsia" w:ascii="宋体" w:hAnsi="宋体" w:cs="宋体"/>
                <w:smallCaps/>
                <w:color w:val="000000" w:themeColor="text1"/>
                <w:szCs w:val="21"/>
                <w:lang w:bidi="ar"/>
                <w14:textFill>
                  <w14:solidFill>
                    <w14:schemeClr w14:val="tx1"/>
                  </w14:solidFill>
                </w14:textFill>
              </w:rPr>
            </w:pPr>
            <w:r>
              <w:rPr>
                <w:rFonts w:hint="eastAsia" w:ascii="宋体" w:hAnsi="宋体" w:cs="宋体"/>
                <w:smallCaps/>
                <w:color w:val="000000" w:themeColor="text1"/>
                <w:szCs w:val="21"/>
                <w:lang w:bidi="ar"/>
                <w14:textFill>
                  <w14:solidFill>
                    <w14:schemeClr w14:val="tx1"/>
                  </w14:solidFill>
                </w14:textFill>
              </w:rPr>
              <w:t>非甲烷总烃、硫化氢</w:t>
            </w:r>
          </w:p>
        </w:tc>
        <w:tc>
          <w:tcPr>
            <w:tcW w:w="568" w:type="pct"/>
            <w:vAlign w:val="center"/>
          </w:tcPr>
          <w:p w14:paraId="0CB0F509">
            <w:pPr>
              <w:kinsoku w:val="0"/>
              <w:overflowPunct w:val="0"/>
              <w:adjustRightInd w:val="0"/>
              <w:snapToGrid w:val="0"/>
              <w:spacing w:line="300" w:lineRule="exact"/>
              <w:jc w:val="center"/>
              <w:rPr>
                <w:rFonts w:hint="eastAsia" w:ascii="宋体" w:hAnsi="宋体" w:cs="宋体"/>
                <w:smallCaps/>
                <w:color w:val="000000" w:themeColor="text1"/>
                <w:szCs w:val="21"/>
                <w:lang w:bidi="ar"/>
                <w14:textFill>
                  <w14:solidFill>
                    <w14:schemeClr w14:val="tx1"/>
                  </w14:solidFill>
                </w14:textFill>
              </w:rPr>
            </w:pPr>
            <w:r>
              <w:rPr>
                <w:rFonts w:hint="eastAsia" w:ascii="宋体" w:hAnsi="宋体" w:cs="宋体"/>
                <w:smallCaps/>
                <w:color w:val="000000" w:themeColor="text1"/>
                <w:szCs w:val="21"/>
                <w:lang w:bidi="ar"/>
                <w14:textFill>
                  <w14:solidFill>
                    <w14:schemeClr w14:val="tx1"/>
                  </w14:solidFill>
                </w14:textFill>
              </w:rPr>
              <w:t>1次/季度</w:t>
            </w:r>
          </w:p>
        </w:tc>
        <w:tc>
          <w:tcPr>
            <w:tcW w:w="1103" w:type="pct"/>
            <w:vAlign w:val="center"/>
          </w:tcPr>
          <w:p w14:paraId="7BB524F8">
            <w:pPr>
              <w:kinsoku w:val="0"/>
              <w:overflowPunct w:val="0"/>
              <w:adjustRightInd w:val="0"/>
              <w:snapToGrid w:val="0"/>
              <w:spacing w:line="300" w:lineRule="exact"/>
              <w:jc w:val="center"/>
              <w:rPr>
                <w:rFonts w:hint="eastAsia" w:ascii="宋体" w:hAnsi="宋体" w:cs="宋体"/>
                <w:smallCaps/>
                <w:color w:val="000000" w:themeColor="text1"/>
                <w:szCs w:val="21"/>
                <w:lang w:bidi="ar"/>
                <w14:textFill>
                  <w14:solidFill>
                    <w14:schemeClr w14:val="tx1"/>
                  </w14:solidFill>
                </w14:textFill>
              </w:rPr>
            </w:pPr>
            <w:r>
              <w:rPr>
                <w:rFonts w:hint="eastAsia" w:ascii="宋体" w:hAnsi="宋体" w:cs="宋体"/>
                <w:smallCaps/>
                <w:color w:val="000000" w:themeColor="text1"/>
                <w:szCs w:val="21"/>
                <w:lang w:bidi="ar"/>
                <w14:textFill>
                  <w14:solidFill>
                    <w14:schemeClr w14:val="tx1"/>
                  </w14:solidFill>
                </w14:textFill>
              </w:rPr>
              <w:t>GB39728—2020</w:t>
            </w:r>
          </w:p>
          <w:p w14:paraId="6F5841F7">
            <w:pPr>
              <w:kinsoku w:val="0"/>
              <w:overflowPunct w:val="0"/>
              <w:adjustRightInd w:val="0"/>
              <w:snapToGrid w:val="0"/>
              <w:spacing w:line="300" w:lineRule="exact"/>
              <w:jc w:val="center"/>
              <w:rPr>
                <w:rFonts w:hint="eastAsia" w:ascii="宋体" w:hAnsi="宋体" w:cs="宋体"/>
                <w:smallCaps/>
                <w:color w:val="000000" w:themeColor="text1"/>
                <w:szCs w:val="21"/>
                <w:lang w:bidi="ar"/>
                <w14:textFill>
                  <w14:solidFill>
                    <w14:schemeClr w14:val="tx1"/>
                  </w14:solidFill>
                </w14:textFill>
              </w:rPr>
            </w:pPr>
            <w:r>
              <w:rPr>
                <w:rFonts w:hint="eastAsia" w:ascii="宋体" w:hAnsi="宋体" w:cs="宋体"/>
                <w:smallCaps/>
                <w:color w:val="000000" w:themeColor="text1"/>
                <w:szCs w:val="21"/>
                <w:lang w:bidi="ar"/>
                <w14:textFill>
                  <w14:solidFill>
                    <w14:schemeClr w14:val="tx1"/>
                  </w14:solidFill>
                </w14:textFill>
              </w:rPr>
              <w:t>GB14554-93表1</w:t>
            </w:r>
          </w:p>
        </w:tc>
      </w:tr>
      <w:tr w14:paraId="7AF0CD6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569" w:type="pct"/>
            <w:vAlign w:val="center"/>
          </w:tcPr>
          <w:p w14:paraId="7A49D743">
            <w:pPr>
              <w:kinsoku w:val="0"/>
              <w:overflowPunct w:val="0"/>
              <w:adjustRightInd w:val="0"/>
              <w:snapToGrid w:val="0"/>
              <w:spacing w:line="300" w:lineRule="exact"/>
              <w:jc w:val="center"/>
              <w:rPr>
                <w:rFonts w:hint="eastAsia" w:ascii="宋体" w:hAnsi="宋体" w:cs="宋体"/>
                <w:smallCaps/>
                <w:color w:val="000000" w:themeColor="text1"/>
                <w:szCs w:val="21"/>
                <w:lang w:bidi="ar"/>
                <w14:textFill>
                  <w14:solidFill>
                    <w14:schemeClr w14:val="tx1"/>
                  </w14:solidFill>
                </w14:textFill>
              </w:rPr>
            </w:pPr>
            <w:r>
              <w:rPr>
                <w:rFonts w:hint="eastAsia" w:ascii="宋体" w:hAnsi="宋体" w:cs="宋体"/>
                <w:smallCaps/>
                <w:color w:val="000000" w:themeColor="text1"/>
                <w:szCs w:val="21"/>
                <w:lang w:bidi="ar"/>
                <w14:textFill>
                  <w14:solidFill>
                    <w14:schemeClr w14:val="tx1"/>
                  </w14:solidFill>
                </w14:textFill>
              </w:rPr>
              <w:t>噪声</w:t>
            </w:r>
          </w:p>
        </w:tc>
        <w:tc>
          <w:tcPr>
            <w:tcW w:w="428" w:type="pct"/>
            <w:vMerge w:val="continue"/>
            <w:vAlign w:val="center"/>
          </w:tcPr>
          <w:p w14:paraId="7DD40CE3">
            <w:pPr>
              <w:kinsoku w:val="0"/>
              <w:overflowPunct w:val="0"/>
              <w:adjustRightInd w:val="0"/>
              <w:snapToGrid w:val="0"/>
              <w:spacing w:line="300" w:lineRule="exact"/>
              <w:jc w:val="center"/>
              <w:rPr>
                <w:rFonts w:hint="eastAsia" w:ascii="宋体" w:hAnsi="宋体" w:cs="宋体"/>
                <w:smallCaps/>
                <w:color w:val="000000" w:themeColor="text1"/>
                <w:szCs w:val="21"/>
                <w:lang w:bidi="ar"/>
                <w14:textFill>
                  <w14:solidFill>
                    <w14:schemeClr w14:val="tx1"/>
                  </w14:solidFill>
                </w14:textFill>
              </w:rPr>
            </w:pPr>
          </w:p>
        </w:tc>
        <w:tc>
          <w:tcPr>
            <w:tcW w:w="1195" w:type="pct"/>
            <w:tcBorders>
              <w:bottom w:val="single" w:color="auto" w:sz="4" w:space="0"/>
            </w:tcBorders>
            <w:vAlign w:val="center"/>
          </w:tcPr>
          <w:p w14:paraId="4AFF61DE">
            <w:pPr>
              <w:kinsoku w:val="0"/>
              <w:overflowPunct w:val="0"/>
              <w:adjustRightInd w:val="0"/>
              <w:snapToGrid w:val="0"/>
              <w:spacing w:line="300" w:lineRule="exact"/>
              <w:jc w:val="center"/>
              <w:rPr>
                <w:rFonts w:hint="eastAsia" w:ascii="宋体" w:hAnsi="宋体" w:cs="宋体"/>
                <w:smallCaps/>
                <w:color w:val="000000" w:themeColor="text1"/>
                <w:szCs w:val="21"/>
                <w:lang w:bidi="ar"/>
                <w14:textFill>
                  <w14:solidFill>
                    <w14:schemeClr w14:val="tx1"/>
                  </w14:solidFill>
                </w14:textFill>
              </w:rPr>
            </w:pPr>
            <w:r>
              <w:rPr>
                <w:rFonts w:hint="eastAsia" w:ascii="宋体" w:hAnsi="宋体" w:cs="宋体"/>
                <w:smallCaps/>
                <w:color w:val="000000" w:themeColor="text1"/>
                <w:szCs w:val="21"/>
                <w:lang w:bidi="ar"/>
                <w14:textFill>
                  <w14:solidFill>
                    <w14:schemeClr w14:val="tx1"/>
                  </w14:solidFill>
                </w14:textFill>
              </w:rPr>
              <w:t>预处理注入站厂界外</w:t>
            </w:r>
          </w:p>
        </w:tc>
        <w:tc>
          <w:tcPr>
            <w:tcW w:w="1137" w:type="pct"/>
            <w:vAlign w:val="center"/>
          </w:tcPr>
          <w:p w14:paraId="425A4FCD">
            <w:pPr>
              <w:kinsoku w:val="0"/>
              <w:overflowPunct w:val="0"/>
              <w:adjustRightInd w:val="0"/>
              <w:snapToGrid w:val="0"/>
              <w:spacing w:line="300" w:lineRule="exact"/>
              <w:jc w:val="center"/>
              <w:rPr>
                <w:rFonts w:hint="eastAsia" w:ascii="宋体" w:hAnsi="宋体" w:cs="宋体"/>
                <w:smallCaps/>
                <w:color w:val="000000" w:themeColor="text1"/>
                <w:szCs w:val="21"/>
                <w:lang w:bidi="ar"/>
                <w14:textFill>
                  <w14:solidFill>
                    <w14:schemeClr w14:val="tx1"/>
                  </w14:solidFill>
                </w14:textFill>
              </w:rPr>
            </w:pPr>
            <w:r>
              <w:rPr>
                <w:rFonts w:hint="eastAsia" w:ascii="宋体" w:hAnsi="宋体" w:cs="宋体"/>
                <w:smallCaps/>
                <w:color w:val="000000" w:themeColor="text1"/>
                <w:szCs w:val="21"/>
                <w:lang w:bidi="ar"/>
                <w14:textFill>
                  <w14:solidFill>
                    <w14:schemeClr w14:val="tx1"/>
                  </w14:solidFill>
                </w14:textFill>
              </w:rPr>
              <w:t>昼夜等效连续A声级</w:t>
            </w:r>
          </w:p>
        </w:tc>
        <w:tc>
          <w:tcPr>
            <w:tcW w:w="568" w:type="pct"/>
            <w:vAlign w:val="center"/>
          </w:tcPr>
          <w:p w14:paraId="1DB43042">
            <w:pPr>
              <w:kinsoku w:val="0"/>
              <w:overflowPunct w:val="0"/>
              <w:adjustRightInd w:val="0"/>
              <w:snapToGrid w:val="0"/>
              <w:spacing w:line="300" w:lineRule="exact"/>
              <w:jc w:val="center"/>
              <w:rPr>
                <w:rFonts w:hint="eastAsia" w:ascii="宋体" w:hAnsi="宋体" w:cs="宋体"/>
                <w:smallCaps/>
                <w:color w:val="000000" w:themeColor="text1"/>
                <w:szCs w:val="21"/>
                <w:lang w:bidi="ar"/>
                <w14:textFill>
                  <w14:solidFill>
                    <w14:schemeClr w14:val="tx1"/>
                  </w14:solidFill>
                </w14:textFill>
              </w:rPr>
            </w:pPr>
            <w:r>
              <w:rPr>
                <w:rFonts w:hint="eastAsia" w:ascii="宋体" w:hAnsi="宋体" w:cs="宋体"/>
                <w:smallCaps/>
                <w:color w:val="000000" w:themeColor="text1"/>
                <w:szCs w:val="21"/>
                <w:lang w:bidi="ar"/>
                <w14:textFill>
                  <w14:solidFill>
                    <w14:schemeClr w14:val="tx1"/>
                  </w14:solidFill>
                </w14:textFill>
              </w:rPr>
              <w:t>1次/季度</w:t>
            </w:r>
          </w:p>
        </w:tc>
        <w:tc>
          <w:tcPr>
            <w:tcW w:w="1103" w:type="pct"/>
            <w:vAlign w:val="center"/>
          </w:tcPr>
          <w:p w14:paraId="24AC2414">
            <w:pPr>
              <w:kinsoku w:val="0"/>
              <w:overflowPunct w:val="0"/>
              <w:adjustRightInd w:val="0"/>
              <w:snapToGrid w:val="0"/>
              <w:spacing w:line="300" w:lineRule="exact"/>
              <w:jc w:val="center"/>
              <w:rPr>
                <w:rFonts w:hint="eastAsia" w:ascii="宋体" w:hAnsi="宋体" w:cs="宋体"/>
                <w:smallCaps/>
                <w:color w:val="000000" w:themeColor="text1"/>
                <w:szCs w:val="21"/>
                <w:lang w:bidi="ar"/>
                <w14:textFill>
                  <w14:solidFill>
                    <w14:schemeClr w14:val="tx1"/>
                  </w14:solidFill>
                </w14:textFill>
              </w:rPr>
            </w:pPr>
            <w:r>
              <w:rPr>
                <w:rFonts w:hint="eastAsia" w:ascii="宋体" w:hAnsi="宋体" w:cs="宋体"/>
                <w:smallCaps/>
                <w:color w:val="000000" w:themeColor="text1"/>
                <w:szCs w:val="21"/>
                <w:lang w:bidi="ar"/>
                <w14:textFill>
                  <w14:solidFill>
                    <w14:schemeClr w14:val="tx1"/>
                  </w14:solidFill>
                </w14:textFill>
              </w:rPr>
              <w:t>GB12348-2008</w:t>
            </w:r>
            <w:r>
              <w:rPr>
                <w:rFonts w:ascii="宋体" w:hAnsi="宋体" w:cs="宋体"/>
                <w:smallCaps/>
                <w:color w:val="000000" w:themeColor="text1"/>
                <w:szCs w:val="21"/>
                <w:lang w:bidi="ar"/>
                <w14:textFill>
                  <w14:solidFill>
                    <w14:schemeClr w14:val="tx1"/>
                  </w14:solidFill>
                </w14:textFill>
              </w:rPr>
              <w:t>2</w:t>
            </w:r>
            <w:r>
              <w:rPr>
                <w:rFonts w:hint="eastAsia" w:ascii="宋体" w:hAnsi="宋体" w:cs="宋体"/>
                <w:smallCaps/>
                <w:color w:val="000000" w:themeColor="text1"/>
                <w:szCs w:val="21"/>
                <w:lang w:bidi="ar"/>
                <w14:textFill>
                  <w14:solidFill>
                    <w14:schemeClr w14:val="tx1"/>
                  </w14:solidFill>
                </w14:textFill>
              </w:rPr>
              <w:t>类</w:t>
            </w:r>
          </w:p>
        </w:tc>
      </w:tr>
      <w:tr w14:paraId="62AEFC8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569" w:type="pct"/>
            <w:vAlign w:val="center"/>
          </w:tcPr>
          <w:p w14:paraId="03050D30">
            <w:pPr>
              <w:kinsoku w:val="0"/>
              <w:overflowPunct w:val="0"/>
              <w:adjustRightInd w:val="0"/>
              <w:snapToGrid w:val="0"/>
              <w:spacing w:line="300" w:lineRule="exact"/>
              <w:jc w:val="center"/>
              <w:rPr>
                <w:rFonts w:hint="eastAsia" w:ascii="宋体" w:hAnsi="宋体" w:cs="宋体"/>
                <w:smallCaps/>
                <w:color w:val="000000" w:themeColor="text1"/>
                <w:szCs w:val="21"/>
                <w:lang w:bidi="ar"/>
                <w14:textFill>
                  <w14:solidFill>
                    <w14:schemeClr w14:val="tx1"/>
                  </w14:solidFill>
                </w14:textFill>
              </w:rPr>
            </w:pPr>
            <w:r>
              <w:rPr>
                <w:rFonts w:hint="eastAsia" w:ascii="宋体" w:hAnsi="宋体" w:cs="宋体"/>
                <w:smallCaps/>
                <w:color w:val="000000" w:themeColor="text1"/>
                <w:szCs w:val="21"/>
                <w:lang w:bidi="ar"/>
                <w14:textFill>
                  <w14:solidFill>
                    <w14:schemeClr w14:val="tx1"/>
                  </w14:solidFill>
                </w14:textFill>
              </w:rPr>
              <w:t>地下水环境</w:t>
            </w:r>
          </w:p>
        </w:tc>
        <w:tc>
          <w:tcPr>
            <w:tcW w:w="428" w:type="pct"/>
            <w:vMerge w:val="restart"/>
            <w:vAlign w:val="center"/>
          </w:tcPr>
          <w:p w14:paraId="73D7AE65">
            <w:pPr>
              <w:kinsoku w:val="0"/>
              <w:overflowPunct w:val="0"/>
              <w:adjustRightInd w:val="0"/>
              <w:snapToGrid w:val="0"/>
              <w:spacing w:line="30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s="宋体"/>
                <w:smallCaps/>
                <w:color w:val="000000" w:themeColor="text1"/>
                <w:szCs w:val="21"/>
                <w:lang w:bidi="ar"/>
                <w14:textFill>
                  <w14:solidFill>
                    <w14:schemeClr w14:val="tx1"/>
                  </w14:solidFill>
                </w14:textFill>
              </w:rPr>
              <w:t>环境质量</w:t>
            </w:r>
          </w:p>
        </w:tc>
        <w:tc>
          <w:tcPr>
            <w:tcW w:w="1195" w:type="pct"/>
            <w:tcBorders>
              <w:top w:val="single" w:color="auto" w:sz="4" w:space="0"/>
            </w:tcBorders>
            <w:vAlign w:val="center"/>
          </w:tcPr>
          <w:p w14:paraId="344A4F3B">
            <w:pPr>
              <w:kinsoku w:val="0"/>
              <w:overflowPunct w:val="0"/>
              <w:adjustRightInd w:val="0"/>
              <w:snapToGrid w:val="0"/>
              <w:spacing w:line="300" w:lineRule="exact"/>
              <w:jc w:val="center"/>
              <w:rPr>
                <w:rFonts w:hint="eastAsia" w:ascii="宋体" w:hAnsi="宋体" w:cs="宋体"/>
                <w:color w:val="000000" w:themeColor="text1"/>
                <w:kern w:val="0"/>
                <w:szCs w:val="21"/>
                <w:lang w:bidi="ar"/>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利用下游已有水源井进行监测，一般不少于</w:t>
            </w:r>
            <w:r>
              <w:rPr>
                <w:rFonts w:ascii="宋体" w:hAnsi="宋体" w:cs="宋体"/>
                <w:color w:val="000000" w:themeColor="text1"/>
                <w:kern w:val="0"/>
                <w:szCs w:val="21"/>
                <w:lang w:bidi="ar"/>
                <w14:textFill>
                  <w14:solidFill>
                    <w14:schemeClr w14:val="tx1"/>
                  </w14:solidFill>
                </w14:textFill>
              </w:rPr>
              <w:t>3</w:t>
            </w:r>
            <w:r>
              <w:rPr>
                <w:rFonts w:hint="eastAsia" w:ascii="宋体" w:hAnsi="宋体" w:cs="宋体"/>
                <w:color w:val="000000" w:themeColor="text1"/>
                <w:kern w:val="0"/>
                <w:szCs w:val="21"/>
                <w:lang w:bidi="ar"/>
                <w14:textFill>
                  <w14:solidFill>
                    <w14:schemeClr w14:val="tx1"/>
                  </w14:solidFill>
                </w14:textFill>
              </w:rPr>
              <w:t>个监测点，利用环境质量现状监测中的W2、W3和W4点作为地下水跟踪监测点</w:t>
            </w:r>
          </w:p>
        </w:tc>
        <w:tc>
          <w:tcPr>
            <w:tcW w:w="1137" w:type="pct"/>
            <w:vAlign w:val="center"/>
          </w:tcPr>
          <w:p w14:paraId="21CE62A0">
            <w:pPr>
              <w:kinsoku w:val="0"/>
              <w:overflowPunct w:val="0"/>
              <w:adjustRightInd w:val="0"/>
              <w:snapToGrid w:val="0"/>
              <w:spacing w:line="300" w:lineRule="exact"/>
              <w:jc w:val="center"/>
              <w:rPr>
                <w:rFonts w:hint="eastAsia" w:ascii="宋体" w:hAnsi="宋体" w:cs="宋体"/>
                <w:color w:val="000000" w:themeColor="text1"/>
                <w:kern w:val="0"/>
                <w:szCs w:val="21"/>
                <w:lang w:bidi="ar"/>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pH、挥发酚、耗氧量、氨氮、硫化物、氯化物、石油类、总硬度、溶解性总固体、钡、汞、砷、六价铬</w:t>
            </w:r>
          </w:p>
        </w:tc>
        <w:tc>
          <w:tcPr>
            <w:tcW w:w="568" w:type="pct"/>
            <w:vAlign w:val="center"/>
          </w:tcPr>
          <w:p w14:paraId="05AA65F3">
            <w:pPr>
              <w:kinsoku w:val="0"/>
              <w:overflowPunct w:val="0"/>
              <w:adjustRightInd w:val="0"/>
              <w:snapToGrid w:val="0"/>
              <w:spacing w:line="300" w:lineRule="exact"/>
              <w:jc w:val="center"/>
              <w:rPr>
                <w:rFonts w:hint="eastAsia" w:ascii="宋体" w:hAnsi="宋体" w:cs="宋体"/>
                <w:color w:val="000000" w:themeColor="text1"/>
                <w:szCs w:val="21"/>
                <w:lang w:bidi="ar"/>
                <w14:textFill>
                  <w14:solidFill>
                    <w14:schemeClr w14:val="tx1"/>
                  </w14:solidFill>
                </w14:textFill>
              </w:rPr>
            </w:pPr>
            <w:r>
              <w:rPr>
                <w:rFonts w:hint="eastAsia" w:ascii="宋体" w:hAnsi="宋体" w:cs="Arial"/>
                <w:color w:val="000000" w:themeColor="text1"/>
                <w:szCs w:val="21"/>
                <w14:textFill>
                  <w14:solidFill>
                    <w14:schemeClr w14:val="tx1"/>
                  </w14:solidFill>
                </w14:textFill>
              </w:rPr>
              <w:t>1次/年</w:t>
            </w:r>
          </w:p>
        </w:tc>
        <w:tc>
          <w:tcPr>
            <w:tcW w:w="1103" w:type="pct"/>
            <w:vAlign w:val="center"/>
          </w:tcPr>
          <w:p w14:paraId="7515DC3D">
            <w:pPr>
              <w:kinsoku w:val="0"/>
              <w:overflowPunct w:val="0"/>
              <w:adjustRightInd w:val="0"/>
              <w:snapToGrid w:val="0"/>
              <w:spacing w:line="300" w:lineRule="exact"/>
              <w:jc w:val="center"/>
              <w:rPr>
                <w:rFonts w:hint="eastAsia" w:ascii="宋体" w:hAnsi="宋体" w:cs="宋体"/>
                <w:color w:val="000000" w:themeColor="text1"/>
                <w:szCs w:val="21"/>
                <w:lang w:bidi="ar"/>
                <w14:textFill>
                  <w14:solidFill>
                    <w14:schemeClr w14:val="tx1"/>
                  </w14:solidFill>
                </w14:textFill>
              </w:rPr>
            </w:pPr>
            <w:r>
              <w:rPr>
                <w:rFonts w:ascii="宋体" w:hAnsi="宋体" w:cs="宋体"/>
                <w:color w:val="000000" w:themeColor="text1"/>
                <w:kern w:val="0"/>
                <w:szCs w:val="21"/>
                <w:lang w:bidi="ar"/>
                <w14:textFill>
                  <w14:solidFill>
                    <w14:schemeClr w14:val="tx1"/>
                  </w14:solidFill>
                </w14:textFill>
              </w:rPr>
              <w:t>GB/T14843-2017</w:t>
            </w:r>
            <w:r>
              <w:rPr>
                <w:rFonts w:hint="eastAsia" w:ascii="宋体" w:hAnsi="宋体" w:cs="宋体"/>
                <w:color w:val="000000" w:themeColor="text1"/>
                <w:kern w:val="0"/>
                <w:szCs w:val="21"/>
                <w:lang w:bidi="ar"/>
                <w14:textFill>
                  <w14:solidFill>
                    <w14:schemeClr w14:val="tx1"/>
                  </w14:solidFill>
                </w14:textFill>
              </w:rPr>
              <w:t>Ⅲ和</w:t>
            </w:r>
            <w:r>
              <w:rPr>
                <w:rFonts w:ascii="宋体" w:hAnsi="宋体" w:cs="宋体"/>
                <w:color w:val="000000" w:themeColor="text1"/>
                <w:kern w:val="0"/>
                <w:szCs w:val="21"/>
                <w:lang w:bidi="ar"/>
                <w14:textFill>
                  <w14:solidFill>
                    <w14:schemeClr w14:val="tx1"/>
                  </w14:solidFill>
                </w14:textFill>
              </w:rPr>
              <w:t>GB3838-2002</w:t>
            </w:r>
            <w:r>
              <w:rPr>
                <w:rFonts w:hint="eastAsia" w:ascii="宋体" w:hAnsi="宋体" w:cs="宋体"/>
                <w:color w:val="000000" w:themeColor="text1"/>
                <w:kern w:val="0"/>
                <w:szCs w:val="21"/>
                <w:lang w:bidi="ar"/>
                <w14:textFill>
                  <w14:solidFill>
                    <w14:schemeClr w14:val="tx1"/>
                  </w14:solidFill>
                </w14:textFill>
              </w:rPr>
              <w:t>Ⅲ类</w:t>
            </w:r>
          </w:p>
        </w:tc>
      </w:tr>
      <w:tr w14:paraId="5F56B6B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569" w:type="pct"/>
            <w:vAlign w:val="center"/>
          </w:tcPr>
          <w:p w14:paraId="6E19D3E0">
            <w:pPr>
              <w:kinsoku w:val="0"/>
              <w:overflowPunct w:val="0"/>
              <w:adjustRightInd w:val="0"/>
              <w:snapToGrid w:val="0"/>
              <w:spacing w:line="300" w:lineRule="exact"/>
              <w:jc w:val="center"/>
              <w:rPr>
                <w:rFonts w:hint="eastAsia" w:ascii="宋体" w:hAnsi="宋体" w:cs="宋体"/>
                <w:smallCaps/>
                <w:color w:val="000000" w:themeColor="text1"/>
                <w:szCs w:val="21"/>
                <w:lang w:bidi="ar"/>
                <w14:textFill>
                  <w14:solidFill>
                    <w14:schemeClr w14:val="tx1"/>
                  </w14:solidFill>
                </w14:textFill>
              </w:rPr>
            </w:pPr>
            <w:r>
              <w:rPr>
                <w:rFonts w:hint="eastAsia" w:ascii="宋体" w:hAnsi="宋体" w:cs="宋体"/>
                <w:smallCaps/>
                <w:color w:val="000000" w:themeColor="text1"/>
                <w:szCs w:val="21"/>
                <w:lang w:bidi="ar"/>
                <w14:textFill>
                  <w14:solidFill>
                    <w14:schemeClr w14:val="tx1"/>
                  </w14:solidFill>
                </w14:textFill>
              </w:rPr>
              <w:t>土壤环境</w:t>
            </w:r>
          </w:p>
        </w:tc>
        <w:tc>
          <w:tcPr>
            <w:tcW w:w="428" w:type="pct"/>
            <w:vMerge w:val="continue"/>
            <w:vAlign w:val="center"/>
          </w:tcPr>
          <w:p w14:paraId="6FE2319B">
            <w:pPr>
              <w:kinsoku w:val="0"/>
              <w:overflowPunct w:val="0"/>
              <w:adjustRightInd w:val="0"/>
              <w:snapToGrid w:val="0"/>
              <w:spacing w:line="300" w:lineRule="exact"/>
              <w:jc w:val="center"/>
              <w:rPr>
                <w:rFonts w:hint="eastAsia" w:ascii="宋体" w:hAnsi="宋体" w:cs="宋体"/>
                <w:color w:val="000000" w:themeColor="text1"/>
                <w:szCs w:val="21"/>
                <w14:textFill>
                  <w14:solidFill>
                    <w14:schemeClr w14:val="tx1"/>
                  </w14:solidFill>
                </w14:textFill>
              </w:rPr>
            </w:pPr>
          </w:p>
        </w:tc>
        <w:tc>
          <w:tcPr>
            <w:tcW w:w="1195" w:type="pct"/>
            <w:vAlign w:val="center"/>
          </w:tcPr>
          <w:p w14:paraId="5396039D">
            <w:pPr>
              <w:kinsoku w:val="0"/>
              <w:overflowPunct w:val="0"/>
              <w:adjustRightInd w:val="0"/>
              <w:snapToGrid w:val="0"/>
              <w:spacing w:line="300" w:lineRule="exact"/>
              <w:jc w:val="center"/>
              <w:rPr>
                <w:rFonts w:hint="eastAsia" w:ascii="宋体" w:hAnsi="宋体" w:cs="宋体"/>
                <w:color w:val="000000" w:themeColor="text1"/>
                <w:szCs w:val="21"/>
                <w:lang w:bidi="ar"/>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在采油平台各布设1个表层样</w:t>
            </w:r>
          </w:p>
        </w:tc>
        <w:tc>
          <w:tcPr>
            <w:tcW w:w="1137" w:type="pct"/>
            <w:vAlign w:val="center"/>
          </w:tcPr>
          <w:p w14:paraId="3D158510">
            <w:pPr>
              <w:kinsoku w:val="0"/>
              <w:overflowPunct w:val="0"/>
              <w:adjustRightInd w:val="0"/>
              <w:snapToGrid w:val="0"/>
              <w:spacing w:line="300" w:lineRule="exact"/>
              <w:jc w:val="center"/>
              <w:rPr>
                <w:rFonts w:hint="eastAsia" w:ascii="宋体" w:hAnsi="宋体" w:cs="宋体"/>
                <w:color w:val="000000" w:themeColor="text1"/>
                <w:szCs w:val="21"/>
                <w:lang w:bidi="ar"/>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砷、六价铬、石油烃（C</w:t>
            </w:r>
            <w:r>
              <w:rPr>
                <w:rFonts w:ascii="宋体" w:hAnsi="宋体" w:cs="宋体"/>
                <w:color w:val="000000" w:themeColor="text1"/>
                <w:kern w:val="0"/>
                <w:szCs w:val="21"/>
                <w:vertAlign w:val="subscript"/>
                <w:lang w:bidi="ar"/>
                <w14:textFill>
                  <w14:solidFill>
                    <w14:schemeClr w14:val="tx1"/>
                  </w14:solidFill>
                </w14:textFill>
              </w:rPr>
              <w:t>10</w:t>
            </w:r>
            <w:r>
              <w:rPr>
                <w:rFonts w:hint="eastAsia" w:ascii="宋体" w:hAnsi="宋体" w:cs="宋体"/>
                <w:color w:val="000000" w:themeColor="text1"/>
                <w:kern w:val="0"/>
                <w:szCs w:val="21"/>
                <w:lang w:bidi="ar"/>
                <w14:textFill>
                  <w14:solidFill>
                    <w14:schemeClr w14:val="tx1"/>
                  </w14:solidFill>
                </w14:textFill>
              </w:rPr>
              <w:t>～C</w:t>
            </w:r>
            <w:r>
              <w:rPr>
                <w:rFonts w:ascii="宋体" w:hAnsi="宋体" w:cs="宋体"/>
                <w:color w:val="000000" w:themeColor="text1"/>
                <w:kern w:val="0"/>
                <w:szCs w:val="21"/>
                <w:vertAlign w:val="subscript"/>
                <w:lang w:bidi="ar"/>
                <w14:textFill>
                  <w14:solidFill>
                    <w14:schemeClr w14:val="tx1"/>
                  </w14:solidFill>
                </w14:textFill>
              </w:rPr>
              <w:t>40</w:t>
            </w:r>
            <w:r>
              <w:rPr>
                <w:rFonts w:hint="eastAsia" w:ascii="宋体" w:hAnsi="宋体" w:cs="宋体"/>
                <w:color w:val="000000" w:themeColor="text1"/>
                <w:kern w:val="0"/>
                <w:szCs w:val="21"/>
                <w:lang w:bidi="ar"/>
                <w14:textFill>
                  <w14:solidFill>
                    <w14:schemeClr w14:val="tx1"/>
                  </w14:solidFill>
                </w14:textFill>
              </w:rPr>
              <w:t>）</w:t>
            </w:r>
          </w:p>
        </w:tc>
        <w:tc>
          <w:tcPr>
            <w:tcW w:w="568" w:type="pct"/>
            <w:vAlign w:val="center"/>
          </w:tcPr>
          <w:p w14:paraId="7D9E8748">
            <w:pPr>
              <w:kinsoku w:val="0"/>
              <w:overflowPunct w:val="0"/>
              <w:adjustRightInd w:val="0"/>
              <w:snapToGrid w:val="0"/>
              <w:spacing w:line="300" w:lineRule="exact"/>
              <w:jc w:val="center"/>
              <w:rPr>
                <w:rFonts w:hint="eastAsia" w:ascii="宋体" w:hAnsi="宋体" w:cs="宋体"/>
                <w:color w:val="000000" w:themeColor="text1"/>
                <w:szCs w:val="21"/>
                <w:lang w:bidi="ar"/>
                <w14:textFill>
                  <w14:solidFill>
                    <w14:schemeClr w14:val="tx1"/>
                  </w14:solidFill>
                </w14:textFill>
              </w:rPr>
            </w:pPr>
            <w:r>
              <w:rPr>
                <w:rFonts w:hint="eastAsia" w:ascii="宋体" w:hAnsi="宋体" w:cs="Arial"/>
                <w:color w:val="000000" w:themeColor="text1"/>
                <w:szCs w:val="21"/>
                <w14:textFill>
                  <w14:solidFill>
                    <w14:schemeClr w14:val="tx1"/>
                  </w14:solidFill>
                </w14:textFill>
              </w:rPr>
              <w:t>1次/年</w:t>
            </w:r>
          </w:p>
        </w:tc>
        <w:tc>
          <w:tcPr>
            <w:tcW w:w="1103" w:type="pct"/>
            <w:vAlign w:val="center"/>
          </w:tcPr>
          <w:p w14:paraId="45B8D881">
            <w:pPr>
              <w:kinsoku w:val="0"/>
              <w:overflowPunct w:val="0"/>
              <w:adjustRightInd w:val="0"/>
              <w:snapToGrid w:val="0"/>
              <w:spacing w:line="300" w:lineRule="exact"/>
              <w:jc w:val="center"/>
              <w:rPr>
                <w:rFonts w:hint="eastAsia" w:ascii="宋体" w:hAnsi="宋体" w:cs="宋体"/>
                <w:color w:val="000000" w:themeColor="text1"/>
                <w:szCs w:val="21"/>
                <w:lang w:bidi="ar"/>
                <w14:textFill>
                  <w14:solidFill>
                    <w14:schemeClr w14:val="tx1"/>
                  </w14:solidFill>
                </w14:textFill>
              </w:rPr>
            </w:pPr>
            <w:r>
              <w:rPr>
                <w:rFonts w:ascii="宋体" w:hAnsi="宋体" w:cs="宋体"/>
                <w:color w:val="000000" w:themeColor="text1"/>
                <w:kern w:val="0"/>
                <w:szCs w:val="21"/>
                <w14:textFill>
                  <w14:solidFill>
                    <w14:schemeClr w14:val="tx1"/>
                  </w14:solidFill>
                </w14:textFill>
              </w:rPr>
              <w:t>GB36600-2018</w:t>
            </w:r>
            <w:r>
              <w:rPr>
                <w:rFonts w:hint="eastAsia" w:ascii="宋体" w:hAnsi="宋体" w:cs="宋体"/>
                <w:color w:val="000000" w:themeColor="text1"/>
                <w:kern w:val="0"/>
                <w:szCs w:val="21"/>
                <w14:textFill>
                  <w14:solidFill>
                    <w14:schemeClr w14:val="tx1"/>
                  </w14:solidFill>
                </w14:textFill>
              </w:rPr>
              <w:t xml:space="preserve"> 第二类用地筛选值</w:t>
            </w:r>
          </w:p>
        </w:tc>
      </w:tr>
      <w:tr w14:paraId="44E13D7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569" w:type="pct"/>
            <w:vMerge w:val="restart"/>
            <w:vAlign w:val="center"/>
          </w:tcPr>
          <w:p w14:paraId="1CAD3D64">
            <w:pPr>
              <w:adjustRightInd w:val="0"/>
              <w:snapToGrid w:val="0"/>
              <w:spacing w:line="300" w:lineRule="exact"/>
              <w:jc w:val="center"/>
              <w:rPr>
                <w:rFonts w:hint="eastAsia" w:ascii="宋体" w:hAnsi="宋体" w:cs="Arial"/>
                <w:color w:val="000000" w:themeColor="text1"/>
                <w:szCs w:val="21"/>
                <w14:textFill>
                  <w14:solidFill>
                    <w14:schemeClr w14:val="tx1"/>
                  </w14:solidFill>
                </w14:textFill>
              </w:rPr>
            </w:pPr>
            <w:r>
              <w:rPr>
                <w:rFonts w:hint="eastAsia" w:ascii="宋体" w:hAnsi="宋体" w:cs="Arial"/>
                <w:color w:val="000000" w:themeColor="text1"/>
                <w:szCs w:val="21"/>
                <w14:textFill>
                  <w14:solidFill>
                    <w14:schemeClr w14:val="tx1"/>
                  </w14:solidFill>
                </w14:textFill>
              </w:rPr>
              <w:t>生态环境</w:t>
            </w:r>
          </w:p>
        </w:tc>
        <w:tc>
          <w:tcPr>
            <w:tcW w:w="428" w:type="pct"/>
            <w:vAlign w:val="center"/>
          </w:tcPr>
          <w:p w14:paraId="3D18D8CE">
            <w:pPr>
              <w:adjustRightInd w:val="0"/>
              <w:snapToGrid w:val="0"/>
              <w:spacing w:line="300" w:lineRule="exact"/>
              <w:jc w:val="center"/>
              <w:rPr>
                <w:rFonts w:hint="eastAsia" w:ascii="宋体" w:hAnsi="宋体" w:cs="Arial"/>
                <w:color w:val="000000" w:themeColor="text1"/>
                <w:szCs w:val="21"/>
                <w14:textFill>
                  <w14:solidFill>
                    <w14:schemeClr w14:val="tx1"/>
                  </w14:solidFill>
                </w14:textFill>
              </w:rPr>
            </w:pPr>
            <w:r>
              <w:rPr>
                <w:rFonts w:hint="eastAsia" w:ascii="宋体" w:hAnsi="宋体" w:cs="Arial"/>
                <w:color w:val="000000" w:themeColor="text1"/>
                <w:szCs w:val="21"/>
                <w14:textFill>
                  <w14:solidFill>
                    <w14:schemeClr w14:val="tx1"/>
                  </w14:solidFill>
                </w14:textFill>
              </w:rPr>
              <w:t>污染源</w:t>
            </w:r>
          </w:p>
        </w:tc>
        <w:tc>
          <w:tcPr>
            <w:tcW w:w="1195" w:type="pct"/>
            <w:vAlign w:val="center"/>
          </w:tcPr>
          <w:p w14:paraId="7D422881">
            <w:pPr>
              <w:adjustRightInd w:val="0"/>
              <w:snapToGrid w:val="0"/>
              <w:spacing w:line="300" w:lineRule="exact"/>
              <w:jc w:val="center"/>
              <w:rPr>
                <w:rFonts w:hint="eastAsia" w:ascii="宋体" w:hAnsi="宋体" w:cs="宋体"/>
                <w:color w:val="000000" w:themeColor="text1"/>
                <w:kern w:val="0"/>
                <w:szCs w:val="21"/>
                <w:lang w:bidi="ar"/>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临时占地范围内</w:t>
            </w:r>
          </w:p>
        </w:tc>
        <w:tc>
          <w:tcPr>
            <w:tcW w:w="1137" w:type="pct"/>
            <w:vAlign w:val="center"/>
          </w:tcPr>
          <w:p w14:paraId="6E18DC9D">
            <w:pPr>
              <w:adjustRightInd w:val="0"/>
              <w:snapToGrid w:val="0"/>
              <w:spacing w:line="300" w:lineRule="exact"/>
              <w:jc w:val="center"/>
              <w:rPr>
                <w:rFonts w:hint="eastAsia" w:ascii="宋体" w:hAnsi="宋体" w:cs="宋体"/>
                <w:color w:val="000000" w:themeColor="text1"/>
                <w:kern w:val="0"/>
                <w:szCs w:val="21"/>
                <w:lang w:bidi="ar"/>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植被覆盖率、植物多样性组成</w:t>
            </w:r>
          </w:p>
        </w:tc>
        <w:tc>
          <w:tcPr>
            <w:tcW w:w="568" w:type="pct"/>
            <w:vAlign w:val="center"/>
          </w:tcPr>
          <w:p w14:paraId="4AD467B3">
            <w:pPr>
              <w:adjustRightInd w:val="0"/>
              <w:snapToGrid w:val="0"/>
              <w:spacing w:line="300" w:lineRule="exact"/>
              <w:jc w:val="center"/>
              <w:rPr>
                <w:rFonts w:hint="eastAsia" w:ascii="宋体" w:hAnsi="宋体" w:cs="宋体"/>
                <w:color w:val="000000" w:themeColor="text1"/>
                <w:kern w:val="0"/>
                <w:szCs w:val="21"/>
                <w:lang w:bidi="ar"/>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1次/</w:t>
            </w:r>
            <w:r>
              <w:rPr>
                <w:rFonts w:ascii="宋体" w:hAnsi="宋体" w:cs="宋体"/>
                <w:color w:val="000000" w:themeColor="text1"/>
                <w:kern w:val="0"/>
                <w:szCs w:val="21"/>
                <w:lang w:bidi="ar"/>
                <w14:textFill>
                  <w14:solidFill>
                    <w14:schemeClr w14:val="tx1"/>
                  </w14:solidFill>
                </w14:textFill>
              </w:rPr>
              <w:t>3</w:t>
            </w:r>
            <w:r>
              <w:rPr>
                <w:rFonts w:hint="eastAsia" w:ascii="宋体" w:hAnsi="宋体" w:cs="宋体"/>
                <w:color w:val="000000" w:themeColor="text1"/>
                <w:kern w:val="0"/>
                <w:szCs w:val="21"/>
                <w:lang w:bidi="ar"/>
                <w14:textFill>
                  <w14:solidFill>
                    <w14:schemeClr w14:val="tx1"/>
                  </w14:solidFill>
                </w14:textFill>
              </w:rPr>
              <w:t>年</w:t>
            </w:r>
          </w:p>
        </w:tc>
        <w:tc>
          <w:tcPr>
            <w:tcW w:w="1103" w:type="pct"/>
            <w:vAlign w:val="center"/>
          </w:tcPr>
          <w:p w14:paraId="519B10D3">
            <w:pPr>
              <w:adjustRightInd w:val="0"/>
              <w:snapToGrid w:val="0"/>
              <w:spacing w:line="300" w:lineRule="exact"/>
              <w:jc w:val="center"/>
              <w:rPr>
                <w:rFonts w:hint="eastAsia" w:ascii="宋体" w:hAnsi="宋体" w:cs="宋体"/>
                <w:color w:val="000000" w:themeColor="text1"/>
                <w:kern w:val="0"/>
                <w:szCs w:val="21"/>
                <w:lang w:bidi="ar"/>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w:t>
            </w:r>
          </w:p>
        </w:tc>
      </w:tr>
      <w:tr w14:paraId="4A5C702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569" w:type="pct"/>
            <w:vMerge w:val="continue"/>
            <w:vAlign w:val="center"/>
          </w:tcPr>
          <w:p w14:paraId="10004E76">
            <w:pPr>
              <w:adjustRightInd w:val="0"/>
              <w:snapToGrid w:val="0"/>
              <w:spacing w:line="300" w:lineRule="exact"/>
              <w:jc w:val="center"/>
              <w:rPr>
                <w:rFonts w:hint="eastAsia" w:ascii="宋体" w:hAnsi="宋体" w:cs="Arial"/>
                <w:color w:val="000000" w:themeColor="text1"/>
                <w:szCs w:val="21"/>
                <w14:textFill>
                  <w14:solidFill>
                    <w14:schemeClr w14:val="tx1"/>
                  </w14:solidFill>
                </w14:textFill>
              </w:rPr>
            </w:pPr>
          </w:p>
        </w:tc>
        <w:tc>
          <w:tcPr>
            <w:tcW w:w="428" w:type="pct"/>
            <w:vAlign w:val="center"/>
          </w:tcPr>
          <w:p w14:paraId="76CEAFDF">
            <w:pPr>
              <w:adjustRightInd w:val="0"/>
              <w:snapToGrid w:val="0"/>
              <w:spacing w:line="300" w:lineRule="exact"/>
              <w:jc w:val="center"/>
              <w:rPr>
                <w:rFonts w:hint="eastAsia" w:ascii="宋体" w:hAnsi="宋体" w:cs="Arial"/>
                <w:color w:val="000000" w:themeColor="text1"/>
                <w:szCs w:val="21"/>
                <w14:textFill>
                  <w14:solidFill>
                    <w14:schemeClr w14:val="tx1"/>
                  </w14:solidFill>
                </w14:textFill>
              </w:rPr>
            </w:pPr>
            <w:r>
              <w:rPr>
                <w:rFonts w:hint="eastAsia" w:ascii="宋体" w:hAnsi="宋体" w:cs="Arial"/>
                <w:color w:val="000000" w:themeColor="text1"/>
                <w:szCs w:val="21"/>
                <w14:textFill>
                  <w14:solidFill>
                    <w14:schemeClr w14:val="tx1"/>
                  </w14:solidFill>
                </w14:textFill>
              </w:rPr>
              <w:t>环境质量</w:t>
            </w:r>
          </w:p>
        </w:tc>
        <w:tc>
          <w:tcPr>
            <w:tcW w:w="1195" w:type="pct"/>
            <w:vAlign w:val="center"/>
          </w:tcPr>
          <w:p w14:paraId="723E0840">
            <w:pPr>
              <w:adjustRightInd w:val="0"/>
              <w:snapToGrid w:val="0"/>
              <w:spacing w:line="300" w:lineRule="exact"/>
              <w:jc w:val="center"/>
              <w:rPr>
                <w:rFonts w:hint="eastAsia" w:ascii="宋体" w:hAnsi="宋体" w:cs="宋体"/>
                <w:color w:val="000000" w:themeColor="text1"/>
                <w:kern w:val="0"/>
                <w:szCs w:val="21"/>
                <w:lang w:bidi="ar"/>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管线临时占地范围外3</w:t>
            </w:r>
            <w:r>
              <w:rPr>
                <w:rFonts w:ascii="宋体" w:hAnsi="宋体" w:cs="宋体"/>
                <w:color w:val="000000" w:themeColor="text1"/>
                <w:kern w:val="0"/>
                <w:szCs w:val="21"/>
                <w:lang w:bidi="ar"/>
                <w14:textFill>
                  <w14:solidFill>
                    <w14:schemeClr w14:val="tx1"/>
                  </w14:solidFill>
                </w14:textFill>
              </w:rPr>
              <w:t>00</w:t>
            </w:r>
            <w:r>
              <w:rPr>
                <w:rFonts w:hint="eastAsia" w:ascii="宋体" w:hAnsi="宋体" w:cs="宋体"/>
                <w:color w:val="000000" w:themeColor="text1"/>
                <w:kern w:val="0"/>
                <w:szCs w:val="21"/>
                <w:lang w:bidi="ar"/>
                <w14:textFill>
                  <w14:solidFill>
                    <w14:schemeClr w14:val="tx1"/>
                  </w14:solidFill>
                </w14:textFill>
              </w:rPr>
              <w:t>m范围内，井场、计量站临时占地50m范围内</w:t>
            </w:r>
          </w:p>
        </w:tc>
        <w:tc>
          <w:tcPr>
            <w:tcW w:w="1137" w:type="pct"/>
            <w:vAlign w:val="center"/>
          </w:tcPr>
          <w:p w14:paraId="50CF8466">
            <w:pPr>
              <w:adjustRightInd w:val="0"/>
              <w:snapToGrid w:val="0"/>
              <w:spacing w:line="300" w:lineRule="exact"/>
              <w:jc w:val="center"/>
              <w:rPr>
                <w:rFonts w:hint="eastAsia" w:ascii="宋体" w:hAnsi="宋体" w:cs="宋体"/>
                <w:color w:val="000000" w:themeColor="text1"/>
                <w:kern w:val="0"/>
                <w:szCs w:val="21"/>
                <w:lang w:bidi="ar"/>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植被覆盖率、植物多样性组成</w:t>
            </w:r>
          </w:p>
        </w:tc>
        <w:tc>
          <w:tcPr>
            <w:tcW w:w="568" w:type="pct"/>
            <w:vAlign w:val="center"/>
          </w:tcPr>
          <w:p w14:paraId="44170E5A">
            <w:pPr>
              <w:adjustRightInd w:val="0"/>
              <w:snapToGrid w:val="0"/>
              <w:spacing w:line="300" w:lineRule="exact"/>
              <w:jc w:val="center"/>
              <w:rPr>
                <w:rFonts w:hint="eastAsia" w:ascii="宋体" w:hAnsi="宋体" w:cs="宋体"/>
                <w:color w:val="000000" w:themeColor="text1"/>
                <w:kern w:val="0"/>
                <w:szCs w:val="21"/>
                <w:lang w:bidi="ar"/>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1次/</w:t>
            </w:r>
            <w:r>
              <w:rPr>
                <w:rFonts w:ascii="宋体" w:hAnsi="宋体" w:cs="宋体"/>
                <w:color w:val="000000" w:themeColor="text1"/>
                <w:kern w:val="0"/>
                <w:szCs w:val="21"/>
                <w:lang w:bidi="ar"/>
                <w14:textFill>
                  <w14:solidFill>
                    <w14:schemeClr w14:val="tx1"/>
                  </w14:solidFill>
                </w14:textFill>
              </w:rPr>
              <w:t>3</w:t>
            </w:r>
            <w:r>
              <w:rPr>
                <w:rFonts w:hint="eastAsia" w:ascii="宋体" w:hAnsi="宋体" w:cs="宋体"/>
                <w:color w:val="000000" w:themeColor="text1"/>
                <w:kern w:val="0"/>
                <w:szCs w:val="21"/>
                <w:lang w:bidi="ar"/>
                <w14:textFill>
                  <w14:solidFill>
                    <w14:schemeClr w14:val="tx1"/>
                  </w14:solidFill>
                </w14:textFill>
              </w:rPr>
              <w:t>年</w:t>
            </w:r>
          </w:p>
        </w:tc>
        <w:tc>
          <w:tcPr>
            <w:tcW w:w="1103" w:type="pct"/>
            <w:vAlign w:val="center"/>
          </w:tcPr>
          <w:p w14:paraId="438E6F9B">
            <w:pPr>
              <w:adjustRightInd w:val="0"/>
              <w:snapToGrid w:val="0"/>
              <w:spacing w:line="300" w:lineRule="exact"/>
              <w:jc w:val="center"/>
              <w:rPr>
                <w:rFonts w:hint="eastAsia" w:ascii="宋体" w:hAnsi="宋体" w:cs="宋体"/>
                <w:color w:val="000000" w:themeColor="text1"/>
                <w:kern w:val="0"/>
                <w:szCs w:val="21"/>
                <w:lang w:bidi="ar"/>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w:t>
            </w:r>
          </w:p>
        </w:tc>
      </w:tr>
      <w:bookmarkEnd w:id="842"/>
      <w:bookmarkEnd w:id="843"/>
      <w:bookmarkEnd w:id="844"/>
    </w:tbl>
    <w:p w14:paraId="5746DEF5">
      <w:pPr>
        <w:pStyle w:val="4"/>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环境设施验收</w:t>
      </w:r>
      <w:r>
        <w:rPr>
          <w:color w:val="000000" w:themeColor="text1"/>
          <w14:textFill>
            <w14:solidFill>
              <w14:schemeClr w14:val="tx1"/>
            </w14:solidFill>
          </w14:textFill>
        </w:rPr>
        <w:t>建议</w:t>
      </w:r>
    </w:p>
    <w:p w14:paraId="54E43A97">
      <w:pPr>
        <w:pStyle w:val="117"/>
        <w:adjustRightInd w:val="0"/>
        <w:snapToGrid w:val="0"/>
        <w:spacing w:line="480" w:lineRule="exact"/>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验收</w:t>
      </w:r>
      <w:r>
        <w:rPr>
          <w:color w:val="000000" w:themeColor="text1"/>
          <w14:textFill>
            <w14:solidFill>
              <w14:schemeClr w14:val="tx1"/>
            </w14:solidFill>
          </w14:textFill>
        </w:rPr>
        <w:t>范围</w:t>
      </w:r>
    </w:p>
    <w:p w14:paraId="52A887AC">
      <w:pPr>
        <w:pStyle w:val="117"/>
        <w:adjustRightInd w:val="0"/>
        <w:snapToGrid w:val="0"/>
        <w:spacing w:line="480" w:lineRule="exact"/>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①</w:t>
      </w:r>
      <w:r>
        <w:rPr>
          <w:color w:val="000000" w:themeColor="text1"/>
          <w14:textFill>
            <w14:solidFill>
              <w14:schemeClr w14:val="tx1"/>
            </w14:solidFill>
          </w14:textFill>
        </w:rPr>
        <w:t>与项目有关的各项环保设施，包括为防治污染和保护环境所配套建成的治理工程、设备、装置和监测手段，以及各项生态保护设施等</w:t>
      </w:r>
      <w:r>
        <w:rPr>
          <w:rFonts w:hint="eastAsia"/>
          <w:color w:val="000000" w:themeColor="text1"/>
          <w14:textFill>
            <w14:solidFill>
              <w14:schemeClr w14:val="tx1"/>
            </w14:solidFill>
          </w14:textFill>
        </w:rPr>
        <w:t>。</w:t>
      </w:r>
    </w:p>
    <w:p w14:paraId="2669C301">
      <w:pPr>
        <w:pStyle w:val="117"/>
        <w:adjustRightInd w:val="0"/>
        <w:snapToGrid w:val="0"/>
        <w:spacing w:line="480" w:lineRule="exact"/>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②</w:t>
      </w:r>
      <w:r>
        <w:rPr>
          <w:color w:val="000000" w:themeColor="text1"/>
          <w14:textFill>
            <w14:solidFill>
              <w14:schemeClr w14:val="tx1"/>
            </w14:solidFill>
          </w14:textFill>
        </w:rPr>
        <w:t>环境影响报告书及批复文件和有关设计文件规定应采取的环保措施。</w:t>
      </w:r>
    </w:p>
    <w:p w14:paraId="426AB7F5">
      <w:pPr>
        <w:pStyle w:val="117"/>
        <w:adjustRightInd w:val="0"/>
        <w:snapToGrid w:val="0"/>
        <w:spacing w:line="480" w:lineRule="exact"/>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（2）验收内容</w:t>
      </w:r>
    </w:p>
    <w:p w14:paraId="13200D7F">
      <w:pPr>
        <w:pStyle w:val="117"/>
        <w:adjustRightInd w:val="0"/>
        <w:snapToGrid w:val="0"/>
        <w:spacing w:line="480" w:lineRule="exact"/>
        <w:ind w:firstLine="480"/>
        <w:jc w:val="left"/>
        <w:rPr>
          <w:rFonts w:hint="eastAsia"/>
          <w:color w:val="000000" w:themeColor="text1"/>
          <w14:textFill>
            <w14:solidFill>
              <w14:schemeClr w14:val="tx1"/>
            </w14:solidFill>
          </w14:textFill>
        </w:rPr>
        <w:sectPr>
          <w:pgSz w:w="11906" w:h="16838"/>
          <w:pgMar w:top="1418" w:right="1588" w:bottom="1418" w:left="1588" w:header="1020" w:footer="1020" w:gutter="0"/>
          <w:cols w:space="720" w:num="1"/>
          <w:docGrid w:type="lines" w:linePitch="312" w:charSpace="0"/>
        </w:sectPr>
      </w:pPr>
      <w:r>
        <w:rPr>
          <w:color w:val="000000" w:themeColor="text1"/>
          <w14:textFill>
            <w14:solidFill>
              <w14:schemeClr w14:val="tx1"/>
            </w14:solidFill>
          </w14:textFill>
        </w:rPr>
        <w:t>按照《建设项目竣工环境保护验收技术规范  石油天然气开采》</w:t>
      </w:r>
      <w:r>
        <w:rPr>
          <w:rFonts w:hint="eastAsia"/>
          <w:color w:val="000000" w:themeColor="text1"/>
          <w14:textFill>
            <w14:solidFill>
              <w14:schemeClr w14:val="tx1"/>
            </w14:solidFill>
          </w14:textFill>
        </w:rPr>
        <w:t>中有关规定开展验收，根据建设进度分期开展自主环保竣工验收并应当依法向社会公开验收报告。环保验收建议清单</w:t>
      </w:r>
      <w:r>
        <w:rPr>
          <w:color w:val="000000" w:themeColor="text1"/>
          <w14:textFill>
            <w14:solidFill>
              <w14:schemeClr w14:val="tx1"/>
            </w14:solidFill>
          </w14:textFill>
        </w:rPr>
        <w:t>见</w:t>
      </w:r>
      <w:r>
        <w:rPr>
          <w:rFonts w:hint="eastAsia"/>
          <w:color w:val="000000" w:themeColor="text1"/>
          <w14:textFill>
            <w14:solidFill>
              <w14:schemeClr w14:val="tx1"/>
            </w14:solidFill>
          </w14:textFill>
        </w:rPr>
        <w:t>表</w:t>
      </w:r>
      <w:r>
        <w:rPr>
          <w:color w:val="000000" w:themeColor="text1"/>
          <w14:textFill>
            <w14:solidFill>
              <w14:schemeClr w14:val="tx1"/>
            </w14:solidFill>
          </w14:textFill>
        </w:rPr>
        <w:t>7.5-3</w:t>
      </w:r>
      <w:r>
        <w:rPr>
          <w:rFonts w:hint="eastAsia"/>
          <w:color w:val="000000" w:themeColor="text1"/>
          <w14:textFill>
            <w14:solidFill>
              <w14:schemeClr w14:val="tx1"/>
            </w14:solidFill>
          </w14:textFill>
        </w:rPr>
        <w:t>。</w:t>
      </w:r>
      <w:bookmarkStart w:id="845" w:name="_Hlk37704697"/>
      <w:bookmarkStart w:id="846" w:name="_Hlk512504272"/>
    </w:p>
    <w:p w14:paraId="4FB26C4B">
      <w:pPr>
        <w:pStyle w:val="117"/>
        <w:ind w:firstLine="0" w:firstLineChars="0"/>
        <w:jc w:val="center"/>
        <w:rPr>
          <w:rFonts w:hint="eastAsia" w:ascii="黑体" w:hAnsi="黑体" w:eastAsia="黑体"/>
          <w:color w:val="000000" w:themeColor="text1"/>
          <w:sz w:val="21"/>
          <w:szCs w:val="21"/>
          <w14:textFill>
            <w14:solidFill>
              <w14:schemeClr w14:val="tx1"/>
            </w14:solidFill>
          </w14:textFill>
        </w:rPr>
      </w:pPr>
      <w:bookmarkStart w:id="847" w:name="_Hlk147588209"/>
      <w:r>
        <w:rPr>
          <w:rFonts w:hint="eastAsia" w:ascii="黑体" w:hAnsi="黑体" w:eastAsia="黑体"/>
          <w:color w:val="000000" w:themeColor="text1"/>
          <w:sz w:val="21"/>
          <w:szCs w:val="21"/>
          <w14:textFill>
            <w14:solidFill>
              <w14:schemeClr w14:val="tx1"/>
            </w14:solidFill>
          </w14:textFill>
        </w:rPr>
        <w:t>表</w:t>
      </w:r>
      <w:r>
        <w:rPr>
          <w:rFonts w:ascii="黑体" w:hAnsi="黑体" w:eastAsia="黑体"/>
          <w:color w:val="000000" w:themeColor="text1"/>
          <w:sz w:val="21"/>
          <w:szCs w:val="21"/>
          <w14:textFill>
            <w14:solidFill>
              <w14:schemeClr w14:val="tx1"/>
            </w14:solidFill>
          </w14:textFill>
        </w:rPr>
        <w:t xml:space="preserve">7.5-3  </w:t>
      </w:r>
      <w:r>
        <w:rPr>
          <w:rFonts w:hint="eastAsia" w:ascii="黑体" w:hAnsi="黑体" w:eastAsia="黑体"/>
          <w:color w:val="000000" w:themeColor="text1"/>
          <w:sz w:val="21"/>
          <w:szCs w:val="21"/>
          <w14:textFill>
            <w14:solidFill>
              <w14:schemeClr w14:val="tx1"/>
            </w14:solidFill>
          </w14:textFill>
        </w:rPr>
        <w:t>工程“三同时”竣工验收调查建议</w:t>
      </w:r>
      <w:r>
        <w:rPr>
          <w:rFonts w:ascii="黑体" w:hAnsi="黑体" w:eastAsia="黑体"/>
          <w:color w:val="000000" w:themeColor="text1"/>
          <w:sz w:val="21"/>
          <w:szCs w:val="21"/>
          <w14:textFill>
            <w14:solidFill>
              <w14:schemeClr w14:val="tx1"/>
            </w14:solidFill>
          </w14:textFill>
        </w:rPr>
        <w:t>清单</w:t>
      </w:r>
    </w:p>
    <w:tbl>
      <w:tblPr>
        <w:tblStyle w:val="51"/>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998"/>
        <w:gridCol w:w="1279"/>
        <w:gridCol w:w="1707"/>
        <w:gridCol w:w="1566"/>
        <w:gridCol w:w="4271"/>
        <w:gridCol w:w="995"/>
        <w:gridCol w:w="3233"/>
        <w:gridCol w:w="9"/>
      </w:tblGrid>
      <w:tr w14:paraId="5D4436F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gridAfter w:val="1"/>
          <w:wAfter w:w="3" w:type="pct"/>
          <w:cantSplit/>
          <w:trHeight w:val="284" w:hRule="atLeast"/>
          <w:jc w:val="center"/>
        </w:trPr>
        <w:tc>
          <w:tcPr>
            <w:tcW w:w="810" w:type="pct"/>
            <w:gridSpan w:val="2"/>
            <w:tcMar>
              <w:left w:w="28" w:type="dxa"/>
              <w:right w:w="28" w:type="dxa"/>
            </w:tcMar>
            <w:vAlign w:val="center"/>
          </w:tcPr>
          <w:p w14:paraId="0AF16B11">
            <w:pPr>
              <w:pStyle w:val="278"/>
              <w:adjustRightInd w:val="0"/>
              <w:snapToGrid w:val="0"/>
              <w:spacing w:line="28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污染源</w:t>
            </w:r>
          </w:p>
        </w:tc>
        <w:tc>
          <w:tcPr>
            <w:tcW w:w="607" w:type="pct"/>
            <w:tcMar>
              <w:left w:w="28" w:type="dxa"/>
              <w:right w:w="28" w:type="dxa"/>
            </w:tcMar>
            <w:vAlign w:val="center"/>
          </w:tcPr>
          <w:p w14:paraId="6AA51B47">
            <w:pPr>
              <w:pStyle w:val="278"/>
              <w:adjustRightInd w:val="0"/>
              <w:snapToGrid w:val="0"/>
              <w:spacing w:line="28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污染因子</w:t>
            </w:r>
          </w:p>
        </w:tc>
        <w:tc>
          <w:tcPr>
            <w:tcW w:w="557" w:type="pct"/>
            <w:tcMar>
              <w:left w:w="28" w:type="dxa"/>
              <w:right w:w="28" w:type="dxa"/>
            </w:tcMar>
            <w:vAlign w:val="center"/>
          </w:tcPr>
          <w:p w14:paraId="5B146428">
            <w:pPr>
              <w:pStyle w:val="278"/>
              <w:adjustRightInd w:val="0"/>
              <w:snapToGrid w:val="0"/>
              <w:spacing w:line="28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位置</w:t>
            </w:r>
          </w:p>
        </w:tc>
        <w:tc>
          <w:tcPr>
            <w:tcW w:w="1519" w:type="pct"/>
            <w:tcMar>
              <w:left w:w="28" w:type="dxa"/>
              <w:right w:w="28" w:type="dxa"/>
            </w:tcMar>
            <w:vAlign w:val="center"/>
          </w:tcPr>
          <w:p w14:paraId="38534BEA">
            <w:pPr>
              <w:pStyle w:val="278"/>
              <w:adjustRightInd w:val="0"/>
              <w:snapToGrid w:val="0"/>
              <w:spacing w:line="28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防治措施</w:t>
            </w:r>
          </w:p>
        </w:tc>
        <w:tc>
          <w:tcPr>
            <w:tcW w:w="354" w:type="pct"/>
            <w:tcBorders>
              <w:bottom w:val="single" w:color="000000" w:sz="4" w:space="0"/>
            </w:tcBorders>
            <w:tcMar>
              <w:left w:w="28" w:type="dxa"/>
              <w:right w:w="28" w:type="dxa"/>
            </w:tcMar>
            <w:vAlign w:val="center"/>
          </w:tcPr>
          <w:p w14:paraId="6E9433BC">
            <w:pPr>
              <w:pStyle w:val="278"/>
              <w:adjustRightInd w:val="0"/>
              <w:snapToGrid w:val="0"/>
              <w:spacing w:line="28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治理要求</w:t>
            </w:r>
          </w:p>
        </w:tc>
        <w:tc>
          <w:tcPr>
            <w:tcW w:w="1150" w:type="pct"/>
            <w:tcBorders>
              <w:bottom w:val="single" w:color="000000" w:sz="4" w:space="0"/>
            </w:tcBorders>
            <w:tcMar>
              <w:left w:w="28" w:type="dxa"/>
              <w:right w:w="28" w:type="dxa"/>
            </w:tcMar>
            <w:vAlign w:val="center"/>
          </w:tcPr>
          <w:p w14:paraId="4691AA6F">
            <w:pPr>
              <w:pStyle w:val="278"/>
              <w:adjustRightInd w:val="0"/>
              <w:snapToGrid w:val="0"/>
              <w:spacing w:line="28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验收标准</w:t>
            </w:r>
          </w:p>
        </w:tc>
      </w:tr>
      <w:tr w14:paraId="3D79707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284" w:hRule="atLeast"/>
          <w:jc w:val="center"/>
        </w:trPr>
        <w:tc>
          <w:tcPr>
            <w:tcW w:w="355" w:type="pct"/>
            <w:tcBorders>
              <w:right w:val="single" w:color="000000" w:sz="4" w:space="0"/>
            </w:tcBorders>
            <w:tcMar>
              <w:left w:w="28" w:type="dxa"/>
              <w:right w:w="28" w:type="dxa"/>
            </w:tcMar>
            <w:vAlign w:val="center"/>
          </w:tcPr>
          <w:p w14:paraId="1CFDAF59">
            <w:pPr>
              <w:pStyle w:val="278"/>
              <w:adjustRightInd w:val="0"/>
              <w:snapToGrid w:val="0"/>
              <w:spacing w:line="280" w:lineRule="exact"/>
              <w:rPr>
                <w:rFonts w:hint="eastAsia"/>
                <w:color w:val="000000" w:themeColor="text1"/>
                <w14:textFill>
                  <w14:solidFill>
                    <w14:schemeClr w14:val="tx1"/>
                  </w14:solidFill>
                </w14:textFill>
              </w:rPr>
            </w:pPr>
            <w:bookmarkStart w:id="848" w:name="_Hlk173437543"/>
            <w:r>
              <w:rPr>
                <w:rFonts w:hint="eastAsia"/>
                <w:color w:val="000000" w:themeColor="text1"/>
                <w14:textFill>
                  <w14:solidFill>
                    <w14:schemeClr w14:val="tx1"/>
                  </w14:solidFill>
                </w14:textFill>
              </w:rPr>
              <w:t>废气</w:t>
            </w:r>
          </w:p>
        </w:tc>
        <w:tc>
          <w:tcPr>
            <w:tcW w:w="455" w:type="pct"/>
            <w:tcBorders>
              <w:left w:val="single" w:color="000000" w:sz="4" w:space="0"/>
            </w:tcBorders>
            <w:vAlign w:val="center"/>
          </w:tcPr>
          <w:p w14:paraId="4B3CA859">
            <w:pPr>
              <w:pStyle w:val="278"/>
              <w:adjustRightInd w:val="0"/>
              <w:snapToGrid w:val="0"/>
              <w:spacing w:line="28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无组织废气</w:t>
            </w:r>
          </w:p>
        </w:tc>
        <w:tc>
          <w:tcPr>
            <w:tcW w:w="607" w:type="pct"/>
            <w:tcMar>
              <w:left w:w="28" w:type="dxa"/>
              <w:right w:w="28" w:type="dxa"/>
            </w:tcMar>
            <w:vAlign w:val="center"/>
          </w:tcPr>
          <w:p w14:paraId="71132EF4">
            <w:pPr>
              <w:pStyle w:val="278"/>
              <w:adjustRightInd w:val="0"/>
              <w:snapToGrid w:val="0"/>
              <w:spacing w:line="28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N</w:t>
            </w:r>
            <w:r>
              <w:rPr>
                <w:color w:val="000000" w:themeColor="text1"/>
                <w14:textFill>
                  <w14:solidFill>
                    <w14:schemeClr w14:val="tx1"/>
                  </w14:solidFill>
                </w14:textFill>
              </w:rPr>
              <w:t>MHC</w:t>
            </w:r>
            <w:r>
              <w:rPr>
                <w:rFonts w:hint="eastAsia"/>
                <w:color w:val="000000" w:themeColor="text1"/>
                <w14:textFill>
                  <w14:solidFill>
                    <w14:schemeClr w14:val="tx1"/>
                  </w14:solidFill>
                </w14:textFill>
              </w:rPr>
              <w:t>、硫化氢</w:t>
            </w:r>
          </w:p>
        </w:tc>
        <w:tc>
          <w:tcPr>
            <w:tcW w:w="557" w:type="pct"/>
            <w:tcMar>
              <w:left w:w="28" w:type="dxa"/>
              <w:right w:w="28" w:type="dxa"/>
            </w:tcMar>
            <w:vAlign w:val="center"/>
          </w:tcPr>
          <w:p w14:paraId="07FD3191">
            <w:pPr>
              <w:pStyle w:val="278"/>
              <w:adjustRightInd w:val="0"/>
              <w:snapToGrid w:val="0"/>
              <w:spacing w:line="28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1号计量站及预处理注入站</w:t>
            </w:r>
          </w:p>
        </w:tc>
        <w:tc>
          <w:tcPr>
            <w:tcW w:w="1519" w:type="pct"/>
            <w:tcMar>
              <w:left w:w="28" w:type="dxa"/>
              <w:right w:w="28" w:type="dxa"/>
            </w:tcMar>
            <w:vAlign w:val="center"/>
          </w:tcPr>
          <w:p w14:paraId="176342F2">
            <w:pPr>
              <w:pStyle w:val="278"/>
              <w:adjustRightInd w:val="0"/>
              <w:snapToGrid w:val="0"/>
              <w:spacing w:line="28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采出物通过密闭集输及处理工艺；选用质量可靠的设备、仪表、阀门、管线等；定期对站场内各设备、阀门和管线等检查、检修；</w:t>
            </w:r>
            <w:bookmarkStart w:id="849" w:name="OLE_LINK116"/>
            <w:r>
              <w:rPr>
                <w:rFonts w:hint="eastAsia"/>
                <w:color w:val="000000" w:themeColor="text1"/>
                <w14:textFill>
                  <w14:solidFill>
                    <w14:schemeClr w14:val="tx1"/>
                  </w14:solidFill>
                </w14:textFill>
              </w:rPr>
              <w:t>井场设除硫加药装置</w:t>
            </w:r>
            <w:bookmarkEnd w:id="849"/>
          </w:p>
        </w:tc>
        <w:tc>
          <w:tcPr>
            <w:tcW w:w="354" w:type="pct"/>
            <w:tcMar>
              <w:left w:w="28" w:type="dxa"/>
              <w:right w:w="28" w:type="dxa"/>
            </w:tcMar>
            <w:vAlign w:val="center"/>
          </w:tcPr>
          <w:p w14:paraId="560C0B64">
            <w:pPr>
              <w:pStyle w:val="278"/>
              <w:adjustRightInd w:val="0"/>
              <w:snapToGrid w:val="0"/>
              <w:spacing w:line="28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达标排放</w:t>
            </w:r>
          </w:p>
        </w:tc>
        <w:tc>
          <w:tcPr>
            <w:tcW w:w="1153" w:type="pct"/>
            <w:gridSpan w:val="2"/>
            <w:tcMar>
              <w:left w:w="28" w:type="dxa"/>
              <w:right w:w="28" w:type="dxa"/>
            </w:tcMar>
            <w:vAlign w:val="center"/>
          </w:tcPr>
          <w:p w14:paraId="271DCE20">
            <w:pPr>
              <w:pStyle w:val="278"/>
              <w:adjustRightInd w:val="0"/>
              <w:snapToGrid w:val="0"/>
              <w:spacing w:line="280" w:lineRule="exact"/>
              <w:jc w:val="both"/>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《陆上石油天然气开采工业大气污染物排放标准》（GB39728—2020）企业边界污染物控制要求《恶臭污染物排放标准》（GB14554-93）表1二级新改扩建</w:t>
            </w:r>
          </w:p>
        </w:tc>
      </w:tr>
      <w:bookmarkEnd w:id="848"/>
      <w:tr w14:paraId="007163C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284" w:hRule="atLeast"/>
          <w:jc w:val="center"/>
        </w:trPr>
        <w:tc>
          <w:tcPr>
            <w:tcW w:w="355" w:type="pct"/>
            <w:tcMar>
              <w:left w:w="28" w:type="dxa"/>
              <w:right w:w="28" w:type="dxa"/>
            </w:tcMar>
            <w:vAlign w:val="center"/>
          </w:tcPr>
          <w:p w14:paraId="76DBC8E9">
            <w:pPr>
              <w:pStyle w:val="278"/>
              <w:adjustRightInd w:val="0"/>
              <w:snapToGrid w:val="0"/>
              <w:spacing w:line="28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废水</w:t>
            </w:r>
          </w:p>
        </w:tc>
        <w:tc>
          <w:tcPr>
            <w:tcW w:w="455" w:type="pct"/>
            <w:tcBorders>
              <w:left w:val="single" w:color="auto" w:sz="4" w:space="0"/>
            </w:tcBorders>
            <w:vAlign w:val="center"/>
          </w:tcPr>
          <w:p w14:paraId="68B78A61">
            <w:pPr>
              <w:pStyle w:val="278"/>
              <w:adjustRightInd w:val="0"/>
              <w:snapToGrid w:val="0"/>
              <w:spacing w:line="28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洗井废水和井下作业废液</w:t>
            </w:r>
          </w:p>
        </w:tc>
        <w:tc>
          <w:tcPr>
            <w:tcW w:w="607" w:type="pct"/>
            <w:tcMar>
              <w:left w:w="28" w:type="dxa"/>
              <w:right w:w="28" w:type="dxa"/>
            </w:tcMar>
            <w:vAlign w:val="center"/>
          </w:tcPr>
          <w:p w14:paraId="64448F44">
            <w:pPr>
              <w:pStyle w:val="278"/>
              <w:adjustRightInd w:val="0"/>
              <w:snapToGrid w:val="0"/>
              <w:spacing w:line="28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石油类、COD</w:t>
            </w:r>
          </w:p>
        </w:tc>
        <w:tc>
          <w:tcPr>
            <w:tcW w:w="557" w:type="pct"/>
            <w:tcMar>
              <w:left w:w="28" w:type="dxa"/>
              <w:right w:w="28" w:type="dxa"/>
            </w:tcMar>
          </w:tcPr>
          <w:p w14:paraId="3539105A">
            <w:pPr>
              <w:pStyle w:val="278"/>
              <w:adjustRightInd w:val="0"/>
              <w:snapToGrid w:val="0"/>
              <w:spacing w:line="28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井场及预处理注入站</w:t>
            </w:r>
          </w:p>
        </w:tc>
        <w:tc>
          <w:tcPr>
            <w:tcW w:w="1519" w:type="pct"/>
            <w:tcMar>
              <w:left w:w="28" w:type="dxa"/>
              <w:right w:w="28" w:type="dxa"/>
            </w:tcMar>
            <w:vAlign w:val="center"/>
          </w:tcPr>
          <w:p w14:paraId="69350EB4">
            <w:pPr>
              <w:pStyle w:val="278"/>
              <w:adjustRightInd w:val="0"/>
              <w:snapToGrid w:val="0"/>
              <w:spacing w:line="28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送至压裂返排液处理装置处理</w:t>
            </w:r>
          </w:p>
        </w:tc>
        <w:tc>
          <w:tcPr>
            <w:tcW w:w="354" w:type="pct"/>
            <w:tcMar>
              <w:left w:w="28" w:type="dxa"/>
              <w:right w:w="28" w:type="dxa"/>
            </w:tcMar>
            <w:vAlign w:val="center"/>
          </w:tcPr>
          <w:p w14:paraId="33821091">
            <w:pPr>
              <w:pStyle w:val="278"/>
              <w:adjustRightInd w:val="0"/>
              <w:snapToGrid w:val="0"/>
              <w:spacing w:line="28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处理达标后用于压裂液复配</w:t>
            </w:r>
          </w:p>
        </w:tc>
        <w:tc>
          <w:tcPr>
            <w:tcW w:w="1153" w:type="pct"/>
            <w:gridSpan w:val="2"/>
            <w:tcMar>
              <w:left w:w="28" w:type="dxa"/>
              <w:right w:w="28" w:type="dxa"/>
            </w:tcMar>
            <w:vAlign w:val="center"/>
          </w:tcPr>
          <w:p w14:paraId="1FC26A36">
            <w:pPr>
              <w:pStyle w:val="278"/>
              <w:adjustRightInd w:val="0"/>
              <w:snapToGrid w:val="0"/>
              <w:spacing w:line="28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出水水质满足</w:t>
            </w:r>
            <w:r>
              <w:rPr>
                <w:rFonts w:hint="eastAsia"/>
                <w:color w:val="000000" w:themeColor="text1"/>
                <w:lang w:val="zh-CN"/>
                <w14:textFill>
                  <w14:solidFill>
                    <w14:schemeClr w14:val="tx1"/>
                  </w14:solidFill>
                </w14:textFill>
              </w:rPr>
              <w:t>《压裂酸化返排液处理技术规范》（Q/SY02012-2016）</w:t>
            </w:r>
            <w:r>
              <w:rPr>
                <w:rFonts w:hint="eastAsia"/>
                <w:color w:val="000000" w:themeColor="text1"/>
                <w14:textFill>
                  <w14:solidFill>
                    <w14:schemeClr w14:val="tx1"/>
                  </w14:solidFill>
                </w14:textFill>
              </w:rPr>
              <w:t>要求</w:t>
            </w:r>
          </w:p>
        </w:tc>
      </w:tr>
      <w:tr w14:paraId="4CDEA77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284" w:hRule="atLeast"/>
          <w:jc w:val="center"/>
        </w:trPr>
        <w:tc>
          <w:tcPr>
            <w:tcW w:w="355" w:type="pct"/>
            <w:tcMar>
              <w:left w:w="28" w:type="dxa"/>
              <w:right w:w="28" w:type="dxa"/>
            </w:tcMar>
            <w:vAlign w:val="center"/>
          </w:tcPr>
          <w:p w14:paraId="190E5C35">
            <w:pPr>
              <w:pStyle w:val="278"/>
              <w:adjustRightInd w:val="0"/>
              <w:snapToGrid w:val="0"/>
              <w:spacing w:line="28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噪声</w:t>
            </w:r>
          </w:p>
        </w:tc>
        <w:tc>
          <w:tcPr>
            <w:tcW w:w="455" w:type="pct"/>
            <w:tcBorders>
              <w:left w:val="single" w:color="auto" w:sz="4" w:space="0"/>
            </w:tcBorders>
            <w:vAlign w:val="center"/>
          </w:tcPr>
          <w:p w14:paraId="56F42197">
            <w:pPr>
              <w:pStyle w:val="278"/>
              <w:adjustRightInd w:val="0"/>
              <w:snapToGrid w:val="0"/>
              <w:spacing w:line="28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各类机泵</w:t>
            </w:r>
          </w:p>
        </w:tc>
        <w:tc>
          <w:tcPr>
            <w:tcW w:w="607" w:type="pct"/>
            <w:tcMar>
              <w:left w:w="28" w:type="dxa"/>
              <w:right w:w="28" w:type="dxa"/>
            </w:tcMar>
            <w:vAlign w:val="center"/>
          </w:tcPr>
          <w:p w14:paraId="6EB97602">
            <w:pPr>
              <w:pStyle w:val="278"/>
              <w:adjustRightInd w:val="0"/>
              <w:snapToGrid w:val="0"/>
              <w:spacing w:line="28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噪声</w:t>
            </w:r>
          </w:p>
        </w:tc>
        <w:tc>
          <w:tcPr>
            <w:tcW w:w="557" w:type="pct"/>
            <w:tcMar>
              <w:left w:w="28" w:type="dxa"/>
              <w:right w:w="28" w:type="dxa"/>
            </w:tcMar>
          </w:tcPr>
          <w:p w14:paraId="5BF10C48">
            <w:pPr>
              <w:pStyle w:val="278"/>
              <w:adjustRightInd w:val="0"/>
              <w:snapToGrid w:val="0"/>
              <w:spacing w:line="28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井场及预处理注入站</w:t>
            </w:r>
          </w:p>
        </w:tc>
        <w:tc>
          <w:tcPr>
            <w:tcW w:w="1519" w:type="pct"/>
            <w:tcBorders>
              <w:right w:val="single" w:color="auto" w:sz="4" w:space="0"/>
            </w:tcBorders>
            <w:tcMar>
              <w:left w:w="28" w:type="dxa"/>
              <w:right w:w="28" w:type="dxa"/>
            </w:tcMar>
            <w:vAlign w:val="center"/>
          </w:tcPr>
          <w:p w14:paraId="4971132D">
            <w:pPr>
              <w:pStyle w:val="278"/>
              <w:adjustRightInd w:val="0"/>
              <w:snapToGrid w:val="0"/>
              <w:spacing w:line="28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隔声、基础减振，采用低噪声设备</w:t>
            </w:r>
          </w:p>
        </w:tc>
        <w:tc>
          <w:tcPr>
            <w:tcW w:w="354" w:type="pct"/>
            <w:tcBorders>
              <w:left w:val="single" w:color="auto" w:sz="4" w:space="0"/>
            </w:tcBorders>
            <w:vAlign w:val="center"/>
          </w:tcPr>
          <w:p w14:paraId="11F98A34">
            <w:pPr>
              <w:pStyle w:val="278"/>
              <w:adjustRightInd w:val="0"/>
              <w:snapToGrid w:val="0"/>
              <w:spacing w:line="28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厂界噪声达标排放</w:t>
            </w:r>
          </w:p>
        </w:tc>
        <w:tc>
          <w:tcPr>
            <w:tcW w:w="1153" w:type="pct"/>
            <w:gridSpan w:val="2"/>
            <w:tcMar>
              <w:left w:w="28" w:type="dxa"/>
              <w:right w:w="28" w:type="dxa"/>
            </w:tcMar>
            <w:vAlign w:val="center"/>
          </w:tcPr>
          <w:p w14:paraId="2D37B31A">
            <w:pPr>
              <w:pStyle w:val="278"/>
              <w:adjustRightInd w:val="0"/>
              <w:snapToGrid w:val="0"/>
              <w:spacing w:line="28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《工业企业厂界环境噪声排放标准》（GB12348-</w:t>
            </w:r>
            <w:r>
              <w:rPr>
                <w:color w:val="000000" w:themeColor="text1"/>
                <w14:textFill>
                  <w14:solidFill>
                    <w14:schemeClr w14:val="tx1"/>
                  </w14:solidFill>
                </w14:textFill>
              </w:rPr>
              <w:t>2008</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2</w:t>
            </w:r>
            <w:r>
              <w:rPr>
                <w:rFonts w:hint="eastAsia"/>
                <w:color w:val="000000" w:themeColor="text1"/>
                <w14:textFill>
                  <w14:solidFill>
                    <w14:schemeClr w14:val="tx1"/>
                  </w14:solidFill>
                </w14:textFill>
              </w:rPr>
              <w:t>类</w:t>
            </w:r>
          </w:p>
        </w:tc>
      </w:tr>
      <w:tr w14:paraId="32957FA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284" w:hRule="atLeast"/>
          <w:jc w:val="center"/>
        </w:trPr>
        <w:tc>
          <w:tcPr>
            <w:tcW w:w="355" w:type="pct"/>
            <w:vMerge w:val="restart"/>
            <w:tcMar>
              <w:left w:w="28" w:type="dxa"/>
              <w:right w:w="28" w:type="dxa"/>
            </w:tcMar>
            <w:vAlign w:val="center"/>
          </w:tcPr>
          <w:p w14:paraId="14CC4559">
            <w:pPr>
              <w:pStyle w:val="278"/>
              <w:adjustRightInd w:val="0"/>
              <w:snapToGrid w:val="0"/>
              <w:spacing w:line="28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固体废物</w:t>
            </w:r>
          </w:p>
        </w:tc>
        <w:tc>
          <w:tcPr>
            <w:tcW w:w="1062" w:type="pct"/>
            <w:gridSpan w:val="2"/>
            <w:tcBorders>
              <w:left w:val="single" w:color="auto" w:sz="4" w:space="0"/>
            </w:tcBorders>
            <w:vAlign w:val="center"/>
          </w:tcPr>
          <w:p w14:paraId="7B8D2020">
            <w:pPr>
              <w:pStyle w:val="278"/>
              <w:adjustRightInd w:val="0"/>
              <w:snapToGrid w:val="0"/>
              <w:spacing w:line="28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废润滑油、废润滑油桶、沾油废防渗材料和废含油抹布、劳保用品</w:t>
            </w:r>
          </w:p>
        </w:tc>
        <w:tc>
          <w:tcPr>
            <w:tcW w:w="557" w:type="pct"/>
            <w:tcMar>
              <w:left w:w="28" w:type="dxa"/>
              <w:right w:w="28" w:type="dxa"/>
            </w:tcMar>
            <w:vAlign w:val="center"/>
          </w:tcPr>
          <w:p w14:paraId="70165FB0">
            <w:pPr>
              <w:pStyle w:val="278"/>
              <w:adjustRightInd w:val="0"/>
              <w:snapToGrid w:val="0"/>
              <w:spacing w:line="28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采油平台和计量站</w:t>
            </w:r>
          </w:p>
        </w:tc>
        <w:tc>
          <w:tcPr>
            <w:tcW w:w="1873" w:type="pct"/>
            <w:gridSpan w:val="2"/>
            <w:tcMar>
              <w:left w:w="28" w:type="dxa"/>
              <w:right w:w="28" w:type="dxa"/>
            </w:tcMar>
          </w:tcPr>
          <w:p w14:paraId="2561CAB7">
            <w:pPr>
              <w:pStyle w:val="278"/>
              <w:adjustRightInd w:val="0"/>
              <w:snapToGrid w:val="0"/>
              <w:spacing w:line="28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井场及预处理注入站</w:t>
            </w:r>
          </w:p>
        </w:tc>
        <w:tc>
          <w:tcPr>
            <w:tcW w:w="1153" w:type="pct"/>
            <w:gridSpan w:val="2"/>
            <w:tcMar>
              <w:left w:w="28" w:type="dxa"/>
              <w:right w:w="28" w:type="dxa"/>
            </w:tcMar>
            <w:vAlign w:val="center"/>
          </w:tcPr>
          <w:p w14:paraId="33AA97FC">
            <w:pPr>
              <w:pStyle w:val="278"/>
              <w:adjustRightInd w:val="0"/>
              <w:snapToGrid w:val="0"/>
              <w:spacing w:line="28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签订处置协议，落实危险废物转移联单</w:t>
            </w:r>
          </w:p>
        </w:tc>
      </w:tr>
      <w:tr w14:paraId="0ECE72C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284" w:hRule="atLeast"/>
          <w:jc w:val="center"/>
        </w:trPr>
        <w:tc>
          <w:tcPr>
            <w:tcW w:w="355" w:type="pct"/>
            <w:vMerge w:val="continue"/>
            <w:tcMar>
              <w:left w:w="28" w:type="dxa"/>
              <w:right w:w="28" w:type="dxa"/>
            </w:tcMar>
            <w:vAlign w:val="center"/>
          </w:tcPr>
          <w:p w14:paraId="2C4F1318">
            <w:pPr>
              <w:pStyle w:val="278"/>
              <w:adjustRightInd w:val="0"/>
              <w:snapToGrid w:val="0"/>
              <w:spacing w:line="280" w:lineRule="exact"/>
              <w:rPr>
                <w:rFonts w:hint="eastAsia"/>
                <w:color w:val="000000" w:themeColor="text1"/>
                <w14:textFill>
                  <w14:solidFill>
                    <w14:schemeClr w14:val="tx1"/>
                  </w14:solidFill>
                </w14:textFill>
              </w:rPr>
            </w:pPr>
          </w:p>
        </w:tc>
        <w:tc>
          <w:tcPr>
            <w:tcW w:w="1062" w:type="pct"/>
            <w:gridSpan w:val="2"/>
            <w:tcBorders>
              <w:left w:val="single" w:color="auto" w:sz="4" w:space="0"/>
            </w:tcBorders>
            <w:vAlign w:val="center"/>
          </w:tcPr>
          <w:p w14:paraId="709C48FF">
            <w:pPr>
              <w:pStyle w:val="278"/>
              <w:adjustRightInd w:val="0"/>
              <w:snapToGrid w:val="0"/>
              <w:spacing w:line="28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废脱硫剂包装物</w:t>
            </w:r>
          </w:p>
        </w:tc>
        <w:tc>
          <w:tcPr>
            <w:tcW w:w="557" w:type="pct"/>
            <w:tcMar>
              <w:left w:w="28" w:type="dxa"/>
              <w:right w:w="28" w:type="dxa"/>
            </w:tcMar>
            <w:vAlign w:val="center"/>
          </w:tcPr>
          <w:p w14:paraId="36A95134">
            <w:pPr>
              <w:pStyle w:val="278"/>
              <w:adjustRightInd w:val="0"/>
              <w:snapToGrid w:val="0"/>
              <w:spacing w:line="28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计量站和采油平台</w:t>
            </w:r>
          </w:p>
        </w:tc>
        <w:tc>
          <w:tcPr>
            <w:tcW w:w="1873" w:type="pct"/>
            <w:gridSpan w:val="2"/>
            <w:tcMar>
              <w:left w:w="28" w:type="dxa"/>
              <w:right w:w="28" w:type="dxa"/>
            </w:tcMar>
          </w:tcPr>
          <w:p w14:paraId="189D0764">
            <w:pPr>
              <w:pStyle w:val="278"/>
              <w:adjustRightInd w:val="0"/>
              <w:snapToGrid w:val="0"/>
              <w:spacing w:line="28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井场及预处理注入站</w:t>
            </w:r>
          </w:p>
        </w:tc>
        <w:tc>
          <w:tcPr>
            <w:tcW w:w="1153" w:type="pct"/>
            <w:gridSpan w:val="2"/>
            <w:tcMar>
              <w:left w:w="28" w:type="dxa"/>
              <w:right w:w="28" w:type="dxa"/>
            </w:tcMar>
            <w:vAlign w:val="center"/>
          </w:tcPr>
          <w:p w14:paraId="5B315673">
            <w:pPr>
              <w:pStyle w:val="278"/>
              <w:adjustRightInd w:val="0"/>
              <w:snapToGrid w:val="0"/>
              <w:spacing w:line="28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现场无废脱硫剂包装物遗留</w:t>
            </w:r>
          </w:p>
        </w:tc>
      </w:tr>
      <w:tr w14:paraId="0D55C64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284" w:hRule="atLeast"/>
          <w:jc w:val="center"/>
        </w:trPr>
        <w:tc>
          <w:tcPr>
            <w:tcW w:w="355" w:type="pct"/>
            <w:vMerge w:val="restart"/>
            <w:tcMar>
              <w:left w:w="28" w:type="dxa"/>
              <w:right w:w="28" w:type="dxa"/>
            </w:tcMar>
            <w:vAlign w:val="center"/>
          </w:tcPr>
          <w:p w14:paraId="21167046">
            <w:pPr>
              <w:pStyle w:val="278"/>
              <w:adjustRightInd w:val="0"/>
              <w:snapToGrid w:val="0"/>
              <w:spacing w:line="28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生态环境</w:t>
            </w:r>
          </w:p>
        </w:tc>
        <w:tc>
          <w:tcPr>
            <w:tcW w:w="455" w:type="pct"/>
            <w:vMerge w:val="restart"/>
            <w:tcBorders>
              <w:left w:val="single" w:color="auto" w:sz="4" w:space="0"/>
            </w:tcBorders>
            <w:vAlign w:val="center"/>
          </w:tcPr>
          <w:p w14:paraId="74DDEC71">
            <w:pPr>
              <w:pStyle w:val="278"/>
              <w:adjustRightInd w:val="0"/>
              <w:snapToGrid w:val="0"/>
              <w:spacing w:line="28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工程占地</w:t>
            </w:r>
          </w:p>
        </w:tc>
        <w:tc>
          <w:tcPr>
            <w:tcW w:w="607" w:type="pct"/>
            <w:vMerge w:val="restart"/>
            <w:tcMar>
              <w:left w:w="28" w:type="dxa"/>
              <w:right w:w="28" w:type="dxa"/>
            </w:tcMar>
            <w:vAlign w:val="center"/>
          </w:tcPr>
          <w:p w14:paraId="00C4A20B">
            <w:pPr>
              <w:pStyle w:val="278"/>
              <w:adjustRightInd w:val="0"/>
              <w:snapToGrid w:val="0"/>
              <w:spacing w:line="28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植被破坏</w:t>
            </w:r>
          </w:p>
          <w:p w14:paraId="12891E32">
            <w:pPr>
              <w:pStyle w:val="278"/>
              <w:adjustRightInd w:val="0"/>
              <w:snapToGrid w:val="0"/>
              <w:spacing w:line="28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土壤压覆</w:t>
            </w:r>
          </w:p>
          <w:p w14:paraId="31581F5C">
            <w:pPr>
              <w:pStyle w:val="278"/>
              <w:adjustRightInd w:val="0"/>
              <w:snapToGrid w:val="0"/>
              <w:spacing w:line="28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地表扰动</w:t>
            </w:r>
          </w:p>
          <w:p w14:paraId="1CB7DE6F">
            <w:pPr>
              <w:pStyle w:val="278"/>
              <w:adjustRightInd w:val="0"/>
              <w:snapToGrid w:val="0"/>
              <w:spacing w:line="28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水土流失</w:t>
            </w:r>
          </w:p>
        </w:tc>
        <w:tc>
          <w:tcPr>
            <w:tcW w:w="557" w:type="pct"/>
            <w:vMerge w:val="restart"/>
            <w:tcMar>
              <w:left w:w="28" w:type="dxa"/>
              <w:right w:w="28" w:type="dxa"/>
            </w:tcMar>
            <w:vAlign w:val="center"/>
          </w:tcPr>
          <w:p w14:paraId="54DD0786">
            <w:pPr>
              <w:pStyle w:val="278"/>
              <w:adjustRightInd w:val="0"/>
              <w:snapToGrid w:val="0"/>
              <w:spacing w:line="28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井场、预处理注入站、单井采油管线、集油支线和单井注气管线等</w:t>
            </w:r>
          </w:p>
        </w:tc>
        <w:tc>
          <w:tcPr>
            <w:tcW w:w="1873" w:type="pct"/>
            <w:gridSpan w:val="2"/>
            <w:tcMar>
              <w:left w:w="28" w:type="dxa"/>
              <w:right w:w="28" w:type="dxa"/>
            </w:tcMar>
            <w:vAlign w:val="center"/>
          </w:tcPr>
          <w:p w14:paraId="3E7694E8">
            <w:pPr>
              <w:pStyle w:val="278"/>
              <w:adjustRightInd w:val="0"/>
              <w:snapToGrid w:val="0"/>
              <w:spacing w:line="28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严格控制占地范围，井场、预处理注入站处砾石铺垫或地面硬化</w:t>
            </w:r>
          </w:p>
        </w:tc>
        <w:tc>
          <w:tcPr>
            <w:tcW w:w="1153" w:type="pct"/>
            <w:gridSpan w:val="2"/>
            <w:tcMar>
              <w:left w:w="28" w:type="dxa"/>
              <w:right w:w="28" w:type="dxa"/>
            </w:tcMar>
            <w:vAlign w:val="center"/>
          </w:tcPr>
          <w:p w14:paraId="663B55C1">
            <w:pPr>
              <w:pStyle w:val="278"/>
              <w:adjustRightInd w:val="0"/>
              <w:snapToGrid w:val="0"/>
              <w:spacing w:line="28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砾石铺垫或地面硬化</w:t>
            </w:r>
          </w:p>
        </w:tc>
      </w:tr>
      <w:tr w14:paraId="72F38F9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284" w:hRule="atLeast"/>
          <w:jc w:val="center"/>
        </w:trPr>
        <w:tc>
          <w:tcPr>
            <w:tcW w:w="355" w:type="pct"/>
            <w:vMerge w:val="continue"/>
            <w:tcMar>
              <w:left w:w="28" w:type="dxa"/>
              <w:right w:w="28" w:type="dxa"/>
            </w:tcMar>
            <w:vAlign w:val="center"/>
          </w:tcPr>
          <w:p w14:paraId="2EA43A41">
            <w:pPr>
              <w:pStyle w:val="278"/>
              <w:adjustRightInd w:val="0"/>
              <w:snapToGrid w:val="0"/>
              <w:spacing w:line="280" w:lineRule="exact"/>
              <w:rPr>
                <w:rFonts w:hint="eastAsia"/>
                <w:color w:val="000000" w:themeColor="text1"/>
                <w14:textFill>
                  <w14:solidFill>
                    <w14:schemeClr w14:val="tx1"/>
                  </w14:solidFill>
                </w14:textFill>
              </w:rPr>
            </w:pPr>
          </w:p>
        </w:tc>
        <w:tc>
          <w:tcPr>
            <w:tcW w:w="455" w:type="pct"/>
            <w:vMerge w:val="continue"/>
            <w:tcBorders>
              <w:left w:val="single" w:color="auto" w:sz="4" w:space="0"/>
            </w:tcBorders>
            <w:vAlign w:val="center"/>
          </w:tcPr>
          <w:p w14:paraId="6D5BACBF">
            <w:pPr>
              <w:pStyle w:val="278"/>
              <w:adjustRightInd w:val="0"/>
              <w:snapToGrid w:val="0"/>
              <w:spacing w:line="280" w:lineRule="exact"/>
              <w:rPr>
                <w:rFonts w:hint="eastAsia"/>
                <w:color w:val="000000" w:themeColor="text1"/>
                <w14:textFill>
                  <w14:solidFill>
                    <w14:schemeClr w14:val="tx1"/>
                  </w14:solidFill>
                </w14:textFill>
              </w:rPr>
            </w:pPr>
          </w:p>
        </w:tc>
        <w:tc>
          <w:tcPr>
            <w:tcW w:w="607" w:type="pct"/>
            <w:vMerge w:val="continue"/>
            <w:tcMar>
              <w:left w:w="28" w:type="dxa"/>
              <w:right w:w="28" w:type="dxa"/>
            </w:tcMar>
            <w:vAlign w:val="center"/>
          </w:tcPr>
          <w:p w14:paraId="70FF131F">
            <w:pPr>
              <w:pStyle w:val="278"/>
              <w:adjustRightInd w:val="0"/>
              <w:snapToGrid w:val="0"/>
              <w:spacing w:line="280" w:lineRule="exact"/>
              <w:rPr>
                <w:rFonts w:hint="eastAsia"/>
                <w:color w:val="000000" w:themeColor="text1"/>
                <w14:textFill>
                  <w14:solidFill>
                    <w14:schemeClr w14:val="tx1"/>
                  </w14:solidFill>
                </w14:textFill>
              </w:rPr>
            </w:pPr>
          </w:p>
        </w:tc>
        <w:tc>
          <w:tcPr>
            <w:tcW w:w="557" w:type="pct"/>
            <w:vMerge w:val="continue"/>
            <w:tcMar>
              <w:left w:w="28" w:type="dxa"/>
              <w:right w:w="28" w:type="dxa"/>
            </w:tcMar>
            <w:vAlign w:val="center"/>
          </w:tcPr>
          <w:p w14:paraId="048D704C">
            <w:pPr>
              <w:pStyle w:val="278"/>
              <w:adjustRightInd w:val="0"/>
              <w:snapToGrid w:val="0"/>
              <w:spacing w:line="280" w:lineRule="exact"/>
              <w:rPr>
                <w:rFonts w:hint="eastAsia"/>
                <w:color w:val="000000" w:themeColor="text1"/>
                <w14:textFill>
                  <w14:solidFill>
                    <w14:schemeClr w14:val="tx1"/>
                  </w14:solidFill>
                </w14:textFill>
              </w:rPr>
            </w:pPr>
          </w:p>
        </w:tc>
        <w:tc>
          <w:tcPr>
            <w:tcW w:w="1873" w:type="pct"/>
            <w:gridSpan w:val="2"/>
            <w:tcMar>
              <w:left w:w="28" w:type="dxa"/>
              <w:right w:w="28" w:type="dxa"/>
            </w:tcMar>
            <w:vAlign w:val="center"/>
          </w:tcPr>
          <w:p w14:paraId="4119B39B">
            <w:pPr>
              <w:pStyle w:val="278"/>
              <w:adjustRightInd w:val="0"/>
              <w:snapToGrid w:val="0"/>
              <w:spacing w:line="28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管线管沟开挖时</w:t>
            </w:r>
            <w:r>
              <w:rPr>
                <w:rFonts w:hint="eastAsia"/>
                <w:color w:val="000000" w:themeColor="text1"/>
                <w:spacing w:val="-6"/>
                <w14:textFill>
                  <w14:solidFill>
                    <w14:schemeClr w14:val="tx1"/>
                  </w14:solidFill>
                </w14:textFill>
              </w:rPr>
              <w:t>产生的土方</w:t>
            </w:r>
            <w:r>
              <w:rPr>
                <w:color w:val="000000" w:themeColor="text1"/>
                <w14:textFill>
                  <w14:solidFill>
                    <w14:schemeClr w14:val="tx1"/>
                  </w14:solidFill>
                </w14:textFill>
              </w:rPr>
              <w:t>，</w:t>
            </w:r>
            <w:r>
              <w:rPr>
                <w:rFonts w:hint="eastAsia"/>
                <w:color w:val="000000" w:themeColor="text1"/>
                <w:spacing w:val="-6"/>
                <w14:textFill>
                  <w14:solidFill>
                    <w14:schemeClr w14:val="tx1"/>
                  </w14:solidFill>
                </w14:textFill>
              </w:rPr>
              <w:t>采用</w:t>
            </w:r>
            <w:r>
              <w:rPr>
                <w:rFonts w:hint="eastAsia"/>
                <w:color w:val="000000" w:themeColor="text1"/>
                <w14:textFill>
                  <w14:solidFill>
                    <w14:schemeClr w14:val="tx1"/>
                  </w14:solidFill>
                </w14:textFill>
              </w:rPr>
              <w:t>防尘布（或网）进行苫盖。</w:t>
            </w:r>
          </w:p>
        </w:tc>
        <w:tc>
          <w:tcPr>
            <w:tcW w:w="1153" w:type="pct"/>
            <w:gridSpan w:val="2"/>
            <w:tcMar>
              <w:left w:w="28" w:type="dxa"/>
              <w:right w:w="28" w:type="dxa"/>
            </w:tcMar>
            <w:vAlign w:val="center"/>
          </w:tcPr>
          <w:p w14:paraId="120C0A4B">
            <w:pPr>
              <w:pStyle w:val="278"/>
              <w:adjustRightInd w:val="0"/>
              <w:snapToGrid w:val="0"/>
              <w:spacing w:line="28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临时土方苫盖情况，管沟开挖表层土单独堆放情况</w:t>
            </w:r>
          </w:p>
        </w:tc>
      </w:tr>
      <w:tr w14:paraId="0D6938A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284" w:hRule="atLeast"/>
          <w:jc w:val="center"/>
        </w:trPr>
        <w:tc>
          <w:tcPr>
            <w:tcW w:w="355" w:type="pct"/>
            <w:vMerge w:val="continue"/>
            <w:tcMar>
              <w:left w:w="28" w:type="dxa"/>
              <w:right w:w="28" w:type="dxa"/>
            </w:tcMar>
            <w:vAlign w:val="center"/>
          </w:tcPr>
          <w:p w14:paraId="04D7DA51">
            <w:pPr>
              <w:pStyle w:val="278"/>
              <w:adjustRightInd w:val="0"/>
              <w:snapToGrid w:val="0"/>
              <w:spacing w:line="280" w:lineRule="exact"/>
              <w:rPr>
                <w:rFonts w:hint="eastAsia"/>
                <w:color w:val="000000" w:themeColor="text1"/>
                <w14:textFill>
                  <w14:solidFill>
                    <w14:schemeClr w14:val="tx1"/>
                  </w14:solidFill>
                </w14:textFill>
              </w:rPr>
            </w:pPr>
          </w:p>
        </w:tc>
        <w:tc>
          <w:tcPr>
            <w:tcW w:w="455" w:type="pct"/>
            <w:vMerge w:val="continue"/>
            <w:tcBorders>
              <w:left w:val="single" w:color="auto" w:sz="4" w:space="0"/>
            </w:tcBorders>
            <w:vAlign w:val="center"/>
          </w:tcPr>
          <w:p w14:paraId="67DEF5B8">
            <w:pPr>
              <w:pStyle w:val="278"/>
              <w:adjustRightInd w:val="0"/>
              <w:snapToGrid w:val="0"/>
              <w:spacing w:line="280" w:lineRule="exact"/>
              <w:rPr>
                <w:rFonts w:hint="eastAsia"/>
                <w:color w:val="000000" w:themeColor="text1"/>
                <w14:textFill>
                  <w14:solidFill>
                    <w14:schemeClr w14:val="tx1"/>
                  </w14:solidFill>
                </w14:textFill>
              </w:rPr>
            </w:pPr>
          </w:p>
        </w:tc>
        <w:tc>
          <w:tcPr>
            <w:tcW w:w="607" w:type="pct"/>
            <w:vMerge w:val="continue"/>
            <w:tcMar>
              <w:left w:w="28" w:type="dxa"/>
              <w:right w:w="28" w:type="dxa"/>
            </w:tcMar>
            <w:vAlign w:val="center"/>
          </w:tcPr>
          <w:p w14:paraId="6F8578B2">
            <w:pPr>
              <w:pStyle w:val="278"/>
              <w:adjustRightInd w:val="0"/>
              <w:snapToGrid w:val="0"/>
              <w:spacing w:line="280" w:lineRule="exact"/>
              <w:rPr>
                <w:rFonts w:hint="eastAsia"/>
                <w:color w:val="000000" w:themeColor="text1"/>
                <w14:textFill>
                  <w14:solidFill>
                    <w14:schemeClr w14:val="tx1"/>
                  </w14:solidFill>
                </w14:textFill>
              </w:rPr>
            </w:pPr>
          </w:p>
        </w:tc>
        <w:tc>
          <w:tcPr>
            <w:tcW w:w="557" w:type="pct"/>
            <w:vMerge w:val="continue"/>
            <w:tcMar>
              <w:left w:w="28" w:type="dxa"/>
              <w:right w:w="28" w:type="dxa"/>
            </w:tcMar>
            <w:vAlign w:val="center"/>
          </w:tcPr>
          <w:p w14:paraId="6E74313C">
            <w:pPr>
              <w:pStyle w:val="278"/>
              <w:adjustRightInd w:val="0"/>
              <w:snapToGrid w:val="0"/>
              <w:spacing w:line="280" w:lineRule="exact"/>
              <w:rPr>
                <w:rFonts w:hint="eastAsia"/>
                <w:color w:val="000000" w:themeColor="text1"/>
                <w14:textFill>
                  <w14:solidFill>
                    <w14:schemeClr w14:val="tx1"/>
                  </w14:solidFill>
                </w14:textFill>
              </w:rPr>
            </w:pPr>
          </w:p>
        </w:tc>
        <w:tc>
          <w:tcPr>
            <w:tcW w:w="1873" w:type="pct"/>
            <w:gridSpan w:val="2"/>
            <w:tcMar>
              <w:left w:w="28" w:type="dxa"/>
              <w:right w:w="28" w:type="dxa"/>
            </w:tcMar>
            <w:vAlign w:val="center"/>
          </w:tcPr>
          <w:p w14:paraId="7A91AC46">
            <w:pPr>
              <w:pStyle w:val="278"/>
              <w:adjustRightInd w:val="0"/>
              <w:snapToGrid w:val="0"/>
              <w:spacing w:line="28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施工结束后对场地进行清理、平整</w:t>
            </w:r>
          </w:p>
        </w:tc>
        <w:tc>
          <w:tcPr>
            <w:tcW w:w="1153" w:type="pct"/>
            <w:gridSpan w:val="2"/>
            <w:tcMar>
              <w:left w:w="28" w:type="dxa"/>
              <w:right w:w="28" w:type="dxa"/>
            </w:tcMar>
            <w:vAlign w:val="center"/>
          </w:tcPr>
          <w:p w14:paraId="418B05C5">
            <w:pPr>
              <w:pStyle w:val="278"/>
              <w:adjustRightInd w:val="0"/>
              <w:snapToGrid w:val="0"/>
              <w:spacing w:line="28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井场、管线沿线平整情况</w:t>
            </w:r>
          </w:p>
        </w:tc>
      </w:tr>
      <w:tr w14:paraId="7483F55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284" w:hRule="atLeast"/>
          <w:jc w:val="center"/>
        </w:trPr>
        <w:tc>
          <w:tcPr>
            <w:tcW w:w="355" w:type="pct"/>
            <w:vMerge w:val="continue"/>
            <w:tcMar>
              <w:left w:w="28" w:type="dxa"/>
              <w:right w:w="28" w:type="dxa"/>
            </w:tcMar>
            <w:vAlign w:val="center"/>
          </w:tcPr>
          <w:p w14:paraId="18AF093B">
            <w:pPr>
              <w:pStyle w:val="278"/>
              <w:adjustRightInd w:val="0"/>
              <w:snapToGrid w:val="0"/>
              <w:spacing w:line="280" w:lineRule="exact"/>
              <w:rPr>
                <w:rFonts w:hint="eastAsia"/>
                <w:color w:val="000000" w:themeColor="text1"/>
                <w14:textFill>
                  <w14:solidFill>
                    <w14:schemeClr w14:val="tx1"/>
                  </w14:solidFill>
                </w14:textFill>
              </w:rPr>
            </w:pPr>
          </w:p>
        </w:tc>
        <w:tc>
          <w:tcPr>
            <w:tcW w:w="455" w:type="pct"/>
            <w:vMerge w:val="continue"/>
            <w:tcBorders>
              <w:left w:val="single" w:color="auto" w:sz="4" w:space="0"/>
            </w:tcBorders>
            <w:vAlign w:val="center"/>
          </w:tcPr>
          <w:p w14:paraId="0E01D682">
            <w:pPr>
              <w:pStyle w:val="278"/>
              <w:adjustRightInd w:val="0"/>
              <w:snapToGrid w:val="0"/>
              <w:spacing w:line="280" w:lineRule="exact"/>
              <w:rPr>
                <w:rFonts w:hint="eastAsia"/>
                <w:color w:val="000000" w:themeColor="text1"/>
                <w14:textFill>
                  <w14:solidFill>
                    <w14:schemeClr w14:val="tx1"/>
                  </w14:solidFill>
                </w14:textFill>
              </w:rPr>
            </w:pPr>
          </w:p>
        </w:tc>
        <w:tc>
          <w:tcPr>
            <w:tcW w:w="607" w:type="pct"/>
            <w:vMerge w:val="continue"/>
            <w:tcMar>
              <w:left w:w="28" w:type="dxa"/>
              <w:right w:w="28" w:type="dxa"/>
            </w:tcMar>
            <w:vAlign w:val="center"/>
          </w:tcPr>
          <w:p w14:paraId="778EE3EF">
            <w:pPr>
              <w:pStyle w:val="278"/>
              <w:adjustRightInd w:val="0"/>
              <w:snapToGrid w:val="0"/>
              <w:spacing w:line="280" w:lineRule="exact"/>
              <w:rPr>
                <w:rFonts w:hint="eastAsia"/>
                <w:color w:val="000000" w:themeColor="text1"/>
                <w14:textFill>
                  <w14:solidFill>
                    <w14:schemeClr w14:val="tx1"/>
                  </w14:solidFill>
                </w14:textFill>
              </w:rPr>
            </w:pPr>
          </w:p>
        </w:tc>
        <w:tc>
          <w:tcPr>
            <w:tcW w:w="557" w:type="pct"/>
            <w:vMerge w:val="continue"/>
            <w:tcMar>
              <w:left w:w="28" w:type="dxa"/>
              <w:right w:w="28" w:type="dxa"/>
            </w:tcMar>
            <w:vAlign w:val="center"/>
          </w:tcPr>
          <w:p w14:paraId="3FCB3632">
            <w:pPr>
              <w:pStyle w:val="278"/>
              <w:adjustRightInd w:val="0"/>
              <w:snapToGrid w:val="0"/>
              <w:spacing w:line="280" w:lineRule="exact"/>
              <w:rPr>
                <w:rFonts w:hint="eastAsia"/>
                <w:color w:val="000000" w:themeColor="text1"/>
                <w14:textFill>
                  <w14:solidFill>
                    <w14:schemeClr w14:val="tx1"/>
                  </w14:solidFill>
                </w14:textFill>
              </w:rPr>
            </w:pPr>
          </w:p>
        </w:tc>
        <w:tc>
          <w:tcPr>
            <w:tcW w:w="1873" w:type="pct"/>
            <w:gridSpan w:val="2"/>
            <w:tcMar>
              <w:left w:w="28" w:type="dxa"/>
              <w:right w:w="28" w:type="dxa"/>
            </w:tcMar>
            <w:vAlign w:val="center"/>
          </w:tcPr>
          <w:p w14:paraId="71EAE511">
            <w:pPr>
              <w:pStyle w:val="278"/>
              <w:adjustRightInd w:val="0"/>
              <w:snapToGrid w:val="0"/>
              <w:spacing w:line="28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按正式征地文件进行经济补偿</w:t>
            </w:r>
          </w:p>
        </w:tc>
        <w:tc>
          <w:tcPr>
            <w:tcW w:w="1153" w:type="pct"/>
            <w:gridSpan w:val="2"/>
            <w:tcMar>
              <w:left w:w="28" w:type="dxa"/>
              <w:right w:w="28" w:type="dxa"/>
            </w:tcMar>
            <w:vAlign w:val="center"/>
          </w:tcPr>
          <w:p w14:paraId="5B62B343">
            <w:pPr>
              <w:pStyle w:val="278"/>
              <w:adjustRightInd w:val="0"/>
              <w:snapToGrid w:val="0"/>
              <w:spacing w:line="28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是否按征地文件进行经济补偿</w:t>
            </w:r>
          </w:p>
        </w:tc>
      </w:tr>
      <w:tr w14:paraId="72BC8E6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284" w:hRule="atLeast"/>
          <w:jc w:val="center"/>
        </w:trPr>
        <w:tc>
          <w:tcPr>
            <w:tcW w:w="355" w:type="pct"/>
            <w:vMerge w:val="continue"/>
            <w:tcMar>
              <w:left w:w="28" w:type="dxa"/>
              <w:right w:w="28" w:type="dxa"/>
            </w:tcMar>
            <w:vAlign w:val="center"/>
          </w:tcPr>
          <w:p w14:paraId="056903CC">
            <w:pPr>
              <w:pStyle w:val="278"/>
              <w:adjustRightInd w:val="0"/>
              <w:snapToGrid w:val="0"/>
              <w:spacing w:line="280" w:lineRule="exact"/>
              <w:rPr>
                <w:rFonts w:hint="eastAsia"/>
                <w:color w:val="000000" w:themeColor="text1"/>
                <w14:textFill>
                  <w14:solidFill>
                    <w14:schemeClr w14:val="tx1"/>
                  </w14:solidFill>
                </w14:textFill>
              </w:rPr>
            </w:pPr>
          </w:p>
        </w:tc>
        <w:tc>
          <w:tcPr>
            <w:tcW w:w="455" w:type="pct"/>
            <w:vMerge w:val="continue"/>
            <w:tcBorders>
              <w:left w:val="single" w:color="auto" w:sz="4" w:space="0"/>
            </w:tcBorders>
            <w:vAlign w:val="center"/>
          </w:tcPr>
          <w:p w14:paraId="28C36B46">
            <w:pPr>
              <w:pStyle w:val="278"/>
              <w:adjustRightInd w:val="0"/>
              <w:snapToGrid w:val="0"/>
              <w:spacing w:line="280" w:lineRule="exact"/>
              <w:rPr>
                <w:rFonts w:hint="eastAsia"/>
                <w:color w:val="000000" w:themeColor="text1"/>
                <w14:textFill>
                  <w14:solidFill>
                    <w14:schemeClr w14:val="tx1"/>
                  </w14:solidFill>
                </w14:textFill>
              </w:rPr>
            </w:pPr>
          </w:p>
        </w:tc>
        <w:tc>
          <w:tcPr>
            <w:tcW w:w="607" w:type="pct"/>
            <w:vMerge w:val="continue"/>
            <w:tcMar>
              <w:left w:w="28" w:type="dxa"/>
              <w:right w:w="28" w:type="dxa"/>
            </w:tcMar>
            <w:vAlign w:val="center"/>
          </w:tcPr>
          <w:p w14:paraId="6BF71ED0">
            <w:pPr>
              <w:pStyle w:val="278"/>
              <w:adjustRightInd w:val="0"/>
              <w:snapToGrid w:val="0"/>
              <w:spacing w:line="280" w:lineRule="exact"/>
              <w:rPr>
                <w:rFonts w:hint="eastAsia"/>
                <w:color w:val="000000" w:themeColor="text1"/>
                <w14:textFill>
                  <w14:solidFill>
                    <w14:schemeClr w14:val="tx1"/>
                  </w14:solidFill>
                </w14:textFill>
              </w:rPr>
            </w:pPr>
          </w:p>
        </w:tc>
        <w:tc>
          <w:tcPr>
            <w:tcW w:w="557" w:type="pct"/>
            <w:vMerge w:val="continue"/>
            <w:tcMar>
              <w:left w:w="28" w:type="dxa"/>
              <w:right w:w="28" w:type="dxa"/>
            </w:tcMar>
            <w:vAlign w:val="center"/>
          </w:tcPr>
          <w:p w14:paraId="02660F39">
            <w:pPr>
              <w:pStyle w:val="278"/>
              <w:adjustRightInd w:val="0"/>
              <w:snapToGrid w:val="0"/>
              <w:spacing w:line="280" w:lineRule="exact"/>
              <w:rPr>
                <w:rFonts w:hint="eastAsia"/>
                <w:color w:val="000000" w:themeColor="text1"/>
                <w14:textFill>
                  <w14:solidFill>
                    <w14:schemeClr w14:val="tx1"/>
                  </w14:solidFill>
                </w14:textFill>
              </w:rPr>
            </w:pPr>
          </w:p>
        </w:tc>
        <w:tc>
          <w:tcPr>
            <w:tcW w:w="1873" w:type="pct"/>
            <w:gridSpan w:val="2"/>
            <w:tcMar>
              <w:left w:w="28" w:type="dxa"/>
              <w:right w:w="28" w:type="dxa"/>
            </w:tcMar>
            <w:vAlign w:val="center"/>
          </w:tcPr>
          <w:p w14:paraId="2062A259">
            <w:pPr>
              <w:pStyle w:val="278"/>
              <w:adjustRightInd w:val="0"/>
              <w:snapToGrid w:val="0"/>
              <w:spacing w:line="28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临时占地范围的植被主要依靠自然恢复</w:t>
            </w:r>
          </w:p>
        </w:tc>
        <w:tc>
          <w:tcPr>
            <w:tcW w:w="1153" w:type="pct"/>
            <w:gridSpan w:val="2"/>
            <w:tcMar>
              <w:left w:w="28" w:type="dxa"/>
              <w:right w:w="28" w:type="dxa"/>
            </w:tcMar>
            <w:vAlign w:val="center"/>
          </w:tcPr>
          <w:p w14:paraId="02FB035C">
            <w:pPr>
              <w:pStyle w:val="278"/>
              <w:adjustRightInd w:val="0"/>
              <w:snapToGrid w:val="0"/>
              <w:spacing w:line="28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管线等临时占地范围内及周边自然植被恢复情况</w:t>
            </w:r>
          </w:p>
        </w:tc>
      </w:tr>
      <w:tr w14:paraId="28A9689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284" w:hRule="atLeast"/>
          <w:jc w:val="center"/>
        </w:trPr>
        <w:tc>
          <w:tcPr>
            <w:tcW w:w="355" w:type="pct"/>
            <w:tcMar>
              <w:left w:w="28" w:type="dxa"/>
              <w:right w:w="28" w:type="dxa"/>
            </w:tcMar>
            <w:vAlign w:val="center"/>
          </w:tcPr>
          <w:p w14:paraId="46B0D9AB">
            <w:pPr>
              <w:pStyle w:val="278"/>
              <w:adjustRightInd w:val="0"/>
              <w:snapToGrid w:val="0"/>
              <w:spacing w:line="28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防渗措施</w:t>
            </w:r>
          </w:p>
        </w:tc>
        <w:tc>
          <w:tcPr>
            <w:tcW w:w="4645" w:type="pct"/>
            <w:gridSpan w:val="7"/>
            <w:tcBorders>
              <w:left w:val="single" w:color="auto" w:sz="4" w:space="0"/>
            </w:tcBorders>
            <w:vAlign w:val="center"/>
          </w:tcPr>
          <w:p w14:paraId="099B5F73">
            <w:pPr>
              <w:pStyle w:val="278"/>
              <w:adjustRightInd w:val="0"/>
              <w:snapToGrid w:val="0"/>
              <w:spacing w:line="28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井场和预处理注入站的防渗措施</w:t>
            </w:r>
          </w:p>
        </w:tc>
      </w:tr>
      <w:tr w14:paraId="10DDD4B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284" w:hRule="atLeast"/>
          <w:jc w:val="center"/>
        </w:trPr>
        <w:tc>
          <w:tcPr>
            <w:tcW w:w="355" w:type="pct"/>
            <w:tcBorders>
              <w:right w:val="single" w:color="auto" w:sz="4" w:space="0"/>
            </w:tcBorders>
            <w:tcMar>
              <w:left w:w="28" w:type="dxa"/>
              <w:right w:w="28" w:type="dxa"/>
            </w:tcMar>
            <w:vAlign w:val="center"/>
          </w:tcPr>
          <w:p w14:paraId="061E29F9">
            <w:pPr>
              <w:pStyle w:val="278"/>
              <w:adjustRightInd w:val="0"/>
              <w:snapToGrid w:val="0"/>
              <w:spacing w:line="28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环境管理</w:t>
            </w:r>
          </w:p>
        </w:tc>
        <w:tc>
          <w:tcPr>
            <w:tcW w:w="4645" w:type="pct"/>
            <w:gridSpan w:val="7"/>
            <w:tcBorders>
              <w:left w:val="single" w:color="auto" w:sz="4" w:space="0"/>
            </w:tcBorders>
            <w:vAlign w:val="center"/>
          </w:tcPr>
          <w:p w14:paraId="4E3CE303">
            <w:pPr>
              <w:pStyle w:val="278"/>
              <w:adjustRightInd w:val="0"/>
              <w:snapToGrid w:val="0"/>
              <w:spacing w:line="280" w:lineRule="exact"/>
              <w:rPr>
                <w:rFonts w:hint="eastAsia"/>
                <w:color w:val="000000" w:themeColor="text1"/>
                <w:spacing w:val="-4"/>
                <w14:textFill>
                  <w14:solidFill>
                    <w14:schemeClr w14:val="tx1"/>
                  </w14:solidFill>
                </w14:textFill>
              </w:rPr>
            </w:pPr>
            <w:r>
              <w:rPr>
                <w:rFonts w:hint="eastAsia"/>
                <w:color w:val="000000" w:themeColor="text1"/>
                <w:spacing w:val="-4"/>
                <w14:textFill>
                  <w14:solidFill>
                    <w14:schemeClr w14:val="tx1"/>
                  </w14:solidFill>
                </w14:textFill>
              </w:rPr>
              <w:t>环境管理制度是否建立并完善，环保机构及人员是否设置到位；施工期是否有环境监理报告或施工环保检查记录，是否保留必要的影像资料</w:t>
            </w:r>
          </w:p>
        </w:tc>
      </w:tr>
      <w:bookmarkEnd w:id="845"/>
      <w:bookmarkEnd w:id="846"/>
      <w:bookmarkEnd w:id="847"/>
    </w:tbl>
    <w:p w14:paraId="2936362A">
      <w:pPr>
        <w:pStyle w:val="117"/>
        <w:ind w:firstLine="0" w:firstLineChars="0"/>
        <w:rPr>
          <w:rFonts w:hint="eastAsia"/>
          <w:color w:val="000000" w:themeColor="text1"/>
          <w14:textFill>
            <w14:solidFill>
              <w14:schemeClr w14:val="tx1"/>
            </w14:solidFill>
          </w14:textFill>
        </w:rPr>
        <w:sectPr>
          <w:pgSz w:w="16838" w:h="11906" w:orient="landscape"/>
          <w:pgMar w:top="1588" w:right="1418" w:bottom="1588" w:left="1418" w:header="1020" w:footer="1020" w:gutter="0"/>
          <w:cols w:space="720" w:num="1"/>
          <w:docGrid w:type="lines" w:linePitch="312" w:charSpace="0"/>
        </w:sectPr>
      </w:pPr>
    </w:p>
    <w:p w14:paraId="1FC8C040">
      <w:pPr>
        <w:pStyle w:val="3"/>
        <w:rPr>
          <w:rFonts w:hint="eastAsia"/>
          <w:color w:val="000000" w:themeColor="text1"/>
          <w14:textFill>
            <w14:solidFill>
              <w14:schemeClr w14:val="tx1"/>
            </w14:solidFill>
          </w14:textFill>
        </w:rPr>
      </w:pPr>
      <w:bookmarkStart w:id="850" w:name="_Toc216260327"/>
      <w:r>
        <w:rPr>
          <w:color w:val="000000" w:themeColor="text1"/>
          <w14:textFill>
            <w14:solidFill>
              <w14:schemeClr w14:val="tx1"/>
            </w14:solidFill>
          </w14:textFill>
        </w:rPr>
        <w:t>环境影响经济损益分析</w:t>
      </w:r>
      <w:bookmarkEnd w:id="850"/>
    </w:p>
    <w:p w14:paraId="73842CAA">
      <w:pPr>
        <w:pStyle w:val="2"/>
        <w:rPr>
          <w:rFonts w:hint="eastAsia"/>
          <w:color w:val="000000" w:themeColor="text1"/>
          <w14:textFill>
            <w14:solidFill>
              <w14:schemeClr w14:val="tx1"/>
            </w14:solidFill>
          </w14:textFill>
        </w:rPr>
      </w:pPr>
      <w:bookmarkStart w:id="851" w:name="_Toc216260328"/>
      <w:r>
        <w:rPr>
          <w:rFonts w:hint="eastAsia"/>
          <w:color w:val="000000" w:themeColor="text1"/>
          <w14:textFill>
            <w14:solidFill>
              <w14:schemeClr w14:val="tx1"/>
            </w14:solidFill>
          </w14:textFill>
        </w:rPr>
        <w:t>环境社会效益分析</w:t>
      </w:r>
      <w:bookmarkEnd w:id="851"/>
    </w:p>
    <w:p w14:paraId="30B278A9">
      <w:pPr>
        <w:pStyle w:val="4"/>
        <w:rPr>
          <w:rFonts w:hint="eastAsia"/>
          <w:color w:val="000000" w:themeColor="text1"/>
          <w14:textFill>
            <w14:solidFill>
              <w14:schemeClr w14:val="tx1"/>
            </w14:solidFill>
          </w14:textFill>
        </w:rPr>
      </w:pPr>
      <w:bookmarkStart w:id="852" w:name="_Toc26611"/>
      <w:bookmarkStart w:id="853" w:name="_Toc445842208"/>
      <w:bookmarkStart w:id="854" w:name="_Toc445996515"/>
      <w:r>
        <w:rPr>
          <w:color w:val="000000" w:themeColor="text1"/>
          <w14:textFill>
            <w14:solidFill>
              <w14:schemeClr w14:val="tx1"/>
            </w14:solidFill>
          </w14:textFill>
        </w:rPr>
        <w:t>环境效益分析</w:t>
      </w:r>
      <w:bookmarkEnd w:id="852"/>
      <w:bookmarkEnd w:id="853"/>
      <w:bookmarkEnd w:id="854"/>
    </w:p>
    <w:p w14:paraId="49CBAB75">
      <w:pPr>
        <w:pStyle w:val="117"/>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项目开发建设对环境造成的损失主要表现在：工程占地造成的环境损失，突发事故污染造成的环境损失和其他环境损失。</w:t>
      </w:r>
    </w:p>
    <w:p w14:paraId="257D8CF5">
      <w:pPr>
        <w:pStyle w:val="117"/>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占地主要为井场、预处理注入站、管线等工程占地，对生态环境的影响包括破坏原有地表构造，使地表裸露，加剧水土流失。但在加强施工管理和采取生态恢复措施后，对生态环境的影响是可以接受的。</w:t>
      </w:r>
    </w:p>
    <w:p w14:paraId="5C956A98">
      <w:pPr>
        <w:pStyle w:val="117"/>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本项目施工期较短，施工“三废”和噪声影响较小；</w:t>
      </w:r>
      <w:r>
        <w:rPr>
          <w:color w:val="000000" w:themeColor="text1"/>
          <w14:textFill>
            <w14:solidFill>
              <w14:schemeClr w14:val="tx1"/>
            </w14:solidFill>
          </w14:textFill>
        </w:rPr>
        <w:t>在初期的3～5年内，植被破坏后不易恢复</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当临时性占地的植被得到初步恢复后，这种损失将会逐渐减少</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施工期的各种污染物排放均属于短期污染，会随着施工期的结束而消失</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不会对周边环境产生影响。</w:t>
      </w:r>
      <w:r>
        <w:rPr>
          <w:rFonts w:hint="eastAsia"/>
          <w:color w:val="000000" w:themeColor="text1"/>
          <w14:textFill>
            <w14:solidFill>
              <w14:schemeClr w14:val="tx1"/>
            </w14:solidFill>
          </w14:textFill>
        </w:rPr>
        <w:t>运营期废气、噪声均可实现达标排放，废水及固体废物均可实现妥善处置，正常情况下不会对周围环境产生明显影响。</w:t>
      </w:r>
    </w:p>
    <w:p w14:paraId="6B273005">
      <w:pPr>
        <w:pStyle w:val="117"/>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本项目建成投产后，对该地区的资源开发、经济结构的优化及其它相关产业的带动发展都具有非常重要的意义。</w:t>
      </w:r>
    </w:p>
    <w:p w14:paraId="596A11BF">
      <w:pPr>
        <w:pStyle w:val="4"/>
        <w:rPr>
          <w:rFonts w:hint="eastAsia"/>
          <w:color w:val="000000" w:themeColor="text1"/>
          <w14:textFill>
            <w14:solidFill>
              <w14:schemeClr w14:val="tx1"/>
            </w14:solidFill>
          </w14:textFill>
        </w:rPr>
      </w:pPr>
      <w:bookmarkStart w:id="855" w:name="_Toc445996516"/>
      <w:bookmarkStart w:id="856" w:name="_Toc116"/>
      <w:bookmarkStart w:id="857" w:name="_Toc445842209"/>
      <w:r>
        <w:rPr>
          <w:color w:val="000000" w:themeColor="text1"/>
          <w14:textFill>
            <w14:solidFill>
              <w14:schemeClr w14:val="tx1"/>
            </w14:solidFill>
          </w14:textFill>
        </w:rPr>
        <w:t>社会</w:t>
      </w:r>
      <w:r>
        <w:rPr>
          <w:rFonts w:hint="eastAsia"/>
          <w:color w:val="000000" w:themeColor="text1"/>
          <w14:textFill>
            <w14:solidFill>
              <w14:schemeClr w14:val="tx1"/>
            </w14:solidFill>
          </w14:textFill>
        </w:rPr>
        <w:t>经济</w:t>
      </w:r>
      <w:r>
        <w:rPr>
          <w:color w:val="000000" w:themeColor="text1"/>
          <w14:textFill>
            <w14:solidFill>
              <w14:schemeClr w14:val="tx1"/>
            </w14:solidFill>
          </w14:textFill>
        </w:rPr>
        <w:t>效益分析</w:t>
      </w:r>
      <w:bookmarkEnd w:id="855"/>
      <w:bookmarkEnd w:id="856"/>
      <w:bookmarkEnd w:id="857"/>
    </w:p>
    <w:p w14:paraId="5537B5CF">
      <w:pPr>
        <w:pStyle w:val="117"/>
        <w:ind w:firstLine="480"/>
        <w:rPr>
          <w:rFonts w:hint="eastAsia"/>
          <w:color w:val="000000" w:themeColor="text1"/>
          <w14:textFill>
            <w14:solidFill>
              <w14:schemeClr w14:val="tx1"/>
            </w14:solidFill>
          </w14:textFill>
        </w:rPr>
      </w:pPr>
      <w:r>
        <w:rPr>
          <w:color w:val="000000" w:themeColor="text1"/>
          <w14:textFill>
            <w14:solidFill>
              <w14:schemeClr w14:val="tx1"/>
            </w14:solidFill>
          </w14:textFill>
        </w:rPr>
        <w:t>本项目开发的社会效益主要体现在</w:t>
      </w:r>
      <w:r>
        <w:rPr>
          <w:rFonts w:hint="eastAsia"/>
          <w:color w:val="000000" w:themeColor="text1"/>
          <w14:textFill>
            <w14:solidFill>
              <w14:schemeClr w14:val="tx1"/>
            </w14:solidFill>
          </w14:textFill>
        </w:rPr>
        <w:t>油田</w:t>
      </w:r>
      <w:r>
        <w:rPr>
          <w:color w:val="000000" w:themeColor="text1"/>
          <w14:textFill>
            <w14:solidFill>
              <w14:schemeClr w14:val="tx1"/>
            </w14:solidFill>
          </w14:textFill>
        </w:rPr>
        <w:t>开发对当地工业和经济的发展</w:t>
      </w:r>
      <w:r>
        <w:rPr>
          <w:rFonts w:hint="eastAsia"/>
          <w:color w:val="000000" w:themeColor="text1"/>
          <w14:textFill>
            <w14:solidFill>
              <w14:schemeClr w14:val="tx1"/>
            </w14:solidFill>
          </w14:textFill>
        </w:rPr>
        <w:t>以及人民生活水平的提高</w:t>
      </w:r>
      <w:r>
        <w:rPr>
          <w:color w:val="000000" w:themeColor="text1"/>
          <w14:textFill>
            <w14:solidFill>
              <w14:schemeClr w14:val="tx1"/>
            </w14:solidFill>
          </w14:textFill>
        </w:rPr>
        <w:t>具有明显的促进作用，能够带动一批相关工业、第三产业的发展，给当地经济发展注入新的活力。</w:t>
      </w:r>
      <w:r>
        <w:rPr>
          <w:rFonts w:hint="eastAsia"/>
          <w:color w:val="000000" w:themeColor="text1"/>
          <w14:textFill>
            <w14:solidFill>
              <w14:schemeClr w14:val="tx1"/>
            </w14:solidFill>
          </w14:textFill>
        </w:rPr>
        <w:t>油田开发</w:t>
      </w:r>
      <w:r>
        <w:rPr>
          <w:color w:val="000000" w:themeColor="text1"/>
          <w14:textFill>
            <w14:solidFill>
              <w14:schemeClr w14:val="tx1"/>
            </w14:solidFill>
          </w14:textFill>
        </w:rPr>
        <w:t>是支持</w:t>
      </w:r>
      <w:r>
        <w:rPr>
          <w:rFonts w:hint="eastAsia"/>
          <w:color w:val="000000" w:themeColor="text1"/>
          <w14:textFill>
            <w14:solidFill>
              <w14:schemeClr w14:val="tx1"/>
            </w14:solidFill>
          </w14:textFill>
        </w:rPr>
        <w:t>当地</w:t>
      </w:r>
      <w:r>
        <w:rPr>
          <w:color w:val="000000" w:themeColor="text1"/>
          <w14:textFill>
            <w14:solidFill>
              <w14:schemeClr w14:val="tx1"/>
            </w14:solidFill>
          </w14:textFill>
        </w:rPr>
        <w:t>经济发展的一项重大举措</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对于提供就业机会，增加部分人员收入，</w:t>
      </w:r>
      <w:r>
        <w:rPr>
          <w:rFonts w:hint="eastAsia"/>
          <w:color w:val="000000" w:themeColor="text1"/>
          <w14:textFill>
            <w14:solidFill>
              <w14:schemeClr w14:val="tx1"/>
            </w14:solidFill>
          </w14:textFill>
        </w:rPr>
        <w:t>提高当地的GDP，</w:t>
      </w:r>
      <w:r>
        <w:rPr>
          <w:color w:val="000000" w:themeColor="text1"/>
          <w14:textFill>
            <w14:solidFill>
              <w14:schemeClr w14:val="tx1"/>
            </w14:solidFill>
          </w14:textFill>
        </w:rPr>
        <w:t>提高当地</w:t>
      </w:r>
      <w:r>
        <w:rPr>
          <w:rFonts w:hint="eastAsia"/>
          <w:color w:val="000000" w:themeColor="text1"/>
          <w14:textFill>
            <w14:solidFill>
              <w14:schemeClr w14:val="tx1"/>
            </w14:solidFill>
          </w14:textFill>
        </w:rPr>
        <w:t>税收</w:t>
      </w:r>
      <w:r>
        <w:rPr>
          <w:color w:val="000000" w:themeColor="text1"/>
          <w14:textFill>
            <w14:solidFill>
              <w14:schemeClr w14:val="tx1"/>
            </w14:solidFill>
          </w14:textFill>
        </w:rPr>
        <w:t>有着积极的作用。</w:t>
      </w:r>
    </w:p>
    <w:p w14:paraId="5546B5D7">
      <w:pPr>
        <w:pStyle w:val="2"/>
        <w:rPr>
          <w:rFonts w:hint="eastAsia"/>
          <w:color w:val="000000" w:themeColor="text1"/>
          <w14:textFill>
            <w14:solidFill>
              <w14:schemeClr w14:val="tx1"/>
            </w14:solidFill>
          </w14:textFill>
        </w:rPr>
      </w:pPr>
      <w:bookmarkStart w:id="858" w:name="_Toc16528"/>
      <w:bookmarkStart w:id="859" w:name="_Toc445842210"/>
      <w:bookmarkStart w:id="860" w:name="_Toc1312"/>
      <w:bookmarkStart w:id="861" w:name="_Toc459026614"/>
      <w:bookmarkStart w:id="862" w:name="_Toc5988"/>
      <w:bookmarkStart w:id="863" w:name="_Toc445840446"/>
      <w:bookmarkStart w:id="864" w:name="_Toc445996517"/>
      <w:bookmarkStart w:id="865" w:name="_Toc445829836"/>
      <w:bookmarkStart w:id="866" w:name="_Toc448413638"/>
      <w:bookmarkStart w:id="867" w:name="_Toc216260329"/>
      <w:bookmarkStart w:id="868" w:name="_Toc471933683"/>
      <w:bookmarkStart w:id="869" w:name="_Toc468307966"/>
      <w:r>
        <w:rPr>
          <w:color w:val="000000" w:themeColor="text1"/>
          <w14:textFill>
            <w14:solidFill>
              <w14:schemeClr w14:val="tx1"/>
            </w14:solidFill>
          </w14:textFill>
        </w:rPr>
        <w:t>环境经济损益分析结论</w:t>
      </w:r>
      <w:bookmarkEnd w:id="858"/>
      <w:bookmarkEnd w:id="859"/>
      <w:bookmarkEnd w:id="860"/>
      <w:bookmarkEnd w:id="861"/>
      <w:bookmarkEnd w:id="862"/>
      <w:bookmarkEnd w:id="863"/>
      <w:bookmarkEnd w:id="864"/>
      <w:bookmarkEnd w:id="865"/>
      <w:bookmarkEnd w:id="866"/>
      <w:bookmarkEnd w:id="867"/>
      <w:bookmarkEnd w:id="868"/>
      <w:bookmarkEnd w:id="869"/>
    </w:p>
    <w:p w14:paraId="14BAEBAC">
      <w:pPr>
        <w:pStyle w:val="117"/>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综上所述，</w:t>
      </w:r>
      <w:bookmarkStart w:id="870" w:name="_Hlk482045515"/>
      <w:r>
        <w:rPr>
          <w:rFonts w:hint="eastAsia"/>
          <w:color w:val="000000" w:themeColor="text1"/>
          <w14:textFill>
            <w14:solidFill>
              <w14:schemeClr w14:val="tx1"/>
            </w14:solidFill>
          </w14:textFill>
        </w:rPr>
        <w:t>在建设过程中，由于工程占地会带来一定的环境损失。因而在油田开发过程中，需要投入必要的资金用于污染防治和生态恢复等，实施相应的环保措施后，不但能够起到保护环境的效果，同时节约经济开支，为企业带来双赢。</w:t>
      </w:r>
      <w:bookmarkEnd w:id="870"/>
    </w:p>
    <w:p w14:paraId="61EFF4E8">
      <w:pPr>
        <w:pStyle w:val="3"/>
        <w:rPr>
          <w:rFonts w:hint="eastAsia"/>
          <w:color w:val="000000" w:themeColor="text1"/>
          <w14:textFill>
            <w14:solidFill>
              <w14:schemeClr w14:val="tx1"/>
            </w14:solidFill>
          </w14:textFill>
        </w:rPr>
      </w:pPr>
      <w:r>
        <w:rPr>
          <w:color w:val="000000" w:themeColor="text1"/>
          <w14:textFill>
            <w14:solidFill>
              <w14:schemeClr w14:val="tx1"/>
            </w14:solidFill>
          </w14:textFill>
        </w:rPr>
        <w:br w:type="page"/>
      </w:r>
      <w:bookmarkStart w:id="871" w:name="_Toc216260330"/>
      <w:r>
        <w:rPr>
          <w:rFonts w:hint="eastAsia"/>
          <w:color w:val="000000" w:themeColor="text1"/>
          <w14:textFill>
            <w14:solidFill>
              <w14:schemeClr w14:val="tx1"/>
            </w14:solidFill>
          </w14:textFill>
        </w:rPr>
        <w:t>环境影响评价结论</w:t>
      </w:r>
      <w:bookmarkEnd w:id="871"/>
    </w:p>
    <w:p w14:paraId="4D9356CD">
      <w:pPr>
        <w:pStyle w:val="2"/>
        <w:rPr>
          <w:rFonts w:hint="eastAsia"/>
          <w:color w:val="000000" w:themeColor="text1"/>
          <w14:textFill>
            <w14:solidFill>
              <w14:schemeClr w14:val="tx1"/>
            </w14:solidFill>
          </w14:textFill>
        </w:rPr>
      </w:pPr>
      <w:bookmarkStart w:id="872" w:name="_Toc216260331"/>
      <w:r>
        <w:rPr>
          <w:rFonts w:hint="eastAsia"/>
          <w:color w:val="000000" w:themeColor="text1"/>
          <w14:textFill>
            <w14:solidFill>
              <w14:schemeClr w14:val="tx1"/>
            </w14:solidFill>
          </w14:textFill>
        </w:rPr>
        <w:t>建设项目概况</w:t>
      </w:r>
      <w:bookmarkEnd w:id="872"/>
    </w:p>
    <w:p w14:paraId="2875CD3E">
      <w:pPr>
        <w:spacing w:line="480" w:lineRule="exact"/>
        <w:ind w:firstLine="480" w:firstLineChars="200"/>
        <w:contextualSpacing/>
        <w:jc w:val="left"/>
        <w:rPr>
          <w:rFonts w:hint="eastAsia" w:ascii="宋体" w:hAnsi="宋体"/>
          <w:color w:val="000000" w:themeColor="text1"/>
          <w:kern w:val="0"/>
          <w:sz w:val="24"/>
          <w:szCs w:val="24"/>
          <w14:textFill>
            <w14:solidFill>
              <w14:schemeClr w14:val="tx1"/>
            </w14:solidFill>
          </w14:textFill>
        </w:rPr>
      </w:pPr>
      <w:bookmarkStart w:id="873" w:name="_Hlk481486445"/>
      <w:r>
        <w:rPr>
          <w:rFonts w:hint="eastAsia" w:ascii="宋体" w:hAnsi="宋体" w:cs="宋体"/>
          <w:color w:val="000000" w:themeColor="text1"/>
          <w:sz w:val="24"/>
          <w:szCs w:val="24"/>
          <w14:textFill>
            <w14:solidFill>
              <w14:schemeClr w14:val="tx1"/>
            </w14:solidFill>
          </w14:textFill>
        </w:rPr>
        <w:t>本次拟对现有12口生产井进行改造，将</w:t>
      </w:r>
      <w:r>
        <w:rPr>
          <w:rFonts w:hint="eastAsia" w:ascii="宋体" w:hAnsi="宋体"/>
          <w:color w:val="000000" w:themeColor="text1"/>
          <w:sz w:val="24"/>
          <w:szCs w:val="24"/>
          <w14:textFill>
            <w14:solidFill>
              <w14:schemeClr w14:val="tx1"/>
            </w14:solidFill>
          </w14:textFill>
        </w:rPr>
        <w:t>JHW</w:t>
      </w:r>
      <w:r>
        <w:rPr>
          <w:rFonts w:ascii="宋体" w:hAnsi="宋体"/>
          <w:color w:val="000000" w:themeColor="text1"/>
          <w:sz w:val="24"/>
          <w:szCs w:val="24"/>
          <w14:textFill>
            <w14:solidFill>
              <w14:schemeClr w14:val="tx1"/>
            </w14:solidFill>
          </w14:textFill>
        </w:rPr>
        <w:t>035</w:t>
      </w:r>
      <w:r>
        <w:rPr>
          <w:rFonts w:hint="eastAsia" w:ascii="宋体" w:hAnsi="宋体"/>
          <w:color w:val="000000" w:themeColor="text1"/>
          <w:sz w:val="24"/>
          <w:szCs w:val="24"/>
          <w14:textFill>
            <w14:solidFill>
              <w14:schemeClr w14:val="tx1"/>
            </w14:solidFill>
          </w14:textFill>
        </w:rPr>
        <w:t>、JHW</w:t>
      </w:r>
      <w:r>
        <w:rPr>
          <w:rFonts w:ascii="宋体" w:hAnsi="宋体"/>
          <w:color w:val="000000" w:themeColor="text1"/>
          <w:sz w:val="24"/>
          <w:szCs w:val="24"/>
          <w14:textFill>
            <w14:solidFill>
              <w14:schemeClr w14:val="tx1"/>
            </w14:solidFill>
          </w14:textFill>
        </w:rPr>
        <w:t>036</w:t>
      </w:r>
      <w:r>
        <w:rPr>
          <w:rFonts w:hint="eastAsia" w:ascii="宋体" w:hAnsi="宋体"/>
          <w:color w:val="000000" w:themeColor="text1"/>
          <w:sz w:val="24"/>
          <w:szCs w:val="24"/>
          <w14:textFill>
            <w14:solidFill>
              <w14:schemeClr w14:val="tx1"/>
            </w14:solidFill>
          </w14:textFill>
        </w:rPr>
        <w:t>、JHW</w:t>
      </w:r>
      <w:r>
        <w:rPr>
          <w:rFonts w:ascii="宋体" w:hAnsi="宋体"/>
          <w:color w:val="000000" w:themeColor="text1"/>
          <w:sz w:val="24"/>
          <w:szCs w:val="24"/>
          <w14:textFill>
            <w14:solidFill>
              <w14:schemeClr w14:val="tx1"/>
            </w14:solidFill>
          </w14:textFill>
        </w:rPr>
        <w:t>00526</w:t>
      </w:r>
      <w:r>
        <w:rPr>
          <w:rFonts w:hint="eastAsia" w:ascii="宋体" w:hAnsi="宋体"/>
          <w:color w:val="000000" w:themeColor="text1"/>
          <w:sz w:val="24"/>
          <w:szCs w:val="24"/>
          <w14:textFill>
            <w14:solidFill>
              <w14:schemeClr w14:val="tx1"/>
            </w14:solidFill>
          </w14:textFill>
        </w:rPr>
        <w:t>、JHW</w:t>
      </w:r>
      <w:r>
        <w:rPr>
          <w:rFonts w:ascii="宋体" w:hAnsi="宋体"/>
          <w:color w:val="000000" w:themeColor="text1"/>
          <w:sz w:val="24"/>
          <w:szCs w:val="24"/>
          <w14:textFill>
            <w14:solidFill>
              <w14:schemeClr w14:val="tx1"/>
            </w14:solidFill>
          </w14:textFill>
        </w:rPr>
        <w:t>00525</w:t>
      </w:r>
      <w:r>
        <w:rPr>
          <w:rFonts w:hint="eastAsia" w:ascii="宋体" w:hAnsi="宋体"/>
          <w:color w:val="000000" w:themeColor="text1"/>
          <w:sz w:val="24"/>
          <w:szCs w:val="24"/>
          <w14:textFill>
            <w14:solidFill>
              <w14:schemeClr w14:val="tx1"/>
            </w14:solidFill>
          </w14:textFill>
        </w:rPr>
        <w:t>、J</w:t>
      </w:r>
      <w:r>
        <w:rPr>
          <w:rFonts w:ascii="宋体" w:hAnsi="宋体"/>
          <w:color w:val="000000" w:themeColor="text1"/>
          <w:sz w:val="24"/>
          <w:szCs w:val="24"/>
          <w14:textFill>
            <w14:solidFill>
              <w14:schemeClr w14:val="tx1"/>
            </w14:solidFill>
          </w14:textFill>
        </w:rPr>
        <w:t>10064_H</w:t>
      </w:r>
      <w:r>
        <w:rPr>
          <w:rFonts w:hint="eastAsia" w:ascii="宋体" w:hAnsi="宋体"/>
          <w:color w:val="000000" w:themeColor="text1"/>
          <w:sz w:val="24"/>
          <w:szCs w:val="24"/>
          <w14:textFill>
            <w14:solidFill>
              <w14:schemeClr w14:val="tx1"/>
            </w14:solidFill>
          </w14:textFill>
        </w:rPr>
        <w:t>、JHW</w:t>
      </w:r>
      <w:r>
        <w:rPr>
          <w:rFonts w:ascii="宋体" w:hAnsi="宋体"/>
          <w:color w:val="000000" w:themeColor="text1"/>
          <w:sz w:val="24"/>
          <w:szCs w:val="24"/>
          <w14:textFill>
            <w14:solidFill>
              <w14:schemeClr w14:val="tx1"/>
            </w14:solidFill>
          </w14:textFill>
        </w:rPr>
        <w:t>033</w:t>
      </w:r>
      <w:r>
        <w:rPr>
          <w:rFonts w:hint="eastAsia" w:ascii="宋体" w:hAnsi="宋体"/>
          <w:color w:val="000000" w:themeColor="text1"/>
          <w:sz w:val="24"/>
          <w:szCs w:val="24"/>
          <w14:textFill>
            <w14:solidFill>
              <w14:schemeClr w14:val="tx1"/>
            </w14:solidFill>
          </w14:textFill>
        </w:rPr>
        <w:t>、JHW</w:t>
      </w:r>
      <w:r>
        <w:rPr>
          <w:rFonts w:ascii="宋体" w:hAnsi="宋体"/>
          <w:color w:val="000000" w:themeColor="text1"/>
          <w:sz w:val="24"/>
          <w:szCs w:val="24"/>
          <w14:textFill>
            <w14:solidFill>
              <w14:schemeClr w14:val="tx1"/>
            </w14:solidFill>
          </w14:textFill>
        </w:rPr>
        <w:t>032</w:t>
      </w:r>
      <w:r>
        <w:rPr>
          <w:rFonts w:hint="eastAsia" w:ascii="宋体" w:hAnsi="宋体"/>
          <w:color w:val="000000" w:themeColor="text1"/>
          <w:sz w:val="24"/>
          <w:szCs w:val="24"/>
          <w14:textFill>
            <w14:solidFill>
              <w14:schemeClr w14:val="tx1"/>
            </w14:solidFill>
          </w14:textFill>
        </w:rPr>
        <w:t>、JHW</w:t>
      </w:r>
      <w:r>
        <w:rPr>
          <w:rFonts w:ascii="宋体" w:hAnsi="宋体"/>
          <w:color w:val="000000" w:themeColor="text1"/>
          <w:sz w:val="24"/>
          <w:szCs w:val="24"/>
          <w14:textFill>
            <w14:solidFill>
              <w14:schemeClr w14:val="tx1"/>
            </w14:solidFill>
          </w14:textFill>
        </w:rPr>
        <w:t>031</w:t>
      </w:r>
      <w:r>
        <w:rPr>
          <w:rFonts w:hint="eastAsia" w:ascii="宋体" w:hAnsi="宋体"/>
          <w:color w:val="000000" w:themeColor="text1"/>
          <w:sz w:val="24"/>
          <w:szCs w:val="24"/>
          <w14:textFill>
            <w14:solidFill>
              <w14:schemeClr w14:val="tx1"/>
            </w14:solidFill>
          </w14:textFill>
        </w:rPr>
        <w:t>、J</w:t>
      </w:r>
      <w:r>
        <w:rPr>
          <w:rFonts w:ascii="宋体" w:hAnsi="宋体"/>
          <w:color w:val="000000" w:themeColor="text1"/>
          <w:sz w:val="24"/>
          <w:szCs w:val="24"/>
          <w14:textFill>
            <w14:solidFill>
              <w14:schemeClr w14:val="tx1"/>
            </w14:solidFill>
          </w14:textFill>
        </w:rPr>
        <w:t>10002_H</w:t>
      </w:r>
      <w:r>
        <w:rPr>
          <w:rFonts w:hint="eastAsia" w:ascii="宋体" w:hAnsi="宋体"/>
          <w:color w:val="000000" w:themeColor="text1"/>
          <w:sz w:val="24"/>
          <w:szCs w:val="24"/>
          <w14:textFill>
            <w14:solidFill>
              <w14:schemeClr w14:val="tx1"/>
            </w14:solidFill>
          </w14:textFill>
        </w:rPr>
        <w:t>共9口井改造为注采井，JHW</w:t>
      </w:r>
      <w:r>
        <w:rPr>
          <w:rFonts w:ascii="宋体" w:hAnsi="宋体"/>
          <w:color w:val="000000" w:themeColor="text1"/>
          <w:sz w:val="24"/>
          <w:szCs w:val="24"/>
          <w14:textFill>
            <w14:solidFill>
              <w14:schemeClr w14:val="tx1"/>
            </w14:solidFill>
          </w14:textFill>
        </w:rPr>
        <w:t>00421</w:t>
      </w:r>
      <w:r>
        <w:rPr>
          <w:rFonts w:hint="eastAsia" w:ascii="宋体" w:hAnsi="宋体"/>
          <w:color w:val="000000" w:themeColor="text1"/>
          <w:sz w:val="24"/>
          <w:szCs w:val="24"/>
          <w14:textFill>
            <w14:solidFill>
              <w14:schemeClr w14:val="tx1"/>
            </w14:solidFill>
          </w14:textFill>
        </w:rPr>
        <w:t>井、JHW</w:t>
      </w:r>
      <w:r>
        <w:rPr>
          <w:rFonts w:ascii="宋体" w:hAnsi="宋体"/>
          <w:color w:val="000000" w:themeColor="text1"/>
          <w:sz w:val="24"/>
          <w:szCs w:val="24"/>
          <w14:textFill>
            <w14:solidFill>
              <w14:schemeClr w14:val="tx1"/>
            </w14:solidFill>
          </w14:textFill>
        </w:rPr>
        <w:t>034</w:t>
      </w:r>
      <w:r>
        <w:rPr>
          <w:rFonts w:hint="eastAsia" w:ascii="宋体" w:hAnsi="宋体"/>
          <w:color w:val="000000" w:themeColor="text1"/>
          <w:sz w:val="24"/>
          <w:szCs w:val="24"/>
          <w14:textFill>
            <w14:solidFill>
              <w14:schemeClr w14:val="tx1"/>
            </w14:solidFill>
          </w14:textFill>
        </w:rPr>
        <w:t>共2口井改造为注水井，将</w:t>
      </w:r>
      <w:r>
        <w:rPr>
          <w:rFonts w:hint="eastAsia" w:ascii="宋体" w:hAnsi="宋体"/>
          <w:color w:val="000000" w:themeColor="text1"/>
          <w:sz w:val="24"/>
          <w:szCs w:val="24"/>
          <w:lang w:val="zh-CN"/>
          <w14:textFill>
            <w14:solidFill>
              <w14:schemeClr w14:val="tx1"/>
            </w14:solidFill>
          </w14:textFill>
        </w:rPr>
        <w:t>JHW00422改造为采出气回注井。</w:t>
      </w:r>
      <w:r>
        <w:rPr>
          <w:rFonts w:hint="eastAsia" w:ascii="宋体" w:hAnsi="宋体" w:cs="宋体"/>
          <w:color w:val="000000" w:themeColor="text1"/>
          <w:kern w:val="0"/>
          <w:sz w:val="24"/>
          <w:szCs w:val="24"/>
          <w14:textFill>
            <w14:solidFill>
              <w14:schemeClr w14:val="tx1"/>
            </w14:solidFill>
          </w14:textFill>
        </w:rPr>
        <w:t>建设内容主要为：新建注采井场9座、采出气回注井场1座，注水井场2座，新建预处理注入站1座、计量站2座、单井采油管线4.64km、集油干线2.3km、注气管线1.2km、转液管线1.2km；并配套建设供配电、仪表自动化、消防等公用工程。</w:t>
      </w:r>
      <w:r>
        <w:rPr>
          <w:rFonts w:hint="eastAsia" w:ascii="宋体" w:hAnsi="宋体"/>
          <w:color w:val="000000" w:themeColor="text1"/>
          <w:sz w:val="24"/>
          <w:szCs w:val="24"/>
          <w14:textFill>
            <w14:solidFill>
              <w14:schemeClr w14:val="tx1"/>
            </w14:solidFill>
          </w14:textFill>
        </w:rPr>
        <w:t>项目总投资5908.52万元，</w:t>
      </w:r>
      <w:r>
        <w:rPr>
          <w:rFonts w:ascii="宋体" w:hAnsi="宋体"/>
          <w:color w:val="000000" w:themeColor="text1"/>
          <w:sz w:val="24"/>
          <w:szCs w:val="24"/>
          <w14:textFill>
            <w14:solidFill>
              <w14:schemeClr w14:val="tx1"/>
            </w14:solidFill>
          </w14:textFill>
        </w:rPr>
        <w:t>环保投资约</w:t>
      </w:r>
      <w:r>
        <w:rPr>
          <w:rFonts w:hint="eastAsia" w:ascii="宋体" w:hAnsi="宋体"/>
          <w:color w:val="000000" w:themeColor="text1"/>
          <w:sz w:val="24"/>
          <w:szCs w:val="24"/>
          <w14:textFill>
            <w14:solidFill>
              <w14:schemeClr w14:val="tx1"/>
            </w14:solidFill>
          </w14:textFill>
        </w:rPr>
        <w:t>281万</w:t>
      </w:r>
      <w:r>
        <w:rPr>
          <w:rFonts w:ascii="宋体" w:hAnsi="宋体"/>
          <w:color w:val="000000" w:themeColor="text1"/>
          <w:sz w:val="24"/>
          <w:szCs w:val="24"/>
          <w14:textFill>
            <w14:solidFill>
              <w14:schemeClr w14:val="tx1"/>
            </w14:solidFill>
          </w14:textFill>
        </w:rPr>
        <w:t>元，占总投资的</w:t>
      </w:r>
      <w:r>
        <w:rPr>
          <w:rFonts w:hint="eastAsia" w:ascii="宋体" w:hAnsi="宋体"/>
          <w:color w:val="000000" w:themeColor="text1"/>
          <w:sz w:val="24"/>
          <w:szCs w:val="24"/>
          <w14:textFill>
            <w14:solidFill>
              <w14:schemeClr w14:val="tx1"/>
            </w14:solidFill>
          </w14:textFill>
        </w:rPr>
        <w:t>4.76</w:t>
      </w:r>
      <w:r>
        <w:rPr>
          <w:rFonts w:ascii="宋体" w:hAnsi="宋体"/>
          <w:color w:val="000000" w:themeColor="text1"/>
          <w:sz w:val="24"/>
          <w:szCs w:val="24"/>
          <w14:textFill>
            <w14:solidFill>
              <w14:schemeClr w14:val="tx1"/>
            </w14:solidFill>
          </w14:textFill>
        </w:rPr>
        <w:t>%</w:t>
      </w:r>
      <w:r>
        <w:rPr>
          <w:rFonts w:hint="eastAsia" w:ascii="宋体" w:hAnsi="宋体"/>
          <w:color w:val="000000" w:themeColor="text1"/>
          <w:kern w:val="0"/>
          <w:sz w:val="24"/>
          <w:szCs w:val="24"/>
          <w14:textFill>
            <w14:solidFill>
              <w14:schemeClr w14:val="tx1"/>
            </w14:solidFill>
          </w14:textFill>
        </w:rPr>
        <w:t>。</w:t>
      </w:r>
    </w:p>
    <w:bookmarkEnd w:id="873"/>
    <w:p w14:paraId="4A4F8409">
      <w:pPr>
        <w:pStyle w:val="2"/>
        <w:rPr>
          <w:rFonts w:hint="eastAsia"/>
          <w:color w:val="000000" w:themeColor="text1"/>
          <w14:textFill>
            <w14:solidFill>
              <w14:schemeClr w14:val="tx1"/>
            </w14:solidFill>
          </w14:textFill>
        </w:rPr>
      </w:pPr>
      <w:bookmarkStart w:id="874" w:name="_Toc445996539"/>
      <w:bookmarkStart w:id="875" w:name="_Toc445842227"/>
      <w:bookmarkStart w:id="876" w:name="_Toc1709"/>
      <w:bookmarkStart w:id="877" w:name="_Toc216260332"/>
      <w:r>
        <w:rPr>
          <w:color w:val="000000" w:themeColor="text1"/>
          <w14:textFill>
            <w14:solidFill>
              <w14:schemeClr w14:val="tx1"/>
            </w14:solidFill>
          </w14:textFill>
        </w:rPr>
        <w:t>环境质量现状</w:t>
      </w:r>
      <w:bookmarkEnd w:id="874"/>
      <w:bookmarkEnd w:id="875"/>
      <w:bookmarkEnd w:id="876"/>
      <w:bookmarkEnd w:id="877"/>
    </w:p>
    <w:p w14:paraId="6789362B">
      <w:pPr>
        <w:pStyle w:val="117"/>
        <w:ind w:firstLine="480"/>
        <w:rPr>
          <w:rFonts w:hint="eastAsia"/>
          <w:color w:val="000000" w:themeColor="text1"/>
          <w14:textFill>
            <w14:solidFill>
              <w14:schemeClr w14:val="tx1"/>
            </w14:solidFill>
          </w14:textFill>
        </w:rPr>
      </w:pPr>
      <w:r>
        <w:rPr>
          <w:color w:val="000000" w:themeColor="text1"/>
          <w14:textFill>
            <w14:solidFill>
              <w14:schemeClr w14:val="tx1"/>
            </w14:solidFill>
          </w14:textFill>
        </w:rPr>
        <w:t>（1）环境空气</w:t>
      </w:r>
    </w:p>
    <w:p w14:paraId="15EFF4DA">
      <w:pPr>
        <w:spacing w:line="480" w:lineRule="exact"/>
        <w:ind w:firstLine="480" w:firstLineChars="200"/>
        <w:contextualSpacing/>
        <w:jc w:val="left"/>
        <w:rPr>
          <w:rFonts w:hint="eastAsia"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项目区环境空气质量基本污染物中除了</w:t>
      </w:r>
      <w:r>
        <w:rPr>
          <w:rFonts w:ascii="宋体" w:hAnsi="宋体"/>
          <w:color w:val="000000" w:themeColor="text1"/>
          <w:sz w:val="24"/>
          <w:szCs w:val="24"/>
          <w14:textFill>
            <w14:solidFill>
              <w14:schemeClr w14:val="tx1"/>
            </w14:solidFill>
          </w14:textFill>
        </w:rPr>
        <w:t>PM</w:t>
      </w:r>
      <w:r>
        <w:rPr>
          <w:rFonts w:ascii="宋体" w:hAnsi="宋体"/>
          <w:color w:val="000000" w:themeColor="text1"/>
          <w:sz w:val="24"/>
          <w:szCs w:val="24"/>
          <w:vertAlign w:val="subscript"/>
          <w14:textFill>
            <w14:solidFill>
              <w14:schemeClr w14:val="tx1"/>
            </w14:solidFill>
          </w14:textFill>
        </w:rPr>
        <w:t>2.5</w:t>
      </w:r>
      <w:r>
        <w:rPr>
          <w:rFonts w:ascii="宋体" w:hAnsi="宋体"/>
          <w:color w:val="000000" w:themeColor="text1"/>
          <w:sz w:val="24"/>
          <w:szCs w:val="24"/>
          <w14:textFill>
            <w14:solidFill>
              <w14:schemeClr w14:val="tx1"/>
            </w14:solidFill>
          </w14:textFill>
        </w:rPr>
        <w:t>、PM</w:t>
      </w:r>
      <w:r>
        <w:rPr>
          <w:rFonts w:ascii="宋体" w:hAnsi="宋体"/>
          <w:color w:val="000000" w:themeColor="text1"/>
          <w:sz w:val="24"/>
          <w:szCs w:val="24"/>
          <w:vertAlign w:val="subscript"/>
          <w14:textFill>
            <w14:solidFill>
              <w14:schemeClr w14:val="tx1"/>
            </w14:solidFill>
          </w14:textFill>
        </w:rPr>
        <w:t>10</w:t>
      </w:r>
      <w:r>
        <w:rPr>
          <w:rFonts w:hint="eastAsia" w:ascii="宋体" w:hAnsi="宋体"/>
          <w:color w:val="000000" w:themeColor="text1"/>
          <w:sz w:val="24"/>
          <w:szCs w:val="24"/>
          <w14:textFill>
            <w14:solidFill>
              <w14:schemeClr w14:val="tx1"/>
            </w14:solidFill>
          </w14:textFill>
        </w:rPr>
        <w:t>超标外，其余监测因子均满足《环境空气质量标准》（G</w:t>
      </w:r>
      <w:r>
        <w:rPr>
          <w:rFonts w:ascii="宋体" w:hAnsi="宋体"/>
          <w:color w:val="000000" w:themeColor="text1"/>
          <w:sz w:val="24"/>
          <w:szCs w:val="24"/>
          <w14:textFill>
            <w14:solidFill>
              <w14:schemeClr w14:val="tx1"/>
            </w14:solidFill>
          </w14:textFill>
        </w:rPr>
        <w:t>B3095-2012）</w:t>
      </w:r>
      <w:r>
        <w:rPr>
          <w:rFonts w:hint="eastAsia" w:ascii="宋体" w:hAnsi="宋体"/>
          <w:color w:val="000000" w:themeColor="text1"/>
          <w:sz w:val="24"/>
          <w:szCs w:val="24"/>
          <w14:textFill>
            <w14:solidFill>
              <w14:schemeClr w14:val="tx1"/>
            </w14:solidFill>
          </w14:textFill>
        </w:rPr>
        <w:t>中的二级标准限值要求，超标原因主要与当地风沙季有一定的原因；NMHC满足《〈大气污染物综合排放标准〉详解》中推荐值2.0mg/m</w:t>
      </w:r>
      <w:r>
        <w:rPr>
          <w:rFonts w:hint="eastAsia" w:ascii="宋体" w:hAnsi="宋体"/>
          <w:color w:val="000000" w:themeColor="text1"/>
          <w:sz w:val="24"/>
          <w:szCs w:val="24"/>
          <w:vertAlign w:val="superscript"/>
          <w14:textFill>
            <w14:solidFill>
              <w14:schemeClr w14:val="tx1"/>
            </w14:solidFill>
          </w14:textFill>
        </w:rPr>
        <w:t>3</w:t>
      </w:r>
      <w:r>
        <w:rPr>
          <w:rFonts w:hint="eastAsia" w:ascii="宋体" w:hAnsi="宋体"/>
          <w:color w:val="000000" w:themeColor="text1"/>
          <w:sz w:val="24"/>
          <w:szCs w:val="24"/>
          <w14:textFill>
            <w14:solidFill>
              <w14:schemeClr w14:val="tx1"/>
            </w14:solidFill>
          </w14:textFill>
        </w:rPr>
        <w:t>要求，H</w:t>
      </w:r>
      <w:r>
        <w:rPr>
          <w:rFonts w:hint="eastAsia" w:ascii="宋体" w:hAnsi="宋体"/>
          <w:color w:val="000000" w:themeColor="text1"/>
          <w:sz w:val="24"/>
          <w:szCs w:val="24"/>
          <w:vertAlign w:val="subscript"/>
          <w14:textFill>
            <w14:solidFill>
              <w14:schemeClr w14:val="tx1"/>
            </w14:solidFill>
          </w14:textFill>
        </w:rPr>
        <w:t>2</w:t>
      </w:r>
      <w:r>
        <w:rPr>
          <w:rFonts w:hint="eastAsia" w:ascii="宋体" w:hAnsi="宋体"/>
          <w:color w:val="000000" w:themeColor="text1"/>
          <w:sz w:val="24"/>
          <w:szCs w:val="24"/>
          <w14:textFill>
            <w14:solidFill>
              <w14:schemeClr w14:val="tx1"/>
            </w14:solidFill>
          </w14:textFill>
        </w:rPr>
        <w:t>S监测浓度满足《环境影响评价技术导则大气环境》（</w:t>
      </w:r>
      <w:r>
        <w:rPr>
          <w:rFonts w:ascii="宋体" w:hAnsi="宋体"/>
          <w:color w:val="000000" w:themeColor="text1"/>
          <w:sz w:val="24"/>
          <w:szCs w:val="24"/>
          <w14:textFill>
            <w14:solidFill>
              <w14:schemeClr w14:val="tx1"/>
            </w14:solidFill>
          </w14:textFill>
        </w:rPr>
        <w:t>HJ2.2-2018）附录D中</w:t>
      </w:r>
      <w:r>
        <w:rPr>
          <w:rFonts w:hint="eastAsia" w:ascii="宋体" w:hAnsi="宋体"/>
          <w:color w:val="000000" w:themeColor="text1"/>
          <w:sz w:val="24"/>
          <w:szCs w:val="24"/>
          <w14:textFill>
            <w14:solidFill>
              <w14:schemeClr w14:val="tx1"/>
            </w14:solidFill>
          </w14:textFill>
        </w:rPr>
        <w:t>推荐值要求。</w:t>
      </w:r>
    </w:p>
    <w:p w14:paraId="319111E2">
      <w:pPr>
        <w:pStyle w:val="117"/>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w:t>
      </w:r>
      <w:r>
        <w:rPr>
          <w:color w:val="000000" w:themeColor="text1"/>
          <w14:textFill>
            <w14:solidFill>
              <w14:schemeClr w14:val="tx1"/>
            </w14:solidFill>
          </w14:textFill>
        </w:rPr>
        <w:t>2</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地下水</w:t>
      </w:r>
    </w:p>
    <w:p w14:paraId="2567D7E8">
      <w:pPr>
        <w:pStyle w:val="191"/>
        <w:ind w:firstLine="480"/>
        <w:rPr>
          <w:rFonts w:hint="eastAsia" w:cs="宋体"/>
          <w:color w:val="000000" w:themeColor="text1"/>
          <w:lang w:bidi="ar"/>
          <w14:textFill>
            <w14:solidFill>
              <w14:schemeClr w14:val="tx1"/>
            </w14:solidFill>
          </w14:textFill>
        </w:rPr>
      </w:pPr>
      <w:r>
        <w:rPr>
          <w:rFonts w:hint="eastAsia" w:cs="宋体"/>
          <w:color w:val="000000" w:themeColor="text1"/>
          <w:lang w:bidi="ar"/>
          <w14:textFill>
            <w14:solidFill>
              <w14:schemeClr w14:val="tx1"/>
            </w14:solidFill>
          </w14:textFill>
        </w:rPr>
        <w:t>地下水各监测因子中石油类满足《地表水环境质量标准》（GB3838-2002）中的Ⅲ类标准限值，</w:t>
      </w:r>
      <w:r>
        <w:rPr>
          <w:rFonts w:hint="eastAsia"/>
          <w:color w:val="000000" w:themeColor="text1"/>
          <w14:textFill>
            <w14:solidFill>
              <w14:schemeClr w14:val="tx1"/>
            </w14:solidFill>
          </w14:textFill>
        </w:rPr>
        <w:t>其余各点、各监测因子均可满足</w:t>
      </w:r>
      <w:r>
        <w:rPr>
          <w:rFonts w:hint="eastAsia" w:cs="宋体"/>
          <w:color w:val="000000" w:themeColor="text1"/>
          <w:lang w:bidi="ar"/>
          <w14:textFill>
            <w14:solidFill>
              <w14:schemeClr w14:val="tx1"/>
            </w14:solidFill>
          </w14:textFill>
        </w:rPr>
        <w:t>《地下水质量标准》（GB/T14848-2017）Ⅲ类标准。</w:t>
      </w:r>
    </w:p>
    <w:p w14:paraId="1BD299BA">
      <w:pPr>
        <w:pStyle w:val="117"/>
        <w:ind w:firstLine="480"/>
        <w:rPr>
          <w:rFonts w:hint="eastAsia"/>
          <w:color w:val="000000" w:themeColor="text1"/>
          <w14:textFill>
            <w14:solidFill>
              <w14:schemeClr w14:val="tx1"/>
            </w14:solidFill>
          </w14:textFill>
        </w:rPr>
      </w:pPr>
      <w:r>
        <w:rPr>
          <w:color w:val="000000" w:themeColor="text1"/>
          <w14:textFill>
            <w14:solidFill>
              <w14:schemeClr w14:val="tx1"/>
            </w14:solidFill>
          </w14:textFill>
        </w:rPr>
        <w:t>（3）声环境</w:t>
      </w:r>
    </w:p>
    <w:p w14:paraId="7960421E">
      <w:pPr>
        <w:pStyle w:val="117"/>
        <w:ind w:firstLine="480"/>
        <w:rPr>
          <w:rFonts w:hint="eastAsia"/>
          <w:color w:val="000000" w:themeColor="text1"/>
          <w14:textFill>
            <w14:solidFill>
              <w14:schemeClr w14:val="tx1"/>
            </w14:solidFill>
          </w14:textFill>
        </w:rPr>
      </w:pPr>
      <w:r>
        <w:rPr>
          <w:color w:val="000000" w:themeColor="text1"/>
          <w14:textFill>
            <w14:solidFill>
              <w14:schemeClr w14:val="tx1"/>
            </w14:solidFill>
          </w14:textFill>
        </w:rPr>
        <w:t>各噪声监测点位均满足《声环境质量标准》（GB3096-2008）2类声功能区标准限值。</w:t>
      </w:r>
    </w:p>
    <w:p w14:paraId="7CD57906">
      <w:pPr>
        <w:pStyle w:val="117"/>
        <w:ind w:firstLine="480"/>
        <w:rPr>
          <w:rFonts w:hint="eastAsia"/>
          <w:bCs/>
          <w:color w:val="000000" w:themeColor="text1"/>
          <w14:textFill>
            <w14:solidFill>
              <w14:schemeClr w14:val="tx1"/>
            </w14:solidFill>
          </w14:textFill>
        </w:rPr>
      </w:pPr>
      <w:r>
        <w:rPr>
          <w:rFonts w:hint="eastAsia"/>
          <w:bCs/>
          <w:color w:val="000000" w:themeColor="text1"/>
          <w14:textFill>
            <w14:solidFill>
              <w14:schemeClr w14:val="tx1"/>
            </w14:solidFill>
          </w14:textFill>
        </w:rPr>
        <w:t>（</w:t>
      </w:r>
      <w:r>
        <w:rPr>
          <w:bCs/>
          <w:color w:val="000000" w:themeColor="text1"/>
          <w14:textFill>
            <w14:solidFill>
              <w14:schemeClr w14:val="tx1"/>
            </w14:solidFill>
          </w14:textFill>
        </w:rPr>
        <w:t>4</w:t>
      </w:r>
      <w:r>
        <w:rPr>
          <w:rFonts w:hint="eastAsia"/>
          <w:bCs/>
          <w:color w:val="000000" w:themeColor="text1"/>
          <w14:textFill>
            <w14:solidFill>
              <w14:schemeClr w14:val="tx1"/>
            </w14:solidFill>
          </w14:textFill>
        </w:rPr>
        <w:t>）土壤</w:t>
      </w:r>
    </w:p>
    <w:p w14:paraId="2490CC66">
      <w:pPr>
        <w:pStyle w:val="117"/>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占地范围内土壤各监测因子和占地范围外石油烃和六价铬监测浓度均满足《土壤环境质量  建设用地土壤污染风险管控标准（试行）》（GB36600-2018）中第二类用地筛选值要求，占地范围外其余监测因子监测浓度满足《土壤环境质量 农用地土壤污染风险管控标准（试行）》（GB15618-2018）。</w:t>
      </w:r>
    </w:p>
    <w:p w14:paraId="61FE2A36">
      <w:pPr>
        <w:pStyle w:val="2"/>
        <w:rPr>
          <w:rFonts w:hint="eastAsia"/>
          <w:color w:val="000000" w:themeColor="text1"/>
          <w14:textFill>
            <w14:solidFill>
              <w14:schemeClr w14:val="tx1"/>
            </w14:solidFill>
          </w14:textFill>
        </w:rPr>
      </w:pPr>
      <w:bookmarkStart w:id="878" w:name="_Toc216260333"/>
      <w:bookmarkStart w:id="879" w:name="_Toc445842228"/>
      <w:bookmarkStart w:id="880" w:name="_Toc13052"/>
      <w:bookmarkStart w:id="881" w:name="_Toc445996540"/>
      <w:r>
        <w:rPr>
          <w:rFonts w:hint="eastAsia"/>
          <w:color w:val="000000" w:themeColor="text1"/>
          <w14:textFill>
            <w14:solidFill>
              <w14:schemeClr w14:val="tx1"/>
            </w14:solidFill>
          </w14:textFill>
        </w:rPr>
        <w:t>主要环境影响及环保措施</w:t>
      </w:r>
      <w:bookmarkEnd w:id="878"/>
    </w:p>
    <w:p w14:paraId="6EA64C8E">
      <w:pPr>
        <w:pStyle w:val="4"/>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主要环境影响</w:t>
      </w:r>
    </w:p>
    <w:p w14:paraId="7CD3D5D9">
      <w:pPr>
        <w:pStyle w:val="117"/>
        <w:ind w:firstLine="480"/>
        <w:rPr>
          <w:rFonts w:hint="eastAsia"/>
          <w:color w:val="000000" w:themeColor="text1"/>
          <w14:textFill>
            <w14:solidFill>
              <w14:schemeClr w14:val="tx1"/>
            </w14:solidFill>
          </w14:textFill>
        </w:rPr>
      </w:pPr>
      <w:r>
        <w:rPr>
          <w:color w:val="000000" w:themeColor="text1"/>
          <w14:textFill>
            <w14:solidFill>
              <w14:schemeClr w14:val="tx1"/>
            </w14:solidFill>
          </w14:textFill>
        </w:rPr>
        <w:t>（1）生态环境</w:t>
      </w:r>
    </w:p>
    <w:p w14:paraId="65BFE62F">
      <w:pPr>
        <w:pStyle w:val="191"/>
        <w:ind w:firstLine="480"/>
        <w:rPr>
          <w:rStyle w:val="190"/>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对生态环境的影响主要表现在工程占地，</w:t>
      </w:r>
      <w:r>
        <w:rPr>
          <w:color w:val="000000" w:themeColor="text1"/>
          <w14:textFill>
            <w14:solidFill>
              <w14:schemeClr w14:val="tx1"/>
            </w14:solidFill>
          </w14:textFill>
        </w:rPr>
        <w:t>施工活动和工程占地对植物、野生动物</w:t>
      </w:r>
      <w:r>
        <w:rPr>
          <w:rFonts w:hint="eastAsia"/>
          <w:color w:val="000000" w:themeColor="text1"/>
          <w14:textFill>
            <w14:solidFill>
              <w14:schemeClr w14:val="tx1"/>
            </w14:solidFill>
          </w14:textFill>
        </w:rPr>
        <w:t>、生态系统功能和结构</w:t>
      </w:r>
      <w:r>
        <w:rPr>
          <w:color w:val="000000" w:themeColor="text1"/>
          <w14:textFill>
            <w14:solidFill>
              <w14:schemeClr w14:val="tx1"/>
            </w14:solidFill>
          </w14:textFill>
        </w:rPr>
        <w:t>等各生态要素产生不同程度的影响，同时也对原有景观结构和生态系统产生一定程度影响。</w:t>
      </w:r>
      <w:r>
        <w:rPr>
          <w:rFonts w:hint="eastAsia"/>
          <w:color w:val="000000" w:themeColor="text1"/>
          <w14:textFill>
            <w14:solidFill>
              <w14:schemeClr w14:val="tx1"/>
            </w14:solidFill>
          </w14:textFill>
        </w:rPr>
        <w:t>油</w:t>
      </w:r>
      <w:r>
        <w:rPr>
          <w:color w:val="000000" w:themeColor="text1"/>
          <w14:textFill>
            <w14:solidFill>
              <w14:schemeClr w14:val="tx1"/>
            </w14:solidFill>
          </w14:textFill>
        </w:rPr>
        <w:t>田开发的大部分区域地表植被稀疏，由工程造成的生物量损失较小，不会造成区域的生物多样性下降。由于本区域的野生动物种类少，项目</w:t>
      </w:r>
      <w:r>
        <w:rPr>
          <w:rFonts w:hint="eastAsia"/>
          <w:color w:val="000000" w:themeColor="text1"/>
          <w14:textFill>
            <w14:solidFill>
              <w14:schemeClr w14:val="tx1"/>
            </w14:solidFill>
          </w14:textFill>
        </w:rPr>
        <w:t>建设</w:t>
      </w:r>
      <w:r>
        <w:rPr>
          <w:color w:val="000000" w:themeColor="text1"/>
          <w14:textFill>
            <w14:solidFill>
              <w14:schemeClr w14:val="tx1"/>
            </w14:solidFill>
          </w14:textFill>
        </w:rPr>
        <w:t>对野生动物的影响较小。因此总体上</w:t>
      </w:r>
      <w:r>
        <w:rPr>
          <w:rStyle w:val="190"/>
          <w:rFonts w:hint="eastAsia"/>
          <w:color w:val="000000" w:themeColor="text1"/>
          <w14:textFill>
            <w14:solidFill>
              <w14:schemeClr w14:val="tx1"/>
            </w14:solidFill>
          </w14:textFill>
        </w:rPr>
        <w:t>对生态环境影响较小。</w:t>
      </w:r>
    </w:p>
    <w:p w14:paraId="0DEE78C3">
      <w:pPr>
        <w:pStyle w:val="191"/>
        <w:ind w:firstLine="480"/>
        <w:rPr>
          <w:rStyle w:val="190"/>
          <w:rFonts w:hint="eastAsia"/>
          <w:color w:val="000000" w:themeColor="text1"/>
          <w14:textFill>
            <w14:solidFill>
              <w14:schemeClr w14:val="tx1"/>
            </w14:solidFill>
          </w14:textFill>
        </w:rPr>
      </w:pPr>
      <w:r>
        <w:rPr>
          <w:rStyle w:val="190"/>
          <w:rFonts w:hint="eastAsia"/>
          <w:color w:val="000000" w:themeColor="text1"/>
          <w14:textFill>
            <w14:solidFill>
              <w14:schemeClr w14:val="tx1"/>
            </w14:solidFill>
          </w14:textFill>
        </w:rPr>
        <w:t>（2）大气环境</w:t>
      </w:r>
    </w:p>
    <w:p w14:paraId="109B8298">
      <w:pPr>
        <w:pStyle w:val="191"/>
        <w:ind w:firstLine="480"/>
        <w:rPr>
          <w:rStyle w:val="190"/>
          <w:rFonts w:hint="eastAsia"/>
          <w:color w:val="000000" w:themeColor="text1"/>
          <w14:textFill>
            <w14:solidFill>
              <w14:schemeClr w14:val="tx1"/>
            </w14:solidFill>
          </w14:textFill>
        </w:rPr>
      </w:pPr>
      <w:r>
        <w:rPr>
          <w:rStyle w:val="190"/>
          <w:rFonts w:hint="eastAsia"/>
          <w:color w:val="000000" w:themeColor="text1"/>
          <w14:textFill>
            <w14:solidFill>
              <w14:schemeClr w14:val="tx1"/>
            </w14:solidFill>
          </w14:textFill>
        </w:rPr>
        <w:t>施工期废气主要为</w:t>
      </w:r>
      <w:r>
        <w:rPr>
          <w:rStyle w:val="190"/>
          <w:rFonts w:hint="eastAsia"/>
          <w:color w:val="000000" w:themeColor="text1"/>
          <w:lang w:val="zh-CN"/>
          <w14:textFill>
            <w14:solidFill>
              <w14:schemeClr w14:val="tx1"/>
            </w14:solidFill>
          </w14:textFill>
        </w:rPr>
        <w:t>扬尘、</w:t>
      </w:r>
      <w:r>
        <w:rPr>
          <w:rStyle w:val="190"/>
          <w:rFonts w:hint="eastAsia"/>
          <w:color w:val="000000" w:themeColor="text1"/>
          <w14:textFill>
            <w14:solidFill>
              <w14:schemeClr w14:val="tx1"/>
            </w14:solidFill>
          </w14:textFill>
        </w:rPr>
        <w:t>施工机械及</w:t>
      </w:r>
      <w:r>
        <w:rPr>
          <w:rStyle w:val="190"/>
          <w:rFonts w:hint="eastAsia"/>
          <w:color w:val="000000" w:themeColor="text1"/>
          <w:lang w:val="zh-CN"/>
          <w14:textFill>
            <w14:solidFill>
              <w14:schemeClr w14:val="tx1"/>
            </w14:solidFill>
          </w14:textFill>
        </w:rPr>
        <w:t>车辆尾气等</w:t>
      </w:r>
      <w:r>
        <w:rPr>
          <w:rStyle w:val="190"/>
          <w:rFonts w:hint="eastAsia"/>
          <w:color w:val="000000" w:themeColor="text1"/>
          <w14:textFill>
            <w14:solidFill>
              <w14:schemeClr w14:val="tx1"/>
            </w14:solidFill>
          </w14:textFill>
        </w:rPr>
        <w:t>，施工期短暂，</w:t>
      </w:r>
      <w:r>
        <w:rPr>
          <w:rStyle w:val="190"/>
          <w:rFonts w:hint="eastAsia"/>
          <w:color w:val="000000" w:themeColor="text1"/>
          <w:lang w:val="zh-CN"/>
          <w14:textFill>
            <w14:solidFill>
              <w14:schemeClr w14:val="tx1"/>
            </w14:solidFill>
          </w14:textFill>
        </w:rPr>
        <w:t>施工期的废气污染随施工的结束而消失</w:t>
      </w:r>
      <w:r>
        <w:rPr>
          <w:rStyle w:val="190"/>
          <w:rFonts w:hint="eastAsia"/>
          <w:color w:val="000000" w:themeColor="text1"/>
          <w14:textFill>
            <w14:solidFill>
              <w14:schemeClr w14:val="tx1"/>
            </w14:solidFill>
          </w14:textFill>
        </w:rPr>
        <w:t>。运营期废气主要为无组织挥发烃类和硫化氢，</w:t>
      </w:r>
      <w:bookmarkStart w:id="882" w:name="_Hlk80532764"/>
      <w:r>
        <w:rPr>
          <w:rStyle w:val="190"/>
          <w:rFonts w:hint="eastAsia"/>
          <w:color w:val="000000" w:themeColor="text1"/>
          <w14:textFill>
            <w14:solidFill>
              <w14:schemeClr w14:val="tx1"/>
            </w14:solidFill>
          </w14:textFill>
        </w:rPr>
        <w:t>井场和预处理注入站厂界</w:t>
      </w:r>
      <w:bookmarkEnd w:id="882"/>
      <w:r>
        <w:rPr>
          <w:rFonts w:hint="eastAsia"/>
          <w:color w:val="000000" w:themeColor="text1"/>
          <w14:textFill>
            <w14:solidFill>
              <w14:schemeClr w14:val="tx1"/>
            </w14:solidFill>
          </w14:textFill>
        </w:rPr>
        <w:t>无组织非甲烷总烃排放浓度满足</w:t>
      </w:r>
      <w:bookmarkStart w:id="883" w:name="OLE_LINK126"/>
      <w:r>
        <w:rPr>
          <w:rFonts w:hint="eastAsia"/>
          <w:color w:val="000000" w:themeColor="text1"/>
          <w14:textFill>
            <w14:solidFill>
              <w14:schemeClr w14:val="tx1"/>
            </w14:solidFill>
          </w14:textFill>
        </w:rPr>
        <w:t>《陆上石油天然气开采工业大气污染物排放标准》（GB39728—2020）企业边界污染物控制要求，</w:t>
      </w:r>
      <w:bookmarkEnd w:id="883"/>
      <w:r>
        <w:rPr>
          <w:rFonts w:hint="eastAsia"/>
          <w:color w:val="000000" w:themeColor="text1"/>
          <w14:textFill>
            <w14:solidFill>
              <w14:schemeClr w14:val="tx1"/>
            </w14:solidFill>
          </w14:textFill>
        </w:rPr>
        <w:t>硫化氢排放浓度满足《恶臭污染物排放标准》（GB14554-93）表1二级新改扩建浓度</w:t>
      </w:r>
      <w:r>
        <w:rPr>
          <w:rStyle w:val="190"/>
          <w:rFonts w:hint="eastAsia"/>
          <w:color w:val="000000" w:themeColor="text1"/>
          <w14:textFill>
            <w14:solidFill>
              <w14:schemeClr w14:val="tx1"/>
            </w14:solidFill>
          </w14:textFill>
        </w:rPr>
        <w:t>；项目区地域空旷，各污染物预测贡献值较低，运营期对区域大气环境的影响可以保持在环境可接受的范围之内。</w:t>
      </w:r>
    </w:p>
    <w:p w14:paraId="38EDCC13">
      <w:pPr>
        <w:pStyle w:val="117"/>
        <w:ind w:firstLine="480"/>
        <w:rPr>
          <w:rFonts w:hint="eastAsia"/>
          <w:color w:val="000000" w:themeColor="text1"/>
          <w14:textFill>
            <w14:solidFill>
              <w14:schemeClr w14:val="tx1"/>
            </w14:solidFill>
          </w14:textFill>
        </w:rPr>
      </w:pPr>
      <w:r>
        <w:rPr>
          <w:color w:val="000000" w:themeColor="text1"/>
          <w14:textFill>
            <w14:solidFill>
              <w14:schemeClr w14:val="tx1"/>
            </w14:solidFill>
          </w14:textFill>
        </w:rPr>
        <w:t>（</w:t>
      </w:r>
      <w:r>
        <w:rPr>
          <w:rFonts w:hint="eastAsia"/>
          <w:color w:val="000000" w:themeColor="text1"/>
          <w14:textFill>
            <w14:solidFill>
              <w14:schemeClr w14:val="tx1"/>
            </w14:solidFill>
          </w14:textFill>
        </w:rPr>
        <w:t>3</w:t>
      </w:r>
      <w:r>
        <w:rPr>
          <w:color w:val="000000" w:themeColor="text1"/>
          <w14:textFill>
            <w14:solidFill>
              <w14:schemeClr w14:val="tx1"/>
            </w14:solidFill>
          </w14:textFill>
        </w:rPr>
        <w:t>）水环境</w:t>
      </w:r>
    </w:p>
    <w:p w14:paraId="15BAB9FD">
      <w:pPr>
        <w:pStyle w:val="117"/>
        <w:ind w:firstLine="480"/>
        <w:rPr>
          <w:rFonts w:hint="eastAsia"/>
          <w:color w:val="000000" w:themeColor="text1"/>
          <w:szCs w:val="22"/>
          <w:lang w:bidi="ar"/>
          <w14:textFill>
            <w14:solidFill>
              <w14:schemeClr w14:val="tx1"/>
            </w14:solidFill>
          </w14:textFill>
        </w:rPr>
      </w:pPr>
      <w:r>
        <w:rPr>
          <w:rFonts w:hint="eastAsia"/>
          <w:color w:val="000000" w:themeColor="text1"/>
          <w14:textFill>
            <w14:solidFill>
              <w14:schemeClr w14:val="tx1"/>
            </w14:solidFill>
          </w14:textFill>
        </w:rPr>
        <w:t>施工期废水主要为管道试压废水、混凝土养护废水和洗井废水。管道试压采用清水试压，管道试压废水产生量较小，主要污染物为悬浮物，</w:t>
      </w:r>
      <w:r>
        <w:rPr>
          <w:rFonts w:hint="eastAsia"/>
          <w:color w:val="000000" w:themeColor="text1"/>
          <w:szCs w:val="22"/>
          <w:lang w:bidi="ar"/>
          <w14:textFill>
            <w14:solidFill>
              <w14:schemeClr w14:val="tx1"/>
            </w14:solidFill>
          </w14:textFill>
        </w:rPr>
        <w:t>试压结束后，用于项目区洒水抑尘，混凝土养护废水用于项目区洒水抑尘；洗井废水由罐车拉运至压裂返排液处理装置处理。</w:t>
      </w:r>
      <w:bookmarkStart w:id="884" w:name="OLE_LINK11"/>
      <w:r>
        <w:rPr>
          <w:rFonts w:hint="eastAsia"/>
          <w:color w:val="000000" w:themeColor="text1"/>
          <w:szCs w:val="22"/>
          <w:lang w:bidi="ar"/>
          <w14:textFill>
            <w14:solidFill>
              <w14:schemeClr w14:val="tx1"/>
            </w14:solidFill>
          </w14:textFill>
        </w:rPr>
        <w:t>运营期</w:t>
      </w:r>
      <w:bookmarkEnd w:id="884"/>
      <w:r>
        <w:rPr>
          <w:rFonts w:hint="eastAsia"/>
          <w:color w:val="000000" w:themeColor="text1"/>
          <w:szCs w:val="22"/>
          <w:lang w:bidi="ar"/>
          <w14:textFill>
            <w14:solidFill>
              <w14:schemeClr w14:val="tx1"/>
            </w14:solidFill>
          </w14:textFill>
        </w:rPr>
        <w:t>洗井废水和井下作业废液由罐车拉运至页岩油联合站外的压裂返排液处理装置，</w:t>
      </w:r>
      <w:r>
        <w:rPr>
          <w:rFonts w:hint="eastAsia"/>
          <w:color w:val="000000" w:themeColor="text1"/>
          <w14:textFill>
            <w14:solidFill>
              <w14:schemeClr w14:val="tx1"/>
            </w14:solidFill>
          </w14:textFill>
        </w:rPr>
        <w:t>出水水质满足</w:t>
      </w:r>
      <w:bookmarkStart w:id="885" w:name="OLE_LINK134"/>
      <w:r>
        <w:rPr>
          <w:rFonts w:hint="eastAsia"/>
          <w:color w:val="000000" w:themeColor="text1"/>
          <w:lang w:val="zh-CN"/>
          <w14:textFill>
            <w14:solidFill>
              <w14:schemeClr w14:val="tx1"/>
            </w14:solidFill>
          </w14:textFill>
        </w:rPr>
        <w:t>《压裂酸化</w:t>
      </w:r>
      <w:r>
        <w:rPr>
          <w:rFonts w:hint="eastAsia"/>
          <w:color w:val="000000" w:themeColor="text1"/>
          <w:szCs w:val="22"/>
          <w:lang w:bidi="ar"/>
          <w14:textFill>
            <w14:solidFill>
              <w14:schemeClr w14:val="tx1"/>
            </w14:solidFill>
          </w14:textFill>
        </w:rPr>
        <w:t>返排液处理技术规范》（Q/SY02012-2016）</w:t>
      </w:r>
      <w:bookmarkEnd w:id="885"/>
      <w:r>
        <w:rPr>
          <w:rFonts w:hint="eastAsia"/>
          <w:color w:val="000000" w:themeColor="text1"/>
          <w:szCs w:val="22"/>
          <w:lang w:bidi="ar"/>
          <w14:textFill>
            <w14:solidFill>
              <w14:schemeClr w14:val="tx1"/>
            </w14:solidFill>
          </w14:textFill>
        </w:rPr>
        <w:t>中的相关要求后用于压裂液的复配；装置排污水排至排污罐中，由污油泵将排污罐中的液体管输至进站管汇；各类废水均得到妥善处置，正常情况下不会对周围水环境产生明显影响。</w:t>
      </w:r>
    </w:p>
    <w:p w14:paraId="377DE485">
      <w:pPr>
        <w:pStyle w:val="117"/>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事故状态下对地下水的污染主要为集油支线泄漏，泄漏是以点源形式污染地下水，其污染迁移途径为地表以下的包气带和含水层。事故发生后，及时采取相应的措施，不会对地下水环境产生明显影响。</w:t>
      </w:r>
    </w:p>
    <w:p w14:paraId="73B49256">
      <w:pPr>
        <w:pStyle w:val="117"/>
        <w:ind w:firstLine="480"/>
        <w:rPr>
          <w:rFonts w:hint="eastAsia"/>
          <w:color w:val="000000" w:themeColor="text1"/>
          <w14:textFill>
            <w14:solidFill>
              <w14:schemeClr w14:val="tx1"/>
            </w14:solidFill>
          </w14:textFill>
        </w:rPr>
      </w:pPr>
      <w:r>
        <w:rPr>
          <w:color w:val="000000" w:themeColor="text1"/>
          <w14:textFill>
            <w14:solidFill>
              <w14:schemeClr w14:val="tx1"/>
            </w14:solidFill>
          </w14:textFill>
        </w:rPr>
        <w:t>（</w:t>
      </w:r>
      <w:r>
        <w:rPr>
          <w:rFonts w:hint="eastAsia"/>
          <w:color w:val="000000" w:themeColor="text1"/>
          <w14:textFill>
            <w14:solidFill>
              <w14:schemeClr w14:val="tx1"/>
            </w14:solidFill>
          </w14:textFill>
        </w:rPr>
        <w:t>4</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噪声</w:t>
      </w:r>
    </w:p>
    <w:p w14:paraId="715EED24">
      <w:pPr>
        <w:pStyle w:val="117"/>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施工期</w:t>
      </w:r>
      <w:r>
        <w:rPr>
          <w:color w:val="000000" w:themeColor="text1"/>
          <w14:textFill>
            <w14:solidFill>
              <w14:schemeClr w14:val="tx1"/>
            </w14:solidFill>
          </w14:textFill>
        </w:rPr>
        <w:t>噪声</w:t>
      </w:r>
      <w:r>
        <w:rPr>
          <w:rFonts w:hint="eastAsia"/>
          <w:color w:val="000000" w:themeColor="text1"/>
          <w14:textFill>
            <w14:solidFill>
              <w14:schemeClr w14:val="tx1"/>
            </w14:solidFill>
          </w14:textFill>
        </w:rPr>
        <w:t>源主要为施工机械和施工车辆，施工短暂</w:t>
      </w:r>
      <w:r>
        <w:rPr>
          <w:color w:val="000000" w:themeColor="text1"/>
          <w14:textFill>
            <w14:solidFill>
              <w14:schemeClr w14:val="tx1"/>
            </w14:solidFill>
          </w14:textFill>
        </w:rPr>
        <w:t>，只对局部环境造成影响，待施工结束后这种影响也随之消失，施工期噪声</w:t>
      </w:r>
      <w:r>
        <w:rPr>
          <w:rFonts w:hint="eastAsia"/>
          <w:color w:val="000000" w:themeColor="text1"/>
          <w14:textFill>
            <w14:solidFill>
              <w14:schemeClr w14:val="tx1"/>
            </w14:solidFill>
          </w14:textFill>
        </w:rPr>
        <w:t>仅</w:t>
      </w:r>
      <w:r>
        <w:rPr>
          <w:color w:val="000000" w:themeColor="text1"/>
          <w14:textFill>
            <w14:solidFill>
              <w14:schemeClr w14:val="tx1"/>
            </w14:solidFill>
          </w14:textFill>
        </w:rPr>
        <w:t>对施工人员产生影响</w:t>
      </w:r>
      <w:r>
        <w:rPr>
          <w:rFonts w:hint="eastAsia"/>
          <w:color w:val="000000" w:themeColor="text1"/>
          <w14:textFill>
            <w14:solidFill>
              <w14:schemeClr w14:val="tx1"/>
            </w14:solidFill>
          </w14:textFill>
        </w:rPr>
        <w:t>；运营期噪声主要为各类机泵及巡检车辆等</w:t>
      </w:r>
      <w:r>
        <w:rPr>
          <w:rFonts w:hint="eastAsia" w:cs="宋体"/>
          <w:color w:val="000000" w:themeColor="text1"/>
          <w14:textFill>
            <w14:solidFill>
              <w14:schemeClr w14:val="tx1"/>
            </w14:solidFill>
          </w14:textFill>
        </w:rPr>
        <w:t>，源强</w:t>
      </w:r>
      <w:r>
        <w:rPr>
          <w:rFonts w:cs="宋体"/>
          <w:color w:val="000000" w:themeColor="text1"/>
          <w14:textFill>
            <w14:solidFill>
              <w14:schemeClr w14:val="tx1"/>
            </w14:solidFill>
          </w14:textFill>
        </w:rPr>
        <w:t>80</w:t>
      </w:r>
      <w:r>
        <w:rPr>
          <w:rFonts w:hint="eastAsia" w:cs="宋体"/>
          <w:color w:val="000000" w:themeColor="text1"/>
          <w14:textFill>
            <w14:solidFill>
              <w14:schemeClr w14:val="tx1"/>
            </w14:solidFill>
          </w14:textFill>
        </w:rPr>
        <w:t>～</w:t>
      </w:r>
      <w:r>
        <w:rPr>
          <w:rFonts w:cs="宋体"/>
          <w:color w:val="000000" w:themeColor="text1"/>
          <w14:textFill>
            <w14:solidFill>
              <w14:schemeClr w14:val="tx1"/>
            </w14:solidFill>
          </w14:textFill>
        </w:rPr>
        <w:t>95dB</w:t>
      </w:r>
      <w:r>
        <w:rPr>
          <w:rFonts w:hint="eastAsia" w:cs="宋体"/>
          <w:color w:val="000000" w:themeColor="text1"/>
          <w14:textFill>
            <w14:solidFill>
              <w14:schemeClr w14:val="tx1"/>
            </w14:solidFill>
          </w14:textFill>
        </w:rPr>
        <w:t>（A）</w:t>
      </w:r>
      <w:r>
        <w:rPr>
          <w:rFonts w:hint="eastAsia"/>
          <w:color w:val="000000" w:themeColor="text1"/>
          <w14:textFill>
            <w14:solidFill>
              <w14:schemeClr w14:val="tx1"/>
            </w14:solidFill>
          </w14:textFill>
        </w:rPr>
        <w:t>，根据预测井场和预处理注入站厂界</w:t>
      </w:r>
      <w:r>
        <w:rPr>
          <w:color w:val="000000" w:themeColor="text1"/>
          <w14:textFill>
            <w14:solidFill>
              <w14:schemeClr w14:val="tx1"/>
            </w14:solidFill>
          </w14:textFill>
        </w:rPr>
        <w:t>昼夜噪声均能满足《工业企业厂界环境噪声排放标准》（GB12348-2008）中的2类区标准</w:t>
      </w:r>
      <w:r>
        <w:rPr>
          <w:rFonts w:hint="eastAsia"/>
          <w:color w:val="000000" w:themeColor="text1"/>
          <w14:textFill>
            <w14:solidFill>
              <w14:schemeClr w14:val="tx1"/>
            </w14:solidFill>
          </w14:textFill>
        </w:rPr>
        <w:t>要求</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评价范围内</w:t>
      </w:r>
      <w:r>
        <w:rPr>
          <w:color w:val="000000" w:themeColor="text1"/>
          <w14:textFill>
            <w14:solidFill>
              <w14:schemeClr w14:val="tx1"/>
            </w14:solidFill>
          </w14:textFill>
        </w:rPr>
        <w:t>无</w:t>
      </w:r>
      <w:r>
        <w:rPr>
          <w:rFonts w:hint="eastAsia"/>
          <w:color w:val="000000" w:themeColor="text1"/>
          <w14:textFill>
            <w14:solidFill>
              <w14:schemeClr w14:val="tx1"/>
            </w14:solidFill>
          </w14:textFill>
        </w:rPr>
        <w:t>声环境敏感目标</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不会出现扰民影响，对声</w:t>
      </w:r>
      <w:r>
        <w:rPr>
          <w:color w:val="000000" w:themeColor="text1"/>
          <w14:textFill>
            <w14:solidFill>
              <w14:schemeClr w14:val="tx1"/>
            </w14:solidFill>
          </w14:textFill>
        </w:rPr>
        <w:t>环境</w:t>
      </w:r>
      <w:r>
        <w:rPr>
          <w:rFonts w:hint="eastAsia"/>
          <w:color w:val="000000" w:themeColor="text1"/>
          <w14:textFill>
            <w14:solidFill>
              <w14:schemeClr w14:val="tx1"/>
            </w14:solidFill>
          </w14:textFill>
        </w:rPr>
        <w:t>质量影响不大</w:t>
      </w:r>
      <w:r>
        <w:rPr>
          <w:color w:val="000000" w:themeColor="text1"/>
          <w14:textFill>
            <w14:solidFill>
              <w14:schemeClr w14:val="tx1"/>
            </w14:solidFill>
          </w14:textFill>
        </w:rPr>
        <w:t>。</w:t>
      </w:r>
    </w:p>
    <w:p w14:paraId="61BC80AD">
      <w:pPr>
        <w:pStyle w:val="117"/>
        <w:ind w:firstLine="480"/>
        <w:rPr>
          <w:rFonts w:hint="eastAsia"/>
          <w:color w:val="000000" w:themeColor="text1"/>
          <w14:textFill>
            <w14:solidFill>
              <w14:schemeClr w14:val="tx1"/>
            </w14:solidFill>
          </w14:textFill>
        </w:rPr>
      </w:pPr>
      <w:r>
        <w:rPr>
          <w:color w:val="000000" w:themeColor="text1"/>
          <w14:textFill>
            <w14:solidFill>
              <w14:schemeClr w14:val="tx1"/>
            </w14:solidFill>
          </w14:textFill>
        </w:rPr>
        <w:t>（5）固体废物</w:t>
      </w:r>
    </w:p>
    <w:p w14:paraId="17A15DC4">
      <w:pPr>
        <w:pStyle w:val="117"/>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施工期固体废物主要为建筑垃圾和通井、刮井时产生的含油废渣，集中收集后送至当地建筑垃圾填埋场进行填埋处理。通井、刮井时产生的含油废渣不在项目区暂存，临时暂存在吉祥联合站危险废物暂存间暂存，最终交由有相应危险废物处理资质的单位回收处置。运营期</w:t>
      </w:r>
      <w:r>
        <w:rPr>
          <w:rFonts w:hint="eastAsia" w:cs="宋体"/>
          <w:color w:val="000000" w:themeColor="text1"/>
          <w14:textFill>
            <w14:solidFill>
              <w14:schemeClr w14:val="tx1"/>
            </w14:solidFill>
          </w14:textFill>
        </w:rPr>
        <w:t>固体废物主要为废脱硫剂包装物、废润滑油、废油桶、废含油抹布、劳保用品，废包装物由厂家回收利用，废润滑油、废油桶、废分子筛、废含油抹布及劳保用品属于危险废物，集中收集后交由有相应危险废物处理资质的单位回收处置；</w:t>
      </w:r>
      <w:r>
        <w:rPr>
          <w:rFonts w:hint="eastAsia"/>
          <w:color w:val="000000" w:themeColor="text1"/>
          <w14:textFill>
            <w14:solidFill>
              <w14:schemeClr w14:val="tx1"/>
            </w14:solidFill>
          </w14:textFill>
        </w:rPr>
        <w:t>固体废物得到妥善处置</w:t>
      </w:r>
      <w:r>
        <w:rPr>
          <w:color w:val="000000" w:themeColor="text1"/>
          <w14:textFill>
            <w14:solidFill>
              <w14:schemeClr w14:val="tx1"/>
            </w14:solidFill>
          </w14:textFill>
        </w:rPr>
        <w:t>，不会对区域环境造成不利影响</w:t>
      </w:r>
      <w:r>
        <w:rPr>
          <w:rFonts w:hint="eastAsia"/>
          <w:color w:val="000000" w:themeColor="text1"/>
          <w14:textFill>
            <w14:solidFill>
              <w14:schemeClr w14:val="tx1"/>
            </w14:solidFill>
          </w14:textFill>
        </w:rPr>
        <w:t>。</w:t>
      </w:r>
    </w:p>
    <w:p w14:paraId="2496F7C7">
      <w:pPr>
        <w:pStyle w:val="117"/>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（6）土壤环境</w:t>
      </w:r>
    </w:p>
    <w:p w14:paraId="4EAC6363">
      <w:pPr>
        <w:pStyle w:val="117"/>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施工期按规定的施工范围进行作业，可有效减少土壤扰动，建筑垃圾及时清运，可避免污染物进入土壤环境造成污染。运营期加强废水和固体废物管理，采油平台、计量站采用砾石铺垫，加强站场设备、阀门、法兰、管线的巡检</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避免因</w:t>
      </w:r>
      <w:r>
        <w:rPr>
          <w:color w:val="000000" w:themeColor="text1"/>
          <w14:textFill>
            <w14:solidFill>
              <w14:schemeClr w14:val="tx1"/>
            </w14:solidFill>
          </w14:textFill>
        </w:rPr>
        <w:t>“跑、冒、滴、漏”</w:t>
      </w:r>
      <w:r>
        <w:rPr>
          <w:rFonts w:hint="eastAsia"/>
          <w:color w:val="000000" w:themeColor="text1"/>
          <w14:textFill>
            <w14:solidFill>
              <w14:schemeClr w14:val="tx1"/>
            </w14:solidFill>
          </w14:textFill>
        </w:rPr>
        <w:t>或泄漏事故发生造成原油进入土壤，发生泄漏事故时应</w:t>
      </w:r>
      <w:r>
        <w:rPr>
          <w:color w:val="000000" w:themeColor="text1"/>
          <w14:textFill>
            <w14:solidFill>
              <w14:schemeClr w14:val="tx1"/>
            </w14:solidFill>
          </w14:textFill>
        </w:rPr>
        <w:t>及时清理落地油，</w:t>
      </w:r>
      <w:r>
        <w:rPr>
          <w:rFonts w:hint="eastAsia"/>
          <w:color w:val="000000" w:themeColor="text1"/>
          <w14:textFill>
            <w14:solidFill>
              <w14:schemeClr w14:val="tx1"/>
            </w14:solidFill>
          </w14:textFill>
        </w:rPr>
        <w:t>受浸染的土壤交由具备相应危废处理资质的单位进行回收处置，可</w:t>
      </w:r>
      <w:r>
        <w:rPr>
          <w:color w:val="000000" w:themeColor="text1"/>
          <w14:textFill>
            <w14:solidFill>
              <w14:schemeClr w14:val="tx1"/>
            </w14:solidFill>
          </w14:textFill>
        </w:rPr>
        <w:t>降低</w:t>
      </w:r>
      <w:r>
        <w:rPr>
          <w:rFonts w:hint="eastAsia"/>
          <w:color w:val="000000" w:themeColor="text1"/>
          <w14:textFill>
            <w14:solidFill>
              <w14:schemeClr w14:val="tx1"/>
            </w14:solidFill>
          </w14:textFill>
        </w:rPr>
        <w:t>对</w:t>
      </w:r>
      <w:r>
        <w:rPr>
          <w:color w:val="000000" w:themeColor="text1"/>
          <w14:textFill>
            <w14:solidFill>
              <w14:schemeClr w14:val="tx1"/>
            </w14:solidFill>
          </w14:textFill>
        </w:rPr>
        <w:t>土壤</w:t>
      </w:r>
      <w:r>
        <w:rPr>
          <w:rFonts w:hint="eastAsia"/>
          <w:color w:val="000000" w:themeColor="text1"/>
          <w14:textFill>
            <w14:solidFill>
              <w14:schemeClr w14:val="tx1"/>
            </w14:solidFill>
          </w14:textFill>
        </w:rPr>
        <w:t>环境质量的影响程度</w:t>
      </w:r>
      <w:r>
        <w:rPr>
          <w:color w:val="000000" w:themeColor="text1"/>
          <w14:textFill>
            <w14:solidFill>
              <w14:schemeClr w14:val="tx1"/>
            </w14:solidFill>
          </w14:textFill>
        </w:rPr>
        <w:t>。</w:t>
      </w:r>
    </w:p>
    <w:p w14:paraId="466D9B7D">
      <w:pPr>
        <w:pStyle w:val="117"/>
        <w:ind w:firstLine="480"/>
        <w:rPr>
          <w:rFonts w:hint="eastAsia"/>
          <w:color w:val="000000" w:themeColor="text1"/>
          <w14:textFill>
            <w14:solidFill>
              <w14:schemeClr w14:val="tx1"/>
            </w14:solidFill>
          </w14:textFill>
        </w:rPr>
      </w:pPr>
      <w:r>
        <w:rPr>
          <w:color w:val="000000" w:themeColor="text1"/>
          <w14:textFill>
            <w14:solidFill>
              <w14:schemeClr w14:val="tx1"/>
            </w14:solidFill>
          </w14:textFill>
        </w:rPr>
        <w:t>（7）环境风险</w:t>
      </w:r>
    </w:p>
    <w:bookmarkEnd w:id="879"/>
    <w:bookmarkEnd w:id="880"/>
    <w:bookmarkEnd w:id="881"/>
    <w:p w14:paraId="75F2F208">
      <w:pPr>
        <w:pStyle w:val="117"/>
        <w:ind w:firstLine="480"/>
        <w:rPr>
          <w:rFonts w:hint="eastAsia"/>
          <w:color w:val="000000" w:themeColor="text1"/>
          <w:lang w:val="zh-CN"/>
          <w14:textFill>
            <w14:solidFill>
              <w14:schemeClr w14:val="tx1"/>
            </w14:solidFill>
          </w14:textFill>
        </w:rPr>
      </w:pPr>
      <w:r>
        <w:rPr>
          <w:rFonts w:hint="eastAsia"/>
          <w:color w:val="000000" w:themeColor="text1"/>
          <w:lang w:val="zh-CN" w:bidi="ar"/>
          <w14:textFill>
            <w14:solidFill>
              <w14:schemeClr w14:val="tx1"/>
            </w14:solidFill>
          </w14:textFill>
        </w:rPr>
        <w:t>项目涉及的危险物质为</w:t>
      </w:r>
      <w:r>
        <w:rPr>
          <w:rFonts w:hint="eastAsia"/>
          <w:color w:val="000000" w:themeColor="text1"/>
          <w:lang w:bidi="ar"/>
          <w14:textFill>
            <w14:solidFill>
              <w14:schemeClr w14:val="tx1"/>
            </w14:solidFill>
          </w14:textFill>
        </w:rPr>
        <w:t>原油</w:t>
      </w:r>
      <w:r>
        <w:rPr>
          <w:rFonts w:hint="eastAsia"/>
          <w:color w:val="000000" w:themeColor="text1"/>
          <w:lang w:val="zh-CN" w:bidi="ar"/>
          <w14:textFill>
            <w14:solidFill>
              <w14:schemeClr w14:val="tx1"/>
            </w14:solidFill>
          </w14:textFill>
        </w:rPr>
        <w:t>、伴生气和硫化氢，</w:t>
      </w:r>
      <w:r>
        <w:rPr>
          <w:rFonts w:hint="eastAsia"/>
          <w:color w:val="000000" w:themeColor="text1"/>
          <w14:textFill>
            <w14:solidFill>
              <w14:schemeClr w14:val="tx1"/>
            </w14:solidFill>
          </w14:textFill>
        </w:rPr>
        <w:t>风险潜势为Ⅰ，</w:t>
      </w:r>
      <w:r>
        <w:rPr>
          <w:rFonts w:hint="eastAsia"/>
          <w:color w:val="000000" w:themeColor="text1"/>
          <w:lang w:val="zh-CN" w:bidi="ar"/>
          <w14:textFill>
            <w14:solidFill>
              <w14:schemeClr w14:val="tx1"/>
            </w14:solidFill>
          </w14:textFill>
        </w:rPr>
        <w:t>可能发生的风险事故类型主要包括原油泄漏事故和</w:t>
      </w:r>
      <w:r>
        <w:rPr>
          <w:color w:val="000000" w:themeColor="text1"/>
          <w14:textFill>
            <w14:solidFill>
              <w14:schemeClr w14:val="tx1"/>
            </w14:solidFill>
          </w14:textFill>
        </w:rPr>
        <w:t>火灾</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爆炸</w:t>
      </w:r>
      <w:r>
        <w:rPr>
          <w:rFonts w:hint="eastAsia"/>
          <w:color w:val="000000" w:themeColor="text1"/>
          <w14:textFill>
            <w14:solidFill>
              <w14:schemeClr w14:val="tx1"/>
            </w14:solidFill>
          </w14:textFill>
        </w:rPr>
        <w:t>等引发的伴生/次生污染物排放。</w:t>
      </w:r>
      <w:r>
        <w:rPr>
          <w:rFonts w:hint="eastAsia"/>
          <w:color w:val="000000" w:themeColor="text1"/>
          <w:lang w:val="zh-CN" w:bidi="ar"/>
          <w14:textFill>
            <w14:solidFill>
              <w14:schemeClr w14:val="tx1"/>
            </w14:solidFill>
          </w14:textFill>
        </w:rPr>
        <w:t>发生泄漏时，泄漏的油气对周围大气环境产生一定的影响，对土壤、地下水及植被影响较小，泄漏的原油对土壤、植被、地下水会产生一定的影响；</w:t>
      </w:r>
      <w:r>
        <w:rPr>
          <w:rFonts w:hint="eastAsia"/>
          <w:color w:val="000000" w:themeColor="text1"/>
          <w14:textFill>
            <w14:solidFill>
              <w14:schemeClr w14:val="tx1"/>
            </w14:solidFill>
          </w14:textFill>
        </w:rPr>
        <w:t>包气带对石油类污染物的截留能力较强，泄漏事故发生时，及时、彻底清除泄漏油品、被污染的土壤，污染物不会进入地下水中，对地下水水质没有不良影响。</w:t>
      </w:r>
      <w:r>
        <w:rPr>
          <w:rFonts w:hint="eastAsia"/>
          <w:color w:val="000000" w:themeColor="text1"/>
          <w:lang w:val="zh-CN" w:bidi="ar"/>
          <w14:textFill>
            <w14:solidFill>
              <w14:schemeClr w14:val="tx1"/>
            </w14:solidFill>
          </w14:textFill>
        </w:rPr>
        <w:t>发生事故后，在严格落实本报告提出的风险防范措施的前提下，不会对周围环境产生明显影响。</w:t>
      </w:r>
    </w:p>
    <w:p w14:paraId="043C2521">
      <w:pPr>
        <w:pStyle w:val="4"/>
        <w:rPr>
          <w:rFonts w:hint="eastAsia"/>
          <w:color w:val="000000" w:themeColor="text1"/>
          <w14:textFill>
            <w14:solidFill>
              <w14:schemeClr w14:val="tx1"/>
            </w14:solidFill>
          </w14:textFill>
        </w:rPr>
      </w:pPr>
      <w:bookmarkStart w:id="886" w:name="_Toc149456097"/>
      <w:bookmarkStart w:id="887" w:name="_Toc445996541"/>
      <w:bookmarkStart w:id="888" w:name="_Toc445842229"/>
      <w:bookmarkStart w:id="889" w:name="_Toc9849"/>
      <w:bookmarkStart w:id="890" w:name="_Toc169342380"/>
      <w:bookmarkStart w:id="891" w:name="_Toc146344873"/>
      <w:bookmarkStart w:id="892" w:name="_Hlk92205646"/>
      <w:r>
        <w:rPr>
          <w:color w:val="000000" w:themeColor="text1"/>
          <w14:textFill>
            <w14:solidFill>
              <w14:schemeClr w14:val="tx1"/>
            </w14:solidFill>
          </w14:textFill>
        </w:rPr>
        <w:t>环境保护措施</w:t>
      </w:r>
      <w:bookmarkEnd w:id="886"/>
      <w:bookmarkEnd w:id="887"/>
      <w:bookmarkEnd w:id="888"/>
      <w:bookmarkEnd w:id="889"/>
      <w:bookmarkEnd w:id="890"/>
      <w:bookmarkEnd w:id="891"/>
    </w:p>
    <w:p w14:paraId="12691F29">
      <w:pPr>
        <w:pStyle w:val="117"/>
        <w:ind w:firstLine="480"/>
        <w:rPr>
          <w:rFonts w:hint="eastAsia"/>
          <w:color w:val="000000" w:themeColor="text1"/>
          <w14:textFill>
            <w14:solidFill>
              <w14:schemeClr w14:val="tx1"/>
            </w14:solidFill>
          </w14:textFill>
        </w:rPr>
      </w:pPr>
      <w:r>
        <w:rPr>
          <w:color w:val="000000" w:themeColor="text1"/>
          <w14:textFill>
            <w14:solidFill>
              <w14:schemeClr w14:val="tx1"/>
            </w14:solidFill>
          </w14:textFill>
        </w:rPr>
        <w:t>（1）</w:t>
      </w:r>
      <w:r>
        <w:rPr>
          <w:rFonts w:hint="eastAsia"/>
          <w:color w:val="000000" w:themeColor="text1"/>
          <w14:textFill>
            <w14:solidFill>
              <w14:schemeClr w14:val="tx1"/>
            </w14:solidFill>
          </w14:textFill>
        </w:rPr>
        <w:t>生态环境</w:t>
      </w:r>
    </w:p>
    <w:p w14:paraId="65DD15E6">
      <w:pPr>
        <w:pStyle w:val="117"/>
        <w:ind w:firstLine="480" w:firstLineChars="0"/>
        <w:rPr>
          <w:rFonts w:hint="eastAsia"/>
          <w:color w:val="000000" w:themeColor="text1"/>
          <w14:textFill>
            <w14:solidFill>
              <w14:schemeClr w14:val="tx1"/>
            </w14:solidFill>
          </w14:textFill>
        </w:rPr>
      </w:pPr>
      <w:r>
        <w:rPr>
          <w:rFonts w:hint="eastAsia" w:cs="宋体"/>
          <w:color w:val="000000" w:themeColor="text1"/>
          <w14:textFill>
            <w14:solidFill>
              <w14:schemeClr w14:val="tx1"/>
            </w14:solidFill>
          </w14:textFill>
        </w:rPr>
        <w:t>合理规划永久占地和临时占地，合理布局井场和预处理注入站内各设备布局，减少工程占地面积。单井采油管线、单井注气管线和集油支线选线过程中在满足设计需求的前提下，尽量避开植被密集区域；施工过程中尽量</w:t>
      </w:r>
      <w:r>
        <w:rPr>
          <w:rFonts w:hint="eastAsia" w:ascii="等线" w:hAnsi="等线"/>
          <w:color w:val="000000" w:themeColor="text1"/>
          <w14:textFill>
            <w14:solidFill>
              <w14:schemeClr w14:val="tx1"/>
            </w14:solidFill>
          </w14:textFill>
        </w:rPr>
        <w:t>避免破坏野生植物，最大限度避免破坏野生动物的活动场所和生存环境</w:t>
      </w:r>
      <w:r>
        <w:rPr>
          <w:rFonts w:hint="eastAsia" w:cs="宋体"/>
          <w:color w:val="000000" w:themeColor="text1"/>
          <w14:textFill>
            <w14:solidFill>
              <w14:schemeClr w14:val="tx1"/>
            </w14:solidFill>
          </w14:textFill>
        </w:rPr>
        <w:t>；施工结束后，井场和预处理注入站采用砾石铺垫；管沟开挖分层开挖、分层堆放和分层回填</w:t>
      </w:r>
      <w:r>
        <w:rPr>
          <w:rFonts w:hint="eastAsia"/>
          <w:color w:val="000000" w:themeColor="text1"/>
          <w14:textFill>
            <w14:solidFill>
              <w14:schemeClr w14:val="tx1"/>
            </w14:solidFill>
          </w14:textFill>
        </w:rPr>
        <w:t>；施工过程中严格规定车辆和各类工作人员的活动范围，使之限于在施工区范围内活动，不随意</w:t>
      </w:r>
      <w:r>
        <w:rPr>
          <w:color w:val="000000" w:themeColor="text1"/>
          <w14:textFill>
            <w14:solidFill>
              <w14:schemeClr w14:val="tx1"/>
            </w14:solidFill>
          </w14:textFill>
        </w:rPr>
        <w:t>踩踏砍伐野生植被</w:t>
      </w:r>
      <w:r>
        <w:rPr>
          <w:rFonts w:hint="eastAsia"/>
          <w:color w:val="000000" w:themeColor="text1"/>
          <w14:textFill>
            <w14:solidFill>
              <w14:schemeClr w14:val="tx1"/>
            </w14:solidFill>
          </w14:textFill>
        </w:rPr>
        <w:t>，尽量不侵扰野生动物的栖息地；施工结束后，及时对施工场地进行平整，以便后期自然恢复，并按相关规定对植被损失进行生态经济补偿；加强施工期环境监理。</w:t>
      </w:r>
    </w:p>
    <w:p w14:paraId="6D9E069F">
      <w:pPr>
        <w:pStyle w:val="191"/>
        <w:ind w:firstLine="480"/>
        <w:rPr>
          <w:rStyle w:val="190"/>
          <w:rFonts w:hint="eastAsia"/>
          <w:color w:val="000000" w:themeColor="text1"/>
          <w14:textFill>
            <w14:solidFill>
              <w14:schemeClr w14:val="tx1"/>
            </w14:solidFill>
          </w14:textFill>
        </w:rPr>
      </w:pPr>
      <w:r>
        <w:rPr>
          <w:rStyle w:val="190"/>
          <w:rFonts w:hint="eastAsia"/>
          <w:color w:val="000000" w:themeColor="text1"/>
          <w14:textFill>
            <w14:solidFill>
              <w14:schemeClr w14:val="tx1"/>
            </w14:solidFill>
          </w14:textFill>
        </w:rPr>
        <w:t>（2）大气环境</w:t>
      </w:r>
    </w:p>
    <w:p w14:paraId="6270FB72">
      <w:pPr>
        <w:pStyle w:val="117"/>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定期对设备进行保养维护；合理规划运输道路线路，尽量利用油田现有的公路网，施工车辆严格按照规定线路行驶，严禁乱碾乱压。严禁在大风天气进行土方作业；逸散性材料运输采用苫布遮盖；优化施工组织，管线分段施工，缩短施工时间；施工结束后尽快对施工场地进行整理和平整，减少风蚀量。</w:t>
      </w:r>
    </w:p>
    <w:p w14:paraId="236B1DA8">
      <w:pPr>
        <w:spacing w:line="520" w:lineRule="exact"/>
        <w:ind w:firstLine="480" w:firstLineChars="200"/>
        <w:rPr>
          <w:rFonts w:hint="eastAsia"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选用质量可靠的设备、仪表、阀门等，定期巡检，对站场的设备、阀门、法兰、管线等检查、检修，以防止跑、冒、漏现象的发生。</w:t>
      </w:r>
    </w:p>
    <w:p w14:paraId="5F5D7651">
      <w:pPr>
        <w:pStyle w:val="191"/>
        <w:ind w:firstLine="480"/>
        <w:rPr>
          <w:rStyle w:val="190"/>
          <w:rFonts w:hint="eastAsia"/>
          <w:color w:val="000000" w:themeColor="text1"/>
          <w14:textFill>
            <w14:solidFill>
              <w14:schemeClr w14:val="tx1"/>
            </w14:solidFill>
          </w14:textFill>
        </w:rPr>
      </w:pPr>
      <w:r>
        <w:rPr>
          <w:rStyle w:val="190"/>
          <w:rFonts w:hint="eastAsia"/>
          <w:color w:val="000000" w:themeColor="text1"/>
          <w14:textFill>
            <w14:solidFill>
              <w14:schemeClr w14:val="tx1"/>
            </w14:solidFill>
          </w14:textFill>
        </w:rPr>
        <w:t>（3）水环境</w:t>
      </w:r>
    </w:p>
    <w:p w14:paraId="1F90FBC9">
      <w:pPr>
        <w:pStyle w:val="117"/>
        <w:ind w:firstLine="480"/>
        <w:rPr>
          <w:rFonts w:hint="eastAsia"/>
          <w:color w:val="000000" w:themeColor="text1"/>
          <w:lang w:val="zh-CN"/>
          <w14:textFill>
            <w14:solidFill>
              <w14:schemeClr w14:val="tx1"/>
            </w14:solidFill>
          </w14:textFill>
        </w:rPr>
      </w:pPr>
      <w:r>
        <w:rPr>
          <w:rFonts w:hint="eastAsia"/>
          <w:color w:val="000000" w:themeColor="text1"/>
          <w14:textFill>
            <w14:solidFill>
              <w14:schemeClr w14:val="tx1"/>
            </w14:solidFill>
          </w14:textFill>
        </w:rPr>
        <w:t>施工期废水主要为管道试压废水、混凝土养护废水和洗井废水。管道试压采用清水试压，管道试压废水产生量较小，主要污染物为悬浮物，</w:t>
      </w:r>
      <w:r>
        <w:rPr>
          <w:rFonts w:hint="eastAsia"/>
          <w:color w:val="000000" w:themeColor="text1"/>
          <w:szCs w:val="22"/>
          <w:lang w:bidi="ar"/>
          <w14:textFill>
            <w14:solidFill>
              <w14:schemeClr w14:val="tx1"/>
            </w14:solidFill>
          </w14:textFill>
        </w:rPr>
        <w:t>试压结束后，用于项目区洒水抑尘，混凝土养护</w:t>
      </w:r>
      <w:r>
        <w:rPr>
          <w:rFonts w:hint="eastAsia"/>
          <w:color w:val="000000" w:themeColor="text1"/>
          <w:lang w:val="zh-CN"/>
          <w14:textFill>
            <w14:solidFill>
              <w14:schemeClr w14:val="tx1"/>
            </w14:solidFill>
          </w14:textFill>
        </w:rPr>
        <w:t>废水用于项目区洒水抑尘；洗井废水由罐车拉运至压裂返排液处理装置处理。运营期洗井废水和井下作业废液由罐车拉运至页岩油联合站外的压裂返排液处理装置，出水水质满足《压裂酸化返排液处理技术规范》（Q/SY02012-2016）中的相关要求后用于压裂液的复配；装置排污水排至排污罐中，由污油泵将排污罐中的液体管输至进站管汇。</w:t>
      </w:r>
    </w:p>
    <w:p w14:paraId="18181940">
      <w:pPr>
        <w:pStyle w:val="117"/>
        <w:spacing w:line="480" w:lineRule="exact"/>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（4）噪声</w:t>
      </w:r>
    </w:p>
    <w:p w14:paraId="6F8D6DCF">
      <w:pPr>
        <w:pStyle w:val="117"/>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施工期设备选型上采用低噪声的设备，施工设备要经常检查维修，对噪声</w:t>
      </w:r>
      <w:r>
        <w:rPr>
          <w:color w:val="000000" w:themeColor="text1"/>
          <w14:textFill>
            <w14:solidFill>
              <w14:schemeClr w14:val="tx1"/>
            </w14:solidFill>
          </w14:textFill>
        </w:rPr>
        <w:t>较大的设备采取</w:t>
      </w:r>
      <w:r>
        <w:rPr>
          <w:rFonts w:hint="eastAsia"/>
          <w:color w:val="000000" w:themeColor="text1"/>
          <w14:textFill>
            <w14:solidFill>
              <w14:schemeClr w14:val="tx1"/>
            </w14:solidFill>
          </w14:textFill>
        </w:rPr>
        <w:t>基础减振措施；</w:t>
      </w:r>
      <w:r>
        <w:rPr>
          <w:rFonts w:hint="eastAsia"/>
          <w:color w:val="000000" w:themeColor="text1"/>
          <w:spacing w:val="-6"/>
          <w14:textFill>
            <w14:solidFill>
              <w14:schemeClr w14:val="tx1"/>
            </w14:solidFill>
          </w14:textFill>
        </w:rPr>
        <w:t>加强施工场地管理，合理疏导进入施工区的车辆，禁止运输车辆随意鸣笛。</w:t>
      </w:r>
    </w:p>
    <w:p w14:paraId="1FBA9BEE">
      <w:pPr>
        <w:pStyle w:val="117"/>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运营期尽量选用低噪声设备，对噪声强度较大的设备进行减噪处理；定期给机泵等设备加润滑油和减振垫，对各种机械设备定期保养；加强噪声防范，做好个人防护工作。</w:t>
      </w:r>
    </w:p>
    <w:p w14:paraId="54FCCB82">
      <w:pPr>
        <w:pStyle w:val="117"/>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（5）固体废物</w:t>
      </w:r>
    </w:p>
    <w:p w14:paraId="01181019">
      <w:pPr>
        <w:pStyle w:val="117"/>
        <w:ind w:firstLine="480" w:firstLineChars="0"/>
        <w:rPr>
          <w:rFonts w:hint="eastAsia" w:cs="宋体"/>
          <w:color w:val="000000" w:themeColor="text1"/>
          <w14:textFill>
            <w14:solidFill>
              <w14:schemeClr w14:val="tx1"/>
            </w14:solidFill>
          </w14:textFill>
        </w:rPr>
      </w:pPr>
      <w:r>
        <w:rPr>
          <w:rFonts w:hint="eastAsia"/>
          <w:color w:val="000000" w:themeColor="text1"/>
          <w14:textFill>
            <w14:solidFill>
              <w14:schemeClr w14:val="tx1"/>
            </w14:solidFill>
          </w14:textFill>
        </w:rPr>
        <w:t>施工期固体废物主要为建筑垃圾和通井、刮井时产生的含油废渣，集中收集后送至当地建筑垃圾填埋场进行填埋处理。</w:t>
      </w:r>
      <w:bookmarkStart w:id="893" w:name="OLE_LINK171"/>
      <w:r>
        <w:rPr>
          <w:rFonts w:hint="eastAsia"/>
          <w:color w:val="000000" w:themeColor="text1"/>
          <w14:textFill>
            <w14:solidFill>
              <w14:schemeClr w14:val="tx1"/>
            </w14:solidFill>
          </w14:textFill>
        </w:rPr>
        <w:t>通井、刮井时产生的含油废渣</w:t>
      </w:r>
      <w:bookmarkEnd w:id="893"/>
      <w:r>
        <w:rPr>
          <w:rFonts w:hint="eastAsia"/>
          <w:color w:val="000000" w:themeColor="text1"/>
          <w14:textFill>
            <w14:solidFill>
              <w14:schemeClr w14:val="tx1"/>
            </w14:solidFill>
          </w14:textFill>
        </w:rPr>
        <w:t>不在项目区暂存，临时暂存在吉祥联合站危险废物暂存间暂存，最终交由有相应危险废物处理资质的单位回收处置。运营期</w:t>
      </w:r>
      <w:r>
        <w:rPr>
          <w:rFonts w:hint="eastAsia" w:cs="宋体"/>
          <w:color w:val="000000" w:themeColor="text1"/>
          <w14:textFill>
            <w14:solidFill>
              <w14:schemeClr w14:val="tx1"/>
            </w14:solidFill>
          </w14:textFill>
        </w:rPr>
        <w:t>固体废物主要为废脱硫剂包装物、废润滑油、废油桶、废含油抹布、劳保用品，废脱硫剂包装物由厂家回收利用，废润滑油、废油桶、废分子筛、废含油抹布、劳保用品属于危险废物，集中收集后交由有相应危险废物处理资质的单位回收处置。</w:t>
      </w:r>
    </w:p>
    <w:p w14:paraId="132E48B4">
      <w:pPr>
        <w:pStyle w:val="117"/>
        <w:ind w:firstLine="480" w:firstLineChars="0"/>
        <w:rPr>
          <w:rFonts w:hint="eastAsia"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（6）土壤环境</w:t>
      </w:r>
    </w:p>
    <w:p w14:paraId="71A7EF04">
      <w:pPr>
        <w:spacing w:line="480" w:lineRule="exact"/>
        <w:ind w:firstLine="480" w:firstLineChars="200"/>
        <w:rPr>
          <w:rFonts w:hint="eastAsia" w:ascii="宋体" w:hAnsi="宋体"/>
          <w:color w:val="000000" w:themeColor="text1"/>
          <w:kern w:val="0"/>
          <w:sz w:val="24"/>
          <w:szCs w:val="24"/>
          <w14:textFill>
            <w14:solidFill>
              <w14:schemeClr w14:val="tx1"/>
            </w14:solidFill>
          </w14:textFill>
        </w:rPr>
      </w:pPr>
      <w:r>
        <w:rPr>
          <w:rFonts w:hint="eastAsia" w:ascii="宋体" w:hAnsi="宋体"/>
          <w:color w:val="000000" w:themeColor="text1"/>
          <w:kern w:val="0"/>
          <w:sz w:val="24"/>
          <w:szCs w:val="24"/>
          <w14:textFill>
            <w14:solidFill>
              <w14:schemeClr w14:val="tx1"/>
            </w14:solidFill>
          </w14:textFill>
        </w:rPr>
        <w:t>施工期应严格控制施工期临时占地面积，按设计及规划的施工范围进行施工作业，减少土壤扰动；施工机械及运输车辆应按规定的道路行驶，减少对土壤的碾压，减少碾压造成的土壤紧实度增加及养分流失；施工产生的建筑垃圾不得随意抛洒，应集中收集并及时清运，防止污染物进入土壤环境造成污染。</w:t>
      </w:r>
    </w:p>
    <w:p w14:paraId="528958B0">
      <w:pPr>
        <w:pStyle w:val="117"/>
        <w:ind w:firstLine="480" w:firstLineChars="0"/>
        <w:rPr>
          <w:rFonts w:hint="eastAsia" w:cs="宋体"/>
          <w:color w:val="000000" w:themeColor="text1"/>
          <w14:textFill>
            <w14:solidFill>
              <w14:schemeClr w14:val="tx1"/>
            </w14:solidFill>
          </w14:textFill>
        </w:rPr>
      </w:pPr>
      <w:r>
        <w:rPr>
          <w:rFonts w:hint="eastAsia"/>
          <w:color w:val="000000" w:themeColor="text1"/>
          <w14:textFill>
            <w14:solidFill>
              <w14:schemeClr w14:val="tx1"/>
            </w14:solidFill>
          </w14:textFill>
        </w:rPr>
        <w:t>运营期加强废水和固体废物管理，采油平台、计量站采用砾石铺垫，加强站场设备、阀门、法兰、管线的巡检</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避免因</w:t>
      </w:r>
      <w:r>
        <w:rPr>
          <w:color w:val="000000" w:themeColor="text1"/>
          <w14:textFill>
            <w14:solidFill>
              <w14:schemeClr w14:val="tx1"/>
            </w14:solidFill>
          </w14:textFill>
        </w:rPr>
        <w:t>“跑、冒、滴、漏”</w:t>
      </w:r>
      <w:r>
        <w:rPr>
          <w:rFonts w:hint="eastAsia"/>
          <w:color w:val="000000" w:themeColor="text1"/>
          <w14:textFill>
            <w14:solidFill>
              <w14:schemeClr w14:val="tx1"/>
            </w14:solidFill>
          </w14:textFill>
        </w:rPr>
        <w:t>或泄漏事故发生造成原油进入土壤，发生泄漏事故时应</w:t>
      </w:r>
      <w:r>
        <w:rPr>
          <w:color w:val="000000" w:themeColor="text1"/>
          <w14:textFill>
            <w14:solidFill>
              <w14:schemeClr w14:val="tx1"/>
            </w14:solidFill>
          </w14:textFill>
        </w:rPr>
        <w:t>及时清理落地油，</w:t>
      </w:r>
      <w:r>
        <w:rPr>
          <w:rFonts w:hint="eastAsia"/>
          <w:color w:val="000000" w:themeColor="text1"/>
          <w14:textFill>
            <w14:solidFill>
              <w14:schemeClr w14:val="tx1"/>
            </w14:solidFill>
          </w14:textFill>
        </w:rPr>
        <w:t>受浸染的土壤交由具备相应危废处理资质的单位进行回收处置。</w:t>
      </w:r>
    </w:p>
    <w:p w14:paraId="7A1C2D47">
      <w:pPr>
        <w:pStyle w:val="117"/>
        <w:ind w:firstLine="480" w:firstLineChars="0"/>
        <w:rPr>
          <w:rFonts w:hint="eastAsia"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（7）环境风险</w:t>
      </w:r>
    </w:p>
    <w:p w14:paraId="2601F8BA">
      <w:pPr>
        <w:pStyle w:val="117"/>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井场井控严格执行《新疆油田钻井井控实施细则》，防止井喷、井喷失控和井喷着火；井控操作实行持证上岗，各岗位的钻井人员有明确的分工，并且应经过井控专业培训；井场设置明显的禁止烟火标志；在井架、井场路口等处设置风向标，发生事故时人员迅速向上风向疏散；按消防规定配备灭火器、消防铁锹和其他消防器材。井场设置明显的禁止烟火标志；</w:t>
      </w:r>
      <w:r>
        <w:rPr>
          <w:rFonts w:hint="eastAsia" w:cs="宋体"/>
          <w:color w:val="000000" w:themeColor="text1"/>
          <w:kern w:val="0"/>
          <w14:textFill>
            <w14:solidFill>
              <w14:schemeClr w14:val="tx1"/>
            </w14:solidFill>
          </w14:textFill>
        </w:rPr>
        <w:t>井下作业时应至少配备</w:t>
      </w:r>
      <w:r>
        <w:rPr>
          <w:rFonts w:ascii="TimesNewRomanPSMT" w:eastAsia="TimesNewRomanPSMT" w:cs="TimesNewRomanPSMT"/>
          <w:color w:val="000000" w:themeColor="text1"/>
          <w:kern w:val="0"/>
          <w14:textFill>
            <w14:solidFill>
              <w14:schemeClr w14:val="tx1"/>
            </w14:solidFill>
          </w14:textFill>
        </w:rPr>
        <w:t>1</w:t>
      </w:r>
      <w:r>
        <w:rPr>
          <w:rFonts w:hint="eastAsia" w:cs="宋体"/>
          <w:color w:val="000000" w:themeColor="text1"/>
          <w:kern w:val="0"/>
          <w14:textFill>
            <w14:solidFill>
              <w14:schemeClr w14:val="tx1"/>
            </w14:solidFill>
          </w14:textFill>
        </w:rPr>
        <w:t>套便携式硫化氢检测仪做好硫化氢检测工作，制定防硫化氢应急预案；</w:t>
      </w:r>
      <w:r>
        <w:rPr>
          <w:rFonts w:hint="eastAsia"/>
          <w:color w:val="000000" w:themeColor="text1"/>
          <w14:textFill>
            <w14:solidFill>
              <w14:schemeClr w14:val="tx1"/>
            </w14:solidFill>
          </w14:textFill>
        </w:rPr>
        <w:t>定期对管线进行巡检，</w:t>
      </w:r>
      <w:r>
        <w:rPr>
          <w:color w:val="000000" w:themeColor="text1"/>
          <w14:textFill>
            <w14:solidFill>
              <w14:schemeClr w14:val="tx1"/>
            </w14:solidFill>
          </w14:textFill>
        </w:rPr>
        <w:t>严格按照管道施工、验收等规范进行设计、施工和验收</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管线敷设前，应加强对管材和焊接质量的检查，严禁使用不合格产品</w:t>
      </w:r>
      <w:r>
        <w:rPr>
          <w:rFonts w:hint="eastAsia"/>
          <w:color w:val="000000" w:themeColor="text1"/>
          <w14:textFill>
            <w14:solidFill>
              <w14:schemeClr w14:val="tx1"/>
            </w14:solidFill>
          </w14:textFill>
        </w:rPr>
        <w:t>；严禁在管线两侧各5m范围内修筑工程，在管线上方及近旁严禁动土开挖和修建超过管道负荷的建筑物；项目投产后应纳入《中国石油新疆油田分公司吉庆油田作业区突发环境污染事件应急预案》。</w:t>
      </w:r>
    </w:p>
    <w:p w14:paraId="34AFBBD5">
      <w:pPr>
        <w:pStyle w:val="2"/>
        <w:rPr>
          <w:rFonts w:hint="eastAsia"/>
          <w:color w:val="000000" w:themeColor="text1"/>
          <w14:textFill>
            <w14:solidFill>
              <w14:schemeClr w14:val="tx1"/>
            </w14:solidFill>
          </w14:textFill>
        </w:rPr>
      </w:pPr>
      <w:bookmarkStart w:id="894" w:name="_Toc216260334"/>
      <w:bookmarkStart w:id="895" w:name="_Toc92876296"/>
      <w:r>
        <w:rPr>
          <w:rFonts w:hint="eastAsia"/>
          <w:color w:val="000000" w:themeColor="text1"/>
          <w14:textFill>
            <w14:solidFill>
              <w14:schemeClr w14:val="tx1"/>
            </w14:solidFill>
          </w14:textFill>
        </w:rPr>
        <w:t>经济损益性分析</w:t>
      </w:r>
      <w:r>
        <w:rPr>
          <w:rFonts w:hint="eastAsia"/>
          <w:color w:val="000000" w:themeColor="text1"/>
          <w:lang w:eastAsia="zh-Hans"/>
          <w14:textFill>
            <w14:solidFill>
              <w14:schemeClr w14:val="tx1"/>
            </w14:solidFill>
          </w14:textFill>
        </w:rPr>
        <w:t>结论</w:t>
      </w:r>
      <w:bookmarkEnd w:id="894"/>
      <w:bookmarkEnd w:id="895"/>
    </w:p>
    <w:p w14:paraId="54C5A010">
      <w:pPr>
        <w:pStyle w:val="117"/>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本项目在建设过程中，由于井场、管线都占用一定量的土地，因此带来一定的环境损失。因而在油田开发过程中，需要投入必要的资金用于污染防治和生态恢复等，实施相应的环保措施后，不但能够起到保护环境的效果，同时节约经济开支，为企业带来双赢。</w:t>
      </w:r>
    </w:p>
    <w:bookmarkEnd w:id="892"/>
    <w:p w14:paraId="3C9A5CCE">
      <w:pPr>
        <w:pStyle w:val="2"/>
        <w:rPr>
          <w:rFonts w:hint="eastAsia"/>
          <w:color w:val="000000" w:themeColor="text1"/>
          <w14:textFill>
            <w14:solidFill>
              <w14:schemeClr w14:val="tx1"/>
            </w14:solidFill>
          </w14:textFill>
        </w:rPr>
      </w:pPr>
      <w:bookmarkStart w:id="896" w:name="_Toc216260335"/>
      <w:bookmarkStart w:id="897" w:name="_Toc92876297"/>
      <w:bookmarkStart w:id="898" w:name="_Hlk521698622"/>
      <w:r>
        <w:rPr>
          <w:rFonts w:hint="eastAsia"/>
          <w:color w:val="000000" w:themeColor="text1"/>
          <w14:textFill>
            <w14:solidFill>
              <w14:schemeClr w14:val="tx1"/>
            </w14:solidFill>
          </w14:textFill>
        </w:rPr>
        <w:t>环境管理</w:t>
      </w:r>
      <w:r>
        <w:rPr>
          <w:color w:val="000000" w:themeColor="text1"/>
          <w14:textFill>
            <w14:solidFill>
              <w14:schemeClr w14:val="tx1"/>
            </w14:solidFill>
          </w14:textFill>
        </w:rPr>
        <w:t>与</w:t>
      </w:r>
      <w:r>
        <w:rPr>
          <w:rFonts w:hint="eastAsia"/>
          <w:color w:val="000000" w:themeColor="text1"/>
          <w14:textFill>
            <w14:solidFill>
              <w14:schemeClr w14:val="tx1"/>
            </w14:solidFill>
          </w14:textFill>
        </w:rPr>
        <w:t>监测计划</w:t>
      </w:r>
      <w:r>
        <w:rPr>
          <w:rFonts w:hint="eastAsia"/>
          <w:color w:val="000000" w:themeColor="text1"/>
          <w:lang w:eastAsia="zh-Hans"/>
          <w14:textFill>
            <w14:solidFill>
              <w14:schemeClr w14:val="tx1"/>
            </w14:solidFill>
          </w14:textFill>
        </w:rPr>
        <w:t>结论</w:t>
      </w:r>
      <w:bookmarkEnd w:id="896"/>
      <w:bookmarkEnd w:id="897"/>
    </w:p>
    <w:p w14:paraId="08E72042">
      <w:pPr>
        <w:pStyle w:val="117"/>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本次评价根据工程的特点，提出了相关的环境管理要求和监测计划，要求建设单位务必按照环评要求落实各项措施。</w:t>
      </w:r>
    </w:p>
    <w:p w14:paraId="25CD3A27">
      <w:pPr>
        <w:pStyle w:val="2"/>
        <w:rPr>
          <w:rFonts w:hint="eastAsia"/>
          <w:color w:val="000000" w:themeColor="text1"/>
          <w14:textFill>
            <w14:solidFill>
              <w14:schemeClr w14:val="tx1"/>
            </w14:solidFill>
          </w14:textFill>
        </w:rPr>
      </w:pPr>
      <w:bookmarkStart w:id="899" w:name="_Toc216260336"/>
      <w:r>
        <w:rPr>
          <w:rFonts w:hint="eastAsia"/>
          <w:color w:val="000000" w:themeColor="text1"/>
          <w14:textFill>
            <w14:solidFill>
              <w14:schemeClr w14:val="tx1"/>
            </w14:solidFill>
          </w14:textFill>
        </w:rPr>
        <w:t>公众参与</w:t>
      </w:r>
      <w:bookmarkEnd w:id="899"/>
    </w:p>
    <w:p w14:paraId="4D3CAA28">
      <w:pPr>
        <w:pStyle w:val="117"/>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建设单位根据《环境影响评价公众参与办法》的要求，项目进行了三次网上公示、1次张贴公告、2次报纸公示，公示期间均未收到公众反馈意见。</w:t>
      </w:r>
    </w:p>
    <w:bookmarkEnd w:id="898"/>
    <w:p w14:paraId="2B589F04">
      <w:pPr>
        <w:pStyle w:val="2"/>
        <w:rPr>
          <w:rFonts w:hint="eastAsia"/>
          <w:color w:val="000000" w:themeColor="text1"/>
          <w14:textFill>
            <w14:solidFill>
              <w14:schemeClr w14:val="tx1"/>
            </w14:solidFill>
          </w14:textFill>
        </w:rPr>
      </w:pPr>
      <w:bookmarkStart w:id="900" w:name="_Toc216260337"/>
      <w:bookmarkStart w:id="901" w:name="_Toc445996542"/>
      <w:bookmarkStart w:id="902" w:name="_Toc389771014"/>
      <w:bookmarkStart w:id="903" w:name="_Toc475624505"/>
      <w:bookmarkStart w:id="904" w:name="_Toc391973566"/>
      <w:bookmarkStart w:id="905" w:name="_Toc396754544"/>
      <w:bookmarkStart w:id="906" w:name="_Toc280955047"/>
      <w:bookmarkStart w:id="907" w:name="_Toc14130"/>
      <w:bookmarkStart w:id="908" w:name="_Toc280954970"/>
      <w:bookmarkStart w:id="909" w:name="_Toc445840455"/>
      <w:bookmarkStart w:id="910" w:name="_Toc395781500"/>
      <w:bookmarkStart w:id="911" w:name="_Toc395781973"/>
      <w:bookmarkStart w:id="912" w:name="_Toc445842230"/>
      <w:bookmarkStart w:id="913" w:name="_Toc459026626"/>
      <w:r>
        <w:rPr>
          <w:rFonts w:hint="eastAsia"/>
          <w:color w:val="000000" w:themeColor="text1"/>
          <w14:textFill>
            <w14:solidFill>
              <w14:schemeClr w14:val="tx1"/>
            </w14:solidFill>
          </w14:textFill>
        </w:rPr>
        <w:t>总结论</w:t>
      </w:r>
      <w:bookmarkEnd w:id="900"/>
    </w:p>
    <w:bookmarkEnd w:id="901"/>
    <w:bookmarkEnd w:id="902"/>
    <w:bookmarkEnd w:id="903"/>
    <w:bookmarkEnd w:id="904"/>
    <w:bookmarkEnd w:id="905"/>
    <w:bookmarkEnd w:id="906"/>
    <w:bookmarkEnd w:id="907"/>
    <w:bookmarkEnd w:id="908"/>
    <w:bookmarkEnd w:id="909"/>
    <w:bookmarkEnd w:id="910"/>
    <w:bookmarkEnd w:id="911"/>
    <w:bookmarkEnd w:id="912"/>
    <w:bookmarkEnd w:id="913"/>
    <w:p w14:paraId="01D9382B">
      <w:pPr>
        <w:pStyle w:val="117"/>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项目符合国家相关规划、环保政策及“三线一单”的要求，选址选线合理。运营期废气能实现“达标排放”，工业废水零排放，固体废物实现“无害化”处置；建成后区域环境质量仍可以满足相应功能区要求；开发活动对生态环境的影响较小，不会对区域生态系统或生物多样性产生较大影响；项目在运行过程中存在一定的环境风险，但采取相应的环境风险防范措施后，其影响是可防可控的；项目进行了三次网上公示、1次张贴公告、2次报纸公示，公示期间均未收到公众反馈意见。从环境保护角度论证建设可行。</w:t>
      </w:r>
    </w:p>
    <w:sectPr>
      <w:pgSz w:w="11906" w:h="16838"/>
      <w:pgMar w:top="1418" w:right="1588" w:bottom="1418" w:left="1588" w:header="1020" w:footer="1020"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00"/>
    <w:family w:val="swiss"/>
    <w:pitch w:val="default"/>
    <w:sig w:usb0="E0002EFF" w:usb1="C000785B" w:usb2="00000009" w:usb3="00000000" w:csb0="400001FF" w:csb1="FFFF0000"/>
  </w:font>
  <w:font w:name="Cambria">
    <w:panose1 w:val="02040503050406030204"/>
    <w:charset w:val="00"/>
    <w:family w:val="roman"/>
    <w:pitch w:val="default"/>
    <w:sig w:usb0="E00006FF" w:usb1="420024FF" w:usb2="02000000" w:usb3="00000000" w:csb0="2000019F" w:csb1="00000000"/>
  </w:font>
  <w:font w:name="等线">
    <w:panose1 w:val="02010600030101010101"/>
    <w:charset w:val="86"/>
    <w:family w:val="auto"/>
    <w:pitch w:val="default"/>
    <w:sig w:usb0="A00002BF" w:usb1="38CF7CFA" w:usb2="00000016" w:usb3="00000000" w:csb0="0004000F" w:csb1="00000000"/>
  </w:font>
  <w:font w:name="Courier New">
    <w:panose1 w:val="02070309020205020404"/>
    <w:charset w:val="00"/>
    <w:family w:val="modern"/>
    <w:pitch w:val="default"/>
    <w:sig w:usb0="E0002EFF" w:usb1="C0007843" w:usb2="00000009" w:usb3="00000000" w:csb0="400001FF" w:csb1="FFFF0000"/>
  </w:font>
  <w:font w:name="华文中宋">
    <w:panose1 w:val="02010600040101010101"/>
    <w:charset w:val="86"/>
    <w:family w:val="auto"/>
    <w:pitch w:val="default"/>
    <w:sig w:usb0="00000287" w:usb1="080F0000" w:usb2="00000000" w:usb3="00000000" w:csb0="0004009F" w:csb1="DFD7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font>
  <w:font w:name="等线 Light">
    <w:panose1 w:val="02010600030101010101"/>
    <w:charset w:val="86"/>
    <w:family w:val="auto"/>
    <w:pitch w:val="default"/>
    <w:sig w:usb0="A00002BF" w:usb1="38CF7CFA" w:usb2="00000016" w:usb3="00000000" w:csb0="0004000F" w:csb1="00000000"/>
  </w:font>
  <w:font w:name="Chiller">
    <w:altName w:val="AMGDT"/>
    <w:panose1 w:val="00000000000000000000"/>
    <w:charset w:val="00"/>
    <w:family w:val="decorative"/>
    <w:pitch w:val="default"/>
    <w:sig w:usb0="00000000" w:usb1="00000000" w:usb2="00000000" w:usb3="00000000" w:csb0="00000001" w:csb1="00000000"/>
  </w:font>
  <w:font w:name="AMGDT">
    <w:panose1 w:val="02000400000000000000"/>
    <w:charset w:val="00"/>
    <w:family w:val="auto"/>
    <w:pitch w:val="default"/>
    <w:sig w:usb0="80000003" w:usb1="10000000" w:usb2="00000000" w:usb3="00000000" w:csb0="00000001" w:csb1="00000000"/>
  </w:font>
  <w:font w:name="仿宋">
    <w:panose1 w:val="02010609060101010101"/>
    <w:charset w:val="86"/>
    <w:family w:val="modern"/>
    <w:pitch w:val="default"/>
    <w:sig w:usb0="800002BF" w:usb1="38CF7CFA" w:usb2="00000016" w:usb3="00000000" w:csb0="00040001" w:csb1="00000000"/>
  </w:font>
  <w:font w:name="Verdana">
    <w:panose1 w:val="020B0604030504040204"/>
    <w:charset w:val="00"/>
    <w:family w:val="swiss"/>
    <w:pitch w:val="default"/>
    <w:sig w:usb0="A00006FF" w:usb1="4000205B" w:usb2="00000010" w:usb3="00000000" w:csb0="2000019F" w:csb1="00000000"/>
  </w:font>
  <w:font w:name="Arial Unicode MS">
    <w:altName w:val="Arial"/>
    <w:panose1 w:val="020B0604020202020204"/>
    <w:charset w:val="00"/>
    <w:family w:val="roman"/>
    <w:pitch w:val="default"/>
    <w:sig w:usb0="00000000" w:usb1="00000000" w:usb2="00000000" w:usb3="00000000" w:csb0="00000001" w:csb1="00000000"/>
  </w:font>
  <w:font w:name="Helvetica">
    <w:altName w:val="Arial"/>
    <w:panose1 w:val="020B0604020202020204"/>
    <w:charset w:val="00"/>
    <w:family w:val="swiss"/>
    <w:pitch w:val="default"/>
    <w:sig w:usb0="00000000" w:usb1="00000000" w:usb2="00000000" w:usb3="00000000" w:csb0="00000001" w:csb1="00000000"/>
  </w:font>
  <w:font w:name="ST Song Std">
    <w:altName w:val="宋体"/>
    <w:panose1 w:val="00000000000000000000"/>
    <w:charset w:val="86"/>
    <w:family w:val="roman"/>
    <w:pitch w:val="default"/>
    <w:sig w:usb0="00000000" w:usb1="00000000" w:usb2="00000010" w:usb3="00000000" w:csb0="00040000" w:csb1="00000000"/>
  </w:font>
  <w:font w:name="方正仿宋_GBK">
    <w:altName w:val="微软雅黑"/>
    <w:panose1 w:val="00000000000000000000"/>
    <w:charset w:val="86"/>
    <w:family w:val="auto"/>
    <w:pitch w:val="default"/>
    <w:sig w:usb0="00000000" w:usb1="00000000" w:usb2="00082016" w:usb3="00000000" w:csb0="00040001" w:csb1="00000000"/>
  </w:font>
  <w:font w:name="微软雅黑">
    <w:panose1 w:val="020B0503020204020204"/>
    <w:charset w:val="86"/>
    <w:family w:val="swiss"/>
    <w:pitch w:val="default"/>
    <w:sig w:usb0="80000287" w:usb1="2ACF3C50" w:usb2="00000016" w:usb3="00000000" w:csb0="0004001F" w:csb1="00000000"/>
  </w:font>
  <w:font w:name="Microsoft YaHei UI">
    <w:panose1 w:val="020B0503020204020204"/>
    <w:charset w:val="86"/>
    <w:family w:val="swiss"/>
    <w:pitch w:val="default"/>
    <w:sig w:usb0="80000287" w:usb1="2ACF3C50" w:usb2="00000016" w:usb3="00000000" w:csb0="0004001F" w:csb1="00000000"/>
  </w:font>
  <w:font w:name="MS PGothic">
    <w:panose1 w:val="020B0600070205080204"/>
    <w:charset w:val="80"/>
    <w:family w:val="swiss"/>
    <w:pitch w:val="default"/>
    <w:sig w:usb0="E00002FF" w:usb1="6AC7FDFB" w:usb2="08000012" w:usb3="00000000" w:csb0="4002009F" w:csb1="DFD70000"/>
  </w:font>
  <w:font w:name="Wingdings 2">
    <w:panose1 w:val="05020102010507070707"/>
    <w:charset w:val="02"/>
    <w:family w:val="roman"/>
    <w:pitch w:val="default"/>
    <w:sig w:usb0="00000000" w:usb1="00000000" w:usb2="00000000" w:usb3="00000000" w:csb0="80000000" w:csb1="00000000"/>
  </w:font>
  <w:font w:name="TimesNewRomanPSMT">
    <w:altName w:val="SJQY"/>
    <w:panose1 w:val="00000000000000000000"/>
    <w:charset w:val="00"/>
    <w:family w:val="roman"/>
    <w:pitch w:val="default"/>
    <w:sig w:usb0="00000000" w:usb1="00000000" w:usb2="00000010" w:usb3="00000000" w:csb0="00040001" w:csb1="00000000"/>
  </w:font>
  <w:font w:name="SJQY">
    <w:panose1 w:val="02010600030101010101"/>
    <w:charset w:val="86"/>
    <w:family w:val="auto"/>
    <w:pitch w:val="default"/>
    <w:sig w:usb0="00000003" w:usb1="080E0000" w:usb2="00000000" w:usb3="00000000" w:csb0="00040001" w:csb1="00000000"/>
  </w:font>
  <w:font w:name="FZYaSongS-R-GB">
    <w:altName w:val="宋体"/>
    <w:panose1 w:val="00000000000000000000"/>
    <w:charset w:val="00"/>
    <w:family w:val="roman"/>
    <w:pitch w:val="default"/>
    <w:sig w:usb0="00000000" w:usb1="00000000" w:usb2="00000000" w:usb3="00000000" w:csb0="00040001" w:csb1="00000000"/>
  </w:font>
  <w:font w:name="Cambria Math">
    <w:panose1 w:val="02040503050406030204"/>
    <w:charset w:val="00"/>
    <w:family w:val="roman"/>
    <w:pitch w:val="default"/>
    <w:sig w:usb0="E00006FF" w:usb1="420024FF" w:usb2="02000000" w:usb3="00000000" w:csb0="2000019F" w:csb1="00000000"/>
  </w:font>
  <w:font w:name="仿宋e眠副浡渀.">
    <w:altName w:val="仿宋"/>
    <w:panose1 w:val="00000000000000000000"/>
    <w:charset w:val="86"/>
    <w:family w:val="roman"/>
    <w:pitch w:val="default"/>
    <w:sig w:usb0="00000000" w:usb1="00000000" w:usb2="00000010" w:usb3="00000000" w:csb0="00040000" w:csb1="00000000"/>
  </w:font>
  <w:font w:name="仿宋 .瑨..">
    <w:altName w:val="仿宋"/>
    <w:panose1 w:val="00000000000000000000"/>
    <w:charset w:val="86"/>
    <w:family w:val="roman"/>
    <w:pitch w:val="default"/>
    <w:sig w:usb0="00000000" w:usb1="00000000" w:usb2="00000010" w:usb3="00000000" w:csb0="00040000"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36C283">
    <w:pPr>
      <w:pStyle w:val="29"/>
      <w:pBdr>
        <w:top w:val="single" w:color="auto" w:sz="4" w:space="1"/>
      </w:pBdr>
      <w:spacing w:line="300" w:lineRule="exact"/>
      <w:ind w:firstLine="720" w:firstLineChars="400"/>
      <w:rPr>
        <w:rFonts w:hint="eastAsia" w:ascii="宋体" w:hAnsi="宋体"/>
      </w:rPr>
    </w:pPr>
    <w:r>
      <w:rPr>
        <w:rFonts w:hint="eastAsia" w:ascii="宋体" w:hAnsi="宋体"/>
      </w:rPr>
      <w:t xml:space="preserve">中勘冶金勘察设计研究院有限责任公司                                                  </w:t>
    </w:r>
    <w:r>
      <w:rPr>
        <w:rFonts w:ascii="宋体" w:hAnsi="宋体"/>
      </w:rPr>
      <w:fldChar w:fldCharType="begin"/>
    </w:r>
    <w:r>
      <w:rPr>
        <w:rFonts w:ascii="宋体" w:hAnsi="宋体"/>
      </w:rPr>
      <w:instrText xml:space="preserve">PAGE   \* MERGEFORMAT</w:instrText>
    </w:r>
    <w:r>
      <w:rPr>
        <w:rFonts w:ascii="宋体" w:hAnsi="宋体"/>
      </w:rPr>
      <w:fldChar w:fldCharType="separate"/>
    </w:r>
    <w:r>
      <w:rPr>
        <w:rFonts w:ascii="宋体" w:hAnsi="宋体"/>
        <w:lang w:val="zh-CN"/>
      </w:rPr>
      <w:t>III</w:t>
    </w:r>
    <w:r>
      <w:rPr>
        <w:rFonts w:ascii="宋体" w:hAnsi="宋体"/>
      </w:rPr>
      <w:fldChar w:fldCharType="end"/>
    </w:r>
    <w:r>
      <w:rPr>
        <w:rFonts w:hint="eastAsia" w:ascii="宋体" w:hAnsi="宋体"/>
        <w:lang w:val="zh-CN"/>
      </w:rPr>
      <w:drawing>
        <wp:anchor distT="0" distB="0" distL="114300" distR="114300" simplePos="0" relativeHeight="251662336" behindDoc="1" locked="0" layoutInCell="1" allowOverlap="1">
          <wp:simplePos x="0" y="0"/>
          <wp:positionH relativeFrom="column">
            <wp:posOffset>94615</wp:posOffset>
          </wp:positionH>
          <wp:positionV relativeFrom="paragraph">
            <wp:posOffset>6350</wp:posOffset>
          </wp:positionV>
          <wp:extent cx="365760" cy="229235"/>
          <wp:effectExtent l="0" t="0" r="0" b="0"/>
          <wp:wrapNone/>
          <wp:docPr id="1273134338" name="图片 1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3134338" name="图片 102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365760" cy="229235"/>
                  </a:xfrm>
                  <a:prstGeom prst="rect">
                    <a:avLst/>
                  </a:prstGeom>
                  <a:noFill/>
                  <a:ln>
                    <a:noFill/>
                  </a:ln>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A6C2AF">
    <w:pPr>
      <w:pStyle w:val="29"/>
      <w:pBdr>
        <w:top w:val="single" w:color="auto" w:sz="4" w:space="1"/>
      </w:pBdr>
      <w:spacing w:line="300" w:lineRule="exact"/>
      <w:ind w:firstLine="720" w:firstLineChars="400"/>
      <w:rPr>
        <w:rFonts w:hint="eastAsia" w:ascii="宋体" w:hAnsi="宋体"/>
      </w:rPr>
    </w:pPr>
    <w:r>
      <w:rPr>
        <w:rFonts w:hint="eastAsia" w:ascii="宋体" w:hAnsi="宋体"/>
      </w:rPr>
      <w:t xml:space="preserve">中勘冶金勘察设计研究院有限责任公司                         </w:t>
    </w:r>
    <w:r>
      <w:rPr>
        <w:rFonts w:ascii="宋体" w:hAnsi="宋体"/>
      </w:rPr>
      <w:t xml:space="preserve"> </w:t>
    </w:r>
    <w:r>
      <w:rPr>
        <w:rFonts w:hint="eastAsia" w:ascii="宋体" w:hAnsi="宋体"/>
      </w:rPr>
      <w:t xml:space="preserve">                      </w:t>
    </w:r>
    <w:r>
      <w:rPr>
        <w:rFonts w:ascii="宋体" w:hAnsi="宋体"/>
      </w:rPr>
      <w:fldChar w:fldCharType="begin"/>
    </w:r>
    <w:r>
      <w:rPr>
        <w:rFonts w:ascii="宋体" w:hAnsi="宋体"/>
      </w:rPr>
      <w:instrText xml:space="preserve">PAGE   \* MERGEFORMAT</w:instrText>
    </w:r>
    <w:r>
      <w:rPr>
        <w:rFonts w:ascii="宋体" w:hAnsi="宋体"/>
      </w:rPr>
      <w:fldChar w:fldCharType="separate"/>
    </w:r>
    <w:r>
      <w:rPr>
        <w:rFonts w:ascii="宋体" w:hAnsi="宋体"/>
      </w:rPr>
      <w:t>62</w:t>
    </w:r>
    <w:r>
      <w:rPr>
        <w:rFonts w:ascii="宋体" w:hAnsi="宋体"/>
      </w:rPr>
      <w:fldChar w:fldCharType="end"/>
    </w:r>
    <w:r>
      <w:rPr>
        <w:rFonts w:hint="eastAsia" w:ascii="宋体" w:hAnsi="宋体"/>
        <w:lang w:val="zh-CN"/>
      </w:rPr>
      <w:drawing>
        <wp:anchor distT="0" distB="0" distL="114300" distR="114300" simplePos="0" relativeHeight="251663360" behindDoc="1" locked="0" layoutInCell="1" allowOverlap="1">
          <wp:simplePos x="0" y="0"/>
          <wp:positionH relativeFrom="column">
            <wp:posOffset>94615</wp:posOffset>
          </wp:positionH>
          <wp:positionV relativeFrom="paragraph">
            <wp:posOffset>6350</wp:posOffset>
          </wp:positionV>
          <wp:extent cx="365760" cy="229235"/>
          <wp:effectExtent l="0" t="0" r="0" b="0"/>
          <wp:wrapNone/>
          <wp:docPr id="176665739" name="图片 176665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665739" name="图片 17666573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365760" cy="229235"/>
                  </a:xfrm>
                  <a:prstGeom prst="rect">
                    <a:avLst/>
                  </a:prstGeom>
                  <a:noFill/>
                  <a:ln>
                    <a:noFill/>
                  </a:ln>
                </pic:spPr>
              </pic:pic>
            </a:graphicData>
          </a:graphic>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756753">
    <w:pPr>
      <w:pStyle w:val="29"/>
      <w:pBdr>
        <w:top w:val="single" w:color="auto" w:sz="4" w:space="1"/>
      </w:pBdr>
      <w:adjustRightInd w:val="0"/>
      <w:ind w:firstLine="450" w:firstLineChars="250"/>
      <w:rPr>
        <w:rFonts w:hint="eastAsia" w:ascii="宋体" w:hAnsi="宋体"/>
      </w:rPr>
    </w:pPr>
    <w:r>
      <mc:AlternateContent>
        <mc:Choice Requires="wps">
          <w:drawing>
            <wp:anchor distT="0" distB="0" distL="114300" distR="114300" simplePos="0" relativeHeight="251667456" behindDoc="0" locked="0" layoutInCell="1" allowOverlap="1">
              <wp:simplePos x="0" y="0"/>
              <wp:positionH relativeFrom="margin">
                <wp:posOffset>-10795</wp:posOffset>
              </wp:positionH>
              <wp:positionV relativeFrom="paragraph">
                <wp:posOffset>2409190</wp:posOffset>
              </wp:positionV>
              <wp:extent cx="5549900" cy="158750"/>
              <wp:effectExtent l="0" t="0" r="4445" b="3810"/>
              <wp:wrapNone/>
              <wp:docPr id="44" name="文本框 44"/>
              <wp:cNvGraphicFramePr/>
              <a:graphic xmlns:a="http://schemas.openxmlformats.org/drawingml/2006/main">
                <a:graphicData uri="http://schemas.microsoft.com/office/word/2010/wordprocessingShape">
                  <wps:wsp>
                    <wps:cNvSpPr txBox="1">
                      <a:spLocks noChangeArrowheads="1"/>
                    </wps:cNvSpPr>
                    <wps:spPr bwMode="auto">
                      <a:xfrm>
                        <a:off x="0" y="0"/>
                        <a:ext cx="5549900" cy="158750"/>
                      </a:xfrm>
                      <a:prstGeom prst="rect">
                        <a:avLst/>
                      </a:prstGeom>
                      <a:noFill/>
                      <a:ln>
                        <a:noFill/>
                      </a:ln>
                    </wps:spPr>
                    <wps:txbx>
                      <w:txbxContent>
                        <w:p w14:paraId="3CFD6C45">
                          <w:pPr>
                            <w:pStyle w:val="29"/>
                            <w:pBdr>
                              <w:top w:val="single" w:color="auto" w:sz="4" w:space="1"/>
                            </w:pBdr>
                            <w:adjustRightInd w:val="0"/>
                            <w:ind w:firstLine="450" w:firstLineChars="250"/>
                          </w:pPr>
                        </w:p>
                      </w:txbxContent>
                    </wps:txbx>
                    <wps:bodyPr rot="0" vert="horz" wrap="square" lIns="0" tIns="0" rIns="0" bIns="0" anchor="t" anchorCtr="0" upright="1">
                      <a:spAutoFit/>
                    </wps:bodyPr>
                  </wps:wsp>
                </a:graphicData>
              </a:graphic>
            </wp:anchor>
          </w:drawing>
        </mc:Choice>
        <mc:Fallback>
          <w:pict>
            <v:shape id="_x0000_s1026" o:spid="_x0000_s1026" o:spt="202" type="#_x0000_t202" style="position:absolute;left:0pt;margin-left:-0.85pt;margin-top:189.7pt;height:12.5pt;width:437pt;mso-position-horizontal-relative:margin;z-index:251667456;mso-width-relative:page;mso-height-relative:page;" filled="f" stroked="f" coordsize="21600,21600" o:gfxdata="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Zn7on2AAAAAoBAAAPAAAAAAAAAAEA&#10;IAAAACIAAABkcnMvZG93bnJldi54bWxQSwECFAAUAAAACACHTuJARlVXeA8CAAAHBAAADgAAAAAA&#10;AAABACAAAAAnAQAAZHJzL2Uyb0RvYy54bWxQSwUGAAAAAAYABgBZAQAAqAUAAAAA&#10;">
              <v:fill on="f" focussize="0,0"/>
              <v:stroke on="f"/>
              <v:imagedata o:title=""/>
              <o:lock v:ext="edit" aspectratio="f"/>
              <v:textbox inset="0mm,0mm,0mm,0mm" style="mso-fit-shape-to-text:t;">
                <w:txbxContent>
                  <w:p w14:paraId="3CFD6C45">
                    <w:pPr>
                      <w:pStyle w:val="29"/>
                      <w:pBdr>
                        <w:top w:val="single" w:color="auto" w:sz="4" w:space="1"/>
                      </w:pBdr>
                      <w:adjustRightInd w:val="0"/>
                      <w:ind w:firstLine="450" w:firstLineChars="250"/>
                    </w:pPr>
                  </w:p>
                </w:txbxContent>
              </v:textbox>
            </v:shape>
          </w:pict>
        </mc:Fallback>
      </mc:AlternateContent>
    </w:r>
    <w:r>
      <w:rPr>
        <w:rFonts w:hint="eastAsia" w:ascii="宋体" w:hAnsi="宋体"/>
      </w:rPr>
      <w:t>中勘冶金勘察设计研究院有限责任公司</w:t>
    </w:r>
    <w:r>
      <w:rPr>
        <w:rFonts w:hint="eastAsia"/>
      </w:rPr>
      <w:t xml:space="preserve">                                        </w:t>
    </w:r>
    <w:r>
      <w:t xml:space="preserve">                                                 </w:t>
    </w:r>
    <w:r>
      <w:rPr>
        <w:rFonts w:hint="eastAsia"/>
      </w:rPr>
      <w:t xml:space="preserve">        </w:t>
    </w:r>
    <w:r>
      <w:rPr>
        <w:rFonts w:hint="eastAsia" w:ascii="宋体" w:hAnsi="宋体"/>
      </w:rPr>
      <w:t xml:space="preserve">  </w:t>
    </w:r>
    <w:r>
      <w:rPr>
        <w:rFonts w:ascii="宋体" w:hAnsi="宋体"/>
      </w:rPr>
      <w:fldChar w:fldCharType="begin"/>
    </w:r>
    <w:r>
      <w:rPr>
        <w:rFonts w:ascii="宋体" w:hAnsi="宋体"/>
      </w:rPr>
      <w:instrText xml:space="preserve">PAGE   \* MERGEFORMAT</w:instrText>
    </w:r>
    <w:r>
      <w:rPr>
        <w:rFonts w:ascii="宋体" w:hAnsi="宋体"/>
      </w:rPr>
      <w:fldChar w:fldCharType="separate"/>
    </w:r>
    <w:r>
      <w:rPr>
        <w:rFonts w:ascii="宋体" w:hAnsi="宋体"/>
      </w:rPr>
      <w:t>71</w:t>
    </w:r>
    <w:r>
      <w:rPr>
        <w:rFonts w:ascii="宋体" w:hAnsi="宋体"/>
      </w:rPr>
      <w:fldChar w:fldCharType="end"/>
    </w:r>
    <w:r>
      <w:rPr>
        <w:rFonts w:hint="eastAsia" w:ascii="宋体" w:hAnsi="宋体"/>
        <w:lang w:val="zh-CN"/>
      </w:rPr>
      <w:drawing>
        <wp:anchor distT="0" distB="0" distL="114300" distR="114300" simplePos="0" relativeHeight="251666432" behindDoc="1" locked="0" layoutInCell="1" allowOverlap="1">
          <wp:simplePos x="0" y="0"/>
          <wp:positionH relativeFrom="column">
            <wp:posOffset>-106045</wp:posOffset>
          </wp:positionH>
          <wp:positionV relativeFrom="paragraph">
            <wp:posOffset>-4445</wp:posOffset>
          </wp:positionV>
          <wp:extent cx="365760" cy="229235"/>
          <wp:effectExtent l="0" t="0" r="0" b="0"/>
          <wp:wrapNone/>
          <wp:docPr id="17" name="图片 17"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365760" cy="229235"/>
                  </a:xfrm>
                  <a:prstGeom prst="rect">
                    <a:avLst/>
                  </a:prstGeom>
                  <a:noFill/>
                  <a:ln>
                    <a:noFill/>
                  </a:ln>
                </pic:spPr>
              </pic:pic>
            </a:graphicData>
          </a:graphic>
        </wp:anchor>
      </w:drawing>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E57157">
    <w:pPr>
      <w:pStyle w:val="29"/>
      <w:pBdr>
        <w:top w:val="single" w:color="auto" w:sz="4" w:space="1"/>
      </w:pBdr>
      <w:adjustRightInd w:val="0"/>
      <w:ind w:firstLine="450" w:firstLineChars="250"/>
      <w:rPr>
        <w:rFonts w:hint="eastAsia" w:ascii="宋体" w:hAnsi="宋体"/>
      </w:rPr>
    </w:pPr>
    <w:r>
      <mc:AlternateContent>
        <mc:Choice Requires="wps">
          <w:drawing>
            <wp:anchor distT="0" distB="0" distL="114300" distR="114300" simplePos="0" relativeHeight="251665408" behindDoc="0" locked="0" layoutInCell="1" allowOverlap="1">
              <wp:simplePos x="0" y="0"/>
              <wp:positionH relativeFrom="margin">
                <wp:posOffset>-10795</wp:posOffset>
              </wp:positionH>
              <wp:positionV relativeFrom="paragraph">
                <wp:posOffset>2409190</wp:posOffset>
              </wp:positionV>
              <wp:extent cx="5549900" cy="158750"/>
              <wp:effectExtent l="0" t="0" r="0" b="3810"/>
              <wp:wrapNone/>
              <wp:docPr id="1" name="文本框 1040"/>
              <wp:cNvGraphicFramePr/>
              <a:graphic xmlns:a="http://schemas.openxmlformats.org/drawingml/2006/main">
                <a:graphicData uri="http://schemas.microsoft.com/office/word/2010/wordprocessingShape">
                  <wps:wsp>
                    <wps:cNvSpPr txBox="1">
                      <a:spLocks noChangeArrowheads="1"/>
                    </wps:cNvSpPr>
                    <wps:spPr bwMode="auto">
                      <a:xfrm>
                        <a:off x="0" y="0"/>
                        <a:ext cx="5549900" cy="158750"/>
                      </a:xfrm>
                      <a:prstGeom prst="rect">
                        <a:avLst/>
                      </a:prstGeom>
                      <a:noFill/>
                      <a:ln>
                        <a:noFill/>
                      </a:ln>
                    </wps:spPr>
                    <wps:txbx>
                      <w:txbxContent>
                        <w:p w14:paraId="744F27FE">
                          <w:pPr>
                            <w:pStyle w:val="29"/>
                            <w:pBdr>
                              <w:top w:val="single" w:color="auto" w:sz="4" w:space="1"/>
                            </w:pBdr>
                            <w:adjustRightInd w:val="0"/>
                            <w:ind w:firstLine="450" w:firstLineChars="250"/>
                          </w:pPr>
                        </w:p>
                      </w:txbxContent>
                    </wps:txbx>
                    <wps:bodyPr rot="0" vert="horz" wrap="square" lIns="0" tIns="0" rIns="0" bIns="0" anchor="t" anchorCtr="0" upright="1">
                      <a:spAutoFit/>
                    </wps:bodyPr>
                  </wps:wsp>
                </a:graphicData>
              </a:graphic>
            </wp:anchor>
          </w:drawing>
        </mc:Choice>
        <mc:Fallback>
          <w:pict>
            <v:shape id="文本框 1040" o:spid="_x0000_s1026" o:spt="202" type="#_x0000_t202" style="position:absolute;left:0pt;margin-left:-0.85pt;margin-top:189.7pt;height:12.5pt;width:437pt;mso-position-horizontal-relative:margin;z-index:251665408;mso-width-relative:page;mso-height-relative:page;" filled="f" stroked="f" coordsize="21600,21600" o:gfxdata="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Zn7on2AAAAAoBAAAPAAAAAAAAAAEA&#10;IAAAACIAAABkcnMvZG93bnJldi54bWxQSwECFAAUAAAACACHTuJA+5O4fw8CAAAIBAAADgAAAAAA&#10;AAABACAAAAAnAQAAZHJzL2Uyb0RvYy54bWxQSwUGAAAAAAYABgBZAQAAqAUAAAAA&#10;">
              <v:fill on="f" focussize="0,0"/>
              <v:stroke on="f"/>
              <v:imagedata o:title=""/>
              <o:lock v:ext="edit" aspectratio="f"/>
              <v:textbox inset="0mm,0mm,0mm,0mm" style="mso-fit-shape-to-text:t;">
                <w:txbxContent>
                  <w:p w14:paraId="744F27FE">
                    <w:pPr>
                      <w:pStyle w:val="29"/>
                      <w:pBdr>
                        <w:top w:val="single" w:color="auto" w:sz="4" w:space="1"/>
                      </w:pBdr>
                      <w:adjustRightInd w:val="0"/>
                      <w:ind w:firstLine="450" w:firstLineChars="250"/>
                    </w:pPr>
                  </w:p>
                </w:txbxContent>
              </v:textbox>
            </v:shape>
          </w:pict>
        </mc:Fallback>
      </mc:AlternateContent>
    </w:r>
    <w:r>
      <w:rPr>
        <w:rFonts w:hint="eastAsia" w:ascii="宋体" w:hAnsi="宋体"/>
      </w:rPr>
      <w:t>中勘冶金勘察设计研究院有限责任公司</w:t>
    </w:r>
    <w:r>
      <w:rPr>
        <w:rFonts w:hint="eastAsia"/>
      </w:rPr>
      <w:t xml:space="preserve">                                        </w:t>
    </w:r>
    <w:r>
      <w:t xml:space="preserve">                                                 </w:t>
    </w:r>
    <w:r>
      <w:rPr>
        <w:rFonts w:hint="eastAsia"/>
      </w:rPr>
      <w:t xml:space="preserve">        </w:t>
    </w:r>
    <w:r>
      <w:rPr>
        <w:rFonts w:hint="eastAsia" w:ascii="宋体" w:hAnsi="宋体"/>
      </w:rPr>
      <w:t xml:space="preserve">  </w:t>
    </w:r>
    <w:r>
      <w:rPr>
        <w:rFonts w:ascii="宋体" w:hAnsi="宋体"/>
      </w:rPr>
      <w:fldChar w:fldCharType="begin"/>
    </w:r>
    <w:r>
      <w:rPr>
        <w:rFonts w:ascii="宋体" w:hAnsi="宋体"/>
      </w:rPr>
      <w:instrText xml:space="preserve">PAGE   \* MERGEFORMAT</w:instrText>
    </w:r>
    <w:r>
      <w:rPr>
        <w:rFonts w:ascii="宋体" w:hAnsi="宋体"/>
      </w:rPr>
      <w:fldChar w:fldCharType="separate"/>
    </w:r>
    <w:r>
      <w:rPr>
        <w:rFonts w:ascii="宋体" w:hAnsi="宋体"/>
      </w:rPr>
      <w:t>71</w:t>
    </w:r>
    <w:r>
      <w:rPr>
        <w:rFonts w:ascii="宋体" w:hAnsi="宋体"/>
      </w:rPr>
      <w:fldChar w:fldCharType="end"/>
    </w:r>
    <w:r>
      <w:rPr>
        <w:rFonts w:hint="eastAsia" w:ascii="宋体" w:hAnsi="宋体"/>
        <w:lang w:val="zh-CN"/>
      </w:rPr>
      <w:drawing>
        <wp:anchor distT="0" distB="0" distL="114300" distR="114300" simplePos="0" relativeHeight="251664384" behindDoc="1" locked="0" layoutInCell="1" allowOverlap="1">
          <wp:simplePos x="0" y="0"/>
          <wp:positionH relativeFrom="column">
            <wp:posOffset>-106045</wp:posOffset>
          </wp:positionH>
          <wp:positionV relativeFrom="paragraph">
            <wp:posOffset>-4445</wp:posOffset>
          </wp:positionV>
          <wp:extent cx="365760" cy="229235"/>
          <wp:effectExtent l="0" t="0" r="0" b="0"/>
          <wp:wrapNone/>
          <wp:docPr id="36" name="图片 36"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365760" cy="229235"/>
                  </a:xfrm>
                  <a:prstGeom prst="rect">
                    <a:avLst/>
                  </a:prstGeom>
                  <a:noFill/>
                  <a:ln>
                    <a:noFill/>
                  </a:ln>
                </pic:spPr>
              </pic:pic>
            </a:graphicData>
          </a:graphic>
        </wp:anchor>
      </w:drawing>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7C2C93">
    <w:pPr>
      <w:pStyle w:val="450"/>
      <w:ind w:firstLine="51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6B9E0B">
    <w:pPr>
      <w:pStyle w:val="30"/>
      <w:rPr>
        <w:rFonts w:hint="eastAsia" w:ascii="宋体" w:hAnsi="宋体"/>
        <w:color w:val="000000" w:themeColor="text1"/>
        <w:spacing w:val="-10"/>
        <w14:textFill>
          <w14:solidFill>
            <w14:schemeClr w14:val="tx1"/>
          </w14:solidFill>
        </w14:textFill>
      </w:rPr>
    </w:pPr>
    <w:r>
      <w:rPr>
        <w:rFonts w:hint="eastAsia" w:ascii="宋体" w:hAnsi="宋体"/>
        <w:color w:val="000000" w:themeColor="text1"/>
        <w14:textFill>
          <w14:solidFill>
            <w14:schemeClr w14:val="tx1"/>
          </w14:solidFill>
        </w14:textFill>
      </w:rPr>
      <w:t>新疆吉木萨尔页岩油注CO</w:t>
    </w:r>
    <w:r>
      <w:rPr>
        <w:rFonts w:hint="eastAsia" w:ascii="宋体" w:hAnsi="宋体"/>
        <w:color w:val="000000" w:themeColor="text1"/>
        <w:vertAlign w:val="subscript"/>
        <w14:textFill>
          <w14:solidFill>
            <w14:schemeClr w14:val="tx1"/>
          </w14:solidFill>
        </w14:textFill>
      </w:rPr>
      <w:t>2</w:t>
    </w:r>
    <w:r>
      <w:rPr>
        <w:rFonts w:hint="eastAsia" w:ascii="宋体" w:hAnsi="宋体"/>
        <w:color w:val="000000" w:themeColor="text1"/>
        <w14:textFill>
          <w14:solidFill>
            <w14:schemeClr w14:val="tx1"/>
          </w14:solidFill>
        </w14:textFill>
      </w:rPr>
      <w:t>提高采收率先导试验项目</w:t>
    </w:r>
    <w:r>
      <w:rPr>
        <w:rFonts w:hint="eastAsia" w:ascii="宋体" w:hAnsi="宋体"/>
        <w:color w:val="000000" w:themeColor="text1"/>
        <w:spacing w:val="-10"/>
        <w14:textFill>
          <w14:solidFill>
            <w14:schemeClr w14:val="tx1"/>
          </w14:solidFill>
        </w14:textFill>
      </w:rPr>
      <w:t>环境影响报告书</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C14746B"/>
    <w:multiLevelType w:val="multilevel"/>
    <w:tmpl w:val="1C14746B"/>
    <w:lvl w:ilvl="0" w:tentative="0">
      <w:start w:val="1"/>
      <w:numFmt w:val="decimalEnclosedCircle"/>
      <w:lvlText w:val="%1"/>
      <w:lvlJc w:val="left"/>
      <w:pPr>
        <w:ind w:left="840" w:hanging="360"/>
      </w:pPr>
      <w:rPr>
        <w:rFonts w:hint="default" w:cs="宋体"/>
      </w:rPr>
    </w:lvl>
    <w:lvl w:ilvl="1" w:tentative="0">
      <w:start w:val="1"/>
      <w:numFmt w:val="lowerLetter"/>
      <w:lvlText w:val="%2)"/>
      <w:lvlJc w:val="left"/>
      <w:pPr>
        <w:ind w:left="1360" w:hanging="440"/>
      </w:pPr>
    </w:lvl>
    <w:lvl w:ilvl="2" w:tentative="0">
      <w:start w:val="1"/>
      <w:numFmt w:val="lowerRoman"/>
      <w:lvlText w:val="%3."/>
      <w:lvlJc w:val="right"/>
      <w:pPr>
        <w:ind w:left="1800" w:hanging="440"/>
      </w:pPr>
    </w:lvl>
    <w:lvl w:ilvl="3" w:tentative="0">
      <w:start w:val="1"/>
      <w:numFmt w:val="decimal"/>
      <w:lvlText w:val="%4."/>
      <w:lvlJc w:val="left"/>
      <w:pPr>
        <w:ind w:left="2240" w:hanging="440"/>
      </w:pPr>
    </w:lvl>
    <w:lvl w:ilvl="4" w:tentative="0">
      <w:start w:val="1"/>
      <w:numFmt w:val="lowerLetter"/>
      <w:lvlText w:val="%5)"/>
      <w:lvlJc w:val="left"/>
      <w:pPr>
        <w:ind w:left="2680" w:hanging="440"/>
      </w:pPr>
    </w:lvl>
    <w:lvl w:ilvl="5" w:tentative="0">
      <w:start w:val="1"/>
      <w:numFmt w:val="lowerRoman"/>
      <w:lvlText w:val="%6."/>
      <w:lvlJc w:val="right"/>
      <w:pPr>
        <w:ind w:left="3120" w:hanging="440"/>
      </w:pPr>
    </w:lvl>
    <w:lvl w:ilvl="6" w:tentative="0">
      <w:start w:val="1"/>
      <w:numFmt w:val="decimal"/>
      <w:lvlText w:val="%7."/>
      <w:lvlJc w:val="left"/>
      <w:pPr>
        <w:ind w:left="3560" w:hanging="440"/>
      </w:pPr>
    </w:lvl>
    <w:lvl w:ilvl="7" w:tentative="0">
      <w:start w:val="1"/>
      <w:numFmt w:val="lowerLetter"/>
      <w:lvlText w:val="%8)"/>
      <w:lvlJc w:val="left"/>
      <w:pPr>
        <w:ind w:left="4000" w:hanging="440"/>
      </w:pPr>
    </w:lvl>
    <w:lvl w:ilvl="8" w:tentative="0">
      <w:start w:val="1"/>
      <w:numFmt w:val="lowerRoman"/>
      <w:lvlText w:val="%9."/>
      <w:lvlJc w:val="right"/>
      <w:pPr>
        <w:ind w:left="4440" w:hanging="440"/>
      </w:pPr>
    </w:lvl>
  </w:abstractNum>
  <w:abstractNum w:abstractNumId="1">
    <w:nsid w:val="47D15015"/>
    <w:multiLevelType w:val="multilevel"/>
    <w:tmpl w:val="47D15015"/>
    <w:lvl w:ilvl="0" w:tentative="0">
      <w:start w:val="1"/>
      <w:numFmt w:val="decimal"/>
      <w:pStyle w:val="3"/>
      <w:suff w:val="space"/>
      <w:lvlText w:val="%1"/>
      <w:lvlJc w:val="left"/>
      <w:pPr>
        <w:ind w:left="0" w:firstLine="0"/>
      </w:pPr>
      <w:rPr>
        <w:rFonts w:hint="eastAsia" w:ascii="黑体" w:eastAsia="黑体"/>
        <w:b w:val="0"/>
        <w:i w:val="0"/>
        <w:sz w:val="32"/>
      </w:rPr>
    </w:lvl>
    <w:lvl w:ilvl="1" w:tentative="0">
      <w:start w:val="1"/>
      <w:numFmt w:val="decimal"/>
      <w:pStyle w:val="2"/>
      <w:suff w:val="space"/>
      <w:lvlText w:val="%1.%2"/>
      <w:lvlJc w:val="left"/>
      <w:pPr>
        <w:ind w:left="142" w:firstLine="0"/>
      </w:pPr>
      <w:rPr>
        <w:rFonts w:hint="eastAsia" w:ascii="黑体" w:eastAsia="黑体"/>
        <w:b w:val="0"/>
        <w:i w:val="0"/>
        <w:sz w:val="28"/>
      </w:rPr>
    </w:lvl>
    <w:lvl w:ilvl="2" w:tentative="0">
      <w:start w:val="1"/>
      <w:numFmt w:val="decimal"/>
      <w:pStyle w:val="4"/>
      <w:suff w:val="space"/>
      <w:lvlText w:val="%1.%2.%3"/>
      <w:lvlJc w:val="left"/>
      <w:pPr>
        <w:ind w:left="0" w:firstLine="0"/>
      </w:pPr>
      <w:rPr>
        <w:rFonts w:hint="eastAsia" w:ascii="黑体" w:hAnsi="宋体" w:eastAsia="黑体"/>
        <w:b w:val="0"/>
        <w:i w:val="0"/>
        <w:sz w:val="24"/>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2">
    <w:nsid w:val="60DC2D40"/>
    <w:multiLevelType w:val="multilevel"/>
    <w:tmpl w:val="60DC2D40"/>
    <w:lvl w:ilvl="0" w:tentative="0">
      <w:start w:val="1"/>
      <w:numFmt w:val="decimalEnclosedCircle"/>
      <w:lvlText w:val="%1"/>
      <w:lvlJc w:val="left"/>
      <w:pPr>
        <w:ind w:left="840" w:hanging="360"/>
      </w:pPr>
      <w:rPr>
        <w:rFonts w:hint="default"/>
      </w:rPr>
    </w:lvl>
    <w:lvl w:ilvl="1" w:tentative="0">
      <w:start w:val="1"/>
      <w:numFmt w:val="lowerLetter"/>
      <w:lvlText w:val="%2)"/>
      <w:lvlJc w:val="left"/>
      <w:pPr>
        <w:ind w:left="1360" w:hanging="440"/>
      </w:pPr>
    </w:lvl>
    <w:lvl w:ilvl="2" w:tentative="0">
      <w:start w:val="1"/>
      <w:numFmt w:val="lowerRoman"/>
      <w:lvlText w:val="%3."/>
      <w:lvlJc w:val="right"/>
      <w:pPr>
        <w:ind w:left="1800" w:hanging="440"/>
      </w:pPr>
    </w:lvl>
    <w:lvl w:ilvl="3" w:tentative="0">
      <w:start w:val="1"/>
      <w:numFmt w:val="decimal"/>
      <w:lvlText w:val="%4."/>
      <w:lvlJc w:val="left"/>
      <w:pPr>
        <w:ind w:left="2240" w:hanging="440"/>
      </w:pPr>
    </w:lvl>
    <w:lvl w:ilvl="4" w:tentative="0">
      <w:start w:val="1"/>
      <w:numFmt w:val="lowerLetter"/>
      <w:lvlText w:val="%5)"/>
      <w:lvlJc w:val="left"/>
      <w:pPr>
        <w:ind w:left="2680" w:hanging="440"/>
      </w:pPr>
    </w:lvl>
    <w:lvl w:ilvl="5" w:tentative="0">
      <w:start w:val="1"/>
      <w:numFmt w:val="lowerRoman"/>
      <w:lvlText w:val="%6."/>
      <w:lvlJc w:val="right"/>
      <w:pPr>
        <w:ind w:left="3120" w:hanging="440"/>
      </w:pPr>
    </w:lvl>
    <w:lvl w:ilvl="6" w:tentative="0">
      <w:start w:val="1"/>
      <w:numFmt w:val="decimal"/>
      <w:lvlText w:val="%7."/>
      <w:lvlJc w:val="left"/>
      <w:pPr>
        <w:ind w:left="3560" w:hanging="440"/>
      </w:pPr>
    </w:lvl>
    <w:lvl w:ilvl="7" w:tentative="0">
      <w:start w:val="1"/>
      <w:numFmt w:val="lowerLetter"/>
      <w:lvlText w:val="%8)"/>
      <w:lvlJc w:val="left"/>
      <w:pPr>
        <w:ind w:left="4000" w:hanging="440"/>
      </w:pPr>
    </w:lvl>
    <w:lvl w:ilvl="8" w:tentative="0">
      <w:start w:val="1"/>
      <w:numFmt w:val="lowerRoman"/>
      <w:lvlText w:val="%9."/>
      <w:lvlJc w:val="right"/>
      <w:pPr>
        <w:ind w:left="4440" w:hanging="440"/>
      </w:pPr>
    </w:lvl>
  </w:abstractNum>
  <w:abstractNum w:abstractNumId="3">
    <w:nsid w:val="7B541212"/>
    <w:multiLevelType w:val="multilevel"/>
    <w:tmpl w:val="7B541212"/>
    <w:lvl w:ilvl="0" w:tentative="0">
      <w:start w:val="1"/>
      <w:numFmt w:val="bullet"/>
      <w:pStyle w:val="306"/>
      <w:lvlText w:val=""/>
      <w:lvlJc w:val="left"/>
      <w:pPr>
        <w:tabs>
          <w:tab w:val="left" w:pos="902"/>
        </w:tabs>
        <w:ind w:left="902" w:hanging="422"/>
      </w:pPr>
      <w:rPr>
        <w:rFonts w:hint="default" w:ascii="Wingdings" w:hAnsi="Wingdings"/>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HorizontalSpacing w:val="105"/>
  <w:drawingGridVerticalSpacing w:val="156"/>
  <w:displayHorizontalDrawingGridEvery w:val="2"/>
  <w:displayVerticalDrawingGridEvery w:val="2"/>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A27"/>
    <w:rsid w:val="000000CC"/>
    <w:rsid w:val="0000057A"/>
    <w:rsid w:val="000009BA"/>
    <w:rsid w:val="00000A56"/>
    <w:rsid w:val="00000B27"/>
    <w:rsid w:val="00001069"/>
    <w:rsid w:val="000011F2"/>
    <w:rsid w:val="0000144A"/>
    <w:rsid w:val="000016FB"/>
    <w:rsid w:val="000023C6"/>
    <w:rsid w:val="000024E0"/>
    <w:rsid w:val="000024FD"/>
    <w:rsid w:val="00002BD3"/>
    <w:rsid w:val="00002EA8"/>
    <w:rsid w:val="00003002"/>
    <w:rsid w:val="0000313C"/>
    <w:rsid w:val="000031ED"/>
    <w:rsid w:val="0000321B"/>
    <w:rsid w:val="0000381B"/>
    <w:rsid w:val="000038F9"/>
    <w:rsid w:val="00003F51"/>
    <w:rsid w:val="000043DA"/>
    <w:rsid w:val="00004E47"/>
    <w:rsid w:val="00004E9F"/>
    <w:rsid w:val="00004F62"/>
    <w:rsid w:val="000058D4"/>
    <w:rsid w:val="00005D4E"/>
    <w:rsid w:val="000066DF"/>
    <w:rsid w:val="00006A0F"/>
    <w:rsid w:val="00006FD6"/>
    <w:rsid w:val="00006FEC"/>
    <w:rsid w:val="000071DC"/>
    <w:rsid w:val="00007402"/>
    <w:rsid w:val="000074A5"/>
    <w:rsid w:val="00007926"/>
    <w:rsid w:val="00007B2E"/>
    <w:rsid w:val="00010189"/>
    <w:rsid w:val="000101EF"/>
    <w:rsid w:val="000103F0"/>
    <w:rsid w:val="00010724"/>
    <w:rsid w:val="00010A9F"/>
    <w:rsid w:val="00010BF1"/>
    <w:rsid w:val="00011255"/>
    <w:rsid w:val="000114C2"/>
    <w:rsid w:val="000123A7"/>
    <w:rsid w:val="00012659"/>
    <w:rsid w:val="00012A8D"/>
    <w:rsid w:val="00013000"/>
    <w:rsid w:val="000130EC"/>
    <w:rsid w:val="000133DF"/>
    <w:rsid w:val="00013643"/>
    <w:rsid w:val="0001450C"/>
    <w:rsid w:val="00014FDD"/>
    <w:rsid w:val="00015676"/>
    <w:rsid w:val="00015922"/>
    <w:rsid w:val="00015C47"/>
    <w:rsid w:val="00015E48"/>
    <w:rsid w:val="00016344"/>
    <w:rsid w:val="0001666F"/>
    <w:rsid w:val="00016AC0"/>
    <w:rsid w:val="00016FFC"/>
    <w:rsid w:val="00017154"/>
    <w:rsid w:val="00017DF8"/>
    <w:rsid w:val="0002023A"/>
    <w:rsid w:val="000204A3"/>
    <w:rsid w:val="00020D36"/>
    <w:rsid w:val="00021039"/>
    <w:rsid w:val="00021E61"/>
    <w:rsid w:val="00022028"/>
    <w:rsid w:val="00022B29"/>
    <w:rsid w:val="00022FBD"/>
    <w:rsid w:val="00023273"/>
    <w:rsid w:val="00023916"/>
    <w:rsid w:val="00023EEF"/>
    <w:rsid w:val="00023F4F"/>
    <w:rsid w:val="000240B2"/>
    <w:rsid w:val="000243CB"/>
    <w:rsid w:val="000244D3"/>
    <w:rsid w:val="00024677"/>
    <w:rsid w:val="00024A67"/>
    <w:rsid w:val="0002501E"/>
    <w:rsid w:val="000255B1"/>
    <w:rsid w:val="00025B3C"/>
    <w:rsid w:val="00025D2E"/>
    <w:rsid w:val="000262C3"/>
    <w:rsid w:val="000263D6"/>
    <w:rsid w:val="00026BB2"/>
    <w:rsid w:val="00026D04"/>
    <w:rsid w:val="00026F5A"/>
    <w:rsid w:val="00027137"/>
    <w:rsid w:val="0002760A"/>
    <w:rsid w:val="000277E8"/>
    <w:rsid w:val="000306A5"/>
    <w:rsid w:val="00030832"/>
    <w:rsid w:val="00030AB8"/>
    <w:rsid w:val="00030B8C"/>
    <w:rsid w:val="00030E66"/>
    <w:rsid w:val="000312B1"/>
    <w:rsid w:val="00031F63"/>
    <w:rsid w:val="000326FF"/>
    <w:rsid w:val="00032819"/>
    <w:rsid w:val="00032936"/>
    <w:rsid w:val="00032971"/>
    <w:rsid w:val="00032A96"/>
    <w:rsid w:val="00032BF7"/>
    <w:rsid w:val="00032F45"/>
    <w:rsid w:val="00033AE7"/>
    <w:rsid w:val="00033B21"/>
    <w:rsid w:val="00033F4F"/>
    <w:rsid w:val="00034188"/>
    <w:rsid w:val="0003439C"/>
    <w:rsid w:val="0003446F"/>
    <w:rsid w:val="0003485C"/>
    <w:rsid w:val="000348DE"/>
    <w:rsid w:val="00034B71"/>
    <w:rsid w:val="00034D61"/>
    <w:rsid w:val="00035FBE"/>
    <w:rsid w:val="00036545"/>
    <w:rsid w:val="000369C8"/>
    <w:rsid w:val="00036AB7"/>
    <w:rsid w:val="00036B46"/>
    <w:rsid w:val="00036C83"/>
    <w:rsid w:val="00036EA0"/>
    <w:rsid w:val="00037009"/>
    <w:rsid w:val="0003715D"/>
    <w:rsid w:val="0003735A"/>
    <w:rsid w:val="00037394"/>
    <w:rsid w:val="00037565"/>
    <w:rsid w:val="000375F5"/>
    <w:rsid w:val="00037610"/>
    <w:rsid w:val="000376AE"/>
    <w:rsid w:val="00037D5F"/>
    <w:rsid w:val="00037E87"/>
    <w:rsid w:val="00040291"/>
    <w:rsid w:val="000402FE"/>
    <w:rsid w:val="000405C0"/>
    <w:rsid w:val="00040E31"/>
    <w:rsid w:val="00041034"/>
    <w:rsid w:val="00041281"/>
    <w:rsid w:val="00041850"/>
    <w:rsid w:val="00041A18"/>
    <w:rsid w:val="00041B86"/>
    <w:rsid w:val="00041E31"/>
    <w:rsid w:val="00042071"/>
    <w:rsid w:val="00042A28"/>
    <w:rsid w:val="00042D2A"/>
    <w:rsid w:val="00042DA9"/>
    <w:rsid w:val="0004329E"/>
    <w:rsid w:val="00043629"/>
    <w:rsid w:val="0004364C"/>
    <w:rsid w:val="000436CA"/>
    <w:rsid w:val="0004371B"/>
    <w:rsid w:val="000437D8"/>
    <w:rsid w:val="000438ED"/>
    <w:rsid w:val="00043B09"/>
    <w:rsid w:val="00043EB4"/>
    <w:rsid w:val="0004401F"/>
    <w:rsid w:val="0004431F"/>
    <w:rsid w:val="0004452D"/>
    <w:rsid w:val="0004478F"/>
    <w:rsid w:val="0004483E"/>
    <w:rsid w:val="00044942"/>
    <w:rsid w:val="00044D58"/>
    <w:rsid w:val="000450AE"/>
    <w:rsid w:val="000451FF"/>
    <w:rsid w:val="00045230"/>
    <w:rsid w:val="0004537B"/>
    <w:rsid w:val="0004552D"/>
    <w:rsid w:val="000459C2"/>
    <w:rsid w:val="00045A1D"/>
    <w:rsid w:val="0004655D"/>
    <w:rsid w:val="000469DA"/>
    <w:rsid w:val="0004726F"/>
    <w:rsid w:val="000473DB"/>
    <w:rsid w:val="000475CC"/>
    <w:rsid w:val="000506A3"/>
    <w:rsid w:val="00051140"/>
    <w:rsid w:val="000518F3"/>
    <w:rsid w:val="00051DFA"/>
    <w:rsid w:val="00052055"/>
    <w:rsid w:val="000526A2"/>
    <w:rsid w:val="000527FB"/>
    <w:rsid w:val="00052844"/>
    <w:rsid w:val="00052897"/>
    <w:rsid w:val="00052963"/>
    <w:rsid w:val="000531D8"/>
    <w:rsid w:val="00053993"/>
    <w:rsid w:val="00053B6D"/>
    <w:rsid w:val="00053BBB"/>
    <w:rsid w:val="000542A3"/>
    <w:rsid w:val="00054412"/>
    <w:rsid w:val="0005467A"/>
    <w:rsid w:val="00054814"/>
    <w:rsid w:val="00054866"/>
    <w:rsid w:val="00054B6E"/>
    <w:rsid w:val="00055594"/>
    <w:rsid w:val="0005568D"/>
    <w:rsid w:val="000556BE"/>
    <w:rsid w:val="000558B5"/>
    <w:rsid w:val="00055B9F"/>
    <w:rsid w:val="00055F0D"/>
    <w:rsid w:val="00056066"/>
    <w:rsid w:val="000563B3"/>
    <w:rsid w:val="0005680D"/>
    <w:rsid w:val="00057A23"/>
    <w:rsid w:val="00057CBF"/>
    <w:rsid w:val="00060111"/>
    <w:rsid w:val="000608E4"/>
    <w:rsid w:val="000609A7"/>
    <w:rsid w:val="00060C59"/>
    <w:rsid w:val="0006130B"/>
    <w:rsid w:val="00061ACF"/>
    <w:rsid w:val="00061E37"/>
    <w:rsid w:val="0006220F"/>
    <w:rsid w:val="0006231A"/>
    <w:rsid w:val="00062420"/>
    <w:rsid w:val="00062595"/>
    <w:rsid w:val="0006283C"/>
    <w:rsid w:val="00063167"/>
    <w:rsid w:val="00063383"/>
    <w:rsid w:val="000637B9"/>
    <w:rsid w:val="00063B81"/>
    <w:rsid w:val="00063EC2"/>
    <w:rsid w:val="00064016"/>
    <w:rsid w:val="00064243"/>
    <w:rsid w:val="00064454"/>
    <w:rsid w:val="000644D1"/>
    <w:rsid w:val="0006458A"/>
    <w:rsid w:val="00064861"/>
    <w:rsid w:val="000649C0"/>
    <w:rsid w:val="00064AAB"/>
    <w:rsid w:val="00064AC0"/>
    <w:rsid w:val="00064F6E"/>
    <w:rsid w:val="000650C2"/>
    <w:rsid w:val="00065D97"/>
    <w:rsid w:val="0006610F"/>
    <w:rsid w:val="00066144"/>
    <w:rsid w:val="0006618E"/>
    <w:rsid w:val="000665C6"/>
    <w:rsid w:val="00066829"/>
    <w:rsid w:val="00066925"/>
    <w:rsid w:val="000669A5"/>
    <w:rsid w:val="00066CCF"/>
    <w:rsid w:val="00066DD9"/>
    <w:rsid w:val="000672F0"/>
    <w:rsid w:val="00067335"/>
    <w:rsid w:val="00067AFB"/>
    <w:rsid w:val="00067DE0"/>
    <w:rsid w:val="000700D9"/>
    <w:rsid w:val="0007091C"/>
    <w:rsid w:val="00070A8C"/>
    <w:rsid w:val="00070CE8"/>
    <w:rsid w:val="00070E4C"/>
    <w:rsid w:val="00070EDE"/>
    <w:rsid w:val="00070FE0"/>
    <w:rsid w:val="00071276"/>
    <w:rsid w:val="000714DD"/>
    <w:rsid w:val="00071F79"/>
    <w:rsid w:val="000723FF"/>
    <w:rsid w:val="00072A16"/>
    <w:rsid w:val="00073575"/>
    <w:rsid w:val="00073F7E"/>
    <w:rsid w:val="000744B1"/>
    <w:rsid w:val="000747C8"/>
    <w:rsid w:val="00074940"/>
    <w:rsid w:val="000749CA"/>
    <w:rsid w:val="00074B08"/>
    <w:rsid w:val="00075576"/>
    <w:rsid w:val="000755CB"/>
    <w:rsid w:val="00075A3C"/>
    <w:rsid w:val="00075F5A"/>
    <w:rsid w:val="000765D1"/>
    <w:rsid w:val="00076F70"/>
    <w:rsid w:val="0007711C"/>
    <w:rsid w:val="000774A3"/>
    <w:rsid w:val="0007752A"/>
    <w:rsid w:val="0007760C"/>
    <w:rsid w:val="00077920"/>
    <w:rsid w:val="000803A5"/>
    <w:rsid w:val="0008073F"/>
    <w:rsid w:val="000807B1"/>
    <w:rsid w:val="00080ADE"/>
    <w:rsid w:val="00080B32"/>
    <w:rsid w:val="000810D8"/>
    <w:rsid w:val="00081336"/>
    <w:rsid w:val="000813EE"/>
    <w:rsid w:val="000813F2"/>
    <w:rsid w:val="00081E28"/>
    <w:rsid w:val="00082426"/>
    <w:rsid w:val="00082578"/>
    <w:rsid w:val="000825F2"/>
    <w:rsid w:val="00082602"/>
    <w:rsid w:val="00082656"/>
    <w:rsid w:val="000828E6"/>
    <w:rsid w:val="00082CC3"/>
    <w:rsid w:val="00083494"/>
    <w:rsid w:val="00083542"/>
    <w:rsid w:val="000837B0"/>
    <w:rsid w:val="0008393D"/>
    <w:rsid w:val="00083B1C"/>
    <w:rsid w:val="00083BA4"/>
    <w:rsid w:val="00083C29"/>
    <w:rsid w:val="00084586"/>
    <w:rsid w:val="00084863"/>
    <w:rsid w:val="00084E50"/>
    <w:rsid w:val="0008513F"/>
    <w:rsid w:val="000857D9"/>
    <w:rsid w:val="0008580D"/>
    <w:rsid w:val="00085A0A"/>
    <w:rsid w:val="00085BF0"/>
    <w:rsid w:val="00085F57"/>
    <w:rsid w:val="000862A0"/>
    <w:rsid w:val="00086476"/>
    <w:rsid w:val="0008649F"/>
    <w:rsid w:val="0008709C"/>
    <w:rsid w:val="0008736F"/>
    <w:rsid w:val="000877C0"/>
    <w:rsid w:val="0008792A"/>
    <w:rsid w:val="00087AAF"/>
    <w:rsid w:val="00090282"/>
    <w:rsid w:val="00090848"/>
    <w:rsid w:val="0009091F"/>
    <w:rsid w:val="00090EB0"/>
    <w:rsid w:val="00090F4E"/>
    <w:rsid w:val="000910D5"/>
    <w:rsid w:val="00092051"/>
    <w:rsid w:val="000920F1"/>
    <w:rsid w:val="00092607"/>
    <w:rsid w:val="000928A3"/>
    <w:rsid w:val="0009298A"/>
    <w:rsid w:val="00093229"/>
    <w:rsid w:val="00093285"/>
    <w:rsid w:val="000932E7"/>
    <w:rsid w:val="000934E2"/>
    <w:rsid w:val="00093504"/>
    <w:rsid w:val="000945A0"/>
    <w:rsid w:val="00094D64"/>
    <w:rsid w:val="00095232"/>
    <w:rsid w:val="0009557E"/>
    <w:rsid w:val="000955D5"/>
    <w:rsid w:val="000958B2"/>
    <w:rsid w:val="00095902"/>
    <w:rsid w:val="00095940"/>
    <w:rsid w:val="0009595C"/>
    <w:rsid w:val="000968C1"/>
    <w:rsid w:val="00096A14"/>
    <w:rsid w:val="00096DBA"/>
    <w:rsid w:val="0009702F"/>
    <w:rsid w:val="0009767B"/>
    <w:rsid w:val="00097B16"/>
    <w:rsid w:val="00097EED"/>
    <w:rsid w:val="000A07A3"/>
    <w:rsid w:val="000A0831"/>
    <w:rsid w:val="000A091F"/>
    <w:rsid w:val="000A0BE5"/>
    <w:rsid w:val="000A0F7B"/>
    <w:rsid w:val="000A1346"/>
    <w:rsid w:val="000A16B7"/>
    <w:rsid w:val="000A1ADD"/>
    <w:rsid w:val="000A1ADE"/>
    <w:rsid w:val="000A1E7A"/>
    <w:rsid w:val="000A21B8"/>
    <w:rsid w:val="000A250C"/>
    <w:rsid w:val="000A2AB3"/>
    <w:rsid w:val="000A2FF7"/>
    <w:rsid w:val="000A2FFA"/>
    <w:rsid w:val="000A322F"/>
    <w:rsid w:val="000A32B3"/>
    <w:rsid w:val="000A37AE"/>
    <w:rsid w:val="000A3F1C"/>
    <w:rsid w:val="000A40AE"/>
    <w:rsid w:val="000A4131"/>
    <w:rsid w:val="000A4686"/>
    <w:rsid w:val="000A49BC"/>
    <w:rsid w:val="000A49DE"/>
    <w:rsid w:val="000A4DFC"/>
    <w:rsid w:val="000A5306"/>
    <w:rsid w:val="000A57BC"/>
    <w:rsid w:val="000A5A96"/>
    <w:rsid w:val="000A5E26"/>
    <w:rsid w:val="000A605C"/>
    <w:rsid w:val="000A6A15"/>
    <w:rsid w:val="000A6A61"/>
    <w:rsid w:val="000A702A"/>
    <w:rsid w:val="000A7320"/>
    <w:rsid w:val="000A75A9"/>
    <w:rsid w:val="000A7C6F"/>
    <w:rsid w:val="000B010A"/>
    <w:rsid w:val="000B01AE"/>
    <w:rsid w:val="000B020C"/>
    <w:rsid w:val="000B03F3"/>
    <w:rsid w:val="000B0B5A"/>
    <w:rsid w:val="000B0D83"/>
    <w:rsid w:val="000B10EB"/>
    <w:rsid w:val="000B1101"/>
    <w:rsid w:val="000B1210"/>
    <w:rsid w:val="000B129F"/>
    <w:rsid w:val="000B1354"/>
    <w:rsid w:val="000B16CA"/>
    <w:rsid w:val="000B1762"/>
    <w:rsid w:val="000B1C2B"/>
    <w:rsid w:val="000B1C59"/>
    <w:rsid w:val="000B1FA4"/>
    <w:rsid w:val="000B24BB"/>
    <w:rsid w:val="000B26EE"/>
    <w:rsid w:val="000B30D9"/>
    <w:rsid w:val="000B3D01"/>
    <w:rsid w:val="000B3E3B"/>
    <w:rsid w:val="000B4279"/>
    <w:rsid w:val="000B4CB9"/>
    <w:rsid w:val="000B4FB3"/>
    <w:rsid w:val="000B5395"/>
    <w:rsid w:val="000B59AC"/>
    <w:rsid w:val="000B5EDC"/>
    <w:rsid w:val="000B639D"/>
    <w:rsid w:val="000B67D3"/>
    <w:rsid w:val="000B695D"/>
    <w:rsid w:val="000B6AB0"/>
    <w:rsid w:val="000B6DFC"/>
    <w:rsid w:val="000B6F61"/>
    <w:rsid w:val="000B6F99"/>
    <w:rsid w:val="000B7231"/>
    <w:rsid w:val="000B7777"/>
    <w:rsid w:val="000B7883"/>
    <w:rsid w:val="000C00BD"/>
    <w:rsid w:val="000C044C"/>
    <w:rsid w:val="000C052C"/>
    <w:rsid w:val="000C0725"/>
    <w:rsid w:val="000C0994"/>
    <w:rsid w:val="000C0D41"/>
    <w:rsid w:val="000C1216"/>
    <w:rsid w:val="000C1258"/>
    <w:rsid w:val="000C130B"/>
    <w:rsid w:val="000C1463"/>
    <w:rsid w:val="000C1BBC"/>
    <w:rsid w:val="000C1DE7"/>
    <w:rsid w:val="000C1EF5"/>
    <w:rsid w:val="000C239A"/>
    <w:rsid w:val="000C275B"/>
    <w:rsid w:val="000C2804"/>
    <w:rsid w:val="000C3178"/>
    <w:rsid w:val="000C3318"/>
    <w:rsid w:val="000C3931"/>
    <w:rsid w:val="000C3C12"/>
    <w:rsid w:val="000C41BB"/>
    <w:rsid w:val="000C4489"/>
    <w:rsid w:val="000C48F5"/>
    <w:rsid w:val="000C4A16"/>
    <w:rsid w:val="000C4AE4"/>
    <w:rsid w:val="000C4C02"/>
    <w:rsid w:val="000C4D3D"/>
    <w:rsid w:val="000C52AB"/>
    <w:rsid w:val="000C56EA"/>
    <w:rsid w:val="000C5A6B"/>
    <w:rsid w:val="000C6096"/>
    <w:rsid w:val="000C62EF"/>
    <w:rsid w:val="000C67FB"/>
    <w:rsid w:val="000C681B"/>
    <w:rsid w:val="000C6A00"/>
    <w:rsid w:val="000C6C87"/>
    <w:rsid w:val="000C6E31"/>
    <w:rsid w:val="000C6F2B"/>
    <w:rsid w:val="000C6F4A"/>
    <w:rsid w:val="000C736A"/>
    <w:rsid w:val="000C7637"/>
    <w:rsid w:val="000C7D76"/>
    <w:rsid w:val="000D0A00"/>
    <w:rsid w:val="000D0D8B"/>
    <w:rsid w:val="000D0E20"/>
    <w:rsid w:val="000D16DA"/>
    <w:rsid w:val="000D17D1"/>
    <w:rsid w:val="000D1CB5"/>
    <w:rsid w:val="000D1EE8"/>
    <w:rsid w:val="000D1FD7"/>
    <w:rsid w:val="000D223A"/>
    <w:rsid w:val="000D23E7"/>
    <w:rsid w:val="000D26DA"/>
    <w:rsid w:val="000D27FB"/>
    <w:rsid w:val="000D2BE2"/>
    <w:rsid w:val="000D2E46"/>
    <w:rsid w:val="000D333C"/>
    <w:rsid w:val="000D35CF"/>
    <w:rsid w:val="000D37F3"/>
    <w:rsid w:val="000D3DD1"/>
    <w:rsid w:val="000D4254"/>
    <w:rsid w:val="000D458E"/>
    <w:rsid w:val="000D461A"/>
    <w:rsid w:val="000D4813"/>
    <w:rsid w:val="000D49C2"/>
    <w:rsid w:val="000D4AD3"/>
    <w:rsid w:val="000D4DA8"/>
    <w:rsid w:val="000D519B"/>
    <w:rsid w:val="000D595C"/>
    <w:rsid w:val="000D5C7D"/>
    <w:rsid w:val="000D5E5B"/>
    <w:rsid w:val="000D6032"/>
    <w:rsid w:val="000D6041"/>
    <w:rsid w:val="000D6092"/>
    <w:rsid w:val="000D61C1"/>
    <w:rsid w:val="000D624E"/>
    <w:rsid w:val="000D6AB6"/>
    <w:rsid w:val="000D6D9C"/>
    <w:rsid w:val="000D77C5"/>
    <w:rsid w:val="000D77D3"/>
    <w:rsid w:val="000D7D3A"/>
    <w:rsid w:val="000D7DB1"/>
    <w:rsid w:val="000D7E8C"/>
    <w:rsid w:val="000E0475"/>
    <w:rsid w:val="000E1083"/>
    <w:rsid w:val="000E11EB"/>
    <w:rsid w:val="000E15B9"/>
    <w:rsid w:val="000E236A"/>
    <w:rsid w:val="000E250E"/>
    <w:rsid w:val="000E2861"/>
    <w:rsid w:val="000E2A0B"/>
    <w:rsid w:val="000E3004"/>
    <w:rsid w:val="000E3221"/>
    <w:rsid w:val="000E35A4"/>
    <w:rsid w:val="000E385D"/>
    <w:rsid w:val="000E38F1"/>
    <w:rsid w:val="000E3CB3"/>
    <w:rsid w:val="000E3EFD"/>
    <w:rsid w:val="000E421A"/>
    <w:rsid w:val="000E48FF"/>
    <w:rsid w:val="000E4B51"/>
    <w:rsid w:val="000E4F5A"/>
    <w:rsid w:val="000E53C7"/>
    <w:rsid w:val="000E571A"/>
    <w:rsid w:val="000E5897"/>
    <w:rsid w:val="000E593C"/>
    <w:rsid w:val="000E5A22"/>
    <w:rsid w:val="000E5D0B"/>
    <w:rsid w:val="000E5ECE"/>
    <w:rsid w:val="000E60CC"/>
    <w:rsid w:val="000E61B4"/>
    <w:rsid w:val="000E61C3"/>
    <w:rsid w:val="000E61D5"/>
    <w:rsid w:val="000E6545"/>
    <w:rsid w:val="000E6763"/>
    <w:rsid w:val="000E6C91"/>
    <w:rsid w:val="000E766D"/>
    <w:rsid w:val="000E7A9D"/>
    <w:rsid w:val="000E7AD7"/>
    <w:rsid w:val="000E7C43"/>
    <w:rsid w:val="000E7C46"/>
    <w:rsid w:val="000E7DE6"/>
    <w:rsid w:val="000E7E13"/>
    <w:rsid w:val="000F03D7"/>
    <w:rsid w:val="000F0443"/>
    <w:rsid w:val="000F06E8"/>
    <w:rsid w:val="000F0C86"/>
    <w:rsid w:val="000F100C"/>
    <w:rsid w:val="000F17A5"/>
    <w:rsid w:val="000F17B5"/>
    <w:rsid w:val="000F1A21"/>
    <w:rsid w:val="000F211C"/>
    <w:rsid w:val="000F22AB"/>
    <w:rsid w:val="000F2888"/>
    <w:rsid w:val="000F28E0"/>
    <w:rsid w:val="000F2A6E"/>
    <w:rsid w:val="000F2D02"/>
    <w:rsid w:val="000F3209"/>
    <w:rsid w:val="000F330C"/>
    <w:rsid w:val="000F3510"/>
    <w:rsid w:val="000F360A"/>
    <w:rsid w:val="000F3A42"/>
    <w:rsid w:val="000F3BE6"/>
    <w:rsid w:val="000F3D26"/>
    <w:rsid w:val="000F42B1"/>
    <w:rsid w:val="000F434F"/>
    <w:rsid w:val="000F4749"/>
    <w:rsid w:val="000F4856"/>
    <w:rsid w:val="000F4A04"/>
    <w:rsid w:val="000F4BFA"/>
    <w:rsid w:val="000F4C5A"/>
    <w:rsid w:val="000F57C9"/>
    <w:rsid w:val="000F5919"/>
    <w:rsid w:val="000F61C3"/>
    <w:rsid w:val="000F6206"/>
    <w:rsid w:val="000F636A"/>
    <w:rsid w:val="000F63AE"/>
    <w:rsid w:val="000F6AD1"/>
    <w:rsid w:val="000F6D82"/>
    <w:rsid w:val="000F6DA5"/>
    <w:rsid w:val="000F6F2F"/>
    <w:rsid w:val="000F7738"/>
    <w:rsid w:val="000F793A"/>
    <w:rsid w:val="000F796D"/>
    <w:rsid w:val="000F7B30"/>
    <w:rsid w:val="000F7BF8"/>
    <w:rsid w:val="000F7C34"/>
    <w:rsid w:val="000F7FF5"/>
    <w:rsid w:val="001003C9"/>
    <w:rsid w:val="00100472"/>
    <w:rsid w:val="00100643"/>
    <w:rsid w:val="001009EA"/>
    <w:rsid w:val="00100E2E"/>
    <w:rsid w:val="0010194F"/>
    <w:rsid w:val="00101C3D"/>
    <w:rsid w:val="001027F6"/>
    <w:rsid w:val="00102A12"/>
    <w:rsid w:val="00102C38"/>
    <w:rsid w:val="00102E67"/>
    <w:rsid w:val="00102EB7"/>
    <w:rsid w:val="00103219"/>
    <w:rsid w:val="0010363E"/>
    <w:rsid w:val="001036D9"/>
    <w:rsid w:val="001037B2"/>
    <w:rsid w:val="00103BBE"/>
    <w:rsid w:val="00104543"/>
    <w:rsid w:val="00104712"/>
    <w:rsid w:val="00104737"/>
    <w:rsid w:val="00104962"/>
    <w:rsid w:val="00104A0B"/>
    <w:rsid w:val="00104C08"/>
    <w:rsid w:val="00104E1E"/>
    <w:rsid w:val="00105089"/>
    <w:rsid w:val="0010554B"/>
    <w:rsid w:val="00105A69"/>
    <w:rsid w:val="00105B59"/>
    <w:rsid w:val="00105C6A"/>
    <w:rsid w:val="001061C7"/>
    <w:rsid w:val="001062A9"/>
    <w:rsid w:val="001066BC"/>
    <w:rsid w:val="00106CC2"/>
    <w:rsid w:val="00106EE3"/>
    <w:rsid w:val="00106FCB"/>
    <w:rsid w:val="001073F8"/>
    <w:rsid w:val="00107BC7"/>
    <w:rsid w:val="0011033F"/>
    <w:rsid w:val="001108D6"/>
    <w:rsid w:val="00110912"/>
    <w:rsid w:val="00110B4A"/>
    <w:rsid w:val="00110E9D"/>
    <w:rsid w:val="0011119C"/>
    <w:rsid w:val="00111432"/>
    <w:rsid w:val="00111623"/>
    <w:rsid w:val="00111795"/>
    <w:rsid w:val="0011189B"/>
    <w:rsid w:val="001126B0"/>
    <w:rsid w:val="00112ECF"/>
    <w:rsid w:val="00112F19"/>
    <w:rsid w:val="00113383"/>
    <w:rsid w:val="00113959"/>
    <w:rsid w:val="00113D99"/>
    <w:rsid w:val="00113FC0"/>
    <w:rsid w:val="0011487F"/>
    <w:rsid w:val="00114B18"/>
    <w:rsid w:val="0011528B"/>
    <w:rsid w:val="001152D0"/>
    <w:rsid w:val="001153A3"/>
    <w:rsid w:val="00115982"/>
    <w:rsid w:val="00115ACC"/>
    <w:rsid w:val="00115B92"/>
    <w:rsid w:val="00115D13"/>
    <w:rsid w:val="00116232"/>
    <w:rsid w:val="00116505"/>
    <w:rsid w:val="00116678"/>
    <w:rsid w:val="00116929"/>
    <w:rsid w:val="00116AB2"/>
    <w:rsid w:val="00116E79"/>
    <w:rsid w:val="0011704B"/>
    <w:rsid w:val="001172A1"/>
    <w:rsid w:val="00117F6C"/>
    <w:rsid w:val="00120B90"/>
    <w:rsid w:val="00121701"/>
    <w:rsid w:val="00121E8D"/>
    <w:rsid w:val="0012224C"/>
    <w:rsid w:val="00122525"/>
    <w:rsid w:val="001225A8"/>
    <w:rsid w:val="0012326F"/>
    <w:rsid w:val="001234C2"/>
    <w:rsid w:val="001234D8"/>
    <w:rsid w:val="001236F4"/>
    <w:rsid w:val="00123DC9"/>
    <w:rsid w:val="00123EAC"/>
    <w:rsid w:val="00124174"/>
    <w:rsid w:val="00124205"/>
    <w:rsid w:val="001246FF"/>
    <w:rsid w:val="001248B7"/>
    <w:rsid w:val="0012515B"/>
    <w:rsid w:val="00125260"/>
    <w:rsid w:val="001253CF"/>
    <w:rsid w:val="00125F26"/>
    <w:rsid w:val="00125F55"/>
    <w:rsid w:val="001260B6"/>
    <w:rsid w:val="001260F0"/>
    <w:rsid w:val="00126121"/>
    <w:rsid w:val="00126666"/>
    <w:rsid w:val="001266AB"/>
    <w:rsid w:val="0012679B"/>
    <w:rsid w:val="001268EE"/>
    <w:rsid w:val="00126AAD"/>
    <w:rsid w:val="00126B48"/>
    <w:rsid w:val="00126D23"/>
    <w:rsid w:val="001276AD"/>
    <w:rsid w:val="00127A48"/>
    <w:rsid w:val="00127B0F"/>
    <w:rsid w:val="00127E00"/>
    <w:rsid w:val="00130030"/>
    <w:rsid w:val="001300D0"/>
    <w:rsid w:val="001304BC"/>
    <w:rsid w:val="00130B91"/>
    <w:rsid w:val="00130E05"/>
    <w:rsid w:val="0013153A"/>
    <w:rsid w:val="001319D0"/>
    <w:rsid w:val="00131C6F"/>
    <w:rsid w:val="00131CAA"/>
    <w:rsid w:val="00131FAC"/>
    <w:rsid w:val="00132284"/>
    <w:rsid w:val="001327AB"/>
    <w:rsid w:val="001340A1"/>
    <w:rsid w:val="00134235"/>
    <w:rsid w:val="0013464D"/>
    <w:rsid w:val="00134A1E"/>
    <w:rsid w:val="00134AAF"/>
    <w:rsid w:val="00134F2C"/>
    <w:rsid w:val="00135474"/>
    <w:rsid w:val="001359E3"/>
    <w:rsid w:val="00135C75"/>
    <w:rsid w:val="00135D37"/>
    <w:rsid w:val="00135DA6"/>
    <w:rsid w:val="0013656A"/>
    <w:rsid w:val="001367BF"/>
    <w:rsid w:val="00136F95"/>
    <w:rsid w:val="00137219"/>
    <w:rsid w:val="001377D4"/>
    <w:rsid w:val="00137C0F"/>
    <w:rsid w:val="00140146"/>
    <w:rsid w:val="00140875"/>
    <w:rsid w:val="00140BE7"/>
    <w:rsid w:val="00140E4C"/>
    <w:rsid w:val="00140FF1"/>
    <w:rsid w:val="00141120"/>
    <w:rsid w:val="0014115F"/>
    <w:rsid w:val="00141921"/>
    <w:rsid w:val="00141E4D"/>
    <w:rsid w:val="00141E7D"/>
    <w:rsid w:val="00141EDF"/>
    <w:rsid w:val="0014234D"/>
    <w:rsid w:val="0014257F"/>
    <w:rsid w:val="001427CD"/>
    <w:rsid w:val="00142DAD"/>
    <w:rsid w:val="00142EE6"/>
    <w:rsid w:val="00142F4B"/>
    <w:rsid w:val="00143044"/>
    <w:rsid w:val="001431F5"/>
    <w:rsid w:val="00143312"/>
    <w:rsid w:val="00143476"/>
    <w:rsid w:val="0014380B"/>
    <w:rsid w:val="0014384C"/>
    <w:rsid w:val="00143DAB"/>
    <w:rsid w:val="00144345"/>
    <w:rsid w:val="00144393"/>
    <w:rsid w:val="001446BD"/>
    <w:rsid w:val="0014472A"/>
    <w:rsid w:val="00144B3C"/>
    <w:rsid w:val="00144FC8"/>
    <w:rsid w:val="00145B82"/>
    <w:rsid w:val="00145BD9"/>
    <w:rsid w:val="00145CA8"/>
    <w:rsid w:val="00145F4F"/>
    <w:rsid w:val="001461AC"/>
    <w:rsid w:val="001463EA"/>
    <w:rsid w:val="00146A83"/>
    <w:rsid w:val="00146BC4"/>
    <w:rsid w:val="00147448"/>
    <w:rsid w:val="00147661"/>
    <w:rsid w:val="00147AC2"/>
    <w:rsid w:val="00147AE2"/>
    <w:rsid w:val="00147EF6"/>
    <w:rsid w:val="00147FB1"/>
    <w:rsid w:val="00150426"/>
    <w:rsid w:val="00150461"/>
    <w:rsid w:val="00151228"/>
    <w:rsid w:val="0015145D"/>
    <w:rsid w:val="0015156F"/>
    <w:rsid w:val="001515F7"/>
    <w:rsid w:val="0015182C"/>
    <w:rsid w:val="00151ED3"/>
    <w:rsid w:val="0015215C"/>
    <w:rsid w:val="00152DC9"/>
    <w:rsid w:val="00152E27"/>
    <w:rsid w:val="00152EA2"/>
    <w:rsid w:val="00153303"/>
    <w:rsid w:val="00153A86"/>
    <w:rsid w:val="00154427"/>
    <w:rsid w:val="00154494"/>
    <w:rsid w:val="001551C3"/>
    <w:rsid w:val="0015533B"/>
    <w:rsid w:val="0015552C"/>
    <w:rsid w:val="00155564"/>
    <w:rsid w:val="00155872"/>
    <w:rsid w:val="00155BAC"/>
    <w:rsid w:val="00155E92"/>
    <w:rsid w:val="00156757"/>
    <w:rsid w:val="00156CFC"/>
    <w:rsid w:val="00156D94"/>
    <w:rsid w:val="0015705F"/>
    <w:rsid w:val="00157822"/>
    <w:rsid w:val="00157847"/>
    <w:rsid w:val="0015789F"/>
    <w:rsid w:val="0015790F"/>
    <w:rsid w:val="00157B37"/>
    <w:rsid w:val="00157E75"/>
    <w:rsid w:val="00160406"/>
    <w:rsid w:val="0016063B"/>
    <w:rsid w:val="001606C5"/>
    <w:rsid w:val="00160D04"/>
    <w:rsid w:val="00160D15"/>
    <w:rsid w:val="00160EA9"/>
    <w:rsid w:val="0016149D"/>
    <w:rsid w:val="001615AB"/>
    <w:rsid w:val="001615B1"/>
    <w:rsid w:val="00161DCC"/>
    <w:rsid w:val="001629B6"/>
    <w:rsid w:val="00162C3A"/>
    <w:rsid w:val="00162F20"/>
    <w:rsid w:val="00163467"/>
    <w:rsid w:val="0016451F"/>
    <w:rsid w:val="001651F1"/>
    <w:rsid w:val="00165504"/>
    <w:rsid w:val="001657D5"/>
    <w:rsid w:val="00165950"/>
    <w:rsid w:val="00165D39"/>
    <w:rsid w:val="00165F77"/>
    <w:rsid w:val="0016609D"/>
    <w:rsid w:val="001660C8"/>
    <w:rsid w:val="001661B6"/>
    <w:rsid w:val="001662BE"/>
    <w:rsid w:val="00166495"/>
    <w:rsid w:val="001664E3"/>
    <w:rsid w:val="00166568"/>
    <w:rsid w:val="001665D3"/>
    <w:rsid w:val="0016671F"/>
    <w:rsid w:val="00166765"/>
    <w:rsid w:val="0016679F"/>
    <w:rsid w:val="00166B05"/>
    <w:rsid w:val="00166D05"/>
    <w:rsid w:val="001673FA"/>
    <w:rsid w:val="00167761"/>
    <w:rsid w:val="001677B3"/>
    <w:rsid w:val="001679A1"/>
    <w:rsid w:val="00167F76"/>
    <w:rsid w:val="00170370"/>
    <w:rsid w:val="00170540"/>
    <w:rsid w:val="001708E0"/>
    <w:rsid w:val="00170D0C"/>
    <w:rsid w:val="00171263"/>
    <w:rsid w:val="001713B2"/>
    <w:rsid w:val="001716AA"/>
    <w:rsid w:val="00171E57"/>
    <w:rsid w:val="001722A8"/>
    <w:rsid w:val="00172785"/>
    <w:rsid w:val="001729B4"/>
    <w:rsid w:val="00172A27"/>
    <w:rsid w:val="00172BE7"/>
    <w:rsid w:val="00172FF6"/>
    <w:rsid w:val="00173049"/>
    <w:rsid w:val="00173738"/>
    <w:rsid w:val="00173E64"/>
    <w:rsid w:val="001747F5"/>
    <w:rsid w:val="00174CA0"/>
    <w:rsid w:val="00174DB0"/>
    <w:rsid w:val="0017513D"/>
    <w:rsid w:val="00175956"/>
    <w:rsid w:val="00175D3A"/>
    <w:rsid w:val="00176555"/>
    <w:rsid w:val="00176906"/>
    <w:rsid w:val="00176C9C"/>
    <w:rsid w:val="00176F36"/>
    <w:rsid w:val="00177419"/>
    <w:rsid w:val="001776B2"/>
    <w:rsid w:val="001778EA"/>
    <w:rsid w:val="00177A47"/>
    <w:rsid w:val="001804F9"/>
    <w:rsid w:val="001806D0"/>
    <w:rsid w:val="00180762"/>
    <w:rsid w:val="0018076B"/>
    <w:rsid w:val="00180D58"/>
    <w:rsid w:val="001813A4"/>
    <w:rsid w:val="001813E6"/>
    <w:rsid w:val="00181476"/>
    <w:rsid w:val="001816FA"/>
    <w:rsid w:val="00181CBD"/>
    <w:rsid w:val="00182250"/>
    <w:rsid w:val="001822E6"/>
    <w:rsid w:val="001825A1"/>
    <w:rsid w:val="00182666"/>
    <w:rsid w:val="001826AA"/>
    <w:rsid w:val="001830C3"/>
    <w:rsid w:val="0018360E"/>
    <w:rsid w:val="0018365E"/>
    <w:rsid w:val="0018386C"/>
    <w:rsid w:val="001839EE"/>
    <w:rsid w:val="00183F42"/>
    <w:rsid w:val="00184192"/>
    <w:rsid w:val="00184CA4"/>
    <w:rsid w:val="0018577B"/>
    <w:rsid w:val="00185784"/>
    <w:rsid w:val="001857E5"/>
    <w:rsid w:val="00185AD2"/>
    <w:rsid w:val="0018608C"/>
    <w:rsid w:val="00186D3F"/>
    <w:rsid w:val="00187225"/>
    <w:rsid w:val="00187393"/>
    <w:rsid w:val="00187C1B"/>
    <w:rsid w:val="00190214"/>
    <w:rsid w:val="001907AB"/>
    <w:rsid w:val="00190B19"/>
    <w:rsid w:val="00190EBF"/>
    <w:rsid w:val="00190EF6"/>
    <w:rsid w:val="001912D2"/>
    <w:rsid w:val="001914C0"/>
    <w:rsid w:val="00191BC0"/>
    <w:rsid w:val="00191CC0"/>
    <w:rsid w:val="00191EA5"/>
    <w:rsid w:val="00192689"/>
    <w:rsid w:val="00193251"/>
    <w:rsid w:val="00193515"/>
    <w:rsid w:val="00193C19"/>
    <w:rsid w:val="00193CAA"/>
    <w:rsid w:val="00193DE6"/>
    <w:rsid w:val="00194075"/>
    <w:rsid w:val="001941C8"/>
    <w:rsid w:val="0019422E"/>
    <w:rsid w:val="001943DA"/>
    <w:rsid w:val="001944D3"/>
    <w:rsid w:val="00194577"/>
    <w:rsid w:val="00194BBD"/>
    <w:rsid w:val="0019507A"/>
    <w:rsid w:val="001957CF"/>
    <w:rsid w:val="001958FA"/>
    <w:rsid w:val="00195D3F"/>
    <w:rsid w:val="001966C5"/>
    <w:rsid w:val="00196AFE"/>
    <w:rsid w:val="00196C2B"/>
    <w:rsid w:val="00196D30"/>
    <w:rsid w:val="00196D43"/>
    <w:rsid w:val="00196D5A"/>
    <w:rsid w:val="00196F14"/>
    <w:rsid w:val="00197EF4"/>
    <w:rsid w:val="001A0261"/>
    <w:rsid w:val="001A03E1"/>
    <w:rsid w:val="001A0927"/>
    <w:rsid w:val="001A0B64"/>
    <w:rsid w:val="001A106A"/>
    <w:rsid w:val="001A13FD"/>
    <w:rsid w:val="001A14E1"/>
    <w:rsid w:val="001A1C2C"/>
    <w:rsid w:val="001A1D30"/>
    <w:rsid w:val="001A2226"/>
    <w:rsid w:val="001A242A"/>
    <w:rsid w:val="001A2542"/>
    <w:rsid w:val="001A2A07"/>
    <w:rsid w:val="001A3E00"/>
    <w:rsid w:val="001A4393"/>
    <w:rsid w:val="001A445E"/>
    <w:rsid w:val="001A4558"/>
    <w:rsid w:val="001A4574"/>
    <w:rsid w:val="001A4576"/>
    <w:rsid w:val="001A474F"/>
    <w:rsid w:val="001A4B1C"/>
    <w:rsid w:val="001A4C00"/>
    <w:rsid w:val="001A4D9E"/>
    <w:rsid w:val="001A5055"/>
    <w:rsid w:val="001A51DC"/>
    <w:rsid w:val="001A52BF"/>
    <w:rsid w:val="001A5337"/>
    <w:rsid w:val="001A58CC"/>
    <w:rsid w:val="001A5CF4"/>
    <w:rsid w:val="001A5D33"/>
    <w:rsid w:val="001A62CC"/>
    <w:rsid w:val="001A664C"/>
    <w:rsid w:val="001A68B8"/>
    <w:rsid w:val="001A6BCB"/>
    <w:rsid w:val="001A701B"/>
    <w:rsid w:val="001A723D"/>
    <w:rsid w:val="001A7574"/>
    <w:rsid w:val="001A763D"/>
    <w:rsid w:val="001A791A"/>
    <w:rsid w:val="001A7DD3"/>
    <w:rsid w:val="001B0541"/>
    <w:rsid w:val="001B07DB"/>
    <w:rsid w:val="001B1202"/>
    <w:rsid w:val="001B15A6"/>
    <w:rsid w:val="001B189E"/>
    <w:rsid w:val="001B19AC"/>
    <w:rsid w:val="001B1E43"/>
    <w:rsid w:val="001B1E72"/>
    <w:rsid w:val="001B213D"/>
    <w:rsid w:val="001B223A"/>
    <w:rsid w:val="001B22C6"/>
    <w:rsid w:val="001B22D9"/>
    <w:rsid w:val="001B27EB"/>
    <w:rsid w:val="001B2B94"/>
    <w:rsid w:val="001B2C16"/>
    <w:rsid w:val="001B4C1F"/>
    <w:rsid w:val="001B4F58"/>
    <w:rsid w:val="001B53F1"/>
    <w:rsid w:val="001B55AE"/>
    <w:rsid w:val="001B5BB9"/>
    <w:rsid w:val="001B5C51"/>
    <w:rsid w:val="001B5FFC"/>
    <w:rsid w:val="001B6292"/>
    <w:rsid w:val="001B6304"/>
    <w:rsid w:val="001B6422"/>
    <w:rsid w:val="001B6B9B"/>
    <w:rsid w:val="001B6CDB"/>
    <w:rsid w:val="001B6EFB"/>
    <w:rsid w:val="001B6F60"/>
    <w:rsid w:val="001B7739"/>
    <w:rsid w:val="001B7AC4"/>
    <w:rsid w:val="001B7B3E"/>
    <w:rsid w:val="001B7DE9"/>
    <w:rsid w:val="001B7E78"/>
    <w:rsid w:val="001C0275"/>
    <w:rsid w:val="001C0A7C"/>
    <w:rsid w:val="001C0BEB"/>
    <w:rsid w:val="001C1586"/>
    <w:rsid w:val="001C1656"/>
    <w:rsid w:val="001C2076"/>
    <w:rsid w:val="001C2661"/>
    <w:rsid w:val="001C274B"/>
    <w:rsid w:val="001C2885"/>
    <w:rsid w:val="001C296C"/>
    <w:rsid w:val="001C3566"/>
    <w:rsid w:val="001C37A3"/>
    <w:rsid w:val="001C3A60"/>
    <w:rsid w:val="001C418A"/>
    <w:rsid w:val="001C4203"/>
    <w:rsid w:val="001C469D"/>
    <w:rsid w:val="001C4790"/>
    <w:rsid w:val="001C49D6"/>
    <w:rsid w:val="001C4E91"/>
    <w:rsid w:val="001C5010"/>
    <w:rsid w:val="001C5044"/>
    <w:rsid w:val="001C506F"/>
    <w:rsid w:val="001C5126"/>
    <w:rsid w:val="001C53A5"/>
    <w:rsid w:val="001C58E8"/>
    <w:rsid w:val="001C5A83"/>
    <w:rsid w:val="001C5D9F"/>
    <w:rsid w:val="001C5EFB"/>
    <w:rsid w:val="001C616A"/>
    <w:rsid w:val="001C650F"/>
    <w:rsid w:val="001C68C1"/>
    <w:rsid w:val="001C6927"/>
    <w:rsid w:val="001C694F"/>
    <w:rsid w:val="001C6ED4"/>
    <w:rsid w:val="001C7A89"/>
    <w:rsid w:val="001C7C20"/>
    <w:rsid w:val="001C7CD5"/>
    <w:rsid w:val="001C7E3A"/>
    <w:rsid w:val="001D025B"/>
    <w:rsid w:val="001D05A6"/>
    <w:rsid w:val="001D0B08"/>
    <w:rsid w:val="001D0BA4"/>
    <w:rsid w:val="001D0E8B"/>
    <w:rsid w:val="001D139A"/>
    <w:rsid w:val="001D1409"/>
    <w:rsid w:val="001D1BEB"/>
    <w:rsid w:val="001D1C0B"/>
    <w:rsid w:val="001D1E96"/>
    <w:rsid w:val="001D20FA"/>
    <w:rsid w:val="001D2798"/>
    <w:rsid w:val="001D27E8"/>
    <w:rsid w:val="001D2A21"/>
    <w:rsid w:val="001D2F23"/>
    <w:rsid w:val="001D3198"/>
    <w:rsid w:val="001D33E8"/>
    <w:rsid w:val="001D359C"/>
    <w:rsid w:val="001D35DA"/>
    <w:rsid w:val="001D360C"/>
    <w:rsid w:val="001D45E6"/>
    <w:rsid w:val="001D49EA"/>
    <w:rsid w:val="001D4C24"/>
    <w:rsid w:val="001D4C5F"/>
    <w:rsid w:val="001D4D77"/>
    <w:rsid w:val="001D5347"/>
    <w:rsid w:val="001D5A4B"/>
    <w:rsid w:val="001D5D5D"/>
    <w:rsid w:val="001D6239"/>
    <w:rsid w:val="001D63FE"/>
    <w:rsid w:val="001D6404"/>
    <w:rsid w:val="001D6823"/>
    <w:rsid w:val="001D6946"/>
    <w:rsid w:val="001D6C4F"/>
    <w:rsid w:val="001D757C"/>
    <w:rsid w:val="001D759F"/>
    <w:rsid w:val="001D780A"/>
    <w:rsid w:val="001D781F"/>
    <w:rsid w:val="001D7E43"/>
    <w:rsid w:val="001D7F10"/>
    <w:rsid w:val="001E0484"/>
    <w:rsid w:val="001E051D"/>
    <w:rsid w:val="001E0596"/>
    <w:rsid w:val="001E0852"/>
    <w:rsid w:val="001E0DCD"/>
    <w:rsid w:val="001E1200"/>
    <w:rsid w:val="001E137D"/>
    <w:rsid w:val="001E16E2"/>
    <w:rsid w:val="001E1764"/>
    <w:rsid w:val="001E17D3"/>
    <w:rsid w:val="001E1879"/>
    <w:rsid w:val="001E196E"/>
    <w:rsid w:val="001E1BE5"/>
    <w:rsid w:val="001E1D19"/>
    <w:rsid w:val="001E1D40"/>
    <w:rsid w:val="001E1D83"/>
    <w:rsid w:val="001E2348"/>
    <w:rsid w:val="001E25C7"/>
    <w:rsid w:val="001E2B3A"/>
    <w:rsid w:val="001E2B77"/>
    <w:rsid w:val="001E2BBF"/>
    <w:rsid w:val="001E31E8"/>
    <w:rsid w:val="001E34B8"/>
    <w:rsid w:val="001E3674"/>
    <w:rsid w:val="001E3D2C"/>
    <w:rsid w:val="001E3F21"/>
    <w:rsid w:val="001E4590"/>
    <w:rsid w:val="001E4761"/>
    <w:rsid w:val="001E481D"/>
    <w:rsid w:val="001E488F"/>
    <w:rsid w:val="001E4D57"/>
    <w:rsid w:val="001E4E36"/>
    <w:rsid w:val="001E5061"/>
    <w:rsid w:val="001E518B"/>
    <w:rsid w:val="001E574E"/>
    <w:rsid w:val="001E5B69"/>
    <w:rsid w:val="001E5FFB"/>
    <w:rsid w:val="001E7492"/>
    <w:rsid w:val="001E75FF"/>
    <w:rsid w:val="001E7903"/>
    <w:rsid w:val="001F008B"/>
    <w:rsid w:val="001F03B2"/>
    <w:rsid w:val="001F06EE"/>
    <w:rsid w:val="001F0DFF"/>
    <w:rsid w:val="001F1166"/>
    <w:rsid w:val="001F128F"/>
    <w:rsid w:val="001F132D"/>
    <w:rsid w:val="001F175D"/>
    <w:rsid w:val="001F1B30"/>
    <w:rsid w:val="001F1D04"/>
    <w:rsid w:val="001F1FC8"/>
    <w:rsid w:val="001F2011"/>
    <w:rsid w:val="001F20D7"/>
    <w:rsid w:val="001F2544"/>
    <w:rsid w:val="001F2899"/>
    <w:rsid w:val="001F296A"/>
    <w:rsid w:val="001F2C36"/>
    <w:rsid w:val="001F2DB9"/>
    <w:rsid w:val="001F3A46"/>
    <w:rsid w:val="001F3A75"/>
    <w:rsid w:val="001F3D05"/>
    <w:rsid w:val="001F3DB3"/>
    <w:rsid w:val="001F3E14"/>
    <w:rsid w:val="001F42E3"/>
    <w:rsid w:val="001F44D3"/>
    <w:rsid w:val="001F49C4"/>
    <w:rsid w:val="001F4BF2"/>
    <w:rsid w:val="001F523C"/>
    <w:rsid w:val="001F549F"/>
    <w:rsid w:val="001F59AF"/>
    <w:rsid w:val="001F6BFF"/>
    <w:rsid w:val="001F6C34"/>
    <w:rsid w:val="001F6C47"/>
    <w:rsid w:val="001F6EB2"/>
    <w:rsid w:val="001F7004"/>
    <w:rsid w:val="001F758F"/>
    <w:rsid w:val="001F7781"/>
    <w:rsid w:val="001F7D41"/>
    <w:rsid w:val="002004A6"/>
    <w:rsid w:val="00200A9B"/>
    <w:rsid w:val="00200B64"/>
    <w:rsid w:val="00200C27"/>
    <w:rsid w:val="00200CB0"/>
    <w:rsid w:val="00200D75"/>
    <w:rsid w:val="00200F10"/>
    <w:rsid w:val="002010FF"/>
    <w:rsid w:val="002015C6"/>
    <w:rsid w:val="002017EB"/>
    <w:rsid w:val="00201EF5"/>
    <w:rsid w:val="002020FD"/>
    <w:rsid w:val="002022CA"/>
    <w:rsid w:val="0020278E"/>
    <w:rsid w:val="00202D7D"/>
    <w:rsid w:val="00202E8A"/>
    <w:rsid w:val="00202F48"/>
    <w:rsid w:val="002030BE"/>
    <w:rsid w:val="00203C5D"/>
    <w:rsid w:val="00203FB7"/>
    <w:rsid w:val="00204592"/>
    <w:rsid w:val="0020479E"/>
    <w:rsid w:val="00204A34"/>
    <w:rsid w:val="00205026"/>
    <w:rsid w:val="00205422"/>
    <w:rsid w:val="002055AE"/>
    <w:rsid w:val="0020568F"/>
    <w:rsid w:val="0020574F"/>
    <w:rsid w:val="002057E5"/>
    <w:rsid w:val="00206332"/>
    <w:rsid w:val="00206474"/>
    <w:rsid w:val="00206AC5"/>
    <w:rsid w:val="00206C02"/>
    <w:rsid w:val="00206CC5"/>
    <w:rsid w:val="00207107"/>
    <w:rsid w:val="002072E6"/>
    <w:rsid w:val="0020741F"/>
    <w:rsid w:val="00207652"/>
    <w:rsid w:val="00207812"/>
    <w:rsid w:val="0020785A"/>
    <w:rsid w:val="0020790A"/>
    <w:rsid w:val="00207995"/>
    <w:rsid w:val="002079A7"/>
    <w:rsid w:val="00207A25"/>
    <w:rsid w:val="00207AF2"/>
    <w:rsid w:val="00207B47"/>
    <w:rsid w:val="00207F54"/>
    <w:rsid w:val="0021058C"/>
    <w:rsid w:val="00210804"/>
    <w:rsid w:val="00210971"/>
    <w:rsid w:val="00210A05"/>
    <w:rsid w:val="00210DDE"/>
    <w:rsid w:val="002110CB"/>
    <w:rsid w:val="00211113"/>
    <w:rsid w:val="002111F9"/>
    <w:rsid w:val="00211291"/>
    <w:rsid w:val="00211DF9"/>
    <w:rsid w:val="00211F87"/>
    <w:rsid w:val="002124AC"/>
    <w:rsid w:val="002125AE"/>
    <w:rsid w:val="002127B4"/>
    <w:rsid w:val="0021288C"/>
    <w:rsid w:val="002129FC"/>
    <w:rsid w:val="00212BD5"/>
    <w:rsid w:val="00212DCA"/>
    <w:rsid w:val="00213988"/>
    <w:rsid w:val="00213999"/>
    <w:rsid w:val="002143BE"/>
    <w:rsid w:val="00214A49"/>
    <w:rsid w:val="00214AC9"/>
    <w:rsid w:val="00214BB2"/>
    <w:rsid w:val="0021538E"/>
    <w:rsid w:val="00215571"/>
    <w:rsid w:val="002158A1"/>
    <w:rsid w:val="002161D7"/>
    <w:rsid w:val="00216FF8"/>
    <w:rsid w:val="002170E0"/>
    <w:rsid w:val="0021751C"/>
    <w:rsid w:val="002200AE"/>
    <w:rsid w:val="002202E5"/>
    <w:rsid w:val="00220F21"/>
    <w:rsid w:val="00221583"/>
    <w:rsid w:val="00221683"/>
    <w:rsid w:val="002217F6"/>
    <w:rsid w:val="00221F4F"/>
    <w:rsid w:val="002221D8"/>
    <w:rsid w:val="002227F6"/>
    <w:rsid w:val="002228CF"/>
    <w:rsid w:val="00222927"/>
    <w:rsid w:val="00223629"/>
    <w:rsid w:val="00223697"/>
    <w:rsid w:val="0022389D"/>
    <w:rsid w:val="00223AE2"/>
    <w:rsid w:val="00223C0B"/>
    <w:rsid w:val="00223C57"/>
    <w:rsid w:val="00223E15"/>
    <w:rsid w:val="00223FB5"/>
    <w:rsid w:val="0022414B"/>
    <w:rsid w:val="00224267"/>
    <w:rsid w:val="0022427B"/>
    <w:rsid w:val="0022479B"/>
    <w:rsid w:val="00224915"/>
    <w:rsid w:val="00224DE9"/>
    <w:rsid w:val="002254DF"/>
    <w:rsid w:val="002259FB"/>
    <w:rsid w:val="00226143"/>
    <w:rsid w:val="0022614E"/>
    <w:rsid w:val="00226514"/>
    <w:rsid w:val="00226699"/>
    <w:rsid w:val="00226868"/>
    <w:rsid w:val="002269E8"/>
    <w:rsid w:val="00226AF1"/>
    <w:rsid w:val="00226B62"/>
    <w:rsid w:val="00226C4B"/>
    <w:rsid w:val="00226F5B"/>
    <w:rsid w:val="00227147"/>
    <w:rsid w:val="0022766F"/>
    <w:rsid w:val="00227952"/>
    <w:rsid w:val="00227A08"/>
    <w:rsid w:val="00230FDC"/>
    <w:rsid w:val="00231218"/>
    <w:rsid w:val="002313AF"/>
    <w:rsid w:val="00231428"/>
    <w:rsid w:val="00231846"/>
    <w:rsid w:val="00231B2C"/>
    <w:rsid w:val="00231F93"/>
    <w:rsid w:val="00232C79"/>
    <w:rsid w:val="00232DDE"/>
    <w:rsid w:val="00232F7D"/>
    <w:rsid w:val="002334E8"/>
    <w:rsid w:val="0023378E"/>
    <w:rsid w:val="00233A0D"/>
    <w:rsid w:val="00233BD7"/>
    <w:rsid w:val="00233E08"/>
    <w:rsid w:val="00233F7E"/>
    <w:rsid w:val="0023400E"/>
    <w:rsid w:val="00234451"/>
    <w:rsid w:val="002344C0"/>
    <w:rsid w:val="00234587"/>
    <w:rsid w:val="00234727"/>
    <w:rsid w:val="0023480D"/>
    <w:rsid w:val="00234825"/>
    <w:rsid w:val="00234DC9"/>
    <w:rsid w:val="0023508C"/>
    <w:rsid w:val="00235657"/>
    <w:rsid w:val="002356DD"/>
    <w:rsid w:val="002357BA"/>
    <w:rsid w:val="00235850"/>
    <w:rsid w:val="00235BDB"/>
    <w:rsid w:val="002362B3"/>
    <w:rsid w:val="00236EBE"/>
    <w:rsid w:val="00236F2F"/>
    <w:rsid w:val="00236FCC"/>
    <w:rsid w:val="00237997"/>
    <w:rsid w:val="00237A81"/>
    <w:rsid w:val="00237F4E"/>
    <w:rsid w:val="002402F5"/>
    <w:rsid w:val="002407A6"/>
    <w:rsid w:val="002407E7"/>
    <w:rsid w:val="00240F26"/>
    <w:rsid w:val="00240F41"/>
    <w:rsid w:val="002410A3"/>
    <w:rsid w:val="00241597"/>
    <w:rsid w:val="002416C9"/>
    <w:rsid w:val="002421DF"/>
    <w:rsid w:val="0024267C"/>
    <w:rsid w:val="00242862"/>
    <w:rsid w:val="00242A0A"/>
    <w:rsid w:val="00242CAA"/>
    <w:rsid w:val="00242D3B"/>
    <w:rsid w:val="00243420"/>
    <w:rsid w:val="00243DCD"/>
    <w:rsid w:val="00243F5F"/>
    <w:rsid w:val="00244270"/>
    <w:rsid w:val="00244EB0"/>
    <w:rsid w:val="00245314"/>
    <w:rsid w:val="002453D0"/>
    <w:rsid w:val="002454C0"/>
    <w:rsid w:val="0024589F"/>
    <w:rsid w:val="0024594B"/>
    <w:rsid w:val="00245B14"/>
    <w:rsid w:val="00245B38"/>
    <w:rsid w:val="00246B83"/>
    <w:rsid w:val="00246C43"/>
    <w:rsid w:val="00246ED2"/>
    <w:rsid w:val="00247279"/>
    <w:rsid w:val="0024745B"/>
    <w:rsid w:val="00247AA5"/>
    <w:rsid w:val="00250067"/>
    <w:rsid w:val="00250209"/>
    <w:rsid w:val="00250429"/>
    <w:rsid w:val="0025060E"/>
    <w:rsid w:val="0025081C"/>
    <w:rsid w:val="00250862"/>
    <w:rsid w:val="00250A8A"/>
    <w:rsid w:val="00250D53"/>
    <w:rsid w:val="00251390"/>
    <w:rsid w:val="00251971"/>
    <w:rsid w:val="00251A89"/>
    <w:rsid w:val="00251AA9"/>
    <w:rsid w:val="0025271F"/>
    <w:rsid w:val="00252748"/>
    <w:rsid w:val="0025286A"/>
    <w:rsid w:val="002529A6"/>
    <w:rsid w:val="00252BB0"/>
    <w:rsid w:val="00253281"/>
    <w:rsid w:val="00253736"/>
    <w:rsid w:val="002537B3"/>
    <w:rsid w:val="00253BB5"/>
    <w:rsid w:val="00253F35"/>
    <w:rsid w:val="0025404F"/>
    <w:rsid w:val="00254313"/>
    <w:rsid w:val="00254582"/>
    <w:rsid w:val="00254737"/>
    <w:rsid w:val="00254A4B"/>
    <w:rsid w:val="00254B2D"/>
    <w:rsid w:val="00254D8E"/>
    <w:rsid w:val="00254DB8"/>
    <w:rsid w:val="00255429"/>
    <w:rsid w:val="00255742"/>
    <w:rsid w:val="0025680D"/>
    <w:rsid w:val="0025689D"/>
    <w:rsid w:val="00256A1F"/>
    <w:rsid w:val="00256C1C"/>
    <w:rsid w:val="00256F0C"/>
    <w:rsid w:val="002570A3"/>
    <w:rsid w:val="002576F3"/>
    <w:rsid w:val="002579A9"/>
    <w:rsid w:val="002603D4"/>
    <w:rsid w:val="0026065F"/>
    <w:rsid w:val="00260873"/>
    <w:rsid w:val="002608F8"/>
    <w:rsid w:val="002609A9"/>
    <w:rsid w:val="00260D9F"/>
    <w:rsid w:val="00261516"/>
    <w:rsid w:val="00261813"/>
    <w:rsid w:val="00261F6A"/>
    <w:rsid w:val="00262434"/>
    <w:rsid w:val="00262569"/>
    <w:rsid w:val="00262763"/>
    <w:rsid w:val="002628B9"/>
    <w:rsid w:val="00262928"/>
    <w:rsid w:val="00262A8F"/>
    <w:rsid w:val="00262CBF"/>
    <w:rsid w:val="0026361D"/>
    <w:rsid w:val="00263A5C"/>
    <w:rsid w:val="00263AFA"/>
    <w:rsid w:val="0026443F"/>
    <w:rsid w:val="0026487D"/>
    <w:rsid w:val="00264BCD"/>
    <w:rsid w:val="00264E50"/>
    <w:rsid w:val="00264F41"/>
    <w:rsid w:val="002651DF"/>
    <w:rsid w:val="00266137"/>
    <w:rsid w:val="002661F2"/>
    <w:rsid w:val="002669B2"/>
    <w:rsid w:val="00266E03"/>
    <w:rsid w:val="00266E73"/>
    <w:rsid w:val="00267175"/>
    <w:rsid w:val="00267188"/>
    <w:rsid w:val="002671A2"/>
    <w:rsid w:val="002674CA"/>
    <w:rsid w:val="002676D9"/>
    <w:rsid w:val="0026786A"/>
    <w:rsid w:val="002678BE"/>
    <w:rsid w:val="00267C4C"/>
    <w:rsid w:val="00267E61"/>
    <w:rsid w:val="00270081"/>
    <w:rsid w:val="00270789"/>
    <w:rsid w:val="00270946"/>
    <w:rsid w:val="00270D72"/>
    <w:rsid w:val="0027112C"/>
    <w:rsid w:val="002716C9"/>
    <w:rsid w:val="00271777"/>
    <w:rsid w:val="00271AC0"/>
    <w:rsid w:val="00271CE2"/>
    <w:rsid w:val="002721AE"/>
    <w:rsid w:val="00272599"/>
    <w:rsid w:val="002725DB"/>
    <w:rsid w:val="00272F6F"/>
    <w:rsid w:val="00272F91"/>
    <w:rsid w:val="00273394"/>
    <w:rsid w:val="002733F4"/>
    <w:rsid w:val="00273C0D"/>
    <w:rsid w:val="00273F9B"/>
    <w:rsid w:val="0027408C"/>
    <w:rsid w:val="00274192"/>
    <w:rsid w:val="002742AD"/>
    <w:rsid w:val="00274473"/>
    <w:rsid w:val="0027449B"/>
    <w:rsid w:val="00274563"/>
    <w:rsid w:val="00274631"/>
    <w:rsid w:val="002748B2"/>
    <w:rsid w:val="00274B6A"/>
    <w:rsid w:val="00274F8B"/>
    <w:rsid w:val="0027544C"/>
    <w:rsid w:val="002756FB"/>
    <w:rsid w:val="00275F2D"/>
    <w:rsid w:val="00276235"/>
    <w:rsid w:val="00276525"/>
    <w:rsid w:val="0027721D"/>
    <w:rsid w:val="002775C9"/>
    <w:rsid w:val="00277967"/>
    <w:rsid w:val="00277A2A"/>
    <w:rsid w:val="00277A8C"/>
    <w:rsid w:val="00280140"/>
    <w:rsid w:val="002801F2"/>
    <w:rsid w:val="0028055A"/>
    <w:rsid w:val="0028083F"/>
    <w:rsid w:val="00280D18"/>
    <w:rsid w:val="002812E7"/>
    <w:rsid w:val="00281431"/>
    <w:rsid w:val="00281511"/>
    <w:rsid w:val="00282191"/>
    <w:rsid w:val="00282E20"/>
    <w:rsid w:val="002834B5"/>
    <w:rsid w:val="002836F9"/>
    <w:rsid w:val="002839E6"/>
    <w:rsid w:val="00283B50"/>
    <w:rsid w:val="00283B8E"/>
    <w:rsid w:val="0028403F"/>
    <w:rsid w:val="002840F7"/>
    <w:rsid w:val="00284136"/>
    <w:rsid w:val="002841B0"/>
    <w:rsid w:val="0028437E"/>
    <w:rsid w:val="00284933"/>
    <w:rsid w:val="00284A29"/>
    <w:rsid w:val="00284B34"/>
    <w:rsid w:val="00284B98"/>
    <w:rsid w:val="0028519F"/>
    <w:rsid w:val="00285764"/>
    <w:rsid w:val="002857F9"/>
    <w:rsid w:val="00285B5F"/>
    <w:rsid w:val="00286310"/>
    <w:rsid w:val="0028651E"/>
    <w:rsid w:val="00286915"/>
    <w:rsid w:val="00286994"/>
    <w:rsid w:val="00286A4E"/>
    <w:rsid w:val="00286F58"/>
    <w:rsid w:val="00287DC0"/>
    <w:rsid w:val="00287DF5"/>
    <w:rsid w:val="00287E48"/>
    <w:rsid w:val="00290042"/>
    <w:rsid w:val="002900A8"/>
    <w:rsid w:val="002903B5"/>
    <w:rsid w:val="00290971"/>
    <w:rsid w:val="00291110"/>
    <w:rsid w:val="00291B40"/>
    <w:rsid w:val="00291CD0"/>
    <w:rsid w:val="00291D0B"/>
    <w:rsid w:val="00291F01"/>
    <w:rsid w:val="002920A7"/>
    <w:rsid w:val="002922D1"/>
    <w:rsid w:val="0029317B"/>
    <w:rsid w:val="00293244"/>
    <w:rsid w:val="002932A5"/>
    <w:rsid w:val="002932DC"/>
    <w:rsid w:val="0029366F"/>
    <w:rsid w:val="002938F1"/>
    <w:rsid w:val="002941DD"/>
    <w:rsid w:val="002944F9"/>
    <w:rsid w:val="00294CB7"/>
    <w:rsid w:val="00295AA8"/>
    <w:rsid w:val="00295F97"/>
    <w:rsid w:val="00296168"/>
    <w:rsid w:val="00296262"/>
    <w:rsid w:val="00296433"/>
    <w:rsid w:val="00296C80"/>
    <w:rsid w:val="00296CE5"/>
    <w:rsid w:val="00296CF8"/>
    <w:rsid w:val="00296FD2"/>
    <w:rsid w:val="002973A9"/>
    <w:rsid w:val="002976B0"/>
    <w:rsid w:val="00297B19"/>
    <w:rsid w:val="00297C78"/>
    <w:rsid w:val="00297D9B"/>
    <w:rsid w:val="00297E17"/>
    <w:rsid w:val="00297FAB"/>
    <w:rsid w:val="002A02DF"/>
    <w:rsid w:val="002A075C"/>
    <w:rsid w:val="002A13B7"/>
    <w:rsid w:val="002A26F7"/>
    <w:rsid w:val="002A274C"/>
    <w:rsid w:val="002A2A31"/>
    <w:rsid w:val="002A2D54"/>
    <w:rsid w:val="002A30FA"/>
    <w:rsid w:val="002A33DB"/>
    <w:rsid w:val="002A378A"/>
    <w:rsid w:val="002A3870"/>
    <w:rsid w:val="002A3C7A"/>
    <w:rsid w:val="002A3C80"/>
    <w:rsid w:val="002A3D07"/>
    <w:rsid w:val="002A4119"/>
    <w:rsid w:val="002A452D"/>
    <w:rsid w:val="002A494D"/>
    <w:rsid w:val="002A4EB3"/>
    <w:rsid w:val="002A5313"/>
    <w:rsid w:val="002A537E"/>
    <w:rsid w:val="002A55BA"/>
    <w:rsid w:val="002A6412"/>
    <w:rsid w:val="002A6C25"/>
    <w:rsid w:val="002A6F0D"/>
    <w:rsid w:val="002A6FE6"/>
    <w:rsid w:val="002A7787"/>
    <w:rsid w:val="002A7BA1"/>
    <w:rsid w:val="002A7FE8"/>
    <w:rsid w:val="002B0983"/>
    <w:rsid w:val="002B0B30"/>
    <w:rsid w:val="002B1092"/>
    <w:rsid w:val="002B1153"/>
    <w:rsid w:val="002B125A"/>
    <w:rsid w:val="002B1E2F"/>
    <w:rsid w:val="002B1E77"/>
    <w:rsid w:val="002B1F72"/>
    <w:rsid w:val="002B25C3"/>
    <w:rsid w:val="002B271F"/>
    <w:rsid w:val="002B2CD8"/>
    <w:rsid w:val="002B3094"/>
    <w:rsid w:val="002B42EC"/>
    <w:rsid w:val="002B46BE"/>
    <w:rsid w:val="002B46F4"/>
    <w:rsid w:val="002B4A4E"/>
    <w:rsid w:val="002B4B26"/>
    <w:rsid w:val="002B4E94"/>
    <w:rsid w:val="002B539B"/>
    <w:rsid w:val="002B57E8"/>
    <w:rsid w:val="002B5A37"/>
    <w:rsid w:val="002B62E0"/>
    <w:rsid w:val="002B643A"/>
    <w:rsid w:val="002B659C"/>
    <w:rsid w:val="002B687C"/>
    <w:rsid w:val="002B68B5"/>
    <w:rsid w:val="002B6C11"/>
    <w:rsid w:val="002B6DCE"/>
    <w:rsid w:val="002B7ACB"/>
    <w:rsid w:val="002B7BE0"/>
    <w:rsid w:val="002C0148"/>
    <w:rsid w:val="002C01E7"/>
    <w:rsid w:val="002C0523"/>
    <w:rsid w:val="002C05F1"/>
    <w:rsid w:val="002C0641"/>
    <w:rsid w:val="002C06BC"/>
    <w:rsid w:val="002C06DF"/>
    <w:rsid w:val="002C0A17"/>
    <w:rsid w:val="002C0E1B"/>
    <w:rsid w:val="002C0F5F"/>
    <w:rsid w:val="002C1485"/>
    <w:rsid w:val="002C18E2"/>
    <w:rsid w:val="002C191B"/>
    <w:rsid w:val="002C1CDE"/>
    <w:rsid w:val="002C1CF6"/>
    <w:rsid w:val="002C1E9E"/>
    <w:rsid w:val="002C1FD6"/>
    <w:rsid w:val="002C254B"/>
    <w:rsid w:val="002C2609"/>
    <w:rsid w:val="002C2650"/>
    <w:rsid w:val="002C27F8"/>
    <w:rsid w:val="002C2BCF"/>
    <w:rsid w:val="002C3632"/>
    <w:rsid w:val="002C3C24"/>
    <w:rsid w:val="002C3CAF"/>
    <w:rsid w:val="002C402B"/>
    <w:rsid w:val="002C488A"/>
    <w:rsid w:val="002C5025"/>
    <w:rsid w:val="002C5480"/>
    <w:rsid w:val="002C5661"/>
    <w:rsid w:val="002C59A9"/>
    <w:rsid w:val="002C59E7"/>
    <w:rsid w:val="002C62A1"/>
    <w:rsid w:val="002C62AE"/>
    <w:rsid w:val="002C6505"/>
    <w:rsid w:val="002C741A"/>
    <w:rsid w:val="002C79A1"/>
    <w:rsid w:val="002D0081"/>
    <w:rsid w:val="002D011B"/>
    <w:rsid w:val="002D0253"/>
    <w:rsid w:val="002D0421"/>
    <w:rsid w:val="002D0A84"/>
    <w:rsid w:val="002D0DFF"/>
    <w:rsid w:val="002D0F24"/>
    <w:rsid w:val="002D1008"/>
    <w:rsid w:val="002D1079"/>
    <w:rsid w:val="002D11C3"/>
    <w:rsid w:val="002D13AE"/>
    <w:rsid w:val="002D1772"/>
    <w:rsid w:val="002D1F17"/>
    <w:rsid w:val="002D2381"/>
    <w:rsid w:val="002D2450"/>
    <w:rsid w:val="002D264D"/>
    <w:rsid w:val="002D26D1"/>
    <w:rsid w:val="002D3469"/>
    <w:rsid w:val="002D357C"/>
    <w:rsid w:val="002D35E2"/>
    <w:rsid w:val="002D376B"/>
    <w:rsid w:val="002D3853"/>
    <w:rsid w:val="002D3B85"/>
    <w:rsid w:val="002D3F0A"/>
    <w:rsid w:val="002D43AE"/>
    <w:rsid w:val="002D483C"/>
    <w:rsid w:val="002D4842"/>
    <w:rsid w:val="002D487B"/>
    <w:rsid w:val="002D4ED8"/>
    <w:rsid w:val="002D4F3A"/>
    <w:rsid w:val="002D521D"/>
    <w:rsid w:val="002D56AC"/>
    <w:rsid w:val="002D5824"/>
    <w:rsid w:val="002D63AB"/>
    <w:rsid w:val="002D65F3"/>
    <w:rsid w:val="002D67A6"/>
    <w:rsid w:val="002D6BBC"/>
    <w:rsid w:val="002D6BD4"/>
    <w:rsid w:val="002D6FC8"/>
    <w:rsid w:val="002D70BE"/>
    <w:rsid w:val="002D73EE"/>
    <w:rsid w:val="002D770E"/>
    <w:rsid w:val="002D7A03"/>
    <w:rsid w:val="002D7A29"/>
    <w:rsid w:val="002D7D6F"/>
    <w:rsid w:val="002E00A1"/>
    <w:rsid w:val="002E0263"/>
    <w:rsid w:val="002E0993"/>
    <w:rsid w:val="002E1415"/>
    <w:rsid w:val="002E1429"/>
    <w:rsid w:val="002E16D9"/>
    <w:rsid w:val="002E178E"/>
    <w:rsid w:val="002E1C66"/>
    <w:rsid w:val="002E2006"/>
    <w:rsid w:val="002E224C"/>
    <w:rsid w:val="002E27D2"/>
    <w:rsid w:val="002E294C"/>
    <w:rsid w:val="002E2963"/>
    <w:rsid w:val="002E2F6F"/>
    <w:rsid w:val="002E30D0"/>
    <w:rsid w:val="002E3216"/>
    <w:rsid w:val="002E35EA"/>
    <w:rsid w:val="002E3B47"/>
    <w:rsid w:val="002E47A8"/>
    <w:rsid w:val="002E492A"/>
    <w:rsid w:val="002E4AD6"/>
    <w:rsid w:val="002E4BD8"/>
    <w:rsid w:val="002E4D7E"/>
    <w:rsid w:val="002E4EB0"/>
    <w:rsid w:val="002E52DE"/>
    <w:rsid w:val="002E54C3"/>
    <w:rsid w:val="002E550C"/>
    <w:rsid w:val="002E5A24"/>
    <w:rsid w:val="002E5D25"/>
    <w:rsid w:val="002E601A"/>
    <w:rsid w:val="002E6C1F"/>
    <w:rsid w:val="002E7160"/>
    <w:rsid w:val="002E7252"/>
    <w:rsid w:val="002E73A6"/>
    <w:rsid w:val="002E74CC"/>
    <w:rsid w:val="002E79A0"/>
    <w:rsid w:val="002E7B09"/>
    <w:rsid w:val="002E7CDC"/>
    <w:rsid w:val="002F0163"/>
    <w:rsid w:val="002F0269"/>
    <w:rsid w:val="002F0A43"/>
    <w:rsid w:val="002F0ADD"/>
    <w:rsid w:val="002F0ADE"/>
    <w:rsid w:val="002F0CAB"/>
    <w:rsid w:val="002F0EE0"/>
    <w:rsid w:val="002F0FA5"/>
    <w:rsid w:val="002F10D2"/>
    <w:rsid w:val="002F1174"/>
    <w:rsid w:val="002F131F"/>
    <w:rsid w:val="002F1A9D"/>
    <w:rsid w:val="002F20DB"/>
    <w:rsid w:val="002F2423"/>
    <w:rsid w:val="002F2B4A"/>
    <w:rsid w:val="002F2F65"/>
    <w:rsid w:val="002F334C"/>
    <w:rsid w:val="002F33DB"/>
    <w:rsid w:val="002F3493"/>
    <w:rsid w:val="002F352E"/>
    <w:rsid w:val="002F3D3D"/>
    <w:rsid w:val="002F3FF6"/>
    <w:rsid w:val="002F409F"/>
    <w:rsid w:val="002F43F0"/>
    <w:rsid w:val="002F48F4"/>
    <w:rsid w:val="002F4FE4"/>
    <w:rsid w:val="002F52D9"/>
    <w:rsid w:val="002F53E4"/>
    <w:rsid w:val="002F5AD3"/>
    <w:rsid w:val="002F5D2A"/>
    <w:rsid w:val="002F5D92"/>
    <w:rsid w:val="002F5F11"/>
    <w:rsid w:val="002F6328"/>
    <w:rsid w:val="002F673D"/>
    <w:rsid w:val="002F6AE1"/>
    <w:rsid w:val="002F6E8E"/>
    <w:rsid w:val="002F6F2E"/>
    <w:rsid w:val="002F72AA"/>
    <w:rsid w:val="002F779C"/>
    <w:rsid w:val="002F78F0"/>
    <w:rsid w:val="002F7B2C"/>
    <w:rsid w:val="00300077"/>
    <w:rsid w:val="00300503"/>
    <w:rsid w:val="00301189"/>
    <w:rsid w:val="0030163C"/>
    <w:rsid w:val="00301693"/>
    <w:rsid w:val="0030177D"/>
    <w:rsid w:val="00301A0F"/>
    <w:rsid w:val="003020C8"/>
    <w:rsid w:val="00302115"/>
    <w:rsid w:val="00302348"/>
    <w:rsid w:val="00302A7C"/>
    <w:rsid w:val="00302F7C"/>
    <w:rsid w:val="00303431"/>
    <w:rsid w:val="00303C09"/>
    <w:rsid w:val="00303F1F"/>
    <w:rsid w:val="00303F90"/>
    <w:rsid w:val="00303FA2"/>
    <w:rsid w:val="00304502"/>
    <w:rsid w:val="00304580"/>
    <w:rsid w:val="003048C3"/>
    <w:rsid w:val="00304928"/>
    <w:rsid w:val="00304B53"/>
    <w:rsid w:val="00304DE3"/>
    <w:rsid w:val="003051D8"/>
    <w:rsid w:val="003054AF"/>
    <w:rsid w:val="00305577"/>
    <w:rsid w:val="00305D9D"/>
    <w:rsid w:val="00305DB7"/>
    <w:rsid w:val="00306216"/>
    <w:rsid w:val="0030625A"/>
    <w:rsid w:val="0030688B"/>
    <w:rsid w:val="00306907"/>
    <w:rsid w:val="00306A18"/>
    <w:rsid w:val="00306A1D"/>
    <w:rsid w:val="00306B69"/>
    <w:rsid w:val="0030737E"/>
    <w:rsid w:val="003074C5"/>
    <w:rsid w:val="00307A78"/>
    <w:rsid w:val="00307AF0"/>
    <w:rsid w:val="003104AC"/>
    <w:rsid w:val="0031050C"/>
    <w:rsid w:val="003105AF"/>
    <w:rsid w:val="00310657"/>
    <w:rsid w:val="00310CB3"/>
    <w:rsid w:val="00311867"/>
    <w:rsid w:val="00311FEC"/>
    <w:rsid w:val="003122D8"/>
    <w:rsid w:val="00312439"/>
    <w:rsid w:val="00312800"/>
    <w:rsid w:val="0031293E"/>
    <w:rsid w:val="00313274"/>
    <w:rsid w:val="003138F5"/>
    <w:rsid w:val="00313EE4"/>
    <w:rsid w:val="00313FAD"/>
    <w:rsid w:val="003140E2"/>
    <w:rsid w:val="003142D6"/>
    <w:rsid w:val="00314627"/>
    <w:rsid w:val="00314790"/>
    <w:rsid w:val="003147B2"/>
    <w:rsid w:val="0031491E"/>
    <w:rsid w:val="00314985"/>
    <w:rsid w:val="00314E45"/>
    <w:rsid w:val="0031570A"/>
    <w:rsid w:val="00315933"/>
    <w:rsid w:val="00315A5F"/>
    <w:rsid w:val="00315ACF"/>
    <w:rsid w:val="00315F80"/>
    <w:rsid w:val="00316360"/>
    <w:rsid w:val="003170CC"/>
    <w:rsid w:val="00317402"/>
    <w:rsid w:val="003177E4"/>
    <w:rsid w:val="0031785C"/>
    <w:rsid w:val="00317A1F"/>
    <w:rsid w:val="00320446"/>
    <w:rsid w:val="0032060F"/>
    <w:rsid w:val="003206B8"/>
    <w:rsid w:val="00320B7C"/>
    <w:rsid w:val="00320F2E"/>
    <w:rsid w:val="0032135E"/>
    <w:rsid w:val="0032158C"/>
    <w:rsid w:val="00321709"/>
    <w:rsid w:val="0032177C"/>
    <w:rsid w:val="00321E17"/>
    <w:rsid w:val="003224B2"/>
    <w:rsid w:val="003227A5"/>
    <w:rsid w:val="00322B21"/>
    <w:rsid w:val="00323911"/>
    <w:rsid w:val="00323984"/>
    <w:rsid w:val="00323A43"/>
    <w:rsid w:val="00323B72"/>
    <w:rsid w:val="00323B92"/>
    <w:rsid w:val="00323F3D"/>
    <w:rsid w:val="0032471F"/>
    <w:rsid w:val="00324987"/>
    <w:rsid w:val="00324F61"/>
    <w:rsid w:val="00325211"/>
    <w:rsid w:val="0032562F"/>
    <w:rsid w:val="00325965"/>
    <w:rsid w:val="003261AD"/>
    <w:rsid w:val="003261CA"/>
    <w:rsid w:val="00326274"/>
    <w:rsid w:val="0032654A"/>
    <w:rsid w:val="00326A49"/>
    <w:rsid w:val="00326FA4"/>
    <w:rsid w:val="00327048"/>
    <w:rsid w:val="003271A3"/>
    <w:rsid w:val="00327944"/>
    <w:rsid w:val="00327A5F"/>
    <w:rsid w:val="00327AF5"/>
    <w:rsid w:val="00327B60"/>
    <w:rsid w:val="00327B90"/>
    <w:rsid w:val="00327CA1"/>
    <w:rsid w:val="00327FDD"/>
    <w:rsid w:val="00330056"/>
    <w:rsid w:val="003301C2"/>
    <w:rsid w:val="003302D0"/>
    <w:rsid w:val="00330386"/>
    <w:rsid w:val="00330828"/>
    <w:rsid w:val="00331056"/>
    <w:rsid w:val="003314CB"/>
    <w:rsid w:val="00331561"/>
    <w:rsid w:val="0033159B"/>
    <w:rsid w:val="00331725"/>
    <w:rsid w:val="00331D78"/>
    <w:rsid w:val="00332650"/>
    <w:rsid w:val="0033267B"/>
    <w:rsid w:val="003326AD"/>
    <w:rsid w:val="003328B1"/>
    <w:rsid w:val="00332C61"/>
    <w:rsid w:val="00332C72"/>
    <w:rsid w:val="00332E00"/>
    <w:rsid w:val="00333173"/>
    <w:rsid w:val="0033317B"/>
    <w:rsid w:val="003333D8"/>
    <w:rsid w:val="0033352A"/>
    <w:rsid w:val="003335F0"/>
    <w:rsid w:val="00333728"/>
    <w:rsid w:val="00333810"/>
    <w:rsid w:val="0033381D"/>
    <w:rsid w:val="00333A87"/>
    <w:rsid w:val="00334002"/>
    <w:rsid w:val="0033403E"/>
    <w:rsid w:val="0033404F"/>
    <w:rsid w:val="00334183"/>
    <w:rsid w:val="003346B4"/>
    <w:rsid w:val="00334755"/>
    <w:rsid w:val="00334A8E"/>
    <w:rsid w:val="00334C37"/>
    <w:rsid w:val="00335007"/>
    <w:rsid w:val="00335E76"/>
    <w:rsid w:val="00335EF8"/>
    <w:rsid w:val="00337035"/>
    <w:rsid w:val="003371C8"/>
    <w:rsid w:val="003372D3"/>
    <w:rsid w:val="00337523"/>
    <w:rsid w:val="003376E4"/>
    <w:rsid w:val="0033771D"/>
    <w:rsid w:val="003379A4"/>
    <w:rsid w:val="0034007D"/>
    <w:rsid w:val="00340207"/>
    <w:rsid w:val="003404DE"/>
    <w:rsid w:val="00340905"/>
    <w:rsid w:val="003413A6"/>
    <w:rsid w:val="00342156"/>
    <w:rsid w:val="003425DC"/>
    <w:rsid w:val="00342695"/>
    <w:rsid w:val="003429FB"/>
    <w:rsid w:val="00342DFB"/>
    <w:rsid w:val="003433EE"/>
    <w:rsid w:val="003434E8"/>
    <w:rsid w:val="00343686"/>
    <w:rsid w:val="003436A0"/>
    <w:rsid w:val="0034378E"/>
    <w:rsid w:val="00343871"/>
    <w:rsid w:val="00343951"/>
    <w:rsid w:val="003441FC"/>
    <w:rsid w:val="003446E2"/>
    <w:rsid w:val="00344837"/>
    <w:rsid w:val="00344877"/>
    <w:rsid w:val="00344C23"/>
    <w:rsid w:val="00345031"/>
    <w:rsid w:val="003450FF"/>
    <w:rsid w:val="00345439"/>
    <w:rsid w:val="003466EB"/>
    <w:rsid w:val="0034681E"/>
    <w:rsid w:val="00346889"/>
    <w:rsid w:val="00346890"/>
    <w:rsid w:val="003468E5"/>
    <w:rsid w:val="00346A4B"/>
    <w:rsid w:val="00346F3C"/>
    <w:rsid w:val="00347514"/>
    <w:rsid w:val="00347B55"/>
    <w:rsid w:val="00347B69"/>
    <w:rsid w:val="00347E1F"/>
    <w:rsid w:val="00350185"/>
    <w:rsid w:val="00350712"/>
    <w:rsid w:val="003508D6"/>
    <w:rsid w:val="0035110A"/>
    <w:rsid w:val="00351965"/>
    <w:rsid w:val="00351E7D"/>
    <w:rsid w:val="00351EFC"/>
    <w:rsid w:val="0035217E"/>
    <w:rsid w:val="0035288D"/>
    <w:rsid w:val="00352C5D"/>
    <w:rsid w:val="00352E94"/>
    <w:rsid w:val="003530AA"/>
    <w:rsid w:val="003531D8"/>
    <w:rsid w:val="00353808"/>
    <w:rsid w:val="00353EAD"/>
    <w:rsid w:val="003542A9"/>
    <w:rsid w:val="0035442D"/>
    <w:rsid w:val="00354657"/>
    <w:rsid w:val="00354802"/>
    <w:rsid w:val="00354A73"/>
    <w:rsid w:val="00355226"/>
    <w:rsid w:val="00355406"/>
    <w:rsid w:val="00355531"/>
    <w:rsid w:val="003557E8"/>
    <w:rsid w:val="00355FAA"/>
    <w:rsid w:val="00356F52"/>
    <w:rsid w:val="003571E5"/>
    <w:rsid w:val="00357412"/>
    <w:rsid w:val="00357568"/>
    <w:rsid w:val="00357AFA"/>
    <w:rsid w:val="00360521"/>
    <w:rsid w:val="003608F4"/>
    <w:rsid w:val="00360A96"/>
    <w:rsid w:val="00360CCD"/>
    <w:rsid w:val="00360E2A"/>
    <w:rsid w:val="00360FF2"/>
    <w:rsid w:val="00361352"/>
    <w:rsid w:val="003613A7"/>
    <w:rsid w:val="00361831"/>
    <w:rsid w:val="00361D63"/>
    <w:rsid w:val="00361D67"/>
    <w:rsid w:val="00362175"/>
    <w:rsid w:val="003628EC"/>
    <w:rsid w:val="003629DF"/>
    <w:rsid w:val="00362BB2"/>
    <w:rsid w:val="00362CDF"/>
    <w:rsid w:val="00362D26"/>
    <w:rsid w:val="00362E07"/>
    <w:rsid w:val="003634BE"/>
    <w:rsid w:val="003635BF"/>
    <w:rsid w:val="00363A88"/>
    <w:rsid w:val="00363C53"/>
    <w:rsid w:val="00363E7B"/>
    <w:rsid w:val="003647BF"/>
    <w:rsid w:val="0036480E"/>
    <w:rsid w:val="00365198"/>
    <w:rsid w:val="003651DA"/>
    <w:rsid w:val="0036584D"/>
    <w:rsid w:val="003658D4"/>
    <w:rsid w:val="00365A7B"/>
    <w:rsid w:val="00365BBE"/>
    <w:rsid w:val="00365E4A"/>
    <w:rsid w:val="00365F8E"/>
    <w:rsid w:val="003660F3"/>
    <w:rsid w:val="00366369"/>
    <w:rsid w:val="00366375"/>
    <w:rsid w:val="00366380"/>
    <w:rsid w:val="00366697"/>
    <w:rsid w:val="00366EC7"/>
    <w:rsid w:val="00367208"/>
    <w:rsid w:val="003676F7"/>
    <w:rsid w:val="00367D07"/>
    <w:rsid w:val="00367DD4"/>
    <w:rsid w:val="0037006B"/>
    <w:rsid w:val="00370236"/>
    <w:rsid w:val="00370C0F"/>
    <w:rsid w:val="00370C35"/>
    <w:rsid w:val="003710F6"/>
    <w:rsid w:val="00371435"/>
    <w:rsid w:val="0037160D"/>
    <w:rsid w:val="00371772"/>
    <w:rsid w:val="00371B4F"/>
    <w:rsid w:val="00371D89"/>
    <w:rsid w:val="00372140"/>
    <w:rsid w:val="003723B4"/>
    <w:rsid w:val="00372848"/>
    <w:rsid w:val="00372925"/>
    <w:rsid w:val="00372AD5"/>
    <w:rsid w:val="00372B11"/>
    <w:rsid w:val="00372B5D"/>
    <w:rsid w:val="00372C57"/>
    <w:rsid w:val="00372CC2"/>
    <w:rsid w:val="00372D1E"/>
    <w:rsid w:val="00373224"/>
    <w:rsid w:val="003732E9"/>
    <w:rsid w:val="00373A8B"/>
    <w:rsid w:val="00373B1D"/>
    <w:rsid w:val="00373B58"/>
    <w:rsid w:val="003748A8"/>
    <w:rsid w:val="00374AB0"/>
    <w:rsid w:val="00374D2D"/>
    <w:rsid w:val="00374D5F"/>
    <w:rsid w:val="003751F3"/>
    <w:rsid w:val="003753F8"/>
    <w:rsid w:val="003757EE"/>
    <w:rsid w:val="00375CBD"/>
    <w:rsid w:val="003764EA"/>
    <w:rsid w:val="00376713"/>
    <w:rsid w:val="0037686B"/>
    <w:rsid w:val="003769A3"/>
    <w:rsid w:val="0037720F"/>
    <w:rsid w:val="00377217"/>
    <w:rsid w:val="003775EA"/>
    <w:rsid w:val="00377862"/>
    <w:rsid w:val="00377AD9"/>
    <w:rsid w:val="00377FCC"/>
    <w:rsid w:val="00380079"/>
    <w:rsid w:val="003809E0"/>
    <w:rsid w:val="00380A2B"/>
    <w:rsid w:val="00380C59"/>
    <w:rsid w:val="00380E9E"/>
    <w:rsid w:val="003810E3"/>
    <w:rsid w:val="00381168"/>
    <w:rsid w:val="00381971"/>
    <w:rsid w:val="0038199D"/>
    <w:rsid w:val="00381E53"/>
    <w:rsid w:val="00381EB0"/>
    <w:rsid w:val="00382080"/>
    <w:rsid w:val="00382161"/>
    <w:rsid w:val="00382720"/>
    <w:rsid w:val="00382944"/>
    <w:rsid w:val="00382C3F"/>
    <w:rsid w:val="003836F2"/>
    <w:rsid w:val="00383BF5"/>
    <w:rsid w:val="00384012"/>
    <w:rsid w:val="003840A0"/>
    <w:rsid w:val="0038421C"/>
    <w:rsid w:val="003846B4"/>
    <w:rsid w:val="0038481C"/>
    <w:rsid w:val="0038496A"/>
    <w:rsid w:val="00384D01"/>
    <w:rsid w:val="00384D94"/>
    <w:rsid w:val="00385283"/>
    <w:rsid w:val="00385712"/>
    <w:rsid w:val="00385A64"/>
    <w:rsid w:val="00385AAF"/>
    <w:rsid w:val="00385BD1"/>
    <w:rsid w:val="00385D19"/>
    <w:rsid w:val="00385FA1"/>
    <w:rsid w:val="003861BA"/>
    <w:rsid w:val="003862E1"/>
    <w:rsid w:val="00386511"/>
    <w:rsid w:val="0038670A"/>
    <w:rsid w:val="00386972"/>
    <w:rsid w:val="00386B42"/>
    <w:rsid w:val="00386C53"/>
    <w:rsid w:val="00386E51"/>
    <w:rsid w:val="00386F94"/>
    <w:rsid w:val="00387055"/>
    <w:rsid w:val="0038780B"/>
    <w:rsid w:val="00387B73"/>
    <w:rsid w:val="00387B8B"/>
    <w:rsid w:val="003901A1"/>
    <w:rsid w:val="003901D7"/>
    <w:rsid w:val="003904E8"/>
    <w:rsid w:val="0039075C"/>
    <w:rsid w:val="00390BE5"/>
    <w:rsid w:val="003921EA"/>
    <w:rsid w:val="00392C16"/>
    <w:rsid w:val="0039304C"/>
    <w:rsid w:val="00394434"/>
    <w:rsid w:val="00394864"/>
    <w:rsid w:val="00394CBE"/>
    <w:rsid w:val="00394D14"/>
    <w:rsid w:val="00394E35"/>
    <w:rsid w:val="00395091"/>
    <w:rsid w:val="0039538A"/>
    <w:rsid w:val="0039549E"/>
    <w:rsid w:val="00395517"/>
    <w:rsid w:val="00395691"/>
    <w:rsid w:val="00395890"/>
    <w:rsid w:val="00395C0F"/>
    <w:rsid w:val="00395D7A"/>
    <w:rsid w:val="00396A80"/>
    <w:rsid w:val="00396B86"/>
    <w:rsid w:val="003970D6"/>
    <w:rsid w:val="0039722F"/>
    <w:rsid w:val="00397547"/>
    <w:rsid w:val="003975DE"/>
    <w:rsid w:val="00397877"/>
    <w:rsid w:val="0039794B"/>
    <w:rsid w:val="00397AAB"/>
    <w:rsid w:val="00397FD1"/>
    <w:rsid w:val="003A040D"/>
    <w:rsid w:val="003A0AB8"/>
    <w:rsid w:val="003A0B7A"/>
    <w:rsid w:val="003A0E5A"/>
    <w:rsid w:val="003A1352"/>
    <w:rsid w:val="003A1557"/>
    <w:rsid w:val="003A1681"/>
    <w:rsid w:val="003A182D"/>
    <w:rsid w:val="003A193E"/>
    <w:rsid w:val="003A1F59"/>
    <w:rsid w:val="003A2E4C"/>
    <w:rsid w:val="003A2EA1"/>
    <w:rsid w:val="003A368E"/>
    <w:rsid w:val="003A3EFE"/>
    <w:rsid w:val="003A40E1"/>
    <w:rsid w:val="003A410D"/>
    <w:rsid w:val="003A433C"/>
    <w:rsid w:val="003A45D0"/>
    <w:rsid w:val="003A4C4F"/>
    <w:rsid w:val="003A4F95"/>
    <w:rsid w:val="003A59A8"/>
    <w:rsid w:val="003A5A48"/>
    <w:rsid w:val="003A5F21"/>
    <w:rsid w:val="003A6162"/>
    <w:rsid w:val="003A680A"/>
    <w:rsid w:val="003A6C7A"/>
    <w:rsid w:val="003A7129"/>
    <w:rsid w:val="003A7182"/>
    <w:rsid w:val="003A736D"/>
    <w:rsid w:val="003A7A60"/>
    <w:rsid w:val="003A7C8C"/>
    <w:rsid w:val="003A7D92"/>
    <w:rsid w:val="003A7FD8"/>
    <w:rsid w:val="003B06F1"/>
    <w:rsid w:val="003B0B40"/>
    <w:rsid w:val="003B116A"/>
    <w:rsid w:val="003B1820"/>
    <w:rsid w:val="003B18FC"/>
    <w:rsid w:val="003B19B2"/>
    <w:rsid w:val="003B1A6E"/>
    <w:rsid w:val="003B1C02"/>
    <w:rsid w:val="003B1FDB"/>
    <w:rsid w:val="003B2037"/>
    <w:rsid w:val="003B21BE"/>
    <w:rsid w:val="003B22BF"/>
    <w:rsid w:val="003B259F"/>
    <w:rsid w:val="003B282A"/>
    <w:rsid w:val="003B288F"/>
    <w:rsid w:val="003B2C65"/>
    <w:rsid w:val="003B2CD2"/>
    <w:rsid w:val="003B3296"/>
    <w:rsid w:val="003B3418"/>
    <w:rsid w:val="003B3869"/>
    <w:rsid w:val="003B3E28"/>
    <w:rsid w:val="003B3ED3"/>
    <w:rsid w:val="003B40BB"/>
    <w:rsid w:val="003B4137"/>
    <w:rsid w:val="003B41AB"/>
    <w:rsid w:val="003B4865"/>
    <w:rsid w:val="003B4AE3"/>
    <w:rsid w:val="003B5338"/>
    <w:rsid w:val="003B5611"/>
    <w:rsid w:val="003B5CC0"/>
    <w:rsid w:val="003B5E43"/>
    <w:rsid w:val="003B5E6C"/>
    <w:rsid w:val="003B619D"/>
    <w:rsid w:val="003B6654"/>
    <w:rsid w:val="003B6853"/>
    <w:rsid w:val="003B6B2F"/>
    <w:rsid w:val="003B6D3B"/>
    <w:rsid w:val="003B70B7"/>
    <w:rsid w:val="003B75A2"/>
    <w:rsid w:val="003B75C5"/>
    <w:rsid w:val="003B76CD"/>
    <w:rsid w:val="003B76EA"/>
    <w:rsid w:val="003C0169"/>
    <w:rsid w:val="003C0693"/>
    <w:rsid w:val="003C0838"/>
    <w:rsid w:val="003C0850"/>
    <w:rsid w:val="003C0872"/>
    <w:rsid w:val="003C0A76"/>
    <w:rsid w:val="003C0B96"/>
    <w:rsid w:val="003C1379"/>
    <w:rsid w:val="003C196F"/>
    <w:rsid w:val="003C1CB2"/>
    <w:rsid w:val="003C1D15"/>
    <w:rsid w:val="003C21A9"/>
    <w:rsid w:val="003C22B1"/>
    <w:rsid w:val="003C26E2"/>
    <w:rsid w:val="003C2BA3"/>
    <w:rsid w:val="003C2CA6"/>
    <w:rsid w:val="003C2E0C"/>
    <w:rsid w:val="003C3107"/>
    <w:rsid w:val="003C347C"/>
    <w:rsid w:val="003C4480"/>
    <w:rsid w:val="003C54E2"/>
    <w:rsid w:val="003C5595"/>
    <w:rsid w:val="003C5EBB"/>
    <w:rsid w:val="003C62CD"/>
    <w:rsid w:val="003C6F12"/>
    <w:rsid w:val="003C7678"/>
    <w:rsid w:val="003C780E"/>
    <w:rsid w:val="003C7B40"/>
    <w:rsid w:val="003C7D55"/>
    <w:rsid w:val="003D003B"/>
    <w:rsid w:val="003D01A2"/>
    <w:rsid w:val="003D055F"/>
    <w:rsid w:val="003D0B4C"/>
    <w:rsid w:val="003D0D37"/>
    <w:rsid w:val="003D0F9C"/>
    <w:rsid w:val="003D1008"/>
    <w:rsid w:val="003D1195"/>
    <w:rsid w:val="003D136F"/>
    <w:rsid w:val="003D14BB"/>
    <w:rsid w:val="003D1505"/>
    <w:rsid w:val="003D1600"/>
    <w:rsid w:val="003D18FE"/>
    <w:rsid w:val="003D1F34"/>
    <w:rsid w:val="003D240E"/>
    <w:rsid w:val="003D285B"/>
    <w:rsid w:val="003D28C6"/>
    <w:rsid w:val="003D2B2A"/>
    <w:rsid w:val="003D2B7C"/>
    <w:rsid w:val="003D2CE5"/>
    <w:rsid w:val="003D30C9"/>
    <w:rsid w:val="003D3466"/>
    <w:rsid w:val="003D3C3E"/>
    <w:rsid w:val="003D3D76"/>
    <w:rsid w:val="003D43C8"/>
    <w:rsid w:val="003D44EC"/>
    <w:rsid w:val="003D45F2"/>
    <w:rsid w:val="003D49F6"/>
    <w:rsid w:val="003D4CF7"/>
    <w:rsid w:val="003D6287"/>
    <w:rsid w:val="003D6869"/>
    <w:rsid w:val="003D6991"/>
    <w:rsid w:val="003D7014"/>
    <w:rsid w:val="003D7850"/>
    <w:rsid w:val="003D7BAE"/>
    <w:rsid w:val="003D7F85"/>
    <w:rsid w:val="003E07FD"/>
    <w:rsid w:val="003E08CA"/>
    <w:rsid w:val="003E094B"/>
    <w:rsid w:val="003E0C96"/>
    <w:rsid w:val="003E14AD"/>
    <w:rsid w:val="003E1ECE"/>
    <w:rsid w:val="003E2096"/>
    <w:rsid w:val="003E2D26"/>
    <w:rsid w:val="003E334A"/>
    <w:rsid w:val="003E3669"/>
    <w:rsid w:val="003E396C"/>
    <w:rsid w:val="003E3BCD"/>
    <w:rsid w:val="003E407A"/>
    <w:rsid w:val="003E4497"/>
    <w:rsid w:val="003E44F5"/>
    <w:rsid w:val="003E4954"/>
    <w:rsid w:val="003E5625"/>
    <w:rsid w:val="003E5792"/>
    <w:rsid w:val="003E5950"/>
    <w:rsid w:val="003E5F64"/>
    <w:rsid w:val="003E6162"/>
    <w:rsid w:val="003E6699"/>
    <w:rsid w:val="003E68EF"/>
    <w:rsid w:val="003E6A07"/>
    <w:rsid w:val="003E6B18"/>
    <w:rsid w:val="003E6D40"/>
    <w:rsid w:val="003E6D78"/>
    <w:rsid w:val="003E6FF3"/>
    <w:rsid w:val="003E70BD"/>
    <w:rsid w:val="003E70E0"/>
    <w:rsid w:val="003E7695"/>
    <w:rsid w:val="003E76A4"/>
    <w:rsid w:val="003F02A9"/>
    <w:rsid w:val="003F063B"/>
    <w:rsid w:val="003F08E1"/>
    <w:rsid w:val="003F0A3D"/>
    <w:rsid w:val="003F117F"/>
    <w:rsid w:val="003F11CB"/>
    <w:rsid w:val="003F19A9"/>
    <w:rsid w:val="003F2217"/>
    <w:rsid w:val="003F23BA"/>
    <w:rsid w:val="003F27B7"/>
    <w:rsid w:val="003F3167"/>
    <w:rsid w:val="003F353E"/>
    <w:rsid w:val="003F3897"/>
    <w:rsid w:val="003F3E6F"/>
    <w:rsid w:val="003F3EF4"/>
    <w:rsid w:val="003F47AC"/>
    <w:rsid w:val="003F4987"/>
    <w:rsid w:val="003F4DB7"/>
    <w:rsid w:val="003F4DC2"/>
    <w:rsid w:val="003F4E0B"/>
    <w:rsid w:val="003F4EB5"/>
    <w:rsid w:val="003F52B0"/>
    <w:rsid w:val="003F55B4"/>
    <w:rsid w:val="003F5E2A"/>
    <w:rsid w:val="003F627F"/>
    <w:rsid w:val="003F637B"/>
    <w:rsid w:val="003F63BE"/>
    <w:rsid w:val="003F65D4"/>
    <w:rsid w:val="003F65F2"/>
    <w:rsid w:val="003F6D0D"/>
    <w:rsid w:val="003F6E5B"/>
    <w:rsid w:val="003F6F91"/>
    <w:rsid w:val="003F764E"/>
    <w:rsid w:val="003F7723"/>
    <w:rsid w:val="004011AD"/>
    <w:rsid w:val="004011FA"/>
    <w:rsid w:val="004014A3"/>
    <w:rsid w:val="004016C8"/>
    <w:rsid w:val="00401AC7"/>
    <w:rsid w:val="00401E92"/>
    <w:rsid w:val="00401FAB"/>
    <w:rsid w:val="00402006"/>
    <w:rsid w:val="00402052"/>
    <w:rsid w:val="00402935"/>
    <w:rsid w:val="00402A27"/>
    <w:rsid w:val="00402A65"/>
    <w:rsid w:val="00402C76"/>
    <w:rsid w:val="00403470"/>
    <w:rsid w:val="00403A7F"/>
    <w:rsid w:val="00403C7A"/>
    <w:rsid w:val="00403E47"/>
    <w:rsid w:val="00403F39"/>
    <w:rsid w:val="00404106"/>
    <w:rsid w:val="00404184"/>
    <w:rsid w:val="00404583"/>
    <w:rsid w:val="0040473F"/>
    <w:rsid w:val="00404E64"/>
    <w:rsid w:val="0040580A"/>
    <w:rsid w:val="004059DD"/>
    <w:rsid w:val="00405C29"/>
    <w:rsid w:val="00405CC0"/>
    <w:rsid w:val="00406423"/>
    <w:rsid w:val="004064BD"/>
    <w:rsid w:val="00406A66"/>
    <w:rsid w:val="00406DDE"/>
    <w:rsid w:val="00406DEB"/>
    <w:rsid w:val="0040736C"/>
    <w:rsid w:val="0040763B"/>
    <w:rsid w:val="00407BB4"/>
    <w:rsid w:val="00407E87"/>
    <w:rsid w:val="00407F23"/>
    <w:rsid w:val="00410089"/>
    <w:rsid w:val="004104E5"/>
    <w:rsid w:val="0041086C"/>
    <w:rsid w:val="004109BA"/>
    <w:rsid w:val="00410B3F"/>
    <w:rsid w:val="00411335"/>
    <w:rsid w:val="0041145C"/>
    <w:rsid w:val="00411507"/>
    <w:rsid w:val="004115E9"/>
    <w:rsid w:val="00411924"/>
    <w:rsid w:val="00411FB8"/>
    <w:rsid w:val="00412C59"/>
    <w:rsid w:val="0041354E"/>
    <w:rsid w:val="00413866"/>
    <w:rsid w:val="00413A5C"/>
    <w:rsid w:val="00413B51"/>
    <w:rsid w:val="00413E5F"/>
    <w:rsid w:val="00413F64"/>
    <w:rsid w:val="00413FF3"/>
    <w:rsid w:val="004141E0"/>
    <w:rsid w:val="00414B43"/>
    <w:rsid w:val="004151DF"/>
    <w:rsid w:val="00415929"/>
    <w:rsid w:val="00415E72"/>
    <w:rsid w:val="00415F97"/>
    <w:rsid w:val="004160F9"/>
    <w:rsid w:val="00416768"/>
    <w:rsid w:val="00416A18"/>
    <w:rsid w:val="00416BAC"/>
    <w:rsid w:val="00416C2C"/>
    <w:rsid w:val="00416F5E"/>
    <w:rsid w:val="00417C61"/>
    <w:rsid w:val="0042010B"/>
    <w:rsid w:val="0042017A"/>
    <w:rsid w:val="0042021B"/>
    <w:rsid w:val="00420758"/>
    <w:rsid w:val="0042098C"/>
    <w:rsid w:val="00420A71"/>
    <w:rsid w:val="004210C1"/>
    <w:rsid w:val="00421172"/>
    <w:rsid w:val="00421211"/>
    <w:rsid w:val="004218CD"/>
    <w:rsid w:val="00421D93"/>
    <w:rsid w:val="00421FD7"/>
    <w:rsid w:val="004220F8"/>
    <w:rsid w:val="00422459"/>
    <w:rsid w:val="00422494"/>
    <w:rsid w:val="0042274B"/>
    <w:rsid w:val="004230DD"/>
    <w:rsid w:val="004240A2"/>
    <w:rsid w:val="00424115"/>
    <w:rsid w:val="004242E9"/>
    <w:rsid w:val="004248A1"/>
    <w:rsid w:val="00424C22"/>
    <w:rsid w:val="00424E2D"/>
    <w:rsid w:val="004251CD"/>
    <w:rsid w:val="0042539E"/>
    <w:rsid w:val="00425628"/>
    <w:rsid w:val="00425AEE"/>
    <w:rsid w:val="00425F27"/>
    <w:rsid w:val="00426614"/>
    <w:rsid w:val="00426BD8"/>
    <w:rsid w:val="00426FEB"/>
    <w:rsid w:val="004271AE"/>
    <w:rsid w:val="00427897"/>
    <w:rsid w:val="00427934"/>
    <w:rsid w:val="00427B3B"/>
    <w:rsid w:val="00427F1C"/>
    <w:rsid w:val="00430290"/>
    <w:rsid w:val="004303A0"/>
    <w:rsid w:val="00430436"/>
    <w:rsid w:val="00430CC3"/>
    <w:rsid w:val="00430E48"/>
    <w:rsid w:val="00430F9B"/>
    <w:rsid w:val="00431238"/>
    <w:rsid w:val="00431F50"/>
    <w:rsid w:val="00431F75"/>
    <w:rsid w:val="004321FA"/>
    <w:rsid w:val="00432345"/>
    <w:rsid w:val="00432A49"/>
    <w:rsid w:val="00432DF2"/>
    <w:rsid w:val="00432EED"/>
    <w:rsid w:val="00433245"/>
    <w:rsid w:val="00433A04"/>
    <w:rsid w:val="00433A69"/>
    <w:rsid w:val="00433AB6"/>
    <w:rsid w:val="00433B2F"/>
    <w:rsid w:val="00433B50"/>
    <w:rsid w:val="0043400F"/>
    <w:rsid w:val="004341D4"/>
    <w:rsid w:val="0043435D"/>
    <w:rsid w:val="00434986"/>
    <w:rsid w:val="00434DCC"/>
    <w:rsid w:val="00434F37"/>
    <w:rsid w:val="00434F9B"/>
    <w:rsid w:val="00435040"/>
    <w:rsid w:val="00435668"/>
    <w:rsid w:val="00435671"/>
    <w:rsid w:val="00435A6F"/>
    <w:rsid w:val="00435A9B"/>
    <w:rsid w:val="00435BD3"/>
    <w:rsid w:val="00435CBB"/>
    <w:rsid w:val="004361D8"/>
    <w:rsid w:val="004365EF"/>
    <w:rsid w:val="00436611"/>
    <w:rsid w:val="00436B38"/>
    <w:rsid w:val="00436E61"/>
    <w:rsid w:val="00437517"/>
    <w:rsid w:val="004376E8"/>
    <w:rsid w:val="00437E8B"/>
    <w:rsid w:val="004404AE"/>
    <w:rsid w:val="00440592"/>
    <w:rsid w:val="00440642"/>
    <w:rsid w:val="0044067F"/>
    <w:rsid w:val="004406AF"/>
    <w:rsid w:val="004406E8"/>
    <w:rsid w:val="00440745"/>
    <w:rsid w:val="004407D1"/>
    <w:rsid w:val="004408D0"/>
    <w:rsid w:val="00440D88"/>
    <w:rsid w:val="004413FA"/>
    <w:rsid w:val="00441496"/>
    <w:rsid w:val="00441A98"/>
    <w:rsid w:val="00441CB4"/>
    <w:rsid w:val="00441DD6"/>
    <w:rsid w:val="00441F15"/>
    <w:rsid w:val="0044234C"/>
    <w:rsid w:val="00442514"/>
    <w:rsid w:val="0044255D"/>
    <w:rsid w:val="00442B07"/>
    <w:rsid w:val="00442C44"/>
    <w:rsid w:val="00442CE5"/>
    <w:rsid w:val="00442F3F"/>
    <w:rsid w:val="0044306D"/>
    <w:rsid w:val="004431E8"/>
    <w:rsid w:val="0044335D"/>
    <w:rsid w:val="0044352F"/>
    <w:rsid w:val="00443906"/>
    <w:rsid w:val="004439E9"/>
    <w:rsid w:val="00444073"/>
    <w:rsid w:val="00444211"/>
    <w:rsid w:val="0044439A"/>
    <w:rsid w:val="00444575"/>
    <w:rsid w:val="00444877"/>
    <w:rsid w:val="004449D7"/>
    <w:rsid w:val="00444A87"/>
    <w:rsid w:val="00444FD3"/>
    <w:rsid w:val="00445948"/>
    <w:rsid w:val="00445C67"/>
    <w:rsid w:val="004474A7"/>
    <w:rsid w:val="0044773B"/>
    <w:rsid w:val="004478B6"/>
    <w:rsid w:val="00447B84"/>
    <w:rsid w:val="004501E6"/>
    <w:rsid w:val="004502D8"/>
    <w:rsid w:val="00450887"/>
    <w:rsid w:val="00450A58"/>
    <w:rsid w:val="00450B98"/>
    <w:rsid w:val="00450C2A"/>
    <w:rsid w:val="00450E9E"/>
    <w:rsid w:val="00450F18"/>
    <w:rsid w:val="00451217"/>
    <w:rsid w:val="00451501"/>
    <w:rsid w:val="00451A84"/>
    <w:rsid w:val="00451DED"/>
    <w:rsid w:val="00452A6D"/>
    <w:rsid w:val="00452AAB"/>
    <w:rsid w:val="00452DC2"/>
    <w:rsid w:val="00453156"/>
    <w:rsid w:val="00454030"/>
    <w:rsid w:val="0045423B"/>
    <w:rsid w:val="004545F9"/>
    <w:rsid w:val="00454BEF"/>
    <w:rsid w:val="00455067"/>
    <w:rsid w:val="004554AF"/>
    <w:rsid w:val="004559EC"/>
    <w:rsid w:val="004559F4"/>
    <w:rsid w:val="00455C07"/>
    <w:rsid w:val="00455C24"/>
    <w:rsid w:val="00455D67"/>
    <w:rsid w:val="00455F1E"/>
    <w:rsid w:val="004568E2"/>
    <w:rsid w:val="00456B81"/>
    <w:rsid w:val="004572C2"/>
    <w:rsid w:val="0045737F"/>
    <w:rsid w:val="004574B4"/>
    <w:rsid w:val="00457619"/>
    <w:rsid w:val="00457662"/>
    <w:rsid w:val="00457958"/>
    <w:rsid w:val="00457CFA"/>
    <w:rsid w:val="00457D84"/>
    <w:rsid w:val="00457EA2"/>
    <w:rsid w:val="00460057"/>
    <w:rsid w:val="004600B7"/>
    <w:rsid w:val="0046025B"/>
    <w:rsid w:val="004602FA"/>
    <w:rsid w:val="00460B2F"/>
    <w:rsid w:val="00460DAD"/>
    <w:rsid w:val="00460EBC"/>
    <w:rsid w:val="00460F63"/>
    <w:rsid w:val="00461053"/>
    <w:rsid w:val="0046111F"/>
    <w:rsid w:val="00461456"/>
    <w:rsid w:val="00461611"/>
    <w:rsid w:val="00461F4B"/>
    <w:rsid w:val="00461F83"/>
    <w:rsid w:val="00462435"/>
    <w:rsid w:val="00462A9D"/>
    <w:rsid w:val="00462E85"/>
    <w:rsid w:val="00462FF4"/>
    <w:rsid w:val="0046344A"/>
    <w:rsid w:val="00463997"/>
    <w:rsid w:val="00464136"/>
    <w:rsid w:val="004642FA"/>
    <w:rsid w:val="00464F6E"/>
    <w:rsid w:val="004652FB"/>
    <w:rsid w:val="0046561D"/>
    <w:rsid w:val="00465959"/>
    <w:rsid w:val="00465C9F"/>
    <w:rsid w:val="0046618C"/>
    <w:rsid w:val="00466195"/>
    <w:rsid w:val="004662BE"/>
    <w:rsid w:val="00466915"/>
    <w:rsid w:val="00466A52"/>
    <w:rsid w:val="00466A95"/>
    <w:rsid w:val="00467244"/>
    <w:rsid w:val="00467529"/>
    <w:rsid w:val="00467E37"/>
    <w:rsid w:val="004715D7"/>
    <w:rsid w:val="00471707"/>
    <w:rsid w:val="00471833"/>
    <w:rsid w:val="0047192F"/>
    <w:rsid w:val="0047198B"/>
    <w:rsid w:val="00472168"/>
    <w:rsid w:val="004721AF"/>
    <w:rsid w:val="00472FAE"/>
    <w:rsid w:val="004730BD"/>
    <w:rsid w:val="004731BB"/>
    <w:rsid w:val="00473CEC"/>
    <w:rsid w:val="00473FC3"/>
    <w:rsid w:val="00474081"/>
    <w:rsid w:val="00474107"/>
    <w:rsid w:val="0047423D"/>
    <w:rsid w:val="004746A8"/>
    <w:rsid w:val="00474B08"/>
    <w:rsid w:val="00474C03"/>
    <w:rsid w:val="00474FCD"/>
    <w:rsid w:val="004751A7"/>
    <w:rsid w:val="004755E1"/>
    <w:rsid w:val="004757FC"/>
    <w:rsid w:val="00475B1D"/>
    <w:rsid w:val="00475E09"/>
    <w:rsid w:val="00475E6E"/>
    <w:rsid w:val="00475F1D"/>
    <w:rsid w:val="004761EF"/>
    <w:rsid w:val="0047622B"/>
    <w:rsid w:val="00476306"/>
    <w:rsid w:val="00476980"/>
    <w:rsid w:val="00476CEA"/>
    <w:rsid w:val="00476E59"/>
    <w:rsid w:val="00476F0A"/>
    <w:rsid w:val="00476FE4"/>
    <w:rsid w:val="00477204"/>
    <w:rsid w:val="00477C49"/>
    <w:rsid w:val="00477DB8"/>
    <w:rsid w:val="00480266"/>
    <w:rsid w:val="004806BD"/>
    <w:rsid w:val="004808C3"/>
    <w:rsid w:val="00480AC9"/>
    <w:rsid w:val="00480DB1"/>
    <w:rsid w:val="00480F90"/>
    <w:rsid w:val="00481207"/>
    <w:rsid w:val="0048153C"/>
    <w:rsid w:val="0048154E"/>
    <w:rsid w:val="0048163B"/>
    <w:rsid w:val="00481E0A"/>
    <w:rsid w:val="00482261"/>
    <w:rsid w:val="00482771"/>
    <w:rsid w:val="004829C7"/>
    <w:rsid w:val="00482E76"/>
    <w:rsid w:val="00483091"/>
    <w:rsid w:val="004831D6"/>
    <w:rsid w:val="0048373B"/>
    <w:rsid w:val="0048398E"/>
    <w:rsid w:val="00483A8C"/>
    <w:rsid w:val="00483DB9"/>
    <w:rsid w:val="00484043"/>
    <w:rsid w:val="00484863"/>
    <w:rsid w:val="00484AD1"/>
    <w:rsid w:val="00484B8C"/>
    <w:rsid w:val="004851A4"/>
    <w:rsid w:val="00485751"/>
    <w:rsid w:val="0048584F"/>
    <w:rsid w:val="00485D53"/>
    <w:rsid w:val="00486244"/>
    <w:rsid w:val="0048631E"/>
    <w:rsid w:val="004863FC"/>
    <w:rsid w:val="0048659D"/>
    <w:rsid w:val="00486A1A"/>
    <w:rsid w:val="00486F73"/>
    <w:rsid w:val="00486FA8"/>
    <w:rsid w:val="00487381"/>
    <w:rsid w:val="00487756"/>
    <w:rsid w:val="00487844"/>
    <w:rsid w:val="00487FD2"/>
    <w:rsid w:val="0049001D"/>
    <w:rsid w:val="00490060"/>
    <w:rsid w:val="0049045A"/>
    <w:rsid w:val="00490498"/>
    <w:rsid w:val="004908D0"/>
    <w:rsid w:val="00490D12"/>
    <w:rsid w:val="00490EBD"/>
    <w:rsid w:val="004915B7"/>
    <w:rsid w:val="00491945"/>
    <w:rsid w:val="00491E3B"/>
    <w:rsid w:val="00491F35"/>
    <w:rsid w:val="0049237B"/>
    <w:rsid w:val="004925BA"/>
    <w:rsid w:val="00493116"/>
    <w:rsid w:val="0049335A"/>
    <w:rsid w:val="0049367B"/>
    <w:rsid w:val="00493CBA"/>
    <w:rsid w:val="00493DC4"/>
    <w:rsid w:val="00493ED7"/>
    <w:rsid w:val="004949A8"/>
    <w:rsid w:val="00494C7E"/>
    <w:rsid w:val="00495352"/>
    <w:rsid w:val="004953CE"/>
    <w:rsid w:val="004955BF"/>
    <w:rsid w:val="004956A1"/>
    <w:rsid w:val="00495D34"/>
    <w:rsid w:val="00495E15"/>
    <w:rsid w:val="00495E1F"/>
    <w:rsid w:val="004969E8"/>
    <w:rsid w:val="00496B65"/>
    <w:rsid w:val="00496D09"/>
    <w:rsid w:val="00496DBE"/>
    <w:rsid w:val="004971C2"/>
    <w:rsid w:val="00497649"/>
    <w:rsid w:val="0049777B"/>
    <w:rsid w:val="004977C4"/>
    <w:rsid w:val="0049787D"/>
    <w:rsid w:val="00497933"/>
    <w:rsid w:val="004A06F9"/>
    <w:rsid w:val="004A0A8B"/>
    <w:rsid w:val="004A0E6B"/>
    <w:rsid w:val="004A1525"/>
    <w:rsid w:val="004A1C6E"/>
    <w:rsid w:val="004A1C7A"/>
    <w:rsid w:val="004A1E12"/>
    <w:rsid w:val="004A1EB0"/>
    <w:rsid w:val="004A2AFB"/>
    <w:rsid w:val="004A2D8B"/>
    <w:rsid w:val="004A2EEE"/>
    <w:rsid w:val="004A354F"/>
    <w:rsid w:val="004A35C8"/>
    <w:rsid w:val="004A379B"/>
    <w:rsid w:val="004A3E2A"/>
    <w:rsid w:val="004A3E42"/>
    <w:rsid w:val="004A41DB"/>
    <w:rsid w:val="004A42DC"/>
    <w:rsid w:val="004A43F9"/>
    <w:rsid w:val="004A4498"/>
    <w:rsid w:val="004A4C5B"/>
    <w:rsid w:val="004A51D3"/>
    <w:rsid w:val="004A525C"/>
    <w:rsid w:val="004A5526"/>
    <w:rsid w:val="004A59B0"/>
    <w:rsid w:val="004A5A4B"/>
    <w:rsid w:val="004A5E0E"/>
    <w:rsid w:val="004A6286"/>
    <w:rsid w:val="004A63A1"/>
    <w:rsid w:val="004A6A65"/>
    <w:rsid w:val="004A741D"/>
    <w:rsid w:val="004A7563"/>
    <w:rsid w:val="004A7DF5"/>
    <w:rsid w:val="004B0181"/>
    <w:rsid w:val="004B01BE"/>
    <w:rsid w:val="004B0746"/>
    <w:rsid w:val="004B0996"/>
    <w:rsid w:val="004B1194"/>
    <w:rsid w:val="004B1815"/>
    <w:rsid w:val="004B1B74"/>
    <w:rsid w:val="004B1DE1"/>
    <w:rsid w:val="004B1E66"/>
    <w:rsid w:val="004B1FC8"/>
    <w:rsid w:val="004B25B5"/>
    <w:rsid w:val="004B25BF"/>
    <w:rsid w:val="004B25CA"/>
    <w:rsid w:val="004B25F6"/>
    <w:rsid w:val="004B263A"/>
    <w:rsid w:val="004B265A"/>
    <w:rsid w:val="004B29F9"/>
    <w:rsid w:val="004B2D22"/>
    <w:rsid w:val="004B2E9E"/>
    <w:rsid w:val="004B2F05"/>
    <w:rsid w:val="004B2F94"/>
    <w:rsid w:val="004B321C"/>
    <w:rsid w:val="004B333C"/>
    <w:rsid w:val="004B3C52"/>
    <w:rsid w:val="004B4BA1"/>
    <w:rsid w:val="004B51DA"/>
    <w:rsid w:val="004B54E3"/>
    <w:rsid w:val="004B5619"/>
    <w:rsid w:val="004B5F2D"/>
    <w:rsid w:val="004B6065"/>
    <w:rsid w:val="004B6409"/>
    <w:rsid w:val="004B777F"/>
    <w:rsid w:val="004B7DFE"/>
    <w:rsid w:val="004B7E54"/>
    <w:rsid w:val="004B7F15"/>
    <w:rsid w:val="004C0038"/>
    <w:rsid w:val="004C03E8"/>
    <w:rsid w:val="004C04A0"/>
    <w:rsid w:val="004C07FF"/>
    <w:rsid w:val="004C0A99"/>
    <w:rsid w:val="004C0FD7"/>
    <w:rsid w:val="004C17DD"/>
    <w:rsid w:val="004C235E"/>
    <w:rsid w:val="004C2AE4"/>
    <w:rsid w:val="004C35C5"/>
    <w:rsid w:val="004C36BE"/>
    <w:rsid w:val="004C3898"/>
    <w:rsid w:val="004C39AD"/>
    <w:rsid w:val="004C3DF3"/>
    <w:rsid w:val="004C3EDB"/>
    <w:rsid w:val="004C3F28"/>
    <w:rsid w:val="004C3F99"/>
    <w:rsid w:val="004C44DE"/>
    <w:rsid w:val="004C4B5F"/>
    <w:rsid w:val="004C4C03"/>
    <w:rsid w:val="004C5157"/>
    <w:rsid w:val="004C51C0"/>
    <w:rsid w:val="004C51F6"/>
    <w:rsid w:val="004C54B8"/>
    <w:rsid w:val="004C694E"/>
    <w:rsid w:val="004C6D17"/>
    <w:rsid w:val="004C6DA8"/>
    <w:rsid w:val="004C708D"/>
    <w:rsid w:val="004C71D4"/>
    <w:rsid w:val="004C7421"/>
    <w:rsid w:val="004C7CBA"/>
    <w:rsid w:val="004D007D"/>
    <w:rsid w:val="004D0445"/>
    <w:rsid w:val="004D06E0"/>
    <w:rsid w:val="004D06E1"/>
    <w:rsid w:val="004D0758"/>
    <w:rsid w:val="004D0DF2"/>
    <w:rsid w:val="004D0F98"/>
    <w:rsid w:val="004D108E"/>
    <w:rsid w:val="004D1171"/>
    <w:rsid w:val="004D1417"/>
    <w:rsid w:val="004D144E"/>
    <w:rsid w:val="004D145A"/>
    <w:rsid w:val="004D1466"/>
    <w:rsid w:val="004D1CF7"/>
    <w:rsid w:val="004D1D1B"/>
    <w:rsid w:val="004D1DB5"/>
    <w:rsid w:val="004D25A5"/>
    <w:rsid w:val="004D2C62"/>
    <w:rsid w:val="004D2D15"/>
    <w:rsid w:val="004D3036"/>
    <w:rsid w:val="004D32CD"/>
    <w:rsid w:val="004D3BA8"/>
    <w:rsid w:val="004D3FB5"/>
    <w:rsid w:val="004D4869"/>
    <w:rsid w:val="004D49AD"/>
    <w:rsid w:val="004D4B87"/>
    <w:rsid w:val="004D4B90"/>
    <w:rsid w:val="004D56CB"/>
    <w:rsid w:val="004D56FB"/>
    <w:rsid w:val="004D620C"/>
    <w:rsid w:val="004D6957"/>
    <w:rsid w:val="004D7201"/>
    <w:rsid w:val="004D72CF"/>
    <w:rsid w:val="004D7535"/>
    <w:rsid w:val="004D76E6"/>
    <w:rsid w:val="004D7F94"/>
    <w:rsid w:val="004E0837"/>
    <w:rsid w:val="004E09C7"/>
    <w:rsid w:val="004E0F15"/>
    <w:rsid w:val="004E1161"/>
    <w:rsid w:val="004E1183"/>
    <w:rsid w:val="004E11F1"/>
    <w:rsid w:val="004E1D6D"/>
    <w:rsid w:val="004E2698"/>
    <w:rsid w:val="004E28D6"/>
    <w:rsid w:val="004E340B"/>
    <w:rsid w:val="004E352D"/>
    <w:rsid w:val="004E39BE"/>
    <w:rsid w:val="004E3A36"/>
    <w:rsid w:val="004E3BE1"/>
    <w:rsid w:val="004E3DFB"/>
    <w:rsid w:val="004E402E"/>
    <w:rsid w:val="004E46D5"/>
    <w:rsid w:val="004E4AD8"/>
    <w:rsid w:val="004E4C7D"/>
    <w:rsid w:val="004E58CE"/>
    <w:rsid w:val="004E5C82"/>
    <w:rsid w:val="004E5CBD"/>
    <w:rsid w:val="004E5CE5"/>
    <w:rsid w:val="004E5D38"/>
    <w:rsid w:val="004E5F0B"/>
    <w:rsid w:val="004E5FD4"/>
    <w:rsid w:val="004E635D"/>
    <w:rsid w:val="004E66F6"/>
    <w:rsid w:val="004E6A27"/>
    <w:rsid w:val="004E6BD3"/>
    <w:rsid w:val="004E7420"/>
    <w:rsid w:val="004E7716"/>
    <w:rsid w:val="004E777B"/>
    <w:rsid w:val="004E7BE6"/>
    <w:rsid w:val="004E7C34"/>
    <w:rsid w:val="004F071B"/>
    <w:rsid w:val="004F078D"/>
    <w:rsid w:val="004F09B3"/>
    <w:rsid w:val="004F0F8D"/>
    <w:rsid w:val="004F1252"/>
    <w:rsid w:val="004F137B"/>
    <w:rsid w:val="004F13BB"/>
    <w:rsid w:val="004F149F"/>
    <w:rsid w:val="004F170C"/>
    <w:rsid w:val="004F1912"/>
    <w:rsid w:val="004F195C"/>
    <w:rsid w:val="004F1A99"/>
    <w:rsid w:val="004F1C3C"/>
    <w:rsid w:val="004F23EF"/>
    <w:rsid w:val="004F2597"/>
    <w:rsid w:val="004F25F9"/>
    <w:rsid w:val="004F2C02"/>
    <w:rsid w:val="004F2FC3"/>
    <w:rsid w:val="004F368D"/>
    <w:rsid w:val="004F3762"/>
    <w:rsid w:val="004F3BB8"/>
    <w:rsid w:val="004F40E9"/>
    <w:rsid w:val="004F42F4"/>
    <w:rsid w:val="004F432C"/>
    <w:rsid w:val="004F4F02"/>
    <w:rsid w:val="004F56F3"/>
    <w:rsid w:val="004F5B9C"/>
    <w:rsid w:val="004F5C72"/>
    <w:rsid w:val="004F5E2B"/>
    <w:rsid w:val="004F6083"/>
    <w:rsid w:val="004F6989"/>
    <w:rsid w:val="004F6B76"/>
    <w:rsid w:val="004F759D"/>
    <w:rsid w:val="004F7797"/>
    <w:rsid w:val="0050011F"/>
    <w:rsid w:val="005001B9"/>
    <w:rsid w:val="00500852"/>
    <w:rsid w:val="00500E1C"/>
    <w:rsid w:val="005011E2"/>
    <w:rsid w:val="0050131B"/>
    <w:rsid w:val="005013D1"/>
    <w:rsid w:val="005013E3"/>
    <w:rsid w:val="005019E0"/>
    <w:rsid w:val="00501FCA"/>
    <w:rsid w:val="00502046"/>
    <w:rsid w:val="005022AA"/>
    <w:rsid w:val="0050261A"/>
    <w:rsid w:val="00502C4B"/>
    <w:rsid w:val="0050347B"/>
    <w:rsid w:val="00503572"/>
    <w:rsid w:val="0050367A"/>
    <w:rsid w:val="0050383D"/>
    <w:rsid w:val="00503DCB"/>
    <w:rsid w:val="00503E49"/>
    <w:rsid w:val="005043ED"/>
    <w:rsid w:val="005048A3"/>
    <w:rsid w:val="005048EF"/>
    <w:rsid w:val="00504A3D"/>
    <w:rsid w:val="00504AE5"/>
    <w:rsid w:val="00504C4E"/>
    <w:rsid w:val="00504C99"/>
    <w:rsid w:val="00505118"/>
    <w:rsid w:val="005051A5"/>
    <w:rsid w:val="00505E26"/>
    <w:rsid w:val="00505F1B"/>
    <w:rsid w:val="005060E5"/>
    <w:rsid w:val="00506361"/>
    <w:rsid w:val="005063B6"/>
    <w:rsid w:val="005065E8"/>
    <w:rsid w:val="0050674B"/>
    <w:rsid w:val="005067F8"/>
    <w:rsid w:val="0050690C"/>
    <w:rsid w:val="0050709B"/>
    <w:rsid w:val="0050773E"/>
    <w:rsid w:val="005077BE"/>
    <w:rsid w:val="00507819"/>
    <w:rsid w:val="0050784E"/>
    <w:rsid w:val="005078B0"/>
    <w:rsid w:val="00507DD4"/>
    <w:rsid w:val="0051038E"/>
    <w:rsid w:val="00510677"/>
    <w:rsid w:val="0051074F"/>
    <w:rsid w:val="00510874"/>
    <w:rsid w:val="00510912"/>
    <w:rsid w:val="00510977"/>
    <w:rsid w:val="00510A67"/>
    <w:rsid w:val="00510AA6"/>
    <w:rsid w:val="00510BCB"/>
    <w:rsid w:val="00510FD6"/>
    <w:rsid w:val="0051129A"/>
    <w:rsid w:val="005115AA"/>
    <w:rsid w:val="00511DE0"/>
    <w:rsid w:val="00511E06"/>
    <w:rsid w:val="00512926"/>
    <w:rsid w:val="00512A5D"/>
    <w:rsid w:val="005131B1"/>
    <w:rsid w:val="005134C3"/>
    <w:rsid w:val="005137FD"/>
    <w:rsid w:val="005139B0"/>
    <w:rsid w:val="00513D09"/>
    <w:rsid w:val="00514024"/>
    <w:rsid w:val="005140A8"/>
    <w:rsid w:val="0051418E"/>
    <w:rsid w:val="0051430A"/>
    <w:rsid w:val="00514480"/>
    <w:rsid w:val="00514579"/>
    <w:rsid w:val="005149A6"/>
    <w:rsid w:val="00514FAF"/>
    <w:rsid w:val="0051535A"/>
    <w:rsid w:val="005153B9"/>
    <w:rsid w:val="005153BF"/>
    <w:rsid w:val="00515479"/>
    <w:rsid w:val="00515AF0"/>
    <w:rsid w:val="00515E93"/>
    <w:rsid w:val="00516159"/>
    <w:rsid w:val="00516AFC"/>
    <w:rsid w:val="00516C08"/>
    <w:rsid w:val="00516C3A"/>
    <w:rsid w:val="00516C4E"/>
    <w:rsid w:val="00516E07"/>
    <w:rsid w:val="0051701C"/>
    <w:rsid w:val="005175E1"/>
    <w:rsid w:val="0051784D"/>
    <w:rsid w:val="00517A4E"/>
    <w:rsid w:val="00517BE0"/>
    <w:rsid w:val="00517EC3"/>
    <w:rsid w:val="00520151"/>
    <w:rsid w:val="00520267"/>
    <w:rsid w:val="0052045B"/>
    <w:rsid w:val="005206ED"/>
    <w:rsid w:val="00520959"/>
    <w:rsid w:val="00520B7B"/>
    <w:rsid w:val="00520F16"/>
    <w:rsid w:val="005216D6"/>
    <w:rsid w:val="0052171D"/>
    <w:rsid w:val="0052181D"/>
    <w:rsid w:val="00521952"/>
    <w:rsid w:val="00521A40"/>
    <w:rsid w:val="00521BBB"/>
    <w:rsid w:val="00521E6B"/>
    <w:rsid w:val="00521F22"/>
    <w:rsid w:val="00522046"/>
    <w:rsid w:val="00522493"/>
    <w:rsid w:val="00522B14"/>
    <w:rsid w:val="005238E4"/>
    <w:rsid w:val="00523D77"/>
    <w:rsid w:val="00524208"/>
    <w:rsid w:val="0052439F"/>
    <w:rsid w:val="00524588"/>
    <w:rsid w:val="005248D4"/>
    <w:rsid w:val="005248FD"/>
    <w:rsid w:val="00524CEB"/>
    <w:rsid w:val="00524D2E"/>
    <w:rsid w:val="00524EBB"/>
    <w:rsid w:val="005252FF"/>
    <w:rsid w:val="005253F5"/>
    <w:rsid w:val="00525599"/>
    <w:rsid w:val="00525E8C"/>
    <w:rsid w:val="00525EBE"/>
    <w:rsid w:val="00526715"/>
    <w:rsid w:val="00526B8C"/>
    <w:rsid w:val="00526F54"/>
    <w:rsid w:val="0052727E"/>
    <w:rsid w:val="0052749D"/>
    <w:rsid w:val="00527639"/>
    <w:rsid w:val="0052791B"/>
    <w:rsid w:val="00527945"/>
    <w:rsid w:val="00527A3D"/>
    <w:rsid w:val="00530273"/>
    <w:rsid w:val="005306FC"/>
    <w:rsid w:val="00530A0E"/>
    <w:rsid w:val="00530A60"/>
    <w:rsid w:val="00530D89"/>
    <w:rsid w:val="00530D9F"/>
    <w:rsid w:val="00531AD1"/>
    <w:rsid w:val="0053215D"/>
    <w:rsid w:val="00532397"/>
    <w:rsid w:val="00532563"/>
    <w:rsid w:val="005326D9"/>
    <w:rsid w:val="00532700"/>
    <w:rsid w:val="005327BD"/>
    <w:rsid w:val="00532EAB"/>
    <w:rsid w:val="005334AC"/>
    <w:rsid w:val="0053399A"/>
    <w:rsid w:val="00533F23"/>
    <w:rsid w:val="0053429F"/>
    <w:rsid w:val="00534505"/>
    <w:rsid w:val="0053481E"/>
    <w:rsid w:val="00534E8F"/>
    <w:rsid w:val="005351EC"/>
    <w:rsid w:val="005356B4"/>
    <w:rsid w:val="005357EB"/>
    <w:rsid w:val="00535D4C"/>
    <w:rsid w:val="00536010"/>
    <w:rsid w:val="00536304"/>
    <w:rsid w:val="00536929"/>
    <w:rsid w:val="005369E3"/>
    <w:rsid w:val="00536A97"/>
    <w:rsid w:val="00537417"/>
    <w:rsid w:val="005375DB"/>
    <w:rsid w:val="00537758"/>
    <w:rsid w:val="005377F4"/>
    <w:rsid w:val="00537971"/>
    <w:rsid w:val="00537ADD"/>
    <w:rsid w:val="00540402"/>
    <w:rsid w:val="00541485"/>
    <w:rsid w:val="005414C9"/>
    <w:rsid w:val="005417B6"/>
    <w:rsid w:val="00541BF6"/>
    <w:rsid w:val="00541C4B"/>
    <w:rsid w:val="00541C7A"/>
    <w:rsid w:val="00541CBC"/>
    <w:rsid w:val="00541CF6"/>
    <w:rsid w:val="00541FCB"/>
    <w:rsid w:val="00541FD7"/>
    <w:rsid w:val="00542074"/>
    <w:rsid w:val="00542422"/>
    <w:rsid w:val="00542FB3"/>
    <w:rsid w:val="0054346F"/>
    <w:rsid w:val="00544795"/>
    <w:rsid w:val="005447B6"/>
    <w:rsid w:val="00544A1E"/>
    <w:rsid w:val="00544B57"/>
    <w:rsid w:val="0054529C"/>
    <w:rsid w:val="005454C2"/>
    <w:rsid w:val="005455BD"/>
    <w:rsid w:val="005456D9"/>
    <w:rsid w:val="00546137"/>
    <w:rsid w:val="005467E5"/>
    <w:rsid w:val="0054688A"/>
    <w:rsid w:val="00546904"/>
    <w:rsid w:val="005469EC"/>
    <w:rsid w:val="00546C83"/>
    <w:rsid w:val="00547126"/>
    <w:rsid w:val="005473D4"/>
    <w:rsid w:val="005474C2"/>
    <w:rsid w:val="00547B03"/>
    <w:rsid w:val="00547CDB"/>
    <w:rsid w:val="00547E1C"/>
    <w:rsid w:val="00547FA1"/>
    <w:rsid w:val="0055055A"/>
    <w:rsid w:val="00551335"/>
    <w:rsid w:val="00551458"/>
    <w:rsid w:val="00551525"/>
    <w:rsid w:val="00551FD0"/>
    <w:rsid w:val="00552204"/>
    <w:rsid w:val="00552319"/>
    <w:rsid w:val="00552830"/>
    <w:rsid w:val="005532BB"/>
    <w:rsid w:val="0055338A"/>
    <w:rsid w:val="00553506"/>
    <w:rsid w:val="00553536"/>
    <w:rsid w:val="00553872"/>
    <w:rsid w:val="00553BEA"/>
    <w:rsid w:val="0055460D"/>
    <w:rsid w:val="00554784"/>
    <w:rsid w:val="00555228"/>
    <w:rsid w:val="0055545D"/>
    <w:rsid w:val="0055571C"/>
    <w:rsid w:val="00555909"/>
    <w:rsid w:val="00555A4D"/>
    <w:rsid w:val="00555B59"/>
    <w:rsid w:val="00555B90"/>
    <w:rsid w:val="005561C1"/>
    <w:rsid w:val="005564F8"/>
    <w:rsid w:val="00556C5F"/>
    <w:rsid w:val="00556D5F"/>
    <w:rsid w:val="00556DB0"/>
    <w:rsid w:val="0055707B"/>
    <w:rsid w:val="005574F4"/>
    <w:rsid w:val="005574FE"/>
    <w:rsid w:val="005575FE"/>
    <w:rsid w:val="0055768E"/>
    <w:rsid w:val="00557B17"/>
    <w:rsid w:val="00557B7C"/>
    <w:rsid w:val="00557C48"/>
    <w:rsid w:val="005601A0"/>
    <w:rsid w:val="00560727"/>
    <w:rsid w:val="00560C49"/>
    <w:rsid w:val="00560C60"/>
    <w:rsid w:val="00560D8C"/>
    <w:rsid w:val="00560FE9"/>
    <w:rsid w:val="0056157D"/>
    <w:rsid w:val="0056163F"/>
    <w:rsid w:val="00561E48"/>
    <w:rsid w:val="00562262"/>
    <w:rsid w:val="005622A9"/>
    <w:rsid w:val="0056240D"/>
    <w:rsid w:val="00562DC1"/>
    <w:rsid w:val="00563271"/>
    <w:rsid w:val="005633A6"/>
    <w:rsid w:val="00563699"/>
    <w:rsid w:val="0056385B"/>
    <w:rsid w:val="00563A87"/>
    <w:rsid w:val="00563C5A"/>
    <w:rsid w:val="00563D48"/>
    <w:rsid w:val="00563F68"/>
    <w:rsid w:val="005648A5"/>
    <w:rsid w:val="005649E2"/>
    <w:rsid w:val="00564BAE"/>
    <w:rsid w:val="00565B69"/>
    <w:rsid w:val="0056602C"/>
    <w:rsid w:val="00566150"/>
    <w:rsid w:val="00566189"/>
    <w:rsid w:val="005674A1"/>
    <w:rsid w:val="0056781A"/>
    <w:rsid w:val="00567D44"/>
    <w:rsid w:val="00570412"/>
    <w:rsid w:val="00570A4F"/>
    <w:rsid w:val="00570D2A"/>
    <w:rsid w:val="00570D9E"/>
    <w:rsid w:val="00571025"/>
    <w:rsid w:val="005710FB"/>
    <w:rsid w:val="00571189"/>
    <w:rsid w:val="005714A1"/>
    <w:rsid w:val="005714B2"/>
    <w:rsid w:val="0057183C"/>
    <w:rsid w:val="0057191E"/>
    <w:rsid w:val="00571B54"/>
    <w:rsid w:val="00571D5A"/>
    <w:rsid w:val="00571F91"/>
    <w:rsid w:val="005724F6"/>
    <w:rsid w:val="005726AD"/>
    <w:rsid w:val="005727A5"/>
    <w:rsid w:val="005727AE"/>
    <w:rsid w:val="00572899"/>
    <w:rsid w:val="00572AF4"/>
    <w:rsid w:val="00572B19"/>
    <w:rsid w:val="00572B36"/>
    <w:rsid w:val="005730B3"/>
    <w:rsid w:val="0057341F"/>
    <w:rsid w:val="005737EE"/>
    <w:rsid w:val="00573E9A"/>
    <w:rsid w:val="00573F0A"/>
    <w:rsid w:val="00574580"/>
    <w:rsid w:val="005750B3"/>
    <w:rsid w:val="005758BE"/>
    <w:rsid w:val="00575C2E"/>
    <w:rsid w:val="00575FC8"/>
    <w:rsid w:val="0057625A"/>
    <w:rsid w:val="005766D6"/>
    <w:rsid w:val="00576802"/>
    <w:rsid w:val="005774EE"/>
    <w:rsid w:val="00577E34"/>
    <w:rsid w:val="005806FA"/>
    <w:rsid w:val="00580858"/>
    <w:rsid w:val="00580888"/>
    <w:rsid w:val="00580DD1"/>
    <w:rsid w:val="005810D1"/>
    <w:rsid w:val="005815C2"/>
    <w:rsid w:val="005815E4"/>
    <w:rsid w:val="0058188E"/>
    <w:rsid w:val="00581D12"/>
    <w:rsid w:val="00581E84"/>
    <w:rsid w:val="0058213E"/>
    <w:rsid w:val="00582660"/>
    <w:rsid w:val="0058269C"/>
    <w:rsid w:val="0058274F"/>
    <w:rsid w:val="00582785"/>
    <w:rsid w:val="00583256"/>
    <w:rsid w:val="00583575"/>
    <w:rsid w:val="00583BDB"/>
    <w:rsid w:val="00583DE2"/>
    <w:rsid w:val="005848FA"/>
    <w:rsid w:val="00584969"/>
    <w:rsid w:val="00584A0E"/>
    <w:rsid w:val="00584AB2"/>
    <w:rsid w:val="00584C27"/>
    <w:rsid w:val="00584D5F"/>
    <w:rsid w:val="00584EDB"/>
    <w:rsid w:val="00585649"/>
    <w:rsid w:val="0058566C"/>
    <w:rsid w:val="005856C2"/>
    <w:rsid w:val="00585842"/>
    <w:rsid w:val="00585F37"/>
    <w:rsid w:val="00586163"/>
    <w:rsid w:val="00586CCF"/>
    <w:rsid w:val="00586FE4"/>
    <w:rsid w:val="0058748C"/>
    <w:rsid w:val="005877C9"/>
    <w:rsid w:val="0058786E"/>
    <w:rsid w:val="0059015A"/>
    <w:rsid w:val="0059050C"/>
    <w:rsid w:val="00590805"/>
    <w:rsid w:val="00590C4A"/>
    <w:rsid w:val="00590E29"/>
    <w:rsid w:val="00590FB0"/>
    <w:rsid w:val="00591015"/>
    <w:rsid w:val="0059119D"/>
    <w:rsid w:val="00591448"/>
    <w:rsid w:val="00591DEB"/>
    <w:rsid w:val="00591E64"/>
    <w:rsid w:val="00591F37"/>
    <w:rsid w:val="00592003"/>
    <w:rsid w:val="0059299F"/>
    <w:rsid w:val="00592A9C"/>
    <w:rsid w:val="005934CE"/>
    <w:rsid w:val="005934EF"/>
    <w:rsid w:val="00593619"/>
    <w:rsid w:val="00593A29"/>
    <w:rsid w:val="00594074"/>
    <w:rsid w:val="00594492"/>
    <w:rsid w:val="005947E1"/>
    <w:rsid w:val="00594935"/>
    <w:rsid w:val="00594ED9"/>
    <w:rsid w:val="00595135"/>
    <w:rsid w:val="00595165"/>
    <w:rsid w:val="005955B0"/>
    <w:rsid w:val="005955C1"/>
    <w:rsid w:val="00595713"/>
    <w:rsid w:val="005959CB"/>
    <w:rsid w:val="00595ABD"/>
    <w:rsid w:val="00595ACE"/>
    <w:rsid w:val="005965CC"/>
    <w:rsid w:val="00596DCE"/>
    <w:rsid w:val="005970E8"/>
    <w:rsid w:val="0059752D"/>
    <w:rsid w:val="005975B5"/>
    <w:rsid w:val="005A0B99"/>
    <w:rsid w:val="005A0BBB"/>
    <w:rsid w:val="005A1474"/>
    <w:rsid w:val="005A14D6"/>
    <w:rsid w:val="005A1BD7"/>
    <w:rsid w:val="005A1ECE"/>
    <w:rsid w:val="005A23BB"/>
    <w:rsid w:val="005A2650"/>
    <w:rsid w:val="005A2A17"/>
    <w:rsid w:val="005A2E80"/>
    <w:rsid w:val="005A2EEB"/>
    <w:rsid w:val="005A30A2"/>
    <w:rsid w:val="005A3216"/>
    <w:rsid w:val="005A3958"/>
    <w:rsid w:val="005A3C20"/>
    <w:rsid w:val="005A3D34"/>
    <w:rsid w:val="005A4065"/>
    <w:rsid w:val="005A41C4"/>
    <w:rsid w:val="005A45FE"/>
    <w:rsid w:val="005A4AD9"/>
    <w:rsid w:val="005A4B32"/>
    <w:rsid w:val="005A4EB0"/>
    <w:rsid w:val="005A55B5"/>
    <w:rsid w:val="005A58BC"/>
    <w:rsid w:val="005A646E"/>
    <w:rsid w:val="005A6C2F"/>
    <w:rsid w:val="005A6CA9"/>
    <w:rsid w:val="005A717E"/>
    <w:rsid w:val="005A7218"/>
    <w:rsid w:val="005A748F"/>
    <w:rsid w:val="005A74AE"/>
    <w:rsid w:val="005A7622"/>
    <w:rsid w:val="005A766A"/>
    <w:rsid w:val="005A78DC"/>
    <w:rsid w:val="005A7953"/>
    <w:rsid w:val="005A7A90"/>
    <w:rsid w:val="005A7AFF"/>
    <w:rsid w:val="005B035F"/>
    <w:rsid w:val="005B092F"/>
    <w:rsid w:val="005B0C27"/>
    <w:rsid w:val="005B0E58"/>
    <w:rsid w:val="005B0ED6"/>
    <w:rsid w:val="005B12D2"/>
    <w:rsid w:val="005B168F"/>
    <w:rsid w:val="005B1FA2"/>
    <w:rsid w:val="005B273D"/>
    <w:rsid w:val="005B2A80"/>
    <w:rsid w:val="005B302F"/>
    <w:rsid w:val="005B3276"/>
    <w:rsid w:val="005B3461"/>
    <w:rsid w:val="005B34A7"/>
    <w:rsid w:val="005B38CA"/>
    <w:rsid w:val="005B3C71"/>
    <w:rsid w:val="005B3FD2"/>
    <w:rsid w:val="005B4352"/>
    <w:rsid w:val="005B445C"/>
    <w:rsid w:val="005B4D03"/>
    <w:rsid w:val="005B577F"/>
    <w:rsid w:val="005B5823"/>
    <w:rsid w:val="005B5CCE"/>
    <w:rsid w:val="005B5DBA"/>
    <w:rsid w:val="005B6077"/>
    <w:rsid w:val="005B6738"/>
    <w:rsid w:val="005B6956"/>
    <w:rsid w:val="005B6EFF"/>
    <w:rsid w:val="005B706D"/>
    <w:rsid w:val="005B7824"/>
    <w:rsid w:val="005C00AD"/>
    <w:rsid w:val="005C0135"/>
    <w:rsid w:val="005C01F4"/>
    <w:rsid w:val="005C045D"/>
    <w:rsid w:val="005C07E6"/>
    <w:rsid w:val="005C08E2"/>
    <w:rsid w:val="005C0ADF"/>
    <w:rsid w:val="005C0EC0"/>
    <w:rsid w:val="005C0F90"/>
    <w:rsid w:val="005C0FB4"/>
    <w:rsid w:val="005C1736"/>
    <w:rsid w:val="005C27E4"/>
    <w:rsid w:val="005C280B"/>
    <w:rsid w:val="005C29A1"/>
    <w:rsid w:val="005C2CC0"/>
    <w:rsid w:val="005C3741"/>
    <w:rsid w:val="005C3F4F"/>
    <w:rsid w:val="005C4B4D"/>
    <w:rsid w:val="005C4F34"/>
    <w:rsid w:val="005C5158"/>
    <w:rsid w:val="005C5270"/>
    <w:rsid w:val="005C5342"/>
    <w:rsid w:val="005C5506"/>
    <w:rsid w:val="005C5ABB"/>
    <w:rsid w:val="005C5ADE"/>
    <w:rsid w:val="005C60D8"/>
    <w:rsid w:val="005C67A7"/>
    <w:rsid w:val="005C6AE5"/>
    <w:rsid w:val="005C7356"/>
    <w:rsid w:val="005C743A"/>
    <w:rsid w:val="005C7557"/>
    <w:rsid w:val="005C7EE5"/>
    <w:rsid w:val="005D0807"/>
    <w:rsid w:val="005D0D84"/>
    <w:rsid w:val="005D0F2B"/>
    <w:rsid w:val="005D1323"/>
    <w:rsid w:val="005D19B1"/>
    <w:rsid w:val="005D19D4"/>
    <w:rsid w:val="005D2014"/>
    <w:rsid w:val="005D216A"/>
    <w:rsid w:val="005D2627"/>
    <w:rsid w:val="005D2BAE"/>
    <w:rsid w:val="005D2E8C"/>
    <w:rsid w:val="005D3277"/>
    <w:rsid w:val="005D341E"/>
    <w:rsid w:val="005D36A2"/>
    <w:rsid w:val="005D3F89"/>
    <w:rsid w:val="005D4521"/>
    <w:rsid w:val="005D488E"/>
    <w:rsid w:val="005D4BC0"/>
    <w:rsid w:val="005D4D19"/>
    <w:rsid w:val="005D50C3"/>
    <w:rsid w:val="005D55A5"/>
    <w:rsid w:val="005D56C5"/>
    <w:rsid w:val="005D5786"/>
    <w:rsid w:val="005D5848"/>
    <w:rsid w:val="005D5A9B"/>
    <w:rsid w:val="005D5F65"/>
    <w:rsid w:val="005D6256"/>
    <w:rsid w:val="005D6267"/>
    <w:rsid w:val="005D65A4"/>
    <w:rsid w:val="005D6A26"/>
    <w:rsid w:val="005D7009"/>
    <w:rsid w:val="005D7407"/>
    <w:rsid w:val="005D752C"/>
    <w:rsid w:val="005D7838"/>
    <w:rsid w:val="005D7C7E"/>
    <w:rsid w:val="005D7E9E"/>
    <w:rsid w:val="005E001B"/>
    <w:rsid w:val="005E056D"/>
    <w:rsid w:val="005E07ED"/>
    <w:rsid w:val="005E0D6C"/>
    <w:rsid w:val="005E108A"/>
    <w:rsid w:val="005E1093"/>
    <w:rsid w:val="005E1979"/>
    <w:rsid w:val="005E1FD2"/>
    <w:rsid w:val="005E225D"/>
    <w:rsid w:val="005E26F0"/>
    <w:rsid w:val="005E2758"/>
    <w:rsid w:val="005E28D4"/>
    <w:rsid w:val="005E2ED4"/>
    <w:rsid w:val="005E3265"/>
    <w:rsid w:val="005E332C"/>
    <w:rsid w:val="005E33BA"/>
    <w:rsid w:val="005E38A8"/>
    <w:rsid w:val="005E3B2B"/>
    <w:rsid w:val="005E3D38"/>
    <w:rsid w:val="005E460C"/>
    <w:rsid w:val="005E4978"/>
    <w:rsid w:val="005E4A71"/>
    <w:rsid w:val="005E5567"/>
    <w:rsid w:val="005E6615"/>
    <w:rsid w:val="005E6691"/>
    <w:rsid w:val="005E6798"/>
    <w:rsid w:val="005E6C75"/>
    <w:rsid w:val="005E705F"/>
    <w:rsid w:val="005E7380"/>
    <w:rsid w:val="005E76C1"/>
    <w:rsid w:val="005E7BC8"/>
    <w:rsid w:val="005E7E02"/>
    <w:rsid w:val="005E7E4A"/>
    <w:rsid w:val="005E7E9B"/>
    <w:rsid w:val="005E7F37"/>
    <w:rsid w:val="005F00F4"/>
    <w:rsid w:val="005F02EA"/>
    <w:rsid w:val="005F0578"/>
    <w:rsid w:val="005F0833"/>
    <w:rsid w:val="005F0CDA"/>
    <w:rsid w:val="005F0EE1"/>
    <w:rsid w:val="005F146A"/>
    <w:rsid w:val="005F178B"/>
    <w:rsid w:val="005F1E88"/>
    <w:rsid w:val="005F22E8"/>
    <w:rsid w:val="005F2E68"/>
    <w:rsid w:val="005F3053"/>
    <w:rsid w:val="005F38D8"/>
    <w:rsid w:val="005F3EAC"/>
    <w:rsid w:val="005F3EB3"/>
    <w:rsid w:val="005F3FA3"/>
    <w:rsid w:val="005F47BB"/>
    <w:rsid w:val="005F4A83"/>
    <w:rsid w:val="005F5061"/>
    <w:rsid w:val="005F506D"/>
    <w:rsid w:val="005F56F5"/>
    <w:rsid w:val="005F5E4F"/>
    <w:rsid w:val="005F5EB7"/>
    <w:rsid w:val="005F63F0"/>
    <w:rsid w:val="005F6816"/>
    <w:rsid w:val="005F733E"/>
    <w:rsid w:val="005F7510"/>
    <w:rsid w:val="005F7A3A"/>
    <w:rsid w:val="005F7D2C"/>
    <w:rsid w:val="00600989"/>
    <w:rsid w:val="00600A24"/>
    <w:rsid w:val="00600B49"/>
    <w:rsid w:val="00600CAD"/>
    <w:rsid w:val="00600D7F"/>
    <w:rsid w:val="0060181D"/>
    <w:rsid w:val="0060190A"/>
    <w:rsid w:val="00601BCD"/>
    <w:rsid w:val="00601E12"/>
    <w:rsid w:val="00602502"/>
    <w:rsid w:val="00602CAB"/>
    <w:rsid w:val="006039D5"/>
    <w:rsid w:val="00603A0C"/>
    <w:rsid w:val="006041D7"/>
    <w:rsid w:val="006045DB"/>
    <w:rsid w:val="006048E7"/>
    <w:rsid w:val="006048F2"/>
    <w:rsid w:val="00604A4E"/>
    <w:rsid w:val="00605327"/>
    <w:rsid w:val="006055F0"/>
    <w:rsid w:val="00605854"/>
    <w:rsid w:val="00605BE6"/>
    <w:rsid w:val="00605D49"/>
    <w:rsid w:val="00606583"/>
    <w:rsid w:val="006066CC"/>
    <w:rsid w:val="00606730"/>
    <w:rsid w:val="00606D6B"/>
    <w:rsid w:val="00607168"/>
    <w:rsid w:val="006072E1"/>
    <w:rsid w:val="00607356"/>
    <w:rsid w:val="00607A6F"/>
    <w:rsid w:val="00607C62"/>
    <w:rsid w:val="00607D41"/>
    <w:rsid w:val="0061004F"/>
    <w:rsid w:val="0061005E"/>
    <w:rsid w:val="006101A4"/>
    <w:rsid w:val="00610445"/>
    <w:rsid w:val="006107C8"/>
    <w:rsid w:val="006108DB"/>
    <w:rsid w:val="00610937"/>
    <w:rsid w:val="00610DE7"/>
    <w:rsid w:val="00611892"/>
    <w:rsid w:val="00611977"/>
    <w:rsid w:val="00611C07"/>
    <w:rsid w:val="00611E1B"/>
    <w:rsid w:val="0061203F"/>
    <w:rsid w:val="0061270D"/>
    <w:rsid w:val="00612A7C"/>
    <w:rsid w:val="00612CE0"/>
    <w:rsid w:val="00612FBF"/>
    <w:rsid w:val="006130EE"/>
    <w:rsid w:val="006139EF"/>
    <w:rsid w:val="00614083"/>
    <w:rsid w:val="006140BB"/>
    <w:rsid w:val="0061446A"/>
    <w:rsid w:val="006144F3"/>
    <w:rsid w:val="00614B71"/>
    <w:rsid w:val="00614BEB"/>
    <w:rsid w:val="00614DF4"/>
    <w:rsid w:val="00615359"/>
    <w:rsid w:val="00615836"/>
    <w:rsid w:val="00615B0D"/>
    <w:rsid w:val="00615C7A"/>
    <w:rsid w:val="00615EB0"/>
    <w:rsid w:val="00615F61"/>
    <w:rsid w:val="006164B9"/>
    <w:rsid w:val="006165F5"/>
    <w:rsid w:val="006166EA"/>
    <w:rsid w:val="00616741"/>
    <w:rsid w:val="006167CD"/>
    <w:rsid w:val="0061696A"/>
    <w:rsid w:val="00616C9B"/>
    <w:rsid w:val="0061769A"/>
    <w:rsid w:val="00617F8A"/>
    <w:rsid w:val="006200E2"/>
    <w:rsid w:val="00620497"/>
    <w:rsid w:val="0062069E"/>
    <w:rsid w:val="006206E2"/>
    <w:rsid w:val="00620871"/>
    <w:rsid w:val="00620B43"/>
    <w:rsid w:val="00620C99"/>
    <w:rsid w:val="006211AE"/>
    <w:rsid w:val="0062132F"/>
    <w:rsid w:val="0062145A"/>
    <w:rsid w:val="0062145F"/>
    <w:rsid w:val="006216FB"/>
    <w:rsid w:val="00621C5D"/>
    <w:rsid w:val="00621F60"/>
    <w:rsid w:val="00621FDE"/>
    <w:rsid w:val="00622000"/>
    <w:rsid w:val="006223E9"/>
    <w:rsid w:val="00622BA4"/>
    <w:rsid w:val="00622D26"/>
    <w:rsid w:val="00623965"/>
    <w:rsid w:val="00623D92"/>
    <w:rsid w:val="006241F7"/>
    <w:rsid w:val="0062450C"/>
    <w:rsid w:val="00624D01"/>
    <w:rsid w:val="00625244"/>
    <w:rsid w:val="006253EF"/>
    <w:rsid w:val="0062552B"/>
    <w:rsid w:val="006257E5"/>
    <w:rsid w:val="00625909"/>
    <w:rsid w:val="00625C23"/>
    <w:rsid w:val="00625D63"/>
    <w:rsid w:val="00626A98"/>
    <w:rsid w:val="00626B09"/>
    <w:rsid w:val="00626FF0"/>
    <w:rsid w:val="006274BB"/>
    <w:rsid w:val="00627550"/>
    <w:rsid w:val="00627616"/>
    <w:rsid w:val="00627936"/>
    <w:rsid w:val="00630AB3"/>
    <w:rsid w:val="00630AF8"/>
    <w:rsid w:val="00630C83"/>
    <w:rsid w:val="00630D31"/>
    <w:rsid w:val="00631195"/>
    <w:rsid w:val="006313D6"/>
    <w:rsid w:val="0063161E"/>
    <w:rsid w:val="0063181D"/>
    <w:rsid w:val="00631A0C"/>
    <w:rsid w:val="00631A43"/>
    <w:rsid w:val="00631D3A"/>
    <w:rsid w:val="0063229C"/>
    <w:rsid w:val="00632342"/>
    <w:rsid w:val="00632423"/>
    <w:rsid w:val="00632436"/>
    <w:rsid w:val="00632BDF"/>
    <w:rsid w:val="00632C18"/>
    <w:rsid w:val="00633498"/>
    <w:rsid w:val="0063379A"/>
    <w:rsid w:val="00633EB2"/>
    <w:rsid w:val="00633F4B"/>
    <w:rsid w:val="00633FAF"/>
    <w:rsid w:val="0063447C"/>
    <w:rsid w:val="00634A38"/>
    <w:rsid w:val="00634B87"/>
    <w:rsid w:val="00634C6C"/>
    <w:rsid w:val="00634D27"/>
    <w:rsid w:val="006351DB"/>
    <w:rsid w:val="006352A0"/>
    <w:rsid w:val="006356DF"/>
    <w:rsid w:val="00635722"/>
    <w:rsid w:val="00636153"/>
    <w:rsid w:val="0063628F"/>
    <w:rsid w:val="00636930"/>
    <w:rsid w:val="00636D53"/>
    <w:rsid w:val="006370AD"/>
    <w:rsid w:val="0063717E"/>
    <w:rsid w:val="00637793"/>
    <w:rsid w:val="0063780C"/>
    <w:rsid w:val="00637F04"/>
    <w:rsid w:val="0064014A"/>
    <w:rsid w:val="00640565"/>
    <w:rsid w:val="006405E8"/>
    <w:rsid w:val="00640AB3"/>
    <w:rsid w:val="00640EE4"/>
    <w:rsid w:val="006412BF"/>
    <w:rsid w:val="006412C5"/>
    <w:rsid w:val="006417AB"/>
    <w:rsid w:val="006418DE"/>
    <w:rsid w:val="00642EBA"/>
    <w:rsid w:val="00643243"/>
    <w:rsid w:val="00643854"/>
    <w:rsid w:val="00643A0F"/>
    <w:rsid w:val="00644F50"/>
    <w:rsid w:val="00644F6F"/>
    <w:rsid w:val="00646A07"/>
    <w:rsid w:val="00647145"/>
    <w:rsid w:val="006478BB"/>
    <w:rsid w:val="0064794B"/>
    <w:rsid w:val="00651760"/>
    <w:rsid w:val="00652179"/>
    <w:rsid w:val="0065265A"/>
    <w:rsid w:val="006526F9"/>
    <w:rsid w:val="006527DB"/>
    <w:rsid w:val="00652884"/>
    <w:rsid w:val="00652C8C"/>
    <w:rsid w:val="00652CC1"/>
    <w:rsid w:val="00652D81"/>
    <w:rsid w:val="00652D9C"/>
    <w:rsid w:val="006534B2"/>
    <w:rsid w:val="006535E1"/>
    <w:rsid w:val="0065393E"/>
    <w:rsid w:val="00653976"/>
    <w:rsid w:val="00654044"/>
    <w:rsid w:val="00654062"/>
    <w:rsid w:val="0065422C"/>
    <w:rsid w:val="0065425C"/>
    <w:rsid w:val="0065498A"/>
    <w:rsid w:val="00654DCC"/>
    <w:rsid w:val="0065572E"/>
    <w:rsid w:val="0065573A"/>
    <w:rsid w:val="00655E54"/>
    <w:rsid w:val="0065685F"/>
    <w:rsid w:val="00656A1E"/>
    <w:rsid w:val="00656A4D"/>
    <w:rsid w:val="00656B29"/>
    <w:rsid w:val="00656FA9"/>
    <w:rsid w:val="006570C3"/>
    <w:rsid w:val="0065754F"/>
    <w:rsid w:val="00657A57"/>
    <w:rsid w:val="00657E64"/>
    <w:rsid w:val="00657EE8"/>
    <w:rsid w:val="006600FA"/>
    <w:rsid w:val="0066066A"/>
    <w:rsid w:val="00660DB4"/>
    <w:rsid w:val="006616C2"/>
    <w:rsid w:val="0066188F"/>
    <w:rsid w:val="00661B6B"/>
    <w:rsid w:val="00661F97"/>
    <w:rsid w:val="00661FFD"/>
    <w:rsid w:val="0066213A"/>
    <w:rsid w:val="00662471"/>
    <w:rsid w:val="00662C40"/>
    <w:rsid w:val="00662CD6"/>
    <w:rsid w:val="00662D68"/>
    <w:rsid w:val="00663AE0"/>
    <w:rsid w:val="00663D5E"/>
    <w:rsid w:val="0066425F"/>
    <w:rsid w:val="00664EEA"/>
    <w:rsid w:val="00665D2C"/>
    <w:rsid w:val="00665DA0"/>
    <w:rsid w:val="0066604C"/>
    <w:rsid w:val="00666A11"/>
    <w:rsid w:val="0066731B"/>
    <w:rsid w:val="006675D3"/>
    <w:rsid w:val="006676E0"/>
    <w:rsid w:val="00667F62"/>
    <w:rsid w:val="006702F4"/>
    <w:rsid w:val="0067032B"/>
    <w:rsid w:val="00670598"/>
    <w:rsid w:val="00670E3B"/>
    <w:rsid w:val="00670ED5"/>
    <w:rsid w:val="00671E33"/>
    <w:rsid w:val="00671FB1"/>
    <w:rsid w:val="0067213F"/>
    <w:rsid w:val="00672230"/>
    <w:rsid w:val="006722E5"/>
    <w:rsid w:val="006728AB"/>
    <w:rsid w:val="00672BCF"/>
    <w:rsid w:val="0067314B"/>
    <w:rsid w:val="00673950"/>
    <w:rsid w:val="00673A59"/>
    <w:rsid w:val="00673A6B"/>
    <w:rsid w:val="006742EE"/>
    <w:rsid w:val="006746A1"/>
    <w:rsid w:val="00674C85"/>
    <w:rsid w:val="00674EBF"/>
    <w:rsid w:val="0067528E"/>
    <w:rsid w:val="006759DC"/>
    <w:rsid w:val="00675AFD"/>
    <w:rsid w:val="00675B6A"/>
    <w:rsid w:val="00676030"/>
    <w:rsid w:val="00676BE7"/>
    <w:rsid w:val="00676D8E"/>
    <w:rsid w:val="00676E18"/>
    <w:rsid w:val="006771EC"/>
    <w:rsid w:val="006772EA"/>
    <w:rsid w:val="00677505"/>
    <w:rsid w:val="006775B8"/>
    <w:rsid w:val="00677616"/>
    <w:rsid w:val="00677D43"/>
    <w:rsid w:val="00677F20"/>
    <w:rsid w:val="0068011E"/>
    <w:rsid w:val="006807C0"/>
    <w:rsid w:val="00680947"/>
    <w:rsid w:val="00681591"/>
    <w:rsid w:val="006816BA"/>
    <w:rsid w:val="00681B69"/>
    <w:rsid w:val="0068209E"/>
    <w:rsid w:val="0068211C"/>
    <w:rsid w:val="006831AF"/>
    <w:rsid w:val="00683C73"/>
    <w:rsid w:val="00683D19"/>
    <w:rsid w:val="006847E8"/>
    <w:rsid w:val="00684ABA"/>
    <w:rsid w:val="00684BB6"/>
    <w:rsid w:val="00685561"/>
    <w:rsid w:val="0068561E"/>
    <w:rsid w:val="006857D6"/>
    <w:rsid w:val="00685AAE"/>
    <w:rsid w:val="00685C38"/>
    <w:rsid w:val="00686416"/>
    <w:rsid w:val="00686647"/>
    <w:rsid w:val="006870CA"/>
    <w:rsid w:val="006871A4"/>
    <w:rsid w:val="00687700"/>
    <w:rsid w:val="00687F19"/>
    <w:rsid w:val="00687F5C"/>
    <w:rsid w:val="00690BEA"/>
    <w:rsid w:val="00690D61"/>
    <w:rsid w:val="00690DA6"/>
    <w:rsid w:val="00690F90"/>
    <w:rsid w:val="0069111B"/>
    <w:rsid w:val="006915C0"/>
    <w:rsid w:val="00691601"/>
    <w:rsid w:val="00691750"/>
    <w:rsid w:val="0069175D"/>
    <w:rsid w:val="006918AF"/>
    <w:rsid w:val="00691D62"/>
    <w:rsid w:val="00692630"/>
    <w:rsid w:val="0069264F"/>
    <w:rsid w:val="00692DE9"/>
    <w:rsid w:val="00693841"/>
    <w:rsid w:val="00693957"/>
    <w:rsid w:val="006939EE"/>
    <w:rsid w:val="00693AB6"/>
    <w:rsid w:val="00694020"/>
    <w:rsid w:val="00694350"/>
    <w:rsid w:val="006947E9"/>
    <w:rsid w:val="006948E8"/>
    <w:rsid w:val="00695169"/>
    <w:rsid w:val="006953E0"/>
    <w:rsid w:val="00695504"/>
    <w:rsid w:val="00695645"/>
    <w:rsid w:val="006960EA"/>
    <w:rsid w:val="0069642E"/>
    <w:rsid w:val="00696628"/>
    <w:rsid w:val="00696B31"/>
    <w:rsid w:val="00696FD3"/>
    <w:rsid w:val="006970C6"/>
    <w:rsid w:val="0069721C"/>
    <w:rsid w:val="0069725C"/>
    <w:rsid w:val="00697AA6"/>
    <w:rsid w:val="00697D2A"/>
    <w:rsid w:val="00697D81"/>
    <w:rsid w:val="006A0893"/>
    <w:rsid w:val="006A151A"/>
    <w:rsid w:val="006A158E"/>
    <w:rsid w:val="006A164A"/>
    <w:rsid w:val="006A18AC"/>
    <w:rsid w:val="006A1C6E"/>
    <w:rsid w:val="006A22B3"/>
    <w:rsid w:val="006A24B7"/>
    <w:rsid w:val="006A2948"/>
    <w:rsid w:val="006A2AEE"/>
    <w:rsid w:val="006A2F23"/>
    <w:rsid w:val="006A3101"/>
    <w:rsid w:val="006A3192"/>
    <w:rsid w:val="006A322C"/>
    <w:rsid w:val="006A3760"/>
    <w:rsid w:val="006A3A95"/>
    <w:rsid w:val="006A3E8A"/>
    <w:rsid w:val="006A44B1"/>
    <w:rsid w:val="006A4BC7"/>
    <w:rsid w:val="006A52D0"/>
    <w:rsid w:val="006A52F8"/>
    <w:rsid w:val="006A5475"/>
    <w:rsid w:val="006A570D"/>
    <w:rsid w:val="006A5812"/>
    <w:rsid w:val="006A5D43"/>
    <w:rsid w:val="006A5E36"/>
    <w:rsid w:val="006A60E2"/>
    <w:rsid w:val="006A6234"/>
    <w:rsid w:val="006A6423"/>
    <w:rsid w:val="006A6648"/>
    <w:rsid w:val="006A68EE"/>
    <w:rsid w:val="006A6A07"/>
    <w:rsid w:val="006A6B10"/>
    <w:rsid w:val="006A7051"/>
    <w:rsid w:val="006A719B"/>
    <w:rsid w:val="006A7263"/>
    <w:rsid w:val="006A79CA"/>
    <w:rsid w:val="006A7ADA"/>
    <w:rsid w:val="006A7DC9"/>
    <w:rsid w:val="006B00F0"/>
    <w:rsid w:val="006B026A"/>
    <w:rsid w:val="006B039B"/>
    <w:rsid w:val="006B044B"/>
    <w:rsid w:val="006B0661"/>
    <w:rsid w:val="006B0749"/>
    <w:rsid w:val="006B0961"/>
    <w:rsid w:val="006B0A21"/>
    <w:rsid w:val="006B0FB0"/>
    <w:rsid w:val="006B1426"/>
    <w:rsid w:val="006B1901"/>
    <w:rsid w:val="006B1A09"/>
    <w:rsid w:val="006B1E18"/>
    <w:rsid w:val="006B1E6A"/>
    <w:rsid w:val="006B1E88"/>
    <w:rsid w:val="006B1FCD"/>
    <w:rsid w:val="006B22FD"/>
    <w:rsid w:val="006B23A3"/>
    <w:rsid w:val="006B27EE"/>
    <w:rsid w:val="006B289A"/>
    <w:rsid w:val="006B2BE9"/>
    <w:rsid w:val="006B2C80"/>
    <w:rsid w:val="006B323B"/>
    <w:rsid w:val="006B3415"/>
    <w:rsid w:val="006B3478"/>
    <w:rsid w:val="006B353C"/>
    <w:rsid w:val="006B39B9"/>
    <w:rsid w:val="006B3E93"/>
    <w:rsid w:val="006B3EB6"/>
    <w:rsid w:val="006B405D"/>
    <w:rsid w:val="006B40D2"/>
    <w:rsid w:val="006B436A"/>
    <w:rsid w:val="006B45B2"/>
    <w:rsid w:val="006B49AE"/>
    <w:rsid w:val="006B50F6"/>
    <w:rsid w:val="006B5192"/>
    <w:rsid w:val="006B519C"/>
    <w:rsid w:val="006B5206"/>
    <w:rsid w:val="006B5302"/>
    <w:rsid w:val="006B5B55"/>
    <w:rsid w:val="006B5DE3"/>
    <w:rsid w:val="006B6157"/>
    <w:rsid w:val="006B623D"/>
    <w:rsid w:val="006B6661"/>
    <w:rsid w:val="006B68A2"/>
    <w:rsid w:val="006B6D15"/>
    <w:rsid w:val="006B7099"/>
    <w:rsid w:val="006B74F7"/>
    <w:rsid w:val="006B7E8A"/>
    <w:rsid w:val="006C046C"/>
    <w:rsid w:val="006C0865"/>
    <w:rsid w:val="006C0BCD"/>
    <w:rsid w:val="006C0C9E"/>
    <w:rsid w:val="006C1285"/>
    <w:rsid w:val="006C14E3"/>
    <w:rsid w:val="006C1EA1"/>
    <w:rsid w:val="006C2ABB"/>
    <w:rsid w:val="006C2DD8"/>
    <w:rsid w:val="006C2FEF"/>
    <w:rsid w:val="006C31CC"/>
    <w:rsid w:val="006C3475"/>
    <w:rsid w:val="006C3B68"/>
    <w:rsid w:val="006C3D7B"/>
    <w:rsid w:val="006C3DA8"/>
    <w:rsid w:val="006C4078"/>
    <w:rsid w:val="006C4C37"/>
    <w:rsid w:val="006C4EB6"/>
    <w:rsid w:val="006C52D9"/>
    <w:rsid w:val="006C52F6"/>
    <w:rsid w:val="006C53A8"/>
    <w:rsid w:val="006C5F11"/>
    <w:rsid w:val="006C6467"/>
    <w:rsid w:val="006C6AC5"/>
    <w:rsid w:val="006C7294"/>
    <w:rsid w:val="006C7374"/>
    <w:rsid w:val="006C7525"/>
    <w:rsid w:val="006C7575"/>
    <w:rsid w:val="006C75E7"/>
    <w:rsid w:val="006C7783"/>
    <w:rsid w:val="006C77BB"/>
    <w:rsid w:val="006C7BE8"/>
    <w:rsid w:val="006D05D0"/>
    <w:rsid w:val="006D0736"/>
    <w:rsid w:val="006D0D62"/>
    <w:rsid w:val="006D1272"/>
    <w:rsid w:val="006D1474"/>
    <w:rsid w:val="006D17E2"/>
    <w:rsid w:val="006D1E90"/>
    <w:rsid w:val="006D1F23"/>
    <w:rsid w:val="006D1F99"/>
    <w:rsid w:val="006D25DB"/>
    <w:rsid w:val="006D26B8"/>
    <w:rsid w:val="006D2A4E"/>
    <w:rsid w:val="006D31F3"/>
    <w:rsid w:val="006D360B"/>
    <w:rsid w:val="006D3AB0"/>
    <w:rsid w:val="006D3E29"/>
    <w:rsid w:val="006D4DD4"/>
    <w:rsid w:val="006D548C"/>
    <w:rsid w:val="006D5806"/>
    <w:rsid w:val="006D5862"/>
    <w:rsid w:val="006D66F9"/>
    <w:rsid w:val="006D6A99"/>
    <w:rsid w:val="006D6CCF"/>
    <w:rsid w:val="006D6D87"/>
    <w:rsid w:val="006D6FE0"/>
    <w:rsid w:val="006D7756"/>
    <w:rsid w:val="006D7A9D"/>
    <w:rsid w:val="006D7DE8"/>
    <w:rsid w:val="006D7EED"/>
    <w:rsid w:val="006E0344"/>
    <w:rsid w:val="006E0776"/>
    <w:rsid w:val="006E17EA"/>
    <w:rsid w:val="006E1909"/>
    <w:rsid w:val="006E19E2"/>
    <w:rsid w:val="006E1B3A"/>
    <w:rsid w:val="006E1C1B"/>
    <w:rsid w:val="006E1C1E"/>
    <w:rsid w:val="006E2437"/>
    <w:rsid w:val="006E2976"/>
    <w:rsid w:val="006E2A6B"/>
    <w:rsid w:val="006E2F96"/>
    <w:rsid w:val="006E3BF2"/>
    <w:rsid w:val="006E3E1A"/>
    <w:rsid w:val="006E3F24"/>
    <w:rsid w:val="006E41F1"/>
    <w:rsid w:val="006E4397"/>
    <w:rsid w:val="006E4430"/>
    <w:rsid w:val="006E4627"/>
    <w:rsid w:val="006E4AEF"/>
    <w:rsid w:val="006E4D98"/>
    <w:rsid w:val="006E4E30"/>
    <w:rsid w:val="006E4FD5"/>
    <w:rsid w:val="006E5071"/>
    <w:rsid w:val="006E587F"/>
    <w:rsid w:val="006E589E"/>
    <w:rsid w:val="006E59F5"/>
    <w:rsid w:val="006E5A18"/>
    <w:rsid w:val="006E5CE1"/>
    <w:rsid w:val="006E5D49"/>
    <w:rsid w:val="006E5D6E"/>
    <w:rsid w:val="006E5EF2"/>
    <w:rsid w:val="006E610C"/>
    <w:rsid w:val="006E622B"/>
    <w:rsid w:val="006E6606"/>
    <w:rsid w:val="006E6E88"/>
    <w:rsid w:val="006E785F"/>
    <w:rsid w:val="006E7A83"/>
    <w:rsid w:val="006E7BCF"/>
    <w:rsid w:val="006E7BEE"/>
    <w:rsid w:val="006F0131"/>
    <w:rsid w:val="006F049E"/>
    <w:rsid w:val="006F0690"/>
    <w:rsid w:val="006F08EC"/>
    <w:rsid w:val="006F0A6C"/>
    <w:rsid w:val="006F0B4A"/>
    <w:rsid w:val="006F0D2A"/>
    <w:rsid w:val="006F11F4"/>
    <w:rsid w:val="006F1208"/>
    <w:rsid w:val="006F1218"/>
    <w:rsid w:val="006F2C03"/>
    <w:rsid w:val="006F2C28"/>
    <w:rsid w:val="006F34BB"/>
    <w:rsid w:val="006F3DBE"/>
    <w:rsid w:val="006F42E1"/>
    <w:rsid w:val="006F4654"/>
    <w:rsid w:val="006F487A"/>
    <w:rsid w:val="006F4A09"/>
    <w:rsid w:val="006F4D66"/>
    <w:rsid w:val="006F4DF0"/>
    <w:rsid w:val="006F4EF9"/>
    <w:rsid w:val="006F51C2"/>
    <w:rsid w:val="006F5800"/>
    <w:rsid w:val="006F5EEA"/>
    <w:rsid w:val="006F6528"/>
    <w:rsid w:val="006F687A"/>
    <w:rsid w:val="006F6A1E"/>
    <w:rsid w:val="006F6F87"/>
    <w:rsid w:val="006F708F"/>
    <w:rsid w:val="006F7201"/>
    <w:rsid w:val="006F7304"/>
    <w:rsid w:val="006F77B1"/>
    <w:rsid w:val="006F79AF"/>
    <w:rsid w:val="006F7C08"/>
    <w:rsid w:val="006F7C17"/>
    <w:rsid w:val="006F7C88"/>
    <w:rsid w:val="006F7F5B"/>
    <w:rsid w:val="007005CB"/>
    <w:rsid w:val="00700813"/>
    <w:rsid w:val="00700A0F"/>
    <w:rsid w:val="00700D8F"/>
    <w:rsid w:val="00700DAB"/>
    <w:rsid w:val="00700EF6"/>
    <w:rsid w:val="00700F00"/>
    <w:rsid w:val="00701211"/>
    <w:rsid w:val="007014B0"/>
    <w:rsid w:val="0070184F"/>
    <w:rsid w:val="007019CC"/>
    <w:rsid w:val="00701EDA"/>
    <w:rsid w:val="00702063"/>
    <w:rsid w:val="0070212D"/>
    <w:rsid w:val="007023DC"/>
    <w:rsid w:val="00702706"/>
    <w:rsid w:val="00702ADA"/>
    <w:rsid w:val="007031C3"/>
    <w:rsid w:val="00703367"/>
    <w:rsid w:val="007039C2"/>
    <w:rsid w:val="00703D1B"/>
    <w:rsid w:val="00704493"/>
    <w:rsid w:val="0070451C"/>
    <w:rsid w:val="00704876"/>
    <w:rsid w:val="00704B83"/>
    <w:rsid w:val="00704C89"/>
    <w:rsid w:val="00704D4F"/>
    <w:rsid w:val="00704F4A"/>
    <w:rsid w:val="0070520F"/>
    <w:rsid w:val="00705301"/>
    <w:rsid w:val="007055DB"/>
    <w:rsid w:val="00705AA3"/>
    <w:rsid w:val="00705B69"/>
    <w:rsid w:val="00705CB8"/>
    <w:rsid w:val="00705D84"/>
    <w:rsid w:val="00706047"/>
    <w:rsid w:val="00706A62"/>
    <w:rsid w:val="00706FDF"/>
    <w:rsid w:val="00707287"/>
    <w:rsid w:val="007075D4"/>
    <w:rsid w:val="00707AFA"/>
    <w:rsid w:val="00707B25"/>
    <w:rsid w:val="00707C9E"/>
    <w:rsid w:val="00707FFD"/>
    <w:rsid w:val="0071013D"/>
    <w:rsid w:val="00710176"/>
    <w:rsid w:val="00710389"/>
    <w:rsid w:val="0071053F"/>
    <w:rsid w:val="0071067E"/>
    <w:rsid w:val="00710887"/>
    <w:rsid w:val="00710A0F"/>
    <w:rsid w:val="00710B44"/>
    <w:rsid w:val="00710CC1"/>
    <w:rsid w:val="0071125D"/>
    <w:rsid w:val="00711333"/>
    <w:rsid w:val="007115C6"/>
    <w:rsid w:val="007118E1"/>
    <w:rsid w:val="00711B2B"/>
    <w:rsid w:val="00711C2B"/>
    <w:rsid w:val="00712485"/>
    <w:rsid w:val="00712722"/>
    <w:rsid w:val="0071282C"/>
    <w:rsid w:val="00713175"/>
    <w:rsid w:val="007131C7"/>
    <w:rsid w:val="0071331E"/>
    <w:rsid w:val="007133EF"/>
    <w:rsid w:val="00713704"/>
    <w:rsid w:val="00713D93"/>
    <w:rsid w:val="0071456C"/>
    <w:rsid w:val="0071476B"/>
    <w:rsid w:val="00714FBE"/>
    <w:rsid w:val="00715160"/>
    <w:rsid w:val="00715562"/>
    <w:rsid w:val="00715E86"/>
    <w:rsid w:val="007160AF"/>
    <w:rsid w:val="00716113"/>
    <w:rsid w:val="00716585"/>
    <w:rsid w:val="00716C58"/>
    <w:rsid w:val="00716EB8"/>
    <w:rsid w:val="00717491"/>
    <w:rsid w:val="00717985"/>
    <w:rsid w:val="007202BF"/>
    <w:rsid w:val="00720D9F"/>
    <w:rsid w:val="0072116D"/>
    <w:rsid w:val="00721B29"/>
    <w:rsid w:val="00721BCF"/>
    <w:rsid w:val="00721EA7"/>
    <w:rsid w:val="007222B6"/>
    <w:rsid w:val="00722312"/>
    <w:rsid w:val="007223EF"/>
    <w:rsid w:val="00722913"/>
    <w:rsid w:val="00723316"/>
    <w:rsid w:val="00723F5C"/>
    <w:rsid w:val="0072437B"/>
    <w:rsid w:val="00724B10"/>
    <w:rsid w:val="00725537"/>
    <w:rsid w:val="00725575"/>
    <w:rsid w:val="007255CE"/>
    <w:rsid w:val="00725FCC"/>
    <w:rsid w:val="00725FE4"/>
    <w:rsid w:val="0072614E"/>
    <w:rsid w:val="007263A2"/>
    <w:rsid w:val="00726E28"/>
    <w:rsid w:val="0072726A"/>
    <w:rsid w:val="007272DF"/>
    <w:rsid w:val="0072761A"/>
    <w:rsid w:val="00727827"/>
    <w:rsid w:val="00727877"/>
    <w:rsid w:val="0073003A"/>
    <w:rsid w:val="007303A7"/>
    <w:rsid w:val="00730422"/>
    <w:rsid w:val="0073043C"/>
    <w:rsid w:val="0073074A"/>
    <w:rsid w:val="00730B48"/>
    <w:rsid w:val="00730D7D"/>
    <w:rsid w:val="00730DEC"/>
    <w:rsid w:val="00731131"/>
    <w:rsid w:val="007315FF"/>
    <w:rsid w:val="00732040"/>
    <w:rsid w:val="007322E2"/>
    <w:rsid w:val="00732644"/>
    <w:rsid w:val="0073275F"/>
    <w:rsid w:val="00732B49"/>
    <w:rsid w:val="00732DB2"/>
    <w:rsid w:val="00732F75"/>
    <w:rsid w:val="0073313F"/>
    <w:rsid w:val="0073316E"/>
    <w:rsid w:val="007331CC"/>
    <w:rsid w:val="007333A9"/>
    <w:rsid w:val="007336CF"/>
    <w:rsid w:val="0073392E"/>
    <w:rsid w:val="00733956"/>
    <w:rsid w:val="0073396C"/>
    <w:rsid w:val="00733D27"/>
    <w:rsid w:val="00733D87"/>
    <w:rsid w:val="00734488"/>
    <w:rsid w:val="007348FE"/>
    <w:rsid w:val="00734D0E"/>
    <w:rsid w:val="00734E30"/>
    <w:rsid w:val="0073531A"/>
    <w:rsid w:val="00735952"/>
    <w:rsid w:val="00735CC5"/>
    <w:rsid w:val="00736447"/>
    <w:rsid w:val="00736ACF"/>
    <w:rsid w:val="00736BF1"/>
    <w:rsid w:val="007376B8"/>
    <w:rsid w:val="00737805"/>
    <w:rsid w:val="007378D3"/>
    <w:rsid w:val="00737C0B"/>
    <w:rsid w:val="00737D33"/>
    <w:rsid w:val="00737DBA"/>
    <w:rsid w:val="00737F5A"/>
    <w:rsid w:val="007400F7"/>
    <w:rsid w:val="00740321"/>
    <w:rsid w:val="007403CC"/>
    <w:rsid w:val="00740549"/>
    <w:rsid w:val="007406E7"/>
    <w:rsid w:val="007408DB"/>
    <w:rsid w:val="00740D22"/>
    <w:rsid w:val="00740EEB"/>
    <w:rsid w:val="0074124B"/>
    <w:rsid w:val="00741329"/>
    <w:rsid w:val="007413B3"/>
    <w:rsid w:val="0074191D"/>
    <w:rsid w:val="00741CC2"/>
    <w:rsid w:val="00741F25"/>
    <w:rsid w:val="00742002"/>
    <w:rsid w:val="0074207C"/>
    <w:rsid w:val="0074208C"/>
    <w:rsid w:val="007420ED"/>
    <w:rsid w:val="0074232B"/>
    <w:rsid w:val="00742F74"/>
    <w:rsid w:val="0074329C"/>
    <w:rsid w:val="007435BB"/>
    <w:rsid w:val="00743654"/>
    <w:rsid w:val="007437CB"/>
    <w:rsid w:val="00743818"/>
    <w:rsid w:val="00743C45"/>
    <w:rsid w:val="00743CEB"/>
    <w:rsid w:val="00743DA6"/>
    <w:rsid w:val="00743F1C"/>
    <w:rsid w:val="00743FD0"/>
    <w:rsid w:val="00743FD1"/>
    <w:rsid w:val="00744105"/>
    <w:rsid w:val="00744495"/>
    <w:rsid w:val="00744D18"/>
    <w:rsid w:val="007458E7"/>
    <w:rsid w:val="00745ACE"/>
    <w:rsid w:val="00745EBE"/>
    <w:rsid w:val="00746320"/>
    <w:rsid w:val="00746AF9"/>
    <w:rsid w:val="00746D9D"/>
    <w:rsid w:val="00746DC1"/>
    <w:rsid w:val="00746F83"/>
    <w:rsid w:val="00746FBE"/>
    <w:rsid w:val="00747FC9"/>
    <w:rsid w:val="0075001B"/>
    <w:rsid w:val="0075028E"/>
    <w:rsid w:val="007506BB"/>
    <w:rsid w:val="007506C7"/>
    <w:rsid w:val="00750F0B"/>
    <w:rsid w:val="007514C5"/>
    <w:rsid w:val="00751716"/>
    <w:rsid w:val="00751BD7"/>
    <w:rsid w:val="00751BE6"/>
    <w:rsid w:val="00751F8E"/>
    <w:rsid w:val="00752016"/>
    <w:rsid w:val="00752073"/>
    <w:rsid w:val="00752549"/>
    <w:rsid w:val="00752D2C"/>
    <w:rsid w:val="00753AB0"/>
    <w:rsid w:val="00753B87"/>
    <w:rsid w:val="00754058"/>
    <w:rsid w:val="00754068"/>
    <w:rsid w:val="00754394"/>
    <w:rsid w:val="00754487"/>
    <w:rsid w:val="007546FC"/>
    <w:rsid w:val="00754E3A"/>
    <w:rsid w:val="0075530E"/>
    <w:rsid w:val="00755318"/>
    <w:rsid w:val="007553A6"/>
    <w:rsid w:val="0075551B"/>
    <w:rsid w:val="007557CC"/>
    <w:rsid w:val="00755A73"/>
    <w:rsid w:val="00755BC7"/>
    <w:rsid w:val="0075649D"/>
    <w:rsid w:val="00756883"/>
    <w:rsid w:val="007572D0"/>
    <w:rsid w:val="0075760E"/>
    <w:rsid w:val="007577DB"/>
    <w:rsid w:val="00757A9B"/>
    <w:rsid w:val="00757D05"/>
    <w:rsid w:val="00757EE7"/>
    <w:rsid w:val="0076019F"/>
    <w:rsid w:val="007601B7"/>
    <w:rsid w:val="007603C5"/>
    <w:rsid w:val="0076074F"/>
    <w:rsid w:val="00760F1C"/>
    <w:rsid w:val="00760F24"/>
    <w:rsid w:val="00761782"/>
    <w:rsid w:val="007618CC"/>
    <w:rsid w:val="00761970"/>
    <w:rsid w:val="007624AC"/>
    <w:rsid w:val="00762710"/>
    <w:rsid w:val="00762FB2"/>
    <w:rsid w:val="007633AD"/>
    <w:rsid w:val="0076359E"/>
    <w:rsid w:val="0076480B"/>
    <w:rsid w:val="00764BCF"/>
    <w:rsid w:val="00764D85"/>
    <w:rsid w:val="00764F5C"/>
    <w:rsid w:val="00764FE2"/>
    <w:rsid w:val="007651C6"/>
    <w:rsid w:val="007655E2"/>
    <w:rsid w:val="00765C17"/>
    <w:rsid w:val="00765C9B"/>
    <w:rsid w:val="00766B2F"/>
    <w:rsid w:val="00766E2E"/>
    <w:rsid w:val="00767105"/>
    <w:rsid w:val="00767C4A"/>
    <w:rsid w:val="00770418"/>
    <w:rsid w:val="00770EA4"/>
    <w:rsid w:val="00770F5A"/>
    <w:rsid w:val="007712A9"/>
    <w:rsid w:val="00771800"/>
    <w:rsid w:val="00771AF6"/>
    <w:rsid w:val="00771CCE"/>
    <w:rsid w:val="00771D86"/>
    <w:rsid w:val="00771F8C"/>
    <w:rsid w:val="0077228B"/>
    <w:rsid w:val="0077240E"/>
    <w:rsid w:val="00772B2B"/>
    <w:rsid w:val="00772B8D"/>
    <w:rsid w:val="0077302D"/>
    <w:rsid w:val="007733FA"/>
    <w:rsid w:val="0077345F"/>
    <w:rsid w:val="007736A1"/>
    <w:rsid w:val="007736FF"/>
    <w:rsid w:val="00773DB3"/>
    <w:rsid w:val="00773E9B"/>
    <w:rsid w:val="00774388"/>
    <w:rsid w:val="00774916"/>
    <w:rsid w:val="00774B06"/>
    <w:rsid w:val="00774B0C"/>
    <w:rsid w:val="00774BA8"/>
    <w:rsid w:val="007750BD"/>
    <w:rsid w:val="007752E7"/>
    <w:rsid w:val="0077560F"/>
    <w:rsid w:val="00775834"/>
    <w:rsid w:val="00775F00"/>
    <w:rsid w:val="0077637A"/>
    <w:rsid w:val="00777436"/>
    <w:rsid w:val="00777A64"/>
    <w:rsid w:val="00780DE3"/>
    <w:rsid w:val="00780E0E"/>
    <w:rsid w:val="00781110"/>
    <w:rsid w:val="0078148E"/>
    <w:rsid w:val="00781B6F"/>
    <w:rsid w:val="00781C08"/>
    <w:rsid w:val="007821FB"/>
    <w:rsid w:val="00782AF1"/>
    <w:rsid w:val="0078305C"/>
    <w:rsid w:val="0078366F"/>
    <w:rsid w:val="0078380C"/>
    <w:rsid w:val="00783A81"/>
    <w:rsid w:val="00783C24"/>
    <w:rsid w:val="00783C5C"/>
    <w:rsid w:val="00783D3B"/>
    <w:rsid w:val="0078418D"/>
    <w:rsid w:val="007849EB"/>
    <w:rsid w:val="00784B4D"/>
    <w:rsid w:val="007850A2"/>
    <w:rsid w:val="00785314"/>
    <w:rsid w:val="007856AF"/>
    <w:rsid w:val="00785A92"/>
    <w:rsid w:val="00785C17"/>
    <w:rsid w:val="00785D77"/>
    <w:rsid w:val="0078610B"/>
    <w:rsid w:val="00786349"/>
    <w:rsid w:val="00786520"/>
    <w:rsid w:val="00787309"/>
    <w:rsid w:val="00787389"/>
    <w:rsid w:val="00787491"/>
    <w:rsid w:val="007878DB"/>
    <w:rsid w:val="00787E47"/>
    <w:rsid w:val="007902B3"/>
    <w:rsid w:val="007902D9"/>
    <w:rsid w:val="0079054D"/>
    <w:rsid w:val="00790606"/>
    <w:rsid w:val="00790A49"/>
    <w:rsid w:val="00790A56"/>
    <w:rsid w:val="0079182F"/>
    <w:rsid w:val="00791AA8"/>
    <w:rsid w:val="00791C3B"/>
    <w:rsid w:val="007921C4"/>
    <w:rsid w:val="007923D0"/>
    <w:rsid w:val="0079281F"/>
    <w:rsid w:val="007930E7"/>
    <w:rsid w:val="007939B9"/>
    <w:rsid w:val="00793C9F"/>
    <w:rsid w:val="00793E46"/>
    <w:rsid w:val="007941EE"/>
    <w:rsid w:val="0079479D"/>
    <w:rsid w:val="007949A4"/>
    <w:rsid w:val="0079575F"/>
    <w:rsid w:val="00795CDE"/>
    <w:rsid w:val="00795DB8"/>
    <w:rsid w:val="00795EE4"/>
    <w:rsid w:val="00795F20"/>
    <w:rsid w:val="00796300"/>
    <w:rsid w:val="00796656"/>
    <w:rsid w:val="00796831"/>
    <w:rsid w:val="00796884"/>
    <w:rsid w:val="00796C1D"/>
    <w:rsid w:val="00796F23"/>
    <w:rsid w:val="00797152"/>
    <w:rsid w:val="007972E6"/>
    <w:rsid w:val="00797743"/>
    <w:rsid w:val="007979B6"/>
    <w:rsid w:val="00797B3E"/>
    <w:rsid w:val="00797FCC"/>
    <w:rsid w:val="007A0068"/>
    <w:rsid w:val="007A0614"/>
    <w:rsid w:val="007A0733"/>
    <w:rsid w:val="007A09B8"/>
    <w:rsid w:val="007A0DE3"/>
    <w:rsid w:val="007A1087"/>
    <w:rsid w:val="007A135D"/>
    <w:rsid w:val="007A1485"/>
    <w:rsid w:val="007A1BF0"/>
    <w:rsid w:val="007A1C21"/>
    <w:rsid w:val="007A2122"/>
    <w:rsid w:val="007A2196"/>
    <w:rsid w:val="007A24A5"/>
    <w:rsid w:val="007A2BAF"/>
    <w:rsid w:val="007A2FD6"/>
    <w:rsid w:val="007A31E7"/>
    <w:rsid w:val="007A3372"/>
    <w:rsid w:val="007A33CF"/>
    <w:rsid w:val="007A3614"/>
    <w:rsid w:val="007A38C1"/>
    <w:rsid w:val="007A3F61"/>
    <w:rsid w:val="007A445B"/>
    <w:rsid w:val="007A46F4"/>
    <w:rsid w:val="007A4778"/>
    <w:rsid w:val="007A486D"/>
    <w:rsid w:val="007A5112"/>
    <w:rsid w:val="007A531D"/>
    <w:rsid w:val="007A5A4D"/>
    <w:rsid w:val="007A5BD6"/>
    <w:rsid w:val="007A622C"/>
    <w:rsid w:val="007A629A"/>
    <w:rsid w:val="007A64C9"/>
    <w:rsid w:val="007A6859"/>
    <w:rsid w:val="007A6A1B"/>
    <w:rsid w:val="007A6ABD"/>
    <w:rsid w:val="007A6D18"/>
    <w:rsid w:val="007A6DA1"/>
    <w:rsid w:val="007A7602"/>
    <w:rsid w:val="007A7A9B"/>
    <w:rsid w:val="007A7EF2"/>
    <w:rsid w:val="007A7FA4"/>
    <w:rsid w:val="007B01DB"/>
    <w:rsid w:val="007B0270"/>
    <w:rsid w:val="007B0277"/>
    <w:rsid w:val="007B049F"/>
    <w:rsid w:val="007B0E51"/>
    <w:rsid w:val="007B1A89"/>
    <w:rsid w:val="007B1DEE"/>
    <w:rsid w:val="007B2312"/>
    <w:rsid w:val="007B25BD"/>
    <w:rsid w:val="007B2983"/>
    <w:rsid w:val="007B2B0B"/>
    <w:rsid w:val="007B2C30"/>
    <w:rsid w:val="007B32F0"/>
    <w:rsid w:val="007B3428"/>
    <w:rsid w:val="007B349E"/>
    <w:rsid w:val="007B3578"/>
    <w:rsid w:val="007B3683"/>
    <w:rsid w:val="007B3D84"/>
    <w:rsid w:val="007B3E6D"/>
    <w:rsid w:val="007B409A"/>
    <w:rsid w:val="007B41B7"/>
    <w:rsid w:val="007B460F"/>
    <w:rsid w:val="007B4A6E"/>
    <w:rsid w:val="007B4A94"/>
    <w:rsid w:val="007B4BAE"/>
    <w:rsid w:val="007B5824"/>
    <w:rsid w:val="007B5B5D"/>
    <w:rsid w:val="007B5BCC"/>
    <w:rsid w:val="007B66C4"/>
    <w:rsid w:val="007B687F"/>
    <w:rsid w:val="007B6CE4"/>
    <w:rsid w:val="007B75AD"/>
    <w:rsid w:val="007B7E43"/>
    <w:rsid w:val="007B7E6A"/>
    <w:rsid w:val="007C01B4"/>
    <w:rsid w:val="007C0271"/>
    <w:rsid w:val="007C0F7F"/>
    <w:rsid w:val="007C0FC2"/>
    <w:rsid w:val="007C130A"/>
    <w:rsid w:val="007C13B0"/>
    <w:rsid w:val="007C20AD"/>
    <w:rsid w:val="007C2A17"/>
    <w:rsid w:val="007C2B5C"/>
    <w:rsid w:val="007C2CF3"/>
    <w:rsid w:val="007C2D15"/>
    <w:rsid w:val="007C2D74"/>
    <w:rsid w:val="007C2F55"/>
    <w:rsid w:val="007C310D"/>
    <w:rsid w:val="007C31AC"/>
    <w:rsid w:val="007C34CC"/>
    <w:rsid w:val="007C3722"/>
    <w:rsid w:val="007C3860"/>
    <w:rsid w:val="007C3A45"/>
    <w:rsid w:val="007C3DCC"/>
    <w:rsid w:val="007C41A1"/>
    <w:rsid w:val="007C4546"/>
    <w:rsid w:val="007C4CA2"/>
    <w:rsid w:val="007C4CEB"/>
    <w:rsid w:val="007C57D1"/>
    <w:rsid w:val="007C5ED9"/>
    <w:rsid w:val="007C6505"/>
    <w:rsid w:val="007C6F37"/>
    <w:rsid w:val="007C70A6"/>
    <w:rsid w:val="007C7312"/>
    <w:rsid w:val="007C7754"/>
    <w:rsid w:val="007C7780"/>
    <w:rsid w:val="007C77B5"/>
    <w:rsid w:val="007C77E0"/>
    <w:rsid w:val="007C7823"/>
    <w:rsid w:val="007C7967"/>
    <w:rsid w:val="007C7C4E"/>
    <w:rsid w:val="007C7FDD"/>
    <w:rsid w:val="007D020A"/>
    <w:rsid w:val="007D05C3"/>
    <w:rsid w:val="007D130C"/>
    <w:rsid w:val="007D189A"/>
    <w:rsid w:val="007D18EA"/>
    <w:rsid w:val="007D1C4C"/>
    <w:rsid w:val="007D1C9D"/>
    <w:rsid w:val="007D1F9E"/>
    <w:rsid w:val="007D215F"/>
    <w:rsid w:val="007D216F"/>
    <w:rsid w:val="007D21AC"/>
    <w:rsid w:val="007D227E"/>
    <w:rsid w:val="007D229F"/>
    <w:rsid w:val="007D26B8"/>
    <w:rsid w:val="007D28E7"/>
    <w:rsid w:val="007D2A7E"/>
    <w:rsid w:val="007D372E"/>
    <w:rsid w:val="007D38C3"/>
    <w:rsid w:val="007D39E0"/>
    <w:rsid w:val="007D3F71"/>
    <w:rsid w:val="007D458A"/>
    <w:rsid w:val="007D4603"/>
    <w:rsid w:val="007D5261"/>
    <w:rsid w:val="007D59F6"/>
    <w:rsid w:val="007D5FBB"/>
    <w:rsid w:val="007D63E4"/>
    <w:rsid w:val="007D65E7"/>
    <w:rsid w:val="007D6610"/>
    <w:rsid w:val="007D67B5"/>
    <w:rsid w:val="007D68C7"/>
    <w:rsid w:val="007D6A76"/>
    <w:rsid w:val="007D6E1D"/>
    <w:rsid w:val="007D6F7C"/>
    <w:rsid w:val="007D7993"/>
    <w:rsid w:val="007D7D65"/>
    <w:rsid w:val="007E060B"/>
    <w:rsid w:val="007E0662"/>
    <w:rsid w:val="007E068A"/>
    <w:rsid w:val="007E107B"/>
    <w:rsid w:val="007E1269"/>
    <w:rsid w:val="007E126F"/>
    <w:rsid w:val="007E172B"/>
    <w:rsid w:val="007E1A35"/>
    <w:rsid w:val="007E2771"/>
    <w:rsid w:val="007E280E"/>
    <w:rsid w:val="007E2E02"/>
    <w:rsid w:val="007E3424"/>
    <w:rsid w:val="007E364E"/>
    <w:rsid w:val="007E3C62"/>
    <w:rsid w:val="007E40A6"/>
    <w:rsid w:val="007E4445"/>
    <w:rsid w:val="007E4871"/>
    <w:rsid w:val="007E5981"/>
    <w:rsid w:val="007E599B"/>
    <w:rsid w:val="007E688A"/>
    <w:rsid w:val="007E6DC9"/>
    <w:rsid w:val="007E6ED6"/>
    <w:rsid w:val="007E6FF9"/>
    <w:rsid w:val="007E71AD"/>
    <w:rsid w:val="007E71D2"/>
    <w:rsid w:val="007E7293"/>
    <w:rsid w:val="007E75D4"/>
    <w:rsid w:val="007E76B5"/>
    <w:rsid w:val="007E7B68"/>
    <w:rsid w:val="007E7CA5"/>
    <w:rsid w:val="007E7D99"/>
    <w:rsid w:val="007E7DC0"/>
    <w:rsid w:val="007F07B9"/>
    <w:rsid w:val="007F0CC2"/>
    <w:rsid w:val="007F0EA8"/>
    <w:rsid w:val="007F0FF0"/>
    <w:rsid w:val="007F11F1"/>
    <w:rsid w:val="007F142C"/>
    <w:rsid w:val="007F14CE"/>
    <w:rsid w:val="007F171B"/>
    <w:rsid w:val="007F1907"/>
    <w:rsid w:val="007F1B7F"/>
    <w:rsid w:val="007F1C8E"/>
    <w:rsid w:val="007F1D01"/>
    <w:rsid w:val="007F1E82"/>
    <w:rsid w:val="007F2298"/>
    <w:rsid w:val="007F2502"/>
    <w:rsid w:val="007F2EDD"/>
    <w:rsid w:val="007F2FF2"/>
    <w:rsid w:val="007F30BD"/>
    <w:rsid w:val="007F30DE"/>
    <w:rsid w:val="007F32C2"/>
    <w:rsid w:val="007F33F2"/>
    <w:rsid w:val="007F35C9"/>
    <w:rsid w:val="007F379E"/>
    <w:rsid w:val="007F3DDA"/>
    <w:rsid w:val="007F3E56"/>
    <w:rsid w:val="007F3ED2"/>
    <w:rsid w:val="007F414B"/>
    <w:rsid w:val="007F42B2"/>
    <w:rsid w:val="007F430F"/>
    <w:rsid w:val="007F4468"/>
    <w:rsid w:val="007F44F6"/>
    <w:rsid w:val="007F4630"/>
    <w:rsid w:val="007F48CA"/>
    <w:rsid w:val="007F4C90"/>
    <w:rsid w:val="007F50F9"/>
    <w:rsid w:val="007F5472"/>
    <w:rsid w:val="007F5710"/>
    <w:rsid w:val="007F58A9"/>
    <w:rsid w:val="007F5B2B"/>
    <w:rsid w:val="007F5CBF"/>
    <w:rsid w:val="007F5E44"/>
    <w:rsid w:val="007F5FC0"/>
    <w:rsid w:val="007F624B"/>
    <w:rsid w:val="007F6B9A"/>
    <w:rsid w:val="007F6BF4"/>
    <w:rsid w:val="007F6DD6"/>
    <w:rsid w:val="007F6F05"/>
    <w:rsid w:val="007F7932"/>
    <w:rsid w:val="007F7DF5"/>
    <w:rsid w:val="007F7E51"/>
    <w:rsid w:val="007F7F4B"/>
    <w:rsid w:val="0080012D"/>
    <w:rsid w:val="008002BB"/>
    <w:rsid w:val="008011C2"/>
    <w:rsid w:val="00801484"/>
    <w:rsid w:val="00801860"/>
    <w:rsid w:val="008019B4"/>
    <w:rsid w:val="00801B22"/>
    <w:rsid w:val="00801D30"/>
    <w:rsid w:val="0080223C"/>
    <w:rsid w:val="0080256D"/>
    <w:rsid w:val="0080263E"/>
    <w:rsid w:val="00802699"/>
    <w:rsid w:val="008028DA"/>
    <w:rsid w:val="00803161"/>
    <w:rsid w:val="008034A8"/>
    <w:rsid w:val="00803A1D"/>
    <w:rsid w:val="00803E31"/>
    <w:rsid w:val="00803EFD"/>
    <w:rsid w:val="008040AB"/>
    <w:rsid w:val="00804517"/>
    <w:rsid w:val="00804559"/>
    <w:rsid w:val="008045E1"/>
    <w:rsid w:val="00804EB3"/>
    <w:rsid w:val="00804FE1"/>
    <w:rsid w:val="00804FEB"/>
    <w:rsid w:val="00805100"/>
    <w:rsid w:val="008054D9"/>
    <w:rsid w:val="00805653"/>
    <w:rsid w:val="00805AAA"/>
    <w:rsid w:val="00805D8B"/>
    <w:rsid w:val="008065A1"/>
    <w:rsid w:val="0080673D"/>
    <w:rsid w:val="00806BF6"/>
    <w:rsid w:val="00806CB1"/>
    <w:rsid w:val="00806EAD"/>
    <w:rsid w:val="00807436"/>
    <w:rsid w:val="00807C4E"/>
    <w:rsid w:val="0081058A"/>
    <w:rsid w:val="00811020"/>
    <w:rsid w:val="008110D3"/>
    <w:rsid w:val="00811346"/>
    <w:rsid w:val="008113D3"/>
    <w:rsid w:val="00811850"/>
    <w:rsid w:val="00811C35"/>
    <w:rsid w:val="0081214B"/>
    <w:rsid w:val="0081222B"/>
    <w:rsid w:val="008128A0"/>
    <w:rsid w:val="00812C47"/>
    <w:rsid w:val="00812DF6"/>
    <w:rsid w:val="00813485"/>
    <w:rsid w:val="008135D4"/>
    <w:rsid w:val="008136C8"/>
    <w:rsid w:val="00813927"/>
    <w:rsid w:val="00813A13"/>
    <w:rsid w:val="00813A33"/>
    <w:rsid w:val="00813ABC"/>
    <w:rsid w:val="00813B31"/>
    <w:rsid w:val="00813C56"/>
    <w:rsid w:val="008146EB"/>
    <w:rsid w:val="0081522F"/>
    <w:rsid w:val="00815289"/>
    <w:rsid w:val="008152FE"/>
    <w:rsid w:val="0081535C"/>
    <w:rsid w:val="00815391"/>
    <w:rsid w:val="00815798"/>
    <w:rsid w:val="00816108"/>
    <w:rsid w:val="008161AE"/>
    <w:rsid w:val="0081633D"/>
    <w:rsid w:val="00816760"/>
    <w:rsid w:val="00816DB5"/>
    <w:rsid w:val="00816E67"/>
    <w:rsid w:val="00816F60"/>
    <w:rsid w:val="00816F83"/>
    <w:rsid w:val="0081776C"/>
    <w:rsid w:val="00817860"/>
    <w:rsid w:val="008178D0"/>
    <w:rsid w:val="00817D6D"/>
    <w:rsid w:val="00817FCF"/>
    <w:rsid w:val="00820222"/>
    <w:rsid w:val="008209BF"/>
    <w:rsid w:val="00820E13"/>
    <w:rsid w:val="00820F89"/>
    <w:rsid w:val="00821086"/>
    <w:rsid w:val="0082130F"/>
    <w:rsid w:val="008217C2"/>
    <w:rsid w:val="00821981"/>
    <w:rsid w:val="00821B4B"/>
    <w:rsid w:val="00821F90"/>
    <w:rsid w:val="0082205F"/>
    <w:rsid w:val="00822755"/>
    <w:rsid w:val="00822998"/>
    <w:rsid w:val="0082342C"/>
    <w:rsid w:val="008234AE"/>
    <w:rsid w:val="00823A34"/>
    <w:rsid w:val="00823A56"/>
    <w:rsid w:val="00823AF9"/>
    <w:rsid w:val="00823C6C"/>
    <w:rsid w:val="00823C9E"/>
    <w:rsid w:val="00823EE1"/>
    <w:rsid w:val="00823F78"/>
    <w:rsid w:val="00823FD0"/>
    <w:rsid w:val="00824523"/>
    <w:rsid w:val="00824924"/>
    <w:rsid w:val="00824946"/>
    <w:rsid w:val="00824B96"/>
    <w:rsid w:val="008250E2"/>
    <w:rsid w:val="00825510"/>
    <w:rsid w:val="00825966"/>
    <w:rsid w:val="008260F1"/>
    <w:rsid w:val="008275E3"/>
    <w:rsid w:val="0082775D"/>
    <w:rsid w:val="00827C1C"/>
    <w:rsid w:val="00827C7F"/>
    <w:rsid w:val="00827E4C"/>
    <w:rsid w:val="00830247"/>
    <w:rsid w:val="00830796"/>
    <w:rsid w:val="00830872"/>
    <w:rsid w:val="00830AA1"/>
    <w:rsid w:val="00830CC5"/>
    <w:rsid w:val="00830D02"/>
    <w:rsid w:val="00831507"/>
    <w:rsid w:val="008318F7"/>
    <w:rsid w:val="00831909"/>
    <w:rsid w:val="008322E5"/>
    <w:rsid w:val="008324BE"/>
    <w:rsid w:val="0083275A"/>
    <w:rsid w:val="00832A07"/>
    <w:rsid w:val="00832D2A"/>
    <w:rsid w:val="008335C9"/>
    <w:rsid w:val="008335F2"/>
    <w:rsid w:val="00833B1D"/>
    <w:rsid w:val="00833DE0"/>
    <w:rsid w:val="00833DFF"/>
    <w:rsid w:val="008342E9"/>
    <w:rsid w:val="00834A8D"/>
    <w:rsid w:val="00834B08"/>
    <w:rsid w:val="00834D48"/>
    <w:rsid w:val="00834FAF"/>
    <w:rsid w:val="008350E1"/>
    <w:rsid w:val="0083515A"/>
    <w:rsid w:val="00835402"/>
    <w:rsid w:val="00835669"/>
    <w:rsid w:val="0083583F"/>
    <w:rsid w:val="00835862"/>
    <w:rsid w:val="00835BA2"/>
    <w:rsid w:val="008362E6"/>
    <w:rsid w:val="00836A20"/>
    <w:rsid w:val="00836BA8"/>
    <w:rsid w:val="00836F72"/>
    <w:rsid w:val="00837301"/>
    <w:rsid w:val="00837332"/>
    <w:rsid w:val="008374CA"/>
    <w:rsid w:val="0083787D"/>
    <w:rsid w:val="0083793D"/>
    <w:rsid w:val="00837D4C"/>
    <w:rsid w:val="0084006A"/>
    <w:rsid w:val="00840614"/>
    <w:rsid w:val="00840E4E"/>
    <w:rsid w:val="00840F1A"/>
    <w:rsid w:val="00841135"/>
    <w:rsid w:val="0084120C"/>
    <w:rsid w:val="00841D1E"/>
    <w:rsid w:val="0084256C"/>
    <w:rsid w:val="008426CD"/>
    <w:rsid w:val="00842B2D"/>
    <w:rsid w:val="00843094"/>
    <w:rsid w:val="008433E7"/>
    <w:rsid w:val="00843414"/>
    <w:rsid w:val="0084395D"/>
    <w:rsid w:val="00843BED"/>
    <w:rsid w:val="00843C06"/>
    <w:rsid w:val="008440BE"/>
    <w:rsid w:val="00844242"/>
    <w:rsid w:val="00844E5E"/>
    <w:rsid w:val="00845064"/>
    <w:rsid w:val="00845297"/>
    <w:rsid w:val="008452C5"/>
    <w:rsid w:val="008452D8"/>
    <w:rsid w:val="008459F2"/>
    <w:rsid w:val="008460A6"/>
    <w:rsid w:val="00846127"/>
    <w:rsid w:val="00846405"/>
    <w:rsid w:val="008467EF"/>
    <w:rsid w:val="008468BE"/>
    <w:rsid w:val="00846A77"/>
    <w:rsid w:val="00846B23"/>
    <w:rsid w:val="00846CFF"/>
    <w:rsid w:val="0084743D"/>
    <w:rsid w:val="00847846"/>
    <w:rsid w:val="00847C44"/>
    <w:rsid w:val="00850000"/>
    <w:rsid w:val="00850E64"/>
    <w:rsid w:val="00850EC1"/>
    <w:rsid w:val="00851227"/>
    <w:rsid w:val="00851494"/>
    <w:rsid w:val="008519EC"/>
    <w:rsid w:val="00851B34"/>
    <w:rsid w:val="00851BD0"/>
    <w:rsid w:val="00851BEB"/>
    <w:rsid w:val="008520AA"/>
    <w:rsid w:val="0085247F"/>
    <w:rsid w:val="0085260A"/>
    <w:rsid w:val="00852867"/>
    <w:rsid w:val="008529FE"/>
    <w:rsid w:val="008532D8"/>
    <w:rsid w:val="00853602"/>
    <w:rsid w:val="0085369F"/>
    <w:rsid w:val="00853973"/>
    <w:rsid w:val="00853C3F"/>
    <w:rsid w:val="00853F96"/>
    <w:rsid w:val="008547AF"/>
    <w:rsid w:val="00854A37"/>
    <w:rsid w:val="00854C1A"/>
    <w:rsid w:val="00854D0C"/>
    <w:rsid w:val="00854D90"/>
    <w:rsid w:val="00854DA9"/>
    <w:rsid w:val="00854EF4"/>
    <w:rsid w:val="00854FF9"/>
    <w:rsid w:val="008553D9"/>
    <w:rsid w:val="00855462"/>
    <w:rsid w:val="008555CC"/>
    <w:rsid w:val="0085578E"/>
    <w:rsid w:val="00855A3E"/>
    <w:rsid w:val="00855C7E"/>
    <w:rsid w:val="00855E2B"/>
    <w:rsid w:val="0085673E"/>
    <w:rsid w:val="00856902"/>
    <w:rsid w:val="0085694F"/>
    <w:rsid w:val="008570CA"/>
    <w:rsid w:val="008572BD"/>
    <w:rsid w:val="008572CE"/>
    <w:rsid w:val="00857325"/>
    <w:rsid w:val="0085757C"/>
    <w:rsid w:val="0085769B"/>
    <w:rsid w:val="00857723"/>
    <w:rsid w:val="0085782C"/>
    <w:rsid w:val="0086047E"/>
    <w:rsid w:val="008605C5"/>
    <w:rsid w:val="0086072F"/>
    <w:rsid w:val="0086079A"/>
    <w:rsid w:val="00860DAE"/>
    <w:rsid w:val="00860EB0"/>
    <w:rsid w:val="00861004"/>
    <w:rsid w:val="008610CA"/>
    <w:rsid w:val="008610F1"/>
    <w:rsid w:val="00861469"/>
    <w:rsid w:val="00861EB2"/>
    <w:rsid w:val="00861FD8"/>
    <w:rsid w:val="008626D0"/>
    <w:rsid w:val="008627D2"/>
    <w:rsid w:val="00862B68"/>
    <w:rsid w:val="00862FB3"/>
    <w:rsid w:val="00863562"/>
    <w:rsid w:val="008638B5"/>
    <w:rsid w:val="00863A4B"/>
    <w:rsid w:val="00863EB7"/>
    <w:rsid w:val="00863FBB"/>
    <w:rsid w:val="00864182"/>
    <w:rsid w:val="0086478B"/>
    <w:rsid w:val="00864AB7"/>
    <w:rsid w:val="00864BC6"/>
    <w:rsid w:val="00864DD6"/>
    <w:rsid w:val="00864E1C"/>
    <w:rsid w:val="0086559A"/>
    <w:rsid w:val="00865D6E"/>
    <w:rsid w:val="00865F5C"/>
    <w:rsid w:val="00866022"/>
    <w:rsid w:val="008664E5"/>
    <w:rsid w:val="0086665A"/>
    <w:rsid w:val="008666BE"/>
    <w:rsid w:val="0086699A"/>
    <w:rsid w:val="00866FF3"/>
    <w:rsid w:val="0086710E"/>
    <w:rsid w:val="008675E9"/>
    <w:rsid w:val="00867637"/>
    <w:rsid w:val="00867ADB"/>
    <w:rsid w:val="00870280"/>
    <w:rsid w:val="008702EF"/>
    <w:rsid w:val="00870359"/>
    <w:rsid w:val="008704FC"/>
    <w:rsid w:val="00870502"/>
    <w:rsid w:val="00870BE6"/>
    <w:rsid w:val="00870C25"/>
    <w:rsid w:val="00870E00"/>
    <w:rsid w:val="00870F77"/>
    <w:rsid w:val="00871664"/>
    <w:rsid w:val="008718A7"/>
    <w:rsid w:val="00871D5C"/>
    <w:rsid w:val="00871F42"/>
    <w:rsid w:val="00872039"/>
    <w:rsid w:val="0087308A"/>
    <w:rsid w:val="0087310A"/>
    <w:rsid w:val="00873449"/>
    <w:rsid w:val="00873482"/>
    <w:rsid w:val="0087348E"/>
    <w:rsid w:val="008735F6"/>
    <w:rsid w:val="00873674"/>
    <w:rsid w:val="00873936"/>
    <w:rsid w:val="00873C2D"/>
    <w:rsid w:val="00873CDD"/>
    <w:rsid w:val="00873CFE"/>
    <w:rsid w:val="00873EF4"/>
    <w:rsid w:val="008742A2"/>
    <w:rsid w:val="008742E8"/>
    <w:rsid w:val="0087436E"/>
    <w:rsid w:val="008743DF"/>
    <w:rsid w:val="00874787"/>
    <w:rsid w:val="00874A61"/>
    <w:rsid w:val="008750BA"/>
    <w:rsid w:val="008750BF"/>
    <w:rsid w:val="008752F7"/>
    <w:rsid w:val="00875A9E"/>
    <w:rsid w:val="0087650E"/>
    <w:rsid w:val="0087689F"/>
    <w:rsid w:val="0087694C"/>
    <w:rsid w:val="00876A21"/>
    <w:rsid w:val="00876A65"/>
    <w:rsid w:val="008776F4"/>
    <w:rsid w:val="00877E66"/>
    <w:rsid w:val="00877F4E"/>
    <w:rsid w:val="00877F8E"/>
    <w:rsid w:val="00877F96"/>
    <w:rsid w:val="00880FDC"/>
    <w:rsid w:val="00881118"/>
    <w:rsid w:val="00881266"/>
    <w:rsid w:val="00881620"/>
    <w:rsid w:val="00881670"/>
    <w:rsid w:val="00881756"/>
    <w:rsid w:val="00881848"/>
    <w:rsid w:val="0088194C"/>
    <w:rsid w:val="00881A56"/>
    <w:rsid w:val="00881A5C"/>
    <w:rsid w:val="00881F06"/>
    <w:rsid w:val="008820DC"/>
    <w:rsid w:val="008822A6"/>
    <w:rsid w:val="008823F6"/>
    <w:rsid w:val="00882427"/>
    <w:rsid w:val="008824D1"/>
    <w:rsid w:val="0088257F"/>
    <w:rsid w:val="008825C5"/>
    <w:rsid w:val="00882D34"/>
    <w:rsid w:val="00882EAB"/>
    <w:rsid w:val="00883053"/>
    <w:rsid w:val="00883150"/>
    <w:rsid w:val="00883234"/>
    <w:rsid w:val="008837D1"/>
    <w:rsid w:val="0088383F"/>
    <w:rsid w:val="00883A6C"/>
    <w:rsid w:val="00883DE3"/>
    <w:rsid w:val="00883E60"/>
    <w:rsid w:val="0088414E"/>
    <w:rsid w:val="0088462E"/>
    <w:rsid w:val="00884A15"/>
    <w:rsid w:val="00884D8E"/>
    <w:rsid w:val="008850B7"/>
    <w:rsid w:val="00885457"/>
    <w:rsid w:val="008855FB"/>
    <w:rsid w:val="00885615"/>
    <w:rsid w:val="00885943"/>
    <w:rsid w:val="00885B84"/>
    <w:rsid w:val="00885D1B"/>
    <w:rsid w:val="008865BD"/>
    <w:rsid w:val="008868F9"/>
    <w:rsid w:val="00886E1A"/>
    <w:rsid w:val="00886E51"/>
    <w:rsid w:val="0088786D"/>
    <w:rsid w:val="00887D3E"/>
    <w:rsid w:val="00890063"/>
    <w:rsid w:val="00890654"/>
    <w:rsid w:val="0089077B"/>
    <w:rsid w:val="008909ED"/>
    <w:rsid w:val="0089113C"/>
    <w:rsid w:val="00891287"/>
    <w:rsid w:val="0089149E"/>
    <w:rsid w:val="008915D8"/>
    <w:rsid w:val="00891898"/>
    <w:rsid w:val="00891959"/>
    <w:rsid w:val="008920B5"/>
    <w:rsid w:val="008920FB"/>
    <w:rsid w:val="00892A5F"/>
    <w:rsid w:val="00892B5B"/>
    <w:rsid w:val="00892D67"/>
    <w:rsid w:val="00892EDB"/>
    <w:rsid w:val="00893910"/>
    <w:rsid w:val="00893917"/>
    <w:rsid w:val="0089411C"/>
    <w:rsid w:val="008941E3"/>
    <w:rsid w:val="0089423E"/>
    <w:rsid w:val="0089435A"/>
    <w:rsid w:val="00894A15"/>
    <w:rsid w:val="00894C47"/>
    <w:rsid w:val="00894D5A"/>
    <w:rsid w:val="00895425"/>
    <w:rsid w:val="008955C2"/>
    <w:rsid w:val="008958A1"/>
    <w:rsid w:val="00895A8B"/>
    <w:rsid w:val="00895AD8"/>
    <w:rsid w:val="00895DA5"/>
    <w:rsid w:val="00895DE5"/>
    <w:rsid w:val="00895F79"/>
    <w:rsid w:val="008960C8"/>
    <w:rsid w:val="00896A08"/>
    <w:rsid w:val="00896B93"/>
    <w:rsid w:val="00896F98"/>
    <w:rsid w:val="00897205"/>
    <w:rsid w:val="00897417"/>
    <w:rsid w:val="00897BBB"/>
    <w:rsid w:val="00897DF3"/>
    <w:rsid w:val="00897FA4"/>
    <w:rsid w:val="00897FD2"/>
    <w:rsid w:val="008A021B"/>
    <w:rsid w:val="008A025C"/>
    <w:rsid w:val="008A036E"/>
    <w:rsid w:val="008A060E"/>
    <w:rsid w:val="008A0757"/>
    <w:rsid w:val="008A0998"/>
    <w:rsid w:val="008A0E1B"/>
    <w:rsid w:val="008A1E68"/>
    <w:rsid w:val="008A1F23"/>
    <w:rsid w:val="008A1F59"/>
    <w:rsid w:val="008A2081"/>
    <w:rsid w:val="008A2798"/>
    <w:rsid w:val="008A29B6"/>
    <w:rsid w:val="008A31B8"/>
    <w:rsid w:val="008A3301"/>
    <w:rsid w:val="008A3390"/>
    <w:rsid w:val="008A3904"/>
    <w:rsid w:val="008A40D9"/>
    <w:rsid w:val="008A4646"/>
    <w:rsid w:val="008A473B"/>
    <w:rsid w:val="008A4C95"/>
    <w:rsid w:val="008A4DAB"/>
    <w:rsid w:val="008A4F08"/>
    <w:rsid w:val="008A511B"/>
    <w:rsid w:val="008A56B2"/>
    <w:rsid w:val="008A57A4"/>
    <w:rsid w:val="008A5F47"/>
    <w:rsid w:val="008A677E"/>
    <w:rsid w:val="008A68A8"/>
    <w:rsid w:val="008A6AAB"/>
    <w:rsid w:val="008A6F38"/>
    <w:rsid w:val="008A7235"/>
    <w:rsid w:val="008A742F"/>
    <w:rsid w:val="008A75D4"/>
    <w:rsid w:val="008A773E"/>
    <w:rsid w:val="008A7896"/>
    <w:rsid w:val="008A7A15"/>
    <w:rsid w:val="008A7A4F"/>
    <w:rsid w:val="008B0D42"/>
    <w:rsid w:val="008B136C"/>
    <w:rsid w:val="008B22B3"/>
    <w:rsid w:val="008B2468"/>
    <w:rsid w:val="008B2642"/>
    <w:rsid w:val="008B26F4"/>
    <w:rsid w:val="008B275B"/>
    <w:rsid w:val="008B283D"/>
    <w:rsid w:val="008B29F9"/>
    <w:rsid w:val="008B2C04"/>
    <w:rsid w:val="008B2FCD"/>
    <w:rsid w:val="008B35C9"/>
    <w:rsid w:val="008B3D29"/>
    <w:rsid w:val="008B4117"/>
    <w:rsid w:val="008B45D2"/>
    <w:rsid w:val="008B46E7"/>
    <w:rsid w:val="008B47EF"/>
    <w:rsid w:val="008B4F60"/>
    <w:rsid w:val="008B4F6B"/>
    <w:rsid w:val="008B4FDA"/>
    <w:rsid w:val="008B5131"/>
    <w:rsid w:val="008B5399"/>
    <w:rsid w:val="008B55BA"/>
    <w:rsid w:val="008B56E3"/>
    <w:rsid w:val="008B5B63"/>
    <w:rsid w:val="008B5C38"/>
    <w:rsid w:val="008B5D6C"/>
    <w:rsid w:val="008B5EC0"/>
    <w:rsid w:val="008B5FBE"/>
    <w:rsid w:val="008B5FFA"/>
    <w:rsid w:val="008B6264"/>
    <w:rsid w:val="008B6411"/>
    <w:rsid w:val="008B6DC2"/>
    <w:rsid w:val="008B70EB"/>
    <w:rsid w:val="008B721B"/>
    <w:rsid w:val="008B72D6"/>
    <w:rsid w:val="008B764D"/>
    <w:rsid w:val="008B76A6"/>
    <w:rsid w:val="008B771C"/>
    <w:rsid w:val="008B7FAA"/>
    <w:rsid w:val="008C0003"/>
    <w:rsid w:val="008C027F"/>
    <w:rsid w:val="008C056F"/>
    <w:rsid w:val="008C08C0"/>
    <w:rsid w:val="008C09ED"/>
    <w:rsid w:val="008C0E57"/>
    <w:rsid w:val="008C0FC4"/>
    <w:rsid w:val="008C1247"/>
    <w:rsid w:val="008C130A"/>
    <w:rsid w:val="008C198E"/>
    <w:rsid w:val="008C1AAC"/>
    <w:rsid w:val="008C1BF8"/>
    <w:rsid w:val="008C1E98"/>
    <w:rsid w:val="008C21E2"/>
    <w:rsid w:val="008C22F1"/>
    <w:rsid w:val="008C36CD"/>
    <w:rsid w:val="008C3AA7"/>
    <w:rsid w:val="008C3FBA"/>
    <w:rsid w:val="008C49FF"/>
    <w:rsid w:val="008C51C0"/>
    <w:rsid w:val="008C59C6"/>
    <w:rsid w:val="008C5BFE"/>
    <w:rsid w:val="008C6255"/>
    <w:rsid w:val="008C6489"/>
    <w:rsid w:val="008C655A"/>
    <w:rsid w:val="008C679F"/>
    <w:rsid w:val="008C6DCD"/>
    <w:rsid w:val="008C6EA1"/>
    <w:rsid w:val="008C74BA"/>
    <w:rsid w:val="008C789D"/>
    <w:rsid w:val="008D042F"/>
    <w:rsid w:val="008D0894"/>
    <w:rsid w:val="008D0F66"/>
    <w:rsid w:val="008D14E5"/>
    <w:rsid w:val="008D1612"/>
    <w:rsid w:val="008D16CD"/>
    <w:rsid w:val="008D16DD"/>
    <w:rsid w:val="008D1830"/>
    <w:rsid w:val="008D193B"/>
    <w:rsid w:val="008D197A"/>
    <w:rsid w:val="008D245D"/>
    <w:rsid w:val="008D2A4B"/>
    <w:rsid w:val="008D2C97"/>
    <w:rsid w:val="008D3E9A"/>
    <w:rsid w:val="008D41C8"/>
    <w:rsid w:val="008D43BB"/>
    <w:rsid w:val="008D4816"/>
    <w:rsid w:val="008D4A3A"/>
    <w:rsid w:val="008D4AB7"/>
    <w:rsid w:val="008D4D62"/>
    <w:rsid w:val="008D4E6A"/>
    <w:rsid w:val="008D50DF"/>
    <w:rsid w:val="008D51C5"/>
    <w:rsid w:val="008D54BF"/>
    <w:rsid w:val="008D5E87"/>
    <w:rsid w:val="008D6009"/>
    <w:rsid w:val="008D6B01"/>
    <w:rsid w:val="008D6CBB"/>
    <w:rsid w:val="008D6EB1"/>
    <w:rsid w:val="008D6F1B"/>
    <w:rsid w:val="008D6FA7"/>
    <w:rsid w:val="008D70BD"/>
    <w:rsid w:val="008D7652"/>
    <w:rsid w:val="008D772A"/>
    <w:rsid w:val="008D77C7"/>
    <w:rsid w:val="008D78AF"/>
    <w:rsid w:val="008D7D71"/>
    <w:rsid w:val="008D7FE0"/>
    <w:rsid w:val="008E03C7"/>
    <w:rsid w:val="008E0567"/>
    <w:rsid w:val="008E0972"/>
    <w:rsid w:val="008E097D"/>
    <w:rsid w:val="008E0E1E"/>
    <w:rsid w:val="008E1143"/>
    <w:rsid w:val="008E1842"/>
    <w:rsid w:val="008E1ACA"/>
    <w:rsid w:val="008E1BB7"/>
    <w:rsid w:val="008E1D66"/>
    <w:rsid w:val="008E1EDE"/>
    <w:rsid w:val="008E200D"/>
    <w:rsid w:val="008E22F6"/>
    <w:rsid w:val="008E24EF"/>
    <w:rsid w:val="008E2985"/>
    <w:rsid w:val="008E317D"/>
    <w:rsid w:val="008E3C23"/>
    <w:rsid w:val="008E3C57"/>
    <w:rsid w:val="008E3CB9"/>
    <w:rsid w:val="008E3E44"/>
    <w:rsid w:val="008E41BA"/>
    <w:rsid w:val="008E4276"/>
    <w:rsid w:val="008E42E7"/>
    <w:rsid w:val="008E4386"/>
    <w:rsid w:val="008E4506"/>
    <w:rsid w:val="008E459E"/>
    <w:rsid w:val="008E486D"/>
    <w:rsid w:val="008E4DE9"/>
    <w:rsid w:val="008E588D"/>
    <w:rsid w:val="008E6037"/>
    <w:rsid w:val="008E68C2"/>
    <w:rsid w:val="008E6E20"/>
    <w:rsid w:val="008E6F1A"/>
    <w:rsid w:val="008E7265"/>
    <w:rsid w:val="008E73A2"/>
    <w:rsid w:val="008E74F8"/>
    <w:rsid w:val="008E7707"/>
    <w:rsid w:val="008E7895"/>
    <w:rsid w:val="008E7A8C"/>
    <w:rsid w:val="008E7D79"/>
    <w:rsid w:val="008E7DF1"/>
    <w:rsid w:val="008E7F25"/>
    <w:rsid w:val="008F076E"/>
    <w:rsid w:val="008F0932"/>
    <w:rsid w:val="008F105F"/>
    <w:rsid w:val="008F10A6"/>
    <w:rsid w:val="008F138A"/>
    <w:rsid w:val="008F138B"/>
    <w:rsid w:val="008F146C"/>
    <w:rsid w:val="008F1714"/>
    <w:rsid w:val="008F1D81"/>
    <w:rsid w:val="008F1D88"/>
    <w:rsid w:val="008F2477"/>
    <w:rsid w:val="008F2507"/>
    <w:rsid w:val="008F26DE"/>
    <w:rsid w:val="008F2B30"/>
    <w:rsid w:val="008F2B41"/>
    <w:rsid w:val="008F2B7C"/>
    <w:rsid w:val="008F2BF8"/>
    <w:rsid w:val="008F3166"/>
    <w:rsid w:val="008F3692"/>
    <w:rsid w:val="008F3C3E"/>
    <w:rsid w:val="008F4350"/>
    <w:rsid w:val="008F4480"/>
    <w:rsid w:val="008F491C"/>
    <w:rsid w:val="008F49E1"/>
    <w:rsid w:val="008F4CE0"/>
    <w:rsid w:val="008F4DC2"/>
    <w:rsid w:val="008F4EE9"/>
    <w:rsid w:val="008F50D8"/>
    <w:rsid w:val="008F5C6F"/>
    <w:rsid w:val="008F5F29"/>
    <w:rsid w:val="008F61B3"/>
    <w:rsid w:val="008F61F7"/>
    <w:rsid w:val="008F6496"/>
    <w:rsid w:val="008F694C"/>
    <w:rsid w:val="008F6B34"/>
    <w:rsid w:val="008F6D0A"/>
    <w:rsid w:val="008F70B5"/>
    <w:rsid w:val="008F7236"/>
    <w:rsid w:val="008F736C"/>
    <w:rsid w:val="008F790B"/>
    <w:rsid w:val="008F7B0C"/>
    <w:rsid w:val="008F7BDB"/>
    <w:rsid w:val="008F7D02"/>
    <w:rsid w:val="008F7DAF"/>
    <w:rsid w:val="00900132"/>
    <w:rsid w:val="009007FE"/>
    <w:rsid w:val="00900977"/>
    <w:rsid w:val="009009EB"/>
    <w:rsid w:val="00900B4A"/>
    <w:rsid w:val="00900CB7"/>
    <w:rsid w:val="00900DAB"/>
    <w:rsid w:val="0090110F"/>
    <w:rsid w:val="00901468"/>
    <w:rsid w:val="00901D86"/>
    <w:rsid w:val="00901EFE"/>
    <w:rsid w:val="00901F43"/>
    <w:rsid w:val="009022B8"/>
    <w:rsid w:val="00902921"/>
    <w:rsid w:val="00902B9A"/>
    <w:rsid w:val="00902E56"/>
    <w:rsid w:val="00902E86"/>
    <w:rsid w:val="00903B9E"/>
    <w:rsid w:val="00903C89"/>
    <w:rsid w:val="00903E9A"/>
    <w:rsid w:val="00903F98"/>
    <w:rsid w:val="00904598"/>
    <w:rsid w:val="0090493B"/>
    <w:rsid w:val="00904A74"/>
    <w:rsid w:val="00904D72"/>
    <w:rsid w:val="00904DED"/>
    <w:rsid w:val="00904E41"/>
    <w:rsid w:val="00904F0F"/>
    <w:rsid w:val="009051CA"/>
    <w:rsid w:val="009056AC"/>
    <w:rsid w:val="00905869"/>
    <w:rsid w:val="0090704F"/>
    <w:rsid w:val="009071B6"/>
    <w:rsid w:val="00907DBE"/>
    <w:rsid w:val="00910105"/>
    <w:rsid w:val="009107A0"/>
    <w:rsid w:val="00910862"/>
    <w:rsid w:val="00910966"/>
    <w:rsid w:val="00910C31"/>
    <w:rsid w:val="009112EA"/>
    <w:rsid w:val="0091157C"/>
    <w:rsid w:val="009116ED"/>
    <w:rsid w:val="00911BF2"/>
    <w:rsid w:val="00911C4F"/>
    <w:rsid w:val="00911E48"/>
    <w:rsid w:val="009125C9"/>
    <w:rsid w:val="0091277A"/>
    <w:rsid w:val="00912A52"/>
    <w:rsid w:val="00913106"/>
    <w:rsid w:val="00913953"/>
    <w:rsid w:val="00914068"/>
    <w:rsid w:val="00914096"/>
    <w:rsid w:val="00914120"/>
    <w:rsid w:val="009146EB"/>
    <w:rsid w:val="009147CC"/>
    <w:rsid w:val="009148B9"/>
    <w:rsid w:val="00914C0D"/>
    <w:rsid w:val="00915202"/>
    <w:rsid w:val="0091560E"/>
    <w:rsid w:val="00915887"/>
    <w:rsid w:val="0091597B"/>
    <w:rsid w:val="00915C33"/>
    <w:rsid w:val="00915F23"/>
    <w:rsid w:val="00916263"/>
    <w:rsid w:val="009162EE"/>
    <w:rsid w:val="00916488"/>
    <w:rsid w:val="0091671C"/>
    <w:rsid w:val="0091680C"/>
    <w:rsid w:val="00916A82"/>
    <w:rsid w:val="00916BE6"/>
    <w:rsid w:val="00916F78"/>
    <w:rsid w:val="009175D7"/>
    <w:rsid w:val="009177A1"/>
    <w:rsid w:val="00917CE1"/>
    <w:rsid w:val="009200E3"/>
    <w:rsid w:val="00920488"/>
    <w:rsid w:val="009207EF"/>
    <w:rsid w:val="00920EA4"/>
    <w:rsid w:val="009211E2"/>
    <w:rsid w:val="00921238"/>
    <w:rsid w:val="00921743"/>
    <w:rsid w:val="00921869"/>
    <w:rsid w:val="009219E9"/>
    <w:rsid w:val="00921E38"/>
    <w:rsid w:val="00921E72"/>
    <w:rsid w:val="009222B1"/>
    <w:rsid w:val="00922336"/>
    <w:rsid w:val="00923035"/>
    <w:rsid w:val="00923178"/>
    <w:rsid w:val="00923DA9"/>
    <w:rsid w:val="009246CE"/>
    <w:rsid w:val="00924A67"/>
    <w:rsid w:val="00924C34"/>
    <w:rsid w:val="00924D95"/>
    <w:rsid w:val="00925228"/>
    <w:rsid w:val="009252C0"/>
    <w:rsid w:val="00925984"/>
    <w:rsid w:val="00925D96"/>
    <w:rsid w:val="0092651B"/>
    <w:rsid w:val="00926558"/>
    <w:rsid w:val="00926B06"/>
    <w:rsid w:val="00926E21"/>
    <w:rsid w:val="00926F23"/>
    <w:rsid w:val="0092726C"/>
    <w:rsid w:val="0092763D"/>
    <w:rsid w:val="00927B1D"/>
    <w:rsid w:val="00927C0D"/>
    <w:rsid w:val="0093017D"/>
    <w:rsid w:val="009302E3"/>
    <w:rsid w:val="00930483"/>
    <w:rsid w:val="009309D0"/>
    <w:rsid w:val="00930A37"/>
    <w:rsid w:val="00930D25"/>
    <w:rsid w:val="00930E6D"/>
    <w:rsid w:val="00931681"/>
    <w:rsid w:val="00931BC4"/>
    <w:rsid w:val="0093255A"/>
    <w:rsid w:val="009327D8"/>
    <w:rsid w:val="00932BAE"/>
    <w:rsid w:val="00932E2B"/>
    <w:rsid w:val="0093351C"/>
    <w:rsid w:val="00933742"/>
    <w:rsid w:val="0093392D"/>
    <w:rsid w:val="00933A74"/>
    <w:rsid w:val="00933A92"/>
    <w:rsid w:val="00933AA8"/>
    <w:rsid w:val="00933FF0"/>
    <w:rsid w:val="0093443B"/>
    <w:rsid w:val="009348A5"/>
    <w:rsid w:val="00934A1E"/>
    <w:rsid w:val="00934A49"/>
    <w:rsid w:val="00934A5C"/>
    <w:rsid w:val="00934C26"/>
    <w:rsid w:val="00934E9B"/>
    <w:rsid w:val="0093555B"/>
    <w:rsid w:val="0093563E"/>
    <w:rsid w:val="00935789"/>
    <w:rsid w:val="00935B60"/>
    <w:rsid w:val="00935C5C"/>
    <w:rsid w:val="00935E37"/>
    <w:rsid w:val="00935E6F"/>
    <w:rsid w:val="009363F2"/>
    <w:rsid w:val="0093640E"/>
    <w:rsid w:val="00936817"/>
    <w:rsid w:val="00936A03"/>
    <w:rsid w:val="00937145"/>
    <w:rsid w:val="009373B2"/>
    <w:rsid w:val="0093774E"/>
    <w:rsid w:val="00937B77"/>
    <w:rsid w:val="0094044C"/>
    <w:rsid w:val="0094055E"/>
    <w:rsid w:val="009406E5"/>
    <w:rsid w:val="0094078D"/>
    <w:rsid w:val="0094099B"/>
    <w:rsid w:val="00940B99"/>
    <w:rsid w:val="00940CD1"/>
    <w:rsid w:val="00940DCC"/>
    <w:rsid w:val="00940F78"/>
    <w:rsid w:val="00940FA3"/>
    <w:rsid w:val="009422A0"/>
    <w:rsid w:val="00942324"/>
    <w:rsid w:val="009427A5"/>
    <w:rsid w:val="00942AB4"/>
    <w:rsid w:val="00942E26"/>
    <w:rsid w:val="009436F0"/>
    <w:rsid w:val="0094390D"/>
    <w:rsid w:val="00943924"/>
    <w:rsid w:val="009444D6"/>
    <w:rsid w:val="009446B8"/>
    <w:rsid w:val="00944965"/>
    <w:rsid w:val="00944A0C"/>
    <w:rsid w:val="00944C2D"/>
    <w:rsid w:val="00944C4E"/>
    <w:rsid w:val="00944F18"/>
    <w:rsid w:val="00944F2B"/>
    <w:rsid w:val="009452E2"/>
    <w:rsid w:val="009452E3"/>
    <w:rsid w:val="00945334"/>
    <w:rsid w:val="0094598A"/>
    <w:rsid w:val="00945B47"/>
    <w:rsid w:val="00945BDD"/>
    <w:rsid w:val="00945D9A"/>
    <w:rsid w:val="00945F2D"/>
    <w:rsid w:val="00946156"/>
    <w:rsid w:val="00946658"/>
    <w:rsid w:val="00946A77"/>
    <w:rsid w:val="009474C2"/>
    <w:rsid w:val="009478DD"/>
    <w:rsid w:val="00947989"/>
    <w:rsid w:val="009479DF"/>
    <w:rsid w:val="00947C7D"/>
    <w:rsid w:val="00947F99"/>
    <w:rsid w:val="00950480"/>
    <w:rsid w:val="00950C4E"/>
    <w:rsid w:val="00950E27"/>
    <w:rsid w:val="00951147"/>
    <w:rsid w:val="00951294"/>
    <w:rsid w:val="009516EC"/>
    <w:rsid w:val="00952160"/>
    <w:rsid w:val="00952376"/>
    <w:rsid w:val="009526F2"/>
    <w:rsid w:val="009528D2"/>
    <w:rsid w:val="00952FA0"/>
    <w:rsid w:val="009535EB"/>
    <w:rsid w:val="00953A90"/>
    <w:rsid w:val="00953C04"/>
    <w:rsid w:val="00953D5F"/>
    <w:rsid w:val="00953F24"/>
    <w:rsid w:val="009545ED"/>
    <w:rsid w:val="00954710"/>
    <w:rsid w:val="00954726"/>
    <w:rsid w:val="00954A23"/>
    <w:rsid w:val="00954B34"/>
    <w:rsid w:val="00954FD2"/>
    <w:rsid w:val="00955797"/>
    <w:rsid w:val="00955ED2"/>
    <w:rsid w:val="00955F35"/>
    <w:rsid w:val="00955FF7"/>
    <w:rsid w:val="0095609D"/>
    <w:rsid w:val="009565C4"/>
    <w:rsid w:val="009566CB"/>
    <w:rsid w:val="00956CD4"/>
    <w:rsid w:val="00956E99"/>
    <w:rsid w:val="00956EAD"/>
    <w:rsid w:val="009577E0"/>
    <w:rsid w:val="00957A9D"/>
    <w:rsid w:val="00957AD0"/>
    <w:rsid w:val="00957D85"/>
    <w:rsid w:val="00957DB1"/>
    <w:rsid w:val="0096009F"/>
    <w:rsid w:val="009600DE"/>
    <w:rsid w:val="0096014C"/>
    <w:rsid w:val="00960548"/>
    <w:rsid w:val="00960B7E"/>
    <w:rsid w:val="00960DDB"/>
    <w:rsid w:val="00960E19"/>
    <w:rsid w:val="009611A8"/>
    <w:rsid w:val="009616D8"/>
    <w:rsid w:val="0096191A"/>
    <w:rsid w:val="00961A30"/>
    <w:rsid w:val="00961E9A"/>
    <w:rsid w:val="00961F57"/>
    <w:rsid w:val="00961F7F"/>
    <w:rsid w:val="0096245A"/>
    <w:rsid w:val="00962472"/>
    <w:rsid w:val="0096256E"/>
    <w:rsid w:val="009626FB"/>
    <w:rsid w:val="009629F4"/>
    <w:rsid w:val="00962B57"/>
    <w:rsid w:val="00962BFB"/>
    <w:rsid w:val="00962DEC"/>
    <w:rsid w:val="00962EAA"/>
    <w:rsid w:val="00962ED1"/>
    <w:rsid w:val="0096323F"/>
    <w:rsid w:val="009634E0"/>
    <w:rsid w:val="00963922"/>
    <w:rsid w:val="00963BD7"/>
    <w:rsid w:val="00963C37"/>
    <w:rsid w:val="00963CD9"/>
    <w:rsid w:val="00963D69"/>
    <w:rsid w:val="0096408D"/>
    <w:rsid w:val="0096454F"/>
    <w:rsid w:val="00964702"/>
    <w:rsid w:val="00964EEA"/>
    <w:rsid w:val="00964FF3"/>
    <w:rsid w:val="00965B44"/>
    <w:rsid w:val="00965DBD"/>
    <w:rsid w:val="009662A4"/>
    <w:rsid w:val="009665D2"/>
    <w:rsid w:val="00966A5F"/>
    <w:rsid w:val="00966D1A"/>
    <w:rsid w:val="00966F31"/>
    <w:rsid w:val="00966F34"/>
    <w:rsid w:val="00967772"/>
    <w:rsid w:val="009677D5"/>
    <w:rsid w:val="00967DC3"/>
    <w:rsid w:val="0097005A"/>
    <w:rsid w:val="009701EB"/>
    <w:rsid w:val="009704CF"/>
    <w:rsid w:val="009717BC"/>
    <w:rsid w:val="00971C24"/>
    <w:rsid w:val="0097208E"/>
    <w:rsid w:val="00972208"/>
    <w:rsid w:val="009727FF"/>
    <w:rsid w:val="00972E1E"/>
    <w:rsid w:val="00973350"/>
    <w:rsid w:val="00973595"/>
    <w:rsid w:val="009736B9"/>
    <w:rsid w:val="00973A11"/>
    <w:rsid w:val="00974778"/>
    <w:rsid w:val="0097481D"/>
    <w:rsid w:val="0097484B"/>
    <w:rsid w:val="0097498F"/>
    <w:rsid w:val="00974A3B"/>
    <w:rsid w:val="00975269"/>
    <w:rsid w:val="0097552D"/>
    <w:rsid w:val="009756C8"/>
    <w:rsid w:val="00975B33"/>
    <w:rsid w:val="00976932"/>
    <w:rsid w:val="00976DDB"/>
    <w:rsid w:val="009772D6"/>
    <w:rsid w:val="009774FB"/>
    <w:rsid w:val="009778C1"/>
    <w:rsid w:val="00977B91"/>
    <w:rsid w:val="00977C97"/>
    <w:rsid w:val="00977FC0"/>
    <w:rsid w:val="00977FCE"/>
    <w:rsid w:val="00980043"/>
    <w:rsid w:val="009807BF"/>
    <w:rsid w:val="009808B9"/>
    <w:rsid w:val="009811E2"/>
    <w:rsid w:val="00981618"/>
    <w:rsid w:val="00981F48"/>
    <w:rsid w:val="009821BA"/>
    <w:rsid w:val="00982684"/>
    <w:rsid w:val="009829D8"/>
    <w:rsid w:val="0098336F"/>
    <w:rsid w:val="009833CB"/>
    <w:rsid w:val="00983490"/>
    <w:rsid w:val="00983624"/>
    <w:rsid w:val="00983F2D"/>
    <w:rsid w:val="00984205"/>
    <w:rsid w:val="00984364"/>
    <w:rsid w:val="009843C7"/>
    <w:rsid w:val="00984441"/>
    <w:rsid w:val="00984568"/>
    <w:rsid w:val="0098472A"/>
    <w:rsid w:val="00984738"/>
    <w:rsid w:val="00984E35"/>
    <w:rsid w:val="00984EDF"/>
    <w:rsid w:val="009854C0"/>
    <w:rsid w:val="00985896"/>
    <w:rsid w:val="00985B05"/>
    <w:rsid w:val="00985D93"/>
    <w:rsid w:val="00985DE2"/>
    <w:rsid w:val="00985F8A"/>
    <w:rsid w:val="00986584"/>
    <w:rsid w:val="00986A1D"/>
    <w:rsid w:val="00986A50"/>
    <w:rsid w:val="009875A6"/>
    <w:rsid w:val="00987BAF"/>
    <w:rsid w:val="00987E05"/>
    <w:rsid w:val="00987F24"/>
    <w:rsid w:val="0099023A"/>
    <w:rsid w:val="00990D82"/>
    <w:rsid w:val="00990EDE"/>
    <w:rsid w:val="00991031"/>
    <w:rsid w:val="00991216"/>
    <w:rsid w:val="0099149B"/>
    <w:rsid w:val="009915B9"/>
    <w:rsid w:val="0099179E"/>
    <w:rsid w:val="009921ED"/>
    <w:rsid w:val="00992220"/>
    <w:rsid w:val="00992A7A"/>
    <w:rsid w:val="0099302C"/>
    <w:rsid w:val="00993090"/>
    <w:rsid w:val="009931DC"/>
    <w:rsid w:val="0099337B"/>
    <w:rsid w:val="00993413"/>
    <w:rsid w:val="00993418"/>
    <w:rsid w:val="0099364A"/>
    <w:rsid w:val="00993B96"/>
    <w:rsid w:val="00993C0C"/>
    <w:rsid w:val="00993ED6"/>
    <w:rsid w:val="00993F5F"/>
    <w:rsid w:val="00993F79"/>
    <w:rsid w:val="00994BC9"/>
    <w:rsid w:val="00994D03"/>
    <w:rsid w:val="00994D55"/>
    <w:rsid w:val="00994FAB"/>
    <w:rsid w:val="00995326"/>
    <w:rsid w:val="00995AFB"/>
    <w:rsid w:val="00995BF0"/>
    <w:rsid w:val="00995D26"/>
    <w:rsid w:val="009961B6"/>
    <w:rsid w:val="00996297"/>
    <w:rsid w:val="00996363"/>
    <w:rsid w:val="009966F5"/>
    <w:rsid w:val="0099681B"/>
    <w:rsid w:val="0099682F"/>
    <w:rsid w:val="00996942"/>
    <w:rsid w:val="00996F47"/>
    <w:rsid w:val="00997356"/>
    <w:rsid w:val="009976FC"/>
    <w:rsid w:val="00997A41"/>
    <w:rsid w:val="00997B2A"/>
    <w:rsid w:val="00997DAF"/>
    <w:rsid w:val="00997F98"/>
    <w:rsid w:val="009A0302"/>
    <w:rsid w:val="009A0CE5"/>
    <w:rsid w:val="009A0DDE"/>
    <w:rsid w:val="009A2399"/>
    <w:rsid w:val="009A3147"/>
    <w:rsid w:val="009A3633"/>
    <w:rsid w:val="009A4192"/>
    <w:rsid w:val="009A435B"/>
    <w:rsid w:val="009A4527"/>
    <w:rsid w:val="009A4609"/>
    <w:rsid w:val="009A4743"/>
    <w:rsid w:val="009A4C33"/>
    <w:rsid w:val="009A4CD2"/>
    <w:rsid w:val="009A4D6A"/>
    <w:rsid w:val="009A4F6A"/>
    <w:rsid w:val="009A50C3"/>
    <w:rsid w:val="009A53EE"/>
    <w:rsid w:val="009A5F02"/>
    <w:rsid w:val="009A604D"/>
    <w:rsid w:val="009A6073"/>
    <w:rsid w:val="009A7565"/>
    <w:rsid w:val="009A76FB"/>
    <w:rsid w:val="009A7C25"/>
    <w:rsid w:val="009B03D6"/>
    <w:rsid w:val="009B0C55"/>
    <w:rsid w:val="009B0F31"/>
    <w:rsid w:val="009B1045"/>
    <w:rsid w:val="009B1CF7"/>
    <w:rsid w:val="009B1D1A"/>
    <w:rsid w:val="009B1ED2"/>
    <w:rsid w:val="009B1F8F"/>
    <w:rsid w:val="009B1FAE"/>
    <w:rsid w:val="009B225B"/>
    <w:rsid w:val="009B251E"/>
    <w:rsid w:val="009B27A2"/>
    <w:rsid w:val="009B2B2A"/>
    <w:rsid w:val="009B2CE9"/>
    <w:rsid w:val="009B36A7"/>
    <w:rsid w:val="009B3775"/>
    <w:rsid w:val="009B3C4F"/>
    <w:rsid w:val="009B3E20"/>
    <w:rsid w:val="009B3FEA"/>
    <w:rsid w:val="009B40AF"/>
    <w:rsid w:val="009B432E"/>
    <w:rsid w:val="009B4560"/>
    <w:rsid w:val="009B45A9"/>
    <w:rsid w:val="009B486F"/>
    <w:rsid w:val="009B4B45"/>
    <w:rsid w:val="009B4CD8"/>
    <w:rsid w:val="009B4FA8"/>
    <w:rsid w:val="009B534C"/>
    <w:rsid w:val="009B5C40"/>
    <w:rsid w:val="009B5F2D"/>
    <w:rsid w:val="009B605D"/>
    <w:rsid w:val="009B64CE"/>
    <w:rsid w:val="009B6680"/>
    <w:rsid w:val="009B755D"/>
    <w:rsid w:val="009B773C"/>
    <w:rsid w:val="009B77A4"/>
    <w:rsid w:val="009B799A"/>
    <w:rsid w:val="009B7DA4"/>
    <w:rsid w:val="009B7DDB"/>
    <w:rsid w:val="009B7EB1"/>
    <w:rsid w:val="009C07A1"/>
    <w:rsid w:val="009C08BC"/>
    <w:rsid w:val="009C0C3B"/>
    <w:rsid w:val="009C0F5B"/>
    <w:rsid w:val="009C0F9D"/>
    <w:rsid w:val="009C124E"/>
    <w:rsid w:val="009C15D2"/>
    <w:rsid w:val="009C2326"/>
    <w:rsid w:val="009C2444"/>
    <w:rsid w:val="009C24AF"/>
    <w:rsid w:val="009C24DE"/>
    <w:rsid w:val="009C24E3"/>
    <w:rsid w:val="009C259E"/>
    <w:rsid w:val="009C2963"/>
    <w:rsid w:val="009C2C00"/>
    <w:rsid w:val="009C2CB2"/>
    <w:rsid w:val="009C2DE8"/>
    <w:rsid w:val="009C348D"/>
    <w:rsid w:val="009C3835"/>
    <w:rsid w:val="009C40FA"/>
    <w:rsid w:val="009C48D9"/>
    <w:rsid w:val="009C57E9"/>
    <w:rsid w:val="009C582C"/>
    <w:rsid w:val="009C5BBE"/>
    <w:rsid w:val="009C5F5B"/>
    <w:rsid w:val="009C60D4"/>
    <w:rsid w:val="009C631C"/>
    <w:rsid w:val="009C6453"/>
    <w:rsid w:val="009C6530"/>
    <w:rsid w:val="009C6DB3"/>
    <w:rsid w:val="009C6F1E"/>
    <w:rsid w:val="009C7665"/>
    <w:rsid w:val="009C766B"/>
    <w:rsid w:val="009C7BDE"/>
    <w:rsid w:val="009D03CA"/>
    <w:rsid w:val="009D0472"/>
    <w:rsid w:val="009D052B"/>
    <w:rsid w:val="009D057A"/>
    <w:rsid w:val="009D0819"/>
    <w:rsid w:val="009D08D3"/>
    <w:rsid w:val="009D0B85"/>
    <w:rsid w:val="009D0C87"/>
    <w:rsid w:val="009D0F1F"/>
    <w:rsid w:val="009D1665"/>
    <w:rsid w:val="009D1684"/>
    <w:rsid w:val="009D1B4A"/>
    <w:rsid w:val="009D235B"/>
    <w:rsid w:val="009D2474"/>
    <w:rsid w:val="009D2670"/>
    <w:rsid w:val="009D2699"/>
    <w:rsid w:val="009D2716"/>
    <w:rsid w:val="009D296C"/>
    <w:rsid w:val="009D2DDA"/>
    <w:rsid w:val="009D2EDE"/>
    <w:rsid w:val="009D331E"/>
    <w:rsid w:val="009D3A57"/>
    <w:rsid w:val="009D4544"/>
    <w:rsid w:val="009D4EBB"/>
    <w:rsid w:val="009D4FCF"/>
    <w:rsid w:val="009D500C"/>
    <w:rsid w:val="009D528D"/>
    <w:rsid w:val="009D53E4"/>
    <w:rsid w:val="009D57FC"/>
    <w:rsid w:val="009D583F"/>
    <w:rsid w:val="009D5AAD"/>
    <w:rsid w:val="009D5BA8"/>
    <w:rsid w:val="009D5CF0"/>
    <w:rsid w:val="009D6175"/>
    <w:rsid w:val="009D63FB"/>
    <w:rsid w:val="009D6E34"/>
    <w:rsid w:val="009D6F88"/>
    <w:rsid w:val="009D7002"/>
    <w:rsid w:val="009D71C7"/>
    <w:rsid w:val="009D74E8"/>
    <w:rsid w:val="009D76CE"/>
    <w:rsid w:val="009D7731"/>
    <w:rsid w:val="009D79F8"/>
    <w:rsid w:val="009D7E5E"/>
    <w:rsid w:val="009E0145"/>
    <w:rsid w:val="009E03B6"/>
    <w:rsid w:val="009E0BE0"/>
    <w:rsid w:val="009E0E45"/>
    <w:rsid w:val="009E10BF"/>
    <w:rsid w:val="009E13C9"/>
    <w:rsid w:val="009E18F9"/>
    <w:rsid w:val="009E196E"/>
    <w:rsid w:val="009E1BE3"/>
    <w:rsid w:val="009E1FA4"/>
    <w:rsid w:val="009E2880"/>
    <w:rsid w:val="009E2F09"/>
    <w:rsid w:val="009E312B"/>
    <w:rsid w:val="009E359B"/>
    <w:rsid w:val="009E35E0"/>
    <w:rsid w:val="009E3808"/>
    <w:rsid w:val="009E3965"/>
    <w:rsid w:val="009E42F5"/>
    <w:rsid w:val="009E4509"/>
    <w:rsid w:val="009E45DB"/>
    <w:rsid w:val="009E4609"/>
    <w:rsid w:val="009E489E"/>
    <w:rsid w:val="009E4A77"/>
    <w:rsid w:val="009E4AEF"/>
    <w:rsid w:val="009E4BCF"/>
    <w:rsid w:val="009E4D9A"/>
    <w:rsid w:val="009E4E23"/>
    <w:rsid w:val="009E4F54"/>
    <w:rsid w:val="009E5064"/>
    <w:rsid w:val="009E5766"/>
    <w:rsid w:val="009E5ABC"/>
    <w:rsid w:val="009E5B40"/>
    <w:rsid w:val="009E5DCB"/>
    <w:rsid w:val="009E5F97"/>
    <w:rsid w:val="009E5FF3"/>
    <w:rsid w:val="009E6AD0"/>
    <w:rsid w:val="009E6C15"/>
    <w:rsid w:val="009E6E7B"/>
    <w:rsid w:val="009E6FD9"/>
    <w:rsid w:val="009E75FF"/>
    <w:rsid w:val="009E7D79"/>
    <w:rsid w:val="009F036D"/>
    <w:rsid w:val="009F05AE"/>
    <w:rsid w:val="009F0AF5"/>
    <w:rsid w:val="009F1207"/>
    <w:rsid w:val="009F164C"/>
    <w:rsid w:val="009F1770"/>
    <w:rsid w:val="009F1D55"/>
    <w:rsid w:val="009F2115"/>
    <w:rsid w:val="009F222D"/>
    <w:rsid w:val="009F22BE"/>
    <w:rsid w:val="009F237B"/>
    <w:rsid w:val="009F2789"/>
    <w:rsid w:val="009F341A"/>
    <w:rsid w:val="009F3442"/>
    <w:rsid w:val="009F3A2C"/>
    <w:rsid w:val="009F3BB4"/>
    <w:rsid w:val="009F43CA"/>
    <w:rsid w:val="009F4BC2"/>
    <w:rsid w:val="009F4EBE"/>
    <w:rsid w:val="009F5A14"/>
    <w:rsid w:val="009F5B8E"/>
    <w:rsid w:val="009F5D77"/>
    <w:rsid w:val="009F604F"/>
    <w:rsid w:val="009F665D"/>
    <w:rsid w:val="009F6B40"/>
    <w:rsid w:val="009F7179"/>
    <w:rsid w:val="009F7335"/>
    <w:rsid w:val="009F750D"/>
    <w:rsid w:val="009F757B"/>
    <w:rsid w:val="009F7D8B"/>
    <w:rsid w:val="009F7F18"/>
    <w:rsid w:val="00A003C5"/>
    <w:rsid w:val="00A00935"/>
    <w:rsid w:val="00A009CF"/>
    <w:rsid w:val="00A00EAB"/>
    <w:rsid w:val="00A0119F"/>
    <w:rsid w:val="00A017AD"/>
    <w:rsid w:val="00A01942"/>
    <w:rsid w:val="00A01AE3"/>
    <w:rsid w:val="00A01C7F"/>
    <w:rsid w:val="00A02E0A"/>
    <w:rsid w:val="00A0331E"/>
    <w:rsid w:val="00A0360B"/>
    <w:rsid w:val="00A03840"/>
    <w:rsid w:val="00A0394D"/>
    <w:rsid w:val="00A03B5C"/>
    <w:rsid w:val="00A042C8"/>
    <w:rsid w:val="00A044A7"/>
    <w:rsid w:val="00A04719"/>
    <w:rsid w:val="00A047D5"/>
    <w:rsid w:val="00A0487A"/>
    <w:rsid w:val="00A04B71"/>
    <w:rsid w:val="00A053DB"/>
    <w:rsid w:val="00A061A1"/>
    <w:rsid w:val="00A066DB"/>
    <w:rsid w:val="00A06CF2"/>
    <w:rsid w:val="00A0787E"/>
    <w:rsid w:val="00A07B0E"/>
    <w:rsid w:val="00A07C74"/>
    <w:rsid w:val="00A07CBB"/>
    <w:rsid w:val="00A07E6B"/>
    <w:rsid w:val="00A10221"/>
    <w:rsid w:val="00A10342"/>
    <w:rsid w:val="00A10609"/>
    <w:rsid w:val="00A10745"/>
    <w:rsid w:val="00A10834"/>
    <w:rsid w:val="00A10D70"/>
    <w:rsid w:val="00A1184A"/>
    <w:rsid w:val="00A1196E"/>
    <w:rsid w:val="00A11DF7"/>
    <w:rsid w:val="00A12641"/>
    <w:rsid w:val="00A1290C"/>
    <w:rsid w:val="00A12BF2"/>
    <w:rsid w:val="00A12E67"/>
    <w:rsid w:val="00A13054"/>
    <w:rsid w:val="00A13928"/>
    <w:rsid w:val="00A13A24"/>
    <w:rsid w:val="00A13A67"/>
    <w:rsid w:val="00A14321"/>
    <w:rsid w:val="00A14863"/>
    <w:rsid w:val="00A14925"/>
    <w:rsid w:val="00A14F38"/>
    <w:rsid w:val="00A1555F"/>
    <w:rsid w:val="00A15596"/>
    <w:rsid w:val="00A155F8"/>
    <w:rsid w:val="00A156F8"/>
    <w:rsid w:val="00A15D4A"/>
    <w:rsid w:val="00A161F1"/>
    <w:rsid w:val="00A16A2E"/>
    <w:rsid w:val="00A16F98"/>
    <w:rsid w:val="00A16FB3"/>
    <w:rsid w:val="00A17155"/>
    <w:rsid w:val="00A17F76"/>
    <w:rsid w:val="00A20098"/>
    <w:rsid w:val="00A200B2"/>
    <w:rsid w:val="00A20E4B"/>
    <w:rsid w:val="00A20EA7"/>
    <w:rsid w:val="00A20FED"/>
    <w:rsid w:val="00A2100C"/>
    <w:rsid w:val="00A21342"/>
    <w:rsid w:val="00A215F9"/>
    <w:rsid w:val="00A21B5B"/>
    <w:rsid w:val="00A21D16"/>
    <w:rsid w:val="00A21D7B"/>
    <w:rsid w:val="00A22925"/>
    <w:rsid w:val="00A22C25"/>
    <w:rsid w:val="00A22E7B"/>
    <w:rsid w:val="00A231B3"/>
    <w:rsid w:val="00A231C3"/>
    <w:rsid w:val="00A234A3"/>
    <w:rsid w:val="00A237D8"/>
    <w:rsid w:val="00A23867"/>
    <w:rsid w:val="00A23DFA"/>
    <w:rsid w:val="00A247BD"/>
    <w:rsid w:val="00A249CD"/>
    <w:rsid w:val="00A24D62"/>
    <w:rsid w:val="00A25038"/>
    <w:rsid w:val="00A254C6"/>
    <w:rsid w:val="00A25AB9"/>
    <w:rsid w:val="00A2642A"/>
    <w:rsid w:val="00A26C57"/>
    <w:rsid w:val="00A276D9"/>
    <w:rsid w:val="00A278CC"/>
    <w:rsid w:val="00A27B6C"/>
    <w:rsid w:val="00A27BC9"/>
    <w:rsid w:val="00A27D2D"/>
    <w:rsid w:val="00A27F44"/>
    <w:rsid w:val="00A27FC3"/>
    <w:rsid w:val="00A30393"/>
    <w:rsid w:val="00A304D8"/>
    <w:rsid w:val="00A3054A"/>
    <w:rsid w:val="00A305B3"/>
    <w:rsid w:val="00A3136F"/>
    <w:rsid w:val="00A3186F"/>
    <w:rsid w:val="00A3189B"/>
    <w:rsid w:val="00A31E59"/>
    <w:rsid w:val="00A321AD"/>
    <w:rsid w:val="00A327D9"/>
    <w:rsid w:val="00A3312F"/>
    <w:rsid w:val="00A331D3"/>
    <w:rsid w:val="00A3335C"/>
    <w:rsid w:val="00A335C9"/>
    <w:rsid w:val="00A33C75"/>
    <w:rsid w:val="00A33D6A"/>
    <w:rsid w:val="00A33E4E"/>
    <w:rsid w:val="00A33EE7"/>
    <w:rsid w:val="00A3451D"/>
    <w:rsid w:val="00A34648"/>
    <w:rsid w:val="00A34A1A"/>
    <w:rsid w:val="00A34D3E"/>
    <w:rsid w:val="00A34DBB"/>
    <w:rsid w:val="00A34E21"/>
    <w:rsid w:val="00A35CD3"/>
    <w:rsid w:val="00A35EED"/>
    <w:rsid w:val="00A36048"/>
    <w:rsid w:val="00A3615C"/>
    <w:rsid w:val="00A361E4"/>
    <w:rsid w:val="00A366D6"/>
    <w:rsid w:val="00A3677D"/>
    <w:rsid w:val="00A368B8"/>
    <w:rsid w:val="00A36CA2"/>
    <w:rsid w:val="00A36FA5"/>
    <w:rsid w:val="00A37047"/>
    <w:rsid w:val="00A37321"/>
    <w:rsid w:val="00A37550"/>
    <w:rsid w:val="00A377D7"/>
    <w:rsid w:val="00A37B64"/>
    <w:rsid w:val="00A37E0F"/>
    <w:rsid w:val="00A401FE"/>
    <w:rsid w:val="00A407E1"/>
    <w:rsid w:val="00A40857"/>
    <w:rsid w:val="00A40AC4"/>
    <w:rsid w:val="00A40D88"/>
    <w:rsid w:val="00A40DA2"/>
    <w:rsid w:val="00A410D7"/>
    <w:rsid w:val="00A416A0"/>
    <w:rsid w:val="00A42506"/>
    <w:rsid w:val="00A4251E"/>
    <w:rsid w:val="00A4261A"/>
    <w:rsid w:val="00A429A4"/>
    <w:rsid w:val="00A42B6E"/>
    <w:rsid w:val="00A42D7C"/>
    <w:rsid w:val="00A43A79"/>
    <w:rsid w:val="00A43F5B"/>
    <w:rsid w:val="00A44018"/>
    <w:rsid w:val="00A44143"/>
    <w:rsid w:val="00A44172"/>
    <w:rsid w:val="00A442A6"/>
    <w:rsid w:val="00A4449A"/>
    <w:rsid w:val="00A445EE"/>
    <w:rsid w:val="00A44FE5"/>
    <w:rsid w:val="00A45849"/>
    <w:rsid w:val="00A45B34"/>
    <w:rsid w:val="00A45CF1"/>
    <w:rsid w:val="00A45E16"/>
    <w:rsid w:val="00A46486"/>
    <w:rsid w:val="00A467A1"/>
    <w:rsid w:val="00A46978"/>
    <w:rsid w:val="00A46DBB"/>
    <w:rsid w:val="00A46F6C"/>
    <w:rsid w:val="00A47007"/>
    <w:rsid w:val="00A47153"/>
    <w:rsid w:val="00A47187"/>
    <w:rsid w:val="00A47467"/>
    <w:rsid w:val="00A474B6"/>
    <w:rsid w:val="00A47D15"/>
    <w:rsid w:val="00A50190"/>
    <w:rsid w:val="00A50525"/>
    <w:rsid w:val="00A506AE"/>
    <w:rsid w:val="00A509C3"/>
    <w:rsid w:val="00A50E29"/>
    <w:rsid w:val="00A51568"/>
    <w:rsid w:val="00A516CD"/>
    <w:rsid w:val="00A51F31"/>
    <w:rsid w:val="00A5231B"/>
    <w:rsid w:val="00A5263D"/>
    <w:rsid w:val="00A52714"/>
    <w:rsid w:val="00A528D4"/>
    <w:rsid w:val="00A52B8A"/>
    <w:rsid w:val="00A52D9F"/>
    <w:rsid w:val="00A52ECC"/>
    <w:rsid w:val="00A531C8"/>
    <w:rsid w:val="00A53211"/>
    <w:rsid w:val="00A53251"/>
    <w:rsid w:val="00A53691"/>
    <w:rsid w:val="00A53905"/>
    <w:rsid w:val="00A541A0"/>
    <w:rsid w:val="00A54775"/>
    <w:rsid w:val="00A54E45"/>
    <w:rsid w:val="00A54EF7"/>
    <w:rsid w:val="00A54FF0"/>
    <w:rsid w:val="00A55113"/>
    <w:rsid w:val="00A5512C"/>
    <w:rsid w:val="00A55507"/>
    <w:rsid w:val="00A55572"/>
    <w:rsid w:val="00A55575"/>
    <w:rsid w:val="00A5569E"/>
    <w:rsid w:val="00A558D0"/>
    <w:rsid w:val="00A55BF6"/>
    <w:rsid w:val="00A55EB6"/>
    <w:rsid w:val="00A56447"/>
    <w:rsid w:val="00A56749"/>
    <w:rsid w:val="00A6020A"/>
    <w:rsid w:val="00A60401"/>
    <w:rsid w:val="00A60439"/>
    <w:rsid w:val="00A604DA"/>
    <w:rsid w:val="00A608F7"/>
    <w:rsid w:val="00A609CC"/>
    <w:rsid w:val="00A60BD5"/>
    <w:rsid w:val="00A61741"/>
    <w:rsid w:val="00A61AE5"/>
    <w:rsid w:val="00A61C9F"/>
    <w:rsid w:val="00A61E9D"/>
    <w:rsid w:val="00A62051"/>
    <w:rsid w:val="00A6218B"/>
    <w:rsid w:val="00A6255E"/>
    <w:rsid w:val="00A627FC"/>
    <w:rsid w:val="00A6326F"/>
    <w:rsid w:val="00A637D6"/>
    <w:rsid w:val="00A63BE2"/>
    <w:rsid w:val="00A64ACA"/>
    <w:rsid w:val="00A65401"/>
    <w:rsid w:val="00A655B1"/>
    <w:rsid w:val="00A659A8"/>
    <w:rsid w:val="00A659AB"/>
    <w:rsid w:val="00A6645C"/>
    <w:rsid w:val="00A66771"/>
    <w:rsid w:val="00A67110"/>
    <w:rsid w:val="00A67176"/>
    <w:rsid w:val="00A6717C"/>
    <w:rsid w:val="00A6783E"/>
    <w:rsid w:val="00A679F8"/>
    <w:rsid w:val="00A67B7F"/>
    <w:rsid w:val="00A67CE3"/>
    <w:rsid w:val="00A67FD2"/>
    <w:rsid w:val="00A70649"/>
    <w:rsid w:val="00A706AD"/>
    <w:rsid w:val="00A7085C"/>
    <w:rsid w:val="00A71328"/>
    <w:rsid w:val="00A713C2"/>
    <w:rsid w:val="00A716D1"/>
    <w:rsid w:val="00A71B96"/>
    <w:rsid w:val="00A722E4"/>
    <w:rsid w:val="00A724CD"/>
    <w:rsid w:val="00A7360D"/>
    <w:rsid w:val="00A73867"/>
    <w:rsid w:val="00A73B9B"/>
    <w:rsid w:val="00A73F3F"/>
    <w:rsid w:val="00A73FF9"/>
    <w:rsid w:val="00A74845"/>
    <w:rsid w:val="00A74861"/>
    <w:rsid w:val="00A750B7"/>
    <w:rsid w:val="00A75222"/>
    <w:rsid w:val="00A752E8"/>
    <w:rsid w:val="00A75487"/>
    <w:rsid w:val="00A759EF"/>
    <w:rsid w:val="00A76097"/>
    <w:rsid w:val="00A76276"/>
    <w:rsid w:val="00A766F3"/>
    <w:rsid w:val="00A76724"/>
    <w:rsid w:val="00A76989"/>
    <w:rsid w:val="00A76CB3"/>
    <w:rsid w:val="00A76F4A"/>
    <w:rsid w:val="00A774BA"/>
    <w:rsid w:val="00A776E5"/>
    <w:rsid w:val="00A77FC3"/>
    <w:rsid w:val="00A807BC"/>
    <w:rsid w:val="00A80C51"/>
    <w:rsid w:val="00A80F6D"/>
    <w:rsid w:val="00A810A8"/>
    <w:rsid w:val="00A816D7"/>
    <w:rsid w:val="00A819FD"/>
    <w:rsid w:val="00A81BA3"/>
    <w:rsid w:val="00A82048"/>
    <w:rsid w:val="00A8204F"/>
    <w:rsid w:val="00A82231"/>
    <w:rsid w:val="00A824D0"/>
    <w:rsid w:val="00A82999"/>
    <w:rsid w:val="00A82C7F"/>
    <w:rsid w:val="00A832D8"/>
    <w:rsid w:val="00A833B5"/>
    <w:rsid w:val="00A83628"/>
    <w:rsid w:val="00A83693"/>
    <w:rsid w:val="00A83C71"/>
    <w:rsid w:val="00A84118"/>
    <w:rsid w:val="00A84292"/>
    <w:rsid w:val="00A84CE5"/>
    <w:rsid w:val="00A84DED"/>
    <w:rsid w:val="00A84FB6"/>
    <w:rsid w:val="00A85301"/>
    <w:rsid w:val="00A854FE"/>
    <w:rsid w:val="00A858ED"/>
    <w:rsid w:val="00A859EB"/>
    <w:rsid w:val="00A8631A"/>
    <w:rsid w:val="00A86780"/>
    <w:rsid w:val="00A86B16"/>
    <w:rsid w:val="00A86F31"/>
    <w:rsid w:val="00A86FF0"/>
    <w:rsid w:val="00A87066"/>
    <w:rsid w:val="00A871EF"/>
    <w:rsid w:val="00A8779E"/>
    <w:rsid w:val="00A87BA4"/>
    <w:rsid w:val="00A87C04"/>
    <w:rsid w:val="00A9016D"/>
    <w:rsid w:val="00A9018B"/>
    <w:rsid w:val="00A90225"/>
    <w:rsid w:val="00A905F7"/>
    <w:rsid w:val="00A907E7"/>
    <w:rsid w:val="00A908F9"/>
    <w:rsid w:val="00A909BC"/>
    <w:rsid w:val="00A9136F"/>
    <w:rsid w:val="00A915DF"/>
    <w:rsid w:val="00A9173F"/>
    <w:rsid w:val="00A91CB5"/>
    <w:rsid w:val="00A91F2B"/>
    <w:rsid w:val="00A921FB"/>
    <w:rsid w:val="00A92360"/>
    <w:rsid w:val="00A92465"/>
    <w:rsid w:val="00A92D25"/>
    <w:rsid w:val="00A9368D"/>
    <w:rsid w:val="00A939F1"/>
    <w:rsid w:val="00A93DDA"/>
    <w:rsid w:val="00A93F1E"/>
    <w:rsid w:val="00A93FFD"/>
    <w:rsid w:val="00A9430D"/>
    <w:rsid w:val="00A94819"/>
    <w:rsid w:val="00A94AA2"/>
    <w:rsid w:val="00A9509A"/>
    <w:rsid w:val="00A95538"/>
    <w:rsid w:val="00A95B49"/>
    <w:rsid w:val="00A95F13"/>
    <w:rsid w:val="00A95FC8"/>
    <w:rsid w:val="00A96191"/>
    <w:rsid w:val="00A96300"/>
    <w:rsid w:val="00A966F1"/>
    <w:rsid w:val="00A96966"/>
    <w:rsid w:val="00A97057"/>
    <w:rsid w:val="00A97385"/>
    <w:rsid w:val="00A97479"/>
    <w:rsid w:val="00A97504"/>
    <w:rsid w:val="00A975D4"/>
    <w:rsid w:val="00A976E0"/>
    <w:rsid w:val="00A97840"/>
    <w:rsid w:val="00A97980"/>
    <w:rsid w:val="00A97C37"/>
    <w:rsid w:val="00AA02CA"/>
    <w:rsid w:val="00AA1178"/>
    <w:rsid w:val="00AA1547"/>
    <w:rsid w:val="00AA1571"/>
    <w:rsid w:val="00AA169A"/>
    <w:rsid w:val="00AA17AB"/>
    <w:rsid w:val="00AA1F54"/>
    <w:rsid w:val="00AA232E"/>
    <w:rsid w:val="00AA28BD"/>
    <w:rsid w:val="00AA2DEA"/>
    <w:rsid w:val="00AA2F9D"/>
    <w:rsid w:val="00AA33CC"/>
    <w:rsid w:val="00AA346A"/>
    <w:rsid w:val="00AA3E17"/>
    <w:rsid w:val="00AA457A"/>
    <w:rsid w:val="00AA4E87"/>
    <w:rsid w:val="00AA54FA"/>
    <w:rsid w:val="00AA574E"/>
    <w:rsid w:val="00AA5A7B"/>
    <w:rsid w:val="00AA5CF0"/>
    <w:rsid w:val="00AA620F"/>
    <w:rsid w:val="00AA68F9"/>
    <w:rsid w:val="00AA68FB"/>
    <w:rsid w:val="00AA6DEF"/>
    <w:rsid w:val="00AA6E85"/>
    <w:rsid w:val="00AA6EA9"/>
    <w:rsid w:val="00AA759E"/>
    <w:rsid w:val="00AA7755"/>
    <w:rsid w:val="00AA7D1A"/>
    <w:rsid w:val="00AB070A"/>
    <w:rsid w:val="00AB0716"/>
    <w:rsid w:val="00AB0731"/>
    <w:rsid w:val="00AB0AA6"/>
    <w:rsid w:val="00AB10BC"/>
    <w:rsid w:val="00AB177B"/>
    <w:rsid w:val="00AB2101"/>
    <w:rsid w:val="00AB2123"/>
    <w:rsid w:val="00AB282F"/>
    <w:rsid w:val="00AB285A"/>
    <w:rsid w:val="00AB2C54"/>
    <w:rsid w:val="00AB2E2E"/>
    <w:rsid w:val="00AB3112"/>
    <w:rsid w:val="00AB3ADE"/>
    <w:rsid w:val="00AB4244"/>
    <w:rsid w:val="00AB4645"/>
    <w:rsid w:val="00AB496E"/>
    <w:rsid w:val="00AB4D3B"/>
    <w:rsid w:val="00AB4F99"/>
    <w:rsid w:val="00AB50E0"/>
    <w:rsid w:val="00AB50F8"/>
    <w:rsid w:val="00AB524B"/>
    <w:rsid w:val="00AB526D"/>
    <w:rsid w:val="00AB5473"/>
    <w:rsid w:val="00AB5509"/>
    <w:rsid w:val="00AB5712"/>
    <w:rsid w:val="00AB5A67"/>
    <w:rsid w:val="00AB5D8A"/>
    <w:rsid w:val="00AB5EF3"/>
    <w:rsid w:val="00AB61FC"/>
    <w:rsid w:val="00AB6AA5"/>
    <w:rsid w:val="00AB6D72"/>
    <w:rsid w:val="00AB6F00"/>
    <w:rsid w:val="00AB71DC"/>
    <w:rsid w:val="00AB7683"/>
    <w:rsid w:val="00AB775E"/>
    <w:rsid w:val="00AB77A0"/>
    <w:rsid w:val="00AB78DA"/>
    <w:rsid w:val="00AB7A1A"/>
    <w:rsid w:val="00AB7CEE"/>
    <w:rsid w:val="00AB7F6E"/>
    <w:rsid w:val="00AC06F4"/>
    <w:rsid w:val="00AC0816"/>
    <w:rsid w:val="00AC0BE7"/>
    <w:rsid w:val="00AC131E"/>
    <w:rsid w:val="00AC183B"/>
    <w:rsid w:val="00AC2054"/>
    <w:rsid w:val="00AC267A"/>
    <w:rsid w:val="00AC2C6B"/>
    <w:rsid w:val="00AC30C0"/>
    <w:rsid w:val="00AC35E4"/>
    <w:rsid w:val="00AC38E8"/>
    <w:rsid w:val="00AC3EB2"/>
    <w:rsid w:val="00AC3FA3"/>
    <w:rsid w:val="00AC4863"/>
    <w:rsid w:val="00AC494C"/>
    <w:rsid w:val="00AC496E"/>
    <w:rsid w:val="00AC49D9"/>
    <w:rsid w:val="00AC51DF"/>
    <w:rsid w:val="00AC53FE"/>
    <w:rsid w:val="00AC5D04"/>
    <w:rsid w:val="00AC5D09"/>
    <w:rsid w:val="00AC5D34"/>
    <w:rsid w:val="00AC5D8A"/>
    <w:rsid w:val="00AC6089"/>
    <w:rsid w:val="00AC693B"/>
    <w:rsid w:val="00AC6ED3"/>
    <w:rsid w:val="00AC706C"/>
    <w:rsid w:val="00AC70E6"/>
    <w:rsid w:val="00AC720C"/>
    <w:rsid w:val="00AC7564"/>
    <w:rsid w:val="00AC77B8"/>
    <w:rsid w:val="00AC7BBE"/>
    <w:rsid w:val="00AC7EB4"/>
    <w:rsid w:val="00AD0180"/>
    <w:rsid w:val="00AD037B"/>
    <w:rsid w:val="00AD07DD"/>
    <w:rsid w:val="00AD0A17"/>
    <w:rsid w:val="00AD0B17"/>
    <w:rsid w:val="00AD11E0"/>
    <w:rsid w:val="00AD12FB"/>
    <w:rsid w:val="00AD1945"/>
    <w:rsid w:val="00AD1DC3"/>
    <w:rsid w:val="00AD26A5"/>
    <w:rsid w:val="00AD2F74"/>
    <w:rsid w:val="00AD3140"/>
    <w:rsid w:val="00AD3422"/>
    <w:rsid w:val="00AD371F"/>
    <w:rsid w:val="00AD3974"/>
    <w:rsid w:val="00AD3C04"/>
    <w:rsid w:val="00AD3CB2"/>
    <w:rsid w:val="00AD3EEB"/>
    <w:rsid w:val="00AD4021"/>
    <w:rsid w:val="00AD452C"/>
    <w:rsid w:val="00AD4857"/>
    <w:rsid w:val="00AD4A32"/>
    <w:rsid w:val="00AD4A77"/>
    <w:rsid w:val="00AD5451"/>
    <w:rsid w:val="00AD561A"/>
    <w:rsid w:val="00AD5836"/>
    <w:rsid w:val="00AD6112"/>
    <w:rsid w:val="00AD61C2"/>
    <w:rsid w:val="00AD6A3D"/>
    <w:rsid w:val="00AD6B26"/>
    <w:rsid w:val="00AD6BD8"/>
    <w:rsid w:val="00AD6D20"/>
    <w:rsid w:val="00AD6E3F"/>
    <w:rsid w:val="00AD6F23"/>
    <w:rsid w:val="00AD6F6E"/>
    <w:rsid w:val="00AD6FFD"/>
    <w:rsid w:val="00AD71A0"/>
    <w:rsid w:val="00AD71CA"/>
    <w:rsid w:val="00AD7775"/>
    <w:rsid w:val="00AE030C"/>
    <w:rsid w:val="00AE080E"/>
    <w:rsid w:val="00AE0D7E"/>
    <w:rsid w:val="00AE1045"/>
    <w:rsid w:val="00AE151F"/>
    <w:rsid w:val="00AE19D5"/>
    <w:rsid w:val="00AE1BFD"/>
    <w:rsid w:val="00AE1F4A"/>
    <w:rsid w:val="00AE20C1"/>
    <w:rsid w:val="00AE22A8"/>
    <w:rsid w:val="00AE274B"/>
    <w:rsid w:val="00AE2B9B"/>
    <w:rsid w:val="00AE39F3"/>
    <w:rsid w:val="00AE3A37"/>
    <w:rsid w:val="00AE43D0"/>
    <w:rsid w:val="00AE46DC"/>
    <w:rsid w:val="00AE49B1"/>
    <w:rsid w:val="00AE544D"/>
    <w:rsid w:val="00AE5526"/>
    <w:rsid w:val="00AE5718"/>
    <w:rsid w:val="00AE6375"/>
    <w:rsid w:val="00AE63D2"/>
    <w:rsid w:val="00AE65FE"/>
    <w:rsid w:val="00AE692E"/>
    <w:rsid w:val="00AE6C1F"/>
    <w:rsid w:val="00AE70A5"/>
    <w:rsid w:val="00AE754C"/>
    <w:rsid w:val="00AE76BF"/>
    <w:rsid w:val="00AE7832"/>
    <w:rsid w:val="00AF00F2"/>
    <w:rsid w:val="00AF02C0"/>
    <w:rsid w:val="00AF05CB"/>
    <w:rsid w:val="00AF071E"/>
    <w:rsid w:val="00AF07B9"/>
    <w:rsid w:val="00AF08C3"/>
    <w:rsid w:val="00AF0FDC"/>
    <w:rsid w:val="00AF1020"/>
    <w:rsid w:val="00AF118B"/>
    <w:rsid w:val="00AF16B9"/>
    <w:rsid w:val="00AF17EC"/>
    <w:rsid w:val="00AF1A7F"/>
    <w:rsid w:val="00AF1BD1"/>
    <w:rsid w:val="00AF2331"/>
    <w:rsid w:val="00AF2AF2"/>
    <w:rsid w:val="00AF2CD8"/>
    <w:rsid w:val="00AF3661"/>
    <w:rsid w:val="00AF3A12"/>
    <w:rsid w:val="00AF3A53"/>
    <w:rsid w:val="00AF3A65"/>
    <w:rsid w:val="00AF404B"/>
    <w:rsid w:val="00AF4152"/>
    <w:rsid w:val="00AF4478"/>
    <w:rsid w:val="00AF4533"/>
    <w:rsid w:val="00AF4ACA"/>
    <w:rsid w:val="00AF51E3"/>
    <w:rsid w:val="00AF56D7"/>
    <w:rsid w:val="00AF5796"/>
    <w:rsid w:val="00AF58B8"/>
    <w:rsid w:val="00AF5A5A"/>
    <w:rsid w:val="00AF5F5A"/>
    <w:rsid w:val="00AF69D4"/>
    <w:rsid w:val="00AF71CE"/>
    <w:rsid w:val="00AF77A9"/>
    <w:rsid w:val="00AF77EF"/>
    <w:rsid w:val="00AF7D02"/>
    <w:rsid w:val="00AF7EB6"/>
    <w:rsid w:val="00AF7F77"/>
    <w:rsid w:val="00B0008F"/>
    <w:rsid w:val="00B0035A"/>
    <w:rsid w:val="00B0041A"/>
    <w:rsid w:val="00B0053E"/>
    <w:rsid w:val="00B00A98"/>
    <w:rsid w:val="00B00F16"/>
    <w:rsid w:val="00B0108C"/>
    <w:rsid w:val="00B010EA"/>
    <w:rsid w:val="00B01110"/>
    <w:rsid w:val="00B013E7"/>
    <w:rsid w:val="00B015FB"/>
    <w:rsid w:val="00B016C4"/>
    <w:rsid w:val="00B01898"/>
    <w:rsid w:val="00B01DB9"/>
    <w:rsid w:val="00B01E14"/>
    <w:rsid w:val="00B021C8"/>
    <w:rsid w:val="00B02474"/>
    <w:rsid w:val="00B02B95"/>
    <w:rsid w:val="00B02E8F"/>
    <w:rsid w:val="00B02F89"/>
    <w:rsid w:val="00B032EA"/>
    <w:rsid w:val="00B0334D"/>
    <w:rsid w:val="00B03687"/>
    <w:rsid w:val="00B0371B"/>
    <w:rsid w:val="00B04602"/>
    <w:rsid w:val="00B04606"/>
    <w:rsid w:val="00B04656"/>
    <w:rsid w:val="00B04806"/>
    <w:rsid w:val="00B04A55"/>
    <w:rsid w:val="00B05413"/>
    <w:rsid w:val="00B05C23"/>
    <w:rsid w:val="00B05D6F"/>
    <w:rsid w:val="00B05E07"/>
    <w:rsid w:val="00B05EBA"/>
    <w:rsid w:val="00B05F4C"/>
    <w:rsid w:val="00B06B6F"/>
    <w:rsid w:val="00B06E73"/>
    <w:rsid w:val="00B070B3"/>
    <w:rsid w:val="00B07131"/>
    <w:rsid w:val="00B07190"/>
    <w:rsid w:val="00B073C5"/>
    <w:rsid w:val="00B10303"/>
    <w:rsid w:val="00B104AD"/>
    <w:rsid w:val="00B109F8"/>
    <w:rsid w:val="00B10B4D"/>
    <w:rsid w:val="00B10DB2"/>
    <w:rsid w:val="00B10EF7"/>
    <w:rsid w:val="00B112AF"/>
    <w:rsid w:val="00B112BF"/>
    <w:rsid w:val="00B116F5"/>
    <w:rsid w:val="00B117B8"/>
    <w:rsid w:val="00B12707"/>
    <w:rsid w:val="00B12E30"/>
    <w:rsid w:val="00B12FBF"/>
    <w:rsid w:val="00B13183"/>
    <w:rsid w:val="00B134DC"/>
    <w:rsid w:val="00B1359A"/>
    <w:rsid w:val="00B139D2"/>
    <w:rsid w:val="00B1516F"/>
    <w:rsid w:val="00B152EB"/>
    <w:rsid w:val="00B15DD3"/>
    <w:rsid w:val="00B16239"/>
    <w:rsid w:val="00B1631E"/>
    <w:rsid w:val="00B16334"/>
    <w:rsid w:val="00B1679E"/>
    <w:rsid w:val="00B16A0B"/>
    <w:rsid w:val="00B16B1D"/>
    <w:rsid w:val="00B16C86"/>
    <w:rsid w:val="00B170B8"/>
    <w:rsid w:val="00B171BB"/>
    <w:rsid w:val="00B1721F"/>
    <w:rsid w:val="00B173F4"/>
    <w:rsid w:val="00B1797B"/>
    <w:rsid w:val="00B17F2F"/>
    <w:rsid w:val="00B200F8"/>
    <w:rsid w:val="00B201F7"/>
    <w:rsid w:val="00B20314"/>
    <w:rsid w:val="00B20BD2"/>
    <w:rsid w:val="00B21EE5"/>
    <w:rsid w:val="00B222A2"/>
    <w:rsid w:val="00B222A6"/>
    <w:rsid w:val="00B222F7"/>
    <w:rsid w:val="00B22A87"/>
    <w:rsid w:val="00B22D3D"/>
    <w:rsid w:val="00B22D4F"/>
    <w:rsid w:val="00B22E46"/>
    <w:rsid w:val="00B22E6F"/>
    <w:rsid w:val="00B23337"/>
    <w:rsid w:val="00B23D1B"/>
    <w:rsid w:val="00B23DDB"/>
    <w:rsid w:val="00B24458"/>
    <w:rsid w:val="00B24AFA"/>
    <w:rsid w:val="00B24B32"/>
    <w:rsid w:val="00B25045"/>
    <w:rsid w:val="00B25BFC"/>
    <w:rsid w:val="00B25C4E"/>
    <w:rsid w:val="00B25E94"/>
    <w:rsid w:val="00B25FD1"/>
    <w:rsid w:val="00B2686C"/>
    <w:rsid w:val="00B26DCC"/>
    <w:rsid w:val="00B26E42"/>
    <w:rsid w:val="00B271B0"/>
    <w:rsid w:val="00B27895"/>
    <w:rsid w:val="00B27BA9"/>
    <w:rsid w:val="00B27F80"/>
    <w:rsid w:val="00B301AE"/>
    <w:rsid w:val="00B301B3"/>
    <w:rsid w:val="00B3075A"/>
    <w:rsid w:val="00B30BFE"/>
    <w:rsid w:val="00B311EE"/>
    <w:rsid w:val="00B312DA"/>
    <w:rsid w:val="00B3174C"/>
    <w:rsid w:val="00B31A0E"/>
    <w:rsid w:val="00B31C35"/>
    <w:rsid w:val="00B31DA5"/>
    <w:rsid w:val="00B32027"/>
    <w:rsid w:val="00B32839"/>
    <w:rsid w:val="00B32BD0"/>
    <w:rsid w:val="00B32F33"/>
    <w:rsid w:val="00B332C4"/>
    <w:rsid w:val="00B33412"/>
    <w:rsid w:val="00B33599"/>
    <w:rsid w:val="00B335B6"/>
    <w:rsid w:val="00B33CE0"/>
    <w:rsid w:val="00B33F7D"/>
    <w:rsid w:val="00B341BC"/>
    <w:rsid w:val="00B34277"/>
    <w:rsid w:val="00B34427"/>
    <w:rsid w:val="00B348F0"/>
    <w:rsid w:val="00B350F1"/>
    <w:rsid w:val="00B3538C"/>
    <w:rsid w:val="00B3540F"/>
    <w:rsid w:val="00B357AB"/>
    <w:rsid w:val="00B3605C"/>
    <w:rsid w:val="00B3618A"/>
    <w:rsid w:val="00B3681F"/>
    <w:rsid w:val="00B368F1"/>
    <w:rsid w:val="00B36AB9"/>
    <w:rsid w:val="00B36D97"/>
    <w:rsid w:val="00B373ED"/>
    <w:rsid w:val="00B377ED"/>
    <w:rsid w:val="00B37882"/>
    <w:rsid w:val="00B37A71"/>
    <w:rsid w:val="00B37C64"/>
    <w:rsid w:val="00B37FC4"/>
    <w:rsid w:val="00B401FB"/>
    <w:rsid w:val="00B40808"/>
    <w:rsid w:val="00B40849"/>
    <w:rsid w:val="00B40888"/>
    <w:rsid w:val="00B40A95"/>
    <w:rsid w:val="00B40B1F"/>
    <w:rsid w:val="00B410A8"/>
    <w:rsid w:val="00B412E8"/>
    <w:rsid w:val="00B414E6"/>
    <w:rsid w:val="00B414FB"/>
    <w:rsid w:val="00B41539"/>
    <w:rsid w:val="00B416AB"/>
    <w:rsid w:val="00B4229C"/>
    <w:rsid w:val="00B42C41"/>
    <w:rsid w:val="00B43164"/>
    <w:rsid w:val="00B43692"/>
    <w:rsid w:val="00B43E1E"/>
    <w:rsid w:val="00B440B5"/>
    <w:rsid w:val="00B442EA"/>
    <w:rsid w:val="00B44C97"/>
    <w:rsid w:val="00B45024"/>
    <w:rsid w:val="00B45092"/>
    <w:rsid w:val="00B454A9"/>
    <w:rsid w:val="00B45AAF"/>
    <w:rsid w:val="00B45D64"/>
    <w:rsid w:val="00B460A2"/>
    <w:rsid w:val="00B46132"/>
    <w:rsid w:val="00B463A9"/>
    <w:rsid w:val="00B464D7"/>
    <w:rsid w:val="00B46532"/>
    <w:rsid w:val="00B4664C"/>
    <w:rsid w:val="00B467D9"/>
    <w:rsid w:val="00B46D81"/>
    <w:rsid w:val="00B46F89"/>
    <w:rsid w:val="00B47043"/>
    <w:rsid w:val="00B47256"/>
    <w:rsid w:val="00B4737E"/>
    <w:rsid w:val="00B474E4"/>
    <w:rsid w:val="00B474FC"/>
    <w:rsid w:val="00B47858"/>
    <w:rsid w:val="00B4799C"/>
    <w:rsid w:val="00B47B50"/>
    <w:rsid w:val="00B47BE2"/>
    <w:rsid w:val="00B47EC7"/>
    <w:rsid w:val="00B5018D"/>
    <w:rsid w:val="00B50309"/>
    <w:rsid w:val="00B50323"/>
    <w:rsid w:val="00B50983"/>
    <w:rsid w:val="00B5142C"/>
    <w:rsid w:val="00B5156A"/>
    <w:rsid w:val="00B5177B"/>
    <w:rsid w:val="00B52063"/>
    <w:rsid w:val="00B520C5"/>
    <w:rsid w:val="00B523E5"/>
    <w:rsid w:val="00B52415"/>
    <w:rsid w:val="00B528F3"/>
    <w:rsid w:val="00B52CEF"/>
    <w:rsid w:val="00B53046"/>
    <w:rsid w:val="00B53510"/>
    <w:rsid w:val="00B53C10"/>
    <w:rsid w:val="00B54402"/>
    <w:rsid w:val="00B5452D"/>
    <w:rsid w:val="00B549F5"/>
    <w:rsid w:val="00B5555A"/>
    <w:rsid w:val="00B55967"/>
    <w:rsid w:val="00B55BF0"/>
    <w:rsid w:val="00B55F3D"/>
    <w:rsid w:val="00B56186"/>
    <w:rsid w:val="00B56223"/>
    <w:rsid w:val="00B565B7"/>
    <w:rsid w:val="00B5672F"/>
    <w:rsid w:val="00B56C0F"/>
    <w:rsid w:val="00B56CB0"/>
    <w:rsid w:val="00B57024"/>
    <w:rsid w:val="00B570B1"/>
    <w:rsid w:val="00B573B4"/>
    <w:rsid w:val="00B57B8A"/>
    <w:rsid w:val="00B57DAA"/>
    <w:rsid w:val="00B57E76"/>
    <w:rsid w:val="00B57F3D"/>
    <w:rsid w:val="00B60143"/>
    <w:rsid w:val="00B60635"/>
    <w:rsid w:val="00B6082C"/>
    <w:rsid w:val="00B60F10"/>
    <w:rsid w:val="00B6103B"/>
    <w:rsid w:val="00B61273"/>
    <w:rsid w:val="00B613FB"/>
    <w:rsid w:val="00B6163F"/>
    <w:rsid w:val="00B6180F"/>
    <w:rsid w:val="00B6181B"/>
    <w:rsid w:val="00B61BA8"/>
    <w:rsid w:val="00B623EB"/>
    <w:rsid w:val="00B62C33"/>
    <w:rsid w:val="00B62CEA"/>
    <w:rsid w:val="00B62D05"/>
    <w:rsid w:val="00B62EB9"/>
    <w:rsid w:val="00B63C02"/>
    <w:rsid w:val="00B63F2F"/>
    <w:rsid w:val="00B6417E"/>
    <w:rsid w:val="00B646DA"/>
    <w:rsid w:val="00B64838"/>
    <w:rsid w:val="00B64DFC"/>
    <w:rsid w:val="00B64E76"/>
    <w:rsid w:val="00B64E77"/>
    <w:rsid w:val="00B65060"/>
    <w:rsid w:val="00B65282"/>
    <w:rsid w:val="00B653A2"/>
    <w:rsid w:val="00B6588A"/>
    <w:rsid w:val="00B65B64"/>
    <w:rsid w:val="00B65CBA"/>
    <w:rsid w:val="00B65DFD"/>
    <w:rsid w:val="00B66483"/>
    <w:rsid w:val="00B6657D"/>
    <w:rsid w:val="00B666CF"/>
    <w:rsid w:val="00B668E7"/>
    <w:rsid w:val="00B66BB8"/>
    <w:rsid w:val="00B66E32"/>
    <w:rsid w:val="00B6749A"/>
    <w:rsid w:val="00B677FF"/>
    <w:rsid w:val="00B67E65"/>
    <w:rsid w:val="00B67FB8"/>
    <w:rsid w:val="00B7015E"/>
    <w:rsid w:val="00B702E8"/>
    <w:rsid w:val="00B703BF"/>
    <w:rsid w:val="00B70BB0"/>
    <w:rsid w:val="00B70BEB"/>
    <w:rsid w:val="00B7118D"/>
    <w:rsid w:val="00B71A3D"/>
    <w:rsid w:val="00B71A73"/>
    <w:rsid w:val="00B71CB1"/>
    <w:rsid w:val="00B72175"/>
    <w:rsid w:val="00B72A2A"/>
    <w:rsid w:val="00B72BB2"/>
    <w:rsid w:val="00B72C9D"/>
    <w:rsid w:val="00B72D29"/>
    <w:rsid w:val="00B733ED"/>
    <w:rsid w:val="00B7340F"/>
    <w:rsid w:val="00B735F9"/>
    <w:rsid w:val="00B736AD"/>
    <w:rsid w:val="00B74B3D"/>
    <w:rsid w:val="00B74E94"/>
    <w:rsid w:val="00B750FE"/>
    <w:rsid w:val="00B75100"/>
    <w:rsid w:val="00B7574C"/>
    <w:rsid w:val="00B7603B"/>
    <w:rsid w:val="00B76118"/>
    <w:rsid w:val="00B76394"/>
    <w:rsid w:val="00B76397"/>
    <w:rsid w:val="00B77143"/>
    <w:rsid w:val="00B7738B"/>
    <w:rsid w:val="00B773D9"/>
    <w:rsid w:val="00B77848"/>
    <w:rsid w:val="00B77856"/>
    <w:rsid w:val="00B77A94"/>
    <w:rsid w:val="00B77E17"/>
    <w:rsid w:val="00B80173"/>
    <w:rsid w:val="00B8094A"/>
    <w:rsid w:val="00B80A8D"/>
    <w:rsid w:val="00B80AC1"/>
    <w:rsid w:val="00B80DFA"/>
    <w:rsid w:val="00B8108A"/>
    <w:rsid w:val="00B81091"/>
    <w:rsid w:val="00B8166A"/>
    <w:rsid w:val="00B81AAB"/>
    <w:rsid w:val="00B81AC5"/>
    <w:rsid w:val="00B81DAC"/>
    <w:rsid w:val="00B81F91"/>
    <w:rsid w:val="00B82067"/>
    <w:rsid w:val="00B82181"/>
    <w:rsid w:val="00B82668"/>
    <w:rsid w:val="00B831AB"/>
    <w:rsid w:val="00B833DA"/>
    <w:rsid w:val="00B838A1"/>
    <w:rsid w:val="00B8433B"/>
    <w:rsid w:val="00B8491D"/>
    <w:rsid w:val="00B84E66"/>
    <w:rsid w:val="00B85407"/>
    <w:rsid w:val="00B85487"/>
    <w:rsid w:val="00B8572D"/>
    <w:rsid w:val="00B85C86"/>
    <w:rsid w:val="00B85EF7"/>
    <w:rsid w:val="00B85F15"/>
    <w:rsid w:val="00B868F5"/>
    <w:rsid w:val="00B86D57"/>
    <w:rsid w:val="00B870BC"/>
    <w:rsid w:val="00B870F7"/>
    <w:rsid w:val="00B87374"/>
    <w:rsid w:val="00B873E9"/>
    <w:rsid w:val="00B8750E"/>
    <w:rsid w:val="00B87B91"/>
    <w:rsid w:val="00B87F5C"/>
    <w:rsid w:val="00B90389"/>
    <w:rsid w:val="00B903A8"/>
    <w:rsid w:val="00B90791"/>
    <w:rsid w:val="00B9091F"/>
    <w:rsid w:val="00B90CC9"/>
    <w:rsid w:val="00B90FC8"/>
    <w:rsid w:val="00B913C9"/>
    <w:rsid w:val="00B91596"/>
    <w:rsid w:val="00B915E0"/>
    <w:rsid w:val="00B91696"/>
    <w:rsid w:val="00B91A44"/>
    <w:rsid w:val="00B921D2"/>
    <w:rsid w:val="00B92426"/>
    <w:rsid w:val="00B92442"/>
    <w:rsid w:val="00B92B6F"/>
    <w:rsid w:val="00B92EE6"/>
    <w:rsid w:val="00B93064"/>
    <w:rsid w:val="00B9321F"/>
    <w:rsid w:val="00B93268"/>
    <w:rsid w:val="00B932A8"/>
    <w:rsid w:val="00B933EA"/>
    <w:rsid w:val="00B9340F"/>
    <w:rsid w:val="00B934AF"/>
    <w:rsid w:val="00B93A94"/>
    <w:rsid w:val="00B93E68"/>
    <w:rsid w:val="00B93FB5"/>
    <w:rsid w:val="00B9415D"/>
    <w:rsid w:val="00B9488A"/>
    <w:rsid w:val="00B94A74"/>
    <w:rsid w:val="00B94D8B"/>
    <w:rsid w:val="00B95398"/>
    <w:rsid w:val="00B9540B"/>
    <w:rsid w:val="00B95A11"/>
    <w:rsid w:val="00B95F6C"/>
    <w:rsid w:val="00B96175"/>
    <w:rsid w:val="00B96DEF"/>
    <w:rsid w:val="00B96F88"/>
    <w:rsid w:val="00B96FE9"/>
    <w:rsid w:val="00B97446"/>
    <w:rsid w:val="00B97690"/>
    <w:rsid w:val="00B97B60"/>
    <w:rsid w:val="00B97E83"/>
    <w:rsid w:val="00BA00CC"/>
    <w:rsid w:val="00BA033F"/>
    <w:rsid w:val="00BA045E"/>
    <w:rsid w:val="00BA0781"/>
    <w:rsid w:val="00BA0B84"/>
    <w:rsid w:val="00BA0E28"/>
    <w:rsid w:val="00BA16E3"/>
    <w:rsid w:val="00BA1851"/>
    <w:rsid w:val="00BA1A79"/>
    <w:rsid w:val="00BA1B4B"/>
    <w:rsid w:val="00BA1D0B"/>
    <w:rsid w:val="00BA2202"/>
    <w:rsid w:val="00BA2318"/>
    <w:rsid w:val="00BA2907"/>
    <w:rsid w:val="00BA2D53"/>
    <w:rsid w:val="00BA2FFB"/>
    <w:rsid w:val="00BA3F0A"/>
    <w:rsid w:val="00BA3F77"/>
    <w:rsid w:val="00BA4433"/>
    <w:rsid w:val="00BA45C5"/>
    <w:rsid w:val="00BA49FB"/>
    <w:rsid w:val="00BA4B73"/>
    <w:rsid w:val="00BA5079"/>
    <w:rsid w:val="00BA521B"/>
    <w:rsid w:val="00BA5245"/>
    <w:rsid w:val="00BA6789"/>
    <w:rsid w:val="00BA6794"/>
    <w:rsid w:val="00BA7191"/>
    <w:rsid w:val="00BA741E"/>
    <w:rsid w:val="00BA7462"/>
    <w:rsid w:val="00BA7919"/>
    <w:rsid w:val="00BA7BDE"/>
    <w:rsid w:val="00BA7C98"/>
    <w:rsid w:val="00BA7F9E"/>
    <w:rsid w:val="00BA7FEC"/>
    <w:rsid w:val="00BB0462"/>
    <w:rsid w:val="00BB05A8"/>
    <w:rsid w:val="00BB079B"/>
    <w:rsid w:val="00BB0828"/>
    <w:rsid w:val="00BB096F"/>
    <w:rsid w:val="00BB0E48"/>
    <w:rsid w:val="00BB0EFB"/>
    <w:rsid w:val="00BB0FBA"/>
    <w:rsid w:val="00BB135D"/>
    <w:rsid w:val="00BB163E"/>
    <w:rsid w:val="00BB171D"/>
    <w:rsid w:val="00BB1CAD"/>
    <w:rsid w:val="00BB22F7"/>
    <w:rsid w:val="00BB2AED"/>
    <w:rsid w:val="00BB38E7"/>
    <w:rsid w:val="00BB398D"/>
    <w:rsid w:val="00BB39D4"/>
    <w:rsid w:val="00BB3C11"/>
    <w:rsid w:val="00BB3C17"/>
    <w:rsid w:val="00BB3D32"/>
    <w:rsid w:val="00BB4129"/>
    <w:rsid w:val="00BB443F"/>
    <w:rsid w:val="00BB44D5"/>
    <w:rsid w:val="00BB4AE1"/>
    <w:rsid w:val="00BB4CFB"/>
    <w:rsid w:val="00BB4D4B"/>
    <w:rsid w:val="00BB5023"/>
    <w:rsid w:val="00BB5AE2"/>
    <w:rsid w:val="00BB5C85"/>
    <w:rsid w:val="00BB616A"/>
    <w:rsid w:val="00BB6588"/>
    <w:rsid w:val="00BB69CC"/>
    <w:rsid w:val="00BB713F"/>
    <w:rsid w:val="00BB78AD"/>
    <w:rsid w:val="00BC08A1"/>
    <w:rsid w:val="00BC0B03"/>
    <w:rsid w:val="00BC0B93"/>
    <w:rsid w:val="00BC0C09"/>
    <w:rsid w:val="00BC12C3"/>
    <w:rsid w:val="00BC1388"/>
    <w:rsid w:val="00BC1466"/>
    <w:rsid w:val="00BC15B0"/>
    <w:rsid w:val="00BC1650"/>
    <w:rsid w:val="00BC1C85"/>
    <w:rsid w:val="00BC1EE7"/>
    <w:rsid w:val="00BC2123"/>
    <w:rsid w:val="00BC251D"/>
    <w:rsid w:val="00BC2609"/>
    <w:rsid w:val="00BC2735"/>
    <w:rsid w:val="00BC2B5A"/>
    <w:rsid w:val="00BC2B5C"/>
    <w:rsid w:val="00BC2B7C"/>
    <w:rsid w:val="00BC2F38"/>
    <w:rsid w:val="00BC327C"/>
    <w:rsid w:val="00BC340E"/>
    <w:rsid w:val="00BC3525"/>
    <w:rsid w:val="00BC3DE7"/>
    <w:rsid w:val="00BC3F73"/>
    <w:rsid w:val="00BC449C"/>
    <w:rsid w:val="00BC46AC"/>
    <w:rsid w:val="00BC48F7"/>
    <w:rsid w:val="00BC4907"/>
    <w:rsid w:val="00BC577D"/>
    <w:rsid w:val="00BC5876"/>
    <w:rsid w:val="00BC5D97"/>
    <w:rsid w:val="00BC65EF"/>
    <w:rsid w:val="00BC6C3B"/>
    <w:rsid w:val="00BC6E4D"/>
    <w:rsid w:val="00BC72E0"/>
    <w:rsid w:val="00BC739F"/>
    <w:rsid w:val="00BD022B"/>
    <w:rsid w:val="00BD02C2"/>
    <w:rsid w:val="00BD078B"/>
    <w:rsid w:val="00BD0804"/>
    <w:rsid w:val="00BD08C8"/>
    <w:rsid w:val="00BD099F"/>
    <w:rsid w:val="00BD0AC3"/>
    <w:rsid w:val="00BD1278"/>
    <w:rsid w:val="00BD16CD"/>
    <w:rsid w:val="00BD17F1"/>
    <w:rsid w:val="00BD2620"/>
    <w:rsid w:val="00BD2709"/>
    <w:rsid w:val="00BD2838"/>
    <w:rsid w:val="00BD2C19"/>
    <w:rsid w:val="00BD2E45"/>
    <w:rsid w:val="00BD2EC0"/>
    <w:rsid w:val="00BD3490"/>
    <w:rsid w:val="00BD3900"/>
    <w:rsid w:val="00BD397D"/>
    <w:rsid w:val="00BD3A1C"/>
    <w:rsid w:val="00BD3EA5"/>
    <w:rsid w:val="00BD3F41"/>
    <w:rsid w:val="00BD3FE5"/>
    <w:rsid w:val="00BD434D"/>
    <w:rsid w:val="00BD489B"/>
    <w:rsid w:val="00BD5112"/>
    <w:rsid w:val="00BD5234"/>
    <w:rsid w:val="00BD5590"/>
    <w:rsid w:val="00BD63BD"/>
    <w:rsid w:val="00BD6876"/>
    <w:rsid w:val="00BD6CE6"/>
    <w:rsid w:val="00BD6CFD"/>
    <w:rsid w:val="00BD7A42"/>
    <w:rsid w:val="00BD7CB9"/>
    <w:rsid w:val="00BD7E5C"/>
    <w:rsid w:val="00BD7E60"/>
    <w:rsid w:val="00BE005F"/>
    <w:rsid w:val="00BE05FA"/>
    <w:rsid w:val="00BE099D"/>
    <w:rsid w:val="00BE0D0B"/>
    <w:rsid w:val="00BE19A8"/>
    <w:rsid w:val="00BE1D39"/>
    <w:rsid w:val="00BE1EE6"/>
    <w:rsid w:val="00BE276A"/>
    <w:rsid w:val="00BE27E1"/>
    <w:rsid w:val="00BE2967"/>
    <w:rsid w:val="00BE3160"/>
    <w:rsid w:val="00BE32E9"/>
    <w:rsid w:val="00BE338E"/>
    <w:rsid w:val="00BE36E4"/>
    <w:rsid w:val="00BE3929"/>
    <w:rsid w:val="00BE3C0A"/>
    <w:rsid w:val="00BE43B8"/>
    <w:rsid w:val="00BE4897"/>
    <w:rsid w:val="00BE48FC"/>
    <w:rsid w:val="00BE54C6"/>
    <w:rsid w:val="00BE550D"/>
    <w:rsid w:val="00BE5874"/>
    <w:rsid w:val="00BE63C3"/>
    <w:rsid w:val="00BE6754"/>
    <w:rsid w:val="00BE685C"/>
    <w:rsid w:val="00BE6C10"/>
    <w:rsid w:val="00BE6EC3"/>
    <w:rsid w:val="00BE71A2"/>
    <w:rsid w:val="00BE746D"/>
    <w:rsid w:val="00BE7AC3"/>
    <w:rsid w:val="00BE7E1E"/>
    <w:rsid w:val="00BF02E1"/>
    <w:rsid w:val="00BF0645"/>
    <w:rsid w:val="00BF1AAA"/>
    <w:rsid w:val="00BF1B81"/>
    <w:rsid w:val="00BF1D05"/>
    <w:rsid w:val="00BF1D30"/>
    <w:rsid w:val="00BF2119"/>
    <w:rsid w:val="00BF25B8"/>
    <w:rsid w:val="00BF2CD3"/>
    <w:rsid w:val="00BF2FC0"/>
    <w:rsid w:val="00BF344B"/>
    <w:rsid w:val="00BF3E2C"/>
    <w:rsid w:val="00BF3E7F"/>
    <w:rsid w:val="00BF41C4"/>
    <w:rsid w:val="00BF49D5"/>
    <w:rsid w:val="00BF4A43"/>
    <w:rsid w:val="00BF4D1D"/>
    <w:rsid w:val="00BF5017"/>
    <w:rsid w:val="00BF505E"/>
    <w:rsid w:val="00BF53A3"/>
    <w:rsid w:val="00BF580A"/>
    <w:rsid w:val="00BF5AB2"/>
    <w:rsid w:val="00BF6243"/>
    <w:rsid w:val="00BF62DC"/>
    <w:rsid w:val="00BF69E6"/>
    <w:rsid w:val="00BF6EF3"/>
    <w:rsid w:val="00BF7082"/>
    <w:rsid w:val="00BF70F2"/>
    <w:rsid w:val="00BF74E7"/>
    <w:rsid w:val="00BF7D71"/>
    <w:rsid w:val="00BF7F4B"/>
    <w:rsid w:val="00C006D0"/>
    <w:rsid w:val="00C008CF"/>
    <w:rsid w:val="00C008E5"/>
    <w:rsid w:val="00C00D78"/>
    <w:rsid w:val="00C017C8"/>
    <w:rsid w:val="00C024C7"/>
    <w:rsid w:val="00C028A3"/>
    <w:rsid w:val="00C031D0"/>
    <w:rsid w:val="00C033AE"/>
    <w:rsid w:val="00C03F99"/>
    <w:rsid w:val="00C043D7"/>
    <w:rsid w:val="00C0458A"/>
    <w:rsid w:val="00C04689"/>
    <w:rsid w:val="00C04798"/>
    <w:rsid w:val="00C04819"/>
    <w:rsid w:val="00C04EE2"/>
    <w:rsid w:val="00C0609A"/>
    <w:rsid w:val="00C0643F"/>
    <w:rsid w:val="00C064F8"/>
    <w:rsid w:val="00C065EC"/>
    <w:rsid w:val="00C069E0"/>
    <w:rsid w:val="00C06EB2"/>
    <w:rsid w:val="00C07089"/>
    <w:rsid w:val="00C07258"/>
    <w:rsid w:val="00C07791"/>
    <w:rsid w:val="00C07881"/>
    <w:rsid w:val="00C07B75"/>
    <w:rsid w:val="00C07E22"/>
    <w:rsid w:val="00C07F04"/>
    <w:rsid w:val="00C100D0"/>
    <w:rsid w:val="00C1090C"/>
    <w:rsid w:val="00C109FD"/>
    <w:rsid w:val="00C10A8A"/>
    <w:rsid w:val="00C11082"/>
    <w:rsid w:val="00C11673"/>
    <w:rsid w:val="00C1243B"/>
    <w:rsid w:val="00C12720"/>
    <w:rsid w:val="00C12E02"/>
    <w:rsid w:val="00C12F71"/>
    <w:rsid w:val="00C13B5D"/>
    <w:rsid w:val="00C14915"/>
    <w:rsid w:val="00C1498D"/>
    <w:rsid w:val="00C14C86"/>
    <w:rsid w:val="00C1508B"/>
    <w:rsid w:val="00C151E6"/>
    <w:rsid w:val="00C15782"/>
    <w:rsid w:val="00C157A9"/>
    <w:rsid w:val="00C15A25"/>
    <w:rsid w:val="00C17357"/>
    <w:rsid w:val="00C17448"/>
    <w:rsid w:val="00C17574"/>
    <w:rsid w:val="00C17593"/>
    <w:rsid w:val="00C20CB2"/>
    <w:rsid w:val="00C20E34"/>
    <w:rsid w:val="00C2180F"/>
    <w:rsid w:val="00C21FAD"/>
    <w:rsid w:val="00C22FE7"/>
    <w:rsid w:val="00C230AB"/>
    <w:rsid w:val="00C230BD"/>
    <w:rsid w:val="00C238B5"/>
    <w:rsid w:val="00C23FCA"/>
    <w:rsid w:val="00C24928"/>
    <w:rsid w:val="00C24C37"/>
    <w:rsid w:val="00C24FF5"/>
    <w:rsid w:val="00C25098"/>
    <w:rsid w:val="00C257EA"/>
    <w:rsid w:val="00C2588C"/>
    <w:rsid w:val="00C25A06"/>
    <w:rsid w:val="00C25B0A"/>
    <w:rsid w:val="00C25D6A"/>
    <w:rsid w:val="00C25FA9"/>
    <w:rsid w:val="00C260E4"/>
    <w:rsid w:val="00C262BC"/>
    <w:rsid w:val="00C2647F"/>
    <w:rsid w:val="00C26BEA"/>
    <w:rsid w:val="00C27D7A"/>
    <w:rsid w:val="00C27ED3"/>
    <w:rsid w:val="00C27F2A"/>
    <w:rsid w:val="00C309BD"/>
    <w:rsid w:val="00C312AA"/>
    <w:rsid w:val="00C312B5"/>
    <w:rsid w:val="00C315DC"/>
    <w:rsid w:val="00C31632"/>
    <w:rsid w:val="00C31AC1"/>
    <w:rsid w:val="00C31EE6"/>
    <w:rsid w:val="00C3227F"/>
    <w:rsid w:val="00C325AF"/>
    <w:rsid w:val="00C33008"/>
    <w:rsid w:val="00C331FF"/>
    <w:rsid w:val="00C338D5"/>
    <w:rsid w:val="00C33D1E"/>
    <w:rsid w:val="00C34009"/>
    <w:rsid w:val="00C3418B"/>
    <w:rsid w:val="00C3429E"/>
    <w:rsid w:val="00C344D5"/>
    <w:rsid w:val="00C3463E"/>
    <w:rsid w:val="00C34B72"/>
    <w:rsid w:val="00C34EF1"/>
    <w:rsid w:val="00C35FA3"/>
    <w:rsid w:val="00C3637A"/>
    <w:rsid w:val="00C36698"/>
    <w:rsid w:val="00C3693D"/>
    <w:rsid w:val="00C37268"/>
    <w:rsid w:val="00C375E2"/>
    <w:rsid w:val="00C3766D"/>
    <w:rsid w:val="00C3778D"/>
    <w:rsid w:val="00C37AD7"/>
    <w:rsid w:val="00C37B38"/>
    <w:rsid w:val="00C37F82"/>
    <w:rsid w:val="00C40228"/>
    <w:rsid w:val="00C40248"/>
    <w:rsid w:val="00C407A1"/>
    <w:rsid w:val="00C40C41"/>
    <w:rsid w:val="00C40FC5"/>
    <w:rsid w:val="00C40FF7"/>
    <w:rsid w:val="00C41076"/>
    <w:rsid w:val="00C4140C"/>
    <w:rsid w:val="00C414BE"/>
    <w:rsid w:val="00C41516"/>
    <w:rsid w:val="00C41801"/>
    <w:rsid w:val="00C4196B"/>
    <w:rsid w:val="00C41AB2"/>
    <w:rsid w:val="00C41BFA"/>
    <w:rsid w:val="00C41D68"/>
    <w:rsid w:val="00C42408"/>
    <w:rsid w:val="00C426FD"/>
    <w:rsid w:val="00C42998"/>
    <w:rsid w:val="00C42BC0"/>
    <w:rsid w:val="00C43921"/>
    <w:rsid w:val="00C43E6E"/>
    <w:rsid w:val="00C43EA5"/>
    <w:rsid w:val="00C442BA"/>
    <w:rsid w:val="00C44E01"/>
    <w:rsid w:val="00C454A6"/>
    <w:rsid w:val="00C463FF"/>
    <w:rsid w:val="00C4650E"/>
    <w:rsid w:val="00C46DF4"/>
    <w:rsid w:val="00C47623"/>
    <w:rsid w:val="00C506A2"/>
    <w:rsid w:val="00C50D3C"/>
    <w:rsid w:val="00C50F64"/>
    <w:rsid w:val="00C517D9"/>
    <w:rsid w:val="00C51CEE"/>
    <w:rsid w:val="00C5209F"/>
    <w:rsid w:val="00C52121"/>
    <w:rsid w:val="00C52823"/>
    <w:rsid w:val="00C52B6E"/>
    <w:rsid w:val="00C52E5A"/>
    <w:rsid w:val="00C52F6D"/>
    <w:rsid w:val="00C52F7D"/>
    <w:rsid w:val="00C53ECA"/>
    <w:rsid w:val="00C54567"/>
    <w:rsid w:val="00C545BC"/>
    <w:rsid w:val="00C5460E"/>
    <w:rsid w:val="00C547F3"/>
    <w:rsid w:val="00C55040"/>
    <w:rsid w:val="00C55166"/>
    <w:rsid w:val="00C5534F"/>
    <w:rsid w:val="00C55373"/>
    <w:rsid w:val="00C5548F"/>
    <w:rsid w:val="00C55B73"/>
    <w:rsid w:val="00C55C2B"/>
    <w:rsid w:val="00C55D5D"/>
    <w:rsid w:val="00C56395"/>
    <w:rsid w:val="00C5643E"/>
    <w:rsid w:val="00C56601"/>
    <w:rsid w:val="00C56B99"/>
    <w:rsid w:val="00C56F7C"/>
    <w:rsid w:val="00C57143"/>
    <w:rsid w:val="00C573EE"/>
    <w:rsid w:val="00C574DF"/>
    <w:rsid w:val="00C60992"/>
    <w:rsid w:val="00C60E47"/>
    <w:rsid w:val="00C610E3"/>
    <w:rsid w:val="00C61846"/>
    <w:rsid w:val="00C6186C"/>
    <w:rsid w:val="00C618A6"/>
    <w:rsid w:val="00C61924"/>
    <w:rsid w:val="00C6220D"/>
    <w:rsid w:val="00C6252E"/>
    <w:rsid w:val="00C62684"/>
    <w:rsid w:val="00C6294F"/>
    <w:rsid w:val="00C62AD9"/>
    <w:rsid w:val="00C62FFE"/>
    <w:rsid w:val="00C63201"/>
    <w:rsid w:val="00C63555"/>
    <w:rsid w:val="00C638BF"/>
    <w:rsid w:val="00C6408D"/>
    <w:rsid w:val="00C6421D"/>
    <w:rsid w:val="00C642CC"/>
    <w:rsid w:val="00C645E0"/>
    <w:rsid w:val="00C64F2E"/>
    <w:rsid w:val="00C650D9"/>
    <w:rsid w:val="00C651B5"/>
    <w:rsid w:val="00C659CD"/>
    <w:rsid w:val="00C65D8F"/>
    <w:rsid w:val="00C661D2"/>
    <w:rsid w:val="00C662F4"/>
    <w:rsid w:val="00C66447"/>
    <w:rsid w:val="00C6660C"/>
    <w:rsid w:val="00C66637"/>
    <w:rsid w:val="00C66EB3"/>
    <w:rsid w:val="00C66F05"/>
    <w:rsid w:val="00C67078"/>
    <w:rsid w:val="00C678B7"/>
    <w:rsid w:val="00C678BD"/>
    <w:rsid w:val="00C704AC"/>
    <w:rsid w:val="00C705A3"/>
    <w:rsid w:val="00C7062A"/>
    <w:rsid w:val="00C70832"/>
    <w:rsid w:val="00C7093F"/>
    <w:rsid w:val="00C709F6"/>
    <w:rsid w:val="00C71032"/>
    <w:rsid w:val="00C7143D"/>
    <w:rsid w:val="00C71579"/>
    <w:rsid w:val="00C725B3"/>
    <w:rsid w:val="00C72B0D"/>
    <w:rsid w:val="00C72BFB"/>
    <w:rsid w:val="00C72C75"/>
    <w:rsid w:val="00C73C9C"/>
    <w:rsid w:val="00C73F8B"/>
    <w:rsid w:val="00C73F90"/>
    <w:rsid w:val="00C73FD1"/>
    <w:rsid w:val="00C749A4"/>
    <w:rsid w:val="00C74C34"/>
    <w:rsid w:val="00C74D78"/>
    <w:rsid w:val="00C74E94"/>
    <w:rsid w:val="00C7573A"/>
    <w:rsid w:val="00C7588F"/>
    <w:rsid w:val="00C75BF6"/>
    <w:rsid w:val="00C768E9"/>
    <w:rsid w:val="00C76E84"/>
    <w:rsid w:val="00C77696"/>
    <w:rsid w:val="00C77B82"/>
    <w:rsid w:val="00C77D0A"/>
    <w:rsid w:val="00C80488"/>
    <w:rsid w:val="00C810DB"/>
    <w:rsid w:val="00C819EF"/>
    <w:rsid w:val="00C822F7"/>
    <w:rsid w:val="00C82E28"/>
    <w:rsid w:val="00C82F18"/>
    <w:rsid w:val="00C82FCC"/>
    <w:rsid w:val="00C82FDA"/>
    <w:rsid w:val="00C83284"/>
    <w:rsid w:val="00C836DF"/>
    <w:rsid w:val="00C8377D"/>
    <w:rsid w:val="00C83D93"/>
    <w:rsid w:val="00C83E45"/>
    <w:rsid w:val="00C83E93"/>
    <w:rsid w:val="00C83FB4"/>
    <w:rsid w:val="00C840D7"/>
    <w:rsid w:val="00C84B64"/>
    <w:rsid w:val="00C85525"/>
    <w:rsid w:val="00C85B27"/>
    <w:rsid w:val="00C85B70"/>
    <w:rsid w:val="00C85F6D"/>
    <w:rsid w:val="00C864B8"/>
    <w:rsid w:val="00C86525"/>
    <w:rsid w:val="00C86AE2"/>
    <w:rsid w:val="00C86FA5"/>
    <w:rsid w:val="00C87721"/>
    <w:rsid w:val="00C87830"/>
    <w:rsid w:val="00C90441"/>
    <w:rsid w:val="00C91113"/>
    <w:rsid w:val="00C911BA"/>
    <w:rsid w:val="00C91814"/>
    <w:rsid w:val="00C91F44"/>
    <w:rsid w:val="00C9222E"/>
    <w:rsid w:val="00C9245D"/>
    <w:rsid w:val="00C92801"/>
    <w:rsid w:val="00C9280A"/>
    <w:rsid w:val="00C92E7B"/>
    <w:rsid w:val="00C9398D"/>
    <w:rsid w:val="00C939FF"/>
    <w:rsid w:val="00C93A7A"/>
    <w:rsid w:val="00C93F19"/>
    <w:rsid w:val="00C94166"/>
    <w:rsid w:val="00C9426B"/>
    <w:rsid w:val="00C943F7"/>
    <w:rsid w:val="00C944F4"/>
    <w:rsid w:val="00C948A5"/>
    <w:rsid w:val="00C948F8"/>
    <w:rsid w:val="00C94F77"/>
    <w:rsid w:val="00C9516A"/>
    <w:rsid w:val="00C95340"/>
    <w:rsid w:val="00C95645"/>
    <w:rsid w:val="00C959CA"/>
    <w:rsid w:val="00C95DFB"/>
    <w:rsid w:val="00C95E75"/>
    <w:rsid w:val="00C964A1"/>
    <w:rsid w:val="00C96793"/>
    <w:rsid w:val="00C96B1D"/>
    <w:rsid w:val="00C96ECC"/>
    <w:rsid w:val="00C97776"/>
    <w:rsid w:val="00C97ADE"/>
    <w:rsid w:val="00CA0332"/>
    <w:rsid w:val="00CA090F"/>
    <w:rsid w:val="00CA0C6D"/>
    <w:rsid w:val="00CA12AD"/>
    <w:rsid w:val="00CA1533"/>
    <w:rsid w:val="00CA1907"/>
    <w:rsid w:val="00CA2369"/>
    <w:rsid w:val="00CA2BB9"/>
    <w:rsid w:val="00CA2DD4"/>
    <w:rsid w:val="00CA3334"/>
    <w:rsid w:val="00CA3621"/>
    <w:rsid w:val="00CA377A"/>
    <w:rsid w:val="00CA429F"/>
    <w:rsid w:val="00CA4355"/>
    <w:rsid w:val="00CA4824"/>
    <w:rsid w:val="00CA4B5E"/>
    <w:rsid w:val="00CA4BF1"/>
    <w:rsid w:val="00CA4EE3"/>
    <w:rsid w:val="00CA4F8D"/>
    <w:rsid w:val="00CA5363"/>
    <w:rsid w:val="00CA5541"/>
    <w:rsid w:val="00CA594C"/>
    <w:rsid w:val="00CA5CEA"/>
    <w:rsid w:val="00CA632D"/>
    <w:rsid w:val="00CA6832"/>
    <w:rsid w:val="00CA79CA"/>
    <w:rsid w:val="00CA7A08"/>
    <w:rsid w:val="00CA7B23"/>
    <w:rsid w:val="00CA7E45"/>
    <w:rsid w:val="00CA7E6B"/>
    <w:rsid w:val="00CB0037"/>
    <w:rsid w:val="00CB00B0"/>
    <w:rsid w:val="00CB00BC"/>
    <w:rsid w:val="00CB038B"/>
    <w:rsid w:val="00CB0452"/>
    <w:rsid w:val="00CB04E0"/>
    <w:rsid w:val="00CB04EB"/>
    <w:rsid w:val="00CB058F"/>
    <w:rsid w:val="00CB133B"/>
    <w:rsid w:val="00CB256F"/>
    <w:rsid w:val="00CB2A18"/>
    <w:rsid w:val="00CB35C5"/>
    <w:rsid w:val="00CB3A38"/>
    <w:rsid w:val="00CB3E9E"/>
    <w:rsid w:val="00CB480B"/>
    <w:rsid w:val="00CB4841"/>
    <w:rsid w:val="00CB5256"/>
    <w:rsid w:val="00CB52BD"/>
    <w:rsid w:val="00CB5A1C"/>
    <w:rsid w:val="00CB5A32"/>
    <w:rsid w:val="00CB5B6D"/>
    <w:rsid w:val="00CB6206"/>
    <w:rsid w:val="00CB6371"/>
    <w:rsid w:val="00CB650E"/>
    <w:rsid w:val="00CB66FC"/>
    <w:rsid w:val="00CB67DA"/>
    <w:rsid w:val="00CB70C2"/>
    <w:rsid w:val="00CB71C2"/>
    <w:rsid w:val="00CB71FA"/>
    <w:rsid w:val="00CB7A09"/>
    <w:rsid w:val="00CB7A6D"/>
    <w:rsid w:val="00CB7E88"/>
    <w:rsid w:val="00CC04F7"/>
    <w:rsid w:val="00CC0EFC"/>
    <w:rsid w:val="00CC0F13"/>
    <w:rsid w:val="00CC10E1"/>
    <w:rsid w:val="00CC1957"/>
    <w:rsid w:val="00CC1C32"/>
    <w:rsid w:val="00CC23C7"/>
    <w:rsid w:val="00CC23D1"/>
    <w:rsid w:val="00CC23DF"/>
    <w:rsid w:val="00CC2920"/>
    <w:rsid w:val="00CC2BED"/>
    <w:rsid w:val="00CC2C5B"/>
    <w:rsid w:val="00CC31C4"/>
    <w:rsid w:val="00CC33A8"/>
    <w:rsid w:val="00CC36BF"/>
    <w:rsid w:val="00CC3864"/>
    <w:rsid w:val="00CC3A94"/>
    <w:rsid w:val="00CC3C9D"/>
    <w:rsid w:val="00CC418F"/>
    <w:rsid w:val="00CC484D"/>
    <w:rsid w:val="00CC492A"/>
    <w:rsid w:val="00CC4ACC"/>
    <w:rsid w:val="00CC4B8D"/>
    <w:rsid w:val="00CC4F65"/>
    <w:rsid w:val="00CC528C"/>
    <w:rsid w:val="00CC5300"/>
    <w:rsid w:val="00CC58F6"/>
    <w:rsid w:val="00CC5A08"/>
    <w:rsid w:val="00CC5F72"/>
    <w:rsid w:val="00CC614D"/>
    <w:rsid w:val="00CC631A"/>
    <w:rsid w:val="00CC6366"/>
    <w:rsid w:val="00CC73C2"/>
    <w:rsid w:val="00CC7447"/>
    <w:rsid w:val="00CC769B"/>
    <w:rsid w:val="00CC7714"/>
    <w:rsid w:val="00CC7A79"/>
    <w:rsid w:val="00CC7B40"/>
    <w:rsid w:val="00CD02F0"/>
    <w:rsid w:val="00CD0339"/>
    <w:rsid w:val="00CD058C"/>
    <w:rsid w:val="00CD063A"/>
    <w:rsid w:val="00CD0A5B"/>
    <w:rsid w:val="00CD0BF3"/>
    <w:rsid w:val="00CD1290"/>
    <w:rsid w:val="00CD1756"/>
    <w:rsid w:val="00CD19BD"/>
    <w:rsid w:val="00CD2549"/>
    <w:rsid w:val="00CD2769"/>
    <w:rsid w:val="00CD291B"/>
    <w:rsid w:val="00CD3298"/>
    <w:rsid w:val="00CD3591"/>
    <w:rsid w:val="00CD408D"/>
    <w:rsid w:val="00CD40AB"/>
    <w:rsid w:val="00CD4120"/>
    <w:rsid w:val="00CD4241"/>
    <w:rsid w:val="00CD42B9"/>
    <w:rsid w:val="00CD47A9"/>
    <w:rsid w:val="00CD4AE1"/>
    <w:rsid w:val="00CD4B5E"/>
    <w:rsid w:val="00CD4B94"/>
    <w:rsid w:val="00CD4CE8"/>
    <w:rsid w:val="00CD5012"/>
    <w:rsid w:val="00CD5104"/>
    <w:rsid w:val="00CD5332"/>
    <w:rsid w:val="00CD55EB"/>
    <w:rsid w:val="00CD5627"/>
    <w:rsid w:val="00CD5CC2"/>
    <w:rsid w:val="00CD6584"/>
    <w:rsid w:val="00CD6647"/>
    <w:rsid w:val="00CD666D"/>
    <w:rsid w:val="00CD6B62"/>
    <w:rsid w:val="00CD734D"/>
    <w:rsid w:val="00CD73EA"/>
    <w:rsid w:val="00CD7474"/>
    <w:rsid w:val="00CD7799"/>
    <w:rsid w:val="00CD77FC"/>
    <w:rsid w:val="00CD78F3"/>
    <w:rsid w:val="00CE027B"/>
    <w:rsid w:val="00CE035B"/>
    <w:rsid w:val="00CE0382"/>
    <w:rsid w:val="00CE04DF"/>
    <w:rsid w:val="00CE080C"/>
    <w:rsid w:val="00CE0859"/>
    <w:rsid w:val="00CE0DB6"/>
    <w:rsid w:val="00CE0DF0"/>
    <w:rsid w:val="00CE1590"/>
    <w:rsid w:val="00CE15EF"/>
    <w:rsid w:val="00CE1646"/>
    <w:rsid w:val="00CE1C74"/>
    <w:rsid w:val="00CE220F"/>
    <w:rsid w:val="00CE229E"/>
    <w:rsid w:val="00CE22E9"/>
    <w:rsid w:val="00CE27FF"/>
    <w:rsid w:val="00CE2830"/>
    <w:rsid w:val="00CE28C6"/>
    <w:rsid w:val="00CE2B5A"/>
    <w:rsid w:val="00CE3054"/>
    <w:rsid w:val="00CE37C0"/>
    <w:rsid w:val="00CE3980"/>
    <w:rsid w:val="00CE3D17"/>
    <w:rsid w:val="00CE3E29"/>
    <w:rsid w:val="00CE3E40"/>
    <w:rsid w:val="00CE3E9C"/>
    <w:rsid w:val="00CE3ED9"/>
    <w:rsid w:val="00CE3F44"/>
    <w:rsid w:val="00CE429E"/>
    <w:rsid w:val="00CE4345"/>
    <w:rsid w:val="00CE4789"/>
    <w:rsid w:val="00CE484D"/>
    <w:rsid w:val="00CE4985"/>
    <w:rsid w:val="00CE4B3C"/>
    <w:rsid w:val="00CE5285"/>
    <w:rsid w:val="00CE5C00"/>
    <w:rsid w:val="00CE5CF3"/>
    <w:rsid w:val="00CE5DEF"/>
    <w:rsid w:val="00CE601E"/>
    <w:rsid w:val="00CE6154"/>
    <w:rsid w:val="00CE675B"/>
    <w:rsid w:val="00CE71A1"/>
    <w:rsid w:val="00CE73F3"/>
    <w:rsid w:val="00CF01B0"/>
    <w:rsid w:val="00CF01FF"/>
    <w:rsid w:val="00CF096F"/>
    <w:rsid w:val="00CF0AB4"/>
    <w:rsid w:val="00CF13F4"/>
    <w:rsid w:val="00CF1487"/>
    <w:rsid w:val="00CF1724"/>
    <w:rsid w:val="00CF1872"/>
    <w:rsid w:val="00CF2708"/>
    <w:rsid w:val="00CF2996"/>
    <w:rsid w:val="00CF2AF0"/>
    <w:rsid w:val="00CF2B65"/>
    <w:rsid w:val="00CF2D76"/>
    <w:rsid w:val="00CF2EA3"/>
    <w:rsid w:val="00CF321B"/>
    <w:rsid w:val="00CF368E"/>
    <w:rsid w:val="00CF36CD"/>
    <w:rsid w:val="00CF4056"/>
    <w:rsid w:val="00CF4811"/>
    <w:rsid w:val="00CF49E2"/>
    <w:rsid w:val="00CF52C7"/>
    <w:rsid w:val="00CF53D0"/>
    <w:rsid w:val="00CF5514"/>
    <w:rsid w:val="00CF55AC"/>
    <w:rsid w:val="00CF56FB"/>
    <w:rsid w:val="00CF5A12"/>
    <w:rsid w:val="00CF613C"/>
    <w:rsid w:val="00CF6978"/>
    <w:rsid w:val="00CF6B17"/>
    <w:rsid w:val="00CF71FA"/>
    <w:rsid w:val="00CF7308"/>
    <w:rsid w:val="00CF7A20"/>
    <w:rsid w:val="00CF7A25"/>
    <w:rsid w:val="00D00094"/>
    <w:rsid w:val="00D00129"/>
    <w:rsid w:val="00D00528"/>
    <w:rsid w:val="00D008D5"/>
    <w:rsid w:val="00D00CF3"/>
    <w:rsid w:val="00D00F21"/>
    <w:rsid w:val="00D01238"/>
    <w:rsid w:val="00D012FD"/>
    <w:rsid w:val="00D0147F"/>
    <w:rsid w:val="00D01FB5"/>
    <w:rsid w:val="00D021FD"/>
    <w:rsid w:val="00D02F00"/>
    <w:rsid w:val="00D038D4"/>
    <w:rsid w:val="00D03BBC"/>
    <w:rsid w:val="00D03FDD"/>
    <w:rsid w:val="00D0411A"/>
    <w:rsid w:val="00D042AF"/>
    <w:rsid w:val="00D04466"/>
    <w:rsid w:val="00D0485C"/>
    <w:rsid w:val="00D049B4"/>
    <w:rsid w:val="00D04CEB"/>
    <w:rsid w:val="00D04F89"/>
    <w:rsid w:val="00D04F9F"/>
    <w:rsid w:val="00D05640"/>
    <w:rsid w:val="00D057F6"/>
    <w:rsid w:val="00D05F18"/>
    <w:rsid w:val="00D05FB9"/>
    <w:rsid w:val="00D06812"/>
    <w:rsid w:val="00D0686C"/>
    <w:rsid w:val="00D06A87"/>
    <w:rsid w:val="00D06CA9"/>
    <w:rsid w:val="00D06F1D"/>
    <w:rsid w:val="00D070F8"/>
    <w:rsid w:val="00D0724A"/>
    <w:rsid w:val="00D07334"/>
    <w:rsid w:val="00D07379"/>
    <w:rsid w:val="00D07B51"/>
    <w:rsid w:val="00D1010F"/>
    <w:rsid w:val="00D105E2"/>
    <w:rsid w:val="00D1072B"/>
    <w:rsid w:val="00D1106C"/>
    <w:rsid w:val="00D111F6"/>
    <w:rsid w:val="00D112E8"/>
    <w:rsid w:val="00D11702"/>
    <w:rsid w:val="00D1174F"/>
    <w:rsid w:val="00D11804"/>
    <w:rsid w:val="00D11AF1"/>
    <w:rsid w:val="00D11B40"/>
    <w:rsid w:val="00D11EB9"/>
    <w:rsid w:val="00D11F6F"/>
    <w:rsid w:val="00D124D8"/>
    <w:rsid w:val="00D129EC"/>
    <w:rsid w:val="00D12A9E"/>
    <w:rsid w:val="00D12C63"/>
    <w:rsid w:val="00D12D35"/>
    <w:rsid w:val="00D12D3B"/>
    <w:rsid w:val="00D132D8"/>
    <w:rsid w:val="00D13818"/>
    <w:rsid w:val="00D13BDF"/>
    <w:rsid w:val="00D13C71"/>
    <w:rsid w:val="00D13E2D"/>
    <w:rsid w:val="00D14250"/>
    <w:rsid w:val="00D144CE"/>
    <w:rsid w:val="00D14FDF"/>
    <w:rsid w:val="00D1502B"/>
    <w:rsid w:val="00D1539D"/>
    <w:rsid w:val="00D15C27"/>
    <w:rsid w:val="00D15E00"/>
    <w:rsid w:val="00D164EA"/>
    <w:rsid w:val="00D174A5"/>
    <w:rsid w:val="00D17595"/>
    <w:rsid w:val="00D17C05"/>
    <w:rsid w:val="00D17D38"/>
    <w:rsid w:val="00D201AF"/>
    <w:rsid w:val="00D20787"/>
    <w:rsid w:val="00D20D1E"/>
    <w:rsid w:val="00D210B3"/>
    <w:rsid w:val="00D217C0"/>
    <w:rsid w:val="00D21B5F"/>
    <w:rsid w:val="00D21D69"/>
    <w:rsid w:val="00D22166"/>
    <w:rsid w:val="00D2247D"/>
    <w:rsid w:val="00D2276D"/>
    <w:rsid w:val="00D22970"/>
    <w:rsid w:val="00D23108"/>
    <w:rsid w:val="00D23501"/>
    <w:rsid w:val="00D2372F"/>
    <w:rsid w:val="00D23792"/>
    <w:rsid w:val="00D2386C"/>
    <w:rsid w:val="00D23969"/>
    <w:rsid w:val="00D23B89"/>
    <w:rsid w:val="00D23C42"/>
    <w:rsid w:val="00D23E79"/>
    <w:rsid w:val="00D2405B"/>
    <w:rsid w:val="00D247DF"/>
    <w:rsid w:val="00D24C73"/>
    <w:rsid w:val="00D24E93"/>
    <w:rsid w:val="00D24EB5"/>
    <w:rsid w:val="00D25119"/>
    <w:rsid w:val="00D25EBC"/>
    <w:rsid w:val="00D26ACE"/>
    <w:rsid w:val="00D26EB7"/>
    <w:rsid w:val="00D27274"/>
    <w:rsid w:val="00D273FE"/>
    <w:rsid w:val="00D2756F"/>
    <w:rsid w:val="00D2760D"/>
    <w:rsid w:val="00D27740"/>
    <w:rsid w:val="00D27A99"/>
    <w:rsid w:val="00D27EE7"/>
    <w:rsid w:val="00D30CF0"/>
    <w:rsid w:val="00D31102"/>
    <w:rsid w:val="00D314CE"/>
    <w:rsid w:val="00D321FA"/>
    <w:rsid w:val="00D32693"/>
    <w:rsid w:val="00D32967"/>
    <w:rsid w:val="00D3298F"/>
    <w:rsid w:val="00D32CA0"/>
    <w:rsid w:val="00D33158"/>
    <w:rsid w:val="00D33643"/>
    <w:rsid w:val="00D340A9"/>
    <w:rsid w:val="00D340B0"/>
    <w:rsid w:val="00D34203"/>
    <w:rsid w:val="00D34856"/>
    <w:rsid w:val="00D34A4B"/>
    <w:rsid w:val="00D34B90"/>
    <w:rsid w:val="00D355C3"/>
    <w:rsid w:val="00D35734"/>
    <w:rsid w:val="00D357C6"/>
    <w:rsid w:val="00D35CE1"/>
    <w:rsid w:val="00D361ED"/>
    <w:rsid w:val="00D3733F"/>
    <w:rsid w:val="00D374B9"/>
    <w:rsid w:val="00D3752A"/>
    <w:rsid w:val="00D375BC"/>
    <w:rsid w:val="00D3778C"/>
    <w:rsid w:val="00D37FDC"/>
    <w:rsid w:val="00D4073A"/>
    <w:rsid w:val="00D4092C"/>
    <w:rsid w:val="00D40D5F"/>
    <w:rsid w:val="00D40DF9"/>
    <w:rsid w:val="00D40EFE"/>
    <w:rsid w:val="00D411FD"/>
    <w:rsid w:val="00D415E5"/>
    <w:rsid w:val="00D41702"/>
    <w:rsid w:val="00D4178A"/>
    <w:rsid w:val="00D41C67"/>
    <w:rsid w:val="00D41DBE"/>
    <w:rsid w:val="00D41E51"/>
    <w:rsid w:val="00D422E5"/>
    <w:rsid w:val="00D42551"/>
    <w:rsid w:val="00D4277E"/>
    <w:rsid w:val="00D42AA3"/>
    <w:rsid w:val="00D43321"/>
    <w:rsid w:val="00D434C2"/>
    <w:rsid w:val="00D44621"/>
    <w:rsid w:val="00D44B5A"/>
    <w:rsid w:val="00D4581B"/>
    <w:rsid w:val="00D4609B"/>
    <w:rsid w:val="00D462E7"/>
    <w:rsid w:val="00D4684F"/>
    <w:rsid w:val="00D46D80"/>
    <w:rsid w:val="00D46DC8"/>
    <w:rsid w:val="00D47185"/>
    <w:rsid w:val="00D47212"/>
    <w:rsid w:val="00D5012B"/>
    <w:rsid w:val="00D50567"/>
    <w:rsid w:val="00D509BC"/>
    <w:rsid w:val="00D50EAE"/>
    <w:rsid w:val="00D51618"/>
    <w:rsid w:val="00D51CDE"/>
    <w:rsid w:val="00D51E01"/>
    <w:rsid w:val="00D51FE3"/>
    <w:rsid w:val="00D5232E"/>
    <w:rsid w:val="00D5255D"/>
    <w:rsid w:val="00D52E33"/>
    <w:rsid w:val="00D52F0B"/>
    <w:rsid w:val="00D53385"/>
    <w:rsid w:val="00D5342F"/>
    <w:rsid w:val="00D54088"/>
    <w:rsid w:val="00D54380"/>
    <w:rsid w:val="00D54B29"/>
    <w:rsid w:val="00D54D2F"/>
    <w:rsid w:val="00D551C0"/>
    <w:rsid w:val="00D551D0"/>
    <w:rsid w:val="00D5567B"/>
    <w:rsid w:val="00D556F1"/>
    <w:rsid w:val="00D55721"/>
    <w:rsid w:val="00D55E5E"/>
    <w:rsid w:val="00D56150"/>
    <w:rsid w:val="00D563AB"/>
    <w:rsid w:val="00D564FA"/>
    <w:rsid w:val="00D56753"/>
    <w:rsid w:val="00D56DDC"/>
    <w:rsid w:val="00D56E5B"/>
    <w:rsid w:val="00D5736B"/>
    <w:rsid w:val="00D575C1"/>
    <w:rsid w:val="00D57641"/>
    <w:rsid w:val="00D57F44"/>
    <w:rsid w:val="00D60496"/>
    <w:rsid w:val="00D60703"/>
    <w:rsid w:val="00D60900"/>
    <w:rsid w:val="00D609DA"/>
    <w:rsid w:val="00D60A95"/>
    <w:rsid w:val="00D60FCE"/>
    <w:rsid w:val="00D6161C"/>
    <w:rsid w:val="00D61996"/>
    <w:rsid w:val="00D61E50"/>
    <w:rsid w:val="00D62632"/>
    <w:rsid w:val="00D6275F"/>
    <w:rsid w:val="00D62A16"/>
    <w:rsid w:val="00D62A64"/>
    <w:rsid w:val="00D62BA3"/>
    <w:rsid w:val="00D62D73"/>
    <w:rsid w:val="00D62EE5"/>
    <w:rsid w:val="00D63013"/>
    <w:rsid w:val="00D637A8"/>
    <w:rsid w:val="00D63898"/>
    <w:rsid w:val="00D63942"/>
    <w:rsid w:val="00D64020"/>
    <w:rsid w:val="00D6422A"/>
    <w:rsid w:val="00D648DB"/>
    <w:rsid w:val="00D64ACD"/>
    <w:rsid w:val="00D64BC8"/>
    <w:rsid w:val="00D650DB"/>
    <w:rsid w:val="00D65F43"/>
    <w:rsid w:val="00D6603F"/>
    <w:rsid w:val="00D66598"/>
    <w:rsid w:val="00D6691F"/>
    <w:rsid w:val="00D6752E"/>
    <w:rsid w:val="00D67902"/>
    <w:rsid w:val="00D705A7"/>
    <w:rsid w:val="00D70B26"/>
    <w:rsid w:val="00D71242"/>
    <w:rsid w:val="00D712B9"/>
    <w:rsid w:val="00D71640"/>
    <w:rsid w:val="00D719FA"/>
    <w:rsid w:val="00D71F93"/>
    <w:rsid w:val="00D720DA"/>
    <w:rsid w:val="00D72104"/>
    <w:rsid w:val="00D721B3"/>
    <w:rsid w:val="00D72AE7"/>
    <w:rsid w:val="00D72B31"/>
    <w:rsid w:val="00D72DCB"/>
    <w:rsid w:val="00D73402"/>
    <w:rsid w:val="00D73482"/>
    <w:rsid w:val="00D73A0E"/>
    <w:rsid w:val="00D73EE8"/>
    <w:rsid w:val="00D73FF7"/>
    <w:rsid w:val="00D74194"/>
    <w:rsid w:val="00D74538"/>
    <w:rsid w:val="00D745E6"/>
    <w:rsid w:val="00D74667"/>
    <w:rsid w:val="00D74801"/>
    <w:rsid w:val="00D749AE"/>
    <w:rsid w:val="00D74D01"/>
    <w:rsid w:val="00D74DD7"/>
    <w:rsid w:val="00D74FA6"/>
    <w:rsid w:val="00D7513D"/>
    <w:rsid w:val="00D75266"/>
    <w:rsid w:val="00D75924"/>
    <w:rsid w:val="00D75AC0"/>
    <w:rsid w:val="00D75B4B"/>
    <w:rsid w:val="00D75C19"/>
    <w:rsid w:val="00D75F1E"/>
    <w:rsid w:val="00D76145"/>
    <w:rsid w:val="00D7615F"/>
    <w:rsid w:val="00D766FC"/>
    <w:rsid w:val="00D7678E"/>
    <w:rsid w:val="00D76C11"/>
    <w:rsid w:val="00D770B6"/>
    <w:rsid w:val="00D775AE"/>
    <w:rsid w:val="00D77697"/>
    <w:rsid w:val="00D776EB"/>
    <w:rsid w:val="00D778EE"/>
    <w:rsid w:val="00D7795B"/>
    <w:rsid w:val="00D77983"/>
    <w:rsid w:val="00D77AE2"/>
    <w:rsid w:val="00D77FAF"/>
    <w:rsid w:val="00D80237"/>
    <w:rsid w:val="00D80541"/>
    <w:rsid w:val="00D80A5C"/>
    <w:rsid w:val="00D80F0A"/>
    <w:rsid w:val="00D81567"/>
    <w:rsid w:val="00D81B8B"/>
    <w:rsid w:val="00D82739"/>
    <w:rsid w:val="00D82908"/>
    <w:rsid w:val="00D82ADD"/>
    <w:rsid w:val="00D83127"/>
    <w:rsid w:val="00D83719"/>
    <w:rsid w:val="00D83B2F"/>
    <w:rsid w:val="00D83F67"/>
    <w:rsid w:val="00D844BF"/>
    <w:rsid w:val="00D84C92"/>
    <w:rsid w:val="00D851A4"/>
    <w:rsid w:val="00D854F5"/>
    <w:rsid w:val="00D8557F"/>
    <w:rsid w:val="00D85794"/>
    <w:rsid w:val="00D8602A"/>
    <w:rsid w:val="00D8644E"/>
    <w:rsid w:val="00D865F3"/>
    <w:rsid w:val="00D86958"/>
    <w:rsid w:val="00D8697C"/>
    <w:rsid w:val="00D8698D"/>
    <w:rsid w:val="00D86A3F"/>
    <w:rsid w:val="00D86CAB"/>
    <w:rsid w:val="00D8728D"/>
    <w:rsid w:val="00D87588"/>
    <w:rsid w:val="00D876E1"/>
    <w:rsid w:val="00D87C30"/>
    <w:rsid w:val="00D87D38"/>
    <w:rsid w:val="00D905A3"/>
    <w:rsid w:val="00D9063B"/>
    <w:rsid w:val="00D90C66"/>
    <w:rsid w:val="00D90D3B"/>
    <w:rsid w:val="00D90D49"/>
    <w:rsid w:val="00D90F3A"/>
    <w:rsid w:val="00D913AB"/>
    <w:rsid w:val="00D913AC"/>
    <w:rsid w:val="00D916FD"/>
    <w:rsid w:val="00D91920"/>
    <w:rsid w:val="00D91BC1"/>
    <w:rsid w:val="00D91BDD"/>
    <w:rsid w:val="00D91FD8"/>
    <w:rsid w:val="00D9258F"/>
    <w:rsid w:val="00D92A7E"/>
    <w:rsid w:val="00D93165"/>
    <w:rsid w:val="00D936CF"/>
    <w:rsid w:val="00D93A21"/>
    <w:rsid w:val="00D9410B"/>
    <w:rsid w:val="00D94249"/>
    <w:rsid w:val="00D944C7"/>
    <w:rsid w:val="00D9460E"/>
    <w:rsid w:val="00D94827"/>
    <w:rsid w:val="00D9486C"/>
    <w:rsid w:val="00D94A8E"/>
    <w:rsid w:val="00D95160"/>
    <w:rsid w:val="00D95235"/>
    <w:rsid w:val="00D95290"/>
    <w:rsid w:val="00D956D4"/>
    <w:rsid w:val="00D958AC"/>
    <w:rsid w:val="00D95AC3"/>
    <w:rsid w:val="00D95C7C"/>
    <w:rsid w:val="00D95FC7"/>
    <w:rsid w:val="00D96576"/>
    <w:rsid w:val="00D965CE"/>
    <w:rsid w:val="00D968B0"/>
    <w:rsid w:val="00D96BE4"/>
    <w:rsid w:val="00D96EF3"/>
    <w:rsid w:val="00D96F26"/>
    <w:rsid w:val="00D9715E"/>
    <w:rsid w:val="00D97296"/>
    <w:rsid w:val="00D974E3"/>
    <w:rsid w:val="00D975E7"/>
    <w:rsid w:val="00D9784F"/>
    <w:rsid w:val="00D978CB"/>
    <w:rsid w:val="00D978F5"/>
    <w:rsid w:val="00D97D39"/>
    <w:rsid w:val="00D97E96"/>
    <w:rsid w:val="00D97F5D"/>
    <w:rsid w:val="00D97F6D"/>
    <w:rsid w:val="00DA079B"/>
    <w:rsid w:val="00DA0945"/>
    <w:rsid w:val="00DA0DEF"/>
    <w:rsid w:val="00DA11E1"/>
    <w:rsid w:val="00DA13AA"/>
    <w:rsid w:val="00DA18C5"/>
    <w:rsid w:val="00DA1908"/>
    <w:rsid w:val="00DA190E"/>
    <w:rsid w:val="00DA1AF1"/>
    <w:rsid w:val="00DA1C54"/>
    <w:rsid w:val="00DA1DA6"/>
    <w:rsid w:val="00DA1F4C"/>
    <w:rsid w:val="00DA2329"/>
    <w:rsid w:val="00DA280A"/>
    <w:rsid w:val="00DA2AAD"/>
    <w:rsid w:val="00DA2B42"/>
    <w:rsid w:val="00DA328E"/>
    <w:rsid w:val="00DA3372"/>
    <w:rsid w:val="00DA3641"/>
    <w:rsid w:val="00DA38AF"/>
    <w:rsid w:val="00DA3AD9"/>
    <w:rsid w:val="00DA3D65"/>
    <w:rsid w:val="00DA3E3B"/>
    <w:rsid w:val="00DA405D"/>
    <w:rsid w:val="00DA4CB2"/>
    <w:rsid w:val="00DA51B4"/>
    <w:rsid w:val="00DA520D"/>
    <w:rsid w:val="00DA5999"/>
    <w:rsid w:val="00DA5CFE"/>
    <w:rsid w:val="00DA676E"/>
    <w:rsid w:val="00DA6C33"/>
    <w:rsid w:val="00DA6E26"/>
    <w:rsid w:val="00DA6E5E"/>
    <w:rsid w:val="00DA6EAA"/>
    <w:rsid w:val="00DA6F16"/>
    <w:rsid w:val="00DA7000"/>
    <w:rsid w:val="00DA7143"/>
    <w:rsid w:val="00DA7259"/>
    <w:rsid w:val="00DA729F"/>
    <w:rsid w:val="00DA762B"/>
    <w:rsid w:val="00DA773D"/>
    <w:rsid w:val="00DA77D6"/>
    <w:rsid w:val="00DA7E2C"/>
    <w:rsid w:val="00DB0332"/>
    <w:rsid w:val="00DB0761"/>
    <w:rsid w:val="00DB07DA"/>
    <w:rsid w:val="00DB0CC7"/>
    <w:rsid w:val="00DB120A"/>
    <w:rsid w:val="00DB12E8"/>
    <w:rsid w:val="00DB13E4"/>
    <w:rsid w:val="00DB1402"/>
    <w:rsid w:val="00DB1504"/>
    <w:rsid w:val="00DB167F"/>
    <w:rsid w:val="00DB1ECE"/>
    <w:rsid w:val="00DB212C"/>
    <w:rsid w:val="00DB2212"/>
    <w:rsid w:val="00DB22A4"/>
    <w:rsid w:val="00DB24D0"/>
    <w:rsid w:val="00DB2895"/>
    <w:rsid w:val="00DB2951"/>
    <w:rsid w:val="00DB2A14"/>
    <w:rsid w:val="00DB3120"/>
    <w:rsid w:val="00DB3619"/>
    <w:rsid w:val="00DB444E"/>
    <w:rsid w:val="00DB44B2"/>
    <w:rsid w:val="00DB4972"/>
    <w:rsid w:val="00DB498B"/>
    <w:rsid w:val="00DB4BC5"/>
    <w:rsid w:val="00DB4CCD"/>
    <w:rsid w:val="00DB4DAD"/>
    <w:rsid w:val="00DB4ED5"/>
    <w:rsid w:val="00DB563D"/>
    <w:rsid w:val="00DB5A5D"/>
    <w:rsid w:val="00DB5C95"/>
    <w:rsid w:val="00DB6342"/>
    <w:rsid w:val="00DB6960"/>
    <w:rsid w:val="00DB6AD3"/>
    <w:rsid w:val="00DB730F"/>
    <w:rsid w:val="00DB7C26"/>
    <w:rsid w:val="00DB7D9C"/>
    <w:rsid w:val="00DC00A3"/>
    <w:rsid w:val="00DC0153"/>
    <w:rsid w:val="00DC05F3"/>
    <w:rsid w:val="00DC0705"/>
    <w:rsid w:val="00DC0976"/>
    <w:rsid w:val="00DC0999"/>
    <w:rsid w:val="00DC099B"/>
    <w:rsid w:val="00DC12ED"/>
    <w:rsid w:val="00DC1EC4"/>
    <w:rsid w:val="00DC22CA"/>
    <w:rsid w:val="00DC260E"/>
    <w:rsid w:val="00DC2B56"/>
    <w:rsid w:val="00DC3549"/>
    <w:rsid w:val="00DC3700"/>
    <w:rsid w:val="00DC38EA"/>
    <w:rsid w:val="00DC3922"/>
    <w:rsid w:val="00DC399B"/>
    <w:rsid w:val="00DC3DC9"/>
    <w:rsid w:val="00DC42C2"/>
    <w:rsid w:val="00DC4520"/>
    <w:rsid w:val="00DC4571"/>
    <w:rsid w:val="00DC4BF2"/>
    <w:rsid w:val="00DC5364"/>
    <w:rsid w:val="00DC536C"/>
    <w:rsid w:val="00DC539D"/>
    <w:rsid w:val="00DC54C5"/>
    <w:rsid w:val="00DC5667"/>
    <w:rsid w:val="00DC5B03"/>
    <w:rsid w:val="00DC5E35"/>
    <w:rsid w:val="00DC602F"/>
    <w:rsid w:val="00DC642D"/>
    <w:rsid w:val="00DC69D3"/>
    <w:rsid w:val="00DC737E"/>
    <w:rsid w:val="00DC74B8"/>
    <w:rsid w:val="00DC74F3"/>
    <w:rsid w:val="00DC75E4"/>
    <w:rsid w:val="00DC7D42"/>
    <w:rsid w:val="00DC7F34"/>
    <w:rsid w:val="00DD01D6"/>
    <w:rsid w:val="00DD0777"/>
    <w:rsid w:val="00DD140C"/>
    <w:rsid w:val="00DD16B6"/>
    <w:rsid w:val="00DD1714"/>
    <w:rsid w:val="00DD17B0"/>
    <w:rsid w:val="00DD1CA6"/>
    <w:rsid w:val="00DD21D8"/>
    <w:rsid w:val="00DD2362"/>
    <w:rsid w:val="00DD2450"/>
    <w:rsid w:val="00DD2488"/>
    <w:rsid w:val="00DD2ED1"/>
    <w:rsid w:val="00DD3011"/>
    <w:rsid w:val="00DD3378"/>
    <w:rsid w:val="00DD3396"/>
    <w:rsid w:val="00DD37BF"/>
    <w:rsid w:val="00DD3C61"/>
    <w:rsid w:val="00DD3F05"/>
    <w:rsid w:val="00DD3F62"/>
    <w:rsid w:val="00DD4208"/>
    <w:rsid w:val="00DD4489"/>
    <w:rsid w:val="00DD4766"/>
    <w:rsid w:val="00DD5194"/>
    <w:rsid w:val="00DD51B3"/>
    <w:rsid w:val="00DD558F"/>
    <w:rsid w:val="00DD57AB"/>
    <w:rsid w:val="00DD5968"/>
    <w:rsid w:val="00DD5D68"/>
    <w:rsid w:val="00DD5DD7"/>
    <w:rsid w:val="00DD5E9C"/>
    <w:rsid w:val="00DD6517"/>
    <w:rsid w:val="00DD65F5"/>
    <w:rsid w:val="00DD6DCB"/>
    <w:rsid w:val="00DD6E7B"/>
    <w:rsid w:val="00DD6EBC"/>
    <w:rsid w:val="00DD6F29"/>
    <w:rsid w:val="00DD7007"/>
    <w:rsid w:val="00DD7022"/>
    <w:rsid w:val="00DD7566"/>
    <w:rsid w:val="00DD75FB"/>
    <w:rsid w:val="00DD782C"/>
    <w:rsid w:val="00DD7FE7"/>
    <w:rsid w:val="00DE06C6"/>
    <w:rsid w:val="00DE0876"/>
    <w:rsid w:val="00DE09CE"/>
    <w:rsid w:val="00DE1207"/>
    <w:rsid w:val="00DE13BA"/>
    <w:rsid w:val="00DE1513"/>
    <w:rsid w:val="00DE17C8"/>
    <w:rsid w:val="00DE1C0E"/>
    <w:rsid w:val="00DE1C9C"/>
    <w:rsid w:val="00DE1F24"/>
    <w:rsid w:val="00DE20D4"/>
    <w:rsid w:val="00DE2148"/>
    <w:rsid w:val="00DE2381"/>
    <w:rsid w:val="00DE264A"/>
    <w:rsid w:val="00DE28C4"/>
    <w:rsid w:val="00DE3193"/>
    <w:rsid w:val="00DE3399"/>
    <w:rsid w:val="00DE3595"/>
    <w:rsid w:val="00DE3647"/>
    <w:rsid w:val="00DE37DD"/>
    <w:rsid w:val="00DE386C"/>
    <w:rsid w:val="00DE387A"/>
    <w:rsid w:val="00DE3B1D"/>
    <w:rsid w:val="00DE3B3C"/>
    <w:rsid w:val="00DE3F0F"/>
    <w:rsid w:val="00DE45D7"/>
    <w:rsid w:val="00DE4602"/>
    <w:rsid w:val="00DE4830"/>
    <w:rsid w:val="00DE5043"/>
    <w:rsid w:val="00DE5097"/>
    <w:rsid w:val="00DE50D0"/>
    <w:rsid w:val="00DE5111"/>
    <w:rsid w:val="00DE5766"/>
    <w:rsid w:val="00DE5D88"/>
    <w:rsid w:val="00DE5DB5"/>
    <w:rsid w:val="00DE6587"/>
    <w:rsid w:val="00DE69CD"/>
    <w:rsid w:val="00DE79C3"/>
    <w:rsid w:val="00DE7AB6"/>
    <w:rsid w:val="00DF02E9"/>
    <w:rsid w:val="00DF037D"/>
    <w:rsid w:val="00DF0D9C"/>
    <w:rsid w:val="00DF10D5"/>
    <w:rsid w:val="00DF1262"/>
    <w:rsid w:val="00DF152E"/>
    <w:rsid w:val="00DF15B0"/>
    <w:rsid w:val="00DF16C2"/>
    <w:rsid w:val="00DF179B"/>
    <w:rsid w:val="00DF186F"/>
    <w:rsid w:val="00DF1910"/>
    <w:rsid w:val="00DF1D8A"/>
    <w:rsid w:val="00DF2109"/>
    <w:rsid w:val="00DF2332"/>
    <w:rsid w:val="00DF29D9"/>
    <w:rsid w:val="00DF2C59"/>
    <w:rsid w:val="00DF2D19"/>
    <w:rsid w:val="00DF2E07"/>
    <w:rsid w:val="00DF3003"/>
    <w:rsid w:val="00DF33D6"/>
    <w:rsid w:val="00DF43BB"/>
    <w:rsid w:val="00DF4706"/>
    <w:rsid w:val="00DF47A4"/>
    <w:rsid w:val="00DF4B7B"/>
    <w:rsid w:val="00DF54C7"/>
    <w:rsid w:val="00DF57E9"/>
    <w:rsid w:val="00DF58BD"/>
    <w:rsid w:val="00DF5F2C"/>
    <w:rsid w:val="00DF6955"/>
    <w:rsid w:val="00DF6BD8"/>
    <w:rsid w:val="00DF6EBA"/>
    <w:rsid w:val="00DF7299"/>
    <w:rsid w:val="00DF7997"/>
    <w:rsid w:val="00E00131"/>
    <w:rsid w:val="00E0019D"/>
    <w:rsid w:val="00E002F3"/>
    <w:rsid w:val="00E00423"/>
    <w:rsid w:val="00E00A4B"/>
    <w:rsid w:val="00E00AD5"/>
    <w:rsid w:val="00E0101F"/>
    <w:rsid w:val="00E0103D"/>
    <w:rsid w:val="00E018F6"/>
    <w:rsid w:val="00E01B1D"/>
    <w:rsid w:val="00E01C36"/>
    <w:rsid w:val="00E01C98"/>
    <w:rsid w:val="00E02092"/>
    <w:rsid w:val="00E02288"/>
    <w:rsid w:val="00E02374"/>
    <w:rsid w:val="00E024BB"/>
    <w:rsid w:val="00E02A19"/>
    <w:rsid w:val="00E02C7B"/>
    <w:rsid w:val="00E03292"/>
    <w:rsid w:val="00E032B8"/>
    <w:rsid w:val="00E03B38"/>
    <w:rsid w:val="00E03C4E"/>
    <w:rsid w:val="00E03F61"/>
    <w:rsid w:val="00E042EA"/>
    <w:rsid w:val="00E043DF"/>
    <w:rsid w:val="00E046E4"/>
    <w:rsid w:val="00E04732"/>
    <w:rsid w:val="00E049BA"/>
    <w:rsid w:val="00E05041"/>
    <w:rsid w:val="00E05787"/>
    <w:rsid w:val="00E0589E"/>
    <w:rsid w:val="00E05F8C"/>
    <w:rsid w:val="00E05FC7"/>
    <w:rsid w:val="00E062A2"/>
    <w:rsid w:val="00E06838"/>
    <w:rsid w:val="00E06922"/>
    <w:rsid w:val="00E07498"/>
    <w:rsid w:val="00E07B67"/>
    <w:rsid w:val="00E07C1B"/>
    <w:rsid w:val="00E101BF"/>
    <w:rsid w:val="00E10A36"/>
    <w:rsid w:val="00E11088"/>
    <w:rsid w:val="00E1160B"/>
    <w:rsid w:val="00E11F30"/>
    <w:rsid w:val="00E12255"/>
    <w:rsid w:val="00E1254D"/>
    <w:rsid w:val="00E126F3"/>
    <w:rsid w:val="00E12BD2"/>
    <w:rsid w:val="00E12C60"/>
    <w:rsid w:val="00E132D7"/>
    <w:rsid w:val="00E1348C"/>
    <w:rsid w:val="00E13A4E"/>
    <w:rsid w:val="00E13FB7"/>
    <w:rsid w:val="00E14325"/>
    <w:rsid w:val="00E145AB"/>
    <w:rsid w:val="00E14ADC"/>
    <w:rsid w:val="00E14DE3"/>
    <w:rsid w:val="00E14EB6"/>
    <w:rsid w:val="00E1528C"/>
    <w:rsid w:val="00E152A8"/>
    <w:rsid w:val="00E152E0"/>
    <w:rsid w:val="00E1556F"/>
    <w:rsid w:val="00E15679"/>
    <w:rsid w:val="00E15829"/>
    <w:rsid w:val="00E15C7A"/>
    <w:rsid w:val="00E16061"/>
    <w:rsid w:val="00E160F4"/>
    <w:rsid w:val="00E160F7"/>
    <w:rsid w:val="00E162EC"/>
    <w:rsid w:val="00E166CB"/>
    <w:rsid w:val="00E16778"/>
    <w:rsid w:val="00E16A8A"/>
    <w:rsid w:val="00E16DFF"/>
    <w:rsid w:val="00E17394"/>
    <w:rsid w:val="00E173CF"/>
    <w:rsid w:val="00E176B0"/>
    <w:rsid w:val="00E1771F"/>
    <w:rsid w:val="00E17976"/>
    <w:rsid w:val="00E20AD3"/>
    <w:rsid w:val="00E20BCB"/>
    <w:rsid w:val="00E20C06"/>
    <w:rsid w:val="00E216CE"/>
    <w:rsid w:val="00E21B41"/>
    <w:rsid w:val="00E21BF9"/>
    <w:rsid w:val="00E222A2"/>
    <w:rsid w:val="00E23358"/>
    <w:rsid w:val="00E235CA"/>
    <w:rsid w:val="00E239DB"/>
    <w:rsid w:val="00E239F7"/>
    <w:rsid w:val="00E23B40"/>
    <w:rsid w:val="00E24693"/>
    <w:rsid w:val="00E24876"/>
    <w:rsid w:val="00E24C0D"/>
    <w:rsid w:val="00E24CD4"/>
    <w:rsid w:val="00E24CE4"/>
    <w:rsid w:val="00E24D85"/>
    <w:rsid w:val="00E24F25"/>
    <w:rsid w:val="00E24FD8"/>
    <w:rsid w:val="00E25360"/>
    <w:rsid w:val="00E25A92"/>
    <w:rsid w:val="00E25E87"/>
    <w:rsid w:val="00E260D3"/>
    <w:rsid w:val="00E261AC"/>
    <w:rsid w:val="00E2652D"/>
    <w:rsid w:val="00E26542"/>
    <w:rsid w:val="00E2697F"/>
    <w:rsid w:val="00E26A1B"/>
    <w:rsid w:val="00E26AA2"/>
    <w:rsid w:val="00E26C45"/>
    <w:rsid w:val="00E26DC0"/>
    <w:rsid w:val="00E26E4B"/>
    <w:rsid w:val="00E27038"/>
    <w:rsid w:val="00E27134"/>
    <w:rsid w:val="00E272B6"/>
    <w:rsid w:val="00E27C6E"/>
    <w:rsid w:val="00E27E1B"/>
    <w:rsid w:val="00E30567"/>
    <w:rsid w:val="00E30B0C"/>
    <w:rsid w:val="00E313A1"/>
    <w:rsid w:val="00E319EB"/>
    <w:rsid w:val="00E31C66"/>
    <w:rsid w:val="00E3259B"/>
    <w:rsid w:val="00E3293A"/>
    <w:rsid w:val="00E32A78"/>
    <w:rsid w:val="00E32C53"/>
    <w:rsid w:val="00E32CFE"/>
    <w:rsid w:val="00E32D6C"/>
    <w:rsid w:val="00E32DFE"/>
    <w:rsid w:val="00E34180"/>
    <w:rsid w:val="00E34217"/>
    <w:rsid w:val="00E3480F"/>
    <w:rsid w:val="00E34BA0"/>
    <w:rsid w:val="00E34D72"/>
    <w:rsid w:val="00E34ECA"/>
    <w:rsid w:val="00E3541D"/>
    <w:rsid w:val="00E35FAC"/>
    <w:rsid w:val="00E36179"/>
    <w:rsid w:val="00E362E1"/>
    <w:rsid w:val="00E367D6"/>
    <w:rsid w:val="00E36A0E"/>
    <w:rsid w:val="00E36B31"/>
    <w:rsid w:val="00E36C21"/>
    <w:rsid w:val="00E374E7"/>
    <w:rsid w:val="00E375CB"/>
    <w:rsid w:val="00E37685"/>
    <w:rsid w:val="00E37C0D"/>
    <w:rsid w:val="00E37FB0"/>
    <w:rsid w:val="00E401D7"/>
    <w:rsid w:val="00E40A84"/>
    <w:rsid w:val="00E40F23"/>
    <w:rsid w:val="00E4154F"/>
    <w:rsid w:val="00E417B2"/>
    <w:rsid w:val="00E41FC9"/>
    <w:rsid w:val="00E42571"/>
    <w:rsid w:val="00E427FE"/>
    <w:rsid w:val="00E4286F"/>
    <w:rsid w:val="00E42E30"/>
    <w:rsid w:val="00E42FF3"/>
    <w:rsid w:val="00E433F3"/>
    <w:rsid w:val="00E43459"/>
    <w:rsid w:val="00E4369E"/>
    <w:rsid w:val="00E44127"/>
    <w:rsid w:val="00E448A7"/>
    <w:rsid w:val="00E448CE"/>
    <w:rsid w:val="00E44DC1"/>
    <w:rsid w:val="00E44F89"/>
    <w:rsid w:val="00E458CA"/>
    <w:rsid w:val="00E459F8"/>
    <w:rsid w:val="00E45BB9"/>
    <w:rsid w:val="00E462D4"/>
    <w:rsid w:val="00E4669C"/>
    <w:rsid w:val="00E468DD"/>
    <w:rsid w:val="00E46D96"/>
    <w:rsid w:val="00E474DA"/>
    <w:rsid w:val="00E47526"/>
    <w:rsid w:val="00E477D9"/>
    <w:rsid w:val="00E47A07"/>
    <w:rsid w:val="00E47BCC"/>
    <w:rsid w:val="00E47CE0"/>
    <w:rsid w:val="00E47E29"/>
    <w:rsid w:val="00E47E76"/>
    <w:rsid w:val="00E50002"/>
    <w:rsid w:val="00E50B0E"/>
    <w:rsid w:val="00E51A7E"/>
    <w:rsid w:val="00E51BB9"/>
    <w:rsid w:val="00E51BD4"/>
    <w:rsid w:val="00E51E75"/>
    <w:rsid w:val="00E51F81"/>
    <w:rsid w:val="00E5267C"/>
    <w:rsid w:val="00E52B23"/>
    <w:rsid w:val="00E52D64"/>
    <w:rsid w:val="00E52FC5"/>
    <w:rsid w:val="00E536A7"/>
    <w:rsid w:val="00E5381B"/>
    <w:rsid w:val="00E5385F"/>
    <w:rsid w:val="00E53BFF"/>
    <w:rsid w:val="00E53C0C"/>
    <w:rsid w:val="00E53C15"/>
    <w:rsid w:val="00E53C8F"/>
    <w:rsid w:val="00E53CE2"/>
    <w:rsid w:val="00E543D4"/>
    <w:rsid w:val="00E54654"/>
    <w:rsid w:val="00E5476F"/>
    <w:rsid w:val="00E54F2F"/>
    <w:rsid w:val="00E54F33"/>
    <w:rsid w:val="00E55381"/>
    <w:rsid w:val="00E55723"/>
    <w:rsid w:val="00E5576B"/>
    <w:rsid w:val="00E55BC2"/>
    <w:rsid w:val="00E55E5D"/>
    <w:rsid w:val="00E55EBC"/>
    <w:rsid w:val="00E55FB7"/>
    <w:rsid w:val="00E5618E"/>
    <w:rsid w:val="00E56454"/>
    <w:rsid w:val="00E567BC"/>
    <w:rsid w:val="00E56AC5"/>
    <w:rsid w:val="00E573DF"/>
    <w:rsid w:val="00E574B8"/>
    <w:rsid w:val="00E57672"/>
    <w:rsid w:val="00E57AEB"/>
    <w:rsid w:val="00E57DD1"/>
    <w:rsid w:val="00E57E86"/>
    <w:rsid w:val="00E57E9E"/>
    <w:rsid w:val="00E57F2C"/>
    <w:rsid w:val="00E60127"/>
    <w:rsid w:val="00E6084B"/>
    <w:rsid w:val="00E60FF1"/>
    <w:rsid w:val="00E617E0"/>
    <w:rsid w:val="00E61C6F"/>
    <w:rsid w:val="00E6227E"/>
    <w:rsid w:val="00E623C9"/>
    <w:rsid w:val="00E6271D"/>
    <w:rsid w:val="00E627DF"/>
    <w:rsid w:val="00E62C69"/>
    <w:rsid w:val="00E62D0C"/>
    <w:rsid w:val="00E63B28"/>
    <w:rsid w:val="00E63FD7"/>
    <w:rsid w:val="00E646D0"/>
    <w:rsid w:val="00E653BC"/>
    <w:rsid w:val="00E659B9"/>
    <w:rsid w:val="00E65A6F"/>
    <w:rsid w:val="00E65DCE"/>
    <w:rsid w:val="00E65E7F"/>
    <w:rsid w:val="00E6634A"/>
    <w:rsid w:val="00E67782"/>
    <w:rsid w:val="00E677C3"/>
    <w:rsid w:val="00E67F24"/>
    <w:rsid w:val="00E700C3"/>
    <w:rsid w:val="00E7043D"/>
    <w:rsid w:val="00E70795"/>
    <w:rsid w:val="00E712AD"/>
    <w:rsid w:val="00E7141B"/>
    <w:rsid w:val="00E714D7"/>
    <w:rsid w:val="00E714DD"/>
    <w:rsid w:val="00E71CEB"/>
    <w:rsid w:val="00E71F28"/>
    <w:rsid w:val="00E7237B"/>
    <w:rsid w:val="00E72402"/>
    <w:rsid w:val="00E72526"/>
    <w:rsid w:val="00E730A8"/>
    <w:rsid w:val="00E73D20"/>
    <w:rsid w:val="00E743A1"/>
    <w:rsid w:val="00E743EA"/>
    <w:rsid w:val="00E74943"/>
    <w:rsid w:val="00E74BCD"/>
    <w:rsid w:val="00E74F35"/>
    <w:rsid w:val="00E75A4F"/>
    <w:rsid w:val="00E7611E"/>
    <w:rsid w:val="00E76F4E"/>
    <w:rsid w:val="00E774E1"/>
    <w:rsid w:val="00E7785F"/>
    <w:rsid w:val="00E778D2"/>
    <w:rsid w:val="00E778FC"/>
    <w:rsid w:val="00E77AE3"/>
    <w:rsid w:val="00E77E88"/>
    <w:rsid w:val="00E8027E"/>
    <w:rsid w:val="00E809BE"/>
    <w:rsid w:val="00E80DBB"/>
    <w:rsid w:val="00E8100B"/>
    <w:rsid w:val="00E81315"/>
    <w:rsid w:val="00E81337"/>
    <w:rsid w:val="00E813D5"/>
    <w:rsid w:val="00E8146D"/>
    <w:rsid w:val="00E817AD"/>
    <w:rsid w:val="00E81D43"/>
    <w:rsid w:val="00E8201B"/>
    <w:rsid w:val="00E824D9"/>
    <w:rsid w:val="00E82FC2"/>
    <w:rsid w:val="00E8316C"/>
    <w:rsid w:val="00E83270"/>
    <w:rsid w:val="00E83794"/>
    <w:rsid w:val="00E837E5"/>
    <w:rsid w:val="00E83C10"/>
    <w:rsid w:val="00E840FE"/>
    <w:rsid w:val="00E848EF"/>
    <w:rsid w:val="00E84E0D"/>
    <w:rsid w:val="00E84E27"/>
    <w:rsid w:val="00E84E61"/>
    <w:rsid w:val="00E85731"/>
    <w:rsid w:val="00E8580E"/>
    <w:rsid w:val="00E85974"/>
    <w:rsid w:val="00E85B88"/>
    <w:rsid w:val="00E86CCE"/>
    <w:rsid w:val="00E86DE2"/>
    <w:rsid w:val="00E87467"/>
    <w:rsid w:val="00E87837"/>
    <w:rsid w:val="00E87E30"/>
    <w:rsid w:val="00E87F0F"/>
    <w:rsid w:val="00E904EA"/>
    <w:rsid w:val="00E90737"/>
    <w:rsid w:val="00E913B9"/>
    <w:rsid w:val="00E91452"/>
    <w:rsid w:val="00E91713"/>
    <w:rsid w:val="00E91958"/>
    <w:rsid w:val="00E91A22"/>
    <w:rsid w:val="00E91B38"/>
    <w:rsid w:val="00E91C5A"/>
    <w:rsid w:val="00E91D95"/>
    <w:rsid w:val="00E9201C"/>
    <w:rsid w:val="00E9225D"/>
    <w:rsid w:val="00E92623"/>
    <w:rsid w:val="00E92CCC"/>
    <w:rsid w:val="00E9359F"/>
    <w:rsid w:val="00E93C9D"/>
    <w:rsid w:val="00E93E1A"/>
    <w:rsid w:val="00E93EE4"/>
    <w:rsid w:val="00E94033"/>
    <w:rsid w:val="00E941EA"/>
    <w:rsid w:val="00E942C5"/>
    <w:rsid w:val="00E9437D"/>
    <w:rsid w:val="00E947E5"/>
    <w:rsid w:val="00E94949"/>
    <w:rsid w:val="00E94A31"/>
    <w:rsid w:val="00E94B25"/>
    <w:rsid w:val="00E94EF7"/>
    <w:rsid w:val="00E9543B"/>
    <w:rsid w:val="00E956EF"/>
    <w:rsid w:val="00E95D71"/>
    <w:rsid w:val="00E95DEA"/>
    <w:rsid w:val="00E95F7B"/>
    <w:rsid w:val="00E9605B"/>
    <w:rsid w:val="00E96481"/>
    <w:rsid w:val="00E96946"/>
    <w:rsid w:val="00E96B6F"/>
    <w:rsid w:val="00E96CBC"/>
    <w:rsid w:val="00E96FD4"/>
    <w:rsid w:val="00E9719D"/>
    <w:rsid w:val="00E9761A"/>
    <w:rsid w:val="00E979B8"/>
    <w:rsid w:val="00EA02B0"/>
    <w:rsid w:val="00EA09F7"/>
    <w:rsid w:val="00EA0AB3"/>
    <w:rsid w:val="00EA1661"/>
    <w:rsid w:val="00EA1B9A"/>
    <w:rsid w:val="00EA1D2E"/>
    <w:rsid w:val="00EA1E5A"/>
    <w:rsid w:val="00EA2027"/>
    <w:rsid w:val="00EA21DB"/>
    <w:rsid w:val="00EA27FC"/>
    <w:rsid w:val="00EA2A16"/>
    <w:rsid w:val="00EA31A3"/>
    <w:rsid w:val="00EA3351"/>
    <w:rsid w:val="00EA35F8"/>
    <w:rsid w:val="00EA37C7"/>
    <w:rsid w:val="00EA3BC0"/>
    <w:rsid w:val="00EA3EC3"/>
    <w:rsid w:val="00EA40D2"/>
    <w:rsid w:val="00EA4414"/>
    <w:rsid w:val="00EA4481"/>
    <w:rsid w:val="00EA4791"/>
    <w:rsid w:val="00EA4C2D"/>
    <w:rsid w:val="00EA4CA7"/>
    <w:rsid w:val="00EA4CF1"/>
    <w:rsid w:val="00EA4E0C"/>
    <w:rsid w:val="00EA4FB3"/>
    <w:rsid w:val="00EA4FCC"/>
    <w:rsid w:val="00EA508F"/>
    <w:rsid w:val="00EA50EB"/>
    <w:rsid w:val="00EA5239"/>
    <w:rsid w:val="00EA5297"/>
    <w:rsid w:val="00EA576F"/>
    <w:rsid w:val="00EA58CD"/>
    <w:rsid w:val="00EA590A"/>
    <w:rsid w:val="00EA5983"/>
    <w:rsid w:val="00EA5F09"/>
    <w:rsid w:val="00EA6392"/>
    <w:rsid w:val="00EA6438"/>
    <w:rsid w:val="00EA647C"/>
    <w:rsid w:val="00EA6A8D"/>
    <w:rsid w:val="00EA6B75"/>
    <w:rsid w:val="00EA721D"/>
    <w:rsid w:val="00EA727D"/>
    <w:rsid w:val="00EA774C"/>
    <w:rsid w:val="00EA79C8"/>
    <w:rsid w:val="00EA7A50"/>
    <w:rsid w:val="00EA7D14"/>
    <w:rsid w:val="00EB005B"/>
    <w:rsid w:val="00EB0426"/>
    <w:rsid w:val="00EB04E4"/>
    <w:rsid w:val="00EB0B8C"/>
    <w:rsid w:val="00EB110C"/>
    <w:rsid w:val="00EB1B2B"/>
    <w:rsid w:val="00EB2958"/>
    <w:rsid w:val="00EB3062"/>
    <w:rsid w:val="00EB32CD"/>
    <w:rsid w:val="00EB32D5"/>
    <w:rsid w:val="00EB37DB"/>
    <w:rsid w:val="00EB4372"/>
    <w:rsid w:val="00EB4543"/>
    <w:rsid w:val="00EB484D"/>
    <w:rsid w:val="00EB5137"/>
    <w:rsid w:val="00EB52EC"/>
    <w:rsid w:val="00EB58D1"/>
    <w:rsid w:val="00EB591D"/>
    <w:rsid w:val="00EB5958"/>
    <w:rsid w:val="00EB5984"/>
    <w:rsid w:val="00EB59C7"/>
    <w:rsid w:val="00EB5B12"/>
    <w:rsid w:val="00EB5D56"/>
    <w:rsid w:val="00EB5D9D"/>
    <w:rsid w:val="00EB62C7"/>
    <w:rsid w:val="00EB637B"/>
    <w:rsid w:val="00EB65D1"/>
    <w:rsid w:val="00EB667C"/>
    <w:rsid w:val="00EB6CB2"/>
    <w:rsid w:val="00EB6F7B"/>
    <w:rsid w:val="00EB7016"/>
    <w:rsid w:val="00EB77C9"/>
    <w:rsid w:val="00EB7B78"/>
    <w:rsid w:val="00EC0A32"/>
    <w:rsid w:val="00EC0B8B"/>
    <w:rsid w:val="00EC0DCA"/>
    <w:rsid w:val="00EC11D3"/>
    <w:rsid w:val="00EC16A3"/>
    <w:rsid w:val="00EC19AC"/>
    <w:rsid w:val="00EC1B47"/>
    <w:rsid w:val="00EC1FC5"/>
    <w:rsid w:val="00EC2113"/>
    <w:rsid w:val="00EC254E"/>
    <w:rsid w:val="00EC28EC"/>
    <w:rsid w:val="00EC2A71"/>
    <w:rsid w:val="00EC2C81"/>
    <w:rsid w:val="00EC34DD"/>
    <w:rsid w:val="00EC36DF"/>
    <w:rsid w:val="00EC37B0"/>
    <w:rsid w:val="00EC4174"/>
    <w:rsid w:val="00EC4421"/>
    <w:rsid w:val="00EC4430"/>
    <w:rsid w:val="00EC4B78"/>
    <w:rsid w:val="00EC4DCA"/>
    <w:rsid w:val="00EC519A"/>
    <w:rsid w:val="00EC521B"/>
    <w:rsid w:val="00EC557B"/>
    <w:rsid w:val="00EC5668"/>
    <w:rsid w:val="00EC598E"/>
    <w:rsid w:val="00EC5EB6"/>
    <w:rsid w:val="00EC652E"/>
    <w:rsid w:val="00EC6548"/>
    <w:rsid w:val="00EC65B8"/>
    <w:rsid w:val="00EC6707"/>
    <w:rsid w:val="00EC75C9"/>
    <w:rsid w:val="00EC785A"/>
    <w:rsid w:val="00EC7A34"/>
    <w:rsid w:val="00EC7E28"/>
    <w:rsid w:val="00EC7E3D"/>
    <w:rsid w:val="00ED12BD"/>
    <w:rsid w:val="00ED1459"/>
    <w:rsid w:val="00ED21C5"/>
    <w:rsid w:val="00ED2248"/>
    <w:rsid w:val="00ED22B1"/>
    <w:rsid w:val="00ED2306"/>
    <w:rsid w:val="00ED2316"/>
    <w:rsid w:val="00ED2342"/>
    <w:rsid w:val="00ED252F"/>
    <w:rsid w:val="00ED25A3"/>
    <w:rsid w:val="00ED25E5"/>
    <w:rsid w:val="00ED2F7B"/>
    <w:rsid w:val="00ED303C"/>
    <w:rsid w:val="00ED31B6"/>
    <w:rsid w:val="00ED3A36"/>
    <w:rsid w:val="00ED3BCA"/>
    <w:rsid w:val="00ED417B"/>
    <w:rsid w:val="00ED482B"/>
    <w:rsid w:val="00ED5236"/>
    <w:rsid w:val="00ED594A"/>
    <w:rsid w:val="00ED5BA4"/>
    <w:rsid w:val="00ED5D16"/>
    <w:rsid w:val="00ED5DF8"/>
    <w:rsid w:val="00ED5FA2"/>
    <w:rsid w:val="00ED6000"/>
    <w:rsid w:val="00ED607F"/>
    <w:rsid w:val="00ED6EF8"/>
    <w:rsid w:val="00ED72A8"/>
    <w:rsid w:val="00ED731E"/>
    <w:rsid w:val="00ED735C"/>
    <w:rsid w:val="00ED749D"/>
    <w:rsid w:val="00ED795D"/>
    <w:rsid w:val="00EE00CD"/>
    <w:rsid w:val="00EE023C"/>
    <w:rsid w:val="00EE0252"/>
    <w:rsid w:val="00EE04E3"/>
    <w:rsid w:val="00EE059B"/>
    <w:rsid w:val="00EE0C3C"/>
    <w:rsid w:val="00EE0DAA"/>
    <w:rsid w:val="00EE1217"/>
    <w:rsid w:val="00EE1DAF"/>
    <w:rsid w:val="00EE23C3"/>
    <w:rsid w:val="00EE2796"/>
    <w:rsid w:val="00EE32D1"/>
    <w:rsid w:val="00EE338B"/>
    <w:rsid w:val="00EE33D4"/>
    <w:rsid w:val="00EE3694"/>
    <w:rsid w:val="00EE3841"/>
    <w:rsid w:val="00EE385A"/>
    <w:rsid w:val="00EE3937"/>
    <w:rsid w:val="00EE4533"/>
    <w:rsid w:val="00EE4735"/>
    <w:rsid w:val="00EE499C"/>
    <w:rsid w:val="00EE49D3"/>
    <w:rsid w:val="00EE4E02"/>
    <w:rsid w:val="00EE533F"/>
    <w:rsid w:val="00EE542F"/>
    <w:rsid w:val="00EE54DB"/>
    <w:rsid w:val="00EE553C"/>
    <w:rsid w:val="00EE579A"/>
    <w:rsid w:val="00EE6212"/>
    <w:rsid w:val="00EE65DD"/>
    <w:rsid w:val="00EE683A"/>
    <w:rsid w:val="00EE6B6E"/>
    <w:rsid w:val="00EE6C7A"/>
    <w:rsid w:val="00EE7090"/>
    <w:rsid w:val="00EE736E"/>
    <w:rsid w:val="00EE784C"/>
    <w:rsid w:val="00EE790E"/>
    <w:rsid w:val="00EE7ACA"/>
    <w:rsid w:val="00EE7DDC"/>
    <w:rsid w:val="00EE7FAC"/>
    <w:rsid w:val="00EF037F"/>
    <w:rsid w:val="00EF074A"/>
    <w:rsid w:val="00EF0880"/>
    <w:rsid w:val="00EF0E80"/>
    <w:rsid w:val="00EF1319"/>
    <w:rsid w:val="00EF1994"/>
    <w:rsid w:val="00EF24A5"/>
    <w:rsid w:val="00EF2956"/>
    <w:rsid w:val="00EF2B99"/>
    <w:rsid w:val="00EF3071"/>
    <w:rsid w:val="00EF32CB"/>
    <w:rsid w:val="00EF3314"/>
    <w:rsid w:val="00EF3F6C"/>
    <w:rsid w:val="00EF4127"/>
    <w:rsid w:val="00EF492E"/>
    <w:rsid w:val="00EF4A2D"/>
    <w:rsid w:val="00EF553E"/>
    <w:rsid w:val="00EF5AEC"/>
    <w:rsid w:val="00EF5AFF"/>
    <w:rsid w:val="00EF5E6C"/>
    <w:rsid w:val="00EF612C"/>
    <w:rsid w:val="00EF640C"/>
    <w:rsid w:val="00EF6BE0"/>
    <w:rsid w:val="00EF6D96"/>
    <w:rsid w:val="00EF6EF7"/>
    <w:rsid w:val="00EF74E2"/>
    <w:rsid w:val="00EF75A5"/>
    <w:rsid w:val="00EF75D6"/>
    <w:rsid w:val="00EF76A9"/>
    <w:rsid w:val="00EF76FD"/>
    <w:rsid w:val="00EF7864"/>
    <w:rsid w:val="00EF78E3"/>
    <w:rsid w:val="00EF7903"/>
    <w:rsid w:val="00EF79A3"/>
    <w:rsid w:val="00F003C0"/>
    <w:rsid w:val="00F00856"/>
    <w:rsid w:val="00F00BA7"/>
    <w:rsid w:val="00F00C78"/>
    <w:rsid w:val="00F00DD8"/>
    <w:rsid w:val="00F01307"/>
    <w:rsid w:val="00F0179A"/>
    <w:rsid w:val="00F01E5F"/>
    <w:rsid w:val="00F02005"/>
    <w:rsid w:val="00F025E6"/>
    <w:rsid w:val="00F02A31"/>
    <w:rsid w:val="00F02B39"/>
    <w:rsid w:val="00F02CE5"/>
    <w:rsid w:val="00F032E5"/>
    <w:rsid w:val="00F03732"/>
    <w:rsid w:val="00F041A6"/>
    <w:rsid w:val="00F0439F"/>
    <w:rsid w:val="00F04509"/>
    <w:rsid w:val="00F04B35"/>
    <w:rsid w:val="00F04D27"/>
    <w:rsid w:val="00F051B2"/>
    <w:rsid w:val="00F05696"/>
    <w:rsid w:val="00F0576B"/>
    <w:rsid w:val="00F0581D"/>
    <w:rsid w:val="00F05A4D"/>
    <w:rsid w:val="00F06044"/>
    <w:rsid w:val="00F06628"/>
    <w:rsid w:val="00F06AF7"/>
    <w:rsid w:val="00F06B0B"/>
    <w:rsid w:val="00F06E24"/>
    <w:rsid w:val="00F07202"/>
    <w:rsid w:val="00F07230"/>
    <w:rsid w:val="00F0730C"/>
    <w:rsid w:val="00F0775F"/>
    <w:rsid w:val="00F077CB"/>
    <w:rsid w:val="00F07CCB"/>
    <w:rsid w:val="00F07E0F"/>
    <w:rsid w:val="00F07E8E"/>
    <w:rsid w:val="00F07EA7"/>
    <w:rsid w:val="00F07EC1"/>
    <w:rsid w:val="00F07FA6"/>
    <w:rsid w:val="00F07FE3"/>
    <w:rsid w:val="00F07FF7"/>
    <w:rsid w:val="00F10195"/>
    <w:rsid w:val="00F1023E"/>
    <w:rsid w:val="00F10653"/>
    <w:rsid w:val="00F10A5A"/>
    <w:rsid w:val="00F11788"/>
    <w:rsid w:val="00F119C3"/>
    <w:rsid w:val="00F11A19"/>
    <w:rsid w:val="00F11AD9"/>
    <w:rsid w:val="00F1248D"/>
    <w:rsid w:val="00F12708"/>
    <w:rsid w:val="00F128E6"/>
    <w:rsid w:val="00F12E07"/>
    <w:rsid w:val="00F12F74"/>
    <w:rsid w:val="00F131E9"/>
    <w:rsid w:val="00F13357"/>
    <w:rsid w:val="00F13450"/>
    <w:rsid w:val="00F1352F"/>
    <w:rsid w:val="00F139CA"/>
    <w:rsid w:val="00F13CB5"/>
    <w:rsid w:val="00F13F80"/>
    <w:rsid w:val="00F140A4"/>
    <w:rsid w:val="00F143CF"/>
    <w:rsid w:val="00F14A70"/>
    <w:rsid w:val="00F14F43"/>
    <w:rsid w:val="00F15127"/>
    <w:rsid w:val="00F152C8"/>
    <w:rsid w:val="00F15B5F"/>
    <w:rsid w:val="00F15EE3"/>
    <w:rsid w:val="00F15F50"/>
    <w:rsid w:val="00F16A1F"/>
    <w:rsid w:val="00F16A63"/>
    <w:rsid w:val="00F17252"/>
    <w:rsid w:val="00F17346"/>
    <w:rsid w:val="00F17B40"/>
    <w:rsid w:val="00F213E1"/>
    <w:rsid w:val="00F216F0"/>
    <w:rsid w:val="00F21A53"/>
    <w:rsid w:val="00F21AF9"/>
    <w:rsid w:val="00F2278B"/>
    <w:rsid w:val="00F228EB"/>
    <w:rsid w:val="00F22BF7"/>
    <w:rsid w:val="00F23961"/>
    <w:rsid w:val="00F23F0F"/>
    <w:rsid w:val="00F24116"/>
    <w:rsid w:val="00F244D7"/>
    <w:rsid w:val="00F2466E"/>
    <w:rsid w:val="00F24763"/>
    <w:rsid w:val="00F24E43"/>
    <w:rsid w:val="00F2573E"/>
    <w:rsid w:val="00F2578F"/>
    <w:rsid w:val="00F2592D"/>
    <w:rsid w:val="00F26088"/>
    <w:rsid w:val="00F26995"/>
    <w:rsid w:val="00F2699D"/>
    <w:rsid w:val="00F26C08"/>
    <w:rsid w:val="00F26E11"/>
    <w:rsid w:val="00F26E6D"/>
    <w:rsid w:val="00F26F1E"/>
    <w:rsid w:val="00F26FAB"/>
    <w:rsid w:val="00F2704F"/>
    <w:rsid w:val="00F2734A"/>
    <w:rsid w:val="00F3000D"/>
    <w:rsid w:val="00F303C5"/>
    <w:rsid w:val="00F30446"/>
    <w:rsid w:val="00F30DA2"/>
    <w:rsid w:val="00F31260"/>
    <w:rsid w:val="00F312CA"/>
    <w:rsid w:val="00F3142E"/>
    <w:rsid w:val="00F31676"/>
    <w:rsid w:val="00F319AE"/>
    <w:rsid w:val="00F31B80"/>
    <w:rsid w:val="00F3209D"/>
    <w:rsid w:val="00F32172"/>
    <w:rsid w:val="00F326B9"/>
    <w:rsid w:val="00F32CED"/>
    <w:rsid w:val="00F32D33"/>
    <w:rsid w:val="00F32DA4"/>
    <w:rsid w:val="00F32F5B"/>
    <w:rsid w:val="00F33199"/>
    <w:rsid w:val="00F3360C"/>
    <w:rsid w:val="00F3383E"/>
    <w:rsid w:val="00F33E0D"/>
    <w:rsid w:val="00F33E2D"/>
    <w:rsid w:val="00F342EC"/>
    <w:rsid w:val="00F3488D"/>
    <w:rsid w:val="00F34915"/>
    <w:rsid w:val="00F34E9F"/>
    <w:rsid w:val="00F34EA9"/>
    <w:rsid w:val="00F35B1B"/>
    <w:rsid w:val="00F35BA4"/>
    <w:rsid w:val="00F35FA2"/>
    <w:rsid w:val="00F369E2"/>
    <w:rsid w:val="00F36BF7"/>
    <w:rsid w:val="00F3702D"/>
    <w:rsid w:val="00F3756F"/>
    <w:rsid w:val="00F3794E"/>
    <w:rsid w:val="00F37B79"/>
    <w:rsid w:val="00F37BBE"/>
    <w:rsid w:val="00F37CFB"/>
    <w:rsid w:val="00F4087B"/>
    <w:rsid w:val="00F418EC"/>
    <w:rsid w:val="00F42069"/>
    <w:rsid w:val="00F4215A"/>
    <w:rsid w:val="00F424C1"/>
    <w:rsid w:val="00F42D93"/>
    <w:rsid w:val="00F4306D"/>
    <w:rsid w:val="00F43587"/>
    <w:rsid w:val="00F43977"/>
    <w:rsid w:val="00F439BC"/>
    <w:rsid w:val="00F43A84"/>
    <w:rsid w:val="00F43AD9"/>
    <w:rsid w:val="00F43C6A"/>
    <w:rsid w:val="00F440AF"/>
    <w:rsid w:val="00F4446C"/>
    <w:rsid w:val="00F44C30"/>
    <w:rsid w:val="00F44CF2"/>
    <w:rsid w:val="00F44D8A"/>
    <w:rsid w:val="00F44D8F"/>
    <w:rsid w:val="00F452D3"/>
    <w:rsid w:val="00F45594"/>
    <w:rsid w:val="00F456CB"/>
    <w:rsid w:val="00F459E6"/>
    <w:rsid w:val="00F45A9A"/>
    <w:rsid w:val="00F45B2A"/>
    <w:rsid w:val="00F46749"/>
    <w:rsid w:val="00F46BAA"/>
    <w:rsid w:val="00F46C70"/>
    <w:rsid w:val="00F4711C"/>
    <w:rsid w:val="00F4725C"/>
    <w:rsid w:val="00F47C79"/>
    <w:rsid w:val="00F47E1E"/>
    <w:rsid w:val="00F5036C"/>
    <w:rsid w:val="00F507CA"/>
    <w:rsid w:val="00F50E4D"/>
    <w:rsid w:val="00F51A5B"/>
    <w:rsid w:val="00F51BCC"/>
    <w:rsid w:val="00F5203F"/>
    <w:rsid w:val="00F52094"/>
    <w:rsid w:val="00F523A8"/>
    <w:rsid w:val="00F5243A"/>
    <w:rsid w:val="00F532B5"/>
    <w:rsid w:val="00F53669"/>
    <w:rsid w:val="00F53936"/>
    <w:rsid w:val="00F53C20"/>
    <w:rsid w:val="00F54047"/>
    <w:rsid w:val="00F5406A"/>
    <w:rsid w:val="00F54070"/>
    <w:rsid w:val="00F545C2"/>
    <w:rsid w:val="00F545DF"/>
    <w:rsid w:val="00F54AE0"/>
    <w:rsid w:val="00F54C9C"/>
    <w:rsid w:val="00F5501F"/>
    <w:rsid w:val="00F5509D"/>
    <w:rsid w:val="00F55514"/>
    <w:rsid w:val="00F557D1"/>
    <w:rsid w:val="00F559C2"/>
    <w:rsid w:val="00F55A78"/>
    <w:rsid w:val="00F55CFA"/>
    <w:rsid w:val="00F55FDA"/>
    <w:rsid w:val="00F565FF"/>
    <w:rsid w:val="00F57472"/>
    <w:rsid w:val="00F57A81"/>
    <w:rsid w:val="00F57D34"/>
    <w:rsid w:val="00F57D8C"/>
    <w:rsid w:val="00F60180"/>
    <w:rsid w:val="00F6027F"/>
    <w:rsid w:val="00F60729"/>
    <w:rsid w:val="00F60BC3"/>
    <w:rsid w:val="00F6106D"/>
    <w:rsid w:val="00F61665"/>
    <w:rsid w:val="00F61B7C"/>
    <w:rsid w:val="00F61B94"/>
    <w:rsid w:val="00F61D58"/>
    <w:rsid w:val="00F627FA"/>
    <w:rsid w:val="00F62876"/>
    <w:rsid w:val="00F62A86"/>
    <w:rsid w:val="00F62C99"/>
    <w:rsid w:val="00F63202"/>
    <w:rsid w:val="00F632FD"/>
    <w:rsid w:val="00F6379B"/>
    <w:rsid w:val="00F63810"/>
    <w:rsid w:val="00F63EFC"/>
    <w:rsid w:val="00F63F99"/>
    <w:rsid w:val="00F63FCA"/>
    <w:rsid w:val="00F640C8"/>
    <w:rsid w:val="00F6435D"/>
    <w:rsid w:val="00F643AE"/>
    <w:rsid w:val="00F64A0E"/>
    <w:rsid w:val="00F64C8C"/>
    <w:rsid w:val="00F6500C"/>
    <w:rsid w:val="00F6531F"/>
    <w:rsid w:val="00F6549F"/>
    <w:rsid w:val="00F6592B"/>
    <w:rsid w:val="00F65BF7"/>
    <w:rsid w:val="00F65F8D"/>
    <w:rsid w:val="00F660BF"/>
    <w:rsid w:val="00F6638F"/>
    <w:rsid w:val="00F666DF"/>
    <w:rsid w:val="00F66A54"/>
    <w:rsid w:val="00F66AD8"/>
    <w:rsid w:val="00F66B43"/>
    <w:rsid w:val="00F66E14"/>
    <w:rsid w:val="00F672AB"/>
    <w:rsid w:val="00F6766E"/>
    <w:rsid w:val="00F6785F"/>
    <w:rsid w:val="00F6788E"/>
    <w:rsid w:val="00F67B9D"/>
    <w:rsid w:val="00F67ED8"/>
    <w:rsid w:val="00F70082"/>
    <w:rsid w:val="00F700D0"/>
    <w:rsid w:val="00F70BE8"/>
    <w:rsid w:val="00F70C6F"/>
    <w:rsid w:val="00F70D76"/>
    <w:rsid w:val="00F7135D"/>
    <w:rsid w:val="00F71482"/>
    <w:rsid w:val="00F71501"/>
    <w:rsid w:val="00F71949"/>
    <w:rsid w:val="00F71BB9"/>
    <w:rsid w:val="00F71D41"/>
    <w:rsid w:val="00F720B0"/>
    <w:rsid w:val="00F724F1"/>
    <w:rsid w:val="00F726B4"/>
    <w:rsid w:val="00F72924"/>
    <w:rsid w:val="00F72D7E"/>
    <w:rsid w:val="00F72DD5"/>
    <w:rsid w:val="00F7327E"/>
    <w:rsid w:val="00F73640"/>
    <w:rsid w:val="00F7367F"/>
    <w:rsid w:val="00F738A8"/>
    <w:rsid w:val="00F73936"/>
    <w:rsid w:val="00F73D00"/>
    <w:rsid w:val="00F7437B"/>
    <w:rsid w:val="00F7447B"/>
    <w:rsid w:val="00F7457C"/>
    <w:rsid w:val="00F745FB"/>
    <w:rsid w:val="00F74796"/>
    <w:rsid w:val="00F747E6"/>
    <w:rsid w:val="00F74821"/>
    <w:rsid w:val="00F748FC"/>
    <w:rsid w:val="00F74C61"/>
    <w:rsid w:val="00F74FC2"/>
    <w:rsid w:val="00F7504A"/>
    <w:rsid w:val="00F752EA"/>
    <w:rsid w:val="00F7669A"/>
    <w:rsid w:val="00F7690A"/>
    <w:rsid w:val="00F76A37"/>
    <w:rsid w:val="00F76AF0"/>
    <w:rsid w:val="00F76B31"/>
    <w:rsid w:val="00F76B7F"/>
    <w:rsid w:val="00F76DB1"/>
    <w:rsid w:val="00F76F05"/>
    <w:rsid w:val="00F770F2"/>
    <w:rsid w:val="00F7742C"/>
    <w:rsid w:val="00F774F4"/>
    <w:rsid w:val="00F77EBB"/>
    <w:rsid w:val="00F808ED"/>
    <w:rsid w:val="00F808F2"/>
    <w:rsid w:val="00F80B16"/>
    <w:rsid w:val="00F8100E"/>
    <w:rsid w:val="00F81032"/>
    <w:rsid w:val="00F81368"/>
    <w:rsid w:val="00F81386"/>
    <w:rsid w:val="00F8141A"/>
    <w:rsid w:val="00F814C4"/>
    <w:rsid w:val="00F815E4"/>
    <w:rsid w:val="00F816B1"/>
    <w:rsid w:val="00F81B96"/>
    <w:rsid w:val="00F8212E"/>
    <w:rsid w:val="00F82556"/>
    <w:rsid w:val="00F82871"/>
    <w:rsid w:val="00F83985"/>
    <w:rsid w:val="00F83FC1"/>
    <w:rsid w:val="00F84145"/>
    <w:rsid w:val="00F841C1"/>
    <w:rsid w:val="00F84451"/>
    <w:rsid w:val="00F84585"/>
    <w:rsid w:val="00F8467E"/>
    <w:rsid w:val="00F84B85"/>
    <w:rsid w:val="00F84D5D"/>
    <w:rsid w:val="00F84FE0"/>
    <w:rsid w:val="00F85103"/>
    <w:rsid w:val="00F85445"/>
    <w:rsid w:val="00F855D0"/>
    <w:rsid w:val="00F856CC"/>
    <w:rsid w:val="00F8573A"/>
    <w:rsid w:val="00F85768"/>
    <w:rsid w:val="00F85C71"/>
    <w:rsid w:val="00F85D34"/>
    <w:rsid w:val="00F85E1C"/>
    <w:rsid w:val="00F8629B"/>
    <w:rsid w:val="00F865B5"/>
    <w:rsid w:val="00F86C09"/>
    <w:rsid w:val="00F879B8"/>
    <w:rsid w:val="00F87ADD"/>
    <w:rsid w:val="00F87B2D"/>
    <w:rsid w:val="00F900C6"/>
    <w:rsid w:val="00F90319"/>
    <w:rsid w:val="00F90648"/>
    <w:rsid w:val="00F9107C"/>
    <w:rsid w:val="00F91A9F"/>
    <w:rsid w:val="00F91B9A"/>
    <w:rsid w:val="00F91CB4"/>
    <w:rsid w:val="00F91D3A"/>
    <w:rsid w:val="00F91FE1"/>
    <w:rsid w:val="00F923A3"/>
    <w:rsid w:val="00F92410"/>
    <w:rsid w:val="00F9327B"/>
    <w:rsid w:val="00F932D3"/>
    <w:rsid w:val="00F939B1"/>
    <w:rsid w:val="00F93FE1"/>
    <w:rsid w:val="00F94582"/>
    <w:rsid w:val="00F94777"/>
    <w:rsid w:val="00F94815"/>
    <w:rsid w:val="00F94AB5"/>
    <w:rsid w:val="00F94BEE"/>
    <w:rsid w:val="00F94CAF"/>
    <w:rsid w:val="00F954EA"/>
    <w:rsid w:val="00F95587"/>
    <w:rsid w:val="00F967E5"/>
    <w:rsid w:val="00F969D4"/>
    <w:rsid w:val="00F96AD1"/>
    <w:rsid w:val="00F96C39"/>
    <w:rsid w:val="00F96FE7"/>
    <w:rsid w:val="00F9784B"/>
    <w:rsid w:val="00F978FA"/>
    <w:rsid w:val="00F97A12"/>
    <w:rsid w:val="00FA01E5"/>
    <w:rsid w:val="00FA0452"/>
    <w:rsid w:val="00FA0495"/>
    <w:rsid w:val="00FA04CA"/>
    <w:rsid w:val="00FA1100"/>
    <w:rsid w:val="00FA2340"/>
    <w:rsid w:val="00FA254D"/>
    <w:rsid w:val="00FA34F7"/>
    <w:rsid w:val="00FA3B6D"/>
    <w:rsid w:val="00FA3D4F"/>
    <w:rsid w:val="00FA419D"/>
    <w:rsid w:val="00FA5022"/>
    <w:rsid w:val="00FA536C"/>
    <w:rsid w:val="00FA5412"/>
    <w:rsid w:val="00FA5614"/>
    <w:rsid w:val="00FA56DD"/>
    <w:rsid w:val="00FA583E"/>
    <w:rsid w:val="00FA5923"/>
    <w:rsid w:val="00FA6454"/>
    <w:rsid w:val="00FA652F"/>
    <w:rsid w:val="00FA66DB"/>
    <w:rsid w:val="00FA67BA"/>
    <w:rsid w:val="00FA6E28"/>
    <w:rsid w:val="00FA6E52"/>
    <w:rsid w:val="00FA6EEA"/>
    <w:rsid w:val="00FA6FD0"/>
    <w:rsid w:val="00FA7433"/>
    <w:rsid w:val="00FA7873"/>
    <w:rsid w:val="00FB0742"/>
    <w:rsid w:val="00FB07A5"/>
    <w:rsid w:val="00FB0A1F"/>
    <w:rsid w:val="00FB0C6B"/>
    <w:rsid w:val="00FB0CC8"/>
    <w:rsid w:val="00FB0EBB"/>
    <w:rsid w:val="00FB16B5"/>
    <w:rsid w:val="00FB245D"/>
    <w:rsid w:val="00FB2C00"/>
    <w:rsid w:val="00FB2F04"/>
    <w:rsid w:val="00FB36FE"/>
    <w:rsid w:val="00FB37D1"/>
    <w:rsid w:val="00FB3ADC"/>
    <w:rsid w:val="00FB3BCE"/>
    <w:rsid w:val="00FB4490"/>
    <w:rsid w:val="00FB455A"/>
    <w:rsid w:val="00FB4EB5"/>
    <w:rsid w:val="00FB55E6"/>
    <w:rsid w:val="00FB5B10"/>
    <w:rsid w:val="00FB60FA"/>
    <w:rsid w:val="00FB6112"/>
    <w:rsid w:val="00FB66BB"/>
    <w:rsid w:val="00FB66EC"/>
    <w:rsid w:val="00FB688D"/>
    <w:rsid w:val="00FB69ED"/>
    <w:rsid w:val="00FB6D94"/>
    <w:rsid w:val="00FB6F11"/>
    <w:rsid w:val="00FB6FB8"/>
    <w:rsid w:val="00FB7074"/>
    <w:rsid w:val="00FB77E4"/>
    <w:rsid w:val="00FB7B72"/>
    <w:rsid w:val="00FB7E90"/>
    <w:rsid w:val="00FC0731"/>
    <w:rsid w:val="00FC0987"/>
    <w:rsid w:val="00FC0EA6"/>
    <w:rsid w:val="00FC1697"/>
    <w:rsid w:val="00FC2150"/>
    <w:rsid w:val="00FC23C0"/>
    <w:rsid w:val="00FC2660"/>
    <w:rsid w:val="00FC290F"/>
    <w:rsid w:val="00FC2E1D"/>
    <w:rsid w:val="00FC33CA"/>
    <w:rsid w:val="00FC3B94"/>
    <w:rsid w:val="00FC3C2B"/>
    <w:rsid w:val="00FC3CA3"/>
    <w:rsid w:val="00FC3D5F"/>
    <w:rsid w:val="00FC3FC6"/>
    <w:rsid w:val="00FC40FB"/>
    <w:rsid w:val="00FC45A6"/>
    <w:rsid w:val="00FC4B71"/>
    <w:rsid w:val="00FC4BB4"/>
    <w:rsid w:val="00FC4BBB"/>
    <w:rsid w:val="00FC4D6C"/>
    <w:rsid w:val="00FC4F9B"/>
    <w:rsid w:val="00FC5048"/>
    <w:rsid w:val="00FC5239"/>
    <w:rsid w:val="00FC5941"/>
    <w:rsid w:val="00FC5B2F"/>
    <w:rsid w:val="00FC63C2"/>
    <w:rsid w:val="00FC653E"/>
    <w:rsid w:val="00FC66AD"/>
    <w:rsid w:val="00FC66D0"/>
    <w:rsid w:val="00FC6742"/>
    <w:rsid w:val="00FC67F3"/>
    <w:rsid w:val="00FC6ACD"/>
    <w:rsid w:val="00FC6C58"/>
    <w:rsid w:val="00FC6F2C"/>
    <w:rsid w:val="00FC757A"/>
    <w:rsid w:val="00FC76E4"/>
    <w:rsid w:val="00FC7BB7"/>
    <w:rsid w:val="00FC7E26"/>
    <w:rsid w:val="00FD003A"/>
    <w:rsid w:val="00FD0403"/>
    <w:rsid w:val="00FD0443"/>
    <w:rsid w:val="00FD05F1"/>
    <w:rsid w:val="00FD08B5"/>
    <w:rsid w:val="00FD0B76"/>
    <w:rsid w:val="00FD0BEA"/>
    <w:rsid w:val="00FD0C93"/>
    <w:rsid w:val="00FD16C1"/>
    <w:rsid w:val="00FD17B0"/>
    <w:rsid w:val="00FD19BB"/>
    <w:rsid w:val="00FD1D88"/>
    <w:rsid w:val="00FD2466"/>
    <w:rsid w:val="00FD2CB6"/>
    <w:rsid w:val="00FD2DBF"/>
    <w:rsid w:val="00FD3BF0"/>
    <w:rsid w:val="00FD4344"/>
    <w:rsid w:val="00FD4A76"/>
    <w:rsid w:val="00FD5064"/>
    <w:rsid w:val="00FD5A27"/>
    <w:rsid w:val="00FD5B3A"/>
    <w:rsid w:val="00FD5B94"/>
    <w:rsid w:val="00FD62F9"/>
    <w:rsid w:val="00FD677D"/>
    <w:rsid w:val="00FD6E6F"/>
    <w:rsid w:val="00FD717B"/>
    <w:rsid w:val="00FD76D1"/>
    <w:rsid w:val="00FD7AC1"/>
    <w:rsid w:val="00FD7B36"/>
    <w:rsid w:val="00FE02B7"/>
    <w:rsid w:val="00FE035F"/>
    <w:rsid w:val="00FE065F"/>
    <w:rsid w:val="00FE0B11"/>
    <w:rsid w:val="00FE0C18"/>
    <w:rsid w:val="00FE0CF9"/>
    <w:rsid w:val="00FE0E47"/>
    <w:rsid w:val="00FE127A"/>
    <w:rsid w:val="00FE12AC"/>
    <w:rsid w:val="00FE14F9"/>
    <w:rsid w:val="00FE1647"/>
    <w:rsid w:val="00FE1CE2"/>
    <w:rsid w:val="00FE20C0"/>
    <w:rsid w:val="00FE2396"/>
    <w:rsid w:val="00FE244A"/>
    <w:rsid w:val="00FE29ED"/>
    <w:rsid w:val="00FE2BA7"/>
    <w:rsid w:val="00FE2D96"/>
    <w:rsid w:val="00FE33A7"/>
    <w:rsid w:val="00FE33F7"/>
    <w:rsid w:val="00FE3580"/>
    <w:rsid w:val="00FE3BEE"/>
    <w:rsid w:val="00FE3E30"/>
    <w:rsid w:val="00FE3EA6"/>
    <w:rsid w:val="00FE4127"/>
    <w:rsid w:val="00FE4418"/>
    <w:rsid w:val="00FE454E"/>
    <w:rsid w:val="00FE528E"/>
    <w:rsid w:val="00FE52C6"/>
    <w:rsid w:val="00FE54E0"/>
    <w:rsid w:val="00FE5598"/>
    <w:rsid w:val="00FE57B2"/>
    <w:rsid w:val="00FE5E84"/>
    <w:rsid w:val="00FE5F8C"/>
    <w:rsid w:val="00FE6034"/>
    <w:rsid w:val="00FE6599"/>
    <w:rsid w:val="00FE685B"/>
    <w:rsid w:val="00FE6985"/>
    <w:rsid w:val="00FE6EE9"/>
    <w:rsid w:val="00FE7081"/>
    <w:rsid w:val="00FE71F0"/>
    <w:rsid w:val="00FE766B"/>
    <w:rsid w:val="00FE77EF"/>
    <w:rsid w:val="00FE7E08"/>
    <w:rsid w:val="00FE7EBE"/>
    <w:rsid w:val="00FE7FF5"/>
    <w:rsid w:val="00FF0CF3"/>
    <w:rsid w:val="00FF0E90"/>
    <w:rsid w:val="00FF1098"/>
    <w:rsid w:val="00FF10D7"/>
    <w:rsid w:val="00FF143E"/>
    <w:rsid w:val="00FF14F3"/>
    <w:rsid w:val="00FF1843"/>
    <w:rsid w:val="00FF1A43"/>
    <w:rsid w:val="00FF22B7"/>
    <w:rsid w:val="00FF25A2"/>
    <w:rsid w:val="00FF273F"/>
    <w:rsid w:val="00FF2779"/>
    <w:rsid w:val="00FF29A7"/>
    <w:rsid w:val="00FF2C82"/>
    <w:rsid w:val="00FF38FA"/>
    <w:rsid w:val="00FF397A"/>
    <w:rsid w:val="00FF3B64"/>
    <w:rsid w:val="00FF3E82"/>
    <w:rsid w:val="00FF3E90"/>
    <w:rsid w:val="00FF3F42"/>
    <w:rsid w:val="00FF432B"/>
    <w:rsid w:val="00FF4338"/>
    <w:rsid w:val="00FF4638"/>
    <w:rsid w:val="00FF4887"/>
    <w:rsid w:val="00FF49E8"/>
    <w:rsid w:val="00FF4B50"/>
    <w:rsid w:val="00FF4D4A"/>
    <w:rsid w:val="00FF507E"/>
    <w:rsid w:val="00FF519E"/>
    <w:rsid w:val="00FF51D7"/>
    <w:rsid w:val="00FF5393"/>
    <w:rsid w:val="00FF55F7"/>
    <w:rsid w:val="00FF5E0B"/>
    <w:rsid w:val="00FF5ECE"/>
    <w:rsid w:val="00FF667F"/>
    <w:rsid w:val="00FF6E05"/>
    <w:rsid w:val="00FF7133"/>
    <w:rsid w:val="00FF7561"/>
    <w:rsid w:val="00FF7888"/>
    <w:rsid w:val="00FF794E"/>
    <w:rsid w:val="00FF7BAF"/>
    <w:rsid w:val="00FF7E82"/>
    <w:rsid w:val="01A842C6"/>
    <w:rsid w:val="01B664A1"/>
    <w:rsid w:val="01F52A91"/>
    <w:rsid w:val="02120D87"/>
    <w:rsid w:val="027E1012"/>
    <w:rsid w:val="032052CC"/>
    <w:rsid w:val="03400B2D"/>
    <w:rsid w:val="0346283E"/>
    <w:rsid w:val="03D3384A"/>
    <w:rsid w:val="04E0586A"/>
    <w:rsid w:val="058C7BA2"/>
    <w:rsid w:val="05AE2353"/>
    <w:rsid w:val="061401EF"/>
    <w:rsid w:val="06536344"/>
    <w:rsid w:val="066C15D9"/>
    <w:rsid w:val="07074209"/>
    <w:rsid w:val="082160D5"/>
    <w:rsid w:val="089B3B7D"/>
    <w:rsid w:val="089F13B4"/>
    <w:rsid w:val="0969482B"/>
    <w:rsid w:val="097151F5"/>
    <w:rsid w:val="09BD4E22"/>
    <w:rsid w:val="0A35213D"/>
    <w:rsid w:val="0A851D25"/>
    <w:rsid w:val="0ADB4710"/>
    <w:rsid w:val="0AEA77EF"/>
    <w:rsid w:val="0AF6345A"/>
    <w:rsid w:val="0B3A1976"/>
    <w:rsid w:val="0B6B1D52"/>
    <w:rsid w:val="0B923B58"/>
    <w:rsid w:val="0B9873AF"/>
    <w:rsid w:val="0BAE5D98"/>
    <w:rsid w:val="0C684910"/>
    <w:rsid w:val="0CAE2F5A"/>
    <w:rsid w:val="0CC15C7D"/>
    <w:rsid w:val="0CCA6E2C"/>
    <w:rsid w:val="0D051E28"/>
    <w:rsid w:val="0D8C36D4"/>
    <w:rsid w:val="0DB72C24"/>
    <w:rsid w:val="0DF42FB8"/>
    <w:rsid w:val="0DFF7FDA"/>
    <w:rsid w:val="0E224058"/>
    <w:rsid w:val="0E4A4E62"/>
    <w:rsid w:val="0ED27B18"/>
    <w:rsid w:val="0F480717"/>
    <w:rsid w:val="0FD07D2B"/>
    <w:rsid w:val="0FE92855"/>
    <w:rsid w:val="10483AEB"/>
    <w:rsid w:val="107B278C"/>
    <w:rsid w:val="10B276AF"/>
    <w:rsid w:val="10B93E79"/>
    <w:rsid w:val="11350324"/>
    <w:rsid w:val="113519F9"/>
    <w:rsid w:val="11352DCD"/>
    <w:rsid w:val="113B5611"/>
    <w:rsid w:val="116A6549"/>
    <w:rsid w:val="118C68C6"/>
    <w:rsid w:val="11D81ED4"/>
    <w:rsid w:val="12BD286B"/>
    <w:rsid w:val="12E16AF5"/>
    <w:rsid w:val="12F52C6C"/>
    <w:rsid w:val="13081E63"/>
    <w:rsid w:val="133731A8"/>
    <w:rsid w:val="136828AD"/>
    <w:rsid w:val="136C602E"/>
    <w:rsid w:val="1389740B"/>
    <w:rsid w:val="142E4DE5"/>
    <w:rsid w:val="14496100"/>
    <w:rsid w:val="14632853"/>
    <w:rsid w:val="14953E84"/>
    <w:rsid w:val="14D257B5"/>
    <w:rsid w:val="14F054EE"/>
    <w:rsid w:val="14F36394"/>
    <w:rsid w:val="15014F81"/>
    <w:rsid w:val="151A1B61"/>
    <w:rsid w:val="151C5CD0"/>
    <w:rsid w:val="15F00EA2"/>
    <w:rsid w:val="16294E7C"/>
    <w:rsid w:val="1636420B"/>
    <w:rsid w:val="17137E35"/>
    <w:rsid w:val="172E09D1"/>
    <w:rsid w:val="17835F7D"/>
    <w:rsid w:val="17B82EFA"/>
    <w:rsid w:val="182541F9"/>
    <w:rsid w:val="18B22D85"/>
    <w:rsid w:val="18E96437"/>
    <w:rsid w:val="190F6BFD"/>
    <w:rsid w:val="194542A9"/>
    <w:rsid w:val="195B3309"/>
    <w:rsid w:val="19802551"/>
    <w:rsid w:val="19A57603"/>
    <w:rsid w:val="19CF500F"/>
    <w:rsid w:val="1AF311B8"/>
    <w:rsid w:val="1B1E25E5"/>
    <w:rsid w:val="1B9D082B"/>
    <w:rsid w:val="1BA11E74"/>
    <w:rsid w:val="1BBE183A"/>
    <w:rsid w:val="1BDD4E53"/>
    <w:rsid w:val="1BF37476"/>
    <w:rsid w:val="1C386D1E"/>
    <w:rsid w:val="1C931FE4"/>
    <w:rsid w:val="1D1113D0"/>
    <w:rsid w:val="1D1C3E12"/>
    <w:rsid w:val="1D5B1AD4"/>
    <w:rsid w:val="1DD54314"/>
    <w:rsid w:val="1DEE1E52"/>
    <w:rsid w:val="1E577873"/>
    <w:rsid w:val="1E5B0D32"/>
    <w:rsid w:val="1E8D5F4F"/>
    <w:rsid w:val="1F3F5731"/>
    <w:rsid w:val="1F6A5F0E"/>
    <w:rsid w:val="1F892A6F"/>
    <w:rsid w:val="1FB84F15"/>
    <w:rsid w:val="20315449"/>
    <w:rsid w:val="20376BBD"/>
    <w:rsid w:val="203F0D32"/>
    <w:rsid w:val="206C1A34"/>
    <w:rsid w:val="206F4949"/>
    <w:rsid w:val="2077061A"/>
    <w:rsid w:val="207C1569"/>
    <w:rsid w:val="20E537B7"/>
    <w:rsid w:val="21137496"/>
    <w:rsid w:val="21361B5B"/>
    <w:rsid w:val="21AF1B2D"/>
    <w:rsid w:val="21D11841"/>
    <w:rsid w:val="21E027E8"/>
    <w:rsid w:val="220715CD"/>
    <w:rsid w:val="22111510"/>
    <w:rsid w:val="223709DC"/>
    <w:rsid w:val="22392924"/>
    <w:rsid w:val="22503A99"/>
    <w:rsid w:val="22641056"/>
    <w:rsid w:val="226D0F7D"/>
    <w:rsid w:val="22971EA5"/>
    <w:rsid w:val="22E468F9"/>
    <w:rsid w:val="2379528B"/>
    <w:rsid w:val="237F6188"/>
    <w:rsid w:val="247C3A15"/>
    <w:rsid w:val="249C2489"/>
    <w:rsid w:val="251B0028"/>
    <w:rsid w:val="257418AF"/>
    <w:rsid w:val="271746BE"/>
    <w:rsid w:val="271B3851"/>
    <w:rsid w:val="275B29A3"/>
    <w:rsid w:val="282C1694"/>
    <w:rsid w:val="28334283"/>
    <w:rsid w:val="285B4951"/>
    <w:rsid w:val="28AF42E4"/>
    <w:rsid w:val="28CE3B87"/>
    <w:rsid w:val="28D059C8"/>
    <w:rsid w:val="29030FAE"/>
    <w:rsid w:val="29362716"/>
    <w:rsid w:val="2AD22F61"/>
    <w:rsid w:val="2B510C81"/>
    <w:rsid w:val="2B5C23FE"/>
    <w:rsid w:val="2B644127"/>
    <w:rsid w:val="2B777D40"/>
    <w:rsid w:val="2B795B18"/>
    <w:rsid w:val="2BF10A3D"/>
    <w:rsid w:val="2C430F97"/>
    <w:rsid w:val="2C4E46CD"/>
    <w:rsid w:val="2C753EBB"/>
    <w:rsid w:val="2CD30402"/>
    <w:rsid w:val="2CF0164E"/>
    <w:rsid w:val="2D0E4B56"/>
    <w:rsid w:val="2DA3078F"/>
    <w:rsid w:val="2DCD2EBC"/>
    <w:rsid w:val="2DF86CA2"/>
    <w:rsid w:val="2E046A5A"/>
    <w:rsid w:val="2E056A58"/>
    <w:rsid w:val="2E1450B4"/>
    <w:rsid w:val="2E87112A"/>
    <w:rsid w:val="2EA14B72"/>
    <w:rsid w:val="2EDE5031"/>
    <w:rsid w:val="2F043018"/>
    <w:rsid w:val="2F7C3DFF"/>
    <w:rsid w:val="2FC42BDA"/>
    <w:rsid w:val="30440D10"/>
    <w:rsid w:val="30665983"/>
    <w:rsid w:val="316C23C9"/>
    <w:rsid w:val="31845856"/>
    <w:rsid w:val="31E33CF0"/>
    <w:rsid w:val="321B6248"/>
    <w:rsid w:val="328240F0"/>
    <w:rsid w:val="3296670F"/>
    <w:rsid w:val="32C513F0"/>
    <w:rsid w:val="33022792"/>
    <w:rsid w:val="33530000"/>
    <w:rsid w:val="33607607"/>
    <w:rsid w:val="33B4365E"/>
    <w:rsid w:val="33F020B6"/>
    <w:rsid w:val="344D3B6C"/>
    <w:rsid w:val="3489778A"/>
    <w:rsid w:val="34D7570F"/>
    <w:rsid w:val="355A6925"/>
    <w:rsid w:val="357D5FA4"/>
    <w:rsid w:val="361E712D"/>
    <w:rsid w:val="366F4AE0"/>
    <w:rsid w:val="36706EB0"/>
    <w:rsid w:val="36A02280"/>
    <w:rsid w:val="36CA4688"/>
    <w:rsid w:val="376F147D"/>
    <w:rsid w:val="37A66936"/>
    <w:rsid w:val="37AB53FE"/>
    <w:rsid w:val="38235253"/>
    <w:rsid w:val="382D1595"/>
    <w:rsid w:val="385E7F01"/>
    <w:rsid w:val="387232F5"/>
    <w:rsid w:val="38730DB8"/>
    <w:rsid w:val="390073B2"/>
    <w:rsid w:val="392367BA"/>
    <w:rsid w:val="397C3FD0"/>
    <w:rsid w:val="39A94AC9"/>
    <w:rsid w:val="39B35CCB"/>
    <w:rsid w:val="39DC4280"/>
    <w:rsid w:val="3A1114EE"/>
    <w:rsid w:val="3A1209DD"/>
    <w:rsid w:val="3ABF13E2"/>
    <w:rsid w:val="3AC12EF4"/>
    <w:rsid w:val="3AC66F27"/>
    <w:rsid w:val="3B293274"/>
    <w:rsid w:val="3B3B4C0A"/>
    <w:rsid w:val="3B3E0726"/>
    <w:rsid w:val="3B567CBE"/>
    <w:rsid w:val="3B587760"/>
    <w:rsid w:val="3B5E5C7B"/>
    <w:rsid w:val="3BCD6080"/>
    <w:rsid w:val="3C5753E0"/>
    <w:rsid w:val="3C594622"/>
    <w:rsid w:val="3CA07CC0"/>
    <w:rsid w:val="3CE603B8"/>
    <w:rsid w:val="3CF26515"/>
    <w:rsid w:val="3D2F6E0D"/>
    <w:rsid w:val="3D3332BC"/>
    <w:rsid w:val="3D9B6E58"/>
    <w:rsid w:val="3DC65D58"/>
    <w:rsid w:val="3E0E7E70"/>
    <w:rsid w:val="3E5C698C"/>
    <w:rsid w:val="3ED4609F"/>
    <w:rsid w:val="3F6E58FE"/>
    <w:rsid w:val="3F943572"/>
    <w:rsid w:val="3FA951B8"/>
    <w:rsid w:val="3FB54D4F"/>
    <w:rsid w:val="3FCE4851"/>
    <w:rsid w:val="3FDA0A3F"/>
    <w:rsid w:val="3FF54CDF"/>
    <w:rsid w:val="403345A1"/>
    <w:rsid w:val="40355E95"/>
    <w:rsid w:val="403A7F1D"/>
    <w:rsid w:val="40B92706"/>
    <w:rsid w:val="40C63B98"/>
    <w:rsid w:val="40E25C3F"/>
    <w:rsid w:val="411554BD"/>
    <w:rsid w:val="418879EC"/>
    <w:rsid w:val="41A268C7"/>
    <w:rsid w:val="41F87D88"/>
    <w:rsid w:val="42626E8F"/>
    <w:rsid w:val="42754B75"/>
    <w:rsid w:val="42D06860"/>
    <w:rsid w:val="42D83E59"/>
    <w:rsid w:val="42E320B3"/>
    <w:rsid w:val="431B4F88"/>
    <w:rsid w:val="43410774"/>
    <w:rsid w:val="434A001A"/>
    <w:rsid w:val="43B42D28"/>
    <w:rsid w:val="43F26A6D"/>
    <w:rsid w:val="43FF0EB6"/>
    <w:rsid w:val="442D2F91"/>
    <w:rsid w:val="448D0131"/>
    <w:rsid w:val="44CC1263"/>
    <w:rsid w:val="457F5EEA"/>
    <w:rsid w:val="45A83739"/>
    <w:rsid w:val="46063E27"/>
    <w:rsid w:val="46400CFA"/>
    <w:rsid w:val="46B533F3"/>
    <w:rsid w:val="46D55A57"/>
    <w:rsid w:val="46E17049"/>
    <w:rsid w:val="470D47DF"/>
    <w:rsid w:val="47CD5F26"/>
    <w:rsid w:val="480B0759"/>
    <w:rsid w:val="48111527"/>
    <w:rsid w:val="481E211E"/>
    <w:rsid w:val="48951A3B"/>
    <w:rsid w:val="48BD248F"/>
    <w:rsid w:val="48F9356D"/>
    <w:rsid w:val="48FB58C9"/>
    <w:rsid w:val="49150755"/>
    <w:rsid w:val="49182100"/>
    <w:rsid w:val="495C5565"/>
    <w:rsid w:val="4970799C"/>
    <w:rsid w:val="49751587"/>
    <w:rsid w:val="4A0E0041"/>
    <w:rsid w:val="4A3738C2"/>
    <w:rsid w:val="4A5D5B11"/>
    <w:rsid w:val="4A8115CF"/>
    <w:rsid w:val="4ADA3920"/>
    <w:rsid w:val="4B627BC4"/>
    <w:rsid w:val="4C404B18"/>
    <w:rsid w:val="4C410E5A"/>
    <w:rsid w:val="4C8A4ED5"/>
    <w:rsid w:val="4D111875"/>
    <w:rsid w:val="4D4D6D26"/>
    <w:rsid w:val="4D91158D"/>
    <w:rsid w:val="4DB9132B"/>
    <w:rsid w:val="4DC87F51"/>
    <w:rsid w:val="4E546E6D"/>
    <w:rsid w:val="4E60521B"/>
    <w:rsid w:val="4EA33FA0"/>
    <w:rsid w:val="4EA671AE"/>
    <w:rsid w:val="4ECF2B88"/>
    <w:rsid w:val="4EE122CB"/>
    <w:rsid w:val="4EEF723A"/>
    <w:rsid w:val="4F2168B8"/>
    <w:rsid w:val="4F4520B4"/>
    <w:rsid w:val="4F823199"/>
    <w:rsid w:val="4FBD5B2B"/>
    <w:rsid w:val="4FEA351A"/>
    <w:rsid w:val="500E383F"/>
    <w:rsid w:val="50145F88"/>
    <w:rsid w:val="50763048"/>
    <w:rsid w:val="50895A1E"/>
    <w:rsid w:val="50B21C4F"/>
    <w:rsid w:val="51322E3B"/>
    <w:rsid w:val="514556D7"/>
    <w:rsid w:val="51737045"/>
    <w:rsid w:val="51B3730B"/>
    <w:rsid w:val="51D37980"/>
    <w:rsid w:val="522805B6"/>
    <w:rsid w:val="52500DF4"/>
    <w:rsid w:val="53307F87"/>
    <w:rsid w:val="538D1A45"/>
    <w:rsid w:val="53E23475"/>
    <w:rsid w:val="54787BA2"/>
    <w:rsid w:val="54EC557E"/>
    <w:rsid w:val="552A663B"/>
    <w:rsid w:val="555329E1"/>
    <w:rsid w:val="558A7CA2"/>
    <w:rsid w:val="55F63EE4"/>
    <w:rsid w:val="566B561C"/>
    <w:rsid w:val="56F9502A"/>
    <w:rsid w:val="56FA17CE"/>
    <w:rsid w:val="57AC2C60"/>
    <w:rsid w:val="57B045E8"/>
    <w:rsid w:val="57C32352"/>
    <w:rsid w:val="584413F6"/>
    <w:rsid w:val="584B74BA"/>
    <w:rsid w:val="58E06109"/>
    <w:rsid w:val="59434C2C"/>
    <w:rsid w:val="596F508F"/>
    <w:rsid w:val="59711CDF"/>
    <w:rsid w:val="598F6EC7"/>
    <w:rsid w:val="599D06E5"/>
    <w:rsid w:val="59B637F7"/>
    <w:rsid w:val="59DB541F"/>
    <w:rsid w:val="59F4679A"/>
    <w:rsid w:val="5A095890"/>
    <w:rsid w:val="5A180156"/>
    <w:rsid w:val="5A3440E7"/>
    <w:rsid w:val="5ACF5EAF"/>
    <w:rsid w:val="5B1F4814"/>
    <w:rsid w:val="5B633480"/>
    <w:rsid w:val="5B69347B"/>
    <w:rsid w:val="5BD633B2"/>
    <w:rsid w:val="5BF86F96"/>
    <w:rsid w:val="5C0C6266"/>
    <w:rsid w:val="5C2648E6"/>
    <w:rsid w:val="5CD10718"/>
    <w:rsid w:val="5D363590"/>
    <w:rsid w:val="5DCD24F3"/>
    <w:rsid w:val="5ECA561A"/>
    <w:rsid w:val="5F3C1CA1"/>
    <w:rsid w:val="5F426EC9"/>
    <w:rsid w:val="5F57534A"/>
    <w:rsid w:val="5F5B0F82"/>
    <w:rsid w:val="5FBD4E54"/>
    <w:rsid w:val="5FE67631"/>
    <w:rsid w:val="6007030B"/>
    <w:rsid w:val="602056ED"/>
    <w:rsid w:val="60224DF2"/>
    <w:rsid w:val="603543CF"/>
    <w:rsid w:val="6119109D"/>
    <w:rsid w:val="614D4221"/>
    <w:rsid w:val="626C6EEB"/>
    <w:rsid w:val="62CA0B9D"/>
    <w:rsid w:val="63414B33"/>
    <w:rsid w:val="646C503A"/>
    <w:rsid w:val="6520373E"/>
    <w:rsid w:val="65997057"/>
    <w:rsid w:val="65C721D9"/>
    <w:rsid w:val="66107EEC"/>
    <w:rsid w:val="66855117"/>
    <w:rsid w:val="66A73ED7"/>
    <w:rsid w:val="66AD48CB"/>
    <w:rsid w:val="67055FE2"/>
    <w:rsid w:val="67EC5750"/>
    <w:rsid w:val="67F240B5"/>
    <w:rsid w:val="68636EA2"/>
    <w:rsid w:val="686E067C"/>
    <w:rsid w:val="68C77EC2"/>
    <w:rsid w:val="68D52752"/>
    <w:rsid w:val="692B66D8"/>
    <w:rsid w:val="697D70FD"/>
    <w:rsid w:val="6A0F02FE"/>
    <w:rsid w:val="6A517CAC"/>
    <w:rsid w:val="6A757695"/>
    <w:rsid w:val="6A7B0C14"/>
    <w:rsid w:val="6A92576F"/>
    <w:rsid w:val="6AED2E0B"/>
    <w:rsid w:val="6AF040D7"/>
    <w:rsid w:val="6B8D739D"/>
    <w:rsid w:val="6BB311A6"/>
    <w:rsid w:val="6BB67D2A"/>
    <w:rsid w:val="6BE24363"/>
    <w:rsid w:val="6C5863C0"/>
    <w:rsid w:val="6C7740C4"/>
    <w:rsid w:val="6C9961D5"/>
    <w:rsid w:val="6CE1745B"/>
    <w:rsid w:val="6CEB6ACD"/>
    <w:rsid w:val="6D05692D"/>
    <w:rsid w:val="6D620992"/>
    <w:rsid w:val="6D77480A"/>
    <w:rsid w:val="6D7831F9"/>
    <w:rsid w:val="6DDB4952"/>
    <w:rsid w:val="6EB502DA"/>
    <w:rsid w:val="6EBC1149"/>
    <w:rsid w:val="6ECB7C51"/>
    <w:rsid w:val="6F191BC1"/>
    <w:rsid w:val="6F232EA2"/>
    <w:rsid w:val="6F540B10"/>
    <w:rsid w:val="6F8B3E2F"/>
    <w:rsid w:val="6FE10615"/>
    <w:rsid w:val="7004507B"/>
    <w:rsid w:val="70872724"/>
    <w:rsid w:val="70CE0C10"/>
    <w:rsid w:val="70EC7C9A"/>
    <w:rsid w:val="70F2257C"/>
    <w:rsid w:val="71493507"/>
    <w:rsid w:val="724F1A53"/>
    <w:rsid w:val="72563E87"/>
    <w:rsid w:val="72C119E6"/>
    <w:rsid w:val="72C946D2"/>
    <w:rsid w:val="72D807F9"/>
    <w:rsid w:val="73323D8C"/>
    <w:rsid w:val="733F0CDF"/>
    <w:rsid w:val="735E23F7"/>
    <w:rsid w:val="73D31B83"/>
    <w:rsid w:val="740B6B6F"/>
    <w:rsid w:val="74416F4D"/>
    <w:rsid w:val="744747C8"/>
    <w:rsid w:val="744836CD"/>
    <w:rsid w:val="744C601C"/>
    <w:rsid w:val="7542577F"/>
    <w:rsid w:val="759E7348"/>
    <w:rsid w:val="763C5541"/>
    <w:rsid w:val="766B7770"/>
    <w:rsid w:val="768F4120"/>
    <w:rsid w:val="76B03C06"/>
    <w:rsid w:val="76CB4E80"/>
    <w:rsid w:val="76FF3D2A"/>
    <w:rsid w:val="773164D3"/>
    <w:rsid w:val="77755A43"/>
    <w:rsid w:val="77F70231"/>
    <w:rsid w:val="78313914"/>
    <w:rsid w:val="7862358D"/>
    <w:rsid w:val="78CB5E73"/>
    <w:rsid w:val="79B41AD2"/>
    <w:rsid w:val="7A271CE3"/>
    <w:rsid w:val="7A2D1927"/>
    <w:rsid w:val="7A5041FA"/>
    <w:rsid w:val="7A80503D"/>
    <w:rsid w:val="7AB033A0"/>
    <w:rsid w:val="7B1458F3"/>
    <w:rsid w:val="7B2D0191"/>
    <w:rsid w:val="7B7A0C4D"/>
    <w:rsid w:val="7BBE32EB"/>
    <w:rsid w:val="7C343156"/>
    <w:rsid w:val="7C903266"/>
    <w:rsid w:val="7CF26A59"/>
    <w:rsid w:val="7CF864AB"/>
    <w:rsid w:val="7D0A51BF"/>
    <w:rsid w:val="7D522DA2"/>
    <w:rsid w:val="7D5E28E8"/>
    <w:rsid w:val="7D704356"/>
    <w:rsid w:val="7E0029DB"/>
    <w:rsid w:val="7E5D29B3"/>
    <w:rsid w:val="7F133E99"/>
    <w:rsid w:val="7FD61583"/>
    <w:rsid w:val="7FE4526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f">
      <v:fill on="t" focussize="0,0"/>
      <v:stroke on="f"/>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nhideWhenUsed="0" w:uiPriority="0" w:semiHidden="0" w:name="heading 4"/>
    <w:lsdException w:qFormat="1" w:unhideWhenUsed="0" w:uiPriority="9" w:semiHidden="0" w:name="heading 5"/>
    <w:lsdException w:qFormat="1" w:unhideWhenUsed="0" w:uiPriority="9" w:semiHidden="0" w:name="heading 6"/>
    <w:lsdException w:qFormat="1" w:unhideWhenUsed="0" w:uiPriority="9" w:semiHidden="0" w:name="heading 7"/>
    <w:lsdException w:qFormat="1" w:unhideWhenUsed="0" w:uiPriority="99" w:semiHidden="0" w:name="heading 8"/>
    <w:lsdException w:qFormat="1" w:unhideWhenUsed="0" w:uiPriority="99" w:semiHidden="0" w:name="heading 9"/>
    <w:lsdException w:qFormat="1" w:unhideWhenUsed="0" w:uiPriority="0" w:semiHidden="0" w:name="index 1"/>
    <w:lsdException w:qFormat="1" w:unhideWhenUsed="0" w:uiPriority="0" w:semiHidden="0"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iPriority="99" w:semiHidden="0" w:name="Normal Indent"/>
    <w:lsdException w:uiPriority="99" w:name="footnote text"/>
    <w:lsdException w:qFormat="1" w:uiPriority="0" w:semiHidden="0" w:name="annotation text"/>
    <w:lsdException w:qFormat="1" w:uiPriority="0" w:semiHidden="0" w:name="header"/>
    <w:lsdException w:qFormat="1" w:uiPriority="0" w:semiHidden="0" w:name="footer"/>
    <w:lsdException w:qFormat="1" w:unhideWhenUsed="0" w:uiPriority="99" w:semiHidden="0" w:name="index heading"/>
    <w:lsdException w:qFormat="1" w:unhideWhenUsed="0" w:uiPriority="0" w:semiHidden="0" w:name="caption"/>
    <w:lsdException w:qFormat="1" w:unhideWhenUsed="0" w:uiPriority="0" w:semiHidden="0"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qFormat="1" w:unhideWhenUsed="0" w:uiPriority="0" w:semiHidden="0" w:name="table of authorities"/>
    <w:lsdException w:uiPriority="99" w:name="macro"/>
    <w:lsdException w:uiPriority="99" w:name="toa heading"/>
    <w:lsdException w:qFormat="1" w:uiPriority="99"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99" w:semiHidden="0" w:name="Title"/>
    <w:lsdException w:uiPriority="99" w:name="Closing"/>
    <w:lsdException w:uiPriority="99" w:name="Signature"/>
    <w:lsdException w:qFormat="1" w:uiPriority="1" w:name="Default Paragraph Font"/>
    <w:lsdException w:qFormat="1"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qFormat="1" w:unhideWhenUsed="0" w:uiPriority="0" w:semiHidden="0"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99" w:semiHidden="0" w:name="Date"/>
    <w:lsdException w:qFormat="1" w:unhideWhenUsed="0" w:uiPriority="0" w:semiHidden="0" w:name="Body Text First Indent"/>
    <w:lsdException w:qFormat="1" w:unhideWhenUsed="0" w:uiPriority="99" w:semiHidden="0" w:name="Body Text First Indent 2"/>
    <w:lsdException w:qFormat="1" w:unhideWhenUsed="0" w:uiPriority="0" w:semiHidden="0" w:name="Note Heading"/>
    <w:lsdException w:qFormat="1" w:uiPriority="99" w:semiHidden="0" w:name="Body Text 2"/>
    <w:lsdException w:qFormat="1" w:unhideWhenUsed="0" w:uiPriority="0" w:semiHidden="0" w:name="Body Text 3"/>
    <w:lsdException w:qFormat="1" w:unhideWhenUsed="0" w:uiPriority="99"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iPriority="99" w:semiHidden="0" w:name="FollowedHyperlink"/>
    <w:lsdException w:qFormat="1" w:unhideWhenUsed="0" w:uiPriority="22" w:semiHidden="0" w:name="Strong"/>
    <w:lsdException w:qFormat="1" w:unhideWhenUsed="0" w:uiPriority="20" w:semiHidden="0" w:name="Emphasis"/>
    <w:lsdException w:qFormat="1" w:uiPriority="99" w:semiHidden="0" w:name="Document Map"/>
    <w:lsdException w:qFormat="1" w:unhideWhenUsed="0" w:uiPriority="99"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uiPriority="99" w:name="Normal Table"/>
    <w:lsdException w:qFormat="1" w:unhideWhenUsed="0"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0" w:semiHidden="0" w:name="Balloon Text"/>
    <w:lsdException w:qFormat="1" w:unhideWhenUsed="0" w:uiPriority="99" w:semiHidden="0" w:name="Table Grid"/>
    <w:lsdException w:qFormat="1" w:unhideWhenUsed="0" w:uiPriority="0" w:semiHidden="0" w:name="Table Theme"/>
    <w:lsdException w:qFormat="1" w:uiPriority="99" w:semiHidden="0"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2"/>
      <w:lang w:val="en-US" w:eastAsia="zh-CN" w:bidi="ar-SA"/>
    </w:rPr>
  </w:style>
  <w:style w:type="paragraph" w:styleId="3">
    <w:name w:val="heading 1"/>
    <w:basedOn w:val="1"/>
    <w:next w:val="1"/>
    <w:link w:val="199"/>
    <w:qFormat/>
    <w:uiPriority w:val="9"/>
    <w:pPr>
      <w:keepNext/>
      <w:widowControl/>
      <w:numPr>
        <w:ilvl w:val="0"/>
        <w:numId w:val="1"/>
      </w:numPr>
      <w:spacing w:before="200" w:after="200" w:line="360" w:lineRule="auto"/>
      <w:jc w:val="left"/>
      <w:outlineLvl w:val="0"/>
    </w:pPr>
    <w:rPr>
      <w:rFonts w:ascii="黑体" w:hAnsi="黑体" w:eastAsia="黑体"/>
      <w:sz w:val="32"/>
      <w:szCs w:val="20"/>
    </w:rPr>
  </w:style>
  <w:style w:type="paragraph" w:styleId="2">
    <w:name w:val="heading 2"/>
    <w:basedOn w:val="1"/>
    <w:next w:val="1"/>
    <w:link w:val="239"/>
    <w:qFormat/>
    <w:uiPriority w:val="9"/>
    <w:pPr>
      <w:keepNext/>
      <w:keepLines/>
      <w:numPr>
        <w:ilvl w:val="1"/>
        <w:numId w:val="1"/>
      </w:numPr>
      <w:adjustRightInd w:val="0"/>
      <w:snapToGrid w:val="0"/>
      <w:spacing w:before="200" w:after="200" w:line="360" w:lineRule="auto"/>
      <w:jc w:val="left"/>
      <w:outlineLvl w:val="1"/>
    </w:pPr>
    <w:rPr>
      <w:rFonts w:ascii="黑体" w:hAnsi="黑体" w:eastAsia="黑体"/>
      <w:bCs/>
      <w:sz w:val="28"/>
      <w:szCs w:val="32"/>
    </w:rPr>
  </w:style>
  <w:style w:type="paragraph" w:styleId="4">
    <w:name w:val="heading 3"/>
    <w:basedOn w:val="1"/>
    <w:next w:val="1"/>
    <w:link w:val="153"/>
    <w:qFormat/>
    <w:uiPriority w:val="9"/>
    <w:pPr>
      <w:numPr>
        <w:ilvl w:val="2"/>
        <w:numId w:val="1"/>
      </w:numPr>
      <w:spacing w:before="160" w:after="160" w:line="360" w:lineRule="auto"/>
      <w:jc w:val="left"/>
      <w:outlineLvl w:val="2"/>
    </w:pPr>
    <w:rPr>
      <w:rFonts w:ascii="黑体" w:hAnsi="黑体" w:eastAsia="黑体"/>
      <w:sz w:val="24"/>
      <w:szCs w:val="21"/>
    </w:rPr>
  </w:style>
  <w:style w:type="paragraph" w:styleId="5">
    <w:name w:val="heading 4"/>
    <w:basedOn w:val="1"/>
    <w:next w:val="1"/>
    <w:link w:val="254"/>
    <w:qFormat/>
    <w:uiPriority w:val="0"/>
    <w:pPr>
      <w:keepNext/>
      <w:keepLines/>
      <w:adjustRightInd w:val="0"/>
      <w:snapToGrid w:val="0"/>
      <w:spacing w:line="500" w:lineRule="exact"/>
      <w:ind w:firstLine="200" w:firstLineChars="200"/>
      <w:outlineLvl w:val="3"/>
    </w:pPr>
    <w:rPr>
      <w:rFonts w:ascii="Arial" w:hAnsi="Arial"/>
      <w:bCs/>
      <w:kern w:val="0"/>
      <w:sz w:val="24"/>
      <w:szCs w:val="28"/>
      <w:lang w:val="zh-CN"/>
    </w:rPr>
  </w:style>
  <w:style w:type="paragraph" w:styleId="6">
    <w:name w:val="heading 5"/>
    <w:basedOn w:val="1"/>
    <w:next w:val="1"/>
    <w:link w:val="76"/>
    <w:qFormat/>
    <w:uiPriority w:val="9"/>
    <w:pPr>
      <w:keepNext/>
      <w:keepLines/>
      <w:spacing w:before="280" w:after="290" w:line="376" w:lineRule="atLeast"/>
      <w:ind w:firstLine="200" w:firstLineChars="200"/>
      <w:outlineLvl w:val="4"/>
    </w:pPr>
    <w:rPr>
      <w:rFonts w:ascii="Times New Roman" w:hAnsi="Times New Roman"/>
      <w:b/>
      <w:bCs/>
      <w:kern w:val="0"/>
      <w:sz w:val="28"/>
      <w:szCs w:val="28"/>
    </w:rPr>
  </w:style>
  <w:style w:type="paragraph" w:styleId="7">
    <w:name w:val="heading 6"/>
    <w:basedOn w:val="1"/>
    <w:next w:val="1"/>
    <w:link w:val="124"/>
    <w:qFormat/>
    <w:uiPriority w:val="9"/>
    <w:pPr>
      <w:keepNext/>
      <w:keepLines/>
      <w:spacing w:before="240" w:after="64" w:line="320" w:lineRule="atLeast"/>
      <w:ind w:firstLine="200" w:firstLineChars="200"/>
      <w:outlineLvl w:val="5"/>
    </w:pPr>
    <w:rPr>
      <w:rFonts w:ascii="Cambria" w:hAnsi="Cambria"/>
      <w:b/>
      <w:bCs/>
      <w:kern w:val="0"/>
      <w:sz w:val="24"/>
      <w:szCs w:val="24"/>
    </w:rPr>
  </w:style>
  <w:style w:type="paragraph" w:styleId="8">
    <w:name w:val="heading 7"/>
    <w:basedOn w:val="1"/>
    <w:next w:val="1"/>
    <w:link w:val="118"/>
    <w:qFormat/>
    <w:uiPriority w:val="9"/>
    <w:pPr>
      <w:keepNext/>
      <w:keepLines/>
      <w:spacing w:before="240" w:after="64" w:line="320" w:lineRule="atLeast"/>
      <w:ind w:firstLine="200" w:firstLineChars="200"/>
      <w:outlineLvl w:val="6"/>
    </w:pPr>
    <w:rPr>
      <w:rFonts w:ascii="Times New Roman" w:hAnsi="Times New Roman"/>
      <w:b/>
      <w:bCs/>
      <w:kern w:val="0"/>
      <w:sz w:val="24"/>
      <w:szCs w:val="24"/>
    </w:rPr>
  </w:style>
  <w:style w:type="paragraph" w:styleId="9">
    <w:name w:val="heading 8"/>
    <w:basedOn w:val="1"/>
    <w:next w:val="1"/>
    <w:link w:val="84"/>
    <w:qFormat/>
    <w:uiPriority w:val="99"/>
    <w:pPr>
      <w:keepNext/>
      <w:keepLines/>
      <w:tabs>
        <w:tab w:val="left" w:pos="1440"/>
      </w:tabs>
      <w:spacing w:before="240" w:after="64" w:line="320" w:lineRule="auto"/>
      <w:ind w:left="1440" w:hanging="1440"/>
      <w:outlineLvl w:val="7"/>
    </w:pPr>
    <w:rPr>
      <w:rFonts w:ascii="Arial" w:hAnsi="Arial" w:eastAsia="黑体"/>
      <w:kern w:val="0"/>
      <w:sz w:val="24"/>
      <w:szCs w:val="24"/>
    </w:rPr>
  </w:style>
  <w:style w:type="paragraph" w:styleId="10">
    <w:name w:val="heading 9"/>
    <w:basedOn w:val="1"/>
    <w:next w:val="1"/>
    <w:link w:val="132"/>
    <w:qFormat/>
    <w:uiPriority w:val="99"/>
    <w:pPr>
      <w:keepNext/>
      <w:keepLines/>
      <w:tabs>
        <w:tab w:val="left" w:pos="1584"/>
      </w:tabs>
      <w:spacing w:before="240" w:after="64" w:line="320" w:lineRule="auto"/>
      <w:ind w:left="1584" w:hanging="1584"/>
      <w:outlineLvl w:val="8"/>
    </w:pPr>
    <w:rPr>
      <w:rFonts w:ascii="Arial" w:hAnsi="Arial" w:eastAsia="黑体"/>
      <w:kern w:val="0"/>
      <w:sz w:val="20"/>
      <w:szCs w:val="21"/>
    </w:rPr>
  </w:style>
  <w:style w:type="character" w:default="1" w:styleId="54">
    <w:name w:val="Default Paragraph Font"/>
    <w:semiHidden/>
    <w:unhideWhenUsed/>
    <w:qFormat/>
    <w:uiPriority w:val="1"/>
  </w:style>
  <w:style w:type="table" w:default="1" w:styleId="51">
    <w:name w:val="Normal Table"/>
    <w:semiHidden/>
    <w:unhideWhenUsed/>
    <w:uiPriority w:val="99"/>
    <w:tblPr>
      <w:tblCellMar>
        <w:top w:w="0" w:type="dxa"/>
        <w:left w:w="108" w:type="dxa"/>
        <w:bottom w:w="0" w:type="dxa"/>
        <w:right w:w="108" w:type="dxa"/>
      </w:tblCellMar>
    </w:tblPr>
  </w:style>
  <w:style w:type="paragraph" w:styleId="11">
    <w:name w:val="toc 7"/>
    <w:basedOn w:val="1"/>
    <w:next w:val="1"/>
    <w:qFormat/>
    <w:uiPriority w:val="39"/>
    <w:pPr>
      <w:ind w:left="1260"/>
      <w:jc w:val="left"/>
    </w:pPr>
    <w:rPr>
      <w:rFonts w:cs="Calibri"/>
      <w:sz w:val="18"/>
      <w:szCs w:val="18"/>
    </w:rPr>
  </w:style>
  <w:style w:type="paragraph" w:styleId="12">
    <w:name w:val="table of authorities"/>
    <w:basedOn w:val="1"/>
    <w:next w:val="1"/>
    <w:qFormat/>
    <w:uiPriority w:val="0"/>
    <w:pPr>
      <w:ind w:left="420" w:leftChars="200"/>
    </w:pPr>
    <w:rPr>
      <w:rFonts w:ascii="Times New Roman" w:hAnsi="Times New Roman"/>
      <w:szCs w:val="24"/>
    </w:rPr>
  </w:style>
  <w:style w:type="paragraph" w:styleId="13">
    <w:name w:val="Note Heading"/>
    <w:basedOn w:val="1"/>
    <w:next w:val="1"/>
    <w:link w:val="196"/>
    <w:qFormat/>
    <w:uiPriority w:val="0"/>
    <w:pPr>
      <w:jc w:val="center"/>
    </w:pPr>
    <w:rPr>
      <w:rFonts w:ascii="Times New Roman" w:hAnsi="Times New Roman"/>
      <w:szCs w:val="20"/>
    </w:rPr>
  </w:style>
  <w:style w:type="paragraph" w:styleId="14">
    <w:name w:val="Normal Indent"/>
    <w:basedOn w:val="1"/>
    <w:link w:val="269"/>
    <w:unhideWhenUsed/>
    <w:qFormat/>
    <w:uiPriority w:val="99"/>
    <w:pPr>
      <w:ind w:firstLine="420" w:firstLineChars="200"/>
    </w:pPr>
    <w:rPr>
      <w:rFonts w:ascii="Times New Roman" w:hAnsi="Times New Roman"/>
      <w:kern w:val="0"/>
      <w:sz w:val="20"/>
      <w:szCs w:val="21"/>
    </w:rPr>
  </w:style>
  <w:style w:type="paragraph" w:styleId="15">
    <w:name w:val="caption"/>
    <w:basedOn w:val="1"/>
    <w:next w:val="1"/>
    <w:link w:val="165"/>
    <w:qFormat/>
    <w:uiPriority w:val="0"/>
    <w:pPr>
      <w:spacing w:line="500" w:lineRule="atLeast"/>
      <w:jc w:val="center"/>
    </w:pPr>
    <w:rPr>
      <w:rFonts w:ascii="宋体" w:hAnsi="宋体" w:eastAsia="黑体"/>
      <w:szCs w:val="20"/>
    </w:rPr>
  </w:style>
  <w:style w:type="paragraph" w:styleId="16">
    <w:name w:val="Document Map"/>
    <w:basedOn w:val="1"/>
    <w:link w:val="230"/>
    <w:unhideWhenUsed/>
    <w:qFormat/>
    <w:uiPriority w:val="99"/>
    <w:rPr>
      <w:rFonts w:ascii="宋体" w:hAnsi="Times New Roman"/>
      <w:kern w:val="0"/>
      <w:sz w:val="18"/>
      <w:szCs w:val="18"/>
    </w:rPr>
  </w:style>
  <w:style w:type="paragraph" w:styleId="17">
    <w:name w:val="annotation text"/>
    <w:basedOn w:val="1"/>
    <w:link w:val="240"/>
    <w:unhideWhenUsed/>
    <w:qFormat/>
    <w:uiPriority w:val="0"/>
    <w:pPr>
      <w:jc w:val="left"/>
    </w:pPr>
  </w:style>
  <w:style w:type="paragraph" w:styleId="18">
    <w:name w:val="Body Text 3"/>
    <w:basedOn w:val="1"/>
    <w:link w:val="226"/>
    <w:qFormat/>
    <w:uiPriority w:val="0"/>
    <w:rPr>
      <w:rFonts w:ascii="Times New Roman" w:hAnsi="Times New Roman"/>
      <w:sz w:val="18"/>
      <w:szCs w:val="24"/>
    </w:rPr>
  </w:style>
  <w:style w:type="paragraph" w:styleId="19">
    <w:name w:val="Body Text"/>
    <w:basedOn w:val="1"/>
    <w:link w:val="178"/>
    <w:unhideWhenUsed/>
    <w:qFormat/>
    <w:uiPriority w:val="0"/>
    <w:pPr>
      <w:spacing w:after="120"/>
    </w:pPr>
  </w:style>
  <w:style w:type="paragraph" w:styleId="20">
    <w:name w:val="Body Text Indent"/>
    <w:basedOn w:val="1"/>
    <w:link w:val="90"/>
    <w:qFormat/>
    <w:uiPriority w:val="0"/>
    <w:pPr>
      <w:spacing w:after="120"/>
      <w:ind w:left="420" w:leftChars="200"/>
    </w:pPr>
    <w:rPr>
      <w:rFonts w:ascii="Times New Roman" w:hAnsi="Times New Roman"/>
      <w:kern w:val="0"/>
      <w:sz w:val="20"/>
      <w:szCs w:val="24"/>
    </w:rPr>
  </w:style>
  <w:style w:type="paragraph" w:styleId="21">
    <w:name w:val="Block Text"/>
    <w:basedOn w:val="1"/>
    <w:qFormat/>
    <w:uiPriority w:val="0"/>
    <w:pPr>
      <w:spacing w:line="480" w:lineRule="exact"/>
      <w:ind w:left="-125" w:right="-56" w:firstLine="570"/>
    </w:pPr>
    <w:rPr>
      <w:rFonts w:ascii="等线" w:hAnsi="等线"/>
      <w:sz w:val="28"/>
      <w:szCs w:val="24"/>
    </w:rPr>
  </w:style>
  <w:style w:type="paragraph" w:styleId="22">
    <w:name w:val="toc 5"/>
    <w:basedOn w:val="1"/>
    <w:next w:val="1"/>
    <w:qFormat/>
    <w:uiPriority w:val="39"/>
    <w:pPr>
      <w:ind w:left="840"/>
      <w:jc w:val="left"/>
    </w:pPr>
    <w:rPr>
      <w:rFonts w:cs="Calibri"/>
      <w:sz w:val="18"/>
      <w:szCs w:val="18"/>
    </w:rPr>
  </w:style>
  <w:style w:type="paragraph" w:styleId="23">
    <w:name w:val="toc 3"/>
    <w:basedOn w:val="1"/>
    <w:next w:val="1"/>
    <w:qFormat/>
    <w:uiPriority w:val="39"/>
    <w:pPr>
      <w:ind w:left="420"/>
      <w:jc w:val="left"/>
    </w:pPr>
    <w:rPr>
      <w:rFonts w:cs="Calibri"/>
      <w:i/>
      <w:iCs/>
      <w:sz w:val="20"/>
      <w:szCs w:val="20"/>
    </w:rPr>
  </w:style>
  <w:style w:type="paragraph" w:styleId="24">
    <w:name w:val="Plain Text"/>
    <w:basedOn w:val="1"/>
    <w:link w:val="93"/>
    <w:qFormat/>
    <w:uiPriority w:val="99"/>
    <w:rPr>
      <w:rFonts w:ascii="宋体" w:hAnsi="Courier New"/>
      <w:kern w:val="0"/>
      <w:sz w:val="24"/>
      <w:szCs w:val="20"/>
    </w:rPr>
  </w:style>
  <w:style w:type="paragraph" w:styleId="25">
    <w:name w:val="toc 8"/>
    <w:basedOn w:val="1"/>
    <w:next w:val="1"/>
    <w:qFormat/>
    <w:uiPriority w:val="39"/>
    <w:pPr>
      <w:ind w:left="1470"/>
      <w:jc w:val="left"/>
    </w:pPr>
    <w:rPr>
      <w:rFonts w:cs="Calibri"/>
      <w:sz w:val="18"/>
      <w:szCs w:val="18"/>
    </w:rPr>
  </w:style>
  <w:style w:type="paragraph" w:styleId="26">
    <w:name w:val="Date"/>
    <w:basedOn w:val="1"/>
    <w:next w:val="1"/>
    <w:link w:val="61"/>
    <w:qFormat/>
    <w:uiPriority w:val="99"/>
    <w:rPr>
      <w:rFonts w:ascii="宋体" w:hAnsi="Times New Roman"/>
      <w:kern w:val="0"/>
      <w:sz w:val="20"/>
      <w:szCs w:val="20"/>
    </w:rPr>
  </w:style>
  <w:style w:type="paragraph" w:styleId="27">
    <w:name w:val="Body Text Indent 2"/>
    <w:basedOn w:val="1"/>
    <w:link w:val="101"/>
    <w:qFormat/>
    <w:uiPriority w:val="99"/>
    <w:pPr>
      <w:spacing w:after="120" w:line="480" w:lineRule="auto"/>
      <w:ind w:left="420" w:leftChars="200"/>
    </w:pPr>
    <w:rPr>
      <w:rFonts w:ascii="Times New Roman" w:hAnsi="Times New Roman"/>
      <w:kern w:val="0"/>
      <w:sz w:val="20"/>
      <w:szCs w:val="21"/>
    </w:rPr>
  </w:style>
  <w:style w:type="paragraph" w:styleId="28">
    <w:name w:val="Balloon Text"/>
    <w:basedOn w:val="1"/>
    <w:link w:val="154"/>
    <w:unhideWhenUsed/>
    <w:qFormat/>
    <w:uiPriority w:val="0"/>
    <w:rPr>
      <w:kern w:val="0"/>
      <w:sz w:val="18"/>
      <w:szCs w:val="18"/>
    </w:rPr>
  </w:style>
  <w:style w:type="paragraph" w:styleId="29">
    <w:name w:val="footer"/>
    <w:basedOn w:val="1"/>
    <w:link w:val="216"/>
    <w:unhideWhenUsed/>
    <w:qFormat/>
    <w:uiPriority w:val="0"/>
    <w:pPr>
      <w:tabs>
        <w:tab w:val="center" w:pos="4153"/>
        <w:tab w:val="right" w:pos="8306"/>
      </w:tabs>
      <w:snapToGrid w:val="0"/>
      <w:jc w:val="left"/>
    </w:pPr>
    <w:rPr>
      <w:kern w:val="0"/>
      <w:sz w:val="18"/>
      <w:szCs w:val="18"/>
    </w:rPr>
  </w:style>
  <w:style w:type="paragraph" w:styleId="30">
    <w:name w:val="header"/>
    <w:basedOn w:val="1"/>
    <w:link w:val="235"/>
    <w:unhideWhenUsed/>
    <w:qFormat/>
    <w:uiPriority w:val="0"/>
    <w:pPr>
      <w:pBdr>
        <w:bottom w:val="single" w:color="auto" w:sz="6" w:space="1"/>
      </w:pBdr>
      <w:tabs>
        <w:tab w:val="center" w:pos="4153"/>
        <w:tab w:val="right" w:pos="8306"/>
      </w:tabs>
      <w:snapToGrid w:val="0"/>
      <w:jc w:val="center"/>
    </w:pPr>
    <w:rPr>
      <w:kern w:val="0"/>
      <w:sz w:val="18"/>
      <w:szCs w:val="18"/>
    </w:rPr>
  </w:style>
  <w:style w:type="paragraph" w:styleId="31">
    <w:name w:val="toc 1"/>
    <w:basedOn w:val="1"/>
    <w:next w:val="1"/>
    <w:qFormat/>
    <w:uiPriority w:val="39"/>
    <w:pPr>
      <w:spacing w:before="120" w:after="120" w:line="500" w:lineRule="exact"/>
    </w:pPr>
    <w:rPr>
      <w:rFonts w:ascii="宋体" w:hAnsi="宋体" w:cs="Calibri"/>
      <w:b/>
      <w:bCs/>
      <w:caps/>
      <w:sz w:val="24"/>
      <w:szCs w:val="20"/>
    </w:rPr>
  </w:style>
  <w:style w:type="paragraph" w:styleId="32">
    <w:name w:val="List Continue 4"/>
    <w:basedOn w:val="1"/>
    <w:qFormat/>
    <w:uiPriority w:val="0"/>
    <w:pPr>
      <w:spacing w:after="120"/>
      <w:ind w:left="1680"/>
    </w:pPr>
    <w:rPr>
      <w:rFonts w:ascii="Times New Roman" w:hAnsi="Times New Roman"/>
      <w:szCs w:val="20"/>
    </w:rPr>
  </w:style>
  <w:style w:type="paragraph" w:styleId="33">
    <w:name w:val="toc 4"/>
    <w:basedOn w:val="1"/>
    <w:next w:val="1"/>
    <w:qFormat/>
    <w:uiPriority w:val="39"/>
    <w:pPr>
      <w:ind w:left="630"/>
      <w:jc w:val="left"/>
    </w:pPr>
    <w:rPr>
      <w:rFonts w:cs="Calibri"/>
      <w:sz w:val="18"/>
      <w:szCs w:val="18"/>
    </w:rPr>
  </w:style>
  <w:style w:type="paragraph" w:styleId="34">
    <w:name w:val="index heading"/>
    <w:basedOn w:val="1"/>
    <w:next w:val="35"/>
    <w:qFormat/>
    <w:uiPriority w:val="99"/>
    <w:rPr>
      <w:rFonts w:hint="eastAsia" w:ascii="Cambria" w:hAnsi="Cambria"/>
      <w:b/>
      <w:szCs w:val="24"/>
    </w:rPr>
  </w:style>
  <w:style w:type="paragraph" w:styleId="35">
    <w:name w:val="index 1"/>
    <w:basedOn w:val="1"/>
    <w:next w:val="1"/>
    <w:qFormat/>
    <w:uiPriority w:val="0"/>
    <w:pPr>
      <w:spacing w:line="380" w:lineRule="exact"/>
      <w:jc w:val="center"/>
    </w:pPr>
    <w:rPr>
      <w:rFonts w:ascii="Times New Roman" w:hAnsi="Times New Roman"/>
      <w:szCs w:val="24"/>
    </w:rPr>
  </w:style>
  <w:style w:type="paragraph" w:styleId="36">
    <w:name w:val="Subtitle"/>
    <w:basedOn w:val="1"/>
    <w:next w:val="1"/>
    <w:link w:val="464"/>
    <w:qFormat/>
    <w:uiPriority w:val="11"/>
    <w:pPr>
      <w:jc w:val="center"/>
    </w:pPr>
    <w:rPr>
      <w:rFonts w:ascii="Times New Roman" w:hAnsi="Times New Roman"/>
      <w:bCs/>
      <w:kern w:val="28"/>
      <w:szCs w:val="32"/>
    </w:rPr>
  </w:style>
  <w:style w:type="paragraph" w:styleId="37">
    <w:name w:val="List"/>
    <w:basedOn w:val="1"/>
    <w:unhideWhenUsed/>
    <w:qFormat/>
    <w:uiPriority w:val="99"/>
    <w:pPr>
      <w:ind w:left="200" w:hanging="200" w:hangingChars="200"/>
      <w:contextualSpacing/>
    </w:pPr>
  </w:style>
  <w:style w:type="paragraph" w:styleId="38">
    <w:name w:val="toc 6"/>
    <w:basedOn w:val="1"/>
    <w:next w:val="1"/>
    <w:qFormat/>
    <w:uiPriority w:val="39"/>
    <w:pPr>
      <w:ind w:left="1050"/>
      <w:jc w:val="left"/>
    </w:pPr>
    <w:rPr>
      <w:rFonts w:cs="Calibri"/>
      <w:sz w:val="18"/>
      <w:szCs w:val="18"/>
    </w:rPr>
  </w:style>
  <w:style w:type="paragraph" w:styleId="39">
    <w:name w:val="Body Text Indent 3"/>
    <w:basedOn w:val="1"/>
    <w:link w:val="256"/>
    <w:qFormat/>
    <w:uiPriority w:val="0"/>
    <w:pPr>
      <w:adjustRightInd w:val="0"/>
      <w:snapToGrid w:val="0"/>
      <w:spacing w:line="300" w:lineRule="auto"/>
      <w:ind w:firstLine="538" w:firstLineChars="192"/>
    </w:pPr>
    <w:rPr>
      <w:rFonts w:ascii="宋体" w:hAnsi="Times New Roman"/>
      <w:color w:val="FF0000"/>
      <w:sz w:val="28"/>
      <w:szCs w:val="24"/>
    </w:rPr>
  </w:style>
  <w:style w:type="paragraph" w:styleId="40">
    <w:name w:val="table of figures"/>
    <w:basedOn w:val="1"/>
    <w:next w:val="1"/>
    <w:qFormat/>
    <w:uiPriority w:val="0"/>
    <w:pPr>
      <w:spacing w:line="500" w:lineRule="exact"/>
    </w:pPr>
    <w:rPr>
      <w:rFonts w:ascii="宋体" w:hAnsi="宋体"/>
      <w:spacing w:val="-8"/>
      <w:kern w:val="0"/>
      <w:sz w:val="24"/>
      <w:szCs w:val="21"/>
    </w:rPr>
  </w:style>
  <w:style w:type="paragraph" w:styleId="41">
    <w:name w:val="toc 2"/>
    <w:basedOn w:val="1"/>
    <w:next w:val="1"/>
    <w:qFormat/>
    <w:uiPriority w:val="39"/>
    <w:pPr>
      <w:spacing w:line="500" w:lineRule="exact"/>
      <w:ind w:left="210"/>
    </w:pPr>
    <w:rPr>
      <w:rFonts w:ascii="宋体" w:hAnsi="宋体" w:cs="Calibri"/>
      <w:smallCaps/>
      <w:sz w:val="24"/>
      <w:szCs w:val="20"/>
    </w:rPr>
  </w:style>
  <w:style w:type="paragraph" w:styleId="42">
    <w:name w:val="toc 9"/>
    <w:basedOn w:val="1"/>
    <w:next w:val="1"/>
    <w:qFormat/>
    <w:uiPriority w:val="39"/>
    <w:pPr>
      <w:ind w:left="1680"/>
      <w:jc w:val="left"/>
    </w:pPr>
    <w:rPr>
      <w:rFonts w:cs="Calibri"/>
      <w:sz w:val="18"/>
      <w:szCs w:val="18"/>
    </w:rPr>
  </w:style>
  <w:style w:type="paragraph" w:styleId="43">
    <w:name w:val="Body Text 2"/>
    <w:basedOn w:val="1"/>
    <w:link w:val="188"/>
    <w:unhideWhenUsed/>
    <w:qFormat/>
    <w:uiPriority w:val="99"/>
    <w:pPr>
      <w:spacing w:after="120" w:line="480" w:lineRule="auto"/>
    </w:pPr>
    <w:rPr>
      <w:rFonts w:ascii="Times New Roman" w:hAnsi="Times New Roman"/>
      <w:kern w:val="0"/>
      <w:sz w:val="20"/>
      <w:szCs w:val="21"/>
    </w:rPr>
  </w:style>
  <w:style w:type="paragraph" w:styleId="44">
    <w:name w:val="HTML Preformatted"/>
    <w:basedOn w:val="1"/>
    <w:link w:val="112"/>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Pr>
      <w:rFonts w:ascii="黑体" w:hAnsi="Courier New"/>
      <w:b/>
      <w:bCs/>
      <w:kern w:val="0"/>
      <w:sz w:val="44"/>
      <w:szCs w:val="20"/>
    </w:rPr>
  </w:style>
  <w:style w:type="paragraph" w:styleId="45">
    <w:name w:val="Normal (Web)"/>
    <w:basedOn w:val="1"/>
    <w:link w:val="469"/>
    <w:unhideWhenUsed/>
    <w:qFormat/>
    <w:uiPriority w:val="99"/>
    <w:pPr>
      <w:widowControl/>
      <w:jc w:val="left"/>
    </w:pPr>
    <w:rPr>
      <w:rFonts w:ascii="Times New Roman" w:hAnsi="Times New Roman" w:cs="宋体"/>
      <w:kern w:val="0"/>
      <w:sz w:val="24"/>
      <w:szCs w:val="24"/>
    </w:rPr>
  </w:style>
  <w:style w:type="paragraph" w:styleId="46">
    <w:name w:val="index 2"/>
    <w:basedOn w:val="1"/>
    <w:next w:val="1"/>
    <w:qFormat/>
    <w:uiPriority w:val="0"/>
    <w:pPr>
      <w:ind w:left="200" w:leftChars="200"/>
    </w:pPr>
    <w:rPr>
      <w:rFonts w:ascii="Times New Roman" w:hAnsi="Times New Roman"/>
      <w:szCs w:val="24"/>
    </w:rPr>
  </w:style>
  <w:style w:type="paragraph" w:styleId="47">
    <w:name w:val="Title"/>
    <w:basedOn w:val="1"/>
    <w:link w:val="103"/>
    <w:qFormat/>
    <w:uiPriority w:val="99"/>
    <w:pPr>
      <w:spacing w:before="240" w:after="60"/>
      <w:jc w:val="center"/>
      <w:outlineLvl w:val="0"/>
    </w:pPr>
    <w:rPr>
      <w:rFonts w:ascii="Arial" w:hAnsi="Arial"/>
      <w:b/>
      <w:bCs/>
      <w:kern w:val="0"/>
      <w:sz w:val="32"/>
      <w:szCs w:val="32"/>
    </w:rPr>
  </w:style>
  <w:style w:type="paragraph" w:styleId="48">
    <w:name w:val="annotation subject"/>
    <w:basedOn w:val="17"/>
    <w:next w:val="17"/>
    <w:link w:val="249"/>
    <w:qFormat/>
    <w:uiPriority w:val="99"/>
    <w:rPr>
      <w:rFonts w:ascii="Times New Roman" w:hAnsi="Times New Roman"/>
      <w:b/>
      <w:bCs/>
      <w:kern w:val="0"/>
      <w:sz w:val="20"/>
      <w:szCs w:val="21"/>
    </w:rPr>
  </w:style>
  <w:style w:type="paragraph" w:styleId="49">
    <w:name w:val="Body Text First Indent"/>
    <w:basedOn w:val="19"/>
    <w:link w:val="234"/>
    <w:qFormat/>
    <w:uiPriority w:val="0"/>
    <w:pPr>
      <w:widowControl/>
      <w:ind w:firstLine="420" w:firstLineChars="100"/>
      <w:jc w:val="left"/>
    </w:pPr>
    <w:rPr>
      <w:rFonts w:ascii="宋体" w:hAnsi="宋体"/>
      <w:kern w:val="0"/>
      <w:sz w:val="24"/>
      <w:szCs w:val="24"/>
    </w:rPr>
  </w:style>
  <w:style w:type="paragraph" w:styleId="50">
    <w:name w:val="Body Text First Indent 2"/>
    <w:basedOn w:val="20"/>
    <w:link w:val="228"/>
    <w:qFormat/>
    <w:uiPriority w:val="99"/>
    <w:pPr>
      <w:ind w:firstLine="420" w:firstLineChars="200"/>
    </w:pPr>
  </w:style>
  <w:style w:type="table" w:styleId="52">
    <w:name w:val="Table Grid"/>
    <w:basedOn w:val="51"/>
    <w:qFormat/>
    <w:uiPriority w:val="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53">
    <w:name w:val="Table Theme"/>
    <w:basedOn w:val="51"/>
    <w:qFormat/>
    <w:uiPriority w:val="0"/>
    <w:pPr>
      <w:widowControl w:val="0"/>
      <w:jc w:val="both"/>
    </w:pPr>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55">
    <w:name w:val="Strong"/>
    <w:qFormat/>
    <w:uiPriority w:val="22"/>
    <w:rPr>
      <w:b/>
      <w:bCs/>
    </w:rPr>
  </w:style>
  <w:style w:type="character" w:styleId="56">
    <w:name w:val="page number"/>
    <w:qFormat/>
    <w:uiPriority w:val="0"/>
  </w:style>
  <w:style w:type="character" w:styleId="57">
    <w:name w:val="FollowedHyperlink"/>
    <w:unhideWhenUsed/>
    <w:qFormat/>
    <w:uiPriority w:val="99"/>
    <w:rPr>
      <w:color w:val="800080"/>
      <w:u w:val="single"/>
    </w:rPr>
  </w:style>
  <w:style w:type="character" w:styleId="58">
    <w:name w:val="Emphasis"/>
    <w:qFormat/>
    <w:uiPriority w:val="20"/>
    <w:rPr>
      <w:i/>
      <w:iCs/>
    </w:rPr>
  </w:style>
  <w:style w:type="character" w:styleId="59">
    <w:name w:val="Hyperlink"/>
    <w:qFormat/>
    <w:uiPriority w:val="99"/>
    <w:rPr>
      <w:color w:val="0000FF"/>
      <w:u w:val="single"/>
    </w:rPr>
  </w:style>
  <w:style w:type="character" w:styleId="60">
    <w:name w:val="annotation reference"/>
    <w:qFormat/>
    <w:uiPriority w:val="0"/>
    <w:rPr>
      <w:sz w:val="21"/>
      <w:szCs w:val="21"/>
    </w:rPr>
  </w:style>
  <w:style w:type="character" w:customStyle="1" w:styleId="61">
    <w:name w:val="日期 字符"/>
    <w:link w:val="26"/>
    <w:qFormat/>
    <w:uiPriority w:val="99"/>
    <w:rPr>
      <w:rFonts w:ascii="宋体" w:hAnsi="Times New Roman" w:eastAsia="宋体" w:cs="Times New Roman"/>
      <w:szCs w:val="20"/>
    </w:rPr>
  </w:style>
  <w:style w:type="character" w:customStyle="1" w:styleId="62">
    <w:name w:val="标题 7 Char2"/>
    <w:qFormat/>
    <w:uiPriority w:val="9"/>
    <w:rPr>
      <w:rFonts w:ascii="Times New Roman" w:hAnsi="Times New Roman" w:eastAsia="宋体" w:cs="Times New Roman"/>
      <w:b/>
      <w:bCs/>
      <w:kern w:val="0"/>
      <w:sz w:val="24"/>
      <w:szCs w:val="24"/>
    </w:rPr>
  </w:style>
  <w:style w:type="character" w:customStyle="1" w:styleId="63">
    <w:name w:val="样式 正文首行缩进 + 华文中宋 小四 Char"/>
    <w:link w:val="64"/>
    <w:qFormat/>
    <w:uiPriority w:val="0"/>
    <w:rPr>
      <w:rFonts w:ascii="华文中宋" w:hAnsi="华文中宋" w:eastAsia="华文中宋"/>
      <w:kern w:val="2"/>
      <w:sz w:val="24"/>
      <w:szCs w:val="24"/>
    </w:rPr>
  </w:style>
  <w:style w:type="paragraph" w:customStyle="1" w:styleId="64">
    <w:name w:val="样式 正文首行缩进 + 华文中宋 小四"/>
    <w:basedOn w:val="49"/>
    <w:link w:val="63"/>
    <w:qFormat/>
    <w:uiPriority w:val="0"/>
    <w:pPr>
      <w:widowControl w:val="0"/>
      <w:spacing w:after="0" w:line="300" w:lineRule="auto"/>
      <w:ind w:firstLine="200" w:firstLineChars="200"/>
      <w:jc w:val="distribute"/>
    </w:pPr>
    <w:rPr>
      <w:rFonts w:ascii="华文中宋" w:hAnsi="华文中宋" w:eastAsia="华文中宋"/>
      <w:kern w:val="2"/>
    </w:rPr>
  </w:style>
  <w:style w:type="character" w:customStyle="1" w:styleId="65">
    <w:name w:val="页脚 Char"/>
    <w:qFormat/>
    <w:uiPriority w:val="99"/>
    <w:rPr>
      <w:kern w:val="2"/>
      <w:sz w:val="18"/>
      <w:szCs w:val="18"/>
    </w:rPr>
  </w:style>
  <w:style w:type="character" w:customStyle="1" w:styleId="66">
    <w:name w:val="标题 1 Char Char Char"/>
    <w:qFormat/>
    <w:uiPriority w:val="0"/>
    <w:rPr>
      <w:rFonts w:ascii="宋体" w:hAnsi="宋体"/>
      <w:bCs/>
      <w:sz w:val="28"/>
    </w:rPr>
  </w:style>
  <w:style w:type="character" w:customStyle="1" w:styleId="67">
    <w:name w:val="正文首行缩进 Char1"/>
    <w:qFormat/>
    <w:uiPriority w:val="99"/>
    <w:rPr>
      <w:rFonts w:ascii="宋体" w:hAnsi="宋体" w:eastAsia="宋体" w:cs="Times New Roman"/>
      <w:kern w:val="0"/>
      <w:sz w:val="24"/>
      <w:szCs w:val="24"/>
    </w:rPr>
  </w:style>
  <w:style w:type="character" w:customStyle="1" w:styleId="68">
    <w:name w:val="日期 Char"/>
    <w:qFormat/>
    <w:uiPriority w:val="99"/>
    <w:rPr>
      <w:rFonts w:ascii="宋体" w:hAnsi="Times New Roman" w:eastAsia="宋体" w:cs="Times New Roman"/>
      <w:szCs w:val="20"/>
    </w:rPr>
  </w:style>
  <w:style w:type="character" w:customStyle="1" w:styleId="69">
    <w:name w:val="引用 Char"/>
    <w:qFormat/>
    <w:uiPriority w:val="29"/>
    <w:rPr>
      <w:rFonts w:eastAsia="宋体" w:cs="Times New Roman"/>
      <w:i/>
      <w:iCs/>
      <w:color w:val="404040"/>
      <w:kern w:val="2"/>
      <w:sz w:val="24"/>
      <w:szCs w:val="22"/>
    </w:rPr>
  </w:style>
  <w:style w:type="character" w:customStyle="1" w:styleId="70">
    <w:name w:val="批注框文本 Char"/>
    <w:qFormat/>
    <w:uiPriority w:val="99"/>
    <w:rPr>
      <w:kern w:val="2"/>
      <w:sz w:val="18"/>
      <w:szCs w:val="18"/>
    </w:rPr>
  </w:style>
  <w:style w:type="character" w:customStyle="1" w:styleId="71">
    <w:name w:val="公示正文 字符"/>
    <w:link w:val="72"/>
    <w:qFormat/>
    <w:uiPriority w:val="0"/>
    <w:rPr>
      <w:rFonts w:ascii="宋体" w:hAnsi="宋体" w:eastAsia="宋体" w:cs="黑体"/>
      <w:kern w:val="0"/>
      <w:sz w:val="24"/>
      <w:szCs w:val="30"/>
    </w:rPr>
  </w:style>
  <w:style w:type="paragraph" w:customStyle="1" w:styleId="72">
    <w:name w:val="公示正文"/>
    <w:basedOn w:val="1"/>
    <w:link w:val="71"/>
    <w:qFormat/>
    <w:uiPriority w:val="0"/>
    <w:pPr>
      <w:adjustRightInd w:val="0"/>
      <w:snapToGrid w:val="0"/>
      <w:spacing w:line="400" w:lineRule="exact"/>
      <w:ind w:firstLine="200" w:firstLineChars="200"/>
    </w:pPr>
    <w:rPr>
      <w:rFonts w:ascii="宋体" w:hAnsi="宋体"/>
      <w:kern w:val="0"/>
      <w:sz w:val="24"/>
      <w:szCs w:val="30"/>
    </w:rPr>
  </w:style>
  <w:style w:type="character" w:customStyle="1" w:styleId="73">
    <w:name w:val="表头 Char"/>
    <w:link w:val="74"/>
    <w:qFormat/>
    <w:uiPriority w:val="0"/>
    <w:rPr>
      <w:rFonts w:ascii="Arial" w:hAnsi="Arial" w:eastAsia="黑体" w:cs="Arial"/>
      <w:szCs w:val="21"/>
    </w:rPr>
  </w:style>
  <w:style w:type="paragraph" w:customStyle="1" w:styleId="74">
    <w:name w:val="表头"/>
    <w:basedOn w:val="1"/>
    <w:next w:val="1"/>
    <w:link w:val="73"/>
    <w:qFormat/>
    <w:uiPriority w:val="0"/>
    <w:pPr>
      <w:widowControl/>
      <w:spacing w:beforeLines="25" w:after="100" w:afterAutospacing="1"/>
      <w:jc w:val="center"/>
    </w:pPr>
    <w:rPr>
      <w:rFonts w:ascii="Arial" w:hAnsi="Arial" w:eastAsia="黑体"/>
      <w:kern w:val="0"/>
      <w:sz w:val="20"/>
      <w:szCs w:val="21"/>
    </w:rPr>
  </w:style>
  <w:style w:type="character" w:customStyle="1" w:styleId="75">
    <w:name w:val="批注主题 Char"/>
    <w:qFormat/>
    <w:uiPriority w:val="0"/>
    <w:rPr>
      <w:rFonts w:ascii="Times New Roman" w:hAnsi="Times New Roman" w:eastAsia="宋体" w:cs="Times New Roman"/>
      <w:szCs w:val="21"/>
    </w:rPr>
  </w:style>
  <w:style w:type="character" w:customStyle="1" w:styleId="76">
    <w:name w:val="标题 5 字符1"/>
    <w:link w:val="6"/>
    <w:qFormat/>
    <w:uiPriority w:val="9"/>
    <w:rPr>
      <w:rFonts w:ascii="Times New Roman" w:hAnsi="Times New Roman" w:eastAsia="宋体" w:cs="Times New Roman"/>
      <w:b/>
      <w:bCs/>
      <w:kern w:val="0"/>
      <w:sz w:val="28"/>
      <w:szCs w:val="28"/>
    </w:rPr>
  </w:style>
  <w:style w:type="character" w:customStyle="1" w:styleId="77">
    <w:name w:val="缩进 Char"/>
    <w:link w:val="78"/>
    <w:qFormat/>
    <w:uiPriority w:val="0"/>
    <w:rPr>
      <w:sz w:val="24"/>
      <w:szCs w:val="24"/>
    </w:rPr>
  </w:style>
  <w:style w:type="paragraph" w:customStyle="1" w:styleId="78">
    <w:name w:val="缩进"/>
    <w:basedOn w:val="1"/>
    <w:link w:val="77"/>
    <w:qFormat/>
    <w:uiPriority w:val="0"/>
    <w:pPr>
      <w:spacing w:line="360" w:lineRule="auto"/>
      <w:ind w:firstLine="200" w:firstLineChars="200"/>
    </w:pPr>
    <w:rPr>
      <w:kern w:val="0"/>
      <w:sz w:val="24"/>
      <w:szCs w:val="24"/>
    </w:rPr>
  </w:style>
  <w:style w:type="character" w:customStyle="1" w:styleId="79">
    <w:name w:val="二级标题-书 Char"/>
    <w:link w:val="80"/>
    <w:qFormat/>
    <w:uiPriority w:val="0"/>
    <w:rPr>
      <w:rFonts w:ascii="Times New Roman" w:hAnsi="Times New Roman" w:eastAsia="宋体" w:cs="Times New Roman"/>
      <w:b/>
      <w:kern w:val="0"/>
      <w:sz w:val="30"/>
      <w:szCs w:val="20"/>
    </w:rPr>
  </w:style>
  <w:style w:type="paragraph" w:customStyle="1" w:styleId="80">
    <w:name w:val="二级标题-书"/>
    <w:basedOn w:val="1"/>
    <w:link w:val="79"/>
    <w:qFormat/>
    <w:uiPriority w:val="0"/>
    <w:pPr>
      <w:keepNext/>
      <w:widowControl/>
      <w:spacing w:before="260" w:after="260" w:line="415" w:lineRule="auto"/>
      <w:jc w:val="left"/>
      <w:outlineLvl w:val="1"/>
    </w:pPr>
    <w:rPr>
      <w:rFonts w:ascii="Times New Roman" w:hAnsi="Times New Roman"/>
      <w:b/>
      <w:kern w:val="0"/>
      <w:sz w:val="30"/>
      <w:szCs w:val="20"/>
    </w:rPr>
  </w:style>
  <w:style w:type="character" w:customStyle="1" w:styleId="81">
    <w:name w:val="标题 6 Char"/>
    <w:qFormat/>
    <w:uiPriority w:val="9"/>
    <w:rPr>
      <w:rFonts w:ascii="Cambria" w:hAnsi="Cambria" w:eastAsia="宋体" w:cs="Times New Roman"/>
      <w:b/>
      <w:bCs/>
      <w:kern w:val="2"/>
      <w:sz w:val="24"/>
      <w:szCs w:val="24"/>
    </w:rPr>
  </w:style>
  <w:style w:type="character" w:customStyle="1" w:styleId="82">
    <w:name w:val="00正文 Char Char"/>
    <w:link w:val="83"/>
    <w:qFormat/>
    <w:uiPriority w:val="0"/>
    <w:rPr>
      <w:rFonts w:ascii="Arial" w:hAnsi="宋体" w:eastAsia="Arial" w:cs="Arial"/>
      <w:bCs/>
      <w:kern w:val="2"/>
      <w:sz w:val="24"/>
      <w:szCs w:val="24"/>
      <w:lang w:val="en-US" w:eastAsia="zh-CN" w:bidi="ar-SA"/>
    </w:rPr>
  </w:style>
  <w:style w:type="paragraph" w:customStyle="1" w:styleId="83">
    <w:name w:val="00正文"/>
    <w:link w:val="82"/>
    <w:qFormat/>
    <w:uiPriority w:val="0"/>
    <w:pPr>
      <w:spacing w:line="360" w:lineRule="auto"/>
      <w:ind w:firstLine="480" w:firstLineChars="200"/>
      <w:jc w:val="both"/>
    </w:pPr>
    <w:rPr>
      <w:rFonts w:ascii="Arial" w:hAnsi="宋体" w:eastAsia="Arial" w:cs="Arial"/>
      <w:bCs/>
      <w:kern w:val="2"/>
      <w:sz w:val="24"/>
      <w:szCs w:val="24"/>
      <w:lang w:val="en-US" w:eastAsia="zh-CN" w:bidi="ar-SA"/>
    </w:rPr>
  </w:style>
  <w:style w:type="character" w:customStyle="1" w:styleId="84">
    <w:name w:val="标题 8 字符"/>
    <w:link w:val="9"/>
    <w:qFormat/>
    <w:uiPriority w:val="99"/>
    <w:rPr>
      <w:rFonts w:ascii="Arial" w:hAnsi="Arial" w:eastAsia="黑体" w:cs="Times New Roman"/>
      <w:sz w:val="24"/>
      <w:szCs w:val="24"/>
    </w:rPr>
  </w:style>
  <w:style w:type="character" w:customStyle="1" w:styleId="85">
    <w:name w:val="标题 4 Char32"/>
    <w:qFormat/>
    <w:uiPriority w:val="0"/>
    <w:rPr>
      <w:rFonts w:hint="default" w:ascii="Arial" w:hAnsi="Arial" w:eastAsia="黑体" w:cs="Arial"/>
      <w:b/>
      <w:kern w:val="2"/>
      <w:sz w:val="28"/>
      <w:szCs w:val="28"/>
    </w:rPr>
  </w:style>
  <w:style w:type="character" w:customStyle="1" w:styleId="86">
    <w:name w:val="标题 3 Char1"/>
    <w:qFormat/>
    <w:uiPriority w:val="9"/>
    <w:rPr>
      <w:rFonts w:ascii="黑体" w:hAnsi="黑体" w:eastAsia="黑体"/>
      <w:kern w:val="2"/>
      <w:sz w:val="24"/>
      <w:szCs w:val="21"/>
    </w:rPr>
  </w:style>
  <w:style w:type="character" w:customStyle="1" w:styleId="87">
    <w:name w:val="标题 7 字符"/>
    <w:semiHidden/>
    <w:qFormat/>
    <w:uiPriority w:val="9"/>
    <w:rPr>
      <w:b/>
      <w:bCs/>
      <w:sz w:val="24"/>
      <w:szCs w:val="24"/>
    </w:rPr>
  </w:style>
  <w:style w:type="character" w:customStyle="1" w:styleId="88">
    <w:name w:val="正文 楷体 Char"/>
    <w:link w:val="89"/>
    <w:qFormat/>
    <w:uiPriority w:val="0"/>
    <w:rPr>
      <w:rFonts w:ascii="楷体_GB2312" w:hAnsi="楷体_GB2312" w:eastAsia="楷体_GB2312"/>
      <w:sz w:val="24"/>
      <w:szCs w:val="24"/>
    </w:rPr>
  </w:style>
  <w:style w:type="paragraph" w:customStyle="1" w:styleId="89">
    <w:name w:val="正文 楷体"/>
    <w:basedOn w:val="1"/>
    <w:link w:val="88"/>
    <w:qFormat/>
    <w:uiPriority w:val="0"/>
    <w:pPr>
      <w:spacing w:line="500" w:lineRule="exact"/>
      <w:ind w:firstLine="200" w:firstLineChars="200"/>
    </w:pPr>
    <w:rPr>
      <w:rFonts w:ascii="楷体_GB2312" w:hAnsi="楷体_GB2312" w:eastAsia="楷体_GB2312"/>
      <w:kern w:val="0"/>
      <w:sz w:val="24"/>
      <w:szCs w:val="24"/>
    </w:rPr>
  </w:style>
  <w:style w:type="character" w:customStyle="1" w:styleId="90">
    <w:name w:val="正文文本缩进 字符1"/>
    <w:link w:val="20"/>
    <w:qFormat/>
    <w:uiPriority w:val="99"/>
    <w:rPr>
      <w:rFonts w:ascii="Times New Roman" w:hAnsi="Times New Roman" w:eastAsia="宋体" w:cs="Times New Roman"/>
      <w:kern w:val="0"/>
      <w:sz w:val="20"/>
      <w:szCs w:val="24"/>
    </w:rPr>
  </w:style>
  <w:style w:type="character" w:customStyle="1" w:styleId="91">
    <w:name w:val="标题 2 字符1"/>
    <w:qFormat/>
    <w:uiPriority w:val="9"/>
    <w:rPr>
      <w:rFonts w:ascii="宋体" w:hAnsi="宋体" w:eastAsia="黑体" w:cs="Times New Roman"/>
      <w:b/>
      <w:color w:val="000000"/>
      <w:kern w:val="10"/>
      <w:sz w:val="28"/>
      <w:szCs w:val="24"/>
      <w:lang w:val="zh-CN" w:eastAsia="zh-CN"/>
    </w:rPr>
  </w:style>
  <w:style w:type="character" w:customStyle="1" w:styleId="92">
    <w:name w:val="页脚 Char2"/>
    <w:qFormat/>
    <w:uiPriority w:val="99"/>
    <w:rPr>
      <w:sz w:val="18"/>
      <w:szCs w:val="18"/>
    </w:rPr>
  </w:style>
  <w:style w:type="character" w:customStyle="1" w:styleId="93">
    <w:name w:val="纯文本 字符1"/>
    <w:link w:val="24"/>
    <w:qFormat/>
    <w:uiPriority w:val="99"/>
    <w:rPr>
      <w:rFonts w:ascii="宋体" w:hAnsi="Courier New" w:eastAsia="宋体" w:cs="Times New Roman"/>
      <w:kern w:val="0"/>
      <w:sz w:val="24"/>
      <w:szCs w:val="20"/>
    </w:rPr>
  </w:style>
  <w:style w:type="character" w:customStyle="1" w:styleId="94">
    <w:name w:val="标题 3 Char"/>
    <w:qFormat/>
    <w:uiPriority w:val="9"/>
    <w:rPr>
      <w:rFonts w:eastAsia="黑体"/>
      <w:b/>
      <w:bCs/>
      <w:kern w:val="2"/>
      <w:sz w:val="24"/>
      <w:szCs w:val="32"/>
    </w:rPr>
  </w:style>
  <w:style w:type="character" w:customStyle="1" w:styleId="95">
    <w:name w:val="标题 4 Char5"/>
    <w:qFormat/>
    <w:uiPriority w:val="0"/>
    <w:rPr>
      <w:rFonts w:ascii="Arial" w:hAnsi="Arial" w:eastAsia="黑体" w:cs="Times New Roman"/>
      <w:b/>
      <w:bCs/>
      <w:kern w:val="0"/>
      <w:sz w:val="28"/>
      <w:szCs w:val="28"/>
      <w:lang w:val="zh-CN"/>
    </w:rPr>
  </w:style>
  <w:style w:type="character" w:customStyle="1" w:styleId="96">
    <w:name w:val="自标3 Char Char"/>
    <w:link w:val="97"/>
    <w:qFormat/>
    <w:uiPriority w:val="0"/>
    <w:rPr>
      <w:rFonts w:eastAsia="黑体"/>
      <w:b/>
      <w:bCs/>
      <w:sz w:val="24"/>
      <w:szCs w:val="21"/>
    </w:rPr>
  </w:style>
  <w:style w:type="paragraph" w:customStyle="1" w:styleId="97">
    <w:name w:val="自标3"/>
    <w:basedOn w:val="4"/>
    <w:link w:val="96"/>
    <w:qFormat/>
    <w:uiPriority w:val="0"/>
    <w:pPr>
      <w:keepNext/>
      <w:keepLines/>
      <w:numPr>
        <w:ilvl w:val="0"/>
        <w:numId w:val="0"/>
      </w:numPr>
      <w:spacing w:before="0" w:after="0"/>
      <w:jc w:val="both"/>
    </w:pPr>
    <w:rPr>
      <w:rFonts w:ascii="等线" w:hAnsi="等线"/>
      <w:b/>
      <w:bCs/>
      <w:kern w:val="0"/>
    </w:rPr>
  </w:style>
  <w:style w:type="character" w:customStyle="1" w:styleId="98">
    <w:name w:val="正文首行缩进 2 Char1"/>
    <w:qFormat/>
    <w:uiPriority w:val="0"/>
    <w:rPr>
      <w:szCs w:val="24"/>
    </w:rPr>
  </w:style>
  <w:style w:type="character" w:customStyle="1" w:styleId="99">
    <w:name w:val="标题 9 Char"/>
    <w:qFormat/>
    <w:uiPriority w:val="99"/>
    <w:rPr>
      <w:rFonts w:ascii="Arial" w:hAnsi="Arial" w:eastAsia="黑体" w:cs="Times New Roman"/>
      <w:szCs w:val="21"/>
    </w:rPr>
  </w:style>
  <w:style w:type="character" w:customStyle="1" w:styleId="100">
    <w:name w:val="纯文本 Char"/>
    <w:qFormat/>
    <w:uiPriority w:val="0"/>
    <w:rPr>
      <w:rFonts w:hint="eastAsia" w:ascii="宋体" w:hAnsi="Courier New" w:eastAsia="宋体" w:cs="宋体"/>
      <w:sz w:val="24"/>
    </w:rPr>
  </w:style>
  <w:style w:type="character" w:customStyle="1" w:styleId="101">
    <w:name w:val="正文文本缩进 2 字符1"/>
    <w:link w:val="27"/>
    <w:qFormat/>
    <w:uiPriority w:val="99"/>
    <w:rPr>
      <w:rFonts w:ascii="Times New Roman" w:hAnsi="Times New Roman" w:eastAsia="宋体" w:cs="Times New Roman"/>
      <w:kern w:val="0"/>
      <w:sz w:val="20"/>
      <w:szCs w:val="21"/>
    </w:rPr>
  </w:style>
  <w:style w:type="character" w:customStyle="1" w:styleId="102">
    <w:name w:val="font01"/>
    <w:qFormat/>
    <w:uiPriority w:val="0"/>
    <w:rPr>
      <w:rFonts w:hint="eastAsia" w:ascii="宋体" w:hAnsi="宋体" w:eastAsia="宋体" w:cs="宋体"/>
      <w:color w:val="000000"/>
      <w:sz w:val="21"/>
      <w:szCs w:val="21"/>
      <w:u w:val="none"/>
    </w:rPr>
  </w:style>
  <w:style w:type="character" w:customStyle="1" w:styleId="103">
    <w:name w:val="标题 字符"/>
    <w:link w:val="47"/>
    <w:qFormat/>
    <w:uiPriority w:val="99"/>
    <w:rPr>
      <w:rFonts w:ascii="Arial" w:hAnsi="Arial" w:eastAsia="宋体" w:cs="Times New Roman"/>
      <w:b/>
      <w:bCs/>
      <w:sz w:val="32"/>
      <w:szCs w:val="32"/>
    </w:rPr>
  </w:style>
  <w:style w:type="character" w:customStyle="1" w:styleId="104">
    <w:name w:val="正文的 Char"/>
    <w:link w:val="105"/>
    <w:qFormat/>
    <w:uiPriority w:val="0"/>
    <w:rPr>
      <w:rFonts w:ascii="宋体" w:hAnsi="宋体"/>
      <w:snapToGrid/>
      <w:sz w:val="24"/>
      <w:szCs w:val="24"/>
    </w:rPr>
  </w:style>
  <w:style w:type="paragraph" w:customStyle="1" w:styleId="105">
    <w:name w:val="正文的"/>
    <w:basedOn w:val="1"/>
    <w:link w:val="104"/>
    <w:qFormat/>
    <w:uiPriority w:val="0"/>
    <w:pPr>
      <w:adjustRightInd w:val="0"/>
      <w:snapToGrid w:val="0"/>
      <w:spacing w:line="360" w:lineRule="auto"/>
      <w:ind w:firstLine="480" w:firstLineChars="200"/>
    </w:pPr>
    <w:rPr>
      <w:rFonts w:ascii="宋体" w:hAnsi="宋体"/>
      <w:kern w:val="0"/>
      <w:sz w:val="24"/>
      <w:szCs w:val="24"/>
    </w:rPr>
  </w:style>
  <w:style w:type="character" w:customStyle="1" w:styleId="106">
    <w:name w:val="页脚 Char1"/>
    <w:qFormat/>
    <w:uiPriority w:val="99"/>
    <w:rPr>
      <w:sz w:val="18"/>
      <w:szCs w:val="18"/>
    </w:rPr>
  </w:style>
  <w:style w:type="character" w:customStyle="1" w:styleId="107">
    <w:name w:val="批注主题 Char1"/>
    <w:qFormat/>
    <w:uiPriority w:val="0"/>
    <w:rPr>
      <w:rFonts w:ascii="Calibri" w:hAnsi="Calibri"/>
      <w:b/>
      <w:bCs/>
      <w:szCs w:val="21"/>
    </w:rPr>
  </w:style>
  <w:style w:type="character" w:customStyle="1" w:styleId="108">
    <w:name w:val="YJ题注 Char"/>
    <w:link w:val="109"/>
    <w:qFormat/>
    <w:uiPriority w:val="0"/>
    <w:rPr>
      <w:rFonts w:ascii="黑体" w:hAnsi="黑体" w:eastAsia="黑体"/>
      <w:b/>
      <w:kern w:val="2"/>
      <w:sz w:val="21"/>
      <w:szCs w:val="22"/>
    </w:rPr>
  </w:style>
  <w:style w:type="paragraph" w:customStyle="1" w:styleId="109">
    <w:name w:val="YJ题注"/>
    <w:basedOn w:val="15"/>
    <w:link w:val="108"/>
    <w:qFormat/>
    <w:uiPriority w:val="0"/>
    <w:pPr>
      <w:spacing w:line="520" w:lineRule="exact"/>
    </w:pPr>
    <w:rPr>
      <w:rFonts w:ascii="黑体" w:hAnsi="黑体"/>
      <w:szCs w:val="22"/>
    </w:rPr>
  </w:style>
  <w:style w:type="character" w:customStyle="1" w:styleId="110">
    <w:name w:val="批注框文本 Char2"/>
    <w:qFormat/>
    <w:uiPriority w:val="99"/>
    <w:rPr>
      <w:rFonts w:ascii="Times New Roman" w:hAnsi="Times New Roman" w:eastAsia="宋体" w:cs="Times New Roman"/>
      <w:kern w:val="0"/>
      <w:sz w:val="18"/>
      <w:szCs w:val="18"/>
    </w:rPr>
  </w:style>
  <w:style w:type="character" w:customStyle="1" w:styleId="111">
    <w:name w:val="正文文本缩进 3 字符"/>
    <w:semiHidden/>
    <w:qFormat/>
    <w:uiPriority w:val="99"/>
    <w:rPr>
      <w:kern w:val="2"/>
      <w:sz w:val="16"/>
      <w:szCs w:val="16"/>
    </w:rPr>
  </w:style>
  <w:style w:type="character" w:customStyle="1" w:styleId="112">
    <w:name w:val="HTML 预设格式 字符1"/>
    <w:link w:val="44"/>
    <w:qFormat/>
    <w:uiPriority w:val="0"/>
    <w:rPr>
      <w:rFonts w:ascii="黑体" w:hAnsi="Courier New" w:eastAsia="宋体" w:cs="Courier New"/>
      <w:b/>
      <w:bCs/>
      <w:sz w:val="44"/>
    </w:rPr>
  </w:style>
  <w:style w:type="character" w:customStyle="1" w:styleId="113">
    <w:name w:val="明显引用 字符1"/>
    <w:link w:val="114"/>
    <w:qFormat/>
    <w:uiPriority w:val="30"/>
    <w:rPr>
      <w:rFonts w:ascii="Times New Roman" w:hAnsi="Times New Roman" w:eastAsia="宋体" w:cs="Times New Roman"/>
      <w:i/>
      <w:iCs/>
      <w:color w:val="4F81BD"/>
      <w:sz w:val="24"/>
    </w:rPr>
  </w:style>
  <w:style w:type="paragraph" w:customStyle="1" w:styleId="114">
    <w:name w:val="明显引用2"/>
    <w:basedOn w:val="1"/>
    <w:next w:val="1"/>
    <w:link w:val="113"/>
    <w:qFormat/>
    <w:uiPriority w:val="30"/>
    <w:pPr>
      <w:pBdr>
        <w:top w:val="single" w:color="4F81BD" w:sz="4" w:space="10"/>
        <w:bottom w:val="single" w:color="4F81BD" w:sz="4" w:space="10"/>
      </w:pBdr>
      <w:spacing w:before="360" w:after="360" w:line="500" w:lineRule="exact"/>
      <w:ind w:left="864" w:right="864" w:firstLine="200" w:firstLineChars="200"/>
      <w:jc w:val="center"/>
    </w:pPr>
    <w:rPr>
      <w:rFonts w:ascii="Times New Roman" w:hAnsi="Times New Roman"/>
      <w:i/>
      <w:iCs/>
      <w:color w:val="4F81BD"/>
      <w:kern w:val="0"/>
      <w:sz w:val="24"/>
      <w:szCs w:val="20"/>
    </w:rPr>
  </w:style>
  <w:style w:type="character" w:customStyle="1" w:styleId="115">
    <w:name w:val="MTDisplayEquation 字符"/>
    <w:link w:val="116"/>
    <w:qFormat/>
    <w:uiPriority w:val="0"/>
    <w:rPr>
      <w:rFonts w:ascii="Arial" w:hAnsi="Arial" w:eastAsia="宋体" w:cs="Times New Roman"/>
      <w:snapToGrid/>
      <w:spacing w:val="1"/>
      <w:position w:val="-3"/>
      <w:sz w:val="24"/>
      <w:szCs w:val="24"/>
      <w:lang w:val="zh-CN"/>
    </w:rPr>
  </w:style>
  <w:style w:type="paragraph" w:customStyle="1" w:styleId="116">
    <w:name w:val="MTDisplayEquation"/>
    <w:basedOn w:val="117"/>
    <w:next w:val="1"/>
    <w:link w:val="115"/>
    <w:qFormat/>
    <w:uiPriority w:val="0"/>
    <w:pPr>
      <w:tabs>
        <w:tab w:val="center" w:pos="4360"/>
        <w:tab w:val="right" w:pos="8720"/>
      </w:tabs>
      <w:ind w:firstLine="484"/>
      <w:jc w:val="center"/>
    </w:pPr>
    <w:rPr>
      <w:rFonts w:ascii="Arial" w:hAnsi="Arial"/>
      <w:spacing w:val="1"/>
      <w:kern w:val="0"/>
      <w:position w:val="-3"/>
      <w:lang w:val="zh-CN"/>
    </w:rPr>
  </w:style>
  <w:style w:type="paragraph" w:customStyle="1" w:styleId="117">
    <w:name w:val="YJ正文*"/>
    <w:basedOn w:val="1"/>
    <w:link w:val="233"/>
    <w:qFormat/>
    <w:uiPriority w:val="0"/>
    <w:pPr>
      <w:spacing w:line="500" w:lineRule="exact"/>
      <w:ind w:firstLine="200" w:firstLineChars="200"/>
    </w:pPr>
    <w:rPr>
      <w:rFonts w:ascii="宋体" w:hAnsi="宋体"/>
      <w:sz w:val="24"/>
      <w:szCs w:val="24"/>
    </w:rPr>
  </w:style>
  <w:style w:type="character" w:customStyle="1" w:styleId="118">
    <w:name w:val="标题 7 字符1"/>
    <w:link w:val="8"/>
    <w:qFormat/>
    <w:uiPriority w:val="9"/>
    <w:rPr>
      <w:rFonts w:ascii="Times New Roman" w:hAnsi="Times New Roman" w:eastAsia="宋体" w:cs="Times New Roman"/>
      <w:b/>
      <w:bCs/>
      <w:kern w:val="0"/>
      <w:sz w:val="24"/>
      <w:szCs w:val="24"/>
    </w:rPr>
  </w:style>
  <w:style w:type="character" w:customStyle="1" w:styleId="119">
    <w:name w:val="正文文本 Char2"/>
    <w:qFormat/>
    <w:uiPriority w:val="99"/>
  </w:style>
  <w:style w:type="character" w:customStyle="1" w:styleId="120">
    <w:name w:val="正文文本缩进 2 Char"/>
    <w:qFormat/>
    <w:uiPriority w:val="0"/>
    <w:rPr>
      <w:rFonts w:ascii="Times New Roman" w:hAnsi="Times New Roman"/>
      <w:kern w:val="2"/>
      <w:sz w:val="21"/>
      <w:szCs w:val="21"/>
    </w:rPr>
  </w:style>
  <w:style w:type="character" w:customStyle="1" w:styleId="121">
    <w:name w:val="环评正文 Char"/>
    <w:link w:val="122"/>
    <w:qFormat/>
    <w:uiPriority w:val="0"/>
    <w:rPr>
      <w:bCs/>
      <w:kern w:val="2"/>
      <w:sz w:val="24"/>
      <w:szCs w:val="24"/>
      <w:lang w:val="en-US" w:eastAsia="zh-CN" w:bidi="ar-SA"/>
    </w:rPr>
  </w:style>
  <w:style w:type="paragraph" w:customStyle="1" w:styleId="122">
    <w:name w:val="环评正文"/>
    <w:link w:val="121"/>
    <w:qFormat/>
    <w:uiPriority w:val="0"/>
    <w:pPr>
      <w:spacing w:line="400" w:lineRule="exact"/>
      <w:ind w:firstLine="200" w:firstLineChars="200"/>
    </w:pPr>
    <w:rPr>
      <w:rFonts w:ascii="Calibri" w:hAnsi="Calibri" w:eastAsia="宋体" w:cs="Times New Roman"/>
      <w:bCs/>
      <w:kern w:val="2"/>
      <w:sz w:val="24"/>
      <w:szCs w:val="24"/>
      <w:lang w:val="en-US" w:eastAsia="zh-CN" w:bidi="ar-SA"/>
    </w:rPr>
  </w:style>
  <w:style w:type="character" w:customStyle="1" w:styleId="123">
    <w:name w:val="标题 7 Char1"/>
    <w:qFormat/>
    <w:uiPriority w:val="9"/>
    <w:rPr>
      <w:rFonts w:cs="Times New Roman"/>
      <w:bCs/>
      <w:color w:val="auto"/>
      <w:sz w:val="20"/>
      <w:szCs w:val="20"/>
      <w:lang w:val="zh-CN" w:eastAsia="zh-CN"/>
    </w:rPr>
  </w:style>
  <w:style w:type="character" w:customStyle="1" w:styleId="124">
    <w:name w:val="标题 6 字符1"/>
    <w:link w:val="7"/>
    <w:qFormat/>
    <w:uiPriority w:val="9"/>
    <w:rPr>
      <w:rFonts w:ascii="Cambria" w:hAnsi="Cambria" w:eastAsia="宋体" w:cs="Times New Roman"/>
      <w:b/>
      <w:bCs/>
      <w:kern w:val="0"/>
      <w:sz w:val="24"/>
      <w:szCs w:val="24"/>
    </w:rPr>
  </w:style>
  <w:style w:type="character" w:customStyle="1" w:styleId="125">
    <w:name w:val="标题 4 Char1"/>
    <w:qFormat/>
    <w:uiPriority w:val="0"/>
    <w:rPr>
      <w:rFonts w:ascii="Arial" w:hAnsi="Arial" w:eastAsia="黑体"/>
      <w:b/>
      <w:bCs/>
      <w:kern w:val="2"/>
      <w:sz w:val="28"/>
      <w:szCs w:val="28"/>
    </w:rPr>
  </w:style>
  <w:style w:type="character" w:customStyle="1" w:styleId="126">
    <w:name w:val="占位符文本1"/>
    <w:unhideWhenUsed/>
    <w:qFormat/>
    <w:uiPriority w:val="99"/>
    <w:rPr>
      <w:color w:val="808080"/>
    </w:rPr>
  </w:style>
  <w:style w:type="character" w:customStyle="1" w:styleId="127">
    <w:name w:val="表格正文 Char Char"/>
    <w:link w:val="128"/>
    <w:qFormat/>
    <w:uiPriority w:val="0"/>
    <w:rPr>
      <w:rFonts w:ascii="宋体" w:hAnsi="宋体"/>
      <w:sz w:val="24"/>
      <w:szCs w:val="28"/>
    </w:rPr>
  </w:style>
  <w:style w:type="paragraph" w:customStyle="1" w:styleId="128">
    <w:name w:val="表格正文"/>
    <w:basedOn w:val="1"/>
    <w:link w:val="127"/>
    <w:qFormat/>
    <w:uiPriority w:val="0"/>
    <w:rPr>
      <w:rFonts w:ascii="宋体" w:hAnsi="宋体"/>
      <w:kern w:val="0"/>
      <w:sz w:val="24"/>
      <w:szCs w:val="28"/>
    </w:rPr>
  </w:style>
  <w:style w:type="character" w:customStyle="1" w:styleId="129">
    <w:name w:val="正文格式 Char Char"/>
    <w:link w:val="130"/>
    <w:qFormat/>
    <w:uiPriority w:val="0"/>
    <w:rPr>
      <w:sz w:val="26"/>
    </w:rPr>
  </w:style>
  <w:style w:type="paragraph" w:customStyle="1" w:styleId="130">
    <w:name w:val="正文格式"/>
    <w:basedOn w:val="1"/>
    <w:link w:val="129"/>
    <w:qFormat/>
    <w:uiPriority w:val="0"/>
    <w:pPr>
      <w:spacing w:line="520" w:lineRule="exact"/>
      <w:ind w:firstLine="520" w:firstLineChars="200"/>
    </w:pPr>
    <w:rPr>
      <w:kern w:val="0"/>
      <w:sz w:val="26"/>
      <w:szCs w:val="20"/>
    </w:rPr>
  </w:style>
  <w:style w:type="character" w:customStyle="1" w:styleId="131">
    <w:name w:val="未处理的提及1"/>
    <w:unhideWhenUsed/>
    <w:qFormat/>
    <w:uiPriority w:val="99"/>
    <w:rPr>
      <w:color w:val="605E5C"/>
      <w:shd w:val="clear" w:color="auto" w:fill="E1DFDD"/>
    </w:rPr>
  </w:style>
  <w:style w:type="character" w:customStyle="1" w:styleId="132">
    <w:name w:val="标题 9 字符"/>
    <w:link w:val="10"/>
    <w:qFormat/>
    <w:uiPriority w:val="99"/>
    <w:rPr>
      <w:rFonts w:ascii="Arial" w:hAnsi="Arial" w:eastAsia="黑体" w:cs="Times New Roman"/>
      <w:szCs w:val="21"/>
    </w:rPr>
  </w:style>
  <w:style w:type="character" w:customStyle="1" w:styleId="133">
    <w:name w:val="标题 Char"/>
    <w:qFormat/>
    <w:uiPriority w:val="99"/>
    <w:rPr>
      <w:rFonts w:ascii="Arial" w:hAnsi="Arial" w:eastAsia="宋体" w:cs="Times New Roman"/>
      <w:b/>
      <w:bCs/>
      <w:sz w:val="32"/>
      <w:szCs w:val="32"/>
    </w:rPr>
  </w:style>
  <w:style w:type="character" w:customStyle="1" w:styleId="134">
    <w:name w:val="_Style 5"/>
    <w:qFormat/>
    <w:uiPriority w:val="0"/>
  </w:style>
  <w:style w:type="character" w:customStyle="1" w:styleId="135">
    <w:name w:val="页眉 字符1"/>
    <w:semiHidden/>
    <w:qFormat/>
    <w:uiPriority w:val="99"/>
    <w:rPr>
      <w:bCs/>
      <w:kern w:val="2"/>
      <w:sz w:val="18"/>
      <w:szCs w:val="18"/>
    </w:rPr>
  </w:style>
  <w:style w:type="character" w:customStyle="1" w:styleId="136">
    <w:name w:val="正文首行缩进 2 Char4"/>
    <w:qFormat/>
    <w:uiPriority w:val="0"/>
    <w:rPr>
      <w:rFonts w:eastAsia="宋体"/>
      <w:kern w:val="2"/>
      <w:sz w:val="24"/>
      <w:szCs w:val="24"/>
      <w:lang w:val="en-US" w:eastAsia="zh-CN" w:bidi="ar-SA"/>
    </w:rPr>
  </w:style>
  <w:style w:type="character" w:customStyle="1" w:styleId="137">
    <w:name w:val="标题 6 Char1"/>
    <w:qFormat/>
    <w:uiPriority w:val="9"/>
    <w:rPr>
      <w:rFonts w:ascii="Cambria" w:hAnsi="Cambria" w:cs="Times New Roman"/>
      <w:bCs/>
      <w:color w:val="auto"/>
      <w:sz w:val="20"/>
      <w:szCs w:val="20"/>
      <w:lang w:val="zh-CN" w:eastAsia="zh-CN"/>
    </w:rPr>
  </w:style>
  <w:style w:type="character" w:customStyle="1" w:styleId="138">
    <w:name w:val="0 Char"/>
    <w:link w:val="139"/>
    <w:semiHidden/>
    <w:qFormat/>
    <w:uiPriority w:val="0"/>
    <w:rPr>
      <w:rFonts w:ascii="Calibri" w:hAnsi="Calibri" w:eastAsia="宋体" w:cs="Times New Roman"/>
      <w:kern w:val="0"/>
      <w:sz w:val="24"/>
      <w:szCs w:val="20"/>
      <w:lang w:val="zh-CN"/>
    </w:rPr>
  </w:style>
  <w:style w:type="paragraph" w:customStyle="1" w:styleId="139">
    <w:name w:val="0"/>
    <w:basedOn w:val="1"/>
    <w:link w:val="138"/>
    <w:semiHidden/>
    <w:qFormat/>
    <w:uiPriority w:val="0"/>
    <w:pPr>
      <w:widowControl/>
      <w:snapToGrid w:val="0"/>
      <w:jc w:val="left"/>
    </w:pPr>
    <w:rPr>
      <w:kern w:val="0"/>
      <w:sz w:val="24"/>
      <w:szCs w:val="20"/>
      <w:lang w:val="zh-CN"/>
    </w:rPr>
  </w:style>
  <w:style w:type="character" w:customStyle="1" w:styleId="140">
    <w:name w:val="正文文本 2 Char"/>
    <w:qFormat/>
    <w:uiPriority w:val="99"/>
    <w:rPr>
      <w:rFonts w:ascii="Times New Roman" w:hAnsi="Times New Roman" w:eastAsia="宋体" w:cs="Times New Roman"/>
      <w:szCs w:val="21"/>
    </w:rPr>
  </w:style>
  <w:style w:type="character" w:customStyle="1" w:styleId="141">
    <w:name w:val="标题 5 Char2"/>
    <w:qFormat/>
    <w:uiPriority w:val="9"/>
    <w:rPr>
      <w:rFonts w:ascii="Times New Roman" w:hAnsi="Times New Roman" w:eastAsia="宋体" w:cs="Times New Roman"/>
      <w:b/>
      <w:bCs/>
      <w:kern w:val="0"/>
      <w:sz w:val="28"/>
      <w:szCs w:val="28"/>
    </w:rPr>
  </w:style>
  <w:style w:type="character" w:customStyle="1" w:styleId="142">
    <w:name w:val="正文01 Char"/>
    <w:link w:val="143"/>
    <w:qFormat/>
    <w:locked/>
    <w:uiPriority w:val="0"/>
    <w:rPr>
      <w:rFonts w:ascii="Times New Roman" w:hAnsi="Times New Roman" w:eastAsia="宋体"/>
      <w:bCs/>
      <w:sz w:val="24"/>
      <w:szCs w:val="24"/>
    </w:rPr>
  </w:style>
  <w:style w:type="paragraph" w:customStyle="1" w:styleId="143">
    <w:name w:val="正文01"/>
    <w:basedOn w:val="1"/>
    <w:link w:val="142"/>
    <w:qFormat/>
    <w:uiPriority w:val="0"/>
    <w:pPr>
      <w:spacing w:before="60" w:line="460" w:lineRule="exact"/>
      <w:ind w:firstLine="200" w:firstLineChars="200"/>
    </w:pPr>
    <w:rPr>
      <w:rFonts w:ascii="Times New Roman" w:hAnsi="Times New Roman"/>
      <w:bCs/>
      <w:kern w:val="0"/>
      <w:sz w:val="24"/>
      <w:szCs w:val="24"/>
    </w:rPr>
  </w:style>
  <w:style w:type="character" w:customStyle="1" w:styleId="144">
    <w:name w:val="样式3 字符"/>
    <w:link w:val="145"/>
    <w:qFormat/>
    <w:uiPriority w:val="0"/>
    <w:rPr>
      <w:rFonts w:ascii="宋体" w:hAnsi="宋体" w:cs="Arial"/>
      <w:b/>
      <w:bCs/>
      <w:sz w:val="24"/>
      <w:szCs w:val="24"/>
    </w:rPr>
  </w:style>
  <w:style w:type="paragraph" w:customStyle="1" w:styleId="145">
    <w:name w:val="样式3"/>
    <w:basedOn w:val="1"/>
    <w:link w:val="144"/>
    <w:qFormat/>
    <w:uiPriority w:val="0"/>
    <w:pPr>
      <w:spacing w:line="500" w:lineRule="exact"/>
      <w:ind w:firstLine="200" w:firstLineChars="200"/>
    </w:pPr>
    <w:rPr>
      <w:rFonts w:ascii="宋体" w:hAnsi="宋体" w:cs="Arial"/>
      <w:b/>
      <w:bCs/>
      <w:kern w:val="0"/>
      <w:sz w:val="24"/>
      <w:szCs w:val="24"/>
    </w:rPr>
  </w:style>
  <w:style w:type="character" w:customStyle="1" w:styleId="146">
    <w:name w:val="10"/>
    <w:qFormat/>
    <w:uiPriority w:val="0"/>
    <w:rPr>
      <w:rFonts w:hint="default" w:ascii="Calibri" w:hAnsi="Calibri" w:cs="Calibri"/>
    </w:rPr>
  </w:style>
  <w:style w:type="character" w:customStyle="1" w:styleId="147">
    <w:name w:val="文档结构图 Char1"/>
    <w:qFormat/>
    <w:uiPriority w:val="0"/>
    <w:rPr>
      <w:rFonts w:ascii="宋体" w:eastAsia="宋体"/>
      <w:sz w:val="18"/>
      <w:szCs w:val="18"/>
    </w:rPr>
  </w:style>
  <w:style w:type="character" w:customStyle="1" w:styleId="148">
    <w:name w:val="标题 4 Char4"/>
    <w:qFormat/>
    <w:uiPriority w:val="0"/>
    <w:rPr>
      <w:rFonts w:ascii="仿宋_GB2312" w:hAnsi="Arial" w:eastAsia="仿宋_GB2312" w:cs="Times New Roman"/>
      <w:bCs/>
      <w:kern w:val="0"/>
      <w:sz w:val="28"/>
      <w:szCs w:val="28"/>
    </w:rPr>
  </w:style>
  <w:style w:type="character" w:customStyle="1" w:styleId="149">
    <w:name w:val="正文(首行缩进) Char"/>
    <w:link w:val="150"/>
    <w:qFormat/>
    <w:locked/>
    <w:uiPriority w:val="0"/>
    <w:rPr>
      <w:rFonts w:ascii="Times New Roman" w:hAnsi="Times New Roman" w:eastAsia="宋体"/>
      <w:snapToGrid/>
      <w:color w:val="000000"/>
      <w:sz w:val="24"/>
      <w:szCs w:val="21"/>
    </w:rPr>
  </w:style>
  <w:style w:type="paragraph" w:customStyle="1" w:styleId="150">
    <w:name w:val="正文(首行缩进)"/>
    <w:basedOn w:val="1"/>
    <w:next w:val="1"/>
    <w:link w:val="149"/>
    <w:qFormat/>
    <w:uiPriority w:val="0"/>
    <w:pPr>
      <w:spacing w:line="360" w:lineRule="auto"/>
      <w:ind w:firstLine="540" w:firstLineChars="225"/>
    </w:pPr>
    <w:rPr>
      <w:rFonts w:ascii="Times New Roman" w:hAnsi="Times New Roman"/>
      <w:color w:val="000000"/>
      <w:kern w:val="0"/>
      <w:sz w:val="24"/>
      <w:szCs w:val="21"/>
    </w:rPr>
  </w:style>
  <w:style w:type="character" w:customStyle="1" w:styleId="151">
    <w:name w:val="A-z正文 Char"/>
    <w:link w:val="152"/>
    <w:qFormat/>
    <w:uiPriority w:val="0"/>
    <w:rPr>
      <w:rFonts w:ascii="Times New Roman" w:hAnsi="Times New Roman" w:cs="宋体"/>
      <w:kern w:val="2"/>
      <w:sz w:val="24"/>
    </w:rPr>
  </w:style>
  <w:style w:type="paragraph" w:customStyle="1" w:styleId="152">
    <w:name w:val="A-z正文"/>
    <w:basedOn w:val="1"/>
    <w:link w:val="151"/>
    <w:qFormat/>
    <w:uiPriority w:val="0"/>
    <w:pPr>
      <w:spacing w:line="360" w:lineRule="auto"/>
      <w:ind w:firstLine="200" w:firstLineChars="200"/>
    </w:pPr>
    <w:rPr>
      <w:rFonts w:ascii="Times New Roman" w:hAnsi="Times New Roman"/>
      <w:sz w:val="24"/>
      <w:szCs w:val="20"/>
    </w:rPr>
  </w:style>
  <w:style w:type="character" w:customStyle="1" w:styleId="153">
    <w:name w:val="标题 3 字符"/>
    <w:link w:val="4"/>
    <w:qFormat/>
    <w:uiPriority w:val="9"/>
    <w:rPr>
      <w:rFonts w:ascii="黑体" w:hAnsi="黑体" w:eastAsia="黑体"/>
      <w:kern w:val="2"/>
      <w:sz w:val="24"/>
      <w:szCs w:val="21"/>
    </w:rPr>
  </w:style>
  <w:style w:type="character" w:customStyle="1" w:styleId="154">
    <w:name w:val="批注框文本 字符"/>
    <w:link w:val="28"/>
    <w:qFormat/>
    <w:uiPriority w:val="0"/>
    <w:rPr>
      <w:sz w:val="18"/>
      <w:szCs w:val="18"/>
    </w:rPr>
  </w:style>
  <w:style w:type="character" w:customStyle="1" w:styleId="155">
    <w:name w:val="报告书正文 Char"/>
    <w:link w:val="156"/>
    <w:qFormat/>
    <w:uiPriority w:val="0"/>
    <w:rPr>
      <w:rFonts w:ascii="Times New Roman" w:hAnsi="Times New Roman" w:eastAsia="宋体" w:cs="Times New Roman"/>
      <w:sz w:val="24"/>
      <w:szCs w:val="20"/>
      <w:lang w:val="zh-CN"/>
    </w:rPr>
  </w:style>
  <w:style w:type="paragraph" w:customStyle="1" w:styleId="156">
    <w:name w:val="报告书正文"/>
    <w:basedOn w:val="1"/>
    <w:link w:val="155"/>
    <w:qFormat/>
    <w:uiPriority w:val="0"/>
    <w:pPr>
      <w:spacing w:line="360" w:lineRule="auto"/>
    </w:pPr>
    <w:rPr>
      <w:rFonts w:ascii="Times New Roman" w:hAnsi="Times New Roman"/>
      <w:kern w:val="0"/>
      <w:sz w:val="24"/>
      <w:szCs w:val="20"/>
      <w:lang w:val="zh-CN"/>
    </w:rPr>
  </w:style>
  <w:style w:type="character" w:customStyle="1" w:styleId="157">
    <w:name w:val="15"/>
    <w:qFormat/>
    <w:uiPriority w:val="0"/>
    <w:rPr>
      <w:rFonts w:hint="default" w:ascii="Calibri" w:hAnsi="Calibri" w:cs="Calibri"/>
      <w:color w:val="0000FF"/>
      <w:u w:val="single"/>
    </w:rPr>
  </w:style>
  <w:style w:type="character" w:customStyle="1" w:styleId="158">
    <w:name w:val="标题 2 Char"/>
    <w:qFormat/>
    <w:uiPriority w:val="9"/>
    <w:rPr>
      <w:rFonts w:ascii="宋体" w:hAnsi="宋体" w:eastAsia="黑体"/>
      <w:b/>
      <w:color w:val="000000"/>
      <w:kern w:val="10"/>
      <w:sz w:val="28"/>
      <w:szCs w:val="24"/>
    </w:rPr>
  </w:style>
  <w:style w:type="character" w:customStyle="1" w:styleId="159">
    <w:name w:val="标题 4 Char"/>
    <w:qFormat/>
    <w:uiPriority w:val="9"/>
    <w:rPr>
      <w:rFonts w:ascii="Cambria" w:hAnsi="Cambria" w:eastAsia="宋体" w:cs="Times New Roman"/>
      <w:b/>
      <w:bCs/>
      <w:kern w:val="2"/>
      <w:sz w:val="28"/>
      <w:szCs w:val="28"/>
    </w:rPr>
  </w:style>
  <w:style w:type="character" w:customStyle="1" w:styleId="160">
    <w:name w:val="font61"/>
    <w:qFormat/>
    <w:uiPriority w:val="0"/>
    <w:rPr>
      <w:rFonts w:hint="eastAsia" w:ascii="宋体" w:hAnsi="宋体" w:eastAsia="宋体" w:cs="宋体"/>
      <w:color w:val="000000"/>
      <w:sz w:val="21"/>
      <w:szCs w:val="21"/>
      <w:u w:val="none"/>
      <w:vertAlign w:val="superscript"/>
    </w:rPr>
  </w:style>
  <w:style w:type="character" w:customStyle="1" w:styleId="161">
    <w:name w:val="寇 字符"/>
    <w:link w:val="162"/>
    <w:qFormat/>
    <w:uiPriority w:val="0"/>
    <w:rPr>
      <w:rFonts w:ascii="宋体" w:hAnsi="宋体" w:eastAsia="宋体" w:cs="Times New Roman"/>
      <w:color w:val="FF0000"/>
      <w:kern w:val="2"/>
      <w:sz w:val="24"/>
      <w:szCs w:val="24"/>
    </w:rPr>
  </w:style>
  <w:style w:type="paragraph" w:customStyle="1" w:styleId="162">
    <w:name w:val="寇"/>
    <w:basedOn w:val="117"/>
    <w:link w:val="161"/>
    <w:qFormat/>
    <w:uiPriority w:val="0"/>
    <w:pPr>
      <w:ind w:firstLine="480"/>
    </w:pPr>
    <w:rPr>
      <w:color w:val="FF0000"/>
    </w:rPr>
  </w:style>
  <w:style w:type="character" w:customStyle="1" w:styleId="163">
    <w:name w:val="题注 字符1"/>
    <w:qFormat/>
    <w:uiPriority w:val="0"/>
    <w:rPr>
      <w:rFonts w:ascii="黑体" w:hAnsi="黑体" w:eastAsia="黑体"/>
      <w:kern w:val="2"/>
      <w:sz w:val="21"/>
    </w:rPr>
  </w:style>
  <w:style w:type="character" w:customStyle="1" w:styleId="164">
    <w:name w:val="标题 4 Char31"/>
    <w:qFormat/>
    <w:uiPriority w:val="0"/>
    <w:rPr>
      <w:rFonts w:ascii="Arial" w:hAnsi="Arial" w:eastAsia="黑体" w:cs="Arial"/>
      <w:b/>
      <w:kern w:val="2"/>
      <w:sz w:val="28"/>
      <w:szCs w:val="28"/>
    </w:rPr>
  </w:style>
  <w:style w:type="character" w:customStyle="1" w:styleId="165">
    <w:name w:val="题注 字符"/>
    <w:link w:val="15"/>
    <w:qFormat/>
    <w:uiPriority w:val="0"/>
    <w:rPr>
      <w:rFonts w:ascii="宋体" w:hAnsi="宋体" w:eastAsia="黑体"/>
      <w:kern w:val="2"/>
      <w:sz w:val="21"/>
    </w:rPr>
  </w:style>
  <w:style w:type="character" w:customStyle="1" w:styleId="166">
    <w:name w:val="书籍标题1"/>
    <w:qFormat/>
    <w:uiPriority w:val="33"/>
    <w:rPr>
      <w:b/>
      <w:bCs/>
      <w:i/>
      <w:iCs/>
      <w:spacing w:val="5"/>
    </w:rPr>
  </w:style>
  <w:style w:type="character" w:customStyle="1" w:styleId="167">
    <w:name w:val="font51"/>
    <w:qFormat/>
    <w:uiPriority w:val="0"/>
    <w:rPr>
      <w:rFonts w:hint="eastAsia" w:ascii="宋体" w:hAnsi="宋体" w:eastAsia="宋体" w:cs="宋体"/>
      <w:color w:val="000000"/>
      <w:sz w:val="21"/>
      <w:szCs w:val="21"/>
      <w:u w:val="none"/>
    </w:rPr>
  </w:style>
  <w:style w:type="character" w:customStyle="1" w:styleId="168">
    <w:name w:val="批注文字 Char1"/>
    <w:qFormat/>
    <w:uiPriority w:val="0"/>
    <w:rPr>
      <w:rFonts w:ascii="Calibri" w:hAnsi="Calibri"/>
      <w:szCs w:val="21"/>
    </w:rPr>
  </w:style>
  <w:style w:type="character" w:customStyle="1" w:styleId="169">
    <w:name w:val="标题 1 Char2"/>
    <w:qFormat/>
    <w:uiPriority w:val="9"/>
    <w:rPr>
      <w:rFonts w:ascii="Times New Roman" w:hAnsi="Times New Roman" w:eastAsia="黑体" w:cs="Arial"/>
      <w:sz w:val="32"/>
      <w:szCs w:val="20"/>
    </w:rPr>
  </w:style>
  <w:style w:type="character" w:customStyle="1" w:styleId="170">
    <w:name w:val="标题 2 Char1"/>
    <w:qFormat/>
    <w:uiPriority w:val="9"/>
    <w:rPr>
      <w:rFonts w:ascii="黑体" w:hAnsi="黑体" w:eastAsia="黑体"/>
      <w:bCs/>
      <w:kern w:val="2"/>
      <w:sz w:val="28"/>
      <w:szCs w:val="32"/>
    </w:rPr>
  </w:style>
  <w:style w:type="character" w:customStyle="1" w:styleId="171">
    <w:name w:val="5 表字-书 字符"/>
    <w:link w:val="172"/>
    <w:qFormat/>
    <w:uiPriority w:val="0"/>
    <w:rPr>
      <w:rFonts w:hAnsi="宋体" w:eastAsia="宋体"/>
      <w:sz w:val="21"/>
      <w:szCs w:val="21"/>
    </w:rPr>
  </w:style>
  <w:style w:type="paragraph" w:customStyle="1" w:styleId="172">
    <w:name w:val="5 表字-书"/>
    <w:basedOn w:val="1"/>
    <w:link w:val="171"/>
    <w:qFormat/>
    <w:uiPriority w:val="0"/>
    <w:pPr>
      <w:spacing w:line="300" w:lineRule="atLeast"/>
      <w:jc w:val="center"/>
      <w:textAlignment w:val="center"/>
    </w:pPr>
    <w:rPr>
      <w:rFonts w:hAnsi="宋体"/>
      <w:kern w:val="0"/>
      <w:szCs w:val="21"/>
    </w:rPr>
  </w:style>
  <w:style w:type="character" w:customStyle="1" w:styleId="173">
    <w:name w:val="批注文字 字符1"/>
    <w:qFormat/>
    <w:uiPriority w:val="0"/>
    <w:rPr>
      <w:rFonts w:ascii="Times New Roman" w:hAnsi="Times New Roman" w:eastAsia="宋体" w:cs="Times New Roman"/>
      <w:szCs w:val="21"/>
    </w:rPr>
  </w:style>
  <w:style w:type="character" w:customStyle="1" w:styleId="174">
    <w:name w:val="页眉 Char1"/>
    <w:qFormat/>
    <w:uiPriority w:val="99"/>
    <w:rPr>
      <w:sz w:val="18"/>
      <w:szCs w:val="18"/>
    </w:rPr>
  </w:style>
  <w:style w:type="character" w:customStyle="1" w:styleId="175">
    <w:name w:val="正文楷体 Char"/>
    <w:link w:val="176"/>
    <w:qFormat/>
    <w:uiPriority w:val="0"/>
    <w:rPr>
      <w:rFonts w:hAnsi="宋体"/>
      <w:sz w:val="24"/>
      <w:szCs w:val="24"/>
    </w:rPr>
  </w:style>
  <w:style w:type="paragraph" w:customStyle="1" w:styleId="176">
    <w:name w:val="正文楷体"/>
    <w:basedOn w:val="1"/>
    <w:link w:val="175"/>
    <w:qFormat/>
    <w:uiPriority w:val="0"/>
    <w:pPr>
      <w:spacing w:line="360" w:lineRule="auto"/>
      <w:ind w:firstLine="480" w:firstLineChars="200"/>
    </w:pPr>
    <w:rPr>
      <w:rFonts w:hAnsi="宋体"/>
      <w:kern w:val="0"/>
      <w:sz w:val="24"/>
      <w:szCs w:val="24"/>
    </w:rPr>
  </w:style>
  <w:style w:type="character" w:customStyle="1" w:styleId="177">
    <w:name w:val="明显引用 字符"/>
    <w:qFormat/>
    <w:uiPriority w:val="30"/>
    <w:rPr>
      <w:i/>
      <w:iCs/>
      <w:color w:val="4F81BD"/>
    </w:rPr>
  </w:style>
  <w:style w:type="character" w:customStyle="1" w:styleId="178">
    <w:name w:val="正文文本 字符"/>
    <w:link w:val="19"/>
    <w:qFormat/>
    <w:uiPriority w:val="99"/>
  </w:style>
  <w:style w:type="character" w:customStyle="1" w:styleId="179">
    <w:name w:val="正文 CDD 字符"/>
    <w:link w:val="180"/>
    <w:qFormat/>
    <w:uiPriority w:val="0"/>
    <w:rPr>
      <w:rFonts w:ascii="宋体" w:hAnsi="宋体"/>
      <w:kern w:val="2"/>
      <w:sz w:val="24"/>
    </w:rPr>
  </w:style>
  <w:style w:type="paragraph" w:customStyle="1" w:styleId="180">
    <w:name w:val="正文 CDD"/>
    <w:basedOn w:val="1"/>
    <w:link w:val="179"/>
    <w:qFormat/>
    <w:uiPriority w:val="0"/>
    <w:pPr>
      <w:widowControl/>
      <w:spacing w:line="500" w:lineRule="exact"/>
      <w:ind w:firstLine="480"/>
      <w:jc w:val="left"/>
    </w:pPr>
    <w:rPr>
      <w:rFonts w:ascii="宋体" w:hAnsi="宋体"/>
      <w:sz w:val="24"/>
      <w:szCs w:val="20"/>
    </w:rPr>
  </w:style>
  <w:style w:type="character" w:customStyle="1" w:styleId="181">
    <w:name w:val="font11"/>
    <w:qFormat/>
    <w:uiPriority w:val="0"/>
    <w:rPr>
      <w:rFonts w:hint="eastAsia" w:ascii="宋体" w:hAnsi="宋体" w:eastAsia="宋体"/>
      <w:color w:val="000000"/>
      <w:sz w:val="21"/>
      <w:szCs w:val="21"/>
      <w:u w:val="none"/>
      <w:vertAlign w:val="superscript"/>
    </w:rPr>
  </w:style>
  <w:style w:type="character" w:customStyle="1" w:styleId="182">
    <w:name w:val="标题 6 字符"/>
    <w:qFormat/>
    <w:uiPriority w:val="9"/>
    <w:rPr>
      <w:rFonts w:ascii="等线 Light" w:hAnsi="等线 Light" w:eastAsia="等线 Light" w:cs="Times New Roman"/>
      <w:b/>
      <w:bCs/>
      <w:sz w:val="24"/>
      <w:szCs w:val="24"/>
    </w:rPr>
  </w:style>
  <w:style w:type="character" w:customStyle="1" w:styleId="183">
    <w:name w:val="正文首行缩进 字符"/>
    <w:qFormat/>
    <w:uiPriority w:val="99"/>
  </w:style>
  <w:style w:type="character" w:customStyle="1" w:styleId="184">
    <w:name w:val="注释标题 字符"/>
    <w:semiHidden/>
    <w:qFormat/>
    <w:uiPriority w:val="99"/>
    <w:rPr>
      <w:kern w:val="2"/>
      <w:sz w:val="21"/>
      <w:szCs w:val="22"/>
    </w:rPr>
  </w:style>
  <w:style w:type="character" w:customStyle="1" w:styleId="185">
    <w:name w:val="正文文本缩进 2 Char1"/>
    <w:qFormat/>
    <w:uiPriority w:val="0"/>
    <w:rPr>
      <w:rFonts w:ascii="Times New Roman" w:hAnsi="Times New Roman"/>
    </w:rPr>
  </w:style>
  <w:style w:type="character" w:customStyle="1" w:styleId="186">
    <w:name w:val="正文文本 Char"/>
    <w:qFormat/>
    <w:uiPriority w:val="99"/>
    <w:rPr>
      <w:rFonts w:hint="eastAsia" w:ascii="宋体" w:hAnsi="宋体" w:eastAsia="宋体" w:cs="宋体"/>
      <w:sz w:val="24"/>
      <w:szCs w:val="24"/>
    </w:rPr>
  </w:style>
  <w:style w:type="character" w:customStyle="1" w:styleId="187">
    <w:name w:val="标题 6 Char2"/>
    <w:qFormat/>
    <w:uiPriority w:val="9"/>
    <w:rPr>
      <w:rFonts w:ascii="Cambria" w:hAnsi="Cambria" w:eastAsia="宋体" w:cs="Times New Roman"/>
      <w:b/>
      <w:bCs/>
      <w:sz w:val="24"/>
      <w:szCs w:val="24"/>
    </w:rPr>
  </w:style>
  <w:style w:type="character" w:customStyle="1" w:styleId="188">
    <w:name w:val="正文文本 2 字符"/>
    <w:link w:val="43"/>
    <w:qFormat/>
    <w:uiPriority w:val="99"/>
    <w:rPr>
      <w:rFonts w:ascii="Times New Roman" w:hAnsi="Times New Roman" w:eastAsia="宋体" w:cs="Times New Roman"/>
      <w:szCs w:val="21"/>
    </w:rPr>
  </w:style>
  <w:style w:type="character" w:customStyle="1" w:styleId="189">
    <w:name w:val="HTML 预设格式 字符"/>
    <w:semiHidden/>
    <w:qFormat/>
    <w:uiPriority w:val="99"/>
    <w:rPr>
      <w:rFonts w:ascii="Courier New" w:hAnsi="Courier New" w:cs="Courier New"/>
      <w:kern w:val="2"/>
    </w:rPr>
  </w:style>
  <w:style w:type="character" w:customStyle="1" w:styleId="190">
    <w:name w:val="MEL正文* 字符"/>
    <w:link w:val="191"/>
    <w:qFormat/>
    <w:uiPriority w:val="0"/>
    <w:rPr>
      <w:rFonts w:ascii="宋体" w:hAnsi="宋体"/>
      <w:sz w:val="24"/>
      <w:szCs w:val="24"/>
    </w:rPr>
  </w:style>
  <w:style w:type="paragraph" w:customStyle="1" w:styleId="191">
    <w:name w:val="MEL正文*"/>
    <w:basedOn w:val="1"/>
    <w:link w:val="190"/>
    <w:qFormat/>
    <w:uiPriority w:val="0"/>
    <w:pPr>
      <w:spacing w:line="500" w:lineRule="exact"/>
      <w:ind w:firstLine="200" w:firstLineChars="200"/>
    </w:pPr>
    <w:rPr>
      <w:rFonts w:ascii="宋体" w:hAnsi="宋体"/>
      <w:kern w:val="0"/>
      <w:sz w:val="24"/>
      <w:szCs w:val="24"/>
    </w:rPr>
  </w:style>
  <w:style w:type="character" w:customStyle="1" w:styleId="192">
    <w:name w:val="正文格式 Char"/>
    <w:qFormat/>
    <w:locked/>
    <w:uiPriority w:val="0"/>
    <w:rPr>
      <w:rFonts w:ascii="宋体" w:hAnsi="Times New Roman" w:eastAsia="宋体"/>
      <w:kern w:val="2"/>
      <w:sz w:val="24"/>
      <w:szCs w:val="24"/>
    </w:rPr>
  </w:style>
  <w:style w:type="character" w:customStyle="1" w:styleId="193">
    <w:name w:val="正文文本缩进 2 Char2"/>
    <w:qFormat/>
    <w:uiPriority w:val="99"/>
    <w:rPr>
      <w:rFonts w:ascii="Times New Roman" w:hAnsi="Times New Roman" w:eastAsia="宋体" w:cs="Times New Roman"/>
      <w:kern w:val="0"/>
      <w:sz w:val="20"/>
      <w:szCs w:val="21"/>
    </w:rPr>
  </w:style>
  <w:style w:type="character" w:customStyle="1" w:styleId="194">
    <w:name w:val="show-img-bd"/>
    <w:qFormat/>
    <w:uiPriority w:val="0"/>
  </w:style>
  <w:style w:type="character" w:customStyle="1" w:styleId="195">
    <w:name w:val="正文首行缩进 2 Char"/>
    <w:qFormat/>
    <w:uiPriority w:val="0"/>
    <w:rPr>
      <w:kern w:val="2"/>
      <w:sz w:val="21"/>
      <w:szCs w:val="24"/>
    </w:rPr>
  </w:style>
  <w:style w:type="character" w:customStyle="1" w:styleId="196">
    <w:name w:val="注释标题 字符1"/>
    <w:link w:val="13"/>
    <w:qFormat/>
    <w:uiPriority w:val="0"/>
    <w:rPr>
      <w:rFonts w:ascii="Times New Roman" w:hAnsi="Times New Roman" w:eastAsia="宋体"/>
      <w:kern w:val="2"/>
      <w:sz w:val="21"/>
    </w:rPr>
  </w:style>
  <w:style w:type="character" w:customStyle="1" w:styleId="197">
    <w:name w:val="不明显参考1"/>
    <w:qFormat/>
    <w:uiPriority w:val="31"/>
    <w:rPr>
      <w:smallCaps/>
      <w:color w:val="5A5A5A"/>
    </w:rPr>
  </w:style>
  <w:style w:type="character" w:customStyle="1" w:styleId="198">
    <w:name w:val="正文缩进 Char"/>
    <w:qFormat/>
    <w:uiPriority w:val="0"/>
    <w:rPr>
      <w:rFonts w:hint="eastAsia" w:ascii="宋体" w:hAnsi="宋体" w:eastAsia="宋体" w:cs="宋体"/>
      <w:spacing w:val="6"/>
      <w:kern w:val="2"/>
      <w:sz w:val="26"/>
      <w:szCs w:val="26"/>
    </w:rPr>
  </w:style>
  <w:style w:type="character" w:customStyle="1" w:styleId="199">
    <w:name w:val="标题 1 字符"/>
    <w:link w:val="3"/>
    <w:qFormat/>
    <w:uiPriority w:val="9"/>
    <w:rPr>
      <w:rFonts w:ascii="黑体" w:hAnsi="黑体" w:eastAsia="黑体"/>
      <w:kern w:val="2"/>
      <w:sz w:val="32"/>
    </w:rPr>
  </w:style>
  <w:style w:type="character" w:customStyle="1" w:styleId="200">
    <w:name w:val="文档结构图 Char2"/>
    <w:qFormat/>
    <w:uiPriority w:val="99"/>
    <w:rPr>
      <w:rFonts w:ascii="宋体" w:hAnsi="Times New Roman" w:eastAsia="宋体" w:cs="Times New Roman"/>
      <w:kern w:val="0"/>
      <w:sz w:val="18"/>
      <w:szCs w:val="18"/>
    </w:rPr>
  </w:style>
  <w:style w:type="character" w:customStyle="1" w:styleId="201">
    <w:name w:val="YJ-正文 Char"/>
    <w:link w:val="202"/>
    <w:qFormat/>
    <w:uiPriority w:val="0"/>
    <w:rPr>
      <w:rFonts w:ascii="宋体" w:hAnsi="宋体" w:eastAsia="宋体"/>
      <w:sz w:val="24"/>
      <w:szCs w:val="21"/>
    </w:rPr>
  </w:style>
  <w:style w:type="paragraph" w:customStyle="1" w:styleId="202">
    <w:name w:val="YJ-正文"/>
    <w:basedOn w:val="203"/>
    <w:link w:val="201"/>
    <w:qFormat/>
    <w:uiPriority w:val="0"/>
    <w:pPr>
      <w:spacing w:line="500" w:lineRule="exact"/>
      <w:ind w:firstLine="200" w:firstLineChars="200"/>
    </w:pPr>
    <w:rPr>
      <w:rFonts w:ascii="宋体" w:hAnsi="宋体"/>
      <w:sz w:val="24"/>
      <w:szCs w:val="21"/>
    </w:rPr>
  </w:style>
  <w:style w:type="paragraph" w:customStyle="1" w:styleId="203">
    <w:name w:val="YJ-表标题1"/>
    <w:basedOn w:val="1"/>
    <w:qFormat/>
    <w:uiPriority w:val="0"/>
    <w:pPr>
      <w:widowControl/>
      <w:spacing w:line="520" w:lineRule="exact"/>
      <w:jc w:val="left"/>
      <w:outlineLvl w:val="1"/>
    </w:pPr>
    <w:rPr>
      <w:b/>
      <w:kern w:val="0"/>
      <w:sz w:val="30"/>
    </w:rPr>
  </w:style>
  <w:style w:type="character" w:customStyle="1" w:styleId="204">
    <w:name w:val="页眉 Char"/>
    <w:qFormat/>
    <w:uiPriority w:val="0"/>
    <w:rPr>
      <w:kern w:val="2"/>
      <w:sz w:val="18"/>
      <w:szCs w:val="18"/>
    </w:rPr>
  </w:style>
  <w:style w:type="character" w:customStyle="1" w:styleId="205">
    <w:name w:val="标题 7 Char"/>
    <w:qFormat/>
    <w:uiPriority w:val="9"/>
    <w:rPr>
      <w:rFonts w:eastAsia="宋体" w:cs="Times New Roman"/>
      <w:b/>
      <w:bCs/>
      <w:kern w:val="2"/>
      <w:sz w:val="24"/>
      <w:szCs w:val="24"/>
    </w:rPr>
  </w:style>
  <w:style w:type="character" w:customStyle="1" w:styleId="206">
    <w:name w:val="标题1"/>
    <w:qFormat/>
    <w:uiPriority w:val="0"/>
  </w:style>
  <w:style w:type="character" w:customStyle="1" w:styleId="207">
    <w:name w:val="YJ表中字体 Char"/>
    <w:link w:val="208"/>
    <w:qFormat/>
    <w:uiPriority w:val="0"/>
    <w:rPr>
      <w:rFonts w:ascii="宋体" w:hAnsi="宋体" w:eastAsia="宋体"/>
      <w:sz w:val="21"/>
    </w:rPr>
  </w:style>
  <w:style w:type="paragraph" w:customStyle="1" w:styleId="208">
    <w:name w:val="YJ表中字体"/>
    <w:basedOn w:val="14"/>
    <w:link w:val="207"/>
    <w:qFormat/>
    <w:uiPriority w:val="0"/>
    <w:pPr>
      <w:tabs>
        <w:tab w:val="left" w:pos="8176"/>
      </w:tabs>
      <w:spacing w:line="240" w:lineRule="exact"/>
      <w:ind w:firstLine="0" w:firstLineChars="0"/>
      <w:jc w:val="center"/>
    </w:pPr>
    <w:rPr>
      <w:rFonts w:ascii="宋体" w:hAnsi="宋体"/>
      <w:sz w:val="21"/>
      <w:szCs w:val="20"/>
    </w:rPr>
  </w:style>
  <w:style w:type="character" w:customStyle="1" w:styleId="209">
    <w:name w:val="一级标题-书 Char"/>
    <w:link w:val="210"/>
    <w:qFormat/>
    <w:uiPriority w:val="0"/>
    <w:rPr>
      <w:rFonts w:ascii="Times New Roman" w:hAnsi="Times New Roman" w:eastAsia="宋体" w:cs="Arial"/>
      <w:b/>
      <w:sz w:val="32"/>
      <w:szCs w:val="20"/>
    </w:rPr>
  </w:style>
  <w:style w:type="paragraph" w:customStyle="1" w:styleId="210">
    <w:name w:val="一级标题-书"/>
    <w:basedOn w:val="1"/>
    <w:link w:val="209"/>
    <w:qFormat/>
    <w:uiPriority w:val="0"/>
    <w:pPr>
      <w:keepNext/>
      <w:widowControl/>
      <w:spacing w:line="600" w:lineRule="exact"/>
      <w:jc w:val="left"/>
      <w:outlineLvl w:val="0"/>
    </w:pPr>
    <w:rPr>
      <w:rFonts w:ascii="Times New Roman" w:hAnsi="Times New Roman"/>
      <w:b/>
      <w:kern w:val="0"/>
      <w:sz w:val="32"/>
      <w:szCs w:val="20"/>
    </w:rPr>
  </w:style>
  <w:style w:type="character" w:customStyle="1" w:styleId="211">
    <w:name w:val="4刘群正文* Char"/>
    <w:link w:val="212"/>
    <w:qFormat/>
    <w:uiPriority w:val="0"/>
    <w:rPr>
      <w:rFonts w:ascii="Times New Roman" w:hAnsi="Times New Roman" w:cs="Times New Roman"/>
      <w:sz w:val="24"/>
      <w:szCs w:val="24"/>
      <w:lang w:val="zh-CN"/>
    </w:rPr>
  </w:style>
  <w:style w:type="paragraph" w:customStyle="1" w:styleId="212">
    <w:name w:val="4刘群正文 *"/>
    <w:basedOn w:val="1"/>
    <w:link w:val="211"/>
    <w:qFormat/>
    <w:uiPriority w:val="0"/>
    <w:pPr>
      <w:spacing w:line="520" w:lineRule="exact"/>
      <w:ind w:firstLine="480" w:firstLineChars="200"/>
    </w:pPr>
    <w:rPr>
      <w:rFonts w:ascii="Times New Roman" w:hAnsi="Times New Roman"/>
      <w:kern w:val="0"/>
      <w:sz w:val="24"/>
      <w:szCs w:val="24"/>
      <w:lang w:val="zh-CN"/>
    </w:rPr>
  </w:style>
  <w:style w:type="character" w:customStyle="1" w:styleId="213">
    <w:name w:val="标题 1 Char"/>
    <w:qFormat/>
    <w:uiPriority w:val="9"/>
    <w:rPr>
      <w:rFonts w:ascii="宋体" w:hAnsi="宋体" w:eastAsia="黑体"/>
      <w:b/>
      <w:sz w:val="32"/>
      <w:szCs w:val="28"/>
    </w:rPr>
  </w:style>
  <w:style w:type="character" w:customStyle="1" w:styleId="214">
    <w:name w:val="3级标题 字符"/>
    <w:link w:val="215"/>
    <w:qFormat/>
    <w:uiPriority w:val="0"/>
    <w:rPr>
      <w:rFonts w:ascii="宋体" w:hAnsi="宋体" w:eastAsia="黑体" w:cs="宋体"/>
      <w:color w:val="000000"/>
      <w:spacing w:val="4"/>
      <w:kern w:val="2"/>
      <w:sz w:val="24"/>
      <w:szCs w:val="24"/>
    </w:rPr>
  </w:style>
  <w:style w:type="paragraph" w:customStyle="1" w:styleId="215">
    <w:name w:val="3级标题"/>
    <w:basedOn w:val="1"/>
    <w:link w:val="214"/>
    <w:qFormat/>
    <w:uiPriority w:val="0"/>
    <w:pPr>
      <w:adjustRightInd w:val="0"/>
      <w:snapToGrid w:val="0"/>
      <w:spacing w:before="160" w:after="160" w:line="360" w:lineRule="auto"/>
      <w:jc w:val="left"/>
      <w:outlineLvl w:val="2"/>
    </w:pPr>
    <w:rPr>
      <w:rFonts w:ascii="宋体" w:hAnsi="宋体" w:eastAsia="黑体" w:cs="宋体"/>
      <w:color w:val="000000"/>
      <w:spacing w:val="4"/>
      <w:sz w:val="24"/>
      <w:szCs w:val="24"/>
    </w:rPr>
  </w:style>
  <w:style w:type="character" w:customStyle="1" w:styleId="216">
    <w:name w:val="页脚 字符"/>
    <w:link w:val="29"/>
    <w:qFormat/>
    <w:uiPriority w:val="0"/>
    <w:rPr>
      <w:sz w:val="18"/>
      <w:szCs w:val="18"/>
    </w:rPr>
  </w:style>
  <w:style w:type="character" w:customStyle="1" w:styleId="217">
    <w:name w:val="font21"/>
    <w:qFormat/>
    <w:uiPriority w:val="0"/>
    <w:rPr>
      <w:rFonts w:hint="eastAsia" w:ascii="宋体" w:hAnsi="宋体" w:eastAsia="宋体"/>
      <w:color w:val="000000"/>
      <w:sz w:val="21"/>
      <w:szCs w:val="21"/>
      <w:u w:val="none"/>
    </w:rPr>
  </w:style>
  <w:style w:type="character" w:customStyle="1" w:styleId="218">
    <w:name w:val="纯文本 Char1"/>
    <w:qFormat/>
    <w:uiPriority w:val="0"/>
    <w:rPr>
      <w:rFonts w:hint="eastAsia" w:ascii="宋体" w:hAnsi="Courier New" w:eastAsia="宋体" w:cs="Courier New"/>
      <w:kern w:val="2"/>
      <w:sz w:val="21"/>
      <w:szCs w:val="21"/>
    </w:rPr>
  </w:style>
  <w:style w:type="character" w:customStyle="1" w:styleId="219">
    <w:name w:val="引用 字符"/>
    <w:qFormat/>
    <w:uiPriority w:val="29"/>
    <w:rPr>
      <w:i/>
      <w:iCs/>
      <w:color w:val="3F3F3F"/>
    </w:rPr>
  </w:style>
  <w:style w:type="character" w:customStyle="1" w:styleId="220">
    <w:name w:val="标题 2 Char2"/>
    <w:qFormat/>
    <w:uiPriority w:val="9"/>
    <w:rPr>
      <w:rFonts w:ascii="黑体" w:hAnsi="黑体" w:eastAsia="黑体" w:cs="Times New Roman"/>
      <w:bCs/>
      <w:sz w:val="28"/>
      <w:szCs w:val="32"/>
    </w:rPr>
  </w:style>
  <w:style w:type="character" w:customStyle="1" w:styleId="221">
    <w:name w:val="批注文字 Char"/>
    <w:qFormat/>
    <w:uiPriority w:val="0"/>
    <w:rPr>
      <w:kern w:val="2"/>
      <w:sz w:val="21"/>
      <w:szCs w:val="21"/>
    </w:rPr>
  </w:style>
  <w:style w:type="character" w:customStyle="1" w:styleId="222">
    <w:name w:val="附件 字符"/>
    <w:link w:val="223"/>
    <w:qFormat/>
    <w:uiPriority w:val="0"/>
    <w:rPr>
      <w:rFonts w:ascii="宋体" w:hAnsi="宋体" w:eastAsia="宋体"/>
      <w:b/>
      <w:kern w:val="2"/>
      <w:sz w:val="24"/>
      <w:szCs w:val="21"/>
    </w:rPr>
  </w:style>
  <w:style w:type="paragraph" w:customStyle="1" w:styleId="223">
    <w:name w:val="附件"/>
    <w:basedOn w:val="1"/>
    <w:link w:val="222"/>
    <w:qFormat/>
    <w:uiPriority w:val="0"/>
    <w:pPr>
      <w:ind w:firstLine="200" w:firstLineChars="200"/>
      <w:outlineLvl w:val="3"/>
    </w:pPr>
    <w:rPr>
      <w:rFonts w:ascii="宋体" w:hAnsi="宋体"/>
      <w:b/>
      <w:sz w:val="24"/>
      <w:szCs w:val="21"/>
    </w:rPr>
  </w:style>
  <w:style w:type="character" w:customStyle="1" w:styleId="224">
    <w:name w:val="明显参考11"/>
    <w:qFormat/>
    <w:uiPriority w:val="32"/>
    <w:rPr>
      <w:b/>
      <w:bCs/>
      <w:smallCaps/>
      <w:color w:val="4F81BD"/>
      <w:spacing w:val="5"/>
    </w:rPr>
  </w:style>
  <w:style w:type="character" w:customStyle="1" w:styleId="225">
    <w:name w:val="标题 5 Char1"/>
    <w:qFormat/>
    <w:uiPriority w:val="9"/>
    <w:rPr>
      <w:rFonts w:cs="Times New Roman"/>
      <w:bCs/>
      <w:color w:val="auto"/>
      <w:sz w:val="28"/>
      <w:szCs w:val="28"/>
      <w:lang w:val="zh-CN" w:eastAsia="zh-CN"/>
    </w:rPr>
  </w:style>
  <w:style w:type="character" w:customStyle="1" w:styleId="226">
    <w:name w:val="正文文本 3 字符1"/>
    <w:link w:val="18"/>
    <w:qFormat/>
    <w:uiPriority w:val="0"/>
    <w:rPr>
      <w:rFonts w:ascii="Times New Roman" w:hAnsi="Times New Roman" w:eastAsia="宋体"/>
      <w:kern w:val="2"/>
      <w:sz w:val="18"/>
      <w:szCs w:val="24"/>
    </w:rPr>
  </w:style>
  <w:style w:type="character" w:customStyle="1" w:styleId="227">
    <w:name w:val="正文文本缩进 2 字符"/>
    <w:qFormat/>
    <w:uiPriority w:val="99"/>
  </w:style>
  <w:style w:type="character" w:customStyle="1" w:styleId="228">
    <w:name w:val="正文文本首行缩进 2 字符"/>
    <w:link w:val="50"/>
    <w:qFormat/>
    <w:uiPriority w:val="99"/>
    <w:rPr>
      <w:rFonts w:ascii="Times New Roman" w:hAnsi="Times New Roman" w:eastAsia="宋体" w:cs="Times New Roman"/>
      <w:kern w:val="0"/>
      <w:sz w:val="20"/>
      <w:szCs w:val="24"/>
    </w:rPr>
  </w:style>
  <w:style w:type="character" w:customStyle="1" w:styleId="229">
    <w:name w:val="标题 1 Char1"/>
    <w:qFormat/>
    <w:uiPriority w:val="9"/>
    <w:rPr>
      <w:rFonts w:ascii="Times New Roman" w:hAnsi="Times New Roman" w:eastAsia="黑体" w:cs="Arial"/>
      <w:kern w:val="2"/>
      <w:sz w:val="32"/>
    </w:rPr>
  </w:style>
  <w:style w:type="character" w:customStyle="1" w:styleId="230">
    <w:name w:val="文档结构图 字符"/>
    <w:link w:val="16"/>
    <w:qFormat/>
    <w:uiPriority w:val="99"/>
    <w:rPr>
      <w:rFonts w:ascii="宋体" w:hAnsi="Times New Roman" w:eastAsia="宋体" w:cs="Times New Roman"/>
      <w:kern w:val="0"/>
      <w:sz w:val="18"/>
      <w:szCs w:val="18"/>
    </w:rPr>
  </w:style>
  <w:style w:type="character" w:customStyle="1" w:styleId="231">
    <w:name w:val="fontstyle01"/>
    <w:qFormat/>
    <w:uiPriority w:val="0"/>
    <w:rPr>
      <w:rFonts w:hint="eastAsia" w:ascii="宋体" w:hAnsi="宋体" w:eastAsia="宋体"/>
      <w:color w:val="000000"/>
      <w:sz w:val="22"/>
      <w:szCs w:val="22"/>
    </w:rPr>
  </w:style>
  <w:style w:type="character" w:customStyle="1" w:styleId="232">
    <w:name w:val="标题 4 Char2"/>
    <w:qFormat/>
    <w:uiPriority w:val="0"/>
    <w:rPr>
      <w:rFonts w:ascii="Arial" w:hAnsi="Arial" w:eastAsia="黑体" w:cs="Times New Roman"/>
      <w:bCs/>
      <w:color w:val="auto"/>
      <w:sz w:val="28"/>
      <w:szCs w:val="28"/>
      <w:lang w:val="zh-CN" w:eastAsia="zh-CN"/>
    </w:rPr>
  </w:style>
  <w:style w:type="character" w:customStyle="1" w:styleId="233">
    <w:name w:val="YJ正文* 字符"/>
    <w:link w:val="117"/>
    <w:qFormat/>
    <w:uiPriority w:val="0"/>
    <w:rPr>
      <w:rFonts w:ascii="宋体" w:hAnsi="宋体" w:eastAsia="宋体"/>
      <w:kern w:val="2"/>
      <w:sz w:val="24"/>
      <w:szCs w:val="24"/>
    </w:rPr>
  </w:style>
  <w:style w:type="character" w:customStyle="1" w:styleId="234">
    <w:name w:val="正文文本首行缩进 字符"/>
    <w:link w:val="49"/>
    <w:qFormat/>
    <w:uiPriority w:val="0"/>
    <w:rPr>
      <w:rFonts w:ascii="宋体" w:hAnsi="宋体" w:eastAsia="宋体" w:cs="Times New Roman"/>
      <w:kern w:val="0"/>
      <w:sz w:val="24"/>
      <w:szCs w:val="24"/>
    </w:rPr>
  </w:style>
  <w:style w:type="character" w:customStyle="1" w:styleId="235">
    <w:name w:val="页眉 字符"/>
    <w:link w:val="30"/>
    <w:qFormat/>
    <w:uiPriority w:val="0"/>
    <w:rPr>
      <w:sz w:val="18"/>
      <w:szCs w:val="18"/>
    </w:rPr>
  </w:style>
  <w:style w:type="character" w:customStyle="1" w:styleId="236">
    <w:name w:val="标题 3 字符1"/>
    <w:qFormat/>
    <w:uiPriority w:val="9"/>
    <w:rPr>
      <w:rFonts w:ascii="Times New Roman" w:hAnsi="Times New Roman" w:eastAsia="黑体" w:cs="Times New Roman"/>
      <w:b/>
      <w:bCs/>
      <w:sz w:val="24"/>
      <w:szCs w:val="32"/>
      <w:lang w:val="zh-CN" w:eastAsia="zh-CN"/>
    </w:rPr>
  </w:style>
  <w:style w:type="character" w:customStyle="1" w:styleId="237">
    <w:name w:val="标题 6 Char3"/>
    <w:qFormat/>
    <w:uiPriority w:val="9"/>
    <w:rPr>
      <w:rFonts w:ascii="Cambria" w:hAnsi="Cambria" w:eastAsia="宋体" w:cs="Times New Roman"/>
      <w:b/>
      <w:bCs/>
      <w:kern w:val="0"/>
      <w:sz w:val="24"/>
      <w:szCs w:val="24"/>
    </w:rPr>
  </w:style>
  <w:style w:type="character" w:customStyle="1" w:styleId="238">
    <w:name w:val="书籍标题11"/>
    <w:qFormat/>
    <w:uiPriority w:val="33"/>
    <w:rPr>
      <w:b/>
      <w:bCs/>
      <w:i/>
      <w:iCs/>
      <w:spacing w:val="5"/>
    </w:rPr>
  </w:style>
  <w:style w:type="character" w:customStyle="1" w:styleId="239">
    <w:name w:val="标题 2 字符"/>
    <w:link w:val="2"/>
    <w:qFormat/>
    <w:uiPriority w:val="9"/>
    <w:rPr>
      <w:rFonts w:ascii="黑体" w:hAnsi="黑体" w:eastAsia="黑体"/>
      <w:bCs/>
      <w:kern w:val="2"/>
      <w:sz w:val="28"/>
      <w:szCs w:val="32"/>
    </w:rPr>
  </w:style>
  <w:style w:type="character" w:customStyle="1" w:styleId="240">
    <w:name w:val="批注文字 字符"/>
    <w:link w:val="17"/>
    <w:qFormat/>
    <w:uiPriority w:val="0"/>
  </w:style>
  <w:style w:type="character" w:customStyle="1" w:styleId="241">
    <w:name w:val="正文文本缩进 Char1"/>
    <w:qFormat/>
    <w:uiPriority w:val="0"/>
    <w:rPr>
      <w:rFonts w:ascii="Calibri" w:hAnsi="Calibri" w:cs="Chiller"/>
      <w:b/>
      <w:color w:val="231F1F"/>
      <w:kern w:val="0"/>
      <w:sz w:val="24"/>
      <w:szCs w:val="24"/>
    </w:rPr>
  </w:style>
  <w:style w:type="character" w:customStyle="1" w:styleId="242">
    <w:name w:val="批注框文本 Char1"/>
    <w:qFormat/>
    <w:uiPriority w:val="99"/>
    <w:rPr>
      <w:rFonts w:ascii="Calibri" w:hAnsi="Calibri"/>
      <w:sz w:val="18"/>
      <w:szCs w:val="18"/>
    </w:rPr>
  </w:style>
  <w:style w:type="character" w:customStyle="1" w:styleId="243">
    <w:name w:val="标题 8 Char"/>
    <w:qFormat/>
    <w:uiPriority w:val="99"/>
    <w:rPr>
      <w:rFonts w:ascii="Arial" w:hAnsi="Arial" w:eastAsia="黑体" w:cs="Times New Roman"/>
      <w:sz w:val="24"/>
      <w:szCs w:val="24"/>
    </w:rPr>
  </w:style>
  <w:style w:type="character" w:customStyle="1" w:styleId="244">
    <w:name w:val="报告正文 Char1"/>
    <w:link w:val="245"/>
    <w:qFormat/>
    <w:uiPriority w:val="0"/>
    <w:rPr>
      <w:rFonts w:ascii="宋体" w:hAnsi="宋体" w:eastAsia="宋体" w:cs="宋体"/>
      <w:sz w:val="24"/>
      <w:szCs w:val="21"/>
    </w:rPr>
  </w:style>
  <w:style w:type="paragraph" w:customStyle="1" w:styleId="245">
    <w:name w:val="报告正文"/>
    <w:basedOn w:val="1"/>
    <w:link w:val="244"/>
    <w:qFormat/>
    <w:uiPriority w:val="0"/>
    <w:pPr>
      <w:widowControl/>
      <w:adjustRightInd w:val="0"/>
      <w:snapToGrid w:val="0"/>
      <w:spacing w:beforeLines="50"/>
      <w:ind w:firstLine="200" w:firstLineChars="200"/>
      <w:jc w:val="left"/>
    </w:pPr>
    <w:rPr>
      <w:rFonts w:ascii="宋体" w:hAnsi="宋体" w:cs="宋体"/>
      <w:kern w:val="0"/>
      <w:sz w:val="24"/>
      <w:szCs w:val="21"/>
    </w:rPr>
  </w:style>
  <w:style w:type="character" w:customStyle="1" w:styleId="246">
    <w:name w:val="表正文 Char1"/>
    <w:link w:val="247"/>
    <w:unhideWhenUsed/>
    <w:qFormat/>
    <w:uiPriority w:val="0"/>
  </w:style>
  <w:style w:type="paragraph" w:customStyle="1" w:styleId="247">
    <w:name w:val="正文缩进2"/>
    <w:basedOn w:val="1"/>
    <w:link w:val="246"/>
    <w:unhideWhenUsed/>
    <w:qFormat/>
    <w:uiPriority w:val="0"/>
    <w:pPr>
      <w:ind w:firstLine="420" w:firstLineChars="200"/>
    </w:pPr>
  </w:style>
  <w:style w:type="character" w:customStyle="1" w:styleId="248">
    <w:name w:val="正文首行缩进 2 Char2"/>
    <w:qFormat/>
    <w:uiPriority w:val="99"/>
    <w:rPr>
      <w:rFonts w:ascii="Times New Roman" w:hAnsi="Times New Roman" w:eastAsia="宋体" w:cs="Times New Roman"/>
      <w:kern w:val="0"/>
      <w:sz w:val="20"/>
      <w:szCs w:val="24"/>
    </w:rPr>
  </w:style>
  <w:style w:type="character" w:customStyle="1" w:styleId="249">
    <w:name w:val="批注主题 字符"/>
    <w:link w:val="48"/>
    <w:qFormat/>
    <w:uiPriority w:val="99"/>
    <w:rPr>
      <w:rFonts w:ascii="Times New Roman" w:hAnsi="Times New Roman" w:eastAsia="宋体" w:cs="Times New Roman"/>
      <w:b/>
      <w:bCs/>
      <w:kern w:val="0"/>
      <w:sz w:val="20"/>
      <w:szCs w:val="21"/>
    </w:rPr>
  </w:style>
  <w:style w:type="character" w:customStyle="1" w:styleId="250">
    <w:name w:val="正文缩进 Char1"/>
    <w:qFormat/>
    <w:uiPriority w:val="99"/>
    <w:rPr>
      <w:rFonts w:ascii="Times New Roman" w:hAnsi="Times New Roman" w:eastAsia="宋体" w:cs="Times New Roman"/>
      <w:szCs w:val="21"/>
    </w:rPr>
  </w:style>
  <w:style w:type="character" w:customStyle="1" w:styleId="251">
    <w:name w:val="标题 5 字符"/>
    <w:semiHidden/>
    <w:qFormat/>
    <w:uiPriority w:val="9"/>
    <w:rPr>
      <w:b/>
      <w:bCs/>
      <w:sz w:val="28"/>
      <w:szCs w:val="28"/>
    </w:rPr>
  </w:style>
  <w:style w:type="character" w:customStyle="1" w:styleId="252">
    <w:name w:val="批注主题 Char2"/>
    <w:qFormat/>
    <w:uiPriority w:val="99"/>
    <w:rPr>
      <w:rFonts w:ascii="Times New Roman" w:hAnsi="Times New Roman" w:eastAsia="宋体" w:cs="Times New Roman"/>
      <w:b/>
      <w:bCs/>
      <w:kern w:val="0"/>
      <w:sz w:val="20"/>
      <w:szCs w:val="21"/>
    </w:rPr>
  </w:style>
  <w:style w:type="character" w:customStyle="1" w:styleId="253">
    <w:name w:val="页眉 Char2"/>
    <w:qFormat/>
    <w:uiPriority w:val="99"/>
    <w:rPr>
      <w:sz w:val="18"/>
      <w:szCs w:val="18"/>
    </w:rPr>
  </w:style>
  <w:style w:type="character" w:customStyle="1" w:styleId="254">
    <w:name w:val="标题 4 字符1"/>
    <w:link w:val="5"/>
    <w:qFormat/>
    <w:uiPriority w:val="0"/>
    <w:rPr>
      <w:rFonts w:ascii="Arial" w:hAnsi="Arial"/>
      <w:bCs/>
      <w:sz w:val="24"/>
      <w:szCs w:val="28"/>
      <w:lang w:val="zh-CN"/>
    </w:rPr>
  </w:style>
  <w:style w:type="character" w:customStyle="1" w:styleId="255">
    <w:name w:val="批注文字 Char2"/>
    <w:qFormat/>
    <w:uiPriority w:val="0"/>
  </w:style>
  <w:style w:type="character" w:customStyle="1" w:styleId="256">
    <w:name w:val="正文文本缩进 3 字符1"/>
    <w:link w:val="39"/>
    <w:qFormat/>
    <w:uiPriority w:val="0"/>
    <w:rPr>
      <w:rFonts w:ascii="宋体" w:hAnsi="Times New Roman" w:eastAsia="宋体"/>
      <w:color w:val="FF0000"/>
      <w:kern w:val="2"/>
      <w:sz w:val="28"/>
      <w:szCs w:val="24"/>
    </w:rPr>
  </w:style>
  <w:style w:type="character" w:customStyle="1" w:styleId="257">
    <w:name w:val="标题 1 Char3"/>
    <w:qFormat/>
    <w:uiPriority w:val="9"/>
    <w:rPr>
      <w:rFonts w:ascii="黑体" w:hAnsi="黑体" w:eastAsia="黑体"/>
      <w:sz w:val="32"/>
    </w:rPr>
  </w:style>
  <w:style w:type="character" w:customStyle="1" w:styleId="258">
    <w:name w:val="正文文本 Char1"/>
    <w:qFormat/>
    <w:uiPriority w:val="99"/>
  </w:style>
  <w:style w:type="character" w:customStyle="1" w:styleId="259">
    <w:name w:val="三级标题-书 Char"/>
    <w:link w:val="260"/>
    <w:qFormat/>
    <w:uiPriority w:val="0"/>
    <w:rPr>
      <w:rFonts w:ascii="Times New Roman" w:hAnsi="Times New Roman" w:eastAsia="宋体" w:cs="Arial"/>
      <w:b/>
      <w:sz w:val="28"/>
      <w:szCs w:val="20"/>
    </w:rPr>
  </w:style>
  <w:style w:type="paragraph" w:customStyle="1" w:styleId="260">
    <w:name w:val="三级标题-书"/>
    <w:basedOn w:val="80"/>
    <w:link w:val="259"/>
    <w:qFormat/>
    <w:uiPriority w:val="0"/>
    <w:pPr>
      <w:spacing w:line="360" w:lineRule="auto"/>
      <w:outlineLvl w:val="2"/>
    </w:pPr>
    <w:rPr>
      <w:sz w:val="28"/>
    </w:rPr>
  </w:style>
  <w:style w:type="character" w:customStyle="1" w:styleId="261">
    <w:name w:val="正文文本缩进 Char"/>
    <w:qFormat/>
    <w:uiPriority w:val="0"/>
    <w:rPr>
      <w:kern w:val="2"/>
      <w:sz w:val="21"/>
      <w:szCs w:val="24"/>
    </w:rPr>
  </w:style>
  <w:style w:type="character" w:customStyle="1" w:styleId="262">
    <w:name w:val="不明显强调1"/>
    <w:qFormat/>
    <w:uiPriority w:val="19"/>
    <w:rPr>
      <w:i/>
      <w:iCs/>
      <w:color w:val="404040"/>
    </w:rPr>
  </w:style>
  <w:style w:type="character" w:customStyle="1" w:styleId="263">
    <w:name w:val="正文首行缩进 2 字符"/>
    <w:qFormat/>
    <w:uiPriority w:val="99"/>
  </w:style>
  <w:style w:type="character" w:customStyle="1" w:styleId="264">
    <w:name w:val="表字-书 Char Char"/>
    <w:qFormat/>
    <w:uiPriority w:val="0"/>
    <w:rPr>
      <w:rFonts w:ascii="宋体" w:hAnsi="宋体" w:eastAsia="宋体" w:cs="Arial"/>
      <w:szCs w:val="21"/>
    </w:rPr>
  </w:style>
  <w:style w:type="character" w:customStyle="1" w:styleId="265">
    <w:name w:val="标题 4 字符"/>
    <w:qFormat/>
    <w:uiPriority w:val="0"/>
    <w:rPr>
      <w:rFonts w:ascii="等线 Light" w:hAnsi="等线 Light" w:eastAsia="等线 Light" w:cs="Times New Roman"/>
      <w:b/>
      <w:bCs/>
      <w:sz w:val="28"/>
      <w:szCs w:val="28"/>
    </w:rPr>
  </w:style>
  <w:style w:type="character" w:customStyle="1" w:styleId="266">
    <w:name w:val="YJ附图附件 Char"/>
    <w:link w:val="267"/>
    <w:qFormat/>
    <w:uiPriority w:val="0"/>
    <w:rPr>
      <w:b/>
      <w:sz w:val="24"/>
      <w:lang w:val="zh-CN"/>
    </w:rPr>
  </w:style>
  <w:style w:type="paragraph" w:customStyle="1" w:styleId="267">
    <w:name w:val="YJ附图附件"/>
    <w:basedOn w:val="1"/>
    <w:link w:val="266"/>
    <w:qFormat/>
    <w:uiPriority w:val="0"/>
    <w:pPr>
      <w:widowControl/>
      <w:spacing w:line="520" w:lineRule="exact"/>
      <w:ind w:firstLine="200" w:firstLineChars="200"/>
      <w:jc w:val="left"/>
      <w:outlineLvl w:val="0"/>
    </w:pPr>
    <w:rPr>
      <w:b/>
      <w:kern w:val="0"/>
      <w:sz w:val="24"/>
      <w:szCs w:val="20"/>
      <w:lang w:val="zh-CN"/>
    </w:rPr>
  </w:style>
  <w:style w:type="character" w:customStyle="1" w:styleId="268">
    <w:name w:val="标题 5 Char3"/>
    <w:qFormat/>
    <w:uiPriority w:val="9"/>
    <w:rPr>
      <w:rFonts w:ascii="Times New Roman" w:hAnsi="Times New Roman" w:eastAsia="宋体" w:cs="Times New Roman"/>
      <w:b/>
      <w:bCs/>
      <w:kern w:val="0"/>
      <w:sz w:val="28"/>
      <w:szCs w:val="28"/>
    </w:rPr>
  </w:style>
  <w:style w:type="character" w:customStyle="1" w:styleId="269">
    <w:name w:val="正文缩进 字符"/>
    <w:link w:val="14"/>
    <w:qFormat/>
    <w:uiPriority w:val="99"/>
    <w:rPr>
      <w:rFonts w:ascii="Times New Roman" w:hAnsi="Times New Roman" w:eastAsia="宋体" w:cs="Times New Roman"/>
      <w:szCs w:val="21"/>
    </w:rPr>
  </w:style>
  <w:style w:type="character" w:customStyle="1" w:styleId="270">
    <w:name w:val="不明显参考11"/>
    <w:qFormat/>
    <w:uiPriority w:val="31"/>
    <w:rPr>
      <w:smallCaps/>
      <w:color w:val="5A5A5A"/>
    </w:rPr>
  </w:style>
  <w:style w:type="character" w:customStyle="1" w:styleId="271">
    <w:name w:val="纯文本 Char2"/>
    <w:qFormat/>
    <w:uiPriority w:val="99"/>
    <w:rPr>
      <w:rFonts w:ascii="宋体" w:hAnsi="Courier New" w:eastAsia="宋体" w:cs="Times New Roman"/>
      <w:kern w:val="0"/>
      <w:sz w:val="24"/>
      <w:szCs w:val="20"/>
    </w:rPr>
  </w:style>
  <w:style w:type="character" w:customStyle="1" w:styleId="272">
    <w:name w:val="ZQL-表图标题 Char"/>
    <w:link w:val="273"/>
    <w:qFormat/>
    <w:uiPriority w:val="0"/>
    <w:rPr>
      <w:b/>
    </w:rPr>
  </w:style>
  <w:style w:type="paragraph" w:customStyle="1" w:styleId="273">
    <w:name w:val="ZQL-表图标题"/>
    <w:basedOn w:val="1"/>
    <w:link w:val="272"/>
    <w:qFormat/>
    <w:uiPriority w:val="0"/>
    <w:pPr>
      <w:widowControl/>
      <w:adjustRightInd w:val="0"/>
      <w:snapToGrid w:val="0"/>
      <w:spacing w:line="500" w:lineRule="exact"/>
      <w:jc w:val="center"/>
      <w:outlineLvl w:val="1"/>
    </w:pPr>
    <w:rPr>
      <w:b/>
      <w:kern w:val="0"/>
      <w:sz w:val="20"/>
      <w:szCs w:val="20"/>
    </w:rPr>
  </w:style>
  <w:style w:type="character" w:customStyle="1" w:styleId="274">
    <w:name w:val="正文文本缩进 Char2"/>
    <w:qFormat/>
    <w:uiPriority w:val="99"/>
    <w:rPr>
      <w:rFonts w:ascii="Times New Roman" w:hAnsi="Times New Roman" w:eastAsia="宋体" w:cs="Times New Roman"/>
      <w:kern w:val="0"/>
      <w:sz w:val="20"/>
      <w:szCs w:val="24"/>
    </w:rPr>
  </w:style>
  <w:style w:type="character" w:customStyle="1" w:styleId="275">
    <w:name w:val="标题 5 Char"/>
    <w:qFormat/>
    <w:uiPriority w:val="9"/>
    <w:rPr>
      <w:rFonts w:eastAsia="宋体" w:cs="Times New Roman"/>
      <w:b/>
      <w:bCs/>
      <w:kern w:val="2"/>
      <w:sz w:val="28"/>
      <w:szCs w:val="28"/>
    </w:rPr>
  </w:style>
  <w:style w:type="character" w:customStyle="1" w:styleId="276">
    <w:name w:val="标题 7 Char3"/>
    <w:qFormat/>
    <w:uiPriority w:val="9"/>
    <w:rPr>
      <w:rFonts w:ascii="Times New Roman" w:hAnsi="Times New Roman" w:eastAsia="宋体" w:cs="Times New Roman"/>
      <w:b/>
      <w:bCs/>
      <w:kern w:val="0"/>
      <w:sz w:val="24"/>
      <w:szCs w:val="24"/>
    </w:rPr>
  </w:style>
  <w:style w:type="character" w:customStyle="1" w:styleId="277">
    <w:name w:val="MEL表字-书 字符"/>
    <w:link w:val="278"/>
    <w:qFormat/>
    <w:uiPriority w:val="0"/>
    <w:rPr>
      <w:rFonts w:ascii="宋体" w:hAnsi="宋体"/>
      <w:sz w:val="21"/>
      <w:szCs w:val="21"/>
    </w:rPr>
  </w:style>
  <w:style w:type="paragraph" w:customStyle="1" w:styleId="278">
    <w:name w:val="MEL表字-书"/>
    <w:basedOn w:val="1"/>
    <w:link w:val="277"/>
    <w:qFormat/>
    <w:uiPriority w:val="0"/>
    <w:pPr>
      <w:spacing w:line="240" w:lineRule="exact"/>
      <w:jc w:val="center"/>
    </w:pPr>
    <w:rPr>
      <w:rFonts w:ascii="宋体" w:hAnsi="宋体"/>
      <w:kern w:val="0"/>
      <w:szCs w:val="21"/>
    </w:rPr>
  </w:style>
  <w:style w:type="character" w:customStyle="1" w:styleId="279">
    <w:name w:val="明显引用 Char"/>
    <w:qFormat/>
    <w:uiPriority w:val="30"/>
    <w:rPr>
      <w:rFonts w:eastAsia="宋体" w:cs="Times New Roman"/>
      <w:i/>
      <w:iCs/>
      <w:color w:val="4F81BD"/>
      <w:kern w:val="2"/>
      <w:sz w:val="24"/>
      <w:szCs w:val="22"/>
    </w:rPr>
  </w:style>
  <w:style w:type="character" w:customStyle="1" w:styleId="280">
    <w:name w:val="引用 字符1"/>
    <w:link w:val="281"/>
    <w:qFormat/>
    <w:uiPriority w:val="29"/>
    <w:rPr>
      <w:rFonts w:ascii="Times New Roman" w:hAnsi="Times New Roman" w:eastAsia="宋体" w:cs="Times New Roman"/>
      <w:i/>
      <w:iCs/>
      <w:color w:val="404040"/>
      <w:sz w:val="24"/>
    </w:rPr>
  </w:style>
  <w:style w:type="paragraph" w:customStyle="1" w:styleId="281">
    <w:name w:val="引用2"/>
    <w:basedOn w:val="1"/>
    <w:next w:val="1"/>
    <w:link w:val="280"/>
    <w:qFormat/>
    <w:uiPriority w:val="29"/>
    <w:pPr>
      <w:spacing w:before="200" w:after="160" w:line="500" w:lineRule="exact"/>
      <w:ind w:left="864" w:right="864" w:firstLine="200" w:firstLineChars="200"/>
      <w:jc w:val="center"/>
    </w:pPr>
    <w:rPr>
      <w:rFonts w:ascii="Times New Roman" w:hAnsi="Times New Roman"/>
      <w:i/>
      <w:iCs/>
      <w:color w:val="404040"/>
      <w:kern w:val="0"/>
      <w:sz w:val="24"/>
      <w:szCs w:val="20"/>
    </w:rPr>
  </w:style>
  <w:style w:type="character" w:customStyle="1" w:styleId="282">
    <w:name w:val="文档结构图 Char"/>
    <w:qFormat/>
    <w:uiPriority w:val="0"/>
    <w:rPr>
      <w:rFonts w:ascii="宋体"/>
      <w:kern w:val="2"/>
      <w:sz w:val="18"/>
      <w:szCs w:val="18"/>
    </w:rPr>
  </w:style>
  <w:style w:type="character" w:customStyle="1" w:styleId="283">
    <w:name w:val="表格 Char"/>
    <w:link w:val="284"/>
    <w:qFormat/>
    <w:uiPriority w:val="0"/>
    <w:rPr>
      <w:rFonts w:ascii="宋体" w:hAnsi="Times New Roman"/>
      <w:spacing w:val="6"/>
      <w:szCs w:val="21"/>
    </w:rPr>
  </w:style>
  <w:style w:type="paragraph" w:customStyle="1" w:styleId="284">
    <w:name w:val="表格"/>
    <w:basedOn w:val="1"/>
    <w:link w:val="283"/>
    <w:qFormat/>
    <w:uiPriority w:val="0"/>
    <w:pPr>
      <w:spacing w:before="40" w:after="40"/>
      <w:jc w:val="center"/>
      <w:textAlignment w:val="center"/>
    </w:pPr>
    <w:rPr>
      <w:rFonts w:ascii="宋体" w:hAnsi="Times New Roman"/>
      <w:spacing w:val="6"/>
      <w:kern w:val="0"/>
      <w:sz w:val="20"/>
      <w:szCs w:val="21"/>
    </w:rPr>
  </w:style>
  <w:style w:type="character" w:customStyle="1" w:styleId="285">
    <w:name w:val="表字-书 Char"/>
    <w:link w:val="286"/>
    <w:qFormat/>
    <w:uiPriority w:val="0"/>
    <w:rPr>
      <w:rFonts w:ascii="宋体" w:hAnsi="宋体" w:eastAsia="宋体" w:cs="Arial"/>
      <w:szCs w:val="21"/>
    </w:rPr>
  </w:style>
  <w:style w:type="paragraph" w:customStyle="1" w:styleId="286">
    <w:name w:val="表字-书"/>
    <w:basedOn w:val="1"/>
    <w:link w:val="285"/>
    <w:qFormat/>
    <w:uiPriority w:val="0"/>
    <w:pPr>
      <w:spacing w:line="300" w:lineRule="atLeast"/>
      <w:jc w:val="center"/>
    </w:pPr>
    <w:rPr>
      <w:rFonts w:ascii="宋体" w:hAnsi="宋体"/>
      <w:kern w:val="0"/>
      <w:sz w:val="20"/>
      <w:szCs w:val="21"/>
    </w:rPr>
  </w:style>
  <w:style w:type="character" w:customStyle="1" w:styleId="287">
    <w:name w:val="明显参考1"/>
    <w:qFormat/>
    <w:uiPriority w:val="32"/>
    <w:rPr>
      <w:b/>
      <w:bCs/>
      <w:smallCaps/>
      <w:color w:val="4F81BD"/>
      <w:spacing w:val="5"/>
    </w:rPr>
  </w:style>
  <w:style w:type="character" w:customStyle="1" w:styleId="288">
    <w:name w:val="标题 4 Char3"/>
    <w:qFormat/>
    <w:uiPriority w:val="0"/>
    <w:rPr>
      <w:rFonts w:ascii="Arial" w:hAnsi="Arial" w:eastAsia="黑体"/>
      <w:b/>
      <w:bCs/>
      <w:kern w:val="2"/>
      <w:sz w:val="28"/>
      <w:szCs w:val="28"/>
      <w:lang w:val="en-US" w:eastAsia="zh-CN" w:bidi="ar-SA"/>
    </w:rPr>
  </w:style>
  <w:style w:type="character" w:customStyle="1" w:styleId="289">
    <w:name w:val="正文首行缩进 Char"/>
    <w:qFormat/>
    <w:uiPriority w:val="99"/>
    <w:rPr>
      <w:rFonts w:hint="eastAsia" w:ascii="宋体" w:hAnsi="宋体" w:eastAsia="宋体" w:cs="宋体"/>
      <w:sz w:val="24"/>
      <w:szCs w:val="24"/>
    </w:rPr>
  </w:style>
  <w:style w:type="character" w:customStyle="1" w:styleId="290">
    <w:name w:val="正文文本 3 字符"/>
    <w:semiHidden/>
    <w:qFormat/>
    <w:uiPriority w:val="99"/>
    <w:rPr>
      <w:kern w:val="2"/>
      <w:sz w:val="16"/>
      <w:szCs w:val="16"/>
    </w:rPr>
  </w:style>
  <w:style w:type="character" w:customStyle="1" w:styleId="291">
    <w:name w:val="正文文本缩进 字符"/>
    <w:qFormat/>
    <w:uiPriority w:val="0"/>
  </w:style>
  <w:style w:type="character" w:customStyle="1" w:styleId="292">
    <w:name w:val="批注文字 字符2"/>
    <w:semiHidden/>
    <w:qFormat/>
    <w:uiPriority w:val="99"/>
    <w:rPr>
      <w:rFonts w:ascii="等线" w:hAnsi="等线" w:eastAsia="等线" w:cs="Times New Roman"/>
    </w:rPr>
  </w:style>
  <w:style w:type="character" w:customStyle="1" w:styleId="293">
    <w:name w:val="纯文本 字符"/>
    <w:qFormat/>
    <w:uiPriority w:val="0"/>
    <w:rPr>
      <w:rFonts w:ascii="等线" w:hAnsi="Courier New" w:cs="Courier New"/>
    </w:rPr>
  </w:style>
  <w:style w:type="paragraph" w:customStyle="1" w:styleId="294">
    <w:name w:val="修订2"/>
    <w:unhideWhenUsed/>
    <w:qFormat/>
    <w:uiPriority w:val="99"/>
    <w:rPr>
      <w:rFonts w:ascii="Calibri" w:hAnsi="Calibri" w:eastAsia="宋体" w:cs="Times New Roman"/>
      <w:kern w:val="2"/>
      <w:sz w:val="21"/>
      <w:szCs w:val="21"/>
      <w:lang w:val="en-US" w:eastAsia="zh-CN" w:bidi="ar-SA"/>
    </w:rPr>
  </w:style>
  <w:style w:type="paragraph" w:customStyle="1" w:styleId="295">
    <w:name w:val="正文3"/>
    <w:basedOn w:val="1"/>
    <w:qFormat/>
    <w:uiPriority w:val="99"/>
    <w:pPr>
      <w:widowControl/>
    </w:pPr>
    <w:rPr>
      <w:rFonts w:ascii="Times New Roman" w:hAnsi="Times New Roman"/>
      <w:szCs w:val="21"/>
    </w:rPr>
  </w:style>
  <w:style w:type="paragraph" w:customStyle="1" w:styleId="296">
    <w:name w:val="字母编号列项（一级）"/>
    <w:qFormat/>
    <w:uiPriority w:val="0"/>
    <w:pPr>
      <w:ind w:left="840" w:leftChars="200" w:hanging="420" w:hangingChars="200"/>
      <w:jc w:val="both"/>
    </w:pPr>
    <w:rPr>
      <w:rFonts w:ascii="宋体" w:hAnsi="Calibri" w:eastAsia="宋体" w:cs="Times New Roman"/>
      <w:sz w:val="21"/>
      <w:lang w:val="en-US" w:eastAsia="zh-CN" w:bidi="ar-SA"/>
    </w:rPr>
  </w:style>
  <w:style w:type="paragraph" w:customStyle="1" w:styleId="297">
    <w:name w:val="样式 标题 3 + (中文) 楷体_GB2312 小四 非加粗 段前: 10 磅 段后: 10 磅"/>
    <w:qFormat/>
    <w:uiPriority w:val="0"/>
    <w:pPr>
      <w:spacing w:line="360" w:lineRule="auto"/>
    </w:pPr>
    <w:rPr>
      <w:rFonts w:ascii="Calibri" w:hAnsi="Calibri" w:eastAsia="楷体_GB2312" w:cs="宋体"/>
      <w:b/>
      <w:bCs/>
      <w:sz w:val="24"/>
      <w:lang w:val="en-US" w:eastAsia="zh-CN" w:bidi="ar-SA"/>
    </w:rPr>
  </w:style>
  <w:style w:type="paragraph" w:customStyle="1" w:styleId="298">
    <w:name w:val="Char Char20 Char Char"/>
    <w:basedOn w:val="1"/>
    <w:qFormat/>
    <w:uiPriority w:val="99"/>
    <w:rPr>
      <w:rFonts w:ascii="Times New Roman" w:hAnsi="Times New Roman"/>
      <w:szCs w:val="24"/>
    </w:rPr>
  </w:style>
  <w:style w:type="paragraph" w:customStyle="1" w:styleId="299">
    <w:name w:val="正文8"/>
    <w:qFormat/>
    <w:uiPriority w:val="99"/>
    <w:pPr>
      <w:jc w:val="both"/>
    </w:pPr>
    <w:rPr>
      <w:rFonts w:ascii="Calibri" w:hAnsi="Calibri" w:eastAsia="宋体" w:cs="Times New Roman"/>
      <w:kern w:val="2"/>
      <w:sz w:val="21"/>
      <w:szCs w:val="21"/>
      <w:lang w:val="en-US" w:eastAsia="zh-CN" w:bidi="ar-SA"/>
    </w:rPr>
  </w:style>
  <w:style w:type="paragraph" w:customStyle="1" w:styleId="300">
    <w:name w:val="font6"/>
    <w:basedOn w:val="1"/>
    <w:qFormat/>
    <w:uiPriority w:val="99"/>
    <w:pPr>
      <w:widowControl/>
      <w:spacing w:before="100" w:beforeAutospacing="1" w:after="100" w:afterAutospacing="1"/>
      <w:jc w:val="left"/>
    </w:pPr>
    <w:rPr>
      <w:rFonts w:ascii="等线" w:hAnsi="等线" w:eastAsia="等线" w:cs="宋体"/>
      <w:kern w:val="0"/>
      <w:sz w:val="18"/>
      <w:szCs w:val="18"/>
    </w:rPr>
  </w:style>
  <w:style w:type="paragraph" w:customStyle="1" w:styleId="301">
    <w:name w:val="表"/>
    <w:basedOn w:val="1"/>
    <w:qFormat/>
    <w:uiPriority w:val="99"/>
    <w:pPr>
      <w:snapToGrid w:val="0"/>
      <w:spacing w:line="400" w:lineRule="exact"/>
      <w:jc w:val="center"/>
    </w:pPr>
    <w:rPr>
      <w:rFonts w:ascii="Times New Roman" w:hAnsi="Times New Roman"/>
      <w:spacing w:val="2"/>
      <w:szCs w:val="20"/>
    </w:rPr>
  </w:style>
  <w:style w:type="paragraph" w:styleId="302">
    <w:name w:val="List Paragraph"/>
    <w:basedOn w:val="1"/>
    <w:link w:val="502"/>
    <w:qFormat/>
    <w:uiPriority w:val="34"/>
    <w:pPr>
      <w:ind w:firstLine="420" w:firstLineChars="200"/>
    </w:pPr>
    <w:rPr>
      <w:rFonts w:ascii="Times New Roman" w:hAnsi="Times New Roman"/>
      <w:szCs w:val="21"/>
    </w:rPr>
  </w:style>
  <w:style w:type="paragraph" w:customStyle="1" w:styleId="303">
    <w:name w:val="样式 Arial 五号 非加粗 居中 行距: 固定值 12 磅"/>
    <w:basedOn w:val="1"/>
    <w:qFormat/>
    <w:uiPriority w:val="99"/>
    <w:pPr>
      <w:spacing w:line="240" w:lineRule="exact"/>
      <w:jc w:val="center"/>
    </w:pPr>
    <w:rPr>
      <w:rFonts w:ascii="Arial" w:hAnsi="宋体"/>
      <w:szCs w:val="20"/>
    </w:rPr>
  </w:style>
  <w:style w:type="paragraph" w:customStyle="1" w:styleId="304">
    <w:name w:val="正文秦斐"/>
    <w:basedOn w:val="1"/>
    <w:qFormat/>
    <w:uiPriority w:val="0"/>
    <w:pPr>
      <w:snapToGrid w:val="0"/>
      <w:spacing w:line="360" w:lineRule="auto"/>
      <w:ind w:firstLine="560" w:firstLineChars="200"/>
    </w:pPr>
    <w:rPr>
      <w:rFonts w:ascii="仿宋" w:hAnsi="仿宋" w:eastAsia="仿宋"/>
      <w:sz w:val="28"/>
      <w:szCs w:val="28"/>
    </w:rPr>
  </w:style>
  <w:style w:type="paragraph" w:customStyle="1" w:styleId="305">
    <w:name w:val="表格小"/>
    <w:basedOn w:val="1"/>
    <w:qFormat/>
    <w:uiPriority w:val="99"/>
    <w:pPr>
      <w:widowControl/>
      <w:jc w:val="center"/>
    </w:pPr>
    <w:rPr>
      <w:sz w:val="18"/>
      <w:szCs w:val="20"/>
    </w:rPr>
  </w:style>
  <w:style w:type="paragraph" w:customStyle="1" w:styleId="306">
    <w:name w:val="5级正文"/>
    <w:basedOn w:val="1"/>
    <w:next w:val="78"/>
    <w:qFormat/>
    <w:uiPriority w:val="99"/>
    <w:pPr>
      <w:numPr>
        <w:ilvl w:val="0"/>
        <w:numId w:val="2"/>
      </w:numPr>
      <w:spacing w:line="360" w:lineRule="auto"/>
      <w:outlineLvl w:val="4"/>
    </w:pPr>
    <w:rPr>
      <w:rFonts w:ascii="Times New Roman" w:hAnsi="Times New Roman"/>
      <w:b/>
      <w:sz w:val="24"/>
      <w:szCs w:val="24"/>
    </w:rPr>
  </w:style>
  <w:style w:type="paragraph" w:customStyle="1" w:styleId="307">
    <w:name w:val="正文4"/>
    <w:qFormat/>
    <w:uiPriority w:val="99"/>
    <w:pPr>
      <w:jc w:val="both"/>
    </w:pPr>
    <w:rPr>
      <w:rFonts w:ascii="Calibri" w:hAnsi="Calibri" w:eastAsia="宋体" w:cs="Times New Roman"/>
      <w:kern w:val="2"/>
      <w:sz w:val="21"/>
      <w:szCs w:val="21"/>
      <w:lang w:val="en-US" w:eastAsia="zh-CN" w:bidi="ar-SA"/>
    </w:rPr>
  </w:style>
  <w:style w:type="paragraph" w:customStyle="1" w:styleId="308">
    <w:name w:val="样式 正文首行缩进 + 首行缩进:  2 字符"/>
    <w:basedOn w:val="49"/>
    <w:qFormat/>
    <w:uiPriority w:val="0"/>
    <w:pPr>
      <w:widowControl w:val="0"/>
      <w:spacing w:after="0" w:line="520" w:lineRule="exact"/>
      <w:ind w:firstLine="520" w:firstLineChars="200"/>
      <w:jc w:val="both"/>
    </w:pPr>
    <w:rPr>
      <w:rFonts w:ascii="Times New Roman" w:hAnsi="Times New Roman" w:cs="宋体"/>
      <w:spacing w:val="10"/>
      <w:kern w:val="2"/>
      <w:sz w:val="26"/>
      <w:szCs w:val="20"/>
    </w:rPr>
  </w:style>
  <w:style w:type="paragraph" w:customStyle="1" w:styleId="309">
    <w:name w:val="燕山正文"/>
    <w:basedOn w:val="1"/>
    <w:qFormat/>
    <w:uiPriority w:val="0"/>
    <w:pPr>
      <w:tabs>
        <w:tab w:val="left" w:pos="4680"/>
      </w:tabs>
      <w:adjustRightInd w:val="0"/>
      <w:snapToGrid w:val="0"/>
      <w:spacing w:line="500" w:lineRule="exact"/>
      <w:ind w:firstLine="456" w:firstLineChars="200"/>
    </w:pPr>
    <w:rPr>
      <w:rFonts w:ascii="宋体" w:hAnsi="宋体"/>
      <w:snapToGrid w:val="0"/>
      <w:color w:val="000000"/>
      <w:spacing w:val="-6"/>
      <w:kern w:val="0"/>
      <w:sz w:val="24"/>
      <w:szCs w:val="24"/>
      <w:shd w:val="clear" w:color="auto" w:fill="FFFFFF"/>
    </w:rPr>
  </w:style>
  <w:style w:type="paragraph" w:customStyle="1" w:styleId="310">
    <w:name w:val="修订1"/>
    <w:unhideWhenUsed/>
    <w:qFormat/>
    <w:uiPriority w:val="99"/>
    <w:rPr>
      <w:rFonts w:ascii="Calibri" w:hAnsi="Calibri" w:eastAsia="宋体" w:cs="Times New Roman"/>
      <w:kern w:val="2"/>
      <w:sz w:val="21"/>
      <w:szCs w:val="21"/>
      <w:lang w:val="en-US" w:eastAsia="zh-CN" w:bidi="ar-SA"/>
    </w:rPr>
  </w:style>
  <w:style w:type="paragraph" w:customStyle="1" w:styleId="311">
    <w:name w:val="引用1"/>
    <w:basedOn w:val="1"/>
    <w:next w:val="1"/>
    <w:qFormat/>
    <w:uiPriority w:val="29"/>
    <w:pPr>
      <w:spacing w:before="200" w:after="160" w:line="500" w:lineRule="exact"/>
      <w:ind w:left="864" w:right="864" w:firstLine="200" w:firstLineChars="200"/>
      <w:jc w:val="center"/>
    </w:pPr>
    <w:rPr>
      <w:i/>
      <w:iCs/>
      <w:color w:val="404040"/>
      <w:sz w:val="24"/>
    </w:rPr>
  </w:style>
  <w:style w:type="paragraph" w:customStyle="1" w:styleId="312">
    <w:name w:val="表格后"/>
    <w:basedOn w:val="1"/>
    <w:next w:val="1"/>
    <w:qFormat/>
    <w:uiPriority w:val="0"/>
    <w:pPr>
      <w:spacing w:beforeLines="50" w:line="360" w:lineRule="auto"/>
      <w:ind w:firstLine="200" w:firstLineChars="200"/>
    </w:pPr>
    <w:rPr>
      <w:rFonts w:ascii="Times New Roman" w:hAnsi="Times New Roman"/>
      <w:sz w:val="24"/>
      <w:szCs w:val="24"/>
    </w:rPr>
  </w:style>
  <w:style w:type="paragraph" w:customStyle="1" w:styleId="313">
    <w:name w:val="0正文 塔中"/>
    <w:basedOn w:val="1"/>
    <w:qFormat/>
    <w:uiPriority w:val="99"/>
    <w:pPr>
      <w:spacing w:line="360" w:lineRule="auto"/>
      <w:ind w:firstLine="200" w:firstLineChars="200"/>
    </w:pPr>
    <w:rPr>
      <w:rFonts w:ascii="Times New Roman" w:hAnsi="Times New Roman"/>
      <w:sz w:val="24"/>
      <w:szCs w:val="24"/>
    </w:rPr>
  </w:style>
  <w:style w:type="paragraph" w:customStyle="1" w:styleId="314">
    <w:name w:val="标准"/>
    <w:basedOn w:val="1"/>
    <w:qFormat/>
    <w:uiPriority w:val="0"/>
    <w:pPr>
      <w:adjustRightInd w:val="0"/>
      <w:spacing w:before="120" w:line="336" w:lineRule="auto"/>
      <w:jc w:val="center"/>
    </w:pPr>
    <w:rPr>
      <w:rFonts w:hint="eastAsia" w:ascii="黑体" w:hAnsi="Times New Roman" w:eastAsia="黑体"/>
      <w:szCs w:val="20"/>
    </w:rPr>
  </w:style>
  <w:style w:type="paragraph" w:customStyle="1" w:styleId="315">
    <w:name w:val="4 正文"/>
    <w:basedOn w:val="1"/>
    <w:qFormat/>
    <w:uiPriority w:val="0"/>
    <w:pPr>
      <w:spacing w:line="500" w:lineRule="exact"/>
      <w:ind w:firstLine="200" w:firstLineChars="200"/>
    </w:pPr>
    <w:rPr>
      <w:rFonts w:ascii="Times New Roman" w:hAnsi="Times New Roman"/>
      <w:sz w:val="24"/>
      <w:szCs w:val="24"/>
      <w:lang w:val="zh-CN"/>
    </w:rPr>
  </w:style>
  <w:style w:type="paragraph" w:customStyle="1" w:styleId="316">
    <w:name w:val="Char Char Char Char Char Char Char"/>
    <w:basedOn w:val="1"/>
    <w:qFormat/>
    <w:uiPriority w:val="0"/>
    <w:pPr>
      <w:widowControl/>
      <w:spacing w:after="160" w:line="240" w:lineRule="exact"/>
      <w:jc w:val="left"/>
    </w:pPr>
    <w:rPr>
      <w:rFonts w:ascii="Verdana" w:hAnsi="Verdana"/>
      <w:kern w:val="0"/>
      <w:sz w:val="20"/>
      <w:szCs w:val="20"/>
      <w:lang w:eastAsia="en-US"/>
    </w:rPr>
  </w:style>
  <w:style w:type="paragraph" w:customStyle="1" w:styleId="317">
    <w:name w:val="自标4"/>
    <w:basedOn w:val="5"/>
    <w:qFormat/>
    <w:uiPriority w:val="0"/>
    <w:pPr>
      <w:spacing w:line="360" w:lineRule="auto"/>
    </w:pPr>
    <w:rPr>
      <w:rFonts w:ascii="宋体"/>
      <w:b/>
      <w:kern w:val="2"/>
      <w:lang w:val="en-US"/>
    </w:rPr>
  </w:style>
  <w:style w:type="paragraph" w:customStyle="1" w:styleId="318">
    <w:name w:val="yf_正文"/>
    <w:basedOn w:val="1"/>
    <w:qFormat/>
    <w:uiPriority w:val="99"/>
    <w:pPr>
      <w:widowControl/>
      <w:spacing w:line="324" w:lineRule="auto"/>
      <w:ind w:firstLine="480" w:firstLineChars="200"/>
    </w:pPr>
    <w:rPr>
      <w:rFonts w:ascii="Times New Roman" w:hAnsi="Times New Roman"/>
      <w:sz w:val="24"/>
      <w:szCs w:val="24"/>
    </w:rPr>
  </w:style>
  <w:style w:type="paragraph" w:customStyle="1" w:styleId="319">
    <w:name w:val="图表标题"/>
    <w:basedOn w:val="1"/>
    <w:qFormat/>
    <w:uiPriority w:val="0"/>
    <w:pPr>
      <w:snapToGrid w:val="0"/>
      <w:spacing w:line="500" w:lineRule="exact"/>
      <w:jc w:val="center"/>
    </w:pPr>
    <w:rPr>
      <w:rFonts w:ascii="Times New Roman" w:hAnsi="Times New Roman"/>
      <w:b/>
      <w:bCs/>
      <w:kern w:val="0"/>
      <w:szCs w:val="21"/>
    </w:rPr>
  </w:style>
  <w:style w:type="paragraph" w:customStyle="1" w:styleId="320">
    <w:name w:val="Char Char3 Char Char Char Char"/>
    <w:basedOn w:val="1"/>
    <w:qFormat/>
    <w:uiPriority w:val="0"/>
    <w:pPr>
      <w:widowControl/>
      <w:spacing w:after="160" w:line="240" w:lineRule="exact"/>
      <w:jc w:val="left"/>
    </w:pPr>
    <w:rPr>
      <w:rFonts w:ascii="Verdana" w:hAnsi="Verdana"/>
      <w:kern w:val="0"/>
      <w:sz w:val="20"/>
      <w:szCs w:val="20"/>
      <w:lang w:eastAsia="en-US"/>
    </w:rPr>
  </w:style>
  <w:style w:type="paragraph" w:customStyle="1" w:styleId="321">
    <w:name w:val="例"/>
    <w:basedOn w:val="1"/>
    <w:qFormat/>
    <w:uiPriority w:val="0"/>
    <w:pPr>
      <w:widowControl/>
      <w:spacing w:line="500" w:lineRule="exact"/>
      <w:ind w:firstLine="720" w:firstLineChars="257"/>
    </w:pPr>
    <w:rPr>
      <w:rFonts w:ascii="仿宋_GB2312" w:hAnsi="Times New Roman" w:eastAsia="仿宋_GB2312"/>
      <w:bCs/>
      <w:sz w:val="28"/>
      <w:szCs w:val="24"/>
    </w:rPr>
  </w:style>
  <w:style w:type="paragraph" w:customStyle="1" w:styleId="322">
    <w:name w:val="表格内容"/>
    <w:basedOn w:val="1"/>
    <w:next w:val="1"/>
    <w:qFormat/>
    <w:uiPriority w:val="0"/>
    <w:pPr>
      <w:spacing w:line="240" w:lineRule="exact"/>
      <w:jc w:val="center"/>
    </w:pPr>
    <w:rPr>
      <w:rFonts w:ascii="宋体" w:hAnsi="宋体"/>
      <w:color w:val="000000"/>
      <w:w w:val="50"/>
      <w:sz w:val="18"/>
      <w:szCs w:val="18"/>
    </w:rPr>
  </w:style>
  <w:style w:type="paragraph" w:customStyle="1" w:styleId="323">
    <w:name w:val="样式 正文首行缩进 + 首行缩进:  2 字符1"/>
    <w:basedOn w:val="49"/>
    <w:qFormat/>
    <w:uiPriority w:val="0"/>
    <w:pPr>
      <w:widowControl w:val="0"/>
      <w:spacing w:after="0" w:line="360" w:lineRule="auto"/>
      <w:ind w:firstLine="480" w:firstLineChars="200"/>
      <w:jc w:val="both"/>
    </w:pPr>
    <w:rPr>
      <w:rFonts w:ascii="Times New Roman" w:hAnsi="Times New Roman"/>
      <w:kern w:val="2"/>
    </w:rPr>
  </w:style>
  <w:style w:type="paragraph" w:customStyle="1" w:styleId="324">
    <w:name w:val="Char"/>
    <w:basedOn w:val="1"/>
    <w:qFormat/>
    <w:uiPriority w:val="0"/>
    <w:pPr>
      <w:widowControl/>
      <w:spacing w:after="160" w:line="240" w:lineRule="exact"/>
      <w:jc w:val="left"/>
    </w:pPr>
    <w:rPr>
      <w:rFonts w:ascii="Verdana" w:hAnsi="Verdana"/>
      <w:kern w:val="0"/>
      <w:sz w:val="20"/>
      <w:szCs w:val="20"/>
      <w:lang w:eastAsia="en-US"/>
    </w:rPr>
  </w:style>
  <w:style w:type="paragraph" w:customStyle="1" w:styleId="325">
    <w:name w:val="报告"/>
    <w:basedOn w:val="1"/>
    <w:qFormat/>
    <w:uiPriority w:val="99"/>
    <w:pPr>
      <w:adjustRightInd w:val="0"/>
      <w:spacing w:line="360" w:lineRule="auto"/>
      <w:ind w:firstLine="505"/>
      <w:textAlignment w:val="baseline"/>
    </w:pPr>
    <w:rPr>
      <w:rFonts w:ascii="Times New Roman" w:hAnsi="Times New Roman"/>
      <w:kern w:val="0"/>
      <w:sz w:val="24"/>
      <w:szCs w:val="20"/>
    </w:rPr>
  </w:style>
  <w:style w:type="paragraph" w:customStyle="1" w:styleId="326">
    <w:name w:val="样式 燕山正文 + 首行缩进:  3.5 字符2"/>
    <w:basedOn w:val="309"/>
    <w:qFormat/>
    <w:uiPriority w:val="0"/>
    <w:rPr>
      <w:szCs w:val="20"/>
    </w:rPr>
  </w:style>
  <w:style w:type="paragraph" w:customStyle="1" w:styleId="327">
    <w:name w:val="列出段落11"/>
    <w:basedOn w:val="1"/>
    <w:qFormat/>
    <w:uiPriority w:val="34"/>
    <w:pPr>
      <w:ind w:firstLine="420" w:firstLineChars="200"/>
    </w:pPr>
    <w:rPr>
      <w:szCs w:val="21"/>
    </w:rPr>
  </w:style>
  <w:style w:type="paragraph" w:customStyle="1" w:styleId="328">
    <w:name w:val="TOC 标题1"/>
    <w:basedOn w:val="3"/>
    <w:next w:val="1"/>
    <w:unhideWhenUsed/>
    <w:qFormat/>
    <w:uiPriority w:val="39"/>
    <w:pPr>
      <w:keepNext w:val="0"/>
      <w:keepLines/>
      <w:widowControl w:val="0"/>
      <w:numPr>
        <w:numId w:val="0"/>
      </w:numPr>
      <w:spacing w:before="240" w:after="0" w:line="259" w:lineRule="auto"/>
      <w:jc w:val="both"/>
      <w:outlineLvl w:val="9"/>
    </w:pPr>
    <w:rPr>
      <w:rFonts w:ascii="Cambria" w:hAnsi="Cambria" w:eastAsia="宋体"/>
      <w:color w:val="366091"/>
      <w:kern w:val="0"/>
      <w:szCs w:val="32"/>
    </w:rPr>
  </w:style>
  <w:style w:type="paragraph" w:customStyle="1" w:styleId="329">
    <w:name w:val="正文缩进1"/>
    <w:basedOn w:val="1"/>
    <w:qFormat/>
    <w:uiPriority w:val="0"/>
    <w:pPr>
      <w:ind w:firstLine="420" w:firstLineChars="200"/>
    </w:pPr>
    <w:rPr>
      <w:rFonts w:ascii="Times New Roman" w:hAnsi="Times New Roman"/>
      <w:szCs w:val="20"/>
    </w:rPr>
  </w:style>
  <w:style w:type="paragraph" w:customStyle="1" w:styleId="330">
    <w:name w:val="表格标题"/>
    <w:basedOn w:val="19"/>
    <w:qFormat/>
    <w:uiPriority w:val="0"/>
    <w:pPr>
      <w:spacing w:before="156" w:beforeLines="50" w:after="156" w:afterLines="50" w:line="360" w:lineRule="auto"/>
      <w:jc w:val="center"/>
    </w:pPr>
    <w:rPr>
      <w:rFonts w:ascii="黑体" w:hAnsi="Times New Roman" w:eastAsia="黑体"/>
      <w:kern w:val="40"/>
      <w:sz w:val="24"/>
      <w:szCs w:val="30"/>
    </w:rPr>
  </w:style>
  <w:style w:type="paragraph" w:customStyle="1" w:styleId="331">
    <w:name w:val="Char1 Char Char Char"/>
    <w:basedOn w:val="1"/>
    <w:qFormat/>
    <w:uiPriority w:val="0"/>
    <w:pPr>
      <w:widowControl/>
      <w:spacing w:after="160" w:line="240" w:lineRule="exact"/>
      <w:jc w:val="left"/>
    </w:pPr>
    <w:rPr>
      <w:rFonts w:ascii="Verdana" w:hAnsi="Verdana"/>
      <w:kern w:val="0"/>
      <w:sz w:val="20"/>
      <w:szCs w:val="20"/>
      <w:lang w:eastAsia="en-US"/>
    </w:rPr>
  </w:style>
  <w:style w:type="paragraph" w:customStyle="1" w:styleId="332">
    <w:name w:val="JXU-正文"/>
    <w:qFormat/>
    <w:uiPriority w:val="99"/>
    <w:pPr>
      <w:widowControl w:val="0"/>
      <w:adjustRightInd w:val="0"/>
      <w:snapToGrid w:val="0"/>
      <w:spacing w:line="500" w:lineRule="exact"/>
      <w:ind w:firstLine="510"/>
    </w:pPr>
    <w:rPr>
      <w:rFonts w:ascii="Calibri" w:hAnsi="Calibri" w:eastAsia="宋体" w:cs="Times New Roman"/>
      <w:color w:val="000000"/>
      <w:kern w:val="2"/>
      <w:sz w:val="24"/>
      <w:szCs w:val="24"/>
      <w:lang w:val="en-US" w:eastAsia="zh-CN" w:bidi="ar-SA"/>
    </w:rPr>
  </w:style>
  <w:style w:type="paragraph" w:customStyle="1" w:styleId="333">
    <w:name w:val="正文 内容"/>
    <w:basedOn w:val="1"/>
    <w:qFormat/>
    <w:uiPriority w:val="0"/>
    <w:pPr>
      <w:autoSpaceDE w:val="0"/>
      <w:autoSpaceDN w:val="0"/>
      <w:adjustRightInd w:val="0"/>
      <w:snapToGrid w:val="0"/>
      <w:spacing w:line="360" w:lineRule="auto"/>
      <w:ind w:firstLine="200" w:firstLineChars="200"/>
    </w:pPr>
    <w:rPr>
      <w:kern w:val="0"/>
      <w:sz w:val="24"/>
      <w:szCs w:val="20"/>
    </w:rPr>
  </w:style>
  <w:style w:type="paragraph" w:customStyle="1" w:styleId="334">
    <w:name w:val="TOC 标题2"/>
    <w:basedOn w:val="3"/>
    <w:next w:val="1"/>
    <w:qFormat/>
    <w:uiPriority w:val="39"/>
    <w:pPr>
      <w:keepLines/>
      <w:numPr>
        <w:numId w:val="0"/>
      </w:numPr>
      <w:spacing w:before="480" w:after="0" w:line="276" w:lineRule="auto"/>
      <w:outlineLvl w:val="9"/>
    </w:pPr>
    <w:rPr>
      <w:rFonts w:ascii="Cambria" w:hAnsi="Cambria" w:eastAsia="宋体"/>
      <w:b/>
      <w:bCs/>
      <w:color w:val="365F91"/>
      <w:kern w:val="0"/>
      <w:sz w:val="28"/>
      <w:szCs w:val="28"/>
    </w:rPr>
  </w:style>
  <w:style w:type="paragraph" w:customStyle="1" w:styleId="335">
    <w:name w:val="表内5中"/>
    <w:basedOn w:val="24"/>
    <w:qFormat/>
    <w:uiPriority w:val="0"/>
    <w:pPr>
      <w:spacing w:line="240" w:lineRule="exact"/>
      <w:jc w:val="center"/>
    </w:pPr>
    <w:rPr>
      <w:rFonts w:ascii="Times New Roman" w:hAnsi="Times New Roman"/>
      <w:kern w:val="2"/>
      <w:sz w:val="21"/>
      <w:szCs w:val="24"/>
    </w:rPr>
  </w:style>
  <w:style w:type="paragraph" w:customStyle="1" w:styleId="336">
    <w:name w:val="_Style 1"/>
    <w:basedOn w:val="1"/>
    <w:qFormat/>
    <w:uiPriority w:val="34"/>
    <w:pPr>
      <w:ind w:firstLine="420" w:firstLineChars="200"/>
    </w:pPr>
    <w:rPr>
      <w:rFonts w:ascii="Times New Roman" w:hAnsi="Times New Roman"/>
      <w:szCs w:val="21"/>
    </w:rPr>
  </w:style>
  <w:style w:type="paragraph" w:customStyle="1" w:styleId="337">
    <w:name w:val="13点"/>
    <w:basedOn w:val="1"/>
    <w:qFormat/>
    <w:uiPriority w:val="0"/>
    <w:pPr>
      <w:adjustRightInd w:val="0"/>
      <w:snapToGrid w:val="0"/>
      <w:ind w:left="-105" w:leftChars="-50" w:right="-105" w:rightChars="-50"/>
      <w:jc w:val="center"/>
    </w:pPr>
    <w:rPr>
      <w:rFonts w:ascii="宋体" w:hAnsi="宋体"/>
      <w:sz w:val="24"/>
      <w:szCs w:val="28"/>
    </w:rPr>
  </w:style>
  <w:style w:type="paragraph" w:customStyle="1" w:styleId="338">
    <w:name w:val="Char2"/>
    <w:basedOn w:val="1"/>
    <w:qFormat/>
    <w:uiPriority w:val="0"/>
    <w:rPr>
      <w:rFonts w:ascii="Times New Roman" w:hAnsi="Times New Roman"/>
      <w:szCs w:val="20"/>
    </w:rPr>
  </w:style>
  <w:style w:type="paragraph" w:customStyle="1" w:styleId="339">
    <w:name w:val="正文表标题"/>
    <w:next w:val="1"/>
    <w:qFormat/>
    <w:uiPriority w:val="99"/>
    <w:pPr>
      <w:spacing w:beforeLines="50" w:afterLines="50"/>
      <w:jc w:val="center"/>
    </w:pPr>
    <w:rPr>
      <w:rFonts w:ascii="黑体" w:hAnsi="Calibri" w:eastAsia="黑体" w:cs="Times New Roman"/>
      <w:sz w:val="21"/>
      <w:szCs w:val="22"/>
      <w:lang w:val="en-US" w:eastAsia="zh-CN" w:bidi="ar-SA"/>
    </w:rPr>
  </w:style>
  <w:style w:type="paragraph" w:customStyle="1" w:styleId="340">
    <w:name w:val="4刘群正文*"/>
    <w:basedOn w:val="1"/>
    <w:qFormat/>
    <w:uiPriority w:val="0"/>
    <w:pPr>
      <w:spacing w:line="520" w:lineRule="exact"/>
      <w:ind w:firstLine="480" w:firstLineChars="200"/>
    </w:pPr>
    <w:rPr>
      <w:rFonts w:ascii="Times New Roman" w:hAnsi="Times New Roman"/>
      <w:sz w:val="24"/>
      <w:szCs w:val="24"/>
    </w:rPr>
  </w:style>
  <w:style w:type="paragraph" w:customStyle="1" w:styleId="341">
    <w:name w:val="关键词"/>
    <w:qFormat/>
    <w:uiPriority w:val="0"/>
    <w:pPr>
      <w:widowControl w:val="0"/>
      <w:adjustRightInd w:val="0"/>
      <w:spacing w:line="360" w:lineRule="auto"/>
      <w:jc w:val="both"/>
      <w:textAlignment w:val="baseline"/>
    </w:pPr>
    <w:rPr>
      <w:rFonts w:ascii="Calibri" w:hAnsi="Calibri" w:eastAsia="黑体" w:cs="Times New Roman"/>
      <w:sz w:val="24"/>
      <w:szCs w:val="24"/>
      <w:lang w:val="en-US" w:eastAsia="zh-CN" w:bidi="ar-SA"/>
    </w:rPr>
  </w:style>
  <w:style w:type="paragraph" w:customStyle="1" w:styleId="342">
    <w:name w:val="Table Paragraph"/>
    <w:basedOn w:val="1"/>
    <w:qFormat/>
    <w:uiPriority w:val="1"/>
    <w:pPr>
      <w:autoSpaceDE w:val="0"/>
      <w:autoSpaceDN w:val="0"/>
      <w:adjustRightInd w:val="0"/>
      <w:jc w:val="center"/>
    </w:pPr>
    <w:rPr>
      <w:rFonts w:ascii="宋体" w:hAnsi="Times New Roman" w:cs="宋体"/>
      <w:kern w:val="0"/>
      <w:sz w:val="24"/>
      <w:szCs w:val="24"/>
    </w:rPr>
  </w:style>
  <w:style w:type="paragraph" w:customStyle="1" w:styleId="343">
    <w:name w:val="ht正文"/>
    <w:basedOn w:val="1"/>
    <w:qFormat/>
    <w:uiPriority w:val="99"/>
    <w:pPr>
      <w:spacing w:line="360" w:lineRule="auto"/>
      <w:ind w:firstLine="496" w:firstLineChars="200"/>
    </w:pPr>
    <w:rPr>
      <w:rFonts w:ascii="宋体" w:hAnsi="宋体" w:cs="宋体"/>
      <w:spacing w:val="4"/>
      <w:sz w:val="24"/>
      <w:szCs w:val="24"/>
    </w:rPr>
  </w:style>
  <w:style w:type="paragraph" w:customStyle="1" w:styleId="344">
    <w:name w:val="正文11"/>
    <w:qFormat/>
    <w:uiPriority w:val="0"/>
    <w:pPr>
      <w:jc w:val="both"/>
    </w:pPr>
    <w:rPr>
      <w:rFonts w:ascii="Calibri" w:hAnsi="Calibri" w:eastAsia="宋体" w:cs="Times New Roman"/>
      <w:kern w:val="2"/>
      <w:sz w:val="21"/>
      <w:szCs w:val="21"/>
      <w:lang w:val="en-US" w:eastAsia="zh-CN" w:bidi="ar-SA"/>
    </w:rPr>
  </w:style>
  <w:style w:type="paragraph" w:customStyle="1" w:styleId="345">
    <w:name w:val="WPS Plain"/>
    <w:qFormat/>
    <w:uiPriority w:val="99"/>
    <w:rPr>
      <w:rFonts w:ascii="Calibri" w:hAnsi="Calibri" w:eastAsia="宋体" w:cs="Times New Roman"/>
      <w:sz w:val="21"/>
      <w:szCs w:val="22"/>
      <w:lang w:val="en-US" w:eastAsia="zh-CN" w:bidi="ar-SA"/>
    </w:rPr>
  </w:style>
  <w:style w:type="paragraph" w:customStyle="1" w:styleId="346">
    <w:name w:val="正文5"/>
    <w:qFormat/>
    <w:uiPriority w:val="99"/>
    <w:pPr>
      <w:jc w:val="both"/>
    </w:pPr>
    <w:rPr>
      <w:rFonts w:ascii="Calibri" w:hAnsi="Calibri" w:eastAsia="宋体" w:cs="Times New Roman"/>
      <w:kern w:val="2"/>
      <w:sz w:val="21"/>
      <w:szCs w:val="21"/>
      <w:lang w:val="en-US" w:eastAsia="zh-CN" w:bidi="ar-SA"/>
    </w:rPr>
  </w:style>
  <w:style w:type="paragraph" w:customStyle="1" w:styleId="347">
    <w:name w:val="表格2"/>
    <w:qFormat/>
    <w:uiPriority w:val="0"/>
    <w:pPr>
      <w:spacing w:line="400" w:lineRule="exact"/>
      <w:jc w:val="center"/>
    </w:pPr>
    <w:rPr>
      <w:rFonts w:ascii="Calibri" w:hAnsi="Calibri" w:eastAsia="宋体" w:cs="Times New Roman"/>
      <w:sz w:val="21"/>
      <w:lang w:val="en-US" w:eastAsia="zh-CN" w:bidi="ar-SA"/>
    </w:rPr>
  </w:style>
  <w:style w:type="paragraph" w:customStyle="1" w:styleId="348">
    <w:name w:val="样式 标题 1 + (西文) Arial (中文) 黑体 三号 两端对齐 首行缩进:  0.87 厘米 段前: 6 磅..."/>
    <w:basedOn w:val="3"/>
    <w:qFormat/>
    <w:uiPriority w:val="0"/>
    <w:pPr>
      <w:pageBreakBefore/>
      <w:numPr>
        <w:numId w:val="0"/>
      </w:numPr>
      <w:spacing w:before="160" w:after="160" w:line="500" w:lineRule="exact"/>
      <w:ind w:firstLine="493"/>
      <w:jc w:val="both"/>
    </w:pPr>
    <w:rPr>
      <w:rFonts w:ascii="Arial" w:hAnsi="Arial" w:cs="宋体"/>
      <w:spacing w:val="16"/>
      <w:w w:val="90"/>
      <w:kern w:val="32"/>
      <w:szCs w:val="32"/>
    </w:rPr>
  </w:style>
  <w:style w:type="paragraph" w:customStyle="1" w:styleId="349">
    <w:name w:val="样式 样式 样式 样式 首行缩进:  2 字符1 + 首行缩进:  2 字符 + 首行缩进:  2 字符 + 首行缩进:  2 ..."/>
    <w:basedOn w:val="1"/>
    <w:qFormat/>
    <w:uiPriority w:val="0"/>
    <w:pPr>
      <w:ind w:firstLine="500" w:firstLineChars="200"/>
    </w:pPr>
    <w:rPr>
      <w:rFonts w:ascii="Times New Roman" w:hAnsi="Times New Roman" w:cs="宋体"/>
      <w:sz w:val="24"/>
      <w:szCs w:val="20"/>
    </w:rPr>
  </w:style>
  <w:style w:type="paragraph" w:customStyle="1" w:styleId="350">
    <w:name w:val="文本"/>
    <w:qFormat/>
    <w:uiPriority w:val="99"/>
    <w:pPr>
      <w:adjustRightInd w:val="0"/>
      <w:snapToGrid w:val="0"/>
      <w:spacing w:line="500" w:lineRule="exact"/>
      <w:ind w:firstLine="524" w:firstLineChars="200"/>
      <w:jc w:val="both"/>
    </w:pPr>
    <w:rPr>
      <w:rFonts w:ascii="仿宋_GB2312" w:hAnsi="Calibri" w:eastAsia="仿宋_GB2312" w:cs="Times New Roman"/>
      <w:sz w:val="24"/>
      <w:szCs w:val="22"/>
      <w:lang w:val="en-US" w:eastAsia="zh-CN" w:bidi="ar-SA"/>
    </w:rPr>
  </w:style>
  <w:style w:type="paragraph" w:customStyle="1" w:styleId="351">
    <w:name w:val="标题 2，二级标题"/>
    <w:basedOn w:val="2"/>
    <w:qFormat/>
    <w:uiPriority w:val="99"/>
    <w:pPr>
      <w:numPr>
        <w:ilvl w:val="0"/>
        <w:numId w:val="0"/>
      </w:numPr>
      <w:spacing w:before="260" w:after="260" w:line="415" w:lineRule="auto"/>
      <w:jc w:val="both"/>
    </w:pPr>
    <w:rPr>
      <w:rFonts w:ascii="Arial" w:hAnsi="Arial"/>
      <w:bCs w:val="0"/>
      <w:sz w:val="24"/>
      <w:szCs w:val="24"/>
    </w:rPr>
  </w:style>
  <w:style w:type="paragraph" w:customStyle="1" w:styleId="352">
    <w:name w:val="正文10"/>
    <w:qFormat/>
    <w:uiPriority w:val="0"/>
    <w:pPr>
      <w:jc w:val="both"/>
    </w:pPr>
    <w:rPr>
      <w:rFonts w:ascii="Calibri" w:hAnsi="Calibri" w:eastAsia="宋体" w:cs="Times New Roman"/>
      <w:kern w:val="2"/>
      <w:sz w:val="21"/>
      <w:szCs w:val="21"/>
      <w:lang w:val="en-US" w:eastAsia="zh-CN" w:bidi="ar-SA"/>
    </w:rPr>
  </w:style>
  <w:style w:type="paragraph" w:customStyle="1" w:styleId="353">
    <w:name w:val="明显引用1"/>
    <w:basedOn w:val="1"/>
    <w:next w:val="1"/>
    <w:qFormat/>
    <w:uiPriority w:val="30"/>
    <w:pPr>
      <w:pBdr>
        <w:top w:val="single" w:color="4F81BD" w:sz="4" w:space="10"/>
        <w:bottom w:val="single" w:color="4F81BD" w:sz="4" w:space="10"/>
      </w:pBdr>
      <w:spacing w:before="360" w:after="360" w:line="500" w:lineRule="exact"/>
      <w:ind w:left="864" w:right="864" w:firstLine="200" w:firstLineChars="200"/>
      <w:jc w:val="center"/>
    </w:pPr>
    <w:rPr>
      <w:i/>
      <w:iCs/>
      <w:color w:val="4F81BD"/>
      <w:sz w:val="24"/>
    </w:rPr>
  </w:style>
  <w:style w:type="paragraph" w:customStyle="1" w:styleId="354">
    <w:name w:val="xl66"/>
    <w:basedOn w:val="1"/>
    <w:qFormat/>
    <w:uiPriority w:val="0"/>
    <w:pPr>
      <w:widowControl/>
      <w:pBdr>
        <w:left w:val="single" w:color="auto" w:sz="4" w:space="0"/>
        <w:bottom w:val="single" w:color="auto" w:sz="4" w:space="0"/>
      </w:pBdr>
      <w:spacing w:before="100" w:beforeAutospacing="1" w:after="100" w:afterAutospacing="1"/>
      <w:jc w:val="center"/>
      <w:textAlignment w:val="center"/>
    </w:pPr>
    <w:rPr>
      <w:rFonts w:ascii="Times New Roman" w:hAnsi="Times New Roman"/>
      <w:kern w:val="0"/>
      <w:szCs w:val="21"/>
    </w:rPr>
  </w:style>
  <w:style w:type="paragraph" w:customStyle="1" w:styleId="355">
    <w:name w:val="默认段落字体 Para Char"/>
    <w:basedOn w:val="1"/>
    <w:next w:val="1"/>
    <w:qFormat/>
    <w:uiPriority w:val="0"/>
    <w:pPr>
      <w:spacing w:line="360" w:lineRule="auto"/>
      <w:ind w:firstLine="200" w:firstLineChars="200"/>
    </w:pPr>
    <w:rPr>
      <w:rFonts w:ascii="宋体" w:hAnsi="宋体" w:cs="宋体"/>
      <w:sz w:val="24"/>
      <w:szCs w:val="21"/>
    </w:rPr>
  </w:style>
  <w:style w:type="paragraph" w:customStyle="1" w:styleId="356">
    <w:name w:val="图标题"/>
    <w:basedOn w:val="74"/>
    <w:qFormat/>
    <w:uiPriority w:val="99"/>
    <w:pPr>
      <w:spacing w:after="0" w:afterAutospacing="0" w:line="360" w:lineRule="auto"/>
    </w:pPr>
    <w:rPr>
      <w:bCs/>
      <w:sz w:val="24"/>
      <w:szCs w:val="24"/>
    </w:rPr>
  </w:style>
  <w:style w:type="paragraph" w:customStyle="1" w:styleId="357">
    <w:name w:val="正文21"/>
    <w:basedOn w:val="1"/>
    <w:qFormat/>
    <w:uiPriority w:val="99"/>
    <w:pPr>
      <w:widowControl/>
    </w:pPr>
    <w:rPr>
      <w:rFonts w:cs="宋体"/>
      <w:szCs w:val="21"/>
    </w:rPr>
  </w:style>
  <w:style w:type="paragraph" w:customStyle="1" w:styleId="358">
    <w:name w:val="TOC 标题11"/>
    <w:basedOn w:val="3"/>
    <w:next w:val="1"/>
    <w:unhideWhenUsed/>
    <w:qFormat/>
    <w:uiPriority w:val="39"/>
    <w:pPr>
      <w:keepLines/>
      <w:numPr>
        <w:numId w:val="0"/>
      </w:numPr>
      <w:spacing w:before="240" w:after="0" w:line="259" w:lineRule="auto"/>
      <w:outlineLvl w:val="9"/>
    </w:pPr>
    <w:rPr>
      <w:rFonts w:ascii="Cambria" w:hAnsi="Cambria" w:eastAsia="宋体"/>
      <w:b/>
      <w:color w:val="366091"/>
      <w:kern w:val="0"/>
      <w:szCs w:val="32"/>
    </w:rPr>
  </w:style>
  <w:style w:type="paragraph" w:customStyle="1" w:styleId="359">
    <w:name w:val="列出段落1"/>
    <w:basedOn w:val="1"/>
    <w:unhideWhenUsed/>
    <w:qFormat/>
    <w:uiPriority w:val="99"/>
    <w:pPr>
      <w:ind w:firstLine="420" w:firstLineChars="200"/>
    </w:pPr>
    <w:rPr>
      <w:szCs w:val="21"/>
    </w:rPr>
  </w:style>
  <w:style w:type="paragraph" w:customStyle="1" w:styleId="360">
    <w:name w:val="列出段落12"/>
    <w:basedOn w:val="1"/>
    <w:qFormat/>
    <w:uiPriority w:val="99"/>
    <w:pPr>
      <w:ind w:firstLine="420" w:firstLineChars="200"/>
    </w:pPr>
    <w:rPr>
      <w:szCs w:val="21"/>
    </w:rPr>
  </w:style>
  <w:style w:type="paragraph" w:customStyle="1" w:styleId="361">
    <w:name w:val="正文SK"/>
    <w:basedOn w:val="1"/>
    <w:next w:val="1"/>
    <w:qFormat/>
    <w:uiPriority w:val="99"/>
    <w:rPr>
      <w:rFonts w:ascii="Times New Roman" w:hAnsi="Times New Roman"/>
      <w:sz w:val="24"/>
      <w:szCs w:val="24"/>
    </w:rPr>
  </w:style>
  <w:style w:type="paragraph" w:customStyle="1" w:styleId="362">
    <w:name w:val="正文6"/>
    <w:qFormat/>
    <w:uiPriority w:val="99"/>
    <w:pPr>
      <w:jc w:val="both"/>
    </w:pPr>
    <w:rPr>
      <w:rFonts w:ascii="Calibri" w:hAnsi="Calibri" w:eastAsia="宋体" w:cs="Times New Roman"/>
      <w:kern w:val="2"/>
      <w:sz w:val="21"/>
      <w:szCs w:val="21"/>
      <w:lang w:val="en-US" w:eastAsia="zh-CN" w:bidi="ar-SA"/>
    </w:rPr>
  </w:style>
  <w:style w:type="paragraph" w:customStyle="1" w:styleId="363">
    <w:name w:val="图表名称"/>
    <w:qFormat/>
    <w:uiPriority w:val="99"/>
    <w:pPr>
      <w:adjustRightInd w:val="0"/>
      <w:snapToGrid w:val="0"/>
      <w:spacing w:line="520" w:lineRule="exact"/>
      <w:jc w:val="center"/>
    </w:pPr>
    <w:rPr>
      <w:rFonts w:ascii="仿宋_GB2312" w:hAnsi="Calibri" w:eastAsia="仿宋_GB2312" w:cs="Times New Roman"/>
      <w:b/>
      <w:sz w:val="24"/>
      <w:szCs w:val="22"/>
      <w:lang w:val="en-US" w:eastAsia="zh-CN" w:bidi="ar-SA"/>
    </w:rPr>
  </w:style>
  <w:style w:type="paragraph" w:customStyle="1" w:styleId="364">
    <w:name w:val="列出段落6"/>
    <w:basedOn w:val="1"/>
    <w:unhideWhenUsed/>
    <w:qFormat/>
    <w:uiPriority w:val="99"/>
    <w:pPr>
      <w:ind w:firstLine="420" w:firstLineChars="200"/>
    </w:pPr>
    <w:rPr>
      <w:rFonts w:ascii="Times New Roman" w:hAnsi="Times New Roman"/>
      <w:szCs w:val="21"/>
    </w:rPr>
  </w:style>
  <w:style w:type="paragraph" w:customStyle="1" w:styleId="365">
    <w:name w:val="！正文"/>
    <w:basedOn w:val="1"/>
    <w:link w:val="544"/>
    <w:qFormat/>
    <w:uiPriority w:val="0"/>
    <w:pPr>
      <w:spacing w:line="360" w:lineRule="auto"/>
      <w:ind w:firstLine="200" w:firstLineChars="200"/>
    </w:pPr>
    <w:rPr>
      <w:rFonts w:cs="宋体"/>
      <w:sz w:val="24"/>
      <w:szCs w:val="24"/>
    </w:rPr>
  </w:style>
  <w:style w:type="paragraph" w:customStyle="1" w:styleId="366">
    <w:name w:val="6 表中字体"/>
    <w:basedOn w:val="1"/>
    <w:qFormat/>
    <w:uiPriority w:val="0"/>
    <w:pPr>
      <w:jc w:val="center"/>
      <w:textAlignment w:val="center"/>
    </w:pPr>
    <w:rPr>
      <w:rFonts w:ascii="Times New Roman" w:hAnsi="Times New Roman"/>
      <w:kern w:val="0"/>
      <w:szCs w:val="21"/>
    </w:rPr>
  </w:style>
  <w:style w:type="paragraph" w:customStyle="1" w:styleId="367">
    <w:name w:val="表标题"/>
    <w:basedOn w:val="1"/>
    <w:qFormat/>
    <w:uiPriority w:val="0"/>
    <w:pPr>
      <w:ind w:firstLine="100" w:firstLineChars="100"/>
      <w:jc w:val="left"/>
    </w:pPr>
    <w:rPr>
      <w:rFonts w:eastAsia="黑体"/>
      <w:sz w:val="24"/>
      <w:szCs w:val="21"/>
    </w:rPr>
  </w:style>
  <w:style w:type="paragraph" w:customStyle="1" w:styleId="368">
    <w:name w:val="p0"/>
    <w:basedOn w:val="1"/>
    <w:qFormat/>
    <w:uiPriority w:val="0"/>
    <w:pPr>
      <w:widowControl/>
    </w:pPr>
    <w:rPr>
      <w:rFonts w:ascii="Arial" w:hAnsi="Arial"/>
      <w:kern w:val="0"/>
      <w:szCs w:val="21"/>
    </w:rPr>
  </w:style>
  <w:style w:type="paragraph" w:customStyle="1" w:styleId="369">
    <w:name w:val="表内5"/>
    <w:basedOn w:val="309"/>
    <w:qFormat/>
    <w:uiPriority w:val="0"/>
    <w:pPr>
      <w:spacing w:line="240" w:lineRule="auto"/>
      <w:ind w:firstLine="0" w:firstLineChars="0"/>
      <w:jc w:val="center"/>
    </w:pPr>
    <w:rPr>
      <w:sz w:val="21"/>
      <w:szCs w:val="21"/>
    </w:rPr>
  </w:style>
  <w:style w:type="paragraph" w:customStyle="1" w:styleId="370">
    <w:name w:val="正文7"/>
    <w:qFormat/>
    <w:uiPriority w:val="99"/>
    <w:pPr>
      <w:jc w:val="both"/>
    </w:pPr>
    <w:rPr>
      <w:rFonts w:ascii="Calibri" w:hAnsi="Calibri" w:eastAsia="宋体" w:cs="Times New Roman"/>
      <w:kern w:val="2"/>
      <w:sz w:val="21"/>
      <w:szCs w:val="21"/>
      <w:lang w:val="en-US" w:eastAsia="zh-CN" w:bidi="ar-SA"/>
    </w:rPr>
  </w:style>
  <w:style w:type="paragraph" w:customStyle="1" w:styleId="371">
    <w:name w:val="样式 样式 正文首行缩进 + 首行缩进:  1 字符 + 13 磅 首行缩进:  2 字符"/>
    <w:basedOn w:val="1"/>
    <w:qFormat/>
    <w:uiPriority w:val="0"/>
    <w:pPr>
      <w:spacing w:line="500" w:lineRule="exact"/>
      <w:ind w:firstLine="200" w:firstLineChars="200"/>
    </w:pPr>
    <w:rPr>
      <w:rFonts w:ascii="Times New Roman" w:hAnsi="Times New Roman" w:cs="宋体"/>
      <w:sz w:val="26"/>
      <w:szCs w:val="20"/>
    </w:rPr>
  </w:style>
  <w:style w:type="paragraph" w:customStyle="1" w:styleId="372">
    <w:name w:val="纯文本1"/>
    <w:basedOn w:val="1"/>
    <w:qFormat/>
    <w:uiPriority w:val="0"/>
    <w:pPr>
      <w:adjustRightInd w:val="0"/>
      <w:jc w:val="left"/>
      <w:textAlignment w:val="baseline"/>
    </w:pPr>
    <w:rPr>
      <w:rFonts w:ascii="宋体" w:hAnsi="Courier New"/>
      <w:sz w:val="24"/>
      <w:szCs w:val="20"/>
    </w:rPr>
  </w:style>
  <w:style w:type="paragraph" w:customStyle="1" w:styleId="373">
    <w:name w:val="正文9"/>
    <w:qFormat/>
    <w:uiPriority w:val="0"/>
    <w:pPr>
      <w:jc w:val="both"/>
    </w:pPr>
    <w:rPr>
      <w:rFonts w:ascii="Calibri" w:hAnsi="Calibri" w:eastAsia="宋体" w:cs="Times New Roman"/>
      <w:kern w:val="2"/>
      <w:sz w:val="21"/>
      <w:szCs w:val="21"/>
      <w:lang w:val="en-US" w:eastAsia="zh-CN" w:bidi="ar-SA"/>
    </w:rPr>
  </w:style>
  <w:style w:type="paragraph" w:customStyle="1" w:styleId="374">
    <w:name w:val="列出段落4"/>
    <w:basedOn w:val="1"/>
    <w:qFormat/>
    <w:uiPriority w:val="99"/>
    <w:pPr>
      <w:ind w:firstLine="420" w:firstLineChars="200"/>
    </w:pPr>
    <w:rPr>
      <w:rFonts w:ascii="Times New Roman" w:hAnsi="Times New Roman"/>
      <w:szCs w:val="21"/>
    </w:rPr>
  </w:style>
  <w:style w:type="paragraph" w:customStyle="1" w:styleId="375">
    <w:name w:val="列出段落5"/>
    <w:basedOn w:val="1"/>
    <w:unhideWhenUsed/>
    <w:qFormat/>
    <w:uiPriority w:val="99"/>
    <w:pPr>
      <w:ind w:firstLine="420" w:firstLineChars="200"/>
    </w:pPr>
    <w:rPr>
      <w:rFonts w:ascii="Times New Roman" w:hAnsi="Times New Roman"/>
      <w:szCs w:val="21"/>
    </w:rPr>
  </w:style>
  <w:style w:type="paragraph" w:customStyle="1" w:styleId="376">
    <w:name w:val="表格文字"/>
    <w:basedOn w:val="1"/>
    <w:qFormat/>
    <w:uiPriority w:val="0"/>
    <w:pPr>
      <w:autoSpaceDE w:val="0"/>
      <w:autoSpaceDN w:val="0"/>
      <w:adjustRightInd w:val="0"/>
      <w:jc w:val="center"/>
    </w:pPr>
    <w:rPr>
      <w:rFonts w:ascii="宋体" w:hAnsi="宋体"/>
      <w:szCs w:val="21"/>
    </w:rPr>
  </w:style>
  <w:style w:type="paragraph" w:customStyle="1" w:styleId="377">
    <w:name w:val="表题 Char"/>
    <w:basedOn w:val="1"/>
    <w:qFormat/>
    <w:uiPriority w:val="0"/>
    <w:pPr>
      <w:spacing w:line="360" w:lineRule="auto"/>
      <w:jc w:val="center"/>
    </w:pPr>
    <w:rPr>
      <w:rFonts w:ascii="黑体" w:hAnsi="Times New Roman" w:eastAsia="黑体"/>
      <w:bCs/>
      <w:sz w:val="24"/>
      <w:szCs w:val="24"/>
    </w:rPr>
  </w:style>
  <w:style w:type="paragraph" w:customStyle="1" w:styleId="378">
    <w:name w:val="font5"/>
    <w:basedOn w:val="1"/>
    <w:qFormat/>
    <w:uiPriority w:val="0"/>
    <w:pPr>
      <w:widowControl/>
      <w:spacing w:before="100" w:beforeAutospacing="1" w:after="100" w:afterAutospacing="1"/>
      <w:jc w:val="left"/>
    </w:pPr>
    <w:rPr>
      <w:rFonts w:hint="eastAsia" w:ascii="宋体" w:hAnsi="宋体" w:cs="Arial Unicode MS"/>
      <w:kern w:val="0"/>
      <w:sz w:val="20"/>
      <w:szCs w:val="20"/>
    </w:rPr>
  </w:style>
  <w:style w:type="paragraph" w:customStyle="1" w:styleId="379">
    <w:name w:val="无间隔2"/>
    <w:qFormat/>
    <w:uiPriority w:val="1"/>
    <w:pPr>
      <w:widowControl w:val="0"/>
      <w:jc w:val="both"/>
    </w:pPr>
    <w:rPr>
      <w:rFonts w:ascii="Calibri" w:hAnsi="Calibri" w:eastAsia="宋体" w:cs="Times New Roman"/>
      <w:kern w:val="2"/>
      <w:sz w:val="21"/>
      <w:szCs w:val="22"/>
      <w:lang w:val="en-US" w:eastAsia="zh-CN" w:bidi="ar-SA"/>
    </w:rPr>
  </w:style>
  <w:style w:type="paragraph" w:customStyle="1" w:styleId="380">
    <w:name w:val="_Style 2"/>
    <w:basedOn w:val="1"/>
    <w:qFormat/>
    <w:uiPriority w:val="99"/>
    <w:pPr>
      <w:ind w:firstLine="420" w:firstLineChars="200"/>
    </w:pPr>
    <w:rPr>
      <w:rFonts w:ascii="Times New Roman" w:hAnsi="Times New Roman"/>
      <w:szCs w:val="21"/>
    </w:rPr>
  </w:style>
  <w:style w:type="paragraph" w:customStyle="1" w:styleId="381">
    <w:name w:val="表内文字"/>
    <w:basedOn w:val="1"/>
    <w:link w:val="470"/>
    <w:qFormat/>
    <w:uiPriority w:val="0"/>
    <w:pPr>
      <w:adjustRightInd w:val="0"/>
      <w:snapToGrid w:val="0"/>
      <w:spacing w:line="360" w:lineRule="auto"/>
      <w:jc w:val="center"/>
    </w:pPr>
    <w:rPr>
      <w:rFonts w:ascii="Times New Roman" w:hAnsi="Times New Roman"/>
      <w:szCs w:val="21"/>
    </w:rPr>
  </w:style>
  <w:style w:type="paragraph" w:customStyle="1" w:styleId="382">
    <w:name w:val="YJ文中标题"/>
    <w:basedOn w:val="1"/>
    <w:qFormat/>
    <w:uiPriority w:val="99"/>
    <w:pPr>
      <w:snapToGrid w:val="0"/>
      <w:spacing w:line="520" w:lineRule="exact"/>
      <w:ind w:firstLine="200" w:firstLineChars="200"/>
      <w:jc w:val="left"/>
    </w:pPr>
    <w:rPr>
      <w:rFonts w:ascii="Times New Roman" w:hAnsi="Times New Roman"/>
      <w:b/>
      <w:sz w:val="24"/>
      <w:szCs w:val="20"/>
    </w:rPr>
  </w:style>
  <w:style w:type="paragraph" w:customStyle="1" w:styleId="383">
    <w:name w:val="表头 02"/>
    <w:basedOn w:val="1"/>
    <w:qFormat/>
    <w:uiPriority w:val="0"/>
    <w:pPr>
      <w:suppressLineNumbers/>
      <w:suppressAutoHyphens/>
      <w:adjustRightInd w:val="0"/>
      <w:snapToGrid w:val="0"/>
      <w:spacing w:line="500" w:lineRule="exact"/>
      <w:contextualSpacing/>
      <w:jc w:val="center"/>
      <w:textAlignment w:val="center"/>
    </w:pPr>
    <w:rPr>
      <w:rFonts w:ascii="黑体" w:hAnsi="黑体" w:eastAsia="黑体" w:cs="宋体"/>
      <w:b/>
      <w:bCs/>
      <w:color w:val="FF0000"/>
      <w:kern w:val="0"/>
      <w:szCs w:val="21"/>
    </w:rPr>
  </w:style>
  <w:style w:type="paragraph" w:customStyle="1" w:styleId="384">
    <w:name w:val="9点"/>
    <w:basedOn w:val="1"/>
    <w:qFormat/>
    <w:uiPriority w:val="0"/>
    <w:pPr>
      <w:tabs>
        <w:tab w:val="left" w:pos="1290"/>
      </w:tabs>
      <w:adjustRightInd w:val="0"/>
      <w:snapToGrid w:val="0"/>
      <w:spacing w:line="300" w:lineRule="auto"/>
      <w:ind w:left="1290" w:hanging="720"/>
      <w:jc w:val="center"/>
    </w:pPr>
    <w:rPr>
      <w:rFonts w:ascii="宋体" w:hAnsi="Times New Roman"/>
      <w:sz w:val="24"/>
      <w:szCs w:val="20"/>
    </w:rPr>
  </w:style>
  <w:style w:type="paragraph" w:customStyle="1" w:styleId="385">
    <w:name w:val="样式 表头 + 段后: 6 磅"/>
    <w:basedOn w:val="74"/>
    <w:qFormat/>
    <w:uiPriority w:val="0"/>
    <w:pPr>
      <w:keepNext/>
      <w:widowControl w:val="0"/>
      <w:spacing w:before="60" w:beforeLines="0" w:after="120" w:afterAutospacing="0" w:line="400" w:lineRule="exact"/>
      <w:ind w:firstLine="493"/>
      <w:jc w:val="left"/>
    </w:pPr>
    <w:rPr>
      <w:rFonts w:ascii="Times New Roman" w:hAnsi="Times New Roman"/>
      <w:color w:val="000000"/>
      <w:spacing w:val="8"/>
      <w:kern w:val="21"/>
    </w:rPr>
  </w:style>
  <w:style w:type="paragraph" w:customStyle="1" w:styleId="386">
    <w:name w:val="Default"/>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paragraph" w:customStyle="1" w:styleId="387">
    <w:name w:val="无间隔1"/>
    <w:qFormat/>
    <w:uiPriority w:val="1"/>
    <w:pPr>
      <w:widowControl w:val="0"/>
      <w:jc w:val="both"/>
    </w:pPr>
    <w:rPr>
      <w:rFonts w:ascii="Calibri" w:hAnsi="Calibri" w:eastAsia="宋体" w:cs="Times New Roman"/>
      <w:kern w:val="2"/>
      <w:sz w:val="21"/>
      <w:szCs w:val="22"/>
      <w:lang w:val="en-US" w:eastAsia="zh-CN" w:bidi="ar-SA"/>
    </w:rPr>
  </w:style>
  <w:style w:type="paragraph" w:customStyle="1" w:styleId="388">
    <w:name w:val="Char Char2 Char Char Char Char Char Char Char Char Char Char Char Char Char Char Char Char"/>
    <w:basedOn w:val="1"/>
    <w:qFormat/>
    <w:uiPriority w:val="99"/>
    <w:rPr>
      <w:rFonts w:ascii="Times New Roman" w:hAnsi="Times New Roman"/>
      <w:szCs w:val="21"/>
    </w:rPr>
  </w:style>
  <w:style w:type="paragraph" w:customStyle="1" w:styleId="389">
    <w:name w:val="Char1"/>
    <w:basedOn w:val="1"/>
    <w:qFormat/>
    <w:uiPriority w:val="99"/>
    <w:rPr>
      <w:rFonts w:ascii="Times New Roman" w:hAnsi="Times New Roman"/>
      <w:szCs w:val="24"/>
    </w:rPr>
  </w:style>
  <w:style w:type="paragraph" w:customStyle="1" w:styleId="390">
    <w:name w:val="表中字体"/>
    <w:basedOn w:val="14"/>
    <w:qFormat/>
    <w:uiPriority w:val="0"/>
    <w:pPr>
      <w:spacing w:line="240" w:lineRule="exact"/>
      <w:ind w:firstLine="0" w:firstLineChars="0"/>
      <w:jc w:val="center"/>
    </w:pPr>
    <w:rPr>
      <w:sz w:val="21"/>
    </w:rPr>
  </w:style>
  <w:style w:type="paragraph" w:customStyle="1" w:styleId="391">
    <w:name w:val="ZQL正文*"/>
    <w:basedOn w:val="1"/>
    <w:qFormat/>
    <w:uiPriority w:val="0"/>
    <w:pPr>
      <w:adjustRightInd w:val="0"/>
      <w:snapToGrid w:val="0"/>
      <w:spacing w:line="500" w:lineRule="exact"/>
      <w:ind w:firstLine="200" w:firstLineChars="200"/>
    </w:pPr>
    <w:rPr>
      <w:rFonts w:ascii="Times New Roman" w:hAnsi="Times New Roman"/>
      <w:sz w:val="24"/>
      <w:szCs w:val="24"/>
    </w:rPr>
  </w:style>
  <w:style w:type="paragraph" w:customStyle="1" w:styleId="392">
    <w:name w:val="正文12"/>
    <w:qFormat/>
    <w:uiPriority w:val="0"/>
    <w:pPr>
      <w:jc w:val="both"/>
    </w:pPr>
    <w:rPr>
      <w:rFonts w:ascii="Calibri" w:hAnsi="Calibri" w:eastAsia="宋体" w:cs="Times New Roman"/>
      <w:kern w:val="2"/>
      <w:sz w:val="21"/>
      <w:szCs w:val="21"/>
      <w:lang w:val="en-US" w:eastAsia="zh-CN" w:bidi="ar-SA"/>
    </w:rPr>
  </w:style>
  <w:style w:type="paragraph" w:customStyle="1" w:styleId="393">
    <w:name w:val="列出段落7"/>
    <w:basedOn w:val="1"/>
    <w:qFormat/>
    <w:uiPriority w:val="99"/>
    <w:pPr>
      <w:ind w:firstLine="420" w:firstLineChars="200"/>
    </w:pPr>
    <w:rPr>
      <w:szCs w:val="21"/>
    </w:rPr>
  </w:style>
  <w:style w:type="paragraph" w:customStyle="1" w:styleId="394">
    <w:name w:val="1"/>
    <w:unhideWhenUsed/>
    <w:qFormat/>
    <w:uiPriority w:val="99"/>
    <w:pPr>
      <w:widowControl w:val="0"/>
      <w:jc w:val="both"/>
    </w:pPr>
    <w:rPr>
      <w:rFonts w:ascii="Calibri" w:hAnsi="Calibri" w:eastAsia="宋体" w:cs="Times New Roman"/>
      <w:kern w:val="2"/>
      <w:sz w:val="21"/>
      <w:szCs w:val="22"/>
      <w:lang w:val="en-US" w:eastAsia="zh-CN" w:bidi="ar-SA"/>
    </w:rPr>
  </w:style>
  <w:style w:type="paragraph" w:customStyle="1" w:styleId="395">
    <w:name w:val="xl28"/>
    <w:basedOn w:val="1"/>
    <w:qFormat/>
    <w:uiPriority w:val="0"/>
    <w:pPr>
      <w:widowControl/>
      <w:pBdr>
        <w:left w:val="single" w:color="auto" w:sz="4" w:space="0"/>
        <w:right w:val="single" w:color="auto" w:sz="4" w:space="0"/>
      </w:pBdr>
      <w:spacing w:before="100" w:beforeAutospacing="1" w:after="100" w:afterAutospacing="1"/>
      <w:jc w:val="center"/>
      <w:textAlignment w:val="center"/>
    </w:pPr>
    <w:rPr>
      <w:rFonts w:ascii="Arial Unicode MS" w:hAnsi="Arial Unicode MS" w:eastAsia="Arial Unicode MS" w:cs="Arial Unicode MS"/>
      <w:kern w:val="0"/>
      <w:sz w:val="18"/>
      <w:szCs w:val="18"/>
    </w:rPr>
  </w:style>
  <w:style w:type="paragraph" w:customStyle="1" w:styleId="396">
    <w:name w:val="表题"/>
    <w:basedOn w:val="14"/>
    <w:qFormat/>
    <w:uiPriority w:val="99"/>
    <w:pPr>
      <w:adjustRightInd w:val="0"/>
      <w:snapToGrid w:val="0"/>
      <w:spacing w:line="500" w:lineRule="exact"/>
      <w:ind w:firstLine="0" w:firstLineChars="0"/>
      <w:jc w:val="center"/>
    </w:pPr>
    <w:rPr>
      <w:rFonts w:cs="宋体"/>
      <w:b/>
      <w:bCs/>
    </w:rPr>
  </w:style>
  <w:style w:type="paragraph" w:customStyle="1" w:styleId="397">
    <w:name w:val="列出段落3"/>
    <w:basedOn w:val="1"/>
    <w:unhideWhenUsed/>
    <w:qFormat/>
    <w:uiPriority w:val="99"/>
    <w:pPr>
      <w:ind w:firstLine="420" w:firstLineChars="200"/>
    </w:pPr>
    <w:rPr>
      <w:rFonts w:ascii="Times New Roman" w:hAnsi="Times New Roman"/>
      <w:szCs w:val="21"/>
    </w:rPr>
  </w:style>
  <w:style w:type="paragraph" w:customStyle="1" w:styleId="398">
    <w:name w:val="居中四号"/>
    <w:qFormat/>
    <w:uiPriority w:val="0"/>
    <w:pPr>
      <w:spacing w:line="300" w:lineRule="auto"/>
      <w:jc w:val="center"/>
    </w:pPr>
    <w:rPr>
      <w:rFonts w:ascii="Calibri" w:hAnsi="Calibri" w:eastAsia="宋体" w:cs="Times New Roman"/>
      <w:sz w:val="28"/>
      <w:lang w:val="en-US" w:eastAsia="zh-CN" w:bidi="ar-SA"/>
    </w:rPr>
  </w:style>
  <w:style w:type="paragraph" w:customStyle="1" w:styleId="399">
    <w:name w:val="正文1"/>
    <w:basedOn w:val="1"/>
    <w:qFormat/>
    <w:uiPriority w:val="99"/>
    <w:pPr>
      <w:widowControl/>
    </w:pPr>
    <w:rPr>
      <w:rFonts w:ascii="Times New Roman" w:hAnsi="Times New Roman"/>
      <w:szCs w:val="21"/>
    </w:rPr>
  </w:style>
  <w:style w:type="paragraph" w:customStyle="1" w:styleId="400">
    <w:name w:val="表、图名"/>
    <w:basedOn w:val="1"/>
    <w:link w:val="445"/>
    <w:qFormat/>
    <w:uiPriority w:val="0"/>
    <w:pPr>
      <w:adjustRightInd w:val="0"/>
      <w:snapToGrid w:val="0"/>
      <w:spacing w:line="520" w:lineRule="exact"/>
      <w:ind w:left="-6" w:firstLine="560"/>
    </w:pPr>
    <w:rPr>
      <w:rFonts w:hint="eastAsia" w:ascii="黑体" w:hAnsi="Times New Roman" w:eastAsia="黑体"/>
      <w:szCs w:val="24"/>
    </w:rPr>
  </w:style>
  <w:style w:type="paragraph" w:customStyle="1" w:styleId="401">
    <w:name w:val="Char Char Char Char Char Char Char Char"/>
    <w:basedOn w:val="1"/>
    <w:qFormat/>
    <w:uiPriority w:val="0"/>
    <w:rPr>
      <w:rFonts w:ascii="Times New Roman" w:hAnsi="Times New Roman"/>
      <w:szCs w:val="20"/>
    </w:rPr>
  </w:style>
  <w:style w:type="paragraph" w:customStyle="1" w:styleId="402">
    <w:name w:val="标准条文"/>
    <w:basedOn w:val="1"/>
    <w:next w:val="1"/>
    <w:qFormat/>
    <w:uiPriority w:val="99"/>
    <w:pPr>
      <w:autoSpaceDE w:val="0"/>
      <w:autoSpaceDN w:val="0"/>
      <w:adjustRightInd w:val="0"/>
      <w:jc w:val="left"/>
    </w:pPr>
    <w:rPr>
      <w:rFonts w:ascii="黑体" w:eastAsia="黑体"/>
      <w:kern w:val="0"/>
      <w:sz w:val="24"/>
      <w:szCs w:val="24"/>
    </w:rPr>
  </w:style>
  <w:style w:type="paragraph" w:customStyle="1" w:styleId="403">
    <w:name w:val="样式 正文首行缩进 + 首行缩进:  1 字符"/>
    <w:basedOn w:val="49"/>
    <w:qFormat/>
    <w:uiPriority w:val="0"/>
    <w:pPr>
      <w:widowControl w:val="0"/>
      <w:spacing w:after="0" w:line="520" w:lineRule="exact"/>
      <w:ind w:firstLine="200" w:firstLineChars="200"/>
      <w:jc w:val="both"/>
    </w:pPr>
    <w:rPr>
      <w:rFonts w:ascii="Times New Roman" w:hAnsi="Times New Roman" w:cs="宋体"/>
      <w:kern w:val="2"/>
    </w:rPr>
  </w:style>
  <w:style w:type="paragraph" w:customStyle="1" w:styleId="404">
    <w:name w:val="报告正文 + 首行缩进:  2 字符 Char"/>
    <w:basedOn w:val="1"/>
    <w:qFormat/>
    <w:uiPriority w:val="0"/>
    <w:pPr>
      <w:spacing w:line="360" w:lineRule="auto"/>
      <w:ind w:firstLine="578" w:firstLineChars="200"/>
    </w:pPr>
    <w:rPr>
      <w:rFonts w:ascii="Times New Roman" w:hAnsi="Times New Roman"/>
      <w:bCs/>
    </w:rPr>
  </w:style>
  <w:style w:type="paragraph" w:customStyle="1" w:styleId="405">
    <w:name w:val="列出段落2"/>
    <w:basedOn w:val="1"/>
    <w:unhideWhenUsed/>
    <w:qFormat/>
    <w:uiPriority w:val="34"/>
    <w:pPr>
      <w:ind w:firstLine="420" w:firstLineChars="200"/>
    </w:pPr>
    <w:rPr>
      <w:szCs w:val="21"/>
    </w:rPr>
  </w:style>
  <w:style w:type="paragraph" w:customStyle="1" w:styleId="406">
    <w:name w:val="正文2"/>
    <w:qFormat/>
    <w:uiPriority w:val="0"/>
    <w:pPr>
      <w:jc w:val="both"/>
    </w:pPr>
    <w:rPr>
      <w:rFonts w:ascii="Calibri" w:hAnsi="Calibri" w:eastAsia="宋体" w:cs="Times New Roman"/>
      <w:kern w:val="2"/>
      <w:sz w:val="21"/>
      <w:szCs w:val="21"/>
      <w:lang w:val="en-US" w:eastAsia="zh-CN" w:bidi="ar-SA"/>
    </w:rPr>
  </w:style>
  <w:style w:type="paragraph" w:customStyle="1" w:styleId="407">
    <w:name w:val="xl63"/>
    <w:basedOn w:val="1"/>
    <w:qFormat/>
    <w:uiPriority w:val="0"/>
    <w:pPr>
      <w:widowControl/>
      <w:spacing w:before="100" w:after="100"/>
      <w:jc w:val="center"/>
      <w:textAlignment w:val="center"/>
    </w:pPr>
    <w:rPr>
      <w:rFonts w:hint="eastAsia" w:ascii="黑体" w:hAnsi="宋体" w:eastAsia="黑体"/>
      <w:kern w:val="0"/>
      <w:sz w:val="24"/>
      <w:szCs w:val="20"/>
    </w:rPr>
  </w:style>
  <w:style w:type="paragraph" w:customStyle="1" w:styleId="408">
    <w:name w:val="表中文字"/>
    <w:basedOn w:val="1"/>
    <w:qFormat/>
    <w:uiPriority w:val="0"/>
    <w:pPr>
      <w:jc w:val="center"/>
    </w:pPr>
    <w:rPr>
      <w:rFonts w:ascii="Times New Roman" w:hAnsi="Times New Roman"/>
      <w:szCs w:val="20"/>
    </w:rPr>
  </w:style>
  <w:style w:type="paragraph" w:customStyle="1" w:styleId="409">
    <w:name w:val="Char Char Char Char"/>
    <w:basedOn w:val="1"/>
    <w:qFormat/>
    <w:uiPriority w:val="99"/>
    <w:rPr>
      <w:rFonts w:ascii="Times New Roman" w:hAnsi="Times New Roman"/>
      <w:szCs w:val="24"/>
    </w:rPr>
  </w:style>
  <w:style w:type="table" w:customStyle="1" w:styleId="410">
    <w:name w:val="报告书表格样式11"/>
    <w:basedOn w:val="51"/>
    <w:qFormat/>
    <w:uiPriority w:val="0"/>
    <w:rPr>
      <w:rFonts w:ascii="Times New Roman" w:hAnsi="Times New Roman"/>
    </w:rPr>
    <w:tblPr>
      <w:tblBorders>
        <w:top w:val="single" w:color="auto" w:sz="12" w:space="0"/>
        <w:bottom w:val="single" w:color="auto" w:sz="12" w:space="0"/>
        <w:insideH w:val="single" w:color="auto" w:sz="6" w:space="0"/>
        <w:insideV w:val="single" w:color="auto" w:sz="6" w:space="0"/>
      </w:tblBorders>
    </w:tblPr>
  </w:style>
  <w:style w:type="table" w:customStyle="1" w:styleId="411">
    <w:name w:val="样式24"/>
    <w:basedOn w:val="51"/>
    <w:qFormat/>
    <w:uiPriority w:val="99"/>
    <w:pPr>
      <w:jc w:val="center"/>
    </w:pPr>
    <w:rPr>
      <w:rFonts w:ascii="Times New Roman" w:hAnsi="Times New Roman"/>
      <w:sz w:val="21"/>
    </w:rPr>
    <w:tblPr>
      <w:tblBorders>
        <w:top w:val="single" w:color="auto" w:sz="12" w:space="0"/>
        <w:bottom w:val="single" w:color="auto" w:sz="12" w:space="0"/>
        <w:insideH w:val="single" w:color="auto" w:sz="4" w:space="0"/>
        <w:insideV w:val="single" w:color="auto" w:sz="4" w:space="0"/>
      </w:tblBorders>
    </w:tblPr>
    <w:tcPr>
      <w:vAlign w:val="center"/>
    </w:tcPr>
  </w:style>
  <w:style w:type="table" w:customStyle="1" w:styleId="412">
    <w:name w:val="样式11"/>
    <w:basedOn w:val="51"/>
    <w:qFormat/>
    <w:uiPriority w:val="99"/>
    <w:pPr>
      <w:jc w:val="center"/>
    </w:pPr>
    <w:rPr>
      <w:rFonts w:ascii="Times New Roman" w:hAnsi="Times New Roman"/>
    </w:rPr>
    <w:tblPr>
      <w:tblBorders>
        <w:top w:val="single" w:color="auto" w:sz="12" w:space="0"/>
        <w:bottom w:val="single" w:color="auto" w:sz="12" w:space="0"/>
        <w:insideH w:val="single" w:color="auto" w:sz="4" w:space="0"/>
        <w:insideV w:val="single" w:color="auto" w:sz="4" w:space="0"/>
      </w:tblBorders>
    </w:tblPr>
    <w:tcPr>
      <w:vAlign w:val="center"/>
    </w:tcPr>
  </w:style>
  <w:style w:type="table" w:customStyle="1" w:styleId="413">
    <w:name w:val="网格型4"/>
    <w:basedOn w:val="51"/>
    <w:qFormat/>
    <w:uiPriority w:val="39"/>
    <w:rPr>
      <w:rFonts w:ascii="等线" w:hAnsi="等线" w:eastAsia="等线"/>
      <w:kern w:val="2"/>
      <w:sz w:val="21"/>
      <w:szCs w:val="22"/>
    </w:rPr>
    <w:tblPr>
      <w:tblBorders>
        <w:top w:val="single" w:color="auto" w:sz="12" w:space="0"/>
        <w:bottom w:val="single" w:color="auto" w:sz="12" w:space="0"/>
        <w:insideH w:val="single" w:color="auto" w:sz="4" w:space="0"/>
        <w:insideV w:val="single" w:color="auto" w:sz="4" w:space="0"/>
      </w:tblBorders>
    </w:tblPr>
  </w:style>
  <w:style w:type="table" w:customStyle="1" w:styleId="414">
    <w:name w:val="网格型浅色1"/>
    <w:basedOn w:val="51"/>
    <w:qFormat/>
    <w:uiPriority w:val="40"/>
    <w:rPr>
      <w:rFonts w:ascii="Times New Roman" w:hAnsi="Times New Roman"/>
    </w:rPr>
    <w:tblPr>
      <w:jc w:val="center"/>
      <w:tblBorders>
        <w:top w:val="single" w:color="000000" w:sz="12" w:space="0"/>
        <w:bottom w:val="single" w:color="000000" w:sz="12" w:space="0"/>
        <w:insideH w:val="single" w:color="000000" w:sz="4" w:space="0"/>
        <w:insideV w:val="single" w:color="000000" w:sz="4" w:space="0"/>
      </w:tblBorders>
    </w:tblPr>
    <w:trPr>
      <w:jc w:val="center"/>
    </w:trPr>
    <w:tcPr>
      <w:shd w:val="clear" w:color="auto" w:fill="auto"/>
      <w:vAlign w:val="center"/>
    </w:tcPr>
  </w:style>
  <w:style w:type="table" w:customStyle="1" w:styleId="415">
    <w:name w:val="样式13"/>
    <w:basedOn w:val="51"/>
    <w:qFormat/>
    <w:uiPriority w:val="99"/>
    <w:rPr>
      <w:rFonts w:ascii="Times New Roman" w:hAnsi="Times New Roman"/>
    </w:rPr>
    <w:tblPr>
      <w:tblBorders>
        <w:top w:val="single" w:color="auto" w:sz="12" w:space="0"/>
        <w:bottom w:val="single" w:color="auto" w:sz="12" w:space="0"/>
        <w:insideH w:val="single" w:color="auto" w:sz="4" w:space="0"/>
        <w:insideV w:val="single" w:color="auto" w:sz="4" w:space="0"/>
      </w:tblBorders>
    </w:tblPr>
    <w:tcPr>
      <w:vAlign w:val="center"/>
    </w:tcPr>
  </w:style>
  <w:style w:type="table" w:customStyle="1" w:styleId="416">
    <w:name w:val="报告书表格样式13"/>
    <w:basedOn w:val="51"/>
    <w:qFormat/>
    <w:uiPriority w:val="0"/>
    <w:pPr>
      <w:jc w:val="center"/>
    </w:pPr>
    <w:rPr>
      <w:rFonts w:ascii="Times New Roman" w:hAnsi="Times New Roman"/>
    </w:rPr>
    <w:tblPr>
      <w:tblBorders>
        <w:top w:val="single" w:color="auto" w:sz="12" w:space="0"/>
        <w:bottom w:val="single" w:color="auto" w:sz="12" w:space="0"/>
        <w:insideH w:val="single" w:color="auto" w:sz="6" w:space="0"/>
        <w:insideV w:val="single" w:color="auto" w:sz="6" w:space="0"/>
      </w:tblBorders>
      <w:tblCellMar>
        <w:left w:w="28" w:type="dxa"/>
        <w:right w:w="28" w:type="dxa"/>
      </w:tblCellMar>
    </w:tblPr>
    <w:tcPr>
      <w:vAlign w:val="center"/>
    </w:tcPr>
  </w:style>
  <w:style w:type="table" w:customStyle="1" w:styleId="417">
    <w:name w:val="样式23"/>
    <w:basedOn w:val="51"/>
    <w:qFormat/>
    <w:uiPriority w:val="99"/>
    <w:pPr>
      <w:jc w:val="center"/>
    </w:pPr>
    <w:rPr>
      <w:rFonts w:ascii="Times New Roman" w:hAnsi="Times New Roman"/>
    </w:rPr>
    <w:tblPr>
      <w:tblBorders>
        <w:top w:val="single" w:color="auto" w:sz="12" w:space="0"/>
        <w:bottom w:val="single" w:color="auto" w:sz="12" w:space="0"/>
        <w:insideH w:val="single" w:color="auto" w:sz="4" w:space="0"/>
        <w:insideV w:val="single" w:color="auto" w:sz="4" w:space="0"/>
      </w:tblBorders>
    </w:tblPr>
    <w:tcPr>
      <w:vAlign w:val="center"/>
    </w:tcPr>
  </w:style>
  <w:style w:type="table" w:customStyle="1" w:styleId="418">
    <w:name w:val="报告书表格样式1"/>
    <w:basedOn w:val="51"/>
    <w:qFormat/>
    <w:uiPriority w:val="0"/>
    <w:pPr>
      <w:adjustRightInd w:val="0"/>
      <w:snapToGrid w:val="0"/>
      <w:spacing w:line="300" w:lineRule="exact"/>
      <w:jc w:val="center"/>
    </w:pPr>
    <w:rPr>
      <w:rFonts w:ascii="宋体" w:hAnsi="宋体"/>
    </w:rPr>
    <w:tblPr>
      <w:jc w:val="center"/>
      <w:tblBorders>
        <w:top w:val="single" w:color="auto" w:sz="12" w:space="0"/>
        <w:bottom w:val="single" w:color="auto" w:sz="12" w:space="0"/>
        <w:insideH w:val="single" w:color="auto" w:sz="6" w:space="0"/>
        <w:insideV w:val="single" w:color="auto" w:sz="6" w:space="0"/>
      </w:tblBorders>
    </w:tblPr>
    <w:trPr>
      <w:cantSplit/>
      <w:jc w:val="center"/>
    </w:trPr>
    <w:tcPr>
      <w:vAlign w:val="center"/>
    </w:tcPr>
  </w:style>
  <w:style w:type="table" w:customStyle="1" w:styleId="419">
    <w:name w:val="样式14"/>
    <w:basedOn w:val="51"/>
    <w:qFormat/>
    <w:uiPriority w:val="99"/>
    <w:rPr>
      <w:rFonts w:ascii="Times New Roman" w:hAnsi="Times New Roman"/>
    </w:rPr>
    <w:tblPr>
      <w:tblBorders>
        <w:top w:val="single" w:color="auto" w:sz="12" w:space="0"/>
        <w:bottom w:val="single" w:color="auto" w:sz="12" w:space="0"/>
        <w:insideH w:val="single" w:color="auto" w:sz="4" w:space="0"/>
        <w:insideV w:val="single" w:color="auto" w:sz="4" w:space="0"/>
      </w:tblBorders>
    </w:tblPr>
    <w:tcPr>
      <w:vAlign w:val="center"/>
    </w:tcPr>
  </w:style>
  <w:style w:type="table" w:customStyle="1" w:styleId="420">
    <w:name w:val="样式21"/>
    <w:basedOn w:val="51"/>
    <w:qFormat/>
    <w:uiPriority w:val="99"/>
    <w:pPr>
      <w:jc w:val="center"/>
    </w:pPr>
    <w:rPr>
      <w:rFonts w:ascii="Times New Roman" w:hAnsi="Times New Roman"/>
    </w:rPr>
    <w:tblPr>
      <w:tblBorders>
        <w:top w:val="single" w:color="auto" w:sz="12" w:space="0"/>
        <w:bottom w:val="single" w:color="auto" w:sz="12" w:space="0"/>
        <w:insideH w:val="single" w:color="auto" w:sz="4" w:space="0"/>
        <w:insideV w:val="single" w:color="auto" w:sz="4" w:space="0"/>
      </w:tblBorders>
    </w:tblPr>
    <w:tcPr>
      <w:vAlign w:val="center"/>
    </w:tcPr>
  </w:style>
  <w:style w:type="table" w:customStyle="1" w:styleId="421">
    <w:name w:val="表格主题1"/>
    <w:basedOn w:val="51"/>
    <w:qFormat/>
    <w:uiPriority w:val="0"/>
    <w:pPr>
      <w:widowControl w:val="0"/>
      <w:jc w:val="both"/>
    </w:pPr>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22">
    <w:name w:val="样式12"/>
    <w:basedOn w:val="51"/>
    <w:qFormat/>
    <w:uiPriority w:val="99"/>
    <w:pPr>
      <w:adjustRightInd w:val="0"/>
      <w:snapToGrid w:val="0"/>
      <w:spacing w:line="300" w:lineRule="exact"/>
    </w:pPr>
    <w:rPr>
      <w:rFonts w:ascii="Times New Roman" w:hAnsi="Times New Roman"/>
    </w:rPr>
    <w:tblPr>
      <w:tblBorders>
        <w:top w:val="single" w:color="auto" w:sz="12" w:space="0"/>
        <w:bottom w:val="single" w:color="auto" w:sz="12" w:space="0"/>
        <w:insideH w:val="single" w:color="auto" w:sz="4" w:space="0"/>
        <w:insideV w:val="single" w:color="auto" w:sz="4" w:space="0"/>
      </w:tblBorders>
    </w:tblPr>
    <w:tcPr>
      <w:vAlign w:val="center"/>
    </w:tcPr>
  </w:style>
  <w:style w:type="table" w:customStyle="1" w:styleId="423">
    <w:name w:val="报告书表格样式2"/>
    <w:basedOn w:val="51"/>
    <w:qFormat/>
    <w:uiPriority w:val="0"/>
    <w:rPr>
      <w:rFonts w:ascii="Times New Roman" w:hAnsi="Times New Roman"/>
    </w:rPr>
    <w:tblPr>
      <w:tblBorders>
        <w:top w:val="single" w:color="auto" w:sz="12" w:space="0"/>
        <w:bottom w:val="single" w:color="auto" w:sz="12" w:space="0"/>
        <w:insideH w:val="single" w:color="auto" w:sz="6" w:space="0"/>
        <w:insideV w:val="single" w:color="auto" w:sz="6" w:space="0"/>
      </w:tblBorders>
    </w:tblPr>
  </w:style>
  <w:style w:type="table" w:customStyle="1" w:styleId="424">
    <w:name w:val="网格型浅色3"/>
    <w:basedOn w:val="51"/>
    <w:qFormat/>
    <w:uiPriority w:val="40"/>
    <w:rPr>
      <w:rFonts w:ascii="Times New Roman" w:hAnsi="Times New Roman"/>
    </w:rPr>
    <w:tblPr>
      <w:jc w:val="center"/>
      <w:tblBorders>
        <w:top w:val="single" w:color="000000" w:sz="12" w:space="0"/>
        <w:bottom w:val="single" w:color="000000" w:sz="12" w:space="0"/>
        <w:insideH w:val="single" w:color="000000" w:sz="4" w:space="0"/>
        <w:insideV w:val="single" w:color="000000" w:sz="4" w:space="0"/>
      </w:tblBorders>
    </w:tblPr>
    <w:trPr>
      <w:jc w:val="center"/>
    </w:trPr>
    <w:tcPr>
      <w:shd w:val="clear" w:color="auto" w:fill="auto"/>
      <w:vAlign w:val="center"/>
    </w:tcPr>
  </w:style>
  <w:style w:type="table" w:customStyle="1" w:styleId="425">
    <w:name w:val="报告书表格样式"/>
    <w:basedOn w:val="51"/>
    <w:qFormat/>
    <w:uiPriority w:val="0"/>
    <w:pPr>
      <w:adjustRightInd w:val="0"/>
      <w:snapToGrid w:val="0"/>
      <w:spacing w:line="300" w:lineRule="exact"/>
      <w:jc w:val="center"/>
    </w:pPr>
    <w:rPr>
      <w:rFonts w:ascii="宋体" w:hAnsi="宋体"/>
    </w:rPr>
    <w:tblPr>
      <w:jc w:val="center"/>
      <w:tblBorders>
        <w:top w:val="single" w:color="auto" w:sz="12" w:space="0"/>
        <w:bottom w:val="single" w:color="auto" w:sz="12" w:space="0"/>
        <w:insideH w:val="single" w:color="auto" w:sz="6" w:space="0"/>
        <w:insideV w:val="single" w:color="auto" w:sz="6" w:space="0"/>
      </w:tblBorders>
    </w:tblPr>
    <w:trPr>
      <w:cantSplit/>
      <w:jc w:val="center"/>
    </w:trPr>
    <w:tcPr>
      <w:vAlign w:val="center"/>
    </w:tcPr>
  </w:style>
  <w:style w:type="table" w:customStyle="1" w:styleId="426">
    <w:name w:val="网格型3"/>
    <w:basedOn w:val="51"/>
    <w:qFormat/>
    <w:uiPriority w:val="39"/>
    <w:pPr>
      <w:widowControl w:val="0"/>
      <w:jc w:val="both"/>
    </w:pPr>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27">
    <w:name w:val="网格型浅色2"/>
    <w:basedOn w:val="51"/>
    <w:qFormat/>
    <w:uiPriority w:val="40"/>
    <w:rPr>
      <w:rFonts w:ascii="Times New Roman" w:hAnsi="Times New Roman"/>
    </w:rPr>
    <w:tblPr>
      <w:jc w:val="center"/>
      <w:tblBorders>
        <w:top w:val="single" w:color="000000" w:sz="12" w:space="0"/>
        <w:bottom w:val="single" w:color="000000" w:sz="12" w:space="0"/>
        <w:insideH w:val="single" w:color="000000" w:sz="4" w:space="0"/>
        <w:insideV w:val="single" w:color="000000" w:sz="4" w:space="0"/>
      </w:tblBorders>
    </w:tblPr>
    <w:trPr>
      <w:jc w:val="center"/>
    </w:trPr>
    <w:tcPr>
      <w:shd w:val="clear" w:color="auto" w:fill="auto"/>
      <w:vAlign w:val="center"/>
    </w:tcPr>
  </w:style>
  <w:style w:type="table" w:customStyle="1" w:styleId="428">
    <w:name w:val="网格型1"/>
    <w:basedOn w:val="51"/>
    <w:qFormat/>
    <w:uiPriority w:val="39"/>
    <w:pPr>
      <w:widowControl w:val="0"/>
      <w:jc w:val="both"/>
    </w:pPr>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29">
    <w:name w:val="报告书表格样式111"/>
    <w:basedOn w:val="51"/>
    <w:qFormat/>
    <w:uiPriority w:val="0"/>
    <w:pPr>
      <w:jc w:val="center"/>
    </w:pPr>
    <w:rPr>
      <w:rFonts w:ascii="Times New Roman" w:hAnsi="Times New Roman"/>
    </w:rPr>
    <w:tblPr>
      <w:tblBorders>
        <w:top w:val="single" w:color="auto" w:sz="12" w:space="0"/>
        <w:bottom w:val="single" w:color="auto" w:sz="12" w:space="0"/>
        <w:insideH w:val="single" w:color="auto" w:sz="6" w:space="0"/>
        <w:insideV w:val="single" w:color="auto" w:sz="6" w:space="0"/>
      </w:tblBorders>
      <w:tblCellMar>
        <w:left w:w="28" w:type="dxa"/>
        <w:right w:w="28" w:type="dxa"/>
      </w:tblCellMar>
    </w:tblPr>
    <w:tcPr>
      <w:vAlign w:val="center"/>
    </w:tcPr>
  </w:style>
  <w:style w:type="table" w:customStyle="1" w:styleId="430">
    <w:name w:val="样式25"/>
    <w:basedOn w:val="51"/>
    <w:qFormat/>
    <w:uiPriority w:val="99"/>
    <w:pPr>
      <w:jc w:val="center"/>
    </w:pPr>
    <w:rPr>
      <w:rFonts w:ascii="Times New Roman" w:hAnsi="Times New Roman"/>
      <w:sz w:val="21"/>
    </w:rPr>
    <w:tblPr>
      <w:tblBorders>
        <w:top w:val="single" w:color="auto" w:sz="12" w:space="0"/>
        <w:bottom w:val="single" w:color="auto" w:sz="12" w:space="0"/>
        <w:insideH w:val="single" w:color="auto" w:sz="4" w:space="0"/>
        <w:insideV w:val="single" w:color="auto" w:sz="4" w:space="0"/>
      </w:tblBorders>
    </w:tblPr>
    <w:tcPr>
      <w:vAlign w:val="center"/>
    </w:tcPr>
  </w:style>
  <w:style w:type="table" w:customStyle="1" w:styleId="431">
    <w:name w:val="样式2"/>
    <w:basedOn w:val="51"/>
    <w:qFormat/>
    <w:uiPriority w:val="99"/>
    <w:pPr>
      <w:jc w:val="center"/>
    </w:pPr>
    <w:rPr>
      <w:rFonts w:ascii="Times New Roman" w:hAnsi="Times New Roman"/>
    </w:rPr>
    <w:tblPr>
      <w:tblBorders>
        <w:top w:val="single" w:color="auto" w:sz="12" w:space="0"/>
        <w:bottom w:val="single" w:color="auto" w:sz="12" w:space="0"/>
        <w:insideH w:val="single" w:color="auto" w:sz="4" w:space="0"/>
        <w:insideV w:val="single" w:color="auto" w:sz="4" w:space="0"/>
      </w:tblBorders>
    </w:tblPr>
    <w:tcPr>
      <w:vAlign w:val="center"/>
    </w:tcPr>
  </w:style>
  <w:style w:type="table" w:customStyle="1" w:styleId="432">
    <w:name w:val="报告书表格样式4"/>
    <w:basedOn w:val="51"/>
    <w:qFormat/>
    <w:uiPriority w:val="0"/>
    <w:pPr>
      <w:adjustRightInd w:val="0"/>
      <w:snapToGrid w:val="0"/>
      <w:spacing w:line="300" w:lineRule="exact"/>
      <w:jc w:val="center"/>
    </w:pPr>
    <w:rPr>
      <w:rFonts w:ascii="宋体" w:hAnsi="宋体"/>
      <w:sz w:val="21"/>
    </w:rPr>
    <w:tblPr>
      <w:jc w:val="center"/>
      <w:tblBorders>
        <w:top w:val="single" w:color="auto" w:sz="12" w:space="0"/>
        <w:bottom w:val="single" w:color="auto" w:sz="12" w:space="0"/>
        <w:insideH w:val="single" w:color="auto" w:sz="6" w:space="0"/>
        <w:insideV w:val="single" w:color="auto" w:sz="6" w:space="0"/>
      </w:tblBorders>
    </w:tblPr>
    <w:trPr>
      <w:cantSplit/>
      <w:jc w:val="center"/>
    </w:trPr>
    <w:tcPr>
      <w:vAlign w:val="center"/>
    </w:tcPr>
  </w:style>
  <w:style w:type="table" w:customStyle="1" w:styleId="433">
    <w:name w:val="样式22"/>
    <w:basedOn w:val="51"/>
    <w:qFormat/>
    <w:uiPriority w:val="99"/>
    <w:pPr>
      <w:jc w:val="center"/>
    </w:pPr>
    <w:rPr>
      <w:rFonts w:ascii="Times New Roman" w:hAnsi="Times New Roman"/>
    </w:rPr>
    <w:tblPr>
      <w:tblBorders>
        <w:top w:val="single" w:color="auto" w:sz="12" w:space="0"/>
        <w:bottom w:val="single" w:color="auto" w:sz="12" w:space="0"/>
        <w:insideH w:val="single" w:color="auto" w:sz="4" w:space="0"/>
        <w:insideV w:val="single" w:color="auto" w:sz="4" w:space="0"/>
      </w:tblBorders>
    </w:tblPr>
    <w:tcPr>
      <w:vAlign w:val="center"/>
    </w:tcPr>
  </w:style>
  <w:style w:type="table" w:customStyle="1" w:styleId="434">
    <w:name w:val="报告书表格样式12"/>
    <w:basedOn w:val="51"/>
    <w:qFormat/>
    <w:uiPriority w:val="0"/>
    <w:pPr>
      <w:jc w:val="center"/>
    </w:pPr>
    <w:rPr>
      <w:rFonts w:ascii="Times New Roman" w:hAnsi="Times New Roman"/>
    </w:rPr>
    <w:tblPr>
      <w:tblBorders>
        <w:top w:val="single" w:color="auto" w:sz="12" w:space="0"/>
        <w:bottom w:val="single" w:color="auto" w:sz="12" w:space="0"/>
        <w:insideH w:val="single" w:color="auto" w:sz="6" w:space="0"/>
        <w:insideV w:val="single" w:color="auto" w:sz="6" w:space="0"/>
      </w:tblBorders>
      <w:tblCellMar>
        <w:left w:w="28" w:type="dxa"/>
        <w:right w:w="28" w:type="dxa"/>
      </w:tblCellMar>
    </w:tblPr>
    <w:tcPr>
      <w:vAlign w:val="center"/>
    </w:tcPr>
  </w:style>
  <w:style w:type="table" w:customStyle="1" w:styleId="435">
    <w:name w:val="样式1"/>
    <w:basedOn w:val="51"/>
    <w:qFormat/>
    <w:uiPriority w:val="99"/>
    <w:pPr>
      <w:jc w:val="center"/>
    </w:pPr>
    <w:tblPr>
      <w:tblBorders>
        <w:top w:val="single" w:color="auto" w:sz="12" w:space="0"/>
        <w:bottom w:val="single" w:color="auto" w:sz="12" w:space="0"/>
        <w:insideH w:val="single" w:color="auto" w:sz="4" w:space="0"/>
        <w:insideV w:val="single" w:color="auto" w:sz="4" w:space="0"/>
      </w:tblBorders>
    </w:tblPr>
    <w:tcPr>
      <w:vAlign w:val="center"/>
    </w:tcPr>
  </w:style>
  <w:style w:type="table" w:customStyle="1" w:styleId="436">
    <w:name w:val="Grid Table Light1"/>
    <w:basedOn w:val="51"/>
    <w:qFormat/>
    <w:uiPriority w:val="40"/>
    <w:rPr>
      <w:rFonts w:ascii="Times New Roman" w:hAnsi="Times New Roman"/>
    </w:rPr>
    <w:tblPr>
      <w:jc w:val="center"/>
      <w:tblBorders>
        <w:top w:val="single" w:color="000000" w:sz="12" w:space="0"/>
        <w:bottom w:val="single" w:color="000000" w:sz="12" w:space="0"/>
        <w:insideH w:val="single" w:color="000000" w:sz="4" w:space="0"/>
        <w:insideV w:val="single" w:color="000000" w:sz="4" w:space="0"/>
      </w:tblBorders>
    </w:tblPr>
    <w:trPr>
      <w:jc w:val="center"/>
    </w:trPr>
    <w:tcPr>
      <w:shd w:val="clear" w:color="auto" w:fill="auto"/>
      <w:vAlign w:val="center"/>
    </w:tcPr>
  </w:style>
  <w:style w:type="table" w:customStyle="1" w:styleId="437">
    <w:name w:val="YJ-表格"/>
    <w:basedOn w:val="51"/>
    <w:qFormat/>
    <w:uiPriority w:val="99"/>
    <w:pPr>
      <w:jc w:val="center"/>
    </w:pPr>
    <w:rPr>
      <w:rFonts w:ascii="宋体"/>
    </w:rPr>
    <w:tblPr>
      <w:jc w:val="center"/>
      <w:tblBorders>
        <w:top w:val="single" w:color="auto" w:sz="12" w:space="0"/>
        <w:bottom w:val="single" w:color="auto" w:sz="12" w:space="0"/>
        <w:insideH w:val="single" w:color="auto" w:sz="12" w:space="0"/>
        <w:insideV w:val="single" w:color="auto" w:sz="12" w:space="0"/>
      </w:tblBorders>
    </w:tblPr>
    <w:trPr>
      <w:jc w:val="center"/>
    </w:trPr>
    <w:tcPr>
      <w:vAlign w:val="center"/>
    </w:tcPr>
  </w:style>
  <w:style w:type="table" w:customStyle="1" w:styleId="438">
    <w:name w:val="网格型2"/>
    <w:basedOn w:val="51"/>
    <w:qFormat/>
    <w:uiPriority w:val="0"/>
    <w:pPr>
      <w:widowControl w:val="0"/>
      <w:jc w:val="both"/>
    </w:pPr>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39">
    <w:name w:val="网格型!1"/>
    <w:basedOn w:val="51"/>
    <w:qFormat/>
    <w:uiPriority w:val="0"/>
    <w:pPr>
      <w:widowControl w:val="0"/>
      <w:jc w:val="both"/>
    </w:pPr>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40">
    <w:name w:val="报告书表格样式3"/>
    <w:basedOn w:val="51"/>
    <w:qFormat/>
    <w:uiPriority w:val="0"/>
    <w:rPr>
      <w:rFonts w:ascii="Times New Roman" w:hAnsi="Times New Roman"/>
    </w:rPr>
    <w:tblPr>
      <w:tblBorders>
        <w:top w:val="single" w:color="auto" w:sz="12" w:space="0"/>
        <w:bottom w:val="single" w:color="auto" w:sz="12" w:space="0"/>
        <w:insideH w:val="single" w:color="auto" w:sz="6" w:space="0"/>
        <w:insideV w:val="single" w:color="auto" w:sz="6" w:space="0"/>
      </w:tblBorders>
    </w:tblPr>
  </w:style>
  <w:style w:type="character" w:customStyle="1" w:styleId="441">
    <w:name w:val="font31"/>
    <w:qFormat/>
    <w:uiPriority w:val="0"/>
    <w:rPr>
      <w:rFonts w:hint="default" w:ascii="Times New Roman" w:hAnsi="Times New Roman" w:cs="Times New Roman"/>
      <w:color w:val="000000"/>
      <w:sz w:val="24"/>
      <w:szCs w:val="24"/>
      <w:u w:val="none"/>
    </w:rPr>
  </w:style>
  <w:style w:type="paragraph" w:customStyle="1" w:styleId="442">
    <w:name w:val="CDD图中的文字"/>
    <w:basedOn w:val="1"/>
    <w:qFormat/>
    <w:uiPriority w:val="0"/>
    <w:pPr>
      <w:spacing w:line="240" w:lineRule="exact"/>
      <w:jc w:val="center"/>
    </w:pPr>
    <w:rPr>
      <w:rFonts w:ascii="宋体" w:hAnsi="等线"/>
      <w:sz w:val="18"/>
      <w:szCs w:val="21"/>
    </w:rPr>
  </w:style>
  <w:style w:type="paragraph" w:customStyle="1" w:styleId="443">
    <w:name w:val="111"/>
    <w:basedOn w:val="117"/>
    <w:qFormat/>
    <w:uiPriority w:val="0"/>
    <w:pPr>
      <w:overflowPunct w:val="0"/>
    </w:pPr>
  </w:style>
  <w:style w:type="paragraph" w:customStyle="1" w:styleId="444">
    <w:name w:val="样式 小四 行距: 1.5 倍行距"/>
    <w:basedOn w:val="1"/>
    <w:qFormat/>
    <w:uiPriority w:val="0"/>
    <w:pPr>
      <w:spacing w:line="360" w:lineRule="auto"/>
      <w:ind w:firstLine="200" w:firstLineChars="200"/>
    </w:pPr>
    <w:rPr>
      <w:rFonts w:ascii="Times New Roman" w:hAnsi="Times New Roman" w:cs="宋体"/>
      <w:sz w:val="28"/>
      <w:szCs w:val="20"/>
    </w:rPr>
  </w:style>
  <w:style w:type="character" w:customStyle="1" w:styleId="445">
    <w:name w:val="表、图名 Char"/>
    <w:link w:val="400"/>
    <w:qFormat/>
    <w:uiPriority w:val="0"/>
    <w:rPr>
      <w:rFonts w:ascii="黑体" w:hAnsi="Times New Roman" w:eastAsia="黑体"/>
      <w:kern w:val="2"/>
      <w:sz w:val="21"/>
      <w:szCs w:val="24"/>
    </w:rPr>
  </w:style>
  <w:style w:type="character" w:customStyle="1" w:styleId="446">
    <w:name w:val="样式4 Char Char"/>
    <w:semiHidden/>
    <w:qFormat/>
    <w:uiPriority w:val="0"/>
    <w:rPr>
      <w:rFonts w:ascii="Arial" w:hAnsi="Arial" w:eastAsia="宋体"/>
      <w:kern w:val="2"/>
      <w:sz w:val="24"/>
      <w:szCs w:val="24"/>
      <w:lang w:val="en-US" w:eastAsia="zh-CN" w:bidi="ar-SA"/>
    </w:rPr>
  </w:style>
  <w:style w:type="character" w:customStyle="1" w:styleId="447">
    <w:name w:val="表头 Char2"/>
    <w:qFormat/>
    <w:locked/>
    <w:uiPriority w:val="0"/>
    <w:rPr>
      <w:rFonts w:ascii="Arial" w:hAnsi="Arial" w:eastAsia="黑体"/>
      <w:bCs/>
      <w:kern w:val="2"/>
      <w:sz w:val="21"/>
      <w:szCs w:val="28"/>
      <w:lang w:val="en-US" w:eastAsia="zh-CN" w:bidi="ar-SA"/>
    </w:rPr>
  </w:style>
  <w:style w:type="character" w:customStyle="1" w:styleId="448">
    <w:name w:val="fontstyle21"/>
    <w:qFormat/>
    <w:uiPriority w:val="0"/>
    <w:rPr>
      <w:rFonts w:hint="default" w:ascii="Helvetica" w:hAnsi="Helvetica"/>
      <w:color w:val="000000"/>
      <w:sz w:val="30"/>
      <w:szCs w:val="30"/>
    </w:rPr>
  </w:style>
  <w:style w:type="paragraph" w:customStyle="1" w:styleId="449">
    <w:name w:val="表格标题样式"/>
    <w:basedOn w:val="1"/>
    <w:qFormat/>
    <w:uiPriority w:val="0"/>
    <w:pPr>
      <w:widowControl/>
      <w:spacing w:line="300" w:lineRule="auto"/>
      <w:jc w:val="center"/>
      <w:textAlignment w:val="baseline"/>
    </w:pPr>
    <w:rPr>
      <w:rFonts w:ascii="黑体" w:hAnsi="黑体" w:eastAsia="黑体"/>
      <w:kern w:val="0"/>
      <w:sz w:val="24"/>
      <w:szCs w:val="24"/>
    </w:rPr>
  </w:style>
  <w:style w:type="paragraph" w:customStyle="1" w:styleId="450">
    <w:name w:val="03_正文"/>
    <w:basedOn w:val="1"/>
    <w:qFormat/>
    <w:uiPriority w:val="0"/>
    <w:pPr>
      <w:adjustRightInd w:val="0"/>
      <w:snapToGrid w:val="0"/>
      <w:spacing w:line="360" w:lineRule="auto"/>
      <w:ind w:firstLine="200" w:firstLineChars="200"/>
    </w:pPr>
    <w:rPr>
      <w:rFonts w:ascii="宋体"/>
      <w:color w:val="000000"/>
      <w:spacing w:val="5"/>
      <w:sz w:val="25"/>
      <w:szCs w:val="25"/>
    </w:rPr>
  </w:style>
  <w:style w:type="paragraph" w:customStyle="1" w:styleId="451">
    <w:name w:val="表表格内的文字"/>
    <w:basedOn w:val="452"/>
    <w:qFormat/>
    <w:uiPriority w:val="0"/>
    <w:pPr>
      <w:snapToGrid/>
      <w:spacing w:line="240" w:lineRule="auto"/>
      <w:jc w:val="center"/>
    </w:pPr>
    <w:rPr>
      <w:rFonts w:ascii="Times New Roman" w:hAnsi="Times New Roman" w:cs="Times New Roman"/>
      <w:kern w:val="0"/>
      <w:sz w:val="21"/>
      <w:szCs w:val="21"/>
    </w:rPr>
  </w:style>
  <w:style w:type="paragraph" w:customStyle="1" w:styleId="452">
    <w:name w:val="说明书正文"/>
    <w:basedOn w:val="1"/>
    <w:qFormat/>
    <w:uiPriority w:val="0"/>
    <w:pPr>
      <w:adjustRightInd w:val="0"/>
      <w:snapToGrid w:val="0"/>
      <w:spacing w:line="300" w:lineRule="auto"/>
      <w:textAlignment w:val="baseline"/>
    </w:pPr>
    <w:rPr>
      <w:rFonts w:ascii="宋体" w:hAnsi="宋体" w:cs="宋体"/>
      <w:sz w:val="28"/>
      <w:szCs w:val="28"/>
    </w:rPr>
  </w:style>
  <w:style w:type="paragraph" w:customStyle="1" w:styleId="453">
    <w:name w:val="CM3"/>
    <w:basedOn w:val="386"/>
    <w:next w:val="386"/>
    <w:qFormat/>
    <w:uiPriority w:val="0"/>
    <w:rPr>
      <w:rFonts w:ascii="ST Song Std" w:eastAsia="ST Song Std" w:cs="Times New Roman"/>
      <w:color w:val="auto"/>
    </w:rPr>
  </w:style>
  <w:style w:type="paragraph" w:customStyle="1" w:styleId="454">
    <w:name w:val="表格内"/>
    <w:basedOn w:val="1"/>
    <w:link w:val="459"/>
    <w:qFormat/>
    <w:uiPriority w:val="0"/>
    <w:pPr>
      <w:snapToGrid w:val="0"/>
      <w:spacing w:line="360" w:lineRule="exact"/>
      <w:jc w:val="center"/>
    </w:pPr>
    <w:rPr>
      <w:rFonts w:ascii="Times New Roman" w:hAnsi="Times New Roman"/>
      <w:szCs w:val="21"/>
    </w:rPr>
  </w:style>
  <w:style w:type="paragraph" w:customStyle="1" w:styleId="455">
    <w:name w:val="a)"/>
    <w:basedOn w:val="1"/>
    <w:qFormat/>
    <w:uiPriority w:val="0"/>
    <w:pPr>
      <w:tabs>
        <w:tab w:val="left" w:pos="1134"/>
      </w:tabs>
      <w:adjustRightInd w:val="0"/>
      <w:spacing w:line="360" w:lineRule="auto"/>
      <w:ind w:firstLine="567"/>
      <w:textAlignment w:val="baseline"/>
    </w:pPr>
    <w:rPr>
      <w:rFonts w:ascii="Times New Roman" w:hAnsi="Times New Roman"/>
      <w:kern w:val="0"/>
      <w:sz w:val="28"/>
      <w:szCs w:val="20"/>
    </w:rPr>
  </w:style>
  <w:style w:type="paragraph" w:customStyle="1" w:styleId="456">
    <w:name w:val="首行缩进2"/>
    <w:basedOn w:val="1"/>
    <w:qFormat/>
    <w:uiPriority w:val="0"/>
    <w:pPr>
      <w:spacing w:line="360" w:lineRule="auto"/>
      <w:ind w:firstLine="200" w:firstLineChars="200"/>
    </w:pPr>
    <w:rPr>
      <w:rFonts w:ascii="Times New Roman" w:hAnsi="Times New Roman"/>
      <w:sz w:val="24"/>
      <w:szCs w:val="28"/>
    </w:rPr>
  </w:style>
  <w:style w:type="paragraph" w:customStyle="1" w:styleId="457">
    <w:name w:val="CM2"/>
    <w:basedOn w:val="386"/>
    <w:next w:val="386"/>
    <w:qFormat/>
    <w:uiPriority w:val="0"/>
    <w:pPr>
      <w:spacing w:line="580" w:lineRule="atLeast"/>
    </w:pPr>
    <w:rPr>
      <w:rFonts w:ascii="ST Song Std" w:eastAsia="ST Song Std" w:cs="Times New Roman"/>
      <w:color w:val="auto"/>
    </w:rPr>
  </w:style>
  <w:style w:type="paragraph" w:customStyle="1" w:styleId="458">
    <w:name w:val="CM1"/>
    <w:basedOn w:val="386"/>
    <w:next w:val="386"/>
    <w:qFormat/>
    <w:uiPriority w:val="0"/>
    <w:pPr>
      <w:spacing w:line="623" w:lineRule="atLeast"/>
    </w:pPr>
    <w:rPr>
      <w:rFonts w:ascii="ST Song Std" w:eastAsia="ST Song Std" w:cs="Times New Roman"/>
      <w:color w:val="auto"/>
    </w:rPr>
  </w:style>
  <w:style w:type="character" w:customStyle="1" w:styleId="459">
    <w:name w:val="表格内 字符"/>
    <w:link w:val="454"/>
    <w:qFormat/>
    <w:uiPriority w:val="0"/>
    <w:rPr>
      <w:rFonts w:ascii="Times New Roman" w:hAnsi="Times New Roman"/>
      <w:kern w:val="2"/>
      <w:sz w:val="21"/>
      <w:szCs w:val="21"/>
    </w:rPr>
  </w:style>
  <w:style w:type="character" w:customStyle="1" w:styleId="460">
    <w:name w:val="脚注文本 字符1"/>
    <w:semiHidden/>
    <w:qFormat/>
    <w:uiPriority w:val="99"/>
    <w:rPr>
      <w:rFonts w:eastAsia="宋体"/>
      <w:sz w:val="18"/>
      <w:szCs w:val="18"/>
    </w:rPr>
  </w:style>
  <w:style w:type="character" w:customStyle="1" w:styleId="461">
    <w:name w:val="FL正文字体 字符"/>
    <w:link w:val="462"/>
    <w:qFormat/>
    <w:uiPriority w:val="0"/>
    <w:rPr>
      <w:rFonts w:ascii="宋体" w:hAnsi="宋体"/>
      <w:color w:val="FF0000"/>
      <w:sz w:val="24"/>
      <w:szCs w:val="24"/>
    </w:rPr>
  </w:style>
  <w:style w:type="paragraph" w:customStyle="1" w:styleId="462">
    <w:name w:val="FL正文字体"/>
    <w:basedOn w:val="117"/>
    <w:link w:val="461"/>
    <w:qFormat/>
    <w:uiPriority w:val="0"/>
    <w:pPr>
      <w:ind w:firstLine="480"/>
    </w:pPr>
    <w:rPr>
      <w:color w:val="FF0000"/>
      <w:kern w:val="0"/>
    </w:rPr>
  </w:style>
  <w:style w:type="table" w:customStyle="1" w:styleId="463">
    <w:name w:val="样式231"/>
    <w:basedOn w:val="51"/>
    <w:qFormat/>
    <w:uiPriority w:val="99"/>
    <w:pPr>
      <w:jc w:val="center"/>
    </w:pPr>
    <w:rPr>
      <w:rFonts w:ascii="Times New Roman" w:hAnsi="Times New Roman"/>
    </w:rPr>
    <w:tblPr>
      <w:tblBorders>
        <w:top w:val="single" w:color="auto" w:sz="12" w:space="0"/>
        <w:bottom w:val="single" w:color="auto" w:sz="12" w:space="0"/>
        <w:insideH w:val="single" w:color="auto" w:sz="4" w:space="0"/>
        <w:insideV w:val="single" w:color="auto" w:sz="4" w:space="0"/>
      </w:tblBorders>
    </w:tblPr>
    <w:tcPr>
      <w:vAlign w:val="center"/>
    </w:tcPr>
  </w:style>
  <w:style w:type="character" w:customStyle="1" w:styleId="464">
    <w:name w:val="副标题 字符"/>
    <w:link w:val="36"/>
    <w:qFormat/>
    <w:uiPriority w:val="11"/>
    <w:rPr>
      <w:rFonts w:ascii="Times New Roman" w:hAnsi="Times New Roman"/>
      <w:bCs/>
      <w:kern w:val="28"/>
      <w:sz w:val="21"/>
      <w:szCs w:val="32"/>
    </w:rPr>
  </w:style>
  <w:style w:type="paragraph" w:customStyle="1" w:styleId="465">
    <w:name w:val="xl83"/>
    <w:basedOn w:val="1"/>
    <w:qFormat/>
    <w:uiPriority w:val="0"/>
    <w:pPr>
      <w:widowControl/>
      <w:pBdr>
        <w:top w:val="single" w:color="auto" w:sz="4" w:space="0"/>
        <w:left w:val="single" w:color="auto" w:sz="4" w:space="0"/>
        <w:bottom w:val="single" w:color="auto" w:sz="4" w:space="0"/>
      </w:pBdr>
      <w:spacing w:before="100" w:beforeAutospacing="1" w:after="100" w:afterAutospacing="1"/>
      <w:jc w:val="center"/>
      <w:textAlignment w:val="center"/>
    </w:pPr>
    <w:rPr>
      <w:rFonts w:ascii="宋体" w:hAnsi="宋体" w:cs="宋体"/>
      <w:kern w:val="0"/>
      <w:sz w:val="20"/>
      <w:szCs w:val="20"/>
    </w:rPr>
  </w:style>
  <w:style w:type="paragraph" w:customStyle="1" w:styleId="466">
    <w:name w:val="CDD正文"/>
    <w:basedOn w:val="1"/>
    <w:link w:val="467"/>
    <w:qFormat/>
    <w:uiPriority w:val="0"/>
    <w:pPr>
      <w:suppressLineNumbers/>
      <w:suppressAutoHyphens/>
      <w:spacing w:line="500" w:lineRule="exact"/>
      <w:ind w:firstLine="200" w:firstLineChars="200"/>
      <w:contextualSpacing/>
      <w:textAlignment w:val="top"/>
      <w:outlineLvl w:val="3"/>
    </w:pPr>
    <w:rPr>
      <w:rFonts w:ascii="宋体" w:hAnsi="宋体"/>
      <w:b/>
      <w:kern w:val="0"/>
      <w:sz w:val="24"/>
      <w:szCs w:val="20"/>
    </w:rPr>
  </w:style>
  <w:style w:type="character" w:customStyle="1" w:styleId="467">
    <w:name w:val="CDD正文 Char"/>
    <w:link w:val="466"/>
    <w:qFormat/>
    <w:uiPriority w:val="0"/>
    <w:rPr>
      <w:rFonts w:ascii="宋体" w:hAnsi="宋体"/>
      <w:b/>
      <w:sz w:val="24"/>
    </w:rPr>
  </w:style>
  <w:style w:type="table" w:customStyle="1" w:styleId="468">
    <w:name w:val="网格型5"/>
    <w:basedOn w:val="51"/>
    <w:unhideWhenUsed/>
    <w:qFormat/>
    <w:uiPriority w:val="99"/>
    <w:pPr>
      <w:widowControl w:val="0"/>
      <w:jc w:val="both"/>
    </w:pPr>
    <w:rPr>
      <w:rFonts w:ascii="宋体" w:hAnsi="宋体"/>
    </w:rPr>
    <w:tblPr>
      <w:jc w:val="center"/>
      <w:tblBorders>
        <w:top w:val="single" w:color="auto" w:sz="12" w:space="0"/>
        <w:bottom w:val="single" w:color="auto" w:sz="12" w:space="0"/>
        <w:insideH w:val="single" w:color="auto" w:sz="4" w:space="0"/>
        <w:insideV w:val="single" w:color="auto" w:sz="4" w:space="0"/>
      </w:tblBorders>
    </w:tblPr>
    <w:trPr>
      <w:jc w:val="center"/>
    </w:trPr>
    <w:tcPr>
      <w:vAlign w:val="center"/>
    </w:tcPr>
  </w:style>
  <w:style w:type="character" w:customStyle="1" w:styleId="469">
    <w:name w:val="普通(网站) 字符"/>
    <w:link w:val="45"/>
    <w:qFormat/>
    <w:locked/>
    <w:uiPriority w:val="0"/>
    <w:rPr>
      <w:rFonts w:ascii="Times New Roman" w:hAnsi="Times New Roman" w:cs="宋体"/>
      <w:sz w:val="24"/>
      <w:szCs w:val="24"/>
    </w:rPr>
  </w:style>
  <w:style w:type="character" w:customStyle="1" w:styleId="470">
    <w:name w:val="表内文字 字符"/>
    <w:link w:val="381"/>
    <w:qFormat/>
    <w:uiPriority w:val="0"/>
    <w:rPr>
      <w:rFonts w:ascii="Times New Roman" w:hAnsi="Times New Roman"/>
      <w:kern w:val="2"/>
      <w:sz w:val="21"/>
      <w:szCs w:val="21"/>
    </w:rPr>
  </w:style>
  <w:style w:type="paragraph" w:customStyle="1" w:styleId="471">
    <w:name w:val="样式 样式 标题 5表格标题标题 5 CharBlock Label + 首行缩进:  2 字符 + 首行缩进:  0.88 厘米"/>
    <w:basedOn w:val="1"/>
    <w:qFormat/>
    <w:uiPriority w:val="0"/>
    <w:pPr>
      <w:keepNext/>
      <w:keepLines/>
      <w:adjustRightInd w:val="0"/>
      <w:spacing w:before="100" w:after="100"/>
      <w:jc w:val="left"/>
      <w:textAlignment w:val="baseline"/>
      <w:outlineLvl w:val="4"/>
    </w:pPr>
    <w:rPr>
      <w:rFonts w:ascii="Arial" w:hAnsi="Arial" w:eastAsia="黑体" w:cs="宋体"/>
      <w:color w:val="000000"/>
      <w:kern w:val="0"/>
      <w:sz w:val="24"/>
      <w:szCs w:val="20"/>
    </w:rPr>
  </w:style>
  <w:style w:type="table" w:customStyle="1" w:styleId="472">
    <w:name w:val="网格型!11"/>
    <w:basedOn w:val="51"/>
    <w:qFormat/>
    <w:uiPriority w:val="0"/>
    <w:pPr>
      <w:widowControl w:val="0"/>
      <w:jc w:val="both"/>
    </w:pPr>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73">
    <w:name w:val="Placeholder Text"/>
    <w:basedOn w:val="54"/>
    <w:unhideWhenUsed/>
    <w:qFormat/>
    <w:uiPriority w:val="99"/>
    <w:rPr>
      <w:color w:val="808080"/>
    </w:rPr>
  </w:style>
  <w:style w:type="paragraph" w:customStyle="1" w:styleId="474">
    <w:name w:val="修订3"/>
    <w:hidden/>
    <w:unhideWhenUsed/>
    <w:qFormat/>
    <w:uiPriority w:val="99"/>
    <w:rPr>
      <w:rFonts w:ascii="Calibri" w:hAnsi="Calibri" w:eastAsia="宋体" w:cs="Times New Roman"/>
      <w:kern w:val="2"/>
      <w:sz w:val="21"/>
      <w:szCs w:val="22"/>
      <w:lang w:val="en-US" w:eastAsia="zh-CN" w:bidi="ar-SA"/>
    </w:rPr>
  </w:style>
  <w:style w:type="character" w:customStyle="1" w:styleId="475">
    <w:name w:val="标题2"/>
    <w:qFormat/>
    <w:uiPriority w:val="0"/>
  </w:style>
  <w:style w:type="paragraph" w:customStyle="1" w:styleId="476">
    <w:name w:val="Char Char Char Char Char Char Char1"/>
    <w:basedOn w:val="1"/>
    <w:qFormat/>
    <w:uiPriority w:val="0"/>
    <w:pPr>
      <w:widowControl/>
      <w:spacing w:after="160" w:line="240" w:lineRule="exact"/>
      <w:jc w:val="left"/>
    </w:pPr>
    <w:rPr>
      <w:rFonts w:ascii="Verdana" w:hAnsi="Verdana"/>
      <w:kern w:val="0"/>
      <w:sz w:val="20"/>
      <w:szCs w:val="20"/>
      <w:lang w:eastAsia="en-US"/>
    </w:rPr>
  </w:style>
  <w:style w:type="paragraph" w:customStyle="1" w:styleId="477">
    <w:name w:val="Char3"/>
    <w:basedOn w:val="1"/>
    <w:qFormat/>
    <w:uiPriority w:val="0"/>
    <w:pPr>
      <w:widowControl/>
      <w:spacing w:after="160" w:line="240" w:lineRule="exact"/>
      <w:jc w:val="left"/>
    </w:pPr>
    <w:rPr>
      <w:rFonts w:ascii="Verdana" w:hAnsi="Verdana"/>
      <w:kern w:val="0"/>
      <w:sz w:val="20"/>
      <w:szCs w:val="20"/>
      <w:lang w:eastAsia="en-US"/>
    </w:rPr>
  </w:style>
  <w:style w:type="paragraph" w:customStyle="1" w:styleId="478">
    <w:name w:val="正文缩进3"/>
    <w:basedOn w:val="1"/>
    <w:qFormat/>
    <w:uiPriority w:val="0"/>
    <w:pPr>
      <w:ind w:firstLine="420" w:firstLineChars="200"/>
    </w:pPr>
    <w:rPr>
      <w:rFonts w:ascii="Times New Roman" w:hAnsi="Times New Roman"/>
      <w:szCs w:val="20"/>
    </w:rPr>
  </w:style>
  <w:style w:type="paragraph" w:customStyle="1" w:styleId="479">
    <w:name w:val="Char1 Char Char Char1"/>
    <w:basedOn w:val="1"/>
    <w:qFormat/>
    <w:uiPriority w:val="0"/>
    <w:pPr>
      <w:widowControl/>
      <w:spacing w:after="160" w:line="240" w:lineRule="exact"/>
      <w:jc w:val="left"/>
    </w:pPr>
    <w:rPr>
      <w:rFonts w:ascii="Verdana" w:hAnsi="Verdana"/>
      <w:kern w:val="0"/>
      <w:sz w:val="20"/>
      <w:szCs w:val="20"/>
      <w:lang w:eastAsia="en-US"/>
    </w:rPr>
  </w:style>
  <w:style w:type="paragraph" w:customStyle="1" w:styleId="480">
    <w:name w:val="纯文本2"/>
    <w:basedOn w:val="1"/>
    <w:qFormat/>
    <w:uiPriority w:val="0"/>
    <w:pPr>
      <w:adjustRightInd w:val="0"/>
      <w:jc w:val="left"/>
      <w:textAlignment w:val="baseline"/>
    </w:pPr>
    <w:rPr>
      <w:rFonts w:ascii="宋体" w:hAnsi="Courier New"/>
      <w:sz w:val="24"/>
      <w:szCs w:val="20"/>
    </w:rPr>
  </w:style>
  <w:style w:type="paragraph" w:customStyle="1" w:styleId="481">
    <w:name w:val="Char Char Char Char Char Char Char Char1"/>
    <w:basedOn w:val="1"/>
    <w:qFormat/>
    <w:uiPriority w:val="0"/>
    <w:rPr>
      <w:rFonts w:ascii="Times New Roman" w:hAnsi="Times New Roman"/>
      <w:szCs w:val="20"/>
    </w:rPr>
  </w:style>
  <w:style w:type="character" w:customStyle="1" w:styleId="482">
    <w:name w:val="efq04cym70"/>
    <w:basedOn w:val="54"/>
    <w:qFormat/>
    <w:uiPriority w:val="0"/>
  </w:style>
  <w:style w:type="character" w:customStyle="1" w:styleId="483">
    <w:name w:val="s2bt9i"/>
    <w:basedOn w:val="54"/>
    <w:qFormat/>
    <w:uiPriority w:val="0"/>
  </w:style>
  <w:style w:type="paragraph" w:customStyle="1" w:styleId="484">
    <w:name w:val="msonormal"/>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485">
    <w:name w:val="xl65"/>
    <w:basedOn w:val="1"/>
    <w:qFormat/>
    <w:uiPriority w:val="0"/>
    <w:pPr>
      <w:widowControl/>
      <w:pBdr>
        <w:bottom w:val="single" w:color="auto" w:sz="8" w:space="0"/>
      </w:pBdr>
      <w:spacing w:before="100" w:beforeAutospacing="1" w:after="100" w:afterAutospacing="1"/>
      <w:jc w:val="center"/>
      <w:textAlignment w:val="center"/>
    </w:pPr>
    <w:rPr>
      <w:rFonts w:ascii="宋体" w:hAnsi="宋体" w:cs="宋体"/>
      <w:kern w:val="0"/>
      <w:szCs w:val="21"/>
    </w:rPr>
  </w:style>
  <w:style w:type="paragraph" w:customStyle="1" w:styleId="486">
    <w:name w:val="xl67"/>
    <w:basedOn w:val="1"/>
    <w:qFormat/>
    <w:uiPriority w:val="0"/>
    <w:pPr>
      <w:widowControl/>
      <w:pBdr>
        <w:bottom w:val="single" w:color="auto" w:sz="8" w:space="0"/>
        <w:right w:val="single" w:color="auto" w:sz="8" w:space="0"/>
      </w:pBdr>
      <w:spacing w:before="100" w:beforeAutospacing="1" w:after="100" w:afterAutospacing="1"/>
      <w:jc w:val="center"/>
      <w:textAlignment w:val="center"/>
    </w:pPr>
    <w:rPr>
      <w:rFonts w:ascii="宋体" w:hAnsi="宋体" w:cs="宋体"/>
      <w:kern w:val="0"/>
      <w:szCs w:val="21"/>
    </w:rPr>
  </w:style>
  <w:style w:type="paragraph" w:customStyle="1" w:styleId="487">
    <w:name w:val="xl68"/>
    <w:basedOn w:val="1"/>
    <w:qFormat/>
    <w:uiPriority w:val="0"/>
    <w:pPr>
      <w:widowControl/>
      <w:pBdr>
        <w:bottom w:val="single" w:color="auto" w:sz="12" w:space="0"/>
        <w:right w:val="single" w:color="auto" w:sz="8" w:space="0"/>
      </w:pBdr>
      <w:spacing w:before="100" w:beforeAutospacing="1" w:after="100" w:afterAutospacing="1"/>
      <w:jc w:val="center"/>
      <w:textAlignment w:val="center"/>
    </w:pPr>
    <w:rPr>
      <w:rFonts w:ascii="宋体" w:hAnsi="宋体" w:cs="宋体"/>
      <w:kern w:val="0"/>
      <w:szCs w:val="21"/>
    </w:rPr>
  </w:style>
  <w:style w:type="paragraph" w:customStyle="1" w:styleId="488">
    <w:name w:val="xl69"/>
    <w:basedOn w:val="1"/>
    <w:qFormat/>
    <w:uiPriority w:val="0"/>
    <w:pPr>
      <w:widowControl/>
      <w:pBdr>
        <w:top w:val="single" w:color="auto" w:sz="12" w:space="0"/>
        <w:left w:val="single" w:color="auto" w:sz="8" w:space="0"/>
        <w:bottom w:val="single" w:color="auto" w:sz="8" w:space="0"/>
      </w:pBdr>
      <w:spacing w:before="100" w:beforeAutospacing="1" w:after="100" w:afterAutospacing="1"/>
      <w:jc w:val="center"/>
      <w:textAlignment w:val="center"/>
    </w:pPr>
    <w:rPr>
      <w:rFonts w:ascii="宋体" w:hAnsi="宋体" w:cs="宋体"/>
      <w:kern w:val="0"/>
      <w:szCs w:val="21"/>
    </w:rPr>
  </w:style>
  <w:style w:type="paragraph" w:customStyle="1" w:styleId="489">
    <w:name w:val="xl70"/>
    <w:basedOn w:val="1"/>
    <w:qFormat/>
    <w:uiPriority w:val="0"/>
    <w:pPr>
      <w:widowControl/>
      <w:pBdr>
        <w:top w:val="single" w:color="auto" w:sz="12" w:space="0"/>
        <w:bottom w:val="single" w:color="auto" w:sz="8" w:space="0"/>
      </w:pBdr>
      <w:spacing w:before="100" w:beforeAutospacing="1" w:after="100" w:afterAutospacing="1"/>
      <w:jc w:val="center"/>
      <w:textAlignment w:val="center"/>
    </w:pPr>
    <w:rPr>
      <w:rFonts w:ascii="宋体" w:hAnsi="宋体" w:cs="宋体"/>
      <w:kern w:val="0"/>
      <w:szCs w:val="21"/>
    </w:rPr>
  </w:style>
  <w:style w:type="paragraph" w:customStyle="1" w:styleId="490">
    <w:name w:val="xl71"/>
    <w:basedOn w:val="1"/>
    <w:qFormat/>
    <w:uiPriority w:val="0"/>
    <w:pPr>
      <w:widowControl/>
      <w:pBdr>
        <w:top w:val="single" w:color="auto" w:sz="12" w:space="0"/>
        <w:right w:val="single" w:color="auto" w:sz="8" w:space="0"/>
      </w:pBdr>
      <w:spacing w:before="100" w:beforeAutospacing="1" w:after="100" w:afterAutospacing="1"/>
      <w:jc w:val="center"/>
      <w:textAlignment w:val="center"/>
    </w:pPr>
    <w:rPr>
      <w:rFonts w:ascii="宋体" w:hAnsi="宋体" w:cs="宋体"/>
      <w:kern w:val="0"/>
      <w:szCs w:val="21"/>
    </w:rPr>
  </w:style>
  <w:style w:type="paragraph" w:customStyle="1" w:styleId="491">
    <w:name w:val="xl72"/>
    <w:basedOn w:val="1"/>
    <w:qFormat/>
    <w:uiPriority w:val="0"/>
    <w:pPr>
      <w:widowControl/>
      <w:pBdr>
        <w:top w:val="single" w:color="auto" w:sz="12" w:space="0"/>
        <w:left w:val="single" w:color="auto" w:sz="8" w:space="0"/>
        <w:right w:val="single" w:color="auto" w:sz="8" w:space="0"/>
      </w:pBdr>
      <w:spacing w:before="100" w:beforeAutospacing="1" w:after="100" w:afterAutospacing="1"/>
      <w:jc w:val="center"/>
      <w:textAlignment w:val="center"/>
    </w:pPr>
    <w:rPr>
      <w:rFonts w:ascii="宋体" w:hAnsi="宋体" w:cs="宋体"/>
      <w:kern w:val="0"/>
      <w:szCs w:val="21"/>
    </w:rPr>
  </w:style>
  <w:style w:type="paragraph" w:customStyle="1" w:styleId="492">
    <w:name w:val="xl73"/>
    <w:basedOn w:val="1"/>
    <w:qFormat/>
    <w:uiPriority w:val="0"/>
    <w:pPr>
      <w:widowControl/>
      <w:pBdr>
        <w:left w:val="single" w:color="auto" w:sz="8" w:space="0"/>
        <w:bottom w:val="single" w:color="auto" w:sz="8" w:space="0"/>
        <w:right w:val="single" w:color="auto" w:sz="8" w:space="0"/>
      </w:pBdr>
      <w:spacing w:before="100" w:beforeAutospacing="1" w:after="100" w:afterAutospacing="1"/>
      <w:jc w:val="center"/>
      <w:textAlignment w:val="center"/>
    </w:pPr>
    <w:rPr>
      <w:rFonts w:ascii="宋体" w:hAnsi="宋体" w:cs="宋体"/>
      <w:kern w:val="0"/>
      <w:szCs w:val="21"/>
    </w:rPr>
  </w:style>
  <w:style w:type="paragraph" w:customStyle="1" w:styleId="493">
    <w:name w:val="xl74"/>
    <w:basedOn w:val="1"/>
    <w:qFormat/>
    <w:uiPriority w:val="0"/>
    <w:pPr>
      <w:widowControl/>
      <w:pBdr>
        <w:top w:val="single" w:color="auto" w:sz="12" w:space="0"/>
        <w:bottom w:val="single" w:color="auto" w:sz="8" w:space="0"/>
        <w:right w:val="single" w:color="auto" w:sz="8" w:space="0"/>
      </w:pBdr>
      <w:spacing w:before="100" w:beforeAutospacing="1" w:after="100" w:afterAutospacing="1"/>
      <w:jc w:val="center"/>
      <w:textAlignment w:val="center"/>
    </w:pPr>
    <w:rPr>
      <w:rFonts w:ascii="宋体" w:hAnsi="宋体" w:cs="宋体"/>
      <w:kern w:val="0"/>
      <w:szCs w:val="21"/>
    </w:rPr>
  </w:style>
  <w:style w:type="paragraph" w:customStyle="1" w:styleId="494">
    <w:name w:val="xl75"/>
    <w:basedOn w:val="1"/>
    <w:qFormat/>
    <w:uiPriority w:val="0"/>
    <w:pPr>
      <w:widowControl/>
      <w:pBdr>
        <w:bottom w:val="single" w:color="auto" w:sz="8" w:space="0"/>
        <w:right w:val="single" w:color="auto" w:sz="8" w:space="0"/>
      </w:pBdr>
      <w:spacing w:before="100" w:beforeAutospacing="1" w:after="100" w:afterAutospacing="1"/>
      <w:jc w:val="center"/>
    </w:pPr>
    <w:rPr>
      <w:rFonts w:ascii="宋体" w:hAnsi="宋体" w:cs="宋体"/>
      <w:kern w:val="0"/>
      <w:szCs w:val="21"/>
    </w:rPr>
  </w:style>
  <w:style w:type="paragraph" w:customStyle="1" w:styleId="495">
    <w:name w:val="xl76"/>
    <w:basedOn w:val="1"/>
    <w:qFormat/>
    <w:uiPriority w:val="0"/>
    <w:pPr>
      <w:widowControl/>
      <w:pBdr>
        <w:bottom w:val="single" w:color="auto" w:sz="12" w:space="0"/>
        <w:right w:val="single" w:color="auto" w:sz="8" w:space="0"/>
      </w:pBdr>
      <w:spacing w:before="100" w:beforeAutospacing="1" w:after="100" w:afterAutospacing="1"/>
      <w:jc w:val="center"/>
    </w:pPr>
    <w:rPr>
      <w:rFonts w:ascii="宋体" w:hAnsi="宋体" w:cs="宋体"/>
      <w:kern w:val="0"/>
      <w:szCs w:val="21"/>
    </w:rPr>
  </w:style>
  <w:style w:type="paragraph" w:customStyle="1" w:styleId="496">
    <w:name w:val="xl77"/>
    <w:basedOn w:val="1"/>
    <w:qFormat/>
    <w:uiPriority w:val="0"/>
    <w:pPr>
      <w:widowControl/>
      <w:pBdr>
        <w:top w:val="single" w:color="auto" w:sz="8" w:space="0"/>
        <w:bottom w:val="single" w:color="auto" w:sz="8" w:space="0"/>
      </w:pBdr>
      <w:spacing w:before="100" w:beforeAutospacing="1" w:after="100" w:afterAutospacing="1"/>
      <w:jc w:val="center"/>
      <w:textAlignment w:val="center"/>
    </w:pPr>
    <w:rPr>
      <w:rFonts w:ascii="宋体" w:hAnsi="宋体" w:cs="宋体"/>
      <w:kern w:val="0"/>
      <w:szCs w:val="21"/>
    </w:rPr>
  </w:style>
  <w:style w:type="paragraph" w:customStyle="1" w:styleId="497">
    <w:name w:val="xl78"/>
    <w:basedOn w:val="1"/>
    <w:qFormat/>
    <w:uiPriority w:val="0"/>
    <w:pPr>
      <w:widowControl/>
      <w:pBdr>
        <w:top w:val="single" w:color="auto" w:sz="8" w:space="0"/>
        <w:bottom w:val="single" w:color="auto" w:sz="12" w:space="0"/>
      </w:pBdr>
      <w:spacing w:before="100" w:beforeAutospacing="1" w:after="100" w:afterAutospacing="1"/>
      <w:jc w:val="center"/>
      <w:textAlignment w:val="center"/>
    </w:pPr>
    <w:rPr>
      <w:rFonts w:ascii="宋体" w:hAnsi="宋体" w:cs="宋体"/>
      <w:kern w:val="0"/>
      <w:szCs w:val="21"/>
    </w:rPr>
  </w:style>
  <w:style w:type="paragraph" w:customStyle="1" w:styleId="498">
    <w:name w:val="xl79"/>
    <w:basedOn w:val="1"/>
    <w:qFormat/>
    <w:uiPriority w:val="0"/>
    <w:pPr>
      <w:widowControl/>
      <w:pBdr>
        <w:top w:val="single" w:color="auto" w:sz="8" w:space="0"/>
        <w:left w:val="single" w:color="auto" w:sz="8" w:space="0"/>
        <w:bottom w:val="single" w:color="auto" w:sz="8" w:space="0"/>
      </w:pBdr>
      <w:spacing w:before="100" w:beforeAutospacing="1" w:after="100" w:afterAutospacing="1"/>
      <w:jc w:val="center"/>
      <w:textAlignment w:val="center"/>
    </w:pPr>
    <w:rPr>
      <w:rFonts w:ascii="宋体" w:hAnsi="宋体" w:cs="宋体"/>
      <w:kern w:val="0"/>
      <w:szCs w:val="21"/>
    </w:rPr>
  </w:style>
  <w:style w:type="paragraph" w:customStyle="1" w:styleId="499">
    <w:name w:val="xl80"/>
    <w:basedOn w:val="1"/>
    <w:qFormat/>
    <w:uiPriority w:val="0"/>
    <w:pPr>
      <w:widowControl/>
      <w:pBdr>
        <w:top w:val="single" w:color="auto" w:sz="8" w:space="0"/>
        <w:bottom w:val="single" w:color="auto" w:sz="8" w:space="0"/>
        <w:right w:val="single" w:color="auto" w:sz="8" w:space="0"/>
      </w:pBdr>
      <w:spacing w:before="100" w:beforeAutospacing="1" w:after="100" w:afterAutospacing="1"/>
      <w:jc w:val="center"/>
      <w:textAlignment w:val="center"/>
    </w:pPr>
    <w:rPr>
      <w:rFonts w:ascii="宋体" w:hAnsi="宋体" w:cs="宋体"/>
      <w:kern w:val="0"/>
      <w:szCs w:val="21"/>
    </w:rPr>
  </w:style>
  <w:style w:type="paragraph" w:customStyle="1" w:styleId="500">
    <w:name w:val="xl81"/>
    <w:basedOn w:val="1"/>
    <w:qFormat/>
    <w:uiPriority w:val="0"/>
    <w:pPr>
      <w:widowControl/>
      <w:pBdr>
        <w:bottom w:val="single" w:color="auto" w:sz="8" w:space="0"/>
        <w:right w:val="single" w:color="auto" w:sz="8" w:space="0"/>
      </w:pBdr>
      <w:spacing w:before="100" w:beforeAutospacing="1" w:after="100" w:afterAutospacing="1"/>
      <w:jc w:val="center"/>
    </w:pPr>
    <w:rPr>
      <w:rFonts w:ascii="宋体" w:hAnsi="宋体" w:cs="宋体"/>
      <w:kern w:val="0"/>
      <w:szCs w:val="21"/>
    </w:rPr>
  </w:style>
  <w:style w:type="table" w:customStyle="1" w:styleId="501">
    <w:name w:val="网格型6"/>
    <w:basedOn w:val="51"/>
    <w:unhideWhenUsed/>
    <w:qFormat/>
    <w:uiPriority w:val="99"/>
    <w:pPr>
      <w:widowControl w:val="0"/>
      <w:jc w:val="both"/>
    </w:pPr>
    <w:rPr>
      <w:rFonts w:ascii="宋体" w:hAnsi="宋体"/>
    </w:rPr>
    <w:tblPr>
      <w:jc w:val="center"/>
      <w:tblBorders>
        <w:top w:val="single" w:color="auto" w:sz="12" w:space="0"/>
        <w:bottom w:val="single" w:color="auto" w:sz="12" w:space="0"/>
        <w:insideH w:val="single" w:color="auto" w:sz="4" w:space="0"/>
        <w:insideV w:val="single" w:color="auto" w:sz="4" w:space="0"/>
      </w:tblBorders>
    </w:tblPr>
    <w:trPr>
      <w:jc w:val="center"/>
    </w:trPr>
    <w:tcPr>
      <w:vAlign w:val="center"/>
    </w:tcPr>
  </w:style>
  <w:style w:type="character" w:customStyle="1" w:styleId="502">
    <w:name w:val="列表段落 字符"/>
    <w:link w:val="302"/>
    <w:qFormat/>
    <w:uiPriority w:val="1"/>
    <w:rPr>
      <w:rFonts w:ascii="Times New Roman" w:hAnsi="Times New Roman"/>
      <w:kern w:val="2"/>
      <w:sz w:val="21"/>
      <w:szCs w:val="21"/>
    </w:rPr>
  </w:style>
  <w:style w:type="character" w:customStyle="1" w:styleId="503">
    <w:name w:val="表格1 Char"/>
    <w:link w:val="504"/>
    <w:qFormat/>
    <w:uiPriority w:val="0"/>
    <w:rPr>
      <w:rFonts w:ascii="Times New Roman" w:hAnsi="Times New Roman" w:eastAsia="方正仿宋_GBK"/>
      <w:color w:val="000000"/>
      <w:sz w:val="21"/>
      <w:szCs w:val="24"/>
    </w:rPr>
  </w:style>
  <w:style w:type="paragraph" w:customStyle="1" w:styleId="504">
    <w:name w:val="表格1"/>
    <w:basedOn w:val="1"/>
    <w:link w:val="503"/>
    <w:qFormat/>
    <w:uiPriority w:val="0"/>
    <w:pPr>
      <w:adjustRightInd w:val="0"/>
      <w:snapToGrid w:val="0"/>
      <w:jc w:val="center"/>
    </w:pPr>
    <w:rPr>
      <w:rFonts w:ascii="Times New Roman" w:hAnsi="Times New Roman" w:eastAsia="方正仿宋_GBK"/>
      <w:color w:val="000000"/>
      <w:kern w:val="0"/>
      <w:szCs w:val="24"/>
    </w:rPr>
  </w:style>
  <w:style w:type="paragraph" w:customStyle="1" w:styleId="505">
    <w:name w:val="xl64"/>
    <w:basedOn w:val="1"/>
    <w:qFormat/>
    <w:uiPriority w:val="0"/>
    <w:pPr>
      <w:widowControl/>
      <w:pBdr>
        <w:bottom w:val="single" w:color="auto" w:sz="8" w:space="0"/>
      </w:pBdr>
      <w:spacing w:before="100" w:beforeAutospacing="1" w:after="100" w:afterAutospacing="1"/>
      <w:jc w:val="center"/>
      <w:textAlignment w:val="center"/>
    </w:pPr>
    <w:rPr>
      <w:rFonts w:ascii="宋体" w:hAnsi="宋体" w:cs="宋体"/>
      <w:kern w:val="0"/>
      <w:szCs w:val="21"/>
    </w:rPr>
  </w:style>
  <w:style w:type="paragraph" w:customStyle="1" w:styleId="506">
    <w:name w:val="xl82"/>
    <w:basedOn w:val="1"/>
    <w:qFormat/>
    <w:uiPriority w:val="0"/>
    <w:pPr>
      <w:widowControl/>
      <w:pBdr>
        <w:top w:val="single" w:color="auto" w:sz="8" w:space="0"/>
        <w:bottom w:val="single" w:color="auto" w:sz="8" w:space="0"/>
        <w:right w:val="single" w:color="auto" w:sz="8" w:space="0"/>
      </w:pBdr>
      <w:spacing w:before="100" w:beforeAutospacing="1" w:after="100" w:afterAutospacing="1"/>
      <w:jc w:val="center"/>
      <w:textAlignment w:val="center"/>
    </w:pPr>
    <w:rPr>
      <w:rFonts w:ascii="宋体" w:hAnsi="宋体" w:cs="宋体"/>
      <w:kern w:val="0"/>
      <w:szCs w:val="21"/>
    </w:rPr>
  </w:style>
  <w:style w:type="paragraph" w:customStyle="1" w:styleId="507">
    <w:name w:val="xl84"/>
    <w:basedOn w:val="1"/>
    <w:qFormat/>
    <w:uiPriority w:val="0"/>
    <w:pPr>
      <w:widowControl/>
      <w:pBdr>
        <w:bottom w:val="single" w:color="auto" w:sz="8" w:space="0"/>
        <w:right w:val="single" w:color="auto" w:sz="8" w:space="0"/>
      </w:pBdr>
      <w:spacing w:before="100" w:beforeAutospacing="1" w:after="100" w:afterAutospacing="1"/>
      <w:jc w:val="center"/>
      <w:textAlignment w:val="center"/>
    </w:pPr>
    <w:rPr>
      <w:rFonts w:ascii="宋体" w:hAnsi="宋体" w:cs="宋体"/>
      <w:color w:val="FF0000"/>
      <w:kern w:val="0"/>
      <w:szCs w:val="21"/>
    </w:rPr>
  </w:style>
  <w:style w:type="table" w:customStyle="1" w:styleId="508">
    <w:name w:val="样式6"/>
    <w:basedOn w:val="51"/>
    <w:qFormat/>
    <w:uiPriority w:val="99"/>
    <w:pPr>
      <w:jc w:val="center"/>
    </w:pPr>
    <w:rPr>
      <w:rFonts w:ascii="Times New Roman" w:hAnsi="Times New Roman"/>
    </w:rPr>
    <w:tblPr>
      <w:tblBorders>
        <w:top w:val="single" w:color="auto" w:sz="12" w:space="0"/>
        <w:bottom w:val="single" w:color="auto" w:sz="12" w:space="0"/>
        <w:insideH w:val="single" w:color="auto" w:sz="4" w:space="0"/>
        <w:insideV w:val="single" w:color="auto" w:sz="4" w:space="0"/>
      </w:tblBorders>
      <w:tblCellMar>
        <w:left w:w="28" w:type="dxa"/>
        <w:right w:w="28" w:type="dxa"/>
      </w:tblCellMar>
    </w:tblPr>
    <w:tcPr>
      <w:vAlign w:val="center"/>
    </w:tcPr>
  </w:style>
  <w:style w:type="character" w:customStyle="1" w:styleId="509">
    <w:name w:val="正文文本缩进 3 字符2"/>
    <w:basedOn w:val="54"/>
    <w:semiHidden/>
    <w:qFormat/>
    <w:uiPriority w:val="99"/>
    <w:rPr>
      <w:rFonts w:ascii="宋体" w:hAnsi="宋体" w:eastAsia="等线" w:cs="宋体"/>
      <w:sz w:val="16"/>
      <w:szCs w:val="16"/>
    </w:rPr>
  </w:style>
  <w:style w:type="character" w:customStyle="1" w:styleId="510">
    <w:name w:val="正文文本缩进 字符2"/>
    <w:basedOn w:val="54"/>
    <w:semiHidden/>
    <w:qFormat/>
    <w:uiPriority w:val="99"/>
    <w:rPr>
      <w:rFonts w:ascii="宋体" w:hAnsi="宋体" w:eastAsia="等线" w:cs="宋体"/>
    </w:rPr>
  </w:style>
  <w:style w:type="character" w:customStyle="1" w:styleId="511">
    <w:name w:val="正文文本首行缩进 2 字符1"/>
    <w:basedOn w:val="510"/>
    <w:semiHidden/>
    <w:qFormat/>
    <w:uiPriority w:val="99"/>
    <w:rPr>
      <w:rFonts w:ascii="宋体" w:hAnsi="宋体" w:eastAsia="等线" w:cs="宋体"/>
    </w:rPr>
  </w:style>
  <w:style w:type="character" w:customStyle="1" w:styleId="512">
    <w:name w:val="批注框文本 字符1"/>
    <w:basedOn w:val="54"/>
    <w:semiHidden/>
    <w:qFormat/>
    <w:uiPriority w:val="99"/>
    <w:rPr>
      <w:rFonts w:ascii="宋体" w:hAnsi="宋体" w:eastAsia="等线" w:cs="宋体"/>
      <w:sz w:val="18"/>
      <w:szCs w:val="18"/>
    </w:rPr>
  </w:style>
  <w:style w:type="character" w:customStyle="1" w:styleId="513">
    <w:name w:val="正文文本 2 字符1"/>
    <w:basedOn w:val="54"/>
    <w:semiHidden/>
    <w:qFormat/>
    <w:uiPriority w:val="99"/>
    <w:rPr>
      <w:rFonts w:ascii="宋体" w:hAnsi="宋体" w:eastAsia="等线" w:cs="宋体"/>
    </w:rPr>
  </w:style>
  <w:style w:type="character" w:customStyle="1" w:styleId="514">
    <w:name w:val="文档结构图 字符1"/>
    <w:basedOn w:val="54"/>
    <w:semiHidden/>
    <w:qFormat/>
    <w:uiPriority w:val="99"/>
    <w:rPr>
      <w:rFonts w:ascii="Microsoft YaHei UI" w:hAnsi="宋体" w:eastAsia="Microsoft YaHei UI" w:cs="宋体"/>
      <w:sz w:val="18"/>
      <w:szCs w:val="18"/>
    </w:rPr>
  </w:style>
  <w:style w:type="character" w:customStyle="1" w:styleId="515">
    <w:name w:val="日期 字符1"/>
    <w:basedOn w:val="54"/>
    <w:semiHidden/>
    <w:qFormat/>
    <w:uiPriority w:val="99"/>
    <w:rPr>
      <w:rFonts w:ascii="宋体" w:hAnsi="宋体" w:eastAsia="等线" w:cs="宋体"/>
    </w:rPr>
  </w:style>
  <w:style w:type="character" w:customStyle="1" w:styleId="516">
    <w:name w:val="正文文本 3 字符2"/>
    <w:basedOn w:val="54"/>
    <w:semiHidden/>
    <w:qFormat/>
    <w:uiPriority w:val="99"/>
    <w:rPr>
      <w:rFonts w:ascii="宋体" w:hAnsi="宋体" w:eastAsia="等线" w:cs="宋体"/>
      <w:sz w:val="16"/>
      <w:szCs w:val="16"/>
    </w:rPr>
  </w:style>
  <w:style w:type="character" w:customStyle="1" w:styleId="517">
    <w:name w:val="批注文字 字符3"/>
    <w:basedOn w:val="54"/>
    <w:semiHidden/>
    <w:qFormat/>
    <w:uiPriority w:val="99"/>
    <w:rPr>
      <w:rFonts w:ascii="宋体" w:hAnsi="宋体" w:eastAsia="等线" w:cs="宋体"/>
    </w:rPr>
  </w:style>
  <w:style w:type="character" w:customStyle="1" w:styleId="518">
    <w:name w:val="批注主题 字符1"/>
    <w:basedOn w:val="517"/>
    <w:semiHidden/>
    <w:qFormat/>
    <w:uiPriority w:val="99"/>
    <w:rPr>
      <w:rFonts w:ascii="宋体" w:hAnsi="宋体" w:eastAsia="等线" w:cs="宋体"/>
      <w:b/>
      <w:bCs/>
    </w:rPr>
  </w:style>
  <w:style w:type="character" w:customStyle="1" w:styleId="519">
    <w:name w:val="正文文本 字符1"/>
    <w:basedOn w:val="54"/>
    <w:semiHidden/>
    <w:qFormat/>
    <w:uiPriority w:val="99"/>
    <w:rPr>
      <w:rFonts w:ascii="宋体" w:hAnsi="宋体" w:eastAsia="等线" w:cs="宋体"/>
    </w:rPr>
  </w:style>
  <w:style w:type="character" w:customStyle="1" w:styleId="520">
    <w:name w:val="正文文本首行缩进 字符1"/>
    <w:basedOn w:val="519"/>
    <w:semiHidden/>
    <w:qFormat/>
    <w:uiPriority w:val="99"/>
    <w:rPr>
      <w:rFonts w:ascii="宋体" w:hAnsi="宋体" w:eastAsia="等线" w:cs="宋体"/>
    </w:rPr>
  </w:style>
  <w:style w:type="character" w:customStyle="1" w:styleId="521">
    <w:name w:val="纯文本 字符2"/>
    <w:basedOn w:val="54"/>
    <w:semiHidden/>
    <w:qFormat/>
    <w:uiPriority w:val="99"/>
    <w:rPr>
      <w:rFonts w:hAnsi="Courier New" w:cs="Courier New" w:asciiTheme="minorEastAsia"/>
    </w:rPr>
  </w:style>
  <w:style w:type="character" w:customStyle="1" w:styleId="522">
    <w:name w:val="标题 字符1"/>
    <w:basedOn w:val="54"/>
    <w:qFormat/>
    <w:uiPriority w:val="10"/>
    <w:rPr>
      <w:rFonts w:asciiTheme="majorHAnsi" w:hAnsiTheme="majorHAnsi" w:eastAsiaTheme="majorEastAsia" w:cstheme="majorBidi"/>
      <w:b/>
      <w:bCs/>
      <w:sz w:val="32"/>
      <w:szCs w:val="32"/>
    </w:rPr>
  </w:style>
  <w:style w:type="character" w:customStyle="1" w:styleId="523">
    <w:name w:val="注释标题 字符2"/>
    <w:basedOn w:val="54"/>
    <w:semiHidden/>
    <w:qFormat/>
    <w:uiPriority w:val="99"/>
    <w:rPr>
      <w:rFonts w:ascii="宋体" w:hAnsi="宋体" w:eastAsia="等线" w:cs="宋体"/>
    </w:rPr>
  </w:style>
  <w:style w:type="character" w:customStyle="1" w:styleId="524">
    <w:name w:val="正文文本缩进 2 字符2"/>
    <w:basedOn w:val="54"/>
    <w:semiHidden/>
    <w:qFormat/>
    <w:uiPriority w:val="99"/>
    <w:rPr>
      <w:rFonts w:ascii="宋体" w:hAnsi="宋体" w:eastAsia="等线" w:cs="宋体"/>
    </w:rPr>
  </w:style>
  <w:style w:type="character" w:customStyle="1" w:styleId="525">
    <w:name w:val="HTML 预设格式 字符2"/>
    <w:basedOn w:val="54"/>
    <w:semiHidden/>
    <w:qFormat/>
    <w:uiPriority w:val="99"/>
    <w:rPr>
      <w:rFonts w:ascii="Courier New" w:hAnsi="Courier New" w:eastAsia="等线" w:cs="Courier New"/>
      <w:sz w:val="20"/>
      <w:szCs w:val="20"/>
    </w:rPr>
  </w:style>
  <w:style w:type="character" w:customStyle="1" w:styleId="526">
    <w:name w:val="冯莉表字-书 字符"/>
    <w:link w:val="527"/>
    <w:qFormat/>
    <w:uiPriority w:val="0"/>
    <w:rPr>
      <w:rFonts w:ascii="宋体" w:hAnsi="宋体"/>
      <w:sz w:val="21"/>
      <w:szCs w:val="21"/>
    </w:rPr>
  </w:style>
  <w:style w:type="paragraph" w:customStyle="1" w:styleId="527">
    <w:name w:val="冯莉表字-书"/>
    <w:basedOn w:val="1"/>
    <w:link w:val="526"/>
    <w:qFormat/>
    <w:uiPriority w:val="0"/>
    <w:pPr>
      <w:spacing w:line="300" w:lineRule="exact"/>
      <w:contextualSpacing/>
      <w:jc w:val="center"/>
    </w:pPr>
    <w:rPr>
      <w:rFonts w:ascii="宋体" w:hAnsi="宋体"/>
      <w:kern w:val="0"/>
      <w:szCs w:val="21"/>
    </w:rPr>
  </w:style>
  <w:style w:type="table" w:customStyle="1" w:styleId="528">
    <w:name w:val="网格型7"/>
    <w:basedOn w:val="51"/>
    <w:unhideWhenUsed/>
    <w:qFormat/>
    <w:uiPriority w:val="99"/>
    <w:pPr>
      <w:widowControl w:val="0"/>
      <w:jc w:val="both"/>
    </w:pPr>
    <w:rPr>
      <w:rFonts w:ascii="宋体" w:hAnsi="宋体"/>
    </w:rPr>
    <w:tblPr>
      <w:jc w:val="center"/>
      <w:tblBorders>
        <w:top w:val="single" w:color="auto" w:sz="12" w:space="0"/>
        <w:bottom w:val="single" w:color="auto" w:sz="12" w:space="0"/>
        <w:insideH w:val="single" w:color="auto" w:sz="4" w:space="0"/>
        <w:insideV w:val="single" w:color="auto" w:sz="4" w:space="0"/>
      </w:tblBorders>
    </w:tblPr>
    <w:trPr>
      <w:jc w:val="center"/>
    </w:trPr>
    <w:tcPr>
      <w:vAlign w:val="center"/>
    </w:tcPr>
  </w:style>
  <w:style w:type="paragraph" w:customStyle="1" w:styleId="529">
    <w:name w:val="图中文字02"/>
    <w:basedOn w:val="1"/>
    <w:link w:val="530"/>
    <w:qFormat/>
    <w:uiPriority w:val="0"/>
    <w:pPr>
      <w:spacing w:line="240" w:lineRule="atLeast"/>
      <w:jc w:val="center"/>
    </w:pPr>
    <w:rPr>
      <w:rFonts w:ascii="等线" w:hAnsi="等线" w:eastAsia="仿宋"/>
      <w:sz w:val="18"/>
      <w:szCs w:val="21"/>
    </w:rPr>
  </w:style>
  <w:style w:type="character" w:customStyle="1" w:styleId="530">
    <w:name w:val="图中文字02 字符"/>
    <w:link w:val="529"/>
    <w:qFormat/>
    <w:uiPriority w:val="0"/>
    <w:rPr>
      <w:rFonts w:ascii="等线" w:hAnsi="等线" w:eastAsia="仿宋"/>
      <w:kern w:val="2"/>
      <w:sz w:val="18"/>
      <w:szCs w:val="21"/>
    </w:rPr>
  </w:style>
  <w:style w:type="table" w:customStyle="1" w:styleId="531">
    <w:name w:val="网格型8"/>
    <w:basedOn w:val="51"/>
    <w:unhideWhenUsed/>
    <w:qFormat/>
    <w:uiPriority w:val="99"/>
    <w:pPr>
      <w:widowControl w:val="0"/>
      <w:jc w:val="both"/>
    </w:pPr>
    <w:rPr>
      <w:rFonts w:ascii="宋体" w:hAnsi="宋体"/>
    </w:rPr>
    <w:tblPr>
      <w:jc w:val="center"/>
      <w:tblBorders>
        <w:top w:val="single" w:color="auto" w:sz="12" w:space="0"/>
        <w:bottom w:val="single" w:color="auto" w:sz="12" w:space="0"/>
        <w:insideH w:val="single" w:color="auto" w:sz="4" w:space="0"/>
        <w:insideV w:val="single" w:color="auto" w:sz="4" w:space="0"/>
      </w:tblBorders>
    </w:tblPr>
    <w:trPr>
      <w:jc w:val="center"/>
    </w:trPr>
    <w:tcPr>
      <w:vAlign w:val="center"/>
    </w:tcPr>
  </w:style>
  <w:style w:type="paragraph" w:customStyle="1" w:styleId="532">
    <w:name w:val="东方工业区表"/>
    <w:basedOn w:val="1"/>
    <w:qFormat/>
    <w:uiPriority w:val="0"/>
    <w:pPr>
      <w:snapToGrid w:val="0"/>
      <w:jc w:val="center"/>
    </w:pPr>
    <w:rPr>
      <w:rFonts w:ascii="楷体_GB2312" w:hAnsi="宋体" w:eastAsia="楷体_GB2312"/>
      <w:szCs w:val="21"/>
      <w:lang w:val="it-IT"/>
    </w:rPr>
  </w:style>
  <w:style w:type="paragraph" w:customStyle="1" w:styleId="533">
    <w:name w:val="Table Text"/>
    <w:basedOn w:val="1"/>
    <w:semiHidden/>
    <w:qFormat/>
    <w:uiPriority w:val="0"/>
    <w:rPr>
      <w:rFonts w:ascii="宋体" w:hAnsi="宋体" w:cs="宋体"/>
      <w:sz w:val="18"/>
      <w:szCs w:val="18"/>
      <w:lang w:eastAsia="en-US"/>
    </w:rPr>
  </w:style>
  <w:style w:type="paragraph" w:customStyle="1" w:styleId="534">
    <w:name w:val="02表格文字-环评报告"/>
    <w:basedOn w:val="1"/>
    <w:qFormat/>
    <w:uiPriority w:val="0"/>
    <w:pPr>
      <w:adjustRightInd w:val="0"/>
      <w:snapToGrid w:val="0"/>
      <w:jc w:val="center"/>
    </w:pPr>
    <w:rPr>
      <w:rFonts w:ascii="Times New Roman" w:hAnsi="Times New Roman" w:eastAsia="等线"/>
    </w:rPr>
  </w:style>
  <w:style w:type="paragraph" w:customStyle="1" w:styleId="535">
    <w:name w:val="wyc-表文字"/>
    <w:basedOn w:val="1"/>
    <w:autoRedefine/>
    <w:qFormat/>
    <w:uiPriority w:val="0"/>
    <w:pPr>
      <w:snapToGrid w:val="0"/>
      <w:jc w:val="center"/>
    </w:pPr>
    <w:rPr>
      <w:rFonts w:ascii="Times New Roman" w:hAnsi="Times New Roman" w:cstheme="minorBidi"/>
      <w:color w:val="000000"/>
      <w:szCs w:val="21"/>
    </w:rPr>
  </w:style>
  <w:style w:type="paragraph" w:customStyle="1" w:styleId="536">
    <w:name w:val="方案正文"/>
    <w:link w:val="537"/>
    <w:qFormat/>
    <w:uiPriority w:val="0"/>
    <w:pPr>
      <w:snapToGrid w:val="0"/>
      <w:spacing w:after="160" w:line="360" w:lineRule="auto"/>
      <w:ind w:firstLine="200" w:firstLineChars="200"/>
      <w:contextualSpacing/>
    </w:pPr>
    <w:rPr>
      <w:rFonts w:ascii="Times New Roman" w:hAnsi="Times New Roman" w:eastAsia="宋体" w:cs="Times New Roman"/>
      <w:sz w:val="24"/>
      <w:szCs w:val="24"/>
      <w:lang w:val="en-US" w:eastAsia="zh-CN" w:bidi="en-US"/>
    </w:rPr>
  </w:style>
  <w:style w:type="character" w:customStyle="1" w:styleId="537">
    <w:name w:val="方案正文 Char"/>
    <w:link w:val="536"/>
    <w:qFormat/>
    <w:uiPriority w:val="0"/>
    <w:rPr>
      <w:rFonts w:ascii="Times New Roman" w:hAnsi="Times New Roman"/>
      <w:sz w:val="24"/>
      <w:szCs w:val="24"/>
      <w:lang w:bidi="en-US"/>
    </w:rPr>
  </w:style>
  <w:style w:type="paragraph" w:customStyle="1" w:styleId="538">
    <w:name w:val="新正文的样式"/>
    <w:basedOn w:val="1"/>
    <w:link w:val="539"/>
    <w:qFormat/>
    <w:uiPriority w:val="0"/>
    <w:pPr>
      <w:adjustRightInd w:val="0"/>
      <w:snapToGrid w:val="0"/>
      <w:spacing w:after="160" w:line="340" w:lineRule="auto"/>
      <w:ind w:firstLine="200" w:firstLineChars="200"/>
    </w:pPr>
    <w:rPr>
      <w:rFonts w:ascii="Times New Roman" w:hAnsi="Times New Roman"/>
      <w:color w:val="000000"/>
      <w:sz w:val="24"/>
      <w:szCs w:val="24"/>
    </w:rPr>
  </w:style>
  <w:style w:type="character" w:customStyle="1" w:styleId="539">
    <w:name w:val="新正文的样式 Char"/>
    <w:link w:val="538"/>
    <w:qFormat/>
    <w:uiPriority w:val="0"/>
    <w:rPr>
      <w:rFonts w:ascii="Times New Roman" w:hAnsi="Times New Roman"/>
      <w:color w:val="000000"/>
      <w:kern w:val="2"/>
      <w:sz w:val="24"/>
      <w:szCs w:val="24"/>
    </w:rPr>
  </w:style>
  <w:style w:type="paragraph" w:customStyle="1" w:styleId="540">
    <w:name w:val="文"/>
    <w:basedOn w:val="1"/>
    <w:qFormat/>
    <w:uiPriority w:val="0"/>
    <w:pPr>
      <w:widowControl/>
      <w:spacing w:line="420" w:lineRule="exact"/>
      <w:ind w:firstLine="480" w:firstLineChars="200"/>
      <w:jc w:val="left"/>
    </w:pPr>
    <w:rPr>
      <w:rFonts w:ascii="宋体" w:hAnsi="宋体" w:cs="宋体"/>
      <w:kern w:val="0"/>
      <w:sz w:val="24"/>
      <w:szCs w:val="20"/>
    </w:rPr>
  </w:style>
  <w:style w:type="paragraph" w:customStyle="1" w:styleId="541">
    <w:name w:val="二级标题1"/>
    <w:basedOn w:val="1"/>
    <w:qFormat/>
    <w:uiPriority w:val="0"/>
    <w:pPr>
      <w:keepNext/>
      <w:keepLines/>
      <w:widowControl/>
      <w:jc w:val="left"/>
      <w:outlineLvl w:val="1"/>
    </w:pPr>
    <w:rPr>
      <w:rFonts w:ascii="宋体" w:hAnsi="宋体" w:eastAsia="黑体" w:cs="宋体"/>
      <w:bCs/>
      <w:kern w:val="0"/>
      <w:sz w:val="24"/>
      <w:szCs w:val="32"/>
    </w:rPr>
  </w:style>
  <w:style w:type="paragraph" w:customStyle="1" w:styleId="542">
    <w:name w:val="B表头1"/>
    <w:basedOn w:val="1"/>
    <w:qFormat/>
    <w:uiPriority w:val="0"/>
    <w:pPr>
      <w:spacing w:line="360" w:lineRule="auto"/>
      <w:jc w:val="center"/>
    </w:pPr>
    <w:rPr>
      <w:rFonts w:ascii="Times New Roman" w:hAnsi="Times New Roman"/>
      <w:b/>
      <w:kern w:val="0"/>
      <w:lang w:val="zh-CN"/>
    </w:rPr>
  </w:style>
  <w:style w:type="table" w:customStyle="1" w:styleId="543">
    <w:name w:val="网格型9"/>
    <w:basedOn w:val="51"/>
    <w:unhideWhenUsed/>
    <w:qFormat/>
    <w:uiPriority w:val="99"/>
    <w:pPr>
      <w:widowControl w:val="0"/>
      <w:jc w:val="both"/>
    </w:pPr>
    <w:rPr>
      <w:rFonts w:ascii="宋体" w:hAnsi="宋体"/>
    </w:rPr>
    <w:tblPr>
      <w:jc w:val="center"/>
      <w:tblBorders>
        <w:top w:val="single" w:color="auto" w:sz="12" w:space="0"/>
        <w:bottom w:val="single" w:color="auto" w:sz="12" w:space="0"/>
        <w:insideH w:val="single" w:color="auto" w:sz="4" w:space="0"/>
        <w:insideV w:val="single" w:color="auto" w:sz="4" w:space="0"/>
      </w:tblBorders>
    </w:tblPr>
    <w:trPr>
      <w:jc w:val="center"/>
    </w:trPr>
    <w:tcPr>
      <w:vAlign w:val="center"/>
    </w:tcPr>
  </w:style>
  <w:style w:type="character" w:customStyle="1" w:styleId="544">
    <w:name w:val="！正文 Char Char"/>
    <w:link w:val="365"/>
    <w:qFormat/>
    <w:uiPriority w:val="0"/>
    <w:rPr>
      <w:rFonts w:cs="宋体"/>
      <w:kern w:val="2"/>
      <w:sz w:val="24"/>
      <w:szCs w:val="24"/>
    </w:rPr>
  </w:style>
  <w:style w:type="table" w:customStyle="1" w:styleId="545">
    <w:name w:val="Table Normal"/>
    <w:semiHidden/>
    <w:unhideWhenUsed/>
    <w:qFormat/>
    <w:uiPriority w:val="0"/>
    <w:pPr>
      <w:spacing w:after="160" w:line="278" w:lineRule="auto"/>
    </w:pPr>
    <w:rPr>
      <w:rFonts w:ascii="Arial" w:hAnsi="Arial" w:cs="Arial" w:eastAsiaTheme="minorEastAsia"/>
      <w:snapToGrid w:val="0"/>
      <w:color w:val="000000"/>
      <w:sz w:val="21"/>
      <w:szCs w:val="21"/>
      <w:lang w:eastAsia="en-US"/>
    </w:rPr>
    <w:tblPr>
      <w:tblCellMar>
        <w:top w:w="0" w:type="dxa"/>
        <w:left w:w="0" w:type="dxa"/>
        <w:bottom w:w="0" w:type="dxa"/>
        <w:right w:w="0" w:type="dxa"/>
      </w:tblCellMar>
    </w:tblPr>
  </w:style>
  <w:style w:type="character" w:customStyle="1" w:styleId="546">
    <w:name w:val="FL 字符"/>
    <w:link w:val="547"/>
    <w:qFormat/>
    <w:uiPriority w:val="0"/>
    <w:rPr>
      <w:rFonts w:ascii="宋体" w:hAnsi="宋体"/>
      <w:color w:val="FF0000"/>
      <w:kern w:val="2"/>
      <w:sz w:val="24"/>
      <w:szCs w:val="24"/>
    </w:rPr>
  </w:style>
  <w:style w:type="paragraph" w:customStyle="1" w:styleId="547">
    <w:name w:val="FL"/>
    <w:basedOn w:val="117"/>
    <w:link w:val="546"/>
    <w:qFormat/>
    <w:uiPriority w:val="0"/>
    <w:pPr>
      <w:ind w:firstLine="480"/>
      <w:contextualSpacing/>
    </w:pPr>
    <w:rPr>
      <w:color w:val="FF0000"/>
    </w:rPr>
  </w:style>
  <w:style w:type="character" w:customStyle="1" w:styleId="548">
    <w:name w:val="Unresolved Mention"/>
    <w:basedOn w:val="54"/>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0" Type="http://schemas.openxmlformats.org/officeDocument/2006/relationships/fontTable" Target="fontTable.xml"/><Relationship Id="rId4" Type="http://schemas.openxmlformats.org/officeDocument/2006/relationships/header" Target="header2.xml"/><Relationship Id="rId39" Type="http://schemas.openxmlformats.org/officeDocument/2006/relationships/customXml" Target="../customXml/item3.xml"/><Relationship Id="rId38" Type="http://schemas.openxmlformats.org/officeDocument/2006/relationships/customXml" Target="../customXml/item2.xml"/><Relationship Id="rId37" Type="http://schemas.openxmlformats.org/officeDocument/2006/relationships/numbering" Target="numbering.xml"/><Relationship Id="rId36" Type="http://schemas.openxmlformats.org/officeDocument/2006/relationships/customXml" Target="../customXml/item1.xml"/><Relationship Id="rId35" Type="http://schemas.openxmlformats.org/officeDocument/2006/relationships/image" Target="media/image24.png"/><Relationship Id="rId34" Type="http://schemas.openxmlformats.org/officeDocument/2006/relationships/image" Target="media/image23.wmf"/><Relationship Id="rId33" Type="http://schemas.openxmlformats.org/officeDocument/2006/relationships/oleObject" Target="embeddings/oleObject2.bin"/><Relationship Id="rId32" Type="http://schemas.openxmlformats.org/officeDocument/2006/relationships/image" Target="media/image22.emf"/><Relationship Id="rId31" Type="http://schemas.openxmlformats.org/officeDocument/2006/relationships/image" Target="media/image21.png"/><Relationship Id="rId30" Type="http://schemas.openxmlformats.org/officeDocument/2006/relationships/image" Target="media/image20.wmf"/><Relationship Id="rId3" Type="http://schemas.openxmlformats.org/officeDocument/2006/relationships/header" Target="header1.xml"/><Relationship Id="rId29" Type="http://schemas.openxmlformats.org/officeDocument/2006/relationships/oleObject" Target="embeddings/Microsoft_Visio_2003-2010___1.vsd"/><Relationship Id="rId28" Type="http://schemas.openxmlformats.org/officeDocument/2006/relationships/image" Target="media/image19.png"/><Relationship Id="rId27" Type="http://schemas.openxmlformats.org/officeDocument/2006/relationships/image" Target="media/image18.jpeg"/><Relationship Id="rId26" Type="http://schemas.openxmlformats.org/officeDocument/2006/relationships/image" Target="media/image17.wmf"/><Relationship Id="rId25" Type="http://schemas.openxmlformats.org/officeDocument/2006/relationships/image" Target="media/image16.wmf"/><Relationship Id="rId24" Type="http://schemas.openxmlformats.org/officeDocument/2006/relationships/image" Target="media/image15.wmf"/><Relationship Id="rId23" Type="http://schemas.openxmlformats.org/officeDocument/2006/relationships/image" Target="media/image14.wmf"/><Relationship Id="rId22" Type="http://schemas.openxmlformats.org/officeDocument/2006/relationships/oleObject" Target="embeddings/oleObject1.bin"/><Relationship Id="rId21" Type="http://schemas.openxmlformats.org/officeDocument/2006/relationships/image" Target="media/image13.wmf"/><Relationship Id="rId20" Type="http://schemas.openxmlformats.org/officeDocument/2006/relationships/image" Target="media/image12.wmf"/><Relationship Id="rId2" Type="http://schemas.openxmlformats.org/officeDocument/2006/relationships/settings" Target="settings.xml"/><Relationship Id="rId19" Type="http://schemas.openxmlformats.org/officeDocument/2006/relationships/image" Target="media/image11.png"/><Relationship Id="rId18" Type="http://schemas.openxmlformats.org/officeDocument/2006/relationships/image" Target="media/image10.png"/><Relationship Id="rId17" Type="http://schemas.openxmlformats.org/officeDocument/2006/relationships/image" Target="media/image9.png"/><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wmf"/><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footer2.xml.rels><?xml version="1.0" encoding="UTF-8" standalone="yes"?>
<Relationships xmlns="http://schemas.openxmlformats.org/package/2006/relationships"><Relationship Id="rId1" Type="http://schemas.openxmlformats.org/officeDocument/2006/relationships/image" Target="media/image1.jpeg"/></Relationships>
</file>

<file path=word/_rels/footer3.xml.rels><?xml version="1.0" encoding="UTF-8" standalone="yes"?>
<Relationships xmlns="http://schemas.openxmlformats.org/package/2006/relationships"><Relationship Id="rId1" Type="http://schemas.openxmlformats.org/officeDocument/2006/relationships/image" Target="media/image1.jpeg"/></Relationships>
</file>

<file path=word/_rels/footer4.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ontractReview xmlns="http://schemas.wps.cn/vas-ai-hub/contract-review">
  <reviewItems>
    <reviewItem>
      <errorID>34e18377-108a-4801-94a3-a85eb4b26980</errorID>
      <errorWord>注表面活性剂</errorWord>
      <group>L1_Knowledge</group>
      <groupName>知识性问题</groupName>
      <ability>L2_Term</ability>
      <abilityName>专业术语</abilityName>
      <candidateList>
        <item>氟表面活性剂</item>
      </candidateList>
      <explain/>
      <paraID>732E3680</paraID>
      <start>129</start>
      <end>135</end>
      <status>unmodified</status>
      <modifiedWord/>
      <trackRevisions>false</trackRevisions>
    </reviewItem>
    <reviewItem>
      <errorID>9898b64b-3b4a-4df5-96f9-093fe6b6b7c4</errorID>
      <errorWord>影响</errorWord>
      <group>L1_Word</group>
      <groupName>字词问题</groupName>
      <ability>L2_Typo</ability>
      <abilityName>字词错误</abilityName>
      <candidateList>
        <item>影像</item>
      </candidateList>
      <explain>〈名〉❶肖像；画像。❷〈形〉象：他的～时刻在我眼前浮现。❸物体通过光学装置、电子装置等呈现出来的形状。</explain>
      <paraID>6B82E5EF</paraID>
      <start>31</start>
      <end>33</end>
      <status>unmodified</status>
      <modifiedWord/>
      <trackRevisions>false</trackRevisions>
    </reviewItem>
    <reviewItem>
      <errorID>4b568d3d-3be8-4ab8-a795-91dde42f424f</errorID>
      <errorWord>2015年01月01日</errorWord>
      <group>L1_Knowledge</group>
      <groupName>知识性问题</groupName>
      <ability>L2_Time</ability>
      <abilityName>日期时间</abilityName>
      <candidateList>
        <item>2015年1月1日</item>
      </candidateList>
      <explain>根据日常书写习惯，月份和日期一般会省略前导零。</explain>
      <paraID>4D238AD9</paraID>
      <start>18</start>
      <end>29</end>
      <status>unmodified</status>
      <modifiedWord/>
      <trackRevisions>false</trackRevisions>
    </reviewItem>
    <reviewItem>
      <errorID>a7af091b-a5d7-4780-b2a6-324600568a3f</errorID>
      <errorWord>2018年01月01日</errorWord>
      <group>L1_Knowledge</group>
      <groupName>知识性问题</groupName>
      <ability>L2_Time</ability>
      <abilityName>日期时间</abilityName>
      <candidateList>
        <item>2018年1月1日</item>
      </candidateList>
      <explain>根据日常书写习惯，月份和日期一般会省略前导零。</explain>
      <paraID>6648377B</paraID>
      <start>19</start>
      <end>30</end>
      <status>unmodified</status>
      <modifiedWord/>
      <trackRevisions>false</trackRevisions>
    </reviewItem>
    <reviewItem>
      <errorID>646a9d88-92f0-41a7-a0f0-bf760527ba92</errorID>
      <errorWord>2019年01月01日</errorWord>
      <group>L1_Knowledge</group>
      <groupName>知识性问题</groupName>
      <ability>L2_Time</ability>
      <abilityName>日期时间</abilityName>
      <candidateList>
        <item>2019年1月1日</item>
      </candidateList>
      <explain>根据日常书写习惯，月份和日期一般会省略前导零。</explain>
      <paraID>7B855FD8</paraID>
      <start>20</start>
      <end>31</end>
      <status>unmodified</status>
      <modifiedWord/>
      <trackRevisions>false</trackRevisions>
    </reviewItem>
    <reviewItem>
      <errorID>ab5a9e0d-35d1-4055-9bce-2b79e61d106d</errorID>
      <errorWord>2022年06月05日</errorWord>
      <group>L1_Knowledge</group>
      <groupName>知识性问题</groupName>
      <ability>L2_Time</ability>
      <abilityName>日期时间</abilityName>
      <candidateList>
        <item>2022年6月5日</item>
      </candidateList>
      <explain>根据日常书写习惯，月份和日期一般会省略前导零。</explain>
      <paraID>46BACC77</paraID>
      <start>20</start>
      <end>31</end>
      <status>unmodified</status>
      <modifiedWord/>
      <trackRevisions>false</trackRevisions>
    </reviewItem>
    <reviewItem>
      <errorID>52ff0929-6cdc-419f-b171-3d3ca92c8a06</errorID>
      <errorWord>2020年09月01日</errorWord>
      <group>L1_Knowledge</group>
      <groupName>知识性问题</groupName>
      <ability>L2_Time</ability>
      <abilityName>日期时间</abilityName>
      <candidateList>
        <item>2020年9月1日</item>
      </candidateList>
      <explain>根据日常书写习惯，月份和日期一般会省略前导零。</explain>
      <paraID> 742D9C2</paraID>
      <start>24</start>
      <end>35</end>
      <status>unmodified</status>
      <modifiedWord/>
      <trackRevisions>false</trackRevisions>
    </reviewItem>
    <reviewItem>
      <errorID>3c9f6d2f-b808-4b59-9910-acc8dd3dd35e</errorID>
      <errorWord>2018年01月01日</errorWord>
      <group>L1_Knowledge</group>
      <groupName>知识性问题</groupName>
      <ability>L2_Time</ability>
      <abilityName>日期时间</abilityName>
      <candidateList>
        <item>2018年1月1日</item>
      </candidateList>
      <explain>根据日常书写习惯，月份和日期一般会省略前导零。</explain>
      <paraID>2AA8A9DD</paraID>
      <start>19</start>
      <end>30</end>
      <status>unmodified</status>
      <modifiedWord/>
      <trackRevisions>false</trackRevisions>
    </reviewItem>
    <reviewItem>
      <errorID>e6dba005-4586-4d31-986f-3375735e6eb1</errorID>
      <errorWord>2023年05月01日</errorWord>
      <group>L1_Knowledge</group>
      <groupName>知识性问题</groupName>
      <ability>L2_Time</ability>
      <abilityName>日期时间</abilityName>
      <candidateList>
        <item>2023年5月1日</item>
      </candidateList>
      <explain>根据日常书写习惯，月份和日期一般会省略前导零。</explain>
      <paraID>23895A94</paraID>
      <start>29</start>
      <end>40</end>
      <status>unmodified</status>
      <modifiedWord/>
      <trackRevisions>false</trackRevisions>
    </reviewItem>
    <reviewItem>
      <errorID>f5fcf4ce-87ce-4652-91b5-0526329178c8</errorID>
      <errorWord>2011年03月01日</errorWord>
      <group>L1_Knowledge</group>
      <groupName>知识性问题</groupName>
      <ability>L2_Time</ability>
      <abilityName>日期时间</abilityName>
      <candidateList>
        <item>2011年3月1日</item>
      </candidateList>
      <explain>根据日常书写习惯，月份和日期一般会省略前导零。</explain>
      <paraID>1BF53AB8</paraID>
      <start>28</start>
      <end>39</end>
      <status>unmodified</status>
      <modifiedWord/>
      <trackRevisions>false</trackRevisions>
    </reviewItem>
    <reviewItem>
      <errorID>cf128dad-08ca-4fbc-9b20-9eedbfeddfde</errorID>
      <errorWord>》</errorWord>
      <group>L1_Punc</group>
      <groupName>标点问题</groupName>
      <ability>L2_Punc</ability>
      <abilityName>标点符号检查</abilityName>
      <candidateList/>
      <explain/>
      <paraID>29DA6655</paraID>
      <start>29</start>
      <end>30</end>
      <status>unmodified</status>
      <modifiedWord/>
      <trackRevisions>false</trackRevisions>
    </reviewItem>
    <reviewItem>
      <errorID>64bcfd50-ed1d-4f57-911d-27c48e10ed6d</errorID>
      <errorWord>2012年07月01日</errorWord>
      <group>L1_Knowledge</group>
      <groupName>知识性问题</groupName>
      <ability>L2_Time</ability>
      <abilityName>日期时间</abilityName>
      <candidateList>
        <item>2012年7月1日</item>
      </candidateList>
      <explain>根据日常书写习惯，月份和日期一般会省略前导零。</explain>
      <paraID>29DA6655</paraID>
      <start>31</start>
      <end>42</end>
      <status>unmodified</status>
      <modifiedWord/>
      <trackRevisions>false</trackRevisions>
    </reviewItem>
    <reviewItem>
      <errorID>8eb585ba-ef3c-4eaa-804f-1976fa086d51</errorID>
      <errorWord>2017年10月01日</errorWord>
      <group>L1_Knowledge</group>
      <groupName>知识性问题</groupName>
      <ability>L2_Time</ability>
      <abilityName>日期时间</abilityName>
      <candidateList>
        <item>2017年10月1日</item>
      </candidateList>
      <explain>根据日常书写习惯，日期一般会省略前导零。</explain>
      <paraID>7215C8CF</paraID>
      <start>28</start>
      <end>39</end>
      <status>unmodified</status>
      <modifiedWord/>
      <trackRevisions>false</trackRevisions>
    </reviewItem>
    <reviewItem>
      <errorID>db934f20-ab11-455e-a82d-47429316b27f</errorID>
      <errorWord>2024年04月01日</errorWord>
      <group>L1_Knowledge</group>
      <groupName>知识性问题</groupName>
      <ability>L2_Time</ability>
      <abilityName>日期时间</abilityName>
      <candidateList>
        <item>2024年4月1日</item>
      </candidateList>
      <explain>根据日常书写习惯，月份和日期一般会省略前导零。</explain>
      <paraID>48C59B1E</paraID>
      <start>27</start>
      <end>38</end>
      <status>unmodified</status>
      <modifiedWord/>
      <trackRevisions>false</trackRevisions>
    </reviewItem>
    <reviewItem>
      <errorID>f4223b0e-72e6-4305-8616-e1a16f14bf2c</errorID>
      <errorWord>2021年01月01日</errorWord>
      <group>L1_Knowledge</group>
      <groupName>知识性问题</groupName>
      <ability>L2_Time</ability>
      <abilityName>日期时间</abilityName>
      <candidateList>
        <item>2021年1月1日</item>
      </candidateList>
      <explain>根据日常书写习惯，月份和日期一般会省略前导零。</explain>
      <paraID>5FDCB9B8</paraID>
      <start>41</start>
      <end>52</end>
      <status>unmodified</status>
      <modifiedWord/>
      <trackRevisions>false</trackRevisions>
    </reviewItem>
    <reviewItem>
      <errorID>72ebdea9-48ac-479a-af71-383667c89827</errorID>
      <errorWord>2019年01月01日</errorWord>
      <group>L1_Knowledge</group>
      <groupName>知识性问题</groupName>
      <ability>L2_Time</ability>
      <abilityName>日期时间</abilityName>
      <candidateList>
        <item>2019年1月1日</item>
      </candidateList>
      <explain>根据日常书写习惯，月份和日期一般会省略前导零。</explain>
      <paraID>31CDB04C</paraID>
      <start>28</start>
      <end>39</end>
      <status>unmodified</status>
      <modifiedWord/>
      <trackRevisions>false</trackRevisions>
    </reviewItem>
    <reviewItem>
      <errorID>84bdac78-fe01-4a68-bda0-9f657dc19689</errorID>
      <errorWord>2025年01月01日</errorWord>
      <group>L1_Knowledge</group>
      <groupName>知识性问题</groupName>
      <ability>L2_Time</ability>
      <abilityName>日期时间</abilityName>
      <candidateList>
        <item>2025年1月1日</item>
      </candidateList>
      <explain>根据日常书写习惯，月份和日期一般会省略前导零。</explain>
      <paraID>3AF10F07</paraID>
      <start>66</start>
      <end>77</end>
      <status>unmodified</status>
      <modifiedWord/>
      <trackRevisions>false</trackRevisions>
    </reviewItem>
    <reviewItem>
      <errorID>e856e3ea-6e85-4974-bb3a-49a22adee955</errorID>
      <errorWord>2024年02月01日</errorWord>
      <group>L1_Knowledge</group>
      <groupName>知识性问题</groupName>
      <ability>L2_Time</ability>
      <abilityName>日期时间</abilityName>
      <candidateList>
        <item>2024年2月1日</item>
      </candidateList>
      <explain>根据日常书写习惯，月份和日期一般会省略前导零。</explain>
      <paraID>4CDA5AF4</paraID>
      <start>46</start>
      <end>57</end>
      <status>unmodified</status>
      <modifiedWord/>
      <trackRevisions>false</trackRevisions>
    </reviewItem>
    <reviewItem>
      <errorID>69957454-ed21-460e-9bb4-1c6d5ea5ff54</errorID>
      <errorWord>2012年03月07日</errorWord>
      <group>L1_Knowledge</group>
      <groupName>知识性问题</groupName>
      <ability>L2_Time</ability>
      <abilityName>日期时间</abilityName>
      <candidateList>
        <item>2012年3月7日</item>
      </candidateList>
      <explain>根据日常书写习惯，月份和日期一般会省略前导零。</explain>
      <paraID>6FE0338E</paraID>
      <start>22</start>
      <end>33</end>
      <status>unmodified</status>
      <modifiedWord/>
      <trackRevisions>false</trackRevisions>
    </reviewItem>
    <reviewItem>
      <errorID>e869272a-5dd6-4e1d-abdf-7f990250a043</errorID>
      <errorWord>2018年10月01日</errorWord>
      <group>L1_Knowledge</group>
      <groupName>知识性问题</groupName>
      <ability>L2_Time</ability>
      <abilityName>日期时间</abilityName>
      <candidateList>
        <item>2018年10月1日</item>
      </candidateList>
      <explain>根据日常书写习惯，日期一般会省略前导零。</explain>
      <paraID> 726C487</paraID>
      <start>24</start>
      <end>35</end>
      <status>unmodified</status>
      <modifiedWord/>
      <trackRevisions>false</trackRevisions>
    </reviewItem>
    <reviewItem>
      <errorID>def47a3e-2bcc-4e5d-8b66-f4020b858483</errorID>
      <errorWord>2021年09月07日</errorWord>
      <group>L1_Knowledge</group>
      <groupName>知识性问题</groupName>
      <ability>L2_Time</ability>
      <abilityName>日期时间</abilityName>
      <candidateList>
        <item>2021年9月7日</item>
      </candidateList>
      <explain>根据日常书写习惯，月份和日期一般会省略前导零。</explain>
      <paraID>51052032</paraID>
      <start>45</start>
      <end>56</end>
      <status>unmodified</status>
      <modifiedWord/>
      <trackRevisions>false</trackRevisions>
    </reviewItem>
    <reviewItem>
      <errorID>7db67ea0-0fac-4d89-829e-1d107702648f</errorID>
      <errorWord>2021年02月01日</errorWord>
      <group>L1_Knowledge</group>
      <groupName>知识性问题</groupName>
      <ability>L2_Time</ability>
      <abilityName>日期时间</abilityName>
      <candidateList>
        <item>2021年2月1日</item>
      </candidateList>
      <explain>根据日常书写习惯，月份和日期一般会省略前导零。</explain>
      <paraID>4CB0FDB2</paraID>
      <start>44</start>
      <end>55</end>
      <status>unmodified</status>
      <modifiedWord/>
      <trackRevisions>false</trackRevisions>
    </reviewItem>
    <reviewItem>
      <errorID>075e9284-6273-4544-ac2f-b42194c90bb0</errorID>
      <errorWord>2017年10月07日</errorWord>
      <group>L1_Knowledge</group>
      <groupName>知识性问题</groupName>
      <ability>L2_Time</ability>
      <abilityName>日期时间</abilityName>
      <candidateList>
        <item>2017年10月7日</item>
      </candidateList>
      <explain>根据日常书写习惯，日期一般会省略前导零。</explain>
      <paraID>3D018635</paraID>
      <start>32</start>
      <end>43</end>
      <status>unmodified</status>
      <modifiedWord/>
      <trackRevisions>false</trackRevisions>
    </reviewItem>
    <reviewItem>
      <errorID>b5a70857-ae9c-4272-aa1d-691c1708fa0b</errorID>
      <errorWord>2021年03月01日</errorWord>
      <group>L1_Knowledge</group>
      <groupName>知识性问题</groupName>
      <ability>L2_Time</ability>
      <abilityName>日期时间</abilityName>
      <candidateList>
        <item>2021年3月1日</item>
      </candidateList>
      <explain>根据日常书写习惯，月份和日期一般会省略前导零。</explain>
      <paraID>7E867259</paraID>
      <start>25</start>
      <end>36</end>
      <status>unmodified</status>
      <modifiedWord/>
      <trackRevisions>false</trackRevisions>
    </reviewItem>
    <reviewItem>
      <errorID>89b7b18a-32dd-4a4f-b694-2806a77399b9</errorID>
      <errorWord>2017年10月01日</errorWord>
      <group>L1_Knowledge</group>
      <groupName>知识性问题</groupName>
      <ability>L2_Time</ability>
      <abilityName>日期时间</abilityName>
      <candidateList>
        <item>2017年10月1日</item>
      </candidateList>
      <explain>根据日常书写习惯，日期一般会省略前导零。</explain>
      <paraID>  F71E90</paraID>
      <start>42</start>
      <end>53</end>
      <status>unmodified</status>
      <modifiedWord/>
      <trackRevisions>false</trackRevisions>
    </reviewItem>
    <reviewItem>
      <errorID>24e2da1f-6e87-423f-826f-8262b097aa7c</errorID>
      <errorWord>2023年01月03日</errorWord>
      <group>L1_Knowledge</group>
      <groupName>知识性问题</groupName>
      <ability>L2_Time</ability>
      <abilityName>日期时间</abilityName>
      <candidateList>
        <item>2023年1月3日</item>
      </candidateList>
      <explain>根据日常书写习惯，月份和日期一般会省略前导零。</explain>
      <paraID>5A0C3783</paraID>
      <start>45</start>
      <end>56</end>
      <status>unmodified</status>
      <modifiedWord/>
      <trackRevisions>false</trackRevisions>
    </reviewItem>
    <reviewItem>
      <errorID>5019fc6d-d5be-40fc-97e6-4588701a1e20</errorID>
      <errorWord>2014年12月03日</errorWord>
      <group>L1_Knowledge</group>
      <groupName>知识性问题</groupName>
      <ability>L2_Time</ability>
      <abilityName>日期时间</abilityName>
      <candidateList>
        <item>2014年12月3日</item>
      </candidateList>
      <explain>根据日常书写习惯，日期一般会省略前导零。</explain>
      <paraID>7D34F1EB</paraID>
      <start>54</start>
      <end>65</end>
      <status>unmodified</status>
      <modifiedWord/>
      <trackRevisions>false</trackRevisions>
    </reviewItem>
    <reviewItem>
      <errorID>12082e97-91b2-4b24-a897-bb116afb3955</errorID>
      <errorWord>2017年05月01日</errorWord>
      <group>L1_Knowledge</group>
      <groupName>知识性问题</groupName>
      <ability>L2_Time</ability>
      <abilityName>日期时间</abilityName>
      <candidateList>
        <item>2017年5月1日</item>
      </candidateList>
      <explain>根据日常书写习惯，月份和日期一般会省略前导零。</explain>
      <paraID>7331AFE4</paraID>
      <start>26</start>
      <end>37</end>
      <status>unmodified</status>
      <modifiedWord/>
      <trackRevisions>false</trackRevisions>
    </reviewItem>
    <reviewItem>
      <errorID>7a078a33-7cc8-4f6f-877c-2672544514f6</errorID>
      <errorWord>2024年01月22日</errorWord>
      <group>L1_Knowledge</group>
      <groupName>知识性问题</groupName>
      <ability>L2_Time</ability>
      <abilityName>日期时间</abilityName>
      <candidateList>
        <item>2024年1月22日</item>
      </candidateList>
      <explain>根据日常书写习惯，月份一般会省略前导零。</explain>
      <paraID>5435B0D8</paraID>
      <start>43</start>
      <end>54</end>
      <status>unmodified</status>
      <modifiedWord/>
      <trackRevisions>false</trackRevisions>
    </reviewItem>
    <reviewItem>
      <errorID>4050533f-10e2-461c-babc-d26215a66f78</errorID>
      <errorWord>2024年02月04日</errorWord>
      <group>L1_Knowledge</group>
      <groupName>知识性问题</groupName>
      <ability>L2_Time</ability>
      <abilityName>日期时间</abilityName>
      <candidateList>
        <item>2024年2月4日</item>
      </candidateList>
      <explain>根据日常书写习惯，月份和日期一般会省略前导零。</explain>
      <paraID>2ACE216A</paraID>
      <start>48</start>
      <end>59</end>
      <status>unmodified</status>
      <modifiedWord/>
      <trackRevisions>false</trackRevisions>
    </reviewItem>
    <reviewItem>
      <errorID>9c4d8e60-c949-48be-8c10-4d879028491e</errorID>
      <errorWord>2023年12月07日</errorWord>
      <group>L1_Knowledge</group>
      <groupName>知识性问题</groupName>
      <ability>L2_Time</ability>
      <abilityName>日期时间</abilityName>
      <candidateList>
        <item>2023年12月7日</item>
      </candidateList>
      <explain>根据日常书写习惯，日期一般会省略前导零。</explain>
      <paraID>40E4BC45</paraID>
      <start>31</start>
      <end>42</end>
      <status>unmodified</status>
      <modifiedWord/>
      <trackRevisions>false</trackRevisions>
    </reviewItem>
    <reviewItem>
      <errorID>71aa8512-a47c-4157-9f8e-ea6cb144ff33</errorID>
      <errorWord>2019年01月01日</errorWord>
      <group>L1_Knowledge</group>
      <groupName>知识性问题</groupName>
      <ability>L2_Time</ability>
      <abilityName>日期时间</abilityName>
      <candidateList>
        <item>2019年1月1日</item>
      </candidateList>
      <explain>根据日常书写习惯，月份和日期一般会省略前导零。</explain>
      <paraID>3C6D9A3F</paraID>
      <start>22</start>
      <end>33</end>
      <status>unmodified</status>
      <modifiedWord/>
      <trackRevisions>false</trackRevisions>
    </reviewItem>
    <reviewItem>
      <errorID>7e96c868-5dca-4b8c-9567-57bda29c20f1</errorID>
      <errorWord>2005年07月14日</errorWord>
      <group>L1_Knowledge</group>
      <groupName>知识性问题</groupName>
      <ability>L2_Time</ability>
      <abilityName>日期时间</abilityName>
      <candidateList>
        <item>2005年7月14日</item>
      </candidateList>
      <explain>根据日常书写习惯，月份一般会省略前导零。</explain>
      <paraID>53C33ED3</paraID>
      <start>14</start>
      <end>25</end>
      <status>unmodified</status>
      <modifiedWord/>
      <trackRevisions>false</trackRevisions>
    </reviewItem>
    <reviewItem>
      <errorID>7338141d-224f-445c-b1f6-a418c49ccc4f</errorID>
      <errorWord>2020年07月30日</errorWord>
      <group>L1_Knowledge</group>
      <groupName>知识性问题</groupName>
      <ability>L2_Time</ability>
      <abilityName>日期时间</abilityName>
      <candidateList>
        <item>2020年7月30日</item>
      </candidateList>
      <explain>根据日常书写习惯，月份一般会省略前导零。</explain>
      <paraID>221580EA</paraID>
      <start>53</start>
      <end>64</end>
      <status>unmodified</status>
      <modifiedWord/>
      <trackRevisions>false</trackRevisions>
    </reviewItem>
    <reviewItem>
      <errorID>03b54a9f-d4b9-4530-a499-49434ee27117</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2DFF46E2</paraID>
      <start>23</start>
      <end>24</end>
      <status>unmodified</status>
      <modifiedWord/>
      <trackRevisions>false</trackRevisions>
    </reviewItem>
    <reviewItem>
      <errorID>247155c3-f5ea-4c18-86dc-f79a551bec16</errorID>
      <errorWord>2018年08月</errorWord>
      <group>L1_Knowledge</group>
      <groupName>知识性问题</groupName>
      <ability>L2_Time</ability>
      <abilityName>日期时间</abilityName>
      <candidateList>
        <item>2018年8月</item>
      </candidateList>
      <explain>根据日常书写习惯，月份一般会省略前导零。</explain>
      <paraID>2DFF46E2</paraID>
      <start>32</start>
      <end>40</end>
      <status>unmodified</status>
      <modifiedWord/>
      <trackRevisions>false</trackRevisions>
    </reviewItem>
    <reviewItem>
      <errorID>faaa37a4-e379-40c8-8cec-bd67690431aa</errorID>
      <errorWord>2020年09月04日</errorWord>
      <group>L1_Knowledge</group>
      <groupName>知识性问题</groupName>
      <ability>L2_Time</ability>
      <abilityName>日期时间</abilityName>
      <candidateList>
        <item>2020年9月4日</item>
      </candidateList>
      <explain>根据日常书写习惯，月份和日期一般会省略前导零。</explain>
      <paraID>354F1695</paraID>
      <start>44</start>
      <end>55</end>
      <status>unmodified</status>
      <modifiedWord/>
      <trackRevisions>false</trackRevisions>
    </reviewItem>
    <reviewItem>
      <errorID>233d44f9-0a1e-49f0-b591-6bfac54cbb2e</errorID>
      <errorWord>2022年09月21日</errorWord>
      <group>L1_Knowledge</group>
      <groupName>知识性问题</groupName>
      <ability>L2_Time</ability>
      <abilityName>日期时间</abilityName>
      <candidateList>
        <item>2022年9月21日</item>
      </candidateList>
      <explain>根据日常书写习惯，月份一般会省略前导零。</explain>
      <paraID>36221ABC</paraID>
      <start>30</start>
      <end>41</end>
      <status>unmodified</status>
      <modifiedWord/>
      <trackRevisions>false</trackRevisions>
    </reviewItem>
    <reviewItem>
      <errorID>56332df8-d8f3-4950-a171-a31aee24d08f</errorID>
      <errorWord>2024年01月18日</errorWord>
      <group>L1_Knowledge</group>
      <groupName>知识性问题</groupName>
      <ability>L2_Time</ability>
      <abilityName>日期时间</abilityName>
      <candidateList>
        <item>2024年1月18日</item>
      </candidateList>
      <explain>根据日常书写习惯，月份一般会省略前导零。</explain>
      <paraID>55687882</paraID>
      <start>25</start>
      <end>36</end>
      <status>unmodified</status>
      <modifiedWord/>
      <trackRevisions>false</trackRevisions>
    </reviewItem>
    <reviewItem>
      <errorID>671b16e0-3d46-4dd8-b7ee-fc63ca6ab675</errorID>
      <errorWord>2022年03月08日</errorWord>
      <group>L1_Knowledge</group>
      <groupName>知识性问题</groupName>
      <ability>L2_Time</ability>
      <abilityName>日期时间</abilityName>
      <candidateList>
        <item>2022年3月8日</item>
      </candidateList>
      <explain>根据日常书写习惯，月份和日期一般会省略前导零。</explain>
      <paraID>23E407BE</paraID>
      <start>21</start>
      <end>32</end>
      <status>unmodified</status>
      <modifiedWord/>
      <trackRevisions>false</trackRevisions>
    </reviewItem>
    <reviewItem>
      <errorID>4006c659-8678-48f9-a9d5-3e30599038b6</errorID>
      <errorWord>2021年02月05日</errorWord>
      <group>L1_Knowledge</group>
      <groupName>知识性问题</groupName>
      <ability>L2_Time</ability>
      <abilityName>日期时间</abilityName>
      <candidateList>
        <item>2021年2月5日</item>
      </candidateList>
      <explain>根据日常书写习惯，月份和日期一般会省略前导零。</explain>
      <paraID>58697D4C</paraID>
      <start>44</start>
      <end>55</end>
      <status>unmodified</status>
      <modifiedWord/>
      <trackRevisions>false</trackRevisions>
    </reviewItem>
    <reviewItem>
      <errorID>4ae116a5-f6fe-4595-b6f2-6f8e4c98276c</errorID>
      <errorWord>2025年01月10日</errorWord>
      <group>L1_Knowledge</group>
      <groupName>知识性问题</groupName>
      <ability>L2_Time</ability>
      <abilityName>日期时间</abilityName>
      <candidateList>
        <item>2025年1月10日</item>
      </candidateList>
      <explain>根据日常书写习惯，月份一般会省略前导零。</explain>
      <paraID> 8805E55</paraID>
      <start>34</start>
      <end>45</end>
      <status>unmodified</status>
      <modifiedWord/>
      <trackRevisions>false</trackRevisions>
    </reviewItem>
    <reviewItem>
      <errorID>b5b94925-592b-41ca-a0b6-afaf9b8d99dd</errorID>
      <errorWord>2017年01月01日</errorWord>
      <group>L1_Knowledge</group>
      <groupName>知识性问题</groupName>
      <ability>L2_Time</ability>
      <abilityName>日期时间</abilityName>
      <candidateList>
        <item>2017年1月1日</item>
      </candidateList>
      <explain>根据日常书写习惯，月份和日期一般会省略前导零。</explain>
      <paraID>73E8070C</paraID>
      <start>35</start>
      <end>46</end>
      <status>unmodified</status>
      <modifiedWord/>
      <trackRevisions>false</trackRevisions>
    </reviewItem>
    <reviewItem>
      <errorID>c620cdc8-a073-4871-bff9-e1a9af197e2b</errorID>
      <errorWord>2018年12月01日</errorWord>
      <group>L1_Knowledge</group>
      <groupName>知识性问题</groupName>
      <ability>L2_Time</ability>
      <abilityName>日期时间</abilityName>
      <candidateList>
        <item>2018年12月1日</item>
      </candidateList>
      <explain>根据日常书写习惯，日期一般会省略前导零。</explain>
      <paraID>27634761</paraID>
      <start>33</start>
      <end>44</end>
      <status>unmodified</status>
      <modifiedWord/>
      <trackRevisions>false</trackRevisions>
    </reviewItem>
    <reviewItem>
      <errorID>70c09ed4-a3d6-4b41-a04c-efb3a0c0ef4b</errorID>
      <errorWord>2022年07月01日</errorWord>
      <group>L1_Knowledge</group>
      <groupName>知识性问题</groupName>
      <ability>L2_Time</ability>
      <abilityName>日期时间</abilityName>
      <candidateList>
        <item>2022年7月1日</item>
      </candidateList>
      <explain>根据日常书写习惯，月份和日期一般会省略前导零。</explain>
      <paraID>26B61CFF</paraID>
      <start>32</start>
      <end>43</end>
      <status>unmodified</status>
      <modifiedWord/>
      <trackRevisions>false</trackRevisions>
    </reviewItem>
    <reviewItem>
      <errorID>3c8b3ea6-a008-46ef-affa-03ec1bad923f</errorID>
      <errorWord>2019年07月01日</errorWord>
      <group>L1_Knowledge</group>
      <groupName>知识性问题</groupName>
      <ability>L2_Time</ability>
      <abilityName>日期时间</abilityName>
      <candidateList>
        <item>2019年7月1日</item>
      </candidateList>
      <explain>根据日常书写习惯，月份和日期一般会省略前导零。</explain>
      <paraID>3383246D</paraID>
      <start>37</start>
      <end>48</end>
      <status>unmodified</status>
      <modifiedWord/>
      <trackRevisions>false</trackRevisions>
    </reviewItem>
    <reviewItem>
      <errorID>b22c4337-e9cf-49e9-a03c-04cf5e4e0894</errorID>
      <errorWord>2022年07月01日</errorWord>
      <group>L1_Knowledge</group>
      <groupName>知识性问题</groupName>
      <ability>L2_Time</ability>
      <abilityName>日期时间</abilityName>
      <candidateList>
        <item>2022年7月1日</item>
      </candidateList>
      <explain>根据日常书写习惯，月份和日期一般会省略前导零。</explain>
      <paraID>49192F81</paraID>
      <start>32</start>
      <end>43</end>
      <status>unmodified</status>
      <modifiedWord/>
      <trackRevisions>false</trackRevisions>
    </reviewItem>
    <reviewItem>
      <errorID>700389c1-d20f-4d5b-a076-215e8967b16c</errorID>
      <errorWord>2019年03月01日</errorWord>
      <group>L1_Knowledge</group>
      <groupName>知识性问题</groupName>
      <ability>L2_Time</ability>
      <abilityName>日期时间</abilityName>
      <candidateList>
        <item>2019年3月1日</item>
      </candidateList>
      <explain>根据日常书写习惯，月份和日期一般会省略前导零。</explain>
      <paraID>664053C2</paraID>
      <start>34</start>
      <end>45</end>
      <status>unmodified</status>
      <modifiedWord/>
      <trackRevisions>false</trackRevisions>
    </reviewItem>
    <reviewItem>
      <errorID>5beabb81-5002-4f2a-b6fe-2ffdd1195cb0</errorID>
      <errorWord>2016年01月07日</errorWord>
      <group>L1_Knowledge</group>
      <groupName>知识性问题</groupName>
      <ability>L2_Time</ability>
      <abilityName>日期时间</abilityName>
      <candidateList>
        <item>2016年1月7日</item>
      </candidateList>
      <explain>根据日常书写习惯，月份和日期一般会省略前导零。</explain>
      <paraID>4CDA28E5</paraID>
      <start>34</start>
      <end>45</end>
      <status>unmodified</status>
      <modifiedWord/>
      <trackRevisions>false</trackRevisions>
    </reviewItem>
    <reviewItem>
      <errorID>3845f2c0-12a6-42b6-b225-d66fc936abcc</errorID>
      <errorWord>2019年03月01日</errorWord>
      <group>L1_Knowledge</group>
      <groupName>知识性问题</groupName>
      <ability>L2_Time</ability>
      <abilityName>日期时间</abilityName>
      <candidateList>
        <item>2019年3月1日</item>
      </candidateList>
      <explain>根据日常书写习惯，月份和日期一般会省略前导零。</explain>
      <paraID>685FB6DA</paraID>
      <start>32</start>
      <end>43</end>
      <status>unmodified</status>
      <modifiedWord/>
      <trackRevisions>false</trackRevisions>
    </reviewItem>
    <reviewItem>
      <errorID>4d1e3e20-089a-45c0-ba21-600b1c7df8c3</errorID>
      <errorWord>2024年01月01日</errorWord>
      <group>L1_Knowledge</group>
      <groupName>知识性问题</groupName>
      <ability>L2_Time</ability>
      <abilityName>日期时间</abilityName>
      <candidateList>
        <item>2024年1月1日</item>
      </candidateList>
      <explain>根据日常书写习惯，月份和日期一般会省略前导零。</explain>
      <paraID>3AF6A4FC</paraID>
      <start>42</start>
      <end>53</end>
      <status>unmodified</status>
      <modifiedWord/>
      <trackRevisions>false</trackRevisions>
    </reviewItem>
    <reviewItem>
      <errorID>dc1d6da7-edb9-4e4c-86c0-d7774499e602</errorID>
      <errorWord>2022年10月01日</errorWord>
      <group>L1_Knowledge</group>
      <groupName>知识性问题</groupName>
      <ability>L2_Time</ability>
      <abilityName>日期时间</abilityName>
      <candidateList>
        <item>2022年10月1日</item>
      </candidateList>
      <explain>根据日常书写习惯，日期一般会省略前导零。</explain>
      <paraID>23241E95</paraID>
      <start>39</start>
      <end>50</end>
      <status>unmodified</status>
      <modifiedWord/>
      <trackRevisions>false</trackRevisions>
    </reviewItem>
    <reviewItem>
      <errorID>194771d7-2add-47e7-b325-646edd58c845</errorID>
      <errorWord>2017年06月01日</errorWord>
      <group>L1_Knowledge</group>
      <groupName>知识性问题</groupName>
      <ability>L2_Time</ability>
      <abilityName>日期时间</abilityName>
      <candidateList>
        <item>2017年6月1日</item>
      </candidateList>
      <explain>根据日常书写习惯，月份和日期一般会省略前导零。</explain>
      <paraID>3BB5F519</paraID>
      <start>34</start>
      <end>45</end>
      <status>unmodified</status>
      <modifiedWord/>
      <trackRevisions>false</trackRevisions>
    </reviewItem>
    <reviewItem>
      <errorID>b183f13e-779e-4478-a083-04a4d1879dbd</errorID>
      <errorWord>2019年01月01日</errorWord>
      <group>L1_Knowledge</group>
      <groupName>知识性问题</groupName>
      <ability>L2_Time</ability>
      <abilityName>日期时间</abilityName>
      <candidateList>
        <item>2019年1月1日</item>
      </candidateList>
      <explain>根据日常书写习惯，月份和日期一般会省略前导零。</explain>
      <paraID>4E88980C</paraID>
      <start>37</start>
      <end>48</end>
      <status>unmodified</status>
      <modifiedWord/>
      <trackRevisions>false</trackRevisions>
    </reviewItem>
    <reviewItem>
      <errorID>64ee9048-9c8a-4750-abef-02f7ffd41d4c</errorID>
      <errorWord>2009年02月</errorWord>
      <group>L1_Knowledge</group>
      <groupName>知识性问题</groupName>
      <ability>L2_Time</ability>
      <abilityName>日期时间</abilityName>
      <candidateList>
        <item>2009年2月</item>
      </candidateList>
      <explain>根据日常书写习惯，月份一般会省略前导零。</explain>
      <paraID>693DE7A3</paraID>
      <start>31</start>
      <end>39</end>
      <status>unmodified</status>
      <modifiedWord/>
      <trackRevisions>false</trackRevisions>
    </reviewItem>
    <reviewItem>
      <errorID>8fa2241f-f46c-49d8-a753-85e0025b5085</errorID>
      <errorWord>2022年07月01日</errorWord>
      <group>L1_Knowledge</group>
      <groupName>知识性问题</groupName>
      <ability>L2_Time</ability>
      <abilityName>日期时间</abilityName>
      <candidateList>
        <item>2022年7月1日</item>
      </candidateList>
      <explain>根据日常书写习惯，月份和日期一般会省略前导零。</explain>
      <paraID>3228C824</paraID>
      <start>43</start>
      <end>54</end>
      <status>unmodified</status>
      <modifiedWord/>
      <trackRevisions>false</trackRevisions>
    </reviewItem>
    <reviewItem>
      <errorID>1abe119f-b9ab-4c64-94e8-54da37303269</errorID>
      <errorWord>2013年03月01日</errorWord>
      <group>L1_Knowledge</group>
      <groupName>知识性问题</groupName>
      <ability>L2_Time</ability>
      <abilityName>日期时间</abilityName>
      <candidateList>
        <item>2013年3月1日</item>
      </candidateList>
      <explain>根据日常书写习惯，月份和日期一般会省略前导零。</explain>
      <paraID>6192E425</paraID>
      <start>36</start>
      <end>47</end>
      <status>unmodified</status>
      <modifiedWord/>
      <trackRevisions>false</trackRevisions>
    </reviewItem>
    <reviewItem>
      <errorID>a3b35329-a581-476e-a24b-ea1f429227b7</errorID>
      <errorWord>2025年07月</errorWord>
      <group>L1_Knowledge</group>
      <groupName>知识性问题</groupName>
      <ability>L2_Time</ability>
      <abilityName>日期时间</abilityName>
      <candidateList>
        <item>2025年7月</item>
      </candidateList>
      <explain>根据日常书写习惯，月份一般会省略前导零。</explain>
      <paraID>56CF0C6E</paraID>
      <start>35</start>
      <end>43</end>
      <status>unmodified</status>
      <modifiedWord/>
      <trackRevisions>false</trackRevisions>
    </reviewItem>
    <reviewItem>
      <errorID>49cc033a-9b98-4ec0-8867-79034eb33b97</errorID>
      <errorWord>2025年04月</errorWord>
      <group>L1_Knowledge</group>
      <groupName>知识性问题</groupName>
      <ability>L2_Time</ability>
      <abilityName>日期时间</abilityName>
      <candidateList>
        <item>2025年4月</item>
      </candidateList>
      <explain>根据日常书写习惯，月份一般会省略前导零。</explain>
      <paraID>601CBEB0</paraID>
      <start>36</start>
      <end>44</end>
      <status>unmodified</status>
      <modifiedWord/>
      <trackRevisions>false</trackRevisions>
    </reviewItem>
    <reviewItem>
      <errorID>be870f91-df62-4143-a46e-dc25225de87a</errorID>
      <errorWord>2025年06月</errorWord>
      <group>L1_Knowledge</group>
      <groupName>知识性问题</groupName>
      <ability>L2_Time</ability>
      <abilityName>日期时间</abilityName>
      <candidateList>
        <item>2025年6月</item>
      </candidateList>
      <explain>根据日常书写习惯，月份一般会省略前导零。</explain>
      <paraID>49CC40E6</paraID>
      <start>38</start>
      <end>46</end>
      <status>unmodified</status>
      <modifiedWord/>
      <trackRevisions>false</trackRevisions>
    </reviewItem>
    <reviewItem>
      <errorID>3e5dadef-213c-4fc7-94fa-27e0d2105c6a</errorID>
      <errorWord>2025年03月</errorWord>
      <group>L1_Knowledge</group>
      <groupName>知识性问题</groupName>
      <ability>L2_Time</ability>
      <abilityName>日期时间</abilityName>
      <candidateList>
        <item>2025年3月</item>
      </candidateList>
      <explain>根据日常书写习惯，月份一般会省略前导零。</explain>
      <paraID>3BE2A507</paraID>
      <start>40</start>
      <end>48</end>
      <status>unmodified</status>
      <modifiedWord/>
      <trackRevisions>false</trackRevisions>
    </reviewItem>
    <reviewItem>
      <errorID>4eaa3887-026c-4938-ad9d-1b164cfd3c11</errorID>
      <errorWord>～</errorWord>
      <group>L1_Format</group>
      <groupName>格式问题</groupName>
      <ability>L2_HalfPunc</ability>
      <abilityName>全半角检查</abilityName>
      <candidateList>
        <item>~</item>
      </candidateList>
      <explain>文本全半角错误。</explain>
      <paraID>426F26BC</paraID>
      <start>3</start>
      <end>4</end>
      <status>unmodified</status>
      <modifiedWord/>
      <trackRevisions>false</trackRevisions>
    </reviewItem>
    <reviewItem>
      <errorID>db9e532c-1bcf-4012-a1b9-b2b8cb736adc</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30CE153B</paraID>
      <start>0</start>
      <end>2</end>
      <status>unmodified</status>
      <modifiedWord/>
      <trackRevisions>false</trackRevisions>
    </reviewItem>
    <reviewItem>
      <errorID>a4ab0e08-e0ec-402d-8f00-38c051469af4</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4B655532</paraID>
      <start>0</start>
      <end>2</end>
      <status>unmodified</status>
      <modifiedWord/>
      <trackRevisions>false</trackRevisions>
    </reviewItem>
    <reviewItem>
      <errorID>b82f8199-1e04-405b-9cea-1f674fb10ee0</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2B24DEFB</paraID>
      <start>0</start>
      <end>2</end>
      <status>unmodified</status>
      <modifiedWord/>
      <trackRevisions>false</trackRevisions>
    </reviewItem>
    <reviewItem>
      <errorID>35b21d97-c914-4648-99b1-743750ee497a</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A96A98D</paraID>
      <start>0</start>
      <end>2</end>
      <status>unmodified</status>
      <modifiedWord/>
      <trackRevisions>false</trackRevisions>
    </reviewItem>
    <reviewItem>
      <errorID>c74205c7-2100-4a0c-a5ad-a4c2b89d3a38</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6A03FE18</paraID>
      <start>0</start>
      <end>2</end>
      <status>unmodified</status>
      <modifiedWord/>
      <trackRevisions>false</trackRevisions>
    </reviewItem>
    <reviewItem>
      <errorID>76fcc413-2933-4b92-82b1-0bb6613c7b57</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7EB7AA01</paraID>
      <start>0</start>
      <end>2</end>
      <status>unmodified</status>
      <modifiedWord/>
      <trackRevisions>false</trackRevisions>
    </reviewItem>
    <reviewItem>
      <errorID>d4c463e3-4a29-4e98-b59c-9b9c2eb81eaf</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5282DE49</paraID>
      <start>0</start>
      <end>2</end>
      <status>unmodified</status>
      <modifiedWord/>
      <trackRevisions>false</trackRevisions>
    </reviewItem>
    <reviewItem>
      <errorID>0f9a8b4e-8ea2-4111-9af4-e06c7d290b74</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6E64817E</paraID>
      <start>0</start>
      <end>2</end>
      <status>unmodified</status>
      <modifiedWord/>
      <trackRevisions>false</trackRevisions>
    </reviewItem>
    <reviewItem>
      <errorID>9ae7c381-9615-4f9b-a68e-cd05bb34458c</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7F4DDDCE</paraID>
      <start>0</start>
      <end>2</end>
      <status>unmodified</status>
      <modifiedWord/>
      <trackRevisions>false</trackRevisions>
    </reviewItem>
    <reviewItem>
      <errorID>94156513-fc79-45e1-ab7a-25aa5f150285</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6EB3855</paraID>
      <start>0</start>
      <end>2</end>
      <status>unmodified</status>
      <modifiedWord/>
      <trackRevisions>false</trackRevisions>
    </reviewItem>
    <reviewItem>
      <errorID>6facd738-27a2-4a13-b9cc-fc0199e3d4c4</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59001DC3</paraID>
      <start>0</start>
      <end>2</end>
      <status>unmodified</status>
      <modifiedWord/>
      <trackRevisions>false</trackRevisions>
    </reviewItem>
    <reviewItem>
      <errorID>dee83751-b34e-4c40-8881-ccce99fc6c80</errorID>
      <errorWord>＜</errorWord>
      <group>L1_Format</group>
      <groupName>格式问题</groupName>
      <ability>L2_HalfPunc</ability>
      <abilityName>全半角检查</abilityName>
      <candidateList>
        <item>&lt;</item>
      </candidateList>
      <explain>文本全半角错误。</explain>
      <paraID>746F2BC6</paraID>
      <start>0</start>
      <end>1</end>
      <status>unmodified</status>
      <modifiedWord/>
      <trackRevisions>false</trackRevisions>
    </reviewItem>
    <reviewItem>
      <errorID>2a0742e2-900f-477f-a8e2-5a54fb636db5</errorID>
      <errorWord>＜</errorWord>
      <group>L1_Format</group>
      <groupName>格式问题</groupName>
      <ability>L2_HalfPunc</ability>
      <abilityName>全半角检查</abilityName>
      <candidateList>
        <item>&lt;</item>
      </candidateList>
      <explain>文本全半角错误。</explain>
      <paraID>590E36D9</paraID>
      <start>0</start>
      <end>1</end>
      <status>unmodified</status>
      <modifiedWord/>
      <trackRevisions>false</trackRevisions>
    </reviewItem>
    <reviewItem>
      <errorID>956a776f-35a1-4d02-9424-9134f0309235</errorID>
      <errorWord>＜</errorWord>
      <group>L1_Format</group>
      <groupName>格式问题</groupName>
      <ability>L2_HalfPunc</ability>
      <abilityName>全半角检查</abilityName>
      <candidateList>
        <item>&lt;</item>
      </candidateList>
      <explain>文本全半角错误。</explain>
      <paraID>115B1926</paraID>
      <start>0</start>
      <end>1</end>
      <status>unmodified</status>
      <modifiedWord/>
      <trackRevisions>false</trackRevisions>
    </reviewItem>
    <reviewItem>
      <errorID>f19809c5-03a6-4f66-9b5c-d266ba314fc5</errorID>
      <errorWord>～</errorWord>
      <group>L1_Format</group>
      <groupName>格式问题</groupName>
      <ability>L2_HalfPunc</ability>
      <abilityName>全半角检查</abilityName>
      <candidateList>
        <item>~</item>
      </candidateList>
      <explain>文本全半角错误。</explain>
      <paraID>23CF8A1E</paraID>
      <start>1</start>
      <end>2</end>
      <status>unmodified</status>
      <modifiedWord/>
      <trackRevisions>false</trackRevisions>
    </reviewItem>
    <reviewItem>
      <errorID>e320a4dd-2a5a-47b8-89f0-5f16c9d573a8</errorID>
      <errorWord>海拔高度</errorWord>
      <group>L1_Word</group>
      <groupName>字词问题</groupName>
      <ability>L2_Typo</ability>
      <abilityName>字词错误</abilityName>
      <candidateList>
        <item>海拔</item>
      </candidateList>
      <explain>〈名〉从平均海平面起算的高度。</explain>
      <paraID>19AE49AD</paraID>
      <start>0</start>
      <end>4</end>
      <status>unmodified</status>
      <modifiedWord/>
      <trackRevisions>false</trackRevisions>
    </reviewItem>
    <reviewItem>
      <errorID>edbfa2e1-7d38-4c6b-8835-f72b9c2557c3</errorID>
      <errorWord>（</errorWord>
      <group>L1_Format</group>
      <groupName>格式问题</groupName>
      <ability>L2_HalfPunc</ability>
      <abilityName>全半角检查</abilityName>
      <candidateList>
        <item>(</item>
      </candidateList>
      <explain>文本全半角错误。</explain>
      <paraID>328BAD55</paraID>
      <start>0</start>
      <end>1</end>
      <status>unmodified</status>
      <modifiedWord/>
      <trackRevisions>false</trackRevisions>
    </reviewItem>
    <reviewItem>
      <errorID>35e28727-0b20-4480-8fa7-89d27a47c95e</errorID>
      <errorWord>）</errorWord>
      <group>L1_Format</group>
      <groupName>格式问题</groupName>
      <ability>L2_HalfPunc</ability>
      <abilityName>全半角检查</abilityName>
      <candidateList>
        <item>)</item>
      </candidateList>
      <explain>文本全半角错误。</explain>
      <paraID>328BAD55</paraID>
      <start>6</start>
      <end>7</end>
      <status>unmodified</status>
      <modifiedWord/>
      <trackRevisions>false</trackRevisions>
    </reviewItem>
    <reviewItem>
      <errorID>2253141f-dd48-404a-b42a-459efaff5594</errorID>
      <errorWord>＜</errorWord>
      <group>L1_Format</group>
      <groupName>格式问题</groupName>
      <ability>L2_HalfPunc</ability>
      <abilityName>全半角检查</abilityName>
      <candidateList>
        <item>&lt;</item>
      </candidateList>
      <explain>文本全半角错误。</explain>
      <paraID>349072CA</paraID>
      <start>7</start>
      <end>8</end>
      <status>unmodified</status>
      <modifiedWord/>
      <trackRevisions>false</trackRevisions>
    </reviewItem>
    <reviewItem>
      <errorID>ed00514d-7ff5-4cbc-b862-42aa2117038f</errorID>
      <errorWord>＜</errorWord>
      <group>L1_Format</group>
      <groupName>格式问题</groupName>
      <ability>L2_HalfPunc</ability>
      <abilityName>全半角检查</abilityName>
      <candidateList>
        <item>&lt;</item>
      </candidateList>
      <explain>文本全半角错误。</explain>
      <paraID>5D4236F9</paraID>
      <start>4</start>
      <end>5</end>
      <status>unmodified</status>
      <modifiedWord/>
      <trackRevisions>false</trackRevisions>
    </reviewItem>
    <reviewItem>
      <errorID>927b7ee8-c5aa-4014-856c-e0444b5d97af</errorID>
      <errorWord>集中水</errorWord>
      <group>L1_Word</group>
      <groupName>字词问题</groupName>
      <ability>L2_Typo</ability>
      <abilityName>字词错误</abilityName>
      <candidateList>
        <item>集中</item>
      </candidateList>
      <explain/>
      <paraID>7658C3C8</paraID>
      <start>58</start>
      <end>61</end>
      <status>unmodified</status>
      <modifiedWord/>
      <trackRevisions>false</trackRevisions>
    </reviewItem>
    <reviewItem>
      <errorID>80729d3e-685c-48cd-9d96-c0fb28a50539</errorID>
      <errorWord>)</errorWord>
      <group>L1_Format</group>
      <groupName>格式问题</groupName>
      <ability>L2_HalfPunc</ability>
      <abilityName>全半角检查</abilityName>
      <candidateList>
        <item>）</item>
      </candidateList>
      <explain>文本全半角错误。</explain>
      <paraID> 492D111</paraID>
      <start>29</start>
      <end>30</end>
      <status>unmodified</status>
      <modifiedWord/>
      <trackRevisions>false</trackRevisions>
    </reviewItem>
    <reviewItem>
      <errorID>ccb19973-bb7a-4c89-8762-471e61b44df1</errorID>
      <errorWord>。</errorWord>
      <group>L1_Punc</group>
      <groupName>标点问题</groupName>
      <ability>L2_Punc</ability>
      <abilityName>标点符号检查</abilityName>
      <candidateList>
        <item/>
      </candidateList>
      <explain>标题文本后不使用标点符号。</explain>
      <paraID>332C4EE1</paraID>
      <start>21</start>
      <end>22</end>
      <status>unmodified</status>
      <modifiedWord/>
      <trackRevisions>false</trackRevisions>
    </reviewItem>
    <reviewItem>
      <errorID>174bf683-76b3-48be-ab25-b0f3954c2823</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75C59A8B</paraID>
      <start>16</start>
      <end>17</end>
      <status>unmodified</status>
      <modifiedWord/>
      <trackRevisions>false</trackRevisions>
    </reviewItem>
    <reviewItem>
      <errorID>782e144b-4a8f-467f-ac44-f63a308b86c3</errorID>
      <errorWord>型</errorWord>
      <group>L1_Word</group>
      <groupName>字词问题</groupName>
      <ability>L2_Typo</ability>
      <abilityName>字词错误</abilityName>
      <candidateList>
        <item>性</item>
      </candidateList>
      <explain>存在发音相同字词的误用。</explain>
      <paraID>3601D522</paraID>
      <start>13</start>
      <end>14</end>
      <status>unmodified</status>
      <modifiedWord/>
      <trackRevisions>false</trackRevisions>
    </reviewItem>
    <reviewItem>
      <errorID>c5d6bbc3-ecab-4420-86a4-d51d91f7a34d</errorID>
      <errorWord>＜</errorWord>
      <group>L1_Format</group>
      <groupName>格式问题</groupName>
      <ability>L2_HalfPunc</ability>
      <abilityName>全半角检查</abilityName>
      <candidateList>
        <item>&lt;</item>
      </candidateList>
      <explain>文本全半角错误。</explain>
      <paraID>30E57C21</paraID>
      <start>3</start>
      <end>4</end>
      <status>unmodified</status>
      <modifiedWord/>
      <trackRevisions>false</trackRevisions>
    </reviewItem>
    <reviewItem>
      <errorID>43180abe-8629-434f-9f2f-96e3e0ff08ea</errorID>
      <errorWord>＜</errorWord>
      <group>L1_Format</group>
      <groupName>格式问题</groupName>
      <ability>L2_HalfPunc</ability>
      <abilityName>全半角检查</abilityName>
      <candidateList>
        <item>&lt;</item>
      </candidateList>
      <explain>文本全半角错误。</explain>
      <paraID>6ED7C026</paraID>
      <start>6</start>
      <end>7</end>
      <status>unmodified</status>
      <modifiedWord/>
      <trackRevisions>false</trackRevisions>
    </reviewItem>
    <reviewItem>
      <errorID>b55a4640-56c8-47fd-b78b-0bf6b94ca928</errorID>
      <errorWord>＜</errorWord>
      <group>L1_Format</group>
      <groupName>格式问题</groupName>
      <ability>L2_HalfPunc</ability>
      <abilityName>全半角检查</abilityName>
      <candidateList>
        <item>&lt;</item>
      </candidateList>
      <explain>文本全半角错误。</explain>
      <paraID>68E4C9F4</paraID>
      <start>3</start>
      <end>4</end>
      <status>unmodified</status>
      <modifiedWord/>
      <trackRevisions>false</trackRevisions>
    </reviewItem>
    <reviewItem>
      <errorID>1e1d348f-1a41-46e3-9e94-105d606c8486</errorID>
      <errorWord>＜</errorWord>
      <group>L1_Format</group>
      <groupName>格式问题</groupName>
      <ability>L2_HalfPunc</ability>
      <abilityName>全半角检查</abilityName>
      <candidateList>
        <item>&lt;</item>
      </candidateList>
      <explain>文本全半角错误。</explain>
      <paraID>68E4C9F4</paraID>
      <start>6</start>
      <end>7</end>
      <status>unmodified</status>
      <modifiedWord/>
      <trackRevisions>false</trackRevisions>
    </reviewItem>
    <reviewItem>
      <errorID>bb847a2d-6f19-4bf5-852f-7cca003423d8</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3CD6771B</paraID>
      <start>13</start>
      <end>14</end>
      <status>unmodified</status>
      <modifiedWord/>
      <trackRevisions>false</trackRevisions>
    </reviewItem>
    <reviewItem>
      <errorID>41e7442e-5dac-425e-9a63-fb9744cf3a7a</errorID>
      <errorWord>；</errorWord>
      <group>L1_Word</group>
      <groupName>字词问题</groupName>
      <ability>L2_Typo</ability>
      <abilityName>字词错误</abilityName>
      <candidateList>
        <item>；在</item>
      </candidateList>
      <explain/>
      <paraID>45867091</paraID>
      <start>56</start>
      <end>57</end>
      <status>unmodified</status>
      <modifiedWord/>
      <trackRevisions>false</trackRevisions>
    </reviewItem>
    <reviewItem>
      <errorID>33868ecb-a0ca-457c-b61c-94ccc68fe35c</errorID>
      <errorWord>。</errorWord>
      <group>L1_Punc</group>
      <groupName>标点问题</groupName>
      <ability>L2_Punc</ability>
      <abilityName>标点符号检查</abilityName>
      <candidateList>
        <item/>
      </candidateList>
      <explain>标题文本后不使用标点符号。</explain>
      <paraID>6A32A9BA</paraID>
      <start>18</start>
      <end>19</end>
      <status>unmodified</status>
      <modifiedWord/>
      <trackRevisions>false</trackRevisions>
    </reviewItem>
    <reviewItem>
      <errorID>cc096d33-e71f-4fbf-ac75-d7a1ef7f0fad</errorID>
      <errorWord>。</errorWord>
      <group>L1_Punc</group>
      <groupName>标点问题</groupName>
      <ability>L2_Punc</ability>
      <abilityName>标点符号检查</abilityName>
      <candidateList>
        <item/>
      </candidateList>
      <explain>标题文本后不使用标点符号。</explain>
      <paraID>5E837A57</paraID>
      <start>21</start>
      <end>22</end>
      <status>unmodified</status>
      <modifiedWord/>
      <trackRevisions>false</trackRevisions>
    </reviewItem>
    <reviewItem>
      <errorID>9c6931f5-e5e7-4339-83be-706a2fc1fb44</errorID>
      <errorWord>。</errorWord>
      <group>L1_Punc</group>
      <groupName>标点问题</groupName>
      <ability>L2_Punc</ability>
      <abilityName>标点符号检查</abilityName>
      <candidateList>
        <item/>
      </candidateList>
      <explain>标题文本后不使用标点符号。</explain>
      <paraID>224462D1</paraID>
      <start>20</start>
      <end>21</end>
      <status>unmodified</status>
      <modifiedWord/>
      <trackRevisions>false</trackRevisions>
    </reviewItem>
    <reviewItem>
      <errorID>9e2571c2-3828-4627-894a-03c4e6437b7b</errorID>
      <errorWord>。</errorWord>
      <group>L1_Punc</group>
      <groupName>标点问题</groupName>
      <ability>L2_Punc</ability>
      <abilityName>标点符号检查</abilityName>
      <candidateList>
        <item/>
      </candidateList>
      <explain>标题文本后不使用标点符号。</explain>
      <paraID> 3D0B987</paraID>
      <start>17</start>
      <end>18</end>
      <status>unmodified</status>
      <modifiedWord/>
      <trackRevisions>false</trackRevisions>
    </reviewItem>
    <reviewItem>
      <errorID>c123798b-55db-4b1a-8cb6-3ddeb2e28073</errorID>
      <errorWord>期</errorWord>
      <group>L1_Word</group>
      <groupName>字词问题</groupName>
      <ability>L2_Typo</ability>
      <abilityName>字词错误</abilityName>
      <candidateList>
        <item>期间</item>
      </candidateList>
      <explain>〈名〉某个时期里面：农忙～｜春节～｜抗战～。</explain>
      <paraID>5A353829</paraID>
      <start>135</start>
      <end>136</end>
      <status>unmodified</status>
      <modifiedWord/>
      <trackRevisions>false</trackRevisions>
    </reviewItem>
    <reviewItem>
      <errorID>6862cbad-cab8-4323-9145-7a55a3d3d3d8</errorID>
      <errorWord>，</errorWord>
      <group>L1_Word</group>
      <groupName>字词问题</groupName>
      <ability>L2_Typo</ability>
      <abilityName>字词错误</abilityName>
      <candidateList>
        <item>，将</item>
      </candidateList>
      <explain/>
      <paraID>41A0D683</paraID>
      <start>88</start>
      <end>89</end>
      <status>unmodified</status>
      <modifiedWord/>
      <trackRevisions>false</trackRevisions>
    </reviewItem>
    <reviewItem>
      <errorID>0d30620d-8eca-4f52-b661-f45b5b33815a</errorID>
      <errorWord>设施的</errorWord>
      <group>L1_Word</group>
      <groupName>字词问题</groupName>
      <ability>L2_Typo</ability>
      <abilityName>字词错误</abilityName>
      <candidateList>
        <item>设施</item>
      </candidateList>
      <explain/>
      <paraID>55859BB7</paraID>
      <start>190</start>
      <end>193</end>
      <status>unmodified</status>
      <modifiedWord/>
      <trackRevisions>false</trackRevisions>
    </reviewItem>
    <reviewItem>
      <errorID>59da81f2-4881-4547-8131-3748c922da46</errorID>
      <errorWord>期</errorWord>
      <group>L1_Word</group>
      <groupName>字词问题</groupName>
      <ability>L2_Typo</ability>
      <abilityName>字词错误</abilityName>
      <candidateList>
        <item>期间</item>
      </candidateList>
      <explain>〈名〉某个时期里面：农忙～｜春节～｜抗战～。</explain>
      <paraID>34ABD53A</paraID>
      <start>2</start>
      <end>3</end>
      <status>unmodified</status>
      <modifiedWord/>
      <trackRevisions>false</trackRevisions>
    </reviewItem>
    <reviewItem>
      <errorID>a27ce7d0-716d-4192-bb0e-0ce77f04617a</errorID>
      <errorWord>，</errorWord>
      <group>L1_Word</group>
      <groupName>字词问题</groupName>
      <ability>L2_Typo</ability>
      <abilityName>字词错误</abilityName>
      <candidateList>
        <item>，对</item>
      </candidateList>
      <explain/>
      <paraID>34ABD53A</paraID>
      <start>57</start>
      <end>58</end>
      <status>unmodified</status>
      <modifiedWord/>
      <trackRevisions>false</trackRevisions>
    </reviewItem>
    <reviewItem>
      <errorID>0ac4d1c9-7708-45c8-9dbb-fdd2c4ade0b5</errorID>
      <errorWord>大气污染处理</errorWord>
      <group>L1_Knowledge</group>
      <groupName>知识性问题</groupName>
      <ability>L2_Term</ability>
      <abilityName>专业术语</abilityName>
      <candidateList>
        <item>大气污染治理</item>
      </candidateList>
      <explain/>
      <paraID>7D739112</paraID>
      <start>223</start>
      <end>229</end>
      <status>unmodified</status>
      <modifiedWord/>
      <trackRevisions>false</trackRevisions>
    </reviewItem>
    <reviewItem>
      <errorID>e857f547-5edf-4e2e-8485-cde92f7247e8</errorID>
      <errorWord>期</errorWord>
      <group>L1_Word</group>
      <groupName>字词问题</groupName>
      <ability>L2_Typo</ability>
      <abilityName>字词错误</abilityName>
      <candidateList>
        <item>期间</item>
      </candidateList>
      <explain>〈名〉某个时期里面：农忙～｜春节～｜抗战～。</explain>
      <paraID>5F2D4DDD</paraID>
      <start>2</start>
      <end>3</end>
      <status>unmodified</status>
      <modifiedWord/>
      <trackRevisions>false</trackRevisions>
    </reviewItem>
    <reviewItem>
      <errorID>7e41b64a-03d1-43dc-9855-027ef8bd0a6d</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781A9C2C</paraID>
      <start>0</start>
      <end>2</end>
      <status>unmodified</status>
      <modifiedWord/>
      <trackRevisions>false</trackRevisions>
    </reviewItem>
    <reviewItem>
      <errorID>32d70281-5ff0-44e6-897a-fb10bb0e2830</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5E214A60</paraID>
      <start>0</start>
      <end>2</end>
      <status>unmodified</status>
      <modifiedWord/>
      <trackRevisions>false</trackRevisions>
    </reviewItem>
    <reviewItem>
      <errorID>9157d62e-cd08-4d8d-8f7e-ca6fb4d266eb</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3B4D6E7</paraID>
      <start>0</start>
      <end>2</end>
      <status>unmodified</status>
      <modifiedWord/>
      <trackRevisions>false</trackRevisions>
    </reviewItem>
    <reviewItem>
      <errorID>d4cb47cc-524a-4de7-990e-62d63a2a8e0d</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4BA4FC49</paraID>
      <start>0</start>
      <end>2</end>
      <status>unmodified</status>
      <modifiedWord/>
      <trackRevisions>false</trackRevisions>
    </reviewItem>
    <reviewItem>
      <errorID>e5101cd6-f212-455d-8ae6-276814adcaf0</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D4131BA</paraID>
      <start>0</start>
      <end>2</end>
      <status>unmodified</status>
      <modifiedWord/>
      <trackRevisions>false</trackRevisions>
    </reviewItem>
    <reviewItem>
      <errorID>6078b90f-c064-46ce-84c2-80c113a30130</errorID>
      <errorWord>该款</errorWord>
      <group>L1_Word</group>
      <groupName>字词问题</groupName>
      <ability>L2_Typo</ability>
      <abilityName>字词错误</abilityName>
      <candidateList>
        <item>还款</item>
      </candidateList>
      <explain>存在发音相近字词的误用。</explain>
      <paraID>191D5C4D</paraID>
      <start>3</start>
      <end>5</end>
      <status>unmodified</status>
      <modifiedWord/>
      <trackRevisions>false</trackRevisions>
    </reviewItem>
    <reviewItem>
      <errorID>2d21eb3e-b17e-4272-be63-637f956006d2</errorID>
      <errorWord>MV</errorWord>
      <group>L1_Official</group>
      <groupName>公文问题</groupName>
      <ability>L2_Official</ability>
      <abilityName>公文问题</abilityName>
      <candidateList/>
      <explain>公文中禁止出现该词语</explain>
      <paraID>3F71156C</paraID>
      <start>107</start>
      <end>109</end>
      <status>unmodified</status>
      <modifiedWord/>
      <trackRevisions>false</trackRevisions>
    </reviewItem>
    <reviewItem>
      <errorID>e9df9c2a-7434-4232-bb3a-38f2da92dcac</errorID>
      <errorWord>MV</errorWord>
      <group>L1_Official</group>
      <groupName>公文问题</groupName>
      <ability>L2_Official</ability>
      <abilityName>公文问题</abilityName>
      <candidateList/>
      <explain>公文中禁止出现该词语</explain>
      <paraID>3F71156C</paraID>
      <start>181</start>
      <end>183</end>
      <status>unmodified</status>
      <modifiedWord/>
      <trackRevisions>false</trackRevisions>
    </reviewItem>
    <reviewItem>
      <errorID>47382c21-28a4-4117-bcc3-213dc6380987</errorID>
      <errorWord>-</errorWord>
      <group>L1_Format</group>
      <groupName>格式问题</groupName>
      <ability>L2_HalfPunc</ability>
      <abilityName>全半角检查</abilityName>
      <candidateList>
        <item>－</item>
      </candidateList>
      <explain>文本全半角错误。</explain>
      <paraID>17333EA8</paraID>
      <start>16</start>
      <end>17</end>
      <status>unmodified</status>
      <modifiedWord/>
      <trackRevisions>false</trackRevisions>
    </reviewItem>
    <reviewItem>
      <errorID>44e14b80-8793-4642-bc55-67c30f33c9db</errorID>
      <errorWord>-</errorWord>
      <group>L1_Format</group>
      <groupName>格式问题</groupName>
      <ability>L2_HalfPunc</ability>
      <abilityName>全半角检查</abilityName>
      <candidateList>
        <item>－</item>
      </candidateList>
      <explain>文本全半角错误。</explain>
      <paraID>17333EA8</paraID>
      <start>20</start>
      <end>21</end>
      <status>unmodified</status>
      <modifiedWord/>
      <trackRevisions>false</trackRevisions>
    </reviewItem>
    <reviewItem>
      <errorID>713c6987-9e3e-480a-91ab-e38bbb7c2d71</errorID>
      <errorWord>-</errorWord>
      <group>L1_Format</group>
      <groupName>格式问题</groupName>
      <ability>L2_HalfPunc</ability>
      <abilityName>全半角检查</abilityName>
      <candidateList>
        <item>－</item>
      </candidateList>
      <explain>文本全半角错误。</explain>
      <paraID>4ECCE064</paraID>
      <start>17</start>
      <end>18</end>
      <status>unmodified</status>
      <modifiedWord/>
      <trackRevisions>false</trackRevisions>
    </reviewItem>
    <reviewItem>
      <errorID>b4bb0948-76fb-461e-b12f-fbfa9ff49f12</errorID>
      <errorWord>～</errorWord>
      <group>L1_Format</group>
      <groupName>格式问题</groupName>
      <ability>L2_HalfPunc</ability>
      <abilityName>全半角检查</abilityName>
      <candidateList>
        <item>~</item>
      </candidateList>
      <explain>文本全半角错误。</explain>
      <paraID>342023A3</paraID>
      <start>4</start>
      <end>5</end>
      <status>unmodified</status>
      <modifiedWord/>
      <trackRevisions>false</trackRevisions>
    </reviewItem>
    <reviewItem>
      <errorID>585fb73b-d331-4657-9f4e-dff8cf083d2c</errorID>
      <errorWord>～</errorWord>
      <group>L1_Format</group>
      <groupName>格式问题</groupName>
      <ability>L2_HalfPunc</ability>
      <abilityName>全半角检查</abilityName>
      <candidateList>
        <item>~</item>
      </candidateList>
      <explain>文本全半角错误。</explain>
      <paraID>47A3DB7A</paraID>
      <start>4</start>
      <end>5</end>
      <status>unmodified</status>
      <modifiedWord/>
      <trackRevisions>false</trackRevisions>
    </reviewItem>
    <reviewItem>
      <errorID>f92c5494-1fb0-4345-9c16-aa05e1c5bebd</errorID>
      <errorWord>～</errorWord>
      <group>L1_Format</group>
      <groupName>格式问题</groupName>
      <ability>L2_HalfPunc</ability>
      <abilityName>全半角检查</abilityName>
      <candidateList>
        <item>~</item>
      </candidateList>
      <explain>文本全半角错误。</explain>
      <paraID>400DCBB8</paraID>
      <start>4</start>
      <end>5</end>
      <status>unmodified</status>
      <modifiedWord/>
      <trackRevisions>false</trackRevisions>
    </reviewItem>
    <reviewItem>
      <errorID>ac83b05d-fe06-4d6b-ae76-cd83959ac19e</errorID>
      <errorWord>～</errorWord>
      <group>L1_Format</group>
      <groupName>格式问题</groupName>
      <ability>L2_HalfPunc</ability>
      <abilityName>全半角检查</abilityName>
      <candidateList>
        <item>~</item>
      </candidateList>
      <explain>文本全半角错误。</explain>
      <paraID>5A54F609</paraID>
      <start>4</start>
      <end>5</end>
      <status>unmodified</status>
      <modifiedWord/>
      <trackRevisions>false</trackRevisions>
    </reviewItem>
    <reviewItem>
      <errorID>28f0b44c-d374-4362-bf5d-d79da4f0bd15</errorID>
      <errorWord>＜</errorWord>
      <group>L1_Format</group>
      <groupName>格式问题</groupName>
      <ability>L2_HalfPunc</ability>
      <abilityName>全半角检查</abilityName>
      <candidateList>
        <item>&lt;</item>
      </candidateList>
      <explain>文本全半角错误。</explain>
      <paraID>30673D58</paraID>
      <start>0</start>
      <end>1</end>
      <status>unmodified</status>
      <modifiedWord/>
      <trackRevisions>false</trackRevisions>
    </reviewItem>
    <reviewItem>
      <errorID>d6a8fc95-8c2c-41d4-b8fd-a0cb802011ff</errorID>
      <errorWord>＜</errorWord>
      <group>L1_Format</group>
      <groupName>格式问题</groupName>
      <ability>L2_HalfPunc</ability>
      <abilityName>全半角检查</abilityName>
      <candidateList>
        <item>&lt;</item>
      </candidateList>
      <explain>文本全半角错误。</explain>
      <paraID> DDFAC74</paraID>
      <start>0</start>
      <end>1</end>
      <status>unmodified</status>
      <modifiedWord/>
      <trackRevisions>false</trackRevisions>
    </reviewItem>
    <reviewItem>
      <errorID>aeb21728-64c2-43cf-a6e4-d5807885ca19</errorID>
      <errorWord>＜</errorWord>
      <group>L1_Format</group>
      <groupName>格式问题</groupName>
      <ability>L2_HalfPunc</ability>
      <abilityName>全半角检查</abilityName>
      <candidateList>
        <item>&lt;</item>
      </candidateList>
      <explain>文本全半角错误。</explain>
      <paraID> C110DD9</paraID>
      <start>0</start>
      <end>1</end>
      <status>unmodified</status>
      <modifiedWord/>
      <trackRevisions>false</trackRevisions>
    </reviewItem>
    <reviewItem>
      <errorID>7c95902a-752c-43f4-b384-58fdc045ad1d</errorID>
      <errorWord>＜</errorWord>
      <group>L1_Format</group>
      <groupName>格式问题</groupName>
      <ability>L2_HalfPunc</ability>
      <abilityName>全半角检查</abilityName>
      <candidateList>
        <item>&lt;</item>
      </candidateList>
      <explain>文本全半角错误。</explain>
      <paraID>6FEFA3FA</paraID>
      <start>0</start>
      <end>1</end>
      <status>unmodified</status>
      <modifiedWord/>
      <trackRevisions>false</trackRevisions>
    </reviewItem>
    <reviewItem>
      <errorID>98b40629-d26d-4ce6-a05b-a11ca3ef983c</errorID>
      <errorWord>～</errorWord>
      <group>L1_Format</group>
      <groupName>格式问题</groupName>
      <ability>L2_HalfPunc</ability>
      <abilityName>全半角检查</abilityName>
      <candidateList>
        <item>~</item>
      </candidateList>
      <explain>文本全半角错误。</explain>
      <paraID>13D91F42</paraID>
      <start>4</start>
      <end>5</end>
      <status>unmodified</status>
      <modifiedWord/>
      <trackRevisions>false</trackRevisions>
    </reviewItem>
    <reviewItem>
      <errorID>8e93e333-9827-4117-8f48-706f886804ef</errorID>
      <errorWord>～</errorWord>
      <group>L1_Format</group>
      <groupName>格式问题</groupName>
      <ability>L2_HalfPunc</ability>
      <abilityName>全半角检查</abilityName>
      <candidateList>
        <item>~</item>
      </candidateList>
      <explain>文本全半角错误。</explain>
      <paraID>2FF8323D</paraID>
      <start>4</start>
      <end>5</end>
      <status>unmodified</status>
      <modifiedWord/>
      <trackRevisions>false</trackRevisions>
    </reviewItem>
    <reviewItem>
      <errorID>f6bc6f75-b1b2-4e64-9d3b-b5740ba5af86</errorID>
      <errorWord>～</errorWord>
      <group>L1_Format</group>
      <groupName>格式问题</groupName>
      <ability>L2_HalfPunc</ability>
      <abilityName>全半角检查</abilityName>
      <candidateList>
        <item>~</item>
      </candidateList>
      <explain>文本全半角错误。</explain>
      <paraID>533A70E7</paraID>
      <start>4</start>
      <end>5</end>
      <status>unmodified</status>
      <modifiedWord/>
      <trackRevisions>false</trackRevisions>
    </reviewItem>
    <reviewItem>
      <errorID>89da0f79-03a3-41bb-8407-c901a9324137</errorID>
      <errorWord>～</errorWord>
      <group>L1_Format</group>
      <groupName>格式问题</groupName>
      <ability>L2_HalfPunc</ability>
      <abilityName>全半角检查</abilityName>
      <candidateList>
        <item>~</item>
      </candidateList>
      <explain>文本全半角错误。</explain>
      <paraID>30A37958</paraID>
      <start>4</start>
      <end>5</end>
      <status>unmodified</status>
      <modifiedWord/>
      <trackRevisions>false</trackRevisions>
    </reviewItem>
    <reviewItem>
      <errorID>43f560ad-090c-47a5-9ce6-143153f9b00b</errorID>
      <errorWord>＜</errorWord>
      <group>L1_Format</group>
      <groupName>格式问题</groupName>
      <ability>L2_HalfPunc</ability>
      <abilityName>全半角检查</abilityName>
      <candidateList>
        <item>&lt;</item>
      </candidateList>
      <explain>文本全半角错误。</explain>
      <paraID>4C2365DA</paraID>
      <start>0</start>
      <end>1</end>
      <status>unmodified</status>
      <modifiedWord/>
      <trackRevisions>false</trackRevisions>
    </reviewItem>
    <reviewItem>
      <errorID>81d3f9cc-7ea8-4bf2-b129-8f4c04d961b4</errorID>
      <errorWord>＜</errorWord>
      <group>L1_Format</group>
      <groupName>格式问题</groupName>
      <ability>L2_HalfPunc</ability>
      <abilityName>全半角检查</abilityName>
      <candidateList>
        <item>&lt;</item>
      </candidateList>
      <explain>文本全半角错误。</explain>
      <paraID>73041E2B</paraID>
      <start>0</start>
      <end>1</end>
      <status>unmodified</status>
      <modifiedWord/>
      <trackRevisions>false</trackRevisions>
    </reviewItem>
    <reviewItem>
      <errorID>c151c24c-84c6-4244-bec1-31ceb4adae10</errorID>
      <errorWord>＜</errorWord>
      <group>L1_Format</group>
      <groupName>格式问题</groupName>
      <ability>L2_HalfPunc</ability>
      <abilityName>全半角检查</abilityName>
      <candidateList>
        <item>&lt;</item>
      </candidateList>
      <explain>文本全半角错误。</explain>
      <paraID>6D49FFB2</paraID>
      <start>0</start>
      <end>1</end>
      <status>unmodified</status>
      <modifiedWord/>
      <trackRevisions>false</trackRevisions>
    </reviewItem>
    <reviewItem>
      <errorID>ff2e0058-ee2a-4098-a78f-42d4f87c8550</errorID>
      <errorWord>＜</errorWord>
      <group>L1_Format</group>
      <groupName>格式问题</groupName>
      <ability>L2_HalfPunc</ability>
      <abilityName>全半角检查</abilityName>
      <candidateList>
        <item>&lt;</item>
      </candidateList>
      <explain>文本全半角错误。</explain>
      <paraID>7261CC1A</paraID>
      <start>0</start>
      <end>1</end>
      <status>unmodified</status>
      <modifiedWord/>
      <trackRevisions>false</trackRevisions>
    </reviewItem>
    <reviewItem>
      <errorID>86b4871a-5d05-422b-be97-8206f3f22615</errorID>
      <errorWord>～</errorWord>
      <group>L1_Format</group>
      <groupName>格式问题</groupName>
      <ability>L2_HalfPunc</ability>
      <abilityName>全半角检查</abilityName>
      <candidateList>
        <item>~</item>
      </candidateList>
      <explain>文本全半角错误。</explain>
      <paraID>355F9E55</paraID>
      <start>4</start>
      <end>5</end>
      <status>unmodified</status>
      <modifiedWord/>
      <trackRevisions>false</trackRevisions>
    </reviewItem>
    <reviewItem>
      <errorID>52a6cc83-0f27-4312-b35c-0e9a4accc310</errorID>
      <errorWord>～</errorWord>
      <group>L1_Format</group>
      <groupName>格式问题</groupName>
      <ability>L2_HalfPunc</ability>
      <abilityName>全半角检查</abilityName>
      <candidateList>
        <item>~</item>
      </candidateList>
      <explain>文本全半角错误。</explain>
      <paraID> E8968C7</paraID>
      <start>4</start>
      <end>5</end>
      <status>unmodified</status>
      <modifiedWord/>
      <trackRevisions>false</trackRevisions>
    </reviewItem>
    <reviewItem>
      <errorID>2db84bcf-2eb0-4f2b-aa90-304168d233e6</errorID>
      <errorWord>～</errorWord>
      <group>L1_Format</group>
      <groupName>格式问题</groupName>
      <ability>L2_HalfPunc</ability>
      <abilityName>全半角检查</abilityName>
      <candidateList>
        <item>~</item>
      </candidateList>
      <explain>文本全半角错误。</explain>
      <paraID>6CCD1406</paraID>
      <start>4</start>
      <end>5</end>
      <status>unmodified</status>
      <modifiedWord/>
      <trackRevisions>false</trackRevisions>
    </reviewItem>
    <reviewItem>
      <errorID>7e47ddec-e3a0-4eb8-b1d6-ed3996246359</errorID>
      <errorWord>～</errorWord>
      <group>L1_Format</group>
      <groupName>格式问题</groupName>
      <ability>L2_HalfPunc</ability>
      <abilityName>全半角检查</abilityName>
      <candidateList>
        <item>~</item>
      </candidateList>
      <explain>文本全半角错误。</explain>
      <paraID>6A829D6F</paraID>
      <start>4</start>
      <end>5</end>
      <status>unmodified</status>
      <modifiedWord/>
      <trackRevisions>false</trackRevisions>
    </reviewItem>
    <reviewItem>
      <errorID>764440e6-0779-463b-8f73-8d2d53de6c63</errorID>
      <errorWord>＜</errorWord>
      <group>L1_Format</group>
      <groupName>格式问题</groupName>
      <ability>L2_HalfPunc</ability>
      <abilityName>全半角检查</abilityName>
      <candidateList>
        <item>&lt;</item>
      </candidateList>
      <explain>文本全半角错误。</explain>
      <paraID> 641328D</paraID>
      <start>0</start>
      <end>1</end>
      <status>unmodified</status>
      <modifiedWord/>
      <trackRevisions>false</trackRevisions>
    </reviewItem>
    <reviewItem>
      <errorID>dd87cae8-4cb1-4d50-8df5-70749292d833</errorID>
      <errorWord>＜</errorWord>
      <group>L1_Format</group>
      <groupName>格式问题</groupName>
      <ability>L2_HalfPunc</ability>
      <abilityName>全半角检查</abilityName>
      <candidateList>
        <item>&lt;</item>
      </candidateList>
      <explain>文本全半角错误。</explain>
      <paraID>1B48AFAB</paraID>
      <start>0</start>
      <end>1</end>
      <status>unmodified</status>
      <modifiedWord/>
      <trackRevisions>false</trackRevisions>
    </reviewItem>
    <reviewItem>
      <errorID>a7ed9438-f0b9-4230-9aba-8a3fa0a3e968</errorID>
      <errorWord>＜</errorWord>
      <group>L1_Format</group>
      <groupName>格式问题</groupName>
      <ability>L2_HalfPunc</ability>
      <abilityName>全半角检查</abilityName>
      <candidateList>
        <item>&lt;</item>
      </candidateList>
      <explain>文本全半角错误。</explain>
      <paraID>3A525DC5</paraID>
      <start>0</start>
      <end>1</end>
      <status>unmodified</status>
      <modifiedWord/>
      <trackRevisions>false</trackRevisions>
    </reviewItem>
    <reviewItem>
      <errorID>3ebbd6df-7361-402c-9667-b9c134ff2941</errorID>
      <errorWord>＜</errorWord>
      <group>L1_Format</group>
      <groupName>格式问题</groupName>
      <ability>L2_HalfPunc</ability>
      <abilityName>全半角检查</abilityName>
      <candidateList>
        <item>&lt;</item>
      </candidateList>
      <explain>文本全半角错误。</explain>
      <paraID>6A87D26A</paraID>
      <start>0</start>
      <end>1</end>
      <status>unmodified</status>
      <modifiedWord/>
      <trackRevisions>false</trackRevisions>
    </reviewItem>
    <reviewItem>
      <errorID>7c7c6819-f2a0-4e84-b7b2-42650378e6b2</errorID>
      <errorWord>＜</errorWord>
      <group>L1_Format</group>
      <groupName>格式问题</groupName>
      <ability>L2_HalfPunc</ability>
      <abilityName>全半角检查</abilityName>
      <candidateList>
        <item>&lt;</item>
      </candidateList>
      <explain>文本全半角错误。</explain>
      <paraID>332C33FC</paraID>
      <start>0</start>
      <end>1</end>
      <status>unmodified</status>
      <modifiedWord/>
      <trackRevisions>false</trackRevisions>
    </reviewItem>
    <reviewItem>
      <errorID>13f39f5a-7669-47b8-99d4-8b6ac63aa7ab</errorID>
      <errorWord>＜</errorWord>
      <group>L1_Format</group>
      <groupName>格式问题</groupName>
      <ability>L2_HalfPunc</ability>
      <abilityName>全半角检查</abilityName>
      <candidateList>
        <item>&lt;</item>
      </candidateList>
      <explain>文本全半角错误。</explain>
      <paraID>69089649</paraID>
      <start>0</start>
      <end>1</end>
      <status>unmodified</status>
      <modifiedWord/>
      <trackRevisions>false</trackRevisions>
    </reviewItem>
    <reviewItem>
      <errorID>b5fd3620-f127-4f47-adfc-d9a6baf0e73f</errorID>
      <errorWord>＜</errorWord>
      <group>L1_Format</group>
      <groupName>格式问题</groupName>
      <ability>L2_HalfPunc</ability>
      <abilityName>全半角检查</abilityName>
      <candidateList>
        <item>&lt;</item>
      </candidateList>
      <explain>文本全半角错误。</explain>
      <paraID>774AD1C9</paraID>
      <start>0</start>
      <end>1</end>
      <status>unmodified</status>
      <modifiedWord/>
      <trackRevisions>false</trackRevisions>
    </reviewItem>
    <reviewItem>
      <errorID>edc8612b-6f0e-46e3-af52-2c7f46c70924</errorID>
      <errorWord>＜</errorWord>
      <group>L1_Format</group>
      <groupName>格式问题</groupName>
      <ability>L2_HalfPunc</ability>
      <abilityName>全半角检查</abilityName>
      <candidateList>
        <item>&lt;</item>
      </candidateList>
      <explain>文本全半角错误。</explain>
      <paraID>1596D55F</paraID>
      <start>0</start>
      <end>1</end>
      <status>unmodified</status>
      <modifiedWord/>
      <trackRevisions>false</trackRevisions>
    </reviewItem>
    <reviewItem>
      <errorID>4fd31bd1-8b78-4d32-b07b-5268ae503de8</errorID>
      <errorWord>＜</errorWord>
      <group>L1_Format</group>
      <groupName>格式问题</groupName>
      <ability>L2_HalfPunc</ability>
      <abilityName>全半角检查</abilityName>
      <candidateList>
        <item>&lt;</item>
      </candidateList>
      <explain>文本全半角错误。</explain>
      <paraID>4A277EE7</paraID>
      <start>0</start>
      <end>1</end>
      <status>unmodified</status>
      <modifiedWord/>
      <trackRevisions>false</trackRevisions>
    </reviewItem>
    <reviewItem>
      <errorID>28e8d7fa-d31c-4d97-8618-d1dac805bf84</errorID>
      <errorWord>＜</errorWord>
      <group>L1_Format</group>
      <groupName>格式问题</groupName>
      <ability>L2_HalfPunc</ability>
      <abilityName>全半角检查</abilityName>
      <candidateList>
        <item>&lt;</item>
      </candidateList>
      <explain>文本全半角错误。</explain>
      <paraID>199E2BF0</paraID>
      <start>0</start>
      <end>1</end>
      <status>unmodified</status>
      <modifiedWord/>
      <trackRevisions>false</trackRevisions>
    </reviewItem>
    <reviewItem>
      <errorID>c6e52b71-a7fb-4209-90e6-52949487f064</errorID>
      <errorWord>＜</errorWord>
      <group>L1_Format</group>
      <groupName>格式问题</groupName>
      <ability>L2_HalfPunc</ability>
      <abilityName>全半角检查</abilityName>
      <candidateList>
        <item>&lt;</item>
      </candidateList>
      <explain>文本全半角错误。</explain>
      <paraID>7159DAAE</paraID>
      <start>0</start>
      <end>1</end>
      <status>unmodified</status>
      <modifiedWord/>
      <trackRevisions>false</trackRevisions>
    </reviewItem>
    <reviewItem>
      <errorID>c165237d-6c43-4e77-8044-adb53dcb0b52</errorID>
      <errorWord>＜</errorWord>
      <group>L1_Format</group>
      <groupName>格式问题</groupName>
      <ability>L2_HalfPunc</ability>
      <abilityName>全半角检查</abilityName>
      <candidateList>
        <item>&lt;</item>
      </candidateList>
      <explain>文本全半角错误。</explain>
      <paraID>6F34A674</paraID>
      <start>0</start>
      <end>1</end>
      <status>unmodified</status>
      <modifiedWord/>
      <trackRevisions>false</trackRevisions>
    </reviewItem>
    <reviewItem>
      <errorID>efb67730-29d5-4b0e-95bb-13efbedba213</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6D3A42E5</paraID>
      <start>15</start>
      <end>16</end>
      <status>unmodified</status>
      <modifiedWord/>
      <trackRevisions>false</trackRevisions>
    </reviewItem>
    <reviewItem>
      <errorID>c125e34b-41a5-4820-a053-9c9b295c15cb</errorID>
      <errorWord>要求后</errorWord>
      <group>L1_Word</group>
      <groupName>字词问题</groupName>
      <ability>L2_Typo</ability>
      <abilityName>字词错误</abilityName>
      <candidateList>
        <item>要求</item>
      </candidateList>
      <explain>❶〈动〉提出具体愿望或条件，希望得到满足或实现：～转学｜～进步｜严格～自己。❷〈名〉所提出的具体愿望或条件：满足了他的～｜符合规定的～。</explain>
      <paraID> F08C335</paraID>
      <start>189</start>
      <end>192</end>
      <status>unmodified</status>
      <modifiedWord/>
      <trackRevisions>false</trackRevisions>
    </reviewItem>
    <reviewItem>
      <errorID>df2666b5-6d19-4f94-a83a-8169f2c8864c</errorID>
      <errorWord>～</errorWord>
      <group>L1_Format</group>
      <groupName>格式问题</groupName>
      <ability>L2_HalfPunc</ability>
      <abilityName>全半角检查</abilityName>
      <candidateList>
        <item>~</item>
      </candidateList>
      <explain>文本全半角错误。</explain>
      <paraID>53C3A0C0</paraID>
      <start>8</start>
      <end>9</end>
      <status>unmodified</status>
      <modifiedWord/>
      <trackRevisions>false</trackRevisions>
    </reviewItem>
    <reviewItem>
      <errorID>549021f3-f000-4727-b240-8884b9a6f465</errorID>
      <errorWord>～</errorWord>
      <group>L1_Format</group>
      <groupName>格式问题</groupName>
      <ability>L2_HalfPunc</ability>
      <abilityName>全半角检查</abilityName>
      <candidateList>
        <item>~</item>
      </candidateList>
      <explain>文本全半角错误。</explain>
      <paraID>37C2FEF8</paraID>
      <start>1</start>
      <end>2</end>
      <status>unmodified</status>
      <modifiedWord/>
      <trackRevisions>false</trackRevisions>
    </reviewItem>
    <reviewItem>
      <errorID>d2ab3dcb-f4fe-4318-8b41-5376302f6cae</errorID>
      <errorWord>～</errorWord>
      <group>L1_Format</group>
      <groupName>格式问题</groupName>
      <ability>L2_HalfPunc</ability>
      <abilityName>全半角检查</abilityName>
      <candidateList>
        <item>~</item>
      </candidateList>
      <explain>文本全半角错误。</explain>
      <paraID>5CA92E68</paraID>
      <start>4</start>
      <end>5</end>
      <status>unmodified</status>
      <modifiedWord/>
      <trackRevisions>false</trackRevisions>
    </reviewItem>
    <reviewItem>
      <errorID>df32f3e5-af99-4600-bfc5-6d59418448b5</errorID>
      <errorWord>＜</errorWord>
      <group>L1_Format</group>
      <groupName>格式问题</groupName>
      <ability>L2_HalfPunc</ability>
      <abilityName>全半角检查</abilityName>
      <candidateList>
        <item>&lt;</item>
      </candidateList>
      <explain>文本全半角错误。</explain>
      <paraID>61662325</paraID>
      <start>0</start>
      <end>1</end>
      <status>unmodified</status>
      <modifiedWord/>
      <trackRevisions>false</trackRevisions>
    </reviewItem>
    <reviewItem>
      <errorID>6d1f3783-2fdc-4a0f-8cf3-3691acdd7bc3</errorID>
      <errorWord>～</errorWord>
      <group>L1_Format</group>
      <groupName>格式问题</groupName>
      <ability>L2_HalfPunc</ability>
      <abilityName>全半角检查</abilityName>
      <candidateList>
        <item>~</item>
      </candidateList>
      <explain>文本全半角错误。</explain>
      <paraID>13C6D904</paraID>
      <start>8</start>
      <end>9</end>
      <status>unmodified</status>
      <modifiedWord/>
      <trackRevisions>false</trackRevisions>
    </reviewItem>
    <reviewItem>
      <errorID>bd71f563-287e-430a-b6d6-d2e7f719f885</errorID>
      <errorWord>～</errorWord>
      <group>L1_Format</group>
      <groupName>格式问题</groupName>
      <ability>L2_HalfPunc</ability>
      <abilityName>全半角检查</abilityName>
      <candidateList>
        <item>~</item>
      </candidateList>
      <explain>文本全半角错误。</explain>
      <paraID>2870ED4B</paraID>
      <start>4</start>
      <end>5</end>
      <status>unmodified</status>
      <modifiedWord/>
      <trackRevisions>false</trackRevisions>
    </reviewItem>
    <reviewItem>
      <errorID>37ccc2ca-ac62-4978-a052-d8e6a89edd49</errorID>
      <errorWord>＜</errorWord>
      <group>L1_Format</group>
      <groupName>格式问题</groupName>
      <ability>L2_HalfPunc</ability>
      <abilityName>全半角检查</abilityName>
      <candidateList>
        <item>&lt;</item>
      </candidateList>
      <explain>文本全半角错误。</explain>
      <paraID> F4C1FAE</paraID>
      <start>0</start>
      <end>1</end>
      <status>unmodified</status>
      <modifiedWord/>
      <trackRevisions>false</trackRevisions>
    </reviewItem>
    <reviewItem>
      <errorID>528451a9-bf07-47b6-a1f6-824fb3cc0749</errorID>
      <errorWord>～</errorWord>
      <group>L1_Format</group>
      <groupName>格式问题</groupName>
      <ability>L2_HalfPunc</ability>
      <abilityName>全半角检查</abilityName>
      <candidateList>
        <item>~</item>
      </candidateList>
      <explain>文本全半角错误。</explain>
      <paraID>2C3A38A5</paraID>
      <start>1</start>
      <end>2</end>
      <status>unmodified</status>
      <modifiedWord/>
      <trackRevisions>false</trackRevisions>
    </reviewItem>
    <reviewItem>
      <errorID>e1c96bf2-d134-401c-983d-8c48b6464bac</errorID>
      <errorWord>～</errorWord>
      <group>L1_Format</group>
      <groupName>格式问题</groupName>
      <ability>L2_HalfPunc</ability>
      <abilityName>全半角检查</abilityName>
      <candidateList>
        <item>~</item>
      </candidateList>
      <explain>文本全半角错误。</explain>
      <paraID>60B9FCFE</paraID>
      <start>2</start>
      <end>3</end>
      <status>unmodified</status>
      <modifiedWord/>
      <trackRevisions>false</trackRevisions>
    </reviewItem>
    <reviewItem>
      <errorID>a9c39195-bc63-46eb-823f-8655381c523b</errorID>
      <errorWord>～</errorWord>
      <group>L1_Format</group>
      <groupName>格式问题</groupName>
      <ability>L2_HalfPunc</ability>
      <abilityName>全半角检查</abilityName>
      <candidateList>
        <item>~</item>
      </candidateList>
      <explain>文本全半角错误。</explain>
      <paraID>612CBDDB</paraID>
      <start>2</start>
      <end>3</end>
      <status>unmodified</status>
      <modifiedWord/>
      <trackRevisions>false</trackRevisions>
    </reviewItem>
    <reviewItem>
      <errorID>fc4af7db-0d2a-4d13-b4b0-17af01e153c1</errorID>
      <errorWord>～</errorWord>
      <group>L1_Format</group>
      <groupName>格式问题</groupName>
      <ability>L2_HalfPunc</ability>
      <abilityName>全半角检查</abilityName>
      <candidateList>
        <item>~</item>
      </candidateList>
      <explain>文本全半角错误。</explain>
      <paraID>4FE40C9B</paraID>
      <start>2</start>
      <end>3</end>
      <status>unmodified</status>
      <modifiedWord/>
      <trackRevisions>false</trackRevisions>
    </reviewItem>
    <reviewItem>
      <errorID>65f83ce2-1c6b-4cfa-a97b-ecd4ab6ad395</errorID>
      <errorWord>～</errorWord>
      <group>L1_Format</group>
      <groupName>格式问题</groupName>
      <ability>L2_HalfPunc</ability>
      <abilityName>全半角检查</abilityName>
      <candidateList>
        <item>~</item>
      </candidateList>
      <explain>文本全半角错误。</explain>
      <paraID>579FDB97</paraID>
      <start>2</start>
      <end>3</end>
      <status>unmodified</status>
      <modifiedWord/>
      <trackRevisions>false</trackRevisions>
    </reviewItem>
    <reviewItem>
      <errorID>feb2a24b-6aef-49cf-b08c-c26b4fbeb3cb</errorID>
      <errorWord>～</errorWord>
      <group>L1_Format</group>
      <groupName>格式问题</groupName>
      <ability>L2_HalfPunc</ability>
      <abilityName>全半角检查</abilityName>
      <candidateList>
        <item>~</item>
      </candidateList>
      <explain>文本全半角错误。</explain>
      <paraID> 7682916</paraID>
      <start>2</start>
      <end>3</end>
      <status>unmodified</status>
      <modifiedWord/>
      <trackRevisions>false</trackRevisions>
    </reviewItem>
    <reviewItem>
      <errorID>00f33b1f-e16e-41d4-8c51-a3e71bef5bec</errorID>
      <errorWord>～</errorWord>
      <group>L1_Format</group>
      <groupName>格式问题</groupName>
      <ability>L2_HalfPunc</ability>
      <abilityName>全半角检查</abilityName>
      <candidateList>
        <item>~</item>
      </candidateList>
      <explain>文本全半角错误。</explain>
      <paraID>5AC6712D</paraID>
      <start>3</start>
      <end>4</end>
      <status>unmodified</status>
      <modifiedWord/>
      <trackRevisions>false</trackRevisions>
    </reviewItem>
    <reviewItem>
      <errorID>59809047-5e43-4a86-871e-e19af3c7aa8b</errorID>
      <errorWord>2023年05月13日</errorWord>
      <group>L1_Knowledge</group>
      <groupName>知识性问题</groupName>
      <ability>L2_Time</ability>
      <abilityName>日期时间</abilityName>
      <candidateList>
        <item>2023年5月13日</item>
      </candidateList>
      <explain>根据日常书写习惯，月份一般会省略前导零。</explain>
      <paraID> EC61658</paraID>
      <start>164</start>
      <end>175</end>
      <status>unmodified</status>
      <modifiedWord/>
      <trackRevisions>false</trackRevisions>
    </reviewItem>
    <reviewItem>
      <errorID>c521b572-8bc5-451b-bed8-464dfa43d080</errorID>
      <errorWord>2024年06月13日</errorWord>
      <group>L1_Knowledge</group>
      <groupName>知识性问题</groupName>
      <ability>L2_Time</ability>
      <abilityName>日期时间</abilityName>
      <candidateList>
        <item>2024年6月13日</item>
      </candidateList>
      <explain>根据日常书写习惯，月份一般会省略前导零。</explain>
      <paraID> EC61658</paraID>
      <start>176</start>
      <end>187</end>
      <status>unmodified</status>
      <modifiedWord/>
      <trackRevisions>false</trackRevisions>
    </reviewItem>
    <reviewItem>
      <errorID>a80c5850-78e0-4077-b320-d447e535ca99</errorID>
      <errorWord>见</errorWord>
      <group>L1_Word</group>
      <groupName>字词问题</groupName>
      <ability>L2_Typo</ability>
      <abilityName>字词错误</abilityName>
      <candidateList>
        <item>见下</item>
      </candidateList>
      <explain/>
      <paraID>5819DC6E</paraID>
      <start>15</start>
      <end>16</end>
      <status>unmodified</status>
      <modifiedWord/>
      <trackRevisions>false</trackRevisions>
    </reviewItem>
    <reviewItem>
      <errorID>1cce910d-eb16-4e10-8660-b3505d841497</errorID>
      <errorWord>（</errorWord>
      <group>L1_Punc</group>
      <groupName>标点问题</groupName>
      <ability>L2_Punc</ability>
      <abilityName>标点符号检查</abilityName>
      <candidateList/>
      <explain>同一形式括号套用。</explain>
      <paraID> ED12CC5</paraID>
      <start>22</start>
      <end>23</end>
      <status>unmodified</status>
      <modifiedWord/>
      <trackRevisions>false</trackRevisions>
    </reviewItem>
    <reviewItem>
      <errorID>3c4664e1-4b24-432b-8b52-1b21dcab891a</errorID>
      <errorWord>）</errorWord>
      <group>L1_Punc</group>
      <groupName>标点问题</groupName>
      <ability>L2_Punc</ability>
      <abilityName>标点符号检查</abilityName>
      <candidateList/>
      <explain>同一形式括号套用。</explain>
      <paraID> ED12CC5</paraID>
      <start>31</start>
      <end>32</end>
      <status>unmodified</status>
      <modifiedWord/>
      <trackRevisions>false</trackRevisions>
    </reviewItem>
    <reviewItem>
      <errorID>98cbe76d-0c73-4384-839b-70c4d6cbcd86</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650B898A</paraID>
      <start>103</start>
      <end>104</end>
      <status>unmodified</status>
      <modifiedWord/>
      <trackRevisions>false</trackRevisions>
    </reviewItem>
    <reviewItem>
      <errorID>40024de2-9117-4105-8612-ccd5b2cbe03a</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650B898A</paraID>
      <start>168</start>
      <end>169</end>
      <status>unmodified</status>
      <modifiedWord/>
      <trackRevisions>false</trackRevisions>
    </reviewItem>
    <reviewItem>
      <errorID>f51d6d55-0041-472a-86db-0f6c2eaff40e</errorID>
      <errorWord>喉</errorWord>
      <group>L1_Word</group>
      <groupName>字词问题</groupName>
      <ability>L2_Typo</ability>
      <abilityName>字词错误</abilityName>
      <candidateList>
        <item>孔</item>
      </candidateList>
      <explain/>
      <paraID>53859477</paraID>
      <start>115</start>
      <end>116</end>
      <status>unmodified</status>
      <modifiedWord/>
      <trackRevisions>false</trackRevisions>
    </reviewItem>
    <reviewItem>
      <errorID>9d57b523-aecb-4b87-801a-52dcd69623ed</errorID>
      <errorWord>重碳酸钠</errorWord>
      <group>L1_Knowledge</group>
      <groupName>知识性问题</groupName>
      <ability>L2_Term</ability>
      <abilityName>专业术语</abilityName>
      <candidateList>
        <item>碳酸氢钠</item>
      </candidateList>
      <explain>医学名词[重碳酸钠]为不规范表述或旧称，其规范书面表述为[碳酸氢钠]。</explain>
      <paraID>15DD5D48</paraID>
      <start>91</start>
      <end>95</end>
      <status>unmodified</status>
      <modifiedWord/>
      <trackRevisions>false</trackRevisions>
    </reviewItem>
    <reviewItem>
      <errorID>6f8010c6-a959-4618-a304-ba3bd60c03f9</errorID>
      <errorWord>(</errorWord>
      <group>L1_Format</group>
      <groupName>格式问题</groupName>
      <ability>L2_HalfPunc</ability>
      <abilityName>全半角检查</abilityName>
      <candidateList>
        <item>（</item>
      </candidateList>
      <explain>文本全半角错误。</explain>
      <paraID>65DE17A5</paraID>
      <start>5</start>
      <end>6</end>
      <status>unmodified</status>
      <modifiedWord/>
      <trackRevisions>false</trackRevisions>
    </reviewItem>
    <reviewItem>
      <errorID>a4782190-a921-4377-ba54-35ebb604efb4</errorID>
      <errorWord>)</errorWord>
      <group>L1_Format</group>
      <groupName>格式问题</groupName>
      <ability>L2_HalfPunc</ability>
      <abilityName>全半角检查</abilityName>
      <candidateList>
        <item>）</item>
      </candidateList>
      <explain>文本全半角错误。</explain>
      <paraID>65DE17A5</paraID>
      <start>11</start>
      <end>12</end>
      <status>unmodified</status>
      <modifiedWord/>
      <trackRevisions>false</trackRevisions>
    </reviewItem>
    <reviewItem>
      <errorID>1644592a-090d-4c1f-a77c-0a9ce8cb7d5b</errorID>
      <errorWord>(</errorWord>
      <group>L1_Format</group>
      <groupName>格式问题</groupName>
      <ability>L2_HalfPunc</ability>
      <abilityName>全半角检查</abilityName>
      <candidateList>
        <item>（</item>
      </candidateList>
      <explain>文本全半角错误。</explain>
      <paraID>143DF0CE</paraID>
      <start>5</start>
      <end>6</end>
      <status>unmodified</status>
      <modifiedWord/>
      <trackRevisions>false</trackRevisions>
    </reviewItem>
    <reviewItem>
      <errorID>69843b69-9909-4530-a0eb-e7bf420e8732</errorID>
      <errorWord>)</errorWord>
      <group>L1_Format</group>
      <groupName>格式问题</groupName>
      <ability>L2_HalfPunc</ability>
      <abilityName>全半角检查</abilityName>
      <candidateList>
        <item>）</item>
      </candidateList>
      <explain>文本全半角错误。</explain>
      <paraID>143DF0CE</paraID>
      <start>11</start>
      <end>12</end>
      <status>unmodified</status>
      <modifiedWord/>
      <trackRevisions>false</trackRevisions>
    </reviewItem>
    <reviewItem>
      <errorID>6b8f54c8-2601-4c24-b758-f8c504cadaa9</errorID>
      <errorWord>(</errorWord>
      <group>L1_Format</group>
      <groupName>格式问题</groupName>
      <ability>L2_HalfPunc</ability>
      <abilityName>全半角检查</abilityName>
      <candidateList>
        <item>（</item>
      </candidateList>
      <explain>文本全半角错误。</explain>
      <paraID>4CC5F2A2</paraID>
      <start>3</start>
      <end>4</end>
      <status>unmodified</status>
      <modifiedWord/>
      <trackRevisions>false</trackRevisions>
    </reviewItem>
    <reviewItem>
      <errorID>fa329bc7-257d-46d0-abee-218d942b604a</errorID>
      <errorWord>)</errorWord>
      <group>L1_Format</group>
      <groupName>格式问题</groupName>
      <ability>L2_HalfPunc</ability>
      <abilityName>全半角检查</abilityName>
      <candidateList>
        <item>）</item>
      </candidateList>
      <explain>文本全半角错误。</explain>
      <paraID>4CC5F2A2</paraID>
      <start>5</start>
      <end>6</end>
      <status>unmodified</status>
      <modifiedWord/>
      <trackRevisions>false</trackRevisions>
    </reviewItem>
    <reviewItem>
      <errorID>639948ca-4fce-4d82-96a1-75726b0b1f29</errorID>
      <errorWord>(</errorWord>
      <group>L1_Format</group>
      <groupName>格式问题</groupName>
      <ability>L2_HalfPunc</ability>
      <abilityName>全半角检查</abilityName>
      <candidateList>
        <item>（</item>
      </candidateList>
      <explain>文本全半角错误。</explain>
      <paraID>60FA1DF2</paraID>
      <start>3</start>
      <end>4</end>
      <status>unmodified</status>
      <modifiedWord/>
      <trackRevisions>false</trackRevisions>
    </reviewItem>
    <reviewItem>
      <errorID>9f8c13b9-2a6e-412c-848e-bdd34341c24f</errorID>
      <errorWord>)</errorWord>
      <group>L1_Format</group>
      <groupName>格式问题</groupName>
      <ability>L2_HalfPunc</ability>
      <abilityName>全半角检查</abilityName>
      <candidateList>
        <item>）</item>
      </candidateList>
      <explain>文本全半角错误。</explain>
      <paraID>60FA1DF2</paraID>
      <start>5</start>
      <end>6</end>
      <status>unmodified</status>
      <modifiedWord/>
      <trackRevisions>false</trackRevisions>
    </reviewItem>
    <reviewItem>
      <errorID>be6dba40-93de-4617-aa0a-a746e11ce1e6</errorID>
      <errorWord>组份</errorWord>
      <group>L1_Word</group>
      <groupName>字词问题</groupName>
      <ability>L2_Typo</ability>
      <abilityName>字词错误</abilityName>
      <candidateList>
        <item>组分</item>
      </candidateList>
      <explain/>
      <paraID>4D964A08</paraID>
      <start>2</start>
      <end>4</end>
      <status>unmodified</status>
      <modifiedWord/>
      <trackRevisions>false</trackRevisions>
    </reviewItem>
    <reviewItem>
      <errorID>1d1d03d4-c886-4cad-ad2b-ea07b01a4687</errorID>
      <errorWord>出水性质</errorWord>
      <group>L1_Knowledge</group>
      <groupName>知识性问题</groupName>
      <ability>L2_Term</ability>
      <abilityName>专业术语</abilityName>
      <candidateList>
        <item>出水水质</item>
      </candidateList>
      <explain/>
      <paraID>3BD60964</paraID>
      <start>9</start>
      <end>13</end>
      <status>unmodified</status>
      <modifiedWord/>
      <trackRevisions>false</trackRevisions>
    </reviewItem>
    <reviewItem>
      <errorID>223f96cb-e3f0-4e41-affb-571ea0b2f9fa</errorID>
      <errorWord>重碳酸钠</errorWord>
      <group>L1_Knowledge</group>
      <groupName>知识性问题</groupName>
      <ability>L2_Term</ability>
      <abilityName>专业术语</abilityName>
      <candidateList>
        <item>碳酸氢钠</item>
      </candidateList>
      <explain>医学名词[重碳酸钠]为不规范表述或旧称，其规范书面表述为[碳酸氢钠]。</explain>
      <paraID>6F5558BC</paraID>
      <start>0</start>
      <end>4</end>
      <status>unmodified</status>
      <modifiedWord/>
      <trackRevisions>false</trackRevisions>
    </reviewItem>
    <reviewItem>
      <errorID>619145e3-3ef5-4e16-930f-c40184a4c4e8</errorID>
      <errorWord>粘度</errorWord>
      <group>L1_Word</group>
      <groupName>字词问题</groupName>
      <ability>L2_Alias</ability>
      <abilityName>也作/曾用词</abilityName>
      <candidateList>
        <item>黏度</item>
      </candidateList>
      <explain>词汇[粘度]为不规范表述或旧称，其规范书面表述为[黏度]。</explain>
      <paraID>7B3F5695</paraID>
      <start>0</start>
      <end>2</end>
      <status>unmodified</status>
      <modifiedWord/>
      <trackRevisions>false</trackRevisions>
    </reviewItem>
    <reviewItem>
      <errorID>c29dfedf-f40b-438a-ab0d-242abdeeb18d</errorID>
      <errorWord>(</errorWord>
      <group>L1_Format</group>
      <groupName>格式问题</groupName>
      <ability>L2_HalfPunc</ability>
      <abilityName>全半角检查</abilityName>
      <candidateList>
        <item>（</item>
      </candidateList>
      <explain>文本全半角错误。</explain>
      <paraID>47696CDB</paraID>
      <start>57</start>
      <end>58</end>
      <status>unmodified</status>
      <modifiedWord/>
      <trackRevisions>false</trackRevisions>
    </reviewItem>
    <reviewItem>
      <errorID>cc0b3f8f-e051-49d2-8fdd-389d520e24e7</errorID>
      <errorWord>)</errorWord>
      <group>L1_Format</group>
      <groupName>格式问题</groupName>
      <ability>L2_HalfPunc</ability>
      <abilityName>全半角检查</abilityName>
      <candidateList>
        <item>）</item>
      </candidateList>
      <explain>文本全半角错误。</explain>
      <paraID>47696CDB</paraID>
      <start>63</start>
      <end>64</end>
      <status>unmodified</status>
      <modifiedWord/>
      <trackRevisions>false</trackRevisions>
    </reviewItem>
    <reviewItem>
      <errorID>62fca794-4e77-4fff-b5f3-e8f1cef47bd9</errorID>
      <errorWord>）</errorWord>
      <group>L1_Format</group>
      <groupName>格式问题</groupName>
      <ability>L2_HalfPunc</ability>
      <abilityName>全半角检查</abilityName>
      <candidateList>
        <item>)</item>
      </candidateList>
      <explain>文本全半角错误。</explain>
      <paraID> 2A05F56</paraID>
      <start>1</start>
      <end>2</end>
      <status>unmodified</status>
      <modifiedWord/>
      <trackRevisions>false</trackRevisions>
    </reviewItem>
    <reviewItem>
      <errorID>2729cf65-d515-4176-a427-b1bf1d232300</errorID>
      <errorWord>）</errorWord>
      <group>L1_Format</group>
      <groupName>格式问题</groupName>
      <ability>L2_HalfPunc</ability>
      <abilityName>全半角检查</abilityName>
      <candidateList>
        <item>)</item>
      </candidateList>
      <explain>文本全半角错误。</explain>
      <paraID>674DFDF6</paraID>
      <start>1</start>
      <end>2</end>
      <status>unmodified</status>
      <modifiedWord/>
      <trackRevisions>false</trackRevisions>
    </reviewItem>
    <reviewItem>
      <errorID>76664b09-a492-4262-be92-30c6e6e63763</errorID>
      <errorWord>连锁</errorWord>
      <group>L1_Word</group>
      <groupName>字词问题</groupName>
      <ability>L2_Typo</ability>
      <abilityName>字词错误</abilityName>
      <candidateList>
        <item>联锁</item>
      </candidateList>
      <explain>存在发音相同字词的误用。</explain>
      <paraID>16CDE2E0</paraID>
      <start>30</start>
      <end>32</end>
      <status>unmodified</status>
      <modifiedWord/>
      <trackRevisions>false</trackRevisions>
    </reviewItem>
    <reviewItem>
      <errorID>ba54e24a-f980-431c-941a-ab7bcb310d78</errorID>
      <errorWord>）</errorWord>
      <group>L1_Format</group>
      <groupName>格式问题</groupName>
      <ability>L2_HalfPunc</ability>
      <abilityName>全半角检查</abilityName>
      <candidateList>
        <item>)</item>
      </candidateList>
      <explain>文本全半角错误。</explain>
      <paraID>5ED6BFE4</paraID>
      <start>1</start>
      <end>2</end>
      <status>unmodified</status>
      <modifiedWord/>
      <trackRevisions>false</trackRevisions>
    </reviewItem>
    <reviewItem>
      <errorID>76a503ab-266d-46af-955d-1ec0e8a9555a</errorID>
      <errorWord>）</errorWord>
      <group>L1_Format</group>
      <groupName>格式问题</groupName>
      <ability>L2_HalfPunc</ability>
      <abilityName>全半角检查</abilityName>
      <candidateList>
        <item>)</item>
      </candidateList>
      <explain>文本全半角错误。</explain>
      <paraID>483B7151</paraID>
      <start>1</start>
      <end>2</end>
      <status>unmodified</status>
      <modifiedWord/>
      <trackRevisions>false</trackRevisions>
    </reviewItem>
    <reviewItem>
      <errorID>a3f79d0a-37e9-412b-b43d-9ca1c2bb166e</errorID>
      <errorWord>维修</errorWord>
      <group>L1_Word</group>
      <groupName>字词问题</groupName>
      <ability>L2_Typo</ability>
      <abilityName>字词错误</abilityName>
      <candidateList>
        <item>修</item>
      </candidateList>
      <explain/>
      <paraID> 84AB1CA</paraID>
      <start>33</start>
      <end>35</end>
      <status>unmodified</status>
      <modifiedWord/>
      <trackRevisions>false</trackRevisions>
    </reviewItem>
    <reviewItem>
      <errorID>4a9ad319-2c00-4c7d-9682-b4d578ca31da</errorID>
      <errorWord>）</errorWord>
      <group>L1_Format</group>
      <groupName>格式问题</groupName>
      <ability>L2_HalfPunc</ability>
      <abilityName>全半角检查</abilityName>
      <candidateList>
        <item>)</item>
      </candidateList>
      <explain>文本全半角错误。</explain>
      <paraID>1178B443</paraID>
      <start>1</start>
      <end>2</end>
      <status>unmodified</status>
      <modifiedWord/>
      <trackRevisions>false</trackRevisions>
    </reviewItem>
    <reviewItem>
      <errorID>fbf040fc-9312-410f-a86b-0e45b2d0190c</errorID>
      <errorWord>(</errorWord>
      <group>L1_Format</group>
      <groupName>格式问题</groupName>
      <ability>L2_HalfPunc</ability>
      <abilityName>全半角检查</abilityName>
      <candidateList>
        <item>（</item>
      </candidateList>
      <explain>文本全半角错误。</explain>
      <paraID>31A4E753</paraID>
      <start>57</start>
      <end>58</end>
      <status>unmodified</status>
      <modifiedWord/>
      <trackRevisions>false</trackRevisions>
    </reviewItem>
    <reviewItem>
      <errorID>75127c73-99b9-4601-915c-15d0fb56bced</errorID>
      <errorWord>)</errorWord>
      <group>L1_Format</group>
      <groupName>格式问题</groupName>
      <ability>L2_HalfPunc</ability>
      <abilityName>全半角检查</abilityName>
      <candidateList>
        <item>）</item>
      </candidateList>
      <explain>文本全半角错误。</explain>
      <paraID>31A4E753</paraID>
      <start>63</start>
      <end>64</end>
      <status>unmodified</status>
      <modifiedWord/>
      <trackRevisions>false</trackRevisions>
    </reviewItem>
    <reviewItem>
      <errorID>d2957612-1b6c-4479-b55b-e8eaafb91941</errorID>
      <errorWord>档距</errorWord>
      <group>L1_Word</group>
      <groupName>字词问题</groupName>
      <ability>L2_Typo</ability>
      <abilityName>字词错误</abilityName>
      <candidateList>
        <item>挡距</item>
      </candidateList>
      <explain/>
      <paraID>4ED55C00</paraID>
      <start>96</start>
      <end>98</end>
      <status>unmodified</status>
      <modifiedWord/>
      <trackRevisions>false</trackRevisions>
    </reviewItem>
    <reviewItem>
      <errorID>b3d0fa70-cb06-426d-b567-ff07e2090e63</errorID>
      <errorWord>-</errorWord>
      <group>L1_Format</group>
      <groupName>格式问题</groupName>
      <ability>L2_HalfPunc</ability>
      <abilityName>全半角检查</abilityName>
      <candidateList>
        <item>－</item>
      </candidateList>
      <explain>文本全半角错误。</explain>
      <paraID>1D0B6DC0</paraID>
      <start>217</start>
      <end>218</end>
      <status>unmodified</status>
      <modifiedWord/>
      <trackRevisions>false</trackRevisions>
    </reviewItem>
    <reviewItem>
      <errorID>b4ff1187-b02a-4477-94f1-8c6fd7c941c8</errorID>
      <errorWord>道</errorWord>
      <group>L1_Knowledge</group>
      <groupName>知识性问题</groupName>
      <ability>L2_Knowledge</ability>
      <abilityName>其他知识</abilityName>
      <candidateList>
        <item>层</item>
      </candidateList>
      <explain>请检查“道”是否为量词使用错误，建议修改为“层”。</explain>
      <paraID>1D0B6DC0</paraID>
      <start>315</start>
      <end>316</end>
      <status>unmodified</status>
      <modifiedWord/>
      <trackRevisions>false</trackRevisions>
    </reviewItem>
    <reviewItem>
      <errorID>fc1266af-436c-49c5-b09c-0e4d1114eff3</errorID>
      <errorWord>-</errorWord>
      <group>L1_Format</group>
      <groupName>格式问题</groupName>
      <ability>L2_HalfPunc</ability>
      <abilityName>全半角检查</abilityName>
      <candidateList>
        <item>－</item>
      </candidateList>
      <explain>文本全半角错误。</explain>
      <paraID>5A7E2F39</paraID>
      <start>127</start>
      <end>128</end>
      <status>unmodified</status>
      <modifiedWord/>
      <trackRevisions>false</trackRevisions>
    </reviewItem>
    <reviewItem>
      <errorID>091f5e5e-896d-496d-8638-efc62b22ea1c</errorID>
      <errorWord>补口</errorWord>
      <group>L1_Word</group>
      <groupName>字词问题</groupName>
      <ability>L2_Typo</ability>
      <abilityName>字词错误</abilityName>
      <candidateList>
        <item>接口</item>
      </candidateList>
      <explain/>
      <paraID>5A7E2F39</paraID>
      <start>197</start>
      <end>199</end>
      <status>unmodified</status>
      <modifiedWord/>
      <trackRevisions>false</trackRevisions>
    </reviewItem>
    <reviewItem>
      <errorID>9d7726f8-fe72-4868-8fd3-34585106a352</errorID>
      <errorWord>补口</errorWord>
      <group>L1_Word</group>
      <groupName>字词问题</groupName>
      <ability>L2_Typo</ability>
      <abilityName>字词错误</abilityName>
      <candidateList>
        <item>接口</item>
      </candidateList>
      <explain/>
      <paraID>35E67AB2</paraID>
      <start>55</start>
      <end>57</end>
      <status>unmodified</status>
      <modifiedWord/>
      <trackRevisions>false</trackRevisions>
    </reviewItem>
    <reviewItem>
      <errorID>1a8d660d-e1a5-4268-b7be-6c066598f4d5</errorID>
      <errorWord>2024年06月14日</errorWord>
      <group>L1_Knowledge</group>
      <groupName>知识性问题</groupName>
      <ability>L2_Time</ability>
      <abilityName>日期时间</abilityName>
      <candidateList>
        <item>2024年6月14日</item>
      </candidateList>
      <explain>根据日常书写习惯，月份一般会省略前导零。</explain>
      <paraID> 944C4D6</paraID>
      <start>0</start>
      <end>11</end>
      <status>unmodified</status>
      <modifiedWord/>
      <trackRevisions>false</trackRevisions>
    </reviewItem>
    <reviewItem>
      <errorID>6cece4c9-389e-4326-b5b7-29d519be4a54</errorID>
      <errorWord>-</errorWord>
      <group>L1_Format</group>
      <groupName>格式问题</groupName>
      <ability>L2_HalfPunc</ability>
      <abilityName>全半角检查</abilityName>
      <candidateList>
        <item>－</item>
      </candidateList>
      <explain>文本全半角错误。</explain>
      <paraID> AA32EBB</paraID>
      <start>14</start>
      <end>15</end>
      <status>unmodified</status>
      <modifiedWord/>
      <trackRevisions>false</trackRevisions>
    </reviewItem>
    <reviewItem>
      <errorID>654f5be0-e143-402d-94f2-752d5de627bc</errorID>
      <errorWord>2024年06月14日</errorWord>
      <group>L1_Knowledge</group>
      <groupName>知识性问题</groupName>
      <ability>L2_Time</ability>
      <abilityName>日期时间</abilityName>
      <candidateList>
        <item>2024年6月14日</item>
      </candidateList>
      <explain>根据日常书写习惯，月份一般会省略前导零。</explain>
      <paraID>4CA80F2D</paraID>
      <start>0</start>
      <end>11</end>
      <status>unmodified</status>
      <modifiedWord/>
      <trackRevisions>false</trackRevisions>
    </reviewItem>
    <reviewItem>
      <errorID>a4c42e08-64e9-45a9-a987-19e2726719dd</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17BD5781</paraID>
      <start>206</start>
      <end>207</end>
      <status>unmodified</status>
      <modifiedWord/>
      <trackRevisions>false</trackRevisions>
    </reviewItem>
    <reviewItem>
      <errorID>469ea839-1473-4804-b418-0a0936a35529</errorID>
      <errorWord>座</errorWord>
      <group>L1_Knowledge</group>
      <groupName>知识性问题</groupName>
      <ability>L2_Knowledge</ability>
      <abilityName>其他知识</abilityName>
      <candidateList>
        <item>号</item>
      </candidateList>
      <explain/>
      <paraID>13323BC2</paraID>
      <start>4</start>
      <end>5</end>
      <status>unmodified</status>
      <modifiedWord/>
      <trackRevisions>false</trackRevisions>
    </reviewItem>
    <reviewItem>
      <errorID>9f5506f5-85e6-44f2-a063-fc4b9fa0c3e2</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5B78484E</paraID>
      <start>45</start>
      <end>46</end>
      <status>unmodified</status>
      <modifiedWord/>
      <trackRevisions>false</trackRevisions>
    </reviewItem>
    <reviewItem>
      <errorID>43aee374-34f5-40cf-9b07-a4766c7d237b</errorID>
      <errorWord>主窜</errorWord>
      <group>L1_Word</group>
      <groupName>字词问题</groupName>
      <ability>L2_Typo</ability>
      <abilityName>字词错误</abilityName>
      <candidateList>
        <item>主席</item>
      </candidateList>
      <explain/>
      <paraID>25FA2166</paraID>
      <start>110</start>
      <end>112</end>
      <status>unmodified</status>
      <modifiedWord/>
      <trackRevisions>false</trackRevisions>
    </reviewItem>
    <reviewItem>
      <errorID>ad89e659-3387-43b9-8a80-5240b873baf6</errorID>
      <errorWord>粘稠</errorWord>
      <group>L1_Word</group>
      <groupName>字词问题</groupName>
      <ability>L2_Typo</ability>
      <abilityName>字词错误</abilityName>
      <candidateList>
        <item>黏稠</item>
      </candidateList>
      <explain>存在发音相同字词的误用。</explain>
      <paraID>426326A1</paraID>
      <start>38</start>
      <end>40</end>
      <status>unmodified</status>
      <modifiedWord/>
      <trackRevisions>false</trackRevisions>
    </reviewItem>
    <reviewItem>
      <errorID>771ae1c9-d7f7-47b3-9e59-ea63f777a919</errorID>
      <errorWord>～</errorWord>
      <group>L1_Format</group>
      <groupName>格式问题</groupName>
      <ability>L2_HalfPunc</ability>
      <abilityName>全半角检查</abilityName>
      <candidateList>
        <item>~</item>
      </candidateList>
      <explain>文本全半角错误。</explain>
      <paraID>5C919F0D</paraID>
      <start>3</start>
      <end>4</end>
      <status>unmodified</status>
      <modifiedWord/>
      <trackRevisions>false</trackRevisions>
    </reviewItem>
    <reviewItem>
      <errorID>c1b2cb75-8f63-4fed-8d7d-7ef11ff72317</errorID>
      <errorWord>～</errorWord>
      <group>L1_Format</group>
      <groupName>格式问题</groupName>
      <ability>L2_HalfPunc</ability>
      <abilityName>全半角检查</abilityName>
      <candidateList>
        <item>~</item>
      </candidateList>
      <explain>文本全半角错误。</explain>
      <paraID>20119858</paraID>
      <start>4</start>
      <end>5</end>
      <status>unmodified</status>
      <modifiedWord/>
      <trackRevisions>false</trackRevisions>
    </reviewItem>
    <reviewItem>
      <errorID>289e2917-22ea-467c-80ff-c1355e4e870d</errorID>
      <errorWord>～</errorWord>
      <group>L1_Format</group>
      <groupName>格式问题</groupName>
      <ability>L2_HalfPunc</ability>
      <abilityName>全半角检查</abilityName>
      <candidateList>
        <item>~</item>
      </candidateList>
      <explain>文本全半角错误。</explain>
      <paraID>64C10F8E</paraID>
      <start>2</start>
      <end>3</end>
      <status>unmodified</status>
      <modifiedWord/>
      <trackRevisions>false</trackRevisions>
    </reviewItem>
    <reviewItem>
      <errorID>c5ec85b8-081e-4ca2-9f2c-584b9260d784</errorID>
      <errorWord>～</errorWord>
      <group>L1_Format</group>
      <groupName>格式问题</groupName>
      <ability>L2_HalfPunc</ability>
      <abilityName>全半角检查</abilityName>
      <candidateList>
        <item>~</item>
      </candidateList>
      <explain>文本全半角错误。</explain>
      <paraID>5E3465E6</paraID>
      <start>2</start>
      <end>3</end>
      <status>unmodified</status>
      <modifiedWord/>
      <trackRevisions>false</trackRevisions>
    </reviewItem>
    <reviewItem>
      <errorID>fbf4d1b3-69b6-4b11-8702-bb3b437eac48</errorID>
      <errorWord>核算过</errorWord>
      <group>L1_Word</group>
      <groupName>字词问题</groupName>
      <ability>L2_Typo</ability>
      <abilityName>字词错误</abilityName>
      <candidateList>
        <item>核算</item>
      </candidateList>
      <explain/>
      <paraID> 9EC5053</paraID>
      <start>62</start>
      <end>65</end>
      <status>unmodified</status>
      <modifiedWord/>
      <trackRevisions>false</trackRevisions>
    </reviewItem>
    <reviewItem>
      <errorID>b9bd2ff0-b9c3-4412-baed-e0af8e10bd5c</errorID>
      <errorWord>（</errorWord>
      <group>L1_Punc</group>
      <groupName>标点问题</groupName>
      <ability>L2_Punc</ability>
      <abilityName>标点符号检查</abilityName>
      <candidateList/>
      <explain>同一形式括号套用。</explain>
      <paraID> 9EC5053</paraID>
      <start>223</start>
      <end>224</end>
      <status>unmodified</status>
      <modifiedWord/>
      <trackRevisions>false</trackRevisions>
    </reviewItem>
    <reviewItem>
      <errorID>99846210-4499-44e0-8678-e38917ae0ef9</errorID>
      <errorWord>）</errorWord>
      <group>L1_Punc</group>
      <groupName>标点问题</groupName>
      <ability>L2_Punc</ability>
      <abilityName>标点符号检查</abilityName>
      <candidateList/>
      <explain>同一形式括号套用。</explain>
      <paraID> 9EC5053</paraID>
      <start>227</start>
      <end>228</end>
      <status>unmodified</status>
      <modifiedWord/>
      <trackRevisions>false</trackRevisions>
    </reviewItem>
    <reviewItem>
      <errorID>727ddcf7-f243-4d37-93ca-17302d999c92</errorID>
      <errorWord>-</errorWord>
      <group>L1_Format</group>
      <groupName>格式问题</groupName>
      <ability>L2_HalfPunc</ability>
      <abilityName>全半角检查</abilityName>
      <candidateList>
        <item>－</item>
      </candidateList>
      <explain>文本全半角错误。</explain>
      <paraID>75894476</paraID>
      <start>7</start>
      <end>8</end>
      <status>unmodified</status>
      <modifiedWord/>
      <trackRevisions>false</trackRevisions>
    </reviewItem>
    <reviewItem>
      <errorID>e42969ff-70c1-4596-a11b-b75ae9cef134</errorID>
      <errorWord>个</errorWord>
      <group>L1_Word</group>
      <groupName>字词问题</groupName>
      <ability>L2_Typo</ability>
      <abilityName>字词错误</abilityName>
      <candidateList>
        <item/>
      </candidateList>
      <explain/>
      <paraID>4A8BE73D</paraID>
      <start>7</start>
      <end>8</end>
      <status>unmodified</status>
      <modifiedWord/>
      <trackRevisions>false</trackRevisions>
    </reviewItem>
    <reviewItem>
      <errorID>1454b24a-7ffa-41ac-a22a-3e51fef84977</errorID>
      <errorWord>个</errorWord>
      <group>L1_Word</group>
      <groupName>字词问题</groupName>
      <ability>L2_Typo</ability>
      <abilityName>字词错误</abilityName>
      <candidateList>
        <item/>
      </candidateList>
      <explain/>
      <paraID>13C10ED9</paraID>
      <start>8</start>
      <end>9</end>
      <status>unmodified</status>
      <modifiedWord/>
      <trackRevisions>false</trackRevisions>
    </reviewItem>
    <reviewItem>
      <errorID>e3822697-e864-44ce-bb26-29e8af6caf98</errorID>
      <errorWord>购入</errorWord>
      <group>L1_Word</group>
      <groupName>字词问题</groupName>
      <ability>L2_Typo</ability>
      <abilityName>字词错误</abilityName>
      <candidateList>
        <item>投入</item>
      </candidateList>
      <explain>❶〈动〉投到某种环境里去：～生产｜～新生活｜新机场已经正式～使用。❷〈形〉形容做事情聚精会神，全力以赴：她演戏很～。❸〈动〉指投放资金：少～，多产出。❹〈名〉投放的资金：教育～逐年增加｜这是一笔不小的～。</explain>
      <paraID>754978A3</paraID>
      <start>8</start>
      <end>10</end>
      <status>unmodified</status>
      <modifiedWord/>
      <trackRevisions>false</trackRevisions>
    </reviewItem>
    <reviewItem>
      <errorID>e1d6d1fd-e638-4884-a469-e6fad05fd1a7</errorID>
      <errorWord>（</errorWord>
      <group>L1_Punc</group>
      <groupName>标点问题</groupName>
      <ability>L2_Punc</ability>
      <abilityName>标点符号检查</abilityName>
      <candidateList/>
      <explain>同一形式括号套用。</explain>
      <paraID>454B2589</paraID>
      <start>222</start>
      <end>223</end>
      <status>unmodified</status>
      <modifiedWord/>
      <trackRevisions>false</trackRevisions>
    </reviewItem>
    <reviewItem>
      <errorID>a9d23b3b-7346-4163-8ae7-99de3ad36078</errorID>
      <errorWord>）</errorWord>
      <group>L1_Punc</group>
      <groupName>标点问题</groupName>
      <ability>L2_Punc</ability>
      <abilityName>标点符号检查</abilityName>
      <candidateList/>
      <explain>同一形式括号套用。</explain>
      <paraID>454B2589</paraID>
      <start>226</start>
      <end>227</end>
      <status>unmodified</status>
      <modifiedWord/>
      <trackRevisions>false</trackRevisions>
    </reviewItem>
    <reviewItem>
      <errorID>63ca46e7-bde3-4252-aac7-757444ffd63d</errorID>
      <errorWord>t/</errorWord>
      <group>L1_Format</group>
      <groupName>格式问题</groupName>
      <ability>L2_Ordinal</ability>
      <abilityName>序号格式</abilityName>
      <candidateList>
        <item>t.</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719B17FE</paraID>
      <start>0</start>
      <end>2</end>
      <status>unmodified</status>
      <modifiedWord/>
      <trackRevisions>false</trackRevisions>
    </reviewItem>
    <reviewItem>
      <errorID>4c1e43fc-9429-4efd-88d0-04ea159e064c</errorID>
      <errorWord>g/</errorWord>
      <group>L1_Format</group>
      <groupName>格式问题</groupName>
      <ability>L2_Ordinal</ability>
      <abilityName>序号格式</abilityName>
      <candidateList>
        <item>g.</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2CE2BF3</paraID>
      <start>0</start>
      <end>2</end>
      <status>unmodified</status>
      <modifiedWord/>
      <trackRevisions>false</trackRevisions>
    </reviewItem>
    <reviewItem>
      <errorID>d1acc241-d215-4766-a284-fe650e518337</errorID>
      <errorWord>g/</errorWord>
      <group>L1_Format</group>
      <groupName>格式问题</groupName>
      <ability>L2_Ordinal</ability>
      <abilityName>序号格式</abilityName>
      <candidateList>
        <item>g.</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7529FA0E</paraID>
      <start>0</start>
      <end>2</end>
      <status>unmodified</status>
      <modifiedWord/>
      <trackRevisions>false</trackRevisions>
    </reviewItem>
    <reviewItem>
      <errorID>1e9316d4-a6eb-4d11-8527-ec73d99814e3</errorID>
      <errorWord>t/</errorWord>
      <group>L1_Format</group>
      <groupName>格式问题</groupName>
      <ability>L2_Ordinal</ability>
      <abilityName>序号格式</abilityName>
      <candidateList>
        <item>t.</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8ED32C7</paraID>
      <start>0</start>
      <end>2</end>
      <status>unmodified</status>
      <modifiedWord/>
      <trackRevisions>false</trackRevisions>
    </reviewItem>
    <reviewItem>
      <errorID>f0d380de-921e-4ddb-a44f-8f1b7aa0fabc</errorID>
      <errorWord>g/</errorWord>
      <group>L1_Format</group>
      <groupName>格式问题</groupName>
      <ability>L2_Ordinal</ability>
      <abilityName>序号格式</abilityName>
      <candidateList>
        <item>g.</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6DB5BC2D</paraID>
      <start>0</start>
      <end>2</end>
      <status>unmodified</status>
      <modifiedWord/>
      <trackRevisions>false</trackRevisions>
    </reviewItem>
    <reviewItem>
      <errorID>775078c4-7c71-4c7a-ac95-05c1667c1077</errorID>
      <errorWord>g/</errorWord>
      <group>L1_Format</group>
      <groupName>格式问题</groupName>
      <ability>L2_Ordinal</ability>
      <abilityName>序号格式</abilityName>
      <candidateList>
        <item>g.</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3F99ED52</paraID>
      <start>0</start>
      <end>2</end>
      <status>unmodified</status>
      <modifiedWord/>
      <trackRevisions>false</trackRevisions>
    </reviewItem>
    <reviewItem>
      <errorID>6d92f79c-21e7-4d74-9290-4a9412f58e1f</errorID>
      <errorWord>-</errorWord>
      <group>L1_Format</group>
      <groupName>格式问题</groupName>
      <ability>L2_HalfPunc</ability>
      <abilityName>全半角检查</abilityName>
      <candidateList>
        <item>－</item>
      </candidateList>
      <explain>文本全半角错误。</explain>
      <paraID>5A02CB1E</paraID>
      <start>9</start>
      <end>10</end>
      <status>unmodified</status>
      <modifiedWord/>
      <trackRevisions>false</trackRevisions>
    </reviewItem>
    <reviewItem>
      <errorID>f4ea6bd7-1766-484d-812f-a3b132047a80</errorID>
      <errorWord>总图</errorWord>
      <group>L1_Word</group>
      <groupName>字词问题</groupName>
      <ability>L2_Typo</ability>
      <abilityName>字词错误</abilityName>
      <candidateList>
        <item>总体</item>
      </candidateList>
      <explain/>
      <paraID>4727F422</paraID>
      <start>4</start>
      <end>6</end>
      <status>unmodified</status>
      <modifiedWord/>
      <trackRevisions>false</trackRevisions>
    </reviewItem>
    <reviewItem>
      <errorID>6ef396e7-99f8-426a-b91c-05f342a8dcbb</errorID>
      <errorWord>＜</errorWord>
      <group>L1_Format</group>
      <groupName>格式问题</groupName>
      <ability>L2_HalfPunc</ability>
      <abilityName>全半角检查</abilityName>
      <candidateList>
        <item>&lt;</item>
      </candidateList>
      <explain>文本全半角错误。</explain>
      <paraID>4BAC630C</paraID>
      <start>0</start>
      <end>1</end>
      <status>unmodified</status>
      <modifiedWord/>
      <trackRevisions>false</trackRevisions>
    </reviewItem>
    <reviewItem>
      <errorID>31995c69-8f8b-41db-b0ca-e5ae08dedfb4</errorID>
      <errorWord>＜</errorWord>
      <group>L1_Format</group>
      <groupName>格式问题</groupName>
      <ability>L2_HalfPunc</ability>
      <abilityName>全半角检查</abilityName>
      <candidateList>
        <item>&lt;</item>
      </candidateList>
      <explain>文本全半角错误。</explain>
      <paraID>677D2F89</paraID>
      <start>0</start>
      <end>1</end>
      <status>unmodified</status>
      <modifiedWord/>
      <trackRevisions>false</trackRevisions>
    </reviewItem>
    <reviewItem>
      <errorID>1b4ab54c-d0fd-46e3-b3d5-8a4813bc0ca1</errorID>
      <errorWord>使用</errorWord>
      <group>L1_Word</group>
      <groupName>字词问题</groupName>
      <ability>L2_Typo</ability>
      <abilityName>字词错误</abilityName>
      <candidateList>
        <item>食用</item>
      </candidateList>
      <explain>〈动〉做食物用：～油｜～植物。</explain>
      <paraID>23BEEAD5</paraID>
      <start>3</start>
      <end>5</end>
      <status>unmodified</status>
      <modifiedWord/>
      <trackRevisions>false</trackRevisions>
    </reviewItem>
    <reviewItem>
      <errorID>a28a521e-8782-447a-baa4-ec5448191f76</errorID>
      <errorWord>＜</errorWord>
      <group>L1_Format</group>
      <groupName>格式问题</groupName>
      <ability>L2_HalfPunc</ability>
      <abilityName>全半角检查</abilityName>
      <candidateList>
        <item>&lt;</item>
      </candidateList>
      <explain>文本全半角错误。</explain>
      <paraID>7F8A3C4B</paraID>
      <start>0</start>
      <end>1</end>
      <status>unmodified</status>
      <modifiedWord/>
      <trackRevisions>false</trackRevisions>
    </reviewItem>
    <reviewItem>
      <errorID>5d2d1ee3-6cb0-415b-b0d2-0d813073a6cd</errorID>
      <errorWord>＜</errorWord>
      <group>L1_Format</group>
      <groupName>格式问题</groupName>
      <ability>L2_HalfPunc</ability>
      <abilityName>全半角检查</abilityName>
      <candidateList>
        <item>&lt;</item>
      </candidateList>
      <explain>文本全半角错误。</explain>
      <paraID>44659C96</paraID>
      <start>4</start>
      <end>5</end>
      <status>unmodified</status>
      <modifiedWord/>
      <trackRevisions>false</trackRevisions>
    </reviewItem>
    <reviewItem>
      <errorID>b5e4e2c8-9727-4c27-942e-d1510140366f</errorID>
      <errorWord>-</errorWord>
      <group>L1_Format</group>
      <groupName>格式问题</groupName>
      <ability>L2_HalfPunc</ability>
      <abilityName>全半角检查</abilityName>
      <candidateList>
        <item>－</item>
      </candidateList>
      <explain>文本全半角错误。</explain>
      <paraID>4EB70E30</paraID>
      <start>121</start>
      <end>122</end>
      <status>unmodified</status>
      <modifiedWord/>
      <trackRevisions>false</trackRevisions>
    </reviewItem>
    <reviewItem>
      <errorID>d4550ef2-9c74-482d-9cb1-8bb9f14f97ac</errorID>
      <errorWord>-</errorWord>
      <group>L1_Format</group>
      <groupName>格式问题</groupName>
      <ability>L2_HalfPunc</ability>
      <abilityName>全半角检查</abilityName>
      <candidateList>
        <item>－</item>
      </candidateList>
      <explain>文本全半角错误。</explain>
      <paraID>4EB70E30</paraID>
      <start>147</start>
      <end>148</end>
      <status>unmodified</status>
      <modifiedWord/>
      <trackRevisions>false</trackRevisions>
    </reviewItem>
    <reviewItem>
      <errorID>17757d34-55df-45de-b44d-913b40bcabe5</errorID>
      <errorWord>-</errorWord>
      <group>L1_Format</group>
      <groupName>格式问题</groupName>
      <ability>L2_HalfPunc</ability>
      <abilityName>全半角检查</abilityName>
      <candidateList>
        <item>－</item>
      </candidateList>
      <explain>文本全半角错误。</explain>
      <paraID>4EB70E30</paraID>
      <start>151</start>
      <end>152</end>
      <status>unmodified</status>
      <modifiedWord/>
      <trackRevisions>false</trackRevisions>
    </reviewItem>
    <reviewItem>
      <errorID>faec130e-0b48-493d-a46d-8d6aa96e3501</errorID>
      <errorWord>-</errorWord>
      <group>L1_Format</group>
      <groupName>格式问题</groupName>
      <ability>L2_HalfPunc</ability>
      <abilityName>全半角检查</abilityName>
      <candidateList>
        <item>－</item>
      </candidateList>
      <explain>文本全半角错误。</explain>
      <paraID>527F1E79</paraID>
      <start>19</start>
      <end>20</end>
      <status>unmodified</status>
      <modifiedWord/>
      <trackRevisions>false</trackRevisions>
    </reviewItem>
    <reviewItem>
      <errorID>e7fe0b1e-5387-454d-b7df-e67f6edb3cd4</errorID>
      <errorWord>-</errorWord>
      <group>L1_Format</group>
      <groupName>格式问题</groupName>
      <ability>L2_HalfPunc</ability>
      <abilityName>全半角检查</abilityName>
      <candidateList>
        <item>－</item>
      </candidateList>
      <explain>文本全半角错误。</explain>
      <paraID>11410E29</paraID>
      <start>13</start>
      <end>14</end>
      <status>unmodified</status>
      <modifiedWord/>
      <trackRevisions>false</trackRevisions>
    </reviewItem>
    <reviewItem>
      <errorID>86c3521f-763d-4b94-8a5e-9c99945d29fb</errorID>
      <errorWord>-</errorWord>
      <group>L1_Format</group>
      <groupName>格式问题</groupName>
      <ability>L2_HalfPunc</ability>
      <abilityName>全半角检查</abilityName>
      <candidateList>
        <item>－</item>
      </candidateList>
      <explain>文本全半角错误。</explain>
      <paraID>11410E29</paraID>
      <start>16</start>
      <end>17</end>
      <status>unmodified</status>
      <modifiedWord/>
      <trackRevisions>false</trackRevisions>
    </reviewItem>
    <reviewItem>
      <errorID>2b998b1d-b7b5-4e55-aa8b-6db814f35b6c</errorID>
      <errorWord>-</errorWord>
      <group>L1_Format</group>
      <groupName>格式问题</groupName>
      <ability>L2_HalfPunc</ability>
      <abilityName>全半角检查</abilityName>
      <candidateList>
        <item>－</item>
      </candidateList>
      <explain>文本全半角错误。</explain>
      <paraID> 7C90274</paraID>
      <start>8</start>
      <end>9</end>
      <status>unmodified</status>
      <modifiedWord/>
      <trackRevisions>false</trackRevisions>
    </reviewItem>
    <reviewItem>
      <errorID>588079a4-9046-4656-839a-24447f4723f4</errorID>
      <errorWord>-</errorWord>
      <group>L1_Format</group>
      <groupName>格式问题</groupName>
      <ability>L2_HalfPunc</ability>
      <abilityName>全半角检查</abilityName>
      <candidateList>
        <item>－</item>
      </candidateList>
      <explain>文本全半角错误。</explain>
      <paraID>456FE186</paraID>
      <start>7</start>
      <end>8</end>
      <status>unmodified</status>
      <modifiedWord/>
      <trackRevisions>false</trackRevisions>
    </reviewItem>
    <reviewItem>
      <errorID>c53e3ebd-869e-4b55-bfda-5e4f84514b2e</errorID>
      <errorWord>-</errorWord>
      <group>L1_Format</group>
      <groupName>格式问题</groupName>
      <ability>L2_HalfPunc</ability>
      <abilityName>全半角检查</abilityName>
      <candidateList>
        <item>－</item>
      </candidateList>
      <explain>文本全半角错误。</explain>
      <paraID>456FE186</paraID>
      <start>10</start>
      <end>11</end>
      <status>unmodified</status>
      <modifiedWord/>
      <trackRevisions>false</trackRevisions>
    </reviewItem>
    <reviewItem>
      <errorID>3fcfe517-dd5d-4803-8360-cdd1f96b384f</errorID>
      <errorWord>-</errorWord>
      <group>L1_Format</group>
      <groupName>格式问题</groupName>
      <ability>L2_HalfPunc</ability>
      <abilityName>全半角检查</abilityName>
      <candidateList>
        <item>－</item>
      </candidateList>
      <explain>文本全半角错误。</explain>
      <paraID>702BB329</paraID>
      <start>15</start>
      <end>16</end>
      <status>unmodified</status>
      <modifiedWord/>
      <trackRevisions>false</trackRevisions>
    </reviewItem>
    <reviewItem>
      <errorID>f239ea8f-1113-4a52-8ee1-d9c0aed0023a</errorID>
      <errorWord>累年</errorWord>
      <group>L1_Word</group>
      <groupName>字词问题</groupName>
      <ability>L2_Typo</ability>
      <abilityName>字词错误</abilityName>
      <candidateList>
        <item>历年</item>
      </candidateList>
      <explain/>
      <paraID>648B778E</paraID>
      <start>0</start>
      <end>2</end>
      <status>unmodified</status>
      <modifiedWord/>
      <trackRevisions>false</trackRevisions>
    </reviewItem>
    <reviewItem>
      <errorID>d407e046-b15c-416c-a9e5-b0b22bc05d86</errorID>
      <errorWord>累年</errorWord>
      <group>L1_Word</group>
      <groupName>字词问题</groupName>
      <ability>L2_Typo</ability>
      <abilityName>字词错误</abilityName>
      <candidateList>
        <item>历年</item>
      </candidateList>
      <explain/>
      <paraID> 75C6A04</paraID>
      <start>0</start>
      <end>2</end>
      <status>unmodified</status>
      <modifiedWord/>
      <trackRevisions>false</trackRevisions>
    </reviewItem>
    <reviewItem>
      <errorID>3ed00230-fded-4a9d-83d3-2fb876726615</errorID>
      <errorWord>年</errorWord>
      <group>L1_Word</group>
      <groupName>字词问题</groupName>
      <ability>L2_Typo</ability>
      <abilityName>字词错误</abilityName>
      <candidateList>
        <item>年度</item>
      </candidateList>
      <explain/>
      <paraID>4B7B54E9</paraID>
      <start>0</start>
      <end>1</end>
      <status>unmodified</status>
      <modifiedWord/>
      <trackRevisions>false</trackRevisions>
    </reviewItem>
    <reviewItem>
      <errorID>0f558385-55fe-47c4-a50b-e9ce39b217a1</errorID>
      <errorWord>(</errorWord>
      <group>L1_Format</group>
      <groupName>格式问题</groupName>
      <ability>L2_HalfPunc</ability>
      <abilityName>全半角检查</abilityName>
      <candidateList>
        <item>（</item>
      </candidateList>
      <explain>文本全半角错误。</explain>
      <paraID>68ABCDDB</paraID>
      <start>3</start>
      <end>4</end>
      <status>unmodified</status>
      <modifiedWord/>
      <trackRevisions>false</trackRevisions>
    </reviewItem>
    <reviewItem>
      <errorID>534da2df-ebd0-4748-9747-6e44c70aec5e</errorID>
      <errorWord>)</errorWord>
      <group>L1_Format</group>
      <groupName>格式问题</groupName>
      <ability>L2_HalfPunc</ability>
      <abilityName>全半角检查</abilityName>
      <candidateList>
        <item>）</item>
      </candidateList>
      <explain>文本全半角错误。</explain>
      <paraID>68ABCDDB</paraID>
      <start>5</start>
      <end>6</end>
      <status>unmodified</status>
      <modifiedWord/>
      <trackRevisions>false</trackRevisions>
    </reviewItem>
    <reviewItem>
      <errorID>11af974f-1770-4593-bc2a-15263a565a0e</errorID>
      <errorWord>监测单位</errorWord>
      <group>L1_Knowledge</group>
      <groupName>知识性问题</groupName>
      <ability>L2_Term</ability>
      <abilityName>专业术语</abilityName>
      <candidateList>
        <item>监测点位</item>
      </candidateList>
      <explain/>
      <paraID>65860AD5</paraID>
      <start>6</start>
      <end>10</end>
      <status>unmodified</status>
      <modifiedWord/>
      <trackRevisions>false</trackRevisions>
    </reviewItem>
    <reviewItem>
      <errorID>9c752fc5-9b88-4052-98e3-edc5ffb25e53</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625A6EB6</paraID>
      <start>14</start>
      <end>15</end>
      <status>unmodified</status>
      <modifiedWord/>
      <trackRevisions>false</trackRevisions>
    </reviewItem>
    <reviewItem>
      <errorID>2f02da21-685b-49b6-8826-b9bd69d209a0</errorID>
      <errorWord>&lt;</errorWord>
      <group>L1_Format</group>
      <groupName>格式问题</groupName>
      <ability>L2_HalfPunc</ability>
      <abilityName>全半角检查</abilityName>
      <candidateList>
        <item>〈</item>
      </candidateList>
      <explain>文本全半角错误。</explain>
      <paraID>36FFC9D0</paraID>
      <start>21</start>
      <end>22</end>
      <status>unmodified</status>
      <modifiedWord/>
      <trackRevisions>false</trackRevisions>
    </reviewItem>
    <reviewItem>
      <errorID>f3ad7fd9-8604-4e57-ac14-a745640602d6</errorID>
      <errorWord>&gt;</errorWord>
      <group>L1_Format</group>
      <groupName>格式问题</groupName>
      <ability>L2_HalfPunc</ability>
      <abilityName>全半角检查</abilityName>
      <candidateList>
        <item>〉</item>
      </candidateList>
      <explain>文本全半角错误。</explain>
      <paraID>36FFC9D0</paraID>
      <start>33</start>
      <end>34</end>
      <status>unmodified</status>
      <modifiedWord/>
      <trackRevisions>false</trackRevisions>
    </reviewItem>
    <reviewItem>
      <errorID>7e04800e-a112-44e8-983c-6fb01f13b9ff</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182102C3</paraID>
      <start>10</start>
      <end>11</end>
      <status>unmodified</status>
      <modifiedWord/>
      <trackRevisions>false</trackRevisions>
    </reviewItem>
    <reviewItem>
      <errorID>39d5beee-d7ca-4106-9bda-4d9863a1a1f6</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4573AC9C</paraID>
      <start>13</start>
      <end>14</end>
      <status>unmodified</status>
      <modifiedWord/>
      <trackRevisions>false</trackRevisions>
    </reviewItem>
    <reviewItem>
      <errorID>88303a2e-f70b-4803-9f1b-095f9090788b</errorID>
      <errorWord>年</errorWord>
      <group>L1_Word</group>
      <groupName>字词问题</groupName>
      <ability>L2_Typo</ability>
      <abilityName>字词错误</abilityName>
      <candidateList>
        <item>年度</item>
      </candidateList>
      <explain/>
      <paraID>35B84E0C</paraID>
      <start>0</start>
      <end>1</end>
      <status>unmodified</status>
      <modifiedWord/>
      <trackRevisions>false</trackRevisions>
    </reviewItem>
    <reviewItem>
      <errorID>dc8a910a-9b6a-4422-8a48-66acfaec524d</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 2B7EEA2</paraID>
      <start>13</start>
      <end>14</end>
      <status>unmodified</status>
      <modifiedWord/>
      <trackRevisions>false</trackRevisions>
    </reviewItem>
    <reviewItem>
      <errorID>ea9818d4-68a1-492a-97d4-c0b93f506400</errorID>
      <errorWord>～</errorWord>
      <group>L1_Format</group>
      <groupName>格式问题</groupName>
      <ability>L2_HalfPunc</ability>
      <abilityName>全半角检查</abilityName>
      <candidateList>
        <item>~</item>
      </candidateList>
      <explain>文本全半角错误。</explain>
      <paraID>44176AED</paraID>
      <start>3</start>
      <end>4</end>
      <status>unmodified</status>
      <modifiedWord/>
      <trackRevisions>false</trackRevisions>
    </reviewItem>
    <reviewItem>
      <errorID>72c0ff7a-43f2-44a8-b09b-f27c70406ed4</errorID>
      <errorWord>～</errorWord>
      <group>L1_Format</group>
      <groupName>格式问题</groupName>
      <ability>L2_HalfPunc</ability>
      <abilityName>全半角检查</abilityName>
      <candidateList>
        <item>~</item>
      </candidateList>
      <explain>文本全半角错误。</explain>
      <paraID>1D133F17</paraID>
      <start>3</start>
      <end>4</end>
      <status>unmodified</status>
      <modifiedWord/>
      <trackRevisions>false</trackRevisions>
    </reviewItem>
    <reviewItem>
      <errorID>c69ff0c8-e039-4085-9c24-5332b1cf2e92</errorID>
      <errorWord>～</errorWord>
      <group>L1_Format</group>
      <groupName>格式问题</groupName>
      <ability>L2_HalfPunc</ability>
      <abilityName>全半角检查</abilityName>
      <candidateList>
        <item>~</item>
      </candidateList>
      <explain>文本全半角错误。</explain>
      <paraID>6164BF6C</paraID>
      <start>2</start>
      <end>3</end>
      <status>unmodified</status>
      <modifiedWord/>
      <trackRevisions>false</trackRevisions>
    </reviewItem>
    <reviewItem>
      <errorID>fdfebee1-c4de-4150-b874-436794368f51</errorID>
      <errorWord>～</errorWord>
      <group>L1_Format</group>
      <groupName>格式问题</groupName>
      <ability>L2_HalfPunc</ability>
      <abilityName>全半角检查</abilityName>
      <candidateList>
        <item>~</item>
      </candidateList>
      <explain>文本全半角错误。</explain>
      <paraID>50D217D9</paraID>
      <start>3</start>
      <end>4</end>
      <status>unmodified</status>
      <modifiedWord/>
      <trackRevisions>false</trackRevisions>
    </reviewItem>
    <reviewItem>
      <errorID>19d41c64-c913-4e58-a10a-75ea73031bbe</errorID>
      <errorWord>。</errorWord>
      <group>L1_Punc</group>
      <groupName>标点问题</groupName>
      <ability>L2_Punc</ability>
      <abilityName>标点符号检查</abilityName>
      <candidateList>
        <item/>
      </candidateList>
      <explain>标题文本后不使用标点符号。</explain>
      <paraID>3820B6AC</paraID>
      <start>33</start>
      <end>34</end>
      <status>unmodified</status>
      <modifiedWord/>
      <trackRevisions>false</trackRevisions>
    </reviewItem>
    <reviewItem>
      <errorID>0a0e832b-4eef-4f88-93e7-13f921415901</errorID>
      <errorWord>～</errorWord>
      <group>L1_Format</group>
      <groupName>格式问题</groupName>
      <ability>L2_HalfPunc</ability>
      <abilityName>全半角检查</abilityName>
      <candidateList>
        <item>~</item>
      </candidateList>
      <explain>文本全半角错误。</explain>
      <paraID>72D57182</paraID>
      <start>3</start>
      <end>4</end>
      <status>unmodified</status>
      <modifiedWord/>
      <trackRevisions>false</trackRevisions>
    </reviewItem>
    <reviewItem>
      <errorID>bcede4ec-0e39-4a08-9817-96686a394482</errorID>
      <errorWord>＞</errorWord>
      <group>L1_Format</group>
      <groupName>格式问题</groupName>
      <ability>L2_HalfPunc</ability>
      <abilityName>全半角检查</abilityName>
      <candidateList>
        <item>&gt;</item>
      </candidateList>
      <explain>文本全半角错误。</explain>
      <paraID>3EBE0D83</paraID>
      <start>0</start>
      <end>1</end>
      <status>unmodified</status>
      <modifiedWord/>
      <trackRevisions>false</trackRevisions>
    </reviewItem>
    <reviewItem>
      <errorID>bff4f710-c3a5-4034-ba04-aa0cd3ee56a3</errorID>
      <errorWord>＞</errorWord>
      <group>L1_Format</group>
      <groupName>格式问题</groupName>
      <ability>L2_HalfPunc</ability>
      <abilityName>全半角检查</abilityName>
      <candidateList>
        <item>&gt;</item>
      </candidateList>
      <explain>文本全半角错误。</explain>
      <paraID>1A7CF582</paraID>
      <start>0</start>
      <end>1</end>
      <status>unmodified</status>
      <modifiedWord/>
      <trackRevisions>false</trackRevisions>
    </reviewItem>
    <reviewItem>
      <errorID>2420057f-38c3-421d-80d5-7712b6b6bd6a</errorID>
      <errorWord>～</errorWord>
      <group>L1_Format</group>
      <groupName>格式问题</groupName>
      <ability>L2_HalfPunc</ability>
      <abilityName>全半角检查</abilityName>
      <candidateList>
        <item>~</item>
      </candidateList>
      <explain>文本全半角错误。</explain>
      <paraID>1EC273F3</paraID>
      <start>3</start>
      <end>4</end>
      <status>unmodified</status>
      <modifiedWord/>
      <trackRevisions>false</trackRevisions>
    </reviewItem>
    <reviewItem>
      <errorID>0deeba86-c787-471b-a4ff-c0feb78a985a</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290F5891</paraID>
      <start>14</start>
      <end>15</end>
      <status>unmodified</status>
      <modifiedWord/>
      <trackRevisions>false</trackRevisions>
    </reviewItem>
    <reviewItem>
      <errorID>aacbdbfb-0abe-46f6-918b-0a85875d7e69</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49E07422</paraID>
      <start>0</start>
      <end>2</end>
      <status>unmodified</status>
      <modifiedWord/>
      <trackRevisions>false</trackRevisions>
    </reviewItem>
    <reviewItem>
      <errorID>bb58f435-59c3-451f-960b-ea5366ac4f57</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740D90E4</paraID>
      <start>0</start>
      <end>2</end>
      <status>unmodified</status>
      <modifiedWord/>
      <trackRevisions>false</trackRevisions>
    </reviewItem>
    <reviewItem>
      <errorID>d680f73e-7a16-46f0-ae8c-be79afe922fa</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5BB47E70</paraID>
      <start>0</start>
      <end>2</end>
      <status>unmodified</status>
      <modifiedWord/>
      <trackRevisions>false</trackRevisions>
    </reviewItem>
    <reviewItem>
      <errorID>8180a8af-7617-48fb-aa06-33e1d5e13ad2</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BB762D3</paraID>
      <start>0</start>
      <end>2</end>
      <status>unmodified</status>
      <modifiedWord/>
      <trackRevisions>false</trackRevisions>
    </reviewItem>
    <reviewItem>
      <errorID>1fffec9a-1327-44d2-ad14-2c769c5112e0</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26C398A8</paraID>
      <start>0</start>
      <end>2</end>
      <status>unmodified</status>
      <modifiedWord/>
      <trackRevisions>false</trackRevisions>
    </reviewItem>
    <reviewItem>
      <errorID>8e1034d7-90cb-4906-ae1a-060827e02aec</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1D29443C</paraID>
      <start>0</start>
      <end>2</end>
      <status>unmodified</status>
      <modifiedWord/>
      <trackRevisions>false</trackRevisions>
    </reviewItem>
    <reviewItem>
      <errorID>a67a977f-ba6b-42ae-9c4e-9a1436eebfc8</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3BCCC2EE</paraID>
      <start>0</start>
      <end>2</end>
      <status>unmodified</status>
      <modifiedWord/>
      <trackRevisions>false</trackRevisions>
    </reviewItem>
    <reviewItem>
      <errorID>bf81f7f2-6321-42e2-b524-8098da605757</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7EC0C50</paraID>
      <start>0</start>
      <end>2</end>
      <status>unmodified</status>
      <modifiedWord/>
      <trackRevisions>false</trackRevisions>
    </reviewItem>
    <reviewItem>
      <errorID>8145a71d-dca3-4894-bc38-dc546bdd6e2e</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2F20F4D0</paraID>
      <start>0</start>
      <end>2</end>
      <status>unmodified</status>
      <modifiedWord/>
      <trackRevisions>false</trackRevisions>
    </reviewItem>
    <reviewItem>
      <errorID>efff0c62-db5a-448d-ae72-767b85642e1c</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F045348</paraID>
      <start>0</start>
      <end>2</end>
      <status>unmodified</status>
      <modifiedWord/>
      <trackRevisions>false</trackRevisions>
    </reviewItem>
    <reviewItem>
      <errorID>1c9966dd-33ac-4fb9-8a44-2f6cf413faad</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5C23F900</paraID>
      <start>0</start>
      <end>2</end>
      <status>unmodified</status>
      <modifiedWord/>
      <trackRevisions>false</trackRevisions>
    </reviewItem>
    <reviewItem>
      <errorID>2e88f0a6-b51f-4383-887d-f84001cd524a</errorID>
      <errorWord>～</errorWord>
      <group>L1_Format</group>
      <groupName>格式问题</groupName>
      <ability>L2_HalfPunc</ability>
      <abilityName>全半角检查</abilityName>
      <candidateList>
        <item>~</item>
      </candidateList>
      <explain>文本全半角错误。</explain>
      <paraID>5A65AD50</paraID>
      <start>2</start>
      <end>3</end>
      <status>unmodified</status>
      <modifiedWord/>
      <trackRevisions>false</trackRevisions>
    </reviewItem>
    <reviewItem>
      <errorID>9bba3736-efc2-46b0-8773-c16fd3dfa692</errorID>
      <errorWord>～</errorWord>
      <group>L1_Format</group>
      <groupName>格式问题</groupName>
      <ability>L2_HalfPunc</ability>
      <abilityName>全半角检查</abilityName>
      <candidateList>
        <item>~</item>
      </candidateList>
      <explain>文本全半角错误。</explain>
      <paraID> 9B6C87B</paraID>
      <start>4</start>
      <end>5</end>
      <status>unmodified</status>
      <modifiedWord/>
      <trackRevisions>false</trackRevisions>
    </reviewItem>
    <reviewItem>
      <errorID>4714ed3d-20a8-44f5-814c-e1611b33619b</errorID>
      <errorWord>～</errorWord>
      <group>L1_Format</group>
      <groupName>格式问题</groupName>
      <ability>L2_HalfPunc</ability>
      <abilityName>全半角检查</abilityName>
      <candidateList>
        <item>~</item>
      </candidateList>
      <explain>文本全半角错误。</explain>
      <paraID>4435D82C</paraID>
      <start>4</start>
      <end>5</end>
      <status>unmodified</status>
      <modifiedWord/>
      <trackRevisions>false</trackRevisions>
    </reviewItem>
    <reviewItem>
      <errorID>0d49c16b-f3ea-4d98-90ae-68917390bb01</errorID>
      <errorWord>～</errorWord>
      <group>L1_Format</group>
      <groupName>格式问题</groupName>
      <ability>L2_HalfPunc</ability>
      <abilityName>全半角检查</abilityName>
      <candidateList>
        <item>~</item>
      </candidateList>
      <explain>文本全半角错误。</explain>
      <paraID> 25133D2</paraID>
      <start>5</start>
      <end>6</end>
      <status>unmodified</status>
      <modifiedWord/>
      <trackRevisions>false</trackRevisions>
    </reviewItem>
    <reviewItem>
      <errorID>a0ff5d2a-172e-4872-874f-61b8d9b62fea</errorID>
      <errorWord>～</errorWord>
      <group>L1_Format</group>
      <groupName>格式问题</groupName>
      <ability>L2_HalfPunc</ability>
      <abilityName>全半角检查</abilityName>
      <candidateList>
        <item>~</item>
      </candidateList>
      <explain>文本全半角错误。</explain>
      <paraID>  3DC0D1</paraID>
      <start>5</start>
      <end>6</end>
      <status>unmodified</status>
      <modifiedWord/>
      <trackRevisions>false</trackRevisions>
    </reviewItem>
    <reviewItem>
      <errorID>b5838701-6a71-48df-8f1e-c138e1b4329e</errorID>
      <errorWord>～</errorWord>
      <group>L1_Format</group>
      <groupName>格式问题</groupName>
      <ability>L2_HalfPunc</ability>
      <abilityName>全半角检查</abilityName>
      <candidateList>
        <item>~</item>
      </candidateList>
      <explain>文本全半角错误。</explain>
      <paraID>5C1AD2A1</paraID>
      <start>5</start>
      <end>6</end>
      <status>unmodified</status>
      <modifiedWord/>
      <trackRevisions>false</trackRevisions>
    </reviewItem>
    <reviewItem>
      <errorID>c4d8a65d-11e4-494e-b3cb-7151d0fd540b</errorID>
      <errorWord>～</errorWord>
      <group>L1_Format</group>
      <groupName>格式问题</groupName>
      <ability>L2_HalfPunc</ability>
      <abilityName>全半角检查</abilityName>
      <candidateList>
        <item>~</item>
      </candidateList>
      <explain>文本全半角错误。</explain>
      <paraID>402A8DD9</paraID>
      <start>5</start>
      <end>6</end>
      <status>unmodified</status>
      <modifiedWord/>
      <trackRevisions>false</trackRevisions>
    </reviewItem>
    <reviewItem>
      <errorID>84f2797c-f370-4e98-bd8b-ce02bf63cbc4</errorID>
      <errorWord>～</errorWord>
      <group>L1_Format</group>
      <groupName>格式问题</groupName>
      <ability>L2_HalfPunc</ability>
      <abilityName>全半角检查</abilityName>
      <candidateList>
        <item>~</item>
      </candidateList>
      <explain>文本全半角错误。</explain>
      <paraID>3B9090A1</paraID>
      <start>6</start>
      <end>7</end>
      <status>unmodified</status>
      <modifiedWord/>
      <trackRevisions>false</trackRevisions>
    </reviewItem>
    <reviewItem>
      <errorID>18f3a2f8-f89e-4c2a-9dcd-42989ea98540</errorID>
      <errorWord>～</errorWord>
      <group>L1_Format</group>
      <groupName>格式问题</groupName>
      <ability>L2_HalfPunc</ability>
      <abilityName>全半角检查</abilityName>
      <candidateList>
        <item>~</item>
      </candidateList>
      <explain>文本全半角错误。</explain>
      <paraID>63660DEA</paraID>
      <start>5</start>
      <end>6</end>
      <status>unmodified</status>
      <modifiedWord/>
      <trackRevisions>false</trackRevisions>
    </reviewItem>
    <reviewItem>
      <errorID>c9e8e931-8923-4c3d-bf3f-3a63720b0e76</errorID>
      <errorWord>～</errorWord>
      <group>L1_Format</group>
      <groupName>格式问题</groupName>
      <ability>L2_HalfPunc</ability>
      <abilityName>全半角检查</abilityName>
      <candidateList>
        <item>~</item>
      </candidateList>
      <explain>文本全半角错误。</explain>
      <paraID>5D30B0E2</paraID>
      <start>6</start>
      <end>7</end>
      <status>unmodified</status>
      <modifiedWord/>
      <trackRevisions>false</trackRevisions>
    </reviewItem>
    <reviewItem>
      <errorID>4356990a-68fa-4638-8c45-2f9ad0f307ff</errorID>
      <errorWord>～</errorWord>
      <group>L1_Format</group>
      <groupName>格式问题</groupName>
      <ability>L2_HalfPunc</ability>
      <abilityName>全半角检查</abilityName>
      <candidateList>
        <item>~</item>
      </candidateList>
      <explain>文本全半角错误。</explain>
      <paraID>2FFEB701</paraID>
      <start>6</start>
      <end>7</end>
      <status>unmodified</status>
      <modifiedWord/>
      <trackRevisions>false</trackRevisions>
    </reviewItem>
    <reviewItem>
      <errorID>c4bfd78a-0c29-4e5c-9349-30f950b41572</errorID>
      <errorWord>`</errorWord>
      <group>L1_Format</group>
      <groupName>格式问题</groupName>
      <ability>L2_HalfPunc</ability>
      <abilityName>全半角检查</abilityName>
      <candidateList>
        <item>｀</item>
      </candidateList>
      <explain>文本全半角错误。</explain>
      <paraID>19D0F4A6</paraID>
      <start>2</start>
      <end>3</end>
      <status>unmodified</status>
      <modifiedWord/>
      <trackRevisions>false</trackRevisions>
    </reviewItem>
    <reviewItem>
      <errorID>d633ad2b-ac7a-42a8-b21f-c1951bfc22a4</errorID>
      <errorWord>`</errorWord>
      <group>L1_Format</group>
      <groupName>格式问题</groupName>
      <ability>L2_HalfPunc</ability>
      <abilityName>全半角检查</abilityName>
      <candidateList>
        <item>｀</item>
      </candidateList>
      <explain>文本全半角错误。</explain>
      <paraID>26E71947</paraID>
      <start>2</start>
      <end>3</end>
      <status>unmodified</status>
      <modifiedWord/>
      <trackRevisions>false</trackRevisions>
    </reviewItem>
    <reviewItem>
      <errorID>feeae842-3478-40d5-8794-6ed90f2cd3e2</errorID>
      <errorWord>～</errorWord>
      <group>L1_Format</group>
      <groupName>格式问题</groupName>
      <ability>L2_HalfPunc</ability>
      <abilityName>全半角检查</abilityName>
      <candidateList>
        <item>~</item>
      </candidateList>
      <explain>文本全半角错误。</explain>
      <paraID> 90B95F3</paraID>
      <start>6</start>
      <end>7</end>
      <status>unmodified</status>
      <modifiedWord/>
      <trackRevisions>false</trackRevisions>
    </reviewItem>
    <reviewItem>
      <errorID>65d65c2a-4caf-43be-b057-f65009a2beed</errorID>
      <errorWord>～</errorWord>
      <group>L1_Format</group>
      <groupName>格式问题</groupName>
      <ability>L2_HalfPunc</ability>
      <abilityName>全半角检查</abilityName>
      <candidateList>
        <item>~</item>
      </candidateList>
      <explain>文本全半角错误。</explain>
      <paraID>1C844AF8</paraID>
      <start>6</start>
      <end>7</end>
      <status>unmodified</status>
      <modifiedWord/>
      <trackRevisions>false</trackRevisions>
    </reviewItem>
    <reviewItem>
      <errorID>d12e5eb9-a9ea-4202-a18a-3620674003a4</errorID>
      <errorWord>～</errorWord>
      <group>L1_Format</group>
      <groupName>格式问题</groupName>
      <ability>L2_HalfPunc</ability>
      <abilityName>全半角检查</abilityName>
      <candidateList>
        <item>~</item>
      </candidateList>
      <explain>文本全半角错误。</explain>
      <paraID>1A3CCEB5</paraID>
      <start>6</start>
      <end>7</end>
      <status>unmodified</status>
      <modifiedWord/>
      <trackRevisions>false</trackRevisions>
    </reviewItem>
    <reviewItem>
      <errorID>942afe1e-d9e8-4c81-bad2-f8e8ef3ec8f2</errorID>
      <errorWord>～</errorWord>
      <group>L1_Format</group>
      <groupName>格式问题</groupName>
      <ability>L2_HalfPunc</ability>
      <abilityName>全半角检查</abilityName>
      <candidateList>
        <item>~</item>
      </candidateList>
      <explain>文本全半角错误。</explain>
      <paraID>4B24B737</paraID>
      <start>1</start>
      <end>2</end>
      <status>unmodified</status>
      <modifiedWord/>
      <trackRevisions>false</trackRevisions>
    </reviewItem>
    <reviewItem>
      <errorID>696234cd-8c79-4c4b-92db-2d8a151a044c</errorID>
      <errorWord>～</errorWord>
      <group>L1_Format</group>
      <groupName>格式问题</groupName>
      <ability>L2_HalfPunc</ability>
      <abilityName>全半角检查</abilityName>
      <candidateList>
        <item>~</item>
      </candidateList>
      <explain>文本全半角错误。</explain>
      <paraID>5A959F42</paraID>
      <start>3</start>
      <end>4</end>
      <status>unmodified</status>
      <modifiedWord/>
      <trackRevisions>false</trackRevisions>
    </reviewItem>
    <reviewItem>
      <errorID>b6804a9a-4555-4e5e-8dc8-3da31b0c75b6</errorID>
      <errorWord>～</errorWord>
      <group>L1_Format</group>
      <groupName>格式问题</groupName>
      <ability>L2_HalfPunc</ability>
      <abilityName>全半角检查</abilityName>
      <candidateList>
        <item>~</item>
      </candidateList>
      <explain>文本全半角错误。</explain>
      <paraID>390B7E7E</paraID>
      <start>3</start>
      <end>4</end>
      <status>unmodified</status>
      <modifiedWord/>
      <trackRevisions>false</trackRevisions>
    </reviewItem>
    <reviewItem>
      <errorID>e60d4b79-2d71-40aa-b23a-5ef3aeac0cc4</errorID>
      <errorWord>～</errorWord>
      <group>L1_Format</group>
      <groupName>格式问题</groupName>
      <ability>L2_HalfPunc</ability>
      <abilityName>全半角检查</abilityName>
      <candidateList>
        <item>~</item>
      </candidateList>
      <explain>文本全半角错误。</explain>
      <paraID>7487FF26</paraID>
      <start>1</start>
      <end>2</end>
      <status>unmodified</status>
      <modifiedWord/>
      <trackRevisions>false</trackRevisions>
    </reviewItem>
    <reviewItem>
      <errorID>183a9ae2-6e75-441b-b351-437a9c27ed58</errorID>
      <errorWord>～</errorWord>
      <group>L1_Format</group>
      <groupName>格式问题</groupName>
      <ability>L2_HalfPunc</ability>
      <abilityName>全半角检查</abilityName>
      <candidateList>
        <item>~</item>
      </candidateList>
      <explain>文本全半角错误。</explain>
      <paraID>20545622</paraID>
      <start>3</start>
      <end>4</end>
      <status>unmodified</status>
      <modifiedWord/>
      <trackRevisions>false</trackRevisions>
    </reviewItem>
    <reviewItem>
      <errorID>e424ccb1-e803-49ba-b601-ea2268a2a7eb</errorID>
      <errorWord>～</errorWord>
      <group>L1_Format</group>
      <groupName>格式问题</groupName>
      <ability>L2_HalfPunc</ability>
      <abilityName>全半角检查</abilityName>
      <candidateList>
        <item>~</item>
      </candidateList>
      <explain>文本全半角错误。</explain>
      <paraID>5E791D9B</paraID>
      <start>3</start>
      <end>4</end>
      <status>unmodified</status>
      <modifiedWord/>
      <trackRevisions>false</trackRevisions>
    </reviewItem>
    <reviewItem>
      <errorID>43ff4b40-aa44-49a1-b655-417c7a93c189</errorID>
      <errorWord>庭荠</errorWord>
      <group>L1_Word</group>
      <groupName>字词问题</groupName>
      <ability>L2_Typo</ability>
      <abilityName>字词错误</abilityName>
      <candidateList>
        <item>荸荠</item>
      </candidateList>
      <explain/>
      <paraID>1737D763</paraID>
      <start>2</start>
      <end>4</end>
      <status>unmodified</status>
      <modifiedWord/>
      <trackRevisions>false</trackRevisions>
    </reviewItem>
    <reviewItem>
      <errorID>b24b17dc-372a-47c3-81ca-578c0549b1f5</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554806EA</paraID>
      <start>29</start>
      <end>30</end>
      <status>unmodified</status>
      <modifiedWord/>
      <trackRevisions>false</trackRevisions>
    </reviewItem>
    <reviewItem>
      <errorID>d6b92f1a-0ff4-4a21-9ff6-d29ed5b3ada7</errorID>
      <errorWord>机械活动</errorWord>
      <group>L1_Knowledge</group>
      <groupName>知识性问题</groupName>
      <ability>L2_Term</ability>
      <abilityName>专业术语</abilityName>
      <candidateList>
        <item>机械振动</item>
      </candidateList>
      <explain/>
      <paraID> C35F8AB</paraID>
      <start>10</start>
      <end>14</end>
      <status>unmodified</status>
      <modifiedWord/>
      <trackRevisions>false</trackRevisions>
    </reviewItem>
    <reviewItem>
      <errorID>c261c061-6145-47fe-a167-48c9841f69e0</errorID>
      <errorWord>井区</errorWord>
      <group>L1_Word</group>
      <groupName>字词问题</groupName>
      <ability>L2_Typo</ability>
      <abilityName>字词错误</abilityName>
      <candidateList>
        <item>景区</item>
      </candidateList>
      <explain>存在发音相同字词的误用。</explain>
      <paraID>376A97CC</paraID>
      <start>0</start>
      <end>2</end>
      <status>unmodified</status>
      <modifiedWord/>
      <trackRevisions>false</trackRevisions>
    </reviewItem>
    <reviewItem>
      <errorID>90696525-dc79-4fdb-898a-60350886fc80</errorID>
      <errorWord>～</errorWord>
      <group>L1_Format</group>
      <groupName>格式问题</groupName>
      <ability>L2_HalfPunc</ability>
      <abilityName>全半角检查</abilityName>
      <candidateList>
        <item>~</item>
      </candidateList>
      <explain>文本全半角错误。</explain>
      <paraID>4E46FB04</paraID>
      <start>1</start>
      <end>2</end>
      <status>unmodified</status>
      <modifiedWord/>
      <trackRevisions>false</trackRevisions>
    </reviewItem>
    <reviewItem>
      <errorID>3326c208-29b0-48bb-bea9-3eb9e52c956c</errorID>
      <errorWord>海拔高度</errorWord>
      <group>L1_Word</group>
      <groupName>字词问题</groupName>
      <ability>L2_Typo</ability>
      <abilityName>字词错误</abilityName>
      <candidateList>
        <item>海拔</item>
      </candidateList>
      <explain>〈名〉从平均海平面起算的高度。</explain>
      <paraID>73FDBA7A</paraID>
      <start>0</start>
      <end>4</end>
      <status>unmodified</status>
      <modifiedWord/>
      <trackRevisions>false</trackRevisions>
    </reviewItem>
    <reviewItem>
      <errorID>088b19c5-a6e9-41e6-9c20-4d963b0fd006</errorID>
      <errorWord>x、</errorWord>
      <group>L1_Format</group>
      <groupName>格式问题</groupName>
      <ability>L2_Ordinal</ability>
      <abilityName>序号格式</abilityName>
      <candidateList>
        <item>x.</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360DFAE6</paraID>
      <start>0</start>
      <end>2</end>
      <status>unmodified</status>
      <modifiedWord/>
      <trackRevisions>false</trackRevisions>
    </reviewItem>
    <reviewItem>
      <errorID>bdf417be-f954-41af-8cde-b545103b8a9d</errorID>
      <errorWord>、及</errorWord>
      <group>L1_Sensitive</group>
      <groupName>敏感问题</groupName>
      <ability>L2_UserSensitive</ability>
      <abilityName>自定义敏感词</abilityName>
      <candidateList/>
      <explain>来自自定义敏感词库。</explain>
      <paraID>36FB2688</paraID>
      <start>212</start>
      <end>214</end>
      <status>unmodified</status>
      <modifiedWord/>
      <trackRevisions>false</trackRevisions>
    </reviewItem>
    <reviewItem>
      <errorID>c878d3d8-d740-435b-ba12-d85527970876</errorID>
      <errorWord>（</errorWord>
      <group>L1_Punc</group>
      <groupName>标点问题</groupName>
      <ability>L2_Punc</ability>
      <abilityName>标点符号检查</abilityName>
      <candidateList/>
      <explain>同一形式括号套用。</explain>
      <paraID> 32A360D</paraID>
      <start>30</start>
      <end>31</end>
      <status>unmodified</status>
      <modifiedWord/>
      <trackRevisions>false</trackRevisions>
    </reviewItem>
    <reviewItem>
      <errorID>6fc26aa6-0e1e-446d-94a8-108467406b34</errorID>
      <errorWord>）</errorWord>
      <group>L1_Punc</group>
      <groupName>标点问题</groupName>
      <ability>L2_Punc</ability>
      <abilityName>标点符号检查</abilityName>
      <candidateList/>
      <explain>同一形式括号套用。</explain>
      <paraID> 32A360D</paraID>
      <start>35</start>
      <end>36</end>
      <status>unmodified</status>
      <modifiedWord/>
      <trackRevisions>false</trackRevisions>
    </reviewItem>
    <reviewItem>
      <errorID>0779714a-f2ed-4c63-8c95-3c9be45895ab</errorID>
      <errorWord>（</errorWord>
      <group>L1_Format</group>
      <groupName>格式问题</groupName>
      <ability>L2_HalfPunc</ability>
      <abilityName>全半角检查</abilityName>
      <candidateList>
        <item>(</item>
      </candidateList>
      <explain>文本全半角错误。</explain>
      <paraID>4F6E6BEB</paraID>
      <start>0</start>
      <end>1</end>
      <status>unmodified</status>
      <modifiedWord/>
      <trackRevisions>false</trackRevisions>
    </reviewItem>
    <reviewItem>
      <errorID>1ffb016d-a4f4-4e61-8d67-11fcc825c0bc</errorID>
      <errorWord>）</errorWord>
      <group>L1_Format</group>
      <groupName>格式问题</groupName>
      <ability>L2_HalfPunc</ability>
      <abilityName>全半角检查</abilityName>
      <candidateList>
        <item>)</item>
      </candidateList>
      <explain>文本全半角错误。</explain>
      <paraID>4F6E6BEB</paraID>
      <start>5</start>
      <end>6</end>
      <status>unmodified</status>
      <modifiedWord/>
      <trackRevisions>false</trackRevisions>
    </reviewItem>
    <reviewItem>
      <errorID>c6dc5e58-e9be-41f9-8fde-a19dc1e4c398</errorID>
      <errorWord>（</errorWord>
      <group>L1_Format</group>
      <groupName>格式问题</groupName>
      <ability>L2_HalfPunc</ability>
      <abilityName>全半角检查</abilityName>
      <candidateList>
        <item>(</item>
      </candidateList>
      <explain>文本全半角错误。</explain>
      <paraID>277B0C31</paraID>
      <start>0</start>
      <end>1</end>
      <status>unmodified</status>
      <modifiedWord/>
      <trackRevisions>false</trackRevisions>
    </reviewItem>
    <reviewItem>
      <errorID>2a721c76-fce3-4eef-9190-7fbc2537acb6</errorID>
      <errorWord>）</errorWord>
      <group>L1_Format</group>
      <groupName>格式问题</groupName>
      <ability>L2_HalfPunc</ability>
      <abilityName>全半角检查</abilityName>
      <candidateList>
        <item>)</item>
      </candidateList>
      <explain>文本全半角错误。</explain>
      <paraID>277B0C31</paraID>
      <start>5</start>
      <end>6</end>
      <status>unmodified</status>
      <modifiedWord/>
      <trackRevisions>false</trackRevisions>
    </reviewItem>
    <reviewItem>
      <errorID>c7d5e33c-73c6-4763-a14a-cabcb171b571</errorID>
      <errorWord>-</errorWord>
      <group>L1_Format</group>
      <groupName>格式问题</groupName>
      <ability>L2_HalfPunc</ability>
      <abilityName>全半角检查</abilityName>
      <candidateList>
        <item>－</item>
      </candidateList>
      <explain>文本全半角错误。</explain>
      <paraID>423B8DCF</paraID>
      <start>76</start>
      <end>77</end>
      <status>unmodified</status>
      <modifiedWord/>
      <trackRevisions>false</trackRevisions>
    </reviewItem>
    <reviewItem>
      <errorID>c8838351-5909-4beb-94a8-2ab46f2a0dd3</errorID>
      <errorWord>基本都</errorWord>
      <group>L1_Word</group>
      <groupName>字词问题</groupName>
      <ability>L2_Typo</ability>
      <abilityName>字词错误</abilityName>
      <candidateList>
        <item>基本</item>
      </candidateList>
      <explain>❶〈名〉根本：人民是国家的～。❷〈形〉属性词。根本的：～矛盾｜～原理。❸〈形〉属性词。主要的：～条件｜～群众。❹〈副〉大体上：质量～合格｜大坝工程已经～完成。</explain>
      <paraID>423B8DCF</paraID>
      <start>382</start>
      <end>385</end>
      <status>unmodified</status>
      <modifiedWord/>
      <trackRevisions>false</trackRevisions>
    </reviewItem>
    <reviewItem>
      <errorID>255bc5cc-5834-4e84-b1e6-23657c9090a2</errorID>
      <errorWord>（</errorWord>
      <group>L1_Format</group>
      <groupName>格式问题</groupName>
      <ability>L2_HalfPunc</ability>
      <abilityName>全半角检查</abilityName>
      <candidateList>
        <item>(</item>
      </candidateList>
      <explain>文本全半角错误。</explain>
      <paraID>3A65BD95</paraID>
      <start>2</start>
      <end>3</end>
      <status>unmodified</status>
      <modifiedWord/>
      <trackRevisions>false</trackRevisions>
    </reviewItem>
    <reviewItem>
      <errorID>e07fa488-ad6b-4e0d-8e76-2eed552f02df</errorID>
      <errorWord>）</errorWord>
      <group>L1_Format</group>
      <groupName>格式问题</groupName>
      <ability>L2_HalfPunc</ability>
      <abilityName>全半角检查</abilityName>
      <candidateList>
        <item>)</item>
      </candidateList>
      <explain>文本全半角错误。</explain>
      <paraID>3A65BD95</paraID>
      <start>4</start>
      <end>5</end>
      <status>unmodified</status>
      <modifiedWord/>
      <trackRevisions>false</trackRevisions>
    </reviewItem>
    <reviewItem>
      <errorID>b091ca6c-f8db-4648-9ace-fa371a63d525</errorID>
      <errorWord>（</errorWord>
      <group>L1_Format</group>
      <groupName>格式问题</groupName>
      <ability>L2_HalfPunc</ability>
      <abilityName>全半角检查</abilityName>
      <candidateList>
        <item>(</item>
      </candidateList>
      <explain>文本全半角错误。</explain>
      <paraID>3A65BD95</paraID>
      <start>8</start>
      <end>9</end>
      <status>unmodified</status>
      <modifiedWord/>
      <trackRevisions>false</trackRevisions>
    </reviewItem>
    <reviewItem>
      <errorID>204bfa86-306f-4677-8c01-bad8dd3fab82</errorID>
      <errorWord>）</errorWord>
      <group>L1_Format</group>
      <groupName>格式问题</groupName>
      <ability>L2_HalfPunc</ability>
      <abilityName>全半角检查</abilityName>
      <candidateList>
        <item>)</item>
      </candidateList>
      <explain>文本全半角错误。</explain>
      <paraID>3A65BD95</paraID>
      <start>11</start>
      <end>12</end>
      <status>unmodified</status>
      <modifiedWord/>
      <trackRevisions>false</trackRevisions>
    </reviewItem>
    <reviewItem>
      <errorID>6e1df114-8a52-4bfb-a6d1-4f3cc3e5948d</errorID>
      <errorWord>（</errorWord>
      <group>L1_Format</group>
      <groupName>格式问题</groupName>
      <ability>L2_HalfPunc</ability>
      <abilityName>全半角检查</abilityName>
      <candidateList>
        <item>(</item>
      </candidateList>
      <explain>文本全半角错误。</explain>
      <paraID>3A65BD95</paraID>
      <start>17</start>
      <end>18</end>
      <status>unmodified</status>
      <modifiedWord/>
      <trackRevisions>false</trackRevisions>
    </reviewItem>
    <reviewItem>
      <errorID>7e38ce90-3b53-4ae6-8b38-ecb1e4d93c9c</errorID>
      <errorWord>）</errorWord>
      <group>L1_Format</group>
      <groupName>格式问题</groupName>
      <ability>L2_HalfPunc</ability>
      <abilityName>全半角检查</abilityName>
      <candidateList>
        <item>)</item>
      </candidateList>
      <explain>文本全半角错误。</explain>
      <paraID>3A65BD95</paraID>
      <start>22</start>
      <end>23</end>
      <status>unmodified</status>
      <modifiedWord/>
      <trackRevisions>false</trackRevisions>
    </reviewItem>
    <reviewItem>
      <errorID>e6119cd9-eb11-407a-bed1-15ff9b986738</errorID>
      <errorWord>～</errorWord>
      <group>L1_Format</group>
      <groupName>格式问题</groupName>
      <ability>L2_HalfPunc</ability>
      <abilityName>全半角检查</abilityName>
      <candidateList>
        <item>~</item>
      </candidateList>
      <explain>文本全半角错误。</explain>
      <paraID> 57C0D19</paraID>
      <start>1</start>
      <end>2</end>
      <status>unmodified</status>
      <modifiedWord/>
      <trackRevisions>false</trackRevisions>
    </reviewItem>
    <reviewItem>
      <errorID>43328ef8-5a87-436d-9cb3-320ee8ef0bf5</errorID>
      <errorWord>～</errorWord>
      <group>L1_Format</group>
      <groupName>格式问题</groupName>
      <ability>L2_HalfPunc</ability>
      <abilityName>全半角检查</abilityName>
      <candidateList>
        <item>~</item>
      </candidateList>
      <explain>文本全半角错误。</explain>
      <paraID> 30F26FE</paraID>
      <start>3</start>
      <end>4</end>
      <status>unmodified</status>
      <modifiedWord/>
      <trackRevisions>false</trackRevisions>
    </reviewItem>
    <reviewItem>
      <errorID>b1bfc50d-78ad-4cb0-9a0f-ce600bcb693c</errorID>
      <errorWord>～</errorWord>
      <group>L1_Format</group>
      <groupName>格式问题</groupName>
      <ability>L2_HalfPunc</ability>
      <abilityName>全半角检查</abilityName>
      <candidateList>
        <item>~</item>
      </candidateList>
      <explain>文本全半角错误。</explain>
      <paraID>77578682</paraID>
      <start>3</start>
      <end>4</end>
      <status>unmodified</status>
      <modifiedWord/>
      <trackRevisions>false</trackRevisions>
    </reviewItem>
    <reviewItem>
      <errorID>3f0eb396-1b2d-49fb-90aa-f6915b08ad39</errorID>
      <errorWord>)</errorWord>
      <group>L1_Format</group>
      <groupName>格式问题</groupName>
      <ability>L2_HalfPunc</ability>
      <abilityName>全半角检查</abilityName>
      <candidateList>
        <item>）</item>
      </candidateList>
      <explain>文本全半角错误。</explain>
      <paraID>1D5E6B38</paraID>
      <start>11</start>
      <end>12</end>
      <status>unmodified</status>
      <modifiedWord/>
      <trackRevisions>false</trackRevisions>
    </reviewItem>
    <reviewItem>
      <errorID>e681bfdb-0354-4d25-a45f-16cdc65c9c5f</errorID>
      <errorWord>(</errorWord>
      <group>L1_Format</group>
      <groupName>格式问题</groupName>
      <ability>L2_HalfPunc</ability>
      <abilityName>全半角检查</abilityName>
      <candidateList>
        <item>（</item>
      </candidateList>
      <explain>文本全半角错误。</explain>
      <paraID>5FBCFA60</paraID>
      <start>3</start>
      <end>4</end>
      <status>unmodified</status>
      <modifiedWord/>
      <trackRevisions>false</trackRevisions>
    </reviewItem>
    <reviewItem>
      <errorID>d76f7dce-cb8b-452c-90d8-2f3528753905</errorID>
      <errorWord>)</errorWord>
      <group>L1_Format</group>
      <groupName>格式问题</groupName>
      <ability>L2_HalfPunc</ability>
      <abilityName>全半角检查</abilityName>
      <candidateList>
        <item>）</item>
      </candidateList>
      <explain>文本全半角错误。</explain>
      <paraID>5FBCFA60</paraID>
      <start>11</start>
      <end>12</end>
      <status>unmodified</status>
      <modifiedWord/>
      <trackRevisions>false</trackRevisions>
    </reviewItem>
    <reviewItem>
      <errorID>176b6214-0b4d-4385-b787-0f280cb1be2e</errorID>
      <errorWord>(</errorWord>
      <group>L1_Format</group>
      <groupName>格式问题</groupName>
      <ability>L2_HalfPunc</ability>
      <abilityName>全半角检查</abilityName>
      <candidateList>
        <item>（</item>
      </candidateList>
      <explain>文本全半角错误。</explain>
      <paraID>3DD4752B</paraID>
      <start>3</start>
      <end>4</end>
      <status>unmodified</status>
      <modifiedWord/>
      <trackRevisions>false</trackRevisions>
    </reviewItem>
    <reviewItem>
      <errorID>a8bbbcbd-e6ac-4eed-a70a-cc18938435cc</errorID>
      <errorWord>)</errorWord>
      <group>L1_Format</group>
      <groupName>格式问题</groupName>
      <ability>L2_HalfPunc</ability>
      <abilityName>全半角检查</abilityName>
      <candidateList>
        <item>）</item>
      </candidateList>
      <explain>文本全半角错误。</explain>
      <paraID>3DD4752B</paraID>
      <start>11</start>
      <end>12</end>
      <status>unmodified</status>
      <modifiedWord/>
      <trackRevisions>false</trackRevisions>
    </reviewItem>
    <reviewItem>
      <errorID>43499f6f-f382-4c18-a0fb-d3c0d14e98f6</errorID>
      <errorWord>(</errorWord>
      <group>L1_Format</group>
      <groupName>格式问题</groupName>
      <ability>L2_HalfPunc</ability>
      <abilityName>全半角检查</abilityName>
      <candidateList>
        <item>（</item>
      </candidateList>
      <explain>文本全半角错误。</explain>
      <paraID>4A6D4A0F</paraID>
      <start>117</start>
      <end>118</end>
      <status>unmodified</status>
      <modifiedWord/>
      <trackRevisions>false</trackRevisions>
    </reviewItem>
    <reviewItem>
      <errorID>6167c9ec-9185-4636-bd88-1d9ad1cc9c53</errorID>
      <errorWord>)</errorWord>
      <group>L1_Format</group>
      <groupName>格式问题</groupName>
      <ability>L2_HalfPunc</ability>
      <abilityName>全半角检查</abilityName>
      <candidateList>
        <item>）</item>
      </candidateList>
      <explain>文本全半角错误。</explain>
      <paraID>4A6D4A0F</paraID>
      <start>125</start>
      <end>126</end>
      <status>unmodified</status>
      <modifiedWord/>
      <trackRevisions>false</trackRevisions>
    </reviewItem>
    <reviewItem>
      <errorID>bce85d2e-3b5b-4624-b1e1-5e47a42cf3a6</errorID>
      <errorWord>(</errorWord>
      <group>L1_Format</group>
      <groupName>格式问题</groupName>
      <ability>L2_HalfPunc</ability>
      <abilityName>全半角检查</abilityName>
      <candidateList>
        <item>（</item>
      </candidateList>
      <explain>文本全半角错误。</explain>
      <paraID>5DBEFCA3</paraID>
      <start>169</start>
      <end>170</end>
      <status>unmodified</status>
      <modifiedWord/>
      <trackRevisions>false</trackRevisions>
    </reviewItem>
    <reviewItem>
      <errorID>1c322f8e-a2e3-4d31-8057-8fa9ff89acf5</errorID>
      <errorWord>)</errorWord>
      <group>L1_Format</group>
      <groupName>格式问题</groupName>
      <ability>L2_HalfPunc</ability>
      <abilityName>全半角检查</abilityName>
      <candidateList>
        <item>）</item>
      </candidateList>
      <explain>文本全半角错误。</explain>
      <paraID>5DBEFCA3</paraID>
      <start>177</start>
      <end>178</end>
      <status>unmodified</status>
      <modifiedWord/>
      <trackRevisions>false</trackRevisions>
    </reviewItem>
    <reviewItem>
      <errorID>9b89f39a-5e4b-4e1f-8e5d-6cd34a41dc11</errorID>
      <errorWord>-</errorWord>
      <group>L1_Format</group>
      <groupName>格式问题</groupName>
      <ability>L2_HalfPunc</ability>
      <abilityName>全半角检查</abilityName>
      <candidateList>
        <item>－</item>
      </candidateList>
      <explain>文本全半角错误。</explain>
      <paraID>2D9BAB21</paraID>
      <start>2</start>
      <end>3</end>
      <status>unmodified</status>
      <modifiedWord/>
      <trackRevisions>false</trackRevisions>
    </reviewItem>
    <reviewItem>
      <errorID>98c9fcea-22f9-463f-b8a3-f96e269efd5d</errorID>
      <errorWord>-</errorWord>
      <group>L1_Format</group>
      <groupName>格式问题</groupName>
      <ability>L2_HalfPunc</ability>
      <abilityName>全半角检查</abilityName>
      <candidateList>
        <item>－</item>
      </candidateList>
      <explain>文本全半角错误。</explain>
      <paraID>4800DEC4</paraID>
      <start>1</start>
      <end>2</end>
      <status>unmodified</status>
      <modifiedWord/>
      <trackRevisions>false</trackRevisions>
    </reviewItem>
    <reviewItem>
      <errorID>a54d42a1-e454-4928-a375-011ddf528500</errorID>
      <errorWord>-</errorWord>
      <group>L1_Format</group>
      <groupName>格式问题</groupName>
      <ability>L2_HalfPunc</ability>
      <abilityName>全半角检查</abilityName>
      <candidateList>
        <item>－</item>
      </candidateList>
      <explain>文本全半角错误。</explain>
      <paraID>646ECD82</paraID>
      <start>1</start>
      <end>2</end>
      <status>unmodified</status>
      <modifiedWord/>
      <trackRevisions>false</trackRevisions>
    </reviewItem>
    <reviewItem>
      <errorID>ac6801cb-92ba-49c3-91ad-9208aa992cc7</errorID>
      <errorWord>-</errorWord>
      <group>L1_Format</group>
      <groupName>格式问题</groupName>
      <ability>L2_HalfPunc</ability>
      <abilityName>全半角检查</abilityName>
      <candidateList>
        <item>－</item>
      </candidateList>
      <explain>文本全半角错误。</explain>
      <paraID> 9CED8EF</paraID>
      <start>1</start>
      <end>2</end>
      <status>unmodified</status>
      <modifiedWord/>
      <trackRevisions>false</trackRevisions>
    </reviewItem>
    <reviewItem>
      <errorID>e73e7d81-17d5-474c-9318-d818d03c79f0</errorID>
      <errorWord>)</errorWord>
      <group>L1_Format</group>
      <groupName>格式问题</groupName>
      <ability>L2_HalfPunc</ability>
      <abilityName>全半角检查</abilityName>
      <candidateList>
        <item>）</item>
      </candidateList>
      <explain>文本全半角错误。</explain>
      <paraID>339F1C2E</paraID>
      <start>151</start>
      <end>152</end>
      <status>unmodified</status>
      <modifiedWord/>
      <trackRevisions>false</trackRevisions>
    </reviewItem>
    <reviewItem>
      <errorID>2f688919-f627-460c-8f9e-8b0588c14991</errorID>
      <errorWord>刺激症</errorWord>
      <group>L1_Knowledge</group>
      <groupName>知识性问题</groupName>
      <ability>L2_Term</ability>
      <abilityName>专业术语</abilityName>
      <candidateList>
        <item>刺激征</item>
      </candidateList>
      <explain>医学名词[刺激症]为不规范表述或旧称，其规范书面表述为[刺激征]。</explain>
      <paraID>55855634</paraID>
      <start>50</start>
      <end>53</end>
      <status>unmodified</status>
      <modifiedWord/>
      <trackRevisions>false</trackRevisions>
    </reviewItem>
    <reviewItem>
      <errorID>7d56c889-61d6-4ec9-b7aa-8bf16b25305b</errorID>
      <errorWord>～</errorWord>
      <group>L1_Format</group>
      <groupName>格式问题</groupName>
      <ability>L2_HalfPunc</ability>
      <abilityName>全半角检查</abilityName>
      <candidateList>
        <item>~</item>
      </candidateList>
      <explain>文本全半角错误。</explain>
      <paraID>4067229E</paraID>
      <start>4</start>
      <end>5</end>
      <status>unmodified</status>
      <modifiedWord/>
      <trackRevisions>false</trackRevisions>
    </reviewItem>
    <reviewItem>
      <errorID>b2ffaa2f-e82b-4c1d-a8f1-6ab61546b6ba</errorID>
      <errorWord>(</errorWord>
      <group>L1_Format</group>
      <groupName>格式问题</groupName>
      <ability>L2_HalfPunc</ability>
      <abilityName>全半角检查</abilityName>
      <candidateList>
        <item>（</item>
      </candidateList>
      <explain>文本全半角错误。</explain>
      <paraID>4A1C9165</paraID>
      <start>2</start>
      <end>3</end>
      <status>unmodified</status>
      <modifiedWord/>
      <trackRevisions>false</trackRevisions>
    </reviewItem>
    <reviewItem>
      <errorID>2743367f-0dc5-4c6a-a8b0-1e881eb35005</errorID>
      <errorWord>)</errorWord>
      <group>L1_Format</group>
      <groupName>格式问题</groupName>
      <ability>L2_HalfPunc</ability>
      <abilityName>全半角检查</abilityName>
      <candidateList>
        <item>）</item>
      </candidateList>
      <explain>文本全半角错误。</explain>
      <paraID>4A1C9165</paraID>
      <start>4</start>
      <end>5</end>
      <status>unmodified</status>
      <modifiedWord/>
      <trackRevisions>false</trackRevisions>
    </reviewItem>
    <reviewItem>
      <errorID>1b1e573e-7434-4944-bb4c-7dd3f2b3652e</errorID>
      <errorWord>(</errorWord>
      <group>L1_Format</group>
      <groupName>格式问题</groupName>
      <ability>L2_HalfPunc</ability>
      <abilityName>全半角检查</abilityName>
      <candidateList>
        <item>（</item>
      </candidateList>
      <explain>文本全半角错误。</explain>
      <paraID>10CA281E</paraID>
      <start>57</start>
      <end>58</end>
      <status>unmodified</status>
      <modifiedWord/>
      <trackRevisions>false</trackRevisions>
    </reviewItem>
    <reviewItem>
      <errorID>9ba35a8e-a568-48ae-9fc0-a64886a88935</errorID>
      <errorWord>)</errorWord>
      <group>L1_Format</group>
      <groupName>格式问题</groupName>
      <ability>L2_HalfPunc</ability>
      <abilityName>全半角检查</abilityName>
      <candidateList>
        <item>）</item>
      </candidateList>
      <explain>文本全半角错误。</explain>
      <paraID>10CA281E</paraID>
      <start>60</start>
      <end>61</end>
      <status>unmodified</status>
      <modifiedWord/>
      <trackRevisions>false</trackRevisions>
    </reviewItem>
    <reviewItem>
      <errorID>8ac592d9-02a1-4aa0-a99b-331f4e9dd47c</errorID>
      <errorWord>(</errorWord>
      <group>L1_Format</group>
      <groupName>格式问题</groupName>
      <ability>L2_HalfPunc</ability>
      <abilityName>全半角检查</abilityName>
      <candidateList>
        <item>（</item>
      </candidateList>
      <explain>文本全半角错误。</explain>
      <paraID>663A5F83</paraID>
      <start>2</start>
      <end>3</end>
      <status>unmodified</status>
      <modifiedWord/>
      <trackRevisions>false</trackRevisions>
    </reviewItem>
    <reviewItem>
      <errorID>8f114faa-cb45-44ff-8788-439b80e183aa</errorID>
      <errorWord>)</errorWord>
      <group>L1_Format</group>
      <groupName>格式问题</groupName>
      <ability>L2_HalfPunc</ability>
      <abilityName>全半角检查</abilityName>
      <candidateList>
        <item>）</item>
      </candidateList>
      <explain>文本全半角错误。</explain>
      <paraID>663A5F83</paraID>
      <start>4</start>
      <end>5</end>
      <status>unmodified</status>
      <modifiedWord/>
      <trackRevisions>false</trackRevisions>
    </reviewItem>
    <reviewItem>
      <errorID>4d17aba8-1524-49bd-9492-ed6c59a81a64</errorID>
      <errorWord>。.</errorWord>
      <group>L1_Punc</group>
      <groupName>标点问题</groupName>
      <ability>L2_Punc</ability>
      <abilityName>标点符号检查</abilityName>
      <candidateList>
        <item>。</item>
      </candidateList>
      <explain/>
      <paraID>662B30BD</paraID>
      <start>16</start>
      <end>18</end>
      <status>unmodified</status>
      <modifiedWord/>
      <trackRevisions>false</trackRevisions>
    </reviewItem>
    <reviewItem>
      <errorID>75661a17-2a11-4a9c-8ace-376cf62f7a27</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6E0366D2</paraID>
      <start>74</start>
      <end>75</end>
      <status>unmodified</status>
      <modifiedWord/>
      <trackRevisions>false</trackRevisions>
    </reviewItem>
    <reviewItem>
      <errorID>a74f4d5d-e2a4-4780-834f-7a199fcd136d</errorID>
      <errorWord>降低</errorWord>
      <group>L1_Word</group>
      <groupName>字词问题</groupName>
      <ability>L2_Typo</ability>
      <abilityName>字词错误</abilityName>
      <candidateList>
        <item>防止</item>
      </candidateList>
      <explain>“降低～发生”搭配不当，建议修改为“防止～发生”。</explain>
      <paraID> C8FB575</paraID>
      <start>292</start>
      <end>294</end>
      <status>unmodified</status>
      <modifiedWord/>
      <trackRevisions>false</trackRevisions>
    </reviewItem>
    <reviewItem>
      <errorID>6e900577-1a75-4ac6-9813-3499cc0bf0f0</errorID>
      <errorWord>粘重</errorWord>
      <group>L1_Word</group>
      <groupName>字词问题</groupName>
      <ability>L2_Alias</ability>
      <abilityName>也作/曾用词</abilityName>
      <candidateList>
        <item>黏重</item>
      </candidateList>
      <explain>词汇[粘重]为不规范表述或旧称，其规范书面表述为[黏重]。</explain>
      <paraID>50BBF998</paraID>
      <start>197</start>
      <end>199</end>
      <status>unmodified</status>
      <modifiedWord/>
      <trackRevisions>false</trackRevisions>
    </reviewItem>
    <reviewItem>
      <errorID>39a50ee7-d825-48cc-83c4-cb6317500302</errorID>
      <errorWord>、及</errorWord>
      <group>L1_Sensitive</group>
      <groupName>敏感问题</groupName>
      <ability>L2_UserSensitive</ability>
      <abilityName>自定义敏感词</abilityName>
      <candidateList/>
      <explain>来自自定义敏感词库。</explain>
      <paraID>5EBB6A0A</paraID>
      <start>56</start>
      <end>58</end>
      <status>unmodified</status>
      <modifiedWord/>
      <trackRevisions>false</trackRevisions>
    </reviewItem>
    <reviewItem>
      <errorID>278922dd-2e85-497e-91e0-ef9bf0de7808</errorID>
      <errorWord>加强</errorWord>
      <group>L1_Word</group>
      <groupName>字词问题</groupName>
      <ability>L2_Typo</ability>
      <abilityName>字词错误</abilityName>
      <candidateList>
        <item>加大</item>
      </candidateList>
      <explain>“加强～力度”搭配不当，建议修改为“加大～力度”。</explain>
      <paraID>5EBB6A0A</paraID>
      <start>98</start>
      <end>100</end>
      <status>unmodified</status>
      <modifiedWord/>
      <trackRevisions>false</trackRevisions>
    </reviewItem>
    <reviewItem>
      <errorID>9c9fe50e-908e-4392-868d-26c9979076d2</errorID>
      <errorWord>、及</errorWord>
      <group>L1_Sensitive</group>
      <groupName>敏感问题</groupName>
      <ability>L2_UserSensitive</ability>
      <abilityName>自定义敏感词</abilityName>
      <candidateList/>
      <explain>来自自定义敏感词库。</explain>
      <paraID>56DFED01</paraID>
      <start>203</start>
      <end>205</end>
      <status>unmodified</status>
      <modifiedWord/>
      <trackRevisions>false</trackRevisions>
    </reviewItem>
    <reviewItem>
      <errorID>771c1142-2cc2-421a-ae36-e2b24bc0db33</errorID>
      <errorWord>，</errorWord>
      <group>L1_Word</group>
      <groupName>字词问题</groupName>
      <ability>L2_Typo</ability>
      <abilityName>字词错误</abilityName>
      <candidateList>
        <item>，在</item>
      </candidateList>
      <explain/>
      <paraID>310907D4</paraID>
      <start>45</start>
      <end>46</end>
      <status>unmodified</status>
      <modifiedWord/>
      <trackRevisions>false</trackRevisions>
    </reviewItem>
    <reviewItem>
      <errorID>2c5d7aa9-86ac-4eac-ad25-35ae2c8e5926</errorID>
      <errorWord>，</errorWord>
      <group>L1_Word</group>
      <groupName>字词问题</groupName>
      <ability>L2_Typo</ability>
      <abilityName>字词错误</abilityName>
      <candidateList>
        <item>，在</item>
      </candidateList>
      <explain/>
      <paraID>310907D4</paraID>
      <start>62</start>
      <end>63</end>
      <status>unmodified</status>
      <modifiedWord/>
      <trackRevisions>false</trackRevisions>
    </reviewItem>
    <reviewItem>
      <errorID>80bf36d1-ad38-4744-ac28-ab24e457742b</errorID>
      <errorWord>提高</errorWord>
      <group>L1_Word</group>
      <groupName>字词问题</groupName>
      <ability>L2_Typo</ability>
      <abilityName>字词错误</abilityName>
      <candidateList>
        <item>增强</item>
      </candidateList>
      <explain>“提高～意识”搭配不当，建议修改为“增强～意识”。</explain>
      <paraID>7DB1B009</paraID>
      <start>16</start>
      <end>18</end>
      <status>unmodified</status>
      <modifiedWord/>
      <trackRevisions>false</trackRevisions>
    </reviewItem>
    <reviewItem>
      <errorID>7aec5c6a-97e9-41a1-b93e-fd875db1ca1b</errorID>
      <errorWord>良</errorWord>
      <group>L1_Word</group>
      <groupName>字词问题</groupName>
      <ability>L2_Typo</ability>
      <abilityName>字词错误</abilityName>
      <candidateList>
        <item>选</item>
      </candidateList>
      <explain/>
      <paraID>293C0B48</paraID>
      <start>26</start>
      <end>27</end>
      <status>unmodified</status>
      <modifiedWord/>
      <trackRevisions>false</trackRevisions>
    </reviewItem>
    <reviewItem>
      <errorID>43e1d0a6-e3de-4dce-96b2-15986ee7bab5</errorID>
      <errorWord>-</errorWord>
      <group>L1_Format</group>
      <groupName>格式问题</groupName>
      <ability>L2_HalfPunc</ability>
      <abilityName>全半角检查</abilityName>
      <candidateList>
        <item>－</item>
      </candidateList>
      <explain>文本全半角错误。</explain>
      <paraID>768EE72F</paraID>
      <start>25</start>
      <end>26</end>
      <status>unmodified</status>
      <modifiedWord/>
      <trackRevisions>false</trackRevisions>
    </reviewItem>
    <reviewItem>
      <errorID>2e873ef8-a2f0-4a7b-9226-629663542f89</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768EE72F</paraID>
      <start>232</start>
      <end>233</end>
      <status>unmodified</status>
      <modifiedWord/>
      <trackRevisions>false</trackRevisions>
    </reviewItem>
    <reviewItem>
      <errorID>ac1a8ec8-a8f4-4aa6-a1e6-601adff60548</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768EE72F</paraID>
      <start>277</start>
      <end>278</end>
      <status>unmodified</status>
      <modifiedWord/>
      <trackRevisions>false</trackRevisions>
    </reviewItem>
    <reviewItem>
      <errorID>5fd45cf3-bbda-4002-b370-de4619216b08</errorID>
      <errorWord>腐蚀余量</errorWord>
      <group>L1_Knowledge</group>
      <groupName>知识性问题</groupName>
      <ability>L2_Term</ability>
      <abilityName>专业术语</abilityName>
      <candidateList>
        <item>汽蚀余量</item>
      </candidateList>
      <explain/>
      <paraID>768EE72F</paraID>
      <start>347</start>
      <end>351</end>
      <status>unmodified</status>
      <modifiedWord/>
      <trackRevisions>false</trackRevisions>
    </reviewItem>
    <reviewItem>
      <errorID>a0d4b61e-4d98-4ceb-9bd8-0c3df934cbce</errorID>
      <errorWord>。</errorWord>
      <group>L1_Punc</group>
      <groupName>标点问题</groupName>
      <ability>L2_Punc</ability>
      <abilityName>标点符号检查</abilityName>
      <candidateList>
        <item/>
      </candidateList>
      <explain>标题文本后不使用标点符号。</explain>
      <paraID>768EE72F</paraID>
      <start>385</start>
      <end>386</end>
      <status>unmodified</status>
      <modifiedWord/>
      <trackRevisions>false</trackRevisions>
    </reviewItem>
    <reviewItem>
      <errorID>921632a6-9b52-4a15-bdc4-1dc9ab851f4d</errorID>
      <errorWord>翔实</errorWord>
      <group>L1_Word</group>
      <groupName>字词问题</groupName>
      <ability>L2_Typo</ability>
      <abilityName>字词错误</abilityName>
      <candidateList>
        <item>详实</item>
      </candidateList>
      <explain>同“翔实”。</explain>
      <paraID>13A3CFE0</paraID>
      <start>220</start>
      <end>222</end>
      <status>unmodified</status>
      <modifiedWord/>
      <trackRevisions>false</trackRevisions>
    </reviewItem>
    <reviewItem>
      <errorID>c08e258b-2484-419e-aaaa-e03838b13602</errorID>
      <errorWord>应</errorWord>
      <group>L1_Word</group>
      <groupName>字词问题</groupName>
      <ability>L2_Typo</ability>
      <abilityName>字词错误</abilityName>
      <candidateList>
        <item>应当</item>
      </candidateList>
      <explain/>
      <paraID>4573BB9D</paraID>
      <start>7</start>
      <end>8</end>
      <status>unmodified</status>
      <modifiedWord/>
      <trackRevisions>false</trackRevisions>
    </reviewItem>
    <reviewItem>
      <errorID>d10291eb-7e6c-4bdd-bbe3-6d5507f8d6e0</errorID>
      <errorWord>中要</errorWord>
      <group>L1_Word</group>
      <groupName>字词问题</groupName>
      <ability>L2_Typo</ability>
      <abilityName>字词错误</abilityName>
      <candidateList>
        <item>中</item>
      </candidateList>
      <explain>〈动〉❶正对上；恰好合上：～选｜猜～了｜三枪都打～了目标。❷受到；遭受：～毒｜～暑｜胳膊上～了一枪。</explain>
      <paraID> 3F15546</paraID>
      <start>32</start>
      <end>34</end>
      <status>unmodified</status>
      <modifiedWord/>
      <trackRevisions>false</trackRevisions>
    </reviewItem>
    <reviewItem>
      <errorID>f6bfa27b-8ecd-4116-b6f6-b82b1dec85c0</errorID>
      <errorWord>井区</errorWord>
      <group>L1_Word</group>
      <groupName>字词问题</groupName>
      <ability>L2_Typo</ability>
      <abilityName>字词错误</abilityName>
      <candidateList>
        <item>景区</item>
      </candidateList>
      <explain/>
      <paraID>584FF6FD</paraID>
      <start>30</start>
      <end>32</end>
      <status>unmodified</status>
      <modifiedWord/>
      <trackRevisions>false</trackRevisions>
    </reviewItem>
    <reviewItem>
      <errorID>cc4f5288-d77e-441a-b52d-03747b9fd55f</errorID>
      <errorWord>地下驱油</errorWord>
      <group>L1_Knowledge</group>
      <groupName>知识性问题</groupName>
      <ability>L2_Term</ability>
      <abilityName>专业术语</abilityName>
      <candidateList>
        <item>地下储油</item>
      </candidateList>
      <explain/>
      <paraID>6C8EBC41</paraID>
      <start>14</start>
      <end>18</end>
      <status>unmodified</status>
      <modifiedWord/>
      <trackRevisions>false</trackRevisions>
    </reviewItem>
    <reviewItem>
      <errorID>f020a8f2-78ce-4bd0-84ba-fae41c152946</errorID>
      <errorWord>，</errorWord>
      <group>L1_Word</group>
      <groupName>字词问题</groupName>
      <ability>L2_Typo</ability>
      <abilityName>字词错误</abilityName>
      <candidateList>
        <item>，在</item>
      </candidateList>
      <explain/>
      <paraID>6437BEFA</paraID>
      <start>15</start>
      <end>16</end>
      <status>unmodified</status>
      <modifiedWord/>
      <trackRevisions>false</trackRevisions>
    </reviewItem>
    <reviewItem>
      <errorID>bce9c6aa-3103-4ddf-8cd1-fb755e2b7e05</errorID>
      <errorWord>超声波检查</errorWord>
      <group>L1_Knowledge</group>
      <groupName>知识性问题</groupName>
      <ability>L2_Term</ability>
      <abilityName>专业术语</abilityName>
      <candidateList>
        <item>超声检查</item>
      </candidateList>
      <explain>医学名词[超声波检查]为不规范表述或旧称，其规范书面表述为[超声检查]。</explain>
      <paraID>21B5EC7F</paraID>
      <start>34</start>
      <end>39</end>
      <status>unmodified</status>
      <modifiedWord/>
      <trackRevisions>false</trackRevisions>
    </reviewItem>
    <reviewItem>
      <errorID>50f5ceaa-0022-460e-8225-71265cefafbc</errorID>
      <errorWord>检测仪</errorWord>
      <group>L1_Word</group>
      <groupName>字词问题</groupName>
      <ability>L2_Typo</ability>
      <abilityName>字词错误</abilityName>
      <candidateList>
        <item>监测仪</item>
      </candidateList>
      <explain/>
      <paraID>53FC7847</paraID>
      <start>17</start>
      <end>20</end>
      <status>unmodified</status>
      <modifiedWord/>
      <trackRevisions>false</trackRevisions>
    </reviewItem>
    <reviewItem>
      <errorID>b605d961-0b57-4ec2-8cc9-059e739fb1eb</errorID>
      <errorWord>设</errorWord>
      <group>L1_Word</group>
      <groupName>字词问题</groupName>
      <ability>L2_Typo</ability>
      <abilityName>字词错误</abilityName>
      <candidateList>
        <item>设置</item>
      </candidateList>
      <explain>〈动〉❶设立：这座剧院是为儿童～的。❷安放；安装：～障碍。</explain>
      <paraID>428437E9</paraID>
      <start>99</start>
      <end>100</end>
      <status>unmodified</status>
      <modifiedWord/>
      <trackRevisions>false</trackRevisions>
    </reviewItem>
    <reviewItem>
      <errorID>0793a860-45be-43f4-bcf9-84b671b3f2ca</errorID>
      <errorWord>；</errorWord>
      <group>L1_Word</group>
      <groupName>字词问题</groupName>
      <ability>L2_Typo</ability>
      <abilityName>字词错误</abilityName>
      <candidateList>
        <item>；在</item>
      </candidateList>
      <explain/>
      <paraID>6561B059</paraID>
      <start>161</start>
      <end>162</end>
      <status>unmodified</status>
      <modifiedWord/>
      <trackRevisions>false</trackRevisions>
    </reviewItem>
    <reviewItem>
      <errorID>7f7ffbe1-c125-46a5-bae8-d382ad88a60c</errorID>
      <errorWord>超声波检查</errorWord>
      <group>L1_Knowledge</group>
      <groupName>知识性问题</groupName>
      <ability>L2_Term</ability>
      <abilityName>专业术语</abilityName>
      <candidateList>
        <item>超声检查</item>
      </candidateList>
      <explain>医学名词[超声波检查]为不规范表述或旧称，其规范书面表述为[超声检查]。</explain>
      <paraID>6FB723D7</paraID>
      <start>76</start>
      <end>81</end>
      <status>unmodified</status>
      <modifiedWord/>
      <trackRevisions>false</trackRevisions>
    </reviewItem>
    <reviewItem>
      <errorID>2d569148-72bb-4d1d-99d9-cea0ffa810fb</errorID>
      <errorWord>作法</errorWord>
      <group>L1_Word</group>
      <groupName>字词问题</groupName>
      <ability>L2_Typo</ability>
      <abilityName>字词错误</abilityName>
      <candidateList>
        <item>做法</item>
      </candidateList>
      <explain>存在发音相同字词的误用。</explain>
      <paraID>5B83DC58</paraID>
      <start>102</start>
      <end>104</end>
      <status>unmodified</status>
      <modifiedWord/>
      <trackRevisions>false</trackRevisions>
    </reviewItem>
    <reviewItem>
      <errorID>c71585d5-769b-40a4-a536-2aaa473d2a2d</errorID>
      <errorWord>-</errorWord>
      <group>L1_Format</group>
      <groupName>格式问题</groupName>
      <ability>L2_HalfPunc</ability>
      <abilityName>全半角检查</abilityName>
      <candidateList>
        <item>－</item>
      </candidateList>
      <explain>文本全半角错误。</explain>
      <paraID>7145225C</paraID>
      <start>19</start>
      <end>20</end>
      <status>unmodified</status>
      <modifiedWord/>
      <trackRevisions>false</trackRevisions>
    </reviewItem>
    <reviewItem>
      <errorID>06389f37-89b8-4cc2-80fe-cc4fb446084d</errorID>
      <errorWord>-</errorWord>
      <group>L1_Format</group>
      <groupName>格式问题</groupName>
      <ability>L2_HalfPunc</ability>
      <abilityName>全半角检查</abilityName>
      <candidateList>
        <item>－</item>
      </candidateList>
      <explain>文本全半角错误。</explain>
      <paraID>7145225C</paraID>
      <start>23</start>
      <end>24</end>
      <status>unmodified</status>
      <modifiedWord/>
      <trackRevisions>false</trackRevisions>
    </reviewItem>
    <reviewItem>
      <errorID>698a0151-9ee8-4981-995a-64b91bbbc451</errorID>
      <errorWord>～</errorWord>
      <group>L1_Format</group>
      <groupName>格式问题</groupName>
      <ability>L2_HalfPunc</ability>
      <abilityName>全半角检查</abilityName>
      <candidateList>
        <item>~</item>
      </candidateList>
      <explain>文本全半角错误。</explain>
      <paraID>  B478AA</paraID>
      <start>2</start>
      <end>3</end>
      <status>unmodified</status>
      <modifiedWord/>
      <trackRevisions>false</trackRevisions>
    </reviewItem>
    <reviewItem>
      <errorID>4a5112a5-af4d-4a1e-a3a1-72af6ff491f8</errorID>
      <errorWord>超越</errorWord>
      <group>L1_Word</group>
      <groupName>字词问题</groupName>
      <ability>L2_Typo</ability>
      <abilityName>字词错误</abilityName>
      <candidateList>
        <item>超出</item>
      </candidateList>
      <explain>〈动〉超越；越出（一定的数量或范围）：～限度｜～规定。</explain>
      <paraID>4E6A9D3A</paraID>
      <start>8</start>
      <end>10</end>
      <status>unmodified</status>
      <modifiedWord/>
      <trackRevisions>false</trackRevisions>
    </reviewItem>
    <reviewItem>
      <errorID>f60acd75-caff-473b-886f-32e236271fd7</errorID>
      <errorWord>采取了</errorWord>
      <group>L1_Word</group>
      <groupName>字词问题</groupName>
      <ability>L2_Typo</ability>
      <abilityName>字词错误</abilityName>
      <candidateList>
        <item>采取</item>
      </candidateList>
      <explain>〈动〉❶选择施行（某种方针、政策、措施、手段、形式、态度等）：～守势｜～紧急措施。❷取：～指纹。</explain>
      <paraID>4CC71A52</paraID>
      <start>25</start>
      <end>28</end>
      <status>unmodified</status>
      <modifiedWord/>
      <trackRevisions>false</trackRevisions>
    </reviewItem>
  </reviewItems>
  <config/>
</contractReview>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159CD36-8200-403B-A1C2-920AB846A502}">
  <ds:schemaRefs/>
</ds:datastoreItem>
</file>

<file path=customXml/itemProps3.xml><?xml version="1.0" encoding="utf-8"?>
<ds:datastoreItem xmlns:ds="http://schemas.openxmlformats.org/officeDocument/2006/customXml" ds:itemID="{0d571511-22e4-4d91-881e-86ae67d36f77}">
  <ds:schemaRefs/>
</ds:datastoreItem>
</file>

<file path=docProps/app.xml><?xml version="1.0" encoding="utf-8"?>
<Properties xmlns="http://schemas.openxmlformats.org/officeDocument/2006/extended-properties" xmlns:vt="http://schemas.openxmlformats.org/officeDocument/2006/docPropsVTypes">
  <Template>Normal</Template>
  <Pages>205</Pages>
  <Words>6873</Words>
  <Characters>7777</Characters>
  <Lines>9419</Lines>
  <Paragraphs>10919</Paragraphs>
  <TotalTime>96</TotalTime>
  <ScaleCrop>false</ScaleCrop>
  <LinksUpToDate>false</LinksUpToDate>
  <CharactersWithSpaces>7929</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2024-03-13T03:27:00Z</dcterms:created>
  <dc:creator>YJ</dc:creator>
  <cp:lastModifiedBy>开始懂得1385534257</cp:lastModifiedBy>
  <cp:lastPrinted>2024-07-26T03:03:00Z</cp:lastPrinted>
  <dcterms:modified xsi:type="dcterms:W3CDTF">2025-12-11T03:54:30Z</dcterms:modified>
  <cp:revision>432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KSOProductBuildVer">
    <vt:lpwstr>2052-12.1.0.23542</vt:lpwstr>
  </property>
  <property fmtid="{D5CDD505-2E9C-101B-9397-08002B2CF9AE}" pid="4" name="ICV">
    <vt:lpwstr>E7B97CC0AD8340C4BA0ABD9C04523BBB_13</vt:lpwstr>
  </property>
  <property fmtid="{D5CDD505-2E9C-101B-9397-08002B2CF9AE}" pid="5" name="KSOTemplateDocerSaveRecord">
    <vt:lpwstr>eyJoZGlkIjoiNGRiYzU0YmQ1OGRiZDNiOWQwZGEyZmZkNjBkZDcxNDAiLCJ1c2VySWQiOiI4NDkzMjI5In0=</vt:lpwstr>
  </property>
</Properties>
</file>